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1.100.01"/>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91.100.01</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10"/>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10</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84"/>
            </w:textInput>
          </w:ffData>
        </w:fldChar>
      </w:r>
      <w:bookmarkStart w:id="6" w:name="NSTD_CODE_F"/>
      <w:r>
        <w:instrText xml:space="preserve"> FORMTEXT </w:instrText>
      </w:r>
      <w:r>
        <w:fldChar w:fldCharType="separate"/>
      </w:r>
      <w:r>
        <w:t>0284</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水利工程材料质量控制准则"/>
            </w:textInput>
          </w:ffData>
        </w:fldChar>
      </w:r>
      <w:bookmarkStart w:id="9" w:name="CSTD_NAME"/>
      <w:r>
        <w:rPr>
          <w:rFonts w:hint="eastAsia"/>
        </w:rPr>
        <w:instrText xml:space="preserve"> FORMTEXT </w:instrText>
      </w:r>
      <w:r>
        <w:rPr>
          <w:rFonts w:hint="eastAsia"/>
        </w:rPr>
        <w:fldChar w:fldCharType="separate"/>
      </w:r>
      <w:r>
        <w:rPr>
          <w:rFonts w:hint="eastAsia"/>
        </w:rPr>
        <w:t>水利工程材料质量控制准则</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riteria for quality control of materials in water conservancy engineer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Criteria for quality control of materials in water conservancy engineering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77773DA2">
      <w:pPr>
        <w:pStyle w:val="91"/>
        <w:spacing w:after="360"/>
      </w:pPr>
      <w:bookmarkStart w:id="21" w:name="BookMark1"/>
      <w:r>
        <w:rPr>
          <w:rFonts w:hint="eastAsia"/>
          <w:spacing w:val="320"/>
        </w:rPr>
        <w:t>目</w:t>
      </w:r>
      <w:r>
        <w:rPr>
          <w:rFonts w:hint="eastAsia"/>
        </w:rPr>
        <w:t>次</w:t>
      </w:r>
    </w:p>
    <w:p w14:paraId="11E3D7F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"_Toc228604093"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_Toc228604093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6CE1C36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"_Toc228604094"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_Toc228604094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2C120CA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"_Toc228604095"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_Toc228604095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B7B379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"_Toc228604096"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_Toc228604096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1111B3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"_Toc228604097"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_Toc228604097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84DC1A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"_Toc228604098" </w:instrText>
      </w:r>
      <w:r>
        <w:fldChar w:fldCharType="separate"/>
      </w:r>
      <w:r>
        <w:rPr>
          <w:rStyle w:val="32"/>
        </w:rPr>
        <w:t>4  基本要求</w:t>
      </w:r>
      <w:r>
        <w:rPr>
          <w:rFonts w:hint="eastAsia"/>
        </w:rPr>
        <w:tab/>
      </w:r>
      <w:r>
        <w:rPr>
          <w:rFonts w:hint="eastAsia"/>
        </w:rPr>
        <w:fldChar w:fldCharType="begin"/>
      </w:r>
      <w:r>
        <w:rPr>
          <w:rFonts w:hint="eastAsia"/>
        </w:rPr>
        <w:instrText xml:space="preserve"> </w:instrText>
      </w:r>
      <w:r>
        <w:instrText xml:space="preserve">PAGEREF _Toc228604098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A0B181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"_Toc228604099" </w:instrText>
      </w:r>
      <w:r>
        <w:fldChar w:fldCharType="separate"/>
      </w:r>
      <w:r>
        <w:rPr>
          <w:rStyle w:val="32"/>
        </w:rPr>
        <w:t>5  组织与职责</w:t>
      </w:r>
      <w:r>
        <w:rPr>
          <w:rFonts w:hint="eastAsia"/>
        </w:rPr>
        <w:tab/>
      </w:r>
      <w:r>
        <w:rPr>
          <w:rFonts w:hint="eastAsia"/>
        </w:rPr>
        <w:fldChar w:fldCharType="begin"/>
      </w:r>
      <w:r>
        <w:rPr>
          <w:rFonts w:hint="eastAsia"/>
        </w:rPr>
        <w:instrText xml:space="preserve"> </w:instrText>
      </w:r>
      <w:r>
        <w:instrText xml:space="preserve">PAGEREF _Toc228604099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6A8A7F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"_Toc228604100" </w:instrText>
      </w:r>
      <w:r>
        <w:fldChar w:fldCharType="separate"/>
      </w:r>
      <w:r>
        <w:rPr>
          <w:rStyle w:val="32"/>
        </w:rPr>
        <w:t>6  材料分类与控制要求</w:t>
      </w:r>
      <w:r>
        <w:rPr>
          <w:rFonts w:hint="eastAsia"/>
        </w:rPr>
        <w:tab/>
      </w:r>
      <w:r>
        <w:rPr>
          <w:rFonts w:hint="eastAsia"/>
        </w:rPr>
        <w:fldChar w:fldCharType="begin"/>
      </w:r>
      <w:r>
        <w:rPr>
          <w:rFonts w:hint="eastAsia"/>
        </w:rPr>
        <w:instrText xml:space="preserve"> </w:instrText>
      </w:r>
      <w:r>
        <w:instrText xml:space="preserve">PAGEREF _Toc228604100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5F41693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"_Toc228604101" </w:instrText>
      </w:r>
      <w:r>
        <w:fldChar w:fldCharType="separate"/>
      </w:r>
      <w:r>
        <w:rPr>
          <w:rStyle w:val="32"/>
        </w:rPr>
        <w:t>7  采购与供应商管理</w:t>
      </w:r>
      <w:r>
        <w:rPr>
          <w:rFonts w:hint="eastAsia"/>
        </w:rPr>
        <w:tab/>
      </w:r>
      <w:r>
        <w:rPr>
          <w:rFonts w:hint="eastAsia"/>
        </w:rPr>
        <w:fldChar w:fldCharType="begin"/>
      </w:r>
      <w:r>
        <w:rPr>
          <w:rFonts w:hint="eastAsia"/>
        </w:rPr>
        <w:instrText xml:space="preserve"> </w:instrText>
      </w:r>
      <w:r>
        <w:instrText xml:space="preserve">PAGEREF _Toc228604101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B6DD6F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"_Toc228604102" </w:instrText>
      </w:r>
      <w:r>
        <w:fldChar w:fldCharType="separate"/>
      </w:r>
      <w:r>
        <w:rPr>
          <w:rStyle w:val="32"/>
        </w:rPr>
        <w:t>8  进场验收</w:t>
      </w:r>
      <w:r>
        <w:rPr>
          <w:rFonts w:hint="eastAsia"/>
        </w:rPr>
        <w:tab/>
      </w:r>
      <w:r>
        <w:rPr>
          <w:rFonts w:hint="eastAsia"/>
        </w:rPr>
        <w:fldChar w:fldCharType="begin"/>
      </w:r>
      <w:r>
        <w:rPr>
          <w:rFonts w:hint="eastAsia"/>
        </w:rPr>
        <w:instrText xml:space="preserve"> </w:instrText>
      </w:r>
      <w:r>
        <w:instrText xml:space="preserve">PAGEREF _Toc228604102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6FDDA5B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"_Toc228604103" </w:instrText>
      </w:r>
      <w:r>
        <w:fldChar w:fldCharType="separate"/>
      </w:r>
      <w:r>
        <w:rPr>
          <w:rStyle w:val="32"/>
        </w:rPr>
        <w:t>9  抽样与试验检测</w:t>
      </w:r>
      <w:r>
        <w:rPr>
          <w:rFonts w:hint="eastAsia"/>
        </w:rPr>
        <w:tab/>
      </w:r>
      <w:r>
        <w:rPr>
          <w:rFonts w:hint="eastAsia"/>
        </w:rPr>
        <w:fldChar w:fldCharType="begin"/>
      </w:r>
      <w:r>
        <w:rPr>
          <w:rFonts w:hint="eastAsia"/>
        </w:rPr>
        <w:instrText xml:space="preserve"> </w:instrText>
      </w:r>
      <w:r>
        <w:instrText xml:space="preserve">PAGEREF _Toc228604103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252B366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"_Toc228604104" </w:instrText>
      </w:r>
      <w:r>
        <w:fldChar w:fldCharType="separate"/>
      </w:r>
      <w:r>
        <w:rPr>
          <w:rStyle w:val="32"/>
        </w:rPr>
        <w:t>10  储存保管与防护</w:t>
      </w:r>
      <w:r>
        <w:rPr>
          <w:rFonts w:hint="eastAsia"/>
        </w:rPr>
        <w:tab/>
      </w:r>
      <w:r>
        <w:rPr>
          <w:rFonts w:hint="eastAsia"/>
        </w:rPr>
        <w:fldChar w:fldCharType="begin"/>
      </w:r>
      <w:r>
        <w:rPr>
          <w:rFonts w:hint="eastAsia"/>
        </w:rPr>
        <w:instrText xml:space="preserve"> </w:instrText>
      </w:r>
      <w:r>
        <w:instrText xml:space="preserve">PAGEREF _Toc228604104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5D3981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"_Toc228604105" </w:instrText>
      </w:r>
      <w:r>
        <w:fldChar w:fldCharType="separate"/>
      </w:r>
      <w:r>
        <w:rPr>
          <w:rStyle w:val="32"/>
        </w:rPr>
        <w:t>11  使用过程质量控制</w:t>
      </w:r>
      <w:r>
        <w:rPr>
          <w:rFonts w:hint="eastAsia"/>
        </w:rPr>
        <w:tab/>
      </w:r>
      <w:r>
        <w:rPr>
          <w:rFonts w:hint="eastAsia"/>
        </w:rPr>
        <w:fldChar w:fldCharType="begin"/>
      </w:r>
      <w:r>
        <w:rPr>
          <w:rFonts w:hint="eastAsia"/>
        </w:rPr>
        <w:instrText xml:space="preserve"> </w:instrText>
      </w:r>
      <w:r>
        <w:instrText xml:space="preserve">PAGEREF _Toc228604105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217E6F7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"_Toc228604106" </w:instrText>
      </w:r>
      <w:r>
        <w:fldChar w:fldCharType="separate"/>
      </w:r>
      <w:r>
        <w:rPr>
          <w:rStyle w:val="32"/>
        </w:rPr>
        <w:t>12  不合格材料处置</w:t>
      </w:r>
      <w:r>
        <w:rPr>
          <w:rFonts w:hint="eastAsia"/>
        </w:rPr>
        <w:tab/>
      </w:r>
      <w:r>
        <w:rPr>
          <w:rFonts w:hint="eastAsia"/>
        </w:rPr>
        <w:fldChar w:fldCharType="begin"/>
      </w:r>
      <w:r>
        <w:rPr>
          <w:rFonts w:hint="eastAsia"/>
        </w:rPr>
        <w:instrText xml:space="preserve"> </w:instrText>
      </w:r>
      <w:r>
        <w:instrText xml:space="preserve">PAGEREF _Toc228604106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A8607A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"_Toc228604107" </w:instrText>
      </w:r>
      <w:r>
        <w:fldChar w:fldCharType="separate"/>
      </w:r>
      <w:r>
        <w:rPr>
          <w:rStyle w:val="32"/>
        </w:rPr>
        <w:t>13  质量追溯与信息管理</w:t>
      </w:r>
      <w:r>
        <w:rPr>
          <w:rFonts w:hint="eastAsia"/>
        </w:rPr>
        <w:tab/>
      </w:r>
      <w:r>
        <w:rPr>
          <w:rFonts w:hint="eastAsia"/>
        </w:rPr>
        <w:fldChar w:fldCharType="begin"/>
      </w:r>
      <w:r>
        <w:rPr>
          <w:rFonts w:hint="eastAsia"/>
        </w:rPr>
        <w:instrText xml:space="preserve"> </w:instrText>
      </w:r>
      <w:r>
        <w:instrText xml:space="preserve">PAGEREF _Toc228604107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52E0AE6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"_Toc228604108" </w:instrText>
      </w:r>
      <w:r>
        <w:fldChar w:fldCharType="separate"/>
      </w:r>
      <w:r>
        <w:rPr>
          <w:rStyle w:val="32"/>
        </w:rPr>
        <w:t>14  监督检查与持续改进</w:t>
      </w:r>
      <w:r>
        <w:rPr>
          <w:rFonts w:hint="eastAsia"/>
        </w:rPr>
        <w:tab/>
      </w:r>
      <w:r>
        <w:rPr>
          <w:rFonts w:hint="eastAsia"/>
        </w:rPr>
        <w:fldChar w:fldCharType="begin"/>
      </w:r>
      <w:r>
        <w:rPr>
          <w:rFonts w:hint="eastAsia"/>
        </w:rPr>
        <w:instrText xml:space="preserve"> </w:instrText>
      </w:r>
      <w:r>
        <w:instrText xml:space="preserve">PAGEREF _Toc228604108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1090186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"_Toc228604109" </w:instrText>
      </w:r>
      <w:r>
        <w:fldChar w:fldCharType="separate"/>
      </w:r>
      <w:r>
        <w:rPr>
          <w:rStyle w:val="32"/>
        </w:rPr>
        <w:t>15  资料归档</w:t>
      </w:r>
      <w:r>
        <w:rPr>
          <w:rFonts w:hint="eastAsia"/>
        </w:rPr>
        <w:tab/>
      </w:r>
      <w:r>
        <w:rPr>
          <w:rFonts w:hint="eastAsia"/>
        </w:rPr>
        <w:fldChar w:fldCharType="begin"/>
      </w:r>
      <w:r>
        <w:rPr>
          <w:rFonts w:hint="eastAsia"/>
        </w:rPr>
        <w:instrText xml:space="preserve"> </w:instrText>
      </w:r>
      <w:r>
        <w:instrText xml:space="preserve">PAGEREF _Toc228604109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0305504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"_Toc228604110" </w:instrText>
      </w:r>
      <w:r>
        <w:fldChar w:fldCharType="separate"/>
      </w:r>
      <w:r>
        <w:rPr>
          <w:rStyle w:val="32"/>
        </w:rPr>
        <w:t>附录A（资料性）  材料进场验收记录表</w:t>
      </w:r>
      <w:r>
        <w:rPr>
          <w:rFonts w:hint="eastAsia"/>
        </w:rPr>
        <w:tab/>
      </w:r>
      <w:r>
        <w:rPr>
          <w:rFonts w:hint="eastAsia"/>
        </w:rPr>
        <w:fldChar w:fldCharType="begin"/>
      </w:r>
      <w:r>
        <w:rPr>
          <w:rFonts w:hint="eastAsia"/>
        </w:rPr>
        <w:instrText xml:space="preserve"> </w:instrText>
      </w:r>
      <w:r>
        <w:instrText xml:space="preserve">PAGEREF _Toc228604110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7DE6AA3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"_Toc228604111" </w:instrText>
      </w:r>
      <w:r>
        <w:fldChar w:fldCharType="separate"/>
      </w:r>
      <w:r>
        <w:rPr>
          <w:rStyle w:val="32"/>
        </w:rPr>
        <w:t>附录B（资料性）  不合格材料处置记录表</w:t>
      </w:r>
      <w:r>
        <w:rPr>
          <w:rFonts w:hint="eastAsia"/>
        </w:rPr>
        <w:tab/>
      </w:r>
      <w:r>
        <w:rPr>
          <w:rFonts w:hint="eastAsia"/>
        </w:rPr>
        <w:fldChar w:fldCharType="begin"/>
      </w:r>
      <w:r>
        <w:rPr>
          <w:rFonts w:hint="eastAsia"/>
        </w:rPr>
        <w:instrText xml:space="preserve"> </w:instrText>
      </w:r>
      <w:r>
        <w:instrText xml:space="preserve">PAGEREF _Toc228604111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151CA65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"_Toc228604112" </w:instrText>
      </w:r>
      <w:r>
        <w:fldChar w:fldCharType="separate"/>
      </w:r>
      <w:r>
        <w:rPr>
          <w:rStyle w:val="32"/>
        </w:rPr>
        <w:t>附录C（资料性）  材料质量控制检查表</w:t>
      </w:r>
      <w:r>
        <w:rPr>
          <w:rFonts w:hint="eastAsia"/>
        </w:rPr>
        <w:tab/>
      </w:r>
      <w:r>
        <w:rPr>
          <w:rFonts w:hint="eastAsia"/>
        </w:rPr>
        <w:fldChar w:fldCharType="begin"/>
      </w:r>
      <w:r>
        <w:rPr>
          <w:rFonts w:hint="eastAsia"/>
        </w:rPr>
        <w:instrText xml:space="preserve"> </w:instrText>
      </w:r>
      <w:r>
        <w:instrText xml:space="preserve">PAGEREF _Toc228604112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07266EE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"_Toc228604113" </w:instrText>
      </w:r>
      <w:r>
        <w:fldChar w:fldCharType="separate"/>
      </w:r>
      <w:r>
        <w:rPr>
          <w:rStyle w:val="32"/>
        </w:rPr>
        <w:t>参考文献</w:t>
      </w:r>
      <w:r>
        <w:rPr>
          <w:rFonts w:hint="eastAsia"/>
        </w:rPr>
        <w:tab/>
      </w:r>
      <w:r>
        <w:rPr>
          <w:rFonts w:hint="eastAsia"/>
        </w:rPr>
        <w:fldChar w:fldCharType="begin"/>
      </w:r>
      <w:r>
        <w:rPr>
          <w:rFonts w:hint="eastAsia"/>
        </w:rPr>
        <w:instrText xml:space="preserve"> </w:instrText>
      </w:r>
      <w:r>
        <w:instrText xml:space="preserve">PAGEREF _Toc228604113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00EC6E89">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04093"/>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黄河河口管理局利津黄河河务局。</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刘倩</w:t>
      </w:r>
      <w:r>
        <w:rPr>
          <w:rFonts w:hint="eastAsia"/>
        </w:rPr>
        <w:t>。</w:t>
      </w:r>
      <w:bookmarkStart w:id="70" w:name="_GoBack"/>
      <w:bookmarkEnd w:id="70"/>
    </w:p>
    <w:bookmarkEnd w:id="23"/>
    <w:p w14:paraId="66D0A2F3">
      <w:pPr>
        <w:pStyle w:val="89"/>
        <w:spacing w:after="360"/>
      </w:pPr>
      <w:bookmarkStart w:id="24" w:name="_Toc228604094"/>
      <w:bookmarkStart w:id="25" w:name="BookMark3"/>
      <w:r>
        <w:rPr>
          <w:spacing w:val="320"/>
        </w:rPr>
        <w:t>引</w:t>
      </w:r>
      <w:r>
        <w:t>言</w:t>
      </w:r>
      <w:bookmarkEnd w:id="24"/>
    </w:p>
    <w:p w14:paraId="1072585A">
      <w:pPr>
        <w:pStyle w:val="56"/>
        <w:spacing w:line="360" w:lineRule="auto"/>
        <w:ind w:firstLine="420"/>
      </w:pPr>
      <w:r>
        <w:rPr>
          <w:rFonts w:hint="eastAsia"/>
        </w:rPr>
        <w:t>水利工程材料是水利工程实体质量、安全运行和耐久性能的重要基础，直接关系工程结构安全、防渗性能、抗冲耐磨性能、抗冻性能、抗裂性能、抗侵蚀能力和长期运行可靠性。水库大坝、水闸、泵站、堤防、渠道、隧洞、渡槽、涵洞、倒虹吸、护岸、防渗墙、基础处理工程及其他水工建筑物在建设、维修、加固和运行维护过程中，均需使用水泥、钢材、砂石骨料、混凝土、砂浆、外加剂、掺合料、防水材料、防渗材料、土工合成材料、止水材料、灌浆材料、金属结构材料、管材、砌筑材料、机电安装辅助材料及其他工程材料。材料质量不符合要求的，可能造成强度不足、渗漏失控、结构开裂、冻融破坏、冲刷损伤、耐久性降低、设备安装失效和工程安全隐患。</w:t>
      </w:r>
    </w:p>
    <w:p w14:paraId="561C5322">
      <w:pPr>
        <w:pStyle w:val="56"/>
        <w:spacing w:line="360" w:lineRule="auto"/>
        <w:ind w:firstLine="420"/>
      </w:pPr>
      <w:r>
        <w:rPr>
          <w:rFonts w:hint="eastAsia"/>
        </w:rPr>
        <w:t>水利工程材料质量控制不应仅理解为进场验收或试验检测单一环节，而应贯穿材料采购、供应商管理、进场验收、抽样检验、储存保管、见证取样、试验检测、过程使用、质量追溯、不合格品处置、资料归档和持续改进全过程。材料质量控制应以设计文件、施工规范、合同要求、产品标准和工程实际环境条件为依据，重点控制材料来源、质量证明文件、外观质量、规格型号、性能指标、批次管理、检验频次、复验结果和现场使用状态，保证材料质量满足工程建设和运行安全要求。</w:t>
      </w:r>
    </w:p>
    <w:p w14:paraId="10B25451">
      <w:pPr>
        <w:pStyle w:val="56"/>
        <w:spacing w:line="360" w:lineRule="auto"/>
        <w:ind w:firstLine="420"/>
      </w:pPr>
      <w:r>
        <w:rPr>
          <w:rFonts w:hint="eastAsia"/>
        </w:rPr>
        <w:t>在实际工程管理中，部分水利工程材料质量控制仍存在供应商准入不严、进场资料不完整、材料批次混乱、见证取样不规范、试验检测频次不足、检测结果滞后、储存条件不符合要求、不同规格材料混放、材料使用去向不清、不合格材料处置不闭环、材料质量资料与实体工程脱节等问题。上述问题容易导致质量风险前移控制不足、过程质量责任不清和后期质量追溯困难，影响工程验收、运行管理和责任认定。</w:t>
      </w:r>
    </w:p>
    <w:p w14:paraId="12D323A9">
      <w:pPr>
        <w:pStyle w:val="56"/>
        <w:spacing w:line="360" w:lineRule="auto"/>
        <w:ind w:firstLine="420"/>
      </w:pPr>
      <w:r>
        <w:rPr>
          <w:rFonts w:hint="eastAsia"/>
        </w:rPr>
        <w:t>本文件围绕水利工程材料质量控制活动，拟对基本要求、组织与职责、材料分类与质量控制要点、供应商与采购管理、进场验收、抽样与试验检测、储存与防护、使用过程控制、不合格材料处置、质量追溯、资料管理、监督检查和持续改进等内容作出规定。本文件注重将材料质量控制要求转化为可执行、可检查、可追溯的标准条款，强化“应”“不得”等规范性表述，减少原则性、解释性和倡导性内容，便于建设单位、施工单位、监理单位、检测单位、材料供应单位和质量管理相关单位执行。</w:t>
      </w:r>
    </w:p>
    <w:p w14:paraId="286F3DD4">
      <w:pPr>
        <w:pStyle w:val="56"/>
        <w:spacing w:line="360" w:lineRule="auto"/>
        <w:ind w:firstLine="420"/>
      </w:pPr>
      <w:r>
        <w:rPr>
          <w:rFonts w:hint="eastAsia"/>
        </w:rPr>
        <w:t>本文件所称水利工程材料质量控制，是指在水利工程建设、维修、加固和运行维护过程中，对工程材料的采购、进场、检验、储存、使用和处置等环节实施质量管理和技术控制的活动。其核心不应局限于材料是否具有出厂合格证，而应重点确认材料质量是否满足设计要求、标准要求和工程使用条件，材料批次是否清晰，检验检测是否有效，使用部位是否可追溯，不合格材料是否得到有效隔离和处置。</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水利工程材料质量控制准则</w:t>
          </w:r>
        </w:p>
      </w:sdtContent>
    </w:sdt>
    <w:bookmarkEnd w:id="27"/>
    <w:p w14:paraId="3DB22445">
      <w:pPr>
        <w:pStyle w:val="104"/>
        <w:spacing w:before="240" w:after="240" w:line="360" w:lineRule="auto"/>
      </w:pPr>
      <w:bookmarkStart w:id="28" w:name="_Toc24884218"/>
      <w:bookmarkStart w:id="29" w:name="_Toc17233325"/>
      <w:bookmarkStart w:id="30" w:name="_Toc26718930"/>
      <w:bookmarkStart w:id="31" w:name="_Toc26986771"/>
      <w:bookmarkStart w:id="32" w:name="_Toc97192964"/>
      <w:bookmarkStart w:id="33" w:name="_Toc17233333"/>
      <w:bookmarkStart w:id="34" w:name="_Toc24884211"/>
      <w:bookmarkStart w:id="35" w:name="_Toc26648465"/>
      <w:bookmarkStart w:id="36" w:name="_Toc228604095"/>
      <w:bookmarkStart w:id="37" w:name="_Toc26986530"/>
      <w:r>
        <w:rPr>
          <w:rFonts w:hint="eastAsia"/>
        </w:rPr>
        <w:t>范围</w:t>
      </w:r>
      <w:bookmarkEnd w:id="28"/>
      <w:bookmarkEnd w:id="29"/>
      <w:bookmarkEnd w:id="30"/>
      <w:bookmarkEnd w:id="31"/>
      <w:bookmarkEnd w:id="32"/>
      <w:bookmarkEnd w:id="33"/>
      <w:bookmarkEnd w:id="34"/>
      <w:bookmarkEnd w:id="35"/>
      <w:bookmarkEnd w:id="36"/>
      <w:bookmarkEnd w:id="37"/>
    </w:p>
    <w:p w14:paraId="3AE224FC">
      <w:pPr>
        <w:pStyle w:val="56"/>
        <w:spacing w:line="360" w:lineRule="auto"/>
        <w:ind w:firstLine="420"/>
      </w:pPr>
      <w:bookmarkStart w:id="38" w:name="_Toc17233326"/>
      <w:bookmarkStart w:id="39" w:name="_Toc17233334"/>
      <w:bookmarkStart w:id="40" w:name="_Toc24884212"/>
      <w:bookmarkStart w:id="41" w:name="_Toc26648466"/>
      <w:bookmarkStart w:id="42" w:name="_Toc24884219"/>
      <w:r>
        <w:t>本文件规定了水利工程材料质量控制的基本要求、组织与职责、材料分类与控制要求、采购与供应商管理、进场验收、抽样与试验检测、储存保管与防护、使用过程质量控制、不合格材料处置、质量追溯与信息管理、监督检查与持续改进、资料归档等要求。</w:t>
      </w:r>
    </w:p>
    <w:p w14:paraId="1FD7794A">
      <w:pPr>
        <w:pStyle w:val="56"/>
        <w:spacing w:line="360" w:lineRule="auto"/>
        <w:ind w:firstLine="420"/>
      </w:pPr>
      <w:r>
        <w:t>本文件适用于水利工程新建、改建、扩建、维修、加固和运行维护过程中主要工程材料的质量控制。</w:t>
      </w:r>
    </w:p>
    <w:p w14:paraId="3733B2AD">
      <w:pPr>
        <w:pStyle w:val="104"/>
        <w:spacing w:before="240" w:after="240" w:line="360" w:lineRule="auto"/>
      </w:pPr>
      <w:bookmarkStart w:id="43" w:name="_Toc97192965"/>
      <w:bookmarkStart w:id="44" w:name="_Toc26986531"/>
      <w:bookmarkStart w:id="45" w:name="_Toc228604096"/>
      <w:bookmarkStart w:id="46" w:name="_Toc26718931"/>
      <w:bookmarkStart w:id="47" w:name="_Toc2698677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9E2568">
      <w:pPr>
        <w:pStyle w:val="56"/>
        <w:spacing w:line="360" w:lineRule="auto"/>
        <w:ind w:firstLine="420"/>
      </w:pPr>
      <w:r>
        <w:rPr>
          <w:rFonts w:hint="eastAsia"/>
        </w:rPr>
        <w:t>GB 175—2023 通用硅酸盐水泥</w:t>
      </w:r>
    </w:p>
    <w:p w14:paraId="0CF8D3B8">
      <w:pPr>
        <w:pStyle w:val="56"/>
        <w:spacing w:line="360" w:lineRule="auto"/>
        <w:ind w:firstLine="420"/>
      </w:pPr>
      <w:r>
        <w:rPr>
          <w:rFonts w:hint="eastAsia"/>
        </w:rPr>
        <w:t>GB/T 176 水泥化学分析方法</w:t>
      </w:r>
    </w:p>
    <w:p w14:paraId="6B60A532">
      <w:pPr>
        <w:pStyle w:val="56"/>
        <w:spacing w:line="360" w:lineRule="auto"/>
        <w:ind w:firstLine="420"/>
      </w:pPr>
      <w:r>
        <w:rPr>
          <w:rFonts w:hint="eastAsia"/>
        </w:rPr>
        <w:t>GB/T 228.1 金属材料 拉伸试验 第1部分：室温试验方法</w:t>
      </w:r>
    </w:p>
    <w:p w14:paraId="44D2C27C">
      <w:pPr>
        <w:pStyle w:val="56"/>
        <w:spacing w:line="360" w:lineRule="auto"/>
        <w:ind w:firstLine="420"/>
      </w:pPr>
      <w:r>
        <w:rPr>
          <w:rFonts w:hint="eastAsia"/>
        </w:rPr>
        <w:t>GB/T 700—2006 碳素结构钢</w:t>
      </w:r>
    </w:p>
    <w:p w14:paraId="00F57A64">
      <w:pPr>
        <w:pStyle w:val="56"/>
        <w:spacing w:line="360" w:lineRule="auto"/>
        <w:ind w:firstLine="420"/>
      </w:pPr>
      <w:r>
        <w:rPr>
          <w:rFonts w:hint="eastAsia"/>
        </w:rPr>
        <w:t>GB/T 1499.1 钢筋混凝土用钢 第1部分：热轧光圆钢筋</w:t>
      </w:r>
    </w:p>
    <w:p w14:paraId="114835EB">
      <w:pPr>
        <w:pStyle w:val="56"/>
        <w:spacing w:line="360" w:lineRule="auto"/>
        <w:ind w:firstLine="420"/>
      </w:pPr>
      <w:r>
        <w:rPr>
          <w:rFonts w:hint="eastAsia"/>
        </w:rPr>
        <w:t>GB/T 1499.2 钢筋混凝土用钢 第2部分：热轧带肋钢筋</w:t>
      </w:r>
    </w:p>
    <w:p w14:paraId="1ADADAD3">
      <w:pPr>
        <w:pStyle w:val="56"/>
        <w:spacing w:line="360" w:lineRule="auto"/>
        <w:ind w:firstLine="420"/>
      </w:pPr>
      <w:r>
        <w:rPr>
          <w:rFonts w:hint="eastAsia"/>
        </w:rPr>
        <w:t>GB/T 1596 用于水泥和混凝土中的粉煤灰</w:t>
      </w:r>
    </w:p>
    <w:p w14:paraId="51F02A4E">
      <w:pPr>
        <w:pStyle w:val="104"/>
        <w:spacing w:before="240" w:after="240" w:line="360" w:lineRule="auto"/>
      </w:pPr>
      <w:bookmarkStart w:id="48" w:name="_Toc97192966"/>
      <w:bookmarkStart w:id="49" w:name="_Toc228604097"/>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CEAF9FD">
          <w:pPr>
            <w:pStyle w:val="56"/>
            <w:spacing w:line="360" w:lineRule="auto"/>
            <w:ind w:firstLine="420"/>
          </w:pPr>
          <w:bookmarkStart w:id="50" w:name="_Toc26986532"/>
          <w:bookmarkEnd w:id="50"/>
          <w:r>
            <w:t>下列术语和定义适用于本文件。</w:t>
          </w:r>
        </w:p>
      </w:sdtContent>
    </w:sdt>
    <w:p w14:paraId="3A6BF49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水利工程材料 water conservancy engineering material</w:t>
      </w:r>
    </w:p>
    <w:p w14:paraId="6070CF3D">
      <w:pPr>
        <w:pStyle w:val="56"/>
        <w:spacing w:line="360" w:lineRule="auto"/>
        <w:ind w:firstLine="420"/>
      </w:pPr>
      <w:r>
        <w:rPr>
          <w:rFonts w:hint="eastAsia"/>
        </w:rPr>
        <w:t>用于水利工程建设、维修、加固和运行维护，并对工程实体质量、安全性能、耐久性能、功能发挥或运行维护产生影响的原材料、半成品、成品、构配件和辅助材料。</w:t>
      </w:r>
    </w:p>
    <w:p w14:paraId="29E40A8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材料质量控制 material quality control</w:t>
      </w:r>
    </w:p>
    <w:p w14:paraId="67EE103B">
      <w:pPr>
        <w:pStyle w:val="56"/>
        <w:spacing w:line="360" w:lineRule="auto"/>
        <w:ind w:firstLine="420"/>
      </w:pPr>
      <w:r>
        <w:rPr>
          <w:rFonts w:hint="eastAsia"/>
        </w:rPr>
        <w:t>对水利工程材料采购、进场、验收、抽样、检测、储存、使用、追溯和不合格处置等环节实施质量管理和技术控制的活动。</w:t>
      </w:r>
    </w:p>
    <w:p w14:paraId="77C5176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进场验收 incoming acceptance</w:t>
      </w:r>
    </w:p>
    <w:p w14:paraId="6647927C">
      <w:pPr>
        <w:pStyle w:val="56"/>
        <w:spacing w:line="360" w:lineRule="auto"/>
        <w:ind w:firstLine="420"/>
      </w:pPr>
      <w:r>
        <w:rPr>
          <w:rFonts w:hint="eastAsia"/>
        </w:rPr>
        <w:t>材料进入施工现场、加工场、仓储场所或工程使用区域后，由相关责任主体对材料外观、规格、数量、标识、质量证明文件、批次信息和适用性进行核查确认的活动。</w:t>
      </w:r>
    </w:p>
    <w:p w14:paraId="33A445B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质量证明文件 quality certification document</w:t>
      </w:r>
    </w:p>
    <w:p w14:paraId="58114D36">
      <w:pPr>
        <w:pStyle w:val="56"/>
        <w:spacing w:line="360" w:lineRule="auto"/>
        <w:ind w:firstLine="420"/>
      </w:pPr>
      <w:r>
        <w:rPr>
          <w:rFonts w:hint="eastAsia"/>
        </w:rPr>
        <w:t>由材料生产单位、供应单位、检测单位或其他责任主体提供的，用于证明材料来源、规格型号、性能指标、检验结果和质量状态的文件。</w:t>
      </w:r>
    </w:p>
    <w:p w14:paraId="6FC2901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见证取样 witnessed sampling</w:t>
      </w:r>
    </w:p>
    <w:p w14:paraId="1A6A0D2E">
      <w:pPr>
        <w:pStyle w:val="56"/>
        <w:spacing w:line="360" w:lineRule="auto"/>
        <w:ind w:firstLine="420"/>
      </w:pPr>
      <w:r>
        <w:rPr>
          <w:rFonts w:hint="eastAsia"/>
        </w:rPr>
        <w:t>在监理单位或建设单位见证人员监督下，由取样人员按规定方法从进场材料或工程实体中抽取样品，并送至检测机构进行检测的活动。</w:t>
      </w:r>
    </w:p>
    <w:p w14:paraId="199BE23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复验 retest</w:t>
      </w:r>
    </w:p>
    <w:p w14:paraId="4AAA6964">
      <w:pPr>
        <w:pStyle w:val="56"/>
        <w:spacing w:line="360" w:lineRule="auto"/>
        <w:ind w:firstLine="420"/>
      </w:pPr>
      <w:r>
        <w:rPr>
          <w:rFonts w:hint="eastAsia"/>
        </w:rPr>
        <w:t>材料进场后，按规定频次、批量或风险要求对材料性能进行再次检验，以确认其是否满足设计、标准和合同要求的活动。</w:t>
      </w:r>
    </w:p>
    <w:p w14:paraId="5BE9766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检验批 inspection lot</w:t>
      </w:r>
    </w:p>
    <w:p w14:paraId="624FB4F3">
      <w:pPr>
        <w:pStyle w:val="56"/>
        <w:spacing w:line="360" w:lineRule="auto"/>
        <w:ind w:firstLine="420"/>
      </w:pPr>
      <w:r>
        <w:rPr>
          <w:rFonts w:hint="eastAsia"/>
        </w:rPr>
        <w:t>由同一来源、同一品种、同一规格、同一批次或按规定条件划分，并按同一质量要求进行验收和检测的一组材料。</w:t>
      </w:r>
    </w:p>
    <w:p w14:paraId="23CEB2C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批次管理 batch management</w:t>
      </w:r>
    </w:p>
    <w:p w14:paraId="7F9E6F64">
      <w:pPr>
        <w:pStyle w:val="56"/>
        <w:spacing w:line="360" w:lineRule="auto"/>
        <w:ind w:firstLine="420"/>
      </w:pPr>
      <w:r>
        <w:rPr>
          <w:rFonts w:hint="eastAsia"/>
        </w:rPr>
        <w:t>对材料生产批号、进场批号、验收批号、检测批号、使用部位和质量状态进行识别、记录和控制的管理活动。</w:t>
      </w:r>
    </w:p>
    <w:p w14:paraId="170EF18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不合格材料 nonconforming material</w:t>
      </w:r>
    </w:p>
    <w:p w14:paraId="5A2AC12C">
      <w:pPr>
        <w:pStyle w:val="56"/>
        <w:spacing w:line="360" w:lineRule="auto"/>
        <w:ind w:firstLine="420"/>
      </w:pPr>
      <w:r>
        <w:rPr>
          <w:rFonts w:hint="eastAsia"/>
        </w:rPr>
        <w:t>经进场验收、试验检测、现场检查或使用过程核查确认，不满足设计文件、产品标准、施工规范、合同要求或工程使用条件的材料。</w:t>
      </w:r>
    </w:p>
    <w:p w14:paraId="316BDF73">
      <w:pPr>
        <w:pStyle w:val="104"/>
        <w:spacing w:before="240" w:after="240" w:line="360" w:lineRule="auto"/>
      </w:pPr>
      <w:bookmarkStart w:id="51" w:name="_Toc228604098"/>
      <w:r>
        <w:rPr>
          <w:rFonts w:hint="eastAsia"/>
        </w:rPr>
        <w:t>基本要求</w:t>
      </w:r>
      <w:bookmarkEnd w:id="51"/>
    </w:p>
    <w:p w14:paraId="32979DB8">
      <w:pPr>
        <w:pStyle w:val="105"/>
        <w:spacing w:before="120" w:after="120" w:line="360" w:lineRule="auto"/>
      </w:pPr>
      <w:r>
        <w:rPr>
          <w:rFonts w:hint="eastAsia"/>
        </w:rPr>
        <w:t>总体要求</w:t>
      </w:r>
    </w:p>
    <w:p w14:paraId="3F8D3D64">
      <w:pPr>
        <w:pStyle w:val="165"/>
        <w:spacing w:line="360" w:lineRule="auto"/>
      </w:pPr>
      <w:r>
        <w:rPr>
          <w:rFonts w:hint="eastAsia"/>
        </w:rPr>
        <w:t>水利工程材料质量控制应坚持源头控制、分类管理、批次清晰、检验有效、过程受控、责任明确、资料完整和闭环处置的原则。</w:t>
      </w:r>
    </w:p>
    <w:p w14:paraId="43CDF2B5">
      <w:pPr>
        <w:pStyle w:val="165"/>
        <w:spacing w:line="360" w:lineRule="auto"/>
      </w:pPr>
      <w:r>
        <w:rPr>
          <w:rFonts w:hint="eastAsia"/>
        </w:rPr>
        <w:t>工程材料应符合设计文件、合同文件、产品标准、施工规范和工程使用条件要求。</w:t>
      </w:r>
    </w:p>
    <w:p w14:paraId="3FB6BBFA">
      <w:pPr>
        <w:pStyle w:val="165"/>
        <w:spacing w:line="360" w:lineRule="auto"/>
      </w:pPr>
      <w:r>
        <w:rPr>
          <w:rFonts w:hint="eastAsia"/>
        </w:rPr>
        <w:t>材料质量控制应覆盖采购、供应、运输、进场、验收、抽样、检测、储存、领用、加工、使用、退场、处置和归档全过程。</w:t>
      </w:r>
    </w:p>
    <w:p w14:paraId="64A4ACCB">
      <w:pPr>
        <w:pStyle w:val="165"/>
        <w:spacing w:line="360" w:lineRule="auto"/>
      </w:pPr>
      <w:r>
        <w:rPr>
          <w:rFonts w:hint="eastAsia"/>
        </w:rPr>
        <w:t>关键材料进场前应明确质量标准、验收项目、检验批划分、复验频次、储存条件、使用部位和追溯要求。</w:t>
      </w:r>
    </w:p>
    <w:p w14:paraId="553A8850">
      <w:pPr>
        <w:pStyle w:val="165"/>
        <w:spacing w:line="360" w:lineRule="auto"/>
      </w:pPr>
      <w:r>
        <w:rPr>
          <w:rFonts w:hint="eastAsia"/>
        </w:rPr>
        <w:t>未经进场验收、质量证明文件不完整、复验结果不合格、质量状态不明或不符合设计要求的材料，不得用于工程实体。</w:t>
      </w:r>
    </w:p>
    <w:p w14:paraId="4060C708">
      <w:pPr>
        <w:pStyle w:val="165"/>
        <w:spacing w:line="360" w:lineRule="auto"/>
      </w:pPr>
      <w:r>
        <w:rPr>
          <w:rFonts w:hint="eastAsia"/>
        </w:rPr>
        <w:t>材料质量证明文件、进场验收记录、检测报告、领用记录和使用部位记录应相互对应，不得出现批次不清、资料不符、使用去向不明等情形。</w:t>
      </w:r>
    </w:p>
    <w:p w14:paraId="7EC4B71B">
      <w:pPr>
        <w:pStyle w:val="165"/>
        <w:spacing w:line="360" w:lineRule="auto"/>
      </w:pPr>
      <w:r>
        <w:rPr>
          <w:rFonts w:hint="eastAsia"/>
        </w:rPr>
        <w:t>材料抽样、送检、检测和结果判定应按规定程序实施。不得伪造样品、调换样品、代签记录、篡改检测数据或使用虚假检测报告。</w:t>
      </w:r>
    </w:p>
    <w:p w14:paraId="4233EB41">
      <w:pPr>
        <w:pStyle w:val="165"/>
        <w:spacing w:line="360" w:lineRule="auto"/>
      </w:pPr>
      <w:r>
        <w:rPr>
          <w:rFonts w:hint="eastAsia"/>
        </w:rPr>
        <w:t>材料储存、保管和防护应符合材料特性和产品要求，防止受潮、污染、锈蚀、混杂、损坏、变质或性能降低。</w:t>
      </w:r>
    </w:p>
    <w:p w14:paraId="70AC358F">
      <w:pPr>
        <w:pStyle w:val="165"/>
        <w:spacing w:line="360" w:lineRule="auto"/>
      </w:pPr>
      <w:r>
        <w:rPr>
          <w:rFonts w:hint="eastAsia"/>
        </w:rPr>
        <w:t>不合格材料应隔离、标识、记录和处置，不得与合格材料混放、混用，不得未经批准降级使用。</w:t>
      </w:r>
    </w:p>
    <w:p w14:paraId="38D795FC">
      <w:pPr>
        <w:pStyle w:val="165"/>
        <w:spacing w:line="360" w:lineRule="auto"/>
      </w:pPr>
      <w:r>
        <w:rPr>
          <w:rFonts w:hint="eastAsia"/>
        </w:rPr>
        <w:t>材料质量控制资料应真实、完整、及时、清晰、可追溯，并应纳入工程质量资料管理。</w:t>
      </w:r>
    </w:p>
    <w:p w14:paraId="76C3BA1B">
      <w:pPr>
        <w:pStyle w:val="105"/>
        <w:spacing w:before="120" w:after="120" w:line="360" w:lineRule="auto"/>
      </w:pPr>
      <w:r>
        <w:rPr>
          <w:rFonts w:hint="eastAsia"/>
        </w:rPr>
        <w:t>分类控制要求</w:t>
      </w:r>
    </w:p>
    <w:p w14:paraId="7CAF9A26">
      <w:pPr>
        <w:pStyle w:val="165"/>
        <w:spacing w:line="360" w:lineRule="auto"/>
      </w:pPr>
      <w:r>
        <w:rPr>
          <w:rFonts w:hint="eastAsia"/>
        </w:rPr>
        <w:t>水利工程材料应按材料类别、使用功能、质量风险和影响程度实施分类控制。</w:t>
      </w:r>
    </w:p>
    <w:p w14:paraId="268561AE">
      <w:pPr>
        <w:pStyle w:val="165"/>
        <w:spacing w:line="360" w:lineRule="auto"/>
      </w:pPr>
      <w:r>
        <w:rPr>
          <w:rFonts w:hint="eastAsia"/>
        </w:rPr>
        <w:t>对结构安全、防渗止水、基础处理、压力输水、金属结构、机电安装和耐久性影响较大的材料，应作为重点控制对象。</w:t>
      </w:r>
    </w:p>
    <w:p w14:paraId="55440B91">
      <w:pPr>
        <w:pStyle w:val="165"/>
        <w:spacing w:line="360" w:lineRule="auto"/>
      </w:pPr>
      <w:r>
        <w:rPr>
          <w:rFonts w:hint="eastAsia"/>
        </w:rPr>
        <w:t>对同一工程不同部位使用的同类材料，应根据设计等级、受力条件、环境作用和耐久性要求分别控制。</w:t>
      </w:r>
    </w:p>
    <w:p w14:paraId="7DD7ADBD">
      <w:pPr>
        <w:pStyle w:val="165"/>
        <w:spacing w:line="360" w:lineRule="auto"/>
      </w:pPr>
      <w:r>
        <w:rPr>
          <w:rFonts w:hint="eastAsia"/>
        </w:rPr>
        <w:t>对新材料、新工艺配套材料、无成熟工程应用经验的材料，应在使用前完成技术论证、适用性评价和必要试验验证。</w:t>
      </w:r>
    </w:p>
    <w:p w14:paraId="392CFADC">
      <w:pPr>
        <w:pStyle w:val="165"/>
        <w:spacing w:line="360" w:lineRule="auto"/>
      </w:pPr>
      <w:r>
        <w:rPr>
          <w:rFonts w:hint="eastAsia"/>
        </w:rPr>
        <w:t>对来源不稳定、历史质量波动大、现场储存要求高或易受环境影响的材料，应提高验收、抽检和过程检查频次。</w:t>
      </w:r>
    </w:p>
    <w:p w14:paraId="63560870">
      <w:pPr>
        <w:pStyle w:val="105"/>
        <w:spacing w:before="120" w:after="120" w:line="360" w:lineRule="auto"/>
      </w:pPr>
      <w:r>
        <w:rPr>
          <w:rFonts w:hint="eastAsia"/>
        </w:rPr>
        <w:t>检验批管理要求</w:t>
      </w:r>
    </w:p>
    <w:p w14:paraId="573F7960">
      <w:pPr>
        <w:pStyle w:val="165"/>
        <w:spacing w:line="360" w:lineRule="auto"/>
      </w:pPr>
      <w:r>
        <w:rPr>
          <w:rFonts w:hint="eastAsia"/>
        </w:rPr>
        <w:t>材料应按品种、规格、生产厂家、进场时间、生产批号和质量状态划分检验批。</w:t>
      </w:r>
    </w:p>
    <w:p w14:paraId="24A6F991">
      <w:pPr>
        <w:pStyle w:val="165"/>
        <w:spacing w:line="360" w:lineRule="auto"/>
      </w:pPr>
      <w:r>
        <w:rPr>
          <w:rFonts w:hint="eastAsia"/>
        </w:rPr>
        <w:t>检验批划分应满足抽样检测、使用追溯和质量验收要求。</w:t>
      </w:r>
    </w:p>
    <w:p w14:paraId="6904C7C0">
      <w:pPr>
        <w:pStyle w:val="165"/>
        <w:spacing w:line="360" w:lineRule="auto"/>
      </w:pPr>
      <w:r>
        <w:rPr>
          <w:rFonts w:hint="eastAsia"/>
        </w:rPr>
        <w:t>不同品种、不同规格、不同批号或不同质量状态的材料不得合并为同一检验批。</w:t>
      </w:r>
    </w:p>
    <w:p w14:paraId="1C61EAB3">
      <w:pPr>
        <w:pStyle w:val="165"/>
        <w:spacing w:line="360" w:lineRule="auto"/>
      </w:pPr>
      <w:r>
        <w:rPr>
          <w:rFonts w:hint="eastAsia"/>
        </w:rPr>
        <w:t>检验批信息应在材料台账、取样记录、检测报告和使用记录中保持一致。</w:t>
      </w:r>
    </w:p>
    <w:p w14:paraId="03C557B4">
      <w:pPr>
        <w:pStyle w:val="165"/>
        <w:spacing w:line="360" w:lineRule="auto"/>
      </w:pPr>
      <w:r>
        <w:rPr>
          <w:rFonts w:hint="eastAsia"/>
        </w:rPr>
        <w:t>检验批发生拆分使用时，应记录各分批材料的使用部位和使用数量。</w:t>
      </w:r>
    </w:p>
    <w:p w14:paraId="000EC785">
      <w:pPr>
        <w:pStyle w:val="165"/>
        <w:numPr>
          <w:ilvl w:val="0"/>
          <w:numId w:val="0"/>
        </w:numPr>
        <w:spacing w:line="360" w:lineRule="auto"/>
      </w:pPr>
    </w:p>
    <w:p w14:paraId="6EDB43D5">
      <w:pPr>
        <w:pStyle w:val="105"/>
        <w:spacing w:before="120" w:after="120" w:line="360" w:lineRule="auto"/>
      </w:pPr>
      <w:r>
        <w:rPr>
          <w:rFonts w:hint="eastAsia"/>
        </w:rPr>
        <w:t>质量状态管理要求</w:t>
      </w:r>
    </w:p>
    <w:p w14:paraId="0A0F813F">
      <w:pPr>
        <w:pStyle w:val="165"/>
        <w:spacing w:line="360" w:lineRule="auto"/>
      </w:pPr>
      <w:r>
        <w:rPr>
          <w:rFonts w:hint="eastAsia"/>
        </w:rPr>
        <w:t>材料质量状态应分为待验、待检、合格、不合格、复检中、退场和限制使用等状态。</w:t>
      </w:r>
    </w:p>
    <w:p w14:paraId="524065F5">
      <w:pPr>
        <w:pStyle w:val="165"/>
        <w:spacing w:line="360" w:lineRule="auto"/>
      </w:pPr>
      <w:r>
        <w:rPr>
          <w:rFonts w:hint="eastAsia"/>
        </w:rPr>
        <w:t>材料进场后应及时设置质量状态标识。</w:t>
      </w:r>
    </w:p>
    <w:p w14:paraId="52F0BEA8">
      <w:pPr>
        <w:pStyle w:val="165"/>
        <w:spacing w:line="360" w:lineRule="auto"/>
      </w:pPr>
      <w:r>
        <w:rPr>
          <w:rFonts w:hint="eastAsia"/>
        </w:rPr>
        <w:t>待验、待检、复检中和质量状态不明的材料不得投入工程使用。</w:t>
      </w:r>
    </w:p>
    <w:p w14:paraId="39EE5B88">
      <w:pPr>
        <w:pStyle w:val="165"/>
        <w:spacing w:line="360" w:lineRule="auto"/>
      </w:pPr>
      <w:r>
        <w:rPr>
          <w:rFonts w:hint="eastAsia"/>
        </w:rPr>
        <w:t>材料质量状态发生变化时，应同步更新标识、台账和平台信息。</w:t>
      </w:r>
    </w:p>
    <w:p w14:paraId="3B84CF7F">
      <w:pPr>
        <w:pStyle w:val="165"/>
        <w:spacing w:line="360" w:lineRule="auto"/>
      </w:pPr>
      <w:r>
        <w:rPr>
          <w:rFonts w:hint="eastAsia"/>
        </w:rPr>
        <w:t>质量状态标识应清晰、醒目、准确，不得人为涂改、遮挡或移除。</w:t>
      </w:r>
    </w:p>
    <w:p w14:paraId="6846E383">
      <w:pPr>
        <w:pStyle w:val="105"/>
        <w:spacing w:before="120" w:after="120" w:line="360" w:lineRule="auto"/>
      </w:pPr>
      <w:r>
        <w:rPr>
          <w:rFonts w:hint="eastAsia"/>
        </w:rPr>
        <w:t>信息化管理要求</w:t>
      </w:r>
    </w:p>
    <w:p w14:paraId="5B0C3064">
      <w:pPr>
        <w:pStyle w:val="165"/>
        <w:spacing w:line="360" w:lineRule="auto"/>
      </w:pPr>
      <w:r>
        <w:rPr>
          <w:rFonts w:hint="eastAsia"/>
        </w:rPr>
        <w:t>具备条件的工程宜采用信息化系统对材料采购、进场、验收、检测、储存、领用、使用和处置进行管理。</w:t>
      </w:r>
    </w:p>
    <w:p w14:paraId="61CD8A1B">
      <w:pPr>
        <w:pStyle w:val="165"/>
        <w:spacing w:line="360" w:lineRule="auto"/>
      </w:pPr>
      <w:r>
        <w:rPr>
          <w:rFonts w:hint="eastAsia"/>
        </w:rPr>
        <w:t>信息化系统应支持材料台账、批次管理、检测报告关联、使用部位追溯、不合格处置和资料归档。</w:t>
      </w:r>
    </w:p>
    <w:p w14:paraId="7305ABE7">
      <w:pPr>
        <w:pStyle w:val="165"/>
        <w:spacing w:line="360" w:lineRule="auto"/>
      </w:pPr>
      <w:r>
        <w:rPr>
          <w:rFonts w:hint="eastAsia"/>
        </w:rPr>
        <w:t>关键材料宜采用二维码、条码、电子标签或其他方式实现批次识别和流向追踪。</w:t>
      </w:r>
    </w:p>
    <w:p w14:paraId="1F6A6CAF">
      <w:pPr>
        <w:pStyle w:val="165"/>
        <w:spacing w:line="360" w:lineRule="auto"/>
      </w:pPr>
      <w:r>
        <w:rPr>
          <w:rFonts w:hint="eastAsia"/>
        </w:rPr>
        <w:t>信息系统数据应与纸质资料、实物标识和现场使用情况一致。</w:t>
      </w:r>
    </w:p>
    <w:p w14:paraId="13ADDB3A">
      <w:pPr>
        <w:pStyle w:val="165"/>
        <w:spacing w:line="360" w:lineRule="auto"/>
      </w:pPr>
      <w:r>
        <w:rPr>
          <w:rFonts w:hint="eastAsia"/>
        </w:rPr>
        <w:t>信息系统数据修改应保留修改记录，不得直接覆盖原始质量信息。</w:t>
      </w:r>
    </w:p>
    <w:p w14:paraId="528F8BD0">
      <w:pPr>
        <w:pStyle w:val="104"/>
        <w:spacing w:before="240" w:after="240" w:line="360" w:lineRule="auto"/>
      </w:pPr>
      <w:bookmarkStart w:id="52" w:name="_Toc228604099"/>
      <w:r>
        <w:rPr>
          <w:rFonts w:hint="eastAsia"/>
        </w:rPr>
        <w:t>组织与职责</w:t>
      </w:r>
      <w:bookmarkEnd w:id="52"/>
    </w:p>
    <w:p w14:paraId="559B093E">
      <w:pPr>
        <w:pStyle w:val="105"/>
        <w:spacing w:before="120" w:after="120" w:line="360" w:lineRule="auto"/>
      </w:pPr>
      <w:r>
        <w:rPr>
          <w:rFonts w:hint="eastAsia"/>
        </w:rPr>
        <w:t>一般要求</w:t>
      </w:r>
    </w:p>
    <w:p w14:paraId="1E10CFA4">
      <w:pPr>
        <w:pStyle w:val="165"/>
        <w:spacing w:line="360" w:lineRule="auto"/>
      </w:pPr>
      <w:r>
        <w:rPr>
          <w:rFonts w:hint="eastAsia"/>
        </w:rPr>
        <w:t>水利工程材料质量控制应建立建设单位、施工单位、监理单位、检测单位、材料供应单位和相关管理单位共同参与的责任体系。</w:t>
      </w:r>
    </w:p>
    <w:p w14:paraId="78B2B404">
      <w:pPr>
        <w:pStyle w:val="165"/>
        <w:spacing w:line="360" w:lineRule="auto"/>
      </w:pPr>
      <w:r>
        <w:rPr>
          <w:rFonts w:hint="eastAsia"/>
        </w:rPr>
        <w:t>各责任主体应明确材料质量控制职责、工作流程、记录要求和责任边界。</w:t>
      </w:r>
    </w:p>
    <w:p w14:paraId="73DD3DBE">
      <w:pPr>
        <w:pStyle w:val="165"/>
        <w:spacing w:line="360" w:lineRule="auto"/>
      </w:pPr>
      <w:r>
        <w:rPr>
          <w:rFonts w:hint="eastAsia"/>
        </w:rPr>
        <w:t>材料质量控制岗位人员应熟悉材料质量要求、验收程序、取样方法、检测项目、储存要求和不合格处置流程。</w:t>
      </w:r>
    </w:p>
    <w:p w14:paraId="713C6F70">
      <w:pPr>
        <w:pStyle w:val="165"/>
        <w:spacing w:line="360" w:lineRule="auto"/>
      </w:pPr>
      <w:r>
        <w:rPr>
          <w:rFonts w:hint="eastAsia"/>
        </w:rPr>
        <w:t>关键材料进场、取样、验收、复验和不合格处置应由相应责任主体按规定实施，不得由无授权人员代签、代验或代送检。</w:t>
      </w:r>
    </w:p>
    <w:p w14:paraId="36030393">
      <w:pPr>
        <w:pStyle w:val="105"/>
        <w:spacing w:before="120" w:after="120" w:line="360" w:lineRule="auto"/>
      </w:pPr>
      <w:r>
        <w:rPr>
          <w:rFonts w:hint="eastAsia"/>
        </w:rPr>
        <w:t>建设单位职责</w:t>
      </w:r>
    </w:p>
    <w:p w14:paraId="0406C554">
      <w:pPr>
        <w:pStyle w:val="165"/>
        <w:spacing w:line="360" w:lineRule="auto"/>
      </w:pPr>
      <w:r>
        <w:rPr>
          <w:rFonts w:hint="eastAsia"/>
        </w:rPr>
        <w:t>建设单位应在合同文件和管理文件中明确材料质量控制要求。</w:t>
      </w:r>
    </w:p>
    <w:p w14:paraId="55E08C21">
      <w:pPr>
        <w:pStyle w:val="165"/>
        <w:spacing w:line="360" w:lineRule="auto"/>
      </w:pPr>
      <w:r>
        <w:rPr>
          <w:rFonts w:hint="eastAsia"/>
        </w:rPr>
        <w:t>建设单位应督促施工单位、监理单位、检测单位和供应单位落实材料质量责任。</w:t>
      </w:r>
    </w:p>
    <w:p w14:paraId="3DDF5CA5">
      <w:pPr>
        <w:pStyle w:val="165"/>
        <w:spacing w:line="360" w:lineRule="auto"/>
      </w:pPr>
      <w:r>
        <w:rPr>
          <w:rFonts w:hint="eastAsia"/>
        </w:rPr>
        <w:t>建设单位应组织或参与关键材料质量控制制度审查、重大材料质量问题处置和质量风险协调。</w:t>
      </w:r>
    </w:p>
    <w:p w14:paraId="29C65AA6">
      <w:pPr>
        <w:pStyle w:val="165"/>
        <w:spacing w:line="360" w:lineRule="auto"/>
      </w:pPr>
      <w:r>
        <w:rPr>
          <w:rFonts w:hint="eastAsia"/>
        </w:rPr>
        <w:t>建设单位发现材料质量控制存在重大缺陷时，应要求责任单位整改，并应跟踪整改结果。</w:t>
      </w:r>
    </w:p>
    <w:p w14:paraId="74DF359E">
      <w:pPr>
        <w:pStyle w:val="165"/>
        <w:spacing w:line="360" w:lineRule="auto"/>
      </w:pPr>
      <w:r>
        <w:rPr>
          <w:rFonts w:hint="eastAsia"/>
        </w:rPr>
        <w:t>建设单位不得明示或暗示施工单位使用不符合要求的材料。</w:t>
      </w:r>
    </w:p>
    <w:p w14:paraId="14729768">
      <w:pPr>
        <w:pStyle w:val="165"/>
        <w:numPr>
          <w:ilvl w:val="0"/>
          <w:numId w:val="0"/>
        </w:numPr>
        <w:spacing w:line="360" w:lineRule="auto"/>
      </w:pPr>
    </w:p>
    <w:p w14:paraId="0207B5CD">
      <w:pPr>
        <w:pStyle w:val="105"/>
        <w:spacing w:before="120" w:after="120" w:line="360" w:lineRule="auto"/>
      </w:pPr>
      <w:r>
        <w:rPr>
          <w:rFonts w:hint="eastAsia"/>
        </w:rPr>
        <w:t>施工单位职责</w:t>
      </w:r>
    </w:p>
    <w:p w14:paraId="406A4DBC">
      <w:pPr>
        <w:pStyle w:val="165"/>
        <w:spacing w:line="360" w:lineRule="auto"/>
      </w:pPr>
      <w:r>
        <w:rPr>
          <w:rFonts w:hint="eastAsia"/>
        </w:rPr>
        <w:t>施工单位应对材料采购、进场验收、储存保管、取样送检、使用控制、不合格处置和资料管理承担直接责任。</w:t>
      </w:r>
    </w:p>
    <w:p w14:paraId="11C22CAA">
      <w:pPr>
        <w:pStyle w:val="165"/>
        <w:spacing w:line="360" w:lineRule="auto"/>
      </w:pPr>
      <w:r>
        <w:rPr>
          <w:rFonts w:hint="eastAsia"/>
        </w:rPr>
        <w:t>施工单位应建立材料质量管理制度、供应商管理制度、材料台账和材料追溯机制。</w:t>
      </w:r>
    </w:p>
    <w:p w14:paraId="44E2D9D4">
      <w:pPr>
        <w:pStyle w:val="165"/>
        <w:spacing w:line="360" w:lineRule="auto"/>
      </w:pPr>
      <w:r>
        <w:rPr>
          <w:rFonts w:hint="eastAsia"/>
        </w:rPr>
        <w:t>施工单位应在材料进场前核查供应商、材料标准、质量证明文件和运输防护要求。</w:t>
      </w:r>
    </w:p>
    <w:p w14:paraId="1059738C">
      <w:pPr>
        <w:pStyle w:val="165"/>
        <w:spacing w:line="360" w:lineRule="auto"/>
      </w:pPr>
      <w:r>
        <w:rPr>
          <w:rFonts w:hint="eastAsia"/>
        </w:rPr>
        <w:t>施工单位应对进场材料进行自检，并应配合监理单位开展验收和见证取样。</w:t>
      </w:r>
    </w:p>
    <w:p w14:paraId="21B40848">
      <w:pPr>
        <w:pStyle w:val="165"/>
        <w:spacing w:line="360" w:lineRule="auto"/>
      </w:pPr>
      <w:r>
        <w:rPr>
          <w:rFonts w:hint="eastAsia"/>
        </w:rPr>
        <w:t>施工单位不得将未经检验或检验不合格的材料用于工程实体。</w:t>
      </w:r>
    </w:p>
    <w:p w14:paraId="48E2397D">
      <w:pPr>
        <w:pStyle w:val="105"/>
        <w:spacing w:before="120" w:after="120" w:line="360" w:lineRule="auto"/>
      </w:pPr>
      <w:r>
        <w:rPr>
          <w:rFonts w:hint="eastAsia"/>
        </w:rPr>
        <w:t>监理单位职责</w:t>
      </w:r>
    </w:p>
    <w:p w14:paraId="6878A0E8">
      <w:pPr>
        <w:pStyle w:val="165"/>
        <w:spacing w:line="360" w:lineRule="auto"/>
      </w:pPr>
      <w:r>
        <w:rPr>
          <w:rFonts w:hint="eastAsia"/>
        </w:rPr>
        <w:t>监理单位应对工程材料进场验收、见证取样、检测结果核查、使用审批和不合格材料处置实施监督。</w:t>
      </w:r>
    </w:p>
    <w:p w14:paraId="03176C62">
      <w:pPr>
        <w:pStyle w:val="165"/>
        <w:spacing w:line="360" w:lineRule="auto"/>
      </w:pPr>
      <w:r>
        <w:rPr>
          <w:rFonts w:hint="eastAsia"/>
        </w:rPr>
        <w:t>监理单位应审查施工单位报送的材料质量证明文件、进场验收记录、检测报告和材料使用计划。</w:t>
      </w:r>
    </w:p>
    <w:p w14:paraId="523903E7">
      <w:pPr>
        <w:pStyle w:val="165"/>
        <w:spacing w:line="360" w:lineRule="auto"/>
      </w:pPr>
      <w:r>
        <w:rPr>
          <w:rFonts w:hint="eastAsia"/>
        </w:rPr>
        <w:t>监理单位应按规定实施见证取样和送检见证。</w:t>
      </w:r>
    </w:p>
    <w:p w14:paraId="6B96486E">
      <w:pPr>
        <w:pStyle w:val="165"/>
        <w:spacing w:line="360" w:lineRule="auto"/>
      </w:pPr>
      <w:r>
        <w:rPr>
          <w:rFonts w:hint="eastAsia"/>
        </w:rPr>
        <w:t>监理单位发现材料质量不符合要求、质量证明文件不完整或检测结果异常时，应要求施工单位暂停使用并处置。</w:t>
      </w:r>
    </w:p>
    <w:p w14:paraId="752A611C">
      <w:pPr>
        <w:pStyle w:val="165"/>
        <w:spacing w:line="360" w:lineRule="auto"/>
      </w:pPr>
      <w:r>
        <w:rPr>
          <w:rFonts w:hint="eastAsia"/>
        </w:rPr>
        <w:t>监理单位不得对不符合要求的材料签认合格。</w:t>
      </w:r>
    </w:p>
    <w:p w14:paraId="256CFED4">
      <w:pPr>
        <w:pStyle w:val="105"/>
        <w:spacing w:before="120" w:after="120" w:line="360" w:lineRule="auto"/>
      </w:pPr>
      <w:r>
        <w:rPr>
          <w:rFonts w:hint="eastAsia"/>
        </w:rPr>
        <w:t>检测单位职责</w:t>
      </w:r>
    </w:p>
    <w:p w14:paraId="752D0006">
      <w:pPr>
        <w:pStyle w:val="165"/>
        <w:spacing w:line="360" w:lineRule="auto"/>
      </w:pPr>
      <w:r>
        <w:rPr>
          <w:rFonts w:hint="eastAsia"/>
        </w:rPr>
        <w:t>检测单位应按照委托要求、检测标准和质量管理要求开展材料检测。</w:t>
      </w:r>
    </w:p>
    <w:p w14:paraId="34907E2A">
      <w:pPr>
        <w:pStyle w:val="165"/>
        <w:spacing w:line="360" w:lineRule="auto"/>
      </w:pPr>
      <w:r>
        <w:rPr>
          <w:rFonts w:hint="eastAsia"/>
        </w:rPr>
        <w:t>检测单位应对样品接收、样品编号、检测方法、检测过程、检测数据和检测报告真实性负责。</w:t>
      </w:r>
    </w:p>
    <w:p w14:paraId="3D4F4C01">
      <w:pPr>
        <w:pStyle w:val="165"/>
        <w:spacing w:line="360" w:lineRule="auto"/>
      </w:pPr>
      <w:r>
        <w:rPr>
          <w:rFonts w:hint="eastAsia"/>
        </w:rPr>
        <w:t>检测单位发现样品状态异常、委托信息不完整或检测结果异常时，应及时告知委托方并记录。</w:t>
      </w:r>
    </w:p>
    <w:p w14:paraId="3E7170F8">
      <w:pPr>
        <w:pStyle w:val="165"/>
        <w:spacing w:line="360" w:lineRule="auto"/>
      </w:pPr>
      <w:r>
        <w:rPr>
          <w:rFonts w:hint="eastAsia"/>
        </w:rPr>
        <w:t>检测单位不得出具虚假检测报告，不得篡改检测数据。</w:t>
      </w:r>
    </w:p>
    <w:p w14:paraId="3F638B70">
      <w:pPr>
        <w:pStyle w:val="165"/>
        <w:spacing w:line="360" w:lineRule="auto"/>
      </w:pPr>
      <w:r>
        <w:rPr>
          <w:rFonts w:hint="eastAsia"/>
        </w:rPr>
        <w:t>检测报告应内容完整、结论明确，并应能追溯至样品编号、检测人员和检测设备。</w:t>
      </w:r>
    </w:p>
    <w:p w14:paraId="506AC43A">
      <w:pPr>
        <w:pStyle w:val="105"/>
        <w:spacing w:before="120" w:after="120" w:line="360" w:lineRule="auto"/>
      </w:pPr>
      <w:r>
        <w:rPr>
          <w:rFonts w:hint="eastAsia"/>
        </w:rPr>
        <w:t>材料供应单位职责</w:t>
      </w:r>
    </w:p>
    <w:p w14:paraId="571521AB">
      <w:pPr>
        <w:pStyle w:val="165"/>
        <w:spacing w:line="360" w:lineRule="auto"/>
      </w:pPr>
      <w:r>
        <w:rPr>
          <w:rFonts w:hint="eastAsia"/>
        </w:rPr>
        <w:t>材料供应单位应提供符合设计、标准和合同要求的材料。</w:t>
      </w:r>
    </w:p>
    <w:p w14:paraId="48AD8F2A">
      <w:pPr>
        <w:pStyle w:val="165"/>
        <w:spacing w:line="360" w:lineRule="auto"/>
      </w:pPr>
      <w:r>
        <w:rPr>
          <w:rFonts w:hint="eastAsia"/>
        </w:rPr>
        <w:t>材料供应单位应提供真实、完整、有效的质量证明文件。</w:t>
      </w:r>
    </w:p>
    <w:p w14:paraId="2D5B1D3F">
      <w:pPr>
        <w:pStyle w:val="165"/>
        <w:spacing w:line="360" w:lineRule="auto"/>
      </w:pPr>
      <w:r>
        <w:rPr>
          <w:rFonts w:hint="eastAsia"/>
        </w:rPr>
        <w:t>材料供应单位应保证材料包装、标识、运输和交付状态满足质量要求。</w:t>
      </w:r>
    </w:p>
    <w:p w14:paraId="41E61E23">
      <w:pPr>
        <w:pStyle w:val="165"/>
        <w:spacing w:line="360" w:lineRule="auto"/>
      </w:pPr>
      <w:r>
        <w:rPr>
          <w:rFonts w:hint="eastAsia"/>
        </w:rPr>
        <w:t>材料供应单位发现已供材料存在质量风险时，应及时告知采购单位和相关责任主体。</w:t>
      </w:r>
    </w:p>
    <w:p w14:paraId="2101E2D3">
      <w:pPr>
        <w:pStyle w:val="165"/>
        <w:spacing w:line="360" w:lineRule="auto"/>
      </w:pPr>
      <w:r>
        <w:rPr>
          <w:rFonts w:hint="eastAsia"/>
        </w:rPr>
        <w:t>材料供应单位不得以次充好、混批供货、伪造质量证明文件或隐瞒材料质量缺陷。</w:t>
      </w:r>
    </w:p>
    <w:p w14:paraId="4B5DC121">
      <w:pPr>
        <w:pStyle w:val="56"/>
        <w:ind w:firstLine="420"/>
      </w:pPr>
    </w:p>
    <w:p w14:paraId="1BBA0D65">
      <w:pPr>
        <w:pStyle w:val="56"/>
        <w:ind w:firstLine="420"/>
      </w:pPr>
    </w:p>
    <w:p w14:paraId="63C0AC79">
      <w:pPr>
        <w:pStyle w:val="56"/>
        <w:ind w:firstLine="420"/>
      </w:pPr>
    </w:p>
    <w:p w14:paraId="15CE8E70">
      <w:pPr>
        <w:pStyle w:val="56"/>
        <w:ind w:firstLine="420"/>
      </w:pPr>
    </w:p>
    <w:p w14:paraId="4856A077">
      <w:pPr>
        <w:pStyle w:val="56"/>
        <w:ind w:firstLine="420"/>
      </w:pPr>
    </w:p>
    <w:p w14:paraId="02B55AFE">
      <w:pPr>
        <w:pStyle w:val="104"/>
        <w:spacing w:before="240" w:after="240" w:line="360" w:lineRule="auto"/>
      </w:pPr>
      <w:bookmarkStart w:id="53" w:name="_Toc228604100"/>
      <w:r>
        <w:rPr>
          <w:rFonts w:hint="eastAsia"/>
        </w:rPr>
        <w:t>材料分类与控制要求</w:t>
      </w:r>
      <w:bookmarkEnd w:id="53"/>
    </w:p>
    <w:p w14:paraId="7DB6FC9C">
      <w:pPr>
        <w:pStyle w:val="105"/>
        <w:spacing w:before="120" w:after="120" w:line="360" w:lineRule="auto"/>
      </w:pPr>
      <w:r>
        <w:rPr>
          <w:rFonts w:hint="eastAsia"/>
        </w:rPr>
        <w:t>一般要求</w:t>
      </w:r>
    </w:p>
    <w:p w14:paraId="2DA80732">
      <w:pPr>
        <w:pStyle w:val="165"/>
        <w:spacing w:line="360" w:lineRule="auto"/>
      </w:pPr>
      <w:r>
        <w:rPr>
          <w:rFonts w:hint="eastAsia"/>
        </w:rPr>
        <w:t>水利工程材料应根据工程类型、结构部位、材料特性和质量风险确定控制重点。</w:t>
      </w:r>
    </w:p>
    <w:p w14:paraId="1434FF13">
      <w:pPr>
        <w:pStyle w:val="165"/>
        <w:spacing w:line="360" w:lineRule="auto"/>
      </w:pPr>
      <w:r>
        <w:rPr>
          <w:rFonts w:hint="eastAsia"/>
        </w:rPr>
        <w:t>材料控制应包括文件核查、外观检查、规格核查、抽样检测、储存检查、使用核查和追溯核查。</w:t>
      </w:r>
    </w:p>
    <w:p w14:paraId="7F2E9979">
      <w:pPr>
        <w:pStyle w:val="165"/>
        <w:spacing w:line="360" w:lineRule="auto"/>
      </w:pPr>
      <w:r>
        <w:rPr>
          <w:rFonts w:hint="eastAsia"/>
        </w:rPr>
        <w:t>主要材料质量控制项目宜按表1执行。</w:t>
      </w:r>
    </w:p>
    <w:p w14:paraId="305AD961">
      <w:pPr>
        <w:pStyle w:val="112"/>
        <w:spacing w:before="120" w:after="120" w:line="360" w:lineRule="auto"/>
      </w:pPr>
      <w:r>
        <w:rPr>
          <w:rFonts w:hint="eastAsia"/>
        </w:rPr>
        <w:t>水利工程主要材料质量控制要点</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4247"/>
        <w:gridCol w:w="3112"/>
      </w:tblGrid>
      <w:tr w14:paraId="500AC6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vAlign w:val="center"/>
          </w:tcPr>
          <w:p w14:paraId="2F4DF1C7">
            <w:pPr>
              <w:pStyle w:val="178"/>
            </w:pPr>
            <w:r>
              <w:rPr>
                <w:rFonts w:hint="eastAsia"/>
              </w:rPr>
              <w:t>材料类别</w:t>
            </w:r>
          </w:p>
        </w:tc>
        <w:tc>
          <w:tcPr>
            <w:tcW w:w="4247" w:type="dxa"/>
            <w:tcBorders>
              <w:top w:val="single" w:color="auto" w:sz="8" w:space="0"/>
              <w:bottom w:val="single" w:color="auto" w:sz="8" w:space="0"/>
            </w:tcBorders>
            <w:vAlign w:val="center"/>
          </w:tcPr>
          <w:p w14:paraId="5C413EFA">
            <w:pPr>
              <w:pStyle w:val="178"/>
            </w:pPr>
            <w:r>
              <w:rPr>
                <w:rFonts w:hint="eastAsia"/>
              </w:rPr>
              <w:t>主要控制内容</w:t>
            </w:r>
          </w:p>
        </w:tc>
        <w:tc>
          <w:tcPr>
            <w:tcW w:w="3112" w:type="dxa"/>
            <w:tcBorders>
              <w:top w:val="single" w:color="auto" w:sz="8" w:space="0"/>
              <w:bottom w:val="single" w:color="auto" w:sz="8" w:space="0"/>
            </w:tcBorders>
            <w:vAlign w:val="center"/>
          </w:tcPr>
          <w:p w14:paraId="4E19D4EF">
            <w:pPr>
              <w:pStyle w:val="178"/>
            </w:pPr>
            <w:r>
              <w:rPr>
                <w:rFonts w:hint="eastAsia"/>
              </w:rPr>
              <w:t>控制要求</w:t>
            </w:r>
          </w:p>
        </w:tc>
      </w:tr>
      <w:tr w14:paraId="7399C8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vAlign w:val="center"/>
          </w:tcPr>
          <w:p w14:paraId="485C5914">
            <w:pPr>
              <w:pStyle w:val="178"/>
            </w:pPr>
            <w:r>
              <w:rPr>
                <w:rFonts w:hint="eastAsia"/>
              </w:rPr>
              <w:t>水泥</w:t>
            </w:r>
          </w:p>
        </w:tc>
        <w:tc>
          <w:tcPr>
            <w:tcW w:w="4247" w:type="dxa"/>
            <w:tcBorders>
              <w:top w:val="single" w:color="auto" w:sz="8" w:space="0"/>
            </w:tcBorders>
            <w:vAlign w:val="center"/>
          </w:tcPr>
          <w:p w14:paraId="2C08EE31">
            <w:pPr>
              <w:pStyle w:val="178"/>
            </w:pPr>
            <w:r>
              <w:rPr>
                <w:rFonts w:hint="eastAsia"/>
              </w:rPr>
              <w:t>品种、强度等级、安定性、凝结时间、出厂日期、</w:t>
            </w:r>
          </w:p>
          <w:p w14:paraId="19D2403D">
            <w:pPr>
              <w:pStyle w:val="178"/>
            </w:pPr>
            <w:r>
              <w:rPr>
                <w:rFonts w:hint="eastAsia"/>
              </w:rPr>
              <w:t>复验结果</w:t>
            </w:r>
          </w:p>
        </w:tc>
        <w:tc>
          <w:tcPr>
            <w:tcW w:w="3112" w:type="dxa"/>
            <w:tcBorders>
              <w:top w:val="single" w:color="auto" w:sz="8" w:space="0"/>
            </w:tcBorders>
            <w:vAlign w:val="center"/>
          </w:tcPr>
          <w:p w14:paraId="2A5F5B43">
            <w:pPr>
              <w:pStyle w:val="178"/>
            </w:pPr>
            <w:r>
              <w:rPr>
                <w:rFonts w:hint="eastAsia"/>
              </w:rPr>
              <w:t>应按批验收和复验，</w:t>
            </w:r>
          </w:p>
          <w:p w14:paraId="31F7342F">
            <w:pPr>
              <w:pStyle w:val="178"/>
            </w:pPr>
            <w:r>
              <w:rPr>
                <w:rFonts w:hint="eastAsia"/>
              </w:rPr>
              <w:t>受潮结块或过期材料不得使用</w:t>
            </w:r>
          </w:p>
        </w:tc>
      </w:tr>
      <w:tr w14:paraId="2503D1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6DB20B32">
            <w:pPr>
              <w:pStyle w:val="178"/>
            </w:pPr>
            <w:r>
              <w:rPr>
                <w:rFonts w:hint="eastAsia"/>
              </w:rPr>
              <w:t>钢材</w:t>
            </w:r>
          </w:p>
        </w:tc>
        <w:tc>
          <w:tcPr>
            <w:tcW w:w="4247" w:type="dxa"/>
            <w:vAlign w:val="center"/>
          </w:tcPr>
          <w:p w14:paraId="1FB086F6">
            <w:pPr>
              <w:pStyle w:val="178"/>
            </w:pPr>
            <w:r>
              <w:rPr>
                <w:rFonts w:hint="eastAsia"/>
              </w:rPr>
              <w:t>牌号、规格、炉批号、力学性能、外观锈蚀、</w:t>
            </w:r>
          </w:p>
          <w:p w14:paraId="62646730">
            <w:pPr>
              <w:pStyle w:val="178"/>
            </w:pPr>
            <w:r>
              <w:rPr>
                <w:rFonts w:hint="eastAsia"/>
              </w:rPr>
              <w:t>连接性能</w:t>
            </w:r>
          </w:p>
        </w:tc>
        <w:tc>
          <w:tcPr>
            <w:tcW w:w="3112" w:type="dxa"/>
            <w:vAlign w:val="center"/>
          </w:tcPr>
          <w:p w14:paraId="6D212FA7">
            <w:pPr>
              <w:pStyle w:val="178"/>
            </w:pPr>
            <w:r>
              <w:rPr>
                <w:rFonts w:hint="eastAsia"/>
              </w:rPr>
              <w:t>应核查质量证明文件和复验报告，</w:t>
            </w:r>
          </w:p>
          <w:p w14:paraId="40D7772D">
            <w:pPr>
              <w:pStyle w:val="178"/>
            </w:pPr>
            <w:r>
              <w:rPr>
                <w:rFonts w:hint="eastAsia"/>
              </w:rPr>
              <w:t>批次应可追溯</w:t>
            </w:r>
          </w:p>
        </w:tc>
      </w:tr>
      <w:tr w14:paraId="6FBDBB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1E98CC4F">
            <w:pPr>
              <w:pStyle w:val="178"/>
            </w:pPr>
            <w:r>
              <w:rPr>
                <w:rFonts w:hint="eastAsia"/>
              </w:rPr>
              <w:t>砂石骨料</w:t>
            </w:r>
          </w:p>
        </w:tc>
        <w:tc>
          <w:tcPr>
            <w:tcW w:w="4247" w:type="dxa"/>
            <w:vAlign w:val="center"/>
          </w:tcPr>
          <w:p w14:paraId="1E814AED">
            <w:pPr>
              <w:pStyle w:val="178"/>
            </w:pPr>
            <w:r>
              <w:rPr>
                <w:rFonts w:hint="eastAsia"/>
              </w:rPr>
              <w:t>级配、含泥量、泥块含量、针片状颗粒、坚固性、</w:t>
            </w:r>
          </w:p>
          <w:p w14:paraId="66E2C56B">
            <w:pPr>
              <w:pStyle w:val="178"/>
            </w:pPr>
            <w:r>
              <w:rPr>
                <w:rFonts w:hint="eastAsia"/>
              </w:rPr>
              <w:t>有害物质</w:t>
            </w:r>
          </w:p>
        </w:tc>
        <w:tc>
          <w:tcPr>
            <w:tcW w:w="3112" w:type="dxa"/>
            <w:vAlign w:val="center"/>
          </w:tcPr>
          <w:p w14:paraId="24BC8818">
            <w:pPr>
              <w:pStyle w:val="178"/>
            </w:pPr>
            <w:r>
              <w:rPr>
                <w:rFonts w:hint="eastAsia"/>
              </w:rPr>
              <w:t>应分仓堆放，防止混杂和污染</w:t>
            </w:r>
          </w:p>
        </w:tc>
      </w:tr>
      <w:tr w14:paraId="7B6E3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CD34708">
            <w:pPr>
              <w:pStyle w:val="178"/>
            </w:pPr>
            <w:r>
              <w:rPr>
                <w:rFonts w:hint="eastAsia"/>
              </w:rPr>
              <w:t>掺合料</w:t>
            </w:r>
          </w:p>
        </w:tc>
        <w:tc>
          <w:tcPr>
            <w:tcW w:w="4247" w:type="dxa"/>
            <w:vAlign w:val="center"/>
          </w:tcPr>
          <w:p w14:paraId="3058E562">
            <w:pPr>
              <w:pStyle w:val="178"/>
            </w:pPr>
            <w:r>
              <w:rPr>
                <w:rFonts w:hint="eastAsia"/>
              </w:rPr>
              <w:t>品种、等级、细度、烧失量、需水量比、活性指标</w:t>
            </w:r>
          </w:p>
        </w:tc>
        <w:tc>
          <w:tcPr>
            <w:tcW w:w="3112" w:type="dxa"/>
            <w:vAlign w:val="center"/>
          </w:tcPr>
          <w:p w14:paraId="322B25F8">
            <w:pPr>
              <w:pStyle w:val="178"/>
            </w:pPr>
            <w:r>
              <w:rPr>
                <w:rFonts w:hint="eastAsia"/>
              </w:rPr>
              <w:t>应核查来源和复验结果，</w:t>
            </w:r>
          </w:p>
          <w:p w14:paraId="5D64B485">
            <w:pPr>
              <w:pStyle w:val="178"/>
            </w:pPr>
            <w:r>
              <w:rPr>
                <w:rFonts w:hint="eastAsia"/>
              </w:rPr>
              <w:t>不得混用不同批次状态不明材料</w:t>
            </w:r>
          </w:p>
        </w:tc>
      </w:tr>
      <w:tr w14:paraId="3B53B9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4F24AF3C">
            <w:pPr>
              <w:pStyle w:val="178"/>
            </w:pPr>
            <w:r>
              <w:rPr>
                <w:rFonts w:hint="eastAsia"/>
              </w:rPr>
              <w:t>外加剂</w:t>
            </w:r>
          </w:p>
        </w:tc>
        <w:tc>
          <w:tcPr>
            <w:tcW w:w="4247" w:type="dxa"/>
            <w:vAlign w:val="center"/>
          </w:tcPr>
          <w:p w14:paraId="4D6367F0">
            <w:pPr>
              <w:pStyle w:val="178"/>
            </w:pPr>
            <w:r>
              <w:rPr>
                <w:rFonts w:hint="eastAsia"/>
              </w:rPr>
              <w:t>品种、性能、匀质性、适配性、掺量、有效期</w:t>
            </w:r>
          </w:p>
        </w:tc>
        <w:tc>
          <w:tcPr>
            <w:tcW w:w="3112" w:type="dxa"/>
            <w:vAlign w:val="center"/>
          </w:tcPr>
          <w:p w14:paraId="7D6287D4">
            <w:pPr>
              <w:pStyle w:val="178"/>
            </w:pPr>
            <w:r>
              <w:rPr>
                <w:rFonts w:hint="eastAsia"/>
              </w:rPr>
              <w:t>使用前应开展适配性验证，</w:t>
            </w:r>
          </w:p>
          <w:p w14:paraId="7997458A">
            <w:pPr>
              <w:pStyle w:val="178"/>
            </w:pPr>
            <w:r>
              <w:rPr>
                <w:rFonts w:hint="eastAsia"/>
              </w:rPr>
              <w:t>过期或分层异常不得使用</w:t>
            </w:r>
          </w:p>
        </w:tc>
      </w:tr>
      <w:tr w14:paraId="003D2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160B6190">
            <w:pPr>
              <w:pStyle w:val="178"/>
            </w:pPr>
            <w:r>
              <w:rPr>
                <w:rFonts w:hint="eastAsia"/>
              </w:rPr>
              <w:t>混凝土与砂浆</w:t>
            </w:r>
          </w:p>
        </w:tc>
        <w:tc>
          <w:tcPr>
            <w:tcW w:w="4247" w:type="dxa"/>
            <w:vAlign w:val="center"/>
          </w:tcPr>
          <w:p w14:paraId="4DAA895C">
            <w:pPr>
              <w:pStyle w:val="178"/>
            </w:pPr>
            <w:r>
              <w:rPr>
                <w:rFonts w:hint="eastAsia"/>
              </w:rPr>
              <w:t>配合比、拌合物性能、强度、抗渗、抗冻、试件留置</w:t>
            </w:r>
          </w:p>
        </w:tc>
        <w:tc>
          <w:tcPr>
            <w:tcW w:w="3112" w:type="dxa"/>
            <w:vAlign w:val="center"/>
          </w:tcPr>
          <w:p w14:paraId="698BA19E">
            <w:pPr>
              <w:pStyle w:val="178"/>
            </w:pPr>
            <w:r>
              <w:rPr>
                <w:rFonts w:hint="eastAsia"/>
              </w:rPr>
              <w:t>应按配合比生产和检验，</w:t>
            </w:r>
          </w:p>
          <w:p w14:paraId="2264632B">
            <w:pPr>
              <w:pStyle w:val="178"/>
            </w:pPr>
            <w:r>
              <w:rPr>
                <w:rFonts w:hint="eastAsia"/>
              </w:rPr>
              <w:t>强度评定应符合要求</w:t>
            </w:r>
          </w:p>
        </w:tc>
      </w:tr>
      <w:tr w14:paraId="1869D0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45ECBFEA">
            <w:pPr>
              <w:pStyle w:val="178"/>
            </w:pPr>
            <w:r>
              <w:rPr>
                <w:rFonts w:hint="eastAsia"/>
              </w:rPr>
              <w:t>土工合成材料</w:t>
            </w:r>
          </w:p>
        </w:tc>
        <w:tc>
          <w:tcPr>
            <w:tcW w:w="4247" w:type="dxa"/>
            <w:vAlign w:val="center"/>
          </w:tcPr>
          <w:p w14:paraId="115410D4">
            <w:pPr>
              <w:pStyle w:val="178"/>
            </w:pPr>
            <w:r>
              <w:rPr>
                <w:rFonts w:hint="eastAsia"/>
              </w:rPr>
              <w:t>规格、单位面积质量、强度、伸长率、</w:t>
            </w:r>
          </w:p>
          <w:p w14:paraId="268B4F20">
            <w:pPr>
              <w:pStyle w:val="178"/>
            </w:pPr>
            <w:r>
              <w:rPr>
                <w:rFonts w:hint="eastAsia"/>
              </w:rPr>
              <w:t>渗透或防渗性能</w:t>
            </w:r>
          </w:p>
        </w:tc>
        <w:tc>
          <w:tcPr>
            <w:tcW w:w="3112" w:type="dxa"/>
            <w:vAlign w:val="center"/>
          </w:tcPr>
          <w:p w14:paraId="49673BB1">
            <w:pPr>
              <w:pStyle w:val="178"/>
            </w:pPr>
            <w:r>
              <w:rPr>
                <w:rFonts w:hint="eastAsia"/>
              </w:rPr>
              <w:t>应防晒、防破损，铺设前应验收</w:t>
            </w:r>
          </w:p>
        </w:tc>
      </w:tr>
      <w:tr w14:paraId="757DE3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2E73074B">
            <w:pPr>
              <w:pStyle w:val="178"/>
            </w:pPr>
            <w:r>
              <w:rPr>
                <w:rFonts w:hint="eastAsia"/>
              </w:rPr>
              <w:t>止水材料</w:t>
            </w:r>
          </w:p>
        </w:tc>
        <w:tc>
          <w:tcPr>
            <w:tcW w:w="4247" w:type="dxa"/>
            <w:vAlign w:val="center"/>
          </w:tcPr>
          <w:p w14:paraId="0DEBA011">
            <w:pPr>
              <w:pStyle w:val="178"/>
            </w:pPr>
            <w:r>
              <w:rPr>
                <w:rFonts w:hint="eastAsia"/>
              </w:rPr>
              <w:t>材质、规格、外观、拉伸性能、接头质量、适用环境</w:t>
            </w:r>
          </w:p>
        </w:tc>
        <w:tc>
          <w:tcPr>
            <w:tcW w:w="3112" w:type="dxa"/>
            <w:vAlign w:val="center"/>
          </w:tcPr>
          <w:p w14:paraId="23685B28">
            <w:pPr>
              <w:pStyle w:val="178"/>
            </w:pPr>
            <w:r>
              <w:rPr>
                <w:rFonts w:hint="eastAsia"/>
              </w:rPr>
              <w:t>接头和安装质量应重点控制</w:t>
            </w:r>
          </w:p>
        </w:tc>
      </w:tr>
      <w:tr w14:paraId="2C0EC2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797E208D">
            <w:pPr>
              <w:pStyle w:val="178"/>
            </w:pPr>
            <w:r>
              <w:rPr>
                <w:rFonts w:hint="eastAsia"/>
              </w:rPr>
              <w:t>防水防渗材料</w:t>
            </w:r>
          </w:p>
        </w:tc>
        <w:tc>
          <w:tcPr>
            <w:tcW w:w="4247" w:type="dxa"/>
            <w:vAlign w:val="center"/>
          </w:tcPr>
          <w:p w14:paraId="76B3C5C5">
            <w:pPr>
              <w:pStyle w:val="178"/>
            </w:pPr>
            <w:r>
              <w:rPr>
                <w:rFonts w:hint="eastAsia"/>
              </w:rPr>
              <w:t>厚度、强度、延伸率、抗渗性、耐久性、外观缺陷</w:t>
            </w:r>
          </w:p>
        </w:tc>
        <w:tc>
          <w:tcPr>
            <w:tcW w:w="3112" w:type="dxa"/>
            <w:vAlign w:val="center"/>
          </w:tcPr>
          <w:p w14:paraId="69B6FCD7">
            <w:pPr>
              <w:pStyle w:val="178"/>
            </w:pPr>
            <w:r>
              <w:rPr>
                <w:rFonts w:hint="eastAsia"/>
              </w:rPr>
              <w:t>应防止刺破、污染和老化</w:t>
            </w:r>
          </w:p>
        </w:tc>
      </w:tr>
      <w:tr w14:paraId="5BE51F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4D37A040">
            <w:pPr>
              <w:pStyle w:val="178"/>
            </w:pPr>
            <w:r>
              <w:rPr>
                <w:rFonts w:hint="eastAsia"/>
              </w:rPr>
              <w:t>灌浆材料</w:t>
            </w:r>
          </w:p>
        </w:tc>
        <w:tc>
          <w:tcPr>
            <w:tcW w:w="4247" w:type="dxa"/>
            <w:vAlign w:val="center"/>
          </w:tcPr>
          <w:p w14:paraId="6A0B992E">
            <w:pPr>
              <w:pStyle w:val="178"/>
            </w:pPr>
            <w:r>
              <w:rPr>
                <w:rFonts w:hint="eastAsia"/>
              </w:rPr>
              <w:t>品种、细度、凝结性能、流动性、结石强度、稳定性</w:t>
            </w:r>
          </w:p>
        </w:tc>
        <w:tc>
          <w:tcPr>
            <w:tcW w:w="3112" w:type="dxa"/>
            <w:vAlign w:val="center"/>
          </w:tcPr>
          <w:p w14:paraId="5A00630F">
            <w:pPr>
              <w:pStyle w:val="178"/>
            </w:pPr>
            <w:r>
              <w:rPr>
                <w:rFonts w:hint="eastAsia"/>
              </w:rPr>
              <w:t>应按设计和试验要求使用</w:t>
            </w:r>
          </w:p>
        </w:tc>
      </w:tr>
      <w:tr w14:paraId="0E8DD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7FE7DEF2">
            <w:pPr>
              <w:pStyle w:val="178"/>
            </w:pPr>
            <w:r>
              <w:rPr>
                <w:rFonts w:hint="eastAsia"/>
              </w:rPr>
              <w:t>金属结构材料</w:t>
            </w:r>
          </w:p>
        </w:tc>
        <w:tc>
          <w:tcPr>
            <w:tcW w:w="4247" w:type="dxa"/>
            <w:vAlign w:val="center"/>
          </w:tcPr>
          <w:p w14:paraId="7D60DF53">
            <w:pPr>
              <w:pStyle w:val="178"/>
            </w:pPr>
            <w:r>
              <w:rPr>
                <w:rFonts w:hint="eastAsia"/>
              </w:rPr>
              <w:t>材质、尺寸、焊接材料、防腐层、连接件、加工质量</w:t>
            </w:r>
          </w:p>
        </w:tc>
        <w:tc>
          <w:tcPr>
            <w:tcW w:w="3112" w:type="dxa"/>
            <w:vAlign w:val="center"/>
          </w:tcPr>
          <w:p w14:paraId="08646546">
            <w:pPr>
              <w:pStyle w:val="178"/>
            </w:pPr>
            <w:r>
              <w:rPr>
                <w:rFonts w:hint="eastAsia"/>
              </w:rPr>
              <w:t>应核查制造资料和防腐质量</w:t>
            </w:r>
          </w:p>
        </w:tc>
      </w:tr>
      <w:tr w14:paraId="457629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975" w:type="dxa"/>
            <w:vAlign w:val="center"/>
          </w:tcPr>
          <w:p w14:paraId="720F6ABF">
            <w:pPr>
              <w:pStyle w:val="178"/>
            </w:pPr>
            <w:r>
              <w:rPr>
                <w:rFonts w:hint="eastAsia"/>
              </w:rPr>
              <w:t>管材及配件</w:t>
            </w:r>
          </w:p>
        </w:tc>
        <w:tc>
          <w:tcPr>
            <w:tcW w:w="4247" w:type="dxa"/>
            <w:vAlign w:val="center"/>
          </w:tcPr>
          <w:p w14:paraId="547F1826">
            <w:pPr>
              <w:pStyle w:val="178"/>
            </w:pPr>
            <w:r>
              <w:rPr>
                <w:rFonts w:hint="eastAsia"/>
              </w:rPr>
              <w:t>材质、规格、压力等级、壁厚、接口、外观质量</w:t>
            </w:r>
          </w:p>
        </w:tc>
        <w:tc>
          <w:tcPr>
            <w:tcW w:w="3112" w:type="dxa"/>
            <w:vAlign w:val="center"/>
          </w:tcPr>
          <w:p w14:paraId="2ACE3FE6">
            <w:pPr>
              <w:pStyle w:val="178"/>
            </w:pPr>
            <w:r>
              <w:rPr>
                <w:rFonts w:hint="eastAsia"/>
              </w:rPr>
              <w:t>应按压力等级和使用部位验收</w:t>
            </w:r>
          </w:p>
        </w:tc>
      </w:tr>
    </w:tbl>
    <w:p w14:paraId="7E10709A">
      <w:pPr>
        <w:pStyle w:val="105"/>
        <w:spacing w:before="120" w:after="120" w:line="360" w:lineRule="auto"/>
      </w:pPr>
      <w:r>
        <w:rPr>
          <w:rFonts w:hint="eastAsia"/>
        </w:rPr>
        <w:t>水泥质量控制</w:t>
      </w:r>
    </w:p>
    <w:p w14:paraId="0186C311">
      <w:pPr>
        <w:pStyle w:val="165"/>
        <w:spacing w:line="360" w:lineRule="auto"/>
      </w:pPr>
      <w:r>
        <w:rPr>
          <w:rFonts w:hint="eastAsia"/>
        </w:rPr>
        <w:t>水泥进场应核查出厂合格证、检验报告、品种、强度等级、生产日期、出厂编号和数量。</w:t>
      </w:r>
    </w:p>
    <w:p w14:paraId="625F645D">
      <w:pPr>
        <w:pStyle w:val="165"/>
        <w:spacing w:line="360" w:lineRule="auto"/>
      </w:pPr>
      <w:r>
        <w:rPr>
          <w:rFonts w:hint="eastAsia"/>
        </w:rPr>
        <w:t>水泥应按批进行复验，复验项目应满足设计、标准和施工要求。</w:t>
      </w:r>
    </w:p>
    <w:p w14:paraId="357BED29">
      <w:pPr>
        <w:pStyle w:val="165"/>
        <w:spacing w:line="360" w:lineRule="auto"/>
      </w:pPr>
      <w:r>
        <w:rPr>
          <w:rFonts w:hint="eastAsia"/>
        </w:rPr>
        <w:t>不同品种、不同强度等级、不同厂家、不同出厂日期的水泥应分别储存和使用。</w:t>
      </w:r>
    </w:p>
    <w:p w14:paraId="0DF8D341">
      <w:pPr>
        <w:pStyle w:val="165"/>
        <w:spacing w:line="360" w:lineRule="auto"/>
      </w:pPr>
      <w:r>
        <w:rPr>
          <w:rFonts w:hint="eastAsia"/>
        </w:rPr>
        <w:t>水泥储存应防潮、防雨、防混杂。</w:t>
      </w:r>
    </w:p>
    <w:p w14:paraId="5E395203">
      <w:pPr>
        <w:pStyle w:val="165"/>
        <w:spacing w:line="360" w:lineRule="auto"/>
      </w:pPr>
      <w:r>
        <w:rPr>
          <w:rFonts w:hint="eastAsia"/>
        </w:rPr>
        <w:t>受潮结块、超过规定储存期限、质量证明文件不完整或复验不合格的水泥不得使用。</w:t>
      </w:r>
    </w:p>
    <w:p w14:paraId="64486994">
      <w:pPr>
        <w:pStyle w:val="105"/>
        <w:spacing w:before="120" w:after="120" w:line="360" w:lineRule="auto"/>
      </w:pPr>
      <w:r>
        <w:rPr>
          <w:rFonts w:hint="eastAsia"/>
        </w:rPr>
        <w:t>钢材质量控制</w:t>
      </w:r>
    </w:p>
    <w:p w14:paraId="34A5B834">
      <w:pPr>
        <w:pStyle w:val="165"/>
        <w:spacing w:line="360" w:lineRule="auto"/>
      </w:pPr>
      <w:r>
        <w:rPr>
          <w:rFonts w:hint="eastAsia"/>
        </w:rPr>
        <w:t>钢材进场应核查质量证明文件、牌号、规格、炉批号、外观质量和数量。</w:t>
      </w:r>
    </w:p>
    <w:p w14:paraId="78496B5D">
      <w:pPr>
        <w:pStyle w:val="165"/>
        <w:spacing w:line="360" w:lineRule="auto"/>
      </w:pPr>
      <w:r>
        <w:rPr>
          <w:rFonts w:hint="eastAsia"/>
        </w:rPr>
        <w:t>钢筋、型钢、钢板、钢管和连接件应按批验收和复验。</w:t>
      </w:r>
    </w:p>
    <w:p w14:paraId="6AD7F729">
      <w:pPr>
        <w:pStyle w:val="165"/>
        <w:spacing w:line="360" w:lineRule="auto"/>
      </w:pPr>
      <w:r>
        <w:rPr>
          <w:rFonts w:hint="eastAsia"/>
        </w:rPr>
        <w:t>钢材表面不得有影响使用性能的裂纹、折叠、结疤、分层、严重锈蚀和机械损伤。</w:t>
      </w:r>
    </w:p>
    <w:p w14:paraId="62897DA1">
      <w:pPr>
        <w:pStyle w:val="165"/>
        <w:spacing w:line="360" w:lineRule="auto"/>
      </w:pPr>
      <w:r>
        <w:rPr>
          <w:rFonts w:hint="eastAsia"/>
        </w:rPr>
        <w:t>钢材加工、焊接、连接和安装前，应确认材料规格、强度等级和使用部位。</w:t>
      </w:r>
    </w:p>
    <w:p w14:paraId="18674D9A">
      <w:pPr>
        <w:pStyle w:val="165"/>
        <w:spacing w:line="360" w:lineRule="auto"/>
      </w:pPr>
      <w:r>
        <w:rPr>
          <w:rFonts w:hint="eastAsia"/>
        </w:rPr>
        <w:t>复验不合格或炉批号不清的钢材不得用于受力结构。</w:t>
      </w:r>
    </w:p>
    <w:p w14:paraId="28C867D2">
      <w:pPr>
        <w:pStyle w:val="105"/>
        <w:spacing w:before="120" w:after="120" w:line="360" w:lineRule="auto"/>
      </w:pPr>
      <w:r>
        <w:rPr>
          <w:rFonts w:hint="eastAsia"/>
        </w:rPr>
        <w:t>砂石骨料质量控制</w:t>
      </w:r>
    </w:p>
    <w:p w14:paraId="5BD6250B">
      <w:pPr>
        <w:pStyle w:val="165"/>
        <w:spacing w:line="360" w:lineRule="auto"/>
      </w:pPr>
      <w:r>
        <w:rPr>
          <w:rFonts w:hint="eastAsia"/>
        </w:rPr>
        <w:t>砂石骨料进场应核查来源、规格、级配、含泥量、泥块含量、有害物质和质量检测资料。</w:t>
      </w:r>
    </w:p>
    <w:p w14:paraId="6A7C1CD6">
      <w:pPr>
        <w:pStyle w:val="165"/>
        <w:spacing w:line="360" w:lineRule="auto"/>
      </w:pPr>
      <w:r>
        <w:rPr>
          <w:rFonts w:hint="eastAsia"/>
        </w:rPr>
        <w:t>不同规格、不同来源的骨料应分区堆放，不得混堆混用。</w:t>
      </w:r>
    </w:p>
    <w:p w14:paraId="493A5559">
      <w:pPr>
        <w:pStyle w:val="165"/>
        <w:spacing w:line="360" w:lineRule="auto"/>
      </w:pPr>
      <w:r>
        <w:rPr>
          <w:rFonts w:hint="eastAsia"/>
        </w:rPr>
        <w:t>骨料堆场应硬化或采取隔离措施，防止泥土、杂物和有害物质混入。</w:t>
      </w:r>
    </w:p>
    <w:p w14:paraId="50A95DA4">
      <w:pPr>
        <w:pStyle w:val="165"/>
        <w:spacing w:line="360" w:lineRule="auto"/>
      </w:pPr>
      <w:r>
        <w:rPr>
          <w:rFonts w:hint="eastAsia"/>
        </w:rPr>
        <w:t>骨料含水率变化较大时，应及时测定并调整混凝土或砂浆配合比用水量。</w:t>
      </w:r>
    </w:p>
    <w:p w14:paraId="46500683">
      <w:pPr>
        <w:pStyle w:val="165"/>
        <w:spacing w:line="360" w:lineRule="auto"/>
      </w:pPr>
      <w:r>
        <w:rPr>
          <w:rFonts w:hint="eastAsia"/>
        </w:rPr>
        <w:t>不符合级配、含泥量或有害物质要求的骨料不得使用。</w:t>
      </w:r>
    </w:p>
    <w:p w14:paraId="09130DCB">
      <w:pPr>
        <w:pStyle w:val="105"/>
        <w:spacing w:before="120" w:after="120" w:line="360" w:lineRule="auto"/>
      </w:pPr>
      <w:r>
        <w:rPr>
          <w:rFonts w:hint="eastAsia"/>
        </w:rPr>
        <w:t>掺合料与外加剂质量控制</w:t>
      </w:r>
    </w:p>
    <w:p w14:paraId="470CB02B">
      <w:pPr>
        <w:pStyle w:val="165"/>
        <w:spacing w:line="360" w:lineRule="auto"/>
      </w:pPr>
      <w:r>
        <w:rPr>
          <w:rFonts w:hint="eastAsia"/>
        </w:rPr>
        <w:t>掺合料和外加剂进场应核查产品合格证、出厂检验报告、品种、型号、批号、有效期和适用范围。</w:t>
      </w:r>
    </w:p>
    <w:p w14:paraId="44A4B57D">
      <w:pPr>
        <w:pStyle w:val="165"/>
        <w:spacing w:line="360" w:lineRule="auto"/>
      </w:pPr>
      <w:r>
        <w:rPr>
          <w:rFonts w:hint="eastAsia"/>
        </w:rPr>
        <w:t>掺合料应按批复验细度、烧失量、需水量比、活性指标或其他规定项目。</w:t>
      </w:r>
    </w:p>
    <w:p w14:paraId="2F392B94">
      <w:pPr>
        <w:pStyle w:val="165"/>
        <w:spacing w:line="360" w:lineRule="auto"/>
      </w:pPr>
      <w:r>
        <w:rPr>
          <w:rFonts w:hint="eastAsia"/>
        </w:rPr>
        <w:t>外加剂应按批复验匀质性和主要性能指标，并应进行与水泥、掺合料、骨料的适配性验证。</w:t>
      </w:r>
    </w:p>
    <w:p w14:paraId="06BA634C">
      <w:pPr>
        <w:pStyle w:val="165"/>
        <w:spacing w:line="360" w:lineRule="auto"/>
      </w:pPr>
      <w:r>
        <w:rPr>
          <w:rFonts w:hint="eastAsia"/>
        </w:rPr>
        <w:t>液体外加剂应防止沉淀、分层、冻结和污染，使用前应按要求搅拌均匀。</w:t>
      </w:r>
    </w:p>
    <w:p w14:paraId="45110607">
      <w:pPr>
        <w:pStyle w:val="165"/>
        <w:spacing w:line="360" w:lineRule="auto"/>
      </w:pPr>
      <w:r>
        <w:rPr>
          <w:rFonts w:hint="eastAsia"/>
        </w:rPr>
        <w:t>不同品种、不同厂家、不同性能用途的外加剂不得混装、混放或混用。</w:t>
      </w:r>
    </w:p>
    <w:p w14:paraId="467C353D">
      <w:pPr>
        <w:pStyle w:val="105"/>
        <w:spacing w:before="120" w:after="120" w:line="360" w:lineRule="auto"/>
      </w:pPr>
      <w:r>
        <w:rPr>
          <w:rFonts w:hint="eastAsia"/>
        </w:rPr>
        <w:t>土工合成材料质量控制</w:t>
      </w:r>
    </w:p>
    <w:p w14:paraId="497C0AA8">
      <w:pPr>
        <w:pStyle w:val="165"/>
        <w:spacing w:line="360" w:lineRule="auto"/>
      </w:pPr>
      <w:r>
        <w:rPr>
          <w:rFonts w:hint="eastAsia"/>
        </w:rPr>
        <w:t>土工布、土工膜、复合土工膜、土工格栅和土工网等材料进场应核查规格型号、产品合格证、检测报告、外观质量和数量。</w:t>
      </w:r>
    </w:p>
    <w:p w14:paraId="5A183421">
      <w:pPr>
        <w:pStyle w:val="165"/>
        <w:spacing w:line="360" w:lineRule="auto"/>
      </w:pPr>
      <w:r>
        <w:rPr>
          <w:rFonts w:hint="eastAsia"/>
        </w:rPr>
        <w:t>土工合成材料应按批抽样复验，复验项目应包括单位面积质量、厚度、拉伸强度、伸长率、撕裂强度、渗透或防渗性能等适用指标。</w:t>
      </w:r>
    </w:p>
    <w:p w14:paraId="7D88D9E8">
      <w:pPr>
        <w:pStyle w:val="165"/>
        <w:spacing w:line="360" w:lineRule="auto"/>
      </w:pPr>
      <w:r>
        <w:rPr>
          <w:rFonts w:hint="eastAsia"/>
        </w:rPr>
        <w:t>材料储存应防晒、防潮、防火、防刺破和防污染。</w:t>
      </w:r>
    </w:p>
    <w:p w14:paraId="118C838E">
      <w:pPr>
        <w:pStyle w:val="165"/>
        <w:spacing w:line="360" w:lineRule="auto"/>
      </w:pPr>
      <w:r>
        <w:rPr>
          <w:rFonts w:hint="eastAsia"/>
        </w:rPr>
        <w:t>铺设前应检查外观破损、孔洞、撕裂和老化情况。</w:t>
      </w:r>
    </w:p>
    <w:p w14:paraId="463CB8BF">
      <w:pPr>
        <w:pStyle w:val="165"/>
        <w:spacing w:line="360" w:lineRule="auto"/>
      </w:pPr>
      <w:r>
        <w:rPr>
          <w:rFonts w:hint="eastAsia"/>
        </w:rPr>
        <w:t>破损、老化、性能不合格或标识不清的土工合成材料不得使用。</w:t>
      </w:r>
    </w:p>
    <w:p w14:paraId="637E45C8">
      <w:pPr>
        <w:pStyle w:val="105"/>
        <w:spacing w:before="120" w:after="120" w:line="360" w:lineRule="auto"/>
      </w:pPr>
      <w:r>
        <w:rPr>
          <w:rFonts w:hint="eastAsia"/>
        </w:rPr>
        <w:t>止水与防渗材料质量控制</w:t>
      </w:r>
    </w:p>
    <w:p w14:paraId="2B0E4159">
      <w:pPr>
        <w:pStyle w:val="165"/>
        <w:spacing w:line="360" w:lineRule="auto"/>
      </w:pPr>
      <w:r>
        <w:rPr>
          <w:rFonts w:hint="eastAsia"/>
        </w:rPr>
        <w:t>止水带、止水条、止水铜片、橡胶止水材料、防水卷材、防渗膜和密封材料应按设计规格和使用部位验收。</w:t>
      </w:r>
    </w:p>
    <w:p w14:paraId="2766BF5E">
      <w:pPr>
        <w:pStyle w:val="165"/>
        <w:spacing w:line="360" w:lineRule="auto"/>
      </w:pPr>
      <w:r>
        <w:rPr>
          <w:rFonts w:hint="eastAsia"/>
        </w:rPr>
        <w:t>止水材料应检查外观、尺寸、材质、接头质量和性能检测资料。</w:t>
      </w:r>
    </w:p>
    <w:p w14:paraId="3E331072">
      <w:pPr>
        <w:pStyle w:val="165"/>
        <w:spacing w:line="360" w:lineRule="auto"/>
      </w:pPr>
      <w:r>
        <w:rPr>
          <w:rFonts w:hint="eastAsia"/>
        </w:rPr>
        <w:t>止水材料接头应按规定工艺制作，并应进行外观和必要性能检查。</w:t>
      </w:r>
    </w:p>
    <w:p w14:paraId="5F693182">
      <w:pPr>
        <w:pStyle w:val="165"/>
        <w:spacing w:line="360" w:lineRule="auto"/>
      </w:pPr>
      <w:r>
        <w:rPr>
          <w:rFonts w:hint="eastAsia"/>
        </w:rPr>
        <w:t>防渗材料铺设前应检查基层、搭接、焊缝、固定和保护措施。</w:t>
      </w:r>
    </w:p>
    <w:p w14:paraId="662AA116">
      <w:pPr>
        <w:pStyle w:val="165"/>
        <w:spacing w:line="360" w:lineRule="auto"/>
      </w:pPr>
      <w:r>
        <w:rPr>
          <w:rFonts w:hint="eastAsia"/>
        </w:rPr>
        <w:t>止水和防渗材料损伤、老化、污染、规格不符或检测不合格时，不得使用。</w:t>
      </w:r>
    </w:p>
    <w:p w14:paraId="2556519F">
      <w:pPr>
        <w:pStyle w:val="105"/>
        <w:spacing w:before="120" w:after="120" w:line="360" w:lineRule="auto"/>
      </w:pPr>
      <w:r>
        <w:rPr>
          <w:rFonts w:hint="eastAsia"/>
        </w:rPr>
        <w:t>灌浆材料质量控制</w:t>
      </w:r>
    </w:p>
    <w:p w14:paraId="5FB4FA46">
      <w:pPr>
        <w:pStyle w:val="165"/>
        <w:spacing w:line="360" w:lineRule="auto"/>
      </w:pPr>
      <w:r>
        <w:rPr>
          <w:rFonts w:hint="eastAsia"/>
        </w:rPr>
        <w:t>灌浆用水泥、外加剂、掺合料、化学灌浆材料和其他浆材应满足设计和试验要求。</w:t>
      </w:r>
    </w:p>
    <w:p w14:paraId="35A3DA02">
      <w:pPr>
        <w:pStyle w:val="165"/>
        <w:spacing w:line="360" w:lineRule="auto"/>
      </w:pPr>
      <w:r>
        <w:rPr>
          <w:rFonts w:hint="eastAsia"/>
        </w:rPr>
        <w:t>灌浆材料使用前应核查配比、凝结时间、流动性、稳定性、结石强度和适用条件。</w:t>
      </w:r>
    </w:p>
    <w:p w14:paraId="1E42430F">
      <w:pPr>
        <w:pStyle w:val="165"/>
        <w:spacing w:line="360" w:lineRule="auto"/>
      </w:pPr>
      <w:r>
        <w:rPr>
          <w:rFonts w:hint="eastAsia"/>
        </w:rPr>
        <w:t>化学灌浆材料应核查有效期、储存条件、安全说明和环保要求。</w:t>
      </w:r>
    </w:p>
    <w:p w14:paraId="51896076">
      <w:pPr>
        <w:pStyle w:val="165"/>
        <w:spacing w:line="360" w:lineRule="auto"/>
      </w:pPr>
      <w:r>
        <w:rPr>
          <w:rFonts w:hint="eastAsia"/>
        </w:rPr>
        <w:t>灌浆材料配制应按批准配合比实施，不得擅自调整材料品种和掺量。</w:t>
      </w:r>
    </w:p>
    <w:p w14:paraId="0C8DCC0D">
      <w:pPr>
        <w:pStyle w:val="165"/>
        <w:spacing w:line="360" w:lineRule="auto"/>
      </w:pPr>
      <w:r>
        <w:rPr>
          <w:rFonts w:hint="eastAsia"/>
        </w:rPr>
        <w:t>变质、结块、沉淀异常或超过有效期的灌浆材料不得使用。</w:t>
      </w:r>
    </w:p>
    <w:p w14:paraId="5D9C91EF">
      <w:pPr>
        <w:pStyle w:val="105"/>
        <w:spacing w:before="120" w:after="120" w:line="360" w:lineRule="auto"/>
      </w:pPr>
      <w:r>
        <w:rPr>
          <w:rFonts w:hint="eastAsia"/>
        </w:rPr>
        <w:t>管材、金属结构和机电辅助材料质量控制</w:t>
      </w:r>
    </w:p>
    <w:p w14:paraId="7FF02E0A">
      <w:pPr>
        <w:pStyle w:val="165"/>
        <w:spacing w:line="360" w:lineRule="auto"/>
      </w:pPr>
      <w:r>
        <w:rPr>
          <w:rFonts w:hint="eastAsia"/>
        </w:rPr>
        <w:t>管材、管件、阀门、法兰、连接件和密封件应核查材质、规格、压力等级、壁厚、接口形式和质量证明文件。</w:t>
      </w:r>
    </w:p>
    <w:p w14:paraId="2EB55A67">
      <w:pPr>
        <w:pStyle w:val="165"/>
        <w:spacing w:line="360" w:lineRule="auto"/>
      </w:pPr>
      <w:r>
        <w:rPr>
          <w:rFonts w:hint="eastAsia"/>
        </w:rPr>
        <w:t>金属结构材料应核查材质、尺寸偏差、焊接材料、防腐材料、连接件和加工质量。</w:t>
      </w:r>
    </w:p>
    <w:p w14:paraId="5BD5527C">
      <w:pPr>
        <w:pStyle w:val="165"/>
        <w:spacing w:line="360" w:lineRule="auto"/>
      </w:pPr>
      <w:r>
        <w:rPr>
          <w:rFonts w:hint="eastAsia"/>
        </w:rPr>
        <w:t>用于压力输水、泵站、闸门启闭和重要设备安装的材料，应重点核查强度、密封性、防腐性和耐久性。</w:t>
      </w:r>
    </w:p>
    <w:p w14:paraId="68BE0E10">
      <w:pPr>
        <w:pStyle w:val="165"/>
        <w:spacing w:line="360" w:lineRule="auto"/>
      </w:pPr>
      <w:r>
        <w:rPr>
          <w:rFonts w:hint="eastAsia"/>
        </w:rPr>
        <w:t>机电安装辅助材料应与设备要求、运行环境和安全要求相匹配。</w:t>
      </w:r>
    </w:p>
    <w:p w14:paraId="34986252">
      <w:pPr>
        <w:pStyle w:val="165"/>
        <w:spacing w:line="360" w:lineRule="auto"/>
      </w:pPr>
      <w:r>
        <w:rPr>
          <w:rFonts w:hint="eastAsia"/>
        </w:rPr>
        <w:t>规格不符、压力等级不满足要求、防腐层损坏或接口缺陷明显的材料不得使用。</w:t>
      </w:r>
    </w:p>
    <w:p w14:paraId="2FF8B112">
      <w:pPr>
        <w:pStyle w:val="104"/>
        <w:spacing w:before="240" w:after="240" w:line="360" w:lineRule="auto"/>
      </w:pPr>
      <w:bookmarkStart w:id="54" w:name="_Toc228604101"/>
      <w:r>
        <w:rPr>
          <w:rFonts w:hint="eastAsia"/>
        </w:rPr>
        <w:t>采购与供应商管理</w:t>
      </w:r>
      <w:bookmarkEnd w:id="54"/>
    </w:p>
    <w:p w14:paraId="17B423F5">
      <w:pPr>
        <w:pStyle w:val="105"/>
        <w:spacing w:before="120" w:after="120" w:line="360" w:lineRule="auto"/>
      </w:pPr>
      <w:r>
        <w:rPr>
          <w:rFonts w:hint="eastAsia"/>
        </w:rPr>
        <w:t>一般要求</w:t>
      </w:r>
    </w:p>
    <w:p w14:paraId="0AC469F6">
      <w:pPr>
        <w:pStyle w:val="165"/>
        <w:spacing w:line="360" w:lineRule="auto"/>
      </w:pPr>
      <w:r>
        <w:rPr>
          <w:rFonts w:hint="eastAsia"/>
        </w:rPr>
        <w:t>材料采购应依据设计文件、合同文件、施工组织设计、技术标准和进度计划实施。</w:t>
      </w:r>
    </w:p>
    <w:p w14:paraId="2391F96B">
      <w:pPr>
        <w:pStyle w:val="165"/>
        <w:spacing w:line="360" w:lineRule="auto"/>
      </w:pPr>
      <w:r>
        <w:rPr>
          <w:rFonts w:hint="eastAsia"/>
        </w:rPr>
        <w:t>关键材料采购前应明确材料名称、规格型号、质量标准、技术参数、检验要求、交货条件、资料要求和质量责任。</w:t>
      </w:r>
    </w:p>
    <w:p w14:paraId="36DA7BD8">
      <w:pPr>
        <w:pStyle w:val="165"/>
        <w:spacing w:line="360" w:lineRule="auto"/>
      </w:pPr>
      <w:r>
        <w:rPr>
          <w:rFonts w:hint="eastAsia"/>
        </w:rPr>
        <w:t>采购文件不得降低设计和标准规定的材料质量要求。</w:t>
      </w:r>
    </w:p>
    <w:p w14:paraId="515B33F6">
      <w:pPr>
        <w:pStyle w:val="165"/>
        <w:spacing w:line="360" w:lineRule="auto"/>
      </w:pPr>
      <w:r>
        <w:rPr>
          <w:rFonts w:hint="eastAsia"/>
        </w:rPr>
        <w:t>采购材料应具有稳定来源和质量保障能力，不得采购来源不明、质量证明文件不完整或无质量保障条件的材料。</w:t>
      </w:r>
    </w:p>
    <w:p w14:paraId="1FEC44CA">
      <w:pPr>
        <w:pStyle w:val="105"/>
        <w:spacing w:before="120" w:after="120" w:line="360" w:lineRule="auto"/>
      </w:pPr>
      <w:r>
        <w:rPr>
          <w:rFonts w:hint="eastAsia"/>
        </w:rPr>
        <w:t>供应商评价</w:t>
      </w:r>
    </w:p>
    <w:p w14:paraId="1879E120">
      <w:pPr>
        <w:pStyle w:val="165"/>
        <w:spacing w:line="360" w:lineRule="auto"/>
      </w:pPr>
      <w:r>
        <w:rPr>
          <w:rFonts w:hint="eastAsia"/>
        </w:rPr>
        <w:t>施工单位应建立供应商评价和选择机制。</w:t>
      </w:r>
    </w:p>
    <w:p w14:paraId="1F13D514">
      <w:pPr>
        <w:pStyle w:val="165"/>
        <w:spacing w:line="360" w:lineRule="auto"/>
      </w:pPr>
      <w:r>
        <w:rPr>
          <w:rFonts w:hint="eastAsia"/>
        </w:rPr>
        <w:t>供应商评价应包括资质条件、生产能力、质量管理能力、供货业绩、产品检测记录、售后服务和不良记录等内容。</w:t>
      </w:r>
    </w:p>
    <w:p w14:paraId="3E66404B">
      <w:pPr>
        <w:pStyle w:val="165"/>
        <w:spacing w:line="360" w:lineRule="auto"/>
      </w:pPr>
      <w:r>
        <w:rPr>
          <w:rFonts w:hint="eastAsia"/>
        </w:rPr>
        <w:t>对关键材料供应商，应进行重点评价，必要时开展现场考察。</w:t>
      </w:r>
    </w:p>
    <w:p w14:paraId="417DBBC5">
      <w:pPr>
        <w:pStyle w:val="165"/>
        <w:spacing w:line="360" w:lineRule="auto"/>
      </w:pPr>
      <w:r>
        <w:rPr>
          <w:rFonts w:hint="eastAsia"/>
        </w:rPr>
        <w:t>供应商出现重大质量问题、虚假证明、供货混批或整改不力的，应暂停或取消其供货资格。</w:t>
      </w:r>
    </w:p>
    <w:p w14:paraId="04E959E9">
      <w:pPr>
        <w:pStyle w:val="165"/>
        <w:spacing w:line="360" w:lineRule="auto"/>
      </w:pPr>
      <w:r>
        <w:rPr>
          <w:rFonts w:hint="eastAsia"/>
        </w:rPr>
        <w:t>供应商评价记录应归档保存。</w:t>
      </w:r>
    </w:p>
    <w:p w14:paraId="13901707">
      <w:pPr>
        <w:pStyle w:val="105"/>
        <w:spacing w:before="120" w:after="120" w:line="360" w:lineRule="auto"/>
      </w:pPr>
      <w:r>
        <w:rPr>
          <w:rFonts w:hint="eastAsia"/>
        </w:rPr>
        <w:t>合同质量要求</w:t>
      </w:r>
    </w:p>
    <w:p w14:paraId="5EAC6BDE">
      <w:pPr>
        <w:pStyle w:val="165"/>
        <w:spacing w:line="360" w:lineRule="auto"/>
      </w:pPr>
      <w:r>
        <w:rPr>
          <w:rFonts w:hint="eastAsia"/>
        </w:rPr>
        <w:t>材料采购合同应明确质量标准、检验项目、验收方式、复验要求、不合格处置、资料提交和违约责任。</w:t>
      </w:r>
    </w:p>
    <w:p w14:paraId="4B3D18DB">
      <w:pPr>
        <w:pStyle w:val="165"/>
        <w:spacing w:line="360" w:lineRule="auto"/>
      </w:pPr>
      <w:r>
        <w:rPr>
          <w:rFonts w:hint="eastAsia"/>
        </w:rPr>
        <w:t>合同应明确材料批次标识、包装运输、防护要求和交付资料要求。</w:t>
      </w:r>
    </w:p>
    <w:p w14:paraId="561BA4DE">
      <w:pPr>
        <w:pStyle w:val="165"/>
        <w:spacing w:line="360" w:lineRule="auto"/>
      </w:pPr>
      <w:r>
        <w:rPr>
          <w:rFonts w:hint="eastAsia"/>
        </w:rPr>
        <w:t>对需要现场复验、见证取样或第三方检测的材料，应在合同中约定配合要求。</w:t>
      </w:r>
    </w:p>
    <w:p w14:paraId="32759596">
      <w:pPr>
        <w:pStyle w:val="165"/>
        <w:spacing w:line="360" w:lineRule="auto"/>
      </w:pPr>
      <w:r>
        <w:rPr>
          <w:rFonts w:hint="eastAsia"/>
        </w:rPr>
        <w:t>合同不得设置免除供应单位质量责任的条款。</w:t>
      </w:r>
    </w:p>
    <w:p w14:paraId="319C84EC">
      <w:pPr>
        <w:pStyle w:val="104"/>
        <w:spacing w:before="240" w:after="240" w:line="360" w:lineRule="auto"/>
      </w:pPr>
      <w:bookmarkStart w:id="55" w:name="_Toc228604102"/>
      <w:r>
        <w:rPr>
          <w:rFonts w:hint="eastAsia"/>
        </w:rPr>
        <w:t>进场验收</w:t>
      </w:r>
      <w:bookmarkEnd w:id="55"/>
    </w:p>
    <w:p w14:paraId="4DA31096">
      <w:pPr>
        <w:pStyle w:val="105"/>
        <w:spacing w:before="120" w:after="120" w:line="360" w:lineRule="auto"/>
      </w:pPr>
      <w:r>
        <w:rPr>
          <w:rFonts w:hint="eastAsia"/>
        </w:rPr>
        <w:t>一般要求</w:t>
      </w:r>
    </w:p>
    <w:p w14:paraId="7C5E6CA3">
      <w:pPr>
        <w:pStyle w:val="165"/>
        <w:spacing w:line="360" w:lineRule="auto"/>
      </w:pPr>
      <w:r>
        <w:rPr>
          <w:rFonts w:hint="eastAsia"/>
        </w:rPr>
        <w:t>材料进场后，施工单位应组织进场自检，并应报监理单位验收。</w:t>
      </w:r>
    </w:p>
    <w:p w14:paraId="721EE984">
      <w:pPr>
        <w:pStyle w:val="165"/>
        <w:spacing w:line="360" w:lineRule="auto"/>
      </w:pPr>
      <w:r>
        <w:rPr>
          <w:rFonts w:hint="eastAsia"/>
        </w:rPr>
        <w:t>进场验收应核查材料实物、数量、规格型号、外观质量、质量证明文件、批号标识和运输状态。</w:t>
      </w:r>
    </w:p>
    <w:p w14:paraId="16D00B09">
      <w:pPr>
        <w:pStyle w:val="165"/>
        <w:spacing w:line="360" w:lineRule="auto"/>
      </w:pPr>
      <w:r>
        <w:rPr>
          <w:rFonts w:hint="eastAsia"/>
        </w:rPr>
        <w:t>未经验收合格的材料不得卸入合格材料区，不得发放使用。</w:t>
      </w:r>
    </w:p>
    <w:p w14:paraId="3FD05E87">
      <w:pPr>
        <w:pStyle w:val="165"/>
        <w:spacing w:line="360" w:lineRule="auto"/>
      </w:pPr>
      <w:r>
        <w:rPr>
          <w:rFonts w:hint="eastAsia"/>
        </w:rPr>
        <w:t>进场验收发现资料不全、标识不清、外观异常、规格不符或数量不符时，应暂缓验收并隔离存放。</w:t>
      </w:r>
    </w:p>
    <w:p w14:paraId="7047ABFD">
      <w:pPr>
        <w:pStyle w:val="165"/>
        <w:spacing w:line="360" w:lineRule="auto"/>
      </w:pPr>
      <w:r>
        <w:rPr>
          <w:rFonts w:hint="eastAsia"/>
        </w:rPr>
        <w:t>进场验收应形成记录。进场验收记录表可参照附录A执行。</w:t>
      </w:r>
    </w:p>
    <w:p w14:paraId="2ECB3226">
      <w:pPr>
        <w:pStyle w:val="105"/>
        <w:spacing w:before="120" w:after="120" w:line="360" w:lineRule="auto"/>
      </w:pPr>
      <w:r>
        <w:rPr>
          <w:rFonts w:hint="eastAsia"/>
        </w:rPr>
        <w:t>文件核查</w:t>
      </w:r>
    </w:p>
    <w:p w14:paraId="3CA59E67">
      <w:pPr>
        <w:pStyle w:val="165"/>
        <w:spacing w:line="360" w:lineRule="auto"/>
      </w:pPr>
      <w:r>
        <w:rPr>
          <w:rFonts w:hint="eastAsia"/>
        </w:rPr>
        <w:t>质量证明文件应与进场材料一致。</w:t>
      </w:r>
    </w:p>
    <w:p w14:paraId="6EDF11C1">
      <w:pPr>
        <w:pStyle w:val="165"/>
        <w:spacing w:line="360" w:lineRule="auto"/>
      </w:pPr>
      <w:r>
        <w:rPr>
          <w:rFonts w:hint="eastAsia"/>
        </w:rPr>
        <w:t>质量证明文件应至少包括产品名称、规格型号、生产单位、批号、数量、执行标准、检验结果、出厂日期和质量结论。</w:t>
      </w:r>
    </w:p>
    <w:p w14:paraId="1DE7ABEE">
      <w:pPr>
        <w:pStyle w:val="165"/>
        <w:spacing w:line="360" w:lineRule="auto"/>
      </w:pPr>
      <w:r>
        <w:rPr>
          <w:rFonts w:hint="eastAsia"/>
        </w:rPr>
        <w:t>材料需要复验的，不得以出厂合格证替代进场复验。</w:t>
      </w:r>
    </w:p>
    <w:p w14:paraId="4704A333">
      <w:pPr>
        <w:pStyle w:val="165"/>
        <w:spacing w:line="360" w:lineRule="auto"/>
      </w:pPr>
      <w:r>
        <w:rPr>
          <w:rFonts w:hint="eastAsia"/>
        </w:rPr>
        <w:t>质量证明文件为复印件的，应加盖供货单位或责任单位确认章，并应标明原件存放处。</w:t>
      </w:r>
    </w:p>
    <w:p w14:paraId="46BA7A26">
      <w:pPr>
        <w:pStyle w:val="165"/>
        <w:spacing w:line="360" w:lineRule="auto"/>
      </w:pPr>
      <w:r>
        <w:rPr>
          <w:rFonts w:hint="eastAsia"/>
        </w:rPr>
        <w:t>文件信息与实物标识不一致的，应查明原因；未查明前不得验收合格。</w:t>
      </w:r>
    </w:p>
    <w:p w14:paraId="6E333B43">
      <w:pPr>
        <w:pStyle w:val="105"/>
        <w:spacing w:before="120" w:after="120" w:line="360" w:lineRule="auto"/>
      </w:pPr>
      <w:r>
        <w:rPr>
          <w:rFonts w:hint="eastAsia"/>
        </w:rPr>
        <w:t>外观与规格验收</w:t>
      </w:r>
    </w:p>
    <w:p w14:paraId="3B689F62">
      <w:pPr>
        <w:pStyle w:val="165"/>
        <w:spacing w:line="360" w:lineRule="auto"/>
      </w:pPr>
      <w:r>
        <w:rPr>
          <w:rFonts w:hint="eastAsia"/>
        </w:rPr>
        <w:t>外观验收应检查包装、标识、形状、尺寸、颜色、损伤、污染、锈蚀、结块、破损和变形等情况。</w:t>
      </w:r>
    </w:p>
    <w:p w14:paraId="0BBA96B8">
      <w:pPr>
        <w:pStyle w:val="165"/>
        <w:spacing w:line="360" w:lineRule="auto"/>
      </w:pPr>
      <w:r>
        <w:rPr>
          <w:rFonts w:hint="eastAsia"/>
        </w:rPr>
        <w:t>规格验收应核对材料型号、尺寸、强度等级、压力等级、性能等级和数量。</w:t>
      </w:r>
    </w:p>
    <w:p w14:paraId="56B2090D">
      <w:pPr>
        <w:pStyle w:val="165"/>
        <w:spacing w:line="360" w:lineRule="auto"/>
      </w:pPr>
      <w:r>
        <w:rPr>
          <w:rFonts w:hint="eastAsia"/>
        </w:rPr>
        <w:t>对需要计量的材料，应采用经确认的计量方式核对数量或重量。</w:t>
      </w:r>
    </w:p>
    <w:p w14:paraId="5BB42D6C">
      <w:pPr>
        <w:pStyle w:val="165"/>
        <w:spacing w:line="360" w:lineRule="auto"/>
      </w:pPr>
      <w:r>
        <w:rPr>
          <w:rFonts w:hint="eastAsia"/>
        </w:rPr>
        <w:t>外观缺陷可能影响使用性能的，应暂停使用并进行复核或检测。</w:t>
      </w:r>
    </w:p>
    <w:p w14:paraId="5EC18C21">
      <w:pPr>
        <w:pStyle w:val="165"/>
        <w:spacing w:line="360" w:lineRule="auto"/>
      </w:pPr>
      <w:r>
        <w:rPr>
          <w:rFonts w:hint="eastAsia"/>
        </w:rPr>
        <w:t>外观验收合格不得替代性能检测。</w:t>
      </w:r>
    </w:p>
    <w:p w14:paraId="5709344B">
      <w:pPr>
        <w:pStyle w:val="105"/>
        <w:spacing w:before="120" w:after="120" w:line="360" w:lineRule="auto"/>
      </w:pPr>
      <w:r>
        <w:rPr>
          <w:rFonts w:hint="eastAsia"/>
        </w:rPr>
        <w:t>验收结论</w:t>
      </w:r>
    </w:p>
    <w:p w14:paraId="757919E9">
      <w:pPr>
        <w:pStyle w:val="165"/>
        <w:spacing w:line="360" w:lineRule="auto"/>
      </w:pPr>
      <w:r>
        <w:rPr>
          <w:rFonts w:hint="eastAsia"/>
        </w:rPr>
        <w:t>进场验收结论应分为验收合格、待复验、待补资料、不合格和退场处理。</w:t>
      </w:r>
    </w:p>
    <w:p w14:paraId="5F79C094">
      <w:pPr>
        <w:pStyle w:val="165"/>
        <w:spacing w:line="360" w:lineRule="auto"/>
      </w:pPr>
      <w:r>
        <w:rPr>
          <w:rFonts w:hint="eastAsia"/>
        </w:rPr>
        <w:t>待复验材料应设置待检标识，并应在检测结果合格后方可使用。</w:t>
      </w:r>
    </w:p>
    <w:p w14:paraId="47304996">
      <w:pPr>
        <w:pStyle w:val="165"/>
        <w:spacing w:line="360" w:lineRule="auto"/>
      </w:pPr>
      <w:r>
        <w:rPr>
          <w:rFonts w:hint="eastAsia"/>
        </w:rPr>
        <w:t>待补资料材料不得投入使用，资料补齐并经审核后方可进入下一环节。</w:t>
      </w:r>
    </w:p>
    <w:p w14:paraId="38D630CD">
      <w:pPr>
        <w:pStyle w:val="165"/>
        <w:spacing w:line="360" w:lineRule="auto"/>
      </w:pPr>
      <w:r>
        <w:rPr>
          <w:rFonts w:hint="eastAsia"/>
        </w:rPr>
        <w:t>不合格材料应隔离存放并按第12章处置。</w:t>
      </w:r>
    </w:p>
    <w:p w14:paraId="7FD34FA8">
      <w:pPr>
        <w:pStyle w:val="165"/>
        <w:spacing w:line="360" w:lineRule="auto"/>
      </w:pPr>
      <w:r>
        <w:rPr>
          <w:rFonts w:hint="eastAsia"/>
        </w:rPr>
        <w:t>验收结论应由施工单位和监理单位相关人员签认。</w:t>
      </w:r>
    </w:p>
    <w:p w14:paraId="419DB289">
      <w:pPr>
        <w:pStyle w:val="104"/>
        <w:spacing w:before="240" w:after="240" w:line="360" w:lineRule="auto"/>
      </w:pPr>
      <w:bookmarkStart w:id="56" w:name="_Toc228604103"/>
      <w:r>
        <w:rPr>
          <w:rFonts w:hint="eastAsia"/>
        </w:rPr>
        <w:t>抽样与试验检测</w:t>
      </w:r>
      <w:bookmarkEnd w:id="56"/>
    </w:p>
    <w:p w14:paraId="73B87A21">
      <w:pPr>
        <w:pStyle w:val="105"/>
        <w:spacing w:before="120" w:after="120" w:line="360" w:lineRule="auto"/>
      </w:pPr>
      <w:r>
        <w:rPr>
          <w:rFonts w:hint="eastAsia"/>
        </w:rPr>
        <w:t>一般要求</w:t>
      </w:r>
    </w:p>
    <w:p w14:paraId="2A332E61">
      <w:pPr>
        <w:pStyle w:val="165"/>
        <w:spacing w:line="360" w:lineRule="auto"/>
      </w:pPr>
      <w:r>
        <w:rPr>
          <w:rFonts w:hint="eastAsia"/>
        </w:rPr>
        <w:t>工程材料应按设计、标准、合同和质量控制计划进行抽样与试验检测。</w:t>
      </w:r>
    </w:p>
    <w:p w14:paraId="40FC8FE5">
      <w:pPr>
        <w:pStyle w:val="165"/>
        <w:spacing w:line="360" w:lineRule="auto"/>
      </w:pPr>
      <w:r>
        <w:rPr>
          <w:rFonts w:hint="eastAsia"/>
        </w:rPr>
        <w:t>抽样检测应覆盖关键材料、主要材料、质量波动材料和有疑问材料。</w:t>
      </w:r>
    </w:p>
    <w:p w14:paraId="29F03961">
      <w:pPr>
        <w:pStyle w:val="165"/>
        <w:spacing w:line="360" w:lineRule="auto"/>
      </w:pPr>
      <w:r>
        <w:rPr>
          <w:rFonts w:hint="eastAsia"/>
        </w:rPr>
        <w:t>见证取样应按规定实施，见证人员应对取样、封样和送样过程进行见证。</w:t>
      </w:r>
    </w:p>
    <w:p w14:paraId="51AEBCB9">
      <w:pPr>
        <w:pStyle w:val="165"/>
        <w:spacing w:line="360" w:lineRule="auto"/>
      </w:pPr>
      <w:r>
        <w:rPr>
          <w:rFonts w:hint="eastAsia"/>
        </w:rPr>
        <w:t>检测结果未出具或未判定前，待检材料不得用于工程实体。确需紧急使用的，应按批准程序和风险控制措施执行。</w:t>
      </w:r>
    </w:p>
    <w:p w14:paraId="680E44D6">
      <w:pPr>
        <w:pStyle w:val="165"/>
        <w:spacing w:line="360" w:lineRule="auto"/>
      </w:pPr>
      <w:r>
        <w:rPr>
          <w:rFonts w:hint="eastAsia"/>
        </w:rPr>
        <w:t>抽样、送检和检测过程应形成记录，并应与材料批次、使用部位和检测报告关联。</w:t>
      </w:r>
    </w:p>
    <w:p w14:paraId="2005430A">
      <w:pPr>
        <w:pStyle w:val="105"/>
        <w:spacing w:before="120" w:after="120" w:line="360" w:lineRule="auto"/>
      </w:pPr>
      <w:r>
        <w:rPr>
          <w:rFonts w:hint="eastAsia"/>
        </w:rPr>
        <w:t>抽样要求</w:t>
      </w:r>
    </w:p>
    <w:p w14:paraId="11F63CB9">
      <w:pPr>
        <w:pStyle w:val="165"/>
        <w:spacing w:line="360" w:lineRule="auto"/>
      </w:pPr>
      <w:r>
        <w:rPr>
          <w:rFonts w:hint="eastAsia"/>
        </w:rPr>
        <w:t>抽样应具有代表性，不得选择性抽取外观较好或质量状态特殊的样品。</w:t>
      </w:r>
    </w:p>
    <w:p w14:paraId="20826EA1">
      <w:pPr>
        <w:pStyle w:val="165"/>
        <w:spacing w:line="360" w:lineRule="auto"/>
      </w:pPr>
      <w:r>
        <w:rPr>
          <w:rFonts w:hint="eastAsia"/>
        </w:rPr>
        <w:t>抽样数量、抽样部位、抽样方法和样品制备应符合相应标准要求。</w:t>
      </w:r>
    </w:p>
    <w:p w14:paraId="550C7D2C">
      <w:pPr>
        <w:pStyle w:val="165"/>
        <w:spacing w:line="360" w:lineRule="auto"/>
      </w:pPr>
      <w:r>
        <w:rPr>
          <w:rFonts w:hint="eastAsia"/>
        </w:rPr>
        <w:t>样品应进行唯一编号，并应标明材料名称、规格型号、批号、取样地点、取样时间和取样人员。</w:t>
      </w:r>
    </w:p>
    <w:p w14:paraId="1A2FF341">
      <w:pPr>
        <w:pStyle w:val="165"/>
        <w:spacing w:line="360" w:lineRule="auto"/>
      </w:pPr>
      <w:r>
        <w:rPr>
          <w:rFonts w:hint="eastAsia"/>
        </w:rPr>
        <w:t>样品封样应完整，封样标识不得损坏或擅自开启。</w:t>
      </w:r>
    </w:p>
    <w:p w14:paraId="09636388">
      <w:pPr>
        <w:pStyle w:val="165"/>
        <w:spacing w:line="360" w:lineRule="auto"/>
      </w:pPr>
      <w:r>
        <w:rPr>
          <w:rFonts w:hint="eastAsia"/>
        </w:rPr>
        <w:t>取样记录信息应与委托单、样品标签和检测报告一致。</w:t>
      </w:r>
    </w:p>
    <w:p w14:paraId="7C8CA049">
      <w:pPr>
        <w:pStyle w:val="105"/>
        <w:spacing w:before="120" w:after="120" w:line="360" w:lineRule="auto"/>
      </w:pPr>
      <w:r>
        <w:rPr>
          <w:rFonts w:hint="eastAsia"/>
        </w:rPr>
        <w:t>送检要求</w:t>
      </w:r>
    </w:p>
    <w:p w14:paraId="7CC51DCC">
      <w:pPr>
        <w:pStyle w:val="165"/>
        <w:spacing w:line="360" w:lineRule="auto"/>
      </w:pPr>
      <w:r>
        <w:rPr>
          <w:rFonts w:hint="eastAsia"/>
        </w:rPr>
        <w:t>送检前应填写检测委托单，明确检测项目、检测依据、样品信息和委托要求。</w:t>
      </w:r>
    </w:p>
    <w:p w14:paraId="0F169CA6">
      <w:pPr>
        <w:pStyle w:val="165"/>
        <w:spacing w:line="360" w:lineRule="auto"/>
      </w:pPr>
      <w:r>
        <w:rPr>
          <w:rFonts w:hint="eastAsia"/>
        </w:rPr>
        <w:t>样品运输应防止损坏、污染、混淆、受潮、温度异常和性能变化。</w:t>
      </w:r>
    </w:p>
    <w:p w14:paraId="779E63B3">
      <w:pPr>
        <w:pStyle w:val="165"/>
        <w:spacing w:line="360" w:lineRule="auto"/>
      </w:pPr>
      <w:r>
        <w:rPr>
          <w:rFonts w:hint="eastAsia"/>
        </w:rPr>
        <w:t>检测机构接收样品时，应核查样品状态、封样情况、委托信息和样品数量。</w:t>
      </w:r>
    </w:p>
    <w:p w14:paraId="16DF6760">
      <w:pPr>
        <w:pStyle w:val="165"/>
        <w:spacing w:line="360" w:lineRule="auto"/>
      </w:pPr>
      <w:r>
        <w:rPr>
          <w:rFonts w:hint="eastAsia"/>
        </w:rPr>
        <w:t>样品状态不符合检测要求的，应记录并通知委托方处理。</w:t>
      </w:r>
    </w:p>
    <w:p w14:paraId="3A096471">
      <w:pPr>
        <w:pStyle w:val="105"/>
        <w:spacing w:before="120" w:after="120" w:line="360" w:lineRule="auto"/>
      </w:pPr>
      <w:r>
        <w:rPr>
          <w:rFonts w:hint="eastAsia"/>
        </w:rPr>
        <w:t>检测结果管理</w:t>
      </w:r>
    </w:p>
    <w:p w14:paraId="7AE75F63">
      <w:pPr>
        <w:pStyle w:val="165"/>
        <w:spacing w:line="360" w:lineRule="auto"/>
      </w:pPr>
      <w:r>
        <w:rPr>
          <w:rFonts w:hint="eastAsia"/>
        </w:rPr>
        <w:t>检测报告应经施工单位、监理单位按职责核查。</w:t>
      </w:r>
    </w:p>
    <w:p w14:paraId="47C3782A">
      <w:pPr>
        <w:pStyle w:val="165"/>
        <w:spacing w:line="360" w:lineRule="auto"/>
      </w:pPr>
      <w:r>
        <w:rPr>
          <w:rFonts w:hint="eastAsia"/>
        </w:rPr>
        <w:t>检测报告应与材料批次、取样记录和使用部位对应。</w:t>
      </w:r>
    </w:p>
    <w:p w14:paraId="77E4E1A4">
      <w:pPr>
        <w:pStyle w:val="165"/>
        <w:spacing w:line="360" w:lineRule="auto"/>
      </w:pPr>
      <w:r>
        <w:rPr>
          <w:rFonts w:hint="eastAsia"/>
        </w:rPr>
        <w:t>检测结果不合格的，应立即停止该批材料使用，并应按不合格材料处置程序处理。</w:t>
      </w:r>
    </w:p>
    <w:p w14:paraId="04D158B9">
      <w:pPr>
        <w:pStyle w:val="165"/>
        <w:spacing w:line="360" w:lineRule="auto"/>
      </w:pPr>
      <w:r>
        <w:rPr>
          <w:rFonts w:hint="eastAsia"/>
        </w:rPr>
        <w:t>对检测结果存在疑义的，可按规定进行复检。复检应明确复检依据、复检样品和判定规则。</w:t>
      </w:r>
    </w:p>
    <w:p w14:paraId="788A6FDA">
      <w:pPr>
        <w:pStyle w:val="165"/>
        <w:spacing w:line="360" w:lineRule="auto"/>
      </w:pPr>
      <w:r>
        <w:rPr>
          <w:rFonts w:hint="eastAsia"/>
        </w:rPr>
        <w:t>检测报告不得涂改。确需更正的，应由检测单位按程序出具更正文件。</w:t>
      </w:r>
    </w:p>
    <w:p w14:paraId="6CEA1317">
      <w:pPr>
        <w:pStyle w:val="105"/>
        <w:spacing w:before="120" w:after="120" w:line="360" w:lineRule="auto"/>
      </w:pPr>
      <w:r>
        <w:rPr>
          <w:rFonts w:hint="eastAsia"/>
        </w:rPr>
        <w:t>现场试验与过程检测</w:t>
      </w:r>
    </w:p>
    <w:p w14:paraId="609B62EC">
      <w:pPr>
        <w:pStyle w:val="165"/>
        <w:spacing w:line="360" w:lineRule="auto"/>
      </w:pPr>
      <w:r>
        <w:rPr>
          <w:rFonts w:hint="eastAsia"/>
        </w:rPr>
        <w:t>混凝土、砂浆、灌浆材料、填筑材料、防渗材料等应根据施工过程开展现场试验和过程检测。</w:t>
      </w:r>
    </w:p>
    <w:p w14:paraId="531986D9">
      <w:pPr>
        <w:pStyle w:val="165"/>
        <w:spacing w:line="360" w:lineRule="auto"/>
      </w:pPr>
      <w:r>
        <w:rPr>
          <w:rFonts w:hint="eastAsia"/>
        </w:rPr>
        <w:t>混凝土拌合物应按规定检测坍落度、扩展度、含气量、温度或其他性能指标。</w:t>
      </w:r>
    </w:p>
    <w:p w14:paraId="4B314A41">
      <w:pPr>
        <w:pStyle w:val="165"/>
        <w:spacing w:line="360" w:lineRule="auto"/>
      </w:pPr>
      <w:r>
        <w:rPr>
          <w:rFonts w:hint="eastAsia"/>
        </w:rPr>
        <w:t>混凝土、砂浆试件应按规定制作、养护、送检和评定。</w:t>
      </w:r>
    </w:p>
    <w:p w14:paraId="71205CA7">
      <w:pPr>
        <w:pStyle w:val="165"/>
        <w:spacing w:line="360" w:lineRule="auto"/>
      </w:pPr>
      <w:r>
        <w:rPr>
          <w:rFonts w:hint="eastAsia"/>
        </w:rPr>
        <w:t>灌浆材料应检测浆液密度、流动性、凝结时间、稳定性或设计要求的其他指标。</w:t>
      </w:r>
    </w:p>
    <w:p w14:paraId="7695ADFF">
      <w:pPr>
        <w:pStyle w:val="165"/>
        <w:spacing w:line="360" w:lineRule="auto"/>
      </w:pPr>
      <w:r>
        <w:rPr>
          <w:rFonts w:hint="eastAsia"/>
        </w:rPr>
        <w:t>现场试验结果不满足要求时，应及时调整工艺或停止使用相关材料。</w:t>
      </w:r>
    </w:p>
    <w:p w14:paraId="53E9CF2B">
      <w:pPr>
        <w:pStyle w:val="104"/>
        <w:spacing w:before="240" w:after="240" w:line="360" w:lineRule="auto"/>
      </w:pPr>
      <w:bookmarkStart w:id="57" w:name="_Toc228604104"/>
      <w:r>
        <w:rPr>
          <w:rFonts w:hint="eastAsia"/>
        </w:rPr>
        <w:t>储存保管与防护</w:t>
      </w:r>
      <w:bookmarkEnd w:id="57"/>
    </w:p>
    <w:p w14:paraId="471A9C08">
      <w:pPr>
        <w:pStyle w:val="105"/>
        <w:spacing w:before="120" w:after="120" w:line="360" w:lineRule="auto"/>
      </w:pPr>
      <w:r>
        <w:rPr>
          <w:rFonts w:hint="eastAsia"/>
        </w:rPr>
        <w:t>一般要求</w:t>
      </w:r>
    </w:p>
    <w:p w14:paraId="60B4F939">
      <w:pPr>
        <w:pStyle w:val="165"/>
        <w:spacing w:line="360" w:lineRule="auto"/>
      </w:pPr>
      <w:r>
        <w:rPr>
          <w:rFonts w:hint="eastAsia"/>
        </w:rPr>
        <w:t>材料储存场所应满足材料特性、质量保持、安全管理和现场使用要求。</w:t>
      </w:r>
    </w:p>
    <w:p w14:paraId="720FE5FB">
      <w:pPr>
        <w:pStyle w:val="165"/>
        <w:spacing w:line="360" w:lineRule="auto"/>
      </w:pPr>
      <w:r>
        <w:rPr>
          <w:rFonts w:hint="eastAsia"/>
        </w:rPr>
        <w:t>材料应按品种、规格、批次和质量状态分区存放，并应设置标识。</w:t>
      </w:r>
    </w:p>
    <w:p w14:paraId="25F696AD">
      <w:pPr>
        <w:pStyle w:val="165"/>
        <w:spacing w:line="360" w:lineRule="auto"/>
      </w:pPr>
      <w:r>
        <w:rPr>
          <w:rFonts w:hint="eastAsia"/>
        </w:rPr>
        <w:t>材料储存应采取防雨、防潮、防晒、防冻、防火、防污染、防锈蚀、防混杂和防机械损伤措施。</w:t>
      </w:r>
    </w:p>
    <w:p w14:paraId="7BC7AA77">
      <w:pPr>
        <w:pStyle w:val="165"/>
        <w:spacing w:line="360" w:lineRule="auto"/>
      </w:pPr>
      <w:r>
        <w:rPr>
          <w:rFonts w:hint="eastAsia"/>
        </w:rPr>
        <w:t>材料储存期间应定期检查。发现变质、破损、受潮、污染、锈蚀或标识脱落的，应及时处理。</w:t>
      </w:r>
    </w:p>
    <w:p w14:paraId="74F0A931">
      <w:pPr>
        <w:pStyle w:val="165"/>
        <w:spacing w:line="360" w:lineRule="auto"/>
      </w:pPr>
      <w:r>
        <w:rPr>
          <w:rFonts w:hint="eastAsia"/>
        </w:rPr>
        <w:t>储存条件不满足要求的材料不得投入使用。</w:t>
      </w:r>
    </w:p>
    <w:p w14:paraId="0A7A09B4">
      <w:pPr>
        <w:pStyle w:val="105"/>
        <w:spacing w:before="120" w:after="120" w:line="360" w:lineRule="auto"/>
      </w:pPr>
      <w:r>
        <w:rPr>
          <w:rFonts w:hint="eastAsia"/>
        </w:rPr>
        <w:t>仓储管理</w:t>
      </w:r>
    </w:p>
    <w:p w14:paraId="66A6B708">
      <w:pPr>
        <w:pStyle w:val="165"/>
        <w:spacing w:line="360" w:lineRule="auto"/>
      </w:pPr>
      <w:r>
        <w:rPr>
          <w:rFonts w:hint="eastAsia"/>
        </w:rPr>
        <w:t>仓储区域应布置合理，满足材料进出、检查、装卸和消防要求。</w:t>
      </w:r>
    </w:p>
    <w:p w14:paraId="408D2833">
      <w:pPr>
        <w:pStyle w:val="165"/>
        <w:spacing w:line="360" w:lineRule="auto"/>
      </w:pPr>
      <w:r>
        <w:rPr>
          <w:rFonts w:hint="eastAsia"/>
        </w:rPr>
        <w:t>仓库应保持干燥、通风、整洁，不得存放与工程材料无关的污染性物品。</w:t>
      </w:r>
    </w:p>
    <w:p w14:paraId="391BBBA4">
      <w:pPr>
        <w:pStyle w:val="165"/>
        <w:spacing w:line="360" w:lineRule="auto"/>
      </w:pPr>
      <w:r>
        <w:rPr>
          <w:rFonts w:hint="eastAsia"/>
        </w:rPr>
        <w:t>易燃、易爆、有毒、有腐蚀性或需特殊储存条件的材料，应按安全要求专库存放或专门管理。</w:t>
      </w:r>
    </w:p>
    <w:p w14:paraId="59B2C950">
      <w:pPr>
        <w:pStyle w:val="165"/>
        <w:spacing w:line="360" w:lineRule="auto"/>
      </w:pPr>
      <w:r>
        <w:rPr>
          <w:rFonts w:hint="eastAsia"/>
        </w:rPr>
        <w:t>材料出入库应登记名称、规格、数量、批号、质量状态、领用单位和使用部位。</w:t>
      </w:r>
    </w:p>
    <w:p w14:paraId="08CBDB6B">
      <w:pPr>
        <w:pStyle w:val="165"/>
        <w:spacing w:line="360" w:lineRule="auto"/>
      </w:pPr>
      <w:r>
        <w:rPr>
          <w:rFonts w:hint="eastAsia"/>
        </w:rPr>
        <w:t>仓储台账应定期核对实物，账物不符时应查明原因。</w:t>
      </w:r>
    </w:p>
    <w:p w14:paraId="04DD3645">
      <w:pPr>
        <w:pStyle w:val="105"/>
        <w:spacing w:before="120" w:after="120" w:line="360" w:lineRule="auto"/>
      </w:pPr>
      <w:r>
        <w:rPr>
          <w:rFonts w:hint="eastAsia"/>
        </w:rPr>
        <w:t>堆场管理</w:t>
      </w:r>
    </w:p>
    <w:p w14:paraId="489B4469">
      <w:pPr>
        <w:pStyle w:val="165"/>
        <w:spacing w:line="360" w:lineRule="auto"/>
      </w:pPr>
      <w:r>
        <w:rPr>
          <w:rFonts w:hint="eastAsia"/>
        </w:rPr>
        <w:t>砂石骨料、块石、填筑料、管材和大型构配件堆场应平整、排水通畅，并应采取防污染措施。</w:t>
      </w:r>
    </w:p>
    <w:p w14:paraId="147B3B71">
      <w:pPr>
        <w:pStyle w:val="165"/>
        <w:spacing w:line="360" w:lineRule="auto"/>
      </w:pPr>
      <w:r>
        <w:rPr>
          <w:rFonts w:hint="eastAsia"/>
        </w:rPr>
        <w:t>不同规格骨料应分仓堆放，仓间应设置隔离设施。</w:t>
      </w:r>
    </w:p>
    <w:p w14:paraId="71AE1DC7">
      <w:pPr>
        <w:pStyle w:val="165"/>
        <w:spacing w:line="360" w:lineRule="auto"/>
      </w:pPr>
      <w:r>
        <w:rPr>
          <w:rFonts w:hint="eastAsia"/>
        </w:rPr>
        <w:t>堆场不得混入泥土、杂物、有机物和其他影响材料质量的物质。</w:t>
      </w:r>
    </w:p>
    <w:p w14:paraId="43BBB71C">
      <w:pPr>
        <w:pStyle w:val="165"/>
        <w:spacing w:line="360" w:lineRule="auto"/>
      </w:pPr>
      <w:r>
        <w:rPr>
          <w:rFonts w:hint="eastAsia"/>
        </w:rPr>
        <w:t>管材、型材和构配件堆放应采取垫高、防滚动、防变形和防损伤措施。</w:t>
      </w:r>
    </w:p>
    <w:p w14:paraId="457030AB">
      <w:pPr>
        <w:pStyle w:val="165"/>
        <w:spacing w:line="360" w:lineRule="auto"/>
      </w:pPr>
      <w:r>
        <w:rPr>
          <w:rFonts w:hint="eastAsia"/>
        </w:rPr>
        <w:t>堆场材料应设置明显标识，标识应包括名称、规格、来源、批次和质量状态。</w:t>
      </w:r>
    </w:p>
    <w:p w14:paraId="5D03E198">
      <w:pPr>
        <w:pStyle w:val="104"/>
        <w:spacing w:before="240" w:after="240" w:line="360" w:lineRule="auto"/>
      </w:pPr>
      <w:bookmarkStart w:id="58" w:name="_Toc228604105"/>
      <w:r>
        <w:rPr>
          <w:rFonts w:hint="eastAsia"/>
        </w:rPr>
        <w:t>使用过程质量控制</w:t>
      </w:r>
      <w:bookmarkEnd w:id="58"/>
    </w:p>
    <w:p w14:paraId="5529053D">
      <w:pPr>
        <w:pStyle w:val="105"/>
        <w:spacing w:before="120" w:after="120" w:line="360" w:lineRule="auto"/>
      </w:pPr>
      <w:r>
        <w:rPr>
          <w:rFonts w:hint="eastAsia"/>
        </w:rPr>
        <w:t>一般要求</w:t>
      </w:r>
    </w:p>
    <w:p w14:paraId="183C324F">
      <w:pPr>
        <w:pStyle w:val="165"/>
        <w:spacing w:line="360" w:lineRule="auto"/>
      </w:pPr>
      <w:r>
        <w:rPr>
          <w:rFonts w:hint="eastAsia"/>
        </w:rPr>
        <w:t>材料使用前应确认材料质量状态、使用部位、技术要求和领用记录。</w:t>
      </w:r>
    </w:p>
    <w:p w14:paraId="61DFC364">
      <w:pPr>
        <w:pStyle w:val="165"/>
        <w:spacing w:line="360" w:lineRule="auto"/>
      </w:pPr>
      <w:r>
        <w:rPr>
          <w:rFonts w:hint="eastAsia"/>
        </w:rPr>
        <w:t>材料使用应执行批准的施工方案、配合比、工艺参数和质量控制要求。</w:t>
      </w:r>
    </w:p>
    <w:p w14:paraId="220AB4B9">
      <w:pPr>
        <w:pStyle w:val="165"/>
        <w:spacing w:line="360" w:lineRule="auto"/>
      </w:pPr>
      <w:r>
        <w:rPr>
          <w:rFonts w:hint="eastAsia"/>
        </w:rPr>
        <w:t>材料发放、加工、拌制、安装、铺设和回收应记录。</w:t>
      </w:r>
    </w:p>
    <w:p w14:paraId="66D6137C">
      <w:pPr>
        <w:pStyle w:val="165"/>
        <w:spacing w:line="360" w:lineRule="auto"/>
      </w:pPr>
      <w:r>
        <w:rPr>
          <w:rFonts w:hint="eastAsia"/>
        </w:rPr>
        <w:t>施工过程中发现材料异常时，应立即停止使用相关材料，并应进行核查。</w:t>
      </w:r>
    </w:p>
    <w:p w14:paraId="1A28D330">
      <w:pPr>
        <w:pStyle w:val="165"/>
        <w:spacing w:line="360" w:lineRule="auto"/>
      </w:pPr>
      <w:r>
        <w:rPr>
          <w:rFonts w:hint="eastAsia"/>
        </w:rPr>
        <w:t>材料使用后应能追溯至进场批次、检测报告和使用部位。</w:t>
      </w:r>
    </w:p>
    <w:p w14:paraId="00CE5968">
      <w:pPr>
        <w:pStyle w:val="105"/>
        <w:spacing w:before="120" w:after="120" w:line="360" w:lineRule="auto"/>
      </w:pPr>
      <w:r>
        <w:rPr>
          <w:rFonts w:hint="eastAsia"/>
        </w:rPr>
        <w:t>领用与发放</w:t>
      </w:r>
    </w:p>
    <w:p w14:paraId="0892D427">
      <w:pPr>
        <w:pStyle w:val="165"/>
        <w:spacing w:line="360" w:lineRule="auto"/>
      </w:pPr>
      <w:r>
        <w:rPr>
          <w:rFonts w:hint="eastAsia"/>
        </w:rPr>
        <w:t>材料领用应按工程部位、施工任务和质量状态办理。</w:t>
      </w:r>
    </w:p>
    <w:p w14:paraId="7FA54ACB">
      <w:pPr>
        <w:pStyle w:val="165"/>
        <w:spacing w:line="360" w:lineRule="auto"/>
      </w:pPr>
      <w:r>
        <w:rPr>
          <w:rFonts w:hint="eastAsia"/>
        </w:rPr>
        <w:t>仓库或现场材料管理人员应核对领用材料的名称、规格、批号、数量和合格状态。</w:t>
      </w:r>
    </w:p>
    <w:p w14:paraId="64182FEA">
      <w:pPr>
        <w:pStyle w:val="165"/>
        <w:spacing w:line="360" w:lineRule="auto"/>
      </w:pPr>
      <w:r>
        <w:rPr>
          <w:rFonts w:hint="eastAsia"/>
        </w:rPr>
        <w:t>待检、不合格、退场和限制使用材料不得发放。</w:t>
      </w:r>
    </w:p>
    <w:p w14:paraId="1F038857">
      <w:pPr>
        <w:pStyle w:val="165"/>
        <w:spacing w:line="360" w:lineRule="auto"/>
      </w:pPr>
      <w:r>
        <w:rPr>
          <w:rFonts w:hint="eastAsia"/>
        </w:rPr>
        <w:t>材料领用记录应写明领用单位、领用人员、使用部位、领用数量和领用时间。</w:t>
      </w:r>
    </w:p>
    <w:p w14:paraId="34F58DA9">
      <w:pPr>
        <w:pStyle w:val="105"/>
        <w:spacing w:before="120" w:after="120" w:line="360" w:lineRule="auto"/>
      </w:pPr>
      <w:r>
        <w:rPr>
          <w:rFonts w:hint="eastAsia"/>
        </w:rPr>
        <w:t>加工与配制</w:t>
      </w:r>
    </w:p>
    <w:p w14:paraId="32B7E6C8">
      <w:pPr>
        <w:pStyle w:val="165"/>
        <w:spacing w:line="360" w:lineRule="auto"/>
      </w:pPr>
      <w:r>
        <w:rPr>
          <w:rFonts w:hint="eastAsia"/>
        </w:rPr>
        <w:t>钢筋加工、止水材料接头、土工材料裁剪、灌浆材料配制、混凝土拌制和砂浆拌制应按批准工艺实施。</w:t>
      </w:r>
    </w:p>
    <w:p w14:paraId="04738C2D">
      <w:pPr>
        <w:pStyle w:val="165"/>
        <w:spacing w:line="360" w:lineRule="auto"/>
      </w:pPr>
      <w:r>
        <w:rPr>
          <w:rFonts w:hint="eastAsia"/>
        </w:rPr>
        <w:t>材料加工前应核查规格、质量状态和加工要求。</w:t>
      </w:r>
    </w:p>
    <w:p w14:paraId="167BD94A">
      <w:pPr>
        <w:pStyle w:val="165"/>
        <w:spacing w:line="360" w:lineRule="auto"/>
      </w:pPr>
      <w:r>
        <w:rPr>
          <w:rFonts w:hint="eastAsia"/>
        </w:rPr>
        <w:t>混凝土、砂浆和灌浆材料应按批准配合比计量，不得擅自调整材料品种、掺量和水灰比。</w:t>
      </w:r>
    </w:p>
    <w:p w14:paraId="7C0471DC">
      <w:pPr>
        <w:pStyle w:val="165"/>
        <w:spacing w:line="360" w:lineRule="auto"/>
      </w:pPr>
      <w:r>
        <w:rPr>
          <w:rFonts w:hint="eastAsia"/>
        </w:rPr>
        <w:t>加工后材料应进行必要检查，检查合格后方可使用。</w:t>
      </w:r>
    </w:p>
    <w:p w14:paraId="44EE5DD1">
      <w:pPr>
        <w:pStyle w:val="105"/>
        <w:spacing w:before="120" w:after="120" w:line="360" w:lineRule="auto"/>
      </w:pPr>
      <w:r>
        <w:rPr>
          <w:rFonts w:hint="eastAsia"/>
        </w:rPr>
        <w:t>使用部位记录</w:t>
      </w:r>
    </w:p>
    <w:p w14:paraId="07D1D913">
      <w:pPr>
        <w:pStyle w:val="165"/>
        <w:spacing w:line="360" w:lineRule="auto"/>
      </w:pPr>
      <w:r>
        <w:rPr>
          <w:rFonts w:hint="eastAsia"/>
        </w:rPr>
        <w:t>关键材料应记录使用部位。</w:t>
      </w:r>
    </w:p>
    <w:p w14:paraId="35E37F06">
      <w:pPr>
        <w:pStyle w:val="165"/>
        <w:spacing w:line="360" w:lineRule="auto"/>
      </w:pPr>
      <w:r>
        <w:rPr>
          <w:rFonts w:hint="eastAsia"/>
        </w:rPr>
        <w:t>使用部位记录应包括材料批号、检测报告编号、使用日期、使用数量、工程部位、施工班组和责任人员。</w:t>
      </w:r>
    </w:p>
    <w:p w14:paraId="7E55AF57">
      <w:pPr>
        <w:pStyle w:val="165"/>
        <w:spacing w:line="360" w:lineRule="auto"/>
      </w:pPr>
      <w:r>
        <w:rPr>
          <w:rFonts w:hint="eastAsia"/>
        </w:rPr>
        <w:t>混凝土浇筑、钢筋安装、止水材料安装、土工材料铺设、防渗材料铺设、灌浆施工和管材安装等关键工序，应建立材料使用追溯记录。</w:t>
      </w:r>
    </w:p>
    <w:p w14:paraId="539ED7E5">
      <w:pPr>
        <w:pStyle w:val="165"/>
        <w:spacing w:line="360" w:lineRule="auto"/>
      </w:pPr>
      <w:r>
        <w:rPr>
          <w:rFonts w:hint="eastAsia"/>
        </w:rPr>
        <w:t>使用部位记录应与单元工程质量验收资料、施工日志和检测资料一致。</w:t>
      </w:r>
    </w:p>
    <w:p w14:paraId="2263FEF6">
      <w:pPr>
        <w:pStyle w:val="104"/>
        <w:spacing w:before="240" w:after="240" w:line="360" w:lineRule="auto"/>
      </w:pPr>
      <w:bookmarkStart w:id="59" w:name="_Toc228604106"/>
      <w:r>
        <w:rPr>
          <w:rFonts w:hint="eastAsia"/>
        </w:rPr>
        <w:t>不合格材料处置</w:t>
      </w:r>
      <w:bookmarkEnd w:id="59"/>
    </w:p>
    <w:p w14:paraId="544EACAF">
      <w:pPr>
        <w:pStyle w:val="105"/>
        <w:spacing w:before="120" w:after="120" w:line="360" w:lineRule="auto"/>
      </w:pPr>
      <w:r>
        <w:rPr>
          <w:rFonts w:hint="eastAsia"/>
        </w:rPr>
        <w:t>一般要求</w:t>
      </w:r>
    </w:p>
    <w:p w14:paraId="62D5A52A">
      <w:pPr>
        <w:pStyle w:val="165"/>
        <w:spacing w:line="360" w:lineRule="auto"/>
      </w:pPr>
      <w:r>
        <w:rPr>
          <w:rFonts w:hint="eastAsia"/>
        </w:rPr>
        <w:t>不合格材料应按识别、隔离、标识、评审、处置、验证和归档程序管理。</w:t>
      </w:r>
    </w:p>
    <w:p w14:paraId="3C4E3E00">
      <w:pPr>
        <w:pStyle w:val="165"/>
        <w:spacing w:line="360" w:lineRule="auto"/>
      </w:pPr>
      <w:r>
        <w:rPr>
          <w:rFonts w:hint="eastAsia"/>
        </w:rPr>
        <w:t>不合格材料不得进入合格材料区，不得发放使用，不得与合格材料混放。</w:t>
      </w:r>
    </w:p>
    <w:p w14:paraId="33544E88">
      <w:pPr>
        <w:pStyle w:val="165"/>
        <w:spacing w:line="360" w:lineRule="auto"/>
      </w:pPr>
      <w:r>
        <w:rPr>
          <w:rFonts w:hint="eastAsia"/>
        </w:rPr>
        <w:t>不合格材料处置应明确责任单位、处置方式、审批程序和验证要求。</w:t>
      </w:r>
    </w:p>
    <w:p w14:paraId="21D74DE1">
      <w:pPr>
        <w:pStyle w:val="165"/>
        <w:spacing w:line="360" w:lineRule="auto"/>
      </w:pPr>
      <w:r>
        <w:rPr>
          <w:rFonts w:hint="eastAsia"/>
        </w:rPr>
        <w:t>不合格材料处置不得仅以口头说明替代书面记录。</w:t>
      </w:r>
    </w:p>
    <w:p w14:paraId="5B1F5C77">
      <w:pPr>
        <w:pStyle w:val="165"/>
        <w:spacing w:line="360" w:lineRule="auto"/>
      </w:pPr>
      <w:r>
        <w:rPr>
          <w:rFonts w:hint="eastAsia"/>
        </w:rPr>
        <w:t>不合格材料处置记录表可参照附录B执行。</w:t>
      </w:r>
    </w:p>
    <w:p w14:paraId="5C41161C">
      <w:pPr>
        <w:pStyle w:val="105"/>
        <w:spacing w:before="120" w:after="120" w:line="360" w:lineRule="auto"/>
      </w:pPr>
      <w:r>
        <w:rPr>
          <w:rFonts w:hint="eastAsia"/>
        </w:rPr>
        <w:t>不合格识别</w:t>
      </w:r>
    </w:p>
    <w:p w14:paraId="63135093">
      <w:pPr>
        <w:pStyle w:val="165"/>
        <w:spacing w:line="360" w:lineRule="auto"/>
      </w:pPr>
      <w:r>
        <w:rPr>
          <w:rFonts w:hint="eastAsia"/>
        </w:rPr>
        <w:t>下列情形应判定为不合格或疑似不合格：</w:t>
      </w:r>
    </w:p>
    <w:p w14:paraId="60420A9E">
      <w:pPr>
        <w:pStyle w:val="56"/>
        <w:spacing w:line="360" w:lineRule="auto"/>
        <w:ind w:firstLine="420"/>
      </w:pPr>
      <w:r>
        <w:rPr>
          <w:rFonts w:hint="eastAsia"/>
        </w:rPr>
        <w:t>a) 检测结果不满足要求；</w:t>
      </w:r>
    </w:p>
    <w:p w14:paraId="2F9DCF74">
      <w:pPr>
        <w:pStyle w:val="56"/>
        <w:spacing w:line="360" w:lineRule="auto"/>
        <w:ind w:firstLine="420"/>
      </w:pPr>
      <w:r>
        <w:rPr>
          <w:rFonts w:hint="eastAsia"/>
        </w:rPr>
        <w:t>b) 质量证明文件不真实或与实物不一致；</w:t>
      </w:r>
    </w:p>
    <w:p w14:paraId="44FE43A3">
      <w:pPr>
        <w:pStyle w:val="56"/>
        <w:spacing w:line="360" w:lineRule="auto"/>
        <w:ind w:firstLine="420"/>
      </w:pPr>
      <w:r>
        <w:rPr>
          <w:rFonts w:hint="eastAsia"/>
        </w:rPr>
        <w:t>c) 材料规格、型号、等级不符合设计要求；</w:t>
      </w:r>
    </w:p>
    <w:p w14:paraId="5DADEE3E">
      <w:pPr>
        <w:pStyle w:val="56"/>
        <w:spacing w:line="360" w:lineRule="auto"/>
        <w:ind w:firstLine="420"/>
      </w:pPr>
      <w:r>
        <w:rPr>
          <w:rFonts w:hint="eastAsia"/>
        </w:rPr>
        <w:t>d) 外观质量存在影响使用性能的缺陷；</w:t>
      </w:r>
    </w:p>
    <w:p w14:paraId="4686D3A5">
      <w:pPr>
        <w:pStyle w:val="56"/>
        <w:spacing w:line="360" w:lineRule="auto"/>
        <w:ind w:firstLine="420"/>
      </w:pPr>
      <w:r>
        <w:rPr>
          <w:rFonts w:hint="eastAsia"/>
        </w:rPr>
        <w:t>e) 材料受潮、污染、变质、锈蚀或损坏；</w:t>
      </w:r>
    </w:p>
    <w:p w14:paraId="5FC1F94C">
      <w:pPr>
        <w:pStyle w:val="56"/>
        <w:spacing w:line="360" w:lineRule="auto"/>
        <w:ind w:firstLine="420"/>
      </w:pPr>
      <w:r>
        <w:rPr>
          <w:rFonts w:hint="eastAsia"/>
        </w:rPr>
        <w:t>f) 批号不清、来源不明或质量状态无法确认；</w:t>
      </w:r>
    </w:p>
    <w:p w14:paraId="37667416">
      <w:pPr>
        <w:pStyle w:val="56"/>
        <w:spacing w:line="360" w:lineRule="auto"/>
        <w:ind w:firstLine="420"/>
      </w:pPr>
      <w:r>
        <w:rPr>
          <w:rFonts w:hint="eastAsia"/>
        </w:rPr>
        <w:t>g) 储存、运输或使用过程造成性能可能降低；</w:t>
      </w:r>
    </w:p>
    <w:p w14:paraId="05BCB51F">
      <w:pPr>
        <w:pStyle w:val="56"/>
        <w:spacing w:line="360" w:lineRule="auto"/>
        <w:ind w:firstLine="420"/>
      </w:pPr>
      <w:r>
        <w:rPr>
          <w:rFonts w:hint="eastAsia"/>
        </w:rPr>
        <w:t>h) 其他经检查判定不满足要求的情形。</w:t>
      </w:r>
    </w:p>
    <w:p w14:paraId="62C128C7">
      <w:pPr>
        <w:pStyle w:val="105"/>
        <w:spacing w:before="120" w:after="120" w:line="360" w:lineRule="auto"/>
      </w:pPr>
      <w:r>
        <w:rPr>
          <w:rFonts w:hint="eastAsia"/>
        </w:rPr>
        <w:t>隔离与标识</w:t>
      </w:r>
    </w:p>
    <w:p w14:paraId="4CA97E3F">
      <w:pPr>
        <w:pStyle w:val="165"/>
        <w:spacing w:line="360" w:lineRule="auto"/>
      </w:pPr>
      <w:r>
        <w:rPr>
          <w:rFonts w:hint="eastAsia"/>
        </w:rPr>
        <w:t>不合格或疑似不合格材料应立即隔离存放。</w:t>
      </w:r>
    </w:p>
    <w:p w14:paraId="15AB0901">
      <w:pPr>
        <w:pStyle w:val="165"/>
        <w:spacing w:line="360" w:lineRule="auto"/>
      </w:pPr>
      <w:r>
        <w:rPr>
          <w:rFonts w:hint="eastAsia"/>
        </w:rPr>
        <w:t>隔离标识应写明材料名称、规格、批号、数量、问题原因、发现时间和责任单位。</w:t>
      </w:r>
    </w:p>
    <w:p w14:paraId="597B1311">
      <w:pPr>
        <w:pStyle w:val="165"/>
        <w:spacing w:line="360" w:lineRule="auto"/>
      </w:pPr>
      <w:r>
        <w:rPr>
          <w:rFonts w:hint="eastAsia"/>
        </w:rPr>
        <w:t>不具备现场隔离条件的，应采取围挡、封存、专人看管或其他防止误用的措施。</w:t>
      </w:r>
    </w:p>
    <w:p w14:paraId="05415AD1">
      <w:pPr>
        <w:pStyle w:val="165"/>
        <w:spacing w:line="360" w:lineRule="auto"/>
      </w:pPr>
      <w:r>
        <w:rPr>
          <w:rFonts w:hint="eastAsia"/>
        </w:rPr>
        <w:t>隔离期间不得擅自移动、拆封、加工或使用材料。</w:t>
      </w:r>
    </w:p>
    <w:p w14:paraId="0A0F6B48">
      <w:pPr>
        <w:pStyle w:val="105"/>
        <w:spacing w:before="120" w:after="120" w:line="360" w:lineRule="auto"/>
      </w:pPr>
      <w:r>
        <w:rPr>
          <w:rFonts w:hint="eastAsia"/>
        </w:rPr>
        <w:t>评审与处置</w:t>
      </w:r>
    </w:p>
    <w:p w14:paraId="0C7802FA">
      <w:pPr>
        <w:pStyle w:val="165"/>
        <w:spacing w:line="360" w:lineRule="auto"/>
      </w:pPr>
      <w:r>
        <w:rPr>
          <w:rFonts w:hint="eastAsia"/>
        </w:rPr>
        <w:t>不合格材料应由施工单位组织评审，监理单位应参与或监督评审。</w:t>
      </w:r>
    </w:p>
    <w:p w14:paraId="4E865D32">
      <w:pPr>
        <w:pStyle w:val="165"/>
        <w:spacing w:line="360" w:lineRule="auto"/>
      </w:pPr>
      <w:r>
        <w:rPr>
          <w:rFonts w:hint="eastAsia"/>
        </w:rPr>
        <w:t>处置方式可包括退场、更换、返工处理、降级使用、让步接收或报废销毁。</w:t>
      </w:r>
    </w:p>
    <w:p w14:paraId="36B6D1DC">
      <w:pPr>
        <w:pStyle w:val="165"/>
        <w:spacing w:line="360" w:lineRule="auto"/>
      </w:pPr>
      <w:r>
        <w:rPr>
          <w:rFonts w:hint="eastAsia"/>
        </w:rPr>
        <w:t>影响结构安全、防渗安全、耐久性能和运行安全的材料，不得让步接收。</w:t>
      </w:r>
    </w:p>
    <w:p w14:paraId="2358DFC6">
      <w:pPr>
        <w:pStyle w:val="165"/>
        <w:spacing w:line="360" w:lineRule="auto"/>
      </w:pPr>
      <w:r>
        <w:rPr>
          <w:rFonts w:hint="eastAsia"/>
        </w:rPr>
        <w:t>降级使用或让步接收应经设计、监理、建设等相关单位确认，并应明确使用范围和限制条件。</w:t>
      </w:r>
    </w:p>
    <w:p w14:paraId="05D6557C">
      <w:pPr>
        <w:pStyle w:val="165"/>
        <w:spacing w:line="360" w:lineRule="auto"/>
      </w:pPr>
      <w:r>
        <w:rPr>
          <w:rFonts w:hint="eastAsia"/>
        </w:rPr>
        <w:t>不合格材料退场、销毁或更换后，应保留处置证明和影像资料。</w:t>
      </w:r>
    </w:p>
    <w:p w14:paraId="59E3EC92">
      <w:pPr>
        <w:pStyle w:val="105"/>
        <w:spacing w:before="120" w:after="120" w:line="360" w:lineRule="auto"/>
      </w:pPr>
      <w:r>
        <w:rPr>
          <w:rFonts w:hint="eastAsia"/>
        </w:rPr>
        <w:t>处置验证</w:t>
      </w:r>
    </w:p>
    <w:p w14:paraId="0E054B7B">
      <w:pPr>
        <w:pStyle w:val="165"/>
        <w:spacing w:line="360" w:lineRule="auto"/>
      </w:pPr>
      <w:r>
        <w:rPr>
          <w:rFonts w:hint="eastAsia"/>
        </w:rPr>
        <w:t>不合格材料处置完成后，应进行验证。</w:t>
      </w:r>
    </w:p>
    <w:p w14:paraId="72B901CA">
      <w:pPr>
        <w:pStyle w:val="165"/>
        <w:spacing w:line="360" w:lineRule="auto"/>
      </w:pPr>
      <w:r>
        <w:rPr>
          <w:rFonts w:hint="eastAsia"/>
        </w:rPr>
        <w:t>验证内容应包括材料是否已退场、是否已更换、是否已隔离解除、是否存在误用、相关资料是否完整。</w:t>
      </w:r>
    </w:p>
    <w:p w14:paraId="4CF8B32C">
      <w:pPr>
        <w:pStyle w:val="165"/>
        <w:spacing w:line="360" w:lineRule="auto"/>
      </w:pPr>
      <w:r>
        <w:rPr>
          <w:rFonts w:hint="eastAsia"/>
        </w:rPr>
        <w:t>不合格材料已被使用的，应追溯使用部位，并应进行质量影响评估。</w:t>
      </w:r>
    </w:p>
    <w:p w14:paraId="6BECAE24">
      <w:pPr>
        <w:pStyle w:val="165"/>
        <w:spacing w:line="360" w:lineRule="auto"/>
      </w:pPr>
      <w:r>
        <w:rPr>
          <w:rFonts w:hint="eastAsia"/>
        </w:rPr>
        <w:t>对已使用不合格材料且可能影响工程质量的，应制定专项处理方案。</w:t>
      </w:r>
    </w:p>
    <w:p w14:paraId="760C368A">
      <w:pPr>
        <w:pStyle w:val="165"/>
        <w:spacing w:line="360" w:lineRule="auto"/>
      </w:pPr>
      <w:r>
        <w:rPr>
          <w:rFonts w:hint="eastAsia"/>
        </w:rPr>
        <w:t>验证未完成前，不得关闭不合格材料处置事项。</w:t>
      </w:r>
    </w:p>
    <w:p w14:paraId="74BA2267">
      <w:pPr>
        <w:pStyle w:val="104"/>
        <w:spacing w:before="240" w:after="240" w:line="360" w:lineRule="auto"/>
      </w:pPr>
      <w:bookmarkStart w:id="60" w:name="_Toc228604107"/>
      <w:r>
        <w:rPr>
          <w:rFonts w:hint="eastAsia"/>
        </w:rPr>
        <w:t>质量追溯与信息管理</w:t>
      </w:r>
      <w:bookmarkEnd w:id="60"/>
    </w:p>
    <w:p w14:paraId="72B29B97">
      <w:pPr>
        <w:pStyle w:val="105"/>
        <w:spacing w:before="120" w:after="120" w:line="360" w:lineRule="auto"/>
      </w:pPr>
      <w:r>
        <w:rPr>
          <w:rFonts w:hint="eastAsia"/>
        </w:rPr>
        <w:t>一般要求</w:t>
      </w:r>
    </w:p>
    <w:p w14:paraId="5071A28B">
      <w:pPr>
        <w:pStyle w:val="165"/>
        <w:spacing w:line="360" w:lineRule="auto"/>
      </w:pPr>
      <w:r>
        <w:rPr>
          <w:rFonts w:hint="eastAsia"/>
        </w:rPr>
        <w:t>水利工程材料应建立质量追溯机制。</w:t>
      </w:r>
    </w:p>
    <w:p w14:paraId="62F631A9">
      <w:pPr>
        <w:pStyle w:val="165"/>
        <w:spacing w:line="360" w:lineRule="auto"/>
      </w:pPr>
      <w:r>
        <w:rPr>
          <w:rFonts w:hint="eastAsia"/>
        </w:rPr>
        <w:t>材料追溯应覆盖材料来源、生产批号、进场验收、抽样检测、储存状态、领用记录、使用部位和不合格处置。</w:t>
      </w:r>
    </w:p>
    <w:p w14:paraId="2ACD56EC">
      <w:pPr>
        <w:pStyle w:val="165"/>
        <w:spacing w:line="360" w:lineRule="auto"/>
      </w:pPr>
      <w:r>
        <w:rPr>
          <w:rFonts w:hint="eastAsia"/>
        </w:rPr>
        <w:t>关键材料应做到来源可查、批次可辨、检测可核、流向可追、责任可溯。</w:t>
      </w:r>
    </w:p>
    <w:p w14:paraId="7F7F117B">
      <w:pPr>
        <w:pStyle w:val="165"/>
        <w:spacing w:line="360" w:lineRule="auto"/>
      </w:pPr>
      <w:r>
        <w:rPr>
          <w:rFonts w:hint="eastAsia"/>
        </w:rPr>
        <w:t>追溯信息不得缺失、断链或相互矛盾。</w:t>
      </w:r>
    </w:p>
    <w:p w14:paraId="35FAAAC5">
      <w:pPr>
        <w:pStyle w:val="105"/>
        <w:spacing w:before="120" w:after="120" w:line="360" w:lineRule="auto"/>
      </w:pPr>
      <w:r>
        <w:rPr>
          <w:rFonts w:hint="eastAsia"/>
        </w:rPr>
        <w:t>材料台账</w:t>
      </w:r>
    </w:p>
    <w:p w14:paraId="0C597408">
      <w:pPr>
        <w:pStyle w:val="165"/>
        <w:spacing w:line="360" w:lineRule="auto"/>
      </w:pPr>
      <w:r>
        <w:rPr>
          <w:rFonts w:hint="eastAsia"/>
        </w:rPr>
        <w:t>施工单位应建立材料台账。</w:t>
      </w:r>
    </w:p>
    <w:p w14:paraId="4A2BCC41">
      <w:pPr>
        <w:pStyle w:val="165"/>
        <w:spacing w:line="360" w:lineRule="auto"/>
      </w:pPr>
      <w:r>
        <w:rPr>
          <w:rFonts w:hint="eastAsia"/>
        </w:rPr>
        <w:t>材料台账应至少包括材料名称、规格型号、生产厂家、供应单位、生产批号、进场日期、进场数量、验收结论、检测报告编号、储存位置、领用数量、使用部位和剩余数量。</w:t>
      </w:r>
    </w:p>
    <w:p w14:paraId="11F8C39C">
      <w:pPr>
        <w:pStyle w:val="165"/>
        <w:spacing w:line="360" w:lineRule="auto"/>
      </w:pPr>
      <w:r>
        <w:rPr>
          <w:rFonts w:hint="eastAsia"/>
        </w:rPr>
        <w:t>材料台账应动态更新，账物应一致。</w:t>
      </w:r>
    </w:p>
    <w:p w14:paraId="151D0F15">
      <w:pPr>
        <w:pStyle w:val="165"/>
        <w:spacing w:line="360" w:lineRule="auto"/>
      </w:pPr>
      <w:r>
        <w:rPr>
          <w:rFonts w:hint="eastAsia"/>
        </w:rPr>
        <w:t>材料退场、报废、调拨或变更使用部位时，应在台账中记录。</w:t>
      </w:r>
    </w:p>
    <w:p w14:paraId="023481C3">
      <w:pPr>
        <w:pStyle w:val="105"/>
        <w:spacing w:before="120" w:after="120" w:line="360" w:lineRule="auto"/>
      </w:pPr>
      <w:r>
        <w:rPr>
          <w:rFonts w:hint="eastAsia"/>
        </w:rPr>
        <w:t>追溯编码</w:t>
      </w:r>
    </w:p>
    <w:p w14:paraId="6F08C326">
      <w:pPr>
        <w:pStyle w:val="165"/>
        <w:spacing w:line="360" w:lineRule="auto"/>
      </w:pPr>
      <w:r>
        <w:rPr>
          <w:rFonts w:hint="eastAsia"/>
        </w:rPr>
        <w:t>关键材料宜采用追溯编码管理。</w:t>
      </w:r>
    </w:p>
    <w:p w14:paraId="5AB9FC6F">
      <w:pPr>
        <w:pStyle w:val="165"/>
        <w:spacing w:line="360" w:lineRule="auto"/>
      </w:pPr>
      <w:r>
        <w:rPr>
          <w:rFonts w:hint="eastAsia"/>
        </w:rPr>
        <w:t>追溯编码应与材料批次、检测报告、使用部位和验收资料关联。</w:t>
      </w:r>
    </w:p>
    <w:p w14:paraId="66D08792">
      <w:pPr>
        <w:pStyle w:val="165"/>
        <w:spacing w:line="360" w:lineRule="auto"/>
      </w:pPr>
      <w:r>
        <w:rPr>
          <w:rFonts w:hint="eastAsia"/>
        </w:rPr>
        <w:t>同一追溯编码不得对应多个来源不一致的材料批次。</w:t>
      </w:r>
    </w:p>
    <w:p w14:paraId="08455274">
      <w:pPr>
        <w:pStyle w:val="165"/>
        <w:spacing w:line="360" w:lineRule="auto"/>
      </w:pPr>
      <w:r>
        <w:rPr>
          <w:rFonts w:hint="eastAsia"/>
        </w:rPr>
        <w:t>追溯编码变更时，应保留新旧编码对应关系。</w:t>
      </w:r>
    </w:p>
    <w:p w14:paraId="44F9AFA6">
      <w:pPr>
        <w:pStyle w:val="105"/>
        <w:spacing w:before="120" w:after="120" w:line="360" w:lineRule="auto"/>
      </w:pPr>
      <w:r>
        <w:rPr>
          <w:rFonts w:hint="eastAsia"/>
        </w:rPr>
        <w:t>信息安全</w:t>
      </w:r>
    </w:p>
    <w:p w14:paraId="222A2466">
      <w:pPr>
        <w:pStyle w:val="165"/>
        <w:spacing w:line="360" w:lineRule="auto"/>
      </w:pPr>
      <w:r>
        <w:rPr>
          <w:rFonts w:hint="eastAsia"/>
        </w:rPr>
        <w:t>材料质量信息应按工程资料管理和数据安全要求管理。</w:t>
      </w:r>
    </w:p>
    <w:p w14:paraId="68ED911A">
      <w:pPr>
        <w:pStyle w:val="165"/>
        <w:spacing w:line="360" w:lineRule="auto"/>
      </w:pPr>
      <w:r>
        <w:rPr>
          <w:rFonts w:hint="eastAsia"/>
        </w:rPr>
        <w:t>检测报告、质量证明文件、供应商信息和质量问题记录不得擅自删除、篡改或外传。</w:t>
      </w:r>
    </w:p>
    <w:p w14:paraId="626E5A70">
      <w:pPr>
        <w:pStyle w:val="165"/>
        <w:spacing w:line="360" w:lineRule="auto"/>
      </w:pPr>
      <w:r>
        <w:rPr>
          <w:rFonts w:hint="eastAsia"/>
        </w:rPr>
        <w:t>信息系统账号应实行权限管理和操作日志管理。</w:t>
      </w:r>
    </w:p>
    <w:p w14:paraId="470F56C7">
      <w:pPr>
        <w:pStyle w:val="165"/>
        <w:spacing w:line="360" w:lineRule="auto"/>
      </w:pPr>
      <w:r>
        <w:rPr>
          <w:rFonts w:hint="eastAsia"/>
        </w:rPr>
        <w:t>材料质量数据备份应定期开展，并应验证可恢复性。</w:t>
      </w:r>
    </w:p>
    <w:p w14:paraId="22640A51">
      <w:pPr>
        <w:pStyle w:val="104"/>
        <w:spacing w:before="240" w:after="240" w:line="360" w:lineRule="auto"/>
      </w:pPr>
      <w:bookmarkStart w:id="61" w:name="_Toc228604108"/>
      <w:r>
        <w:rPr>
          <w:rFonts w:hint="eastAsia"/>
        </w:rPr>
        <w:t>监督检查与持续改进</w:t>
      </w:r>
      <w:bookmarkEnd w:id="61"/>
    </w:p>
    <w:p w14:paraId="15D9B514">
      <w:pPr>
        <w:pStyle w:val="105"/>
        <w:spacing w:before="120" w:after="120" w:line="360" w:lineRule="auto"/>
      </w:pPr>
      <w:r>
        <w:rPr>
          <w:rFonts w:hint="eastAsia"/>
        </w:rPr>
        <w:t>一般要求</w:t>
      </w:r>
    </w:p>
    <w:p w14:paraId="34C47012">
      <w:pPr>
        <w:pStyle w:val="165"/>
        <w:spacing w:line="360" w:lineRule="auto"/>
      </w:pPr>
      <w:r>
        <w:rPr>
          <w:rFonts w:hint="eastAsia"/>
        </w:rPr>
        <w:t>建设单位、施工单位、监理单位应按职责对材料质量控制开展监督检查。</w:t>
      </w:r>
    </w:p>
    <w:p w14:paraId="43CB6308">
      <w:pPr>
        <w:pStyle w:val="165"/>
        <w:spacing w:line="360" w:lineRule="auto"/>
      </w:pPr>
      <w:r>
        <w:rPr>
          <w:rFonts w:hint="eastAsia"/>
        </w:rPr>
        <w:t>监督检查应覆盖供应商管理、采购文件、进场验收、抽样检测、储存保管、使用部位、资料管理和不合格处置等内容。</w:t>
      </w:r>
    </w:p>
    <w:p w14:paraId="437A9794">
      <w:pPr>
        <w:pStyle w:val="165"/>
        <w:spacing w:line="360" w:lineRule="auto"/>
      </w:pPr>
      <w:r>
        <w:rPr>
          <w:rFonts w:hint="eastAsia"/>
        </w:rPr>
        <w:t>检查发现的问题应形成问题清单，并应明确整改措施、责任单位、完成期限和验证方式。</w:t>
      </w:r>
    </w:p>
    <w:p w14:paraId="4EF6ADBD">
      <w:pPr>
        <w:pStyle w:val="165"/>
        <w:spacing w:line="360" w:lineRule="auto"/>
      </w:pPr>
      <w:r>
        <w:rPr>
          <w:rFonts w:hint="eastAsia"/>
        </w:rPr>
        <w:t>材料质量控制检查表可参照附录C执行。</w:t>
      </w:r>
    </w:p>
    <w:p w14:paraId="4881F476">
      <w:pPr>
        <w:pStyle w:val="105"/>
        <w:spacing w:before="120" w:after="120" w:line="360" w:lineRule="auto"/>
      </w:pPr>
      <w:r>
        <w:rPr>
          <w:rFonts w:hint="eastAsia"/>
        </w:rPr>
        <w:t>检查频次</w:t>
      </w:r>
    </w:p>
    <w:p w14:paraId="696AE41D">
      <w:pPr>
        <w:pStyle w:val="165"/>
        <w:spacing w:line="360" w:lineRule="auto"/>
      </w:pPr>
      <w:r>
        <w:rPr>
          <w:rFonts w:hint="eastAsia"/>
        </w:rPr>
        <w:t>施工单位应对材料质量控制开展日常检查。</w:t>
      </w:r>
    </w:p>
    <w:p w14:paraId="4A7D11BC">
      <w:pPr>
        <w:pStyle w:val="165"/>
        <w:spacing w:line="360" w:lineRule="auto"/>
      </w:pPr>
      <w:r>
        <w:rPr>
          <w:rFonts w:hint="eastAsia"/>
        </w:rPr>
        <w:t>监理单位应对关键材料进场、见证取样、检测结果和使用过程开展抽查或旁站监督。</w:t>
      </w:r>
    </w:p>
    <w:p w14:paraId="10BF15D7">
      <w:pPr>
        <w:pStyle w:val="165"/>
        <w:spacing w:line="360" w:lineRule="auto"/>
      </w:pPr>
      <w:r>
        <w:rPr>
          <w:rFonts w:hint="eastAsia"/>
        </w:rPr>
        <w:t>建设单位应对重要材料、重点部位和重大质量问题开展专项检查。</w:t>
      </w:r>
    </w:p>
    <w:p w14:paraId="072455B9">
      <w:pPr>
        <w:pStyle w:val="165"/>
        <w:spacing w:line="360" w:lineRule="auto"/>
      </w:pPr>
      <w:r>
        <w:rPr>
          <w:rFonts w:hint="eastAsia"/>
        </w:rPr>
        <w:t>材料质量问题频发、供应商变更、工程关键节点施工或季节性环境变化时，应提高检查频次。</w:t>
      </w:r>
    </w:p>
    <w:p w14:paraId="4F742349">
      <w:pPr>
        <w:pStyle w:val="105"/>
        <w:spacing w:before="120" w:after="120" w:line="360" w:lineRule="auto"/>
      </w:pPr>
      <w:r>
        <w:rPr>
          <w:rFonts w:hint="eastAsia"/>
        </w:rPr>
        <w:t>问题整改</w:t>
      </w:r>
    </w:p>
    <w:p w14:paraId="366E475B">
      <w:pPr>
        <w:pStyle w:val="165"/>
        <w:spacing w:line="360" w:lineRule="auto"/>
      </w:pPr>
      <w:r>
        <w:rPr>
          <w:rFonts w:hint="eastAsia"/>
        </w:rPr>
        <w:t>监督检查发现问题后，应按问题类型和风险程度进行分类整改。</w:t>
      </w:r>
    </w:p>
    <w:p w14:paraId="0048AA7A">
      <w:pPr>
        <w:pStyle w:val="165"/>
        <w:spacing w:line="360" w:lineRule="auto"/>
      </w:pPr>
      <w:r>
        <w:rPr>
          <w:rFonts w:hint="eastAsia"/>
        </w:rPr>
        <w:t>涉及材料误用、不合格材料使用、检测资料失真和关键材料追溯断链的问题，应作为重点问题处置。</w:t>
      </w:r>
    </w:p>
    <w:p w14:paraId="402A7038">
      <w:pPr>
        <w:pStyle w:val="165"/>
        <w:spacing w:line="360" w:lineRule="auto"/>
      </w:pPr>
      <w:r>
        <w:rPr>
          <w:rFonts w:hint="eastAsia"/>
        </w:rPr>
        <w:t>整改完成后应进行验证。</w:t>
      </w:r>
    </w:p>
    <w:p w14:paraId="5DD66032">
      <w:pPr>
        <w:pStyle w:val="165"/>
        <w:spacing w:line="360" w:lineRule="auto"/>
      </w:pPr>
      <w:r>
        <w:rPr>
          <w:rFonts w:hint="eastAsia"/>
        </w:rPr>
        <w:t>重复发生的问题应开展原因分析，并应采取制度、人员、供应商、检测或现场管理方面的改进措施。</w:t>
      </w:r>
    </w:p>
    <w:p w14:paraId="099E056F">
      <w:pPr>
        <w:pStyle w:val="105"/>
        <w:spacing w:before="120" w:after="120" w:line="360" w:lineRule="auto"/>
      </w:pPr>
      <w:r>
        <w:rPr>
          <w:rFonts w:hint="eastAsia"/>
        </w:rPr>
        <w:t>持续改进</w:t>
      </w:r>
    </w:p>
    <w:p w14:paraId="423CCC3F">
      <w:pPr>
        <w:pStyle w:val="165"/>
        <w:spacing w:line="360" w:lineRule="auto"/>
      </w:pPr>
      <w:r>
        <w:rPr>
          <w:rFonts w:hint="eastAsia"/>
        </w:rPr>
        <w:t>工程管理相关单位应定期汇总材料质量问题、检测结果、供应商表现和不合格处置情况。</w:t>
      </w:r>
    </w:p>
    <w:p w14:paraId="5A30F842">
      <w:pPr>
        <w:pStyle w:val="165"/>
        <w:spacing w:line="360" w:lineRule="auto"/>
      </w:pPr>
      <w:r>
        <w:rPr>
          <w:rFonts w:hint="eastAsia"/>
        </w:rPr>
        <w:t>持续改进内容应包括供应商优化、验收流程完善、抽检频次调整、储存条件改善、人员培训和信息化追溯提升。</w:t>
      </w:r>
    </w:p>
    <w:p w14:paraId="531B782E">
      <w:pPr>
        <w:pStyle w:val="165"/>
        <w:spacing w:line="360" w:lineRule="auto"/>
      </w:pPr>
      <w:r>
        <w:rPr>
          <w:rFonts w:hint="eastAsia"/>
        </w:rPr>
        <w:t>对影响工程质量的典型材料问题，应组织技术复盘。</w:t>
      </w:r>
    </w:p>
    <w:p w14:paraId="738DC425">
      <w:pPr>
        <w:pStyle w:val="165"/>
        <w:spacing w:line="360" w:lineRule="auto"/>
      </w:pPr>
      <w:r>
        <w:rPr>
          <w:rFonts w:hint="eastAsia"/>
        </w:rPr>
        <w:t>改进措施应形成记录，并应纳入后续材料质量控制计划。</w:t>
      </w:r>
    </w:p>
    <w:p w14:paraId="0E387D2C">
      <w:pPr>
        <w:pStyle w:val="104"/>
        <w:spacing w:before="240" w:after="240" w:line="360" w:lineRule="auto"/>
      </w:pPr>
      <w:bookmarkStart w:id="62" w:name="_Toc228604109"/>
      <w:r>
        <w:rPr>
          <w:rFonts w:hint="eastAsia"/>
        </w:rPr>
        <w:t>资料归档</w:t>
      </w:r>
      <w:bookmarkEnd w:id="62"/>
    </w:p>
    <w:p w14:paraId="507E7A96">
      <w:pPr>
        <w:pStyle w:val="105"/>
        <w:spacing w:before="120" w:after="120" w:line="360" w:lineRule="auto"/>
      </w:pPr>
      <w:r>
        <w:rPr>
          <w:rFonts w:hint="eastAsia"/>
        </w:rPr>
        <w:t>一般要求</w:t>
      </w:r>
    </w:p>
    <w:p w14:paraId="4F14790F">
      <w:pPr>
        <w:pStyle w:val="165"/>
        <w:spacing w:line="360" w:lineRule="auto"/>
      </w:pPr>
      <w:r>
        <w:rPr>
          <w:rFonts w:hint="eastAsia"/>
        </w:rPr>
        <w:t>材料质量控制资料应按工程项目、材料类别、检验批、使用部位和时间顺序归档。</w:t>
      </w:r>
    </w:p>
    <w:p w14:paraId="293358BD">
      <w:pPr>
        <w:pStyle w:val="165"/>
        <w:spacing w:line="360" w:lineRule="auto"/>
      </w:pPr>
      <w:r>
        <w:rPr>
          <w:rFonts w:hint="eastAsia"/>
        </w:rPr>
        <w:t>归档资料应真实、完整、清晰、有效、可读取和可追溯。</w:t>
      </w:r>
    </w:p>
    <w:p w14:paraId="7A086C2B">
      <w:pPr>
        <w:pStyle w:val="165"/>
        <w:spacing w:line="360" w:lineRule="auto"/>
      </w:pPr>
      <w:r>
        <w:rPr>
          <w:rFonts w:hint="eastAsia"/>
        </w:rPr>
        <w:t>纸质资料和电子资料应建立对应关系。</w:t>
      </w:r>
    </w:p>
    <w:p w14:paraId="6D7E4A4D">
      <w:pPr>
        <w:pStyle w:val="165"/>
        <w:spacing w:line="360" w:lineRule="auto"/>
      </w:pPr>
      <w:r>
        <w:rPr>
          <w:rFonts w:hint="eastAsia"/>
        </w:rPr>
        <w:t>归档资料不得擅自修改、替换、删除或损毁。</w:t>
      </w:r>
    </w:p>
    <w:p w14:paraId="7EB4952A">
      <w:pPr>
        <w:pStyle w:val="105"/>
        <w:spacing w:before="120" w:after="120" w:line="360" w:lineRule="auto"/>
      </w:pPr>
      <w:r>
        <w:rPr>
          <w:rFonts w:hint="eastAsia"/>
        </w:rPr>
        <w:t>归档内容</w:t>
      </w:r>
    </w:p>
    <w:p w14:paraId="43A00422">
      <w:pPr>
        <w:pStyle w:val="165"/>
        <w:spacing w:line="360" w:lineRule="auto"/>
      </w:pPr>
      <w:r>
        <w:rPr>
          <w:rFonts w:hint="eastAsia"/>
        </w:rPr>
        <w:t>材料采购资料应包括采购计划、采购合同、供应商评价资料和技术要求文件。</w:t>
      </w:r>
    </w:p>
    <w:p w14:paraId="52C8AFB6">
      <w:pPr>
        <w:pStyle w:val="165"/>
        <w:spacing w:line="360" w:lineRule="auto"/>
      </w:pPr>
      <w:r>
        <w:rPr>
          <w:rFonts w:hint="eastAsia"/>
        </w:rPr>
        <w:t>进场验收资料应包括质量证明文件、进场验收记录、外观检查记录、数量核对记录和质量状态标识记录。</w:t>
      </w:r>
    </w:p>
    <w:p w14:paraId="2A480E77">
      <w:pPr>
        <w:pStyle w:val="165"/>
        <w:spacing w:line="360" w:lineRule="auto"/>
      </w:pPr>
      <w:r>
        <w:rPr>
          <w:rFonts w:hint="eastAsia"/>
        </w:rPr>
        <w:t>检测资料应包括取样记录、见证记录、检测委托单、检测报告、复检记录和检测结果处置记录。</w:t>
      </w:r>
    </w:p>
    <w:p w14:paraId="59999AE6">
      <w:pPr>
        <w:pStyle w:val="165"/>
        <w:spacing w:line="360" w:lineRule="auto"/>
      </w:pPr>
      <w:r>
        <w:rPr>
          <w:rFonts w:hint="eastAsia"/>
        </w:rPr>
        <w:t>储存和使用资料应包括材料台账、出入库记录、储存检查记录、领用记录和使用部位记录。</w:t>
      </w:r>
    </w:p>
    <w:p w14:paraId="2BBA5C08">
      <w:pPr>
        <w:pStyle w:val="165"/>
        <w:spacing w:line="360" w:lineRule="auto"/>
      </w:pPr>
      <w:r>
        <w:rPr>
          <w:rFonts w:hint="eastAsia"/>
        </w:rPr>
        <w:t>不合格材料资料应包括不合格识别记录、隔离标识记录、评审意见、处置记录、验证记录和影响评估资料。</w:t>
      </w:r>
    </w:p>
    <w:p w14:paraId="12671ECA">
      <w:pPr>
        <w:pStyle w:val="165"/>
        <w:spacing w:line="360" w:lineRule="auto"/>
      </w:pPr>
      <w:r>
        <w:rPr>
          <w:rFonts w:hint="eastAsia"/>
        </w:rPr>
        <w:t>监督检查资料应包括检查记录、问题清单、整改资料、复核记录和持续改进记录。</w:t>
      </w:r>
    </w:p>
    <w:p w14:paraId="00B1CF41">
      <w:pPr>
        <w:pStyle w:val="165"/>
        <w:numPr>
          <w:ilvl w:val="0"/>
          <w:numId w:val="0"/>
        </w:numPr>
        <w:spacing w:line="360" w:lineRule="auto"/>
      </w:pPr>
    </w:p>
    <w:p w14:paraId="27AECD2D">
      <w:pPr>
        <w:pStyle w:val="165"/>
        <w:numPr>
          <w:ilvl w:val="0"/>
          <w:numId w:val="0"/>
        </w:numPr>
        <w:spacing w:line="360" w:lineRule="auto"/>
      </w:pPr>
    </w:p>
    <w:p w14:paraId="50EA2D44">
      <w:pPr>
        <w:pStyle w:val="105"/>
        <w:spacing w:before="120" w:after="120" w:line="360" w:lineRule="auto"/>
      </w:pPr>
      <w:r>
        <w:rPr>
          <w:rFonts w:hint="eastAsia"/>
        </w:rPr>
        <w:t>保存期限</w:t>
      </w:r>
    </w:p>
    <w:p w14:paraId="5C63198C">
      <w:pPr>
        <w:pStyle w:val="165"/>
        <w:spacing w:line="360" w:lineRule="auto"/>
      </w:pPr>
      <w:r>
        <w:rPr>
          <w:rFonts w:hint="eastAsia"/>
        </w:rPr>
        <w:t>材料质量控制资料保存期限应满足工程验收、运行管理、质量追溯、监督检查和法律法规要求。</w:t>
      </w:r>
    </w:p>
    <w:p w14:paraId="56108AFE">
      <w:pPr>
        <w:pStyle w:val="165"/>
        <w:spacing w:line="360" w:lineRule="auto"/>
      </w:pPr>
      <w:r>
        <w:rPr>
          <w:rFonts w:hint="eastAsia"/>
        </w:rPr>
        <w:t>涉及结构安全、防渗安全、重大质量问题和责任追溯的材料资料，应按较长期限保存。</w:t>
      </w:r>
    </w:p>
    <w:p w14:paraId="4A868211">
      <w:pPr>
        <w:pStyle w:val="165"/>
        <w:spacing w:line="360" w:lineRule="auto"/>
      </w:pPr>
      <w:r>
        <w:rPr>
          <w:rFonts w:hint="eastAsia"/>
        </w:rPr>
        <w:t>保存期限未届满的资料不得销毁。</w:t>
      </w:r>
    </w:p>
    <w:p w14:paraId="4807DD9F">
      <w:pPr>
        <w:pStyle w:val="165"/>
        <w:spacing w:line="360" w:lineRule="auto"/>
      </w:pPr>
      <w:r>
        <w:rPr>
          <w:rFonts w:hint="eastAsia"/>
        </w:rPr>
        <w:t>保存期满需销毁的，应履行审批程序，并应形成销毁记录。</w:t>
      </w:r>
    </w:p>
    <w:p w14:paraId="732F31D7">
      <w:pPr>
        <w:pStyle w:val="56"/>
        <w:ind w:firstLine="420"/>
      </w:pPr>
    </w:p>
    <w:p w14:paraId="182E3CA1">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p>
    <w:bookmarkEnd w:id="26"/>
    <w:p w14:paraId="1636653F">
      <w:pPr>
        <w:pStyle w:val="198"/>
        <w:rPr>
          <w:rFonts w:hint="eastAsia"/>
        </w:rPr>
      </w:pPr>
      <w:bookmarkStart w:id="63" w:name="BookMark5"/>
    </w:p>
    <w:p w14:paraId="6A9C06F3">
      <w:pPr>
        <w:pStyle w:val="199"/>
      </w:pPr>
    </w:p>
    <w:p w14:paraId="0E61015A">
      <w:pPr>
        <w:pStyle w:val="76"/>
        <w:spacing w:after="120" w:line="360" w:lineRule="auto"/>
      </w:pPr>
      <w:r>
        <w:br w:type="textWrapping"/>
      </w:r>
      <w:bookmarkStart w:id="64" w:name="_Toc228604110"/>
      <w:r>
        <w:rPr>
          <w:rFonts w:hint="eastAsia"/>
        </w:rPr>
        <w:t>（资料性）</w:t>
      </w:r>
      <w:r>
        <w:br w:type="textWrapping"/>
      </w:r>
      <w:r>
        <w:rPr>
          <w:rFonts w:hint="eastAsia"/>
        </w:rPr>
        <w:t>材料进场验收记录表</w:t>
      </w:r>
      <w:bookmarkEnd w:id="64"/>
    </w:p>
    <w:p w14:paraId="21D372F2">
      <w:pPr>
        <w:pStyle w:val="211"/>
        <w:spacing w:line="360" w:lineRule="auto"/>
      </w:pPr>
      <w:r>
        <w:t>材料进场验收记录可按表A.1执行。</w:t>
      </w:r>
    </w:p>
    <w:p w14:paraId="48C98B39">
      <w:pPr>
        <w:pStyle w:val="77"/>
        <w:spacing w:before="120" w:after="120" w:line="360" w:lineRule="auto"/>
      </w:pPr>
      <w:r>
        <w:t>材料进场验收记录表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5FF90B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vAlign w:val="center"/>
          </w:tcPr>
          <w:p w14:paraId="265AE005">
            <w:pPr>
              <w:pStyle w:val="178"/>
            </w:pPr>
            <w:r>
              <w:rPr>
                <w:rFonts w:hint="eastAsia"/>
              </w:rPr>
              <w:t>工程名称</w:t>
            </w:r>
          </w:p>
        </w:tc>
        <w:tc>
          <w:tcPr>
            <w:tcW w:w="2333" w:type="dxa"/>
            <w:tcBorders>
              <w:top w:val="single" w:color="auto" w:sz="8" w:space="0"/>
              <w:bottom w:val="single" w:color="auto" w:sz="8" w:space="0"/>
            </w:tcBorders>
            <w:vAlign w:val="center"/>
          </w:tcPr>
          <w:p w14:paraId="0750F996">
            <w:pPr>
              <w:pStyle w:val="178"/>
            </w:pPr>
          </w:p>
        </w:tc>
        <w:tc>
          <w:tcPr>
            <w:tcW w:w="2333" w:type="dxa"/>
            <w:tcBorders>
              <w:top w:val="single" w:color="auto" w:sz="8" w:space="0"/>
              <w:bottom w:val="single" w:color="auto" w:sz="8" w:space="0"/>
            </w:tcBorders>
            <w:vAlign w:val="center"/>
          </w:tcPr>
          <w:p w14:paraId="488393D5">
            <w:pPr>
              <w:pStyle w:val="178"/>
            </w:pPr>
            <w:r>
              <w:rPr>
                <w:rFonts w:hint="eastAsia"/>
              </w:rPr>
              <w:t>施工单位</w:t>
            </w:r>
          </w:p>
        </w:tc>
        <w:tc>
          <w:tcPr>
            <w:tcW w:w="2334" w:type="dxa"/>
            <w:tcBorders>
              <w:top w:val="single" w:color="auto" w:sz="8" w:space="0"/>
              <w:bottom w:val="single" w:color="auto" w:sz="8" w:space="0"/>
            </w:tcBorders>
            <w:vAlign w:val="center"/>
          </w:tcPr>
          <w:p w14:paraId="7ACB2FE3">
            <w:pPr>
              <w:pStyle w:val="178"/>
            </w:pPr>
          </w:p>
        </w:tc>
      </w:tr>
      <w:tr w14:paraId="48D64C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vAlign w:val="center"/>
          </w:tcPr>
          <w:p w14:paraId="7041E18F">
            <w:pPr>
              <w:pStyle w:val="178"/>
            </w:pPr>
            <w:r>
              <w:rPr>
                <w:rFonts w:hint="eastAsia"/>
              </w:rPr>
              <w:t>材料名称</w:t>
            </w:r>
          </w:p>
        </w:tc>
        <w:tc>
          <w:tcPr>
            <w:tcW w:w="2333" w:type="dxa"/>
            <w:tcBorders>
              <w:top w:val="single" w:color="auto" w:sz="8" w:space="0"/>
            </w:tcBorders>
            <w:vAlign w:val="center"/>
          </w:tcPr>
          <w:p w14:paraId="2A771280">
            <w:pPr>
              <w:pStyle w:val="178"/>
            </w:pPr>
          </w:p>
        </w:tc>
        <w:tc>
          <w:tcPr>
            <w:tcW w:w="2333" w:type="dxa"/>
            <w:tcBorders>
              <w:top w:val="single" w:color="auto" w:sz="8" w:space="0"/>
            </w:tcBorders>
            <w:vAlign w:val="center"/>
          </w:tcPr>
          <w:p w14:paraId="350D938A">
            <w:pPr>
              <w:pStyle w:val="178"/>
            </w:pPr>
            <w:r>
              <w:rPr>
                <w:rFonts w:hint="eastAsia"/>
              </w:rPr>
              <w:t>规格型号</w:t>
            </w:r>
          </w:p>
        </w:tc>
        <w:tc>
          <w:tcPr>
            <w:tcW w:w="2334" w:type="dxa"/>
            <w:tcBorders>
              <w:top w:val="single" w:color="auto" w:sz="8" w:space="0"/>
            </w:tcBorders>
            <w:vAlign w:val="center"/>
          </w:tcPr>
          <w:p w14:paraId="64E1E335">
            <w:pPr>
              <w:pStyle w:val="178"/>
            </w:pPr>
          </w:p>
        </w:tc>
      </w:tr>
      <w:tr w14:paraId="2FB696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603F128B">
            <w:pPr>
              <w:pStyle w:val="178"/>
            </w:pPr>
            <w:r>
              <w:rPr>
                <w:rFonts w:hint="eastAsia"/>
              </w:rPr>
              <w:t>生产厂家</w:t>
            </w:r>
          </w:p>
        </w:tc>
        <w:tc>
          <w:tcPr>
            <w:tcW w:w="2333" w:type="dxa"/>
            <w:vAlign w:val="center"/>
          </w:tcPr>
          <w:p w14:paraId="6EB73EA0">
            <w:pPr>
              <w:pStyle w:val="178"/>
            </w:pPr>
          </w:p>
        </w:tc>
        <w:tc>
          <w:tcPr>
            <w:tcW w:w="2333" w:type="dxa"/>
            <w:vAlign w:val="center"/>
          </w:tcPr>
          <w:p w14:paraId="06EA820E">
            <w:pPr>
              <w:pStyle w:val="178"/>
            </w:pPr>
            <w:r>
              <w:rPr>
                <w:rFonts w:hint="eastAsia"/>
              </w:rPr>
              <w:t>供应单位</w:t>
            </w:r>
          </w:p>
        </w:tc>
        <w:tc>
          <w:tcPr>
            <w:tcW w:w="2334" w:type="dxa"/>
            <w:vAlign w:val="center"/>
          </w:tcPr>
          <w:p w14:paraId="6D8C055C">
            <w:pPr>
              <w:pStyle w:val="178"/>
            </w:pPr>
          </w:p>
        </w:tc>
      </w:tr>
      <w:tr w14:paraId="289A5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0AA765D7">
            <w:pPr>
              <w:pStyle w:val="178"/>
            </w:pPr>
            <w:r>
              <w:rPr>
                <w:rFonts w:hint="eastAsia"/>
              </w:rPr>
              <w:t>生产批号</w:t>
            </w:r>
          </w:p>
        </w:tc>
        <w:tc>
          <w:tcPr>
            <w:tcW w:w="2333" w:type="dxa"/>
            <w:vAlign w:val="center"/>
          </w:tcPr>
          <w:p w14:paraId="52FA98E9">
            <w:pPr>
              <w:pStyle w:val="178"/>
            </w:pPr>
          </w:p>
        </w:tc>
        <w:tc>
          <w:tcPr>
            <w:tcW w:w="2333" w:type="dxa"/>
            <w:vAlign w:val="center"/>
          </w:tcPr>
          <w:p w14:paraId="72C8F823">
            <w:pPr>
              <w:pStyle w:val="178"/>
            </w:pPr>
            <w:r>
              <w:rPr>
                <w:rFonts w:hint="eastAsia"/>
              </w:rPr>
              <w:t>进场数量</w:t>
            </w:r>
          </w:p>
        </w:tc>
        <w:tc>
          <w:tcPr>
            <w:tcW w:w="2334" w:type="dxa"/>
            <w:vAlign w:val="center"/>
          </w:tcPr>
          <w:p w14:paraId="22E43A39">
            <w:pPr>
              <w:pStyle w:val="178"/>
            </w:pPr>
          </w:p>
        </w:tc>
      </w:tr>
      <w:tr w14:paraId="62C9FA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4444DE43">
            <w:pPr>
              <w:pStyle w:val="178"/>
            </w:pPr>
            <w:r>
              <w:rPr>
                <w:rFonts w:hint="eastAsia"/>
              </w:rPr>
              <w:t>进场日期</w:t>
            </w:r>
          </w:p>
        </w:tc>
        <w:tc>
          <w:tcPr>
            <w:tcW w:w="2333" w:type="dxa"/>
            <w:vAlign w:val="center"/>
          </w:tcPr>
          <w:p w14:paraId="210F8888">
            <w:pPr>
              <w:pStyle w:val="178"/>
            </w:pPr>
          </w:p>
        </w:tc>
        <w:tc>
          <w:tcPr>
            <w:tcW w:w="2333" w:type="dxa"/>
            <w:vAlign w:val="center"/>
          </w:tcPr>
          <w:p w14:paraId="6BF59B3A">
            <w:pPr>
              <w:pStyle w:val="178"/>
            </w:pPr>
            <w:r>
              <w:rPr>
                <w:rFonts w:hint="eastAsia"/>
              </w:rPr>
              <w:t>使用部位</w:t>
            </w:r>
          </w:p>
        </w:tc>
        <w:tc>
          <w:tcPr>
            <w:tcW w:w="2334" w:type="dxa"/>
            <w:vAlign w:val="center"/>
          </w:tcPr>
          <w:p w14:paraId="4850E765">
            <w:pPr>
              <w:pStyle w:val="178"/>
            </w:pPr>
          </w:p>
        </w:tc>
      </w:tr>
      <w:tr w14:paraId="101668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798CFE01">
            <w:pPr>
              <w:pStyle w:val="178"/>
            </w:pPr>
            <w:r>
              <w:rPr>
                <w:rFonts w:hint="eastAsia"/>
              </w:rPr>
              <w:t>质量证明文件</w:t>
            </w:r>
          </w:p>
        </w:tc>
        <w:tc>
          <w:tcPr>
            <w:tcW w:w="2333" w:type="dxa"/>
            <w:vAlign w:val="center"/>
          </w:tcPr>
          <w:p w14:paraId="30F9538A">
            <w:pPr>
              <w:pStyle w:val="178"/>
            </w:pPr>
            <w:r>
              <w:rPr>
                <w:rFonts w:hint="eastAsia"/>
              </w:rPr>
              <w:t>□齐全 □不齐全</w:t>
            </w:r>
          </w:p>
        </w:tc>
        <w:tc>
          <w:tcPr>
            <w:tcW w:w="2333" w:type="dxa"/>
            <w:vAlign w:val="center"/>
          </w:tcPr>
          <w:p w14:paraId="6806B39E">
            <w:pPr>
              <w:pStyle w:val="178"/>
            </w:pPr>
            <w:r>
              <w:rPr>
                <w:rFonts w:hint="eastAsia"/>
              </w:rPr>
              <w:t>外观检查</w:t>
            </w:r>
          </w:p>
        </w:tc>
        <w:tc>
          <w:tcPr>
            <w:tcW w:w="2334" w:type="dxa"/>
            <w:vAlign w:val="center"/>
          </w:tcPr>
          <w:p w14:paraId="6425901C">
            <w:pPr>
              <w:pStyle w:val="178"/>
            </w:pPr>
            <w:r>
              <w:rPr>
                <w:rFonts w:hint="eastAsia"/>
              </w:rPr>
              <w:t>□合格 □不合格</w:t>
            </w:r>
          </w:p>
        </w:tc>
      </w:tr>
      <w:tr w14:paraId="7DC740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46B79B09">
            <w:pPr>
              <w:pStyle w:val="178"/>
            </w:pPr>
            <w:r>
              <w:rPr>
                <w:rFonts w:hint="eastAsia"/>
              </w:rPr>
              <w:t>规格核查</w:t>
            </w:r>
          </w:p>
        </w:tc>
        <w:tc>
          <w:tcPr>
            <w:tcW w:w="2333" w:type="dxa"/>
            <w:vAlign w:val="center"/>
          </w:tcPr>
          <w:p w14:paraId="0CC37FDD">
            <w:pPr>
              <w:pStyle w:val="178"/>
            </w:pPr>
            <w:r>
              <w:rPr>
                <w:rFonts w:hint="eastAsia"/>
              </w:rPr>
              <w:t>□符合 □不符合</w:t>
            </w:r>
          </w:p>
        </w:tc>
        <w:tc>
          <w:tcPr>
            <w:tcW w:w="2333" w:type="dxa"/>
            <w:vAlign w:val="center"/>
          </w:tcPr>
          <w:p w14:paraId="430D01B9">
            <w:pPr>
              <w:pStyle w:val="178"/>
            </w:pPr>
            <w:r>
              <w:rPr>
                <w:rFonts w:hint="eastAsia"/>
              </w:rPr>
              <w:t>是否需复验</w:t>
            </w:r>
          </w:p>
        </w:tc>
        <w:tc>
          <w:tcPr>
            <w:tcW w:w="2334" w:type="dxa"/>
            <w:vAlign w:val="center"/>
          </w:tcPr>
          <w:p w14:paraId="6507F823">
            <w:pPr>
              <w:pStyle w:val="178"/>
            </w:pPr>
            <w:r>
              <w:rPr>
                <w:rFonts w:hint="eastAsia"/>
              </w:rPr>
              <w:t>□是 □否</w:t>
            </w:r>
          </w:p>
        </w:tc>
      </w:tr>
      <w:tr w14:paraId="32EC9A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5FF18E7C">
            <w:pPr>
              <w:pStyle w:val="178"/>
            </w:pPr>
            <w:r>
              <w:rPr>
                <w:rFonts w:hint="eastAsia"/>
              </w:rPr>
              <w:t>验收结论</w:t>
            </w:r>
          </w:p>
        </w:tc>
        <w:tc>
          <w:tcPr>
            <w:tcW w:w="2333" w:type="dxa"/>
            <w:vAlign w:val="center"/>
          </w:tcPr>
          <w:p w14:paraId="20B5F786">
            <w:pPr>
              <w:pStyle w:val="178"/>
            </w:pPr>
            <w:r>
              <w:rPr>
                <w:rFonts w:hint="eastAsia"/>
              </w:rPr>
              <w:t>□</w:t>
            </w:r>
            <w:r>
              <w:rPr>
                <w:rFonts w:hint="eastAsia"/>
                <w:spacing w:val="180"/>
                <w:kern w:val="0"/>
                <w:fitText w:val="720" w:id="-451794944"/>
              </w:rPr>
              <w:t>合</w:t>
            </w:r>
            <w:r>
              <w:rPr>
                <w:rFonts w:hint="eastAsia"/>
                <w:spacing w:val="0"/>
                <w:kern w:val="0"/>
                <w:fitText w:val="720" w:id="-451794944"/>
              </w:rPr>
              <w:t>格</w:t>
            </w:r>
          </w:p>
          <w:p w14:paraId="0AF1698F">
            <w:pPr>
              <w:pStyle w:val="178"/>
            </w:pPr>
            <w:r>
              <w:rPr>
                <w:rFonts w:hint="eastAsia"/>
              </w:rPr>
              <w:t>□</w:t>
            </w:r>
            <w:r>
              <w:rPr>
                <w:rFonts w:hint="eastAsia"/>
                <w:spacing w:val="45"/>
                <w:kern w:val="0"/>
                <w:fitText w:val="720" w:id="-451794688"/>
              </w:rPr>
              <w:t>待复</w:t>
            </w:r>
            <w:r>
              <w:rPr>
                <w:rFonts w:hint="eastAsia"/>
                <w:spacing w:val="0"/>
                <w:kern w:val="0"/>
                <w:fitText w:val="720" w:id="-451794688"/>
              </w:rPr>
              <w:t>验</w:t>
            </w:r>
          </w:p>
          <w:p w14:paraId="1B4E61D7">
            <w:pPr>
              <w:pStyle w:val="178"/>
            </w:pPr>
            <w:r>
              <w:rPr>
                <w:rFonts w:hint="eastAsia"/>
              </w:rPr>
              <w:t>□待补资料</w:t>
            </w:r>
          </w:p>
          <w:p w14:paraId="0DE3D5BF">
            <w:pPr>
              <w:pStyle w:val="178"/>
            </w:pPr>
            <w:r>
              <w:rPr>
                <w:rFonts w:hint="eastAsia"/>
              </w:rPr>
              <w:t>□</w:t>
            </w:r>
            <w:r>
              <w:rPr>
                <w:rFonts w:hint="eastAsia"/>
                <w:spacing w:val="45"/>
                <w:kern w:val="0"/>
                <w:fitText w:val="720" w:id="-451794687"/>
              </w:rPr>
              <w:t>不合</w:t>
            </w:r>
            <w:r>
              <w:rPr>
                <w:rFonts w:hint="eastAsia"/>
                <w:spacing w:val="0"/>
                <w:kern w:val="0"/>
                <w:fitText w:val="720" w:id="-451794687"/>
              </w:rPr>
              <w:t>格</w:t>
            </w:r>
          </w:p>
          <w:p w14:paraId="50F421CF">
            <w:pPr>
              <w:pStyle w:val="178"/>
            </w:pPr>
            <w:r>
              <w:rPr>
                <w:rFonts w:hint="eastAsia"/>
              </w:rPr>
              <w:t>□</w:t>
            </w:r>
            <w:r>
              <w:rPr>
                <w:rFonts w:hint="eastAsia"/>
                <w:spacing w:val="180"/>
                <w:kern w:val="0"/>
                <w:fitText w:val="720" w:id="-451794686"/>
              </w:rPr>
              <w:t>退</w:t>
            </w:r>
            <w:r>
              <w:rPr>
                <w:rFonts w:hint="eastAsia"/>
                <w:spacing w:val="0"/>
                <w:kern w:val="0"/>
                <w:fitText w:val="720" w:id="-451794686"/>
              </w:rPr>
              <w:t>场</w:t>
            </w:r>
          </w:p>
        </w:tc>
        <w:tc>
          <w:tcPr>
            <w:tcW w:w="2333" w:type="dxa"/>
            <w:vAlign w:val="center"/>
          </w:tcPr>
          <w:p w14:paraId="40C1D838">
            <w:pPr>
              <w:pStyle w:val="178"/>
            </w:pPr>
          </w:p>
        </w:tc>
        <w:tc>
          <w:tcPr>
            <w:tcW w:w="2334" w:type="dxa"/>
            <w:vAlign w:val="center"/>
          </w:tcPr>
          <w:p w14:paraId="6790A3E6">
            <w:pPr>
              <w:pStyle w:val="178"/>
            </w:pPr>
          </w:p>
        </w:tc>
      </w:tr>
      <w:tr w14:paraId="279EDD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39E85D74">
            <w:pPr>
              <w:pStyle w:val="178"/>
            </w:pPr>
            <w:r>
              <w:rPr>
                <w:rFonts w:hint="eastAsia"/>
              </w:rPr>
              <w:t>存放位置</w:t>
            </w:r>
          </w:p>
        </w:tc>
        <w:tc>
          <w:tcPr>
            <w:tcW w:w="2333" w:type="dxa"/>
            <w:vAlign w:val="center"/>
          </w:tcPr>
          <w:p w14:paraId="2256110C">
            <w:pPr>
              <w:pStyle w:val="178"/>
            </w:pPr>
          </w:p>
        </w:tc>
        <w:tc>
          <w:tcPr>
            <w:tcW w:w="2333" w:type="dxa"/>
            <w:vAlign w:val="center"/>
          </w:tcPr>
          <w:p w14:paraId="5AD8AE08">
            <w:pPr>
              <w:pStyle w:val="178"/>
            </w:pPr>
            <w:r>
              <w:rPr>
                <w:rFonts w:hint="eastAsia"/>
              </w:rPr>
              <w:t>质量状态标识</w:t>
            </w:r>
          </w:p>
        </w:tc>
        <w:tc>
          <w:tcPr>
            <w:tcW w:w="2334" w:type="dxa"/>
            <w:vAlign w:val="center"/>
          </w:tcPr>
          <w:p w14:paraId="45995D58">
            <w:pPr>
              <w:pStyle w:val="178"/>
            </w:pPr>
          </w:p>
        </w:tc>
      </w:tr>
      <w:tr w14:paraId="0D0CF3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1496CF07">
            <w:pPr>
              <w:pStyle w:val="178"/>
            </w:pPr>
            <w:r>
              <w:rPr>
                <w:rFonts w:hint="eastAsia"/>
              </w:rPr>
              <w:t>施工单位验收人员</w:t>
            </w:r>
          </w:p>
        </w:tc>
        <w:tc>
          <w:tcPr>
            <w:tcW w:w="2333" w:type="dxa"/>
            <w:vAlign w:val="center"/>
          </w:tcPr>
          <w:p w14:paraId="7890F94F">
            <w:pPr>
              <w:pStyle w:val="178"/>
            </w:pPr>
          </w:p>
        </w:tc>
        <w:tc>
          <w:tcPr>
            <w:tcW w:w="2333" w:type="dxa"/>
            <w:vAlign w:val="center"/>
          </w:tcPr>
          <w:p w14:paraId="6CB94D9F">
            <w:pPr>
              <w:pStyle w:val="178"/>
            </w:pPr>
            <w:r>
              <w:rPr>
                <w:rFonts w:hint="eastAsia"/>
              </w:rPr>
              <w:t>监理单位验收人员</w:t>
            </w:r>
          </w:p>
        </w:tc>
        <w:tc>
          <w:tcPr>
            <w:tcW w:w="2334" w:type="dxa"/>
            <w:vAlign w:val="center"/>
          </w:tcPr>
          <w:p w14:paraId="1BE3CBC5">
            <w:pPr>
              <w:pStyle w:val="178"/>
            </w:pPr>
          </w:p>
        </w:tc>
      </w:tr>
      <w:tr w14:paraId="6307FC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44E8176D">
            <w:pPr>
              <w:pStyle w:val="178"/>
            </w:pPr>
            <w:r>
              <w:rPr>
                <w:rFonts w:hint="eastAsia"/>
              </w:rPr>
              <w:t>备注</w:t>
            </w:r>
          </w:p>
        </w:tc>
        <w:tc>
          <w:tcPr>
            <w:tcW w:w="2333" w:type="dxa"/>
            <w:vAlign w:val="center"/>
          </w:tcPr>
          <w:p w14:paraId="16D79B13">
            <w:pPr>
              <w:pStyle w:val="178"/>
            </w:pPr>
          </w:p>
        </w:tc>
        <w:tc>
          <w:tcPr>
            <w:tcW w:w="2333" w:type="dxa"/>
            <w:vAlign w:val="center"/>
          </w:tcPr>
          <w:p w14:paraId="6864DFA6">
            <w:pPr>
              <w:pStyle w:val="178"/>
            </w:pPr>
          </w:p>
        </w:tc>
        <w:tc>
          <w:tcPr>
            <w:tcW w:w="2334" w:type="dxa"/>
            <w:vAlign w:val="center"/>
          </w:tcPr>
          <w:p w14:paraId="00E4C28B">
            <w:pPr>
              <w:pStyle w:val="178"/>
            </w:pPr>
          </w:p>
        </w:tc>
      </w:tr>
    </w:tbl>
    <w:p w14:paraId="428CBAF7">
      <w:pPr>
        <w:pStyle w:val="211"/>
        <w:spacing w:before="120" w:beforeLines="50"/>
      </w:pPr>
      <w:r>
        <w:t>进场验收记录应与质量证明文件、取样记录、检测报告和材料台账对应保存。</w:t>
      </w:r>
    </w:p>
    <w:p w14:paraId="5E0F53A4">
      <w:pPr>
        <w:pStyle w:val="56"/>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2452A4E5">
      <w:pPr>
        <w:pStyle w:val="198"/>
        <w:rPr>
          <w:rFonts w:hint="eastAsia"/>
        </w:rPr>
      </w:pPr>
    </w:p>
    <w:p w14:paraId="0D9B73F1">
      <w:pPr>
        <w:pStyle w:val="199"/>
      </w:pPr>
    </w:p>
    <w:p w14:paraId="5F256558">
      <w:pPr>
        <w:pStyle w:val="76"/>
        <w:spacing w:after="120" w:line="360" w:lineRule="auto"/>
      </w:pPr>
      <w:r>
        <w:br w:type="textWrapping"/>
      </w:r>
      <w:bookmarkStart w:id="65" w:name="_Toc228604111"/>
      <w:r>
        <w:rPr>
          <w:rFonts w:hint="eastAsia"/>
        </w:rPr>
        <w:t>（资料性）</w:t>
      </w:r>
      <w:r>
        <w:br w:type="textWrapping"/>
      </w:r>
      <w:r>
        <w:rPr>
          <w:rFonts w:hint="eastAsia"/>
        </w:rPr>
        <w:t>不合格材料处置记录表</w:t>
      </w:r>
      <w:bookmarkEnd w:id="65"/>
    </w:p>
    <w:p w14:paraId="493A70BD">
      <w:pPr>
        <w:pStyle w:val="211"/>
        <w:spacing w:line="360" w:lineRule="auto"/>
      </w:pPr>
      <w:r>
        <w:t>不合格材料处置记录可按表B.1执行。</w:t>
      </w:r>
    </w:p>
    <w:p w14:paraId="3BA4E274">
      <w:pPr>
        <w:pStyle w:val="77"/>
        <w:spacing w:before="120" w:after="120" w:line="360" w:lineRule="auto"/>
      </w:pPr>
      <w:r>
        <w:t>不合格材料处置记录表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2E010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vAlign w:val="center"/>
          </w:tcPr>
          <w:p w14:paraId="02C2A56F">
            <w:pPr>
              <w:pStyle w:val="178"/>
            </w:pPr>
            <w:r>
              <w:rPr>
                <w:rFonts w:hint="eastAsia"/>
              </w:rPr>
              <w:t>工程名称</w:t>
            </w:r>
          </w:p>
        </w:tc>
        <w:tc>
          <w:tcPr>
            <w:tcW w:w="2333" w:type="dxa"/>
            <w:tcBorders>
              <w:top w:val="single" w:color="auto" w:sz="8" w:space="0"/>
              <w:bottom w:val="single" w:color="auto" w:sz="8" w:space="0"/>
            </w:tcBorders>
            <w:vAlign w:val="center"/>
          </w:tcPr>
          <w:p w14:paraId="00513A5E">
            <w:pPr>
              <w:pStyle w:val="178"/>
            </w:pPr>
          </w:p>
        </w:tc>
        <w:tc>
          <w:tcPr>
            <w:tcW w:w="2333" w:type="dxa"/>
            <w:tcBorders>
              <w:top w:val="single" w:color="auto" w:sz="8" w:space="0"/>
              <w:bottom w:val="single" w:color="auto" w:sz="8" w:space="0"/>
            </w:tcBorders>
            <w:vAlign w:val="center"/>
          </w:tcPr>
          <w:p w14:paraId="4738CD9D">
            <w:pPr>
              <w:pStyle w:val="178"/>
            </w:pPr>
            <w:r>
              <w:rPr>
                <w:rFonts w:hint="eastAsia"/>
              </w:rPr>
              <w:t>记录编号</w:t>
            </w:r>
          </w:p>
        </w:tc>
        <w:tc>
          <w:tcPr>
            <w:tcW w:w="2334" w:type="dxa"/>
            <w:tcBorders>
              <w:top w:val="single" w:color="auto" w:sz="8" w:space="0"/>
              <w:bottom w:val="single" w:color="auto" w:sz="8" w:space="0"/>
            </w:tcBorders>
            <w:vAlign w:val="center"/>
          </w:tcPr>
          <w:p w14:paraId="6934E9FA">
            <w:pPr>
              <w:pStyle w:val="178"/>
            </w:pPr>
          </w:p>
        </w:tc>
      </w:tr>
      <w:tr w14:paraId="242808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vAlign w:val="center"/>
          </w:tcPr>
          <w:p w14:paraId="78416A84">
            <w:pPr>
              <w:pStyle w:val="178"/>
            </w:pPr>
            <w:r>
              <w:rPr>
                <w:rFonts w:hint="eastAsia"/>
              </w:rPr>
              <w:t>材料名称</w:t>
            </w:r>
          </w:p>
        </w:tc>
        <w:tc>
          <w:tcPr>
            <w:tcW w:w="2333" w:type="dxa"/>
            <w:tcBorders>
              <w:top w:val="single" w:color="auto" w:sz="8" w:space="0"/>
            </w:tcBorders>
            <w:vAlign w:val="center"/>
          </w:tcPr>
          <w:p w14:paraId="00A04E48">
            <w:pPr>
              <w:pStyle w:val="178"/>
            </w:pPr>
          </w:p>
        </w:tc>
        <w:tc>
          <w:tcPr>
            <w:tcW w:w="2333" w:type="dxa"/>
            <w:tcBorders>
              <w:top w:val="single" w:color="auto" w:sz="8" w:space="0"/>
            </w:tcBorders>
            <w:vAlign w:val="center"/>
          </w:tcPr>
          <w:p w14:paraId="20E7CB3E">
            <w:pPr>
              <w:pStyle w:val="178"/>
            </w:pPr>
            <w:r>
              <w:rPr>
                <w:rFonts w:hint="eastAsia"/>
              </w:rPr>
              <w:t>规格型号</w:t>
            </w:r>
          </w:p>
        </w:tc>
        <w:tc>
          <w:tcPr>
            <w:tcW w:w="2334" w:type="dxa"/>
            <w:tcBorders>
              <w:top w:val="single" w:color="auto" w:sz="8" w:space="0"/>
            </w:tcBorders>
            <w:vAlign w:val="center"/>
          </w:tcPr>
          <w:p w14:paraId="776CCE02">
            <w:pPr>
              <w:pStyle w:val="178"/>
            </w:pPr>
          </w:p>
        </w:tc>
      </w:tr>
      <w:tr w14:paraId="76AD21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4" w:type="dxa"/>
            <w:vAlign w:val="center"/>
          </w:tcPr>
          <w:p w14:paraId="2EE71351">
            <w:pPr>
              <w:pStyle w:val="178"/>
            </w:pPr>
            <w:r>
              <w:rPr>
                <w:rFonts w:hint="eastAsia"/>
              </w:rPr>
              <w:t>生产厂家</w:t>
            </w:r>
          </w:p>
        </w:tc>
        <w:tc>
          <w:tcPr>
            <w:tcW w:w="2333" w:type="dxa"/>
            <w:vAlign w:val="center"/>
          </w:tcPr>
          <w:p w14:paraId="71DCD8A6">
            <w:pPr>
              <w:pStyle w:val="178"/>
            </w:pPr>
          </w:p>
        </w:tc>
        <w:tc>
          <w:tcPr>
            <w:tcW w:w="2333" w:type="dxa"/>
            <w:vAlign w:val="center"/>
          </w:tcPr>
          <w:p w14:paraId="40704A6C">
            <w:pPr>
              <w:pStyle w:val="178"/>
            </w:pPr>
            <w:r>
              <w:rPr>
                <w:rFonts w:hint="eastAsia"/>
              </w:rPr>
              <w:t>供应单位</w:t>
            </w:r>
          </w:p>
        </w:tc>
        <w:tc>
          <w:tcPr>
            <w:tcW w:w="2334" w:type="dxa"/>
            <w:vAlign w:val="center"/>
          </w:tcPr>
          <w:p w14:paraId="2EE3DD4A">
            <w:pPr>
              <w:pStyle w:val="178"/>
            </w:pPr>
          </w:p>
        </w:tc>
      </w:tr>
      <w:tr w14:paraId="2E9C0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4" w:type="dxa"/>
            <w:vAlign w:val="center"/>
          </w:tcPr>
          <w:p w14:paraId="6AE609E8">
            <w:pPr>
              <w:pStyle w:val="178"/>
            </w:pPr>
            <w:r>
              <w:rPr>
                <w:rFonts w:hint="eastAsia"/>
              </w:rPr>
              <w:t>批号</w:t>
            </w:r>
          </w:p>
        </w:tc>
        <w:tc>
          <w:tcPr>
            <w:tcW w:w="2333" w:type="dxa"/>
            <w:vAlign w:val="center"/>
          </w:tcPr>
          <w:p w14:paraId="161705BD">
            <w:pPr>
              <w:pStyle w:val="178"/>
            </w:pPr>
          </w:p>
        </w:tc>
        <w:tc>
          <w:tcPr>
            <w:tcW w:w="2333" w:type="dxa"/>
            <w:vAlign w:val="center"/>
          </w:tcPr>
          <w:p w14:paraId="0C43F243">
            <w:pPr>
              <w:pStyle w:val="178"/>
            </w:pPr>
            <w:r>
              <w:rPr>
                <w:rFonts w:hint="eastAsia"/>
              </w:rPr>
              <w:t>数量</w:t>
            </w:r>
          </w:p>
        </w:tc>
        <w:tc>
          <w:tcPr>
            <w:tcW w:w="2334" w:type="dxa"/>
            <w:vAlign w:val="center"/>
          </w:tcPr>
          <w:p w14:paraId="25B1BC93">
            <w:pPr>
              <w:pStyle w:val="178"/>
            </w:pPr>
          </w:p>
        </w:tc>
      </w:tr>
      <w:tr w14:paraId="1B8F26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335630B0">
            <w:pPr>
              <w:pStyle w:val="178"/>
            </w:pPr>
            <w:r>
              <w:rPr>
                <w:rFonts w:hint="eastAsia"/>
              </w:rPr>
              <w:t>发现时间</w:t>
            </w:r>
          </w:p>
        </w:tc>
        <w:tc>
          <w:tcPr>
            <w:tcW w:w="2333" w:type="dxa"/>
            <w:vAlign w:val="center"/>
          </w:tcPr>
          <w:p w14:paraId="0C9692DA">
            <w:pPr>
              <w:pStyle w:val="178"/>
            </w:pPr>
          </w:p>
        </w:tc>
        <w:tc>
          <w:tcPr>
            <w:tcW w:w="2333" w:type="dxa"/>
            <w:vAlign w:val="center"/>
          </w:tcPr>
          <w:p w14:paraId="078C708B">
            <w:pPr>
              <w:pStyle w:val="178"/>
            </w:pPr>
            <w:r>
              <w:rPr>
                <w:rFonts w:hint="eastAsia"/>
              </w:rPr>
              <w:t>发现环节</w:t>
            </w:r>
          </w:p>
        </w:tc>
        <w:tc>
          <w:tcPr>
            <w:tcW w:w="2334" w:type="dxa"/>
            <w:vAlign w:val="center"/>
          </w:tcPr>
          <w:p w14:paraId="0751523A">
            <w:pPr>
              <w:pStyle w:val="178"/>
            </w:pPr>
            <w:r>
              <w:rPr>
                <w:rFonts w:hint="eastAsia"/>
              </w:rPr>
              <w:t>□验收</w:t>
            </w:r>
          </w:p>
          <w:p w14:paraId="6D73CF72">
            <w:pPr>
              <w:pStyle w:val="178"/>
            </w:pPr>
            <w:r>
              <w:rPr>
                <w:rFonts w:hint="eastAsia"/>
              </w:rPr>
              <w:t>□检测</w:t>
            </w:r>
          </w:p>
          <w:p w14:paraId="0B887991">
            <w:pPr>
              <w:pStyle w:val="178"/>
            </w:pPr>
            <w:r>
              <w:rPr>
                <w:rFonts w:hint="eastAsia"/>
              </w:rPr>
              <w:t>□储存</w:t>
            </w:r>
          </w:p>
          <w:p w14:paraId="0A5E12B0">
            <w:pPr>
              <w:pStyle w:val="178"/>
            </w:pPr>
            <w:r>
              <w:rPr>
                <w:rFonts w:hint="eastAsia"/>
              </w:rPr>
              <w:t>□使用</w:t>
            </w:r>
          </w:p>
          <w:p w14:paraId="31C63294">
            <w:pPr>
              <w:pStyle w:val="178"/>
            </w:pPr>
            <w:r>
              <w:rPr>
                <w:rFonts w:hint="eastAsia"/>
              </w:rPr>
              <w:t>□其他</w:t>
            </w:r>
          </w:p>
        </w:tc>
      </w:tr>
      <w:tr w14:paraId="782FC4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5DC28C40">
            <w:pPr>
              <w:pStyle w:val="178"/>
            </w:pPr>
            <w:r>
              <w:rPr>
                <w:rFonts w:hint="eastAsia"/>
              </w:rPr>
              <w:t>不合格事实</w:t>
            </w:r>
          </w:p>
        </w:tc>
        <w:tc>
          <w:tcPr>
            <w:tcW w:w="2333" w:type="dxa"/>
            <w:vAlign w:val="center"/>
          </w:tcPr>
          <w:p w14:paraId="0B8B4CDE">
            <w:pPr>
              <w:pStyle w:val="178"/>
            </w:pPr>
          </w:p>
        </w:tc>
        <w:tc>
          <w:tcPr>
            <w:tcW w:w="2333" w:type="dxa"/>
            <w:vAlign w:val="center"/>
          </w:tcPr>
          <w:p w14:paraId="7A109D69">
            <w:pPr>
              <w:pStyle w:val="178"/>
            </w:pPr>
          </w:p>
        </w:tc>
        <w:tc>
          <w:tcPr>
            <w:tcW w:w="2334" w:type="dxa"/>
            <w:vAlign w:val="center"/>
          </w:tcPr>
          <w:p w14:paraId="6A73D142">
            <w:pPr>
              <w:pStyle w:val="178"/>
            </w:pPr>
          </w:p>
        </w:tc>
      </w:tr>
      <w:tr w14:paraId="1DFF1C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5B95B91C">
            <w:pPr>
              <w:pStyle w:val="178"/>
            </w:pPr>
            <w:r>
              <w:rPr>
                <w:rFonts w:hint="eastAsia"/>
              </w:rPr>
              <w:t>隔离位置</w:t>
            </w:r>
          </w:p>
        </w:tc>
        <w:tc>
          <w:tcPr>
            <w:tcW w:w="2333" w:type="dxa"/>
            <w:vAlign w:val="center"/>
          </w:tcPr>
          <w:p w14:paraId="19EB4283">
            <w:pPr>
              <w:pStyle w:val="178"/>
            </w:pPr>
          </w:p>
        </w:tc>
        <w:tc>
          <w:tcPr>
            <w:tcW w:w="2333" w:type="dxa"/>
            <w:vAlign w:val="center"/>
          </w:tcPr>
          <w:p w14:paraId="71635F2C">
            <w:pPr>
              <w:pStyle w:val="178"/>
            </w:pPr>
            <w:r>
              <w:rPr>
                <w:rFonts w:hint="eastAsia"/>
              </w:rPr>
              <w:t>标识情况</w:t>
            </w:r>
          </w:p>
        </w:tc>
        <w:tc>
          <w:tcPr>
            <w:tcW w:w="2334" w:type="dxa"/>
            <w:vAlign w:val="center"/>
          </w:tcPr>
          <w:p w14:paraId="0C47150C">
            <w:pPr>
              <w:pStyle w:val="178"/>
            </w:pPr>
          </w:p>
        </w:tc>
      </w:tr>
      <w:tr w14:paraId="608C66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4" w:type="dxa"/>
            <w:vAlign w:val="center"/>
          </w:tcPr>
          <w:p w14:paraId="5F004A65">
            <w:pPr>
              <w:pStyle w:val="178"/>
            </w:pPr>
            <w:r>
              <w:rPr>
                <w:rFonts w:hint="eastAsia"/>
              </w:rPr>
              <w:t>影响范围</w:t>
            </w:r>
          </w:p>
        </w:tc>
        <w:tc>
          <w:tcPr>
            <w:tcW w:w="2333" w:type="dxa"/>
            <w:vAlign w:val="center"/>
          </w:tcPr>
          <w:p w14:paraId="2932FCCE">
            <w:pPr>
              <w:pStyle w:val="178"/>
            </w:pPr>
          </w:p>
        </w:tc>
        <w:tc>
          <w:tcPr>
            <w:tcW w:w="2333" w:type="dxa"/>
            <w:vAlign w:val="center"/>
          </w:tcPr>
          <w:p w14:paraId="241924D5">
            <w:pPr>
              <w:pStyle w:val="178"/>
            </w:pPr>
            <w:r>
              <w:rPr>
                <w:rFonts w:hint="eastAsia"/>
              </w:rPr>
              <w:t>是否已使用</w:t>
            </w:r>
          </w:p>
        </w:tc>
        <w:tc>
          <w:tcPr>
            <w:tcW w:w="2334" w:type="dxa"/>
            <w:vAlign w:val="center"/>
          </w:tcPr>
          <w:p w14:paraId="73A6C97B">
            <w:pPr>
              <w:pStyle w:val="178"/>
            </w:pPr>
            <w:r>
              <w:rPr>
                <w:rFonts w:hint="eastAsia"/>
              </w:rPr>
              <w:t>□是 □否</w:t>
            </w:r>
          </w:p>
        </w:tc>
      </w:tr>
      <w:tr w14:paraId="0AAE1E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053894CF">
            <w:pPr>
              <w:pStyle w:val="178"/>
            </w:pPr>
            <w:r>
              <w:rPr>
                <w:rFonts w:hint="eastAsia"/>
              </w:rPr>
              <w:t>处置方式</w:t>
            </w:r>
          </w:p>
        </w:tc>
        <w:tc>
          <w:tcPr>
            <w:tcW w:w="2333" w:type="dxa"/>
            <w:vAlign w:val="center"/>
          </w:tcPr>
          <w:p w14:paraId="3FF67AA7">
            <w:pPr>
              <w:pStyle w:val="178"/>
            </w:pPr>
            <w:r>
              <w:rPr>
                <w:rFonts w:hint="eastAsia"/>
              </w:rPr>
              <w:t>□退    场</w:t>
            </w:r>
          </w:p>
          <w:p w14:paraId="1C70C8FB">
            <w:pPr>
              <w:pStyle w:val="178"/>
            </w:pPr>
            <w:r>
              <w:rPr>
                <w:rFonts w:hint="eastAsia"/>
              </w:rPr>
              <w:t>□更    换</w:t>
            </w:r>
          </w:p>
          <w:p w14:paraId="62A827FC">
            <w:pPr>
              <w:pStyle w:val="178"/>
            </w:pPr>
            <w:r>
              <w:rPr>
                <w:rFonts w:hint="eastAsia"/>
              </w:rPr>
              <w:t>□返工处理</w:t>
            </w:r>
          </w:p>
          <w:p w14:paraId="0A5DF0DB">
            <w:pPr>
              <w:pStyle w:val="178"/>
            </w:pPr>
            <w:r>
              <w:rPr>
                <w:rFonts w:hint="eastAsia"/>
              </w:rPr>
              <w:t>□降级使用</w:t>
            </w:r>
          </w:p>
          <w:p w14:paraId="380069C2">
            <w:pPr>
              <w:pStyle w:val="178"/>
            </w:pPr>
            <w:r>
              <w:rPr>
                <w:rFonts w:hint="eastAsia"/>
              </w:rPr>
              <w:t>□让步接收</w:t>
            </w:r>
          </w:p>
          <w:p w14:paraId="66B16F1C">
            <w:pPr>
              <w:pStyle w:val="178"/>
            </w:pPr>
            <w:r>
              <w:rPr>
                <w:rFonts w:hint="eastAsia"/>
              </w:rPr>
              <w:t>□报废销毁</w:t>
            </w:r>
          </w:p>
        </w:tc>
        <w:tc>
          <w:tcPr>
            <w:tcW w:w="2333" w:type="dxa"/>
            <w:vAlign w:val="center"/>
          </w:tcPr>
          <w:p w14:paraId="400081EE">
            <w:pPr>
              <w:pStyle w:val="178"/>
            </w:pPr>
          </w:p>
        </w:tc>
        <w:tc>
          <w:tcPr>
            <w:tcW w:w="2334" w:type="dxa"/>
            <w:vAlign w:val="center"/>
          </w:tcPr>
          <w:p w14:paraId="6E854B7E">
            <w:pPr>
              <w:pStyle w:val="178"/>
            </w:pPr>
          </w:p>
        </w:tc>
      </w:tr>
      <w:tr w14:paraId="5CF383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54CC6D39">
            <w:pPr>
              <w:pStyle w:val="178"/>
            </w:pPr>
            <w:r>
              <w:rPr>
                <w:rFonts w:hint="eastAsia"/>
              </w:rPr>
              <w:t>处置措施</w:t>
            </w:r>
          </w:p>
        </w:tc>
        <w:tc>
          <w:tcPr>
            <w:tcW w:w="2333" w:type="dxa"/>
            <w:vAlign w:val="center"/>
          </w:tcPr>
          <w:p w14:paraId="4186FEF8">
            <w:pPr>
              <w:pStyle w:val="178"/>
            </w:pPr>
          </w:p>
        </w:tc>
        <w:tc>
          <w:tcPr>
            <w:tcW w:w="2333" w:type="dxa"/>
            <w:vAlign w:val="center"/>
          </w:tcPr>
          <w:p w14:paraId="72F05312">
            <w:pPr>
              <w:pStyle w:val="178"/>
            </w:pPr>
          </w:p>
        </w:tc>
        <w:tc>
          <w:tcPr>
            <w:tcW w:w="2334" w:type="dxa"/>
            <w:vAlign w:val="center"/>
          </w:tcPr>
          <w:p w14:paraId="08AFD7B9">
            <w:pPr>
              <w:pStyle w:val="178"/>
            </w:pPr>
          </w:p>
        </w:tc>
      </w:tr>
      <w:tr w14:paraId="726F67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04FC9E02">
            <w:pPr>
              <w:pStyle w:val="178"/>
            </w:pPr>
            <w:r>
              <w:rPr>
                <w:rFonts w:hint="eastAsia"/>
              </w:rPr>
              <w:t>审批意见</w:t>
            </w:r>
          </w:p>
        </w:tc>
        <w:tc>
          <w:tcPr>
            <w:tcW w:w="2333" w:type="dxa"/>
            <w:vAlign w:val="center"/>
          </w:tcPr>
          <w:p w14:paraId="6A4676D6">
            <w:pPr>
              <w:pStyle w:val="178"/>
            </w:pPr>
          </w:p>
        </w:tc>
        <w:tc>
          <w:tcPr>
            <w:tcW w:w="2333" w:type="dxa"/>
            <w:vAlign w:val="center"/>
          </w:tcPr>
          <w:p w14:paraId="2C49CDDB">
            <w:pPr>
              <w:pStyle w:val="178"/>
            </w:pPr>
          </w:p>
        </w:tc>
        <w:tc>
          <w:tcPr>
            <w:tcW w:w="2334" w:type="dxa"/>
            <w:vAlign w:val="center"/>
          </w:tcPr>
          <w:p w14:paraId="266B036E">
            <w:pPr>
              <w:pStyle w:val="178"/>
            </w:pPr>
          </w:p>
        </w:tc>
      </w:tr>
      <w:tr w14:paraId="227C82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4" w:type="dxa"/>
            <w:vAlign w:val="center"/>
          </w:tcPr>
          <w:p w14:paraId="36E76F12">
            <w:pPr>
              <w:pStyle w:val="178"/>
            </w:pPr>
            <w:r>
              <w:rPr>
                <w:rFonts w:hint="eastAsia"/>
              </w:rPr>
              <w:t>验证结果</w:t>
            </w:r>
          </w:p>
        </w:tc>
        <w:tc>
          <w:tcPr>
            <w:tcW w:w="2333" w:type="dxa"/>
            <w:vAlign w:val="center"/>
          </w:tcPr>
          <w:p w14:paraId="679CC873">
            <w:pPr>
              <w:pStyle w:val="178"/>
            </w:pPr>
          </w:p>
        </w:tc>
        <w:tc>
          <w:tcPr>
            <w:tcW w:w="2333" w:type="dxa"/>
            <w:vAlign w:val="center"/>
          </w:tcPr>
          <w:p w14:paraId="04C2C57D">
            <w:pPr>
              <w:pStyle w:val="178"/>
            </w:pPr>
          </w:p>
        </w:tc>
        <w:tc>
          <w:tcPr>
            <w:tcW w:w="2334" w:type="dxa"/>
            <w:vAlign w:val="center"/>
          </w:tcPr>
          <w:p w14:paraId="3F1EFA7E">
            <w:pPr>
              <w:pStyle w:val="178"/>
            </w:pPr>
          </w:p>
        </w:tc>
      </w:tr>
      <w:tr w14:paraId="3CDB6A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4" w:type="dxa"/>
            <w:vAlign w:val="center"/>
          </w:tcPr>
          <w:p w14:paraId="1DA544FB">
            <w:pPr>
              <w:pStyle w:val="178"/>
            </w:pPr>
            <w:r>
              <w:rPr>
                <w:rFonts w:hint="eastAsia"/>
              </w:rPr>
              <w:t>是否关闭</w:t>
            </w:r>
          </w:p>
        </w:tc>
        <w:tc>
          <w:tcPr>
            <w:tcW w:w="2333" w:type="dxa"/>
            <w:vAlign w:val="center"/>
          </w:tcPr>
          <w:p w14:paraId="6854046F">
            <w:pPr>
              <w:pStyle w:val="178"/>
            </w:pPr>
            <w:r>
              <w:rPr>
                <w:rFonts w:hint="eastAsia"/>
              </w:rPr>
              <w:t>□是 □否</w:t>
            </w:r>
          </w:p>
        </w:tc>
        <w:tc>
          <w:tcPr>
            <w:tcW w:w="2333" w:type="dxa"/>
            <w:vAlign w:val="center"/>
          </w:tcPr>
          <w:p w14:paraId="7A3AF973">
            <w:pPr>
              <w:pStyle w:val="178"/>
            </w:pPr>
            <w:r>
              <w:rPr>
                <w:rFonts w:hint="eastAsia"/>
              </w:rPr>
              <w:t>关闭日期</w:t>
            </w:r>
          </w:p>
        </w:tc>
        <w:tc>
          <w:tcPr>
            <w:tcW w:w="2334" w:type="dxa"/>
            <w:vAlign w:val="center"/>
          </w:tcPr>
          <w:p w14:paraId="4380BCE5">
            <w:pPr>
              <w:pStyle w:val="178"/>
            </w:pPr>
          </w:p>
        </w:tc>
      </w:tr>
      <w:tr w14:paraId="4C471F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Align w:val="center"/>
          </w:tcPr>
          <w:p w14:paraId="488F554E">
            <w:pPr>
              <w:pStyle w:val="178"/>
            </w:pPr>
            <w:r>
              <w:rPr>
                <w:rFonts w:hint="eastAsia"/>
              </w:rPr>
              <w:t>责任人员</w:t>
            </w:r>
          </w:p>
        </w:tc>
        <w:tc>
          <w:tcPr>
            <w:tcW w:w="2333" w:type="dxa"/>
            <w:vAlign w:val="center"/>
          </w:tcPr>
          <w:p w14:paraId="3DC86C86">
            <w:pPr>
              <w:pStyle w:val="178"/>
            </w:pPr>
          </w:p>
        </w:tc>
        <w:tc>
          <w:tcPr>
            <w:tcW w:w="2333" w:type="dxa"/>
            <w:vAlign w:val="center"/>
          </w:tcPr>
          <w:p w14:paraId="4CF82CB1">
            <w:pPr>
              <w:pStyle w:val="178"/>
            </w:pPr>
            <w:r>
              <w:rPr>
                <w:rFonts w:hint="eastAsia"/>
              </w:rPr>
              <w:t>验证人员</w:t>
            </w:r>
          </w:p>
        </w:tc>
        <w:tc>
          <w:tcPr>
            <w:tcW w:w="2334" w:type="dxa"/>
            <w:vAlign w:val="center"/>
          </w:tcPr>
          <w:p w14:paraId="67D75E3C">
            <w:pPr>
              <w:pStyle w:val="178"/>
            </w:pPr>
          </w:p>
        </w:tc>
      </w:tr>
    </w:tbl>
    <w:p w14:paraId="3D5A0CF6">
      <w:pPr>
        <w:pStyle w:val="211"/>
        <w:spacing w:before="120" w:beforeLines="50"/>
      </w:pPr>
      <w:r>
        <w:t>已使用不合格材料的，应另行形成质量影响评估和专项处理记录</w:t>
      </w:r>
      <w:r>
        <w:rPr>
          <w:rFonts w:hint="eastAsia"/>
        </w:rPr>
        <w:t>。</w:t>
      </w:r>
    </w:p>
    <w:p w14:paraId="12A526C1">
      <w:pPr>
        <w:pStyle w:val="56"/>
        <w:ind w:firstLine="420"/>
      </w:pPr>
    </w:p>
    <w:p w14:paraId="1542FE98">
      <w:pPr>
        <w:pStyle w:val="56"/>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p>
    <w:p w14:paraId="0625958D">
      <w:pPr>
        <w:pStyle w:val="198"/>
        <w:rPr>
          <w:rFonts w:hint="eastAsia"/>
        </w:rPr>
      </w:pPr>
    </w:p>
    <w:p w14:paraId="27EBAF5E">
      <w:pPr>
        <w:pStyle w:val="199"/>
      </w:pPr>
    </w:p>
    <w:p w14:paraId="218135C4">
      <w:pPr>
        <w:pStyle w:val="76"/>
        <w:spacing w:after="120" w:line="360" w:lineRule="auto"/>
      </w:pPr>
      <w:r>
        <w:br w:type="textWrapping"/>
      </w:r>
      <w:bookmarkStart w:id="66" w:name="_Toc228604112"/>
      <w:r>
        <w:rPr>
          <w:rFonts w:hint="eastAsia"/>
        </w:rPr>
        <w:t>（资料性）</w:t>
      </w:r>
      <w:r>
        <w:br w:type="textWrapping"/>
      </w:r>
      <w:r>
        <w:rPr>
          <w:rFonts w:hint="eastAsia"/>
        </w:rPr>
        <w:t>材料质量控制检查表</w:t>
      </w:r>
      <w:bookmarkEnd w:id="66"/>
    </w:p>
    <w:p w14:paraId="31BC1D2C">
      <w:pPr>
        <w:pStyle w:val="211"/>
        <w:spacing w:line="360" w:lineRule="auto"/>
      </w:pPr>
      <w:r>
        <w:t>材料质量控制检查可按表C.1执行。</w:t>
      </w:r>
    </w:p>
    <w:p w14:paraId="67ACF358">
      <w:pPr>
        <w:pStyle w:val="77"/>
        <w:spacing w:before="120" w:after="120" w:line="360" w:lineRule="auto"/>
      </w:pPr>
      <w:r>
        <w:t>材料质量控制检查表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2693"/>
        <w:gridCol w:w="2126"/>
        <w:gridCol w:w="1560"/>
        <w:gridCol w:w="1547"/>
      </w:tblGrid>
      <w:tr w14:paraId="63137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vAlign w:val="center"/>
          </w:tcPr>
          <w:p w14:paraId="625C35AA">
            <w:pPr>
              <w:pStyle w:val="178"/>
            </w:pPr>
            <w:r>
              <w:rPr>
                <w:rFonts w:hint="eastAsia"/>
              </w:rPr>
              <w:t>检查项目</w:t>
            </w:r>
          </w:p>
        </w:tc>
        <w:tc>
          <w:tcPr>
            <w:tcW w:w="2693" w:type="dxa"/>
            <w:tcBorders>
              <w:top w:val="single" w:color="auto" w:sz="8" w:space="0"/>
              <w:bottom w:val="single" w:color="auto" w:sz="8" w:space="0"/>
            </w:tcBorders>
            <w:vAlign w:val="center"/>
          </w:tcPr>
          <w:p w14:paraId="0683956D">
            <w:pPr>
              <w:pStyle w:val="178"/>
            </w:pPr>
            <w:r>
              <w:rPr>
                <w:rFonts w:hint="eastAsia"/>
              </w:rPr>
              <w:t>检查内容</w:t>
            </w:r>
          </w:p>
        </w:tc>
        <w:tc>
          <w:tcPr>
            <w:tcW w:w="2126" w:type="dxa"/>
            <w:tcBorders>
              <w:top w:val="single" w:color="auto" w:sz="8" w:space="0"/>
              <w:bottom w:val="single" w:color="auto" w:sz="8" w:space="0"/>
            </w:tcBorders>
            <w:vAlign w:val="center"/>
          </w:tcPr>
          <w:p w14:paraId="010821D6">
            <w:pPr>
              <w:pStyle w:val="178"/>
            </w:pPr>
            <w:r>
              <w:rPr>
                <w:rFonts w:hint="eastAsia"/>
              </w:rPr>
              <w:t>检查结果</w:t>
            </w:r>
          </w:p>
        </w:tc>
        <w:tc>
          <w:tcPr>
            <w:tcW w:w="1560" w:type="dxa"/>
            <w:tcBorders>
              <w:top w:val="single" w:color="auto" w:sz="8" w:space="0"/>
              <w:bottom w:val="single" w:color="auto" w:sz="8" w:space="0"/>
            </w:tcBorders>
            <w:vAlign w:val="center"/>
          </w:tcPr>
          <w:p w14:paraId="3006BACD">
            <w:pPr>
              <w:pStyle w:val="178"/>
            </w:pPr>
            <w:r>
              <w:rPr>
                <w:rFonts w:hint="eastAsia"/>
              </w:rPr>
              <w:t>问题描述</w:t>
            </w:r>
          </w:p>
        </w:tc>
        <w:tc>
          <w:tcPr>
            <w:tcW w:w="1547" w:type="dxa"/>
            <w:tcBorders>
              <w:top w:val="single" w:color="auto" w:sz="8" w:space="0"/>
              <w:bottom w:val="single" w:color="auto" w:sz="8" w:space="0"/>
            </w:tcBorders>
            <w:vAlign w:val="center"/>
          </w:tcPr>
          <w:p w14:paraId="0D391CD3">
            <w:pPr>
              <w:pStyle w:val="178"/>
            </w:pPr>
            <w:r>
              <w:rPr>
                <w:rFonts w:hint="eastAsia"/>
              </w:rPr>
              <w:t>整改要求</w:t>
            </w:r>
          </w:p>
        </w:tc>
      </w:tr>
      <w:tr w14:paraId="0E8F8F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vAlign w:val="center"/>
          </w:tcPr>
          <w:p w14:paraId="7D68FEC4">
            <w:pPr>
              <w:pStyle w:val="178"/>
            </w:pPr>
            <w:r>
              <w:rPr>
                <w:rFonts w:hint="eastAsia"/>
              </w:rPr>
              <w:t>供应商管理</w:t>
            </w:r>
          </w:p>
        </w:tc>
        <w:tc>
          <w:tcPr>
            <w:tcW w:w="2693" w:type="dxa"/>
            <w:tcBorders>
              <w:top w:val="single" w:color="auto" w:sz="8" w:space="0"/>
            </w:tcBorders>
            <w:vAlign w:val="center"/>
          </w:tcPr>
          <w:p w14:paraId="256B5364">
            <w:pPr>
              <w:pStyle w:val="178"/>
            </w:pPr>
            <w:r>
              <w:rPr>
                <w:rFonts w:hint="eastAsia"/>
              </w:rPr>
              <w:t>供应商评价、</w:t>
            </w:r>
          </w:p>
          <w:p w14:paraId="40029B24">
            <w:pPr>
              <w:pStyle w:val="178"/>
            </w:pPr>
            <w:r>
              <w:rPr>
                <w:rFonts w:hint="eastAsia"/>
              </w:rPr>
              <w:t>准入和不良记录是否受控</w:t>
            </w:r>
          </w:p>
        </w:tc>
        <w:tc>
          <w:tcPr>
            <w:tcW w:w="2126" w:type="dxa"/>
            <w:tcBorders>
              <w:top w:val="single" w:color="auto" w:sz="8" w:space="0"/>
            </w:tcBorders>
            <w:vAlign w:val="center"/>
          </w:tcPr>
          <w:p w14:paraId="3F068A52">
            <w:pPr>
              <w:pStyle w:val="178"/>
            </w:pPr>
            <w:r>
              <w:rPr>
                <w:rFonts w:hint="eastAsia"/>
              </w:rPr>
              <w:t>□符合 □不符合</w:t>
            </w:r>
          </w:p>
        </w:tc>
        <w:tc>
          <w:tcPr>
            <w:tcW w:w="1560" w:type="dxa"/>
            <w:tcBorders>
              <w:top w:val="single" w:color="auto" w:sz="8" w:space="0"/>
            </w:tcBorders>
            <w:vAlign w:val="center"/>
          </w:tcPr>
          <w:p w14:paraId="78F5483F">
            <w:pPr>
              <w:pStyle w:val="178"/>
            </w:pPr>
          </w:p>
        </w:tc>
        <w:tc>
          <w:tcPr>
            <w:tcW w:w="1547" w:type="dxa"/>
            <w:tcBorders>
              <w:top w:val="single" w:color="auto" w:sz="8" w:space="0"/>
            </w:tcBorders>
            <w:vAlign w:val="center"/>
          </w:tcPr>
          <w:p w14:paraId="74E19EA1">
            <w:pPr>
              <w:pStyle w:val="178"/>
            </w:pPr>
          </w:p>
        </w:tc>
      </w:tr>
      <w:tr w14:paraId="42A4F0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348236CA">
            <w:pPr>
              <w:pStyle w:val="178"/>
            </w:pPr>
            <w:r>
              <w:rPr>
                <w:rFonts w:hint="eastAsia"/>
              </w:rPr>
              <w:t>采购文件</w:t>
            </w:r>
          </w:p>
        </w:tc>
        <w:tc>
          <w:tcPr>
            <w:tcW w:w="2693" w:type="dxa"/>
            <w:vAlign w:val="center"/>
          </w:tcPr>
          <w:p w14:paraId="54633056">
            <w:pPr>
              <w:pStyle w:val="178"/>
            </w:pPr>
            <w:r>
              <w:rPr>
                <w:rFonts w:hint="eastAsia"/>
              </w:rPr>
              <w:t>质量标准、规格型号、</w:t>
            </w:r>
          </w:p>
          <w:p w14:paraId="027CA9D2">
            <w:pPr>
              <w:pStyle w:val="178"/>
            </w:pPr>
            <w:r>
              <w:rPr>
                <w:rFonts w:hint="eastAsia"/>
              </w:rPr>
              <w:t>验收要求是否明确</w:t>
            </w:r>
          </w:p>
        </w:tc>
        <w:tc>
          <w:tcPr>
            <w:tcW w:w="2126" w:type="dxa"/>
            <w:vAlign w:val="center"/>
          </w:tcPr>
          <w:p w14:paraId="038B86E1">
            <w:pPr>
              <w:pStyle w:val="178"/>
            </w:pPr>
            <w:r>
              <w:rPr>
                <w:rFonts w:hint="eastAsia"/>
              </w:rPr>
              <w:t>□符合 □不符合</w:t>
            </w:r>
          </w:p>
        </w:tc>
        <w:tc>
          <w:tcPr>
            <w:tcW w:w="1560" w:type="dxa"/>
            <w:vAlign w:val="center"/>
          </w:tcPr>
          <w:p w14:paraId="1AC211F3">
            <w:pPr>
              <w:pStyle w:val="178"/>
            </w:pPr>
          </w:p>
        </w:tc>
        <w:tc>
          <w:tcPr>
            <w:tcW w:w="1547" w:type="dxa"/>
            <w:vAlign w:val="center"/>
          </w:tcPr>
          <w:p w14:paraId="22376831">
            <w:pPr>
              <w:pStyle w:val="178"/>
            </w:pPr>
          </w:p>
        </w:tc>
      </w:tr>
      <w:tr w14:paraId="166C63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4CBDD930">
            <w:pPr>
              <w:pStyle w:val="178"/>
            </w:pPr>
            <w:r>
              <w:rPr>
                <w:rFonts w:hint="eastAsia"/>
              </w:rPr>
              <w:t>进场验收</w:t>
            </w:r>
          </w:p>
        </w:tc>
        <w:tc>
          <w:tcPr>
            <w:tcW w:w="2693" w:type="dxa"/>
            <w:vAlign w:val="center"/>
          </w:tcPr>
          <w:p w14:paraId="41D87D16">
            <w:pPr>
              <w:pStyle w:val="178"/>
            </w:pPr>
            <w:r>
              <w:rPr>
                <w:rFonts w:hint="eastAsia"/>
              </w:rPr>
              <w:t>实物、资料、标识、</w:t>
            </w:r>
          </w:p>
          <w:p w14:paraId="2A41DC4F">
            <w:pPr>
              <w:pStyle w:val="178"/>
            </w:pPr>
            <w:r>
              <w:rPr>
                <w:rFonts w:hint="eastAsia"/>
              </w:rPr>
              <w:t>外观和数量是否核查</w:t>
            </w:r>
          </w:p>
        </w:tc>
        <w:tc>
          <w:tcPr>
            <w:tcW w:w="2126" w:type="dxa"/>
            <w:vAlign w:val="center"/>
          </w:tcPr>
          <w:p w14:paraId="3BAD7C52">
            <w:pPr>
              <w:pStyle w:val="178"/>
            </w:pPr>
            <w:r>
              <w:rPr>
                <w:rFonts w:hint="eastAsia"/>
              </w:rPr>
              <w:t>□符合 □不符合</w:t>
            </w:r>
          </w:p>
        </w:tc>
        <w:tc>
          <w:tcPr>
            <w:tcW w:w="1560" w:type="dxa"/>
            <w:vAlign w:val="center"/>
          </w:tcPr>
          <w:p w14:paraId="0987236B">
            <w:pPr>
              <w:pStyle w:val="178"/>
            </w:pPr>
          </w:p>
        </w:tc>
        <w:tc>
          <w:tcPr>
            <w:tcW w:w="1547" w:type="dxa"/>
            <w:vAlign w:val="center"/>
          </w:tcPr>
          <w:p w14:paraId="20667A3E">
            <w:pPr>
              <w:pStyle w:val="178"/>
            </w:pPr>
          </w:p>
        </w:tc>
      </w:tr>
      <w:tr w14:paraId="7558A9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5722E0B1">
            <w:pPr>
              <w:pStyle w:val="178"/>
            </w:pPr>
            <w:r>
              <w:rPr>
                <w:rFonts w:hint="eastAsia"/>
              </w:rPr>
              <w:t>抽样检测</w:t>
            </w:r>
          </w:p>
        </w:tc>
        <w:tc>
          <w:tcPr>
            <w:tcW w:w="2693" w:type="dxa"/>
            <w:vAlign w:val="center"/>
          </w:tcPr>
          <w:p w14:paraId="0DF4D444">
            <w:pPr>
              <w:pStyle w:val="178"/>
            </w:pPr>
            <w:r>
              <w:rPr>
                <w:rFonts w:hint="eastAsia"/>
              </w:rPr>
              <w:t>取样、见证、送检、</w:t>
            </w:r>
          </w:p>
          <w:p w14:paraId="7012D6FE">
            <w:pPr>
              <w:pStyle w:val="178"/>
            </w:pPr>
            <w:r>
              <w:rPr>
                <w:rFonts w:hint="eastAsia"/>
              </w:rPr>
              <w:t>检测报告是否符合要求</w:t>
            </w:r>
          </w:p>
        </w:tc>
        <w:tc>
          <w:tcPr>
            <w:tcW w:w="2126" w:type="dxa"/>
            <w:vAlign w:val="center"/>
          </w:tcPr>
          <w:p w14:paraId="1DCEAF4F">
            <w:pPr>
              <w:pStyle w:val="178"/>
            </w:pPr>
            <w:r>
              <w:rPr>
                <w:rFonts w:hint="eastAsia"/>
              </w:rPr>
              <w:t>□符合 □不符合</w:t>
            </w:r>
          </w:p>
        </w:tc>
        <w:tc>
          <w:tcPr>
            <w:tcW w:w="1560" w:type="dxa"/>
            <w:vAlign w:val="center"/>
          </w:tcPr>
          <w:p w14:paraId="1D2825DE">
            <w:pPr>
              <w:pStyle w:val="178"/>
            </w:pPr>
          </w:p>
        </w:tc>
        <w:tc>
          <w:tcPr>
            <w:tcW w:w="1547" w:type="dxa"/>
            <w:vAlign w:val="center"/>
          </w:tcPr>
          <w:p w14:paraId="28418A05">
            <w:pPr>
              <w:pStyle w:val="178"/>
            </w:pPr>
          </w:p>
        </w:tc>
      </w:tr>
      <w:tr w14:paraId="3EA036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656C4CFF">
            <w:pPr>
              <w:pStyle w:val="178"/>
            </w:pPr>
            <w:r>
              <w:rPr>
                <w:rFonts w:hint="eastAsia"/>
              </w:rPr>
              <w:t>储存防护</w:t>
            </w:r>
          </w:p>
        </w:tc>
        <w:tc>
          <w:tcPr>
            <w:tcW w:w="2693" w:type="dxa"/>
            <w:vAlign w:val="center"/>
          </w:tcPr>
          <w:p w14:paraId="0D2941A8">
            <w:pPr>
              <w:pStyle w:val="178"/>
            </w:pPr>
            <w:r>
              <w:rPr>
                <w:rFonts w:hint="eastAsia"/>
              </w:rPr>
              <w:t>分区堆放、防潮防雨、</w:t>
            </w:r>
          </w:p>
          <w:p w14:paraId="06D2D23E">
            <w:pPr>
              <w:pStyle w:val="178"/>
            </w:pPr>
            <w:r>
              <w:rPr>
                <w:rFonts w:hint="eastAsia"/>
              </w:rPr>
              <w:t>防混杂措施是否落实</w:t>
            </w:r>
          </w:p>
        </w:tc>
        <w:tc>
          <w:tcPr>
            <w:tcW w:w="2126" w:type="dxa"/>
            <w:vAlign w:val="center"/>
          </w:tcPr>
          <w:p w14:paraId="60D854CF">
            <w:pPr>
              <w:pStyle w:val="178"/>
            </w:pPr>
            <w:r>
              <w:rPr>
                <w:rFonts w:hint="eastAsia"/>
              </w:rPr>
              <w:t>□符合 □不符合</w:t>
            </w:r>
          </w:p>
        </w:tc>
        <w:tc>
          <w:tcPr>
            <w:tcW w:w="1560" w:type="dxa"/>
            <w:vAlign w:val="center"/>
          </w:tcPr>
          <w:p w14:paraId="663A838E">
            <w:pPr>
              <w:pStyle w:val="178"/>
            </w:pPr>
          </w:p>
        </w:tc>
        <w:tc>
          <w:tcPr>
            <w:tcW w:w="1547" w:type="dxa"/>
            <w:vAlign w:val="center"/>
          </w:tcPr>
          <w:p w14:paraId="6DD5D02D">
            <w:pPr>
              <w:pStyle w:val="178"/>
            </w:pPr>
          </w:p>
        </w:tc>
      </w:tr>
      <w:tr w14:paraId="36B154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234EF2E0">
            <w:pPr>
              <w:pStyle w:val="178"/>
            </w:pPr>
            <w:r>
              <w:rPr>
                <w:rFonts w:hint="eastAsia"/>
              </w:rPr>
              <w:t>质量状态</w:t>
            </w:r>
          </w:p>
        </w:tc>
        <w:tc>
          <w:tcPr>
            <w:tcW w:w="2693" w:type="dxa"/>
            <w:vAlign w:val="center"/>
          </w:tcPr>
          <w:p w14:paraId="2BA494C1">
            <w:pPr>
              <w:pStyle w:val="178"/>
            </w:pPr>
            <w:r>
              <w:rPr>
                <w:rFonts w:hint="eastAsia"/>
              </w:rPr>
              <w:t>待检、合格、</w:t>
            </w:r>
          </w:p>
          <w:p w14:paraId="26C82DE1">
            <w:pPr>
              <w:pStyle w:val="178"/>
            </w:pPr>
            <w:r>
              <w:rPr>
                <w:rFonts w:hint="eastAsia"/>
              </w:rPr>
              <w:t>不合格等状态标识是否清晰</w:t>
            </w:r>
          </w:p>
        </w:tc>
        <w:tc>
          <w:tcPr>
            <w:tcW w:w="2126" w:type="dxa"/>
            <w:vAlign w:val="center"/>
          </w:tcPr>
          <w:p w14:paraId="6894D48C">
            <w:pPr>
              <w:pStyle w:val="178"/>
            </w:pPr>
            <w:r>
              <w:rPr>
                <w:rFonts w:hint="eastAsia"/>
              </w:rPr>
              <w:t>□符合 □不符合</w:t>
            </w:r>
          </w:p>
        </w:tc>
        <w:tc>
          <w:tcPr>
            <w:tcW w:w="1560" w:type="dxa"/>
            <w:vAlign w:val="center"/>
          </w:tcPr>
          <w:p w14:paraId="30AAE776">
            <w:pPr>
              <w:pStyle w:val="178"/>
            </w:pPr>
          </w:p>
        </w:tc>
        <w:tc>
          <w:tcPr>
            <w:tcW w:w="1547" w:type="dxa"/>
            <w:vAlign w:val="center"/>
          </w:tcPr>
          <w:p w14:paraId="277E6339">
            <w:pPr>
              <w:pStyle w:val="178"/>
            </w:pPr>
          </w:p>
        </w:tc>
      </w:tr>
      <w:tr w14:paraId="730BE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4C12070A">
            <w:pPr>
              <w:pStyle w:val="178"/>
            </w:pPr>
            <w:r>
              <w:rPr>
                <w:rFonts w:hint="eastAsia"/>
              </w:rPr>
              <w:t>使用控制</w:t>
            </w:r>
          </w:p>
        </w:tc>
        <w:tc>
          <w:tcPr>
            <w:tcW w:w="2693" w:type="dxa"/>
            <w:vAlign w:val="center"/>
          </w:tcPr>
          <w:p w14:paraId="0BF3B6FB">
            <w:pPr>
              <w:pStyle w:val="178"/>
            </w:pPr>
            <w:r>
              <w:rPr>
                <w:rFonts w:hint="eastAsia"/>
              </w:rPr>
              <w:t>领用、加工、</w:t>
            </w:r>
          </w:p>
          <w:p w14:paraId="6AA4F986">
            <w:pPr>
              <w:pStyle w:val="178"/>
            </w:pPr>
            <w:r>
              <w:rPr>
                <w:rFonts w:hint="eastAsia"/>
              </w:rPr>
              <w:t>使用部位记录是否完整</w:t>
            </w:r>
          </w:p>
        </w:tc>
        <w:tc>
          <w:tcPr>
            <w:tcW w:w="2126" w:type="dxa"/>
            <w:vAlign w:val="center"/>
          </w:tcPr>
          <w:p w14:paraId="5605834A">
            <w:pPr>
              <w:pStyle w:val="178"/>
            </w:pPr>
            <w:r>
              <w:rPr>
                <w:rFonts w:hint="eastAsia"/>
              </w:rPr>
              <w:t>□符合 □不符合</w:t>
            </w:r>
          </w:p>
        </w:tc>
        <w:tc>
          <w:tcPr>
            <w:tcW w:w="1560" w:type="dxa"/>
            <w:vAlign w:val="center"/>
          </w:tcPr>
          <w:p w14:paraId="2C8A8028">
            <w:pPr>
              <w:pStyle w:val="178"/>
            </w:pPr>
          </w:p>
        </w:tc>
        <w:tc>
          <w:tcPr>
            <w:tcW w:w="1547" w:type="dxa"/>
            <w:vAlign w:val="center"/>
          </w:tcPr>
          <w:p w14:paraId="586342F1">
            <w:pPr>
              <w:pStyle w:val="178"/>
            </w:pPr>
          </w:p>
        </w:tc>
      </w:tr>
      <w:tr w14:paraId="53FC45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2B49C5BC">
            <w:pPr>
              <w:pStyle w:val="178"/>
            </w:pPr>
            <w:r>
              <w:rPr>
                <w:rFonts w:hint="eastAsia"/>
              </w:rPr>
              <w:t>不合格处置</w:t>
            </w:r>
          </w:p>
        </w:tc>
        <w:tc>
          <w:tcPr>
            <w:tcW w:w="2693" w:type="dxa"/>
            <w:vAlign w:val="center"/>
          </w:tcPr>
          <w:p w14:paraId="3BBFB745">
            <w:pPr>
              <w:pStyle w:val="178"/>
            </w:pPr>
            <w:r>
              <w:rPr>
                <w:rFonts w:hint="eastAsia"/>
              </w:rPr>
              <w:t>隔离、评审、处置、</w:t>
            </w:r>
          </w:p>
          <w:p w14:paraId="4833938A">
            <w:pPr>
              <w:pStyle w:val="178"/>
            </w:pPr>
            <w:r>
              <w:rPr>
                <w:rFonts w:hint="eastAsia"/>
              </w:rPr>
              <w:t>验证是否闭环</w:t>
            </w:r>
          </w:p>
        </w:tc>
        <w:tc>
          <w:tcPr>
            <w:tcW w:w="2126" w:type="dxa"/>
            <w:vAlign w:val="center"/>
          </w:tcPr>
          <w:p w14:paraId="7DAFF197">
            <w:pPr>
              <w:pStyle w:val="178"/>
            </w:pPr>
            <w:r>
              <w:rPr>
                <w:rFonts w:hint="eastAsia"/>
              </w:rPr>
              <w:t>□符合 □不符合</w:t>
            </w:r>
          </w:p>
        </w:tc>
        <w:tc>
          <w:tcPr>
            <w:tcW w:w="1560" w:type="dxa"/>
            <w:vAlign w:val="center"/>
          </w:tcPr>
          <w:p w14:paraId="61D4339A">
            <w:pPr>
              <w:pStyle w:val="178"/>
            </w:pPr>
          </w:p>
        </w:tc>
        <w:tc>
          <w:tcPr>
            <w:tcW w:w="1547" w:type="dxa"/>
            <w:vAlign w:val="center"/>
          </w:tcPr>
          <w:p w14:paraId="24CC7DA1">
            <w:pPr>
              <w:pStyle w:val="178"/>
            </w:pPr>
          </w:p>
        </w:tc>
      </w:tr>
      <w:tr w14:paraId="13BFE7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100072CB">
            <w:pPr>
              <w:pStyle w:val="178"/>
            </w:pPr>
            <w:r>
              <w:rPr>
                <w:rFonts w:hint="eastAsia"/>
              </w:rPr>
              <w:t>资料管理</w:t>
            </w:r>
          </w:p>
        </w:tc>
        <w:tc>
          <w:tcPr>
            <w:tcW w:w="2693" w:type="dxa"/>
            <w:vAlign w:val="center"/>
          </w:tcPr>
          <w:p w14:paraId="708EAB6E">
            <w:pPr>
              <w:pStyle w:val="178"/>
            </w:pPr>
            <w:r>
              <w:rPr>
                <w:rFonts w:hint="eastAsia"/>
              </w:rPr>
              <w:t>台账、报告、记录、</w:t>
            </w:r>
          </w:p>
          <w:p w14:paraId="7C408373">
            <w:pPr>
              <w:pStyle w:val="178"/>
            </w:pPr>
            <w:r>
              <w:rPr>
                <w:rFonts w:hint="eastAsia"/>
              </w:rPr>
              <w:t>归档资料是否可追溯</w:t>
            </w:r>
          </w:p>
        </w:tc>
        <w:tc>
          <w:tcPr>
            <w:tcW w:w="2126" w:type="dxa"/>
            <w:vAlign w:val="center"/>
          </w:tcPr>
          <w:p w14:paraId="51FFCB56">
            <w:pPr>
              <w:pStyle w:val="178"/>
            </w:pPr>
            <w:r>
              <w:rPr>
                <w:rFonts w:hint="eastAsia"/>
              </w:rPr>
              <w:t>□符合 □不符合</w:t>
            </w:r>
          </w:p>
        </w:tc>
        <w:tc>
          <w:tcPr>
            <w:tcW w:w="1560" w:type="dxa"/>
            <w:vAlign w:val="center"/>
          </w:tcPr>
          <w:p w14:paraId="5D28861F">
            <w:pPr>
              <w:pStyle w:val="178"/>
            </w:pPr>
          </w:p>
        </w:tc>
        <w:tc>
          <w:tcPr>
            <w:tcW w:w="1547" w:type="dxa"/>
            <w:vAlign w:val="center"/>
          </w:tcPr>
          <w:p w14:paraId="76AE31F8">
            <w:pPr>
              <w:pStyle w:val="178"/>
            </w:pPr>
          </w:p>
        </w:tc>
      </w:tr>
      <w:tr w14:paraId="52CC7B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44290B42">
            <w:pPr>
              <w:pStyle w:val="178"/>
            </w:pPr>
            <w:r>
              <w:rPr>
                <w:rFonts w:hint="eastAsia"/>
              </w:rPr>
              <w:t>信息化管理</w:t>
            </w:r>
          </w:p>
        </w:tc>
        <w:tc>
          <w:tcPr>
            <w:tcW w:w="2693" w:type="dxa"/>
            <w:vAlign w:val="center"/>
          </w:tcPr>
          <w:p w14:paraId="1C4DA8C7">
            <w:pPr>
              <w:pStyle w:val="178"/>
            </w:pPr>
            <w:r>
              <w:rPr>
                <w:rFonts w:hint="eastAsia"/>
              </w:rPr>
              <w:t>批次、检测、</w:t>
            </w:r>
          </w:p>
          <w:p w14:paraId="75A1AA28">
            <w:pPr>
              <w:pStyle w:val="178"/>
            </w:pPr>
            <w:r>
              <w:rPr>
                <w:rFonts w:hint="eastAsia"/>
              </w:rPr>
              <w:t>流向和追溯信息是否一致</w:t>
            </w:r>
          </w:p>
        </w:tc>
        <w:tc>
          <w:tcPr>
            <w:tcW w:w="2126" w:type="dxa"/>
            <w:vAlign w:val="center"/>
          </w:tcPr>
          <w:p w14:paraId="5609AFCC">
            <w:pPr>
              <w:pStyle w:val="178"/>
            </w:pPr>
            <w:r>
              <w:rPr>
                <w:rFonts w:hint="eastAsia"/>
              </w:rPr>
              <w:t>□符合 □不符合</w:t>
            </w:r>
          </w:p>
        </w:tc>
        <w:tc>
          <w:tcPr>
            <w:tcW w:w="1560" w:type="dxa"/>
            <w:vAlign w:val="center"/>
          </w:tcPr>
          <w:p w14:paraId="4CAA1B45">
            <w:pPr>
              <w:pStyle w:val="178"/>
            </w:pPr>
          </w:p>
        </w:tc>
        <w:tc>
          <w:tcPr>
            <w:tcW w:w="1547" w:type="dxa"/>
            <w:vAlign w:val="center"/>
          </w:tcPr>
          <w:p w14:paraId="34E51111">
            <w:pPr>
              <w:pStyle w:val="178"/>
            </w:pPr>
          </w:p>
        </w:tc>
      </w:tr>
    </w:tbl>
    <w:p w14:paraId="45B823E9">
      <w:pPr>
        <w:pStyle w:val="211"/>
        <w:spacing w:before="120" w:beforeLines="50" w:line="360" w:lineRule="auto"/>
      </w:pPr>
      <w:r>
        <w:t>检查发现不符合项时，应形成整改记录。整改完成后应进行复核确认。</w:t>
      </w:r>
    </w:p>
    <w:p w14:paraId="50899139">
      <w:pPr>
        <w:pStyle w:val="56"/>
        <w:ind w:firstLine="420"/>
      </w:pPr>
    </w:p>
    <w:bookmarkEnd w:id="63"/>
    <w:p w14:paraId="464ED04E">
      <w:pPr>
        <w:pStyle w:val="56"/>
        <w:ind w:firstLine="420"/>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pPr>
      <w:bookmarkStart w:id="67" w:name="BookMark6"/>
    </w:p>
    <w:p w14:paraId="56BEDE95">
      <w:pPr>
        <w:pStyle w:val="63"/>
        <w:spacing w:after="120" w:line="360" w:lineRule="auto"/>
      </w:pPr>
      <w:bookmarkStart w:id="68" w:name="_Toc228604113"/>
      <w:r>
        <w:rPr>
          <w:rFonts w:hint="eastAsia"/>
          <w:spacing w:val="105"/>
        </w:rPr>
        <w:t>参考文</w:t>
      </w:r>
      <w:r>
        <w:rPr>
          <w:rFonts w:hint="eastAsia"/>
        </w:rPr>
        <w:t>献</w:t>
      </w:r>
      <w:bookmarkEnd w:id="68"/>
    </w:p>
    <w:p w14:paraId="3869C174">
      <w:pPr>
        <w:pStyle w:val="56"/>
        <w:spacing w:line="360" w:lineRule="auto"/>
        <w:ind w:firstLine="420"/>
      </w:pPr>
      <w:r>
        <w:rPr>
          <w:rFonts w:hint="eastAsia"/>
        </w:rPr>
        <w:t>[1] GB/T 1.1 标准化工作导则 第1部分：标准化文件的结构和起草规则</w:t>
      </w:r>
    </w:p>
    <w:p w14:paraId="4C2F5D8D">
      <w:pPr>
        <w:pStyle w:val="56"/>
        <w:spacing w:line="360" w:lineRule="auto"/>
        <w:ind w:firstLine="420"/>
      </w:pPr>
      <w:r>
        <w:rPr>
          <w:rFonts w:hint="eastAsia"/>
        </w:rPr>
        <w:t>[2] GB 175 通用硅酸盐水泥</w:t>
      </w:r>
    </w:p>
    <w:p w14:paraId="5024BEF7">
      <w:pPr>
        <w:pStyle w:val="56"/>
        <w:spacing w:line="360" w:lineRule="auto"/>
        <w:ind w:firstLine="420"/>
      </w:pPr>
      <w:r>
        <w:rPr>
          <w:rFonts w:hint="eastAsia"/>
        </w:rPr>
        <w:t>[3] GB/T 1499.1 钢筋混凝土用钢 第1部分：热轧光圆钢筋</w:t>
      </w:r>
    </w:p>
    <w:p w14:paraId="2CBEF448">
      <w:pPr>
        <w:pStyle w:val="56"/>
        <w:spacing w:line="360" w:lineRule="auto"/>
        <w:ind w:firstLine="420"/>
      </w:pPr>
      <w:r>
        <w:rPr>
          <w:rFonts w:hint="eastAsia"/>
        </w:rPr>
        <w:t>[4] GB/T 1499.2 钢筋混凝土用钢 第2部分：热轧带肋钢筋</w:t>
      </w:r>
    </w:p>
    <w:p w14:paraId="34AE2CDF">
      <w:pPr>
        <w:pStyle w:val="56"/>
        <w:spacing w:line="360" w:lineRule="auto"/>
        <w:ind w:firstLine="420"/>
      </w:pPr>
      <w:r>
        <w:rPr>
          <w:rFonts w:hint="eastAsia"/>
        </w:rPr>
        <w:t>[5] GB/T 14684 建设用砂</w:t>
      </w:r>
    </w:p>
    <w:p w14:paraId="18FC4221">
      <w:pPr>
        <w:pStyle w:val="56"/>
        <w:spacing w:line="360" w:lineRule="auto"/>
        <w:ind w:firstLine="420"/>
      </w:pPr>
      <w:r>
        <w:rPr>
          <w:rFonts w:hint="eastAsia"/>
        </w:rPr>
        <w:t>[6] GB/T 14685 建设用卵石、碎石</w:t>
      </w:r>
    </w:p>
    <w:p w14:paraId="20819AAC">
      <w:pPr>
        <w:pStyle w:val="56"/>
        <w:spacing w:line="360" w:lineRule="auto"/>
        <w:ind w:firstLine="420"/>
      </w:pPr>
      <w:r>
        <w:rPr>
          <w:rFonts w:hint="eastAsia"/>
        </w:rPr>
        <w:t>[7] GB 8076 混凝土外加剂</w:t>
      </w:r>
    </w:p>
    <w:p w14:paraId="2717722E">
      <w:pPr>
        <w:pStyle w:val="56"/>
        <w:spacing w:line="360" w:lineRule="auto"/>
        <w:ind w:firstLine="420"/>
      </w:pPr>
      <w:r>
        <w:rPr>
          <w:rFonts w:hint="eastAsia"/>
        </w:rPr>
        <w:t>[8] GB/T 50107 混凝土强度检验评定标准</w:t>
      </w:r>
    </w:p>
    <w:p w14:paraId="4984234E">
      <w:pPr>
        <w:pStyle w:val="56"/>
        <w:spacing w:line="360" w:lineRule="auto"/>
        <w:ind w:firstLine="420"/>
      </w:pPr>
      <w:r>
        <w:rPr>
          <w:rFonts w:hint="eastAsia"/>
        </w:rPr>
        <w:t>[9] SL 176 水利水电工程施工质量检验与评定规程</w:t>
      </w:r>
    </w:p>
    <w:p w14:paraId="0BD3EBEE">
      <w:pPr>
        <w:pStyle w:val="56"/>
        <w:spacing w:line="360" w:lineRule="auto"/>
        <w:ind w:firstLine="420"/>
      </w:pPr>
      <w:r>
        <w:rPr>
          <w:rFonts w:hint="eastAsia"/>
        </w:rPr>
        <w:t>[10] SL 677 水工混凝土施工规范</w:t>
      </w:r>
    </w:p>
    <w:bookmarkEnd w:id="67"/>
    <w:p w14:paraId="512CE1DE">
      <w:pPr>
        <w:pStyle w:val="56"/>
        <w:ind w:firstLine="0" w:firstLineChars="0"/>
        <w:jc w:val="center"/>
      </w:pPr>
      <w:bookmarkStart w:id="69" w:name="BookMark8"/>
      <w:r>
        <w:rPr>
          <w:rFonts w:hint="eastAsia"/>
        </w:rPr>
        <w:drawing>
          <wp:inline distT="0" distB="0" distL="0" distR="0">
            <wp:extent cx="1485900" cy="317500"/>
            <wp:effectExtent l="0" t="0" r="0" b="6350"/>
            <wp:docPr id="857638040" name="图片 3"/>
            <wp:cNvGraphicFramePr/>
            <a:graphic xmlns:a="http://schemas.openxmlformats.org/drawingml/2006/main">
              <a:graphicData uri="http://schemas.openxmlformats.org/drawingml/2006/picture">
                <pic:pic xmlns:pic="http://schemas.openxmlformats.org/drawingml/2006/picture">
                  <pic:nvPicPr>
                    <pic:cNvPr id="857638040" name="图片 3"/>
                    <pic:cNvPicPr/>
                  </pic:nvPicPr>
                  <pic:blipFill>
                    <a:blip r:embed="rId4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p>
    <w:sectPr>
      <w:headerReference r:id="rId39" w:type="default"/>
      <w:footerReference r:id="rId41" w:type="default"/>
      <w:headerReference r:id="rId40" w:type="even"/>
      <w:footerReference r:id="rId42"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E481C">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20</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E1137">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3A27D">
    <w:pPr>
      <w:pStyle w:val="51"/>
    </w:pPr>
    <w:r>
      <w:fldChar w:fldCharType="begin"/>
    </w:r>
    <w:r>
      <w:instrText xml:space="preserve"> PAGE   \* MERGEFORMAT \* MERGEFORMAT </w:instrText>
    </w:r>
    <w:r>
      <w:fldChar w:fldCharType="separate"/>
    </w:r>
    <w:r>
      <w:t>19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C3121">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B0872">
    <w:pPr>
      <w:pStyle w:val="51"/>
    </w:pPr>
    <w:r>
      <w:fldChar w:fldCharType="begin"/>
    </w:r>
    <w:r>
      <w:instrText xml:space="preserve"> PAGE   \* MERGEFORMAT \* MERGEFORMAT </w:instrText>
    </w:r>
    <w:r>
      <w:fldChar w:fldCharType="separate"/>
    </w:r>
    <w:r>
      <w:t>19</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A76A8">
    <w:pPr>
      <w:pStyle w:val="52"/>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ECE33">
    <w:pPr>
      <w:pStyle w:val="51"/>
    </w:pPr>
    <w:r>
      <w:fldChar w:fldCharType="begin"/>
    </w:r>
    <w:r>
      <w:instrText xml:space="preserve"> PAGE   \* MERGEFORMAT \* MERGEFORMAT </w:instrText>
    </w:r>
    <w:r>
      <w:fldChar w:fldCharType="separate"/>
    </w:r>
    <w:r>
      <w:t>19</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4193D">
    <w:pPr>
      <w:pStyle w:val="52"/>
    </w:pPr>
    <w:r>
      <w:fldChar w:fldCharType="begin"/>
    </w:r>
    <w:r>
      <w:instrText xml:space="preserve">PAGE   \* MERGEFORMAT</w:instrText>
    </w:r>
    <w:r>
      <w:fldChar w:fldCharType="separate"/>
    </w:r>
    <w:r>
      <w:rPr>
        <w:lang w:val="zh-CN"/>
      </w:rPr>
      <w:t>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EF6BD">
    <w:pPr>
      <w:pStyle w:val="51"/>
    </w:pPr>
    <w:r>
      <w:fldChar w:fldCharType="begin"/>
    </w:r>
    <w:r>
      <w:instrText xml:space="preserve"> PAGE   \* MERGEFORMAT \* MERGEFORMAT </w:instrText>
    </w:r>
    <w:r>
      <w:fldChar w:fldCharType="separate"/>
    </w:r>
    <w:r>
      <w:t>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C8D39">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E6FE7">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0284—2026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0284—2026</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B9BFF">
    <w:pPr>
      <w:pStyle w:val="61"/>
      <w:rPr>
        <w:rFonts w:hint="eastAsia"/>
      </w:rPr>
    </w:pPr>
    <w:r>
      <w:fldChar w:fldCharType="begin"/>
    </w:r>
    <w:r>
      <w:instrText xml:space="preserve"> STYLEREF  标准文件_文件编号  \* MERGEFORMAT </w:instrText>
    </w:r>
    <w:r>
      <w:fldChar w:fldCharType="separate"/>
    </w:r>
    <w:r>
      <w:t>T/XZBX 0284—2026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C5660">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0284—2026</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C9520">
    <w:pPr>
      <w:pStyle w:val="61"/>
      <w:rPr>
        <w:rFonts w:hint="eastAsia"/>
      </w:rPr>
    </w:pPr>
    <w:r>
      <w:fldChar w:fldCharType="begin"/>
    </w:r>
    <w:r>
      <w:instrText xml:space="preserve"> STYLEREF  标准文件_文件编号  \* MERGEFORMAT </w:instrText>
    </w:r>
    <w:r>
      <w:fldChar w:fldCharType="separate"/>
    </w:r>
    <w:r>
      <w:t>T/XZBX 0284—2026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708EB">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0284—2026</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678C8">
    <w:pPr>
      <w:pStyle w:val="61"/>
      <w:rPr>
        <w:rFonts w:hint="eastAsia"/>
      </w:rPr>
    </w:pPr>
    <w:r>
      <w:fldChar w:fldCharType="begin"/>
    </w:r>
    <w:r>
      <w:instrText xml:space="preserve"> STYLEREF  标准文件_文件编号  \* MERGEFORMAT </w:instrText>
    </w:r>
    <w:r>
      <w:fldChar w:fldCharType="separate"/>
    </w:r>
    <w:r>
      <w:t>T/XZBX 0284—2026</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D58DB">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0284—2026</w:t>
    </w:r>
    <w:r>
      <w:rPr>
        <w:rFonts w:hint="eastAsia"/>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455B3">
    <w:pPr>
      <w:pStyle w:val="61"/>
      <w:rPr>
        <w:rFonts w:hint="eastAsia"/>
      </w:rPr>
    </w:pPr>
    <w:r>
      <w:fldChar w:fldCharType="begin"/>
    </w:r>
    <w:r>
      <w:instrText xml:space="preserve"> STYLEREF  标准文件_文件编号  \* MERGEFORMAT </w:instrText>
    </w:r>
    <w:r>
      <w:fldChar w:fldCharType="separate"/>
    </w:r>
    <w:r>
      <w:t>T/XZBX 0284—2026</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6CB88">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0284—2026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2CB3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0284—2026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0284—2026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413C2">
    <w:pPr>
      <w:pStyle w:val="61"/>
      <w:rPr>
        <w:rFonts w:hint="eastAsia"/>
      </w:rPr>
    </w:pPr>
    <w:r>
      <w:fldChar w:fldCharType="begin"/>
    </w:r>
    <w:r>
      <w:instrText xml:space="preserve"> STYLEREF  标准文件_文件编号  \* MERGEFORMAT </w:instrText>
    </w:r>
    <w:r>
      <w:fldChar w:fldCharType="separate"/>
    </w:r>
    <w:r>
      <w:t>T/XZBX 0284—2026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BBAE9">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0284—2026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0284—2026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0284—2026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5B9E"/>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62FA"/>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62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2242"/>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093A"/>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1C30"/>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41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314"/>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5845"/>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333A"/>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2886"/>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4744"/>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4587"/>
    <w:rsid w:val="00F95248"/>
    <w:rsid w:val="00F956A9"/>
    <w:rsid w:val="00F963ED"/>
    <w:rsid w:val="00F966CF"/>
    <w:rsid w:val="00F96CAE"/>
    <w:rsid w:val="00F97C99"/>
    <w:rsid w:val="00FA662D"/>
    <w:rsid w:val="00FA73B1"/>
    <w:rsid w:val="00FB0CB9"/>
    <w:rsid w:val="00FB231D"/>
    <w:rsid w:val="00FB45F1"/>
    <w:rsid w:val="00FB4A72"/>
    <w:rsid w:val="00FB54E8"/>
    <w:rsid w:val="00FB597D"/>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FE15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1" Type="http://schemas.openxmlformats.org/officeDocument/2006/relationships/glossaryDocument" Target="glossary/document.xml"/><Relationship Id="rId50" Type="http://schemas.openxmlformats.org/officeDocument/2006/relationships/fontTable" Target="fontTable.xml"/><Relationship Id="rId5" Type="http://schemas.openxmlformats.org/officeDocument/2006/relationships/header" Target="header1.xml"/><Relationship Id="rId49" Type="http://schemas.openxmlformats.org/officeDocument/2006/relationships/customXml" Target="../customXml/item2.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image" Target="media/image3.jpeg"/><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023CDEB5">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064EF2E5">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789F312A">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162FA"/>
    <w:rsid w:val="00185629"/>
    <w:rsid w:val="002E6AD9"/>
    <w:rsid w:val="00332242"/>
    <w:rsid w:val="003646F4"/>
    <w:rsid w:val="003F62CE"/>
    <w:rsid w:val="00424BFA"/>
    <w:rsid w:val="004A6324"/>
    <w:rsid w:val="005A04ED"/>
    <w:rsid w:val="005B18DA"/>
    <w:rsid w:val="005E4B5C"/>
    <w:rsid w:val="006141C6"/>
    <w:rsid w:val="00652769"/>
    <w:rsid w:val="006A2784"/>
    <w:rsid w:val="00796662"/>
    <w:rsid w:val="008B743C"/>
    <w:rsid w:val="008C0337"/>
    <w:rsid w:val="008E6778"/>
    <w:rsid w:val="00AA2819"/>
    <w:rsid w:val="00AE100B"/>
    <w:rsid w:val="00AE1DC6"/>
    <w:rsid w:val="00E76885"/>
    <w:rsid w:val="00F02886"/>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28</Pages>
  <Words>5004</Words>
  <Characters>5334</Characters>
  <Lines>113</Lines>
  <Paragraphs>31</Paragraphs>
  <TotalTime>150</TotalTime>
  <ScaleCrop>false</ScaleCrop>
  <LinksUpToDate>false</LinksUpToDate>
  <CharactersWithSpaces>5459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2026-05-19T06:37:35Z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0306C2A742624156B5774A797926CFA8_12</vt:lpwstr>
  </property>
</Properties>
</file>