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93.16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93.160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P 55"/>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P 55</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83"/>
            </w:textInput>
          </w:ffData>
        </w:fldChar>
      </w:r>
      <w:bookmarkStart w:id="6" w:name="NSTD_CODE_F"/>
      <w:r>
        <w:instrText xml:space="preserve"> FORMTEXT </w:instrText>
      </w:r>
      <w:r>
        <w:fldChar w:fldCharType="separate"/>
      </w:r>
      <w:r>
        <w:t>0283</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中小型水利工程智能管护技术规程"/>
            </w:textInput>
          </w:ffData>
        </w:fldChar>
      </w:r>
      <w:bookmarkStart w:id="9" w:name="CSTD_NAME"/>
      <w:r>
        <w:rPr>
          <w:rFonts w:hint="eastAsia"/>
        </w:rPr>
        <w:instrText xml:space="preserve"> FORMTEXT </w:instrText>
      </w:r>
      <w:r>
        <w:rPr>
          <w:rFonts w:hint="eastAsia"/>
        </w:rPr>
        <w:fldChar w:fldCharType="separate"/>
      </w:r>
      <w:r>
        <w:rPr>
          <w:rFonts w:hint="eastAsia"/>
        </w:rPr>
        <w:t>中小型水利工程智能管护技术规程</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Code of practice for intelligent management and maintenance of small and medium-sized water conservancy projects"/>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Code of practice for intelligent management and maintenance of small and medium-sized water conservancy projects</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192CC0B9">
      <w:pPr>
        <w:pStyle w:val="91"/>
        <w:spacing w:after="360"/>
        <w:rPr>
          <w:rFonts w:hint="eastAsia"/>
        </w:rPr>
      </w:pPr>
      <w:bookmarkStart w:id="21" w:name="BookMark1"/>
      <w:r>
        <w:rPr>
          <w:rFonts w:hint="eastAsia"/>
          <w:spacing w:val="320"/>
        </w:rPr>
        <w:t>目</w:t>
      </w:r>
      <w:r>
        <w:rPr>
          <w:rFonts w:hint="eastAsia"/>
        </w:rPr>
        <w:t>次</w:t>
      </w:r>
    </w:p>
    <w:p w14:paraId="4BAEAF2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"_Toc228605132"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_Toc228605132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0781C8A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"_Toc228605133"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_Toc228605133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18FA861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"_Toc228605134"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_Toc228605134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DF692F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"_Toc228605135"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_Toc228605135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770140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"_Toc228605136"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_Toc228605136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1BDEAC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"_Toc228605137" </w:instrText>
      </w:r>
      <w:r>
        <w:fldChar w:fldCharType="separate"/>
      </w:r>
      <w:r>
        <w:rPr>
          <w:rStyle w:val="32"/>
        </w:rPr>
        <w:t>4  基本要求</w:t>
      </w:r>
      <w:r>
        <w:rPr>
          <w:rFonts w:hint="eastAsia"/>
        </w:rPr>
        <w:tab/>
      </w:r>
      <w:r>
        <w:rPr>
          <w:rFonts w:hint="eastAsia"/>
        </w:rPr>
        <w:fldChar w:fldCharType="begin"/>
      </w:r>
      <w:r>
        <w:rPr>
          <w:rFonts w:hint="eastAsia"/>
        </w:rPr>
        <w:instrText xml:space="preserve"> </w:instrText>
      </w:r>
      <w:r>
        <w:instrText xml:space="preserve">PAGEREF _Toc228605137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DE5772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"_Toc228605138" </w:instrText>
      </w:r>
      <w:r>
        <w:fldChar w:fldCharType="separate"/>
      </w:r>
      <w:r>
        <w:rPr>
          <w:rStyle w:val="32"/>
        </w:rPr>
        <w:t>5  组织与职责</w:t>
      </w:r>
      <w:r>
        <w:rPr>
          <w:rFonts w:hint="eastAsia"/>
        </w:rPr>
        <w:tab/>
      </w:r>
      <w:r>
        <w:rPr>
          <w:rFonts w:hint="eastAsia"/>
        </w:rPr>
        <w:fldChar w:fldCharType="begin"/>
      </w:r>
      <w:r>
        <w:rPr>
          <w:rFonts w:hint="eastAsia"/>
        </w:rPr>
        <w:instrText xml:space="preserve"> </w:instrText>
      </w:r>
      <w:r>
        <w:instrText xml:space="preserve">PAGEREF _Toc228605138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1719650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"_Toc228605139" </w:instrText>
      </w:r>
      <w:r>
        <w:fldChar w:fldCharType="separate"/>
      </w:r>
      <w:r>
        <w:rPr>
          <w:rStyle w:val="32"/>
        </w:rPr>
        <w:t>6  管护对象与分级分类</w:t>
      </w:r>
      <w:r>
        <w:rPr>
          <w:rFonts w:hint="eastAsia"/>
        </w:rPr>
        <w:tab/>
      </w:r>
      <w:r>
        <w:rPr>
          <w:rFonts w:hint="eastAsia"/>
        </w:rPr>
        <w:fldChar w:fldCharType="begin"/>
      </w:r>
      <w:r>
        <w:rPr>
          <w:rFonts w:hint="eastAsia"/>
        </w:rPr>
        <w:instrText xml:space="preserve"> </w:instrText>
      </w:r>
      <w:r>
        <w:instrText xml:space="preserve">PAGEREF _Toc228605139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44463F3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"_Toc228605140" </w:instrText>
      </w:r>
      <w:r>
        <w:fldChar w:fldCharType="separate"/>
      </w:r>
      <w:r>
        <w:rPr>
          <w:rStyle w:val="32"/>
        </w:rPr>
        <w:t>7  智能监测感知</w:t>
      </w:r>
      <w:r>
        <w:rPr>
          <w:rFonts w:hint="eastAsia"/>
        </w:rPr>
        <w:tab/>
      </w:r>
      <w:r>
        <w:rPr>
          <w:rFonts w:hint="eastAsia"/>
        </w:rPr>
        <w:fldChar w:fldCharType="begin"/>
      </w:r>
      <w:r>
        <w:rPr>
          <w:rFonts w:hint="eastAsia"/>
        </w:rPr>
        <w:instrText xml:space="preserve"> </w:instrText>
      </w:r>
      <w:r>
        <w:instrText xml:space="preserve">PAGEREF _Toc228605140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55F43A9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"_Toc228605141" </w:instrText>
      </w:r>
      <w:r>
        <w:fldChar w:fldCharType="separate"/>
      </w:r>
      <w:r>
        <w:rPr>
          <w:rStyle w:val="32"/>
        </w:rPr>
        <w:t>8  巡查检查</w:t>
      </w:r>
      <w:r>
        <w:rPr>
          <w:rFonts w:hint="eastAsia"/>
        </w:rPr>
        <w:tab/>
      </w:r>
      <w:r>
        <w:rPr>
          <w:rFonts w:hint="eastAsia"/>
        </w:rPr>
        <w:fldChar w:fldCharType="begin"/>
      </w:r>
      <w:r>
        <w:rPr>
          <w:rFonts w:hint="eastAsia"/>
        </w:rPr>
        <w:instrText xml:space="preserve"> </w:instrText>
      </w:r>
      <w:r>
        <w:instrText xml:space="preserve">PAGEREF _Toc228605141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15784DE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"_Toc228605142" </w:instrText>
      </w:r>
      <w:r>
        <w:fldChar w:fldCharType="separate"/>
      </w:r>
      <w:r>
        <w:rPr>
          <w:rStyle w:val="32"/>
        </w:rPr>
        <w:t>9  隐患识别与风险预警</w:t>
      </w:r>
      <w:r>
        <w:rPr>
          <w:rFonts w:hint="eastAsia"/>
        </w:rPr>
        <w:tab/>
      </w:r>
      <w:r>
        <w:rPr>
          <w:rFonts w:hint="eastAsia"/>
        </w:rPr>
        <w:fldChar w:fldCharType="begin"/>
      </w:r>
      <w:r>
        <w:rPr>
          <w:rFonts w:hint="eastAsia"/>
        </w:rPr>
        <w:instrText xml:space="preserve"> </w:instrText>
      </w:r>
      <w:r>
        <w:instrText xml:space="preserve">PAGEREF _Toc228605142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435186B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"_Toc228605143" </w:instrText>
      </w:r>
      <w:r>
        <w:fldChar w:fldCharType="separate"/>
      </w:r>
      <w:r>
        <w:rPr>
          <w:rStyle w:val="32"/>
        </w:rPr>
        <w:t>10  维修养护</w:t>
      </w:r>
      <w:r>
        <w:rPr>
          <w:rFonts w:hint="eastAsia"/>
        </w:rPr>
        <w:tab/>
      </w:r>
      <w:r>
        <w:rPr>
          <w:rFonts w:hint="eastAsia"/>
        </w:rPr>
        <w:fldChar w:fldCharType="begin"/>
      </w:r>
      <w:r>
        <w:rPr>
          <w:rFonts w:hint="eastAsia"/>
        </w:rPr>
        <w:instrText xml:space="preserve"> </w:instrText>
      </w:r>
      <w:r>
        <w:instrText xml:space="preserve">PAGEREF _Toc228605143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29A9CE4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"_Toc228605144" </w:instrText>
      </w:r>
      <w:r>
        <w:fldChar w:fldCharType="separate"/>
      </w:r>
      <w:r>
        <w:rPr>
          <w:rStyle w:val="32"/>
        </w:rPr>
        <w:t>11  应急处置</w:t>
      </w:r>
      <w:r>
        <w:rPr>
          <w:rFonts w:hint="eastAsia"/>
        </w:rPr>
        <w:tab/>
      </w:r>
      <w:r>
        <w:rPr>
          <w:rFonts w:hint="eastAsia"/>
        </w:rPr>
        <w:fldChar w:fldCharType="begin"/>
      </w:r>
      <w:r>
        <w:rPr>
          <w:rFonts w:hint="eastAsia"/>
        </w:rPr>
        <w:instrText xml:space="preserve"> </w:instrText>
      </w:r>
      <w:r>
        <w:instrText xml:space="preserve">PAGEREF _Toc228605144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725A812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"_Toc228605145" </w:instrText>
      </w:r>
      <w:r>
        <w:fldChar w:fldCharType="separate"/>
      </w:r>
      <w:r>
        <w:rPr>
          <w:rStyle w:val="32"/>
        </w:rPr>
        <w:t>12  信息平台与数据管理</w:t>
      </w:r>
      <w:r>
        <w:rPr>
          <w:rFonts w:hint="eastAsia"/>
        </w:rPr>
        <w:tab/>
      </w:r>
      <w:r>
        <w:rPr>
          <w:rFonts w:hint="eastAsia"/>
        </w:rPr>
        <w:fldChar w:fldCharType="begin"/>
      </w:r>
      <w:r>
        <w:rPr>
          <w:rFonts w:hint="eastAsia"/>
        </w:rPr>
        <w:instrText xml:space="preserve"> </w:instrText>
      </w:r>
      <w:r>
        <w:instrText xml:space="preserve">PAGEREF _Toc228605145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1519CAC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"_Toc228605146" </w:instrText>
      </w:r>
      <w:r>
        <w:fldChar w:fldCharType="separate"/>
      </w:r>
      <w:r>
        <w:rPr>
          <w:rStyle w:val="32"/>
        </w:rPr>
        <w:t>13  系统运行维护</w:t>
      </w:r>
      <w:r>
        <w:rPr>
          <w:rFonts w:hint="eastAsia"/>
        </w:rPr>
        <w:tab/>
      </w:r>
      <w:r>
        <w:rPr>
          <w:rFonts w:hint="eastAsia"/>
        </w:rPr>
        <w:fldChar w:fldCharType="begin"/>
      </w:r>
      <w:r>
        <w:rPr>
          <w:rFonts w:hint="eastAsia"/>
        </w:rPr>
        <w:instrText xml:space="preserve"> </w:instrText>
      </w:r>
      <w:r>
        <w:instrText xml:space="preserve">PAGEREF _Toc228605146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1985EA4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"_Toc228605147" </w:instrText>
      </w:r>
      <w:r>
        <w:fldChar w:fldCharType="separate"/>
      </w:r>
      <w:r>
        <w:rPr>
          <w:rStyle w:val="32"/>
        </w:rPr>
        <w:t>14  管护评价与持续改进</w:t>
      </w:r>
      <w:r>
        <w:rPr>
          <w:rFonts w:hint="eastAsia"/>
        </w:rPr>
        <w:tab/>
      </w:r>
      <w:r>
        <w:rPr>
          <w:rFonts w:hint="eastAsia"/>
        </w:rPr>
        <w:fldChar w:fldCharType="begin"/>
      </w:r>
      <w:r>
        <w:rPr>
          <w:rFonts w:hint="eastAsia"/>
        </w:rPr>
        <w:instrText xml:space="preserve"> </w:instrText>
      </w:r>
      <w:r>
        <w:instrText xml:space="preserve">PAGEREF _Toc228605147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4179441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"_Toc228605148" </w:instrText>
      </w:r>
      <w:r>
        <w:fldChar w:fldCharType="separate"/>
      </w:r>
      <w:r>
        <w:rPr>
          <w:rStyle w:val="32"/>
        </w:rPr>
        <w:t>15  资料归档</w:t>
      </w:r>
      <w:r>
        <w:rPr>
          <w:rFonts w:hint="eastAsia"/>
        </w:rPr>
        <w:tab/>
      </w:r>
      <w:r>
        <w:rPr>
          <w:rFonts w:hint="eastAsia"/>
        </w:rPr>
        <w:fldChar w:fldCharType="begin"/>
      </w:r>
      <w:r>
        <w:rPr>
          <w:rFonts w:hint="eastAsia"/>
        </w:rPr>
        <w:instrText xml:space="preserve"> </w:instrText>
      </w:r>
      <w:r>
        <w:instrText xml:space="preserve">PAGEREF _Toc228605148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6435025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"_Toc228605149" </w:instrText>
      </w:r>
      <w:r>
        <w:fldChar w:fldCharType="separate"/>
      </w:r>
      <w:r>
        <w:rPr>
          <w:rStyle w:val="32"/>
        </w:rPr>
        <w:t>附录A（资料性）  中小型水利工程智能管护巡查频次与检查内容</w:t>
      </w:r>
      <w:r>
        <w:rPr>
          <w:rFonts w:hint="eastAsia"/>
        </w:rPr>
        <w:tab/>
      </w:r>
      <w:r>
        <w:rPr>
          <w:rFonts w:hint="eastAsia"/>
        </w:rPr>
        <w:fldChar w:fldCharType="begin"/>
      </w:r>
      <w:r>
        <w:rPr>
          <w:rFonts w:hint="eastAsia"/>
        </w:rPr>
        <w:instrText xml:space="preserve"> </w:instrText>
      </w:r>
      <w:r>
        <w:instrText xml:space="preserve">PAGEREF _Toc228605149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60A785F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"_Toc228605150" </w:instrText>
      </w:r>
      <w:r>
        <w:fldChar w:fldCharType="separate"/>
      </w:r>
      <w:r>
        <w:rPr>
          <w:rStyle w:val="32"/>
        </w:rPr>
        <w:t>附录B（资料性）  中小型水利工程智能管护评价指标</w:t>
      </w:r>
      <w:r>
        <w:rPr>
          <w:rFonts w:hint="eastAsia"/>
        </w:rPr>
        <w:tab/>
      </w:r>
      <w:r>
        <w:rPr>
          <w:rFonts w:hint="eastAsia"/>
        </w:rPr>
        <w:fldChar w:fldCharType="begin"/>
      </w:r>
      <w:r>
        <w:rPr>
          <w:rFonts w:hint="eastAsia"/>
        </w:rPr>
        <w:instrText xml:space="preserve"> </w:instrText>
      </w:r>
      <w:r>
        <w:instrText xml:space="preserve">PAGEREF _Toc228605150 \h</w:instrText>
      </w:r>
      <w:r>
        <w:rPr>
          <w:rFonts w:hint="eastAsia"/>
        </w:rPr>
        <w:instrText xml:space="preserve"> </w:instrText>
      </w:r>
      <w:r>
        <w:rPr>
          <w:rFonts w:hint="eastAsia"/>
        </w:rPr>
        <w:fldChar w:fldCharType="separate"/>
      </w:r>
      <w:r>
        <w:t>20</w:t>
      </w:r>
      <w:r>
        <w:rPr>
          <w:rFonts w:hint="eastAsia"/>
        </w:rPr>
        <w:fldChar w:fldCharType="end"/>
      </w:r>
      <w:r>
        <w:rPr>
          <w:rFonts w:hint="eastAsia"/>
        </w:rPr>
        <w:fldChar w:fldCharType="end"/>
      </w:r>
    </w:p>
    <w:p w14:paraId="15CC389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"_Toc228605151" </w:instrText>
      </w:r>
      <w:r>
        <w:fldChar w:fldCharType="separate"/>
      </w:r>
      <w:r>
        <w:rPr>
          <w:rStyle w:val="32"/>
        </w:rPr>
        <w:t>参考文献</w:t>
      </w:r>
      <w:r>
        <w:rPr>
          <w:rFonts w:hint="eastAsia"/>
        </w:rPr>
        <w:tab/>
      </w:r>
      <w:r>
        <w:rPr>
          <w:rFonts w:hint="eastAsia"/>
        </w:rPr>
        <w:fldChar w:fldCharType="begin"/>
      </w:r>
      <w:r>
        <w:rPr>
          <w:rFonts w:hint="eastAsia"/>
        </w:rPr>
        <w:instrText xml:space="preserve"> </w:instrText>
      </w:r>
      <w:r>
        <w:instrText xml:space="preserve">PAGEREF _Toc228605151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247E645B">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605132"/>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山东黄河河务局聊城黄河河务局</w:t>
      </w:r>
      <w:r>
        <w:rPr>
          <w:rFonts w:hint="eastAsia"/>
        </w:rPr>
        <w:t>。</w:t>
      </w:r>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张鹏。</w:t>
      </w:r>
      <w:bookmarkStart w:id="69" w:name="_GoBack"/>
      <w:bookmarkEnd w:id="69"/>
    </w:p>
    <w:bookmarkEnd w:id="23"/>
    <w:p w14:paraId="66D0A2F3">
      <w:pPr>
        <w:pStyle w:val="89"/>
        <w:spacing w:after="360"/>
      </w:pPr>
      <w:bookmarkStart w:id="24" w:name="_Toc228605133"/>
      <w:bookmarkStart w:id="25" w:name="BookMark3"/>
      <w:r>
        <w:rPr>
          <w:spacing w:val="320"/>
        </w:rPr>
        <w:t>引</w:t>
      </w:r>
      <w:r>
        <w:t>言</w:t>
      </w:r>
      <w:bookmarkEnd w:id="24"/>
    </w:p>
    <w:p w14:paraId="16EF647D">
      <w:pPr>
        <w:pStyle w:val="56"/>
        <w:spacing w:line="360" w:lineRule="auto"/>
        <w:ind w:firstLine="420"/>
      </w:pPr>
      <w:r>
        <w:rPr>
          <w:rFonts w:hint="eastAsia"/>
        </w:rPr>
        <w:t>中小型水利工程是区域防洪排涝、农业灌溉、城乡供水、水资源调配、水生态维护和农村水利公共服务的重要基础设施，主要包括中小型水库、水闸、泵站、塘坝、堤防、灌排渠系、小型引调水工程、农村供水工程及其配套建筑物、设备设施和管理系统。此类工程数量多、分布广、类型杂、管理主体多元，部分工程存在建设年代较早、管护力量不足、设施设备老化、巡查记录不完整、隐患发现不及时、运行数据缺失、维修养护响应滞后、档案资料分散等问题。随着水利工程标准化管理、数字孪生水利、智慧水利和基层水利治理能力建设不断推进，中小型水利工程管护工作需要由传统人工巡查、经验判断和事后维修，逐步向智能感知、动态监测、风险预警、闭环处置和精细化管护转变。</w:t>
      </w:r>
    </w:p>
    <w:p w14:paraId="7B276B17">
      <w:pPr>
        <w:pStyle w:val="56"/>
        <w:spacing w:line="360" w:lineRule="auto"/>
        <w:ind w:firstLine="420"/>
      </w:pPr>
      <w:r>
        <w:rPr>
          <w:rFonts w:hint="eastAsia"/>
        </w:rPr>
        <w:t>中小型水利工程智能管护不应仅理解为安装监测设备、建立信息平台或使用移动巡检终端，而应围绕工程安全运行、日常巡查、维修养护、调度运行、隐患治理、设备管理、档案管理和绩效评价等全过程，建立数据采集、状态识别、风险分级、任务派发、处置反馈、结果复核和持续改进的管护机制。智能化技术应用应服务于工程实际管护需求，不得脱离工程规模、管理能力、运行工况和维护条件，盲目建设功能复杂但难以持续运行的信息系统。</w:t>
      </w:r>
    </w:p>
    <w:p w14:paraId="00D479E4">
      <w:pPr>
        <w:pStyle w:val="56"/>
        <w:spacing w:line="360" w:lineRule="auto"/>
        <w:ind w:firstLine="420"/>
      </w:pPr>
      <w:r>
        <w:rPr>
          <w:rFonts w:hint="eastAsia"/>
        </w:rPr>
        <w:t>在实际管理过程中，部分中小型水利工程存在管护标准不统一、巡查频次不明确、监测数据质量不高、风险阈值设置不合理、设备设施台账不完整、隐患整改闭环不足、管护责任边界不清、信息报送渠道不畅、智能设备运维缺位等问题。上述问题容易造成工程运行状态掌握不充分、隐患风险识别不及时、维修养护资源配置不精准、应急响应不高效和责任追溯困难。建立统一、明确、可执行的智能管护技术要求，是提升中小型水利工程安全运行能力、延长工程使用寿命、提高管护效率和保障水利公共服务功能的重要基础。</w:t>
      </w:r>
    </w:p>
    <w:p w14:paraId="5101ADFD">
      <w:pPr>
        <w:pStyle w:val="56"/>
        <w:spacing w:line="360" w:lineRule="auto"/>
        <w:ind w:firstLine="420"/>
      </w:pPr>
      <w:r>
        <w:rPr>
          <w:rFonts w:hint="eastAsia"/>
        </w:rPr>
        <w:t>本文件围绕中小型水利工程智能管护活动，拟对基本要求、组织与职责、工程对象与管护内容、智能监测感知、数据采集与质量控制、巡查检查、设备设施管理、隐患识别与风险预警、维修养护、应急处置、信息平台、运行维护、评价改进和资料归档等内容作出规定。本文件注重将智能管护要求转化为可执行、可检查、可追溯的技术条款，强化“应”“不得”等规范性表述，减少原则性、解释性和倡导性描述，便于水利工程管理单位、乡镇水利管理机构、工程管护主体、运行维护单位、信息化服务单位和监督管理相关单位执行。</w:t>
      </w:r>
    </w:p>
    <w:p w14:paraId="41C5917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中小型水利工程智能管护技术规程</w:t>
          </w:r>
        </w:p>
      </w:sdtContent>
    </w:sdt>
    <w:bookmarkEnd w:id="27"/>
    <w:p w14:paraId="3DB22445">
      <w:pPr>
        <w:pStyle w:val="104"/>
        <w:spacing w:before="240" w:after="240" w:line="360" w:lineRule="auto"/>
      </w:pPr>
      <w:bookmarkStart w:id="28" w:name="_Toc26986771"/>
      <w:bookmarkStart w:id="29" w:name="_Toc17233325"/>
      <w:bookmarkStart w:id="30" w:name="_Toc24884218"/>
      <w:bookmarkStart w:id="31" w:name="_Toc17233333"/>
      <w:bookmarkStart w:id="32" w:name="_Toc24884211"/>
      <w:bookmarkStart w:id="33" w:name="_Toc26648465"/>
      <w:bookmarkStart w:id="34" w:name="_Toc26986530"/>
      <w:bookmarkStart w:id="35" w:name="_Toc228605134"/>
      <w:bookmarkStart w:id="36" w:name="_Toc26718930"/>
      <w:bookmarkStart w:id="37" w:name="_Toc97192964"/>
      <w:r>
        <w:rPr>
          <w:rFonts w:hint="eastAsia"/>
        </w:rPr>
        <w:t>范围</w:t>
      </w:r>
      <w:bookmarkEnd w:id="28"/>
      <w:bookmarkEnd w:id="29"/>
      <w:bookmarkEnd w:id="30"/>
      <w:bookmarkEnd w:id="31"/>
      <w:bookmarkEnd w:id="32"/>
      <w:bookmarkEnd w:id="33"/>
      <w:bookmarkEnd w:id="34"/>
      <w:bookmarkEnd w:id="35"/>
      <w:bookmarkEnd w:id="36"/>
      <w:bookmarkEnd w:id="37"/>
    </w:p>
    <w:p w14:paraId="62B635D8">
      <w:pPr>
        <w:pStyle w:val="56"/>
        <w:spacing w:line="360" w:lineRule="auto"/>
        <w:ind w:firstLine="420"/>
      </w:pPr>
      <w:bookmarkStart w:id="38" w:name="_Toc17233334"/>
      <w:bookmarkStart w:id="39" w:name="_Toc24884212"/>
      <w:bookmarkStart w:id="40" w:name="_Toc26648466"/>
      <w:bookmarkStart w:id="41" w:name="_Toc24884219"/>
      <w:bookmarkStart w:id="42" w:name="_Toc17233326"/>
      <w:r>
        <w:rPr>
          <w:rFonts w:hint="eastAsia"/>
        </w:rPr>
        <w:t>本文件规定了中小型水利工程智能管护的基本要求、组织与职责、管护对象与分级分类、智能监测感知、巡查检查、隐患识别与风险预警、维修养护、应急处置、信息平台与数据管理、系统运行维护、管护评价与持续改进、资料归档等要求。</w:t>
      </w:r>
    </w:p>
    <w:p w14:paraId="28DC5285">
      <w:pPr>
        <w:pStyle w:val="56"/>
        <w:spacing w:line="360" w:lineRule="auto"/>
        <w:ind w:firstLine="420"/>
      </w:pPr>
      <w:r>
        <w:rPr>
          <w:rFonts w:hint="eastAsia"/>
        </w:rPr>
        <w:t>本文件适用于中小型水库、水闸、泵站、堤防、塘坝、灌排渠系、小型引调水工程、农村供水工程及相关配套设施开展智能管护、运行维护、风险预警、隐患治理、信息化管理和管护评价工作。</w:t>
      </w:r>
    </w:p>
    <w:p w14:paraId="3733B2AD">
      <w:pPr>
        <w:pStyle w:val="104"/>
        <w:spacing w:before="240" w:after="240" w:line="360" w:lineRule="auto"/>
      </w:pPr>
      <w:bookmarkStart w:id="43" w:name="_Toc26986531"/>
      <w:bookmarkStart w:id="44" w:name="_Toc228605135"/>
      <w:bookmarkStart w:id="45" w:name="_Toc26718931"/>
      <w:bookmarkStart w:id="46" w:name="_Toc97192965"/>
      <w:bookmarkStart w:id="47" w:name="_Toc26986772"/>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1D89F16">
      <w:pPr>
        <w:pStyle w:val="56"/>
        <w:spacing w:line="360" w:lineRule="auto"/>
        <w:ind w:firstLine="420"/>
      </w:pPr>
      <w:r>
        <w:rPr>
          <w:rFonts w:hint="eastAsia"/>
        </w:rPr>
        <w:t>GB 50201—2014 防洪标准</w:t>
      </w:r>
    </w:p>
    <w:p w14:paraId="69810ECF">
      <w:pPr>
        <w:pStyle w:val="56"/>
        <w:spacing w:line="360" w:lineRule="auto"/>
        <w:ind w:firstLine="420"/>
      </w:pPr>
      <w:r>
        <w:rPr>
          <w:rFonts w:hint="eastAsia"/>
        </w:rPr>
        <w:t>GB/T 19000—2016 质量管理体系  基础和术语</w:t>
      </w:r>
    </w:p>
    <w:p w14:paraId="144B4439">
      <w:pPr>
        <w:pStyle w:val="56"/>
        <w:spacing w:line="360" w:lineRule="auto"/>
        <w:ind w:firstLine="420"/>
      </w:pPr>
      <w:r>
        <w:rPr>
          <w:rFonts w:hint="eastAsia"/>
        </w:rPr>
        <w:t>GB/T 22239 信息安全技术  网络安全等级保护基本要求</w:t>
      </w:r>
    </w:p>
    <w:p w14:paraId="5496AEE5">
      <w:pPr>
        <w:pStyle w:val="56"/>
        <w:spacing w:line="360" w:lineRule="auto"/>
        <w:ind w:firstLine="420"/>
      </w:pPr>
      <w:r>
        <w:t>GB/T 25000.51</w:t>
      </w:r>
      <w:r>
        <w:rPr>
          <w:rFonts w:hint="eastAsia"/>
        </w:rPr>
        <w:t>—</w:t>
      </w:r>
      <w:r>
        <w:t>2016</w:t>
      </w:r>
      <w:r>
        <w:rPr>
          <w:rFonts w:hint="eastAsia"/>
        </w:rPr>
        <w:t xml:space="preserve"> 系统与软件工程  系统与软件质量要求和评价（SQuaRE）  第51部分：就绪可用软件产品（RUSP）的质量要求和测试细则</w:t>
      </w:r>
    </w:p>
    <w:p w14:paraId="07A7F860">
      <w:pPr>
        <w:pStyle w:val="56"/>
        <w:spacing w:line="360" w:lineRule="auto"/>
        <w:ind w:firstLine="420"/>
      </w:pPr>
      <w:r>
        <w:rPr>
          <w:rFonts w:hint="eastAsia"/>
        </w:rPr>
        <w:t>GB/T 37988—2019 信息安全技术 数据安全能力成熟度模型</w:t>
      </w:r>
    </w:p>
    <w:p w14:paraId="51F02A4E">
      <w:pPr>
        <w:pStyle w:val="104"/>
        <w:spacing w:before="240" w:after="240" w:line="360" w:lineRule="auto"/>
      </w:pPr>
      <w:bookmarkStart w:id="48" w:name="_Toc97192966"/>
      <w:bookmarkStart w:id="49" w:name="_Toc228605136"/>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593CB5B">
          <w:pPr>
            <w:pStyle w:val="56"/>
            <w:spacing w:line="360" w:lineRule="auto"/>
            <w:ind w:firstLine="420"/>
          </w:pPr>
          <w:bookmarkStart w:id="50" w:name="_Toc26986532"/>
          <w:bookmarkEnd w:id="50"/>
          <w:r>
            <w:t>下列术语和定义适用于本文件。</w:t>
          </w:r>
        </w:p>
      </w:sdtContent>
    </w:sdt>
    <w:p w14:paraId="204C8A4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中小型水利工程 small and medium-sized water conservancy project</w:t>
      </w:r>
    </w:p>
    <w:p w14:paraId="3BF4EF12">
      <w:pPr>
        <w:pStyle w:val="56"/>
        <w:spacing w:line="360" w:lineRule="auto"/>
        <w:ind w:firstLine="420"/>
      </w:pPr>
      <w:r>
        <w:rPr>
          <w:rFonts w:hint="eastAsia"/>
        </w:rPr>
        <w:t>承担区域防洪、排涝、灌溉、供水、调蓄、引水、输水、农村水利服务等功能，工程规模、保护范围、调度影响和管理层级相对有限的水库、水闸、泵站、堤防、塘坝、灌排渠系、小型引调水工程、农村供水工程及其配套设施。</w:t>
      </w:r>
    </w:p>
    <w:p w14:paraId="59C47882">
      <w:pPr>
        <w:pStyle w:val="56"/>
        <w:spacing w:line="360" w:lineRule="auto"/>
        <w:ind w:firstLine="420"/>
      </w:pPr>
    </w:p>
    <w:p w14:paraId="1EFBD847">
      <w:pPr>
        <w:pStyle w:val="56"/>
        <w:spacing w:line="360" w:lineRule="auto"/>
        <w:ind w:firstLine="420"/>
      </w:pPr>
    </w:p>
    <w:p w14:paraId="74F6BEC3">
      <w:pPr>
        <w:pStyle w:val="56"/>
        <w:spacing w:line="360" w:lineRule="auto"/>
        <w:ind w:firstLine="420"/>
        <w:rPr>
          <w:rFonts w:hint="eastAsia"/>
        </w:rPr>
      </w:pPr>
    </w:p>
    <w:p w14:paraId="73BF86C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智能管护 intelligent management and maintenance</w:t>
      </w:r>
    </w:p>
    <w:p w14:paraId="1006E080">
      <w:pPr>
        <w:pStyle w:val="56"/>
        <w:spacing w:line="360" w:lineRule="auto"/>
        <w:ind w:firstLine="420"/>
      </w:pPr>
      <w:r>
        <w:rPr>
          <w:rFonts w:hint="eastAsia"/>
        </w:rPr>
        <w:t>依托监测感知、移动巡检、视频监控、数据分析、风险预警、电子工单、空间定位、档案管理和信息平台等技术手段，对水利工程运行状态、设备设施、工程安全、日常巡查、维修养护、隐患治理和应急处置实施数字化、规范化和闭环化管理的活动。</w:t>
      </w:r>
    </w:p>
    <w:p w14:paraId="78ED5142">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管护对象 management and maintenance object</w:t>
      </w:r>
    </w:p>
    <w:p w14:paraId="6D0532F9">
      <w:pPr>
        <w:pStyle w:val="56"/>
        <w:spacing w:line="360" w:lineRule="auto"/>
        <w:ind w:firstLine="420"/>
      </w:pPr>
      <w:r>
        <w:rPr>
          <w:rFonts w:hint="eastAsia"/>
        </w:rPr>
        <w:t>纳入智能管护范围的工程建筑物、设备设施、监测点位、管理区域、运行系统、巡查路线、隐患点位、维修养护事项和相关档案资料。</w:t>
      </w:r>
    </w:p>
    <w:p w14:paraId="31A4933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管护单元 management and maintenance unit</w:t>
      </w:r>
    </w:p>
    <w:p w14:paraId="2FA112D7">
      <w:pPr>
        <w:pStyle w:val="56"/>
        <w:spacing w:line="360" w:lineRule="auto"/>
        <w:ind w:firstLine="420"/>
      </w:pPr>
      <w:r>
        <w:rPr>
          <w:rFonts w:hint="eastAsia"/>
        </w:rPr>
        <w:t>按照工程类型、空间位置、功能分区、设备设施、风险等级或管理责任划分的基本管护对象集合。</w:t>
      </w:r>
    </w:p>
    <w:p w14:paraId="671CB880">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智能监测 intelligent monitoring</w:t>
      </w:r>
    </w:p>
    <w:p w14:paraId="2B5F181A">
      <w:pPr>
        <w:pStyle w:val="56"/>
        <w:spacing w:line="360" w:lineRule="auto"/>
        <w:ind w:firstLine="420"/>
      </w:pPr>
      <w:r>
        <w:rPr>
          <w:rFonts w:hint="eastAsia"/>
        </w:rPr>
        <w:t>利用传感器、视频设备、遥测终端、移动终端、自动采集设备或其他信息化设备，对水利工程运行状态、安全状态、环境状态和设备状态进行自动化或半自动化采集、传输、分析和提示的活动。</w:t>
      </w:r>
    </w:p>
    <w:p w14:paraId="1595CC7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移动巡检 mobile inspection</w:t>
      </w:r>
    </w:p>
    <w:p w14:paraId="2E3AA01A">
      <w:pPr>
        <w:pStyle w:val="56"/>
        <w:spacing w:line="360" w:lineRule="auto"/>
        <w:ind w:firstLine="420"/>
      </w:pPr>
      <w:r>
        <w:rPr>
          <w:rFonts w:hint="eastAsia"/>
        </w:rPr>
        <w:t>巡查人员利用移动终端、定位设备、电子表单、照片视频采集和任务管理功能，对水利工程开展现场检查、问题上报、任务反馈和记录留痕的活动。</w:t>
      </w:r>
    </w:p>
    <w:p w14:paraId="0D3AAB3A">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隐患 hidden danger</w:t>
      </w:r>
    </w:p>
    <w:p w14:paraId="65EEF076">
      <w:pPr>
        <w:pStyle w:val="56"/>
        <w:spacing w:line="360" w:lineRule="auto"/>
        <w:ind w:firstLine="420"/>
      </w:pPr>
      <w:r>
        <w:rPr>
          <w:rFonts w:hint="eastAsia"/>
        </w:rPr>
        <w:t>水利工程在结构安全、运行管理、设备设施、调度控制、巡查养护、周边环境或应急保障等方面存在的可能影响工程安全、功能发挥或公共安全的不符合、缺陷或风险因素。</w:t>
      </w:r>
    </w:p>
    <w:p w14:paraId="016CD910">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风险预警 risk warning</w:t>
      </w:r>
    </w:p>
    <w:p w14:paraId="0DE16AF9">
      <w:pPr>
        <w:pStyle w:val="56"/>
        <w:spacing w:line="360" w:lineRule="auto"/>
        <w:ind w:firstLine="420"/>
      </w:pPr>
      <w:r>
        <w:rPr>
          <w:rFonts w:hint="eastAsia"/>
        </w:rPr>
        <w:t>依据监测数据、巡查记录、运行状态、阈值规则、历史资料和风险模型，对可能发生的工程异常、设备故障、险情或管护失效进行提示、分级和推送的活动。</w:t>
      </w:r>
    </w:p>
    <w:p w14:paraId="537E6BCB">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电子工单 electronic work order</w:t>
      </w:r>
    </w:p>
    <w:p w14:paraId="4E298868">
      <w:pPr>
        <w:pStyle w:val="56"/>
        <w:spacing w:line="360" w:lineRule="auto"/>
        <w:ind w:firstLine="420"/>
      </w:pPr>
      <w:r>
        <w:rPr>
          <w:rFonts w:hint="eastAsia"/>
        </w:rPr>
        <w:t>通过信息平台生成、派发、接收、处置、反馈、复核和关闭的数字化任务单，用于巡查、养护、维修、隐患整改和应急处置等业务事项管理。</w:t>
      </w:r>
    </w:p>
    <w:p w14:paraId="2167BD2D">
      <w:pPr>
        <w:pStyle w:val="104"/>
        <w:spacing w:before="240" w:after="240" w:line="360" w:lineRule="auto"/>
      </w:pPr>
      <w:bookmarkStart w:id="51" w:name="_Toc228605137"/>
      <w:r>
        <w:rPr>
          <w:rFonts w:hint="eastAsia"/>
        </w:rPr>
        <w:t>基本要求</w:t>
      </w:r>
      <w:bookmarkEnd w:id="51"/>
    </w:p>
    <w:p w14:paraId="23D12B89">
      <w:pPr>
        <w:pStyle w:val="105"/>
        <w:spacing w:before="120" w:after="120" w:line="360" w:lineRule="auto"/>
      </w:pPr>
      <w:r>
        <w:rPr>
          <w:rFonts w:hint="eastAsia"/>
        </w:rPr>
        <w:t>总体要求</w:t>
      </w:r>
    </w:p>
    <w:p w14:paraId="0B061976">
      <w:pPr>
        <w:pStyle w:val="165"/>
        <w:spacing w:line="360" w:lineRule="auto"/>
      </w:pPr>
      <w:r>
        <w:rPr>
          <w:rFonts w:hint="eastAsia"/>
        </w:rPr>
        <w:t>中小型水利工程智能管护应坚持安全优先、因地制宜、经济适用、分级分类、数据可靠、闭环管理、责任明确和持续改进的原则。</w:t>
      </w:r>
    </w:p>
    <w:p w14:paraId="5CB5E659">
      <w:pPr>
        <w:pStyle w:val="165"/>
        <w:spacing w:line="360" w:lineRule="auto"/>
      </w:pPr>
      <w:r>
        <w:rPr>
          <w:rFonts w:hint="eastAsia"/>
        </w:rPr>
        <w:t>工程管理单位应建立智能管护制度，明确管护对象、管护责任、管护频次、监测项目、巡查要求、预警规则、维修养护、应急处置、资料归档和评价改进要求。</w:t>
      </w:r>
    </w:p>
    <w:p w14:paraId="0AFC7A1E">
      <w:pPr>
        <w:pStyle w:val="165"/>
        <w:spacing w:line="360" w:lineRule="auto"/>
      </w:pPr>
      <w:r>
        <w:rPr>
          <w:rFonts w:hint="eastAsia"/>
        </w:rPr>
        <w:t>智能管护应覆盖工程基础信息、设备设施、运行状态、巡查检查、隐患治理、维修养护、应急处置、档案资料和绩效评价等内容。</w:t>
      </w:r>
    </w:p>
    <w:p w14:paraId="0D0B0669">
      <w:pPr>
        <w:pStyle w:val="165"/>
        <w:spacing w:line="360" w:lineRule="auto"/>
      </w:pPr>
      <w:r>
        <w:rPr>
          <w:rFonts w:hint="eastAsia"/>
        </w:rPr>
        <w:t>智能化手段应与工程规模、风险等级、管理能力和运行需求相适应，不得盲目建设超出实际管护能力和持续运行条件的信息化系统。</w:t>
      </w:r>
    </w:p>
    <w:p w14:paraId="05E68702">
      <w:pPr>
        <w:pStyle w:val="165"/>
        <w:spacing w:line="360" w:lineRule="auto"/>
      </w:pPr>
      <w:r>
        <w:rPr>
          <w:rFonts w:hint="eastAsia"/>
        </w:rPr>
        <w:t>智能管护结果应作为工程管理辅助依据，不得替代现场核查、专业判断、责任确认和必要的人工处置。</w:t>
      </w:r>
    </w:p>
    <w:p w14:paraId="6BC3012D">
      <w:pPr>
        <w:pStyle w:val="165"/>
        <w:spacing w:line="360" w:lineRule="auto"/>
      </w:pPr>
      <w:r>
        <w:rPr>
          <w:rFonts w:hint="eastAsia"/>
        </w:rPr>
        <w:t>工程运行、巡查检查、隐患处置、维修养护和应急处置等事项应形成闭环记录。不得出现有预警无处置、有巡查无记录、有隐患无整改、有维修无复核的情形。</w:t>
      </w:r>
    </w:p>
    <w:p w14:paraId="32CDBCCC">
      <w:pPr>
        <w:pStyle w:val="165"/>
        <w:spacing w:line="360" w:lineRule="auto"/>
      </w:pPr>
      <w:r>
        <w:rPr>
          <w:rFonts w:hint="eastAsia"/>
        </w:rPr>
        <w:t>工程基础数据、监测数据、巡查数据、隐患数据、维修养护数据和档案资料应真实、准确、完整、及时、可追溯。</w:t>
      </w:r>
    </w:p>
    <w:p w14:paraId="7672DF5A">
      <w:pPr>
        <w:pStyle w:val="165"/>
        <w:spacing w:line="360" w:lineRule="auto"/>
      </w:pPr>
      <w:r>
        <w:rPr>
          <w:rFonts w:hint="eastAsia"/>
        </w:rPr>
        <w:t>对防洪安全、供水安全、灌溉保障、重点堤段、重点闸站、老旧设备、险工险段和人员密集影响区，应提高监测、巡查、预警和处置要求。</w:t>
      </w:r>
    </w:p>
    <w:p w14:paraId="11DF4E2B">
      <w:pPr>
        <w:pStyle w:val="165"/>
        <w:spacing w:line="360" w:lineRule="auto"/>
      </w:pPr>
      <w:r>
        <w:rPr>
          <w:rFonts w:hint="eastAsia"/>
        </w:rPr>
        <w:t>智能管护平台应具备权限管理、日志记录、数据备份、异常提示和资料归档功能。</w:t>
      </w:r>
    </w:p>
    <w:p w14:paraId="62DFB80D">
      <w:pPr>
        <w:pStyle w:val="165"/>
        <w:spacing w:line="360" w:lineRule="auto"/>
      </w:pPr>
      <w:r>
        <w:rPr>
          <w:rFonts w:hint="eastAsia"/>
        </w:rPr>
        <w:t>工程管理单位应定期开展智能管护评价，对发现的问题实施整改和效果验证。</w:t>
      </w:r>
    </w:p>
    <w:p w14:paraId="36585957">
      <w:pPr>
        <w:pStyle w:val="105"/>
        <w:spacing w:before="120" w:after="120" w:line="360" w:lineRule="auto"/>
      </w:pPr>
      <w:r>
        <w:rPr>
          <w:rFonts w:hint="eastAsia"/>
        </w:rPr>
        <w:t>管护原则</w:t>
      </w:r>
    </w:p>
    <w:p w14:paraId="1422836E">
      <w:pPr>
        <w:pStyle w:val="165"/>
        <w:spacing w:line="360" w:lineRule="auto"/>
      </w:pPr>
      <w:r>
        <w:rPr>
          <w:rFonts w:hint="eastAsia"/>
        </w:rPr>
        <w:t>安全优先原则。管护工作应优先保障工程安全、人员安全、供水安全、防洪排涝安全和公共安全。</w:t>
      </w:r>
    </w:p>
    <w:p w14:paraId="51843CB8">
      <w:pPr>
        <w:pStyle w:val="165"/>
        <w:spacing w:line="360" w:lineRule="auto"/>
      </w:pPr>
      <w:r>
        <w:rPr>
          <w:rFonts w:hint="eastAsia"/>
        </w:rPr>
        <w:t>因地制宜原则。智能管护技术路线应结合工程类型、工程规模、地理位置、运行方式、风险等级和管理条件确定。</w:t>
      </w:r>
    </w:p>
    <w:p w14:paraId="5FD4CE09">
      <w:pPr>
        <w:pStyle w:val="165"/>
        <w:spacing w:line="360" w:lineRule="auto"/>
      </w:pPr>
      <w:r>
        <w:rPr>
          <w:rFonts w:hint="eastAsia"/>
        </w:rPr>
        <w:t>分级分类原则。应按照工程重要性、风险程度、运行状态和服务功能，对管护对象实施差异化管理。</w:t>
      </w:r>
    </w:p>
    <w:p w14:paraId="19197046">
      <w:pPr>
        <w:pStyle w:val="165"/>
        <w:spacing w:line="360" w:lineRule="auto"/>
      </w:pPr>
      <w:r>
        <w:rPr>
          <w:rFonts w:hint="eastAsia"/>
        </w:rPr>
        <w:t>数据可靠原则。用于预警、评价、调度、养护和应急处置的数据应经过质量控制，不得使用来源不明、状态不清或未经核实的数据作为关键决策依据。</w:t>
      </w:r>
    </w:p>
    <w:p w14:paraId="73B7E6AC">
      <w:pPr>
        <w:pStyle w:val="165"/>
        <w:spacing w:line="360" w:lineRule="auto"/>
      </w:pPr>
      <w:r>
        <w:rPr>
          <w:rFonts w:hint="eastAsia"/>
        </w:rPr>
        <w:t>闭环管理原则。巡查、预警、隐患、维修、养护和应急事项应落实责任人、完成时限、处置要求和复核要求。</w:t>
      </w:r>
    </w:p>
    <w:p w14:paraId="73937887">
      <w:pPr>
        <w:pStyle w:val="165"/>
        <w:spacing w:line="360" w:lineRule="auto"/>
      </w:pPr>
      <w:r>
        <w:rPr>
          <w:rFonts w:hint="eastAsia"/>
        </w:rPr>
        <w:t>持续改进原则。应根据评价结果、事故险情、运行问题、设备故障和用户反馈，持续优化管护制度、平台功能、监测布设和处置流程。</w:t>
      </w:r>
    </w:p>
    <w:p w14:paraId="089FC86B">
      <w:pPr>
        <w:pStyle w:val="105"/>
        <w:spacing w:before="120" w:after="120" w:line="360" w:lineRule="auto"/>
      </w:pPr>
      <w:r>
        <w:rPr>
          <w:rFonts w:hint="eastAsia"/>
        </w:rPr>
        <w:t>制度要求</w:t>
      </w:r>
    </w:p>
    <w:p w14:paraId="2B0D4D56">
      <w:pPr>
        <w:pStyle w:val="165"/>
        <w:spacing w:line="360" w:lineRule="auto"/>
      </w:pPr>
      <w:r>
        <w:rPr>
          <w:rFonts w:hint="eastAsia"/>
        </w:rPr>
        <w:t>工程管理单位应建立并实施下列制度：</w:t>
      </w:r>
    </w:p>
    <w:p w14:paraId="5435BE2B">
      <w:pPr>
        <w:pStyle w:val="56"/>
        <w:spacing w:line="360" w:lineRule="auto"/>
        <w:ind w:firstLine="420"/>
      </w:pPr>
      <w:r>
        <w:rPr>
          <w:rFonts w:hint="eastAsia"/>
        </w:rPr>
        <w:t>a) 工程对象和设备设施台账管理制度；</w:t>
      </w:r>
    </w:p>
    <w:p w14:paraId="5B5931EF">
      <w:pPr>
        <w:pStyle w:val="56"/>
        <w:spacing w:line="360" w:lineRule="auto"/>
        <w:ind w:firstLine="420"/>
      </w:pPr>
      <w:r>
        <w:rPr>
          <w:rFonts w:hint="eastAsia"/>
        </w:rPr>
        <w:t>b) 智能监测与数据采集制度；</w:t>
      </w:r>
    </w:p>
    <w:p w14:paraId="59F35C02">
      <w:pPr>
        <w:pStyle w:val="56"/>
        <w:spacing w:line="360" w:lineRule="auto"/>
        <w:ind w:firstLine="420"/>
      </w:pPr>
      <w:r>
        <w:rPr>
          <w:rFonts w:hint="eastAsia"/>
        </w:rPr>
        <w:t>c) 巡查检查与移动巡检制度；</w:t>
      </w:r>
    </w:p>
    <w:p w14:paraId="55E2246D">
      <w:pPr>
        <w:pStyle w:val="56"/>
        <w:spacing w:line="360" w:lineRule="auto"/>
        <w:ind w:firstLine="420"/>
      </w:pPr>
      <w:r>
        <w:rPr>
          <w:rFonts w:hint="eastAsia"/>
        </w:rPr>
        <w:t>d) 隐患识别、分级和处置制度；</w:t>
      </w:r>
    </w:p>
    <w:p w14:paraId="0BD64EB4">
      <w:pPr>
        <w:pStyle w:val="56"/>
        <w:spacing w:line="360" w:lineRule="auto"/>
        <w:ind w:firstLine="420"/>
      </w:pPr>
      <w:r>
        <w:rPr>
          <w:rFonts w:hint="eastAsia"/>
        </w:rPr>
        <w:t>e) 维修养护工单管理制度；</w:t>
      </w:r>
    </w:p>
    <w:p w14:paraId="121E0322">
      <w:pPr>
        <w:pStyle w:val="56"/>
        <w:spacing w:line="360" w:lineRule="auto"/>
        <w:ind w:firstLine="420"/>
      </w:pPr>
      <w:r>
        <w:rPr>
          <w:rFonts w:hint="eastAsia"/>
        </w:rPr>
        <w:t>f) 预警信息发布与响应制度；</w:t>
      </w:r>
    </w:p>
    <w:p w14:paraId="33BAAE9F">
      <w:pPr>
        <w:pStyle w:val="56"/>
        <w:spacing w:line="360" w:lineRule="auto"/>
        <w:ind w:firstLine="420"/>
      </w:pPr>
      <w:r>
        <w:rPr>
          <w:rFonts w:hint="eastAsia"/>
        </w:rPr>
        <w:t>g) 应急处置与信息报送制度；</w:t>
      </w:r>
    </w:p>
    <w:p w14:paraId="26FA4CFD">
      <w:pPr>
        <w:pStyle w:val="56"/>
        <w:spacing w:line="360" w:lineRule="auto"/>
        <w:ind w:firstLine="420"/>
      </w:pPr>
      <w:r>
        <w:rPr>
          <w:rFonts w:hint="eastAsia"/>
        </w:rPr>
        <w:t>h) 管护平台运行维护制度；</w:t>
      </w:r>
    </w:p>
    <w:p w14:paraId="195FD1C7">
      <w:pPr>
        <w:pStyle w:val="56"/>
        <w:spacing w:line="360" w:lineRule="auto"/>
        <w:ind w:firstLine="420"/>
      </w:pPr>
      <w:r>
        <w:rPr>
          <w:rFonts w:hint="eastAsia"/>
        </w:rPr>
        <w:t>i) 数据安全与权限管理制度；</w:t>
      </w:r>
    </w:p>
    <w:p w14:paraId="61B4C34E">
      <w:pPr>
        <w:pStyle w:val="56"/>
        <w:spacing w:line="360" w:lineRule="auto"/>
        <w:ind w:firstLine="420"/>
      </w:pPr>
      <w:r>
        <w:rPr>
          <w:rFonts w:hint="eastAsia"/>
        </w:rPr>
        <w:t>j) 资料归档与绩效评价制度。</w:t>
      </w:r>
    </w:p>
    <w:p w14:paraId="436E5E34">
      <w:pPr>
        <w:pStyle w:val="165"/>
        <w:spacing w:line="360" w:lineRule="auto"/>
      </w:pPr>
      <w:r>
        <w:rPr>
          <w:rFonts w:hint="eastAsia"/>
        </w:rPr>
        <w:t>制度文件应明确适用范围、责任岗位、操作流程、记录要求、检查频次和问题整改要求。</w:t>
      </w:r>
    </w:p>
    <w:p w14:paraId="11A3B2E2">
      <w:pPr>
        <w:pStyle w:val="165"/>
        <w:spacing w:line="360" w:lineRule="auto"/>
      </w:pPr>
      <w:r>
        <w:rPr>
          <w:rFonts w:hint="eastAsia"/>
        </w:rPr>
        <w:t>制度文件应与工程运行管理规程、防汛预案、维修养护计划、设备操作规程和档案管理要求相衔接。</w:t>
      </w:r>
    </w:p>
    <w:p w14:paraId="68DA5389">
      <w:pPr>
        <w:pStyle w:val="165"/>
        <w:spacing w:line="360" w:lineRule="auto"/>
      </w:pPr>
      <w:r>
        <w:rPr>
          <w:rFonts w:hint="eastAsia"/>
        </w:rPr>
        <w:t>制度修订后，应及时更新平台流程、表单模板、预警规则、岗位培训资料和操作手册。</w:t>
      </w:r>
    </w:p>
    <w:p w14:paraId="5E112FAA">
      <w:pPr>
        <w:pStyle w:val="105"/>
        <w:spacing w:before="120" w:after="120" w:line="360" w:lineRule="auto"/>
      </w:pPr>
      <w:r>
        <w:rPr>
          <w:rFonts w:hint="eastAsia"/>
        </w:rPr>
        <w:t>数据管理要求</w:t>
      </w:r>
    </w:p>
    <w:p w14:paraId="47AC298F">
      <w:pPr>
        <w:pStyle w:val="165"/>
        <w:spacing w:line="360" w:lineRule="auto"/>
      </w:pPr>
      <w:r>
        <w:rPr>
          <w:rFonts w:hint="eastAsia"/>
        </w:rPr>
        <w:t>智能管护数据应包括工程基础数据、空间位置数据、设备设施数据、监测感知数据、巡查检查数据、隐患治理数据、维修养护数据、应急处置数据和档案资料数据。</w:t>
      </w:r>
    </w:p>
    <w:p w14:paraId="068E3C8E">
      <w:pPr>
        <w:pStyle w:val="165"/>
        <w:spacing w:line="360" w:lineRule="auto"/>
      </w:pPr>
      <w:r>
        <w:rPr>
          <w:rFonts w:hint="eastAsia"/>
        </w:rPr>
        <w:t>数据采集前应明确数据项、采集方式、采集频率、责任主体、质量规则和更新要求。</w:t>
      </w:r>
    </w:p>
    <w:p w14:paraId="6F576ED3">
      <w:pPr>
        <w:pStyle w:val="165"/>
        <w:spacing w:line="360" w:lineRule="auto"/>
      </w:pPr>
      <w:r>
        <w:rPr>
          <w:rFonts w:hint="eastAsia"/>
        </w:rPr>
        <w:t>自动采集数据应记录采集时间、采集设备、测点编码、数据值、计量单位和数据状态。</w:t>
      </w:r>
    </w:p>
    <w:p w14:paraId="21BE3DCF">
      <w:pPr>
        <w:pStyle w:val="165"/>
        <w:spacing w:line="360" w:lineRule="auto"/>
      </w:pPr>
      <w:r>
        <w:rPr>
          <w:rFonts w:hint="eastAsia"/>
        </w:rPr>
        <w:t>人工录入数据应记录录入人员、录入时间、信息来源和审核状态。</w:t>
      </w:r>
    </w:p>
    <w:p w14:paraId="70B3227C">
      <w:pPr>
        <w:pStyle w:val="165"/>
        <w:spacing w:line="360" w:lineRule="auto"/>
      </w:pPr>
      <w:r>
        <w:rPr>
          <w:rFonts w:hint="eastAsia"/>
        </w:rPr>
        <w:t>数据更正应保留更正前内容、更正后内容、更正原因、更正人员和更正时间。</w:t>
      </w:r>
    </w:p>
    <w:p w14:paraId="3E36F58D">
      <w:pPr>
        <w:pStyle w:val="165"/>
        <w:spacing w:line="360" w:lineRule="auto"/>
      </w:pPr>
      <w:r>
        <w:rPr>
          <w:rFonts w:hint="eastAsia"/>
        </w:rPr>
        <w:t>不符合质量要求的数据应进行标识，不得直接用于风险预警、管护评价和关键管理决策。</w:t>
      </w:r>
    </w:p>
    <w:p w14:paraId="35E503B0">
      <w:pPr>
        <w:pStyle w:val="105"/>
        <w:spacing w:before="120" w:after="120" w:line="360" w:lineRule="auto"/>
      </w:pPr>
      <w:r>
        <w:rPr>
          <w:rFonts w:hint="eastAsia"/>
        </w:rPr>
        <w:t>安全与保密要求</w:t>
      </w:r>
    </w:p>
    <w:p w14:paraId="6A62A56C">
      <w:pPr>
        <w:pStyle w:val="165"/>
        <w:spacing w:line="360" w:lineRule="auto"/>
      </w:pPr>
      <w:r>
        <w:rPr>
          <w:rFonts w:hint="eastAsia"/>
        </w:rPr>
        <w:t>智能管护平台和相关数据应按照网络安全和数据安全要求进行管理。</w:t>
      </w:r>
    </w:p>
    <w:p w14:paraId="3D07FC1D">
      <w:pPr>
        <w:pStyle w:val="165"/>
        <w:spacing w:line="360" w:lineRule="auto"/>
      </w:pPr>
      <w:r>
        <w:rPr>
          <w:rFonts w:hint="eastAsia"/>
        </w:rPr>
        <w:t>涉及工程安全、供水安全、防汛调度、重要设施位置、应急资源和个人信息的数据，应按分类分级要求实施权限控制。</w:t>
      </w:r>
    </w:p>
    <w:p w14:paraId="523C98DD">
      <w:pPr>
        <w:pStyle w:val="165"/>
        <w:spacing w:line="360" w:lineRule="auto"/>
      </w:pPr>
      <w:r>
        <w:rPr>
          <w:rFonts w:hint="eastAsia"/>
        </w:rPr>
        <w:t>平台账号应实行实名制管理，不得共用账号、借用账号或使用他人账号开展业务操作。</w:t>
      </w:r>
    </w:p>
    <w:p w14:paraId="06C9E5FC">
      <w:pPr>
        <w:pStyle w:val="165"/>
        <w:spacing w:line="360" w:lineRule="auto"/>
      </w:pPr>
      <w:r>
        <w:rPr>
          <w:rFonts w:hint="eastAsia"/>
        </w:rPr>
        <w:t>数据导出、共享、删除、修改和系统配置变更应履行审批程序并保留日志。</w:t>
      </w:r>
    </w:p>
    <w:p w14:paraId="3991299C">
      <w:pPr>
        <w:pStyle w:val="165"/>
        <w:spacing w:line="360" w:lineRule="auto"/>
      </w:pPr>
      <w:r>
        <w:rPr>
          <w:rFonts w:hint="eastAsia"/>
        </w:rPr>
        <w:t>未经授权，不得通过个人邮箱、个人网盘、即时通信工具或非受控移动介质传输管护数据。</w:t>
      </w:r>
    </w:p>
    <w:p w14:paraId="58F1E33A">
      <w:pPr>
        <w:pStyle w:val="104"/>
        <w:spacing w:before="240" w:after="240" w:line="360" w:lineRule="auto"/>
      </w:pPr>
      <w:bookmarkStart w:id="52" w:name="_Toc228605138"/>
      <w:r>
        <w:rPr>
          <w:rFonts w:hint="eastAsia"/>
        </w:rPr>
        <w:t>组织与职责</w:t>
      </w:r>
      <w:bookmarkEnd w:id="52"/>
    </w:p>
    <w:p w14:paraId="4A551698">
      <w:pPr>
        <w:pStyle w:val="105"/>
        <w:spacing w:before="120" w:after="120" w:line="360" w:lineRule="auto"/>
      </w:pPr>
      <w:r>
        <w:rPr>
          <w:rFonts w:hint="eastAsia"/>
        </w:rPr>
        <w:t>一般要求</w:t>
      </w:r>
    </w:p>
    <w:p w14:paraId="580CDE77">
      <w:pPr>
        <w:pStyle w:val="165"/>
        <w:spacing w:line="360" w:lineRule="auto"/>
      </w:pPr>
      <w:r>
        <w:rPr>
          <w:rFonts w:hint="eastAsia"/>
        </w:rPr>
        <w:t>中小型水利工程智能管护应建立职责清晰、分工明确、协同有效的组织体系。</w:t>
      </w:r>
    </w:p>
    <w:p w14:paraId="4A87FEAC">
      <w:pPr>
        <w:pStyle w:val="165"/>
        <w:spacing w:line="360" w:lineRule="auto"/>
      </w:pPr>
      <w:r>
        <w:rPr>
          <w:rFonts w:hint="eastAsia"/>
        </w:rPr>
        <w:t>组织体系应覆盖工程管理、运行操作、巡查检查、监测预警、维修养护、应急处置、平台运维和资料归档等岗位。</w:t>
      </w:r>
    </w:p>
    <w:p w14:paraId="210B5CD8">
      <w:pPr>
        <w:pStyle w:val="165"/>
        <w:spacing w:line="360" w:lineRule="auto"/>
      </w:pPr>
      <w:r>
        <w:rPr>
          <w:rFonts w:hint="eastAsia"/>
        </w:rPr>
        <w:t>各岗位职责应落实到具体部门、岗位和人员，不得仅以单位名称替代责任人。</w:t>
      </w:r>
    </w:p>
    <w:p w14:paraId="24521A10">
      <w:pPr>
        <w:pStyle w:val="165"/>
        <w:spacing w:line="360" w:lineRule="auto"/>
      </w:pPr>
      <w:r>
        <w:rPr>
          <w:rFonts w:hint="eastAsia"/>
        </w:rPr>
        <w:t>多主体共同承担管护职责的，应明确工程管理单位、属地管理机构、管护责任单位、维修养护单位、信息化服务单位和应急协作单位的职责边界。</w:t>
      </w:r>
    </w:p>
    <w:p w14:paraId="3642B86D">
      <w:pPr>
        <w:pStyle w:val="165"/>
        <w:spacing w:line="360" w:lineRule="auto"/>
      </w:pPr>
      <w:r>
        <w:rPr>
          <w:rFonts w:hint="eastAsia"/>
        </w:rPr>
        <w:t>关键岗位人员发生变化时，应及时更新通讯录、平台权限、责任清单和培训记录。</w:t>
      </w:r>
    </w:p>
    <w:p w14:paraId="6A994BA3">
      <w:pPr>
        <w:pStyle w:val="105"/>
        <w:spacing w:before="120" w:after="120" w:line="360" w:lineRule="auto"/>
      </w:pPr>
      <w:r>
        <w:rPr>
          <w:rFonts w:hint="eastAsia"/>
        </w:rPr>
        <w:t>工程管理单位职责</w:t>
      </w:r>
    </w:p>
    <w:p w14:paraId="586224C5">
      <w:pPr>
        <w:pStyle w:val="165"/>
        <w:spacing w:line="360" w:lineRule="auto"/>
      </w:pPr>
      <w:r>
        <w:rPr>
          <w:rFonts w:hint="eastAsia"/>
        </w:rPr>
        <w:t>工程管理单位应承担智能管护组织实施和监督管理责任。</w:t>
      </w:r>
    </w:p>
    <w:p w14:paraId="781DBB62">
      <w:pPr>
        <w:pStyle w:val="165"/>
        <w:spacing w:line="360" w:lineRule="auto"/>
      </w:pPr>
      <w:r>
        <w:rPr>
          <w:rFonts w:hint="eastAsia"/>
        </w:rPr>
        <w:t>工程管理单位应建立智能管护制度、管护对象清单、责任清单、巡查计划、维修养护计划和应急处置方案。</w:t>
      </w:r>
    </w:p>
    <w:p w14:paraId="560E686E">
      <w:pPr>
        <w:pStyle w:val="165"/>
        <w:spacing w:line="360" w:lineRule="auto"/>
      </w:pPr>
      <w:r>
        <w:rPr>
          <w:rFonts w:hint="eastAsia"/>
        </w:rPr>
        <w:t>工程管理单位应组织开展工程基础数据核查、设备设施台账建立、管护平台应用、数据质量检查和管护绩效评价。</w:t>
      </w:r>
    </w:p>
    <w:p w14:paraId="1B807389">
      <w:pPr>
        <w:pStyle w:val="165"/>
        <w:spacing w:line="360" w:lineRule="auto"/>
      </w:pPr>
      <w:r>
        <w:rPr>
          <w:rFonts w:hint="eastAsia"/>
        </w:rPr>
        <w:t>工程管理单位应组织巡查检查、隐患处置、维修养护和应急处置，并应对闭环情况进行监督。</w:t>
      </w:r>
    </w:p>
    <w:p w14:paraId="20751F00">
      <w:pPr>
        <w:pStyle w:val="165"/>
        <w:spacing w:line="360" w:lineRule="auto"/>
      </w:pPr>
      <w:r>
        <w:rPr>
          <w:rFonts w:hint="eastAsia"/>
        </w:rPr>
        <w:t>工程管理单位应保障智能监测设备、管护平台、移动终端、通信网络和必要运行经费满足管护要求。</w:t>
      </w:r>
    </w:p>
    <w:p w14:paraId="6A034B80">
      <w:pPr>
        <w:pStyle w:val="165"/>
        <w:spacing w:line="360" w:lineRule="auto"/>
      </w:pPr>
      <w:r>
        <w:rPr>
          <w:rFonts w:hint="eastAsia"/>
        </w:rPr>
        <w:t>工程管理单位应组织开展人员培训和应急演练。</w:t>
      </w:r>
    </w:p>
    <w:p w14:paraId="5CD521BC">
      <w:pPr>
        <w:pStyle w:val="105"/>
        <w:spacing w:before="120" w:after="120" w:line="360" w:lineRule="auto"/>
      </w:pPr>
      <w:r>
        <w:rPr>
          <w:rFonts w:hint="eastAsia"/>
        </w:rPr>
        <w:t>管护责任单位职责</w:t>
      </w:r>
    </w:p>
    <w:p w14:paraId="6BE1A3C3">
      <w:pPr>
        <w:pStyle w:val="165"/>
        <w:spacing w:line="360" w:lineRule="auto"/>
      </w:pPr>
      <w:r>
        <w:rPr>
          <w:rFonts w:hint="eastAsia"/>
        </w:rPr>
        <w:t>管护责任单位应按照合同、委托协议或管理要求承担具体管护任务。</w:t>
      </w:r>
    </w:p>
    <w:p w14:paraId="244428C8">
      <w:pPr>
        <w:pStyle w:val="165"/>
        <w:spacing w:line="360" w:lineRule="auto"/>
      </w:pPr>
      <w:r>
        <w:rPr>
          <w:rFonts w:hint="eastAsia"/>
        </w:rPr>
        <w:t>管护责任单位应按规定开展巡查、清理、养护、维修、问题上报和应急协助工作。</w:t>
      </w:r>
    </w:p>
    <w:p w14:paraId="7250EC15">
      <w:pPr>
        <w:pStyle w:val="165"/>
        <w:spacing w:line="360" w:lineRule="auto"/>
      </w:pPr>
      <w:r>
        <w:rPr>
          <w:rFonts w:hint="eastAsia"/>
        </w:rPr>
        <w:t>管护责任单位应使用规定平台或表单记录管护过程，不得只口头报告或事后无依据补录。</w:t>
      </w:r>
    </w:p>
    <w:p w14:paraId="65B8834E">
      <w:pPr>
        <w:pStyle w:val="165"/>
        <w:spacing w:line="360" w:lineRule="auto"/>
      </w:pPr>
      <w:r>
        <w:rPr>
          <w:rFonts w:hint="eastAsia"/>
        </w:rPr>
        <w:t>管护责任单位发现工程异常、设备故障、隐患问题或险情迹象时，应及时上报并采取必要临时控制措施。</w:t>
      </w:r>
    </w:p>
    <w:p w14:paraId="6C881C13">
      <w:pPr>
        <w:pStyle w:val="165"/>
        <w:spacing w:line="360" w:lineRule="auto"/>
      </w:pPr>
      <w:r>
        <w:rPr>
          <w:rFonts w:hint="eastAsia"/>
        </w:rPr>
        <w:t>管护责任单位应接受工程管理单位的监督检查和绩效评价。</w:t>
      </w:r>
    </w:p>
    <w:p w14:paraId="6119F3FC">
      <w:pPr>
        <w:pStyle w:val="105"/>
        <w:spacing w:before="120" w:after="120" w:line="360" w:lineRule="auto"/>
      </w:pPr>
      <w:r>
        <w:rPr>
          <w:rFonts w:hint="eastAsia"/>
        </w:rPr>
        <w:t>巡查人员职责</w:t>
      </w:r>
    </w:p>
    <w:p w14:paraId="367EAE81">
      <w:pPr>
        <w:pStyle w:val="165"/>
        <w:spacing w:line="360" w:lineRule="auto"/>
      </w:pPr>
      <w:r>
        <w:rPr>
          <w:rFonts w:hint="eastAsia"/>
        </w:rPr>
        <w:t>巡查人员应按巡查计划、巡查路线和检查要点开展现场巡查。</w:t>
      </w:r>
    </w:p>
    <w:p w14:paraId="5BB6604C">
      <w:pPr>
        <w:pStyle w:val="165"/>
        <w:spacing w:line="360" w:lineRule="auto"/>
      </w:pPr>
      <w:r>
        <w:rPr>
          <w:rFonts w:hint="eastAsia"/>
        </w:rPr>
        <w:t>巡查人员应使用移动巡检终端或规定记录方式记录巡查时间、位置、对象、检查内容、发现问题、照片视频和处置建议。</w:t>
      </w:r>
    </w:p>
    <w:p w14:paraId="56784F01">
      <w:pPr>
        <w:pStyle w:val="165"/>
        <w:spacing w:line="360" w:lineRule="auto"/>
      </w:pPr>
      <w:r>
        <w:rPr>
          <w:rFonts w:hint="eastAsia"/>
        </w:rPr>
        <w:t>巡查人员不得虚假定位、代签巡查、漏查重点部位或无故减少巡查频次。</w:t>
      </w:r>
    </w:p>
    <w:p w14:paraId="05E41491">
      <w:pPr>
        <w:pStyle w:val="165"/>
        <w:spacing w:line="360" w:lineRule="auto"/>
      </w:pPr>
      <w:r>
        <w:rPr>
          <w:rFonts w:hint="eastAsia"/>
        </w:rPr>
        <w:t>巡查人员发现重大隐患、工程异常或可能危及安全的情况时，应立即报告，不得延迟至巡查结束后集中上报。</w:t>
      </w:r>
    </w:p>
    <w:p w14:paraId="7F08B322">
      <w:pPr>
        <w:pStyle w:val="165"/>
        <w:spacing w:line="360" w:lineRule="auto"/>
      </w:pPr>
      <w:r>
        <w:rPr>
          <w:rFonts w:hint="eastAsia"/>
        </w:rPr>
        <w:t>巡查人员应配合隐患复核、维修养护验收和应急处置。</w:t>
      </w:r>
    </w:p>
    <w:p w14:paraId="57295D5E">
      <w:pPr>
        <w:pStyle w:val="105"/>
        <w:spacing w:before="120" w:after="120" w:line="360" w:lineRule="auto"/>
      </w:pPr>
      <w:r>
        <w:rPr>
          <w:rFonts w:hint="eastAsia"/>
        </w:rPr>
        <w:t>维修养护人员职责</w:t>
      </w:r>
    </w:p>
    <w:p w14:paraId="4FC3B1A4">
      <w:pPr>
        <w:pStyle w:val="165"/>
        <w:spacing w:line="360" w:lineRule="auto"/>
      </w:pPr>
      <w:r>
        <w:rPr>
          <w:rFonts w:hint="eastAsia"/>
        </w:rPr>
        <w:t>维修养护人员应按照工单要求、养护标准、操作规程和安全要求开展维修养护作业。</w:t>
      </w:r>
    </w:p>
    <w:p w14:paraId="31613396">
      <w:pPr>
        <w:pStyle w:val="165"/>
        <w:spacing w:line="360" w:lineRule="auto"/>
      </w:pPr>
      <w:r>
        <w:rPr>
          <w:rFonts w:hint="eastAsia"/>
        </w:rPr>
        <w:t>维修养护人员接收工单后，应确认作业对象、作业内容、完成时限、安全措施和反馈要求。</w:t>
      </w:r>
    </w:p>
    <w:p w14:paraId="4617EED3">
      <w:pPr>
        <w:pStyle w:val="165"/>
        <w:spacing w:line="360" w:lineRule="auto"/>
      </w:pPr>
      <w:r>
        <w:rPr>
          <w:rFonts w:hint="eastAsia"/>
        </w:rPr>
        <w:t>维修养护人员应记录维修养护时间、作业人员、使用材料、作业过程、完成情况、现场照片和遗留问题。</w:t>
      </w:r>
    </w:p>
    <w:p w14:paraId="591E6EE0">
      <w:pPr>
        <w:pStyle w:val="165"/>
        <w:spacing w:line="360" w:lineRule="auto"/>
      </w:pPr>
      <w:r>
        <w:rPr>
          <w:rFonts w:hint="eastAsia"/>
        </w:rPr>
        <w:t>维修养护人员不得擅自改变作业范围、降低维修质量或隐瞒未完成事项。</w:t>
      </w:r>
    </w:p>
    <w:p w14:paraId="63CE2B8B">
      <w:pPr>
        <w:pStyle w:val="165"/>
        <w:spacing w:line="360" w:lineRule="auto"/>
      </w:pPr>
      <w:r>
        <w:rPr>
          <w:rFonts w:hint="eastAsia"/>
        </w:rPr>
        <w:t>涉及工程安全、设备运行和供水排涝功能的维修养护事项，应经复核确认后方可关闭。</w:t>
      </w:r>
    </w:p>
    <w:p w14:paraId="209D0D53">
      <w:pPr>
        <w:pStyle w:val="105"/>
        <w:spacing w:before="120" w:after="120" w:line="360" w:lineRule="auto"/>
      </w:pPr>
      <w:r>
        <w:rPr>
          <w:rFonts w:hint="eastAsia"/>
        </w:rPr>
        <w:t>平台运维单位职责</w:t>
      </w:r>
    </w:p>
    <w:p w14:paraId="74ADA11E">
      <w:pPr>
        <w:pStyle w:val="165"/>
        <w:spacing w:line="360" w:lineRule="auto"/>
      </w:pPr>
      <w:r>
        <w:rPr>
          <w:rFonts w:hint="eastAsia"/>
        </w:rPr>
        <w:t>平台运维单位应负责智能管护平台、服务器、数据库、接口、移动终端、监测设备接入和系统安全运行维护。</w:t>
      </w:r>
    </w:p>
    <w:p w14:paraId="705A3286">
      <w:pPr>
        <w:pStyle w:val="165"/>
        <w:spacing w:line="360" w:lineRule="auto"/>
      </w:pPr>
      <w:r>
        <w:rPr>
          <w:rFonts w:hint="eastAsia"/>
        </w:rPr>
        <w:t>平台运维单位应建立运维计划、巡检记录、故障处理记录、数据备份记录和系统变更记录。</w:t>
      </w:r>
    </w:p>
    <w:p w14:paraId="77F237C8">
      <w:pPr>
        <w:pStyle w:val="165"/>
        <w:spacing w:line="360" w:lineRule="auto"/>
      </w:pPr>
      <w:r>
        <w:rPr>
          <w:rFonts w:hint="eastAsia"/>
        </w:rPr>
        <w:t>平台运维单位不得擅自修改业务数据、删除系统日志、关闭预警规则或调整权限配置。</w:t>
      </w:r>
    </w:p>
    <w:p w14:paraId="64C3A0D6">
      <w:pPr>
        <w:pStyle w:val="165"/>
        <w:spacing w:line="360" w:lineRule="auto"/>
      </w:pPr>
      <w:r>
        <w:rPr>
          <w:rFonts w:hint="eastAsia"/>
        </w:rPr>
        <w:t>平台运维单位发现系统故障、数据异常、设备离线或安全风险时，应及时通知工程管理单位并处置。</w:t>
      </w:r>
    </w:p>
    <w:p w14:paraId="10DB3B9F">
      <w:pPr>
        <w:pStyle w:val="165"/>
        <w:spacing w:line="360" w:lineRule="auto"/>
      </w:pPr>
      <w:r>
        <w:rPr>
          <w:rFonts w:hint="eastAsia"/>
        </w:rPr>
        <w:t>平台运维单位应配合开展系统升级、数据迁移、功能优化和应急恢复。</w:t>
      </w:r>
    </w:p>
    <w:p w14:paraId="7E79041F">
      <w:pPr>
        <w:pStyle w:val="104"/>
        <w:spacing w:before="240" w:after="240" w:line="360" w:lineRule="auto"/>
      </w:pPr>
      <w:bookmarkStart w:id="53" w:name="_Toc228605139"/>
      <w:r>
        <w:rPr>
          <w:rFonts w:hint="eastAsia"/>
        </w:rPr>
        <w:t>管护对象与分级分类</w:t>
      </w:r>
      <w:bookmarkEnd w:id="53"/>
    </w:p>
    <w:p w14:paraId="01291BE9">
      <w:pPr>
        <w:pStyle w:val="105"/>
        <w:spacing w:before="120" w:after="120" w:line="360" w:lineRule="auto"/>
      </w:pPr>
      <w:r>
        <w:rPr>
          <w:rFonts w:hint="eastAsia"/>
        </w:rPr>
        <w:t>一般要求</w:t>
      </w:r>
    </w:p>
    <w:p w14:paraId="74B0A84D">
      <w:pPr>
        <w:pStyle w:val="165"/>
        <w:spacing w:line="360" w:lineRule="auto"/>
      </w:pPr>
      <w:r>
        <w:rPr>
          <w:rFonts w:hint="eastAsia"/>
        </w:rPr>
        <w:t>中小型水利工程智能管护应明确管护对象、管护边界、管护单元、责任主体和管护要求。</w:t>
      </w:r>
    </w:p>
    <w:p w14:paraId="79EC4D5A">
      <w:pPr>
        <w:pStyle w:val="165"/>
        <w:spacing w:line="360" w:lineRule="auto"/>
      </w:pPr>
      <w:r>
        <w:rPr>
          <w:rFonts w:hint="eastAsia"/>
        </w:rPr>
        <w:t>管护对象应包括工程建筑物、设备设施、监测设施、管理区域、运行系统、巡查路线、隐患点位、维修养护事项和相关档案资料。</w:t>
      </w:r>
    </w:p>
    <w:p w14:paraId="038C7668">
      <w:pPr>
        <w:pStyle w:val="165"/>
        <w:spacing w:line="360" w:lineRule="auto"/>
      </w:pPr>
      <w:r>
        <w:rPr>
          <w:rFonts w:hint="eastAsia"/>
        </w:rPr>
        <w:t>工程管理单位应建立管护对象清单，并应将管护对象纳入智能管护平台统一管理。</w:t>
      </w:r>
    </w:p>
    <w:p w14:paraId="2F93C9E3">
      <w:pPr>
        <w:pStyle w:val="165"/>
        <w:spacing w:line="360" w:lineRule="auto"/>
      </w:pPr>
      <w:r>
        <w:rPr>
          <w:rFonts w:hint="eastAsia"/>
        </w:rPr>
        <w:t>管护对象应具有唯一编号，并应与工程位置、空间坐标、责任单位、管护频次、风险等级和档案资料建立关联。</w:t>
      </w:r>
    </w:p>
    <w:p w14:paraId="5DF9B393">
      <w:pPr>
        <w:pStyle w:val="165"/>
        <w:spacing w:line="360" w:lineRule="auto"/>
      </w:pPr>
      <w:r>
        <w:rPr>
          <w:rFonts w:hint="eastAsia"/>
        </w:rPr>
        <w:t>管护对象发生新增、变更、停用、拆除、改造或责任调整时，应及时更新清单和平台数据。</w:t>
      </w:r>
    </w:p>
    <w:p w14:paraId="5619C4A4">
      <w:pPr>
        <w:pStyle w:val="165"/>
        <w:spacing w:line="360" w:lineRule="auto"/>
      </w:pPr>
      <w:r>
        <w:rPr>
          <w:rFonts w:hint="eastAsia"/>
        </w:rPr>
        <w:t>管护对象清单应定期核查。清单与现场实际不一致的，应及时整改。</w:t>
      </w:r>
    </w:p>
    <w:p w14:paraId="608AA649">
      <w:pPr>
        <w:pStyle w:val="105"/>
        <w:spacing w:before="120" w:after="120" w:line="360" w:lineRule="auto"/>
      </w:pPr>
      <w:r>
        <w:rPr>
          <w:rFonts w:hint="eastAsia"/>
        </w:rPr>
        <w:t>管护对象分类</w:t>
      </w:r>
    </w:p>
    <w:p w14:paraId="7F7E4392">
      <w:pPr>
        <w:pStyle w:val="165"/>
        <w:spacing w:line="360" w:lineRule="auto"/>
      </w:pPr>
      <w:r>
        <w:rPr>
          <w:rFonts w:hint="eastAsia"/>
        </w:rPr>
        <w:t>中小型水利工程管护对象宜按工程类型、功能属性、风险等级和管理责任进行分类。</w:t>
      </w:r>
    </w:p>
    <w:p w14:paraId="73512DCD">
      <w:pPr>
        <w:pStyle w:val="165"/>
        <w:spacing w:line="360" w:lineRule="auto"/>
      </w:pPr>
      <w:r>
        <w:rPr>
          <w:rFonts w:hint="eastAsia"/>
        </w:rPr>
        <w:t>工程建筑物类管护对象应包括坝体、溢洪道、输泄水建筑物、水闸、泵站、堤防、塘坝、渠系、渡槽、涵洞、倒虹吸、跌水、消力池、护岸和附属建筑物等。</w:t>
      </w:r>
    </w:p>
    <w:p w14:paraId="0225D8D8">
      <w:pPr>
        <w:pStyle w:val="165"/>
        <w:spacing w:line="360" w:lineRule="auto"/>
      </w:pPr>
      <w:r>
        <w:rPr>
          <w:rFonts w:hint="eastAsia"/>
        </w:rPr>
        <w:t>设备设施类管护对象应包括闸门、启闭机、水泵、电机、阀门、配电设备、控制柜、自动化设备、备用电源、通信设备、监控设备和安全防护设施等。</w:t>
      </w:r>
    </w:p>
    <w:p w14:paraId="73927718">
      <w:pPr>
        <w:pStyle w:val="165"/>
        <w:spacing w:line="360" w:lineRule="auto"/>
      </w:pPr>
      <w:r>
        <w:rPr>
          <w:rFonts w:hint="eastAsia"/>
        </w:rPr>
        <w:t>监测感知类管护对象应包括水位计、雨量计、流量计、渗压计、位移监测点、视频监控点、遥测终端、通信模块和数据采集设备等。</w:t>
      </w:r>
    </w:p>
    <w:p w14:paraId="0DD5B1A2">
      <w:pPr>
        <w:pStyle w:val="165"/>
        <w:spacing w:line="360" w:lineRule="auto"/>
      </w:pPr>
      <w:r>
        <w:rPr>
          <w:rFonts w:hint="eastAsia"/>
        </w:rPr>
        <w:t>管理区域类管护对象应包括管理范围、保护范围、库区、渠道沿线、堤防沿线、泵闸站区、取水口、排水口、应急通道和物资仓库等。</w:t>
      </w:r>
    </w:p>
    <w:p w14:paraId="23475CA1">
      <w:pPr>
        <w:pStyle w:val="165"/>
        <w:spacing w:line="360" w:lineRule="auto"/>
      </w:pPr>
      <w:r>
        <w:rPr>
          <w:rFonts w:hint="eastAsia"/>
        </w:rPr>
        <w:t>资料档案类管护对象应包括设计资料、竣工资料、运行规程、安全鉴定资料、维修养护记录、隐患治理记录、应急处置记录和监测数据资料等。</w:t>
      </w:r>
    </w:p>
    <w:p w14:paraId="799D6170">
      <w:pPr>
        <w:pStyle w:val="105"/>
        <w:spacing w:before="120" w:after="120" w:line="360" w:lineRule="auto"/>
      </w:pPr>
      <w:r>
        <w:rPr>
          <w:rFonts w:hint="eastAsia"/>
        </w:rPr>
        <w:t>管护单元划分</w:t>
      </w:r>
    </w:p>
    <w:p w14:paraId="690A99BF">
      <w:pPr>
        <w:pStyle w:val="165"/>
        <w:spacing w:line="360" w:lineRule="auto"/>
      </w:pPr>
      <w:r>
        <w:rPr>
          <w:rFonts w:hint="eastAsia"/>
        </w:rPr>
        <w:t>管护单元应根据工程类型、空间位置、运行功能、风险特征和责任边界划分。</w:t>
      </w:r>
    </w:p>
    <w:p w14:paraId="1A0977B2">
      <w:pPr>
        <w:pStyle w:val="165"/>
        <w:spacing w:line="360" w:lineRule="auto"/>
      </w:pPr>
      <w:r>
        <w:rPr>
          <w:rFonts w:hint="eastAsia"/>
        </w:rPr>
        <w:t>水库工程宜按坝体、溢洪道、输水建筑物、库区、管理设施、监测系统和附属设备划分管护单元。</w:t>
      </w:r>
    </w:p>
    <w:p w14:paraId="07A768BA">
      <w:pPr>
        <w:pStyle w:val="165"/>
        <w:spacing w:line="360" w:lineRule="auto"/>
      </w:pPr>
      <w:r>
        <w:rPr>
          <w:rFonts w:hint="eastAsia"/>
        </w:rPr>
        <w:t>水闸工程宜按闸室、闸门、启闭设备、上下游连接段、消能防冲设施、配电控制系统和监测设施划分管护单元。</w:t>
      </w:r>
    </w:p>
    <w:p w14:paraId="337D0E83">
      <w:pPr>
        <w:pStyle w:val="165"/>
        <w:spacing w:line="360" w:lineRule="auto"/>
      </w:pPr>
      <w:r>
        <w:rPr>
          <w:rFonts w:hint="eastAsia"/>
        </w:rPr>
        <w:t>泵站工程宜按泵房、机组、进出水建筑物、供配电系统、控制系统、备用设备和附属设施划分管护单元。</w:t>
      </w:r>
    </w:p>
    <w:p w14:paraId="789B52AF">
      <w:pPr>
        <w:pStyle w:val="165"/>
        <w:spacing w:line="360" w:lineRule="auto"/>
      </w:pPr>
      <w:r>
        <w:rPr>
          <w:rFonts w:hint="eastAsia"/>
        </w:rPr>
        <w:t>堤防工程宜按堤段、险工险段、穿堤建筑物、护坡护岸、背水侧排水设施和巡查通道划分管护单元。</w:t>
      </w:r>
    </w:p>
    <w:p w14:paraId="562FBD1C">
      <w:pPr>
        <w:pStyle w:val="165"/>
        <w:spacing w:line="360" w:lineRule="auto"/>
      </w:pPr>
      <w:r>
        <w:rPr>
          <w:rFonts w:hint="eastAsia"/>
        </w:rPr>
        <w:t>灌排渠系宜按渠段、渠首、分水口、节制闸、渡槽、涵洞、倒虹吸、量测水设施和管理道路划分管护单元。</w:t>
      </w:r>
    </w:p>
    <w:p w14:paraId="646A0D01">
      <w:pPr>
        <w:pStyle w:val="165"/>
        <w:spacing w:line="360" w:lineRule="auto"/>
      </w:pPr>
      <w:r>
        <w:rPr>
          <w:rFonts w:hint="eastAsia"/>
        </w:rPr>
        <w:t>农村供水工程宜按水源地、取水设施、净化设施、泵站、管网、蓄水池、消毒设施、监测点和用户端关键节点划分管护单元。</w:t>
      </w:r>
    </w:p>
    <w:p w14:paraId="32B09CC5">
      <w:pPr>
        <w:pStyle w:val="105"/>
        <w:spacing w:before="120" w:after="120" w:line="360" w:lineRule="auto"/>
      </w:pPr>
      <w:r>
        <w:rPr>
          <w:rFonts w:hint="eastAsia"/>
        </w:rPr>
        <w:t>分级管护</w:t>
      </w:r>
    </w:p>
    <w:p w14:paraId="54F0634B">
      <w:pPr>
        <w:pStyle w:val="165"/>
        <w:spacing w:line="360" w:lineRule="auto"/>
      </w:pPr>
      <w:r>
        <w:rPr>
          <w:rFonts w:hint="eastAsia"/>
        </w:rPr>
        <w:t>工程管理单位应根据工程重要性、风险程度、运行状态、服务对象和影响范围实施分级管护。</w:t>
      </w:r>
    </w:p>
    <w:p w14:paraId="0CBBD76B">
      <w:pPr>
        <w:pStyle w:val="165"/>
        <w:spacing w:line="360" w:lineRule="auto"/>
      </w:pPr>
      <w:r>
        <w:rPr>
          <w:rFonts w:hint="eastAsia"/>
        </w:rPr>
        <w:t>管护等级宜分为重点管护、常规管护和一般管护。</w:t>
      </w:r>
    </w:p>
    <w:p w14:paraId="4F419C26">
      <w:pPr>
        <w:pStyle w:val="165"/>
        <w:spacing w:line="360" w:lineRule="auto"/>
      </w:pPr>
      <w:r>
        <w:rPr>
          <w:rFonts w:hint="eastAsia"/>
        </w:rPr>
        <w:t>符合下列情形之一的，应纳入重点管护：</w:t>
      </w:r>
    </w:p>
    <w:p w14:paraId="41E59316">
      <w:pPr>
        <w:pStyle w:val="56"/>
        <w:spacing w:line="360" w:lineRule="auto"/>
        <w:ind w:firstLine="420"/>
      </w:pPr>
      <w:r>
        <w:rPr>
          <w:rFonts w:hint="eastAsia"/>
        </w:rPr>
        <w:t>a) 承担防洪、供水、排涝、灌溉等重要保障任务的工程；</w:t>
      </w:r>
    </w:p>
    <w:p w14:paraId="3BF98871">
      <w:pPr>
        <w:pStyle w:val="56"/>
        <w:spacing w:line="360" w:lineRule="auto"/>
        <w:ind w:firstLine="420"/>
      </w:pPr>
      <w:r>
        <w:rPr>
          <w:rFonts w:hint="eastAsia"/>
        </w:rPr>
        <w:t>b) 服务人口较多、影响范围较大或涉及重要基础设施的工程；</w:t>
      </w:r>
    </w:p>
    <w:p w14:paraId="27B41BA2">
      <w:pPr>
        <w:pStyle w:val="56"/>
        <w:spacing w:line="360" w:lineRule="auto"/>
        <w:ind w:firstLine="420"/>
      </w:pPr>
      <w:r>
        <w:rPr>
          <w:rFonts w:hint="eastAsia"/>
        </w:rPr>
        <w:t>c) 处于高水位、高负荷、汛期、冰冻期或其他特殊运行状态的工程；</w:t>
      </w:r>
    </w:p>
    <w:p w14:paraId="41328833">
      <w:pPr>
        <w:pStyle w:val="56"/>
        <w:spacing w:line="360" w:lineRule="auto"/>
        <w:ind w:firstLine="420"/>
      </w:pPr>
      <w:r>
        <w:rPr>
          <w:rFonts w:hint="eastAsia"/>
        </w:rPr>
        <w:t>d) 存在病险隐患、老化损坏、渗漏变形、设备故障或历史险情记录的工程；</w:t>
      </w:r>
    </w:p>
    <w:p w14:paraId="74DC643B">
      <w:pPr>
        <w:pStyle w:val="56"/>
        <w:spacing w:line="360" w:lineRule="auto"/>
        <w:ind w:firstLine="420"/>
      </w:pPr>
      <w:r>
        <w:rPr>
          <w:rFonts w:hint="eastAsia"/>
        </w:rPr>
        <w:t>e) 堤防险工险段、穿堤建筑物、老旧泵闸、重要渠系节点和重要水源工程；</w:t>
      </w:r>
    </w:p>
    <w:p w14:paraId="3F4AC716">
      <w:pPr>
        <w:pStyle w:val="56"/>
        <w:spacing w:line="360" w:lineRule="auto"/>
        <w:ind w:firstLine="420"/>
      </w:pPr>
      <w:r>
        <w:rPr>
          <w:rFonts w:hint="eastAsia"/>
        </w:rPr>
        <w:t>f) 监督检查、评价考核或上级管理要求重点关注的工程。</w:t>
      </w:r>
    </w:p>
    <w:p w14:paraId="370F3732">
      <w:pPr>
        <w:pStyle w:val="165"/>
        <w:spacing w:line="360" w:lineRule="auto"/>
      </w:pPr>
      <w:r>
        <w:rPr>
          <w:rFonts w:hint="eastAsia"/>
        </w:rPr>
        <w:t>常规管护对象应按规定巡查频次、养护要求和记录要求开展管护。</w:t>
      </w:r>
    </w:p>
    <w:p w14:paraId="7519CA06">
      <w:pPr>
        <w:pStyle w:val="165"/>
        <w:spacing w:line="360" w:lineRule="auto"/>
      </w:pPr>
      <w:r>
        <w:rPr>
          <w:rFonts w:hint="eastAsia"/>
        </w:rPr>
        <w:t>一般管护对象应保持基础巡查、定期维护和资料更新。</w:t>
      </w:r>
    </w:p>
    <w:p w14:paraId="315D0163">
      <w:pPr>
        <w:pStyle w:val="165"/>
        <w:spacing w:line="360" w:lineRule="auto"/>
      </w:pPr>
      <w:r>
        <w:rPr>
          <w:rFonts w:hint="eastAsia"/>
        </w:rPr>
        <w:t>管护等级应动态调整。工程运行条件、风险状态、服务对象或隐患情况发生变化时，应及时调整管护等级。</w:t>
      </w:r>
    </w:p>
    <w:p w14:paraId="37BB31C1">
      <w:pPr>
        <w:pStyle w:val="105"/>
        <w:spacing w:before="120" w:after="120" w:line="360" w:lineRule="auto"/>
      </w:pPr>
      <w:r>
        <w:rPr>
          <w:rFonts w:hint="eastAsia"/>
        </w:rPr>
        <w:t>管护频次</w:t>
      </w:r>
    </w:p>
    <w:p w14:paraId="3055313A">
      <w:pPr>
        <w:pStyle w:val="165"/>
        <w:spacing w:line="360" w:lineRule="auto"/>
      </w:pPr>
      <w:r>
        <w:rPr>
          <w:rFonts w:hint="eastAsia"/>
        </w:rPr>
        <w:t>管护频次应根据工程类型、管护等级、季节特点、运行状态和风险变化确定。</w:t>
      </w:r>
    </w:p>
    <w:p w14:paraId="0BF6D2AA">
      <w:pPr>
        <w:pStyle w:val="165"/>
        <w:spacing w:line="360" w:lineRule="auto"/>
      </w:pPr>
      <w:r>
        <w:rPr>
          <w:rFonts w:hint="eastAsia"/>
        </w:rPr>
        <w:t>汛期、强降雨、冰冻期、供水高峰期、灌溉高峰期和应急响应期间，应提高巡查和监视频次。</w:t>
      </w:r>
    </w:p>
    <w:p w14:paraId="6F294273">
      <w:pPr>
        <w:pStyle w:val="165"/>
        <w:spacing w:line="360" w:lineRule="auto"/>
      </w:pPr>
      <w:r>
        <w:rPr>
          <w:rFonts w:hint="eastAsia"/>
        </w:rPr>
        <w:t>重点管护对象应增加现场巡查、监测核查和设备检查频次。</w:t>
      </w:r>
    </w:p>
    <w:p w14:paraId="6931DC6B">
      <w:pPr>
        <w:pStyle w:val="165"/>
        <w:spacing w:line="360" w:lineRule="auto"/>
      </w:pPr>
      <w:r>
        <w:rPr>
          <w:rFonts w:hint="eastAsia"/>
        </w:rPr>
        <w:t>巡查频次、检查内容和记录要求可参照附录A执行。</w:t>
      </w:r>
    </w:p>
    <w:p w14:paraId="4A7905A4">
      <w:pPr>
        <w:pStyle w:val="165"/>
        <w:spacing w:line="360" w:lineRule="auto"/>
      </w:pPr>
      <w:r>
        <w:rPr>
          <w:rFonts w:hint="eastAsia"/>
        </w:rPr>
        <w:t>管护频次调整应记录调整原因、调整时间、责任人员和执行要求。</w:t>
      </w:r>
    </w:p>
    <w:p w14:paraId="18F0B333">
      <w:pPr>
        <w:pStyle w:val="104"/>
        <w:spacing w:before="240" w:after="240" w:line="360" w:lineRule="auto"/>
      </w:pPr>
      <w:bookmarkStart w:id="54" w:name="_Toc228605140"/>
      <w:r>
        <w:rPr>
          <w:rFonts w:hint="eastAsia"/>
        </w:rPr>
        <w:t>智能监测感知</w:t>
      </w:r>
      <w:bookmarkEnd w:id="54"/>
    </w:p>
    <w:p w14:paraId="13DE31EF">
      <w:pPr>
        <w:pStyle w:val="105"/>
        <w:spacing w:before="120" w:after="120" w:line="360" w:lineRule="auto"/>
      </w:pPr>
      <w:r>
        <w:rPr>
          <w:rFonts w:hint="eastAsia"/>
        </w:rPr>
        <w:t>一般要求</w:t>
      </w:r>
    </w:p>
    <w:p w14:paraId="6114729A">
      <w:pPr>
        <w:pStyle w:val="165"/>
        <w:spacing w:line="360" w:lineRule="auto"/>
      </w:pPr>
      <w:r>
        <w:rPr>
          <w:rFonts w:hint="eastAsia"/>
        </w:rPr>
        <w:t>中小型水利工程智能监测感知应根据工程类型、风险等级、运行需求和管理条件合理配置。</w:t>
      </w:r>
    </w:p>
    <w:p w14:paraId="2D1BDA7E">
      <w:pPr>
        <w:pStyle w:val="165"/>
        <w:spacing w:line="360" w:lineRule="auto"/>
      </w:pPr>
      <w:r>
        <w:rPr>
          <w:rFonts w:hint="eastAsia"/>
        </w:rPr>
        <w:t>智能监测感知应覆盖水位、雨量、流量、闸门开度、泵机状态、设备运行、视频图像、渗流变形、供电通信和环境状态等必要内容。</w:t>
      </w:r>
    </w:p>
    <w:p w14:paraId="4A85A57E">
      <w:pPr>
        <w:pStyle w:val="165"/>
        <w:spacing w:line="360" w:lineRule="auto"/>
      </w:pPr>
      <w:r>
        <w:rPr>
          <w:rFonts w:hint="eastAsia"/>
        </w:rPr>
        <w:t>监测感知设备应布设在工程关键部位、风险部位、运行控制部位和管理薄弱部位。</w:t>
      </w:r>
    </w:p>
    <w:p w14:paraId="769C98A4">
      <w:pPr>
        <w:pStyle w:val="165"/>
        <w:spacing w:line="360" w:lineRule="auto"/>
      </w:pPr>
      <w:r>
        <w:rPr>
          <w:rFonts w:hint="eastAsia"/>
        </w:rPr>
        <w:t>监测感知设备应具备数据采集、传输、存储、异常提示和状态自检能力。</w:t>
      </w:r>
    </w:p>
    <w:p w14:paraId="2EF43ED1">
      <w:pPr>
        <w:pStyle w:val="165"/>
        <w:spacing w:line="360" w:lineRule="auto"/>
      </w:pPr>
      <w:r>
        <w:rPr>
          <w:rFonts w:hint="eastAsia"/>
        </w:rPr>
        <w:t>监测感知数据不得未经校核直接作为重大处置、风险预警和考核评价的唯一依据。</w:t>
      </w:r>
    </w:p>
    <w:p w14:paraId="7A9578B3">
      <w:pPr>
        <w:pStyle w:val="105"/>
        <w:spacing w:before="120" w:after="120" w:line="360" w:lineRule="auto"/>
      </w:pPr>
      <w:r>
        <w:rPr>
          <w:rFonts w:hint="eastAsia"/>
        </w:rPr>
        <w:t>水情与雨情监测</w:t>
      </w:r>
    </w:p>
    <w:p w14:paraId="01121C5C">
      <w:pPr>
        <w:pStyle w:val="165"/>
        <w:spacing w:line="360" w:lineRule="auto"/>
      </w:pPr>
      <w:r>
        <w:rPr>
          <w:rFonts w:hint="eastAsia"/>
        </w:rPr>
        <w:t>水库、塘坝、河道控制断面、渠首、泵站进出水口、重要涵闸和供水节点宜设置水位监测设施。</w:t>
      </w:r>
    </w:p>
    <w:p w14:paraId="7BAFF602">
      <w:pPr>
        <w:pStyle w:val="165"/>
        <w:spacing w:line="360" w:lineRule="auto"/>
      </w:pPr>
      <w:r>
        <w:rPr>
          <w:rFonts w:hint="eastAsia"/>
        </w:rPr>
        <w:t>承担防洪排涝任务的工程宜设置雨量监测或接入周边雨量数据。</w:t>
      </w:r>
    </w:p>
    <w:p w14:paraId="7995DCC6">
      <w:pPr>
        <w:pStyle w:val="165"/>
        <w:spacing w:line="360" w:lineRule="auto"/>
      </w:pPr>
      <w:r>
        <w:rPr>
          <w:rFonts w:hint="eastAsia"/>
        </w:rPr>
        <w:t>灌排渠系和供水工程宜根据管理需要设置流量、压力或水量监测设施。</w:t>
      </w:r>
    </w:p>
    <w:p w14:paraId="0B10DA9F">
      <w:pPr>
        <w:pStyle w:val="165"/>
        <w:spacing w:line="360" w:lineRule="auto"/>
      </w:pPr>
      <w:r>
        <w:rPr>
          <w:rFonts w:hint="eastAsia"/>
        </w:rPr>
        <w:t>水情雨情数据应记录采集时间、测点编号、数据值、计量单位、设备状态和数据质量标识。</w:t>
      </w:r>
    </w:p>
    <w:p w14:paraId="289561B9">
      <w:pPr>
        <w:pStyle w:val="165"/>
        <w:spacing w:line="360" w:lineRule="auto"/>
      </w:pPr>
      <w:r>
        <w:rPr>
          <w:rFonts w:hint="eastAsia"/>
        </w:rPr>
        <w:t>水位、雨量、流量数据出现突变、缺测、持续不变或超阈值时，应触发核查流程。</w:t>
      </w:r>
    </w:p>
    <w:p w14:paraId="03870DE8">
      <w:pPr>
        <w:pStyle w:val="105"/>
        <w:spacing w:before="120" w:after="120" w:line="360" w:lineRule="auto"/>
      </w:pPr>
      <w:r>
        <w:rPr>
          <w:rFonts w:hint="eastAsia"/>
        </w:rPr>
        <w:t>工程安全监测</w:t>
      </w:r>
    </w:p>
    <w:p w14:paraId="3304FC0A">
      <w:pPr>
        <w:pStyle w:val="165"/>
        <w:spacing w:line="360" w:lineRule="auto"/>
      </w:pPr>
      <w:r>
        <w:rPr>
          <w:rFonts w:hint="eastAsia"/>
        </w:rPr>
        <w:t>重点管护水库、塘坝、堤防和重要水工建筑物宜设置渗流、变形、位移、沉降、裂缝或其他安全监测设施。</w:t>
      </w:r>
    </w:p>
    <w:p w14:paraId="4EE082E4">
      <w:pPr>
        <w:pStyle w:val="165"/>
        <w:spacing w:line="360" w:lineRule="auto"/>
      </w:pPr>
      <w:r>
        <w:rPr>
          <w:rFonts w:hint="eastAsia"/>
        </w:rPr>
        <w:t>工程安全监测项目应与工程类型、风险特征和管理要求相适应。</w:t>
      </w:r>
    </w:p>
    <w:p w14:paraId="22CAEF85">
      <w:pPr>
        <w:pStyle w:val="165"/>
        <w:spacing w:line="360" w:lineRule="auto"/>
      </w:pPr>
      <w:r>
        <w:rPr>
          <w:rFonts w:hint="eastAsia"/>
        </w:rPr>
        <w:t>监测点位应设置统一编号，并应与工程部位、空间位置和监测项目关联。</w:t>
      </w:r>
    </w:p>
    <w:p w14:paraId="435B19EB">
      <w:pPr>
        <w:pStyle w:val="165"/>
        <w:spacing w:line="360" w:lineRule="auto"/>
      </w:pPr>
      <w:r>
        <w:rPr>
          <w:rFonts w:hint="eastAsia"/>
        </w:rPr>
        <w:t>工程安全监测数据异常时，应进行现场核查。涉及结构安全的，应及时报告并采取临时控制措施。</w:t>
      </w:r>
    </w:p>
    <w:p w14:paraId="67A84753">
      <w:pPr>
        <w:pStyle w:val="165"/>
        <w:spacing w:line="360" w:lineRule="auto"/>
      </w:pPr>
      <w:r>
        <w:rPr>
          <w:rFonts w:hint="eastAsia"/>
        </w:rPr>
        <w:t>工程安全监测设备应定期维护、校验和状态检查。</w:t>
      </w:r>
    </w:p>
    <w:p w14:paraId="4E895183">
      <w:pPr>
        <w:pStyle w:val="105"/>
        <w:spacing w:before="120" w:after="120" w:line="360" w:lineRule="auto"/>
      </w:pPr>
      <w:r>
        <w:rPr>
          <w:rFonts w:hint="eastAsia"/>
        </w:rPr>
        <w:t>设备运行监测</w:t>
      </w:r>
    </w:p>
    <w:p w14:paraId="41E09499">
      <w:pPr>
        <w:pStyle w:val="165"/>
        <w:spacing w:line="360" w:lineRule="auto"/>
      </w:pPr>
      <w:r>
        <w:rPr>
          <w:rFonts w:hint="eastAsia"/>
        </w:rPr>
        <w:t>泵站、水闸、农村供水工程和自动化控制工程应对关键设备运行状态进行监测。</w:t>
      </w:r>
    </w:p>
    <w:p w14:paraId="39FC375F">
      <w:pPr>
        <w:pStyle w:val="165"/>
        <w:spacing w:line="360" w:lineRule="auto"/>
      </w:pPr>
      <w:r>
        <w:rPr>
          <w:rFonts w:hint="eastAsia"/>
        </w:rPr>
        <w:t>设备运行监测宜包括启停状态、运行时长、电流电压、温度、振动、故障报警、闸门开度、阀门状态和通信状态等内容。</w:t>
      </w:r>
    </w:p>
    <w:p w14:paraId="3D420218">
      <w:pPr>
        <w:pStyle w:val="165"/>
        <w:spacing w:line="360" w:lineRule="auto"/>
      </w:pPr>
      <w:r>
        <w:rPr>
          <w:rFonts w:hint="eastAsia"/>
        </w:rPr>
        <w:t>关键设备运行数据应与设备台账、维修记录和运行记录关联。</w:t>
      </w:r>
    </w:p>
    <w:p w14:paraId="30E297D1">
      <w:pPr>
        <w:pStyle w:val="165"/>
        <w:spacing w:line="360" w:lineRule="auto"/>
      </w:pPr>
      <w:r>
        <w:rPr>
          <w:rFonts w:hint="eastAsia"/>
        </w:rPr>
        <w:t>设备运行异常时，应生成异常提示或工单，并应及时派发至责任人员。</w:t>
      </w:r>
    </w:p>
    <w:p w14:paraId="59918630">
      <w:pPr>
        <w:pStyle w:val="165"/>
        <w:spacing w:line="360" w:lineRule="auto"/>
      </w:pPr>
      <w:r>
        <w:rPr>
          <w:rFonts w:hint="eastAsia"/>
        </w:rPr>
        <w:t>设备长期离线、报警失效或数据异常的，应纳入设备维护计划。</w:t>
      </w:r>
    </w:p>
    <w:p w14:paraId="2BEBFF88">
      <w:pPr>
        <w:pStyle w:val="105"/>
        <w:spacing w:before="120" w:after="120" w:line="360" w:lineRule="auto"/>
      </w:pPr>
      <w:r>
        <w:rPr>
          <w:rFonts w:hint="eastAsia"/>
        </w:rPr>
        <w:t>视频监控与图像识别</w:t>
      </w:r>
    </w:p>
    <w:p w14:paraId="5996554E">
      <w:pPr>
        <w:pStyle w:val="165"/>
        <w:spacing w:line="360" w:lineRule="auto"/>
      </w:pPr>
      <w:r>
        <w:rPr>
          <w:rFonts w:hint="eastAsia"/>
        </w:rPr>
        <w:t>重要泵闸站区、坝体关键部位、渠首、取水口、排水口、物资仓库和易发生人为破坏区域宜设置视频监控。</w:t>
      </w:r>
    </w:p>
    <w:p w14:paraId="572964AC">
      <w:pPr>
        <w:pStyle w:val="165"/>
        <w:spacing w:line="360" w:lineRule="auto"/>
      </w:pPr>
      <w:r>
        <w:rPr>
          <w:rFonts w:hint="eastAsia"/>
        </w:rPr>
        <w:t>视频监控应满足现场状态查看、异常回溯、巡查辅助和应急处置需要。</w:t>
      </w:r>
    </w:p>
    <w:p w14:paraId="507F4B71">
      <w:pPr>
        <w:pStyle w:val="165"/>
        <w:spacing w:line="360" w:lineRule="auto"/>
      </w:pPr>
      <w:r>
        <w:rPr>
          <w:rFonts w:hint="eastAsia"/>
        </w:rPr>
        <w:t>视频点位应标明名称、编号、位置、覆盖范围、责任单位和维护人员。</w:t>
      </w:r>
    </w:p>
    <w:p w14:paraId="046EC297">
      <w:pPr>
        <w:pStyle w:val="165"/>
        <w:spacing w:line="360" w:lineRule="auto"/>
      </w:pPr>
      <w:r>
        <w:rPr>
          <w:rFonts w:hint="eastAsia"/>
        </w:rPr>
        <w:t>具备条件的，可采用图像识别技术辅助识别水位异常、漂浮物堵塞、人员闯入、设备异常和渠道淤堵等问题。</w:t>
      </w:r>
    </w:p>
    <w:p w14:paraId="330D6AC2">
      <w:pPr>
        <w:pStyle w:val="165"/>
        <w:spacing w:line="360" w:lineRule="auto"/>
      </w:pPr>
      <w:r>
        <w:rPr>
          <w:rFonts w:hint="eastAsia"/>
        </w:rPr>
        <w:t>图像识别结果应经人工核实后用于工单派发、隐患处置和评价统计。</w:t>
      </w:r>
    </w:p>
    <w:p w14:paraId="45FAA187">
      <w:pPr>
        <w:pStyle w:val="105"/>
        <w:spacing w:before="120" w:after="120" w:line="360" w:lineRule="auto"/>
      </w:pPr>
      <w:r>
        <w:rPr>
          <w:rFonts w:hint="eastAsia"/>
        </w:rPr>
        <w:t>监测设备管理</w:t>
      </w:r>
    </w:p>
    <w:p w14:paraId="7909DA2F">
      <w:pPr>
        <w:pStyle w:val="165"/>
        <w:spacing w:line="360" w:lineRule="auto"/>
      </w:pPr>
      <w:r>
        <w:rPr>
          <w:rFonts w:hint="eastAsia"/>
        </w:rPr>
        <w:t>工程管理单位应建立监测设备台账。</w:t>
      </w:r>
    </w:p>
    <w:p w14:paraId="5EC3E925">
      <w:pPr>
        <w:pStyle w:val="165"/>
        <w:spacing w:line="360" w:lineRule="auto"/>
      </w:pPr>
      <w:r>
        <w:rPr>
          <w:rFonts w:hint="eastAsia"/>
        </w:rPr>
        <w:t>监测设备台账应包括设备名称、编号、型号、安装位置、测点编号、生产厂家、安装时间、维护周期、校验状态和责任人员。</w:t>
      </w:r>
    </w:p>
    <w:p w14:paraId="0D7B9F41">
      <w:pPr>
        <w:pStyle w:val="165"/>
        <w:spacing w:line="360" w:lineRule="auto"/>
      </w:pPr>
      <w:r>
        <w:rPr>
          <w:rFonts w:hint="eastAsia"/>
        </w:rPr>
        <w:t>监测设备应定期巡检和维护。发现损坏、离线、漂移、误报、漏报或供电异常的，应及时处置。</w:t>
      </w:r>
    </w:p>
    <w:p w14:paraId="436A3CC7">
      <w:pPr>
        <w:pStyle w:val="165"/>
        <w:spacing w:line="360" w:lineRule="auto"/>
      </w:pPr>
      <w:r>
        <w:rPr>
          <w:rFonts w:hint="eastAsia"/>
        </w:rPr>
        <w:t>监测设备更换、迁移、停用或参数调整时，应记录原因、时间、责任人员和影响范围。</w:t>
      </w:r>
    </w:p>
    <w:p w14:paraId="37CD023E">
      <w:pPr>
        <w:pStyle w:val="165"/>
        <w:spacing w:line="360" w:lineRule="auto"/>
      </w:pPr>
      <w:r>
        <w:rPr>
          <w:rFonts w:hint="eastAsia"/>
        </w:rPr>
        <w:t>监测设备不得长期处于无人维护、无数据校核和无故障处置状态。</w:t>
      </w:r>
    </w:p>
    <w:p w14:paraId="70516E27">
      <w:pPr>
        <w:pStyle w:val="56"/>
        <w:ind w:firstLine="420"/>
      </w:pPr>
    </w:p>
    <w:p w14:paraId="0C6D1726">
      <w:pPr>
        <w:pStyle w:val="56"/>
        <w:ind w:firstLine="420"/>
      </w:pPr>
    </w:p>
    <w:p w14:paraId="27D19FA0">
      <w:pPr>
        <w:pStyle w:val="56"/>
        <w:ind w:firstLine="420"/>
        <w:rPr>
          <w:rFonts w:hint="eastAsia"/>
        </w:rPr>
      </w:pPr>
    </w:p>
    <w:p w14:paraId="66A5FE74">
      <w:pPr>
        <w:pStyle w:val="56"/>
        <w:ind w:firstLine="420"/>
        <w:rPr>
          <w:rFonts w:hint="eastAsia"/>
        </w:rPr>
      </w:pPr>
    </w:p>
    <w:p w14:paraId="181D6DF8">
      <w:pPr>
        <w:pStyle w:val="104"/>
        <w:spacing w:before="240" w:after="240" w:line="360" w:lineRule="auto"/>
      </w:pPr>
      <w:bookmarkStart w:id="55" w:name="_Toc228605141"/>
      <w:r>
        <w:rPr>
          <w:rFonts w:hint="eastAsia"/>
        </w:rPr>
        <w:t>巡查检查</w:t>
      </w:r>
      <w:bookmarkEnd w:id="55"/>
    </w:p>
    <w:p w14:paraId="18D4CF4F">
      <w:pPr>
        <w:pStyle w:val="105"/>
        <w:spacing w:before="120" w:after="120" w:line="360" w:lineRule="auto"/>
      </w:pPr>
      <w:r>
        <w:rPr>
          <w:rFonts w:hint="eastAsia"/>
        </w:rPr>
        <w:t>一般要求</w:t>
      </w:r>
    </w:p>
    <w:p w14:paraId="28F52463">
      <w:pPr>
        <w:pStyle w:val="165"/>
        <w:spacing w:line="360" w:lineRule="auto"/>
      </w:pPr>
      <w:r>
        <w:rPr>
          <w:rFonts w:hint="eastAsia"/>
        </w:rPr>
        <w:t>中小型水利工程应建立巡查检查制度，明确巡查对象、巡查内容、巡查路线、巡查频次、记录方式和问题处置要求。</w:t>
      </w:r>
    </w:p>
    <w:p w14:paraId="0C0B9802">
      <w:pPr>
        <w:pStyle w:val="165"/>
        <w:spacing w:line="360" w:lineRule="auto"/>
      </w:pPr>
      <w:r>
        <w:rPr>
          <w:rFonts w:hint="eastAsia"/>
        </w:rPr>
        <w:t>巡查检查应采用人工现场巡查与智能监测相结合的方式。</w:t>
      </w:r>
    </w:p>
    <w:p w14:paraId="4AAF8296">
      <w:pPr>
        <w:pStyle w:val="165"/>
        <w:spacing w:line="360" w:lineRule="auto"/>
      </w:pPr>
      <w:r>
        <w:rPr>
          <w:rFonts w:hint="eastAsia"/>
        </w:rPr>
        <w:t>移动巡检宜作为巡查检查主要记录方式，确因条件限制不能使用移动终端的，应采用统一纸质记录并及时录入平台。</w:t>
      </w:r>
    </w:p>
    <w:p w14:paraId="6A8180CC">
      <w:pPr>
        <w:pStyle w:val="165"/>
        <w:spacing w:line="360" w:lineRule="auto"/>
      </w:pPr>
      <w:r>
        <w:rPr>
          <w:rFonts w:hint="eastAsia"/>
        </w:rPr>
        <w:t>巡查检查应覆盖工程建筑物、设备设施、管理范围、保护范围、监测设施、运行状态和周边影响因素。</w:t>
      </w:r>
    </w:p>
    <w:p w14:paraId="2C0B8124">
      <w:pPr>
        <w:pStyle w:val="165"/>
        <w:spacing w:line="360" w:lineRule="auto"/>
      </w:pPr>
      <w:r>
        <w:rPr>
          <w:rFonts w:hint="eastAsia"/>
        </w:rPr>
        <w:t>巡查检查不得流于形式，不得以监测数据正常替代必要现场巡查。</w:t>
      </w:r>
    </w:p>
    <w:p w14:paraId="781EB9FB">
      <w:pPr>
        <w:pStyle w:val="105"/>
        <w:spacing w:before="120" w:after="120" w:line="360" w:lineRule="auto"/>
      </w:pPr>
      <w:r>
        <w:rPr>
          <w:rFonts w:hint="eastAsia"/>
        </w:rPr>
        <w:t>巡查计划</w:t>
      </w:r>
    </w:p>
    <w:p w14:paraId="0333AC4D">
      <w:pPr>
        <w:pStyle w:val="165"/>
        <w:spacing w:line="360" w:lineRule="auto"/>
      </w:pPr>
      <w:r>
        <w:rPr>
          <w:rFonts w:hint="eastAsia"/>
        </w:rPr>
        <w:t>工程管理单位应制定年度、季度、月度或专项巡查计划。</w:t>
      </w:r>
    </w:p>
    <w:p w14:paraId="0BAD49C1">
      <w:pPr>
        <w:pStyle w:val="165"/>
        <w:spacing w:line="360" w:lineRule="auto"/>
      </w:pPr>
      <w:r>
        <w:rPr>
          <w:rFonts w:hint="eastAsia"/>
        </w:rPr>
        <w:t>巡查计划应明确巡查对象、巡查路线、巡查人员、巡查时间、巡查频次和重点检查内容。</w:t>
      </w:r>
    </w:p>
    <w:p w14:paraId="383701DF">
      <w:pPr>
        <w:pStyle w:val="165"/>
        <w:spacing w:line="360" w:lineRule="auto"/>
      </w:pPr>
      <w:r>
        <w:rPr>
          <w:rFonts w:hint="eastAsia"/>
        </w:rPr>
        <w:t>汛期、灌溉高峰期、供水高峰期、强降雨、冰冻期、地震后、工程维修后和设备故障后，应制定专项巡查安排。</w:t>
      </w:r>
    </w:p>
    <w:p w14:paraId="57B331D9">
      <w:pPr>
        <w:pStyle w:val="165"/>
        <w:spacing w:line="360" w:lineRule="auto"/>
      </w:pPr>
      <w:r>
        <w:rPr>
          <w:rFonts w:hint="eastAsia"/>
        </w:rPr>
        <w:t>巡查计划调整时，应记录调整原因和批准人员。</w:t>
      </w:r>
    </w:p>
    <w:p w14:paraId="6E57216D">
      <w:pPr>
        <w:pStyle w:val="165"/>
        <w:spacing w:line="360" w:lineRule="auto"/>
      </w:pPr>
      <w:r>
        <w:rPr>
          <w:rFonts w:hint="eastAsia"/>
        </w:rPr>
        <w:t>巡查计划应录入智能管护平台，并应根据计划自动生成巡查任务。</w:t>
      </w:r>
    </w:p>
    <w:p w14:paraId="63E11819">
      <w:pPr>
        <w:pStyle w:val="105"/>
        <w:spacing w:before="120" w:after="120" w:line="360" w:lineRule="auto"/>
      </w:pPr>
      <w:r>
        <w:rPr>
          <w:rFonts w:hint="eastAsia"/>
        </w:rPr>
        <w:t>巡查内容</w:t>
      </w:r>
    </w:p>
    <w:p w14:paraId="6B7D0569">
      <w:pPr>
        <w:pStyle w:val="165"/>
        <w:spacing w:line="360" w:lineRule="auto"/>
      </w:pPr>
      <w:r>
        <w:rPr>
          <w:rFonts w:hint="eastAsia"/>
        </w:rPr>
        <w:t>水库、塘坝巡查应检查坝体、坝坡、坝顶、溢洪道、输泄水建筑物、库岸、渗漏、裂缝、沉陷、滑坡、白蚁危害、漂浮物和管理范围。</w:t>
      </w:r>
    </w:p>
    <w:p w14:paraId="21D4291E">
      <w:pPr>
        <w:pStyle w:val="165"/>
        <w:spacing w:line="360" w:lineRule="auto"/>
      </w:pPr>
      <w:r>
        <w:rPr>
          <w:rFonts w:hint="eastAsia"/>
        </w:rPr>
        <w:t>水闸巡查应检查闸门、启闭机、闸室、上下游连接段、消力池、护坦、闸基渗流、电气控制系统和安全防护设施。</w:t>
      </w:r>
    </w:p>
    <w:p w14:paraId="49C18B77">
      <w:pPr>
        <w:pStyle w:val="165"/>
        <w:spacing w:line="360" w:lineRule="auto"/>
      </w:pPr>
      <w:r>
        <w:rPr>
          <w:rFonts w:hint="eastAsia"/>
        </w:rPr>
        <w:t>泵站巡查应检查泵机、电机、阀门、进出水池、拦污栅、供配电系统、控制系统、备用电源、排水系统和消防设施。</w:t>
      </w:r>
    </w:p>
    <w:p w14:paraId="04DE190D">
      <w:pPr>
        <w:pStyle w:val="165"/>
        <w:spacing w:line="360" w:lineRule="auto"/>
      </w:pPr>
      <w:r>
        <w:rPr>
          <w:rFonts w:hint="eastAsia"/>
        </w:rPr>
        <w:t>堤防巡查应检查堤顶、堤坡、堤脚、穿堤建筑物、背水侧低洼区、渗漏、管涌、裂缝、塌陷、滑坡和人为活动影响。</w:t>
      </w:r>
    </w:p>
    <w:p w14:paraId="0E0103C8">
      <w:pPr>
        <w:pStyle w:val="165"/>
        <w:spacing w:line="360" w:lineRule="auto"/>
      </w:pPr>
      <w:r>
        <w:rPr>
          <w:rFonts w:hint="eastAsia"/>
        </w:rPr>
        <w:t>灌排渠系巡查应检查渠堤、渠道衬砌、节制闸、分水口、涵洞、渡槽、倒虹吸、淤积、堵塞、渗漏、坍塌和非法取水排水行为。</w:t>
      </w:r>
    </w:p>
    <w:p w14:paraId="49002DD4">
      <w:pPr>
        <w:pStyle w:val="165"/>
        <w:spacing w:line="360" w:lineRule="auto"/>
      </w:pPr>
      <w:r>
        <w:rPr>
          <w:rFonts w:hint="eastAsia"/>
        </w:rPr>
        <w:t>农村供水工程巡查应检查水源地、取水设施、水处理设施、消毒设施、泵站、管网、蓄水设施、水质监测点和安全防护区域。</w:t>
      </w:r>
    </w:p>
    <w:p w14:paraId="7F8E5D99">
      <w:pPr>
        <w:pStyle w:val="165"/>
        <w:numPr>
          <w:ilvl w:val="0"/>
          <w:numId w:val="0"/>
        </w:numPr>
        <w:spacing w:line="360" w:lineRule="auto"/>
        <w:rPr>
          <w:rFonts w:hint="eastAsia"/>
        </w:rPr>
      </w:pPr>
    </w:p>
    <w:p w14:paraId="1D089731">
      <w:pPr>
        <w:pStyle w:val="105"/>
        <w:spacing w:before="120" w:after="120" w:line="360" w:lineRule="auto"/>
      </w:pPr>
      <w:r>
        <w:rPr>
          <w:rFonts w:hint="eastAsia"/>
        </w:rPr>
        <w:t>移动巡检</w:t>
      </w:r>
    </w:p>
    <w:p w14:paraId="3B5FB3BF">
      <w:pPr>
        <w:pStyle w:val="165"/>
        <w:spacing w:line="360" w:lineRule="auto"/>
      </w:pPr>
      <w:r>
        <w:rPr>
          <w:rFonts w:hint="eastAsia"/>
        </w:rPr>
        <w:t>移动巡检应记录巡查人员、巡查时间、巡查位置、巡查对象、检查内容、发现问题、现场照片或视频和处理建议。</w:t>
      </w:r>
    </w:p>
    <w:p w14:paraId="6FACADAD">
      <w:pPr>
        <w:pStyle w:val="165"/>
        <w:spacing w:line="360" w:lineRule="auto"/>
      </w:pPr>
      <w:r>
        <w:rPr>
          <w:rFonts w:hint="eastAsia"/>
        </w:rPr>
        <w:t>移动巡检应具备定位、拍照、问题上报、离线记录、任务反馈和数据上传功能。</w:t>
      </w:r>
    </w:p>
    <w:p w14:paraId="7AAE097C">
      <w:pPr>
        <w:pStyle w:val="165"/>
        <w:spacing w:line="360" w:lineRule="auto"/>
      </w:pPr>
      <w:r>
        <w:rPr>
          <w:rFonts w:hint="eastAsia"/>
        </w:rPr>
        <w:t>巡查人员应在现场完成记录，不得事后集中补填虚假定位和虚假照片。</w:t>
      </w:r>
    </w:p>
    <w:p w14:paraId="2DA3E7A7">
      <w:pPr>
        <w:pStyle w:val="165"/>
        <w:spacing w:line="360" w:lineRule="auto"/>
      </w:pPr>
      <w:r>
        <w:rPr>
          <w:rFonts w:hint="eastAsia"/>
        </w:rPr>
        <w:t>对重点部位和隐患点位，应设置必检点、拍照点或电子围栏。</w:t>
      </w:r>
    </w:p>
    <w:p w14:paraId="47444411">
      <w:pPr>
        <w:pStyle w:val="165"/>
        <w:spacing w:line="360" w:lineRule="auto"/>
      </w:pPr>
      <w:r>
        <w:rPr>
          <w:rFonts w:hint="eastAsia"/>
        </w:rPr>
        <w:t>移动巡检数据上传失败时，应保留本地记录并在网络恢复后及时补传。</w:t>
      </w:r>
    </w:p>
    <w:p w14:paraId="4DF8EFBF">
      <w:pPr>
        <w:pStyle w:val="105"/>
        <w:spacing w:before="120" w:after="120" w:line="360" w:lineRule="auto"/>
      </w:pPr>
      <w:r>
        <w:rPr>
          <w:rFonts w:hint="eastAsia"/>
        </w:rPr>
        <w:t>巡查问题处置</w:t>
      </w:r>
    </w:p>
    <w:p w14:paraId="75A3C07A">
      <w:pPr>
        <w:pStyle w:val="165"/>
        <w:spacing w:line="360" w:lineRule="auto"/>
      </w:pPr>
      <w:r>
        <w:rPr>
          <w:rFonts w:hint="eastAsia"/>
        </w:rPr>
        <w:t>巡查发现问题应按一般问题、较大隐患、重大隐患或险情进行初步分类。</w:t>
      </w:r>
    </w:p>
    <w:p w14:paraId="1BA55842">
      <w:pPr>
        <w:pStyle w:val="165"/>
        <w:spacing w:line="360" w:lineRule="auto"/>
      </w:pPr>
      <w:r>
        <w:rPr>
          <w:rFonts w:hint="eastAsia"/>
        </w:rPr>
        <w:t>一般问题应及时记录并安排处理。</w:t>
      </w:r>
    </w:p>
    <w:p w14:paraId="3D72B0B3">
      <w:pPr>
        <w:pStyle w:val="165"/>
        <w:spacing w:line="360" w:lineRule="auto"/>
      </w:pPr>
      <w:r>
        <w:rPr>
          <w:rFonts w:hint="eastAsia"/>
        </w:rPr>
        <w:t>较大隐患应生成整改工单，明确责任单位、处置措施和完成时限。</w:t>
      </w:r>
    </w:p>
    <w:p w14:paraId="14EB3B8B">
      <w:pPr>
        <w:pStyle w:val="165"/>
        <w:spacing w:line="360" w:lineRule="auto"/>
      </w:pPr>
      <w:r>
        <w:rPr>
          <w:rFonts w:hint="eastAsia"/>
        </w:rPr>
        <w:t>重大隐患或险情应立即报告，并应启动现场控制或应急处置流程。</w:t>
      </w:r>
    </w:p>
    <w:p w14:paraId="0C4E8445">
      <w:pPr>
        <w:pStyle w:val="165"/>
        <w:spacing w:line="360" w:lineRule="auto"/>
      </w:pPr>
      <w:r>
        <w:rPr>
          <w:rFonts w:hint="eastAsia"/>
        </w:rPr>
        <w:t>巡查问题处理完成后，应进行复核。未复核确认的，不得关闭问题。</w:t>
      </w:r>
    </w:p>
    <w:p w14:paraId="50E68B76">
      <w:pPr>
        <w:pStyle w:val="104"/>
        <w:spacing w:before="240" w:after="240" w:line="360" w:lineRule="auto"/>
      </w:pPr>
      <w:bookmarkStart w:id="56" w:name="_Toc228605142"/>
      <w:r>
        <w:rPr>
          <w:rFonts w:hint="eastAsia"/>
        </w:rPr>
        <w:t>隐患识别与风险预警</w:t>
      </w:r>
      <w:bookmarkEnd w:id="56"/>
    </w:p>
    <w:p w14:paraId="7D888FF9">
      <w:pPr>
        <w:pStyle w:val="105"/>
        <w:spacing w:before="120" w:after="120" w:line="360" w:lineRule="auto"/>
      </w:pPr>
      <w:r>
        <w:rPr>
          <w:rFonts w:hint="eastAsia"/>
        </w:rPr>
        <w:t>一般要求</w:t>
      </w:r>
    </w:p>
    <w:p w14:paraId="04A01899">
      <w:pPr>
        <w:pStyle w:val="165"/>
        <w:spacing w:line="360" w:lineRule="auto"/>
      </w:pPr>
      <w:r>
        <w:rPr>
          <w:rFonts w:hint="eastAsia"/>
        </w:rPr>
        <w:t>中小型水利工程应建立隐患识别、风险分级、预警发布、处置反馈和复核关闭机制。</w:t>
      </w:r>
    </w:p>
    <w:p w14:paraId="7B31F30D">
      <w:pPr>
        <w:pStyle w:val="165"/>
        <w:spacing w:line="360" w:lineRule="auto"/>
      </w:pPr>
      <w:r>
        <w:rPr>
          <w:rFonts w:hint="eastAsia"/>
        </w:rPr>
        <w:t>隐患识别应结合监测数据、巡查记录、设备运行、维修历史、投诉反馈、极端天气和监督检查结果开展。</w:t>
      </w:r>
    </w:p>
    <w:p w14:paraId="0D9C5CB2">
      <w:pPr>
        <w:pStyle w:val="165"/>
        <w:spacing w:line="360" w:lineRule="auto"/>
      </w:pPr>
      <w:r>
        <w:rPr>
          <w:rFonts w:hint="eastAsia"/>
        </w:rPr>
        <w:t>风险预警应依据阈值规则、历史数据、现场状态和人工研判结果实施。</w:t>
      </w:r>
    </w:p>
    <w:p w14:paraId="1447B324">
      <w:pPr>
        <w:pStyle w:val="165"/>
        <w:spacing w:line="360" w:lineRule="auto"/>
      </w:pPr>
      <w:r>
        <w:rPr>
          <w:rFonts w:hint="eastAsia"/>
        </w:rPr>
        <w:t>预警信息应明确预警对象、预警等级、触发原因、处置要求、责任人员和反馈时限。</w:t>
      </w:r>
    </w:p>
    <w:p w14:paraId="0A8067B3">
      <w:pPr>
        <w:pStyle w:val="165"/>
        <w:spacing w:line="360" w:lineRule="auto"/>
      </w:pPr>
      <w:r>
        <w:rPr>
          <w:rFonts w:hint="eastAsia"/>
        </w:rPr>
        <w:t>预警不得只生成提示而无响应要求；预警处置应形成闭环记录。</w:t>
      </w:r>
    </w:p>
    <w:p w14:paraId="39B4999D">
      <w:pPr>
        <w:pStyle w:val="105"/>
        <w:spacing w:before="120" w:after="120" w:line="360" w:lineRule="auto"/>
      </w:pPr>
      <w:r>
        <w:rPr>
          <w:rFonts w:hint="eastAsia"/>
        </w:rPr>
        <w:t>隐患类型</w:t>
      </w:r>
    </w:p>
    <w:p w14:paraId="289FE176">
      <w:pPr>
        <w:pStyle w:val="165"/>
        <w:spacing w:line="360" w:lineRule="auto"/>
      </w:pPr>
      <w:r>
        <w:rPr>
          <w:rFonts w:hint="eastAsia"/>
        </w:rPr>
        <w:t>工程结构隐患应包括渗漏、裂缝、沉陷、滑坡、冲刷、坍塌、护坡损坏、结构变形和防护设施缺损等。</w:t>
      </w:r>
    </w:p>
    <w:p w14:paraId="4A284D08">
      <w:pPr>
        <w:pStyle w:val="165"/>
        <w:spacing w:line="360" w:lineRule="auto"/>
      </w:pPr>
      <w:r>
        <w:rPr>
          <w:rFonts w:hint="eastAsia"/>
        </w:rPr>
        <w:t>设备设施隐患应包括设备故障、启闭异常、泵机异常、配电故障、阀门失灵、通信中断、备用电源失效和监测设备失准等。</w:t>
      </w:r>
    </w:p>
    <w:p w14:paraId="715E4F81">
      <w:pPr>
        <w:pStyle w:val="165"/>
        <w:spacing w:line="360" w:lineRule="auto"/>
      </w:pPr>
      <w:r>
        <w:rPr>
          <w:rFonts w:hint="eastAsia"/>
        </w:rPr>
        <w:t>运行管理隐患应包括巡查不到位、记录缺失、工单超期、预警未响应、物资不足、人员缺岗和操作不规范等。</w:t>
      </w:r>
    </w:p>
    <w:p w14:paraId="57B6FB51">
      <w:pPr>
        <w:pStyle w:val="165"/>
        <w:spacing w:line="360" w:lineRule="auto"/>
      </w:pPr>
      <w:r>
        <w:rPr>
          <w:rFonts w:hint="eastAsia"/>
        </w:rPr>
        <w:t>外部环境隐患应包括违法占压、垃圾堆放、渠道堵塞、非法取水排水、施工扰动、污染源影响和通道受阻等。</w:t>
      </w:r>
    </w:p>
    <w:p w14:paraId="65C6C673">
      <w:pPr>
        <w:pStyle w:val="165"/>
        <w:spacing w:line="360" w:lineRule="auto"/>
      </w:pPr>
      <w:r>
        <w:rPr>
          <w:rFonts w:hint="eastAsia"/>
        </w:rPr>
        <w:t>应急保障隐患应包括抢险物资不足、通信联络失效、应急通道不畅、应急预案不适用和演练不足等。</w:t>
      </w:r>
    </w:p>
    <w:p w14:paraId="50192E70">
      <w:pPr>
        <w:pStyle w:val="105"/>
        <w:spacing w:before="120" w:after="120" w:line="360" w:lineRule="auto"/>
      </w:pPr>
      <w:r>
        <w:rPr>
          <w:rFonts w:hint="eastAsia"/>
        </w:rPr>
        <w:t>隐患分级</w:t>
      </w:r>
    </w:p>
    <w:p w14:paraId="2B6939A7">
      <w:pPr>
        <w:pStyle w:val="165"/>
        <w:spacing w:line="360" w:lineRule="auto"/>
      </w:pPr>
      <w:r>
        <w:rPr>
          <w:rFonts w:hint="eastAsia"/>
        </w:rPr>
        <w:t>隐患宜分为一般隐患、较大隐患和重大隐患。</w:t>
      </w:r>
    </w:p>
    <w:p w14:paraId="5E57A1A1">
      <w:pPr>
        <w:pStyle w:val="165"/>
        <w:spacing w:line="360" w:lineRule="auto"/>
      </w:pPr>
      <w:r>
        <w:rPr>
          <w:rFonts w:hint="eastAsia"/>
        </w:rPr>
        <w:t>一般隐患为短期内不直接危及工程安全或公共安全，但需要维修、养护或管理改进的问题。</w:t>
      </w:r>
    </w:p>
    <w:p w14:paraId="581525C6">
      <w:pPr>
        <w:pStyle w:val="165"/>
        <w:spacing w:line="360" w:lineRule="auto"/>
      </w:pPr>
      <w:r>
        <w:rPr>
          <w:rFonts w:hint="eastAsia"/>
        </w:rPr>
        <w:t>较大隐患为可能影响工程功能、设备运行、供水排涝能力或局部安全，需要限期整改和复核的问题。</w:t>
      </w:r>
    </w:p>
    <w:p w14:paraId="2A0EEC30">
      <w:pPr>
        <w:pStyle w:val="165"/>
        <w:spacing w:line="360" w:lineRule="auto"/>
      </w:pPr>
      <w:r>
        <w:rPr>
          <w:rFonts w:hint="eastAsia"/>
        </w:rPr>
        <w:t>重大隐患为可能危及工程安全、人员安全、防洪安全、供水安全或公共安全，需要立即处置、上报和重点跟踪的问题。</w:t>
      </w:r>
    </w:p>
    <w:p w14:paraId="05E6E3A5">
      <w:pPr>
        <w:pStyle w:val="165"/>
        <w:spacing w:line="360" w:lineRule="auto"/>
      </w:pPr>
      <w:r>
        <w:rPr>
          <w:rFonts w:hint="eastAsia"/>
        </w:rPr>
        <w:t>隐患等级应根据现场复核结果动态调整，不得长期保持与实际风险不符的等级。</w:t>
      </w:r>
    </w:p>
    <w:p w14:paraId="7BF360D5">
      <w:pPr>
        <w:pStyle w:val="105"/>
        <w:spacing w:before="120" w:after="120" w:line="360" w:lineRule="auto"/>
      </w:pPr>
      <w:r>
        <w:rPr>
          <w:rFonts w:hint="eastAsia"/>
        </w:rPr>
        <w:t>预警规则</w:t>
      </w:r>
    </w:p>
    <w:p w14:paraId="43027F42">
      <w:pPr>
        <w:pStyle w:val="165"/>
        <w:spacing w:line="360" w:lineRule="auto"/>
      </w:pPr>
      <w:r>
        <w:rPr>
          <w:rFonts w:hint="eastAsia"/>
        </w:rPr>
        <w:t>预警规则应根据工程设计参数、运行规程、历史数据、风险评价、监测指标和管理要求制定。</w:t>
      </w:r>
    </w:p>
    <w:p w14:paraId="08B11E0A">
      <w:pPr>
        <w:pStyle w:val="165"/>
        <w:spacing w:line="360" w:lineRule="auto"/>
      </w:pPr>
      <w:r>
        <w:rPr>
          <w:rFonts w:hint="eastAsia"/>
        </w:rPr>
        <w:t>预警规则宜包括水位预警、雨量预警、流量预警、渗流预警、变形预警、设备故障预警、巡查超期预警、工单超期预警和隐患复发预警。</w:t>
      </w:r>
    </w:p>
    <w:p w14:paraId="05216068">
      <w:pPr>
        <w:pStyle w:val="165"/>
        <w:spacing w:line="360" w:lineRule="auto"/>
      </w:pPr>
      <w:r>
        <w:rPr>
          <w:rFonts w:hint="eastAsia"/>
        </w:rPr>
        <w:t>预警阈值应明确适用对象、触发条件、等级划分、响应措施和责任岗位。</w:t>
      </w:r>
    </w:p>
    <w:p w14:paraId="7078CF78">
      <w:pPr>
        <w:pStyle w:val="165"/>
        <w:spacing w:line="360" w:lineRule="auto"/>
      </w:pPr>
      <w:r>
        <w:rPr>
          <w:rFonts w:hint="eastAsia"/>
        </w:rPr>
        <w:t>预警规则调整应履行审批程序，并应记录调整原因、调整内容、审批人员和生效时间。</w:t>
      </w:r>
    </w:p>
    <w:p w14:paraId="7B400930">
      <w:pPr>
        <w:pStyle w:val="165"/>
        <w:spacing w:line="360" w:lineRule="auto"/>
      </w:pPr>
      <w:r>
        <w:rPr>
          <w:rFonts w:hint="eastAsia"/>
        </w:rPr>
        <w:t>不得为减少预警数量擅自提高阈值、关闭规则或屏蔽报警。</w:t>
      </w:r>
    </w:p>
    <w:p w14:paraId="30B94544">
      <w:pPr>
        <w:pStyle w:val="105"/>
        <w:spacing w:before="120" w:after="120" w:line="360" w:lineRule="auto"/>
      </w:pPr>
      <w:r>
        <w:rPr>
          <w:rFonts w:hint="eastAsia"/>
        </w:rPr>
        <w:t>预警处置</w:t>
      </w:r>
    </w:p>
    <w:p w14:paraId="5E064779">
      <w:pPr>
        <w:pStyle w:val="165"/>
        <w:spacing w:line="360" w:lineRule="auto"/>
      </w:pPr>
      <w:r>
        <w:rPr>
          <w:rFonts w:hint="eastAsia"/>
        </w:rPr>
        <w:t>平台生成预警后，应自动推送至责任人员，并应记录推送时间和接收状态。</w:t>
      </w:r>
    </w:p>
    <w:p w14:paraId="017C7E71">
      <w:pPr>
        <w:pStyle w:val="165"/>
        <w:spacing w:line="360" w:lineRule="auto"/>
      </w:pPr>
      <w:r>
        <w:rPr>
          <w:rFonts w:hint="eastAsia"/>
        </w:rPr>
        <w:t>责任人员接收预警后，应按要求进行现场核查、远程复核或数据校验。</w:t>
      </w:r>
    </w:p>
    <w:p w14:paraId="72ACDE15">
      <w:pPr>
        <w:pStyle w:val="165"/>
        <w:spacing w:line="360" w:lineRule="auto"/>
      </w:pPr>
      <w:r>
        <w:rPr>
          <w:rFonts w:hint="eastAsia"/>
        </w:rPr>
        <w:t>预警经核实属于误报的，应记录误报原因，并应分析规则或设备问题。</w:t>
      </w:r>
    </w:p>
    <w:p w14:paraId="1E38CDE9">
      <w:pPr>
        <w:pStyle w:val="165"/>
        <w:spacing w:line="360" w:lineRule="auto"/>
      </w:pPr>
      <w:r>
        <w:rPr>
          <w:rFonts w:hint="eastAsia"/>
        </w:rPr>
        <w:t>预警经核实属实的，应生成处置工单或启动应急流程。</w:t>
      </w:r>
    </w:p>
    <w:p w14:paraId="2AC0C68E">
      <w:pPr>
        <w:pStyle w:val="165"/>
        <w:spacing w:line="360" w:lineRule="auto"/>
      </w:pPr>
      <w:r>
        <w:rPr>
          <w:rFonts w:hint="eastAsia"/>
        </w:rPr>
        <w:t>预警处置完成后，应反馈处置结果并进行复核关闭。</w:t>
      </w:r>
    </w:p>
    <w:p w14:paraId="37D3AE94">
      <w:pPr>
        <w:pStyle w:val="104"/>
        <w:spacing w:before="240" w:after="240" w:line="360" w:lineRule="auto"/>
      </w:pPr>
      <w:bookmarkStart w:id="57" w:name="_Toc228605143"/>
      <w:r>
        <w:rPr>
          <w:rFonts w:hint="eastAsia"/>
        </w:rPr>
        <w:t>维修养护</w:t>
      </w:r>
      <w:bookmarkEnd w:id="57"/>
    </w:p>
    <w:p w14:paraId="2246790D">
      <w:pPr>
        <w:pStyle w:val="105"/>
        <w:spacing w:before="120" w:after="120" w:line="360" w:lineRule="auto"/>
      </w:pPr>
      <w:r>
        <w:rPr>
          <w:rFonts w:hint="eastAsia"/>
        </w:rPr>
        <w:t>一般要求</w:t>
      </w:r>
    </w:p>
    <w:p w14:paraId="56E52078">
      <w:pPr>
        <w:pStyle w:val="165"/>
        <w:spacing w:line="360" w:lineRule="auto"/>
      </w:pPr>
      <w:r>
        <w:rPr>
          <w:rFonts w:hint="eastAsia"/>
        </w:rPr>
        <w:t>中小型水利工程维修养护应坚持预防性养护与问题整改相结合。</w:t>
      </w:r>
    </w:p>
    <w:p w14:paraId="4E38152E">
      <w:pPr>
        <w:pStyle w:val="165"/>
        <w:spacing w:line="360" w:lineRule="auto"/>
      </w:pPr>
      <w:r>
        <w:rPr>
          <w:rFonts w:hint="eastAsia"/>
        </w:rPr>
        <w:t>工程管理单位应制定维修养护计划，明确养护对象、养护内容、实施时间、责任单位、质量要求和验收方式。</w:t>
      </w:r>
    </w:p>
    <w:p w14:paraId="5F4750A6">
      <w:pPr>
        <w:pStyle w:val="165"/>
        <w:spacing w:line="360" w:lineRule="auto"/>
      </w:pPr>
      <w:r>
        <w:rPr>
          <w:rFonts w:hint="eastAsia"/>
        </w:rPr>
        <w:t>维修养护事项应通过电子工单或统一记录方式实施闭环管理。</w:t>
      </w:r>
    </w:p>
    <w:p w14:paraId="36BB7BC0">
      <w:pPr>
        <w:pStyle w:val="165"/>
        <w:spacing w:line="360" w:lineRule="auto"/>
      </w:pPr>
      <w:r>
        <w:rPr>
          <w:rFonts w:hint="eastAsia"/>
        </w:rPr>
        <w:t>维修养护不得只记录完成状态而不记录作业内容、使用材料、现场照片和复核结果。</w:t>
      </w:r>
    </w:p>
    <w:p w14:paraId="4FFE3B98">
      <w:pPr>
        <w:pStyle w:val="165"/>
        <w:spacing w:line="360" w:lineRule="auto"/>
      </w:pPr>
      <w:r>
        <w:rPr>
          <w:rFonts w:hint="eastAsia"/>
        </w:rPr>
        <w:t>影响工程安全、设备运行、供水排涝和公众安全的维修养护事项，应优先处理。</w:t>
      </w:r>
    </w:p>
    <w:p w14:paraId="477C10D3">
      <w:pPr>
        <w:pStyle w:val="105"/>
        <w:spacing w:before="120" w:after="120" w:line="360" w:lineRule="auto"/>
      </w:pPr>
      <w:r>
        <w:rPr>
          <w:rFonts w:hint="eastAsia"/>
        </w:rPr>
        <w:t>日常养护</w:t>
      </w:r>
    </w:p>
    <w:p w14:paraId="3EEABD71">
      <w:pPr>
        <w:pStyle w:val="165"/>
        <w:spacing w:line="360" w:lineRule="auto"/>
      </w:pPr>
      <w:r>
        <w:rPr>
          <w:rFonts w:hint="eastAsia"/>
        </w:rPr>
        <w:t>日常养护应包括清扫保洁、杂草清理、漂浮物清除、渠道清淤、排水沟疏通、标识维护、管理道路维护和小型缺陷处理。</w:t>
      </w:r>
    </w:p>
    <w:p w14:paraId="17EF84D9">
      <w:pPr>
        <w:pStyle w:val="165"/>
        <w:spacing w:line="360" w:lineRule="auto"/>
      </w:pPr>
      <w:r>
        <w:rPr>
          <w:rFonts w:hint="eastAsia"/>
        </w:rPr>
        <w:t>设备设施日常养护应包括润滑、紧固、除锈、防腐、试运行、清洁、保养和状态检查。</w:t>
      </w:r>
    </w:p>
    <w:p w14:paraId="4D0ADC5A">
      <w:pPr>
        <w:pStyle w:val="165"/>
        <w:spacing w:line="360" w:lineRule="auto"/>
      </w:pPr>
      <w:r>
        <w:rPr>
          <w:rFonts w:hint="eastAsia"/>
        </w:rPr>
        <w:t>监测设备日常养护应包括外观检查、供电检查、通信检查、传感器清洁和数据状态核查。</w:t>
      </w:r>
    </w:p>
    <w:p w14:paraId="044C3DB8">
      <w:pPr>
        <w:pStyle w:val="165"/>
        <w:spacing w:line="360" w:lineRule="auto"/>
      </w:pPr>
      <w:r>
        <w:rPr>
          <w:rFonts w:hint="eastAsia"/>
        </w:rPr>
        <w:t>日常养护应按照计划实施，并应记录完成情况。</w:t>
      </w:r>
    </w:p>
    <w:p w14:paraId="1EAD3258">
      <w:pPr>
        <w:pStyle w:val="105"/>
        <w:spacing w:before="120" w:after="120" w:line="360" w:lineRule="auto"/>
      </w:pPr>
      <w:r>
        <w:rPr>
          <w:rFonts w:hint="eastAsia"/>
        </w:rPr>
        <w:t>维修工单</w:t>
      </w:r>
    </w:p>
    <w:p w14:paraId="0E54121F">
      <w:pPr>
        <w:pStyle w:val="165"/>
        <w:spacing w:line="360" w:lineRule="auto"/>
      </w:pPr>
      <w:r>
        <w:rPr>
          <w:rFonts w:hint="eastAsia"/>
        </w:rPr>
        <w:t>维修工单应来源于巡查发现、监测预警、设备报警、群众反馈、监督检查或计划养护。</w:t>
      </w:r>
    </w:p>
    <w:p w14:paraId="45112478">
      <w:pPr>
        <w:pStyle w:val="165"/>
        <w:spacing w:line="360" w:lineRule="auto"/>
      </w:pPr>
      <w:r>
        <w:rPr>
          <w:rFonts w:hint="eastAsia"/>
        </w:rPr>
        <w:t>维修工单应包括工单编号、问题来源、工程对象、问题描述、位置、等级、责任单位、完成时限、处置要求和复核要求。</w:t>
      </w:r>
    </w:p>
    <w:p w14:paraId="441DF9D8">
      <w:pPr>
        <w:pStyle w:val="165"/>
        <w:spacing w:line="360" w:lineRule="auto"/>
      </w:pPr>
      <w:r>
        <w:rPr>
          <w:rFonts w:hint="eastAsia"/>
        </w:rPr>
        <w:t>工单派发后，责任单位应按时接收并反馈处置计划。</w:t>
      </w:r>
    </w:p>
    <w:p w14:paraId="15C5EF45">
      <w:pPr>
        <w:pStyle w:val="165"/>
        <w:spacing w:line="360" w:lineRule="auto"/>
      </w:pPr>
      <w:r>
        <w:rPr>
          <w:rFonts w:hint="eastAsia"/>
        </w:rPr>
        <w:t>工单处置完成后，应上传处置结果、现场照片、使用材料、完成时间和遗留问题。</w:t>
      </w:r>
    </w:p>
    <w:p w14:paraId="688D3287">
      <w:pPr>
        <w:pStyle w:val="165"/>
        <w:spacing w:line="360" w:lineRule="auto"/>
      </w:pPr>
      <w:r>
        <w:rPr>
          <w:rFonts w:hint="eastAsia"/>
        </w:rPr>
        <w:t>超期未处理工单应自动提醒并升级督办。</w:t>
      </w:r>
    </w:p>
    <w:p w14:paraId="066F020C">
      <w:pPr>
        <w:pStyle w:val="105"/>
        <w:spacing w:before="120" w:after="120" w:line="360" w:lineRule="auto"/>
      </w:pPr>
      <w:r>
        <w:rPr>
          <w:rFonts w:hint="eastAsia"/>
        </w:rPr>
        <w:t>维修质量复核</w:t>
      </w:r>
    </w:p>
    <w:p w14:paraId="160A5720">
      <w:pPr>
        <w:pStyle w:val="165"/>
        <w:spacing w:line="360" w:lineRule="auto"/>
      </w:pPr>
      <w:r>
        <w:rPr>
          <w:rFonts w:hint="eastAsia"/>
        </w:rPr>
        <w:t>维修养护完成后，应按问题等级和影响程度进行复核。</w:t>
      </w:r>
    </w:p>
    <w:p w14:paraId="6220AECE">
      <w:pPr>
        <w:pStyle w:val="165"/>
        <w:spacing w:line="360" w:lineRule="auto"/>
      </w:pPr>
      <w:r>
        <w:rPr>
          <w:rFonts w:hint="eastAsia"/>
        </w:rPr>
        <w:t>一般维修可由管护责任人员复核；涉及工程安全、设备运行和功能恢复的维修，应由工程管理单位或专业人员复核。</w:t>
      </w:r>
    </w:p>
    <w:p w14:paraId="7993452F">
      <w:pPr>
        <w:pStyle w:val="165"/>
        <w:spacing w:line="360" w:lineRule="auto"/>
      </w:pPr>
      <w:r>
        <w:rPr>
          <w:rFonts w:hint="eastAsia"/>
        </w:rPr>
        <w:t>复核内容应包括问题是否解决、现场是否恢复、质量是否满足要求、资料是否完整和后续是否需要跟踪。</w:t>
      </w:r>
    </w:p>
    <w:p w14:paraId="12B0B745">
      <w:pPr>
        <w:pStyle w:val="165"/>
        <w:spacing w:line="360" w:lineRule="auto"/>
      </w:pPr>
      <w:r>
        <w:rPr>
          <w:rFonts w:hint="eastAsia"/>
        </w:rPr>
        <w:t>复核不合格的，不得关闭工单，应退回重新处置。</w:t>
      </w:r>
    </w:p>
    <w:p w14:paraId="0C1608D1">
      <w:pPr>
        <w:pStyle w:val="165"/>
        <w:spacing w:line="360" w:lineRule="auto"/>
      </w:pPr>
      <w:r>
        <w:rPr>
          <w:rFonts w:hint="eastAsia"/>
        </w:rPr>
        <w:t>维修养护结果应纳入管护评价。</w:t>
      </w:r>
    </w:p>
    <w:p w14:paraId="2054B480">
      <w:pPr>
        <w:pStyle w:val="104"/>
        <w:spacing w:before="240" w:after="240" w:line="360" w:lineRule="auto"/>
      </w:pPr>
      <w:bookmarkStart w:id="58" w:name="_Toc228605144"/>
      <w:r>
        <w:rPr>
          <w:rFonts w:hint="eastAsia"/>
        </w:rPr>
        <w:t>应急处置</w:t>
      </w:r>
      <w:bookmarkEnd w:id="58"/>
    </w:p>
    <w:p w14:paraId="3C6B35D3">
      <w:pPr>
        <w:pStyle w:val="105"/>
        <w:spacing w:before="120" w:after="120" w:line="360" w:lineRule="auto"/>
      </w:pPr>
      <w:r>
        <w:rPr>
          <w:rFonts w:hint="eastAsia"/>
        </w:rPr>
        <w:t>一般要求</w:t>
      </w:r>
    </w:p>
    <w:p w14:paraId="3231AD4E">
      <w:pPr>
        <w:pStyle w:val="165"/>
        <w:spacing w:line="360" w:lineRule="auto"/>
      </w:pPr>
      <w:r>
        <w:rPr>
          <w:rFonts w:hint="eastAsia"/>
        </w:rPr>
        <w:t>中小型水利工程应建立应急处置机制，明确险情报告、响应启动、现场控制、抢险处置、资源调配、信息报送和恢复复核要求。</w:t>
      </w:r>
    </w:p>
    <w:p w14:paraId="3DEEE125">
      <w:pPr>
        <w:pStyle w:val="165"/>
        <w:spacing w:line="360" w:lineRule="auto"/>
      </w:pPr>
      <w:r>
        <w:rPr>
          <w:rFonts w:hint="eastAsia"/>
        </w:rPr>
        <w:t>应急处置应与工程类型、风险等级、管护能力和属地应急机制相衔接。</w:t>
      </w:r>
    </w:p>
    <w:p w14:paraId="05A40A86">
      <w:pPr>
        <w:pStyle w:val="165"/>
        <w:spacing w:line="360" w:lineRule="auto"/>
      </w:pPr>
      <w:r>
        <w:rPr>
          <w:rFonts w:hint="eastAsia"/>
        </w:rPr>
        <w:t>发生险情、设备重大故障、供水中断、排涝受阻、堤防异常、库水位异常或其他突发情况时，应立即启动相应处置流程。</w:t>
      </w:r>
    </w:p>
    <w:p w14:paraId="53DC0690">
      <w:pPr>
        <w:pStyle w:val="165"/>
        <w:spacing w:line="360" w:lineRule="auto"/>
      </w:pPr>
      <w:r>
        <w:rPr>
          <w:rFonts w:hint="eastAsia"/>
        </w:rPr>
        <w:t>应急处置应优先保障人员安全，控制风险扩大，再组织工程抢险和功能恢复。</w:t>
      </w:r>
    </w:p>
    <w:p w14:paraId="56EECC18">
      <w:pPr>
        <w:pStyle w:val="165"/>
        <w:spacing w:line="360" w:lineRule="auto"/>
      </w:pPr>
      <w:r>
        <w:rPr>
          <w:rFonts w:hint="eastAsia"/>
        </w:rPr>
        <w:t>应急处置过程应记录并归档。</w:t>
      </w:r>
    </w:p>
    <w:p w14:paraId="24106AE4">
      <w:pPr>
        <w:pStyle w:val="105"/>
        <w:spacing w:before="120" w:after="120" w:line="360" w:lineRule="auto"/>
      </w:pPr>
      <w:r>
        <w:rPr>
          <w:rFonts w:hint="eastAsia"/>
        </w:rPr>
        <w:t>应急预案与现场处置方案</w:t>
      </w:r>
    </w:p>
    <w:p w14:paraId="75A2BD38">
      <w:pPr>
        <w:pStyle w:val="165"/>
        <w:spacing w:line="360" w:lineRule="auto"/>
      </w:pPr>
      <w:r>
        <w:rPr>
          <w:rFonts w:hint="eastAsia"/>
        </w:rPr>
        <w:t>工程管理单位应编制或完善应急预案和现场处置方案。</w:t>
      </w:r>
    </w:p>
    <w:p w14:paraId="2422A4C7">
      <w:pPr>
        <w:pStyle w:val="165"/>
        <w:spacing w:line="360" w:lineRule="auto"/>
      </w:pPr>
      <w:r>
        <w:rPr>
          <w:rFonts w:hint="eastAsia"/>
        </w:rPr>
        <w:t>应急预案应明确组织机构、响应条件、信息报告、处置流程、资源保障、协同联动和恢复管理要求。</w:t>
      </w:r>
    </w:p>
    <w:p w14:paraId="1B16C469">
      <w:pPr>
        <w:pStyle w:val="165"/>
        <w:spacing w:line="360" w:lineRule="auto"/>
      </w:pPr>
      <w:r>
        <w:rPr>
          <w:rFonts w:hint="eastAsia"/>
        </w:rPr>
        <w:t>现场处置方案应针对水库险情、堤防险情、泵站停运、水闸故障、渠道决口、供水中断和设备故障等场景制定。</w:t>
      </w:r>
    </w:p>
    <w:p w14:paraId="7BF722E6">
      <w:pPr>
        <w:pStyle w:val="165"/>
        <w:spacing w:line="360" w:lineRule="auto"/>
      </w:pPr>
      <w:r>
        <w:rPr>
          <w:rFonts w:hint="eastAsia"/>
        </w:rPr>
        <w:t>现场处置方案应简明、实用、可执行，并应传达到相关管护人员。</w:t>
      </w:r>
    </w:p>
    <w:p w14:paraId="2A86FBA5">
      <w:pPr>
        <w:pStyle w:val="165"/>
        <w:spacing w:line="360" w:lineRule="auto"/>
      </w:pPr>
      <w:r>
        <w:rPr>
          <w:rFonts w:hint="eastAsia"/>
        </w:rPr>
        <w:t>应急预案和现场处置方案应定期评审，发生工程变化、责任变化、风险变化或演练暴露问题时，应及时修订。</w:t>
      </w:r>
    </w:p>
    <w:p w14:paraId="58808BC5">
      <w:pPr>
        <w:pStyle w:val="105"/>
        <w:spacing w:before="120" w:after="120" w:line="360" w:lineRule="auto"/>
      </w:pPr>
      <w:r>
        <w:rPr>
          <w:rFonts w:hint="eastAsia"/>
        </w:rPr>
        <w:t>应急响应</w:t>
      </w:r>
    </w:p>
    <w:p w14:paraId="6079BBA9">
      <w:pPr>
        <w:pStyle w:val="165"/>
        <w:spacing w:line="360" w:lineRule="auto"/>
      </w:pPr>
      <w:r>
        <w:rPr>
          <w:rFonts w:hint="eastAsia"/>
        </w:rPr>
        <w:t>应急响应启动应明确启动时间、启动依据、响应等级、责任人员和处置要求。</w:t>
      </w:r>
    </w:p>
    <w:p w14:paraId="49E571B2">
      <w:pPr>
        <w:pStyle w:val="165"/>
        <w:spacing w:line="360" w:lineRule="auto"/>
      </w:pPr>
      <w:r>
        <w:rPr>
          <w:rFonts w:hint="eastAsia"/>
        </w:rPr>
        <w:t>应急响应期间应提高监测频次、巡查频次和信息报送频次。</w:t>
      </w:r>
    </w:p>
    <w:p w14:paraId="109EDA45">
      <w:pPr>
        <w:pStyle w:val="165"/>
        <w:spacing w:line="360" w:lineRule="auto"/>
      </w:pPr>
      <w:r>
        <w:rPr>
          <w:rFonts w:hint="eastAsia"/>
        </w:rPr>
        <w:t>现场人员应及时回传险情位置、发展情况、现场照片、资源需求和处置进展。</w:t>
      </w:r>
    </w:p>
    <w:p w14:paraId="578DAA55">
      <w:pPr>
        <w:pStyle w:val="165"/>
        <w:spacing w:line="360" w:lineRule="auto"/>
      </w:pPr>
      <w:r>
        <w:rPr>
          <w:rFonts w:hint="eastAsia"/>
        </w:rPr>
        <w:t>需要属地政府、专业抢险队伍、电力通信单位或其他部门协同处置的，应及时联动。</w:t>
      </w:r>
    </w:p>
    <w:p w14:paraId="6E962CEC">
      <w:pPr>
        <w:pStyle w:val="165"/>
        <w:spacing w:line="360" w:lineRule="auto"/>
      </w:pPr>
      <w:r>
        <w:rPr>
          <w:rFonts w:hint="eastAsia"/>
        </w:rPr>
        <w:t>应急响应结束后，应开展现场复核和资料整理。</w:t>
      </w:r>
    </w:p>
    <w:p w14:paraId="2CDBC1A1">
      <w:pPr>
        <w:pStyle w:val="105"/>
        <w:spacing w:before="120" w:after="120" w:line="360" w:lineRule="auto"/>
      </w:pPr>
      <w:r>
        <w:rPr>
          <w:rFonts w:hint="eastAsia"/>
        </w:rPr>
        <w:t>应急资源</w:t>
      </w:r>
    </w:p>
    <w:p w14:paraId="68A06F36">
      <w:pPr>
        <w:pStyle w:val="165"/>
        <w:spacing w:line="360" w:lineRule="auto"/>
      </w:pPr>
      <w:r>
        <w:rPr>
          <w:rFonts w:hint="eastAsia"/>
        </w:rPr>
        <w:t>工程管理单位应建立应急资源台账。</w:t>
      </w:r>
    </w:p>
    <w:p w14:paraId="7C0A2D61">
      <w:pPr>
        <w:pStyle w:val="165"/>
        <w:spacing w:line="360" w:lineRule="auto"/>
      </w:pPr>
      <w:r>
        <w:rPr>
          <w:rFonts w:hint="eastAsia"/>
        </w:rPr>
        <w:t>应急资源台账应包括抢险队伍、联系人、抢险物资、机械设备、车辆、通信设备、备用电源、照明设备和专家力量等信息。</w:t>
      </w:r>
    </w:p>
    <w:p w14:paraId="05A7CF6C">
      <w:pPr>
        <w:pStyle w:val="165"/>
        <w:spacing w:line="360" w:lineRule="auto"/>
      </w:pPr>
      <w:r>
        <w:rPr>
          <w:rFonts w:hint="eastAsia"/>
        </w:rPr>
        <w:t>应急物资应定期盘点和维护，不得将失效、损坏、缺失或无法调拨的物资列为可用资源。</w:t>
      </w:r>
    </w:p>
    <w:p w14:paraId="0225EB8C">
      <w:pPr>
        <w:pStyle w:val="165"/>
        <w:spacing w:line="360" w:lineRule="auto"/>
      </w:pPr>
      <w:r>
        <w:rPr>
          <w:rFonts w:hint="eastAsia"/>
        </w:rPr>
        <w:t>应急通道、物资仓库和设备存放点应保持可达、可用和标识清晰。</w:t>
      </w:r>
    </w:p>
    <w:p w14:paraId="76ED6AC1">
      <w:pPr>
        <w:pStyle w:val="165"/>
        <w:spacing w:line="360" w:lineRule="auto"/>
      </w:pPr>
      <w:r>
        <w:rPr>
          <w:rFonts w:hint="eastAsia"/>
        </w:rPr>
        <w:t>应急资源信息应纳入智能管护平台，并应保持动态更新。</w:t>
      </w:r>
    </w:p>
    <w:p w14:paraId="2ED0777B">
      <w:pPr>
        <w:pStyle w:val="104"/>
        <w:spacing w:before="240" w:after="240" w:line="360" w:lineRule="auto"/>
      </w:pPr>
      <w:bookmarkStart w:id="59" w:name="_Toc228605145"/>
      <w:r>
        <w:rPr>
          <w:rFonts w:hint="eastAsia"/>
        </w:rPr>
        <w:t>信息平台与数据管理</w:t>
      </w:r>
      <w:bookmarkEnd w:id="59"/>
    </w:p>
    <w:p w14:paraId="6D64ED6C">
      <w:pPr>
        <w:pStyle w:val="105"/>
        <w:spacing w:before="120" w:after="120" w:line="360" w:lineRule="auto"/>
      </w:pPr>
      <w:r>
        <w:rPr>
          <w:rFonts w:hint="eastAsia"/>
        </w:rPr>
        <w:t>一般要求</w:t>
      </w:r>
    </w:p>
    <w:p w14:paraId="7F9BD3E3">
      <w:pPr>
        <w:pStyle w:val="165"/>
        <w:spacing w:line="360" w:lineRule="auto"/>
      </w:pPr>
      <w:r>
        <w:rPr>
          <w:rFonts w:hint="eastAsia"/>
        </w:rPr>
        <w:t>智能管护平台应满足工程对象管理、监测数据接入、移动巡检、隐患处置、维修养护、预警管理、应急处置、统计分析和资料归档等功能要求。</w:t>
      </w:r>
    </w:p>
    <w:p w14:paraId="1FB32848">
      <w:pPr>
        <w:pStyle w:val="165"/>
        <w:spacing w:line="360" w:lineRule="auto"/>
      </w:pPr>
      <w:r>
        <w:rPr>
          <w:rFonts w:hint="eastAsia"/>
        </w:rPr>
        <w:t>平台建设应与工程实际管护需求相匹配，不得只建设展示功能而缺少巡查、处置、复核和归档功能。</w:t>
      </w:r>
    </w:p>
    <w:p w14:paraId="7050FF4E">
      <w:pPr>
        <w:pStyle w:val="165"/>
        <w:spacing w:line="360" w:lineRule="auto"/>
      </w:pPr>
      <w:r>
        <w:rPr>
          <w:rFonts w:hint="eastAsia"/>
        </w:rPr>
        <w:t>平台应支持工程对象、空间位置、责任人员、监测数据、巡查记录、工单记录和档案资料的关联管理。</w:t>
      </w:r>
    </w:p>
    <w:p w14:paraId="5737A7C8">
      <w:pPr>
        <w:pStyle w:val="165"/>
        <w:spacing w:line="360" w:lineRule="auto"/>
      </w:pPr>
      <w:r>
        <w:rPr>
          <w:rFonts w:hint="eastAsia"/>
        </w:rPr>
        <w:t>平台应具备权限管理、日志记录、数据备份、异常提醒和数据导出审批功能。</w:t>
      </w:r>
    </w:p>
    <w:p w14:paraId="010AA977">
      <w:pPr>
        <w:pStyle w:val="105"/>
        <w:spacing w:before="120" w:after="120" w:line="360" w:lineRule="auto"/>
      </w:pPr>
      <w:r>
        <w:rPr>
          <w:rFonts w:hint="eastAsia"/>
        </w:rPr>
        <w:t>平台功能</w:t>
      </w:r>
    </w:p>
    <w:p w14:paraId="44314ED3">
      <w:pPr>
        <w:pStyle w:val="165"/>
        <w:spacing w:line="360" w:lineRule="auto"/>
      </w:pPr>
      <w:r>
        <w:rPr>
          <w:rFonts w:hint="eastAsia"/>
        </w:rPr>
        <w:t>平台应支持工程基础信息管理，包括工程名称、类型、位置、规模、功能、责任单位、风险等级和管护等级。</w:t>
      </w:r>
    </w:p>
    <w:p w14:paraId="370BDD6E">
      <w:pPr>
        <w:pStyle w:val="165"/>
        <w:spacing w:line="360" w:lineRule="auto"/>
      </w:pPr>
      <w:r>
        <w:rPr>
          <w:rFonts w:hint="eastAsia"/>
        </w:rPr>
        <w:t>平台应支持设备设施台账管理，包括设备编号、位置、状态、维护记录和故障记录。</w:t>
      </w:r>
    </w:p>
    <w:p w14:paraId="29365AD3">
      <w:pPr>
        <w:pStyle w:val="165"/>
        <w:spacing w:line="360" w:lineRule="auto"/>
      </w:pPr>
      <w:r>
        <w:rPr>
          <w:rFonts w:hint="eastAsia"/>
        </w:rPr>
        <w:t>平台应支持监测数据展示、趋势分析、异常提示和历史查询。</w:t>
      </w:r>
    </w:p>
    <w:p w14:paraId="32FA1AB1">
      <w:pPr>
        <w:pStyle w:val="165"/>
        <w:spacing w:line="360" w:lineRule="auto"/>
      </w:pPr>
      <w:r>
        <w:rPr>
          <w:rFonts w:hint="eastAsia"/>
        </w:rPr>
        <w:t>平台应支持巡查任务自动生成、移动巡检记录、问题上报和巡查统计。</w:t>
      </w:r>
    </w:p>
    <w:p w14:paraId="61C345AA">
      <w:pPr>
        <w:pStyle w:val="165"/>
        <w:spacing w:line="360" w:lineRule="auto"/>
      </w:pPr>
      <w:r>
        <w:rPr>
          <w:rFonts w:hint="eastAsia"/>
        </w:rPr>
        <w:t>平台应支持隐患分级、工单派发、处置反馈、复核关闭和超期督办。</w:t>
      </w:r>
    </w:p>
    <w:p w14:paraId="100B8E9A">
      <w:pPr>
        <w:pStyle w:val="165"/>
        <w:spacing w:line="360" w:lineRule="auto"/>
      </w:pPr>
      <w:r>
        <w:rPr>
          <w:rFonts w:hint="eastAsia"/>
        </w:rPr>
        <w:t>平台应支持预警规则配置、预警推送、处置记录和预警复核。</w:t>
      </w:r>
    </w:p>
    <w:p w14:paraId="5A4101E3">
      <w:pPr>
        <w:pStyle w:val="165"/>
        <w:spacing w:line="360" w:lineRule="auto"/>
      </w:pPr>
      <w:r>
        <w:rPr>
          <w:rFonts w:hint="eastAsia"/>
        </w:rPr>
        <w:t>平台应支持资料上传、资料索引、版本管理和档案归档。</w:t>
      </w:r>
    </w:p>
    <w:p w14:paraId="0BBCDB49">
      <w:pPr>
        <w:pStyle w:val="105"/>
        <w:spacing w:before="120" w:after="120" w:line="360" w:lineRule="auto"/>
      </w:pPr>
      <w:r>
        <w:rPr>
          <w:rFonts w:hint="eastAsia"/>
        </w:rPr>
        <w:t>数据质量管理</w:t>
      </w:r>
    </w:p>
    <w:p w14:paraId="7E9BF62F">
      <w:pPr>
        <w:pStyle w:val="165"/>
        <w:spacing w:line="360" w:lineRule="auto"/>
      </w:pPr>
      <w:r>
        <w:rPr>
          <w:rFonts w:hint="eastAsia"/>
        </w:rPr>
        <w:t>平台数据应进行完整性、准确性、及时性、一致性、唯一性和可追溯性控制。</w:t>
      </w:r>
    </w:p>
    <w:p w14:paraId="034A0C94">
      <w:pPr>
        <w:pStyle w:val="165"/>
        <w:spacing w:line="360" w:lineRule="auto"/>
      </w:pPr>
      <w:r>
        <w:rPr>
          <w:rFonts w:hint="eastAsia"/>
        </w:rPr>
        <w:t>工程对象、设备设施、测点、巡查路线、隐患点位和工单应具有唯一编码。</w:t>
      </w:r>
    </w:p>
    <w:p w14:paraId="55AC01C7">
      <w:pPr>
        <w:pStyle w:val="165"/>
        <w:spacing w:line="360" w:lineRule="auto"/>
      </w:pPr>
      <w:r>
        <w:rPr>
          <w:rFonts w:hint="eastAsia"/>
        </w:rPr>
        <w:t>平台应对必填字段、数据格式、时间逻辑、空间位置和重复数据进行校验。</w:t>
      </w:r>
    </w:p>
    <w:p w14:paraId="50C7194C">
      <w:pPr>
        <w:pStyle w:val="165"/>
        <w:spacing w:line="360" w:lineRule="auto"/>
      </w:pPr>
      <w:r>
        <w:rPr>
          <w:rFonts w:hint="eastAsia"/>
        </w:rPr>
        <w:t>发现数据错误时，应按更正流程修改，并应保留修改记录。</w:t>
      </w:r>
    </w:p>
    <w:p w14:paraId="1C6B9B55">
      <w:pPr>
        <w:pStyle w:val="165"/>
        <w:spacing w:line="360" w:lineRule="auto"/>
      </w:pPr>
      <w:r>
        <w:rPr>
          <w:rFonts w:hint="eastAsia"/>
        </w:rPr>
        <w:t>长期未更新、来源不明或质量不满足要求的数据，应进行标识、修复或归档处理。</w:t>
      </w:r>
    </w:p>
    <w:p w14:paraId="221A5544">
      <w:pPr>
        <w:pStyle w:val="105"/>
        <w:spacing w:before="120" w:after="120" w:line="360" w:lineRule="auto"/>
      </w:pPr>
      <w:r>
        <w:rPr>
          <w:rFonts w:hint="eastAsia"/>
        </w:rPr>
        <w:t>数据共享</w:t>
      </w:r>
    </w:p>
    <w:p w14:paraId="7F13F48E">
      <w:pPr>
        <w:pStyle w:val="165"/>
        <w:spacing w:line="360" w:lineRule="auto"/>
      </w:pPr>
      <w:r>
        <w:rPr>
          <w:rFonts w:hint="eastAsia"/>
        </w:rPr>
        <w:t>管护数据共享应明确共享范围、共享对象、共享方式、共享频次和安全要求。</w:t>
      </w:r>
    </w:p>
    <w:p w14:paraId="19A72557">
      <w:pPr>
        <w:pStyle w:val="165"/>
        <w:spacing w:line="360" w:lineRule="auto"/>
      </w:pPr>
      <w:r>
        <w:rPr>
          <w:rFonts w:hint="eastAsia"/>
        </w:rPr>
        <w:t>涉及防汛调度、供水保障、应急处置和监督检查的数据，应按规定及时共享。</w:t>
      </w:r>
    </w:p>
    <w:p w14:paraId="6A8ED29A">
      <w:pPr>
        <w:pStyle w:val="165"/>
        <w:spacing w:line="360" w:lineRule="auto"/>
      </w:pPr>
      <w:r>
        <w:rPr>
          <w:rFonts w:hint="eastAsia"/>
        </w:rPr>
        <w:t>数据接收方应按授权范围使用数据，不得擅自转发、篡改或用于未经授权的场景。</w:t>
      </w:r>
    </w:p>
    <w:p w14:paraId="17D4B1B3">
      <w:pPr>
        <w:pStyle w:val="165"/>
        <w:spacing w:line="360" w:lineRule="auto"/>
      </w:pPr>
      <w:r>
        <w:rPr>
          <w:rFonts w:hint="eastAsia"/>
        </w:rPr>
        <w:t>数据共享接口应保留调用日志，并应具备身份认证和权限控制功能。</w:t>
      </w:r>
    </w:p>
    <w:p w14:paraId="65235259">
      <w:pPr>
        <w:pStyle w:val="104"/>
        <w:spacing w:before="240" w:after="240" w:line="360" w:lineRule="auto"/>
      </w:pPr>
      <w:bookmarkStart w:id="60" w:name="_Toc228605146"/>
      <w:r>
        <w:rPr>
          <w:rFonts w:hint="eastAsia"/>
        </w:rPr>
        <w:t>系统运行维护</w:t>
      </w:r>
      <w:bookmarkEnd w:id="60"/>
    </w:p>
    <w:p w14:paraId="24535349">
      <w:pPr>
        <w:pStyle w:val="105"/>
        <w:spacing w:before="120" w:after="120" w:line="360" w:lineRule="auto"/>
      </w:pPr>
      <w:r>
        <w:rPr>
          <w:rFonts w:hint="eastAsia"/>
        </w:rPr>
        <w:t>一般要求</w:t>
      </w:r>
    </w:p>
    <w:p w14:paraId="6CB9BE47">
      <w:pPr>
        <w:pStyle w:val="165"/>
        <w:spacing w:line="360" w:lineRule="auto"/>
      </w:pPr>
      <w:r>
        <w:rPr>
          <w:rFonts w:hint="eastAsia"/>
        </w:rPr>
        <w:t>智能管护系统应建立运行维护机制，保证平台、监测设备、移动终端、通信网络和数据接口稳定运行。</w:t>
      </w:r>
    </w:p>
    <w:p w14:paraId="36148D97">
      <w:pPr>
        <w:pStyle w:val="165"/>
        <w:spacing w:line="360" w:lineRule="auto"/>
      </w:pPr>
      <w:r>
        <w:rPr>
          <w:rFonts w:hint="eastAsia"/>
        </w:rPr>
        <w:t>系统运行维护应包括日常巡检、故障处理、数据备份、版本升级、安全管理和应急恢复。</w:t>
      </w:r>
    </w:p>
    <w:p w14:paraId="0D46492A">
      <w:pPr>
        <w:pStyle w:val="165"/>
        <w:spacing w:line="360" w:lineRule="auto"/>
      </w:pPr>
      <w:r>
        <w:rPr>
          <w:rFonts w:hint="eastAsia"/>
        </w:rPr>
        <w:t>系统运维应形成记录，记录应真实、完整、可追溯。</w:t>
      </w:r>
    </w:p>
    <w:p w14:paraId="085F05EA">
      <w:pPr>
        <w:pStyle w:val="165"/>
        <w:spacing w:line="360" w:lineRule="auto"/>
      </w:pPr>
      <w:r>
        <w:rPr>
          <w:rFonts w:hint="eastAsia"/>
        </w:rPr>
        <w:t>汛期、供水高峰期、灌溉高峰期和应急响应期间，应加强系统运行监控。</w:t>
      </w:r>
    </w:p>
    <w:p w14:paraId="0736A3B7">
      <w:pPr>
        <w:pStyle w:val="105"/>
        <w:spacing w:before="120" w:after="120" w:line="360" w:lineRule="auto"/>
      </w:pPr>
      <w:r>
        <w:rPr>
          <w:rFonts w:hint="eastAsia"/>
        </w:rPr>
        <w:t>日常运维</w:t>
      </w:r>
    </w:p>
    <w:p w14:paraId="08A4BD50">
      <w:pPr>
        <w:pStyle w:val="165"/>
        <w:spacing w:line="360" w:lineRule="auto"/>
      </w:pPr>
      <w:r>
        <w:rPr>
          <w:rFonts w:hint="eastAsia"/>
        </w:rPr>
        <w:t>日常运维应检查服务器、网络、数据库、应用系统、接口服务、监测设备、视频设备、移动终端和安全设备状态。</w:t>
      </w:r>
    </w:p>
    <w:p w14:paraId="07E182E8">
      <w:pPr>
        <w:pStyle w:val="165"/>
        <w:spacing w:line="360" w:lineRule="auto"/>
      </w:pPr>
      <w:r>
        <w:rPr>
          <w:rFonts w:hint="eastAsia"/>
        </w:rPr>
        <w:t>运维巡检应记录巡检时间、巡检人员、巡检内容、系统状态、发现问题和处置情况。</w:t>
      </w:r>
    </w:p>
    <w:p w14:paraId="305DA532">
      <w:pPr>
        <w:pStyle w:val="165"/>
        <w:spacing w:line="360" w:lineRule="auto"/>
      </w:pPr>
      <w:r>
        <w:rPr>
          <w:rFonts w:hint="eastAsia"/>
        </w:rPr>
        <w:t>监测设备离线、数据异常、平台卡顿、接口失败和移动端异常应及时处理。</w:t>
      </w:r>
    </w:p>
    <w:p w14:paraId="2BC794D5">
      <w:pPr>
        <w:pStyle w:val="165"/>
        <w:spacing w:line="360" w:lineRule="auto"/>
      </w:pPr>
      <w:r>
        <w:rPr>
          <w:rFonts w:hint="eastAsia"/>
        </w:rPr>
        <w:t>系统账号、权限、预警规则和工单流程应定期核查。</w:t>
      </w:r>
    </w:p>
    <w:p w14:paraId="4223CB50">
      <w:pPr>
        <w:pStyle w:val="165"/>
        <w:spacing w:line="360" w:lineRule="auto"/>
      </w:pPr>
      <w:r>
        <w:rPr>
          <w:rFonts w:hint="eastAsia"/>
        </w:rPr>
        <w:t>运维人员不得擅自修改业务数据、删除日志或关闭预警功能。</w:t>
      </w:r>
    </w:p>
    <w:p w14:paraId="70353025">
      <w:pPr>
        <w:pStyle w:val="105"/>
        <w:spacing w:before="120" w:after="120" w:line="360" w:lineRule="auto"/>
      </w:pPr>
      <w:r>
        <w:rPr>
          <w:rFonts w:hint="eastAsia"/>
        </w:rPr>
        <w:t>故障处理</w:t>
      </w:r>
    </w:p>
    <w:p w14:paraId="5B21EF74">
      <w:pPr>
        <w:pStyle w:val="165"/>
        <w:spacing w:line="360" w:lineRule="auto"/>
      </w:pPr>
      <w:r>
        <w:rPr>
          <w:rFonts w:hint="eastAsia"/>
        </w:rPr>
        <w:t>系统故障应按影响范围和业务重要程度分级处置。</w:t>
      </w:r>
    </w:p>
    <w:p w14:paraId="5E04A4FC">
      <w:pPr>
        <w:pStyle w:val="165"/>
        <w:spacing w:line="360" w:lineRule="auto"/>
      </w:pPr>
      <w:r>
        <w:rPr>
          <w:rFonts w:hint="eastAsia"/>
        </w:rPr>
        <w:t>影响监测预警、巡查工单、应急处置和供水防洪安全的故障，应优先处理。</w:t>
      </w:r>
    </w:p>
    <w:p w14:paraId="1B124E4D">
      <w:pPr>
        <w:pStyle w:val="165"/>
        <w:spacing w:line="360" w:lineRule="auto"/>
      </w:pPr>
      <w:r>
        <w:rPr>
          <w:rFonts w:hint="eastAsia"/>
        </w:rPr>
        <w:t>故障处理应记录故障时间、故障现象、影响范围、处置措施、恢复时间、责任人员和原因分析。</w:t>
      </w:r>
    </w:p>
    <w:p w14:paraId="071CC458">
      <w:pPr>
        <w:pStyle w:val="165"/>
        <w:spacing w:line="360" w:lineRule="auto"/>
      </w:pPr>
      <w:r>
        <w:rPr>
          <w:rFonts w:hint="eastAsia"/>
        </w:rPr>
        <w:t>故障造成数据缺失、工单延误或预警中断的，应补充核查和补录。</w:t>
      </w:r>
    </w:p>
    <w:p w14:paraId="59A98046">
      <w:pPr>
        <w:pStyle w:val="165"/>
        <w:spacing w:line="360" w:lineRule="auto"/>
      </w:pPr>
      <w:r>
        <w:rPr>
          <w:rFonts w:hint="eastAsia"/>
        </w:rPr>
        <w:t>重大故障处置后应开展复盘，并应制定预防措施。</w:t>
      </w:r>
    </w:p>
    <w:p w14:paraId="75DA23AA">
      <w:pPr>
        <w:pStyle w:val="105"/>
        <w:spacing w:before="120" w:after="120" w:line="360" w:lineRule="auto"/>
      </w:pPr>
      <w:r>
        <w:rPr>
          <w:rFonts w:hint="eastAsia"/>
        </w:rPr>
        <w:t>备份与恢复</w:t>
      </w:r>
    </w:p>
    <w:p w14:paraId="5B7E0A4F">
      <w:pPr>
        <w:pStyle w:val="165"/>
        <w:spacing w:line="360" w:lineRule="auto"/>
      </w:pPr>
      <w:r>
        <w:rPr>
          <w:rFonts w:hint="eastAsia"/>
        </w:rPr>
        <w:t>平台数据应定期备份。</w:t>
      </w:r>
    </w:p>
    <w:p w14:paraId="76D92692">
      <w:pPr>
        <w:pStyle w:val="165"/>
        <w:spacing w:line="360" w:lineRule="auto"/>
      </w:pPr>
      <w:r>
        <w:rPr>
          <w:rFonts w:hint="eastAsia"/>
        </w:rPr>
        <w:t>备份范围应包括工程基础数据、监测数据、巡查记录、工单记录、隐患资料、维修养护资料、应急处置资料、系统配置和日志数据。</w:t>
      </w:r>
    </w:p>
    <w:p w14:paraId="1BB27D84">
      <w:pPr>
        <w:pStyle w:val="165"/>
        <w:spacing w:line="360" w:lineRule="auto"/>
      </w:pPr>
      <w:r>
        <w:rPr>
          <w:rFonts w:hint="eastAsia"/>
        </w:rPr>
        <w:t>备份策略应明确备份周期、备份方式、保存期限、存放位置和责任人员。</w:t>
      </w:r>
    </w:p>
    <w:p w14:paraId="14A11335">
      <w:pPr>
        <w:pStyle w:val="165"/>
        <w:spacing w:line="360" w:lineRule="auto"/>
      </w:pPr>
      <w:r>
        <w:rPr>
          <w:rFonts w:hint="eastAsia"/>
        </w:rPr>
        <w:t>备份数据应定期开展恢复验证。</w:t>
      </w:r>
    </w:p>
    <w:p w14:paraId="4EEF1A8B">
      <w:pPr>
        <w:pStyle w:val="165"/>
        <w:spacing w:line="360" w:lineRule="auto"/>
      </w:pPr>
      <w:r>
        <w:rPr>
          <w:rFonts w:hint="eastAsia"/>
        </w:rPr>
        <w:t>系统迁移、版本升级或存储介质更换前，应完成数据备份和恢复预案确认。</w:t>
      </w:r>
    </w:p>
    <w:p w14:paraId="3585A7E8">
      <w:pPr>
        <w:pStyle w:val="104"/>
        <w:spacing w:before="240" w:after="240" w:line="360" w:lineRule="auto"/>
      </w:pPr>
      <w:bookmarkStart w:id="61" w:name="_Toc228605147"/>
      <w:r>
        <w:rPr>
          <w:rFonts w:hint="eastAsia"/>
        </w:rPr>
        <w:t>管护评价与持续改进</w:t>
      </w:r>
      <w:bookmarkEnd w:id="61"/>
    </w:p>
    <w:p w14:paraId="5A3D2141">
      <w:pPr>
        <w:pStyle w:val="105"/>
        <w:spacing w:before="120" w:after="120" w:line="360" w:lineRule="auto"/>
      </w:pPr>
      <w:r>
        <w:rPr>
          <w:rFonts w:hint="eastAsia"/>
        </w:rPr>
        <w:t>一般要求</w:t>
      </w:r>
    </w:p>
    <w:p w14:paraId="69D65841">
      <w:pPr>
        <w:pStyle w:val="165"/>
        <w:spacing w:line="360" w:lineRule="auto"/>
      </w:pPr>
      <w:r>
        <w:rPr>
          <w:rFonts w:hint="eastAsia"/>
        </w:rPr>
        <w:t>工程管理单位应定期开展智能管护评价。</w:t>
      </w:r>
    </w:p>
    <w:p w14:paraId="517DF315">
      <w:pPr>
        <w:pStyle w:val="165"/>
        <w:spacing w:line="360" w:lineRule="auto"/>
      </w:pPr>
      <w:r>
        <w:rPr>
          <w:rFonts w:hint="eastAsia"/>
        </w:rPr>
        <w:t>管护评价应覆盖组织责任、对象管理、监测感知、巡查检查、隐患处置、维修养护、应急处置、平台运行、数据质量和资料归档等内容。</w:t>
      </w:r>
    </w:p>
    <w:p w14:paraId="152FF9FA">
      <w:pPr>
        <w:pStyle w:val="165"/>
        <w:spacing w:line="360" w:lineRule="auto"/>
      </w:pPr>
      <w:r>
        <w:rPr>
          <w:rFonts w:hint="eastAsia"/>
        </w:rPr>
        <w:t>管护评价应形成评价记录和评价结论。</w:t>
      </w:r>
    </w:p>
    <w:p w14:paraId="428E7DF9">
      <w:pPr>
        <w:pStyle w:val="165"/>
        <w:spacing w:line="360" w:lineRule="auto"/>
      </w:pPr>
      <w:r>
        <w:rPr>
          <w:rFonts w:hint="eastAsia"/>
        </w:rPr>
        <w:t>评价发现的问题应形成整改清单，并应明确责任单位、整改措施、完成期限和验证方式。</w:t>
      </w:r>
    </w:p>
    <w:p w14:paraId="2418AEE8">
      <w:pPr>
        <w:pStyle w:val="165"/>
        <w:spacing w:line="360" w:lineRule="auto"/>
      </w:pPr>
      <w:r>
        <w:rPr>
          <w:rFonts w:hint="eastAsia"/>
        </w:rPr>
        <w:t>智能管护评价指标可参照附录B执行。</w:t>
      </w:r>
    </w:p>
    <w:p w14:paraId="33304B5D">
      <w:pPr>
        <w:pStyle w:val="165"/>
        <w:numPr>
          <w:ilvl w:val="0"/>
          <w:numId w:val="0"/>
        </w:numPr>
        <w:spacing w:line="360" w:lineRule="auto"/>
      </w:pPr>
    </w:p>
    <w:p w14:paraId="7E3F469B">
      <w:pPr>
        <w:pStyle w:val="165"/>
        <w:numPr>
          <w:ilvl w:val="0"/>
          <w:numId w:val="0"/>
        </w:numPr>
        <w:spacing w:line="360" w:lineRule="auto"/>
        <w:rPr>
          <w:rFonts w:hint="eastAsia"/>
        </w:rPr>
      </w:pPr>
    </w:p>
    <w:p w14:paraId="6B8F1EA0">
      <w:pPr>
        <w:pStyle w:val="105"/>
        <w:spacing w:before="120" w:after="120" w:line="360" w:lineRule="auto"/>
      </w:pPr>
      <w:r>
        <w:rPr>
          <w:rFonts w:hint="eastAsia"/>
        </w:rPr>
        <w:t>评价内容</w:t>
      </w:r>
    </w:p>
    <w:p w14:paraId="71122050">
      <w:pPr>
        <w:pStyle w:val="165"/>
        <w:spacing w:line="360" w:lineRule="auto"/>
      </w:pPr>
      <w:r>
        <w:rPr>
          <w:rFonts w:hint="eastAsia"/>
        </w:rPr>
        <w:t>组织责任评价应检查责任清单、岗位职责、人员培训、通讯录和协同机制是否落实。</w:t>
      </w:r>
    </w:p>
    <w:p w14:paraId="3274415D">
      <w:pPr>
        <w:pStyle w:val="165"/>
        <w:spacing w:line="360" w:lineRule="auto"/>
      </w:pPr>
      <w:r>
        <w:rPr>
          <w:rFonts w:hint="eastAsia"/>
        </w:rPr>
        <w:t>对象管理评价应检查管护对象清单、编码、空间位置、责任单位和资料关联是否完整。</w:t>
      </w:r>
    </w:p>
    <w:p w14:paraId="5CC647A2">
      <w:pPr>
        <w:pStyle w:val="165"/>
        <w:spacing w:line="360" w:lineRule="auto"/>
      </w:pPr>
      <w:r>
        <w:rPr>
          <w:rFonts w:hint="eastAsia"/>
        </w:rPr>
        <w:t>监测感知评价应检查监测点位布设、设备在线率、数据完整率、异常处置和维护记录。</w:t>
      </w:r>
    </w:p>
    <w:p w14:paraId="3042B708">
      <w:pPr>
        <w:pStyle w:val="165"/>
        <w:spacing w:line="360" w:lineRule="auto"/>
      </w:pPr>
      <w:r>
        <w:rPr>
          <w:rFonts w:hint="eastAsia"/>
        </w:rPr>
        <w:t>巡查检查评价应检查巡查计划执行率、巡查覆盖率、巡查记录真实性和问题上报及时性。</w:t>
      </w:r>
    </w:p>
    <w:p w14:paraId="30668024">
      <w:pPr>
        <w:pStyle w:val="165"/>
        <w:spacing w:line="360" w:lineRule="auto"/>
      </w:pPr>
      <w:r>
        <w:rPr>
          <w:rFonts w:hint="eastAsia"/>
        </w:rPr>
        <w:t>隐患处置评价应检查隐患分级、工单派发、处置时限、复核关闭和重复隐患治理情况。</w:t>
      </w:r>
    </w:p>
    <w:p w14:paraId="52C2B1C2">
      <w:pPr>
        <w:pStyle w:val="165"/>
        <w:spacing w:line="360" w:lineRule="auto"/>
      </w:pPr>
      <w:r>
        <w:rPr>
          <w:rFonts w:hint="eastAsia"/>
        </w:rPr>
        <w:t>维修养护评价应检查养护计划执行、维修质量、工单闭环、设备状态和资金使用记录。</w:t>
      </w:r>
    </w:p>
    <w:p w14:paraId="7A4CF9EE">
      <w:pPr>
        <w:pStyle w:val="165"/>
        <w:spacing w:line="360" w:lineRule="auto"/>
      </w:pPr>
      <w:r>
        <w:rPr>
          <w:rFonts w:hint="eastAsia"/>
        </w:rPr>
        <w:t>应急处置评价应检查预案适用性、资源可用性、响应及时性、现场处置和处置记录完整性。</w:t>
      </w:r>
    </w:p>
    <w:p w14:paraId="53CDCBAD">
      <w:pPr>
        <w:pStyle w:val="165"/>
        <w:spacing w:line="360" w:lineRule="auto"/>
      </w:pPr>
      <w:r>
        <w:rPr>
          <w:rFonts w:hint="eastAsia"/>
        </w:rPr>
        <w:t>平台运行评价应检查系统可用性、数据质量、权限管理、日志记录、备份恢复和用户使用情况。</w:t>
      </w:r>
    </w:p>
    <w:p w14:paraId="6D16DFF3">
      <w:pPr>
        <w:pStyle w:val="105"/>
        <w:spacing w:before="120" w:after="120" w:line="360" w:lineRule="auto"/>
      </w:pPr>
      <w:r>
        <w:rPr>
          <w:rFonts w:hint="eastAsia"/>
        </w:rPr>
        <w:t>评价频次</w:t>
      </w:r>
    </w:p>
    <w:p w14:paraId="37CC4E74">
      <w:pPr>
        <w:pStyle w:val="165"/>
        <w:spacing w:line="360" w:lineRule="auto"/>
      </w:pPr>
      <w:r>
        <w:rPr>
          <w:rFonts w:hint="eastAsia"/>
        </w:rPr>
        <w:t>智能管护综合评价每年不宜少于一次。</w:t>
      </w:r>
    </w:p>
    <w:p w14:paraId="4A286DC2">
      <w:pPr>
        <w:pStyle w:val="165"/>
        <w:spacing w:line="360" w:lineRule="auto"/>
      </w:pPr>
      <w:r>
        <w:rPr>
          <w:rFonts w:hint="eastAsia"/>
        </w:rPr>
        <w:t>重点管护对象、重大隐患整改后、汛后、供水保障期后和重大故障处置后，应开展专项评价。</w:t>
      </w:r>
    </w:p>
    <w:p w14:paraId="192D539B">
      <w:pPr>
        <w:pStyle w:val="165"/>
        <w:spacing w:line="360" w:lineRule="auto"/>
      </w:pPr>
      <w:r>
        <w:rPr>
          <w:rFonts w:hint="eastAsia"/>
        </w:rPr>
        <w:t>巡查检查、隐患处置、维修养护和平台运行情况宜按月度或季度开展统计分析。</w:t>
      </w:r>
    </w:p>
    <w:p w14:paraId="77DDEB2D">
      <w:pPr>
        <w:pStyle w:val="165"/>
        <w:spacing w:line="360" w:lineRule="auto"/>
      </w:pPr>
      <w:r>
        <w:rPr>
          <w:rFonts w:hint="eastAsia"/>
        </w:rPr>
        <w:t>评价频次应根据工程风险、管理要求和监督检查要求调整。</w:t>
      </w:r>
    </w:p>
    <w:p w14:paraId="256A1C90">
      <w:pPr>
        <w:pStyle w:val="105"/>
        <w:spacing w:before="120" w:after="120" w:line="360" w:lineRule="auto"/>
      </w:pPr>
      <w:r>
        <w:rPr>
          <w:rFonts w:hint="eastAsia"/>
        </w:rPr>
        <w:t>持续改进</w:t>
      </w:r>
    </w:p>
    <w:p w14:paraId="29866E26">
      <w:pPr>
        <w:pStyle w:val="165"/>
        <w:spacing w:line="360" w:lineRule="auto"/>
      </w:pPr>
      <w:r>
        <w:rPr>
          <w:rFonts w:hint="eastAsia"/>
        </w:rPr>
        <w:t>工程管理单位应根据评价结果持续改进智能管护制度、巡查计划、预警规则、监测布设、维修养护计划和平台功能。</w:t>
      </w:r>
    </w:p>
    <w:p w14:paraId="1BFEB75C">
      <w:pPr>
        <w:pStyle w:val="165"/>
        <w:spacing w:line="360" w:lineRule="auto"/>
      </w:pPr>
      <w:r>
        <w:rPr>
          <w:rFonts w:hint="eastAsia"/>
        </w:rPr>
        <w:t>对重复发生的隐患、长期未关闭工单、频繁设备故障和数据质量问题，应开展原因分析。</w:t>
      </w:r>
    </w:p>
    <w:p w14:paraId="74A7F4B4">
      <w:pPr>
        <w:pStyle w:val="165"/>
        <w:spacing w:line="360" w:lineRule="auto"/>
      </w:pPr>
      <w:r>
        <w:rPr>
          <w:rFonts w:hint="eastAsia"/>
        </w:rPr>
        <w:t>改进措施完成后，应进行效果验证。</w:t>
      </w:r>
    </w:p>
    <w:p w14:paraId="0B315B81">
      <w:pPr>
        <w:pStyle w:val="165"/>
        <w:spacing w:line="360" w:lineRule="auto"/>
      </w:pPr>
      <w:r>
        <w:rPr>
          <w:rFonts w:hint="eastAsia"/>
        </w:rPr>
        <w:t>改进成果应固化为制度、流程、平台配置、培训内容或操作手册。</w:t>
      </w:r>
    </w:p>
    <w:p w14:paraId="719CD550">
      <w:pPr>
        <w:pStyle w:val="104"/>
        <w:spacing w:before="240" w:after="240" w:line="360" w:lineRule="auto"/>
      </w:pPr>
      <w:bookmarkStart w:id="62" w:name="_Toc228605148"/>
      <w:r>
        <w:rPr>
          <w:rFonts w:hint="eastAsia"/>
        </w:rPr>
        <w:t>资料归档</w:t>
      </w:r>
      <w:bookmarkEnd w:id="62"/>
    </w:p>
    <w:p w14:paraId="54B42399">
      <w:pPr>
        <w:pStyle w:val="105"/>
        <w:spacing w:before="120" w:after="120" w:line="360" w:lineRule="auto"/>
      </w:pPr>
      <w:r>
        <w:rPr>
          <w:rFonts w:hint="eastAsia"/>
        </w:rPr>
        <w:t>一般要求</w:t>
      </w:r>
    </w:p>
    <w:p w14:paraId="633D4349">
      <w:pPr>
        <w:pStyle w:val="165"/>
        <w:spacing w:line="360" w:lineRule="auto"/>
      </w:pPr>
      <w:r>
        <w:rPr>
          <w:rFonts w:hint="eastAsia"/>
        </w:rPr>
        <w:t>中小型水利工程智能管护资料应按工程对象、业务类型、时间顺序和事件编号分类归档。</w:t>
      </w:r>
    </w:p>
    <w:p w14:paraId="1D2ED964">
      <w:pPr>
        <w:pStyle w:val="165"/>
        <w:spacing w:line="360" w:lineRule="auto"/>
      </w:pPr>
      <w:r>
        <w:rPr>
          <w:rFonts w:hint="eastAsia"/>
        </w:rPr>
        <w:t>归档资料应真实、完整、清晰、可读取、可追溯。</w:t>
      </w:r>
    </w:p>
    <w:p w14:paraId="778DA05E">
      <w:pPr>
        <w:pStyle w:val="165"/>
        <w:spacing w:line="360" w:lineRule="auto"/>
      </w:pPr>
      <w:r>
        <w:rPr>
          <w:rFonts w:hint="eastAsia"/>
        </w:rPr>
        <w:t>纸质资料和电子资料应建立对应关系。</w:t>
      </w:r>
    </w:p>
    <w:p w14:paraId="43F2CA30">
      <w:pPr>
        <w:pStyle w:val="165"/>
        <w:spacing w:line="360" w:lineRule="auto"/>
      </w:pPr>
      <w:r>
        <w:rPr>
          <w:rFonts w:hint="eastAsia"/>
        </w:rPr>
        <w:t>归档资料不得擅自删除、替换、损毁或外传。</w:t>
      </w:r>
    </w:p>
    <w:p w14:paraId="390EF69D">
      <w:pPr>
        <w:pStyle w:val="165"/>
        <w:spacing w:line="360" w:lineRule="auto"/>
      </w:pPr>
      <w:r>
        <w:rPr>
          <w:rFonts w:hint="eastAsia"/>
        </w:rPr>
        <w:t>资料查阅、复制、移交和销毁应履行审批程序。</w:t>
      </w:r>
    </w:p>
    <w:p w14:paraId="3E9B1937">
      <w:pPr>
        <w:pStyle w:val="105"/>
        <w:spacing w:before="120" w:after="120" w:line="360" w:lineRule="auto"/>
      </w:pPr>
      <w:r>
        <w:rPr>
          <w:rFonts w:hint="eastAsia"/>
        </w:rPr>
        <w:t>归档内容</w:t>
      </w:r>
    </w:p>
    <w:p w14:paraId="601FCCA1">
      <w:pPr>
        <w:pStyle w:val="165"/>
        <w:spacing w:line="360" w:lineRule="auto"/>
      </w:pPr>
      <w:r>
        <w:rPr>
          <w:rFonts w:hint="eastAsia"/>
        </w:rPr>
        <w:t>工程基础资料应包括工程基本信息、设计资料、竣工资料、运行规程、安全鉴定资料、责任清单和管护对象清单。</w:t>
      </w:r>
    </w:p>
    <w:p w14:paraId="1BD57F14">
      <w:pPr>
        <w:pStyle w:val="165"/>
        <w:spacing w:line="360" w:lineRule="auto"/>
      </w:pPr>
      <w:r>
        <w:rPr>
          <w:rFonts w:hint="eastAsia"/>
        </w:rPr>
        <w:t>监测感知资料应包括测点台账、设备台账、监测数据、设备维护记录、数据异常处置记录和校验记录。</w:t>
      </w:r>
    </w:p>
    <w:p w14:paraId="7F228664">
      <w:pPr>
        <w:pStyle w:val="165"/>
        <w:spacing w:line="360" w:lineRule="auto"/>
      </w:pPr>
      <w:r>
        <w:rPr>
          <w:rFonts w:hint="eastAsia"/>
        </w:rPr>
        <w:t>巡查检查资料应包括巡查计划、巡查记录、现场照片视频、问题上报记录和巡查统计资料。</w:t>
      </w:r>
    </w:p>
    <w:p w14:paraId="6258B0C6">
      <w:pPr>
        <w:pStyle w:val="165"/>
        <w:spacing w:line="360" w:lineRule="auto"/>
      </w:pPr>
      <w:r>
        <w:rPr>
          <w:rFonts w:hint="eastAsia"/>
        </w:rPr>
        <w:t>隐患治理资料应包括隐患台账、分级记录、处置工单、整改资料、复核记录和关闭记录。</w:t>
      </w:r>
    </w:p>
    <w:p w14:paraId="4C42E8D9">
      <w:pPr>
        <w:pStyle w:val="165"/>
        <w:spacing w:line="360" w:lineRule="auto"/>
      </w:pPr>
      <w:r>
        <w:rPr>
          <w:rFonts w:hint="eastAsia"/>
        </w:rPr>
        <w:t>维修养护资料应包括养护计划、维修工单、材料记录、作业记录、验收记录和费用资料。</w:t>
      </w:r>
    </w:p>
    <w:p w14:paraId="15969873">
      <w:pPr>
        <w:pStyle w:val="165"/>
        <w:spacing w:line="360" w:lineRule="auto"/>
      </w:pPr>
      <w:r>
        <w:rPr>
          <w:rFonts w:hint="eastAsia"/>
        </w:rPr>
        <w:t>应急处置资料应包括预案、演练记录、险情报告、处置记录、物资调拨记录、现场反馈和复盘资料。</w:t>
      </w:r>
    </w:p>
    <w:p w14:paraId="735B1273">
      <w:pPr>
        <w:pStyle w:val="165"/>
        <w:spacing w:line="360" w:lineRule="auto"/>
      </w:pPr>
      <w:r>
        <w:rPr>
          <w:rFonts w:hint="eastAsia"/>
        </w:rPr>
        <w:t>平台运维资料应包括系统巡检记录、故障记录、变更记录、备份记录、恢复验证记录、安全审计记录和用户培训资料。</w:t>
      </w:r>
    </w:p>
    <w:p w14:paraId="2E2B4666">
      <w:pPr>
        <w:pStyle w:val="105"/>
        <w:spacing w:before="120" w:after="120" w:line="360" w:lineRule="auto"/>
      </w:pPr>
      <w:r>
        <w:rPr>
          <w:rFonts w:hint="eastAsia"/>
        </w:rPr>
        <w:t>电子档案</w:t>
      </w:r>
    </w:p>
    <w:p w14:paraId="0B77F142">
      <w:pPr>
        <w:pStyle w:val="165"/>
        <w:spacing w:line="360" w:lineRule="auto"/>
      </w:pPr>
      <w:r>
        <w:rPr>
          <w:rFonts w:hint="eastAsia"/>
        </w:rPr>
        <w:t>电子档案应统一编号、分类、命名和版本管理。</w:t>
      </w:r>
    </w:p>
    <w:p w14:paraId="2B2C586D">
      <w:pPr>
        <w:pStyle w:val="165"/>
        <w:spacing w:line="360" w:lineRule="auto"/>
      </w:pPr>
      <w:r>
        <w:rPr>
          <w:rFonts w:hint="eastAsia"/>
        </w:rPr>
        <w:t>电子档案应与工程对象、设备编号、测点编号、工单编号、隐患编号或事件编号关联。</w:t>
      </w:r>
    </w:p>
    <w:p w14:paraId="0FE8DA00">
      <w:pPr>
        <w:pStyle w:val="165"/>
        <w:spacing w:line="360" w:lineRule="auto"/>
      </w:pPr>
      <w:r>
        <w:rPr>
          <w:rFonts w:hint="eastAsia"/>
        </w:rPr>
        <w:t>电子档案应定期备份，并应验证完整性和可读取性。</w:t>
      </w:r>
    </w:p>
    <w:p w14:paraId="5C66FE43">
      <w:pPr>
        <w:pStyle w:val="165"/>
        <w:spacing w:line="360" w:lineRule="auto"/>
      </w:pPr>
      <w:r>
        <w:rPr>
          <w:rFonts w:hint="eastAsia"/>
        </w:rPr>
        <w:t>系统迁移、平台升级或存储介质更换时，应同步迁移电子档案，并应验证迁移完整性。</w:t>
      </w:r>
    </w:p>
    <w:p w14:paraId="709A38A4">
      <w:pPr>
        <w:pStyle w:val="165"/>
        <w:spacing w:line="360" w:lineRule="auto"/>
      </w:pPr>
      <w:r>
        <w:rPr>
          <w:rFonts w:hint="eastAsia"/>
        </w:rPr>
        <w:t>电子档案不得长期存放在个人电脑、个人邮箱、个人网盘或非受控移动存储介质中。</w:t>
      </w:r>
    </w:p>
    <w:p w14:paraId="137C5E2C">
      <w:pPr>
        <w:pStyle w:val="105"/>
        <w:spacing w:before="120" w:after="120" w:line="360" w:lineRule="auto"/>
      </w:pPr>
      <w:r>
        <w:rPr>
          <w:rFonts w:hint="eastAsia"/>
        </w:rPr>
        <w:t>保存期限与销毁</w:t>
      </w:r>
    </w:p>
    <w:p w14:paraId="0E4BADAC">
      <w:pPr>
        <w:pStyle w:val="165"/>
        <w:spacing w:line="360" w:lineRule="auto"/>
      </w:pPr>
      <w:r>
        <w:rPr>
          <w:rFonts w:hint="eastAsia"/>
        </w:rPr>
        <w:t>资料保存期限应满足工程运行管理、监督检查、责任追溯和法律法规要求。</w:t>
      </w:r>
    </w:p>
    <w:p w14:paraId="59D252B3">
      <w:pPr>
        <w:pStyle w:val="165"/>
        <w:spacing w:line="360" w:lineRule="auto"/>
      </w:pPr>
      <w:r>
        <w:rPr>
          <w:rFonts w:hint="eastAsia"/>
        </w:rPr>
        <w:t>涉及工程安全、重大隐患、重大维修、险情处置、事故调查和责任追溯的资料，应按较长期限保存。</w:t>
      </w:r>
    </w:p>
    <w:p w14:paraId="5AF66457">
      <w:pPr>
        <w:pStyle w:val="165"/>
        <w:spacing w:line="360" w:lineRule="auto"/>
      </w:pPr>
      <w:r>
        <w:rPr>
          <w:rFonts w:hint="eastAsia"/>
        </w:rPr>
        <w:t>保存期限未届满的资料不得销毁。</w:t>
      </w:r>
    </w:p>
    <w:p w14:paraId="077B8635">
      <w:pPr>
        <w:pStyle w:val="165"/>
        <w:spacing w:line="360" w:lineRule="auto"/>
      </w:pPr>
      <w:r>
        <w:rPr>
          <w:rFonts w:hint="eastAsia"/>
        </w:rPr>
        <w:t>保存期满需销毁的，应进行鉴定和审批，并应形成销毁记录。</w:t>
      </w:r>
    </w:p>
    <w:p w14:paraId="5E2EE34C">
      <w:pPr>
        <w:pStyle w:val="165"/>
        <w:numPr>
          <w:ilvl w:val="0"/>
          <w:numId w:val="0"/>
        </w:numPr>
        <w:rPr>
          <w:rFonts w:hint="eastAsia"/>
        </w:rPr>
      </w:pPr>
    </w:p>
    <w:p w14:paraId="27B0495E">
      <w:pPr>
        <w:pStyle w:val="56"/>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pPr>
    </w:p>
    <w:bookmarkEnd w:id="26"/>
    <w:p w14:paraId="16F19A96">
      <w:pPr>
        <w:pStyle w:val="198"/>
        <w:rPr>
          <w:rFonts w:hint="eastAsia"/>
        </w:rPr>
      </w:pPr>
      <w:bookmarkStart w:id="63" w:name="BookMark5"/>
    </w:p>
    <w:p w14:paraId="1AADA9AD">
      <w:pPr>
        <w:pStyle w:val="199"/>
      </w:pPr>
    </w:p>
    <w:p w14:paraId="16FB7C19">
      <w:pPr>
        <w:pStyle w:val="76"/>
        <w:spacing w:after="120" w:line="360" w:lineRule="auto"/>
      </w:pPr>
      <w:r>
        <w:br w:type="textWrapping"/>
      </w:r>
      <w:bookmarkStart w:id="64" w:name="_Toc228605149"/>
      <w:r>
        <w:rPr>
          <w:rFonts w:hint="eastAsia"/>
        </w:rPr>
        <w:t>（资料性）</w:t>
      </w:r>
      <w:r>
        <w:br w:type="textWrapping"/>
      </w:r>
      <w:r>
        <w:rPr>
          <w:rFonts w:hint="eastAsia"/>
        </w:rPr>
        <w:t>中小型水利工程智能管护巡查频次与检查内容</w:t>
      </w:r>
      <w:bookmarkEnd w:id="64"/>
    </w:p>
    <w:p w14:paraId="104E2426">
      <w:pPr>
        <w:pStyle w:val="211"/>
        <w:spacing w:line="360" w:lineRule="auto"/>
      </w:pPr>
      <w:r>
        <w:t>中小型水利工程智能管护巡查频次与检查内容可按表A.1执行。</w:t>
      </w:r>
    </w:p>
    <w:p w14:paraId="5045F0C7">
      <w:pPr>
        <w:pStyle w:val="77"/>
        <w:spacing w:before="120" w:after="120" w:line="360" w:lineRule="auto"/>
      </w:pPr>
      <w:r>
        <w:t>中小型水利工程智能管护巡查频次与检查内容</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1842"/>
        <w:gridCol w:w="3119"/>
        <w:gridCol w:w="2823"/>
      </w:tblGrid>
      <w:tr w14:paraId="5339CC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0" w:type="dxa"/>
            <w:tcBorders>
              <w:top w:val="single" w:color="auto" w:sz="8" w:space="0"/>
              <w:bottom w:val="single" w:color="auto" w:sz="8" w:space="0"/>
            </w:tcBorders>
            <w:vAlign w:val="center"/>
          </w:tcPr>
          <w:p w14:paraId="1813343A">
            <w:pPr>
              <w:pStyle w:val="178"/>
            </w:pPr>
            <w:r>
              <w:rPr>
                <w:rFonts w:hint="eastAsia"/>
              </w:rPr>
              <w:t>工程类型</w:t>
            </w:r>
          </w:p>
        </w:tc>
        <w:tc>
          <w:tcPr>
            <w:tcW w:w="1842" w:type="dxa"/>
            <w:tcBorders>
              <w:top w:val="single" w:color="auto" w:sz="8" w:space="0"/>
              <w:bottom w:val="single" w:color="auto" w:sz="8" w:space="0"/>
            </w:tcBorders>
            <w:vAlign w:val="center"/>
          </w:tcPr>
          <w:p w14:paraId="33C750DD">
            <w:pPr>
              <w:pStyle w:val="178"/>
            </w:pPr>
            <w:r>
              <w:rPr>
                <w:rFonts w:hint="eastAsia"/>
              </w:rPr>
              <w:t>常规巡查频次</w:t>
            </w:r>
          </w:p>
        </w:tc>
        <w:tc>
          <w:tcPr>
            <w:tcW w:w="3119" w:type="dxa"/>
            <w:tcBorders>
              <w:top w:val="single" w:color="auto" w:sz="8" w:space="0"/>
              <w:bottom w:val="single" w:color="auto" w:sz="8" w:space="0"/>
            </w:tcBorders>
            <w:vAlign w:val="center"/>
          </w:tcPr>
          <w:p w14:paraId="0076062E">
            <w:pPr>
              <w:pStyle w:val="178"/>
            </w:pPr>
            <w:r>
              <w:rPr>
                <w:rFonts w:hint="eastAsia"/>
              </w:rPr>
              <w:t>特殊时期巡查要求</w:t>
            </w:r>
          </w:p>
        </w:tc>
        <w:tc>
          <w:tcPr>
            <w:tcW w:w="2823" w:type="dxa"/>
            <w:tcBorders>
              <w:top w:val="single" w:color="auto" w:sz="8" w:space="0"/>
              <w:bottom w:val="single" w:color="auto" w:sz="8" w:space="0"/>
            </w:tcBorders>
            <w:vAlign w:val="center"/>
          </w:tcPr>
          <w:p w14:paraId="4AD7C8A9">
            <w:pPr>
              <w:pStyle w:val="178"/>
            </w:pPr>
            <w:r>
              <w:rPr>
                <w:rFonts w:hint="eastAsia"/>
              </w:rPr>
              <w:t>主要检查内容</w:t>
            </w:r>
          </w:p>
        </w:tc>
      </w:tr>
      <w:tr w14:paraId="3336B3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Borders>
              <w:top w:val="single" w:color="auto" w:sz="8" w:space="0"/>
            </w:tcBorders>
            <w:vAlign w:val="center"/>
          </w:tcPr>
          <w:p w14:paraId="6B744A6A">
            <w:pPr>
              <w:pStyle w:val="178"/>
            </w:pPr>
            <w:r>
              <w:rPr>
                <w:rFonts w:hint="eastAsia"/>
              </w:rPr>
              <w:t>中小型水库、塘坝</w:t>
            </w:r>
          </w:p>
        </w:tc>
        <w:tc>
          <w:tcPr>
            <w:tcW w:w="1842" w:type="dxa"/>
            <w:tcBorders>
              <w:top w:val="single" w:color="auto" w:sz="8" w:space="0"/>
            </w:tcBorders>
            <w:vAlign w:val="center"/>
          </w:tcPr>
          <w:p w14:paraId="6757BD71">
            <w:pPr>
              <w:pStyle w:val="178"/>
            </w:pPr>
            <w:r>
              <w:rPr>
                <w:rFonts w:hint="eastAsia"/>
              </w:rPr>
              <w:t>每周不宜少于1次</w:t>
            </w:r>
          </w:p>
        </w:tc>
        <w:tc>
          <w:tcPr>
            <w:tcW w:w="3119" w:type="dxa"/>
            <w:tcBorders>
              <w:top w:val="single" w:color="auto" w:sz="8" w:space="0"/>
            </w:tcBorders>
            <w:vAlign w:val="center"/>
          </w:tcPr>
          <w:p w14:paraId="2C0B787C">
            <w:pPr>
              <w:pStyle w:val="178"/>
            </w:pPr>
            <w:r>
              <w:rPr>
                <w:rFonts w:hint="eastAsia"/>
              </w:rPr>
              <w:t>汛期、强降雨、高水位时应加密巡查</w:t>
            </w:r>
          </w:p>
        </w:tc>
        <w:tc>
          <w:tcPr>
            <w:tcW w:w="2823" w:type="dxa"/>
            <w:tcBorders>
              <w:top w:val="single" w:color="auto" w:sz="8" w:space="0"/>
            </w:tcBorders>
            <w:vAlign w:val="center"/>
          </w:tcPr>
          <w:p w14:paraId="7139AD2B">
            <w:pPr>
              <w:pStyle w:val="178"/>
            </w:pPr>
            <w:r>
              <w:rPr>
                <w:rFonts w:hint="eastAsia"/>
              </w:rPr>
              <w:t>坝体、坝坡、溢洪道、</w:t>
            </w:r>
          </w:p>
          <w:p w14:paraId="79704737">
            <w:pPr>
              <w:pStyle w:val="178"/>
            </w:pPr>
            <w:r>
              <w:rPr>
                <w:rFonts w:hint="eastAsia"/>
              </w:rPr>
              <w:t>输泄水建筑物、渗漏、裂缝、</w:t>
            </w:r>
          </w:p>
          <w:p w14:paraId="4F19FE1E">
            <w:pPr>
              <w:pStyle w:val="178"/>
            </w:pPr>
            <w:r>
              <w:rPr>
                <w:rFonts w:hint="eastAsia"/>
              </w:rPr>
              <w:t>库岸、监测设施</w:t>
            </w:r>
          </w:p>
        </w:tc>
      </w:tr>
      <w:tr w14:paraId="426952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548826E5">
            <w:pPr>
              <w:pStyle w:val="178"/>
            </w:pPr>
            <w:r>
              <w:rPr>
                <w:rFonts w:hint="eastAsia"/>
              </w:rPr>
              <w:t>水闸</w:t>
            </w:r>
          </w:p>
        </w:tc>
        <w:tc>
          <w:tcPr>
            <w:tcW w:w="1842" w:type="dxa"/>
            <w:vAlign w:val="center"/>
          </w:tcPr>
          <w:p w14:paraId="06490E50">
            <w:pPr>
              <w:pStyle w:val="178"/>
            </w:pPr>
            <w:r>
              <w:rPr>
                <w:rFonts w:hint="eastAsia"/>
              </w:rPr>
              <w:t>每周不宜少于1次</w:t>
            </w:r>
          </w:p>
        </w:tc>
        <w:tc>
          <w:tcPr>
            <w:tcW w:w="3119" w:type="dxa"/>
            <w:vAlign w:val="center"/>
          </w:tcPr>
          <w:p w14:paraId="3BB6D4DA">
            <w:pPr>
              <w:pStyle w:val="178"/>
            </w:pPr>
            <w:r>
              <w:rPr>
                <w:rFonts w:hint="eastAsia"/>
              </w:rPr>
              <w:t>汛期、启闭运行前后应专项检查</w:t>
            </w:r>
          </w:p>
        </w:tc>
        <w:tc>
          <w:tcPr>
            <w:tcW w:w="2823" w:type="dxa"/>
            <w:vAlign w:val="center"/>
          </w:tcPr>
          <w:p w14:paraId="7D9E0E18">
            <w:pPr>
              <w:pStyle w:val="178"/>
            </w:pPr>
            <w:r>
              <w:rPr>
                <w:rFonts w:hint="eastAsia"/>
              </w:rPr>
              <w:t>闸门、启闭机、闸室、</w:t>
            </w:r>
          </w:p>
          <w:p w14:paraId="3E8D926C">
            <w:pPr>
              <w:pStyle w:val="178"/>
            </w:pPr>
            <w:r>
              <w:rPr>
                <w:rFonts w:hint="eastAsia"/>
              </w:rPr>
              <w:t>上下游连接段、电气控制、</w:t>
            </w:r>
          </w:p>
          <w:p w14:paraId="7010751A">
            <w:pPr>
              <w:pStyle w:val="178"/>
            </w:pPr>
            <w:r>
              <w:rPr>
                <w:rFonts w:hint="eastAsia"/>
              </w:rPr>
              <w:t>消能防冲设施</w:t>
            </w:r>
          </w:p>
        </w:tc>
      </w:tr>
      <w:tr w14:paraId="06E511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5D88C306">
            <w:pPr>
              <w:pStyle w:val="178"/>
            </w:pPr>
            <w:r>
              <w:rPr>
                <w:rFonts w:hint="eastAsia"/>
              </w:rPr>
              <w:t>泵站</w:t>
            </w:r>
          </w:p>
        </w:tc>
        <w:tc>
          <w:tcPr>
            <w:tcW w:w="1842" w:type="dxa"/>
            <w:vAlign w:val="center"/>
          </w:tcPr>
          <w:p w14:paraId="62AE9AD7">
            <w:pPr>
              <w:pStyle w:val="178"/>
            </w:pPr>
            <w:r>
              <w:rPr>
                <w:rFonts w:hint="eastAsia"/>
              </w:rPr>
              <w:t>每周不宜少于1次</w:t>
            </w:r>
          </w:p>
        </w:tc>
        <w:tc>
          <w:tcPr>
            <w:tcW w:w="3119" w:type="dxa"/>
            <w:vAlign w:val="center"/>
          </w:tcPr>
          <w:p w14:paraId="5F7705E4">
            <w:pPr>
              <w:pStyle w:val="178"/>
            </w:pPr>
            <w:r>
              <w:rPr>
                <w:rFonts w:hint="eastAsia"/>
              </w:rPr>
              <w:t>排涝、灌溉、供水高峰期应加强检查</w:t>
            </w:r>
          </w:p>
        </w:tc>
        <w:tc>
          <w:tcPr>
            <w:tcW w:w="2823" w:type="dxa"/>
            <w:vAlign w:val="center"/>
          </w:tcPr>
          <w:p w14:paraId="1032EBC8">
            <w:pPr>
              <w:pStyle w:val="178"/>
            </w:pPr>
            <w:r>
              <w:rPr>
                <w:rFonts w:hint="eastAsia"/>
              </w:rPr>
              <w:t>水泵、电机、阀门、配电、</w:t>
            </w:r>
          </w:p>
          <w:p w14:paraId="7429E938">
            <w:pPr>
              <w:pStyle w:val="178"/>
            </w:pPr>
            <w:r>
              <w:rPr>
                <w:rFonts w:hint="eastAsia"/>
              </w:rPr>
              <w:t>备用电源、进出水池、拦污设施</w:t>
            </w:r>
          </w:p>
        </w:tc>
      </w:tr>
      <w:tr w14:paraId="4A2395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1CCB84AD">
            <w:pPr>
              <w:pStyle w:val="178"/>
            </w:pPr>
            <w:r>
              <w:rPr>
                <w:rFonts w:hint="eastAsia"/>
              </w:rPr>
              <w:t>堤防</w:t>
            </w:r>
          </w:p>
        </w:tc>
        <w:tc>
          <w:tcPr>
            <w:tcW w:w="1842" w:type="dxa"/>
            <w:vAlign w:val="center"/>
          </w:tcPr>
          <w:p w14:paraId="46ADA4BC">
            <w:pPr>
              <w:pStyle w:val="178"/>
            </w:pPr>
            <w:r>
              <w:rPr>
                <w:rFonts w:hint="eastAsia"/>
              </w:rPr>
              <w:t>每周不宜少于1次</w:t>
            </w:r>
          </w:p>
        </w:tc>
        <w:tc>
          <w:tcPr>
            <w:tcW w:w="3119" w:type="dxa"/>
            <w:vAlign w:val="center"/>
          </w:tcPr>
          <w:p w14:paraId="0E958981">
            <w:pPr>
              <w:pStyle w:val="178"/>
            </w:pPr>
            <w:r>
              <w:rPr>
                <w:rFonts w:hint="eastAsia"/>
              </w:rPr>
              <w:t>高水位、强降雨和险情期应连续巡查</w:t>
            </w:r>
          </w:p>
        </w:tc>
        <w:tc>
          <w:tcPr>
            <w:tcW w:w="2823" w:type="dxa"/>
            <w:vAlign w:val="center"/>
          </w:tcPr>
          <w:p w14:paraId="19C8DF1A">
            <w:pPr>
              <w:pStyle w:val="178"/>
            </w:pPr>
            <w:r>
              <w:rPr>
                <w:rFonts w:hint="eastAsia"/>
              </w:rPr>
              <w:t>堤顶、堤坡、堤脚、穿堤建筑物、渗漏、管涌、裂缝、滑坡</w:t>
            </w:r>
          </w:p>
        </w:tc>
      </w:tr>
      <w:tr w14:paraId="4BAEAA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52300945">
            <w:pPr>
              <w:pStyle w:val="178"/>
            </w:pPr>
            <w:r>
              <w:rPr>
                <w:rFonts w:hint="eastAsia"/>
              </w:rPr>
              <w:t>灌排渠系</w:t>
            </w:r>
          </w:p>
        </w:tc>
        <w:tc>
          <w:tcPr>
            <w:tcW w:w="1842" w:type="dxa"/>
            <w:vAlign w:val="center"/>
          </w:tcPr>
          <w:p w14:paraId="17E0765C">
            <w:pPr>
              <w:pStyle w:val="178"/>
            </w:pPr>
            <w:r>
              <w:rPr>
                <w:rFonts w:hint="eastAsia"/>
              </w:rPr>
              <w:t>每月不宜少于1次</w:t>
            </w:r>
          </w:p>
        </w:tc>
        <w:tc>
          <w:tcPr>
            <w:tcW w:w="3119" w:type="dxa"/>
            <w:vAlign w:val="center"/>
          </w:tcPr>
          <w:p w14:paraId="1929562E">
            <w:pPr>
              <w:pStyle w:val="178"/>
            </w:pPr>
            <w:r>
              <w:rPr>
                <w:rFonts w:hint="eastAsia"/>
              </w:rPr>
              <w:t>灌溉期、排涝期、暴雨后应专项巡查</w:t>
            </w:r>
          </w:p>
        </w:tc>
        <w:tc>
          <w:tcPr>
            <w:tcW w:w="2823" w:type="dxa"/>
            <w:vAlign w:val="center"/>
          </w:tcPr>
          <w:p w14:paraId="72B9B123">
            <w:pPr>
              <w:pStyle w:val="178"/>
            </w:pPr>
            <w:r>
              <w:rPr>
                <w:rFonts w:hint="eastAsia"/>
              </w:rPr>
              <w:t>渠道、渠堤、分水口、节制闸、</w:t>
            </w:r>
          </w:p>
          <w:p w14:paraId="61DBE35F">
            <w:pPr>
              <w:pStyle w:val="178"/>
            </w:pPr>
            <w:r>
              <w:rPr>
                <w:rFonts w:hint="eastAsia"/>
              </w:rPr>
              <w:t>涵洞、淤积、堵塞、渗漏</w:t>
            </w:r>
          </w:p>
        </w:tc>
      </w:tr>
      <w:tr w14:paraId="7D860E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06C9F552">
            <w:pPr>
              <w:pStyle w:val="178"/>
            </w:pPr>
            <w:r>
              <w:rPr>
                <w:rFonts w:hint="eastAsia"/>
              </w:rPr>
              <w:t>农村供水工程</w:t>
            </w:r>
          </w:p>
        </w:tc>
        <w:tc>
          <w:tcPr>
            <w:tcW w:w="1842" w:type="dxa"/>
            <w:vAlign w:val="center"/>
          </w:tcPr>
          <w:p w14:paraId="0CD50E3A">
            <w:pPr>
              <w:pStyle w:val="178"/>
            </w:pPr>
            <w:r>
              <w:rPr>
                <w:rFonts w:hint="eastAsia"/>
              </w:rPr>
              <w:t>每周不宜少于1次</w:t>
            </w:r>
          </w:p>
        </w:tc>
        <w:tc>
          <w:tcPr>
            <w:tcW w:w="3119" w:type="dxa"/>
            <w:vAlign w:val="center"/>
          </w:tcPr>
          <w:p w14:paraId="12EED7C1">
            <w:pPr>
              <w:pStyle w:val="178"/>
            </w:pPr>
            <w:r>
              <w:rPr>
                <w:rFonts w:hint="eastAsia"/>
              </w:rPr>
              <w:t>水质异常、供水高峰、</w:t>
            </w:r>
          </w:p>
          <w:p w14:paraId="648F8CD4">
            <w:pPr>
              <w:pStyle w:val="178"/>
            </w:pPr>
            <w:r>
              <w:rPr>
                <w:rFonts w:hint="eastAsia"/>
              </w:rPr>
              <w:t>冰冻期应加强检查</w:t>
            </w:r>
          </w:p>
        </w:tc>
        <w:tc>
          <w:tcPr>
            <w:tcW w:w="2823" w:type="dxa"/>
            <w:vAlign w:val="center"/>
          </w:tcPr>
          <w:p w14:paraId="57D039C9">
            <w:pPr>
              <w:pStyle w:val="178"/>
            </w:pPr>
            <w:r>
              <w:rPr>
                <w:rFonts w:hint="eastAsia"/>
              </w:rPr>
              <w:t>水源地、取水设施、消毒设施、</w:t>
            </w:r>
          </w:p>
          <w:p w14:paraId="721A7EF9">
            <w:pPr>
              <w:pStyle w:val="178"/>
            </w:pPr>
            <w:r>
              <w:rPr>
                <w:rFonts w:hint="eastAsia"/>
              </w:rPr>
              <w:t>泵站、管网、蓄水池、水质监测点</w:t>
            </w:r>
          </w:p>
        </w:tc>
      </w:tr>
    </w:tbl>
    <w:p w14:paraId="024C9AFE">
      <w:pPr>
        <w:pStyle w:val="211"/>
        <w:spacing w:before="120" w:beforeLines="50"/>
      </w:pPr>
      <w:r>
        <w:t>表A.1所列频次为一般性要求。工程管理单位应根据工程风险、管护等级、运行状态和管理要求进行调整。</w:t>
      </w:r>
    </w:p>
    <w:p w14:paraId="42971EF6">
      <w:pPr>
        <w:pStyle w:val="211"/>
        <w:numPr>
          <w:ilvl w:val="0"/>
          <w:numId w:val="0"/>
        </w:numPr>
        <w:spacing w:before="120" w:beforeLines="5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linePitch="312" w:charSpace="0"/>
        </w:sectPr>
      </w:pPr>
    </w:p>
    <w:p w14:paraId="6AB46508">
      <w:pPr>
        <w:pStyle w:val="198"/>
        <w:rPr>
          <w:rFonts w:hint="eastAsia"/>
        </w:rPr>
      </w:pPr>
    </w:p>
    <w:p w14:paraId="70DAFD0E">
      <w:pPr>
        <w:pStyle w:val="199"/>
      </w:pPr>
    </w:p>
    <w:p w14:paraId="283CF832">
      <w:pPr>
        <w:pStyle w:val="76"/>
        <w:spacing w:after="120" w:line="360" w:lineRule="auto"/>
      </w:pPr>
      <w:r>
        <w:br w:type="textWrapping"/>
      </w:r>
      <w:bookmarkStart w:id="65" w:name="_Toc228605150"/>
      <w:r>
        <w:rPr>
          <w:rFonts w:hint="eastAsia"/>
        </w:rPr>
        <w:t>（资料性）</w:t>
      </w:r>
      <w:r>
        <w:br w:type="textWrapping"/>
      </w:r>
      <w:r>
        <w:rPr>
          <w:rFonts w:hint="eastAsia"/>
        </w:rPr>
        <w:t>中小型水利工程智能管护评价指标</w:t>
      </w:r>
      <w:bookmarkEnd w:id="65"/>
    </w:p>
    <w:p w14:paraId="4FFC9B62">
      <w:pPr>
        <w:pStyle w:val="211"/>
        <w:spacing w:line="360" w:lineRule="auto"/>
      </w:pPr>
      <w:r>
        <w:t>中小型水利工程智能管护评价可按表B.1执行。</w:t>
      </w:r>
    </w:p>
    <w:p w14:paraId="3D97E98A">
      <w:pPr>
        <w:pStyle w:val="77"/>
        <w:spacing w:before="120" w:after="120" w:line="360" w:lineRule="auto"/>
      </w:pPr>
      <w:r>
        <w:t>中小型水利工程智能管护评价指标</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33"/>
        <w:gridCol w:w="2268"/>
        <w:gridCol w:w="5233"/>
      </w:tblGrid>
      <w:tr w14:paraId="51D881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33" w:type="dxa"/>
            <w:tcBorders>
              <w:top w:val="single" w:color="auto" w:sz="8" w:space="0"/>
              <w:bottom w:val="single" w:color="auto" w:sz="8" w:space="0"/>
            </w:tcBorders>
            <w:vAlign w:val="center"/>
          </w:tcPr>
          <w:p w14:paraId="3F7EE34A">
            <w:pPr>
              <w:pStyle w:val="178"/>
            </w:pPr>
            <w:r>
              <w:rPr>
                <w:rFonts w:hint="eastAsia"/>
              </w:rPr>
              <w:t>指标类别</w:t>
            </w:r>
          </w:p>
        </w:tc>
        <w:tc>
          <w:tcPr>
            <w:tcW w:w="2268" w:type="dxa"/>
            <w:tcBorders>
              <w:top w:val="single" w:color="auto" w:sz="8" w:space="0"/>
              <w:bottom w:val="single" w:color="auto" w:sz="8" w:space="0"/>
            </w:tcBorders>
            <w:vAlign w:val="center"/>
          </w:tcPr>
          <w:p w14:paraId="01E2652E">
            <w:pPr>
              <w:pStyle w:val="178"/>
            </w:pPr>
            <w:r>
              <w:rPr>
                <w:rFonts w:hint="eastAsia"/>
              </w:rPr>
              <w:t>评价指标</w:t>
            </w:r>
          </w:p>
        </w:tc>
        <w:tc>
          <w:tcPr>
            <w:tcW w:w="5233" w:type="dxa"/>
            <w:tcBorders>
              <w:top w:val="single" w:color="auto" w:sz="8" w:space="0"/>
              <w:bottom w:val="single" w:color="auto" w:sz="8" w:space="0"/>
            </w:tcBorders>
            <w:vAlign w:val="center"/>
          </w:tcPr>
          <w:p w14:paraId="65503A46">
            <w:pPr>
              <w:pStyle w:val="178"/>
            </w:pPr>
            <w:r>
              <w:rPr>
                <w:rFonts w:hint="eastAsia"/>
              </w:rPr>
              <w:t>评价要求</w:t>
            </w:r>
          </w:p>
        </w:tc>
      </w:tr>
      <w:tr w14:paraId="3A1522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Borders>
              <w:top w:val="single" w:color="auto" w:sz="8" w:space="0"/>
            </w:tcBorders>
            <w:vAlign w:val="center"/>
          </w:tcPr>
          <w:p w14:paraId="79FA3A52">
            <w:pPr>
              <w:pStyle w:val="178"/>
            </w:pPr>
            <w:r>
              <w:rPr>
                <w:rFonts w:hint="eastAsia"/>
              </w:rPr>
              <w:t>组织责任</w:t>
            </w:r>
          </w:p>
        </w:tc>
        <w:tc>
          <w:tcPr>
            <w:tcW w:w="2268" w:type="dxa"/>
            <w:tcBorders>
              <w:top w:val="single" w:color="auto" w:sz="8" w:space="0"/>
            </w:tcBorders>
            <w:vAlign w:val="center"/>
          </w:tcPr>
          <w:p w14:paraId="0F9C497D">
            <w:pPr>
              <w:pStyle w:val="178"/>
            </w:pPr>
            <w:r>
              <w:rPr>
                <w:rFonts w:hint="eastAsia"/>
              </w:rPr>
              <w:t>责任清单完整率</w:t>
            </w:r>
          </w:p>
        </w:tc>
        <w:tc>
          <w:tcPr>
            <w:tcW w:w="5233" w:type="dxa"/>
            <w:tcBorders>
              <w:top w:val="single" w:color="auto" w:sz="8" w:space="0"/>
            </w:tcBorders>
            <w:vAlign w:val="center"/>
          </w:tcPr>
          <w:p w14:paraId="79BBF0E3">
            <w:pPr>
              <w:pStyle w:val="178"/>
            </w:pPr>
            <w:r>
              <w:rPr>
                <w:rFonts w:hint="eastAsia"/>
              </w:rPr>
              <w:t>管护责任应落实到单位、岗位和人员</w:t>
            </w:r>
          </w:p>
        </w:tc>
      </w:tr>
      <w:tr w14:paraId="355F9E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vAlign w:val="center"/>
          </w:tcPr>
          <w:p w14:paraId="57D215A0">
            <w:pPr>
              <w:pStyle w:val="178"/>
            </w:pPr>
            <w:r>
              <w:rPr>
                <w:rFonts w:hint="eastAsia"/>
              </w:rPr>
              <w:t>对象管理</w:t>
            </w:r>
          </w:p>
        </w:tc>
        <w:tc>
          <w:tcPr>
            <w:tcW w:w="2268" w:type="dxa"/>
            <w:vAlign w:val="center"/>
          </w:tcPr>
          <w:p w14:paraId="31948EAA">
            <w:pPr>
              <w:pStyle w:val="178"/>
            </w:pPr>
            <w:r>
              <w:rPr>
                <w:rFonts w:hint="eastAsia"/>
              </w:rPr>
              <w:t>管护对象建档率</w:t>
            </w:r>
          </w:p>
        </w:tc>
        <w:tc>
          <w:tcPr>
            <w:tcW w:w="5233" w:type="dxa"/>
            <w:vAlign w:val="center"/>
          </w:tcPr>
          <w:p w14:paraId="2B31ED0C">
            <w:pPr>
              <w:pStyle w:val="178"/>
            </w:pPr>
            <w:r>
              <w:rPr>
                <w:rFonts w:hint="eastAsia"/>
              </w:rPr>
              <w:t>管护对象应统一编号、分类建档、动态更新</w:t>
            </w:r>
          </w:p>
        </w:tc>
      </w:tr>
      <w:tr w14:paraId="237B99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vAlign w:val="center"/>
          </w:tcPr>
          <w:p w14:paraId="3048F1F9">
            <w:pPr>
              <w:pStyle w:val="178"/>
            </w:pPr>
            <w:r>
              <w:rPr>
                <w:rFonts w:hint="eastAsia"/>
              </w:rPr>
              <w:t>监测感知</w:t>
            </w:r>
          </w:p>
        </w:tc>
        <w:tc>
          <w:tcPr>
            <w:tcW w:w="2268" w:type="dxa"/>
            <w:vAlign w:val="center"/>
          </w:tcPr>
          <w:p w14:paraId="7977BCEA">
            <w:pPr>
              <w:pStyle w:val="178"/>
            </w:pPr>
            <w:r>
              <w:rPr>
                <w:rFonts w:hint="eastAsia"/>
              </w:rPr>
              <w:t>监测设备在线率</w:t>
            </w:r>
          </w:p>
        </w:tc>
        <w:tc>
          <w:tcPr>
            <w:tcW w:w="5233" w:type="dxa"/>
            <w:vAlign w:val="center"/>
          </w:tcPr>
          <w:p w14:paraId="01974696">
            <w:pPr>
              <w:pStyle w:val="178"/>
            </w:pPr>
            <w:r>
              <w:rPr>
                <w:rFonts w:hint="eastAsia"/>
              </w:rPr>
              <w:t>关键监测设备应保持正常运行，离线应及时处置</w:t>
            </w:r>
          </w:p>
        </w:tc>
      </w:tr>
      <w:tr w14:paraId="4CDCBF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vAlign w:val="center"/>
          </w:tcPr>
          <w:p w14:paraId="57B98F2A">
            <w:pPr>
              <w:pStyle w:val="178"/>
            </w:pPr>
            <w:r>
              <w:rPr>
                <w:rFonts w:hint="eastAsia"/>
              </w:rPr>
              <w:t>数据质量</w:t>
            </w:r>
          </w:p>
        </w:tc>
        <w:tc>
          <w:tcPr>
            <w:tcW w:w="2268" w:type="dxa"/>
            <w:vAlign w:val="center"/>
          </w:tcPr>
          <w:p w14:paraId="04B615D1">
            <w:pPr>
              <w:pStyle w:val="178"/>
            </w:pPr>
            <w:r>
              <w:rPr>
                <w:rFonts w:hint="eastAsia"/>
              </w:rPr>
              <w:t>数据完整率</w:t>
            </w:r>
          </w:p>
        </w:tc>
        <w:tc>
          <w:tcPr>
            <w:tcW w:w="5233" w:type="dxa"/>
            <w:vAlign w:val="center"/>
          </w:tcPr>
          <w:p w14:paraId="586F9CBC">
            <w:pPr>
              <w:pStyle w:val="178"/>
            </w:pPr>
            <w:r>
              <w:rPr>
                <w:rFonts w:hint="eastAsia"/>
              </w:rPr>
              <w:t>监测、巡查、工单、隐患和维修数据应完整可追溯</w:t>
            </w:r>
          </w:p>
        </w:tc>
      </w:tr>
      <w:tr w14:paraId="0066EF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vAlign w:val="center"/>
          </w:tcPr>
          <w:p w14:paraId="4BB5E2D9">
            <w:pPr>
              <w:pStyle w:val="178"/>
            </w:pPr>
            <w:r>
              <w:rPr>
                <w:rFonts w:hint="eastAsia"/>
              </w:rPr>
              <w:t>巡查检查</w:t>
            </w:r>
          </w:p>
        </w:tc>
        <w:tc>
          <w:tcPr>
            <w:tcW w:w="2268" w:type="dxa"/>
            <w:vAlign w:val="center"/>
          </w:tcPr>
          <w:p w14:paraId="1BCC8975">
            <w:pPr>
              <w:pStyle w:val="178"/>
            </w:pPr>
            <w:r>
              <w:rPr>
                <w:rFonts w:hint="eastAsia"/>
              </w:rPr>
              <w:t>巡查计划完成率</w:t>
            </w:r>
          </w:p>
        </w:tc>
        <w:tc>
          <w:tcPr>
            <w:tcW w:w="5233" w:type="dxa"/>
            <w:vAlign w:val="center"/>
          </w:tcPr>
          <w:p w14:paraId="10C21331">
            <w:pPr>
              <w:pStyle w:val="178"/>
            </w:pPr>
            <w:r>
              <w:rPr>
                <w:rFonts w:hint="eastAsia"/>
              </w:rPr>
              <w:t>巡查任务应按计划完成，重点部位不得漏查</w:t>
            </w:r>
          </w:p>
        </w:tc>
      </w:tr>
      <w:tr w14:paraId="7A823E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vAlign w:val="center"/>
          </w:tcPr>
          <w:p w14:paraId="07FC2462">
            <w:pPr>
              <w:pStyle w:val="178"/>
            </w:pPr>
            <w:r>
              <w:rPr>
                <w:rFonts w:hint="eastAsia"/>
              </w:rPr>
              <w:t>隐患治理</w:t>
            </w:r>
          </w:p>
        </w:tc>
        <w:tc>
          <w:tcPr>
            <w:tcW w:w="2268" w:type="dxa"/>
            <w:vAlign w:val="center"/>
          </w:tcPr>
          <w:p w14:paraId="6F0C79C6">
            <w:pPr>
              <w:pStyle w:val="178"/>
            </w:pPr>
            <w:r>
              <w:rPr>
                <w:rFonts w:hint="eastAsia"/>
              </w:rPr>
              <w:t>隐患闭环率</w:t>
            </w:r>
          </w:p>
        </w:tc>
        <w:tc>
          <w:tcPr>
            <w:tcW w:w="5233" w:type="dxa"/>
            <w:vAlign w:val="center"/>
          </w:tcPr>
          <w:p w14:paraId="4CA895A8">
            <w:pPr>
              <w:pStyle w:val="178"/>
            </w:pPr>
            <w:r>
              <w:rPr>
                <w:rFonts w:hint="eastAsia"/>
              </w:rPr>
              <w:t>隐患应完成上报、派单、整改、复核和关闭</w:t>
            </w:r>
          </w:p>
        </w:tc>
      </w:tr>
      <w:tr w14:paraId="2C1466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vAlign w:val="center"/>
          </w:tcPr>
          <w:p w14:paraId="71B5BFD9">
            <w:pPr>
              <w:pStyle w:val="178"/>
            </w:pPr>
            <w:r>
              <w:rPr>
                <w:rFonts w:hint="eastAsia"/>
              </w:rPr>
              <w:t>维修养护</w:t>
            </w:r>
          </w:p>
        </w:tc>
        <w:tc>
          <w:tcPr>
            <w:tcW w:w="2268" w:type="dxa"/>
            <w:vAlign w:val="center"/>
          </w:tcPr>
          <w:p w14:paraId="648DE470">
            <w:pPr>
              <w:pStyle w:val="178"/>
            </w:pPr>
            <w:r>
              <w:rPr>
                <w:rFonts w:hint="eastAsia"/>
              </w:rPr>
              <w:t>工单按期完成率</w:t>
            </w:r>
          </w:p>
        </w:tc>
        <w:tc>
          <w:tcPr>
            <w:tcW w:w="5233" w:type="dxa"/>
            <w:vAlign w:val="center"/>
          </w:tcPr>
          <w:p w14:paraId="3281793A">
            <w:pPr>
              <w:pStyle w:val="178"/>
            </w:pPr>
            <w:r>
              <w:rPr>
                <w:rFonts w:hint="eastAsia"/>
              </w:rPr>
              <w:t>维修养护工单应按规定时限完成并复核</w:t>
            </w:r>
          </w:p>
        </w:tc>
      </w:tr>
      <w:tr w14:paraId="37653C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vAlign w:val="center"/>
          </w:tcPr>
          <w:p w14:paraId="259C2BF0">
            <w:pPr>
              <w:pStyle w:val="178"/>
            </w:pPr>
            <w:r>
              <w:rPr>
                <w:rFonts w:hint="eastAsia"/>
              </w:rPr>
              <w:t>预警处置</w:t>
            </w:r>
          </w:p>
        </w:tc>
        <w:tc>
          <w:tcPr>
            <w:tcW w:w="2268" w:type="dxa"/>
            <w:vAlign w:val="center"/>
          </w:tcPr>
          <w:p w14:paraId="734E4B89">
            <w:pPr>
              <w:pStyle w:val="178"/>
            </w:pPr>
            <w:r>
              <w:rPr>
                <w:rFonts w:hint="eastAsia"/>
              </w:rPr>
              <w:t>预警响应及时率</w:t>
            </w:r>
          </w:p>
        </w:tc>
        <w:tc>
          <w:tcPr>
            <w:tcW w:w="5233" w:type="dxa"/>
            <w:vAlign w:val="center"/>
          </w:tcPr>
          <w:p w14:paraId="1DB4AD33">
            <w:pPr>
              <w:pStyle w:val="178"/>
            </w:pPr>
            <w:r>
              <w:rPr>
                <w:rFonts w:hint="eastAsia"/>
              </w:rPr>
              <w:t>预警信息应及时接收、核查、处置和反馈</w:t>
            </w:r>
          </w:p>
        </w:tc>
      </w:tr>
      <w:tr w14:paraId="534BF5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vAlign w:val="center"/>
          </w:tcPr>
          <w:p w14:paraId="41D630DC">
            <w:pPr>
              <w:pStyle w:val="178"/>
            </w:pPr>
            <w:r>
              <w:rPr>
                <w:rFonts w:hint="eastAsia"/>
              </w:rPr>
              <w:t>应急处置</w:t>
            </w:r>
          </w:p>
        </w:tc>
        <w:tc>
          <w:tcPr>
            <w:tcW w:w="2268" w:type="dxa"/>
            <w:vAlign w:val="center"/>
          </w:tcPr>
          <w:p w14:paraId="511D4A9A">
            <w:pPr>
              <w:pStyle w:val="178"/>
            </w:pPr>
            <w:r>
              <w:rPr>
                <w:rFonts w:hint="eastAsia"/>
              </w:rPr>
              <w:t>应急资源可用率</w:t>
            </w:r>
          </w:p>
        </w:tc>
        <w:tc>
          <w:tcPr>
            <w:tcW w:w="5233" w:type="dxa"/>
            <w:vAlign w:val="center"/>
          </w:tcPr>
          <w:p w14:paraId="6BC3D840">
            <w:pPr>
              <w:pStyle w:val="178"/>
            </w:pPr>
            <w:r>
              <w:rPr>
                <w:rFonts w:hint="eastAsia"/>
              </w:rPr>
              <w:t>队伍、物资、设备和联络方式应保持可用</w:t>
            </w:r>
          </w:p>
        </w:tc>
      </w:tr>
      <w:tr w14:paraId="2A48C6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vAlign w:val="center"/>
          </w:tcPr>
          <w:p w14:paraId="2405D46A">
            <w:pPr>
              <w:pStyle w:val="178"/>
            </w:pPr>
            <w:r>
              <w:rPr>
                <w:rFonts w:hint="eastAsia"/>
              </w:rPr>
              <w:t>平台运行</w:t>
            </w:r>
          </w:p>
        </w:tc>
        <w:tc>
          <w:tcPr>
            <w:tcW w:w="2268" w:type="dxa"/>
            <w:vAlign w:val="center"/>
          </w:tcPr>
          <w:p w14:paraId="0EB29950">
            <w:pPr>
              <w:pStyle w:val="178"/>
            </w:pPr>
            <w:r>
              <w:rPr>
                <w:rFonts w:hint="eastAsia"/>
              </w:rPr>
              <w:t>系统可用率</w:t>
            </w:r>
          </w:p>
        </w:tc>
        <w:tc>
          <w:tcPr>
            <w:tcW w:w="5233" w:type="dxa"/>
            <w:vAlign w:val="center"/>
          </w:tcPr>
          <w:p w14:paraId="74B04B61">
            <w:pPr>
              <w:pStyle w:val="178"/>
            </w:pPr>
            <w:r>
              <w:rPr>
                <w:rFonts w:hint="eastAsia"/>
              </w:rPr>
              <w:t>管护平台应稳定运行，故障应及时处置</w:t>
            </w:r>
          </w:p>
        </w:tc>
      </w:tr>
      <w:tr w14:paraId="349210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vAlign w:val="center"/>
          </w:tcPr>
          <w:p w14:paraId="44FC4BB2">
            <w:pPr>
              <w:pStyle w:val="178"/>
            </w:pPr>
            <w:r>
              <w:rPr>
                <w:rFonts w:hint="eastAsia"/>
              </w:rPr>
              <w:t>档案管理</w:t>
            </w:r>
          </w:p>
        </w:tc>
        <w:tc>
          <w:tcPr>
            <w:tcW w:w="2268" w:type="dxa"/>
            <w:vAlign w:val="center"/>
          </w:tcPr>
          <w:p w14:paraId="1DF0D71D">
            <w:pPr>
              <w:pStyle w:val="178"/>
            </w:pPr>
            <w:r>
              <w:rPr>
                <w:rFonts w:hint="eastAsia"/>
              </w:rPr>
              <w:t>资料归档完整率</w:t>
            </w:r>
          </w:p>
        </w:tc>
        <w:tc>
          <w:tcPr>
            <w:tcW w:w="5233" w:type="dxa"/>
            <w:vAlign w:val="center"/>
          </w:tcPr>
          <w:p w14:paraId="3B793925">
            <w:pPr>
              <w:pStyle w:val="178"/>
            </w:pPr>
            <w:r>
              <w:rPr>
                <w:rFonts w:hint="eastAsia"/>
              </w:rPr>
              <w:t>管护资料应分类归档、可查询、可追溯</w:t>
            </w:r>
          </w:p>
        </w:tc>
      </w:tr>
      <w:tr w14:paraId="1CE086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vAlign w:val="center"/>
          </w:tcPr>
          <w:p w14:paraId="628E7EC5">
            <w:pPr>
              <w:pStyle w:val="178"/>
            </w:pPr>
            <w:r>
              <w:rPr>
                <w:rFonts w:hint="eastAsia"/>
              </w:rPr>
              <w:t>持续改进</w:t>
            </w:r>
          </w:p>
        </w:tc>
        <w:tc>
          <w:tcPr>
            <w:tcW w:w="2268" w:type="dxa"/>
            <w:vAlign w:val="center"/>
          </w:tcPr>
          <w:p w14:paraId="0FA227BB">
            <w:pPr>
              <w:pStyle w:val="178"/>
            </w:pPr>
            <w:r>
              <w:rPr>
                <w:rFonts w:hint="eastAsia"/>
              </w:rPr>
              <w:t>问题整改完成率</w:t>
            </w:r>
          </w:p>
        </w:tc>
        <w:tc>
          <w:tcPr>
            <w:tcW w:w="5233" w:type="dxa"/>
            <w:vAlign w:val="center"/>
          </w:tcPr>
          <w:p w14:paraId="5ADAF471">
            <w:pPr>
              <w:pStyle w:val="178"/>
            </w:pPr>
            <w:r>
              <w:rPr>
                <w:rFonts w:hint="eastAsia"/>
              </w:rPr>
              <w:t>评价发现问题应按期整改并验证</w:t>
            </w:r>
          </w:p>
        </w:tc>
      </w:tr>
    </w:tbl>
    <w:p w14:paraId="6C90D597">
      <w:pPr>
        <w:pStyle w:val="211"/>
        <w:spacing w:before="120" w:beforeLines="50"/>
      </w:pPr>
      <w:r>
        <w:t>评价发现不符合项时，应形成整改记录。整改记录应包括问题描述、原因分析、责任单位、整改措施、完成期限和验证结果。</w:t>
      </w:r>
    </w:p>
    <w:p w14:paraId="66E80D88">
      <w:pPr>
        <w:pStyle w:val="211"/>
        <w:numPr>
          <w:ilvl w:val="0"/>
          <w:numId w:val="0"/>
        </w:numPr>
        <w:spacing w:before="120" w:beforeLines="50"/>
      </w:pPr>
    </w:p>
    <w:bookmarkEnd w:id="63"/>
    <w:p w14:paraId="2E5CA749">
      <w:pPr>
        <w:pStyle w:val="211"/>
        <w:numPr>
          <w:ilvl w:val="0"/>
          <w:numId w:val="0"/>
        </w:numPr>
        <w:spacing w:before="120" w:beforeLines="50"/>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linePitch="312" w:charSpace="0"/>
        </w:sectPr>
      </w:pPr>
      <w:bookmarkStart w:id="66" w:name="BookMark6"/>
    </w:p>
    <w:p w14:paraId="074147A3">
      <w:pPr>
        <w:pStyle w:val="63"/>
        <w:spacing w:after="120" w:line="360" w:lineRule="auto"/>
      </w:pPr>
      <w:bookmarkStart w:id="67" w:name="_Toc228605151"/>
      <w:r>
        <w:rPr>
          <w:rFonts w:hint="eastAsia"/>
          <w:spacing w:val="105"/>
        </w:rPr>
        <w:t>参考文</w:t>
      </w:r>
      <w:r>
        <w:rPr>
          <w:rFonts w:hint="eastAsia"/>
        </w:rPr>
        <w:t>献</w:t>
      </w:r>
      <w:bookmarkEnd w:id="67"/>
    </w:p>
    <w:p w14:paraId="68DD8DE4">
      <w:pPr>
        <w:pStyle w:val="56"/>
        <w:spacing w:line="360" w:lineRule="auto"/>
        <w:ind w:firstLine="420"/>
      </w:pPr>
      <w:r>
        <w:rPr>
          <w:rFonts w:hint="eastAsia"/>
        </w:rPr>
        <w:t>[1] GB/T 1.1—2020 标准化工作导则  第1部分：标准化文件的结构和起草规则</w:t>
      </w:r>
    </w:p>
    <w:p w14:paraId="16995F8A">
      <w:pPr>
        <w:pStyle w:val="56"/>
        <w:spacing w:line="360" w:lineRule="auto"/>
        <w:ind w:firstLine="420"/>
      </w:pPr>
      <w:r>
        <w:rPr>
          <w:rFonts w:hint="eastAsia"/>
        </w:rPr>
        <w:t>[2] GB 50201 防洪标准</w:t>
      </w:r>
    </w:p>
    <w:p w14:paraId="14F2E057">
      <w:pPr>
        <w:pStyle w:val="56"/>
        <w:spacing w:line="360" w:lineRule="auto"/>
        <w:ind w:firstLine="420"/>
      </w:pPr>
      <w:r>
        <w:rPr>
          <w:rFonts w:hint="eastAsia"/>
        </w:rPr>
        <w:t>[3] GB/T 22239 信息安全技术  网络安全等级保护基本要求</w:t>
      </w:r>
    </w:p>
    <w:p w14:paraId="44952DB7">
      <w:pPr>
        <w:pStyle w:val="56"/>
        <w:spacing w:line="360" w:lineRule="auto"/>
        <w:ind w:firstLine="420"/>
      </w:pPr>
      <w:r>
        <w:rPr>
          <w:rFonts w:hint="eastAsia"/>
        </w:rPr>
        <w:t>[4] SL 252 水利水电工程等级划分及洪水标准</w:t>
      </w:r>
    </w:p>
    <w:p w14:paraId="2A07A398">
      <w:pPr>
        <w:pStyle w:val="56"/>
        <w:spacing w:line="360" w:lineRule="auto"/>
        <w:ind w:firstLine="420"/>
      </w:pPr>
      <w:r>
        <w:rPr>
          <w:rFonts w:hint="eastAsia"/>
        </w:rPr>
        <w:t>[5] SL/T 213 水利对象分类与编码总则</w:t>
      </w:r>
    </w:p>
    <w:p w14:paraId="021BB718">
      <w:pPr>
        <w:pStyle w:val="56"/>
        <w:spacing w:line="360" w:lineRule="auto"/>
        <w:ind w:firstLine="420"/>
      </w:pPr>
      <w:r>
        <w:rPr>
          <w:rFonts w:hint="eastAsia"/>
        </w:rPr>
        <w:t>[6] SL/T 701 水利信息分类与编码总则</w:t>
      </w:r>
    </w:p>
    <w:p w14:paraId="7C4BC205">
      <w:pPr>
        <w:pStyle w:val="56"/>
        <w:spacing w:line="360" w:lineRule="auto"/>
        <w:ind w:firstLine="420"/>
      </w:pPr>
      <w:r>
        <w:rPr>
          <w:rFonts w:hint="eastAsia"/>
        </w:rPr>
        <w:t>[7] SL/T 809 水利对象基础数据库表结构及标识符</w:t>
      </w:r>
    </w:p>
    <w:p w14:paraId="1AC6F4CF">
      <w:pPr>
        <w:pStyle w:val="56"/>
        <w:spacing w:line="360" w:lineRule="auto"/>
        <w:ind w:firstLine="420"/>
      </w:pPr>
      <w:r>
        <w:rPr>
          <w:rFonts w:hint="eastAsia"/>
        </w:rPr>
        <w:t>[8] SL/T 830 水利信息系统运行维护规范</w:t>
      </w:r>
    </w:p>
    <w:bookmarkEnd w:id="66"/>
    <w:p w14:paraId="2FB7CF04">
      <w:pPr>
        <w:pStyle w:val="56"/>
        <w:ind w:firstLine="0" w:firstLineChars="0"/>
        <w:jc w:val="center"/>
      </w:pPr>
      <w:bookmarkStart w:id="68" w:name="BookMark8"/>
      <w:r>
        <w:rPr>
          <w:rFonts w:hint="eastAsia"/>
        </w:rPr>
        <w:drawing>
          <wp:inline distT="0" distB="0" distL="0" distR="0">
            <wp:extent cx="1485900" cy="317500"/>
            <wp:effectExtent l="0" t="0" r="0" b="6350"/>
            <wp:docPr id="640650045" name="图片 3"/>
            <wp:cNvGraphicFramePr/>
            <a:graphic xmlns:a="http://schemas.openxmlformats.org/drawingml/2006/main">
              <a:graphicData uri="http://schemas.openxmlformats.org/drawingml/2006/picture">
                <pic:pic xmlns:pic="http://schemas.openxmlformats.org/drawingml/2006/picture">
                  <pic:nvPicPr>
                    <pic:cNvPr id="640650045" name="图片 3"/>
                    <pic:cNvPicPr/>
                  </pic:nvPicPr>
                  <pic:blipFill>
                    <a:blip r:embed="rId4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8"/>
    </w:p>
    <w:sectPr>
      <w:headerReference r:id="rId35" w:type="default"/>
      <w:footerReference r:id="rId37" w:type="default"/>
      <w:headerReference r:id="rId36" w:type="even"/>
      <w:footerReference r:id="rId38"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DF3A5">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20</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30CB2">
    <w:pPr>
      <w:pStyle w:val="52"/>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54F2B">
    <w:pPr>
      <w:pStyle w:val="51"/>
    </w:pPr>
    <w:r>
      <w:fldChar w:fldCharType="begin"/>
    </w:r>
    <w:r>
      <w:instrText xml:space="preserve"> PAGE   \* MERGEFORMAT \* MERGEFORMAT </w:instrText>
    </w:r>
    <w:r>
      <w:fldChar w:fldCharType="separate"/>
    </w:r>
    <w:r>
      <w:t>1</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C0498">
    <w:pPr>
      <w:pStyle w:val="52"/>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16FFC">
    <w:pPr>
      <w:pStyle w:val="51"/>
    </w:pPr>
    <w:r>
      <w:fldChar w:fldCharType="begin"/>
    </w:r>
    <w:r>
      <w:instrText xml:space="preserve"> PAGE   \* MERGEFORMAT \* MERGEFORMAT </w:instrText>
    </w:r>
    <w:r>
      <w:fldChar w:fldCharType="separate"/>
    </w:r>
    <w:r>
      <w:t>3</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7CDA1">
    <w:pPr>
      <w:pStyle w:val="52"/>
    </w:pPr>
    <w:r>
      <w:fldChar w:fldCharType="begin"/>
    </w:r>
    <w:r>
      <w:instrText xml:space="preserve">PAGE   \* MERGEFORMAT</w:instrText>
    </w:r>
    <w:r>
      <w:fldChar w:fldCharType="separate"/>
    </w:r>
    <w:r>
      <w:rPr>
        <w:lang w:val="zh-CN"/>
      </w:rPr>
      <w:t>1</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DD550">
    <w:pPr>
      <w:pStyle w:val="51"/>
    </w:pPr>
    <w:r>
      <w:fldChar w:fldCharType="begin"/>
    </w:r>
    <w:r>
      <w:instrText xml:space="preserve"> PAGE   \* MERGEFORMAT \* MERGEFORMAT </w:instrText>
    </w:r>
    <w:r>
      <w:fldChar w:fldCharType="separate"/>
    </w:r>
    <w: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55147">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F7D26">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0283—2026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0283—2026</w:t>
    </w:r>
    <w:r>
      <w:rPr>
        <w:rFonts w:hint="eastAsi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09E19">
    <w:pPr>
      <w:pStyle w:val="61"/>
      <w:rPr>
        <w:rFonts w:hint="eastAsia"/>
      </w:rPr>
    </w:pPr>
    <w:r>
      <w:fldChar w:fldCharType="begin"/>
    </w:r>
    <w:r>
      <w:instrText xml:space="preserve"> STYLEREF  标准文件_文件编号  \* MERGEFORMAT </w:instrText>
    </w:r>
    <w:r>
      <w:fldChar w:fldCharType="separate"/>
    </w:r>
    <w:r>
      <w:t>T/XZBX 0283—2026</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911F0">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0283—2026</w:t>
    </w:r>
    <w:r>
      <w:rPr>
        <w:rFonts w:hint="eastAsia"/>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5C3F8">
    <w:pPr>
      <w:pStyle w:val="61"/>
      <w:rPr>
        <w:rFonts w:hint="eastAsia"/>
      </w:rPr>
    </w:pPr>
    <w:r>
      <w:fldChar w:fldCharType="begin"/>
    </w:r>
    <w:r>
      <w:instrText xml:space="preserve"> STYLEREF  标准文件_文件编号  \* MERGEFORMAT </w:instrText>
    </w:r>
    <w:r>
      <w:fldChar w:fldCharType="separate"/>
    </w:r>
    <w:r>
      <w:t>T/XZBX 0283—2026</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A2E8F">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0283—2026</w:t>
    </w:r>
    <w:r>
      <w:rPr>
        <w:rFonts w:hint="eastAsia"/>
      </w:rP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48CA1">
    <w:pPr>
      <w:pStyle w:val="61"/>
      <w:rPr>
        <w:rFonts w:hint="eastAsia"/>
      </w:rPr>
    </w:pPr>
    <w:r>
      <w:fldChar w:fldCharType="begin"/>
    </w:r>
    <w:r>
      <w:instrText xml:space="preserve"> STYLEREF  标准文件_文件编号  \* MERGEFORMAT </w:instrText>
    </w:r>
    <w:r>
      <w:fldChar w:fldCharType="separate"/>
    </w:r>
    <w:r>
      <w:t>T/XZBX 0283—2026</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991CE">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0283—2026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2ED4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0283—2026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0283—2026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48413">
    <w:pPr>
      <w:pStyle w:val="61"/>
      <w:rPr>
        <w:rFonts w:hint="eastAsia"/>
      </w:rPr>
    </w:pPr>
    <w:r>
      <w:fldChar w:fldCharType="begin"/>
    </w:r>
    <w:r>
      <w:instrText xml:space="preserve"> STYLEREF  标准文件_文件编号  \* MERGEFORMAT </w:instrText>
    </w:r>
    <w:r>
      <w:fldChar w:fldCharType="separate"/>
    </w:r>
    <w:r>
      <w:t>T/XZBX 0283—2026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882E8">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0283—2026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0283—2026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0283—2026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5709"/>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7D8"/>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549"/>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4361"/>
    <w:rsid w:val="008603CE"/>
    <w:rsid w:val="008620FC"/>
    <w:rsid w:val="008627A5"/>
    <w:rsid w:val="00863E05"/>
    <w:rsid w:val="00865ACA"/>
    <w:rsid w:val="00865D28"/>
    <w:rsid w:val="00865F85"/>
    <w:rsid w:val="00867C10"/>
    <w:rsid w:val="00870439"/>
    <w:rsid w:val="00870DA1"/>
    <w:rsid w:val="00880C8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7989"/>
    <w:rsid w:val="009908A3"/>
    <w:rsid w:val="009911AF"/>
    <w:rsid w:val="00991875"/>
    <w:rsid w:val="00991F92"/>
    <w:rsid w:val="00992985"/>
    <w:rsid w:val="00993889"/>
    <w:rsid w:val="0099551B"/>
    <w:rsid w:val="00996BD2"/>
    <w:rsid w:val="00997BF1"/>
    <w:rsid w:val="009A031E"/>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80"/>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859"/>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55C"/>
    <w:rsid w:val="00FF3E7D"/>
    <w:rsid w:val="00FF5B99"/>
    <w:rsid w:val="00FF6193"/>
    <w:rsid w:val="00FF730C"/>
    <w:rsid w:val="00FF73F4"/>
    <w:rsid w:val="00FF7CE4"/>
    <w:rsid w:val="00FF7E39"/>
    <w:rsid w:val="45AB6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7" Type="http://schemas.openxmlformats.org/officeDocument/2006/relationships/glossaryDocument" Target="glossary/document.xml"/><Relationship Id="rId46" Type="http://schemas.openxmlformats.org/officeDocument/2006/relationships/fontTable" Target="fontTable.xml"/><Relationship Id="rId45" Type="http://schemas.openxmlformats.org/officeDocument/2006/relationships/customXml" Target="../customXml/item2.xml"/><Relationship Id="rId44" Type="http://schemas.openxmlformats.org/officeDocument/2006/relationships/numbering" Target="numbering.xml"/><Relationship Id="rId43" Type="http://schemas.openxmlformats.org/officeDocument/2006/relationships/customXml" Target="../customXml/item1.xml"/><Relationship Id="rId42" Type="http://schemas.openxmlformats.org/officeDocument/2006/relationships/image" Target="media/image3.jpeg"/><Relationship Id="rId41" Type="http://schemas.openxmlformats.org/officeDocument/2006/relationships/image" Target="media/image2.png"/><Relationship Id="rId40" Type="http://schemas.openxmlformats.org/officeDocument/2006/relationships/image" Target="media/image1.png"/><Relationship Id="rId4" Type="http://schemas.openxmlformats.org/officeDocument/2006/relationships/endnotes" Target="endnotes.xml"/><Relationship Id="rId39" Type="http://schemas.openxmlformats.org/officeDocument/2006/relationships/theme" Target="theme/theme1.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6C478163">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692D8E46">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2DEF874E">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0D716B"/>
    <w:rsid w:val="001F5709"/>
    <w:rsid w:val="002E6AD9"/>
    <w:rsid w:val="003646F4"/>
    <w:rsid w:val="003F62CE"/>
    <w:rsid w:val="004A6324"/>
    <w:rsid w:val="005B18DA"/>
    <w:rsid w:val="005E4B5C"/>
    <w:rsid w:val="006141C6"/>
    <w:rsid w:val="00652769"/>
    <w:rsid w:val="00796662"/>
    <w:rsid w:val="00833FFA"/>
    <w:rsid w:val="008C0337"/>
    <w:rsid w:val="008E6778"/>
    <w:rsid w:val="00AA2819"/>
    <w:rsid w:val="00AE100B"/>
    <w:rsid w:val="00AE1DC6"/>
    <w:rsid w:val="00D97B7D"/>
    <w:rsid w:val="00E76885"/>
    <w:rsid w:val="00FD4A43"/>
    <w:rsid w:val="00FF355C"/>
    <w:rsid w:val="00FF61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12FB321F5A4443D9AFC61825E0F0C3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29</Pages>
  <Words>10595</Words>
  <Characters>11007</Characters>
  <Lines>603</Lines>
  <Paragraphs>537</Paragraphs>
  <TotalTime>138</TotalTime>
  <ScaleCrop>false</ScaleCrop>
  <LinksUpToDate>false</LinksUpToDate>
  <CharactersWithSpaces>11165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2026-05-19T06:40:44Z</dcterms:modified>
  <dc:title>团体标准</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7137C95A6A0A46BD922A503D4DD8AAA6_12</vt:lpwstr>
  </property>
</Properties>
</file>