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3.16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93.160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55"/>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55</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82"/>
            </w:textInput>
          </w:ffData>
        </w:fldChar>
      </w:r>
      <w:bookmarkStart w:id="6" w:name="NSTD_CODE_F"/>
      <w:r>
        <w:instrText xml:space="preserve"> FORMTEXT </w:instrText>
      </w:r>
      <w:r>
        <w:fldChar w:fldCharType="separate"/>
      </w:r>
      <w:r>
        <w:t>0282</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5F440AE9">
      <w:pPr>
        <w:pStyle w:val="197"/>
        <w:framePr w:h="6974" w:hRule="exact" w:wrap="around" w:x="1419" w:anchorLock="1"/>
        <w:rPr>
          <w:rFonts w:hint="eastAsia"/>
        </w:rPr>
      </w:pPr>
      <w:r>
        <w:rPr>
          <w:rFonts w:hint="eastAsia"/>
        </w:rPr>
        <w:fldChar w:fldCharType="begin">
          <w:ffData>
            <w:name w:val="CSTD_NAME"/>
            <w:enabled/>
            <w:calcOnExit w:val="0"/>
            <w:textInput>
              <w:default w:val="水利工程智能防汛调度与应急处置技术标准"/>
            </w:textInput>
          </w:ffData>
        </w:fldChar>
      </w:r>
      <w:bookmarkStart w:id="9" w:name="CSTD_NAME"/>
      <w:r>
        <w:rPr>
          <w:rFonts w:hint="eastAsia"/>
        </w:rPr>
        <w:instrText xml:space="preserve"> FORMTEXT </w:instrText>
      </w:r>
      <w:r>
        <w:rPr>
          <w:rFonts w:hint="eastAsia"/>
        </w:rPr>
        <w:fldChar w:fldCharType="separate"/>
      </w:r>
      <w:r>
        <w:rPr>
          <w:rFonts w:hint="eastAsia"/>
        </w:rPr>
        <w:t>水利工程智能防汛调度</w:t>
      </w:r>
    </w:p>
    <w:p w14:paraId="73594FE6">
      <w:pPr>
        <w:pStyle w:val="197"/>
        <w:framePr w:h="6974" w:hRule="exact" w:wrap="around" w:x="1419" w:anchorLock="1"/>
        <w:rPr>
          <w:rFonts w:hint="eastAsia"/>
        </w:rPr>
      </w:pPr>
      <w:r>
        <w:rPr>
          <w:rFonts w:hint="eastAsia"/>
        </w:rPr>
        <w:t>与应急处置技术标准</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tandard for intelligent flood control scheduling and emergency response technology in water conservancy engineering"/>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Standard for intelligent flood control scheduling and emergency response technology in water conservancy engineering</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24E2971C">
      <w:pPr>
        <w:pStyle w:val="91"/>
        <w:spacing w:after="360"/>
        <w:rPr>
          <w:rFonts w:hint="eastAsia"/>
        </w:rPr>
      </w:pPr>
      <w:bookmarkStart w:id="21" w:name="BookMark1"/>
      <w:r>
        <w:rPr>
          <w:rFonts w:hint="eastAsia"/>
          <w:spacing w:val="320"/>
        </w:rPr>
        <w:t>目</w:t>
      </w:r>
      <w:r>
        <w:rPr>
          <w:rFonts w:hint="eastAsia"/>
        </w:rPr>
        <w:t>次</w:t>
      </w:r>
    </w:p>
    <w:p w14:paraId="0F3AC08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"_Toc228606013"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_Toc228606013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5BF886A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"_Toc228606014"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_Toc228606014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6852BAC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"_Toc228606015"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_Toc228606015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8D4B67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"_Toc228606016"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_Toc228606016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368E05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"_Toc228606017"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_Toc228606017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972BBF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"_Toc228606018"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_Toc228606018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1A227E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"_Toc228606019" </w:instrText>
      </w:r>
      <w:r>
        <w:fldChar w:fldCharType="separate"/>
      </w:r>
      <w:r>
        <w:rPr>
          <w:rStyle w:val="32"/>
        </w:rPr>
        <w:t>5  组织与职责</w:t>
      </w:r>
      <w:r>
        <w:rPr>
          <w:rFonts w:hint="eastAsia"/>
        </w:rPr>
        <w:tab/>
      </w:r>
      <w:r>
        <w:rPr>
          <w:rFonts w:hint="eastAsia"/>
        </w:rPr>
        <w:fldChar w:fldCharType="begin"/>
      </w:r>
      <w:r>
        <w:rPr>
          <w:rFonts w:hint="eastAsia"/>
        </w:rPr>
        <w:instrText xml:space="preserve"> </w:instrText>
      </w:r>
      <w:r>
        <w:instrText xml:space="preserve">PAGEREF _Toc228606019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4E1D11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"_Toc228606020" </w:instrText>
      </w:r>
      <w:r>
        <w:fldChar w:fldCharType="separate"/>
      </w:r>
      <w:r>
        <w:rPr>
          <w:rStyle w:val="32"/>
        </w:rPr>
        <w:t>6  监测感知与数据管理</w:t>
      </w:r>
      <w:r>
        <w:rPr>
          <w:rFonts w:hint="eastAsia"/>
        </w:rPr>
        <w:tab/>
      </w:r>
      <w:r>
        <w:rPr>
          <w:rFonts w:hint="eastAsia"/>
        </w:rPr>
        <w:fldChar w:fldCharType="begin"/>
      </w:r>
      <w:r>
        <w:rPr>
          <w:rFonts w:hint="eastAsia"/>
        </w:rPr>
        <w:instrText xml:space="preserve"> </w:instrText>
      </w:r>
      <w:r>
        <w:instrText xml:space="preserve">PAGEREF _Toc228606020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61E2E3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"_Toc228606021" </w:instrText>
      </w:r>
      <w:r>
        <w:fldChar w:fldCharType="separate"/>
      </w:r>
      <w:r>
        <w:rPr>
          <w:rStyle w:val="32"/>
        </w:rPr>
        <w:t>7  智能预报与风险研判</w:t>
      </w:r>
      <w:r>
        <w:rPr>
          <w:rFonts w:hint="eastAsia"/>
        </w:rPr>
        <w:tab/>
      </w:r>
      <w:r>
        <w:rPr>
          <w:rFonts w:hint="eastAsia"/>
        </w:rPr>
        <w:fldChar w:fldCharType="begin"/>
      </w:r>
      <w:r>
        <w:rPr>
          <w:rFonts w:hint="eastAsia"/>
        </w:rPr>
        <w:instrText xml:space="preserve"> </w:instrText>
      </w:r>
      <w:r>
        <w:instrText xml:space="preserve">PAGEREF _Toc228606021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EE031A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"_Toc228606022" </w:instrText>
      </w:r>
      <w:r>
        <w:fldChar w:fldCharType="separate"/>
      </w:r>
      <w:r>
        <w:rPr>
          <w:rStyle w:val="32"/>
        </w:rPr>
        <w:t>8  智能防汛调度</w:t>
      </w:r>
      <w:r>
        <w:rPr>
          <w:rFonts w:hint="eastAsia"/>
        </w:rPr>
        <w:tab/>
      </w:r>
      <w:r>
        <w:rPr>
          <w:rFonts w:hint="eastAsia"/>
        </w:rPr>
        <w:fldChar w:fldCharType="begin"/>
      </w:r>
      <w:r>
        <w:rPr>
          <w:rFonts w:hint="eastAsia"/>
        </w:rPr>
        <w:instrText xml:space="preserve"> </w:instrText>
      </w:r>
      <w:r>
        <w:instrText xml:space="preserve">PAGEREF _Toc228606022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9DC96B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"_Toc228606023" </w:instrText>
      </w:r>
      <w:r>
        <w:fldChar w:fldCharType="separate"/>
      </w:r>
      <w:r>
        <w:rPr>
          <w:rStyle w:val="32"/>
        </w:rPr>
        <w:t>9  预警发布与指令执行</w:t>
      </w:r>
      <w:r>
        <w:rPr>
          <w:rFonts w:hint="eastAsia"/>
        </w:rPr>
        <w:tab/>
      </w:r>
      <w:r>
        <w:rPr>
          <w:rFonts w:hint="eastAsia"/>
        </w:rPr>
        <w:fldChar w:fldCharType="begin"/>
      </w:r>
      <w:r>
        <w:rPr>
          <w:rFonts w:hint="eastAsia"/>
        </w:rPr>
        <w:instrText xml:space="preserve"> </w:instrText>
      </w:r>
      <w:r>
        <w:instrText xml:space="preserve">PAGEREF _Toc228606023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E8E271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"_Toc228606024" </w:instrText>
      </w:r>
      <w:r>
        <w:fldChar w:fldCharType="separate"/>
      </w:r>
      <w:r>
        <w:rPr>
          <w:rStyle w:val="32"/>
        </w:rPr>
        <w:t>10  应急响应与现场处置</w:t>
      </w:r>
      <w:r>
        <w:rPr>
          <w:rFonts w:hint="eastAsia"/>
        </w:rPr>
        <w:tab/>
      </w:r>
      <w:r>
        <w:rPr>
          <w:rFonts w:hint="eastAsia"/>
        </w:rPr>
        <w:fldChar w:fldCharType="begin"/>
      </w:r>
      <w:r>
        <w:rPr>
          <w:rFonts w:hint="eastAsia"/>
        </w:rPr>
        <w:instrText xml:space="preserve"> </w:instrText>
      </w:r>
      <w:r>
        <w:instrText xml:space="preserve">PAGEREF _Toc228606024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E7F9EC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"_Toc228606025" </w:instrText>
      </w:r>
      <w:r>
        <w:fldChar w:fldCharType="separate"/>
      </w:r>
      <w:r>
        <w:rPr>
          <w:rStyle w:val="32"/>
        </w:rPr>
        <w:t>11  应急资源与协同联动</w:t>
      </w:r>
      <w:r>
        <w:rPr>
          <w:rFonts w:hint="eastAsia"/>
        </w:rPr>
        <w:tab/>
      </w:r>
      <w:r>
        <w:rPr>
          <w:rFonts w:hint="eastAsia"/>
        </w:rPr>
        <w:fldChar w:fldCharType="begin"/>
      </w:r>
      <w:r>
        <w:rPr>
          <w:rFonts w:hint="eastAsia"/>
        </w:rPr>
        <w:instrText xml:space="preserve"> </w:instrText>
      </w:r>
      <w:r>
        <w:instrText xml:space="preserve">PAGEREF _Toc228606025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50FB6CA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"_Toc228606026" </w:instrText>
      </w:r>
      <w:r>
        <w:fldChar w:fldCharType="separate"/>
      </w:r>
      <w:r>
        <w:rPr>
          <w:rStyle w:val="32"/>
        </w:rPr>
        <w:t>12  系统运行维护</w:t>
      </w:r>
      <w:r>
        <w:rPr>
          <w:rFonts w:hint="eastAsia"/>
        </w:rPr>
        <w:tab/>
      </w:r>
      <w:r>
        <w:rPr>
          <w:rFonts w:hint="eastAsia"/>
        </w:rPr>
        <w:fldChar w:fldCharType="begin"/>
      </w:r>
      <w:r>
        <w:rPr>
          <w:rFonts w:hint="eastAsia"/>
        </w:rPr>
        <w:instrText xml:space="preserve"> </w:instrText>
      </w:r>
      <w:r>
        <w:instrText xml:space="preserve">PAGEREF _Toc228606026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5883D7C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"_Toc228606027" </w:instrText>
      </w:r>
      <w:r>
        <w:fldChar w:fldCharType="separate"/>
      </w:r>
      <w:r>
        <w:rPr>
          <w:rStyle w:val="32"/>
        </w:rPr>
        <w:t>13  复盘评估与持续改进</w:t>
      </w:r>
      <w:r>
        <w:rPr>
          <w:rFonts w:hint="eastAsia"/>
        </w:rPr>
        <w:tab/>
      </w:r>
      <w:r>
        <w:rPr>
          <w:rFonts w:hint="eastAsia"/>
        </w:rPr>
        <w:fldChar w:fldCharType="begin"/>
      </w:r>
      <w:r>
        <w:rPr>
          <w:rFonts w:hint="eastAsia"/>
        </w:rPr>
        <w:instrText xml:space="preserve"> </w:instrText>
      </w:r>
      <w:r>
        <w:instrText xml:space="preserve">PAGEREF _Toc228606027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54FA8F7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"_Toc228606028" </w:instrText>
      </w:r>
      <w:r>
        <w:fldChar w:fldCharType="separate"/>
      </w:r>
      <w:r>
        <w:rPr>
          <w:rStyle w:val="32"/>
        </w:rPr>
        <w:t>14  资料归档</w:t>
      </w:r>
      <w:r>
        <w:rPr>
          <w:rFonts w:hint="eastAsia"/>
        </w:rPr>
        <w:tab/>
      </w:r>
      <w:r>
        <w:rPr>
          <w:rFonts w:hint="eastAsia"/>
        </w:rPr>
        <w:fldChar w:fldCharType="begin"/>
      </w:r>
      <w:r>
        <w:rPr>
          <w:rFonts w:hint="eastAsia"/>
        </w:rPr>
        <w:instrText xml:space="preserve"> </w:instrText>
      </w:r>
      <w:r>
        <w:instrText xml:space="preserve">PAGEREF _Toc228606028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2B5F9B3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"_Toc228606029" </w:instrText>
      </w:r>
      <w:r>
        <w:fldChar w:fldCharType="separate"/>
      </w:r>
      <w:r>
        <w:rPr>
          <w:rStyle w:val="32"/>
        </w:rPr>
        <w:t>附录A（资料性）  智能防汛调度与应急处置流程</w:t>
      </w:r>
      <w:r>
        <w:rPr>
          <w:rFonts w:hint="eastAsia"/>
        </w:rPr>
        <w:tab/>
      </w:r>
      <w:r>
        <w:rPr>
          <w:rFonts w:hint="eastAsia"/>
        </w:rPr>
        <w:fldChar w:fldCharType="begin"/>
      </w:r>
      <w:r>
        <w:rPr>
          <w:rFonts w:hint="eastAsia"/>
        </w:rPr>
        <w:instrText xml:space="preserve"> </w:instrText>
      </w:r>
      <w:r>
        <w:instrText xml:space="preserve">PAGEREF _Toc228606029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0DD2103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"_Toc228606030" </w:instrText>
      </w:r>
      <w:r>
        <w:fldChar w:fldCharType="separate"/>
      </w:r>
      <w:r>
        <w:rPr>
          <w:rStyle w:val="32"/>
        </w:rPr>
        <w:t>附录B（资料性）  智能防汛调度与应急处置复盘评价指标</w:t>
      </w:r>
      <w:r>
        <w:rPr>
          <w:rFonts w:hint="eastAsia"/>
        </w:rPr>
        <w:tab/>
      </w:r>
      <w:r>
        <w:rPr>
          <w:rFonts w:hint="eastAsia"/>
        </w:rPr>
        <w:fldChar w:fldCharType="begin"/>
      </w:r>
      <w:r>
        <w:rPr>
          <w:rFonts w:hint="eastAsia"/>
        </w:rPr>
        <w:instrText xml:space="preserve"> </w:instrText>
      </w:r>
      <w:r>
        <w:instrText xml:space="preserve">PAGEREF _Toc228606030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4EC46D7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"_Toc228606031" </w:instrText>
      </w:r>
      <w:r>
        <w:fldChar w:fldCharType="separate"/>
      </w:r>
      <w:r>
        <w:rPr>
          <w:rStyle w:val="32"/>
        </w:rPr>
        <w:t>参考文献</w:t>
      </w:r>
      <w:r>
        <w:rPr>
          <w:rFonts w:hint="eastAsia"/>
        </w:rPr>
        <w:tab/>
      </w:r>
      <w:r>
        <w:rPr>
          <w:rFonts w:hint="eastAsia"/>
        </w:rPr>
        <w:fldChar w:fldCharType="begin"/>
      </w:r>
      <w:r>
        <w:rPr>
          <w:rFonts w:hint="eastAsia"/>
        </w:rPr>
        <w:instrText xml:space="preserve"> </w:instrText>
      </w:r>
      <w:r>
        <w:instrText xml:space="preserve">PAGEREF _Toc228606031 \h</w:instrText>
      </w:r>
      <w:r>
        <w:rPr>
          <w:rFonts w:hint="eastAsia"/>
        </w:rPr>
        <w:instrText xml:space="preserve"> </w:instrText>
      </w:r>
      <w:r>
        <w:rPr>
          <w:rFonts w:hint="eastAsia"/>
        </w:rPr>
        <w:fldChar w:fldCharType="separate"/>
      </w:r>
      <w:r>
        <w:t>23</w:t>
      </w:r>
      <w:r>
        <w:rPr>
          <w:rFonts w:hint="eastAsia"/>
        </w:rPr>
        <w:fldChar w:fldCharType="end"/>
      </w:r>
      <w:r>
        <w:rPr>
          <w:rFonts w:hint="eastAsia"/>
        </w:rPr>
        <w:fldChar w:fldCharType="end"/>
      </w:r>
    </w:p>
    <w:p w14:paraId="0F58B425">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06013"/>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本文件起草单位：济南黄河河务局天桥黄河河务局。</w:t>
      </w:r>
      <w:bookmarkStart w:id="68" w:name="_GoBack"/>
      <w:bookmarkEnd w:id="68"/>
    </w:p>
    <w:p w14:paraId="3A81B58C">
      <w:pPr>
        <w:pStyle w:val="56"/>
        <w:ind w:firstLine="0" w:firstLineChars="0"/>
      </w:pPr>
      <w:r>
        <w:rPr>
          <w:rFonts w:hint="eastAsia"/>
        </w:rPr>
        <w:t>本文件主要起草人：</w:t>
      </w:r>
      <w:r>
        <w:t>王莉娜</w:t>
      </w:r>
      <w:r>
        <w:rPr>
          <w:rFonts w:hint="eastAsia"/>
        </w:rPr>
        <w:t>。</w:t>
      </w:r>
    </w:p>
    <w:p w14:paraId="6FE8143E">
      <w:pPr>
        <w:pStyle w:val="56"/>
        <w:ind w:firstLine="420"/>
      </w:pPr>
    </w:p>
    <w:p w14:paraId="784B3C9B">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p>
    <w:bookmarkEnd w:id="23"/>
    <w:p w14:paraId="66D0A2F3">
      <w:pPr>
        <w:pStyle w:val="89"/>
        <w:spacing w:after="360"/>
      </w:pPr>
      <w:bookmarkStart w:id="24" w:name="_Toc228606014"/>
      <w:bookmarkStart w:id="25" w:name="BookMark3"/>
      <w:r>
        <w:rPr>
          <w:spacing w:val="320"/>
        </w:rPr>
        <w:t>引</w:t>
      </w:r>
      <w:r>
        <w:t>言</w:t>
      </w:r>
      <w:bookmarkEnd w:id="24"/>
    </w:p>
    <w:p w14:paraId="394FE6DD">
      <w:pPr>
        <w:pStyle w:val="56"/>
        <w:spacing w:line="360" w:lineRule="auto"/>
        <w:ind w:firstLine="420"/>
      </w:pPr>
      <w:r>
        <w:rPr>
          <w:rFonts w:hint="eastAsia"/>
        </w:rPr>
        <w:t>水利工程是防洪减灾、水资源调配、城乡供水、农业灌溉、水生态保护和区域安全保障的重要基础设施。水库、水闸、泵站、堤防、蓄滞洪区、引调水工程、河道治理工程及相关水工建筑物在汛期承担拦洪、泄洪、排涝、分洪、蓄滞、调水、挡水和险情防控等重要任务。随着极端降雨事件、流域洪水过程、城市内涝风险、工程老化隐患和跨区域调度需求不断增加，传统依赖人工经验、分散信息和单点监测的防汛调度方式，已难以充分满足快速感知、精准研判、协同调度、及时预警和高效处置的管理要求。</w:t>
      </w:r>
    </w:p>
    <w:p w14:paraId="65D61782">
      <w:pPr>
        <w:pStyle w:val="56"/>
        <w:spacing w:line="360" w:lineRule="auto"/>
        <w:ind w:firstLine="420"/>
      </w:pPr>
      <w:r>
        <w:rPr>
          <w:rFonts w:hint="eastAsia"/>
        </w:rPr>
        <w:t>水利工程智能防汛调度与应急处置不应仅理解为建设信息化平台、安装监测设备或展示水雨情数据，而应围绕防汛调度和险情处置全过程，建立涵盖水雨情监测、工程安全监测、洪水预报、风险识别、调度方案生成、预警发布、指令执行、应急联动、现场处置、过程复盘和持续改进的技术体系。智能化应用应服务于工程安全、人民生命财产安全和防洪调度决策，不得脱离防汛责任体系、工程调度规程、应急预案和实际处置能力。</w:t>
      </w:r>
    </w:p>
    <w:p w14:paraId="55AD9D50">
      <w:pPr>
        <w:pStyle w:val="56"/>
        <w:spacing w:line="360" w:lineRule="auto"/>
        <w:ind w:firstLine="420"/>
      </w:pPr>
      <w:r>
        <w:rPr>
          <w:rFonts w:hint="eastAsia"/>
        </w:rPr>
        <w:t>本文件围绕水利工程智能防汛调度与应急处置活动，拟对总体要求、组织职责、监测感知、数据接入、洪水预报、风险研判、智能调度、预警发布、调度指令执行、应急响应、险情处置、应急资源管理、信息报送、系统运行维护、复盘评估和资料归档等内容作出规定。本文件注重将智能防汛调度与应急处置要求转化为可执行、可检查、可追溯的技术条款，强化“应”“不得”等规范性表达，减少原则性、解释性和倡导性表述，便于水利工程管理单位、防汛调度机构、运行维护单位、监测预警单位、应急处置单位和相关技术服务单位执行。</w:t>
      </w:r>
    </w:p>
    <w:p w14:paraId="3BF56744">
      <w:pPr>
        <w:pStyle w:val="56"/>
        <w:spacing w:line="360" w:lineRule="auto"/>
        <w:ind w:firstLine="420"/>
      </w:pPr>
      <w:r>
        <w:rPr>
          <w:rFonts w:hint="eastAsia"/>
        </w:rPr>
        <w:t>本文件所称智能防汛调度，是指依托水雨情、工情、险情、视频、遥感、气象、水文预报、工程运行、空间地理和应急资源等数据，结合调度规程、预案规则、模型计算、风险阈值和人工审核机制，对水利工程防洪运行过程进行监测、分析、预警、方案生成、指令下达和执行反馈的活动。智能调度结果应作为辅助决策依据，不得替代防汛责任人、调度责任人和工程运行管理责任人依法依规作出的审核、批准和处置决定。</w:t>
      </w:r>
    </w:p>
    <w:p w14:paraId="4217085E">
      <w:pPr>
        <w:pStyle w:val="56"/>
        <w:spacing w:line="360" w:lineRule="auto"/>
        <w:ind w:firstLine="420"/>
      </w:pPr>
      <w:r>
        <w:rPr>
          <w:rFonts w:hint="eastAsia"/>
        </w:rPr>
        <w:t>本文件所称应急处置，是指在洪水、暴雨、工程险情、超标准运行、设备故障、堤防渗漏、闸门异常、泵站停运、通信中断、山洪影响、城市内涝联动或其他防汛突发事件发生时，按照预案和调度要求采取信息报告、风险研判、人员转移、工程调度、抢险处置、应急排水、交通管制、物资调配、现场监测、技术支撑和恢复评估等措施的活动。应急处置应与智能监测、调度决策、资源保障和现场反馈形成闭环，不得出现有预警无响应、有指令无反馈、有险情无记录、有处置无复盘的情形。</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2020CF6B">
          <w:pPr>
            <w:pStyle w:val="177"/>
            <w:spacing w:after="0"/>
            <w:rPr>
              <w:rFonts w:hint="eastAsia"/>
            </w:rPr>
          </w:pPr>
          <w:bookmarkStart w:id="27" w:name="NEW_STAND_NAME"/>
          <w:r>
            <w:rPr>
              <w:rFonts w:hint="eastAsia"/>
            </w:rPr>
            <w:t>水利工程智能防汛调度</w:t>
          </w:r>
        </w:p>
        <w:p w14:paraId="7D4E3E1F">
          <w:pPr>
            <w:pStyle w:val="177"/>
            <w:spacing w:before="0" w:after="0"/>
            <w:rPr>
              <w:rFonts w:hint="eastAsia"/>
            </w:rPr>
          </w:pPr>
          <w:r>
            <w:rPr>
              <w:rFonts w:hint="eastAsia"/>
            </w:rPr>
            <w:t>与应急处置技术标准</w:t>
          </w:r>
        </w:p>
      </w:sdtContent>
    </w:sdt>
    <w:bookmarkEnd w:id="27"/>
    <w:p w14:paraId="3DB22445">
      <w:pPr>
        <w:pStyle w:val="104"/>
        <w:spacing w:before="240" w:after="240" w:line="360" w:lineRule="auto"/>
      </w:pPr>
      <w:bookmarkStart w:id="28" w:name="_Toc24884218"/>
      <w:bookmarkStart w:id="29" w:name="_Toc26986530"/>
      <w:bookmarkStart w:id="30" w:name="_Toc17233333"/>
      <w:bookmarkStart w:id="31" w:name="_Toc26986771"/>
      <w:bookmarkStart w:id="32" w:name="_Toc24884211"/>
      <w:bookmarkStart w:id="33" w:name="_Toc97192964"/>
      <w:bookmarkStart w:id="34" w:name="_Toc26648465"/>
      <w:bookmarkStart w:id="35" w:name="_Toc17233325"/>
      <w:bookmarkStart w:id="36" w:name="_Toc228606015"/>
      <w:bookmarkStart w:id="37" w:name="_Toc26718930"/>
      <w:r>
        <w:rPr>
          <w:rFonts w:hint="eastAsia"/>
        </w:rPr>
        <w:t>范围</w:t>
      </w:r>
      <w:bookmarkEnd w:id="28"/>
      <w:bookmarkEnd w:id="29"/>
      <w:bookmarkEnd w:id="30"/>
      <w:bookmarkEnd w:id="31"/>
      <w:bookmarkEnd w:id="32"/>
      <w:bookmarkEnd w:id="33"/>
      <w:bookmarkEnd w:id="34"/>
      <w:bookmarkEnd w:id="35"/>
      <w:bookmarkEnd w:id="36"/>
      <w:bookmarkEnd w:id="37"/>
    </w:p>
    <w:p w14:paraId="4036629D">
      <w:pPr>
        <w:pStyle w:val="56"/>
        <w:spacing w:line="360" w:lineRule="auto"/>
        <w:ind w:firstLine="420"/>
      </w:pPr>
      <w:bookmarkStart w:id="38" w:name="_Toc17233334"/>
      <w:bookmarkStart w:id="39" w:name="_Toc24884219"/>
      <w:bookmarkStart w:id="40" w:name="_Toc24884212"/>
      <w:bookmarkStart w:id="41" w:name="_Toc17233326"/>
      <w:bookmarkStart w:id="42" w:name="_Toc26648466"/>
      <w:r>
        <w:rPr>
          <w:rFonts w:hint="eastAsia"/>
        </w:rPr>
        <w:t>本文件规定了水利工程智能防汛调度与应急处置的基本要求、组织与职责、监测感知与数据管理、智能预报与风险研判、智能防汛调度、预警发布与指令执行、应急响应与现场处置、应急资源与协同联动、系统运行维护、复盘评估与持续改进、资料归档等要求。</w:t>
      </w:r>
    </w:p>
    <w:p w14:paraId="457C6A29">
      <w:pPr>
        <w:pStyle w:val="56"/>
        <w:spacing w:line="360" w:lineRule="auto"/>
        <w:ind w:firstLine="420"/>
      </w:pPr>
      <w:r>
        <w:rPr>
          <w:rFonts w:hint="eastAsia"/>
        </w:rPr>
        <w:t>本文件适用于水库、水闸、泵站、堤防、蓄滞洪区、引调水工程、河道治理工程、灌区排涝工程及其他承担防洪、排涝、调蓄、分洪、泄洪和应急抢险任务的水利工程开展智能防汛调度、监测预警、应急响应和险情处置工作。</w:t>
      </w:r>
    </w:p>
    <w:p w14:paraId="3733B2AD">
      <w:pPr>
        <w:pStyle w:val="104"/>
        <w:spacing w:before="240" w:after="240" w:line="360" w:lineRule="auto"/>
      </w:pPr>
      <w:bookmarkStart w:id="43" w:name="_Toc26986531"/>
      <w:bookmarkStart w:id="44" w:name="_Toc26986772"/>
      <w:bookmarkStart w:id="45" w:name="_Toc26718931"/>
      <w:bookmarkStart w:id="46" w:name="_Toc228606016"/>
      <w:bookmarkStart w:id="47" w:name="_Toc97192965"/>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FFCC30">
      <w:pPr>
        <w:pStyle w:val="56"/>
        <w:spacing w:line="360" w:lineRule="auto"/>
        <w:ind w:firstLine="420"/>
      </w:pPr>
      <w:r>
        <w:rPr>
          <w:rFonts w:hint="eastAsia"/>
        </w:rPr>
        <w:t>GB 50201 防洪标准</w:t>
      </w:r>
    </w:p>
    <w:p w14:paraId="04F3445F">
      <w:pPr>
        <w:pStyle w:val="56"/>
        <w:spacing w:line="360" w:lineRule="auto"/>
        <w:ind w:firstLine="420"/>
      </w:pPr>
      <w:r>
        <w:rPr>
          <w:rFonts w:hint="eastAsia"/>
        </w:rPr>
        <w:t>GB/T 19000 质量管理体系 基础和术语</w:t>
      </w:r>
    </w:p>
    <w:p w14:paraId="3C590B65">
      <w:pPr>
        <w:pStyle w:val="56"/>
        <w:spacing w:line="360" w:lineRule="auto"/>
        <w:ind w:firstLine="420"/>
      </w:pPr>
      <w:r>
        <w:rPr>
          <w:rFonts w:hint="eastAsia"/>
        </w:rPr>
        <w:t>GB/T 22239 信息安全技术  网络安全等级保护基本要求</w:t>
      </w:r>
    </w:p>
    <w:p w14:paraId="6F188972">
      <w:pPr>
        <w:pStyle w:val="56"/>
        <w:spacing w:line="360" w:lineRule="auto"/>
        <w:ind w:firstLine="420"/>
      </w:pPr>
      <w:r>
        <w:rPr>
          <w:rFonts w:hint="eastAsia"/>
        </w:rPr>
        <w:t>GB/T 25000.51 系统与软件工程  系统与软件质量要求和评价  第51部分：就绪可用软件产品的质量要求和测试细则</w:t>
      </w:r>
    </w:p>
    <w:p w14:paraId="7B3C89B2">
      <w:pPr>
        <w:pStyle w:val="56"/>
        <w:spacing w:line="360" w:lineRule="auto"/>
        <w:ind w:firstLine="420"/>
      </w:pPr>
      <w:r>
        <w:rPr>
          <w:rFonts w:hint="eastAsia"/>
        </w:rPr>
        <w:t>GB/T 37988 信息安全技术  数据安全能力成熟度模型</w:t>
      </w:r>
    </w:p>
    <w:p w14:paraId="07A7F860">
      <w:pPr>
        <w:pStyle w:val="56"/>
        <w:spacing w:line="360" w:lineRule="auto"/>
        <w:ind w:firstLine="420"/>
      </w:pPr>
      <w:r>
        <w:rPr>
          <w:rFonts w:hint="eastAsia"/>
        </w:rPr>
        <w:t>GB/T 39786 信息安全技术  信息系统密码应用基本要求</w:t>
      </w:r>
    </w:p>
    <w:p w14:paraId="40BDA262">
      <w:pPr>
        <w:pStyle w:val="56"/>
        <w:spacing w:line="360" w:lineRule="auto"/>
        <w:ind w:firstLine="420"/>
        <w:rPr>
          <w:rFonts w:hint="eastAsia"/>
        </w:rPr>
      </w:pPr>
      <w:r>
        <w:t>DB11/T 2193</w:t>
      </w:r>
      <w:r>
        <w:rPr>
          <w:rFonts w:hint="eastAsia"/>
        </w:rPr>
        <w:t>—</w:t>
      </w:r>
      <w:r>
        <w:t>2023</w:t>
      </w:r>
      <w:r>
        <w:rPr>
          <w:rFonts w:hint="eastAsia"/>
        </w:rPr>
        <w:t xml:space="preserve"> 防汛隐患排查治理规范  水利工程</w:t>
      </w:r>
    </w:p>
    <w:p w14:paraId="51F02A4E">
      <w:pPr>
        <w:pStyle w:val="104"/>
        <w:spacing w:before="240" w:after="240" w:line="360" w:lineRule="auto"/>
      </w:pPr>
      <w:bookmarkStart w:id="48" w:name="_Toc228606017"/>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605CC66">
          <w:pPr>
            <w:pStyle w:val="56"/>
            <w:spacing w:line="360" w:lineRule="auto"/>
            <w:ind w:firstLine="420"/>
          </w:pPr>
          <w:bookmarkStart w:id="50" w:name="_Toc26986532"/>
          <w:bookmarkEnd w:id="50"/>
          <w:r>
            <w:t>下列术语和定义适用于本文件。</w:t>
          </w:r>
        </w:p>
      </w:sdtContent>
    </w:sdt>
    <w:p w14:paraId="4AE064D4">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水利工程 water conservancy project</w:t>
      </w:r>
    </w:p>
    <w:p w14:paraId="50811ABA">
      <w:pPr>
        <w:pStyle w:val="56"/>
        <w:spacing w:line="360" w:lineRule="auto"/>
        <w:ind w:firstLine="420"/>
      </w:pPr>
      <w:r>
        <w:rPr>
          <w:rFonts w:hint="eastAsia"/>
        </w:rPr>
        <w:t>用于防洪、排涝、灌溉、供水、调水、蓄水、引水、泄水、水生态保护及相关水资源调控活动的工程设施及其附属建筑物、设备设施和管理系统。</w:t>
      </w:r>
    </w:p>
    <w:p w14:paraId="38CD90D3">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智能防汛调度 intelligent flood control dispatching</w:t>
      </w:r>
    </w:p>
    <w:p w14:paraId="6FD90DB8">
      <w:pPr>
        <w:pStyle w:val="56"/>
        <w:spacing w:line="360" w:lineRule="auto"/>
        <w:ind w:firstLine="420"/>
      </w:pPr>
      <w:r>
        <w:rPr>
          <w:rFonts w:hint="eastAsia"/>
        </w:rPr>
        <w:t>依托水雨情、工情、险情、气象预报、水文预报、工程运行、视频监控、空间地理和应急资源等数据，结合调度规则、模型计算和人工审核，对防汛调度过程进行监测、分析、预警、方案生成、指令下达和执行反馈的活动。</w:t>
      </w:r>
    </w:p>
    <w:p w14:paraId="5E70ABD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应急处置 emergency response</w:t>
      </w:r>
    </w:p>
    <w:p w14:paraId="4023EB62">
      <w:pPr>
        <w:pStyle w:val="56"/>
        <w:spacing w:line="360" w:lineRule="auto"/>
        <w:ind w:firstLine="420"/>
      </w:pPr>
      <w:r>
        <w:rPr>
          <w:rFonts w:hint="eastAsia"/>
        </w:rPr>
        <w:t>针对洪水、暴雨、工程险情、设备故障、超标准运行、通信中断、堤防渗漏、闸门异常、泵站停运及其他防汛突发事件，采取信息报告、风险研判、工程调度、人员转移、抢险处置、物资调配和恢复评估等措施的活动。</w:t>
      </w:r>
    </w:p>
    <w:p w14:paraId="6355407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水雨情 water and rainfall condition</w:t>
      </w:r>
    </w:p>
    <w:p w14:paraId="3E162085">
      <w:pPr>
        <w:pStyle w:val="56"/>
        <w:spacing w:line="360" w:lineRule="auto"/>
        <w:ind w:firstLine="420"/>
      </w:pPr>
      <w:r>
        <w:rPr>
          <w:rFonts w:hint="eastAsia"/>
        </w:rPr>
        <w:t>反映降雨、水位、流量、流速、库容、入库流量、出库流量、潮位、积水深度及相关水文过程状态的数据和信息。</w:t>
      </w:r>
    </w:p>
    <w:p w14:paraId="1A0E6DB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工情 engineering condition</w:t>
      </w:r>
    </w:p>
    <w:p w14:paraId="4740687F">
      <w:pPr>
        <w:pStyle w:val="56"/>
        <w:spacing w:line="360" w:lineRule="auto"/>
        <w:ind w:firstLine="420"/>
      </w:pPr>
      <w:r>
        <w:rPr>
          <w:rFonts w:hint="eastAsia"/>
        </w:rPr>
        <w:t>反映水利工程运行状态、设备状态、建筑物状态、启闭状态、闸门开度、泵机运行、堤防状态、渗流变形及工程安全监测情况的数据和信息。</w:t>
      </w:r>
    </w:p>
    <w:p w14:paraId="25CC533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险情 dangerous condition</w:t>
      </w:r>
    </w:p>
    <w:p w14:paraId="4A890AD5">
      <w:pPr>
        <w:pStyle w:val="56"/>
        <w:spacing w:line="360" w:lineRule="auto"/>
        <w:ind w:firstLine="420"/>
      </w:pPr>
      <w:r>
        <w:rPr>
          <w:rFonts w:hint="eastAsia"/>
        </w:rPr>
        <w:t>水利工程或防洪保护对象出现可能危及工程安全、人员安全、公共安全或防洪排涝功能的异常状态，包括渗漏、管涌、滑坡、裂缝、塌陷、漫溢、决口、设备失效和通信中断等。</w:t>
      </w:r>
    </w:p>
    <w:p w14:paraId="4CABD48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智能预警 intelligent warning</w:t>
      </w:r>
    </w:p>
    <w:p w14:paraId="48B6D3D3">
      <w:pPr>
        <w:pStyle w:val="56"/>
        <w:spacing w:line="360" w:lineRule="auto"/>
        <w:ind w:firstLine="420"/>
      </w:pPr>
      <w:r>
        <w:rPr>
          <w:rFonts w:hint="eastAsia"/>
        </w:rPr>
        <w:t>基于监测数据、预报成果、风险阈值、模型计算和规则判断，对可能发生的洪水、内涝、工程险情或运行异常进行自动识别、分级提示和信息推送的活动。</w:t>
      </w:r>
    </w:p>
    <w:p w14:paraId="6717FA3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风险研判 risk analysis and judgment</w:t>
      </w:r>
    </w:p>
    <w:p w14:paraId="1297F461">
      <w:pPr>
        <w:pStyle w:val="56"/>
        <w:spacing w:line="360" w:lineRule="auto"/>
        <w:ind w:firstLine="420"/>
      </w:pPr>
      <w:r>
        <w:rPr>
          <w:rFonts w:hint="eastAsia"/>
        </w:rPr>
        <w:t>对水雨情、工情、险情、预报成果、工程调度状态、下游影响、应急资源和现场反馈进行综合分析，判断风险等级、发展趋势和处置需求的活动。</w:t>
      </w:r>
    </w:p>
    <w:p w14:paraId="2914C1F0">
      <w:pPr>
        <w:pStyle w:val="56"/>
        <w:spacing w:line="360" w:lineRule="auto"/>
        <w:ind w:firstLine="0" w:firstLineChars="0"/>
      </w:pPr>
    </w:p>
    <w:p w14:paraId="4F805ADA">
      <w:pPr>
        <w:pStyle w:val="56"/>
        <w:spacing w:line="360" w:lineRule="auto"/>
        <w:ind w:firstLine="0" w:firstLineChars="0"/>
        <w:rPr>
          <w:rFonts w:hint="eastAsia"/>
        </w:rPr>
      </w:pPr>
    </w:p>
    <w:p w14:paraId="186119E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调度方案 dispatching scheme</w:t>
      </w:r>
    </w:p>
    <w:p w14:paraId="4E298868">
      <w:pPr>
        <w:pStyle w:val="56"/>
        <w:spacing w:line="360" w:lineRule="auto"/>
        <w:ind w:firstLine="420"/>
      </w:pPr>
      <w:r>
        <w:rPr>
          <w:rFonts w:hint="eastAsia"/>
        </w:rPr>
        <w:t>根据防汛目标、工程运行条件、调度规程、洪水预报、风险研判结果和应急处置要求形成的工程调度安排，包括泄流、拦蓄、分洪、排涝、启闭、抽排和联动控制等内容。</w:t>
      </w:r>
    </w:p>
    <w:p w14:paraId="4FB2B960">
      <w:pPr>
        <w:pStyle w:val="104"/>
        <w:spacing w:before="240" w:after="240" w:line="360" w:lineRule="auto"/>
      </w:pPr>
      <w:bookmarkStart w:id="51" w:name="_Toc228606018"/>
      <w:r>
        <w:rPr>
          <w:rFonts w:hint="eastAsia"/>
        </w:rPr>
        <w:t>基本要求</w:t>
      </w:r>
      <w:bookmarkEnd w:id="51"/>
    </w:p>
    <w:p w14:paraId="54F44C4E">
      <w:pPr>
        <w:pStyle w:val="105"/>
        <w:spacing w:before="120" w:after="120" w:line="360" w:lineRule="auto"/>
      </w:pPr>
      <w:r>
        <w:rPr>
          <w:rFonts w:hint="eastAsia"/>
        </w:rPr>
        <w:t>总体要求</w:t>
      </w:r>
    </w:p>
    <w:p w14:paraId="5C56D328">
      <w:pPr>
        <w:pStyle w:val="165"/>
        <w:spacing w:line="360" w:lineRule="auto"/>
      </w:pPr>
      <w:r>
        <w:rPr>
          <w:rFonts w:hint="eastAsia"/>
        </w:rPr>
        <w:t>水利工程智能防汛调度与应急处置应坚持安全优先、预防为主、统一指挥、分级负责、数据驱动、规则约束、人机协同、闭环管理和持续改进的原则。</w:t>
      </w:r>
    </w:p>
    <w:p w14:paraId="43C27383">
      <w:pPr>
        <w:pStyle w:val="165"/>
        <w:spacing w:line="360" w:lineRule="auto"/>
      </w:pPr>
      <w:r>
        <w:rPr>
          <w:rFonts w:hint="eastAsia"/>
        </w:rPr>
        <w:t>工程管理单位应建立智能防汛调度与应急处置工作机制，明确监测、预警、会商、调度、指令、执行、反馈、抢险、复核和归档职责。</w:t>
      </w:r>
    </w:p>
    <w:p w14:paraId="574C4CCE">
      <w:pPr>
        <w:pStyle w:val="165"/>
        <w:spacing w:line="360" w:lineRule="auto"/>
      </w:pPr>
      <w:r>
        <w:rPr>
          <w:rFonts w:hint="eastAsia"/>
        </w:rPr>
        <w:t>智能防汛调度系统应服务防汛业务，不得脱离调度规程、应急预案、工程运行实际和责任体系单独运行。</w:t>
      </w:r>
    </w:p>
    <w:p w14:paraId="0BFFEFA4">
      <w:pPr>
        <w:pStyle w:val="165"/>
        <w:spacing w:line="360" w:lineRule="auto"/>
      </w:pPr>
      <w:r>
        <w:rPr>
          <w:rFonts w:hint="eastAsia"/>
        </w:rPr>
        <w:t>智能模型、预警规则和调度建议应作为辅助决策依据，不得替代责任人依法依规作出的审核、批准、调度和处置决定。</w:t>
      </w:r>
    </w:p>
    <w:p w14:paraId="3249C896">
      <w:pPr>
        <w:pStyle w:val="165"/>
        <w:spacing w:line="360" w:lineRule="auto"/>
      </w:pPr>
      <w:r>
        <w:rPr>
          <w:rFonts w:hint="eastAsia"/>
        </w:rPr>
        <w:t>水雨情、工情、险情、视频、气象、水文预报、工程运行和应急资源数据应统一接入、统一校核、统一管理，并应满足及时性、准确性、完整性和可追溯性要求。</w:t>
      </w:r>
    </w:p>
    <w:p w14:paraId="5D964D3F">
      <w:pPr>
        <w:pStyle w:val="165"/>
        <w:spacing w:line="360" w:lineRule="auto"/>
      </w:pPr>
      <w:r>
        <w:rPr>
          <w:rFonts w:hint="eastAsia"/>
        </w:rPr>
        <w:t>防汛调度和应急处置应形成闭环管理。预警、会商、调度、指令、执行、反馈、复核、处置和归档等环节均应有记录。</w:t>
      </w:r>
    </w:p>
    <w:p w14:paraId="26A8C1C7">
      <w:pPr>
        <w:pStyle w:val="165"/>
        <w:spacing w:line="360" w:lineRule="auto"/>
      </w:pPr>
      <w:r>
        <w:rPr>
          <w:rFonts w:hint="eastAsia"/>
        </w:rPr>
        <w:t>重大水雨情、重大工情、重大险情、重要调度指令和重要应急处置事项应实行重点管理，并应保证全过程可追溯。</w:t>
      </w:r>
    </w:p>
    <w:p w14:paraId="3CE3885F">
      <w:pPr>
        <w:pStyle w:val="165"/>
        <w:spacing w:line="360" w:lineRule="auto"/>
      </w:pPr>
      <w:r>
        <w:rPr>
          <w:rFonts w:hint="eastAsia"/>
        </w:rPr>
        <w:t>系统自动生成的预警、风险等级、调度建议和处置建议应经人工复核或按规定流程确认后使用。</w:t>
      </w:r>
    </w:p>
    <w:p w14:paraId="3B825186">
      <w:pPr>
        <w:pStyle w:val="165"/>
        <w:spacing w:line="360" w:lineRule="auto"/>
      </w:pPr>
      <w:r>
        <w:rPr>
          <w:rFonts w:hint="eastAsia"/>
        </w:rPr>
        <w:t>防汛关键时期应加强值班值守、系统巡检、设备检查、数据核查和应急资源准备。</w:t>
      </w:r>
    </w:p>
    <w:p w14:paraId="3561E7D2">
      <w:pPr>
        <w:pStyle w:val="165"/>
        <w:spacing w:line="360" w:lineRule="auto"/>
      </w:pPr>
      <w:r>
        <w:rPr>
          <w:rFonts w:hint="eastAsia"/>
        </w:rPr>
        <w:t>发生系统故障、数据异常、通信中断、模型失效或指令反馈异常时，应启动备用流程，不得因系统故障导致防汛调度和应急处置中断。</w:t>
      </w:r>
    </w:p>
    <w:p w14:paraId="1687C645">
      <w:pPr>
        <w:pStyle w:val="105"/>
        <w:spacing w:before="120" w:after="120" w:line="360" w:lineRule="auto"/>
      </w:pPr>
      <w:r>
        <w:rPr>
          <w:rFonts w:hint="eastAsia"/>
        </w:rPr>
        <w:t>分级管理要求</w:t>
      </w:r>
    </w:p>
    <w:p w14:paraId="07402D1A">
      <w:pPr>
        <w:pStyle w:val="165"/>
        <w:spacing w:line="360" w:lineRule="auto"/>
      </w:pPr>
      <w:r>
        <w:rPr>
          <w:rFonts w:hint="eastAsia"/>
        </w:rPr>
        <w:t>水利工程智能防汛调度与应急处置应根据工程类别、工程等级、防洪任务、风险影响范围、保护对象重要性和应急响应级别实施分级管理。</w:t>
      </w:r>
    </w:p>
    <w:p w14:paraId="0B4FC8D3">
      <w:pPr>
        <w:pStyle w:val="165"/>
        <w:spacing w:line="360" w:lineRule="auto"/>
      </w:pPr>
      <w:r>
        <w:rPr>
          <w:rFonts w:hint="eastAsia"/>
        </w:rPr>
        <w:t>水库、水闸、泵站、堤防、蓄滞洪区、引调水工程等不同类型工程应分别明确防汛调度重点、监测重点、预警阈值、处置流程和应急资源要求。</w:t>
      </w:r>
    </w:p>
    <w:p w14:paraId="105E41BF">
      <w:pPr>
        <w:pStyle w:val="165"/>
        <w:spacing w:line="360" w:lineRule="auto"/>
      </w:pPr>
      <w:r>
        <w:rPr>
          <w:rFonts w:hint="eastAsia"/>
        </w:rPr>
        <w:t>对重要水库、重要堤防、重要闸站、重点防洪保护区、人口密集区、重要交通干线、重要基础设施和历史险工险段，应提高监测、预警、巡查和应急处置要求。</w:t>
      </w:r>
    </w:p>
    <w:p w14:paraId="0CEA2579">
      <w:pPr>
        <w:pStyle w:val="165"/>
        <w:spacing w:line="360" w:lineRule="auto"/>
      </w:pPr>
      <w:r>
        <w:rPr>
          <w:rFonts w:hint="eastAsia"/>
        </w:rPr>
        <w:t>防汛应急响应等级应与预案规定相一致。响应等级调整时，应同步调整监测频次、会商频次、调度控制要求和信息报送要求。</w:t>
      </w:r>
    </w:p>
    <w:p w14:paraId="27F10126">
      <w:pPr>
        <w:pStyle w:val="165"/>
        <w:spacing w:line="360" w:lineRule="auto"/>
      </w:pPr>
      <w:r>
        <w:rPr>
          <w:rFonts w:hint="eastAsia"/>
        </w:rPr>
        <w:t>风险等级、预警等级和响应等级应相互衔接，不得出现预警等级较高但响应措施缺失的情形。</w:t>
      </w:r>
    </w:p>
    <w:p w14:paraId="38C5E746">
      <w:pPr>
        <w:pStyle w:val="105"/>
        <w:spacing w:before="120" w:after="120" w:line="360" w:lineRule="auto"/>
      </w:pPr>
      <w:r>
        <w:rPr>
          <w:rFonts w:hint="eastAsia"/>
        </w:rPr>
        <w:t>数据与模型要求</w:t>
      </w:r>
    </w:p>
    <w:p w14:paraId="6D7B1000">
      <w:pPr>
        <w:pStyle w:val="165"/>
        <w:spacing w:line="360" w:lineRule="auto"/>
      </w:pPr>
      <w:r>
        <w:rPr>
          <w:rFonts w:hint="eastAsia"/>
        </w:rPr>
        <w:t>智能防汛调度应以真实、准确、及时、完整的数据为基础。</w:t>
      </w:r>
    </w:p>
    <w:p w14:paraId="1ADBC80F">
      <w:pPr>
        <w:pStyle w:val="165"/>
        <w:spacing w:line="360" w:lineRule="auto"/>
      </w:pPr>
      <w:r>
        <w:rPr>
          <w:rFonts w:hint="eastAsia"/>
        </w:rPr>
        <w:t>数据接入前应明确数据来源、采集方式、更新频率、质量规则、责任主体和使用范围。</w:t>
      </w:r>
    </w:p>
    <w:p w14:paraId="386EEB85">
      <w:pPr>
        <w:pStyle w:val="165"/>
        <w:spacing w:line="360" w:lineRule="auto"/>
      </w:pPr>
      <w:r>
        <w:rPr>
          <w:rFonts w:hint="eastAsia"/>
        </w:rPr>
        <w:t>自动监测数据应进行异常识别、缺测标识、时间校核、范围校核和逻辑校核。</w:t>
      </w:r>
    </w:p>
    <w:p w14:paraId="5BDC3438">
      <w:pPr>
        <w:pStyle w:val="165"/>
        <w:spacing w:line="360" w:lineRule="auto"/>
      </w:pPr>
      <w:r>
        <w:rPr>
          <w:rFonts w:hint="eastAsia"/>
        </w:rPr>
        <w:t>人工上报数据应明确上报人员、上报时间、上报地点、数据内容和审核状态。</w:t>
      </w:r>
    </w:p>
    <w:p w14:paraId="185C2A55">
      <w:pPr>
        <w:pStyle w:val="165"/>
        <w:spacing w:line="360" w:lineRule="auto"/>
      </w:pPr>
      <w:r>
        <w:rPr>
          <w:rFonts w:hint="eastAsia"/>
        </w:rPr>
        <w:t>模型应用前应明确适用范围、输入数据、计算规则、参数来源、输出结果和限制条件。</w:t>
      </w:r>
    </w:p>
    <w:p w14:paraId="3F39B1FC">
      <w:pPr>
        <w:pStyle w:val="165"/>
        <w:spacing w:line="360" w:lineRule="auto"/>
      </w:pPr>
      <w:r>
        <w:rPr>
          <w:rFonts w:hint="eastAsia"/>
        </w:rPr>
        <w:t>洪水预报、淹没分析、风险识别和智能调度模型应定期校核。模型结果与现场情况明显不一致时，应暂停使用相关结果作为主要决策依据。</w:t>
      </w:r>
    </w:p>
    <w:p w14:paraId="49BD3589">
      <w:pPr>
        <w:pStyle w:val="165"/>
        <w:spacing w:line="360" w:lineRule="auto"/>
      </w:pPr>
      <w:r>
        <w:rPr>
          <w:rFonts w:hint="eastAsia"/>
        </w:rPr>
        <w:t>预警阈值、调度规则和模型参数调整应履行审批程序，并应保留调整记录。</w:t>
      </w:r>
    </w:p>
    <w:p w14:paraId="0A9C54E2">
      <w:pPr>
        <w:pStyle w:val="105"/>
        <w:spacing w:before="120" w:after="120" w:line="360" w:lineRule="auto"/>
      </w:pPr>
      <w:r>
        <w:rPr>
          <w:rFonts w:hint="eastAsia"/>
        </w:rPr>
        <w:t>调度与处置要求</w:t>
      </w:r>
    </w:p>
    <w:p w14:paraId="4FC89B44">
      <w:pPr>
        <w:pStyle w:val="165"/>
        <w:spacing w:line="360" w:lineRule="auto"/>
      </w:pPr>
      <w:r>
        <w:rPr>
          <w:rFonts w:hint="eastAsia"/>
        </w:rPr>
        <w:t>防汛调度应依据调度规程、批准的调度方案、防汛预案、实时水雨情、工程安全状态和会商意见实施。</w:t>
      </w:r>
    </w:p>
    <w:p w14:paraId="4026CF9A">
      <w:pPr>
        <w:pStyle w:val="165"/>
        <w:spacing w:line="360" w:lineRule="auto"/>
      </w:pPr>
      <w:r>
        <w:rPr>
          <w:rFonts w:hint="eastAsia"/>
        </w:rPr>
        <w:t>调度方案应明确调度目标、适用条件、工程对象、操作参数、时间安排、影响范围、安全控制和反馈要求。</w:t>
      </w:r>
    </w:p>
    <w:p w14:paraId="42781347">
      <w:pPr>
        <w:pStyle w:val="165"/>
        <w:spacing w:line="360" w:lineRule="auto"/>
      </w:pPr>
      <w:r>
        <w:rPr>
          <w:rFonts w:hint="eastAsia"/>
        </w:rPr>
        <w:t>调度指令应由具备权限的责任主体下达。未经授权的人员不得擅自下达、修改或撤销调度指令。</w:t>
      </w:r>
    </w:p>
    <w:p w14:paraId="7352A378">
      <w:pPr>
        <w:pStyle w:val="165"/>
        <w:spacing w:line="360" w:lineRule="auto"/>
      </w:pPr>
      <w:r>
        <w:rPr>
          <w:rFonts w:hint="eastAsia"/>
        </w:rPr>
        <w:t>调度指令执行单位应按指令要求执行，并应及时反馈执行时间、执行状态、实际参数、现场情况和异常问题。</w:t>
      </w:r>
    </w:p>
    <w:p w14:paraId="36D9B109">
      <w:pPr>
        <w:pStyle w:val="165"/>
        <w:spacing w:line="360" w:lineRule="auto"/>
      </w:pPr>
      <w:r>
        <w:rPr>
          <w:rFonts w:hint="eastAsia"/>
        </w:rPr>
        <w:t>应急处置应按照预案和现场实际实施，重点控制人员安全、工程安全、次生风险和下游影响。</w:t>
      </w:r>
    </w:p>
    <w:p w14:paraId="5EE0CC52">
      <w:pPr>
        <w:pStyle w:val="165"/>
        <w:spacing w:line="360" w:lineRule="auto"/>
      </w:pPr>
      <w:r>
        <w:rPr>
          <w:rFonts w:hint="eastAsia"/>
        </w:rPr>
        <w:t>现场险情处置应先控制风险扩展，再组织抢险作业。未完成现场安全确认的，不得组织人员进入高风险区域作业。</w:t>
      </w:r>
    </w:p>
    <w:p w14:paraId="5B188CAE">
      <w:pPr>
        <w:pStyle w:val="165"/>
        <w:spacing w:line="360" w:lineRule="auto"/>
      </w:pPr>
      <w:r>
        <w:rPr>
          <w:rFonts w:hint="eastAsia"/>
        </w:rPr>
        <w:t>应急处置完成后，应对工程状态、设备状态、险情变化和后续风险进行复核。</w:t>
      </w:r>
    </w:p>
    <w:p w14:paraId="5B1F3114">
      <w:pPr>
        <w:pStyle w:val="105"/>
        <w:spacing w:before="120" w:after="120" w:line="360" w:lineRule="auto"/>
      </w:pPr>
      <w:r>
        <w:rPr>
          <w:rFonts w:hint="eastAsia"/>
        </w:rPr>
        <w:t>安全与保密要求</w:t>
      </w:r>
    </w:p>
    <w:p w14:paraId="704236F9">
      <w:pPr>
        <w:pStyle w:val="165"/>
        <w:spacing w:line="360" w:lineRule="auto"/>
      </w:pPr>
      <w:r>
        <w:rPr>
          <w:rFonts w:hint="eastAsia"/>
        </w:rPr>
        <w:t>智能防汛调度与应急处置系统应按照网络安全、数据安全和密码应用相关要求实施安全管理。</w:t>
      </w:r>
    </w:p>
    <w:p w14:paraId="408FC487">
      <w:pPr>
        <w:pStyle w:val="165"/>
        <w:spacing w:line="360" w:lineRule="auto"/>
      </w:pPr>
      <w:r>
        <w:rPr>
          <w:rFonts w:hint="eastAsia"/>
        </w:rPr>
        <w:t>防汛调度指令、工程运行数据、重要设施位置、应急资源信息和敏感空间数据应按照分类分级要求管理。</w:t>
      </w:r>
    </w:p>
    <w:p w14:paraId="6D2215E7">
      <w:pPr>
        <w:pStyle w:val="165"/>
        <w:spacing w:line="360" w:lineRule="auto"/>
      </w:pPr>
      <w:r>
        <w:rPr>
          <w:rFonts w:hint="eastAsia"/>
        </w:rPr>
        <w:t>系统账号应实行实名制和权限分级管理。不得共用账号、借用账号或使用他人账号操作。</w:t>
      </w:r>
    </w:p>
    <w:p w14:paraId="112F38C6">
      <w:pPr>
        <w:pStyle w:val="165"/>
        <w:spacing w:line="360" w:lineRule="auto"/>
      </w:pPr>
      <w:r>
        <w:rPr>
          <w:rFonts w:hint="eastAsia"/>
        </w:rPr>
        <w:t>重要调度操作、预警发布、数据修改、模型参数调整和应急处置记录应保留操作日志。</w:t>
      </w:r>
    </w:p>
    <w:p w14:paraId="66258107">
      <w:pPr>
        <w:pStyle w:val="165"/>
        <w:spacing w:line="360" w:lineRule="auto"/>
      </w:pPr>
      <w:r>
        <w:rPr>
          <w:rFonts w:hint="eastAsia"/>
        </w:rPr>
        <w:t>未经授权，不得导出、复制、外传、删除、修改防汛调度数据和应急处置资料。</w:t>
      </w:r>
    </w:p>
    <w:p w14:paraId="26299920">
      <w:pPr>
        <w:pStyle w:val="105"/>
        <w:spacing w:before="120" w:after="120" w:line="360" w:lineRule="auto"/>
      </w:pPr>
      <w:r>
        <w:rPr>
          <w:rFonts w:hint="eastAsia"/>
        </w:rPr>
        <w:t>主要应用环节</w:t>
      </w:r>
    </w:p>
    <w:p w14:paraId="601A1621">
      <w:pPr>
        <w:pStyle w:val="56"/>
        <w:spacing w:line="360" w:lineRule="auto"/>
        <w:ind w:firstLine="420"/>
      </w:pPr>
      <w:r>
        <w:rPr>
          <w:rFonts w:hint="eastAsia"/>
        </w:rPr>
        <w:t>水利工程智能防汛调度与应急处置主要应用环节宜按表1执行。</w:t>
      </w:r>
    </w:p>
    <w:p w14:paraId="305AD961">
      <w:pPr>
        <w:pStyle w:val="112"/>
        <w:spacing w:before="120" w:after="120" w:line="360" w:lineRule="auto"/>
      </w:pPr>
      <w:r>
        <w:rPr>
          <w:rFonts w:hint="eastAsia"/>
        </w:rPr>
        <w:t>水利工程智能防汛调度与应急处置主要应用环节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4252"/>
        <w:gridCol w:w="3532"/>
      </w:tblGrid>
      <w:tr w14:paraId="3C89A2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vAlign w:val="center"/>
          </w:tcPr>
          <w:p w14:paraId="0D11EABD">
            <w:pPr>
              <w:pStyle w:val="178"/>
            </w:pPr>
            <w:r>
              <w:rPr>
                <w:rFonts w:hint="eastAsia"/>
              </w:rPr>
              <w:t>应用环节</w:t>
            </w:r>
          </w:p>
        </w:tc>
        <w:tc>
          <w:tcPr>
            <w:tcW w:w="4252" w:type="dxa"/>
            <w:tcBorders>
              <w:top w:val="single" w:color="auto" w:sz="8" w:space="0"/>
              <w:bottom w:val="single" w:color="auto" w:sz="8" w:space="0"/>
            </w:tcBorders>
            <w:vAlign w:val="center"/>
          </w:tcPr>
          <w:p w14:paraId="0366FB41">
            <w:pPr>
              <w:pStyle w:val="178"/>
            </w:pPr>
            <w:r>
              <w:rPr>
                <w:rFonts w:hint="eastAsia"/>
              </w:rPr>
              <w:t>主要内容</w:t>
            </w:r>
          </w:p>
        </w:tc>
        <w:tc>
          <w:tcPr>
            <w:tcW w:w="3532" w:type="dxa"/>
            <w:tcBorders>
              <w:top w:val="single" w:color="auto" w:sz="8" w:space="0"/>
              <w:bottom w:val="single" w:color="auto" w:sz="8" w:space="0"/>
            </w:tcBorders>
            <w:vAlign w:val="center"/>
          </w:tcPr>
          <w:p w14:paraId="20C18EA2">
            <w:pPr>
              <w:pStyle w:val="178"/>
            </w:pPr>
            <w:r>
              <w:rPr>
                <w:rFonts w:hint="eastAsia"/>
              </w:rPr>
              <w:t>控制要求</w:t>
            </w:r>
          </w:p>
        </w:tc>
      </w:tr>
      <w:tr w14:paraId="23BD29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vAlign w:val="center"/>
          </w:tcPr>
          <w:p w14:paraId="071ED969">
            <w:pPr>
              <w:pStyle w:val="178"/>
            </w:pPr>
            <w:r>
              <w:rPr>
                <w:rFonts w:hint="eastAsia"/>
              </w:rPr>
              <w:t>监测感知</w:t>
            </w:r>
          </w:p>
        </w:tc>
        <w:tc>
          <w:tcPr>
            <w:tcW w:w="4252" w:type="dxa"/>
            <w:tcBorders>
              <w:top w:val="single" w:color="auto" w:sz="8" w:space="0"/>
            </w:tcBorders>
            <w:vAlign w:val="center"/>
          </w:tcPr>
          <w:p w14:paraId="458754CE">
            <w:pPr>
              <w:pStyle w:val="178"/>
            </w:pPr>
            <w:r>
              <w:rPr>
                <w:rFonts w:hint="eastAsia"/>
              </w:rPr>
              <w:t>水雨情、工情、险情、视频、设备状态采集</w:t>
            </w:r>
          </w:p>
        </w:tc>
        <w:tc>
          <w:tcPr>
            <w:tcW w:w="3532" w:type="dxa"/>
            <w:tcBorders>
              <w:top w:val="single" w:color="auto" w:sz="8" w:space="0"/>
            </w:tcBorders>
            <w:vAlign w:val="center"/>
          </w:tcPr>
          <w:p w14:paraId="73CD3D7F">
            <w:pPr>
              <w:pStyle w:val="178"/>
            </w:pPr>
            <w:r>
              <w:rPr>
                <w:rFonts w:hint="eastAsia"/>
              </w:rPr>
              <w:t>应保证数据及时、准确、完整、可追溯</w:t>
            </w:r>
          </w:p>
        </w:tc>
      </w:tr>
      <w:tr w14:paraId="15335D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2ADE7694">
            <w:pPr>
              <w:pStyle w:val="178"/>
            </w:pPr>
            <w:r>
              <w:rPr>
                <w:rFonts w:hint="eastAsia"/>
              </w:rPr>
              <w:t>预报研判</w:t>
            </w:r>
          </w:p>
        </w:tc>
        <w:tc>
          <w:tcPr>
            <w:tcW w:w="4252" w:type="dxa"/>
            <w:vAlign w:val="center"/>
          </w:tcPr>
          <w:p w14:paraId="3377E515">
            <w:pPr>
              <w:pStyle w:val="178"/>
            </w:pPr>
            <w:r>
              <w:rPr>
                <w:rFonts w:hint="eastAsia"/>
              </w:rPr>
              <w:t>洪水预报、风险分析、趋势判断、会商支撑</w:t>
            </w:r>
          </w:p>
        </w:tc>
        <w:tc>
          <w:tcPr>
            <w:tcW w:w="3532" w:type="dxa"/>
            <w:vAlign w:val="center"/>
          </w:tcPr>
          <w:p w14:paraId="199C1DE3">
            <w:pPr>
              <w:pStyle w:val="178"/>
            </w:pPr>
            <w:r>
              <w:rPr>
                <w:rFonts w:hint="eastAsia"/>
              </w:rPr>
              <w:t>模型结果应校核，不得未经复核直接用于重大决策</w:t>
            </w:r>
          </w:p>
        </w:tc>
      </w:tr>
      <w:tr w14:paraId="0D0C2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6E909E35">
            <w:pPr>
              <w:pStyle w:val="178"/>
            </w:pPr>
            <w:r>
              <w:rPr>
                <w:rFonts w:hint="eastAsia"/>
              </w:rPr>
              <w:t>调度方案</w:t>
            </w:r>
          </w:p>
        </w:tc>
        <w:tc>
          <w:tcPr>
            <w:tcW w:w="4252" w:type="dxa"/>
            <w:vAlign w:val="center"/>
          </w:tcPr>
          <w:p w14:paraId="3D123BA9">
            <w:pPr>
              <w:pStyle w:val="178"/>
            </w:pPr>
            <w:r>
              <w:rPr>
                <w:rFonts w:hint="eastAsia"/>
              </w:rPr>
              <w:t>方案生成、方案比选、影响分析、人工审核</w:t>
            </w:r>
          </w:p>
        </w:tc>
        <w:tc>
          <w:tcPr>
            <w:tcW w:w="3532" w:type="dxa"/>
            <w:vAlign w:val="center"/>
          </w:tcPr>
          <w:p w14:paraId="7F878527">
            <w:pPr>
              <w:pStyle w:val="178"/>
            </w:pPr>
            <w:r>
              <w:rPr>
                <w:rFonts w:hint="eastAsia"/>
              </w:rPr>
              <w:t>应符合调度规程、工程安全和下游影响控制要求</w:t>
            </w:r>
          </w:p>
        </w:tc>
      </w:tr>
      <w:tr w14:paraId="5CFBC9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25B31DD0">
            <w:pPr>
              <w:pStyle w:val="178"/>
            </w:pPr>
            <w:r>
              <w:rPr>
                <w:rFonts w:hint="eastAsia"/>
              </w:rPr>
              <w:t>指令执行</w:t>
            </w:r>
          </w:p>
        </w:tc>
        <w:tc>
          <w:tcPr>
            <w:tcW w:w="4252" w:type="dxa"/>
            <w:vAlign w:val="center"/>
          </w:tcPr>
          <w:p w14:paraId="638B6A0F">
            <w:pPr>
              <w:pStyle w:val="178"/>
            </w:pPr>
            <w:r>
              <w:rPr>
                <w:rFonts w:hint="eastAsia"/>
              </w:rPr>
              <w:t>指令下达、接收确认、现场执行、结果反馈</w:t>
            </w:r>
          </w:p>
        </w:tc>
        <w:tc>
          <w:tcPr>
            <w:tcW w:w="3532" w:type="dxa"/>
            <w:vAlign w:val="center"/>
          </w:tcPr>
          <w:p w14:paraId="7670B5CF">
            <w:pPr>
              <w:pStyle w:val="178"/>
            </w:pPr>
            <w:r>
              <w:rPr>
                <w:rFonts w:hint="eastAsia"/>
              </w:rPr>
              <w:t>应形成闭环，不得有指令无反馈</w:t>
            </w:r>
          </w:p>
        </w:tc>
      </w:tr>
      <w:tr w14:paraId="295A95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42788945">
            <w:pPr>
              <w:pStyle w:val="178"/>
            </w:pPr>
            <w:r>
              <w:rPr>
                <w:rFonts w:hint="eastAsia"/>
              </w:rPr>
              <w:t>预警发布</w:t>
            </w:r>
          </w:p>
        </w:tc>
        <w:tc>
          <w:tcPr>
            <w:tcW w:w="4252" w:type="dxa"/>
            <w:vAlign w:val="center"/>
          </w:tcPr>
          <w:p w14:paraId="2536FBD4">
            <w:pPr>
              <w:pStyle w:val="178"/>
            </w:pPr>
            <w:r>
              <w:rPr>
                <w:rFonts w:hint="eastAsia"/>
              </w:rPr>
              <w:t>预警生成、审核确认、对象推送、解除记录</w:t>
            </w:r>
          </w:p>
        </w:tc>
        <w:tc>
          <w:tcPr>
            <w:tcW w:w="3532" w:type="dxa"/>
            <w:vAlign w:val="center"/>
          </w:tcPr>
          <w:p w14:paraId="4967ACBC">
            <w:pPr>
              <w:pStyle w:val="178"/>
            </w:pPr>
            <w:r>
              <w:rPr>
                <w:rFonts w:hint="eastAsia"/>
              </w:rPr>
              <w:t>预警等级、范围、对象和内容应明确</w:t>
            </w:r>
          </w:p>
        </w:tc>
      </w:tr>
      <w:tr w14:paraId="12ECD8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13220927">
            <w:pPr>
              <w:pStyle w:val="178"/>
            </w:pPr>
            <w:r>
              <w:rPr>
                <w:rFonts w:hint="eastAsia"/>
              </w:rPr>
              <w:t>应急处置</w:t>
            </w:r>
          </w:p>
        </w:tc>
        <w:tc>
          <w:tcPr>
            <w:tcW w:w="4252" w:type="dxa"/>
            <w:vAlign w:val="center"/>
          </w:tcPr>
          <w:p w14:paraId="1BC5DF42">
            <w:pPr>
              <w:pStyle w:val="178"/>
            </w:pPr>
            <w:r>
              <w:rPr>
                <w:rFonts w:hint="eastAsia"/>
              </w:rPr>
              <w:t>险情上报、抢险组织、资源调配、现场反馈</w:t>
            </w:r>
          </w:p>
        </w:tc>
        <w:tc>
          <w:tcPr>
            <w:tcW w:w="3532" w:type="dxa"/>
            <w:vAlign w:val="center"/>
          </w:tcPr>
          <w:p w14:paraId="1112A266">
            <w:pPr>
              <w:pStyle w:val="178"/>
            </w:pPr>
            <w:r>
              <w:rPr>
                <w:rFonts w:hint="eastAsia"/>
              </w:rPr>
              <w:t>应按预案处置，重大险情应重点跟踪</w:t>
            </w:r>
          </w:p>
        </w:tc>
      </w:tr>
      <w:tr w14:paraId="3E31D6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vAlign w:val="center"/>
          </w:tcPr>
          <w:p w14:paraId="232B4E5D">
            <w:pPr>
              <w:pStyle w:val="178"/>
            </w:pPr>
            <w:r>
              <w:rPr>
                <w:rFonts w:hint="eastAsia"/>
              </w:rPr>
              <w:t>复盘改进</w:t>
            </w:r>
          </w:p>
        </w:tc>
        <w:tc>
          <w:tcPr>
            <w:tcW w:w="4252" w:type="dxa"/>
            <w:vAlign w:val="center"/>
          </w:tcPr>
          <w:p w14:paraId="4F6A155C">
            <w:pPr>
              <w:pStyle w:val="178"/>
            </w:pPr>
            <w:r>
              <w:rPr>
                <w:rFonts w:hint="eastAsia"/>
              </w:rPr>
              <w:t>过程回溯、问题分析、效果评价、措施优化</w:t>
            </w:r>
          </w:p>
        </w:tc>
        <w:tc>
          <w:tcPr>
            <w:tcW w:w="3532" w:type="dxa"/>
            <w:vAlign w:val="center"/>
          </w:tcPr>
          <w:p w14:paraId="33C24084">
            <w:pPr>
              <w:pStyle w:val="178"/>
            </w:pPr>
            <w:r>
              <w:rPr>
                <w:rFonts w:hint="eastAsia"/>
              </w:rPr>
              <w:t>应形成复盘报告和整改闭环</w:t>
            </w:r>
          </w:p>
        </w:tc>
      </w:tr>
    </w:tbl>
    <w:p w14:paraId="7FD06DDB">
      <w:pPr>
        <w:pStyle w:val="104"/>
        <w:spacing w:before="240" w:after="240" w:line="360" w:lineRule="auto"/>
      </w:pPr>
      <w:bookmarkStart w:id="52" w:name="_Toc228606019"/>
      <w:r>
        <w:rPr>
          <w:rFonts w:hint="eastAsia"/>
        </w:rPr>
        <w:t>组织与职责</w:t>
      </w:r>
      <w:bookmarkEnd w:id="52"/>
    </w:p>
    <w:p w14:paraId="269E82DD">
      <w:pPr>
        <w:pStyle w:val="105"/>
        <w:spacing w:before="120" w:after="120" w:line="360" w:lineRule="auto"/>
      </w:pPr>
      <w:r>
        <w:rPr>
          <w:rFonts w:hint="eastAsia"/>
        </w:rPr>
        <w:t>一般要求</w:t>
      </w:r>
    </w:p>
    <w:p w14:paraId="21D80042">
      <w:pPr>
        <w:pStyle w:val="165"/>
        <w:spacing w:line="360" w:lineRule="auto"/>
      </w:pPr>
      <w:r>
        <w:rPr>
          <w:rFonts w:hint="eastAsia"/>
        </w:rPr>
        <w:t>水利工程管理单位应建立智能防汛调度与应急处置组织体系。</w:t>
      </w:r>
    </w:p>
    <w:p w14:paraId="5B79BF17">
      <w:pPr>
        <w:pStyle w:val="165"/>
        <w:spacing w:line="360" w:lineRule="auto"/>
      </w:pPr>
      <w:r>
        <w:rPr>
          <w:rFonts w:hint="eastAsia"/>
        </w:rPr>
        <w:t>组织体系应覆盖防汛责任、监测预警、运行调度、工程巡查、应急抢险、信息报送、系统运维和资料归档等岗位。</w:t>
      </w:r>
    </w:p>
    <w:p w14:paraId="12E74B8F">
      <w:pPr>
        <w:pStyle w:val="165"/>
        <w:spacing w:line="360" w:lineRule="auto"/>
      </w:pPr>
      <w:r>
        <w:rPr>
          <w:rFonts w:hint="eastAsia"/>
        </w:rPr>
        <w:t>各岗位职责应落实到部门、岗位和人员，不得仅以单位名称或部门名称替代具体责任。</w:t>
      </w:r>
    </w:p>
    <w:p w14:paraId="1A221C14">
      <w:pPr>
        <w:pStyle w:val="165"/>
        <w:spacing w:line="360" w:lineRule="auto"/>
      </w:pPr>
      <w:r>
        <w:rPr>
          <w:rFonts w:hint="eastAsia"/>
        </w:rPr>
        <w:t>防汛关键岗位应建立值班、备班和替补机制，确保汛期和应急响应期间人员在岗、联络畅通、职责明确。</w:t>
      </w:r>
    </w:p>
    <w:p w14:paraId="5C5DE974">
      <w:pPr>
        <w:pStyle w:val="165"/>
        <w:spacing w:line="360" w:lineRule="auto"/>
      </w:pPr>
      <w:r>
        <w:rPr>
          <w:rFonts w:hint="eastAsia"/>
        </w:rPr>
        <w:t>多单位共同参与防汛调度与应急处置的，应明确管理单位、调度机构、运行单位、抢险单位、技术服务单位和属地相关单位的职责边界。</w:t>
      </w:r>
    </w:p>
    <w:p w14:paraId="238890AB">
      <w:pPr>
        <w:pStyle w:val="105"/>
        <w:spacing w:before="120" w:after="120" w:line="360" w:lineRule="auto"/>
      </w:pPr>
      <w:r>
        <w:rPr>
          <w:rFonts w:hint="eastAsia"/>
        </w:rPr>
        <w:t>工程管理单位职责</w:t>
      </w:r>
    </w:p>
    <w:p w14:paraId="53BF55AA">
      <w:pPr>
        <w:pStyle w:val="165"/>
        <w:spacing w:line="360" w:lineRule="auto"/>
      </w:pPr>
      <w:r>
        <w:rPr>
          <w:rFonts w:hint="eastAsia"/>
        </w:rPr>
        <w:t>工程管理单位应承担水利工程智能防汛调度与应急处置主体管理责任。</w:t>
      </w:r>
    </w:p>
    <w:p w14:paraId="15E3E8B0">
      <w:pPr>
        <w:pStyle w:val="165"/>
        <w:spacing w:line="360" w:lineRule="auto"/>
      </w:pPr>
      <w:r>
        <w:rPr>
          <w:rFonts w:hint="eastAsia"/>
        </w:rPr>
        <w:t>工程管理单位应建立防汛调度制度、应急处置制度、数据管理制度、值班值守制度、系统运维制度和资料归档制度。</w:t>
      </w:r>
    </w:p>
    <w:p w14:paraId="5239A212">
      <w:pPr>
        <w:pStyle w:val="165"/>
        <w:spacing w:line="360" w:lineRule="auto"/>
      </w:pPr>
      <w:r>
        <w:rPr>
          <w:rFonts w:hint="eastAsia"/>
        </w:rPr>
        <w:t>工程管理单位应组织编制或完善调度规程、应急预案、现场处置方案和操作手册。</w:t>
      </w:r>
    </w:p>
    <w:p w14:paraId="3B320894">
      <w:pPr>
        <w:pStyle w:val="165"/>
        <w:spacing w:line="360" w:lineRule="auto"/>
      </w:pPr>
      <w:r>
        <w:rPr>
          <w:rFonts w:hint="eastAsia"/>
        </w:rPr>
        <w:t>工程管理单位应组织开展监测设备、通信设施、闸门启闭设备、泵站设备、备用电源、抢险物资和应急通道检查。</w:t>
      </w:r>
    </w:p>
    <w:p w14:paraId="0CDB5631">
      <w:pPr>
        <w:pStyle w:val="165"/>
        <w:spacing w:line="360" w:lineRule="auto"/>
      </w:pPr>
      <w:r>
        <w:rPr>
          <w:rFonts w:hint="eastAsia"/>
        </w:rPr>
        <w:t>工程管理单位应组织开展智能防汛系统应用培训、应急演练、调度推演和复盘评估。</w:t>
      </w:r>
    </w:p>
    <w:p w14:paraId="19E44F6B">
      <w:pPr>
        <w:pStyle w:val="165"/>
        <w:spacing w:line="360" w:lineRule="auto"/>
      </w:pPr>
      <w:r>
        <w:rPr>
          <w:rFonts w:hint="eastAsia"/>
        </w:rPr>
        <w:t>工程管理单位应对系统运行、数据质量、指令执行、险情处置和资料记录进行监督检查。</w:t>
      </w:r>
    </w:p>
    <w:p w14:paraId="286672B5">
      <w:pPr>
        <w:pStyle w:val="165"/>
        <w:numPr>
          <w:ilvl w:val="0"/>
          <w:numId w:val="0"/>
        </w:numPr>
        <w:spacing w:line="360" w:lineRule="auto"/>
      </w:pPr>
    </w:p>
    <w:p w14:paraId="01194E7A">
      <w:pPr>
        <w:pStyle w:val="165"/>
        <w:numPr>
          <w:ilvl w:val="0"/>
          <w:numId w:val="0"/>
        </w:numPr>
        <w:spacing w:line="360" w:lineRule="auto"/>
        <w:rPr>
          <w:rFonts w:hint="eastAsia"/>
        </w:rPr>
      </w:pPr>
    </w:p>
    <w:p w14:paraId="0E466124">
      <w:pPr>
        <w:pStyle w:val="105"/>
        <w:spacing w:before="120" w:after="120" w:line="360" w:lineRule="auto"/>
      </w:pPr>
      <w:r>
        <w:rPr>
          <w:rFonts w:hint="eastAsia"/>
        </w:rPr>
        <w:t>防汛调度岗位职责</w:t>
      </w:r>
    </w:p>
    <w:p w14:paraId="2D0998E5">
      <w:pPr>
        <w:pStyle w:val="165"/>
        <w:spacing w:line="360" w:lineRule="auto"/>
      </w:pPr>
      <w:r>
        <w:rPr>
          <w:rFonts w:hint="eastAsia"/>
        </w:rPr>
        <w:t>防汛调度岗位应负责水雨情、工情、预报成果、预警信息和现场反馈的综合研判。</w:t>
      </w:r>
    </w:p>
    <w:p w14:paraId="5125ABB0">
      <w:pPr>
        <w:pStyle w:val="165"/>
        <w:spacing w:line="360" w:lineRule="auto"/>
      </w:pPr>
      <w:r>
        <w:rPr>
          <w:rFonts w:hint="eastAsia"/>
        </w:rPr>
        <w:t>防汛调度岗位应按规定组织或参加防汛会商，提出调度建议和应急处置建议。</w:t>
      </w:r>
    </w:p>
    <w:p w14:paraId="6567DF53">
      <w:pPr>
        <w:pStyle w:val="165"/>
        <w:spacing w:line="360" w:lineRule="auto"/>
      </w:pPr>
      <w:r>
        <w:rPr>
          <w:rFonts w:hint="eastAsia"/>
        </w:rPr>
        <w:t>防汛调度岗位应按权限生成、审核、下达或传递调度指令。</w:t>
      </w:r>
    </w:p>
    <w:p w14:paraId="67E74A36">
      <w:pPr>
        <w:pStyle w:val="165"/>
        <w:spacing w:line="360" w:lineRule="auto"/>
      </w:pPr>
      <w:r>
        <w:rPr>
          <w:rFonts w:hint="eastAsia"/>
        </w:rPr>
        <w:t>防汛调度岗位应跟踪调度指令执行情况，发现执行偏差、反馈异常或风险变化时，应及时报告并提出调整建议。</w:t>
      </w:r>
    </w:p>
    <w:p w14:paraId="1F977DAC">
      <w:pPr>
        <w:pStyle w:val="165"/>
        <w:spacing w:line="360" w:lineRule="auto"/>
      </w:pPr>
      <w:r>
        <w:rPr>
          <w:rFonts w:hint="eastAsia"/>
        </w:rPr>
        <w:t>防汛调度岗位应保存调度方案、会商记录、指令记录、反馈记录和调度复核资料。</w:t>
      </w:r>
    </w:p>
    <w:p w14:paraId="15DD4EBB">
      <w:pPr>
        <w:pStyle w:val="105"/>
        <w:spacing w:before="120" w:after="120" w:line="360" w:lineRule="auto"/>
      </w:pPr>
      <w:r>
        <w:rPr>
          <w:rFonts w:hint="eastAsia"/>
        </w:rPr>
        <w:t>监测预警岗位职责</w:t>
      </w:r>
    </w:p>
    <w:p w14:paraId="47D2117C">
      <w:pPr>
        <w:pStyle w:val="165"/>
        <w:spacing w:line="360" w:lineRule="auto"/>
      </w:pPr>
      <w:r>
        <w:rPr>
          <w:rFonts w:hint="eastAsia"/>
        </w:rPr>
        <w:t>监测预警岗位应负责水雨情、工情、险情、视频监控和设备运行状态数据的监视、核查和异常报告。</w:t>
      </w:r>
    </w:p>
    <w:p w14:paraId="47873ADD">
      <w:pPr>
        <w:pStyle w:val="165"/>
        <w:spacing w:line="360" w:lineRule="auto"/>
      </w:pPr>
      <w:r>
        <w:rPr>
          <w:rFonts w:hint="eastAsia"/>
        </w:rPr>
        <w:t>监测预警岗位应对自动预警结果进行核实，并应按规定流程推送或报告。</w:t>
      </w:r>
    </w:p>
    <w:p w14:paraId="12C6FCF9">
      <w:pPr>
        <w:pStyle w:val="165"/>
        <w:spacing w:line="360" w:lineRule="auto"/>
      </w:pPr>
      <w:r>
        <w:rPr>
          <w:rFonts w:hint="eastAsia"/>
        </w:rPr>
        <w:t>监测预警岗位应识别数据缺测、突变、漂移、通信中断、设备离线和报警失效等问题。</w:t>
      </w:r>
    </w:p>
    <w:p w14:paraId="136611E1">
      <w:pPr>
        <w:pStyle w:val="165"/>
        <w:spacing w:line="360" w:lineRule="auto"/>
      </w:pPr>
      <w:r>
        <w:rPr>
          <w:rFonts w:hint="eastAsia"/>
        </w:rPr>
        <w:t>监测预警岗位发现异常数据或异常状态时，应及时标识、复核和报告，不得直接删除异常数据。</w:t>
      </w:r>
    </w:p>
    <w:p w14:paraId="236D48B0">
      <w:pPr>
        <w:pStyle w:val="165"/>
        <w:spacing w:line="360" w:lineRule="auto"/>
      </w:pPr>
      <w:r>
        <w:rPr>
          <w:rFonts w:hint="eastAsia"/>
        </w:rPr>
        <w:t>监测预警岗位应保存监测记录、预警记录、异常处置记录和数据质量核查记录。</w:t>
      </w:r>
    </w:p>
    <w:p w14:paraId="00F5AB0E">
      <w:pPr>
        <w:pStyle w:val="105"/>
        <w:spacing w:before="120" w:after="120" w:line="360" w:lineRule="auto"/>
      </w:pPr>
      <w:r>
        <w:rPr>
          <w:rFonts w:hint="eastAsia"/>
        </w:rPr>
        <w:t>工程运行岗位职责</w:t>
      </w:r>
    </w:p>
    <w:p w14:paraId="59092CAC">
      <w:pPr>
        <w:pStyle w:val="165"/>
        <w:spacing w:line="360" w:lineRule="auto"/>
      </w:pPr>
      <w:r>
        <w:rPr>
          <w:rFonts w:hint="eastAsia"/>
        </w:rPr>
        <w:t>工程运行岗位应按照调度指令、操作规程和安全要求实施闸门启闭、泵机启停、泄流控制、排涝抽排和相关工程操作。</w:t>
      </w:r>
    </w:p>
    <w:p w14:paraId="361AE79E">
      <w:pPr>
        <w:pStyle w:val="165"/>
        <w:spacing w:line="360" w:lineRule="auto"/>
      </w:pPr>
      <w:r>
        <w:rPr>
          <w:rFonts w:hint="eastAsia"/>
        </w:rPr>
        <w:t>工程运行岗位接收调度指令后，应进行确认，不得在指令内容不清、对象不明或参数不完整的情况下盲目执行。</w:t>
      </w:r>
    </w:p>
    <w:p w14:paraId="13182AF5">
      <w:pPr>
        <w:pStyle w:val="165"/>
        <w:spacing w:line="360" w:lineRule="auto"/>
      </w:pPr>
      <w:r>
        <w:rPr>
          <w:rFonts w:hint="eastAsia"/>
        </w:rPr>
        <w:t>工程运行岗位应记录操作时间、操作对象、操作参数、执行人员、复核人员和现场状态。</w:t>
      </w:r>
    </w:p>
    <w:p w14:paraId="7E172D5A">
      <w:pPr>
        <w:pStyle w:val="165"/>
        <w:spacing w:line="360" w:lineRule="auto"/>
      </w:pPr>
      <w:r>
        <w:rPr>
          <w:rFonts w:hint="eastAsia"/>
        </w:rPr>
        <w:t>工程运行岗位发现设备异常、操作受限、现场风险或指令无法执行时，应立即反馈调度岗位。</w:t>
      </w:r>
    </w:p>
    <w:p w14:paraId="0EEA099A">
      <w:pPr>
        <w:pStyle w:val="165"/>
        <w:spacing w:line="360" w:lineRule="auto"/>
      </w:pPr>
      <w:r>
        <w:rPr>
          <w:rFonts w:hint="eastAsia"/>
        </w:rPr>
        <w:t>工程运行岗位不得擅自改变指令参数、延迟执行、提前停止或绕过安全保护装置。</w:t>
      </w:r>
    </w:p>
    <w:p w14:paraId="7D00B1E9">
      <w:pPr>
        <w:pStyle w:val="105"/>
        <w:spacing w:before="120" w:after="120" w:line="360" w:lineRule="auto"/>
      </w:pPr>
      <w:r>
        <w:rPr>
          <w:rFonts w:hint="eastAsia"/>
        </w:rPr>
        <w:t>巡查抢险岗位职责</w:t>
      </w:r>
    </w:p>
    <w:p w14:paraId="4EB77B18">
      <w:pPr>
        <w:pStyle w:val="165"/>
        <w:spacing w:line="360" w:lineRule="auto"/>
      </w:pPr>
      <w:r>
        <w:rPr>
          <w:rFonts w:hint="eastAsia"/>
        </w:rPr>
        <w:t>巡查抢险岗位应按规定开展堤防、水库大坝、水闸、泵站、溢洪道、穿堤建筑物、险工险段和重点部位巡查。</w:t>
      </w:r>
    </w:p>
    <w:p w14:paraId="6B02CFD1">
      <w:pPr>
        <w:pStyle w:val="165"/>
        <w:spacing w:line="360" w:lineRule="auto"/>
      </w:pPr>
      <w:r>
        <w:rPr>
          <w:rFonts w:hint="eastAsia"/>
        </w:rPr>
        <w:t>巡查抢险岗位发现险情时，应立即上报险情位置、类型、规模、发展趋势、现场照片或视频和初步处置情况。</w:t>
      </w:r>
    </w:p>
    <w:p w14:paraId="13AA7F6A">
      <w:pPr>
        <w:pStyle w:val="165"/>
        <w:spacing w:line="360" w:lineRule="auto"/>
      </w:pPr>
      <w:r>
        <w:rPr>
          <w:rFonts w:hint="eastAsia"/>
        </w:rPr>
        <w:t>巡查抢险岗位应按现场处置方案开展临时控制、警戒隔离、人员疏散和抢险准备。</w:t>
      </w:r>
    </w:p>
    <w:p w14:paraId="47E2A439">
      <w:pPr>
        <w:pStyle w:val="165"/>
        <w:spacing w:line="360" w:lineRule="auto"/>
      </w:pPr>
      <w:r>
        <w:rPr>
          <w:rFonts w:hint="eastAsia"/>
        </w:rPr>
        <w:t>抢险作业应服从现场指挥，不得无组织、无防护、无方案进入危险区域。</w:t>
      </w:r>
    </w:p>
    <w:p w14:paraId="3E6708CD">
      <w:pPr>
        <w:pStyle w:val="165"/>
        <w:spacing w:line="360" w:lineRule="auto"/>
      </w:pPr>
      <w:r>
        <w:rPr>
          <w:rFonts w:hint="eastAsia"/>
        </w:rPr>
        <w:t>巡查抢险岗位应保存巡查记录、险情记录、抢险记录、现场影像资料和处置结果。</w:t>
      </w:r>
    </w:p>
    <w:p w14:paraId="7B110FF6">
      <w:pPr>
        <w:pStyle w:val="165"/>
        <w:numPr>
          <w:ilvl w:val="0"/>
          <w:numId w:val="0"/>
        </w:numPr>
        <w:spacing w:line="360" w:lineRule="auto"/>
        <w:rPr>
          <w:rFonts w:hint="eastAsia"/>
        </w:rPr>
      </w:pPr>
    </w:p>
    <w:p w14:paraId="76B71FA4">
      <w:pPr>
        <w:pStyle w:val="105"/>
        <w:spacing w:before="120" w:after="120" w:line="360" w:lineRule="auto"/>
      </w:pPr>
      <w:r>
        <w:rPr>
          <w:rFonts w:hint="eastAsia"/>
        </w:rPr>
        <w:t>系统运维岗位职责</w:t>
      </w:r>
    </w:p>
    <w:p w14:paraId="125C3EDB">
      <w:pPr>
        <w:pStyle w:val="165"/>
        <w:spacing w:line="360" w:lineRule="auto"/>
      </w:pPr>
      <w:r>
        <w:rPr>
          <w:rFonts w:hint="eastAsia"/>
        </w:rPr>
        <w:t>系统运维岗位应负责智能防汛调度与应急处置系统、监测设备、通信网络、服务器、数据库、接口服务和安全防护设施运行维护。</w:t>
      </w:r>
    </w:p>
    <w:p w14:paraId="02294E37">
      <w:pPr>
        <w:pStyle w:val="165"/>
        <w:spacing w:line="360" w:lineRule="auto"/>
      </w:pPr>
      <w:r>
        <w:rPr>
          <w:rFonts w:hint="eastAsia"/>
        </w:rPr>
        <w:t>系统运维岗位应在汛前完成系统巡检、联调测试、数据备份、账号复核、接口检查和应急预案演练。</w:t>
      </w:r>
    </w:p>
    <w:p w14:paraId="6DD803F5">
      <w:pPr>
        <w:pStyle w:val="165"/>
        <w:spacing w:line="360" w:lineRule="auto"/>
      </w:pPr>
      <w:r>
        <w:rPr>
          <w:rFonts w:hint="eastAsia"/>
        </w:rPr>
        <w:t>汛期系统运维岗位应加强运行监控，及时处置系统故障、通信中断、数据异常和接口异常。</w:t>
      </w:r>
    </w:p>
    <w:p w14:paraId="4E429510">
      <w:pPr>
        <w:pStyle w:val="165"/>
        <w:spacing w:line="360" w:lineRule="auto"/>
      </w:pPr>
      <w:r>
        <w:rPr>
          <w:rFonts w:hint="eastAsia"/>
        </w:rPr>
        <w:t>系统运维岗位不得擅自修改业务数据、删除系统日志、关闭预警功能或调整模型参数。</w:t>
      </w:r>
    </w:p>
    <w:p w14:paraId="773AE4E2">
      <w:pPr>
        <w:pStyle w:val="165"/>
        <w:spacing w:line="360" w:lineRule="auto"/>
      </w:pPr>
      <w:r>
        <w:rPr>
          <w:rFonts w:hint="eastAsia"/>
        </w:rPr>
        <w:t>系统运维岗位应保存运维记录、故障记录、变更记录、备份记录和恢复验证记录。</w:t>
      </w:r>
    </w:p>
    <w:p w14:paraId="2E44A87E">
      <w:pPr>
        <w:pStyle w:val="104"/>
        <w:spacing w:before="240" w:after="240" w:line="360" w:lineRule="auto"/>
      </w:pPr>
      <w:bookmarkStart w:id="53" w:name="_Toc228606020"/>
      <w:r>
        <w:rPr>
          <w:rFonts w:hint="eastAsia"/>
        </w:rPr>
        <w:t>监测感知与数据管理</w:t>
      </w:r>
      <w:bookmarkEnd w:id="53"/>
    </w:p>
    <w:p w14:paraId="20401324">
      <w:pPr>
        <w:pStyle w:val="105"/>
        <w:spacing w:before="120" w:after="120" w:line="360" w:lineRule="auto"/>
      </w:pPr>
      <w:r>
        <w:rPr>
          <w:rFonts w:hint="eastAsia"/>
        </w:rPr>
        <w:t>一般要求</w:t>
      </w:r>
    </w:p>
    <w:p w14:paraId="711E73C7">
      <w:pPr>
        <w:pStyle w:val="165"/>
        <w:spacing w:line="360" w:lineRule="auto"/>
      </w:pPr>
      <w:r>
        <w:rPr>
          <w:rFonts w:hint="eastAsia"/>
        </w:rPr>
        <w:t>水利工程智能防汛调度与应急处置应建立监测感知体系，对水雨情、工情、险情、设备运行、视频图像、气象预报、水文预报和现场反馈信息进行统一接入和管理。</w:t>
      </w:r>
    </w:p>
    <w:p w14:paraId="6A0338FD">
      <w:pPr>
        <w:pStyle w:val="165"/>
        <w:spacing w:line="360" w:lineRule="auto"/>
      </w:pPr>
      <w:r>
        <w:rPr>
          <w:rFonts w:hint="eastAsia"/>
        </w:rPr>
        <w:t>监测感知数据应满足防汛调度、风险研判、预警发布、指令执行、应急处置和复盘评估需要。</w:t>
      </w:r>
    </w:p>
    <w:p w14:paraId="6BEF74F6">
      <w:pPr>
        <w:pStyle w:val="165"/>
        <w:spacing w:line="360" w:lineRule="auto"/>
      </w:pPr>
      <w:r>
        <w:rPr>
          <w:rFonts w:hint="eastAsia"/>
        </w:rPr>
        <w:t>监测感知设备布设应覆盖防汛关键部位、工程控制节点、险工险段、重要设施、调度控制点和应急处置重点区域。</w:t>
      </w:r>
    </w:p>
    <w:p w14:paraId="73C011B9">
      <w:pPr>
        <w:pStyle w:val="165"/>
        <w:spacing w:line="360" w:lineRule="auto"/>
      </w:pPr>
      <w:r>
        <w:rPr>
          <w:rFonts w:hint="eastAsia"/>
        </w:rPr>
        <w:t>监测数据应明确采集来源、采集方式、采集频率、责任主体、校核规则、异常处置和保存要求。</w:t>
      </w:r>
    </w:p>
    <w:p w14:paraId="5D59EE46">
      <w:pPr>
        <w:pStyle w:val="165"/>
        <w:spacing w:line="360" w:lineRule="auto"/>
      </w:pPr>
      <w:r>
        <w:rPr>
          <w:rFonts w:hint="eastAsia"/>
        </w:rPr>
        <w:t>自动监测数据、人工观测数据、视频识别数据、遥感数据和外部共享数据应分别标明来源，不得混淆数据来源和数据责任。</w:t>
      </w:r>
    </w:p>
    <w:p w14:paraId="2C99B88F">
      <w:pPr>
        <w:pStyle w:val="165"/>
        <w:spacing w:line="360" w:lineRule="auto"/>
      </w:pPr>
      <w:r>
        <w:rPr>
          <w:rFonts w:hint="eastAsia"/>
        </w:rPr>
        <w:t>数据异常、缺测、延迟、漂移、重复或突变时，应进行标识、复核和处置，不得直接删除或覆盖原始数据。</w:t>
      </w:r>
    </w:p>
    <w:p w14:paraId="53066458">
      <w:pPr>
        <w:pStyle w:val="105"/>
        <w:spacing w:before="120" w:after="120" w:line="360" w:lineRule="auto"/>
      </w:pPr>
      <w:r>
        <w:rPr>
          <w:rFonts w:hint="eastAsia"/>
        </w:rPr>
        <w:t>水雨情监测</w:t>
      </w:r>
    </w:p>
    <w:p w14:paraId="5579383D">
      <w:pPr>
        <w:pStyle w:val="165"/>
        <w:spacing w:line="360" w:lineRule="auto"/>
      </w:pPr>
      <w:r>
        <w:rPr>
          <w:rFonts w:hint="eastAsia"/>
        </w:rPr>
        <w:t>水雨情监测应包括降雨量、水位、流量、入库流量、出库流量、库容、河道水位、潮位、积水深度和其他防汛调度所需指标。</w:t>
      </w:r>
    </w:p>
    <w:p w14:paraId="1C00449C">
      <w:pPr>
        <w:pStyle w:val="165"/>
        <w:spacing w:line="360" w:lineRule="auto"/>
      </w:pPr>
      <w:r>
        <w:rPr>
          <w:rFonts w:hint="eastAsia"/>
        </w:rPr>
        <w:t>雨量站、水位站、流量站和积水监测点应根据流域汇流特征、工程控制条件、防洪保护对象和历史风险点布设。</w:t>
      </w:r>
    </w:p>
    <w:p w14:paraId="3DCE3D1F">
      <w:pPr>
        <w:pStyle w:val="165"/>
        <w:spacing w:line="360" w:lineRule="auto"/>
      </w:pPr>
      <w:r>
        <w:rPr>
          <w:rFonts w:hint="eastAsia"/>
        </w:rPr>
        <w:t>重要水库、重要闸站、重要堤段和防洪风险区域应设置重点监测点位。</w:t>
      </w:r>
    </w:p>
    <w:p w14:paraId="569B9AD9">
      <w:pPr>
        <w:pStyle w:val="165"/>
        <w:spacing w:line="360" w:lineRule="auto"/>
      </w:pPr>
      <w:r>
        <w:rPr>
          <w:rFonts w:hint="eastAsia"/>
        </w:rPr>
        <w:t>水雨情数据采集频率应满足洪水预报、调度控制和预警发布要求。汛期、强降雨过程和应急响应期间应提高数据监视频次。</w:t>
      </w:r>
    </w:p>
    <w:p w14:paraId="00002ACE">
      <w:pPr>
        <w:pStyle w:val="165"/>
        <w:spacing w:line="360" w:lineRule="auto"/>
      </w:pPr>
      <w:r>
        <w:rPr>
          <w:rFonts w:hint="eastAsia"/>
        </w:rPr>
        <w:t>水雨情数据应与气象预报、水文预报和工程运行数据进行关联分析。</w:t>
      </w:r>
    </w:p>
    <w:p w14:paraId="05362AE6">
      <w:pPr>
        <w:pStyle w:val="165"/>
        <w:numPr>
          <w:ilvl w:val="0"/>
          <w:numId w:val="0"/>
        </w:numPr>
        <w:spacing w:line="360" w:lineRule="auto"/>
        <w:rPr>
          <w:rFonts w:hint="eastAsia"/>
        </w:rPr>
      </w:pPr>
    </w:p>
    <w:p w14:paraId="64744CFD">
      <w:pPr>
        <w:pStyle w:val="105"/>
        <w:spacing w:before="120" w:after="120" w:line="360" w:lineRule="auto"/>
      </w:pPr>
      <w:r>
        <w:rPr>
          <w:rFonts w:hint="eastAsia"/>
        </w:rPr>
        <w:t>工情监测</w:t>
      </w:r>
    </w:p>
    <w:p w14:paraId="75DB3034">
      <w:pPr>
        <w:pStyle w:val="165"/>
        <w:spacing w:line="360" w:lineRule="auto"/>
      </w:pPr>
      <w:r>
        <w:rPr>
          <w:rFonts w:hint="eastAsia"/>
        </w:rPr>
        <w:t>工情监测应包括闸门开度、启闭机状态、泵机运行状态、泄流状态、供电状态、通信状态、渗流、变形、沉降、裂缝、扬压力和其他工程安全监测指标。</w:t>
      </w:r>
    </w:p>
    <w:p w14:paraId="306BDA5F">
      <w:pPr>
        <w:pStyle w:val="165"/>
        <w:spacing w:line="360" w:lineRule="auto"/>
      </w:pPr>
      <w:r>
        <w:rPr>
          <w:rFonts w:hint="eastAsia"/>
        </w:rPr>
        <w:t>水库大坝、堤防、水闸、泵站、溢洪道、穿堤建筑物、险工险段和重要附属设施应根据工程风险设置监测项目。</w:t>
      </w:r>
    </w:p>
    <w:p w14:paraId="40491F3C">
      <w:pPr>
        <w:pStyle w:val="165"/>
        <w:spacing w:line="360" w:lineRule="auto"/>
      </w:pPr>
      <w:r>
        <w:rPr>
          <w:rFonts w:hint="eastAsia"/>
        </w:rPr>
        <w:t>闸门、启闭机、泵机、备用电源和通信设备等关键设备应接入运行状态监测数据。</w:t>
      </w:r>
    </w:p>
    <w:p w14:paraId="45E8F549">
      <w:pPr>
        <w:pStyle w:val="165"/>
        <w:spacing w:line="360" w:lineRule="auto"/>
      </w:pPr>
      <w:r>
        <w:rPr>
          <w:rFonts w:hint="eastAsia"/>
        </w:rPr>
        <w:t>工情监测数据应与设备台账、检修记录、调度记录和现场巡查记录关联。</w:t>
      </w:r>
    </w:p>
    <w:p w14:paraId="247371E4">
      <w:pPr>
        <w:pStyle w:val="165"/>
        <w:spacing w:line="360" w:lineRule="auto"/>
      </w:pPr>
      <w:r>
        <w:rPr>
          <w:rFonts w:hint="eastAsia"/>
        </w:rPr>
        <w:t>工情数据出现异常变化时，应进行现场核查和技术分析。涉及工程安全的，应及时报告并采取控制措施。</w:t>
      </w:r>
    </w:p>
    <w:p w14:paraId="1C796F17">
      <w:pPr>
        <w:pStyle w:val="105"/>
        <w:spacing w:before="120" w:after="120" w:line="360" w:lineRule="auto"/>
      </w:pPr>
      <w:r>
        <w:rPr>
          <w:rFonts w:hint="eastAsia"/>
        </w:rPr>
        <w:t>险情信息采集</w:t>
      </w:r>
    </w:p>
    <w:p w14:paraId="2BD5B265">
      <w:pPr>
        <w:pStyle w:val="165"/>
        <w:spacing w:line="360" w:lineRule="auto"/>
      </w:pPr>
      <w:r>
        <w:rPr>
          <w:rFonts w:hint="eastAsia"/>
        </w:rPr>
        <w:t>险情信息采集应覆盖渗漏、管涌、滑坡、裂缝、塌陷、冲刷、漫溢、决口、护坡损坏、设备失效、通信中断和其他影响防汛安全的异常情况。</w:t>
      </w:r>
    </w:p>
    <w:p w14:paraId="1451B5D9">
      <w:pPr>
        <w:pStyle w:val="165"/>
        <w:spacing w:line="360" w:lineRule="auto"/>
      </w:pPr>
      <w:r>
        <w:rPr>
          <w:rFonts w:hint="eastAsia"/>
        </w:rPr>
        <w:t>险情信息应至少包括发生时间、发生位置、险情类型、规模程度、发展趋势、影响范围、现场照片或视频、上报人员和初步处置情况。</w:t>
      </w:r>
    </w:p>
    <w:p w14:paraId="018FE988">
      <w:pPr>
        <w:pStyle w:val="165"/>
        <w:spacing w:line="360" w:lineRule="auto"/>
      </w:pPr>
      <w:r>
        <w:rPr>
          <w:rFonts w:hint="eastAsia"/>
        </w:rPr>
        <w:t>险情信息应通过移动终端、值班系统、电话记录、视频巡查、无人机巡查或现场报告等方式及时上报。</w:t>
      </w:r>
    </w:p>
    <w:p w14:paraId="2FAC5F16">
      <w:pPr>
        <w:pStyle w:val="165"/>
        <w:spacing w:line="360" w:lineRule="auto"/>
      </w:pPr>
      <w:r>
        <w:rPr>
          <w:rFonts w:hint="eastAsia"/>
        </w:rPr>
        <w:t>险情上报后应进行分级核实，明确风险等级、处置责任、处置措施和跟踪要求。</w:t>
      </w:r>
    </w:p>
    <w:p w14:paraId="647C7215">
      <w:pPr>
        <w:pStyle w:val="165"/>
        <w:spacing w:line="360" w:lineRule="auto"/>
      </w:pPr>
      <w:r>
        <w:rPr>
          <w:rFonts w:hint="eastAsia"/>
        </w:rPr>
        <w:t>重大险情不得仅以口头形式上报，应形成书面或电子记录，并应保留影像资料。</w:t>
      </w:r>
    </w:p>
    <w:p w14:paraId="2721B135">
      <w:pPr>
        <w:pStyle w:val="105"/>
        <w:spacing w:before="120" w:after="120" w:line="360" w:lineRule="auto"/>
      </w:pPr>
      <w:r>
        <w:rPr>
          <w:rFonts w:hint="eastAsia"/>
        </w:rPr>
        <w:t>视频与遥感监测</w:t>
      </w:r>
    </w:p>
    <w:p w14:paraId="2C82C931">
      <w:pPr>
        <w:pStyle w:val="165"/>
        <w:spacing w:line="360" w:lineRule="auto"/>
      </w:pPr>
      <w:r>
        <w:rPr>
          <w:rFonts w:hint="eastAsia"/>
        </w:rPr>
        <w:t>重要工程部位、闸站控制区、泵站运行区、堤防险工险段、溢洪道、交通闸口、物资仓库和应急通道宜设置视频监控。</w:t>
      </w:r>
    </w:p>
    <w:p w14:paraId="6452773D">
      <w:pPr>
        <w:pStyle w:val="165"/>
        <w:spacing w:line="360" w:lineRule="auto"/>
      </w:pPr>
      <w:r>
        <w:rPr>
          <w:rFonts w:hint="eastAsia"/>
        </w:rPr>
        <w:t>视频监控点位应标明工程对象、位置、方向、覆盖范围和责任单位。</w:t>
      </w:r>
    </w:p>
    <w:p w14:paraId="26557B4B">
      <w:pPr>
        <w:pStyle w:val="165"/>
        <w:spacing w:line="360" w:lineRule="auto"/>
      </w:pPr>
      <w:r>
        <w:rPr>
          <w:rFonts w:hint="eastAsia"/>
        </w:rPr>
        <w:t>视频图像应满足现场状态识别、险情回溯、调度复核和应急处置需要。</w:t>
      </w:r>
    </w:p>
    <w:p w14:paraId="7D7AEA71">
      <w:pPr>
        <w:pStyle w:val="165"/>
        <w:spacing w:line="360" w:lineRule="auto"/>
      </w:pPr>
      <w:r>
        <w:rPr>
          <w:rFonts w:hint="eastAsia"/>
        </w:rPr>
        <w:t>无人机、卫星遥感或移动巡查影像可用于大范围洪水态势识别、堤防巡查、淹没范围识别和现场处置辅助。</w:t>
      </w:r>
    </w:p>
    <w:p w14:paraId="3E24B9D9">
      <w:pPr>
        <w:pStyle w:val="165"/>
        <w:spacing w:line="360" w:lineRule="auto"/>
      </w:pPr>
      <w:r>
        <w:rPr>
          <w:rFonts w:hint="eastAsia"/>
        </w:rPr>
        <w:t>视频与遥感数据用于预警或处置决策时，应核实时间、位置、分辨率、影像质量和适用范围。</w:t>
      </w:r>
    </w:p>
    <w:p w14:paraId="23119567">
      <w:pPr>
        <w:pStyle w:val="105"/>
        <w:spacing w:before="120" w:after="120" w:line="360" w:lineRule="auto"/>
      </w:pPr>
      <w:r>
        <w:rPr>
          <w:rFonts w:hint="eastAsia"/>
        </w:rPr>
        <w:t>数据质量控制</w:t>
      </w:r>
    </w:p>
    <w:p w14:paraId="52EE9B15">
      <w:pPr>
        <w:pStyle w:val="165"/>
        <w:spacing w:line="360" w:lineRule="auto"/>
      </w:pPr>
      <w:r>
        <w:rPr>
          <w:rFonts w:hint="eastAsia"/>
        </w:rPr>
        <w:t>防汛调度数据质量控制应覆盖完整性、准确性、及时性、一致性、有效性、连续性和可追溯性。</w:t>
      </w:r>
    </w:p>
    <w:p w14:paraId="3CFC0755">
      <w:pPr>
        <w:pStyle w:val="165"/>
        <w:spacing w:line="360" w:lineRule="auto"/>
      </w:pPr>
      <w:r>
        <w:rPr>
          <w:rFonts w:hint="eastAsia"/>
        </w:rPr>
        <w:t>自动采集数据应进行时间校核、范围校核、变化率校核、逻辑校核和相邻测点比对。</w:t>
      </w:r>
    </w:p>
    <w:p w14:paraId="6A882FBD">
      <w:pPr>
        <w:pStyle w:val="165"/>
        <w:spacing w:line="360" w:lineRule="auto"/>
      </w:pPr>
      <w:r>
        <w:rPr>
          <w:rFonts w:hint="eastAsia"/>
        </w:rPr>
        <w:t>人工上报数据应由授权人员填写，并应进行复核确认。</w:t>
      </w:r>
    </w:p>
    <w:p w14:paraId="5ADD2DE3">
      <w:pPr>
        <w:pStyle w:val="165"/>
        <w:spacing w:line="360" w:lineRule="auto"/>
      </w:pPr>
      <w:r>
        <w:rPr>
          <w:rFonts w:hint="eastAsia"/>
        </w:rPr>
        <w:t>同一监测对象存在多个数据来源时，应明确优先级和核验规则。</w:t>
      </w:r>
    </w:p>
    <w:p w14:paraId="29278CA4">
      <w:pPr>
        <w:pStyle w:val="165"/>
        <w:spacing w:line="360" w:lineRule="auto"/>
      </w:pPr>
      <w:r>
        <w:rPr>
          <w:rFonts w:hint="eastAsia"/>
        </w:rPr>
        <w:t>用于预警发布、调度方案生成和应急处置的数据，应满足质量要求；数据质量不满足要求时，应标明限制条件。</w:t>
      </w:r>
    </w:p>
    <w:p w14:paraId="7B386BF4">
      <w:pPr>
        <w:pStyle w:val="105"/>
        <w:spacing w:before="120" w:after="120" w:line="360" w:lineRule="auto"/>
      </w:pPr>
      <w:r>
        <w:rPr>
          <w:rFonts w:hint="eastAsia"/>
        </w:rPr>
        <w:t>数据更新与共享</w:t>
      </w:r>
    </w:p>
    <w:p w14:paraId="1499EF0B">
      <w:pPr>
        <w:pStyle w:val="165"/>
        <w:spacing w:line="360" w:lineRule="auto"/>
      </w:pPr>
      <w:r>
        <w:rPr>
          <w:rFonts w:hint="eastAsia"/>
        </w:rPr>
        <w:t>防汛调度相关数据应按规定频率更新。实时监测数据应自动更新，人工巡查和现场反馈数据应及时录入。</w:t>
      </w:r>
    </w:p>
    <w:p w14:paraId="36397458">
      <w:pPr>
        <w:pStyle w:val="165"/>
        <w:spacing w:line="360" w:lineRule="auto"/>
      </w:pPr>
      <w:r>
        <w:rPr>
          <w:rFonts w:hint="eastAsia"/>
        </w:rPr>
        <w:t>监测点位、设备台账、调度规则、预警阈值、应急资源和通讯录发生变化时，应及时更新。</w:t>
      </w:r>
    </w:p>
    <w:p w14:paraId="56D49C9E">
      <w:pPr>
        <w:pStyle w:val="165"/>
        <w:spacing w:line="360" w:lineRule="auto"/>
      </w:pPr>
      <w:r>
        <w:rPr>
          <w:rFonts w:hint="eastAsia"/>
        </w:rPr>
        <w:t>数据共享应明确共享范围、共享对象、共享方式、更新频率、使用权限和安全要求。</w:t>
      </w:r>
    </w:p>
    <w:p w14:paraId="6C65727C">
      <w:pPr>
        <w:pStyle w:val="165"/>
        <w:spacing w:line="360" w:lineRule="auto"/>
      </w:pPr>
      <w:r>
        <w:rPr>
          <w:rFonts w:hint="eastAsia"/>
        </w:rPr>
        <w:t>与气象、水文、应急、交通、城市管理和属地防汛部门共享数据时，应建立接口或交换机制。</w:t>
      </w:r>
    </w:p>
    <w:p w14:paraId="3102F417">
      <w:pPr>
        <w:pStyle w:val="165"/>
        <w:spacing w:line="360" w:lineRule="auto"/>
      </w:pPr>
      <w:r>
        <w:rPr>
          <w:rFonts w:hint="eastAsia"/>
        </w:rPr>
        <w:t>共享数据不得未经授权擅自外传、修改或用于规定范围以外的用途。</w:t>
      </w:r>
    </w:p>
    <w:p w14:paraId="19177053">
      <w:pPr>
        <w:pStyle w:val="104"/>
        <w:spacing w:before="240" w:after="240" w:line="360" w:lineRule="auto"/>
      </w:pPr>
      <w:bookmarkStart w:id="54" w:name="_Toc228606021"/>
      <w:r>
        <w:rPr>
          <w:rFonts w:hint="eastAsia"/>
        </w:rPr>
        <w:t>智能预报与风险研判</w:t>
      </w:r>
      <w:bookmarkEnd w:id="54"/>
    </w:p>
    <w:p w14:paraId="0DB282E3">
      <w:pPr>
        <w:pStyle w:val="105"/>
        <w:spacing w:before="120" w:after="120" w:line="360" w:lineRule="auto"/>
      </w:pPr>
      <w:r>
        <w:rPr>
          <w:rFonts w:hint="eastAsia"/>
        </w:rPr>
        <w:t>一般要求</w:t>
      </w:r>
    </w:p>
    <w:p w14:paraId="740815A0">
      <w:pPr>
        <w:pStyle w:val="165"/>
        <w:spacing w:line="360" w:lineRule="auto"/>
      </w:pPr>
      <w:r>
        <w:rPr>
          <w:rFonts w:hint="eastAsia"/>
        </w:rPr>
        <w:t>智能预报与风险研判应基于实时监测数据、气象预报、水文预报、工程调度信息、历史洪水资料、现场巡查信息和模型计算成果开展。</w:t>
      </w:r>
    </w:p>
    <w:p w14:paraId="2EAC37A6">
      <w:pPr>
        <w:pStyle w:val="165"/>
        <w:spacing w:line="360" w:lineRule="auto"/>
      </w:pPr>
      <w:r>
        <w:rPr>
          <w:rFonts w:hint="eastAsia"/>
        </w:rPr>
        <w:t>预报和研判成果应服务于防汛会商、预警发布、调度方案生成、应急响应和现场处置。</w:t>
      </w:r>
    </w:p>
    <w:p w14:paraId="63F02137">
      <w:pPr>
        <w:pStyle w:val="165"/>
        <w:spacing w:line="360" w:lineRule="auto"/>
      </w:pPr>
      <w:r>
        <w:rPr>
          <w:rFonts w:hint="eastAsia"/>
        </w:rPr>
        <w:t>智能预报结果应明确预报时段、预报范围、输入数据、模型版本、计算时间、输出结果和不确定性说明。</w:t>
      </w:r>
    </w:p>
    <w:p w14:paraId="75682874">
      <w:pPr>
        <w:pStyle w:val="165"/>
        <w:spacing w:line="360" w:lineRule="auto"/>
      </w:pPr>
      <w:r>
        <w:rPr>
          <w:rFonts w:hint="eastAsia"/>
        </w:rPr>
        <w:t>风险研判不得仅依赖单一模型结果，应结合工程状态、现场反馈、历史经验和人工复核意见综合判断。</w:t>
      </w:r>
    </w:p>
    <w:p w14:paraId="630D8E94">
      <w:pPr>
        <w:pStyle w:val="165"/>
        <w:spacing w:line="360" w:lineRule="auto"/>
      </w:pPr>
      <w:r>
        <w:rPr>
          <w:rFonts w:hint="eastAsia"/>
        </w:rPr>
        <w:t>预报模型、风险识别模型和调度模型应定期校核。模型适用条件不满足时，不得作为主要决策依据。</w:t>
      </w:r>
    </w:p>
    <w:p w14:paraId="647EA82D">
      <w:pPr>
        <w:pStyle w:val="105"/>
        <w:spacing w:before="120" w:after="120" w:line="360" w:lineRule="auto"/>
      </w:pPr>
      <w:r>
        <w:rPr>
          <w:rFonts w:hint="eastAsia"/>
        </w:rPr>
        <w:t>洪水预报</w:t>
      </w:r>
    </w:p>
    <w:p w14:paraId="1D446BB4">
      <w:pPr>
        <w:pStyle w:val="165"/>
        <w:spacing w:line="360" w:lineRule="auto"/>
      </w:pPr>
      <w:r>
        <w:rPr>
          <w:rFonts w:hint="eastAsia"/>
        </w:rPr>
        <w:t>洪水预报应根据流域特征、降雨过程、前期土壤湿润程度、河道水位、库区水位、工程调度状态和下游控制条件开展。</w:t>
      </w:r>
    </w:p>
    <w:p w14:paraId="31F8913D">
      <w:pPr>
        <w:pStyle w:val="165"/>
        <w:spacing w:line="360" w:lineRule="auto"/>
      </w:pPr>
      <w:r>
        <w:rPr>
          <w:rFonts w:hint="eastAsia"/>
        </w:rPr>
        <w:t>洪水预报内容宜包括洪峰流量、洪峰出现时间、洪水过程线、入库过程、出库过程、河道水位变化和可能影响范围。</w:t>
      </w:r>
    </w:p>
    <w:p w14:paraId="240ECF83">
      <w:pPr>
        <w:pStyle w:val="165"/>
        <w:spacing w:line="360" w:lineRule="auto"/>
      </w:pPr>
      <w:r>
        <w:rPr>
          <w:rFonts w:hint="eastAsia"/>
        </w:rPr>
        <w:t>预报成果应标明预报依据和适用范围，并应根据最新水雨情及时滚动更新。</w:t>
      </w:r>
    </w:p>
    <w:p w14:paraId="71FF646C">
      <w:pPr>
        <w:pStyle w:val="165"/>
        <w:spacing w:line="360" w:lineRule="auto"/>
      </w:pPr>
      <w:r>
        <w:rPr>
          <w:rFonts w:hint="eastAsia"/>
        </w:rPr>
        <w:t>当实测洪水过程与预报结果出现较大偏差时，应及时修正预报参数或调整研判结论。</w:t>
      </w:r>
    </w:p>
    <w:p w14:paraId="72EE9E29">
      <w:pPr>
        <w:pStyle w:val="165"/>
        <w:spacing w:line="360" w:lineRule="auto"/>
      </w:pPr>
      <w:r>
        <w:rPr>
          <w:rFonts w:hint="eastAsia"/>
        </w:rPr>
        <w:t>预报成果用于调度方案生成时，应经过技术复核或会商确认。</w:t>
      </w:r>
    </w:p>
    <w:p w14:paraId="105B28AA">
      <w:pPr>
        <w:pStyle w:val="105"/>
        <w:spacing w:before="120" w:after="120" w:line="360" w:lineRule="auto"/>
      </w:pPr>
      <w:r>
        <w:rPr>
          <w:rFonts w:hint="eastAsia"/>
        </w:rPr>
        <w:t>工程风险研判</w:t>
      </w:r>
    </w:p>
    <w:p w14:paraId="1D8EBE0D">
      <w:pPr>
        <w:pStyle w:val="165"/>
        <w:spacing w:line="360" w:lineRule="auto"/>
      </w:pPr>
      <w:r>
        <w:rPr>
          <w:rFonts w:hint="eastAsia"/>
        </w:rPr>
        <w:t>工程风险研判应结合工程等级、运行水位、泄洪状态、监测指标、历史险情、设备状态和现场巡查结果开展。</w:t>
      </w:r>
    </w:p>
    <w:p w14:paraId="76EDC07A">
      <w:pPr>
        <w:pStyle w:val="165"/>
        <w:spacing w:line="360" w:lineRule="auto"/>
      </w:pPr>
      <w:r>
        <w:rPr>
          <w:rFonts w:hint="eastAsia"/>
        </w:rPr>
        <w:t>水库工程应重点研判库水位接近或超过控制水位、入库流量快速增加、泄洪能力不足、大坝渗流异常、溢洪道运行异常和通信供电异常等风险。</w:t>
      </w:r>
    </w:p>
    <w:p w14:paraId="43295C86">
      <w:pPr>
        <w:pStyle w:val="165"/>
        <w:spacing w:line="360" w:lineRule="auto"/>
      </w:pPr>
      <w:r>
        <w:rPr>
          <w:rFonts w:hint="eastAsia"/>
        </w:rPr>
        <w:t>水闸工程应重点研判上下游水位差、闸门启闭异常、启闭机故障、闸基渗流、消能防冲设施异常和下游冲刷风险。</w:t>
      </w:r>
    </w:p>
    <w:p w14:paraId="443A762F">
      <w:pPr>
        <w:pStyle w:val="165"/>
        <w:spacing w:line="360" w:lineRule="auto"/>
      </w:pPr>
      <w:r>
        <w:rPr>
          <w:rFonts w:hint="eastAsia"/>
        </w:rPr>
        <w:t>泵站工程应重点研判泵机运行能力、供电保障、进出水水位、机组故障、排涝能力不足和备用设备状态。</w:t>
      </w:r>
    </w:p>
    <w:p w14:paraId="29A843CB">
      <w:pPr>
        <w:pStyle w:val="165"/>
        <w:spacing w:line="360" w:lineRule="auto"/>
      </w:pPr>
      <w:r>
        <w:rPr>
          <w:rFonts w:hint="eastAsia"/>
        </w:rPr>
        <w:t>堤防工程应重点研判高水位持续时间、堤身渗漏、管涌、滑坡、裂缝、穿堤建筑物异常和险工险段变化。</w:t>
      </w:r>
    </w:p>
    <w:p w14:paraId="51149F05">
      <w:pPr>
        <w:pStyle w:val="165"/>
        <w:spacing w:line="360" w:lineRule="auto"/>
      </w:pPr>
      <w:r>
        <w:rPr>
          <w:rFonts w:hint="eastAsia"/>
        </w:rPr>
        <w:t>风险研判结果应形成风险等级、影响范围、发展趋势和处置建议。</w:t>
      </w:r>
    </w:p>
    <w:p w14:paraId="758BDFC8">
      <w:pPr>
        <w:pStyle w:val="105"/>
        <w:spacing w:before="120" w:after="120" w:line="360" w:lineRule="auto"/>
      </w:pPr>
      <w:r>
        <w:rPr>
          <w:rFonts w:hint="eastAsia"/>
        </w:rPr>
        <w:t>淹没与影响分析</w:t>
      </w:r>
    </w:p>
    <w:p w14:paraId="472C39FB">
      <w:pPr>
        <w:pStyle w:val="165"/>
        <w:spacing w:line="360" w:lineRule="auto"/>
      </w:pPr>
      <w:r>
        <w:rPr>
          <w:rFonts w:hint="eastAsia"/>
        </w:rPr>
        <w:t>具备条件的工程宜开展洪水淹没、超警水位影响、泄洪影响、分洪影响和内涝影响分析。</w:t>
      </w:r>
    </w:p>
    <w:p w14:paraId="089E5692">
      <w:pPr>
        <w:pStyle w:val="165"/>
        <w:spacing w:line="360" w:lineRule="auto"/>
      </w:pPr>
      <w:r>
        <w:rPr>
          <w:rFonts w:hint="eastAsia"/>
        </w:rPr>
        <w:t>淹没分析应明确地形数据、边界条件、计算参数、工程调度条件和成果精度。</w:t>
      </w:r>
    </w:p>
    <w:p w14:paraId="6DDF3375">
      <w:pPr>
        <w:pStyle w:val="165"/>
        <w:spacing w:line="360" w:lineRule="auto"/>
      </w:pPr>
      <w:r>
        <w:rPr>
          <w:rFonts w:hint="eastAsia"/>
        </w:rPr>
        <w:t>淹没分析成果应包括可能淹没范围、影响人口、重要设施、道路交通、抢险通道和风险区域。</w:t>
      </w:r>
    </w:p>
    <w:p w14:paraId="14CEA1AD">
      <w:pPr>
        <w:pStyle w:val="165"/>
        <w:spacing w:line="360" w:lineRule="auto"/>
      </w:pPr>
      <w:r>
        <w:rPr>
          <w:rFonts w:hint="eastAsia"/>
        </w:rPr>
        <w:t>淹没分析成果用于人员转移、交通管制和应急布防时，应进行人工复核。</w:t>
      </w:r>
    </w:p>
    <w:p w14:paraId="38FA484C">
      <w:pPr>
        <w:pStyle w:val="165"/>
        <w:spacing w:line="360" w:lineRule="auto"/>
      </w:pPr>
      <w:r>
        <w:rPr>
          <w:rFonts w:hint="eastAsia"/>
        </w:rPr>
        <w:t>地形变化、工程改造、河道清淤、堤防加固或城市建设改变影响条件时，应更新相关分析数据。</w:t>
      </w:r>
    </w:p>
    <w:p w14:paraId="43A84C5C">
      <w:pPr>
        <w:pStyle w:val="105"/>
        <w:spacing w:before="120" w:after="120" w:line="360" w:lineRule="auto"/>
      </w:pPr>
      <w:r>
        <w:rPr>
          <w:rFonts w:hint="eastAsia"/>
        </w:rPr>
        <w:t>预警阈值管理</w:t>
      </w:r>
    </w:p>
    <w:p w14:paraId="7BEDB6BB">
      <w:pPr>
        <w:pStyle w:val="165"/>
        <w:spacing w:line="360" w:lineRule="auto"/>
      </w:pPr>
      <w:r>
        <w:rPr>
          <w:rFonts w:hint="eastAsia"/>
        </w:rPr>
        <w:t>预警阈值应根据工程设计、调度规程、历史洪水、监测成果、风险评估和应急预案确定。</w:t>
      </w:r>
    </w:p>
    <w:p w14:paraId="2785DCF6">
      <w:pPr>
        <w:pStyle w:val="165"/>
        <w:spacing w:line="360" w:lineRule="auto"/>
      </w:pPr>
      <w:r>
        <w:rPr>
          <w:rFonts w:hint="eastAsia"/>
        </w:rPr>
        <w:t>预警阈值宜包括降雨阈值、水位阈值、流量阈值、库容阈值、设备状态阈值、渗流变形阈值和险情等级阈值。</w:t>
      </w:r>
    </w:p>
    <w:p w14:paraId="5C7ADDEF">
      <w:pPr>
        <w:pStyle w:val="165"/>
        <w:spacing w:line="360" w:lineRule="auto"/>
      </w:pPr>
      <w:r>
        <w:rPr>
          <w:rFonts w:hint="eastAsia"/>
        </w:rPr>
        <w:t>预警阈值应明确适用对象、触发条件、预警等级、处置措施和责任岗位。</w:t>
      </w:r>
    </w:p>
    <w:p w14:paraId="6B851D59">
      <w:pPr>
        <w:pStyle w:val="165"/>
        <w:spacing w:line="360" w:lineRule="auto"/>
      </w:pPr>
      <w:r>
        <w:rPr>
          <w:rFonts w:hint="eastAsia"/>
        </w:rPr>
        <w:t>预警阈值调整应履行审批程序，并应记录调整原因、调整内容、审批人员和生效时间。</w:t>
      </w:r>
    </w:p>
    <w:p w14:paraId="2E66BEEB">
      <w:pPr>
        <w:pStyle w:val="165"/>
        <w:spacing w:line="360" w:lineRule="auto"/>
      </w:pPr>
      <w:r>
        <w:rPr>
          <w:rFonts w:hint="eastAsia"/>
        </w:rPr>
        <w:t>不得为减少预警数量擅自提高阈值或关闭预警规则。</w:t>
      </w:r>
    </w:p>
    <w:p w14:paraId="278C951A">
      <w:pPr>
        <w:pStyle w:val="105"/>
        <w:spacing w:before="120" w:after="120" w:line="360" w:lineRule="auto"/>
      </w:pPr>
      <w:r>
        <w:rPr>
          <w:rFonts w:hint="eastAsia"/>
        </w:rPr>
        <w:t>会商研判</w:t>
      </w:r>
    </w:p>
    <w:p w14:paraId="6EA4254B">
      <w:pPr>
        <w:pStyle w:val="165"/>
        <w:spacing w:line="360" w:lineRule="auto"/>
      </w:pPr>
      <w:r>
        <w:rPr>
          <w:rFonts w:hint="eastAsia"/>
        </w:rPr>
        <w:t>防汛会商应根据水雨情、工情、预报预警、工程运行、险情发展和应急响应需要组织。</w:t>
      </w:r>
    </w:p>
    <w:p w14:paraId="32AE203C">
      <w:pPr>
        <w:pStyle w:val="165"/>
        <w:spacing w:line="360" w:lineRule="auto"/>
      </w:pPr>
      <w:r>
        <w:rPr>
          <w:rFonts w:hint="eastAsia"/>
        </w:rPr>
        <w:t>会商内容应包括当前态势、发展趋势、风险等级、调度建议、应急措施、信息报送和责任分工。</w:t>
      </w:r>
    </w:p>
    <w:p w14:paraId="686F58B8">
      <w:pPr>
        <w:pStyle w:val="165"/>
        <w:spacing w:line="360" w:lineRule="auto"/>
      </w:pPr>
      <w:r>
        <w:rPr>
          <w:rFonts w:hint="eastAsia"/>
        </w:rPr>
        <w:t>会商意见应形成记录，并应作为调度方案、应急处置和预警发布的重要依据。</w:t>
      </w:r>
    </w:p>
    <w:p w14:paraId="5A21BB9B">
      <w:pPr>
        <w:pStyle w:val="165"/>
        <w:spacing w:line="360" w:lineRule="auto"/>
      </w:pPr>
      <w:r>
        <w:rPr>
          <w:rFonts w:hint="eastAsia"/>
        </w:rPr>
        <w:t>会商结论发生调整时，应记录调整原因和调整后的处置要求。</w:t>
      </w:r>
    </w:p>
    <w:p w14:paraId="0753C512">
      <w:pPr>
        <w:pStyle w:val="165"/>
        <w:spacing w:line="360" w:lineRule="auto"/>
      </w:pPr>
      <w:r>
        <w:rPr>
          <w:rFonts w:hint="eastAsia"/>
        </w:rPr>
        <w:t>重大调度和重大险情处置应进行会商研判；情况紧急无法事前会商的，应在处置后补充记录。</w:t>
      </w:r>
    </w:p>
    <w:p w14:paraId="3204F206">
      <w:pPr>
        <w:pStyle w:val="165"/>
        <w:numPr>
          <w:ilvl w:val="0"/>
          <w:numId w:val="0"/>
        </w:numPr>
        <w:spacing w:line="360" w:lineRule="auto"/>
      </w:pPr>
    </w:p>
    <w:p w14:paraId="1E7C7AC2">
      <w:pPr>
        <w:pStyle w:val="165"/>
        <w:numPr>
          <w:ilvl w:val="0"/>
          <w:numId w:val="0"/>
        </w:numPr>
        <w:spacing w:line="360" w:lineRule="auto"/>
        <w:rPr>
          <w:rFonts w:hint="eastAsia"/>
        </w:rPr>
      </w:pPr>
    </w:p>
    <w:p w14:paraId="2EFDCD44">
      <w:pPr>
        <w:pStyle w:val="104"/>
        <w:spacing w:before="240" w:after="240" w:line="360" w:lineRule="auto"/>
      </w:pPr>
      <w:bookmarkStart w:id="55" w:name="_Toc228606022"/>
      <w:r>
        <w:rPr>
          <w:rFonts w:hint="eastAsia"/>
        </w:rPr>
        <w:t>智能防汛调度</w:t>
      </w:r>
      <w:bookmarkEnd w:id="55"/>
    </w:p>
    <w:p w14:paraId="4AD55F16">
      <w:pPr>
        <w:pStyle w:val="105"/>
        <w:spacing w:before="120" w:after="120" w:line="360" w:lineRule="auto"/>
      </w:pPr>
      <w:r>
        <w:rPr>
          <w:rFonts w:hint="eastAsia"/>
        </w:rPr>
        <w:t>一般要求</w:t>
      </w:r>
    </w:p>
    <w:p w14:paraId="7D97B78A">
      <w:pPr>
        <w:pStyle w:val="165"/>
        <w:spacing w:line="360" w:lineRule="auto"/>
      </w:pPr>
      <w:r>
        <w:rPr>
          <w:rFonts w:hint="eastAsia"/>
        </w:rPr>
        <w:t>智能防汛调度应以调度规程、批准的防汛预案、实时监测数据、预报成果、工程安全状态和会商意见为依据。</w:t>
      </w:r>
    </w:p>
    <w:p w14:paraId="1F6902B6">
      <w:pPr>
        <w:pStyle w:val="165"/>
        <w:spacing w:line="360" w:lineRule="auto"/>
      </w:pPr>
      <w:r>
        <w:rPr>
          <w:rFonts w:hint="eastAsia"/>
        </w:rPr>
        <w:t>智能调度系统可生成调度建议、方案比选结果、影响分析结果和执行提示，但调度方案应经规定权限人员审核确认。</w:t>
      </w:r>
    </w:p>
    <w:p w14:paraId="1A5708AC">
      <w:pPr>
        <w:pStyle w:val="165"/>
        <w:spacing w:line="360" w:lineRule="auto"/>
      </w:pPr>
      <w:r>
        <w:rPr>
          <w:rFonts w:hint="eastAsia"/>
        </w:rPr>
        <w:t>调度方案应明确工程对象、调度目标、操作内容、控制参数、执行时间、风险影响、反馈要求和安全注意事项。</w:t>
      </w:r>
    </w:p>
    <w:p w14:paraId="160E4427">
      <w:pPr>
        <w:pStyle w:val="165"/>
        <w:spacing w:line="360" w:lineRule="auto"/>
      </w:pPr>
      <w:r>
        <w:rPr>
          <w:rFonts w:hint="eastAsia"/>
        </w:rPr>
        <w:t>调度方案不得突破批准的调度权限、工程安全限制和防洪调度控制要求。</w:t>
      </w:r>
    </w:p>
    <w:p w14:paraId="496C71C6">
      <w:pPr>
        <w:pStyle w:val="165"/>
        <w:spacing w:line="360" w:lineRule="auto"/>
      </w:pPr>
      <w:r>
        <w:rPr>
          <w:rFonts w:hint="eastAsia"/>
        </w:rPr>
        <w:t>需要跨工程、跨区域、跨部门联动调度的，应按规定组织会商和协调。</w:t>
      </w:r>
    </w:p>
    <w:p w14:paraId="4E1D3F0A">
      <w:pPr>
        <w:pStyle w:val="165"/>
        <w:spacing w:line="360" w:lineRule="auto"/>
      </w:pPr>
      <w:r>
        <w:rPr>
          <w:rFonts w:hint="eastAsia"/>
        </w:rPr>
        <w:t>智能防汛调度流程可参照附录A执行。</w:t>
      </w:r>
    </w:p>
    <w:p w14:paraId="7EF354E4">
      <w:pPr>
        <w:pStyle w:val="105"/>
        <w:spacing w:before="120" w:after="120" w:line="360" w:lineRule="auto"/>
      </w:pPr>
      <w:r>
        <w:rPr>
          <w:rFonts w:hint="eastAsia"/>
        </w:rPr>
        <w:t>调度方案生成</w:t>
      </w:r>
    </w:p>
    <w:p w14:paraId="7A0DF2CA">
      <w:pPr>
        <w:pStyle w:val="165"/>
        <w:spacing w:line="360" w:lineRule="auto"/>
      </w:pPr>
      <w:r>
        <w:rPr>
          <w:rFonts w:hint="eastAsia"/>
        </w:rPr>
        <w:t>调度方案生成前应核查输入数据质量、工程运行状态、设备可用状态和调度规则适用性。</w:t>
      </w:r>
    </w:p>
    <w:p w14:paraId="14CA7E69">
      <w:pPr>
        <w:pStyle w:val="165"/>
        <w:spacing w:line="360" w:lineRule="auto"/>
      </w:pPr>
      <w:r>
        <w:rPr>
          <w:rFonts w:hint="eastAsia"/>
        </w:rPr>
        <w:t>调度方案应结合上游来水、下游承泄能力、库水位、河道水位、工程泄流能力、保护对象和应急需求确定。</w:t>
      </w:r>
    </w:p>
    <w:p w14:paraId="04685EBC">
      <w:pPr>
        <w:pStyle w:val="165"/>
        <w:spacing w:line="360" w:lineRule="auto"/>
      </w:pPr>
      <w:r>
        <w:rPr>
          <w:rFonts w:hint="eastAsia"/>
        </w:rPr>
        <w:t>水库调度方案应明确控泄、拦洪、削峰、预泄、错峰、腾库和泄洪设施启用要求。</w:t>
      </w:r>
    </w:p>
    <w:p w14:paraId="2F83ADF5">
      <w:pPr>
        <w:pStyle w:val="165"/>
        <w:spacing w:line="360" w:lineRule="auto"/>
      </w:pPr>
      <w:r>
        <w:rPr>
          <w:rFonts w:hint="eastAsia"/>
        </w:rPr>
        <w:t>水闸调度方案应明确开闸、关闸、分级启闭、联合调度、上下游水位控制和防冲刷要求。</w:t>
      </w:r>
    </w:p>
    <w:p w14:paraId="6C82997B">
      <w:pPr>
        <w:pStyle w:val="165"/>
        <w:spacing w:line="360" w:lineRule="auto"/>
      </w:pPr>
      <w:r>
        <w:rPr>
          <w:rFonts w:hint="eastAsia"/>
        </w:rPr>
        <w:t>泵站调度方案应明确开机台数、运行时段、抽排流量、供电保障、备用机组和进出水控制要求。</w:t>
      </w:r>
    </w:p>
    <w:p w14:paraId="5FAD03D7">
      <w:pPr>
        <w:pStyle w:val="165"/>
        <w:spacing w:line="360" w:lineRule="auto"/>
      </w:pPr>
      <w:r>
        <w:rPr>
          <w:rFonts w:hint="eastAsia"/>
        </w:rPr>
        <w:t>蓄滞洪区调度方案应明确启用条件、启用范围、人员转移、工程控制、信息发布和后续恢复要求。</w:t>
      </w:r>
    </w:p>
    <w:p w14:paraId="449A2143">
      <w:pPr>
        <w:pStyle w:val="105"/>
        <w:spacing w:before="120" w:after="120" w:line="360" w:lineRule="auto"/>
      </w:pPr>
      <w:r>
        <w:rPr>
          <w:rFonts w:hint="eastAsia"/>
        </w:rPr>
        <w:t>方案比选与审核</w:t>
      </w:r>
    </w:p>
    <w:p w14:paraId="2146B4BC">
      <w:pPr>
        <w:pStyle w:val="165"/>
        <w:spacing w:line="360" w:lineRule="auto"/>
      </w:pPr>
      <w:r>
        <w:rPr>
          <w:rFonts w:hint="eastAsia"/>
        </w:rPr>
        <w:t>对可能产生较大上下游影响、涉及人员转移、重要设施保护或跨区域调度的方案，应开展方案比选。</w:t>
      </w:r>
    </w:p>
    <w:p w14:paraId="2C8FD18E">
      <w:pPr>
        <w:pStyle w:val="165"/>
        <w:spacing w:line="360" w:lineRule="auto"/>
      </w:pPr>
      <w:r>
        <w:rPr>
          <w:rFonts w:hint="eastAsia"/>
        </w:rPr>
        <w:t>方案比选应分析防洪效果、工程安全、下游影响、淹没范围、资源需求、执行可行性和次生风险。</w:t>
      </w:r>
    </w:p>
    <w:p w14:paraId="1FEC256B">
      <w:pPr>
        <w:pStyle w:val="165"/>
        <w:spacing w:line="360" w:lineRule="auto"/>
      </w:pPr>
      <w:r>
        <w:rPr>
          <w:rFonts w:hint="eastAsia"/>
        </w:rPr>
        <w:t>调度方案审核应核查调度目标是否明确、参数是否合理、指令是否可执行、风险是否可控和反馈要求是否完整。</w:t>
      </w:r>
    </w:p>
    <w:p w14:paraId="3F84EEF5">
      <w:pPr>
        <w:pStyle w:val="165"/>
        <w:spacing w:line="360" w:lineRule="auto"/>
      </w:pPr>
      <w:r>
        <w:rPr>
          <w:rFonts w:hint="eastAsia"/>
        </w:rPr>
        <w:t>未经审核确认的智能调度建议不得直接下达执行。</w:t>
      </w:r>
    </w:p>
    <w:p w14:paraId="6947E4CF">
      <w:pPr>
        <w:pStyle w:val="165"/>
        <w:spacing w:line="360" w:lineRule="auto"/>
      </w:pPr>
      <w:r>
        <w:rPr>
          <w:rFonts w:hint="eastAsia"/>
        </w:rPr>
        <w:t>审核未通过的方案应退回修改，并应保留修改记录。</w:t>
      </w:r>
    </w:p>
    <w:p w14:paraId="5EFCF1C2">
      <w:pPr>
        <w:pStyle w:val="165"/>
        <w:numPr>
          <w:ilvl w:val="0"/>
          <w:numId w:val="0"/>
        </w:numPr>
        <w:spacing w:line="360" w:lineRule="auto"/>
      </w:pPr>
    </w:p>
    <w:p w14:paraId="41485B01">
      <w:pPr>
        <w:pStyle w:val="165"/>
        <w:numPr>
          <w:ilvl w:val="0"/>
          <w:numId w:val="0"/>
        </w:numPr>
        <w:spacing w:line="360" w:lineRule="auto"/>
        <w:rPr>
          <w:rFonts w:hint="eastAsia"/>
        </w:rPr>
      </w:pPr>
    </w:p>
    <w:p w14:paraId="567C7131">
      <w:pPr>
        <w:pStyle w:val="105"/>
        <w:spacing w:before="120" w:after="120" w:line="360" w:lineRule="auto"/>
      </w:pPr>
      <w:r>
        <w:rPr>
          <w:rFonts w:hint="eastAsia"/>
        </w:rPr>
        <w:t>调度指令生成</w:t>
      </w:r>
    </w:p>
    <w:p w14:paraId="0758C5F4">
      <w:pPr>
        <w:pStyle w:val="165"/>
        <w:spacing w:line="360" w:lineRule="auto"/>
      </w:pPr>
      <w:r>
        <w:rPr>
          <w:rFonts w:hint="eastAsia"/>
        </w:rPr>
        <w:t>调度指令应依据审核通过的调度方案生成。</w:t>
      </w:r>
    </w:p>
    <w:p w14:paraId="12D14CFE">
      <w:pPr>
        <w:pStyle w:val="165"/>
        <w:spacing w:line="360" w:lineRule="auto"/>
      </w:pPr>
      <w:r>
        <w:rPr>
          <w:rFonts w:hint="eastAsia"/>
        </w:rPr>
        <w:t>调度指令应内容完整、表达准确，不得存在执行对象不明、操作参数不清、时间要求模糊或反馈要求缺失等情况。</w:t>
      </w:r>
    </w:p>
    <w:p w14:paraId="03A429F2">
      <w:pPr>
        <w:pStyle w:val="165"/>
        <w:spacing w:line="360" w:lineRule="auto"/>
      </w:pPr>
      <w:r>
        <w:rPr>
          <w:rFonts w:hint="eastAsia"/>
        </w:rPr>
        <w:t>调度指令应至少包括：</w:t>
      </w:r>
    </w:p>
    <w:p w14:paraId="65069903">
      <w:pPr>
        <w:pStyle w:val="56"/>
        <w:spacing w:line="360" w:lineRule="auto"/>
        <w:ind w:firstLine="420"/>
      </w:pPr>
      <w:r>
        <w:rPr>
          <w:rFonts w:hint="eastAsia"/>
        </w:rPr>
        <w:t>a) 指令编号；</w:t>
      </w:r>
    </w:p>
    <w:p w14:paraId="4084583A">
      <w:pPr>
        <w:pStyle w:val="56"/>
        <w:spacing w:line="360" w:lineRule="auto"/>
        <w:ind w:firstLine="420"/>
      </w:pPr>
      <w:r>
        <w:rPr>
          <w:rFonts w:hint="eastAsia"/>
        </w:rPr>
        <w:t>b) 下达单位或人员；</w:t>
      </w:r>
    </w:p>
    <w:p w14:paraId="2ABBC6AB">
      <w:pPr>
        <w:pStyle w:val="56"/>
        <w:spacing w:line="360" w:lineRule="auto"/>
        <w:ind w:firstLine="420"/>
      </w:pPr>
      <w:r>
        <w:rPr>
          <w:rFonts w:hint="eastAsia"/>
        </w:rPr>
        <w:t>c) 执行单位或人员；</w:t>
      </w:r>
    </w:p>
    <w:p w14:paraId="16AFBAB0">
      <w:pPr>
        <w:pStyle w:val="56"/>
        <w:spacing w:line="360" w:lineRule="auto"/>
        <w:ind w:firstLine="420"/>
      </w:pPr>
      <w:r>
        <w:rPr>
          <w:rFonts w:hint="eastAsia"/>
        </w:rPr>
        <w:t>d) 工程对象；</w:t>
      </w:r>
    </w:p>
    <w:p w14:paraId="1A70EDE5">
      <w:pPr>
        <w:pStyle w:val="56"/>
        <w:spacing w:line="360" w:lineRule="auto"/>
        <w:ind w:firstLine="420"/>
      </w:pPr>
      <w:r>
        <w:rPr>
          <w:rFonts w:hint="eastAsia"/>
        </w:rPr>
        <w:t>e) 操作内容；</w:t>
      </w:r>
    </w:p>
    <w:p w14:paraId="6D335B3C">
      <w:pPr>
        <w:pStyle w:val="56"/>
        <w:spacing w:line="360" w:lineRule="auto"/>
        <w:ind w:firstLine="420"/>
      </w:pPr>
      <w:r>
        <w:rPr>
          <w:rFonts w:hint="eastAsia"/>
        </w:rPr>
        <w:t>f) 操作参数；</w:t>
      </w:r>
    </w:p>
    <w:p w14:paraId="40FD993B">
      <w:pPr>
        <w:pStyle w:val="56"/>
        <w:spacing w:line="360" w:lineRule="auto"/>
        <w:ind w:firstLine="420"/>
      </w:pPr>
      <w:r>
        <w:rPr>
          <w:rFonts w:hint="eastAsia"/>
        </w:rPr>
        <w:t>g) 执行时间；</w:t>
      </w:r>
    </w:p>
    <w:p w14:paraId="1378CFC9">
      <w:pPr>
        <w:pStyle w:val="56"/>
        <w:spacing w:line="360" w:lineRule="auto"/>
        <w:ind w:firstLine="420"/>
      </w:pPr>
      <w:r>
        <w:rPr>
          <w:rFonts w:hint="eastAsia"/>
        </w:rPr>
        <w:t>h) 安全注意事项；</w:t>
      </w:r>
    </w:p>
    <w:p w14:paraId="40178FDA">
      <w:pPr>
        <w:pStyle w:val="56"/>
        <w:spacing w:line="360" w:lineRule="auto"/>
        <w:ind w:firstLine="420"/>
      </w:pPr>
      <w:r>
        <w:rPr>
          <w:rFonts w:hint="eastAsia"/>
        </w:rPr>
        <w:t>i) 反馈要求；</w:t>
      </w:r>
    </w:p>
    <w:p w14:paraId="256D572D">
      <w:pPr>
        <w:pStyle w:val="56"/>
        <w:spacing w:line="360" w:lineRule="auto"/>
        <w:ind w:firstLine="420"/>
      </w:pPr>
      <w:r>
        <w:rPr>
          <w:rFonts w:hint="eastAsia"/>
        </w:rPr>
        <w:t>j) 指令有效期。</w:t>
      </w:r>
    </w:p>
    <w:p w14:paraId="5A501E3A">
      <w:pPr>
        <w:pStyle w:val="165"/>
        <w:spacing w:line="360" w:lineRule="auto"/>
      </w:pPr>
      <w:r>
        <w:rPr>
          <w:rFonts w:hint="eastAsia"/>
        </w:rPr>
        <w:t>指令生成后应进行复核。重要调度指令宜实行双人复核。</w:t>
      </w:r>
    </w:p>
    <w:p w14:paraId="172A59B2">
      <w:pPr>
        <w:pStyle w:val="165"/>
        <w:spacing w:line="360" w:lineRule="auto"/>
      </w:pPr>
      <w:r>
        <w:rPr>
          <w:rFonts w:hint="eastAsia"/>
        </w:rPr>
        <w:t>指令修改、撤销或补充时，应保留原指令和变更记录。</w:t>
      </w:r>
    </w:p>
    <w:p w14:paraId="2E91955A">
      <w:pPr>
        <w:pStyle w:val="105"/>
        <w:spacing w:before="120" w:after="120" w:line="360" w:lineRule="auto"/>
      </w:pPr>
      <w:r>
        <w:rPr>
          <w:rFonts w:hint="eastAsia"/>
        </w:rPr>
        <w:t>联合调度</w:t>
      </w:r>
    </w:p>
    <w:p w14:paraId="0F673B3E">
      <w:pPr>
        <w:pStyle w:val="165"/>
        <w:spacing w:line="360" w:lineRule="auto"/>
      </w:pPr>
      <w:r>
        <w:rPr>
          <w:rFonts w:hint="eastAsia"/>
        </w:rPr>
        <w:t>涉及多个水库、水闸、泵站、堤防、蓄滞洪区或跨区域防洪体系的，应开展联合调度。</w:t>
      </w:r>
    </w:p>
    <w:p w14:paraId="0A969C73">
      <w:pPr>
        <w:pStyle w:val="165"/>
        <w:spacing w:line="360" w:lineRule="auto"/>
      </w:pPr>
      <w:r>
        <w:rPr>
          <w:rFonts w:hint="eastAsia"/>
        </w:rPr>
        <w:t>联合调度应明确牵头单位、参与单位、调度目标、数据共享、指令传递、执行反馈和协调机制。</w:t>
      </w:r>
    </w:p>
    <w:p w14:paraId="4CD9D2E7">
      <w:pPr>
        <w:pStyle w:val="165"/>
        <w:spacing w:line="360" w:lineRule="auto"/>
      </w:pPr>
      <w:r>
        <w:rPr>
          <w:rFonts w:hint="eastAsia"/>
        </w:rPr>
        <w:t>联合调度方案应分析工程之间的水力联系、时间滞后、下游承泄条件和风险传递关系。</w:t>
      </w:r>
    </w:p>
    <w:p w14:paraId="5F359DB6">
      <w:pPr>
        <w:pStyle w:val="165"/>
        <w:spacing w:line="360" w:lineRule="auto"/>
      </w:pPr>
      <w:r>
        <w:rPr>
          <w:rFonts w:hint="eastAsia"/>
        </w:rPr>
        <w:t>联合调度过程中，各工程执行状态应实时反馈，发现偏差应及时调整。</w:t>
      </w:r>
    </w:p>
    <w:p w14:paraId="69906BF2">
      <w:pPr>
        <w:pStyle w:val="165"/>
        <w:spacing w:line="360" w:lineRule="auto"/>
      </w:pPr>
      <w:r>
        <w:rPr>
          <w:rFonts w:hint="eastAsia"/>
        </w:rPr>
        <w:t>联合调度不得造成单一工程超安全限制运行或下游风险失控。</w:t>
      </w:r>
    </w:p>
    <w:p w14:paraId="619BB4BE">
      <w:pPr>
        <w:pStyle w:val="104"/>
        <w:spacing w:before="240" w:after="240" w:line="360" w:lineRule="auto"/>
      </w:pPr>
      <w:bookmarkStart w:id="56" w:name="_Toc228606023"/>
      <w:r>
        <w:rPr>
          <w:rFonts w:hint="eastAsia"/>
        </w:rPr>
        <w:t>预警发布与指令执行</w:t>
      </w:r>
      <w:bookmarkEnd w:id="56"/>
    </w:p>
    <w:p w14:paraId="1F7569F9">
      <w:pPr>
        <w:pStyle w:val="105"/>
        <w:spacing w:before="120" w:after="120" w:line="360" w:lineRule="auto"/>
      </w:pPr>
      <w:r>
        <w:rPr>
          <w:rFonts w:hint="eastAsia"/>
        </w:rPr>
        <w:t>一般要求</w:t>
      </w:r>
    </w:p>
    <w:p w14:paraId="24BE0541">
      <w:pPr>
        <w:pStyle w:val="165"/>
        <w:spacing w:line="360" w:lineRule="auto"/>
      </w:pPr>
      <w:r>
        <w:rPr>
          <w:rFonts w:hint="eastAsia"/>
        </w:rPr>
        <w:t>预警发布与指令执行应实行分级管理、授权管理、闭环管理和记录管理。</w:t>
      </w:r>
    </w:p>
    <w:p w14:paraId="2530BA68">
      <w:pPr>
        <w:pStyle w:val="165"/>
        <w:spacing w:line="360" w:lineRule="auto"/>
      </w:pPr>
      <w:r>
        <w:rPr>
          <w:rFonts w:hint="eastAsia"/>
        </w:rPr>
        <w:t>预警信息应明确预警类型、预警等级、影响范围、发布时间、发布对象、防范要求和解除条件。</w:t>
      </w:r>
    </w:p>
    <w:p w14:paraId="1F6A43BB">
      <w:pPr>
        <w:pStyle w:val="165"/>
        <w:spacing w:line="360" w:lineRule="auto"/>
      </w:pPr>
      <w:r>
        <w:rPr>
          <w:rFonts w:hint="eastAsia"/>
        </w:rPr>
        <w:t>调度指令应明确、可执行、可反馈、可追溯。</w:t>
      </w:r>
    </w:p>
    <w:p w14:paraId="1F9F59AE">
      <w:pPr>
        <w:pStyle w:val="165"/>
        <w:spacing w:line="360" w:lineRule="auto"/>
      </w:pPr>
      <w:r>
        <w:rPr>
          <w:rFonts w:hint="eastAsia"/>
        </w:rPr>
        <w:t>预警发布和指令执行应与应急响应、工程巡查、人员转移、物资调配和现场处置衔接。</w:t>
      </w:r>
    </w:p>
    <w:p w14:paraId="1C9D9C24">
      <w:pPr>
        <w:pStyle w:val="165"/>
        <w:spacing w:line="360" w:lineRule="auto"/>
      </w:pPr>
      <w:r>
        <w:rPr>
          <w:rFonts w:hint="eastAsia"/>
        </w:rPr>
        <w:t>任何单位和个人不得擅自发布、变更、撤销防汛预警和调度指令。</w:t>
      </w:r>
    </w:p>
    <w:p w14:paraId="5C2F9F37">
      <w:pPr>
        <w:pStyle w:val="105"/>
        <w:spacing w:before="120" w:after="120" w:line="360" w:lineRule="auto"/>
      </w:pPr>
      <w:r>
        <w:rPr>
          <w:rFonts w:hint="eastAsia"/>
        </w:rPr>
        <w:t>预警信息生成</w:t>
      </w:r>
    </w:p>
    <w:p w14:paraId="42508A8F">
      <w:pPr>
        <w:pStyle w:val="165"/>
        <w:spacing w:line="360" w:lineRule="auto"/>
      </w:pPr>
      <w:r>
        <w:rPr>
          <w:rFonts w:hint="eastAsia"/>
        </w:rPr>
        <w:t>预警信息可由监测阈值触发、模型计算触发、人工研判触发或上级指令触发。</w:t>
      </w:r>
    </w:p>
    <w:p w14:paraId="0A023F29">
      <w:pPr>
        <w:pStyle w:val="165"/>
        <w:spacing w:line="360" w:lineRule="auto"/>
      </w:pPr>
      <w:r>
        <w:rPr>
          <w:rFonts w:hint="eastAsia"/>
        </w:rPr>
        <w:t>系统自动生成预警时，应标明触发规则、触发数据、触发时间、预警等级和建议处置措施。</w:t>
      </w:r>
    </w:p>
    <w:p w14:paraId="458B97AE">
      <w:pPr>
        <w:pStyle w:val="165"/>
        <w:spacing w:line="360" w:lineRule="auto"/>
      </w:pPr>
      <w:r>
        <w:rPr>
          <w:rFonts w:hint="eastAsia"/>
        </w:rPr>
        <w:t>自动预警应进行核实确认。重大预警发布前应按规定履行审核程序。</w:t>
      </w:r>
    </w:p>
    <w:p w14:paraId="1083F743">
      <w:pPr>
        <w:pStyle w:val="165"/>
        <w:spacing w:line="360" w:lineRule="auto"/>
      </w:pPr>
      <w:r>
        <w:rPr>
          <w:rFonts w:hint="eastAsia"/>
        </w:rPr>
        <w:t>预警信息内容应准确、简明，不得使用模糊表述造成执行歧义。</w:t>
      </w:r>
    </w:p>
    <w:p w14:paraId="0085FAD3">
      <w:pPr>
        <w:pStyle w:val="165"/>
        <w:spacing w:line="360" w:lineRule="auto"/>
      </w:pPr>
      <w:r>
        <w:rPr>
          <w:rFonts w:hint="eastAsia"/>
        </w:rPr>
        <w:t>预警误报、漏报、重复报警应进行记录和原因分析。</w:t>
      </w:r>
    </w:p>
    <w:p w14:paraId="6914C0E6">
      <w:pPr>
        <w:pStyle w:val="105"/>
        <w:spacing w:before="120" w:after="120" w:line="360" w:lineRule="auto"/>
      </w:pPr>
      <w:r>
        <w:rPr>
          <w:rFonts w:hint="eastAsia"/>
        </w:rPr>
        <w:t>预警发布</w:t>
      </w:r>
    </w:p>
    <w:p w14:paraId="168F181F">
      <w:pPr>
        <w:pStyle w:val="165"/>
        <w:spacing w:line="360" w:lineRule="auto"/>
      </w:pPr>
      <w:r>
        <w:rPr>
          <w:rFonts w:hint="eastAsia"/>
        </w:rPr>
        <w:t>预警发布应按照规定权限、渠道和对象实施。</w:t>
      </w:r>
    </w:p>
    <w:p w14:paraId="470AEF29">
      <w:pPr>
        <w:pStyle w:val="165"/>
        <w:spacing w:line="360" w:lineRule="auto"/>
      </w:pPr>
      <w:r>
        <w:rPr>
          <w:rFonts w:hint="eastAsia"/>
        </w:rPr>
        <w:t>预警发布渠道可包括调度平台、短信、电话、传真、广播、政务平台、应急联动平台、移动终端和现场通知等。</w:t>
      </w:r>
    </w:p>
    <w:p w14:paraId="6C05BF66">
      <w:pPr>
        <w:pStyle w:val="165"/>
        <w:spacing w:line="360" w:lineRule="auto"/>
      </w:pPr>
      <w:r>
        <w:rPr>
          <w:rFonts w:hint="eastAsia"/>
        </w:rPr>
        <w:t>对重要预警信息，应采取两种及以上方式推送，并应进行接收确认。</w:t>
      </w:r>
    </w:p>
    <w:p w14:paraId="367FB450">
      <w:pPr>
        <w:pStyle w:val="165"/>
        <w:spacing w:line="360" w:lineRule="auto"/>
      </w:pPr>
      <w:r>
        <w:rPr>
          <w:rFonts w:hint="eastAsia"/>
        </w:rPr>
        <w:t>预警发布后，应跟踪接收情况和响应情况。</w:t>
      </w:r>
    </w:p>
    <w:p w14:paraId="7D364EB9">
      <w:pPr>
        <w:pStyle w:val="165"/>
        <w:spacing w:line="360" w:lineRule="auto"/>
      </w:pPr>
      <w:r>
        <w:rPr>
          <w:rFonts w:hint="eastAsia"/>
        </w:rPr>
        <w:t>预警解除应根据风险变化和规定程序执行，并应记录解除时间、解除依据和发布对象。</w:t>
      </w:r>
    </w:p>
    <w:p w14:paraId="1A978359">
      <w:pPr>
        <w:pStyle w:val="105"/>
        <w:spacing w:before="120" w:after="120" w:line="360" w:lineRule="auto"/>
      </w:pPr>
      <w:r>
        <w:rPr>
          <w:rFonts w:hint="eastAsia"/>
        </w:rPr>
        <w:t>指令下达</w:t>
      </w:r>
    </w:p>
    <w:p w14:paraId="4E7DEA83">
      <w:pPr>
        <w:pStyle w:val="165"/>
        <w:spacing w:line="360" w:lineRule="auto"/>
      </w:pPr>
      <w:r>
        <w:rPr>
          <w:rFonts w:hint="eastAsia"/>
        </w:rPr>
        <w:t>调度指令应由授权责任主体通过规定渠道下达。</w:t>
      </w:r>
    </w:p>
    <w:p w14:paraId="759C8D30">
      <w:pPr>
        <w:pStyle w:val="165"/>
        <w:spacing w:line="360" w:lineRule="auto"/>
      </w:pPr>
      <w:r>
        <w:rPr>
          <w:rFonts w:hint="eastAsia"/>
        </w:rPr>
        <w:t>指令下达前应确认执行对象、执行条件、通信渠道和反馈方式。</w:t>
      </w:r>
    </w:p>
    <w:p w14:paraId="109C7DB4">
      <w:pPr>
        <w:pStyle w:val="165"/>
        <w:spacing w:line="360" w:lineRule="auto"/>
      </w:pPr>
      <w:r>
        <w:rPr>
          <w:rFonts w:hint="eastAsia"/>
        </w:rPr>
        <w:t>指令下达后，应记录下达时间、接收人员、确认时间和指令内容。</w:t>
      </w:r>
    </w:p>
    <w:p w14:paraId="33F8C3CB">
      <w:pPr>
        <w:pStyle w:val="165"/>
        <w:spacing w:line="360" w:lineRule="auto"/>
      </w:pPr>
      <w:r>
        <w:rPr>
          <w:rFonts w:hint="eastAsia"/>
        </w:rPr>
        <w:t>重要调度指令应要求执行单位进行复述确认或电子确认。</w:t>
      </w:r>
    </w:p>
    <w:p w14:paraId="580B678D">
      <w:pPr>
        <w:pStyle w:val="165"/>
        <w:spacing w:line="360" w:lineRule="auto"/>
      </w:pPr>
      <w:r>
        <w:rPr>
          <w:rFonts w:hint="eastAsia"/>
        </w:rPr>
        <w:t>指令传递中断或未确认接收时，应立即采用备用通信方式。</w:t>
      </w:r>
    </w:p>
    <w:p w14:paraId="6B17B266">
      <w:pPr>
        <w:pStyle w:val="105"/>
        <w:spacing w:before="120" w:after="120" w:line="360" w:lineRule="auto"/>
      </w:pPr>
      <w:r>
        <w:rPr>
          <w:rFonts w:hint="eastAsia"/>
        </w:rPr>
        <w:t>指令执行</w:t>
      </w:r>
    </w:p>
    <w:p w14:paraId="06AB7A02">
      <w:pPr>
        <w:pStyle w:val="165"/>
        <w:spacing w:line="360" w:lineRule="auto"/>
      </w:pPr>
      <w:r>
        <w:rPr>
          <w:rFonts w:hint="eastAsia"/>
        </w:rPr>
        <w:t>执行单位接到调度指令后，应按要求组织执行。</w:t>
      </w:r>
    </w:p>
    <w:p w14:paraId="3AA76DDD">
      <w:pPr>
        <w:pStyle w:val="165"/>
        <w:spacing w:line="360" w:lineRule="auto"/>
      </w:pPr>
      <w:r>
        <w:rPr>
          <w:rFonts w:hint="eastAsia"/>
        </w:rPr>
        <w:t>执行前应核查设备状态、现场安全、操作条件和人员到位情况。</w:t>
      </w:r>
    </w:p>
    <w:p w14:paraId="467A2D37">
      <w:pPr>
        <w:pStyle w:val="165"/>
        <w:spacing w:line="360" w:lineRule="auto"/>
      </w:pPr>
      <w:r>
        <w:rPr>
          <w:rFonts w:hint="eastAsia"/>
        </w:rPr>
        <w:t>执行过程中应按操作规程实施，不得擅自改变操作参数和执行步骤。</w:t>
      </w:r>
    </w:p>
    <w:p w14:paraId="2F5A7A7B">
      <w:pPr>
        <w:pStyle w:val="165"/>
        <w:spacing w:line="360" w:lineRule="auto"/>
      </w:pPr>
      <w:r>
        <w:rPr>
          <w:rFonts w:hint="eastAsia"/>
        </w:rPr>
        <w:t>执行过程中出现设备故障、现场风险、参数异常或指令无法执行时，应立即停止相关危险操作并报告。</w:t>
      </w:r>
    </w:p>
    <w:p w14:paraId="16F13EE5">
      <w:pPr>
        <w:pStyle w:val="165"/>
        <w:spacing w:line="360" w:lineRule="auto"/>
      </w:pPr>
      <w:r>
        <w:rPr>
          <w:rFonts w:hint="eastAsia"/>
        </w:rPr>
        <w:t>指令执行完成后，应及时反馈实际执行时间、实际运行参数、现场状态、异常情况和执行人员。</w:t>
      </w:r>
    </w:p>
    <w:p w14:paraId="560293CB">
      <w:pPr>
        <w:pStyle w:val="105"/>
        <w:spacing w:before="120" w:after="120" w:line="360" w:lineRule="auto"/>
      </w:pPr>
      <w:r>
        <w:rPr>
          <w:rFonts w:hint="eastAsia"/>
        </w:rPr>
        <w:t>指令闭环</w:t>
      </w:r>
    </w:p>
    <w:p w14:paraId="019488F2">
      <w:pPr>
        <w:pStyle w:val="165"/>
        <w:spacing w:line="360" w:lineRule="auto"/>
      </w:pPr>
      <w:r>
        <w:rPr>
          <w:rFonts w:hint="eastAsia"/>
        </w:rPr>
        <w:t>调度指令应形成生成、审核、下达、接收、执行、反馈、复核和归档的闭环。</w:t>
      </w:r>
    </w:p>
    <w:p w14:paraId="1C79E951">
      <w:pPr>
        <w:pStyle w:val="165"/>
        <w:spacing w:line="360" w:lineRule="auto"/>
      </w:pPr>
      <w:r>
        <w:rPr>
          <w:rFonts w:hint="eastAsia"/>
        </w:rPr>
        <w:t>调度岗位应跟踪指令执行状态，未按时反馈的，应进行催办或核查。</w:t>
      </w:r>
    </w:p>
    <w:p w14:paraId="597C1EA5">
      <w:pPr>
        <w:pStyle w:val="165"/>
        <w:spacing w:line="360" w:lineRule="auto"/>
      </w:pPr>
      <w:r>
        <w:rPr>
          <w:rFonts w:hint="eastAsia"/>
        </w:rPr>
        <w:t>执行反馈与监测数据不一致时，应进行复核。</w:t>
      </w:r>
    </w:p>
    <w:p w14:paraId="54DA8132">
      <w:pPr>
        <w:pStyle w:val="165"/>
        <w:spacing w:line="360" w:lineRule="auto"/>
      </w:pPr>
      <w:r>
        <w:rPr>
          <w:rFonts w:hint="eastAsia"/>
        </w:rPr>
        <w:t>指令执行偏差应记录原因，并应提出纠正措施。</w:t>
      </w:r>
    </w:p>
    <w:p w14:paraId="2610DBC1">
      <w:pPr>
        <w:pStyle w:val="165"/>
        <w:spacing w:line="360" w:lineRule="auto"/>
      </w:pPr>
      <w:r>
        <w:rPr>
          <w:rFonts w:hint="eastAsia"/>
        </w:rPr>
        <w:t>未完成闭环的指令不得直接归档为已完成状态。</w:t>
      </w:r>
    </w:p>
    <w:p w14:paraId="2F4E1069">
      <w:pPr>
        <w:pStyle w:val="104"/>
        <w:spacing w:before="240" w:after="240" w:line="360" w:lineRule="auto"/>
      </w:pPr>
      <w:bookmarkStart w:id="57" w:name="_Toc228606024"/>
      <w:r>
        <w:rPr>
          <w:rFonts w:hint="eastAsia"/>
        </w:rPr>
        <w:t>应急响应与现场处置</w:t>
      </w:r>
      <w:bookmarkEnd w:id="57"/>
    </w:p>
    <w:p w14:paraId="622E785C">
      <w:pPr>
        <w:pStyle w:val="105"/>
        <w:spacing w:before="120" w:after="120" w:line="360" w:lineRule="auto"/>
      </w:pPr>
      <w:r>
        <w:rPr>
          <w:rFonts w:hint="eastAsia"/>
        </w:rPr>
        <w:t>一般要求</w:t>
      </w:r>
    </w:p>
    <w:p w14:paraId="584625C4">
      <w:pPr>
        <w:pStyle w:val="165"/>
        <w:spacing w:line="360" w:lineRule="auto"/>
      </w:pPr>
      <w:r>
        <w:rPr>
          <w:rFonts w:hint="eastAsia"/>
        </w:rPr>
        <w:t>水利工程应急响应与现场处置应依据防汛预案、现场处置方案、调度指令、风险研判结果和现场实际情况实施。</w:t>
      </w:r>
    </w:p>
    <w:p w14:paraId="7189F64E">
      <w:pPr>
        <w:pStyle w:val="165"/>
        <w:spacing w:line="360" w:lineRule="auto"/>
      </w:pPr>
      <w:r>
        <w:rPr>
          <w:rFonts w:hint="eastAsia"/>
        </w:rPr>
        <w:t>应急处置应坚持先人员安全、后工程处置，先风险控制、后恢复运行的原则。</w:t>
      </w:r>
    </w:p>
    <w:p w14:paraId="22894B2A">
      <w:pPr>
        <w:pStyle w:val="165"/>
        <w:spacing w:line="360" w:lineRule="auto"/>
      </w:pPr>
      <w:r>
        <w:rPr>
          <w:rFonts w:hint="eastAsia"/>
        </w:rPr>
        <w:t>应急响应启动后，应明确现场指挥、技术支撑、信息报送、抢险队伍、物资保障、交通保障和安全警戒职责。</w:t>
      </w:r>
    </w:p>
    <w:p w14:paraId="3463AAA6">
      <w:pPr>
        <w:pStyle w:val="165"/>
        <w:spacing w:line="360" w:lineRule="auto"/>
      </w:pPr>
      <w:r>
        <w:rPr>
          <w:rFonts w:hint="eastAsia"/>
        </w:rPr>
        <w:t>应急处置过程应实时记录，重要处置节点应留存照片、视频、调度指令、会商记录和现场反馈资料。</w:t>
      </w:r>
    </w:p>
    <w:p w14:paraId="1B0EECAE">
      <w:pPr>
        <w:pStyle w:val="165"/>
        <w:spacing w:line="360" w:lineRule="auto"/>
      </w:pPr>
      <w:r>
        <w:rPr>
          <w:rFonts w:hint="eastAsia"/>
        </w:rPr>
        <w:t>应急处置完成后，应开展现场复核和后续风险评估。</w:t>
      </w:r>
    </w:p>
    <w:p w14:paraId="13A24870">
      <w:pPr>
        <w:pStyle w:val="105"/>
        <w:spacing w:before="120" w:after="120" w:line="360" w:lineRule="auto"/>
      </w:pPr>
      <w:r>
        <w:rPr>
          <w:rFonts w:hint="eastAsia"/>
        </w:rPr>
        <w:t>响应启动</w:t>
      </w:r>
    </w:p>
    <w:p w14:paraId="45708031">
      <w:pPr>
        <w:pStyle w:val="165"/>
        <w:spacing w:line="360" w:lineRule="auto"/>
      </w:pPr>
      <w:r>
        <w:rPr>
          <w:rFonts w:hint="eastAsia"/>
        </w:rPr>
        <w:t>出现达到预案启动条件的水雨情、工情、险情或灾情时，应按规定启动相应级别应急响应。</w:t>
      </w:r>
    </w:p>
    <w:p w14:paraId="02A74880">
      <w:pPr>
        <w:pStyle w:val="165"/>
        <w:spacing w:line="360" w:lineRule="auto"/>
      </w:pPr>
      <w:r>
        <w:rPr>
          <w:rFonts w:hint="eastAsia"/>
        </w:rPr>
        <w:t>应急响应启动应明确响应等级、启动时间、启动依据、责任单位、处置重点和信息报送要求。</w:t>
      </w:r>
    </w:p>
    <w:p w14:paraId="7B98F0ED">
      <w:pPr>
        <w:pStyle w:val="165"/>
        <w:spacing w:line="360" w:lineRule="auto"/>
      </w:pPr>
      <w:r>
        <w:rPr>
          <w:rFonts w:hint="eastAsia"/>
        </w:rPr>
        <w:t>响应启动后，应加强监测频次、巡查频次、会商频次和信息报告频次。</w:t>
      </w:r>
    </w:p>
    <w:p w14:paraId="33B45E5F">
      <w:pPr>
        <w:pStyle w:val="165"/>
        <w:spacing w:line="360" w:lineRule="auto"/>
      </w:pPr>
      <w:r>
        <w:rPr>
          <w:rFonts w:hint="eastAsia"/>
        </w:rPr>
        <w:t>响应等级调整或解除时，应说明依据，并应通知相关责任单位和人员。</w:t>
      </w:r>
    </w:p>
    <w:p w14:paraId="5E332F1D">
      <w:pPr>
        <w:pStyle w:val="105"/>
        <w:spacing w:before="120" w:after="120" w:line="360" w:lineRule="auto"/>
      </w:pPr>
      <w:r>
        <w:rPr>
          <w:rFonts w:hint="eastAsia"/>
        </w:rPr>
        <w:t>现场巡查</w:t>
      </w:r>
    </w:p>
    <w:p w14:paraId="525AFAFF">
      <w:pPr>
        <w:pStyle w:val="165"/>
        <w:spacing w:line="360" w:lineRule="auto"/>
      </w:pPr>
      <w:r>
        <w:rPr>
          <w:rFonts w:hint="eastAsia"/>
        </w:rPr>
        <w:t>汛期应根据工程风险、降雨强度、水位变化和应急响应等级开展现场巡查。</w:t>
      </w:r>
    </w:p>
    <w:p w14:paraId="6EC6890E">
      <w:pPr>
        <w:pStyle w:val="165"/>
        <w:spacing w:line="360" w:lineRule="auto"/>
      </w:pPr>
      <w:r>
        <w:rPr>
          <w:rFonts w:hint="eastAsia"/>
        </w:rPr>
        <w:t>巡查内容应包括堤身堤脚、坝体坝基、闸站结构、泵站设备、穿堤建筑物、排水通道、险工险段、护坡护岸和周边影响区域。</w:t>
      </w:r>
    </w:p>
    <w:p w14:paraId="6D6DFB60">
      <w:pPr>
        <w:pStyle w:val="165"/>
        <w:spacing w:line="360" w:lineRule="auto"/>
      </w:pPr>
      <w:r>
        <w:rPr>
          <w:rFonts w:hint="eastAsia"/>
        </w:rPr>
        <w:t>巡查人员应记录巡查时间、巡查路线、巡查部位、发现问题、现场照片、处置建议和上报情况。</w:t>
      </w:r>
    </w:p>
    <w:p w14:paraId="638F66C7">
      <w:pPr>
        <w:pStyle w:val="165"/>
        <w:spacing w:line="360" w:lineRule="auto"/>
      </w:pPr>
      <w:r>
        <w:rPr>
          <w:rFonts w:hint="eastAsia"/>
        </w:rPr>
        <w:t>夜间、强降雨、高水位和险情发展期巡查应采取安全防护措施。</w:t>
      </w:r>
    </w:p>
    <w:p w14:paraId="75528140">
      <w:pPr>
        <w:pStyle w:val="165"/>
        <w:spacing w:line="360" w:lineRule="auto"/>
      </w:pPr>
      <w:r>
        <w:rPr>
          <w:rFonts w:hint="eastAsia"/>
        </w:rPr>
        <w:t>巡查发现险情时，应立即上报，不得延迟至巡查结束后集中报告。</w:t>
      </w:r>
    </w:p>
    <w:p w14:paraId="1154483D">
      <w:pPr>
        <w:pStyle w:val="105"/>
        <w:spacing w:before="120" w:after="120" w:line="360" w:lineRule="auto"/>
      </w:pPr>
      <w:r>
        <w:rPr>
          <w:rFonts w:hint="eastAsia"/>
        </w:rPr>
        <w:t>险情处置</w:t>
      </w:r>
    </w:p>
    <w:p w14:paraId="3FF637FC">
      <w:pPr>
        <w:pStyle w:val="165"/>
        <w:spacing w:line="360" w:lineRule="auto"/>
      </w:pPr>
      <w:r>
        <w:rPr>
          <w:rFonts w:hint="eastAsia"/>
        </w:rPr>
        <w:t>险情处置应根据险情类型、规模、发展趋势、现场条件和抢险资源制定处置措施。</w:t>
      </w:r>
    </w:p>
    <w:p w14:paraId="08C7137C">
      <w:pPr>
        <w:pStyle w:val="165"/>
        <w:spacing w:line="360" w:lineRule="auto"/>
      </w:pPr>
      <w:r>
        <w:rPr>
          <w:rFonts w:hint="eastAsia"/>
        </w:rPr>
        <w:t>渗漏和管涌险情应重点控制水流通道、降低渗透破坏风险，并应加强监测和警戒。</w:t>
      </w:r>
    </w:p>
    <w:p w14:paraId="23E20099">
      <w:pPr>
        <w:pStyle w:val="165"/>
        <w:spacing w:line="360" w:lineRule="auto"/>
      </w:pPr>
      <w:r>
        <w:rPr>
          <w:rFonts w:hint="eastAsia"/>
        </w:rPr>
        <w:t>滑坡、裂缝和塌陷险情应重点控制加载、渗水、冲刷和人员进入危险区域。</w:t>
      </w:r>
    </w:p>
    <w:p w14:paraId="475E4DDD">
      <w:pPr>
        <w:pStyle w:val="165"/>
        <w:spacing w:line="360" w:lineRule="auto"/>
      </w:pPr>
      <w:r>
        <w:rPr>
          <w:rFonts w:hint="eastAsia"/>
        </w:rPr>
        <w:t>漫溢风险应重点采取调度控泄、加高防护、应急排水、人员转移和下游预警措施。</w:t>
      </w:r>
    </w:p>
    <w:p w14:paraId="672AB94C">
      <w:pPr>
        <w:pStyle w:val="165"/>
        <w:spacing w:line="360" w:lineRule="auto"/>
      </w:pPr>
      <w:r>
        <w:rPr>
          <w:rFonts w:hint="eastAsia"/>
        </w:rPr>
        <w:t>闸门、泵机、启闭设备、供电或通信故障应立即组织设备抢修，并应启动备用设备、备用电源或备用通信方式。</w:t>
      </w:r>
    </w:p>
    <w:p w14:paraId="20AF99B5">
      <w:pPr>
        <w:pStyle w:val="165"/>
        <w:spacing w:line="360" w:lineRule="auto"/>
      </w:pPr>
      <w:r>
        <w:rPr>
          <w:rFonts w:hint="eastAsia"/>
        </w:rPr>
        <w:t>险情处置措施应形成记录，并应跟踪处置效果。险情未稳定前，不得降低监测和巡查要求。</w:t>
      </w:r>
    </w:p>
    <w:p w14:paraId="58515E7B">
      <w:pPr>
        <w:pStyle w:val="105"/>
        <w:spacing w:before="120" w:after="120" w:line="360" w:lineRule="auto"/>
      </w:pPr>
      <w:r>
        <w:rPr>
          <w:rFonts w:hint="eastAsia"/>
        </w:rPr>
        <w:t>人员转移与现场管控</w:t>
      </w:r>
    </w:p>
    <w:p w14:paraId="297379F4">
      <w:pPr>
        <w:pStyle w:val="165"/>
        <w:spacing w:line="360" w:lineRule="auto"/>
      </w:pPr>
      <w:r>
        <w:rPr>
          <w:rFonts w:hint="eastAsia"/>
        </w:rPr>
        <w:t>涉及人员安全风险的，应按预案和属地要求组织人员转移、疏散或避险。</w:t>
      </w:r>
    </w:p>
    <w:p w14:paraId="616F6A27">
      <w:pPr>
        <w:pStyle w:val="165"/>
        <w:spacing w:line="360" w:lineRule="auto"/>
      </w:pPr>
      <w:r>
        <w:rPr>
          <w:rFonts w:hint="eastAsia"/>
        </w:rPr>
        <w:t>人员转移应明确转移范围、转移路线、安置地点、责任人员、交通组织和特殊人群保障措施。</w:t>
      </w:r>
    </w:p>
    <w:p w14:paraId="103C342D">
      <w:pPr>
        <w:pStyle w:val="165"/>
        <w:spacing w:line="360" w:lineRule="auto"/>
      </w:pPr>
      <w:r>
        <w:rPr>
          <w:rFonts w:hint="eastAsia"/>
        </w:rPr>
        <w:t>现场应根据风险设置警戒区、危险提示、交通管制和人员管控措施。</w:t>
      </w:r>
    </w:p>
    <w:p w14:paraId="52A845F1">
      <w:pPr>
        <w:pStyle w:val="165"/>
        <w:spacing w:line="360" w:lineRule="auto"/>
      </w:pPr>
      <w:r>
        <w:rPr>
          <w:rFonts w:hint="eastAsia"/>
        </w:rPr>
        <w:t>未经现场指挥许可，无关人员不得进入抢险作业区、危险水域、险情区域和设备抢修区域。</w:t>
      </w:r>
    </w:p>
    <w:p w14:paraId="5FB8124E">
      <w:pPr>
        <w:pStyle w:val="165"/>
        <w:spacing w:line="360" w:lineRule="auto"/>
      </w:pPr>
      <w:r>
        <w:rPr>
          <w:rFonts w:hint="eastAsia"/>
        </w:rPr>
        <w:t>人员转移、警戒和现场管控应形成记录。</w:t>
      </w:r>
    </w:p>
    <w:p w14:paraId="143DFD85">
      <w:pPr>
        <w:pStyle w:val="105"/>
        <w:spacing w:before="120" w:after="120" w:line="360" w:lineRule="auto"/>
      </w:pPr>
      <w:r>
        <w:rPr>
          <w:rFonts w:hint="eastAsia"/>
        </w:rPr>
        <w:t>应急排涝与抢险</w:t>
      </w:r>
    </w:p>
    <w:p w14:paraId="3B154BC3">
      <w:pPr>
        <w:pStyle w:val="165"/>
        <w:spacing w:line="360" w:lineRule="auto"/>
      </w:pPr>
      <w:r>
        <w:rPr>
          <w:rFonts w:hint="eastAsia"/>
        </w:rPr>
        <w:t>应急排涝应根据积水范围、排水通道、泵站能力、临时排水设备和下游承泄条件组织实施。</w:t>
      </w:r>
    </w:p>
    <w:p w14:paraId="473E2863">
      <w:pPr>
        <w:pStyle w:val="165"/>
        <w:spacing w:line="360" w:lineRule="auto"/>
      </w:pPr>
      <w:r>
        <w:rPr>
          <w:rFonts w:hint="eastAsia"/>
        </w:rPr>
        <w:t>临时排水设备应检查运行状态、供电保障、管路连接、出水通道和现场安全。</w:t>
      </w:r>
    </w:p>
    <w:p w14:paraId="39B240B8">
      <w:pPr>
        <w:pStyle w:val="165"/>
        <w:spacing w:line="360" w:lineRule="auto"/>
      </w:pPr>
      <w:r>
        <w:rPr>
          <w:rFonts w:hint="eastAsia"/>
        </w:rPr>
        <w:t>抢险作业应明确作业方案、作业人员、设备物资、安全措施、现场指挥和撤离条件。</w:t>
      </w:r>
    </w:p>
    <w:p w14:paraId="1CCDE15F">
      <w:pPr>
        <w:pStyle w:val="165"/>
        <w:spacing w:line="360" w:lineRule="auto"/>
      </w:pPr>
      <w:r>
        <w:rPr>
          <w:rFonts w:hint="eastAsia"/>
        </w:rPr>
        <w:t>抢险作业不得无方案、无防护、无指挥实施。</w:t>
      </w:r>
    </w:p>
    <w:p w14:paraId="732C0A0E">
      <w:pPr>
        <w:pStyle w:val="165"/>
        <w:spacing w:line="360" w:lineRule="auto"/>
      </w:pPr>
      <w:r>
        <w:rPr>
          <w:rFonts w:hint="eastAsia"/>
        </w:rPr>
        <w:t>抢险完成后，应检查工程状态和现场安全，并应提出后续加固或维修要求。</w:t>
      </w:r>
    </w:p>
    <w:p w14:paraId="5D8863B2">
      <w:pPr>
        <w:pStyle w:val="104"/>
        <w:spacing w:before="240" w:after="240" w:line="360" w:lineRule="auto"/>
      </w:pPr>
      <w:bookmarkStart w:id="58" w:name="_Toc228606025"/>
      <w:r>
        <w:rPr>
          <w:rFonts w:hint="eastAsia"/>
        </w:rPr>
        <w:t>应急资源与协同联动</w:t>
      </w:r>
      <w:bookmarkEnd w:id="58"/>
    </w:p>
    <w:p w14:paraId="15428BFE">
      <w:pPr>
        <w:pStyle w:val="105"/>
        <w:spacing w:before="120" w:after="120" w:line="360" w:lineRule="auto"/>
      </w:pPr>
      <w:r>
        <w:rPr>
          <w:rFonts w:hint="eastAsia"/>
        </w:rPr>
        <w:t>一般要求</w:t>
      </w:r>
    </w:p>
    <w:p w14:paraId="0F50300F">
      <w:pPr>
        <w:pStyle w:val="165"/>
        <w:spacing w:line="360" w:lineRule="auto"/>
      </w:pPr>
      <w:r>
        <w:rPr>
          <w:rFonts w:hint="eastAsia"/>
        </w:rPr>
        <w:t>水利工程管理单位应建立应急资源管理机制，明确队伍、物资、设备、通信、交通、专家和社会协作资源。</w:t>
      </w:r>
    </w:p>
    <w:p w14:paraId="32825DAA">
      <w:pPr>
        <w:pStyle w:val="165"/>
        <w:spacing w:line="360" w:lineRule="auto"/>
      </w:pPr>
      <w:r>
        <w:rPr>
          <w:rFonts w:hint="eastAsia"/>
        </w:rPr>
        <w:t>应急资源应与工程风险、保护对象、处置场景和响应等级相匹配。</w:t>
      </w:r>
    </w:p>
    <w:p w14:paraId="721B2E9D">
      <w:pPr>
        <w:pStyle w:val="165"/>
        <w:spacing w:line="360" w:lineRule="auto"/>
      </w:pPr>
      <w:r>
        <w:rPr>
          <w:rFonts w:hint="eastAsia"/>
        </w:rPr>
        <w:t>应急资源应建立台账，记录名称、数量、规格、位置、责任人、联系方式、可用状态和调拨方式。</w:t>
      </w:r>
    </w:p>
    <w:p w14:paraId="5C702D64">
      <w:pPr>
        <w:pStyle w:val="165"/>
        <w:spacing w:line="360" w:lineRule="auto"/>
      </w:pPr>
      <w:r>
        <w:rPr>
          <w:rFonts w:hint="eastAsia"/>
        </w:rPr>
        <w:t>应急资源应定期检查、维护、更新和演练，不得将失效、损坏、缺失或无法调拨的资源列为可用资源。</w:t>
      </w:r>
    </w:p>
    <w:p w14:paraId="0F6868FA">
      <w:pPr>
        <w:pStyle w:val="105"/>
        <w:spacing w:before="120" w:after="120" w:line="360" w:lineRule="auto"/>
      </w:pPr>
      <w:r>
        <w:rPr>
          <w:rFonts w:hint="eastAsia"/>
        </w:rPr>
        <w:t>抢险队伍管理</w:t>
      </w:r>
    </w:p>
    <w:p w14:paraId="33DF0453">
      <w:pPr>
        <w:pStyle w:val="165"/>
        <w:spacing w:line="360" w:lineRule="auto"/>
      </w:pPr>
      <w:r>
        <w:rPr>
          <w:rFonts w:hint="eastAsia"/>
        </w:rPr>
        <w:t>抢险队伍应明确组织结构、人员名单、专业能力、联系方式、集结地点和响应时间。</w:t>
      </w:r>
    </w:p>
    <w:p w14:paraId="114C1F2E">
      <w:pPr>
        <w:pStyle w:val="165"/>
        <w:spacing w:line="360" w:lineRule="auto"/>
      </w:pPr>
      <w:r>
        <w:rPr>
          <w:rFonts w:hint="eastAsia"/>
        </w:rPr>
        <w:t>抢险人员应接受防汛抢险、安全防护、险情识别、物资使用和现场协同培训。</w:t>
      </w:r>
    </w:p>
    <w:p w14:paraId="43A2E403">
      <w:pPr>
        <w:pStyle w:val="165"/>
        <w:spacing w:line="360" w:lineRule="auto"/>
      </w:pPr>
      <w:r>
        <w:rPr>
          <w:rFonts w:hint="eastAsia"/>
        </w:rPr>
        <w:t>汛期和应急响应期间，抢险队伍应保持联络畅通和待命状态。</w:t>
      </w:r>
    </w:p>
    <w:p w14:paraId="632129A3">
      <w:pPr>
        <w:pStyle w:val="165"/>
        <w:spacing w:line="360" w:lineRule="auto"/>
      </w:pPr>
      <w:r>
        <w:rPr>
          <w:rFonts w:hint="eastAsia"/>
        </w:rPr>
        <w:t>抢险队伍参与现场处置时，应服从现场指挥，并应落实个人安全防护。</w:t>
      </w:r>
    </w:p>
    <w:p w14:paraId="747E7E79">
      <w:pPr>
        <w:pStyle w:val="165"/>
        <w:numPr>
          <w:ilvl w:val="0"/>
          <w:numId w:val="0"/>
        </w:numPr>
        <w:spacing w:line="360" w:lineRule="auto"/>
        <w:rPr>
          <w:rFonts w:hint="eastAsia"/>
        </w:rPr>
      </w:pPr>
    </w:p>
    <w:p w14:paraId="6B0C9D3E">
      <w:pPr>
        <w:pStyle w:val="105"/>
        <w:spacing w:before="120" w:after="120" w:line="360" w:lineRule="auto"/>
      </w:pPr>
      <w:r>
        <w:rPr>
          <w:rFonts w:hint="eastAsia"/>
        </w:rPr>
        <w:t>物资装备管理</w:t>
      </w:r>
    </w:p>
    <w:p w14:paraId="3E36991D">
      <w:pPr>
        <w:pStyle w:val="165"/>
        <w:spacing w:line="360" w:lineRule="auto"/>
      </w:pPr>
      <w:r>
        <w:rPr>
          <w:rFonts w:hint="eastAsia"/>
        </w:rPr>
        <w:t>防汛物资应根据工程类型和主要险情配置，宜包括砂石料、土工布、编织袋、木桩、钢管、照明设备、发电设备、排水泵、冲锋舟、救生器材、通信设备和个人防护用品等。</w:t>
      </w:r>
    </w:p>
    <w:p w14:paraId="49E4BEB7">
      <w:pPr>
        <w:pStyle w:val="165"/>
        <w:spacing w:line="360" w:lineRule="auto"/>
      </w:pPr>
      <w:r>
        <w:rPr>
          <w:rFonts w:hint="eastAsia"/>
        </w:rPr>
        <w:t>物资仓库应设置明显标识，并应满足防潮、防火、防盗、便捷调运和分类存放要求。</w:t>
      </w:r>
    </w:p>
    <w:p w14:paraId="19489F9C">
      <w:pPr>
        <w:pStyle w:val="165"/>
        <w:spacing w:line="360" w:lineRule="auto"/>
      </w:pPr>
      <w:r>
        <w:rPr>
          <w:rFonts w:hint="eastAsia"/>
        </w:rPr>
        <w:t>防汛物资应定期盘点，数量不足、质量失效或存放位置变化时应及时更新台账。</w:t>
      </w:r>
    </w:p>
    <w:p w14:paraId="6EE60C6D">
      <w:pPr>
        <w:pStyle w:val="165"/>
        <w:spacing w:line="360" w:lineRule="auto"/>
      </w:pPr>
      <w:r>
        <w:rPr>
          <w:rFonts w:hint="eastAsia"/>
        </w:rPr>
        <w:t>应急设备应定期试运行。发电机、排水泵、通信设备和照明设备应保持可用状态。</w:t>
      </w:r>
    </w:p>
    <w:p w14:paraId="29915DD1">
      <w:pPr>
        <w:pStyle w:val="105"/>
        <w:spacing w:before="120" w:after="120" w:line="360" w:lineRule="auto"/>
      </w:pPr>
      <w:r>
        <w:rPr>
          <w:rFonts w:hint="eastAsia"/>
        </w:rPr>
        <w:t>协同联动</w:t>
      </w:r>
    </w:p>
    <w:p w14:paraId="5B412FFA">
      <w:pPr>
        <w:pStyle w:val="165"/>
        <w:spacing w:line="360" w:lineRule="auto"/>
      </w:pPr>
      <w:r>
        <w:rPr>
          <w:rFonts w:hint="eastAsia"/>
        </w:rPr>
        <w:t>水利工程管理单位应与气象、水文、应急管理、交通、电力、通信、公安、消防救援、属地政府和相关工程管理单位建立协同联动机制。</w:t>
      </w:r>
    </w:p>
    <w:p w14:paraId="4BA3F6C3">
      <w:pPr>
        <w:pStyle w:val="165"/>
        <w:spacing w:line="360" w:lineRule="auto"/>
      </w:pPr>
      <w:r>
        <w:rPr>
          <w:rFonts w:hint="eastAsia"/>
        </w:rPr>
        <w:t>协同联动机制应明确联络渠道、信息共享、会商方式、资源调配、现场协同和责任边界。</w:t>
      </w:r>
    </w:p>
    <w:p w14:paraId="35D3EE16">
      <w:pPr>
        <w:pStyle w:val="165"/>
        <w:spacing w:line="360" w:lineRule="auto"/>
      </w:pPr>
      <w:r>
        <w:rPr>
          <w:rFonts w:hint="eastAsia"/>
        </w:rPr>
        <w:t>联络方式应定期核验。失效联系人、失效电话和职责变更应及时更新。</w:t>
      </w:r>
    </w:p>
    <w:p w14:paraId="204B1B92">
      <w:pPr>
        <w:pStyle w:val="165"/>
        <w:spacing w:line="360" w:lineRule="auto"/>
      </w:pPr>
      <w:r>
        <w:rPr>
          <w:rFonts w:hint="eastAsia"/>
        </w:rPr>
        <w:t>跨区域、跨流域或上下游联动调度应按规定履行协调程序。</w:t>
      </w:r>
    </w:p>
    <w:p w14:paraId="109D166E">
      <w:pPr>
        <w:pStyle w:val="165"/>
        <w:spacing w:line="360" w:lineRule="auto"/>
      </w:pPr>
      <w:r>
        <w:rPr>
          <w:rFonts w:hint="eastAsia"/>
        </w:rPr>
        <w:t>重大险情、重大调度和重大应急处置应加强联合会商和联合处置。</w:t>
      </w:r>
    </w:p>
    <w:p w14:paraId="3C00486C">
      <w:pPr>
        <w:pStyle w:val="105"/>
        <w:spacing w:before="120" w:after="120" w:line="360" w:lineRule="auto"/>
      </w:pPr>
      <w:r>
        <w:rPr>
          <w:rFonts w:hint="eastAsia"/>
        </w:rPr>
        <w:t>应急演练</w:t>
      </w:r>
    </w:p>
    <w:p w14:paraId="4F3561D9">
      <w:pPr>
        <w:pStyle w:val="165"/>
        <w:spacing w:line="360" w:lineRule="auto"/>
      </w:pPr>
      <w:r>
        <w:rPr>
          <w:rFonts w:hint="eastAsia"/>
        </w:rPr>
        <w:t>水利工程管理单位应定期开展智能防汛调度与应急处置演练。</w:t>
      </w:r>
    </w:p>
    <w:p w14:paraId="2ECB6AC7">
      <w:pPr>
        <w:pStyle w:val="165"/>
        <w:spacing w:line="360" w:lineRule="auto"/>
      </w:pPr>
      <w:r>
        <w:rPr>
          <w:rFonts w:hint="eastAsia"/>
        </w:rPr>
        <w:t>演练内容宜包括监测预警、会商研判、调度指令、工程操作、险情上报、抢险处置、物资调配、人员转移、信息报送和系统故障备用流程。</w:t>
      </w:r>
    </w:p>
    <w:p w14:paraId="500CE048">
      <w:pPr>
        <w:pStyle w:val="165"/>
        <w:spacing w:line="360" w:lineRule="auto"/>
      </w:pPr>
      <w:r>
        <w:rPr>
          <w:rFonts w:hint="eastAsia"/>
        </w:rPr>
        <w:t>演练应与工程主要风险场景相匹配，不得仅以会议学习或文件传达替代实操演练。</w:t>
      </w:r>
    </w:p>
    <w:p w14:paraId="71A211DB">
      <w:pPr>
        <w:pStyle w:val="165"/>
        <w:spacing w:line="360" w:lineRule="auto"/>
      </w:pPr>
      <w:r>
        <w:rPr>
          <w:rFonts w:hint="eastAsia"/>
        </w:rPr>
        <w:t>演练应形成方案、记录、评价、问题清单和整改验证资料。</w:t>
      </w:r>
    </w:p>
    <w:p w14:paraId="54931CBE">
      <w:pPr>
        <w:pStyle w:val="165"/>
        <w:spacing w:line="360" w:lineRule="auto"/>
      </w:pPr>
      <w:r>
        <w:rPr>
          <w:rFonts w:hint="eastAsia"/>
        </w:rPr>
        <w:t>演练发现的问题应纳入持续改进。</w:t>
      </w:r>
    </w:p>
    <w:p w14:paraId="20FE7A83">
      <w:pPr>
        <w:pStyle w:val="104"/>
        <w:spacing w:before="240" w:after="240" w:line="360" w:lineRule="auto"/>
      </w:pPr>
      <w:bookmarkStart w:id="59" w:name="_Toc228606026"/>
      <w:r>
        <w:rPr>
          <w:rFonts w:hint="eastAsia"/>
        </w:rPr>
        <w:t>系统运行维护</w:t>
      </w:r>
      <w:bookmarkEnd w:id="59"/>
    </w:p>
    <w:p w14:paraId="0416641D">
      <w:pPr>
        <w:pStyle w:val="105"/>
        <w:spacing w:before="120" w:after="120" w:line="360" w:lineRule="auto"/>
      </w:pPr>
      <w:r>
        <w:rPr>
          <w:rFonts w:hint="eastAsia"/>
        </w:rPr>
        <w:t>一般要求</w:t>
      </w:r>
    </w:p>
    <w:p w14:paraId="526099E6">
      <w:pPr>
        <w:pStyle w:val="165"/>
        <w:spacing w:line="360" w:lineRule="auto"/>
      </w:pPr>
      <w:r>
        <w:rPr>
          <w:rFonts w:hint="eastAsia"/>
        </w:rPr>
        <w:t>智能防汛调度与应急处置系统应满足数据接入、监测预警、风险研判、调度管理、指令闭环、应急处置、资源管理、复盘评估和资料归档功能要求。</w:t>
      </w:r>
    </w:p>
    <w:p w14:paraId="26EBC4B1">
      <w:pPr>
        <w:pStyle w:val="165"/>
        <w:spacing w:line="360" w:lineRule="auto"/>
      </w:pPr>
      <w:r>
        <w:rPr>
          <w:rFonts w:hint="eastAsia"/>
        </w:rPr>
        <w:t>系统应具备稳定性、可用性、安全性、扩展性、兼容性和可维护性。</w:t>
      </w:r>
    </w:p>
    <w:p w14:paraId="2AFDFFED">
      <w:pPr>
        <w:pStyle w:val="165"/>
        <w:spacing w:line="360" w:lineRule="auto"/>
      </w:pPr>
      <w:r>
        <w:rPr>
          <w:rFonts w:hint="eastAsia"/>
        </w:rPr>
        <w:t>系统上线前应完成数据测试、功能测试、性能测试、安全测试、接口测试、应急测试和用户培训。</w:t>
      </w:r>
    </w:p>
    <w:p w14:paraId="2D24B832">
      <w:pPr>
        <w:pStyle w:val="165"/>
        <w:spacing w:line="360" w:lineRule="auto"/>
      </w:pPr>
      <w:r>
        <w:rPr>
          <w:rFonts w:hint="eastAsia"/>
        </w:rPr>
        <w:t>未通过测试和验收的系统不得承载正式防汛调度和应急处置业务。</w:t>
      </w:r>
    </w:p>
    <w:p w14:paraId="5701FB6D">
      <w:pPr>
        <w:pStyle w:val="165"/>
        <w:numPr>
          <w:ilvl w:val="0"/>
          <w:numId w:val="0"/>
        </w:numPr>
        <w:spacing w:line="360" w:lineRule="auto"/>
      </w:pPr>
    </w:p>
    <w:p w14:paraId="0AA2B764">
      <w:pPr>
        <w:pStyle w:val="165"/>
        <w:numPr>
          <w:ilvl w:val="0"/>
          <w:numId w:val="0"/>
        </w:numPr>
        <w:spacing w:line="360" w:lineRule="auto"/>
        <w:rPr>
          <w:rFonts w:hint="eastAsia"/>
        </w:rPr>
      </w:pPr>
    </w:p>
    <w:p w14:paraId="482E1613">
      <w:pPr>
        <w:pStyle w:val="105"/>
        <w:spacing w:before="120" w:after="120" w:line="360" w:lineRule="auto"/>
      </w:pPr>
      <w:r>
        <w:rPr>
          <w:rFonts w:hint="eastAsia"/>
        </w:rPr>
        <w:t>系统功能</w:t>
      </w:r>
    </w:p>
    <w:p w14:paraId="620F2B2D">
      <w:pPr>
        <w:pStyle w:val="165"/>
        <w:spacing w:line="360" w:lineRule="auto"/>
      </w:pPr>
      <w:r>
        <w:rPr>
          <w:rFonts w:hint="eastAsia"/>
        </w:rPr>
        <w:t>系统应支持水雨情、工情、险情、视频、气象、水文预报、工程运行和应急资源数据接入。</w:t>
      </w:r>
    </w:p>
    <w:p w14:paraId="1FF9B7A5">
      <w:pPr>
        <w:pStyle w:val="165"/>
        <w:spacing w:line="360" w:lineRule="auto"/>
      </w:pPr>
      <w:r>
        <w:rPr>
          <w:rFonts w:hint="eastAsia"/>
        </w:rPr>
        <w:t>系统应支持监测数据展示、历史过程查询、趋势分析、异常提示和数据质量标识。</w:t>
      </w:r>
    </w:p>
    <w:p w14:paraId="099B79AE">
      <w:pPr>
        <w:pStyle w:val="165"/>
        <w:spacing w:line="360" w:lineRule="auto"/>
      </w:pPr>
      <w:r>
        <w:rPr>
          <w:rFonts w:hint="eastAsia"/>
        </w:rPr>
        <w:t>系统应支持预警规则配置、预警生成、预警审核、预警发布、预警解除和预警记录查询。</w:t>
      </w:r>
    </w:p>
    <w:p w14:paraId="54475DC3">
      <w:pPr>
        <w:pStyle w:val="165"/>
        <w:spacing w:line="360" w:lineRule="auto"/>
      </w:pPr>
      <w:r>
        <w:rPr>
          <w:rFonts w:hint="eastAsia"/>
        </w:rPr>
        <w:t>系统应支持调度方案生成、方案比选、调度指令管理、执行反馈和闭环跟踪。</w:t>
      </w:r>
    </w:p>
    <w:p w14:paraId="7A644A7F">
      <w:pPr>
        <w:pStyle w:val="165"/>
        <w:spacing w:line="360" w:lineRule="auto"/>
      </w:pPr>
      <w:r>
        <w:rPr>
          <w:rFonts w:hint="eastAsia"/>
        </w:rPr>
        <w:t>系统应支持险情上报、现场反馈、抢险记录、资源调拨、人员转移和处置过程管理。</w:t>
      </w:r>
    </w:p>
    <w:p w14:paraId="60AD07E3">
      <w:pPr>
        <w:pStyle w:val="165"/>
        <w:spacing w:line="360" w:lineRule="auto"/>
      </w:pPr>
      <w:r>
        <w:rPr>
          <w:rFonts w:hint="eastAsia"/>
        </w:rPr>
        <w:t>系统应支持防汛复盘、统计分析、资料归档和报表输出。</w:t>
      </w:r>
    </w:p>
    <w:p w14:paraId="0E13B6F6">
      <w:pPr>
        <w:pStyle w:val="105"/>
        <w:spacing w:before="120" w:after="120" w:line="360" w:lineRule="auto"/>
      </w:pPr>
      <w:r>
        <w:rPr>
          <w:rFonts w:hint="eastAsia"/>
        </w:rPr>
        <w:t>运维管理</w:t>
      </w:r>
    </w:p>
    <w:p w14:paraId="3EF008EA">
      <w:pPr>
        <w:pStyle w:val="165"/>
        <w:spacing w:line="360" w:lineRule="auto"/>
      </w:pPr>
      <w:r>
        <w:rPr>
          <w:rFonts w:hint="eastAsia"/>
        </w:rPr>
        <w:t>系统运维应包括服务器、网络、数据库、应用系统、接口服务、监测设备、视频设备、通信设备、安全设备和备份系统维护。</w:t>
      </w:r>
    </w:p>
    <w:p w14:paraId="2F0633A5">
      <w:pPr>
        <w:pStyle w:val="165"/>
        <w:spacing w:line="360" w:lineRule="auto"/>
      </w:pPr>
      <w:r>
        <w:rPr>
          <w:rFonts w:hint="eastAsia"/>
        </w:rPr>
        <w:t>系统运维应建立巡检制度，汛前应开展全面检查，汛期应加强运行监控。</w:t>
      </w:r>
    </w:p>
    <w:p w14:paraId="178183D5">
      <w:pPr>
        <w:pStyle w:val="165"/>
        <w:spacing w:line="360" w:lineRule="auto"/>
      </w:pPr>
      <w:r>
        <w:rPr>
          <w:rFonts w:hint="eastAsia"/>
        </w:rPr>
        <w:t>运维记录应包括巡检时间、巡检内容、系统状态、发现问题、处置措施和责任人员。</w:t>
      </w:r>
    </w:p>
    <w:p w14:paraId="6A7FD5BE">
      <w:pPr>
        <w:pStyle w:val="165"/>
        <w:spacing w:line="360" w:lineRule="auto"/>
      </w:pPr>
      <w:r>
        <w:rPr>
          <w:rFonts w:hint="eastAsia"/>
        </w:rPr>
        <w:t>系统变更、版本升级、接口调整、参数修改和数据迁移应履行审批和测试程序。</w:t>
      </w:r>
    </w:p>
    <w:p w14:paraId="0A7C7797">
      <w:pPr>
        <w:pStyle w:val="165"/>
        <w:spacing w:line="360" w:lineRule="auto"/>
      </w:pPr>
      <w:r>
        <w:rPr>
          <w:rFonts w:hint="eastAsia"/>
        </w:rPr>
        <w:t>运维人员不得擅自修改防汛业务数据、删除系统日志或关闭预警功能。</w:t>
      </w:r>
    </w:p>
    <w:p w14:paraId="2000EA46">
      <w:pPr>
        <w:pStyle w:val="105"/>
        <w:spacing w:before="120" w:after="120" w:line="360" w:lineRule="auto"/>
      </w:pPr>
      <w:r>
        <w:rPr>
          <w:rFonts w:hint="eastAsia"/>
        </w:rPr>
        <w:t>故障处置</w:t>
      </w:r>
    </w:p>
    <w:p w14:paraId="4AF5D4C2">
      <w:pPr>
        <w:pStyle w:val="165"/>
        <w:spacing w:line="360" w:lineRule="auto"/>
      </w:pPr>
      <w:r>
        <w:rPr>
          <w:rFonts w:hint="eastAsia"/>
        </w:rPr>
        <w:t>系统故障应按影响范围和业务重要程度分级处置。</w:t>
      </w:r>
    </w:p>
    <w:p w14:paraId="37841DDB">
      <w:pPr>
        <w:pStyle w:val="165"/>
        <w:spacing w:line="360" w:lineRule="auto"/>
      </w:pPr>
      <w:r>
        <w:rPr>
          <w:rFonts w:hint="eastAsia"/>
        </w:rPr>
        <w:t>影响防汛调度、预警发布、指令执行和应急处置的故障，应优先处理。</w:t>
      </w:r>
    </w:p>
    <w:p w14:paraId="0510C08A">
      <w:pPr>
        <w:pStyle w:val="165"/>
        <w:spacing w:line="360" w:lineRule="auto"/>
      </w:pPr>
      <w:r>
        <w:rPr>
          <w:rFonts w:hint="eastAsia"/>
        </w:rPr>
        <w:t>系统故障处置应记录故障时间、故障现象、影响范围、处置过程、恢复时间、责任人员和原因分析。</w:t>
      </w:r>
    </w:p>
    <w:p w14:paraId="05658EC2">
      <w:pPr>
        <w:pStyle w:val="165"/>
        <w:spacing w:line="360" w:lineRule="auto"/>
      </w:pPr>
      <w:r>
        <w:rPr>
          <w:rFonts w:hint="eastAsia"/>
        </w:rPr>
        <w:t>系统故障导致数据缺失、指令中断或预警延迟的，应采取补录、补传、人工确认或备用流程。</w:t>
      </w:r>
    </w:p>
    <w:p w14:paraId="54BB767C">
      <w:pPr>
        <w:pStyle w:val="165"/>
        <w:spacing w:line="360" w:lineRule="auto"/>
      </w:pPr>
      <w:r>
        <w:rPr>
          <w:rFonts w:hint="eastAsia"/>
        </w:rPr>
        <w:t>重大故障处置后应开展复盘，并应制定预防措施。</w:t>
      </w:r>
    </w:p>
    <w:p w14:paraId="18DF1F42">
      <w:pPr>
        <w:pStyle w:val="105"/>
        <w:spacing w:before="120" w:after="120" w:line="360" w:lineRule="auto"/>
      </w:pPr>
      <w:r>
        <w:rPr>
          <w:rFonts w:hint="eastAsia"/>
        </w:rPr>
        <w:t>备份与恢复</w:t>
      </w:r>
    </w:p>
    <w:p w14:paraId="308FD1A4">
      <w:pPr>
        <w:pStyle w:val="165"/>
        <w:spacing w:line="360" w:lineRule="auto"/>
      </w:pPr>
      <w:r>
        <w:rPr>
          <w:rFonts w:hint="eastAsia"/>
        </w:rPr>
        <w:t>系统应建立数据备份与恢复机制。</w:t>
      </w:r>
    </w:p>
    <w:p w14:paraId="3EAEFF7F">
      <w:pPr>
        <w:pStyle w:val="165"/>
        <w:spacing w:line="360" w:lineRule="auto"/>
      </w:pPr>
      <w:r>
        <w:rPr>
          <w:rFonts w:hint="eastAsia"/>
        </w:rPr>
        <w:t>备份范围应包括监测数据、调度记录、预警记录、指令记录、应急处置记录、系统配置、模型参数、接口记录和系统日志。</w:t>
      </w:r>
    </w:p>
    <w:p w14:paraId="5DA227CC">
      <w:pPr>
        <w:pStyle w:val="165"/>
        <w:spacing w:line="360" w:lineRule="auto"/>
      </w:pPr>
      <w:r>
        <w:rPr>
          <w:rFonts w:hint="eastAsia"/>
        </w:rPr>
        <w:t>备份策略应明确备份频率、备份方式、保存期限、存放位置和责任人员。</w:t>
      </w:r>
    </w:p>
    <w:p w14:paraId="448F44ED">
      <w:pPr>
        <w:pStyle w:val="165"/>
        <w:spacing w:line="360" w:lineRule="auto"/>
      </w:pPr>
      <w:r>
        <w:rPr>
          <w:rFonts w:hint="eastAsia"/>
        </w:rPr>
        <w:t>备份数据应定期进行恢复验证。</w:t>
      </w:r>
    </w:p>
    <w:p w14:paraId="7EF0797A">
      <w:pPr>
        <w:pStyle w:val="165"/>
        <w:spacing w:line="360" w:lineRule="auto"/>
      </w:pPr>
      <w:r>
        <w:rPr>
          <w:rFonts w:hint="eastAsia"/>
        </w:rPr>
        <w:t>发生数据损坏、系统故障或网络安全事件时，应按恢复预案实施数据恢复。</w:t>
      </w:r>
    </w:p>
    <w:p w14:paraId="04E6F9EF">
      <w:pPr>
        <w:pStyle w:val="165"/>
        <w:numPr>
          <w:ilvl w:val="0"/>
          <w:numId w:val="0"/>
        </w:numPr>
        <w:spacing w:line="360" w:lineRule="auto"/>
      </w:pPr>
    </w:p>
    <w:p w14:paraId="659C5954">
      <w:pPr>
        <w:pStyle w:val="165"/>
        <w:numPr>
          <w:ilvl w:val="0"/>
          <w:numId w:val="0"/>
        </w:numPr>
        <w:spacing w:line="360" w:lineRule="auto"/>
        <w:rPr>
          <w:rFonts w:hint="eastAsia"/>
        </w:rPr>
      </w:pPr>
    </w:p>
    <w:p w14:paraId="4C37FC6E">
      <w:pPr>
        <w:pStyle w:val="104"/>
        <w:spacing w:before="240" w:after="240" w:line="360" w:lineRule="auto"/>
      </w:pPr>
      <w:bookmarkStart w:id="60" w:name="_Toc228606027"/>
      <w:r>
        <w:rPr>
          <w:rFonts w:hint="eastAsia"/>
        </w:rPr>
        <w:t>复盘评估与持续改进</w:t>
      </w:r>
      <w:bookmarkEnd w:id="60"/>
    </w:p>
    <w:p w14:paraId="154C4FB0">
      <w:pPr>
        <w:pStyle w:val="105"/>
        <w:spacing w:before="120" w:after="120" w:line="360" w:lineRule="auto"/>
      </w:pPr>
      <w:r>
        <w:rPr>
          <w:rFonts w:hint="eastAsia"/>
        </w:rPr>
        <w:t>一般要求</w:t>
      </w:r>
    </w:p>
    <w:p w14:paraId="4793E8B4">
      <w:pPr>
        <w:pStyle w:val="165"/>
        <w:spacing w:line="360" w:lineRule="auto"/>
      </w:pPr>
      <w:r>
        <w:rPr>
          <w:rFonts w:hint="eastAsia"/>
        </w:rPr>
        <w:t>防汛调度、预警发布、应急响应、重大险情处置和系统故障处置后，应根据需要开展复盘评估。</w:t>
      </w:r>
    </w:p>
    <w:p w14:paraId="5E48A39D">
      <w:pPr>
        <w:pStyle w:val="165"/>
        <w:spacing w:line="360" w:lineRule="auto"/>
      </w:pPr>
      <w:r>
        <w:rPr>
          <w:rFonts w:hint="eastAsia"/>
        </w:rPr>
        <w:t>复盘评估应以监测数据、预报成果、调度记录、预警信息、指令执行记录、现场反馈、处置记录、视频影像和系统日志为依据。</w:t>
      </w:r>
    </w:p>
    <w:p w14:paraId="252BF9B5">
      <w:pPr>
        <w:pStyle w:val="165"/>
        <w:spacing w:line="360" w:lineRule="auto"/>
      </w:pPr>
      <w:r>
        <w:rPr>
          <w:rFonts w:hint="eastAsia"/>
        </w:rPr>
        <w:t>复盘评估应分析调度合理性、预警及时性、指令执行有效性、应急响应适宜性、资源保障充分性和系统支撑能力。</w:t>
      </w:r>
    </w:p>
    <w:p w14:paraId="53D83BF4">
      <w:pPr>
        <w:pStyle w:val="165"/>
        <w:spacing w:line="360" w:lineRule="auto"/>
      </w:pPr>
      <w:r>
        <w:rPr>
          <w:rFonts w:hint="eastAsia"/>
        </w:rPr>
        <w:t>复盘发现的问题应形成整改清单，并应明确责任单位、整改措施、完成期限和验证方式。</w:t>
      </w:r>
    </w:p>
    <w:p w14:paraId="4E358017">
      <w:pPr>
        <w:pStyle w:val="105"/>
        <w:spacing w:before="120" w:after="120" w:line="360" w:lineRule="auto"/>
      </w:pPr>
      <w:r>
        <w:rPr>
          <w:rFonts w:hint="eastAsia"/>
        </w:rPr>
        <w:t>复盘内容</w:t>
      </w:r>
    </w:p>
    <w:p w14:paraId="423C922C">
      <w:pPr>
        <w:pStyle w:val="165"/>
        <w:spacing w:line="360" w:lineRule="auto"/>
      </w:pPr>
      <w:r>
        <w:rPr>
          <w:rFonts w:hint="eastAsia"/>
        </w:rPr>
        <w:t>监测预警复盘应评价监测数据是否及时准确、预警阈值是否适用、预警发布是否及时、预警对象是否准确。</w:t>
      </w:r>
    </w:p>
    <w:p w14:paraId="7CD0CE82">
      <w:pPr>
        <w:pStyle w:val="165"/>
        <w:spacing w:line="360" w:lineRule="auto"/>
      </w:pPr>
      <w:r>
        <w:rPr>
          <w:rFonts w:hint="eastAsia"/>
        </w:rPr>
        <w:t>调度过程复盘应评价调度方案是否合理、会商是否充分、指令是否清晰、执行是否到位、反馈是否及时。</w:t>
      </w:r>
    </w:p>
    <w:p w14:paraId="22563928">
      <w:pPr>
        <w:pStyle w:val="165"/>
        <w:spacing w:line="360" w:lineRule="auto"/>
      </w:pPr>
      <w:r>
        <w:rPr>
          <w:rFonts w:hint="eastAsia"/>
        </w:rPr>
        <w:t>应急处置复盘应评价响应启动是否及时、现场处置是否有效、资源调配是否满足需求、人员安全是否保障。</w:t>
      </w:r>
    </w:p>
    <w:p w14:paraId="611ECEF1">
      <w:pPr>
        <w:pStyle w:val="165"/>
        <w:spacing w:line="360" w:lineRule="auto"/>
      </w:pPr>
      <w:r>
        <w:rPr>
          <w:rFonts w:hint="eastAsia"/>
        </w:rPr>
        <w:t>系统支撑复盘应评价系统稳定性、接口可靠性、数据质量、模型适用性、通信保障和备份恢复能力。</w:t>
      </w:r>
    </w:p>
    <w:p w14:paraId="74536A49">
      <w:pPr>
        <w:pStyle w:val="165"/>
        <w:spacing w:line="360" w:lineRule="auto"/>
      </w:pPr>
      <w:r>
        <w:rPr>
          <w:rFonts w:hint="eastAsia"/>
        </w:rPr>
        <w:t>协同联动复盘应评价上下游、左右岸、跨部门和属地联动是否顺畅。</w:t>
      </w:r>
    </w:p>
    <w:p w14:paraId="0209EBA5">
      <w:pPr>
        <w:pStyle w:val="105"/>
        <w:spacing w:before="120" w:after="120" w:line="360" w:lineRule="auto"/>
      </w:pPr>
      <w:r>
        <w:rPr>
          <w:rFonts w:hint="eastAsia"/>
        </w:rPr>
        <w:t>评价指标</w:t>
      </w:r>
    </w:p>
    <w:p w14:paraId="49ACF9B5">
      <w:pPr>
        <w:pStyle w:val="165"/>
        <w:spacing w:line="360" w:lineRule="auto"/>
      </w:pPr>
      <w:r>
        <w:rPr>
          <w:rFonts w:hint="eastAsia"/>
        </w:rPr>
        <w:t>复盘评估指标宜包括数据及时率、数据完整率、预警准确性、预警发布及时性、指令闭环率、执行反馈及时率、险情处置闭环率、资源调拨及时率、系统可用率和整改完成率。</w:t>
      </w:r>
    </w:p>
    <w:p w14:paraId="39272734">
      <w:pPr>
        <w:pStyle w:val="165"/>
        <w:spacing w:line="360" w:lineRule="auto"/>
      </w:pPr>
      <w:r>
        <w:rPr>
          <w:rFonts w:hint="eastAsia"/>
        </w:rPr>
        <w:t>指标设置应结合工程类型、风险等级、防汛任务和管理目标确定。</w:t>
      </w:r>
    </w:p>
    <w:p w14:paraId="63973E72">
      <w:pPr>
        <w:pStyle w:val="165"/>
        <w:spacing w:line="360" w:lineRule="auto"/>
      </w:pPr>
      <w:r>
        <w:rPr>
          <w:rFonts w:hint="eastAsia"/>
        </w:rPr>
        <w:t>复盘评估指标应有数据来源和计算口径。</w:t>
      </w:r>
    </w:p>
    <w:p w14:paraId="0814D551">
      <w:pPr>
        <w:pStyle w:val="165"/>
        <w:spacing w:line="360" w:lineRule="auto"/>
      </w:pPr>
      <w:r>
        <w:rPr>
          <w:rFonts w:hint="eastAsia"/>
        </w:rPr>
        <w:t>对评价结果不满足要求的指标，应分析原因并制定改进措施。</w:t>
      </w:r>
    </w:p>
    <w:p w14:paraId="479B2A55">
      <w:pPr>
        <w:pStyle w:val="165"/>
        <w:spacing w:line="360" w:lineRule="auto"/>
      </w:pPr>
      <w:r>
        <w:rPr>
          <w:rFonts w:hint="eastAsia"/>
        </w:rPr>
        <w:t>智能防汛调度与应急处置复盘评价指标可参照附录B。</w:t>
      </w:r>
    </w:p>
    <w:p w14:paraId="5B406B84">
      <w:pPr>
        <w:pStyle w:val="105"/>
        <w:spacing w:before="120" w:after="120" w:line="360" w:lineRule="auto"/>
      </w:pPr>
      <w:r>
        <w:rPr>
          <w:rFonts w:hint="eastAsia"/>
        </w:rPr>
        <w:t>持续改进</w:t>
      </w:r>
    </w:p>
    <w:p w14:paraId="5A13DFAC">
      <w:pPr>
        <w:pStyle w:val="165"/>
        <w:spacing w:line="360" w:lineRule="auto"/>
      </w:pPr>
      <w:r>
        <w:rPr>
          <w:rFonts w:hint="eastAsia"/>
        </w:rPr>
        <w:t>工程管理单位应根据复盘评估结果持续改进监测布设、数据质量、预警阈值、调度规则、应急预案、资源配置和系统功能。</w:t>
      </w:r>
    </w:p>
    <w:p w14:paraId="7BBC6633">
      <w:pPr>
        <w:pStyle w:val="165"/>
        <w:spacing w:line="360" w:lineRule="auto"/>
      </w:pPr>
      <w:r>
        <w:rPr>
          <w:rFonts w:hint="eastAsia"/>
        </w:rPr>
        <w:t>对重复发生的数据异常、预警延迟、指令反馈不及时、险情记录不完整和系统故障，应开展专项治理。</w:t>
      </w:r>
    </w:p>
    <w:p w14:paraId="5777617E">
      <w:pPr>
        <w:pStyle w:val="165"/>
        <w:spacing w:line="360" w:lineRule="auto"/>
      </w:pPr>
      <w:r>
        <w:rPr>
          <w:rFonts w:hint="eastAsia"/>
        </w:rPr>
        <w:t>改进措施完成后应进行验证。未通过验证的，应重新制定整改措施。</w:t>
      </w:r>
    </w:p>
    <w:p w14:paraId="5D322943">
      <w:pPr>
        <w:pStyle w:val="165"/>
        <w:spacing w:line="360" w:lineRule="auto"/>
      </w:pPr>
      <w:r>
        <w:rPr>
          <w:rFonts w:hint="eastAsia"/>
        </w:rPr>
        <w:t>改进成果应固化为制度、预案、操作规程、系统配置、模型参数或培训内容。</w:t>
      </w:r>
    </w:p>
    <w:p w14:paraId="0012E9C8">
      <w:pPr>
        <w:pStyle w:val="104"/>
        <w:spacing w:before="240" w:after="240" w:line="360" w:lineRule="auto"/>
      </w:pPr>
      <w:bookmarkStart w:id="61" w:name="_Toc228606028"/>
      <w:r>
        <w:rPr>
          <w:rFonts w:hint="eastAsia"/>
        </w:rPr>
        <w:t>资料归档</w:t>
      </w:r>
      <w:bookmarkEnd w:id="61"/>
    </w:p>
    <w:p w14:paraId="252E4C83">
      <w:pPr>
        <w:pStyle w:val="105"/>
        <w:spacing w:before="120" w:after="120" w:line="360" w:lineRule="auto"/>
      </w:pPr>
      <w:r>
        <w:rPr>
          <w:rFonts w:hint="eastAsia"/>
        </w:rPr>
        <w:t>一般要求</w:t>
      </w:r>
    </w:p>
    <w:p w14:paraId="598820D1">
      <w:pPr>
        <w:pStyle w:val="165"/>
        <w:spacing w:line="360" w:lineRule="auto"/>
      </w:pPr>
      <w:r>
        <w:rPr>
          <w:rFonts w:hint="eastAsia"/>
        </w:rPr>
        <w:t>水利工程智能防汛调度与应急处置资料应按工程对象、业务类别、时间顺序和事件类型分类归档。</w:t>
      </w:r>
    </w:p>
    <w:p w14:paraId="348BEAB4">
      <w:pPr>
        <w:pStyle w:val="165"/>
        <w:spacing w:line="360" w:lineRule="auto"/>
      </w:pPr>
      <w:r>
        <w:rPr>
          <w:rFonts w:hint="eastAsia"/>
        </w:rPr>
        <w:t>归档资料应真实、完整、清晰、有效、可读取和可追溯。</w:t>
      </w:r>
    </w:p>
    <w:p w14:paraId="03B5DE8B">
      <w:pPr>
        <w:pStyle w:val="165"/>
        <w:spacing w:line="360" w:lineRule="auto"/>
      </w:pPr>
      <w:r>
        <w:rPr>
          <w:rFonts w:hint="eastAsia"/>
        </w:rPr>
        <w:t>纸质资料和电子资料应建立对应关系。电子资料应采用稳定、通用、可长期读取的格式保存。</w:t>
      </w:r>
    </w:p>
    <w:p w14:paraId="40E1FDB7">
      <w:pPr>
        <w:pStyle w:val="165"/>
        <w:spacing w:line="360" w:lineRule="auto"/>
      </w:pPr>
      <w:r>
        <w:rPr>
          <w:rFonts w:hint="eastAsia"/>
        </w:rPr>
        <w:t>防汛调度、预警发布、险情处置、应急响应和系统运维资料不得擅自删除、替换、损毁或外传。</w:t>
      </w:r>
    </w:p>
    <w:p w14:paraId="00262527">
      <w:pPr>
        <w:pStyle w:val="105"/>
        <w:spacing w:before="120" w:after="120" w:line="360" w:lineRule="auto"/>
      </w:pPr>
      <w:r>
        <w:rPr>
          <w:rFonts w:hint="eastAsia"/>
        </w:rPr>
        <w:t>归档内容</w:t>
      </w:r>
    </w:p>
    <w:p w14:paraId="153DC6CE">
      <w:pPr>
        <w:pStyle w:val="165"/>
        <w:spacing w:line="360" w:lineRule="auto"/>
      </w:pPr>
      <w:r>
        <w:rPr>
          <w:rFonts w:hint="eastAsia"/>
        </w:rPr>
        <w:t>监测感知资料应包括监测点位台账、设备台账、监测数据、数据质量记录、异常数据处置记录和巡查记录。</w:t>
      </w:r>
    </w:p>
    <w:p w14:paraId="7691B459">
      <w:pPr>
        <w:pStyle w:val="165"/>
        <w:spacing w:line="360" w:lineRule="auto"/>
      </w:pPr>
      <w:r>
        <w:rPr>
          <w:rFonts w:hint="eastAsia"/>
        </w:rPr>
        <w:t>预报研判资料应包括气象预报、水文预报、模型计算成果、风险研判记录、会商记录和预警触发记录。</w:t>
      </w:r>
    </w:p>
    <w:p w14:paraId="5333E658">
      <w:pPr>
        <w:pStyle w:val="165"/>
        <w:spacing w:line="360" w:lineRule="auto"/>
      </w:pPr>
      <w:r>
        <w:rPr>
          <w:rFonts w:hint="eastAsia"/>
        </w:rPr>
        <w:t>调度管理资料应包括调度方案、方案审核记录、调度指令、接收确认记录、执行反馈记录、复核记录和调度总结。</w:t>
      </w:r>
    </w:p>
    <w:p w14:paraId="0EC9DA48">
      <w:pPr>
        <w:pStyle w:val="165"/>
        <w:spacing w:line="360" w:lineRule="auto"/>
      </w:pPr>
      <w:r>
        <w:rPr>
          <w:rFonts w:hint="eastAsia"/>
        </w:rPr>
        <w:t>应急处置资料应包括响应启动记录、险情上报记录、现场处置记录、物资调拨记录、人员转移记录、现场影像资料和处置结果。</w:t>
      </w:r>
    </w:p>
    <w:p w14:paraId="377E8D77">
      <w:pPr>
        <w:pStyle w:val="165"/>
        <w:spacing w:line="360" w:lineRule="auto"/>
      </w:pPr>
      <w:r>
        <w:rPr>
          <w:rFonts w:hint="eastAsia"/>
        </w:rPr>
        <w:t>系统运维资料应包括系统巡检记录、故障记录、变更记录、备份记录、恢复验证记录、安全审计记录和演练记录。</w:t>
      </w:r>
    </w:p>
    <w:p w14:paraId="345A6698">
      <w:pPr>
        <w:pStyle w:val="165"/>
        <w:spacing w:line="360" w:lineRule="auto"/>
      </w:pPr>
      <w:r>
        <w:rPr>
          <w:rFonts w:hint="eastAsia"/>
        </w:rPr>
        <w:t>复盘改进资料应包括复盘报告、问题清单、整改措施、验证记录和持续改进资料。</w:t>
      </w:r>
    </w:p>
    <w:p w14:paraId="329EEA97">
      <w:pPr>
        <w:pStyle w:val="105"/>
        <w:spacing w:before="120" w:after="120" w:line="360" w:lineRule="auto"/>
      </w:pPr>
      <w:r>
        <w:rPr>
          <w:rFonts w:hint="eastAsia"/>
        </w:rPr>
        <w:t>电子资料管理</w:t>
      </w:r>
    </w:p>
    <w:p w14:paraId="5EFFB4C1">
      <w:pPr>
        <w:pStyle w:val="165"/>
        <w:spacing w:line="360" w:lineRule="auto"/>
      </w:pPr>
      <w:r>
        <w:rPr>
          <w:rFonts w:hint="eastAsia"/>
        </w:rPr>
        <w:t>电子资料应建立统一目录、编号、版本和权限管理。</w:t>
      </w:r>
    </w:p>
    <w:p w14:paraId="588BF891">
      <w:pPr>
        <w:pStyle w:val="165"/>
        <w:spacing w:line="360" w:lineRule="auto"/>
      </w:pPr>
      <w:r>
        <w:rPr>
          <w:rFonts w:hint="eastAsia"/>
        </w:rPr>
        <w:t>电子资料应与工程对象、事件编号、调度指令编号、预警编号或险情编号关联。</w:t>
      </w:r>
    </w:p>
    <w:p w14:paraId="00EA647C">
      <w:pPr>
        <w:pStyle w:val="165"/>
        <w:spacing w:line="360" w:lineRule="auto"/>
      </w:pPr>
      <w:r>
        <w:rPr>
          <w:rFonts w:hint="eastAsia"/>
        </w:rPr>
        <w:t>电子资料应定期备份，并应验证完整性和可读取性。</w:t>
      </w:r>
    </w:p>
    <w:p w14:paraId="7B01C73A">
      <w:pPr>
        <w:pStyle w:val="165"/>
        <w:spacing w:line="360" w:lineRule="auto"/>
      </w:pPr>
      <w:r>
        <w:rPr>
          <w:rFonts w:hint="eastAsia"/>
        </w:rPr>
        <w:t>系统迁移、平台升级或存储介质更换时，应同步迁移归档资料，并应验证迁移完整性。</w:t>
      </w:r>
    </w:p>
    <w:p w14:paraId="07D6B7DF">
      <w:pPr>
        <w:pStyle w:val="165"/>
        <w:spacing w:line="360" w:lineRule="auto"/>
      </w:pPr>
      <w:r>
        <w:rPr>
          <w:rFonts w:hint="eastAsia"/>
        </w:rPr>
        <w:t>电子资料不得长期存放在个人电脑、个人邮箱、个人网盘或非受控移动存储介质中。</w:t>
      </w:r>
    </w:p>
    <w:p w14:paraId="0AC2AE0A">
      <w:pPr>
        <w:pStyle w:val="105"/>
        <w:spacing w:before="120" w:after="120" w:line="360" w:lineRule="auto"/>
      </w:pPr>
      <w:r>
        <w:rPr>
          <w:rFonts w:hint="eastAsia"/>
        </w:rPr>
        <w:t>保存期限与销毁</w:t>
      </w:r>
    </w:p>
    <w:p w14:paraId="0C0D7279">
      <w:pPr>
        <w:pStyle w:val="165"/>
        <w:spacing w:line="360" w:lineRule="auto"/>
      </w:pPr>
      <w:r>
        <w:rPr>
          <w:rFonts w:hint="eastAsia"/>
        </w:rPr>
        <w:t>资料保存期限应满足防汛管理、工程运行、责任追溯、监督检查和法律法规要求。</w:t>
      </w:r>
    </w:p>
    <w:p w14:paraId="7CFA5C39">
      <w:pPr>
        <w:pStyle w:val="165"/>
        <w:spacing w:line="360" w:lineRule="auto"/>
      </w:pPr>
      <w:r>
        <w:rPr>
          <w:rFonts w:hint="eastAsia"/>
        </w:rPr>
        <w:t>涉及重大洪水、重大调度、重大险情、重大应急响应、事故调查和责任追溯的资料，应按较长期限保存。</w:t>
      </w:r>
    </w:p>
    <w:p w14:paraId="3D92EAB0">
      <w:pPr>
        <w:pStyle w:val="165"/>
        <w:spacing w:line="360" w:lineRule="auto"/>
      </w:pPr>
      <w:r>
        <w:rPr>
          <w:rFonts w:hint="eastAsia"/>
        </w:rPr>
        <w:t>保存期限未届满的资料不得销毁。</w:t>
      </w:r>
    </w:p>
    <w:p w14:paraId="4966C333">
      <w:pPr>
        <w:pStyle w:val="165"/>
        <w:spacing w:line="360" w:lineRule="auto"/>
        <w:rPr>
          <w:rFonts w:hint="eastAsia"/>
        </w:rPr>
      </w:pPr>
      <w:r>
        <w:rPr>
          <w:rFonts w:hint="eastAsia"/>
        </w:rPr>
        <w:t>保存期满需销毁的，应进行鉴定和审批，并应形成销毁记录。</w:t>
      </w:r>
    </w:p>
    <w:p w14:paraId="65978079">
      <w:pPr>
        <w:pStyle w:val="56"/>
        <w:ind w:firstLine="420"/>
      </w:pPr>
    </w:p>
    <w:p w14:paraId="28500F76">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491A32E3">
      <w:pPr>
        <w:pStyle w:val="198"/>
        <w:rPr>
          <w:rFonts w:hint="eastAsia"/>
        </w:rPr>
      </w:pPr>
      <w:bookmarkStart w:id="62" w:name="BookMark5"/>
    </w:p>
    <w:p w14:paraId="351966D8">
      <w:pPr>
        <w:pStyle w:val="199"/>
      </w:pPr>
    </w:p>
    <w:p w14:paraId="6C636B19">
      <w:pPr>
        <w:pStyle w:val="76"/>
        <w:spacing w:after="120" w:line="360" w:lineRule="auto"/>
      </w:pPr>
      <w:r>
        <w:br w:type="textWrapping"/>
      </w:r>
      <w:bookmarkStart w:id="63" w:name="_Toc228606029"/>
      <w:r>
        <w:rPr>
          <w:rFonts w:hint="eastAsia"/>
        </w:rPr>
        <w:t>（资料性）</w:t>
      </w:r>
      <w:r>
        <w:br w:type="textWrapping"/>
      </w:r>
      <w:r>
        <w:rPr>
          <w:rFonts w:hint="eastAsia"/>
        </w:rPr>
        <w:t>智能防汛调度与应急处置流程</w:t>
      </w:r>
      <w:bookmarkEnd w:id="63"/>
    </w:p>
    <w:p w14:paraId="7DBB8934">
      <w:pPr>
        <w:pStyle w:val="211"/>
        <w:spacing w:line="360" w:lineRule="auto"/>
      </w:pPr>
      <w:r>
        <w:t>智能防汛调度与应急处置流程宜按图A.1执行。</w:t>
      </w:r>
    </w:p>
    <w:p w14:paraId="498B190E">
      <w:pPr>
        <w:pStyle w:val="56"/>
        <w:spacing w:line="360" w:lineRule="auto"/>
        <w:ind w:firstLine="0" w:firstLineChars="0"/>
        <w:jc w:val="center"/>
      </w:pPr>
      <w:r>
        <w:drawing>
          <wp:inline distT="0" distB="0" distL="0" distR="0">
            <wp:extent cx="3073400" cy="4610100"/>
            <wp:effectExtent l="0" t="0" r="0" b="0"/>
            <wp:docPr id="10595496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54962" name="图片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3083402" cy="4625103"/>
                    </a:xfrm>
                    <a:prstGeom prst="rect">
                      <a:avLst/>
                    </a:prstGeom>
                    <a:noFill/>
                  </pic:spPr>
                </pic:pic>
              </a:graphicData>
            </a:graphic>
          </wp:inline>
        </w:drawing>
      </w:r>
    </w:p>
    <w:p w14:paraId="7503BBC2">
      <w:pPr>
        <w:pStyle w:val="83"/>
        <w:spacing w:before="120" w:after="120" w:line="360" w:lineRule="auto"/>
      </w:pPr>
      <w:r>
        <w:t>智能防汛调度与应急处置流程</w:t>
      </w:r>
    </w:p>
    <w:p w14:paraId="117C4907">
      <w:pPr>
        <w:pStyle w:val="211"/>
        <w:spacing w:line="360" w:lineRule="auto"/>
      </w:pPr>
      <w:r>
        <w:t>工程管理单位可根据工程类型、调度权限、预案体系和系统条件对流程进行细化，但不得缺少数据校核、人工审核、指令反馈和复盘归档环节。</w:t>
      </w:r>
    </w:p>
    <w:p w14:paraId="483C22A2">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0AE39B2B">
      <w:pPr>
        <w:pStyle w:val="198"/>
        <w:rPr>
          <w:rFonts w:hint="eastAsia"/>
        </w:rPr>
      </w:pPr>
    </w:p>
    <w:p w14:paraId="678A7336">
      <w:pPr>
        <w:pStyle w:val="199"/>
      </w:pPr>
    </w:p>
    <w:p w14:paraId="6F3038A8">
      <w:pPr>
        <w:pStyle w:val="76"/>
        <w:spacing w:after="120" w:line="360" w:lineRule="auto"/>
      </w:pPr>
      <w:r>
        <w:br w:type="textWrapping"/>
      </w:r>
      <w:bookmarkStart w:id="64" w:name="_Toc228606030"/>
      <w:r>
        <w:rPr>
          <w:rFonts w:hint="eastAsia"/>
        </w:rPr>
        <w:t>（资料性）</w:t>
      </w:r>
      <w:r>
        <w:br w:type="textWrapping"/>
      </w:r>
      <w:r>
        <w:rPr>
          <w:rFonts w:hint="eastAsia"/>
        </w:rPr>
        <w:t>智能防汛调度与应急处置复盘评价指标</w:t>
      </w:r>
      <w:bookmarkEnd w:id="64"/>
    </w:p>
    <w:p w14:paraId="59A4592C">
      <w:pPr>
        <w:pStyle w:val="211"/>
        <w:spacing w:line="360" w:lineRule="auto"/>
      </w:pPr>
      <w:r>
        <w:t>智能防汛调度与应急处置复盘评价可按表B.1执行。</w:t>
      </w:r>
    </w:p>
    <w:p w14:paraId="0AA3A44A">
      <w:pPr>
        <w:pStyle w:val="77"/>
        <w:spacing w:before="120" w:after="120" w:line="360" w:lineRule="auto"/>
      </w:pPr>
      <w:r>
        <w:t>智能防汛调度与应急处置复盘评价指标</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2126"/>
        <w:gridCol w:w="5658"/>
      </w:tblGrid>
      <w:tr w14:paraId="03DD21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tcPr>
          <w:p w14:paraId="5C236EC6">
            <w:pPr>
              <w:pStyle w:val="178"/>
            </w:pPr>
            <w:r>
              <w:rPr>
                <w:rFonts w:hint="eastAsia"/>
              </w:rPr>
              <w:t>指标类别</w:t>
            </w:r>
          </w:p>
        </w:tc>
        <w:tc>
          <w:tcPr>
            <w:tcW w:w="2126" w:type="dxa"/>
            <w:tcBorders>
              <w:top w:val="single" w:color="auto" w:sz="8" w:space="0"/>
              <w:bottom w:val="single" w:color="auto" w:sz="8" w:space="0"/>
            </w:tcBorders>
          </w:tcPr>
          <w:p w14:paraId="565D7ED7">
            <w:pPr>
              <w:pStyle w:val="178"/>
            </w:pPr>
            <w:r>
              <w:rPr>
                <w:rFonts w:hint="eastAsia"/>
              </w:rPr>
              <w:t>评价指标</w:t>
            </w:r>
          </w:p>
        </w:tc>
        <w:tc>
          <w:tcPr>
            <w:tcW w:w="5658" w:type="dxa"/>
            <w:tcBorders>
              <w:top w:val="single" w:color="auto" w:sz="8" w:space="0"/>
              <w:bottom w:val="single" w:color="auto" w:sz="8" w:space="0"/>
            </w:tcBorders>
          </w:tcPr>
          <w:p w14:paraId="5BD7E0EF">
            <w:pPr>
              <w:pStyle w:val="178"/>
            </w:pPr>
            <w:r>
              <w:rPr>
                <w:rFonts w:hint="eastAsia"/>
              </w:rPr>
              <w:t>评价要求</w:t>
            </w:r>
          </w:p>
        </w:tc>
      </w:tr>
      <w:tr w14:paraId="0F2FF4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554A66C3">
            <w:pPr>
              <w:pStyle w:val="178"/>
            </w:pPr>
            <w:r>
              <w:rPr>
                <w:rFonts w:hint="eastAsia"/>
              </w:rPr>
              <w:t>数据支撑</w:t>
            </w:r>
          </w:p>
        </w:tc>
        <w:tc>
          <w:tcPr>
            <w:tcW w:w="2126" w:type="dxa"/>
            <w:tcBorders>
              <w:top w:val="single" w:color="auto" w:sz="8" w:space="0"/>
            </w:tcBorders>
          </w:tcPr>
          <w:p w14:paraId="22551BA9">
            <w:pPr>
              <w:pStyle w:val="178"/>
            </w:pPr>
            <w:r>
              <w:rPr>
                <w:rFonts w:hint="eastAsia"/>
              </w:rPr>
              <w:t>数据及时率</w:t>
            </w:r>
          </w:p>
        </w:tc>
        <w:tc>
          <w:tcPr>
            <w:tcW w:w="5658" w:type="dxa"/>
            <w:tcBorders>
              <w:top w:val="single" w:color="auto" w:sz="8" w:space="0"/>
            </w:tcBorders>
          </w:tcPr>
          <w:p w14:paraId="3612ED8C">
            <w:pPr>
              <w:pStyle w:val="178"/>
            </w:pPr>
            <w:r>
              <w:rPr>
                <w:rFonts w:hint="eastAsia"/>
              </w:rPr>
              <w:t>关键监测数据应按规定频率更新，延迟应有标识和处置记录</w:t>
            </w:r>
          </w:p>
        </w:tc>
      </w:tr>
      <w:tr w14:paraId="1CA84E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3DCFD16A">
            <w:pPr>
              <w:pStyle w:val="178"/>
            </w:pPr>
            <w:r>
              <w:rPr>
                <w:rFonts w:hint="eastAsia"/>
              </w:rPr>
              <w:t>数据支撑</w:t>
            </w:r>
          </w:p>
        </w:tc>
        <w:tc>
          <w:tcPr>
            <w:tcW w:w="2126" w:type="dxa"/>
          </w:tcPr>
          <w:p w14:paraId="68A1A107">
            <w:pPr>
              <w:pStyle w:val="178"/>
            </w:pPr>
            <w:r>
              <w:rPr>
                <w:rFonts w:hint="eastAsia"/>
              </w:rPr>
              <w:t>数据完整率</w:t>
            </w:r>
          </w:p>
        </w:tc>
        <w:tc>
          <w:tcPr>
            <w:tcW w:w="5658" w:type="dxa"/>
          </w:tcPr>
          <w:p w14:paraId="1BAB7B5D">
            <w:pPr>
              <w:pStyle w:val="178"/>
            </w:pPr>
            <w:r>
              <w:rPr>
                <w:rFonts w:hint="eastAsia"/>
              </w:rPr>
              <w:t>水雨情、工情、险情、调度和处置数据应完整，不得缺少关键环节</w:t>
            </w:r>
          </w:p>
        </w:tc>
      </w:tr>
      <w:tr w14:paraId="467290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FE74BD4">
            <w:pPr>
              <w:pStyle w:val="178"/>
            </w:pPr>
            <w:r>
              <w:rPr>
                <w:rFonts w:hint="eastAsia"/>
              </w:rPr>
              <w:t>预警管理</w:t>
            </w:r>
          </w:p>
        </w:tc>
        <w:tc>
          <w:tcPr>
            <w:tcW w:w="2126" w:type="dxa"/>
          </w:tcPr>
          <w:p w14:paraId="6754FD66">
            <w:pPr>
              <w:pStyle w:val="178"/>
            </w:pPr>
            <w:r>
              <w:rPr>
                <w:rFonts w:hint="eastAsia"/>
              </w:rPr>
              <w:t>预警发布及时性</w:t>
            </w:r>
          </w:p>
        </w:tc>
        <w:tc>
          <w:tcPr>
            <w:tcW w:w="5658" w:type="dxa"/>
          </w:tcPr>
          <w:p w14:paraId="428A15C9">
            <w:pPr>
              <w:pStyle w:val="178"/>
            </w:pPr>
            <w:r>
              <w:rPr>
                <w:rFonts w:hint="eastAsia"/>
              </w:rPr>
              <w:t>达到触发条件后应按规定时限完成核实和发布</w:t>
            </w:r>
          </w:p>
        </w:tc>
      </w:tr>
      <w:tr w14:paraId="6745A3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34298E3E">
            <w:pPr>
              <w:pStyle w:val="178"/>
            </w:pPr>
            <w:r>
              <w:rPr>
                <w:rFonts w:hint="eastAsia"/>
              </w:rPr>
              <w:t>预警管理</w:t>
            </w:r>
          </w:p>
        </w:tc>
        <w:tc>
          <w:tcPr>
            <w:tcW w:w="2126" w:type="dxa"/>
          </w:tcPr>
          <w:p w14:paraId="3942B9D7">
            <w:pPr>
              <w:pStyle w:val="178"/>
            </w:pPr>
            <w:r>
              <w:rPr>
                <w:rFonts w:hint="eastAsia"/>
              </w:rPr>
              <w:t>预警处置闭环率</w:t>
            </w:r>
          </w:p>
        </w:tc>
        <w:tc>
          <w:tcPr>
            <w:tcW w:w="5658" w:type="dxa"/>
          </w:tcPr>
          <w:p w14:paraId="4FE0345D">
            <w:pPr>
              <w:pStyle w:val="178"/>
            </w:pPr>
            <w:r>
              <w:rPr>
                <w:rFonts w:hint="eastAsia"/>
              </w:rPr>
              <w:t>预警应有接收确认、处置措施、跟踪记录和解除记录</w:t>
            </w:r>
          </w:p>
        </w:tc>
      </w:tr>
      <w:tr w14:paraId="0B828A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5A455FF">
            <w:pPr>
              <w:pStyle w:val="178"/>
            </w:pPr>
            <w:r>
              <w:rPr>
                <w:rFonts w:hint="eastAsia"/>
              </w:rPr>
              <w:t>调度管理</w:t>
            </w:r>
          </w:p>
        </w:tc>
        <w:tc>
          <w:tcPr>
            <w:tcW w:w="2126" w:type="dxa"/>
          </w:tcPr>
          <w:p w14:paraId="3C83FC0B">
            <w:pPr>
              <w:pStyle w:val="178"/>
            </w:pPr>
            <w:r>
              <w:rPr>
                <w:rFonts w:hint="eastAsia"/>
              </w:rPr>
              <w:t>调度方案合规性</w:t>
            </w:r>
          </w:p>
        </w:tc>
        <w:tc>
          <w:tcPr>
            <w:tcW w:w="5658" w:type="dxa"/>
          </w:tcPr>
          <w:p w14:paraId="2E68F4C2">
            <w:pPr>
              <w:pStyle w:val="178"/>
            </w:pPr>
            <w:r>
              <w:rPr>
                <w:rFonts w:hint="eastAsia"/>
              </w:rPr>
              <w:t>调度方案应符合调度规程、会商意见和工程安全要求</w:t>
            </w:r>
          </w:p>
        </w:tc>
      </w:tr>
      <w:tr w14:paraId="3FB89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9FE6F93">
            <w:pPr>
              <w:pStyle w:val="178"/>
            </w:pPr>
            <w:r>
              <w:rPr>
                <w:rFonts w:hint="eastAsia"/>
              </w:rPr>
              <w:t>调度管理</w:t>
            </w:r>
          </w:p>
        </w:tc>
        <w:tc>
          <w:tcPr>
            <w:tcW w:w="2126" w:type="dxa"/>
          </w:tcPr>
          <w:p w14:paraId="210B2854">
            <w:pPr>
              <w:pStyle w:val="178"/>
            </w:pPr>
            <w:r>
              <w:rPr>
                <w:rFonts w:hint="eastAsia"/>
              </w:rPr>
              <w:t>指令闭环率</w:t>
            </w:r>
          </w:p>
        </w:tc>
        <w:tc>
          <w:tcPr>
            <w:tcW w:w="5658" w:type="dxa"/>
          </w:tcPr>
          <w:p w14:paraId="4416F4C2">
            <w:pPr>
              <w:pStyle w:val="178"/>
            </w:pPr>
            <w:r>
              <w:rPr>
                <w:rFonts w:hint="eastAsia"/>
              </w:rPr>
              <w:t>调度指令应完成下达、接收、执行、反馈和复核闭环</w:t>
            </w:r>
          </w:p>
        </w:tc>
      </w:tr>
      <w:tr w14:paraId="1AB029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6E9E093">
            <w:pPr>
              <w:pStyle w:val="178"/>
            </w:pPr>
            <w:r>
              <w:rPr>
                <w:rFonts w:hint="eastAsia"/>
              </w:rPr>
              <w:t>应急处置</w:t>
            </w:r>
          </w:p>
        </w:tc>
        <w:tc>
          <w:tcPr>
            <w:tcW w:w="2126" w:type="dxa"/>
          </w:tcPr>
          <w:p w14:paraId="755923A4">
            <w:pPr>
              <w:pStyle w:val="178"/>
            </w:pPr>
            <w:r>
              <w:rPr>
                <w:rFonts w:hint="eastAsia"/>
              </w:rPr>
              <w:t>响应启动及时性</w:t>
            </w:r>
          </w:p>
        </w:tc>
        <w:tc>
          <w:tcPr>
            <w:tcW w:w="5658" w:type="dxa"/>
          </w:tcPr>
          <w:p w14:paraId="77B94C47">
            <w:pPr>
              <w:pStyle w:val="178"/>
            </w:pPr>
            <w:r>
              <w:rPr>
                <w:rFonts w:hint="eastAsia"/>
              </w:rPr>
              <w:t>达到启动条件时应按预案及时启动响应</w:t>
            </w:r>
          </w:p>
        </w:tc>
      </w:tr>
      <w:tr w14:paraId="14B13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34111A9">
            <w:pPr>
              <w:pStyle w:val="178"/>
            </w:pPr>
            <w:r>
              <w:rPr>
                <w:rFonts w:hint="eastAsia"/>
              </w:rPr>
              <w:t>应急处置</w:t>
            </w:r>
          </w:p>
        </w:tc>
        <w:tc>
          <w:tcPr>
            <w:tcW w:w="2126" w:type="dxa"/>
          </w:tcPr>
          <w:p w14:paraId="224F7F53">
            <w:pPr>
              <w:pStyle w:val="178"/>
            </w:pPr>
            <w:r>
              <w:rPr>
                <w:rFonts w:hint="eastAsia"/>
              </w:rPr>
              <w:t>险情处置有效性</w:t>
            </w:r>
          </w:p>
        </w:tc>
        <w:tc>
          <w:tcPr>
            <w:tcW w:w="5658" w:type="dxa"/>
          </w:tcPr>
          <w:p w14:paraId="5ED4619A">
            <w:pPr>
              <w:pStyle w:val="178"/>
            </w:pPr>
            <w:r>
              <w:rPr>
                <w:rFonts w:hint="eastAsia"/>
              </w:rPr>
              <w:t>险情处置应控制风险发展，并应有现场复核记录</w:t>
            </w:r>
          </w:p>
        </w:tc>
      </w:tr>
      <w:tr w14:paraId="3DFBAA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6CC8C6EC">
            <w:pPr>
              <w:pStyle w:val="178"/>
            </w:pPr>
            <w:r>
              <w:rPr>
                <w:rFonts w:hint="eastAsia"/>
              </w:rPr>
              <w:t>资源保障</w:t>
            </w:r>
          </w:p>
        </w:tc>
        <w:tc>
          <w:tcPr>
            <w:tcW w:w="2126" w:type="dxa"/>
          </w:tcPr>
          <w:p w14:paraId="6D842DBD">
            <w:pPr>
              <w:pStyle w:val="178"/>
            </w:pPr>
            <w:r>
              <w:rPr>
                <w:rFonts w:hint="eastAsia"/>
              </w:rPr>
              <w:t>资源调拨及时性</w:t>
            </w:r>
          </w:p>
        </w:tc>
        <w:tc>
          <w:tcPr>
            <w:tcW w:w="5658" w:type="dxa"/>
          </w:tcPr>
          <w:p w14:paraId="02DB9BFB">
            <w:pPr>
              <w:pStyle w:val="178"/>
            </w:pPr>
            <w:r>
              <w:rPr>
                <w:rFonts w:hint="eastAsia"/>
              </w:rPr>
              <w:t>抢险队伍、物资和设备应按需求及时调拨到位</w:t>
            </w:r>
          </w:p>
        </w:tc>
      </w:tr>
      <w:tr w14:paraId="1288C8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AC6D571">
            <w:pPr>
              <w:pStyle w:val="178"/>
            </w:pPr>
            <w:r>
              <w:rPr>
                <w:rFonts w:hint="eastAsia"/>
              </w:rPr>
              <w:t>协同联动</w:t>
            </w:r>
          </w:p>
        </w:tc>
        <w:tc>
          <w:tcPr>
            <w:tcW w:w="2126" w:type="dxa"/>
          </w:tcPr>
          <w:p w14:paraId="38F754D3">
            <w:pPr>
              <w:pStyle w:val="178"/>
            </w:pPr>
            <w:r>
              <w:rPr>
                <w:rFonts w:hint="eastAsia"/>
              </w:rPr>
              <w:t>联动响应有效性</w:t>
            </w:r>
          </w:p>
        </w:tc>
        <w:tc>
          <w:tcPr>
            <w:tcW w:w="5658" w:type="dxa"/>
          </w:tcPr>
          <w:p w14:paraId="037DF766">
            <w:pPr>
              <w:pStyle w:val="178"/>
            </w:pPr>
            <w:r>
              <w:rPr>
                <w:rFonts w:hint="eastAsia"/>
              </w:rPr>
              <w:t>相关单位应按职责响应，联络和协同记录应完整</w:t>
            </w:r>
          </w:p>
        </w:tc>
      </w:tr>
      <w:tr w14:paraId="7EE578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476B13E">
            <w:pPr>
              <w:pStyle w:val="178"/>
            </w:pPr>
            <w:r>
              <w:rPr>
                <w:rFonts w:hint="eastAsia"/>
              </w:rPr>
              <w:t>系统运维</w:t>
            </w:r>
          </w:p>
        </w:tc>
        <w:tc>
          <w:tcPr>
            <w:tcW w:w="2126" w:type="dxa"/>
          </w:tcPr>
          <w:p w14:paraId="787A4C45">
            <w:pPr>
              <w:pStyle w:val="178"/>
            </w:pPr>
            <w:r>
              <w:rPr>
                <w:rFonts w:hint="eastAsia"/>
              </w:rPr>
              <w:t>系统可用率</w:t>
            </w:r>
          </w:p>
        </w:tc>
        <w:tc>
          <w:tcPr>
            <w:tcW w:w="5658" w:type="dxa"/>
          </w:tcPr>
          <w:p w14:paraId="06CCEE7A">
            <w:pPr>
              <w:pStyle w:val="178"/>
            </w:pPr>
            <w:r>
              <w:rPr>
                <w:rFonts w:hint="eastAsia"/>
              </w:rPr>
              <w:t>系统在防汛关键期应稳定运行，故障应及时处置</w:t>
            </w:r>
          </w:p>
        </w:tc>
      </w:tr>
      <w:tr w14:paraId="5342C9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443CE5EB">
            <w:pPr>
              <w:pStyle w:val="178"/>
            </w:pPr>
            <w:r>
              <w:rPr>
                <w:rFonts w:hint="eastAsia"/>
              </w:rPr>
              <w:t>持续改进</w:t>
            </w:r>
          </w:p>
        </w:tc>
        <w:tc>
          <w:tcPr>
            <w:tcW w:w="2126" w:type="dxa"/>
          </w:tcPr>
          <w:p w14:paraId="6F4D4102">
            <w:pPr>
              <w:pStyle w:val="178"/>
            </w:pPr>
            <w:r>
              <w:rPr>
                <w:rFonts w:hint="eastAsia"/>
              </w:rPr>
              <w:t>整改完成率</w:t>
            </w:r>
          </w:p>
        </w:tc>
        <w:tc>
          <w:tcPr>
            <w:tcW w:w="5658" w:type="dxa"/>
          </w:tcPr>
          <w:p w14:paraId="01C3E55D">
            <w:pPr>
              <w:pStyle w:val="178"/>
            </w:pPr>
            <w:r>
              <w:rPr>
                <w:rFonts w:hint="eastAsia"/>
              </w:rPr>
              <w:t>复盘问题应形成整改清单并闭环验证</w:t>
            </w:r>
          </w:p>
        </w:tc>
      </w:tr>
    </w:tbl>
    <w:p w14:paraId="1A5ACAB9">
      <w:pPr>
        <w:pStyle w:val="211"/>
        <w:spacing w:before="120" w:beforeLines="50" w:line="360" w:lineRule="auto"/>
      </w:pPr>
      <w:r>
        <w:t>评价发现不符合项时，应形成整改记录。整改记录应包括问题描述、原因分析、责任单位、整改措施、完成期限和验证结果。</w:t>
      </w:r>
    </w:p>
    <w:p w14:paraId="739DA05C">
      <w:pPr>
        <w:pStyle w:val="211"/>
        <w:numPr>
          <w:ilvl w:val="0"/>
          <w:numId w:val="0"/>
        </w:numPr>
        <w:spacing w:before="120" w:beforeLines="50" w:line="360" w:lineRule="auto"/>
      </w:pPr>
    </w:p>
    <w:bookmarkEnd w:id="62"/>
    <w:p w14:paraId="0BD3B451">
      <w:pPr>
        <w:pStyle w:val="211"/>
        <w:numPr>
          <w:ilvl w:val="0"/>
          <w:numId w:val="0"/>
        </w:numPr>
        <w:spacing w:before="120" w:beforeLines="50" w:line="360" w:lineRule="auto"/>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bookmarkStart w:id="65" w:name="BookMark6"/>
    </w:p>
    <w:p w14:paraId="1E3B0FF3">
      <w:pPr>
        <w:pStyle w:val="63"/>
        <w:spacing w:after="120" w:line="360" w:lineRule="auto"/>
      </w:pPr>
      <w:bookmarkStart w:id="66" w:name="_Toc228606031"/>
      <w:r>
        <w:rPr>
          <w:rFonts w:hint="eastAsia"/>
          <w:spacing w:val="105"/>
        </w:rPr>
        <w:t>参考文</w:t>
      </w:r>
      <w:r>
        <w:rPr>
          <w:rFonts w:hint="eastAsia"/>
        </w:rPr>
        <w:t>献</w:t>
      </w:r>
      <w:bookmarkEnd w:id="66"/>
    </w:p>
    <w:p w14:paraId="3B5687E5">
      <w:pPr>
        <w:pStyle w:val="56"/>
        <w:spacing w:line="360" w:lineRule="auto"/>
        <w:ind w:firstLine="420"/>
      </w:pPr>
      <w:r>
        <w:rPr>
          <w:rFonts w:hint="eastAsia"/>
        </w:rPr>
        <w:t>[1] GB/T 1.1—2020 标准化工作导则 第1部分：标准化文件的结构和起草规则</w:t>
      </w:r>
    </w:p>
    <w:p w14:paraId="01A81F7B">
      <w:pPr>
        <w:pStyle w:val="56"/>
        <w:spacing w:line="360" w:lineRule="auto"/>
        <w:ind w:firstLine="420"/>
      </w:pPr>
      <w:r>
        <w:rPr>
          <w:rFonts w:hint="eastAsia"/>
        </w:rPr>
        <w:t>[2] GB 50201 防洪标准</w:t>
      </w:r>
    </w:p>
    <w:p w14:paraId="29CC6982">
      <w:pPr>
        <w:pStyle w:val="56"/>
        <w:spacing w:line="360" w:lineRule="auto"/>
        <w:ind w:firstLine="420"/>
      </w:pPr>
      <w:r>
        <w:rPr>
          <w:rFonts w:hint="eastAsia"/>
        </w:rPr>
        <w:t>[3] GB/T 22239 信息安全技术 网络安全等级保护基本要求</w:t>
      </w:r>
    </w:p>
    <w:p w14:paraId="21F86012">
      <w:pPr>
        <w:pStyle w:val="56"/>
        <w:spacing w:line="360" w:lineRule="auto"/>
        <w:ind w:firstLine="420"/>
      </w:pPr>
      <w:r>
        <w:rPr>
          <w:rFonts w:hint="eastAsia"/>
        </w:rPr>
        <w:t>[4] SL 252 水利水电工程等级划分及洪水标准</w:t>
      </w:r>
    </w:p>
    <w:p w14:paraId="508A4839">
      <w:pPr>
        <w:pStyle w:val="56"/>
        <w:spacing w:line="360" w:lineRule="auto"/>
        <w:ind w:firstLine="420"/>
      </w:pPr>
      <w:r>
        <w:rPr>
          <w:rFonts w:hint="eastAsia"/>
        </w:rPr>
        <w:t>[5] SL 61 水文自动测报系统技术规范</w:t>
      </w:r>
    </w:p>
    <w:p w14:paraId="6401A54F">
      <w:pPr>
        <w:pStyle w:val="56"/>
        <w:spacing w:line="360" w:lineRule="auto"/>
        <w:ind w:firstLine="420"/>
      </w:pPr>
      <w:r>
        <w:rPr>
          <w:rFonts w:hint="eastAsia"/>
        </w:rPr>
        <w:t>[6] SL/T 213 水利对象分类与编码总则</w:t>
      </w:r>
    </w:p>
    <w:p w14:paraId="2E2FADC1">
      <w:pPr>
        <w:pStyle w:val="56"/>
        <w:spacing w:line="360" w:lineRule="auto"/>
        <w:ind w:firstLine="420"/>
      </w:pPr>
      <w:r>
        <w:rPr>
          <w:rFonts w:hint="eastAsia"/>
        </w:rPr>
        <w:t>[7] SL/T 701 水利信息分类与编码总则</w:t>
      </w:r>
    </w:p>
    <w:p w14:paraId="762987B9">
      <w:pPr>
        <w:pStyle w:val="56"/>
        <w:spacing w:line="360" w:lineRule="auto"/>
        <w:ind w:firstLine="420"/>
      </w:pPr>
      <w:r>
        <w:rPr>
          <w:rFonts w:hint="eastAsia"/>
        </w:rPr>
        <w:t>[8] SL/T 809 水利对象基础数据库表结构及标识符</w:t>
      </w:r>
    </w:p>
    <w:p w14:paraId="74A55FBE">
      <w:pPr>
        <w:pStyle w:val="56"/>
        <w:spacing w:line="360" w:lineRule="auto"/>
        <w:ind w:firstLine="420"/>
      </w:pPr>
      <w:r>
        <w:rPr>
          <w:rFonts w:hint="eastAsia"/>
        </w:rPr>
        <w:t>[9] SL/T 830 水利信息系统运行维护规范</w:t>
      </w:r>
    </w:p>
    <w:bookmarkEnd w:id="65"/>
    <w:p w14:paraId="2D1D4EA6">
      <w:pPr>
        <w:pStyle w:val="56"/>
        <w:ind w:firstLine="0" w:firstLineChars="0"/>
        <w:jc w:val="center"/>
      </w:pPr>
      <w:bookmarkStart w:id="67" w:name="BookMark8"/>
      <w:r>
        <w:rPr>
          <w:rFonts w:hint="eastAsia"/>
        </w:rPr>
        <w:drawing>
          <wp:inline distT="0" distB="0" distL="0" distR="0">
            <wp:extent cx="1485900" cy="317500"/>
            <wp:effectExtent l="0" t="0" r="0" b="6350"/>
            <wp:docPr id="1569468093" name="图片 4"/>
            <wp:cNvGraphicFramePr/>
            <a:graphic xmlns:a="http://schemas.openxmlformats.org/drawingml/2006/main">
              <a:graphicData uri="http://schemas.openxmlformats.org/drawingml/2006/picture">
                <pic:pic xmlns:pic="http://schemas.openxmlformats.org/drawingml/2006/picture">
                  <pic:nvPicPr>
                    <pic:cNvPr id="1569468093" name="图片 4"/>
                    <pic:cNvPicPr/>
                  </pic:nvPicPr>
                  <pic:blipFill>
                    <a:blip r:embed="rId4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67AAC">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22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3F477">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4186B">
    <w:pPr>
      <w:pStyle w:val="51"/>
    </w:pPr>
    <w:r>
      <w:fldChar w:fldCharType="begin"/>
    </w:r>
    <w:r>
      <w:instrText xml:space="preserve"> PAGE   \* MERGEFORMAT \* MERGEFORMAT </w:instrText>
    </w:r>
    <w:r>
      <w:fldChar w:fldCharType="separate"/>
    </w:r>
    <w:r>
      <w:t>23</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587F7">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C37E5">
    <w:pPr>
      <w:pStyle w:val="51"/>
    </w:pPr>
    <w:r>
      <w:fldChar w:fldCharType="begin"/>
    </w:r>
    <w:r>
      <w:instrText xml:space="preserve"> PAGE   \* MERGEFORMAT \* MERGEFORMAT </w:instrText>
    </w:r>
    <w:r>
      <w:fldChar w:fldCharType="separate"/>
    </w:r>
    <w:r>
      <w:t>23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58CF4">
    <w:pPr>
      <w:pStyle w:val="52"/>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39B12">
    <w:pPr>
      <w:pStyle w:val="51"/>
    </w:pPr>
    <w:r>
      <w:fldChar w:fldCharType="begin"/>
    </w:r>
    <w:r>
      <w:instrText xml:space="preserve"> PAGE   \* MERGEFORMAT \* MERGEFORMAT </w:instrText>
    </w:r>
    <w:r>
      <w:fldChar w:fldCharType="separate"/>
    </w:r>
    <w:r>
      <w:t>23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09692">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EDFC6">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0282—2026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0282—2026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3391D">
    <w:pPr>
      <w:pStyle w:val="61"/>
      <w:rPr>
        <w:rFonts w:hint="eastAsia"/>
      </w:rPr>
    </w:pPr>
    <w:r>
      <w:fldChar w:fldCharType="begin"/>
    </w:r>
    <w:r>
      <w:instrText xml:space="preserve"> STYLEREF  标准文件_文件编号  \* MERGEFORMAT </w:instrText>
    </w:r>
    <w:r>
      <w:fldChar w:fldCharType="separate"/>
    </w:r>
    <w:r>
      <w:t>T/XZBX 0282—2026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981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0282—2026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C8F2A">
    <w:pPr>
      <w:pStyle w:val="61"/>
      <w:rPr>
        <w:rFonts w:hint="eastAsia"/>
      </w:rPr>
    </w:pPr>
    <w:r>
      <w:fldChar w:fldCharType="begin"/>
    </w:r>
    <w:r>
      <w:instrText xml:space="preserve"> STYLEREF  标准文件_文件编号  \* MERGEFORMAT </w:instrText>
    </w:r>
    <w:r>
      <w:fldChar w:fldCharType="separate"/>
    </w:r>
    <w:r>
      <w:t>T/XZBX 0282—2026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03F08">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0282—2026</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AD03E">
    <w:pPr>
      <w:pStyle w:val="61"/>
      <w:rPr>
        <w:rFonts w:hint="eastAsia"/>
      </w:rPr>
    </w:pPr>
    <w:r>
      <w:fldChar w:fldCharType="begin"/>
    </w:r>
    <w:r>
      <w:instrText xml:space="preserve"> STYLEREF  标准文件_文件编号  \* MERGEFORMAT </w:instrText>
    </w:r>
    <w:r>
      <w:fldChar w:fldCharType="separate"/>
    </w:r>
    <w:r>
      <w:t>T/XZBX 0282—2026</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6BAB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0282—2026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DD5B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0282—2026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0282—2026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0F7E5">
    <w:pPr>
      <w:pStyle w:val="61"/>
      <w:rPr>
        <w:rFonts w:hint="eastAsia"/>
      </w:rPr>
    </w:pPr>
    <w:r>
      <w:fldChar w:fldCharType="begin"/>
    </w:r>
    <w:r>
      <w:instrText xml:space="preserve"> STYLEREF  标准文件_文件编号  \* MERGEFORMAT </w:instrText>
    </w:r>
    <w:r>
      <w:fldChar w:fldCharType="separate"/>
    </w:r>
    <w:r>
      <w:t>T/XZBX 0282—2026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CD35A">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0282—2026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0282—2026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0282—2026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CCC"/>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4F7F96"/>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9786E"/>
    <w:rsid w:val="005A0966"/>
    <w:rsid w:val="005A11B7"/>
    <w:rsid w:val="005A260B"/>
    <w:rsid w:val="005A4A1B"/>
    <w:rsid w:val="005A7830"/>
    <w:rsid w:val="005A7FCE"/>
    <w:rsid w:val="005B0F3F"/>
    <w:rsid w:val="005B12D5"/>
    <w:rsid w:val="005B18DA"/>
    <w:rsid w:val="005B191C"/>
    <w:rsid w:val="005B4903"/>
    <w:rsid w:val="005B51CE"/>
    <w:rsid w:val="005B529D"/>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DBE"/>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9CB"/>
    <w:rsid w:val="008F7EA2"/>
    <w:rsid w:val="00902722"/>
    <w:rsid w:val="009027BC"/>
    <w:rsid w:val="00903FE5"/>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23D"/>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38D"/>
    <w:rsid w:val="00FE3901"/>
    <w:rsid w:val="00FE39D3"/>
    <w:rsid w:val="00FE4BCE"/>
    <w:rsid w:val="00FE54AE"/>
    <w:rsid w:val="00FE576A"/>
    <w:rsid w:val="00FE7E79"/>
    <w:rsid w:val="00FF3E7D"/>
    <w:rsid w:val="00FF5B99"/>
    <w:rsid w:val="00FF730C"/>
    <w:rsid w:val="00FF73F4"/>
    <w:rsid w:val="00FF7CE4"/>
    <w:rsid w:val="00FF7E39"/>
    <w:rsid w:val="4AB7264C"/>
    <w:rsid w:val="59313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8" Type="http://schemas.openxmlformats.org/officeDocument/2006/relationships/glossaryDocument" Target="glossary/document.xml"/><Relationship Id="rId47" Type="http://schemas.openxmlformats.org/officeDocument/2006/relationships/fontTable" Target="fontTable.xml"/><Relationship Id="rId46" Type="http://schemas.openxmlformats.org/officeDocument/2006/relationships/customXml" Target="../customXml/item2.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4.jpeg"/><Relationship Id="rId42" Type="http://schemas.openxmlformats.org/officeDocument/2006/relationships/image" Target="media/image3.png"/><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4330E5A4">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16DE7F8B">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322F03B5">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244157"/>
    <w:rsid w:val="002E6AD9"/>
    <w:rsid w:val="003646F4"/>
    <w:rsid w:val="003F62CE"/>
    <w:rsid w:val="004A6324"/>
    <w:rsid w:val="005416C0"/>
    <w:rsid w:val="005B12D5"/>
    <w:rsid w:val="005B18DA"/>
    <w:rsid w:val="005B529D"/>
    <w:rsid w:val="005E4B5C"/>
    <w:rsid w:val="006141C6"/>
    <w:rsid w:val="00652769"/>
    <w:rsid w:val="00796662"/>
    <w:rsid w:val="008C0337"/>
    <w:rsid w:val="008E6778"/>
    <w:rsid w:val="008F79CB"/>
    <w:rsid w:val="00AA2819"/>
    <w:rsid w:val="00AE100B"/>
    <w:rsid w:val="00AE1DC6"/>
    <w:rsid w:val="00CE7F1C"/>
    <w:rsid w:val="00E76885"/>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31</Pages>
  <Words>4558</Words>
  <Characters>4940</Characters>
  <Lines>631</Lines>
  <Paragraphs>548</Paragraphs>
  <TotalTime>3</TotalTime>
  <ScaleCrop>false</ScaleCrop>
  <LinksUpToDate>false</LinksUpToDate>
  <CharactersWithSpaces>5078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2026-05-19T06:43:43Z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FF56D40B61624DEAA2D6093F135750B4_13</vt:lpwstr>
  </property>
</Properties>
</file>