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67.04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67.040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X 00"/>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X 00</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81"/>
            </w:textInput>
          </w:ffData>
        </w:fldChar>
      </w:r>
      <w:bookmarkStart w:id="6" w:name="NSTD_CODE_F"/>
      <w:r>
        <w:instrText xml:space="preserve"> FORMTEXT </w:instrText>
      </w:r>
      <w:r>
        <w:fldChar w:fldCharType="separate"/>
      </w:r>
      <w:r>
        <w:t>0281</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绿色食品认证现场检查质量评价准则"/>
            </w:textInput>
          </w:ffData>
        </w:fldChar>
      </w:r>
      <w:bookmarkStart w:id="9" w:name="CSTD_NAME"/>
      <w:r>
        <w:rPr>
          <w:rFonts w:hint="eastAsia"/>
        </w:rPr>
        <w:instrText xml:space="preserve"> FORMTEXT </w:instrText>
      </w:r>
      <w:r>
        <w:rPr>
          <w:rFonts w:hint="eastAsia"/>
        </w:rPr>
        <w:fldChar w:fldCharType="separate"/>
      </w:r>
      <w:r>
        <w:rPr>
          <w:rFonts w:hint="eastAsia"/>
        </w:rPr>
        <w:t>绿色食品认证现场检查质量评价准则</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riteria for quality evaluation of on-site inspection for green food certification"/>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Criteria for quality evaluation of on-site inspection for green food certification</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67A2712A">
      <w:pPr>
        <w:pStyle w:val="91"/>
        <w:spacing w:after="360"/>
        <w:rPr>
          <w:rFonts w:hint="eastAsia"/>
        </w:rPr>
      </w:pPr>
      <w:bookmarkStart w:id="21" w:name="BookMark1"/>
      <w:r>
        <w:rPr>
          <w:rFonts w:hint="eastAsia"/>
          <w:spacing w:val="320"/>
        </w:rPr>
        <w:t>目</w:t>
      </w:r>
      <w:r>
        <w:rPr>
          <w:rFonts w:hint="eastAsia"/>
        </w:rPr>
        <w:t>次</w:t>
      </w:r>
    </w:p>
    <w:p w14:paraId="3AFBF69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"_Toc228607126"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_Toc228607126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6F2F82E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"_Toc228607127"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_Toc228607127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0CBDAA6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"_Toc228607128"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_Toc228607128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33F7DE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"_Toc228607129"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_Toc228607129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5CDAEC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"_Toc228607130"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_Toc228607130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EB6FA6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"_Toc228607131"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_Toc228607131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CB15A2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"_Toc228607132" </w:instrText>
      </w:r>
      <w:r>
        <w:fldChar w:fldCharType="separate"/>
      </w:r>
      <w:r>
        <w:rPr>
          <w:rStyle w:val="32"/>
        </w:rPr>
        <w:t>5  评价对象与评价内容</w:t>
      </w:r>
      <w:r>
        <w:rPr>
          <w:rFonts w:hint="eastAsia"/>
        </w:rPr>
        <w:tab/>
      </w:r>
      <w:r>
        <w:rPr>
          <w:rFonts w:hint="eastAsia"/>
        </w:rPr>
        <w:fldChar w:fldCharType="begin"/>
      </w:r>
      <w:r>
        <w:rPr>
          <w:rFonts w:hint="eastAsia"/>
        </w:rPr>
        <w:instrText xml:space="preserve"> </w:instrText>
      </w:r>
      <w:r>
        <w:instrText xml:space="preserve">PAGEREF _Toc228607132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ADB382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"_Toc228607133" </w:instrText>
      </w:r>
      <w:r>
        <w:fldChar w:fldCharType="separate"/>
      </w:r>
      <w:r>
        <w:rPr>
          <w:rStyle w:val="32"/>
        </w:rPr>
        <w:t>6  评价指标体系</w:t>
      </w:r>
      <w:r>
        <w:rPr>
          <w:rFonts w:hint="eastAsia"/>
        </w:rPr>
        <w:tab/>
      </w:r>
      <w:r>
        <w:rPr>
          <w:rFonts w:hint="eastAsia"/>
        </w:rPr>
        <w:fldChar w:fldCharType="begin"/>
      </w:r>
      <w:r>
        <w:rPr>
          <w:rFonts w:hint="eastAsia"/>
        </w:rPr>
        <w:instrText xml:space="preserve"> </w:instrText>
      </w:r>
      <w:r>
        <w:instrText xml:space="preserve">PAGEREF _Toc228607133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705B7F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"_Toc228607134" </w:instrText>
      </w:r>
      <w:r>
        <w:fldChar w:fldCharType="separate"/>
      </w:r>
      <w:r>
        <w:rPr>
          <w:rStyle w:val="32"/>
        </w:rPr>
        <w:t>7  评价方法</w:t>
      </w:r>
      <w:r>
        <w:rPr>
          <w:rFonts w:hint="eastAsia"/>
        </w:rPr>
        <w:tab/>
      </w:r>
      <w:r>
        <w:rPr>
          <w:rFonts w:hint="eastAsia"/>
        </w:rPr>
        <w:fldChar w:fldCharType="begin"/>
      </w:r>
      <w:r>
        <w:rPr>
          <w:rFonts w:hint="eastAsia"/>
        </w:rPr>
        <w:instrText xml:space="preserve"> </w:instrText>
      </w:r>
      <w:r>
        <w:instrText xml:space="preserve">PAGEREF _Toc228607134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16F2E0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"_Toc228607135" </w:instrText>
      </w:r>
      <w:r>
        <w:fldChar w:fldCharType="separate"/>
      </w:r>
      <w:r>
        <w:rPr>
          <w:rStyle w:val="32"/>
        </w:rPr>
        <w:t>8  评价程序</w:t>
      </w:r>
      <w:r>
        <w:rPr>
          <w:rFonts w:hint="eastAsia"/>
        </w:rPr>
        <w:tab/>
      </w:r>
      <w:r>
        <w:rPr>
          <w:rFonts w:hint="eastAsia"/>
        </w:rPr>
        <w:fldChar w:fldCharType="begin"/>
      </w:r>
      <w:r>
        <w:rPr>
          <w:rFonts w:hint="eastAsia"/>
        </w:rPr>
        <w:instrText xml:space="preserve"> </w:instrText>
      </w:r>
      <w:r>
        <w:instrText xml:space="preserve">PAGEREF _Toc228607135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144F42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"_Toc228607136" </w:instrText>
      </w:r>
      <w:r>
        <w:fldChar w:fldCharType="separate"/>
      </w:r>
      <w:r>
        <w:rPr>
          <w:rStyle w:val="32"/>
        </w:rPr>
        <w:t>9  评价结果判定</w:t>
      </w:r>
      <w:r>
        <w:rPr>
          <w:rFonts w:hint="eastAsia"/>
        </w:rPr>
        <w:tab/>
      </w:r>
      <w:r>
        <w:rPr>
          <w:rFonts w:hint="eastAsia"/>
        </w:rPr>
        <w:fldChar w:fldCharType="begin"/>
      </w:r>
      <w:r>
        <w:rPr>
          <w:rFonts w:hint="eastAsia"/>
        </w:rPr>
        <w:instrText xml:space="preserve"> </w:instrText>
      </w:r>
      <w:r>
        <w:instrText xml:space="preserve">PAGEREF _Toc228607136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0D57EF9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"_Toc228607137" </w:instrText>
      </w:r>
      <w:r>
        <w:fldChar w:fldCharType="separate"/>
      </w:r>
      <w:r>
        <w:rPr>
          <w:rStyle w:val="32"/>
        </w:rPr>
        <w:t>10  问题整改与验证</w:t>
      </w:r>
      <w:r>
        <w:rPr>
          <w:rFonts w:hint="eastAsia"/>
        </w:rPr>
        <w:tab/>
      </w:r>
      <w:r>
        <w:rPr>
          <w:rFonts w:hint="eastAsia"/>
        </w:rPr>
        <w:fldChar w:fldCharType="begin"/>
      </w:r>
      <w:r>
        <w:rPr>
          <w:rFonts w:hint="eastAsia"/>
        </w:rPr>
        <w:instrText xml:space="preserve"> </w:instrText>
      </w:r>
      <w:r>
        <w:instrText xml:space="preserve">PAGEREF _Toc228607137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0190134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"_Toc228607138" </w:instrText>
      </w:r>
      <w:r>
        <w:fldChar w:fldCharType="separate"/>
      </w:r>
      <w:r>
        <w:rPr>
          <w:rStyle w:val="32"/>
        </w:rPr>
        <w:t>11  评价报告</w:t>
      </w:r>
      <w:r>
        <w:rPr>
          <w:rFonts w:hint="eastAsia"/>
        </w:rPr>
        <w:tab/>
      </w:r>
      <w:r>
        <w:rPr>
          <w:rFonts w:hint="eastAsia"/>
        </w:rPr>
        <w:fldChar w:fldCharType="begin"/>
      </w:r>
      <w:r>
        <w:rPr>
          <w:rFonts w:hint="eastAsia"/>
        </w:rPr>
        <w:instrText xml:space="preserve"> </w:instrText>
      </w:r>
      <w:r>
        <w:instrText xml:space="preserve">PAGEREF _Toc228607138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0F40824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"_Toc228607139" </w:instrText>
      </w:r>
      <w:r>
        <w:fldChar w:fldCharType="separate"/>
      </w:r>
      <w:r>
        <w:rPr>
          <w:rStyle w:val="32"/>
        </w:rPr>
        <w:t>12  档案管理</w:t>
      </w:r>
      <w:r>
        <w:rPr>
          <w:rFonts w:hint="eastAsia"/>
        </w:rPr>
        <w:tab/>
      </w:r>
      <w:r>
        <w:rPr>
          <w:rFonts w:hint="eastAsia"/>
        </w:rPr>
        <w:fldChar w:fldCharType="begin"/>
      </w:r>
      <w:r>
        <w:rPr>
          <w:rFonts w:hint="eastAsia"/>
        </w:rPr>
        <w:instrText xml:space="preserve"> </w:instrText>
      </w:r>
      <w:r>
        <w:instrText xml:space="preserve">PAGEREF _Toc228607139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38D3B95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"_Toc228607140" </w:instrText>
      </w:r>
      <w:r>
        <w:fldChar w:fldCharType="separate"/>
      </w:r>
      <w:r>
        <w:rPr>
          <w:rStyle w:val="32"/>
        </w:rPr>
        <w:t>附录A（资料性）  绿色食品认证现场检查质量评价指标表</w:t>
      </w:r>
      <w:r>
        <w:rPr>
          <w:rFonts w:hint="eastAsia"/>
        </w:rPr>
        <w:tab/>
      </w:r>
      <w:r>
        <w:rPr>
          <w:rFonts w:hint="eastAsia"/>
        </w:rPr>
        <w:fldChar w:fldCharType="begin"/>
      </w:r>
      <w:r>
        <w:rPr>
          <w:rFonts w:hint="eastAsia"/>
        </w:rPr>
        <w:instrText xml:space="preserve"> </w:instrText>
      </w:r>
      <w:r>
        <w:instrText xml:space="preserve">PAGEREF _Toc228607140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2D79024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"_Toc228607141" </w:instrText>
      </w:r>
      <w:r>
        <w:fldChar w:fldCharType="separate"/>
      </w:r>
      <w:r>
        <w:rPr>
          <w:rStyle w:val="32"/>
        </w:rPr>
        <w:t>附录B（资料性）  现场检查质量问题整改验证记录表</w:t>
      </w:r>
      <w:r>
        <w:rPr>
          <w:rFonts w:hint="eastAsia"/>
        </w:rPr>
        <w:tab/>
      </w:r>
      <w:r>
        <w:rPr>
          <w:rFonts w:hint="eastAsia"/>
        </w:rPr>
        <w:fldChar w:fldCharType="begin"/>
      </w:r>
      <w:r>
        <w:rPr>
          <w:rFonts w:hint="eastAsia"/>
        </w:rPr>
        <w:instrText xml:space="preserve"> </w:instrText>
      </w:r>
      <w:r>
        <w:instrText xml:space="preserve">PAGEREF _Toc228607141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16590F4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"_Toc228607142" </w:instrText>
      </w:r>
      <w:r>
        <w:fldChar w:fldCharType="separate"/>
      </w:r>
      <w:r>
        <w:rPr>
          <w:rStyle w:val="32"/>
        </w:rPr>
        <w:t>参考文献</w:t>
      </w:r>
      <w:r>
        <w:rPr>
          <w:rFonts w:hint="eastAsia"/>
        </w:rPr>
        <w:tab/>
      </w:r>
      <w:r>
        <w:rPr>
          <w:rFonts w:hint="eastAsia"/>
        </w:rPr>
        <w:fldChar w:fldCharType="begin"/>
      </w:r>
      <w:r>
        <w:rPr>
          <w:rFonts w:hint="eastAsia"/>
        </w:rPr>
        <w:instrText xml:space="preserve"> </w:instrText>
      </w:r>
      <w:r>
        <w:instrText xml:space="preserve">PAGEREF _Toc228607142 \h</w:instrText>
      </w:r>
      <w:r>
        <w:rPr>
          <w:rFonts w:hint="eastAsia"/>
        </w:rPr>
        <w:instrText xml:space="preserve"> </w:instrText>
      </w:r>
      <w:r>
        <w:rPr>
          <w:rFonts w:hint="eastAsia"/>
        </w:rPr>
        <w:fldChar w:fldCharType="separate"/>
      </w:r>
      <w:r>
        <w:t>24</w:t>
      </w:r>
      <w:r>
        <w:rPr>
          <w:rFonts w:hint="eastAsia"/>
        </w:rPr>
        <w:fldChar w:fldCharType="end"/>
      </w:r>
      <w:r>
        <w:rPr>
          <w:rFonts w:hint="eastAsia"/>
        </w:rPr>
        <w:fldChar w:fldCharType="end"/>
      </w:r>
    </w:p>
    <w:p w14:paraId="5CD192AB">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7126"/>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来宾市农业生态和耕地质量保护中心</w:t>
      </w:r>
      <w:bookmarkStart w:id="66" w:name="_GoBack"/>
      <w:bookmarkEnd w:id="66"/>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蔡勇胜。</w:t>
      </w:r>
    </w:p>
    <w:bookmarkEnd w:id="23"/>
    <w:p w14:paraId="66D0A2F3">
      <w:pPr>
        <w:pStyle w:val="89"/>
        <w:spacing w:after="360"/>
      </w:pPr>
      <w:bookmarkStart w:id="24" w:name="_Toc228607127"/>
      <w:bookmarkStart w:id="25" w:name="BookMark3"/>
      <w:r>
        <w:rPr>
          <w:spacing w:val="320"/>
        </w:rPr>
        <w:t>引</w:t>
      </w:r>
      <w:r>
        <w:t>言</w:t>
      </w:r>
      <w:bookmarkEnd w:id="24"/>
    </w:p>
    <w:p w14:paraId="13DAD607">
      <w:pPr>
        <w:pStyle w:val="56"/>
        <w:spacing w:line="360" w:lineRule="auto"/>
        <w:ind w:firstLine="420"/>
      </w:pPr>
      <w:r>
        <w:rPr>
          <w:rFonts w:hint="eastAsia"/>
        </w:rPr>
        <w:t>绿色食品认证现场检查是绿色食品认证活动中的重要环节，是核查申请主体生产环境、生产过程、投入品使用、质量控制、追溯管理、包装贮运、记录档案和持续符合性的重要技术手段。现场检查质量直接影响认证结论的客观性、公正性和有效性，也关系到绿色食品品牌公信力、消费者权益保护、农产品质量安全和农业绿色发展水平。随着绿色食品认证规模扩大、产品类别增多、生产经营主体类型多样化以及数字化监管手段不断应用，现场检查工作面临检查对象复杂、风险因素多元、检查证据来源分散、检查人员能力差异和质量评价口径不统一等问题，有必要建立系统、明确、可操作的现场检查质量评价要求。</w:t>
      </w:r>
    </w:p>
    <w:p w14:paraId="4CC37BD0">
      <w:pPr>
        <w:pStyle w:val="56"/>
        <w:spacing w:line="360" w:lineRule="auto"/>
        <w:ind w:firstLine="420"/>
      </w:pPr>
      <w:r>
        <w:rPr>
          <w:rFonts w:hint="eastAsia"/>
        </w:rPr>
        <w:t>绿色食品认证现场检查质量评价不应仅理解为对检查报告格式或检查材料完整性的形式审查，也不应仅以是否完成现场检查任务作为质量评价依据，而应围绕现场检查全过程，对检查准备、检查方案、人员能力、现场核查、证据获取、问题判定、记录填写、沟通确认、报告编制、整改验证和档案管理等环节进行综合评价。现场检查质量评价应关注检查是否覆盖认证要求，检查证据是否充分，风险点是否识别，问题判定是否准确，检查记录是否真实完整，整改要求是否明确，评价结论是否能够支撑认证决定。</w:t>
      </w:r>
    </w:p>
    <w:p w14:paraId="5F22A517">
      <w:pPr>
        <w:pStyle w:val="56"/>
        <w:spacing w:line="360" w:lineRule="auto"/>
        <w:ind w:firstLine="420"/>
      </w:pPr>
      <w:r>
        <w:rPr>
          <w:rFonts w:hint="eastAsia"/>
        </w:rPr>
        <w:t>在实际认证工作中，部分绿色食品认证现场检查仍存在检查准备不充分、生产主体基本信息核对不完整、产地环境风险识别不足、投入品核查不细、生产记录与现场实际不一致未充分追溯、抽样或证据留存不规范、检查发现问题描述笼统、整改要求不具体、检查报告与现场证据不匹配、检查质量复核机制不完善等情况。上述问题容易造成现场检查结论偏差，影响认证风险控制和后续监督管理，也可能导致不符合绿色食品标准要求的产品进入认证程序，或使符合要求的主体因评价尺度不一致而受到不合理影响。</w:t>
      </w:r>
    </w:p>
    <w:p w14:paraId="2CE3CEC9">
      <w:pPr>
        <w:pStyle w:val="56"/>
        <w:spacing w:line="360" w:lineRule="auto"/>
        <w:ind w:firstLine="420"/>
      </w:pPr>
      <w:r>
        <w:rPr>
          <w:rFonts w:hint="eastAsia"/>
        </w:rPr>
        <w:t>本文件围绕绿色食品认证现场检查质量评价活动，拟对评价原则、评价对象、评价内容、评价指标、评价方法、评价程序、评价结果判定、问题整改、评价报告和档案管理等内容作出规定。本文件注重将现场检查质量要求转化为可检查、可评分、可追溯、可复核的评价条款，强化“应”“不得”等规范性表达，减少原则性、解释性和倡导性表述，便于认证机构、检查机构、检查人员管理部门、质量控制部门及相关监督管理单位开展现场检查质量评价和改进工作。</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绿色食品认证现场检查质量评价准则</w:t>
          </w:r>
        </w:p>
      </w:sdtContent>
    </w:sdt>
    <w:bookmarkEnd w:id="27"/>
    <w:p w14:paraId="3DB22445">
      <w:pPr>
        <w:pStyle w:val="104"/>
        <w:spacing w:before="240" w:after="240" w:line="360" w:lineRule="auto"/>
      </w:pPr>
      <w:bookmarkStart w:id="28" w:name="_Toc17233325"/>
      <w:bookmarkStart w:id="29" w:name="_Toc17233333"/>
      <w:bookmarkStart w:id="30" w:name="_Toc24884211"/>
      <w:bookmarkStart w:id="31" w:name="_Toc24884218"/>
      <w:bookmarkStart w:id="32" w:name="_Toc26648465"/>
      <w:bookmarkStart w:id="33" w:name="_Toc26986530"/>
      <w:bookmarkStart w:id="34" w:name="_Toc26718930"/>
      <w:bookmarkStart w:id="35" w:name="_Toc26986771"/>
      <w:bookmarkStart w:id="36" w:name="_Toc97192964"/>
      <w:bookmarkStart w:id="37" w:name="_Toc228607128"/>
      <w:r>
        <w:rPr>
          <w:rFonts w:hint="eastAsia"/>
        </w:rPr>
        <w:t>范围</w:t>
      </w:r>
      <w:bookmarkEnd w:id="28"/>
      <w:bookmarkEnd w:id="29"/>
      <w:bookmarkEnd w:id="30"/>
      <w:bookmarkEnd w:id="31"/>
      <w:bookmarkEnd w:id="32"/>
      <w:bookmarkEnd w:id="33"/>
      <w:bookmarkEnd w:id="34"/>
      <w:bookmarkEnd w:id="35"/>
      <w:bookmarkEnd w:id="36"/>
      <w:bookmarkEnd w:id="37"/>
    </w:p>
    <w:p w14:paraId="4773E068">
      <w:pPr>
        <w:pStyle w:val="56"/>
        <w:spacing w:line="360" w:lineRule="auto"/>
        <w:ind w:firstLine="420"/>
      </w:pPr>
      <w:bookmarkStart w:id="38" w:name="_Toc24884212"/>
      <w:bookmarkStart w:id="39" w:name="_Toc17233326"/>
      <w:bookmarkStart w:id="40" w:name="_Toc24884219"/>
      <w:bookmarkStart w:id="41" w:name="_Toc17233334"/>
      <w:bookmarkStart w:id="42" w:name="_Toc26648466"/>
      <w:r>
        <w:rPr>
          <w:rFonts w:hint="eastAsia"/>
        </w:rPr>
        <w:t>本文件规定了绿色食品认证现场检查质量评价的基本要求、评价对象与评价内容、评价指标体系、评价方法、评价程序、评价结果判定、问题整改与验证、评价报告和档案管理等要求。</w:t>
      </w:r>
    </w:p>
    <w:p w14:paraId="604E3CD6">
      <w:pPr>
        <w:pStyle w:val="56"/>
        <w:spacing w:line="360" w:lineRule="auto"/>
        <w:ind w:firstLine="420"/>
      </w:pPr>
      <w:r>
        <w:rPr>
          <w:rFonts w:hint="eastAsia"/>
        </w:rPr>
        <w:t>本文件适用于绿色食品认证机构、检查机构、质量管理部门及相关管理单位对绿色食品认证现场检查活动开展质量评价、质量复核、人员考核、监督抽查和持续改进。</w:t>
      </w:r>
    </w:p>
    <w:p w14:paraId="3733B2AD">
      <w:pPr>
        <w:pStyle w:val="104"/>
        <w:spacing w:before="240" w:after="240" w:line="360" w:lineRule="auto"/>
      </w:pPr>
      <w:bookmarkStart w:id="43" w:name="_Toc26718931"/>
      <w:bookmarkStart w:id="44" w:name="_Toc228607129"/>
      <w:bookmarkStart w:id="45" w:name="_Toc26986531"/>
      <w:bookmarkStart w:id="46" w:name="_Toc26986772"/>
      <w:bookmarkStart w:id="47" w:name="_Toc97192965"/>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7282B3">
      <w:pPr>
        <w:pStyle w:val="56"/>
        <w:spacing w:line="360" w:lineRule="auto"/>
        <w:ind w:firstLine="420"/>
      </w:pPr>
      <w:r>
        <w:rPr>
          <w:rFonts w:hint="eastAsia"/>
        </w:rPr>
        <w:t>GB/T 19000 质量管理体系  基础和术语</w:t>
      </w:r>
    </w:p>
    <w:p w14:paraId="56B5EE3C">
      <w:pPr>
        <w:pStyle w:val="56"/>
        <w:spacing w:line="360" w:lineRule="auto"/>
        <w:ind w:firstLine="420"/>
      </w:pPr>
      <w:r>
        <w:rPr>
          <w:rFonts w:hint="eastAsia"/>
        </w:rPr>
        <w:t>GB/T 27000 合格评定  词汇和通用原则</w:t>
      </w:r>
    </w:p>
    <w:p w14:paraId="2AD951DE">
      <w:pPr>
        <w:pStyle w:val="56"/>
        <w:spacing w:line="360" w:lineRule="auto"/>
        <w:ind w:firstLine="420"/>
      </w:pPr>
      <w:r>
        <w:rPr>
          <w:rFonts w:hint="eastAsia"/>
        </w:rPr>
        <w:t>GB/T 27021.1 合格评定  管理体系审核认证机构要求  第1部分：要求</w:t>
      </w:r>
    </w:p>
    <w:p w14:paraId="54583365">
      <w:pPr>
        <w:pStyle w:val="56"/>
        <w:spacing w:line="360" w:lineRule="auto"/>
        <w:ind w:firstLine="420"/>
      </w:pPr>
      <w:r>
        <w:rPr>
          <w:rFonts w:hint="eastAsia"/>
        </w:rPr>
        <w:t>GB/T 27065 合格评定  产品、过程和服务认证机构要求</w:t>
      </w:r>
    </w:p>
    <w:p w14:paraId="03551F25">
      <w:pPr>
        <w:pStyle w:val="56"/>
        <w:spacing w:line="360" w:lineRule="auto"/>
        <w:ind w:firstLine="420"/>
      </w:pPr>
      <w:r>
        <w:rPr>
          <w:rFonts w:hint="eastAsia"/>
        </w:rPr>
        <w:t>NY/T 391 绿色食品  产地环境质量</w:t>
      </w:r>
    </w:p>
    <w:p w14:paraId="07A7F860">
      <w:pPr>
        <w:pStyle w:val="56"/>
        <w:spacing w:line="360" w:lineRule="auto"/>
        <w:ind w:firstLine="420"/>
      </w:pPr>
      <w:r>
        <w:rPr>
          <w:rFonts w:hint="eastAsia"/>
        </w:rPr>
        <w:t>NY/T 392 绿色食品  食品添加剂使用准则</w:t>
      </w:r>
    </w:p>
    <w:p w14:paraId="51F02A4E">
      <w:pPr>
        <w:pStyle w:val="104"/>
        <w:spacing w:before="240" w:after="240" w:line="360" w:lineRule="auto"/>
      </w:pPr>
      <w:bookmarkStart w:id="48" w:name="_Toc228607130"/>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E9A1094">
          <w:pPr>
            <w:pStyle w:val="56"/>
            <w:spacing w:line="360" w:lineRule="auto"/>
            <w:ind w:firstLine="420"/>
          </w:pPr>
          <w:bookmarkStart w:id="50" w:name="_Toc26986532"/>
          <w:bookmarkEnd w:id="50"/>
          <w:r>
            <w:t>下列术语和定义适用于本文件。</w:t>
          </w:r>
        </w:p>
      </w:sdtContent>
    </w:sdt>
    <w:p w14:paraId="61BAA6B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绿色食品 green food</w:t>
      </w:r>
    </w:p>
    <w:p w14:paraId="7D49B703">
      <w:pPr>
        <w:pStyle w:val="56"/>
        <w:spacing w:line="360" w:lineRule="auto"/>
        <w:ind w:firstLine="420"/>
      </w:pPr>
      <w:r>
        <w:rPr>
          <w:rFonts w:hint="eastAsia"/>
        </w:rPr>
        <w:t>按照绿色食品相关标准组织生产，经认证许可使用绿色食品标志的安全、优质、营养类食用农产品及加工食品。</w:t>
      </w:r>
    </w:p>
    <w:p w14:paraId="345B169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绿色食品认证 green food certification</w:t>
      </w:r>
    </w:p>
    <w:p w14:paraId="43CEB08F">
      <w:pPr>
        <w:pStyle w:val="56"/>
        <w:spacing w:line="360" w:lineRule="auto"/>
        <w:ind w:firstLine="420"/>
      </w:pPr>
      <w:r>
        <w:rPr>
          <w:rFonts w:hint="eastAsia"/>
        </w:rPr>
        <w:t>认证机构依据绿色食品标准和认证规则，对申请主体的产地环境、生产过程、产品质量、管理制度、追溯能力和持续符合性进行评价并作出认证决定的活动。</w:t>
      </w:r>
    </w:p>
    <w:p w14:paraId="46DC53F8">
      <w:pPr>
        <w:pStyle w:val="56"/>
        <w:spacing w:line="360" w:lineRule="auto"/>
        <w:ind w:firstLine="420"/>
        <w:rPr>
          <w:rFonts w:hint="eastAsia"/>
        </w:rPr>
      </w:pPr>
    </w:p>
    <w:p w14:paraId="222E2EA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现场检查 on-site inspection</w:t>
      </w:r>
    </w:p>
    <w:p w14:paraId="338364FE">
      <w:pPr>
        <w:pStyle w:val="56"/>
        <w:spacing w:line="360" w:lineRule="auto"/>
        <w:ind w:firstLine="420"/>
      </w:pPr>
      <w:r>
        <w:rPr>
          <w:rFonts w:hint="eastAsia"/>
        </w:rPr>
        <w:t>检查人员在申请主体生产、加工、贮藏、包装、经营或管理现场，通过查看现场、核查资料、询问人员、抽查记录、采集证据和确认问题等方式，对认证符合性进行核查的活动。</w:t>
      </w:r>
    </w:p>
    <w:p w14:paraId="58D7C11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现场检查质量 on-site inspection quality</w:t>
      </w:r>
    </w:p>
    <w:p w14:paraId="1B18A6E6">
      <w:pPr>
        <w:pStyle w:val="56"/>
        <w:spacing w:line="360" w:lineRule="auto"/>
        <w:ind w:firstLine="420"/>
      </w:pPr>
      <w:r>
        <w:rPr>
          <w:rFonts w:hint="eastAsia"/>
        </w:rPr>
        <w:t>现场检查活动在规范性、完整性、真实性、准确性、一致性、有效性和可追溯性等方面满足认证要求和质量控制要求的程度。</w:t>
      </w:r>
    </w:p>
    <w:p w14:paraId="5341B47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质量评价 quality assessment</w:t>
      </w:r>
    </w:p>
    <w:p w14:paraId="4FF0A8C4">
      <w:pPr>
        <w:pStyle w:val="56"/>
        <w:spacing w:line="360" w:lineRule="auto"/>
        <w:ind w:firstLine="420"/>
      </w:pPr>
      <w:r>
        <w:rPr>
          <w:rFonts w:hint="eastAsia"/>
        </w:rPr>
        <w:t>依据规定的评价指标、评价方法和判定规则，对绿色食品认证现场检查质量进行检查、评分、判定和改进建议提出的活动。</w:t>
      </w:r>
    </w:p>
    <w:p w14:paraId="39C07DC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评价对象 assessment object</w:t>
      </w:r>
    </w:p>
    <w:p w14:paraId="05F9931F">
      <w:pPr>
        <w:pStyle w:val="56"/>
        <w:spacing w:line="360" w:lineRule="auto"/>
        <w:ind w:firstLine="420"/>
      </w:pPr>
      <w:r>
        <w:rPr>
          <w:rFonts w:hint="eastAsia"/>
        </w:rPr>
        <w:t>接受现场检查质量评价的检查任务、检查过程、检查人员、检查报告、检查证据、整改验证资料或相关管理活动。</w:t>
      </w:r>
    </w:p>
    <w:p w14:paraId="3ADB6E35">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检查证据 inspection evidence</w:t>
      </w:r>
    </w:p>
    <w:p w14:paraId="2146DB40">
      <w:pPr>
        <w:pStyle w:val="56"/>
        <w:spacing w:line="360" w:lineRule="auto"/>
        <w:ind w:firstLine="420"/>
      </w:pPr>
      <w:r>
        <w:rPr>
          <w:rFonts w:hint="eastAsia"/>
        </w:rPr>
        <w:t>能够证明现场检查过程、检查发现、问题判定和检查结论的客观材料，包括记录、照片、视频、访谈记录、抽样记录、检测报告、台账资料、现场观察结果和其他可核验证据。</w:t>
      </w:r>
    </w:p>
    <w:p w14:paraId="53076AE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检查计划 inspection plan</w:t>
      </w:r>
    </w:p>
    <w:p w14:paraId="199C6311">
      <w:pPr>
        <w:pStyle w:val="56"/>
        <w:spacing w:line="360" w:lineRule="auto"/>
        <w:ind w:firstLine="420"/>
      </w:pPr>
      <w:r>
        <w:rPr>
          <w:rFonts w:hint="eastAsia"/>
        </w:rPr>
        <w:t>为实施现场检查而编制的工作安排文件，包括检查目的、检查范围、检查依据、检查人员、检查时间、检查路线、检查重点、资料要求和分工安排等内容。</w:t>
      </w:r>
    </w:p>
    <w:p w14:paraId="2AE715A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检查记录 inspection record</w:t>
      </w:r>
    </w:p>
    <w:p w14:paraId="25570363">
      <w:pPr>
        <w:pStyle w:val="56"/>
        <w:spacing w:line="360" w:lineRule="auto"/>
        <w:ind w:firstLine="420"/>
      </w:pPr>
      <w:r>
        <w:rPr>
          <w:rFonts w:hint="eastAsia"/>
        </w:rPr>
        <w:t>检查人员在现场检查过程中形成的文字、表单、影像、电子数据或其他记录，用于反映检查过程、检查内容、检查发现和证据来源。</w:t>
      </w:r>
    </w:p>
    <w:p w14:paraId="37A73B7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检查报告 inspection report</w:t>
      </w:r>
    </w:p>
    <w:p w14:paraId="4E298868">
      <w:pPr>
        <w:pStyle w:val="56"/>
        <w:spacing w:line="360" w:lineRule="auto"/>
        <w:ind w:firstLine="420"/>
      </w:pPr>
      <w:r>
        <w:rPr>
          <w:rFonts w:hint="eastAsia"/>
        </w:rPr>
        <w:t>检查人员根据现场检查结果形成的文件，用于记录申请主体基本情况、检查依据、检查过程、检查发现、不符合项、整改要求和检查结论建议。</w:t>
      </w:r>
    </w:p>
    <w:p w14:paraId="0BBCCC49">
      <w:pPr>
        <w:pStyle w:val="104"/>
        <w:spacing w:before="240" w:after="240" w:line="360" w:lineRule="auto"/>
      </w:pPr>
      <w:bookmarkStart w:id="51" w:name="_Toc228607131"/>
      <w:r>
        <w:rPr>
          <w:rFonts w:hint="eastAsia"/>
        </w:rPr>
        <w:t>基本要求</w:t>
      </w:r>
      <w:bookmarkEnd w:id="51"/>
    </w:p>
    <w:p w14:paraId="793188C8">
      <w:pPr>
        <w:pStyle w:val="105"/>
        <w:spacing w:before="120" w:after="120" w:line="360" w:lineRule="auto"/>
      </w:pPr>
      <w:r>
        <w:rPr>
          <w:rFonts w:hint="eastAsia"/>
        </w:rPr>
        <w:t>总体要求</w:t>
      </w:r>
    </w:p>
    <w:p w14:paraId="09398874">
      <w:pPr>
        <w:pStyle w:val="165"/>
        <w:spacing w:line="360" w:lineRule="auto"/>
      </w:pPr>
      <w:r>
        <w:rPr>
          <w:rFonts w:hint="eastAsia"/>
        </w:rPr>
        <w:t>绿色食品认证现场检查质量评价应坚持依法合规、风险导向、证据充分、过程可控、尺度统一、客观公正和持续改进的原则。</w:t>
      </w:r>
    </w:p>
    <w:p w14:paraId="1A42B967">
      <w:pPr>
        <w:pStyle w:val="165"/>
        <w:spacing w:line="360" w:lineRule="auto"/>
      </w:pPr>
      <w:r>
        <w:rPr>
          <w:rFonts w:hint="eastAsia"/>
        </w:rPr>
        <w:t>评价活动应覆盖现场检查准备、现场实施、证据获取、问题判定、报告编制、整改验证、质量复核和档案归集等环节。</w:t>
      </w:r>
    </w:p>
    <w:p w14:paraId="0B9F2485">
      <w:pPr>
        <w:pStyle w:val="165"/>
        <w:spacing w:line="360" w:lineRule="auto"/>
      </w:pPr>
      <w:r>
        <w:rPr>
          <w:rFonts w:hint="eastAsia"/>
        </w:rPr>
        <w:t>评价结论应以评价证据为依据，不得仅凭检查人员自述、申请主体口头说明或认证结果作出判定。</w:t>
      </w:r>
    </w:p>
    <w:p w14:paraId="471142D1">
      <w:pPr>
        <w:pStyle w:val="165"/>
        <w:spacing w:line="360" w:lineRule="auto"/>
      </w:pPr>
      <w:r>
        <w:rPr>
          <w:rFonts w:hint="eastAsia"/>
        </w:rPr>
        <w:t>现场检查质量评价应关注检查活动是否真实实施、检查范围是否完整覆盖、检查重点是否突出、检查证据是否充分、问题判定是否准确、检查报告是否能够支撑认证决定。</w:t>
      </w:r>
    </w:p>
    <w:p w14:paraId="4ECDB9AC">
      <w:pPr>
        <w:pStyle w:val="165"/>
        <w:spacing w:line="360" w:lineRule="auto"/>
      </w:pPr>
      <w:r>
        <w:rPr>
          <w:rFonts w:hint="eastAsia"/>
        </w:rPr>
        <w:t>认证机构或检查机构应建立现场检查质量评价制度，明确评价职责、评价频次、评价指标、评价方法、等级判定、问题整改和档案管理要求。</w:t>
      </w:r>
    </w:p>
    <w:p w14:paraId="7A9832DB">
      <w:pPr>
        <w:pStyle w:val="165"/>
        <w:spacing w:line="360" w:lineRule="auto"/>
      </w:pPr>
      <w:r>
        <w:rPr>
          <w:rFonts w:hint="eastAsia"/>
        </w:rPr>
        <w:t>评价人员应独立、客观、公正开展评价，不得评价本人实施或直接参与管理的现场检查任务。</w:t>
      </w:r>
    </w:p>
    <w:p w14:paraId="36046527">
      <w:pPr>
        <w:pStyle w:val="165"/>
        <w:spacing w:line="360" w:lineRule="auto"/>
      </w:pPr>
      <w:r>
        <w:rPr>
          <w:rFonts w:hint="eastAsia"/>
        </w:rPr>
        <w:t>评价发现现场检查存在重大质量缺陷、证据不足、结论明显不当或可能影响认证决定的，应启动复核程序。</w:t>
      </w:r>
    </w:p>
    <w:p w14:paraId="3B6A6856">
      <w:pPr>
        <w:pStyle w:val="165"/>
        <w:spacing w:line="360" w:lineRule="auto"/>
      </w:pPr>
      <w:r>
        <w:rPr>
          <w:rFonts w:hint="eastAsia"/>
        </w:rPr>
        <w:t>评价发现检查人员存在伪造记录、隐瞒问题、降低检查要求、接受不当利益或其他严重违规行为的，应按机构管理制度处理。</w:t>
      </w:r>
    </w:p>
    <w:p w14:paraId="13975F1F">
      <w:pPr>
        <w:pStyle w:val="165"/>
        <w:spacing w:line="360" w:lineRule="auto"/>
      </w:pPr>
      <w:r>
        <w:rPr>
          <w:rFonts w:hint="eastAsia"/>
        </w:rPr>
        <w:t>现场检查质量评价结果应作为检查人员能力保持、检查任务安排、质量改进和认证风险控制的依据。</w:t>
      </w:r>
    </w:p>
    <w:p w14:paraId="09995B48">
      <w:pPr>
        <w:pStyle w:val="165"/>
        <w:spacing w:line="360" w:lineRule="auto"/>
      </w:pPr>
      <w:r>
        <w:rPr>
          <w:rFonts w:hint="eastAsia"/>
        </w:rPr>
        <w:t>评价资料应真实、完整、清晰、可追溯，不得伪造、替换、删除或擅自修改。</w:t>
      </w:r>
    </w:p>
    <w:p w14:paraId="15DE7402">
      <w:pPr>
        <w:pStyle w:val="105"/>
        <w:spacing w:before="120" w:after="120" w:line="360" w:lineRule="auto"/>
      </w:pPr>
      <w:r>
        <w:rPr>
          <w:rFonts w:hint="eastAsia"/>
        </w:rPr>
        <w:t>评价原则</w:t>
      </w:r>
    </w:p>
    <w:p w14:paraId="5350CB93">
      <w:pPr>
        <w:pStyle w:val="165"/>
        <w:spacing w:line="360" w:lineRule="auto"/>
      </w:pPr>
      <w:r>
        <w:rPr>
          <w:rFonts w:hint="eastAsia"/>
        </w:rPr>
        <w:t>合规性原则。评价应依据绿色食品认证规则、认证标准、检查作业文件、合同要求和机构质量管理制度开展。</w:t>
      </w:r>
    </w:p>
    <w:p w14:paraId="2AFD2A9C">
      <w:pPr>
        <w:pStyle w:val="165"/>
        <w:spacing w:line="360" w:lineRule="auto"/>
      </w:pPr>
      <w:r>
        <w:rPr>
          <w:rFonts w:hint="eastAsia"/>
        </w:rPr>
        <w:t>风险导向原则。评价应重点关注产地环境、投入品使用、生产过程、加工控制、追溯管理、标志使用、记录真实性和高风险产品类别。</w:t>
      </w:r>
    </w:p>
    <w:p w14:paraId="531B6863">
      <w:pPr>
        <w:pStyle w:val="165"/>
        <w:spacing w:line="360" w:lineRule="auto"/>
      </w:pPr>
      <w:r>
        <w:rPr>
          <w:rFonts w:hint="eastAsia"/>
        </w:rPr>
        <w:t>证据充分原则。评价应核查现场检查证据是否能够支撑检查发现、问题判定和检查结论。</w:t>
      </w:r>
    </w:p>
    <w:p w14:paraId="255B61AE">
      <w:pPr>
        <w:pStyle w:val="165"/>
        <w:spacing w:line="360" w:lineRule="auto"/>
      </w:pPr>
      <w:r>
        <w:rPr>
          <w:rFonts w:hint="eastAsia"/>
        </w:rPr>
        <w:t>过程控制原则。评价应覆盖检查前准备、现场实施、报告编制、整改验证和质量复核全过程，不得只评价最终报告。</w:t>
      </w:r>
    </w:p>
    <w:p w14:paraId="68BA5208">
      <w:pPr>
        <w:pStyle w:val="165"/>
        <w:spacing w:line="360" w:lineRule="auto"/>
      </w:pPr>
      <w:r>
        <w:rPr>
          <w:rFonts w:hint="eastAsia"/>
        </w:rPr>
        <w:t>尺度统一原则。评价应采用统一指标和判定规则，减少不同人员、不同区域、不同产品类别之间的评价偏差。</w:t>
      </w:r>
    </w:p>
    <w:p w14:paraId="7FA6039A">
      <w:pPr>
        <w:pStyle w:val="165"/>
        <w:spacing w:line="360" w:lineRule="auto"/>
      </w:pPr>
      <w:r>
        <w:rPr>
          <w:rFonts w:hint="eastAsia"/>
        </w:rPr>
        <w:t>持续改进原则。评价发现的问题应形成闭环整改，并应用于检查人员培训、作业文件修订和质量管理改进。</w:t>
      </w:r>
    </w:p>
    <w:p w14:paraId="5819E989">
      <w:pPr>
        <w:pStyle w:val="105"/>
        <w:spacing w:before="120" w:after="120" w:line="360" w:lineRule="auto"/>
      </w:pPr>
      <w:r>
        <w:rPr>
          <w:rFonts w:hint="eastAsia"/>
        </w:rPr>
        <w:t>评价组织要求</w:t>
      </w:r>
    </w:p>
    <w:p w14:paraId="0EDC4249">
      <w:pPr>
        <w:pStyle w:val="165"/>
        <w:spacing w:line="360" w:lineRule="auto"/>
      </w:pPr>
      <w:r>
        <w:rPr>
          <w:rFonts w:hint="eastAsia"/>
        </w:rPr>
        <w:t>认证机构或检查机构应明确负责现场检查质量评价的部门或岗位。</w:t>
      </w:r>
    </w:p>
    <w:p w14:paraId="7E1A6979">
      <w:pPr>
        <w:pStyle w:val="165"/>
        <w:spacing w:line="360" w:lineRule="auto"/>
      </w:pPr>
      <w:r>
        <w:rPr>
          <w:rFonts w:hint="eastAsia"/>
        </w:rPr>
        <w:t>评价人员应熟悉绿色食品认证规则、现场检查要求、产品类别特点、质量评价方法和风险识别要求。</w:t>
      </w:r>
    </w:p>
    <w:p w14:paraId="6D20081B">
      <w:pPr>
        <w:pStyle w:val="165"/>
        <w:spacing w:line="360" w:lineRule="auto"/>
      </w:pPr>
      <w:r>
        <w:rPr>
          <w:rFonts w:hint="eastAsia"/>
        </w:rPr>
        <w:t>对种植、养殖、加工、贮运、包装等不同类型现场检查进行评价时，评价人员应具备相应专业能力。</w:t>
      </w:r>
    </w:p>
    <w:p w14:paraId="41716727">
      <w:pPr>
        <w:pStyle w:val="165"/>
        <w:spacing w:line="360" w:lineRule="auto"/>
      </w:pPr>
      <w:r>
        <w:rPr>
          <w:rFonts w:hint="eastAsia"/>
        </w:rPr>
        <w:t>评价人员应保持独立性。存在利益关系、参与检查实施、参与认证决定或可能影响客观评价的人员，不得作为该检查任务的评价人员。</w:t>
      </w:r>
    </w:p>
    <w:p w14:paraId="2CAEC379">
      <w:pPr>
        <w:pStyle w:val="165"/>
        <w:spacing w:line="360" w:lineRule="auto"/>
      </w:pPr>
      <w:r>
        <w:rPr>
          <w:rFonts w:hint="eastAsia"/>
        </w:rPr>
        <w:t>评价活动应形成评价计划或评价安排，明确评价对象、评价范围、评价依据、评价方式和评价时间。</w:t>
      </w:r>
    </w:p>
    <w:p w14:paraId="26D6EE0B">
      <w:pPr>
        <w:pStyle w:val="165"/>
        <w:spacing w:line="360" w:lineRule="auto"/>
      </w:pPr>
      <w:r>
        <w:rPr>
          <w:rFonts w:hint="eastAsia"/>
        </w:rPr>
        <w:t>评价过程中需要调取检查资料、系统记录、影像资料和整改资料的，相关部门应按规定提供。</w:t>
      </w:r>
    </w:p>
    <w:p w14:paraId="502D192E">
      <w:pPr>
        <w:pStyle w:val="105"/>
        <w:spacing w:before="120" w:after="120" w:line="360" w:lineRule="auto"/>
      </w:pPr>
      <w:r>
        <w:rPr>
          <w:rFonts w:hint="eastAsia"/>
        </w:rPr>
        <w:t>评价频次要求</w:t>
      </w:r>
    </w:p>
    <w:p w14:paraId="4451660D">
      <w:pPr>
        <w:pStyle w:val="165"/>
        <w:spacing w:line="360" w:lineRule="auto"/>
      </w:pPr>
      <w:r>
        <w:rPr>
          <w:rFonts w:hint="eastAsia"/>
        </w:rPr>
        <w:t>认证机构或检查机构应定期开展现场检查质量评价，每年不宜少于一次。</w:t>
      </w:r>
    </w:p>
    <w:p w14:paraId="7880124A">
      <w:pPr>
        <w:pStyle w:val="165"/>
        <w:spacing w:line="360" w:lineRule="auto"/>
      </w:pPr>
      <w:r>
        <w:rPr>
          <w:rFonts w:hint="eastAsia"/>
        </w:rPr>
        <w:t>对新聘检查人员、首次承担绿色食品现场检查任务的检查人员，应增加检查质量评价频次。</w:t>
      </w:r>
    </w:p>
    <w:p w14:paraId="1F93E057">
      <w:pPr>
        <w:pStyle w:val="165"/>
        <w:spacing w:line="360" w:lineRule="auto"/>
      </w:pPr>
      <w:r>
        <w:rPr>
          <w:rFonts w:hint="eastAsia"/>
        </w:rPr>
        <w:t>下列情形之一发生时，应开展专项评价：</w:t>
      </w:r>
    </w:p>
    <w:p w14:paraId="5F0088A2">
      <w:pPr>
        <w:pStyle w:val="56"/>
        <w:spacing w:line="360" w:lineRule="auto"/>
        <w:ind w:firstLine="420"/>
      </w:pPr>
      <w:r>
        <w:rPr>
          <w:rFonts w:hint="eastAsia"/>
        </w:rPr>
        <w:t>a) 现场检查结论与认证决定存在明显不一致；</w:t>
      </w:r>
    </w:p>
    <w:p w14:paraId="701C8A1D">
      <w:pPr>
        <w:pStyle w:val="56"/>
        <w:spacing w:line="360" w:lineRule="auto"/>
        <w:ind w:firstLine="420"/>
      </w:pPr>
      <w:r>
        <w:rPr>
          <w:rFonts w:hint="eastAsia"/>
        </w:rPr>
        <w:t>b) 检查报告被退回或复核发现重大问题；</w:t>
      </w:r>
    </w:p>
    <w:p w14:paraId="10DC217A">
      <w:pPr>
        <w:pStyle w:val="56"/>
        <w:spacing w:line="360" w:lineRule="auto"/>
        <w:ind w:firstLine="420"/>
      </w:pPr>
      <w:r>
        <w:rPr>
          <w:rFonts w:hint="eastAsia"/>
        </w:rPr>
        <w:t>c) 申请主体、监管部门或相关方对现场检查质量提出投诉或质疑；</w:t>
      </w:r>
    </w:p>
    <w:p w14:paraId="71A77BD6">
      <w:pPr>
        <w:pStyle w:val="56"/>
        <w:spacing w:line="360" w:lineRule="auto"/>
        <w:ind w:firstLine="420"/>
      </w:pPr>
      <w:r>
        <w:rPr>
          <w:rFonts w:hint="eastAsia"/>
        </w:rPr>
        <w:t>d) 检查人员存在检查记录不完整、证据不足或问题判定偏差；</w:t>
      </w:r>
    </w:p>
    <w:p w14:paraId="4F42D9AB">
      <w:pPr>
        <w:pStyle w:val="56"/>
        <w:spacing w:line="360" w:lineRule="auto"/>
        <w:ind w:firstLine="420"/>
      </w:pPr>
      <w:r>
        <w:rPr>
          <w:rFonts w:hint="eastAsia"/>
        </w:rPr>
        <w:t>e) 产品类别、认证规则、检查作业文件发生重大变化；</w:t>
      </w:r>
    </w:p>
    <w:p w14:paraId="2A96A7C2">
      <w:pPr>
        <w:pStyle w:val="56"/>
        <w:spacing w:line="360" w:lineRule="auto"/>
        <w:ind w:firstLine="420"/>
      </w:pPr>
      <w:r>
        <w:rPr>
          <w:rFonts w:hint="eastAsia"/>
        </w:rPr>
        <w:t>f) 飞行检查、监督检查或整改验证发现前次现场检查存在明显遗漏；</w:t>
      </w:r>
    </w:p>
    <w:p w14:paraId="70976225">
      <w:pPr>
        <w:pStyle w:val="56"/>
        <w:spacing w:line="360" w:lineRule="auto"/>
        <w:ind w:firstLine="420"/>
      </w:pPr>
      <w:r>
        <w:rPr>
          <w:rFonts w:hint="eastAsia"/>
        </w:rPr>
        <w:t>g) 认证机构认为需要开展专项评价的其他情形。</w:t>
      </w:r>
    </w:p>
    <w:p w14:paraId="773619A7">
      <w:pPr>
        <w:pStyle w:val="165"/>
        <w:spacing w:line="360" w:lineRule="auto"/>
      </w:pPr>
      <w:r>
        <w:rPr>
          <w:rFonts w:hint="eastAsia"/>
        </w:rPr>
        <w:t>对高风险产品类别、高风险生产主体、连续出现质量问题的检查人员和复杂检查任务，应提高评价频次。</w:t>
      </w:r>
    </w:p>
    <w:p w14:paraId="4F29FC3D">
      <w:pPr>
        <w:pStyle w:val="105"/>
        <w:spacing w:before="120" w:after="120" w:line="360" w:lineRule="auto"/>
      </w:pPr>
      <w:r>
        <w:rPr>
          <w:rFonts w:hint="eastAsia"/>
        </w:rPr>
        <w:t>评价证据要求</w:t>
      </w:r>
    </w:p>
    <w:p w14:paraId="625EE10C">
      <w:pPr>
        <w:pStyle w:val="165"/>
        <w:spacing w:line="360" w:lineRule="auto"/>
      </w:pPr>
      <w:r>
        <w:rPr>
          <w:rFonts w:hint="eastAsia"/>
        </w:rPr>
        <w:t>评价证据应真实、完整、有效、可追溯。</w:t>
      </w:r>
    </w:p>
    <w:p w14:paraId="46A30ACC">
      <w:pPr>
        <w:pStyle w:val="165"/>
        <w:spacing w:line="360" w:lineRule="auto"/>
      </w:pPr>
      <w:r>
        <w:rPr>
          <w:rFonts w:hint="eastAsia"/>
        </w:rPr>
        <w:t>评价证据宜包括下列资料：</w:t>
      </w:r>
    </w:p>
    <w:p w14:paraId="389F5988">
      <w:pPr>
        <w:pStyle w:val="56"/>
        <w:spacing w:line="360" w:lineRule="auto"/>
        <w:ind w:firstLine="420"/>
      </w:pPr>
      <w:r>
        <w:rPr>
          <w:rFonts w:hint="eastAsia"/>
        </w:rPr>
        <w:t>a) 检查任务书或检查委派文件；</w:t>
      </w:r>
    </w:p>
    <w:p w14:paraId="66FE8412">
      <w:pPr>
        <w:pStyle w:val="56"/>
        <w:spacing w:line="360" w:lineRule="auto"/>
        <w:ind w:firstLine="420"/>
      </w:pPr>
      <w:r>
        <w:rPr>
          <w:rFonts w:hint="eastAsia"/>
        </w:rPr>
        <w:t>b) 申请主体基本资料和认证申请资料；</w:t>
      </w:r>
    </w:p>
    <w:p w14:paraId="05535B8B">
      <w:pPr>
        <w:pStyle w:val="56"/>
        <w:spacing w:line="360" w:lineRule="auto"/>
        <w:ind w:firstLine="420"/>
      </w:pPr>
      <w:r>
        <w:rPr>
          <w:rFonts w:hint="eastAsia"/>
        </w:rPr>
        <w:t>c) 检查计划和检查方案；</w:t>
      </w:r>
    </w:p>
    <w:p w14:paraId="101108DA">
      <w:pPr>
        <w:pStyle w:val="56"/>
        <w:spacing w:line="360" w:lineRule="auto"/>
        <w:ind w:firstLine="420"/>
      </w:pPr>
      <w:r>
        <w:rPr>
          <w:rFonts w:hint="eastAsia"/>
        </w:rPr>
        <w:t>d) 检查依据文件和检查表；</w:t>
      </w:r>
    </w:p>
    <w:p w14:paraId="629D1AF6">
      <w:pPr>
        <w:pStyle w:val="56"/>
        <w:spacing w:line="360" w:lineRule="auto"/>
        <w:ind w:firstLine="420"/>
      </w:pPr>
      <w:r>
        <w:rPr>
          <w:rFonts w:hint="eastAsia"/>
        </w:rPr>
        <w:t>e) 首次会议和末次会议记录；</w:t>
      </w:r>
    </w:p>
    <w:p w14:paraId="2D7AA0AF">
      <w:pPr>
        <w:pStyle w:val="56"/>
        <w:spacing w:line="360" w:lineRule="auto"/>
        <w:ind w:firstLine="420"/>
      </w:pPr>
      <w:r>
        <w:rPr>
          <w:rFonts w:hint="eastAsia"/>
        </w:rPr>
        <w:t>f) 现场检查记录、照片、视频、定位信息或其他影像资料；</w:t>
      </w:r>
    </w:p>
    <w:p w14:paraId="625FFCFD">
      <w:pPr>
        <w:pStyle w:val="56"/>
        <w:spacing w:line="360" w:lineRule="auto"/>
        <w:ind w:firstLine="420"/>
      </w:pPr>
      <w:r>
        <w:rPr>
          <w:rFonts w:hint="eastAsia"/>
        </w:rPr>
        <w:t>g) 投入品、生产记录、加工记录、贮运记录和追溯记录核查资料；</w:t>
      </w:r>
    </w:p>
    <w:p w14:paraId="26C9A9D5">
      <w:pPr>
        <w:pStyle w:val="56"/>
        <w:spacing w:line="360" w:lineRule="auto"/>
        <w:ind w:firstLine="420"/>
      </w:pPr>
      <w:r>
        <w:rPr>
          <w:rFonts w:hint="eastAsia"/>
        </w:rPr>
        <w:t>h) 抽样记录、样品交接记录和检测报告；</w:t>
      </w:r>
    </w:p>
    <w:p w14:paraId="0C38BD73">
      <w:pPr>
        <w:pStyle w:val="56"/>
        <w:spacing w:line="360" w:lineRule="auto"/>
        <w:ind w:firstLine="420"/>
      </w:pPr>
      <w:r>
        <w:rPr>
          <w:rFonts w:hint="eastAsia"/>
        </w:rPr>
        <w:t>i) 不符合项记录和整改要求；</w:t>
      </w:r>
    </w:p>
    <w:p w14:paraId="6865A62D">
      <w:pPr>
        <w:pStyle w:val="56"/>
        <w:spacing w:line="360" w:lineRule="auto"/>
        <w:ind w:firstLine="420"/>
      </w:pPr>
      <w:r>
        <w:rPr>
          <w:rFonts w:hint="eastAsia"/>
        </w:rPr>
        <w:t>j) 检查报告和检查结论建议；</w:t>
      </w:r>
    </w:p>
    <w:p w14:paraId="39F3F085">
      <w:pPr>
        <w:pStyle w:val="56"/>
        <w:spacing w:line="360" w:lineRule="auto"/>
        <w:ind w:firstLine="420"/>
      </w:pPr>
      <w:r>
        <w:rPr>
          <w:rFonts w:hint="eastAsia"/>
        </w:rPr>
        <w:t>k) 整改资料、整改验证记录和复核意见；</w:t>
      </w:r>
    </w:p>
    <w:p w14:paraId="7BEA2DA2">
      <w:pPr>
        <w:pStyle w:val="56"/>
        <w:spacing w:line="360" w:lineRule="auto"/>
        <w:ind w:firstLine="420"/>
      </w:pPr>
      <w:r>
        <w:rPr>
          <w:rFonts w:hint="eastAsia"/>
        </w:rPr>
        <w:t>l) 认证机构质量复核记录和问题反馈记录。</w:t>
      </w:r>
    </w:p>
    <w:p w14:paraId="3E5A2BF1">
      <w:pPr>
        <w:pStyle w:val="165"/>
        <w:spacing w:line="360" w:lineRule="auto"/>
      </w:pPr>
      <w:r>
        <w:rPr>
          <w:rFonts w:hint="eastAsia"/>
        </w:rPr>
        <w:t>评价证据之间存在矛盾时，应开展补充核查，不得直接采信单一证据。</w:t>
      </w:r>
    </w:p>
    <w:p w14:paraId="5A3481DB">
      <w:pPr>
        <w:pStyle w:val="165"/>
        <w:spacing w:line="360" w:lineRule="auto"/>
      </w:pPr>
      <w:r>
        <w:rPr>
          <w:rFonts w:hint="eastAsia"/>
        </w:rPr>
        <w:t>缺少关键证据且无法证明检查过程有效性的，应判定相关评价项目不符合或部分符合。</w:t>
      </w:r>
    </w:p>
    <w:p w14:paraId="185D594A">
      <w:pPr>
        <w:pStyle w:val="105"/>
        <w:spacing w:before="120" w:after="120" w:line="360" w:lineRule="auto"/>
      </w:pPr>
      <w:r>
        <w:rPr>
          <w:rFonts w:hint="eastAsia"/>
        </w:rPr>
        <w:t>评价保密要求</w:t>
      </w:r>
    </w:p>
    <w:p w14:paraId="6E927464">
      <w:pPr>
        <w:pStyle w:val="165"/>
        <w:spacing w:line="360" w:lineRule="auto"/>
      </w:pPr>
      <w:r>
        <w:rPr>
          <w:rFonts w:hint="eastAsia"/>
        </w:rPr>
        <w:t>评价人员应对评价过程中接触的申请主体商业信息、认证资料、检查资料和个人信息承担保密责任。</w:t>
      </w:r>
    </w:p>
    <w:p w14:paraId="17F0379B">
      <w:pPr>
        <w:pStyle w:val="165"/>
        <w:spacing w:line="360" w:lineRule="auto"/>
      </w:pPr>
      <w:r>
        <w:rPr>
          <w:rFonts w:hint="eastAsia"/>
        </w:rPr>
        <w:t>未经授权，不得向无关单位或人员泄露现场检查资料、评价结果、整改情况和认证相关信息。</w:t>
      </w:r>
    </w:p>
    <w:p w14:paraId="7DE92728">
      <w:pPr>
        <w:pStyle w:val="165"/>
        <w:spacing w:line="360" w:lineRule="auto"/>
      </w:pPr>
      <w:r>
        <w:rPr>
          <w:rFonts w:hint="eastAsia"/>
        </w:rPr>
        <w:t>评价资料用于培训、案例分析或质量改进时，应按要求进行脱敏处理。</w:t>
      </w:r>
    </w:p>
    <w:p w14:paraId="58BDAD21">
      <w:pPr>
        <w:pStyle w:val="165"/>
        <w:spacing w:line="360" w:lineRule="auto"/>
      </w:pPr>
      <w:r>
        <w:rPr>
          <w:rFonts w:hint="eastAsia"/>
        </w:rPr>
        <w:t>电子评价资料应设置访问权限，不得长期存放在个人设备、个人网盘或非受控存储介质中。</w:t>
      </w:r>
    </w:p>
    <w:p w14:paraId="0854851E">
      <w:pPr>
        <w:pStyle w:val="104"/>
        <w:spacing w:before="240" w:after="240" w:line="360" w:lineRule="auto"/>
      </w:pPr>
      <w:bookmarkStart w:id="52" w:name="_Toc228607132"/>
      <w:r>
        <w:rPr>
          <w:rFonts w:hint="eastAsia"/>
        </w:rPr>
        <w:t>评价对象与评价内容</w:t>
      </w:r>
      <w:bookmarkEnd w:id="52"/>
    </w:p>
    <w:p w14:paraId="6095C637">
      <w:pPr>
        <w:pStyle w:val="105"/>
        <w:spacing w:before="120" w:after="120" w:line="360" w:lineRule="auto"/>
      </w:pPr>
      <w:r>
        <w:rPr>
          <w:rFonts w:hint="eastAsia"/>
        </w:rPr>
        <w:t>评价对象</w:t>
      </w:r>
    </w:p>
    <w:p w14:paraId="3A056CEC">
      <w:pPr>
        <w:pStyle w:val="165"/>
        <w:spacing w:line="360" w:lineRule="auto"/>
      </w:pPr>
      <w:r>
        <w:rPr>
          <w:rFonts w:hint="eastAsia"/>
        </w:rPr>
        <w:t>绿色食品认证现场检查质量评价对象可包括检查任务、检查人员、检查过程、检查报告、整改验证和质量复核活动。</w:t>
      </w:r>
    </w:p>
    <w:p w14:paraId="455EB0A1">
      <w:pPr>
        <w:pStyle w:val="165"/>
        <w:spacing w:line="360" w:lineRule="auto"/>
      </w:pPr>
      <w:r>
        <w:rPr>
          <w:rFonts w:hint="eastAsia"/>
        </w:rPr>
        <w:t>评价对象宜按检查类别、产品类别、检查人员、检查区域、检查时间或认证项目进行确定。</w:t>
      </w:r>
    </w:p>
    <w:p w14:paraId="2270FB43">
      <w:pPr>
        <w:pStyle w:val="165"/>
        <w:spacing w:line="360" w:lineRule="auto"/>
      </w:pPr>
      <w:r>
        <w:rPr>
          <w:rFonts w:hint="eastAsia"/>
        </w:rPr>
        <w:t>对初次认证现场检查，应重点评价申请资料预审、生产条件核查、产地环境核查、投入品核查、生产过程核查和记录档案核查质量。</w:t>
      </w:r>
    </w:p>
    <w:p w14:paraId="0C78147B">
      <w:pPr>
        <w:pStyle w:val="165"/>
        <w:spacing w:line="360" w:lineRule="auto"/>
      </w:pPr>
      <w:r>
        <w:rPr>
          <w:rFonts w:hint="eastAsia"/>
        </w:rPr>
        <w:t>对续展认证现场检查，应重点评价持续符合性、上一周期问题整改、生产记录延续性、标志使用和证书范围一致性。</w:t>
      </w:r>
    </w:p>
    <w:p w14:paraId="700A151E">
      <w:pPr>
        <w:pStyle w:val="165"/>
        <w:spacing w:line="360" w:lineRule="auto"/>
      </w:pPr>
      <w:r>
        <w:rPr>
          <w:rFonts w:hint="eastAsia"/>
        </w:rPr>
        <w:t>对监督检查和飞行检查，应重点评价现场真实性核查、风险点识别、异常问题发现和证据固定质量。</w:t>
      </w:r>
    </w:p>
    <w:p w14:paraId="1C35E844">
      <w:pPr>
        <w:pStyle w:val="165"/>
        <w:spacing w:line="360" w:lineRule="auto"/>
      </w:pPr>
      <w:r>
        <w:rPr>
          <w:rFonts w:hint="eastAsia"/>
        </w:rPr>
        <w:t>对整改验证，应重点评价整改证据充分性、整改措施有效性、整改结果真实性和问题关闭合理性。</w:t>
      </w:r>
    </w:p>
    <w:p w14:paraId="64DA3B3B">
      <w:pPr>
        <w:pStyle w:val="105"/>
        <w:spacing w:before="120" w:after="120" w:line="360" w:lineRule="auto"/>
      </w:pPr>
      <w:r>
        <w:rPr>
          <w:rFonts w:hint="eastAsia"/>
        </w:rPr>
        <w:t>评价内容</w:t>
      </w:r>
    </w:p>
    <w:p w14:paraId="00841CCC">
      <w:pPr>
        <w:pStyle w:val="165"/>
        <w:spacing w:line="360" w:lineRule="auto"/>
      </w:pPr>
      <w:r>
        <w:rPr>
          <w:rFonts w:hint="eastAsia"/>
        </w:rPr>
        <w:t>现场检查质量评价应包括下列内容：</w:t>
      </w:r>
    </w:p>
    <w:p w14:paraId="3BA76BD8">
      <w:pPr>
        <w:pStyle w:val="56"/>
        <w:spacing w:line="360" w:lineRule="auto"/>
        <w:ind w:firstLine="420"/>
      </w:pPr>
      <w:r>
        <w:rPr>
          <w:rFonts w:hint="eastAsia"/>
        </w:rPr>
        <w:t>a) 检查准备质量；</w:t>
      </w:r>
    </w:p>
    <w:p w14:paraId="778FB4A0">
      <w:pPr>
        <w:pStyle w:val="56"/>
        <w:spacing w:line="360" w:lineRule="auto"/>
        <w:ind w:firstLine="420"/>
      </w:pPr>
      <w:r>
        <w:rPr>
          <w:rFonts w:hint="eastAsia"/>
        </w:rPr>
        <w:t>b) 检查人员能力与独立性；</w:t>
      </w:r>
    </w:p>
    <w:p w14:paraId="36E11F56">
      <w:pPr>
        <w:pStyle w:val="56"/>
        <w:spacing w:line="360" w:lineRule="auto"/>
        <w:ind w:firstLine="420"/>
      </w:pPr>
      <w:r>
        <w:rPr>
          <w:rFonts w:hint="eastAsia"/>
        </w:rPr>
        <w:t>c) 检查计划适宜性；</w:t>
      </w:r>
    </w:p>
    <w:p w14:paraId="2D5EC25E">
      <w:pPr>
        <w:pStyle w:val="56"/>
        <w:spacing w:line="360" w:lineRule="auto"/>
        <w:ind w:firstLine="420"/>
      </w:pPr>
      <w:r>
        <w:rPr>
          <w:rFonts w:hint="eastAsia"/>
        </w:rPr>
        <w:t>d) 现场检查实施规范性；</w:t>
      </w:r>
    </w:p>
    <w:p w14:paraId="44B7305C">
      <w:pPr>
        <w:pStyle w:val="56"/>
        <w:spacing w:line="360" w:lineRule="auto"/>
        <w:ind w:firstLine="420"/>
      </w:pPr>
      <w:r>
        <w:rPr>
          <w:rFonts w:hint="eastAsia"/>
        </w:rPr>
        <w:t>e) 检查覆盖完整性；</w:t>
      </w:r>
    </w:p>
    <w:p w14:paraId="6AC4BCCD">
      <w:pPr>
        <w:pStyle w:val="56"/>
        <w:spacing w:line="360" w:lineRule="auto"/>
        <w:ind w:firstLine="420"/>
      </w:pPr>
      <w:r>
        <w:rPr>
          <w:rFonts w:hint="eastAsia"/>
        </w:rPr>
        <w:t>f) 检查证据充分性；</w:t>
      </w:r>
    </w:p>
    <w:p w14:paraId="4DA4FDB7">
      <w:pPr>
        <w:pStyle w:val="56"/>
        <w:spacing w:line="360" w:lineRule="auto"/>
        <w:ind w:firstLine="420"/>
      </w:pPr>
      <w:r>
        <w:rPr>
          <w:rFonts w:hint="eastAsia"/>
        </w:rPr>
        <w:t>g) 风险点识别准确性；</w:t>
      </w:r>
    </w:p>
    <w:p w14:paraId="7DCAF36E">
      <w:pPr>
        <w:pStyle w:val="56"/>
        <w:spacing w:line="360" w:lineRule="auto"/>
        <w:ind w:firstLine="420"/>
      </w:pPr>
      <w:r>
        <w:rPr>
          <w:rFonts w:hint="eastAsia"/>
        </w:rPr>
        <w:t>h) 不符合项判定准确性；</w:t>
      </w:r>
    </w:p>
    <w:p w14:paraId="3947B2BB">
      <w:pPr>
        <w:pStyle w:val="56"/>
        <w:spacing w:line="360" w:lineRule="auto"/>
        <w:ind w:firstLine="420"/>
      </w:pPr>
      <w:r>
        <w:rPr>
          <w:rFonts w:hint="eastAsia"/>
        </w:rPr>
        <w:t>i) 检查记录真实性和完整性；</w:t>
      </w:r>
    </w:p>
    <w:p w14:paraId="3EBE4F04">
      <w:pPr>
        <w:pStyle w:val="56"/>
        <w:spacing w:line="360" w:lineRule="auto"/>
        <w:ind w:firstLine="420"/>
      </w:pPr>
      <w:r>
        <w:rPr>
          <w:rFonts w:hint="eastAsia"/>
        </w:rPr>
        <w:t>j) 检查报告规范性和支撑性；</w:t>
      </w:r>
    </w:p>
    <w:p w14:paraId="24868901">
      <w:pPr>
        <w:pStyle w:val="56"/>
        <w:spacing w:line="360" w:lineRule="auto"/>
        <w:ind w:firstLine="420"/>
      </w:pPr>
      <w:r>
        <w:rPr>
          <w:rFonts w:hint="eastAsia"/>
        </w:rPr>
        <w:t>k) 整改验证有效性；</w:t>
      </w:r>
    </w:p>
    <w:p w14:paraId="1163D24B">
      <w:pPr>
        <w:pStyle w:val="56"/>
        <w:spacing w:line="360" w:lineRule="auto"/>
        <w:ind w:firstLine="420"/>
      </w:pPr>
      <w:r>
        <w:rPr>
          <w:rFonts w:hint="eastAsia"/>
        </w:rPr>
        <w:t>l) 资料归档与追溯性。</w:t>
      </w:r>
    </w:p>
    <w:p w14:paraId="0ABEBC09">
      <w:pPr>
        <w:pStyle w:val="165"/>
        <w:spacing w:line="360" w:lineRule="auto"/>
      </w:pPr>
      <w:r>
        <w:rPr>
          <w:rFonts w:hint="eastAsia"/>
        </w:rPr>
        <w:t>评价内容应覆盖绿色食品认证现场检查全过程，不得仅评价检查报告格式和资料齐全性。</w:t>
      </w:r>
    </w:p>
    <w:p w14:paraId="07E47CB8">
      <w:pPr>
        <w:pStyle w:val="165"/>
        <w:spacing w:line="360" w:lineRule="auto"/>
      </w:pPr>
      <w:r>
        <w:rPr>
          <w:rFonts w:hint="eastAsia"/>
        </w:rPr>
        <w:t>对不同产品类别应结合种植、养殖、加工、包装、贮运和销售特点设置评价重点。</w:t>
      </w:r>
    </w:p>
    <w:p w14:paraId="5AE19082">
      <w:pPr>
        <w:pStyle w:val="165"/>
        <w:spacing w:line="360" w:lineRule="auto"/>
      </w:pPr>
      <w:r>
        <w:rPr>
          <w:rFonts w:hint="eastAsia"/>
        </w:rPr>
        <w:t>对高风险主体和高风险环节，应增加证据核查深度。</w:t>
      </w:r>
    </w:p>
    <w:p w14:paraId="1834A80D">
      <w:pPr>
        <w:pStyle w:val="105"/>
        <w:spacing w:before="120" w:after="120" w:line="360" w:lineRule="auto"/>
      </w:pPr>
      <w:r>
        <w:rPr>
          <w:rFonts w:hint="eastAsia"/>
        </w:rPr>
        <w:t>检查准备质量评价</w:t>
      </w:r>
    </w:p>
    <w:p w14:paraId="59CBB9C3">
      <w:pPr>
        <w:pStyle w:val="165"/>
        <w:spacing w:line="360" w:lineRule="auto"/>
      </w:pPr>
      <w:r>
        <w:rPr>
          <w:rFonts w:hint="eastAsia"/>
        </w:rPr>
        <w:t>应评价检查人员是否在现场检查前完成申请资料预审。</w:t>
      </w:r>
    </w:p>
    <w:p w14:paraId="282EA9AD">
      <w:pPr>
        <w:pStyle w:val="165"/>
        <w:spacing w:line="360" w:lineRule="auto"/>
      </w:pPr>
      <w:r>
        <w:rPr>
          <w:rFonts w:hint="eastAsia"/>
        </w:rPr>
        <w:t>应评价检查人员是否识别申请主体的产品类别、生产规模、产地范围、加工环节、投入品类别、关键风险点和既往问题。</w:t>
      </w:r>
    </w:p>
    <w:p w14:paraId="4F175B79">
      <w:pPr>
        <w:pStyle w:val="165"/>
        <w:spacing w:line="360" w:lineRule="auto"/>
      </w:pPr>
      <w:r>
        <w:rPr>
          <w:rFonts w:hint="eastAsia"/>
        </w:rPr>
        <w:t>应评价检查依据是否明确，包括绿色食品标准、认证规则、产品标准、检查作业文件和机构要求。</w:t>
      </w:r>
    </w:p>
    <w:p w14:paraId="4B454501">
      <w:pPr>
        <w:pStyle w:val="165"/>
        <w:spacing w:line="360" w:lineRule="auto"/>
      </w:pPr>
      <w:r>
        <w:rPr>
          <w:rFonts w:hint="eastAsia"/>
        </w:rPr>
        <w:t>应评价检查计划是否合理，包括检查时间、检查路线、检查人员分工、检查重点和资料清单。</w:t>
      </w:r>
    </w:p>
    <w:p w14:paraId="171BB2CE">
      <w:pPr>
        <w:pStyle w:val="165"/>
        <w:spacing w:line="360" w:lineRule="auto"/>
      </w:pPr>
      <w:r>
        <w:rPr>
          <w:rFonts w:hint="eastAsia"/>
        </w:rPr>
        <w:t>未开展资料预审、检查重点不明确或检查计划与申请主体实际明显不匹配的，应判定为检查准备质量不足。</w:t>
      </w:r>
    </w:p>
    <w:p w14:paraId="573A554D">
      <w:pPr>
        <w:pStyle w:val="105"/>
        <w:spacing w:before="120" w:after="120" w:line="360" w:lineRule="auto"/>
      </w:pPr>
      <w:r>
        <w:rPr>
          <w:rFonts w:hint="eastAsia"/>
        </w:rPr>
        <w:t>检查人员能力与独立性评价</w:t>
      </w:r>
    </w:p>
    <w:p w14:paraId="0D0511AF">
      <w:pPr>
        <w:pStyle w:val="165"/>
        <w:spacing w:line="360" w:lineRule="auto"/>
      </w:pPr>
      <w:r>
        <w:rPr>
          <w:rFonts w:hint="eastAsia"/>
        </w:rPr>
        <w:t>应评价检查人员是否具备相应产品类别、生产方式和认证规则的专业能力。</w:t>
      </w:r>
    </w:p>
    <w:p w14:paraId="63A644E1">
      <w:pPr>
        <w:pStyle w:val="165"/>
        <w:spacing w:line="360" w:lineRule="auto"/>
      </w:pPr>
      <w:r>
        <w:rPr>
          <w:rFonts w:hint="eastAsia"/>
        </w:rPr>
        <w:t>应评价检查人员是否经过培训、考核和授权，并在授权范围内承担检查任务。</w:t>
      </w:r>
    </w:p>
    <w:p w14:paraId="1E6FCF26">
      <w:pPr>
        <w:pStyle w:val="165"/>
        <w:spacing w:line="360" w:lineRule="auto"/>
      </w:pPr>
      <w:r>
        <w:rPr>
          <w:rFonts w:hint="eastAsia"/>
        </w:rPr>
        <w:t>应评价检查组专业能力是否覆盖检查范围。涉及种植、养殖、加工、投入品管理或复杂生产过程的，应配备相应专业人员。</w:t>
      </w:r>
    </w:p>
    <w:p w14:paraId="0DE25986">
      <w:pPr>
        <w:pStyle w:val="165"/>
        <w:spacing w:line="360" w:lineRule="auto"/>
      </w:pPr>
      <w:r>
        <w:rPr>
          <w:rFonts w:hint="eastAsia"/>
        </w:rPr>
        <w:t>应评价检查人员是否存在利益冲突或影响公正性的情形。</w:t>
      </w:r>
    </w:p>
    <w:p w14:paraId="3B74AC16">
      <w:pPr>
        <w:pStyle w:val="165"/>
        <w:spacing w:line="360" w:lineRule="auto"/>
      </w:pPr>
      <w:r>
        <w:rPr>
          <w:rFonts w:hint="eastAsia"/>
        </w:rPr>
        <w:t>检查人员超授权范围承担检查任务、未声明利益冲突或能力明显不足的，应记录为质量问题。</w:t>
      </w:r>
    </w:p>
    <w:p w14:paraId="56880AE8">
      <w:pPr>
        <w:pStyle w:val="165"/>
        <w:numPr>
          <w:ilvl w:val="0"/>
          <w:numId w:val="0"/>
        </w:numPr>
        <w:spacing w:line="360" w:lineRule="auto"/>
        <w:rPr>
          <w:rFonts w:hint="eastAsia"/>
        </w:rPr>
      </w:pPr>
    </w:p>
    <w:p w14:paraId="793C4FC6">
      <w:pPr>
        <w:pStyle w:val="105"/>
        <w:spacing w:before="120" w:after="120" w:line="360" w:lineRule="auto"/>
      </w:pPr>
      <w:r>
        <w:rPr>
          <w:rFonts w:hint="eastAsia"/>
        </w:rPr>
        <w:t>检查计划适宜性评价</w:t>
      </w:r>
    </w:p>
    <w:p w14:paraId="76FB2AC4">
      <w:pPr>
        <w:pStyle w:val="165"/>
        <w:spacing w:line="360" w:lineRule="auto"/>
      </w:pPr>
      <w:r>
        <w:rPr>
          <w:rFonts w:hint="eastAsia"/>
        </w:rPr>
        <w:t>检查计划应覆盖申请认证的全部产品、基地、加工场所、仓储场所、关键生产过程和管理记录。</w:t>
      </w:r>
    </w:p>
    <w:p w14:paraId="742CB4CD">
      <w:pPr>
        <w:pStyle w:val="165"/>
        <w:spacing w:line="360" w:lineRule="auto"/>
      </w:pPr>
      <w:r>
        <w:rPr>
          <w:rFonts w:hint="eastAsia"/>
        </w:rPr>
        <w:t>检查计划应明确检查依据、检查目的、检查范围、检查日程、检查人员分工和检查重点。</w:t>
      </w:r>
    </w:p>
    <w:p w14:paraId="7B478B50">
      <w:pPr>
        <w:pStyle w:val="165"/>
        <w:spacing w:line="360" w:lineRule="auto"/>
      </w:pPr>
      <w:r>
        <w:rPr>
          <w:rFonts w:hint="eastAsia"/>
        </w:rPr>
        <w:t>检查计划应根据产品类别和风险等级确定现场核查深度，不得对不同主体采用完全相同的固定模板且无风险分析。</w:t>
      </w:r>
    </w:p>
    <w:p w14:paraId="79E315B0">
      <w:pPr>
        <w:pStyle w:val="165"/>
        <w:spacing w:line="360" w:lineRule="auto"/>
      </w:pPr>
      <w:r>
        <w:rPr>
          <w:rFonts w:hint="eastAsia"/>
        </w:rPr>
        <w:t>检查计划应预留必要时间用于现场观察、资料核查、人员询问和证据整理。</w:t>
      </w:r>
    </w:p>
    <w:p w14:paraId="567DBE8A">
      <w:pPr>
        <w:pStyle w:val="165"/>
        <w:spacing w:line="360" w:lineRule="auto"/>
      </w:pPr>
      <w:r>
        <w:rPr>
          <w:rFonts w:hint="eastAsia"/>
        </w:rPr>
        <w:t>实际检查与检查计划发生重大偏离时，应记录偏离原因和调整情况。</w:t>
      </w:r>
    </w:p>
    <w:p w14:paraId="749A8AE3">
      <w:pPr>
        <w:pStyle w:val="105"/>
        <w:spacing w:before="120" w:after="120" w:line="360" w:lineRule="auto"/>
      </w:pPr>
      <w:r>
        <w:rPr>
          <w:rFonts w:hint="eastAsia"/>
        </w:rPr>
        <w:t>现场检查实施规范性评价</w:t>
      </w:r>
    </w:p>
    <w:p w14:paraId="10956540">
      <w:pPr>
        <w:pStyle w:val="165"/>
        <w:spacing w:line="360" w:lineRule="auto"/>
      </w:pPr>
      <w:r>
        <w:rPr>
          <w:rFonts w:hint="eastAsia"/>
        </w:rPr>
        <w:t>应评价现场检查是否按认证规则、检查计划和作业文件实施。</w:t>
      </w:r>
    </w:p>
    <w:p w14:paraId="6BB39068">
      <w:pPr>
        <w:pStyle w:val="165"/>
        <w:spacing w:line="360" w:lineRule="auto"/>
      </w:pPr>
      <w:r>
        <w:rPr>
          <w:rFonts w:hint="eastAsia"/>
        </w:rPr>
        <w:t>现场检查应包括首次会议、现场核查、资料核查、人员询问、证据采集、问题确认和末次会议等必要环节。</w:t>
      </w:r>
    </w:p>
    <w:p w14:paraId="40A34CE3">
      <w:pPr>
        <w:pStyle w:val="165"/>
        <w:spacing w:line="360" w:lineRule="auto"/>
      </w:pPr>
      <w:r>
        <w:rPr>
          <w:rFonts w:hint="eastAsia"/>
        </w:rPr>
        <w:t>检查人员应核查申请主体实际生产经营状态，不得仅在会议室查阅资料而不开展现场核查。</w:t>
      </w:r>
    </w:p>
    <w:p w14:paraId="7403ECE4">
      <w:pPr>
        <w:pStyle w:val="165"/>
        <w:spacing w:line="360" w:lineRule="auto"/>
      </w:pPr>
      <w:r>
        <w:rPr>
          <w:rFonts w:hint="eastAsia"/>
        </w:rPr>
        <w:t>检查人员应对产地环境、投入品仓库、生产场所、加工场所、贮藏场所、包装标识、追溯资料和质量控制记录进行必要核查。</w:t>
      </w:r>
    </w:p>
    <w:p w14:paraId="0C58CA47">
      <w:pPr>
        <w:pStyle w:val="165"/>
        <w:spacing w:line="360" w:lineRule="auto"/>
      </w:pPr>
      <w:r>
        <w:rPr>
          <w:rFonts w:hint="eastAsia"/>
        </w:rPr>
        <w:t>检查人员应对发现的问题进行现场确认，并应记录证据来源。</w:t>
      </w:r>
    </w:p>
    <w:p w14:paraId="61AFD711">
      <w:pPr>
        <w:pStyle w:val="165"/>
        <w:spacing w:line="360" w:lineRule="auto"/>
      </w:pPr>
      <w:r>
        <w:rPr>
          <w:rFonts w:hint="eastAsia"/>
        </w:rPr>
        <w:t>现场检查过程中发现重大风险或可能影响认证结论的问题时，应扩大核查范围或提出进一步核查要求。</w:t>
      </w:r>
    </w:p>
    <w:p w14:paraId="2B936E94">
      <w:pPr>
        <w:pStyle w:val="105"/>
        <w:spacing w:before="120" w:after="120" w:line="360" w:lineRule="auto"/>
      </w:pPr>
      <w:r>
        <w:rPr>
          <w:rFonts w:hint="eastAsia"/>
        </w:rPr>
        <w:t>检查覆盖完整性评价</w:t>
      </w:r>
    </w:p>
    <w:p w14:paraId="46304AE9">
      <w:pPr>
        <w:pStyle w:val="165"/>
        <w:spacing w:line="360" w:lineRule="auto"/>
      </w:pPr>
      <w:r>
        <w:rPr>
          <w:rFonts w:hint="eastAsia"/>
        </w:rPr>
        <w:t>检查覆盖范围应与申请认证范围一致。</w:t>
      </w:r>
    </w:p>
    <w:p w14:paraId="09DEA314">
      <w:pPr>
        <w:pStyle w:val="165"/>
        <w:spacing w:line="360" w:lineRule="auto"/>
      </w:pPr>
      <w:r>
        <w:rPr>
          <w:rFonts w:hint="eastAsia"/>
        </w:rPr>
        <w:t>种植类产品现场检查应覆盖产地环境、地块信息、种苗来源、肥料使用、农药使用、灌溉用水、采收管理、贮藏管理和生产记录。</w:t>
      </w:r>
    </w:p>
    <w:p w14:paraId="7EEC9583">
      <w:pPr>
        <w:pStyle w:val="165"/>
        <w:spacing w:line="360" w:lineRule="auto"/>
      </w:pPr>
      <w:r>
        <w:rPr>
          <w:rFonts w:hint="eastAsia"/>
        </w:rPr>
        <w:t>养殖类产品现场检查应覆盖养殖场所、种源或苗种、饲料兽药使用、防疫管理、养殖环境、废弃物处理、出栏或收获记录和追溯管理。</w:t>
      </w:r>
    </w:p>
    <w:p w14:paraId="49A82330">
      <w:pPr>
        <w:pStyle w:val="165"/>
        <w:spacing w:line="360" w:lineRule="auto"/>
      </w:pPr>
      <w:r>
        <w:rPr>
          <w:rFonts w:hint="eastAsia"/>
        </w:rPr>
        <w:t>加工类产品现场检查应覆盖原辅料来源、添加剂使用、生产工艺、关键控制点、设备设施、卫生管理、包装标识、仓储运输和检验记录。</w:t>
      </w:r>
    </w:p>
    <w:p w14:paraId="7D801F1C">
      <w:pPr>
        <w:pStyle w:val="165"/>
        <w:spacing w:line="360" w:lineRule="auto"/>
      </w:pPr>
      <w:r>
        <w:rPr>
          <w:rFonts w:hint="eastAsia"/>
        </w:rPr>
        <w:t>检查报告中未说明未覆盖环节原因，且缺少关键环节核查证据的，应判定为检查覆盖不完整。</w:t>
      </w:r>
    </w:p>
    <w:p w14:paraId="3F2D9674">
      <w:pPr>
        <w:pStyle w:val="105"/>
        <w:spacing w:before="120" w:after="120" w:line="360" w:lineRule="auto"/>
      </w:pPr>
      <w:r>
        <w:rPr>
          <w:rFonts w:hint="eastAsia"/>
        </w:rPr>
        <w:t>检查证据充分性评价</w:t>
      </w:r>
    </w:p>
    <w:p w14:paraId="1CFA550F">
      <w:pPr>
        <w:pStyle w:val="165"/>
        <w:spacing w:line="360" w:lineRule="auto"/>
      </w:pPr>
      <w:r>
        <w:rPr>
          <w:rFonts w:hint="eastAsia"/>
        </w:rPr>
        <w:t>检查证据应能够支撑检查发现和检查结论。</w:t>
      </w:r>
    </w:p>
    <w:p w14:paraId="256D4A89">
      <w:pPr>
        <w:pStyle w:val="165"/>
        <w:spacing w:line="360" w:lineRule="auto"/>
      </w:pPr>
      <w:r>
        <w:rPr>
          <w:rFonts w:hint="eastAsia"/>
        </w:rPr>
        <w:t>对产地环境符合性，应核查产地位置、周边风险源、环境检测资料和现场环境状况。</w:t>
      </w:r>
    </w:p>
    <w:p w14:paraId="3232B3D2">
      <w:pPr>
        <w:pStyle w:val="165"/>
        <w:spacing w:line="360" w:lineRule="auto"/>
      </w:pPr>
      <w:r>
        <w:rPr>
          <w:rFonts w:hint="eastAsia"/>
        </w:rPr>
        <w:t>对投入品使用符合性，应核查采购记录、库存实物、使用记录、供应商资料和禁限用要求。</w:t>
      </w:r>
    </w:p>
    <w:p w14:paraId="7186ED17">
      <w:pPr>
        <w:pStyle w:val="165"/>
        <w:spacing w:line="360" w:lineRule="auto"/>
      </w:pPr>
      <w:r>
        <w:rPr>
          <w:rFonts w:hint="eastAsia"/>
        </w:rPr>
        <w:t>对生产过程符合性，应核查生产记录、现场状态、人员访谈和关键操作资料。</w:t>
      </w:r>
    </w:p>
    <w:p w14:paraId="73B74148">
      <w:pPr>
        <w:pStyle w:val="165"/>
        <w:spacing w:line="360" w:lineRule="auto"/>
      </w:pPr>
      <w:r>
        <w:rPr>
          <w:rFonts w:hint="eastAsia"/>
        </w:rPr>
        <w:t>对追溯管理符合性，应核查批次记录、产品流向、包装标识、销售记录和召回管理要求。</w:t>
      </w:r>
    </w:p>
    <w:p w14:paraId="1BAED361">
      <w:pPr>
        <w:pStyle w:val="165"/>
        <w:spacing w:line="360" w:lineRule="auto"/>
      </w:pPr>
      <w:r>
        <w:rPr>
          <w:rFonts w:hint="eastAsia"/>
        </w:rPr>
        <w:t>仅有申请主体声明而无现场记录、实物核查、照片或其他证据支持的，不得作为充分证据。</w:t>
      </w:r>
    </w:p>
    <w:p w14:paraId="3ED69D6A">
      <w:pPr>
        <w:pStyle w:val="105"/>
        <w:spacing w:before="120" w:after="120" w:line="360" w:lineRule="auto"/>
      </w:pPr>
      <w:r>
        <w:rPr>
          <w:rFonts w:hint="eastAsia"/>
        </w:rPr>
        <w:t>风险点识别准确性评价</w:t>
      </w:r>
    </w:p>
    <w:p w14:paraId="2213AD92">
      <w:pPr>
        <w:pStyle w:val="165"/>
        <w:spacing w:line="360" w:lineRule="auto"/>
      </w:pPr>
      <w:r>
        <w:rPr>
          <w:rFonts w:hint="eastAsia"/>
        </w:rPr>
        <w:t>应评价检查人员是否识别产品类别对应的关键风险点。</w:t>
      </w:r>
    </w:p>
    <w:p w14:paraId="7438CE18">
      <w:pPr>
        <w:pStyle w:val="165"/>
        <w:spacing w:line="360" w:lineRule="auto"/>
      </w:pPr>
      <w:r>
        <w:rPr>
          <w:rFonts w:hint="eastAsia"/>
        </w:rPr>
        <w:t>种植类产品应重点识别农药、肥料、灌溉水、邻近污染源、地块变更、采收间隔期和生产记录真实性风险。</w:t>
      </w:r>
    </w:p>
    <w:p w14:paraId="4AC77646">
      <w:pPr>
        <w:pStyle w:val="165"/>
        <w:spacing w:line="360" w:lineRule="auto"/>
      </w:pPr>
      <w:r>
        <w:rPr>
          <w:rFonts w:hint="eastAsia"/>
        </w:rPr>
        <w:t>养殖类产品应重点识别饲料、兽药、疫病防控、养殖水质、养殖密度、环境排放和休药期风险。</w:t>
      </w:r>
    </w:p>
    <w:p w14:paraId="6E9F6DEE">
      <w:pPr>
        <w:pStyle w:val="165"/>
        <w:spacing w:line="360" w:lineRule="auto"/>
      </w:pPr>
      <w:r>
        <w:rPr>
          <w:rFonts w:hint="eastAsia"/>
        </w:rPr>
        <w:t>加工类产品应重点识别原辅料来源、食品添加剂、加工工艺、交叉污染、清洁消毒、包装材料和批次追溯风险。</w:t>
      </w:r>
    </w:p>
    <w:p w14:paraId="1617898C">
      <w:pPr>
        <w:pStyle w:val="165"/>
        <w:spacing w:line="360" w:lineRule="auto"/>
      </w:pPr>
      <w:r>
        <w:rPr>
          <w:rFonts w:hint="eastAsia"/>
        </w:rPr>
        <w:t>检查人员未识别明显风险点，或对高风险环节未进行深入核查的，应判定为风险识别不足。</w:t>
      </w:r>
    </w:p>
    <w:p w14:paraId="653402A3">
      <w:pPr>
        <w:pStyle w:val="105"/>
        <w:spacing w:before="120" w:after="120" w:line="360" w:lineRule="auto"/>
      </w:pPr>
      <w:r>
        <w:rPr>
          <w:rFonts w:hint="eastAsia"/>
        </w:rPr>
        <w:t>不符合项判定准确性评价</w:t>
      </w:r>
    </w:p>
    <w:p w14:paraId="5CC061BC">
      <w:pPr>
        <w:pStyle w:val="165"/>
        <w:spacing w:line="360" w:lineRule="auto"/>
      </w:pPr>
      <w:r>
        <w:rPr>
          <w:rFonts w:hint="eastAsia"/>
        </w:rPr>
        <w:t>不符合项判定应依据明确，不得以主观印象替代标准条款和检查证据。</w:t>
      </w:r>
    </w:p>
    <w:p w14:paraId="4BDC4C7D">
      <w:pPr>
        <w:pStyle w:val="165"/>
        <w:spacing w:line="360" w:lineRule="auto"/>
      </w:pPr>
      <w:r>
        <w:rPr>
          <w:rFonts w:hint="eastAsia"/>
        </w:rPr>
        <w:t>不符合项描述应包括事实、地点、对象、证据、违反要求和影响范围。</w:t>
      </w:r>
    </w:p>
    <w:p w14:paraId="0BB60D76">
      <w:pPr>
        <w:pStyle w:val="165"/>
        <w:spacing w:line="360" w:lineRule="auto"/>
      </w:pPr>
      <w:r>
        <w:rPr>
          <w:rFonts w:hint="eastAsia"/>
        </w:rPr>
        <w:t>对影响认证结论的重要不符合项，应提出明确整改要求和验证方式。</w:t>
      </w:r>
    </w:p>
    <w:p w14:paraId="47522CF2">
      <w:pPr>
        <w:pStyle w:val="165"/>
        <w:spacing w:line="360" w:lineRule="auto"/>
      </w:pPr>
      <w:r>
        <w:rPr>
          <w:rFonts w:hint="eastAsia"/>
        </w:rPr>
        <w:t>同类问题在不同检查任务中应保持判定尺度一致。</w:t>
      </w:r>
    </w:p>
    <w:p w14:paraId="4643FC48">
      <w:pPr>
        <w:pStyle w:val="165"/>
        <w:spacing w:line="360" w:lineRule="auto"/>
      </w:pPr>
      <w:r>
        <w:rPr>
          <w:rFonts w:hint="eastAsia"/>
        </w:rPr>
        <w:t>将重大问题轻描淡写为一般问题，或将一般问题扩大为严重问题且缺少依据的，应判定为问题判定不准确。</w:t>
      </w:r>
    </w:p>
    <w:p w14:paraId="571D07A6">
      <w:pPr>
        <w:pStyle w:val="105"/>
        <w:spacing w:before="120" w:after="120" w:line="360" w:lineRule="auto"/>
      </w:pPr>
      <w:r>
        <w:rPr>
          <w:rFonts w:hint="eastAsia"/>
        </w:rPr>
        <w:t>检查记录与报告评价</w:t>
      </w:r>
    </w:p>
    <w:p w14:paraId="22240267">
      <w:pPr>
        <w:pStyle w:val="165"/>
        <w:spacing w:line="360" w:lineRule="auto"/>
      </w:pPr>
      <w:r>
        <w:rPr>
          <w:rFonts w:hint="eastAsia"/>
        </w:rPr>
        <w:t>检查记录应真实反映检查过程、检查内容、检查发现和证据来源。</w:t>
      </w:r>
    </w:p>
    <w:p w14:paraId="071B61DD">
      <w:pPr>
        <w:pStyle w:val="165"/>
        <w:spacing w:line="360" w:lineRule="auto"/>
      </w:pPr>
      <w:r>
        <w:rPr>
          <w:rFonts w:hint="eastAsia"/>
        </w:rPr>
        <w:t>检查记录不得出现空项、漏项、代签、补编、前后矛盾或与现场证据不一致的情形。</w:t>
      </w:r>
    </w:p>
    <w:p w14:paraId="6FAC7AA2">
      <w:pPr>
        <w:pStyle w:val="165"/>
        <w:spacing w:line="360" w:lineRule="auto"/>
      </w:pPr>
      <w:r>
        <w:rPr>
          <w:rFonts w:hint="eastAsia"/>
        </w:rPr>
        <w:t>检查报告应结构完整、内容准确、结论清晰、证据充分。</w:t>
      </w:r>
    </w:p>
    <w:p w14:paraId="08D59487">
      <w:pPr>
        <w:pStyle w:val="165"/>
        <w:spacing w:line="360" w:lineRule="auto"/>
      </w:pPr>
      <w:r>
        <w:rPr>
          <w:rFonts w:hint="eastAsia"/>
        </w:rPr>
        <w:t>检查报告中的检查范围、产品名称、基地面积、产量、加工能力、投入品使用、问题描述和整改要求应与现场证据一致。</w:t>
      </w:r>
    </w:p>
    <w:p w14:paraId="656E7252">
      <w:pPr>
        <w:pStyle w:val="165"/>
        <w:spacing w:line="360" w:lineRule="auto"/>
      </w:pPr>
      <w:r>
        <w:rPr>
          <w:rFonts w:hint="eastAsia"/>
        </w:rPr>
        <w:t>检查报告不得使用“基本符合”“总体较好”“问题不大”等无明确判定依据的模糊表述作为关键结论。</w:t>
      </w:r>
    </w:p>
    <w:p w14:paraId="6C3FF54D">
      <w:pPr>
        <w:pStyle w:val="105"/>
        <w:spacing w:before="120" w:after="120" w:line="360" w:lineRule="auto"/>
      </w:pPr>
      <w:r>
        <w:rPr>
          <w:rFonts w:hint="eastAsia"/>
        </w:rPr>
        <w:t>整改验证质量评价</w:t>
      </w:r>
    </w:p>
    <w:p w14:paraId="179DBA2A">
      <w:pPr>
        <w:pStyle w:val="165"/>
        <w:spacing w:line="360" w:lineRule="auto"/>
      </w:pPr>
      <w:r>
        <w:rPr>
          <w:rFonts w:hint="eastAsia"/>
        </w:rPr>
        <w:t>整改验证应针对不符合项逐项开展。</w:t>
      </w:r>
    </w:p>
    <w:p w14:paraId="08B52DE6">
      <w:pPr>
        <w:pStyle w:val="165"/>
        <w:spacing w:line="360" w:lineRule="auto"/>
      </w:pPr>
      <w:r>
        <w:rPr>
          <w:rFonts w:hint="eastAsia"/>
        </w:rPr>
        <w:t>整改证据应能够证明问题已得到纠正，必要时应开展现场复核。</w:t>
      </w:r>
    </w:p>
    <w:p w14:paraId="290BA18F">
      <w:pPr>
        <w:pStyle w:val="165"/>
        <w:spacing w:line="360" w:lineRule="auto"/>
      </w:pPr>
      <w:r>
        <w:rPr>
          <w:rFonts w:hint="eastAsia"/>
        </w:rPr>
        <w:t>对涉及投入品违规使用、产地环境风险、追溯失效、记录真实性不足等重要问题，不得仅凭书面承诺关闭。</w:t>
      </w:r>
    </w:p>
    <w:p w14:paraId="7B63D3D8">
      <w:pPr>
        <w:pStyle w:val="165"/>
        <w:spacing w:line="360" w:lineRule="auto"/>
      </w:pPr>
      <w:r>
        <w:rPr>
          <w:rFonts w:hint="eastAsia"/>
        </w:rPr>
        <w:t>整改验证记录应说明整改措施、验证证据、验证结论和关闭状态。</w:t>
      </w:r>
    </w:p>
    <w:p w14:paraId="305AD961">
      <w:pPr>
        <w:pStyle w:val="165"/>
        <w:spacing w:line="360" w:lineRule="auto"/>
      </w:pPr>
      <w:r>
        <w:rPr>
          <w:rFonts w:hint="eastAsia"/>
        </w:rPr>
        <w:t>整改验证不充分、整改证据与问题不匹配或未验证即关闭问题的，应判定为整改验证质量不足。</w:t>
      </w:r>
    </w:p>
    <w:p w14:paraId="36940EEB">
      <w:pPr>
        <w:pStyle w:val="104"/>
        <w:spacing w:before="240" w:after="240" w:line="360" w:lineRule="auto"/>
      </w:pPr>
      <w:bookmarkStart w:id="53" w:name="_Toc228607133"/>
      <w:r>
        <w:rPr>
          <w:rFonts w:hint="eastAsia"/>
        </w:rPr>
        <w:t>评价指标体系</w:t>
      </w:r>
      <w:bookmarkEnd w:id="53"/>
    </w:p>
    <w:p w14:paraId="396C95D5">
      <w:pPr>
        <w:pStyle w:val="105"/>
        <w:spacing w:before="120" w:after="120" w:line="360" w:lineRule="auto"/>
      </w:pPr>
      <w:r>
        <w:rPr>
          <w:rFonts w:hint="eastAsia"/>
        </w:rPr>
        <w:t>一般要求</w:t>
      </w:r>
    </w:p>
    <w:p w14:paraId="0B2C2045">
      <w:pPr>
        <w:pStyle w:val="165"/>
        <w:spacing w:line="360" w:lineRule="auto"/>
      </w:pPr>
      <w:r>
        <w:rPr>
          <w:rFonts w:hint="eastAsia"/>
        </w:rPr>
        <w:t>绿色食品认证现场检查质量评价应建立评价指标体系，指标应覆盖检查准备、检查实施、证据采集、风险识别、问题判定、报告编制、整改验证和档案管理全过程。</w:t>
      </w:r>
    </w:p>
    <w:p w14:paraId="16869094">
      <w:pPr>
        <w:pStyle w:val="165"/>
        <w:spacing w:line="360" w:lineRule="auto"/>
      </w:pPr>
      <w:r>
        <w:rPr>
          <w:rFonts w:hint="eastAsia"/>
        </w:rPr>
        <w:t>评价指标应具有可检查、可评分、可追溯和可复核的特征，不得设置缺少证据来源、无法判定或与现场检查质量无直接关系的指标。</w:t>
      </w:r>
    </w:p>
    <w:p w14:paraId="1BF3CB23">
      <w:pPr>
        <w:pStyle w:val="165"/>
        <w:spacing w:line="360" w:lineRule="auto"/>
      </w:pPr>
      <w:r>
        <w:rPr>
          <w:rFonts w:hint="eastAsia"/>
        </w:rPr>
        <w:t>评价指标体系应根据绿色食品认证类别、产品类别、检查类型、主体风险等级和检查目的进行适当调整。</w:t>
      </w:r>
    </w:p>
    <w:p w14:paraId="0240EEC6">
      <w:pPr>
        <w:pStyle w:val="165"/>
        <w:spacing w:line="360" w:lineRule="auto"/>
      </w:pPr>
      <w:r>
        <w:rPr>
          <w:rFonts w:hint="eastAsia"/>
        </w:rPr>
        <w:t>评价指标应包括过程规范性指标、证据充分性指标、判断准确性指标、报告质量指标和持续改进指标。</w:t>
      </w:r>
    </w:p>
    <w:p w14:paraId="0A5D07AF">
      <w:pPr>
        <w:pStyle w:val="165"/>
        <w:spacing w:line="360" w:lineRule="auto"/>
      </w:pPr>
      <w:r>
        <w:rPr>
          <w:rFonts w:hint="eastAsia"/>
        </w:rPr>
        <w:t>对高风险产品、高风险主体、复杂生产过程和飞行检查任务，应提高风险识别、证据充分性和问题判定准确性等指标权重。</w:t>
      </w:r>
    </w:p>
    <w:p w14:paraId="49430025">
      <w:pPr>
        <w:pStyle w:val="165"/>
        <w:spacing w:line="360" w:lineRule="auto"/>
      </w:pPr>
      <w:r>
        <w:rPr>
          <w:rFonts w:hint="eastAsia"/>
        </w:rPr>
        <w:t>绿色食品认证现场检查质量评价指标可参照附录A。</w:t>
      </w:r>
    </w:p>
    <w:p w14:paraId="28F7A5FA">
      <w:pPr>
        <w:pStyle w:val="105"/>
        <w:spacing w:before="120" w:after="120" w:line="360" w:lineRule="auto"/>
      </w:pPr>
      <w:r>
        <w:rPr>
          <w:rFonts w:hint="eastAsia"/>
        </w:rPr>
        <w:t>指标构成</w:t>
      </w:r>
    </w:p>
    <w:p w14:paraId="0A8110C2">
      <w:pPr>
        <w:pStyle w:val="165"/>
        <w:spacing w:line="360" w:lineRule="auto"/>
      </w:pPr>
      <w:r>
        <w:rPr>
          <w:rFonts w:hint="eastAsia"/>
        </w:rPr>
        <w:t>现场检查质量评价指标宜由一级指标、二级指标和评价要点组成。</w:t>
      </w:r>
    </w:p>
    <w:p w14:paraId="236B72B4">
      <w:pPr>
        <w:pStyle w:val="165"/>
        <w:spacing w:line="360" w:lineRule="auto"/>
      </w:pPr>
      <w:r>
        <w:rPr>
          <w:rFonts w:hint="eastAsia"/>
        </w:rPr>
        <w:t>一级指标宜包括：</w:t>
      </w:r>
    </w:p>
    <w:p w14:paraId="1115813D">
      <w:pPr>
        <w:pStyle w:val="56"/>
        <w:spacing w:line="360" w:lineRule="auto"/>
        <w:ind w:firstLine="420"/>
      </w:pPr>
      <w:r>
        <w:rPr>
          <w:rFonts w:hint="eastAsia"/>
        </w:rPr>
        <w:t>a) 检查准备质量；</w:t>
      </w:r>
    </w:p>
    <w:p w14:paraId="3C53BDE6">
      <w:pPr>
        <w:pStyle w:val="56"/>
        <w:spacing w:line="360" w:lineRule="auto"/>
        <w:ind w:firstLine="420"/>
      </w:pPr>
      <w:r>
        <w:rPr>
          <w:rFonts w:hint="eastAsia"/>
        </w:rPr>
        <w:t>b) 检查计划适宜性；</w:t>
      </w:r>
    </w:p>
    <w:p w14:paraId="3621C03D">
      <w:pPr>
        <w:pStyle w:val="56"/>
        <w:spacing w:line="360" w:lineRule="auto"/>
        <w:ind w:firstLine="420"/>
      </w:pPr>
      <w:r>
        <w:rPr>
          <w:rFonts w:hint="eastAsia"/>
        </w:rPr>
        <w:t>c) 检查人员能力与独立性；</w:t>
      </w:r>
    </w:p>
    <w:p w14:paraId="61FACC4A">
      <w:pPr>
        <w:pStyle w:val="56"/>
        <w:spacing w:line="360" w:lineRule="auto"/>
        <w:ind w:firstLine="420"/>
      </w:pPr>
      <w:r>
        <w:rPr>
          <w:rFonts w:hint="eastAsia"/>
        </w:rPr>
        <w:t>d) 现场检查实施规范性；</w:t>
      </w:r>
    </w:p>
    <w:p w14:paraId="4E148371">
      <w:pPr>
        <w:pStyle w:val="56"/>
        <w:spacing w:line="360" w:lineRule="auto"/>
        <w:ind w:firstLine="420"/>
      </w:pPr>
      <w:r>
        <w:rPr>
          <w:rFonts w:hint="eastAsia"/>
        </w:rPr>
        <w:t>e) 检查覆盖完整性；</w:t>
      </w:r>
    </w:p>
    <w:p w14:paraId="13B2DAC6">
      <w:pPr>
        <w:pStyle w:val="56"/>
        <w:spacing w:line="360" w:lineRule="auto"/>
        <w:ind w:firstLine="420"/>
      </w:pPr>
      <w:r>
        <w:rPr>
          <w:rFonts w:hint="eastAsia"/>
        </w:rPr>
        <w:t>f) 检查证据充分性；</w:t>
      </w:r>
    </w:p>
    <w:p w14:paraId="6EBD34A3">
      <w:pPr>
        <w:pStyle w:val="56"/>
        <w:spacing w:line="360" w:lineRule="auto"/>
        <w:ind w:firstLine="420"/>
      </w:pPr>
      <w:r>
        <w:rPr>
          <w:rFonts w:hint="eastAsia"/>
        </w:rPr>
        <w:t>g) 风险点识别准确性；</w:t>
      </w:r>
    </w:p>
    <w:p w14:paraId="71516496">
      <w:pPr>
        <w:pStyle w:val="56"/>
        <w:spacing w:line="360" w:lineRule="auto"/>
        <w:ind w:firstLine="420"/>
      </w:pPr>
      <w:r>
        <w:rPr>
          <w:rFonts w:hint="eastAsia"/>
        </w:rPr>
        <w:t>h) 不符合项判定准确性；</w:t>
      </w:r>
    </w:p>
    <w:p w14:paraId="627B871B">
      <w:pPr>
        <w:pStyle w:val="56"/>
        <w:spacing w:line="360" w:lineRule="auto"/>
        <w:ind w:firstLine="420"/>
      </w:pPr>
      <w:r>
        <w:rPr>
          <w:rFonts w:hint="eastAsia"/>
        </w:rPr>
        <w:t>i) 检查记录与报告质量；</w:t>
      </w:r>
    </w:p>
    <w:p w14:paraId="3289EF7C">
      <w:pPr>
        <w:pStyle w:val="56"/>
        <w:spacing w:line="360" w:lineRule="auto"/>
        <w:ind w:firstLine="420"/>
      </w:pPr>
      <w:r>
        <w:rPr>
          <w:rFonts w:hint="eastAsia"/>
        </w:rPr>
        <w:t>j) 整改验证有效性；</w:t>
      </w:r>
    </w:p>
    <w:p w14:paraId="72886BD6">
      <w:pPr>
        <w:pStyle w:val="56"/>
        <w:spacing w:line="360" w:lineRule="auto"/>
        <w:ind w:firstLine="420"/>
      </w:pPr>
      <w:r>
        <w:rPr>
          <w:rFonts w:hint="eastAsia"/>
        </w:rPr>
        <w:t>k) 档案管理与追溯性；</w:t>
      </w:r>
    </w:p>
    <w:p w14:paraId="215CE641">
      <w:pPr>
        <w:pStyle w:val="56"/>
        <w:spacing w:line="360" w:lineRule="auto"/>
        <w:ind w:firstLine="420"/>
      </w:pPr>
      <w:r>
        <w:rPr>
          <w:rFonts w:hint="eastAsia"/>
        </w:rPr>
        <w:t>l) 质量改进有效性。</w:t>
      </w:r>
    </w:p>
    <w:p w14:paraId="2A2056FE">
      <w:pPr>
        <w:pStyle w:val="165"/>
        <w:spacing w:line="360" w:lineRule="auto"/>
      </w:pPr>
      <w:r>
        <w:rPr>
          <w:rFonts w:hint="eastAsia"/>
        </w:rPr>
        <w:t>二级指标应围绕一级指标细化为具体评价项目，并应明确评价证据、评分规则和扣分情形。</w:t>
      </w:r>
    </w:p>
    <w:p w14:paraId="26450832">
      <w:pPr>
        <w:pStyle w:val="165"/>
        <w:spacing w:line="360" w:lineRule="auto"/>
      </w:pPr>
      <w:r>
        <w:rPr>
          <w:rFonts w:hint="eastAsia"/>
        </w:rPr>
        <w:t>评价要点应描述具体检查要求，不得仅采用“较好”“一般”“较差”等笼统表述。</w:t>
      </w:r>
    </w:p>
    <w:p w14:paraId="6D4C69B2">
      <w:pPr>
        <w:pStyle w:val="165"/>
        <w:spacing w:line="360" w:lineRule="auto"/>
      </w:pPr>
      <w:r>
        <w:rPr>
          <w:rFonts w:hint="eastAsia"/>
        </w:rPr>
        <w:t>评价指标应与评价结果判定规则相衔接，评价结果应能够反映现场检查质量水平和改进重点。</w:t>
      </w:r>
    </w:p>
    <w:p w14:paraId="6941F5D5">
      <w:pPr>
        <w:pStyle w:val="105"/>
        <w:spacing w:before="120" w:after="120" w:line="360" w:lineRule="auto"/>
      </w:pPr>
      <w:r>
        <w:rPr>
          <w:rFonts w:hint="eastAsia"/>
        </w:rPr>
        <w:t>检查准备质量指标</w:t>
      </w:r>
    </w:p>
    <w:p w14:paraId="419FFFC0">
      <w:pPr>
        <w:pStyle w:val="165"/>
        <w:spacing w:line="360" w:lineRule="auto"/>
      </w:pPr>
      <w:r>
        <w:rPr>
          <w:rFonts w:hint="eastAsia"/>
        </w:rPr>
        <w:t>检查准备质量指标应评价检查人员是否充分了解申请主体基本情况、认证产品类别、生产过程、认证范围、既往问题和风险因素。</w:t>
      </w:r>
    </w:p>
    <w:p w14:paraId="0A8B3164">
      <w:pPr>
        <w:pStyle w:val="165"/>
        <w:spacing w:line="360" w:lineRule="auto"/>
      </w:pPr>
      <w:r>
        <w:rPr>
          <w:rFonts w:hint="eastAsia"/>
        </w:rPr>
        <w:t>应评价申请资料预审是否完整，包括主体资质、基地信息、产品信息、生产规模、投入品清单、生产记录、检测资料和质量管理制度。</w:t>
      </w:r>
    </w:p>
    <w:p w14:paraId="276336C3">
      <w:pPr>
        <w:pStyle w:val="165"/>
        <w:spacing w:line="360" w:lineRule="auto"/>
      </w:pPr>
      <w:r>
        <w:rPr>
          <w:rFonts w:hint="eastAsia"/>
        </w:rPr>
        <w:t>应评价检查重点是否根据产品类别和主体风险确定，不得未做风险分析直接套用固定检查模板。</w:t>
      </w:r>
    </w:p>
    <w:p w14:paraId="2CB10277">
      <w:pPr>
        <w:pStyle w:val="165"/>
        <w:spacing w:line="360" w:lineRule="auto"/>
      </w:pPr>
      <w:r>
        <w:rPr>
          <w:rFonts w:hint="eastAsia"/>
        </w:rPr>
        <w:t>应评价检查依据是否明确、适用，且与本次认证范围相匹配。</w:t>
      </w:r>
    </w:p>
    <w:p w14:paraId="426DB9B5">
      <w:pPr>
        <w:pStyle w:val="165"/>
        <w:spacing w:line="360" w:lineRule="auto"/>
      </w:pPr>
      <w:r>
        <w:rPr>
          <w:rFonts w:hint="eastAsia"/>
        </w:rPr>
        <w:t>检查准备不足导致现场遗漏关键环节、检查时间明显不足或证据采集不充分的，应扣减相应分值。</w:t>
      </w:r>
    </w:p>
    <w:p w14:paraId="19E9DCEB">
      <w:pPr>
        <w:pStyle w:val="105"/>
        <w:spacing w:before="120" w:after="120" w:line="360" w:lineRule="auto"/>
      </w:pPr>
      <w:r>
        <w:rPr>
          <w:rFonts w:hint="eastAsia"/>
        </w:rPr>
        <w:t>检查计划适宜性指标</w:t>
      </w:r>
    </w:p>
    <w:p w14:paraId="3CAE70C1">
      <w:pPr>
        <w:pStyle w:val="165"/>
        <w:spacing w:line="360" w:lineRule="auto"/>
      </w:pPr>
      <w:r>
        <w:rPr>
          <w:rFonts w:hint="eastAsia"/>
        </w:rPr>
        <w:t>检查计划适宜性指标应评价检查计划是否覆盖认证范围、现场区域、关键环节和管理记录。</w:t>
      </w:r>
    </w:p>
    <w:p w14:paraId="29870BB8">
      <w:pPr>
        <w:pStyle w:val="165"/>
        <w:spacing w:line="360" w:lineRule="auto"/>
      </w:pPr>
      <w:r>
        <w:rPr>
          <w:rFonts w:hint="eastAsia"/>
        </w:rPr>
        <w:t>检查计划应明确检查目的、检查依据、检查对象、检查时间、检查路线、检查人员分工、检查重点和资料需求。</w:t>
      </w:r>
    </w:p>
    <w:p w14:paraId="7BD9CC2F">
      <w:pPr>
        <w:pStyle w:val="165"/>
        <w:spacing w:line="360" w:lineRule="auto"/>
      </w:pPr>
      <w:r>
        <w:rPr>
          <w:rFonts w:hint="eastAsia"/>
        </w:rPr>
        <w:t>对多基地、多产品、多加工场所或多主体协作生产的认证项目，检查计划应明确抽查原则和覆盖要求。</w:t>
      </w:r>
    </w:p>
    <w:p w14:paraId="26515B21">
      <w:pPr>
        <w:pStyle w:val="165"/>
        <w:spacing w:line="360" w:lineRule="auto"/>
      </w:pPr>
      <w:r>
        <w:rPr>
          <w:rFonts w:hint="eastAsia"/>
        </w:rPr>
        <w:t>检查计划应预留足够时间用于现场核查、人员访谈、证据采集和问题确认。</w:t>
      </w:r>
    </w:p>
    <w:p w14:paraId="1C3CF213">
      <w:pPr>
        <w:pStyle w:val="165"/>
        <w:spacing w:line="360" w:lineRule="auto"/>
      </w:pPr>
      <w:r>
        <w:rPr>
          <w:rFonts w:hint="eastAsia"/>
        </w:rPr>
        <w:t>实际检查未按计划实施且未说明合理原因的，应判定为计划执行不充分。</w:t>
      </w:r>
    </w:p>
    <w:p w14:paraId="7923E0DA">
      <w:pPr>
        <w:pStyle w:val="105"/>
        <w:spacing w:before="120" w:after="120" w:line="360" w:lineRule="auto"/>
      </w:pPr>
      <w:r>
        <w:rPr>
          <w:rFonts w:hint="eastAsia"/>
        </w:rPr>
        <w:t>检查人员能力与独立性指标</w:t>
      </w:r>
    </w:p>
    <w:p w14:paraId="7BAB9948">
      <w:pPr>
        <w:pStyle w:val="165"/>
        <w:spacing w:line="360" w:lineRule="auto"/>
      </w:pPr>
      <w:r>
        <w:rPr>
          <w:rFonts w:hint="eastAsia"/>
        </w:rPr>
        <w:t>检查人员能力指标应评价检查人员是否具备绿色食品认证规则、相关标准、产品类别知识和现场检查技能。</w:t>
      </w:r>
    </w:p>
    <w:p w14:paraId="69EFAF3D">
      <w:pPr>
        <w:pStyle w:val="165"/>
        <w:spacing w:line="360" w:lineRule="auto"/>
      </w:pPr>
      <w:r>
        <w:rPr>
          <w:rFonts w:hint="eastAsia"/>
        </w:rPr>
        <w:t>应评价检查人员是否在授权范围内开展检查。</w:t>
      </w:r>
    </w:p>
    <w:p w14:paraId="6A2412FC">
      <w:pPr>
        <w:pStyle w:val="165"/>
        <w:spacing w:line="360" w:lineRule="auto"/>
      </w:pPr>
      <w:r>
        <w:rPr>
          <w:rFonts w:hint="eastAsia"/>
        </w:rPr>
        <w:t>应评价检查组专业能力是否覆盖种植、养殖、加工、投入品管理、质量管理和追溯管理等检查需要。</w:t>
      </w:r>
    </w:p>
    <w:p w14:paraId="68936E2A">
      <w:pPr>
        <w:pStyle w:val="165"/>
        <w:spacing w:line="360" w:lineRule="auto"/>
      </w:pPr>
      <w:r>
        <w:rPr>
          <w:rFonts w:hint="eastAsia"/>
        </w:rPr>
        <w:t>独立性指标应评价检查人员是否存在与申请主体的利益关系、咨询关系、经济关系或其他可能影响公正性的关系。</w:t>
      </w:r>
    </w:p>
    <w:p w14:paraId="5279B1B7">
      <w:pPr>
        <w:pStyle w:val="165"/>
        <w:spacing w:line="360" w:lineRule="auto"/>
      </w:pPr>
      <w:r>
        <w:rPr>
          <w:rFonts w:hint="eastAsia"/>
        </w:rPr>
        <w:t>检查人员存在利益冲突未回避、超范围检查或专业能力明显不足的，应判定为重要质量问题。</w:t>
      </w:r>
    </w:p>
    <w:p w14:paraId="19E79304">
      <w:pPr>
        <w:pStyle w:val="105"/>
        <w:spacing w:before="120" w:after="120" w:line="360" w:lineRule="auto"/>
      </w:pPr>
      <w:r>
        <w:rPr>
          <w:rFonts w:hint="eastAsia"/>
        </w:rPr>
        <w:t>现场检查实施规范性指标</w:t>
      </w:r>
    </w:p>
    <w:p w14:paraId="67E5123F">
      <w:pPr>
        <w:pStyle w:val="165"/>
        <w:spacing w:line="360" w:lineRule="auto"/>
      </w:pPr>
      <w:r>
        <w:rPr>
          <w:rFonts w:hint="eastAsia"/>
        </w:rPr>
        <w:t>现场检查实施规范性指标应评价检查人员是否按检查计划、认证规则和作业文件实施现场检查。</w:t>
      </w:r>
    </w:p>
    <w:p w14:paraId="62961BE4">
      <w:pPr>
        <w:pStyle w:val="165"/>
        <w:spacing w:line="360" w:lineRule="auto"/>
      </w:pPr>
      <w:r>
        <w:rPr>
          <w:rFonts w:hint="eastAsia"/>
        </w:rPr>
        <w:t>应评价首次会议、现场核查、资料核查、人员询问、问题确认和末次会议等环节是否完整实施。</w:t>
      </w:r>
    </w:p>
    <w:p w14:paraId="59FB1AF9">
      <w:pPr>
        <w:pStyle w:val="165"/>
        <w:spacing w:line="360" w:lineRule="auto"/>
      </w:pPr>
      <w:r>
        <w:rPr>
          <w:rFonts w:hint="eastAsia"/>
        </w:rPr>
        <w:t>应评价检查人员是否进入生产现场、投入品仓库、加工车间、贮藏场所、包装区域、废弃物处理区域等关键场所核查。</w:t>
      </w:r>
    </w:p>
    <w:p w14:paraId="6095B6DC">
      <w:pPr>
        <w:pStyle w:val="165"/>
        <w:spacing w:line="360" w:lineRule="auto"/>
      </w:pPr>
      <w:r>
        <w:rPr>
          <w:rFonts w:hint="eastAsia"/>
        </w:rPr>
        <w:t>应评价检查人员是否对申请主体提供的记录、台账、票据和证明材料进行交叉核对。</w:t>
      </w:r>
    </w:p>
    <w:p w14:paraId="73146B97">
      <w:pPr>
        <w:pStyle w:val="165"/>
        <w:spacing w:line="360" w:lineRule="auto"/>
      </w:pPr>
      <w:r>
        <w:rPr>
          <w:rFonts w:hint="eastAsia"/>
        </w:rPr>
        <w:t>检查人员仅查阅书面资料、未进入关键现场或未核查实物的，不得判定现场检查实施充分。</w:t>
      </w:r>
    </w:p>
    <w:p w14:paraId="013030C1">
      <w:pPr>
        <w:pStyle w:val="105"/>
        <w:spacing w:before="120" w:after="120" w:line="360" w:lineRule="auto"/>
      </w:pPr>
      <w:r>
        <w:rPr>
          <w:rFonts w:hint="eastAsia"/>
        </w:rPr>
        <w:t>检查覆盖完整性指标</w:t>
      </w:r>
    </w:p>
    <w:p w14:paraId="7B554C2D">
      <w:pPr>
        <w:pStyle w:val="165"/>
        <w:spacing w:line="360" w:lineRule="auto"/>
      </w:pPr>
      <w:r>
        <w:rPr>
          <w:rFonts w:hint="eastAsia"/>
        </w:rPr>
        <w:t>检查覆盖完整性指标应评价检查是否覆盖申请认证产品、生产基地、生产季节、关键工序、投入品使用和追溯管理要求。</w:t>
      </w:r>
    </w:p>
    <w:p w14:paraId="63EE258D">
      <w:pPr>
        <w:pStyle w:val="165"/>
        <w:spacing w:line="360" w:lineRule="auto"/>
      </w:pPr>
      <w:r>
        <w:rPr>
          <w:rFonts w:hint="eastAsia"/>
        </w:rPr>
        <w:t>种植类产品应重点评价地块、种苗、肥料、农药、灌溉水、采收、贮藏和记录管理是否被覆盖。</w:t>
      </w:r>
    </w:p>
    <w:p w14:paraId="6665376B">
      <w:pPr>
        <w:pStyle w:val="165"/>
        <w:spacing w:line="360" w:lineRule="auto"/>
      </w:pPr>
      <w:r>
        <w:rPr>
          <w:rFonts w:hint="eastAsia"/>
        </w:rPr>
        <w:t>养殖类产品应重点评价苗种、饲料、兽药、防疫、养殖环境、水质、休药期、出栏或收获记录是否被覆盖。</w:t>
      </w:r>
    </w:p>
    <w:p w14:paraId="6A2AD3E9">
      <w:pPr>
        <w:pStyle w:val="165"/>
        <w:spacing w:line="360" w:lineRule="auto"/>
      </w:pPr>
      <w:r>
        <w:rPr>
          <w:rFonts w:hint="eastAsia"/>
        </w:rPr>
        <w:t>加工类产品应重点评价原辅料、食品添加剂、加工工艺、清洁消毒、设备设施、包装标识、仓储运输和检验记录是否被覆盖。</w:t>
      </w:r>
    </w:p>
    <w:p w14:paraId="7D117683">
      <w:pPr>
        <w:pStyle w:val="165"/>
        <w:spacing w:line="360" w:lineRule="auto"/>
      </w:pPr>
      <w:r>
        <w:rPr>
          <w:rFonts w:hint="eastAsia"/>
        </w:rPr>
        <w:t>检查范围与申请范围不一致，且未说明合理原因的，应判定为检查覆盖缺陷。</w:t>
      </w:r>
    </w:p>
    <w:p w14:paraId="6D7A8F2E">
      <w:pPr>
        <w:pStyle w:val="105"/>
        <w:spacing w:before="120" w:after="120" w:line="360" w:lineRule="auto"/>
      </w:pPr>
      <w:r>
        <w:rPr>
          <w:rFonts w:hint="eastAsia"/>
        </w:rPr>
        <w:t>检查证据充分性指标</w:t>
      </w:r>
    </w:p>
    <w:p w14:paraId="0420BF96">
      <w:pPr>
        <w:pStyle w:val="165"/>
        <w:spacing w:line="360" w:lineRule="auto"/>
      </w:pPr>
      <w:r>
        <w:rPr>
          <w:rFonts w:hint="eastAsia"/>
        </w:rPr>
        <w:t>检查证据充分性指标应评价检查证据是否能够支持检查发现、不符合项判定和检查结论建议。</w:t>
      </w:r>
    </w:p>
    <w:p w14:paraId="1D9C5208">
      <w:pPr>
        <w:pStyle w:val="165"/>
        <w:spacing w:line="360" w:lineRule="auto"/>
      </w:pPr>
      <w:r>
        <w:rPr>
          <w:rFonts w:hint="eastAsia"/>
        </w:rPr>
        <w:t>检查证据应来源明确，并应包括现场观察、记录核查、实物核查、人员访谈、照片视频、抽样记录或其他可核验证据。</w:t>
      </w:r>
    </w:p>
    <w:p w14:paraId="591908AA">
      <w:pPr>
        <w:pStyle w:val="165"/>
        <w:spacing w:line="360" w:lineRule="auto"/>
      </w:pPr>
      <w:r>
        <w:rPr>
          <w:rFonts w:hint="eastAsia"/>
        </w:rPr>
        <w:t>对关键风险点，应取得不少于一种类型的客观证据；对重要不符合项，宜取得两种及以上相互印证的证据。</w:t>
      </w:r>
    </w:p>
    <w:p w14:paraId="116C9D30">
      <w:pPr>
        <w:pStyle w:val="165"/>
        <w:spacing w:line="360" w:lineRule="auto"/>
      </w:pPr>
      <w:r>
        <w:rPr>
          <w:rFonts w:hint="eastAsia"/>
        </w:rPr>
        <w:t>证据应与检查事项直接相关，不得以无关照片、笼统描述或主体声明替代关键证据。</w:t>
      </w:r>
    </w:p>
    <w:p w14:paraId="6558485A">
      <w:pPr>
        <w:pStyle w:val="165"/>
        <w:spacing w:line="360" w:lineRule="auto"/>
      </w:pPr>
      <w:r>
        <w:rPr>
          <w:rFonts w:hint="eastAsia"/>
        </w:rPr>
        <w:t>检查证据不能支撑报告结论的，应判定为证据不足。</w:t>
      </w:r>
    </w:p>
    <w:p w14:paraId="56E5FD4C">
      <w:pPr>
        <w:pStyle w:val="105"/>
        <w:spacing w:before="120" w:after="120" w:line="360" w:lineRule="auto"/>
      </w:pPr>
      <w:r>
        <w:rPr>
          <w:rFonts w:hint="eastAsia"/>
        </w:rPr>
        <w:t>风险点识别准确性指标</w:t>
      </w:r>
    </w:p>
    <w:p w14:paraId="58F471CE">
      <w:pPr>
        <w:pStyle w:val="165"/>
        <w:spacing w:line="360" w:lineRule="auto"/>
      </w:pPr>
      <w:r>
        <w:rPr>
          <w:rFonts w:hint="eastAsia"/>
        </w:rPr>
        <w:t>风险点识别准确性指标应评价检查人员是否准确识别影响绿色食品认证符合性的关键风险点。</w:t>
      </w:r>
    </w:p>
    <w:p w14:paraId="17FCB524">
      <w:pPr>
        <w:pStyle w:val="165"/>
        <w:spacing w:line="360" w:lineRule="auto"/>
      </w:pPr>
      <w:r>
        <w:rPr>
          <w:rFonts w:hint="eastAsia"/>
        </w:rPr>
        <w:t>应评价检查人员是否根据产品类别、生产方式、季节特点、投入品使用、周边环境、历史问题和主体管理能力确定检查重点。</w:t>
      </w:r>
    </w:p>
    <w:p w14:paraId="12BD2959">
      <w:pPr>
        <w:pStyle w:val="165"/>
        <w:spacing w:line="360" w:lineRule="auto"/>
      </w:pPr>
      <w:r>
        <w:rPr>
          <w:rFonts w:hint="eastAsia"/>
        </w:rPr>
        <w:t>对产地周边污染源、禁限用投入品、生产记录真实性、批次追溯断点、标志使用不规范等风险，应进行重点核查。</w:t>
      </w:r>
    </w:p>
    <w:p w14:paraId="45375314">
      <w:pPr>
        <w:pStyle w:val="165"/>
        <w:spacing w:line="360" w:lineRule="auto"/>
      </w:pPr>
      <w:r>
        <w:rPr>
          <w:rFonts w:hint="eastAsia"/>
        </w:rPr>
        <w:t>发现明显风险线索但未进一步核查的，应判定为风险识别不足。</w:t>
      </w:r>
    </w:p>
    <w:p w14:paraId="689A53A6">
      <w:pPr>
        <w:pStyle w:val="165"/>
        <w:spacing w:line="360" w:lineRule="auto"/>
      </w:pPr>
      <w:r>
        <w:rPr>
          <w:rFonts w:hint="eastAsia"/>
        </w:rPr>
        <w:t>将低风险事项作为主要问题而遗漏关键风险事项的，应判定为风险识别偏差。</w:t>
      </w:r>
    </w:p>
    <w:p w14:paraId="1397E348">
      <w:pPr>
        <w:pStyle w:val="105"/>
        <w:spacing w:before="120" w:after="120" w:line="360" w:lineRule="auto"/>
      </w:pPr>
      <w:r>
        <w:rPr>
          <w:rFonts w:hint="eastAsia"/>
        </w:rPr>
        <w:t>不符合项判定准确性指标</w:t>
      </w:r>
    </w:p>
    <w:p w14:paraId="539D5F4B">
      <w:pPr>
        <w:pStyle w:val="165"/>
        <w:spacing w:line="360" w:lineRule="auto"/>
      </w:pPr>
      <w:r>
        <w:rPr>
          <w:rFonts w:hint="eastAsia"/>
        </w:rPr>
        <w:t>不符合项判定准确性指标应评价不符合项事实是否清楚、依据是否明确、证据是否充分、分级是否适当。</w:t>
      </w:r>
    </w:p>
    <w:p w14:paraId="41036097">
      <w:pPr>
        <w:pStyle w:val="165"/>
        <w:spacing w:line="360" w:lineRule="auto"/>
      </w:pPr>
      <w:r>
        <w:rPr>
          <w:rFonts w:hint="eastAsia"/>
        </w:rPr>
        <w:t>不符合项描述应包括检查对象、发生地点、事实情况、证据来源、违反要求和影响范围。</w:t>
      </w:r>
    </w:p>
    <w:p w14:paraId="640677D6">
      <w:pPr>
        <w:pStyle w:val="165"/>
        <w:spacing w:line="360" w:lineRule="auto"/>
      </w:pPr>
      <w:r>
        <w:rPr>
          <w:rFonts w:hint="eastAsia"/>
        </w:rPr>
        <w:t>不符合项应与绿色食品认证标准、认证规则、检查作业文件或机构管理要求相对应。</w:t>
      </w:r>
    </w:p>
    <w:p w14:paraId="3E86E551">
      <w:pPr>
        <w:pStyle w:val="165"/>
        <w:spacing w:line="360" w:lineRule="auto"/>
      </w:pPr>
      <w:r>
        <w:rPr>
          <w:rFonts w:hint="eastAsia"/>
        </w:rPr>
        <w:t>不符合项判定不得仅使用主观性表述，不得以“管理较差”“不够规范”等替代具体事实。</w:t>
      </w:r>
    </w:p>
    <w:p w14:paraId="32747B39">
      <w:pPr>
        <w:pStyle w:val="165"/>
        <w:spacing w:line="360" w:lineRule="auto"/>
      </w:pPr>
      <w:r>
        <w:rPr>
          <w:rFonts w:hint="eastAsia"/>
        </w:rPr>
        <w:t>对可能影响认证结论的重要问题，应明确整改要求和验证方式。</w:t>
      </w:r>
    </w:p>
    <w:p w14:paraId="7C485E77">
      <w:pPr>
        <w:pStyle w:val="105"/>
        <w:spacing w:before="120" w:after="120" w:line="360" w:lineRule="auto"/>
      </w:pPr>
      <w:r>
        <w:rPr>
          <w:rFonts w:hint="eastAsia"/>
        </w:rPr>
        <w:t>检查记录与报告质量指标</w:t>
      </w:r>
    </w:p>
    <w:p w14:paraId="2B26FA18">
      <w:pPr>
        <w:pStyle w:val="165"/>
        <w:spacing w:line="360" w:lineRule="auto"/>
      </w:pPr>
      <w:r>
        <w:rPr>
          <w:rFonts w:hint="eastAsia"/>
        </w:rPr>
        <w:t>检查记录与报告质量指标应评价记录是否真实、完整、及时、清晰、可追溯。</w:t>
      </w:r>
    </w:p>
    <w:p w14:paraId="0B236271">
      <w:pPr>
        <w:pStyle w:val="165"/>
        <w:spacing w:line="360" w:lineRule="auto"/>
      </w:pPr>
      <w:r>
        <w:rPr>
          <w:rFonts w:hint="eastAsia"/>
        </w:rPr>
        <w:t>检查报告应准确反映申请主体基本情况、检查范围、检查过程、检查发现、不符合项、整改要求和结论建议。</w:t>
      </w:r>
    </w:p>
    <w:p w14:paraId="565AE0FE">
      <w:pPr>
        <w:pStyle w:val="165"/>
        <w:spacing w:line="360" w:lineRule="auto"/>
      </w:pPr>
      <w:r>
        <w:rPr>
          <w:rFonts w:hint="eastAsia"/>
        </w:rPr>
        <w:t>检查报告中产品名称、认证范围、基地面积、生产规模、投入品使用、加工能力、检查时间和检查人员信息应与现场证据一致。</w:t>
      </w:r>
    </w:p>
    <w:p w14:paraId="0F3CD543">
      <w:pPr>
        <w:pStyle w:val="165"/>
        <w:spacing w:line="360" w:lineRule="auto"/>
      </w:pPr>
      <w:r>
        <w:rPr>
          <w:rFonts w:hint="eastAsia"/>
        </w:rPr>
        <w:t>检查报告不得出现空项、漏项、前后矛盾、复制错误、证据缺失或结论无依据等问题。</w:t>
      </w:r>
    </w:p>
    <w:p w14:paraId="206C67FA">
      <w:pPr>
        <w:pStyle w:val="165"/>
        <w:spacing w:line="360" w:lineRule="auto"/>
      </w:pPr>
      <w:r>
        <w:rPr>
          <w:rFonts w:hint="eastAsia"/>
        </w:rPr>
        <w:t>检查报告不能支撑认证决定的，应判定为报告质量不符合要求。</w:t>
      </w:r>
    </w:p>
    <w:p w14:paraId="450B9267">
      <w:pPr>
        <w:pStyle w:val="105"/>
        <w:spacing w:before="120" w:after="120" w:line="360" w:lineRule="auto"/>
      </w:pPr>
      <w:r>
        <w:rPr>
          <w:rFonts w:hint="eastAsia"/>
        </w:rPr>
        <w:t>整改验证有效性指标</w:t>
      </w:r>
    </w:p>
    <w:p w14:paraId="54B9EC2B">
      <w:pPr>
        <w:pStyle w:val="165"/>
        <w:spacing w:line="360" w:lineRule="auto"/>
      </w:pPr>
      <w:r>
        <w:rPr>
          <w:rFonts w:hint="eastAsia"/>
        </w:rPr>
        <w:t>整改验证有效性指标应评价整改验证是否针对每项不符合项逐项开展。</w:t>
      </w:r>
    </w:p>
    <w:p w14:paraId="2AC6D38F">
      <w:pPr>
        <w:pStyle w:val="165"/>
        <w:spacing w:line="360" w:lineRule="auto"/>
      </w:pPr>
      <w:r>
        <w:rPr>
          <w:rFonts w:hint="eastAsia"/>
        </w:rPr>
        <w:t>整改证据应能够证明整改措施已实施且达到要求。</w:t>
      </w:r>
    </w:p>
    <w:p w14:paraId="58062455">
      <w:pPr>
        <w:pStyle w:val="165"/>
        <w:spacing w:line="360" w:lineRule="auto"/>
      </w:pPr>
      <w:r>
        <w:rPr>
          <w:rFonts w:hint="eastAsia"/>
        </w:rPr>
        <w:t>对涉及投入品违规、记录失真、追溯断裂、产地环境风险或加工过程污染风险等重要问题，应采取资料复核、现场复核或补充证据核查方式验证。</w:t>
      </w:r>
    </w:p>
    <w:p w14:paraId="42FB510C">
      <w:pPr>
        <w:pStyle w:val="165"/>
        <w:spacing w:line="360" w:lineRule="auto"/>
      </w:pPr>
      <w:r>
        <w:rPr>
          <w:rFonts w:hint="eastAsia"/>
        </w:rPr>
        <w:t>整改验证结论应明确，不得以“基本整改”“原则通过”等模糊表述关闭问题。</w:t>
      </w:r>
    </w:p>
    <w:p w14:paraId="2E1052DB">
      <w:pPr>
        <w:pStyle w:val="165"/>
        <w:spacing w:line="360" w:lineRule="auto"/>
      </w:pPr>
      <w:r>
        <w:rPr>
          <w:rFonts w:hint="eastAsia"/>
        </w:rPr>
        <w:t>整改验证记录可参照附录B。</w:t>
      </w:r>
    </w:p>
    <w:p w14:paraId="388DF541">
      <w:pPr>
        <w:pStyle w:val="104"/>
        <w:spacing w:before="240" w:after="240" w:line="360" w:lineRule="auto"/>
      </w:pPr>
      <w:bookmarkStart w:id="54" w:name="_Toc228607134"/>
      <w:r>
        <w:rPr>
          <w:rFonts w:hint="eastAsia"/>
        </w:rPr>
        <w:t>评价方法</w:t>
      </w:r>
      <w:bookmarkEnd w:id="54"/>
    </w:p>
    <w:p w14:paraId="23F483D2">
      <w:pPr>
        <w:pStyle w:val="105"/>
        <w:spacing w:before="120" w:after="120" w:line="360" w:lineRule="auto"/>
      </w:pPr>
      <w:r>
        <w:rPr>
          <w:rFonts w:hint="eastAsia"/>
        </w:rPr>
        <w:t>一般要求</w:t>
      </w:r>
    </w:p>
    <w:p w14:paraId="06F317BD">
      <w:pPr>
        <w:pStyle w:val="165"/>
        <w:spacing w:line="360" w:lineRule="auto"/>
      </w:pPr>
      <w:r>
        <w:rPr>
          <w:rFonts w:hint="eastAsia"/>
        </w:rPr>
        <w:t>绿色食品认证现场检查质量评价应采用资料核查、记录复核、报告评审、影像核验、人员访谈、现场抽查、整改追溯和综合评分等方法。</w:t>
      </w:r>
    </w:p>
    <w:p w14:paraId="263F472E">
      <w:pPr>
        <w:pStyle w:val="165"/>
        <w:spacing w:line="360" w:lineRule="auto"/>
      </w:pPr>
      <w:r>
        <w:rPr>
          <w:rFonts w:hint="eastAsia"/>
        </w:rPr>
        <w:t>评价方法应与评价目的、评价对象、检查类型、产品类别和风险等级相匹配。</w:t>
      </w:r>
    </w:p>
    <w:p w14:paraId="16A48305">
      <w:pPr>
        <w:pStyle w:val="165"/>
        <w:spacing w:line="360" w:lineRule="auto"/>
      </w:pPr>
      <w:r>
        <w:rPr>
          <w:rFonts w:hint="eastAsia"/>
        </w:rPr>
        <w:t>评价过程中应保留评价证据，必要时应保存评价记录、照片、访谈记录、复核意见和评分表。</w:t>
      </w:r>
    </w:p>
    <w:p w14:paraId="683C21EA">
      <w:pPr>
        <w:pStyle w:val="165"/>
        <w:spacing w:line="360" w:lineRule="auto"/>
      </w:pPr>
      <w:r>
        <w:rPr>
          <w:rFonts w:hint="eastAsia"/>
        </w:rPr>
        <w:t>对关键指标、重大质量问题和存在争议的事项，应采用两种及以上方法交叉验证。</w:t>
      </w:r>
    </w:p>
    <w:p w14:paraId="75EC5E95">
      <w:pPr>
        <w:pStyle w:val="165"/>
        <w:spacing w:line="360" w:lineRule="auto"/>
      </w:pPr>
      <w:r>
        <w:rPr>
          <w:rFonts w:hint="eastAsia"/>
        </w:rPr>
        <w:t>评价不得仅以检查报告形式合规作为现场检查质量合格依据。</w:t>
      </w:r>
    </w:p>
    <w:p w14:paraId="6F4BE1A8">
      <w:pPr>
        <w:pStyle w:val="105"/>
        <w:spacing w:before="120" w:after="120" w:line="360" w:lineRule="auto"/>
      </w:pPr>
      <w:r>
        <w:rPr>
          <w:rFonts w:hint="eastAsia"/>
        </w:rPr>
        <w:t>资料核查</w:t>
      </w:r>
    </w:p>
    <w:p w14:paraId="697DEFAD">
      <w:pPr>
        <w:pStyle w:val="165"/>
        <w:spacing w:line="360" w:lineRule="auto"/>
      </w:pPr>
      <w:r>
        <w:rPr>
          <w:rFonts w:hint="eastAsia"/>
        </w:rPr>
        <w:t>资料核查应核查检查任务书、申请资料、检查计划、检查表、检查记录、检查报告、不符合项记录、整改资料和复核记录。</w:t>
      </w:r>
    </w:p>
    <w:p w14:paraId="5C363598">
      <w:pPr>
        <w:pStyle w:val="165"/>
        <w:spacing w:line="360" w:lineRule="auto"/>
      </w:pPr>
      <w:r>
        <w:rPr>
          <w:rFonts w:hint="eastAsia"/>
        </w:rPr>
        <w:t>资料核查应关注资料之间的一致性、完整性和逻辑关系。</w:t>
      </w:r>
    </w:p>
    <w:p w14:paraId="392C78E3">
      <w:pPr>
        <w:pStyle w:val="165"/>
        <w:spacing w:line="360" w:lineRule="auto"/>
      </w:pPr>
      <w:r>
        <w:rPr>
          <w:rFonts w:hint="eastAsia"/>
        </w:rPr>
        <w:t>资料核查应核对申请认证范围与检查覆盖范围是否一致。</w:t>
      </w:r>
    </w:p>
    <w:p w14:paraId="2FAC8A7C">
      <w:pPr>
        <w:pStyle w:val="165"/>
        <w:spacing w:line="360" w:lineRule="auto"/>
      </w:pPr>
      <w:r>
        <w:rPr>
          <w:rFonts w:hint="eastAsia"/>
        </w:rPr>
        <w:t>资料核查应核对检查报告结论是否有检查证据支撑。</w:t>
      </w:r>
    </w:p>
    <w:p w14:paraId="6481FA91">
      <w:pPr>
        <w:pStyle w:val="165"/>
        <w:spacing w:line="360" w:lineRule="auto"/>
      </w:pPr>
      <w:r>
        <w:rPr>
          <w:rFonts w:hint="eastAsia"/>
        </w:rPr>
        <w:t>资料存在缺失、矛盾或疑似补编的，应进一步开展补充核查。</w:t>
      </w:r>
    </w:p>
    <w:p w14:paraId="03CDE800">
      <w:pPr>
        <w:pStyle w:val="105"/>
        <w:spacing w:before="120" w:after="120" w:line="360" w:lineRule="auto"/>
      </w:pPr>
      <w:r>
        <w:rPr>
          <w:rFonts w:hint="eastAsia"/>
        </w:rPr>
        <w:t>记录复核</w:t>
      </w:r>
    </w:p>
    <w:p w14:paraId="6B0A7FF0">
      <w:pPr>
        <w:pStyle w:val="165"/>
        <w:spacing w:line="360" w:lineRule="auto"/>
      </w:pPr>
      <w:r>
        <w:rPr>
          <w:rFonts w:hint="eastAsia"/>
        </w:rPr>
        <w:t>记录复核应重点核查现场检查记录是否真实反映检查过程。</w:t>
      </w:r>
    </w:p>
    <w:p w14:paraId="49826340">
      <w:pPr>
        <w:pStyle w:val="165"/>
        <w:spacing w:line="360" w:lineRule="auto"/>
      </w:pPr>
      <w:r>
        <w:rPr>
          <w:rFonts w:hint="eastAsia"/>
        </w:rPr>
        <w:t>记录复核应包括首次会议记录、现场核查记录、人员访谈记录、投入品核查记录、生产记录核查记录、抽样记录、末次会议记录和整改验证记录。</w:t>
      </w:r>
    </w:p>
    <w:p w14:paraId="20B0124B">
      <w:pPr>
        <w:pStyle w:val="165"/>
        <w:spacing w:line="360" w:lineRule="auto"/>
      </w:pPr>
      <w:r>
        <w:rPr>
          <w:rFonts w:hint="eastAsia"/>
        </w:rPr>
        <w:t>检查记录应与照片、视频、报告、不符合项和整改资料相互印证。</w:t>
      </w:r>
    </w:p>
    <w:p w14:paraId="19869467">
      <w:pPr>
        <w:pStyle w:val="165"/>
        <w:spacing w:line="360" w:lineRule="auto"/>
      </w:pPr>
      <w:r>
        <w:rPr>
          <w:rFonts w:hint="eastAsia"/>
        </w:rPr>
        <w:t>检查记录存在关键字段空缺、事实描述过于笼统、证据来源不清或签名不完整的，应记录为质量问题。</w:t>
      </w:r>
    </w:p>
    <w:p w14:paraId="757B38AD">
      <w:pPr>
        <w:pStyle w:val="105"/>
        <w:spacing w:before="120" w:after="120" w:line="360" w:lineRule="auto"/>
      </w:pPr>
      <w:r>
        <w:rPr>
          <w:rFonts w:hint="eastAsia"/>
        </w:rPr>
        <w:t>报告评审</w:t>
      </w:r>
    </w:p>
    <w:p w14:paraId="3CE53BFE">
      <w:pPr>
        <w:pStyle w:val="165"/>
        <w:spacing w:line="360" w:lineRule="auto"/>
      </w:pPr>
      <w:r>
        <w:rPr>
          <w:rFonts w:hint="eastAsia"/>
        </w:rPr>
        <w:t>报告评审应评价检查报告格式、内容、证据、结论和整改要求是否符合规定。</w:t>
      </w:r>
    </w:p>
    <w:p w14:paraId="19C5C284">
      <w:pPr>
        <w:pStyle w:val="165"/>
        <w:spacing w:line="360" w:lineRule="auto"/>
      </w:pPr>
      <w:r>
        <w:rPr>
          <w:rFonts w:hint="eastAsia"/>
        </w:rPr>
        <w:t>报告评审应重点核查检查结论是否与现场检查发现一致。</w:t>
      </w:r>
    </w:p>
    <w:p w14:paraId="447A19D0">
      <w:pPr>
        <w:pStyle w:val="165"/>
        <w:spacing w:line="360" w:lineRule="auto"/>
      </w:pPr>
      <w:r>
        <w:rPr>
          <w:rFonts w:hint="eastAsia"/>
        </w:rPr>
        <w:t>报告评审应核查不符合项描述是否准确、依据是否明确、整改要求是否可操作。</w:t>
      </w:r>
    </w:p>
    <w:p w14:paraId="10676766">
      <w:pPr>
        <w:pStyle w:val="165"/>
        <w:spacing w:line="360" w:lineRule="auto"/>
      </w:pPr>
      <w:r>
        <w:rPr>
          <w:rFonts w:hint="eastAsia"/>
        </w:rPr>
        <w:t>报告评审发现报告结论不清、证据不足、问题遗漏或判定错误的，应提出退回修改或复核建议。</w:t>
      </w:r>
    </w:p>
    <w:p w14:paraId="2C1707C7">
      <w:pPr>
        <w:pStyle w:val="105"/>
        <w:spacing w:before="120" w:after="120" w:line="360" w:lineRule="auto"/>
      </w:pPr>
      <w:r>
        <w:rPr>
          <w:rFonts w:hint="eastAsia"/>
        </w:rPr>
        <w:t>影像核验</w:t>
      </w:r>
    </w:p>
    <w:p w14:paraId="269C020D">
      <w:pPr>
        <w:pStyle w:val="165"/>
        <w:spacing w:line="360" w:lineRule="auto"/>
      </w:pPr>
      <w:r>
        <w:rPr>
          <w:rFonts w:hint="eastAsia"/>
        </w:rPr>
        <w:t>影像核验应核查现场照片、视频、定位信息或其他影像资料是否能够反映关键现场情况。</w:t>
      </w:r>
    </w:p>
    <w:p w14:paraId="1AFC13EE">
      <w:pPr>
        <w:pStyle w:val="165"/>
        <w:spacing w:line="360" w:lineRule="auto"/>
      </w:pPr>
      <w:r>
        <w:rPr>
          <w:rFonts w:hint="eastAsia"/>
        </w:rPr>
        <w:t>影像资料应与检查时间、检查地点、检查对象和检查发现相匹配。</w:t>
      </w:r>
    </w:p>
    <w:p w14:paraId="2381FA55">
      <w:pPr>
        <w:pStyle w:val="165"/>
        <w:spacing w:line="360" w:lineRule="auto"/>
      </w:pPr>
      <w:r>
        <w:rPr>
          <w:rFonts w:hint="eastAsia"/>
        </w:rPr>
        <w:t>影像资料应重点覆盖产地环境、投入品仓库、生产现场、加工场所、贮藏场所、包装标识、追溯记录和不符合项证据。</w:t>
      </w:r>
    </w:p>
    <w:p w14:paraId="185ABA6E">
      <w:pPr>
        <w:pStyle w:val="165"/>
        <w:spacing w:line="360" w:lineRule="auto"/>
      </w:pPr>
      <w:r>
        <w:rPr>
          <w:rFonts w:hint="eastAsia"/>
        </w:rPr>
        <w:t>影像资料明显与检查项目不符、重复使用、时间异常或无法确认来源的，不得作为有效证据。</w:t>
      </w:r>
    </w:p>
    <w:p w14:paraId="2AF4CF37">
      <w:pPr>
        <w:pStyle w:val="105"/>
        <w:spacing w:before="120" w:after="120" w:line="360" w:lineRule="auto"/>
      </w:pPr>
      <w:r>
        <w:rPr>
          <w:rFonts w:hint="eastAsia"/>
        </w:rPr>
        <w:t>人员访谈</w:t>
      </w:r>
    </w:p>
    <w:p w14:paraId="76D11F6E">
      <w:pPr>
        <w:pStyle w:val="165"/>
        <w:spacing w:line="360" w:lineRule="auto"/>
      </w:pPr>
      <w:r>
        <w:rPr>
          <w:rFonts w:hint="eastAsia"/>
        </w:rPr>
        <w:t>人员访谈可用于核实检查人员实施情况、申请主体配合情况、问题发现过程和整改验证情况。</w:t>
      </w:r>
    </w:p>
    <w:p w14:paraId="22CA1114">
      <w:pPr>
        <w:pStyle w:val="165"/>
        <w:spacing w:line="360" w:lineRule="auto"/>
      </w:pPr>
      <w:r>
        <w:rPr>
          <w:rFonts w:hint="eastAsia"/>
        </w:rPr>
        <w:t>访谈对象可包括检查人员、质量复核人员、认证项目管理人员、申请主体负责人、生产管理人员、投入品管理人员和质量管理人员。</w:t>
      </w:r>
    </w:p>
    <w:p w14:paraId="747FD68B">
      <w:pPr>
        <w:pStyle w:val="165"/>
        <w:spacing w:line="360" w:lineRule="auto"/>
      </w:pPr>
      <w:r>
        <w:rPr>
          <w:rFonts w:hint="eastAsia"/>
        </w:rPr>
        <w:t>访谈内容应围绕具体检查任务和具体问题，不得仅进行一般性询问。</w:t>
      </w:r>
    </w:p>
    <w:p w14:paraId="7DE51E9A">
      <w:pPr>
        <w:pStyle w:val="165"/>
        <w:spacing w:line="360" w:lineRule="auto"/>
      </w:pPr>
      <w:r>
        <w:rPr>
          <w:rFonts w:hint="eastAsia"/>
        </w:rPr>
        <w:t>访谈结果应形成记录。访谈记录作为评价证据时，应注明访谈对象、时间、方式和主要内容。</w:t>
      </w:r>
    </w:p>
    <w:p w14:paraId="3558684F">
      <w:pPr>
        <w:pStyle w:val="105"/>
        <w:spacing w:before="120" w:after="120" w:line="360" w:lineRule="auto"/>
      </w:pPr>
      <w:r>
        <w:rPr>
          <w:rFonts w:hint="eastAsia"/>
        </w:rPr>
        <w:t>现场抽查</w:t>
      </w:r>
    </w:p>
    <w:p w14:paraId="5851E702">
      <w:pPr>
        <w:pStyle w:val="165"/>
        <w:spacing w:line="360" w:lineRule="auto"/>
      </w:pPr>
      <w:r>
        <w:rPr>
          <w:rFonts w:hint="eastAsia"/>
        </w:rPr>
        <w:t>必要时，评价人员可对已完成现场检查的主体开展现场抽查。</w:t>
      </w:r>
    </w:p>
    <w:p w14:paraId="0C890C4A">
      <w:pPr>
        <w:pStyle w:val="165"/>
        <w:spacing w:line="360" w:lineRule="auto"/>
      </w:pPr>
      <w:r>
        <w:rPr>
          <w:rFonts w:hint="eastAsia"/>
        </w:rPr>
        <w:t>现场抽查应重点核查前次现场检查是否存在明显遗漏、证据失真、问题未发现或整改不真实等情况。</w:t>
      </w:r>
    </w:p>
    <w:p w14:paraId="74FD7FE9">
      <w:pPr>
        <w:pStyle w:val="165"/>
        <w:spacing w:line="360" w:lineRule="auto"/>
      </w:pPr>
      <w:r>
        <w:rPr>
          <w:rFonts w:hint="eastAsia"/>
        </w:rPr>
        <w:t>现场抽查可采用现场走访、实物核查、记录追溯、库存核查、人员询问和影像比对等方式。</w:t>
      </w:r>
    </w:p>
    <w:p w14:paraId="57712555">
      <w:pPr>
        <w:pStyle w:val="165"/>
        <w:spacing w:line="360" w:lineRule="auto"/>
      </w:pPr>
      <w:r>
        <w:rPr>
          <w:rFonts w:hint="eastAsia"/>
        </w:rPr>
        <w:t>现场抽查发现与原检查结论存在重大差异的，应启动专项复核。</w:t>
      </w:r>
    </w:p>
    <w:p w14:paraId="0B6049B3">
      <w:pPr>
        <w:pStyle w:val="105"/>
        <w:spacing w:before="120" w:after="120" w:line="360" w:lineRule="auto"/>
      </w:pPr>
      <w:r>
        <w:rPr>
          <w:rFonts w:hint="eastAsia"/>
        </w:rPr>
        <w:t>综合评分</w:t>
      </w:r>
    </w:p>
    <w:p w14:paraId="52C13B51">
      <w:pPr>
        <w:pStyle w:val="165"/>
        <w:spacing w:line="360" w:lineRule="auto"/>
      </w:pPr>
      <w:r>
        <w:rPr>
          <w:rFonts w:hint="eastAsia"/>
        </w:rPr>
        <w:t>现场检查质量评价可采用百分制评分。</w:t>
      </w:r>
    </w:p>
    <w:p w14:paraId="52E1FD23">
      <w:pPr>
        <w:pStyle w:val="165"/>
        <w:spacing w:line="360" w:lineRule="auto"/>
      </w:pPr>
      <w:r>
        <w:rPr>
          <w:rFonts w:hint="eastAsia"/>
        </w:rPr>
        <w:t>评分应按评价指标逐项进行，并应记录扣分原因和证据来源。</w:t>
      </w:r>
    </w:p>
    <w:p w14:paraId="50ADFD0A">
      <w:pPr>
        <w:pStyle w:val="165"/>
        <w:spacing w:line="360" w:lineRule="auto"/>
      </w:pPr>
      <w:r>
        <w:rPr>
          <w:rFonts w:hint="eastAsia"/>
        </w:rPr>
        <w:t>评价指标权重应在评价前确定，不得在评价后随意调整。</w:t>
      </w:r>
    </w:p>
    <w:p w14:paraId="202C4AEA">
      <w:pPr>
        <w:pStyle w:val="165"/>
        <w:spacing w:line="360" w:lineRule="auto"/>
      </w:pPr>
      <w:r>
        <w:rPr>
          <w:rFonts w:hint="eastAsia"/>
        </w:rPr>
        <w:t>存在重大质量缺陷或否决项的，不得仅因总分较高而判定为较高等级。</w:t>
      </w:r>
    </w:p>
    <w:p w14:paraId="422FA439">
      <w:pPr>
        <w:pStyle w:val="165"/>
        <w:spacing w:line="360" w:lineRule="auto"/>
      </w:pPr>
      <w:r>
        <w:rPr>
          <w:rFonts w:hint="eastAsia"/>
        </w:rPr>
        <w:t>综合评分结果应经评价人员复核确认。</w:t>
      </w:r>
    </w:p>
    <w:p w14:paraId="14402015">
      <w:pPr>
        <w:pStyle w:val="104"/>
        <w:spacing w:before="240" w:after="240" w:line="360" w:lineRule="auto"/>
      </w:pPr>
      <w:bookmarkStart w:id="55" w:name="_Toc228607135"/>
      <w:r>
        <w:rPr>
          <w:rFonts w:hint="eastAsia"/>
        </w:rPr>
        <w:t>评价程序</w:t>
      </w:r>
      <w:bookmarkEnd w:id="55"/>
    </w:p>
    <w:p w14:paraId="1C88D810">
      <w:pPr>
        <w:pStyle w:val="105"/>
        <w:spacing w:before="120" w:after="120" w:line="360" w:lineRule="auto"/>
      </w:pPr>
      <w:r>
        <w:rPr>
          <w:rFonts w:hint="eastAsia"/>
        </w:rPr>
        <w:t>一般要求</w:t>
      </w:r>
    </w:p>
    <w:p w14:paraId="456727B7">
      <w:pPr>
        <w:pStyle w:val="165"/>
        <w:spacing w:line="360" w:lineRule="auto"/>
      </w:pPr>
      <w:r>
        <w:rPr>
          <w:rFonts w:hint="eastAsia"/>
        </w:rPr>
        <w:t>绿色食品认证现场检查质量评价程序应包括评价准备、评价实施、证据确认、评分判定、问题反馈、报告编制和整改验证。</w:t>
      </w:r>
    </w:p>
    <w:p w14:paraId="34BE67BE">
      <w:pPr>
        <w:pStyle w:val="165"/>
        <w:spacing w:line="360" w:lineRule="auto"/>
      </w:pPr>
      <w:r>
        <w:rPr>
          <w:rFonts w:hint="eastAsia"/>
        </w:rPr>
        <w:t>评价程序应保证评价过程规范、证据充分、结论客观、问题闭环。</w:t>
      </w:r>
    </w:p>
    <w:p w14:paraId="6ECFC580">
      <w:pPr>
        <w:pStyle w:val="165"/>
        <w:spacing w:line="360" w:lineRule="auto"/>
      </w:pPr>
      <w:r>
        <w:rPr>
          <w:rFonts w:hint="eastAsia"/>
        </w:rPr>
        <w:t>评价活动应有明确评价对象、评价范围、评价依据和评价方法。</w:t>
      </w:r>
    </w:p>
    <w:p w14:paraId="19D83540">
      <w:pPr>
        <w:pStyle w:val="165"/>
        <w:spacing w:line="360" w:lineRule="auto"/>
      </w:pPr>
      <w:r>
        <w:rPr>
          <w:rFonts w:hint="eastAsia"/>
        </w:rPr>
        <w:t>专项评价、监督抽查和投诉相关评价可根据实际情况简化部分程序，但不得降低证据要求和判定要求。</w:t>
      </w:r>
    </w:p>
    <w:p w14:paraId="3936ACAE">
      <w:pPr>
        <w:pStyle w:val="105"/>
        <w:spacing w:before="120" w:after="120" w:line="360" w:lineRule="auto"/>
      </w:pPr>
      <w:r>
        <w:rPr>
          <w:rFonts w:hint="eastAsia"/>
        </w:rPr>
        <w:t>评价准备</w:t>
      </w:r>
    </w:p>
    <w:p w14:paraId="591C6DFE">
      <w:pPr>
        <w:pStyle w:val="165"/>
        <w:spacing w:line="360" w:lineRule="auto"/>
      </w:pPr>
      <w:r>
        <w:rPr>
          <w:rFonts w:hint="eastAsia"/>
        </w:rPr>
        <w:t>评价前应明确评价目的、评价范围、评价对象、评价依据、评价人员和评价计划。</w:t>
      </w:r>
    </w:p>
    <w:p w14:paraId="5452D2EF">
      <w:pPr>
        <w:pStyle w:val="165"/>
        <w:spacing w:line="360" w:lineRule="auto"/>
      </w:pPr>
      <w:r>
        <w:rPr>
          <w:rFonts w:hint="eastAsia"/>
        </w:rPr>
        <w:t>评价前应收集被评价现场检查任务的基本资料，包括认证项目、产品类别、检查类型、检查时间、检查人员、申请主体基本情况和检查结论。</w:t>
      </w:r>
    </w:p>
    <w:p w14:paraId="3F7114CA">
      <w:pPr>
        <w:pStyle w:val="165"/>
        <w:spacing w:line="360" w:lineRule="auto"/>
      </w:pPr>
      <w:r>
        <w:rPr>
          <w:rFonts w:hint="eastAsia"/>
        </w:rPr>
        <w:t>评价前应识别重点评价事项和高风险环节。</w:t>
      </w:r>
    </w:p>
    <w:p w14:paraId="17175CB1">
      <w:pPr>
        <w:pStyle w:val="165"/>
        <w:spacing w:line="360" w:lineRule="auto"/>
      </w:pPr>
      <w:r>
        <w:rPr>
          <w:rFonts w:hint="eastAsia"/>
        </w:rPr>
        <w:t>评价前应编制评价检查表。评价检查表应与检查类型和产品类别相适应。</w:t>
      </w:r>
    </w:p>
    <w:p w14:paraId="5350E4DB">
      <w:pPr>
        <w:pStyle w:val="105"/>
        <w:spacing w:before="120" w:after="120" w:line="360" w:lineRule="auto"/>
      </w:pPr>
      <w:r>
        <w:rPr>
          <w:rFonts w:hint="eastAsia"/>
        </w:rPr>
        <w:t>评价实施</w:t>
      </w:r>
    </w:p>
    <w:p w14:paraId="011A3BA9">
      <w:pPr>
        <w:pStyle w:val="165"/>
        <w:spacing w:line="360" w:lineRule="auto"/>
      </w:pPr>
      <w:r>
        <w:rPr>
          <w:rFonts w:hint="eastAsia"/>
        </w:rPr>
        <w:t>评价人员应按照评价计划开展资料核查、记录复核、报告评审、影像核验、访谈或现场抽查。</w:t>
      </w:r>
    </w:p>
    <w:p w14:paraId="5E966BD6">
      <w:pPr>
        <w:pStyle w:val="165"/>
        <w:spacing w:line="360" w:lineRule="auto"/>
      </w:pPr>
      <w:r>
        <w:rPr>
          <w:rFonts w:hint="eastAsia"/>
        </w:rPr>
        <w:t>评价人员应对评价发现的问题进行证据收集和事实确认。</w:t>
      </w:r>
    </w:p>
    <w:p w14:paraId="4E18C926">
      <w:pPr>
        <w:pStyle w:val="165"/>
        <w:spacing w:line="360" w:lineRule="auto"/>
      </w:pPr>
      <w:r>
        <w:rPr>
          <w:rFonts w:hint="eastAsia"/>
        </w:rPr>
        <w:t>评价过程中发现事实不清、证据不足或材料矛盾的，应补充核查。</w:t>
      </w:r>
    </w:p>
    <w:p w14:paraId="4969D891">
      <w:pPr>
        <w:pStyle w:val="165"/>
        <w:spacing w:line="360" w:lineRule="auto"/>
      </w:pPr>
      <w:r>
        <w:rPr>
          <w:rFonts w:hint="eastAsia"/>
        </w:rPr>
        <w:t>评价人员不得在无证据支持的情况下作出质量缺陷判定。</w:t>
      </w:r>
    </w:p>
    <w:p w14:paraId="0885DDC7">
      <w:pPr>
        <w:pStyle w:val="105"/>
        <w:spacing w:before="120" w:after="120" w:line="360" w:lineRule="auto"/>
      </w:pPr>
      <w:r>
        <w:rPr>
          <w:rFonts w:hint="eastAsia"/>
        </w:rPr>
        <w:t>证据确认</w:t>
      </w:r>
    </w:p>
    <w:p w14:paraId="3039BD47">
      <w:pPr>
        <w:pStyle w:val="165"/>
        <w:spacing w:line="360" w:lineRule="auto"/>
      </w:pPr>
      <w:r>
        <w:rPr>
          <w:rFonts w:hint="eastAsia"/>
        </w:rPr>
        <w:t>评价人员应整理评价证据，并应将证据与评价指标逐项对应。</w:t>
      </w:r>
    </w:p>
    <w:p w14:paraId="6C20544D">
      <w:pPr>
        <w:pStyle w:val="165"/>
        <w:spacing w:line="360" w:lineRule="auto"/>
      </w:pPr>
      <w:r>
        <w:rPr>
          <w:rFonts w:hint="eastAsia"/>
        </w:rPr>
        <w:t>关键评价证据宜经相关责任部门或人员确认。</w:t>
      </w:r>
    </w:p>
    <w:p w14:paraId="06F6A510">
      <w:pPr>
        <w:pStyle w:val="165"/>
        <w:spacing w:line="360" w:lineRule="auto"/>
      </w:pPr>
      <w:r>
        <w:rPr>
          <w:rFonts w:hint="eastAsia"/>
        </w:rPr>
        <w:t>被评价人员或部门对评价证据有异议的，应记录异议内容，并可补充提供证据。</w:t>
      </w:r>
    </w:p>
    <w:p w14:paraId="598B95FE">
      <w:pPr>
        <w:pStyle w:val="165"/>
        <w:spacing w:line="360" w:lineRule="auto"/>
      </w:pPr>
      <w:r>
        <w:rPr>
          <w:rFonts w:hint="eastAsia"/>
        </w:rPr>
        <w:t>证据不能支持评价结论的，不得作为主要评价依据。</w:t>
      </w:r>
    </w:p>
    <w:p w14:paraId="115E0F4A">
      <w:pPr>
        <w:pStyle w:val="105"/>
        <w:spacing w:before="120" w:after="120" w:line="360" w:lineRule="auto"/>
      </w:pPr>
      <w:r>
        <w:rPr>
          <w:rFonts w:hint="eastAsia"/>
        </w:rPr>
        <w:t>评分与判定</w:t>
      </w:r>
    </w:p>
    <w:p w14:paraId="3FDE61A3">
      <w:pPr>
        <w:pStyle w:val="165"/>
        <w:spacing w:line="360" w:lineRule="auto"/>
      </w:pPr>
      <w:r>
        <w:rPr>
          <w:rFonts w:hint="eastAsia"/>
        </w:rPr>
        <w:t>评价人员应根据评价指标和评分规则进行评分。</w:t>
      </w:r>
    </w:p>
    <w:p w14:paraId="320D4240">
      <w:pPr>
        <w:pStyle w:val="165"/>
        <w:spacing w:line="360" w:lineRule="auto"/>
      </w:pPr>
      <w:r>
        <w:rPr>
          <w:rFonts w:hint="eastAsia"/>
        </w:rPr>
        <w:t>评分应记录符合情况、扣分情况、证据来源和评价意见。</w:t>
      </w:r>
    </w:p>
    <w:p w14:paraId="1A7C4A67">
      <w:pPr>
        <w:pStyle w:val="165"/>
        <w:spacing w:line="360" w:lineRule="auto"/>
      </w:pPr>
      <w:r>
        <w:rPr>
          <w:rFonts w:hint="eastAsia"/>
        </w:rPr>
        <w:t>评价结果判定应同时考虑综合得分、关键项符合情况和重大质量缺陷情况。</w:t>
      </w:r>
    </w:p>
    <w:p w14:paraId="285226B2">
      <w:pPr>
        <w:pStyle w:val="165"/>
        <w:spacing w:line="360" w:lineRule="auto"/>
      </w:pPr>
      <w:r>
        <w:rPr>
          <w:rFonts w:hint="eastAsia"/>
        </w:rPr>
        <w:t>评价组织应对评分和等级判定结果进行复核。</w:t>
      </w:r>
    </w:p>
    <w:p w14:paraId="664F6F7D">
      <w:pPr>
        <w:pStyle w:val="105"/>
        <w:spacing w:before="120" w:after="120" w:line="360" w:lineRule="auto"/>
      </w:pPr>
      <w:r>
        <w:rPr>
          <w:rFonts w:hint="eastAsia"/>
        </w:rPr>
        <w:t>问题反馈</w:t>
      </w:r>
    </w:p>
    <w:p w14:paraId="74F817A1">
      <w:pPr>
        <w:pStyle w:val="165"/>
        <w:spacing w:line="360" w:lineRule="auto"/>
      </w:pPr>
      <w:r>
        <w:rPr>
          <w:rFonts w:hint="eastAsia"/>
        </w:rPr>
        <w:t>评价完成后，应向相关责任部门或人员反馈评价发现的问题。</w:t>
      </w:r>
    </w:p>
    <w:p w14:paraId="1FB68EAE">
      <w:pPr>
        <w:pStyle w:val="165"/>
        <w:spacing w:line="360" w:lineRule="auto"/>
      </w:pPr>
      <w:r>
        <w:rPr>
          <w:rFonts w:hint="eastAsia"/>
        </w:rPr>
        <w:t>问题反馈应明确问题事实、依据、风险影响和整改要求。</w:t>
      </w:r>
    </w:p>
    <w:p w14:paraId="589E9FAD">
      <w:pPr>
        <w:pStyle w:val="165"/>
        <w:spacing w:line="360" w:lineRule="auto"/>
      </w:pPr>
      <w:r>
        <w:rPr>
          <w:rFonts w:hint="eastAsia"/>
        </w:rPr>
        <w:t>对可能影响认证结论的问题，应及时反馈认证决定相关部门。</w:t>
      </w:r>
    </w:p>
    <w:p w14:paraId="0E9F87CC">
      <w:pPr>
        <w:pStyle w:val="165"/>
        <w:spacing w:line="360" w:lineRule="auto"/>
      </w:pPr>
      <w:r>
        <w:rPr>
          <w:rFonts w:hint="eastAsia"/>
        </w:rPr>
        <w:t>被评价人员或部门对问题有异议的，应在规定时间内提出并提交证据。</w:t>
      </w:r>
    </w:p>
    <w:p w14:paraId="619AD570">
      <w:pPr>
        <w:pStyle w:val="105"/>
        <w:spacing w:before="120" w:after="120" w:line="360" w:lineRule="auto"/>
      </w:pPr>
      <w:r>
        <w:rPr>
          <w:rFonts w:hint="eastAsia"/>
        </w:rPr>
        <w:t>评价报告编制</w:t>
      </w:r>
    </w:p>
    <w:p w14:paraId="3A134913">
      <w:pPr>
        <w:pStyle w:val="165"/>
        <w:spacing w:line="360" w:lineRule="auto"/>
      </w:pPr>
      <w:r>
        <w:rPr>
          <w:rFonts w:hint="eastAsia"/>
        </w:rPr>
        <w:t>评价完成后应编制评价报告。</w:t>
      </w:r>
    </w:p>
    <w:p w14:paraId="10834F03">
      <w:pPr>
        <w:pStyle w:val="165"/>
        <w:spacing w:line="360" w:lineRule="auto"/>
      </w:pPr>
      <w:r>
        <w:rPr>
          <w:rFonts w:hint="eastAsia"/>
        </w:rPr>
        <w:t>评价报告应内容完整、依据充分、结论明确、问题具体、整改要求可执行。</w:t>
      </w:r>
    </w:p>
    <w:p w14:paraId="3A6133B6">
      <w:pPr>
        <w:pStyle w:val="165"/>
        <w:spacing w:line="360" w:lineRule="auto"/>
      </w:pPr>
      <w:r>
        <w:rPr>
          <w:rFonts w:hint="eastAsia"/>
        </w:rPr>
        <w:t>评价报告应经审核后发布。</w:t>
      </w:r>
    </w:p>
    <w:p w14:paraId="14BB46A4">
      <w:pPr>
        <w:pStyle w:val="165"/>
        <w:spacing w:line="360" w:lineRule="auto"/>
      </w:pPr>
      <w:r>
        <w:rPr>
          <w:rFonts w:hint="eastAsia"/>
        </w:rPr>
        <w:t>未经审核的评价报告不得作为质量考核、人员评价或认证风险处置依据。</w:t>
      </w:r>
    </w:p>
    <w:p w14:paraId="358FF9B6">
      <w:pPr>
        <w:pStyle w:val="104"/>
        <w:spacing w:before="240" w:after="240" w:line="360" w:lineRule="auto"/>
      </w:pPr>
      <w:bookmarkStart w:id="56" w:name="_Toc228607136"/>
      <w:r>
        <w:rPr>
          <w:rFonts w:hint="eastAsia"/>
        </w:rPr>
        <w:t>评价结果判定</w:t>
      </w:r>
      <w:bookmarkEnd w:id="56"/>
    </w:p>
    <w:p w14:paraId="47B2BF87">
      <w:pPr>
        <w:pStyle w:val="105"/>
        <w:spacing w:before="120" w:after="120" w:line="360" w:lineRule="auto"/>
      </w:pPr>
      <w:r>
        <w:rPr>
          <w:rFonts w:hint="eastAsia"/>
        </w:rPr>
        <w:t>一般要求</w:t>
      </w:r>
    </w:p>
    <w:p w14:paraId="23F5DA39">
      <w:pPr>
        <w:pStyle w:val="165"/>
        <w:spacing w:line="360" w:lineRule="auto"/>
      </w:pPr>
      <w:r>
        <w:rPr>
          <w:rFonts w:hint="eastAsia"/>
        </w:rPr>
        <w:t>评价结果应根据综合得分、关键项符合情况、重大质量缺陷和整改验证情况进行判定。</w:t>
      </w:r>
    </w:p>
    <w:p w14:paraId="7E583CF7">
      <w:pPr>
        <w:pStyle w:val="165"/>
        <w:spacing w:line="360" w:lineRule="auto"/>
      </w:pPr>
      <w:r>
        <w:rPr>
          <w:rFonts w:hint="eastAsia"/>
        </w:rPr>
        <w:t>评价结果应能够反映现场检查质量水平、存在问题和改进方向。</w:t>
      </w:r>
    </w:p>
    <w:p w14:paraId="03B45D56">
      <w:pPr>
        <w:pStyle w:val="165"/>
        <w:spacing w:line="360" w:lineRule="auto"/>
      </w:pPr>
      <w:r>
        <w:rPr>
          <w:rFonts w:hint="eastAsia"/>
        </w:rPr>
        <w:t>评价结果不得仅依据资料完整性作出，应同时考虑现场检查过程和检查结论支撑性。</w:t>
      </w:r>
    </w:p>
    <w:p w14:paraId="31C7A0FE">
      <w:pPr>
        <w:pStyle w:val="165"/>
        <w:spacing w:line="360" w:lineRule="auto"/>
      </w:pPr>
      <w:r>
        <w:rPr>
          <w:rFonts w:hint="eastAsia"/>
        </w:rPr>
        <w:t>存在可能影响认证决定的重大质量缺陷时，不得判定为较高等级。</w:t>
      </w:r>
    </w:p>
    <w:p w14:paraId="6306223F">
      <w:pPr>
        <w:pStyle w:val="105"/>
        <w:spacing w:before="120" w:after="120" w:line="360" w:lineRule="auto"/>
      </w:pPr>
      <w:r>
        <w:rPr>
          <w:rFonts w:hint="eastAsia"/>
        </w:rPr>
        <w:t>等级划分</w:t>
      </w:r>
    </w:p>
    <w:p w14:paraId="6A4735C7">
      <w:pPr>
        <w:pStyle w:val="165"/>
        <w:spacing w:line="360" w:lineRule="auto"/>
      </w:pPr>
      <w:r>
        <w:rPr>
          <w:rFonts w:hint="eastAsia"/>
        </w:rPr>
        <w:t>现场检查质量评价结果宜划分为四级：</w:t>
      </w:r>
    </w:p>
    <w:p w14:paraId="61659D84">
      <w:pPr>
        <w:pStyle w:val="56"/>
        <w:spacing w:line="360" w:lineRule="auto"/>
        <w:ind w:firstLine="420"/>
      </w:pPr>
      <w:r>
        <w:rPr>
          <w:rFonts w:hint="eastAsia"/>
        </w:rPr>
        <w:t>a) A级：检查质量良好；</w:t>
      </w:r>
    </w:p>
    <w:p w14:paraId="736B4810">
      <w:pPr>
        <w:pStyle w:val="56"/>
        <w:spacing w:line="360" w:lineRule="auto"/>
        <w:ind w:firstLine="420"/>
      </w:pPr>
      <w:r>
        <w:rPr>
          <w:rFonts w:hint="eastAsia"/>
        </w:rPr>
        <w:t>b) B级：检查质量基本符合要求；</w:t>
      </w:r>
    </w:p>
    <w:p w14:paraId="443E406D">
      <w:pPr>
        <w:pStyle w:val="56"/>
        <w:spacing w:line="360" w:lineRule="auto"/>
        <w:ind w:firstLine="420"/>
      </w:pPr>
      <w:r>
        <w:rPr>
          <w:rFonts w:hint="eastAsia"/>
        </w:rPr>
        <w:t>c) C级：检查质量存在明显不足；</w:t>
      </w:r>
    </w:p>
    <w:p w14:paraId="111A4CA9">
      <w:pPr>
        <w:pStyle w:val="56"/>
        <w:spacing w:line="360" w:lineRule="auto"/>
        <w:ind w:firstLine="420"/>
      </w:pPr>
      <w:r>
        <w:rPr>
          <w:rFonts w:hint="eastAsia"/>
        </w:rPr>
        <w:t>d) D级：检查质量不符合基本要求。</w:t>
      </w:r>
    </w:p>
    <w:p w14:paraId="288D17B8">
      <w:pPr>
        <w:pStyle w:val="165"/>
        <w:spacing w:line="360" w:lineRule="auto"/>
      </w:pPr>
      <w:r>
        <w:rPr>
          <w:rFonts w:hint="eastAsia"/>
        </w:rPr>
        <w:t>A级应表示现场检查准备充分、过程规范、覆盖完整、证据充分、问题判定准确、报告质量良好、整改验证有效。</w:t>
      </w:r>
    </w:p>
    <w:p w14:paraId="21C02056">
      <w:pPr>
        <w:pStyle w:val="165"/>
        <w:spacing w:line="360" w:lineRule="auto"/>
      </w:pPr>
      <w:r>
        <w:rPr>
          <w:rFonts w:hint="eastAsia"/>
        </w:rPr>
        <w:t>B级应表示现场检查基本符合要求，但存在一般质量缺陷，对认证结论支撑影响较小。</w:t>
      </w:r>
    </w:p>
    <w:p w14:paraId="794D6A33">
      <w:pPr>
        <w:pStyle w:val="165"/>
        <w:spacing w:line="360" w:lineRule="auto"/>
      </w:pPr>
      <w:r>
        <w:rPr>
          <w:rFonts w:hint="eastAsia"/>
        </w:rPr>
        <w:t>C级应表示现场检查存在明显不足，部分关键环节证据不足、问题判定不充分或报告支撑性不足，需要整改和复核。</w:t>
      </w:r>
    </w:p>
    <w:p w14:paraId="7BD9F363">
      <w:pPr>
        <w:pStyle w:val="165"/>
        <w:spacing w:line="360" w:lineRule="auto"/>
      </w:pPr>
      <w:r>
        <w:rPr>
          <w:rFonts w:hint="eastAsia"/>
        </w:rPr>
        <w:t>D级应表示现场检查存在严重质量缺陷，不能有效支撑认证评价或可能影响认证结论。</w:t>
      </w:r>
    </w:p>
    <w:p w14:paraId="06EE49A7">
      <w:pPr>
        <w:pStyle w:val="105"/>
        <w:spacing w:before="120" w:after="120" w:line="360" w:lineRule="auto"/>
      </w:pPr>
      <w:r>
        <w:rPr>
          <w:rFonts w:hint="eastAsia"/>
        </w:rPr>
        <w:t>分值判定</w:t>
      </w:r>
    </w:p>
    <w:p w14:paraId="67872748">
      <w:pPr>
        <w:pStyle w:val="165"/>
        <w:spacing w:line="360" w:lineRule="auto"/>
      </w:pPr>
      <w:r>
        <w:rPr>
          <w:rFonts w:hint="eastAsia"/>
        </w:rPr>
        <w:t>采用百分制评价时，等级判定宜按下列规则执行：</w:t>
      </w:r>
    </w:p>
    <w:p w14:paraId="210045FF">
      <w:pPr>
        <w:pStyle w:val="56"/>
        <w:spacing w:line="360" w:lineRule="auto"/>
        <w:ind w:firstLine="420"/>
      </w:pPr>
      <w:r>
        <w:rPr>
          <w:rFonts w:hint="eastAsia"/>
        </w:rPr>
        <w:t>a) 得分不低于90分，且无关键项不符合的，可判定为A级；</w:t>
      </w:r>
    </w:p>
    <w:p w14:paraId="270264B4">
      <w:pPr>
        <w:pStyle w:val="56"/>
        <w:spacing w:line="360" w:lineRule="auto"/>
        <w:ind w:firstLine="420"/>
      </w:pPr>
      <w:r>
        <w:rPr>
          <w:rFonts w:hint="eastAsia"/>
        </w:rPr>
        <w:t>b) 得分不低于75分且低于90分，且无严重质量缺陷的，可判定为B级；</w:t>
      </w:r>
    </w:p>
    <w:p w14:paraId="5EFBFD7D">
      <w:pPr>
        <w:pStyle w:val="56"/>
        <w:spacing w:line="360" w:lineRule="auto"/>
        <w:ind w:firstLine="420"/>
      </w:pPr>
      <w:r>
        <w:rPr>
          <w:rFonts w:hint="eastAsia"/>
        </w:rPr>
        <w:t>c) 得分不低于60分且低于75分，或关键项存在一般不符合的，可判定为C级；</w:t>
      </w:r>
    </w:p>
    <w:p w14:paraId="0866D6DF">
      <w:pPr>
        <w:pStyle w:val="56"/>
        <w:spacing w:line="360" w:lineRule="auto"/>
        <w:ind w:firstLine="420"/>
      </w:pPr>
      <w:r>
        <w:rPr>
          <w:rFonts w:hint="eastAsia"/>
        </w:rPr>
        <w:t>d) 得分低于60分，或存在否决项的，应判定为D级。</w:t>
      </w:r>
    </w:p>
    <w:p w14:paraId="021BF892">
      <w:pPr>
        <w:pStyle w:val="56"/>
        <w:spacing w:line="360" w:lineRule="auto"/>
        <w:ind w:firstLine="420"/>
      </w:pPr>
      <w:r>
        <w:rPr>
          <w:rFonts w:hint="eastAsia"/>
        </w:rPr>
        <w:t>对不同产品类别、不同检查类型分别评价的，应分别形成分项得分和分项等级。</w:t>
      </w:r>
    </w:p>
    <w:p w14:paraId="6C323298">
      <w:pPr>
        <w:pStyle w:val="56"/>
        <w:spacing w:line="360" w:lineRule="auto"/>
        <w:ind w:firstLine="420"/>
      </w:pPr>
      <w:r>
        <w:rPr>
          <w:rFonts w:hint="eastAsia"/>
        </w:rPr>
        <w:t>综合等级不得高于存在重大质量缺陷检查任务的等级。</w:t>
      </w:r>
    </w:p>
    <w:p w14:paraId="14F6A932">
      <w:pPr>
        <w:pStyle w:val="105"/>
        <w:spacing w:before="120" w:after="120" w:line="360" w:lineRule="auto"/>
      </w:pPr>
      <w:r>
        <w:rPr>
          <w:rFonts w:hint="eastAsia"/>
        </w:rPr>
        <w:t>关键项判定</w:t>
      </w:r>
    </w:p>
    <w:p w14:paraId="1B362077">
      <w:pPr>
        <w:pStyle w:val="165"/>
        <w:spacing w:line="360" w:lineRule="auto"/>
      </w:pPr>
      <w:r>
        <w:rPr>
          <w:rFonts w:hint="eastAsia"/>
        </w:rPr>
        <w:t>下列项目宜作为关键项：</w:t>
      </w:r>
    </w:p>
    <w:p w14:paraId="31159359">
      <w:pPr>
        <w:pStyle w:val="56"/>
        <w:spacing w:line="360" w:lineRule="auto"/>
        <w:ind w:firstLine="420"/>
      </w:pPr>
      <w:r>
        <w:rPr>
          <w:rFonts w:hint="eastAsia"/>
        </w:rPr>
        <w:t>a) 检查范围覆盖；</w:t>
      </w:r>
    </w:p>
    <w:p w14:paraId="7AD528A9">
      <w:pPr>
        <w:pStyle w:val="56"/>
        <w:spacing w:line="360" w:lineRule="auto"/>
        <w:ind w:firstLine="420"/>
      </w:pPr>
      <w:r>
        <w:rPr>
          <w:rFonts w:hint="eastAsia"/>
        </w:rPr>
        <w:t>b) 现场检查真实实施；</w:t>
      </w:r>
    </w:p>
    <w:p w14:paraId="521AD953">
      <w:pPr>
        <w:pStyle w:val="56"/>
        <w:spacing w:line="360" w:lineRule="auto"/>
        <w:ind w:firstLine="420"/>
      </w:pPr>
      <w:r>
        <w:rPr>
          <w:rFonts w:hint="eastAsia"/>
        </w:rPr>
        <w:t>c) 关键风险点识别；</w:t>
      </w:r>
    </w:p>
    <w:p w14:paraId="6398F26B">
      <w:pPr>
        <w:pStyle w:val="56"/>
        <w:spacing w:line="360" w:lineRule="auto"/>
        <w:ind w:firstLine="420"/>
      </w:pPr>
      <w:r>
        <w:rPr>
          <w:rFonts w:hint="eastAsia"/>
        </w:rPr>
        <w:t>d) 检查证据充分性；</w:t>
      </w:r>
    </w:p>
    <w:p w14:paraId="6DEBC601">
      <w:pPr>
        <w:pStyle w:val="56"/>
        <w:spacing w:line="360" w:lineRule="auto"/>
        <w:ind w:firstLine="420"/>
      </w:pPr>
      <w:r>
        <w:rPr>
          <w:rFonts w:hint="eastAsia"/>
        </w:rPr>
        <w:t>e) 不符合项判定准确性；</w:t>
      </w:r>
    </w:p>
    <w:p w14:paraId="7BA05301">
      <w:pPr>
        <w:pStyle w:val="56"/>
        <w:spacing w:line="360" w:lineRule="auto"/>
        <w:ind w:firstLine="420"/>
      </w:pPr>
      <w:r>
        <w:rPr>
          <w:rFonts w:hint="eastAsia"/>
        </w:rPr>
        <w:t>f) 检查报告结论支撑性；</w:t>
      </w:r>
    </w:p>
    <w:p w14:paraId="3F8A106B">
      <w:pPr>
        <w:pStyle w:val="56"/>
        <w:spacing w:line="360" w:lineRule="auto"/>
        <w:ind w:firstLine="420"/>
      </w:pPr>
      <w:r>
        <w:rPr>
          <w:rFonts w:hint="eastAsia"/>
        </w:rPr>
        <w:t>g) 整改验证有效性；</w:t>
      </w:r>
    </w:p>
    <w:p w14:paraId="7E7FEC43">
      <w:pPr>
        <w:pStyle w:val="56"/>
        <w:spacing w:line="360" w:lineRule="auto"/>
        <w:ind w:firstLine="420"/>
      </w:pPr>
      <w:r>
        <w:rPr>
          <w:rFonts w:hint="eastAsia"/>
        </w:rPr>
        <w:t>h) 检查人员独立性。</w:t>
      </w:r>
    </w:p>
    <w:p w14:paraId="33DF88BB">
      <w:pPr>
        <w:pStyle w:val="165"/>
        <w:spacing w:line="360" w:lineRule="auto"/>
      </w:pPr>
      <w:r>
        <w:rPr>
          <w:rFonts w:hint="eastAsia"/>
        </w:rPr>
        <w:t>关键项不符合时，应限制评价等级。</w:t>
      </w:r>
    </w:p>
    <w:p w14:paraId="446BE413">
      <w:pPr>
        <w:pStyle w:val="165"/>
        <w:spacing w:line="360" w:lineRule="auto"/>
      </w:pPr>
      <w:r>
        <w:rPr>
          <w:rFonts w:hint="eastAsia"/>
        </w:rPr>
        <w:t>关键项缺少证据且无法补充证明的，应按不符合处理。</w:t>
      </w:r>
    </w:p>
    <w:p w14:paraId="41A34990">
      <w:pPr>
        <w:pStyle w:val="105"/>
        <w:spacing w:before="120" w:after="120" w:line="360" w:lineRule="auto"/>
      </w:pPr>
      <w:r>
        <w:rPr>
          <w:rFonts w:hint="eastAsia"/>
        </w:rPr>
        <w:t>否决项</w:t>
      </w:r>
    </w:p>
    <w:p w14:paraId="226ED4E8">
      <w:pPr>
        <w:pStyle w:val="165"/>
        <w:spacing w:line="360" w:lineRule="auto"/>
      </w:pPr>
      <w:r>
        <w:rPr>
          <w:rFonts w:hint="eastAsia"/>
        </w:rPr>
        <w:t>出现下列情形之一的，应直接判定为D级：</w:t>
      </w:r>
    </w:p>
    <w:p w14:paraId="131E1F2A">
      <w:pPr>
        <w:pStyle w:val="56"/>
        <w:spacing w:line="360" w:lineRule="auto"/>
        <w:ind w:firstLine="420"/>
      </w:pPr>
      <w:r>
        <w:rPr>
          <w:rFonts w:hint="eastAsia"/>
        </w:rPr>
        <w:t>a) 现场检查未真实实施或主要环节未实施；</w:t>
      </w:r>
    </w:p>
    <w:p w14:paraId="222D27E7">
      <w:pPr>
        <w:pStyle w:val="56"/>
        <w:spacing w:line="360" w:lineRule="auto"/>
        <w:ind w:firstLine="420"/>
      </w:pPr>
      <w:r>
        <w:rPr>
          <w:rFonts w:hint="eastAsia"/>
        </w:rPr>
        <w:t>b) 检查人员伪造检查记录、照片、签名、整改资料或其他证据；</w:t>
      </w:r>
    </w:p>
    <w:p w14:paraId="49C40FFF">
      <w:pPr>
        <w:pStyle w:val="56"/>
        <w:spacing w:line="360" w:lineRule="auto"/>
        <w:ind w:firstLine="420"/>
      </w:pPr>
      <w:r>
        <w:rPr>
          <w:rFonts w:hint="eastAsia"/>
        </w:rPr>
        <w:t>c) 检查人员存在应回避而未回避的重大利益冲突；</w:t>
      </w:r>
    </w:p>
    <w:p w14:paraId="6AFABD68">
      <w:pPr>
        <w:pStyle w:val="56"/>
        <w:spacing w:line="360" w:lineRule="auto"/>
        <w:ind w:firstLine="420"/>
      </w:pPr>
      <w:r>
        <w:rPr>
          <w:rFonts w:hint="eastAsia"/>
        </w:rPr>
        <w:t>d) 认证范围内关键基地、关键产品、关键加工场所未检查且无合理说明；</w:t>
      </w:r>
    </w:p>
    <w:p w14:paraId="4E151521">
      <w:pPr>
        <w:pStyle w:val="56"/>
        <w:spacing w:line="360" w:lineRule="auto"/>
        <w:ind w:firstLine="420"/>
      </w:pPr>
      <w:r>
        <w:rPr>
          <w:rFonts w:hint="eastAsia"/>
        </w:rPr>
        <w:t>e) 重大不符合项被隐瞒、遗漏或故意降级处理；</w:t>
      </w:r>
    </w:p>
    <w:p w14:paraId="22464AFD">
      <w:pPr>
        <w:pStyle w:val="56"/>
        <w:spacing w:line="360" w:lineRule="auto"/>
        <w:ind w:firstLine="420"/>
      </w:pPr>
      <w:r>
        <w:rPr>
          <w:rFonts w:hint="eastAsia"/>
        </w:rPr>
        <w:t>f) 检查结论与现场证据明显不一致，可能影响认证决定；</w:t>
      </w:r>
    </w:p>
    <w:p w14:paraId="03AD29FE">
      <w:pPr>
        <w:pStyle w:val="56"/>
        <w:spacing w:line="360" w:lineRule="auto"/>
        <w:ind w:firstLine="420"/>
      </w:pPr>
      <w:r>
        <w:rPr>
          <w:rFonts w:hint="eastAsia"/>
        </w:rPr>
        <w:t>g) 整改验证未实施即关闭重要不符合项；</w:t>
      </w:r>
    </w:p>
    <w:p w14:paraId="5961816B">
      <w:pPr>
        <w:pStyle w:val="56"/>
        <w:spacing w:line="360" w:lineRule="auto"/>
        <w:ind w:firstLine="420"/>
      </w:pPr>
      <w:r>
        <w:rPr>
          <w:rFonts w:hint="eastAsia"/>
        </w:rPr>
        <w:t>h) 检查报告严重失实；</w:t>
      </w:r>
    </w:p>
    <w:p w14:paraId="275F3665">
      <w:pPr>
        <w:pStyle w:val="56"/>
        <w:spacing w:line="360" w:lineRule="auto"/>
        <w:ind w:firstLine="420"/>
      </w:pPr>
      <w:r>
        <w:rPr>
          <w:rFonts w:hint="eastAsia"/>
        </w:rPr>
        <w:t>i) 评价发现现场检查存在其他严重违反认证公正性、真实性和有效性的情形。</w:t>
      </w:r>
    </w:p>
    <w:p w14:paraId="1681D10D">
      <w:pPr>
        <w:pStyle w:val="165"/>
        <w:spacing w:line="360" w:lineRule="auto"/>
      </w:pPr>
      <w:r>
        <w:rPr>
          <w:rFonts w:hint="eastAsia"/>
        </w:rPr>
        <w:t>否决项应在评价报告中单独列明，并应说明事实依据、证据来源和影响范围。</w:t>
      </w:r>
    </w:p>
    <w:p w14:paraId="1135FB52">
      <w:pPr>
        <w:pStyle w:val="105"/>
        <w:spacing w:before="120" w:after="120" w:line="360" w:lineRule="auto"/>
      </w:pPr>
      <w:r>
        <w:rPr>
          <w:rFonts w:hint="eastAsia"/>
        </w:rPr>
        <w:t>结果应用</w:t>
      </w:r>
    </w:p>
    <w:p w14:paraId="4A8408B9">
      <w:pPr>
        <w:pStyle w:val="165"/>
        <w:spacing w:line="360" w:lineRule="auto"/>
      </w:pPr>
      <w:r>
        <w:rPr>
          <w:rFonts w:hint="eastAsia"/>
        </w:rPr>
        <w:t>评价结果应作为检查人员能力评价、检查任务分配、培训改进和质量监督的依据。</w:t>
      </w:r>
    </w:p>
    <w:p w14:paraId="6FC928B4">
      <w:pPr>
        <w:pStyle w:val="165"/>
        <w:spacing w:line="360" w:lineRule="auto"/>
      </w:pPr>
      <w:r>
        <w:rPr>
          <w:rFonts w:hint="eastAsia"/>
        </w:rPr>
        <w:t>评价为A级的检查任务，可作为优秀案例用于内部培训和经验推广。</w:t>
      </w:r>
    </w:p>
    <w:p w14:paraId="06F4F785">
      <w:pPr>
        <w:pStyle w:val="165"/>
        <w:spacing w:line="360" w:lineRule="auto"/>
      </w:pPr>
      <w:r>
        <w:rPr>
          <w:rFonts w:hint="eastAsia"/>
        </w:rPr>
        <w:t>评价为B级的，应对一般问题进行整改和改进。</w:t>
      </w:r>
    </w:p>
    <w:p w14:paraId="6A402B06">
      <w:pPr>
        <w:pStyle w:val="165"/>
        <w:spacing w:line="360" w:lineRule="auto"/>
      </w:pPr>
      <w:r>
        <w:rPr>
          <w:rFonts w:hint="eastAsia"/>
        </w:rPr>
        <w:t>评价为C级的，应开展专项整改，并应对相关检查人员进行针对性培训或能力复核。</w:t>
      </w:r>
    </w:p>
    <w:p w14:paraId="5EF72316">
      <w:pPr>
        <w:pStyle w:val="165"/>
        <w:spacing w:line="360" w:lineRule="auto"/>
      </w:pPr>
      <w:r>
        <w:rPr>
          <w:rFonts w:hint="eastAsia"/>
        </w:rPr>
        <w:t>评价为D级的，应启动专项复核，并应评估对认证决定的影响。</w:t>
      </w:r>
    </w:p>
    <w:p w14:paraId="1BD00575">
      <w:pPr>
        <w:pStyle w:val="104"/>
        <w:spacing w:before="240" w:after="240" w:line="360" w:lineRule="auto"/>
      </w:pPr>
      <w:bookmarkStart w:id="57" w:name="_Toc228607137"/>
      <w:r>
        <w:rPr>
          <w:rFonts w:hint="eastAsia"/>
        </w:rPr>
        <w:t>问题整改与验证</w:t>
      </w:r>
      <w:bookmarkEnd w:id="57"/>
    </w:p>
    <w:p w14:paraId="7724AC27">
      <w:pPr>
        <w:pStyle w:val="105"/>
        <w:spacing w:before="120" w:after="120" w:line="360" w:lineRule="auto"/>
      </w:pPr>
      <w:r>
        <w:rPr>
          <w:rFonts w:hint="eastAsia"/>
        </w:rPr>
        <w:t>一般要求</w:t>
      </w:r>
    </w:p>
    <w:p w14:paraId="2D4C6EF8">
      <w:pPr>
        <w:pStyle w:val="165"/>
        <w:spacing w:line="360" w:lineRule="auto"/>
      </w:pPr>
      <w:r>
        <w:rPr>
          <w:rFonts w:hint="eastAsia"/>
        </w:rPr>
        <w:t>评价发现的问题应实施闭环整改。</w:t>
      </w:r>
    </w:p>
    <w:p w14:paraId="791FF654">
      <w:pPr>
        <w:pStyle w:val="165"/>
        <w:spacing w:line="360" w:lineRule="auto"/>
      </w:pPr>
      <w:r>
        <w:rPr>
          <w:rFonts w:hint="eastAsia"/>
        </w:rPr>
        <w:t>整改应做到问题明确、原因清楚、措施具体、责任落实、期限确定、验证有效。</w:t>
      </w:r>
    </w:p>
    <w:p w14:paraId="7C8DA73D">
      <w:pPr>
        <w:pStyle w:val="165"/>
        <w:spacing w:line="360" w:lineRule="auto"/>
      </w:pPr>
      <w:r>
        <w:rPr>
          <w:rFonts w:hint="eastAsia"/>
        </w:rPr>
        <w:t>对可能影响认证结论的问题，应优先整改并开展专项复核。</w:t>
      </w:r>
    </w:p>
    <w:p w14:paraId="34FB095B">
      <w:pPr>
        <w:pStyle w:val="165"/>
        <w:spacing w:line="360" w:lineRule="auto"/>
      </w:pPr>
      <w:r>
        <w:rPr>
          <w:rFonts w:hint="eastAsia"/>
        </w:rPr>
        <w:t>整改不得仅以补充签名、补填表格或口头说明替代实际质量改进。</w:t>
      </w:r>
    </w:p>
    <w:p w14:paraId="07FE05D8">
      <w:pPr>
        <w:pStyle w:val="165"/>
        <w:spacing w:line="360" w:lineRule="auto"/>
      </w:pPr>
      <w:r>
        <w:rPr>
          <w:rFonts w:hint="eastAsia"/>
        </w:rPr>
        <w:t>整改验证记录可参照附录B。</w:t>
      </w:r>
    </w:p>
    <w:p w14:paraId="344DA5B4">
      <w:pPr>
        <w:pStyle w:val="105"/>
        <w:spacing w:before="120" w:after="120" w:line="360" w:lineRule="auto"/>
      </w:pPr>
      <w:r>
        <w:rPr>
          <w:rFonts w:hint="eastAsia"/>
        </w:rPr>
        <w:t>问题分级</w:t>
      </w:r>
    </w:p>
    <w:p w14:paraId="5CF527A7">
      <w:pPr>
        <w:pStyle w:val="165"/>
        <w:spacing w:line="360" w:lineRule="auto"/>
      </w:pPr>
      <w:r>
        <w:rPr>
          <w:rFonts w:hint="eastAsia"/>
        </w:rPr>
        <w:t>评价问题宜分为重大问题、较大问题和一般问题。</w:t>
      </w:r>
    </w:p>
    <w:p w14:paraId="2C4F160B">
      <w:pPr>
        <w:pStyle w:val="165"/>
        <w:spacing w:line="360" w:lineRule="auto"/>
      </w:pPr>
      <w:r>
        <w:rPr>
          <w:rFonts w:hint="eastAsia"/>
        </w:rPr>
        <w:t>重大问题包括下列情形：</w:t>
      </w:r>
    </w:p>
    <w:p w14:paraId="2CACF769">
      <w:pPr>
        <w:pStyle w:val="56"/>
        <w:spacing w:line="360" w:lineRule="auto"/>
        <w:ind w:firstLine="420"/>
      </w:pPr>
      <w:r>
        <w:rPr>
          <w:rFonts w:hint="eastAsia"/>
        </w:rPr>
        <w:t>a) 现场检查真实性存疑；</w:t>
      </w:r>
    </w:p>
    <w:p w14:paraId="3CCE1F6A">
      <w:pPr>
        <w:pStyle w:val="56"/>
        <w:spacing w:line="360" w:lineRule="auto"/>
        <w:ind w:firstLine="420"/>
      </w:pPr>
      <w:r>
        <w:rPr>
          <w:rFonts w:hint="eastAsia"/>
        </w:rPr>
        <w:t>b) 认证范围关键环节未覆盖；</w:t>
      </w:r>
    </w:p>
    <w:p w14:paraId="460ECC48">
      <w:pPr>
        <w:pStyle w:val="56"/>
        <w:spacing w:line="360" w:lineRule="auto"/>
        <w:ind w:firstLine="420"/>
      </w:pPr>
      <w:r>
        <w:rPr>
          <w:rFonts w:hint="eastAsia"/>
        </w:rPr>
        <w:t>c) 检查证据严重不足；</w:t>
      </w:r>
    </w:p>
    <w:p w14:paraId="15835ED7">
      <w:pPr>
        <w:pStyle w:val="56"/>
        <w:spacing w:line="360" w:lineRule="auto"/>
        <w:ind w:firstLine="420"/>
      </w:pPr>
      <w:r>
        <w:rPr>
          <w:rFonts w:hint="eastAsia"/>
        </w:rPr>
        <w:t>d) 不符合项判定明显错误；</w:t>
      </w:r>
    </w:p>
    <w:p w14:paraId="2914E4F7">
      <w:pPr>
        <w:pStyle w:val="56"/>
        <w:spacing w:line="360" w:lineRule="auto"/>
        <w:ind w:firstLine="420"/>
      </w:pPr>
      <w:r>
        <w:rPr>
          <w:rFonts w:hint="eastAsia"/>
        </w:rPr>
        <w:t>e) 检查报告不能支撑认证决定；</w:t>
      </w:r>
    </w:p>
    <w:p w14:paraId="29E36114">
      <w:pPr>
        <w:pStyle w:val="56"/>
        <w:spacing w:line="360" w:lineRule="auto"/>
        <w:ind w:firstLine="420"/>
      </w:pPr>
      <w:r>
        <w:rPr>
          <w:rFonts w:hint="eastAsia"/>
        </w:rPr>
        <w:t>f) 整改验证失效；</w:t>
      </w:r>
    </w:p>
    <w:p w14:paraId="6977EF23">
      <w:pPr>
        <w:pStyle w:val="56"/>
        <w:spacing w:line="360" w:lineRule="auto"/>
        <w:ind w:firstLine="420"/>
      </w:pPr>
      <w:r>
        <w:rPr>
          <w:rFonts w:hint="eastAsia"/>
        </w:rPr>
        <w:t>g) 检查人员独立性、公正性存在重大风险；</w:t>
      </w:r>
    </w:p>
    <w:p w14:paraId="4DB4234E">
      <w:pPr>
        <w:pStyle w:val="56"/>
        <w:spacing w:line="360" w:lineRule="auto"/>
        <w:ind w:firstLine="420"/>
      </w:pPr>
      <w:r>
        <w:rPr>
          <w:rFonts w:hint="eastAsia"/>
        </w:rPr>
        <w:t>h) 否决项所列情形。</w:t>
      </w:r>
    </w:p>
    <w:p w14:paraId="381E8639">
      <w:pPr>
        <w:pStyle w:val="165"/>
        <w:spacing w:line="360" w:lineRule="auto"/>
      </w:pPr>
      <w:r>
        <w:rPr>
          <w:rFonts w:hint="eastAsia"/>
        </w:rPr>
        <w:t>较大问题包括下列情形：</w:t>
      </w:r>
    </w:p>
    <w:p w14:paraId="3045A64F">
      <w:pPr>
        <w:pStyle w:val="56"/>
        <w:spacing w:line="360" w:lineRule="auto"/>
        <w:ind w:firstLine="420"/>
      </w:pPr>
      <w:r>
        <w:rPr>
          <w:rFonts w:hint="eastAsia"/>
        </w:rPr>
        <w:t>a) 检查计划不充分；</w:t>
      </w:r>
    </w:p>
    <w:p w14:paraId="4A00BF99">
      <w:pPr>
        <w:pStyle w:val="56"/>
        <w:spacing w:line="360" w:lineRule="auto"/>
        <w:ind w:firstLine="420"/>
      </w:pPr>
      <w:r>
        <w:rPr>
          <w:rFonts w:hint="eastAsia"/>
        </w:rPr>
        <w:t>b) 风险点识别不完整；</w:t>
      </w:r>
    </w:p>
    <w:p w14:paraId="6E4DCDC4">
      <w:pPr>
        <w:pStyle w:val="56"/>
        <w:spacing w:line="360" w:lineRule="auto"/>
        <w:ind w:firstLine="420"/>
      </w:pPr>
      <w:r>
        <w:rPr>
          <w:rFonts w:hint="eastAsia"/>
        </w:rPr>
        <w:t>c) 检查记录存在明显缺漏；</w:t>
      </w:r>
    </w:p>
    <w:p w14:paraId="421B1EC1">
      <w:pPr>
        <w:pStyle w:val="56"/>
        <w:spacing w:line="360" w:lineRule="auto"/>
        <w:ind w:firstLine="420"/>
      </w:pPr>
      <w:r>
        <w:rPr>
          <w:rFonts w:hint="eastAsia"/>
        </w:rPr>
        <w:t>d) 证据与报告部分不一致；</w:t>
      </w:r>
    </w:p>
    <w:p w14:paraId="785200BC">
      <w:pPr>
        <w:pStyle w:val="56"/>
        <w:spacing w:line="360" w:lineRule="auto"/>
        <w:ind w:firstLine="420"/>
      </w:pPr>
      <w:r>
        <w:rPr>
          <w:rFonts w:hint="eastAsia"/>
        </w:rPr>
        <w:t>e) 整改要求不够具体；</w:t>
      </w:r>
    </w:p>
    <w:p w14:paraId="1886163F">
      <w:pPr>
        <w:pStyle w:val="56"/>
        <w:spacing w:line="360" w:lineRule="auto"/>
        <w:ind w:firstLine="420"/>
      </w:pPr>
      <w:r>
        <w:rPr>
          <w:rFonts w:hint="eastAsia"/>
        </w:rPr>
        <w:t>f) 报告描述不清但未影响主要结论。</w:t>
      </w:r>
    </w:p>
    <w:p w14:paraId="66C38748">
      <w:pPr>
        <w:pStyle w:val="165"/>
        <w:spacing w:line="360" w:lineRule="auto"/>
      </w:pPr>
      <w:r>
        <w:rPr>
          <w:rFonts w:hint="eastAsia"/>
        </w:rPr>
        <w:t>一般问题包括下列情形：</w:t>
      </w:r>
    </w:p>
    <w:p w14:paraId="39842ECA">
      <w:pPr>
        <w:pStyle w:val="56"/>
        <w:spacing w:line="360" w:lineRule="auto"/>
        <w:ind w:firstLine="420"/>
      </w:pPr>
      <w:r>
        <w:rPr>
          <w:rFonts w:hint="eastAsia"/>
        </w:rPr>
        <w:t>a) 个别记录填写不规范；</w:t>
      </w:r>
    </w:p>
    <w:p w14:paraId="71AD36A7">
      <w:pPr>
        <w:pStyle w:val="56"/>
        <w:spacing w:line="360" w:lineRule="auto"/>
        <w:ind w:firstLine="420"/>
      </w:pPr>
      <w:r>
        <w:rPr>
          <w:rFonts w:hint="eastAsia"/>
        </w:rPr>
        <w:t>b) 个别照片标识不完整；</w:t>
      </w:r>
    </w:p>
    <w:p w14:paraId="05503856">
      <w:pPr>
        <w:pStyle w:val="56"/>
        <w:spacing w:line="360" w:lineRule="auto"/>
        <w:ind w:firstLine="420"/>
      </w:pPr>
      <w:r>
        <w:rPr>
          <w:rFonts w:hint="eastAsia"/>
        </w:rPr>
        <w:t>c) 个别表述不够准确；</w:t>
      </w:r>
    </w:p>
    <w:p w14:paraId="6D4837CC">
      <w:pPr>
        <w:pStyle w:val="56"/>
        <w:spacing w:line="360" w:lineRule="auto"/>
        <w:ind w:firstLine="420"/>
      </w:pPr>
      <w:r>
        <w:rPr>
          <w:rFonts w:hint="eastAsia"/>
        </w:rPr>
        <w:t>d) 资料归档顺序不规范；</w:t>
      </w:r>
    </w:p>
    <w:p w14:paraId="17601966">
      <w:pPr>
        <w:pStyle w:val="56"/>
        <w:spacing w:line="360" w:lineRule="auto"/>
        <w:ind w:firstLine="420"/>
      </w:pPr>
      <w:r>
        <w:rPr>
          <w:rFonts w:hint="eastAsia"/>
        </w:rPr>
        <w:t>e) 其他未影响检查结论支撑性的轻微问题。</w:t>
      </w:r>
    </w:p>
    <w:p w14:paraId="14174C7B">
      <w:pPr>
        <w:pStyle w:val="105"/>
        <w:spacing w:before="120" w:after="120" w:line="360" w:lineRule="auto"/>
      </w:pPr>
      <w:r>
        <w:rPr>
          <w:rFonts w:hint="eastAsia"/>
        </w:rPr>
        <w:t>整改措施</w:t>
      </w:r>
    </w:p>
    <w:p w14:paraId="428FD429">
      <w:pPr>
        <w:pStyle w:val="165"/>
        <w:spacing w:line="360" w:lineRule="auto"/>
      </w:pPr>
      <w:r>
        <w:rPr>
          <w:rFonts w:hint="eastAsia"/>
        </w:rPr>
        <w:t>责任部门或责任人员应根据问题清单制定整改措施。</w:t>
      </w:r>
    </w:p>
    <w:p w14:paraId="613D5794">
      <w:pPr>
        <w:pStyle w:val="165"/>
        <w:spacing w:line="360" w:lineRule="auto"/>
      </w:pPr>
      <w:r>
        <w:rPr>
          <w:rFonts w:hint="eastAsia"/>
        </w:rPr>
        <w:t>整改措施应与问题原因相对应。</w:t>
      </w:r>
    </w:p>
    <w:p w14:paraId="392019E2">
      <w:pPr>
        <w:pStyle w:val="165"/>
        <w:spacing w:line="360" w:lineRule="auto"/>
      </w:pPr>
      <w:r>
        <w:rPr>
          <w:rFonts w:hint="eastAsia"/>
        </w:rPr>
        <w:t>涉及检查人员能力不足的，应开展培训、考核或重新授权。</w:t>
      </w:r>
    </w:p>
    <w:p w14:paraId="1A4A55C6">
      <w:pPr>
        <w:pStyle w:val="165"/>
        <w:spacing w:line="360" w:lineRule="auto"/>
      </w:pPr>
      <w:r>
        <w:rPr>
          <w:rFonts w:hint="eastAsia"/>
        </w:rPr>
        <w:t>涉及检查作业文件不完善的，应修订检查表、作业指导书或评价规则。</w:t>
      </w:r>
    </w:p>
    <w:p w14:paraId="359E7199">
      <w:pPr>
        <w:pStyle w:val="165"/>
        <w:spacing w:line="360" w:lineRule="auto"/>
      </w:pPr>
      <w:r>
        <w:rPr>
          <w:rFonts w:hint="eastAsia"/>
        </w:rPr>
        <w:t>涉及检查证据不足的，应开展补充核查；必要时应重新组织现场检查。</w:t>
      </w:r>
    </w:p>
    <w:p w14:paraId="2785AFE7">
      <w:pPr>
        <w:pStyle w:val="165"/>
        <w:spacing w:line="360" w:lineRule="auto"/>
      </w:pPr>
      <w:r>
        <w:rPr>
          <w:rFonts w:hint="eastAsia"/>
        </w:rPr>
        <w:t>涉及认证结论风险的，应提交认证决定相关部门复核。</w:t>
      </w:r>
    </w:p>
    <w:p w14:paraId="4D2B2079">
      <w:pPr>
        <w:pStyle w:val="105"/>
        <w:spacing w:before="120" w:after="120" w:line="360" w:lineRule="auto"/>
      </w:pPr>
      <w:r>
        <w:rPr>
          <w:rFonts w:hint="eastAsia"/>
        </w:rPr>
        <w:t>整改验证</w:t>
      </w:r>
    </w:p>
    <w:p w14:paraId="5EABB5F1">
      <w:pPr>
        <w:pStyle w:val="165"/>
        <w:spacing w:line="360" w:lineRule="auto"/>
      </w:pPr>
      <w:r>
        <w:rPr>
          <w:rFonts w:hint="eastAsia"/>
        </w:rPr>
        <w:t>整改完成后，应由评价组织或质量管理部门进行验证。</w:t>
      </w:r>
    </w:p>
    <w:p w14:paraId="653283CD">
      <w:pPr>
        <w:pStyle w:val="165"/>
        <w:spacing w:line="360" w:lineRule="auto"/>
      </w:pPr>
      <w:r>
        <w:rPr>
          <w:rFonts w:hint="eastAsia"/>
        </w:rPr>
        <w:t>整改验证可采用资料复核、报告复核、人员访谈、现场复查或重新评价等方式。</w:t>
      </w:r>
    </w:p>
    <w:p w14:paraId="6EEA28DE">
      <w:pPr>
        <w:pStyle w:val="165"/>
        <w:spacing w:line="360" w:lineRule="auto"/>
      </w:pPr>
      <w:r>
        <w:rPr>
          <w:rFonts w:hint="eastAsia"/>
        </w:rPr>
        <w:t>重大问题整改应进行专项验证，不得仅以责任人员说明作为关闭依据。</w:t>
      </w:r>
    </w:p>
    <w:p w14:paraId="2641DB46">
      <w:pPr>
        <w:pStyle w:val="165"/>
        <w:spacing w:line="360" w:lineRule="auto"/>
      </w:pPr>
      <w:r>
        <w:rPr>
          <w:rFonts w:hint="eastAsia"/>
        </w:rPr>
        <w:t>整改验证应记录验证方式、验证证据、验证结论和验证人员。</w:t>
      </w:r>
    </w:p>
    <w:p w14:paraId="71B85219">
      <w:pPr>
        <w:pStyle w:val="165"/>
        <w:spacing w:line="360" w:lineRule="auto"/>
      </w:pPr>
      <w:r>
        <w:rPr>
          <w:rFonts w:hint="eastAsia"/>
        </w:rPr>
        <w:t>整改未达到要求的，应重新整改，并应保持问题未关闭状态。</w:t>
      </w:r>
    </w:p>
    <w:p w14:paraId="29CFB599">
      <w:pPr>
        <w:pStyle w:val="165"/>
        <w:numPr>
          <w:ilvl w:val="0"/>
          <w:numId w:val="0"/>
        </w:numPr>
        <w:spacing w:line="360" w:lineRule="auto"/>
        <w:rPr>
          <w:rFonts w:ascii="黑体" w:hAnsi="黑体" w:eastAsia="黑体"/>
        </w:rPr>
      </w:pPr>
    </w:p>
    <w:p w14:paraId="476C5978">
      <w:pPr>
        <w:pStyle w:val="165"/>
        <w:numPr>
          <w:ilvl w:val="0"/>
          <w:numId w:val="0"/>
        </w:numPr>
        <w:spacing w:line="360" w:lineRule="auto"/>
        <w:rPr>
          <w:rFonts w:hint="eastAsia"/>
        </w:rPr>
      </w:pPr>
    </w:p>
    <w:p w14:paraId="74BBD606">
      <w:pPr>
        <w:pStyle w:val="105"/>
        <w:spacing w:before="120" w:after="120" w:line="360" w:lineRule="auto"/>
      </w:pPr>
      <w:r>
        <w:rPr>
          <w:rFonts w:hint="eastAsia"/>
        </w:rPr>
        <w:t>问题关闭</w:t>
      </w:r>
    </w:p>
    <w:p w14:paraId="7E85ACC1">
      <w:pPr>
        <w:pStyle w:val="165"/>
        <w:spacing w:line="360" w:lineRule="auto"/>
      </w:pPr>
      <w:r>
        <w:rPr>
          <w:rFonts w:hint="eastAsia"/>
        </w:rPr>
        <w:t>问题整改措施落实且验证有效后，方可关闭。</w:t>
      </w:r>
    </w:p>
    <w:p w14:paraId="0E2ED309">
      <w:pPr>
        <w:pStyle w:val="165"/>
        <w:spacing w:line="360" w:lineRule="auto"/>
      </w:pPr>
      <w:r>
        <w:rPr>
          <w:rFonts w:hint="eastAsia"/>
        </w:rPr>
        <w:t>问题关闭应保留关闭记录。</w:t>
      </w:r>
    </w:p>
    <w:p w14:paraId="25D020FC">
      <w:pPr>
        <w:pStyle w:val="165"/>
        <w:spacing w:line="360" w:lineRule="auto"/>
      </w:pPr>
      <w:r>
        <w:rPr>
          <w:rFonts w:hint="eastAsia"/>
        </w:rPr>
        <w:t>重复发生的问题应开展根因分析，并应纳入持续改进计划。</w:t>
      </w:r>
    </w:p>
    <w:p w14:paraId="34635857">
      <w:pPr>
        <w:pStyle w:val="165"/>
        <w:spacing w:line="360" w:lineRule="auto"/>
      </w:pPr>
      <w:r>
        <w:rPr>
          <w:rFonts w:hint="eastAsia"/>
        </w:rPr>
        <w:t>对检查人员多次出现同类质量问题的，应重新评价其岗位能力。</w:t>
      </w:r>
    </w:p>
    <w:p w14:paraId="47760763">
      <w:pPr>
        <w:pStyle w:val="104"/>
        <w:spacing w:before="240" w:after="240" w:line="360" w:lineRule="auto"/>
      </w:pPr>
      <w:bookmarkStart w:id="58" w:name="_Toc228607138"/>
      <w:r>
        <w:rPr>
          <w:rFonts w:hint="eastAsia"/>
        </w:rPr>
        <w:t>评价报告</w:t>
      </w:r>
      <w:bookmarkEnd w:id="58"/>
    </w:p>
    <w:p w14:paraId="6CFE9848">
      <w:pPr>
        <w:pStyle w:val="105"/>
        <w:spacing w:before="120" w:after="120" w:line="360" w:lineRule="auto"/>
      </w:pPr>
      <w:r>
        <w:rPr>
          <w:rFonts w:hint="eastAsia"/>
        </w:rPr>
        <w:t>一般要求</w:t>
      </w:r>
    </w:p>
    <w:p w14:paraId="6BC74161">
      <w:pPr>
        <w:pStyle w:val="165"/>
        <w:spacing w:line="360" w:lineRule="auto"/>
      </w:pPr>
      <w:r>
        <w:rPr>
          <w:rFonts w:hint="eastAsia"/>
        </w:rPr>
        <w:t>现场检查质量评价完成后应形成评价报告。</w:t>
      </w:r>
    </w:p>
    <w:p w14:paraId="3F434415">
      <w:pPr>
        <w:pStyle w:val="165"/>
        <w:spacing w:line="360" w:lineRule="auto"/>
      </w:pPr>
      <w:r>
        <w:rPr>
          <w:rFonts w:hint="eastAsia"/>
        </w:rPr>
        <w:t>评价报告应真实、完整、准确、客观，结论应有充分证据支持。</w:t>
      </w:r>
    </w:p>
    <w:p w14:paraId="5D829A28">
      <w:pPr>
        <w:pStyle w:val="165"/>
        <w:spacing w:line="360" w:lineRule="auto"/>
      </w:pPr>
      <w:r>
        <w:rPr>
          <w:rFonts w:hint="eastAsia"/>
        </w:rPr>
        <w:t>评价报告应经质量管理负责人或授权人员审核。</w:t>
      </w:r>
    </w:p>
    <w:p w14:paraId="7CE9B188">
      <w:pPr>
        <w:pStyle w:val="165"/>
        <w:spacing w:line="360" w:lineRule="auto"/>
      </w:pPr>
      <w:r>
        <w:rPr>
          <w:rFonts w:hint="eastAsia"/>
        </w:rPr>
        <w:t>评价报告不得隐瞒重大问题，不得弱化可能影响认证决定的质量缺陷。</w:t>
      </w:r>
    </w:p>
    <w:p w14:paraId="12218776">
      <w:pPr>
        <w:pStyle w:val="105"/>
        <w:spacing w:before="120" w:after="120" w:line="360" w:lineRule="auto"/>
      </w:pPr>
      <w:r>
        <w:rPr>
          <w:rFonts w:hint="eastAsia"/>
        </w:rPr>
        <w:t>报告内容</w:t>
      </w:r>
    </w:p>
    <w:p w14:paraId="2D65BDE0">
      <w:pPr>
        <w:pStyle w:val="165"/>
        <w:spacing w:line="360" w:lineRule="auto"/>
      </w:pPr>
      <w:r>
        <w:rPr>
          <w:rFonts w:hint="eastAsia"/>
        </w:rPr>
        <w:t>评价报告应至少包括：</w:t>
      </w:r>
    </w:p>
    <w:p w14:paraId="215E4940">
      <w:pPr>
        <w:pStyle w:val="56"/>
        <w:spacing w:line="360" w:lineRule="auto"/>
        <w:ind w:firstLine="420"/>
      </w:pPr>
      <w:r>
        <w:rPr>
          <w:rFonts w:hint="eastAsia"/>
        </w:rPr>
        <w:t>a) 评价对象基本信息；</w:t>
      </w:r>
    </w:p>
    <w:p w14:paraId="0C7F46D1">
      <w:pPr>
        <w:pStyle w:val="56"/>
        <w:spacing w:line="360" w:lineRule="auto"/>
        <w:ind w:firstLine="420"/>
      </w:pPr>
      <w:r>
        <w:rPr>
          <w:rFonts w:hint="eastAsia"/>
        </w:rPr>
        <w:t>b) 认证项目和产品类别；</w:t>
      </w:r>
    </w:p>
    <w:p w14:paraId="033D6A8D">
      <w:pPr>
        <w:pStyle w:val="56"/>
        <w:spacing w:line="360" w:lineRule="auto"/>
        <w:ind w:firstLine="420"/>
      </w:pPr>
      <w:r>
        <w:rPr>
          <w:rFonts w:hint="eastAsia"/>
        </w:rPr>
        <w:t>c) 现场检查类型、时间和检查人员；</w:t>
      </w:r>
    </w:p>
    <w:p w14:paraId="748F00C2">
      <w:pPr>
        <w:pStyle w:val="56"/>
        <w:spacing w:line="360" w:lineRule="auto"/>
        <w:ind w:firstLine="420"/>
      </w:pPr>
      <w:r>
        <w:rPr>
          <w:rFonts w:hint="eastAsia"/>
        </w:rPr>
        <w:t>d) 评价目的、范围和依据；</w:t>
      </w:r>
    </w:p>
    <w:p w14:paraId="4F3FF082">
      <w:pPr>
        <w:pStyle w:val="56"/>
        <w:spacing w:line="360" w:lineRule="auto"/>
        <w:ind w:firstLine="420"/>
      </w:pPr>
      <w:r>
        <w:rPr>
          <w:rFonts w:hint="eastAsia"/>
        </w:rPr>
        <w:t>e) 评价方法和评价过程；</w:t>
      </w:r>
    </w:p>
    <w:p w14:paraId="42733075">
      <w:pPr>
        <w:pStyle w:val="56"/>
        <w:spacing w:line="360" w:lineRule="auto"/>
        <w:ind w:firstLine="420"/>
      </w:pPr>
      <w:r>
        <w:rPr>
          <w:rFonts w:hint="eastAsia"/>
        </w:rPr>
        <w:t>f) 评价指标和评分结果；</w:t>
      </w:r>
    </w:p>
    <w:p w14:paraId="7D17BC94">
      <w:pPr>
        <w:pStyle w:val="56"/>
        <w:spacing w:line="360" w:lineRule="auto"/>
        <w:ind w:firstLine="420"/>
      </w:pPr>
      <w:r>
        <w:rPr>
          <w:rFonts w:hint="eastAsia"/>
        </w:rPr>
        <w:t>g) 关键项符合情况；</w:t>
      </w:r>
    </w:p>
    <w:p w14:paraId="316F0CE8">
      <w:pPr>
        <w:pStyle w:val="56"/>
        <w:spacing w:line="360" w:lineRule="auto"/>
        <w:ind w:firstLine="420"/>
      </w:pPr>
      <w:r>
        <w:rPr>
          <w:rFonts w:hint="eastAsia"/>
        </w:rPr>
        <w:t>h) 否决项核查情况；</w:t>
      </w:r>
    </w:p>
    <w:p w14:paraId="4CFDE783">
      <w:pPr>
        <w:pStyle w:val="56"/>
        <w:spacing w:line="360" w:lineRule="auto"/>
        <w:ind w:firstLine="420"/>
      </w:pPr>
      <w:r>
        <w:rPr>
          <w:rFonts w:hint="eastAsia"/>
        </w:rPr>
        <w:t>i) 评价等级和判定依据；</w:t>
      </w:r>
    </w:p>
    <w:p w14:paraId="06F4C871">
      <w:pPr>
        <w:pStyle w:val="56"/>
        <w:spacing w:line="360" w:lineRule="auto"/>
        <w:ind w:firstLine="420"/>
      </w:pPr>
      <w:r>
        <w:rPr>
          <w:rFonts w:hint="eastAsia"/>
        </w:rPr>
        <w:t>j) 主要质量问题；</w:t>
      </w:r>
    </w:p>
    <w:p w14:paraId="3E9F27AD">
      <w:pPr>
        <w:pStyle w:val="56"/>
        <w:spacing w:line="360" w:lineRule="auto"/>
        <w:ind w:firstLine="420"/>
      </w:pPr>
      <w:r>
        <w:rPr>
          <w:rFonts w:hint="eastAsia"/>
        </w:rPr>
        <w:t>k) 风险影响分析；</w:t>
      </w:r>
    </w:p>
    <w:p w14:paraId="7BC990F8">
      <w:pPr>
        <w:pStyle w:val="56"/>
        <w:spacing w:line="360" w:lineRule="auto"/>
        <w:ind w:firstLine="420"/>
      </w:pPr>
      <w:r>
        <w:rPr>
          <w:rFonts w:hint="eastAsia"/>
        </w:rPr>
        <w:t>l) 整改要求和验证方式；</w:t>
      </w:r>
    </w:p>
    <w:p w14:paraId="6083F751">
      <w:pPr>
        <w:pStyle w:val="56"/>
        <w:spacing w:line="360" w:lineRule="auto"/>
        <w:ind w:firstLine="420"/>
      </w:pPr>
      <w:r>
        <w:rPr>
          <w:rFonts w:hint="eastAsia"/>
        </w:rPr>
        <w:t>m) 附件和评价证据清单。</w:t>
      </w:r>
    </w:p>
    <w:p w14:paraId="2B9621FE">
      <w:pPr>
        <w:pStyle w:val="165"/>
        <w:spacing w:line="360" w:lineRule="auto"/>
      </w:pPr>
      <w:r>
        <w:rPr>
          <w:rFonts w:hint="eastAsia"/>
        </w:rPr>
        <w:t>对存在重大质量问题的评价报告，应单独说明对认证决定、检查人员能力和机构质量管理的影响。</w:t>
      </w:r>
    </w:p>
    <w:p w14:paraId="6B6DF2E5">
      <w:pPr>
        <w:pStyle w:val="165"/>
        <w:spacing w:line="360" w:lineRule="auto"/>
      </w:pPr>
      <w:r>
        <w:rPr>
          <w:rFonts w:hint="eastAsia"/>
        </w:rPr>
        <w:t>对多项检查任务综合评价的，应分别列明各检查任务评价结果。</w:t>
      </w:r>
    </w:p>
    <w:p w14:paraId="7C150E29">
      <w:pPr>
        <w:pStyle w:val="165"/>
        <w:numPr>
          <w:ilvl w:val="0"/>
          <w:numId w:val="0"/>
        </w:numPr>
        <w:spacing w:line="360" w:lineRule="auto"/>
        <w:rPr>
          <w:rFonts w:hint="eastAsia"/>
        </w:rPr>
      </w:pPr>
    </w:p>
    <w:p w14:paraId="7C716F2A">
      <w:pPr>
        <w:pStyle w:val="105"/>
        <w:spacing w:before="120" w:after="120" w:line="360" w:lineRule="auto"/>
      </w:pPr>
      <w:r>
        <w:rPr>
          <w:rFonts w:hint="eastAsia"/>
        </w:rPr>
        <w:t>报告结论</w:t>
      </w:r>
    </w:p>
    <w:p w14:paraId="103DC989">
      <w:pPr>
        <w:pStyle w:val="165"/>
        <w:spacing w:line="360" w:lineRule="auto"/>
      </w:pPr>
      <w:r>
        <w:rPr>
          <w:rFonts w:hint="eastAsia"/>
        </w:rPr>
        <w:t>报告结论应明确评价等级和主要依据。</w:t>
      </w:r>
    </w:p>
    <w:p w14:paraId="3AD2570D">
      <w:pPr>
        <w:pStyle w:val="165"/>
        <w:spacing w:line="360" w:lineRule="auto"/>
      </w:pPr>
      <w:r>
        <w:rPr>
          <w:rFonts w:hint="eastAsia"/>
        </w:rPr>
        <w:t>报告结论应说明现场检查质量是否能够支撑认证评价。</w:t>
      </w:r>
    </w:p>
    <w:p w14:paraId="00E196E2">
      <w:pPr>
        <w:pStyle w:val="165"/>
        <w:spacing w:line="360" w:lineRule="auto"/>
      </w:pPr>
      <w:r>
        <w:rPr>
          <w:rFonts w:hint="eastAsia"/>
        </w:rPr>
        <w:t>报告结论不得超出评价范围。</w:t>
      </w:r>
    </w:p>
    <w:p w14:paraId="0859F602">
      <w:pPr>
        <w:pStyle w:val="165"/>
        <w:spacing w:line="360" w:lineRule="auto"/>
      </w:pPr>
      <w:r>
        <w:rPr>
          <w:rFonts w:hint="eastAsia"/>
        </w:rPr>
        <w:t>对评价范围外的检查任务、产品类别或认证项目，不得作出质量合格结论。</w:t>
      </w:r>
    </w:p>
    <w:p w14:paraId="5F10CDF1">
      <w:pPr>
        <w:pStyle w:val="105"/>
        <w:spacing w:before="120" w:after="120" w:line="360" w:lineRule="auto"/>
      </w:pPr>
      <w:r>
        <w:rPr>
          <w:rFonts w:hint="eastAsia"/>
        </w:rPr>
        <w:t>报告附件</w:t>
      </w:r>
    </w:p>
    <w:p w14:paraId="41A8E084">
      <w:pPr>
        <w:pStyle w:val="165"/>
        <w:spacing w:line="360" w:lineRule="auto"/>
      </w:pPr>
      <w:r>
        <w:rPr>
          <w:rFonts w:hint="eastAsia"/>
        </w:rPr>
        <w:t>评价报告附件宜包括评价检查表、评分表、问题清单、证据清单、照片资料、访谈记录、整改验证记录和相关复核意见。</w:t>
      </w:r>
    </w:p>
    <w:p w14:paraId="25FDFBC9">
      <w:pPr>
        <w:pStyle w:val="165"/>
        <w:spacing w:line="360" w:lineRule="auto"/>
      </w:pPr>
      <w:r>
        <w:rPr>
          <w:rFonts w:hint="eastAsia"/>
        </w:rPr>
        <w:t>附件内容应与正文引用一致。</w:t>
      </w:r>
    </w:p>
    <w:p w14:paraId="749E0840">
      <w:pPr>
        <w:pStyle w:val="165"/>
        <w:spacing w:line="360" w:lineRule="auto"/>
      </w:pPr>
      <w:r>
        <w:rPr>
          <w:rFonts w:hint="eastAsia"/>
        </w:rPr>
        <w:t>涉及申请主体商业秘密、个人信息或认证敏感信息的附件，应按保密要求管理。</w:t>
      </w:r>
    </w:p>
    <w:p w14:paraId="1635C3FE">
      <w:pPr>
        <w:pStyle w:val="104"/>
        <w:spacing w:before="240" w:after="240" w:line="360" w:lineRule="auto"/>
      </w:pPr>
      <w:bookmarkStart w:id="59" w:name="_Toc228607139"/>
      <w:r>
        <w:rPr>
          <w:rFonts w:hint="eastAsia"/>
        </w:rPr>
        <w:t>档案管理</w:t>
      </w:r>
      <w:bookmarkEnd w:id="59"/>
    </w:p>
    <w:p w14:paraId="7CCB4426">
      <w:pPr>
        <w:pStyle w:val="105"/>
        <w:spacing w:before="120" w:after="120" w:line="360" w:lineRule="auto"/>
      </w:pPr>
      <w:r>
        <w:rPr>
          <w:rFonts w:hint="eastAsia"/>
        </w:rPr>
        <w:t>一般要求</w:t>
      </w:r>
    </w:p>
    <w:p w14:paraId="7EBCFBBB">
      <w:pPr>
        <w:pStyle w:val="165"/>
        <w:spacing w:line="360" w:lineRule="auto"/>
      </w:pPr>
      <w:r>
        <w:rPr>
          <w:rFonts w:hint="eastAsia"/>
        </w:rPr>
        <w:t>绿色食品认证现场检查质量评价资料应按评价项目建立档案。</w:t>
      </w:r>
    </w:p>
    <w:p w14:paraId="5BAA3B9A">
      <w:pPr>
        <w:pStyle w:val="165"/>
        <w:spacing w:line="360" w:lineRule="auto"/>
      </w:pPr>
      <w:r>
        <w:rPr>
          <w:rFonts w:hint="eastAsia"/>
        </w:rPr>
        <w:t>评价档案应真实、完整、清晰、可追溯。</w:t>
      </w:r>
    </w:p>
    <w:p w14:paraId="7A57DD43">
      <w:pPr>
        <w:pStyle w:val="165"/>
        <w:spacing w:line="360" w:lineRule="auto"/>
      </w:pPr>
      <w:r>
        <w:rPr>
          <w:rFonts w:hint="eastAsia"/>
        </w:rPr>
        <w:t>纸质档案和电子档案应建立对应关系。</w:t>
      </w:r>
    </w:p>
    <w:p w14:paraId="2D7834CD">
      <w:pPr>
        <w:pStyle w:val="165"/>
        <w:spacing w:line="360" w:lineRule="auto"/>
      </w:pPr>
      <w:r>
        <w:rPr>
          <w:rFonts w:hint="eastAsia"/>
        </w:rPr>
        <w:t>评价档案不得擅自修改、替换、删除、外传或销毁。</w:t>
      </w:r>
    </w:p>
    <w:p w14:paraId="2B7DF95A">
      <w:pPr>
        <w:pStyle w:val="165"/>
        <w:spacing w:line="360" w:lineRule="auto"/>
      </w:pPr>
      <w:r>
        <w:rPr>
          <w:rFonts w:hint="eastAsia"/>
        </w:rPr>
        <w:t>档案查阅、复制、移交和销毁应履行审批手续。</w:t>
      </w:r>
    </w:p>
    <w:p w14:paraId="4A7ED514">
      <w:pPr>
        <w:pStyle w:val="105"/>
        <w:spacing w:before="120" w:after="120" w:line="360" w:lineRule="auto"/>
      </w:pPr>
      <w:r>
        <w:rPr>
          <w:rFonts w:hint="eastAsia"/>
        </w:rPr>
        <w:t>档案内容</w:t>
      </w:r>
    </w:p>
    <w:p w14:paraId="56FE628C">
      <w:pPr>
        <w:pStyle w:val="165"/>
        <w:spacing w:line="360" w:lineRule="auto"/>
      </w:pPr>
      <w:r>
        <w:rPr>
          <w:rFonts w:hint="eastAsia"/>
        </w:rPr>
        <w:t>评价档案应至少包括：</w:t>
      </w:r>
    </w:p>
    <w:p w14:paraId="376E8A25">
      <w:pPr>
        <w:pStyle w:val="56"/>
        <w:spacing w:line="360" w:lineRule="auto"/>
        <w:ind w:firstLine="420"/>
      </w:pPr>
      <w:r>
        <w:rPr>
          <w:rFonts w:hint="eastAsia"/>
        </w:rPr>
        <w:t>a) 评价计划或评价任务文件；</w:t>
      </w:r>
    </w:p>
    <w:p w14:paraId="44D516CB">
      <w:pPr>
        <w:pStyle w:val="56"/>
        <w:spacing w:line="360" w:lineRule="auto"/>
        <w:ind w:firstLine="420"/>
      </w:pPr>
      <w:r>
        <w:rPr>
          <w:rFonts w:hint="eastAsia"/>
        </w:rPr>
        <w:t>b) 被评价检查任务基本资料；</w:t>
      </w:r>
    </w:p>
    <w:p w14:paraId="2ABCF927">
      <w:pPr>
        <w:pStyle w:val="56"/>
        <w:spacing w:line="360" w:lineRule="auto"/>
        <w:ind w:firstLine="420"/>
      </w:pPr>
      <w:r>
        <w:rPr>
          <w:rFonts w:hint="eastAsia"/>
        </w:rPr>
        <w:t>c) 评价依据文件；</w:t>
      </w:r>
    </w:p>
    <w:p w14:paraId="0C287B10">
      <w:pPr>
        <w:pStyle w:val="56"/>
        <w:spacing w:line="360" w:lineRule="auto"/>
        <w:ind w:firstLine="420"/>
      </w:pPr>
      <w:r>
        <w:rPr>
          <w:rFonts w:hint="eastAsia"/>
        </w:rPr>
        <w:t>d) 评价检查表和评分表；</w:t>
      </w:r>
    </w:p>
    <w:p w14:paraId="624040C6">
      <w:pPr>
        <w:pStyle w:val="56"/>
        <w:spacing w:line="360" w:lineRule="auto"/>
        <w:ind w:firstLine="420"/>
      </w:pPr>
      <w:r>
        <w:rPr>
          <w:rFonts w:hint="eastAsia"/>
        </w:rPr>
        <w:t>e) 检查资料复核记录；</w:t>
      </w:r>
    </w:p>
    <w:p w14:paraId="22202DC9">
      <w:pPr>
        <w:pStyle w:val="56"/>
        <w:spacing w:line="360" w:lineRule="auto"/>
        <w:ind w:firstLine="420"/>
      </w:pPr>
      <w:r>
        <w:rPr>
          <w:rFonts w:hint="eastAsia"/>
        </w:rPr>
        <w:t>f) 报告评审记录；</w:t>
      </w:r>
    </w:p>
    <w:p w14:paraId="76D49C18">
      <w:pPr>
        <w:pStyle w:val="56"/>
        <w:spacing w:line="360" w:lineRule="auto"/>
        <w:ind w:firstLine="420"/>
      </w:pPr>
      <w:r>
        <w:rPr>
          <w:rFonts w:hint="eastAsia"/>
        </w:rPr>
        <w:t>g) 影像核验记录；</w:t>
      </w:r>
    </w:p>
    <w:p w14:paraId="0FB0DA2C">
      <w:pPr>
        <w:pStyle w:val="56"/>
        <w:spacing w:line="360" w:lineRule="auto"/>
        <w:ind w:firstLine="420"/>
      </w:pPr>
      <w:r>
        <w:rPr>
          <w:rFonts w:hint="eastAsia"/>
        </w:rPr>
        <w:t>h) 人员访谈记录；</w:t>
      </w:r>
    </w:p>
    <w:p w14:paraId="5990ECB3">
      <w:pPr>
        <w:pStyle w:val="56"/>
        <w:spacing w:line="360" w:lineRule="auto"/>
        <w:ind w:firstLine="420"/>
      </w:pPr>
      <w:r>
        <w:rPr>
          <w:rFonts w:hint="eastAsia"/>
        </w:rPr>
        <w:t>i) 现场抽查记录；</w:t>
      </w:r>
    </w:p>
    <w:p w14:paraId="4155BC1F">
      <w:pPr>
        <w:pStyle w:val="56"/>
        <w:spacing w:line="360" w:lineRule="auto"/>
        <w:ind w:firstLine="420"/>
      </w:pPr>
      <w:r>
        <w:rPr>
          <w:rFonts w:hint="eastAsia"/>
        </w:rPr>
        <w:t>j) 问题清单；</w:t>
      </w:r>
    </w:p>
    <w:p w14:paraId="66510B62">
      <w:pPr>
        <w:pStyle w:val="56"/>
        <w:spacing w:line="360" w:lineRule="auto"/>
        <w:ind w:firstLine="420"/>
      </w:pPr>
      <w:r>
        <w:rPr>
          <w:rFonts w:hint="eastAsia"/>
        </w:rPr>
        <w:t>k) 整改要求；</w:t>
      </w:r>
    </w:p>
    <w:p w14:paraId="6A9F83EF">
      <w:pPr>
        <w:pStyle w:val="56"/>
        <w:spacing w:line="360" w:lineRule="auto"/>
        <w:ind w:firstLine="420"/>
      </w:pPr>
      <w:r>
        <w:rPr>
          <w:rFonts w:hint="eastAsia"/>
        </w:rPr>
        <w:t>l) 整改验证记录；</w:t>
      </w:r>
    </w:p>
    <w:p w14:paraId="72D8C54F">
      <w:pPr>
        <w:pStyle w:val="56"/>
        <w:spacing w:line="360" w:lineRule="auto"/>
        <w:ind w:firstLine="420"/>
      </w:pPr>
      <w:r>
        <w:rPr>
          <w:rFonts w:hint="eastAsia"/>
        </w:rPr>
        <w:t>m) 评价报告；</w:t>
      </w:r>
    </w:p>
    <w:p w14:paraId="4F38ED28">
      <w:pPr>
        <w:pStyle w:val="56"/>
        <w:spacing w:line="360" w:lineRule="auto"/>
        <w:ind w:firstLine="420"/>
      </w:pPr>
      <w:r>
        <w:rPr>
          <w:rFonts w:hint="eastAsia"/>
        </w:rPr>
        <w:t>n) 评价证据资料。</w:t>
      </w:r>
    </w:p>
    <w:p w14:paraId="4AA0474B">
      <w:pPr>
        <w:pStyle w:val="165"/>
        <w:spacing w:line="360" w:lineRule="auto"/>
      </w:pPr>
      <w:r>
        <w:rPr>
          <w:rFonts w:hint="eastAsia"/>
        </w:rPr>
        <w:t>涉及专项复核、投诉处理或认证结论调整的，应保存专项处理资料。</w:t>
      </w:r>
    </w:p>
    <w:p w14:paraId="6D4EE2B6">
      <w:pPr>
        <w:pStyle w:val="165"/>
        <w:spacing w:line="360" w:lineRule="auto"/>
      </w:pPr>
      <w:r>
        <w:rPr>
          <w:rFonts w:hint="eastAsia"/>
        </w:rPr>
        <w:t>评价档案应能够追溯评价人员、评价时间、评价对象、评价过程、评价证据和评价结论。</w:t>
      </w:r>
    </w:p>
    <w:p w14:paraId="1E86ADE2">
      <w:pPr>
        <w:pStyle w:val="105"/>
        <w:spacing w:before="120" w:after="120" w:line="360" w:lineRule="auto"/>
      </w:pPr>
      <w:r>
        <w:rPr>
          <w:rFonts w:hint="eastAsia"/>
        </w:rPr>
        <w:t>电子档案</w:t>
      </w:r>
    </w:p>
    <w:p w14:paraId="600FBEA6">
      <w:pPr>
        <w:pStyle w:val="165"/>
        <w:spacing w:line="360" w:lineRule="auto"/>
      </w:pPr>
      <w:r>
        <w:rPr>
          <w:rFonts w:hint="eastAsia"/>
        </w:rPr>
        <w:t>电子评价档案应统一命名、编号、分类和版本管理。</w:t>
      </w:r>
    </w:p>
    <w:p w14:paraId="5F8C3709">
      <w:pPr>
        <w:pStyle w:val="165"/>
        <w:spacing w:line="360" w:lineRule="auto"/>
      </w:pPr>
      <w:r>
        <w:rPr>
          <w:rFonts w:hint="eastAsia"/>
        </w:rPr>
        <w:t>电子档案应采用稳定、通用、可读取的格式保存。</w:t>
      </w:r>
    </w:p>
    <w:p w14:paraId="1D249DDB">
      <w:pPr>
        <w:pStyle w:val="165"/>
        <w:spacing w:line="360" w:lineRule="auto"/>
      </w:pPr>
      <w:r>
        <w:rPr>
          <w:rFonts w:hint="eastAsia"/>
        </w:rPr>
        <w:t>照片、视频、电子表单、系统记录和电子报告应与评价项目编号关联。</w:t>
      </w:r>
    </w:p>
    <w:p w14:paraId="4AD24BDC">
      <w:pPr>
        <w:pStyle w:val="165"/>
        <w:spacing w:line="360" w:lineRule="auto"/>
      </w:pPr>
      <w:r>
        <w:rPr>
          <w:rFonts w:hint="eastAsia"/>
        </w:rPr>
        <w:t>电子档案应定期备份，并应验证可读取性和完整性。</w:t>
      </w:r>
    </w:p>
    <w:p w14:paraId="40111AD4">
      <w:pPr>
        <w:pStyle w:val="165"/>
        <w:spacing w:line="360" w:lineRule="auto"/>
      </w:pPr>
      <w:r>
        <w:rPr>
          <w:rFonts w:hint="eastAsia"/>
        </w:rPr>
        <w:t>电子档案不得长期存放在个人电脑、个人邮箱、个人网盘或非受控移动存储介质中。</w:t>
      </w:r>
    </w:p>
    <w:p w14:paraId="6B90B48C">
      <w:pPr>
        <w:pStyle w:val="105"/>
        <w:spacing w:before="120" w:after="120" w:line="360" w:lineRule="auto"/>
      </w:pPr>
      <w:r>
        <w:rPr>
          <w:rFonts w:hint="eastAsia"/>
        </w:rPr>
        <w:t>保存期限</w:t>
      </w:r>
    </w:p>
    <w:p w14:paraId="16CEBEB3">
      <w:pPr>
        <w:pStyle w:val="165"/>
        <w:spacing w:line="360" w:lineRule="auto"/>
      </w:pPr>
      <w:r>
        <w:rPr>
          <w:rFonts w:hint="eastAsia"/>
        </w:rPr>
        <w:t>评价档案保存期限应满足认证管理、质量追溯、监督检查和责任追究要求。</w:t>
      </w:r>
    </w:p>
    <w:p w14:paraId="2676FA51">
      <w:pPr>
        <w:pStyle w:val="165"/>
        <w:spacing w:line="360" w:lineRule="auto"/>
      </w:pPr>
      <w:r>
        <w:rPr>
          <w:rFonts w:hint="eastAsia"/>
        </w:rPr>
        <w:t>涉及重大质量问题、认证结论复核、投诉处理、违规处理或监督检查的评价档案，应按较长期限保存。</w:t>
      </w:r>
    </w:p>
    <w:p w14:paraId="364B312E">
      <w:pPr>
        <w:pStyle w:val="165"/>
        <w:spacing w:line="360" w:lineRule="auto"/>
      </w:pPr>
      <w:r>
        <w:rPr>
          <w:rFonts w:hint="eastAsia"/>
        </w:rPr>
        <w:t>保存期限未届满的评价档案不得销毁。</w:t>
      </w:r>
    </w:p>
    <w:p w14:paraId="7BA68113">
      <w:pPr>
        <w:pStyle w:val="165"/>
        <w:spacing w:line="360" w:lineRule="auto"/>
      </w:pPr>
      <w:r>
        <w:rPr>
          <w:rFonts w:hint="eastAsia"/>
        </w:rPr>
        <w:t>保存期满需要销毁的，应经审批后实施，并应形成销毁记录。</w:t>
      </w:r>
    </w:p>
    <w:p w14:paraId="00DDEB63">
      <w:pPr>
        <w:pStyle w:val="56"/>
        <w:ind w:firstLine="420"/>
      </w:pPr>
    </w:p>
    <w:p w14:paraId="0C09638E">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0B8899B4">
      <w:pPr>
        <w:pStyle w:val="198"/>
        <w:rPr>
          <w:rFonts w:hint="eastAsia"/>
        </w:rPr>
      </w:pPr>
      <w:bookmarkStart w:id="60" w:name="BookMark5"/>
    </w:p>
    <w:p w14:paraId="6AD6AD4B">
      <w:pPr>
        <w:pStyle w:val="199"/>
      </w:pPr>
    </w:p>
    <w:p w14:paraId="189F1DB5">
      <w:pPr>
        <w:pStyle w:val="76"/>
        <w:spacing w:after="120" w:line="360" w:lineRule="auto"/>
      </w:pPr>
      <w:r>
        <w:br w:type="textWrapping"/>
      </w:r>
      <w:bookmarkStart w:id="61" w:name="_Toc228607140"/>
      <w:r>
        <w:rPr>
          <w:rFonts w:hint="eastAsia"/>
        </w:rPr>
        <w:t>（资料性）</w:t>
      </w:r>
      <w:r>
        <w:br w:type="textWrapping"/>
      </w:r>
      <w:r>
        <w:rPr>
          <w:rFonts w:hint="eastAsia"/>
        </w:rPr>
        <w:t>绿色食品认证现场检查质量评价指标表</w:t>
      </w:r>
      <w:bookmarkEnd w:id="61"/>
    </w:p>
    <w:p w14:paraId="538AEE88">
      <w:pPr>
        <w:pStyle w:val="211"/>
        <w:spacing w:line="360" w:lineRule="auto"/>
      </w:pPr>
      <w:r>
        <w:t>绿色食品认证现场检查质量评价指标可按表A.1执行。</w:t>
      </w:r>
    </w:p>
    <w:p w14:paraId="7C605B80">
      <w:pPr>
        <w:pStyle w:val="77"/>
        <w:spacing w:before="120" w:after="120" w:line="360" w:lineRule="auto"/>
      </w:pPr>
      <w:r>
        <w:t>绿色食品认证现场检查质量评价指标表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75"/>
        <w:gridCol w:w="1701"/>
        <w:gridCol w:w="4678"/>
        <w:gridCol w:w="980"/>
      </w:tblGrid>
      <w:tr w14:paraId="38542B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975" w:type="dxa"/>
            <w:tcBorders>
              <w:top w:val="single" w:color="auto" w:sz="8" w:space="0"/>
              <w:bottom w:val="single" w:color="auto" w:sz="8" w:space="0"/>
            </w:tcBorders>
            <w:vAlign w:val="center"/>
          </w:tcPr>
          <w:p w14:paraId="290E0C24">
            <w:pPr>
              <w:pStyle w:val="178"/>
            </w:pPr>
            <w:r>
              <w:rPr>
                <w:rFonts w:hint="eastAsia"/>
              </w:rPr>
              <w:t>一级指标</w:t>
            </w:r>
          </w:p>
        </w:tc>
        <w:tc>
          <w:tcPr>
            <w:tcW w:w="1701" w:type="dxa"/>
            <w:tcBorders>
              <w:top w:val="single" w:color="auto" w:sz="8" w:space="0"/>
              <w:bottom w:val="single" w:color="auto" w:sz="8" w:space="0"/>
            </w:tcBorders>
            <w:vAlign w:val="center"/>
          </w:tcPr>
          <w:p w14:paraId="1AF49155">
            <w:pPr>
              <w:pStyle w:val="178"/>
            </w:pPr>
            <w:r>
              <w:rPr>
                <w:rFonts w:hint="eastAsia"/>
              </w:rPr>
              <w:t>二级指标</w:t>
            </w:r>
          </w:p>
        </w:tc>
        <w:tc>
          <w:tcPr>
            <w:tcW w:w="4678" w:type="dxa"/>
            <w:tcBorders>
              <w:top w:val="single" w:color="auto" w:sz="8" w:space="0"/>
              <w:bottom w:val="single" w:color="auto" w:sz="8" w:space="0"/>
            </w:tcBorders>
            <w:vAlign w:val="center"/>
          </w:tcPr>
          <w:p w14:paraId="337819FC">
            <w:pPr>
              <w:pStyle w:val="178"/>
            </w:pPr>
            <w:r>
              <w:rPr>
                <w:rFonts w:hint="eastAsia"/>
              </w:rPr>
              <w:t>评价要点</w:t>
            </w:r>
          </w:p>
        </w:tc>
        <w:tc>
          <w:tcPr>
            <w:tcW w:w="980" w:type="dxa"/>
            <w:tcBorders>
              <w:top w:val="single" w:color="auto" w:sz="8" w:space="0"/>
              <w:bottom w:val="single" w:color="auto" w:sz="8" w:space="0"/>
            </w:tcBorders>
            <w:vAlign w:val="center"/>
          </w:tcPr>
          <w:p w14:paraId="2189A38D">
            <w:pPr>
              <w:pStyle w:val="178"/>
            </w:pPr>
            <w:r>
              <w:rPr>
                <w:rFonts w:hint="eastAsia"/>
              </w:rPr>
              <w:t>建议分值</w:t>
            </w:r>
          </w:p>
        </w:tc>
      </w:tr>
      <w:tr w14:paraId="329845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top w:val="single" w:color="auto" w:sz="8" w:space="0"/>
            </w:tcBorders>
            <w:vAlign w:val="center"/>
          </w:tcPr>
          <w:p w14:paraId="100BCD42">
            <w:pPr>
              <w:pStyle w:val="178"/>
            </w:pPr>
            <w:r>
              <w:rPr>
                <w:rFonts w:hint="eastAsia"/>
              </w:rPr>
              <w:t>检查准备质量</w:t>
            </w:r>
          </w:p>
        </w:tc>
        <w:tc>
          <w:tcPr>
            <w:tcW w:w="1701" w:type="dxa"/>
            <w:tcBorders>
              <w:top w:val="single" w:color="auto" w:sz="8" w:space="0"/>
            </w:tcBorders>
            <w:vAlign w:val="center"/>
          </w:tcPr>
          <w:p w14:paraId="2FCE0763">
            <w:pPr>
              <w:pStyle w:val="178"/>
            </w:pPr>
            <w:r>
              <w:rPr>
                <w:rFonts w:hint="eastAsia"/>
              </w:rPr>
              <w:t>资料预审</w:t>
            </w:r>
          </w:p>
        </w:tc>
        <w:tc>
          <w:tcPr>
            <w:tcW w:w="4678" w:type="dxa"/>
            <w:tcBorders>
              <w:top w:val="single" w:color="auto" w:sz="8" w:space="0"/>
            </w:tcBorders>
            <w:vAlign w:val="center"/>
          </w:tcPr>
          <w:p w14:paraId="669F4717">
            <w:pPr>
              <w:pStyle w:val="178"/>
            </w:pPr>
            <w:r>
              <w:rPr>
                <w:rFonts w:hint="eastAsia"/>
              </w:rPr>
              <w:t>是否完成申请资料、主体信息、产品类别、</w:t>
            </w:r>
          </w:p>
          <w:p w14:paraId="0DFE3377">
            <w:pPr>
              <w:pStyle w:val="178"/>
            </w:pPr>
            <w:r>
              <w:rPr>
                <w:rFonts w:hint="eastAsia"/>
              </w:rPr>
              <w:t>认证范围和既往问题预审</w:t>
            </w:r>
          </w:p>
        </w:tc>
        <w:tc>
          <w:tcPr>
            <w:tcW w:w="980" w:type="dxa"/>
            <w:tcBorders>
              <w:top w:val="single" w:color="auto" w:sz="8" w:space="0"/>
            </w:tcBorders>
            <w:vAlign w:val="center"/>
          </w:tcPr>
          <w:p w14:paraId="6C090F2E">
            <w:pPr>
              <w:pStyle w:val="178"/>
            </w:pPr>
            <w:r>
              <w:rPr>
                <w:rFonts w:hint="eastAsia"/>
              </w:rPr>
              <w:t>8</w:t>
            </w:r>
          </w:p>
        </w:tc>
      </w:tr>
      <w:tr w14:paraId="239137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6A89DD5">
            <w:pPr>
              <w:pStyle w:val="178"/>
            </w:pPr>
            <w:r>
              <w:rPr>
                <w:rFonts w:hint="eastAsia"/>
              </w:rPr>
              <w:t>检查准备质量</w:t>
            </w:r>
          </w:p>
        </w:tc>
        <w:tc>
          <w:tcPr>
            <w:tcW w:w="1701" w:type="dxa"/>
            <w:vAlign w:val="center"/>
          </w:tcPr>
          <w:p w14:paraId="5DBBA096">
            <w:pPr>
              <w:pStyle w:val="178"/>
            </w:pPr>
            <w:r>
              <w:rPr>
                <w:rFonts w:hint="eastAsia"/>
              </w:rPr>
              <w:t>风险识别</w:t>
            </w:r>
          </w:p>
        </w:tc>
        <w:tc>
          <w:tcPr>
            <w:tcW w:w="4678" w:type="dxa"/>
            <w:vAlign w:val="center"/>
          </w:tcPr>
          <w:p w14:paraId="490A9DB9">
            <w:pPr>
              <w:pStyle w:val="178"/>
            </w:pPr>
            <w:r>
              <w:rPr>
                <w:rFonts w:hint="eastAsia"/>
              </w:rPr>
              <w:t>是否识别产地环境、投入品、生产过程、</w:t>
            </w:r>
          </w:p>
          <w:p w14:paraId="020C7AC7">
            <w:pPr>
              <w:pStyle w:val="178"/>
            </w:pPr>
            <w:r>
              <w:rPr>
                <w:rFonts w:hint="eastAsia"/>
              </w:rPr>
              <w:t>追溯管理等关键风险</w:t>
            </w:r>
          </w:p>
        </w:tc>
        <w:tc>
          <w:tcPr>
            <w:tcW w:w="980" w:type="dxa"/>
            <w:vAlign w:val="center"/>
          </w:tcPr>
          <w:p w14:paraId="33CEE76E">
            <w:pPr>
              <w:pStyle w:val="178"/>
            </w:pPr>
            <w:r>
              <w:rPr>
                <w:rFonts w:hint="eastAsia"/>
              </w:rPr>
              <w:t>8</w:t>
            </w:r>
          </w:p>
        </w:tc>
      </w:tr>
      <w:tr w14:paraId="4E8251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4FFF1B4">
            <w:pPr>
              <w:pStyle w:val="178"/>
            </w:pPr>
            <w:r>
              <w:rPr>
                <w:rFonts w:hint="eastAsia"/>
              </w:rPr>
              <w:t>检查计划适宜性</w:t>
            </w:r>
          </w:p>
        </w:tc>
        <w:tc>
          <w:tcPr>
            <w:tcW w:w="1701" w:type="dxa"/>
            <w:vAlign w:val="center"/>
          </w:tcPr>
          <w:p w14:paraId="39E84D20">
            <w:pPr>
              <w:pStyle w:val="178"/>
            </w:pPr>
            <w:r>
              <w:rPr>
                <w:rFonts w:hint="eastAsia"/>
              </w:rPr>
              <w:t>范围覆盖</w:t>
            </w:r>
          </w:p>
        </w:tc>
        <w:tc>
          <w:tcPr>
            <w:tcW w:w="4678" w:type="dxa"/>
            <w:vAlign w:val="center"/>
          </w:tcPr>
          <w:p w14:paraId="1FE38A16">
            <w:pPr>
              <w:pStyle w:val="178"/>
            </w:pPr>
            <w:r>
              <w:rPr>
                <w:rFonts w:hint="eastAsia"/>
              </w:rPr>
              <w:t>检查计划是否覆盖认证产品、基地、加工场所和关键环节</w:t>
            </w:r>
          </w:p>
        </w:tc>
        <w:tc>
          <w:tcPr>
            <w:tcW w:w="980" w:type="dxa"/>
            <w:vAlign w:val="center"/>
          </w:tcPr>
          <w:p w14:paraId="77353013">
            <w:pPr>
              <w:pStyle w:val="178"/>
            </w:pPr>
            <w:r>
              <w:rPr>
                <w:rFonts w:hint="eastAsia"/>
              </w:rPr>
              <w:t>8</w:t>
            </w:r>
          </w:p>
        </w:tc>
      </w:tr>
      <w:tr w14:paraId="45FC02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86C14D8">
            <w:pPr>
              <w:pStyle w:val="178"/>
            </w:pPr>
            <w:r>
              <w:rPr>
                <w:rFonts w:hint="eastAsia"/>
              </w:rPr>
              <w:t>检查计划适宜性</w:t>
            </w:r>
          </w:p>
        </w:tc>
        <w:tc>
          <w:tcPr>
            <w:tcW w:w="1701" w:type="dxa"/>
            <w:vAlign w:val="center"/>
          </w:tcPr>
          <w:p w14:paraId="65689A5A">
            <w:pPr>
              <w:pStyle w:val="178"/>
            </w:pPr>
            <w:r>
              <w:rPr>
                <w:rFonts w:hint="eastAsia"/>
              </w:rPr>
              <w:t>时间与分工</w:t>
            </w:r>
          </w:p>
        </w:tc>
        <w:tc>
          <w:tcPr>
            <w:tcW w:w="4678" w:type="dxa"/>
            <w:vAlign w:val="center"/>
          </w:tcPr>
          <w:p w14:paraId="78F66082">
            <w:pPr>
              <w:pStyle w:val="178"/>
            </w:pPr>
            <w:r>
              <w:rPr>
                <w:rFonts w:hint="eastAsia"/>
              </w:rPr>
              <w:t>检查时间、路线、人员分工是否合理</w:t>
            </w:r>
          </w:p>
        </w:tc>
        <w:tc>
          <w:tcPr>
            <w:tcW w:w="980" w:type="dxa"/>
            <w:vAlign w:val="center"/>
          </w:tcPr>
          <w:p w14:paraId="1EE1580F">
            <w:pPr>
              <w:pStyle w:val="178"/>
            </w:pPr>
            <w:r>
              <w:rPr>
                <w:rFonts w:hint="eastAsia"/>
              </w:rPr>
              <w:t>5</w:t>
            </w:r>
          </w:p>
        </w:tc>
      </w:tr>
      <w:tr w14:paraId="4EB17E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6FFCAEE6">
            <w:pPr>
              <w:pStyle w:val="178"/>
            </w:pPr>
            <w:r>
              <w:rPr>
                <w:rFonts w:hint="eastAsia"/>
              </w:rPr>
              <w:t>人员能力与独立性</w:t>
            </w:r>
          </w:p>
        </w:tc>
        <w:tc>
          <w:tcPr>
            <w:tcW w:w="1701" w:type="dxa"/>
            <w:vAlign w:val="center"/>
          </w:tcPr>
          <w:p w14:paraId="4BCEAF68">
            <w:pPr>
              <w:pStyle w:val="178"/>
            </w:pPr>
            <w:r>
              <w:rPr>
                <w:rFonts w:hint="eastAsia"/>
              </w:rPr>
              <w:t>专业能力</w:t>
            </w:r>
          </w:p>
        </w:tc>
        <w:tc>
          <w:tcPr>
            <w:tcW w:w="4678" w:type="dxa"/>
            <w:vAlign w:val="center"/>
          </w:tcPr>
          <w:p w14:paraId="532BFA61">
            <w:pPr>
              <w:pStyle w:val="178"/>
            </w:pPr>
            <w:r>
              <w:rPr>
                <w:rFonts w:hint="eastAsia"/>
              </w:rPr>
              <w:t>检查人员是否具备相应产品类别和认证规则能力</w:t>
            </w:r>
          </w:p>
        </w:tc>
        <w:tc>
          <w:tcPr>
            <w:tcW w:w="980" w:type="dxa"/>
            <w:vAlign w:val="center"/>
          </w:tcPr>
          <w:p w14:paraId="59312DA8">
            <w:pPr>
              <w:pStyle w:val="178"/>
            </w:pPr>
            <w:r>
              <w:rPr>
                <w:rFonts w:hint="eastAsia"/>
              </w:rPr>
              <w:t>6</w:t>
            </w:r>
          </w:p>
        </w:tc>
      </w:tr>
      <w:tr w14:paraId="471F27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0A580A68">
            <w:pPr>
              <w:pStyle w:val="178"/>
            </w:pPr>
            <w:r>
              <w:rPr>
                <w:rFonts w:hint="eastAsia"/>
              </w:rPr>
              <w:t>人员能力与独立性</w:t>
            </w:r>
          </w:p>
        </w:tc>
        <w:tc>
          <w:tcPr>
            <w:tcW w:w="1701" w:type="dxa"/>
            <w:vAlign w:val="center"/>
          </w:tcPr>
          <w:p w14:paraId="6E93E0EA">
            <w:pPr>
              <w:pStyle w:val="178"/>
            </w:pPr>
            <w:r>
              <w:rPr>
                <w:rFonts w:hint="eastAsia"/>
              </w:rPr>
              <w:t>公正性</w:t>
            </w:r>
          </w:p>
        </w:tc>
        <w:tc>
          <w:tcPr>
            <w:tcW w:w="4678" w:type="dxa"/>
            <w:vAlign w:val="center"/>
          </w:tcPr>
          <w:p w14:paraId="3A28667F">
            <w:pPr>
              <w:pStyle w:val="178"/>
            </w:pPr>
            <w:r>
              <w:rPr>
                <w:rFonts w:hint="eastAsia"/>
              </w:rPr>
              <w:t>是否存在利益冲突或应回避未回避情形</w:t>
            </w:r>
          </w:p>
        </w:tc>
        <w:tc>
          <w:tcPr>
            <w:tcW w:w="980" w:type="dxa"/>
            <w:vAlign w:val="center"/>
          </w:tcPr>
          <w:p w14:paraId="3AF0E8C9">
            <w:pPr>
              <w:pStyle w:val="178"/>
            </w:pPr>
            <w:r>
              <w:rPr>
                <w:rFonts w:hint="eastAsia"/>
              </w:rPr>
              <w:t>6</w:t>
            </w:r>
          </w:p>
        </w:tc>
      </w:tr>
      <w:tr w14:paraId="6D7268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114AD4AA">
            <w:pPr>
              <w:pStyle w:val="178"/>
            </w:pPr>
            <w:r>
              <w:rPr>
                <w:rFonts w:hint="eastAsia"/>
              </w:rPr>
              <w:t>现场实施规范性</w:t>
            </w:r>
          </w:p>
        </w:tc>
        <w:tc>
          <w:tcPr>
            <w:tcW w:w="1701" w:type="dxa"/>
            <w:vAlign w:val="center"/>
          </w:tcPr>
          <w:p w14:paraId="7ECD2804">
            <w:pPr>
              <w:pStyle w:val="178"/>
            </w:pPr>
            <w:r>
              <w:rPr>
                <w:rFonts w:hint="eastAsia"/>
              </w:rPr>
              <w:t>检查流程</w:t>
            </w:r>
          </w:p>
        </w:tc>
        <w:tc>
          <w:tcPr>
            <w:tcW w:w="4678" w:type="dxa"/>
            <w:vAlign w:val="center"/>
          </w:tcPr>
          <w:p w14:paraId="6C301F6E">
            <w:pPr>
              <w:pStyle w:val="178"/>
            </w:pPr>
            <w:r>
              <w:rPr>
                <w:rFonts w:hint="eastAsia"/>
              </w:rPr>
              <w:t>首次会议、现场核查、资料核查、问题确认、</w:t>
            </w:r>
          </w:p>
          <w:p w14:paraId="1F850C61">
            <w:pPr>
              <w:pStyle w:val="178"/>
            </w:pPr>
            <w:r>
              <w:rPr>
                <w:rFonts w:hint="eastAsia"/>
              </w:rPr>
              <w:t>末次会议是否完整</w:t>
            </w:r>
          </w:p>
        </w:tc>
        <w:tc>
          <w:tcPr>
            <w:tcW w:w="980" w:type="dxa"/>
            <w:vAlign w:val="center"/>
          </w:tcPr>
          <w:p w14:paraId="4E38A082">
            <w:pPr>
              <w:pStyle w:val="178"/>
            </w:pPr>
            <w:r>
              <w:rPr>
                <w:rFonts w:hint="eastAsia"/>
              </w:rPr>
              <w:t>8</w:t>
            </w:r>
          </w:p>
        </w:tc>
      </w:tr>
      <w:tr w14:paraId="7A3C02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927942F">
            <w:pPr>
              <w:pStyle w:val="178"/>
            </w:pPr>
            <w:r>
              <w:rPr>
                <w:rFonts w:hint="eastAsia"/>
              </w:rPr>
              <w:t>现场实施规范性</w:t>
            </w:r>
          </w:p>
        </w:tc>
        <w:tc>
          <w:tcPr>
            <w:tcW w:w="1701" w:type="dxa"/>
            <w:vAlign w:val="center"/>
          </w:tcPr>
          <w:p w14:paraId="5E6CC456">
            <w:pPr>
              <w:pStyle w:val="178"/>
            </w:pPr>
            <w:r>
              <w:rPr>
                <w:rFonts w:hint="eastAsia"/>
              </w:rPr>
              <w:t>现场核查</w:t>
            </w:r>
          </w:p>
        </w:tc>
        <w:tc>
          <w:tcPr>
            <w:tcW w:w="4678" w:type="dxa"/>
            <w:vAlign w:val="center"/>
          </w:tcPr>
          <w:p w14:paraId="0DB4FB5A">
            <w:pPr>
              <w:pStyle w:val="178"/>
            </w:pPr>
            <w:r>
              <w:rPr>
                <w:rFonts w:hint="eastAsia"/>
              </w:rPr>
              <w:t>是否进入关键现场并核查实物、记录和人员操作</w:t>
            </w:r>
          </w:p>
        </w:tc>
        <w:tc>
          <w:tcPr>
            <w:tcW w:w="980" w:type="dxa"/>
            <w:vAlign w:val="center"/>
          </w:tcPr>
          <w:p w14:paraId="731B5295">
            <w:pPr>
              <w:pStyle w:val="178"/>
            </w:pPr>
            <w:r>
              <w:rPr>
                <w:rFonts w:hint="eastAsia"/>
              </w:rPr>
              <w:t>8</w:t>
            </w:r>
          </w:p>
        </w:tc>
      </w:tr>
      <w:tr w14:paraId="61E562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6B3444F0">
            <w:pPr>
              <w:pStyle w:val="178"/>
            </w:pPr>
            <w:r>
              <w:rPr>
                <w:rFonts w:hint="eastAsia"/>
              </w:rPr>
              <w:t>检查覆盖完整性</w:t>
            </w:r>
          </w:p>
        </w:tc>
        <w:tc>
          <w:tcPr>
            <w:tcW w:w="1701" w:type="dxa"/>
            <w:vAlign w:val="center"/>
          </w:tcPr>
          <w:p w14:paraId="4F459536">
            <w:pPr>
              <w:pStyle w:val="178"/>
            </w:pPr>
            <w:r>
              <w:rPr>
                <w:rFonts w:hint="eastAsia"/>
              </w:rPr>
              <w:t>关键环节</w:t>
            </w:r>
          </w:p>
        </w:tc>
        <w:tc>
          <w:tcPr>
            <w:tcW w:w="4678" w:type="dxa"/>
            <w:vAlign w:val="center"/>
          </w:tcPr>
          <w:p w14:paraId="3B7A135B">
            <w:pPr>
              <w:pStyle w:val="178"/>
            </w:pPr>
            <w:r>
              <w:rPr>
                <w:rFonts w:hint="eastAsia"/>
              </w:rPr>
              <w:t>种植、养殖、加工、包装、贮运等关键环节是否覆盖</w:t>
            </w:r>
          </w:p>
        </w:tc>
        <w:tc>
          <w:tcPr>
            <w:tcW w:w="980" w:type="dxa"/>
            <w:vAlign w:val="center"/>
          </w:tcPr>
          <w:p w14:paraId="5545629F">
            <w:pPr>
              <w:pStyle w:val="178"/>
            </w:pPr>
            <w:r>
              <w:rPr>
                <w:rFonts w:hint="eastAsia"/>
              </w:rPr>
              <w:t>8</w:t>
            </w:r>
          </w:p>
        </w:tc>
      </w:tr>
      <w:tr w14:paraId="62E1E7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37FDC252">
            <w:pPr>
              <w:pStyle w:val="178"/>
            </w:pPr>
            <w:r>
              <w:rPr>
                <w:rFonts w:hint="eastAsia"/>
              </w:rPr>
              <w:t>检查证据充分性</w:t>
            </w:r>
          </w:p>
        </w:tc>
        <w:tc>
          <w:tcPr>
            <w:tcW w:w="1701" w:type="dxa"/>
            <w:vAlign w:val="center"/>
          </w:tcPr>
          <w:p w14:paraId="1D148BA6">
            <w:pPr>
              <w:pStyle w:val="178"/>
            </w:pPr>
            <w:r>
              <w:rPr>
                <w:rFonts w:hint="eastAsia"/>
              </w:rPr>
              <w:t>证据质量</w:t>
            </w:r>
          </w:p>
        </w:tc>
        <w:tc>
          <w:tcPr>
            <w:tcW w:w="4678" w:type="dxa"/>
            <w:vAlign w:val="center"/>
          </w:tcPr>
          <w:p w14:paraId="383E1A33">
            <w:pPr>
              <w:pStyle w:val="178"/>
            </w:pPr>
            <w:r>
              <w:rPr>
                <w:rFonts w:hint="eastAsia"/>
              </w:rPr>
              <w:t>证据是否真实、相关、充分、可追溯</w:t>
            </w:r>
          </w:p>
        </w:tc>
        <w:tc>
          <w:tcPr>
            <w:tcW w:w="980" w:type="dxa"/>
            <w:vAlign w:val="center"/>
          </w:tcPr>
          <w:p w14:paraId="417FE786">
            <w:pPr>
              <w:pStyle w:val="178"/>
            </w:pPr>
            <w:r>
              <w:rPr>
                <w:rFonts w:hint="eastAsia"/>
              </w:rPr>
              <w:t>10</w:t>
            </w:r>
          </w:p>
        </w:tc>
      </w:tr>
      <w:tr w14:paraId="11E34F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0F6ADD95">
            <w:pPr>
              <w:pStyle w:val="178"/>
            </w:pPr>
            <w:r>
              <w:rPr>
                <w:rFonts w:hint="eastAsia"/>
              </w:rPr>
              <w:t>风险点识别准确性</w:t>
            </w:r>
          </w:p>
        </w:tc>
        <w:tc>
          <w:tcPr>
            <w:tcW w:w="1701" w:type="dxa"/>
            <w:vAlign w:val="center"/>
          </w:tcPr>
          <w:p w14:paraId="11C36583">
            <w:pPr>
              <w:pStyle w:val="178"/>
            </w:pPr>
            <w:r>
              <w:rPr>
                <w:rFonts w:hint="eastAsia"/>
              </w:rPr>
              <w:t>重点风险</w:t>
            </w:r>
          </w:p>
        </w:tc>
        <w:tc>
          <w:tcPr>
            <w:tcW w:w="4678" w:type="dxa"/>
            <w:vAlign w:val="center"/>
          </w:tcPr>
          <w:p w14:paraId="7C034EF5">
            <w:pPr>
              <w:pStyle w:val="178"/>
            </w:pPr>
            <w:r>
              <w:rPr>
                <w:rFonts w:hint="eastAsia"/>
              </w:rPr>
              <w:t>是否准确识别禁限用投入品、环境风险、</w:t>
            </w:r>
          </w:p>
          <w:p w14:paraId="101A17E7">
            <w:pPr>
              <w:pStyle w:val="178"/>
            </w:pPr>
            <w:r>
              <w:rPr>
                <w:rFonts w:hint="eastAsia"/>
              </w:rPr>
              <w:t>记录真实性和追溯断点</w:t>
            </w:r>
          </w:p>
        </w:tc>
        <w:tc>
          <w:tcPr>
            <w:tcW w:w="980" w:type="dxa"/>
            <w:vAlign w:val="center"/>
          </w:tcPr>
          <w:p w14:paraId="5413AD11">
            <w:pPr>
              <w:pStyle w:val="178"/>
            </w:pPr>
            <w:r>
              <w:rPr>
                <w:rFonts w:hint="eastAsia"/>
              </w:rPr>
              <w:t>8</w:t>
            </w:r>
          </w:p>
        </w:tc>
      </w:tr>
      <w:tr w14:paraId="3E04AF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8623230">
            <w:pPr>
              <w:pStyle w:val="178"/>
            </w:pPr>
            <w:r>
              <w:rPr>
                <w:rFonts w:hint="eastAsia"/>
              </w:rPr>
              <w:t>不符合项判定准确性</w:t>
            </w:r>
          </w:p>
        </w:tc>
        <w:tc>
          <w:tcPr>
            <w:tcW w:w="1701" w:type="dxa"/>
            <w:vAlign w:val="center"/>
          </w:tcPr>
          <w:p w14:paraId="4A2C5366">
            <w:pPr>
              <w:pStyle w:val="178"/>
            </w:pPr>
            <w:r>
              <w:rPr>
                <w:rFonts w:hint="eastAsia"/>
              </w:rPr>
              <w:t>判定依据</w:t>
            </w:r>
          </w:p>
        </w:tc>
        <w:tc>
          <w:tcPr>
            <w:tcW w:w="4678" w:type="dxa"/>
            <w:vAlign w:val="center"/>
          </w:tcPr>
          <w:p w14:paraId="2188427A">
            <w:pPr>
              <w:pStyle w:val="178"/>
            </w:pPr>
            <w:r>
              <w:rPr>
                <w:rFonts w:hint="eastAsia"/>
              </w:rPr>
              <w:t>不符合项事实、依据、证据和影响范围是否清楚</w:t>
            </w:r>
          </w:p>
        </w:tc>
        <w:tc>
          <w:tcPr>
            <w:tcW w:w="980" w:type="dxa"/>
            <w:vAlign w:val="center"/>
          </w:tcPr>
          <w:p w14:paraId="036B14AC">
            <w:pPr>
              <w:pStyle w:val="178"/>
            </w:pPr>
            <w:r>
              <w:rPr>
                <w:rFonts w:hint="eastAsia"/>
              </w:rPr>
              <w:t>8</w:t>
            </w:r>
          </w:p>
        </w:tc>
      </w:tr>
      <w:tr w14:paraId="415EE8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54CD90FF">
            <w:pPr>
              <w:pStyle w:val="178"/>
            </w:pPr>
            <w:r>
              <w:rPr>
                <w:rFonts w:hint="eastAsia"/>
              </w:rPr>
              <w:t>记录与报告质量</w:t>
            </w:r>
          </w:p>
        </w:tc>
        <w:tc>
          <w:tcPr>
            <w:tcW w:w="1701" w:type="dxa"/>
            <w:vAlign w:val="center"/>
          </w:tcPr>
          <w:p w14:paraId="6D407C1F">
            <w:pPr>
              <w:pStyle w:val="178"/>
            </w:pPr>
            <w:r>
              <w:rPr>
                <w:rFonts w:hint="eastAsia"/>
              </w:rPr>
              <w:t>记录完整</w:t>
            </w:r>
          </w:p>
        </w:tc>
        <w:tc>
          <w:tcPr>
            <w:tcW w:w="4678" w:type="dxa"/>
            <w:vAlign w:val="center"/>
          </w:tcPr>
          <w:p w14:paraId="5DE6AA45">
            <w:pPr>
              <w:pStyle w:val="178"/>
            </w:pPr>
            <w:r>
              <w:rPr>
                <w:rFonts w:hint="eastAsia"/>
              </w:rPr>
              <w:t>检查记录是否真实、完整、清晰、无矛盾</w:t>
            </w:r>
          </w:p>
        </w:tc>
        <w:tc>
          <w:tcPr>
            <w:tcW w:w="980" w:type="dxa"/>
            <w:vAlign w:val="center"/>
          </w:tcPr>
          <w:p w14:paraId="751F0064">
            <w:pPr>
              <w:pStyle w:val="178"/>
            </w:pPr>
            <w:r>
              <w:rPr>
                <w:rFonts w:hint="eastAsia"/>
              </w:rPr>
              <w:t>6</w:t>
            </w:r>
          </w:p>
        </w:tc>
      </w:tr>
      <w:tr w14:paraId="4822DF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111017F">
            <w:pPr>
              <w:pStyle w:val="178"/>
            </w:pPr>
            <w:r>
              <w:rPr>
                <w:rFonts w:hint="eastAsia"/>
              </w:rPr>
              <w:t>记录与报告质量</w:t>
            </w:r>
          </w:p>
        </w:tc>
        <w:tc>
          <w:tcPr>
            <w:tcW w:w="1701" w:type="dxa"/>
            <w:vAlign w:val="center"/>
          </w:tcPr>
          <w:p w14:paraId="34735E5F">
            <w:pPr>
              <w:pStyle w:val="178"/>
            </w:pPr>
            <w:r>
              <w:rPr>
                <w:rFonts w:hint="eastAsia"/>
              </w:rPr>
              <w:t>报告支撑</w:t>
            </w:r>
          </w:p>
        </w:tc>
        <w:tc>
          <w:tcPr>
            <w:tcW w:w="4678" w:type="dxa"/>
            <w:vAlign w:val="center"/>
          </w:tcPr>
          <w:p w14:paraId="48F83874">
            <w:pPr>
              <w:pStyle w:val="178"/>
            </w:pPr>
            <w:r>
              <w:rPr>
                <w:rFonts w:hint="eastAsia"/>
              </w:rPr>
              <w:t>检查报告是否能够支撑认证决定</w:t>
            </w:r>
          </w:p>
        </w:tc>
        <w:tc>
          <w:tcPr>
            <w:tcW w:w="980" w:type="dxa"/>
            <w:vAlign w:val="center"/>
          </w:tcPr>
          <w:p w14:paraId="759AA117">
            <w:pPr>
              <w:pStyle w:val="178"/>
            </w:pPr>
            <w:r>
              <w:rPr>
                <w:rFonts w:hint="eastAsia"/>
              </w:rPr>
              <w:t>8</w:t>
            </w:r>
          </w:p>
        </w:tc>
      </w:tr>
      <w:tr w14:paraId="4F5E9E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CDA6EE3">
            <w:pPr>
              <w:pStyle w:val="178"/>
            </w:pPr>
            <w:r>
              <w:rPr>
                <w:rFonts w:hint="eastAsia"/>
              </w:rPr>
              <w:t>整改验证有效性</w:t>
            </w:r>
          </w:p>
        </w:tc>
        <w:tc>
          <w:tcPr>
            <w:tcW w:w="1701" w:type="dxa"/>
            <w:vAlign w:val="center"/>
          </w:tcPr>
          <w:p w14:paraId="62DCEADB">
            <w:pPr>
              <w:pStyle w:val="178"/>
            </w:pPr>
            <w:r>
              <w:rPr>
                <w:rFonts w:hint="eastAsia"/>
              </w:rPr>
              <w:t>验证充分</w:t>
            </w:r>
          </w:p>
        </w:tc>
        <w:tc>
          <w:tcPr>
            <w:tcW w:w="4678" w:type="dxa"/>
            <w:vAlign w:val="center"/>
          </w:tcPr>
          <w:p w14:paraId="502ABF14">
            <w:pPr>
              <w:pStyle w:val="178"/>
            </w:pPr>
            <w:r>
              <w:rPr>
                <w:rFonts w:hint="eastAsia"/>
              </w:rPr>
              <w:t>整改证据是否充分，重要问题是否经有效验证</w:t>
            </w:r>
          </w:p>
        </w:tc>
        <w:tc>
          <w:tcPr>
            <w:tcW w:w="980" w:type="dxa"/>
            <w:vAlign w:val="center"/>
          </w:tcPr>
          <w:p w14:paraId="12F15535">
            <w:pPr>
              <w:pStyle w:val="178"/>
            </w:pPr>
            <w:r>
              <w:rPr>
                <w:rFonts w:hint="eastAsia"/>
              </w:rPr>
              <w:t>6</w:t>
            </w:r>
          </w:p>
        </w:tc>
      </w:tr>
      <w:tr w14:paraId="42ACB4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975" w:type="dxa"/>
            <w:vAlign w:val="center"/>
          </w:tcPr>
          <w:p w14:paraId="7BE63E71">
            <w:pPr>
              <w:pStyle w:val="178"/>
            </w:pPr>
            <w:r>
              <w:rPr>
                <w:rFonts w:hint="eastAsia"/>
              </w:rPr>
              <w:t>档案与追溯</w:t>
            </w:r>
          </w:p>
        </w:tc>
        <w:tc>
          <w:tcPr>
            <w:tcW w:w="1701" w:type="dxa"/>
            <w:vAlign w:val="center"/>
          </w:tcPr>
          <w:p w14:paraId="4AF6740E">
            <w:pPr>
              <w:pStyle w:val="178"/>
            </w:pPr>
            <w:r>
              <w:rPr>
                <w:rFonts w:hint="eastAsia"/>
              </w:rPr>
              <w:t>资料归档</w:t>
            </w:r>
          </w:p>
        </w:tc>
        <w:tc>
          <w:tcPr>
            <w:tcW w:w="4678" w:type="dxa"/>
            <w:vAlign w:val="center"/>
          </w:tcPr>
          <w:p w14:paraId="6BCF126D">
            <w:pPr>
              <w:pStyle w:val="178"/>
            </w:pPr>
            <w:r>
              <w:rPr>
                <w:rFonts w:hint="eastAsia"/>
              </w:rPr>
              <w:t>检查和评价资料是否完整归档并可追溯</w:t>
            </w:r>
          </w:p>
        </w:tc>
        <w:tc>
          <w:tcPr>
            <w:tcW w:w="980" w:type="dxa"/>
            <w:vAlign w:val="center"/>
          </w:tcPr>
          <w:p w14:paraId="0202DB88">
            <w:pPr>
              <w:pStyle w:val="178"/>
            </w:pPr>
            <w:r>
              <w:rPr>
                <w:rFonts w:hint="eastAsia"/>
              </w:rPr>
              <w:t>3</w:t>
            </w:r>
          </w:p>
        </w:tc>
      </w:tr>
    </w:tbl>
    <w:p w14:paraId="7164D842">
      <w:pPr>
        <w:pStyle w:val="211"/>
        <w:spacing w:before="120" w:beforeLines="50" w:line="360" w:lineRule="auto"/>
      </w:pPr>
      <w:r>
        <w:t>表A.1总分为100分。评价单位可根据检查类型、产品类别和风险等级调整分值，但应在评价前明确调整规则。</w:t>
      </w:r>
    </w:p>
    <w:p w14:paraId="2F4240D3">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5787B13D">
      <w:pPr>
        <w:pStyle w:val="198"/>
        <w:rPr>
          <w:rFonts w:hint="eastAsia"/>
        </w:rPr>
      </w:pPr>
    </w:p>
    <w:p w14:paraId="50A9406C">
      <w:pPr>
        <w:pStyle w:val="199"/>
      </w:pPr>
    </w:p>
    <w:p w14:paraId="1888E6F2">
      <w:pPr>
        <w:pStyle w:val="76"/>
        <w:spacing w:after="120" w:line="360" w:lineRule="auto"/>
      </w:pPr>
      <w:r>
        <w:br w:type="textWrapping"/>
      </w:r>
      <w:bookmarkStart w:id="62" w:name="_Toc228607141"/>
      <w:r>
        <w:rPr>
          <w:rFonts w:hint="eastAsia"/>
        </w:rPr>
        <w:t>（资料性）</w:t>
      </w:r>
      <w:r>
        <w:br w:type="textWrapping"/>
      </w:r>
      <w:r>
        <w:rPr>
          <w:rFonts w:hint="eastAsia"/>
        </w:rPr>
        <w:t>现场检查质量问题整改验证记录表</w:t>
      </w:r>
      <w:bookmarkEnd w:id="62"/>
    </w:p>
    <w:p w14:paraId="4356B6AD">
      <w:pPr>
        <w:pStyle w:val="211"/>
        <w:spacing w:line="360" w:lineRule="auto"/>
      </w:pPr>
      <w:r>
        <w:t>现场检查质量问题整改验证记录可按表B.1执行。</w:t>
      </w:r>
    </w:p>
    <w:p w14:paraId="54C26516">
      <w:pPr>
        <w:pStyle w:val="77"/>
        <w:spacing w:before="120" w:after="120" w:line="360" w:lineRule="auto"/>
      </w:pPr>
      <w:r>
        <w:t>现场检查质量问题整改验证记录表</w:t>
      </w:r>
    </w:p>
    <w:tbl>
      <w:tblPr>
        <w:tblStyle w:val="2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
        <w:gridCol w:w="1166"/>
        <w:gridCol w:w="1166"/>
        <w:gridCol w:w="1167"/>
        <w:gridCol w:w="1167"/>
        <w:gridCol w:w="1167"/>
        <w:gridCol w:w="1167"/>
        <w:gridCol w:w="1167"/>
        <w:gridCol w:w="1171"/>
      </w:tblGrid>
      <w:tr w14:paraId="46DA5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5"/>
          </w:tcPr>
          <w:p w14:paraId="22FB7545">
            <w:pPr>
              <w:pStyle w:val="56"/>
              <w:ind w:firstLine="0" w:firstLineChars="0"/>
              <w:rPr>
                <w:sz w:val="18"/>
                <w:szCs w:val="18"/>
              </w:rPr>
            </w:pPr>
            <w:r>
              <w:rPr>
                <w:rFonts w:hint="eastAsia"/>
                <w:sz w:val="18"/>
                <w:szCs w:val="18"/>
              </w:rPr>
              <w:t>认证项目：_________</w:t>
            </w:r>
          </w:p>
        </w:tc>
        <w:tc>
          <w:tcPr>
            <w:tcW w:w="4672" w:type="dxa"/>
            <w:gridSpan w:val="4"/>
            <w:vAlign w:val="center"/>
          </w:tcPr>
          <w:p w14:paraId="23CE9296">
            <w:pPr>
              <w:pStyle w:val="56"/>
              <w:ind w:firstLine="0" w:firstLineChars="0"/>
              <w:jc w:val="right"/>
              <w:rPr>
                <w:sz w:val="18"/>
                <w:szCs w:val="18"/>
              </w:rPr>
            </w:pPr>
            <w:r>
              <w:rPr>
                <w:sz w:val="18"/>
                <w:szCs w:val="18"/>
              </w:rPr>
              <w:t>产品类别</w:t>
            </w:r>
            <w:r>
              <w:rPr>
                <w:rFonts w:hint="eastAsia"/>
                <w:sz w:val="18"/>
                <w:szCs w:val="18"/>
              </w:rPr>
              <w:t>：_________</w:t>
            </w:r>
          </w:p>
        </w:tc>
      </w:tr>
      <w:tr w14:paraId="24083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5"/>
          </w:tcPr>
          <w:p w14:paraId="41959DBC">
            <w:pPr>
              <w:pStyle w:val="56"/>
              <w:ind w:firstLine="0" w:firstLineChars="0"/>
              <w:rPr>
                <w:sz w:val="18"/>
                <w:szCs w:val="18"/>
              </w:rPr>
            </w:pPr>
            <w:r>
              <w:rPr>
                <w:rFonts w:hint="eastAsia"/>
                <w:sz w:val="18"/>
                <w:szCs w:val="18"/>
              </w:rPr>
              <w:t>检查类型：_________</w:t>
            </w:r>
          </w:p>
        </w:tc>
        <w:tc>
          <w:tcPr>
            <w:tcW w:w="4672" w:type="dxa"/>
            <w:gridSpan w:val="4"/>
            <w:vAlign w:val="center"/>
          </w:tcPr>
          <w:p w14:paraId="23D10061">
            <w:pPr>
              <w:pStyle w:val="56"/>
              <w:ind w:firstLine="0" w:firstLineChars="0"/>
              <w:jc w:val="right"/>
              <w:rPr>
                <w:sz w:val="18"/>
                <w:szCs w:val="18"/>
              </w:rPr>
            </w:pPr>
            <w:r>
              <w:rPr>
                <w:sz w:val="18"/>
                <w:szCs w:val="18"/>
              </w:rPr>
              <w:t>检查日期</w:t>
            </w:r>
            <w:r>
              <w:rPr>
                <w:rFonts w:hint="eastAsia"/>
                <w:sz w:val="18"/>
                <w:szCs w:val="18"/>
              </w:rPr>
              <w:t>：_________</w:t>
            </w:r>
          </w:p>
        </w:tc>
      </w:tr>
      <w:tr w14:paraId="1F330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5"/>
          </w:tcPr>
          <w:p w14:paraId="6B13C9E4">
            <w:pPr>
              <w:pStyle w:val="56"/>
              <w:ind w:firstLine="0" w:firstLineChars="0"/>
              <w:rPr>
                <w:sz w:val="18"/>
                <w:szCs w:val="18"/>
              </w:rPr>
            </w:pPr>
            <w:r>
              <w:rPr>
                <w:rFonts w:hint="eastAsia"/>
                <w:sz w:val="18"/>
                <w:szCs w:val="18"/>
              </w:rPr>
              <w:t>评价日期：_________</w:t>
            </w:r>
          </w:p>
        </w:tc>
        <w:tc>
          <w:tcPr>
            <w:tcW w:w="4672" w:type="dxa"/>
            <w:gridSpan w:val="4"/>
            <w:vAlign w:val="center"/>
          </w:tcPr>
          <w:p w14:paraId="71352756">
            <w:pPr>
              <w:pStyle w:val="56"/>
              <w:ind w:firstLine="0" w:firstLineChars="0"/>
              <w:jc w:val="right"/>
              <w:rPr>
                <w:sz w:val="18"/>
                <w:szCs w:val="18"/>
              </w:rPr>
            </w:pPr>
            <w:r>
              <w:rPr>
                <w:sz w:val="18"/>
                <w:szCs w:val="18"/>
              </w:rPr>
              <w:t>验证日期</w:t>
            </w:r>
            <w:r>
              <w:rPr>
                <w:rFonts w:hint="eastAsia"/>
                <w:sz w:val="18"/>
                <w:szCs w:val="18"/>
              </w:rPr>
              <w:t>：_________</w:t>
            </w:r>
          </w:p>
        </w:tc>
      </w:tr>
      <w:tr w14:paraId="28C4E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5"/>
          </w:tcPr>
          <w:p w14:paraId="03200FCA">
            <w:pPr>
              <w:pStyle w:val="56"/>
              <w:ind w:firstLine="0" w:firstLineChars="0"/>
              <w:rPr>
                <w:sz w:val="18"/>
                <w:szCs w:val="18"/>
              </w:rPr>
            </w:pPr>
            <w:r>
              <w:rPr>
                <w:rFonts w:hint="eastAsia"/>
                <w:sz w:val="18"/>
                <w:szCs w:val="18"/>
              </w:rPr>
              <w:t>责任人员：_________</w:t>
            </w:r>
          </w:p>
        </w:tc>
        <w:tc>
          <w:tcPr>
            <w:tcW w:w="4672" w:type="dxa"/>
            <w:gridSpan w:val="4"/>
            <w:vAlign w:val="center"/>
          </w:tcPr>
          <w:p w14:paraId="000A5E00">
            <w:pPr>
              <w:pStyle w:val="56"/>
              <w:ind w:firstLine="0" w:firstLineChars="0"/>
              <w:jc w:val="right"/>
              <w:rPr>
                <w:sz w:val="18"/>
                <w:szCs w:val="18"/>
              </w:rPr>
            </w:pPr>
            <w:r>
              <w:rPr>
                <w:sz w:val="18"/>
                <w:szCs w:val="18"/>
              </w:rPr>
              <w:t>验证人员</w:t>
            </w:r>
            <w:r>
              <w:rPr>
                <w:rFonts w:hint="eastAsia"/>
                <w:sz w:val="18"/>
                <w:szCs w:val="18"/>
              </w:rPr>
              <w:t>：_________</w:t>
            </w:r>
          </w:p>
        </w:tc>
      </w:tr>
      <w:tr w14:paraId="32EAD7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tblHeader/>
          <w:jc w:val="center"/>
        </w:trPr>
        <w:tc>
          <w:tcPr>
            <w:tcW w:w="1166" w:type="dxa"/>
            <w:tcBorders>
              <w:top w:val="single" w:color="auto" w:sz="8" w:space="0"/>
              <w:bottom w:val="single" w:color="auto" w:sz="8" w:space="0"/>
            </w:tcBorders>
            <w:vAlign w:val="center"/>
          </w:tcPr>
          <w:p w14:paraId="36BA2059">
            <w:pPr>
              <w:pStyle w:val="178"/>
            </w:pPr>
            <w:r>
              <w:rPr>
                <w:rFonts w:hint="eastAsia"/>
              </w:rPr>
              <w:t>问题编号</w:t>
            </w:r>
          </w:p>
        </w:tc>
        <w:tc>
          <w:tcPr>
            <w:tcW w:w="1166" w:type="dxa"/>
            <w:tcBorders>
              <w:top w:val="single" w:color="auto" w:sz="8" w:space="0"/>
              <w:bottom w:val="single" w:color="auto" w:sz="8" w:space="0"/>
            </w:tcBorders>
            <w:vAlign w:val="center"/>
          </w:tcPr>
          <w:p w14:paraId="1D77D9D7">
            <w:pPr>
              <w:pStyle w:val="178"/>
            </w:pPr>
            <w:r>
              <w:rPr>
                <w:rFonts w:hint="eastAsia"/>
              </w:rPr>
              <w:t>问题描述</w:t>
            </w:r>
          </w:p>
        </w:tc>
        <w:tc>
          <w:tcPr>
            <w:tcW w:w="1167" w:type="dxa"/>
            <w:tcBorders>
              <w:top w:val="single" w:color="auto" w:sz="8" w:space="0"/>
              <w:bottom w:val="single" w:color="auto" w:sz="8" w:space="0"/>
            </w:tcBorders>
            <w:vAlign w:val="center"/>
          </w:tcPr>
          <w:p w14:paraId="19ECC8FA">
            <w:pPr>
              <w:pStyle w:val="178"/>
            </w:pPr>
            <w:r>
              <w:rPr>
                <w:rFonts w:hint="eastAsia"/>
              </w:rPr>
              <w:t>问题等级</w:t>
            </w:r>
          </w:p>
        </w:tc>
        <w:tc>
          <w:tcPr>
            <w:tcW w:w="1167" w:type="dxa"/>
            <w:tcBorders>
              <w:top w:val="single" w:color="auto" w:sz="8" w:space="0"/>
              <w:bottom w:val="single" w:color="auto" w:sz="8" w:space="0"/>
            </w:tcBorders>
            <w:vAlign w:val="center"/>
          </w:tcPr>
          <w:p w14:paraId="2BE6D751">
            <w:pPr>
              <w:pStyle w:val="178"/>
            </w:pPr>
            <w:r>
              <w:rPr>
                <w:rFonts w:hint="eastAsia"/>
              </w:rPr>
              <w:t>整改措施</w:t>
            </w:r>
          </w:p>
        </w:tc>
        <w:tc>
          <w:tcPr>
            <w:tcW w:w="1167" w:type="dxa"/>
            <w:tcBorders>
              <w:top w:val="single" w:color="auto" w:sz="8" w:space="0"/>
              <w:bottom w:val="single" w:color="auto" w:sz="8" w:space="0"/>
            </w:tcBorders>
            <w:vAlign w:val="center"/>
          </w:tcPr>
          <w:p w14:paraId="51DF169E">
            <w:pPr>
              <w:pStyle w:val="178"/>
            </w:pPr>
            <w:r>
              <w:rPr>
                <w:rFonts w:hint="eastAsia"/>
              </w:rPr>
              <w:t>验证方式</w:t>
            </w:r>
          </w:p>
        </w:tc>
        <w:tc>
          <w:tcPr>
            <w:tcW w:w="1167" w:type="dxa"/>
            <w:tcBorders>
              <w:top w:val="single" w:color="auto" w:sz="8" w:space="0"/>
              <w:bottom w:val="single" w:color="auto" w:sz="8" w:space="0"/>
            </w:tcBorders>
            <w:vAlign w:val="center"/>
          </w:tcPr>
          <w:p w14:paraId="76737D38">
            <w:pPr>
              <w:pStyle w:val="178"/>
            </w:pPr>
            <w:r>
              <w:rPr>
                <w:rFonts w:hint="eastAsia"/>
              </w:rPr>
              <w:t>验证证据</w:t>
            </w:r>
          </w:p>
        </w:tc>
        <w:tc>
          <w:tcPr>
            <w:tcW w:w="1167" w:type="dxa"/>
            <w:tcBorders>
              <w:top w:val="single" w:color="auto" w:sz="8" w:space="0"/>
              <w:bottom w:val="single" w:color="auto" w:sz="8" w:space="0"/>
            </w:tcBorders>
            <w:vAlign w:val="center"/>
          </w:tcPr>
          <w:p w14:paraId="4797B4AB">
            <w:pPr>
              <w:pStyle w:val="178"/>
            </w:pPr>
            <w:r>
              <w:rPr>
                <w:rFonts w:hint="eastAsia"/>
              </w:rPr>
              <w:t>验证结论</w:t>
            </w:r>
          </w:p>
        </w:tc>
        <w:tc>
          <w:tcPr>
            <w:tcW w:w="1167" w:type="dxa"/>
            <w:tcBorders>
              <w:top w:val="single" w:color="auto" w:sz="8" w:space="0"/>
              <w:bottom w:val="single" w:color="auto" w:sz="8" w:space="0"/>
            </w:tcBorders>
            <w:vAlign w:val="center"/>
          </w:tcPr>
          <w:p w14:paraId="21FAF08B">
            <w:pPr>
              <w:pStyle w:val="178"/>
            </w:pPr>
            <w:r>
              <w:rPr>
                <w:rFonts w:hint="eastAsia"/>
              </w:rPr>
              <w:t>是否关闭</w:t>
            </w:r>
          </w:p>
        </w:tc>
      </w:tr>
      <w:tr w14:paraId="05C74C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1166" w:type="dxa"/>
            <w:tcBorders>
              <w:top w:val="single" w:color="auto" w:sz="8" w:space="0"/>
            </w:tcBorders>
            <w:vAlign w:val="center"/>
          </w:tcPr>
          <w:p w14:paraId="766C05E7">
            <w:pPr>
              <w:pStyle w:val="178"/>
            </w:pPr>
          </w:p>
        </w:tc>
        <w:tc>
          <w:tcPr>
            <w:tcW w:w="1166" w:type="dxa"/>
            <w:tcBorders>
              <w:top w:val="single" w:color="auto" w:sz="8" w:space="0"/>
            </w:tcBorders>
            <w:vAlign w:val="center"/>
          </w:tcPr>
          <w:p w14:paraId="292B73B1">
            <w:pPr>
              <w:pStyle w:val="178"/>
            </w:pPr>
          </w:p>
        </w:tc>
        <w:tc>
          <w:tcPr>
            <w:tcW w:w="1167" w:type="dxa"/>
            <w:tcBorders>
              <w:top w:val="single" w:color="auto" w:sz="8" w:space="0"/>
            </w:tcBorders>
            <w:vAlign w:val="center"/>
          </w:tcPr>
          <w:p w14:paraId="539B7F8C">
            <w:pPr>
              <w:pStyle w:val="178"/>
            </w:pPr>
            <w:r>
              <w:rPr>
                <w:rFonts w:hint="eastAsia"/>
              </w:rPr>
              <w:t>□重大</w:t>
            </w:r>
          </w:p>
          <w:p w14:paraId="6D5848A6">
            <w:pPr>
              <w:pStyle w:val="178"/>
            </w:pPr>
            <w:r>
              <w:rPr>
                <w:rFonts w:hint="eastAsia"/>
              </w:rPr>
              <w:t>□较大</w:t>
            </w:r>
          </w:p>
          <w:p w14:paraId="0302220C">
            <w:pPr>
              <w:pStyle w:val="178"/>
            </w:pPr>
            <w:r>
              <w:rPr>
                <w:rFonts w:hint="eastAsia"/>
              </w:rPr>
              <w:t>□一般</w:t>
            </w:r>
          </w:p>
        </w:tc>
        <w:tc>
          <w:tcPr>
            <w:tcW w:w="1167" w:type="dxa"/>
            <w:tcBorders>
              <w:top w:val="single" w:color="auto" w:sz="8" w:space="0"/>
            </w:tcBorders>
            <w:vAlign w:val="center"/>
          </w:tcPr>
          <w:p w14:paraId="03E0EA8C">
            <w:pPr>
              <w:pStyle w:val="178"/>
            </w:pPr>
          </w:p>
        </w:tc>
        <w:tc>
          <w:tcPr>
            <w:tcW w:w="1167" w:type="dxa"/>
            <w:tcBorders>
              <w:top w:val="single" w:color="auto" w:sz="8" w:space="0"/>
            </w:tcBorders>
            <w:vAlign w:val="center"/>
          </w:tcPr>
          <w:p w14:paraId="6692BB93">
            <w:pPr>
              <w:pStyle w:val="178"/>
            </w:pPr>
            <w:r>
              <w:rPr>
                <w:rFonts w:hint="eastAsia"/>
              </w:rPr>
              <w:t>□资料复核 □报告复核 □人员访谈 □现场复查 □重新评价</w:t>
            </w:r>
          </w:p>
        </w:tc>
        <w:tc>
          <w:tcPr>
            <w:tcW w:w="1167" w:type="dxa"/>
            <w:tcBorders>
              <w:top w:val="single" w:color="auto" w:sz="8" w:space="0"/>
            </w:tcBorders>
            <w:vAlign w:val="center"/>
          </w:tcPr>
          <w:p w14:paraId="2632E883">
            <w:pPr>
              <w:pStyle w:val="178"/>
            </w:pPr>
          </w:p>
        </w:tc>
        <w:tc>
          <w:tcPr>
            <w:tcW w:w="1167" w:type="dxa"/>
            <w:tcBorders>
              <w:top w:val="single" w:color="auto" w:sz="8" w:space="0"/>
            </w:tcBorders>
            <w:vAlign w:val="center"/>
          </w:tcPr>
          <w:p w14:paraId="0A0EA649">
            <w:pPr>
              <w:pStyle w:val="178"/>
            </w:pPr>
          </w:p>
        </w:tc>
        <w:tc>
          <w:tcPr>
            <w:tcW w:w="1167" w:type="dxa"/>
            <w:tcBorders>
              <w:top w:val="single" w:color="auto" w:sz="8" w:space="0"/>
            </w:tcBorders>
            <w:vAlign w:val="center"/>
          </w:tcPr>
          <w:p w14:paraId="6F0DF6F0">
            <w:pPr>
              <w:pStyle w:val="178"/>
            </w:pPr>
            <w:r>
              <w:rPr>
                <w:rFonts w:hint="eastAsia"/>
              </w:rPr>
              <w:t>□是 □否</w:t>
            </w:r>
          </w:p>
        </w:tc>
      </w:tr>
      <w:tr w14:paraId="3B7317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1166" w:type="dxa"/>
            <w:vAlign w:val="center"/>
          </w:tcPr>
          <w:p w14:paraId="49D91DDF">
            <w:pPr>
              <w:pStyle w:val="178"/>
            </w:pPr>
          </w:p>
        </w:tc>
        <w:tc>
          <w:tcPr>
            <w:tcW w:w="1166" w:type="dxa"/>
            <w:vAlign w:val="center"/>
          </w:tcPr>
          <w:p w14:paraId="295BDAF7">
            <w:pPr>
              <w:pStyle w:val="178"/>
            </w:pPr>
          </w:p>
        </w:tc>
        <w:tc>
          <w:tcPr>
            <w:tcW w:w="1167" w:type="dxa"/>
            <w:vAlign w:val="center"/>
          </w:tcPr>
          <w:p w14:paraId="2B76B434">
            <w:pPr>
              <w:pStyle w:val="178"/>
            </w:pPr>
            <w:r>
              <w:rPr>
                <w:rFonts w:hint="eastAsia"/>
              </w:rPr>
              <w:t>□重大</w:t>
            </w:r>
          </w:p>
          <w:p w14:paraId="566D6302">
            <w:pPr>
              <w:pStyle w:val="178"/>
            </w:pPr>
            <w:r>
              <w:rPr>
                <w:rFonts w:hint="eastAsia"/>
              </w:rPr>
              <w:t>□较大</w:t>
            </w:r>
          </w:p>
          <w:p w14:paraId="43EBFF3C">
            <w:pPr>
              <w:pStyle w:val="178"/>
            </w:pPr>
            <w:r>
              <w:rPr>
                <w:rFonts w:hint="eastAsia"/>
              </w:rPr>
              <w:t>□一般</w:t>
            </w:r>
          </w:p>
        </w:tc>
        <w:tc>
          <w:tcPr>
            <w:tcW w:w="1167" w:type="dxa"/>
            <w:vAlign w:val="center"/>
          </w:tcPr>
          <w:p w14:paraId="4FAB81E7">
            <w:pPr>
              <w:pStyle w:val="178"/>
            </w:pPr>
          </w:p>
        </w:tc>
        <w:tc>
          <w:tcPr>
            <w:tcW w:w="1167" w:type="dxa"/>
            <w:vAlign w:val="center"/>
          </w:tcPr>
          <w:p w14:paraId="01A36459">
            <w:pPr>
              <w:pStyle w:val="178"/>
            </w:pPr>
            <w:r>
              <w:rPr>
                <w:rFonts w:hint="eastAsia"/>
              </w:rPr>
              <w:t>□资料复核 □报告复核 □人员访谈 □现场复查 □重新评价</w:t>
            </w:r>
          </w:p>
        </w:tc>
        <w:tc>
          <w:tcPr>
            <w:tcW w:w="1167" w:type="dxa"/>
            <w:vAlign w:val="center"/>
          </w:tcPr>
          <w:p w14:paraId="744D4D3F">
            <w:pPr>
              <w:pStyle w:val="178"/>
            </w:pPr>
          </w:p>
        </w:tc>
        <w:tc>
          <w:tcPr>
            <w:tcW w:w="1167" w:type="dxa"/>
            <w:vAlign w:val="center"/>
          </w:tcPr>
          <w:p w14:paraId="54995C74">
            <w:pPr>
              <w:pStyle w:val="178"/>
            </w:pPr>
          </w:p>
        </w:tc>
        <w:tc>
          <w:tcPr>
            <w:tcW w:w="1167" w:type="dxa"/>
            <w:vAlign w:val="center"/>
          </w:tcPr>
          <w:p w14:paraId="1A7CA92E">
            <w:pPr>
              <w:pStyle w:val="178"/>
            </w:pPr>
            <w:r>
              <w:rPr>
                <w:rFonts w:hint="eastAsia"/>
              </w:rPr>
              <w:t>□是 □否</w:t>
            </w:r>
          </w:p>
        </w:tc>
      </w:tr>
      <w:tr w14:paraId="2A7501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1166" w:type="dxa"/>
            <w:vAlign w:val="center"/>
          </w:tcPr>
          <w:p w14:paraId="49645E33">
            <w:pPr>
              <w:pStyle w:val="178"/>
            </w:pPr>
          </w:p>
        </w:tc>
        <w:tc>
          <w:tcPr>
            <w:tcW w:w="1166" w:type="dxa"/>
            <w:vAlign w:val="center"/>
          </w:tcPr>
          <w:p w14:paraId="2A7E9EC0">
            <w:pPr>
              <w:pStyle w:val="178"/>
            </w:pPr>
          </w:p>
        </w:tc>
        <w:tc>
          <w:tcPr>
            <w:tcW w:w="1167" w:type="dxa"/>
            <w:vAlign w:val="center"/>
          </w:tcPr>
          <w:p w14:paraId="4012060D">
            <w:pPr>
              <w:pStyle w:val="178"/>
            </w:pPr>
            <w:r>
              <w:rPr>
                <w:rFonts w:hint="eastAsia"/>
              </w:rPr>
              <w:t>□重大</w:t>
            </w:r>
          </w:p>
          <w:p w14:paraId="6977ECD1">
            <w:pPr>
              <w:pStyle w:val="178"/>
            </w:pPr>
            <w:r>
              <w:rPr>
                <w:rFonts w:hint="eastAsia"/>
              </w:rPr>
              <w:t>□较大</w:t>
            </w:r>
          </w:p>
          <w:p w14:paraId="569CE585">
            <w:pPr>
              <w:pStyle w:val="178"/>
            </w:pPr>
            <w:r>
              <w:rPr>
                <w:rFonts w:hint="eastAsia"/>
              </w:rPr>
              <w:t>□一般</w:t>
            </w:r>
          </w:p>
        </w:tc>
        <w:tc>
          <w:tcPr>
            <w:tcW w:w="1167" w:type="dxa"/>
            <w:vAlign w:val="center"/>
          </w:tcPr>
          <w:p w14:paraId="5C1DFAE1">
            <w:pPr>
              <w:pStyle w:val="178"/>
            </w:pPr>
          </w:p>
        </w:tc>
        <w:tc>
          <w:tcPr>
            <w:tcW w:w="1167" w:type="dxa"/>
            <w:vAlign w:val="center"/>
          </w:tcPr>
          <w:p w14:paraId="052E623C">
            <w:pPr>
              <w:pStyle w:val="178"/>
            </w:pPr>
            <w:r>
              <w:rPr>
                <w:rFonts w:hint="eastAsia"/>
              </w:rPr>
              <w:t>□资料复核 □报告复核 □人员访谈 □现场复查 □重新评价</w:t>
            </w:r>
          </w:p>
        </w:tc>
        <w:tc>
          <w:tcPr>
            <w:tcW w:w="1167" w:type="dxa"/>
            <w:vAlign w:val="center"/>
          </w:tcPr>
          <w:p w14:paraId="5F7B38C4">
            <w:pPr>
              <w:pStyle w:val="178"/>
            </w:pPr>
          </w:p>
        </w:tc>
        <w:tc>
          <w:tcPr>
            <w:tcW w:w="1167" w:type="dxa"/>
            <w:vAlign w:val="center"/>
          </w:tcPr>
          <w:p w14:paraId="153D8E0C">
            <w:pPr>
              <w:pStyle w:val="178"/>
            </w:pPr>
          </w:p>
        </w:tc>
        <w:tc>
          <w:tcPr>
            <w:tcW w:w="1167" w:type="dxa"/>
            <w:vAlign w:val="center"/>
          </w:tcPr>
          <w:p w14:paraId="757F29D7">
            <w:pPr>
              <w:pStyle w:val="178"/>
            </w:pPr>
            <w:r>
              <w:rPr>
                <w:rFonts w:hint="eastAsia"/>
              </w:rPr>
              <w:t>□是 □否</w:t>
            </w:r>
          </w:p>
        </w:tc>
      </w:tr>
    </w:tbl>
    <w:p w14:paraId="2A5F669A">
      <w:pPr>
        <w:pStyle w:val="211"/>
        <w:spacing w:before="120" w:beforeLines="50"/>
      </w:pPr>
      <w:r>
        <w:t>整改验证未通过的，应重新制定整改措施，并应保持问题未关闭状态。</w:t>
      </w:r>
    </w:p>
    <w:bookmarkEnd w:id="60"/>
    <w:p w14:paraId="2A0EB8AD">
      <w:pPr>
        <w:pStyle w:val="211"/>
        <w:spacing w:before="120" w:beforeLines="5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bookmarkStart w:id="63" w:name="BookMark6"/>
    </w:p>
    <w:p w14:paraId="634E7692">
      <w:pPr>
        <w:pStyle w:val="63"/>
        <w:spacing w:after="120" w:line="360" w:lineRule="auto"/>
      </w:pPr>
      <w:bookmarkStart w:id="64" w:name="_Toc228607142"/>
      <w:r>
        <w:rPr>
          <w:rFonts w:hint="eastAsia"/>
          <w:spacing w:val="105"/>
        </w:rPr>
        <w:t>参考文</w:t>
      </w:r>
      <w:r>
        <w:rPr>
          <w:rFonts w:hint="eastAsia"/>
        </w:rPr>
        <w:t>献</w:t>
      </w:r>
      <w:bookmarkEnd w:id="64"/>
    </w:p>
    <w:p w14:paraId="5E7DB16B">
      <w:pPr>
        <w:pStyle w:val="56"/>
        <w:spacing w:line="360" w:lineRule="auto"/>
        <w:ind w:firstLine="420"/>
      </w:pPr>
      <w:r>
        <w:rPr>
          <w:rFonts w:hint="eastAsia"/>
        </w:rPr>
        <w:t>[1] GB/T 1.1 标准化工作导则 第1部分：标准化文件的结构和起草规则</w:t>
      </w:r>
    </w:p>
    <w:p w14:paraId="170C4584">
      <w:pPr>
        <w:pStyle w:val="56"/>
        <w:spacing w:line="360" w:lineRule="auto"/>
        <w:ind w:firstLine="420"/>
      </w:pPr>
      <w:r>
        <w:rPr>
          <w:rFonts w:hint="eastAsia"/>
        </w:rPr>
        <w:t>[2] GB/T 19001 质量管理体系 要求</w:t>
      </w:r>
    </w:p>
    <w:p w14:paraId="4CD3A528">
      <w:pPr>
        <w:pStyle w:val="56"/>
        <w:spacing w:line="360" w:lineRule="auto"/>
        <w:ind w:firstLine="420"/>
      </w:pPr>
      <w:r>
        <w:rPr>
          <w:rFonts w:hint="eastAsia"/>
        </w:rPr>
        <w:t>[3] GB/T 27000 合格评定 词汇和通用原则</w:t>
      </w:r>
    </w:p>
    <w:p w14:paraId="6E73BEF4">
      <w:pPr>
        <w:pStyle w:val="56"/>
        <w:spacing w:line="360" w:lineRule="auto"/>
        <w:ind w:firstLine="420"/>
      </w:pPr>
      <w:r>
        <w:rPr>
          <w:rFonts w:hint="eastAsia"/>
        </w:rPr>
        <w:t>[4] GB/T 27065 合格评定 产品、过程和服务认证机构要求</w:t>
      </w:r>
    </w:p>
    <w:p w14:paraId="69718528">
      <w:pPr>
        <w:pStyle w:val="56"/>
        <w:spacing w:line="360" w:lineRule="auto"/>
        <w:ind w:firstLine="420"/>
      </w:pPr>
      <w:r>
        <w:rPr>
          <w:rFonts w:hint="eastAsia"/>
        </w:rPr>
        <w:t>[5] NY/T 391 绿色食品 产地环境质量</w:t>
      </w:r>
    </w:p>
    <w:p w14:paraId="430E4CBD">
      <w:pPr>
        <w:pStyle w:val="56"/>
        <w:spacing w:line="360" w:lineRule="auto"/>
        <w:ind w:firstLine="420"/>
      </w:pPr>
      <w:r>
        <w:rPr>
          <w:rFonts w:hint="eastAsia"/>
        </w:rPr>
        <w:t>[6] NY/T 392 绿色食品 食品添加剂使用准则</w:t>
      </w:r>
    </w:p>
    <w:p w14:paraId="16A2B625">
      <w:pPr>
        <w:pStyle w:val="56"/>
        <w:spacing w:line="360" w:lineRule="auto"/>
        <w:ind w:firstLine="420"/>
      </w:pPr>
      <w:r>
        <w:rPr>
          <w:rFonts w:hint="eastAsia"/>
        </w:rPr>
        <w:t>[7] NY/T 393 绿色食品 农药使用准则</w:t>
      </w:r>
    </w:p>
    <w:p w14:paraId="7B3267DA">
      <w:pPr>
        <w:pStyle w:val="56"/>
        <w:spacing w:line="360" w:lineRule="auto"/>
        <w:ind w:firstLine="420"/>
      </w:pPr>
      <w:r>
        <w:rPr>
          <w:rFonts w:hint="eastAsia"/>
        </w:rPr>
        <w:t>[8] NY/T 394 绿色食品 肥料使用准则</w:t>
      </w:r>
    </w:p>
    <w:p w14:paraId="57C72229">
      <w:pPr>
        <w:pStyle w:val="56"/>
        <w:spacing w:line="360" w:lineRule="auto"/>
        <w:ind w:firstLine="420"/>
      </w:pPr>
      <w:r>
        <w:rPr>
          <w:rFonts w:hint="eastAsia"/>
        </w:rPr>
        <w:t>[9] NY/T 658 绿色食品 包装通用准则</w:t>
      </w:r>
    </w:p>
    <w:p w14:paraId="426E3CFD">
      <w:pPr>
        <w:pStyle w:val="56"/>
        <w:spacing w:line="360" w:lineRule="auto"/>
        <w:ind w:firstLine="420"/>
      </w:pPr>
      <w:r>
        <w:rPr>
          <w:rFonts w:hint="eastAsia"/>
        </w:rPr>
        <w:t>[10] NY/T 1055 绿色食品 产品检验规则</w:t>
      </w:r>
    </w:p>
    <w:bookmarkEnd w:id="63"/>
    <w:p w14:paraId="773E42F7">
      <w:pPr>
        <w:pStyle w:val="56"/>
        <w:ind w:firstLine="0" w:firstLineChars="0"/>
        <w:jc w:val="center"/>
      </w:pPr>
      <w:bookmarkStart w:id="65" w:name="BookMark8"/>
      <w:r>
        <w:rPr>
          <w:rFonts w:hint="eastAsia"/>
        </w:rPr>
        <w:drawing>
          <wp:inline distT="0" distB="0" distL="0" distR="0">
            <wp:extent cx="1485900" cy="317500"/>
            <wp:effectExtent l="0" t="0" r="0" b="6350"/>
            <wp:docPr id="1536810134" name="图片 3"/>
            <wp:cNvGraphicFramePr/>
            <a:graphic xmlns:a="http://schemas.openxmlformats.org/drawingml/2006/main">
              <a:graphicData uri="http://schemas.openxmlformats.org/drawingml/2006/picture">
                <pic:pic xmlns:pic="http://schemas.openxmlformats.org/drawingml/2006/picture">
                  <pic:nvPicPr>
                    <pic:cNvPr id="1536810134" name="图片 3"/>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DF3A5">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B85C3">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A8040">
    <w:pPr>
      <w:pStyle w:val="51"/>
    </w:pPr>
    <w:r>
      <w:fldChar w:fldCharType="begin"/>
    </w:r>
    <w:r>
      <w:instrText xml:space="preserve"> PAGE   \* MERGEFORMAT \* MERGEFORMAT </w:instrText>
    </w:r>
    <w:r>
      <w:fldChar w:fldCharType="separate"/>
    </w:r>
    <w:r>
      <w:t>23</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93548">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7FDE2">
    <w:pPr>
      <w:pStyle w:val="51"/>
    </w:pPr>
    <w:r>
      <w:fldChar w:fldCharType="begin"/>
    </w:r>
    <w:r>
      <w:instrText xml:space="preserve"> PAGE   \* MERGEFORMAT \* MERGEFORMAT </w:instrText>
    </w:r>
    <w:r>
      <w:fldChar w:fldCharType="separate"/>
    </w:r>
    <w:r>
      <w:t>23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7CE61">
    <w:pPr>
      <w:pStyle w:val="52"/>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6CA3F">
    <w:pPr>
      <w:pStyle w:val="51"/>
    </w:pPr>
    <w:r>
      <w:fldChar w:fldCharType="begin"/>
    </w:r>
    <w:r>
      <w:instrText xml:space="preserve"> PAGE   \* MERGEFORMAT \* MERGEFORMAT </w:instrText>
    </w:r>
    <w:r>
      <w:fldChar w:fldCharType="separate"/>
    </w:r>
    <w:r>
      <w:t>23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DF276">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8BA835">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0281—2026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0281—2026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81A35">
    <w:pPr>
      <w:pStyle w:val="61"/>
      <w:rPr>
        <w:rFonts w:hint="eastAsia"/>
      </w:rPr>
    </w:pPr>
    <w:r>
      <w:fldChar w:fldCharType="begin"/>
    </w:r>
    <w:r>
      <w:instrText xml:space="preserve"> STYLEREF  标准文件_文件编号  \* MERGEFORMAT </w:instrText>
    </w:r>
    <w:r>
      <w:fldChar w:fldCharType="separate"/>
    </w:r>
    <w:r>
      <w:t>T/XZBX 0281—2026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94C0F">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0281—2026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43B45">
    <w:pPr>
      <w:pStyle w:val="61"/>
      <w:rPr>
        <w:rFonts w:hint="eastAsia"/>
      </w:rPr>
    </w:pPr>
    <w:r>
      <w:fldChar w:fldCharType="begin"/>
    </w:r>
    <w:r>
      <w:instrText xml:space="preserve"> STYLEREF  标准文件_文件编号  \* MERGEFORMAT </w:instrText>
    </w:r>
    <w:r>
      <w:fldChar w:fldCharType="separate"/>
    </w:r>
    <w:r>
      <w:t>T/XZBX 0281—2026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E923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0281—2026</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0482C">
    <w:pPr>
      <w:pStyle w:val="61"/>
      <w:rPr>
        <w:rFonts w:hint="eastAsia"/>
      </w:rPr>
    </w:pPr>
    <w:r>
      <w:fldChar w:fldCharType="begin"/>
    </w:r>
    <w:r>
      <w:instrText xml:space="preserve"> STYLEREF  标准文件_文件编号  \* MERGEFORMAT </w:instrText>
    </w:r>
    <w:r>
      <w:fldChar w:fldCharType="separate"/>
    </w:r>
    <w:r>
      <w:t>T/XZBX 0281—2026</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BB1C0">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0281—2026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2ED4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0281—2026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0281—2026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88DE6">
    <w:pPr>
      <w:pStyle w:val="61"/>
      <w:rPr>
        <w:rFonts w:hint="eastAsia"/>
      </w:rPr>
    </w:pPr>
    <w:r>
      <w:fldChar w:fldCharType="begin"/>
    </w:r>
    <w:r>
      <w:instrText xml:space="preserve"> STYLEREF  标准文件_文件编号  \* MERGEFORMAT </w:instrText>
    </w:r>
    <w:r>
      <w:fldChar w:fldCharType="separate"/>
    </w:r>
    <w:r>
      <w:t>T/XZBX 0281—2026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46326">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0281—2026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0281—2026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0281—2026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5913"/>
    <w:rsid w:val="0011711C"/>
    <w:rsid w:val="00124E4F"/>
    <w:rsid w:val="001260B7"/>
    <w:rsid w:val="001265CB"/>
    <w:rsid w:val="001306AF"/>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09B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2C96"/>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551E6"/>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B727B"/>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0C6"/>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4339"/>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242"/>
    <w:rsid w:val="00A06A6B"/>
    <w:rsid w:val="00A07E47"/>
    <w:rsid w:val="00A129D0"/>
    <w:rsid w:val="00A12C33"/>
    <w:rsid w:val="00A138BA"/>
    <w:rsid w:val="00A13D78"/>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4A88"/>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045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glossaryDocument" Target="glossary/document.xml"/><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3.jpe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740D6440">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70617969">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5F253714">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15913"/>
    <w:rsid w:val="001E3419"/>
    <w:rsid w:val="002E6AD9"/>
    <w:rsid w:val="0031107A"/>
    <w:rsid w:val="003646F4"/>
    <w:rsid w:val="003F62CE"/>
    <w:rsid w:val="004A6324"/>
    <w:rsid w:val="005B18DA"/>
    <w:rsid w:val="005E4B5C"/>
    <w:rsid w:val="006141C6"/>
    <w:rsid w:val="00652769"/>
    <w:rsid w:val="006B727B"/>
    <w:rsid w:val="00796662"/>
    <w:rsid w:val="008C0337"/>
    <w:rsid w:val="008E6778"/>
    <w:rsid w:val="00990A38"/>
    <w:rsid w:val="00A03242"/>
    <w:rsid w:val="00AA2819"/>
    <w:rsid w:val="00AE100B"/>
    <w:rsid w:val="00AE1DC6"/>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32</Pages>
  <Words>10956</Words>
  <Characters>11312</Characters>
  <Lines>589</Lines>
  <Paragraphs>559</Paragraphs>
  <TotalTime>142</TotalTime>
  <ScaleCrop>false</ScaleCrop>
  <LinksUpToDate>false</LinksUpToDate>
  <CharactersWithSpaces>11479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2026-05-19T06:35:49Z</dcterms:modified>
  <dc:title>团体标准</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0485298FA3F24E129127726CCFF5C0D4_12</vt:lpwstr>
  </property>
</Properties>
</file>