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03.220.2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03.220.20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P 66"/>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P 66</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78"/>
            </w:textInput>
          </w:ffData>
        </w:fldChar>
      </w:r>
      <w:bookmarkStart w:id="6" w:name="NSTD_CODE_F"/>
      <w:r>
        <w:instrText xml:space="preserve"> FORMTEXT </w:instrText>
      </w:r>
      <w:r>
        <w:fldChar w:fldCharType="separate"/>
      </w:r>
      <w:r>
        <w:t>0278</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高速公路BIM全流程应用实施规范"/>
            </w:textInput>
          </w:ffData>
        </w:fldChar>
      </w:r>
      <w:bookmarkStart w:id="9" w:name="CSTD_NAME"/>
      <w:r>
        <w:rPr>
          <w:rFonts w:hint="eastAsia"/>
        </w:rPr>
        <w:instrText xml:space="preserve"> FORMTEXT </w:instrText>
      </w:r>
      <w:r>
        <w:rPr>
          <w:rFonts w:hint="eastAsia"/>
        </w:rPr>
        <w:fldChar w:fldCharType="separate"/>
      </w:r>
      <w:r>
        <w:rPr>
          <w:rFonts w:hint="eastAsia"/>
        </w:rPr>
        <w:t>高速公路BIM全流程应用实施规范</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pecification for full-process BIM application implementation in expressways"/>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Specification for full-process BIM application implementation in expressways</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397042DC">
      <w:pPr>
        <w:pStyle w:val="91"/>
        <w:spacing w:after="360"/>
        <w:rPr>
          <w:rFonts w:hint="eastAsia"/>
        </w:rPr>
      </w:pPr>
      <w:bookmarkStart w:id="21" w:name="BookMark1"/>
      <w:r>
        <w:rPr>
          <w:rFonts w:hint="eastAsia"/>
          <w:spacing w:val="320"/>
        </w:rPr>
        <w:t>目</w:t>
      </w:r>
      <w:r>
        <w:rPr>
          <w:rFonts w:hint="eastAsia"/>
        </w:rPr>
        <w:t>次</w:t>
      </w:r>
    </w:p>
    <w:p w14:paraId="6F70B14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"_Toc228610822"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_Toc228610822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514DA32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"_Toc228610823"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_Toc228610823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2A789EA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"_Toc228610824"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_Toc228610824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06C43B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"_Toc228610825"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_Toc228610825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46DA5E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"_Toc228610826"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_Toc228610826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D828F9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"_Toc228610827" </w:instrText>
      </w:r>
      <w:r>
        <w:fldChar w:fldCharType="separate"/>
      </w:r>
      <w:r>
        <w:rPr>
          <w:rStyle w:val="32"/>
        </w:rPr>
        <w:t>4  基本要求</w:t>
      </w:r>
      <w:r>
        <w:rPr>
          <w:rFonts w:hint="eastAsia"/>
        </w:rPr>
        <w:tab/>
      </w:r>
      <w:r>
        <w:rPr>
          <w:rFonts w:hint="eastAsia"/>
        </w:rPr>
        <w:fldChar w:fldCharType="begin"/>
      </w:r>
      <w:r>
        <w:rPr>
          <w:rFonts w:hint="eastAsia"/>
        </w:rPr>
        <w:instrText xml:space="preserve"> </w:instrText>
      </w:r>
      <w:r>
        <w:instrText xml:space="preserve">PAGEREF _Toc228610827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4CAA92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"_Toc228610828" </w:instrText>
      </w:r>
      <w:r>
        <w:fldChar w:fldCharType="separate"/>
      </w:r>
      <w:r>
        <w:rPr>
          <w:rStyle w:val="32"/>
        </w:rPr>
        <w:t>5  组织与职责</w:t>
      </w:r>
      <w:r>
        <w:rPr>
          <w:rFonts w:hint="eastAsia"/>
        </w:rPr>
        <w:tab/>
      </w:r>
      <w:r>
        <w:rPr>
          <w:rFonts w:hint="eastAsia"/>
        </w:rPr>
        <w:fldChar w:fldCharType="begin"/>
      </w:r>
      <w:r>
        <w:rPr>
          <w:rFonts w:hint="eastAsia"/>
        </w:rPr>
        <w:instrText xml:space="preserve"> </w:instrText>
      </w:r>
      <w:r>
        <w:instrText xml:space="preserve">PAGEREF _Toc228610828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DC84A8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"_Toc228610829" </w:instrText>
      </w:r>
      <w:r>
        <w:fldChar w:fldCharType="separate"/>
      </w:r>
      <w:r>
        <w:rPr>
          <w:rStyle w:val="32"/>
        </w:rPr>
        <w:t>6  BIM实施策划</w:t>
      </w:r>
      <w:r>
        <w:rPr>
          <w:rFonts w:hint="eastAsia"/>
        </w:rPr>
        <w:tab/>
      </w:r>
      <w:r>
        <w:rPr>
          <w:rFonts w:hint="eastAsia"/>
        </w:rPr>
        <w:fldChar w:fldCharType="begin"/>
      </w:r>
      <w:r>
        <w:rPr>
          <w:rFonts w:hint="eastAsia"/>
        </w:rPr>
        <w:instrText xml:space="preserve"> </w:instrText>
      </w:r>
      <w:r>
        <w:instrText xml:space="preserve">PAGEREF _Toc228610829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47E1206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"_Toc228610830" </w:instrText>
      </w:r>
      <w:r>
        <w:fldChar w:fldCharType="separate"/>
      </w:r>
      <w:r>
        <w:rPr>
          <w:rStyle w:val="32"/>
        </w:rPr>
        <w:t>7  模型创建与管理</w:t>
      </w:r>
      <w:r>
        <w:rPr>
          <w:rFonts w:hint="eastAsia"/>
        </w:rPr>
        <w:tab/>
      </w:r>
      <w:r>
        <w:rPr>
          <w:rFonts w:hint="eastAsia"/>
        </w:rPr>
        <w:fldChar w:fldCharType="begin"/>
      </w:r>
      <w:r>
        <w:rPr>
          <w:rFonts w:hint="eastAsia"/>
        </w:rPr>
        <w:instrText xml:space="preserve"> </w:instrText>
      </w:r>
      <w:r>
        <w:instrText xml:space="preserve">PAGEREF _Toc228610830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22A5AC3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"_Toc228610831" </w:instrText>
      </w:r>
      <w:r>
        <w:fldChar w:fldCharType="separate"/>
      </w:r>
      <w:r>
        <w:rPr>
          <w:rStyle w:val="32"/>
        </w:rPr>
        <w:t>8  设计阶段应用</w:t>
      </w:r>
      <w:r>
        <w:rPr>
          <w:rFonts w:hint="eastAsia"/>
        </w:rPr>
        <w:tab/>
      </w:r>
      <w:r>
        <w:rPr>
          <w:rFonts w:hint="eastAsia"/>
        </w:rPr>
        <w:fldChar w:fldCharType="begin"/>
      </w:r>
      <w:r>
        <w:rPr>
          <w:rFonts w:hint="eastAsia"/>
        </w:rPr>
        <w:instrText xml:space="preserve"> </w:instrText>
      </w:r>
      <w:r>
        <w:instrText xml:space="preserve">PAGEREF _Toc228610831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48CCCA2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"_Toc228610832" </w:instrText>
      </w:r>
      <w:r>
        <w:fldChar w:fldCharType="separate"/>
      </w:r>
      <w:r>
        <w:rPr>
          <w:rStyle w:val="32"/>
        </w:rPr>
        <w:t>9  施工准备阶段应用</w:t>
      </w:r>
      <w:r>
        <w:rPr>
          <w:rFonts w:hint="eastAsia"/>
        </w:rPr>
        <w:tab/>
      </w:r>
      <w:r>
        <w:rPr>
          <w:rFonts w:hint="eastAsia"/>
        </w:rPr>
        <w:fldChar w:fldCharType="begin"/>
      </w:r>
      <w:r>
        <w:rPr>
          <w:rFonts w:hint="eastAsia"/>
        </w:rPr>
        <w:instrText xml:space="preserve"> </w:instrText>
      </w:r>
      <w:r>
        <w:instrText xml:space="preserve">PAGEREF _Toc228610832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7373B33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"_Toc228610833" </w:instrText>
      </w:r>
      <w:r>
        <w:fldChar w:fldCharType="separate"/>
      </w:r>
      <w:r>
        <w:rPr>
          <w:rStyle w:val="32"/>
        </w:rPr>
        <w:t>10  施工实施阶段应用</w:t>
      </w:r>
      <w:r>
        <w:rPr>
          <w:rFonts w:hint="eastAsia"/>
        </w:rPr>
        <w:tab/>
      </w:r>
      <w:r>
        <w:rPr>
          <w:rFonts w:hint="eastAsia"/>
        </w:rPr>
        <w:fldChar w:fldCharType="begin"/>
      </w:r>
      <w:r>
        <w:rPr>
          <w:rFonts w:hint="eastAsia"/>
        </w:rPr>
        <w:instrText xml:space="preserve"> </w:instrText>
      </w:r>
      <w:r>
        <w:instrText xml:space="preserve">PAGEREF _Toc228610833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38AE897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"_Toc228610834" </w:instrText>
      </w:r>
      <w:r>
        <w:fldChar w:fldCharType="separate"/>
      </w:r>
      <w:r>
        <w:rPr>
          <w:rStyle w:val="32"/>
        </w:rPr>
        <w:t>11  质量安全管理应用</w:t>
      </w:r>
      <w:r>
        <w:rPr>
          <w:rFonts w:hint="eastAsia"/>
        </w:rPr>
        <w:tab/>
      </w:r>
      <w:r>
        <w:rPr>
          <w:rFonts w:hint="eastAsia"/>
        </w:rPr>
        <w:fldChar w:fldCharType="begin"/>
      </w:r>
      <w:r>
        <w:rPr>
          <w:rFonts w:hint="eastAsia"/>
        </w:rPr>
        <w:instrText xml:space="preserve"> </w:instrText>
      </w:r>
      <w:r>
        <w:instrText xml:space="preserve">PAGEREF _Toc228610834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1ADD51D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"_Toc228610835" </w:instrText>
      </w:r>
      <w:r>
        <w:fldChar w:fldCharType="separate"/>
      </w:r>
      <w:r>
        <w:rPr>
          <w:rStyle w:val="32"/>
        </w:rPr>
        <w:t>12  进度与成本管理应用</w:t>
      </w:r>
      <w:r>
        <w:rPr>
          <w:rFonts w:hint="eastAsia"/>
        </w:rPr>
        <w:tab/>
      </w:r>
      <w:r>
        <w:rPr>
          <w:rFonts w:hint="eastAsia"/>
        </w:rPr>
        <w:fldChar w:fldCharType="begin"/>
      </w:r>
      <w:r>
        <w:rPr>
          <w:rFonts w:hint="eastAsia"/>
        </w:rPr>
        <w:instrText xml:space="preserve"> </w:instrText>
      </w:r>
      <w:r>
        <w:instrText xml:space="preserve">PAGEREF _Toc228610835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379A296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"_Toc228610836" </w:instrText>
      </w:r>
      <w:r>
        <w:fldChar w:fldCharType="separate"/>
      </w:r>
      <w:r>
        <w:rPr>
          <w:rStyle w:val="32"/>
        </w:rPr>
        <w:t>13  交竣工交付</w:t>
      </w:r>
      <w:r>
        <w:rPr>
          <w:rFonts w:hint="eastAsia"/>
        </w:rPr>
        <w:tab/>
      </w:r>
      <w:r>
        <w:rPr>
          <w:rFonts w:hint="eastAsia"/>
        </w:rPr>
        <w:fldChar w:fldCharType="begin"/>
      </w:r>
      <w:r>
        <w:rPr>
          <w:rFonts w:hint="eastAsia"/>
        </w:rPr>
        <w:instrText xml:space="preserve"> </w:instrText>
      </w:r>
      <w:r>
        <w:instrText xml:space="preserve">PAGEREF _Toc228610836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3033555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"_Toc228610837" </w:instrText>
      </w:r>
      <w:r>
        <w:fldChar w:fldCharType="separate"/>
      </w:r>
      <w:r>
        <w:rPr>
          <w:rStyle w:val="32"/>
        </w:rPr>
        <w:t>14  运营养护应用</w:t>
      </w:r>
      <w:r>
        <w:rPr>
          <w:rFonts w:hint="eastAsia"/>
        </w:rPr>
        <w:tab/>
      </w:r>
      <w:r>
        <w:rPr>
          <w:rFonts w:hint="eastAsia"/>
        </w:rPr>
        <w:fldChar w:fldCharType="begin"/>
      </w:r>
      <w:r>
        <w:rPr>
          <w:rFonts w:hint="eastAsia"/>
        </w:rPr>
        <w:instrText xml:space="preserve"> </w:instrText>
      </w:r>
      <w:r>
        <w:instrText xml:space="preserve">PAGEREF _Toc228610837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3C5EE82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"_Toc228610838" </w:instrText>
      </w:r>
      <w:r>
        <w:fldChar w:fldCharType="separate"/>
      </w:r>
      <w:r>
        <w:rPr>
          <w:rStyle w:val="32"/>
        </w:rPr>
        <w:t>15  数据管理</w:t>
      </w:r>
      <w:r>
        <w:rPr>
          <w:rFonts w:hint="eastAsia"/>
        </w:rPr>
        <w:tab/>
      </w:r>
      <w:r>
        <w:rPr>
          <w:rFonts w:hint="eastAsia"/>
        </w:rPr>
        <w:fldChar w:fldCharType="begin"/>
      </w:r>
      <w:r>
        <w:rPr>
          <w:rFonts w:hint="eastAsia"/>
        </w:rPr>
        <w:instrText xml:space="preserve"> </w:instrText>
      </w:r>
      <w:r>
        <w:instrText xml:space="preserve">PAGEREF _Toc228610838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1FFC839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"_Toc228610839" </w:instrText>
      </w:r>
      <w:r>
        <w:fldChar w:fldCharType="separate"/>
      </w:r>
      <w:r>
        <w:rPr>
          <w:rStyle w:val="32"/>
        </w:rPr>
        <w:t>16  成果评价与持续改进</w:t>
      </w:r>
      <w:r>
        <w:rPr>
          <w:rFonts w:hint="eastAsia"/>
        </w:rPr>
        <w:tab/>
      </w:r>
      <w:r>
        <w:rPr>
          <w:rFonts w:hint="eastAsia"/>
        </w:rPr>
        <w:fldChar w:fldCharType="begin"/>
      </w:r>
      <w:r>
        <w:rPr>
          <w:rFonts w:hint="eastAsia"/>
        </w:rPr>
        <w:instrText xml:space="preserve"> </w:instrText>
      </w:r>
      <w:r>
        <w:instrText xml:space="preserve">PAGEREF _Toc228610839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35523CB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"_Toc228610840" </w:instrText>
      </w:r>
      <w:r>
        <w:fldChar w:fldCharType="separate"/>
      </w:r>
      <w:r>
        <w:rPr>
          <w:rStyle w:val="32"/>
        </w:rPr>
        <w:t>附录A（资料性）  BIM实施策划文件主要内容</w:t>
      </w:r>
      <w:r>
        <w:rPr>
          <w:rFonts w:hint="eastAsia"/>
        </w:rPr>
        <w:tab/>
      </w:r>
      <w:r>
        <w:rPr>
          <w:rFonts w:hint="eastAsia"/>
        </w:rPr>
        <w:fldChar w:fldCharType="begin"/>
      </w:r>
      <w:r>
        <w:rPr>
          <w:rFonts w:hint="eastAsia"/>
        </w:rPr>
        <w:instrText xml:space="preserve"> </w:instrText>
      </w:r>
      <w:r>
        <w:instrText xml:space="preserve">PAGEREF _Toc228610840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2EF0C73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"_Toc228610841" </w:instrText>
      </w:r>
      <w:r>
        <w:fldChar w:fldCharType="separate"/>
      </w:r>
      <w:r>
        <w:rPr>
          <w:rStyle w:val="32"/>
        </w:rPr>
        <w:t>附录B（资料性）  BIM模型质量检查表</w:t>
      </w:r>
      <w:r>
        <w:rPr>
          <w:rFonts w:hint="eastAsia"/>
        </w:rPr>
        <w:tab/>
      </w:r>
      <w:r>
        <w:rPr>
          <w:rFonts w:hint="eastAsia"/>
        </w:rPr>
        <w:fldChar w:fldCharType="begin"/>
      </w:r>
      <w:r>
        <w:rPr>
          <w:rFonts w:hint="eastAsia"/>
        </w:rPr>
        <w:instrText xml:space="preserve"> </w:instrText>
      </w:r>
      <w:r>
        <w:instrText xml:space="preserve">PAGEREF _Toc228610841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6616AD4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"_Toc228610842" </w:instrText>
      </w:r>
      <w:r>
        <w:fldChar w:fldCharType="separate"/>
      </w:r>
      <w:r>
        <w:rPr>
          <w:rStyle w:val="32"/>
        </w:rPr>
        <w:t>参考文献</w:t>
      </w:r>
      <w:r>
        <w:rPr>
          <w:rFonts w:hint="eastAsia"/>
        </w:rPr>
        <w:tab/>
      </w:r>
      <w:r>
        <w:rPr>
          <w:rFonts w:hint="eastAsia"/>
        </w:rPr>
        <w:fldChar w:fldCharType="begin"/>
      </w:r>
      <w:r>
        <w:rPr>
          <w:rFonts w:hint="eastAsia"/>
        </w:rPr>
        <w:instrText xml:space="preserve"> </w:instrText>
      </w:r>
      <w:r>
        <w:instrText xml:space="preserve">PAGEREF _Toc228610842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38DD5314">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10822"/>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安徽天古信息科技有限公司</w:t>
      </w:r>
      <w:bookmarkStart w:id="70" w:name="_GoBack"/>
      <w:bookmarkEnd w:id="70"/>
      <w:r>
        <w:t>。</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王国松。</w:t>
      </w:r>
    </w:p>
    <w:bookmarkEnd w:id="23"/>
    <w:p w14:paraId="66D0A2F3">
      <w:pPr>
        <w:pStyle w:val="89"/>
        <w:spacing w:after="360"/>
      </w:pPr>
      <w:bookmarkStart w:id="24" w:name="_Toc228610823"/>
      <w:bookmarkStart w:id="25" w:name="BookMark3"/>
      <w:r>
        <w:rPr>
          <w:spacing w:val="320"/>
        </w:rPr>
        <w:t>引</w:t>
      </w:r>
      <w:r>
        <w:t>言</w:t>
      </w:r>
      <w:bookmarkEnd w:id="24"/>
    </w:p>
    <w:p w14:paraId="27403EC5">
      <w:pPr>
        <w:pStyle w:val="56"/>
        <w:spacing w:line="360" w:lineRule="auto"/>
        <w:ind w:firstLine="420"/>
      </w:pPr>
      <w:r>
        <w:rPr>
          <w:rFonts w:hint="eastAsia"/>
        </w:rPr>
        <w:t>高速公路工程具有线路长、专业多、构造物类型复杂、建设周期长、参建主体多、协同管理难度大等特点，涉及路线、路基、路面、桥梁、隧道、涵洞、交安、机电、房建、绿化、临时工程、施工组织、工程计量、质量安全、运维养护等多个专业和管理环节。随着高速公路工程建设管理数字化、精细化和协同化要求不断提高，传统以二维图纸、纸质资料和分散台账为主的管理方式，已难以充分满足工程信息集成、设计协同、施工管控、质量追溯、进度协调、成本控制和运营维护等全过程管理需要。</w:t>
      </w:r>
    </w:p>
    <w:p w14:paraId="44B1F9E0">
      <w:pPr>
        <w:pStyle w:val="56"/>
        <w:spacing w:line="360" w:lineRule="auto"/>
        <w:ind w:firstLine="420"/>
      </w:pPr>
      <w:r>
        <w:rPr>
          <w:rFonts w:hint="eastAsia"/>
        </w:rPr>
        <w:t>建筑信息模型技术在高速公路工程中的应用，能够通过三维模型、属性数据、空间信息、进度计划、工程量数据、质量安全信息和运维管理信息的集成，提升工程建设全过程的信息表达、协同管理和决策支撑能力。BIM应用不应仅停留在模型展示、效果汇报或局部专业建模层面，而应贯穿规划设计、勘察设计、施工准备、施工实施、交竣工验收、档案移交和运营养护全过程，并与工程管理业务、数据标准、协同平台、质量安全管理和运维需求相衔接。</w:t>
      </w:r>
    </w:p>
    <w:p w14:paraId="7B5F8466">
      <w:pPr>
        <w:pStyle w:val="56"/>
        <w:spacing w:line="360" w:lineRule="auto"/>
        <w:ind w:firstLine="420"/>
      </w:pPr>
      <w:r>
        <w:rPr>
          <w:rFonts w:hint="eastAsia"/>
        </w:rPr>
        <w:t>在实际应用过程中，部分高速公路工程BIM应用仍存在实施目标不明确、模型深度不统一、专业模型协同不足、编码规则不一致、模型与图纸脱节、模型属性缺失、工程量统计口径不清、施工过程数据未及时更新、质量安全信息未有效关联、交付成果难以用于运维等问题。上述问题容易导致BIM应用“重建模、轻应用”“重展示、轻管理”“重建设、轻运维”，影响BIM技术在高速公路工程全流程管理中的实际价值。</w:t>
      </w:r>
    </w:p>
    <w:p w14:paraId="039AB644">
      <w:pPr>
        <w:pStyle w:val="56"/>
        <w:spacing w:line="360" w:lineRule="auto"/>
        <w:ind w:firstLine="420"/>
      </w:pPr>
      <w:r>
        <w:rPr>
          <w:rFonts w:hint="eastAsia"/>
        </w:rPr>
        <w:t>本文件围绕高速公路BIM全流程应用实施要求，明确BIM应用的基本原则、组织管理、实施策划、模型创建、模型深化、协同管理、设计阶段应用、施工阶段应用、质量安全管理应用、进度成本管理应用、交竣工交付、运营养护应用、数据管理和成果评价等要求。本文件注重将BIM应用要求转化为可执行、可检查、可交付、可复用的标准条款，强化“应”“不得”等规范性表达，减少原则性、解释性和倡导性描述，便于建设单位、勘察设计单位、施工单位、监理单位、咨询单位、运营养护单位和BIM技术服务单位统一实施。</w:t>
      </w:r>
    </w:p>
    <w:p w14:paraId="16EA23B1">
      <w:pPr>
        <w:pStyle w:val="56"/>
        <w:spacing w:line="360" w:lineRule="auto"/>
        <w:ind w:firstLine="420"/>
      </w:pPr>
      <w:r>
        <w:rPr>
          <w:rFonts w:hint="eastAsia"/>
        </w:rPr>
        <w:t>本文件所称高速公路BIM全流程应用，是指以高速公路工程全生命周期管理需求为导向，围绕工程对象建立结构化、标准化、可协同、可追溯的BIM模型和数据体系，并在设计优化、碰撞检查、工程量统计、施工模拟、方案比选、进度管理、质量安全管控、计量支付、变更管理、资料归档、资产移交和运营养护等环节开展模型应用的活动。BIM模型应与工程实体、设计文件、施工记录、检测资料、验收资料和运维数据保持一致，不得以脱离业务流程的静态模型替代全过程数字化管理。</w:t>
      </w:r>
    </w:p>
    <w:p w14:paraId="2B1CF79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高速公路BIM全流程应用实施规范</w:t>
          </w:r>
        </w:p>
      </w:sdtContent>
    </w:sdt>
    <w:bookmarkEnd w:id="27"/>
    <w:p w14:paraId="3DB22445">
      <w:pPr>
        <w:pStyle w:val="104"/>
        <w:spacing w:before="240" w:after="240" w:line="360" w:lineRule="auto"/>
      </w:pPr>
      <w:bookmarkStart w:id="28" w:name="_Toc17233333"/>
      <w:bookmarkStart w:id="29" w:name="_Toc24884218"/>
      <w:bookmarkStart w:id="30" w:name="_Toc24884211"/>
      <w:bookmarkStart w:id="31" w:name="_Toc26648465"/>
      <w:bookmarkStart w:id="32" w:name="_Toc26718930"/>
      <w:bookmarkStart w:id="33" w:name="_Toc26986530"/>
      <w:bookmarkStart w:id="34" w:name="_Toc26986771"/>
      <w:bookmarkStart w:id="35" w:name="_Toc97192964"/>
      <w:bookmarkStart w:id="36" w:name="_Toc228610824"/>
      <w:bookmarkStart w:id="37" w:name="_Toc17233325"/>
      <w:r>
        <w:rPr>
          <w:rFonts w:hint="eastAsia"/>
        </w:rPr>
        <w:t>范围</w:t>
      </w:r>
      <w:bookmarkEnd w:id="28"/>
      <w:bookmarkEnd w:id="29"/>
      <w:bookmarkEnd w:id="30"/>
      <w:bookmarkEnd w:id="31"/>
      <w:bookmarkEnd w:id="32"/>
      <w:bookmarkEnd w:id="33"/>
      <w:bookmarkEnd w:id="34"/>
      <w:bookmarkEnd w:id="35"/>
      <w:bookmarkEnd w:id="36"/>
      <w:bookmarkEnd w:id="37"/>
    </w:p>
    <w:p w14:paraId="562ABD29">
      <w:pPr>
        <w:pStyle w:val="56"/>
        <w:spacing w:line="360" w:lineRule="auto"/>
        <w:ind w:firstLine="420"/>
      </w:pPr>
      <w:bookmarkStart w:id="38" w:name="_Toc17233326"/>
      <w:bookmarkStart w:id="39" w:name="_Toc24884212"/>
      <w:bookmarkStart w:id="40" w:name="_Toc24884219"/>
      <w:bookmarkStart w:id="41" w:name="_Toc17233334"/>
      <w:bookmarkStart w:id="42" w:name="_Toc26648466"/>
      <w:r>
        <w:rPr>
          <w:rFonts w:hint="eastAsia"/>
        </w:rPr>
        <w:t>本文件规定了高速公路BIM全流程应用的基本要求、组织与职责、BIM实施策划、模型创建与管理、设计阶段应用、施工准备阶段应用、施工实施阶段应用、质量安全管理应用、进度与成本管理应用、交竣工交付、运营养护应用、数据管理、成果评价与持续改进等要求。</w:t>
      </w:r>
    </w:p>
    <w:p w14:paraId="3DCBC98B">
      <w:pPr>
        <w:pStyle w:val="56"/>
        <w:spacing w:line="360" w:lineRule="auto"/>
        <w:ind w:firstLine="420"/>
      </w:pPr>
      <w:r>
        <w:rPr>
          <w:rFonts w:hint="eastAsia"/>
        </w:rPr>
        <w:t>本文件适用于新建、改建、扩建高速公路工程在规划设计、勘察设计、施工准备、施工实施、交竣工验收、资料移交和运营养护阶段的BIM应用实施与管理。</w:t>
      </w:r>
    </w:p>
    <w:p w14:paraId="3733B2AD">
      <w:pPr>
        <w:pStyle w:val="104"/>
        <w:spacing w:before="240" w:after="240" w:line="360" w:lineRule="auto"/>
      </w:pPr>
      <w:bookmarkStart w:id="43" w:name="_Toc26718931"/>
      <w:bookmarkStart w:id="44" w:name="_Toc228610825"/>
      <w:bookmarkStart w:id="45" w:name="_Toc26986772"/>
      <w:bookmarkStart w:id="46" w:name="_Toc26986531"/>
      <w:bookmarkStart w:id="47" w:name="_Toc97192965"/>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083402B">
      <w:pPr>
        <w:pStyle w:val="56"/>
        <w:spacing w:line="360" w:lineRule="auto"/>
        <w:ind w:firstLine="420"/>
      </w:pPr>
      <w:r>
        <w:rPr>
          <w:rFonts w:hint="eastAsia"/>
        </w:rPr>
        <w:t>GB/T 7027 信息分类和编码的基本原则与方法</w:t>
      </w:r>
    </w:p>
    <w:p w14:paraId="3199C6EC">
      <w:pPr>
        <w:pStyle w:val="56"/>
        <w:spacing w:line="360" w:lineRule="auto"/>
        <w:ind w:firstLine="420"/>
      </w:pPr>
      <w:r>
        <w:rPr>
          <w:rFonts w:hint="eastAsia"/>
        </w:rPr>
        <w:t>GB/T 51212—2016 建筑信息模型应用统一标准</w:t>
      </w:r>
    </w:p>
    <w:p w14:paraId="570BC674">
      <w:pPr>
        <w:pStyle w:val="56"/>
        <w:spacing w:line="360" w:lineRule="auto"/>
        <w:ind w:firstLine="420"/>
      </w:pPr>
      <w:r>
        <w:rPr>
          <w:rFonts w:hint="eastAsia"/>
        </w:rPr>
        <w:t>GB/T 51235—2017 建筑信息模型施工应用标准</w:t>
      </w:r>
    </w:p>
    <w:p w14:paraId="354554E4">
      <w:pPr>
        <w:pStyle w:val="56"/>
        <w:spacing w:line="360" w:lineRule="auto"/>
        <w:ind w:firstLine="420"/>
      </w:pPr>
      <w:r>
        <w:rPr>
          <w:rFonts w:hint="eastAsia"/>
        </w:rPr>
        <w:t>GB/T 51301—2018 建筑信息模型设计交付标准</w:t>
      </w:r>
    </w:p>
    <w:p w14:paraId="236B63A0">
      <w:pPr>
        <w:pStyle w:val="56"/>
        <w:spacing w:line="360" w:lineRule="auto"/>
        <w:ind w:firstLine="420"/>
      </w:pPr>
      <w:r>
        <w:rPr>
          <w:rFonts w:hint="eastAsia"/>
        </w:rPr>
        <w:t>GB/T 51362—2019 制造工业工程设计信息模型应用标准</w:t>
      </w:r>
    </w:p>
    <w:p w14:paraId="51F02A4E">
      <w:pPr>
        <w:pStyle w:val="104"/>
        <w:spacing w:before="240" w:after="240" w:line="360" w:lineRule="auto"/>
      </w:pPr>
      <w:bookmarkStart w:id="48" w:name="_Toc97192966"/>
      <w:bookmarkStart w:id="49" w:name="_Toc22861082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43570F4">
          <w:pPr>
            <w:pStyle w:val="56"/>
            <w:spacing w:line="360" w:lineRule="auto"/>
            <w:ind w:firstLine="420"/>
          </w:pPr>
          <w:bookmarkStart w:id="50" w:name="_Toc26986532"/>
          <w:bookmarkEnd w:id="50"/>
          <w:r>
            <w:t>下列术语和定义适用于本文件。</w:t>
          </w:r>
        </w:p>
      </w:sdtContent>
    </w:sdt>
    <w:p w14:paraId="63ED73A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建筑信息模型 building information modeling</w:t>
      </w:r>
    </w:p>
    <w:p w14:paraId="7373B25A">
      <w:pPr>
        <w:pStyle w:val="56"/>
        <w:spacing w:line="360" w:lineRule="auto"/>
        <w:ind w:firstLine="420"/>
      </w:pPr>
      <w:r>
        <w:rPr>
          <w:rFonts w:hint="eastAsia"/>
        </w:rPr>
        <w:t>在工程全生命周期内，对工程对象的几何信息、属性信息、空间关系、时间信息、成本信息、质量安全信息和运维信息进行数字化表达、集成、共享和应用的技术方法。</w:t>
      </w:r>
    </w:p>
    <w:p w14:paraId="166447D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高速公路BIM highway building information modeling</w:t>
      </w:r>
    </w:p>
    <w:p w14:paraId="4065D814">
      <w:pPr>
        <w:pStyle w:val="56"/>
        <w:spacing w:line="360" w:lineRule="auto"/>
        <w:ind w:firstLine="420"/>
      </w:pPr>
      <w:r>
        <w:rPr>
          <w:rFonts w:hint="eastAsia"/>
        </w:rPr>
        <w:t>面向高速公路工程规划、设计、施工、交竣工和运营养护全过程，对路线、结构物、设施设备、施工过程、管理信息和资产信息进行模型化表达与应用的BIM技术体系。</w:t>
      </w:r>
    </w:p>
    <w:p w14:paraId="75E0973D">
      <w:pPr>
        <w:pStyle w:val="56"/>
        <w:spacing w:line="360" w:lineRule="auto"/>
        <w:ind w:firstLine="420"/>
        <w:rPr>
          <w:rFonts w:hint="eastAsia"/>
        </w:rPr>
      </w:pPr>
    </w:p>
    <w:p w14:paraId="1F2EACB3">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全流程应用 whole-process application</w:t>
      </w:r>
    </w:p>
    <w:p w14:paraId="316636C5">
      <w:pPr>
        <w:pStyle w:val="56"/>
        <w:spacing w:line="360" w:lineRule="auto"/>
        <w:ind w:firstLine="420"/>
      </w:pPr>
      <w:r>
        <w:rPr>
          <w:rFonts w:hint="eastAsia"/>
        </w:rPr>
        <w:t>BIM技术在高速公路工程设计、施工准备、施工实施、验收交付和运营养护等阶段连续应用，并实现模型、数据、资料和业务流程衔接的活动。</w:t>
      </w:r>
    </w:p>
    <w:p w14:paraId="657F66A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BIM实施策划 bim execution planning</w:t>
      </w:r>
    </w:p>
    <w:p w14:paraId="481625DD">
      <w:pPr>
        <w:pStyle w:val="56"/>
        <w:spacing w:line="360" w:lineRule="auto"/>
        <w:ind w:firstLine="420"/>
      </w:pPr>
      <w:r>
        <w:rPr>
          <w:rFonts w:hint="eastAsia"/>
        </w:rPr>
        <w:t>为实现BIM应用目标，对应用范围、应用点、组织职责、模型标准、协同方式、交付成果、资源配置、进度安排和质量控制进行统筹安排的活动。</w:t>
      </w:r>
    </w:p>
    <w:p w14:paraId="52CCCE0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BIM模型 bim model</w:t>
      </w:r>
    </w:p>
    <w:p w14:paraId="5D510AE3">
      <w:pPr>
        <w:pStyle w:val="56"/>
        <w:spacing w:line="360" w:lineRule="auto"/>
        <w:ind w:firstLine="420"/>
      </w:pPr>
      <w:r>
        <w:rPr>
          <w:rFonts w:hint="eastAsia"/>
        </w:rPr>
        <w:t>以三维几何和属性数据为基础，用于表达高速公路工程对象、空间关系、构造组成、工程量、施工过程、质量安全信息和运维信息的数字化模型。</w:t>
      </w:r>
    </w:p>
    <w:p w14:paraId="457452A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模型单元 model element</w:t>
      </w:r>
    </w:p>
    <w:p w14:paraId="0237FDEE">
      <w:pPr>
        <w:pStyle w:val="56"/>
        <w:spacing w:line="360" w:lineRule="auto"/>
        <w:ind w:firstLine="420"/>
      </w:pPr>
      <w:r>
        <w:rPr>
          <w:rFonts w:hint="eastAsia"/>
        </w:rPr>
        <w:t>BIM模型中具有独立几何表达、属性信息、编码规则和管理意义的最小或基本组成对象。</w:t>
      </w:r>
    </w:p>
    <w:p w14:paraId="0132E86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模型深度 level of development</w:t>
      </w:r>
    </w:p>
    <w:p w14:paraId="006915B4">
      <w:pPr>
        <w:pStyle w:val="56"/>
        <w:spacing w:line="360" w:lineRule="auto"/>
        <w:ind w:firstLine="420"/>
      </w:pPr>
      <w:r>
        <w:rPr>
          <w:rFonts w:hint="eastAsia"/>
        </w:rPr>
        <w:t>BIM模型在不同应用阶段应达到的几何表达、属性完整性、信息精度和应用适用程度。</w:t>
      </w:r>
    </w:p>
    <w:p w14:paraId="6D661D9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几何信息 geometric information</w:t>
      </w:r>
    </w:p>
    <w:p w14:paraId="6BF46869">
      <w:pPr>
        <w:pStyle w:val="56"/>
        <w:spacing w:line="360" w:lineRule="auto"/>
        <w:ind w:firstLine="420"/>
      </w:pPr>
      <w:r>
        <w:rPr>
          <w:rFonts w:hint="eastAsia"/>
        </w:rPr>
        <w:t>用于描述模型对象形状、尺寸、位置、空间关系、标高、里程、坐标和构造形态的信息。</w:t>
      </w:r>
    </w:p>
    <w:p w14:paraId="65C901A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属性信息 attribute information</w:t>
      </w:r>
    </w:p>
    <w:p w14:paraId="7F8B50D7">
      <w:pPr>
        <w:pStyle w:val="56"/>
        <w:spacing w:line="360" w:lineRule="auto"/>
        <w:ind w:firstLine="420"/>
      </w:pPr>
      <w:r>
        <w:rPr>
          <w:rFonts w:hint="eastAsia"/>
        </w:rPr>
        <w:t>用于描述模型对象名称、编码、材料、规格、技术参数、工程量、质量状态、施工状态、验收状态和运维状态等非几何信息。</w:t>
      </w:r>
    </w:p>
    <w:p w14:paraId="1861455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模型编码 model coding</w:t>
      </w:r>
    </w:p>
    <w:p w14:paraId="4E298868">
      <w:pPr>
        <w:pStyle w:val="56"/>
        <w:spacing w:line="360" w:lineRule="auto"/>
        <w:ind w:firstLine="420"/>
      </w:pPr>
      <w:r>
        <w:rPr>
          <w:rFonts w:hint="eastAsia"/>
        </w:rPr>
        <w:t>按照统一规则对工程对象、模型单元、专业构件、设施设备和数据成果赋予唯一标识的活动。</w:t>
      </w:r>
    </w:p>
    <w:p w14:paraId="1EDFC40E">
      <w:pPr>
        <w:pStyle w:val="104"/>
        <w:spacing w:before="240" w:after="240" w:line="360" w:lineRule="auto"/>
      </w:pPr>
      <w:bookmarkStart w:id="51" w:name="_Toc228610827"/>
      <w:r>
        <w:rPr>
          <w:rFonts w:hint="eastAsia"/>
        </w:rPr>
        <w:t>基本要求</w:t>
      </w:r>
      <w:bookmarkEnd w:id="51"/>
    </w:p>
    <w:p w14:paraId="5F44F0A6">
      <w:pPr>
        <w:pStyle w:val="105"/>
        <w:spacing w:before="120" w:after="120" w:line="360" w:lineRule="auto"/>
      </w:pPr>
      <w:r>
        <w:rPr>
          <w:rFonts w:hint="eastAsia"/>
        </w:rPr>
        <w:t>总体要求</w:t>
      </w:r>
    </w:p>
    <w:p w14:paraId="5656E0B8">
      <w:pPr>
        <w:pStyle w:val="165"/>
        <w:spacing w:line="360" w:lineRule="auto"/>
      </w:pPr>
      <w:r>
        <w:rPr>
          <w:rFonts w:hint="eastAsia"/>
        </w:rPr>
        <w:t>高速公路BIM全流程应用应坚持需求牵引、标准统一、分阶段实施、全过程协同、模型数据一致、交付成果可用、应用效果可评价的原则。</w:t>
      </w:r>
    </w:p>
    <w:p w14:paraId="0ABE35D9">
      <w:pPr>
        <w:pStyle w:val="165"/>
        <w:spacing w:line="360" w:lineRule="auto"/>
      </w:pPr>
      <w:r>
        <w:rPr>
          <w:rFonts w:hint="eastAsia"/>
        </w:rPr>
        <w:t>建设单位应在项目启动阶段明确BIM应用目标、应用范围、应用深度、应用成果、交付要求、管理职责和评价要求。</w:t>
      </w:r>
    </w:p>
    <w:p w14:paraId="1809A07A">
      <w:pPr>
        <w:pStyle w:val="165"/>
        <w:spacing w:line="360" w:lineRule="auto"/>
      </w:pPr>
      <w:r>
        <w:rPr>
          <w:rFonts w:hint="eastAsia"/>
        </w:rPr>
        <w:t>BIM应用应覆盖设计、施工准备、施工实施、交竣工交付和运营养护等阶段，并应保证各阶段模型和数据有效衔接。</w:t>
      </w:r>
    </w:p>
    <w:p w14:paraId="6C9ECD46">
      <w:pPr>
        <w:pStyle w:val="165"/>
        <w:spacing w:line="360" w:lineRule="auto"/>
      </w:pPr>
      <w:r>
        <w:rPr>
          <w:rFonts w:hint="eastAsia"/>
        </w:rPr>
        <w:t>BIM模型应与工程设计文件、施工方案、工程量清单、质量安全记录、验收资料和运维资产资料保持一致。</w:t>
      </w:r>
    </w:p>
    <w:p w14:paraId="67520176">
      <w:pPr>
        <w:pStyle w:val="165"/>
        <w:spacing w:line="360" w:lineRule="auto"/>
      </w:pPr>
      <w:r>
        <w:rPr>
          <w:rFonts w:hint="eastAsia"/>
        </w:rPr>
        <w:t>BIM应用不得仅以模型展示、动画汇报或效果展示替代设计协同、施工管理、质量安全控制、工程量校核和运维数据移交等实质性应用。</w:t>
      </w:r>
    </w:p>
    <w:p w14:paraId="67ABB59F">
      <w:pPr>
        <w:pStyle w:val="165"/>
        <w:spacing w:line="360" w:lineRule="auto"/>
      </w:pPr>
      <w:r>
        <w:rPr>
          <w:rFonts w:hint="eastAsia"/>
        </w:rPr>
        <w:t>BIM模型和数据应按照统一坐标基准、统一里程系统、统一编码规则、统一数据格式和统一交付要求进行管理。</w:t>
      </w:r>
    </w:p>
    <w:p w14:paraId="209F2436">
      <w:pPr>
        <w:pStyle w:val="165"/>
        <w:spacing w:line="360" w:lineRule="auto"/>
      </w:pPr>
      <w:r>
        <w:rPr>
          <w:rFonts w:hint="eastAsia"/>
        </w:rPr>
        <w:t>BIM实施过程中应建立模型质量检查机制。模型几何表达、属性信息、编码规则、版本状态和专业协调关系不符合要求的，不得作为正式交付成果使用。</w:t>
      </w:r>
    </w:p>
    <w:p w14:paraId="01696950">
      <w:pPr>
        <w:pStyle w:val="165"/>
        <w:spacing w:line="360" w:lineRule="auto"/>
      </w:pPr>
      <w:r>
        <w:rPr>
          <w:rFonts w:hint="eastAsia"/>
        </w:rPr>
        <w:t>涉及工程计量、变更管理、质量验收、安全风险管控和运营养护的模型数据，应经过审核确认后方可应用。</w:t>
      </w:r>
    </w:p>
    <w:p w14:paraId="629BBFA4">
      <w:pPr>
        <w:pStyle w:val="165"/>
        <w:spacing w:line="360" w:lineRule="auto"/>
      </w:pPr>
      <w:r>
        <w:rPr>
          <w:rFonts w:hint="eastAsia"/>
        </w:rPr>
        <w:t>BIM应用成果应能够支撑工程管理业务，不得形成与项目管理流程、合同计量规则和资料归档要求脱节的成果。</w:t>
      </w:r>
    </w:p>
    <w:p w14:paraId="7106D555">
      <w:pPr>
        <w:pStyle w:val="165"/>
        <w:spacing w:line="360" w:lineRule="auto"/>
      </w:pPr>
      <w:r>
        <w:rPr>
          <w:rFonts w:hint="eastAsia"/>
        </w:rPr>
        <w:t>项目各参建单位应按照BIM实施策划开展模型创建、模型应用、数据更新、成果审核和资料交付。</w:t>
      </w:r>
    </w:p>
    <w:p w14:paraId="76784704">
      <w:pPr>
        <w:pStyle w:val="105"/>
        <w:spacing w:before="120" w:after="120" w:line="360" w:lineRule="auto"/>
      </w:pPr>
      <w:r>
        <w:rPr>
          <w:rFonts w:hint="eastAsia"/>
        </w:rPr>
        <w:t>应用阶段要求</w:t>
      </w:r>
    </w:p>
    <w:p w14:paraId="3C45C29C">
      <w:pPr>
        <w:pStyle w:val="165"/>
        <w:spacing w:line="360" w:lineRule="auto"/>
      </w:pPr>
      <w:r>
        <w:rPr>
          <w:rFonts w:hint="eastAsia"/>
        </w:rPr>
        <w:t>设计阶段应开展路线方案表达、专业模型创建、设计协同、碰撞检查、净空校核、工程量校核、设计优化和成果交付。</w:t>
      </w:r>
    </w:p>
    <w:p w14:paraId="6A0FC9CF">
      <w:pPr>
        <w:pStyle w:val="165"/>
        <w:spacing w:line="360" w:lineRule="auto"/>
      </w:pPr>
      <w:r>
        <w:rPr>
          <w:rFonts w:hint="eastAsia"/>
        </w:rPr>
        <w:t>施工准备阶段应开展施工组织模拟、临建布置、施工便道规划、交通导改、资源配置、重大施工方案比选和技术交底。</w:t>
      </w:r>
    </w:p>
    <w:p w14:paraId="6693AF3F">
      <w:pPr>
        <w:pStyle w:val="165"/>
        <w:spacing w:line="360" w:lineRule="auto"/>
      </w:pPr>
      <w:r>
        <w:rPr>
          <w:rFonts w:hint="eastAsia"/>
        </w:rPr>
        <w:t>施工实施阶段应开展进度管理、质量管理、安全管理、工程计量、变更管理、现场协同、问题闭环和模型动态更新。</w:t>
      </w:r>
    </w:p>
    <w:p w14:paraId="64E3748D">
      <w:pPr>
        <w:pStyle w:val="165"/>
        <w:spacing w:line="360" w:lineRule="auto"/>
      </w:pPr>
      <w:r>
        <w:rPr>
          <w:rFonts w:hint="eastAsia"/>
        </w:rPr>
        <w:t>交竣工阶段应开展竣工模型整理、竣工资料关联、实体工程核验、资产信息补充、交付成果审核和模型移交。</w:t>
      </w:r>
    </w:p>
    <w:p w14:paraId="3264A928">
      <w:pPr>
        <w:pStyle w:val="165"/>
        <w:spacing w:line="360" w:lineRule="auto"/>
      </w:pPr>
      <w:r>
        <w:rPr>
          <w:rFonts w:hint="eastAsia"/>
        </w:rPr>
        <w:t>运营养护阶段应开展资产管理、设施巡检、病害记录、养护决策、维修记录、应急处置和运维数据更新。</w:t>
      </w:r>
    </w:p>
    <w:p w14:paraId="4709570B">
      <w:pPr>
        <w:pStyle w:val="165"/>
        <w:spacing w:line="360" w:lineRule="auto"/>
      </w:pPr>
      <w:r>
        <w:rPr>
          <w:rFonts w:hint="eastAsia"/>
        </w:rPr>
        <w:t>各阶段BIM应用应明确输入资料、应用过程、输出成果和责任主体。高速公路BIM全流程应用阶段和主要成果宜按表1执行。</w:t>
      </w:r>
    </w:p>
    <w:p w14:paraId="3EBBF24F">
      <w:pPr>
        <w:pStyle w:val="165"/>
        <w:numPr>
          <w:ilvl w:val="0"/>
          <w:numId w:val="0"/>
        </w:numPr>
        <w:spacing w:line="360" w:lineRule="auto"/>
        <w:rPr>
          <w:rFonts w:hint="eastAsia"/>
        </w:rPr>
      </w:pPr>
    </w:p>
    <w:p w14:paraId="2A62EE40">
      <w:pPr>
        <w:pStyle w:val="112"/>
        <w:spacing w:before="120" w:after="120" w:line="360" w:lineRule="auto"/>
      </w:pPr>
      <w:r>
        <w:rPr>
          <w:rFonts w:hint="eastAsia"/>
        </w:rPr>
        <w:t>表高速公路BIM全流程应用阶段及主要成果</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3969"/>
        <w:gridCol w:w="3674"/>
      </w:tblGrid>
      <w:tr w14:paraId="1E54A7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vAlign w:val="center"/>
          </w:tcPr>
          <w:p w14:paraId="742853D5">
            <w:pPr>
              <w:pStyle w:val="178"/>
            </w:pPr>
            <w:r>
              <w:rPr>
                <w:rFonts w:hint="eastAsia"/>
              </w:rPr>
              <w:t>应用阶段</w:t>
            </w:r>
          </w:p>
        </w:tc>
        <w:tc>
          <w:tcPr>
            <w:tcW w:w="3969" w:type="dxa"/>
            <w:tcBorders>
              <w:top w:val="single" w:color="auto" w:sz="8" w:space="0"/>
              <w:bottom w:val="single" w:color="auto" w:sz="8" w:space="0"/>
            </w:tcBorders>
            <w:vAlign w:val="center"/>
          </w:tcPr>
          <w:p w14:paraId="4A250B17">
            <w:pPr>
              <w:pStyle w:val="178"/>
            </w:pPr>
            <w:r>
              <w:rPr>
                <w:rFonts w:hint="eastAsia"/>
              </w:rPr>
              <w:t>主要应用内容</w:t>
            </w:r>
          </w:p>
        </w:tc>
        <w:tc>
          <w:tcPr>
            <w:tcW w:w="3674" w:type="dxa"/>
            <w:tcBorders>
              <w:top w:val="single" w:color="auto" w:sz="8" w:space="0"/>
              <w:bottom w:val="single" w:color="auto" w:sz="8" w:space="0"/>
            </w:tcBorders>
            <w:vAlign w:val="center"/>
          </w:tcPr>
          <w:p w14:paraId="0A273CD0">
            <w:pPr>
              <w:pStyle w:val="178"/>
            </w:pPr>
            <w:r>
              <w:rPr>
                <w:rFonts w:hint="eastAsia"/>
              </w:rPr>
              <w:t>主要成果要求</w:t>
            </w:r>
          </w:p>
        </w:tc>
      </w:tr>
      <w:tr w14:paraId="203F1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vAlign w:val="center"/>
          </w:tcPr>
          <w:p w14:paraId="30B11620">
            <w:pPr>
              <w:pStyle w:val="178"/>
            </w:pPr>
            <w:r>
              <w:rPr>
                <w:rFonts w:hint="eastAsia"/>
              </w:rPr>
              <w:t>设计阶段</w:t>
            </w:r>
          </w:p>
        </w:tc>
        <w:tc>
          <w:tcPr>
            <w:tcW w:w="3969" w:type="dxa"/>
            <w:tcBorders>
              <w:top w:val="single" w:color="auto" w:sz="8" w:space="0"/>
            </w:tcBorders>
            <w:vAlign w:val="center"/>
          </w:tcPr>
          <w:p w14:paraId="14AA9CA6">
            <w:pPr>
              <w:pStyle w:val="178"/>
            </w:pPr>
            <w:r>
              <w:rPr>
                <w:rFonts w:hint="eastAsia"/>
              </w:rPr>
              <w:t>专业建模、设计协同、碰撞检查、工程量校核、方案优化</w:t>
            </w:r>
          </w:p>
        </w:tc>
        <w:tc>
          <w:tcPr>
            <w:tcW w:w="3674" w:type="dxa"/>
            <w:tcBorders>
              <w:top w:val="single" w:color="auto" w:sz="8" w:space="0"/>
            </w:tcBorders>
            <w:vAlign w:val="center"/>
          </w:tcPr>
          <w:p w14:paraId="627A5BD9">
            <w:pPr>
              <w:pStyle w:val="178"/>
            </w:pPr>
            <w:r>
              <w:rPr>
                <w:rFonts w:hint="eastAsia"/>
              </w:rPr>
              <w:t>设计模型、问题清单、碰撞检查报告、</w:t>
            </w:r>
          </w:p>
          <w:p w14:paraId="704849AB">
            <w:pPr>
              <w:pStyle w:val="178"/>
            </w:pPr>
            <w:r>
              <w:rPr>
                <w:rFonts w:hint="eastAsia"/>
              </w:rPr>
              <w:t>工程量校核成果、设计交付模型</w:t>
            </w:r>
          </w:p>
        </w:tc>
      </w:tr>
      <w:tr w14:paraId="5C5901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302BE2A0">
            <w:pPr>
              <w:pStyle w:val="178"/>
            </w:pPr>
            <w:r>
              <w:rPr>
                <w:rFonts w:hint="eastAsia"/>
              </w:rPr>
              <w:t>施工准备阶段</w:t>
            </w:r>
          </w:p>
        </w:tc>
        <w:tc>
          <w:tcPr>
            <w:tcW w:w="3969" w:type="dxa"/>
            <w:vAlign w:val="center"/>
          </w:tcPr>
          <w:p w14:paraId="1EA1D504">
            <w:pPr>
              <w:pStyle w:val="178"/>
            </w:pPr>
            <w:r>
              <w:rPr>
                <w:rFonts w:hint="eastAsia"/>
              </w:rPr>
              <w:t>施工组织模拟、场地布置、方案比选、技术交底</w:t>
            </w:r>
          </w:p>
        </w:tc>
        <w:tc>
          <w:tcPr>
            <w:tcW w:w="3674" w:type="dxa"/>
            <w:vAlign w:val="center"/>
          </w:tcPr>
          <w:p w14:paraId="2288C7D1">
            <w:pPr>
              <w:pStyle w:val="178"/>
            </w:pPr>
            <w:r>
              <w:rPr>
                <w:rFonts w:hint="eastAsia"/>
              </w:rPr>
              <w:t>施工准备模型、施工模拟成果、</w:t>
            </w:r>
          </w:p>
          <w:p w14:paraId="4175B978">
            <w:pPr>
              <w:pStyle w:val="178"/>
            </w:pPr>
            <w:r>
              <w:rPr>
                <w:rFonts w:hint="eastAsia"/>
              </w:rPr>
              <w:t>临建布置模型、方案比选记录、交底资料</w:t>
            </w:r>
          </w:p>
        </w:tc>
      </w:tr>
      <w:tr w14:paraId="165101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5D9085E7">
            <w:pPr>
              <w:pStyle w:val="178"/>
            </w:pPr>
            <w:r>
              <w:rPr>
                <w:rFonts w:hint="eastAsia"/>
              </w:rPr>
              <w:t>施工实施阶段</w:t>
            </w:r>
          </w:p>
        </w:tc>
        <w:tc>
          <w:tcPr>
            <w:tcW w:w="3969" w:type="dxa"/>
            <w:vAlign w:val="center"/>
          </w:tcPr>
          <w:p w14:paraId="192BEA1B">
            <w:pPr>
              <w:pStyle w:val="178"/>
            </w:pPr>
            <w:r>
              <w:rPr>
                <w:rFonts w:hint="eastAsia"/>
              </w:rPr>
              <w:t>进度管理、质量安全管理、工程计量、</w:t>
            </w:r>
          </w:p>
          <w:p w14:paraId="0C6DD07A">
            <w:pPr>
              <w:pStyle w:val="178"/>
            </w:pPr>
            <w:r>
              <w:rPr>
                <w:rFonts w:hint="eastAsia"/>
              </w:rPr>
              <w:t>变更管理、问题闭环</w:t>
            </w:r>
          </w:p>
        </w:tc>
        <w:tc>
          <w:tcPr>
            <w:tcW w:w="3674" w:type="dxa"/>
            <w:vAlign w:val="center"/>
          </w:tcPr>
          <w:p w14:paraId="119EB2F0">
            <w:pPr>
              <w:pStyle w:val="178"/>
            </w:pPr>
            <w:r>
              <w:rPr>
                <w:rFonts w:hint="eastAsia"/>
              </w:rPr>
              <w:t>施工过程模型、进度关联数据、</w:t>
            </w:r>
          </w:p>
          <w:p w14:paraId="6BE39ED3">
            <w:pPr>
              <w:pStyle w:val="178"/>
            </w:pPr>
            <w:r>
              <w:rPr>
                <w:rFonts w:hint="eastAsia"/>
              </w:rPr>
              <w:t>质量安全记录、计量成果、变更模型</w:t>
            </w:r>
          </w:p>
        </w:tc>
      </w:tr>
      <w:tr w14:paraId="7FCC93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3CC3FC46">
            <w:pPr>
              <w:pStyle w:val="178"/>
            </w:pPr>
            <w:r>
              <w:rPr>
                <w:rFonts w:hint="eastAsia"/>
              </w:rPr>
              <w:t>交竣工阶段</w:t>
            </w:r>
          </w:p>
        </w:tc>
        <w:tc>
          <w:tcPr>
            <w:tcW w:w="3969" w:type="dxa"/>
            <w:vAlign w:val="center"/>
          </w:tcPr>
          <w:p w14:paraId="3F5F4AFD">
            <w:pPr>
              <w:pStyle w:val="178"/>
            </w:pPr>
            <w:r>
              <w:rPr>
                <w:rFonts w:hint="eastAsia"/>
              </w:rPr>
              <w:t>竣工模型整理、资料关联、资产信息补充、</w:t>
            </w:r>
          </w:p>
          <w:p w14:paraId="45B1EA16">
            <w:pPr>
              <w:pStyle w:val="178"/>
            </w:pPr>
            <w:r>
              <w:rPr>
                <w:rFonts w:hint="eastAsia"/>
              </w:rPr>
              <w:t>成果验收</w:t>
            </w:r>
          </w:p>
        </w:tc>
        <w:tc>
          <w:tcPr>
            <w:tcW w:w="3674" w:type="dxa"/>
            <w:vAlign w:val="center"/>
          </w:tcPr>
          <w:p w14:paraId="39147484">
            <w:pPr>
              <w:pStyle w:val="178"/>
            </w:pPr>
            <w:r>
              <w:rPr>
                <w:rFonts w:hint="eastAsia"/>
              </w:rPr>
              <w:t>竣工信息模型、资料索引、资产清单、</w:t>
            </w:r>
          </w:p>
          <w:p w14:paraId="556E33F8">
            <w:pPr>
              <w:pStyle w:val="178"/>
            </w:pPr>
            <w:r>
              <w:rPr>
                <w:rFonts w:hint="eastAsia"/>
              </w:rPr>
              <w:t>模型验收记录、移交文件</w:t>
            </w:r>
          </w:p>
        </w:tc>
      </w:tr>
      <w:tr w14:paraId="405A02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66341666">
            <w:pPr>
              <w:pStyle w:val="178"/>
            </w:pPr>
            <w:r>
              <w:rPr>
                <w:rFonts w:hint="eastAsia"/>
              </w:rPr>
              <w:t>运营养护阶段</w:t>
            </w:r>
          </w:p>
        </w:tc>
        <w:tc>
          <w:tcPr>
            <w:tcW w:w="3969" w:type="dxa"/>
            <w:vAlign w:val="center"/>
          </w:tcPr>
          <w:p w14:paraId="2D39123F">
            <w:pPr>
              <w:pStyle w:val="178"/>
            </w:pPr>
            <w:r>
              <w:rPr>
                <w:rFonts w:hint="eastAsia"/>
              </w:rPr>
              <w:t>资产管理、巡检养护、病害管理、维修记录、</w:t>
            </w:r>
          </w:p>
          <w:p w14:paraId="774C2BAE">
            <w:pPr>
              <w:pStyle w:val="178"/>
            </w:pPr>
            <w:r>
              <w:rPr>
                <w:rFonts w:hint="eastAsia"/>
              </w:rPr>
              <w:t>应急处置</w:t>
            </w:r>
          </w:p>
        </w:tc>
        <w:tc>
          <w:tcPr>
            <w:tcW w:w="3674" w:type="dxa"/>
            <w:vAlign w:val="center"/>
          </w:tcPr>
          <w:p w14:paraId="4F0922D7">
            <w:pPr>
              <w:pStyle w:val="178"/>
            </w:pPr>
            <w:r>
              <w:rPr>
                <w:rFonts w:hint="eastAsia"/>
              </w:rPr>
              <w:t>运维信息模型、设施台账、病害记录、</w:t>
            </w:r>
          </w:p>
          <w:p w14:paraId="4034B03E">
            <w:pPr>
              <w:pStyle w:val="178"/>
            </w:pPr>
            <w:r>
              <w:rPr>
                <w:rFonts w:hint="eastAsia"/>
              </w:rPr>
              <w:t>养护工单、运维更新记录</w:t>
            </w:r>
          </w:p>
        </w:tc>
      </w:tr>
    </w:tbl>
    <w:p w14:paraId="3FAFE38F">
      <w:pPr>
        <w:pStyle w:val="105"/>
        <w:spacing w:before="120" w:after="120" w:line="360" w:lineRule="auto"/>
      </w:pPr>
      <w:r>
        <w:rPr>
          <w:rFonts w:hint="eastAsia"/>
        </w:rPr>
        <w:t>模型与数据要求</w:t>
      </w:r>
    </w:p>
    <w:p w14:paraId="337B5216">
      <w:pPr>
        <w:pStyle w:val="165"/>
        <w:spacing w:line="360" w:lineRule="auto"/>
      </w:pPr>
      <w:r>
        <w:rPr>
          <w:rFonts w:hint="eastAsia"/>
        </w:rPr>
        <w:t>BIM模型应包括几何信息和属性信息。不同阶段模型深度应满足本阶段应用目标和交付要求。</w:t>
      </w:r>
    </w:p>
    <w:p w14:paraId="770E7C47">
      <w:pPr>
        <w:pStyle w:val="165"/>
        <w:spacing w:line="360" w:lineRule="auto"/>
      </w:pPr>
      <w:r>
        <w:rPr>
          <w:rFonts w:hint="eastAsia"/>
        </w:rPr>
        <w:t>模型单元应按照工程结构、专业系统、施工分区、计量单元或运维资产管理需要进行划分。</w:t>
      </w:r>
    </w:p>
    <w:p w14:paraId="23542D7E">
      <w:pPr>
        <w:pStyle w:val="165"/>
        <w:spacing w:line="360" w:lineRule="auto"/>
      </w:pPr>
      <w:r>
        <w:rPr>
          <w:rFonts w:hint="eastAsia"/>
        </w:rPr>
        <w:t>模型单元应具有唯一编码。编码应与工程部位、专业类别、构件类型、里程桩号、设施设备编号或资产编号建立关联。</w:t>
      </w:r>
    </w:p>
    <w:p w14:paraId="1C318817">
      <w:pPr>
        <w:pStyle w:val="165"/>
        <w:spacing w:line="360" w:lineRule="auto"/>
      </w:pPr>
      <w:r>
        <w:rPr>
          <w:rFonts w:hint="eastAsia"/>
        </w:rPr>
        <w:t>模型属性应至少包括名称、编码、专业、部位、材料、规格、设计参数、工程量、阶段状态和责任单位等信息。</w:t>
      </w:r>
    </w:p>
    <w:p w14:paraId="034F64FC">
      <w:pPr>
        <w:pStyle w:val="165"/>
        <w:spacing w:line="360" w:lineRule="auto"/>
      </w:pPr>
      <w:r>
        <w:rPr>
          <w:rFonts w:hint="eastAsia"/>
        </w:rPr>
        <w:t>用于施工管理的模型应补充施工段落、施工工序、计划时间、实际时间、质量状态、安全风险和计量状态等信息。</w:t>
      </w:r>
    </w:p>
    <w:p w14:paraId="4B1CC387">
      <w:pPr>
        <w:pStyle w:val="165"/>
        <w:spacing w:line="360" w:lineRule="auto"/>
      </w:pPr>
      <w:r>
        <w:rPr>
          <w:rFonts w:hint="eastAsia"/>
        </w:rPr>
        <w:t>用于运营养护的模型应补充资产编号、管理单位、设施位置、技术参数、检修周期、病害记录、维修记录和使用状态等信息。</w:t>
      </w:r>
    </w:p>
    <w:p w14:paraId="1260A725">
      <w:pPr>
        <w:pStyle w:val="165"/>
        <w:spacing w:line="360" w:lineRule="auto"/>
      </w:pPr>
      <w:r>
        <w:rPr>
          <w:rFonts w:hint="eastAsia"/>
        </w:rPr>
        <w:t>模型数据应保持一致性。设计模型、施工模型、竣工模型和运维模型之间的数据转换、更新和继承关系应清晰可追溯。</w:t>
      </w:r>
    </w:p>
    <w:p w14:paraId="0BEFE2FB">
      <w:pPr>
        <w:pStyle w:val="165"/>
        <w:spacing w:line="360" w:lineRule="auto"/>
      </w:pPr>
      <w:r>
        <w:rPr>
          <w:rFonts w:hint="eastAsia"/>
        </w:rPr>
        <w:t>模型修改应保留版本记录、修改原因、修改人员、修改时间和审核状态。</w:t>
      </w:r>
    </w:p>
    <w:p w14:paraId="0CBEB8B7">
      <w:pPr>
        <w:pStyle w:val="105"/>
        <w:spacing w:before="120" w:after="120" w:line="360" w:lineRule="auto"/>
      </w:pPr>
      <w:r>
        <w:rPr>
          <w:rFonts w:hint="eastAsia"/>
        </w:rPr>
        <w:t>协同管理要求</w:t>
      </w:r>
    </w:p>
    <w:p w14:paraId="05541F69">
      <w:pPr>
        <w:pStyle w:val="165"/>
        <w:spacing w:line="360" w:lineRule="auto"/>
      </w:pPr>
      <w:r>
        <w:rPr>
          <w:rFonts w:hint="eastAsia"/>
        </w:rPr>
        <w:t>项目应建立BIM协同管理机制，明确模型创建、模型审核、模型发布、问题反馈、版本控制和成果交付流程。</w:t>
      </w:r>
    </w:p>
    <w:p w14:paraId="1A6ED214">
      <w:pPr>
        <w:pStyle w:val="165"/>
        <w:spacing w:line="360" w:lineRule="auto"/>
      </w:pPr>
      <w:r>
        <w:rPr>
          <w:rFonts w:hint="eastAsia"/>
        </w:rPr>
        <w:t>项目宜采用协同平台进行BIM模型、图纸、资料、问题清单、会议纪要、任务分派和成果交付管理。</w:t>
      </w:r>
    </w:p>
    <w:p w14:paraId="07CE0EBD">
      <w:pPr>
        <w:pStyle w:val="165"/>
        <w:spacing w:line="360" w:lineRule="auto"/>
      </w:pPr>
      <w:r>
        <w:rPr>
          <w:rFonts w:hint="eastAsia"/>
        </w:rPr>
        <w:t>协同平台应具备权限管理、版本管理、文件管理、问题跟踪、日志记录和成果归档功能。</w:t>
      </w:r>
    </w:p>
    <w:p w14:paraId="41CE69F7">
      <w:pPr>
        <w:pStyle w:val="165"/>
        <w:spacing w:line="360" w:lineRule="auto"/>
      </w:pPr>
      <w:r>
        <w:rPr>
          <w:rFonts w:hint="eastAsia"/>
        </w:rPr>
        <w:t>各专业模型应按规定时间提交并进行协同检查。未通过协同检查的模型不得作为下阶段应用依据。</w:t>
      </w:r>
    </w:p>
    <w:p w14:paraId="4A2D3AFE">
      <w:pPr>
        <w:pStyle w:val="165"/>
        <w:spacing w:line="360" w:lineRule="auto"/>
      </w:pPr>
      <w:r>
        <w:rPr>
          <w:rFonts w:hint="eastAsia"/>
        </w:rPr>
        <w:t>设计变更、施工变更、现场签证、质量问题、安全隐患和运维信息更新应与模型关联管理。</w:t>
      </w:r>
    </w:p>
    <w:p w14:paraId="7430443A">
      <w:pPr>
        <w:pStyle w:val="165"/>
        <w:spacing w:line="360" w:lineRule="auto"/>
      </w:pPr>
      <w:r>
        <w:rPr>
          <w:rFonts w:hint="eastAsia"/>
        </w:rPr>
        <w:t>BIM协同问题应形成闭环记录。记录应包括问题编号、问题描述、关联模型位置、责任单位、处理意见、完成时间和确认状态。</w:t>
      </w:r>
    </w:p>
    <w:p w14:paraId="42AB5C5A">
      <w:pPr>
        <w:pStyle w:val="105"/>
        <w:spacing w:before="120" w:after="120" w:line="360" w:lineRule="auto"/>
      </w:pPr>
      <w:r>
        <w:rPr>
          <w:rFonts w:hint="eastAsia"/>
        </w:rPr>
        <w:t>成果交付要求</w:t>
      </w:r>
    </w:p>
    <w:p w14:paraId="5B35DBB8">
      <w:pPr>
        <w:pStyle w:val="165"/>
        <w:spacing w:line="360" w:lineRule="auto"/>
      </w:pPr>
      <w:r>
        <w:rPr>
          <w:rFonts w:hint="eastAsia"/>
        </w:rPr>
        <w:t>BIM成果交付应符合合同、BIM实施策划、数据标准和项目管理要求。</w:t>
      </w:r>
    </w:p>
    <w:p w14:paraId="3D0D034D">
      <w:pPr>
        <w:pStyle w:val="165"/>
        <w:spacing w:line="360" w:lineRule="auto"/>
      </w:pPr>
      <w:r>
        <w:rPr>
          <w:rFonts w:hint="eastAsia"/>
        </w:rPr>
        <w:t>BIM成果应包括模型文件、属性数据、应用成果、协同记录、质量检查记录、交付说明和必要的可视化成果。</w:t>
      </w:r>
    </w:p>
    <w:p w14:paraId="5653EFD3">
      <w:pPr>
        <w:pStyle w:val="165"/>
        <w:spacing w:line="360" w:lineRule="auto"/>
      </w:pPr>
      <w:r>
        <w:rPr>
          <w:rFonts w:hint="eastAsia"/>
        </w:rPr>
        <w:t>交付模型应经过模型完整性、准确性、一致性、可用性和安全性检查。</w:t>
      </w:r>
    </w:p>
    <w:p w14:paraId="24C72E91">
      <w:pPr>
        <w:pStyle w:val="165"/>
        <w:spacing w:line="360" w:lineRule="auto"/>
      </w:pPr>
      <w:r>
        <w:rPr>
          <w:rFonts w:hint="eastAsia"/>
        </w:rPr>
        <w:t>交付文件应采用约定格式，并应保证接收方可打开、可浏览、可查询、可复核和可继续应用。</w:t>
      </w:r>
    </w:p>
    <w:p w14:paraId="56A88B25">
      <w:pPr>
        <w:pStyle w:val="165"/>
        <w:spacing w:line="360" w:lineRule="auto"/>
      </w:pPr>
      <w:r>
        <w:rPr>
          <w:rFonts w:hint="eastAsia"/>
        </w:rPr>
        <w:t>交付成果不得包含无效模型、重复模型、失效版本、缺失属性或未经确认的数据。</w:t>
      </w:r>
    </w:p>
    <w:p w14:paraId="590637D8">
      <w:pPr>
        <w:pStyle w:val="165"/>
        <w:spacing w:line="360" w:lineRule="auto"/>
      </w:pPr>
      <w:r>
        <w:rPr>
          <w:rFonts w:hint="eastAsia"/>
        </w:rPr>
        <w:t>交付成果应建立清单，并应由交付方和接收方确认。</w:t>
      </w:r>
    </w:p>
    <w:p w14:paraId="3A0C8470">
      <w:pPr>
        <w:pStyle w:val="105"/>
        <w:spacing w:before="120" w:after="120" w:line="360" w:lineRule="auto"/>
      </w:pPr>
      <w:r>
        <w:rPr>
          <w:rFonts w:hint="eastAsia"/>
        </w:rPr>
        <w:t>安全与保密要求</w:t>
      </w:r>
    </w:p>
    <w:p w14:paraId="2455F777">
      <w:pPr>
        <w:pStyle w:val="165"/>
        <w:spacing w:line="360" w:lineRule="auto"/>
      </w:pPr>
      <w:r>
        <w:rPr>
          <w:rFonts w:hint="eastAsia"/>
        </w:rPr>
        <w:t>BIM模型和数据涉及工程安全、地理空间、重要设施、商业秘密或个人信息的，应按相关要求实施安全管理。</w:t>
      </w:r>
    </w:p>
    <w:p w14:paraId="462F3E14">
      <w:pPr>
        <w:pStyle w:val="165"/>
        <w:spacing w:line="360" w:lineRule="auto"/>
      </w:pPr>
      <w:r>
        <w:rPr>
          <w:rFonts w:hint="eastAsia"/>
        </w:rPr>
        <w:t>BIM协同平台应实行用户实名制和权限分级管理。不同单位和岗位应按授权范围访问模型和数据。</w:t>
      </w:r>
    </w:p>
    <w:p w14:paraId="0A2B065C">
      <w:pPr>
        <w:pStyle w:val="165"/>
        <w:spacing w:line="360" w:lineRule="auto"/>
      </w:pPr>
      <w:r>
        <w:rPr>
          <w:rFonts w:hint="eastAsia"/>
        </w:rPr>
        <w:t>未经授权，不得复制、外传、发布或修改BIM模型和工程数据。</w:t>
      </w:r>
    </w:p>
    <w:p w14:paraId="1D157817">
      <w:pPr>
        <w:pStyle w:val="165"/>
        <w:spacing w:line="360" w:lineRule="auto"/>
      </w:pPr>
      <w:r>
        <w:rPr>
          <w:rFonts w:hint="eastAsia"/>
        </w:rPr>
        <w:t>涉及重要基础设施、隧道、桥梁、监控通信、收费系统和应急系统等敏感数据的模型，应设置更严格的访问控制和导出审批。</w:t>
      </w:r>
    </w:p>
    <w:p w14:paraId="0D7FA01B">
      <w:pPr>
        <w:pStyle w:val="165"/>
        <w:spacing w:line="360" w:lineRule="auto"/>
      </w:pPr>
      <w:r>
        <w:rPr>
          <w:rFonts w:hint="eastAsia"/>
        </w:rPr>
        <w:t>BIM数据应定期备份。备份数据应进行可恢复性验证。</w:t>
      </w:r>
    </w:p>
    <w:p w14:paraId="22E5EF4B">
      <w:pPr>
        <w:pStyle w:val="104"/>
        <w:spacing w:before="240" w:after="240" w:line="360" w:lineRule="auto"/>
      </w:pPr>
      <w:bookmarkStart w:id="52" w:name="_Toc228610828"/>
      <w:r>
        <w:rPr>
          <w:rFonts w:hint="eastAsia"/>
        </w:rPr>
        <w:t>组织与职责</w:t>
      </w:r>
      <w:bookmarkEnd w:id="52"/>
    </w:p>
    <w:p w14:paraId="1F20C217">
      <w:pPr>
        <w:pStyle w:val="105"/>
        <w:spacing w:before="120" w:after="120" w:line="360" w:lineRule="auto"/>
      </w:pPr>
      <w:r>
        <w:rPr>
          <w:rFonts w:hint="eastAsia"/>
        </w:rPr>
        <w:t>一般要求</w:t>
      </w:r>
    </w:p>
    <w:p w14:paraId="35DBE4A2">
      <w:pPr>
        <w:pStyle w:val="165"/>
        <w:spacing w:line="360" w:lineRule="auto"/>
      </w:pPr>
      <w:r>
        <w:rPr>
          <w:rFonts w:hint="eastAsia"/>
        </w:rPr>
        <w:t>高速公路BIM全流程应用应建立由建设单位牵头，设计单位、施工单位、监理单位、咨询单位、运营养护单位和BIM技术服务单位共同参与的组织管理体系。</w:t>
      </w:r>
    </w:p>
    <w:p w14:paraId="389A2DBF">
      <w:pPr>
        <w:pStyle w:val="165"/>
        <w:spacing w:line="360" w:lineRule="auto"/>
      </w:pPr>
      <w:r>
        <w:rPr>
          <w:rFonts w:hint="eastAsia"/>
        </w:rPr>
        <w:t>项目应明确BIM管理负责人、BIM技术负责人、各专业模型负责人、数据管理负责人和平台运维负责人。</w:t>
      </w:r>
    </w:p>
    <w:p w14:paraId="795FC15C">
      <w:pPr>
        <w:pStyle w:val="165"/>
        <w:spacing w:line="360" w:lineRule="auto"/>
      </w:pPr>
      <w:r>
        <w:rPr>
          <w:rFonts w:hint="eastAsia"/>
        </w:rPr>
        <w:t>各参建单位应按照合同和BIM实施策划承担相应BIM应用职责，不得将本单位应完成的模型审核、数据确认和成果交付责任转移给其他单位。</w:t>
      </w:r>
    </w:p>
    <w:p w14:paraId="67B538A6">
      <w:pPr>
        <w:pStyle w:val="165"/>
        <w:spacing w:line="360" w:lineRule="auto"/>
      </w:pPr>
      <w:r>
        <w:rPr>
          <w:rFonts w:hint="eastAsia"/>
        </w:rPr>
        <w:t>项目应建立BIM工作例会、模型审查、问题协调、成果审核和应用评价机制。</w:t>
      </w:r>
    </w:p>
    <w:p w14:paraId="153F965C">
      <w:pPr>
        <w:pStyle w:val="105"/>
        <w:spacing w:before="120" w:after="120" w:line="360" w:lineRule="auto"/>
      </w:pPr>
      <w:r>
        <w:rPr>
          <w:rFonts w:hint="eastAsia"/>
        </w:rPr>
        <w:t>建设单位职责</w:t>
      </w:r>
    </w:p>
    <w:p w14:paraId="6FB29AC3">
      <w:pPr>
        <w:pStyle w:val="165"/>
        <w:spacing w:line="360" w:lineRule="auto"/>
      </w:pPr>
      <w:r>
        <w:rPr>
          <w:rFonts w:hint="eastAsia"/>
        </w:rPr>
        <w:t>建设单位应提出项目BIM应用目标、应用范围、交付要求和管理要求。</w:t>
      </w:r>
    </w:p>
    <w:p w14:paraId="32ED74FD">
      <w:pPr>
        <w:pStyle w:val="165"/>
        <w:spacing w:line="360" w:lineRule="auto"/>
      </w:pPr>
      <w:r>
        <w:rPr>
          <w:rFonts w:hint="eastAsia"/>
        </w:rPr>
        <w:t>建设单位应组织编制或审批BIM实施策划。</w:t>
      </w:r>
    </w:p>
    <w:p w14:paraId="5A47BD73">
      <w:pPr>
        <w:pStyle w:val="165"/>
        <w:spacing w:line="360" w:lineRule="auto"/>
      </w:pPr>
      <w:r>
        <w:rPr>
          <w:rFonts w:hint="eastAsia"/>
        </w:rPr>
        <w:t>建设单位应明确各参建单位BIM工作职责、交付节点、考核要求和成果验收要求。</w:t>
      </w:r>
    </w:p>
    <w:p w14:paraId="4A9347F9">
      <w:pPr>
        <w:pStyle w:val="165"/>
        <w:spacing w:line="360" w:lineRule="auto"/>
      </w:pPr>
      <w:r>
        <w:rPr>
          <w:rFonts w:hint="eastAsia"/>
        </w:rPr>
        <w:t>建设单位应组织设计、施工、监理、咨询和运营养护单位开展BIM协同应用。</w:t>
      </w:r>
    </w:p>
    <w:p w14:paraId="2F8FE24F">
      <w:pPr>
        <w:pStyle w:val="165"/>
        <w:spacing w:line="360" w:lineRule="auto"/>
      </w:pPr>
      <w:r>
        <w:rPr>
          <w:rFonts w:hint="eastAsia"/>
        </w:rPr>
        <w:t>建设单位应组织BIM成果阶段性审查和最终验收。</w:t>
      </w:r>
    </w:p>
    <w:p w14:paraId="4CEC433A">
      <w:pPr>
        <w:pStyle w:val="165"/>
        <w:spacing w:line="360" w:lineRule="auto"/>
      </w:pPr>
      <w:r>
        <w:rPr>
          <w:rFonts w:hint="eastAsia"/>
        </w:rPr>
        <w:t>建设单位应保障BIM应用所需的组织、平台、数据、经费和协调条件。</w:t>
      </w:r>
    </w:p>
    <w:p w14:paraId="75708E10">
      <w:pPr>
        <w:pStyle w:val="105"/>
        <w:spacing w:before="120" w:after="120" w:line="360" w:lineRule="auto"/>
      </w:pPr>
      <w:r>
        <w:rPr>
          <w:rFonts w:hint="eastAsia"/>
        </w:rPr>
        <w:t>设计单位职责</w:t>
      </w:r>
    </w:p>
    <w:p w14:paraId="76F0EECA">
      <w:pPr>
        <w:pStyle w:val="165"/>
        <w:spacing w:line="360" w:lineRule="auto"/>
      </w:pPr>
      <w:r>
        <w:rPr>
          <w:rFonts w:hint="eastAsia"/>
        </w:rPr>
        <w:t>设计单位应根据设计阶段BIM应用要求创建、维护和交付设计信息模型。</w:t>
      </w:r>
    </w:p>
    <w:p w14:paraId="38F4D285">
      <w:pPr>
        <w:pStyle w:val="165"/>
        <w:spacing w:line="360" w:lineRule="auto"/>
      </w:pPr>
      <w:r>
        <w:rPr>
          <w:rFonts w:hint="eastAsia"/>
        </w:rPr>
        <w:t>设计单位应保证设计模型与设计图纸、设计说明、工程量和设计变更保持一致。</w:t>
      </w:r>
    </w:p>
    <w:p w14:paraId="76171AEB">
      <w:pPr>
        <w:pStyle w:val="165"/>
        <w:spacing w:line="360" w:lineRule="auto"/>
      </w:pPr>
      <w:r>
        <w:rPr>
          <w:rFonts w:hint="eastAsia"/>
        </w:rPr>
        <w:t>设计单位应开展专业协同、碰撞检查、净空校核、方案比选和工程量校核。</w:t>
      </w:r>
    </w:p>
    <w:p w14:paraId="511A9315">
      <w:pPr>
        <w:pStyle w:val="165"/>
        <w:spacing w:line="360" w:lineRule="auto"/>
      </w:pPr>
      <w:r>
        <w:rPr>
          <w:rFonts w:hint="eastAsia"/>
        </w:rPr>
        <w:t>设计单位应对设计模型的几何准确性、属性完整性和设计合理性负责。</w:t>
      </w:r>
    </w:p>
    <w:p w14:paraId="485DE494">
      <w:pPr>
        <w:pStyle w:val="165"/>
        <w:spacing w:line="360" w:lineRule="auto"/>
      </w:pPr>
      <w:r>
        <w:rPr>
          <w:rFonts w:hint="eastAsia"/>
        </w:rPr>
        <w:t>设计单位应配合施工阶段模型深化、设计变更模型更新和交竣工模型资料核验。</w:t>
      </w:r>
    </w:p>
    <w:p w14:paraId="675B6D58">
      <w:pPr>
        <w:pStyle w:val="105"/>
        <w:spacing w:before="120" w:after="120" w:line="360" w:lineRule="auto"/>
      </w:pPr>
      <w:r>
        <w:rPr>
          <w:rFonts w:hint="eastAsia"/>
        </w:rPr>
        <w:t>施工单位职责</w:t>
      </w:r>
    </w:p>
    <w:p w14:paraId="4B9D20D6">
      <w:pPr>
        <w:pStyle w:val="165"/>
        <w:spacing w:line="360" w:lineRule="auto"/>
      </w:pPr>
      <w:r>
        <w:rPr>
          <w:rFonts w:hint="eastAsia"/>
        </w:rPr>
        <w:t>施工单位应根据施工阶段BIM应用要求建立施工信息模型或对设计模型进行施工深化。</w:t>
      </w:r>
    </w:p>
    <w:p w14:paraId="626BFAC9">
      <w:pPr>
        <w:pStyle w:val="165"/>
        <w:spacing w:line="360" w:lineRule="auto"/>
      </w:pPr>
      <w:r>
        <w:rPr>
          <w:rFonts w:hint="eastAsia"/>
        </w:rPr>
        <w:t>施工单位应将施工方案、施工进度、质量安全、工程计量、变更签证和现场问题等信息与模型关联。</w:t>
      </w:r>
    </w:p>
    <w:p w14:paraId="60631B0A">
      <w:pPr>
        <w:pStyle w:val="165"/>
        <w:spacing w:line="360" w:lineRule="auto"/>
      </w:pPr>
      <w:r>
        <w:rPr>
          <w:rFonts w:hint="eastAsia"/>
        </w:rPr>
        <w:t>施工单位应利用BIM开展施工组织模拟、专项方案交底、进度协同、质量安全管控和工程量核验。</w:t>
      </w:r>
    </w:p>
    <w:p w14:paraId="0FA92BDB">
      <w:pPr>
        <w:pStyle w:val="165"/>
        <w:spacing w:line="360" w:lineRule="auto"/>
      </w:pPr>
      <w:r>
        <w:rPr>
          <w:rFonts w:hint="eastAsia"/>
        </w:rPr>
        <w:t>施工单位应根据现场实际及时更新模型，不得长期使用与施工现场不一致的模型开展管理。</w:t>
      </w:r>
    </w:p>
    <w:p w14:paraId="013AC6B5">
      <w:pPr>
        <w:pStyle w:val="165"/>
        <w:spacing w:line="360" w:lineRule="auto"/>
      </w:pPr>
      <w:r>
        <w:rPr>
          <w:rFonts w:hint="eastAsia"/>
        </w:rPr>
        <w:t>施工单位应按要求提交施工过程模型、竣工模型基础资料和应用成果。</w:t>
      </w:r>
    </w:p>
    <w:p w14:paraId="73F12B9C">
      <w:pPr>
        <w:pStyle w:val="105"/>
        <w:spacing w:before="120" w:after="120" w:line="360" w:lineRule="auto"/>
      </w:pPr>
      <w:r>
        <w:rPr>
          <w:rFonts w:hint="eastAsia"/>
        </w:rPr>
        <w:t>监理单位职责</w:t>
      </w:r>
    </w:p>
    <w:p w14:paraId="04860B2B">
      <w:pPr>
        <w:pStyle w:val="165"/>
        <w:spacing w:line="360" w:lineRule="auto"/>
      </w:pPr>
      <w:r>
        <w:rPr>
          <w:rFonts w:hint="eastAsia"/>
        </w:rPr>
        <w:t>监理单位应按照监理职责对BIM应用成果与工程实体、设计文件、施工方案和质量验收资料的一致性进行核查。</w:t>
      </w:r>
    </w:p>
    <w:p w14:paraId="7FD550C7">
      <w:pPr>
        <w:pStyle w:val="165"/>
        <w:spacing w:line="360" w:lineRule="auto"/>
      </w:pPr>
      <w:r>
        <w:rPr>
          <w:rFonts w:hint="eastAsia"/>
        </w:rPr>
        <w:t>监理单位宜利用BIM开展施工方案审查、质量验收辅助、进度核查、安全风险识别和工程计量复核。</w:t>
      </w:r>
    </w:p>
    <w:p w14:paraId="5F46553B">
      <w:pPr>
        <w:pStyle w:val="165"/>
        <w:spacing w:line="360" w:lineRule="auto"/>
      </w:pPr>
      <w:r>
        <w:rPr>
          <w:rFonts w:hint="eastAsia"/>
        </w:rPr>
        <w:t>监理单位应对与模型关联的质量、安全、进度和计量数据进行必要审核。</w:t>
      </w:r>
    </w:p>
    <w:p w14:paraId="51326DD9">
      <w:pPr>
        <w:pStyle w:val="165"/>
        <w:spacing w:line="360" w:lineRule="auto"/>
      </w:pPr>
      <w:r>
        <w:rPr>
          <w:rFonts w:hint="eastAsia"/>
        </w:rPr>
        <w:t>监理单位发现模型与现场不一致、模型数据缺失或应用成果不可靠时，应提出整改要求。</w:t>
      </w:r>
    </w:p>
    <w:p w14:paraId="0858089D">
      <w:pPr>
        <w:pStyle w:val="105"/>
        <w:spacing w:before="120" w:after="120" w:line="360" w:lineRule="auto"/>
      </w:pPr>
      <w:r>
        <w:rPr>
          <w:rFonts w:hint="eastAsia"/>
        </w:rPr>
        <w:t>BIM技术服务单位职责</w:t>
      </w:r>
    </w:p>
    <w:p w14:paraId="58E384AB">
      <w:pPr>
        <w:pStyle w:val="165"/>
        <w:spacing w:line="360" w:lineRule="auto"/>
      </w:pPr>
      <w:r>
        <w:rPr>
          <w:rFonts w:hint="eastAsia"/>
        </w:rPr>
        <w:t>BIM技术服务单位应按合同和BIM实施策划提供建模、平台、应用开发、数据处理、技术支持或培训服务。</w:t>
      </w:r>
    </w:p>
    <w:p w14:paraId="6FB38B75">
      <w:pPr>
        <w:pStyle w:val="165"/>
        <w:spacing w:line="360" w:lineRule="auto"/>
      </w:pPr>
      <w:r>
        <w:rPr>
          <w:rFonts w:hint="eastAsia"/>
        </w:rPr>
        <w:t>BIM技术服务单位应遵守项目模型标准、编码规则、数据格式、交付要求和保密要求。</w:t>
      </w:r>
    </w:p>
    <w:p w14:paraId="6FB3CE5D">
      <w:pPr>
        <w:pStyle w:val="165"/>
        <w:spacing w:line="360" w:lineRule="auto"/>
      </w:pPr>
      <w:r>
        <w:rPr>
          <w:rFonts w:hint="eastAsia"/>
        </w:rPr>
        <w:t>BIM技术服务单位不得擅自修改经确认的设计数据、施工数据和管理数据。</w:t>
      </w:r>
    </w:p>
    <w:p w14:paraId="170C0001">
      <w:pPr>
        <w:pStyle w:val="165"/>
        <w:spacing w:line="360" w:lineRule="auto"/>
      </w:pPr>
      <w:r>
        <w:rPr>
          <w:rFonts w:hint="eastAsia"/>
        </w:rPr>
        <w:t>BIM技术服务单位应对其提交的模型、数据、软件配置、应用成果和技术文档质量负责。</w:t>
      </w:r>
    </w:p>
    <w:p w14:paraId="4D87E71C">
      <w:pPr>
        <w:pStyle w:val="105"/>
        <w:spacing w:before="120" w:after="120" w:line="360" w:lineRule="auto"/>
      </w:pPr>
      <w:r>
        <w:rPr>
          <w:rFonts w:hint="eastAsia"/>
        </w:rPr>
        <w:t>运营养护单位职责</w:t>
      </w:r>
    </w:p>
    <w:p w14:paraId="082BC9E9">
      <w:pPr>
        <w:pStyle w:val="165"/>
        <w:spacing w:line="360" w:lineRule="auto"/>
      </w:pPr>
      <w:r>
        <w:rPr>
          <w:rFonts w:hint="eastAsia"/>
        </w:rPr>
        <w:t>运营养护单位应在设计或施工阶段提出运维数据需求和资产移交要求。</w:t>
      </w:r>
    </w:p>
    <w:p w14:paraId="40A638CC">
      <w:pPr>
        <w:pStyle w:val="165"/>
        <w:spacing w:line="360" w:lineRule="auto"/>
      </w:pPr>
      <w:r>
        <w:rPr>
          <w:rFonts w:hint="eastAsia"/>
        </w:rPr>
        <w:t>运营养护单位应参与竣工信息模型和资产数据验收。</w:t>
      </w:r>
    </w:p>
    <w:p w14:paraId="2DC4522D">
      <w:pPr>
        <w:pStyle w:val="165"/>
        <w:spacing w:line="360" w:lineRule="auto"/>
      </w:pPr>
      <w:r>
        <w:rPr>
          <w:rFonts w:hint="eastAsia"/>
        </w:rPr>
        <w:t>运营养护单位应将设施巡检、病害处置、维修养护、设备更换和应急处置等信息纳入运维信息模型管理。</w:t>
      </w:r>
    </w:p>
    <w:p w14:paraId="63AAC890">
      <w:pPr>
        <w:pStyle w:val="165"/>
        <w:spacing w:line="360" w:lineRule="auto"/>
      </w:pPr>
      <w:r>
        <w:rPr>
          <w:rFonts w:hint="eastAsia"/>
        </w:rPr>
        <w:t>运营养护单位应维护运维模型和资产数据的准确性、完整性和时效性。</w:t>
      </w:r>
    </w:p>
    <w:p w14:paraId="22206269">
      <w:pPr>
        <w:pStyle w:val="105"/>
        <w:spacing w:before="120" w:after="120" w:line="360" w:lineRule="auto"/>
      </w:pPr>
      <w:r>
        <w:rPr>
          <w:rFonts w:hint="eastAsia"/>
        </w:rPr>
        <w:t>人员能力要求</w:t>
      </w:r>
    </w:p>
    <w:p w14:paraId="01774AE2">
      <w:pPr>
        <w:pStyle w:val="165"/>
        <w:spacing w:line="360" w:lineRule="auto"/>
      </w:pPr>
      <w:r>
        <w:rPr>
          <w:rFonts w:hint="eastAsia"/>
        </w:rPr>
        <w:t>BIM管理人员应熟悉高速公路工程管理流程、BIM应用目标、模型标准、协同管理和成果验收要求。</w:t>
      </w:r>
    </w:p>
    <w:p w14:paraId="5197152E">
      <w:pPr>
        <w:pStyle w:val="165"/>
        <w:spacing w:line="360" w:lineRule="auto"/>
      </w:pPr>
      <w:r>
        <w:rPr>
          <w:rFonts w:hint="eastAsia"/>
        </w:rPr>
        <w:t>BIM技术人员应掌握相应专业建模、模型检查、数据处理、协同平台操作和应用成果输出方法。</w:t>
      </w:r>
    </w:p>
    <w:p w14:paraId="27B33297">
      <w:pPr>
        <w:pStyle w:val="165"/>
        <w:spacing w:line="360" w:lineRule="auto"/>
      </w:pPr>
      <w:r>
        <w:rPr>
          <w:rFonts w:hint="eastAsia"/>
        </w:rPr>
        <w:t>专业工程人员应能够基于BIM模型开展设计审查、施工管理、质量安全检查、工程计量或运维管理工作。</w:t>
      </w:r>
    </w:p>
    <w:p w14:paraId="7ED1C8B5">
      <w:pPr>
        <w:pStyle w:val="165"/>
        <w:spacing w:line="360" w:lineRule="auto"/>
      </w:pPr>
      <w:r>
        <w:rPr>
          <w:rFonts w:hint="eastAsia"/>
        </w:rPr>
        <w:t>参与BIM应用的人员应经过相应培训。未经培训或能力确认的人员，不得独立承担关键模型审核、数据确认和成果交付工作。</w:t>
      </w:r>
    </w:p>
    <w:p w14:paraId="68606503">
      <w:pPr>
        <w:pStyle w:val="104"/>
        <w:spacing w:before="240" w:after="240" w:line="360" w:lineRule="auto"/>
      </w:pPr>
      <w:bookmarkStart w:id="53" w:name="_Toc228610829"/>
      <w:r>
        <w:rPr>
          <w:rFonts w:hint="eastAsia"/>
        </w:rPr>
        <w:t>BIM实施策划</w:t>
      </w:r>
      <w:bookmarkEnd w:id="53"/>
    </w:p>
    <w:p w14:paraId="16475000">
      <w:pPr>
        <w:pStyle w:val="105"/>
        <w:spacing w:before="120" w:after="120" w:line="360" w:lineRule="auto"/>
      </w:pPr>
      <w:r>
        <w:rPr>
          <w:rFonts w:hint="eastAsia"/>
        </w:rPr>
        <w:t>一般要求</w:t>
      </w:r>
    </w:p>
    <w:p w14:paraId="284FEEFB">
      <w:pPr>
        <w:pStyle w:val="165"/>
        <w:spacing w:line="360" w:lineRule="auto"/>
      </w:pPr>
      <w:r>
        <w:rPr>
          <w:rFonts w:hint="eastAsia"/>
        </w:rPr>
        <w:t>项目应在BIM应用启动前编制BIM实施策划文件，明确BIM应用目标、应用范围、组织职责、模型标准、协同流程、数据要求、交付成果、实施计划、质量控制和评价要求。</w:t>
      </w:r>
    </w:p>
    <w:p w14:paraId="3400C250">
      <w:pPr>
        <w:pStyle w:val="165"/>
        <w:spacing w:line="360" w:lineRule="auto"/>
      </w:pPr>
      <w:r>
        <w:rPr>
          <w:rFonts w:hint="eastAsia"/>
        </w:rPr>
        <w:t>BIM实施策划应与项目建设管理目标、合同要求、设计进度、施工组织、质量安全管理、计量支付、竣工交付和运营养护需求相一致。</w:t>
      </w:r>
    </w:p>
    <w:p w14:paraId="41DD4158">
      <w:pPr>
        <w:pStyle w:val="165"/>
        <w:spacing w:line="360" w:lineRule="auto"/>
      </w:pPr>
      <w:r>
        <w:rPr>
          <w:rFonts w:hint="eastAsia"/>
        </w:rPr>
        <w:t>BIM实施策划应覆盖设计、施工准备、施工实施、交竣工交付和运营养护等阶段，不得仅针对单一阶段编制且不说明后续衔接要求。</w:t>
      </w:r>
    </w:p>
    <w:p w14:paraId="5FD18330">
      <w:pPr>
        <w:pStyle w:val="165"/>
        <w:spacing w:line="360" w:lineRule="auto"/>
      </w:pPr>
      <w:r>
        <w:rPr>
          <w:rFonts w:hint="eastAsia"/>
        </w:rPr>
        <w:t>BIM实施策划应经建设单位组织审查确认后实施。未经确认的BIM实施策划不得作为模型创建、应用实施和成果验收依据。</w:t>
      </w:r>
    </w:p>
    <w:p w14:paraId="149F4848">
      <w:pPr>
        <w:pStyle w:val="165"/>
        <w:spacing w:line="360" w:lineRule="auto"/>
      </w:pPr>
      <w:r>
        <w:rPr>
          <w:rFonts w:hint="eastAsia"/>
        </w:rPr>
        <w:t>项目实施条件、参建单位、应用目标、交付要求、软件平台或数据标准发生重大变化时，应及时修订BIM实施策划。</w:t>
      </w:r>
    </w:p>
    <w:p w14:paraId="72F9CC6C">
      <w:pPr>
        <w:pStyle w:val="165"/>
        <w:spacing w:line="360" w:lineRule="auto"/>
      </w:pPr>
      <w:r>
        <w:rPr>
          <w:rFonts w:hint="eastAsia"/>
        </w:rPr>
        <w:t>BIM实施策划文件的主要内容可参照附录A。</w:t>
      </w:r>
    </w:p>
    <w:p w14:paraId="2E63858A">
      <w:pPr>
        <w:pStyle w:val="105"/>
        <w:spacing w:before="120" w:after="120" w:line="360" w:lineRule="auto"/>
      </w:pPr>
      <w:r>
        <w:rPr>
          <w:rFonts w:hint="eastAsia"/>
        </w:rPr>
        <w:t>应用目标</w:t>
      </w:r>
    </w:p>
    <w:p w14:paraId="0CF8C596">
      <w:pPr>
        <w:pStyle w:val="165"/>
        <w:spacing w:line="360" w:lineRule="auto"/>
      </w:pPr>
      <w:r>
        <w:rPr>
          <w:rFonts w:hint="eastAsia"/>
        </w:rPr>
        <w:t>BIM应用目标应结合项目特点、管理需求、重点难点和阶段成果确定。</w:t>
      </w:r>
    </w:p>
    <w:p w14:paraId="03E3BC57">
      <w:pPr>
        <w:pStyle w:val="165"/>
        <w:spacing w:line="360" w:lineRule="auto"/>
      </w:pPr>
      <w:r>
        <w:rPr>
          <w:rFonts w:hint="eastAsia"/>
        </w:rPr>
        <w:t>BIM应用目标应具有可检查性和可评价性，不得仅表述为“提高管理水平”“提升数字化能力”“加强协同”等笼统内容。</w:t>
      </w:r>
    </w:p>
    <w:p w14:paraId="360FDEF6">
      <w:pPr>
        <w:pStyle w:val="165"/>
        <w:spacing w:line="360" w:lineRule="auto"/>
      </w:pPr>
      <w:r>
        <w:rPr>
          <w:rFonts w:hint="eastAsia"/>
        </w:rPr>
        <w:t>设计阶段应用目标宜包括设计协同、碰撞检查、方案比选、工程量校核、净空校核和设计成果交付。</w:t>
      </w:r>
    </w:p>
    <w:p w14:paraId="2761DAAC">
      <w:pPr>
        <w:pStyle w:val="165"/>
        <w:spacing w:line="360" w:lineRule="auto"/>
      </w:pPr>
      <w:r>
        <w:rPr>
          <w:rFonts w:hint="eastAsia"/>
        </w:rPr>
        <w:t>施工阶段应用目标宜包括施工组织模拟、专项方案交底、进度管理、质量安全管控、工程计量、变更管理和现场问题闭环。</w:t>
      </w:r>
    </w:p>
    <w:p w14:paraId="7F40BE84">
      <w:pPr>
        <w:pStyle w:val="165"/>
        <w:spacing w:line="360" w:lineRule="auto"/>
      </w:pPr>
      <w:r>
        <w:rPr>
          <w:rFonts w:hint="eastAsia"/>
        </w:rPr>
        <w:t>运营养护阶段应用目标宜包括资产管理、设施巡检、病害记录、维修养护、应急处置和运维资料管理。</w:t>
      </w:r>
    </w:p>
    <w:p w14:paraId="4C5C1F8D">
      <w:pPr>
        <w:pStyle w:val="105"/>
        <w:spacing w:before="120" w:after="120" w:line="360" w:lineRule="auto"/>
      </w:pPr>
      <w:r>
        <w:rPr>
          <w:rFonts w:hint="eastAsia"/>
        </w:rPr>
        <w:t>应用范围</w:t>
      </w:r>
    </w:p>
    <w:p w14:paraId="1D3F16B0">
      <w:pPr>
        <w:pStyle w:val="165"/>
        <w:spacing w:line="360" w:lineRule="auto"/>
      </w:pPr>
      <w:r>
        <w:rPr>
          <w:rFonts w:hint="eastAsia"/>
        </w:rPr>
        <w:t>BIM应用范围应明确工程范围、专业范围、阶段范围、应用点范围和交付范围。</w:t>
      </w:r>
    </w:p>
    <w:p w14:paraId="3D47EEBE">
      <w:pPr>
        <w:pStyle w:val="165"/>
        <w:spacing w:line="360" w:lineRule="auto"/>
      </w:pPr>
      <w:r>
        <w:rPr>
          <w:rFonts w:hint="eastAsia"/>
        </w:rPr>
        <w:t>工程范围应明确路线起止桩号、路基段落、桥梁、隧道、互通、服务区、收费站、管理中心、机电设施和其他附属工程。</w:t>
      </w:r>
    </w:p>
    <w:p w14:paraId="661691BF">
      <w:pPr>
        <w:pStyle w:val="165"/>
        <w:spacing w:line="360" w:lineRule="auto"/>
      </w:pPr>
      <w:r>
        <w:rPr>
          <w:rFonts w:hint="eastAsia"/>
        </w:rPr>
        <w:t>专业范围应明确路线、路基、路面、桥梁、隧道、涵洞、交通安全设施、机电、房建、绿化、临时工程等专业是否纳入BIM应用。</w:t>
      </w:r>
    </w:p>
    <w:p w14:paraId="25A9D9A7">
      <w:pPr>
        <w:pStyle w:val="165"/>
        <w:spacing w:line="360" w:lineRule="auto"/>
      </w:pPr>
      <w:r>
        <w:rPr>
          <w:rFonts w:hint="eastAsia"/>
        </w:rPr>
        <w:t>应用点范围应明确每一项BIM应用的输入条件、实施方法、责任主体、输出成果和验收要求。</w:t>
      </w:r>
    </w:p>
    <w:p w14:paraId="7140C11C">
      <w:pPr>
        <w:pStyle w:val="165"/>
        <w:spacing w:line="360" w:lineRule="auto"/>
      </w:pPr>
      <w:r>
        <w:rPr>
          <w:rFonts w:hint="eastAsia"/>
        </w:rPr>
        <w:t>未纳入BIM应用范围的工程内容，应在策划文件中说明原因和与已建模型的数据衔接方式。</w:t>
      </w:r>
    </w:p>
    <w:p w14:paraId="3463548E">
      <w:pPr>
        <w:pStyle w:val="105"/>
        <w:spacing w:before="120" w:after="120" w:line="360" w:lineRule="auto"/>
      </w:pPr>
      <w:r>
        <w:rPr>
          <w:rFonts w:hint="eastAsia"/>
        </w:rPr>
        <w:t>模型标准</w:t>
      </w:r>
    </w:p>
    <w:p w14:paraId="2BB4A966">
      <w:pPr>
        <w:pStyle w:val="165"/>
        <w:spacing w:line="360" w:lineRule="auto"/>
      </w:pPr>
      <w:r>
        <w:rPr>
          <w:rFonts w:hint="eastAsia"/>
        </w:rPr>
        <w:t>BIM实施策划应规定模型命名、模型拆分、模型坐标、模型精度、模型深度、编码规则、属性字段、文件格式和版本管理要求。</w:t>
      </w:r>
    </w:p>
    <w:p w14:paraId="67F7A60C">
      <w:pPr>
        <w:pStyle w:val="165"/>
        <w:spacing w:line="360" w:lineRule="auto"/>
      </w:pPr>
      <w:r>
        <w:rPr>
          <w:rFonts w:hint="eastAsia"/>
        </w:rPr>
        <w:t>模型坐标应与项目测量控制系统、路线里程系统和工程空间基准保持一致。</w:t>
      </w:r>
    </w:p>
    <w:p w14:paraId="6D7A3527">
      <w:pPr>
        <w:pStyle w:val="165"/>
        <w:spacing w:line="360" w:lineRule="auto"/>
      </w:pPr>
      <w:r>
        <w:rPr>
          <w:rFonts w:hint="eastAsia"/>
        </w:rPr>
        <w:t>模型拆分应符合专业协同、施工分区、文件传输、平台加载、工程计量和运维资产管理要求。</w:t>
      </w:r>
    </w:p>
    <w:p w14:paraId="74F01080">
      <w:pPr>
        <w:pStyle w:val="165"/>
        <w:spacing w:line="360" w:lineRule="auto"/>
      </w:pPr>
      <w:r>
        <w:rPr>
          <w:rFonts w:hint="eastAsia"/>
        </w:rPr>
        <w:t>模型命名应统一、清晰、可识别，不得使用无含义名称、临时名称或重复名称作为正式交付文件名称。</w:t>
      </w:r>
    </w:p>
    <w:p w14:paraId="3946ADB9">
      <w:pPr>
        <w:pStyle w:val="165"/>
        <w:spacing w:line="360" w:lineRule="auto"/>
      </w:pPr>
      <w:r>
        <w:rPr>
          <w:rFonts w:hint="eastAsia"/>
        </w:rPr>
        <w:t>模型属性字段应根据设计、施工、交付和运维需要设置，不得仅保留几何信息而缺少必要属性信息。</w:t>
      </w:r>
    </w:p>
    <w:p w14:paraId="34AD1E5F">
      <w:pPr>
        <w:pStyle w:val="105"/>
        <w:spacing w:before="120" w:after="120" w:line="360" w:lineRule="auto"/>
      </w:pPr>
      <w:r>
        <w:rPr>
          <w:rFonts w:hint="eastAsia"/>
        </w:rPr>
        <w:t>协同流程</w:t>
      </w:r>
    </w:p>
    <w:p w14:paraId="0747AEDC">
      <w:pPr>
        <w:pStyle w:val="165"/>
        <w:spacing w:line="360" w:lineRule="auto"/>
      </w:pPr>
      <w:r>
        <w:rPr>
          <w:rFonts w:hint="eastAsia"/>
        </w:rPr>
        <w:t>BIM实施策划应明确模型提交、模型审核、问题反馈、问题整改、版本发布、成果确认和资料归档流程。</w:t>
      </w:r>
    </w:p>
    <w:p w14:paraId="394B3B47">
      <w:pPr>
        <w:pStyle w:val="165"/>
        <w:spacing w:line="360" w:lineRule="auto"/>
      </w:pPr>
      <w:r>
        <w:rPr>
          <w:rFonts w:hint="eastAsia"/>
        </w:rPr>
        <w:t>各专业模型提交前应完成自检。模型提交后应按规定开展专业审查和综合审查。</w:t>
      </w:r>
    </w:p>
    <w:p w14:paraId="77273F33">
      <w:pPr>
        <w:pStyle w:val="165"/>
        <w:spacing w:line="360" w:lineRule="auto"/>
      </w:pPr>
      <w:r>
        <w:rPr>
          <w:rFonts w:hint="eastAsia"/>
        </w:rPr>
        <w:t>协同问题应通过统一的问题清单或协同平台进行管理，不得仅通过口头沟通处理关键协同问题。</w:t>
      </w:r>
    </w:p>
    <w:p w14:paraId="071807EE">
      <w:pPr>
        <w:pStyle w:val="165"/>
        <w:spacing w:line="360" w:lineRule="auto"/>
      </w:pPr>
      <w:r>
        <w:rPr>
          <w:rFonts w:hint="eastAsia"/>
        </w:rPr>
        <w:t>协同问题关闭前，应确认模型、图纸、工程量、施工方案或相关资料已同步修正。</w:t>
      </w:r>
    </w:p>
    <w:p w14:paraId="323729BF">
      <w:pPr>
        <w:pStyle w:val="165"/>
        <w:spacing w:line="360" w:lineRule="auto"/>
      </w:pPr>
      <w:r>
        <w:rPr>
          <w:rFonts w:hint="eastAsia"/>
        </w:rPr>
        <w:t>模型发布应明确发布版本、发布时间、发布范围、适用阶段和使用限制。</w:t>
      </w:r>
    </w:p>
    <w:p w14:paraId="5F268370">
      <w:pPr>
        <w:pStyle w:val="105"/>
        <w:spacing w:before="120" w:after="120" w:line="360" w:lineRule="auto"/>
      </w:pPr>
      <w:r>
        <w:rPr>
          <w:rFonts w:hint="eastAsia"/>
        </w:rPr>
        <w:t>实施计划</w:t>
      </w:r>
    </w:p>
    <w:p w14:paraId="3F403B0C">
      <w:pPr>
        <w:pStyle w:val="165"/>
        <w:spacing w:line="360" w:lineRule="auto"/>
      </w:pPr>
      <w:r>
        <w:rPr>
          <w:rFonts w:hint="eastAsia"/>
        </w:rPr>
        <w:t>BIM实施策划应明确各阶段工作任务、时间节点、责任单位、成果形式和验收节点。</w:t>
      </w:r>
    </w:p>
    <w:p w14:paraId="35477FDD">
      <w:pPr>
        <w:pStyle w:val="165"/>
        <w:spacing w:line="360" w:lineRule="auto"/>
      </w:pPr>
      <w:r>
        <w:rPr>
          <w:rFonts w:hint="eastAsia"/>
        </w:rPr>
        <w:t>BIM实施计划应与设计进度、施工进度、专项方案审批、关键节点验收和交竣工安排相协调。</w:t>
      </w:r>
    </w:p>
    <w:p w14:paraId="2D8B8003">
      <w:pPr>
        <w:pStyle w:val="165"/>
        <w:spacing w:line="360" w:lineRule="auto"/>
      </w:pPr>
      <w:r>
        <w:rPr>
          <w:rFonts w:hint="eastAsia"/>
        </w:rPr>
        <w:t>关键模型成果应在相应业务应用前完成，不得在施工完成后补建不能支撑过程管理的模型作为过程应用成果。</w:t>
      </w:r>
    </w:p>
    <w:p w14:paraId="2715867D">
      <w:pPr>
        <w:pStyle w:val="165"/>
        <w:spacing w:line="360" w:lineRule="auto"/>
      </w:pPr>
      <w:r>
        <w:rPr>
          <w:rFonts w:hint="eastAsia"/>
        </w:rPr>
        <w:t>实施计划调整时，应评估对模型交付、数据更新、应用实施和成果验收的影响。</w:t>
      </w:r>
    </w:p>
    <w:p w14:paraId="477A32A7">
      <w:pPr>
        <w:pStyle w:val="104"/>
        <w:spacing w:before="240" w:after="240" w:line="360" w:lineRule="auto"/>
      </w:pPr>
      <w:bookmarkStart w:id="54" w:name="_Toc228610830"/>
      <w:r>
        <w:rPr>
          <w:rFonts w:hint="eastAsia"/>
        </w:rPr>
        <w:t>模型创建与管理</w:t>
      </w:r>
      <w:bookmarkEnd w:id="54"/>
    </w:p>
    <w:p w14:paraId="330065BE">
      <w:pPr>
        <w:pStyle w:val="105"/>
        <w:spacing w:before="120" w:after="120" w:line="360" w:lineRule="auto"/>
      </w:pPr>
      <w:r>
        <w:rPr>
          <w:rFonts w:hint="eastAsia"/>
        </w:rPr>
        <w:t>一般要求</w:t>
      </w:r>
    </w:p>
    <w:p w14:paraId="4B3A5299">
      <w:pPr>
        <w:pStyle w:val="165"/>
        <w:spacing w:line="360" w:lineRule="auto"/>
      </w:pPr>
      <w:r>
        <w:rPr>
          <w:rFonts w:hint="eastAsia"/>
        </w:rPr>
        <w:t>BIM模型创建应依据设计文件、勘察资料、测量资料、施工图、设备资料、现场实测资料和经确认的技术文件进行。</w:t>
      </w:r>
    </w:p>
    <w:p w14:paraId="1200C4AC">
      <w:pPr>
        <w:pStyle w:val="165"/>
        <w:spacing w:line="360" w:lineRule="auto"/>
      </w:pPr>
      <w:r>
        <w:rPr>
          <w:rFonts w:hint="eastAsia"/>
        </w:rPr>
        <w:t>BIM模型应真实表达工程对象的空间位置、几何形态、构造关系、专业属性和管理信息。</w:t>
      </w:r>
    </w:p>
    <w:p w14:paraId="1CD44F06">
      <w:pPr>
        <w:pStyle w:val="165"/>
        <w:spacing w:line="360" w:lineRule="auto"/>
      </w:pPr>
      <w:r>
        <w:rPr>
          <w:rFonts w:hint="eastAsia"/>
        </w:rPr>
        <w:t>BIM模型创建应符合模型标准、编码规则、模型深度和交付要求。</w:t>
      </w:r>
    </w:p>
    <w:p w14:paraId="4A5AE675">
      <w:pPr>
        <w:pStyle w:val="165"/>
        <w:spacing w:line="360" w:lineRule="auto"/>
      </w:pPr>
      <w:r>
        <w:rPr>
          <w:rFonts w:hint="eastAsia"/>
        </w:rPr>
        <w:t>BIM模型不得与正式设计文件、施工方案和现场实体相矛盾。发现不一致时，应查明原因并及时修正。</w:t>
      </w:r>
    </w:p>
    <w:p w14:paraId="0C808CCD">
      <w:pPr>
        <w:pStyle w:val="165"/>
        <w:spacing w:line="360" w:lineRule="auto"/>
      </w:pPr>
      <w:r>
        <w:rPr>
          <w:rFonts w:hint="eastAsia"/>
        </w:rPr>
        <w:t>模型创建、修改、审核和发布应形成记录，并应可追溯至责任单位和责任人员。</w:t>
      </w:r>
    </w:p>
    <w:p w14:paraId="1B47E2BE">
      <w:pPr>
        <w:pStyle w:val="105"/>
        <w:spacing w:before="120" w:after="120" w:line="360" w:lineRule="auto"/>
      </w:pPr>
      <w:r>
        <w:rPr>
          <w:rFonts w:hint="eastAsia"/>
        </w:rPr>
        <w:t>模型拆分</w:t>
      </w:r>
    </w:p>
    <w:p w14:paraId="3063341F">
      <w:pPr>
        <w:pStyle w:val="165"/>
        <w:spacing w:line="360" w:lineRule="auto"/>
      </w:pPr>
      <w:r>
        <w:rPr>
          <w:rFonts w:hint="eastAsia"/>
        </w:rPr>
        <w:t>模型拆分应满足专业分工、协同管理、模型加载、施工组织、工程计量和交付管理要求。</w:t>
      </w:r>
    </w:p>
    <w:p w14:paraId="102632C7">
      <w:pPr>
        <w:pStyle w:val="165"/>
        <w:spacing w:line="360" w:lineRule="auto"/>
      </w:pPr>
      <w:r>
        <w:rPr>
          <w:rFonts w:hint="eastAsia"/>
        </w:rPr>
        <w:t>路线工程模型宜按标段、施工段、互通区段、桥隧区段或管理需求进行拆分。</w:t>
      </w:r>
    </w:p>
    <w:p w14:paraId="776D33CE">
      <w:pPr>
        <w:pStyle w:val="165"/>
        <w:spacing w:line="360" w:lineRule="auto"/>
      </w:pPr>
      <w:r>
        <w:rPr>
          <w:rFonts w:hint="eastAsia"/>
        </w:rPr>
        <w:t>桥梁模型宜按桥梁、墩台、孔跨、上部结构、下部结构、附属设施等层级拆分。</w:t>
      </w:r>
    </w:p>
    <w:p w14:paraId="6D206384">
      <w:pPr>
        <w:pStyle w:val="165"/>
        <w:spacing w:line="360" w:lineRule="auto"/>
      </w:pPr>
      <w:r>
        <w:rPr>
          <w:rFonts w:hint="eastAsia"/>
        </w:rPr>
        <w:t>隧道模型宜按隧道、洞口、洞身、围岩段、衬砌段、附属洞室、机电设施等层级拆分。</w:t>
      </w:r>
    </w:p>
    <w:p w14:paraId="45EE6D59">
      <w:pPr>
        <w:pStyle w:val="165"/>
        <w:spacing w:line="360" w:lineRule="auto"/>
      </w:pPr>
      <w:r>
        <w:rPr>
          <w:rFonts w:hint="eastAsia"/>
        </w:rPr>
        <w:t>机电工程模型宜按系统、站点、设备类别、安装位置和运维管理单元拆分。</w:t>
      </w:r>
    </w:p>
    <w:p w14:paraId="18101269">
      <w:pPr>
        <w:pStyle w:val="165"/>
        <w:spacing w:line="360" w:lineRule="auto"/>
      </w:pPr>
      <w:r>
        <w:rPr>
          <w:rFonts w:hint="eastAsia"/>
        </w:rPr>
        <w:t>模型拆分后应保持空间连续、编码连续和数据关联，不得因拆分导致工程对象重复、遗漏或断裂。</w:t>
      </w:r>
    </w:p>
    <w:p w14:paraId="5D737394">
      <w:pPr>
        <w:pStyle w:val="105"/>
        <w:spacing w:before="120" w:after="120" w:line="360" w:lineRule="auto"/>
      </w:pPr>
      <w:r>
        <w:rPr>
          <w:rFonts w:hint="eastAsia"/>
        </w:rPr>
        <w:t>模型深度</w:t>
      </w:r>
    </w:p>
    <w:p w14:paraId="1425EE75">
      <w:pPr>
        <w:pStyle w:val="165"/>
        <w:spacing w:line="360" w:lineRule="auto"/>
      </w:pPr>
      <w:r>
        <w:rPr>
          <w:rFonts w:hint="eastAsia"/>
        </w:rPr>
        <w:t>模型深度应根据应用阶段和应用目标确定。</w:t>
      </w:r>
    </w:p>
    <w:p w14:paraId="5517AB3F">
      <w:pPr>
        <w:pStyle w:val="165"/>
        <w:spacing w:line="360" w:lineRule="auto"/>
      </w:pPr>
      <w:r>
        <w:rPr>
          <w:rFonts w:hint="eastAsia"/>
        </w:rPr>
        <w:t>设计阶段模型应满足方案表达、专业协同、碰撞检查、设计审查和工程量校核要求。</w:t>
      </w:r>
    </w:p>
    <w:p w14:paraId="1DC18560">
      <w:pPr>
        <w:pStyle w:val="165"/>
        <w:spacing w:line="360" w:lineRule="auto"/>
      </w:pPr>
      <w:r>
        <w:rPr>
          <w:rFonts w:hint="eastAsia"/>
        </w:rPr>
        <w:t>施工阶段模型应满足施工组织、工序模拟、现场交底、进度关联、质量安全管理和计量管理要求。</w:t>
      </w:r>
    </w:p>
    <w:p w14:paraId="738AF482">
      <w:pPr>
        <w:pStyle w:val="165"/>
        <w:spacing w:line="360" w:lineRule="auto"/>
      </w:pPr>
      <w:r>
        <w:rPr>
          <w:rFonts w:hint="eastAsia"/>
        </w:rPr>
        <w:t>竣工模型应满足竣工资料关联、实体核验、资产移交和运营养护初始数据要求。</w:t>
      </w:r>
    </w:p>
    <w:p w14:paraId="1ECEDA4C">
      <w:pPr>
        <w:pStyle w:val="165"/>
        <w:spacing w:line="360" w:lineRule="auto"/>
      </w:pPr>
      <w:r>
        <w:rPr>
          <w:rFonts w:hint="eastAsia"/>
        </w:rPr>
        <w:t>运维模型应满足资产定位、设施状态查询、巡检养护、病害管理、维修记录和应急处置要求。</w:t>
      </w:r>
    </w:p>
    <w:p w14:paraId="18610B72">
      <w:pPr>
        <w:pStyle w:val="165"/>
        <w:spacing w:line="360" w:lineRule="auto"/>
      </w:pPr>
      <w:r>
        <w:rPr>
          <w:rFonts w:hint="eastAsia"/>
        </w:rPr>
        <w:t>模型深度不足以支撑相应应用的，不得作为该应用成果的依据。</w:t>
      </w:r>
    </w:p>
    <w:p w14:paraId="5FB0AB1C">
      <w:pPr>
        <w:pStyle w:val="105"/>
        <w:spacing w:before="120" w:after="120" w:line="360" w:lineRule="auto"/>
      </w:pPr>
      <w:r>
        <w:rPr>
          <w:rFonts w:hint="eastAsia"/>
        </w:rPr>
        <w:t>几何建模</w:t>
      </w:r>
    </w:p>
    <w:p w14:paraId="21B04D94">
      <w:pPr>
        <w:pStyle w:val="165"/>
        <w:spacing w:line="360" w:lineRule="auto"/>
      </w:pPr>
      <w:r>
        <w:rPr>
          <w:rFonts w:hint="eastAsia"/>
        </w:rPr>
        <w:t>几何建模应准确表达工程对象的形状、尺寸、位置、标高、里程和空间关系。</w:t>
      </w:r>
    </w:p>
    <w:p w14:paraId="334DAF9E">
      <w:pPr>
        <w:pStyle w:val="165"/>
        <w:spacing w:line="360" w:lineRule="auto"/>
      </w:pPr>
      <w:r>
        <w:rPr>
          <w:rFonts w:hint="eastAsia"/>
        </w:rPr>
        <w:t>路基、路面、边坡、排水、防护、桥梁、隧道、涵洞和附属设施的几何模型应与设计断面、平纵横参数和结构尺寸一致。</w:t>
      </w:r>
    </w:p>
    <w:p w14:paraId="17907C95">
      <w:pPr>
        <w:pStyle w:val="165"/>
        <w:spacing w:line="360" w:lineRule="auto"/>
      </w:pPr>
      <w:r>
        <w:rPr>
          <w:rFonts w:hint="eastAsia"/>
        </w:rPr>
        <w:t>桥梁构件应表达基础、承台、墩柱、盖梁、支座、梁板、桥面系、护栏、伸缩缝、排水设施等主要构件。</w:t>
      </w:r>
    </w:p>
    <w:p w14:paraId="5D96A86E">
      <w:pPr>
        <w:pStyle w:val="165"/>
        <w:spacing w:line="360" w:lineRule="auto"/>
      </w:pPr>
      <w:r>
        <w:rPr>
          <w:rFonts w:hint="eastAsia"/>
        </w:rPr>
        <w:t>隧道模型应表达洞门、初期支护、二次衬砌、仰拱、排水系统、附属洞室、预留预埋和机电设施空间关系。</w:t>
      </w:r>
    </w:p>
    <w:p w14:paraId="607AC856">
      <w:pPr>
        <w:pStyle w:val="165"/>
        <w:spacing w:line="360" w:lineRule="auto"/>
      </w:pPr>
      <w:r>
        <w:rPr>
          <w:rFonts w:hint="eastAsia"/>
        </w:rPr>
        <w:t>机电设备模型应表达安装位置、外形尺寸、接口位置、检修空间和与土建设施的关系。</w:t>
      </w:r>
    </w:p>
    <w:p w14:paraId="6604CB97">
      <w:pPr>
        <w:pStyle w:val="165"/>
        <w:spacing w:line="360" w:lineRule="auto"/>
      </w:pPr>
      <w:r>
        <w:rPr>
          <w:rFonts w:hint="eastAsia"/>
        </w:rPr>
        <w:t>不影响应用目标的细部构造可按约定方式简化，但不得影响空间校核、工程量统计和运维识别。</w:t>
      </w:r>
    </w:p>
    <w:p w14:paraId="54982A06">
      <w:pPr>
        <w:pStyle w:val="105"/>
        <w:spacing w:before="120" w:after="120" w:line="360" w:lineRule="auto"/>
      </w:pPr>
      <w:r>
        <w:rPr>
          <w:rFonts w:hint="eastAsia"/>
        </w:rPr>
        <w:t>属性建模</w:t>
      </w:r>
    </w:p>
    <w:p w14:paraId="137CFAAE">
      <w:pPr>
        <w:pStyle w:val="165"/>
        <w:spacing w:line="360" w:lineRule="auto"/>
      </w:pPr>
      <w:r>
        <w:rPr>
          <w:rFonts w:hint="eastAsia"/>
        </w:rPr>
        <w:t>模型属性应根据工程管理需求分阶段录入和维护。</w:t>
      </w:r>
    </w:p>
    <w:p w14:paraId="5175E80F">
      <w:pPr>
        <w:pStyle w:val="165"/>
        <w:spacing w:line="360" w:lineRule="auto"/>
      </w:pPr>
      <w:r>
        <w:rPr>
          <w:rFonts w:hint="eastAsia"/>
        </w:rPr>
        <w:t>设计阶段属性应包括工程名称、专业类别、构件名称、构件编码、材料、规格、设计参数、工程量和设计依据等信息。</w:t>
      </w:r>
    </w:p>
    <w:p w14:paraId="456A7979">
      <w:pPr>
        <w:pStyle w:val="165"/>
        <w:spacing w:line="360" w:lineRule="auto"/>
      </w:pPr>
      <w:r>
        <w:rPr>
          <w:rFonts w:hint="eastAsia"/>
        </w:rPr>
        <w:t>施工阶段属性应包括施工单位、施工段落、施工工序、计划时间、实际时间、质量状态、安全风险、检验批次和计量状态等信息。</w:t>
      </w:r>
    </w:p>
    <w:p w14:paraId="6EEAB2D1">
      <w:pPr>
        <w:pStyle w:val="165"/>
        <w:spacing w:line="360" w:lineRule="auto"/>
      </w:pPr>
      <w:r>
        <w:rPr>
          <w:rFonts w:hint="eastAsia"/>
        </w:rPr>
        <w:t>竣工阶段属性应包括竣工状态、验收信息、检测资料、变更记录、资产编号、移交状态和资料索引等信息。</w:t>
      </w:r>
    </w:p>
    <w:p w14:paraId="36B41EFF">
      <w:pPr>
        <w:pStyle w:val="165"/>
        <w:spacing w:line="360" w:lineRule="auto"/>
      </w:pPr>
      <w:r>
        <w:rPr>
          <w:rFonts w:hint="eastAsia"/>
        </w:rPr>
        <w:t>运营养护阶段属性应包括管理单位、设施状态、巡检周期、病害记录、维修记录、养护责任和应急信息等信息。</w:t>
      </w:r>
    </w:p>
    <w:p w14:paraId="5FBA6235">
      <w:pPr>
        <w:pStyle w:val="165"/>
        <w:spacing w:line="360" w:lineRule="auto"/>
      </w:pPr>
      <w:r>
        <w:rPr>
          <w:rFonts w:hint="eastAsia"/>
        </w:rPr>
        <w:t>属性信息应与工程资料、业务系统和现场实体一致，不得随意填充无依据信息。</w:t>
      </w:r>
    </w:p>
    <w:p w14:paraId="6C2B9BF6">
      <w:pPr>
        <w:pStyle w:val="105"/>
        <w:spacing w:before="120" w:after="120" w:line="360" w:lineRule="auto"/>
      </w:pPr>
      <w:r>
        <w:rPr>
          <w:rFonts w:hint="eastAsia"/>
        </w:rPr>
        <w:t>模型编码</w:t>
      </w:r>
    </w:p>
    <w:p w14:paraId="27101658">
      <w:pPr>
        <w:pStyle w:val="165"/>
        <w:spacing w:line="360" w:lineRule="auto"/>
      </w:pPr>
      <w:r>
        <w:rPr>
          <w:rFonts w:hint="eastAsia"/>
        </w:rPr>
        <w:t>模型编码应覆盖工程对象、专业系统、模型单元、设施设备、施工段落和资产对象。</w:t>
      </w:r>
    </w:p>
    <w:p w14:paraId="42F6AE7D">
      <w:pPr>
        <w:pStyle w:val="165"/>
        <w:spacing w:line="360" w:lineRule="auto"/>
      </w:pPr>
      <w:r>
        <w:rPr>
          <w:rFonts w:hint="eastAsia"/>
        </w:rPr>
        <w:t>模型编码应具有唯一性，不得出现一物多码、一号多物或编码重复使用。</w:t>
      </w:r>
    </w:p>
    <w:p w14:paraId="2A1A04B1">
      <w:pPr>
        <w:pStyle w:val="165"/>
        <w:spacing w:line="360" w:lineRule="auto"/>
      </w:pPr>
      <w:r>
        <w:rPr>
          <w:rFonts w:hint="eastAsia"/>
        </w:rPr>
        <w:t>模型编码应能够关联工程部位、专业类别、里程桩号、构件类型和管理层级。</w:t>
      </w:r>
    </w:p>
    <w:p w14:paraId="0BFF08EC">
      <w:pPr>
        <w:pStyle w:val="165"/>
        <w:spacing w:line="360" w:lineRule="auto"/>
      </w:pPr>
      <w:r>
        <w:rPr>
          <w:rFonts w:hint="eastAsia"/>
        </w:rPr>
        <w:t>设计、施工、交竣工和运维阶段应保持编码继承关系。</w:t>
      </w:r>
    </w:p>
    <w:p w14:paraId="4C27A7EA">
      <w:pPr>
        <w:pStyle w:val="165"/>
        <w:spacing w:line="360" w:lineRule="auto"/>
      </w:pPr>
      <w:r>
        <w:rPr>
          <w:rFonts w:hint="eastAsia"/>
        </w:rPr>
        <w:t>编码变更应保留新旧编码对应关系和变更记录。</w:t>
      </w:r>
    </w:p>
    <w:p w14:paraId="45117CBC">
      <w:pPr>
        <w:pStyle w:val="105"/>
        <w:spacing w:before="120" w:after="120" w:line="360" w:lineRule="auto"/>
      </w:pPr>
      <w:r>
        <w:rPr>
          <w:rFonts w:hint="eastAsia"/>
        </w:rPr>
        <w:t>模型审核</w:t>
      </w:r>
    </w:p>
    <w:p w14:paraId="35B68AD0">
      <w:pPr>
        <w:pStyle w:val="165"/>
        <w:spacing w:line="360" w:lineRule="auto"/>
      </w:pPr>
      <w:r>
        <w:rPr>
          <w:rFonts w:hint="eastAsia"/>
        </w:rPr>
        <w:t>模型提交前应开展自检，自检内容应包括几何完整性、属性完整性、编码正确性、文件命名、坐标基准、模型深度和专业协调关系。</w:t>
      </w:r>
    </w:p>
    <w:p w14:paraId="66ED2488">
      <w:pPr>
        <w:pStyle w:val="165"/>
        <w:spacing w:line="360" w:lineRule="auto"/>
      </w:pPr>
      <w:r>
        <w:rPr>
          <w:rFonts w:hint="eastAsia"/>
        </w:rPr>
        <w:t>建设单位或其委托单位应组织模型审核。模型审核应形成审核记录。</w:t>
      </w:r>
    </w:p>
    <w:p w14:paraId="265C424A">
      <w:pPr>
        <w:pStyle w:val="165"/>
        <w:spacing w:line="360" w:lineRule="auto"/>
      </w:pPr>
      <w:r>
        <w:rPr>
          <w:rFonts w:hint="eastAsia"/>
        </w:rPr>
        <w:t>模型审核发现的问题应形成问题清单，明确责任单位、整改要求和完成期限。</w:t>
      </w:r>
    </w:p>
    <w:p w14:paraId="798AAE0A">
      <w:pPr>
        <w:pStyle w:val="165"/>
        <w:spacing w:line="360" w:lineRule="auto"/>
      </w:pPr>
      <w:r>
        <w:rPr>
          <w:rFonts w:hint="eastAsia"/>
        </w:rPr>
        <w:t>未完成整改的问题不得关闭；未通过审核的模型不得作为正式成果发布。</w:t>
      </w:r>
    </w:p>
    <w:p w14:paraId="38618764">
      <w:pPr>
        <w:pStyle w:val="165"/>
        <w:spacing w:line="360" w:lineRule="auto"/>
      </w:pPr>
      <w:r>
        <w:rPr>
          <w:rFonts w:hint="eastAsia"/>
        </w:rPr>
        <w:t>模型质量检查表可参照附录B。</w:t>
      </w:r>
    </w:p>
    <w:p w14:paraId="0601A22C">
      <w:pPr>
        <w:pStyle w:val="104"/>
        <w:spacing w:before="240" w:after="240" w:line="360" w:lineRule="auto"/>
      </w:pPr>
      <w:bookmarkStart w:id="55" w:name="_Toc228610831"/>
      <w:r>
        <w:rPr>
          <w:rFonts w:hint="eastAsia"/>
        </w:rPr>
        <w:t>设计阶段应用</w:t>
      </w:r>
      <w:bookmarkEnd w:id="55"/>
    </w:p>
    <w:p w14:paraId="1115C41F">
      <w:pPr>
        <w:pStyle w:val="105"/>
        <w:spacing w:before="120" w:after="120" w:line="360" w:lineRule="auto"/>
      </w:pPr>
      <w:r>
        <w:rPr>
          <w:rFonts w:hint="eastAsia"/>
        </w:rPr>
        <w:t>一般要求</w:t>
      </w:r>
    </w:p>
    <w:p w14:paraId="39D87146">
      <w:pPr>
        <w:pStyle w:val="165"/>
        <w:spacing w:line="360" w:lineRule="auto"/>
      </w:pPr>
      <w:r>
        <w:rPr>
          <w:rFonts w:hint="eastAsia"/>
        </w:rPr>
        <w:t>设计阶段BIM应用应服务于方案表达、专业协同、设计优化、工程量校核和设计成果交付。</w:t>
      </w:r>
    </w:p>
    <w:p w14:paraId="6F3298BA">
      <w:pPr>
        <w:pStyle w:val="165"/>
        <w:spacing w:line="360" w:lineRule="auto"/>
      </w:pPr>
      <w:r>
        <w:rPr>
          <w:rFonts w:hint="eastAsia"/>
        </w:rPr>
        <w:t>设计模型应与设计图纸、设计说明、工程数量表和设计变更文件保持一致。</w:t>
      </w:r>
    </w:p>
    <w:p w14:paraId="1917CF3C">
      <w:pPr>
        <w:pStyle w:val="165"/>
        <w:spacing w:line="360" w:lineRule="auto"/>
      </w:pPr>
      <w:r>
        <w:rPr>
          <w:rFonts w:hint="eastAsia"/>
        </w:rPr>
        <w:t>设计阶段应建立专业模型协同机制，定期开展模型整合、碰撞检查和问题闭环。</w:t>
      </w:r>
    </w:p>
    <w:p w14:paraId="6749A5FC">
      <w:pPr>
        <w:pStyle w:val="165"/>
        <w:spacing w:line="360" w:lineRule="auto"/>
      </w:pPr>
      <w:r>
        <w:rPr>
          <w:rFonts w:hint="eastAsia"/>
        </w:rPr>
        <w:t>设计模型不得替代必要的设计校审程序，但应作为设计校审、方案比选和技术交底的重要依据。</w:t>
      </w:r>
    </w:p>
    <w:p w14:paraId="15169F1E">
      <w:pPr>
        <w:pStyle w:val="105"/>
        <w:spacing w:before="120" w:after="120" w:line="360" w:lineRule="auto"/>
      </w:pPr>
      <w:r>
        <w:rPr>
          <w:rFonts w:hint="eastAsia"/>
        </w:rPr>
        <w:t>路线与总体设计应用</w:t>
      </w:r>
    </w:p>
    <w:p w14:paraId="64954B62">
      <w:pPr>
        <w:pStyle w:val="165"/>
        <w:spacing w:line="360" w:lineRule="auto"/>
      </w:pPr>
      <w:r>
        <w:rPr>
          <w:rFonts w:hint="eastAsia"/>
        </w:rPr>
        <w:t>路线模型应表达平面线形、纵断面、横断面、互通布置、桥隧位置、交叉工程和控制点关系。</w:t>
      </w:r>
    </w:p>
    <w:p w14:paraId="369D2894">
      <w:pPr>
        <w:pStyle w:val="165"/>
        <w:spacing w:line="360" w:lineRule="auto"/>
      </w:pPr>
      <w:r>
        <w:rPr>
          <w:rFonts w:hint="eastAsia"/>
        </w:rPr>
        <w:t>路线模型应与地形、地质、既有道路、河流水系、建构筑物、管线和敏感区域进行空间叠合分析。</w:t>
      </w:r>
    </w:p>
    <w:p w14:paraId="6824D261">
      <w:pPr>
        <w:pStyle w:val="165"/>
        <w:spacing w:line="360" w:lineRule="auto"/>
      </w:pPr>
      <w:r>
        <w:rPr>
          <w:rFonts w:hint="eastAsia"/>
        </w:rPr>
        <w:t>路线方案比选应利用模型表达路线走廊、工程规模、控制因素、拆迁影响、环境影响和施工条件。</w:t>
      </w:r>
    </w:p>
    <w:p w14:paraId="273D2337">
      <w:pPr>
        <w:pStyle w:val="165"/>
        <w:spacing w:line="360" w:lineRule="auto"/>
      </w:pPr>
      <w:r>
        <w:rPr>
          <w:rFonts w:hint="eastAsia"/>
        </w:rPr>
        <w:t>路线模型应为路基、桥梁、隧道、涵洞、交安和机电等专业建模提供统一空间基准。</w:t>
      </w:r>
    </w:p>
    <w:p w14:paraId="1EA78789">
      <w:pPr>
        <w:pStyle w:val="105"/>
        <w:spacing w:before="120" w:after="120" w:line="360" w:lineRule="auto"/>
      </w:pPr>
      <w:r>
        <w:rPr>
          <w:rFonts w:hint="eastAsia"/>
        </w:rPr>
        <w:t>路基路面设计应用</w:t>
      </w:r>
    </w:p>
    <w:p w14:paraId="630F77A7">
      <w:pPr>
        <w:pStyle w:val="165"/>
        <w:spacing w:line="360" w:lineRule="auto"/>
      </w:pPr>
      <w:r>
        <w:rPr>
          <w:rFonts w:hint="eastAsia"/>
        </w:rPr>
        <w:t>路基模型应表达填挖方、边坡、防护、排水、挡墙、特殊路基处理和附属设施。</w:t>
      </w:r>
    </w:p>
    <w:p w14:paraId="1649AC0D">
      <w:pPr>
        <w:pStyle w:val="165"/>
        <w:spacing w:line="360" w:lineRule="auto"/>
      </w:pPr>
      <w:r>
        <w:rPr>
          <w:rFonts w:hint="eastAsia"/>
        </w:rPr>
        <w:t>路面模型应表达结构层、厚度、材料类型、车道划分、超高横坡和排水关系。</w:t>
      </w:r>
    </w:p>
    <w:p w14:paraId="55434029">
      <w:pPr>
        <w:pStyle w:val="165"/>
        <w:spacing w:line="360" w:lineRule="auto"/>
      </w:pPr>
      <w:r>
        <w:rPr>
          <w:rFonts w:hint="eastAsia"/>
        </w:rPr>
        <w:t>路基路面模型应支持土石方计算、边坡防护校核、排水组织分析和施工分段划分。</w:t>
      </w:r>
    </w:p>
    <w:p w14:paraId="1EA797BE">
      <w:pPr>
        <w:pStyle w:val="165"/>
        <w:spacing w:line="360" w:lineRule="auto"/>
      </w:pPr>
      <w:r>
        <w:rPr>
          <w:rFonts w:hint="eastAsia"/>
        </w:rPr>
        <w:t>高填深挖、软基处理、滑坡路段、采空区路段和特殊地质路段应建立重点模型并关联风险信息。</w:t>
      </w:r>
    </w:p>
    <w:p w14:paraId="0C1D7A9F">
      <w:pPr>
        <w:pStyle w:val="105"/>
        <w:spacing w:before="120" w:after="120" w:line="360" w:lineRule="auto"/>
      </w:pPr>
      <w:r>
        <w:rPr>
          <w:rFonts w:hint="eastAsia"/>
        </w:rPr>
        <w:t>桥梁设计应用</w:t>
      </w:r>
    </w:p>
    <w:p w14:paraId="30FA7B0E">
      <w:pPr>
        <w:pStyle w:val="165"/>
        <w:spacing w:line="360" w:lineRule="auto"/>
      </w:pPr>
      <w:r>
        <w:rPr>
          <w:rFonts w:hint="eastAsia"/>
        </w:rPr>
        <w:t>桥梁模型应表达桥位、孔跨布置、基础、下部结构、上部结构、桥面系、附属设施和施工控制条件。</w:t>
      </w:r>
    </w:p>
    <w:p w14:paraId="4D575A87">
      <w:pPr>
        <w:pStyle w:val="165"/>
        <w:spacing w:line="360" w:lineRule="auto"/>
      </w:pPr>
      <w:r>
        <w:rPr>
          <w:rFonts w:hint="eastAsia"/>
        </w:rPr>
        <w:t>桥梁模型应用于结构空间关系检查、净空校核、构件碰撞检查、钢筋或预埋件协调和工程量校核。</w:t>
      </w:r>
    </w:p>
    <w:p w14:paraId="3EB0C110">
      <w:pPr>
        <w:pStyle w:val="165"/>
        <w:spacing w:line="360" w:lineRule="auto"/>
      </w:pPr>
      <w:r>
        <w:rPr>
          <w:rFonts w:hint="eastAsia"/>
        </w:rPr>
        <w:t>跨线桥、跨河桥、特大桥、复杂互通桥梁和特殊结构桥梁应开展重点BIM应用。</w:t>
      </w:r>
    </w:p>
    <w:p w14:paraId="6A1D3B07">
      <w:pPr>
        <w:pStyle w:val="165"/>
        <w:spacing w:line="360" w:lineRule="auto"/>
      </w:pPr>
      <w:r>
        <w:rPr>
          <w:rFonts w:hint="eastAsia"/>
        </w:rPr>
        <w:t>桥梁模型中支座、伸缩缝、排水、检修通道、护栏和机电预留预埋等附属构造应满足施工和运维应用要求。</w:t>
      </w:r>
    </w:p>
    <w:p w14:paraId="6B441175">
      <w:pPr>
        <w:pStyle w:val="105"/>
        <w:spacing w:before="120" w:after="120" w:line="360" w:lineRule="auto"/>
      </w:pPr>
      <w:r>
        <w:rPr>
          <w:rFonts w:hint="eastAsia"/>
        </w:rPr>
        <w:t>隧道设计应用</w:t>
      </w:r>
    </w:p>
    <w:p w14:paraId="259030F3">
      <w:pPr>
        <w:pStyle w:val="165"/>
        <w:spacing w:line="360" w:lineRule="auto"/>
      </w:pPr>
      <w:r>
        <w:rPr>
          <w:rFonts w:hint="eastAsia"/>
        </w:rPr>
        <w:t>隧道模型应表达洞门、洞身、围岩分级、支护参数、衬砌结构、排水系统、横通道、附属洞室和机电预留预埋。</w:t>
      </w:r>
    </w:p>
    <w:p w14:paraId="0D055C76">
      <w:pPr>
        <w:pStyle w:val="165"/>
        <w:spacing w:line="360" w:lineRule="auto"/>
      </w:pPr>
      <w:r>
        <w:rPr>
          <w:rFonts w:hint="eastAsia"/>
        </w:rPr>
        <w:t>隧道模型应与地形、地质、地层、断层、富水区、浅埋段、偏压段和不良地质段信息关联。</w:t>
      </w:r>
    </w:p>
    <w:p w14:paraId="4CED13D1">
      <w:pPr>
        <w:pStyle w:val="165"/>
        <w:spacing w:line="360" w:lineRule="auto"/>
      </w:pPr>
      <w:r>
        <w:rPr>
          <w:rFonts w:hint="eastAsia"/>
        </w:rPr>
        <w:t>隧道设计模型应用于净空检查、管线综合、附属设施布置、施工方法比选和风险段识别。</w:t>
      </w:r>
    </w:p>
    <w:p w14:paraId="2418CB7D">
      <w:pPr>
        <w:pStyle w:val="165"/>
        <w:spacing w:line="360" w:lineRule="auto"/>
      </w:pPr>
      <w:r>
        <w:rPr>
          <w:rFonts w:hint="eastAsia"/>
        </w:rPr>
        <w:t>隧道机电与土建模型应开展综合碰撞检查，重点核查设备安装空间、检修空间、管线通道和预留孔洞。</w:t>
      </w:r>
    </w:p>
    <w:p w14:paraId="3B72018F">
      <w:pPr>
        <w:pStyle w:val="105"/>
        <w:spacing w:before="120" w:after="120" w:line="360" w:lineRule="auto"/>
      </w:pPr>
      <w:r>
        <w:rPr>
          <w:rFonts w:hint="eastAsia"/>
        </w:rPr>
        <w:t>交安与机电设计应用</w:t>
      </w:r>
    </w:p>
    <w:p w14:paraId="21BC5E54">
      <w:pPr>
        <w:pStyle w:val="165"/>
        <w:spacing w:line="360" w:lineRule="auto"/>
      </w:pPr>
      <w:r>
        <w:rPr>
          <w:rFonts w:hint="eastAsia"/>
        </w:rPr>
        <w:t>交通安全设施模型应表达护栏、标志、标线、隔离栅、防眩设施、轮廓标、声屏障等设施的位置、类型和规格。</w:t>
      </w:r>
    </w:p>
    <w:p w14:paraId="647B9555">
      <w:pPr>
        <w:pStyle w:val="165"/>
        <w:spacing w:line="360" w:lineRule="auto"/>
      </w:pPr>
      <w:r>
        <w:rPr>
          <w:rFonts w:hint="eastAsia"/>
        </w:rPr>
        <w:t>机电模型应表达监控、通信、收费、供配电、照明、通风、消防、隧道监控和外场设备。</w:t>
      </w:r>
    </w:p>
    <w:p w14:paraId="0E89EAF5">
      <w:pPr>
        <w:pStyle w:val="165"/>
        <w:spacing w:line="360" w:lineRule="auto"/>
      </w:pPr>
      <w:r>
        <w:rPr>
          <w:rFonts w:hint="eastAsia"/>
        </w:rPr>
        <w:t>机电模型应与土建结构、设备基础、管沟、桥架、预埋件和检修空间进行协同检查。</w:t>
      </w:r>
    </w:p>
    <w:p w14:paraId="2355424E">
      <w:pPr>
        <w:pStyle w:val="165"/>
        <w:spacing w:line="360" w:lineRule="auto"/>
      </w:pPr>
      <w:r>
        <w:rPr>
          <w:rFonts w:hint="eastAsia"/>
        </w:rPr>
        <w:t>交安与机电模型应满足后期资产管理和运维定位要求。</w:t>
      </w:r>
    </w:p>
    <w:p w14:paraId="04BD08AE">
      <w:pPr>
        <w:pStyle w:val="105"/>
        <w:spacing w:before="120" w:after="120" w:line="360" w:lineRule="auto"/>
      </w:pPr>
      <w:r>
        <w:rPr>
          <w:rFonts w:hint="eastAsia"/>
        </w:rPr>
        <w:t>碰撞检查与问题闭环</w:t>
      </w:r>
    </w:p>
    <w:p w14:paraId="781FB12D">
      <w:pPr>
        <w:pStyle w:val="165"/>
        <w:spacing w:line="360" w:lineRule="auto"/>
      </w:pPr>
      <w:r>
        <w:rPr>
          <w:rFonts w:hint="eastAsia"/>
        </w:rPr>
        <w:t>设计阶段应开展专业内和专业间碰撞检查。</w:t>
      </w:r>
    </w:p>
    <w:p w14:paraId="24B4F61C">
      <w:pPr>
        <w:pStyle w:val="165"/>
        <w:spacing w:line="360" w:lineRule="auto"/>
      </w:pPr>
      <w:r>
        <w:rPr>
          <w:rFonts w:hint="eastAsia"/>
        </w:rPr>
        <w:t>碰撞检查内容应包括构件空间冲突、净空不足、管线交叉、设备检修空间不足、预留预埋遗漏和施工干涉等问题。</w:t>
      </w:r>
    </w:p>
    <w:p w14:paraId="6B7AE0A0">
      <w:pPr>
        <w:pStyle w:val="165"/>
        <w:spacing w:line="360" w:lineRule="auto"/>
      </w:pPr>
      <w:r>
        <w:rPr>
          <w:rFonts w:hint="eastAsia"/>
        </w:rPr>
        <w:t>碰撞检查应形成报告，报告应包括问题编号、问题位置、问题描述、责任专业、处理意见和关闭状态。</w:t>
      </w:r>
    </w:p>
    <w:p w14:paraId="2C75FD2F">
      <w:pPr>
        <w:pStyle w:val="165"/>
        <w:spacing w:line="360" w:lineRule="auto"/>
      </w:pPr>
      <w:r>
        <w:rPr>
          <w:rFonts w:hint="eastAsia"/>
        </w:rPr>
        <w:t>碰撞问题整改后，应重新检查确认。</w:t>
      </w:r>
    </w:p>
    <w:p w14:paraId="27EE7263">
      <w:pPr>
        <w:pStyle w:val="165"/>
        <w:spacing w:line="360" w:lineRule="auto"/>
      </w:pPr>
      <w:r>
        <w:rPr>
          <w:rFonts w:hint="eastAsia"/>
        </w:rPr>
        <w:t>未关闭的重大碰撞问题不得进入施工交底和施工实施阶段。</w:t>
      </w:r>
    </w:p>
    <w:p w14:paraId="7F4B8B66">
      <w:pPr>
        <w:pStyle w:val="105"/>
        <w:spacing w:before="120" w:after="120" w:line="360" w:lineRule="auto"/>
      </w:pPr>
      <w:r>
        <w:rPr>
          <w:rFonts w:hint="eastAsia"/>
        </w:rPr>
        <w:t>工程量校核</w:t>
      </w:r>
    </w:p>
    <w:p w14:paraId="110BECC1">
      <w:pPr>
        <w:pStyle w:val="165"/>
        <w:spacing w:line="360" w:lineRule="auto"/>
      </w:pPr>
      <w:r>
        <w:rPr>
          <w:rFonts w:hint="eastAsia"/>
        </w:rPr>
        <w:t>设计阶段可基于BIM模型开展工程量提取和校核。</w:t>
      </w:r>
    </w:p>
    <w:p w14:paraId="6D57404A">
      <w:pPr>
        <w:pStyle w:val="165"/>
        <w:spacing w:line="360" w:lineRule="auto"/>
      </w:pPr>
      <w:r>
        <w:rPr>
          <w:rFonts w:hint="eastAsia"/>
        </w:rPr>
        <w:t>工程量提取应明确计量规则、模型范围、构件分类、计算方法和排除项。</w:t>
      </w:r>
    </w:p>
    <w:p w14:paraId="066C81D0">
      <w:pPr>
        <w:pStyle w:val="165"/>
        <w:spacing w:line="360" w:lineRule="auto"/>
      </w:pPr>
      <w:r>
        <w:rPr>
          <w:rFonts w:hint="eastAsia"/>
        </w:rPr>
        <w:t>BIM工程量应与设计工程数量表进行比对，差异应分析原因。</w:t>
      </w:r>
    </w:p>
    <w:p w14:paraId="64D9A288">
      <w:pPr>
        <w:pStyle w:val="165"/>
        <w:spacing w:line="360" w:lineRule="auto"/>
      </w:pPr>
      <w:r>
        <w:rPr>
          <w:rFonts w:hint="eastAsia"/>
        </w:rPr>
        <w:t>用于招标、计量或投资控制的工程量，应经专业人员审核确认。</w:t>
      </w:r>
    </w:p>
    <w:p w14:paraId="45231DE8">
      <w:pPr>
        <w:pStyle w:val="104"/>
        <w:spacing w:before="240" w:after="240" w:line="360" w:lineRule="auto"/>
      </w:pPr>
      <w:bookmarkStart w:id="56" w:name="_Toc228610832"/>
      <w:r>
        <w:rPr>
          <w:rFonts w:hint="eastAsia"/>
        </w:rPr>
        <w:t>施工准备阶段应用</w:t>
      </w:r>
      <w:bookmarkEnd w:id="56"/>
    </w:p>
    <w:p w14:paraId="22B791C5">
      <w:pPr>
        <w:pStyle w:val="105"/>
        <w:spacing w:before="120" w:after="120" w:line="360" w:lineRule="auto"/>
      </w:pPr>
      <w:r>
        <w:rPr>
          <w:rFonts w:hint="eastAsia"/>
        </w:rPr>
        <w:t>一般要求</w:t>
      </w:r>
    </w:p>
    <w:p w14:paraId="38A97BE5">
      <w:pPr>
        <w:pStyle w:val="165"/>
        <w:spacing w:line="360" w:lineRule="auto"/>
      </w:pPr>
      <w:r>
        <w:rPr>
          <w:rFonts w:hint="eastAsia"/>
        </w:rPr>
        <w:t>施工准备阶段BIM应用应服务于施工组织优化、施工方案比选、临建布置、技术交底、资源配置和风险预控。</w:t>
      </w:r>
    </w:p>
    <w:p w14:paraId="5F22632D">
      <w:pPr>
        <w:pStyle w:val="165"/>
        <w:spacing w:line="360" w:lineRule="auto"/>
      </w:pPr>
      <w:r>
        <w:rPr>
          <w:rFonts w:hint="eastAsia"/>
        </w:rPr>
        <w:t>施工单位应在开工前依据设计模型、施工图、施工组织设计和现场条件建立施工准备模型。</w:t>
      </w:r>
    </w:p>
    <w:p w14:paraId="50E0BC2C">
      <w:pPr>
        <w:pStyle w:val="165"/>
        <w:spacing w:line="360" w:lineRule="auto"/>
      </w:pPr>
      <w:r>
        <w:rPr>
          <w:rFonts w:hint="eastAsia"/>
        </w:rPr>
        <w:t>施工准备模型应反映施工段落划分、施工顺序、临时工程、施工便道、材料堆场、机械布置和安全防护要求。</w:t>
      </w:r>
    </w:p>
    <w:p w14:paraId="0278E262">
      <w:pPr>
        <w:pStyle w:val="165"/>
        <w:spacing w:line="360" w:lineRule="auto"/>
      </w:pPr>
      <w:r>
        <w:rPr>
          <w:rFonts w:hint="eastAsia"/>
        </w:rPr>
        <w:t>施工准备阶段发现设计模型与现场条件不一致的，应及时反馈并形成处理记录。</w:t>
      </w:r>
    </w:p>
    <w:p w14:paraId="4FA3DA88">
      <w:pPr>
        <w:pStyle w:val="105"/>
        <w:spacing w:before="120" w:after="120" w:line="360" w:lineRule="auto"/>
      </w:pPr>
      <w:r>
        <w:rPr>
          <w:rFonts w:hint="eastAsia"/>
        </w:rPr>
        <w:t>施工组织模拟</w:t>
      </w:r>
    </w:p>
    <w:p w14:paraId="088EB211">
      <w:pPr>
        <w:pStyle w:val="165"/>
        <w:spacing w:line="360" w:lineRule="auto"/>
      </w:pPr>
      <w:r>
        <w:rPr>
          <w:rFonts w:hint="eastAsia"/>
        </w:rPr>
        <w:t>施工组织模拟应将BIM模型与施工进度计划、施工工序、资源投入和场地布置关联。</w:t>
      </w:r>
    </w:p>
    <w:p w14:paraId="10A6128D">
      <w:pPr>
        <w:pStyle w:val="165"/>
        <w:spacing w:line="360" w:lineRule="auto"/>
      </w:pPr>
      <w:r>
        <w:rPr>
          <w:rFonts w:hint="eastAsia"/>
        </w:rPr>
        <w:t>施工组织模拟应重点用于桥梁架设、隧道开挖支护、互通施工、交通导改、高边坡施工、深基坑施工和大型设备吊装等复杂工序。</w:t>
      </w:r>
    </w:p>
    <w:p w14:paraId="1B12E29C">
      <w:pPr>
        <w:pStyle w:val="165"/>
        <w:spacing w:line="360" w:lineRule="auto"/>
      </w:pPr>
      <w:r>
        <w:rPr>
          <w:rFonts w:hint="eastAsia"/>
        </w:rPr>
        <w:t>模拟成果应能够表达施工顺序、施工空间、机械作业范围、临时设施、运输路线和关键节点。</w:t>
      </w:r>
    </w:p>
    <w:p w14:paraId="26C70BF5">
      <w:pPr>
        <w:pStyle w:val="165"/>
        <w:spacing w:line="360" w:lineRule="auto"/>
      </w:pPr>
      <w:r>
        <w:rPr>
          <w:rFonts w:hint="eastAsia"/>
        </w:rPr>
        <w:t>模拟发现施工冲突、场地不足、通道受阻或安全风险时，应优化施工方案。</w:t>
      </w:r>
    </w:p>
    <w:p w14:paraId="6D3819B7">
      <w:pPr>
        <w:pStyle w:val="105"/>
        <w:spacing w:before="120" w:after="120" w:line="360" w:lineRule="auto"/>
      </w:pPr>
      <w:r>
        <w:rPr>
          <w:rFonts w:hint="eastAsia"/>
        </w:rPr>
        <w:t>临时工程与场地布置</w:t>
      </w:r>
    </w:p>
    <w:p w14:paraId="47769554">
      <w:pPr>
        <w:pStyle w:val="165"/>
        <w:spacing w:line="360" w:lineRule="auto"/>
      </w:pPr>
      <w:r>
        <w:rPr>
          <w:rFonts w:hint="eastAsia"/>
        </w:rPr>
        <w:t>临时工程模型应表达施工便道、拌合站、预制场、钢筋加工场、材料堆场、临时用电、临时排水、临时消防和办公生活区。</w:t>
      </w:r>
    </w:p>
    <w:p w14:paraId="0A81DF5A">
      <w:pPr>
        <w:pStyle w:val="165"/>
        <w:spacing w:line="360" w:lineRule="auto"/>
      </w:pPr>
      <w:r>
        <w:rPr>
          <w:rFonts w:hint="eastAsia"/>
        </w:rPr>
        <w:t>临建布置应与永久工程、征地红线、地形地貌、交通组织、水系、管线和环境敏感点相协调。</w:t>
      </w:r>
    </w:p>
    <w:p w14:paraId="56F36BF1">
      <w:pPr>
        <w:pStyle w:val="165"/>
        <w:spacing w:line="360" w:lineRule="auto"/>
      </w:pPr>
      <w:r>
        <w:rPr>
          <w:rFonts w:hint="eastAsia"/>
        </w:rPr>
        <w:t>预制梁场、拌合站、钢筋加工场和大型机械作业区应开展空间布置校核。</w:t>
      </w:r>
    </w:p>
    <w:p w14:paraId="147080AE">
      <w:pPr>
        <w:pStyle w:val="165"/>
        <w:spacing w:line="360" w:lineRule="auto"/>
      </w:pPr>
      <w:r>
        <w:rPr>
          <w:rFonts w:hint="eastAsia"/>
        </w:rPr>
        <w:t>临时用电、临时排水和临边防护应在模型中明确布置位置和控制要求。</w:t>
      </w:r>
    </w:p>
    <w:p w14:paraId="54787F7B">
      <w:pPr>
        <w:pStyle w:val="105"/>
        <w:spacing w:before="120" w:after="120" w:line="360" w:lineRule="auto"/>
      </w:pPr>
      <w:r>
        <w:rPr>
          <w:rFonts w:hint="eastAsia"/>
        </w:rPr>
        <w:t>专项施工方案应用</w:t>
      </w:r>
    </w:p>
    <w:p w14:paraId="22DD6D3E">
      <w:pPr>
        <w:pStyle w:val="165"/>
        <w:spacing w:line="360" w:lineRule="auto"/>
      </w:pPr>
      <w:r>
        <w:rPr>
          <w:rFonts w:hint="eastAsia"/>
        </w:rPr>
        <w:t>对危险性较大、工序复杂或空间关系复杂的专项施工方案，宜采用BIM开展方案表达、工序推演和风险识别。</w:t>
      </w:r>
    </w:p>
    <w:p w14:paraId="652DE8D9">
      <w:pPr>
        <w:pStyle w:val="165"/>
        <w:spacing w:line="360" w:lineRule="auto"/>
      </w:pPr>
      <w:r>
        <w:rPr>
          <w:rFonts w:hint="eastAsia"/>
        </w:rPr>
        <w:t>专项施工方案BIM应用应明确施工步骤、设备布置、人员通道、材料运输、临时支撑、安全防护和应急措施。</w:t>
      </w:r>
    </w:p>
    <w:p w14:paraId="253EF6C5">
      <w:pPr>
        <w:pStyle w:val="165"/>
        <w:spacing w:line="360" w:lineRule="auto"/>
      </w:pPr>
      <w:r>
        <w:rPr>
          <w:rFonts w:hint="eastAsia"/>
        </w:rPr>
        <w:t>方案比选应记录不同方案的施工效率、安全风险、资源需求、工期影响和成本影响。</w:t>
      </w:r>
    </w:p>
    <w:p w14:paraId="03162518">
      <w:pPr>
        <w:pStyle w:val="165"/>
        <w:spacing w:line="360" w:lineRule="auto"/>
      </w:pPr>
      <w:r>
        <w:rPr>
          <w:rFonts w:hint="eastAsia"/>
        </w:rPr>
        <w:t>经BIM优化后的专项施工方案应与审批文件保持一致。</w:t>
      </w:r>
    </w:p>
    <w:p w14:paraId="3A528BFB">
      <w:pPr>
        <w:pStyle w:val="105"/>
        <w:spacing w:before="120" w:after="120" w:line="360" w:lineRule="auto"/>
      </w:pPr>
      <w:r>
        <w:rPr>
          <w:rFonts w:hint="eastAsia"/>
        </w:rPr>
        <w:t>技术交底</w:t>
      </w:r>
    </w:p>
    <w:p w14:paraId="6786BBDA">
      <w:pPr>
        <w:pStyle w:val="165"/>
        <w:spacing w:line="360" w:lineRule="auto"/>
      </w:pPr>
      <w:r>
        <w:rPr>
          <w:rFonts w:hint="eastAsia"/>
        </w:rPr>
        <w:t>施工单位宜利用BIM模型开展可视化技术交底。</w:t>
      </w:r>
    </w:p>
    <w:p w14:paraId="033E62A9">
      <w:pPr>
        <w:pStyle w:val="165"/>
        <w:spacing w:line="360" w:lineRule="auto"/>
      </w:pPr>
      <w:r>
        <w:rPr>
          <w:rFonts w:hint="eastAsia"/>
        </w:rPr>
        <w:t>技术交底应针对施工部位、施工工序、质量控制点、安全风险点和验收要求进行。</w:t>
      </w:r>
    </w:p>
    <w:p w14:paraId="53F84B0A">
      <w:pPr>
        <w:pStyle w:val="165"/>
        <w:spacing w:line="360" w:lineRule="auto"/>
      </w:pPr>
      <w:r>
        <w:rPr>
          <w:rFonts w:hint="eastAsia"/>
        </w:rPr>
        <w:t>技术交底模型应与实际施工方案一致，不得使用过期模型或未确认模型进行交底。</w:t>
      </w:r>
    </w:p>
    <w:p w14:paraId="45CDEDBC">
      <w:pPr>
        <w:pStyle w:val="165"/>
        <w:spacing w:line="360" w:lineRule="auto"/>
      </w:pPr>
      <w:r>
        <w:rPr>
          <w:rFonts w:hint="eastAsia"/>
        </w:rPr>
        <w:t>技术交底应形成记录，记录应包括交底时间、交底对象、交底内容、使用模型版本和参加人员。</w:t>
      </w:r>
    </w:p>
    <w:p w14:paraId="189CF3E2">
      <w:pPr>
        <w:pStyle w:val="165"/>
        <w:numPr>
          <w:ilvl w:val="0"/>
          <w:numId w:val="0"/>
        </w:numPr>
        <w:spacing w:line="360" w:lineRule="auto"/>
        <w:rPr>
          <w:rFonts w:hint="eastAsia"/>
        </w:rPr>
      </w:pPr>
    </w:p>
    <w:p w14:paraId="592F3FDF">
      <w:pPr>
        <w:pStyle w:val="104"/>
        <w:spacing w:before="240" w:after="240" w:line="360" w:lineRule="auto"/>
      </w:pPr>
      <w:bookmarkStart w:id="57" w:name="_Toc228610833"/>
      <w:r>
        <w:rPr>
          <w:rFonts w:hint="eastAsia"/>
        </w:rPr>
        <w:t>施工实施阶段应用</w:t>
      </w:r>
      <w:bookmarkEnd w:id="57"/>
    </w:p>
    <w:p w14:paraId="384EE15B">
      <w:pPr>
        <w:pStyle w:val="105"/>
        <w:spacing w:before="120" w:after="120" w:line="360" w:lineRule="auto"/>
      </w:pPr>
      <w:r>
        <w:rPr>
          <w:rFonts w:hint="eastAsia"/>
        </w:rPr>
        <w:t>一般要求</w:t>
      </w:r>
    </w:p>
    <w:p w14:paraId="30E65963">
      <w:pPr>
        <w:pStyle w:val="165"/>
        <w:spacing w:line="360" w:lineRule="auto"/>
      </w:pPr>
      <w:r>
        <w:rPr>
          <w:rFonts w:hint="eastAsia"/>
        </w:rPr>
        <w:t>施工实施阶段BIM应用应服务于现场协同、进度管理、质量管理、安全管理、工程计量、变更管理和资料归集。</w:t>
      </w:r>
    </w:p>
    <w:p w14:paraId="692A4282">
      <w:pPr>
        <w:pStyle w:val="165"/>
        <w:spacing w:line="360" w:lineRule="auto"/>
      </w:pPr>
      <w:r>
        <w:rPr>
          <w:rFonts w:hint="eastAsia"/>
        </w:rPr>
        <w:t>施工模型应随工程进展动态更新，模型状态应反映设计、施工、变更、验收和计量情况。</w:t>
      </w:r>
    </w:p>
    <w:p w14:paraId="4A8F9495">
      <w:pPr>
        <w:pStyle w:val="165"/>
        <w:spacing w:line="360" w:lineRule="auto"/>
      </w:pPr>
      <w:r>
        <w:rPr>
          <w:rFonts w:hint="eastAsia"/>
        </w:rPr>
        <w:t>施工过程中形成的质量、安全、进度、计量、变更和验收数据应与模型单元关联。</w:t>
      </w:r>
    </w:p>
    <w:p w14:paraId="263F0D6C">
      <w:pPr>
        <w:pStyle w:val="165"/>
        <w:spacing w:line="360" w:lineRule="auto"/>
      </w:pPr>
      <w:r>
        <w:rPr>
          <w:rFonts w:hint="eastAsia"/>
        </w:rPr>
        <w:t>施工模型与现场实体不一致时，应及时核查并修正，不得继续使用失真模型开展管理。</w:t>
      </w:r>
    </w:p>
    <w:p w14:paraId="0A3779A6">
      <w:pPr>
        <w:pStyle w:val="105"/>
        <w:spacing w:before="120" w:after="120" w:line="360" w:lineRule="auto"/>
      </w:pPr>
      <w:r>
        <w:rPr>
          <w:rFonts w:hint="eastAsia"/>
        </w:rPr>
        <w:t>施工进度关联</w:t>
      </w:r>
    </w:p>
    <w:p w14:paraId="4E5ABD3F">
      <w:pPr>
        <w:pStyle w:val="165"/>
        <w:spacing w:line="360" w:lineRule="auto"/>
      </w:pPr>
      <w:r>
        <w:rPr>
          <w:rFonts w:hint="eastAsia"/>
        </w:rPr>
        <w:t>施工模型应与进度计划进行关联，形成可视化进度管理成果。</w:t>
      </w:r>
    </w:p>
    <w:p w14:paraId="49C5388F">
      <w:pPr>
        <w:pStyle w:val="165"/>
        <w:spacing w:line="360" w:lineRule="auto"/>
      </w:pPr>
      <w:r>
        <w:rPr>
          <w:rFonts w:hint="eastAsia"/>
        </w:rPr>
        <w:t>进度关联应明确模型单元、计划开始时间、计划完成时间、实际开始时间、实际完成时间和责任单位。</w:t>
      </w:r>
    </w:p>
    <w:p w14:paraId="59740FE9">
      <w:pPr>
        <w:pStyle w:val="165"/>
        <w:spacing w:line="360" w:lineRule="auto"/>
      </w:pPr>
      <w:r>
        <w:rPr>
          <w:rFonts w:hint="eastAsia"/>
        </w:rPr>
        <w:t>施工单位应定期更新实际进度数据，并应与现场记录、监理记录和计量资料保持一致。</w:t>
      </w:r>
    </w:p>
    <w:p w14:paraId="2F963847">
      <w:pPr>
        <w:pStyle w:val="165"/>
        <w:spacing w:line="360" w:lineRule="auto"/>
      </w:pPr>
      <w:r>
        <w:rPr>
          <w:rFonts w:hint="eastAsia"/>
        </w:rPr>
        <w:t>进度偏差应通过模型进行可视化分析，必要时应提出纠偏措施。</w:t>
      </w:r>
    </w:p>
    <w:p w14:paraId="7C5D0FD2">
      <w:pPr>
        <w:pStyle w:val="105"/>
        <w:spacing w:before="120" w:after="120" w:line="360" w:lineRule="auto"/>
      </w:pPr>
      <w:r>
        <w:rPr>
          <w:rFonts w:hint="eastAsia"/>
        </w:rPr>
        <w:t>现场问题管理</w:t>
      </w:r>
    </w:p>
    <w:p w14:paraId="1DD676F9">
      <w:pPr>
        <w:pStyle w:val="165"/>
        <w:spacing w:line="360" w:lineRule="auto"/>
      </w:pPr>
      <w:r>
        <w:rPr>
          <w:rFonts w:hint="eastAsia"/>
        </w:rPr>
        <w:t>施工现场发现的设计问题、施工冲突、质量缺陷、安全隐患和资料问题宜与模型位置关联。</w:t>
      </w:r>
    </w:p>
    <w:p w14:paraId="399B4DF7">
      <w:pPr>
        <w:pStyle w:val="165"/>
        <w:spacing w:line="360" w:lineRule="auto"/>
      </w:pPr>
      <w:r>
        <w:rPr>
          <w:rFonts w:hint="eastAsia"/>
        </w:rPr>
        <w:t>现场问题应形成闭环记录，记录应包括问题编号、位置、描述、照片、责任单位、处理措施、完成时间和确认状态。</w:t>
      </w:r>
    </w:p>
    <w:p w14:paraId="37F35AEE">
      <w:pPr>
        <w:pStyle w:val="165"/>
        <w:spacing w:line="360" w:lineRule="auto"/>
      </w:pPr>
      <w:r>
        <w:rPr>
          <w:rFonts w:hint="eastAsia"/>
        </w:rPr>
        <w:t>重大质量安全问题应与对应模型单元、施工工序和责任单位关联。</w:t>
      </w:r>
    </w:p>
    <w:p w14:paraId="69CEBC6E">
      <w:pPr>
        <w:pStyle w:val="165"/>
        <w:spacing w:line="360" w:lineRule="auto"/>
      </w:pPr>
      <w:r>
        <w:rPr>
          <w:rFonts w:hint="eastAsia"/>
        </w:rPr>
        <w:t>问题未关闭前，不得将相关模型单元标识为完成状态。</w:t>
      </w:r>
    </w:p>
    <w:p w14:paraId="4CA52C8F">
      <w:pPr>
        <w:pStyle w:val="105"/>
        <w:spacing w:before="120" w:after="120" w:line="360" w:lineRule="auto"/>
      </w:pPr>
      <w:r>
        <w:rPr>
          <w:rFonts w:hint="eastAsia"/>
        </w:rPr>
        <w:t>设计变更与现场签证</w:t>
      </w:r>
    </w:p>
    <w:p w14:paraId="02347876">
      <w:pPr>
        <w:pStyle w:val="165"/>
        <w:spacing w:line="360" w:lineRule="auto"/>
      </w:pPr>
      <w:r>
        <w:rPr>
          <w:rFonts w:hint="eastAsia"/>
        </w:rPr>
        <w:t>设计变更应同步更新相关BIM模型和属性数据。</w:t>
      </w:r>
    </w:p>
    <w:p w14:paraId="77C49047">
      <w:pPr>
        <w:pStyle w:val="165"/>
        <w:spacing w:line="360" w:lineRule="auto"/>
      </w:pPr>
      <w:r>
        <w:rPr>
          <w:rFonts w:hint="eastAsia"/>
        </w:rPr>
        <w:t>变更模型应标识变更编号、变更原因、变更范围、变更前后状态、审批状态和影响工程量。</w:t>
      </w:r>
    </w:p>
    <w:p w14:paraId="0B727D0B">
      <w:pPr>
        <w:pStyle w:val="165"/>
        <w:spacing w:line="360" w:lineRule="auto"/>
      </w:pPr>
      <w:r>
        <w:rPr>
          <w:rFonts w:hint="eastAsia"/>
        </w:rPr>
        <w:t>现场签证涉及工程实体变化的，应与模型单元和工程量数据关联。</w:t>
      </w:r>
    </w:p>
    <w:p w14:paraId="54992612">
      <w:pPr>
        <w:pStyle w:val="165"/>
        <w:spacing w:line="360" w:lineRule="auto"/>
      </w:pPr>
      <w:r>
        <w:rPr>
          <w:rFonts w:hint="eastAsia"/>
        </w:rPr>
        <w:t>未经审批的变更不得纳入正式竣工模型。</w:t>
      </w:r>
    </w:p>
    <w:p w14:paraId="178259A5">
      <w:pPr>
        <w:pStyle w:val="105"/>
        <w:spacing w:before="120" w:after="120" w:line="360" w:lineRule="auto"/>
      </w:pPr>
      <w:r>
        <w:rPr>
          <w:rFonts w:hint="eastAsia"/>
        </w:rPr>
        <w:t>施工资料关联</w:t>
      </w:r>
    </w:p>
    <w:p w14:paraId="1DD675B6">
      <w:pPr>
        <w:pStyle w:val="165"/>
        <w:spacing w:line="360" w:lineRule="auto"/>
      </w:pPr>
      <w:r>
        <w:rPr>
          <w:rFonts w:hint="eastAsia"/>
        </w:rPr>
        <w:t>施工过程资料应与模型单元建立关联关系。</w:t>
      </w:r>
    </w:p>
    <w:p w14:paraId="7422ADBC">
      <w:pPr>
        <w:pStyle w:val="165"/>
        <w:spacing w:line="360" w:lineRule="auto"/>
      </w:pPr>
      <w:r>
        <w:rPr>
          <w:rFonts w:hint="eastAsia"/>
        </w:rPr>
        <w:t>可关联资料包括施工记录、检验批资料、试验检测报告、隐蔽工程验收记录、监理指令、整改记录、照片视频和质量评定资料。</w:t>
      </w:r>
    </w:p>
    <w:p w14:paraId="6DD57C2E">
      <w:pPr>
        <w:pStyle w:val="165"/>
        <w:spacing w:line="360" w:lineRule="auto"/>
      </w:pPr>
      <w:r>
        <w:rPr>
          <w:rFonts w:hint="eastAsia"/>
        </w:rPr>
        <w:t>资料关联应保证资料编号、工程部位、模型编码和施工日期一致。</w:t>
      </w:r>
    </w:p>
    <w:p w14:paraId="417A9D9E">
      <w:pPr>
        <w:pStyle w:val="165"/>
        <w:spacing w:line="360" w:lineRule="auto"/>
      </w:pPr>
      <w:r>
        <w:rPr>
          <w:rFonts w:hint="eastAsia"/>
        </w:rPr>
        <w:t>资料缺失或关联错误的模型单元，不得直接作为竣工交付成果。</w:t>
      </w:r>
    </w:p>
    <w:p w14:paraId="009D4C68">
      <w:pPr>
        <w:pStyle w:val="104"/>
        <w:spacing w:before="240" w:after="240" w:line="360" w:lineRule="auto"/>
      </w:pPr>
      <w:bookmarkStart w:id="58" w:name="_Toc228610834"/>
      <w:r>
        <w:rPr>
          <w:rFonts w:hint="eastAsia"/>
        </w:rPr>
        <w:t>质量安全管理应用</w:t>
      </w:r>
      <w:bookmarkEnd w:id="58"/>
    </w:p>
    <w:p w14:paraId="76AFD907">
      <w:pPr>
        <w:pStyle w:val="105"/>
        <w:spacing w:before="120" w:after="120" w:line="360" w:lineRule="auto"/>
      </w:pPr>
      <w:r>
        <w:rPr>
          <w:rFonts w:hint="eastAsia"/>
        </w:rPr>
        <w:t>一般要求</w:t>
      </w:r>
    </w:p>
    <w:p w14:paraId="6B9AB8DD">
      <w:pPr>
        <w:pStyle w:val="165"/>
        <w:spacing w:line="360" w:lineRule="auto"/>
      </w:pPr>
      <w:r>
        <w:rPr>
          <w:rFonts w:hint="eastAsia"/>
        </w:rPr>
        <w:t>BIM应服务于高速公路工程质量控制、安全风险识别、隐患整改和责任追溯。</w:t>
      </w:r>
    </w:p>
    <w:p w14:paraId="4F09295D">
      <w:pPr>
        <w:pStyle w:val="165"/>
        <w:spacing w:line="360" w:lineRule="auto"/>
      </w:pPr>
      <w:r>
        <w:rPr>
          <w:rFonts w:hint="eastAsia"/>
        </w:rPr>
        <w:t>质量安全管理应用应与施工方案、质量验收标准、安全专项方案和现场管理制度相衔接。</w:t>
      </w:r>
    </w:p>
    <w:p w14:paraId="585C8894">
      <w:pPr>
        <w:pStyle w:val="165"/>
        <w:spacing w:line="360" w:lineRule="auto"/>
      </w:pPr>
      <w:r>
        <w:rPr>
          <w:rFonts w:hint="eastAsia"/>
        </w:rPr>
        <w:t>质量安全问题应与工程部位、模型单元、责任单位和整改状态关联。</w:t>
      </w:r>
    </w:p>
    <w:p w14:paraId="5332BC44">
      <w:pPr>
        <w:pStyle w:val="165"/>
        <w:spacing w:line="360" w:lineRule="auto"/>
      </w:pPr>
      <w:r>
        <w:rPr>
          <w:rFonts w:hint="eastAsia"/>
        </w:rPr>
        <w:t>BIM质量安全数据不得与实际检查记录、验收资料和整改结果相矛盾。</w:t>
      </w:r>
    </w:p>
    <w:p w14:paraId="6816F5C1">
      <w:pPr>
        <w:pStyle w:val="105"/>
        <w:spacing w:before="120" w:after="120" w:line="360" w:lineRule="auto"/>
      </w:pPr>
      <w:r>
        <w:rPr>
          <w:rFonts w:hint="eastAsia"/>
        </w:rPr>
        <w:t>质量管理应用</w:t>
      </w:r>
    </w:p>
    <w:p w14:paraId="27F2E8BE">
      <w:pPr>
        <w:pStyle w:val="165"/>
        <w:spacing w:line="360" w:lineRule="auto"/>
      </w:pPr>
      <w:r>
        <w:rPr>
          <w:rFonts w:hint="eastAsia"/>
        </w:rPr>
        <w:t>质量管理应用应覆盖关键工序、关键部位、隐蔽工程、试验检测、质量验收和问题整改。</w:t>
      </w:r>
    </w:p>
    <w:p w14:paraId="61499C69">
      <w:pPr>
        <w:pStyle w:val="165"/>
        <w:spacing w:line="360" w:lineRule="auto"/>
      </w:pPr>
      <w:r>
        <w:rPr>
          <w:rFonts w:hint="eastAsia"/>
        </w:rPr>
        <w:t>模型单元宜关联检验批、分项工程、分部工程和单位工程质量验收信息。</w:t>
      </w:r>
    </w:p>
    <w:p w14:paraId="54C94E44">
      <w:pPr>
        <w:pStyle w:val="165"/>
        <w:spacing w:line="360" w:lineRule="auto"/>
      </w:pPr>
      <w:r>
        <w:rPr>
          <w:rFonts w:hint="eastAsia"/>
        </w:rPr>
        <w:t>对桥梁桩基、墩柱、梁板、预应力、隧道初支、二衬、防排水、路基压实、路面摊铺等关键工序，应关联质量控制数据。</w:t>
      </w:r>
    </w:p>
    <w:p w14:paraId="41587DE4">
      <w:pPr>
        <w:pStyle w:val="165"/>
        <w:spacing w:line="360" w:lineRule="auto"/>
      </w:pPr>
      <w:r>
        <w:rPr>
          <w:rFonts w:hint="eastAsia"/>
        </w:rPr>
        <w:t>质量问题应在模型中标识位置和状态，并应记录原因分析、整改措施、复查结果和关闭时间。</w:t>
      </w:r>
    </w:p>
    <w:p w14:paraId="5C3CC34A">
      <w:pPr>
        <w:pStyle w:val="105"/>
        <w:spacing w:before="120" w:after="120" w:line="360" w:lineRule="auto"/>
      </w:pPr>
      <w:r>
        <w:rPr>
          <w:rFonts w:hint="eastAsia"/>
        </w:rPr>
        <w:t>安全管理应用</w:t>
      </w:r>
    </w:p>
    <w:p w14:paraId="498223B3">
      <w:pPr>
        <w:pStyle w:val="165"/>
        <w:spacing w:line="360" w:lineRule="auto"/>
      </w:pPr>
      <w:r>
        <w:rPr>
          <w:rFonts w:hint="eastAsia"/>
        </w:rPr>
        <w:t>安全管理应用应覆盖危险源识别、风险分级、安全交底、临边防护、临时用电、起重吊装、高处作业、隧道施工、交通导改和应急管理等内容。</w:t>
      </w:r>
    </w:p>
    <w:p w14:paraId="45EA38E3">
      <w:pPr>
        <w:pStyle w:val="165"/>
        <w:spacing w:line="360" w:lineRule="auto"/>
      </w:pPr>
      <w:r>
        <w:rPr>
          <w:rFonts w:hint="eastAsia"/>
        </w:rPr>
        <w:t>高风险作业区域应在模型中进行标识，并应关联风险等级、管控措施和责任人员。</w:t>
      </w:r>
    </w:p>
    <w:p w14:paraId="08681EFA">
      <w:pPr>
        <w:pStyle w:val="165"/>
        <w:spacing w:line="360" w:lineRule="auto"/>
      </w:pPr>
      <w:r>
        <w:rPr>
          <w:rFonts w:hint="eastAsia"/>
        </w:rPr>
        <w:t>起重吊装、架桥机施工、隧道开挖、爆破作业、高边坡施工和跨线施工等作业宜采用BIM开展风险推演。</w:t>
      </w:r>
    </w:p>
    <w:p w14:paraId="4930BCBF">
      <w:pPr>
        <w:pStyle w:val="165"/>
        <w:spacing w:line="360" w:lineRule="auto"/>
      </w:pPr>
      <w:r>
        <w:rPr>
          <w:rFonts w:hint="eastAsia"/>
        </w:rPr>
        <w:t>安全隐患应与模型位置、照片、整改通知、整改责任和复查结果关联。</w:t>
      </w:r>
    </w:p>
    <w:p w14:paraId="56969A77">
      <w:pPr>
        <w:pStyle w:val="105"/>
        <w:spacing w:before="120" w:after="120" w:line="360" w:lineRule="auto"/>
      </w:pPr>
      <w:r>
        <w:rPr>
          <w:rFonts w:hint="eastAsia"/>
        </w:rPr>
        <w:t>质量安全检查闭环</w:t>
      </w:r>
    </w:p>
    <w:p w14:paraId="1872DAEF">
      <w:pPr>
        <w:pStyle w:val="165"/>
        <w:spacing w:line="360" w:lineRule="auto"/>
      </w:pPr>
      <w:r>
        <w:rPr>
          <w:rFonts w:hint="eastAsia"/>
        </w:rPr>
        <w:t>质量安全检查问题应形成发现、通知、整改、复查、关闭的闭环。</w:t>
      </w:r>
    </w:p>
    <w:p w14:paraId="53892CF8">
      <w:pPr>
        <w:pStyle w:val="165"/>
        <w:spacing w:line="360" w:lineRule="auto"/>
      </w:pPr>
      <w:r>
        <w:rPr>
          <w:rFonts w:hint="eastAsia"/>
        </w:rPr>
        <w:t>问题闭环记录应与模型单元和工程部位关联。</w:t>
      </w:r>
    </w:p>
    <w:p w14:paraId="1BA3A6FA">
      <w:pPr>
        <w:pStyle w:val="165"/>
        <w:spacing w:line="360" w:lineRule="auto"/>
      </w:pPr>
      <w:r>
        <w:rPr>
          <w:rFonts w:hint="eastAsia"/>
        </w:rPr>
        <w:t>对重复发生的质量安全问题，应开展模型化统计分析，识别高发部位、高发工序和责任环节。</w:t>
      </w:r>
    </w:p>
    <w:p w14:paraId="5141E31F">
      <w:pPr>
        <w:pStyle w:val="165"/>
        <w:spacing w:line="360" w:lineRule="auto"/>
      </w:pPr>
      <w:r>
        <w:rPr>
          <w:rFonts w:hint="eastAsia"/>
        </w:rPr>
        <w:t>质量安全管理应用成果应作为质量安全会议、风险预警和管理改进的依据。</w:t>
      </w:r>
    </w:p>
    <w:p w14:paraId="719FB867">
      <w:pPr>
        <w:pStyle w:val="104"/>
        <w:spacing w:before="240" w:after="240" w:line="360" w:lineRule="auto"/>
      </w:pPr>
      <w:bookmarkStart w:id="59" w:name="_Toc228610835"/>
      <w:r>
        <w:rPr>
          <w:rFonts w:hint="eastAsia"/>
        </w:rPr>
        <w:t>进度与成本管理应用</w:t>
      </w:r>
      <w:bookmarkEnd w:id="59"/>
    </w:p>
    <w:p w14:paraId="576A172F">
      <w:pPr>
        <w:pStyle w:val="105"/>
        <w:spacing w:before="120" w:after="120" w:line="360" w:lineRule="auto"/>
      </w:pPr>
      <w:r>
        <w:rPr>
          <w:rFonts w:hint="eastAsia"/>
        </w:rPr>
        <w:t>一般要求</w:t>
      </w:r>
    </w:p>
    <w:p w14:paraId="079956DE">
      <w:pPr>
        <w:pStyle w:val="165"/>
        <w:spacing w:line="360" w:lineRule="auto"/>
      </w:pPr>
      <w:r>
        <w:rPr>
          <w:rFonts w:hint="eastAsia"/>
        </w:rPr>
        <w:t>BIM进度与成本管理应用应以模型单元、进度计划、工程量清单、合同计量规则和现场完成情况为基础。</w:t>
      </w:r>
    </w:p>
    <w:p w14:paraId="240CB493">
      <w:pPr>
        <w:pStyle w:val="165"/>
        <w:spacing w:line="360" w:lineRule="auto"/>
      </w:pPr>
      <w:r>
        <w:rPr>
          <w:rFonts w:hint="eastAsia"/>
        </w:rPr>
        <w:t>进度与成本数据应来源明确、口径一致、计算规则清晰、结果可复核。</w:t>
      </w:r>
    </w:p>
    <w:p w14:paraId="1B9594C6">
      <w:pPr>
        <w:pStyle w:val="165"/>
        <w:spacing w:line="360" w:lineRule="auto"/>
      </w:pPr>
      <w:r>
        <w:rPr>
          <w:rFonts w:hint="eastAsia"/>
        </w:rPr>
        <w:t>未经审核确认的模型工程量不得直接作为计量支付依据。</w:t>
      </w:r>
    </w:p>
    <w:p w14:paraId="458127C4">
      <w:pPr>
        <w:pStyle w:val="165"/>
        <w:spacing w:line="360" w:lineRule="auto"/>
      </w:pPr>
      <w:r>
        <w:rPr>
          <w:rFonts w:hint="eastAsia"/>
        </w:rPr>
        <w:t>进度与成本管理成果应与项目管理系统、计量支付系统和合同管理资料相一致。</w:t>
      </w:r>
    </w:p>
    <w:p w14:paraId="4E4AA179">
      <w:pPr>
        <w:pStyle w:val="105"/>
        <w:spacing w:before="120" w:after="120" w:line="360" w:lineRule="auto"/>
      </w:pPr>
      <w:r>
        <w:rPr>
          <w:rFonts w:hint="eastAsia"/>
        </w:rPr>
        <w:t>进度管理</w:t>
      </w:r>
    </w:p>
    <w:p w14:paraId="41759E08">
      <w:pPr>
        <w:pStyle w:val="165"/>
        <w:spacing w:line="360" w:lineRule="auto"/>
      </w:pPr>
      <w:r>
        <w:rPr>
          <w:rFonts w:hint="eastAsia"/>
        </w:rPr>
        <w:t>BIM进度管理应将模型单元与工作分解结构、施工段落和进度计划关联。</w:t>
      </w:r>
    </w:p>
    <w:p w14:paraId="236F4B06">
      <w:pPr>
        <w:pStyle w:val="165"/>
        <w:spacing w:line="360" w:lineRule="auto"/>
      </w:pPr>
      <w:r>
        <w:rPr>
          <w:rFonts w:hint="eastAsia"/>
        </w:rPr>
        <w:t>进度模型应表达计划进度、实际进度、滞后部位、关键线路和节点风险。</w:t>
      </w:r>
    </w:p>
    <w:p w14:paraId="69648A79">
      <w:pPr>
        <w:pStyle w:val="165"/>
        <w:spacing w:line="360" w:lineRule="auto"/>
      </w:pPr>
      <w:r>
        <w:rPr>
          <w:rFonts w:hint="eastAsia"/>
        </w:rPr>
        <w:t>进度数据应定期更新，更新频率应满足项目管理要求。</w:t>
      </w:r>
    </w:p>
    <w:p w14:paraId="7FF0DC39">
      <w:pPr>
        <w:pStyle w:val="165"/>
        <w:spacing w:line="360" w:lineRule="auto"/>
      </w:pPr>
      <w:r>
        <w:rPr>
          <w:rFonts w:hint="eastAsia"/>
        </w:rPr>
        <w:t>进度偏差分析应结合资源投入、施工条件、设计变更、质量安全问题和外部影响因素开展。</w:t>
      </w:r>
    </w:p>
    <w:p w14:paraId="10664A9E">
      <w:pPr>
        <w:pStyle w:val="105"/>
        <w:spacing w:before="120" w:after="120" w:line="360" w:lineRule="auto"/>
      </w:pPr>
      <w:r>
        <w:rPr>
          <w:rFonts w:hint="eastAsia"/>
        </w:rPr>
        <w:t>工程量管理</w:t>
      </w:r>
    </w:p>
    <w:p w14:paraId="78F638C7">
      <w:pPr>
        <w:pStyle w:val="165"/>
        <w:spacing w:line="360" w:lineRule="auto"/>
      </w:pPr>
      <w:r>
        <w:rPr>
          <w:rFonts w:hint="eastAsia"/>
        </w:rPr>
        <w:t>BIM工程量提取应依据经审核的模型、约定的计量规则和清单编码进行。</w:t>
      </w:r>
    </w:p>
    <w:p w14:paraId="5A50E0D1">
      <w:pPr>
        <w:pStyle w:val="165"/>
        <w:spacing w:line="360" w:lineRule="auto"/>
      </w:pPr>
      <w:r>
        <w:rPr>
          <w:rFonts w:hint="eastAsia"/>
        </w:rPr>
        <w:t>工程量统计应明确统计范围、模型版本、构件类别、计算规则和输出格式。</w:t>
      </w:r>
    </w:p>
    <w:p w14:paraId="4746D213">
      <w:pPr>
        <w:pStyle w:val="165"/>
        <w:spacing w:line="360" w:lineRule="auto"/>
      </w:pPr>
      <w:r>
        <w:rPr>
          <w:rFonts w:hint="eastAsia"/>
        </w:rPr>
        <w:t>工程量成果应与设计数量、清单数量、变更数量和现场完成数量进行比对。</w:t>
      </w:r>
    </w:p>
    <w:p w14:paraId="30DFA2DA">
      <w:pPr>
        <w:pStyle w:val="165"/>
        <w:spacing w:line="360" w:lineRule="auto"/>
      </w:pPr>
      <w:r>
        <w:rPr>
          <w:rFonts w:hint="eastAsia"/>
        </w:rPr>
        <w:t>工程量差异应形成分析记录，不得无依据调整模型数据或统计结果。</w:t>
      </w:r>
    </w:p>
    <w:p w14:paraId="15043F42">
      <w:pPr>
        <w:pStyle w:val="105"/>
        <w:spacing w:before="120" w:after="120" w:line="360" w:lineRule="auto"/>
      </w:pPr>
      <w:r>
        <w:rPr>
          <w:rFonts w:hint="eastAsia"/>
        </w:rPr>
        <w:t>成本与计量应用</w:t>
      </w:r>
    </w:p>
    <w:p w14:paraId="70BAE421">
      <w:pPr>
        <w:pStyle w:val="165"/>
        <w:spacing w:line="360" w:lineRule="auto"/>
      </w:pPr>
      <w:r>
        <w:rPr>
          <w:rFonts w:hint="eastAsia"/>
        </w:rPr>
        <w:t>BIM成本管理应用可将模型单元与清单项、合同单价、计量周期、变更费用和支付状态关联。</w:t>
      </w:r>
    </w:p>
    <w:p w14:paraId="313D52A7">
      <w:pPr>
        <w:pStyle w:val="165"/>
        <w:spacing w:line="360" w:lineRule="auto"/>
      </w:pPr>
      <w:r>
        <w:rPr>
          <w:rFonts w:hint="eastAsia"/>
        </w:rPr>
        <w:t>计量支付相关数据应经施工单位、监理单位和建设单位按规定审核确认。</w:t>
      </w:r>
    </w:p>
    <w:p w14:paraId="32AFBBF6">
      <w:pPr>
        <w:pStyle w:val="165"/>
        <w:spacing w:line="360" w:lineRule="auto"/>
      </w:pPr>
      <w:r>
        <w:rPr>
          <w:rFonts w:hint="eastAsia"/>
        </w:rPr>
        <w:t>变更工程量和费用应与变更模型、审批文件和现场签证资料关联。</w:t>
      </w:r>
    </w:p>
    <w:p w14:paraId="6A687BA8">
      <w:pPr>
        <w:pStyle w:val="165"/>
        <w:spacing w:line="360" w:lineRule="auto"/>
      </w:pPr>
      <w:r>
        <w:rPr>
          <w:rFonts w:hint="eastAsia"/>
        </w:rPr>
        <w:t>成本分析成果应能够追溯至工程量、清单项、合同依据和审批记录。</w:t>
      </w:r>
    </w:p>
    <w:p w14:paraId="67BA5C32">
      <w:pPr>
        <w:pStyle w:val="104"/>
        <w:spacing w:before="240" w:after="240" w:line="360" w:lineRule="auto"/>
      </w:pPr>
      <w:bookmarkStart w:id="60" w:name="_Toc228610836"/>
      <w:r>
        <w:rPr>
          <w:rFonts w:hint="eastAsia"/>
        </w:rPr>
        <w:t>交竣工交付</w:t>
      </w:r>
      <w:bookmarkEnd w:id="60"/>
    </w:p>
    <w:p w14:paraId="15ECE1CF">
      <w:pPr>
        <w:pStyle w:val="105"/>
        <w:spacing w:before="120" w:after="120" w:line="360" w:lineRule="auto"/>
      </w:pPr>
      <w:r>
        <w:rPr>
          <w:rFonts w:hint="eastAsia"/>
        </w:rPr>
        <w:t>一般要求</w:t>
      </w:r>
    </w:p>
    <w:p w14:paraId="70E50ED5">
      <w:pPr>
        <w:pStyle w:val="165"/>
        <w:spacing w:line="360" w:lineRule="auto"/>
      </w:pPr>
      <w:r>
        <w:rPr>
          <w:rFonts w:hint="eastAsia"/>
        </w:rPr>
        <w:t>交竣工阶段应形成与工程实体、竣工图、验收资料和资产资料一致的竣工信息模型。</w:t>
      </w:r>
    </w:p>
    <w:p w14:paraId="57451A49">
      <w:pPr>
        <w:pStyle w:val="165"/>
        <w:spacing w:line="360" w:lineRule="auto"/>
      </w:pPr>
      <w:r>
        <w:rPr>
          <w:rFonts w:hint="eastAsia"/>
        </w:rPr>
        <w:t>竣工信息模型应在施工模型基础上整理、核验和补充，不得以未更新的设计模型直接作为竣工模型交付。</w:t>
      </w:r>
    </w:p>
    <w:p w14:paraId="6B117CE0">
      <w:pPr>
        <w:pStyle w:val="165"/>
        <w:spacing w:line="360" w:lineRule="auto"/>
      </w:pPr>
      <w:r>
        <w:rPr>
          <w:rFonts w:hint="eastAsia"/>
        </w:rPr>
        <w:t>竣工模型交付应满足交竣工验收、资料归档、资产移交和运营养护应用要求。</w:t>
      </w:r>
    </w:p>
    <w:p w14:paraId="5EFD096A">
      <w:pPr>
        <w:pStyle w:val="165"/>
        <w:spacing w:line="360" w:lineRule="auto"/>
      </w:pPr>
      <w:r>
        <w:rPr>
          <w:rFonts w:hint="eastAsia"/>
        </w:rPr>
        <w:t>交付前应开展模型质量检查、资料关联检查、属性完整性检查和可用性检查。</w:t>
      </w:r>
    </w:p>
    <w:p w14:paraId="55F40BC9">
      <w:pPr>
        <w:pStyle w:val="105"/>
        <w:spacing w:before="120" w:after="120" w:line="360" w:lineRule="auto"/>
      </w:pPr>
      <w:r>
        <w:rPr>
          <w:rFonts w:hint="eastAsia"/>
        </w:rPr>
        <w:t>竣工模型要求</w:t>
      </w:r>
    </w:p>
    <w:p w14:paraId="3891E1E1">
      <w:pPr>
        <w:pStyle w:val="165"/>
        <w:spacing w:line="360" w:lineRule="auto"/>
      </w:pPr>
      <w:r>
        <w:rPr>
          <w:rFonts w:hint="eastAsia"/>
        </w:rPr>
        <w:t>竣工模型应反映最终工程实体状态、变更情况、竣工尺寸、设备安装位置和附属设施信息。</w:t>
      </w:r>
    </w:p>
    <w:p w14:paraId="5FB08727">
      <w:pPr>
        <w:pStyle w:val="165"/>
        <w:spacing w:line="360" w:lineRule="auto"/>
      </w:pPr>
      <w:r>
        <w:rPr>
          <w:rFonts w:hint="eastAsia"/>
        </w:rPr>
        <w:t>竣工模型应关联竣工图、质量验收资料、检测资料、试验资料、隐蔽工程资料、变更资料和设备资料。</w:t>
      </w:r>
    </w:p>
    <w:p w14:paraId="699678B6">
      <w:pPr>
        <w:pStyle w:val="165"/>
        <w:spacing w:line="360" w:lineRule="auto"/>
      </w:pPr>
      <w:r>
        <w:rPr>
          <w:rFonts w:hint="eastAsia"/>
        </w:rPr>
        <w:t>竣工模型应补充资产管理所需信息，包括资产编号、设施名称、规格型号、管理单位、位置、技术参数和维护要求。</w:t>
      </w:r>
    </w:p>
    <w:p w14:paraId="744E95D6">
      <w:pPr>
        <w:pStyle w:val="165"/>
        <w:spacing w:line="360" w:lineRule="auto"/>
      </w:pPr>
      <w:r>
        <w:rPr>
          <w:rFonts w:hint="eastAsia"/>
        </w:rPr>
        <w:t>竣工模型应删除无效临时模型、重复模型、废弃构件和未采用方案模型。</w:t>
      </w:r>
    </w:p>
    <w:p w14:paraId="28E1C115">
      <w:pPr>
        <w:pStyle w:val="105"/>
        <w:spacing w:before="120" w:after="120" w:line="360" w:lineRule="auto"/>
      </w:pPr>
      <w:r>
        <w:rPr>
          <w:rFonts w:hint="eastAsia"/>
        </w:rPr>
        <w:t>交付清单</w:t>
      </w:r>
    </w:p>
    <w:p w14:paraId="126F25D0">
      <w:pPr>
        <w:pStyle w:val="165"/>
        <w:spacing w:line="360" w:lineRule="auto"/>
      </w:pPr>
      <w:r>
        <w:rPr>
          <w:rFonts w:hint="eastAsia"/>
        </w:rPr>
        <w:t>BIM交付应形成交付清单。</w:t>
      </w:r>
    </w:p>
    <w:p w14:paraId="22090626">
      <w:pPr>
        <w:pStyle w:val="165"/>
        <w:spacing w:line="360" w:lineRule="auto"/>
      </w:pPr>
      <w:r>
        <w:rPr>
          <w:rFonts w:hint="eastAsia"/>
        </w:rPr>
        <w:t>交付清单应包括模型文件、属性数据、资料索引、应用成果、模型检查报告、版本说明、使用说明和数据字典。</w:t>
      </w:r>
    </w:p>
    <w:p w14:paraId="0AC06661">
      <w:pPr>
        <w:pStyle w:val="165"/>
        <w:spacing w:line="360" w:lineRule="auto"/>
      </w:pPr>
      <w:r>
        <w:rPr>
          <w:rFonts w:hint="eastAsia"/>
        </w:rPr>
        <w:t>交付成果应标明文件名称、版本号、提交单位、提交日期、适用范围和审核状态。</w:t>
      </w:r>
    </w:p>
    <w:p w14:paraId="175E489E">
      <w:pPr>
        <w:pStyle w:val="165"/>
        <w:spacing w:line="360" w:lineRule="auto"/>
      </w:pPr>
      <w:r>
        <w:rPr>
          <w:rFonts w:hint="eastAsia"/>
        </w:rPr>
        <w:t>交付文件缺失、无法打开、无法查询或与清单不一致的，不得确认交付完成。</w:t>
      </w:r>
    </w:p>
    <w:p w14:paraId="0C57AE15">
      <w:pPr>
        <w:pStyle w:val="105"/>
        <w:spacing w:before="120" w:after="120" w:line="360" w:lineRule="auto"/>
      </w:pPr>
      <w:r>
        <w:rPr>
          <w:rFonts w:hint="eastAsia"/>
        </w:rPr>
        <w:t>交付验收</w:t>
      </w:r>
    </w:p>
    <w:p w14:paraId="07E91566">
      <w:pPr>
        <w:pStyle w:val="165"/>
        <w:spacing w:line="360" w:lineRule="auto"/>
      </w:pPr>
      <w:r>
        <w:rPr>
          <w:rFonts w:hint="eastAsia"/>
        </w:rPr>
        <w:t>建设单位应组织设计、施工、监理、咨询和运营养护单位对BIM交付成果进行验收。</w:t>
      </w:r>
    </w:p>
    <w:p w14:paraId="119DB76D">
      <w:pPr>
        <w:pStyle w:val="165"/>
        <w:spacing w:line="360" w:lineRule="auto"/>
      </w:pPr>
      <w:r>
        <w:rPr>
          <w:rFonts w:hint="eastAsia"/>
        </w:rPr>
        <w:t>验收内容应包括模型完整性、几何准确性、属性完整性、资料关联性、编码一致性、格式可用性和运维适用性。</w:t>
      </w:r>
    </w:p>
    <w:p w14:paraId="1293D68F">
      <w:pPr>
        <w:pStyle w:val="165"/>
        <w:spacing w:line="360" w:lineRule="auto"/>
      </w:pPr>
      <w:r>
        <w:rPr>
          <w:rFonts w:hint="eastAsia"/>
        </w:rPr>
        <w:t>验收发现问题的，应形成整改清单。整改完成并复核通过后方可办理交付确认。</w:t>
      </w:r>
    </w:p>
    <w:p w14:paraId="6E5D148A">
      <w:pPr>
        <w:pStyle w:val="165"/>
        <w:spacing w:line="360" w:lineRule="auto"/>
      </w:pPr>
      <w:r>
        <w:rPr>
          <w:rFonts w:hint="eastAsia"/>
        </w:rPr>
        <w:t>运营养护单位应参与运维相关属性、资产数据和资料索引验收。</w:t>
      </w:r>
    </w:p>
    <w:p w14:paraId="4A5A1AD9">
      <w:pPr>
        <w:pStyle w:val="104"/>
        <w:spacing w:before="240" w:after="240" w:line="360" w:lineRule="auto"/>
      </w:pPr>
      <w:bookmarkStart w:id="61" w:name="_Toc228610837"/>
      <w:r>
        <w:rPr>
          <w:rFonts w:hint="eastAsia"/>
        </w:rPr>
        <w:t>运营养护应用</w:t>
      </w:r>
      <w:bookmarkEnd w:id="61"/>
    </w:p>
    <w:p w14:paraId="40AC62DE">
      <w:pPr>
        <w:pStyle w:val="105"/>
        <w:spacing w:before="120" w:after="120" w:line="360" w:lineRule="auto"/>
      </w:pPr>
      <w:r>
        <w:rPr>
          <w:rFonts w:hint="eastAsia"/>
        </w:rPr>
        <w:t>一般要求</w:t>
      </w:r>
    </w:p>
    <w:p w14:paraId="7F492B15">
      <w:pPr>
        <w:pStyle w:val="165"/>
        <w:spacing w:line="360" w:lineRule="auto"/>
      </w:pPr>
      <w:r>
        <w:rPr>
          <w:rFonts w:hint="eastAsia"/>
        </w:rPr>
        <w:t>运营养护阶段应以竣工信息模型为基础建立运维信息模型。</w:t>
      </w:r>
    </w:p>
    <w:p w14:paraId="620176F2">
      <w:pPr>
        <w:pStyle w:val="165"/>
        <w:spacing w:line="360" w:lineRule="auto"/>
      </w:pPr>
      <w:r>
        <w:rPr>
          <w:rFonts w:hint="eastAsia"/>
        </w:rPr>
        <w:t>运维信息模型应服务于资产管理、设施巡检、病害管理、维修养护、设备管理、应急处置和资料查询。</w:t>
      </w:r>
    </w:p>
    <w:p w14:paraId="5AB4E8B4">
      <w:pPr>
        <w:pStyle w:val="165"/>
        <w:spacing w:line="360" w:lineRule="auto"/>
      </w:pPr>
      <w:r>
        <w:rPr>
          <w:rFonts w:hint="eastAsia"/>
        </w:rPr>
        <w:t>运维信息模型应保持动态更新，不得长期使用与设施状态不一致的模型开展养护管理。</w:t>
      </w:r>
    </w:p>
    <w:p w14:paraId="414E36D0">
      <w:pPr>
        <w:pStyle w:val="165"/>
        <w:spacing w:line="360" w:lineRule="auto"/>
      </w:pPr>
      <w:r>
        <w:rPr>
          <w:rFonts w:hint="eastAsia"/>
        </w:rPr>
        <w:t>运营养护数据应与模型单元、资产编码和空间位置关联。</w:t>
      </w:r>
    </w:p>
    <w:p w14:paraId="509FFDC8">
      <w:pPr>
        <w:pStyle w:val="105"/>
        <w:spacing w:before="120" w:after="120" w:line="360" w:lineRule="auto"/>
      </w:pPr>
      <w:r>
        <w:rPr>
          <w:rFonts w:hint="eastAsia"/>
        </w:rPr>
        <w:t>资产管理</w:t>
      </w:r>
    </w:p>
    <w:p w14:paraId="01A2DB70">
      <w:pPr>
        <w:pStyle w:val="165"/>
        <w:spacing w:line="360" w:lineRule="auto"/>
      </w:pPr>
      <w:r>
        <w:rPr>
          <w:rFonts w:hint="eastAsia"/>
        </w:rPr>
        <w:t>运维模型应建立高速公路资产对象清单。</w:t>
      </w:r>
    </w:p>
    <w:p w14:paraId="3B9EFFE2">
      <w:pPr>
        <w:pStyle w:val="165"/>
        <w:spacing w:line="360" w:lineRule="auto"/>
      </w:pPr>
      <w:r>
        <w:rPr>
          <w:rFonts w:hint="eastAsia"/>
        </w:rPr>
        <w:t>资产对象应包括路基路面、桥梁、隧道、涵洞、交安设施、机电设备、房建工程、绿化设施和附属设施等。</w:t>
      </w:r>
    </w:p>
    <w:p w14:paraId="5E49F743">
      <w:pPr>
        <w:pStyle w:val="165"/>
        <w:spacing w:line="360" w:lineRule="auto"/>
      </w:pPr>
      <w:r>
        <w:rPr>
          <w:rFonts w:hint="eastAsia"/>
        </w:rPr>
        <w:t>资产信息应包括资产编号、名称、位置、规格、技术参数、投用时间、管理单位、维护周期和状态信息。</w:t>
      </w:r>
    </w:p>
    <w:p w14:paraId="48C969EC">
      <w:pPr>
        <w:pStyle w:val="165"/>
        <w:spacing w:line="360" w:lineRule="auto"/>
      </w:pPr>
      <w:r>
        <w:rPr>
          <w:rFonts w:hint="eastAsia"/>
        </w:rPr>
        <w:t>资产新增、拆除、改造、更换和报废时，应同步更新模型和资产台账。</w:t>
      </w:r>
    </w:p>
    <w:p w14:paraId="14584185">
      <w:pPr>
        <w:pStyle w:val="165"/>
        <w:numPr>
          <w:ilvl w:val="0"/>
          <w:numId w:val="0"/>
        </w:numPr>
        <w:spacing w:line="360" w:lineRule="auto"/>
        <w:rPr>
          <w:rFonts w:hint="eastAsia"/>
        </w:rPr>
      </w:pPr>
    </w:p>
    <w:p w14:paraId="50F841EA">
      <w:pPr>
        <w:pStyle w:val="105"/>
        <w:spacing w:before="120" w:after="120" w:line="360" w:lineRule="auto"/>
      </w:pPr>
      <w:r>
        <w:rPr>
          <w:rFonts w:hint="eastAsia"/>
        </w:rPr>
        <w:t>巡检养护</w:t>
      </w:r>
    </w:p>
    <w:p w14:paraId="71E8E51F">
      <w:pPr>
        <w:pStyle w:val="165"/>
        <w:spacing w:line="360" w:lineRule="auto"/>
      </w:pPr>
      <w:r>
        <w:rPr>
          <w:rFonts w:hint="eastAsia"/>
        </w:rPr>
        <w:t>运维模型应支持按路线、桩号、桥隧、设施类别和资产编码开展巡检定位。</w:t>
      </w:r>
    </w:p>
    <w:p w14:paraId="4AECA53C">
      <w:pPr>
        <w:pStyle w:val="165"/>
        <w:spacing w:line="360" w:lineRule="auto"/>
      </w:pPr>
      <w:r>
        <w:rPr>
          <w:rFonts w:hint="eastAsia"/>
        </w:rPr>
        <w:t>巡检记录应与模型单元关联，记录应包括巡检时间、巡检人员、巡检内容、发现问题、照片视频、处置建议和状态。</w:t>
      </w:r>
    </w:p>
    <w:p w14:paraId="56D32D69">
      <w:pPr>
        <w:pStyle w:val="165"/>
        <w:spacing w:line="360" w:lineRule="auto"/>
      </w:pPr>
      <w:r>
        <w:rPr>
          <w:rFonts w:hint="eastAsia"/>
        </w:rPr>
        <w:t>病害信息应在模型中标识位置、类型、等级、范围、发现时间和处置状态。</w:t>
      </w:r>
    </w:p>
    <w:p w14:paraId="58BD1699">
      <w:pPr>
        <w:pStyle w:val="165"/>
        <w:spacing w:line="360" w:lineRule="auto"/>
      </w:pPr>
      <w:r>
        <w:rPr>
          <w:rFonts w:hint="eastAsia"/>
        </w:rPr>
        <w:t>维修养护记录应关联维修部位、维修内容、维修材料、施工单位、完成时间和验收结果。</w:t>
      </w:r>
    </w:p>
    <w:p w14:paraId="78E9F46B">
      <w:pPr>
        <w:pStyle w:val="105"/>
        <w:spacing w:before="120" w:after="120" w:line="360" w:lineRule="auto"/>
      </w:pPr>
      <w:r>
        <w:rPr>
          <w:rFonts w:hint="eastAsia"/>
        </w:rPr>
        <w:t>应急处置</w:t>
      </w:r>
    </w:p>
    <w:p w14:paraId="75E0E503">
      <w:pPr>
        <w:pStyle w:val="165"/>
        <w:spacing w:line="360" w:lineRule="auto"/>
      </w:pPr>
      <w:r>
        <w:rPr>
          <w:rFonts w:hint="eastAsia"/>
        </w:rPr>
        <w:t>运维模型宜用于突发事件定位、影响范围分析、应急资源查询和处置方案辅助。</w:t>
      </w:r>
    </w:p>
    <w:p w14:paraId="5F080A8C">
      <w:pPr>
        <w:pStyle w:val="165"/>
        <w:spacing w:line="360" w:lineRule="auto"/>
      </w:pPr>
      <w:r>
        <w:rPr>
          <w:rFonts w:hint="eastAsia"/>
        </w:rPr>
        <w:t>对桥梁、隧道、边坡、互通、收费站、服务区和机电设施等重点对象，应在模型中关联应急处置资料。</w:t>
      </w:r>
    </w:p>
    <w:p w14:paraId="007B8D1B">
      <w:pPr>
        <w:pStyle w:val="165"/>
        <w:spacing w:line="360" w:lineRule="auto"/>
      </w:pPr>
      <w:r>
        <w:rPr>
          <w:rFonts w:hint="eastAsia"/>
        </w:rPr>
        <w:t>应急处置后，应将事件记录、处置措施、设施恢复和后续维修要求更新至模型或运维系统。</w:t>
      </w:r>
    </w:p>
    <w:p w14:paraId="37E9B6F6">
      <w:pPr>
        <w:pStyle w:val="165"/>
        <w:spacing w:line="360" w:lineRule="auto"/>
      </w:pPr>
      <w:r>
        <w:rPr>
          <w:rFonts w:hint="eastAsia"/>
        </w:rPr>
        <w:t>运维数据更新</w:t>
      </w:r>
    </w:p>
    <w:p w14:paraId="16E32E35">
      <w:pPr>
        <w:pStyle w:val="165"/>
        <w:spacing w:line="360" w:lineRule="auto"/>
      </w:pPr>
      <w:r>
        <w:rPr>
          <w:rFonts w:hint="eastAsia"/>
        </w:rPr>
        <w:t>运营养护单位应建立运维模型更新机制。</w:t>
      </w:r>
    </w:p>
    <w:p w14:paraId="09B0D76E">
      <w:pPr>
        <w:pStyle w:val="165"/>
        <w:spacing w:line="360" w:lineRule="auto"/>
      </w:pPr>
      <w:r>
        <w:rPr>
          <w:rFonts w:hint="eastAsia"/>
        </w:rPr>
        <w:t>巡检病害、维修养护、设备更换、交通设施调整和专项工程改造后，应及时更新运维模型。</w:t>
      </w:r>
    </w:p>
    <w:p w14:paraId="305AD961">
      <w:pPr>
        <w:pStyle w:val="165"/>
        <w:spacing w:line="360" w:lineRule="auto"/>
      </w:pPr>
      <w:r>
        <w:rPr>
          <w:rFonts w:hint="eastAsia"/>
        </w:rPr>
        <w:t>运维模型更新应保留更新记录，记录应包括更新内容、更新依据、责任人员、更新时间和审核状态。</w:t>
      </w:r>
    </w:p>
    <w:p w14:paraId="346C0B1B">
      <w:pPr>
        <w:pStyle w:val="104"/>
        <w:spacing w:before="240" w:after="240" w:line="360" w:lineRule="auto"/>
      </w:pPr>
      <w:bookmarkStart w:id="62" w:name="_Toc228610838"/>
      <w:r>
        <w:rPr>
          <w:rFonts w:hint="eastAsia"/>
        </w:rPr>
        <w:t>数据管理</w:t>
      </w:r>
      <w:bookmarkEnd w:id="62"/>
    </w:p>
    <w:p w14:paraId="5F0BA7ED">
      <w:pPr>
        <w:pStyle w:val="105"/>
        <w:spacing w:before="120" w:after="120" w:line="360" w:lineRule="auto"/>
      </w:pPr>
      <w:r>
        <w:rPr>
          <w:rFonts w:hint="eastAsia"/>
        </w:rPr>
        <w:t>一般要求</w:t>
      </w:r>
    </w:p>
    <w:p w14:paraId="7D18AFD2">
      <w:pPr>
        <w:pStyle w:val="165"/>
        <w:spacing w:line="360" w:lineRule="auto"/>
      </w:pPr>
      <w:r>
        <w:rPr>
          <w:rFonts w:hint="eastAsia"/>
        </w:rPr>
        <w:t>高速公路BIM数据管理应覆盖数据采集、录入、处理、审核、共享、交付、归档、备份和更新全过程。</w:t>
      </w:r>
    </w:p>
    <w:p w14:paraId="176969FD">
      <w:pPr>
        <w:pStyle w:val="165"/>
        <w:spacing w:line="360" w:lineRule="auto"/>
      </w:pPr>
      <w:r>
        <w:rPr>
          <w:rFonts w:hint="eastAsia"/>
        </w:rPr>
        <w:t>BIM数据应真实、准确、完整、一致、可追溯和可用。</w:t>
      </w:r>
    </w:p>
    <w:p w14:paraId="0B8AFC56">
      <w:pPr>
        <w:pStyle w:val="165"/>
        <w:spacing w:line="360" w:lineRule="auto"/>
      </w:pPr>
      <w:r>
        <w:rPr>
          <w:rFonts w:hint="eastAsia"/>
        </w:rPr>
        <w:t>BIM数据管理应与项目文件管理、工程资料管理、质量安全管理、计量支付管理和运营养护管理相衔接。</w:t>
      </w:r>
    </w:p>
    <w:p w14:paraId="733F37D8">
      <w:pPr>
        <w:pStyle w:val="165"/>
        <w:spacing w:line="360" w:lineRule="auto"/>
      </w:pPr>
      <w:r>
        <w:rPr>
          <w:rFonts w:hint="eastAsia"/>
        </w:rPr>
        <w:t>BIM数据不得擅自删除、篡改、替换、泄露或超范围使用。</w:t>
      </w:r>
    </w:p>
    <w:p w14:paraId="671535C4">
      <w:pPr>
        <w:pStyle w:val="105"/>
        <w:spacing w:before="120" w:after="120" w:line="360" w:lineRule="auto"/>
      </w:pPr>
      <w:r>
        <w:rPr>
          <w:rFonts w:hint="eastAsia"/>
        </w:rPr>
        <w:t>数据分类</w:t>
      </w:r>
    </w:p>
    <w:p w14:paraId="62211877">
      <w:pPr>
        <w:pStyle w:val="165"/>
        <w:spacing w:line="360" w:lineRule="auto"/>
      </w:pPr>
      <w:r>
        <w:rPr>
          <w:rFonts w:hint="eastAsia"/>
        </w:rPr>
        <w:t>BIM数据宜分为基础数据、模型数据、属性数据、过程数据、成果数据、运维数据和管理数据。</w:t>
      </w:r>
    </w:p>
    <w:p w14:paraId="69EAE0C8">
      <w:pPr>
        <w:pStyle w:val="165"/>
        <w:spacing w:line="360" w:lineRule="auto"/>
      </w:pPr>
      <w:r>
        <w:rPr>
          <w:rFonts w:hint="eastAsia"/>
        </w:rPr>
        <w:t>基础数据应包括地形、地质、测量、路线、控制点、设计参数和工程对象信息。</w:t>
      </w:r>
    </w:p>
    <w:p w14:paraId="0813C7C0">
      <w:pPr>
        <w:pStyle w:val="165"/>
        <w:spacing w:line="360" w:lineRule="auto"/>
      </w:pPr>
      <w:r>
        <w:rPr>
          <w:rFonts w:hint="eastAsia"/>
        </w:rPr>
        <w:t>模型数据应包括各专业BIM模型及其版本信息。</w:t>
      </w:r>
    </w:p>
    <w:p w14:paraId="09B74BF5">
      <w:pPr>
        <w:pStyle w:val="165"/>
        <w:spacing w:line="360" w:lineRule="auto"/>
      </w:pPr>
      <w:r>
        <w:rPr>
          <w:rFonts w:hint="eastAsia"/>
        </w:rPr>
        <w:t>属性数据应包括构件属性、材料属性、工程量属性、质量安全属性、进度属性和运维属性。</w:t>
      </w:r>
    </w:p>
    <w:p w14:paraId="37D8BF39">
      <w:pPr>
        <w:pStyle w:val="165"/>
        <w:spacing w:line="360" w:lineRule="auto"/>
      </w:pPr>
      <w:r>
        <w:rPr>
          <w:rFonts w:hint="eastAsia"/>
        </w:rPr>
        <w:t>过程数据应包括协同问题、审核记录、变更记录、施工记录、检查记录和整改记录。</w:t>
      </w:r>
    </w:p>
    <w:p w14:paraId="7AE7FA72">
      <w:pPr>
        <w:pStyle w:val="165"/>
        <w:spacing w:line="360" w:lineRule="auto"/>
      </w:pPr>
      <w:r>
        <w:rPr>
          <w:rFonts w:hint="eastAsia"/>
        </w:rPr>
        <w:t>成果数据应包括碰撞检查报告、工程量成果、模拟成果、交底成果、进度分析成果和验收成果。</w:t>
      </w:r>
    </w:p>
    <w:p w14:paraId="35D9EAAA">
      <w:pPr>
        <w:pStyle w:val="105"/>
        <w:spacing w:before="120" w:after="120" w:line="360" w:lineRule="auto"/>
      </w:pPr>
      <w:r>
        <w:rPr>
          <w:rFonts w:hint="eastAsia"/>
        </w:rPr>
        <w:t>数据质量</w:t>
      </w:r>
    </w:p>
    <w:p w14:paraId="65EF5AC4">
      <w:pPr>
        <w:pStyle w:val="165"/>
        <w:spacing w:line="360" w:lineRule="auto"/>
      </w:pPr>
      <w:r>
        <w:rPr>
          <w:rFonts w:hint="eastAsia"/>
        </w:rPr>
        <w:t>BIM数据质量控制应覆盖完整性、准确性、一致性、唯一性、时效性、可追溯性和可交换性。</w:t>
      </w:r>
    </w:p>
    <w:p w14:paraId="22493606">
      <w:pPr>
        <w:pStyle w:val="165"/>
        <w:spacing w:line="360" w:lineRule="auto"/>
      </w:pPr>
      <w:r>
        <w:rPr>
          <w:rFonts w:hint="eastAsia"/>
        </w:rPr>
        <w:t>数据录入前应明确数据来源、数据字段、录入责任、审核规则和更新频率。</w:t>
      </w:r>
    </w:p>
    <w:p w14:paraId="38BDFBD4">
      <w:pPr>
        <w:pStyle w:val="165"/>
        <w:spacing w:line="360" w:lineRule="auto"/>
      </w:pPr>
      <w:r>
        <w:rPr>
          <w:rFonts w:hint="eastAsia"/>
        </w:rPr>
        <w:t>重要属性数据应经专业人员审核确认。</w:t>
      </w:r>
    </w:p>
    <w:p w14:paraId="2F52D098">
      <w:pPr>
        <w:pStyle w:val="165"/>
        <w:spacing w:line="360" w:lineRule="auto"/>
      </w:pPr>
      <w:r>
        <w:rPr>
          <w:rFonts w:hint="eastAsia"/>
        </w:rPr>
        <w:t>数据不完整、编码不一致、版本不清、来源不明或无法追溯的，不得作为正式交付数据。</w:t>
      </w:r>
    </w:p>
    <w:p w14:paraId="38938B21">
      <w:pPr>
        <w:pStyle w:val="105"/>
        <w:spacing w:before="120" w:after="120" w:line="360" w:lineRule="auto"/>
      </w:pPr>
      <w:r>
        <w:rPr>
          <w:rFonts w:hint="eastAsia"/>
        </w:rPr>
        <w:t>数据共享</w:t>
      </w:r>
    </w:p>
    <w:p w14:paraId="1F9EE255">
      <w:pPr>
        <w:pStyle w:val="165"/>
        <w:spacing w:line="360" w:lineRule="auto"/>
      </w:pPr>
      <w:r>
        <w:rPr>
          <w:rFonts w:hint="eastAsia"/>
        </w:rPr>
        <w:t>BIM数据共享应按授权范围、共享目的和保密要求实施。</w:t>
      </w:r>
    </w:p>
    <w:p w14:paraId="7BE47072">
      <w:pPr>
        <w:pStyle w:val="165"/>
        <w:spacing w:line="360" w:lineRule="auto"/>
      </w:pPr>
      <w:r>
        <w:rPr>
          <w:rFonts w:hint="eastAsia"/>
        </w:rPr>
        <w:t>数据共享应采用统一格式、统一接口或约定交付方式。</w:t>
      </w:r>
    </w:p>
    <w:p w14:paraId="6A55C378">
      <w:pPr>
        <w:pStyle w:val="165"/>
        <w:spacing w:line="360" w:lineRule="auto"/>
      </w:pPr>
      <w:r>
        <w:rPr>
          <w:rFonts w:hint="eastAsia"/>
        </w:rPr>
        <w:t>共享数据应标明版本、适用范围、更新时间和责任单位。</w:t>
      </w:r>
    </w:p>
    <w:p w14:paraId="57EDA572">
      <w:pPr>
        <w:pStyle w:val="165"/>
        <w:spacing w:line="360" w:lineRule="auto"/>
      </w:pPr>
      <w:r>
        <w:rPr>
          <w:rFonts w:hint="eastAsia"/>
        </w:rPr>
        <w:t>数据接收方不得擅自改变数据用途、传播范围和交付对象。</w:t>
      </w:r>
    </w:p>
    <w:p w14:paraId="0192445A">
      <w:pPr>
        <w:pStyle w:val="105"/>
        <w:spacing w:before="120" w:after="120" w:line="360" w:lineRule="auto"/>
      </w:pPr>
      <w:r>
        <w:rPr>
          <w:rFonts w:hint="eastAsia"/>
        </w:rPr>
        <w:t>数据备份与归档</w:t>
      </w:r>
    </w:p>
    <w:p w14:paraId="4C9F6830">
      <w:pPr>
        <w:pStyle w:val="165"/>
        <w:spacing w:line="360" w:lineRule="auto"/>
      </w:pPr>
      <w:r>
        <w:rPr>
          <w:rFonts w:hint="eastAsia"/>
        </w:rPr>
        <w:t>BIM模型和数据应定期备份。</w:t>
      </w:r>
    </w:p>
    <w:p w14:paraId="5E8FDE55">
      <w:pPr>
        <w:pStyle w:val="165"/>
        <w:spacing w:line="360" w:lineRule="auto"/>
      </w:pPr>
      <w:r>
        <w:rPr>
          <w:rFonts w:hint="eastAsia"/>
        </w:rPr>
        <w:t>备份范围应包括模型文件、属性数据、协同记录、应用成果、交付文件和平台配置数据。</w:t>
      </w:r>
    </w:p>
    <w:p w14:paraId="5756D33B">
      <w:pPr>
        <w:pStyle w:val="165"/>
        <w:spacing w:line="360" w:lineRule="auto"/>
      </w:pPr>
      <w:r>
        <w:rPr>
          <w:rFonts w:hint="eastAsia"/>
        </w:rPr>
        <w:t>备份数据应定期验证可恢复性。</w:t>
      </w:r>
    </w:p>
    <w:p w14:paraId="459896F0">
      <w:pPr>
        <w:pStyle w:val="165"/>
        <w:spacing w:line="360" w:lineRule="auto"/>
      </w:pPr>
      <w:r>
        <w:rPr>
          <w:rFonts w:hint="eastAsia"/>
        </w:rPr>
        <w:t>BIM归档资料应按阶段、专业、标段、版本和成果类型分类保存。</w:t>
      </w:r>
    </w:p>
    <w:p w14:paraId="6DD4CE50">
      <w:pPr>
        <w:pStyle w:val="165"/>
        <w:spacing w:line="360" w:lineRule="auto"/>
      </w:pPr>
      <w:r>
        <w:rPr>
          <w:rFonts w:hint="eastAsia"/>
        </w:rPr>
        <w:t>归档资料应保证长期可读取、可查询和可追溯。</w:t>
      </w:r>
    </w:p>
    <w:p w14:paraId="18C4251F">
      <w:pPr>
        <w:pStyle w:val="104"/>
        <w:spacing w:before="240" w:after="240" w:line="360" w:lineRule="auto"/>
      </w:pPr>
      <w:bookmarkStart w:id="63" w:name="_Toc228610839"/>
      <w:r>
        <w:rPr>
          <w:rFonts w:hint="eastAsia"/>
        </w:rPr>
        <w:t>成果评价与持续改进</w:t>
      </w:r>
      <w:bookmarkEnd w:id="63"/>
    </w:p>
    <w:p w14:paraId="2E0DC11E">
      <w:pPr>
        <w:pStyle w:val="105"/>
        <w:spacing w:before="120" w:after="120" w:line="360" w:lineRule="auto"/>
      </w:pPr>
      <w:r>
        <w:rPr>
          <w:rFonts w:hint="eastAsia"/>
        </w:rPr>
        <w:t>一般要求</w:t>
      </w:r>
    </w:p>
    <w:p w14:paraId="4EB67489">
      <w:pPr>
        <w:pStyle w:val="165"/>
        <w:spacing w:line="360" w:lineRule="auto"/>
      </w:pPr>
      <w:r>
        <w:rPr>
          <w:rFonts w:hint="eastAsia"/>
        </w:rPr>
        <w:t>项目应对BIM全流程应用成果进行评价。</w:t>
      </w:r>
    </w:p>
    <w:p w14:paraId="78B1D647">
      <w:pPr>
        <w:pStyle w:val="165"/>
        <w:spacing w:line="360" w:lineRule="auto"/>
      </w:pPr>
      <w:r>
        <w:rPr>
          <w:rFonts w:hint="eastAsia"/>
        </w:rPr>
        <w:t>成果评价应覆盖组织管理、实施策划、模型质量、应用效果、数据管理、成果交付和运维衔接。</w:t>
      </w:r>
    </w:p>
    <w:p w14:paraId="2E665C47">
      <w:pPr>
        <w:pStyle w:val="165"/>
        <w:spacing w:line="360" w:lineRule="auto"/>
      </w:pPr>
      <w:r>
        <w:rPr>
          <w:rFonts w:hint="eastAsia"/>
        </w:rPr>
        <w:t>评价结果应作为阶段验收、合同履约、管理改进和后续项目应用优化的依据。</w:t>
      </w:r>
    </w:p>
    <w:p w14:paraId="11F06FC3">
      <w:pPr>
        <w:pStyle w:val="165"/>
        <w:spacing w:line="360" w:lineRule="auto"/>
      </w:pPr>
      <w:r>
        <w:rPr>
          <w:rFonts w:hint="eastAsia"/>
        </w:rPr>
        <w:t>评价发现的问题应形成整改清单，并应明确责任单位、整改措施、完成期限和验证要求。</w:t>
      </w:r>
    </w:p>
    <w:p w14:paraId="1BDC2F2D">
      <w:pPr>
        <w:pStyle w:val="105"/>
        <w:spacing w:before="120" w:after="120" w:line="360" w:lineRule="auto"/>
      </w:pPr>
      <w:r>
        <w:rPr>
          <w:rFonts w:hint="eastAsia"/>
        </w:rPr>
        <w:t>评价内容</w:t>
      </w:r>
    </w:p>
    <w:p w14:paraId="56E65E2C">
      <w:pPr>
        <w:pStyle w:val="165"/>
        <w:spacing w:line="360" w:lineRule="auto"/>
      </w:pPr>
      <w:r>
        <w:rPr>
          <w:rFonts w:hint="eastAsia"/>
        </w:rPr>
        <w:t>组织管理评价应检查职责分工、协同机制、工作计划、人员能力和资源保障。</w:t>
      </w:r>
    </w:p>
    <w:p w14:paraId="4600178A">
      <w:pPr>
        <w:pStyle w:val="165"/>
        <w:spacing w:line="360" w:lineRule="auto"/>
      </w:pPr>
      <w:r>
        <w:rPr>
          <w:rFonts w:hint="eastAsia"/>
        </w:rPr>
        <w:t>模型质量评价应检查模型完整性、几何准确性、属性完整性、编码一致性、版本可追溯性和交付可用性。</w:t>
      </w:r>
    </w:p>
    <w:p w14:paraId="1DE4F9BF">
      <w:pPr>
        <w:pStyle w:val="165"/>
        <w:spacing w:line="360" w:lineRule="auto"/>
      </w:pPr>
      <w:r>
        <w:rPr>
          <w:rFonts w:hint="eastAsia"/>
        </w:rPr>
        <w:t>应用效果评价应检查设计协同、碰撞检查、施工模拟、进度管理、质量安全管理、工程量管理和运维应用成效。</w:t>
      </w:r>
    </w:p>
    <w:p w14:paraId="6A5A7407">
      <w:pPr>
        <w:pStyle w:val="165"/>
        <w:spacing w:line="360" w:lineRule="auto"/>
      </w:pPr>
      <w:r>
        <w:rPr>
          <w:rFonts w:hint="eastAsia"/>
        </w:rPr>
        <w:t>数据管理评价应检查数据标准、数据质量、数据共享、数据安全、数据备份和数据归档。</w:t>
      </w:r>
    </w:p>
    <w:p w14:paraId="57BAF7D2">
      <w:pPr>
        <w:pStyle w:val="165"/>
        <w:spacing w:line="360" w:lineRule="auto"/>
      </w:pPr>
      <w:r>
        <w:rPr>
          <w:rFonts w:hint="eastAsia"/>
        </w:rPr>
        <w:t>交付评价应检查交付清单、模型文件、属性数据、资料索引、使用说明和验收记录。</w:t>
      </w:r>
    </w:p>
    <w:p w14:paraId="40E343A5">
      <w:pPr>
        <w:pStyle w:val="105"/>
        <w:spacing w:before="120" w:after="120" w:line="360" w:lineRule="auto"/>
      </w:pPr>
      <w:r>
        <w:rPr>
          <w:rFonts w:hint="eastAsia"/>
        </w:rPr>
        <w:t>评价方式</w:t>
      </w:r>
    </w:p>
    <w:p w14:paraId="42535A4C">
      <w:pPr>
        <w:pStyle w:val="165"/>
        <w:spacing w:line="360" w:lineRule="auto"/>
      </w:pPr>
      <w:r>
        <w:rPr>
          <w:rFonts w:hint="eastAsia"/>
        </w:rPr>
        <w:t>成果评价可采用资料审查、模型检查、系统核查、现场核验、应用记录追溯和用户反馈等方式。</w:t>
      </w:r>
    </w:p>
    <w:p w14:paraId="4C823B9B">
      <w:pPr>
        <w:pStyle w:val="165"/>
        <w:spacing w:line="360" w:lineRule="auto"/>
      </w:pPr>
      <w:r>
        <w:rPr>
          <w:rFonts w:hint="eastAsia"/>
        </w:rPr>
        <w:t>模型检查应对照BIM实施策划、模型标准和交付要求进行。</w:t>
      </w:r>
    </w:p>
    <w:p w14:paraId="1219F645">
      <w:pPr>
        <w:pStyle w:val="165"/>
        <w:spacing w:line="360" w:lineRule="auto"/>
      </w:pPr>
      <w:r>
        <w:rPr>
          <w:rFonts w:hint="eastAsia"/>
        </w:rPr>
        <w:t>应用记录追溯应检查BIM成果是否实际用于工程管理业务。</w:t>
      </w:r>
    </w:p>
    <w:p w14:paraId="4878341E">
      <w:pPr>
        <w:pStyle w:val="165"/>
        <w:spacing w:line="360" w:lineRule="auto"/>
      </w:pPr>
      <w:r>
        <w:rPr>
          <w:rFonts w:hint="eastAsia"/>
        </w:rPr>
        <w:t>运营养护衔接评价应由运营养护单位参与。</w:t>
      </w:r>
    </w:p>
    <w:p w14:paraId="73E374FC">
      <w:pPr>
        <w:pStyle w:val="105"/>
        <w:spacing w:before="120" w:after="120" w:line="360" w:lineRule="auto"/>
      </w:pPr>
      <w:r>
        <w:rPr>
          <w:rFonts w:hint="eastAsia"/>
        </w:rPr>
        <w:t>持续改进</w:t>
      </w:r>
    </w:p>
    <w:p w14:paraId="7AF1CC10">
      <w:pPr>
        <w:pStyle w:val="165"/>
        <w:spacing w:line="360" w:lineRule="auto"/>
      </w:pPr>
      <w:r>
        <w:rPr>
          <w:rFonts w:hint="eastAsia"/>
        </w:rPr>
        <w:t>项目应根据评价结果开展BIM应用持续改进。</w:t>
      </w:r>
    </w:p>
    <w:p w14:paraId="78F0DD2E">
      <w:pPr>
        <w:pStyle w:val="165"/>
        <w:spacing w:line="360" w:lineRule="auto"/>
      </w:pPr>
      <w:r>
        <w:rPr>
          <w:rFonts w:hint="eastAsia"/>
        </w:rPr>
        <w:t>持续改进内容应包括模型标准优化、协同流程优化、数据字段完善、平台功能改进、应用场景拓展和人员培训提升。</w:t>
      </w:r>
    </w:p>
    <w:p w14:paraId="0DB6BC25">
      <w:pPr>
        <w:pStyle w:val="165"/>
        <w:spacing w:line="360" w:lineRule="auto"/>
      </w:pPr>
      <w:r>
        <w:rPr>
          <w:rFonts w:hint="eastAsia"/>
        </w:rPr>
        <w:t>对重复出现的模型质量问题、数据错误、应用脱节和交付不可用问题，应开展原因分析。</w:t>
      </w:r>
    </w:p>
    <w:p w14:paraId="5B3148E2">
      <w:pPr>
        <w:pStyle w:val="165"/>
        <w:spacing w:line="360" w:lineRule="auto"/>
      </w:pPr>
      <w:r>
        <w:rPr>
          <w:rFonts w:hint="eastAsia"/>
        </w:rPr>
        <w:t>改进措施完成后，应进行效果验证，并应形成闭环记录。</w:t>
      </w:r>
    </w:p>
    <w:p w14:paraId="0CC5E0EB">
      <w:pPr>
        <w:pStyle w:val="56"/>
        <w:ind w:firstLine="420"/>
      </w:pPr>
    </w:p>
    <w:p w14:paraId="4D160A18">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pPr>
    </w:p>
    <w:bookmarkEnd w:id="26"/>
    <w:p w14:paraId="7BF2D74A">
      <w:pPr>
        <w:pStyle w:val="198"/>
        <w:rPr>
          <w:rFonts w:hint="eastAsia"/>
        </w:rPr>
      </w:pPr>
      <w:bookmarkStart w:id="64" w:name="BookMark5"/>
    </w:p>
    <w:p w14:paraId="01468D76">
      <w:pPr>
        <w:pStyle w:val="199"/>
      </w:pPr>
    </w:p>
    <w:p w14:paraId="1EE50880">
      <w:pPr>
        <w:pStyle w:val="76"/>
        <w:spacing w:after="120" w:line="360" w:lineRule="auto"/>
      </w:pPr>
      <w:r>
        <w:br w:type="textWrapping"/>
      </w:r>
      <w:bookmarkStart w:id="65" w:name="_Toc228610840"/>
      <w:r>
        <w:rPr>
          <w:rFonts w:hint="eastAsia"/>
        </w:rPr>
        <w:t>（资料性）</w:t>
      </w:r>
      <w:r>
        <w:br w:type="textWrapping"/>
      </w:r>
      <w:r>
        <w:rPr>
          <w:rFonts w:hint="eastAsia"/>
        </w:rPr>
        <w:t>BIM实施策划文件主要内容</w:t>
      </w:r>
      <w:bookmarkEnd w:id="65"/>
    </w:p>
    <w:p w14:paraId="418DDEE8">
      <w:pPr>
        <w:pStyle w:val="211"/>
        <w:spacing w:line="360" w:lineRule="auto"/>
      </w:pPr>
      <w:r>
        <w:t>BIM实施策划文件宜包括表A.1所列内容。</w:t>
      </w:r>
    </w:p>
    <w:p w14:paraId="37074B06">
      <w:pPr>
        <w:pStyle w:val="77"/>
        <w:spacing w:before="120" w:after="120" w:line="360" w:lineRule="auto"/>
      </w:pPr>
      <w:r>
        <w:t>BIM实施策划文件主要内容</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560"/>
        <w:gridCol w:w="6650"/>
      </w:tblGrid>
      <w:tr w14:paraId="4C7C8F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tcPr>
          <w:p w14:paraId="6EBCC187">
            <w:pPr>
              <w:pStyle w:val="178"/>
            </w:pPr>
            <w:r>
              <w:rPr>
                <w:rFonts w:hint="eastAsia"/>
              </w:rPr>
              <w:t>序号</w:t>
            </w:r>
          </w:p>
        </w:tc>
        <w:tc>
          <w:tcPr>
            <w:tcW w:w="1560" w:type="dxa"/>
            <w:tcBorders>
              <w:top w:val="single" w:color="auto" w:sz="8" w:space="0"/>
              <w:bottom w:val="single" w:color="auto" w:sz="8" w:space="0"/>
            </w:tcBorders>
          </w:tcPr>
          <w:p w14:paraId="5A594BCE">
            <w:pPr>
              <w:pStyle w:val="178"/>
            </w:pPr>
            <w:r>
              <w:rPr>
                <w:rFonts w:hint="eastAsia"/>
              </w:rPr>
              <w:t>内容类别</w:t>
            </w:r>
          </w:p>
        </w:tc>
        <w:tc>
          <w:tcPr>
            <w:tcW w:w="6650" w:type="dxa"/>
            <w:tcBorders>
              <w:top w:val="single" w:color="auto" w:sz="8" w:space="0"/>
              <w:bottom w:val="single" w:color="auto" w:sz="8" w:space="0"/>
            </w:tcBorders>
          </w:tcPr>
          <w:p w14:paraId="2EBE101A">
            <w:pPr>
              <w:pStyle w:val="178"/>
            </w:pPr>
            <w:r>
              <w:rPr>
                <w:rFonts w:hint="eastAsia"/>
              </w:rPr>
              <w:t>主要内容</w:t>
            </w:r>
          </w:p>
        </w:tc>
      </w:tr>
      <w:tr w14:paraId="1BEC7F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tcPr>
          <w:p w14:paraId="6194950F">
            <w:pPr>
              <w:pStyle w:val="178"/>
            </w:pPr>
            <w:r>
              <w:rPr>
                <w:rFonts w:hint="eastAsia"/>
              </w:rPr>
              <w:t>1</w:t>
            </w:r>
          </w:p>
        </w:tc>
        <w:tc>
          <w:tcPr>
            <w:tcW w:w="1560" w:type="dxa"/>
            <w:tcBorders>
              <w:top w:val="single" w:color="auto" w:sz="8" w:space="0"/>
            </w:tcBorders>
          </w:tcPr>
          <w:p w14:paraId="1C275C15">
            <w:pPr>
              <w:pStyle w:val="178"/>
            </w:pPr>
            <w:r>
              <w:rPr>
                <w:rFonts w:hint="eastAsia"/>
              </w:rPr>
              <w:t>项目概况</w:t>
            </w:r>
          </w:p>
        </w:tc>
        <w:tc>
          <w:tcPr>
            <w:tcW w:w="6650" w:type="dxa"/>
            <w:tcBorders>
              <w:top w:val="single" w:color="auto" w:sz="8" w:space="0"/>
            </w:tcBorders>
          </w:tcPr>
          <w:p w14:paraId="2D04603B">
            <w:pPr>
              <w:pStyle w:val="178"/>
            </w:pPr>
            <w:r>
              <w:rPr>
                <w:rFonts w:hint="eastAsia"/>
              </w:rPr>
              <w:t>工程范围、标段划分、主要构造物、建设目标和管理特点</w:t>
            </w:r>
          </w:p>
        </w:tc>
      </w:tr>
      <w:tr w14:paraId="61045F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5AEA7A7E">
            <w:pPr>
              <w:pStyle w:val="178"/>
            </w:pPr>
            <w:r>
              <w:rPr>
                <w:rFonts w:hint="eastAsia"/>
              </w:rPr>
              <w:t>2</w:t>
            </w:r>
          </w:p>
        </w:tc>
        <w:tc>
          <w:tcPr>
            <w:tcW w:w="1560" w:type="dxa"/>
          </w:tcPr>
          <w:p w14:paraId="706A1687">
            <w:pPr>
              <w:pStyle w:val="178"/>
            </w:pPr>
            <w:r>
              <w:rPr>
                <w:rFonts w:hint="eastAsia"/>
              </w:rPr>
              <w:t>应用目标</w:t>
            </w:r>
          </w:p>
        </w:tc>
        <w:tc>
          <w:tcPr>
            <w:tcW w:w="6650" w:type="dxa"/>
          </w:tcPr>
          <w:p w14:paraId="30EF2252">
            <w:pPr>
              <w:pStyle w:val="178"/>
            </w:pPr>
            <w:r>
              <w:rPr>
                <w:rFonts w:hint="eastAsia"/>
              </w:rPr>
              <w:t>各阶段BIM应用目标、应用价值和评价要求</w:t>
            </w:r>
          </w:p>
        </w:tc>
      </w:tr>
      <w:tr w14:paraId="3D17F6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7FC54FAA">
            <w:pPr>
              <w:pStyle w:val="178"/>
            </w:pPr>
            <w:r>
              <w:rPr>
                <w:rFonts w:hint="eastAsia"/>
              </w:rPr>
              <w:t>3</w:t>
            </w:r>
          </w:p>
        </w:tc>
        <w:tc>
          <w:tcPr>
            <w:tcW w:w="1560" w:type="dxa"/>
          </w:tcPr>
          <w:p w14:paraId="4F8E1DAD">
            <w:pPr>
              <w:pStyle w:val="178"/>
            </w:pPr>
            <w:r>
              <w:rPr>
                <w:rFonts w:hint="eastAsia"/>
              </w:rPr>
              <w:t>应用范围</w:t>
            </w:r>
          </w:p>
        </w:tc>
        <w:tc>
          <w:tcPr>
            <w:tcW w:w="6650" w:type="dxa"/>
          </w:tcPr>
          <w:p w14:paraId="1A154580">
            <w:pPr>
              <w:pStyle w:val="178"/>
            </w:pPr>
            <w:r>
              <w:rPr>
                <w:rFonts w:hint="eastAsia"/>
              </w:rPr>
              <w:t>专业范围、阶段范围、工程范围和应用点范围</w:t>
            </w:r>
          </w:p>
        </w:tc>
      </w:tr>
      <w:tr w14:paraId="0CE86F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5B4CCCEE">
            <w:pPr>
              <w:pStyle w:val="178"/>
            </w:pPr>
            <w:r>
              <w:rPr>
                <w:rFonts w:hint="eastAsia"/>
              </w:rPr>
              <w:t>4</w:t>
            </w:r>
          </w:p>
        </w:tc>
        <w:tc>
          <w:tcPr>
            <w:tcW w:w="1560" w:type="dxa"/>
          </w:tcPr>
          <w:p w14:paraId="2C5EAE77">
            <w:pPr>
              <w:pStyle w:val="178"/>
            </w:pPr>
            <w:r>
              <w:rPr>
                <w:rFonts w:hint="eastAsia"/>
              </w:rPr>
              <w:t>组织职责</w:t>
            </w:r>
          </w:p>
        </w:tc>
        <w:tc>
          <w:tcPr>
            <w:tcW w:w="6650" w:type="dxa"/>
          </w:tcPr>
          <w:p w14:paraId="4757C334">
            <w:pPr>
              <w:pStyle w:val="178"/>
            </w:pPr>
            <w:r>
              <w:rPr>
                <w:rFonts w:hint="eastAsia"/>
              </w:rPr>
              <w:t>建设、设计、施工、监理、咨询、运维及BIM服务单位职责</w:t>
            </w:r>
          </w:p>
        </w:tc>
      </w:tr>
      <w:tr w14:paraId="65A21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4C10BB6D">
            <w:pPr>
              <w:pStyle w:val="178"/>
            </w:pPr>
            <w:r>
              <w:rPr>
                <w:rFonts w:hint="eastAsia"/>
              </w:rPr>
              <w:t>5</w:t>
            </w:r>
          </w:p>
        </w:tc>
        <w:tc>
          <w:tcPr>
            <w:tcW w:w="1560" w:type="dxa"/>
          </w:tcPr>
          <w:p w14:paraId="38F3294D">
            <w:pPr>
              <w:pStyle w:val="178"/>
            </w:pPr>
            <w:r>
              <w:rPr>
                <w:rFonts w:hint="eastAsia"/>
              </w:rPr>
              <w:t>模型标准</w:t>
            </w:r>
          </w:p>
        </w:tc>
        <w:tc>
          <w:tcPr>
            <w:tcW w:w="6650" w:type="dxa"/>
          </w:tcPr>
          <w:p w14:paraId="63844D9B">
            <w:pPr>
              <w:pStyle w:val="178"/>
            </w:pPr>
            <w:r>
              <w:rPr>
                <w:rFonts w:hint="eastAsia"/>
              </w:rPr>
              <w:t>坐标基准、模型拆分、命名规则、编码规则、模型深度和属性要求</w:t>
            </w:r>
          </w:p>
        </w:tc>
      </w:tr>
      <w:tr w14:paraId="0B3CD7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173DC131">
            <w:pPr>
              <w:pStyle w:val="178"/>
            </w:pPr>
            <w:r>
              <w:rPr>
                <w:rFonts w:hint="eastAsia"/>
              </w:rPr>
              <w:t>6</w:t>
            </w:r>
          </w:p>
        </w:tc>
        <w:tc>
          <w:tcPr>
            <w:tcW w:w="1560" w:type="dxa"/>
          </w:tcPr>
          <w:p w14:paraId="372934A4">
            <w:pPr>
              <w:pStyle w:val="178"/>
            </w:pPr>
            <w:r>
              <w:rPr>
                <w:rFonts w:hint="eastAsia"/>
              </w:rPr>
              <w:t>协同流程</w:t>
            </w:r>
          </w:p>
        </w:tc>
        <w:tc>
          <w:tcPr>
            <w:tcW w:w="6650" w:type="dxa"/>
          </w:tcPr>
          <w:p w14:paraId="42D54820">
            <w:pPr>
              <w:pStyle w:val="178"/>
            </w:pPr>
            <w:r>
              <w:rPr>
                <w:rFonts w:hint="eastAsia"/>
              </w:rPr>
              <w:t>模型提交、审核、问题反馈、版本发布、成果确认和归档流程</w:t>
            </w:r>
          </w:p>
        </w:tc>
      </w:tr>
      <w:tr w14:paraId="54D480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38272E72">
            <w:pPr>
              <w:pStyle w:val="178"/>
            </w:pPr>
            <w:r>
              <w:rPr>
                <w:rFonts w:hint="eastAsia"/>
              </w:rPr>
              <w:t>7</w:t>
            </w:r>
          </w:p>
        </w:tc>
        <w:tc>
          <w:tcPr>
            <w:tcW w:w="1560" w:type="dxa"/>
          </w:tcPr>
          <w:p w14:paraId="522D918C">
            <w:pPr>
              <w:pStyle w:val="178"/>
            </w:pPr>
            <w:r>
              <w:rPr>
                <w:rFonts w:hint="eastAsia"/>
              </w:rPr>
              <w:t>应用方案</w:t>
            </w:r>
          </w:p>
        </w:tc>
        <w:tc>
          <w:tcPr>
            <w:tcW w:w="6650" w:type="dxa"/>
          </w:tcPr>
          <w:p w14:paraId="3935824C">
            <w:pPr>
              <w:pStyle w:val="178"/>
            </w:pPr>
            <w:r>
              <w:rPr>
                <w:rFonts w:hint="eastAsia"/>
              </w:rPr>
              <w:t>设计协同、施工模拟、质量安全、进度成本、交竣工和运维应用方案</w:t>
            </w:r>
          </w:p>
        </w:tc>
      </w:tr>
      <w:tr w14:paraId="7D0092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7758D88A">
            <w:pPr>
              <w:pStyle w:val="178"/>
            </w:pPr>
            <w:r>
              <w:rPr>
                <w:rFonts w:hint="eastAsia"/>
              </w:rPr>
              <w:t>8</w:t>
            </w:r>
          </w:p>
        </w:tc>
        <w:tc>
          <w:tcPr>
            <w:tcW w:w="1560" w:type="dxa"/>
          </w:tcPr>
          <w:p w14:paraId="26781DB8">
            <w:pPr>
              <w:pStyle w:val="178"/>
            </w:pPr>
            <w:r>
              <w:rPr>
                <w:rFonts w:hint="eastAsia"/>
              </w:rPr>
              <w:t>平台与软件</w:t>
            </w:r>
          </w:p>
        </w:tc>
        <w:tc>
          <w:tcPr>
            <w:tcW w:w="6650" w:type="dxa"/>
          </w:tcPr>
          <w:p w14:paraId="6918F1C9">
            <w:pPr>
              <w:pStyle w:val="178"/>
            </w:pPr>
            <w:r>
              <w:rPr>
                <w:rFonts w:hint="eastAsia"/>
              </w:rPr>
              <w:t>协同平台、建模软件、数据接口、文件格式和权限管理要求</w:t>
            </w:r>
          </w:p>
        </w:tc>
      </w:tr>
      <w:tr w14:paraId="2356BE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1A1323F7">
            <w:pPr>
              <w:pStyle w:val="178"/>
            </w:pPr>
            <w:r>
              <w:rPr>
                <w:rFonts w:hint="eastAsia"/>
              </w:rPr>
              <w:t>9</w:t>
            </w:r>
          </w:p>
        </w:tc>
        <w:tc>
          <w:tcPr>
            <w:tcW w:w="1560" w:type="dxa"/>
          </w:tcPr>
          <w:p w14:paraId="6B57758C">
            <w:pPr>
              <w:pStyle w:val="178"/>
            </w:pPr>
            <w:r>
              <w:rPr>
                <w:rFonts w:hint="eastAsia"/>
              </w:rPr>
              <w:t>交付成果</w:t>
            </w:r>
          </w:p>
        </w:tc>
        <w:tc>
          <w:tcPr>
            <w:tcW w:w="6650" w:type="dxa"/>
          </w:tcPr>
          <w:p w14:paraId="15456C41">
            <w:pPr>
              <w:pStyle w:val="178"/>
            </w:pPr>
            <w:r>
              <w:rPr>
                <w:rFonts w:hint="eastAsia"/>
              </w:rPr>
              <w:t>模型文件、属性数据、报告成果、应用记录、资料索引和交付清单</w:t>
            </w:r>
          </w:p>
        </w:tc>
      </w:tr>
      <w:tr w14:paraId="4C626A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51E17E81">
            <w:pPr>
              <w:pStyle w:val="178"/>
            </w:pPr>
            <w:r>
              <w:rPr>
                <w:rFonts w:hint="eastAsia"/>
              </w:rPr>
              <w:t>10</w:t>
            </w:r>
          </w:p>
        </w:tc>
        <w:tc>
          <w:tcPr>
            <w:tcW w:w="1560" w:type="dxa"/>
          </w:tcPr>
          <w:p w14:paraId="52BF0D21">
            <w:pPr>
              <w:pStyle w:val="178"/>
            </w:pPr>
            <w:r>
              <w:rPr>
                <w:rFonts w:hint="eastAsia"/>
              </w:rPr>
              <w:t>质量控制</w:t>
            </w:r>
          </w:p>
        </w:tc>
        <w:tc>
          <w:tcPr>
            <w:tcW w:w="6650" w:type="dxa"/>
          </w:tcPr>
          <w:p w14:paraId="066784E8">
            <w:pPr>
              <w:pStyle w:val="178"/>
            </w:pPr>
            <w:r>
              <w:rPr>
                <w:rFonts w:hint="eastAsia"/>
              </w:rPr>
              <w:t>模型检查、数据审核、问题整改、成果验收和持续改进要求</w:t>
            </w:r>
          </w:p>
        </w:tc>
      </w:tr>
    </w:tbl>
    <w:p w14:paraId="1EA00113">
      <w:pPr>
        <w:pStyle w:val="211"/>
        <w:spacing w:before="120" w:beforeLines="50" w:line="360" w:lineRule="auto"/>
      </w:pPr>
      <w:r>
        <w:t>BIM实施策划文件应结合项目实际编制，不得照搬通用模板且不明确项目具体要求。</w:t>
      </w:r>
    </w:p>
    <w:p w14:paraId="21C04AD1">
      <w:pPr>
        <w:pStyle w:val="56"/>
        <w:ind w:firstLine="420"/>
      </w:pPr>
    </w:p>
    <w:p w14:paraId="601043B1">
      <w:pPr>
        <w:pStyle w:val="56"/>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14:paraId="4ABC966C">
      <w:pPr>
        <w:pStyle w:val="198"/>
        <w:rPr>
          <w:rFonts w:hint="eastAsia"/>
        </w:rPr>
      </w:pPr>
    </w:p>
    <w:p w14:paraId="63B7E1B0">
      <w:pPr>
        <w:pStyle w:val="199"/>
      </w:pPr>
    </w:p>
    <w:p w14:paraId="33AAA1B0">
      <w:pPr>
        <w:pStyle w:val="76"/>
        <w:spacing w:after="120" w:line="360" w:lineRule="auto"/>
      </w:pPr>
      <w:r>
        <w:br w:type="textWrapping"/>
      </w:r>
      <w:bookmarkStart w:id="66" w:name="_Toc228610841"/>
      <w:r>
        <w:rPr>
          <w:rFonts w:hint="eastAsia"/>
        </w:rPr>
        <w:t>（资料性）</w:t>
      </w:r>
      <w:r>
        <w:br w:type="textWrapping"/>
      </w:r>
      <w:r>
        <w:rPr>
          <w:rFonts w:hint="eastAsia"/>
        </w:rPr>
        <w:t>BIM模型质量检查表</w:t>
      </w:r>
      <w:bookmarkEnd w:id="66"/>
    </w:p>
    <w:p w14:paraId="1B7DF410">
      <w:pPr>
        <w:pStyle w:val="211"/>
        <w:spacing w:line="360" w:lineRule="auto"/>
      </w:pPr>
      <w:r>
        <w:t>BIM模型质量检查可按表B.1执行。</w:t>
      </w:r>
    </w:p>
    <w:p w14:paraId="46E18594">
      <w:pPr>
        <w:pStyle w:val="77"/>
        <w:spacing w:before="120" w:after="120" w:line="360" w:lineRule="auto"/>
      </w:pPr>
      <w:r>
        <w:t>BIM模型质量检查表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4252"/>
        <w:gridCol w:w="1701"/>
        <w:gridCol w:w="851"/>
        <w:gridCol w:w="1122"/>
      </w:tblGrid>
      <w:tr w14:paraId="1EB342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vAlign w:val="center"/>
          </w:tcPr>
          <w:p w14:paraId="3BCE8950">
            <w:pPr>
              <w:pStyle w:val="178"/>
            </w:pPr>
            <w:r>
              <w:rPr>
                <w:rFonts w:hint="eastAsia"/>
              </w:rPr>
              <w:t>检查项目</w:t>
            </w:r>
          </w:p>
        </w:tc>
        <w:tc>
          <w:tcPr>
            <w:tcW w:w="4252" w:type="dxa"/>
            <w:tcBorders>
              <w:top w:val="single" w:color="auto" w:sz="8" w:space="0"/>
              <w:bottom w:val="single" w:color="auto" w:sz="8" w:space="0"/>
            </w:tcBorders>
            <w:vAlign w:val="center"/>
          </w:tcPr>
          <w:p w14:paraId="7D769707">
            <w:pPr>
              <w:pStyle w:val="178"/>
            </w:pPr>
            <w:r>
              <w:rPr>
                <w:rFonts w:hint="eastAsia"/>
              </w:rPr>
              <w:t>检查内容</w:t>
            </w:r>
          </w:p>
        </w:tc>
        <w:tc>
          <w:tcPr>
            <w:tcW w:w="1701" w:type="dxa"/>
            <w:tcBorders>
              <w:top w:val="single" w:color="auto" w:sz="8" w:space="0"/>
              <w:bottom w:val="single" w:color="auto" w:sz="8" w:space="0"/>
            </w:tcBorders>
            <w:vAlign w:val="center"/>
          </w:tcPr>
          <w:p w14:paraId="498CE6FF">
            <w:pPr>
              <w:pStyle w:val="178"/>
            </w:pPr>
            <w:r>
              <w:rPr>
                <w:rFonts w:hint="eastAsia"/>
              </w:rPr>
              <w:t>检查结果</w:t>
            </w:r>
          </w:p>
        </w:tc>
        <w:tc>
          <w:tcPr>
            <w:tcW w:w="851" w:type="dxa"/>
            <w:tcBorders>
              <w:top w:val="single" w:color="auto" w:sz="8" w:space="0"/>
              <w:bottom w:val="single" w:color="auto" w:sz="8" w:space="0"/>
            </w:tcBorders>
            <w:vAlign w:val="center"/>
          </w:tcPr>
          <w:p w14:paraId="3D869D6D">
            <w:pPr>
              <w:pStyle w:val="178"/>
            </w:pPr>
            <w:r>
              <w:rPr>
                <w:rFonts w:hint="eastAsia"/>
              </w:rPr>
              <w:t>问题描述</w:t>
            </w:r>
          </w:p>
        </w:tc>
        <w:tc>
          <w:tcPr>
            <w:tcW w:w="1122" w:type="dxa"/>
            <w:tcBorders>
              <w:top w:val="single" w:color="auto" w:sz="8" w:space="0"/>
              <w:bottom w:val="single" w:color="auto" w:sz="8" w:space="0"/>
            </w:tcBorders>
            <w:vAlign w:val="center"/>
          </w:tcPr>
          <w:p w14:paraId="705241CD">
            <w:pPr>
              <w:pStyle w:val="178"/>
            </w:pPr>
            <w:r>
              <w:rPr>
                <w:rFonts w:hint="eastAsia"/>
              </w:rPr>
              <w:t>整改要求</w:t>
            </w:r>
          </w:p>
        </w:tc>
      </w:tr>
      <w:tr w14:paraId="072710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vAlign w:val="center"/>
          </w:tcPr>
          <w:p w14:paraId="5DFF4138">
            <w:pPr>
              <w:pStyle w:val="178"/>
            </w:pPr>
            <w:r>
              <w:rPr>
                <w:rFonts w:hint="eastAsia"/>
              </w:rPr>
              <w:t>模型范围</w:t>
            </w:r>
          </w:p>
        </w:tc>
        <w:tc>
          <w:tcPr>
            <w:tcW w:w="4252" w:type="dxa"/>
            <w:tcBorders>
              <w:top w:val="single" w:color="auto" w:sz="8" w:space="0"/>
            </w:tcBorders>
            <w:vAlign w:val="center"/>
          </w:tcPr>
          <w:p w14:paraId="2475DF02">
            <w:pPr>
              <w:pStyle w:val="178"/>
            </w:pPr>
            <w:r>
              <w:rPr>
                <w:rFonts w:hint="eastAsia"/>
              </w:rPr>
              <w:t>是否覆盖规定工程范围、专业范围和阶段范围</w:t>
            </w:r>
          </w:p>
        </w:tc>
        <w:tc>
          <w:tcPr>
            <w:tcW w:w="1701" w:type="dxa"/>
            <w:tcBorders>
              <w:top w:val="single" w:color="auto" w:sz="8" w:space="0"/>
            </w:tcBorders>
            <w:vAlign w:val="center"/>
          </w:tcPr>
          <w:p w14:paraId="58F90526">
            <w:pPr>
              <w:pStyle w:val="178"/>
            </w:pPr>
            <w:r>
              <w:rPr>
                <w:rFonts w:hint="eastAsia"/>
              </w:rPr>
              <w:t>□符合 □不符合</w:t>
            </w:r>
          </w:p>
        </w:tc>
        <w:tc>
          <w:tcPr>
            <w:tcW w:w="851" w:type="dxa"/>
            <w:tcBorders>
              <w:top w:val="single" w:color="auto" w:sz="8" w:space="0"/>
            </w:tcBorders>
            <w:vAlign w:val="center"/>
          </w:tcPr>
          <w:p w14:paraId="64477033">
            <w:pPr>
              <w:pStyle w:val="178"/>
            </w:pPr>
          </w:p>
        </w:tc>
        <w:tc>
          <w:tcPr>
            <w:tcW w:w="1122" w:type="dxa"/>
            <w:tcBorders>
              <w:top w:val="single" w:color="auto" w:sz="8" w:space="0"/>
            </w:tcBorders>
            <w:vAlign w:val="center"/>
          </w:tcPr>
          <w:p w14:paraId="23A835DC">
            <w:pPr>
              <w:pStyle w:val="178"/>
            </w:pPr>
          </w:p>
        </w:tc>
      </w:tr>
      <w:tr w14:paraId="243FD2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00BFB7C0">
            <w:pPr>
              <w:pStyle w:val="178"/>
            </w:pPr>
            <w:r>
              <w:rPr>
                <w:rFonts w:hint="eastAsia"/>
              </w:rPr>
              <w:t>坐标基准</w:t>
            </w:r>
          </w:p>
        </w:tc>
        <w:tc>
          <w:tcPr>
            <w:tcW w:w="4252" w:type="dxa"/>
            <w:vAlign w:val="center"/>
          </w:tcPr>
          <w:p w14:paraId="55F8E7B6">
            <w:pPr>
              <w:pStyle w:val="178"/>
            </w:pPr>
            <w:r>
              <w:rPr>
                <w:rFonts w:hint="eastAsia"/>
              </w:rPr>
              <w:t>坐标、高程、里程系统是否统一</w:t>
            </w:r>
          </w:p>
        </w:tc>
        <w:tc>
          <w:tcPr>
            <w:tcW w:w="1701" w:type="dxa"/>
            <w:vAlign w:val="center"/>
          </w:tcPr>
          <w:p w14:paraId="48DE1C57">
            <w:pPr>
              <w:pStyle w:val="178"/>
            </w:pPr>
            <w:r>
              <w:rPr>
                <w:rFonts w:hint="eastAsia"/>
              </w:rPr>
              <w:t>□符合 □不符合</w:t>
            </w:r>
          </w:p>
        </w:tc>
        <w:tc>
          <w:tcPr>
            <w:tcW w:w="851" w:type="dxa"/>
            <w:vAlign w:val="center"/>
          </w:tcPr>
          <w:p w14:paraId="0BF21824">
            <w:pPr>
              <w:pStyle w:val="178"/>
            </w:pPr>
          </w:p>
        </w:tc>
        <w:tc>
          <w:tcPr>
            <w:tcW w:w="1122" w:type="dxa"/>
            <w:vAlign w:val="center"/>
          </w:tcPr>
          <w:p w14:paraId="6194CB15">
            <w:pPr>
              <w:pStyle w:val="178"/>
            </w:pPr>
          </w:p>
        </w:tc>
      </w:tr>
      <w:tr w14:paraId="650BAB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3F82F059">
            <w:pPr>
              <w:pStyle w:val="178"/>
            </w:pPr>
            <w:r>
              <w:rPr>
                <w:rFonts w:hint="eastAsia"/>
              </w:rPr>
              <w:t>模型拆分</w:t>
            </w:r>
          </w:p>
        </w:tc>
        <w:tc>
          <w:tcPr>
            <w:tcW w:w="4252" w:type="dxa"/>
            <w:vAlign w:val="center"/>
          </w:tcPr>
          <w:p w14:paraId="1D4B5F93">
            <w:pPr>
              <w:pStyle w:val="178"/>
            </w:pPr>
            <w:r>
              <w:rPr>
                <w:rFonts w:hint="eastAsia"/>
              </w:rPr>
              <w:t>模型拆分是否符合专业协同和交付要求</w:t>
            </w:r>
          </w:p>
        </w:tc>
        <w:tc>
          <w:tcPr>
            <w:tcW w:w="1701" w:type="dxa"/>
            <w:vAlign w:val="center"/>
          </w:tcPr>
          <w:p w14:paraId="6F9E4AB0">
            <w:pPr>
              <w:pStyle w:val="178"/>
            </w:pPr>
            <w:r>
              <w:rPr>
                <w:rFonts w:hint="eastAsia"/>
              </w:rPr>
              <w:t>□符合 □不符合</w:t>
            </w:r>
          </w:p>
        </w:tc>
        <w:tc>
          <w:tcPr>
            <w:tcW w:w="851" w:type="dxa"/>
            <w:vAlign w:val="center"/>
          </w:tcPr>
          <w:p w14:paraId="26A43C4C">
            <w:pPr>
              <w:pStyle w:val="178"/>
            </w:pPr>
          </w:p>
        </w:tc>
        <w:tc>
          <w:tcPr>
            <w:tcW w:w="1122" w:type="dxa"/>
            <w:vAlign w:val="center"/>
          </w:tcPr>
          <w:p w14:paraId="05A9FAEB">
            <w:pPr>
              <w:pStyle w:val="178"/>
            </w:pPr>
          </w:p>
        </w:tc>
      </w:tr>
      <w:tr w14:paraId="7AB2CF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0BC0A062">
            <w:pPr>
              <w:pStyle w:val="178"/>
            </w:pPr>
            <w:r>
              <w:rPr>
                <w:rFonts w:hint="eastAsia"/>
              </w:rPr>
              <w:t>几何准确性</w:t>
            </w:r>
          </w:p>
        </w:tc>
        <w:tc>
          <w:tcPr>
            <w:tcW w:w="4252" w:type="dxa"/>
            <w:vAlign w:val="center"/>
          </w:tcPr>
          <w:p w14:paraId="77D57B82">
            <w:pPr>
              <w:pStyle w:val="178"/>
            </w:pPr>
            <w:r>
              <w:rPr>
                <w:rFonts w:hint="eastAsia"/>
              </w:rPr>
              <w:t>构件尺寸、位置、标高、空间关系是否正确</w:t>
            </w:r>
          </w:p>
        </w:tc>
        <w:tc>
          <w:tcPr>
            <w:tcW w:w="1701" w:type="dxa"/>
            <w:vAlign w:val="center"/>
          </w:tcPr>
          <w:p w14:paraId="53F01500">
            <w:pPr>
              <w:pStyle w:val="178"/>
            </w:pPr>
            <w:r>
              <w:rPr>
                <w:rFonts w:hint="eastAsia"/>
              </w:rPr>
              <w:t>□符合 □不符合</w:t>
            </w:r>
          </w:p>
        </w:tc>
        <w:tc>
          <w:tcPr>
            <w:tcW w:w="851" w:type="dxa"/>
            <w:vAlign w:val="center"/>
          </w:tcPr>
          <w:p w14:paraId="3C6274B2">
            <w:pPr>
              <w:pStyle w:val="178"/>
            </w:pPr>
          </w:p>
        </w:tc>
        <w:tc>
          <w:tcPr>
            <w:tcW w:w="1122" w:type="dxa"/>
            <w:vAlign w:val="center"/>
          </w:tcPr>
          <w:p w14:paraId="2823A662">
            <w:pPr>
              <w:pStyle w:val="178"/>
            </w:pPr>
          </w:p>
        </w:tc>
      </w:tr>
      <w:tr w14:paraId="7CE160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38D4E92C">
            <w:pPr>
              <w:pStyle w:val="178"/>
            </w:pPr>
            <w:r>
              <w:rPr>
                <w:rFonts w:hint="eastAsia"/>
              </w:rPr>
              <w:t>属性完整性</w:t>
            </w:r>
          </w:p>
        </w:tc>
        <w:tc>
          <w:tcPr>
            <w:tcW w:w="4252" w:type="dxa"/>
            <w:vAlign w:val="center"/>
          </w:tcPr>
          <w:p w14:paraId="5B021D1E">
            <w:pPr>
              <w:pStyle w:val="178"/>
            </w:pPr>
            <w:r>
              <w:rPr>
                <w:rFonts w:hint="eastAsia"/>
              </w:rPr>
              <w:t>必填属性字段是否完整、准确</w:t>
            </w:r>
          </w:p>
        </w:tc>
        <w:tc>
          <w:tcPr>
            <w:tcW w:w="1701" w:type="dxa"/>
            <w:vAlign w:val="center"/>
          </w:tcPr>
          <w:p w14:paraId="7B23E375">
            <w:pPr>
              <w:pStyle w:val="178"/>
            </w:pPr>
            <w:r>
              <w:rPr>
                <w:rFonts w:hint="eastAsia"/>
              </w:rPr>
              <w:t>□符合 □不符合</w:t>
            </w:r>
          </w:p>
        </w:tc>
        <w:tc>
          <w:tcPr>
            <w:tcW w:w="851" w:type="dxa"/>
            <w:vAlign w:val="center"/>
          </w:tcPr>
          <w:p w14:paraId="2AD9FE5C">
            <w:pPr>
              <w:pStyle w:val="178"/>
            </w:pPr>
          </w:p>
        </w:tc>
        <w:tc>
          <w:tcPr>
            <w:tcW w:w="1122" w:type="dxa"/>
            <w:vAlign w:val="center"/>
          </w:tcPr>
          <w:p w14:paraId="07FFD6D5">
            <w:pPr>
              <w:pStyle w:val="178"/>
            </w:pPr>
          </w:p>
        </w:tc>
      </w:tr>
      <w:tr w14:paraId="4046F9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408" w:type="dxa"/>
            <w:vAlign w:val="center"/>
          </w:tcPr>
          <w:p w14:paraId="6D4C6860">
            <w:pPr>
              <w:pStyle w:val="178"/>
            </w:pPr>
            <w:r>
              <w:rPr>
                <w:rFonts w:hint="eastAsia"/>
              </w:rPr>
              <w:t>编码一致性</w:t>
            </w:r>
          </w:p>
        </w:tc>
        <w:tc>
          <w:tcPr>
            <w:tcW w:w="4252" w:type="dxa"/>
            <w:vAlign w:val="center"/>
          </w:tcPr>
          <w:p w14:paraId="274D101B">
            <w:pPr>
              <w:pStyle w:val="178"/>
            </w:pPr>
            <w:r>
              <w:rPr>
                <w:rFonts w:hint="eastAsia"/>
              </w:rPr>
              <w:t>模型编码是否唯一、规范、可追溯</w:t>
            </w:r>
          </w:p>
        </w:tc>
        <w:tc>
          <w:tcPr>
            <w:tcW w:w="1701" w:type="dxa"/>
            <w:vAlign w:val="center"/>
          </w:tcPr>
          <w:p w14:paraId="526F9E92">
            <w:pPr>
              <w:pStyle w:val="178"/>
            </w:pPr>
            <w:r>
              <w:rPr>
                <w:rFonts w:hint="eastAsia"/>
              </w:rPr>
              <w:t>□符合 □不符合</w:t>
            </w:r>
          </w:p>
        </w:tc>
        <w:tc>
          <w:tcPr>
            <w:tcW w:w="851" w:type="dxa"/>
            <w:vAlign w:val="center"/>
          </w:tcPr>
          <w:p w14:paraId="1F231AD0">
            <w:pPr>
              <w:pStyle w:val="178"/>
            </w:pPr>
          </w:p>
        </w:tc>
        <w:tc>
          <w:tcPr>
            <w:tcW w:w="1122" w:type="dxa"/>
            <w:vAlign w:val="center"/>
          </w:tcPr>
          <w:p w14:paraId="20C853E3">
            <w:pPr>
              <w:pStyle w:val="178"/>
            </w:pPr>
          </w:p>
        </w:tc>
      </w:tr>
      <w:tr w14:paraId="254D34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7DDA4791">
            <w:pPr>
              <w:pStyle w:val="178"/>
            </w:pPr>
            <w:r>
              <w:rPr>
                <w:rFonts w:hint="eastAsia"/>
              </w:rPr>
              <w:t>专业协同</w:t>
            </w:r>
          </w:p>
        </w:tc>
        <w:tc>
          <w:tcPr>
            <w:tcW w:w="4252" w:type="dxa"/>
            <w:vAlign w:val="center"/>
          </w:tcPr>
          <w:p w14:paraId="39F88880">
            <w:pPr>
              <w:pStyle w:val="178"/>
            </w:pPr>
            <w:r>
              <w:rPr>
                <w:rFonts w:hint="eastAsia"/>
              </w:rPr>
              <w:t>是否存在未处理碰撞、净空不足或构件冲突</w:t>
            </w:r>
          </w:p>
        </w:tc>
        <w:tc>
          <w:tcPr>
            <w:tcW w:w="1701" w:type="dxa"/>
            <w:vAlign w:val="center"/>
          </w:tcPr>
          <w:p w14:paraId="0E997609">
            <w:pPr>
              <w:pStyle w:val="178"/>
            </w:pPr>
            <w:r>
              <w:rPr>
                <w:rFonts w:hint="eastAsia"/>
              </w:rPr>
              <w:t>□符合 □不符合</w:t>
            </w:r>
          </w:p>
        </w:tc>
        <w:tc>
          <w:tcPr>
            <w:tcW w:w="851" w:type="dxa"/>
            <w:vAlign w:val="center"/>
          </w:tcPr>
          <w:p w14:paraId="30520173">
            <w:pPr>
              <w:pStyle w:val="178"/>
            </w:pPr>
          </w:p>
        </w:tc>
        <w:tc>
          <w:tcPr>
            <w:tcW w:w="1122" w:type="dxa"/>
            <w:vAlign w:val="center"/>
          </w:tcPr>
          <w:p w14:paraId="550E6BDF">
            <w:pPr>
              <w:pStyle w:val="178"/>
            </w:pPr>
          </w:p>
        </w:tc>
      </w:tr>
      <w:tr w14:paraId="052372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1DEBF6C5">
            <w:pPr>
              <w:pStyle w:val="178"/>
            </w:pPr>
            <w:r>
              <w:rPr>
                <w:rFonts w:hint="eastAsia"/>
              </w:rPr>
              <w:t>版本状态</w:t>
            </w:r>
          </w:p>
        </w:tc>
        <w:tc>
          <w:tcPr>
            <w:tcW w:w="4252" w:type="dxa"/>
            <w:vAlign w:val="center"/>
          </w:tcPr>
          <w:p w14:paraId="0066B671">
            <w:pPr>
              <w:pStyle w:val="178"/>
            </w:pPr>
            <w:r>
              <w:rPr>
                <w:rFonts w:hint="eastAsia"/>
              </w:rPr>
              <w:t>模型版本、修改记录、审核状态是否明确</w:t>
            </w:r>
          </w:p>
        </w:tc>
        <w:tc>
          <w:tcPr>
            <w:tcW w:w="1701" w:type="dxa"/>
            <w:vAlign w:val="center"/>
          </w:tcPr>
          <w:p w14:paraId="7F71BC7A">
            <w:pPr>
              <w:pStyle w:val="178"/>
            </w:pPr>
            <w:r>
              <w:rPr>
                <w:rFonts w:hint="eastAsia"/>
              </w:rPr>
              <w:t>□符合 □不符合</w:t>
            </w:r>
          </w:p>
        </w:tc>
        <w:tc>
          <w:tcPr>
            <w:tcW w:w="851" w:type="dxa"/>
            <w:vAlign w:val="center"/>
          </w:tcPr>
          <w:p w14:paraId="495893B3">
            <w:pPr>
              <w:pStyle w:val="178"/>
            </w:pPr>
          </w:p>
        </w:tc>
        <w:tc>
          <w:tcPr>
            <w:tcW w:w="1122" w:type="dxa"/>
            <w:vAlign w:val="center"/>
          </w:tcPr>
          <w:p w14:paraId="66271A29">
            <w:pPr>
              <w:pStyle w:val="178"/>
            </w:pPr>
          </w:p>
        </w:tc>
      </w:tr>
      <w:tr w14:paraId="686B0E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3BEACAFF">
            <w:pPr>
              <w:pStyle w:val="178"/>
            </w:pPr>
            <w:r>
              <w:rPr>
                <w:rFonts w:hint="eastAsia"/>
              </w:rPr>
              <w:t>资料关联</w:t>
            </w:r>
          </w:p>
        </w:tc>
        <w:tc>
          <w:tcPr>
            <w:tcW w:w="4252" w:type="dxa"/>
            <w:vAlign w:val="center"/>
          </w:tcPr>
          <w:p w14:paraId="397A5FF8">
            <w:pPr>
              <w:pStyle w:val="178"/>
            </w:pPr>
            <w:r>
              <w:rPr>
                <w:rFonts w:hint="eastAsia"/>
              </w:rPr>
              <w:t>图纸、报告、验收资料和模型单元是否关联正确</w:t>
            </w:r>
          </w:p>
        </w:tc>
        <w:tc>
          <w:tcPr>
            <w:tcW w:w="1701" w:type="dxa"/>
            <w:vAlign w:val="center"/>
          </w:tcPr>
          <w:p w14:paraId="26C083F0">
            <w:pPr>
              <w:pStyle w:val="178"/>
            </w:pPr>
            <w:r>
              <w:rPr>
                <w:rFonts w:hint="eastAsia"/>
              </w:rPr>
              <w:t>□符合 □不符合</w:t>
            </w:r>
          </w:p>
        </w:tc>
        <w:tc>
          <w:tcPr>
            <w:tcW w:w="851" w:type="dxa"/>
            <w:vAlign w:val="center"/>
          </w:tcPr>
          <w:p w14:paraId="429255AB">
            <w:pPr>
              <w:pStyle w:val="178"/>
            </w:pPr>
          </w:p>
        </w:tc>
        <w:tc>
          <w:tcPr>
            <w:tcW w:w="1122" w:type="dxa"/>
            <w:vAlign w:val="center"/>
          </w:tcPr>
          <w:p w14:paraId="02ED65E7">
            <w:pPr>
              <w:pStyle w:val="178"/>
            </w:pPr>
          </w:p>
        </w:tc>
      </w:tr>
      <w:tr w14:paraId="7C99C2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6E0AFA0F">
            <w:pPr>
              <w:pStyle w:val="178"/>
            </w:pPr>
            <w:r>
              <w:rPr>
                <w:rFonts w:hint="eastAsia"/>
              </w:rPr>
              <w:t>交付可用性</w:t>
            </w:r>
          </w:p>
        </w:tc>
        <w:tc>
          <w:tcPr>
            <w:tcW w:w="4252" w:type="dxa"/>
            <w:vAlign w:val="center"/>
          </w:tcPr>
          <w:p w14:paraId="36280703">
            <w:pPr>
              <w:pStyle w:val="178"/>
            </w:pPr>
            <w:r>
              <w:rPr>
                <w:rFonts w:hint="eastAsia"/>
              </w:rPr>
              <w:t>文件是否可打开、可浏览、可查询、可复用</w:t>
            </w:r>
          </w:p>
        </w:tc>
        <w:tc>
          <w:tcPr>
            <w:tcW w:w="1701" w:type="dxa"/>
            <w:vAlign w:val="center"/>
          </w:tcPr>
          <w:p w14:paraId="38A1D7C8">
            <w:pPr>
              <w:pStyle w:val="178"/>
            </w:pPr>
            <w:r>
              <w:rPr>
                <w:rFonts w:hint="eastAsia"/>
              </w:rPr>
              <w:t>□符合 □不符合</w:t>
            </w:r>
          </w:p>
        </w:tc>
        <w:tc>
          <w:tcPr>
            <w:tcW w:w="851" w:type="dxa"/>
            <w:vAlign w:val="center"/>
          </w:tcPr>
          <w:p w14:paraId="33DFD764">
            <w:pPr>
              <w:pStyle w:val="178"/>
            </w:pPr>
          </w:p>
        </w:tc>
        <w:tc>
          <w:tcPr>
            <w:tcW w:w="1122" w:type="dxa"/>
            <w:vAlign w:val="center"/>
          </w:tcPr>
          <w:p w14:paraId="2D56F8F6">
            <w:pPr>
              <w:pStyle w:val="178"/>
            </w:pPr>
          </w:p>
        </w:tc>
      </w:tr>
    </w:tbl>
    <w:p w14:paraId="4E16E79A">
      <w:pPr>
        <w:pStyle w:val="211"/>
        <w:spacing w:before="120" w:beforeLines="50"/>
      </w:pPr>
      <w:r>
        <w:t>检查发现问题时，应形成问题清单并整改。整改完成后应进行复核确认。</w:t>
      </w:r>
    </w:p>
    <w:bookmarkEnd w:id="64"/>
    <w:p w14:paraId="1FB27A62">
      <w:pPr>
        <w:pStyle w:val="211"/>
        <w:spacing w:before="120" w:beforeLines="5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bookmarkStart w:id="67" w:name="BookMark6"/>
    </w:p>
    <w:p w14:paraId="215E6D0C">
      <w:pPr>
        <w:pStyle w:val="63"/>
        <w:spacing w:after="120" w:line="360" w:lineRule="auto"/>
      </w:pPr>
      <w:bookmarkStart w:id="68" w:name="_Toc228610842"/>
      <w:r>
        <w:rPr>
          <w:rFonts w:hint="eastAsia"/>
          <w:spacing w:val="105"/>
        </w:rPr>
        <w:t>参考文</w:t>
      </w:r>
      <w:r>
        <w:rPr>
          <w:rFonts w:hint="eastAsia"/>
        </w:rPr>
        <w:t>献</w:t>
      </w:r>
      <w:bookmarkEnd w:id="68"/>
    </w:p>
    <w:p w14:paraId="047AB6A0">
      <w:pPr>
        <w:pStyle w:val="56"/>
        <w:spacing w:line="360" w:lineRule="auto"/>
        <w:ind w:firstLine="420"/>
      </w:pPr>
      <w:r>
        <w:rPr>
          <w:rFonts w:hint="eastAsia"/>
        </w:rPr>
        <w:t>[1] GB/T 1.1 标准化工作导则 第1部分：标准化文件的结构和起草规则</w:t>
      </w:r>
    </w:p>
    <w:p w14:paraId="72BCD38A">
      <w:pPr>
        <w:pStyle w:val="56"/>
        <w:spacing w:line="360" w:lineRule="auto"/>
        <w:ind w:firstLine="420"/>
      </w:pPr>
      <w:r>
        <w:rPr>
          <w:rFonts w:hint="eastAsia"/>
        </w:rPr>
        <w:t>[2] GB/T 51212 建筑信息模型应用统一标准</w:t>
      </w:r>
    </w:p>
    <w:p w14:paraId="510C56E8">
      <w:pPr>
        <w:pStyle w:val="56"/>
        <w:spacing w:line="360" w:lineRule="auto"/>
        <w:ind w:firstLine="420"/>
      </w:pPr>
      <w:r>
        <w:rPr>
          <w:rFonts w:hint="eastAsia"/>
        </w:rPr>
        <w:t>[3] GB/T 51235 建筑信息模型施工应用标准</w:t>
      </w:r>
    </w:p>
    <w:p w14:paraId="616EF332">
      <w:pPr>
        <w:pStyle w:val="56"/>
        <w:spacing w:line="360" w:lineRule="auto"/>
        <w:ind w:firstLine="420"/>
      </w:pPr>
      <w:r>
        <w:rPr>
          <w:rFonts w:hint="eastAsia"/>
        </w:rPr>
        <w:t>[4] GB/T 51301 建筑信息模型设计交付标准</w:t>
      </w:r>
    </w:p>
    <w:p w14:paraId="7874BB19">
      <w:pPr>
        <w:pStyle w:val="56"/>
        <w:spacing w:line="360" w:lineRule="auto"/>
        <w:ind w:firstLine="420"/>
      </w:pPr>
      <w:r>
        <w:rPr>
          <w:rFonts w:hint="eastAsia"/>
        </w:rPr>
        <w:t>[5] JTG/T 2420 公路工程信息模型应用统一标准</w:t>
      </w:r>
    </w:p>
    <w:p w14:paraId="313AAA8A">
      <w:pPr>
        <w:pStyle w:val="56"/>
        <w:spacing w:line="360" w:lineRule="auto"/>
        <w:ind w:firstLine="420"/>
      </w:pPr>
      <w:r>
        <w:rPr>
          <w:rFonts w:hint="eastAsia"/>
        </w:rPr>
        <w:t>[6] JTG/T 2421 公路工程设计信息模型应用标准</w:t>
      </w:r>
    </w:p>
    <w:p w14:paraId="32AD3EBC">
      <w:pPr>
        <w:pStyle w:val="56"/>
        <w:spacing w:line="360" w:lineRule="auto"/>
        <w:ind w:firstLine="420"/>
      </w:pPr>
      <w:r>
        <w:rPr>
          <w:rFonts w:hint="eastAsia"/>
        </w:rPr>
        <w:t>[7] JTG/T 2422 公路工程施工信息模型应用标准</w:t>
      </w:r>
    </w:p>
    <w:p w14:paraId="3DED09DA">
      <w:pPr>
        <w:pStyle w:val="56"/>
        <w:spacing w:line="360" w:lineRule="auto"/>
        <w:ind w:firstLine="420"/>
      </w:pPr>
      <w:r>
        <w:rPr>
          <w:rFonts w:hint="eastAsia"/>
        </w:rPr>
        <w:t>[8] JTG/T 2423 公路工程养护信息模型应用标准</w:t>
      </w:r>
    </w:p>
    <w:bookmarkEnd w:id="67"/>
    <w:p w14:paraId="237E6287">
      <w:pPr>
        <w:pStyle w:val="56"/>
        <w:ind w:firstLine="0" w:firstLineChars="0"/>
        <w:jc w:val="center"/>
      </w:pPr>
      <w:bookmarkStart w:id="69" w:name="BookMark8"/>
      <w:r>
        <w:drawing>
          <wp:inline distT="0" distB="0" distL="0" distR="0">
            <wp:extent cx="1485900" cy="317500"/>
            <wp:effectExtent l="0" t="0" r="0" b="6350"/>
            <wp:docPr id="142311241" name="图片 3"/>
            <wp:cNvGraphicFramePr/>
            <a:graphic xmlns:a="http://schemas.openxmlformats.org/drawingml/2006/main">
              <a:graphicData uri="http://schemas.openxmlformats.org/drawingml/2006/picture">
                <pic:pic xmlns:pic="http://schemas.openxmlformats.org/drawingml/2006/picture">
                  <pic:nvPicPr>
                    <pic:cNvPr id="142311241" name="图片 3"/>
                    <pic:cNvPicPr/>
                  </pic:nvPicPr>
                  <pic:blipFill>
                    <a:blip r:embed="rId4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9"/>
    </w:p>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CFC7E">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22</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BFAD">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0BDED">
    <w:pPr>
      <w:pStyle w:val="51"/>
    </w:pPr>
    <w:r>
      <w:fldChar w:fldCharType="begin"/>
    </w:r>
    <w:r>
      <w:instrText xml:space="preserve"> PAGE   \* MERGEFORMAT \* MERGEFORMAT </w:instrText>
    </w:r>
    <w:r>
      <w:fldChar w:fldCharType="separate"/>
    </w:r>
    <w:r>
      <w:t>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828AC">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90DBB">
    <w:pPr>
      <w:pStyle w:val="51"/>
    </w:pPr>
    <w:r>
      <w:fldChar w:fldCharType="begin"/>
    </w:r>
    <w:r>
      <w:instrText xml:space="preserve"> PAGE   \* MERGEFORMAT \* MERGEFORMAT </w:instrText>
    </w:r>
    <w:r>
      <w:fldChar w:fldCharType="separate"/>
    </w:r>
    <w:r>
      <w:t>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07C93">
    <w:pPr>
      <w:pStyle w:val="52"/>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3BCD5">
    <w:pPr>
      <w:pStyle w:val="51"/>
    </w:pPr>
    <w:r>
      <w:fldChar w:fldCharType="begin"/>
    </w:r>
    <w:r>
      <w:instrText xml:space="preserve"> PAGE   \* MERGEFORMAT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AF385">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E693D">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0278—2026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0278—2026</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83B86">
    <w:pPr>
      <w:pStyle w:val="61"/>
      <w:rPr>
        <w:rFonts w:hint="eastAsia"/>
      </w:rPr>
    </w:pPr>
    <w:r>
      <w:fldChar w:fldCharType="begin"/>
    </w:r>
    <w:r>
      <w:instrText xml:space="preserve"> STYLEREF  标准文件_文件编号  \* MERGEFORMAT </w:instrText>
    </w:r>
    <w:r>
      <w:fldChar w:fldCharType="separate"/>
    </w:r>
    <w:r>
      <w:t>T/XZBX 0278—2026</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E1C0B">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0278—2026</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BDA4B">
    <w:pPr>
      <w:pStyle w:val="61"/>
      <w:rPr>
        <w:rFonts w:hint="eastAsia"/>
      </w:rPr>
    </w:pPr>
    <w:r>
      <w:fldChar w:fldCharType="begin"/>
    </w:r>
    <w:r>
      <w:instrText xml:space="preserve"> STYLEREF  标准文件_文件编号  \* MERGEFORMAT </w:instrText>
    </w:r>
    <w:r>
      <w:fldChar w:fldCharType="separate"/>
    </w:r>
    <w:r>
      <w:t>T/XZBX 0278—2026</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B7E6E">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0278—2026</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9F263">
    <w:pPr>
      <w:pStyle w:val="61"/>
      <w:rPr>
        <w:rFonts w:hint="eastAsia"/>
      </w:rPr>
    </w:pPr>
    <w:r>
      <w:fldChar w:fldCharType="begin"/>
    </w:r>
    <w:r>
      <w:instrText xml:space="preserve"> STYLEREF  标准文件_文件编号  \* MERGEFORMAT </w:instrText>
    </w:r>
    <w:r>
      <w:fldChar w:fldCharType="separate"/>
    </w:r>
    <w:r>
      <w:t>T/XZBX 0278—2026</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EE1E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0278—2026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2ED2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0278—2026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0278—2026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62BBD">
    <w:pPr>
      <w:pStyle w:val="61"/>
      <w:rPr>
        <w:rFonts w:hint="eastAsia"/>
      </w:rPr>
    </w:pPr>
    <w:r>
      <w:fldChar w:fldCharType="begin"/>
    </w:r>
    <w:r>
      <w:instrText xml:space="preserve"> STYLEREF  标准文件_文件编号  \* MERGEFORMAT </w:instrText>
    </w:r>
    <w:r>
      <w:fldChar w:fldCharType="separate"/>
    </w:r>
    <w:r>
      <w:t>T/XZBX 0278—2026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D838D">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0278—2026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0278—2026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0278—2026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A06"/>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5FA"/>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05C2"/>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9F"/>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126A"/>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1712B"/>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69CD"/>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0CA2"/>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376FC"/>
    <w:rsid w:val="00E44A83"/>
    <w:rsid w:val="00E502C1"/>
    <w:rsid w:val="00E502DD"/>
    <w:rsid w:val="00E50D3A"/>
    <w:rsid w:val="00E51387"/>
    <w:rsid w:val="00E51E68"/>
    <w:rsid w:val="00E52EFD"/>
    <w:rsid w:val="00E5408A"/>
    <w:rsid w:val="00E56800"/>
    <w:rsid w:val="00E60C63"/>
    <w:rsid w:val="00E62FF9"/>
    <w:rsid w:val="00E635D6"/>
    <w:rsid w:val="00E639BC"/>
    <w:rsid w:val="00E64BE3"/>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C9A"/>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614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7" Type="http://schemas.openxmlformats.org/officeDocument/2006/relationships/glossaryDocument" Target="glossary/document.xml"/><Relationship Id="rId46" Type="http://schemas.openxmlformats.org/officeDocument/2006/relationships/fontTable" Target="fontTable.xml"/><Relationship Id="rId45" Type="http://schemas.openxmlformats.org/officeDocument/2006/relationships/customXml" Target="../customXml/item2.xml"/><Relationship Id="rId44" Type="http://schemas.openxmlformats.org/officeDocument/2006/relationships/numbering" Target="numbering.xml"/><Relationship Id="rId43" Type="http://schemas.openxmlformats.org/officeDocument/2006/relationships/customXml" Target="../customXml/item1.xml"/><Relationship Id="rId42" Type="http://schemas.openxmlformats.org/officeDocument/2006/relationships/image" Target="media/image3.jpeg"/><Relationship Id="rId41" Type="http://schemas.openxmlformats.org/officeDocument/2006/relationships/image" Target="media/image2.png"/><Relationship Id="rId40" Type="http://schemas.openxmlformats.org/officeDocument/2006/relationships/image" Target="media/image1.png"/><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715FEE59">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5D4720A9">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0CC59FDD">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1B5712"/>
    <w:rsid w:val="002E6AD9"/>
    <w:rsid w:val="003646F4"/>
    <w:rsid w:val="003F62CE"/>
    <w:rsid w:val="004A6324"/>
    <w:rsid w:val="005705C2"/>
    <w:rsid w:val="00580083"/>
    <w:rsid w:val="005B18DA"/>
    <w:rsid w:val="005E4B5C"/>
    <w:rsid w:val="006141C6"/>
    <w:rsid w:val="00652769"/>
    <w:rsid w:val="00796662"/>
    <w:rsid w:val="008A579F"/>
    <w:rsid w:val="008C0337"/>
    <w:rsid w:val="008E6778"/>
    <w:rsid w:val="009F2397"/>
    <w:rsid w:val="00AA2819"/>
    <w:rsid w:val="00AE100B"/>
    <w:rsid w:val="00AE1DC6"/>
    <w:rsid w:val="00E376FC"/>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31</Pages>
  <Words>6259</Words>
  <Characters>6778</Characters>
  <Lines>701</Lines>
  <Paragraphs>580</Paragraphs>
  <TotalTime>145</TotalTime>
  <ScaleCrop>false</ScaleCrop>
  <LinksUpToDate>false</LinksUpToDate>
  <CharactersWithSpaces>6896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2026-05-19T06:27:00Z</dcterms:modified>
  <dc:title>团体标准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279708DC22704FB3BB763E4A27DFE77A_12</vt:lpwstr>
  </property>
</Properties>
</file>