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3.20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13.200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J 1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J 10</w:t>
            </w:r>
            <w:r>
              <w:rPr>
                <w:rFonts w:hint="eastAsia" w:ascii="黑体" w:hAnsi="黑体" w:eastAsia="黑体"/>
                <w:sz w:val="21"/>
                <w:szCs w:val="21"/>
              </w:rPr>
              <w:fldChar w:fldCharType="end"/>
            </w:r>
            <w:bookmarkEnd w:id="2"/>
          </w:p>
        </w:tc>
      </w:tr>
    </w:tbl>
    <w:p w14:paraId="14B17AD5">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8"/>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7"/>
            </w:textInput>
          </w:ffData>
        </w:fldChar>
      </w:r>
      <w:bookmarkStart w:id="6" w:name="NSTD_CODE_F"/>
      <w:r>
        <w:instrText xml:space="preserve"> FORMTEXT </w:instrText>
      </w:r>
      <w:r>
        <w:fldChar w:fldCharType="separate"/>
      </w:r>
      <w:r>
        <w:t>0277</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3"/>
        <w:framePr w:w="9639" w:h="6976" w:hRule="exact" w:hSpace="0" w:vSpace="0" w:wrap="around" w:hAnchor="page" w:y="6408"/>
        <w:jc w:val="center"/>
        <w:rPr>
          <w:rFonts w:hint="eastAsia" w:ascii="黑体" w:hAnsi="黑体" w:eastAsia="黑体"/>
          <w:b w:val="0"/>
          <w:bCs w:val="0"/>
          <w:w w:val="100"/>
        </w:rPr>
      </w:pPr>
    </w:p>
    <w:p w14:paraId="73594FE6">
      <w:pPr>
        <w:pStyle w:val="200"/>
        <w:framePr w:h="6974" w:hRule="exact" w:wrap="around" w:x="1419" w:anchorLock="1"/>
        <w:rPr>
          <w:rFonts w:hint="eastAsia"/>
        </w:rPr>
      </w:pPr>
      <w:r>
        <w:rPr>
          <w:rFonts w:hint="eastAsia"/>
        </w:rPr>
        <w:fldChar w:fldCharType="begin">
          <w:ffData>
            <w:name w:val="CSTD_NAME"/>
            <w:enabled/>
            <w:calcOnExit w:val="0"/>
            <w:textInput>
              <w:default w:val="特种设备应急处置能力评价准则"/>
            </w:textInput>
          </w:ffData>
        </w:fldChar>
      </w:r>
      <w:bookmarkStart w:id="9" w:name="CSTD_NAME"/>
      <w:r>
        <w:rPr>
          <w:rFonts w:hint="eastAsia"/>
        </w:rPr>
        <w:instrText xml:space="preserve"> FORMTEXT </w:instrText>
      </w:r>
      <w:r>
        <w:rPr>
          <w:rFonts w:hint="eastAsia"/>
        </w:rPr>
        <w:fldChar w:fldCharType="separate"/>
      </w:r>
      <w:r>
        <w:rPr>
          <w:rFonts w:hint="eastAsia"/>
        </w:rPr>
        <w:t>特种设备应急处置能力评价准则</w:t>
      </w:r>
      <w:r>
        <w:rPr>
          <w:rFonts w:hint="eastAsia"/>
        </w:rPr>
        <w:fldChar w:fldCharType="end"/>
      </w:r>
      <w:bookmarkEnd w:id="9"/>
    </w:p>
    <w:p w14:paraId="445B16AD">
      <w:pPr>
        <w:framePr w:w="9639" w:h="6974" w:hRule="exact" w:wrap="around" w:vAnchor="page" w:hAnchor="page" w:x="1419" w:y="6408" w:anchorLock="1"/>
        <w:ind w:left="-1418"/>
      </w:pPr>
    </w:p>
    <w:p w14:paraId="7581C8E1">
      <w:pPr>
        <w:pStyle w:val="128"/>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riteria for evaluation of emergency response capability of special equipment"/>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Criteria for evaluation of emergency response capability of special equipment</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8"/>
        <w:framePr w:w="9639" w:h="6974" w:hRule="exact" w:wrap="around" w:vAnchor="page" w:hAnchor="page" w:x="1419" w:y="6408" w:anchorLock="1"/>
        <w:textAlignment w:val="bottom"/>
        <w:rPr>
          <w:rFonts w:eastAsia="黑体"/>
          <w:szCs w:val="28"/>
        </w:rPr>
      </w:pPr>
    </w:p>
    <w:p w14:paraId="1926DE23">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6"/>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7"/>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4"/>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D259236">
      <w:pPr>
        <w:pStyle w:val="94"/>
        <w:spacing w:after="360"/>
        <w:rPr>
          <w:rFonts w:hint="eastAsia"/>
        </w:rPr>
      </w:pPr>
      <w:bookmarkStart w:id="21" w:name="BookMark1"/>
      <w:r>
        <w:rPr>
          <w:rFonts w:hint="eastAsia"/>
          <w:spacing w:val="320"/>
        </w:rPr>
        <w:t>目</w:t>
      </w:r>
      <w:r>
        <w:rPr>
          <w:rFonts w:hint="eastAsia"/>
        </w:rPr>
        <w:t>次</w:t>
      </w:r>
    </w:p>
    <w:p w14:paraId="6EAAC90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"_Toc228611811" </w:instrText>
      </w:r>
      <w:r>
        <w:fldChar w:fldCharType="separate"/>
      </w:r>
      <w:r>
        <w:rPr>
          <w:rStyle w:val="34"/>
        </w:rPr>
        <w:t>前言</w:t>
      </w:r>
      <w:r>
        <w:rPr>
          <w:rFonts w:hint="eastAsia"/>
        </w:rPr>
        <w:tab/>
      </w:r>
      <w:r>
        <w:rPr>
          <w:rFonts w:hint="eastAsia"/>
        </w:rPr>
        <w:fldChar w:fldCharType="begin"/>
      </w:r>
      <w:r>
        <w:rPr>
          <w:rFonts w:hint="eastAsia"/>
        </w:rPr>
        <w:instrText xml:space="preserve"> </w:instrText>
      </w:r>
      <w:r>
        <w:instrText xml:space="preserve">PAGEREF _Toc228611811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28EF9685">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"_Toc228611812" </w:instrText>
      </w:r>
      <w:r>
        <w:fldChar w:fldCharType="separate"/>
      </w:r>
      <w:r>
        <w:rPr>
          <w:rStyle w:val="34"/>
        </w:rPr>
        <w:t>引言</w:t>
      </w:r>
      <w:r>
        <w:rPr>
          <w:rFonts w:hint="eastAsia"/>
        </w:rPr>
        <w:tab/>
      </w:r>
      <w:r>
        <w:rPr>
          <w:rFonts w:hint="eastAsia"/>
        </w:rPr>
        <w:fldChar w:fldCharType="begin"/>
      </w:r>
      <w:r>
        <w:rPr>
          <w:rFonts w:hint="eastAsia"/>
        </w:rPr>
        <w:instrText xml:space="preserve"> </w:instrText>
      </w:r>
      <w:r>
        <w:instrText xml:space="preserve">PAGEREF _Toc228611812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A6E38F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"_Toc228611813"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_Toc228611813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8C54F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"_Toc228611814"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_Toc228611814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FA45D8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"_Toc228611815"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_Toc228611815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A4B6B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"_Toc228611816" </w:instrText>
      </w:r>
      <w:r>
        <w:fldChar w:fldCharType="separate"/>
      </w:r>
      <w:r>
        <w:rPr>
          <w:rStyle w:val="34"/>
        </w:rPr>
        <w:t>4  基本要求</w:t>
      </w:r>
      <w:r>
        <w:rPr>
          <w:rFonts w:hint="eastAsia"/>
        </w:rPr>
        <w:tab/>
      </w:r>
      <w:r>
        <w:rPr>
          <w:rFonts w:hint="eastAsia"/>
        </w:rPr>
        <w:fldChar w:fldCharType="begin"/>
      </w:r>
      <w:r>
        <w:rPr>
          <w:rFonts w:hint="eastAsia"/>
        </w:rPr>
        <w:instrText xml:space="preserve"> </w:instrText>
      </w:r>
      <w:r>
        <w:instrText xml:space="preserve">PAGEREF _Toc228611816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D019C6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"_Toc228611817" </w:instrText>
      </w:r>
      <w:r>
        <w:fldChar w:fldCharType="separate"/>
      </w:r>
      <w:r>
        <w:rPr>
          <w:rStyle w:val="34"/>
        </w:rPr>
        <w:t>5  评价对象与评价内容</w:t>
      </w:r>
      <w:r>
        <w:rPr>
          <w:rFonts w:hint="eastAsia"/>
        </w:rPr>
        <w:tab/>
      </w:r>
      <w:r>
        <w:rPr>
          <w:rFonts w:hint="eastAsia"/>
        </w:rPr>
        <w:fldChar w:fldCharType="begin"/>
      </w:r>
      <w:r>
        <w:rPr>
          <w:rFonts w:hint="eastAsia"/>
        </w:rPr>
        <w:instrText xml:space="preserve"> </w:instrText>
      </w:r>
      <w:r>
        <w:instrText xml:space="preserve">PAGEREF _Toc228611817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1DA488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"_Toc228611818" </w:instrText>
      </w:r>
      <w:r>
        <w:fldChar w:fldCharType="separate"/>
      </w:r>
      <w:r>
        <w:rPr>
          <w:rStyle w:val="34"/>
        </w:rPr>
        <w:t>6  评价指标体系</w:t>
      </w:r>
      <w:r>
        <w:rPr>
          <w:rFonts w:hint="eastAsia"/>
        </w:rPr>
        <w:tab/>
      </w:r>
      <w:r>
        <w:rPr>
          <w:rFonts w:hint="eastAsia"/>
        </w:rPr>
        <w:fldChar w:fldCharType="begin"/>
      </w:r>
      <w:r>
        <w:rPr>
          <w:rFonts w:hint="eastAsia"/>
        </w:rPr>
        <w:instrText xml:space="preserve"> </w:instrText>
      </w:r>
      <w:r>
        <w:instrText xml:space="preserve">PAGEREF _Toc228611818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E1C46F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"_Toc228611819" </w:instrText>
      </w:r>
      <w:r>
        <w:fldChar w:fldCharType="separate"/>
      </w:r>
      <w:r>
        <w:rPr>
          <w:rStyle w:val="34"/>
        </w:rPr>
        <w:t>7  评价方法</w:t>
      </w:r>
      <w:r>
        <w:rPr>
          <w:rFonts w:hint="eastAsia"/>
        </w:rPr>
        <w:tab/>
      </w:r>
      <w:r>
        <w:rPr>
          <w:rFonts w:hint="eastAsia"/>
        </w:rPr>
        <w:fldChar w:fldCharType="begin"/>
      </w:r>
      <w:r>
        <w:rPr>
          <w:rFonts w:hint="eastAsia"/>
        </w:rPr>
        <w:instrText xml:space="preserve"> </w:instrText>
      </w:r>
      <w:r>
        <w:instrText xml:space="preserve">PAGEREF _Toc228611819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DDB643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"_Toc228611820" </w:instrText>
      </w:r>
      <w:r>
        <w:fldChar w:fldCharType="separate"/>
      </w:r>
      <w:r>
        <w:rPr>
          <w:rStyle w:val="34"/>
        </w:rPr>
        <w:t>8  评价程序</w:t>
      </w:r>
      <w:r>
        <w:rPr>
          <w:rFonts w:hint="eastAsia"/>
        </w:rPr>
        <w:tab/>
      </w:r>
      <w:r>
        <w:rPr>
          <w:rFonts w:hint="eastAsia"/>
        </w:rPr>
        <w:fldChar w:fldCharType="begin"/>
      </w:r>
      <w:r>
        <w:rPr>
          <w:rFonts w:hint="eastAsia"/>
        </w:rPr>
        <w:instrText xml:space="preserve"> </w:instrText>
      </w:r>
      <w:r>
        <w:instrText xml:space="preserve">PAGEREF _Toc228611820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4A0A72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"_Toc228611821" </w:instrText>
      </w:r>
      <w:r>
        <w:fldChar w:fldCharType="separate"/>
      </w:r>
      <w:r>
        <w:rPr>
          <w:rStyle w:val="34"/>
        </w:rPr>
        <w:t>9  评价等级判定</w:t>
      </w:r>
      <w:r>
        <w:rPr>
          <w:rFonts w:hint="eastAsia"/>
        </w:rPr>
        <w:tab/>
      </w:r>
      <w:r>
        <w:rPr>
          <w:rFonts w:hint="eastAsia"/>
        </w:rPr>
        <w:fldChar w:fldCharType="begin"/>
      </w:r>
      <w:r>
        <w:rPr>
          <w:rFonts w:hint="eastAsia"/>
        </w:rPr>
        <w:instrText xml:space="preserve"> </w:instrText>
      </w:r>
      <w:r>
        <w:instrText xml:space="preserve">PAGEREF _Toc228611821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2239C28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"_Toc228611822" </w:instrText>
      </w:r>
      <w:r>
        <w:fldChar w:fldCharType="separate"/>
      </w:r>
      <w:r>
        <w:rPr>
          <w:rStyle w:val="34"/>
        </w:rPr>
        <w:t>10  问题整改与验证</w:t>
      </w:r>
      <w:r>
        <w:rPr>
          <w:rFonts w:hint="eastAsia"/>
        </w:rPr>
        <w:tab/>
      </w:r>
      <w:r>
        <w:rPr>
          <w:rFonts w:hint="eastAsia"/>
        </w:rPr>
        <w:fldChar w:fldCharType="begin"/>
      </w:r>
      <w:r>
        <w:rPr>
          <w:rFonts w:hint="eastAsia"/>
        </w:rPr>
        <w:instrText xml:space="preserve"> </w:instrText>
      </w:r>
      <w:r>
        <w:instrText xml:space="preserve">PAGEREF _Toc228611822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1CE8D82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"_Toc228611823" </w:instrText>
      </w:r>
      <w:r>
        <w:fldChar w:fldCharType="separate"/>
      </w:r>
      <w:r>
        <w:rPr>
          <w:rStyle w:val="34"/>
        </w:rPr>
        <w:t>11  评价报告</w:t>
      </w:r>
      <w:r>
        <w:rPr>
          <w:rFonts w:hint="eastAsia"/>
        </w:rPr>
        <w:tab/>
      </w:r>
      <w:r>
        <w:rPr>
          <w:rFonts w:hint="eastAsia"/>
        </w:rPr>
        <w:fldChar w:fldCharType="begin"/>
      </w:r>
      <w:r>
        <w:rPr>
          <w:rFonts w:hint="eastAsia"/>
        </w:rPr>
        <w:instrText xml:space="preserve"> </w:instrText>
      </w:r>
      <w:r>
        <w:instrText xml:space="preserve">PAGEREF _Toc228611823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2BB9874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"_Toc228611824" </w:instrText>
      </w:r>
      <w:r>
        <w:fldChar w:fldCharType="separate"/>
      </w:r>
      <w:r>
        <w:rPr>
          <w:rStyle w:val="34"/>
        </w:rPr>
        <w:t>12  档案管理</w:t>
      </w:r>
      <w:r>
        <w:rPr>
          <w:rFonts w:hint="eastAsia"/>
        </w:rPr>
        <w:tab/>
      </w:r>
      <w:r>
        <w:rPr>
          <w:rFonts w:hint="eastAsia"/>
        </w:rPr>
        <w:fldChar w:fldCharType="begin"/>
      </w:r>
      <w:r>
        <w:rPr>
          <w:rFonts w:hint="eastAsia"/>
        </w:rPr>
        <w:instrText xml:space="preserve"> </w:instrText>
      </w:r>
      <w:r>
        <w:instrText xml:space="preserve">PAGEREF _Toc228611824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07881F6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"_Toc228611825" </w:instrText>
      </w:r>
      <w:r>
        <w:fldChar w:fldCharType="separate"/>
      </w:r>
      <w:r>
        <w:rPr>
          <w:rStyle w:val="34"/>
        </w:rPr>
        <w:t>附录A（资料性）  特种设备应急处置能力评价指标表</w:t>
      </w:r>
      <w:r>
        <w:rPr>
          <w:rFonts w:hint="eastAsia"/>
        </w:rPr>
        <w:tab/>
      </w:r>
      <w:r>
        <w:rPr>
          <w:rFonts w:hint="eastAsia"/>
        </w:rPr>
        <w:fldChar w:fldCharType="begin"/>
      </w:r>
      <w:r>
        <w:rPr>
          <w:rFonts w:hint="eastAsia"/>
        </w:rPr>
        <w:instrText xml:space="preserve"> </w:instrText>
      </w:r>
      <w:r>
        <w:instrText xml:space="preserve">PAGEREF _Toc228611825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0C28FC53">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"_Toc228611826" </w:instrText>
      </w:r>
      <w:r>
        <w:fldChar w:fldCharType="separate"/>
      </w:r>
      <w:r>
        <w:rPr>
          <w:rStyle w:val="34"/>
        </w:rPr>
        <w:t>附录B（资料性）  问题整改验证记录表</w:t>
      </w:r>
      <w:r>
        <w:rPr>
          <w:rFonts w:hint="eastAsia"/>
        </w:rPr>
        <w:tab/>
      </w:r>
      <w:r>
        <w:rPr>
          <w:rFonts w:hint="eastAsia"/>
        </w:rPr>
        <w:fldChar w:fldCharType="begin"/>
      </w:r>
      <w:r>
        <w:rPr>
          <w:rFonts w:hint="eastAsia"/>
        </w:rPr>
        <w:instrText xml:space="preserve"> </w:instrText>
      </w:r>
      <w:r>
        <w:instrText xml:space="preserve">PAGEREF _Toc228611826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1B64AA1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"_Toc228611827" </w:instrText>
      </w:r>
      <w:r>
        <w:fldChar w:fldCharType="separate"/>
      </w:r>
      <w:r>
        <w:rPr>
          <w:rStyle w:val="34"/>
        </w:rPr>
        <w:t>参考文献</w:t>
      </w:r>
      <w:r>
        <w:rPr>
          <w:rFonts w:hint="eastAsia"/>
        </w:rPr>
        <w:tab/>
      </w:r>
      <w:r>
        <w:rPr>
          <w:rFonts w:hint="eastAsia"/>
        </w:rPr>
        <w:fldChar w:fldCharType="begin"/>
      </w:r>
      <w:r>
        <w:rPr>
          <w:rFonts w:hint="eastAsia"/>
        </w:rPr>
        <w:instrText xml:space="preserve"> </w:instrText>
      </w:r>
      <w:r>
        <w:instrText xml:space="preserve">PAGEREF _Toc228611827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5E8FF8D8">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92"/>
        <w:spacing w:before="900" w:after="360"/>
      </w:pPr>
      <w:bookmarkStart w:id="22" w:name="_Toc228611811"/>
      <w:bookmarkStart w:id="23" w:name="BookMark2"/>
      <w:r>
        <w:rPr>
          <w:spacing w:val="320"/>
        </w:rPr>
        <w:t>前</w:t>
      </w:r>
      <w:r>
        <w:t>言</w:t>
      </w:r>
      <w:bookmarkEnd w:id="22"/>
    </w:p>
    <w:p w14:paraId="252D74D2">
      <w:pPr>
        <w:pStyle w:val="59"/>
        <w:spacing w:line="360" w:lineRule="auto"/>
        <w:ind w:firstLine="420"/>
      </w:pPr>
      <w:r>
        <w:rPr>
          <w:rFonts w:hint="eastAsia"/>
        </w:rPr>
        <w:t>本文件按照GB/T 1.1—2020《标准化工作导则  第1部分：标准化文件的结构和起草规则》的规定起草。</w:t>
      </w:r>
    </w:p>
    <w:p w14:paraId="0F2E2311">
      <w:pPr>
        <w:pStyle w:val="59"/>
        <w:spacing w:line="360" w:lineRule="auto"/>
        <w:ind w:firstLine="420"/>
      </w:pPr>
      <w:r>
        <w:rPr>
          <w:rFonts w:hint="eastAsia"/>
        </w:rPr>
        <w:t>请注意本文件的某些内容可能涉及专利。本文件的发布机构不承担识别专利的责任。</w:t>
      </w:r>
    </w:p>
    <w:p w14:paraId="56B1EF6F">
      <w:pPr>
        <w:pStyle w:val="59"/>
        <w:spacing w:line="360" w:lineRule="auto"/>
        <w:ind w:firstLine="420"/>
      </w:pPr>
      <w:r>
        <w:rPr>
          <w:rFonts w:hint="eastAsia"/>
        </w:rPr>
        <w:t>本文件由西安市质量与标准化协会提出并归口。</w:t>
      </w:r>
    </w:p>
    <w:p w14:paraId="13021025">
      <w:pPr>
        <w:pStyle w:val="59"/>
        <w:spacing w:line="360" w:lineRule="auto"/>
        <w:ind w:firstLine="420"/>
      </w:pPr>
      <w:r>
        <w:rPr>
          <w:rFonts w:hint="eastAsia"/>
        </w:rPr>
        <w:t>本文件起草单位：河南省锅炉压力容器检验技术科学研究院</w:t>
      </w:r>
      <w:r>
        <w:t>。</w:t>
      </w:r>
    </w:p>
    <w:p w14:paraId="784B3C9B">
      <w:pPr>
        <w:pStyle w:val="59"/>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毕虹怡。</w:t>
      </w:r>
      <w:bookmarkStart w:id="66" w:name="_GoBack"/>
      <w:bookmarkEnd w:id="66"/>
    </w:p>
    <w:bookmarkEnd w:id="23"/>
    <w:p w14:paraId="66D0A2F3">
      <w:pPr>
        <w:pStyle w:val="92"/>
        <w:spacing w:after="360"/>
      </w:pPr>
      <w:bookmarkStart w:id="24" w:name="_Toc228611812"/>
      <w:bookmarkStart w:id="25" w:name="BookMark3"/>
      <w:r>
        <w:rPr>
          <w:spacing w:val="320"/>
        </w:rPr>
        <w:t>引</w:t>
      </w:r>
      <w:r>
        <w:t>言</w:t>
      </w:r>
      <w:bookmarkEnd w:id="24"/>
    </w:p>
    <w:p w14:paraId="64D03B64">
      <w:pPr>
        <w:pStyle w:val="59"/>
        <w:spacing w:line="360" w:lineRule="auto"/>
        <w:ind w:firstLine="420"/>
      </w:pPr>
      <w:r>
        <w:t>特种设备广泛应用于工业生产、公共服务、交通运输、城市运行、能源保障、商业经营和居民生活等场景，其运行状态直接关系人员生命安全、财产安全和公共安全。锅炉、压力容器、压力管道、电梯、起重机械、客运索道、大型游乐设施、场（厂）内专用机动车辆等设备具有种类多、运行环境复杂、危险因素差异大、事故后果影响广等特点。一旦发生泄漏、爆炸、坠落、剪切、困人、倾覆、断裂、失控、燃烧、中毒、群体性滞留等事件，若使用单位、维保单位、运营管理单位和相关责任人员应急处置能力不足，容易造成事故扩大、人员伤害加重、救援延误和次生风险。</w:t>
      </w:r>
    </w:p>
    <w:p w14:paraId="7DDB2A74">
      <w:pPr>
        <w:pStyle w:val="59"/>
        <w:spacing w:line="360" w:lineRule="auto"/>
        <w:ind w:firstLine="420"/>
      </w:pPr>
      <w:r>
        <w:rPr>
          <w:rFonts w:hint="eastAsia"/>
        </w:rPr>
        <w:t>特种设备应急处置能力不应仅理解为是否制定应急预案，也不应仅以是否开展演练作为评价依据，而应综合评价组织指挥、风险识别、预案管理、人员培训、物资装备、监测预警、信息报告、现场处置、协同联动、救援保障、事故恢复和持续改进等方面的能力。应急处置能力评价应关注制度是否健全、职责是否明确、预案是否适用、人员是否熟悉、装备是否可用、响应是否及时、处置是否规范、信息是否畅通、演练是否有效、改进是否闭环等关键内容。</w:t>
      </w:r>
    </w:p>
    <w:p w14:paraId="6BC8A118">
      <w:pPr>
        <w:pStyle w:val="59"/>
        <w:spacing w:line="360" w:lineRule="auto"/>
        <w:ind w:firstLine="420"/>
      </w:pPr>
      <w:r>
        <w:rPr>
          <w:rFonts w:hint="eastAsia"/>
        </w:rPr>
        <w:t>在实际管理过程中，部分特种设备使用单位仍存在应急处置体系不完善的问题，包括应急职责不清、预案内容空泛、风险场景识别不足、现场处置卡缺失、值班值守不到位、应急物资失效、报警联络不畅、人员培训流于形式、演练与真实风险脱节、事故信息报告不及时、维保单位与使用单位联动不足、应急处置记录不完整等。上述问题会削弱特种设备突发事件初期控制能力和组织协调能力，使原本可控的设备故障、人员被困、介质泄漏、异常停运或局部险情演变为较大安全事件。</w:t>
      </w:r>
    </w:p>
    <w:p w14:paraId="539DA60E">
      <w:pPr>
        <w:pStyle w:val="59"/>
        <w:spacing w:line="360" w:lineRule="auto"/>
        <w:ind w:firstLine="420"/>
      </w:pPr>
      <w:r>
        <w:rPr>
          <w:rFonts w:hint="eastAsia"/>
        </w:rPr>
        <w:t>本文件围绕特种设备应急处置能力评价活动，提出评价原则、评价对象、评价内容、评价指标、评价方法、评价程序、等级判定、整改验证和档案管理等要求。本文件注重将应急能力评价要求转化为可检查、可量化、可判定、可追溯的条款，强化“应”“不得”等规范性表述，减少原则性、解释性和倡导性表达，便于特种设备使用单位、运营管理单位、维护保养单位、评价机构和安全管理相关单位开展应急处置能力评价。</w:t>
      </w:r>
    </w:p>
    <w:p w14:paraId="41C59179">
      <w:pPr>
        <w:pStyle w:val="59"/>
        <w:ind w:firstLine="420"/>
      </w:pPr>
    </w:p>
    <w:p w14:paraId="3AC90217">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80"/>
            <w:spacing w:after="0"/>
            <w:rPr>
              <w:rFonts w:hint="eastAsia"/>
            </w:rPr>
          </w:pPr>
          <w:bookmarkStart w:id="27" w:name="NEW_STAND_NAME"/>
          <w:r>
            <w:t>特种设备应急处置能力评价准则</w:t>
          </w:r>
        </w:p>
      </w:sdtContent>
    </w:sdt>
    <w:bookmarkEnd w:id="27"/>
    <w:p w14:paraId="3DB22445">
      <w:pPr>
        <w:pStyle w:val="107"/>
        <w:spacing w:before="240" w:after="240" w:line="360" w:lineRule="auto"/>
      </w:pPr>
      <w:bookmarkStart w:id="28" w:name="_Toc228611813"/>
      <w:bookmarkStart w:id="29" w:name="_Toc17233325"/>
      <w:bookmarkStart w:id="30" w:name="_Toc24884218"/>
      <w:bookmarkStart w:id="31" w:name="_Toc24884211"/>
      <w:bookmarkStart w:id="32" w:name="_Toc26648465"/>
      <w:bookmarkStart w:id="33" w:name="_Toc97192964"/>
      <w:bookmarkStart w:id="34" w:name="_Toc26986530"/>
      <w:bookmarkStart w:id="35" w:name="_Toc26986771"/>
      <w:bookmarkStart w:id="36" w:name="_Toc17233333"/>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6392BCC7">
      <w:pPr>
        <w:pStyle w:val="59"/>
        <w:spacing w:line="360" w:lineRule="auto"/>
        <w:ind w:firstLine="420"/>
      </w:pPr>
      <w:bookmarkStart w:id="38" w:name="_Toc17233326"/>
      <w:bookmarkStart w:id="39" w:name="_Toc17233334"/>
      <w:bookmarkStart w:id="40" w:name="_Toc24884219"/>
      <w:bookmarkStart w:id="41" w:name="_Toc26648466"/>
      <w:bookmarkStart w:id="42" w:name="_Toc24884212"/>
      <w:r>
        <w:rPr>
          <w:rFonts w:hint="eastAsia"/>
        </w:rPr>
        <w:t>本文件规定了特种设备应急处置能力评价的基本要求、评价对象与评价内容、评价指标体系、评价方法、评价程序、评价等级判定、问题整改与验证、评价报告和档案管理等要求。</w:t>
      </w:r>
    </w:p>
    <w:p w14:paraId="72846B0C">
      <w:pPr>
        <w:pStyle w:val="59"/>
        <w:spacing w:line="360" w:lineRule="auto"/>
        <w:ind w:firstLine="420"/>
      </w:pPr>
      <w:r>
        <w:rPr>
          <w:rFonts w:hint="eastAsia"/>
        </w:rPr>
        <w:t>本文件适用于特种设备使用单位、运营管理单位、维护保养单位及相关组织开展特种设备应急处置能力自评、第三方评价、监督检查评价和改进提升评价。</w:t>
      </w:r>
    </w:p>
    <w:p w14:paraId="3733B2AD">
      <w:pPr>
        <w:pStyle w:val="107"/>
        <w:spacing w:before="240" w:after="240" w:line="360" w:lineRule="auto"/>
      </w:pPr>
      <w:bookmarkStart w:id="43" w:name="_Toc97192965"/>
      <w:bookmarkStart w:id="44" w:name="_Toc26718931"/>
      <w:bookmarkStart w:id="45" w:name="_Toc228611814"/>
      <w:bookmarkStart w:id="46" w:name="_Toc269865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9"/>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722B4B">
      <w:pPr>
        <w:pStyle w:val="59"/>
        <w:spacing w:line="360" w:lineRule="auto"/>
        <w:ind w:firstLine="420"/>
      </w:pPr>
      <w:r>
        <w:rPr>
          <w:rFonts w:hint="eastAsia"/>
        </w:rPr>
        <w:t>GB/T 19000 质量管理体系 基础和术语</w:t>
      </w:r>
    </w:p>
    <w:p w14:paraId="590ACDC5">
      <w:pPr>
        <w:pStyle w:val="59"/>
        <w:spacing w:line="360" w:lineRule="auto"/>
        <w:ind w:firstLine="420"/>
      </w:pPr>
      <w:r>
        <w:rPr>
          <w:rFonts w:hint="eastAsia"/>
        </w:rPr>
        <w:t>GB/T 29639 生产经营单位生产安全事故应急预案编制导则</w:t>
      </w:r>
    </w:p>
    <w:p w14:paraId="199734A6">
      <w:pPr>
        <w:pStyle w:val="59"/>
        <w:spacing w:line="360" w:lineRule="auto"/>
        <w:ind w:firstLine="420"/>
      </w:pPr>
      <w:r>
        <w:rPr>
          <w:rFonts w:hint="eastAsia"/>
        </w:rPr>
        <w:t>GB/T 33942 特种设备事故应急预案编制导则</w:t>
      </w:r>
    </w:p>
    <w:p w14:paraId="122C14E8">
      <w:pPr>
        <w:pStyle w:val="59"/>
        <w:spacing w:line="360" w:lineRule="auto"/>
        <w:ind w:firstLine="420"/>
      </w:pPr>
      <w:r>
        <w:rPr>
          <w:rFonts w:hint="eastAsia"/>
        </w:rPr>
        <w:t>GB/T 45001 职业健康安全管理体系 要求及使用指南</w:t>
      </w:r>
    </w:p>
    <w:p w14:paraId="07A7F860">
      <w:pPr>
        <w:pStyle w:val="59"/>
        <w:spacing w:line="360" w:lineRule="auto"/>
        <w:ind w:firstLine="420"/>
      </w:pPr>
      <w:r>
        <w:rPr>
          <w:rFonts w:hint="eastAsia"/>
        </w:rPr>
        <w:t>TSG 08 特种设备使用管理规则</w:t>
      </w:r>
    </w:p>
    <w:p w14:paraId="51F02A4E">
      <w:pPr>
        <w:pStyle w:val="107"/>
        <w:spacing w:before="240" w:after="240" w:line="360" w:lineRule="auto"/>
      </w:pPr>
      <w:bookmarkStart w:id="48" w:name="_Toc228611815"/>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9"/>
            <w:spacing w:line="360" w:lineRule="auto"/>
            <w:ind w:firstLine="420"/>
          </w:pPr>
          <w:bookmarkStart w:id="50" w:name="_Toc26986532"/>
          <w:bookmarkEnd w:id="50"/>
          <w:r>
            <w:t>下列术语和定义适用于本文件。</w:t>
          </w:r>
        </w:p>
      </w:sdtContent>
    </w:sdt>
    <w:p w14:paraId="4E38E246">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特种设备 special equipment</w:t>
      </w:r>
    </w:p>
    <w:p w14:paraId="774D686D">
      <w:pPr>
        <w:pStyle w:val="59"/>
        <w:spacing w:line="360" w:lineRule="auto"/>
        <w:ind w:firstLine="420"/>
      </w:pPr>
      <w:r>
        <w:rPr>
          <w:rFonts w:hint="eastAsia"/>
        </w:rPr>
        <w:t>对人身和财产安全有较大危险性，依法纳入监督管理范围的锅炉、压力容器、压力管道、电梯、起重机械、客运索道、大型游乐设施和场（厂）内专用机动车辆等设备。</w:t>
      </w:r>
    </w:p>
    <w:p w14:paraId="6420255B">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应急处置 emergency response</w:t>
      </w:r>
    </w:p>
    <w:p w14:paraId="404610D1">
      <w:pPr>
        <w:pStyle w:val="59"/>
        <w:spacing w:line="360" w:lineRule="auto"/>
        <w:ind w:firstLine="420"/>
      </w:pPr>
      <w:r>
        <w:rPr>
          <w:rFonts w:hint="eastAsia"/>
        </w:rPr>
        <w:t>针对特种设备突发事件或事故险情，采取信息报告、人员疏散、现场警戒、风险控制、设备停用、抢险救援、医疗救护、协同联动和恢复处置等措施的活动。</w:t>
      </w:r>
    </w:p>
    <w:p w14:paraId="6DF14E11">
      <w:pPr>
        <w:pStyle w:val="59"/>
        <w:spacing w:line="360" w:lineRule="auto"/>
        <w:ind w:firstLine="199" w:firstLineChars="95"/>
      </w:pPr>
    </w:p>
    <w:p w14:paraId="0C74B64B">
      <w:pPr>
        <w:pStyle w:val="59"/>
        <w:spacing w:line="360" w:lineRule="auto"/>
        <w:ind w:firstLine="199" w:firstLineChars="95"/>
        <w:rPr>
          <w:rFonts w:hint="eastAsia"/>
        </w:rPr>
      </w:pPr>
    </w:p>
    <w:p w14:paraId="0CAB1B6D">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应急处置能力 emergency response capability</w:t>
      </w:r>
    </w:p>
    <w:p w14:paraId="1B47E557">
      <w:pPr>
        <w:pStyle w:val="59"/>
        <w:spacing w:line="360" w:lineRule="auto"/>
        <w:ind w:firstLine="420"/>
      </w:pPr>
      <w:r>
        <w:rPr>
          <w:rFonts w:hint="eastAsia"/>
        </w:rPr>
        <w:t>特种设备相关单位在突发事件发生前、发生时和发生后，开展风险识别、预案准备、组织指挥、现场处置、协同救援、资源保障和持续改进的综合能力。</w:t>
      </w:r>
    </w:p>
    <w:p w14:paraId="37004386">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能力评价 capability assessment</w:t>
      </w:r>
    </w:p>
    <w:p w14:paraId="202B3509">
      <w:pPr>
        <w:pStyle w:val="59"/>
        <w:spacing w:line="360" w:lineRule="auto"/>
        <w:ind w:firstLine="420"/>
      </w:pPr>
      <w:r>
        <w:rPr>
          <w:rFonts w:hint="eastAsia"/>
        </w:rPr>
        <w:t>依据规定的评价指标、评价方法和判定规则，对特种设备应急处置能力进行检查、评分、判定和改进建议提出的活动。</w:t>
      </w:r>
    </w:p>
    <w:p w14:paraId="05877E1B">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评价对象 assessment object</w:t>
      </w:r>
    </w:p>
    <w:p w14:paraId="39FD7DCB">
      <w:pPr>
        <w:pStyle w:val="59"/>
        <w:spacing w:line="360" w:lineRule="auto"/>
        <w:ind w:firstLine="420"/>
      </w:pPr>
      <w:r>
        <w:rPr>
          <w:rFonts w:hint="eastAsia"/>
        </w:rPr>
        <w:t>接受特种设备应急处置能力评价的单位、场所、设备系统、管理体系或特定应急处置场景。</w:t>
      </w:r>
    </w:p>
    <w:p w14:paraId="07BA5D66">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风险场景 risk scenario</w:t>
      </w:r>
    </w:p>
    <w:p w14:paraId="139DD2F2">
      <w:pPr>
        <w:pStyle w:val="59"/>
        <w:spacing w:line="360" w:lineRule="auto"/>
        <w:ind w:firstLine="420"/>
      </w:pPr>
      <w:r>
        <w:rPr>
          <w:rFonts w:hint="eastAsia"/>
        </w:rPr>
        <w:t>根据特种设备类别、使用环境、介质特性、运行工况、故障模式和可能后果设定的应急处置情形。</w:t>
      </w:r>
    </w:p>
    <w:p w14:paraId="7612E1C7">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应急预案 emergency plan</w:t>
      </w:r>
    </w:p>
    <w:p w14:paraId="4D6C7C50">
      <w:pPr>
        <w:pStyle w:val="59"/>
        <w:spacing w:line="360" w:lineRule="auto"/>
        <w:ind w:firstLine="420"/>
      </w:pPr>
      <w:r>
        <w:rPr>
          <w:rFonts w:hint="eastAsia"/>
        </w:rPr>
        <w:t>为有效应对特种设备突发事件，预先制定的组织指挥、响应程序、处置措施、资源保障和恢复管理文件。</w:t>
      </w:r>
    </w:p>
    <w:p w14:paraId="7D86801E">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现场处置方案 on-site response plan</w:t>
      </w:r>
    </w:p>
    <w:p w14:paraId="2BEE00E7">
      <w:pPr>
        <w:pStyle w:val="59"/>
        <w:spacing w:line="360" w:lineRule="auto"/>
        <w:ind w:firstLine="420"/>
      </w:pPr>
      <w:r>
        <w:rPr>
          <w:rFonts w:hint="eastAsia"/>
        </w:rPr>
        <w:t>针对具体设备、具体场所或具体风险场景制定的现场应急处置程序和操作要求。</w:t>
      </w:r>
    </w:p>
    <w:p w14:paraId="41E589FC">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现场处置卡 on-site response card</w:t>
      </w:r>
    </w:p>
    <w:p w14:paraId="1DEB5533">
      <w:pPr>
        <w:pStyle w:val="59"/>
        <w:spacing w:line="360" w:lineRule="auto"/>
        <w:ind w:firstLine="420"/>
      </w:pPr>
      <w:r>
        <w:rPr>
          <w:rFonts w:hint="eastAsia"/>
        </w:rPr>
        <w:t>对应急岗位、处置步骤、报警方式、风险控制、人员疏散、注意事项和联络信息进行简明列示的现场操作卡片。</w:t>
      </w:r>
    </w:p>
    <w:p w14:paraId="79616593">
      <w:pPr>
        <w:pStyle w:val="226"/>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应急演练 emergency drill</w:t>
      </w:r>
    </w:p>
    <w:p w14:paraId="4E298868">
      <w:pPr>
        <w:pStyle w:val="59"/>
        <w:spacing w:line="360" w:lineRule="auto"/>
        <w:ind w:firstLine="420"/>
      </w:pPr>
      <w:r>
        <w:rPr>
          <w:rFonts w:hint="eastAsia"/>
        </w:rPr>
        <w:t>依据应急预案或现场处置方案，模拟特种设备突发事件开展的组织指挥、人员响应、现场处置、联动协调和总结改进活动。</w:t>
      </w:r>
    </w:p>
    <w:p w14:paraId="664B03CB">
      <w:pPr>
        <w:pStyle w:val="107"/>
        <w:spacing w:before="240" w:after="240" w:line="360" w:lineRule="auto"/>
      </w:pPr>
      <w:bookmarkStart w:id="51" w:name="_Toc228611816"/>
      <w:r>
        <w:rPr>
          <w:rFonts w:hint="eastAsia"/>
        </w:rPr>
        <w:t>基本要求</w:t>
      </w:r>
      <w:bookmarkEnd w:id="51"/>
    </w:p>
    <w:p w14:paraId="66DD7190">
      <w:pPr>
        <w:pStyle w:val="108"/>
        <w:spacing w:before="120" w:after="120" w:line="360" w:lineRule="auto"/>
      </w:pPr>
      <w:r>
        <w:rPr>
          <w:rFonts w:hint="eastAsia"/>
        </w:rPr>
        <w:t>总体要求</w:t>
      </w:r>
    </w:p>
    <w:p w14:paraId="446E9C42">
      <w:pPr>
        <w:pStyle w:val="168"/>
        <w:spacing w:line="360" w:lineRule="auto"/>
      </w:pPr>
      <w:r>
        <w:rPr>
          <w:rFonts w:hint="eastAsia"/>
        </w:rPr>
        <w:t>特种设备应急处置能力评价应坚持风险导向、分类实施、客观取证、量化判定、问题闭环和持续改进的原则。</w:t>
      </w:r>
    </w:p>
    <w:p w14:paraId="1A5BEA48">
      <w:pPr>
        <w:pStyle w:val="168"/>
        <w:spacing w:line="360" w:lineRule="auto"/>
      </w:pPr>
      <w:r>
        <w:rPr>
          <w:rFonts w:hint="eastAsia"/>
        </w:rPr>
        <w:t>被评价单位应建立与特种设备类别、数量、风险等级、使用场所和运行特点相适应的应急处置体系。</w:t>
      </w:r>
    </w:p>
    <w:p w14:paraId="155E820D">
      <w:pPr>
        <w:pStyle w:val="168"/>
        <w:spacing w:line="360" w:lineRule="auto"/>
      </w:pPr>
      <w:r>
        <w:rPr>
          <w:rFonts w:hint="eastAsia"/>
        </w:rPr>
        <w:t>应急处置能力评价应覆盖应急准备、监测预警、信息报告、组织指挥、现场处置、资源保障、协同联动、恢复管理和改进提升全过程。</w:t>
      </w:r>
    </w:p>
    <w:p w14:paraId="263901B6">
      <w:pPr>
        <w:pStyle w:val="168"/>
        <w:spacing w:line="360" w:lineRule="auto"/>
      </w:pPr>
      <w:r>
        <w:rPr>
          <w:rFonts w:hint="eastAsia"/>
        </w:rPr>
        <w:t>评价活动应以客观证据为依据，不得仅依据制度文本或口头说明作出合格判定。</w:t>
      </w:r>
    </w:p>
    <w:p w14:paraId="4245928D">
      <w:pPr>
        <w:pStyle w:val="168"/>
        <w:spacing w:line="360" w:lineRule="auto"/>
      </w:pPr>
      <w:r>
        <w:rPr>
          <w:rFonts w:hint="eastAsia"/>
        </w:rPr>
        <w:t>评价结论应能够反映被评价单位应急处置能力等级、主要问题、风险短板和改进要求。</w:t>
      </w:r>
    </w:p>
    <w:p w14:paraId="53F3956B">
      <w:pPr>
        <w:pStyle w:val="168"/>
        <w:spacing w:line="360" w:lineRule="auto"/>
      </w:pPr>
      <w:r>
        <w:rPr>
          <w:rFonts w:hint="eastAsia"/>
        </w:rPr>
        <w:t>对公众聚集场所、人员密集场所、危险化学品相关场所、重要基础设施和高风险设备，应提高评价深度和评价频次。</w:t>
      </w:r>
    </w:p>
    <w:p w14:paraId="26E697A4">
      <w:pPr>
        <w:pStyle w:val="168"/>
        <w:spacing w:line="360" w:lineRule="auto"/>
      </w:pPr>
      <w:r>
        <w:rPr>
          <w:rFonts w:hint="eastAsia"/>
        </w:rPr>
        <w:t>评价过程中发现可能立即危及人员安全、设备安全或公共安全的重大问题时，应立即告知被评价单位采取控制措施。</w:t>
      </w:r>
    </w:p>
    <w:p w14:paraId="74FB3E9B">
      <w:pPr>
        <w:pStyle w:val="168"/>
        <w:spacing w:line="360" w:lineRule="auto"/>
      </w:pPr>
      <w:r>
        <w:rPr>
          <w:rFonts w:hint="eastAsia"/>
        </w:rPr>
        <w:t>评价人员不得隐瞒重大问题，不得以资料齐全替代现场能力有效性判定。</w:t>
      </w:r>
    </w:p>
    <w:p w14:paraId="6BEA21A2">
      <w:pPr>
        <w:pStyle w:val="168"/>
        <w:spacing w:line="360" w:lineRule="auto"/>
      </w:pPr>
      <w:r>
        <w:rPr>
          <w:rFonts w:hint="eastAsia"/>
        </w:rPr>
        <w:t>被评价单位不得伪造应急演练记录、培训记录、物资台账、维保记录、报警记录和处置记录。</w:t>
      </w:r>
    </w:p>
    <w:p w14:paraId="322F9776">
      <w:pPr>
        <w:pStyle w:val="168"/>
        <w:spacing w:line="360" w:lineRule="auto"/>
      </w:pPr>
      <w:r>
        <w:rPr>
          <w:rFonts w:hint="eastAsia"/>
        </w:rPr>
        <w:t>评价结果应作为完善应急预案、优化资源配置、加强培训演练、落实隐患整改和提升安全管理能力的依据。</w:t>
      </w:r>
    </w:p>
    <w:p w14:paraId="2D70A926">
      <w:pPr>
        <w:pStyle w:val="108"/>
        <w:spacing w:before="120" w:after="120" w:line="360" w:lineRule="auto"/>
      </w:pPr>
      <w:r>
        <w:rPr>
          <w:rFonts w:hint="eastAsia"/>
        </w:rPr>
        <w:t>评价原则</w:t>
      </w:r>
    </w:p>
    <w:p w14:paraId="1DF252D6">
      <w:pPr>
        <w:pStyle w:val="168"/>
        <w:spacing w:line="360" w:lineRule="auto"/>
      </w:pPr>
      <w:r>
        <w:rPr>
          <w:rFonts w:hint="eastAsia"/>
        </w:rPr>
        <w:t>合法合规原则。评价活动应符合特种设备安全、生产安全、应急管理和相关法律法规、标准规范要求。</w:t>
      </w:r>
    </w:p>
    <w:p w14:paraId="3C51103E">
      <w:pPr>
        <w:pStyle w:val="168"/>
        <w:spacing w:line="360" w:lineRule="auto"/>
      </w:pPr>
      <w:r>
        <w:rPr>
          <w:rFonts w:hint="eastAsia"/>
        </w:rPr>
        <w:t>风险导向原则。评价应以特种设备危险特性、事故后果、使用场景、人员暴露程度和历史故障情况为重点。</w:t>
      </w:r>
    </w:p>
    <w:p w14:paraId="5EFC3094">
      <w:pPr>
        <w:pStyle w:val="168"/>
        <w:spacing w:line="360" w:lineRule="auto"/>
      </w:pPr>
      <w:r>
        <w:rPr>
          <w:rFonts w:hint="eastAsia"/>
        </w:rPr>
        <w:t>分类评价原则。不同设备类别、不同使用场所和不同风险等级应采用相适应的评价内容和评价要求。</w:t>
      </w:r>
    </w:p>
    <w:p w14:paraId="3EA6B7FB">
      <w:pPr>
        <w:pStyle w:val="168"/>
        <w:spacing w:line="360" w:lineRule="auto"/>
      </w:pPr>
      <w:r>
        <w:rPr>
          <w:rFonts w:hint="eastAsia"/>
        </w:rPr>
        <w:t>证据充分原则。评价判定应基于文件资料、现场检查、人员询问、功能测试、演练观察和记录追溯等证据。</w:t>
      </w:r>
    </w:p>
    <w:p w14:paraId="46560126">
      <w:pPr>
        <w:pStyle w:val="168"/>
        <w:spacing w:line="360" w:lineRule="auto"/>
      </w:pPr>
      <w:r>
        <w:rPr>
          <w:rFonts w:hint="eastAsia"/>
        </w:rPr>
        <w:t>实用有效原则。评价应重点判断应急处置措施能否在真实场景下执行，不得只评价文件完整性。</w:t>
      </w:r>
    </w:p>
    <w:p w14:paraId="28B0D4A6">
      <w:pPr>
        <w:pStyle w:val="168"/>
        <w:spacing w:line="360" w:lineRule="auto"/>
      </w:pPr>
      <w:r>
        <w:rPr>
          <w:rFonts w:hint="eastAsia"/>
        </w:rPr>
        <w:t>闭环改进原则。评价发现的问题应形成整改闭环，整改结果应经验证确认。</w:t>
      </w:r>
    </w:p>
    <w:p w14:paraId="3BE2ECF1">
      <w:pPr>
        <w:pStyle w:val="108"/>
        <w:spacing w:before="120" w:after="120" w:line="360" w:lineRule="auto"/>
      </w:pPr>
      <w:r>
        <w:rPr>
          <w:rFonts w:hint="eastAsia"/>
        </w:rPr>
        <w:t>评价组织要求</w:t>
      </w:r>
    </w:p>
    <w:p w14:paraId="62D70AE9">
      <w:pPr>
        <w:pStyle w:val="168"/>
        <w:spacing w:line="360" w:lineRule="auto"/>
      </w:pPr>
      <w:r>
        <w:rPr>
          <w:rFonts w:hint="eastAsia"/>
        </w:rPr>
        <w:t>开展评价前，应明确评价组织、评价人员、评价范围、评价依据、评价计划和评价方式。</w:t>
      </w:r>
    </w:p>
    <w:p w14:paraId="694B4C5E">
      <w:pPr>
        <w:pStyle w:val="168"/>
        <w:spacing w:line="360" w:lineRule="auto"/>
      </w:pPr>
      <w:r>
        <w:rPr>
          <w:rFonts w:hint="eastAsia"/>
        </w:rPr>
        <w:t>评价人员应熟悉特种设备安全管理、应急管理、设备运行风险和评价方法。</w:t>
      </w:r>
    </w:p>
    <w:p w14:paraId="6D6D9B06">
      <w:pPr>
        <w:pStyle w:val="168"/>
        <w:spacing w:line="360" w:lineRule="auto"/>
      </w:pPr>
      <w:r>
        <w:rPr>
          <w:rFonts w:hint="eastAsia"/>
        </w:rPr>
        <w:t>评价组应根据设备类别和风险特点配备相应专业人员。涉及多类别特种设备的，应配备能够覆盖相关专业的评价人员。</w:t>
      </w:r>
    </w:p>
    <w:p w14:paraId="79821117">
      <w:pPr>
        <w:pStyle w:val="168"/>
        <w:spacing w:line="360" w:lineRule="auto"/>
      </w:pPr>
      <w:r>
        <w:rPr>
          <w:rFonts w:hint="eastAsia"/>
        </w:rPr>
        <w:t>评价人员应保持客观、公正，不得评价与自身存在利益冲突的对象。</w:t>
      </w:r>
    </w:p>
    <w:p w14:paraId="7A588949">
      <w:pPr>
        <w:pStyle w:val="168"/>
        <w:spacing w:line="360" w:lineRule="auto"/>
      </w:pPr>
      <w:r>
        <w:rPr>
          <w:rFonts w:hint="eastAsia"/>
        </w:rPr>
        <w:t>被评价单位应配合提供真实资料、现场条件、人员访谈和演练测试条件。</w:t>
      </w:r>
    </w:p>
    <w:p w14:paraId="305AD961">
      <w:pPr>
        <w:pStyle w:val="168"/>
        <w:spacing w:line="360" w:lineRule="auto"/>
      </w:pPr>
      <w:r>
        <w:rPr>
          <w:rFonts w:hint="eastAsia"/>
        </w:rPr>
        <w:t>第三方评价机构开展评价时，应建立评价质量控制制度，保证评价过程可追溯、评价结论可复核。</w:t>
      </w:r>
    </w:p>
    <w:p w14:paraId="17169481">
      <w:pPr>
        <w:pStyle w:val="108"/>
        <w:spacing w:before="120" w:after="120" w:line="360" w:lineRule="auto"/>
      </w:pPr>
      <w:r>
        <w:rPr>
          <w:rFonts w:hint="eastAsia"/>
        </w:rPr>
        <w:t>评价周期要求</w:t>
      </w:r>
    </w:p>
    <w:p w14:paraId="584BE12B">
      <w:pPr>
        <w:pStyle w:val="168"/>
        <w:spacing w:line="360" w:lineRule="auto"/>
      </w:pPr>
      <w:r>
        <w:rPr>
          <w:rFonts w:hint="eastAsia"/>
        </w:rPr>
        <w:t>特种设备使用单位应定期开展应急处置能力自评，每年不宜少于一次。</w:t>
      </w:r>
    </w:p>
    <w:p w14:paraId="720A1352">
      <w:pPr>
        <w:pStyle w:val="168"/>
        <w:spacing w:line="360" w:lineRule="auto"/>
      </w:pPr>
      <w:r>
        <w:rPr>
          <w:rFonts w:hint="eastAsia"/>
        </w:rPr>
        <w:t>下列情形之一发生后，应开展专项评价：</w:t>
      </w:r>
    </w:p>
    <w:p w14:paraId="079435CA">
      <w:pPr>
        <w:pStyle w:val="59"/>
        <w:spacing w:line="360" w:lineRule="auto"/>
        <w:ind w:firstLine="420"/>
      </w:pPr>
      <w:r>
        <w:rPr>
          <w:rFonts w:hint="eastAsia"/>
        </w:rPr>
        <w:t>a) 新增高风险特种设备或重要设备投入使用；</w:t>
      </w:r>
    </w:p>
    <w:p w14:paraId="5BE049BE">
      <w:pPr>
        <w:pStyle w:val="59"/>
        <w:spacing w:line="360" w:lineRule="auto"/>
        <w:ind w:firstLine="420"/>
      </w:pPr>
      <w:r>
        <w:rPr>
          <w:rFonts w:hint="eastAsia"/>
        </w:rPr>
        <w:t>b) 设备使用场所、运行工况、介质条件或客流规模发生重大变化；</w:t>
      </w:r>
    </w:p>
    <w:p w14:paraId="4679E32D">
      <w:pPr>
        <w:pStyle w:val="59"/>
        <w:spacing w:line="360" w:lineRule="auto"/>
        <w:ind w:firstLine="420"/>
      </w:pPr>
      <w:r>
        <w:rPr>
          <w:rFonts w:hint="eastAsia"/>
        </w:rPr>
        <w:t>c) 发生特种设备事故、险情或较大影响故障；</w:t>
      </w:r>
    </w:p>
    <w:p w14:paraId="4D0D176E">
      <w:pPr>
        <w:pStyle w:val="59"/>
        <w:spacing w:line="360" w:lineRule="auto"/>
        <w:ind w:firstLine="420"/>
      </w:pPr>
      <w:r>
        <w:rPr>
          <w:rFonts w:hint="eastAsia"/>
        </w:rPr>
        <w:t>d) 应急预案、组织机构或关键岗位人员发生重大调整；</w:t>
      </w:r>
    </w:p>
    <w:p w14:paraId="0A48A7E3">
      <w:pPr>
        <w:pStyle w:val="59"/>
        <w:spacing w:line="360" w:lineRule="auto"/>
        <w:ind w:firstLine="420"/>
      </w:pPr>
      <w:r>
        <w:rPr>
          <w:rFonts w:hint="eastAsia"/>
        </w:rPr>
        <w:t>e) 维保单位、运营管理单位或外部救援协作关系发生变化；</w:t>
      </w:r>
    </w:p>
    <w:p w14:paraId="205D6989">
      <w:pPr>
        <w:pStyle w:val="59"/>
        <w:spacing w:line="360" w:lineRule="auto"/>
        <w:ind w:firstLine="420"/>
      </w:pPr>
      <w:r>
        <w:rPr>
          <w:rFonts w:hint="eastAsia"/>
        </w:rPr>
        <w:t>f) 监管部门、上级单位或管理机构提出评价要求；</w:t>
      </w:r>
    </w:p>
    <w:p w14:paraId="3AA67DD8">
      <w:pPr>
        <w:pStyle w:val="59"/>
        <w:spacing w:line="360" w:lineRule="auto"/>
        <w:ind w:firstLine="420"/>
      </w:pPr>
      <w:r>
        <w:rPr>
          <w:rFonts w:hint="eastAsia"/>
        </w:rPr>
        <w:t>g) 应急演练暴露重大问题；</w:t>
      </w:r>
    </w:p>
    <w:p w14:paraId="20368F7A">
      <w:pPr>
        <w:pStyle w:val="59"/>
        <w:spacing w:line="360" w:lineRule="auto"/>
        <w:ind w:firstLine="420"/>
      </w:pPr>
      <w:r>
        <w:rPr>
          <w:rFonts w:hint="eastAsia"/>
        </w:rPr>
        <w:t>h) 评价发现问题整改后需要验证。</w:t>
      </w:r>
    </w:p>
    <w:p w14:paraId="682B0426">
      <w:pPr>
        <w:pStyle w:val="168"/>
        <w:spacing w:line="360" w:lineRule="auto"/>
      </w:pPr>
      <w:r>
        <w:rPr>
          <w:rFonts w:hint="eastAsia"/>
        </w:rPr>
        <w:t>人员密集场所电梯、大型游乐设施、客运索道、危险化学品相关压力容器和压力管道等高风险设备，应提高评价频次。</w:t>
      </w:r>
    </w:p>
    <w:p w14:paraId="554B14EC">
      <w:pPr>
        <w:pStyle w:val="168"/>
        <w:spacing w:line="360" w:lineRule="auto"/>
      </w:pPr>
      <w:r>
        <w:rPr>
          <w:rFonts w:hint="eastAsia"/>
        </w:rPr>
        <w:t>评价周期和专项评价触发条件应纳入单位应急管理制度。</w:t>
      </w:r>
    </w:p>
    <w:p w14:paraId="3C6E89E3">
      <w:pPr>
        <w:pStyle w:val="108"/>
        <w:spacing w:before="120" w:after="120" w:line="360" w:lineRule="auto"/>
      </w:pPr>
      <w:r>
        <w:rPr>
          <w:rFonts w:hint="eastAsia"/>
        </w:rPr>
        <w:t>评价证据要求</w:t>
      </w:r>
    </w:p>
    <w:p w14:paraId="77AC8F5F">
      <w:pPr>
        <w:pStyle w:val="168"/>
        <w:spacing w:line="360" w:lineRule="auto"/>
      </w:pPr>
      <w:r>
        <w:rPr>
          <w:rFonts w:hint="eastAsia"/>
        </w:rPr>
        <w:t>评价证据应真实、完整、有效、可追溯。</w:t>
      </w:r>
    </w:p>
    <w:p w14:paraId="32051B69">
      <w:pPr>
        <w:pStyle w:val="168"/>
        <w:spacing w:line="360" w:lineRule="auto"/>
      </w:pPr>
      <w:r>
        <w:rPr>
          <w:rFonts w:hint="eastAsia"/>
        </w:rPr>
        <w:t>评价证据应包括但不限于以下内容：</w:t>
      </w:r>
    </w:p>
    <w:p w14:paraId="08F95434">
      <w:pPr>
        <w:pStyle w:val="59"/>
        <w:spacing w:line="360" w:lineRule="auto"/>
        <w:ind w:firstLine="420"/>
      </w:pPr>
      <w:r>
        <w:rPr>
          <w:rFonts w:hint="eastAsia"/>
        </w:rPr>
        <w:t>a) 应急管理制度和组织职责文件；</w:t>
      </w:r>
    </w:p>
    <w:p w14:paraId="60200630">
      <w:pPr>
        <w:pStyle w:val="59"/>
        <w:spacing w:line="360" w:lineRule="auto"/>
        <w:ind w:firstLine="420"/>
      </w:pPr>
      <w:r>
        <w:rPr>
          <w:rFonts w:hint="eastAsia"/>
        </w:rPr>
        <w:t>b) 特种设备台账和风险辨识资料；</w:t>
      </w:r>
    </w:p>
    <w:p w14:paraId="479A3B39">
      <w:pPr>
        <w:pStyle w:val="59"/>
        <w:spacing w:line="360" w:lineRule="auto"/>
        <w:ind w:firstLine="420"/>
      </w:pPr>
      <w:r>
        <w:rPr>
          <w:rFonts w:hint="eastAsia"/>
        </w:rPr>
        <w:t>c) 应急预案、现场处置方案和现场处置卡；</w:t>
      </w:r>
    </w:p>
    <w:p w14:paraId="02DEE71B">
      <w:pPr>
        <w:pStyle w:val="59"/>
        <w:spacing w:line="360" w:lineRule="auto"/>
        <w:ind w:firstLine="420"/>
      </w:pPr>
      <w:r>
        <w:rPr>
          <w:rFonts w:hint="eastAsia"/>
        </w:rPr>
        <w:t>d) 培训记录、考核记录和岗位授权记录；</w:t>
      </w:r>
    </w:p>
    <w:p w14:paraId="3C54B1C7">
      <w:pPr>
        <w:pStyle w:val="59"/>
        <w:spacing w:line="360" w:lineRule="auto"/>
        <w:ind w:firstLine="420"/>
      </w:pPr>
      <w:r>
        <w:rPr>
          <w:rFonts w:hint="eastAsia"/>
        </w:rPr>
        <w:t>e) 应急物资、装备和通讯联络台账；</w:t>
      </w:r>
    </w:p>
    <w:p w14:paraId="1834F744">
      <w:pPr>
        <w:pStyle w:val="59"/>
        <w:spacing w:line="360" w:lineRule="auto"/>
        <w:ind w:firstLine="420"/>
      </w:pPr>
      <w:r>
        <w:rPr>
          <w:rFonts w:hint="eastAsia"/>
        </w:rPr>
        <w:t>f) 应急演练方案、记录、评价和整改资料；</w:t>
      </w:r>
    </w:p>
    <w:p w14:paraId="42FE9942">
      <w:pPr>
        <w:pStyle w:val="59"/>
        <w:spacing w:line="360" w:lineRule="auto"/>
        <w:ind w:firstLine="420"/>
      </w:pPr>
      <w:r>
        <w:rPr>
          <w:rFonts w:hint="eastAsia"/>
        </w:rPr>
        <w:t>g) 值班值守、报警接警和信息报告记录；</w:t>
      </w:r>
    </w:p>
    <w:p w14:paraId="3C4A639A">
      <w:pPr>
        <w:pStyle w:val="59"/>
        <w:spacing w:line="360" w:lineRule="auto"/>
        <w:ind w:firstLine="420"/>
      </w:pPr>
      <w:r>
        <w:rPr>
          <w:rFonts w:hint="eastAsia"/>
        </w:rPr>
        <w:t>h) 事故、险情、故障和困人处置记录；</w:t>
      </w:r>
    </w:p>
    <w:p w14:paraId="0CDBD0A2">
      <w:pPr>
        <w:pStyle w:val="59"/>
        <w:spacing w:line="360" w:lineRule="auto"/>
        <w:ind w:firstLine="420"/>
      </w:pPr>
      <w:r>
        <w:rPr>
          <w:rFonts w:hint="eastAsia"/>
        </w:rPr>
        <w:t>i) 维保、检验、检查和隐患整改记录；</w:t>
      </w:r>
    </w:p>
    <w:p w14:paraId="67DF877A">
      <w:pPr>
        <w:pStyle w:val="59"/>
        <w:spacing w:line="360" w:lineRule="auto"/>
        <w:ind w:firstLine="420"/>
      </w:pPr>
      <w:r>
        <w:rPr>
          <w:rFonts w:hint="eastAsia"/>
        </w:rPr>
        <w:t>j) 外部救援协作、联络测试和协同处置记录；</w:t>
      </w:r>
    </w:p>
    <w:p w14:paraId="055D4F1B">
      <w:pPr>
        <w:pStyle w:val="59"/>
        <w:spacing w:line="360" w:lineRule="auto"/>
        <w:ind w:firstLine="420"/>
      </w:pPr>
      <w:r>
        <w:rPr>
          <w:rFonts w:hint="eastAsia"/>
        </w:rPr>
        <w:t>k) 现场实物、标识、通道、应急装备和操作条件。</w:t>
      </w:r>
    </w:p>
    <w:p w14:paraId="67B074FB">
      <w:pPr>
        <w:pStyle w:val="168"/>
        <w:spacing w:line="360" w:lineRule="auto"/>
      </w:pPr>
      <w:r>
        <w:rPr>
          <w:rFonts w:hint="eastAsia"/>
        </w:rPr>
        <w:t>评价证据之间存在矛盾时，应进行现场核查或补充取证。</w:t>
      </w:r>
    </w:p>
    <w:p w14:paraId="7784A788">
      <w:pPr>
        <w:pStyle w:val="168"/>
        <w:spacing w:line="360" w:lineRule="auto"/>
      </w:pPr>
      <w:r>
        <w:rPr>
          <w:rFonts w:hint="eastAsia"/>
        </w:rPr>
        <w:t>缺少关键证据且无法证明能力有效性的，不得判定相关评价项目合格。</w:t>
      </w:r>
    </w:p>
    <w:p w14:paraId="371C1141">
      <w:pPr>
        <w:pStyle w:val="107"/>
        <w:spacing w:before="240" w:after="240" w:line="360" w:lineRule="auto"/>
      </w:pPr>
      <w:bookmarkStart w:id="52" w:name="_Toc228611817"/>
      <w:r>
        <w:rPr>
          <w:rFonts w:hint="eastAsia"/>
        </w:rPr>
        <w:t>评价对象与评价内容</w:t>
      </w:r>
      <w:bookmarkEnd w:id="52"/>
    </w:p>
    <w:p w14:paraId="4ACEC666">
      <w:pPr>
        <w:pStyle w:val="108"/>
        <w:spacing w:before="120" w:after="120" w:line="360" w:lineRule="auto"/>
      </w:pPr>
      <w:r>
        <w:rPr>
          <w:rFonts w:hint="eastAsia"/>
        </w:rPr>
        <w:t>评价对象</w:t>
      </w:r>
    </w:p>
    <w:p w14:paraId="799E2472">
      <w:pPr>
        <w:pStyle w:val="168"/>
        <w:spacing w:line="360" w:lineRule="auto"/>
      </w:pPr>
      <w:r>
        <w:rPr>
          <w:rFonts w:hint="eastAsia"/>
        </w:rPr>
        <w:t>评价对象应根据特种设备类别、使用单位、运行场所、管理边界和应急责任划分确定。</w:t>
      </w:r>
    </w:p>
    <w:p w14:paraId="42E9311C">
      <w:pPr>
        <w:pStyle w:val="168"/>
        <w:spacing w:line="360" w:lineRule="auto"/>
      </w:pPr>
      <w:r>
        <w:rPr>
          <w:rFonts w:hint="eastAsia"/>
        </w:rPr>
        <w:t>评价对象宜包括下列单位或场所：</w:t>
      </w:r>
    </w:p>
    <w:p w14:paraId="070DD737">
      <w:pPr>
        <w:pStyle w:val="59"/>
        <w:spacing w:line="360" w:lineRule="auto"/>
        <w:ind w:firstLine="420"/>
      </w:pPr>
      <w:r>
        <w:rPr>
          <w:rFonts w:hint="eastAsia"/>
        </w:rPr>
        <w:t>a) 特种设备使用单位；</w:t>
      </w:r>
    </w:p>
    <w:p w14:paraId="39061CDE">
      <w:pPr>
        <w:pStyle w:val="59"/>
        <w:spacing w:line="360" w:lineRule="auto"/>
        <w:ind w:firstLine="420"/>
      </w:pPr>
      <w:r>
        <w:rPr>
          <w:rFonts w:hint="eastAsia"/>
        </w:rPr>
        <w:t>b) 电梯运营使用管理单位；</w:t>
      </w:r>
    </w:p>
    <w:p w14:paraId="3A8E39DB">
      <w:pPr>
        <w:pStyle w:val="59"/>
        <w:spacing w:line="360" w:lineRule="auto"/>
        <w:ind w:firstLine="420"/>
      </w:pPr>
      <w:r>
        <w:rPr>
          <w:rFonts w:hint="eastAsia"/>
        </w:rPr>
        <w:t>c) 大型游乐设施运营单位；</w:t>
      </w:r>
    </w:p>
    <w:p w14:paraId="7D4E4BCA">
      <w:pPr>
        <w:pStyle w:val="59"/>
        <w:spacing w:line="360" w:lineRule="auto"/>
        <w:ind w:firstLine="420"/>
      </w:pPr>
      <w:r>
        <w:rPr>
          <w:rFonts w:hint="eastAsia"/>
        </w:rPr>
        <w:t>d) 客运索道运营单位；</w:t>
      </w:r>
    </w:p>
    <w:p w14:paraId="3FBE7E4B">
      <w:pPr>
        <w:pStyle w:val="59"/>
        <w:spacing w:line="360" w:lineRule="auto"/>
        <w:ind w:firstLine="420"/>
      </w:pPr>
      <w:r>
        <w:rPr>
          <w:rFonts w:hint="eastAsia"/>
        </w:rPr>
        <w:t>e) 锅炉、压力容器、压力管道使用单位；</w:t>
      </w:r>
    </w:p>
    <w:p w14:paraId="09FFCB1B">
      <w:pPr>
        <w:pStyle w:val="59"/>
        <w:spacing w:line="360" w:lineRule="auto"/>
        <w:ind w:firstLine="420"/>
      </w:pPr>
      <w:r>
        <w:rPr>
          <w:rFonts w:hint="eastAsia"/>
        </w:rPr>
        <w:t>f) 起重机械使用单位；</w:t>
      </w:r>
    </w:p>
    <w:p w14:paraId="351F85B4">
      <w:pPr>
        <w:pStyle w:val="59"/>
        <w:spacing w:line="360" w:lineRule="auto"/>
        <w:ind w:firstLine="420"/>
      </w:pPr>
      <w:r>
        <w:rPr>
          <w:rFonts w:hint="eastAsia"/>
        </w:rPr>
        <w:t>g) 场（厂）内专用机动车辆使用单位；</w:t>
      </w:r>
    </w:p>
    <w:p w14:paraId="15591B64">
      <w:pPr>
        <w:pStyle w:val="59"/>
        <w:spacing w:line="360" w:lineRule="auto"/>
        <w:ind w:firstLine="420"/>
      </w:pPr>
      <w:r>
        <w:rPr>
          <w:rFonts w:hint="eastAsia"/>
        </w:rPr>
        <w:t>h) 特种设备维护保养单位；</w:t>
      </w:r>
    </w:p>
    <w:p w14:paraId="167C8C5E">
      <w:pPr>
        <w:pStyle w:val="59"/>
        <w:spacing w:line="360" w:lineRule="auto"/>
        <w:ind w:firstLine="420"/>
      </w:pPr>
      <w:r>
        <w:rPr>
          <w:rFonts w:hint="eastAsia"/>
        </w:rPr>
        <w:t>i) 多主体共同管理的综合体、园区、厂区和公共场所。</w:t>
      </w:r>
    </w:p>
    <w:p w14:paraId="4321BF1A">
      <w:pPr>
        <w:pStyle w:val="168"/>
        <w:spacing w:line="360" w:lineRule="auto"/>
      </w:pPr>
      <w:r>
        <w:rPr>
          <w:rFonts w:hint="eastAsia"/>
        </w:rPr>
        <w:t>多单位共同承担应急处置职责的，应明确各单位评价边界和协同责任。</w:t>
      </w:r>
    </w:p>
    <w:p w14:paraId="00AD10D5">
      <w:pPr>
        <w:pStyle w:val="168"/>
        <w:spacing w:line="360" w:lineRule="auto"/>
      </w:pPr>
      <w:r>
        <w:rPr>
          <w:rFonts w:hint="eastAsia"/>
        </w:rPr>
        <w:t>对大型商业综合体、医院、学校、交通枢纽、景区、游乐场所、化工园区和大型工业企业等场所，应以场所整体应急处置协同能力作为评价重点。</w:t>
      </w:r>
    </w:p>
    <w:p w14:paraId="0A6B5A54">
      <w:pPr>
        <w:pStyle w:val="108"/>
        <w:spacing w:before="120" w:after="120" w:line="360" w:lineRule="auto"/>
      </w:pPr>
      <w:r>
        <w:rPr>
          <w:rFonts w:hint="eastAsia"/>
        </w:rPr>
        <w:t>设备类别评价重点</w:t>
      </w:r>
    </w:p>
    <w:p w14:paraId="5374FCAB">
      <w:pPr>
        <w:pStyle w:val="168"/>
        <w:spacing w:line="360" w:lineRule="auto"/>
      </w:pPr>
      <w:r>
        <w:rPr>
          <w:rFonts w:hint="eastAsia"/>
        </w:rPr>
        <w:t>锅炉应重点评价超压、缺水、满水、爆管、燃烧异常、炉膛爆燃、停电停水、泄漏和人员灼烫等场景处置能力。</w:t>
      </w:r>
    </w:p>
    <w:p w14:paraId="4A0DFB48">
      <w:pPr>
        <w:pStyle w:val="168"/>
        <w:spacing w:line="360" w:lineRule="auto"/>
      </w:pPr>
      <w:r>
        <w:rPr>
          <w:rFonts w:hint="eastAsia"/>
        </w:rPr>
        <w:t>压力容器应重点评价超压、超温、泄漏、爆裂、介质中毒、燃烧爆炸、安全附件失效和紧急切断等场景处置能力。</w:t>
      </w:r>
    </w:p>
    <w:p w14:paraId="156DE282">
      <w:pPr>
        <w:pStyle w:val="168"/>
        <w:spacing w:line="360" w:lineRule="auto"/>
      </w:pPr>
      <w:r>
        <w:rPr>
          <w:rFonts w:hint="eastAsia"/>
        </w:rPr>
        <w:t>压力管道应重点评价泄漏、破裂、介质扩散、阀门失效、压力异常、腐蚀穿孔、第三方破坏和隔离置换等场景处置能力。</w:t>
      </w:r>
    </w:p>
    <w:p w14:paraId="3397578A">
      <w:pPr>
        <w:pStyle w:val="168"/>
        <w:spacing w:line="360" w:lineRule="auto"/>
      </w:pPr>
      <w:r>
        <w:rPr>
          <w:rFonts w:hint="eastAsia"/>
        </w:rPr>
        <w:t>电梯应重点评价困人、冲顶、蹲底、门系统异常、轿厢异常移动、停电、火灾、进水、地震和人员夹伤等场景处置能力。</w:t>
      </w:r>
    </w:p>
    <w:p w14:paraId="50061975">
      <w:pPr>
        <w:pStyle w:val="168"/>
        <w:spacing w:line="360" w:lineRule="auto"/>
      </w:pPr>
      <w:r>
        <w:rPr>
          <w:rFonts w:hint="eastAsia"/>
        </w:rPr>
        <w:t>起重机械应重点评价吊物坠落、制动失效、倾覆、碰撞、钢丝绳断裂、限位失效、人员被困和恶劣天气停用等场景处置能力。</w:t>
      </w:r>
    </w:p>
    <w:p w14:paraId="150B6C8E">
      <w:pPr>
        <w:pStyle w:val="168"/>
        <w:spacing w:line="360" w:lineRule="auto"/>
      </w:pPr>
      <w:r>
        <w:rPr>
          <w:rFonts w:hint="eastAsia"/>
        </w:rPr>
        <w:t>客运索道应重点评价停运滞留、线路故障、恶劣天气、驱动系统故障、通讯中断、高空救援和乘客疏散等场景处置能力。</w:t>
      </w:r>
    </w:p>
    <w:p w14:paraId="72504F43">
      <w:pPr>
        <w:pStyle w:val="168"/>
        <w:spacing w:line="360" w:lineRule="auto"/>
      </w:pPr>
      <w:r>
        <w:rPr>
          <w:rFonts w:hint="eastAsia"/>
        </w:rPr>
        <w:t>大型游乐设施应重点评价运行中停机、乘客滞留、约束装置失效、结构异常、突发停电、恶劣天气、人员受伤和紧急疏散等场景处置能力。</w:t>
      </w:r>
    </w:p>
    <w:p w14:paraId="0DFDA8B7">
      <w:pPr>
        <w:pStyle w:val="168"/>
        <w:spacing w:line="360" w:lineRule="auto"/>
      </w:pPr>
      <w:r>
        <w:rPr>
          <w:rFonts w:hint="eastAsia"/>
        </w:rPr>
        <w:t>场（厂）内专用机动车辆应重点评价碰撞、倾翻、制动失效、货物坠落、人员伤害、燃油或电池异常和交通组织失控等场景处置能力。</w:t>
      </w:r>
    </w:p>
    <w:p w14:paraId="573E3332">
      <w:pPr>
        <w:pStyle w:val="108"/>
        <w:spacing w:before="120" w:after="120" w:line="360" w:lineRule="auto"/>
      </w:pPr>
      <w:r>
        <w:rPr>
          <w:rFonts w:hint="eastAsia"/>
        </w:rPr>
        <w:t>评价内容</w:t>
      </w:r>
    </w:p>
    <w:p w14:paraId="083EE048">
      <w:pPr>
        <w:pStyle w:val="168"/>
        <w:spacing w:line="360" w:lineRule="auto"/>
      </w:pPr>
      <w:r>
        <w:rPr>
          <w:rFonts w:hint="eastAsia"/>
        </w:rPr>
        <w:t>特种设备应急处置能力评价应包括下列内容：</w:t>
      </w:r>
    </w:p>
    <w:p w14:paraId="6F2ED8D6">
      <w:pPr>
        <w:pStyle w:val="59"/>
        <w:spacing w:line="360" w:lineRule="auto"/>
        <w:ind w:firstLine="420"/>
      </w:pPr>
      <w:r>
        <w:rPr>
          <w:rFonts w:hint="eastAsia"/>
        </w:rPr>
        <w:t>a) 应急组织体系；</w:t>
      </w:r>
    </w:p>
    <w:p w14:paraId="734169CC">
      <w:pPr>
        <w:pStyle w:val="59"/>
        <w:spacing w:line="360" w:lineRule="auto"/>
        <w:ind w:firstLine="420"/>
      </w:pPr>
      <w:r>
        <w:rPr>
          <w:rFonts w:hint="eastAsia"/>
        </w:rPr>
        <w:t>b) 风险辨识与情景设定；</w:t>
      </w:r>
    </w:p>
    <w:p w14:paraId="2F84B238">
      <w:pPr>
        <w:pStyle w:val="59"/>
        <w:spacing w:line="360" w:lineRule="auto"/>
        <w:ind w:firstLine="420"/>
      </w:pPr>
      <w:r>
        <w:rPr>
          <w:rFonts w:hint="eastAsia"/>
        </w:rPr>
        <w:t>c) 应急预案与现场处置方案；</w:t>
      </w:r>
    </w:p>
    <w:p w14:paraId="10B5D29B">
      <w:pPr>
        <w:pStyle w:val="59"/>
        <w:spacing w:line="360" w:lineRule="auto"/>
        <w:ind w:firstLine="420"/>
      </w:pPr>
      <w:r>
        <w:rPr>
          <w:rFonts w:hint="eastAsia"/>
        </w:rPr>
        <w:t>d) 应急人员与培训考核；</w:t>
      </w:r>
    </w:p>
    <w:p w14:paraId="2A5D49FE">
      <w:pPr>
        <w:pStyle w:val="59"/>
        <w:spacing w:line="360" w:lineRule="auto"/>
        <w:ind w:firstLine="420"/>
      </w:pPr>
      <w:r>
        <w:rPr>
          <w:rFonts w:hint="eastAsia"/>
        </w:rPr>
        <w:t>e) 应急物资装备与通讯保障；</w:t>
      </w:r>
    </w:p>
    <w:p w14:paraId="57EC6C44">
      <w:pPr>
        <w:pStyle w:val="59"/>
        <w:spacing w:line="360" w:lineRule="auto"/>
        <w:ind w:firstLine="420"/>
      </w:pPr>
      <w:r>
        <w:rPr>
          <w:rFonts w:hint="eastAsia"/>
        </w:rPr>
        <w:t>f) 监测预警与值班值守；</w:t>
      </w:r>
    </w:p>
    <w:p w14:paraId="24024220">
      <w:pPr>
        <w:pStyle w:val="59"/>
        <w:spacing w:line="360" w:lineRule="auto"/>
        <w:ind w:firstLine="420"/>
      </w:pPr>
      <w:r>
        <w:rPr>
          <w:rFonts w:hint="eastAsia"/>
        </w:rPr>
        <w:t>g) 信息报告与指挥协调；</w:t>
      </w:r>
    </w:p>
    <w:p w14:paraId="05AF7BCD">
      <w:pPr>
        <w:pStyle w:val="59"/>
        <w:spacing w:line="360" w:lineRule="auto"/>
        <w:ind w:firstLine="420"/>
      </w:pPr>
      <w:r>
        <w:rPr>
          <w:rFonts w:hint="eastAsia"/>
        </w:rPr>
        <w:t>h) 初期处置与现场控制；</w:t>
      </w:r>
    </w:p>
    <w:p w14:paraId="382D2776">
      <w:pPr>
        <w:pStyle w:val="59"/>
        <w:spacing w:line="360" w:lineRule="auto"/>
        <w:ind w:firstLine="420"/>
      </w:pPr>
      <w:r>
        <w:rPr>
          <w:rFonts w:hint="eastAsia"/>
        </w:rPr>
        <w:t>i) 专项处置与救援协同；</w:t>
      </w:r>
    </w:p>
    <w:p w14:paraId="374FB85A">
      <w:pPr>
        <w:pStyle w:val="59"/>
        <w:spacing w:line="360" w:lineRule="auto"/>
        <w:ind w:firstLine="420"/>
      </w:pPr>
      <w:r>
        <w:rPr>
          <w:rFonts w:hint="eastAsia"/>
        </w:rPr>
        <w:t>j) 应急演练与评价改进；</w:t>
      </w:r>
    </w:p>
    <w:p w14:paraId="08603069">
      <w:pPr>
        <w:pStyle w:val="59"/>
        <w:spacing w:line="360" w:lineRule="auto"/>
        <w:ind w:firstLine="420"/>
      </w:pPr>
      <w:r>
        <w:rPr>
          <w:rFonts w:hint="eastAsia"/>
        </w:rPr>
        <w:t>k) 事故恢复与资料归档。</w:t>
      </w:r>
    </w:p>
    <w:p w14:paraId="6D2DEC35">
      <w:pPr>
        <w:pStyle w:val="168"/>
        <w:spacing w:line="360" w:lineRule="auto"/>
      </w:pPr>
      <w:r>
        <w:rPr>
          <w:rFonts w:hint="eastAsia"/>
        </w:rPr>
        <w:t>评价内容应覆盖被评价单位全部主要特种设备类别和主要风险场景。</w:t>
      </w:r>
    </w:p>
    <w:p w14:paraId="15CB92B6">
      <w:pPr>
        <w:pStyle w:val="168"/>
        <w:spacing w:line="360" w:lineRule="auto"/>
      </w:pPr>
      <w:r>
        <w:rPr>
          <w:rFonts w:hint="eastAsia"/>
        </w:rPr>
        <w:t>评价内容不得仅限于综合预案文本，应重点评价现场处置方案、岗位响应能力和实际操作条件。</w:t>
      </w:r>
    </w:p>
    <w:p w14:paraId="3DC8017F">
      <w:pPr>
        <w:pStyle w:val="168"/>
        <w:spacing w:line="360" w:lineRule="auto"/>
      </w:pPr>
      <w:r>
        <w:rPr>
          <w:rFonts w:hint="eastAsia"/>
        </w:rPr>
        <w:t>对近期发生过事故、险情、困人、泄漏、停运或异常报警的设备，应增加记录追溯和处置有效性评价。</w:t>
      </w:r>
    </w:p>
    <w:p w14:paraId="3CEE3383">
      <w:pPr>
        <w:pStyle w:val="108"/>
        <w:spacing w:before="120" w:after="120" w:line="360" w:lineRule="auto"/>
      </w:pPr>
      <w:r>
        <w:rPr>
          <w:rFonts w:hint="eastAsia"/>
        </w:rPr>
        <w:t>应急组织体系评价</w:t>
      </w:r>
    </w:p>
    <w:p w14:paraId="193B0248">
      <w:pPr>
        <w:pStyle w:val="168"/>
        <w:spacing w:line="360" w:lineRule="auto"/>
      </w:pPr>
      <w:r>
        <w:rPr>
          <w:rFonts w:hint="eastAsia"/>
        </w:rPr>
        <w:t>被评价单位应建立应急组织体系，明确应急领导、现场指挥、技术支持、通讯联络、警戒疏散、救援保障、医疗救护和善后恢复等职责。</w:t>
      </w:r>
    </w:p>
    <w:p w14:paraId="07D347E5">
      <w:pPr>
        <w:pStyle w:val="168"/>
        <w:spacing w:line="360" w:lineRule="auto"/>
      </w:pPr>
      <w:r>
        <w:rPr>
          <w:rFonts w:hint="eastAsia"/>
        </w:rPr>
        <w:t>应急组织职责应落实到岗位和人员，不得仅以部门名称代替具体责任人。</w:t>
      </w:r>
    </w:p>
    <w:p w14:paraId="4F79D776">
      <w:pPr>
        <w:pStyle w:val="168"/>
        <w:spacing w:line="360" w:lineRule="auto"/>
      </w:pPr>
      <w:r>
        <w:rPr>
          <w:rFonts w:hint="eastAsia"/>
        </w:rPr>
        <w:t>关键岗位人员应熟悉本岗位应急职责、启动条件、处置流程和联络方式。</w:t>
      </w:r>
    </w:p>
    <w:p w14:paraId="104B9759">
      <w:pPr>
        <w:pStyle w:val="168"/>
        <w:spacing w:line="360" w:lineRule="auto"/>
      </w:pPr>
      <w:r>
        <w:rPr>
          <w:rFonts w:hint="eastAsia"/>
        </w:rPr>
        <w:t>生产班组、值班岗位、维保岗位、安保岗位和运行控制岗位之间应建立联动机制。</w:t>
      </w:r>
    </w:p>
    <w:p w14:paraId="3EF9DDC4">
      <w:pPr>
        <w:pStyle w:val="168"/>
        <w:spacing w:line="360" w:lineRule="auto"/>
      </w:pPr>
      <w:r>
        <w:rPr>
          <w:rFonts w:hint="eastAsia"/>
        </w:rPr>
        <w:t>组织机构发生变化时，应及时更新预案、通讯录、现场处置卡和培训记录。</w:t>
      </w:r>
    </w:p>
    <w:p w14:paraId="12BD7708">
      <w:pPr>
        <w:pStyle w:val="108"/>
        <w:spacing w:before="120" w:after="120" w:line="360" w:lineRule="auto"/>
      </w:pPr>
      <w:r>
        <w:rPr>
          <w:rFonts w:hint="eastAsia"/>
        </w:rPr>
        <w:t>风险辨识与情景设定评价</w:t>
      </w:r>
    </w:p>
    <w:p w14:paraId="098C24AF">
      <w:pPr>
        <w:pStyle w:val="168"/>
        <w:spacing w:line="360" w:lineRule="auto"/>
      </w:pPr>
      <w:r>
        <w:rPr>
          <w:rFonts w:hint="eastAsia"/>
        </w:rPr>
        <w:t>被评价单位应按设备类别、使用场所、运行工况、介质特性、人员暴露和历史故障开展风险辨识。</w:t>
      </w:r>
    </w:p>
    <w:p w14:paraId="6067F895">
      <w:pPr>
        <w:pStyle w:val="168"/>
        <w:spacing w:line="360" w:lineRule="auto"/>
      </w:pPr>
      <w:r>
        <w:rPr>
          <w:rFonts w:hint="eastAsia"/>
        </w:rPr>
        <w:t>风险辨识应覆盖正常运行、异常运行、检修维护、停用启用、极端天气、停电停水、火灾地震和外部事件影响等情形。</w:t>
      </w:r>
    </w:p>
    <w:p w14:paraId="0FB85003">
      <w:pPr>
        <w:pStyle w:val="168"/>
        <w:spacing w:line="360" w:lineRule="auto"/>
      </w:pPr>
      <w:r>
        <w:rPr>
          <w:rFonts w:hint="eastAsia"/>
        </w:rPr>
        <w:t>风险场景设定应具体、可操作，不得仅以“发生事故时按预案处置”等笼统表述代替。</w:t>
      </w:r>
    </w:p>
    <w:p w14:paraId="2CE23B70">
      <w:pPr>
        <w:pStyle w:val="168"/>
        <w:spacing w:line="360" w:lineRule="auto"/>
      </w:pPr>
      <w:r>
        <w:rPr>
          <w:rFonts w:hint="eastAsia"/>
        </w:rPr>
        <w:t>风险场景应与现场处置方案、应急装备、人员培训和演练内容相对应。</w:t>
      </w:r>
    </w:p>
    <w:p w14:paraId="7E0F01F0">
      <w:pPr>
        <w:pStyle w:val="168"/>
        <w:spacing w:line="360" w:lineRule="auto"/>
      </w:pPr>
      <w:r>
        <w:rPr>
          <w:rFonts w:hint="eastAsia"/>
        </w:rPr>
        <w:t>风险辨识结果应定期复核。设备、场所、工艺、客流、介质或管理方式发生变化时，应及时更新。</w:t>
      </w:r>
    </w:p>
    <w:p w14:paraId="20CA549E">
      <w:pPr>
        <w:pStyle w:val="108"/>
        <w:spacing w:before="120" w:after="120" w:line="360" w:lineRule="auto"/>
      </w:pPr>
      <w:r>
        <w:rPr>
          <w:rFonts w:hint="eastAsia"/>
        </w:rPr>
        <w:t>应急预案与现场处置方案评价</w:t>
      </w:r>
    </w:p>
    <w:p w14:paraId="0D1CF1C4">
      <w:pPr>
        <w:pStyle w:val="168"/>
        <w:spacing w:line="360" w:lineRule="auto"/>
      </w:pPr>
      <w:r>
        <w:rPr>
          <w:rFonts w:hint="eastAsia"/>
        </w:rPr>
        <w:t>被评价单位应编制与特种设备风险相适应的应急预案。</w:t>
      </w:r>
    </w:p>
    <w:p w14:paraId="2A73A0CE">
      <w:pPr>
        <w:pStyle w:val="168"/>
        <w:spacing w:line="360" w:lineRule="auto"/>
      </w:pPr>
      <w:r>
        <w:rPr>
          <w:rFonts w:hint="eastAsia"/>
        </w:rPr>
        <w:t>应急预案应明确适用范围、组织机构、响应分级、信息报告、处置程序、资源保障、联动机制和恢复措施。</w:t>
      </w:r>
    </w:p>
    <w:p w14:paraId="30ECC5F2">
      <w:pPr>
        <w:pStyle w:val="168"/>
        <w:spacing w:line="360" w:lineRule="auto"/>
      </w:pPr>
      <w:r>
        <w:rPr>
          <w:rFonts w:hint="eastAsia"/>
        </w:rPr>
        <w:t>现场处置方案应针对具体设备或具体风险场景编制，内容应包括事故征兆、处置步骤、人员分工、风险控制、注意事项和报告要求。</w:t>
      </w:r>
    </w:p>
    <w:p w14:paraId="067296DB">
      <w:pPr>
        <w:pStyle w:val="168"/>
        <w:spacing w:line="360" w:lineRule="auto"/>
      </w:pPr>
      <w:r>
        <w:rPr>
          <w:rFonts w:hint="eastAsia"/>
        </w:rPr>
        <w:t>电梯困人、压力介质泄漏、大型游乐设施停机滞留、客运索道停运滞留、起重机械吊物失控等高频或高风险场景，应设置现场处置卡。</w:t>
      </w:r>
    </w:p>
    <w:p w14:paraId="7511FD0A">
      <w:pPr>
        <w:pStyle w:val="168"/>
        <w:spacing w:line="360" w:lineRule="auto"/>
      </w:pPr>
      <w:r>
        <w:rPr>
          <w:rFonts w:hint="eastAsia"/>
        </w:rPr>
        <w:t>应急预案和现场处置方案应定期评审。发生设备变化、组织变化、事故险情或演练暴露问题时，应及时修订。</w:t>
      </w:r>
    </w:p>
    <w:p w14:paraId="4E254C49">
      <w:pPr>
        <w:pStyle w:val="168"/>
        <w:spacing w:line="360" w:lineRule="auto"/>
      </w:pPr>
      <w:r>
        <w:rPr>
          <w:rFonts w:hint="eastAsia"/>
        </w:rPr>
        <w:t>预案文本不得与现场设备、岗位职责、联络方式和处置资源脱节。</w:t>
      </w:r>
    </w:p>
    <w:p w14:paraId="07EC7CD7">
      <w:pPr>
        <w:pStyle w:val="108"/>
        <w:spacing w:before="120" w:after="120" w:line="360" w:lineRule="auto"/>
      </w:pPr>
      <w:r>
        <w:rPr>
          <w:rFonts w:hint="eastAsia"/>
        </w:rPr>
        <w:t>应急人员与培训评价</w:t>
      </w:r>
    </w:p>
    <w:p w14:paraId="167E024C">
      <w:pPr>
        <w:pStyle w:val="168"/>
        <w:spacing w:line="360" w:lineRule="auto"/>
      </w:pPr>
      <w:r>
        <w:rPr>
          <w:rFonts w:hint="eastAsia"/>
        </w:rPr>
        <w:t>被评价单位应明确应急岗位人员，并应保证关键岗位人员在岗或具备替补机制。</w:t>
      </w:r>
    </w:p>
    <w:p w14:paraId="7B2AEE4E">
      <w:pPr>
        <w:pStyle w:val="168"/>
        <w:spacing w:line="360" w:lineRule="auto"/>
      </w:pPr>
      <w:r>
        <w:rPr>
          <w:rFonts w:hint="eastAsia"/>
        </w:rPr>
        <w:t>应急岗位人员应接受与特种设备类别和风险场景相适应的培训。</w:t>
      </w:r>
    </w:p>
    <w:p w14:paraId="3905183A">
      <w:pPr>
        <w:pStyle w:val="168"/>
        <w:spacing w:line="360" w:lineRule="auto"/>
      </w:pPr>
      <w:r>
        <w:rPr>
          <w:rFonts w:hint="eastAsia"/>
        </w:rPr>
        <w:t>培训内容应包括风险识别、报警报告、现场警戒、人员疏散、停机断能、设备隔离、初期控制、救援配合和自身防护。</w:t>
      </w:r>
    </w:p>
    <w:p w14:paraId="137F4682">
      <w:pPr>
        <w:pStyle w:val="168"/>
        <w:spacing w:line="360" w:lineRule="auto"/>
      </w:pPr>
      <w:r>
        <w:rPr>
          <w:rFonts w:hint="eastAsia"/>
        </w:rPr>
        <w:t>电梯管理人员、维保人员、锅炉运行人员、压力容器和压力管道操作人员、起重机械司机、索道和游乐设施操作人员等应熟悉相应设备应急处置要求。</w:t>
      </w:r>
    </w:p>
    <w:p w14:paraId="14C0B01D">
      <w:pPr>
        <w:pStyle w:val="168"/>
        <w:spacing w:line="360" w:lineRule="auto"/>
      </w:pPr>
      <w:r>
        <w:rPr>
          <w:rFonts w:hint="eastAsia"/>
        </w:rPr>
        <w:t>培训应开展考核。未经培训或考核不合格的人员，不得独立承担关键应急岗位职责。</w:t>
      </w:r>
    </w:p>
    <w:p w14:paraId="3F30F591">
      <w:pPr>
        <w:pStyle w:val="168"/>
        <w:spacing w:line="360" w:lineRule="auto"/>
      </w:pPr>
      <w:r>
        <w:rPr>
          <w:rFonts w:hint="eastAsia"/>
        </w:rPr>
        <w:t>培训记录应真实完整，不得以签到表代替培训内容和考核结果。</w:t>
      </w:r>
    </w:p>
    <w:p w14:paraId="54499BE2">
      <w:pPr>
        <w:pStyle w:val="108"/>
        <w:spacing w:before="120" w:after="120" w:line="360" w:lineRule="auto"/>
      </w:pPr>
      <w:r>
        <w:rPr>
          <w:rFonts w:hint="eastAsia"/>
        </w:rPr>
        <w:t>应急物资装备评价</w:t>
      </w:r>
    </w:p>
    <w:p w14:paraId="26EE0FA2">
      <w:pPr>
        <w:pStyle w:val="168"/>
        <w:spacing w:line="360" w:lineRule="auto"/>
      </w:pPr>
      <w:r>
        <w:rPr>
          <w:rFonts w:hint="eastAsia"/>
        </w:rPr>
        <w:t>被评价单位应根据设备类别和风险场景配置必要的应急物资、工具、器材和防护用品。</w:t>
      </w:r>
    </w:p>
    <w:p w14:paraId="15DA8E39">
      <w:pPr>
        <w:pStyle w:val="168"/>
        <w:spacing w:line="360" w:lineRule="auto"/>
      </w:pPr>
      <w:r>
        <w:rPr>
          <w:rFonts w:hint="eastAsia"/>
        </w:rPr>
        <w:t>应急物资装备应建立台账，记录名称、规格、数量、存放地点、责任人员、检查周期和有效状态。</w:t>
      </w:r>
    </w:p>
    <w:p w14:paraId="7C8EE869">
      <w:pPr>
        <w:pStyle w:val="168"/>
        <w:spacing w:line="360" w:lineRule="auto"/>
      </w:pPr>
      <w:r>
        <w:rPr>
          <w:rFonts w:hint="eastAsia"/>
        </w:rPr>
        <w:t>应急物资装备应定期检查、维护和更新。过期、损坏、缺失或无法使用的，不得作为有效应急资源。</w:t>
      </w:r>
    </w:p>
    <w:p w14:paraId="1176FDD5">
      <w:pPr>
        <w:pStyle w:val="168"/>
        <w:spacing w:line="360" w:lineRule="auto"/>
      </w:pPr>
      <w:r>
        <w:rPr>
          <w:rFonts w:hint="eastAsia"/>
        </w:rPr>
        <w:t>电梯应急救援应配备必要的通讯、照明、警戒和救援工具，并应保证维保单位及时响应。</w:t>
      </w:r>
    </w:p>
    <w:p w14:paraId="1CF48742">
      <w:pPr>
        <w:pStyle w:val="168"/>
        <w:spacing w:line="360" w:lineRule="auto"/>
      </w:pPr>
      <w:r>
        <w:rPr>
          <w:rFonts w:hint="eastAsia"/>
        </w:rPr>
        <w:t>压力容器和压力管道泄漏处置应配备与介质风险相适应的防护、检测、警戒、堵漏、隔离和洗消装备。</w:t>
      </w:r>
    </w:p>
    <w:p w14:paraId="6BF5AF43">
      <w:pPr>
        <w:pStyle w:val="168"/>
        <w:spacing w:line="360" w:lineRule="auto"/>
      </w:pPr>
      <w:r>
        <w:rPr>
          <w:rFonts w:hint="eastAsia"/>
        </w:rPr>
        <w:t>大型游乐设施和客运索道应配备乘客疏散、滞留安抚、通讯联络、高处救援和医疗救护相关资源。</w:t>
      </w:r>
    </w:p>
    <w:p w14:paraId="4B5197B3">
      <w:pPr>
        <w:pStyle w:val="108"/>
        <w:spacing w:before="120" w:after="120" w:line="360" w:lineRule="auto"/>
      </w:pPr>
      <w:r>
        <w:rPr>
          <w:rFonts w:hint="eastAsia"/>
        </w:rPr>
        <w:t>监测预警与值班值守评价</w:t>
      </w:r>
    </w:p>
    <w:p w14:paraId="14357955">
      <w:pPr>
        <w:pStyle w:val="168"/>
        <w:spacing w:line="360" w:lineRule="auto"/>
      </w:pPr>
      <w:r>
        <w:rPr>
          <w:rFonts w:hint="eastAsia"/>
        </w:rPr>
        <w:t>被评价单位应建立特种设备运行状态监测、异常报警和风险预警机制。</w:t>
      </w:r>
    </w:p>
    <w:p w14:paraId="627C7A68">
      <w:pPr>
        <w:pStyle w:val="168"/>
        <w:spacing w:line="360" w:lineRule="auto"/>
      </w:pPr>
      <w:r>
        <w:rPr>
          <w:rFonts w:hint="eastAsia"/>
        </w:rPr>
        <w:t>关键设备、重点场所和高风险运行环节应设置必要的监测、报警、视频、巡检或值守措施。</w:t>
      </w:r>
    </w:p>
    <w:p w14:paraId="5C70E163">
      <w:pPr>
        <w:pStyle w:val="168"/>
        <w:spacing w:line="360" w:lineRule="auto"/>
      </w:pPr>
      <w:r>
        <w:rPr>
          <w:rFonts w:hint="eastAsia"/>
        </w:rPr>
        <w:t>报警信号应有人接收、有人核实、有人处置，不得长期无人响应。</w:t>
      </w:r>
    </w:p>
    <w:p w14:paraId="71838B99">
      <w:pPr>
        <w:pStyle w:val="168"/>
        <w:spacing w:line="360" w:lineRule="auto"/>
      </w:pPr>
      <w:r>
        <w:rPr>
          <w:rFonts w:hint="eastAsia"/>
        </w:rPr>
        <w:t>值班值守人员应掌握报警信息识别、报告程序、现场联络和初期处置要求。</w:t>
      </w:r>
    </w:p>
    <w:p w14:paraId="5E8F575A">
      <w:pPr>
        <w:pStyle w:val="168"/>
        <w:spacing w:line="360" w:lineRule="auto"/>
      </w:pPr>
      <w:r>
        <w:rPr>
          <w:rFonts w:hint="eastAsia"/>
        </w:rPr>
        <w:t>节假日、夜间、恶劣天气、重大活动和客流高峰期间，应加强值班值守和应急准备。</w:t>
      </w:r>
    </w:p>
    <w:p w14:paraId="3C1711C1">
      <w:pPr>
        <w:pStyle w:val="168"/>
        <w:spacing w:line="360" w:lineRule="auto"/>
      </w:pPr>
      <w:r>
        <w:rPr>
          <w:rFonts w:hint="eastAsia"/>
        </w:rPr>
        <w:t>值班记录、报警记录和处置记录应完整保存，并应能追溯处置过程。</w:t>
      </w:r>
    </w:p>
    <w:p w14:paraId="5C10EED4">
      <w:pPr>
        <w:pStyle w:val="108"/>
        <w:spacing w:before="120" w:after="120" w:line="360" w:lineRule="auto"/>
      </w:pPr>
      <w:r>
        <w:rPr>
          <w:rFonts w:hint="eastAsia"/>
        </w:rPr>
        <w:t>信息报告与协同联动评价</w:t>
      </w:r>
    </w:p>
    <w:p w14:paraId="10A7336E">
      <w:pPr>
        <w:pStyle w:val="168"/>
        <w:spacing w:line="360" w:lineRule="auto"/>
      </w:pPr>
      <w:r>
        <w:rPr>
          <w:rFonts w:hint="eastAsia"/>
        </w:rPr>
        <w:t>被评价单位应建立特种设备突发事件信息报告流程，明确报告对象、报告时限、报告内容和报告方式。</w:t>
      </w:r>
    </w:p>
    <w:p w14:paraId="796CB276">
      <w:pPr>
        <w:pStyle w:val="168"/>
        <w:spacing w:line="360" w:lineRule="auto"/>
      </w:pPr>
      <w:r>
        <w:rPr>
          <w:rFonts w:hint="eastAsia"/>
        </w:rPr>
        <w:t>信息报告应及时、准确，不得迟报、漏报、谎报或瞒报。</w:t>
      </w:r>
    </w:p>
    <w:p w14:paraId="5A075F36">
      <w:pPr>
        <w:pStyle w:val="168"/>
        <w:spacing w:line="360" w:lineRule="auto"/>
      </w:pPr>
      <w:r>
        <w:rPr>
          <w:rFonts w:hint="eastAsia"/>
        </w:rPr>
        <w:t>内部报告、维保联络、外部救援联络、医疗救护联络和监管报告渠道应保持畅通。</w:t>
      </w:r>
    </w:p>
    <w:p w14:paraId="67DC8EAE">
      <w:pPr>
        <w:pStyle w:val="168"/>
        <w:spacing w:line="360" w:lineRule="auto"/>
      </w:pPr>
      <w:r>
        <w:rPr>
          <w:rFonts w:hint="eastAsia"/>
        </w:rPr>
        <w:t>涉及多单位管理的场所，应建立联合响应机制，明确物业、使用单位、维保单位、运营单位、安保人员和外部救援力量的职责边界。</w:t>
      </w:r>
    </w:p>
    <w:p w14:paraId="135A90EA">
      <w:pPr>
        <w:pStyle w:val="168"/>
        <w:spacing w:line="360" w:lineRule="auto"/>
      </w:pPr>
      <w:r>
        <w:rPr>
          <w:rFonts w:hint="eastAsia"/>
        </w:rPr>
        <w:t>外部救援协作单位联系方式应定期核验，不得使用失效联络方式。</w:t>
      </w:r>
    </w:p>
    <w:p w14:paraId="6AFBFF21">
      <w:pPr>
        <w:pStyle w:val="168"/>
        <w:spacing w:line="360" w:lineRule="auto"/>
      </w:pPr>
      <w:r>
        <w:rPr>
          <w:rFonts w:hint="eastAsia"/>
        </w:rPr>
        <w:t>协同联动机制应通过演练、联络测试或实际处置记录验证有效性。</w:t>
      </w:r>
    </w:p>
    <w:p w14:paraId="64019F3B">
      <w:pPr>
        <w:pStyle w:val="107"/>
        <w:spacing w:before="240" w:after="240" w:line="360" w:lineRule="auto"/>
      </w:pPr>
      <w:bookmarkStart w:id="53" w:name="_Toc228611818"/>
      <w:r>
        <w:rPr>
          <w:rFonts w:hint="eastAsia"/>
        </w:rPr>
        <w:t>评价指标体系</w:t>
      </w:r>
      <w:bookmarkEnd w:id="53"/>
    </w:p>
    <w:p w14:paraId="24C164EB">
      <w:pPr>
        <w:pStyle w:val="108"/>
        <w:spacing w:before="120" w:after="120" w:line="360" w:lineRule="auto"/>
      </w:pPr>
      <w:r>
        <w:rPr>
          <w:rFonts w:hint="eastAsia"/>
        </w:rPr>
        <w:t>一般要求</w:t>
      </w:r>
    </w:p>
    <w:p w14:paraId="59895F25">
      <w:pPr>
        <w:pStyle w:val="168"/>
        <w:spacing w:line="360" w:lineRule="auto"/>
      </w:pPr>
      <w:r>
        <w:rPr>
          <w:rFonts w:hint="eastAsia"/>
        </w:rPr>
        <w:t>特种设备应急处置能力评价指标体系应覆盖应急准备、应急响应、现场处置、协同保障、恢复改进等能力维度。</w:t>
      </w:r>
    </w:p>
    <w:p w14:paraId="483B1BDE">
      <w:pPr>
        <w:pStyle w:val="168"/>
        <w:spacing w:line="360" w:lineRule="auto"/>
      </w:pPr>
      <w:r>
        <w:rPr>
          <w:rFonts w:hint="eastAsia"/>
        </w:rPr>
        <w:t>评价指标应具有可检查、可评分、可追溯、可复核的特征，不得设置无法获取证据、无法判定结果或与特种设备应急处置无关的指标。</w:t>
      </w:r>
    </w:p>
    <w:p w14:paraId="507DD3A9">
      <w:pPr>
        <w:pStyle w:val="168"/>
        <w:spacing w:line="360" w:lineRule="auto"/>
      </w:pPr>
      <w:r>
        <w:rPr>
          <w:rFonts w:hint="eastAsia"/>
        </w:rPr>
        <w:t>评价指标应根据特种设备类别、使用场所、风险等级、设备数量、人员规模和管理模式进行适当调整。</w:t>
      </w:r>
    </w:p>
    <w:p w14:paraId="28BDA1C1">
      <w:pPr>
        <w:pStyle w:val="168"/>
        <w:spacing w:line="360" w:lineRule="auto"/>
      </w:pPr>
      <w:r>
        <w:rPr>
          <w:rFonts w:hint="eastAsia"/>
        </w:rPr>
        <w:t>评价指标应包括基础管理类指标、现场能力类指标、资源保障类指标、演练验证类指标和持续改进类指标。</w:t>
      </w:r>
    </w:p>
    <w:p w14:paraId="442C2C8D">
      <w:pPr>
        <w:pStyle w:val="168"/>
        <w:spacing w:line="360" w:lineRule="auto"/>
      </w:pPr>
      <w:r>
        <w:rPr>
          <w:rFonts w:hint="eastAsia"/>
        </w:rPr>
        <w:t>对人员密集场所、高风险介质、连续运行设备、重要基础设施和公众服务类特种设备，应提高现场处置、协同联动和信息报告类指标权重。</w:t>
      </w:r>
    </w:p>
    <w:p w14:paraId="79274EBB">
      <w:pPr>
        <w:pStyle w:val="168"/>
        <w:spacing w:line="360" w:lineRule="auto"/>
      </w:pPr>
      <w:r>
        <w:rPr>
          <w:rFonts w:hint="eastAsia"/>
        </w:rPr>
        <w:t>评价指标设置应与评价等级判定规则相衔接，评价结果应能够反映能力短板和整改重点。</w:t>
      </w:r>
    </w:p>
    <w:p w14:paraId="659784BD">
      <w:pPr>
        <w:pStyle w:val="108"/>
        <w:spacing w:before="120" w:after="120" w:line="360" w:lineRule="auto"/>
      </w:pPr>
      <w:r>
        <w:rPr>
          <w:rFonts w:hint="eastAsia"/>
        </w:rPr>
        <w:t>指标构成</w:t>
      </w:r>
    </w:p>
    <w:p w14:paraId="324C9D12">
      <w:pPr>
        <w:pStyle w:val="168"/>
        <w:spacing w:line="360" w:lineRule="auto"/>
      </w:pPr>
      <w:r>
        <w:rPr>
          <w:rFonts w:hint="eastAsia"/>
        </w:rPr>
        <w:t>特种设备应急处置能力评价指标宜由一级指标、二级指标和评价要点组成。</w:t>
      </w:r>
    </w:p>
    <w:p w14:paraId="6C356E77">
      <w:pPr>
        <w:pStyle w:val="168"/>
        <w:spacing w:line="360" w:lineRule="auto"/>
      </w:pPr>
      <w:r>
        <w:rPr>
          <w:rFonts w:hint="eastAsia"/>
        </w:rPr>
        <w:t>一级指标应包括：</w:t>
      </w:r>
    </w:p>
    <w:p w14:paraId="02015FB2">
      <w:pPr>
        <w:pStyle w:val="59"/>
        <w:spacing w:line="360" w:lineRule="auto"/>
        <w:ind w:firstLine="420"/>
      </w:pPr>
      <w:r>
        <w:rPr>
          <w:rFonts w:hint="eastAsia"/>
        </w:rPr>
        <w:t>a) 应急组织与责任落实；</w:t>
      </w:r>
    </w:p>
    <w:p w14:paraId="46865CE2">
      <w:pPr>
        <w:pStyle w:val="59"/>
        <w:spacing w:line="360" w:lineRule="auto"/>
        <w:ind w:firstLine="420"/>
      </w:pPr>
      <w:r>
        <w:rPr>
          <w:rFonts w:hint="eastAsia"/>
        </w:rPr>
        <w:t>b) 风险辨识与预案管理；</w:t>
      </w:r>
    </w:p>
    <w:p w14:paraId="20A33FDE">
      <w:pPr>
        <w:pStyle w:val="59"/>
        <w:spacing w:line="360" w:lineRule="auto"/>
        <w:ind w:firstLine="420"/>
      </w:pPr>
      <w:r>
        <w:rPr>
          <w:rFonts w:hint="eastAsia"/>
        </w:rPr>
        <w:t>c) 人员培训与岗位能力；</w:t>
      </w:r>
    </w:p>
    <w:p w14:paraId="763855CB">
      <w:pPr>
        <w:pStyle w:val="59"/>
        <w:spacing w:line="360" w:lineRule="auto"/>
        <w:ind w:firstLine="420"/>
      </w:pPr>
      <w:r>
        <w:rPr>
          <w:rFonts w:hint="eastAsia"/>
        </w:rPr>
        <w:t>d) 应急资源与装备保障；</w:t>
      </w:r>
    </w:p>
    <w:p w14:paraId="3BCA0695">
      <w:pPr>
        <w:pStyle w:val="59"/>
        <w:spacing w:line="360" w:lineRule="auto"/>
        <w:ind w:firstLine="420"/>
      </w:pPr>
      <w:r>
        <w:rPr>
          <w:rFonts w:hint="eastAsia"/>
        </w:rPr>
        <w:t>e) 监测预警与值班值守；</w:t>
      </w:r>
    </w:p>
    <w:p w14:paraId="40CB353E">
      <w:pPr>
        <w:pStyle w:val="59"/>
        <w:spacing w:line="360" w:lineRule="auto"/>
        <w:ind w:firstLine="420"/>
      </w:pPr>
      <w:r>
        <w:rPr>
          <w:rFonts w:hint="eastAsia"/>
        </w:rPr>
        <w:t>f) 信息报告与协同联动；</w:t>
      </w:r>
    </w:p>
    <w:p w14:paraId="2A626705">
      <w:pPr>
        <w:pStyle w:val="59"/>
        <w:spacing w:line="360" w:lineRule="auto"/>
        <w:ind w:firstLine="420"/>
      </w:pPr>
      <w:r>
        <w:rPr>
          <w:rFonts w:hint="eastAsia"/>
        </w:rPr>
        <w:t>g) 现场处置与风险控制；</w:t>
      </w:r>
    </w:p>
    <w:p w14:paraId="3A7F0E2D">
      <w:pPr>
        <w:pStyle w:val="59"/>
        <w:spacing w:line="360" w:lineRule="auto"/>
        <w:ind w:firstLine="420"/>
      </w:pPr>
      <w:r>
        <w:rPr>
          <w:rFonts w:hint="eastAsia"/>
        </w:rPr>
        <w:t>h) 应急演练与实战验证；</w:t>
      </w:r>
    </w:p>
    <w:p w14:paraId="082A89FB">
      <w:pPr>
        <w:pStyle w:val="59"/>
        <w:spacing w:line="360" w:lineRule="auto"/>
        <w:ind w:firstLine="420"/>
      </w:pPr>
      <w:r>
        <w:rPr>
          <w:rFonts w:hint="eastAsia"/>
        </w:rPr>
        <w:t>i) 恢复管理与持续改进；</w:t>
      </w:r>
    </w:p>
    <w:p w14:paraId="7E41CA42">
      <w:pPr>
        <w:pStyle w:val="59"/>
        <w:spacing w:line="360" w:lineRule="auto"/>
        <w:ind w:firstLine="420"/>
      </w:pPr>
      <w:r>
        <w:rPr>
          <w:rFonts w:hint="eastAsia"/>
        </w:rPr>
        <w:t>j) 档案记录与证据追溯。</w:t>
      </w:r>
    </w:p>
    <w:p w14:paraId="41680B7F">
      <w:pPr>
        <w:pStyle w:val="168"/>
        <w:spacing w:line="360" w:lineRule="auto"/>
      </w:pPr>
      <w:r>
        <w:rPr>
          <w:rFonts w:hint="eastAsia"/>
        </w:rPr>
        <w:t>二级指标应根据一级指标细化为可评价项目，并应明确评价依据、评价证据和扣分情形。</w:t>
      </w:r>
    </w:p>
    <w:p w14:paraId="10644F5A">
      <w:pPr>
        <w:pStyle w:val="168"/>
        <w:spacing w:line="360" w:lineRule="auto"/>
      </w:pPr>
      <w:r>
        <w:rPr>
          <w:rFonts w:hint="eastAsia"/>
        </w:rPr>
        <w:t>评价要点应对应具体检查内容，不得仅采用“较好”“一般”“完善”等笼统表述。</w:t>
      </w:r>
    </w:p>
    <w:p w14:paraId="32F755BD">
      <w:pPr>
        <w:pStyle w:val="168"/>
        <w:spacing w:line="360" w:lineRule="auto"/>
      </w:pPr>
      <w:r>
        <w:rPr>
          <w:rFonts w:hint="eastAsia"/>
        </w:rPr>
        <w:t>评价指标体系可根据附录A进行设置。采用附录A以外指标体系的，应保证评价维度完整、评分规则清晰、评价证据充分。</w:t>
      </w:r>
    </w:p>
    <w:p w14:paraId="1BAFDA48">
      <w:pPr>
        <w:pStyle w:val="108"/>
        <w:spacing w:before="120" w:after="120" w:line="360" w:lineRule="auto"/>
      </w:pPr>
      <w:r>
        <w:rPr>
          <w:rFonts w:hint="eastAsia"/>
        </w:rPr>
        <w:t>应急组织与责任落实指标</w:t>
      </w:r>
    </w:p>
    <w:p w14:paraId="290E4B32">
      <w:pPr>
        <w:pStyle w:val="168"/>
        <w:spacing w:line="360" w:lineRule="auto"/>
      </w:pPr>
      <w:r>
        <w:rPr>
          <w:rFonts w:hint="eastAsia"/>
        </w:rPr>
        <w:t>应急组织与责任落实指标应评价被评价单位是否建立应急组织体系、明确应急岗位职责、落实关键岗位人员和建立替补机制。</w:t>
      </w:r>
    </w:p>
    <w:p w14:paraId="301C8C75">
      <w:pPr>
        <w:pStyle w:val="168"/>
        <w:spacing w:line="360" w:lineRule="auto"/>
      </w:pPr>
      <w:r>
        <w:rPr>
          <w:rFonts w:hint="eastAsia"/>
        </w:rPr>
        <w:t>应评价应急负责人、现场指挥人员、设备技术人员、通讯联络人员、警戒疏散人员、医疗救护联络人员和后勤保障人员职责是否明确。</w:t>
      </w:r>
    </w:p>
    <w:p w14:paraId="43A3DC97">
      <w:pPr>
        <w:pStyle w:val="168"/>
        <w:spacing w:line="360" w:lineRule="auto"/>
      </w:pPr>
      <w:r>
        <w:rPr>
          <w:rFonts w:hint="eastAsia"/>
        </w:rPr>
        <w:t>应评价夜间、节假日、重大活动、客流高峰、特殊作业期间是否有相应应急值守和责任安排。</w:t>
      </w:r>
    </w:p>
    <w:p w14:paraId="76797278">
      <w:pPr>
        <w:pStyle w:val="168"/>
        <w:spacing w:line="360" w:lineRule="auto"/>
      </w:pPr>
      <w:r>
        <w:rPr>
          <w:rFonts w:hint="eastAsia"/>
        </w:rPr>
        <w:t>应评价多单位共同管理场所中使用单位、物业单位、运营单位、维保单位和外部救援单位之间的责任边界是否清晰。</w:t>
      </w:r>
    </w:p>
    <w:p w14:paraId="48590417">
      <w:pPr>
        <w:pStyle w:val="168"/>
        <w:spacing w:line="360" w:lineRule="auto"/>
      </w:pPr>
      <w:r>
        <w:rPr>
          <w:rFonts w:hint="eastAsia"/>
        </w:rPr>
        <w:t>出现应急职责未落实到具体岗位、关键人员无法联络、组织架构与现场实际不一致等情形时，应扣减相应分值；造成应急处置链条中断的，应作为重点问题记录。</w:t>
      </w:r>
    </w:p>
    <w:p w14:paraId="4E3B24E5">
      <w:pPr>
        <w:pStyle w:val="168"/>
        <w:numPr>
          <w:ilvl w:val="0"/>
          <w:numId w:val="0"/>
        </w:numPr>
        <w:spacing w:line="360" w:lineRule="auto"/>
        <w:rPr>
          <w:rFonts w:hint="eastAsia"/>
        </w:rPr>
      </w:pPr>
    </w:p>
    <w:p w14:paraId="5F05D9FA">
      <w:pPr>
        <w:pStyle w:val="108"/>
        <w:spacing w:before="120" w:after="120" w:line="360" w:lineRule="auto"/>
      </w:pPr>
      <w:r>
        <w:rPr>
          <w:rFonts w:hint="eastAsia"/>
        </w:rPr>
        <w:t>风险辨识与预案管理指标</w:t>
      </w:r>
    </w:p>
    <w:p w14:paraId="4CE4FED8">
      <w:pPr>
        <w:pStyle w:val="168"/>
        <w:spacing w:line="360" w:lineRule="auto"/>
      </w:pPr>
      <w:r>
        <w:rPr>
          <w:rFonts w:hint="eastAsia"/>
        </w:rPr>
        <w:t>风险辨识与预案管理指标应评价被评价单位是否识别特种设备主要事故风险、典型故障场景和现场处置重点。</w:t>
      </w:r>
    </w:p>
    <w:p w14:paraId="22D9A65B">
      <w:pPr>
        <w:pStyle w:val="168"/>
        <w:spacing w:line="360" w:lineRule="auto"/>
      </w:pPr>
      <w:r>
        <w:rPr>
          <w:rFonts w:hint="eastAsia"/>
        </w:rPr>
        <w:t>应评价风险辨识是否覆盖设备类别、使用环境、介质特性、人员密集程度、历史故障、极端天气、停电停水和外部事件影响。</w:t>
      </w:r>
    </w:p>
    <w:p w14:paraId="44CAD7B7">
      <w:pPr>
        <w:pStyle w:val="168"/>
        <w:spacing w:line="360" w:lineRule="auto"/>
      </w:pPr>
      <w:r>
        <w:rPr>
          <w:rFonts w:hint="eastAsia"/>
        </w:rPr>
        <w:t>应评价应急预案是否与特种设备实际风险相匹配，是否具备响应分级、信息报告、现场控制、人员疏散、外部联动和恢复管理要求。</w:t>
      </w:r>
    </w:p>
    <w:p w14:paraId="1FC61C58">
      <w:pPr>
        <w:pStyle w:val="168"/>
        <w:spacing w:line="360" w:lineRule="auto"/>
      </w:pPr>
      <w:r>
        <w:rPr>
          <w:rFonts w:hint="eastAsia"/>
        </w:rPr>
        <w:t>应评价现场处置方案是否针对具体设备和具体场景制定，是否具备操作性。</w:t>
      </w:r>
    </w:p>
    <w:p w14:paraId="65A5CC1E">
      <w:pPr>
        <w:pStyle w:val="168"/>
        <w:spacing w:line="360" w:lineRule="auto"/>
      </w:pPr>
      <w:r>
        <w:rPr>
          <w:rFonts w:hint="eastAsia"/>
        </w:rPr>
        <w:t>应评价现场处置卡是否设置在岗位人员易取用位置，内容是否简明、准确、可操作。</w:t>
      </w:r>
    </w:p>
    <w:p w14:paraId="70886EB9">
      <w:pPr>
        <w:pStyle w:val="168"/>
        <w:spacing w:line="360" w:lineRule="auto"/>
      </w:pPr>
      <w:r>
        <w:rPr>
          <w:rFonts w:hint="eastAsia"/>
        </w:rPr>
        <w:t>应急预案长期未修订、联络信息失效、现场处置方案与设备现状不一致、风险场景缺失的，应判定为相应指标不符合或部分符合。</w:t>
      </w:r>
    </w:p>
    <w:p w14:paraId="29143384">
      <w:pPr>
        <w:pStyle w:val="108"/>
        <w:spacing w:before="120" w:after="120" w:line="360" w:lineRule="auto"/>
      </w:pPr>
      <w:r>
        <w:rPr>
          <w:rFonts w:hint="eastAsia"/>
        </w:rPr>
        <w:t>人员培训与岗位能力指标</w:t>
      </w:r>
    </w:p>
    <w:p w14:paraId="035AFD59">
      <w:pPr>
        <w:pStyle w:val="168"/>
        <w:spacing w:line="360" w:lineRule="auto"/>
      </w:pPr>
      <w:r>
        <w:rPr>
          <w:rFonts w:hint="eastAsia"/>
        </w:rPr>
        <w:t>人员培训与岗位能力指标应评价应急岗位人员是否经过培训、是否熟悉预案、是否掌握现场处置要求。</w:t>
      </w:r>
    </w:p>
    <w:p w14:paraId="6264AA0D">
      <w:pPr>
        <w:pStyle w:val="168"/>
        <w:spacing w:line="360" w:lineRule="auto"/>
      </w:pPr>
      <w:r>
        <w:rPr>
          <w:rFonts w:hint="eastAsia"/>
        </w:rPr>
        <w:t>应评价培训内容是否覆盖报警报告、停机断能、设备隔离、人员疏散、现场警戒、初期控制、自我防护和救援配合。</w:t>
      </w:r>
    </w:p>
    <w:p w14:paraId="0DDF7340">
      <w:pPr>
        <w:pStyle w:val="168"/>
        <w:spacing w:line="360" w:lineRule="auto"/>
      </w:pPr>
      <w:r>
        <w:rPr>
          <w:rFonts w:hint="eastAsia"/>
        </w:rPr>
        <w:t>应评价关键岗位人员是否能够正确说明本岗位应急职责、响应步骤、联络方式和注意事项。</w:t>
      </w:r>
    </w:p>
    <w:p w14:paraId="6B733448">
      <w:pPr>
        <w:pStyle w:val="168"/>
        <w:spacing w:line="360" w:lineRule="auto"/>
      </w:pPr>
      <w:r>
        <w:rPr>
          <w:rFonts w:hint="eastAsia"/>
        </w:rPr>
        <w:t>应评价电梯维保人员、锅炉运行人员、压力容器和压力管道操作人员、起重机械司机、客运索道和大型游乐设施操作人员等是否掌握相应专项处置要求。</w:t>
      </w:r>
    </w:p>
    <w:p w14:paraId="2FF203FF">
      <w:pPr>
        <w:pStyle w:val="168"/>
        <w:spacing w:line="360" w:lineRule="auto"/>
      </w:pPr>
      <w:r>
        <w:rPr>
          <w:rFonts w:hint="eastAsia"/>
        </w:rPr>
        <w:t>应评价培训记录是否包括培训时间、培训内容、参加人员、授课人员、考核结果和问题整改。</w:t>
      </w:r>
    </w:p>
    <w:p w14:paraId="1EDCE9C8">
      <w:pPr>
        <w:pStyle w:val="168"/>
        <w:spacing w:line="360" w:lineRule="auto"/>
      </w:pPr>
      <w:r>
        <w:rPr>
          <w:rFonts w:hint="eastAsia"/>
        </w:rPr>
        <w:t>仅有签到记录而无培训内容、无考核结果或人员不能说明基本处置步骤的，不得判定该项完全符合。</w:t>
      </w:r>
    </w:p>
    <w:p w14:paraId="795E9959">
      <w:pPr>
        <w:pStyle w:val="108"/>
        <w:spacing w:before="120" w:after="120" w:line="360" w:lineRule="auto"/>
      </w:pPr>
      <w:r>
        <w:rPr>
          <w:rFonts w:hint="eastAsia"/>
        </w:rPr>
        <w:t>应急资源与装备保障指标</w:t>
      </w:r>
    </w:p>
    <w:p w14:paraId="253EBDB1">
      <w:pPr>
        <w:pStyle w:val="168"/>
        <w:spacing w:line="360" w:lineRule="auto"/>
      </w:pPr>
      <w:r>
        <w:rPr>
          <w:rFonts w:hint="eastAsia"/>
        </w:rPr>
        <w:t>应急资源与装备保障指标应评价应急物资、装备、工具、器材、防护用品和通讯设备是否满足风险场景处置要求。</w:t>
      </w:r>
    </w:p>
    <w:p w14:paraId="605ABF0E">
      <w:pPr>
        <w:pStyle w:val="168"/>
        <w:spacing w:line="360" w:lineRule="auto"/>
      </w:pPr>
      <w:r>
        <w:rPr>
          <w:rFonts w:hint="eastAsia"/>
        </w:rPr>
        <w:t>应评价应急资源台账是否完整，是否明确物资名称、规格型号、数量、存放位置、责任人员、检查周期和有效状态。</w:t>
      </w:r>
    </w:p>
    <w:p w14:paraId="509EE1D1">
      <w:pPr>
        <w:pStyle w:val="168"/>
        <w:spacing w:line="360" w:lineRule="auto"/>
      </w:pPr>
      <w:r>
        <w:rPr>
          <w:rFonts w:hint="eastAsia"/>
        </w:rPr>
        <w:t>应评价应急物资是否处于可用状态，是否存在缺失、过期、损坏、无法取用或与风险场景不匹配等问题。</w:t>
      </w:r>
    </w:p>
    <w:p w14:paraId="03D1D215">
      <w:pPr>
        <w:pStyle w:val="168"/>
        <w:spacing w:line="360" w:lineRule="auto"/>
      </w:pPr>
      <w:r>
        <w:rPr>
          <w:rFonts w:hint="eastAsia"/>
        </w:rPr>
        <w:t>应评价应急通讯设备、备用电源、照明设备、警戒设施、隔离设施、检测仪器和防护用品是否满足现场处置需要。</w:t>
      </w:r>
    </w:p>
    <w:p w14:paraId="5E77A3FF">
      <w:pPr>
        <w:pStyle w:val="168"/>
        <w:spacing w:line="360" w:lineRule="auto"/>
      </w:pPr>
      <w:r>
        <w:rPr>
          <w:rFonts w:hint="eastAsia"/>
        </w:rPr>
        <w:t>对压力介质泄漏、易燃易爆介质、高温高压介质、有毒有害介质等风险场景，应评价检测、防护、堵漏、隔离、通风和洗消资源是否匹配。</w:t>
      </w:r>
    </w:p>
    <w:p w14:paraId="325F6ACC">
      <w:pPr>
        <w:pStyle w:val="168"/>
        <w:spacing w:line="360" w:lineRule="auto"/>
      </w:pPr>
      <w:r>
        <w:rPr>
          <w:rFonts w:hint="eastAsia"/>
        </w:rPr>
        <w:t>对客运索道、大型游乐设施和高层建筑电梯等场景，应评价乘客安抚、滞留救助、疏散引导、高处救援协同和医疗救护资源是否落实。</w:t>
      </w:r>
    </w:p>
    <w:p w14:paraId="7DFFEC39">
      <w:pPr>
        <w:pStyle w:val="108"/>
        <w:spacing w:before="120" w:after="120" w:line="360" w:lineRule="auto"/>
      </w:pPr>
      <w:r>
        <w:rPr>
          <w:rFonts w:hint="eastAsia"/>
        </w:rPr>
        <w:t>监测预警与值班值守指标</w:t>
      </w:r>
    </w:p>
    <w:p w14:paraId="198854ED">
      <w:pPr>
        <w:pStyle w:val="168"/>
        <w:spacing w:line="360" w:lineRule="auto"/>
      </w:pPr>
      <w:r>
        <w:rPr>
          <w:rFonts w:hint="eastAsia"/>
        </w:rPr>
        <w:t>监测预警与值班值守指标应评价被评价单位是否建立特种设备运行状态监测、异常报警、值班接警和处置联络机制。</w:t>
      </w:r>
    </w:p>
    <w:p w14:paraId="03D011B4">
      <w:pPr>
        <w:pStyle w:val="168"/>
        <w:spacing w:line="360" w:lineRule="auto"/>
      </w:pPr>
      <w:r>
        <w:rPr>
          <w:rFonts w:hint="eastAsia"/>
        </w:rPr>
        <w:t>应评价报警装置、监控系统、值班电话、应急广播、远程监测系统和故障提示系统是否处于有效状态。</w:t>
      </w:r>
    </w:p>
    <w:p w14:paraId="285CF08D">
      <w:pPr>
        <w:pStyle w:val="168"/>
        <w:spacing w:line="360" w:lineRule="auto"/>
      </w:pPr>
      <w:r>
        <w:rPr>
          <w:rFonts w:hint="eastAsia"/>
        </w:rPr>
        <w:t>应评价值班人员是否掌握报警识别、信息核实、联络报告和初期处置要求。</w:t>
      </w:r>
    </w:p>
    <w:p w14:paraId="5E64C6E8">
      <w:pPr>
        <w:pStyle w:val="168"/>
        <w:spacing w:line="360" w:lineRule="auto"/>
      </w:pPr>
      <w:r>
        <w:rPr>
          <w:rFonts w:hint="eastAsia"/>
        </w:rPr>
        <w:t>应评价报警记录、接警记录、值班记录和处置记录是否完整一致。</w:t>
      </w:r>
    </w:p>
    <w:p w14:paraId="4DBFC929">
      <w:pPr>
        <w:pStyle w:val="168"/>
        <w:spacing w:line="360" w:lineRule="auto"/>
      </w:pPr>
      <w:r>
        <w:rPr>
          <w:rFonts w:hint="eastAsia"/>
        </w:rPr>
        <w:t>报警信号无人接收、接警后无人处置、值班电话长期无人接听、监控系统故障未处理的，应判定为重大扣分项。</w:t>
      </w:r>
    </w:p>
    <w:p w14:paraId="5E6961B3">
      <w:pPr>
        <w:pStyle w:val="108"/>
        <w:spacing w:before="120" w:after="120" w:line="360" w:lineRule="auto"/>
      </w:pPr>
      <w:r>
        <w:rPr>
          <w:rFonts w:hint="eastAsia"/>
        </w:rPr>
        <w:t>信息报告与协同联动指标</w:t>
      </w:r>
    </w:p>
    <w:p w14:paraId="285FDC7C">
      <w:pPr>
        <w:pStyle w:val="168"/>
        <w:spacing w:line="360" w:lineRule="auto"/>
      </w:pPr>
      <w:r>
        <w:rPr>
          <w:rFonts w:hint="eastAsia"/>
        </w:rPr>
        <w:t>信息报告与协同联动指标应评价突发事件发生后内部报告、外部报告、维保联络、救援联动和监管报告渠道是否畅通。</w:t>
      </w:r>
    </w:p>
    <w:p w14:paraId="3C5B6B1D">
      <w:pPr>
        <w:pStyle w:val="168"/>
        <w:spacing w:line="360" w:lineRule="auto"/>
      </w:pPr>
      <w:r>
        <w:rPr>
          <w:rFonts w:hint="eastAsia"/>
        </w:rPr>
        <w:t>应评价信息报告流程是否明确报告对象、报告时限、报告内容和报告方式。</w:t>
      </w:r>
    </w:p>
    <w:p w14:paraId="317030D6">
      <w:pPr>
        <w:pStyle w:val="168"/>
        <w:spacing w:line="360" w:lineRule="auto"/>
      </w:pPr>
      <w:r>
        <w:rPr>
          <w:rFonts w:hint="eastAsia"/>
        </w:rPr>
        <w:t>应评价使用单位、维保单位、运营单位、物业单位、安保人员、消防救援、医疗救护和其他外部力量之间是否建立联动机制。</w:t>
      </w:r>
    </w:p>
    <w:p w14:paraId="17301395">
      <w:pPr>
        <w:pStyle w:val="168"/>
        <w:spacing w:line="360" w:lineRule="auto"/>
      </w:pPr>
      <w:r>
        <w:rPr>
          <w:rFonts w:hint="eastAsia"/>
        </w:rPr>
        <w:t>应评价联络信息是否定期核验，是否存在失效号码、离职人员、无责任主体或无人接听的情况。</w:t>
      </w:r>
    </w:p>
    <w:p w14:paraId="0CDDDD41">
      <w:pPr>
        <w:pStyle w:val="168"/>
        <w:spacing w:line="360" w:lineRule="auto"/>
      </w:pPr>
      <w:r>
        <w:rPr>
          <w:rFonts w:hint="eastAsia"/>
        </w:rPr>
        <w:t>应评价协同联动是否经过演练、测试或实际事件验证。</w:t>
      </w:r>
    </w:p>
    <w:p w14:paraId="131BF637">
      <w:pPr>
        <w:pStyle w:val="168"/>
        <w:spacing w:line="360" w:lineRule="auto"/>
      </w:pPr>
      <w:r>
        <w:rPr>
          <w:rFonts w:hint="eastAsia"/>
        </w:rPr>
        <w:t>发生事件后存在迟报、漏报、瞒报、信息不一致或多单位职责推诿的，应判定相关指标不符合。</w:t>
      </w:r>
    </w:p>
    <w:p w14:paraId="404DE7EE">
      <w:pPr>
        <w:pStyle w:val="108"/>
        <w:spacing w:before="120" w:after="120" w:line="360" w:lineRule="auto"/>
      </w:pPr>
      <w:r>
        <w:rPr>
          <w:rFonts w:hint="eastAsia"/>
        </w:rPr>
        <w:t>现场处置与风险控制指标</w:t>
      </w:r>
    </w:p>
    <w:p w14:paraId="09506B49">
      <w:pPr>
        <w:pStyle w:val="168"/>
        <w:spacing w:line="360" w:lineRule="auto"/>
      </w:pPr>
      <w:r>
        <w:rPr>
          <w:rFonts w:hint="eastAsia"/>
        </w:rPr>
        <w:t>现场处置与风险控制指标应评价现场人员能否按规定完成报警、停机、断能、隔离、疏散、警戒、救助和风险控制。</w:t>
      </w:r>
    </w:p>
    <w:p w14:paraId="7A3DB55F">
      <w:pPr>
        <w:pStyle w:val="168"/>
        <w:spacing w:line="360" w:lineRule="auto"/>
      </w:pPr>
      <w:r>
        <w:rPr>
          <w:rFonts w:hint="eastAsia"/>
        </w:rPr>
        <w:t>应评价现场处置步骤是否符合设备类别和风险场景要求。</w:t>
      </w:r>
    </w:p>
    <w:p w14:paraId="147916AD">
      <w:pPr>
        <w:pStyle w:val="168"/>
        <w:spacing w:line="360" w:lineRule="auto"/>
      </w:pPr>
      <w:r>
        <w:rPr>
          <w:rFonts w:hint="eastAsia"/>
        </w:rPr>
        <w:t>应评价现场人员是否能够识别禁止操作事项，不得盲目开机、强行复位、短接安全装置、拆除保护装置或冒险进入危险区域。</w:t>
      </w:r>
    </w:p>
    <w:p w14:paraId="189BAC06">
      <w:pPr>
        <w:pStyle w:val="168"/>
        <w:spacing w:line="360" w:lineRule="auto"/>
      </w:pPr>
      <w:r>
        <w:rPr>
          <w:rFonts w:hint="eastAsia"/>
        </w:rPr>
        <w:t>应评价现场警戒区域、疏散路线、救援通道和应急出口是否满足处置需要。</w:t>
      </w:r>
    </w:p>
    <w:p w14:paraId="076486D2">
      <w:pPr>
        <w:pStyle w:val="168"/>
        <w:spacing w:line="360" w:lineRule="auto"/>
      </w:pPr>
      <w:r>
        <w:rPr>
          <w:rFonts w:hint="eastAsia"/>
        </w:rPr>
        <w:t>应评价事故现场保护、次生风险控制和人员安抚措施是否有效。</w:t>
      </w:r>
    </w:p>
    <w:p w14:paraId="06DAACBC">
      <w:pPr>
        <w:pStyle w:val="168"/>
        <w:spacing w:line="360" w:lineRule="auto"/>
      </w:pPr>
      <w:r>
        <w:rPr>
          <w:rFonts w:hint="eastAsia"/>
        </w:rPr>
        <w:t>现场处置存在违反安全规程、扩大事故风险或危及人员安全行为的，应作为严重问题记录。</w:t>
      </w:r>
    </w:p>
    <w:p w14:paraId="28B3DBA2">
      <w:pPr>
        <w:pStyle w:val="168"/>
        <w:numPr>
          <w:ilvl w:val="0"/>
          <w:numId w:val="0"/>
        </w:numPr>
        <w:spacing w:line="360" w:lineRule="auto"/>
        <w:rPr>
          <w:rFonts w:hint="eastAsia"/>
        </w:rPr>
      </w:pPr>
    </w:p>
    <w:p w14:paraId="2EF601AF">
      <w:pPr>
        <w:pStyle w:val="108"/>
        <w:spacing w:before="120" w:after="120" w:line="360" w:lineRule="auto"/>
      </w:pPr>
      <w:r>
        <w:rPr>
          <w:rFonts w:hint="eastAsia"/>
        </w:rPr>
        <w:t>应急演练与实战验证指标</w:t>
      </w:r>
    </w:p>
    <w:p w14:paraId="7F21A56A">
      <w:pPr>
        <w:pStyle w:val="168"/>
        <w:spacing w:line="360" w:lineRule="auto"/>
      </w:pPr>
      <w:r>
        <w:rPr>
          <w:rFonts w:hint="eastAsia"/>
        </w:rPr>
        <w:t>应急演练与实战验证指标应评价被评价单位是否按计划开展演练，演练内容是否覆盖主要风险场景。</w:t>
      </w:r>
    </w:p>
    <w:p w14:paraId="7F1AB98E">
      <w:pPr>
        <w:pStyle w:val="168"/>
        <w:spacing w:line="360" w:lineRule="auto"/>
      </w:pPr>
      <w:r>
        <w:rPr>
          <w:rFonts w:hint="eastAsia"/>
        </w:rPr>
        <w:t>应评价演练方案是否明确演练目的、场景设定、参加人员、处置流程、评价标准和安全控制措施。</w:t>
      </w:r>
    </w:p>
    <w:p w14:paraId="1C03B456">
      <w:pPr>
        <w:pStyle w:val="168"/>
        <w:spacing w:line="360" w:lineRule="auto"/>
      </w:pPr>
      <w:r>
        <w:rPr>
          <w:rFonts w:hint="eastAsia"/>
        </w:rPr>
        <w:t>应评价演练过程是否真实反映响应、联络、处置、协同和恢复能力。</w:t>
      </w:r>
    </w:p>
    <w:p w14:paraId="468156A5">
      <w:pPr>
        <w:pStyle w:val="168"/>
        <w:spacing w:line="360" w:lineRule="auto"/>
      </w:pPr>
      <w:r>
        <w:rPr>
          <w:rFonts w:hint="eastAsia"/>
        </w:rPr>
        <w:t>应评价演练总结是否分析问题、提出整改措施并验证整改效果。</w:t>
      </w:r>
    </w:p>
    <w:p w14:paraId="0E3A90FF">
      <w:pPr>
        <w:pStyle w:val="168"/>
        <w:spacing w:line="360" w:lineRule="auto"/>
      </w:pPr>
      <w:r>
        <w:rPr>
          <w:rFonts w:hint="eastAsia"/>
        </w:rPr>
        <w:t>仅以会议学习、签字确认或照片资料代替实际演练的，不得判定为演练有效。</w:t>
      </w:r>
    </w:p>
    <w:p w14:paraId="6204CE50">
      <w:pPr>
        <w:pStyle w:val="168"/>
        <w:spacing w:line="360" w:lineRule="auto"/>
      </w:pPr>
      <w:r>
        <w:rPr>
          <w:rFonts w:hint="eastAsia"/>
        </w:rPr>
        <w:t>近三年实际发生的特种设备突发事件处置记录，可作为实战验证证据；但应评价其响应及时性、处置规范性和改进闭环情况。</w:t>
      </w:r>
    </w:p>
    <w:p w14:paraId="5702E985">
      <w:pPr>
        <w:pStyle w:val="108"/>
        <w:spacing w:before="120" w:after="120" w:line="360" w:lineRule="auto"/>
      </w:pPr>
      <w:r>
        <w:rPr>
          <w:rFonts w:hint="eastAsia"/>
        </w:rPr>
        <w:t>恢复管理与持续改进指标</w:t>
      </w:r>
    </w:p>
    <w:p w14:paraId="238BD719">
      <w:pPr>
        <w:pStyle w:val="168"/>
        <w:spacing w:line="360" w:lineRule="auto"/>
      </w:pPr>
      <w:r>
        <w:rPr>
          <w:rFonts w:hint="eastAsia"/>
        </w:rPr>
        <w:t>恢复管理与持续改进指标应评价突发事件处置后设备状态确认、现场恢复、人员安抚、资料归档、原因分析和改进措施落实情况。</w:t>
      </w:r>
    </w:p>
    <w:p w14:paraId="760379C4">
      <w:pPr>
        <w:pStyle w:val="168"/>
        <w:spacing w:line="360" w:lineRule="auto"/>
      </w:pPr>
      <w:r>
        <w:rPr>
          <w:rFonts w:hint="eastAsia"/>
        </w:rPr>
        <w:t>应评价设备恢复运行前是否经过检查、维修、验证或检验确认。</w:t>
      </w:r>
    </w:p>
    <w:p w14:paraId="4267FA03">
      <w:pPr>
        <w:pStyle w:val="168"/>
        <w:spacing w:line="360" w:lineRule="auto"/>
      </w:pPr>
      <w:r>
        <w:rPr>
          <w:rFonts w:hint="eastAsia"/>
        </w:rPr>
        <w:t>应评价事故险情处置后是否开展复盘分析，是否形成问题清单和整改计划。</w:t>
      </w:r>
    </w:p>
    <w:p w14:paraId="56AD54AF">
      <w:pPr>
        <w:pStyle w:val="168"/>
        <w:spacing w:line="360" w:lineRule="auto"/>
      </w:pPr>
      <w:r>
        <w:rPr>
          <w:rFonts w:hint="eastAsia"/>
        </w:rPr>
        <w:t>应评价整改措施是否明确责任人员、完成期限、验证方式和关闭记录。</w:t>
      </w:r>
    </w:p>
    <w:p w14:paraId="752D5B55">
      <w:pPr>
        <w:pStyle w:val="168"/>
        <w:spacing w:line="360" w:lineRule="auto"/>
      </w:pPr>
      <w:r>
        <w:rPr>
          <w:rFonts w:hint="eastAsia"/>
        </w:rPr>
        <w:t>对重复发生的同类故障、同类报警或同类演练问题，应评价是否开展专项改进。</w:t>
      </w:r>
    </w:p>
    <w:p w14:paraId="27C18DB0">
      <w:pPr>
        <w:pStyle w:val="108"/>
        <w:spacing w:before="120" w:after="120" w:line="360" w:lineRule="auto"/>
      </w:pPr>
      <w:r>
        <w:rPr>
          <w:rFonts w:hint="eastAsia"/>
        </w:rPr>
        <w:t>档案记录与证据追溯指标</w:t>
      </w:r>
    </w:p>
    <w:p w14:paraId="16BDD2D3">
      <w:pPr>
        <w:pStyle w:val="168"/>
        <w:spacing w:line="360" w:lineRule="auto"/>
      </w:pPr>
      <w:r>
        <w:rPr>
          <w:rFonts w:hint="eastAsia"/>
        </w:rPr>
        <w:t>档案记录与证据追溯指标应评价应急管理相关资料是否真实、完整、及时归档并可追溯。</w:t>
      </w:r>
    </w:p>
    <w:p w14:paraId="3EE3A7B3">
      <w:pPr>
        <w:pStyle w:val="168"/>
        <w:spacing w:line="360" w:lineRule="auto"/>
      </w:pPr>
      <w:r>
        <w:rPr>
          <w:rFonts w:hint="eastAsia"/>
        </w:rPr>
        <w:t>应评价预案、培训、演练、物资检查、值班、报警、处置、整改和复盘资料是否成套保存。</w:t>
      </w:r>
    </w:p>
    <w:p w14:paraId="66FADEE6">
      <w:pPr>
        <w:pStyle w:val="168"/>
        <w:spacing w:line="360" w:lineRule="auto"/>
      </w:pPr>
      <w:r>
        <w:rPr>
          <w:rFonts w:hint="eastAsia"/>
        </w:rPr>
        <w:t>应评价记录内容是否能够反映事件发生、响应启动、现场处置、协同联动、恢复确认和整改关闭全过程。</w:t>
      </w:r>
    </w:p>
    <w:p w14:paraId="217624E1">
      <w:pPr>
        <w:pStyle w:val="168"/>
        <w:spacing w:line="360" w:lineRule="auto"/>
      </w:pPr>
      <w:r>
        <w:rPr>
          <w:rFonts w:hint="eastAsia"/>
        </w:rPr>
        <w:t>记录存在补编痕迹明显、关键时间缺失、签名不真实、内容相互矛盾或无法追溯的，应降低相应评价结果。</w:t>
      </w:r>
    </w:p>
    <w:p w14:paraId="2F47D906">
      <w:pPr>
        <w:pStyle w:val="107"/>
        <w:spacing w:before="240" w:after="240" w:line="360" w:lineRule="auto"/>
      </w:pPr>
      <w:bookmarkStart w:id="54" w:name="_Toc228611819"/>
      <w:r>
        <w:rPr>
          <w:rFonts w:hint="eastAsia"/>
        </w:rPr>
        <w:t>评价方法</w:t>
      </w:r>
      <w:bookmarkEnd w:id="54"/>
    </w:p>
    <w:p w14:paraId="35BA7DA6">
      <w:pPr>
        <w:pStyle w:val="108"/>
        <w:spacing w:before="120" w:after="120" w:line="360" w:lineRule="auto"/>
      </w:pPr>
      <w:r>
        <w:rPr>
          <w:rFonts w:hint="eastAsia"/>
        </w:rPr>
        <w:t>一般要求</w:t>
      </w:r>
    </w:p>
    <w:p w14:paraId="2DE7E45A">
      <w:pPr>
        <w:pStyle w:val="168"/>
        <w:spacing w:line="360" w:lineRule="auto"/>
      </w:pPr>
      <w:r>
        <w:rPr>
          <w:rFonts w:hint="eastAsia"/>
        </w:rPr>
        <w:t>特种设备应急处置能力评价应采用资料审查、现场检查、人员询问、功能测试、演练观察、记录追溯和综合评分相结合的方法。</w:t>
      </w:r>
    </w:p>
    <w:p w14:paraId="372FF7B1">
      <w:pPr>
        <w:pStyle w:val="168"/>
        <w:spacing w:line="360" w:lineRule="auto"/>
      </w:pPr>
      <w:r>
        <w:rPr>
          <w:rFonts w:hint="eastAsia"/>
        </w:rPr>
        <w:t>评价方法应与评价对象、设备类别、风险场景和评价目的相匹配。</w:t>
      </w:r>
    </w:p>
    <w:p w14:paraId="56E92E28">
      <w:pPr>
        <w:pStyle w:val="168"/>
        <w:spacing w:line="360" w:lineRule="auto"/>
      </w:pPr>
      <w:r>
        <w:rPr>
          <w:rFonts w:hint="eastAsia"/>
        </w:rPr>
        <w:t>评价过程中应记录评价证据，必要时可采用照片、视频、测试记录、访谈记录、抽样记录等方式固化证据。</w:t>
      </w:r>
    </w:p>
    <w:p w14:paraId="72E3861F">
      <w:pPr>
        <w:pStyle w:val="168"/>
        <w:spacing w:line="360" w:lineRule="auto"/>
      </w:pPr>
      <w:r>
        <w:rPr>
          <w:rFonts w:hint="eastAsia"/>
        </w:rPr>
        <w:t>评价不得仅采用问卷或书面承诺方式替代现场核查和能力验证。</w:t>
      </w:r>
    </w:p>
    <w:p w14:paraId="354A8891">
      <w:pPr>
        <w:pStyle w:val="168"/>
        <w:spacing w:line="360" w:lineRule="auto"/>
      </w:pPr>
      <w:r>
        <w:rPr>
          <w:rFonts w:hint="eastAsia"/>
        </w:rPr>
        <w:t>对关键指标、重大风险场景和存在争议的评价项目，应采用两种及以上方法进行交叉验证。</w:t>
      </w:r>
    </w:p>
    <w:p w14:paraId="6AFA6F23">
      <w:pPr>
        <w:pStyle w:val="108"/>
        <w:spacing w:before="120" w:after="120" w:line="360" w:lineRule="auto"/>
      </w:pPr>
      <w:r>
        <w:rPr>
          <w:rFonts w:hint="eastAsia"/>
        </w:rPr>
        <w:t>资料审查</w:t>
      </w:r>
    </w:p>
    <w:p w14:paraId="568DB917">
      <w:pPr>
        <w:pStyle w:val="168"/>
        <w:spacing w:line="360" w:lineRule="auto"/>
      </w:pPr>
      <w:r>
        <w:rPr>
          <w:rFonts w:hint="eastAsia"/>
        </w:rPr>
        <w:t>资料审查应核查应急管理制度、应急预案、现场处置方案、现场处置卡、风险辨识资料、培训记录、演练记录、物资台账、值班记录、报警记录和整改记录。</w:t>
      </w:r>
    </w:p>
    <w:p w14:paraId="79B5C63D">
      <w:pPr>
        <w:pStyle w:val="168"/>
        <w:spacing w:line="360" w:lineRule="auto"/>
      </w:pPr>
      <w:r>
        <w:rPr>
          <w:rFonts w:hint="eastAsia"/>
        </w:rPr>
        <w:t>资料审查应关注资料与现场实际是否一致，不得只审查资料是否齐全。</w:t>
      </w:r>
    </w:p>
    <w:p w14:paraId="3592CBEB">
      <w:pPr>
        <w:pStyle w:val="168"/>
        <w:spacing w:line="360" w:lineRule="auto"/>
      </w:pPr>
      <w:r>
        <w:rPr>
          <w:rFonts w:hint="eastAsia"/>
        </w:rPr>
        <w:t>资料审查应检查文件版本、审批记录、修订记录、适用范围和执行记录。</w:t>
      </w:r>
    </w:p>
    <w:p w14:paraId="02E99C87">
      <w:pPr>
        <w:pStyle w:val="168"/>
        <w:spacing w:line="360" w:lineRule="auto"/>
      </w:pPr>
      <w:r>
        <w:rPr>
          <w:rFonts w:hint="eastAsia"/>
        </w:rPr>
        <w:t>资料中存在设备名称、岗位人员、联络方式、处置步骤、物资位置与现场不一致的，应记录为问题。</w:t>
      </w:r>
    </w:p>
    <w:p w14:paraId="7D22A796">
      <w:pPr>
        <w:pStyle w:val="168"/>
        <w:spacing w:line="360" w:lineRule="auto"/>
      </w:pPr>
      <w:r>
        <w:rPr>
          <w:rFonts w:hint="eastAsia"/>
        </w:rPr>
        <w:t>资料缺失但现场能力能够通过其他证据证明的，可作为部分符合处理；关键资料缺失且能力无法证明的，应判定不符合。</w:t>
      </w:r>
    </w:p>
    <w:p w14:paraId="26EF4EB6">
      <w:pPr>
        <w:pStyle w:val="108"/>
        <w:spacing w:before="120" w:after="120" w:line="360" w:lineRule="auto"/>
      </w:pPr>
      <w:r>
        <w:rPr>
          <w:rFonts w:hint="eastAsia"/>
        </w:rPr>
        <w:t>现场检查</w:t>
      </w:r>
    </w:p>
    <w:p w14:paraId="590DA0E6">
      <w:pPr>
        <w:pStyle w:val="168"/>
        <w:spacing w:line="360" w:lineRule="auto"/>
      </w:pPr>
      <w:r>
        <w:rPr>
          <w:rFonts w:hint="eastAsia"/>
        </w:rPr>
        <w:t>现场检查应覆盖评价范围内的主要设备、重点场所、应急物资存放点、值班室、监控室、救援通道、疏散路线和危险区域。</w:t>
      </w:r>
    </w:p>
    <w:p w14:paraId="5B532ACD">
      <w:pPr>
        <w:pStyle w:val="168"/>
        <w:spacing w:line="360" w:lineRule="auto"/>
      </w:pPr>
      <w:r>
        <w:rPr>
          <w:rFonts w:hint="eastAsia"/>
        </w:rPr>
        <w:t>现场检查应核对应急标识、报警装置、通讯设备、现场处置卡、应急照明、警戒设施、防护用品和救援工具状态。</w:t>
      </w:r>
    </w:p>
    <w:p w14:paraId="66AF5BA4">
      <w:pPr>
        <w:pStyle w:val="168"/>
        <w:spacing w:line="360" w:lineRule="auto"/>
      </w:pPr>
      <w:r>
        <w:rPr>
          <w:rFonts w:hint="eastAsia"/>
        </w:rPr>
        <w:t>对电梯机房、轿厢、层站、监控值班点、五方通话装置和维保联络方式，应进行现场核查。</w:t>
      </w:r>
    </w:p>
    <w:p w14:paraId="020E578C">
      <w:pPr>
        <w:pStyle w:val="168"/>
        <w:spacing w:line="360" w:lineRule="auto"/>
      </w:pPr>
      <w:r>
        <w:rPr>
          <w:rFonts w:hint="eastAsia"/>
        </w:rPr>
        <w:t>对锅炉、压力容器和压力管道，应核查紧急切断、泄压、报警、通风、隔离、警戒和个人防护条件。</w:t>
      </w:r>
    </w:p>
    <w:p w14:paraId="0FF558F5">
      <w:pPr>
        <w:pStyle w:val="168"/>
        <w:spacing w:line="360" w:lineRule="auto"/>
      </w:pPr>
      <w:r>
        <w:rPr>
          <w:rFonts w:hint="eastAsia"/>
        </w:rPr>
        <w:t>对起重机械、大型游乐设施和客运索道，应核查紧急停止、疏散通道、乘客救助、通讯联络和安全警戒条件。</w:t>
      </w:r>
    </w:p>
    <w:p w14:paraId="258B01C9">
      <w:pPr>
        <w:pStyle w:val="168"/>
        <w:spacing w:line="360" w:lineRule="auto"/>
      </w:pPr>
      <w:r>
        <w:rPr>
          <w:rFonts w:hint="eastAsia"/>
        </w:rPr>
        <w:t>现场检查发现的明显隐患，应及时告知被评价单位采取临时控制措施。</w:t>
      </w:r>
    </w:p>
    <w:p w14:paraId="310DC688">
      <w:pPr>
        <w:pStyle w:val="108"/>
        <w:spacing w:before="120" w:after="120" w:line="360" w:lineRule="auto"/>
      </w:pPr>
      <w:r>
        <w:rPr>
          <w:rFonts w:hint="eastAsia"/>
        </w:rPr>
        <w:t>人员询问</w:t>
      </w:r>
    </w:p>
    <w:p w14:paraId="49431D19">
      <w:pPr>
        <w:pStyle w:val="168"/>
        <w:spacing w:line="360" w:lineRule="auto"/>
      </w:pPr>
      <w:r>
        <w:rPr>
          <w:rFonts w:hint="eastAsia"/>
        </w:rPr>
        <w:t>人员询问应覆盖管理负责人、现场操作人员、值班人员、维保人员、安保人员、应急联络人员和其他关键岗位人员。</w:t>
      </w:r>
    </w:p>
    <w:p w14:paraId="1E888DE3">
      <w:pPr>
        <w:pStyle w:val="168"/>
        <w:spacing w:line="360" w:lineRule="auto"/>
      </w:pPr>
      <w:r>
        <w:rPr>
          <w:rFonts w:hint="eastAsia"/>
        </w:rPr>
        <w:t>询问内容应包括岗位职责、报警方式、报告流程、初期处置步骤、外部联络方式、禁止操作事项和自身防护要求。</w:t>
      </w:r>
    </w:p>
    <w:p w14:paraId="6A4C350F">
      <w:pPr>
        <w:pStyle w:val="168"/>
        <w:spacing w:line="360" w:lineRule="auto"/>
      </w:pPr>
      <w:r>
        <w:rPr>
          <w:rFonts w:hint="eastAsia"/>
        </w:rPr>
        <w:t>询问应结合具体风险场景进行，不宜仅询问制度条款。</w:t>
      </w:r>
    </w:p>
    <w:p w14:paraId="76D25A68">
      <w:pPr>
        <w:pStyle w:val="168"/>
        <w:spacing w:line="360" w:lineRule="auto"/>
      </w:pPr>
      <w:r>
        <w:rPr>
          <w:rFonts w:hint="eastAsia"/>
        </w:rPr>
        <w:t>对同一处置流程涉及多个岗位的，应分别询问并核查回答是否一致。</w:t>
      </w:r>
    </w:p>
    <w:p w14:paraId="6E9E33B1">
      <w:pPr>
        <w:pStyle w:val="168"/>
        <w:spacing w:line="360" w:lineRule="auto"/>
      </w:pPr>
      <w:r>
        <w:rPr>
          <w:rFonts w:hint="eastAsia"/>
        </w:rPr>
        <w:t>关键岗位人员不能说明基本处置步骤或错误回答可能导致风险扩大的，应判定相应能力不足。</w:t>
      </w:r>
    </w:p>
    <w:p w14:paraId="0520CEF2">
      <w:pPr>
        <w:pStyle w:val="108"/>
        <w:spacing w:before="120" w:after="120" w:line="360" w:lineRule="auto"/>
      </w:pPr>
      <w:r>
        <w:rPr>
          <w:rFonts w:hint="eastAsia"/>
        </w:rPr>
        <w:t>功能测试</w:t>
      </w:r>
    </w:p>
    <w:p w14:paraId="343306CD">
      <w:pPr>
        <w:pStyle w:val="168"/>
        <w:spacing w:line="360" w:lineRule="auto"/>
      </w:pPr>
      <w:r>
        <w:rPr>
          <w:rFonts w:hint="eastAsia"/>
        </w:rPr>
        <w:t>功能测试应在确保安全的条件下，对报警、通讯、监控、应急照明、备用电源、紧急停止、紧急切断、远程呼叫等功能进行验证。</w:t>
      </w:r>
    </w:p>
    <w:p w14:paraId="0EB8610C">
      <w:pPr>
        <w:pStyle w:val="168"/>
        <w:spacing w:line="360" w:lineRule="auto"/>
      </w:pPr>
      <w:r>
        <w:rPr>
          <w:rFonts w:hint="eastAsia"/>
        </w:rPr>
        <w:t>功能测试前应明确测试范围、测试方法、安全措施和恢复要求。</w:t>
      </w:r>
    </w:p>
    <w:p w14:paraId="22619E4A">
      <w:pPr>
        <w:pStyle w:val="168"/>
        <w:spacing w:line="360" w:lineRule="auto"/>
      </w:pPr>
      <w:r>
        <w:rPr>
          <w:rFonts w:hint="eastAsia"/>
        </w:rPr>
        <w:t>功能测试不得造成设备损坏、业务中断、人员伤害或新的安全风险。</w:t>
      </w:r>
    </w:p>
    <w:p w14:paraId="6EFD1476">
      <w:pPr>
        <w:pStyle w:val="168"/>
        <w:spacing w:line="360" w:lineRule="auto"/>
      </w:pPr>
      <w:r>
        <w:rPr>
          <w:rFonts w:hint="eastAsia"/>
        </w:rPr>
        <w:t>功能测试结果应记录测试时间、测试对象、测试人员、测试过程、测试结果和存在问题。</w:t>
      </w:r>
    </w:p>
    <w:p w14:paraId="66FEE0E1">
      <w:pPr>
        <w:pStyle w:val="168"/>
        <w:spacing w:line="360" w:lineRule="auto"/>
      </w:pPr>
      <w:r>
        <w:rPr>
          <w:rFonts w:hint="eastAsia"/>
        </w:rPr>
        <w:t>测试不合格的，应立即采取控制措施，并应纳入整改清单。</w:t>
      </w:r>
    </w:p>
    <w:p w14:paraId="1158E6AD">
      <w:pPr>
        <w:pStyle w:val="108"/>
        <w:spacing w:before="120" w:after="120" w:line="360" w:lineRule="auto"/>
      </w:pPr>
      <w:r>
        <w:rPr>
          <w:rFonts w:hint="eastAsia"/>
        </w:rPr>
        <w:t>演练观察</w:t>
      </w:r>
    </w:p>
    <w:p w14:paraId="120E0EB4">
      <w:pPr>
        <w:pStyle w:val="168"/>
        <w:spacing w:line="360" w:lineRule="auto"/>
      </w:pPr>
      <w:r>
        <w:rPr>
          <w:rFonts w:hint="eastAsia"/>
        </w:rPr>
        <w:t>演练观察可采用桌面推演、现场实操演练、综合演练或不预先通知的应急响应测试。</w:t>
      </w:r>
    </w:p>
    <w:p w14:paraId="5A819BB3">
      <w:pPr>
        <w:pStyle w:val="168"/>
        <w:spacing w:line="360" w:lineRule="auto"/>
      </w:pPr>
      <w:r>
        <w:rPr>
          <w:rFonts w:hint="eastAsia"/>
        </w:rPr>
        <w:t>演练场景应与被评价单位主要风险场景相匹配。</w:t>
      </w:r>
    </w:p>
    <w:p w14:paraId="42DAE818">
      <w:pPr>
        <w:pStyle w:val="168"/>
        <w:spacing w:line="360" w:lineRule="auto"/>
      </w:pPr>
      <w:r>
        <w:rPr>
          <w:rFonts w:hint="eastAsia"/>
        </w:rPr>
        <w:t>演练观察应重点评价响应启动、信息报告、人员到位、现场控制、救援协同、人员疏散、物资使用和恢复处置。</w:t>
      </w:r>
    </w:p>
    <w:p w14:paraId="128664C4">
      <w:pPr>
        <w:pStyle w:val="168"/>
        <w:spacing w:line="360" w:lineRule="auto"/>
      </w:pPr>
      <w:r>
        <w:rPr>
          <w:rFonts w:hint="eastAsia"/>
        </w:rPr>
        <w:t>演练过程应设置安全控制措施，不得因演练造成真实事故风险。</w:t>
      </w:r>
    </w:p>
    <w:p w14:paraId="16CD3A63">
      <w:pPr>
        <w:pStyle w:val="168"/>
        <w:spacing w:line="360" w:lineRule="auto"/>
      </w:pPr>
      <w:r>
        <w:rPr>
          <w:rFonts w:hint="eastAsia"/>
        </w:rPr>
        <w:t>演练结束后应进行点评，记录问题、原因和整改要求。</w:t>
      </w:r>
    </w:p>
    <w:p w14:paraId="3CAB013D">
      <w:pPr>
        <w:pStyle w:val="108"/>
        <w:spacing w:before="120" w:after="120" w:line="360" w:lineRule="auto"/>
      </w:pPr>
      <w:r>
        <w:rPr>
          <w:rFonts w:hint="eastAsia"/>
        </w:rPr>
        <w:t>记录追溯</w:t>
      </w:r>
    </w:p>
    <w:p w14:paraId="567FA384">
      <w:pPr>
        <w:pStyle w:val="168"/>
        <w:spacing w:line="360" w:lineRule="auto"/>
      </w:pPr>
      <w:r>
        <w:rPr>
          <w:rFonts w:hint="eastAsia"/>
        </w:rPr>
        <w:t>记录追溯应选取近期事故、险情、故障、报警、困人、停机、泄漏、异常运行或演练事件，核查全过程记录。</w:t>
      </w:r>
    </w:p>
    <w:p w14:paraId="127F1E24">
      <w:pPr>
        <w:pStyle w:val="168"/>
        <w:spacing w:line="360" w:lineRule="auto"/>
      </w:pPr>
      <w:r>
        <w:rPr>
          <w:rFonts w:hint="eastAsia"/>
        </w:rPr>
        <w:t>追溯内容应包括事件发现、接警、报告、响应、到场、处置、协同、恢复、复盘和整改。</w:t>
      </w:r>
    </w:p>
    <w:p w14:paraId="64FF33CD">
      <w:pPr>
        <w:pStyle w:val="168"/>
        <w:spacing w:line="360" w:lineRule="auto"/>
      </w:pPr>
      <w:r>
        <w:rPr>
          <w:rFonts w:hint="eastAsia"/>
        </w:rPr>
        <w:t>记录追溯应核查时间逻辑是否合理、人员职责是否履行、处置措施是否符合要求、整改是否闭环。</w:t>
      </w:r>
    </w:p>
    <w:p w14:paraId="38C36881">
      <w:pPr>
        <w:pStyle w:val="168"/>
        <w:spacing w:line="360" w:lineRule="auto"/>
      </w:pPr>
      <w:r>
        <w:rPr>
          <w:rFonts w:hint="eastAsia"/>
        </w:rPr>
        <w:t>记录追溯发现记录缺失、时间矛盾、处置不闭环或结果无法验证的，应作为评价扣分依据。</w:t>
      </w:r>
    </w:p>
    <w:p w14:paraId="28AAB708">
      <w:pPr>
        <w:pStyle w:val="108"/>
        <w:spacing w:before="120" w:after="120" w:line="360" w:lineRule="auto"/>
      </w:pPr>
      <w:r>
        <w:rPr>
          <w:rFonts w:hint="eastAsia"/>
        </w:rPr>
        <w:t>综合评分</w:t>
      </w:r>
    </w:p>
    <w:p w14:paraId="02D4D739">
      <w:pPr>
        <w:pStyle w:val="168"/>
        <w:spacing w:line="360" w:lineRule="auto"/>
      </w:pPr>
      <w:r>
        <w:rPr>
          <w:rFonts w:hint="eastAsia"/>
        </w:rPr>
        <w:t>评价可采用百分制评分，也可采用符合性判定与等级判定相结合的方式。</w:t>
      </w:r>
    </w:p>
    <w:p w14:paraId="5B3C4FC0">
      <w:pPr>
        <w:pStyle w:val="168"/>
        <w:spacing w:line="360" w:lineRule="auto"/>
      </w:pPr>
      <w:r>
        <w:rPr>
          <w:rFonts w:hint="eastAsia"/>
        </w:rPr>
        <w:t>评分应按评价指标逐项赋分，并应保留扣分依据。</w:t>
      </w:r>
    </w:p>
    <w:p w14:paraId="43777AC6">
      <w:pPr>
        <w:pStyle w:val="168"/>
        <w:spacing w:line="360" w:lineRule="auto"/>
      </w:pPr>
      <w:r>
        <w:rPr>
          <w:rFonts w:hint="eastAsia"/>
        </w:rPr>
        <w:t>关键项不符合时，应按评价等级判定规则限制最终等级。</w:t>
      </w:r>
    </w:p>
    <w:p w14:paraId="7CF39578">
      <w:pPr>
        <w:pStyle w:val="168"/>
        <w:spacing w:line="360" w:lineRule="auto"/>
      </w:pPr>
      <w:r>
        <w:rPr>
          <w:rFonts w:hint="eastAsia"/>
        </w:rPr>
        <w:t>对存在重大安全风险、重大能力缺陷或应急体系失效情形的，不得仅因总分较高而判定为较高等级。</w:t>
      </w:r>
    </w:p>
    <w:p w14:paraId="280F8561">
      <w:pPr>
        <w:pStyle w:val="168"/>
        <w:spacing w:line="360" w:lineRule="auto"/>
      </w:pPr>
      <w:r>
        <w:rPr>
          <w:rFonts w:hint="eastAsia"/>
        </w:rPr>
        <w:t>综合评分记录应经评价人员签字确认。</w:t>
      </w:r>
    </w:p>
    <w:p w14:paraId="54849EEB">
      <w:pPr>
        <w:pStyle w:val="168"/>
        <w:numPr>
          <w:ilvl w:val="0"/>
          <w:numId w:val="0"/>
        </w:numPr>
        <w:spacing w:line="360" w:lineRule="auto"/>
      </w:pPr>
    </w:p>
    <w:p w14:paraId="77A8D699">
      <w:pPr>
        <w:pStyle w:val="168"/>
        <w:numPr>
          <w:ilvl w:val="0"/>
          <w:numId w:val="0"/>
        </w:numPr>
        <w:spacing w:line="360" w:lineRule="auto"/>
        <w:rPr>
          <w:rFonts w:hint="eastAsia"/>
        </w:rPr>
      </w:pPr>
    </w:p>
    <w:p w14:paraId="29B1C53A">
      <w:pPr>
        <w:pStyle w:val="107"/>
        <w:spacing w:before="240" w:after="240" w:line="360" w:lineRule="auto"/>
      </w:pPr>
      <w:bookmarkStart w:id="55" w:name="_Toc228611820"/>
      <w:r>
        <w:rPr>
          <w:rFonts w:hint="eastAsia"/>
        </w:rPr>
        <w:t>评价程序</w:t>
      </w:r>
      <w:bookmarkEnd w:id="55"/>
    </w:p>
    <w:p w14:paraId="28AAD9B9">
      <w:pPr>
        <w:pStyle w:val="108"/>
        <w:spacing w:before="120" w:after="120" w:line="360" w:lineRule="auto"/>
      </w:pPr>
      <w:r>
        <w:rPr>
          <w:rFonts w:hint="eastAsia"/>
        </w:rPr>
        <w:t>一般要求</w:t>
      </w:r>
    </w:p>
    <w:p w14:paraId="75C3A85B">
      <w:pPr>
        <w:pStyle w:val="168"/>
        <w:spacing w:line="360" w:lineRule="auto"/>
      </w:pPr>
      <w:r>
        <w:rPr>
          <w:rFonts w:hint="eastAsia"/>
        </w:rPr>
        <w:t>特种设备应急处置能力评价程序应包括评价准备、评价实施、证据确认、评分判定、问题反馈、报告编制和整改验证。</w:t>
      </w:r>
    </w:p>
    <w:p w14:paraId="292A0043">
      <w:pPr>
        <w:pStyle w:val="168"/>
        <w:spacing w:line="360" w:lineRule="auto"/>
      </w:pPr>
      <w:r>
        <w:rPr>
          <w:rFonts w:hint="eastAsia"/>
        </w:rPr>
        <w:t>评价程序应保证评价过程规范、评价证据充分、评价结论客观、问题整改闭环。</w:t>
      </w:r>
    </w:p>
    <w:p w14:paraId="2928AD90">
      <w:pPr>
        <w:pStyle w:val="168"/>
        <w:spacing w:line="360" w:lineRule="auto"/>
      </w:pPr>
      <w:r>
        <w:rPr>
          <w:rFonts w:hint="eastAsia"/>
        </w:rPr>
        <w:t>第三方评价应形成评价计划，并应在评价前与被评价单位确认评价范围、评价时间和配合事项。</w:t>
      </w:r>
    </w:p>
    <w:p w14:paraId="7A026958">
      <w:pPr>
        <w:pStyle w:val="168"/>
        <w:spacing w:line="360" w:lineRule="auto"/>
      </w:pPr>
      <w:r>
        <w:rPr>
          <w:rFonts w:hint="eastAsia"/>
        </w:rPr>
        <w:t>监督检查评价可根据监管需要采用抽查、专项检查或突击检查方式实施。</w:t>
      </w:r>
    </w:p>
    <w:p w14:paraId="3ED5E51D">
      <w:pPr>
        <w:pStyle w:val="108"/>
        <w:spacing w:before="120" w:after="120" w:line="360" w:lineRule="auto"/>
      </w:pPr>
      <w:r>
        <w:rPr>
          <w:rFonts w:hint="eastAsia"/>
        </w:rPr>
        <w:t>评价准备</w:t>
      </w:r>
    </w:p>
    <w:p w14:paraId="1943C5FD">
      <w:pPr>
        <w:pStyle w:val="168"/>
        <w:spacing w:line="360" w:lineRule="auto"/>
      </w:pPr>
      <w:r>
        <w:rPr>
          <w:rFonts w:hint="eastAsia"/>
        </w:rPr>
        <w:t>评价前应明确评价目的、评价范围、设备类别、评价依据、评价方法、评价人员和评价日程。</w:t>
      </w:r>
    </w:p>
    <w:p w14:paraId="5B92A531">
      <w:pPr>
        <w:pStyle w:val="168"/>
        <w:spacing w:line="360" w:lineRule="auto"/>
      </w:pPr>
      <w:r>
        <w:rPr>
          <w:rFonts w:hint="eastAsia"/>
        </w:rPr>
        <w:t>评价前应收集被评价单位基本情况，包括单位名称、场所类型、设备台账、设备数量、风险等级、组织架构和历史事故险情情况。</w:t>
      </w:r>
    </w:p>
    <w:p w14:paraId="39A6B1DB">
      <w:pPr>
        <w:pStyle w:val="168"/>
        <w:spacing w:line="360" w:lineRule="auto"/>
      </w:pPr>
      <w:r>
        <w:rPr>
          <w:rFonts w:hint="eastAsia"/>
        </w:rPr>
        <w:t>评价前应识别重点评价设备和重点风险场景。</w:t>
      </w:r>
    </w:p>
    <w:p w14:paraId="2743FFFA">
      <w:pPr>
        <w:pStyle w:val="168"/>
        <w:spacing w:line="360" w:lineRule="auto"/>
      </w:pPr>
      <w:r>
        <w:rPr>
          <w:rFonts w:hint="eastAsia"/>
        </w:rPr>
        <w:t>评价前应编制评价检查表。检查表应与设备类别和风险场景相匹配。</w:t>
      </w:r>
    </w:p>
    <w:p w14:paraId="399232FF">
      <w:pPr>
        <w:pStyle w:val="168"/>
        <w:spacing w:line="360" w:lineRule="auto"/>
      </w:pPr>
      <w:r>
        <w:rPr>
          <w:rFonts w:hint="eastAsia"/>
        </w:rPr>
        <w:t>评价前应明确安全注意事项，不得安排可能危及现场安全的测试或演练。</w:t>
      </w:r>
    </w:p>
    <w:p w14:paraId="7DDC98BC">
      <w:pPr>
        <w:pStyle w:val="108"/>
        <w:spacing w:before="120" w:after="120" w:line="360" w:lineRule="auto"/>
      </w:pPr>
      <w:r>
        <w:rPr>
          <w:rFonts w:hint="eastAsia"/>
        </w:rPr>
        <w:t>首次会议</w:t>
      </w:r>
    </w:p>
    <w:p w14:paraId="2CEE49E7">
      <w:pPr>
        <w:pStyle w:val="168"/>
        <w:spacing w:line="360" w:lineRule="auto"/>
      </w:pPr>
      <w:r>
        <w:rPr>
          <w:rFonts w:hint="eastAsia"/>
        </w:rPr>
        <w:t>评价实施前宜召开首次会议。</w:t>
      </w:r>
    </w:p>
    <w:p w14:paraId="2E9EAC37">
      <w:pPr>
        <w:pStyle w:val="168"/>
        <w:spacing w:line="360" w:lineRule="auto"/>
      </w:pPr>
      <w:r>
        <w:rPr>
          <w:rFonts w:hint="eastAsia"/>
        </w:rPr>
        <w:t>首次会议应说明评价目的、评价范围、评价依据、评价方法、评价日程、配合要求和安全要求。</w:t>
      </w:r>
    </w:p>
    <w:p w14:paraId="22C8BF64">
      <w:pPr>
        <w:pStyle w:val="168"/>
        <w:spacing w:line="360" w:lineRule="auto"/>
      </w:pPr>
      <w:r>
        <w:rPr>
          <w:rFonts w:hint="eastAsia"/>
        </w:rPr>
        <w:t>被评价单位应指定联系人，并应提供资料审查、现场检查、人员询问和功能测试所需条件。</w:t>
      </w:r>
    </w:p>
    <w:p w14:paraId="1902B5E9">
      <w:pPr>
        <w:pStyle w:val="168"/>
        <w:spacing w:line="360" w:lineRule="auto"/>
      </w:pPr>
      <w:r>
        <w:rPr>
          <w:rFonts w:hint="eastAsia"/>
        </w:rPr>
        <w:t>首次会议应形成会议记录或签到记录。</w:t>
      </w:r>
    </w:p>
    <w:p w14:paraId="3DF43302">
      <w:pPr>
        <w:pStyle w:val="108"/>
        <w:spacing w:before="120" w:after="120" w:line="360" w:lineRule="auto"/>
      </w:pPr>
      <w:r>
        <w:rPr>
          <w:rFonts w:hint="eastAsia"/>
        </w:rPr>
        <w:t>现场评价</w:t>
      </w:r>
    </w:p>
    <w:p w14:paraId="5BF39C3D">
      <w:pPr>
        <w:pStyle w:val="168"/>
        <w:spacing w:line="360" w:lineRule="auto"/>
      </w:pPr>
      <w:r>
        <w:rPr>
          <w:rFonts w:hint="eastAsia"/>
        </w:rPr>
        <w:t>现场评价应按评价计划实施。</w:t>
      </w:r>
    </w:p>
    <w:p w14:paraId="2632738B">
      <w:pPr>
        <w:pStyle w:val="168"/>
        <w:spacing w:line="360" w:lineRule="auto"/>
      </w:pPr>
      <w:r>
        <w:rPr>
          <w:rFonts w:hint="eastAsia"/>
        </w:rPr>
        <w:t>评价人员应对资料、现场、人员、装备、系统、演练和记录进行核查。</w:t>
      </w:r>
    </w:p>
    <w:p w14:paraId="7EFDDDCD">
      <w:pPr>
        <w:pStyle w:val="168"/>
        <w:spacing w:line="360" w:lineRule="auto"/>
      </w:pPr>
      <w:r>
        <w:rPr>
          <w:rFonts w:hint="eastAsia"/>
        </w:rPr>
        <w:t>评价过程中发现事实不清或证据不足的，应补充核查。</w:t>
      </w:r>
    </w:p>
    <w:p w14:paraId="793379DB">
      <w:pPr>
        <w:pStyle w:val="168"/>
        <w:spacing w:line="360" w:lineRule="auto"/>
      </w:pPr>
      <w:r>
        <w:rPr>
          <w:rFonts w:hint="eastAsia"/>
        </w:rPr>
        <w:t>对可能立即危及安全的问题，应现场提出临时控制建议，并应在评价记录中注明。</w:t>
      </w:r>
    </w:p>
    <w:p w14:paraId="349A665E">
      <w:pPr>
        <w:pStyle w:val="168"/>
        <w:spacing w:line="360" w:lineRule="auto"/>
      </w:pPr>
      <w:r>
        <w:rPr>
          <w:rFonts w:hint="eastAsia"/>
        </w:rPr>
        <w:t>现场评价记录应真实、完整，不得事后无依据补充或修改。</w:t>
      </w:r>
    </w:p>
    <w:p w14:paraId="591FF785">
      <w:pPr>
        <w:pStyle w:val="108"/>
        <w:spacing w:before="120" w:after="120" w:line="360" w:lineRule="auto"/>
      </w:pPr>
      <w:r>
        <w:rPr>
          <w:rFonts w:hint="eastAsia"/>
        </w:rPr>
        <w:t>证据确认</w:t>
      </w:r>
    </w:p>
    <w:p w14:paraId="30EB7E06">
      <w:pPr>
        <w:pStyle w:val="168"/>
        <w:spacing w:line="360" w:lineRule="auto"/>
      </w:pPr>
      <w:r>
        <w:rPr>
          <w:rFonts w:hint="eastAsia"/>
        </w:rPr>
        <w:t>评价人员应对取得的评价证据进行整理和确认。</w:t>
      </w:r>
    </w:p>
    <w:p w14:paraId="3CCC49C7">
      <w:pPr>
        <w:pStyle w:val="168"/>
        <w:spacing w:line="360" w:lineRule="auto"/>
      </w:pPr>
      <w:r>
        <w:rPr>
          <w:rFonts w:hint="eastAsia"/>
        </w:rPr>
        <w:t>关键评价证据宜由被评价单位代表确认。被评价单位对证据存在异议的，应记录异议内容和补充说明。</w:t>
      </w:r>
    </w:p>
    <w:p w14:paraId="550E4F64">
      <w:pPr>
        <w:pStyle w:val="168"/>
        <w:spacing w:line="360" w:lineRule="auto"/>
      </w:pPr>
      <w:r>
        <w:rPr>
          <w:rFonts w:hint="eastAsia"/>
        </w:rPr>
        <w:t>评价证据应与评价指标对应。</w:t>
      </w:r>
    </w:p>
    <w:p w14:paraId="63403D3A">
      <w:pPr>
        <w:pStyle w:val="168"/>
        <w:spacing w:line="360" w:lineRule="auto"/>
      </w:pPr>
      <w:r>
        <w:rPr>
          <w:rFonts w:hint="eastAsia"/>
        </w:rPr>
        <w:t>不能证明评价结论的材料不得作为主要证据使用。</w:t>
      </w:r>
    </w:p>
    <w:p w14:paraId="0336D4F7">
      <w:pPr>
        <w:pStyle w:val="108"/>
        <w:spacing w:before="120" w:after="120" w:line="360" w:lineRule="auto"/>
      </w:pPr>
      <w:r>
        <w:rPr>
          <w:rFonts w:hint="eastAsia"/>
        </w:rPr>
        <w:t>评分与等级判定</w:t>
      </w:r>
    </w:p>
    <w:p w14:paraId="0A3D8DAA">
      <w:pPr>
        <w:pStyle w:val="168"/>
        <w:spacing w:line="360" w:lineRule="auto"/>
      </w:pPr>
      <w:r>
        <w:rPr>
          <w:rFonts w:hint="eastAsia"/>
        </w:rPr>
        <w:t>评价人员应根据评价指标和评分规则进行评分。</w:t>
      </w:r>
    </w:p>
    <w:p w14:paraId="514E1A9F">
      <w:pPr>
        <w:pStyle w:val="168"/>
        <w:spacing w:line="360" w:lineRule="auto"/>
      </w:pPr>
      <w:r>
        <w:rPr>
          <w:rFonts w:hint="eastAsia"/>
        </w:rPr>
        <w:t>评分应逐项记录符合情况、扣分原因、证据来源和评价人员意见。</w:t>
      </w:r>
    </w:p>
    <w:p w14:paraId="5240FF3B">
      <w:pPr>
        <w:pStyle w:val="168"/>
        <w:spacing w:line="360" w:lineRule="auto"/>
      </w:pPr>
      <w:r>
        <w:rPr>
          <w:rFonts w:hint="eastAsia"/>
        </w:rPr>
        <w:t>等级判定应同时考虑总分、关键项符合情况和重大问题情况。</w:t>
      </w:r>
    </w:p>
    <w:p w14:paraId="00106A7F">
      <w:pPr>
        <w:pStyle w:val="168"/>
        <w:spacing w:line="360" w:lineRule="auto"/>
      </w:pPr>
      <w:r>
        <w:rPr>
          <w:rFonts w:hint="eastAsia"/>
        </w:rPr>
        <w:t>评价组应对评分结果进行内部复核，保证评分尺度一致。</w:t>
      </w:r>
    </w:p>
    <w:p w14:paraId="6E0DF0A3">
      <w:pPr>
        <w:pStyle w:val="108"/>
        <w:spacing w:before="120" w:after="120" w:line="360" w:lineRule="auto"/>
      </w:pPr>
      <w:r>
        <w:rPr>
          <w:rFonts w:hint="eastAsia"/>
        </w:rPr>
        <w:t>末次会议</w:t>
      </w:r>
    </w:p>
    <w:p w14:paraId="443752FE">
      <w:pPr>
        <w:pStyle w:val="168"/>
        <w:spacing w:line="360" w:lineRule="auto"/>
      </w:pPr>
      <w:r>
        <w:rPr>
          <w:rFonts w:hint="eastAsia"/>
        </w:rPr>
        <w:t>评价结束后宜召开末次会议。</w:t>
      </w:r>
    </w:p>
    <w:p w14:paraId="21BE1D44">
      <w:pPr>
        <w:pStyle w:val="168"/>
        <w:spacing w:line="360" w:lineRule="auto"/>
      </w:pPr>
      <w:r>
        <w:rPr>
          <w:rFonts w:hint="eastAsia"/>
        </w:rPr>
        <w:t>末次会议应反馈评价初步结论、主要问题、风险提示和整改要求。</w:t>
      </w:r>
    </w:p>
    <w:p w14:paraId="5A2E72BA">
      <w:pPr>
        <w:pStyle w:val="168"/>
        <w:spacing w:line="360" w:lineRule="auto"/>
      </w:pPr>
      <w:r>
        <w:rPr>
          <w:rFonts w:hint="eastAsia"/>
        </w:rPr>
        <w:t>被评价单位对评价问题有异议的，应在末次会议中提出，并应提供相应证据。</w:t>
      </w:r>
    </w:p>
    <w:p w14:paraId="2E7D3C99">
      <w:pPr>
        <w:pStyle w:val="168"/>
        <w:spacing w:line="360" w:lineRule="auto"/>
      </w:pPr>
      <w:r>
        <w:rPr>
          <w:rFonts w:hint="eastAsia"/>
        </w:rPr>
        <w:t>末次会议应形成会议记录。</w:t>
      </w:r>
    </w:p>
    <w:p w14:paraId="7DDC63B5">
      <w:pPr>
        <w:pStyle w:val="108"/>
        <w:spacing w:before="120" w:after="120" w:line="360" w:lineRule="auto"/>
      </w:pPr>
      <w:r>
        <w:rPr>
          <w:rFonts w:hint="eastAsia"/>
        </w:rPr>
        <w:t>评价报告编制</w:t>
      </w:r>
    </w:p>
    <w:p w14:paraId="51FB2144">
      <w:pPr>
        <w:pStyle w:val="168"/>
        <w:spacing w:line="360" w:lineRule="auto"/>
      </w:pPr>
      <w:r>
        <w:rPr>
          <w:rFonts w:hint="eastAsia"/>
        </w:rPr>
        <w:t>评价报告应根据现场评价记录、评价证据、评分结果和等级判定结果编制。</w:t>
      </w:r>
    </w:p>
    <w:p w14:paraId="40FC62E3">
      <w:pPr>
        <w:pStyle w:val="168"/>
        <w:spacing w:line="360" w:lineRule="auto"/>
      </w:pPr>
      <w:r>
        <w:rPr>
          <w:rFonts w:hint="eastAsia"/>
        </w:rPr>
        <w:t>评价报告应内容完整、结论明确、依据充分、问题具体、整改要求可执行。</w:t>
      </w:r>
    </w:p>
    <w:p w14:paraId="66E40D89">
      <w:pPr>
        <w:pStyle w:val="168"/>
        <w:spacing w:line="360" w:lineRule="auto"/>
      </w:pPr>
      <w:r>
        <w:rPr>
          <w:rFonts w:hint="eastAsia"/>
        </w:rPr>
        <w:t>评价报告不得使用无证据支持的结论性表述。</w:t>
      </w:r>
    </w:p>
    <w:p w14:paraId="45853681">
      <w:pPr>
        <w:pStyle w:val="168"/>
        <w:spacing w:line="360" w:lineRule="auto"/>
      </w:pPr>
      <w:r>
        <w:rPr>
          <w:rFonts w:hint="eastAsia"/>
        </w:rPr>
        <w:t>评价报告经审核后方可正式出具。</w:t>
      </w:r>
    </w:p>
    <w:p w14:paraId="77F92657">
      <w:pPr>
        <w:pStyle w:val="108"/>
        <w:spacing w:before="120" w:after="120" w:line="360" w:lineRule="auto"/>
      </w:pPr>
      <w:r>
        <w:rPr>
          <w:rFonts w:hint="eastAsia"/>
        </w:rPr>
        <w:t>整改验证</w:t>
      </w:r>
    </w:p>
    <w:p w14:paraId="4D8D1E91">
      <w:pPr>
        <w:pStyle w:val="168"/>
        <w:spacing w:line="360" w:lineRule="auto"/>
      </w:pPr>
      <w:r>
        <w:rPr>
          <w:rFonts w:hint="eastAsia"/>
        </w:rPr>
        <w:t>被评价单位应根据评价报告制定整改计划。</w:t>
      </w:r>
    </w:p>
    <w:p w14:paraId="0C4A9AC2">
      <w:pPr>
        <w:pStyle w:val="168"/>
        <w:spacing w:line="360" w:lineRule="auto"/>
      </w:pPr>
      <w:r>
        <w:rPr>
          <w:rFonts w:hint="eastAsia"/>
        </w:rPr>
        <w:t>整改计划应明确问题描述、原因分析、整改措施、责任部门、责任人员、完成期限和验证方式。</w:t>
      </w:r>
    </w:p>
    <w:p w14:paraId="50141874">
      <w:pPr>
        <w:pStyle w:val="168"/>
        <w:spacing w:line="360" w:lineRule="auto"/>
      </w:pPr>
      <w:r>
        <w:rPr>
          <w:rFonts w:hint="eastAsia"/>
        </w:rPr>
        <w:t>整改完成后，应组织验证。涉及重大问题的，应进行现场复核。</w:t>
      </w:r>
    </w:p>
    <w:p w14:paraId="1193BD28">
      <w:pPr>
        <w:pStyle w:val="168"/>
        <w:spacing w:line="360" w:lineRule="auto"/>
      </w:pPr>
      <w:r>
        <w:rPr>
          <w:rFonts w:hint="eastAsia"/>
        </w:rPr>
        <w:t>整改验证结果应纳入评价档案。</w:t>
      </w:r>
    </w:p>
    <w:p w14:paraId="1C80EE3C">
      <w:pPr>
        <w:pStyle w:val="168"/>
        <w:spacing w:line="360" w:lineRule="auto"/>
      </w:pPr>
      <w:r>
        <w:rPr>
          <w:rFonts w:hint="eastAsia"/>
        </w:rPr>
        <w:t>未完成整改或整改无效的，应保持问题未关闭状态，并应持续跟踪。</w:t>
      </w:r>
    </w:p>
    <w:p w14:paraId="101A6C66">
      <w:pPr>
        <w:pStyle w:val="107"/>
        <w:spacing w:before="240" w:after="240" w:line="360" w:lineRule="auto"/>
      </w:pPr>
      <w:bookmarkStart w:id="56" w:name="_Toc228611821"/>
      <w:r>
        <w:rPr>
          <w:rFonts w:hint="eastAsia"/>
        </w:rPr>
        <w:t>评价等级判定</w:t>
      </w:r>
      <w:bookmarkEnd w:id="56"/>
    </w:p>
    <w:p w14:paraId="4DC4F360">
      <w:pPr>
        <w:pStyle w:val="108"/>
        <w:spacing w:before="120" w:after="120" w:line="360" w:lineRule="auto"/>
      </w:pPr>
      <w:r>
        <w:rPr>
          <w:rFonts w:hint="eastAsia"/>
        </w:rPr>
        <w:t>一般要求</w:t>
      </w:r>
    </w:p>
    <w:p w14:paraId="454EFA83">
      <w:pPr>
        <w:pStyle w:val="168"/>
        <w:spacing w:line="360" w:lineRule="auto"/>
      </w:pPr>
      <w:r>
        <w:rPr>
          <w:rFonts w:hint="eastAsia"/>
        </w:rPr>
        <w:t>特种设备应急处置能力评价结果应根据评价得分、关键项符合情况、重大问题情况和整改验证情况综合判定。</w:t>
      </w:r>
    </w:p>
    <w:p w14:paraId="06F14FF3">
      <w:pPr>
        <w:pStyle w:val="168"/>
        <w:spacing w:line="360" w:lineRule="auto"/>
      </w:pPr>
      <w:r>
        <w:rPr>
          <w:rFonts w:hint="eastAsia"/>
        </w:rPr>
        <w:t>评价等级应能够反映被评价单位应急处置能力水平，不得仅以资料完整程度作为等级判定依据。</w:t>
      </w:r>
    </w:p>
    <w:p w14:paraId="50813724">
      <w:pPr>
        <w:pStyle w:val="168"/>
        <w:spacing w:line="360" w:lineRule="auto"/>
      </w:pPr>
      <w:r>
        <w:rPr>
          <w:rFonts w:hint="eastAsia"/>
        </w:rPr>
        <w:t>评价等级判定应遵循客观、公正、可复核原则，判定依据应在评价报告中列明。</w:t>
      </w:r>
    </w:p>
    <w:p w14:paraId="4D9495B1">
      <w:pPr>
        <w:pStyle w:val="168"/>
        <w:spacing w:line="360" w:lineRule="auto"/>
      </w:pPr>
      <w:r>
        <w:rPr>
          <w:rFonts w:hint="eastAsia"/>
        </w:rPr>
        <w:t>评价过程中发现重大安全风险、应急体系失效、关键岗位无人履责或现场处置能力严重不足的，不得判定为较高等级。</w:t>
      </w:r>
    </w:p>
    <w:p w14:paraId="1A01B475">
      <w:pPr>
        <w:pStyle w:val="108"/>
        <w:spacing w:before="120" w:after="120" w:line="360" w:lineRule="auto"/>
      </w:pPr>
      <w:r>
        <w:rPr>
          <w:rFonts w:hint="eastAsia"/>
        </w:rPr>
        <w:t>等级划分</w:t>
      </w:r>
    </w:p>
    <w:p w14:paraId="6B1EB25F">
      <w:pPr>
        <w:pStyle w:val="168"/>
        <w:spacing w:line="360" w:lineRule="auto"/>
      </w:pPr>
      <w:r>
        <w:rPr>
          <w:rFonts w:hint="eastAsia"/>
        </w:rPr>
        <w:t>特种设备应急处置能力评价等级宜划分为四级：</w:t>
      </w:r>
    </w:p>
    <w:p w14:paraId="0E2032C5">
      <w:pPr>
        <w:pStyle w:val="59"/>
        <w:spacing w:line="360" w:lineRule="auto"/>
        <w:ind w:firstLine="420"/>
      </w:pPr>
      <w:r>
        <w:rPr>
          <w:rFonts w:hint="eastAsia"/>
        </w:rPr>
        <w:t>a) A级：能力良好；</w:t>
      </w:r>
    </w:p>
    <w:p w14:paraId="6917C2A3">
      <w:pPr>
        <w:pStyle w:val="59"/>
        <w:spacing w:line="360" w:lineRule="auto"/>
        <w:ind w:firstLine="420"/>
      </w:pPr>
      <w:r>
        <w:rPr>
          <w:rFonts w:hint="eastAsia"/>
        </w:rPr>
        <w:t>b) B级：能力基本满足要求；</w:t>
      </w:r>
    </w:p>
    <w:p w14:paraId="51C1E5AC">
      <w:pPr>
        <w:pStyle w:val="59"/>
        <w:spacing w:line="360" w:lineRule="auto"/>
        <w:ind w:firstLine="420"/>
      </w:pPr>
      <w:r>
        <w:rPr>
          <w:rFonts w:hint="eastAsia"/>
        </w:rPr>
        <w:t>c) C级：能力存在明显不足；</w:t>
      </w:r>
    </w:p>
    <w:p w14:paraId="66BC087C">
      <w:pPr>
        <w:pStyle w:val="59"/>
        <w:spacing w:line="360" w:lineRule="auto"/>
        <w:ind w:firstLine="420"/>
      </w:pPr>
      <w:r>
        <w:rPr>
          <w:rFonts w:hint="eastAsia"/>
        </w:rPr>
        <w:t>d) D级：能力不满足基本要求。</w:t>
      </w:r>
    </w:p>
    <w:p w14:paraId="17A28429">
      <w:pPr>
        <w:pStyle w:val="168"/>
        <w:spacing w:line="360" w:lineRule="auto"/>
      </w:pPr>
      <w:r>
        <w:rPr>
          <w:rFonts w:hint="eastAsia"/>
        </w:rPr>
        <w:t>A级应表示被评价单位应急组织健全、风险辨识充分、预案适用、人员熟练、装备可用、联动有效、演练真实、整改闭环，能够较好应对主要风险场景。</w:t>
      </w:r>
    </w:p>
    <w:p w14:paraId="43D78143">
      <w:pPr>
        <w:pStyle w:val="168"/>
        <w:spacing w:line="360" w:lineRule="auto"/>
      </w:pPr>
      <w:r>
        <w:rPr>
          <w:rFonts w:hint="eastAsia"/>
        </w:rPr>
        <w:t>B级应表示被评价单位具备基本应急处置能力，主要应急管理要求基本落实，但在部分细节、资源配置、记录完整性或演练验证方面存在一般不足。</w:t>
      </w:r>
    </w:p>
    <w:p w14:paraId="733E0F72">
      <w:pPr>
        <w:pStyle w:val="168"/>
        <w:spacing w:line="360" w:lineRule="auto"/>
      </w:pPr>
      <w:r>
        <w:rPr>
          <w:rFonts w:hint="eastAsia"/>
        </w:rPr>
        <w:t>C级应表示被评价单位应急处置能力存在明显短板，部分关键环节不能有效支撑主要风险场景处置，需要限期整改并复核。</w:t>
      </w:r>
    </w:p>
    <w:p w14:paraId="65F4F57F">
      <w:pPr>
        <w:pStyle w:val="168"/>
        <w:spacing w:line="360" w:lineRule="auto"/>
      </w:pPr>
      <w:r>
        <w:rPr>
          <w:rFonts w:hint="eastAsia"/>
        </w:rPr>
        <w:t>D级应表示被评价单位应急处置体系不健全或现场处置能力明显不足，不能满足特种设备突发事件基本应对要求。</w:t>
      </w:r>
    </w:p>
    <w:p w14:paraId="658FDDE4">
      <w:pPr>
        <w:pStyle w:val="108"/>
        <w:spacing w:before="120" w:after="120" w:line="360" w:lineRule="auto"/>
      </w:pPr>
      <w:r>
        <w:rPr>
          <w:rFonts w:hint="eastAsia"/>
        </w:rPr>
        <w:t>分值判定</w:t>
      </w:r>
    </w:p>
    <w:p w14:paraId="5051AF54">
      <w:pPr>
        <w:pStyle w:val="168"/>
        <w:spacing w:line="360" w:lineRule="auto"/>
      </w:pPr>
      <w:r>
        <w:rPr>
          <w:rFonts w:hint="eastAsia"/>
        </w:rPr>
        <w:t>采用百分制评价时，等级判定宜按下列规则执行：</w:t>
      </w:r>
    </w:p>
    <w:p w14:paraId="2BDCEE3F">
      <w:pPr>
        <w:pStyle w:val="59"/>
        <w:spacing w:line="360" w:lineRule="auto"/>
        <w:ind w:firstLine="420"/>
      </w:pPr>
      <w:r>
        <w:rPr>
          <w:rFonts w:hint="eastAsia"/>
        </w:rPr>
        <w:t>a) 得分不低于90分，且关键项无不符合的，可判定为A级；</w:t>
      </w:r>
    </w:p>
    <w:p w14:paraId="5C84D29B">
      <w:pPr>
        <w:pStyle w:val="59"/>
        <w:spacing w:line="360" w:lineRule="auto"/>
        <w:ind w:firstLine="420"/>
      </w:pPr>
      <w:r>
        <w:rPr>
          <w:rFonts w:hint="eastAsia"/>
        </w:rPr>
        <w:t>b) 得分不低于75分且低于90分，且关键项无严重不符合的，可判定为B级；</w:t>
      </w:r>
    </w:p>
    <w:p w14:paraId="37837AEC">
      <w:pPr>
        <w:pStyle w:val="59"/>
        <w:spacing w:line="360" w:lineRule="auto"/>
        <w:ind w:firstLine="420"/>
      </w:pPr>
      <w:r>
        <w:rPr>
          <w:rFonts w:hint="eastAsia"/>
        </w:rPr>
        <w:t>c) 得分不低于60分且低于75分，或关键项存在一般不符合但未造成应急体系失效的，可判定为C级；</w:t>
      </w:r>
    </w:p>
    <w:p w14:paraId="4D354B14">
      <w:pPr>
        <w:pStyle w:val="59"/>
        <w:spacing w:line="360" w:lineRule="auto"/>
        <w:ind w:firstLine="420"/>
      </w:pPr>
      <w:r>
        <w:rPr>
          <w:rFonts w:hint="eastAsia"/>
        </w:rPr>
        <w:t>d) 得分低于60分，或存在重大否决项的，应判定为D级。</w:t>
      </w:r>
    </w:p>
    <w:p w14:paraId="3861BCE9">
      <w:pPr>
        <w:pStyle w:val="168"/>
        <w:spacing w:line="360" w:lineRule="auto"/>
      </w:pPr>
      <w:r>
        <w:rPr>
          <w:rFonts w:hint="eastAsia"/>
        </w:rPr>
        <w:t>评价指标权重可根据设备类别、风险等级和评价目的进行调整，但应在评价前确定并保持一致。</w:t>
      </w:r>
    </w:p>
    <w:p w14:paraId="40AD52A7">
      <w:pPr>
        <w:pStyle w:val="168"/>
        <w:spacing w:line="360" w:lineRule="auto"/>
      </w:pPr>
      <w:r>
        <w:rPr>
          <w:rFonts w:hint="eastAsia"/>
        </w:rPr>
        <w:t>不同设备类别分别评价时，应分别形成分项得分和分项等级；需要形成综合等级的，应按风险权重综合判定。</w:t>
      </w:r>
    </w:p>
    <w:p w14:paraId="03DBC23A">
      <w:pPr>
        <w:pStyle w:val="168"/>
        <w:spacing w:line="360" w:lineRule="auto"/>
      </w:pPr>
      <w:r>
        <w:rPr>
          <w:rFonts w:hint="eastAsia"/>
        </w:rPr>
        <w:t>综合等级不得高于存在重大风险设备类别的分项等级。</w:t>
      </w:r>
    </w:p>
    <w:p w14:paraId="252AD403">
      <w:pPr>
        <w:pStyle w:val="108"/>
        <w:spacing w:before="120" w:after="120" w:line="360" w:lineRule="auto"/>
      </w:pPr>
      <w:r>
        <w:rPr>
          <w:rFonts w:hint="eastAsia"/>
        </w:rPr>
        <w:t>关键项判定</w:t>
      </w:r>
    </w:p>
    <w:p w14:paraId="5F5AE430">
      <w:pPr>
        <w:pStyle w:val="168"/>
        <w:spacing w:line="360" w:lineRule="auto"/>
      </w:pPr>
      <w:r>
        <w:rPr>
          <w:rFonts w:hint="eastAsia"/>
        </w:rPr>
        <w:t>下列项目宜作为关键项：</w:t>
      </w:r>
    </w:p>
    <w:p w14:paraId="7F847A88">
      <w:pPr>
        <w:pStyle w:val="59"/>
        <w:spacing w:line="360" w:lineRule="auto"/>
        <w:ind w:firstLine="420"/>
      </w:pPr>
      <w:r>
        <w:rPr>
          <w:rFonts w:hint="eastAsia"/>
        </w:rPr>
        <w:t>a) 应急组织和责任落实；</w:t>
      </w:r>
    </w:p>
    <w:p w14:paraId="5C110CD1">
      <w:pPr>
        <w:pStyle w:val="59"/>
        <w:spacing w:line="360" w:lineRule="auto"/>
        <w:ind w:firstLine="420"/>
      </w:pPr>
      <w:r>
        <w:rPr>
          <w:rFonts w:hint="eastAsia"/>
        </w:rPr>
        <w:t>b) 主要风险场景辨识；</w:t>
      </w:r>
    </w:p>
    <w:p w14:paraId="5D77091F">
      <w:pPr>
        <w:pStyle w:val="59"/>
        <w:spacing w:line="360" w:lineRule="auto"/>
        <w:ind w:firstLine="420"/>
      </w:pPr>
      <w:r>
        <w:rPr>
          <w:rFonts w:hint="eastAsia"/>
        </w:rPr>
        <w:t>c) 应急预案和现场处置方案；</w:t>
      </w:r>
    </w:p>
    <w:p w14:paraId="06BF6FD5">
      <w:pPr>
        <w:pStyle w:val="59"/>
        <w:spacing w:line="360" w:lineRule="auto"/>
        <w:ind w:firstLine="420"/>
      </w:pPr>
      <w:r>
        <w:rPr>
          <w:rFonts w:hint="eastAsia"/>
        </w:rPr>
        <w:t>d) 关键岗位人员培训和响应能力；</w:t>
      </w:r>
    </w:p>
    <w:p w14:paraId="0DF27AE5">
      <w:pPr>
        <w:pStyle w:val="59"/>
        <w:spacing w:line="360" w:lineRule="auto"/>
        <w:ind w:firstLine="420"/>
      </w:pPr>
      <w:r>
        <w:rPr>
          <w:rFonts w:hint="eastAsia"/>
        </w:rPr>
        <w:t>e) 应急报警、通讯和信息报告；</w:t>
      </w:r>
    </w:p>
    <w:p w14:paraId="74CD9E34">
      <w:pPr>
        <w:pStyle w:val="59"/>
        <w:spacing w:line="360" w:lineRule="auto"/>
        <w:ind w:firstLine="420"/>
      </w:pPr>
      <w:r>
        <w:rPr>
          <w:rFonts w:hint="eastAsia"/>
        </w:rPr>
        <w:t>f) 现场初期处置能力；</w:t>
      </w:r>
    </w:p>
    <w:p w14:paraId="69452097">
      <w:pPr>
        <w:pStyle w:val="59"/>
        <w:spacing w:line="360" w:lineRule="auto"/>
        <w:ind w:firstLine="420"/>
      </w:pPr>
      <w:r>
        <w:rPr>
          <w:rFonts w:hint="eastAsia"/>
        </w:rPr>
        <w:t>g) 高风险场景应急物资装备；</w:t>
      </w:r>
    </w:p>
    <w:p w14:paraId="4CF2BA7B">
      <w:pPr>
        <w:pStyle w:val="59"/>
        <w:spacing w:line="360" w:lineRule="auto"/>
        <w:ind w:firstLine="420"/>
      </w:pPr>
      <w:r>
        <w:rPr>
          <w:rFonts w:hint="eastAsia"/>
        </w:rPr>
        <w:t>h) 重点设备应急演练；</w:t>
      </w:r>
    </w:p>
    <w:p w14:paraId="7D1FC357">
      <w:pPr>
        <w:pStyle w:val="59"/>
        <w:spacing w:line="360" w:lineRule="auto"/>
        <w:ind w:firstLine="420"/>
      </w:pPr>
      <w:r>
        <w:rPr>
          <w:rFonts w:hint="eastAsia"/>
        </w:rPr>
        <w:t>i) 重大问题整改闭环。</w:t>
      </w:r>
    </w:p>
    <w:p w14:paraId="7F8D8EFB">
      <w:pPr>
        <w:pStyle w:val="168"/>
        <w:spacing w:line="360" w:lineRule="auto"/>
      </w:pPr>
      <w:r>
        <w:rPr>
          <w:rFonts w:hint="eastAsia"/>
        </w:rPr>
        <w:t>关键项不符合时，应限制评价等级。关键项存在严重不符合的，评价等级不得判定为A级或B级。</w:t>
      </w:r>
    </w:p>
    <w:p w14:paraId="1688742A">
      <w:pPr>
        <w:pStyle w:val="168"/>
        <w:spacing w:line="360" w:lineRule="auto"/>
      </w:pPr>
      <w:r>
        <w:rPr>
          <w:rFonts w:hint="eastAsia"/>
        </w:rPr>
        <w:t>关键项缺少评价证据且无法通过现场验证证明有效的，应按不符合处理。</w:t>
      </w:r>
    </w:p>
    <w:p w14:paraId="3FD4BD96">
      <w:pPr>
        <w:pStyle w:val="108"/>
        <w:spacing w:before="120" w:after="120" w:line="360" w:lineRule="auto"/>
      </w:pPr>
      <w:r>
        <w:rPr>
          <w:rFonts w:hint="eastAsia"/>
        </w:rPr>
        <w:t>否决项</w:t>
      </w:r>
    </w:p>
    <w:p w14:paraId="6665B2A2">
      <w:pPr>
        <w:pStyle w:val="168"/>
        <w:spacing w:line="360" w:lineRule="auto"/>
      </w:pPr>
      <w:r>
        <w:rPr>
          <w:rFonts w:hint="eastAsia"/>
        </w:rPr>
        <w:t>出现下列情形之一的，应直接判定为D级：</w:t>
      </w:r>
    </w:p>
    <w:p w14:paraId="47DC7DF7">
      <w:pPr>
        <w:pStyle w:val="59"/>
        <w:spacing w:line="360" w:lineRule="auto"/>
        <w:ind w:firstLine="420"/>
      </w:pPr>
      <w:r>
        <w:rPr>
          <w:rFonts w:hint="eastAsia"/>
        </w:rPr>
        <w:t>a) 未建立特种设备应急组织体系，且现场无法说明应急职责；</w:t>
      </w:r>
    </w:p>
    <w:p w14:paraId="5B49D724">
      <w:pPr>
        <w:pStyle w:val="59"/>
        <w:spacing w:line="360" w:lineRule="auto"/>
        <w:ind w:firstLine="420"/>
      </w:pPr>
      <w:r>
        <w:rPr>
          <w:rFonts w:hint="eastAsia"/>
        </w:rPr>
        <w:t>b) 无适用的特种设备应急预案或现场处置方案；</w:t>
      </w:r>
    </w:p>
    <w:p w14:paraId="3FF2DB75">
      <w:pPr>
        <w:pStyle w:val="59"/>
        <w:spacing w:line="360" w:lineRule="auto"/>
        <w:ind w:firstLine="420"/>
      </w:pPr>
      <w:r>
        <w:rPr>
          <w:rFonts w:hint="eastAsia"/>
        </w:rPr>
        <w:t>c) 主要特种设备风险场景未识别，导致现场人员无法开展基本处置；</w:t>
      </w:r>
    </w:p>
    <w:p w14:paraId="5D20D93E">
      <w:pPr>
        <w:pStyle w:val="59"/>
        <w:spacing w:line="360" w:lineRule="auto"/>
        <w:ind w:firstLine="420"/>
      </w:pPr>
      <w:r>
        <w:rPr>
          <w:rFonts w:hint="eastAsia"/>
        </w:rPr>
        <w:t>d) 关键岗位人员不知道报警、报告、停机、疏散或初期处置基本要求；</w:t>
      </w:r>
    </w:p>
    <w:p w14:paraId="061201B2">
      <w:pPr>
        <w:pStyle w:val="59"/>
        <w:spacing w:line="360" w:lineRule="auto"/>
        <w:ind w:firstLine="420"/>
      </w:pPr>
      <w:r>
        <w:rPr>
          <w:rFonts w:hint="eastAsia"/>
        </w:rPr>
        <w:t>e) 应急通讯、报警或救援联络长期失效且未采取替代措施；</w:t>
      </w:r>
    </w:p>
    <w:p w14:paraId="1F6B9526">
      <w:pPr>
        <w:pStyle w:val="59"/>
        <w:spacing w:line="360" w:lineRule="auto"/>
        <w:ind w:firstLine="420"/>
      </w:pPr>
      <w:r>
        <w:rPr>
          <w:rFonts w:hint="eastAsia"/>
        </w:rPr>
        <w:t>f) 高风险设备无必要应急物资装备或装备不可用；</w:t>
      </w:r>
    </w:p>
    <w:p w14:paraId="7045BDED">
      <w:pPr>
        <w:pStyle w:val="59"/>
        <w:spacing w:line="360" w:lineRule="auto"/>
        <w:ind w:firstLine="420"/>
      </w:pPr>
      <w:r>
        <w:rPr>
          <w:rFonts w:hint="eastAsia"/>
        </w:rPr>
        <w:t>g) 评价中发现重大安全隐患且被评价单位拒不采取临时控制措施；</w:t>
      </w:r>
    </w:p>
    <w:p w14:paraId="563BAD7A">
      <w:pPr>
        <w:pStyle w:val="59"/>
        <w:spacing w:line="360" w:lineRule="auto"/>
        <w:ind w:firstLine="420"/>
      </w:pPr>
      <w:r>
        <w:rPr>
          <w:rFonts w:hint="eastAsia"/>
        </w:rPr>
        <w:t>h) 伪造应急演练、培训、处置、维保或整改记录；</w:t>
      </w:r>
    </w:p>
    <w:p w14:paraId="6BE53B59">
      <w:pPr>
        <w:pStyle w:val="59"/>
        <w:spacing w:line="360" w:lineRule="auto"/>
        <w:ind w:firstLine="420"/>
      </w:pPr>
      <w:r>
        <w:rPr>
          <w:rFonts w:hint="eastAsia"/>
        </w:rPr>
        <w:t>i) 发生事故、险情或困人事件后存在故意隐瞒、迟报、漏报且未整改；</w:t>
      </w:r>
    </w:p>
    <w:p w14:paraId="5223EB6B">
      <w:pPr>
        <w:pStyle w:val="59"/>
        <w:spacing w:line="360" w:lineRule="auto"/>
        <w:ind w:firstLine="420"/>
      </w:pPr>
      <w:r>
        <w:rPr>
          <w:rFonts w:hint="eastAsia"/>
        </w:rPr>
        <w:t>j) 现场处置行为明显违反安全要求，可能造成事故扩大或人员伤害。</w:t>
      </w:r>
    </w:p>
    <w:p w14:paraId="18153B93">
      <w:pPr>
        <w:pStyle w:val="168"/>
        <w:spacing w:line="360" w:lineRule="auto"/>
      </w:pPr>
      <w:r>
        <w:rPr>
          <w:rFonts w:hint="eastAsia"/>
        </w:rPr>
        <w:t>否决项应在评价报告中单独列明，并应说明事实依据和风险影响。</w:t>
      </w:r>
    </w:p>
    <w:p w14:paraId="38DECBB2">
      <w:pPr>
        <w:pStyle w:val="108"/>
        <w:spacing w:before="120" w:after="120" w:line="360" w:lineRule="auto"/>
      </w:pPr>
      <w:r>
        <w:rPr>
          <w:rFonts w:hint="eastAsia"/>
        </w:rPr>
        <w:t>等级调整</w:t>
      </w:r>
    </w:p>
    <w:p w14:paraId="6CA274B7">
      <w:pPr>
        <w:pStyle w:val="168"/>
        <w:spacing w:line="360" w:lineRule="auto"/>
      </w:pPr>
      <w:r>
        <w:rPr>
          <w:rFonts w:hint="eastAsia"/>
        </w:rPr>
        <w:t>被评价单位完成整改并经验证有效后，可根据整改验证结果调整评价等级。</w:t>
      </w:r>
    </w:p>
    <w:p w14:paraId="3D29BCB0">
      <w:pPr>
        <w:pStyle w:val="168"/>
        <w:spacing w:line="360" w:lineRule="auto"/>
      </w:pPr>
      <w:r>
        <w:rPr>
          <w:rFonts w:hint="eastAsia"/>
        </w:rPr>
        <w:t>仅提交书面整改说明，未提供现场验证、功能测试、演练记录或其他有效证据的，不得调整等级。</w:t>
      </w:r>
    </w:p>
    <w:p w14:paraId="63C75C98">
      <w:pPr>
        <w:pStyle w:val="168"/>
        <w:spacing w:line="360" w:lineRule="auto"/>
      </w:pPr>
      <w:r>
        <w:rPr>
          <w:rFonts w:hint="eastAsia"/>
        </w:rPr>
        <w:t>整改后仍存在关键项不符合或否决项未消除的，不得提升等级。</w:t>
      </w:r>
    </w:p>
    <w:p w14:paraId="6D39D485">
      <w:pPr>
        <w:pStyle w:val="168"/>
        <w:spacing w:line="360" w:lineRule="auto"/>
      </w:pPr>
      <w:r>
        <w:rPr>
          <w:rFonts w:hint="eastAsia"/>
        </w:rPr>
        <w:t>等级调整应形成补充评价记录或整改验证报告。</w:t>
      </w:r>
    </w:p>
    <w:p w14:paraId="391C5896">
      <w:pPr>
        <w:pStyle w:val="168"/>
        <w:numPr>
          <w:ilvl w:val="0"/>
          <w:numId w:val="0"/>
        </w:numPr>
        <w:spacing w:line="360" w:lineRule="auto"/>
      </w:pPr>
    </w:p>
    <w:p w14:paraId="51EDB5B0">
      <w:pPr>
        <w:pStyle w:val="168"/>
        <w:numPr>
          <w:ilvl w:val="0"/>
          <w:numId w:val="0"/>
        </w:numPr>
        <w:spacing w:line="360" w:lineRule="auto"/>
      </w:pPr>
    </w:p>
    <w:p w14:paraId="672AAE1B">
      <w:pPr>
        <w:pStyle w:val="168"/>
        <w:numPr>
          <w:ilvl w:val="0"/>
          <w:numId w:val="0"/>
        </w:numPr>
        <w:spacing w:line="360" w:lineRule="auto"/>
        <w:rPr>
          <w:rFonts w:hint="eastAsia"/>
        </w:rPr>
      </w:pPr>
    </w:p>
    <w:p w14:paraId="1599E793">
      <w:pPr>
        <w:pStyle w:val="107"/>
        <w:spacing w:before="240" w:after="240" w:line="360" w:lineRule="auto"/>
      </w:pPr>
      <w:bookmarkStart w:id="57" w:name="_Toc228611822"/>
      <w:r>
        <w:rPr>
          <w:rFonts w:hint="eastAsia"/>
        </w:rPr>
        <w:t>问题整改与验证</w:t>
      </w:r>
      <w:bookmarkEnd w:id="57"/>
    </w:p>
    <w:p w14:paraId="79A166B3">
      <w:pPr>
        <w:pStyle w:val="108"/>
        <w:spacing w:before="120" w:after="120" w:line="360" w:lineRule="auto"/>
      </w:pPr>
      <w:r>
        <w:rPr>
          <w:rFonts w:hint="eastAsia"/>
        </w:rPr>
        <w:t>一般要求</w:t>
      </w:r>
    </w:p>
    <w:p w14:paraId="20516F5D">
      <w:pPr>
        <w:pStyle w:val="168"/>
        <w:spacing w:line="360" w:lineRule="auto"/>
      </w:pPr>
      <w:r>
        <w:rPr>
          <w:rFonts w:hint="eastAsia"/>
        </w:rPr>
        <w:t>被评价单位应对评价发现的问题实施整改，整改应做到原因清楚、措施明确、责任落实、期限确定、验证有效。</w:t>
      </w:r>
    </w:p>
    <w:p w14:paraId="3951C912">
      <w:pPr>
        <w:pStyle w:val="168"/>
        <w:spacing w:line="360" w:lineRule="auto"/>
      </w:pPr>
      <w:r>
        <w:rPr>
          <w:rFonts w:hint="eastAsia"/>
        </w:rPr>
        <w:t>评价发现的问题应按照风险程度分为重大问题、较大问题和一般问题。</w:t>
      </w:r>
    </w:p>
    <w:p w14:paraId="17AC4D58">
      <w:pPr>
        <w:pStyle w:val="168"/>
        <w:spacing w:line="360" w:lineRule="auto"/>
      </w:pPr>
      <w:r>
        <w:rPr>
          <w:rFonts w:hint="eastAsia"/>
        </w:rPr>
        <w:t>整改工作不得仅以补充资料、补签记录或口头承诺替代实际能力提升。</w:t>
      </w:r>
    </w:p>
    <w:p w14:paraId="0C38B1FB">
      <w:pPr>
        <w:pStyle w:val="168"/>
        <w:spacing w:line="360" w:lineRule="auto"/>
      </w:pPr>
      <w:r>
        <w:rPr>
          <w:rFonts w:hint="eastAsia"/>
        </w:rPr>
        <w:t>对涉及现场安全、人员救援、报警通讯、重大风险场景和关键设备的问题，应优先整改。</w:t>
      </w:r>
    </w:p>
    <w:p w14:paraId="794BCDBB">
      <w:pPr>
        <w:pStyle w:val="168"/>
        <w:spacing w:line="360" w:lineRule="auto"/>
      </w:pPr>
      <w:r>
        <w:rPr>
          <w:rFonts w:hint="eastAsia"/>
        </w:rPr>
        <w:t>整改完成后应开展验证。未经验证确认的问题不得关闭。</w:t>
      </w:r>
    </w:p>
    <w:p w14:paraId="367DAAAB">
      <w:pPr>
        <w:pStyle w:val="108"/>
        <w:spacing w:before="120" w:after="120" w:line="360" w:lineRule="auto"/>
      </w:pPr>
      <w:r>
        <w:rPr>
          <w:rFonts w:hint="eastAsia"/>
        </w:rPr>
        <w:t>问题分级</w:t>
      </w:r>
    </w:p>
    <w:p w14:paraId="128AA6D6">
      <w:pPr>
        <w:pStyle w:val="168"/>
        <w:spacing w:line="360" w:lineRule="auto"/>
      </w:pPr>
      <w:r>
        <w:rPr>
          <w:rFonts w:hint="eastAsia"/>
        </w:rPr>
        <w:t>重大问题包括下列情形：</w:t>
      </w:r>
    </w:p>
    <w:p w14:paraId="66B0499D">
      <w:pPr>
        <w:pStyle w:val="59"/>
        <w:spacing w:line="360" w:lineRule="auto"/>
        <w:ind w:firstLine="420"/>
      </w:pPr>
      <w:r>
        <w:rPr>
          <w:rFonts w:hint="eastAsia"/>
        </w:rPr>
        <w:t>a) 可能导致应急响应失败的组织缺陷；</w:t>
      </w:r>
    </w:p>
    <w:p w14:paraId="1FFB5A1C">
      <w:pPr>
        <w:pStyle w:val="59"/>
        <w:spacing w:line="360" w:lineRule="auto"/>
        <w:ind w:firstLine="420"/>
      </w:pPr>
      <w:r>
        <w:rPr>
          <w:rFonts w:hint="eastAsia"/>
        </w:rPr>
        <w:t>b) 可能导致事故扩大的现场处置缺陷；</w:t>
      </w:r>
    </w:p>
    <w:p w14:paraId="4B0913D0">
      <w:pPr>
        <w:pStyle w:val="59"/>
        <w:spacing w:line="360" w:lineRule="auto"/>
        <w:ind w:firstLine="420"/>
      </w:pPr>
      <w:r>
        <w:rPr>
          <w:rFonts w:hint="eastAsia"/>
        </w:rPr>
        <w:t>c) 可能导致人员伤亡的救援条件缺陷；</w:t>
      </w:r>
    </w:p>
    <w:p w14:paraId="4FEA5B77">
      <w:pPr>
        <w:pStyle w:val="59"/>
        <w:spacing w:line="360" w:lineRule="auto"/>
        <w:ind w:firstLine="420"/>
      </w:pPr>
      <w:r>
        <w:rPr>
          <w:rFonts w:hint="eastAsia"/>
        </w:rPr>
        <w:t>d) 主要风险场景无处置方案；</w:t>
      </w:r>
    </w:p>
    <w:p w14:paraId="2CB5C655">
      <w:pPr>
        <w:pStyle w:val="59"/>
        <w:spacing w:line="360" w:lineRule="auto"/>
        <w:ind w:firstLine="420"/>
      </w:pPr>
      <w:r>
        <w:rPr>
          <w:rFonts w:hint="eastAsia"/>
        </w:rPr>
        <w:t>e) 应急通讯或报警系统失效；</w:t>
      </w:r>
    </w:p>
    <w:p w14:paraId="46456809">
      <w:pPr>
        <w:pStyle w:val="59"/>
        <w:spacing w:line="360" w:lineRule="auto"/>
        <w:ind w:firstLine="420"/>
      </w:pPr>
      <w:r>
        <w:rPr>
          <w:rFonts w:hint="eastAsia"/>
        </w:rPr>
        <w:t>f) 高风险设备无必要应急资源；</w:t>
      </w:r>
    </w:p>
    <w:p w14:paraId="0C5FFADE">
      <w:pPr>
        <w:pStyle w:val="59"/>
        <w:spacing w:line="360" w:lineRule="auto"/>
        <w:ind w:firstLine="420"/>
      </w:pPr>
      <w:r>
        <w:rPr>
          <w:rFonts w:hint="eastAsia"/>
        </w:rPr>
        <w:t>g) 否决项所列情形。</w:t>
      </w:r>
    </w:p>
    <w:p w14:paraId="647C9693">
      <w:pPr>
        <w:pStyle w:val="168"/>
        <w:spacing w:line="360" w:lineRule="auto"/>
      </w:pPr>
      <w:r>
        <w:rPr>
          <w:rFonts w:hint="eastAsia"/>
        </w:rPr>
        <w:t>较大问题包括下列情形：</w:t>
      </w:r>
    </w:p>
    <w:p w14:paraId="7094C9B9">
      <w:pPr>
        <w:pStyle w:val="59"/>
        <w:spacing w:line="360" w:lineRule="auto"/>
        <w:ind w:firstLine="420"/>
      </w:pPr>
      <w:r>
        <w:rPr>
          <w:rFonts w:hint="eastAsia"/>
        </w:rPr>
        <w:t>a) 应急职责部分不清；</w:t>
      </w:r>
    </w:p>
    <w:p w14:paraId="397A898C">
      <w:pPr>
        <w:pStyle w:val="59"/>
        <w:spacing w:line="360" w:lineRule="auto"/>
        <w:ind w:firstLine="420"/>
      </w:pPr>
      <w:r>
        <w:rPr>
          <w:rFonts w:hint="eastAsia"/>
        </w:rPr>
        <w:t>b) 现场处置方案不完整；</w:t>
      </w:r>
    </w:p>
    <w:p w14:paraId="48D475C3">
      <w:pPr>
        <w:pStyle w:val="59"/>
        <w:spacing w:line="360" w:lineRule="auto"/>
        <w:ind w:firstLine="420"/>
      </w:pPr>
      <w:r>
        <w:rPr>
          <w:rFonts w:hint="eastAsia"/>
        </w:rPr>
        <w:t>c) 培训考核覆盖不足；</w:t>
      </w:r>
    </w:p>
    <w:p w14:paraId="0E041819">
      <w:pPr>
        <w:pStyle w:val="59"/>
        <w:spacing w:line="360" w:lineRule="auto"/>
        <w:ind w:firstLine="420"/>
      </w:pPr>
      <w:r>
        <w:rPr>
          <w:rFonts w:hint="eastAsia"/>
        </w:rPr>
        <w:t>d) 物资装备检查维护不到位；</w:t>
      </w:r>
    </w:p>
    <w:p w14:paraId="5323FD05">
      <w:pPr>
        <w:pStyle w:val="59"/>
        <w:spacing w:line="360" w:lineRule="auto"/>
        <w:ind w:firstLine="420"/>
      </w:pPr>
      <w:r>
        <w:rPr>
          <w:rFonts w:hint="eastAsia"/>
        </w:rPr>
        <w:t>e) 演练与主要风险场景不匹配；</w:t>
      </w:r>
    </w:p>
    <w:p w14:paraId="133871C7">
      <w:pPr>
        <w:pStyle w:val="59"/>
        <w:spacing w:line="360" w:lineRule="auto"/>
        <w:ind w:firstLine="420"/>
      </w:pPr>
      <w:r>
        <w:rPr>
          <w:rFonts w:hint="eastAsia"/>
        </w:rPr>
        <w:t>f) 记录不完整但能够补充证明部分能力；</w:t>
      </w:r>
    </w:p>
    <w:p w14:paraId="5EDB55EA">
      <w:pPr>
        <w:pStyle w:val="59"/>
        <w:spacing w:line="360" w:lineRule="auto"/>
        <w:ind w:firstLine="420"/>
      </w:pPr>
      <w:r>
        <w:rPr>
          <w:rFonts w:hint="eastAsia"/>
        </w:rPr>
        <w:t>g) 协同联动机制未经有效验证。</w:t>
      </w:r>
    </w:p>
    <w:p w14:paraId="6B4DD53E">
      <w:pPr>
        <w:pStyle w:val="168"/>
        <w:spacing w:line="360" w:lineRule="auto"/>
      </w:pPr>
      <w:r>
        <w:rPr>
          <w:rFonts w:hint="eastAsia"/>
        </w:rPr>
        <w:t>一般问题包括下列情形：</w:t>
      </w:r>
    </w:p>
    <w:p w14:paraId="614D5F51">
      <w:pPr>
        <w:pStyle w:val="59"/>
        <w:spacing w:line="360" w:lineRule="auto"/>
        <w:ind w:firstLine="420"/>
      </w:pPr>
      <w:r>
        <w:rPr>
          <w:rFonts w:hint="eastAsia"/>
        </w:rPr>
        <w:t>a) 个别记录填写不规范；</w:t>
      </w:r>
    </w:p>
    <w:p w14:paraId="123BF89B">
      <w:pPr>
        <w:pStyle w:val="59"/>
        <w:spacing w:line="360" w:lineRule="auto"/>
        <w:ind w:firstLine="420"/>
      </w:pPr>
      <w:r>
        <w:rPr>
          <w:rFonts w:hint="eastAsia"/>
        </w:rPr>
        <w:t>b) 个别联络信息更新不及时但未影响联络有效性；</w:t>
      </w:r>
    </w:p>
    <w:p w14:paraId="6D42EE4A">
      <w:pPr>
        <w:pStyle w:val="59"/>
        <w:spacing w:line="360" w:lineRule="auto"/>
        <w:ind w:firstLine="420"/>
      </w:pPr>
      <w:r>
        <w:rPr>
          <w:rFonts w:hint="eastAsia"/>
        </w:rPr>
        <w:t>c) 现场标识不够清晰；</w:t>
      </w:r>
    </w:p>
    <w:p w14:paraId="4AC55F04">
      <w:pPr>
        <w:pStyle w:val="59"/>
        <w:spacing w:line="360" w:lineRule="auto"/>
        <w:ind w:firstLine="420"/>
      </w:pPr>
      <w:r>
        <w:rPr>
          <w:rFonts w:hint="eastAsia"/>
        </w:rPr>
        <w:t>d) 个别物资台账信息不完整；</w:t>
      </w:r>
    </w:p>
    <w:p w14:paraId="3B6989F2">
      <w:pPr>
        <w:pStyle w:val="59"/>
        <w:spacing w:line="360" w:lineRule="auto"/>
        <w:ind w:firstLine="420"/>
      </w:pPr>
      <w:r>
        <w:rPr>
          <w:rFonts w:hint="eastAsia"/>
        </w:rPr>
        <w:t>e) 演练总结分析不够充分；</w:t>
      </w:r>
    </w:p>
    <w:p w14:paraId="0A8AD7BB">
      <w:pPr>
        <w:pStyle w:val="59"/>
        <w:spacing w:line="360" w:lineRule="auto"/>
        <w:ind w:firstLine="420"/>
      </w:pPr>
      <w:r>
        <w:rPr>
          <w:rFonts w:hint="eastAsia"/>
        </w:rPr>
        <w:t>f) 其他未直接影响基本处置能力的问题。</w:t>
      </w:r>
    </w:p>
    <w:p w14:paraId="381B0F4A">
      <w:pPr>
        <w:pStyle w:val="108"/>
        <w:spacing w:before="120" w:after="120" w:line="360" w:lineRule="auto"/>
      </w:pPr>
      <w:r>
        <w:rPr>
          <w:rFonts w:hint="eastAsia"/>
        </w:rPr>
        <w:t>整改计划</w:t>
      </w:r>
    </w:p>
    <w:p w14:paraId="34D00FCA">
      <w:pPr>
        <w:pStyle w:val="168"/>
        <w:spacing w:line="360" w:lineRule="auto"/>
      </w:pPr>
      <w:r>
        <w:rPr>
          <w:rFonts w:hint="eastAsia"/>
        </w:rPr>
        <w:t>被评价单位应根据问题清单制定整改计划。</w:t>
      </w:r>
    </w:p>
    <w:p w14:paraId="247D89BC">
      <w:pPr>
        <w:pStyle w:val="168"/>
        <w:spacing w:line="360" w:lineRule="auto"/>
      </w:pPr>
      <w:r>
        <w:rPr>
          <w:rFonts w:hint="eastAsia"/>
        </w:rPr>
        <w:t>整改计划应包括问题编号、问题描述、风险等级、原因分析、整改措施、责任部门、责任人员、完成期限和验证方式。</w:t>
      </w:r>
    </w:p>
    <w:p w14:paraId="1949D9B5">
      <w:pPr>
        <w:pStyle w:val="168"/>
        <w:spacing w:line="360" w:lineRule="auto"/>
      </w:pPr>
      <w:r>
        <w:rPr>
          <w:rFonts w:hint="eastAsia"/>
        </w:rPr>
        <w:t>重大问题应立即采取临时控制措施，并应制定专项整改方案。</w:t>
      </w:r>
    </w:p>
    <w:p w14:paraId="2B1519D4">
      <w:pPr>
        <w:pStyle w:val="168"/>
        <w:spacing w:line="360" w:lineRule="auto"/>
      </w:pPr>
      <w:r>
        <w:rPr>
          <w:rFonts w:hint="eastAsia"/>
        </w:rPr>
        <w:t>较大问题应限期整改，并应明确过程跟踪要求。</w:t>
      </w:r>
    </w:p>
    <w:p w14:paraId="25DD0141">
      <w:pPr>
        <w:pStyle w:val="168"/>
        <w:spacing w:line="360" w:lineRule="auto"/>
      </w:pPr>
      <w:r>
        <w:rPr>
          <w:rFonts w:hint="eastAsia"/>
        </w:rPr>
        <w:t>一般问题应纳入日常改进，并应在规定期限内完成整改。</w:t>
      </w:r>
    </w:p>
    <w:p w14:paraId="6AE112C8">
      <w:pPr>
        <w:pStyle w:val="168"/>
        <w:spacing w:line="360" w:lineRule="auto"/>
      </w:pPr>
      <w:r>
        <w:rPr>
          <w:rFonts w:hint="eastAsia"/>
        </w:rPr>
        <w:t>整改计划应经被评价单位负责人或授权负责人确认。</w:t>
      </w:r>
    </w:p>
    <w:p w14:paraId="5D72C57A">
      <w:pPr>
        <w:pStyle w:val="108"/>
        <w:spacing w:before="120" w:after="120" w:line="360" w:lineRule="auto"/>
      </w:pPr>
      <w:r>
        <w:rPr>
          <w:rFonts w:hint="eastAsia"/>
        </w:rPr>
        <w:t>整改实施</w:t>
      </w:r>
    </w:p>
    <w:p w14:paraId="2DDBB0F3">
      <w:pPr>
        <w:pStyle w:val="168"/>
        <w:spacing w:line="360" w:lineRule="auto"/>
      </w:pPr>
      <w:r>
        <w:rPr>
          <w:rFonts w:hint="eastAsia"/>
        </w:rPr>
        <w:t>整改措施应与问题原因相对应，不得仅对表面现象进行处理。</w:t>
      </w:r>
    </w:p>
    <w:p w14:paraId="4E11D95B">
      <w:pPr>
        <w:pStyle w:val="168"/>
        <w:spacing w:line="360" w:lineRule="auto"/>
      </w:pPr>
      <w:r>
        <w:rPr>
          <w:rFonts w:hint="eastAsia"/>
        </w:rPr>
        <w:t>涉及预案不适用的，应修订应急预案、现场处置方案或现场处置卡。</w:t>
      </w:r>
    </w:p>
    <w:p w14:paraId="423818AF">
      <w:pPr>
        <w:pStyle w:val="168"/>
        <w:spacing w:line="360" w:lineRule="auto"/>
      </w:pPr>
      <w:r>
        <w:rPr>
          <w:rFonts w:hint="eastAsia"/>
        </w:rPr>
        <w:t>涉及人员能力不足的，应开展针对性培训、考核和岗位能力确认。</w:t>
      </w:r>
    </w:p>
    <w:p w14:paraId="150E913E">
      <w:pPr>
        <w:pStyle w:val="168"/>
        <w:spacing w:line="360" w:lineRule="auto"/>
      </w:pPr>
      <w:r>
        <w:rPr>
          <w:rFonts w:hint="eastAsia"/>
        </w:rPr>
        <w:t>涉及物资装备不足的，应补充、维修、更换或重新配置应急物资装备。</w:t>
      </w:r>
    </w:p>
    <w:p w14:paraId="30689795">
      <w:pPr>
        <w:pStyle w:val="168"/>
        <w:spacing w:line="360" w:lineRule="auto"/>
      </w:pPr>
      <w:r>
        <w:rPr>
          <w:rFonts w:hint="eastAsia"/>
        </w:rPr>
        <w:t>涉及报警、通讯、监测或联动失效的，应进行功能修复和测试验证。</w:t>
      </w:r>
    </w:p>
    <w:p w14:paraId="131B59F1">
      <w:pPr>
        <w:pStyle w:val="168"/>
        <w:spacing w:line="360" w:lineRule="auto"/>
      </w:pPr>
      <w:r>
        <w:rPr>
          <w:rFonts w:hint="eastAsia"/>
        </w:rPr>
        <w:t>涉及现场处置流程不合理的，应优化流程并开展演练验证。</w:t>
      </w:r>
    </w:p>
    <w:p w14:paraId="51FAF7DA">
      <w:pPr>
        <w:pStyle w:val="168"/>
        <w:spacing w:line="360" w:lineRule="auto"/>
      </w:pPr>
      <w:r>
        <w:rPr>
          <w:rFonts w:hint="eastAsia"/>
        </w:rPr>
        <w:t>涉及多单位协同问题的，应重新明确职责边界、联络方式和联合处置程序。</w:t>
      </w:r>
    </w:p>
    <w:p w14:paraId="2F823F7D">
      <w:pPr>
        <w:pStyle w:val="108"/>
        <w:spacing w:before="120" w:after="120" w:line="360" w:lineRule="auto"/>
      </w:pPr>
      <w:r>
        <w:rPr>
          <w:rFonts w:hint="eastAsia"/>
        </w:rPr>
        <w:t>整改验证</w:t>
      </w:r>
    </w:p>
    <w:p w14:paraId="1BD8C7E8">
      <w:pPr>
        <w:pStyle w:val="168"/>
        <w:spacing w:line="360" w:lineRule="auto"/>
      </w:pPr>
      <w:r>
        <w:rPr>
          <w:rFonts w:hint="eastAsia"/>
        </w:rPr>
        <w:t>整改验证应根据问题性质采用资料复核、现场复查、人员询问、功能测试、演练验证或记录追溯等方式。</w:t>
      </w:r>
    </w:p>
    <w:p w14:paraId="6CBAA9E6">
      <w:pPr>
        <w:pStyle w:val="168"/>
        <w:spacing w:line="360" w:lineRule="auto"/>
      </w:pPr>
      <w:r>
        <w:rPr>
          <w:rFonts w:hint="eastAsia"/>
        </w:rPr>
        <w:t>重大问题整改完成后，应进行现场验证；仅提交书面材料不得作为关闭依据。</w:t>
      </w:r>
    </w:p>
    <w:p w14:paraId="490A2B62">
      <w:pPr>
        <w:pStyle w:val="168"/>
        <w:spacing w:line="360" w:lineRule="auto"/>
      </w:pPr>
      <w:r>
        <w:rPr>
          <w:rFonts w:hint="eastAsia"/>
        </w:rPr>
        <w:t>涉及人员能力的问题，应通过询问、实操或演练验证。</w:t>
      </w:r>
    </w:p>
    <w:p w14:paraId="789FBAB2">
      <w:pPr>
        <w:pStyle w:val="168"/>
        <w:spacing w:line="360" w:lineRule="auto"/>
      </w:pPr>
      <w:r>
        <w:rPr>
          <w:rFonts w:hint="eastAsia"/>
        </w:rPr>
        <w:t>涉及装备和系统功能的问题，应通过现场检查或功能测试验证。</w:t>
      </w:r>
    </w:p>
    <w:p w14:paraId="4364C1C6">
      <w:pPr>
        <w:pStyle w:val="168"/>
        <w:spacing w:line="360" w:lineRule="auto"/>
      </w:pPr>
      <w:r>
        <w:rPr>
          <w:rFonts w:hint="eastAsia"/>
        </w:rPr>
        <w:t>涉及预案和流程的问题，应通过文件审查和演练验证。</w:t>
      </w:r>
    </w:p>
    <w:p w14:paraId="138BE168">
      <w:pPr>
        <w:pStyle w:val="168"/>
        <w:spacing w:line="360" w:lineRule="auto"/>
      </w:pPr>
      <w:r>
        <w:rPr>
          <w:rFonts w:hint="eastAsia"/>
        </w:rPr>
        <w:t>整改验证记录应包括问题编号、整改措施、验证方式、验证结果、验证人员和验证日期。整改验证记录表可参照附录B。</w:t>
      </w:r>
    </w:p>
    <w:p w14:paraId="2688281B">
      <w:pPr>
        <w:pStyle w:val="108"/>
        <w:spacing w:before="120" w:after="120" w:line="360" w:lineRule="auto"/>
      </w:pPr>
      <w:r>
        <w:rPr>
          <w:rFonts w:hint="eastAsia"/>
        </w:rPr>
        <w:t>问题关闭</w:t>
      </w:r>
    </w:p>
    <w:p w14:paraId="0B9785F4">
      <w:pPr>
        <w:pStyle w:val="168"/>
        <w:spacing w:line="360" w:lineRule="auto"/>
      </w:pPr>
      <w:r>
        <w:rPr>
          <w:rFonts w:hint="eastAsia"/>
        </w:rPr>
        <w:t>整改措施落实且验证有效的，方可关闭问题。</w:t>
      </w:r>
    </w:p>
    <w:p w14:paraId="7E0F3361">
      <w:pPr>
        <w:pStyle w:val="168"/>
        <w:spacing w:line="360" w:lineRule="auto"/>
      </w:pPr>
      <w:r>
        <w:rPr>
          <w:rFonts w:hint="eastAsia"/>
        </w:rPr>
        <w:t>整改后仍不满足要求的，应重新制定整改措施，并应保持问题未关闭状态。</w:t>
      </w:r>
    </w:p>
    <w:p w14:paraId="471F326C">
      <w:pPr>
        <w:pStyle w:val="168"/>
        <w:spacing w:line="360" w:lineRule="auto"/>
      </w:pPr>
      <w:r>
        <w:rPr>
          <w:rFonts w:hint="eastAsia"/>
        </w:rPr>
        <w:t>未按期整改的，应说明原因，并应重新确定整改期限和控制措施。</w:t>
      </w:r>
    </w:p>
    <w:p w14:paraId="71ECCAFA">
      <w:pPr>
        <w:pStyle w:val="168"/>
        <w:spacing w:line="360" w:lineRule="auto"/>
      </w:pPr>
      <w:r>
        <w:rPr>
          <w:rFonts w:hint="eastAsia"/>
        </w:rPr>
        <w:t>对重复发生的问题，应开展根因分析，并应纳入持续改进重点。</w:t>
      </w:r>
    </w:p>
    <w:p w14:paraId="71480D4F">
      <w:pPr>
        <w:pStyle w:val="168"/>
        <w:spacing w:line="360" w:lineRule="auto"/>
      </w:pPr>
      <w:r>
        <w:rPr>
          <w:rFonts w:hint="eastAsia"/>
        </w:rPr>
        <w:t>问题关闭记录应纳入评价档案。</w:t>
      </w:r>
    </w:p>
    <w:p w14:paraId="26C0A326">
      <w:pPr>
        <w:pStyle w:val="107"/>
        <w:spacing w:before="240" w:after="240" w:line="360" w:lineRule="auto"/>
      </w:pPr>
      <w:bookmarkStart w:id="58" w:name="_Toc228611823"/>
      <w:r>
        <w:rPr>
          <w:rFonts w:hint="eastAsia"/>
        </w:rPr>
        <w:t>评价报告</w:t>
      </w:r>
      <w:bookmarkEnd w:id="58"/>
    </w:p>
    <w:p w14:paraId="78DC85F8">
      <w:pPr>
        <w:pStyle w:val="108"/>
        <w:spacing w:before="120" w:after="120" w:line="360" w:lineRule="auto"/>
      </w:pPr>
      <w:r>
        <w:rPr>
          <w:rFonts w:hint="eastAsia"/>
        </w:rPr>
        <w:t>一般要求</w:t>
      </w:r>
    </w:p>
    <w:p w14:paraId="5D1C61C5">
      <w:pPr>
        <w:pStyle w:val="168"/>
        <w:spacing w:line="360" w:lineRule="auto"/>
      </w:pPr>
      <w:r>
        <w:rPr>
          <w:rFonts w:hint="eastAsia"/>
        </w:rPr>
        <w:t>评价完成后应形成特种设备应急处置能力评价报告。</w:t>
      </w:r>
    </w:p>
    <w:p w14:paraId="319FB208">
      <w:pPr>
        <w:pStyle w:val="168"/>
        <w:spacing w:line="360" w:lineRule="auto"/>
      </w:pPr>
      <w:r>
        <w:rPr>
          <w:rFonts w:hint="eastAsia"/>
        </w:rPr>
        <w:t>评价报告应内容真实、依据充分、结论明确、问题具体、整改要求可执行。</w:t>
      </w:r>
    </w:p>
    <w:p w14:paraId="2EBBFBDD">
      <w:pPr>
        <w:pStyle w:val="168"/>
        <w:spacing w:line="360" w:lineRule="auto"/>
      </w:pPr>
      <w:r>
        <w:rPr>
          <w:rFonts w:hint="eastAsia"/>
        </w:rPr>
        <w:t>评价报告应由评价人员编制，并应经评价组织或评价机构审核。</w:t>
      </w:r>
    </w:p>
    <w:p w14:paraId="0A510143">
      <w:pPr>
        <w:pStyle w:val="168"/>
        <w:spacing w:line="360" w:lineRule="auto"/>
      </w:pPr>
      <w:r>
        <w:rPr>
          <w:rFonts w:hint="eastAsia"/>
        </w:rPr>
        <w:t>评价报告不得夸大、隐瞒或弱化评价发现的问题。</w:t>
      </w:r>
    </w:p>
    <w:p w14:paraId="773B67F5">
      <w:pPr>
        <w:pStyle w:val="168"/>
        <w:spacing w:line="360" w:lineRule="auto"/>
      </w:pPr>
      <w:r>
        <w:rPr>
          <w:rFonts w:hint="eastAsia"/>
        </w:rPr>
        <w:t>评价报告中的结论应与评价记录、评价证据和评分结果一致。</w:t>
      </w:r>
    </w:p>
    <w:p w14:paraId="30618CF7">
      <w:pPr>
        <w:pStyle w:val="108"/>
        <w:spacing w:before="120" w:after="120" w:line="360" w:lineRule="auto"/>
      </w:pPr>
      <w:r>
        <w:rPr>
          <w:rFonts w:hint="eastAsia"/>
        </w:rPr>
        <w:t>报告内容</w:t>
      </w:r>
    </w:p>
    <w:p w14:paraId="572391AB">
      <w:pPr>
        <w:pStyle w:val="168"/>
        <w:spacing w:line="360" w:lineRule="auto"/>
      </w:pPr>
      <w:r>
        <w:rPr>
          <w:rFonts w:hint="eastAsia"/>
        </w:rPr>
        <w:t>评价报告应至少包括下列内容：</w:t>
      </w:r>
    </w:p>
    <w:p w14:paraId="0B99CBD8">
      <w:pPr>
        <w:pStyle w:val="59"/>
        <w:spacing w:line="360" w:lineRule="auto"/>
        <w:ind w:firstLine="420"/>
      </w:pPr>
      <w:r>
        <w:rPr>
          <w:rFonts w:hint="eastAsia"/>
        </w:rPr>
        <w:t>a) 被评价单位基本信息；</w:t>
      </w:r>
    </w:p>
    <w:p w14:paraId="44FDD95F">
      <w:pPr>
        <w:pStyle w:val="59"/>
        <w:spacing w:line="360" w:lineRule="auto"/>
        <w:ind w:firstLine="420"/>
      </w:pPr>
      <w:r>
        <w:rPr>
          <w:rFonts w:hint="eastAsia"/>
        </w:rPr>
        <w:t>b) 评价目的、范围和依据；</w:t>
      </w:r>
    </w:p>
    <w:p w14:paraId="7729714D">
      <w:pPr>
        <w:pStyle w:val="59"/>
        <w:spacing w:line="360" w:lineRule="auto"/>
        <w:ind w:firstLine="420"/>
      </w:pPr>
      <w:r>
        <w:rPr>
          <w:rFonts w:hint="eastAsia"/>
        </w:rPr>
        <w:t>c) 评价时间、评价地点和评价人员；</w:t>
      </w:r>
    </w:p>
    <w:p w14:paraId="0C962083">
      <w:pPr>
        <w:pStyle w:val="59"/>
        <w:spacing w:line="360" w:lineRule="auto"/>
        <w:ind w:firstLine="420"/>
      </w:pPr>
      <w:r>
        <w:rPr>
          <w:rFonts w:hint="eastAsia"/>
        </w:rPr>
        <w:t>d) 特种设备类别、数量和主要风险场景；</w:t>
      </w:r>
    </w:p>
    <w:p w14:paraId="5A5B79CD">
      <w:pPr>
        <w:pStyle w:val="59"/>
        <w:spacing w:line="360" w:lineRule="auto"/>
        <w:ind w:firstLine="420"/>
      </w:pPr>
      <w:r>
        <w:rPr>
          <w:rFonts w:hint="eastAsia"/>
        </w:rPr>
        <w:t>e) 评价方法和评价过程；</w:t>
      </w:r>
    </w:p>
    <w:p w14:paraId="375A64B6">
      <w:pPr>
        <w:pStyle w:val="59"/>
        <w:spacing w:line="360" w:lineRule="auto"/>
        <w:ind w:firstLine="420"/>
      </w:pPr>
      <w:r>
        <w:rPr>
          <w:rFonts w:hint="eastAsia"/>
        </w:rPr>
        <w:t>f) 评价指标和评分结果；</w:t>
      </w:r>
    </w:p>
    <w:p w14:paraId="3ADAEA4D">
      <w:pPr>
        <w:pStyle w:val="59"/>
        <w:spacing w:line="360" w:lineRule="auto"/>
        <w:ind w:firstLine="420"/>
      </w:pPr>
      <w:r>
        <w:rPr>
          <w:rFonts w:hint="eastAsia"/>
        </w:rPr>
        <w:t>g) 关键项符合情况；</w:t>
      </w:r>
    </w:p>
    <w:p w14:paraId="7AFC1E23">
      <w:pPr>
        <w:pStyle w:val="59"/>
        <w:spacing w:line="360" w:lineRule="auto"/>
        <w:ind w:firstLine="420"/>
      </w:pPr>
      <w:r>
        <w:rPr>
          <w:rFonts w:hint="eastAsia"/>
        </w:rPr>
        <w:t>h) 否决项核查情况；</w:t>
      </w:r>
    </w:p>
    <w:p w14:paraId="3B490FAB">
      <w:pPr>
        <w:pStyle w:val="59"/>
        <w:spacing w:line="360" w:lineRule="auto"/>
        <w:ind w:firstLine="420"/>
      </w:pPr>
      <w:r>
        <w:rPr>
          <w:rFonts w:hint="eastAsia"/>
        </w:rPr>
        <w:t>i) 评价等级和判定依据；</w:t>
      </w:r>
    </w:p>
    <w:p w14:paraId="5B8E8B2B">
      <w:pPr>
        <w:pStyle w:val="59"/>
        <w:spacing w:line="360" w:lineRule="auto"/>
        <w:ind w:firstLine="420"/>
      </w:pPr>
      <w:r>
        <w:rPr>
          <w:rFonts w:hint="eastAsia"/>
        </w:rPr>
        <w:t>j) 主要优点和存在问题；</w:t>
      </w:r>
    </w:p>
    <w:p w14:paraId="235C9C13">
      <w:pPr>
        <w:pStyle w:val="59"/>
        <w:spacing w:line="360" w:lineRule="auto"/>
        <w:ind w:firstLine="420"/>
      </w:pPr>
      <w:r>
        <w:rPr>
          <w:rFonts w:hint="eastAsia"/>
        </w:rPr>
        <w:t>k) 风险提示和整改要求；</w:t>
      </w:r>
    </w:p>
    <w:p w14:paraId="48F80A0B">
      <w:pPr>
        <w:pStyle w:val="59"/>
        <w:spacing w:line="360" w:lineRule="auto"/>
        <w:ind w:firstLine="420"/>
      </w:pPr>
      <w:r>
        <w:rPr>
          <w:rFonts w:hint="eastAsia"/>
        </w:rPr>
        <w:t>l) 附件和评价证据清单。</w:t>
      </w:r>
    </w:p>
    <w:p w14:paraId="76AC1D91">
      <w:pPr>
        <w:pStyle w:val="168"/>
        <w:spacing w:line="360" w:lineRule="auto"/>
      </w:pPr>
      <w:r>
        <w:rPr>
          <w:rFonts w:hint="eastAsia"/>
        </w:rPr>
        <w:t>对多类别特种设备评价的，报告应分别说明各设备类别评价情况。</w:t>
      </w:r>
    </w:p>
    <w:p w14:paraId="7DCBF950">
      <w:pPr>
        <w:pStyle w:val="168"/>
        <w:spacing w:line="360" w:lineRule="auto"/>
      </w:pPr>
      <w:r>
        <w:rPr>
          <w:rFonts w:hint="eastAsia"/>
        </w:rPr>
        <w:t>对多场所、多主体共同管理的评价对象，报告应分别说明各主体责任和协同联动问题。</w:t>
      </w:r>
    </w:p>
    <w:p w14:paraId="4A869A1B">
      <w:pPr>
        <w:pStyle w:val="168"/>
        <w:spacing w:line="360" w:lineRule="auto"/>
      </w:pPr>
      <w:r>
        <w:rPr>
          <w:rFonts w:hint="eastAsia"/>
        </w:rPr>
        <w:t>对重大问题和否决项，应单独列明事实、证据、影响和整改要求。</w:t>
      </w:r>
    </w:p>
    <w:p w14:paraId="3988856B">
      <w:pPr>
        <w:pStyle w:val="108"/>
        <w:spacing w:before="120" w:after="120" w:line="360" w:lineRule="auto"/>
      </w:pPr>
      <w:r>
        <w:rPr>
          <w:rFonts w:hint="eastAsia"/>
        </w:rPr>
        <w:t>报告结论</w:t>
      </w:r>
    </w:p>
    <w:p w14:paraId="713FEB84">
      <w:pPr>
        <w:pStyle w:val="168"/>
        <w:spacing w:line="360" w:lineRule="auto"/>
      </w:pPr>
      <w:r>
        <w:rPr>
          <w:rFonts w:hint="eastAsia"/>
        </w:rPr>
        <w:t>报告结论应明确评价等级。</w:t>
      </w:r>
    </w:p>
    <w:p w14:paraId="44401C84">
      <w:pPr>
        <w:pStyle w:val="168"/>
        <w:spacing w:line="360" w:lineRule="auto"/>
      </w:pPr>
      <w:r>
        <w:rPr>
          <w:rFonts w:hint="eastAsia"/>
        </w:rPr>
        <w:t>报告结论应说明被评价单位应急处置能力的主要优势、主要短板和适用边界。</w:t>
      </w:r>
    </w:p>
    <w:p w14:paraId="1EC24157">
      <w:pPr>
        <w:pStyle w:val="168"/>
        <w:spacing w:line="360" w:lineRule="auto"/>
      </w:pPr>
      <w:r>
        <w:rPr>
          <w:rFonts w:hint="eastAsia"/>
        </w:rPr>
        <w:t>报告结论不得超出评价范围。</w:t>
      </w:r>
    </w:p>
    <w:p w14:paraId="57B9E99D">
      <w:pPr>
        <w:pStyle w:val="168"/>
        <w:spacing w:line="360" w:lineRule="auto"/>
      </w:pPr>
      <w:r>
        <w:rPr>
          <w:rFonts w:hint="eastAsia"/>
        </w:rPr>
        <w:t>对评价范围外的设备、场所或风险场景，不得作出能力充分的结论。</w:t>
      </w:r>
    </w:p>
    <w:p w14:paraId="5A7C27B0">
      <w:pPr>
        <w:pStyle w:val="168"/>
        <w:spacing w:line="360" w:lineRule="auto"/>
      </w:pPr>
      <w:r>
        <w:rPr>
          <w:rFonts w:hint="eastAsia"/>
        </w:rPr>
        <w:t>报告结论涉及整改后等级调整的，应说明调整条件和验证要求。</w:t>
      </w:r>
    </w:p>
    <w:p w14:paraId="5BE2A748">
      <w:pPr>
        <w:pStyle w:val="168"/>
        <w:numPr>
          <w:ilvl w:val="0"/>
          <w:numId w:val="0"/>
        </w:numPr>
        <w:spacing w:line="360" w:lineRule="auto"/>
        <w:rPr>
          <w:rFonts w:hint="eastAsia"/>
        </w:rPr>
      </w:pPr>
    </w:p>
    <w:p w14:paraId="18F7CE87">
      <w:pPr>
        <w:pStyle w:val="108"/>
        <w:spacing w:before="120" w:after="120" w:line="360" w:lineRule="auto"/>
      </w:pPr>
      <w:r>
        <w:rPr>
          <w:rFonts w:hint="eastAsia"/>
        </w:rPr>
        <w:t>报告附件</w:t>
      </w:r>
    </w:p>
    <w:p w14:paraId="19E98A4B">
      <w:pPr>
        <w:pStyle w:val="168"/>
        <w:spacing w:line="360" w:lineRule="auto"/>
      </w:pPr>
      <w:r>
        <w:rPr>
          <w:rFonts w:hint="eastAsia"/>
        </w:rPr>
        <w:t>评价报告附件宜包括评价检查表、评分表、问题清单、照片资料、访谈记录、测试记录、演练观察记录和证据清单。</w:t>
      </w:r>
    </w:p>
    <w:p w14:paraId="39585947">
      <w:pPr>
        <w:pStyle w:val="168"/>
        <w:spacing w:line="360" w:lineRule="auto"/>
      </w:pPr>
      <w:r>
        <w:rPr>
          <w:rFonts w:hint="eastAsia"/>
        </w:rPr>
        <w:t>附件应与报告正文引用内容一致。</w:t>
      </w:r>
    </w:p>
    <w:p w14:paraId="143D7A53">
      <w:pPr>
        <w:pStyle w:val="168"/>
        <w:spacing w:line="360" w:lineRule="auto"/>
      </w:pPr>
      <w:r>
        <w:rPr>
          <w:rFonts w:hint="eastAsia"/>
        </w:rPr>
        <w:t>涉及个人信息、商业秘密、敏感场所或重要设备信息的附件，应按保密要求管理。</w:t>
      </w:r>
    </w:p>
    <w:p w14:paraId="7A654374">
      <w:pPr>
        <w:pStyle w:val="168"/>
        <w:spacing w:line="360" w:lineRule="auto"/>
      </w:pPr>
      <w:r>
        <w:rPr>
          <w:rFonts w:hint="eastAsia"/>
        </w:rPr>
        <w:t>附件缺失影响评价结论复核的，应补充完善后再出具正式报告。</w:t>
      </w:r>
    </w:p>
    <w:p w14:paraId="308D6DF5">
      <w:pPr>
        <w:pStyle w:val="107"/>
        <w:spacing w:before="240" w:after="240" w:line="360" w:lineRule="auto"/>
      </w:pPr>
      <w:bookmarkStart w:id="59" w:name="_Toc228611824"/>
      <w:r>
        <w:rPr>
          <w:rFonts w:hint="eastAsia"/>
        </w:rPr>
        <w:t>档案管理</w:t>
      </w:r>
      <w:bookmarkEnd w:id="59"/>
    </w:p>
    <w:p w14:paraId="4DEAD645">
      <w:pPr>
        <w:pStyle w:val="108"/>
        <w:spacing w:before="120" w:after="120" w:line="360" w:lineRule="auto"/>
      </w:pPr>
      <w:r>
        <w:rPr>
          <w:rFonts w:hint="eastAsia"/>
        </w:rPr>
        <w:t>一般要求</w:t>
      </w:r>
    </w:p>
    <w:p w14:paraId="1D4C92BD">
      <w:pPr>
        <w:pStyle w:val="168"/>
        <w:spacing w:line="360" w:lineRule="auto"/>
      </w:pPr>
      <w:r>
        <w:rPr>
          <w:rFonts w:hint="eastAsia"/>
        </w:rPr>
        <w:t>特种设备应急处置能力评价资料应按评价项目建立档案。</w:t>
      </w:r>
    </w:p>
    <w:p w14:paraId="07023DAD">
      <w:pPr>
        <w:pStyle w:val="168"/>
        <w:spacing w:line="360" w:lineRule="auto"/>
      </w:pPr>
      <w:r>
        <w:rPr>
          <w:rFonts w:hint="eastAsia"/>
        </w:rPr>
        <w:t>评价档案应真实、完整、清晰、可追溯。</w:t>
      </w:r>
    </w:p>
    <w:p w14:paraId="5D22788A">
      <w:pPr>
        <w:pStyle w:val="168"/>
        <w:spacing w:line="360" w:lineRule="auto"/>
      </w:pPr>
      <w:r>
        <w:rPr>
          <w:rFonts w:hint="eastAsia"/>
        </w:rPr>
        <w:t>评价档案应包括纸质资料和电子资料。电子资料应采用可读取、可备份、可追溯的格式保存。</w:t>
      </w:r>
    </w:p>
    <w:p w14:paraId="0F22F651">
      <w:pPr>
        <w:pStyle w:val="168"/>
        <w:spacing w:line="360" w:lineRule="auto"/>
      </w:pPr>
      <w:r>
        <w:rPr>
          <w:rFonts w:hint="eastAsia"/>
        </w:rPr>
        <w:t>评价档案不得擅自修改、替换、删除或销毁。</w:t>
      </w:r>
    </w:p>
    <w:p w14:paraId="5F9FCCDD">
      <w:pPr>
        <w:pStyle w:val="168"/>
        <w:spacing w:line="360" w:lineRule="auto"/>
      </w:pPr>
      <w:r>
        <w:rPr>
          <w:rFonts w:hint="eastAsia"/>
        </w:rPr>
        <w:t>评价档案查阅、复制、移交和销毁应履行审批程序。</w:t>
      </w:r>
    </w:p>
    <w:p w14:paraId="11F806A9">
      <w:pPr>
        <w:pStyle w:val="108"/>
        <w:spacing w:before="120" w:after="120" w:line="360" w:lineRule="auto"/>
      </w:pPr>
      <w:r>
        <w:rPr>
          <w:rFonts w:hint="eastAsia"/>
        </w:rPr>
        <w:t>档案内容</w:t>
      </w:r>
    </w:p>
    <w:p w14:paraId="4E3E29FF">
      <w:pPr>
        <w:pStyle w:val="168"/>
        <w:spacing w:line="360" w:lineRule="auto"/>
      </w:pPr>
      <w:r>
        <w:rPr>
          <w:rFonts w:hint="eastAsia"/>
        </w:rPr>
        <w:t>评价档案应至少包括下列内容：</w:t>
      </w:r>
    </w:p>
    <w:p w14:paraId="798CAD18">
      <w:pPr>
        <w:pStyle w:val="59"/>
        <w:spacing w:line="360" w:lineRule="auto"/>
        <w:ind w:firstLine="420"/>
      </w:pPr>
      <w:r>
        <w:rPr>
          <w:rFonts w:hint="eastAsia"/>
        </w:rPr>
        <w:t>a) 评价委托或评价任务文件；</w:t>
      </w:r>
    </w:p>
    <w:p w14:paraId="451C7AAC">
      <w:pPr>
        <w:pStyle w:val="59"/>
        <w:spacing w:line="360" w:lineRule="auto"/>
        <w:ind w:firstLine="420"/>
      </w:pPr>
      <w:r>
        <w:rPr>
          <w:rFonts w:hint="eastAsia"/>
        </w:rPr>
        <w:t>b) 评价计划；</w:t>
      </w:r>
    </w:p>
    <w:p w14:paraId="0163A1F1">
      <w:pPr>
        <w:pStyle w:val="59"/>
        <w:spacing w:line="360" w:lineRule="auto"/>
        <w:ind w:firstLine="420"/>
      </w:pPr>
      <w:r>
        <w:rPr>
          <w:rFonts w:hint="eastAsia"/>
        </w:rPr>
        <w:t>c) 被评价单位基本信息和设备台账；</w:t>
      </w:r>
    </w:p>
    <w:p w14:paraId="00F71C6D">
      <w:pPr>
        <w:pStyle w:val="59"/>
        <w:spacing w:line="360" w:lineRule="auto"/>
        <w:ind w:firstLine="420"/>
      </w:pPr>
      <w:r>
        <w:rPr>
          <w:rFonts w:hint="eastAsia"/>
        </w:rPr>
        <w:t>d) 评价依据文件；</w:t>
      </w:r>
    </w:p>
    <w:p w14:paraId="56E2AB42">
      <w:pPr>
        <w:pStyle w:val="59"/>
        <w:spacing w:line="360" w:lineRule="auto"/>
        <w:ind w:firstLine="420"/>
      </w:pPr>
      <w:r>
        <w:rPr>
          <w:rFonts w:hint="eastAsia"/>
        </w:rPr>
        <w:t>e) 评价检查表和评分表；</w:t>
      </w:r>
    </w:p>
    <w:p w14:paraId="7B309767">
      <w:pPr>
        <w:pStyle w:val="59"/>
        <w:spacing w:line="360" w:lineRule="auto"/>
        <w:ind w:firstLine="420"/>
      </w:pPr>
      <w:r>
        <w:rPr>
          <w:rFonts w:hint="eastAsia"/>
        </w:rPr>
        <w:t>f) 现场检查记录；</w:t>
      </w:r>
    </w:p>
    <w:p w14:paraId="6BF3E5C5">
      <w:pPr>
        <w:pStyle w:val="59"/>
        <w:spacing w:line="360" w:lineRule="auto"/>
        <w:ind w:firstLine="420"/>
      </w:pPr>
      <w:r>
        <w:rPr>
          <w:rFonts w:hint="eastAsia"/>
        </w:rPr>
        <w:t>g) 人员询问记录；</w:t>
      </w:r>
    </w:p>
    <w:p w14:paraId="72EE0325">
      <w:pPr>
        <w:pStyle w:val="59"/>
        <w:spacing w:line="360" w:lineRule="auto"/>
        <w:ind w:firstLine="420"/>
      </w:pPr>
      <w:r>
        <w:rPr>
          <w:rFonts w:hint="eastAsia"/>
        </w:rPr>
        <w:t>h) 功能测试记录；</w:t>
      </w:r>
    </w:p>
    <w:p w14:paraId="64507D9D">
      <w:pPr>
        <w:pStyle w:val="59"/>
        <w:spacing w:line="360" w:lineRule="auto"/>
        <w:ind w:firstLine="420"/>
      </w:pPr>
      <w:r>
        <w:rPr>
          <w:rFonts w:hint="eastAsia"/>
        </w:rPr>
        <w:t>i) 演练观察记录；</w:t>
      </w:r>
    </w:p>
    <w:p w14:paraId="537BE161">
      <w:pPr>
        <w:pStyle w:val="59"/>
        <w:spacing w:line="360" w:lineRule="auto"/>
        <w:ind w:firstLine="420"/>
      </w:pPr>
      <w:r>
        <w:rPr>
          <w:rFonts w:hint="eastAsia"/>
        </w:rPr>
        <w:t>j) 评价证据资料；</w:t>
      </w:r>
    </w:p>
    <w:p w14:paraId="6457B979">
      <w:pPr>
        <w:pStyle w:val="59"/>
        <w:spacing w:line="360" w:lineRule="auto"/>
        <w:ind w:firstLine="420"/>
      </w:pPr>
      <w:r>
        <w:rPr>
          <w:rFonts w:hint="eastAsia"/>
        </w:rPr>
        <w:t>k) 问题清单和整改要求；</w:t>
      </w:r>
    </w:p>
    <w:p w14:paraId="2296CE9C">
      <w:pPr>
        <w:pStyle w:val="59"/>
        <w:spacing w:line="360" w:lineRule="auto"/>
        <w:ind w:firstLine="420"/>
      </w:pPr>
      <w:r>
        <w:rPr>
          <w:rFonts w:hint="eastAsia"/>
        </w:rPr>
        <w:t>l) 评价报告；</w:t>
      </w:r>
    </w:p>
    <w:p w14:paraId="069D17B3">
      <w:pPr>
        <w:pStyle w:val="59"/>
        <w:spacing w:line="360" w:lineRule="auto"/>
        <w:ind w:firstLine="420"/>
      </w:pPr>
      <w:r>
        <w:rPr>
          <w:rFonts w:hint="eastAsia"/>
        </w:rPr>
        <w:t>m) 整改验证记录；</w:t>
      </w:r>
    </w:p>
    <w:p w14:paraId="2A786620">
      <w:pPr>
        <w:pStyle w:val="59"/>
        <w:spacing w:line="360" w:lineRule="auto"/>
        <w:ind w:firstLine="420"/>
      </w:pPr>
      <w:r>
        <w:rPr>
          <w:rFonts w:hint="eastAsia"/>
        </w:rPr>
        <w:t>n) 会议记录和沟通记录。</w:t>
      </w:r>
    </w:p>
    <w:p w14:paraId="5FE52710">
      <w:pPr>
        <w:pStyle w:val="168"/>
        <w:spacing w:line="360" w:lineRule="auto"/>
      </w:pPr>
      <w:r>
        <w:rPr>
          <w:rFonts w:hint="eastAsia"/>
        </w:rPr>
        <w:t>自评档案应包括自评组织、评价过程、评价结果、问题整改和管理评审资料。</w:t>
      </w:r>
    </w:p>
    <w:p w14:paraId="47723B4D">
      <w:pPr>
        <w:pStyle w:val="168"/>
        <w:spacing w:line="360" w:lineRule="auto"/>
      </w:pPr>
      <w:r>
        <w:rPr>
          <w:rFonts w:hint="eastAsia"/>
        </w:rPr>
        <w:t>第三方评价档案应包括评价质量控制和报告审核资料。</w:t>
      </w:r>
    </w:p>
    <w:p w14:paraId="062FB945">
      <w:pPr>
        <w:pStyle w:val="108"/>
        <w:spacing w:before="120" w:after="120" w:line="360" w:lineRule="auto"/>
      </w:pPr>
      <w:r>
        <w:rPr>
          <w:rFonts w:hint="eastAsia"/>
        </w:rPr>
        <w:t>保存期限</w:t>
      </w:r>
    </w:p>
    <w:p w14:paraId="7E42AF8F">
      <w:pPr>
        <w:pStyle w:val="168"/>
        <w:spacing w:line="360" w:lineRule="auto"/>
      </w:pPr>
      <w:r>
        <w:rPr>
          <w:rFonts w:hint="eastAsia"/>
        </w:rPr>
        <w:t>评价档案保存期限应满足特种设备安全管理、应急管理、监督检查和责任追溯要求。</w:t>
      </w:r>
    </w:p>
    <w:p w14:paraId="7FD91989">
      <w:pPr>
        <w:pStyle w:val="168"/>
        <w:spacing w:line="360" w:lineRule="auto"/>
      </w:pPr>
      <w:r>
        <w:rPr>
          <w:rFonts w:hint="eastAsia"/>
        </w:rPr>
        <w:t>涉及重大风险、重大问题、事故险情或整改验证的评价档案，应按较长期限保存。</w:t>
      </w:r>
    </w:p>
    <w:p w14:paraId="3E400634">
      <w:pPr>
        <w:pStyle w:val="168"/>
        <w:spacing w:line="360" w:lineRule="auto"/>
      </w:pPr>
      <w:r>
        <w:rPr>
          <w:rFonts w:hint="eastAsia"/>
        </w:rPr>
        <w:t>保存期限未届满的评价档案不得销毁。</w:t>
      </w:r>
    </w:p>
    <w:p w14:paraId="21FDB2BC">
      <w:pPr>
        <w:pStyle w:val="168"/>
        <w:spacing w:line="360" w:lineRule="auto"/>
      </w:pPr>
      <w:r>
        <w:rPr>
          <w:rFonts w:hint="eastAsia"/>
        </w:rPr>
        <w:t>保存期满需销毁的，应经审批后实施，并应形成销毁记录。</w:t>
      </w:r>
    </w:p>
    <w:p w14:paraId="585E7892">
      <w:pPr>
        <w:pStyle w:val="108"/>
        <w:spacing w:before="120" w:after="120" w:line="360" w:lineRule="auto"/>
      </w:pPr>
      <w:r>
        <w:rPr>
          <w:rFonts w:hint="eastAsia"/>
        </w:rPr>
        <w:t>电子档案</w:t>
      </w:r>
    </w:p>
    <w:p w14:paraId="479C6E5E">
      <w:pPr>
        <w:pStyle w:val="168"/>
        <w:spacing w:line="360" w:lineRule="auto"/>
      </w:pPr>
      <w:r>
        <w:rPr>
          <w:rFonts w:hint="eastAsia"/>
        </w:rPr>
        <w:t>电子评价档案应建立目录、编号和版本。</w:t>
      </w:r>
    </w:p>
    <w:p w14:paraId="3B55D9E7">
      <w:pPr>
        <w:pStyle w:val="168"/>
        <w:spacing w:line="360" w:lineRule="auto"/>
      </w:pPr>
      <w:r>
        <w:rPr>
          <w:rFonts w:hint="eastAsia"/>
        </w:rPr>
        <w:t>电子档案应定期备份，并应验证可读取性。</w:t>
      </w:r>
    </w:p>
    <w:p w14:paraId="65FC1CA8">
      <w:pPr>
        <w:pStyle w:val="168"/>
        <w:spacing w:line="360" w:lineRule="auto"/>
      </w:pPr>
      <w:r>
        <w:rPr>
          <w:rFonts w:hint="eastAsia"/>
        </w:rPr>
        <w:t>照片、视频、录音、测试数据和电子表单应与评价项目编号关联。</w:t>
      </w:r>
    </w:p>
    <w:p w14:paraId="3501C0DD">
      <w:pPr>
        <w:pStyle w:val="168"/>
        <w:spacing w:line="360" w:lineRule="auto"/>
      </w:pPr>
      <w:r>
        <w:rPr>
          <w:rFonts w:hint="eastAsia"/>
        </w:rPr>
        <w:t>电子档案迁移、格式转换或系统升级时，应验证档案完整性。</w:t>
      </w:r>
    </w:p>
    <w:p w14:paraId="3694EBB5">
      <w:pPr>
        <w:pStyle w:val="168"/>
        <w:spacing w:line="360" w:lineRule="auto"/>
        <w:rPr>
          <w:rFonts w:hint="eastAsia"/>
        </w:rPr>
      </w:pPr>
      <w:r>
        <w:rPr>
          <w:rFonts w:hint="eastAsia"/>
        </w:rPr>
        <w:t>电子档案不得长期存放在个人电脑、个人网盘或非受控移动存储介质中。</w:t>
      </w:r>
    </w:p>
    <w:p w14:paraId="5C2F9D45">
      <w:pPr>
        <w:pStyle w:val="59"/>
        <w:ind w:firstLine="420"/>
      </w:pPr>
    </w:p>
    <w:p w14:paraId="296FEC01">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3DACD46B">
      <w:pPr>
        <w:pStyle w:val="201"/>
        <w:rPr>
          <w:rFonts w:hint="eastAsia"/>
        </w:rPr>
      </w:pPr>
      <w:bookmarkStart w:id="60" w:name="BookMark5"/>
    </w:p>
    <w:p w14:paraId="36056F3D">
      <w:pPr>
        <w:pStyle w:val="202"/>
      </w:pPr>
    </w:p>
    <w:p w14:paraId="2E1BDF2A">
      <w:pPr>
        <w:pStyle w:val="79"/>
        <w:spacing w:after="120" w:line="360" w:lineRule="auto"/>
      </w:pPr>
      <w:r>
        <w:br w:type="textWrapping"/>
      </w:r>
      <w:bookmarkStart w:id="61" w:name="_Toc228611825"/>
      <w:r>
        <w:rPr>
          <w:rFonts w:hint="eastAsia"/>
        </w:rPr>
        <w:t>（资料性）</w:t>
      </w:r>
      <w:r>
        <w:br w:type="textWrapping"/>
      </w:r>
      <w:r>
        <w:rPr>
          <w:rFonts w:hint="eastAsia"/>
        </w:rPr>
        <w:t>特种设备应急处置能力评价指标表</w:t>
      </w:r>
      <w:bookmarkEnd w:id="61"/>
    </w:p>
    <w:p w14:paraId="59F5D172">
      <w:pPr>
        <w:pStyle w:val="214"/>
        <w:spacing w:line="360" w:lineRule="auto"/>
      </w:pPr>
      <w:r>
        <w:t>特种设备应急处置能力评价指标可按表A.1执行。</w:t>
      </w:r>
    </w:p>
    <w:p w14:paraId="6D406372">
      <w:pPr>
        <w:pStyle w:val="80"/>
        <w:spacing w:before="120" w:after="120" w:line="360" w:lineRule="auto"/>
      </w:pPr>
      <w:r>
        <w:t>特种设备应急处置能力评价指标表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701"/>
        <w:gridCol w:w="4536"/>
        <w:gridCol w:w="1122"/>
      </w:tblGrid>
      <w:tr w14:paraId="5A95F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71D0730F">
            <w:pPr>
              <w:pStyle w:val="181"/>
            </w:pPr>
            <w:r>
              <w:rPr>
                <w:rFonts w:hint="eastAsia"/>
              </w:rPr>
              <w:t>一级指标</w:t>
            </w:r>
          </w:p>
        </w:tc>
        <w:tc>
          <w:tcPr>
            <w:tcW w:w="1701" w:type="dxa"/>
            <w:tcBorders>
              <w:top w:val="single" w:color="auto" w:sz="8" w:space="0"/>
              <w:bottom w:val="single" w:color="auto" w:sz="8" w:space="0"/>
            </w:tcBorders>
          </w:tcPr>
          <w:p w14:paraId="64DAF651">
            <w:pPr>
              <w:pStyle w:val="181"/>
            </w:pPr>
            <w:r>
              <w:rPr>
                <w:rFonts w:hint="eastAsia"/>
              </w:rPr>
              <w:t>二级指标</w:t>
            </w:r>
          </w:p>
        </w:tc>
        <w:tc>
          <w:tcPr>
            <w:tcW w:w="4536" w:type="dxa"/>
            <w:tcBorders>
              <w:top w:val="single" w:color="auto" w:sz="8" w:space="0"/>
              <w:bottom w:val="single" w:color="auto" w:sz="8" w:space="0"/>
            </w:tcBorders>
          </w:tcPr>
          <w:p w14:paraId="3F28629C">
            <w:pPr>
              <w:pStyle w:val="181"/>
            </w:pPr>
            <w:r>
              <w:rPr>
                <w:rFonts w:hint="eastAsia"/>
              </w:rPr>
              <w:t>评价要点</w:t>
            </w:r>
          </w:p>
        </w:tc>
        <w:tc>
          <w:tcPr>
            <w:tcW w:w="1122" w:type="dxa"/>
            <w:tcBorders>
              <w:top w:val="single" w:color="auto" w:sz="8" w:space="0"/>
              <w:bottom w:val="single" w:color="auto" w:sz="8" w:space="0"/>
            </w:tcBorders>
          </w:tcPr>
          <w:p w14:paraId="0B5BC4B4">
            <w:pPr>
              <w:pStyle w:val="181"/>
            </w:pPr>
            <w:r>
              <w:rPr>
                <w:rFonts w:hint="eastAsia"/>
              </w:rPr>
              <w:t>建议分值</w:t>
            </w:r>
          </w:p>
        </w:tc>
      </w:tr>
      <w:tr w14:paraId="3E69D8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top w:val="single" w:color="auto" w:sz="8" w:space="0"/>
            </w:tcBorders>
            <w:vAlign w:val="center"/>
          </w:tcPr>
          <w:p w14:paraId="4586D7CD">
            <w:pPr>
              <w:pStyle w:val="181"/>
            </w:pPr>
            <w:r>
              <w:rPr>
                <w:rFonts w:hint="eastAsia"/>
              </w:rPr>
              <w:t>应急组织与责任落实</w:t>
            </w:r>
          </w:p>
        </w:tc>
        <w:tc>
          <w:tcPr>
            <w:tcW w:w="1701" w:type="dxa"/>
            <w:tcBorders>
              <w:top w:val="single" w:color="auto" w:sz="8" w:space="0"/>
            </w:tcBorders>
          </w:tcPr>
          <w:p w14:paraId="61119F60">
            <w:pPr>
              <w:pStyle w:val="181"/>
            </w:pPr>
            <w:r>
              <w:rPr>
                <w:rFonts w:hint="eastAsia"/>
              </w:rPr>
              <w:t>组织体系</w:t>
            </w:r>
          </w:p>
        </w:tc>
        <w:tc>
          <w:tcPr>
            <w:tcW w:w="4536" w:type="dxa"/>
            <w:tcBorders>
              <w:top w:val="single" w:color="auto" w:sz="8" w:space="0"/>
            </w:tcBorders>
          </w:tcPr>
          <w:p w14:paraId="7C1BFFC9">
            <w:pPr>
              <w:pStyle w:val="181"/>
            </w:pPr>
            <w:r>
              <w:rPr>
                <w:rFonts w:hint="eastAsia"/>
              </w:rPr>
              <w:t>建立应急组织，职责明确到岗位和人员</w:t>
            </w:r>
          </w:p>
        </w:tc>
        <w:tc>
          <w:tcPr>
            <w:tcW w:w="1122" w:type="dxa"/>
            <w:tcBorders>
              <w:top w:val="single" w:color="auto" w:sz="8" w:space="0"/>
            </w:tcBorders>
          </w:tcPr>
          <w:p w14:paraId="5930C106">
            <w:pPr>
              <w:pStyle w:val="181"/>
            </w:pPr>
            <w:r>
              <w:rPr>
                <w:rFonts w:hint="eastAsia"/>
              </w:rPr>
              <w:t>8</w:t>
            </w:r>
          </w:p>
        </w:tc>
      </w:tr>
      <w:tr w14:paraId="5861FA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7DA4623F">
            <w:pPr>
              <w:pStyle w:val="181"/>
            </w:pPr>
          </w:p>
        </w:tc>
        <w:tc>
          <w:tcPr>
            <w:tcW w:w="1701" w:type="dxa"/>
          </w:tcPr>
          <w:p w14:paraId="2659F55D">
            <w:pPr>
              <w:pStyle w:val="181"/>
            </w:pPr>
            <w:r>
              <w:rPr>
                <w:rFonts w:hint="eastAsia"/>
              </w:rPr>
              <w:t>值守安排</w:t>
            </w:r>
          </w:p>
        </w:tc>
        <w:tc>
          <w:tcPr>
            <w:tcW w:w="4536" w:type="dxa"/>
          </w:tcPr>
          <w:p w14:paraId="6426A89B">
            <w:pPr>
              <w:pStyle w:val="181"/>
            </w:pPr>
            <w:r>
              <w:rPr>
                <w:rFonts w:hint="eastAsia"/>
              </w:rPr>
              <w:t>夜间、节假日、客流高峰或高风险时段有值守安排</w:t>
            </w:r>
          </w:p>
        </w:tc>
        <w:tc>
          <w:tcPr>
            <w:tcW w:w="1122" w:type="dxa"/>
          </w:tcPr>
          <w:p w14:paraId="3A1F2883">
            <w:pPr>
              <w:pStyle w:val="181"/>
            </w:pPr>
            <w:r>
              <w:rPr>
                <w:rFonts w:hint="eastAsia"/>
              </w:rPr>
              <w:t>4</w:t>
            </w:r>
          </w:p>
        </w:tc>
      </w:tr>
      <w:tr w14:paraId="5BD98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41C5F4AB">
            <w:pPr>
              <w:pStyle w:val="181"/>
            </w:pPr>
            <w:r>
              <w:rPr>
                <w:rFonts w:hint="eastAsia"/>
              </w:rPr>
              <w:t>风险辨识与预案管理</w:t>
            </w:r>
          </w:p>
        </w:tc>
        <w:tc>
          <w:tcPr>
            <w:tcW w:w="1701" w:type="dxa"/>
          </w:tcPr>
          <w:p w14:paraId="624829CC">
            <w:pPr>
              <w:pStyle w:val="181"/>
            </w:pPr>
            <w:r>
              <w:rPr>
                <w:rFonts w:hint="eastAsia"/>
              </w:rPr>
              <w:t>风险辨识</w:t>
            </w:r>
          </w:p>
        </w:tc>
        <w:tc>
          <w:tcPr>
            <w:tcW w:w="4536" w:type="dxa"/>
          </w:tcPr>
          <w:p w14:paraId="0578639C">
            <w:pPr>
              <w:pStyle w:val="181"/>
            </w:pPr>
            <w:r>
              <w:rPr>
                <w:rFonts w:hint="eastAsia"/>
              </w:rPr>
              <w:t>覆盖主要设备类别、场所风险和典型事故场景</w:t>
            </w:r>
          </w:p>
        </w:tc>
        <w:tc>
          <w:tcPr>
            <w:tcW w:w="1122" w:type="dxa"/>
          </w:tcPr>
          <w:p w14:paraId="76920BBE">
            <w:pPr>
              <w:pStyle w:val="181"/>
            </w:pPr>
            <w:r>
              <w:rPr>
                <w:rFonts w:hint="eastAsia"/>
              </w:rPr>
              <w:t>8</w:t>
            </w:r>
          </w:p>
        </w:tc>
      </w:tr>
      <w:tr w14:paraId="61CAA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4247AAFC">
            <w:pPr>
              <w:pStyle w:val="181"/>
            </w:pPr>
          </w:p>
        </w:tc>
        <w:tc>
          <w:tcPr>
            <w:tcW w:w="1701" w:type="dxa"/>
          </w:tcPr>
          <w:p w14:paraId="527764B4">
            <w:pPr>
              <w:pStyle w:val="181"/>
            </w:pPr>
            <w:r>
              <w:rPr>
                <w:rFonts w:hint="eastAsia"/>
              </w:rPr>
              <w:t>预案适用性</w:t>
            </w:r>
          </w:p>
        </w:tc>
        <w:tc>
          <w:tcPr>
            <w:tcW w:w="4536" w:type="dxa"/>
          </w:tcPr>
          <w:p w14:paraId="495F4174">
            <w:pPr>
              <w:pStyle w:val="181"/>
            </w:pPr>
            <w:r>
              <w:rPr>
                <w:rFonts w:hint="eastAsia"/>
              </w:rPr>
              <w:t>预案与现场设备、岗位职责、联络方式和资源条件一致</w:t>
            </w:r>
          </w:p>
        </w:tc>
        <w:tc>
          <w:tcPr>
            <w:tcW w:w="1122" w:type="dxa"/>
          </w:tcPr>
          <w:p w14:paraId="665EE6D7">
            <w:pPr>
              <w:pStyle w:val="181"/>
            </w:pPr>
            <w:r>
              <w:rPr>
                <w:rFonts w:hint="eastAsia"/>
              </w:rPr>
              <w:t>8</w:t>
            </w:r>
          </w:p>
        </w:tc>
      </w:tr>
      <w:tr w14:paraId="6BC80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37A5BEB9">
            <w:pPr>
              <w:pStyle w:val="181"/>
            </w:pPr>
          </w:p>
        </w:tc>
        <w:tc>
          <w:tcPr>
            <w:tcW w:w="1701" w:type="dxa"/>
          </w:tcPr>
          <w:p w14:paraId="6C928603">
            <w:pPr>
              <w:pStyle w:val="181"/>
            </w:pPr>
            <w:r>
              <w:rPr>
                <w:rFonts w:hint="eastAsia"/>
              </w:rPr>
              <w:t>现场处置卡</w:t>
            </w:r>
          </w:p>
        </w:tc>
        <w:tc>
          <w:tcPr>
            <w:tcW w:w="4536" w:type="dxa"/>
          </w:tcPr>
          <w:p w14:paraId="4C2C13E1">
            <w:pPr>
              <w:pStyle w:val="181"/>
            </w:pPr>
            <w:r>
              <w:rPr>
                <w:rFonts w:hint="eastAsia"/>
              </w:rPr>
              <w:t>高风险或高频场景设置现场处置卡，内容简明可执行</w:t>
            </w:r>
          </w:p>
        </w:tc>
        <w:tc>
          <w:tcPr>
            <w:tcW w:w="1122" w:type="dxa"/>
          </w:tcPr>
          <w:p w14:paraId="52038311">
            <w:pPr>
              <w:pStyle w:val="181"/>
            </w:pPr>
            <w:r>
              <w:rPr>
                <w:rFonts w:hint="eastAsia"/>
              </w:rPr>
              <w:t>4</w:t>
            </w:r>
          </w:p>
        </w:tc>
      </w:tr>
      <w:tr w14:paraId="55F1D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738165C4">
            <w:pPr>
              <w:pStyle w:val="181"/>
            </w:pPr>
            <w:r>
              <w:rPr>
                <w:rFonts w:hint="eastAsia"/>
              </w:rPr>
              <w:t>人员培训与岗位能力</w:t>
            </w:r>
          </w:p>
        </w:tc>
        <w:tc>
          <w:tcPr>
            <w:tcW w:w="1701" w:type="dxa"/>
          </w:tcPr>
          <w:p w14:paraId="462A12F4">
            <w:pPr>
              <w:pStyle w:val="181"/>
            </w:pPr>
            <w:r>
              <w:rPr>
                <w:rFonts w:hint="eastAsia"/>
              </w:rPr>
              <w:t>培训考核</w:t>
            </w:r>
          </w:p>
        </w:tc>
        <w:tc>
          <w:tcPr>
            <w:tcW w:w="4536" w:type="dxa"/>
          </w:tcPr>
          <w:p w14:paraId="5725F321">
            <w:pPr>
              <w:pStyle w:val="181"/>
            </w:pPr>
            <w:r>
              <w:rPr>
                <w:rFonts w:hint="eastAsia"/>
              </w:rPr>
              <w:t>关键岗位人员接受培训并考核合格</w:t>
            </w:r>
          </w:p>
        </w:tc>
        <w:tc>
          <w:tcPr>
            <w:tcW w:w="1122" w:type="dxa"/>
          </w:tcPr>
          <w:p w14:paraId="65ED26AE">
            <w:pPr>
              <w:pStyle w:val="181"/>
            </w:pPr>
            <w:r>
              <w:rPr>
                <w:rFonts w:hint="eastAsia"/>
              </w:rPr>
              <w:t>6</w:t>
            </w:r>
          </w:p>
        </w:tc>
      </w:tr>
      <w:tr w14:paraId="5FE50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3AEE765A">
            <w:pPr>
              <w:pStyle w:val="181"/>
            </w:pPr>
          </w:p>
        </w:tc>
        <w:tc>
          <w:tcPr>
            <w:tcW w:w="1701" w:type="dxa"/>
          </w:tcPr>
          <w:p w14:paraId="693F3F79">
            <w:pPr>
              <w:pStyle w:val="181"/>
            </w:pPr>
            <w:r>
              <w:rPr>
                <w:rFonts w:hint="eastAsia"/>
              </w:rPr>
              <w:t>岗位响应能力</w:t>
            </w:r>
          </w:p>
        </w:tc>
        <w:tc>
          <w:tcPr>
            <w:tcW w:w="4536" w:type="dxa"/>
          </w:tcPr>
          <w:p w14:paraId="3A72EA8F">
            <w:pPr>
              <w:pStyle w:val="181"/>
            </w:pPr>
            <w:r>
              <w:rPr>
                <w:rFonts w:hint="eastAsia"/>
              </w:rPr>
              <w:t>人员能够说明报警、报告、初期处置和禁止事项</w:t>
            </w:r>
          </w:p>
        </w:tc>
        <w:tc>
          <w:tcPr>
            <w:tcW w:w="1122" w:type="dxa"/>
          </w:tcPr>
          <w:p w14:paraId="659D557A">
            <w:pPr>
              <w:pStyle w:val="181"/>
            </w:pPr>
            <w:r>
              <w:rPr>
                <w:rFonts w:hint="eastAsia"/>
              </w:rPr>
              <w:t>8</w:t>
            </w:r>
          </w:p>
        </w:tc>
      </w:tr>
      <w:tr w14:paraId="32BD5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706C256B">
            <w:pPr>
              <w:pStyle w:val="181"/>
            </w:pPr>
            <w:r>
              <w:rPr>
                <w:rFonts w:hint="eastAsia"/>
              </w:rPr>
              <w:t>应急资源与装备保障</w:t>
            </w:r>
          </w:p>
        </w:tc>
        <w:tc>
          <w:tcPr>
            <w:tcW w:w="1701" w:type="dxa"/>
          </w:tcPr>
          <w:p w14:paraId="7FE45C2C">
            <w:pPr>
              <w:pStyle w:val="181"/>
            </w:pPr>
            <w:r>
              <w:rPr>
                <w:rFonts w:hint="eastAsia"/>
              </w:rPr>
              <w:t>资源配置</w:t>
            </w:r>
          </w:p>
        </w:tc>
        <w:tc>
          <w:tcPr>
            <w:tcW w:w="4536" w:type="dxa"/>
          </w:tcPr>
          <w:p w14:paraId="76B1102C">
            <w:pPr>
              <w:pStyle w:val="181"/>
            </w:pPr>
            <w:r>
              <w:rPr>
                <w:rFonts w:hint="eastAsia"/>
              </w:rPr>
              <w:t>应急装备、物资、防护用品与风险场景匹配</w:t>
            </w:r>
          </w:p>
        </w:tc>
        <w:tc>
          <w:tcPr>
            <w:tcW w:w="1122" w:type="dxa"/>
          </w:tcPr>
          <w:p w14:paraId="01C6627F">
            <w:pPr>
              <w:pStyle w:val="181"/>
            </w:pPr>
            <w:r>
              <w:rPr>
                <w:rFonts w:hint="eastAsia"/>
              </w:rPr>
              <w:t>8</w:t>
            </w:r>
          </w:p>
        </w:tc>
      </w:tr>
      <w:tr w14:paraId="208E7A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24733ABF">
            <w:pPr>
              <w:pStyle w:val="181"/>
            </w:pPr>
          </w:p>
        </w:tc>
        <w:tc>
          <w:tcPr>
            <w:tcW w:w="1701" w:type="dxa"/>
          </w:tcPr>
          <w:p w14:paraId="73A17605">
            <w:pPr>
              <w:pStyle w:val="181"/>
            </w:pPr>
            <w:r>
              <w:rPr>
                <w:rFonts w:hint="eastAsia"/>
              </w:rPr>
              <w:t>维护检查</w:t>
            </w:r>
          </w:p>
        </w:tc>
        <w:tc>
          <w:tcPr>
            <w:tcW w:w="4536" w:type="dxa"/>
          </w:tcPr>
          <w:p w14:paraId="14398658">
            <w:pPr>
              <w:pStyle w:val="181"/>
            </w:pPr>
            <w:r>
              <w:rPr>
                <w:rFonts w:hint="eastAsia"/>
              </w:rPr>
              <w:t>物资装备台账完整，定期检查，状态有效</w:t>
            </w:r>
          </w:p>
        </w:tc>
        <w:tc>
          <w:tcPr>
            <w:tcW w:w="1122" w:type="dxa"/>
          </w:tcPr>
          <w:p w14:paraId="7DE3A06D">
            <w:pPr>
              <w:pStyle w:val="181"/>
            </w:pPr>
            <w:r>
              <w:rPr>
                <w:rFonts w:hint="eastAsia"/>
              </w:rPr>
              <w:t>4</w:t>
            </w:r>
          </w:p>
        </w:tc>
      </w:tr>
      <w:tr w14:paraId="7AEAA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14F3A3AB">
            <w:pPr>
              <w:pStyle w:val="181"/>
            </w:pPr>
            <w:r>
              <w:rPr>
                <w:rFonts w:hint="eastAsia"/>
              </w:rPr>
              <w:t>监测预警与值班值守</w:t>
            </w:r>
          </w:p>
        </w:tc>
        <w:tc>
          <w:tcPr>
            <w:tcW w:w="1701" w:type="dxa"/>
          </w:tcPr>
          <w:p w14:paraId="61DA8B1F">
            <w:pPr>
              <w:pStyle w:val="181"/>
            </w:pPr>
            <w:r>
              <w:rPr>
                <w:rFonts w:hint="eastAsia"/>
              </w:rPr>
              <w:t>报警监测</w:t>
            </w:r>
          </w:p>
        </w:tc>
        <w:tc>
          <w:tcPr>
            <w:tcW w:w="4536" w:type="dxa"/>
          </w:tcPr>
          <w:p w14:paraId="1818005A">
            <w:pPr>
              <w:pStyle w:val="181"/>
            </w:pPr>
            <w:r>
              <w:rPr>
                <w:rFonts w:hint="eastAsia"/>
              </w:rPr>
              <w:t>报警、监控、通讯和接警机制有效</w:t>
            </w:r>
          </w:p>
        </w:tc>
        <w:tc>
          <w:tcPr>
            <w:tcW w:w="1122" w:type="dxa"/>
          </w:tcPr>
          <w:p w14:paraId="6BD2393C">
            <w:pPr>
              <w:pStyle w:val="181"/>
            </w:pPr>
            <w:r>
              <w:rPr>
                <w:rFonts w:hint="eastAsia"/>
              </w:rPr>
              <w:t>6</w:t>
            </w:r>
          </w:p>
        </w:tc>
      </w:tr>
      <w:tr w14:paraId="481B3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1788E845">
            <w:pPr>
              <w:pStyle w:val="181"/>
            </w:pPr>
          </w:p>
        </w:tc>
        <w:tc>
          <w:tcPr>
            <w:tcW w:w="1701" w:type="dxa"/>
          </w:tcPr>
          <w:p w14:paraId="7A4354F0">
            <w:pPr>
              <w:pStyle w:val="181"/>
            </w:pPr>
            <w:r>
              <w:rPr>
                <w:rFonts w:hint="eastAsia"/>
              </w:rPr>
              <w:t>记录追溯</w:t>
            </w:r>
          </w:p>
        </w:tc>
        <w:tc>
          <w:tcPr>
            <w:tcW w:w="4536" w:type="dxa"/>
          </w:tcPr>
          <w:p w14:paraId="041E6C09">
            <w:pPr>
              <w:pStyle w:val="181"/>
            </w:pPr>
            <w:r>
              <w:rPr>
                <w:rFonts w:hint="eastAsia"/>
              </w:rPr>
              <w:t>值班、报警和处置记录完整可追溯</w:t>
            </w:r>
          </w:p>
        </w:tc>
        <w:tc>
          <w:tcPr>
            <w:tcW w:w="1122" w:type="dxa"/>
          </w:tcPr>
          <w:p w14:paraId="1E2337AA">
            <w:pPr>
              <w:pStyle w:val="181"/>
            </w:pPr>
            <w:r>
              <w:rPr>
                <w:rFonts w:hint="eastAsia"/>
              </w:rPr>
              <w:t>4</w:t>
            </w:r>
          </w:p>
        </w:tc>
      </w:tr>
      <w:tr w14:paraId="29230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57085EC4">
            <w:pPr>
              <w:pStyle w:val="181"/>
            </w:pPr>
            <w:r>
              <w:rPr>
                <w:rFonts w:hint="eastAsia"/>
              </w:rPr>
              <w:t>信息报告与协同联动</w:t>
            </w:r>
          </w:p>
        </w:tc>
        <w:tc>
          <w:tcPr>
            <w:tcW w:w="1701" w:type="dxa"/>
          </w:tcPr>
          <w:p w14:paraId="77287119">
            <w:pPr>
              <w:pStyle w:val="181"/>
            </w:pPr>
            <w:r>
              <w:rPr>
                <w:rFonts w:hint="eastAsia"/>
              </w:rPr>
              <w:t>报告流程</w:t>
            </w:r>
          </w:p>
        </w:tc>
        <w:tc>
          <w:tcPr>
            <w:tcW w:w="4536" w:type="dxa"/>
          </w:tcPr>
          <w:p w14:paraId="6587BB80">
            <w:pPr>
              <w:pStyle w:val="181"/>
            </w:pPr>
            <w:r>
              <w:rPr>
                <w:rFonts w:hint="eastAsia"/>
              </w:rPr>
              <w:t>内部报告、外部报告和监管报告流程明确</w:t>
            </w:r>
          </w:p>
        </w:tc>
        <w:tc>
          <w:tcPr>
            <w:tcW w:w="1122" w:type="dxa"/>
          </w:tcPr>
          <w:p w14:paraId="2330FB3D">
            <w:pPr>
              <w:pStyle w:val="181"/>
            </w:pPr>
            <w:r>
              <w:rPr>
                <w:rFonts w:hint="eastAsia"/>
              </w:rPr>
              <w:t>5</w:t>
            </w:r>
          </w:p>
        </w:tc>
      </w:tr>
      <w:tr w14:paraId="38FBE7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41187D7F">
            <w:pPr>
              <w:pStyle w:val="181"/>
            </w:pPr>
          </w:p>
        </w:tc>
        <w:tc>
          <w:tcPr>
            <w:tcW w:w="1701" w:type="dxa"/>
          </w:tcPr>
          <w:p w14:paraId="639352D7">
            <w:pPr>
              <w:pStyle w:val="181"/>
            </w:pPr>
            <w:r>
              <w:rPr>
                <w:rFonts w:hint="eastAsia"/>
              </w:rPr>
              <w:t>联动机制</w:t>
            </w:r>
          </w:p>
        </w:tc>
        <w:tc>
          <w:tcPr>
            <w:tcW w:w="4536" w:type="dxa"/>
          </w:tcPr>
          <w:p w14:paraId="25DDFCEA">
            <w:pPr>
              <w:pStyle w:val="181"/>
            </w:pPr>
            <w:r>
              <w:rPr>
                <w:rFonts w:hint="eastAsia"/>
              </w:rPr>
              <w:t>使用单位、维保单位和外部救援协同有效</w:t>
            </w:r>
          </w:p>
        </w:tc>
        <w:tc>
          <w:tcPr>
            <w:tcW w:w="1122" w:type="dxa"/>
          </w:tcPr>
          <w:p w14:paraId="503C6BAF">
            <w:pPr>
              <w:pStyle w:val="181"/>
            </w:pPr>
            <w:r>
              <w:rPr>
                <w:rFonts w:hint="eastAsia"/>
              </w:rPr>
              <w:t>6</w:t>
            </w:r>
          </w:p>
        </w:tc>
      </w:tr>
      <w:tr w14:paraId="29F41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32F7708C">
            <w:pPr>
              <w:pStyle w:val="181"/>
            </w:pPr>
            <w:r>
              <w:rPr>
                <w:rFonts w:hint="eastAsia"/>
              </w:rPr>
              <w:t>现场处置与风险控制</w:t>
            </w:r>
          </w:p>
        </w:tc>
        <w:tc>
          <w:tcPr>
            <w:tcW w:w="1701" w:type="dxa"/>
          </w:tcPr>
          <w:p w14:paraId="59A567A0">
            <w:pPr>
              <w:pStyle w:val="181"/>
            </w:pPr>
            <w:r>
              <w:rPr>
                <w:rFonts w:hint="eastAsia"/>
              </w:rPr>
              <w:t>初期处置</w:t>
            </w:r>
          </w:p>
        </w:tc>
        <w:tc>
          <w:tcPr>
            <w:tcW w:w="4536" w:type="dxa"/>
          </w:tcPr>
          <w:p w14:paraId="39854AE1">
            <w:pPr>
              <w:pStyle w:val="181"/>
            </w:pPr>
            <w:r>
              <w:rPr>
                <w:rFonts w:hint="eastAsia"/>
              </w:rPr>
              <w:t>能够实施报警、停机、断能、隔离、疏散和警戒</w:t>
            </w:r>
          </w:p>
        </w:tc>
        <w:tc>
          <w:tcPr>
            <w:tcW w:w="1122" w:type="dxa"/>
          </w:tcPr>
          <w:p w14:paraId="499666D7">
            <w:pPr>
              <w:pStyle w:val="181"/>
            </w:pPr>
            <w:r>
              <w:rPr>
                <w:rFonts w:hint="eastAsia"/>
              </w:rPr>
              <w:t>10</w:t>
            </w:r>
          </w:p>
        </w:tc>
      </w:tr>
      <w:tr w14:paraId="5988F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14F33EAB">
            <w:pPr>
              <w:pStyle w:val="181"/>
            </w:pPr>
          </w:p>
        </w:tc>
        <w:tc>
          <w:tcPr>
            <w:tcW w:w="1701" w:type="dxa"/>
          </w:tcPr>
          <w:p w14:paraId="52B7DB05">
            <w:pPr>
              <w:pStyle w:val="181"/>
            </w:pPr>
            <w:r>
              <w:rPr>
                <w:rFonts w:hint="eastAsia"/>
              </w:rPr>
              <w:t>专项处置</w:t>
            </w:r>
          </w:p>
        </w:tc>
        <w:tc>
          <w:tcPr>
            <w:tcW w:w="4536" w:type="dxa"/>
          </w:tcPr>
          <w:p w14:paraId="725A31CB">
            <w:pPr>
              <w:pStyle w:val="181"/>
            </w:pPr>
            <w:r>
              <w:rPr>
                <w:rFonts w:hint="eastAsia"/>
              </w:rPr>
              <w:t>设备类别专项处置流程正确，禁止操作明确</w:t>
            </w:r>
          </w:p>
        </w:tc>
        <w:tc>
          <w:tcPr>
            <w:tcW w:w="1122" w:type="dxa"/>
          </w:tcPr>
          <w:p w14:paraId="093536EE">
            <w:pPr>
              <w:pStyle w:val="181"/>
            </w:pPr>
            <w:r>
              <w:rPr>
                <w:rFonts w:hint="eastAsia"/>
              </w:rPr>
              <w:t>8</w:t>
            </w:r>
          </w:p>
        </w:tc>
      </w:tr>
      <w:tr w14:paraId="7DA02D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76897F9E">
            <w:pPr>
              <w:pStyle w:val="181"/>
            </w:pPr>
            <w:r>
              <w:rPr>
                <w:rFonts w:hint="eastAsia"/>
              </w:rPr>
              <w:t>应急演练与实战验证</w:t>
            </w:r>
          </w:p>
        </w:tc>
        <w:tc>
          <w:tcPr>
            <w:tcW w:w="1701" w:type="dxa"/>
          </w:tcPr>
          <w:p w14:paraId="13F1BAE0">
            <w:pPr>
              <w:pStyle w:val="181"/>
            </w:pPr>
            <w:r>
              <w:rPr>
                <w:rFonts w:hint="eastAsia"/>
              </w:rPr>
              <w:t>演练实施</w:t>
            </w:r>
          </w:p>
        </w:tc>
        <w:tc>
          <w:tcPr>
            <w:tcW w:w="4536" w:type="dxa"/>
          </w:tcPr>
          <w:p w14:paraId="3B9ADB32">
            <w:pPr>
              <w:pStyle w:val="181"/>
            </w:pPr>
            <w:r>
              <w:rPr>
                <w:rFonts w:hint="eastAsia"/>
              </w:rPr>
              <w:t>定期开展与主要风险场景匹配的演练</w:t>
            </w:r>
          </w:p>
        </w:tc>
        <w:tc>
          <w:tcPr>
            <w:tcW w:w="1122" w:type="dxa"/>
          </w:tcPr>
          <w:p w14:paraId="3ED7F35E">
            <w:pPr>
              <w:pStyle w:val="181"/>
            </w:pPr>
            <w:r>
              <w:rPr>
                <w:rFonts w:hint="eastAsia"/>
              </w:rPr>
              <w:t>6</w:t>
            </w:r>
          </w:p>
        </w:tc>
      </w:tr>
      <w:tr w14:paraId="6516E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0505E99F">
            <w:pPr>
              <w:pStyle w:val="181"/>
            </w:pPr>
          </w:p>
        </w:tc>
        <w:tc>
          <w:tcPr>
            <w:tcW w:w="1701" w:type="dxa"/>
          </w:tcPr>
          <w:p w14:paraId="4EE0383A">
            <w:pPr>
              <w:pStyle w:val="181"/>
            </w:pPr>
            <w:r>
              <w:rPr>
                <w:rFonts w:hint="eastAsia"/>
              </w:rPr>
              <w:t>演练改进</w:t>
            </w:r>
          </w:p>
        </w:tc>
        <w:tc>
          <w:tcPr>
            <w:tcW w:w="4536" w:type="dxa"/>
          </w:tcPr>
          <w:p w14:paraId="0AD9DD25">
            <w:pPr>
              <w:pStyle w:val="181"/>
            </w:pPr>
            <w:r>
              <w:rPr>
                <w:rFonts w:hint="eastAsia"/>
              </w:rPr>
              <w:t>演练有评价、有问题、有整改、有验证</w:t>
            </w:r>
          </w:p>
        </w:tc>
        <w:tc>
          <w:tcPr>
            <w:tcW w:w="1122" w:type="dxa"/>
          </w:tcPr>
          <w:p w14:paraId="63058046">
            <w:pPr>
              <w:pStyle w:val="181"/>
            </w:pPr>
            <w:r>
              <w:rPr>
                <w:rFonts w:hint="eastAsia"/>
              </w:rPr>
              <w:t>4</w:t>
            </w:r>
          </w:p>
        </w:tc>
      </w:tr>
      <w:tr w14:paraId="2C9EA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39CB928A">
            <w:pPr>
              <w:pStyle w:val="181"/>
            </w:pPr>
            <w:r>
              <w:rPr>
                <w:rFonts w:hint="eastAsia"/>
              </w:rPr>
              <w:t>恢复管理与持续改进</w:t>
            </w:r>
          </w:p>
        </w:tc>
        <w:tc>
          <w:tcPr>
            <w:tcW w:w="1701" w:type="dxa"/>
          </w:tcPr>
          <w:p w14:paraId="51C18682">
            <w:pPr>
              <w:pStyle w:val="181"/>
            </w:pPr>
            <w:r>
              <w:rPr>
                <w:rFonts w:hint="eastAsia"/>
              </w:rPr>
              <w:t>恢复确认</w:t>
            </w:r>
          </w:p>
        </w:tc>
        <w:tc>
          <w:tcPr>
            <w:tcW w:w="4536" w:type="dxa"/>
          </w:tcPr>
          <w:p w14:paraId="085202EB">
            <w:pPr>
              <w:pStyle w:val="181"/>
            </w:pPr>
            <w:r>
              <w:rPr>
                <w:rFonts w:hint="eastAsia"/>
              </w:rPr>
              <w:t>设备恢复运行前有检查、维修或验证记录</w:t>
            </w:r>
          </w:p>
        </w:tc>
        <w:tc>
          <w:tcPr>
            <w:tcW w:w="1122" w:type="dxa"/>
          </w:tcPr>
          <w:p w14:paraId="4D46B51B">
            <w:pPr>
              <w:pStyle w:val="181"/>
            </w:pPr>
            <w:r>
              <w:rPr>
                <w:rFonts w:hint="eastAsia"/>
              </w:rPr>
              <w:t>4</w:t>
            </w:r>
          </w:p>
        </w:tc>
      </w:tr>
      <w:tr w14:paraId="02FD5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5E96F286">
            <w:pPr>
              <w:pStyle w:val="181"/>
            </w:pPr>
          </w:p>
        </w:tc>
        <w:tc>
          <w:tcPr>
            <w:tcW w:w="1701" w:type="dxa"/>
          </w:tcPr>
          <w:p w14:paraId="5FE2F7D6">
            <w:pPr>
              <w:pStyle w:val="181"/>
            </w:pPr>
            <w:r>
              <w:rPr>
                <w:rFonts w:hint="eastAsia"/>
              </w:rPr>
              <w:t>持续改进</w:t>
            </w:r>
          </w:p>
        </w:tc>
        <w:tc>
          <w:tcPr>
            <w:tcW w:w="4536" w:type="dxa"/>
          </w:tcPr>
          <w:p w14:paraId="214AC1EF">
            <w:pPr>
              <w:pStyle w:val="181"/>
            </w:pPr>
            <w:r>
              <w:rPr>
                <w:rFonts w:hint="eastAsia"/>
              </w:rPr>
              <w:t>重复问题开展原因分析和专项改进</w:t>
            </w:r>
          </w:p>
        </w:tc>
        <w:tc>
          <w:tcPr>
            <w:tcW w:w="1122" w:type="dxa"/>
          </w:tcPr>
          <w:p w14:paraId="4BFEA499">
            <w:pPr>
              <w:pStyle w:val="181"/>
            </w:pPr>
            <w:r>
              <w:rPr>
                <w:rFonts w:hint="eastAsia"/>
              </w:rPr>
              <w:t>4</w:t>
            </w:r>
          </w:p>
        </w:tc>
      </w:tr>
      <w:tr w14:paraId="09C25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vAlign w:val="center"/>
          </w:tcPr>
          <w:p w14:paraId="4B643E85">
            <w:pPr>
              <w:pStyle w:val="181"/>
            </w:pPr>
            <w:r>
              <w:rPr>
                <w:rFonts w:hint="eastAsia"/>
              </w:rPr>
              <w:t>档案记录与证据追溯</w:t>
            </w:r>
          </w:p>
        </w:tc>
        <w:tc>
          <w:tcPr>
            <w:tcW w:w="1701" w:type="dxa"/>
          </w:tcPr>
          <w:p w14:paraId="5FBF5307">
            <w:pPr>
              <w:pStyle w:val="181"/>
            </w:pPr>
            <w:r>
              <w:rPr>
                <w:rFonts w:hint="eastAsia"/>
              </w:rPr>
              <w:t>档案完整</w:t>
            </w:r>
          </w:p>
        </w:tc>
        <w:tc>
          <w:tcPr>
            <w:tcW w:w="4536" w:type="dxa"/>
          </w:tcPr>
          <w:p w14:paraId="49E114CD">
            <w:pPr>
              <w:pStyle w:val="181"/>
            </w:pPr>
            <w:r>
              <w:rPr>
                <w:rFonts w:hint="eastAsia"/>
              </w:rPr>
              <w:t>预案、培训、演练、处置、整改资料完整</w:t>
            </w:r>
          </w:p>
        </w:tc>
        <w:tc>
          <w:tcPr>
            <w:tcW w:w="1122" w:type="dxa"/>
          </w:tcPr>
          <w:p w14:paraId="5AE7CD78">
            <w:pPr>
              <w:pStyle w:val="181"/>
            </w:pPr>
            <w:r>
              <w:rPr>
                <w:rFonts w:hint="eastAsia"/>
              </w:rPr>
              <w:t>5</w:t>
            </w:r>
          </w:p>
        </w:tc>
      </w:tr>
      <w:tr w14:paraId="48BF4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Pr>
          <w:p w14:paraId="00501298">
            <w:pPr>
              <w:pStyle w:val="181"/>
            </w:pPr>
          </w:p>
        </w:tc>
        <w:tc>
          <w:tcPr>
            <w:tcW w:w="1701" w:type="dxa"/>
          </w:tcPr>
          <w:p w14:paraId="1AE5F33D">
            <w:pPr>
              <w:pStyle w:val="181"/>
            </w:pPr>
            <w:r>
              <w:rPr>
                <w:rFonts w:hint="eastAsia"/>
              </w:rPr>
              <w:t>证据一致</w:t>
            </w:r>
          </w:p>
        </w:tc>
        <w:tc>
          <w:tcPr>
            <w:tcW w:w="4536" w:type="dxa"/>
          </w:tcPr>
          <w:p w14:paraId="02B13079">
            <w:pPr>
              <w:pStyle w:val="181"/>
            </w:pPr>
            <w:r>
              <w:rPr>
                <w:rFonts w:hint="eastAsia"/>
              </w:rPr>
              <w:t>资料、现场、人员回答和记录相互一致</w:t>
            </w:r>
          </w:p>
        </w:tc>
        <w:tc>
          <w:tcPr>
            <w:tcW w:w="1122" w:type="dxa"/>
          </w:tcPr>
          <w:p w14:paraId="629D547E">
            <w:pPr>
              <w:pStyle w:val="181"/>
            </w:pPr>
            <w:r>
              <w:rPr>
                <w:rFonts w:hint="eastAsia"/>
              </w:rPr>
              <w:t>5</w:t>
            </w:r>
          </w:p>
        </w:tc>
      </w:tr>
    </w:tbl>
    <w:p w14:paraId="39FC1A77">
      <w:pPr>
        <w:pStyle w:val="214"/>
        <w:spacing w:before="120" w:beforeLines="50" w:line="360" w:lineRule="auto"/>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r>
        <w:t>表A.1总分为100分。评价单位可根据设备类别、场所风险和评价目的调整分值，但应在评价前明确调整规则。</w:t>
      </w:r>
    </w:p>
    <w:p w14:paraId="20D5328D">
      <w:pPr>
        <w:pStyle w:val="201"/>
        <w:rPr>
          <w:rFonts w:hint="eastAsia"/>
        </w:rPr>
      </w:pPr>
    </w:p>
    <w:p w14:paraId="7110C4D7">
      <w:pPr>
        <w:pStyle w:val="202"/>
      </w:pPr>
    </w:p>
    <w:p w14:paraId="6A896BCD">
      <w:pPr>
        <w:pStyle w:val="79"/>
        <w:spacing w:after="120" w:line="360" w:lineRule="auto"/>
      </w:pPr>
      <w:r>
        <w:br w:type="textWrapping"/>
      </w:r>
      <w:bookmarkStart w:id="62" w:name="_Toc228611826"/>
      <w:r>
        <w:rPr>
          <w:rFonts w:hint="eastAsia"/>
        </w:rPr>
        <w:t>（资料性）</w:t>
      </w:r>
      <w:r>
        <w:br w:type="textWrapping"/>
      </w:r>
      <w:r>
        <w:rPr>
          <w:rFonts w:hint="eastAsia"/>
        </w:rPr>
        <w:t>问题整改验证记录表</w:t>
      </w:r>
      <w:bookmarkEnd w:id="62"/>
    </w:p>
    <w:p w14:paraId="484FBC4A">
      <w:pPr>
        <w:pStyle w:val="214"/>
        <w:spacing w:line="360" w:lineRule="auto"/>
      </w:pPr>
      <w:r>
        <w:t>特种设备应急处置能力评价问题整改验证记录可按表B.1执行。</w:t>
      </w:r>
    </w:p>
    <w:p w14:paraId="690C26A7">
      <w:pPr>
        <w:pStyle w:val="80"/>
        <w:spacing w:before="120" w:after="120" w:line="360" w:lineRule="auto"/>
      </w:pPr>
      <w:r>
        <w:t>问题整改验证记录表</w:t>
      </w: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
        <w:gridCol w:w="1124"/>
        <w:gridCol w:w="993"/>
        <w:gridCol w:w="1881"/>
        <w:gridCol w:w="664"/>
        <w:gridCol w:w="573"/>
        <w:gridCol w:w="1985"/>
        <w:gridCol w:w="780"/>
        <w:gridCol w:w="1334"/>
      </w:tblGrid>
      <w:tr w14:paraId="386D8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44F42CCF">
            <w:pPr>
              <w:pStyle w:val="59"/>
              <w:ind w:firstLine="0" w:firstLineChars="0"/>
              <w:rPr>
                <w:sz w:val="18"/>
                <w:szCs w:val="18"/>
              </w:rPr>
            </w:pPr>
            <w:r>
              <w:rPr>
                <w:rFonts w:hint="eastAsia"/>
                <w:sz w:val="18"/>
                <w:szCs w:val="18"/>
              </w:rPr>
              <w:t>被评价单位：_________</w:t>
            </w:r>
          </w:p>
        </w:tc>
        <w:tc>
          <w:tcPr>
            <w:tcW w:w="4672" w:type="dxa"/>
            <w:gridSpan w:val="4"/>
          </w:tcPr>
          <w:p w14:paraId="6667D544">
            <w:pPr>
              <w:pStyle w:val="59"/>
              <w:ind w:firstLine="2520" w:firstLineChars="1400"/>
              <w:rPr>
                <w:sz w:val="18"/>
                <w:szCs w:val="18"/>
              </w:rPr>
            </w:pPr>
            <w:r>
              <w:rPr>
                <w:sz w:val="18"/>
                <w:szCs w:val="18"/>
              </w:rPr>
              <w:t>评价日期</w:t>
            </w:r>
            <w:r>
              <w:rPr>
                <w:rFonts w:hint="eastAsia"/>
                <w:sz w:val="18"/>
                <w:szCs w:val="18"/>
              </w:rPr>
              <w:t>：_________</w:t>
            </w:r>
          </w:p>
        </w:tc>
      </w:tr>
      <w:tr w14:paraId="5C1E6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5D5E1025">
            <w:pPr>
              <w:pStyle w:val="59"/>
              <w:ind w:firstLine="0" w:firstLineChars="0"/>
              <w:rPr>
                <w:sz w:val="18"/>
                <w:szCs w:val="18"/>
              </w:rPr>
            </w:pPr>
            <w:r>
              <w:rPr>
                <w:rFonts w:hint="eastAsia"/>
                <w:sz w:val="18"/>
                <w:szCs w:val="18"/>
              </w:rPr>
              <w:t>设备类别：_________</w:t>
            </w:r>
          </w:p>
        </w:tc>
        <w:tc>
          <w:tcPr>
            <w:tcW w:w="4672" w:type="dxa"/>
            <w:gridSpan w:val="4"/>
          </w:tcPr>
          <w:p w14:paraId="7C9E332E">
            <w:pPr>
              <w:pStyle w:val="59"/>
              <w:ind w:firstLine="2520" w:firstLineChars="1400"/>
              <w:rPr>
                <w:sz w:val="18"/>
                <w:szCs w:val="18"/>
              </w:rPr>
            </w:pPr>
            <w:r>
              <w:rPr>
                <w:sz w:val="18"/>
                <w:szCs w:val="18"/>
              </w:rPr>
              <w:t>验证日期</w:t>
            </w:r>
            <w:r>
              <w:rPr>
                <w:rFonts w:hint="eastAsia"/>
                <w:sz w:val="18"/>
                <w:szCs w:val="18"/>
              </w:rPr>
              <w:t>：_________</w:t>
            </w:r>
          </w:p>
        </w:tc>
      </w:tr>
      <w:tr w14:paraId="34E30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1466F59F">
            <w:pPr>
              <w:pStyle w:val="59"/>
              <w:ind w:firstLine="0" w:firstLineChars="0"/>
              <w:rPr>
                <w:sz w:val="18"/>
                <w:szCs w:val="18"/>
              </w:rPr>
            </w:pPr>
            <w:r>
              <w:rPr>
                <w:rFonts w:hint="eastAsia"/>
                <w:sz w:val="18"/>
                <w:szCs w:val="18"/>
              </w:rPr>
              <w:t>验证人员：_________</w:t>
            </w:r>
          </w:p>
        </w:tc>
        <w:tc>
          <w:tcPr>
            <w:tcW w:w="4672" w:type="dxa"/>
            <w:gridSpan w:val="4"/>
          </w:tcPr>
          <w:p w14:paraId="4CE98012">
            <w:pPr>
              <w:pStyle w:val="59"/>
              <w:ind w:firstLine="2520" w:firstLineChars="1400"/>
              <w:rPr>
                <w:sz w:val="18"/>
                <w:szCs w:val="18"/>
              </w:rPr>
            </w:pPr>
            <w:r>
              <w:rPr>
                <w:sz w:val="18"/>
                <w:szCs w:val="18"/>
              </w:rPr>
              <w:t>整改责任人</w:t>
            </w:r>
            <w:r>
              <w:rPr>
                <w:rFonts w:hint="eastAsia"/>
                <w:sz w:val="18"/>
                <w:szCs w:val="18"/>
              </w:rPr>
              <w:t>：_________</w:t>
            </w:r>
          </w:p>
        </w:tc>
      </w:tr>
      <w:tr w14:paraId="662EA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tblHeader/>
          <w:jc w:val="center"/>
        </w:trPr>
        <w:tc>
          <w:tcPr>
            <w:tcW w:w="1124" w:type="dxa"/>
            <w:tcBorders>
              <w:top w:val="single" w:color="auto" w:sz="8" w:space="0"/>
              <w:bottom w:val="single" w:color="auto" w:sz="8" w:space="0"/>
            </w:tcBorders>
            <w:vAlign w:val="center"/>
          </w:tcPr>
          <w:p w14:paraId="1CFE434F">
            <w:pPr>
              <w:pStyle w:val="181"/>
            </w:pPr>
            <w:r>
              <w:rPr>
                <w:rFonts w:hint="eastAsia"/>
              </w:rPr>
              <w:t>问题编号</w:t>
            </w:r>
          </w:p>
        </w:tc>
        <w:tc>
          <w:tcPr>
            <w:tcW w:w="993" w:type="dxa"/>
            <w:tcBorders>
              <w:top w:val="single" w:color="auto" w:sz="8" w:space="0"/>
              <w:bottom w:val="single" w:color="auto" w:sz="8" w:space="0"/>
            </w:tcBorders>
            <w:vAlign w:val="center"/>
          </w:tcPr>
          <w:p w14:paraId="6168E85E">
            <w:pPr>
              <w:pStyle w:val="181"/>
            </w:pPr>
            <w:r>
              <w:rPr>
                <w:rFonts w:hint="eastAsia"/>
              </w:rPr>
              <w:t>问题描述</w:t>
            </w:r>
          </w:p>
        </w:tc>
        <w:tc>
          <w:tcPr>
            <w:tcW w:w="1881" w:type="dxa"/>
            <w:tcBorders>
              <w:top w:val="single" w:color="auto" w:sz="8" w:space="0"/>
              <w:bottom w:val="single" w:color="auto" w:sz="8" w:space="0"/>
            </w:tcBorders>
            <w:vAlign w:val="center"/>
          </w:tcPr>
          <w:p w14:paraId="10A7409C">
            <w:pPr>
              <w:pStyle w:val="181"/>
            </w:pPr>
            <w:r>
              <w:rPr>
                <w:rFonts w:hint="eastAsia"/>
              </w:rPr>
              <w:t>问题等级</w:t>
            </w:r>
          </w:p>
        </w:tc>
        <w:tc>
          <w:tcPr>
            <w:tcW w:w="1237" w:type="dxa"/>
            <w:gridSpan w:val="2"/>
            <w:tcBorders>
              <w:top w:val="single" w:color="auto" w:sz="8" w:space="0"/>
              <w:bottom w:val="single" w:color="auto" w:sz="8" w:space="0"/>
            </w:tcBorders>
            <w:vAlign w:val="center"/>
          </w:tcPr>
          <w:p w14:paraId="7B6647B5">
            <w:pPr>
              <w:pStyle w:val="181"/>
            </w:pPr>
            <w:r>
              <w:rPr>
                <w:rFonts w:hint="eastAsia"/>
              </w:rPr>
              <w:t>整改措施</w:t>
            </w:r>
          </w:p>
        </w:tc>
        <w:tc>
          <w:tcPr>
            <w:tcW w:w="1985" w:type="dxa"/>
            <w:tcBorders>
              <w:top w:val="single" w:color="auto" w:sz="8" w:space="0"/>
              <w:bottom w:val="single" w:color="auto" w:sz="8" w:space="0"/>
            </w:tcBorders>
            <w:vAlign w:val="center"/>
          </w:tcPr>
          <w:p w14:paraId="1DD9DCF2">
            <w:pPr>
              <w:pStyle w:val="181"/>
            </w:pPr>
            <w:r>
              <w:rPr>
                <w:rFonts w:hint="eastAsia"/>
              </w:rPr>
              <w:t>验证方式</w:t>
            </w:r>
          </w:p>
        </w:tc>
        <w:tc>
          <w:tcPr>
            <w:tcW w:w="780" w:type="dxa"/>
            <w:tcBorders>
              <w:top w:val="single" w:color="auto" w:sz="8" w:space="0"/>
              <w:bottom w:val="single" w:color="auto" w:sz="8" w:space="0"/>
            </w:tcBorders>
            <w:vAlign w:val="center"/>
          </w:tcPr>
          <w:p w14:paraId="49FE02DC">
            <w:pPr>
              <w:pStyle w:val="181"/>
            </w:pPr>
            <w:r>
              <w:rPr>
                <w:rFonts w:hint="eastAsia"/>
              </w:rPr>
              <w:t>验证结果</w:t>
            </w:r>
          </w:p>
        </w:tc>
        <w:tc>
          <w:tcPr>
            <w:tcW w:w="1334" w:type="dxa"/>
            <w:tcBorders>
              <w:top w:val="single" w:color="auto" w:sz="8" w:space="0"/>
              <w:bottom w:val="single" w:color="auto" w:sz="8" w:space="0"/>
            </w:tcBorders>
            <w:vAlign w:val="center"/>
          </w:tcPr>
          <w:p w14:paraId="30C08EAF">
            <w:pPr>
              <w:pStyle w:val="181"/>
            </w:pPr>
            <w:r>
              <w:rPr>
                <w:rFonts w:hint="eastAsia"/>
              </w:rPr>
              <w:t>是否关闭</w:t>
            </w:r>
          </w:p>
        </w:tc>
      </w:tr>
      <w:tr w14:paraId="043B81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24" w:type="dxa"/>
            <w:tcBorders>
              <w:top w:val="single" w:color="auto" w:sz="8" w:space="0"/>
            </w:tcBorders>
            <w:vAlign w:val="center"/>
          </w:tcPr>
          <w:p w14:paraId="266861B8">
            <w:pPr>
              <w:pStyle w:val="181"/>
            </w:pPr>
          </w:p>
        </w:tc>
        <w:tc>
          <w:tcPr>
            <w:tcW w:w="993" w:type="dxa"/>
            <w:tcBorders>
              <w:top w:val="single" w:color="auto" w:sz="8" w:space="0"/>
            </w:tcBorders>
            <w:vAlign w:val="center"/>
          </w:tcPr>
          <w:p w14:paraId="0D798652">
            <w:pPr>
              <w:pStyle w:val="181"/>
            </w:pPr>
          </w:p>
        </w:tc>
        <w:tc>
          <w:tcPr>
            <w:tcW w:w="1881" w:type="dxa"/>
            <w:tcBorders>
              <w:top w:val="single" w:color="auto" w:sz="8" w:space="0"/>
            </w:tcBorders>
            <w:vAlign w:val="center"/>
          </w:tcPr>
          <w:p w14:paraId="7FC0EC78">
            <w:pPr>
              <w:pStyle w:val="181"/>
            </w:pPr>
            <w:r>
              <w:rPr>
                <w:rFonts w:hint="eastAsia"/>
              </w:rPr>
              <w:t>□重大</w:t>
            </w:r>
          </w:p>
          <w:p w14:paraId="0A9B9C8F">
            <w:pPr>
              <w:pStyle w:val="181"/>
            </w:pPr>
            <w:r>
              <w:rPr>
                <w:rFonts w:hint="eastAsia"/>
              </w:rPr>
              <w:t>□较大</w:t>
            </w:r>
          </w:p>
          <w:p w14:paraId="0A22AD4B">
            <w:pPr>
              <w:pStyle w:val="181"/>
            </w:pPr>
            <w:r>
              <w:rPr>
                <w:rFonts w:hint="eastAsia"/>
              </w:rPr>
              <w:t>□一般</w:t>
            </w:r>
          </w:p>
        </w:tc>
        <w:tc>
          <w:tcPr>
            <w:tcW w:w="1237" w:type="dxa"/>
            <w:gridSpan w:val="2"/>
            <w:tcBorders>
              <w:top w:val="single" w:color="auto" w:sz="8" w:space="0"/>
            </w:tcBorders>
            <w:vAlign w:val="center"/>
          </w:tcPr>
          <w:p w14:paraId="6F5EBDE1">
            <w:pPr>
              <w:pStyle w:val="181"/>
            </w:pPr>
          </w:p>
        </w:tc>
        <w:tc>
          <w:tcPr>
            <w:tcW w:w="1985" w:type="dxa"/>
            <w:tcBorders>
              <w:top w:val="single" w:color="auto" w:sz="8" w:space="0"/>
            </w:tcBorders>
            <w:vAlign w:val="center"/>
          </w:tcPr>
          <w:p w14:paraId="1D7887D6">
            <w:pPr>
              <w:pStyle w:val="181"/>
            </w:pPr>
            <w:r>
              <w:rPr>
                <w:rFonts w:hint="eastAsia"/>
              </w:rPr>
              <w:t>□资料复核</w:t>
            </w:r>
          </w:p>
          <w:p w14:paraId="3F449C46">
            <w:pPr>
              <w:pStyle w:val="181"/>
            </w:pPr>
            <w:r>
              <w:rPr>
                <w:rFonts w:hint="eastAsia"/>
              </w:rPr>
              <w:t>□现场复查</w:t>
            </w:r>
          </w:p>
          <w:p w14:paraId="2CD6AAF4">
            <w:pPr>
              <w:pStyle w:val="181"/>
            </w:pPr>
            <w:r>
              <w:rPr>
                <w:rFonts w:hint="eastAsia"/>
              </w:rPr>
              <w:t>□人员询问</w:t>
            </w:r>
          </w:p>
          <w:p w14:paraId="1B4A2817">
            <w:pPr>
              <w:pStyle w:val="181"/>
            </w:pPr>
            <w:r>
              <w:rPr>
                <w:rFonts w:hint="eastAsia"/>
              </w:rPr>
              <w:t>□功能测试</w:t>
            </w:r>
          </w:p>
          <w:p w14:paraId="20A76451">
            <w:pPr>
              <w:pStyle w:val="181"/>
            </w:pPr>
            <w:r>
              <w:rPr>
                <w:rFonts w:hint="eastAsia"/>
              </w:rPr>
              <w:t>□演练验证</w:t>
            </w:r>
          </w:p>
        </w:tc>
        <w:tc>
          <w:tcPr>
            <w:tcW w:w="780" w:type="dxa"/>
            <w:tcBorders>
              <w:top w:val="single" w:color="auto" w:sz="8" w:space="0"/>
            </w:tcBorders>
            <w:vAlign w:val="center"/>
          </w:tcPr>
          <w:p w14:paraId="50C02967">
            <w:pPr>
              <w:pStyle w:val="181"/>
            </w:pPr>
          </w:p>
        </w:tc>
        <w:tc>
          <w:tcPr>
            <w:tcW w:w="1334" w:type="dxa"/>
            <w:tcBorders>
              <w:top w:val="single" w:color="auto" w:sz="8" w:space="0"/>
            </w:tcBorders>
            <w:vAlign w:val="center"/>
          </w:tcPr>
          <w:p w14:paraId="7701342C">
            <w:pPr>
              <w:pStyle w:val="181"/>
            </w:pPr>
            <w:r>
              <w:rPr>
                <w:rFonts w:hint="eastAsia"/>
              </w:rPr>
              <w:t>□是 □否</w:t>
            </w:r>
          </w:p>
        </w:tc>
      </w:tr>
      <w:tr w14:paraId="27A94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24" w:type="dxa"/>
            <w:vAlign w:val="center"/>
          </w:tcPr>
          <w:p w14:paraId="79E14621">
            <w:pPr>
              <w:pStyle w:val="181"/>
            </w:pPr>
          </w:p>
        </w:tc>
        <w:tc>
          <w:tcPr>
            <w:tcW w:w="993" w:type="dxa"/>
            <w:vAlign w:val="center"/>
          </w:tcPr>
          <w:p w14:paraId="524C52C7">
            <w:pPr>
              <w:pStyle w:val="181"/>
            </w:pPr>
          </w:p>
        </w:tc>
        <w:tc>
          <w:tcPr>
            <w:tcW w:w="1881" w:type="dxa"/>
            <w:vAlign w:val="center"/>
          </w:tcPr>
          <w:p w14:paraId="074DB28F">
            <w:pPr>
              <w:pStyle w:val="181"/>
            </w:pPr>
            <w:r>
              <w:rPr>
                <w:rFonts w:hint="eastAsia"/>
              </w:rPr>
              <w:t>□重大</w:t>
            </w:r>
          </w:p>
          <w:p w14:paraId="186C5BE9">
            <w:pPr>
              <w:pStyle w:val="181"/>
            </w:pPr>
            <w:r>
              <w:rPr>
                <w:rFonts w:hint="eastAsia"/>
              </w:rPr>
              <w:t>□较大</w:t>
            </w:r>
          </w:p>
          <w:p w14:paraId="5510809F">
            <w:pPr>
              <w:pStyle w:val="181"/>
            </w:pPr>
            <w:r>
              <w:rPr>
                <w:rFonts w:hint="eastAsia"/>
              </w:rPr>
              <w:t>□一般</w:t>
            </w:r>
          </w:p>
        </w:tc>
        <w:tc>
          <w:tcPr>
            <w:tcW w:w="1237" w:type="dxa"/>
            <w:gridSpan w:val="2"/>
            <w:vAlign w:val="center"/>
          </w:tcPr>
          <w:p w14:paraId="752335EA">
            <w:pPr>
              <w:pStyle w:val="181"/>
            </w:pPr>
          </w:p>
        </w:tc>
        <w:tc>
          <w:tcPr>
            <w:tcW w:w="1985" w:type="dxa"/>
            <w:vAlign w:val="center"/>
          </w:tcPr>
          <w:p w14:paraId="76B49F76">
            <w:pPr>
              <w:pStyle w:val="181"/>
            </w:pPr>
            <w:r>
              <w:rPr>
                <w:rFonts w:hint="eastAsia"/>
              </w:rPr>
              <w:t>□资料复核</w:t>
            </w:r>
          </w:p>
          <w:p w14:paraId="21E25D4C">
            <w:pPr>
              <w:pStyle w:val="181"/>
            </w:pPr>
            <w:r>
              <w:rPr>
                <w:rFonts w:hint="eastAsia"/>
              </w:rPr>
              <w:t>□现场复查</w:t>
            </w:r>
          </w:p>
          <w:p w14:paraId="6EE21512">
            <w:pPr>
              <w:pStyle w:val="181"/>
            </w:pPr>
            <w:r>
              <w:rPr>
                <w:rFonts w:hint="eastAsia"/>
              </w:rPr>
              <w:t>□人员询问</w:t>
            </w:r>
          </w:p>
          <w:p w14:paraId="4FD5DC23">
            <w:pPr>
              <w:pStyle w:val="181"/>
            </w:pPr>
            <w:r>
              <w:rPr>
                <w:rFonts w:hint="eastAsia"/>
              </w:rPr>
              <w:t>□功能测试</w:t>
            </w:r>
          </w:p>
          <w:p w14:paraId="62D85043">
            <w:pPr>
              <w:pStyle w:val="181"/>
            </w:pPr>
            <w:r>
              <w:rPr>
                <w:rFonts w:hint="eastAsia"/>
              </w:rPr>
              <w:t>□演练验证</w:t>
            </w:r>
          </w:p>
        </w:tc>
        <w:tc>
          <w:tcPr>
            <w:tcW w:w="780" w:type="dxa"/>
            <w:vAlign w:val="center"/>
          </w:tcPr>
          <w:p w14:paraId="1F8BF6BB">
            <w:pPr>
              <w:pStyle w:val="181"/>
            </w:pPr>
          </w:p>
        </w:tc>
        <w:tc>
          <w:tcPr>
            <w:tcW w:w="1334" w:type="dxa"/>
            <w:vAlign w:val="center"/>
          </w:tcPr>
          <w:p w14:paraId="578515FC">
            <w:pPr>
              <w:pStyle w:val="181"/>
            </w:pPr>
            <w:r>
              <w:rPr>
                <w:rFonts w:hint="eastAsia"/>
              </w:rPr>
              <w:t>□是 □否</w:t>
            </w:r>
          </w:p>
        </w:tc>
      </w:tr>
      <w:tr w14:paraId="37F3E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24" w:type="dxa"/>
            <w:vAlign w:val="center"/>
          </w:tcPr>
          <w:p w14:paraId="24B99765">
            <w:pPr>
              <w:pStyle w:val="181"/>
            </w:pPr>
          </w:p>
        </w:tc>
        <w:tc>
          <w:tcPr>
            <w:tcW w:w="993" w:type="dxa"/>
            <w:vAlign w:val="center"/>
          </w:tcPr>
          <w:p w14:paraId="7EF1C4CB">
            <w:pPr>
              <w:pStyle w:val="181"/>
            </w:pPr>
          </w:p>
        </w:tc>
        <w:tc>
          <w:tcPr>
            <w:tcW w:w="1881" w:type="dxa"/>
            <w:vAlign w:val="center"/>
          </w:tcPr>
          <w:p w14:paraId="0114A84B">
            <w:pPr>
              <w:pStyle w:val="181"/>
            </w:pPr>
            <w:r>
              <w:rPr>
                <w:rFonts w:hint="eastAsia"/>
              </w:rPr>
              <w:t>□重大</w:t>
            </w:r>
          </w:p>
          <w:p w14:paraId="456B0500">
            <w:pPr>
              <w:pStyle w:val="181"/>
            </w:pPr>
            <w:r>
              <w:rPr>
                <w:rFonts w:hint="eastAsia"/>
              </w:rPr>
              <w:t>□较大</w:t>
            </w:r>
          </w:p>
          <w:p w14:paraId="1C17AE69">
            <w:pPr>
              <w:pStyle w:val="181"/>
            </w:pPr>
            <w:r>
              <w:rPr>
                <w:rFonts w:hint="eastAsia"/>
              </w:rPr>
              <w:t>□一般</w:t>
            </w:r>
          </w:p>
        </w:tc>
        <w:tc>
          <w:tcPr>
            <w:tcW w:w="1237" w:type="dxa"/>
            <w:gridSpan w:val="2"/>
            <w:vAlign w:val="center"/>
          </w:tcPr>
          <w:p w14:paraId="538AC5FD">
            <w:pPr>
              <w:pStyle w:val="181"/>
            </w:pPr>
          </w:p>
        </w:tc>
        <w:tc>
          <w:tcPr>
            <w:tcW w:w="1985" w:type="dxa"/>
            <w:vAlign w:val="center"/>
          </w:tcPr>
          <w:p w14:paraId="50D31EBC">
            <w:pPr>
              <w:pStyle w:val="181"/>
            </w:pPr>
            <w:r>
              <w:rPr>
                <w:rFonts w:hint="eastAsia"/>
              </w:rPr>
              <w:t>□资料复核</w:t>
            </w:r>
          </w:p>
          <w:p w14:paraId="1CC4B2C7">
            <w:pPr>
              <w:pStyle w:val="181"/>
            </w:pPr>
            <w:r>
              <w:rPr>
                <w:rFonts w:hint="eastAsia"/>
              </w:rPr>
              <w:t>□现场复查</w:t>
            </w:r>
          </w:p>
          <w:p w14:paraId="4F95D136">
            <w:pPr>
              <w:pStyle w:val="181"/>
            </w:pPr>
            <w:r>
              <w:rPr>
                <w:rFonts w:hint="eastAsia"/>
              </w:rPr>
              <w:t>□人员询问</w:t>
            </w:r>
          </w:p>
          <w:p w14:paraId="58D97634">
            <w:pPr>
              <w:pStyle w:val="181"/>
            </w:pPr>
            <w:r>
              <w:rPr>
                <w:rFonts w:hint="eastAsia"/>
              </w:rPr>
              <w:t>□功能测试</w:t>
            </w:r>
          </w:p>
          <w:p w14:paraId="0DDA5E91">
            <w:pPr>
              <w:pStyle w:val="181"/>
            </w:pPr>
            <w:r>
              <w:rPr>
                <w:rFonts w:hint="eastAsia"/>
              </w:rPr>
              <w:t>□演练验证</w:t>
            </w:r>
          </w:p>
        </w:tc>
        <w:tc>
          <w:tcPr>
            <w:tcW w:w="780" w:type="dxa"/>
            <w:vAlign w:val="center"/>
          </w:tcPr>
          <w:p w14:paraId="0D6AAA7C">
            <w:pPr>
              <w:pStyle w:val="181"/>
            </w:pPr>
          </w:p>
        </w:tc>
        <w:tc>
          <w:tcPr>
            <w:tcW w:w="1334" w:type="dxa"/>
            <w:vAlign w:val="center"/>
          </w:tcPr>
          <w:p w14:paraId="501B074D">
            <w:pPr>
              <w:pStyle w:val="181"/>
            </w:pPr>
            <w:r>
              <w:rPr>
                <w:rFonts w:hint="eastAsia"/>
              </w:rPr>
              <w:t>□是 □否</w:t>
            </w:r>
          </w:p>
        </w:tc>
      </w:tr>
    </w:tbl>
    <w:p w14:paraId="2849E872">
      <w:pPr>
        <w:pStyle w:val="59"/>
        <w:ind w:firstLine="420"/>
      </w:pPr>
    </w:p>
    <w:bookmarkEnd w:id="60"/>
    <w:p w14:paraId="419C49AB">
      <w:pPr>
        <w:pStyle w:val="59"/>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3" w:name="BookMark6"/>
    </w:p>
    <w:p w14:paraId="66968F7F">
      <w:pPr>
        <w:pStyle w:val="66"/>
        <w:spacing w:after="120" w:line="360" w:lineRule="auto"/>
      </w:pPr>
      <w:bookmarkStart w:id="64" w:name="_Toc228611827"/>
      <w:r>
        <w:rPr>
          <w:rFonts w:hint="eastAsia"/>
          <w:spacing w:val="105"/>
        </w:rPr>
        <w:t>参考文</w:t>
      </w:r>
      <w:r>
        <w:rPr>
          <w:rFonts w:hint="eastAsia"/>
        </w:rPr>
        <w:t>献</w:t>
      </w:r>
      <w:bookmarkEnd w:id="64"/>
    </w:p>
    <w:p w14:paraId="1118526B">
      <w:pPr>
        <w:pStyle w:val="59"/>
        <w:spacing w:line="360" w:lineRule="auto"/>
        <w:ind w:firstLine="420"/>
      </w:pPr>
      <w:r>
        <w:rPr>
          <w:rFonts w:hint="eastAsia"/>
        </w:rPr>
        <w:t>[1] GB/T 1.1 标准化工作导则 第1部分：标准化文件的结构和起草规则</w:t>
      </w:r>
    </w:p>
    <w:p w14:paraId="6D1E9BA0">
      <w:pPr>
        <w:pStyle w:val="59"/>
        <w:spacing w:line="360" w:lineRule="auto"/>
        <w:ind w:firstLine="420"/>
      </w:pPr>
      <w:r>
        <w:rPr>
          <w:rFonts w:hint="eastAsia"/>
        </w:rPr>
        <w:t>[2] GB/T 13861 生产过程危险和有害因素分类与代码</w:t>
      </w:r>
    </w:p>
    <w:p w14:paraId="4A453146">
      <w:pPr>
        <w:pStyle w:val="59"/>
        <w:spacing w:line="360" w:lineRule="auto"/>
        <w:ind w:firstLine="420"/>
      </w:pPr>
      <w:r>
        <w:rPr>
          <w:rFonts w:hint="eastAsia"/>
        </w:rPr>
        <w:t>[3] GB/T 28001 职业健康安全管理体系 要求</w:t>
      </w:r>
    </w:p>
    <w:p w14:paraId="5B8036D9">
      <w:pPr>
        <w:pStyle w:val="59"/>
        <w:spacing w:line="360" w:lineRule="auto"/>
        <w:ind w:firstLine="420"/>
      </w:pPr>
      <w:r>
        <w:rPr>
          <w:rFonts w:hint="eastAsia"/>
        </w:rPr>
        <w:t>[4] GB/T 33000 企业安全生产标准化基本规范</w:t>
      </w:r>
    </w:p>
    <w:p w14:paraId="60C51CAA">
      <w:pPr>
        <w:pStyle w:val="59"/>
        <w:spacing w:line="360" w:lineRule="auto"/>
        <w:ind w:firstLine="420"/>
      </w:pPr>
      <w:r>
        <w:rPr>
          <w:rFonts w:hint="eastAsia"/>
        </w:rPr>
        <w:t>[5] TSG 03 特种设备事故报告和调查处理导则</w:t>
      </w:r>
    </w:p>
    <w:p w14:paraId="04E98CF0">
      <w:pPr>
        <w:pStyle w:val="59"/>
        <w:spacing w:line="360" w:lineRule="auto"/>
        <w:ind w:firstLine="420"/>
      </w:pPr>
      <w:r>
        <w:rPr>
          <w:rFonts w:hint="eastAsia"/>
        </w:rPr>
        <w:t>[6] TSG T7001 电梯监督检验和定期检验规则</w:t>
      </w:r>
    </w:p>
    <w:p w14:paraId="64C739C7">
      <w:pPr>
        <w:pStyle w:val="59"/>
        <w:spacing w:line="360" w:lineRule="auto"/>
        <w:ind w:firstLine="420"/>
      </w:pPr>
      <w:r>
        <w:rPr>
          <w:rFonts w:hint="eastAsia"/>
        </w:rPr>
        <w:t>[7] TSG Z6001 特种设备作业人员考核规则</w:t>
      </w:r>
    </w:p>
    <w:bookmarkEnd w:id="63"/>
    <w:p w14:paraId="522BAE86">
      <w:pPr>
        <w:pStyle w:val="59"/>
        <w:ind w:firstLine="0" w:firstLineChars="0"/>
        <w:jc w:val="center"/>
      </w:pPr>
      <w:bookmarkStart w:id="65" w:name="BookMark8"/>
      <w:r>
        <w:rPr>
          <w:rFonts w:hint="eastAsia"/>
        </w:rPr>
        <w:drawing>
          <wp:inline distT="0" distB="0" distL="0" distR="0">
            <wp:extent cx="1485900" cy="317500"/>
            <wp:effectExtent l="0" t="0" r="0" b="6350"/>
            <wp:docPr id="482056996" name="图片 3"/>
            <wp:cNvGraphicFramePr/>
            <a:graphic xmlns:a="http://schemas.openxmlformats.org/drawingml/2006/main">
              <a:graphicData uri="http://schemas.openxmlformats.org/drawingml/2006/picture">
                <pic:pic xmlns:pic="http://schemas.openxmlformats.org/drawingml/2006/picture">
                  <pic:nvPicPr>
                    <pic:cNvPr id="482056996"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BEC1D">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4"/>
    </w:pPr>
    <w:r>
      <w:fldChar w:fldCharType="begin"/>
    </w:r>
    <w:r>
      <w:instrText xml:space="preserve"> PAGE   \* MERGEFORMAT \* MERGEFORMAT </w:instrText>
    </w:r>
    <w:r>
      <w:fldChar w:fldCharType="separate"/>
    </w:r>
    <w:r>
      <w:t>26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EE8B0">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B3852">
    <w:pPr>
      <w:pStyle w:val="54"/>
    </w:pPr>
    <w:r>
      <w:fldChar w:fldCharType="begin"/>
    </w:r>
    <w:r>
      <w:instrText xml:space="preserve"> PAGE   \* MERGEFORMAT \* MERGEFORMAT </w:instrText>
    </w:r>
    <w:r>
      <w:fldChar w:fldCharType="separate"/>
    </w:r>
    <w:r>
      <w:t>25</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8BCBB">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DAB0A">
    <w:pPr>
      <w:pStyle w:val="54"/>
    </w:pPr>
    <w:r>
      <w:fldChar w:fldCharType="begin"/>
    </w:r>
    <w:r>
      <w:instrText xml:space="preserve"> PAGE   \* MERGEFORMAT \* MERGEFORMAT </w:instrText>
    </w:r>
    <w:r>
      <w:fldChar w:fldCharType="separate"/>
    </w:r>
    <w:r>
      <w:t>25</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87DC9">
    <w:pPr>
      <w:pStyle w:val="55"/>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80C47">
    <w:pPr>
      <w:pStyle w:val="54"/>
    </w:pPr>
    <w:r>
      <w:fldChar w:fldCharType="begin"/>
    </w:r>
    <w:r>
      <w:instrText xml:space="preserve"> PAGE   \* MERGEFORMAT \* MERGEFORMAT </w:instrText>
    </w:r>
    <w:r>
      <w:fldChar w:fldCharType="separate"/>
    </w:r>
    <w:r>
      <w:t>25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E0494">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66317">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4"/>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577AE">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385F">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435B2">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1E67B">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21E20">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A37E4">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6C00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5"/>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0277—2026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E5C72">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0A886">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4"/>
      <w:rPr>
        <w:rFonts w:hint="eastAsia"/>
      </w:rPr>
    </w:pPr>
    <w:r>
      <w:fldChar w:fldCharType="begin"/>
    </w:r>
    <w:r>
      <w:instrText xml:space="preserve"> STYLEREF  标准文件_文件编号  \* MERGEFORMAT </w:instrText>
    </w:r>
    <w:r>
      <w:fldChar w:fldCharType="separate"/>
    </w:r>
    <w:r>
      <w:t>T/XZBX 0277—2026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0277—2026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003"/>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EEE"/>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59F5"/>
    <w:rsid w:val="003474AA"/>
    <w:rsid w:val="00350D1D"/>
    <w:rsid w:val="00352C83"/>
    <w:rsid w:val="00352F1A"/>
    <w:rsid w:val="0036107C"/>
    <w:rsid w:val="003615D2"/>
    <w:rsid w:val="0036429C"/>
    <w:rsid w:val="003646F4"/>
    <w:rsid w:val="00364A53"/>
    <w:rsid w:val="0036510A"/>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373"/>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4CCB"/>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17C"/>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292"/>
    <w:rsid w:val="007C2D89"/>
    <w:rsid w:val="007C4593"/>
    <w:rsid w:val="007C5309"/>
    <w:rsid w:val="007C6069"/>
    <w:rsid w:val="007D06C4"/>
    <w:rsid w:val="007D1352"/>
    <w:rsid w:val="007D2508"/>
    <w:rsid w:val="007D346A"/>
    <w:rsid w:val="007D3F62"/>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8B9"/>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D69"/>
    <w:rsid w:val="009305B5"/>
    <w:rsid w:val="009378DD"/>
    <w:rsid w:val="00941D45"/>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584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68"/>
    <w:rsid w:val="00F46496"/>
    <w:rsid w:val="00F474D0"/>
    <w:rsid w:val="00F50179"/>
    <w:rsid w:val="00F515EE"/>
    <w:rsid w:val="00F56511"/>
    <w:rsid w:val="00F6194E"/>
    <w:rsid w:val="00F623AC"/>
    <w:rsid w:val="00F635C2"/>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FF91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3"/>
    <w:semiHidden/>
    <w:unhideWhenUsed/>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uiPriority w:val="39"/>
    <w:pPr>
      <w:ind w:left="839"/>
    </w:pPr>
    <w:rPr>
      <w:rFonts w:ascii="宋体"/>
    </w:rPr>
  </w:style>
  <w:style w:type="paragraph" w:styleId="16">
    <w:name w:val="toc 3"/>
    <w:basedOn w:val="1"/>
    <w:next w:val="1"/>
    <w:autoRedefine/>
    <w:unhideWhenUsed/>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uiPriority w:val="39"/>
    <w:rPr>
      <w:rFonts w:ascii="宋体"/>
    </w:rPr>
  </w:style>
  <w:style w:type="paragraph" w:styleId="21">
    <w:name w:val="toc 4"/>
    <w:basedOn w:val="1"/>
    <w:next w:val="1"/>
    <w:autoRedefine/>
    <w:unhideWhenUsed/>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uiPriority w:val="99"/>
    <w:rPr>
      <w:b/>
      <w:bCs/>
    </w:rPr>
  </w:style>
  <w:style w:type="table" w:styleId="29">
    <w:name w:val="Table Grid"/>
    <w:basedOn w:val="2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uiPriority w:val="0"/>
    <w:rPr>
      <w:rFonts w:ascii="宋体" w:hAnsi="Times New Roman" w:eastAsia="宋体"/>
      <w:sz w:val="18"/>
    </w:rPr>
  </w:style>
  <w:style w:type="character" w:styleId="33">
    <w:name w:val="Emphasis"/>
    <w:qFormat/>
    <w:uiPriority w:val="20"/>
    <w:rPr>
      <w:i/>
      <w:iCs/>
    </w:rPr>
  </w:style>
  <w:style w:type="character" w:styleId="34">
    <w:name w:val="Hyperlink"/>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uiPriority w:val="0"/>
    <w:rPr>
      <w:rFonts w:ascii="Arial" w:hAnsi="Arial" w:eastAsia="黑体"/>
      <w:b/>
      <w:bCs/>
      <w:kern w:val="2"/>
      <w:sz w:val="32"/>
      <w:szCs w:val="32"/>
    </w:rPr>
  </w:style>
  <w:style w:type="character" w:customStyle="1" w:styleId="39">
    <w:name w:val="标题 3 字符"/>
    <w:link w:val="4"/>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uiPriority w:val="0"/>
    <w:pPr>
      <w:spacing w:line="0" w:lineRule="atLeast"/>
    </w:pPr>
    <w:rPr>
      <w:rFonts w:ascii="黑体" w:hAnsi="宋体" w:eastAsia="黑体"/>
    </w:rPr>
  </w:style>
  <w:style w:type="paragraph" w:customStyle="1" w:styleId="58">
    <w:name w:val="标准文件_标准正文"/>
    <w:basedOn w:val="1"/>
    <w:next w:val="59"/>
    <w:uiPriority w:val="0"/>
    <w:pPr>
      <w:snapToGrid w:val="0"/>
      <w:ind w:firstLine="200" w:firstLineChars="200"/>
    </w:pPr>
    <w:rPr>
      <w:kern w:val="0"/>
    </w:rPr>
  </w:style>
  <w:style w:type="paragraph" w:customStyle="1" w:styleId="59">
    <w:name w:val="标准文件_段"/>
    <w:link w:val="187"/>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uiPriority w:val="0"/>
    <w:pPr>
      <w:adjustRightInd/>
      <w:snapToGrid/>
      <w:ind w:firstLine="0" w:firstLineChars="0"/>
    </w:pPr>
    <w:rPr>
      <w:rFonts w:ascii="宋体" w:hAnsi="宋体"/>
      <w:kern w:val="2"/>
    </w:rPr>
  </w:style>
  <w:style w:type="paragraph" w:customStyle="1" w:styleId="61">
    <w:name w:val="标准文件_标准部门"/>
    <w:basedOn w:val="1"/>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uiPriority w:val="0"/>
    <w:rPr>
      <w:rFonts w:ascii="黑体" w:eastAsia="黑体"/>
      <w:b/>
      <w:kern w:val="0"/>
      <w:sz w:val="28"/>
    </w:rPr>
  </w:style>
  <w:style w:type="paragraph" w:customStyle="1" w:styleId="73">
    <w:name w:val="标准文件_封面标准名称"/>
    <w:basedOn w:val="1"/>
    <w:uiPriority w:val="0"/>
    <w:pPr>
      <w:spacing w:line="240" w:lineRule="auto"/>
      <w:jc w:val="center"/>
    </w:pPr>
    <w:rPr>
      <w:rFonts w:ascii="黑体" w:eastAsia="黑体"/>
      <w:kern w:val="0"/>
      <w:sz w:val="52"/>
    </w:rPr>
  </w:style>
  <w:style w:type="paragraph" w:customStyle="1" w:styleId="74">
    <w:name w:val="标准文件_封面标准英文名称"/>
    <w:basedOn w:val="1"/>
    <w:uiPriority w:val="0"/>
    <w:pPr>
      <w:spacing w:line="240" w:lineRule="auto"/>
      <w:jc w:val="center"/>
    </w:pPr>
    <w:rPr>
      <w:rFonts w:ascii="黑体" w:eastAsia="黑体"/>
      <w:b/>
      <w:sz w:val="28"/>
    </w:rPr>
  </w:style>
  <w:style w:type="paragraph" w:customStyle="1" w:styleId="75">
    <w:name w:val="标准文件_封面发布日期"/>
    <w:basedOn w:val="1"/>
    <w:uiPriority w:val="0"/>
    <w:pPr>
      <w:spacing w:line="310" w:lineRule="exact"/>
    </w:pPr>
    <w:rPr>
      <w:rFonts w:ascii="黑体" w:eastAsia="黑体"/>
      <w:kern w:val="0"/>
      <w:sz w:val="28"/>
    </w:rPr>
  </w:style>
  <w:style w:type="paragraph" w:customStyle="1" w:styleId="76">
    <w:name w:val="标准文件_封面密级"/>
    <w:basedOn w:val="1"/>
    <w:uiPriority w:val="0"/>
    <w:rPr>
      <w:rFonts w:eastAsia="黑体"/>
      <w:sz w:val="32"/>
    </w:rPr>
  </w:style>
  <w:style w:type="paragraph" w:customStyle="1" w:styleId="77">
    <w:name w:val="标准文件_封面实施日期"/>
    <w:basedOn w:val="1"/>
    <w:uiPriority w:val="0"/>
    <w:pPr>
      <w:spacing w:line="310" w:lineRule="exact"/>
      <w:jc w:val="right"/>
    </w:pPr>
    <w:rPr>
      <w:rFonts w:ascii="黑体" w:eastAsia="黑体"/>
      <w:sz w:val="28"/>
    </w:rPr>
  </w:style>
  <w:style w:type="paragraph" w:customStyle="1" w:styleId="78">
    <w:name w:val="标准文件_封面抬头"/>
    <w:basedOn w:val="59"/>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uiPriority w:val="0"/>
    <w:pPr>
      <w:ind w:left="1470"/>
    </w:pPr>
  </w:style>
  <w:style w:type="paragraph" w:customStyle="1" w:styleId="152">
    <w:name w:val="目录 91"/>
    <w:basedOn w:val="151"/>
    <w:autoRedefine/>
    <w:semiHidden/>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3">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uiPriority w:val="0"/>
    <w:rPr>
      <w:rFonts w:ascii="宋体" w:hAnsi="Times New Roman" w:eastAsia="宋体" w:cs="Times New Roman"/>
      <w:sz w:val="21"/>
      <w:lang w:val="en-US" w:eastAsia="zh-CN" w:bidi="ar-SA"/>
    </w:rPr>
  </w:style>
  <w:style w:type="paragraph" w:customStyle="1" w:styleId="175">
    <w:name w:val="标准文件_三级项"/>
    <w:basedOn w:val="1"/>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character" w:customStyle="1" w:styleId="233">
    <w:name w:val="批注文字 字符"/>
    <w:basedOn w:val="30"/>
    <w:link w:val="13"/>
    <w:semiHidden/>
    <w:uiPriority w:val="99"/>
    <w:rPr>
      <w:kern w:val="2"/>
      <w:sz w:val="21"/>
      <w:szCs w:val="21"/>
    </w:rPr>
  </w:style>
  <w:style w:type="character" w:customStyle="1" w:styleId="234">
    <w:name w:val="批注主题 字符"/>
    <w:basedOn w:val="233"/>
    <w:link w:val="27"/>
    <w:semiHidden/>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D726CC1">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1BF0A60D">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79B1BAF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C3D7C"/>
    <w:rsid w:val="001A54A1"/>
    <w:rsid w:val="002E6AD9"/>
    <w:rsid w:val="003459F5"/>
    <w:rsid w:val="003646F4"/>
    <w:rsid w:val="0036510A"/>
    <w:rsid w:val="003F62CE"/>
    <w:rsid w:val="00401CB8"/>
    <w:rsid w:val="004A6324"/>
    <w:rsid w:val="0055522F"/>
    <w:rsid w:val="005B117C"/>
    <w:rsid w:val="005B18DA"/>
    <w:rsid w:val="005E4B5C"/>
    <w:rsid w:val="006141C6"/>
    <w:rsid w:val="00652769"/>
    <w:rsid w:val="00796662"/>
    <w:rsid w:val="008C0337"/>
    <w:rsid w:val="008E6778"/>
    <w:rsid w:val="00AA2819"/>
    <w:rsid w:val="00AE100B"/>
    <w:rsid w:val="00AE1DC6"/>
    <w:rsid w:val="00D65846"/>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34</Pages>
  <Words>10916</Words>
  <Characters>11269</Characters>
  <Lines>715</Lines>
  <Paragraphs>725</Paragraphs>
  <TotalTime>146</TotalTime>
  <ScaleCrop>false</ScaleCrop>
  <LinksUpToDate>false</LinksUpToDate>
  <CharactersWithSpaces>11426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2026-05-19T06:23:27Z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BEBC73117DC24A288880D438444CD428_12</vt:lpwstr>
  </property>
</Properties>
</file>