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35.240.01"/>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35.240.01</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A 01"/>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A 01</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76"/>
            </w:textInput>
          </w:ffData>
        </w:fldChar>
      </w:r>
      <w:bookmarkStart w:id="6" w:name="NSTD_CODE_F"/>
      <w:r>
        <w:instrText xml:space="preserve"> FORMTEXT </w:instrText>
      </w:r>
      <w:r>
        <w:fldChar w:fldCharType="separate"/>
      </w:r>
      <w:r>
        <w:t>0276</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73594FE6">
      <w:pPr>
        <w:pStyle w:val="197"/>
        <w:framePr w:h="6974" w:hRule="exact" w:wrap="around" w:x="1419" w:anchorLock="1"/>
        <w:rPr>
          <w:rFonts w:hint="eastAsia"/>
        </w:rPr>
      </w:pPr>
      <w:r>
        <w:rPr>
          <w:rFonts w:hint="eastAsia"/>
        </w:rPr>
        <w:fldChar w:fldCharType="begin">
          <w:ffData>
            <w:name w:val="CSTD_NAME"/>
            <w:enabled/>
            <w:calcOnExit w:val="0"/>
            <w:textInput>
              <w:default w:val="水利工程数字化管理数据治理与应用标准"/>
            </w:textInput>
          </w:ffData>
        </w:fldChar>
      </w:r>
      <w:bookmarkStart w:id="9" w:name="CSTD_NAME"/>
      <w:r>
        <w:rPr>
          <w:rFonts w:hint="eastAsia"/>
        </w:rPr>
        <w:instrText xml:space="preserve"> FORMTEXT </w:instrText>
      </w:r>
      <w:r>
        <w:rPr>
          <w:rFonts w:hint="eastAsia"/>
        </w:rPr>
        <w:fldChar w:fldCharType="separate"/>
      </w:r>
      <w:r>
        <w:rPr>
          <w:rFonts w:hint="eastAsia"/>
        </w:rPr>
        <w:t>水利工程数字化管理数据治理与应用标准</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Standard for data governance and application in digital management of water conservancy engineering"/>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Standard for data governance and application in digital management of water conservancy engineering</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3E4141E7">
      <w:pPr>
        <w:pStyle w:val="91"/>
        <w:spacing w:after="360"/>
        <w:rPr>
          <w:rFonts w:hint="eastAsia"/>
        </w:rPr>
      </w:pPr>
      <w:bookmarkStart w:id="21" w:name="BookMark1"/>
      <w:r>
        <w:rPr>
          <w:rFonts w:hint="eastAsia"/>
          <w:spacing w:val="320"/>
        </w:rPr>
        <w:t>目</w:t>
      </w:r>
      <w:r>
        <w:rPr>
          <w:rFonts w:hint="eastAsia"/>
        </w:rPr>
        <w:t>次</w:t>
      </w:r>
    </w:p>
    <w:p w14:paraId="7B1BEAB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"_Toc228612872"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_Toc228612872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79094B6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"_Toc228612873"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_Toc228612873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749F445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"_Toc228612874"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_Toc228612874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D0D191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"_Toc228612875"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_Toc228612875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A895C3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"_Toc228612876"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_Toc228612876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2A31B9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"_Toc228612877" </w:instrText>
      </w:r>
      <w:r>
        <w:fldChar w:fldCharType="separate"/>
      </w:r>
      <w:r>
        <w:rPr>
          <w:rStyle w:val="32"/>
        </w:rPr>
        <w:t>4  基本要求</w:t>
      </w:r>
      <w:r>
        <w:rPr>
          <w:rFonts w:hint="eastAsia"/>
        </w:rPr>
        <w:tab/>
      </w:r>
      <w:r>
        <w:rPr>
          <w:rFonts w:hint="eastAsia"/>
        </w:rPr>
        <w:fldChar w:fldCharType="begin"/>
      </w:r>
      <w:r>
        <w:rPr>
          <w:rFonts w:hint="eastAsia"/>
        </w:rPr>
        <w:instrText xml:space="preserve"> </w:instrText>
      </w:r>
      <w:r>
        <w:instrText xml:space="preserve">PAGEREF _Toc228612877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666674D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"_Toc228612878" </w:instrText>
      </w:r>
      <w:r>
        <w:fldChar w:fldCharType="separate"/>
      </w:r>
      <w:r>
        <w:rPr>
          <w:rStyle w:val="32"/>
        </w:rPr>
        <w:t>5  数据资源管理</w:t>
      </w:r>
      <w:r>
        <w:rPr>
          <w:rFonts w:hint="eastAsia"/>
        </w:rPr>
        <w:tab/>
      </w:r>
      <w:r>
        <w:rPr>
          <w:rFonts w:hint="eastAsia"/>
        </w:rPr>
        <w:fldChar w:fldCharType="begin"/>
      </w:r>
      <w:r>
        <w:rPr>
          <w:rFonts w:hint="eastAsia"/>
        </w:rPr>
        <w:instrText xml:space="preserve"> </w:instrText>
      </w:r>
      <w:r>
        <w:instrText xml:space="preserve">PAGEREF _Toc228612878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039DB8D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"_Toc228612879" </w:instrText>
      </w:r>
      <w:r>
        <w:fldChar w:fldCharType="separate"/>
      </w:r>
      <w:r>
        <w:rPr>
          <w:rStyle w:val="32"/>
        </w:rPr>
        <w:t>6  数据分类与编码</w:t>
      </w:r>
      <w:r>
        <w:rPr>
          <w:rFonts w:hint="eastAsia"/>
        </w:rPr>
        <w:tab/>
      </w:r>
      <w:r>
        <w:rPr>
          <w:rFonts w:hint="eastAsia"/>
        </w:rPr>
        <w:fldChar w:fldCharType="begin"/>
      </w:r>
      <w:r>
        <w:rPr>
          <w:rFonts w:hint="eastAsia"/>
        </w:rPr>
        <w:instrText xml:space="preserve"> </w:instrText>
      </w:r>
      <w:r>
        <w:instrText xml:space="preserve">PAGEREF _Toc228612879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54C914A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"_Toc228612880" </w:instrText>
      </w:r>
      <w:r>
        <w:fldChar w:fldCharType="separate"/>
      </w:r>
      <w:r>
        <w:rPr>
          <w:rStyle w:val="32"/>
        </w:rPr>
        <w:t>7  数据采集与更新</w:t>
      </w:r>
      <w:r>
        <w:rPr>
          <w:rFonts w:hint="eastAsia"/>
        </w:rPr>
        <w:tab/>
      </w:r>
      <w:r>
        <w:rPr>
          <w:rFonts w:hint="eastAsia"/>
        </w:rPr>
        <w:fldChar w:fldCharType="begin"/>
      </w:r>
      <w:r>
        <w:rPr>
          <w:rFonts w:hint="eastAsia"/>
        </w:rPr>
        <w:instrText xml:space="preserve"> </w:instrText>
      </w:r>
      <w:r>
        <w:instrText xml:space="preserve">PAGEREF _Toc228612880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412A30D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"_Toc228612881" </w:instrText>
      </w:r>
      <w:r>
        <w:fldChar w:fldCharType="separate"/>
      </w:r>
      <w:r>
        <w:rPr>
          <w:rStyle w:val="32"/>
        </w:rPr>
        <w:t>8  数据质量控制</w:t>
      </w:r>
      <w:r>
        <w:rPr>
          <w:rFonts w:hint="eastAsia"/>
        </w:rPr>
        <w:tab/>
      </w:r>
      <w:r>
        <w:rPr>
          <w:rFonts w:hint="eastAsia"/>
        </w:rPr>
        <w:fldChar w:fldCharType="begin"/>
      </w:r>
      <w:r>
        <w:rPr>
          <w:rFonts w:hint="eastAsia"/>
        </w:rPr>
        <w:instrText xml:space="preserve"> </w:instrText>
      </w:r>
      <w:r>
        <w:instrText xml:space="preserve">PAGEREF _Toc228612881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0AA1AB9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"_Toc228612882" </w:instrText>
      </w:r>
      <w:r>
        <w:fldChar w:fldCharType="separate"/>
      </w:r>
      <w:r>
        <w:rPr>
          <w:rStyle w:val="32"/>
        </w:rPr>
        <w:t>9  数据共享与融合</w:t>
      </w:r>
      <w:r>
        <w:rPr>
          <w:rFonts w:hint="eastAsia"/>
        </w:rPr>
        <w:tab/>
      </w:r>
      <w:r>
        <w:rPr>
          <w:rFonts w:hint="eastAsia"/>
        </w:rPr>
        <w:fldChar w:fldCharType="begin"/>
      </w:r>
      <w:r>
        <w:rPr>
          <w:rFonts w:hint="eastAsia"/>
        </w:rPr>
        <w:instrText xml:space="preserve"> </w:instrText>
      </w:r>
      <w:r>
        <w:instrText xml:space="preserve">PAGEREF _Toc228612882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773F70E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"_Toc228612883" </w:instrText>
      </w:r>
      <w:r>
        <w:fldChar w:fldCharType="separate"/>
      </w:r>
      <w:r>
        <w:rPr>
          <w:rStyle w:val="32"/>
        </w:rPr>
        <w:t>10  数据安全管理</w:t>
      </w:r>
      <w:r>
        <w:rPr>
          <w:rFonts w:hint="eastAsia"/>
        </w:rPr>
        <w:tab/>
      </w:r>
      <w:r>
        <w:rPr>
          <w:rFonts w:hint="eastAsia"/>
        </w:rPr>
        <w:fldChar w:fldCharType="begin"/>
      </w:r>
      <w:r>
        <w:rPr>
          <w:rFonts w:hint="eastAsia"/>
        </w:rPr>
        <w:instrText xml:space="preserve"> </w:instrText>
      </w:r>
      <w:r>
        <w:instrText xml:space="preserve">PAGEREF _Toc228612883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57DB339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"_Toc228612884" </w:instrText>
      </w:r>
      <w:r>
        <w:fldChar w:fldCharType="separate"/>
      </w:r>
      <w:r>
        <w:rPr>
          <w:rStyle w:val="32"/>
        </w:rPr>
        <w:t>11  数据应用要求</w:t>
      </w:r>
      <w:r>
        <w:rPr>
          <w:rFonts w:hint="eastAsia"/>
        </w:rPr>
        <w:tab/>
      </w:r>
      <w:r>
        <w:rPr>
          <w:rFonts w:hint="eastAsia"/>
        </w:rPr>
        <w:fldChar w:fldCharType="begin"/>
      </w:r>
      <w:r>
        <w:rPr>
          <w:rFonts w:hint="eastAsia"/>
        </w:rPr>
        <w:instrText xml:space="preserve"> </w:instrText>
      </w:r>
      <w:r>
        <w:instrText xml:space="preserve">PAGEREF _Toc228612884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0F573AC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"_Toc228612885" </w:instrText>
      </w:r>
      <w:r>
        <w:fldChar w:fldCharType="separate"/>
      </w:r>
      <w:r>
        <w:rPr>
          <w:rStyle w:val="32"/>
        </w:rPr>
        <w:t>12  系统支撑与运行维护</w:t>
      </w:r>
      <w:r>
        <w:rPr>
          <w:rFonts w:hint="eastAsia"/>
        </w:rPr>
        <w:tab/>
      </w:r>
      <w:r>
        <w:rPr>
          <w:rFonts w:hint="eastAsia"/>
        </w:rPr>
        <w:fldChar w:fldCharType="begin"/>
      </w:r>
      <w:r>
        <w:rPr>
          <w:rFonts w:hint="eastAsia"/>
        </w:rPr>
        <w:instrText xml:space="preserve"> </w:instrText>
      </w:r>
      <w:r>
        <w:instrText xml:space="preserve">PAGEREF _Toc228612885 \h</w:instrText>
      </w:r>
      <w:r>
        <w:rPr>
          <w:rFonts w:hint="eastAsia"/>
        </w:rPr>
        <w:instrText xml:space="preserve"> </w:instrText>
      </w:r>
      <w:r>
        <w:rPr>
          <w:rFonts w:hint="eastAsia"/>
        </w:rPr>
        <w:fldChar w:fldCharType="separate"/>
      </w:r>
      <w:r>
        <w:t>20</w:t>
      </w:r>
      <w:r>
        <w:rPr>
          <w:rFonts w:hint="eastAsia"/>
        </w:rPr>
        <w:fldChar w:fldCharType="end"/>
      </w:r>
      <w:r>
        <w:rPr>
          <w:rFonts w:hint="eastAsia"/>
        </w:rPr>
        <w:fldChar w:fldCharType="end"/>
      </w:r>
    </w:p>
    <w:p w14:paraId="207738C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"_Toc228612886" </w:instrText>
      </w:r>
      <w:r>
        <w:fldChar w:fldCharType="separate"/>
      </w:r>
      <w:r>
        <w:rPr>
          <w:rStyle w:val="32"/>
        </w:rPr>
        <w:t>13  评价与持续改进</w:t>
      </w:r>
      <w:r>
        <w:rPr>
          <w:rFonts w:hint="eastAsia"/>
        </w:rPr>
        <w:tab/>
      </w:r>
      <w:r>
        <w:rPr>
          <w:rFonts w:hint="eastAsia"/>
        </w:rPr>
        <w:fldChar w:fldCharType="begin"/>
      </w:r>
      <w:r>
        <w:rPr>
          <w:rFonts w:hint="eastAsia"/>
        </w:rPr>
        <w:instrText xml:space="preserve"> </w:instrText>
      </w:r>
      <w:r>
        <w:instrText xml:space="preserve">PAGEREF _Toc228612886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18CA7C5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"_Toc228612887" </w:instrText>
      </w:r>
      <w:r>
        <w:fldChar w:fldCharType="separate"/>
      </w:r>
      <w:r>
        <w:rPr>
          <w:rStyle w:val="32"/>
        </w:rPr>
        <w:t>14  资料归档</w:t>
      </w:r>
      <w:r>
        <w:rPr>
          <w:rFonts w:hint="eastAsia"/>
        </w:rPr>
        <w:tab/>
      </w:r>
      <w:r>
        <w:rPr>
          <w:rFonts w:hint="eastAsia"/>
        </w:rPr>
        <w:fldChar w:fldCharType="begin"/>
      </w:r>
      <w:r>
        <w:rPr>
          <w:rFonts w:hint="eastAsia"/>
        </w:rPr>
        <w:instrText xml:space="preserve"> </w:instrText>
      </w:r>
      <w:r>
        <w:instrText xml:space="preserve">PAGEREF _Toc228612887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2B100E9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"_Toc228612888" </w:instrText>
      </w:r>
      <w:r>
        <w:fldChar w:fldCharType="separate"/>
      </w:r>
      <w:r>
        <w:rPr>
          <w:rStyle w:val="32"/>
        </w:rPr>
        <w:t>附录A（资料性）  水利工程数字化管理数据治理评价指标</w:t>
      </w:r>
      <w:r>
        <w:rPr>
          <w:rFonts w:hint="eastAsia"/>
        </w:rPr>
        <w:tab/>
      </w:r>
      <w:r>
        <w:rPr>
          <w:rFonts w:hint="eastAsia"/>
        </w:rPr>
        <w:fldChar w:fldCharType="begin"/>
      </w:r>
      <w:r>
        <w:rPr>
          <w:rFonts w:hint="eastAsia"/>
        </w:rPr>
        <w:instrText xml:space="preserve"> </w:instrText>
      </w:r>
      <w:r>
        <w:instrText xml:space="preserve">PAGEREF _Toc228612888 \h</w:instrText>
      </w:r>
      <w:r>
        <w:rPr>
          <w:rFonts w:hint="eastAsia"/>
        </w:rPr>
        <w:instrText xml:space="preserve"> </w:instrText>
      </w:r>
      <w:r>
        <w:rPr>
          <w:rFonts w:hint="eastAsia"/>
        </w:rPr>
        <w:fldChar w:fldCharType="separate"/>
      </w:r>
      <w:r>
        <w:t>25</w:t>
      </w:r>
      <w:r>
        <w:rPr>
          <w:rFonts w:hint="eastAsia"/>
        </w:rPr>
        <w:fldChar w:fldCharType="end"/>
      </w:r>
      <w:r>
        <w:rPr>
          <w:rFonts w:hint="eastAsia"/>
        </w:rPr>
        <w:fldChar w:fldCharType="end"/>
      </w:r>
    </w:p>
    <w:p w14:paraId="220C5E3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"_Toc228612889" </w:instrText>
      </w:r>
      <w:r>
        <w:fldChar w:fldCharType="separate"/>
      </w:r>
      <w:r>
        <w:rPr>
          <w:rStyle w:val="32"/>
        </w:rPr>
        <w:t>参考文献</w:t>
      </w:r>
      <w:r>
        <w:rPr>
          <w:rFonts w:hint="eastAsia"/>
        </w:rPr>
        <w:tab/>
      </w:r>
      <w:r>
        <w:rPr>
          <w:rFonts w:hint="eastAsia"/>
        </w:rPr>
        <w:fldChar w:fldCharType="begin"/>
      </w:r>
      <w:r>
        <w:rPr>
          <w:rFonts w:hint="eastAsia"/>
        </w:rPr>
        <w:instrText xml:space="preserve"> </w:instrText>
      </w:r>
      <w:r>
        <w:instrText xml:space="preserve">PAGEREF _Toc228612889 \h</w:instrText>
      </w:r>
      <w:r>
        <w:rPr>
          <w:rFonts w:hint="eastAsia"/>
        </w:rPr>
        <w:instrText xml:space="preserve"> </w:instrText>
      </w:r>
      <w:r>
        <w:rPr>
          <w:rFonts w:hint="eastAsia"/>
        </w:rPr>
        <w:fldChar w:fldCharType="separate"/>
      </w:r>
      <w:r>
        <w:t>26</w:t>
      </w:r>
      <w:r>
        <w:rPr>
          <w:rFonts w:hint="eastAsia"/>
        </w:rPr>
        <w:fldChar w:fldCharType="end"/>
      </w:r>
      <w:r>
        <w:rPr>
          <w:rFonts w:hint="eastAsia"/>
        </w:rPr>
        <w:fldChar w:fldCharType="end"/>
      </w:r>
    </w:p>
    <w:p w14:paraId="26E8BC2B">
      <w:pPr>
        <w:pStyle w:val="91"/>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612872"/>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本文件起草单位：山东乾元工程集团有限公司东营维修养护分公司</w:t>
      </w:r>
      <w:r>
        <w:t>。</w:t>
      </w:r>
    </w:p>
    <w:p w14:paraId="3628B1EC">
      <w:pPr>
        <w:pStyle w:val="56"/>
        <w:spacing w:line="360" w:lineRule="auto"/>
        <w:ind w:firstLine="420"/>
      </w:pPr>
      <w:r>
        <w:rPr>
          <w:rFonts w:hint="eastAsia"/>
        </w:rPr>
        <w:t>本文件主要起草人：</w:t>
      </w:r>
      <w:r>
        <w:t>罗伟。</w:t>
      </w:r>
      <w:bookmarkStart w:id="67" w:name="_GoBack"/>
      <w:bookmarkEnd w:id="67"/>
    </w:p>
    <w:p w14:paraId="784B3C9B">
      <w:pPr>
        <w:pStyle w:val="56"/>
        <w:spacing w:line="360" w:lineRule="auto"/>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start="3"/>
          <w:cols w:space="425" w:num="1"/>
          <w:formProt w:val="0"/>
          <w:docGrid w:linePitch="312" w:charSpace="0"/>
        </w:sectPr>
      </w:pPr>
    </w:p>
    <w:bookmarkEnd w:id="23"/>
    <w:p w14:paraId="66D0A2F3">
      <w:pPr>
        <w:pStyle w:val="89"/>
        <w:spacing w:after="360"/>
      </w:pPr>
      <w:bookmarkStart w:id="24" w:name="_Toc228612873"/>
      <w:bookmarkStart w:id="25" w:name="BookMark3"/>
      <w:r>
        <w:rPr>
          <w:spacing w:val="320"/>
        </w:rPr>
        <w:t>引</w:t>
      </w:r>
      <w:r>
        <w:t>言</w:t>
      </w:r>
      <w:bookmarkEnd w:id="24"/>
    </w:p>
    <w:p w14:paraId="77D22D33">
      <w:pPr>
        <w:pStyle w:val="56"/>
        <w:spacing w:line="360" w:lineRule="auto"/>
        <w:ind w:firstLine="420"/>
      </w:pPr>
      <w:r>
        <w:rPr>
          <w:rFonts w:hint="eastAsia"/>
        </w:rPr>
        <w:t>水利工程是防洪排涝、水资源调配、灌溉供水、水生态保护、水能开发和公共安全保障的重要基础设施。随着数字孪生水利、智慧水利、工程全生命周期管理、在线监测、远程调度、移动巡检、自动控制和综合监管等应用不断推进，水利工程管理活动形成的数据类型持续增多，数据规模不断扩大，数据来源更加多元，数据流转链条更加复杂。工程运行调度、险情识别、隐患排查、维修养护、工程安全监测、水情雨情采集、设备运行控制、视频图像识别、空间地理信息管理和应急指挥等工作，均需要依托真实、准确、完整、及时、可用和可追溯的数据作为支撑。</w:t>
      </w:r>
    </w:p>
    <w:p w14:paraId="553035D1">
      <w:pPr>
        <w:pStyle w:val="56"/>
        <w:spacing w:line="360" w:lineRule="auto"/>
        <w:ind w:firstLine="420"/>
      </w:pPr>
      <w:r>
        <w:rPr>
          <w:rFonts w:hint="eastAsia"/>
        </w:rPr>
        <w:t>在实际管理过程中，部分水利工程数字化建设仍存在数据标准不统一、数据口径不一致、数据来源不清晰、数据质量控制不足、数据共享机制不完善、业务系统之间互联互通能力不足、历史数据治理不充分、数据安全责任不明确、数据应用与工程管理业务脱节等问题。上述问题容易造成“一数多源”“同名异义”“同义异名”“重复采集”“数据孤岛”“数据不可用”“数据难追溯”等现象，影响水利工程数字化管理系统的运行效率、分析判断能力和辅助决策水平，也可能削弱工程安全管理、调度管理和应急处置的可靠性。</w:t>
      </w:r>
    </w:p>
    <w:p w14:paraId="0E6A032E">
      <w:pPr>
        <w:pStyle w:val="56"/>
        <w:spacing w:line="360" w:lineRule="auto"/>
        <w:ind w:firstLine="420"/>
      </w:pPr>
      <w:r>
        <w:rPr>
          <w:rFonts w:hint="eastAsia"/>
        </w:rPr>
        <w:t>水利工程数字化管理数据治理不应仅理解为数据录入、数据存储或信息系统建设，而应贯穿水利工程规划设计、建设施工、运行管理、维修养护、安全监测、调度运用、监督检查、风险预警和档案管理全过程。数据治理应对数据资源进行统一规划、分类分级、标准化采集、质量控制、共享交换、安全保护和应用评价，保证数据能够服务于工程运行状态感知、风险研判、调度决策、养护管理、绩效评价和监管协同。数据应用不应脱离工程业务实际，应围绕水利工程安全、效益、效率和韧性提升，形成可验证、可复用、可持续改进的数字化管理能力。</w:t>
      </w:r>
    </w:p>
    <w:p w14:paraId="2BD0FAA3">
      <w:pPr>
        <w:pStyle w:val="56"/>
        <w:spacing w:line="360" w:lineRule="auto"/>
        <w:ind w:firstLine="420"/>
      </w:pPr>
      <w:r>
        <w:rPr>
          <w:rFonts w:hint="eastAsia"/>
        </w:rPr>
        <w:t>本文件围绕水利工程数字化管理数据治理与应用活动，提出数据资源管理、数据分类编码、数据采集、数据质量控制、数据融合共享、数据安全、数据应用、系统支撑、运行维护和评价改进等要求。本文件注重将数字化管理要求转化为可执行、可检查、可评价的标准条款，强化“应”“不得”等规范性表述，减少原则性、解释性和倡导性描述，使水利工程管理单位、数字化平台建设单位、运行维护单位、监测单位、数据服务单位和监督管理相关单位能够依据统一规则开展数据治理与应用工作。</w:t>
      </w:r>
    </w:p>
    <w:p w14:paraId="5555185B">
      <w:pPr>
        <w:pStyle w:val="56"/>
        <w:spacing w:line="360" w:lineRule="auto"/>
        <w:ind w:firstLine="420"/>
      </w:pPr>
      <w:r>
        <w:rPr>
          <w:rFonts w:hint="eastAsia"/>
        </w:rPr>
        <w:t>本文件所称水利工程数字化管理数据，既包括工程基础数据、空间数据、监测感知数据、设备运行数据、调度运行数据、巡检养护数据、安全监测数据、视频图像数据、应急管理数据和档案资料数据，也包括由模型分析、系统计算、业务审批、运行评价和智能应用形成的派生数据。数据治理应明确数据责任主体、数据来源、数据结构、数据质量、数据更新频率、共享范围、访问权限和安全等级；数据应用应明确应用场景、输入数据、处理规则、输出结果、验证要求和管理责任。</w:t>
      </w:r>
    </w:p>
    <w:p w14:paraId="41C59179">
      <w:pPr>
        <w:pStyle w:val="56"/>
        <w:ind w:firstLine="420"/>
      </w:pPr>
    </w:p>
    <w:p w14:paraId="3AC90217">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7D4E3E1F">
          <w:pPr>
            <w:pStyle w:val="177"/>
            <w:spacing w:after="0"/>
            <w:rPr>
              <w:rFonts w:hint="eastAsia"/>
            </w:rPr>
          </w:pPr>
          <w:bookmarkStart w:id="27" w:name="NEW_STAND_NAME"/>
          <w:r>
            <w:t>水利工程数字化管理数据治理与应用标准</w:t>
          </w:r>
        </w:p>
      </w:sdtContent>
    </w:sdt>
    <w:bookmarkEnd w:id="27"/>
    <w:p w14:paraId="3DB22445">
      <w:pPr>
        <w:pStyle w:val="104"/>
        <w:spacing w:before="240" w:after="240" w:line="360" w:lineRule="auto"/>
      </w:pPr>
      <w:bookmarkStart w:id="28" w:name="_Toc228612874"/>
      <w:bookmarkStart w:id="29" w:name="_Toc17233333"/>
      <w:bookmarkStart w:id="30" w:name="_Toc24884211"/>
      <w:bookmarkStart w:id="31" w:name="_Toc26648465"/>
      <w:bookmarkStart w:id="32" w:name="_Toc97192964"/>
      <w:bookmarkStart w:id="33" w:name="_Toc26986771"/>
      <w:bookmarkStart w:id="34" w:name="_Toc24884218"/>
      <w:bookmarkStart w:id="35" w:name="_Toc26718930"/>
      <w:bookmarkStart w:id="36" w:name="_Toc26986530"/>
      <w:bookmarkStart w:id="37" w:name="_Toc17233325"/>
      <w:r>
        <w:rPr>
          <w:rFonts w:hint="eastAsia"/>
        </w:rPr>
        <w:t>范围</w:t>
      </w:r>
      <w:bookmarkEnd w:id="28"/>
      <w:bookmarkEnd w:id="29"/>
      <w:bookmarkEnd w:id="30"/>
      <w:bookmarkEnd w:id="31"/>
      <w:bookmarkEnd w:id="32"/>
      <w:bookmarkEnd w:id="33"/>
      <w:bookmarkEnd w:id="34"/>
      <w:bookmarkEnd w:id="35"/>
      <w:bookmarkEnd w:id="36"/>
      <w:bookmarkEnd w:id="37"/>
    </w:p>
    <w:p w14:paraId="085ABB36">
      <w:pPr>
        <w:pStyle w:val="56"/>
        <w:spacing w:line="360" w:lineRule="auto"/>
        <w:ind w:firstLine="420"/>
      </w:pPr>
      <w:bookmarkStart w:id="38" w:name="_Toc17233334"/>
      <w:bookmarkStart w:id="39" w:name="_Toc17233326"/>
      <w:bookmarkStart w:id="40" w:name="_Toc24884212"/>
      <w:bookmarkStart w:id="41" w:name="_Toc24884219"/>
      <w:bookmarkStart w:id="42" w:name="_Toc26648466"/>
      <w:r>
        <w:rPr>
          <w:rFonts w:hint="eastAsia"/>
        </w:rPr>
        <w:t>本文件规定了水利工程数字化管理数据治理与应用的基本要求、数据资源管理、数据分类与编码、数据采集与更新、数据质量控制、数据共享与融合、数据安全管理、</w:t>
      </w:r>
      <w:r>
        <w:t>数据应用要求</w:t>
      </w:r>
      <w:r>
        <w:rPr>
          <w:rFonts w:hint="eastAsia"/>
        </w:rPr>
        <w:t>、</w:t>
      </w:r>
      <w:r>
        <w:t>系统支撑与运行维护</w:t>
      </w:r>
      <w:r>
        <w:rPr>
          <w:rFonts w:hint="eastAsia"/>
        </w:rPr>
        <w:t>、</w:t>
      </w:r>
      <w:r>
        <w:t>评价与持续改进</w:t>
      </w:r>
      <w:r>
        <w:rPr>
          <w:rFonts w:hint="eastAsia"/>
        </w:rPr>
        <w:t>和资料归档等要求。</w:t>
      </w:r>
    </w:p>
    <w:p w14:paraId="4434F0DD">
      <w:pPr>
        <w:pStyle w:val="56"/>
        <w:spacing w:line="360" w:lineRule="auto"/>
        <w:ind w:firstLine="420"/>
      </w:pPr>
      <w:r>
        <w:rPr>
          <w:rFonts w:hint="eastAsia"/>
        </w:rPr>
        <w:t>本文件适用于水库、水闸、泵站、堤防、灌区、引调水工程、河道治理工程、蓄滞洪区工程、水电站水工建筑物及其他水利工程在数字化管理过程中的数据治理、数据整合、数据共享、数据应用和运行维护。</w:t>
      </w:r>
    </w:p>
    <w:p w14:paraId="3733B2AD">
      <w:pPr>
        <w:pStyle w:val="104"/>
        <w:spacing w:before="240" w:after="240" w:line="360" w:lineRule="auto"/>
      </w:pPr>
      <w:bookmarkStart w:id="43" w:name="_Toc228612875"/>
      <w:bookmarkStart w:id="44" w:name="_Toc97192965"/>
      <w:bookmarkStart w:id="45" w:name="_Toc26718931"/>
      <w:bookmarkStart w:id="46" w:name="_Toc26986531"/>
      <w:bookmarkStart w:id="47" w:name="_Toc26986772"/>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945B96D">
      <w:pPr>
        <w:pStyle w:val="56"/>
        <w:spacing w:line="360" w:lineRule="auto"/>
        <w:ind w:firstLine="420"/>
      </w:pPr>
      <w:r>
        <w:rPr>
          <w:rFonts w:hint="eastAsia"/>
        </w:rPr>
        <w:t>GB/T 7027—2002 信息分类和编码的基本原则与方法</w:t>
      </w:r>
    </w:p>
    <w:p w14:paraId="3611E864">
      <w:pPr>
        <w:pStyle w:val="56"/>
        <w:spacing w:line="360" w:lineRule="auto"/>
        <w:ind w:firstLine="420"/>
        <w:rPr>
          <w:rFonts w:hint="eastAsia"/>
        </w:rPr>
      </w:pPr>
      <w:r>
        <w:t>GB/T 42782</w:t>
      </w:r>
      <w:r>
        <w:rPr>
          <w:rFonts w:hint="eastAsia"/>
        </w:rPr>
        <w:t>—</w:t>
      </w:r>
      <w:r>
        <w:t>2023</w:t>
      </w:r>
      <w:r>
        <w:rPr>
          <w:rFonts w:hint="eastAsia"/>
        </w:rPr>
        <w:t xml:space="preserve"> 数字化协同工程 协同设计要求</w:t>
      </w:r>
    </w:p>
    <w:p w14:paraId="1D3A801B">
      <w:pPr>
        <w:pStyle w:val="56"/>
        <w:spacing w:line="360" w:lineRule="auto"/>
        <w:ind w:firstLine="420"/>
      </w:pPr>
      <w:r>
        <w:t>DB32/T 4955</w:t>
      </w:r>
      <w:r>
        <w:rPr>
          <w:rFonts w:hint="eastAsia"/>
        </w:rPr>
        <w:t>—</w:t>
      </w:r>
      <w:r>
        <w:t>2024</w:t>
      </w:r>
      <w:r>
        <w:rPr>
          <w:rFonts w:hint="eastAsia"/>
        </w:rPr>
        <w:t xml:space="preserve"> 水利工程勘察设计数字化交付规范</w:t>
      </w:r>
    </w:p>
    <w:p w14:paraId="7E93138C">
      <w:pPr>
        <w:pStyle w:val="56"/>
        <w:spacing w:line="360" w:lineRule="auto"/>
        <w:ind w:firstLine="420"/>
        <w:rPr>
          <w:rFonts w:hint="eastAsia"/>
        </w:rPr>
      </w:pPr>
      <w:r>
        <w:t>DB50/T 1010</w:t>
      </w:r>
      <w:r>
        <w:rPr>
          <w:rFonts w:hint="eastAsia"/>
        </w:rPr>
        <w:t>—</w:t>
      </w:r>
      <w:r>
        <w:t>2020</w:t>
      </w:r>
      <w:r>
        <w:rPr>
          <w:rFonts w:hint="eastAsia"/>
        </w:rPr>
        <w:t xml:space="preserve"> 水利工程物业化管理技术规范</w:t>
      </w:r>
    </w:p>
    <w:p w14:paraId="51F02A4E">
      <w:pPr>
        <w:pStyle w:val="104"/>
        <w:spacing w:before="240" w:after="240" w:line="360" w:lineRule="auto"/>
      </w:pPr>
      <w:bookmarkStart w:id="48" w:name="_Toc97192966"/>
      <w:bookmarkStart w:id="49" w:name="_Toc228612876"/>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3AD67F4">
          <w:pPr>
            <w:pStyle w:val="56"/>
            <w:spacing w:line="360" w:lineRule="auto"/>
            <w:ind w:firstLine="420"/>
          </w:pPr>
          <w:bookmarkStart w:id="50" w:name="_Toc26986532"/>
          <w:bookmarkEnd w:id="50"/>
          <w:r>
            <w:t>下列术语和定义适用于本文件。</w:t>
          </w:r>
        </w:p>
      </w:sdtContent>
    </w:sdt>
    <w:p w14:paraId="3743BAD5">
      <w:pPr>
        <w:pStyle w:val="223"/>
        <w:spacing w:line="360" w:lineRule="auto"/>
        <w:ind w:left="420" w:hanging="420" w:hangingChars="200"/>
        <w:rPr>
          <w:rFonts w:ascii="黑体" w:hAnsi="黑体" w:eastAsia="黑体"/>
        </w:rPr>
      </w:pPr>
      <w:r>
        <w:rPr>
          <w:rFonts w:ascii="黑体" w:hAnsi="黑体" w:eastAsia="黑体"/>
        </w:rPr>
        <w:br w:type="textWrapping"/>
      </w:r>
      <w:r>
        <w:rPr>
          <w:rFonts w:hint="eastAsia" w:ascii="黑体" w:hAnsi="黑体" w:eastAsia="黑体"/>
        </w:rPr>
        <w:t>水利工程数字化管理 digital management of water conservancy project</w:t>
      </w:r>
    </w:p>
    <w:p w14:paraId="1E20197C">
      <w:pPr>
        <w:pStyle w:val="56"/>
        <w:spacing w:line="360" w:lineRule="auto"/>
        <w:ind w:firstLine="420"/>
      </w:pPr>
      <w:r>
        <w:rPr>
          <w:rFonts w:hint="eastAsia"/>
        </w:rPr>
        <w:t>利用数据采集、通信传输、信息系统、模型分析、空间信息、自动控制和智能应用等技术，对水利工程运行、调度、监测、巡查、养护、预警、应急和档案等活动进行数字化支撑和管理的活动。</w:t>
      </w:r>
    </w:p>
    <w:p w14:paraId="538988CE">
      <w:pPr>
        <w:pStyle w:val="223"/>
        <w:spacing w:line="360" w:lineRule="auto"/>
        <w:ind w:left="420" w:hanging="420" w:hangingChars="200"/>
        <w:rPr>
          <w:rFonts w:ascii="黑体" w:hAnsi="黑体" w:eastAsia="黑体"/>
        </w:rPr>
      </w:pPr>
      <w:r>
        <w:rPr>
          <w:rFonts w:ascii="黑体" w:hAnsi="黑体" w:eastAsia="黑体"/>
        </w:rPr>
        <w:br w:type="textWrapping"/>
      </w:r>
      <w:r>
        <w:rPr>
          <w:rFonts w:hint="eastAsia" w:ascii="黑体" w:hAnsi="黑体" w:eastAsia="黑体"/>
        </w:rPr>
        <w:t>水利工程数据 water conservancy project data</w:t>
      </w:r>
    </w:p>
    <w:p w14:paraId="1E578701">
      <w:pPr>
        <w:pStyle w:val="56"/>
        <w:spacing w:line="360" w:lineRule="auto"/>
        <w:ind w:firstLine="420"/>
      </w:pPr>
      <w:r>
        <w:rPr>
          <w:rFonts w:hint="eastAsia"/>
        </w:rPr>
        <w:t>水利工程规划、建设、运行、监测、调度、维护、监管、评价和档案管理过程中形成或使用的各类数据。</w:t>
      </w:r>
    </w:p>
    <w:p w14:paraId="607D1740">
      <w:pPr>
        <w:pStyle w:val="56"/>
        <w:spacing w:line="360" w:lineRule="auto"/>
        <w:ind w:firstLine="420"/>
        <w:rPr>
          <w:rFonts w:hint="eastAsia"/>
        </w:rPr>
      </w:pPr>
    </w:p>
    <w:p w14:paraId="02DFAC1F">
      <w:pPr>
        <w:pStyle w:val="223"/>
        <w:spacing w:line="360" w:lineRule="auto"/>
        <w:ind w:left="420" w:hanging="420" w:hangingChars="200"/>
        <w:rPr>
          <w:rFonts w:ascii="黑体" w:hAnsi="黑体" w:eastAsia="黑体"/>
        </w:rPr>
      </w:pPr>
      <w:r>
        <w:rPr>
          <w:rFonts w:ascii="黑体" w:hAnsi="黑体" w:eastAsia="黑体"/>
        </w:rPr>
        <w:br w:type="textWrapping"/>
      </w:r>
      <w:r>
        <w:rPr>
          <w:rFonts w:hint="eastAsia" w:ascii="黑体" w:hAnsi="黑体" w:eastAsia="黑体"/>
        </w:rPr>
        <w:t>数据治理 data governance</w:t>
      </w:r>
    </w:p>
    <w:p w14:paraId="04297E7C">
      <w:pPr>
        <w:pStyle w:val="56"/>
        <w:spacing w:line="360" w:lineRule="auto"/>
        <w:ind w:firstLine="420"/>
      </w:pPr>
      <w:r>
        <w:rPr>
          <w:rFonts w:hint="eastAsia"/>
        </w:rPr>
        <w:t>对水利工程数据资源进行组织管理、标准管理、质量管理、安全管理、共享管理、应用管理和持续改进的活动。</w:t>
      </w:r>
    </w:p>
    <w:p w14:paraId="7D22B652">
      <w:pPr>
        <w:pStyle w:val="223"/>
        <w:spacing w:line="360" w:lineRule="auto"/>
        <w:ind w:left="420" w:hanging="420" w:hangingChars="200"/>
        <w:rPr>
          <w:rFonts w:ascii="黑体" w:hAnsi="黑体" w:eastAsia="黑体"/>
        </w:rPr>
      </w:pPr>
      <w:r>
        <w:rPr>
          <w:rFonts w:ascii="黑体" w:hAnsi="黑体" w:eastAsia="黑体"/>
        </w:rPr>
        <w:br w:type="textWrapping"/>
      </w:r>
      <w:r>
        <w:rPr>
          <w:rFonts w:hint="eastAsia" w:ascii="黑体" w:hAnsi="黑体" w:eastAsia="黑体"/>
        </w:rPr>
        <w:t>数据资源 data resource</w:t>
      </w:r>
    </w:p>
    <w:p w14:paraId="02BC7CDF">
      <w:pPr>
        <w:pStyle w:val="56"/>
        <w:spacing w:line="360" w:lineRule="auto"/>
        <w:ind w:firstLine="420"/>
      </w:pPr>
      <w:r>
        <w:rPr>
          <w:rFonts w:hint="eastAsia"/>
        </w:rPr>
        <w:t>在水利工程数字化管理中具有业务价值、管理价值、分析价值或归档价值，可被采集、存储、共享、处理和应用的数据集合。</w:t>
      </w:r>
    </w:p>
    <w:p w14:paraId="306316B0">
      <w:pPr>
        <w:pStyle w:val="223"/>
        <w:spacing w:line="360" w:lineRule="auto"/>
        <w:ind w:left="420" w:hanging="420" w:hangingChars="200"/>
        <w:rPr>
          <w:rFonts w:ascii="黑体" w:hAnsi="黑体" w:eastAsia="黑体"/>
        </w:rPr>
      </w:pPr>
      <w:r>
        <w:rPr>
          <w:rFonts w:ascii="黑体" w:hAnsi="黑体" w:eastAsia="黑体"/>
        </w:rPr>
        <w:br w:type="textWrapping"/>
      </w:r>
      <w:r>
        <w:rPr>
          <w:rFonts w:hint="eastAsia" w:ascii="黑体" w:hAnsi="黑体" w:eastAsia="黑体"/>
        </w:rPr>
        <w:t>数据目录 data catalog</w:t>
      </w:r>
    </w:p>
    <w:p w14:paraId="2744F369">
      <w:pPr>
        <w:pStyle w:val="56"/>
        <w:spacing w:line="360" w:lineRule="auto"/>
        <w:ind w:firstLine="420"/>
      </w:pPr>
      <w:r>
        <w:rPr>
          <w:rFonts w:hint="eastAsia"/>
        </w:rPr>
        <w:t>对水利工程数据资源的名称、来源、类型、格式、责任主体、更新频率、共享属性、安全等级和应用场景等进行登记、分类和索引的清单。</w:t>
      </w:r>
    </w:p>
    <w:p w14:paraId="10020D50">
      <w:pPr>
        <w:pStyle w:val="223"/>
        <w:spacing w:line="360" w:lineRule="auto"/>
        <w:ind w:left="420" w:hanging="420" w:hangingChars="200"/>
        <w:rPr>
          <w:rFonts w:ascii="黑体" w:hAnsi="黑体" w:eastAsia="黑体"/>
        </w:rPr>
      </w:pPr>
      <w:r>
        <w:rPr>
          <w:rFonts w:ascii="黑体" w:hAnsi="黑体" w:eastAsia="黑体"/>
        </w:rPr>
        <w:br w:type="textWrapping"/>
      </w:r>
      <w:r>
        <w:rPr>
          <w:rFonts w:hint="eastAsia" w:ascii="黑体" w:hAnsi="黑体" w:eastAsia="黑体"/>
        </w:rPr>
        <w:t>数据元 data element</w:t>
      </w:r>
    </w:p>
    <w:p w14:paraId="39EF3BBB">
      <w:pPr>
        <w:pStyle w:val="56"/>
        <w:spacing w:line="360" w:lineRule="auto"/>
        <w:ind w:firstLine="420"/>
      </w:pPr>
      <w:r>
        <w:rPr>
          <w:rFonts w:hint="eastAsia"/>
        </w:rPr>
        <w:t>通过定义、标识、表示和允许值等属性描述的最小数据单元。</w:t>
      </w:r>
    </w:p>
    <w:p w14:paraId="302C7593">
      <w:pPr>
        <w:pStyle w:val="223"/>
        <w:spacing w:line="360" w:lineRule="auto"/>
        <w:ind w:left="420" w:hanging="420" w:hangingChars="200"/>
        <w:rPr>
          <w:rFonts w:ascii="黑体" w:hAnsi="黑体" w:eastAsia="黑体"/>
        </w:rPr>
      </w:pPr>
      <w:r>
        <w:rPr>
          <w:rFonts w:ascii="黑体" w:hAnsi="黑体" w:eastAsia="黑体"/>
        </w:rPr>
        <w:br w:type="textWrapping"/>
      </w:r>
      <w:r>
        <w:rPr>
          <w:rFonts w:hint="eastAsia" w:ascii="黑体" w:hAnsi="黑体" w:eastAsia="黑体"/>
        </w:rPr>
        <w:t>元数据 metadata</w:t>
      </w:r>
    </w:p>
    <w:p w14:paraId="2A9032F5">
      <w:pPr>
        <w:pStyle w:val="56"/>
        <w:spacing w:line="360" w:lineRule="auto"/>
        <w:ind w:firstLine="420"/>
      </w:pPr>
      <w:r>
        <w:rPr>
          <w:rFonts w:hint="eastAsia"/>
        </w:rPr>
        <w:t>描述数据资源内容、结构、来源、质量、权限、更新、空间范围、时间范围和使用条件的数据。</w:t>
      </w:r>
    </w:p>
    <w:p w14:paraId="2A327167">
      <w:pPr>
        <w:pStyle w:val="223"/>
        <w:spacing w:line="360" w:lineRule="auto"/>
        <w:ind w:left="420" w:hanging="420" w:hangingChars="200"/>
        <w:rPr>
          <w:rFonts w:ascii="黑体" w:hAnsi="黑体" w:eastAsia="黑体"/>
        </w:rPr>
      </w:pPr>
      <w:r>
        <w:rPr>
          <w:rFonts w:ascii="黑体" w:hAnsi="黑体" w:eastAsia="黑体"/>
        </w:rPr>
        <w:br w:type="textWrapping"/>
      </w:r>
      <w:r>
        <w:rPr>
          <w:rFonts w:hint="eastAsia" w:ascii="黑体" w:hAnsi="黑体" w:eastAsia="黑体"/>
        </w:rPr>
        <w:t>主数据 master data</w:t>
      </w:r>
    </w:p>
    <w:p w14:paraId="0288067C">
      <w:pPr>
        <w:pStyle w:val="56"/>
        <w:spacing w:line="360" w:lineRule="auto"/>
        <w:ind w:firstLine="420"/>
      </w:pPr>
      <w:r>
        <w:rPr>
          <w:rFonts w:hint="eastAsia"/>
        </w:rPr>
        <w:t>在水利工程数字化管理中被多个业务系统共同使用，具有基础性、稳定性和权威性的数据，包括工程对象、管理单位、设备设施、测站测点、河湖水系、行政区划等基础数据。</w:t>
      </w:r>
    </w:p>
    <w:p w14:paraId="5B54F6C7">
      <w:pPr>
        <w:pStyle w:val="223"/>
        <w:spacing w:line="360" w:lineRule="auto"/>
        <w:ind w:left="420" w:hanging="420" w:hangingChars="200"/>
        <w:rPr>
          <w:rFonts w:ascii="黑体" w:hAnsi="黑体" w:eastAsia="黑体"/>
        </w:rPr>
      </w:pPr>
      <w:r>
        <w:rPr>
          <w:rFonts w:ascii="黑体" w:hAnsi="黑体" w:eastAsia="黑体"/>
        </w:rPr>
        <w:br w:type="textWrapping"/>
      </w:r>
      <w:r>
        <w:rPr>
          <w:rFonts w:hint="eastAsia" w:ascii="黑体" w:hAnsi="黑体" w:eastAsia="黑体"/>
        </w:rPr>
        <w:t>业务数据 business data</w:t>
      </w:r>
    </w:p>
    <w:p w14:paraId="7E6B78B6">
      <w:pPr>
        <w:pStyle w:val="56"/>
        <w:spacing w:line="360" w:lineRule="auto"/>
        <w:ind w:firstLine="420"/>
      </w:pPr>
      <w:r>
        <w:rPr>
          <w:rFonts w:hint="eastAsia"/>
        </w:rPr>
        <w:t>在水利工程运行调度、巡检养护、安全监测、维修管理、应急处置、监督检查和绩效评价等业务活动中形成的数据。</w:t>
      </w:r>
    </w:p>
    <w:p w14:paraId="7AA1F62B">
      <w:pPr>
        <w:pStyle w:val="223"/>
        <w:spacing w:line="360" w:lineRule="auto"/>
        <w:ind w:left="420" w:hanging="420" w:hangingChars="200"/>
        <w:rPr>
          <w:rFonts w:ascii="黑体" w:hAnsi="黑体" w:eastAsia="黑体"/>
        </w:rPr>
      </w:pPr>
      <w:r>
        <w:rPr>
          <w:rFonts w:ascii="黑体" w:hAnsi="黑体" w:eastAsia="黑体"/>
        </w:rPr>
        <w:br w:type="textWrapping"/>
      </w:r>
      <w:r>
        <w:rPr>
          <w:rFonts w:hint="eastAsia" w:ascii="黑体" w:hAnsi="黑体" w:eastAsia="黑体"/>
        </w:rPr>
        <w:t>监测感知数据 monitoring and sensing data</w:t>
      </w:r>
    </w:p>
    <w:p w14:paraId="14A1E6EB">
      <w:pPr>
        <w:pStyle w:val="56"/>
        <w:spacing w:line="360" w:lineRule="auto"/>
        <w:ind w:firstLine="420"/>
      </w:pPr>
      <w:r>
        <w:rPr>
          <w:rFonts w:hint="eastAsia"/>
        </w:rPr>
        <w:t>由传感器、测站、遥测终端、视频设备、自动化控制设备、移动终端或人工观测方式采集的水情、雨情、工情、险情、变形、渗流、设备状态和环境状态等数据。</w:t>
      </w:r>
    </w:p>
    <w:p w14:paraId="7E80FF45">
      <w:pPr>
        <w:pStyle w:val="56"/>
        <w:spacing w:line="360" w:lineRule="auto"/>
        <w:ind w:firstLine="420"/>
      </w:pPr>
    </w:p>
    <w:p w14:paraId="45B0B097">
      <w:pPr>
        <w:pStyle w:val="56"/>
        <w:spacing w:line="360" w:lineRule="auto"/>
        <w:ind w:firstLine="420"/>
        <w:rPr>
          <w:rFonts w:hint="eastAsia"/>
        </w:rPr>
      </w:pPr>
    </w:p>
    <w:p w14:paraId="0847C0E0">
      <w:pPr>
        <w:pStyle w:val="104"/>
        <w:spacing w:before="240" w:after="240" w:line="360" w:lineRule="auto"/>
      </w:pPr>
      <w:bookmarkStart w:id="51" w:name="_Toc228612877"/>
      <w:r>
        <w:rPr>
          <w:rFonts w:hint="eastAsia"/>
        </w:rPr>
        <w:t>基本要求</w:t>
      </w:r>
      <w:bookmarkEnd w:id="51"/>
    </w:p>
    <w:p w14:paraId="6AD87E8A">
      <w:pPr>
        <w:pStyle w:val="105"/>
        <w:spacing w:before="120" w:after="120" w:line="360" w:lineRule="auto"/>
      </w:pPr>
      <w:r>
        <w:rPr>
          <w:rFonts w:hint="eastAsia"/>
        </w:rPr>
        <w:t>总体要求</w:t>
      </w:r>
    </w:p>
    <w:p w14:paraId="2D3146C6">
      <w:pPr>
        <w:pStyle w:val="165"/>
        <w:spacing w:line="360" w:lineRule="auto"/>
      </w:pPr>
      <w:r>
        <w:rPr>
          <w:rFonts w:hint="eastAsia"/>
        </w:rPr>
        <w:t>水利工程数字化管理数据治理与应用应坚持业务牵引、统筹规划、标准统一、质量优先、安全可控、共享协同、分级分类和持续改进的原则。</w:t>
      </w:r>
    </w:p>
    <w:p w14:paraId="5B1B3364">
      <w:pPr>
        <w:pStyle w:val="165"/>
        <w:spacing w:line="360" w:lineRule="auto"/>
      </w:pPr>
      <w:r>
        <w:rPr>
          <w:rFonts w:hint="eastAsia"/>
        </w:rPr>
        <w:t>水利工程管理单位应建立数据治理工作机制，明确数据治理目标、组织职责、制度流程、技术路线、质量控制和安全责任。</w:t>
      </w:r>
    </w:p>
    <w:p w14:paraId="40C2231C">
      <w:pPr>
        <w:pStyle w:val="165"/>
        <w:spacing w:line="360" w:lineRule="auto"/>
      </w:pPr>
      <w:r>
        <w:rPr>
          <w:rFonts w:hint="eastAsia"/>
        </w:rPr>
        <w:t>水利工程数据治理应覆盖数据规划、数据采集、数据处理、数据存储、数据更新、数据共享、数据应用、数据归档和数据销毁全过程。</w:t>
      </w:r>
    </w:p>
    <w:p w14:paraId="435EE3D6">
      <w:pPr>
        <w:pStyle w:val="165"/>
        <w:spacing w:line="360" w:lineRule="auto"/>
      </w:pPr>
      <w:r>
        <w:rPr>
          <w:rFonts w:hint="eastAsia"/>
        </w:rPr>
        <w:t>水利工程数字化管理系统建设前，应开展数据资源梳理和业务需求分析，不得在数据来源、数据标准、责任主体和应用目标不明确的情况下建设数据应用系统。</w:t>
      </w:r>
    </w:p>
    <w:p w14:paraId="761A380A">
      <w:pPr>
        <w:pStyle w:val="165"/>
        <w:spacing w:line="360" w:lineRule="auto"/>
      </w:pPr>
      <w:r>
        <w:rPr>
          <w:rFonts w:hint="eastAsia"/>
        </w:rPr>
        <w:t>水利工程数据应真实、准确、完整、一致、及时、可追溯和可用，不得伪造、篡改、重复造数、选择性上传或随意删除关键业务数据。</w:t>
      </w:r>
    </w:p>
    <w:p w14:paraId="71985CC0">
      <w:pPr>
        <w:pStyle w:val="165"/>
        <w:spacing w:line="360" w:lineRule="auto"/>
      </w:pPr>
      <w:r>
        <w:rPr>
          <w:rFonts w:hint="eastAsia"/>
        </w:rPr>
        <w:t>水利工程数据治理应与工程运行管理、调度管理、安全监测、维修养护、应急管理、监督检查和档案管理等业务活动相衔接。</w:t>
      </w:r>
    </w:p>
    <w:p w14:paraId="792BBD38">
      <w:pPr>
        <w:pStyle w:val="165"/>
        <w:spacing w:line="360" w:lineRule="auto"/>
      </w:pPr>
      <w:r>
        <w:rPr>
          <w:rFonts w:hint="eastAsia"/>
        </w:rPr>
        <w:t>水利工程数字化管理数据应用应以工程安全、运行效益、管理效率、风险预警和应急处置能力提升为目标，不得脱离实际业务需求建设无应用场景的数据展示系统。</w:t>
      </w:r>
    </w:p>
    <w:p w14:paraId="10577D55">
      <w:pPr>
        <w:pStyle w:val="165"/>
        <w:spacing w:line="360" w:lineRule="auto"/>
      </w:pPr>
      <w:r>
        <w:rPr>
          <w:rFonts w:hint="eastAsia"/>
        </w:rPr>
        <w:t>涉及防洪调度、工程安全、险情处置、重要设备控制和应急指挥的数据，应作为重点数据进行管理。</w:t>
      </w:r>
    </w:p>
    <w:p w14:paraId="6AA45633">
      <w:pPr>
        <w:pStyle w:val="165"/>
        <w:spacing w:line="360" w:lineRule="auto"/>
      </w:pPr>
      <w:r>
        <w:rPr>
          <w:rFonts w:hint="eastAsia"/>
        </w:rPr>
        <w:t>数据治理与应用过程中应保护国家秘密、工作秘密、商业秘密、个人信息和重要数据安全。</w:t>
      </w:r>
    </w:p>
    <w:p w14:paraId="392FE0FF">
      <w:pPr>
        <w:pStyle w:val="165"/>
        <w:spacing w:line="360" w:lineRule="auto"/>
      </w:pPr>
      <w:r>
        <w:rPr>
          <w:rFonts w:hint="eastAsia"/>
        </w:rPr>
        <w:t>数据治理成果应定期评价。发现数据质量不满足业务应用要求的，应及时开展整改和复核。</w:t>
      </w:r>
    </w:p>
    <w:p w14:paraId="6EB2791F">
      <w:pPr>
        <w:pStyle w:val="105"/>
        <w:spacing w:before="120" w:after="120" w:line="360" w:lineRule="auto"/>
      </w:pPr>
      <w:r>
        <w:rPr>
          <w:rFonts w:hint="eastAsia"/>
        </w:rPr>
        <w:t>组织与职责</w:t>
      </w:r>
    </w:p>
    <w:p w14:paraId="00F1F636">
      <w:pPr>
        <w:pStyle w:val="165"/>
        <w:spacing w:line="360" w:lineRule="auto"/>
      </w:pPr>
      <w:r>
        <w:rPr>
          <w:rFonts w:hint="eastAsia"/>
        </w:rPr>
        <w:t>水利工程管理单位应明确数据治理责任部门，负责数据治理制度建设、数据目录管理、数据标准执行、数据质量检查和应用评价。</w:t>
      </w:r>
    </w:p>
    <w:p w14:paraId="6F2AD3FD">
      <w:pPr>
        <w:pStyle w:val="165"/>
        <w:spacing w:line="360" w:lineRule="auto"/>
      </w:pPr>
      <w:r>
        <w:rPr>
          <w:rFonts w:hint="eastAsia"/>
        </w:rPr>
        <w:t>业务管理部门应负责本业务领域数据需求提出、数据采集确认、数据质量审核、数据更新维护和数据应用反馈。</w:t>
      </w:r>
    </w:p>
    <w:p w14:paraId="5CE6EBF9">
      <w:pPr>
        <w:pStyle w:val="165"/>
        <w:spacing w:line="360" w:lineRule="auto"/>
      </w:pPr>
      <w:r>
        <w:rPr>
          <w:rFonts w:hint="eastAsia"/>
        </w:rPr>
        <w:t>信息化管理部门应负责数据平台、数据库、接口服务、系统运维、权限配置、备份恢复和信息安全技术支撑。</w:t>
      </w:r>
    </w:p>
    <w:p w14:paraId="3269029E">
      <w:pPr>
        <w:pStyle w:val="165"/>
        <w:spacing w:line="360" w:lineRule="auto"/>
      </w:pPr>
      <w:r>
        <w:rPr>
          <w:rFonts w:hint="eastAsia"/>
        </w:rPr>
        <w:t>工程运行管理部门应负责运行调度、设备设施、巡检养护、隐患排查和应急处置等业务数据的真实性、完整性和及时性。</w:t>
      </w:r>
    </w:p>
    <w:p w14:paraId="78779F30">
      <w:pPr>
        <w:pStyle w:val="165"/>
        <w:spacing w:line="360" w:lineRule="auto"/>
      </w:pPr>
      <w:r>
        <w:rPr>
          <w:rFonts w:hint="eastAsia"/>
        </w:rPr>
        <w:t>安全监测管理部门应负责监测测点、监测设备、监测数据、异常报警和监测成果数据的管理。</w:t>
      </w:r>
    </w:p>
    <w:p w14:paraId="771BBFC7">
      <w:pPr>
        <w:pStyle w:val="165"/>
        <w:spacing w:line="360" w:lineRule="auto"/>
      </w:pPr>
      <w:r>
        <w:rPr>
          <w:rFonts w:hint="eastAsia"/>
        </w:rPr>
        <w:t>档案管理部门应负责工程档案数据、历史资料数据、图纸资料数据和归档电子文件的管理。</w:t>
      </w:r>
    </w:p>
    <w:p w14:paraId="572D34E1">
      <w:pPr>
        <w:pStyle w:val="165"/>
        <w:spacing w:line="360" w:lineRule="auto"/>
      </w:pPr>
      <w:r>
        <w:rPr>
          <w:rFonts w:hint="eastAsia"/>
        </w:rPr>
        <w:t>数据使用部门应在授权范围内使用数据，不得擅自复制、外传、篡改、删除或超范围使用数据。</w:t>
      </w:r>
    </w:p>
    <w:p w14:paraId="0435EC44">
      <w:pPr>
        <w:pStyle w:val="165"/>
        <w:spacing w:line="360" w:lineRule="auto"/>
      </w:pPr>
      <w:r>
        <w:rPr>
          <w:rFonts w:hint="eastAsia"/>
        </w:rPr>
        <w:t>第三方技术服务单位参与数据采集、系统建设、平台运维或数据处理的，应签订数据安全和保密协议，并应明确数据权属、使用边界和移交要求。</w:t>
      </w:r>
    </w:p>
    <w:p w14:paraId="0B27C6DE">
      <w:pPr>
        <w:pStyle w:val="105"/>
        <w:spacing w:before="120" w:after="120" w:line="360" w:lineRule="auto"/>
      </w:pPr>
      <w:r>
        <w:rPr>
          <w:rFonts w:hint="eastAsia"/>
        </w:rPr>
        <w:t>制度要求</w:t>
      </w:r>
    </w:p>
    <w:p w14:paraId="278CE4D5">
      <w:pPr>
        <w:pStyle w:val="165"/>
        <w:spacing w:line="360" w:lineRule="auto"/>
      </w:pPr>
      <w:r>
        <w:rPr>
          <w:rFonts w:hint="eastAsia"/>
        </w:rPr>
        <w:t>水利工程管理单位应建立并实施下列制度：</w:t>
      </w:r>
    </w:p>
    <w:p w14:paraId="4B56645D">
      <w:pPr>
        <w:pStyle w:val="56"/>
        <w:spacing w:line="360" w:lineRule="auto"/>
        <w:ind w:firstLine="420"/>
      </w:pPr>
      <w:r>
        <w:rPr>
          <w:rFonts w:hint="eastAsia"/>
        </w:rPr>
        <w:t>a) 数据资源目录管理制度；</w:t>
      </w:r>
    </w:p>
    <w:p w14:paraId="789D91F3">
      <w:pPr>
        <w:pStyle w:val="56"/>
        <w:spacing w:line="360" w:lineRule="auto"/>
        <w:ind w:firstLine="420"/>
      </w:pPr>
      <w:r>
        <w:rPr>
          <w:rFonts w:hint="eastAsia"/>
        </w:rPr>
        <w:t>b) 数据分类分级管理制度；</w:t>
      </w:r>
    </w:p>
    <w:p w14:paraId="066AB444">
      <w:pPr>
        <w:pStyle w:val="56"/>
        <w:spacing w:line="360" w:lineRule="auto"/>
        <w:ind w:firstLine="420"/>
      </w:pPr>
      <w:r>
        <w:rPr>
          <w:rFonts w:hint="eastAsia"/>
        </w:rPr>
        <w:t>c) 数据采集与更新制度；</w:t>
      </w:r>
    </w:p>
    <w:p w14:paraId="73BA0BF6">
      <w:pPr>
        <w:pStyle w:val="56"/>
        <w:spacing w:line="360" w:lineRule="auto"/>
        <w:ind w:firstLine="420"/>
      </w:pPr>
      <w:r>
        <w:rPr>
          <w:rFonts w:hint="eastAsia"/>
        </w:rPr>
        <w:t>d) 数据质量控制制度；</w:t>
      </w:r>
    </w:p>
    <w:p w14:paraId="4B09AF35">
      <w:pPr>
        <w:pStyle w:val="56"/>
        <w:spacing w:line="360" w:lineRule="auto"/>
        <w:ind w:firstLine="420"/>
      </w:pPr>
      <w:r>
        <w:rPr>
          <w:rFonts w:hint="eastAsia"/>
        </w:rPr>
        <w:t>e) 数据共享交换制度；</w:t>
      </w:r>
    </w:p>
    <w:p w14:paraId="2B1D1E6A">
      <w:pPr>
        <w:pStyle w:val="56"/>
        <w:spacing w:line="360" w:lineRule="auto"/>
        <w:ind w:firstLine="420"/>
      </w:pPr>
      <w:r>
        <w:rPr>
          <w:rFonts w:hint="eastAsia"/>
        </w:rPr>
        <w:t>f) 数据安全与权限管理制度；</w:t>
      </w:r>
    </w:p>
    <w:p w14:paraId="73C85E40">
      <w:pPr>
        <w:pStyle w:val="56"/>
        <w:spacing w:line="360" w:lineRule="auto"/>
        <w:ind w:firstLine="420"/>
      </w:pPr>
      <w:r>
        <w:rPr>
          <w:rFonts w:hint="eastAsia"/>
        </w:rPr>
        <w:t>g) 数据应用管理制度；</w:t>
      </w:r>
    </w:p>
    <w:p w14:paraId="43BA055E">
      <w:pPr>
        <w:pStyle w:val="56"/>
        <w:spacing w:line="360" w:lineRule="auto"/>
        <w:ind w:firstLine="420"/>
      </w:pPr>
      <w:r>
        <w:rPr>
          <w:rFonts w:hint="eastAsia"/>
        </w:rPr>
        <w:t>h) 数据备份与恢复制度；</w:t>
      </w:r>
    </w:p>
    <w:p w14:paraId="33200578">
      <w:pPr>
        <w:pStyle w:val="56"/>
        <w:spacing w:line="360" w:lineRule="auto"/>
        <w:ind w:firstLine="420"/>
      </w:pPr>
      <w:r>
        <w:rPr>
          <w:rFonts w:hint="eastAsia"/>
        </w:rPr>
        <w:t>i) 数据归档与销毁制度；</w:t>
      </w:r>
    </w:p>
    <w:p w14:paraId="09933B38">
      <w:pPr>
        <w:pStyle w:val="56"/>
        <w:spacing w:line="360" w:lineRule="auto"/>
        <w:ind w:firstLine="420"/>
      </w:pPr>
      <w:r>
        <w:rPr>
          <w:rFonts w:hint="eastAsia"/>
        </w:rPr>
        <w:t>j) 数据治理评价与持续改进制度。</w:t>
      </w:r>
    </w:p>
    <w:p w14:paraId="4F0BFC19">
      <w:pPr>
        <w:pStyle w:val="165"/>
        <w:spacing w:line="360" w:lineRule="auto"/>
      </w:pPr>
      <w:r>
        <w:rPr>
          <w:rFonts w:hint="eastAsia"/>
        </w:rPr>
        <w:t>数据治理制度应明确责任主体、操作流程、记录要求、检查方式、问题整改和责任追究要求。</w:t>
      </w:r>
    </w:p>
    <w:p w14:paraId="56B4A6F4">
      <w:pPr>
        <w:pStyle w:val="165"/>
        <w:spacing w:line="360" w:lineRule="auto"/>
      </w:pPr>
      <w:r>
        <w:rPr>
          <w:rFonts w:hint="eastAsia"/>
        </w:rPr>
        <w:t>数据治理制度应与工程管理制度、调度规程、巡检制度、维修养护制度、应急预案和档案管理制度保持一致。</w:t>
      </w:r>
    </w:p>
    <w:p w14:paraId="203E40D2">
      <w:pPr>
        <w:pStyle w:val="165"/>
        <w:spacing w:line="360" w:lineRule="auto"/>
      </w:pPr>
      <w:r>
        <w:rPr>
          <w:rFonts w:hint="eastAsia"/>
        </w:rPr>
        <w:t>制度文件发生变更时，应同步更新数据目录、数据标准、系统配置、操作手册和培训资料。</w:t>
      </w:r>
    </w:p>
    <w:p w14:paraId="113BF2E9">
      <w:pPr>
        <w:pStyle w:val="105"/>
        <w:spacing w:before="120" w:after="120" w:line="360" w:lineRule="auto"/>
      </w:pPr>
      <w:r>
        <w:rPr>
          <w:rFonts w:hint="eastAsia"/>
        </w:rPr>
        <w:t>数据分类分级要求</w:t>
      </w:r>
    </w:p>
    <w:p w14:paraId="641FA3D9">
      <w:pPr>
        <w:pStyle w:val="165"/>
        <w:spacing w:line="360" w:lineRule="auto"/>
      </w:pPr>
      <w:r>
        <w:rPr>
          <w:rFonts w:hint="eastAsia"/>
        </w:rPr>
        <w:t>水利工程数据应按照数据来源、业务领域、对象类型、共享属性、安全属性和应用场景进行分类。</w:t>
      </w:r>
    </w:p>
    <w:p w14:paraId="4C2B3480">
      <w:pPr>
        <w:pStyle w:val="165"/>
        <w:spacing w:line="360" w:lineRule="auto"/>
      </w:pPr>
      <w:r>
        <w:rPr>
          <w:rFonts w:hint="eastAsia"/>
        </w:rPr>
        <w:t>水利工程数据应按照重要程度、敏感程度、影响范围和安全风险进行分级。</w:t>
      </w:r>
    </w:p>
    <w:p w14:paraId="36EECF43">
      <w:pPr>
        <w:pStyle w:val="165"/>
        <w:spacing w:line="360" w:lineRule="auto"/>
      </w:pPr>
      <w:r>
        <w:rPr>
          <w:rFonts w:hint="eastAsia"/>
        </w:rPr>
        <w:t>重要数据、敏感数据和关键业务数据应设置更严格的访问控制、传输控制、备份控制和审计控制。</w:t>
      </w:r>
    </w:p>
    <w:p w14:paraId="35B33DDF">
      <w:pPr>
        <w:pStyle w:val="165"/>
        <w:spacing w:line="360" w:lineRule="auto"/>
      </w:pPr>
      <w:r>
        <w:rPr>
          <w:rFonts w:hint="eastAsia"/>
        </w:rPr>
        <w:t>数据分类分级结果应纳入数据目录管理，并应作为数据共享、数据安全、数据质量控制和数据应用授权的依据。</w:t>
      </w:r>
    </w:p>
    <w:p w14:paraId="5981F0C0">
      <w:pPr>
        <w:pStyle w:val="165"/>
        <w:spacing w:line="360" w:lineRule="auto"/>
      </w:pPr>
      <w:r>
        <w:rPr>
          <w:rFonts w:hint="eastAsia"/>
        </w:rPr>
        <w:t>数据分类分级结果应定期复核。数据用途、共享范围、安全属性或管理要求发生变化时，应及时调整。</w:t>
      </w:r>
    </w:p>
    <w:p w14:paraId="6BEC4735">
      <w:pPr>
        <w:pStyle w:val="105"/>
        <w:spacing w:before="120" w:after="120" w:line="360" w:lineRule="auto"/>
      </w:pPr>
      <w:r>
        <w:rPr>
          <w:rFonts w:hint="eastAsia"/>
        </w:rPr>
        <w:t>数据标准要求</w:t>
      </w:r>
    </w:p>
    <w:p w14:paraId="2FE52EEA">
      <w:pPr>
        <w:pStyle w:val="165"/>
        <w:spacing w:line="360" w:lineRule="auto"/>
      </w:pPr>
      <w:r>
        <w:rPr>
          <w:rFonts w:hint="eastAsia"/>
        </w:rPr>
        <w:t>水利工程数据应统一数据名称、数据定义、数据类型、计量单位、编码规则、时间格式、空间基准和质量要求。</w:t>
      </w:r>
    </w:p>
    <w:p w14:paraId="3738A204">
      <w:pPr>
        <w:pStyle w:val="165"/>
        <w:spacing w:line="360" w:lineRule="auto"/>
      </w:pPr>
      <w:r>
        <w:rPr>
          <w:rFonts w:hint="eastAsia"/>
        </w:rPr>
        <w:t>水利工程对象、管理单位、设备设施、监测测点、河湖水系、行政区划和工程部位等主数据应采用统一编码。</w:t>
      </w:r>
    </w:p>
    <w:p w14:paraId="748605CA">
      <w:pPr>
        <w:pStyle w:val="165"/>
        <w:spacing w:line="360" w:lineRule="auto"/>
      </w:pPr>
      <w:r>
        <w:rPr>
          <w:rFonts w:hint="eastAsia"/>
        </w:rPr>
        <w:t>数据采集、数据交换、数据存储和数据应用应执行统一数据标准，不得在不同系统中使用相互矛盾的数据口径。</w:t>
      </w:r>
    </w:p>
    <w:p w14:paraId="0EE1F761">
      <w:pPr>
        <w:pStyle w:val="165"/>
        <w:spacing w:line="360" w:lineRule="auto"/>
      </w:pPr>
      <w:r>
        <w:rPr>
          <w:rFonts w:hint="eastAsia"/>
        </w:rPr>
        <w:t>新建系统应在建设阶段落实数据标准。已建系统与统一数据标准不一致的，应制定数据映射、转换或改造方案。</w:t>
      </w:r>
    </w:p>
    <w:p w14:paraId="4BE30BD5">
      <w:pPr>
        <w:pStyle w:val="165"/>
        <w:spacing w:line="360" w:lineRule="auto"/>
      </w:pPr>
      <w:r>
        <w:rPr>
          <w:rFonts w:hint="eastAsia"/>
        </w:rPr>
        <w:t>数据标准应建立版本管理机制。标准变更应评估对历史数据、接口服务、业务流程和应用模型的影响。</w:t>
      </w:r>
    </w:p>
    <w:p w14:paraId="08894F10">
      <w:pPr>
        <w:pStyle w:val="105"/>
        <w:spacing w:before="120" w:after="120" w:line="360" w:lineRule="auto"/>
      </w:pPr>
      <w:r>
        <w:rPr>
          <w:rFonts w:hint="eastAsia"/>
        </w:rPr>
        <w:t>数据质量要求</w:t>
      </w:r>
    </w:p>
    <w:p w14:paraId="327198CA">
      <w:pPr>
        <w:pStyle w:val="165"/>
        <w:spacing w:line="360" w:lineRule="auto"/>
      </w:pPr>
      <w:r>
        <w:rPr>
          <w:rFonts w:hint="eastAsia"/>
        </w:rPr>
        <w:t>水利工程数据质量控制应覆盖数据完整性、准确性、一致性、及时性、唯一性、有效性、可追溯性和可用性。</w:t>
      </w:r>
    </w:p>
    <w:p w14:paraId="3C3B8B7F">
      <w:pPr>
        <w:pStyle w:val="165"/>
        <w:spacing w:line="360" w:lineRule="auto"/>
      </w:pPr>
      <w:r>
        <w:rPr>
          <w:rFonts w:hint="eastAsia"/>
        </w:rPr>
        <w:t>数据采集前应明确数据项、采集频率、采集方式、质量规则和责任主体。</w:t>
      </w:r>
    </w:p>
    <w:p w14:paraId="28273600">
      <w:pPr>
        <w:pStyle w:val="165"/>
        <w:spacing w:line="360" w:lineRule="auto"/>
      </w:pPr>
      <w:r>
        <w:rPr>
          <w:rFonts w:hint="eastAsia"/>
        </w:rPr>
        <w:t>数据入库前应进行格式校验、范围校验、逻辑校验、重复校验和完整性校验。</w:t>
      </w:r>
    </w:p>
    <w:p w14:paraId="18903D7B">
      <w:pPr>
        <w:pStyle w:val="165"/>
        <w:spacing w:line="360" w:lineRule="auto"/>
      </w:pPr>
      <w:r>
        <w:rPr>
          <w:rFonts w:hint="eastAsia"/>
        </w:rPr>
        <w:t>对自动采集数据，应核查设备状态、采集时间、通信状态、异常值、缺测值和数据漂移情况。</w:t>
      </w:r>
    </w:p>
    <w:p w14:paraId="609FCB13">
      <w:pPr>
        <w:pStyle w:val="165"/>
        <w:spacing w:line="360" w:lineRule="auto"/>
      </w:pPr>
      <w:r>
        <w:rPr>
          <w:rFonts w:hint="eastAsia"/>
        </w:rPr>
        <w:t>对人工录入数据，应进行复核确认，不得由无授权人员代录、代审或代签。</w:t>
      </w:r>
    </w:p>
    <w:p w14:paraId="0F36DC5B">
      <w:pPr>
        <w:pStyle w:val="165"/>
        <w:spacing w:line="360" w:lineRule="auto"/>
      </w:pPr>
      <w:r>
        <w:rPr>
          <w:rFonts w:hint="eastAsia"/>
        </w:rPr>
        <w:t>对质量不满足要求的数据，应标识问题状态，不得直接用于调度决策、风险预警或考核评价。</w:t>
      </w:r>
    </w:p>
    <w:p w14:paraId="72265CC0">
      <w:pPr>
        <w:pStyle w:val="105"/>
        <w:spacing w:before="120" w:after="120" w:line="360" w:lineRule="auto"/>
      </w:pPr>
      <w:r>
        <w:rPr>
          <w:rFonts w:hint="eastAsia"/>
        </w:rPr>
        <w:t>数据应用要求</w:t>
      </w:r>
    </w:p>
    <w:p w14:paraId="410E01C0">
      <w:pPr>
        <w:pStyle w:val="165"/>
        <w:spacing w:line="360" w:lineRule="auto"/>
      </w:pPr>
      <w:r>
        <w:rPr>
          <w:rFonts w:hint="eastAsia"/>
        </w:rPr>
        <w:t>水利工程数据应用应明确业务场景、输入数据、处理规则、输出成果、责任主体和验证要求。</w:t>
      </w:r>
    </w:p>
    <w:p w14:paraId="5307C276">
      <w:pPr>
        <w:pStyle w:val="165"/>
        <w:spacing w:line="360" w:lineRule="auto"/>
      </w:pPr>
      <w:r>
        <w:rPr>
          <w:rFonts w:hint="eastAsia"/>
        </w:rPr>
        <w:t>用于工程调度、风险预警、隐患识别和应急处置的数据应用，应具备数据来源可追溯、处理过程可复核、输出结果可解释的能力。</w:t>
      </w:r>
    </w:p>
    <w:p w14:paraId="2AA61E8D">
      <w:pPr>
        <w:pStyle w:val="165"/>
        <w:spacing w:line="360" w:lineRule="auto"/>
      </w:pPr>
      <w:r>
        <w:rPr>
          <w:rFonts w:hint="eastAsia"/>
        </w:rPr>
        <w:t>模型分析、智能识别和自动预警结果不得替代管理责任人员的必要审核确认。</w:t>
      </w:r>
    </w:p>
    <w:p w14:paraId="0299475F">
      <w:pPr>
        <w:pStyle w:val="165"/>
        <w:spacing w:line="360" w:lineRule="auto"/>
      </w:pPr>
      <w:r>
        <w:rPr>
          <w:rFonts w:hint="eastAsia"/>
        </w:rPr>
        <w:t>数据应用成果应与水利工程运行管理业务闭环衔接。预警、派单、处置、复核和归档等环节应形成记录。</w:t>
      </w:r>
    </w:p>
    <w:p w14:paraId="1E566350">
      <w:pPr>
        <w:pStyle w:val="165"/>
        <w:spacing w:line="360" w:lineRule="auto"/>
      </w:pPr>
      <w:r>
        <w:rPr>
          <w:rFonts w:hint="eastAsia"/>
        </w:rPr>
        <w:t>数据应用效果应定期评价。无法支撑业务决策、长期无人使用或输出结果明显失真的应用，应及时优化或停止使用。</w:t>
      </w:r>
    </w:p>
    <w:p w14:paraId="161C89A3">
      <w:pPr>
        <w:pStyle w:val="104"/>
        <w:spacing w:before="240" w:after="240" w:line="360" w:lineRule="auto"/>
      </w:pPr>
      <w:bookmarkStart w:id="52" w:name="_Toc228612878"/>
      <w:r>
        <w:rPr>
          <w:rFonts w:hint="eastAsia"/>
        </w:rPr>
        <w:t>数据资源管理</w:t>
      </w:r>
      <w:bookmarkEnd w:id="52"/>
    </w:p>
    <w:p w14:paraId="16CA60C7">
      <w:pPr>
        <w:pStyle w:val="105"/>
        <w:spacing w:before="120" w:after="120" w:line="360" w:lineRule="auto"/>
      </w:pPr>
      <w:r>
        <w:rPr>
          <w:rFonts w:hint="eastAsia"/>
        </w:rPr>
        <w:t>一般要求</w:t>
      </w:r>
    </w:p>
    <w:p w14:paraId="37930311">
      <w:pPr>
        <w:pStyle w:val="165"/>
        <w:spacing w:line="360" w:lineRule="auto"/>
      </w:pPr>
      <w:r>
        <w:rPr>
          <w:rFonts w:hint="eastAsia"/>
        </w:rPr>
        <w:t>水利工程管理单位应开展数据资源梳理，建立统一数据资源目录。</w:t>
      </w:r>
    </w:p>
    <w:p w14:paraId="1FAD684D">
      <w:pPr>
        <w:pStyle w:val="165"/>
        <w:spacing w:line="360" w:lineRule="auto"/>
      </w:pPr>
      <w:r>
        <w:rPr>
          <w:rFonts w:hint="eastAsia"/>
        </w:rPr>
        <w:t>数据资源管理应覆盖工程基础数据、空间数据、监测感知数据、设备设施数据、运行调度数据、巡检养护数据、安全监测数据、应急管理数据、视频图像数据、档案资料数据和应用成果数据。</w:t>
      </w:r>
    </w:p>
    <w:p w14:paraId="0D32ED0D">
      <w:pPr>
        <w:pStyle w:val="165"/>
        <w:spacing w:line="360" w:lineRule="auto"/>
      </w:pPr>
      <w:r>
        <w:rPr>
          <w:rFonts w:hint="eastAsia"/>
        </w:rPr>
        <w:t>每类数据资源应明确数据名称、数据来源、责任部门、数据格式、更新频率、共享范围、安全等级、质量要求和应用场景。</w:t>
      </w:r>
    </w:p>
    <w:p w14:paraId="64BADC4D">
      <w:pPr>
        <w:pStyle w:val="165"/>
        <w:spacing w:line="360" w:lineRule="auto"/>
      </w:pPr>
      <w:r>
        <w:rPr>
          <w:rFonts w:hint="eastAsia"/>
        </w:rPr>
        <w:t>数据资源目录应动态维护。新增系统、新增业务、新增数据接口或新增应用场景时，应同步补充数据目录。</w:t>
      </w:r>
    </w:p>
    <w:p w14:paraId="44240A79">
      <w:pPr>
        <w:pStyle w:val="165"/>
        <w:spacing w:line="360" w:lineRule="auto"/>
      </w:pPr>
      <w:r>
        <w:rPr>
          <w:rFonts w:hint="eastAsia"/>
        </w:rPr>
        <w:t>未纳入数据目录的数据，不宜作为正式业务应用、共享交换和统计评价的数据来源。</w:t>
      </w:r>
    </w:p>
    <w:p w14:paraId="1E34859D">
      <w:pPr>
        <w:pStyle w:val="105"/>
        <w:spacing w:before="120" w:after="120" w:line="360" w:lineRule="auto"/>
      </w:pPr>
      <w:r>
        <w:rPr>
          <w:rFonts w:hint="eastAsia"/>
        </w:rPr>
        <w:t>数据资源目录</w:t>
      </w:r>
    </w:p>
    <w:p w14:paraId="13D989A8">
      <w:pPr>
        <w:pStyle w:val="165"/>
        <w:spacing w:line="360" w:lineRule="auto"/>
      </w:pPr>
      <w:r>
        <w:rPr>
          <w:rFonts w:hint="eastAsia"/>
        </w:rPr>
        <w:t>数据资源目录应采用统一模板编制。</w:t>
      </w:r>
    </w:p>
    <w:p w14:paraId="7F8FACD3">
      <w:pPr>
        <w:pStyle w:val="165"/>
        <w:spacing w:line="360" w:lineRule="auto"/>
      </w:pPr>
      <w:r>
        <w:rPr>
          <w:rFonts w:hint="eastAsia"/>
        </w:rPr>
        <w:t>数据资源目录内容应至少包括：</w:t>
      </w:r>
    </w:p>
    <w:p w14:paraId="268761FB">
      <w:pPr>
        <w:pStyle w:val="56"/>
        <w:spacing w:line="360" w:lineRule="auto"/>
        <w:ind w:firstLine="420"/>
      </w:pPr>
      <w:r>
        <w:rPr>
          <w:rFonts w:hint="eastAsia"/>
        </w:rPr>
        <w:t>a) 数据资源名称；</w:t>
      </w:r>
    </w:p>
    <w:p w14:paraId="0A378FE7">
      <w:pPr>
        <w:pStyle w:val="56"/>
        <w:spacing w:line="360" w:lineRule="auto"/>
        <w:ind w:firstLine="420"/>
      </w:pPr>
      <w:r>
        <w:rPr>
          <w:rFonts w:hint="eastAsia"/>
        </w:rPr>
        <w:t>b) 数据资源编码；</w:t>
      </w:r>
    </w:p>
    <w:p w14:paraId="3A70E04A">
      <w:pPr>
        <w:pStyle w:val="56"/>
        <w:spacing w:line="360" w:lineRule="auto"/>
        <w:ind w:firstLine="420"/>
      </w:pPr>
      <w:r>
        <w:rPr>
          <w:rFonts w:hint="eastAsia"/>
        </w:rPr>
        <w:t>c) 数据类别；</w:t>
      </w:r>
    </w:p>
    <w:p w14:paraId="57AE840F">
      <w:pPr>
        <w:pStyle w:val="56"/>
        <w:spacing w:line="360" w:lineRule="auto"/>
        <w:ind w:firstLine="420"/>
      </w:pPr>
      <w:r>
        <w:rPr>
          <w:rFonts w:hint="eastAsia"/>
        </w:rPr>
        <w:t>d) 数据责任主体；</w:t>
      </w:r>
    </w:p>
    <w:p w14:paraId="5C4D18D1">
      <w:pPr>
        <w:pStyle w:val="56"/>
        <w:spacing w:line="360" w:lineRule="auto"/>
        <w:ind w:firstLine="420"/>
      </w:pPr>
      <w:r>
        <w:rPr>
          <w:rFonts w:hint="eastAsia"/>
        </w:rPr>
        <w:t>e) 数据来源；</w:t>
      </w:r>
    </w:p>
    <w:p w14:paraId="54B4FDEA">
      <w:pPr>
        <w:pStyle w:val="56"/>
        <w:spacing w:line="360" w:lineRule="auto"/>
        <w:ind w:firstLine="420"/>
      </w:pPr>
      <w:r>
        <w:rPr>
          <w:rFonts w:hint="eastAsia"/>
        </w:rPr>
        <w:t>f) 数据格式；</w:t>
      </w:r>
    </w:p>
    <w:p w14:paraId="0053EE0C">
      <w:pPr>
        <w:pStyle w:val="56"/>
        <w:spacing w:line="360" w:lineRule="auto"/>
        <w:ind w:firstLine="420"/>
      </w:pPr>
      <w:r>
        <w:rPr>
          <w:rFonts w:hint="eastAsia"/>
        </w:rPr>
        <w:t>g) 数据更新频率；</w:t>
      </w:r>
    </w:p>
    <w:p w14:paraId="5E65E141">
      <w:pPr>
        <w:pStyle w:val="56"/>
        <w:spacing w:line="360" w:lineRule="auto"/>
        <w:ind w:firstLine="420"/>
      </w:pPr>
      <w:r>
        <w:rPr>
          <w:rFonts w:hint="eastAsia"/>
        </w:rPr>
        <w:t>h) 数据质量要求；</w:t>
      </w:r>
    </w:p>
    <w:p w14:paraId="02AC42BD">
      <w:pPr>
        <w:pStyle w:val="56"/>
        <w:spacing w:line="360" w:lineRule="auto"/>
        <w:ind w:firstLine="420"/>
      </w:pPr>
      <w:r>
        <w:rPr>
          <w:rFonts w:hint="eastAsia"/>
        </w:rPr>
        <w:t>i) 共享属性；</w:t>
      </w:r>
    </w:p>
    <w:p w14:paraId="10D792EC">
      <w:pPr>
        <w:pStyle w:val="56"/>
        <w:spacing w:line="360" w:lineRule="auto"/>
        <w:ind w:firstLine="420"/>
      </w:pPr>
      <w:r>
        <w:rPr>
          <w:rFonts w:hint="eastAsia"/>
        </w:rPr>
        <w:t>j) 安全等级；</w:t>
      </w:r>
    </w:p>
    <w:p w14:paraId="6DA96671">
      <w:pPr>
        <w:pStyle w:val="56"/>
        <w:spacing w:line="360" w:lineRule="auto"/>
        <w:ind w:firstLine="420"/>
      </w:pPr>
      <w:r>
        <w:rPr>
          <w:rFonts w:hint="eastAsia"/>
        </w:rPr>
        <w:t>k) 保存期限；</w:t>
      </w:r>
    </w:p>
    <w:p w14:paraId="25F12FB7">
      <w:pPr>
        <w:pStyle w:val="56"/>
        <w:spacing w:line="360" w:lineRule="auto"/>
        <w:ind w:firstLine="420"/>
      </w:pPr>
      <w:r>
        <w:rPr>
          <w:rFonts w:hint="eastAsia"/>
        </w:rPr>
        <w:t>l) 应用场景。</w:t>
      </w:r>
    </w:p>
    <w:p w14:paraId="594748FA">
      <w:pPr>
        <w:pStyle w:val="165"/>
        <w:spacing w:line="360" w:lineRule="auto"/>
      </w:pPr>
      <w:r>
        <w:rPr>
          <w:rFonts w:hint="eastAsia"/>
        </w:rPr>
        <w:t>数据资源目录应与实际数据表、文件、接口、图层、模型和业务系统对应，不得仅形成脱离系统和业务的数据清单。</w:t>
      </w:r>
    </w:p>
    <w:p w14:paraId="65082197">
      <w:pPr>
        <w:pStyle w:val="165"/>
        <w:spacing w:line="360" w:lineRule="auto"/>
      </w:pPr>
      <w:r>
        <w:rPr>
          <w:rFonts w:hint="eastAsia"/>
        </w:rPr>
        <w:t>数据资源目录应建立审核机制。未经审核的数据目录不得作为数据共享和应用建设依据。</w:t>
      </w:r>
    </w:p>
    <w:p w14:paraId="3232A7CE">
      <w:pPr>
        <w:pStyle w:val="105"/>
        <w:spacing w:before="120" w:after="120" w:line="360" w:lineRule="auto"/>
      </w:pPr>
      <w:r>
        <w:rPr>
          <w:rFonts w:hint="eastAsia"/>
        </w:rPr>
        <w:t>主数据管理</w:t>
      </w:r>
    </w:p>
    <w:p w14:paraId="5E859FBC">
      <w:pPr>
        <w:pStyle w:val="165"/>
        <w:spacing w:line="360" w:lineRule="auto"/>
      </w:pPr>
      <w:r>
        <w:rPr>
          <w:rFonts w:hint="eastAsia"/>
        </w:rPr>
        <w:t>水利工程管理单位应建立主数据管理机制，对工程对象、设备设施、测站测点、管理单位、人员岗位、河湖水系和行政区划等基础数据实施统一管理。</w:t>
      </w:r>
    </w:p>
    <w:p w14:paraId="10E495F7">
      <w:pPr>
        <w:pStyle w:val="165"/>
        <w:spacing w:line="360" w:lineRule="auto"/>
      </w:pPr>
      <w:r>
        <w:rPr>
          <w:rFonts w:hint="eastAsia"/>
        </w:rPr>
        <w:t>主数据应具有唯一编码、统一名称、标准定义、权威来源和维护责任主体。</w:t>
      </w:r>
    </w:p>
    <w:p w14:paraId="0D1EA28F">
      <w:pPr>
        <w:pStyle w:val="165"/>
        <w:spacing w:line="360" w:lineRule="auto"/>
      </w:pPr>
      <w:r>
        <w:rPr>
          <w:rFonts w:hint="eastAsia"/>
        </w:rPr>
        <w:t>主数据新增、变更、停用和注销应履行审核程序，并应保留变更记录。</w:t>
      </w:r>
    </w:p>
    <w:p w14:paraId="51F060AC">
      <w:pPr>
        <w:pStyle w:val="165"/>
        <w:spacing w:line="360" w:lineRule="auto"/>
      </w:pPr>
      <w:r>
        <w:rPr>
          <w:rFonts w:hint="eastAsia"/>
        </w:rPr>
        <w:t>不同业务系统使用同一主数据时，应以统一主数据源为准，不得各自维护互不一致的基础数据。</w:t>
      </w:r>
    </w:p>
    <w:p w14:paraId="20C77E77">
      <w:pPr>
        <w:pStyle w:val="165"/>
        <w:spacing w:line="360" w:lineRule="auto"/>
      </w:pPr>
      <w:r>
        <w:rPr>
          <w:rFonts w:hint="eastAsia"/>
        </w:rPr>
        <w:t>主数据发生变化时，应同步影响相关业务系统、数据接口、统计报表和应用模型。</w:t>
      </w:r>
    </w:p>
    <w:p w14:paraId="015DC13E">
      <w:pPr>
        <w:pStyle w:val="165"/>
        <w:numPr>
          <w:ilvl w:val="0"/>
          <w:numId w:val="0"/>
        </w:numPr>
        <w:spacing w:line="360" w:lineRule="auto"/>
      </w:pPr>
    </w:p>
    <w:p w14:paraId="596FD60B">
      <w:pPr>
        <w:pStyle w:val="165"/>
        <w:numPr>
          <w:ilvl w:val="0"/>
          <w:numId w:val="0"/>
        </w:numPr>
        <w:spacing w:line="360" w:lineRule="auto"/>
        <w:rPr>
          <w:rFonts w:hint="eastAsia"/>
        </w:rPr>
      </w:pPr>
    </w:p>
    <w:p w14:paraId="0536BA7F">
      <w:pPr>
        <w:pStyle w:val="105"/>
        <w:spacing w:before="120" w:after="120" w:line="360" w:lineRule="auto"/>
      </w:pPr>
      <w:r>
        <w:rPr>
          <w:rFonts w:hint="eastAsia"/>
        </w:rPr>
        <w:t>元数据管理</w:t>
      </w:r>
    </w:p>
    <w:p w14:paraId="72218169">
      <w:pPr>
        <w:pStyle w:val="165"/>
        <w:spacing w:line="360" w:lineRule="auto"/>
      </w:pPr>
      <w:r>
        <w:rPr>
          <w:rFonts w:hint="eastAsia"/>
        </w:rPr>
        <w:t>水利工程数据资源应建立元数据。</w:t>
      </w:r>
    </w:p>
    <w:p w14:paraId="4CD8E14A">
      <w:pPr>
        <w:pStyle w:val="165"/>
        <w:spacing w:line="360" w:lineRule="auto"/>
      </w:pPr>
      <w:r>
        <w:rPr>
          <w:rFonts w:hint="eastAsia"/>
        </w:rPr>
        <w:t>元数据应描述数据资源的业务含义、结构属性、空间范围、时间范围、数据来源、更新方式、质量规则、共享权限和安全要求。</w:t>
      </w:r>
    </w:p>
    <w:p w14:paraId="554D7374">
      <w:pPr>
        <w:pStyle w:val="165"/>
        <w:spacing w:line="360" w:lineRule="auto"/>
      </w:pPr>
      <w:r>
        <w:rPr>
          <w:rFonts w:hint="eastAsia"/>
        </w:rPr>
        <w:t>空间数据应记录坐标系统、投影方式、比例尺、精度、图层名称和空间范围。</w:t>
      </w:r>
    </w:p>
    <w:p w14:paraId="68A2F1F6">
      <w:pPr>
        <w:pStyle w:val="165"/>
        <w:spacing w:line="360" w:lineRule="auto"/>
      </w:pPr>
      <w:r>
        <w:rPr>
          <w:rFonts w:hint="eastAsia"/>
        </w:rPr>
        <w:t>监测感知数据应记录测点名称、测点编码、采集设备、采集频率、计量单位、数据精度、阈值规则和校准状态。</w:t>
      </w:r>
    </w:p>
    <w:p w14:paraId="25C4D665">
      <w:pPr>
        <w:pStyle w:val="165"/>
        <w:spacing w:line="360" w:lineRule="auto"/>
      </w:pPr>
      <w:r>
        <w:rPr>
          <w:rFonts w:hint="eastAsia"/>
        </w:rPr>
        <w:t>元数据应与数据资源同步更新。数据结构、来源、更新频率或共享权限发生变化时，应及时更新元数据。</w:t>
      </w:r>
    </w:p>
    <w:p w14:paraId="3BB44DD1">
      <w:pPr>
        <w:pStyle w:val="105"/>
        <w:spacing w:before="120" w:after="120" w:line="360" w:lineRule="auto"/>
      </w:pPr>
      <w:r>
        <w:rPr>
          <w:rFonts w:hint="eastAsia"/>
        </w:rPr>
        <w:t>数据台账</w:t>
      </w:r>
    </w:p>
    <w:p w14:paraId="78017062">
      <w:pPr>
        <w:pStyle w:val="165"/>
        <w:spacing w:line="360" w:lineRule="auto"/>
      </w:pPr>
      <w:r>
        <w:rPr>
          <w:rFonts w:hint="eastAsia"/>
        </w:rPr>
        <w:t>水利工程管理单位应建立数据台账，对数据资源的采集、入库、更新、共享、调用、归档和销毁进行记录。</w:t>
      </w:r>
    </w:p>
    <w:p w14:paraId="666D3161">
      <w:pPr>
        <w:pStyle w:val="165"/>
        <w:spacing w:line="360" w:lineRule="auto"/>
      </w:pPr>
      <w:r>
        <w:rPr>
          <w:rFonts w:hint="eastAsia"/>
        </w:rPr>
        <w:t>数据台账应至少记录数据名称、数据批次、数据来源、处理人员、处理时间、处理方式、质量状态和使用情况。</w:t>
      </w:r>
    </w:p>
    <w:p w14:paraId="213AABC9">
      <w:pPr>
        <w:pStyle w:val="165"/>
        <w:spacing w:line="360" w:lineRule="auto"/>
      </w:pPr>
      <w:r>
        <w:rPr>
          <w:rFonts w:hint="eastAsia"/>
        </w:rPr>
        <w:t>重要数据和关键业务数据应建立数据血缘记录，保证数据从来源到应用输出全过程可追溯。</w:t>
      </w:r>
    </w:p>
    <w:p w14:paraId="55FA8F54">
      <w:pPr>
        <w:pStyle w:val="165"/>
        <w:spacing w:line="360" w:lineRule="auto"/>
      </w:pPr>
      <w:r>
        <w:rPr>
          <w:rFonts w:hint="eastAsia"/>
        </w:rPr>
        <w:t>数据台账应定期核对。发现数据资源目录、实际数据和业务应用不一致时，应及时修正。</w:t>
      </w:r>
    </w:p>
    <w:p w14:paraId="67B89211">
      <w:pPr>
        <w:pStyle w:val="105"/>
        <w:spacing w:before="120" w:after="120" w:line="360" w:lineRule="auto"/>
      </w:pPr>
      <w:r>
        <w:rPr>
          <w:rFonts w:hint="eastAsia"/>
        </w:rPr>
        <w:t>数据资源分类</w:t>
      </w:r>
    </w:p>
    <w:p w14:paraId="5BF0EA71">
      <w:pPr>
        <w:pStyle w:val="56"/>
        <w:spacing w:line="360" w:lineRule="auto"/>
        <w:ind w:firstLine="420"/>
      </w:pPr>
      <w:r>
        <w:rPr>
          <w:rFonts w:hint="eastAsia"/>
        </w:rPr>
        <w:t>水利工程数字化管理数据资源宜按表1进行分类管理。</w:t>
      </w:r>
    </w:p>
    <w:p w14:paraId="305AD961">
      <w:pPr>
        <w:pStyle w:val="112"/>
        <w:spacing w:before="120" w:after="120" w:line="360" w:lineRule="auto"/>
      </w:pPr>
      <w:r>
        <w:rPr>
          <w:rFonts w:hint="eastAsia"/>
        </w:rPr>
        <w:t>水利工程数字化管理数据资源分类</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4814"/>
        <w:gridCol w:w="3112"/>
      </w:tblGrid>
      <w:tr w14:paraId="6481D4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vAlign w:val="center"/>
          </w:tcPr>
          <w:p w14:paraId="6AC4BFD1">
            <w:pPr>
              <w:pStyle w:val="178"/>
            </w:pPr>
            <w:r>
              <w:rPr>
                <w:rFonts w:hint="eastAsia"/>
              </w:rPr>
              <w:t>数据类别</w:t>
            </w:r>
          </w:p>
        </w:tc>
        <w:tc>
          <w:tcPr>
            <w:tcW w:w="4814" w:type="dxa"/>
            <w:tcBorders>
              <w:top w:val="single" w:color="auto" w:sz="8" w:space="0"/>
              <w:bottom w:val="single" w:color="auto" w:sz="8" w:space="0"/>
            </w:tcBorders>
            <w:vAlign w:val="center"/>
          </w:tcPr>
          <w:p w14:paraId="18FFB548">
            <w:pPr>
              <w:pStyle w:val="178"/>
            </w:pPr>
            <w:r>
              <w:rPr>
                <w:rFonts w:hint="eastAsia"/>
              </w:rPr>
              <w:t>主要内容</w:t>
            </w:r>
          </w:p>
        </w:tc>
        <w:tc>
          <w:tcPr>
            <w:tcW w:w="3112" w:type="dxa"/>
            <w:tcBorders>
              <w:top w:val="single" w:color="auto" w:sz="8" w:space="0"/>
              <w:bottom w:val="single" w:color="auto" w:sz="8" w:space="0"/>
            </w:tcBorders>
            <w:vAlign w:val="center"/>
          </w:tcPr>
          <w:p w14:paraId="24DA447A">
            <w:pPr>
              <w:pStyle w:val="178"/>
            </w:pPr>
            <w:r>
              <w:rPr>
                <w:rFonts w:hint="eastAsia"/>
              </w:rPr>
              <w:t>管理要求</w:t>
            </w:r>
          </w:p>
        </w:tc>
      </w:tr>
      <w:tr w14:paraId="04AB4B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vAlign w:val="center"/>
          </w:tcPr>
          <w:p w14:paraId="63BF978A">
            <w:pPr>
              <w:pStyle w:val="178"/>
            </w:pPr>
            <w:r>
              <w:rPr>
                <w:rFonts w:hint="eastAsia"/>
              </w:rPr>
              <w:t>工程基础数据</w:t>
            </w:r>
          </w:p>
        </w:tc>
        <w:tc>
          <w:tcPr>
            <w:tcW w:w="4814" w:type="dxa"/>
            <w:tcBorders>
              <w:top w:val="single" w:color="auto" w:sz="8" w:space="0"/>
            </w:tcBorders>
            <w:vAlign w:val="center"/>
          </w:tcPr>
          <w:p w14:paraId="369A3507">
            <w:pPr>
              <w:pStyle w:val="178"/>
            </w:pPr>
            <w:r>
              <w:rPr>
                <w:rFonts w:hint="eastAsia"/>
              </w:rPr>
              <w:t>工程名称、工程规模、工程等级、设计参数、管理单位、</w:t>
            </w:r>
          </w:p>
          <w:p w14:paraId="48257494">
            <w:pPr>
              <w:pStyle w:val="178"/>
            </w:pPr>
            <w:r>
              <w:rPr>
                <w:rFonts w:hint="eastAsia"/>
              </w:rPr>
              <w:t>建设资料</w:t>
            </w:r>
          </w:p>
        </w:tc>
        <w:tc>
          <w:tcPr>
            <w:tcW w:w="3112" w:type="dxa"/>
            <w:tcBorders>
              <w:top w:val="single" w:color="auto" w:sz="8" w:space="0"/>
            </w:tcBorders>
            <w:vAlign w:val="center"/>
          </w:tcPr>
          <w:p w14:paraId="5FF63DBC">
            <w:pPr>
              <w:pStyle w:val="178"/>
            </w:pPr>
            <w:r>
              <w:rPr>
                <w:rFonts w:hint="eastAsia"/>
              </w:rPr>
              <w:t>应统一编码，定期核验，与工程档案保持一致</w:t>
            </w:r>
          </w:p>
        </w:tc>
      </w:tr>
      <w:tr w14:paraId="6B4D66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3A83521D">
            <w:pPr>
              <w:pStyle w:val="178"/>
            </w:pPr>
            <w:r>
              <w:rPr>
                <w:rFonts w:hint="eastAsia"/>
              </w:rPr>
              <w:t>空间数据</w:t>
            </w:r>
          </w:p>
        </w:tc>
        <w:tc>
          <w:tcPr>
            <w:tcW w:w="4814" w:type="dxa"/>
            <w:vAlign w:val="center"/>
          </w:tcPr>
          <w:p w14:paraId="410ABB16">
            <w:pPr>
              <w:pStyle w:val="178"/>
            </w:pPr>
            <w:r>
              <w:rPr>
                <w:rFonts w:hint="eastAsia"/>
              </w:rPr>
              <w:t>工程范围、河湖水系、测站测点、设施位置、管理范围、</w:t>
            </w:r>
          </w:p>
          <w:p w14:paraId="5AF1FEB2">
            <w:pPr>
              <w:pStyle w:val="178"/>
            </w:pPr>
            <w:r>
              <w:rPr>
                <w:rFonts w:hint="eastAsia"/>
              </w:rPr>
              <w:t>保护范围</w:t>
            </w:r>
          </w:p>
        </w:tc>
        <w:tc>
          <w:tcPr>
            <w:tcW w:w="3112" w:type="dxa"/>
            <w:vAlign w:val="center"/>
          </w:tcPr>
          <w:p w14:paraId="10C4DC8A">
            <w:pPr>
              <w:pStyle w:val="178"/>
            </w:pPr>
            <w:r>
              <w:rPr>
                <w:rFonts w:hint="eastAsia"/>
              </w:rPr>
              <w:t>应统一空间基准，保持图属一致</w:t>
            </w:r>
          </w:p>
        </w:tc>
      </w:tr>
      <w:tr w14:paraId="1E2C5C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136FDFC4">
            <w:pPr>
              <w:pStyle w:val="178"/>
            </w:pPr>
            <w:r>
              <w:rPr>
                <w:rFonts w:hint="eastAsia"/>
              </w:rPr>
              <w:t>监测感知数据</w:t>
            </w:r>
          </w:p>
        </w:tc>
        <w:tc>
          <w:tcPr>
            <w:tcW w:w="4814" w:type="dxa"/>
            <w:vAlign w:val="center"/>
          </w:tcPr>
          <w:p w14:paraId="57845DB2">
            <w:pPr>
              <w:pStyle w:val="178"/>
            </w:pPr>
            <w:r>
              <w:rPr>
                <w:rFonts w:hint="eastAsia"/>
              </w:rPr>
              <w:t>水位、流量、雨量、渗流、变形、压力、振动、视频、</w:t>
            </w:r>
          </w:p>
          <w:p w14:paraId="45E80D96">
            <w:pPr>
              <w:pStyle w:val="178"/>
            </w:pPr>
            <w:r>
              <w:rPr>
                <w:rFonts w:hint="eastAsia"/>
              </w:rPr>
              <w:t>设备状态</w:t>
            </w:r>
          </w:p>
        </w:tc>
        <w:tc>
          <w:tcPr>
            <w:tcW w:w="3112" w:type="dxa"/>
            <w:vAlign w:val="center"/>
          </w:tcPr>
          <w:p w14:paraId="058FB7FE">
            <w:pPr>
              <w:pStyle w:val="178"/>
            </w:pPr>
            <w:r>
              <w:rPr>
                <w:rFonts w:hint="eastAsia"/>
              </w:rPr>
              <w:t>应保证采集连续、时间准确、</w:t>
            </w:r>
          </w:p>
          <w:p w14:paraId="725E13D9">
            <w:pPr>
              <w:pStyle w:val="178"/>
            </w:pPr>
            <w:r>
              <w:rPr>
                <w:rFonts w:hint="eastAsia"/>
              </w:rPr>
              <w:t>异常可识别</w:t>
            </w:r>
          </w:p>
        </w:tc>
      </w:tr>
      <w:tr w14:paraId="130BC5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26DDC22D">
            <w:pPr>
              <w:pStyle w:val="178"/>
            </w:pPr>
            <w:r>
              <w:rPr>
                <w:rFonts w:hint="eastAsia"/>
              </w:rPr>
              <w:t>运行调度数据</w:t>
            </w:r>
          </w:p>
        </w:tc>
        <w:tc>
          <w:tcPr>
            <w:tcW w:w="4814" w:type="dxa"/>
            <w:vAlign w:val="center"/>
          </w:tcPr>
          <w:p w14:paraId="246F07C6">
            <w:pPr>
              <w:pStyle w:val="178"/>
            </w:pPr>
            <w:r>
              <w:rPr>
                <w:rFonts w:hint="eastAsia"/>
              </w:rPr>
              <w:t>调度指令、闸门启闭、泵站运行、库容变化、供排水过程</w:t>
            </w:r>
          </w:p>
        </w:tc>
        <w:tc>
          <w:tcPr>
            <w:tcW w:w="3112" w:type="dxa"/>
            <w:vAlign w:val="center"/>
          </w:tcPr>
          <w:p w14:paraId="5289FF16">
            <w:pPr>
              <w:pStyle w:val="178"/>
            </w:pPr>
            <w:r>
              <w:rPr>
                <w:rFonts w:hint="eastAsia"/>
              </w:rPr>
              <w:t>应与调度记录一致，关键操作应留痕</w:t>
            </w:r>
          </w:p>
        </w:tc>
      </w:tr>
      <w:tr w14:paraId="581E79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45AE8A5A">
            <w:pPr>
              <w:pStyle w:val="178"/>
            </w:pPr>
            <w:r>
              <w:rPr>
                <w:rFonts w:hint="eastAsia"/>
              </w:rPr>
              <w:t>巡检养护数据</w:t>
            </w:r>
          </w:p>
        </w:tc>
        <w:tc>
          <w:tcPr>
            <w:tcW w:w="4814" w:type="dxa"/>
            <w:vAlign w:val="center"/>
          </w:tcPr>
          <w:p w14:paraId="53FE8798">
            <w:pPr>
              <w:pStyle w:val="178"/>
            </w:pPr>
            <w:r>
              <w:rPr>
                <w:rFonts w:hint="eastAsia"/>
              </w:rPr>
              <w:t>巡检记录、缺陷隐患、维修工单、养护计划、处置结果</w:t>
            </w:r>
          </w:p>
        </w:tc>
        <w:tc>
          <w:tcPr>
            <w:tcW w:w="3112" w:type="dxa"/>
            <w:vAlign w:val="center"/>
          </w:tcPr>
          <w:p w14:paraId="66A4B772">
            <w:pPr>
              <w:pStyle w:val="178"/>
            </w:pPr>
            <w:r>
              <w:rPr>
                <w:rFonts w:hint="eastAsia"/>
              </w:rPr>
              <w:t>应形成闭环管理，不得只记录发现不记录处置</w:t>
            </w:r>
          </w:p>
        </w:tc>
      </w:tr>
      <w:tr w14:paraId="1013FC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24269709">
            <w:pPr>
              <w:pStyle w:val="178"/>
            </w:pPr>
            <w:r>
              <w:rPr>
                <w:rFonts w:hint="eastAsia"/>
              </w:rPr>
              <w:t>安全监测数据</w:t>
            </w:r>
          </w:p>
        </w:tc>
        <w:tc>
          <w:tcPr>
            <w:tcW w:w="4814" w:type="dxa"/>
            <w:vAlign w:val="center"/>
          </w:tcPr>
          <w:p w14:paraId="777CEEB6">
            <w:pPr>
              <w:pStyle w:val="178"/>
            </w:pPr>
            <w:r>
              <w:rPr>
                <w:rFonts w:hint="eastAsia"/>
              </w:rPr>
              <w:t>工程安全监测、隐患排查、险情记录、风险评价</w:t>
            </w:r>
          </w:p>
        </w:tc>
        <w:tc>
          <w:tcPr>
            <w:tcW w:w="3112" w:type="dxa"/>
            <w:vAlign w:val="center"/>
          </w:tcPr>
          <w:p w14:paraId="0EDEB009">
            <w:pPr>
              <w:pStyle w:val="178"/>
            </w:pPr>
            <w:r>
              <w:rPr>
                <w:rFonts w:hint="eastAsia"/>
              </w:rPr>
              <w:t>应重点管控，异常数据应及时复核</w:t>
            </w:r>
          </w:p>
        </w:tc>
      </w:tr>
      <w:tr w14:paraId="2AB67F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69D3FD0E">
            <w:pPr>
              <w:pStyle w:val="178"/>
            </w:pPr>
            <w:r>
              <w:rPr>
                <w:rFonts w:hint="eastAsia"/>
              </w:rPr>
              <w:t>应急管理数据</w:t>
            </w:r>
          </w:p>
        </w:tc>
        <w:tc>
          <w:tcPr>
            <w:tcW w:w="4814" w:type="dxa"/>
            <w:vAlign w:val="center"/>
          </w:tcPr>
          <w:p w14:paraId="04A001D8">
            <w:pPr>
              <w:pStyle w:val="178"/>
            </w:pPr>
            <w:r>
              <w:rPr>
                <w:rFonts w:hint="eastAsia"/>
              </w:rPr>
              <w:t>应急预案、物资队伍、险情处置、会商记录、应急响应</w:t>
            </w:r>
          </w:p>
        </w:tc>
        <w:tc>
          <w:tcPr>
            <w:tcW w:w="3112" w:type="dxa"/>
            <w:vAlign w:val="center"/>
          </w:tcPr>
          <w:p w14:paraId="09736356">
            <w:pPr>
              <w:pStyle w:val="178"/>
            </w:pPr>
            <w:r>
              <w:rPr>
                <w:rFonts w:hint="eastAsia"/>
              </w:rPr>
              <w:t>应保持更新，满足应急调用要求</w:t>
            </w:r>
          </w:p>
        </w:tc>
      </w:tr>
      <w:tr w14:paraId="6744E0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364B35D4">
            <w:pPr>
              <w:pStyle w:val="178"/>
            </w:pPr>
            <w:r>
              <w:rPr>
                <w:rFonts w:hint="eastAsia"/>
              </w:rPr>
              <w:t>档案资料数据</w:t>
            </w:r>
          </w:p>
        </w:tc>
        <w:tc>
          <w:tcPr>
            <w:tcW w:w="4814" w:type="dxa"/>
            <w:vAlign w:val="center"/>
          </w:tcPr>
          <w:p w14:paraId="7E5CE6E5">
            <w:pPr>
              <w:pStyle w:val="178"/>
            </w:pPr>
            <w:r>
              <w:rPr>
                <w:rFonts w:hint="eastAsia"/>
              </w:rPr>
              <w:t>图纸、报告、批复、验收资料、运行规程、历史资料</w:t>
            </w:r>
          </w:p>
        </w:tc>
        <w:tc>
          <w:tcPr>
            <w:tcW w:w="3112" w:type="dxa"/>
            <w:vAlign w:val="center"/>
          </w:tcPr>
          <w:p w14:paraId="4D12DA13">
            <w:pPr>
              <w:pStyle w:val="178"/>
            </w:pPr>
            <w:r>
              <w:rPr>
                <w:rFonts w:hint="eastAsia"/>
              </w:rPr>
              <w:t>应归档完整，保证长期可读和可追溯</w:t>
            </w:r>
          </w:p>
        </w:tc>
      </w:tr>
      <w:tr w14:paraId="7B2C63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586725F0">
            <w:pPr>
              <w:pStyle w:val="178"/>
            </w:pPr>
            <w:r>
              <w:rPr>
                <w:rFonts w:hint="eastAsia"/>
              </w:rPr>
              <w:t>应用成果数据</w:t>
            </w:r>
          </w:p>
        </w:tc>
        <w:tc>
          <w:tcPr>
            <w:tcW w:w="4814" w:type="dxa"/>
            <w:vAlign w:val="center"/>
          </w:tcPr>
          <w:p w14:paraId="0827422E">
            <w:pPr>
              <w:pStyle w:val="178"/>
            </w:pPr>
            <w:r>
              <w:rPr>
                <w:rFonts w:hint="eastAsia"/>
              </w:rPr>
              <w:t>模型计算、预警结果、统计报表、评价结果、决策建议</w:t>
            </w:r>
          </w:p>
        </w:tc>
        <w:tc>
          <w:tcPr>
            <w:tcW w:w="3112" w:type="dxa"/>
            <w:vAlign w:val="center"/>
          </w:tcPr>
          <w:p w14:paraId="652297F4">
            <w:pPr>
              <w:pStyle w:val="178"/>
            </w:pPr>
            <w:r>
              <w:rPr>
                <w:rFonts w:hint="eastAsia"/>
              </w:rPr>
              <w:t>应保留输入数据、处理规则和输出版本</w:t>
            </w:r>
          </w:p>
        </w:tc>
      </w:tr>
    </w:tbl>
    <w:p w14:paraId="19DE7A93">
      <w:pPr>
        <w:pStyle w:val="105"/>
        <w:spacing w:before="120" w:after="120" w:line="360" w:lineRule="auto"/>
      </w:pPr>
      <w:r>
        <w:rPr>
          <w:rFonts w:hint="eastAsia"/>
        </w:rPr>
        <w:t>数据资源盘点</w:t>
      </w:r>
    </w:p>
    <w:p w14:paraId="071106AA">
      <w:pPr>
        <w:pStyle w:val="165"/>
        <w:spacing w:line="360" w:lineRule="auto"/>
      </w:pPr>
      <w:r>
        <w:rPr>
          <w:rFonts w:hint="eastAsia"/>
        </w:rPr>
        <w:t>水利工程管理单位应定期开展数据资源盘点。</w:t>
      </w:r>
    </w:p>
    <w:p w14:paraId="33395025">
      <w:pPr>
        <w:pStyle w:val="165"/>
        <w:spacing w:line="360" w:lineRule="auto"/>
      </w:pPr>
      <w:r>
        <w:rPr>
          <w:rFonts w:hint="eastAsia"/>
        </w:rPr>
        <w:t>数据资源盘点内容应包括数据资源是否存在、目录是否准确、责任主体是否明确、质量是否满足要求、共享是否有效、应用是否正常和安全措施是否落实。</w:t>
      </w:r>
    </w:p>
    <w:p w14:paraId="38C4719C">
      <w:pPr>
        <w:pStyle w:val="165"/>
        <w:spacing w:line="360" w:lineRule="auto"/>
      </w:pPr>
      <w:r>
        <w:rPr>
          <w:rFonts w:hint="eastAsia"/>
        </w:rPr>
        <w:t>对长期未更新、无人维护、来源不明、质量不可控或无法应用的数据，应开展清理、修复、归档或废止处理。</w:t>
      </w:r>
    </w:p>
    <w:p w14:paraId="045AF5D7">
      <w:pPr>
        <w:pStyle w:val="165"/>
        <w:spacing w:line="360" w:lineRule="auto"/>
      </w:pPr>
      <w:r>
        <w:rPr>
          <w:rFonts w:hint="eastAsia"/>
        </w:rPr>
        <w:t>数据资源盘点结果应形成报告，并应作为数据治理改进和系统优化依据。</w:t>
      </w:r>
    </w:p>
    <w:p w14:paraId="3E89EAF1">
      <w:pPr>
        <w:pStyle w:val="104"/>
        <w:spacing w:before="240" w:after="240" w:line="360" w:lineRule="auto"/>
      </w:pPr>
      <w:bookmarkStart w:id="53" w:name="_Toc228612879"/>
      <w:r>
        <w:rPr>
          <w:rFonts w:hint="eastAsia"/>
        </w:rPr>
        <w:t>数据分类与编码</w:t>
      </w:r>
      <w:bookmarkEnd w:id="53"/>
    </w:p>
    <w:p w14:paraId="016E4FA5">
      <w:pPr>
        <w:pStyle w:val="105"/>
        <w:spacing w:before="120" w:after="120" w:line="360" w:lineRule="auto"/>
      </w:pPr>
      <w:r>
        <w:rPr>
          <w:rFonts w:hint="eastAsia"/>
        </w:rPr>
        <w:t>一般要求</w:t>
      </w:r>
    </w:p>
    <w:p w14:paraId="03D8BCD2">
      <w:pPr>
        <w:pStyle w:val="165"/>
        <w:spacing w:line="360" w:lineRule="auto"/>
      </w:pPr>
      <w:r>
        <w:rPr>
          <w:rFonts w:hint="eastAsia"/>
        </w:rPr>
        <w:t>水利工程数字化管理数据应按照统一分类、统一编码、统一名称、统一定义和统一维护的要求进行管理。</w:t>
      </w:r>
    </w:p>
    <w:p w14:paraId="532AFBE9">
      <w:pPr>
        <w:pStyle w:val="165"/>
        <w:spacing w:line="360" w:lineRule="auto"/>
      </w:pPr>
      <w:r>
        <w:rPr>
          <w:rFonts w:hint="eastAsia"/>
        </w:rPr>
        <w:t>数据分类与编码应满足数据采集、存储、查询、统计、共享、交换、融合、分析和归档需要。</w:t>
      </w:r>
    </w:p>
    <w:p w14:paraId="6165D949">
      <w:pPr>
        <w:pStyle w:val="165"/>
        <w:spacing w:line="360" w:lineRule="auto"/>
      </w:pPr>
      <w:r>
        <w:rPr>
          <w:rFonts w:hint="eastAsia"/>
        </w:rPr>
        <w:t>数据分类与编码应与水利对象分类、工程管理业务、设备设施管理、安全监测管理和空间信息管理要求相衔接。</w:t>
      </w:r>
    </w:p>
    <w:p w14:paraId="0BFE5D10">
      <w:pPr>
        <w:pStyle w:val="165"/>
        <w:spacing w:line="360" w:lineRule="auto"/>
      </w:pPr>
      <w:r>
        <w:rPr>
          <w:rFonts w:hint="eastAsia"/>
        </w:rPr>
        <w:t>同一水利工程对象在不同系统、不同业务和不同应用场景中应采用同一编码，不得因系统不同形成多个互不关联的对象编号。</w:t>
      </w:r>
    </w:p>
    <w:p w14:paraId="4667BA05">
      <w:pPr>
        <w:pStyle w:val="165"/>
        <w:spacing w:line="360" w:lineRule="auto"/>
      </w:pPr>
      <w:r>
        <w:rPr>
          <w:rFonts w:hint="eastAsia"/>
        </w:rPr>
        <w:t>数据编码应具有唯一性、稳定性、可扩展性和可追溯性。编码规则一经确定，不得随意变更。</w:t>
      </w:r>
    </w:p>
    <w:p w14:paraId="14FA246E">
      <w:pPr>
        <w:pStyle w:val="165"/>
        <w:spacing w:line="360" w:lineRule="auto"/>
      </w:pPr>
      <w:r>
        <w:rPr>
          <w:rFonts w:hint="eastAsia"/>
        </w:rPr>
        <w:t>编码规则发生变更时，应制定新旧编码映射关系，并应评估对历史数据、业务系统、接口服务、统计报表和应用模型的影响。</w:t>
      </w:r>
    </w:p>
    <w:p w14:paraId="4DF90B56">
      <w:pPr>
        <w:pStyle w:val="105"/>
        <w:spacing w:before="120" w:after="120" w:line="360" w:lineRule="auto"/>
      </w:pPr>
      <w:r>
        <w:rPr>
          <w:rFonts w:hint="eastAsia"/>
        </w:rPr>
        <w:t>分类原则</w:t>
      </w:r>
    </w:p>
    <w:p w14:paraId="12762867">
      <w:pPr>
        <w:pStyle w:val="165"/>
        <w:spacing w:line="360" w:lineRule="auto"/>
      </w:pPr>
      <w:r>
        <w:rPr>
          <w:rFonts w:hint="eastAsia"/>
        </w:rPr>
        <w:t>水利工程数据分类应以工程对象和业务应用为基础，兼顾数据来源、数据形态、数据时效、数据安全和共享需求。</w:t>
      </w:r>
    </w:p>
    <w:p w14:paraId="37757A30">
      <w:pPr>
        <w:pStyle w:val="165"/>
        <w:spacing w:line="360" w:lineRule="auto"/>
      </w:pPr>
      <w:r>
        <w:rPr>
          <w:rFonts w:hint="eastAsia"/>
        </w:rPr>
        <w:t>数据分类应避免交叉重复。一个数据资源应有明确主分类，必要时可设置辅助分类属性。</w:t>
      </w:r>
    </w:p>
    <w:p w14:paraId="34A9DCFD">
      <w:pPr>
        <w:pStyle w:val="165"/>
        <w:spacing w:line="360" w:lineRule="auto"/>
      </w:pPr>
      <w:r>
        <w:rPr>
          <w:rFonts w:hint="eastAsia"/>
        </w:rPr>
        <w:t>工程基础数据、空间数据、监测感知数据、运行调度数据、巡检养护数据、安全监测数据、应急管理数据和档案资料数据应分别建立分类规则。</w:t>
      </w:r>
    </w:p>
    <w:p w14:paraId="668A9622">
      <w:pPr>
        <w:pStyle w:val="165"/>
        <w:spacing w:line="360" w:lineRule="auto"/>
      </w:pPr>
      <w:r>
        <w:rPr>
          <w:rFonts w:hint="eastAsia"/>
        </w:rPr>
        <w:t>数据分类应支持按工程类型、工程部位、设施设备、测点类型、业务环节、时间范围和空间范围进行查询统计。</w:t>
      </w:r>
    </w:p>
    <w:p w14:paraId="59C7C5D0">
      <w:pPr>
        <w:pStyle w:val="165"/>
        <w:spacing w:line="360" w:lineRule="auto"/>
      </w:pPr>
      <w:r>
        <w:rPr>
          <w:rFonts w:hint="eastAsia"/>
        </w:rPr>
        <w:t>已有行业编码规则的，应优先采用现行行业编码规则；无统一编码规则的，应由水利工程管理单位制定内部编码规则，并保持长期稳定。</w:t>
      </w:r>
    </w:p>
    <w:p w14:paraId="7BF4131E">
      <w:pPr>
        <w:pStyle w:val="105"/>
        <w:spacing w:before="120" w:after="120" w:line="360" w:lineRule="auto"/>
      </w:pPr>
      <w:r>
        <w:rPr>
          <w:rFonts w:hint="eastAsia"/>
        </w:rPr>
        <w:t>工程对象编码</w:t>
      </w:r>
    </w:p>
    <w:p w14:paraId="37DC28A1">
      <w:pPr>
        <w:pStyle w:val="165"/>
        <w:spacing w:line="360" w:lineRule="auto"/>
      </w:pPr>
      <w:r>
        <w:rPr>
          <w:rFonts w:hint="eastAsia"/>
        </w:rPr>
        <w:t>水库、水闸、泵站、堤防、灌区、引调水工程、河道治理工程、蓄滞洪区工程等水利工程对象应建立唯一编码。</w:t>
      </w:r>
    </w:p>
    <w:p w14:paraId="2FC01C71">
      <w:pPr>
        <w:pStyle w:val="165"/>
        <w:spacing w:line="360" w:lineRule="auto"/>
      </w:pPr>
      <w:r>
        <w:rPr>
          <w:rFonts w:hint="eastAsia"/>
        </w:rPr>
        <w:t>工程对象编码应能反映工程类别、行政区划、管理单位或工程唯一序号等信息。</w:t>
      </w:r>
    </w:p>
    <w:p w14:paraId="1604CE15">
      <w:pPr>
        <w:pStyle w:val="165"/>
        <w:spacing w:line="360" w:lineRule="auto"/>
      </w:pPr>
      <w:r>
        <w:rPr>
          <w:rFonts w:hint="eastAsia"/>
        </w:rPr>
        <w:t>工程对象名称、编码、位置、管理单位、工程等级、主要功能和建设状态应保持一致。</w:t>
      </w:r>
    </w:p>
    <w:p w14:paraId="53711EA2">
      <w:pPr>
        <w:pStyle w:val="165"/>
        <w:spacing w:line="360" w:lineRule="auto"/>
      </w:pPr>
      <w:r>
        <w:rPr>
          <w:rFonts w:hint="eastAsia"/>
        </w:rPr>
        <w:t>工程对象发生更名、合并、拆分、改扩建或管理单位调整时，应保留原编码历史记录和变更记录。</w:t>
      </w:r>
    </w:p>
    <w:p w14:paraId="644BFB1B">
      <w:pPr>
        <w:pStyle w:val="165"/>
        <w:spacing w:line="360" w:lineRule="auto"/>
      </w:pPr>
      <w:r>
        <w:rPr>
          <w:rFonts w:hint="eastAsia"/>
        </w:rPr>
        <w:t>工程对象编码不得重复使用。已注销或停用的编码不得重新分配给其他工程对象。</w:t>
      </w:r>
    </w:p>
    <w:p w14:paraId="14C9F618">
      <w:pPr>
        <w:pStyle w:val="105"/>
        <w:spacing w:before="120" w:after="120" w:line="360" w:lineRule="auto"/>
      </w:pPr>
      <w:r>
        <w:rPr>
          <w:rFonts w:hint="eastAsia"/>
        </w:rPr>
        <w:t>设备设施编码</w:t>
      </w:r>
    </w:p>
    <w:p w14:paraId="52051702">
      <w:pPr>
        <w:pStyle w:val="165"/>
        <w:spacing w:line="360" w:lineRule="auto"/>
      </w:pPr>
      <w:r>
        <w:rPr>
          <w:rFonts w:hint="eastAsia"/>
        </w:rPr>
        <w:t>闸门、启闭机、水泵、电机、阀门、输配电设备、自动化设备、监测设备、通信设备、视频设备和安全防护设施应建立设备设施编码。</w:t>
      </w:r>
    </w:p>
    <w:p w14:paraId="352B1678">
      <w:pPr>
        <w:pStyle w:val="165"/>
        <w:spacing w:line="360" w:lineRule="auto"/>
      </w:pPr>
      <w:r>
        <w:rPr>
          <w:rFonts w:hint="eastAsia"/>
        </w:rPr>
        <w:t>设备设施编码应与工程对象编码、设备类别、安装位置和设备序号相关联。</w:t>
      </w:r>
    </w:p>
    <w:p w14:paraId="7D01C908">
      <w:pPr>
        <w:pStyle w:val="165"/>
        <w:spacing w:line="360" w:lineRule="auto"/>
      </w:pPr>
      <w:r>
        <w:rPr>
          <w:rFonts w:hint="eastAsia"/>
        </w:rPr>
        <w:t>设备设施编码应在设备采购、安装、调试、运行、检修、维护、报废和归档全过程保持一致。</w:t>
      </w:r>
    </w:p>
    <w:p w14:paraId="7AEA8CA8">
      <w:pPr>
        <w:pStyle w:val="165"/>
        <w:spacing w:line="360" w:lineRule="auto"/>
      </w:pPr>
      <w:r>
        <w:rPr>
          <w:rFonts w:hint="eastAsia"/>
        </w:rPr>
        <w:t>设备更换时，应建立旧设备编码和新设备编码的关联关系，并应保留更换时间、原因、责任人员和技术资料。</w:t>
      </w:r>
    </w:p>
    <w:p w14:paraId="3F3D95F7">
      <w:pPr>
        <w:pStyle w:val="165"/>
        <w:spacing w:line="360" w:lineRule="auto"/>
      </w:pPr>
      <w:r>
        <w:rPr>
          <w:rFonts w:hint="eastAsia"/>
        </w:rPr>
        <w:t>设备设施台账、巡检记录、维修工单、运行参数和故障记录应引用统一设备设施编码。</w:t>
      </w:r>
    </w:p>
    <w:p w14:paraId="2B522542">
      <w:pPr>
        <w:pStyle w:val="105"/>
        <w:spacing w:before="120" w:after="120" w:line="360" w:lineRule="auto"/>
      </w:pPr>
      <w:r>
        <w:rPr>
          <w:rFonts w:hint="eastAsia"/>
        </w:rPr>
        <w:t>测站测点编码</w:t>
      </w:r>
    </w:p>
    <w:p w14:paraId="12E5E0C9">
      <w:pPr>
        <w:pStyle w:val="165"/>
        <w:spacing w:line="360" w:lineRule="auto"/>
      </w:pPr>
      <w:r>
        <w:rPr>
          <w:rFonts w:hint="eastAsia"/>
        </w:rPr>
        <w:t>水位、雨量、流量、渗压、渗流、变形、位移、应力、应变、振动、视频和环境监测等测站测点应建立唯一编码。</w:t>
      </w:r>
    </w:p>
    <w:p w14:paraId="04CD803F">
      <w:pPr>
        <w:pStyle w:val="165"/>
        <w:spacing w:line="360" w:lineRule="auto"/>
      </w:pPr>
      <w:r>
        <w:rPr>
          <w:rFonts w:hint="eastAsia"/>
        </w:rPr>
        <w:t>测点编码应与工程对象、监测项目、测点位置、监测断面和监测设备相关联。</w:t>
      </w:r>
    </w:p>
    <w:p w14:paraId="3AE997D8">
      <w:pPr>
        <w:pStyle w:val="165"/>
        <w:spacing w:line="360" w:lineRule="auto"/>
      </w:pPr>
      <w:r>
        <w:rPr>
          <w:rFonts w:hint="eastAsia"/>
        </w:rPr>
        <w:t>测点迁移、停用、恢复或更换设备时，应保留测点历史信息，不得直接覆盖历史测点数据。</w:t>
      </w:r>
    </w:p>
    <w:p w14:paraId="0C34D7DB">
      <w:pPr>
        <w:pStyle w:val="165"/>
        <w:spacing w:line="360" w:lineRule="auto"/>
      </w:pPr>
      <w:r>
        <w:rPr>
          <w:rFonts w:hint="eastAsia"/>
        </w:rPr>
        <w:t>自动监测数据、人工观测数据、报警记录和监测成果应引用统一测点编码。</w:t>
      </w:r>
    </w:p>
    <w:p w14:paraId="3B5144AE">
      <w:pPr>
        <w:pStyle w:val="165"/>
        <w:spacing w:line="360" w:lineRule="auto"/>
      </w:pPr>
      <w:r>
        <w:rPr>
          <w:rFonts w:hint="eastAsia"/>
        </w:rPr>
        <w:t>测点编码与现场标识应一致。现场标识缺失、损坏或与系统不一致时，应及时核查并整改。</w:t>
      </w:r>
    </w:p>
    <w:p w14:paraId="09BD0B6E">
      <w:pPr>
        <w:pStyle w:val="105"/>
        <w:spacing w:before="120" w:after="120" w:line="360" w:lineRule="auto"/>
      </w:pPr>
      <w:r>
        <w:rPr>
          <w:rFonts w:hint="eastAsia"/>
        </w:rPr>
        <w:t>空间数据编码</w:t>
      </w:r>
    </w:p>
    <w:p w14:paraId="34ABB6F5">
      <w:pPr>
        <w:pStyle w:val="165"/>
        <w:spacing w:line="360" w:lineRule="auto"/>
      </w:pPr>
      <w:r>
        <w:rPr>
          <w:rFonts w:hint="eastAsia"/>
        </w:rPr>
        <w:t>空间数据应建立图层分类、要素编码和属性字段规则。</w:t>
      </w:r>
    </w:p>
    <w:p w14:paraId="3EADA972">
      <w:pPr>
        <w:pStyle w:val="165"/>
        <w:spacing w:line="360" w:lineRule="auto"/>
      </w:pPr>
      <w:r>
        <w:rPr>
          <w:rFonts w:hint="eastAsia"/>
        </w:rPr>
        <w:t>工程范围、管理范围、保护范围、河湖水系、测站测点、设备位置、巡检路线和隐患点位等空间对象应具有唯一标识。</w:t>
      </w:r>
    </w:p>
    <w:p w14:paraId="6B5DDE76">
      <w:pPr>
        <w:pStyle w:val="165"/>
        <w:spacing w:line="360" w:lineRule="auto"/>
      </w:pPr>
      <w:r>
        <w:rPr>
          <w:rFonts w:hint="eastAsia"/>
        </w:rPr>
        <w:t>空间数据应采用统一坐标系统和高程基准。不同来源空间数据进行融合时，应进行坐标转换和精度校核。</w:t>
      </w:r>
    </w:p>
    <w:p w14:paraId="3D0519AA">
      <w:pPr>
        <w:pStyle w:val="165"/>
        <w:spacing w:line="360" w:lineRule="auto"/>
      </w:pPr>
      <w:r>
        <w:rPr>
          <w:rFonts w:hint="eastAsia"/>
        </w:rPr>
        <w:t>空间数据属性应与业务数据相互关联。空间对象编码应能关联工程对象、设备设施、测点、巡检记录或隐患记录。</w:t>
      </w:r>
    </w:p>
    <w:p w14:paraId="7D1698E5">
      <w:pPr>
        <w:pStyle w:val="165"/>
        <w:spacing w:line="360" w:lineRule="auto"/>
      </w:pPr>
      <w:r>
        <w:rPr>
          <w:rFonts w:hint="eastAsia"/>
        </w:rPr>
        <w:t>空间数据更新时，应保留版本、更新时间、更新人员、更新原因和数据来源。</w:t>
      </w:r>
    </w:p>
    <w:p w14:paraId="6300941F">
      <w:pPr>
        <w:pStyle w:val="105"/>
        <w:spacing w:before="120" w:after="120" w:line="360" w:lineRule="auto"/>
      </w:pPr>
      <w:r>
        <w:rPr>
          <w:rFonts w:hint="eastAsia"/>
        </w:rPr>
        <w:t>编码维护</w:t>
      </w:r>
    </w:p>
    <w:p w14:paraId="283F6139">
      <w:pPr>
        <w:pStyle w:val="165"/>
        <w:spacing w:line="360" w:lineRule="auto"/>
      </w:pPr>
      <w:r>
        <w:rPr>
          <w:rFonts w:hint="eastAsia"/>
        </w:rPr>
        <w:t>数据编码应由授权部门统一维护。</w:t>
      </w:r>
    </w:p>
    <w:p w14:paraId="22819A21">
      <w:pPr>
        <w:pStyle w:val="165"/>
        <w:spacing w:line="360" w:lineRule="auto"/>
      </w:pPr>
      <w:r>
        <w:rPr>
          <w:rFonts w:hint="eastAsia"/>
        </w:rPr>
        <w:t>新增编码前应核查是否存在相同对象或相同业务数据，不得重复建码。</w:t>
      </w:r>
    </w:p>
    <w:p w14:paraId="6102B655">
      <w:pPr>
        <w:pStyle w:val="165"/>
        <w:spacing w:line="360" w:lineRule="auto"/>
      </w:pPr>
      <w:r>
        <w:rPr>
          <w:rFonts w:hint="eastAsia"/>
        </w:rPr>
        <w:t>编码维护应保留新增、修改、停用、注销和映射记录。</w:t>
      </w:r>
    </w:p>
    <w:p w14:paraId="4019CC9F">
      <w:pPr>
        <w:pStyle w:val="165"/>
        <w:spacing w:line="360" w:lineRule="auto"/>
      </w:pPr>
      <w:r>
        <w:rPr>
          <w:rFonts w:hint="eastAsia"/>
        </w:rPr>
        <w:t>编码发生错误时，应按数据更正程序处理，不得直接删除历史编码及其关联数据。</w:t>
      </w:r>
    </w:p>
    <w:p w14:paraId="38CBBF43">
      <w:pPr>
        <w:pStyle w:val="165"/>
        <w:spacing w:line="360" w:lineRule="auto"/>
      </w:pPr>
      <w:r>
        <w:rPr>
          <w:rFonts w:hint="eastAsia"/>
        </w:rPr>
        <w:t>编码维护记录应纳入数据治理档案。</w:t>
      </w:r>
    </w:p>
    <w:p w14:paraId="7B753C76">
      <w:pPr>
        <w:pStyle w:val="104"/>
        <w:spacing w:before="240" w:after="240" w:line="360" w:lineRule="auto"/>
      </w:pPr>
      <w:bookmarkStart w:id="54" w:name="_Toc228612880"/>
      <w:r>
        <w:rPr>
          <w:rFonts w:hint="eastAsia"/>
        </w:rPr>
        <w:t>数据采集与更新</w:t>
      </w:r>
      <w:bookmarkEnd w:id="54"/>
    </w:p>
    <w:p w14:paraId="5B9D73E0">
      <w:pPr>
        <w:pStyle w:val="105"/>
        <w:spacing w:before="120" w:after="120" w:line="360" w:lineRule="auto"/>
      </w:pPr>
      <w:r>
        <w:rPr>
          <w:rFonts w:hint="eastAsia"/>
        </w:rPr>
        <w:t>一般要求</w:t>
      </w:r>
    </w:p>
    <w:p w14:paraId="42733FB4">
      <w:pPr>
        <w:pStyle w:val="165"/>
        <w:spacing w:line="360" w:lineRule="auto"/>
      </w:pPr>
      <w:r>
        <w:rPr>
          <w:rFonts w:hint="eastAsia"/>
        </w:rPr>
        <w:t>水利工程数据采集应按照统一标准、统一口径、统一格式和统一责任要求实施。</w:t>
      </w:r>
    </w:p>
    <w:p w14:paraId="5A5FA25F">
      <w:pPr>
        <w:pStyle w:val="165"/>
        <w:spacing w:line="360" w:lineRule="auto"/>
      </w:pPr>
      <w:r>
        <w:rPr>
          <w:rFonts w:hint="eastAsia"/>
        </w:rPr>
        <w:t>数据采集前应明确采集对象、采集内容、采集方式、采集频率、数据格式、质量规则、责任人员和审核流程。</w:t>
      </w:r>
    </w:p>
    <w:p w14:paraId="21E50961">
      <w:pPr>
        <w:pStyle w:val="165"/>
        <w:spacing w:line="360" w:lineRule="auto"/>
      </w:pPr>
      <w:r>
        <w:rPr>
          <w:rFonts w:hint="eastAsia"/>
        </w:rPr>
        <w:t>数据采集应与工程管理业务同步开展。不得脱离业务实际批量编造、补录或替换数据。</w:t>
      </w:r>
    </w:p>
    <w:p w14:paraId="6AA5932C">
      <w:pPr>
        <w:pStyle w:val="165"/>
        <w:spacing w:line="360" w:lineRule="auto"/>
      </w:pPr>
      <w:r>
        <w:rPr>
          <w:rFonts w:hint="eastAsia"/>
        </w:rPr>
        <w:t>自动采集数据、人工录入数据、系统生成数据、外部共享数据和历史导入数据应分别标明数据来源。</w:t>
      </w:r>
    </w:p>
    <w:p w14:paraId="6D0BDD04">
      <w:pPr>
        <w:pStyle w:val="165"/>
        <w:spacing w:line="360" w:lineRule="auto"/>
      </w:pPr>
      <w:r>
        <w:rPr>
          <w:rFonts w:hint="eastAsia"/>
        </w:rPr>
        <w:t>数据采集过程中发现设备异常、通信异常、人工录入错误、数据缺测、数据突变或逻辑冲突时，应及时标识并处置。</w:t>
      </w:r>
    </w:p>
    <w:p w14:paraId="7B2AE114">
      <w:pPr>
        <w:pStyle w:val="165"/>
        <w:spacing w:line="360" w:lineRule="auto"/>
      </w:pPr>
      <w:r>
        <w:rPr>
          <w:rFonts w:hint="eastAsia"/>
        </w:rPr>
        <w:t>关键业务数据入库前应经过校核。未经校核的数据不得直接用于调度决策、风险预警和绩效评价。</w:t>
      </w:r>
    </w:p>
    <w:p w14:paraId="3709BB92">
      <w:pPr>
        <w:pStyle w:val="105"/>
        <w:spacing w:before="120" w:after="120" w:line="360" w:lineRule="auto"/>
      </w:pPr>
      <w:r>
        <w:rPr>
          <w:rFonts w:hint="eastAsia"/>
        </w:rPr>
        <w:t>工程基础数据采集</w:t>
      </w:r>
    </w:p>
    <w:p w14:paraId="0B6D9AE5">
      <w:pPr>
        <w:pStyle w:val="165"/>
        <w:spacing w:line="360" w:lineRule="auto"/>
      </w:pPr>
      <w:r>
        <w:rPr>
          <w:rFonts w:hint="eastAsia"/>
        </w:rPr>
        <w:t>工程基础数据应来源于工程设计文件、竣工验收资料、工程档案、管理台账和经确认的权威资料。</w:t>
      </w:r>
    </w:p>
    <w:p w14:paraId="06DC0847">
      <w:pPr>
        <w:pStyle w:val="165"/>
        <w:spacing w:line="360" w:lineRule="auto"/>
      </w:pPr>
      <w:r>
        <w:rPr>
          <w:rFonts w:hint="eastAsia"/>
        </w:rPr>
        <w:t>工程基础数据应包括工程名称、工程类别、工程等级、建设时间、管理单位、地理位置、设计标准、主要参数、运行方式和管理范围等内容。</w:t>
      </w:r>
    </w:p>
    <w:p w14:paraId="42365167">
      <w:pPr>
        <w:pStyle w:val="165"/>
        <w:spacing w:line="360" w:lineRule="auto"/>
      </w:pPr>
      <w:r>
        <w:rPr>
          <w:rFonts w:hint="eastAsia"/>
        </w:rPr>
        <w:t>工程基础数据录入前应核对资料来源。不同资料存在不一致时，应由责任部门组织核实。</w:t>
      </w:r>
    </w:p>
    <w:p w14:paraId="38DDAC71">
      <w:pPr>
        <w:pStyle w:val="165"/>
        <w:spacing w:line="360" w:lineRule="auto"/>
      </w:pPr>
      <w:r>
        <w:rPr>
          <w:rFonts w:hint="eastAsia"/>
        </w:rPr>
        <w:t>工程基础数据变更时，应保留变更依据、变更内容、变更时间和审核记录。</w:t>
      </w:r>
    </w:p>
    <w:p w14:paraId="2B2D4497">
      <w:pPr>
        <w:pStyle w:val="165"/>
        <w:spacing w:line="360" w:lineRule="auto"/>
      </w:pPr>
      <w:r>
        <w:rPr>
          <w:rFonts w:hint="eastAsia"/>
        </w:rPr>
        <w:t>工程改建、扩建、除险加固或功能调整后，应及时更新工程基础数据。</w:t>
      </w:r>
    </w:p>
    <w:p w14:paraId="02AD3105">
      <w:pPr>
        <w:pStyle w:val="105"/>
        <w:spacing w:before="120" w:after="120" w:line="360" w:lineRule="auto"/>
      </w:pPr>
      <w:r>
        <w:rPr>
          <w:rFonts w:hint="eastAsia"/>
        </w:rPr>
        <w:t>监测感知数据采集</w:t>
      </w:r>
    </w:p>
    <w:p w14:paraId="493E5054">
      <w:pPr>
        <w:pStyle w:val="165"/>
        <w:spacing w:line="360" w:lineRule="auto"/>
      </w:pPr>
      <w:r>
        <w:rPr>
          <w:rFonts w:hint="eastAsia"/>
        </w:rPr>
        <w:t>监测感知数据应按照监测项目、测点布设、采集频率和数据格式要求采集。</w:t>
      </w:r>
    </w:p>
    <w:p w14:paraId="769C733E">
      <w:pPr>
        <w:pStyle w:val="165"/>
        <w:spacing w:line="360" w:lineRule="auto"/>
      </w:pPr>
      <w:r>
        <w:rPr>
          <w:rFonts w:hint="eastAsia"/>
        </w:rPr>
        <w:t>自动监测设备应记录采集时间、测点编码、设备编号、数据值、单位、通信状态和数据质量标识。</w:t>
      </w:r>
    </w:p>
    <w:p w14:paraId="6AFE025D">
      <w:pPr>
        <w:pStyle w:val="165"/>
        <w:spacing w:line="360" w:lineRule="auto"/>
      </w:pPr>
      <w:r>
        <w:rPr>
          <w:rFonts w:hint="eastAsia"/>
        </w:rPr>
        <w:t>人工观测数据应记录观测人员、观测时间、观测位置、观测设备、原始读数和复核人员。</w:t>
      </w:r>
    </w:p>
    <w:p w14:paraId="2DAD98E8">
      <w:pPr>
        <w:pStyle w:val="165"/>
        <w:spacing w:line="360" w:lineRule="auto"/>
      </w:pPr>
      <w:r>
        <w:rPr>
          <w:rFonts w:hint="eastAsia"/>
        </w:rPr>
        <w:t>监测数据采集频率应满足工程运行管理、安全监测、调度分析和预警应用要求。</w:t>
      </w:r>
    </w:p>
    <w:p w14:paraId="77CFBE24">
      <w:pPr>
        <w:pStyle w:val="165"/>
        <w:spacing w:line="360" w:lineRule="auto"/>
      </w:pPr>
      <w:r>
        <w:rPr>
          <w:rFonts w:hint="eastAsia"/>
        </w:rPr>
        <w:t>自动采集数据出现连续缺测、异常跳变、长期恒定、超阈值或明显漂移时，应触发核查程序。</w:t>
      </w:r>
    </w:p>
    <w:p w14:paraId="77BE5E51">
      <w:pPr>
        <w:pStyle w:val="165"/>
        <w:spacing w:line="360" w:lineRule="auto"/>
      </w:pPr>
      <w:r>
        <w:rPr>
          <w:rFonts w:hint="eastAsia"/>
        </w:rPr>
        <w:t>人工观测数据不得事后无依据补填。确需补录的，应注明补录原因、依据、人员和时间。</w:t>
      </w:r>
    </w:p>
    <w:p w14:paraId="5D35315A">
      <w:pPr>
        <w:pStyle w:val="105"/>
        <w:spacing w:before="120" w:after="120" w:line="360" w:lineRule="auto"/>
      </w:pPr>
      <w:r>
        <w:rPr>
          <w:rFonts w:hint="eastAsia"/>
        </w:rPr>
        <w:t>运行调度数据采集</w:t>
      </w:r>
    </w:p>
    <w:p w14:paraId="5CB32123">
      <w:pPr>
        <w:pStyle w:val="165"/>
        <w:spacing w:line="360" w:lineRule="auto"/>
      </w:pPr>
      <w:r>
        <w:rPr>
          <w:rFonts w:hint="eastAsia"/>
        </w:rPr>
        <w:t>运行调度数据应包括水位、流量、库容、闸门开度、泵机启停、调度指令、执行时间、执行人员和调度结果等内容。</w:t>
      </w:r>
    </w:p>
    <w:p w14:paraId="5F0B1494">
      <w:pPr>
        <w:pStyle w:val="165"/>
        <w:spacing w:line="360" w:lineRule="auto"/>
      </w:pPr>
      <w:r>
        <w:rPr>
          <w:rFonts w:hint="eastAsia"/>
        </w:rPr>
        <w:t>调度指令、执行记录和设备状态数据应相互对应。</w:t>
      </w:r>
    </w:p>
    <w:p w14:paraId="47215BF0">
      <w:pPr>
        <w:pStyle w:val="165"/>
        <w:spacing w:line="360" w:lineRule="auto"/>
      </w:pPr>
      <w:r>
        <w:rPr>
          <w:rFonts w:hint="eastAsia"/>
        </w:rPr>
        <w:t>闸门启闭、泵站运行、水库泄放、引调水调度等关键操作应形成完整操作记录。</w:t>
      </w:r>
    </w:p>
    <w:p w14:paraId="65D0EEC9">
      <w:pPr>
        <w:pStyle w:val="165"/>
        <w:spacing w:line="360" w:lineRule="auto"/>
      </w:pPr>
      <w:r>
        <w:rPr>
          <w:rFonts w:hint="eastAsia"/>
        </w:rPr>
        <w:t>运行调度数据应与自动化控制系统、视频监控系统、人工记录和调度日志进行必要核对。</w:t>
      </w:r>
    </w:p>
    <w:p w14:paraId="1B6584BD">
      <w:pPr>
        <w:pStyle w:val="165"/>
        <w:spacing w:line="360" w:lineRule="auto"/>
      </w:pPr>
      <w:r>
        <w:rPr>
          <w:rFonts w:hint="eastAsia"/>
        </w:rPr>
        <w:t>调度数据发生异常或指令执行偏差时，应记录原因、处置过程和复核结果。</w:t>
      </w:r>
    </w:p>
    <w:p w14:paraId="20A219D5">
      <w:pPr>
        <w:pStyle w:val="105"/>
        <w:spacing w:before="120" w:after="120" w:line="360" w:lineRule="auto"/>
      </w:pPr>
      <w:r>
        <w:rPr>
          <w:rFonts w:hint="eastAsia"/>
        </w:rPr>
        <w:t>巡检养护数据采集</w:t>
      </w:r>
    </w:p>
    <w:p w14:paraId="05C5CBB0">
      <w:pPr>
        <w:pStyle w:val="165"/>
        <w:spacing w:line="360" w:lineRule="auto"/>
      </w:pPr>
      <w:r>
        <w:rPr>
          <w:rFonts w:hint="eastAsia"/>
        </w:rPr>
        <w:t>巡检养护数据应包括巡检计划、巡检路线、巡检人员、巡检时间、检查对象、发现问题、问题等级、处置措施、复核结果和关闭状态。</w:t>
      </w:r>
    </w:p>
    <w:p w14:paraId="1023C11C">
      <w:pPr>
        <w:pStyle w:val="165"/>
        <w:spacing w:line="360" w:lineRule="auto"/>
      </w:pPr>
      <w:r>
        <w:rPr>
          <w:rFonts w:hint="eastAsia"/>
        </w:rPr>
        <w:t>移动巡检数据应记录巡检位置、时间戳、人员账号、照片或视频资料。</w:t>
      </w:r>
    </w:p>
    <w:p w14:paraId="46B3FC0E">
      <w:pPr>
        <w:pStyle w:val="165"/>
        <w:spacing w:line="360" w:lineRule="auto"/>
      </w:pPr>
      <w:r>
        <w:rPr>
          <w:rFonts w:hint="eastAsia"/>
        </w:rPr>
        <w:t>巡检发现的缺陷、隐患和异常应建立唯一编号，并应与工程对象、设备设施或空间位置关联。</w:t>
      </w:r>
    </w:p>
    <w:p w14:paraId="01D9775C">
      <w:pPr>
        <w:pStyle w:val="165"/>
        <w:spacing w:line="360" w:lineRule="auto"/>
      </w:pPr>
      <w:r>
        <w:rPr>
          <w:rFonts w:hint="eastAsia"/>
        </w:rPr>
        <w:t>维修养护数据应记录工单编号、维修对象、故障描述、维修措施、使用材料、施工人员、完成时间和验收结果。</w:t>
      </w:r>
    </w:p>
    <w:p w14:paraId="0EC4C8D6">
      <w:pPr>
        <w:pStyle w:val="165"/>
        <w:spacing w:line="360" w:lineRule="auto"/>
      </w:pPr>
      <w:r>
        <w:rPr>
          <w:rFonts w:hint="eastAsia"/>
        </w:rPr>
        <w:t>巡检养护数据应形成发现、派单、处置、复核、关闭的闭环记录。</w:t>
      </w:r>
    </w:p>
    <w:p w14:paraId="2E596701">
      <w:pPr>
        <w:pStyle w:val="165"/>
        <w:spacing w:line="360" w:lineRule="auto"/>
      </w:pPr>
      <w:r>
        <w:rPr>
          <w:rFonts w:hint="eastAsia"/>
        </w:rPr>
        <w:t>不得只记录巡检完成状态而不记录实际检查内容。</w:t>
      </w:r>
    </w:p>
    <w:p w14:paraId="36D150C1">
      <w:pPr>
        <w:pStyle w:val="105"/>
        <w:spacing w:before="120" w:after="120" w:line="360" w:lineRule="auto"/>
      </w:pPr>
      <w:r>
        <w:rPr>
          <w:rFonts w:hint="eastAsia"/>
        </w:rPr>
        <w:t>应急管理数据采集</w:t>
      </w:r>
    </w:p>
    <w:p w14:paraId="1713C938">
      <w:pPr>
        <w:pStyle w:val="165"/>
        <w:spacing w:line="360" w:lineRule="auto"/>
      </w:pPr>
      <w:r>
        <w:rPr>
          <w:rFonts w:hint="eastAsia"/>
        </w:rPr>
        <w:t>应急管理数据应包括应急预案、风险点位、物资储备、抢险队伍、通讯录、险情信息、响应记录、处置过程和复盘评估等内容。</w:t>
      </w:r>
    </w:p>
    <w:p w14:paraId="6D1B194C">
      <w:pPr>
        <w:pStyle w:val="165"/>
        <w:spacing w:line="360" w:lineRule="auto"/>
      </w:pPr>
      <w:r>
        <w:rPr>
          <w:rFonts w:hint="eastAsia"/>
        </w:rPr>
        <w:t>应急物资和队伍数据应定期更新。物资数量、存放地点、责任人员和可用状态发生变化时，应及时修正。</w:t>
      </w:r>
    </w:p>
    <w:p w14:paraId="43A65C0A">
      <w:pPr>
        <w:pStyle w:val="165"/>
        <w:spacing w:line="360" w:lineRule="auto"/>
      </w:pPr>
      <w:r>
        <w:rPr>
          <w:rFonts w:hint="eastAsia"/>
        </w:rPr>
        <w:t>险情数据应记录发生时间、发生位置、险情类型、影响范围、上报人员、处置措施和处置结果。</w:t>
      </w:r>
    </w:p>
    <w:p w14:paraId="6025C6F8">
      <w:pPr>
        <w:pStyle w:val="165"/>
        <w:spacing w:line="360" w:lineRule="auto"/>
      </w:pPr>
      <w:r>
        <w:rPr>
          <w:rFonts w:hint="eastAsia"/>
        </w:rPr>
        <w:t>应急会商、调度指令、现场处置和信息报送资料应同步归集。</w:t>
      </w:r>
    </w:p>
    <w:p w14:paraId="244F020B">
      <w:pPr>
        <w:pStyle w:val="165"/>
        <w:spacing w:line="360" w:lineRule="auto"/>
      </w:pPr>
      <w:r>
        <w:rPr>
          <w:rFonts w:hint="eastAsia"/>
        </w:rPr>
        <w:t>应急事件结束后，应补充形成复盘评估数据，并应纳入应急管理数据资源目录。</w:t>
      </w:r>
    </w:p>
    <w:p w14:paraId="060E33B2">
      <w:pPr>
        <w:pStyle w:val="105"/>
        <w:spacing w:before="120" w:after="120" w:line="360" w:lineRule="auto"/>
      </w:pPr>
      <w:r>
        <w:rPr>
          <w:rFonts w:hint="eastAsia"/>
        </w:rPr>
        <w:t>视频图像数据采集</w:t>
      </w:r>
    </w:p>
    <w:p w14:paraId="69E1E304">
      <w:pPr>
        <w:pStyle w:val="165"/>
        <w:spacing w:line="360" w:lineRule="auto"/>
      </w:pPr>
      <w:r>
        <w:rPr>
          <w:rFonts w:hint="eastAsia"/>
        </w:rPr>
        <w:t>视频图像数据应满足工程运行监视、险情识别、设备状态核查和应急处置需要。</w:t>
      </w:r>
    </w:p>
    <w:p w14:paraId="19CF08DE">
      <w:pPr>
        <w:pStyle w:val="165"/>
        <w:spacing w:line="360" w:lineRule="auto"/>
      </w:pPr>
      <w:r>
        <w:rPr>
          <w:rFonts w:hint="eastAsia"/>
        </w:rPr>
        <w:t>视频监控点位应与工程对象、重要设备、重点部位或风险区域关联。</w:t>
      </w:r>
    </w:p>
    <w:p w14:paraId="3693DC27">
      <w:pPr>
        <w:pStyle w:val="165"/>
        <w:spacing w:line="360" w:lineRule="auto"/>
      </w:pPr>
      <w:r>
        <w:rPr>
          <w:rFonts w:hint="eastAsia"/>
        </w:rPr>
        <w:t>视频图像数据应记录设备编号、点位名称、安装位置、采集时间、视频状态和存储状态。</w:t>
      </w:r>
    </w:p>
    <w:p w14:paraId="6171A426">
      <w:pPr>
        <w:pStyle w:val="165"/>
        <w:spacing w:line="360" w:lineRule="auto"/>
      </w:pPr>
      <w:r>
        <w:rPr>
          <w:rFonts w:hint="eastAsia"/>
        </w:rPr>
        <w:t>关键部位视频应保证画面清晰、角度合理、无遮挡、时间准确。</w:t>
      </w:r>
    </w:p>
    <w:p w14:paraId="5FB339CB">
      <w:pPr>
        <w:pStyle w:val="165"/>
        <w:spacing w:line="360" w:lineRule="auto"/>
      </w:pPr>
      <w:r>
        <w:rPr>
          <w:rFonts w:hint="eastAsia"/>
        </w:rPr>
        <w:t>视频图像用于智能识别、事件回溯或应急处置的，应保存相应时间段的视频资料和识别结果。</w:t>
      </w:r>
    </w:p>
    <w:p w14:paraId="79BD017A">
      <w:pPr>
        <w:pStyle w:val="105"/>
        <w:spacing w:before="120" w:after="120" w:line="360" w:lineRule="auto"/>
      </w:pPr>
      <w:r>
        <w:rPr>
          <w:rFonts w:hint="eastAsia"/>
        </w:rPr>
        <w:t>外部数据接入</w:t>
      </w:r>
    </w:p>
    <w:p w14:paraId="62EE9244">
      <w:pPr>
        <w:pStyle w:val="165"/>
        <w:spacing w:line="360" w:lineRule="auto"/>
      </w:pPr>
      <w:r>
        <w:rPr>
          <w:rFonts w:hint="eastAsia"/>
        </w:rPr>
        <w:t>外部数据接入应明确数据来源、提供单位、数据范围、更新频率、接口方式、质量责任和使用限制。</w:t>
      </w:r>
    </w:p>
    <w:p w14:paraId="756E18BC">
      <w:pPr>
        <w:pStyle w:val="165"/>
        <w:spacing w:line="360" w:lineRule="auto"/>
      </w:pPr>
      <w:r>
        <w:rPr>
          <w:rFonts w:hint="eastAsia"/>
        </w:rPr>
        <w:t>外部数据入库前应进行格式校验、完整性校验和合理性校验。</w:t>
      </w:r>
    </w:p>
    <w:p w14:paraId="1BB7E2EE">
      <w:pPr>
        <w:pStyle w:val="165"/>
        <w:spacing w:line="360" w:lineRule="auto"/>
      </w:pPr>
      <w:r>
        <w:rPr>
          <w:rFonts w:hint="eastAsia"/>
        </w:rPr>
        <w:t>外部数据与内部数据存在冲突时，应明确优先级和核查机制。</w:t>
      </w:r>
    </w:p>
    <w:p w14:paraId="78897709">
      <w:pPr>
        <w:pStyle w:val="165"/>
        <w:spacing w:line="360" w:lineRule="auto"/>
      </w:pPr>
      <w:r>
        <w:rPr>
          <w:rFonts w:hint="eastAsia"/>
        </w:rPr>
        <w:t>外部数据不得未经确认直接覆盖内部权威数据。</w:t>
      </w:r>
    </w:p>
    <w:p w14:paraId="4CA88569">
      <w:pPr>
        <w:pStyle w:val="165"/>
        <w:spacing w:line="360" w:lineRule="auto"/>
      </w:pPr>
      <w:r>
        <w:rPr>
          <w:rFonts w:hint="eastAsia"/>
        </w:rPr>
        <w:t>外部数据使用应符合数据共享协议、安全要求和保密要求。</w:t>
      </w:r>
    </w:p>
    <w:p w14:paraId="7812F1C5">
      <w:pPr>
        <w:pStyle w:val="105"/>
        <w:spacing w:before="120" w:after="120" w:line="360" w:lineRule="auto"/>
      </w:pPr>
      <w:r>
        <w:rPr>
          <w:rFonts w:hint="eastAsia"/>
        </w:rPr>
        <w:t>数据更新</w:t>
      </w:r>
    </w:p>
    <w:p w14:paraId="09D21099">
      <w:pPr>
        <w:pStyle w:val="165"/>
        <w:spacing w:line="360" w:lineRule="auto"/>
      </w:pPr>
      <w:r>
        <w:rPr>
          <w:rFonts w:hint="eastAsia"/>
        </w:rPr>
        <w:t>水利工程数据应根据业务要求确定更新周期。</w:t>
      </w:r>
    </w:p>
    <w:p w14:paraId="5AD38523">
      <w:pPr>
        <w:pStyle w:val="165"/>
        <w:spacing w:line="360" w:lineRule="auto"/>
      </w:pPr>
      <w:r>
        <w:rPr>
          <w:rFonts w:hint="eastAsia"/>
        </w:rPr>
        <w:t>实时监测数据应按采集频率自动更新；工程基础数据、设备设施数据、应急资源数据和档案数据应在发生变更后及时更新。</w:t>
      </w:r>
    </w:p>
    <w:p w14:paraId="7FA77B75">
      <w:pPr>
        <w:pStyle w:val="165"/>
        <w:spacing w:line="360" w:lineRule="auto"/>
      </w:pPr>
      <w:r>
        <w:rPr>
          <w:rFonts w:hint="eastAsia"/>
        </w:rPr>
        <w:t>数据更新应保留更新前数据、更新后数据、更新依据、更新人员和更新时间。</w:t>
      </w:r>
    </w:p>
    <w:p w14:paraId="57383F59">
      <w:pPr>
        <w:pStyle w:val="165"/>
        <w:spacing w:line="360" w:lineRule="auto"/>
      </w:pPr>
      <w:r>
        <w:rPr>
          <w:rFonts w:hint="eastAsia"/>
        </w:rPr>
        <w:t>数据更新不得造成历史数据丢失。需要修正历史数据的，应按数据更正规则保留修正痕迹。</w:t>
      </w:r>
    </w:p>
    <w:p w14:paraId="23E31F50">
      <w:pPr>
        <w:pStyle w:val="165"/>
        <w:spacing w:line="360" w:lineRule="auto"/>
      </w:pPr>
      <w:r>
        <w:rPr>
          <w:rFonts w:hint="eastAsia"/>
        </w:rPr>
        <w:t>长期未更新的数据应进行有效性核查，无法确认有效的数据应标识状态，不得直接用于关键业务应用。</w:t>
      </w:r>
    </w:p>
    <w:p w14:paraId="5B34FBB4">
      <w:pPr>
        <w:pStyle w:val="104"/>
        <w:spacing w:before="240" w:after="240" w:line="360" w:lineRule="auto"/>
      </w:pPr>
      <w:bookmarkStart w:id="55" w:name="_Toc228612881"/>
      <w:r>
        <w:rPr>
          <w:rFonts w:hint="eastAsia"/>
        </w:rPr>
        <w:t>数据质量控制</w:t>
      </w:r>
      <w:bookmarkEnd w:id="55"/>
    </w:p>
    <w:p w14:paraId="1AA918B6">
      <w:pPr>
        <w:pStyle w:val="105"/>
        <w:spacing w:before="120" w:after="120" w:line="360" w:lineRule="auto"/>
      </w:pPr>
      <w:r>
        <w:rPr>
          <w:rFonts w:hint="eastAsia"/>
        </w:rPr>
        <w:t>一般要求</w:t>
      </w:r>
    </w:p>
    <w:p w14:paraId="6425BC4E">
      <w:pPr>
        <w:pStyle w:val="165"/>
        <w:spacing w:line="360" w:lineRule="auto"/>
      </w:pPr>
      <w:r>
        <w:rPr>
          <w:rFonts w:hint="eastAsia"/>
        </w:rPr>
        <w:t>水利工程管理单位应建立数据质量控制机制，对数据采集、入库、处理、共享、应用和归档全过程进行质量控制。</w:t>
      </w:r>
    </w:p>
    <w:p w14:paraId="16B5F366">
      <w:pPr>
        <w:pStyle w:val="165"/>
        <w:spacing w:line="360" w:lineRule="auto"/>
      </w:pPr>
      <w:r>
        <w:rPr>
          <w:rFonts w:hint="eastAsia"/>
        </w:rPr>
        <w:t>数据质量控制应覆盖完整性、准确性、一致性、及时性、唯一性、有效性、可追溯性和可用性。</w:t>
      </w:r>
    </w:p>
    <w:p w14:paraId="5D475B95">
      <w:pPr>
        <w:pStyle w:val="165"/>
        <w:spacing w:line="360" w:lineRule="auto"/>
      </w:pPr>
      <w:r>
        <w:rPr>
          <w:rFonts w:hint="eastAsia"/>
        </w:rPr>
        <w:t>数据质量规则应与数据标准、业务规则、工程运行要求和安全管理要求一致。</w:t>
      </w:r>
    </w:p>
    <w:p w14:paraId="15914091">
      <w:pPr>
        <w:pStyle w:val="165"/>
        <w:spacing w:line="360" w:lineRule="auto"/>
      </w:pPr>
      <w:r>
        <w:rPr>
          <w:rFonts w:hint="eastAsia"/>
        </w:rPr>
        <w:t>数据质量检查应形成记录。发现问题数据时，应标识问题类型、影响范围、责任主体和整改要求。</w:t>
      </w:r>
    </w:p>
    <w:p w14:paraId="0066C190">
      <w:pPr>
        <w:pStyle w:val="165"/>
        <w:spacing w:line="360" w:lineRule="auto"/>
      </w:pPr>
      <w:r>
        <w:rPr>
          <w:rFonts w:hint="eastAsia"/>
        </w:rPr>
        <w:t>数据质量未达到要求的，不得直接用于工程调度、安全预警、应急处置和监管报送。</w:t>
      </w:r>
    </w:p>
    <w:p w14:paraId="011C5E59">
      <w:pPr>
        <w:pStyle w:val="105"/>
        <w:spacing w:before="120" w:after="120" w:line="360" w:lineRule="auto"/>
      </w:pPr>
      <w:r>
        <w:rPr>
          <w:rFonts w:hint="eastAsia"/>
        </w:rPr>
        <w:t>完整性控制</w:t>
      </w:r>
    </w:p>
    <w:p w14:paraId="385C362E">
      <w:pPr>
        <w:pStyle w:val="165"/>
        <w:spacing w:line="360" w:lineRule="auto"/>
      </w:pPr>
      <w:r>
        <w:rPr>
          <w:rFonts w:hint="eastAsia"/>
        </w:rPr>
        <w:t>数据完整性控制应检查必填字段、关键记录、附件资料、时间序列、空间属性和业务闭环是否完整。</w:t>
      </w:r>
    </w:p>
    <w:p w14:paraId="44974D40">
      <w:pPr>
        <w:pStyle w:val="165"/>
        <w:spacing w:line="360" w:lineRule="auto"/>
      </w:pPr>
      <w:r>
        <w:rPr>
          <w:rFonts w:hint="eastAsia"/>
        </w:rPr>
        <w:t>工程基础数据缺少工程名称、工程编码、工程位置、工程等级、管理单位或主要参数的，应判定为不完整。</w:t>
      </w:r>
    </w:p>
    <w:p w14:paraId="7B7B7ACB">
      <w:pPr>
        <w:pStyle w:val="165"/>
        <w:spacing w:line="360" w:lineRule="auto"/>
      </w:pPr>
      <w:r>
        <w:rPr>
          <w:rFonts w:hint="eastAsia"/>
        </w:rPr>
        <w:t>监测感知数据存在超出允许范围的连续缺测时，应进行缺测标识并启动核查。</w:t>
      </w:r>
    </w:p>
    <w:p w14:paraId="4B22C930">
      <w:pPr>
        <w:pStyle w:val="165"/>
        <w:spacing w:line="360" w:lineRule="auto"/>
      </w:pPr>
      <w:r>
        <w:rPr>
          <w:rFonts w:hint="eastAsia"/>
        </w:rPr>
        <w:t>巡检养护数据缺少发现问题、处置措施、复核结果或关闭状态的，不得判定为闭环完成。</w:t>
      </w:r>
    </w:p>
    <w:p w14:paraId="108D11A1">
      <w:pPr>
        <w:pStyle w:val="165"/>
        <w:spacing w:line="360" w:lineRule="auto"/>
      </w:pPr>
      <w:r>
        <w:rPr>
          <w:rFonts w:hint="eastAsia"/>
        </w:rPr>
        <w:t>数据归档前应进行完整性检查，未通过检查的不得确认归档。</w:t>
      </w:r>
    </w:p>
    <w:p w14:paraId="0EEA0324">
      <w:pPr>
        <w:pStyle w:val="105"/>
        <w:spacing w:before="120" w:after="120" w:line="360" w:lineRule="auto"/>
      </w:pPr>
      <w:r>
        <w:rPr>
          <w:rFonts w:hint="eastAsia"/>
        </w:rPr>
        <w:t>准确性控制</w:t>
      </w:r>
    </w:p>
    <w:p w14:paraId="428731A7">
      <w:pPr>
        <w:pStyle w:val="56"/>
        <w:spacing w:line="360" w:lineRule="auto"/>
        <w:ind w:firstLine="420"/>
      </w:pPr>
      <w:r>
        <w:rPr>
          <w:rFonts w:hint="eastAsia"/>
        </w:rPr>
        <w:t>数据准确性控制应检查数据值是否符合实际情况、业务规则、设备状态和合理范围。</w:t>
      </w:r>
    </w:p>
    <w:p w14:paraId="5788A8A3">
      <w:pPr>
        <w:pStyle w:val="165"/>
        <w:spacing w:line="360" w:lineRule="auto"/>
      </w:pPr>
      <w:r>
        <w:rPr>
          <w:rFonts w:hint="eastAsia"/>
        </w:rPr>
        <w:t>自动采集数据应通过设备校准、期间核查、人工比测、历史趋势分析和相邻测点比对等方式验证准确性。</w:t>
      </w:r>
    </w:p>
    <w:p w14:paraId="30BA4E4E">
      <w:pPr>
        <w:pStyle w:val="165"/>
        <w:spacing w:line="360" w:lineRule="auto"/>
      </w:pPr>
      <w:r>
        <w:rPr>
          <w:rFonts w:hint="eastAsia"/>
        </w:rPr>
        <w:t>人工录入数据应由复核人员进行核对。关键字段应进行双人复核或系统校验。</w:t>
      </w:r>
    </w:p>
    <w:p w14:paraId="765ADF0C">
      <w:pPr>
        <w:pStyle w:val="165"/>
        <w:spacing w:line="360" w:lineRule="auto"/>
      </w:pPr>
      <w:r>
        <w:rPr>
          <w:rFonts w:hint="eastAsia"/>
        </w:rPr>
        <w:t>空间数据应核查坐标位置、几何形态、图层属性和现场对象的一致性。</w:t>
      </w:r>
    </w:p>
    <w:p w14:paraId="172BD1F6">
      <w:pPr>
        <w:pStyle w:val="165"/>
        <w:spacing w:line="360" w:lineRule="auto"/>
      </w:pPr>
      <w:r>
        <w:rPr>
          <w:rFonts w:hint="eastAsia"/>
        </w:rPr>
        <w:t>统计数据应可追溯至明细数据，不得仅保存汇总结果。</w:t>
      </w:r>
    </w:p>
    <w:p w14:paraId="072294ED">
      <w:pPr>
        <w:pStyle w:val="105"/>
        <w:spacing w:before="120" w:after="120" w:line="360" w:lineRule="auto"/>
      </w:pPr>
      <w:r>
        <w:rPr>
          <w:rFonts w:hint="eastAsia"/>
        </w:rPr>
        <w:t>一致性控制</w:t>
      </w:r>
    </w:p>
    <w:p w14:paraId="54B7F14F">
      <w:pPr>
        <w:pStyle w:val="165"/>
        <w:spacing w:line="360" w:lineRule="auto"/>
      </w:pPr>
      <w:r>
        <w:rPr>
          <w:rFonts w:hint="eastAsia"/>
        </w:rPr>
        <w:t>同一工程对象在不同系统中的名称、编码、位置、管理单位和关键属性应保持一致。</w:t>
      </w:r>
    </w:p>
    <w:p w14:paraId="2FB139CB">
      <w:pPr>
        <w:pStyle w:val="165"/>
        <w:spacing w:line="360" w:lineRule="auto"/>
      </w:pPr>
      <w:r>
        <w:rPr>
          <w:rFonts w:hint="eastAsia"/>
        </w:rPr>
        <w:t>同一测点的监测数据、报警数据、设备状态和测点台账应保持一致。</w:t>
      </w:r>
    </w:p>
    <w:p w14:paraId="3D02EF45">
      <w:pPr>
        <w:pStyle w:val="165"/>
        <w:spacing w:line="360" w:lineRule="auto"/>
      </w:pPr>
      <w:r>
        <w:rPr>
          <w:rFonts w:hint="eastAsia"/>
        </w:rPr>
        <w:t>运行调度数据应与设备控制记录、调度日志和监测数据保持逻辑一致。</w:t>
      </w:r>
    </w:p>
    <w:p w14:paraId="34A211B1">
      <w:pPr>
        <w:pStyle w:val="165"/>
        <w:spacing w:line="360" w:lineRule="auto"/>
      </w:pPr>
      <w:r>
        <w:rPr>
          <w:rFonts w:hint="eastAsia"/>
        </w:rPr>
        <w:t>维修养护数据应与设备台账、巡检记录和工单记录保持一致。</w:t>
      </w:r>
    </w:p>
    <w:p w14:paraId="488D9528">
      <w:pPr>
        <w:pStyle w:val="165"/>
        <w:spacing w:line="360" w:lineRule="auto"/>
      </w:pPr>
      <w:r>
        <w:rPr>
          <w:rFonts w:hint="eastAsia"/>
        </w:rPr>
        <w:t>数据不一致时，应查明原因。原因未查明前，不得以任一来源数据作为权威数据直接使用。</w:t>
      </w:r>
    </w:p>
    <w:p w14:paraId="7AA001E9">
      <w:pPr>
        <w:pStyle w:val="105"/>
        <w:spacing w:before="120" w:after="120" w:line="360" w:lineRule="auto"/>
      </w:pPr>
      <w:r>
        <w:rPr>
          <w:rFonts w:hint="eastAsia"/>
        </w:rPr>
        <w:t>及时性控制</w:t>
      </w:r>
    </w:p>
    <w:p w14:paraId="67763470">
      <w:pPr>
        <w:pStyle w:val="165"/>
        <w:spacing w:line="360" w:lineRule="auto"/>
      </w:pPr>
      <w:r>
        <w:rPr>
          <w:rFonts w:hint="eastAsia"/>
        </w:rPr>
        <w:t>数据及时性控制应检查数据采集、传输、入库、审核、共享和归档是否符合规定时限。</w:t>
      </w:r>
    </w:p>
    <w:p w14:paraId="3CC6A300">
      <w:pPr>
        <w:pStyle w:val="165"/>
        <w:spacing w:line="360" w:lineRule="auto"/>
      </w:pPr>
      <w:r>
        <w:rPr>
          <w:rFonts w:hint="eastAsia"/>
        </w:rPr>
        <w:t>实时监测数据延迟超过系统设定阈值时，应标识延迟状态并进行通信或设备核查。</w:t>
      </w:r>
    </w:p>
    <w:p w14:paraId="2B680993">
      <w:pPr>
        <w:pStyle w:val="165"/>
        <w:spacing w:line="360" w:lineRule="auto"/>
      </w:pPr>
      <w:r>
        <w:rPr>
          <w:rFonts w:hint="eastAsia"/>
        </w:rPr>
        <w:t>人工巡检数据应在巡检完成后按规定时限上传，不得长期滞留在个人终端中。</w:t>
      </w:r>
    </w:p>
    <w:p w14:paraId="51440652">
      <w:pPr>
        <w:pStyle w:val="165"/>
        <w:spacing w:line="360" w:lineRule="auto"/>
      </w:pPr>
      <w:r>
        <w:rPr>
          <w:rFonts w:hint="eastAsia"/>
        </w:rPr>
        <w:t>调度指令和执行记录应及时录入系统，不得事后集中补录而无说明。</w:t>
      </w:r>
    </w:p>
    <w:p w14:paraId="39B3614A">
      <w:pPr>
        <w:pStyle w:val="165"/>
        <w:spacing w:line="360" w:lineRule="auto"/>
      </w:pPr>
      <w:r>
        <w:rPr>
          <w:rFonts w:hint="eastAsia"/>
        </w:rPr>
        <w:t>应急处置数据应随事件进展及时更新，事后补充资料应标明补充时间和来源。</w:t>
      </w:r>
    </w:p>
    <w:p w14:paraId="4EA69518">
      <w:pPr>
        <w:pStyle w:val="105"/>
        <w:spacing w:before="120" w:after="120" w:line="360" w:lineRule="auto"/>
      </w:pPr>
      <w:r>
        <w:rPr>
          <w:rFonts w:hint="eastAsia"/>
        </w:rPr>
        <w:t>唯一性控制</w:t>
      </w:r>
    </w:p>
    <w:p w14:paraId="4B602944">
      <w:pPr>
        <w:pStyle w:val="165"/>
        <w:spacing w:line="360" w:lineRule="auto"/>
      </w:pPr>
      <w:r>
        <w:rPr>
          <w:rFonts w:hint="eastAsia"/>
        </w:rPr>
        <w:t>工程对象、设备设施、测站测点、隐患问题、维修工单、调度指令和档案资料应具有唯一标识。</w:t>
      </w:r>
    </w:p>
    <w:p w14:paraId="1F79F36C">
      <w:pPr>
        <w:pStyle w:val="165"/>
        <w:spacing w:line="360" w:lineRule="auto"/>
      </w:pPr>
      <w:r>
        <w:rPr>
          <w:rFonts w:hint="eastAsia"/>
        </w:rPr>
        <w:t>数据入库时应进行重复性检查。</w:t>
      </w:r>
    </w:p>
    <w:p w14:paraId="4EEAE827">
      <w:pPr>
        <w:pStyle w:val="165"/>
        <w:spacing w:line="360" w:lineRule="auto"/>
      </w:pPr>
      <w:r>
        <w:rPr>
          <w:rFonts w:hint="eastAsia"/>
        </w:rPr>
        <w:t>同一工程对象不得重复建档。同一设备不得因部门不同形成多个有效台账。</w:t>
      </w:r>
    </w:p>
    <w:p w14:paraId="3485BEAF">
      <w:pPr>
        <w:pStyle w:val="165"/>
        <w:spacing w:line="360" w:lineRule="auto"/>
      </w:pPr>
      <w:r>
        <w:rPr>
          <w:rFonts w:hint="eastAsia"/>
        </w:rPr>
        <w:t>重复数据应经核实后合并、关联或注销，并应保留处理记录。</w:t>
      </w:r>
    </w:p>
    <w:p w14:paraId="7D38996A">
      <w:pPr>
        <w:pStyle w:val="165"/>
        <w:spacing w:line="360" w:lineRule="auto"/>
      </w:pPr>
      <w:r>
        <w:rPr>
          <w:rFonts w:hint="eastAsia"/>
        </w:rPr>
        <w:t>数据合并不得导致历史业务记录丢失。</w:t>
      </w:r>
    </w:p>
    <w:p w14:paraId="7FEAAF09">
      <w:pPr>
        <w:pStyle w:val="105"/>
        <w:spacing w:before="120" w:after="120" w:line="360" w:lineRule="auto"/>
      </w:pPr>
      <w:r>
        <w:rPr>
          <w:rFonts w:hint="eastAsia"/>
        </w:rPr>
        <w:t>有效性控制</w:t>
      </w:r>
    </w:p>
    <w:p w14:paraId="5349B7FB">
      <w:pPr>
        <w:pStyle w:val="165"/>
        <w:spacing w:line="360" w:lineRule="auto"/>
      </w:pPr>
      <w:r>
        <w:rPr>
          <w:rFonts w:hint="eastAsia"/>
        </w:rPr>
        <w:t>数据有效性控制应检查数据格式、字段类型、值域范围、计量单位、时间格式和空间基准是否符合规定。</w:t>
      </w:r>
    </w:p>
    <w:p w14:paraId="544ABEE0">
      <w:pPr>
        <w:pStyle w:val="165"/>
        <w:spacing w:line="360" w:lineRule="auto"/>
      </w:pPr>
      <w:r>
        <w:rPr>
          <w:rFonts w:hint="eastAsia"/>
        </w:rPr>
        <w:t>超出值域范围、格式错误、单位不明、时间无效或空间位置异常的数据，应标识为问题数据。</w:t>
      </w:r>
    </w:p>
    <w:p w14:paraId="00C2DA63">
      <w:pPr>
        <w:pStyle w:val="165"/>
        <w:spacing w:line="360" w:lineRule="auto"/>
      </w:pPr>
      <w:r>
        <w:rPr>
          <w:rFonts w:hint="eastAsia"/>
        </w:rPr>
        <w:t>监测报警阈值应经批准后设置。不得随意修改阈值以减少报警或改变风险等级。</w:t>
      </w:r>
    </w:p>
    <w:p w14:paraId="21A36F69">
      <w:pPr>
        <w:pStyle w:val="165"/>
        <w:spacing w:line="360" w:lineRule="auto"/>
      </w:pPr>
      <w:r>
        <w:rPr>
          <w:rFonts w:hint="eastAsia"/>
        </w:rPr>
        <w:t>数据模型、计算规则和统计口径应经过确认后使用。</w:t>
      </w:r>
    </w:p>
    <w:p w14:paraId="13B33758">
      <w:pPr>
        <w:pStyle w:val="165"/>
        <w:spacing w:line="360" w:lineRule="auto"/>
      </w:pPr>
      <w:r>
        <w:rPr>
          <w:rFonts w:hint="eastAsia"/>
        </w:rPr>
        <w:t>已失效的数据应标识状态，不得继续作为当前有效数据使用。</w:t>
      </w:r>
    </w:p>
    <w:p w14:paraId="1F7C5F91">
      <w:pPr>
        <w:pStyle w:val="105"/>
        <w:spacing w:before="120" w:after="120" w:line="360" w:lineRule="auto"/>
      </w:pPr>
      <w:r>
        <w:rPr>
          <w:rFonts w:hint="eastAsia"/>
        </w:rPr>
        <w:t>可追溯性控制</w:t>
      </w:r>
    </w:p>
    <w:p w14:paraId="7FB4EB32">
      <w:pPr>
        <w:pStyle w:val="165"/>
        <w:spacing w:line="360" w:lineRule="auto"/>
      </w:pPr>
      <w:r>
        <w:rPr>
          <w:rFonts w:hint="eastAsia"/>
        </w:rPr>
        <w:t>数据应能追溯至来源、采集时间、采集人员或设备、处理过程、审核记录和应用输出。</w:t>
      </w:r>
    </w:p>
    <w:p w14:paraId="29A3A73A">
      <w:pPr>
        <w:pStyle w:val="165"/>
        <w:spacing w:line="360" w:lineRule="auto"/>
      </w:pPr>
      <w:r>
        <w:rPr>
          <w:rFonts w:hint="eastAsia"/>
        </w:rPr>
        <w:t>关键业务数据应建立数据血缘记录。</w:t>
      </w:r>
    </w:p>
    <w:p w14:paraId="3E8D7CBE">
      <w:pPr>
        <w:pStyle w:val="165"/>
        <w:spacing w:line="360" w:lineRule="auto"/>
      </w:pPr>
      <w:r>
        <w:rPr>
          <w:rFonts w:hint="eastAsia"/>
        </w:rPr>
        <w:t>数据清洗、转换、融合、修正和导出应保留操作记录。</w:t>
      </w:r>
    </w:p>
    <w:p w14:paraId="31862FE1">
      <w:pPr>
        <w:pStyle w:val="165"/>
        <w:spacing w:line="360" w:lineRule="auto"/>
      </w:pPr>
      <w:r>
        <w:rPr>
          <w:rFonts w:hint="eastAsia"/>
        </w:rPr>
        <w:t>数据更正应保留更正前内容、更正后内容、更正原因、更正人员、更正时间和审批记录。</w:t>
      </w:r>
    </w:p>
    <w:p w14:paraId="68487772">
      <w:pPr>
        <w:pStyle w:val="165"/>
        <w:spacing w:line="360" w:lineRule="auto"/>
      </w:pPr>
      <w:r>
        <w:rPr>
          <w:rFonts w:hint="eastAsia"/>
        </w:rPr>
        <w:t>不具备来源信息、处理记录和责任主体的数据，不得用于关键业务应用。</w:t>
      </w:r>
    </w:p>
    <w:p w14:paraId="12055C35">
      <w:pPr>
        <w:pStyle w:val="105"/>
        <w:spacing w:before="120" w:after="120" w:line="360" w:lineRule="auto"/>
      </w:pPr>
      <w:r>
        <w:rPr>
          <w:rFonts w:hint="eastAsia"/>
        </w:rPr>
        <w:t>问题数据处置</w:t>
      </w:r>
    </w:p>
    <w:p w14:paraId="43E1E7EC">
      <w:pPr>
        <w:pStyle w:val="165"/>
        <w:spacing w:line="360" w:lineRule="auto"/>
      </w:pPr>
      <w:r>
        <w:rPr>
          <w:rFonts w:hint="eastAsia"/>
        </w:rPr>
        <w:t>发现问题数据时，应按问题类型、影响范围和风险程度进行分类处置。</w:t>
      </w:r>
    </w:p>
    <w:p w14:paraId="0ED748CE">
      <w:pPr>
        <w:pStyle w:val="165"/>
        <w:spacing w:line="360" w:lineRule="auto"/>
      </w:pPr>
      <w:r>
        <w:rPr>
          <w:rFonts w:hint="eastAsia"/>
        </w:rPr>
        <w:t>问题数据处置方式包括补充采集、人工复核、设备核查、数据更正、数据剔除、数据标识、模型重算和重新归档。</w:t>
      </w:r>
    </w:p>
    <w:p w14:paraId="40FC1E68">
      <w:pPr>
        <w:pStyle w:val="165"/>
        <w:spacing w:line="360" w:lineRule="auto"/>
      </w:pPr>
      <w:r>
        <w:rPr>
          <w:rFonts w:hint="eastAsia"/>
        </w:rPr>
        <w:t>对监测设备故障导致的数据异常，应先核查设备状态，再判断数据有效性。</w:t>
      </w:r>
    </w:p>
    <w:p w14:paraId="375D02D0">
      <w:pPr>
        <w:pStyle w:val="165"/>
        <w:spacing w:line="360" w:lineRule="auto"/>
      </w:pPr>
      <w:r>
        <w:rPr>
          <w:rFonts w:hint="eastAsia"/>
        </w:rPr>
        <w:t>对影响调度决策、安全预警和应急处置的数据问题，应立即报告相关责任部门。</w:t>
      </w:r>
    </w:p>
    <w:p w14:paraId="233BE563">
      <w:pPr>
        <w:pStyle w:val="165"/>
        <w:spacing w:line="360" w:lineRule="auto"/>
      </w:pPr>
      <w:r>
        <w:rPr>
          <w:rFonts w:hint="eastAsia"/>
        </w:rPr>
        <w:t>问题数据处置完成后，应进行复核确认，并应更新数据质量状态。</w:t>
      </w:r>
    </w:p>
    <w:p w14:paraId="25122FBC">
      <w:pPr>
        <w:pStyle w:val="104"/>
        <w:spacing w:before="240" w:after="240" w:line="360" w:lineRule="auto"/>
      </w:pPr>
      <w:bookmarkStart w:id="56" w:name="_Toc228612882"/>
      <w:r>
        <w:rPr>
          <w:rFonts w:hint="eastAsia"/>
        </w:rPr>
        <w:t>数据共享与融合</w:t>
      </w:r>
      <w:bookmarkEnd w:id="56"/>
    </w:p>
    <w:p w14:paraId="47E84E96">
      <w:pPr>
        <w:pStyle w:val="105"/>
        <w:spacing w:before="120" w:after="120" w:line="360" w:lineRule="auto"/>
      </w:pPr>
      <w:r>
        <w:rPr>
          <w:rFonts w:hint="eastAsia"/>
        </w:rPr>
        <w:t>一般要求</w:t>
      </w:r>
    </w:p>
    <w:p w14:paraId="5BCD2E4B">
      <w:pPr>
        <w:pStyle w:val="165"/>
        <w:spacing w:line="360" w:lineRule="auto"/>
      </w:pPr>
      <w:r>
        <w:rPr>
          <w:rFonts w:hint="eastAsia"/>
        </w:rPr>
        <w:t>水利工程数据共享与融合应遵循业务需要、授权使用、安全可控、标准交换和责任明确的原则。</w:t>
      </w:r>
    </w:p>
    <w:p w14:paraId="6B48E89F">
      <w:pPr>
        <w:pStyle w:val="165"/>
        <w:spacing w:line="360" w:lineRule="auto"/>
      </w:pPr>
      <w:r>
        <w:rPr>
          <w:rFonts w:hint="eastAsia"/>
        </w:rPr>
        <w:t>数据共享前应明确共享数据范围、共享对象、共享方式、共享频率、使用目的、安全要求和责任边界。</w:t>
      </w:r>
    </w:p>
    <w:p w14:paraId="14F4F54B">
      <w:pPr>
        <w:pStyle w:val="165"/>
        <w:spacing w:line="360" w:lineRule="auto"/>
      </w:pPr>
      <w:r>
        <w:rPr>
          <w:rFonts w:hint="eastAsia"/>
        </w:rPr>
        <w:t>数据融合前应完成数据标准比对、编码匹配、格式转换、质量校验和来源确认。</w:t>
      </w:r>
    </w:p>
    <w:p w14:paraId="19766EF5">
      <w:pPr>
        <w:pStyle w:val="165"/>
        <w:spacing w:line="360" w:lineRule="auto"/>
      </w:pPr>
      <w:r>
        <w:rPr>
          <w:rFonts w:hint="eastAsia"/>
        </w:rPr>
        <w:t>未经授权的数据不得共享。涉及敏感数据、重要数据和个人信息的数据共享应按规定审批。</w:t>
      </w:r>
    </w:p>
    <w:p w14:paraId="54511A34">
      <w:pPr>
        <w:pStyle w:val="165"/>
        <w:spacing w:line="360" w:lineRule="auto"/>
      </w:pPr>
      <w:r>
        <w:rPr>
          <w:rFonts w:hint="eastAsia"/>
        </w:rPr>
        <w:t>数据共享与融合结果应保留处理规则、版本信息、输出时间和责任人员。</w:t>
      </w:r>
    </w:p>
    <w:p w14:paraId="7D9A81B0">
      <w:pPr>
        <w:pStyle w:val="105"/>
        <w:spacing w:before="120" w:after="120" w:line="360" w:lineRule="auto"/>
      </w:pPr>
      <w:r>
        <w:rPr>
          <w:rFonts w:hint="eastAsia"/>
        </w:rPr>
        <w:t>共享目录</w:t>
      </w:r>
    </w:p>
    <w:p w14:paraId="3BFC048E">
      <w:pPr>
        <w:pStyle w:val="165"/>
        <w:spacing w:line="360" w:lineRule="auto"/>
      </w:pPr>
      <w:r>
        <w:rPr>
          <w:rFonts w:hint="eastAsia"/>
        </w:rPr>
        <w:t>水利工程管理单位应建立数据共享目录。</w:t>
      </w:r>
    </w:p>
    <w:p w14:paraId="2961FD9C">
      <w:pPr>
        <w:pStyle w:val="165"/>
        <w:spacing w:line="360" w:lineRule="auto"/>
      </w:pPr>
      <w:r>
        <w:rPr>
          <w:rFonts w:hint="eastAsia"/>
        </w:rPr>
        <w:t>共享目录应包括数据名称、数据类别、共享范围、共享方式、更新频率、安全等级、责任部门和申请条件。</w:t>
      </w:r>
    </w:p>
    <w:p w14:paraId="6EF79D45">
      <w:pPr>
        <w:pStyle w:val="165"/>
        <w:spacing w:line="360" w:lineRule="auto"/>
      </w:pPr>
      <w:r>
        <w:rPr>
          <w:rFonts w:hint="eastAsia"/>
        </w:rPr>
        <w:t>共享目录应与数据资源目录保持一致。</w:t>
      </w:r>
    </w:p>
    <w:p w14:paraId="7A8A3780">
      <w:pPr>
        <w:pStyle w:val="165"/>
        <w:spacing w:line="360" w:lineRule="auto"/>
      </w:pPr>
      <w:r>
        <w:rPr>
          <w:rFonts w:hint="eastAsia"/>
        </w:rPr>
        <w:t>不宜共享、限制共享和可共享数据应分别标识。</w:t>
      </w:r>
    </w:p>
    <w:p w14:paraId="03DE71F8">
      <w:pPr>
        <w:pStyle w:val="165"/>
        <w:spacing w:line="360" w:lineRule="auto"/>
      </w:pPr>
      <w:r>
        <w:rPr>
          <w:rFonts w:hint="eastAsia"/>
        </w:rPr>
        <w:t>共享目录发生变更时，应及时通知相关数据使用单位或系统维护单位。</w:t>
      </w:r>
    </w:p>
    <w:p w14:paraId="775DBAF9">
      <w:pPr>
        <w:pStyle w:val="105"/>
        <w:spacing w:before="120" w:after="120" w:line="360" w:lineRule="auto"/>
      </w:pPr>
      <w:r>
        <w:rPr>
          <w:rFonts w:hint="eastAsia"/>
        </w:rPr>
        <w:t>共享方式</w:t>
      </w:r>
    </w:p>
    <w:p w14:paraId="22FA38CE">
      <w:pPr>
        <w:pStyle w:val="165"/>
        <w:spacing w:line="360" w:lineRule="auto"/>
      </w:pPr>
      <w:r>
        <w:rPr>
          <w:rFonts w:hint="eastAsia"/>
        </w:rPr>
        <w:t>数据共享可采用接口服务、数据库交换、文件交换、数据服务平台、消息推送和人工审批导出等方式。</w:t>
      </w:r>
    </w:p>
    <w:p w14:paraId="6D80588C">
      <w:pPr>
        <w:pStyle w:val="165"/>
        <w:spacing w:line="360" w:lineRule="auto"/>
      </w:pPr>
      <w:r>
        <w:rPr>
          <w:rFonts w:hint="eastAsia"/>
        </w:rPr>
        <w:t>实时性要求高的数据宜采用接口服务或消息推送方式共享。</w:t>
      </w:r>
    </w:p>
    <w:p w14:paraId="63D6C506">
      <w:pPr>
        <w:pStyle w:val="165"/>
        <w:spacing w:line="360" w:lineRule="auto"/>
      </w:pPr>
      <w:r>
        <w:rPr>
          <w:rFonts w:hint="eastAsia"/>
        </w:rPr>
        <w:t>档案资料、图件、报告和大容量视频资料可采用文件交换或受控下载方式共享。</w:t>
      </w:r>
    </w:p>
    <w:p w14:paraId="6ABD1A89">
      <w:pPr>
        <w:pStyle w:val="165"/>
        <w:spacing w:line="360" w:lineRule="auto"/>
      </w:pPr>
      <w:r>
        <w:rPr>
          <w:rFonts w:hint="eastAsia"/>
        </w:rPr>
        <w:t>人工导出数据应履行审批程序，并应记录导出内容、导出人员、导出时间和使用目的。</w:t>
      </w:r>
    </w:p>
    <w:p w14:paraId="3C0DD111">
      <w:pPr>
        <w:pStyle w:val="165"/>
        <w:spacing w:line="360" w:lineRule="auto"/>
      </w:pPr>
      <w:r>
        <w:rPr>
          <w:rFonts w:hint="eastAsia"/>
        </w:rPr>
        <w:t>数据共享接口应设置身份认证、访问控制、调用频率控制和日志记录。</w:t>
      </w:r>
    </w:p>
    <w:p w14:paraId="029C0A5F">
      <w:pPr>
        <w:pStyle w:val="105"/>
        <w:spacing w:before="120" w:after="120" w:line="360" w:lineRule="auto"/>
      </w:pPr>
      <w:r>
        <w:rPr>
          <w:rFonts w:hint="eastAsia"/>
        </w:rPr>
        <w:t>接口管理</w:t>
      </w:r>
    </w:p>
    <w:p w14:paraId="26C08697">
      <w:pPr>
        <w:pStyle w:val="165"/>
        <w:spacing w:line="360" w:lineRule="auto"/>
      </w:pPr>
      <w:r>
        <w:rPr>
          <w:rFonts w:hint="eastAsia"/>
        </w:rPr>
        <w:t>数据接口应制定接口规范，明确接口地址、调用方式、数据格式、字段含义、编码规则、返回结果和错误提示。</w:t>
      </w:r>
    </w:p>
    <w:p w14:paraId="426C86CC">
      <w:pPr>
        <w:pStyle w:val="165"/>
        <w:spacing w:line="360" w:lineRule="auto"/>
      </w:pPr>
      <w:r>
        <w:rPr>
          <w:rFonts w:hint="eastAsia"/>
        </w:rPr>
        <w:t>接口上线前应进行功能测试、安全测试和数据质量测试。</w:t>
      </w:r>
    </w:p>
    <w:p w14:paraId="2BB4742F">
      <w:pPr>
        <w:pStyle w:val="165"/>
        <w:spacing w:line="360" w:lineRule="auto"/>
      </w:pPr>
      <w:r>
        <w:rPr>
          <w:rFonts w:hint="eastAsia"/>
        </w:rPr>
        <w:t>接口调用应记录调用单位、调用系统、调用账号、调用时间、调用数据和调用结果。</w:t>
      </w:r>
    </w:p>
    <w:p w14:paraId="79B4C046">
      <w:pPr>
        <w:pStyle w:val="165"/>
        <w:spacing w:line="360" w:lineRule="auto"/>
      </w:pPr>
      <w:r>
        <w:rPr>
          <w:rFonts w:hint="eastAsia"/>
        </w:rPr>
        <w:t>接口变更应提前评估影响，并应保留版本兼容或迁移方案。</w:t>
      </w:r>
    </w:p>
    <w:p w14:paraId="2F7BE676">
      <w:pPr>
        <w:pStyle w:val="165"/>
        <w:spacing w:line="360" w:lineRule="auto"/>
      </w:pPr>
      <w:r>
        <w:rPr>
          <w:rFonts w:hint="eastAsia"/>
        </w:rPr>
        <w:t>不再使用的接口应及时停用，不得长期保留无管理责任的开放接口。</w:t>
      </w:r>
    </w:p>
    <w:p w14:paraId="54A53C0B">
      <w:pPr>
        <w:pStyle w:val="105"/>
        <w:spacing w:before="120" w:after="120" w:line="360" w:lineRule="auto"/>
      </w:pPr>
      <w:r>
        <w:rPr>
          <w:rFonts w:hint="eastAsia"/>
        </w:rPr>
        <w:t>数据融合</w:t>
      </w:r>
    </w:p>
    <w:p w14:paraId="4D9AFF2E">
      <w:pPr>
        <w:pStyle w:val="165"/>
        <w:spacing w:line="360" w:lineRule="auto"/>
      </w:pPr>
      <w:r>
        <w:rPr>
          <w:rFonts w:hint="eastAsia"/>
        </w:rPr>
        <w:t>数据融合应以统一主数据、统一编码和统一业务规则为基础。</w:t>
      </w:r>
    </w:p>
    <w:p w14:paraId="7F34BBD8">
      <w:pPr>
        <w:pStyle w:val="165"/>
        <w:spacing w:line="360" w:lineRule="auto"/>
      </w:pPr>
      <w:r>
        <w:rPr>
          <w:rFonts w:hint="eastAsia"/>
        </w:rPr>
        <w:t>不同来源数据融合时，应进行数据清洗、去重、匹配、转换、校验和质量标识。</w:t>
      </w:r>
    </w:p>
    <w:p w14:paraId="0BFCDAC9">
      <w:pPr>
        <w:pStyle w:val="165"/>
        <w:spacing w:line="360" w:lineRule="auto"/>
      </w:pPr>
      <w:r>
        <w:rPr>
          <w:rFonts w:hint="eastAsia"/>
        </w:rPr>
        <w:t>监测感知数据与空间数据融合时，应保证测点位置、设备编码、采集时间和监测项目一致。</w:t>
      </w:r>
    </w:p>
    <w:p w14:paraId="13A6530B">
      <w:pPr>
        <w:pStyle w:val="165"/>
        <w:spacing w:line="360" w:lineRule="auto"/>
      </w:pPr>
      <w:r>
        <w:rPr>
          <w:rFonts w:hint="eastAsia"/>
        </w:rPr>
        <w:t>巡检养护数据与设备设施数据融合时，应保证设备编码、工单编号、巡检路线和处置结果关联一致。</w:t>
      </w:r>
    </w:p>
    <w:p w14:paraId="34FF43ED">
      <w:pPr>
        <w:pStyle w:val="165"/>
        <w:spacing w:line="360" w:lineRule="auto"/>
      </w:pPr>
      <w:r>
        <w:rPr>
          <w:rFonts w:hint="eastAsia"/>
        </w:rPr>
        <w:t>调度运行数据与水情雨情数据融合时，应保证时间基准、计量单位、数据频率和统计口径一致。</w:t>
      </w:r>
    </w:p>
    <w:p w14:paraId="34B5CC6A">
      <w:pPr>
        <w:pStyle w:val="165"/>
        <w:spacing w:line="360" w:lineRule="auto"/>
      </w:pPr>
      <w:r>
        <w:rPr>
          <w:rFonts w:hint="eastAsia"/>
        </w:rPr>
        <w:t>数据融合生成的新数据应明确来源数据、处理规则、生成时间、责任主体和质量状态。</w:t>
      </w:r>
    </w:p>
    <w:p w14:paraId="07F0D2D1">
      <w:pPr>
        <w:pStyle w:val="105"/>
        <w:spacing w:before="120" w:after="120" w:line="360" w:lineRule="auto"/>
      </w:pPr>
      <w:r>
        <w:rPr>
          <w:rFonts w:hint="eastAsia"/>
        </w:rPr>
        <w:t>数据共享安全</w:t>
      </w:r>
    </w:p>
    <w:p w14:paraId="3824F205">
      <w:pPr>
        <w:pStyle w:val="165"/>
        <w:spacing w:line="360" w:lineRule="auto"/>
      </w:pPr>
      <w:r>
        <w:rPr>
          <w:rFonts w:hint="eastAsia"/>
        </w:rPr>
        <w:t>数据共享应按照数据分类分级结果设置共享权限。</w:t>
      </w:r>
    </w:p>
    <w:p w14:paraId="5F0543DB">
      <w:pPr>
        <w:pStyle w:val="165"/>
        <w:spacing w:line="360" w:lineRule="auto"/>
      </w:pPr>
      <w:r>
        <w:rPr>
          <w:rFonts w:hint="eastAsia"/>
        </w:rPr>
        <w:t>共享数据涉及重要工程运行、安全监测、调度指令、应急资源、个人信息或敏感空间位置的，应采取访问控制、脱敏、加密、审计等措施。</w:t>
      </w:r>
    </w:p>
    <w:p w14:paraId="3D9F49DD">
      <w:pPr>
        <w:pStyle w:val="165"/>
        <w:spacing w:line="360" w:lineRule="auto"/>
      </w:pPr>
      <w:r>
        <w:rPr>
          <w:rFonts w:hint="eastAsia"/>
        </w:rPr>
        <w:t>数据接收方应按约定范围使用数据，不得擅自转交、扩散、加工发布或用于未授权场景。</w:t>
      </w:r>
    </w:p>
    <w:p w14:paraId="3F5648A0">
      <w:pPr>
        <w:pStyle w:val="165"/>
        <w:spacing w:line="360" w:lineRule="auto"/>
      </w:pPr>
      <w:r>
        <w:rPr>
          <w:rFonts w:hint="eastAsia"/>
        </w:rPr>
        <w:t>数据共享过程中发现泄露、误传、越权调用或异常下载的，应立即停止共享并开展核查。</w:t>
      </w:r>
    </w:p>
    <w:p w14:paraId="2A3CA693">
      <w:pPr>
        <w:pStyle w:val="165"/>
        <w:spacing w:line="360" w:lineRule="auto"/>
      </w:pPr>
      <w:r>
        <w:rPr>
          <w:rFonts w:hint="eastAsia"/>
        </w:rPr>
        <w:t>数据共享记录应保存，保存期限应满足审计和追溯要求。</w:t>
      </w:r>
    </w:p>
    <w:p w14:paraId="369DF492">
      <w:pPr>
        <w:pStyle w:val="104"/>
        <w:spacing w:before="240" w:after="240" w:line="360" w:lineRule="auto"/>
      </w:pPr>
      <w:bookmarkStart w:id="57" w:name="_Toc228612883"/>
      <w:r>
        <w:rPr>
          <w:rFonts w:hint="eastAsia"/>
        </w:rPr>
        <w:t>数据安全管理</w:t>
      </w:r>
      <w:bookmarkEnd w:id="57"/>
    </w:p>
    <w:p w14:paraId="14580994">
      <w:pPr>
        <w:pStyle w:val="105"/>
        <w:spacing w:before="120" w:after="120" w:line="360" w:lineRule="auto"/>
      </w:pPr>
      <w:r>
        <w:rPr>
          <w:rFonts w:hint="eastAsia"/>
        </w:rPr>
        <w:t>一般要求</w:t>
      </w:r>
    </w:p>
    <w:p w14:paraId="5495570E">
      <w:pPr>
        <w:pStyle w:val="165"/>
        <w:spacing w:line="360" w:lineRule="auto"/>
      </w:pPr>
      <w:r>
        <w:rPr>
          <w:rFonts w:hint="eastAsia"/>
        </w:rPr>
        <w:t>水利工程数字化管理数据安全应按照分类分级、最小授权、全过程管控、可审计追溯和风险闭环处置的要求实施。</w:t>
      </w:r>
    </w:p>
    <w:p w14:paraId="3B8AC8D2">
      <w:pPr>
        <w:pStyle w:val="165"/>
        <w:spacing w:line="360" w:lineRule="auto"/>
      </w:pPr>
      <w:r>
        <w:rPr>
          <w:rFonts w:hint="eastAsia"/>
        </w:rPr>
        <w:t>水利工程管理单位应建立数据安全责任体系，明确数据安全责任部门、业务责任部门、系统运维责任部门和第三方服务单位的安全职责。</w:t>
      </w:r>
    </w:p>
    <w:p w14:paraId="7C3BA0F0">
      <w:pPr>
        <w:pStyle w:val="165"/>
        <w:spacing w:line="360" w:lineRule="auto"/>
      </w:pPr>
      <w:r>
        <w:rPr>
          <w:rFonts w:hint="eastAsia"/>
        </w:rPr>
        <w:t>数据安全管理应覆盖数据采集、传输、存储、处理、共享、应用、备份、归档和销毁全过程。</w:t>
      </w:r>
    </w:p>
    <w:p w14:paraId="3223D632">
      <w:pPr>
        <w:pStyle w:val="165"/>
        <w:spacing w:line="360" w:lineRule="auto"/>
      </w:pPr>
      <w:r>
        <w:rPr>
          <w:rFonts w:hint="eastAsia"/>
        </w:rPr>
        <w:t>涉及防洪调度、工程安全监测、险情处置、重要设备控制、应急指挥和重要基础设施运行的数据，应作为重点保护对象。</w:t>
      </w:r>
    </w:p>
    <w:p w14:paraId="70ADF80C">
      <w:pPr>
        <w:pStyle w:val="165"/>
        <w:spacing w:line="360" w:lineRule="auto"/>
      </w:pPr>
      <w:r>
        <w:rPr>
          <w:rFonts w:hint="eastAsia"/>
        </w:rPr>
        <w:t>未经授权，任何单位和个人不得访问、复制、下载、导出、修改、删除、传播或对外提供水利工程数字化管理数据。</w:t>
      </w:r>
    </w:p>
    <w:p w14:paraId="0E1C0C72">
      <w:pPr>
        <w:pStyle w:val="165"/>
        <w:spacing w:line="360" w:lineRule="auto"/>
      </w:pPr>
      <w:r>
        <w:rPr>
          <w:rFonts w:hint="eastAsia"/>
        </w:rPr>
        <w:t>第三方服务单位参与系统建设、数据处理、运行维护、模型开发或平台托管的，应签订数据安全与保密协议，并应明确数据使用边界、运维权限、留痕要求、交付成果和服务终止后的数据移交要求。</w:t>
      </w:r>
    </w:p>
    <w:p w14:paraId="1E5E2752">
      <w:pPr>
        <w:pStyle w:val="105"/>
        <w:spacing w:before="120" w:after="120" w:line="360" w:lineRule="auto"/>
      </w:pPr>
      <w:r>
        <w:rPr>
          <w:rFonts w:hint="eastAsia"/>
        </w:rPr>
        <w:t>分类分级保护</w:t>
      </w:r>
    </w:p>
    <w:p w14:paraId="1E845274">
      <w:pPr>
        <w:pStyle w:val="165"/>
        <w:spacing w:line="360" w:lineRule="auto"/>
      </w:pPr>
      <w:r>
        <w:rPr>
          <w:rFonts w:hint="eastAsia"/>
        </w:rPr>
        <w:t>水利工程数据应按照重要程度、敏感程度、泄露影响、篡改影响、丢失影响和业务连续性要求进行安全分级。</w:t>
      </w:r>
    </w:p>
    <w:p w14:paraId="41481A71">
      <w:pPr>
        <w:pStyle w:val="165"/>
        <w:spacing w:line="360" w:lineRule="auto"/>
      </w:pPr>
      <w:r>
        <w:rPr>
          <w:rFonts w:hint="eastAsia"/>
        </w:rPr>
        <w:t>不同等级的数据应采取相应的访问控制、传输保护、存储保护、备份保护、审计保护和应急处置措施。</w:t>
      </w:r>
    </w:p>
    <w:p w14:paraId="417C85A6">
      <w:pPr>
        <w:pStyle w:val="165"/>
        <w:spacing w:line="360" w:lineRule="auto"/>
      </w:pPr>
      <w:r>
        <w:rPr>
          <w:rFonts w:hint="eastAsia"/>
        </w:rPr>
        <w:t>重要数据、敏感数据和关键业务数据应建立专门台账，并应明确责任主体、访问范围、共享条件和审批要求。</w:t>
      </w:r>
    </w:p>
    <w:p w14:paraId="26976DC3">
      <w:pPr>
        <w:pStyle w:val="165"/>
        <w:spacing w:line="360" w:lineRule="auto"/>
      </w:pPr>
      <w:r>
        <w:rPr>
          <w:rFonts w:hint="eastAsia"/>
        </w:rPr>
        <w:t>数据安全等级发生变化时，应及时调整访问权限、共享策略、备份策略和审计策略。</w:t>
      </w:r>
    </w:p>
    <w:p w14:paraId="1E1821D5">
      <w:pPr>
        <w:pStyle w:val="165"/>
        <w:spacing w:line="360" w:lineRule="auto"/>
      </w:pPr>
      <w:r>
        <w:rPr>
          <w:rFonts w:hint="eastAsia"/>
        </w:rPr>
        <w:t>数据分类分级结果应与数据资源目录、共享目录和系统权限配置保持一致。</w:t>
      </w:r>
    </w:p>
    <w:p w14:paraId="2CB274E0">
      <w:pPr>
        <w:pStyle w:val="105"/>
        <w:spacing w:before="120" w:after="120" w:line="360" w:lineRule="auto"/>
      </w:pPr>
      <w:r>
        <w:rPr>
          <w:rFonts w:hint="eastAsia"/>
        </w:rPr>
        <w:t>访问控制</w:t>
      </w:r>
    </w:p>
    <w:p w14:paraId="404D7CE8">
      <w:pPr>
        <w:pStyle w:val="56"/>
        <w:spacing w:line="360" w:lineRule="auto"/>
        <w:ind w:firstLine="420"/>
      </w:pPr>
      <w:r>
        <w:rPr>
          <w:rFonts w:hint="eastAsia"/>
        </w:rPr>
        <w:t>数据访问应实行实名制账号管理。不得共用账号、借用账号、转让账号或使用他人账号操作系统。</w:t>
      </w:r>
    </w:p>
    <w:p w14:paraId="41066683">
      <w:pPr>
        <w:pStyle w:val="56"/>
        <w:spacing w:line="360" w:lineRule="auto"/>
        <w:ind w:firstLine="420"/>
      </w:pPr>
      <w:r>
        <w:rPr>
          <w:rFonts w:hint="eastAsia"/>
        </w:rPr>
        <w:t>系统权限应按照岗位职责、业务范围和最小授权原则配置。</w:t>
      </w:r>
    </w:p>
    <w:p w14:paraId="2B0CC0CA">
      <w:pPr>
        <w:pStyle w:val="56"/>
        <w:spacing w:line="360" w:lineRule="auto"/>
        <w:ind w:firstLine="420"/>
      </w:pPr>
      <w:r>
        <w:rPr>
          <w:rFonts w:hint="eastAsia"/>
        </w:rPr>
        <w:t>调度、监测、设备控制、应急管理等关键业务权限应严格审批，并应定期复核。</w:t>
      </w:r>
    </w:p>
    <w:p w14:paraId="524E16BB">
      <w:pPr>
        <w:pStyle w:val="56"/>
        <w:spacing w:line="360" w:lineRule="auto"/>
        <w:ind w:firstLine="420"/>
      </w:pPr>
      <w:r>
        <w:rPr>
          <w:rFonts w:hint="eastAsia"/>
        </w:rPr>
        <w:t>人员离岗、转岗、离职或职责变更时，应及时调整或停用账号权限。</w:t>
      </w:r>
    </w:p>
    <w:p w14:paraId="397708EE">
      <w:pPr>
        <w:pStyle w:val="56"/>
        <w:spacing w:line="360" w:lineRule="auto"/>
        <w:ind w:firstLine="420"/>
      </w:pPr>
      <w:r>
        <w:rPr>
          <w:rFonts w:hint="eastAsia"/>
        </w:rPr>
        <w:t>临时账号、测试账号和运维账号应设置使用期限、权限范围和操作审计要求。到期后应及时停用。</w:t>
      </w:r>
    </w:p>
    <w:p w14:paraId="263A9CD2">
      <w:pPr>
        <w:pStyle w:val="56"/>
        <w:spacing w:line="360" w:lineRule="auto"/>
        <w:ind w:firstLine="420"/>
      </w:pPr>
      <w:r>
        <w:rPr>
          <w:rFonts w:hint="eastAsia"/>
        </w:rPr>
        <w:t>管理员账号不得用于日常业务操作。确需进行后台维护的，应经审批并保留操作记录。</w:t>
      </w:r>
    </w:p>
    <w:p w14:paraId="194C0350">
      <w:pPr>
        <w:pStyle w:val="56"/>
        <w:spacing w:line="360" w:lineRule="auto"/>
        <w:ind w:firstLine="199" w:firstLineChars="95"/>
      </w:pPr>
    </w:p>
    <w:p w14:paraId="3868E58C">
      <w:pPr>
        <w:pStyle w:val="56"/>
        <w:spacing w:line="360" w:lineRule="auto"/>
        <w:ind w:firstLine="199" w:firstLineChars="95"/>
        <w:rPr>
          <w:rFonts w:hint="eastAsia"/>
        </w:rPr>
      </w:pPr>
    </w:p>
    <w:p w14:paraId="376BF8FF">
      <w:pPr>
        <w:pStyle w:val="105"/>
        <w:spacing w:before="120" w:after="120" w:line="360" w:lineRule="auto"/>
      </w:pPr>
      <w:r>
        <w:rPr>
          <w:rFonts w:hint="eastAsia"/>
        </w:rPr>
        <w:t>数据传输安全</w:t>
      </w:r>
    </w:p>
    <w:p w14:paraId="4EEA5008">
      <w:pPr>
        <w:pStyle w:val="165"/>
        <w:spacing w:line="360" w:lineRule="auto"/>
      </w:pPr>
      <w:r>
        <w:rPr>
          <w:rFonts w:hint="eastAsia"/>
        </w:rPr>
        <w:t>数据传输应根据数据安全等级采取加密、身份认证、完整性校验、专线传输或其他安全措施。</w:t>
      </w:r>
    </w:p>
    <w:p w14:paraId="2967CDCD">
      <w:pPr>
        <w:pStyle w:val="165"/>
        <w:spacing w:line="360" w:lineRule="auto"/>
      </w:pPr>
      <w:r>
        <w:rPr>
          <w:rFonts w:hint="eastAsia"/>
        </w:rPr>
        <w:t>重要数据和敏感数据不得通过个人邮箱、个人网盘、即时通信工具、非受控移动介质等方式传输。</w:t>
      </w:r>
    </w:p>
    <w:p w14:paraId="057DFB43">
      <w:pPr>
        <w:pStyle w:val="165"/>
        <w:spacing w:line="360" w:lineRule="auto"/>
      </w:pPr>
      <w:r>
        <w:rPr>
          <w:rFonts w:hint="eastAsia"/>
        </w:rPr>
        <w:t>数据接口调用应进行身份认证、权限校验、频率控制和日志记录。</w:t>
      </w:r>
    </w:p>
    <w:p w14:paraId="6890ACC9">
      <w:pPr>
        <w:pStyle w:val="165"/>
        <w:spacing w:line="360" w:lineRule="auto"/>
      </w:pPr>
      <w:r>
        <w:rPr>
          <w:rFonts w:hint="eastAsia"/>
        </w:rPr>
        <w:t>移动终端采集或传输巡检、影像、定位和隐患数据时，应采取终端认证、加密传输和丢失处置措施。</w:t>
      </w:r>
    </w:p>
    <w:p w14:paraId="592FFD7F">
      <w:pPr>
        <w:pStyle w:val="165"/>
        <w:spacing w:line="360" w:lineRule="auto"/>
      </w:pPr>
      <w:r>
        <w:rPr>
          <w:rFonts w:hint="eastAsia"/>
        </w:rPr>
        <w:t>数据传输失败、重复传输、异常中断或内容不一致时，应进行校验和补传，不得直接以不完整数据入库。</w:t>
      </w:r>
    </w:p>
    <w:p w14:paraId="1C9C2F01">
      <w:pPr>
        <w:pStyle w:val="105"/>
        <w:spacing w:before="120" w:after="120" w:line="360" w:lineRule="auto"/>
      </w:pPr>
      <w:r>
        <w:rPr>
          <w:rFonts w:hint="eastAsia"/>
        </w:rPr>
        <w:t>存储与备份安全</w:t>
      </w:r>
    </w:p>
    <w:p w14:paraId="2D5C060A">
      <w:pPr>
        <w:pStyle w:val="165"/>
        <w:spacing w:line="360" w:lineRule="auto"/>
      </w:pPr>
      <w:r>
        <w:rPr>
          <w:rFonts w:hint="eastAsia"/>
        </w:rPr>
        <w:t>数据存储应采用受控服务器、数据库、存储系统或云平台。不得将正式业务数据长期存放在个人电脑、个人移动硬盘或非受控存储空间中。</w:t>
      </w:r>
    </w:p>
    <w:p w14:paraId="13A53366">
      <w:pPr>
        <w:pStyle w:val="165"/>
        <w:spacing w:line="360" w:lineRule="auto"/>
      </w:pPr>
      <w:r>
        <w:rPr>
          <w:rFonts w:hint="eastAsia"/>
        </w:rPr>
        <w:t>重要数据应采取访问控制、加密存储、备份恢复、完整性校验和安全审计措施。</w:t>
      </w:r>
    </w:p>
    <w:p w14:paraId="0B01963D">
      <w:pPr>
        <w:pStyle w:val="165"/>
        <w:spacing w:line="360" w:lineRule="auto"/>
      </w:pPr>
      <w:r>
        <w:rPr>
          <w:rFonts w:hint="eastAsia"/>
        </w:rPr>
        <w:t>数据备份应覆盖数据库、文件资料、空间数据、配置文件、系统日志、接口记录和关键业务附件。</w:t>
      </w:r>
    </w:p>
    <w:p w14:paraId="6A799A32">
      <w:pPr>
        <w:pStyle w:val="165"/>
        <w:spacing w:line="360" w:lineRule="auto"/>
      </w:pPr>
      <w:r>
        <w:rPr>
          <w:rFonts w:hint="eastAsia"/>
        </w:rPr>
        <w:t>备份策略应明确备份范围、备份频率、备份方式、保存期限、存放位置、恢复验证和责任人员。</w:t>
      </w:r>
    </w:p>
    <w:p w14:paraId="3E2E08B5">
      <w:pPr>
        <w:pStyle w:val="165"/>
        <w:spacing w:line="360" w:lineRule="auto"/>
      </w:pPr>
      <w:r>
        <w:rPr>
          <w:rFonts w:hint="eastAsia"/>
        </w:rPr>
        <w:t>备份数据应定期开展恢复验证。未经恢复验证的备份不得作为唯一恢复依据。</w:t>
      </w:r>
    </w:p>
    <w:p w14:paraId="2B5570CB">
      <w:pPr>
        <w:pStyle w:val="165"/>
        <w:spacing w:line="360" w:lineRule="auto"/>
      </w:pPr>
      <w:r>
        <w:rPr>
          <w:rFonts w:hint="eastAsia"/>
        </w:rPr>
        <w:t>数据恢复应经审批后实施，并应记录恢复原因、恢复时间、恢复范围、执行人员、验证人员和恢复结果。</w:t>
      </w:r>
    </w:p>
    <w:p w14:paraId="0C073966">
      <w:pPr>
        <w:pStyle w:val="105"/>
        <w:spacing w:before="120" w:after="120" w:line="360" w:lineRule="auto"/>
      </w:pPr>
      <w:r>
        <w:rPr>
          <w:rFonts w:hint="eastAsia"/>
        </w:rPr>
        <w:t>安全审计</w:t>
      </w:r>
    </w:p>
    <w:p w14:paraId="67E2122E">
      <w:pPr>
        <w:pStyle w:val="165"/>
        <w:spacing w:line="360" w:lineRule="auto"/>
      </w:pPr>
      <w:r>
        <w:rPr>
          <w:rFonts w:hint="eastAsia"/>
        </w:rPr>
        <w:t>系统应对用户登录、数据查询、数据新增、数据修改、数据删除、数据导出、数据共享、权限变更、接口调用和系统运维等操作进行日志记录。</w:t>
      </w:r>
    </w:p>
    <w:p w14:paraId="4B3416DE">
      <w:pPr>
        <w:pStyle w:val="165"/>
        <w:spacing w:line="360" w:lineRule="auto"/>
      </w:pPr>
      <w:r>
        <w:rPr>
          <w:rFonts w:hint="eastAsia"/>
        </w:rPr>
        <w:t>审计日志应至少包括操作人员、操作时间、操作对象、操作类型、操作来源、操作结果和异常提示。</w:t>
      </w:r>
    </w:p>
    <w:p w14:paraId="40409902">
      <w:pPr>
        <w:pStyle w:val="165"/>
        <w:spacing w:line="360" w:lineRule="auto"/>
      </w:pPr>
      <w:r>
        <w:rPr>
          <w:rFonts w:hint="eastAsia"/>
        </w:rPr>
        <w:t>审计日志不得由普通用户修改、删除或覆盖。</w:t>
      </w:r>
    </w:p>
    <w:p w14:paraId="2F3A2454">
      <w:pPr>
        <w:pStyle w:val="165"/>
        <w:spacing w:line="360" w:lineRule="auto"/>
      </w:pPr>
      <w:r>
        <w:rPr>
          <w:rFonts w:hint="eastAsia"/>
        </w:rPr>
        <w:t>审计日志保存期限应满足数据安全、业务追溯和监管检查要求。</w:t>
      </w:r>
    </w:p>
    <w:p w14:paraId="166EF187">
      <w:pPr>
        <w:pStyle w:val="165"/>
        <w:spacing w:line="360" w:lineRule="auto"/>
      </w:pPr>
      <w:r>
        <w:rPr>
          <w:rFonts w:hint="eastAsia"/>
        </w:rPr>
        <w:t>水利工程管理单位应定期检查审计日志，发现异常登录、越权访问、批量导出、异常删除、频繁失败调用等情况时，应及时处置。</w:t>
      </w:r>
    </w:p>
    <w:p w14:paraId="2F229B97">
      <w:pPr>
        <w:pStyle w:val="105"/>
        <w:spacing w:before="120" w:after="120" w:line="360" w:lineRule="auto"/>
      </w:pPr>
      <w:r>
        <w:rPr>
          <w:rFonts w:hint="eastAsia"/>
        </w:rPr>
        <w:t>安全事件处置</w:t>
      </w:r>
    </w:p>
    <w:p w14:paraId="6E098B9C">
      <w:pPr>
        <w:pStyle w:val="165"/>
        <w:spacing w:line="360" w:lineRule="auto"/>
      </w:pPr>
      <w:r>
        <w:rPr>
          <w:rFonts w:hint="eastAsia"/>
        </w:rPr>
        <w:t>发生数据泄露、篡改、丢失、误删、非法访问、系统攻击、接口异常调用或重要数据不可用等事件时，应立即启动数据安全事件处置程序。</w:t>
      </w:r>
    </w:p>
    <w:p w14:paraId="02F92F2E">
      <w:pPr>
        <w:pStyle w:val="165"/>
        <w:spacing w:line="360" w:lineRule="auto"/>
      </w:pPr>
      <w:r>
        <w:rPr>
          <w:rFonts w:hint="eastAsia"/>
        </w:rPr>
        <w:t>安全事件处置应包括事件发现、影响评估、隔离控制、证据留存、数据恢复、原因分析、整改加固和结果报告。</w:t>
      </w:r>
    </w:p>
    <w:p w14:paraId="3654F68C">
      <w:pPr>
        <w:pStyle w:val="165"/>
        <w:spacing w:line="360" w:lineRule="auto"/>
      </w:pPr>
      <w:r>
        <w:rPr>
          <w:rFonts w:hint="eastAsia"/>
        </w:rPr>
        <w:t>涉及调度运行、工程安全、应急处置和公共安全的数据安全事件，应优先保障业务连续性。</w:t>
      </w:r>
    </w:p>
    <w:p w14:paraId="65B60BCC">
      <w:pPr>
        <w:pStyle w:val="165"/>
        <w:spacing w:line="360" w:lineRule="auto"/>
      </w:pPr>
      <w:r>
        <w:rPr>
          <w:rFonts w:hint="eastAsia"/>
        </w:rPr>
        <w:t>事件处置过程中不得擅自删除日志、覆盖证据或隐瞒影响范围。</w:t>
      </w:r>
    </w:p>
    <w:p w14:paraId="63D27358">
      <w:pPr>
        <w:pStyle w:val="165"/>
        <w:spacing w:line="360" w:lineRule="auto"/>
      </w:pPr>
      <w:r>
        <w:rPr>
          <w:rFonts w:hint="eastAsia"/>
        </w:rPr>
        <w:t>安全事件处置完成后，应形成事件报告，并应将改进措施纳入持续改进计划。</w:t>
      </w:r>
    </w:p>
    <w:p w14:paraId="0B388DC4">
      <w:pPr>
        <w:pStyle w:val="104"/>
        <w:spacing w:before="240" w:after="240" w:line="360" w:lineRule="auto"/>
      </w:pPr>
      <w:bookmarkStart w:id="58" w:name="_Toc228612884"/>
      <w:r>
        <w:rPr>
          <w:rFonts w:hint="eastAsia"/>
        </w:rPr>
        <w:t>数据应用要求</w:t>
      </w:r>
      <w:bookmarkEnd w:id="58"/>
    </w:p>
    <w:p w14:paraId="5E22DAF9">
      <w:pPr>
        <w:pStyle w:val="105"/>
        <w:spacing w:before="120" w:after="120" w:line="360" w:lineRule="auto"/>
      </w:pPr>
      <w:r>
        <w:rPr>
          <w:rFonts w:hint="eastAsia"/>
        </w:rPr>
        <w:t>一般要求</w:t>
      </w:r>
    </w:p>
    <w:p w14:paraId="3977DA4C">
      <w:pPr>
        <w:pStyle w:val="165"/>
        <w:spacing w:line="360" w:lineRule="auto"/>
      </w:pPr>
      <w:r>
        <w:rPr>
          <w:rFonts w:hint="eastAsia"/>
        </w:rPr>
        <w:t>水利工程数字化管理数据应用应围绕工程运行、安全监测、调度管理、巡检养护、隐患处置、应急响应、绩效评价和辅助决策等业务场景开展。</w:t>
      </w:r>
    </w:p>
    <w:p w14:paraId="4E1A5409">
      <w:pPr>
        <w:pStyle w:val="165"/>
        <w:spacing w:line="360" w:lineRule="auto"/>
      </w:pPr>
      <w:r>
        <w:rPr>
          <w:rFonts w:hint="eastAsia"/>
        </w:rPr>
        <w:t>数据应用应明确应用场景、数据来源、处理规则、输出结果、使用对象、审核要求和责任主体。</w:t>
      </w:r>
    </w:p>
    <w:p w14:paraId="779E544F">
      <w:pPr>
        <w:pStyle w:val="165"/>
        <w:spacing w:line="360" w:lineRule="auto"/>
      </w:pPr>
      <w:r>
        <w:rPr>
          <w:rFonts w:hint="eastAsia"/>
        </w:rPr>
        <w:t>用于辅助决策、风险预警、自动识别和统计评价的数据应用，应保证输入数据质量满足应用要求。</w:t>
      </w:r>
    </w:p>
    <w:p w14:paraId="1D44AD91">
      <w:pPr>
        <w:pStyle w:val="165"/>
        <w:spacing w:line="360" w:lineRule="auto"/>
      </w:pPr>
      <w:r>
        <w:rPr>
          <w:rFonts w:hint="eastAsia"/>
        </w:rPr>
        <w:t>数据应用成果应具有可解释性和可追溯性。模型计算、智能识别、统计分析和预警输出应能追溯输入数据、处理规则和输出版本。</w:t>
      </w:r>
    </w:p>
    <w:p w14:paraId="54DB1159">
      <w:pPr>
        <w:pStyle w:val="165"/>
        <w:spacing w:line="360" w:lineRule="auto"/>
      </w:pPr>
      <w:r>
        <w:rPr>
          <w:rFonts w:hint="eastAsia"/>
        </w:rPr>
        <w:t>数据应用不得替代管理责任人员依法依规履行判断、审核、批准和处置职责。</w:t>
      </w:r>
    </w:p>
    <w:p w14:paraId="61C86CB5">
      <w:pPr>
        <w:pStyle w:val="105"/>
        <w:spacing w:before="120" w:after="120" w:line="360" w:lineRule="auto"/>
      </w:pPr>
      <w:r>
        <w:rPr>
          <w:rFonts w:hint="eastAsia"/>
        </w:rPr>
        <w:t>工程运行监测应用</w:t>
      </w:r>
    </w:p>
    <w:p w14:paraId="39FCD6CA">
      <w:pPr>
        <w:pStyle w:val="165"/>
        <w:spacing w:line="360" w:lineRule="auto"/>
      </w:pPr>
      <w:r>
        <w:rPr>
          <w:rFonts w:hint="eastAsia"/>
        </w:rPr>
        <w:t>工程运行监测应用应接入水位、流量、雨量、闸门开度、泵机状态、渗流、变形、视频和设备状态等数据。</w:t>
      </w:r>
    </w:p>
    <w:p w14:paraId="38778C70">
      <w:pPr>
        <w:pStyle w:val="165"/>
        <w:spacing w:line="360" w:lineRule="auto"/>
      </w:pPr>
      <w:r>
        <w:rPr>
          <w:rFonts w:hint="eastAsia"/>
        </w:rPr>
        <w:t>运行监测界面应显示工程对象、测站测点、实时数据、历史趋势、报警状态和数据质量状态。</w:t>
      </w:r>
    </w:p>
    <w:p w14:paraId="63E2787A">
      <w:pPr>
        <w:pStyle w:val="165"/>
        <w:spacing w:line="360" w:lineRule="auto"/>
      </w:pPr>
      <w:r>
        <w:rPr>
          <w:rFonts w:hint="eastAsia"/>
        </w:rPr>
        <w:t>监测数据存在缺测、延迟、异常跳变或设备离线时，系统应进行提示。</w:t>
      </w:r>
    </w:p>
    <w:p w14:paraId="3DE1B108">
      <w:pPr>
        <w:pStyle w:val="165"/>
        <w:spacing w:line="360" w:lineRule="auto"/>
      </w:pPr>
      <w:r>
        <w:rPr>
          <w:rFonts w:hint="eastAsia"/>
        </w:rPr>
        <w:t>运行监测应用应支持按工程对象、测点类型、时间范围和报警状态查询。</w:t>
      </w:r>
    </w:p>
    <w:p w14:paraId="46B1024F">
      <w:pPr>
        <w:pStyle w:val="165"/>
        <w:spacing w:line="360" w:lineRule="auto"/>
      </w:pPr>
      <w:r>
        <w:rPr>
          <w:rFonts w:hint="eastAsia"/>
        </w:rPr>
        <w:t>运行监测结果应与巡检、调度和应急处置业务衔接。发现异常时，应形成记录并推送责任人员。</w:t>
      </w:r>
    </w:p>
    <w:p w14:paraId="48E4F65E">
      <w:pPr>
        <w:pStyle w:val="105"/>
        <w:spacing w:before="120" w:after="120" w:line="360" w:lineRule="auto"/>
      </w:pPr>
      <w:r>
        <w:rPr>
          <w:rFonts w:hint="eastAsia"/>
        </w:rPr>
        <w:t>调度管理应用</w:t>
      </w:r>
    </w:p>
    <w:p w14:paraId="433D500E">
      <w:pPr>
        <w:pStyle w:val="165"/>
        <w:spacing w:line="360" w:lineRule="auto"/>
      </w:pPr>
      <w:r>
        <w:rPr>
          <w:rFonts w:hint="eastAsia"/>
        </w:rPr>
        <w:t>调度管理应用应接入水情、雨情、工情、工程状态、调度规则、调度指令和执行反馈等数据。</w:t>
      </w:r>
    </w:p>
    <w:p w14:paraId="680E60A3">
      <w:pPr>
        <w:pStyle w:val="165"/>
        <w:spacing w:line="360" w:lineRule="auto"/>
      </w:pPr>
      <w:r>
        <w:rPr>
          <w:rFonts w:hint="eastAsia"/>
        </w:rPr>
        <w:t>调度指令生成、审核、下达、执行、反馈和归档应形成闭环记录。</w:t>
      </w:r>
    </w:p>
    <w:p w14:paraId="72B719F3">
      <w:pPr>
        <w:pStyle w:val="165"/>
        <w:spacing w:line="360" w:lineRule="auto"/>
      </w:pPr>
      <w:r>
        <w:rPr>
          <w:rFonts w:hint="eastAsia"/>
        </w:rPr>
        <w:t>调度应用涉及闸门启闭、泵站启停、水库泄放、引调水控制等关键操作时，应设置权限控制和操作确认。</w:t>
      </w:r>
    </w:p>
    <w:p w14:paraId="37684A78">
      <w:pPr>
        <w:pStyle w:val="165"/>
        <w:spacing w:line="360" w:lineRule="auto"/>
      </w:pPr>
      <w:r>
        <w:rPr>
          <w:rFonts w:hint="eastAsia"/>
        </w:rPr>
        <w:t>调度模拟、方案比选和模型计算结果应保留计算条件、输入数据、模型版本、计算时间和输出结果。</w:t>
      </w:r>
    </w:p>
    <w:p w14:paraId="3DDD75B9">
      <w:pPr>
        <w:pStyle w:val="165"/>
        <w:spacing w:line="360" w:lineRule="auto"/>
      </w:pPr>
      <w:r>
        <w:rPr>
          <w:rFonts w:hint="eastAsia"/>
        </w:rPr>
        <w:t>自动推荐调度方案不得直接替代人工审核。调度责任人员应对最终调度决策进行确认。</w:t>
      </w:r>
    </w:p>
    <w:p w14:paraId="596D3E39">
      <w:pPr>
        <w:pStyle w:val="105"/>
        <w:spacing w:before="120" w:after="120" w:line="360" w:lineRule="auto"/>
      </w:pPr>
      <w:r>
        <w:rPr>
          <w:rFonts w:hint="eastAsia"/>
        </w:rPr>
        <w:t>安全监测与风险预警应用</w:t>
      </w:r>
    </w:p>
    <w:p w14:paraId="40A0B3A2">
      <w:pPr>
        <w:pStyle w:val="165"/>
        <w:spacing w:line="360" w:lineRule="auto"/>
      </w:pPr>
      <w:r>
        <w:rPr>
          <w:rFonts w:hint="eastAsia"/>
        </w:rPr>
        <w:t>安全监测应用应接入变形、渗流、渗压、应力、应变、裂缝、沉降、位移、振动和视频识别等数据。</w:t>
      </w:r>
    </w:p>
    <w:p w14:paraId="67AC5A82">
      <w:pPr>
        <w:pStyle w:val="165"/>
        <w:spacing w:line="360" w:lineRule="auto"/>
      </w:pPr>
      <w:r>
        <w:rPr>
          <w:rFonts w:hint="eastAsia"/>
        </w:rPr>
        <w:t>风险预警规则应依据工程设计、运行规程、安全监测分析成果、历史数据和管理要求确定。</w:t>
      </w:r>
    </w:p>
    <w:p w14:paraId="104A4528">
      <w:pPr>
        <w:pStyle w:val="165"/>
        <w:spacing w:line="360" w:lineRule="auto"/>
      </w:pPr>
      <w:r>
        <w:rPr>
          <w:rFonts w:hint="eastAsia"/>
        </w:rPr>
        <w:t>预警阈值设置、调整和停用应履行审批程序，不得随意修改阈值以降低报警数量或改变风险等级。</w:t>
      </w:r>
    </w:p>
    <w:p w14:paraId="53791EE5">
      <w:pPr>
        <w:pStyle w:val="165"/>
        <w:spacing w:line="360" w:lineRule="auto"/>
      </w:pPr>
      <w:r>
        <w:rPr>
          <w:rFonts w:hint="eastAsia"/>
        </w:rPr>
        <w:t>系统产生预警后，应记录预警时间、预警对象、预警等级、触发规则、输入数据、推送对象和处置状态。</w:t>
      </w:r>
    </w:p>
    <w:p w14:paraId="54861DEB">
      <w:pPr>
        <w:pStyle w:val="165"/>
        <w:spacing w:line="360" w:lineRule="auto"/>
      </w:pPr>
      <w:r>
        <w:rPr>
          <w:rFonts w:hint="eastAsia"/>
        </w:rPr>
        <w:t>预警处置应形成接收、核查、研判、处置、复核和关闭记录。</w:t>
      </w:r>
    </w:p>
    <w:p w14:paraId="25926F94">
      <w:pPr>
        <w:pStyle w:val="165"/>
        <w:spacing w:line="360" w:lineRule="auto"/>
      </w:pPr>
      <w:r>
        <w:rPr>
          <w:rFonts w:hint="eastAsia"/>
        </w:rPr>
        <w:t>误报、漏报和重复报警应进行原因分析，并应优化数据质量、阈值规则或模型参数。</w:t>
      </w:r>
    </w:p>
    <w:p w14:paraId="14FC5331">
      <w:pPr>
        <w:pStyle w:val="105"/>
        <w:spacing w:before="120" w:after="120" w:line="360" w:lineRule="auto"/>
      </w:pPr>
      <w:r>
        <w:rPr>
          <w:rFonts w:hint="eastAsia"/>
        </w:rPr>
        <w:t>巡检养护应用</w:t>
      </w:r>
    </w:p>
    <w:p w14:paraId="1EE6771E">
      <w:pPr>
        <w:pStyle w:val="165"/>
        <w:spacing w:line="360" w:lineRule="auto"/>
      </w:pPr>
      <w:r>
        <w:rPr>
          <w:rFonts w:hint="eastAsia"/>
        </w:rPr>
        <w:t>巡检养护应用应支持巡检计划编制、路线管理、任务派发、移动采集、问题上报、工单处置、复核关闭和统计分析。</w:t>
      </w:r>
    </w:p>
    <w:p w14:paraId="324C6E40">
      <w:pPr>
        <w:pStyle w:val="165"/>
        <w:spacing w:line="360" w:lineRule="auto"/>
      </w:pPr>
      <w:r>
        <w:rPr>
          <w:rFonts w:hint="eastAsia"/>
        </w:rPr>
        <w:t>巡检任务应与工程对象、设备设施、巡检点位和责任人员关联。</w:t>
      </w:r>
    </w:p>
    <w:p w14:paraId="442A2F8B">
      <w:pPr>
        <w:pStyle w:val="165"/>
        <w:spacing w:line="360" w:lineRule="auto"/>
      </w:pPr>
      <w:r>
        <w:rPr>
          <w:rFonts w:hint="eastAsia"/>
        </w:rPr>
        <w:t>巡检记录应包含时间、位置、人员、检查对象、检查内容、照片或视频、问题描述和处理建议。</w:t>
      </w:r>
    </w:p>
    <w:p w14:paraId="3362F63D">
      <w:pPr>
        <w:pStyle w:val="165"/>
        <w:spacing w:line="360" w:lineRule="auto"/>
      </w:pPr>
      <w:r>
        <w:rPr>
          <w:rFonts w:hint="eastAsia"/>
        </w:rPr>
        <w:t>缺陷隐患应建立问题台账，并应按发现、派单、整改、复核、关闭流程管理。</w:t>
      </w:r>
    </w:p>
    <w:p w14:paraId="280F3DAC">
      <w:pPr>
        <w:pStyle w:val="165"/>
        <w:spacing w:line="360" w:lineRule="auto"/>
      </w:pPr>
      <w:r>
        <w:rPr>
          <w:rFonts w:hint="eastAsia"/>
        </w:rPr>
        <w:t>维修养护记录应与设备设施台账和历史故障数据关联，用于分析故障频次、维修成本和设备状态。</w:t>
      </w:r>
    </w:p>
    <w:p w14:paraId="6AD5C757">
      <w:pPr>
        <w:pStyle w:val="105"/>
        <w:spacing w:before="120" w:after="120" w:line="360" w:lineRule="auto"/>
      </w:pPr>
      <w:r>
        <w:rPr>
          <w:rFonts w:hint="eastAsia"/>
        </w:rPr>
        <w:t>应急管理应用</w:t>
      </w:r>
    </w:p>
    <w:p w14:paraId="7C688139">
      <w:pPr>
        <w:pStyle w:val="165"/>
        <w:spacing w:line="360" w:lineRule="auto"/>
      </w:pPr>
      <w:r>
        <w:rPr>
          <w:rFonts w:hint="eastAsia"/>
        </w:rPr>
        <w:t>应急管理应用应接入工程风险点、监测预警、应急预案、物资队伍、通讯录、视频监控、险情信息和处置记录等数据。</w:t>
      </w:r>
    </w:p>
    <w:p w14:paraId="389849AA">
      <w:pPr>
        <w:pStyle w:val="165"/>
        <w:spacing w:line="360" w:lineRule="auto"/>
      </w:pPr>
      <w:r>
        <w:rPr>
          <w:rFonts w:hint="eastAsia"/>
        </w:rPr>
        <w:t>应急事件应建立事件编号，并应记录事件发生时间、位置、类型、等级、影响范围、上报信息、处置措施和关闭结果。</w:t>
      </w:r>
    </w:p>
    <w:p w14:paraId="7DDDCB7B">
      <w:pPr>
        <w:pStyle w:val="165"/>
        <w:spacing w:line="360" w:lineRule="auto"/>
      </w:pPr>
      <w:r>
        <w:rPr>
          <w:rFonts w:hint="eastAsia"/>
        </w:rPr>
        <w:t>应急应用应支持预案调用、资源查询、任务派发、现场信息回传、会商记录和处置过程归档。</w:t>
      </w:r>
    </w:p>
    <w:p w14:paraId="282A810B">
      <w:pPr>
        <w:pStyle w:val="165"/>
        <w:spacing w:line="360" w:lineRule="auto"/>
      </w:pPr>
      <w:r>
        <w:rPr>
          <w:rFonts w:hint="eastAsia"/>
        </w:rPr>
        <w:t>应急物资、抢险队伍、专家信息和联系方式应定期维护，不得使用过期或无法联系的信息作为应急保障数据。</w:t>
      </w:r>
    </w:p>
    <w:p w14:paraId="3BC29F23">
      <w:pPr>
        <w:pStyle w:val="165"/>
        <w:spacing w:line="360" w:lineRule="auto"/>
      </w:pPr>
      <w:r>
        <w:rPr>
          <w:rFonts w:hint="eastAsia"/>
        </w:rPr>
        <w:t>应急事件结束后，应开展数据复盘，形成事件过程、响应效率、处置效果和改进建议。</w:t>
      </w:r>
    </w:p>
    <w:p w14:paraId="5A51AC6C">
      <w:pPr>
        <w:pStyle w:val="105"/>
        <w:spacing w:before="120" w:after="120" w:line="360" w:lineRule="auto"/>
      </w:pPr>
      <w:r>
        <w:rPr>
          <w:rFonts w:hint="eastAsia"/>
        </w:rPr>
        <w:t>统计分析与评价应用</w:t>
      </w:r>
    </w:p>
    <w:p w14:paraId="4FC2E7EA">
      <w:pPr>
        <w:pStyle w:val="165"/>
        <w:spacing w:line="360" w:lineRule="auto"/>
      </w:pPr>
      <w:r>
        <w:rPr>
          <w:rFonts w:hint="eastAsia"/>
        </w:rPr>
        <w:t>统计分析应用应明确统计对象、统计口径、数据来源、计算规则和更新时间。</w:t>
      </w:r>
    </w:p>
    <w:p w14:paraId="79AF4BCA">
      <w:pPr>
        <w:pStyle w:val="165"/>
        <w:spacing w:line="360" w:lineRule="auto"/>
      </w:pPr>
      <w:r>
        <w:rPr>
          <w:rFonts w:hint="eastAsia"/>
        </w:rPr>
        <w:t>统计报表应能追溯至明细数据，不得仅保存不可追溯的汇总结果。</w:t>
      </w:r>
    </w:p>
    <w:p w14:paraId="4E42EC60">
      <w:pPr>
        <w:pStyle w:val="165"/>
        <w:spacing w:line="360" w:lineRule="auto"/>
      </w:pPr>
      <w:r>
        <w:rPr>
          <w:rFonts w:hint="eastAsia"/>
        </w:rPr>
        <w:t>运行评价、养护评价、安全评价和绩效评价应采用经确认的数据指标体系。</w:t>
      </w:r>
    </w:p>
    <w:p w14:paraId="6FDB9DB5">
      <w:pPr>
        <w:pStyle w:val="165"/>
        <w:spacing w:line="360" w:lineRule="auto"/>
      </w:pPr>
      <w:r>
        <w:rPr>
          <w:rFonts w:hint="eastAsia"/>
        </w:rPr>
        <w:t>数据指标变化异常时，应核查数据来源和计算规则，不得直接发布未经核实的统计结果。</w:t>
      </w:r>
    </w:p>
    <w:p w14:paraId="04EA2572">
      <w:pPr>
        <w:pStyle w:val="165"/>
        <w:spacing w:line="360" w:lineRule="auto"/>
      </w:pPr>
      <w:r>
        <w:rPr>
          <w:rFonts w:hint="eastAsia"/>
        </w:rPr>
        <w:t>评价结果应用于工程管理改进、资源配置、维修养护计划和风险防控。</w:t>
      </w:r>
    </w:p>
    <w:p w14:paraId="36E6B9D6">
      <w:pPr>
        <w:pStyle w:val="105"/>
        <w:spacing w:before="120" w:after="120" w:line="360" w:lineRule="auto"/>
      </w:pPr>
      <w:r>
        <w:rPr>
          <w:rFonts w:hint="eastAsia"/>
        </w:rPr>
        <w:t>数据应用闭环</w:t>
      </w:r>
    </w:p>
    <w:p w14:paraId="1A38D22A">
      <w:pPr>
        <w:pStyle w:val="165"/>
        <w:spacing w:line="360" w:lineRule="auto"/>
      </w:pPr>
      <w:r>
        <w:rPr>
          <w:rFonts w:hint="eastAsia"/>
        </w:rPr>
        <w:t>数据应用应形成“数据输入—分析处理—结果输出—业务处置—反馈验证—持续优化”的闭环。</w:t>
      </w:r>
    </w:p>
    <w:p w14:paraId="7975D0F5">
      <w:pPr>
        <w:pStyle w:val="165"/>
        <w:spacing w:line="360" w:lineRule="auto"/>
      </w:pPr>
      <w:r>
        <w:rPr>
          <w:rFonts w:hint="eastAsia"/>
        </w:rPr>
        <w:t>预警、隐患、工单、调度和应急处置等应用事项应设置责任人和时限要求。</w:t>
      </w:r>
    </w:p>
    <w:p w14:paraId="660DE609">
      <w:pPr>
        <w:pStyle w:val="165"/>
        <w:spacing w:line="360" w:lineRule="auto"/>
      </w:pPr>
      <w:r>
        <w:rPr>
          <w:rFonts w:hint="eastAsia"/>
        </w:rPr>
        <w:t>数据应用输出结果需要人工确认的，应保留确认记录。</w:t>
      </w:r>
    </w:p>
    <w:p w14:paraId="0B042402">
      <w:pPr>
        <w:pStyle w:val="165"/>
        <w:spacing w:line="360" w:lineRule="auto"/>
      </w:pPr>
      <w:r>
        <w:rPr>
          <w:rFonts w:hint="eastAsia"/>
        </w:rPr>
        <w:t>数据应用结果未被采用的，应记录原因。长期无业务使用记录的应用，应进行适用性评价。</w:t>
      </w:r>
    </w:p>
    <w:p w14:paraId="6DD2BE5D">
      <w:pPr>
        <w:pStyle w:val="165"/>
        <w:spacing w:line="360" w:lineRule="auto"/>
      </w:pPr>
      <w:r>
        <w:rPr>
          <w:rFonts w:hint="eastAsia"/>
        </w:rPr>
        <w:t>数据应用闭环情况应纳入数据治理评价。</w:t>
      </w:r>
    </w:p>
    <w:p w14:paraId="007CFE0B">
      <w:pPr>
        <w:pStyle w:val="104"/>
        <w:spacing w:before="240" w:after="240" w:line="360" w:lineRule="auto"/>
      </w:pPr>
      <w:bookmarkStart w:id="59" w:name="_Toc228612885"/>
      <w:r>
        <w:rPr>
          <w:rFonts w:hint="eastAsia"/>
        </w:rPr>
        <w:t>系统支撑与运行维护</w:t>
      </w:r>
      <w:bookmarkEnd w:id="59"/>
    </w:p>
    <w:p w14:paraId="01619437">
      <w:pPr>
        <w:pStyle w:val="105"/>
        <w:spacing w:before="120" w:after="120" w:line="360" w:lineRule="auto"/>
      </w:pPr>
      <w:r>
        <w:rPr>
          <w:rFonts w:hint="eastAsia"/>
        </w:rPr>
        <w:t>一般要求</w:t>
      </w:r>
    </w:p>
    <w:p w14:paraId="1BE21E57">
      <w:pPr>
        <w:pStyle w:val="165"/>
        <w:spacing w:line="360" w:lineRule="auto"/>
      </w:pPr>
      <w:r>
        <w:rPr>
          <w:rFonts w:hint="eastAsia"/>
        </w:rPr>
        <w:t>水利工程数字化管理系统应满足数据采集、数据存储、数据处理、数据共享、数据应用、数据安全和运行维护要求。</w:t>
      </w:r>
    </w:p>
    <w:p w14:paraId="7E11483F">
      <w:pPr>
        <w:pStyle w:val="165"/>
        <w:spacing w:line="360" w:lineRule="auto"/>
      </w:pPr>
      <w:r>
        <w:rPr>
          <w:rFonts w:hint="eastAsia"/>
        </w:rPr>
        <w:t>系统建设应与水利工程管理业务流程、数据标准和安全要求同步设计。</w:t>
      </w:r>
    </w:p>
    <w:p w14:paraId="3DB6AD85">
      <w:pPr>
        <w:pStyle w:val="165"/>
        <w:spacing w:line="360" w:lineRule="auto"/>
      </w:pPr>
      <w:r>
        <w:rPr>
          <w:rFonts w:hint="eastAsia"/>
        </w:rPr>
        <w:t>系统应具备稳定性、可用性、扩展性、兼容性、可维护性和安全性。</w:t>
      </w:r>
    </w:p>
    <w:p w14:paraId="358AF2F8">
      <w:pPr>
        <w:pStyle w:val="165"/>
        <w:spacing w:line="360" w:lineRule="auto"/>
      </w:pPr>
      <w:r>
        <w:rPr>
          <w:rFonts w:hint="eastAsia"/>
        </w:rPr>
        <w:t>系统上线前应完成需求确认、功能测试、性能测试、安全测试、数据迁移验证和用户培训。</w:t>
      </w:r>
    </w:p>
    <w:p w14:paraId="11DB262D">
      <w:pPr>
        <w:pStyle w:val="165"/>
        <w:spacing w:line="360" w:lineRule="auto"/>
      </w:pPr>
      <w:r>
        <w:rPr>
          <w:rFonts w:hint="eastAsia"/>
        </w:rPr>
        <w:t>未通过测试和验收的系统不得承载正式生产业务数据。</w:t>
      </w:r>
    </w:p>
    <w:p w14:paraId="00A5365C">
      <w:pPr>
        <w:pStyle w:val="105"/>
        <w:spacing w:before="120" w:after="120" w:line="360" w:lineRule="auto"/>
      </w:pPr>
      <w:r>
        <w:rPr>
          <w:rFonts w:hint="eastAsia"/>
        </w:rPr>
        <w:t>系统功能要求</w:t>
      </w:r>
    </w:p>
    <w:p w14:paraId="265E8025">
      <w:pPr>
        <w:pStyle w:val="165"/>
        <w:spacing w:line="360" w:lineRule="auto"/>
      </w:pPr>
      <w:r>
        <w:rPr>
          <w:rFonts w:hint="eastAsia"/>
        </w:rPr>
        <w:t>系统应支持数据目录管理、主数据管理、数据采集管理、数据质量管理、数据共享管理、数据安全管理和应用管理。</w:t>
      </w:r>
    </w:p>
    <w:p w14:paraId="0CD6569B">
      <w:pPr>
        <w:pStyle w:val="165"/>
        <w:spacing w:line="360" w:lineRule="auto"/>
      </w:pPr>
      <w:r>
        <w:rPr>
          <w:rFonts w:hint="eastAsia"/>
        </w:rPr>
        <w:t>系统应支持工程对象、设备设施、测站测点、空间位置和业务数据的关联查询。</w:t>
      </w:r>
    </w:p>
    <w:p w14:paraId="465EC483">
      <w:pPr>
        <w:pStyle w:val="165"/>
        <w:spacing w:line="360" w:lineRule="auto"/>
      </w:pPr>
      <w:r>
        <w:rPr>
          <w:rFonts w:hint="eastAsia"/>
        </w:rPr>
        <w:t>系统应支持数据质量规则配置、异常数据识别、问题数据标识和整改闭环管理。</w:t>
      </w:r>
    </w:p>
    <w:p w14:paraId="3CE8ADE2">
      <w:pPr>
        <w:pStyle w:val="165"/>
        <w:spacing w:line="360" w:lineRule="auto"/>
      </w:pPr>
      <w:r>
        <w:rPr>
          <w:rFonts w:hint="eastAsia"/>
        </w:rPr>
        <w:t>系统应支持权限配置、日志审计、数据备份、版本管理和数据恢复。</w:t>
      </w:r>
    </w:p>
    <w:p w14:paraId="145B0627">
      <w:pPr>
        <w:pStyle w:val="165"/>
        <w:spacing w:line="360" w:lineRule="auto"/>
      </w:pPr>
      <w:r>
        <w:rPr>
          <w:rFonts w:hint="eastAsia"/>
        </w:rPr>
        <w:t>系统应支持与水利行业相关平台、监测设备、自动化控制系统、视频系统和档案系统进行接口对接。</w:t>
      </w:r>
    </w:p>
    <w:p w14:paraId="5C440B46">
      <w:pPr>
        <w:pStyle w:val="105"/>
        <w:spacing w:before="120" w:after="120" w:line="360" w:lineRule="auto"/>
      </w:pPr>
      <w:r>
        <w:rPr>
          <w:rFonts w:hint="eastAsia"/>
        </w:rPr>
        <w:t>数据库与存储要求</w:t>
      </w:r>
    </w:p>
    <w:p w14:paraId="4D8B8C48">
      <w:pPr>
        <w:pStyle w:val="165"/>
        <w:spacing w:line="360" w:lineRule="auto"/>
      </w:pPr>
      <w:r>
        <w:rPr>
          <w:rFonts w:hint="eastAsia"/>
        </w:rPr>
        <w:t>数据库设计应符合数据标准和业务需求。</w:t>
      </w:r>
    </w:p>
    <w:p w14:paraId="53581AC1">
      <w:pPr>
        <w:pStyle w:val="165"/>
        <w:spacing w:line="360" w:lineRule="auto"/>
      </w:pPr>
      <w:r>
        <w:rPr>
          <w:rFonts w:hint="eastAsia"/>
        </w:rPr>
        <w:t>数据表、字段、索引、约束和关系应清晰定义，不得随意使用无含义字段、重复字段或不可解释编码。</w:t>
      </w:r>
    </w:p>
    <w:p w14:paraId="0F5ECD48">
      <w:pPr>
        <w:pStyle w:val="165"/>
        <w:spacing w:line="360" w:lineRule="auto"/>
      </w:pPr>
      <w:r>
        <w:rPr>
          <w:rFonts w:hint="eastAsia"/>
        </w:rPr>
        <w:t>历史数据、实时数据、空间数据、视频图像数据和档案资料数据应按数据类型采取适宜存储方式。</w:t>
      </w:r>
    </w:p>
    <w:p w14:paraId="6F208C3F">
      <w:pPr>
        <w:pStyle w:val="165"/>
        <w:spacing w:line="360" w:lineRule="auto"/>
      </w:pPr>
      <w:r>
        <w:rPr>
          <w:rFonts w:hint="eastAsia"/>
        </w:rPr>
        <w:t>重要数据表应设置主键、唯一约束、外键关系或其他完整性控制措施。</w:t>
      </w:r>
    </w:p>
    <w:p w14:paraId="031AFAC7">
      <w:pPr>
        <w:pStyle w:val="165"/>
        <w:spacing w:line="360" w:lineRule="auto"/>
      </w:pPr>
      <w:r>
        <w:rPr>
          <w:rFonts w:hint="eastAsia"/>
        </w:rPr>
        <w:t>数据库存储容量、性能和备份能力应满足业务增长需求。</w:t>
      </w:r>
    </w:p>
    <w:p w14:paraId="2B76C298">
      <w:pPr>
        <w:pStyle w:val="105"/>
        <w:spacing w:before="120" w:after="120" w:line="360" w:lineRule="auto"/>
      </w:pPr>
      <w:r>
        <w:rPr>
          <w:rFonts w:hint="eastAsia"/>
        </w:rPr>
        <w:t>系统接口要求</w:t>
      </w:r>
    </w:p>
    <w:p w14:paraId="4A033B47">
      <w:pPr>
        <w:pStyle w:val="165"/>
        <w:spacing w:line="360" w:lineRule="auto"/>
      </w:pPr>
      <w:r>
        <w:rPr>
          <w:rFonts w:hint="eastAsia"/>
        </w:rPr>
        <w:t>系统接口应遵循统一接口规范和数据交换规则。</w:t>
      </w:r>
    </w:p>
    <w:p w14:paraId="7678B04F">
      <w:pPr>
        <w:pStyle w:val="165"/>
        <w:spacing w:line="360" w:lineRule="auto"/>
      </w:pPr>
      <w:r>
        <w:rPr>
          <w:rFonts w:hint="eastAsia"/>
        </w:rPr>
        <w:t>接口应具备身份认证、权限控制、参数校验、错误提示、调用日志和异常处理功能。</w:t>
      </w:r>
    </w:p>
    <w:p w14:paraId="112CE35C">
      <w:pPr>
        <w:pStyle w:val="165"/>
        <w:spacing w:line="360" w:lineRule="auto"/>
      </w:pPr>
      <w:r>
        <w:rPr>
          <w:rFonts w:hint="eastAsia"/>
        </w:rPr>
        <w:t>接口传输数据应符合约定格式，不得随意变更字段名称、字段类型、编码规则和返回结构。</w:t>
      </w:r>
    </w:p>
    <w:p w14:paraId="5E733714">
      <w:pPr>
        <w:pStyle w:val="165"/>
        <w:spacing w:line="360" w:lineRule="auto"/>
      </w:pPr>
      <w:r>
        <w:rPr>
          <w:rFonts w:hint="eastAsia"/>
        </w:rPr>
        <w:t>接口变更应进行版本管理，并应通知受影响系统和数据使用方。</w:t>
      </w:r>
    </w:p>
    <w:p w14:paraId="0F052B5A">
      <w:pPr>
        <w:pStyle w:val="165"/>
        <w:spacing w:line="360" w:lineRule="auto"/>
      </w:pPr>
      <w:r>
        <w:rPr>
          <w:rFonts w:hint="eastAsia"/>
        </w:rPr>
        <w:t>接口异常影响关键业务时，应启动应急处理和数据补传机制。</w:t>
      </w:r>
    </w:p>
    <w:p w14:paraId="0905CB55">
      <w:pPr>
        <w:pStyle w:val="105"/>
        <w:spacing w:before="120" w:after="120" w:line="360" w:lineRule="auto"/>
      </w:pPr>
      <w:r>
        <w:rPr>
          <w:rFonts w:hint="eastAsia"/>
        </w:rPr>
        <w:t>运维管理</w:t>
      </w:r>
    </w:p>
    <w:p w14:paraId="090DA2A2">
      <w:pPr>
        <w:pStyle w:val="165"/>
        <w:spacing w:line="360" w:lineRule="auto"/>
      </w:pPr>
      <w:r>
        <w:rPr>
          <w:rFonts w:hint="eastAsia"/>
        </w:rPr>
        <w:t>水利工程管理单位应建立系统运行维护制度，明确运维范围、运维责任、故障处理、巡检要求、变更管理和应急预案。</w:t>
      </w:r>
    </w:p>
    <w:p w14:paraId="00DB1635">
      <w:pPr>
        <w:pStyle w:val="165"/>
        <w:spacing w:line="360" w:lineRule="auto"/>
      </w:pPr>
      <w:r>
        <w:rPr>
          <w:rFonts w:hint="eastAsia"/>
        </w:rPr>
        <w:t>系统运维应包括服务器、网络、数据库、中间件、应用系统、接口服务、存储备份、终端设备和安全设备维护。</w:t>
      </w:r>
    </w:p>
    <w:p w14:paraId="55B043B6">
      <w:pPr>
        <w:pStyle w:val="165"/>
        <w:spacing w:line="360" w:lineRule="auto"/>
      </w:pPr>
      <w:r>
        <w:rPr>
          <w:rFonts w:hint="eastAsia"/>
        </w:rPr>
        <w:t>运维操作应履行审批程序，并应保留操作记录。</w:t>
      </w:r>
    </w:p>
    <w:p w14:paraId="551D50F3">
      <w:pPr>
        <w:pStyle w:val="165"/>
        <w:spacing w:line="360" w:lineRule="auto"/>
      </w:pPr>
      <w:r>
        <w:rPr>
          <w:rFonts w:hint="eastAsia"/>
        </w:rPr>
        <w:t>重要系统变更、版本升级、数据迁移和配置调整应先测试验证，后正式实施。</w:t>
      </w:r>
    </w:p>
    <w:p w14:paraId="43CCE151">
      <w:pPr>
        <w:pStyle w:val="165"/>
        <w:spacing w:line="360" w:lineRule="auto"/>
      </w:pPr>
      <w:r>
        <w:rPr>
          <w:rFonts w:hint="eastAsia"/>
        </w:rPr>
        <w:t>运维过程中不得擅自修改业务数据、删除日志或关闭安全策略。</w:t>
      </w:r>
    </w:p>
    <w:p w14:paraId="73CC9872">
      <w:pPr>
        <w:pStyle w:val="105"/>
        <w:spacing w:before="120" w:after="120" w:line="360" w:lineRule="auto"/>
      </w:pPr>
      <w:r>
        <w:rPr>
          <w:rFonts w:hint="eastAsia"/>
        </w:rPr>
        <w:t>故障处理</w:t>
      </w:r>
    </w:p>
    <w:p w14:paraId="4D41EA2D">
      <w:pPr>
        <w:pStyle w:val="165"/>
        <w:spacing w:line="360" w:lineRule="auto"/>
      </w:pPr>
      <w:r>
        <w:rPr>
          <w:rFonts w:hint="eastAsia"/>
        </w:rPr>
        <w:t>系统故障应按照影响范围和业务重要程度分级处置。</w:t>
      </w:r>
    </w:p>
    <w:p w14:paraId="45896F7A">
      <w:pPr>
        <w:pStyle w:val="165"/>
        <w:spacing w:line="360" w:lineRule="auto"/>
      </w:pPr>
      <w:r>
        <w:rPr>
          <w:rFonts w:hint="eastAsia"/>
        </w:rPr>
        <w:t>影响调度运行、安全监测、风险预警和应急处置的故障，应优先处理。</w:t>
      </w:r>
    </w:p>
    <w:p w14:paraId="73BCC969">
      <w:pPr>
        <w:pStyle w:val="165"/>
        <w:spacing w:line="360" w:lineRule="auto"/>
      </w:pPr>
      <w:r>
        <w:rPr>
          <w:rFonts w:hint="eastAsia"/>
        </w:rPr>
        <w:t>故障处理应记录故障时间、故障现象、影响范围、处置过程、恢复时间、责任人员和原因分析。</w:t>
      </w:r>
    </w:p>
    <w:p w14:paraId="6DFD517E">
      <w:pPr>
        <w:pStyle w:val="165"/>
        <w:spacing w:line="360" w:lineRule="auto"/>
      </w:pPr>
      <w:r>
        <w:rPr>
          <w:rFonts w:hint="eastAsia"/>
        </w:rPr>
        <w:t>故障导致数据缺失、延迟、重复或错误的，应补充开展数据核查和修复。</w:t>
      </w:r>
    </w:p>
    <w:p w14:paraId="7DE4E0E9">
      <w:pPr>
        <w:pStyle w:val="165"/>
        <w:spacing w:line="360" w:lineRule="auto"/>
      </w:pPr>
      <w:r>
        <w:rPr>
          <w:rFonts w:hint="eastAsia"/>
        </w:rPr>
        <w:t>重大故障处理完成后，应开展复盘分析，并应提出预防措施。</w:t>
      </w:r>
    </w:p>
    <w:p w14:paraId="0959E4AF">
      <w:pPr>
        <w:pStyle w:val="105"/>
        <w:spacing w:before="120" w:after="120" w:line="360" w:lineRule="auto"/>
      </w:pPr>
      <w:r>
        <w:rPr>
          <w:rFonts w:hint="eastAsia"/>
        </w:rPr>
        <w:t>系统验收</w:t>
      </w:r>
    </w:p>
    <w:p w14:paraId="123FEAC4">
      <w:pPr>
        <w:pStyle w:val="165"/>
        <w:spacing w:line="360" w:lineRule="auto"/>
      </w:pPr>
      <w:r>
        <w:rPr>
          <w:rFonts w:hint="eastAsia"/>
        </w:rPr>
        <w:t>系统验收应包括功能验收、数据验收、性能验收、安全验收、接口验收和文档验收。</w:t>
      </w:r>
    </w:p>
    <w:p w14:paraId="5322FC56">
      <w:pPr>
        <w:pStyle w:val="165"/>
        <w:spacing w:line="360" w:lineRule="auto"/>
      </w:pPr>
      <w:r>
        <w:rPr>
          <w:rFonts w:hint="eastAsia"/>
        </w:rPr>
        <w:t>数据验收应检查数据资源目录、主数据、历史数据迁移、数据质量规则、数据共享接口和数据追溯能力。</w:t>
      </w:r>
    </w:p>
    <w:p w14:paraId="673FF6AA">
      <w:pPr>
        <w:pStyle w:val="165"/>
        <w:spacing w:line="360" w:lineRule="auto"/>
      </w:pPr>
      <w:r>
        <w:rPr>
          <w:rFonts w:hint="eastAsia"/>
        </w:rPr>
        <w:t>接口验收应检查接口连通性、数据格式、传输频率、错误处理和日志记录。</w:t>
      </w:r>
    </w:p>
    <w:p w14:paraId="00684A68">
      <w:pPr>
        <w:pStyle w:val="165"/>
        <w:spacing w:line="360" w:lineRule="auto"/>
      </w:pPr>
      <w:r>
        <w:rPr>
          <w:rFonts w:hint="eastAsia"/>
        </w:rPr>
        <w:t>安全验收应检查账号权限、访问控制、日志审计、备份恢复和安全防护措施。</w:t>
      </w:r>
    </w:p>
    <w:p w14:paraId="2C89823B">
      <w:pPr>
        <w:pStyle w:val="165"/>
        <w:spacing w:line="360" w:lineRule="auto"/>
      </w:pPr>
      <w:r>
        <w:rPr>
          <w:rFonts w:hint="eastAsia"/>
        </w:rPr>
        <w:t>验收未通过的问题应整改完成并复核后方可投入正式运行。</w:t>
      </w:r>
    </w:p>
    <w:p w14:paraId="442C7436">
      <w:pPr>
        <w:pStyle w:val="165"/>
        <w:numPr>
          <w:ilvl w:val="0"/>
          <w:numId w:val="0"/>
        </w:numPr>
        <w:spacing w:line="360" w:lineRule="auto"/>
        <w:rPr>
          <w:rFonts w:hint="eastAsia"/>
        </w:rPr>
      </w:pPr>
    </w:p>
    <w:p w14:paraId="226690C2">
      <w:pPr>
        <w:pStyle w:val="104"/>
        <w:spacing w:before="240" w:after="240" w:line="360" w:lineRule="auto"/>
      </w:pPr>
      <w:bookmarkStart w:id="60" w:name="_Toc228612886"/>
      <w:r>
        <w:rPr>
          <w:rFonts w:hint="eastAsia"/>
        </w:rPr>
        <w:t>评价与持续改进</w:t>
      </w:r>
      <w:bookmarkEnd w:id="60"/>
    </w:p>
    <w:p w14:paraId="2321A5C5">
      <w:pPr>
        <w:pStyle w:val="105"/>
        <w:spacing w:before="120" w:after="120" w:line="360" w:lineRule="auto"/>
      </w:pPr>
      <w:r>
        <w:rPr>
          <w:rFonts w:hint="eastAsia"/>
        </w:rPr>
        <w:t>一般要求</w:t>
      </w:r>
    </w:p>
    <w:p w14:paraId="48CE2EDC">
      <w:pPr>
        <w:pStyle w:val="165"/>
        <w:spacing w:line="360" w:lineRule="auto"/>
      </w:pPr>
      <w:r>
        <w:rPr>
          <w:rFonts w:hint="eastAsia"/>
        </w:rPr>
        <w:t>水利工程管理单位应定期对数据治理与应用效果进行评价。</w:t>
      </w:r>
    </w:p>
    <w:p w14:paraId="7E2858ED">
      <w:pPr>
        <w:pStyle w:val="165"/>
        <w:spacing w:line="360" w:lineRule="auto"/>
      </w:pPr>
      <w:r>
        <w:rPr>
          <w:rFonts w:hint="eastAsia"/>
        </w:rPr>
        <w:t>评价内容应包括组织机制、制度执行、数据资源管理、数据标准执行、数据质量、数据共享、数据安全、数据应用和运维保障。</w:t>
      </w:r>
    </w:p>
    <w:p w14:paraId="2F62775F">
      <w:pPr>
        <w:pStyle w:val="165"/>
        <w:spacing w:line="360" w:lineRule="auto"/>
      </w:pPr>
      <w:r>
        <w:rPr>
          <w:rFonts w:hint="eastAsia"/>
        </w:rPr>
        <w:t>评价结果应形成报告，并应作为数据治理改进、系统优化和管理决策的依据。</w:t>
      </w:r>
    </w:p>
    <w:p w14:paraId="26B64E82">
      <w:pPr>
        <w:pStyle w:val="165"/>
        <w:spacing w:line="360" w:lineRule="auto"/>
      </w:pPr>
      <w:r>
        <w:rPr>
          <w:rFonts w:hint="eastAsia"/>
        </w:rPr>
        <w:t>评价发现的问题应制定整改措施，明确责任部门、整改期限和验证方式。</w:t>
      </w:r>
    </w:p>
    <w:p w14:paraId="70848416">
      <w:pPr>
        <w:pStyle w:val="165"/>
        <w:spacing w:line="360" w:lineRule="auto"/>
      </w:pPr>
      <w:r>
        <w:rPr>
          <w:rFonts w:hint="eastAsia"/>
        </w:rPr>
        <w:t>水利工程数字化管理数据治理评价指标可参照附录A。</w:t>
      </w:r>
    </w:p>
    <w:p w14:paraId="04CD4FA8">
      <w:pPr>
        <w:pStyle w:val="105"/>
        <w:spacing w:before="120" w:after="120" w:line="360" w:lineRule="auto"/>
      </w:pPr>
      <w:r>
        <w:rPr>
          <w:rFonts w:hint="eastAsia"/>
        </w:rPr>
        <w:t>评价内容</w:t>
      </w:r>
    </w:p>
    <w:p w14:paraId="606696DF">
      <w:pPr>
        <w:pStyle w:val="165"/>
        <w:spacing w:line="360" w:lineRule="auto"/>
      </w:pPr>
      <w:r>
        <w:rPr>
          <w:rFonts w:hint="eastAsia"/>
        </w:rPr>
        <w:t>组织机制评价应检查数据治理组织、岗位职责、制度流程、培训授权和责任落实情况。</w:t>
      </w:r>
    </w:p>
    <w:p w14:paraId="3301787A">
      <w:pPr>
        <w:pStyle w:val="165"/>
        <w:spacing w:line="360" w:lineRule="auto"/>
      </w:pPr>
      <w:r>
        <w:rPr>
          <w:rFonts w:hint="eastAsia"/>
        </w:rPr>
        <w:t>数据资源评价应检查数据资源目录完整性、主数据一致性、元数据规范性、数据台账准确性和数据资源盘点情况。</w:t>
      </w:r>
    </w:p>
    <w:p w14:paraId="3CB4F982">
      <w:pPr>
        <w:pStyle w:val="165"/>
        <w:spacing w:line="360" w:lineRule="auto"/>
      </w:pPr>
      <w:r>
        <w:rPr>
          <w:rFonts w:hint="eastAsia"/>
        </w:rPr>
        <w:t>数据质量评价应检查数据完整性、准确性、一致性、及时性、唯一性、有效性、可追溯性和可用性。</w:t>
      </w:r>
    </w:p>
    <w:p w14:paraId="4FB1DBD6">
      <w:pPr>
        <w:pStyle w:val="165"/>
        <w:spacing w:line="360" w:lineRule="auto"/>
      </w:pPr>
      <w:r>
        <w:rPr>
          <w:rFonts w:hint="eastAsia"/>
        </w:rPr>
        <w:t>数据共享评价应检查共享目录、共享接口、共享审批、共享日志、共享安全和共享效果。</w:t>
      </w:r>
    </w:p>
    <w:p w14:paraId="6F732C37">
      <w:pPr>
        <w:pStyle w:val="165"/>
        <w:spacing w:line="360" w:lineRule="auto"/>
      </w:pPr>
      <w:r>
        <w:rPr>
          <w:rFonts w:hint="eastAsia"/>
        </w:rPr>
        <w:t>数据安全评价应检查分类分级、权限控制、传输安全、存储备份、安全审计和事件处置情况。</w:t>
      </w:r>
    </w:p>
    <w:p w14:paraId="74B27CC9">
      <w:pPr>
        <w:pStyle w:val="165"/>
        <w:spacing w:line="360" w:lineRule="auto"/>
      </w:pPr>
      <w:r>
        <w:rPr>
          <w:rFonts w:hint="eastAsia"/>
        </w:rPr>
        <w:t>数据应用评价应检查应用场景覆盖、业务闭环、输出有效性、用户使用情况和管理成效。</w:t>
      </w:r>
    </w:p>
    <w:p w14:paraId="48B8AAA9">
      <w:pPr>
        <w:pStyle w:val="165"/>
        <w:spacing w:line="360" w:lineRule="auto"/>
      </w:pPr>
      <w:r>
        <w:rPr>
          <w:rFonts w:hint="eastAsia"/>
        </w:rPr>
        <w:t>运维保障评价应检查系统可用性、故障处置、接口稳定性、备份恢复、文档管理和服务响应情况。</w:t>
      </w:r>
    </w:p>
    <w:p w14:paraId="66AEA7A4">
      <w:pPr>
        <w:pStyle w:val="105"/>
        <w:spacing w:before="120" w:after="120" w:line="360" w:lineRule="auto"/>
      </w:pPr>
      <w:r>
        <w:rPr>
          <w:rFonts w:hint="eastAsia"/>
        </w:rPr>
        <w:t>评价频次</w:t>
      </w:r>
    </w:p>
    <w:p w14:paraId="30F8FF67">
      <w:pPr>
        <w:pStyle w:val="165"/>
        <w:spacing w:line="360" w:lineRule="auto"/>
      </w:pPr>
      <w:r>
        <w:rPr>
          <w:rFonts w:hint="eastAsia"/>
        </w:rPr>
        <w:t>数据治理与应用综合评价每年不宜少于一次。</w:t>
      </w:r>
    </w:p>
    <w:p w14:paraId="307AABB3">
      <w:pPr>
        <w:pStyle w:val="165"/>
        <w:spacing w:line="360" w:lineRule="auto"/>
      </w:pPr>
      <w:r>
        <w:rPr>
          <w:rFonts w:hint="eastAsia"/>
        </w:rPr>
        <w:t>发生重大系统升级、数据迁移、业务流程调整、数据安全事件或重大工程运行风险事件后，应开展专项评价。</w:t>
      </w:r>
    </w:p>
    <w:p w14:paraId="11F3D238">
      <w:pPr>
        <w:pStyle w:val="165"/>
        <w:spacing w:line="360" w:lineRule="auto"/>
      </w:pPr>
      <w:r>
        <w:rPr>
          <w:rFonts w:hint="eastAsia"/>
        </w:rPr>
        <w:t>对工程安全监测、调度运行、风险预警和应急管理等关键应用，应提高评价频次。</w:t>
      </w:r>
    </w:p>
    <w:p w14:paraId="5E1AEB8B">
      <w:pPr>
        <w:pStyle w:val="165"/>
        <w:spacing w:line="360" w:lineRule="auto"/>
      </w:pPr>
      <w:r>
        <w:rPr>
          <w:rFonts w:hint="eastAsia"/>
        </w:rPr>
        <w:t>数据质量问题反复发生的业务领域，应开展专项治理评价。</w:t>
      </w:r>
    </w:p>
    <w:p w14:paraId="0F079FB1">
      <w:pPr>
        <w:pStyle w:val="105"/>
        <w:spacing w:before="120" w:after="120" w:line="360" w:lineRule="auto"/>
      </w:pPr>
      <w:r>
        <w:rPr>
          <w:rFonts w:hint="eastAsia"/>
        </w:rPr>
        <w:t>评价方法</w:t>
      </w:r>
    </w:p>
    <w:p w14:paraId="5A3C2495">
      <w:pPr>
        <w:pStyle w:val="165"/>
        <w:spacing w:line="360" w:lineRule="auto"/>
      </w:pPr>
      <w:r>
        <w:rPr>
          <w:rFonts w:hint="eastAsia"/>
        </w:rPr>
        <w:t>评价可采用资料核查、系统检查、数据抽样、接口测试、用户访谈、业务复盘和现场核验等方法。</w:t>
      </w:r>
    </w:p>
    <w:p w14:paraId="4E873554">
      <w:pPr>
        <w:pStyle w:val="165"/>
        <w:spacing w:line="360" w:lineRule="auto"/>
      </w:pPr>
      <w:r>
        <w:rPr>
          <w:rFonts w:hint="eastAsia"/>
        </w:rPr>
        <w:t>数据抽样应覆盖不同数据类别、不同业务系统、不同时间范围和不同责任部门。</w:t>
      </w:r>
    </w:p>
    <w:p w14:paraId="42721D01">
      <w:pPr>
        <w:pStyle w:val="165"/>
        <w:spacing w:line="360" w:lineRule="auto"/>
      </w:pPr>
      <w:r>
        <w:rPr>
          <w:rFonts w:hint="eastAsia"/>
        </w:rPr>
        <w:t>系统检查应核查功能配置、权限配置、日志记录、数据质量规则、接口运行和备份状态。</w:t>
      </w:r>
    </w:p>
    <w:p w14:paraId="67D2C3F6">
      <w:pPr>
        <w:pStyle w:val="165"/>
        <w:spacing w:line="360" w:lineRule="auto"/>
      </w:pPr>
      <w:r>
        <w:rPr>
          <w:rFonts w:hint="eastAsia"/>
        </w:rPr>
        <w:t>业务复盘应检查数据应用是否支撑实际管理决策和业务闭环。</w:t>
      </w:r>
    </w:p>
    <w:p w14:paraId="7BFC33AD">
      <w:pPr>
        <w:pStyle w:val="165"/>
        <w:spacing w:line="360" w:lineRule="auto"/>
      </w:pPr>
      <w:r>
        <w:rPr>
          <w:rFonts w:hint="eastAsia"/>
        </w:rPr>
        <w:t>评价过程应形成记录，评价结论应有依据。</w:t>
      </w:r>
    </w:p>
    <w:p w14:paraId="5756A51B">
      <w:pPr>
        <w:pStyle w:val="105"/>
        <w:spacing w:before="120" w:after="120" w:line="360" w:lineRule="auto"/>
      </w:pPr>
      <w:r>
        <w:rPr>
          <w:rFonts w:hint="eastAsia"/>
        </w:rPr>
        <w:t>持续改进</w:t>
      </w:r>
    </w:p>
    <w:p w14:paraId="1A4A3705">
      <w:pPr>
        <w:pStyle w:val="165"/>
        <w:spacing w:line="360" w:lineRule="auto"/>
      </w:pPr>
      <w:r>
        <w:rPr>
          <w:rFonts w:hint="eastAsia"/>
        </w:rPr>
        <w:t>水利工程管理单位应根据评价结果建立持续改进清单。</w:t>
      </w:r>
    </w:p>
    <w:p w14:paraId="676593F9">
      <w:pPr>
        <w:pStyle w:val="165"/>
        <w:spacing w:line="360" w:lineRule="auto"/>
      </w:pPr>
      <w:r>
        <w:rPr>
          <w:rFonts w:hint="eastAsia"/>
        </w:rPr>
        <w:t>持续改进内容应包括数据标准完善、数据质量提升、接口优化、系统功能完善、应用场景优化、安全加固和人员培训。</w:t>
      </w:r>
    </w:p>
    <w:p w14:paraId="4D1905A0">
      <w:pPr>
        <w:pStyle w:val="165"/>
        <w:spacing w:line="360" w:lineRule="auto"/>
      </w:pPr>
      <w:r>
        <w:rPr>
          <w:rFonts w:hint="eastAsia"/>
        </w:rPr>
        <w:t>对重复发生的数据质量问题，应开展根因分析，并应采取制度、流程、系统或人员能力方面的改进措施。</w:t>
      </w:r>
    </w:p>
    <w:p w14:paraId="2EB8612F">
      <w:pPr>
        <w:pStyle w:val="165"/>
        <w:spacing w:line="360" w:lineRule="auto"/>
      </w:pPr>
      <w:r>
        <w:rPr>
          <w:rFonts w:hint="eastAsia"/>
        </w:rPr>
        <w:t>改进措施完成后应进行效果验证。未达到预期效果的，应重新制定整改措施。</w:t>
      </w:r>
    </w:p>
    <w:p w14:paraId="1038DB7D">
      <w:pPr>
        <w:pStyle w:val="165"/>
        <w:spacing w:line="360" w:lineRule="auto"/>
      </w:pPr>
      <w:r>
        <w:rPr>
          <w:rFonts w:hint="eastAsia"/>
        </w:rPr>
        <w:t>数据治理改进成果应及时固化为制度、标准、系统配置、操作手册或培训材料。</w:t>
      </w:r>
    </w:p>
    <w:p w14:paraId="37D43D4F">
      <w:pPr>
        <w:pStyle w:val="104"/>
        <w:spacing w:before="240" w:after="240" w:line="360" w:lineRule="auto"/>
      </w:pPr>
      <w:bookmarkStart w:id="61" w:name="_Toc228612887"/>
      <w:r>
        <w:rPr>
          <w:rFonts w:hint="eastAsia"/>
        </w:rPr>
        <w:t>资料归档</w:t>
      </w:r>
      <w:bookmarkEnd w:id="61"/>
    </w:p>
    <w:p w14:paraId="3BBF3972">
      <w:pPr>
        <w:pStyle w:val="105"/>
        <w:spacing w:before="120" w:after="120" w:line="360" w:lineRule="auto"/>
      </w:pPr>
      <w:r>
        <w:rPr>
          <w:rFonts w:hint="eastAsia"/>
        </w:rPr>
        <w:t>一般要求</w:t>
      </w:r>
    </w:p>
    <w:p w14:paraId="053011B3">
      <w:pPr>
        <w:pStyle w:val="165"/>
        <w:spacing w:line="360" w:lineRule="auto"/>
      </w:pPr>
      <w:r>
        <w:rPr>
          <w:rFonts w:hint="eastAsia"/>
        </w:rPr>
        <w:t>水利工程数字化管理数据治理与应用资料应按数据治理阶段、业务领域和系统项目分类归档。</w:t>
      </w:r>
    </w:p>
    <w:p w14:paraId="16D7D473">
      <w:pPr>
        <w:pStyle w:val="165"/>
        <w:spacing w:line="360" w:lineRule="auto"/>
      </w:pPr>
      <w:r>
        <w:rPr>
          <w:rFonts w:hint="eastAsia"/>
        </w:rPr>
        <w:t>归档资料应真实、完整、清晰、有效、可读取和可追溯。</w:t>
      </w:r>
    </w:p>
    <w:p w14:paraId="5A444C75">
      <w:pPr>
        <w:pStyle w:val="165"/>
        <w:spacing w:line="360" w:lineRule="auto"/>
      </w:pPr>
      <w:r>
        <w:rPr>
          <w:rFonts w:hint="eastAsia"/>
        </w:rPr>
        <w:t>纸质资料和电子资料应建立对应关系。电子资料应采用稳定、通用、可长期读取的格式保存。</w:t>
      </w:r>
    </w:p>
    <w:p w14:paraId="766E5305">
      <w:pPr>
        <w:pStyle w:val="165"/>
        <w:spacing w:line="360" w:lineRule="auto"/>
      </w:pPr>
      <w:r>
        <w:rPr>
          <w:rFonts w:hint="eastAsia"/>
        </w:rPr>
        <w:t>归档资料不得擅自删除、替换、损毁或外传。</w:t>
      </w:r>
    </w:p>
    <w:p w14:paraId="533C618D">
      <w:pPr>
        <w:pStyle w:val="165"/>
        <w:spacing w:line="360" w:lineRule="auto"/>
      </w:pPr>
      <w:r>
        <w:rPr>
          <w:rFonts w:hint="eastAsia"/>
        </w:rPr>
        <w:t>资料归档、查阅、复制、移交和销毁应履行审批程序并保留记录。</w:t>
      </w:r>
    </w:p>
    <w:p w14:paraId="4E108210">
      <w:pPr>
        <w:pStyle w:val="105"/>
        <w:spacing w:before="120" w:after="120" w:line="360" w:lineRule="auto"/>
      </w:pPr>
      <w:r>
        <w:rPr>
          <w:rFonts w:hint="eastAsia"/>
        </w:rPr>
        <w:t>归档内容</w:t>
      </w:r>
    </w:p>
    <w:p w14:paraId="2A2DE209">
      <w:pPr>
        <w:pStyle w:val="165"/>
        <w:spacing w:line="360" w:lineRule="auto"/>
      </w:pPr>
      <w:r>
        <w:rPr>
          <w:rFonts w:hint="eastAsia"/>
        </w:rPr>
        <w:t>数据资源管理资料应包括数据资源目录、数据共享目录、主数据清单、元数据清单、数据台账和数据资源盘点报告。</w:t>
      </w:r>
    </w:p>
    <w:p w14:paraId="21EEF36C">
      <w:pPr>
        <w:pStyle w:val="165"/>
        <w:spacing w:line="360" w:lineRule="auto"/>
      </w:pPr>
      <w:r>
        <w:rPr>
          <w:rFonts w:hint="eastAsia"/>
        </w:rPr>
        <w:t>数据标准资料应包括数据分类规则、编码规则、数据元标准、接口规范、数据质量规则和版本变更记录。</w:t>
      </w:r>
    </w:p>
    <w:p w14:paraId="1B0D6795">
      <w:pPr>
        <w:pStyle w:val="165"/>
        <w:spacing w:line="360" w:lineRule="auto"/>
      </w:pPr>
      <w:r>
        <w:rPr>
          <w:rFonts w:hint="eastAsia"/>
        </w:rPr>
        <w:t>数据采集与质量控制资料应包括采集方案、采集记录、数据校验记录、问题数据台账、整改记录和质量评价报告。</w:t>
      </w:r>
    </w:p>
    <w:p w14:paraId="279A9D69">
      <w:pPr>
        <w:pStyle w:val="165"/>
        <w:spacing w:line="360" w:lineRule="auto"/>
      </w:pPr>
      <w:r>
        <w:rPr>
          <w:rFonts w:hint="eastAsia"/>
        </w:rPr>
        <w:t>数据共享与融合资料应包括共享审批记录、接口文档、接口测试记录、共享日志、融合规则和输出成果记录。</w:t>
      </w:r>
    </w:p>
    <w:p w14:paraId="11941728">
      <w:pPr>
        <w:pStyle w:val="165"/>
        <w:spacing w:line="360" w:lineRule="auto"/>
      </w:pPr>
      <w:r>
        <w:rPr>
          <w:rFonts w:hint="eastAsia"/>
        </w:rPr>
        <w:t>数据安全资料应包括分类分级清单、权限审批记录、安全审计记录、备份恢复记录、安全事件处置记录和第三方服务协议。</w:t>
      </w:r>
    </w:p>
    <w:p w14:paraId="03A44A78">
      <w:pPr>
        <w:pStyle w:val="165"/>
        <w:spacing w:line="360" w:lineRule="auto"/>
      </w:pPr>
      <w:r>
        <w:rPr>
          <w:rFonts w:hint="eastAsia"/>
        </w:rPr>
        <w:t>数据应用资料应包括应用需求说明、模型规则、应用配置、输出成果、业务处置记录、应用评价和优化记录。</w:t>
      </w:r>
    </w:p>
    <w:p w14:paraId="613F20A8">
      <w:pPr>
        <w:pStyle w:val="165"/>
        <w:spacing w:line="360" w:lineRule="auto"/>
      </w:pPr>
      <w:r>
        <w:rPr>
          <w:rFonts w:hint="eastAsia"/>
        </w:rPr>
        <w:t>系统建设与运维资料应包括需求规格说明、设计文件、测试报告、验收报告、运维记录、故障记录、变更记录和培训资料。</w:t>
      </w:r>
    </w:p>
    <w:p w14:paraId="73713AE7">
      <w:pPr>
        <w:pStyle w:val="105"/>
        <w:spacing w:before="120" w:after="120" w:line="360" w:lineRule="auto"/>
      </w:pPr>
      <w:r>
        <w:rPr>
          <w:rFonts w:hint="eastAsia"/>
        </w:rPr>
        <w:t>电子归档</w:t>
      </w:r>
    </w:p>
    <w:p w14:paraId="0DDDEEC5">
      <w:pPr>
        <w:pStyle w:val="165"/>
        <w:spacing w:line="360" w:lineRule="auto"/>
      </w:pPr>
      <w:r>
        <w:rPr>
          <w:rFonts w:hint="eastAsia"/>
        </w:rPr>
        <w:t>电子归档资料应建立目录、编号、版本和访问权限。</w:t>
      </w:r>
    </w:p>
    <w:p w14:paraId="0F5A81EF">
      <w:pPr>
        <w:pStyle w:val="165"/>
        <w:spacing w:line="360" w:lineRule="auto"/>
      </w:pPr>
      <w:r>
        <w:rPr>
          <w:rFonts w:hint="eastAsia"/>
        </w:rPr>
        <w:t>电子归档资料应保证文件完整、格式可读、链接有效和附件齐全。</w:t>
      </w:r>
    </w:p>
    <w:p w14:paraId="4E79EEB0">
      <w:pPr>
        <w:pStyle w:val="165"/>
        <w:spacing w:line="360" w:lineRule="auto"/>
      </w:pPr>
      <w:r>
        <w:rPr>
          <w:rFonts w:hint="eastAsia"/>
        </w:rPr>
        <w:t>电子归档资料应定期备份，并应开展可读取性验证。</w:t>
      </w:r>
    </w:p>
    <w:p w14:paraId="7DB169B7">
      <w:pPr>
        <w:pStyle w:val="165"/>
        <w:spacing w:line="360" w:lineRule="auto"/>
      </w:pPr>
      <w:r>
        <w:rPr>
          <w:rFonts w:hint="eastAsia"/>
        </w:rPr>
        <w:t>系统迁移、平台升级或存储介质更换时，应同步迁移归档资料，并应验证迁移完整性。</w:t>
      </w:r>
    </w:p>
    <w:p w14:paraId="782DB515">
      <w:pPr>
        <w:pStyle w:val="165"/>
        <w:spacing w:line="360" w:lineRule="auto"/>
      </w:pPr>
      <w:r>
        <w:rPr>
          <w:rFonts w:hint="eastAsia"/>
        </w:rPr>
        <w:t>电子资料归档后需要修改的，应按变更程序办理，不得直接覆盖原归档文件。</w:t>
      </w:r>
    </w:p>
    <w:p w14:paraId="7AB8EEF3">
      <w:pPr>
        <w:pStyle w:val="105"/>
        <w:spacing w:before="120" w:after="120" w:line="360" w:lineRule="auto"/>
      </w:pPr>
      <w:r>
        <w:rPr>
          <w:rFonts w:hint="eastAsia"/>
        </w:rPr>
        <w:t>保存期限与销毁</w:t>
      </w:r>
    </w:p>
    <w:p w14:paraId="43A6E3D0">
      <w:pPr>
        <w:pStyle w:val="165"/>
        <w:spacing w:line="360" w:lineRule="auto"/>
      </w:pPr>
      <w:r>
        <w:rPr>
          <w:rFonts w:hint="eastAsia"/>
        </w:rPr>
        <w:t>数据治理与应用资料保存期限应满足工程运行管理、档案管理、监督检查、责任追溯和法律法规要求。</w:t>
      </w:r>
    </w:p>
    <w:p w14:paraId="319D026E">
      <w:pPr>
        <w:pStyle w:val="165"/>
        <w:spacing w:line="360" w:lineRule="auto"/>
      </w:pPr>
      <w:r>
        <w:rPr>
          <w:rFonts w:hint="eastAsia"/>
        </w:rPr>
        <w:t>涉及工程安全、调度运行、险情处置、重大维修、事故调查和重要决策的数据资料，应按较长期限保存。</w:t>
      </w:r>
    </w:p>
    <w:p w14:paraId="2A8E5007">
      <w:pPr>
        <w:pStyle w:val="165"/>
        <w:spacing w:line="360" w:lineRule="auto"/>
      </w:pPr>
      <w:r>
        <w:rPr>
          <w:rFonts w:hint="eastAsia"/>
        </w:rPr>
        <w:t>保存期满需要销毁的资料，应进行鉴定和审批。</w:t>
      </w:r>
    </w:p>
    <w:p w14:paraId="2835F500">
      <w:pPr>
        <w:pStyle w:val="165"/>
        <w:spacing w:line="360" w:lineRule="auto"/>
      </w:pPr>
      <w:r>
        <w:rPr>
          <w:rFonts w:hint="eastAsia"/>
        </w:rPr>
        <w:t>电子资料销毁应采取不可恢复删除或介质销毁措施，并应形成销毁记录。</w:t>
      </w:r>
    </w:p>
    <w:p w14:paraId="5A88BAAD">
      <w:pPr>
        <w:pStyle w:val="165"/>
        <w:spacing w:line="360" w:lineRule="auto"/>
      </w:pPr>
      <w:r>
        <w:rPr>
          <w:rFonts w:hint="eastAsia"/>
        </w:rPr>
        <w:t>正在用于争议处理、审计检查、事故调查或监管核查的资料不得销毁。</w:t>
      </w:r>
    </w:p>
    <w:p w14:paraId="0D02791C">
      <w:pPr>
        <w:pStyle w:val="165"/>
        <w:sectPr>
          <w:headerReference r:id="rId23" w:type="default"/>
          <w:footerReference r:id="rId25" w:type="default"/>
          <w:headerReference r:id="rId24" w:type="even"/>
          <w:footerReference r:id="rId26" w:type="even"/>
          <w:pgSz w:w="11906" w:h="16838"/>
          <w:pgMar w:top="1928" w:right="1134" w:bottom="1134" w:left="1134" w:header="1418" w:footer="1134" w:gutter="284"/>
          <w:pgNumType w:start="1"/>
          <w:cols w:space="425" w:num="1"/>
          <w:formProt w:val="0"/>
          <w:docGrid w:linePitch="312" w:charSpace="0"/>
        </w:sectPr>
      </w:pPr>
    </w:p>
    <w:bookmarkEnd w:id="26"/>
    <w:p w14:paraId="4649B789">
      <w:pPr>
        <w:pStyle w:val="198"/>
        <w:rPr>
          <w:rFonts w:hint="eastAsia"/>
        </w:rPr>
      </w:pPr>
      <w:bookmarkStart w:id="62" w:name="BookMark5"/>
    </w:p>
    <w:p w14:paraId="2CCFB03B">
      <w:pPr>
        <w:pStyle w:val="199"/>
      </w:pPr>
    </w:p>
    <w:p w14:paraId="02226BC9">
      <w:pPr>
        <w:pStyle w:val="76"/>
        <w:spacing w:after="120" w:line="360" w:lineRule="auto"/>
      </w:pPr>
      <w:r>
        <w:br w:type="textWrapping"/>
      </w:r>
      <w:bookmarkStart w:id="63" w:name="_Toc228612888"/>
      <w:r>
        <w:rPr>
          <w:rFonts w:hint="eastAsia"/>
        </w:rPr>
        <w:t>（资料性）</w:t>
      </w:r>
      <w:r>
        <w:br w:type="textWrapping"/>
      </w:r>
      <w:r>
        <w:rPr>
          <w:rFonts w:hint="eastAsia"/>
        </w:rPr>
        <w:t>水利工程数字化管理数据治理评价指标</w:t>
      </w:r>
      <w:bookmarkEnd w:id="63"/>
    </w:p>
    <w:p w14:paraId="21D502CC">
      <w:pPr>
        <w:pStyle w:val="211"/>
        <w:spacing w:line="360" w:lineRule="auto"/>
      </w:pPr>
      <w:r>
        <w:t>水利工程数字化管理数据治理评价可按表A.1执行。</w:t>
      </w:r>
    </w:p>
    <w:p w14:paraId="61877AB1">
      <w:pPr>
        <w:pStyle w:val="77"/>
        <w:spacing w:before="120" w:after="120" w:line="360" w:lineRule="auto"/>
      </w:pPr>
      <w:r>
        <w:t>水利工程数字化管理数据治理评价指标</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0"/>
        <w:gridCol w:w="3827"/>
        <w:gridCol w:w="3957"/>
      </w:tblGrid>
      <w:tr w14:paraId="408674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0" w:type="dxa"/>
            <w:tcBorders>
              <w:top w:val="single" w:color="auto" w:sz="8" w:space="0"/>
              <w:bottom w:val="single" w:color="auto" w:sz="8" w:space="0"/>
            </w:tcBorders>
            <w:vAlign w:val="center"/>
          </w:tcPr>
          <w:p w14:paraId="546B73FB">
            <w:pPr>
              <w:pStyle w:val="178"/>
            </w:pPr>
            <w:r>
              <w:rPr>
                <w:rFonts w:hint="eastAsia"/>
              </w:rPr>
              <w:t>指标类别</w:t>
            </w:r>
          </w:p>
        </w:tc>
        <w:tc>
          <w:tcPr>
            <w:tcW w:w="3827" w:type="dxa"/>
            <w:tcBorders>
              <w:top w:val="single" w:color="auto" w:sz="8" w:space="0"/>
              <w:bottom w:val="single" w:color="auto" w:sz="8" w:space="0"/>
            </w:tcBorders>
            <w:vAlign w:val="center"/>
          </w:tcPr>
          <w:p w14:paraId="394D4597">
            <w:pPr>
              <w:pStyle w:val="178"/>
            </w:pPr>
            <w:r>
              <w:rPr>
                <w:rFonts w:hint="eastAsia"/>
              </w:rPr>
              <w:t>评价指标</w:t>
            </w:r>
          </w:p>
        </w:tc>
        <w:tc>
          <w:tcPr>
            <w:tcW w:w="3957" w:type="dxa"/>
            <w:tcBorders>
              <w:top w:val="single" w:color="auto" w:sz="8" w:space="0"/>
              <w:bottom w:val="single" w:color="auto" w:sz="8" w:space="0"/>
            </w:tcBorders>
            <w:vAlign w:val="center"/>
          </w:tcPr>
          <w:p w14:paraId="647390CA">
            <w:pPr>
              <w:pStyle w:val="178"/>
            </w:pPr>
            <w:r>
              <w:rPr>
                <w:rFonts w:hint="eastAsia"/>
              </w:rPr>
              <w:t>评价要求</w:t>
            </w:r>
          </w:p>
        </w:tc>
      </w:tr>
      <w:tr w14:paraId="1710D2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Borders>
              <w:top w:val="single" w:color="auto" w:sz="8" w:space="0"/>
            </w:tcBorders>
            <w:vAlign w:val="center"/>
          </w:tcPr>
          <w:p w14:paraId="0131C633">
            <w:pPr>
              <w:pStyle w:val="178"/>
            </w:pPr>
            <w:r>
              <w:rPr>
                <w:rFonts w:hint="eastAsia"/>
              </w:rPr>
              <w:t>组织机制</w:t>
            </w:r>
          </w:p>
        </w:tc>
        <w:tc>
          <w:tcPr>
            <w:tcW w:w="3827" w:type="dxa"/>
            <w:tcBorders>
              <w:top w:val="single" w:color="auto" w:sz="8" w:space="0"/>
            </w:tcBorders>
            <w:vAlign w:val="center"/>
          </w:tcPr>
          <w:p w14:paraId="6D8D53DD">
            <w:pPr>
              <w:pStyle w:val="178"/>
            </w:pPr>
            <w:r>
              <w:rPr>
                <w:rFonts w:hint="eastAsia"/>
              </w:rPr>
              <w:t>责任体系、制度流程、岗位授权</w:t>
            </w:r>
          </w:p>
        </w:tc>
        <w:tc>
          <w:tcPr>
            <w:tcW w:w="3957" w:type="dxa"/>
            <w:tcBorders>
              <w:top w:val="single" w:color="auto" w:sz="8" w:space="0"/>
            </w:tcBorders>
            <w:vAlign w:val="center"/>
          </w:tcPr>
          <w:p w14:paraId="61D72E1C">
            <w:pPr>
              <w:pStyle w:val="178"/>
            </w:pPr>
            <w:r>
              <w:rPr>
                <w:rFonts w:hint="eastAsia"/>
              </w:rPr>
              <w:t>应明确数据治理责任部门、业务责任部门和运维责任部门</w:t>
            </w:r>
          </w:p>
        </w:tc>
      </w:tr>
      <w:tr w14:paraId="4768D0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7B56E315">
            <w:pPr>
              <w:pStyle w:val="178"/>
            </w:pPr>
            <w:r>
              <w:rPr>
                <w:rFonts w:hint="eastAsia"/>
              </w:rPr>
              <w:t>数据资源</w:t>
            </w:r>
          </w:p>
        </w:tc>
        <w:tc>
          <w:tcPr>
            <w:tcW w:w="3827" w:type="dxa"/>
            <w:vAlign w:val="center"/>
          </w:tcPr>
          <w:p w14:paraId="4F529CD5">
            <w:pPr>
              <w:pStyle w:val="178"/>
            </w:pPr>
            <w:r>
              <w:rPr>
                <w:rFonts w:hint="eastAsia"/>
              </w:rPr>
              <w:t>数据资源目录、主数据、元数据、数据台账</w:t>
            </w:r>
          </w:p>
        </w:tc>
        <w:tc>
          <w:tcPr>
            <w:tcW w:w="3957" w:type="dxa"/>
            <w:vAlign w:val="center"/>
          </w:tcPr>
          <w:p w14:paraId="2F576921">
            <w:pPr>
              <w:pStyle w:val="178"/>
            </w:pPr>
            <w:r>
              <w:rPr>
                <w:rFonts w:hint="eastAsia"/>
              </w:rPr>
              <w:t>应目录完整、责任清晰、动态更新、可查询</w:t>
            </w:r>
          </w:p>
        </w:tc>
      </w:tr>
      <w:tr w14:paraId="0960AB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1B261DA7">
            <w:pPr>
              <w:pStyle w:val="178"/>
            </w:pPr>
            <w:r>
              <w:rPr>
                <w:rFonts w:hint="eastAsia"/>
              </w:rPr>
              <w:t>数据标准</w:t>
            </w:r>
          </w:p>
        </w:tc>
        <w:tc>
          <w:tcPr>
            <w:tcW w:w="3827" w:type="dxa"/>
            <w:vAlign w:val="center"/>
          </w:tcPr>
          <w:p w14:paraId="204C5BCC">
            <w:pPr>
              <w:pStyle w:val="178"/>
            </w:pPr>
            <w:r>
              <w:rPr>
                <w:rFonts w:hint="eastAsia"/>
              </w:rPr>
              <w:t>分类编码、数据元、接口规范、质量规则</w:t>
            </w:r>
          </w:p>
        </w:tc>
        <w:tc>
          <w:tcPr>
            <w:tcW w:w="3957" w:type="dxa"/>
            <w:vAlign w:val="center"/>
          </w:tcPr>
          <w:p w14:paraId="2C6A6991">
            <w:pPr>
              <w:pStyle w:val="178"/>
            </w:pPr>
            <w:r>
              <w:rPr>
                <w:rFonts w:hint="eastAsia"/>
              </w:rPr>
              <w:t>应统一口径、统一格式、统一编码、版本受控</w:t>
            </w:r>
          </w:p>
        </w:tc>
      </w:tr>
      <w:tr w14:paraId="55B799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5CB18608">
            <w:pPr>
              <w:pStyle w:val="178"/>
            </w:pPr>
            <w:r>
              <w:rPr>
                <w:rFonts w:hint="eastAsia"/>
              </w:rPr>
              <w:t>数据采集</w:t>
            </w:r>
          </w:p>
        </w:tc>
        <w:tc>
          <w:tcPr>
            <w:tcW w:w="3827" w:type="dxa"/>
            <w:vAlign w:val="center"/>
          </w:tcPr>
          <w:p w14:paraId="216FCB4E">
            <w:pPr>
              <w:pStyle w:val="178"/>
            </w:pPr>
            <w:r>
              <w:rPr>
                <w:rFonts w:hint="eastAsia"/>
              </w:rPr>
              <w:t>自动采集、人工录入、外部接入、历史导入</w:t>
            </w:r>
          </w:p>
        </w:tc>
        <w:tc>
          <w:tcPr>
            <w:tcW w:w="3957" w:type="dxa"/>
            <w:vAlign w:val="center"/>
          </w:tcPr>
          <w:p w14:paraId="58D7467A">
            <w:pPr>
              <w:pStyle w:val="178"/>
            </w:pPr>
            <w:r>
              <w:rPr>
                <w:rFonts w:hint="eastAsia"/>
              </w:rPr>
              <w:t>应来源明确、记录完整、采集及时、入库受控</w:t>
            </w:r>
          </w:p>
        </w:tc>
      </w:tr>
      <w:tr w14:paraId="319C57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7F8F5623">
            <w:pPr>
              <w:pStyle w:val="178"/>
            </w:pPr>
            <w:r>
              <w:rPr>
                <w:rFonts w:hint="eastAsia"/>
              </w:rPr>
              <w:t>数据质量</w:t>
            </w:r>
          </w:p>
        </w:tc>
        <w:tc>
          <w:tcPr>
            <w:tcW w:w="3827" w:type="dxa"/>
            <w:vAlign w:val="center"/>
          </w:tcPr>
          <w:p w14:paraId="03063A87">
            <w:pPr>
              <w:pStyle w:val="178"/>
            </w:pPr>
            <w:r>
              <w:rPr>
                <w:rFonts w:hint="eastAsia"/>
              </w:rPr>
              <w:t>完整性、准确性、一致性、及时性、唯一性、</w:t>
            </w:r>
          </w:p>
          <w:p w14:paraId="38E88A2E">
            <w:pPr>
              <w:pStyle w:val="178"/>
            </w:pPr>
            <w:r>
              <w:rPr>
                <w:rFonts w:hint="eastAsia"/>
              </w:rPr>
              <w:t>有效性</w:t>
            </w:r>
          </w:p>
        </w:tc>
        <w:tc>
          <w:tcPr>
            <w:tcW w:w="3957" w:type="dxa"/>
            <w:vAlign w:val="center"/>
          </w:tcPr>
          <w:p w14:paraId="4C09DE27">
            <w:pPr>
              <w:pStyle w:val="178"/>
            </w:pPr>
            <w:r>
              <w:rPr>
                <w:rFonts w:hint="eastAsia"/>
              </w:rPr>
              <w:t>应建立质量规则和问题数据闭环处置机制</w:t>
            </w:r>
          </w:p>
        </w:tc>
      </w:tr>
      <w:tr w14:paraId="637606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55C3B814">
            <w:pPr>
              <w:pStyle w:val="178"/>
            </w:pPr>
            <w:r>
              <w:rPr>
                <w:rFonts w:hint="eastAsia"/>
              </w:rPr>
              <w:t>数据共享</w:t>
            </w:r>
          </w:p>
        </w:tc>
        <w:tc>
          <w:tcPr>
            <w:tcW w:w="3827" w:type="dxa"/>
            <w:vAlign w:val="center"/>
          </w:tcPr>
          <w:p w14:paraId="5079BFDD">
            <w:pPr>
              <w:pStyle w:val="178"/>
            </w:pPr>
            <w:r>
              <w:rPr>
                <w:rFonts w:hint="eastAsia"/>
              </w:rPr>
              <w:t>共享目录、接口服务、共享审批、调用日志</w:t>
            </w:r>
          </w:p>
        </w:tc>
        <w:tc>
          <w:tcPr>
            <w:tcW w:w="3957" w:type="dxa"/>
            <w:vAlign w:val="center"/>
          </w:tcPr>
          <w:p w14:paraId="69C27100">
            <w:pPr>
              <w:pStyle w:val="178"/>
            </w:pPr>
            <w:r>
              <w:rPr>
                <w:rFonts w:hint="eastAsia"/>
              </w:rPr>
              <w:t>应授权共享、接口稳定、日志完整、安全可控</w:t>
            </w:r>
          </w:p>
        </w:tc>
      </w:tr>
      <w:tr w14:paraId="259A22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41E58113">
            <w:pPr>
              <w:pStyle w:val="178"/>
            </w:pPr>
            <w:r>
              <w:rPr>
                <w:rFonts w:hint="eastAsia"/>
              </w:rPr>
              <w:t>数据安全</w:t>
            </w:r>
          </w:p>
        </w:tc>
        <w:tc>
          <w:tcPr>
            <w:tcW w:w="3827" w:type="dxa"/>
            <w:vAlign w:val="center"/>
          </w:tcPr>
          <w:p w14:paraId="1C957E6F">
            <w:pPr>
              <w:pStyle w:val="178"/>
            </w:pPr>
            <w:r>
              <w:rPr>
                <w:rFonts w:hint="eastAsia"/>
              </w:rPr>
              <w:t>分类分级、权限控制、备份恢复、安全审计</w:t>
            </w:r>
          </w:p>
        </w:tc>
        <w:tc>
          <w:tcPr>
            <w:tcW w:w="3957" w:type="dxa"/>
            <w:vAlign w:val="center"/>
          </w:tcPr>
          <w:p w14:paraId="2E203B92">
            <w:pPr>
              <w:pStyle w:val="178"/>
            </w:pPr>
            <w:r>
              <w:rPr>
                <w:rFonts w:hint="eastAsia"/>
              </w:rPr>
              <w:t>应符合数据安全要求，重要数据重点保护</w:t>
            </w:r>
          </w:p>
        </w:tc>
      </w:tr>
      <w:tr w14:paraId="01350E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25231B79">
            <w:pPr>
              <w:pStyle w:val="178"/>
            </w:pPr>
            <w:r>
              <w:rPr>
                <w:rFonts w:hint="eastAsia"/>
              </w:rPr>
              <w:t>数据应用</w:t>
            </w:r>
          </w:p>
        </w:tc>
        <w:tc>
          <w:tcPr>
            <w:tcW w:w="3827" w:type="dxa"/>
            <w:vAlign w:val="center"/>
          </w:tcPr>
          <w:p w14:paraId="3E16F9CB">
            <w:pPr>
              <w:pStyle w:val="178"/>
            </w:pPr>
            <w:r>
              <w:rPr>
                <w:rFonts w:hint="eastAsia"/>
              </w:rPr>
              <w:t>运行监测、调度管理、预警分析、巡检养护、</w:t>
            </w:r>
          </w:p>
          <w:p w14:paraId="4EE1C494">
            <w:pPr>
              <w:pStyle w:val="178"/>
            </w:pPr>
            <w:r>
              <w:rPr>
                <w:rFonts w:hint="eastAsia"/>
              </w:rPr>
              <w:t>应急处置</w:t>
            </w:r>
          </w:p>
        </w:tc>
        <w:tc>
          <w:tcPr>
            <w:tcW w:w="3957" w:type="dxa"/>
            <w:vAlign w:val="center"/>
          </w:tcPr>
          <w:p w14:paraId="463F3084">
            <w:pPr>
              <w:pStyle w:val="178"/>
            </w:pPr>
            <w:r>
              <w:rPr>
                <w:rFonts w:hint="eastAsia"/>
              </w:rPr>
              <w:t>应服务业务闭环，输出结果可追溯、可解释</w:t>
            </w:r>
          </w:p>
        </w:tc>
      </w:tr>
      <w:tr w14:paraId="5AA1F5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6B6B90C1">
            <w:pPr>
              <w:pStyle w:val="178"/>
            </w:pPr>
            <w:r>
              <w:rPr>
                <w:rFonts w:hint="eastAsia"/>
              </w:rPr>
              <w:t>系统运维</w:t>
            </w:r>
          </w:p>
        </w:tc>
        <w:tc>
          <w:tcPr>
            <w:tcW w:w="3827" w:type="dxa"/>
            <w:vAlign w:val="center"/>
          </w:tcPr>
          <w:p w14:paraId="189D1F9F">
            <w:pPr>
              <w:pStyle w:val="178"/>
            </w:pPr>
            <w:r>
              <w:rPr>
                <w:rFonts w:hint="eastAsia"/>
              </w:rPr>
              <w:t>系统可用性、接口稳定性、故障处置、变更管理</w:t>
            </w:r>
          </w:p>
        </w:tc>
        <w:tc>
          <w:tcPr>
            <w:tcW w:w="3957" w:type="dxa"/>
            <w:vAlign w:val="center"/>
          </w:tcPr>
          <w:p w14:paraId="5ED2DE2B">
            <w:pPr>
              <w:pStyle w:val="178"/>
            </w:pPr>
            <w:r>
              <w:rPr>
                <w:rFonts w:hint="eastAsia"/>
              </w:rPr>
              <w:t>应运行稳定、故障可控、变更有记录</w:t>
            </w:r>
          </w:p>
        </w:tc>
      </w:tr>
      <w:tr w14:paraId="1FBD80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125166B0">
            <w:pPr>
              <w:pStyle w:val="178"/>
            </w:pPr>
            <w:r>
              <w:rPr>
                <w:rFonts w:hint="eastAsia"/>
              </w:rPr>
              <w:t>持续改进</w:t>
            </w:r>
          </w:p>
        </w:tc>
        <w:tc>
          <w:tcPr>
            <w:tcW w:w="3827" w:type="dxa"/>
            <w:vAlign w:val="center"/>
          </w:tcPr>
          <w:p w14:paraId="57DD2CBA">
            <w:pPr>
              <w:pStyle w:val="178"/>
            </w:pPr>
            <w:r>
              <w:rPr>
                <w:rFonts w:hint="eastAsia"/>
              </w:rPr>
              <w:t>评价报告、整改措施、效果验证</w:t>
            </w:r>
          </w:p>
        </w:tc>
        <w:tc>
          <w:tcPr>
            <w:tcW w:w="3957" w:type="dxa"/>
            <w:vAlign w:val="center"/>
          </w:tcPr>
          <w:p w14:paraId="5B09BDA6">
            <w:pPr>
              <w:pStyle w:val="178"/>
            </w:pPr>
            <w:r>
              <w:rPr>
                <w:rFonts w:hint="eastAsia"/>
              </w:rPr>
              <w:t>应形成问题清单并闭环整改</w:t>
            </w:r>
          </w:p>
        </w:tc>
      </w:tr>
    </w:tbl>
    <w:p w14:paraId="47CEEC78">
      <w:pPr>
        <w:pStyle w:val="211"/>
        <w:spacing w:before="120" w:beforeLines="50" w:line="360" w:lineRule="auto"/>
      </w:pPr>
      <w:r>
        <w:t>评价发现不符合项时，应形成整改记录。整改记录应包括问题描述、影响范围、原因分析、责任部门、整改措施、完成期限和验证结果。</w:t>
      </w:r>
    </w:p>
    <w:bookmarkEnd w:id="62"/>
    <w:p w14:paraId="391ACFA4">
      <w:pPr>
        <w:pStyle w:val="211"/>
        <w:spacing w:before="120" w:beforeLines="50"/>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linePitch="312" w:charSpace="0"/>
        </w:sectPr>
      </w:pPr>
      <w:bookmarkStart w:id="64" w:name="BookMark6"/>
    </w:p>
    <w:p w14:paraId="453CBF87">
      <w:pPr>
        <w:pStyle w:val="63"/>
        <w:spacing w:after="120" w:line="360" w:lineRule="auto"/>
      </w:pPr>
      <w:bookmarkStart w:id="65" w:name="_Toc228612889"/>
      <w:r>
        <w:rPr>
          <w:rFonts w:hint="eastAsia"/>
          <w:spacing w:val="105"/>
        </w:rPr>
        <w:t>参考文</w:t>
      </w:r>
      <w:r>
        <w:rPr>
          <w:rFonts w:hint="eastAsia"/>
        </w:rPr>
        <w:t>献</w:t>
      </w:r>
      <w:bookmarkEnd w:id="65"/>
    </w:p>
    <w:p w14:paraId="573E3875">
      <w:pPr>
        <w:pStyle w:val="56"/>
        <w:spacing w:line="360" w:lineRule="auto"/>
        <w:ind w:firstLine="420"/>
      </w:pPr>
      <w:r>
        <w:rPr>
          <w:rFonts w:hint="eastAsia"/>
        </w:rPr>
        <w:t>[1] GB/T 1.1 标准化工作导则 第1部分：标准化文件的结构和起草规则</w:t>
      </w:r>
    </w:p>
    <w:p w14:paraId="0908BDA5">
      <w:pPr>
        <w:pStyle w:val="56"/>
        <w:spacing w:line="360" w:lineRule="auto"/>
        <w:ind w:firstLine="420"/>
      </w:pPr>
      <w:r>
        <w:rPr>
          <w:rFonts w:hint="eastAsia"/>
        </w:rPr>
        <w:t>[2] GB/T 19001 质量管理体系 要求</w:t>
      </w:r>
    </w:p>
    <w:p w14:paraId="2F600DF4">
      <w:pPr>
        <w:pStyle w:val="56"/>
        <w:spacing w:line="360" w:lineRule="auto"/>
        <w:ind w:firstLine="420"/>
      </w:pPr>
      <w:r>
        <w:rPr>
          <w:rFonts w:hint="eastAsia"/>
        </w:rPr>
        <w:t>[3] GB/T 22240 信息安全技术 网络安全等级保护定级指南</w:t>
      </w:r>
    </w:p>
    <w:p w14:paraId="13040729">
      <w:pPr>
        <w:pStyle w:val="56"/>
        <w:spacing w:line="360" w:lineRule="auto"/>
        <w:ind w:firstLine="420"/>
      </w:pPr>
      <w:r>
        <w:rPr>
          <w:rFonts w:hint="eastAsia"/>
        </w:rPr>
        <w:t>[4] GB/T 34960.5 信息技术服务 治理 第5部分：数据治理规范</w:t>
      </w:r>
    </w:p>
    <w:p w14:paraId="1C93683E">
      <w:pPr>
        <w:pStyle w:val="56"/>
        <w:spacing w:line="360" w:lineRule="auto"/>
        <w:ind w:firstLine="420"/>
      </w:pPr>
      <w:r>
        <w:rPr>
          <w:rFonts w:hint="eastAsia"/>
        </w:rPr>
        <w:t>[5] SL/T 701 水利信息分类与编码总则</w:t>
      </w:r>
    </w:p>
    <w:p w14:paraId="1D8BF707">
      <w:pPr>
        <w:pStyle w:val="56"/>
        <w:spacing w:line="360" w:lineRule="auto"/>
        <w:ind w:firstLine="420"/>
      </w:pPr>
      <w:r>
        <w:rPr>
          <w:rFonts w:hint="eastAsia"/>
        </w:rPr>
        <w:t>[6] SL/T 803 水利网络安全保护技术规范</w:t>
      </w:r>
    </w:p>
    <w:bookmarkEnd w:id="64"/>
    <w:p w14:paraId="2F72A214">
      <w:pPr>
        <w:pStyle w:val="56"/>
        <w:ind w:firstLine="0" w:firstLineChars="0"/>
        <w:jc w:val="center"/>
      </w:pPr>
      <w:bookmarkStart w:id="66" w:name="BookMark8"/>
      <w:r>
        <w:rPr>
          <w:rFonts w:hint="eastAsia"/>
        </w:rPr>
        <w:drawing>
          <wp:inline distT="0" distB="0" distL="0" distR="0">
            <wp:extent cx="1485900" cy="317500"/>
            <wp:effectExtent l="0" t="0" r="0" b="6350"/>
            <wp:docPr id="1350843842" name="图片 3"/>
            <wp:cNvGraphicFramePr/>
            <a:graphic xmlns:a="http://schemas.openxmlformats.org/drawingml/2006/main">
              <a:graphicData uri="http://schemas.openxmlformats.org/drawingml/2006/picture">
                <pic:pic xmlns:pic="http://schemas.openxmlformats.org/drawingml/2006/picture">
                  <pic:nvPicPr>
                    <pic:cNvPr id="1350843842" name="图片 3"/>
                    <pic:cNvPicPr/>
                  </pic:nvPicPr>
                  <pic:blipFill>
                    <a:blip r:embed="rId3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6"/>
    </w:p>
    <w:sectPr>
      <w:headerReference r:id="rId31" w:type="default"/>
      <w:footerReference r:id="rId33" w:type="default"/>
      <w:headerReference r:id="rId32" w:type="even"/>
      <w:footerReference r:id="rId34"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D3681">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26</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3CEE4">
    <w:pPr>
      <w:pStyle w:val="52"/>
    </w:pPr>
    <w:r>
      <w:fldChar w:fldCharType="begin"/>
    </w:r>
    <w:r>
      <w:instrText xml:space="preserve">PAGE   \* MERGEFORMAT</w:instrText>
    </w:r>
    <w:r>
      <w:fldChar w:fldCharType="separate"/>
    </w:r>
    <w:r>
      <w:rPr>
        <w:lang w:val="zh-CN"/>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74B79">
    <w:pPr>
      <w:pStyle w:val="51"/>
    </w:pPr>
    <w:r>
      <w:fldChar w:fldCharType="begin"/>
    </w:r>
    <w:r>
      <w:instrText xml:space="preserve"> PAGE   \* MERGEFORMAT \* MERGEFORMAT </w:instrText>
    </w:r>
    <w:r>
      <w:fldChar w:fldCharType="separate"/>
    </w:r>
    <w:r>
      <w:t>25</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7C63F">
    <w:pPr>
      <w:pStyle w:val="52"/>
    </w:pPr>
    <w:r>
      <w:fldChar w:fldCharType="begin"/>
    </w:r>
    <w:r>
      <w:instrText xml:space="preserve">PAGE   \* MERGEFORMAT</w:instrText>
    </w:r>
    <w:r>
      <w:fldChar w:fldCharType="separate"/>
    </w:r>
    <w:r>
      <w:rPr>
        <w:lang w:val="zh-CN"/>
      </w:rPr>
      <w:t>1</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878CF">
    <w:pPr>
      <w:pStyle w:val="51"/>
    </w:pPr>
    <w:r>
      <w:fldChar w:fldCharType="begin"/>
    </w:r>
    <w:r>
      <w:instrText xml:space="preserve"> PAGE   \* MERGEFORMAT \* MERGEFORMAT </w:instrText>
    </w:r>
    <w:r>
      <w:fldChar w:fldCharType="separate"/>
    </w:r>
    <w:r>
      <w:t>25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E9FD9">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B4A72">
    <w:pPr>
      <w:pStyle w:val="51"/>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0276—2026</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0276—2026</w:t>
    </w:r>
    <w:r>
      <w:rPr>
        <w:rFonts w:hint="eastAsia"/>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14938">
    <w:pPr>
      <w:pStyle w:val="61"/>
      <w:rPr>
        <w:rFonts w:hint="eastAsia"/>
      </w:rPr>
    </w:pPr>
    <w:r>
      <w:fldChar w:fldCharType="begin"/>
    </w:r>
    <w:r>
      <w:instrText xml:space="preserve"> STYLEREF  标准文件_文件编号  \* MERGEFORMAT </w:instrText>
    </w:r>
    <w:r>
      <w:fldChar w:fldCharType="separate"/>
    </w:r>
    <w:r>
      <w:t>T/XZBX 0276—2026</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6B61F">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0276—2026</w:t>
    </w:r>
    <w:r>
      <w:rPr>
        <w:rFonts w:hint="eastAsia"/>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DABC3">
    <w:pPr>
      <w:pStyle w:val="61"/>
      <w:rPr>
        <w:rFonts w:hint="eastAsia"/>
      </w:rPr>
    </w:pPr>
    <w:r>
      <w:fldChar w:fldCharType="begin"/>
    </w:r>
    <w:r>
      <w:instrText xml:space="preserve"> STYLEREF  标准文件_文件编号  \* MERGEFORMAT </w:instrText>
    </w:r>
    <w:r>
      <w:fldChar w:fldCharType="separate"/>
    </w:r>
    <w:r>
      <w:t>T/XZBX 0276—2026</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17A49">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0276—2026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A4A93">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0276—2026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0276—2026</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519143">
    <w:pPr>
      <w:pStyle w:val="61"/>
      <w:rPr>
        <w:rFonts w:hint="eastAsia"/>
      </w:rPr>
    </w:pPr>
    <w:r>
      <w:fldChar w:fldCharType="begin"/>
    </w:r>
    <w:r>
      <w:instrText xml:space="preserve"> STYLEREF  标准文件_文件编号  \* MERGEFORMAT </w:instrText>
    </w:r>
    <w:r>
      <w:fldChar w:fldCharType="separate"/>
    </w:r>
    <w:r>
      <w:t>T/XZBX 0276—2026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72CA7">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0276—2026</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0276—2026</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0276—2026</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709"/>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0868"/>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562"/>
    <w:rsid w:val="002D42B5"/>
    <w:rsid w:val="002D4F1A"/>
    <w:rsid w:val="002D6EC6"/>
    <w:rsid w:val="002D79AC"/>
    <w:rsid w:val="002E039D"/>
    <w:rsid w:val="002E4D5A"/>
    <w:rsid w:val="002E6326"/>
    <w:rsid w:val="002E6AD9"/>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1B0D"/>
    <w:rsid w:val="0036429C"/>
    <w:rsid w:val="003646F4"/>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01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369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8DA"/>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205D6"/>
    <w:rsid w:val="0062320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0CE"/>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0E6F"/>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BFB"/>
    <w:rsid w:val="00A63544"/>
    <w:rsid w:val="00A648CD"/>
    <w:rsid w:val="00A6537A"/>
    <w:rsid w:val="00A67866"/>
    <w:rsid w:val="00A70B07"/>
    <w:rsid w:val="00A723F8"/>
    <w:rsid w:val="00A77CCB"/>
    <w:rsid w:val="00A83D8D"/>
    <w:rsid w:val="00A8446B"/>
    <w:rsid w:val="00A8473F"/>
    <w:rsid w:val="00A862D6"/>
    <w:rsid w:val="00A86D54"/>
    <w:rsid w:val="00A8715E"/>
    <w:rsid w:val="00A9295B"/>
    <w:rsid w:val="00A93B09"/>
    <w:rsid w:val="00A952D7"/>
    <w:rsid w:val="00A963F7"/>
    <w:rsid w:val="00A96AD8"/>
    <w:rsid w:val="00AA052C"/>
    <w:rsid w:val="00AA1E45"/>
    <w:rsid w:val="00AA4286"/>
    <w:rsid w:val="00AA456B"/>
    <w:rsid w:val="00AA57F5"/>
    <w:rsid w:val="00AA672E"/>
    <w:rsid w:val="00AA6819"/>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47B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085E"/>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647"/>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149"/>
    <w:rsid w:val="00E11A85"/>
    <w:rsid w:val="00E12495"/>
    <w:rsid w:val="00E15CCD"/>
    <w:rsid w:val="00E202EF"/>
    <w:rsid w:val="00E21088"/>
    <w:rsid w:val="00E210B5"/>
    <w:rsid w:val="00E2552F"/>
    <w:rsid w:val="00E27DF1"/>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D3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2914"/>
    <w:rsid w:val="00F33817"/>
    <w:rsid w:val="00F420D5"/>
    <w:rsid w:val="00F451EA"/>
    <w:rsid w:val="00F45447"/>
    <w:rsid w:val="00F456C6"/>
    <w:rsid w:val="00F4577B"/>
    <w:rsid w:val="00F46496"/>
    <w:rsid w:val="00F474D0"/>
    <w:rsid w:val="00F477E3"/>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32CF"/>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A43"/>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D6A4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uiPriority w:val="0"/>
    <w:rPr>
      <w:b/>
      <w:bCs/>
      <w:kern w:val="44"/>
      <w:sz w:val="44"/>
      <w:szCs w:val="44"/>
    </w:rPr>
  </w:style>
  <w:style w:type="character" w:customStyle="1" w:styleId="35">
    <w:name w:val="标题 2 字符"/>
    <w:link w:val="3"/>
    <w:uiPriority w:val="0"/>
    <w:rPr>
      <w:rFonts w:ascii="Arial" w:hAnsi="Arial" w:eastAsia="黑体"/>
      <w:b/>
      <w:bCs/>
      <w:kern w:val="2"/>
      <w:sz w:val="32"/>
      <w:szCs w:val="32"/>
    </w:rPr>
  </w:style>
  <w:style w:type="character" w:customStyle="1" w:styleId="36">
    <w:name w:val="标题 3 字符"/>
    <w:link w:val="4"/>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uiPriority w:val="0"/>
    <w:rPr>
      <w:b/>
      <w:bCs/>
      <w:kern w:val="2"/>
      <w:sz w:val="28"/>
      <w:szCs w:val="28"/>
    </w:rPr>
  </w:style>
  <w:style w:type="character" w:customStyle="1" w:styleId="39">
    <w:name w:val="标题 6 字符"/>
    <w:link w:val="7"/>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uiPriority w:val="0"/>
    <w:rPr>
      <w:rFonts w:ascii="Arial" w:hAnsi="Arial" w:eastAsia="黑体"/>
      <w:kern w:val="2"/>
      <w:sz w:val="21"/>
      <w:szCs w:val="21"/>
    </w:rPr>
  </w:style>
  <w:style w:type="character" w:customStyle="1" w:styleId="43">
    <w:name w:val="页眉 字符"/>
    <w:link w:val="18"/>
    <w:uiPriority w:val="99"/>
    <w:rPr>
      <w:kern w:val="2"/>
      <w:sz w:val="18"/>
      <w:szCs w:val="18"/>
    </w:rPr>
  </w:style>
  <w:style w:type="character" w:customStyle="1" w:styleId="44">
    <w:name w:val="页脚 字符"/>
    <w:link w:val="17"/>
    <w:uiPriority w:val="99"/>
    <w:rPr>
      <w:rFonts w:ascii="宋体"/>
      <w:kern w:val="2"/>
      <w:sz w:val="18"/>
      <w:szCs w:val="18"/>
    </w:rPr>
  </w:style>
  <w:style w:type="character" w:customStyle="1" w:styleId="45">
    <w:name w:val="批注框文本 字符"/>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3" Type="http://schemas.openxmlformats.org/officeDocument/2006/relationships/glossaryDocument" Target="glossary/document.xml"/><Relationship Id="rId42" Type="http://schemas.openxmlformats.org/officeDocument/2006/relationships/fontTable" Target="fontTable.xml"/><Relationship Id="rId41" Type="http://schemas.openxmlformats.org/officeDocument/2006/relationships/customXml" Target="../customXml/item2.xml"/><Relationship Id="rId40" Type="http://schemas.openxmlformats.org/officeDocument/2006/relationships/numbering" Target="numbering.xml"/><Relationship Id="rId4" Type="http://schemas.openxmlformats.org/officeDocument/2006/relationships/endnotes" Target="endnotes.xml"/><Relationship Id="rId39" Type="http://schemas.openxmlformats.org/officeDocument/2006/relationships/customXml" Target="../customXml/item1.xml"/><Relationship Id="rId38" Type="http://schemas.openxmlformats.org/officeDocument/2006/relationships/image" Target="media/image3.jpeg"/><Relationship Id="rId37" Type="http://schemas.openxmlformats.org/officeDocument/2006/relationships/image" Target="media/image2.png"/><Relationship Id="rId36" Type="http://schemas.openxmlformats.org/officeDocument/2006/relationships/image" Target="media/image1.png"/><Relationship Id="rId35" Type="http://schemas.openxmlformats.org/officeDocument/2006/relationships/theme" Target="theme/theme1.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05C3046E">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7F8531A4">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1D92291C">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7358F"/>
    <w:rsid w:val="00095965"/>
    <w:rsid w:val="002E6AD9"/>
    <w:rsid w:val="003646F4"/>
    <w:rsid w:val="003F603C"/>
    <w:rsid w:val="003F62CE"/>
    <w:rsid w:val="004A6324"/>
    <w:rsid w:val="005B18DA"/>
    <w:rsid w:val="005E4B5C"/>
    <w:rsid w:val="006141C6"/>
    <w:rsid w:val="00652769"/>
    <w:rsid w:val="00796662"/>
    <w:rsid w:val="008C0337"/>
    <w:rsid w:val="008E6778"/>
    <w:rsid w:val="00AA2819"/>
    <w:rsid w:val="00AE100B"/>
    <w:rsid w:val="00AE1DC6"/>
    <w:rsid w:val="00BE085E"/>
    <w:rsid w:val="00E76885"/>
    <w:rsid w:val="00F477E3"/>
    <w:rsid w:val="00F530FB"/>
    <w:rsid w:val="00FA32CF"/>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12FB321F5A4443D9AFC61825E0F0C3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34</Pages>
  <Words>5990</Words>
  <Characters>6342</Characters>
  <Lines>697</Lines>
  <Paragraphs>644</Paragraphs>
  <TotalTime>145</TotalTime>
  <ScaleCrop>false</ScaleCrop>
  <LinksUpToDate>false</LinksUpToDate>
  <CharactersWithSpaces>6480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2026-05-19T06:22:18Z</dcterms:modified>
  <dc:title>团体标准</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F65573AE525443288F437D4E23B2E19C_12</vt:lpwstr>
  </property>
</Properties>
</file>