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91.20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91.200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P 00"/>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P 00</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72"/>
            </w:textInput>
          </w:ffData>
        </w:fldChar>
      </w:r>
      <w:bookmarkStart w:id="6" w:name="NSTD_CODE_F"/>
      <w:r>
        <w:instrText xml:space="preserve"> FORMTEXT </w:instrText>
      </w:r>
      <w:r>
        <w:fldChar w:fldCharType="separate"/>
      </w:r>
      <w:r>
        <w:t>0272</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73594FE6">
      <w:pPr>
        <w:pStyle w:val="197"/>
        <w:framePr w:h="6974" w:hRule="exact" w:wrap="around" w:x="1419" w:anchorLock="1"/>
        <w:rPr>
          <w:rFonts w:hint="eastAsia"/>
        </w:rPr>
      </w:pPr>
      <w:r>
        <w:rPr>
          <w:rFonts w:hint="eastAsia"/>
        </w:rPr>
        <w:fldChar w:fldCharType="begin">
          <w:ffData>
            <w:name w:val="CSTD_NAME"/>
            <w:enabled/>
            <w:calcOnExit w:val="0"/>
            <w:textInput>
              <w:default w:val="建筑工程检测数据溯源与质控规程"/>
            </w:textInput>
          </w:ffData>
        </w:fldChar>
      </w:r>
      <w:bookmarkStart w:id="9" w:name="CSTD_NAME"/>
      <w:r>
        <w:rPr>
          <w:rFonts w:hint="eastAsia"/>
        </w:rPr>
        <w:instrText xml:space="preserve"> FORMTEXT </w:instrText>
      </w:r>
      <w:r>
        <w:rPr>
          <w:rFonts w:hint="eastAsia"/>
        </w:rPr>
        <w:fldChar w:fldCharType="separate"/>
      </w:r>
      <w:r>
        <w:rPr>
          <w:rFonts w:hint="eastAsia"/>
        </w:rPr>
        <w:t>建筑工程检测数据溯源与质控规程</w:t>
      </w:r>
      <w:r>
        <w:rPr>
          <w:rFonts w:hint="eastAsia"/>
        </w:rPr>
        <w:fldChar w:fldCharType="end"/>
      </w:r>
      <w:bookmarkEnd w:id="9"/>
      <w:r>
        <w:rPr>
          <w:rFonts w:hint="eastAsia"/>
        </w:rPr>
        <w:t xml:space="preserve"> </w:t>
      </w:r>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Code of practice for data traceability and quality control in construction engineering inspection"/>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Code of practice for data traceability and quality control in construction engineering inspection</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364D0937">
      <w:pPr>
        <w:pStyle w:val="91"/>
        <w:spacing w:after="360"/>
        <w:rPr>
          <w:rFonts w:hint="eastAsia"/>
        </w:rPr>
      </w:pPr>
      <w:bookmarkStart w:id="21" w:name="BookMark1"/>
      <w:r>
        <w:rPr>
          <w:rFonts w:hint="eastAsia"/>
          <w:spacing w:val="320"/>
        </w:rPr>
        <w:t>目</w:t>
      </w:r>
      <w:r>
        <w:rPr>
          <w:rFonts w:hint="eastAsia"/>
        </w:rPr>
        <w:t>次</w:t>
      </w:r>
    </w:p>
    <w:p w14:paraId="38E51A8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"_Toc228620508"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_Toc228620508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4837B3B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"_Toc228620509"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_Toc228620509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1BF5507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"_Toc228620510"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_Toc228620510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D1BA8F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"_Toc228620511"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_Toc228620511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92CC74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"_Toc228620512"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_Toc228620512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5E571D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"_Toc228620513" </w:instrText>
      </w:r>
      <w:r>
        <w:fldChar w:fldCharType="separate"/>
      </w:r>
      <w:r>
        <w:rPr>
          <w:rStyle w:val="32"/>
        </w:rPr>
        <w:t>4  基本要求</w:t>
      </w:r>
      <w:r>
        <w:rPr>
          <w:rFonts w:hint="eastAsia"/>
        </w:rPr>
        <w:tab/>
      </w:r>
      <w:r>
        <w:rPr>
          <w:rFonts w:hint="eastAsia"/>
        </w:rPr>
        <w:fldChar w:fldCharType="begin"/>
      </w:r>
      <w:r>
        <w:rPr>
          <w:rFonts w:hint="eastAsia"/>
        </w:rPr>
        <w:instrText xml:space="preserve"> </w:instrText>
      </w:r>
      <w:r>
        <w:instrText xml:space="preserve">PAGEREF _Toc228620513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E4E164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"_Toc228620514" </w:instrText>
      </w:r>
      <w:r>
        <w:fldChar w:fldCharType="separate"/>
      </w:r>
      <w:r>
        <w:rPr>
          <w:rStyle w:val="32"/>
        </w:rPr>
        <w:t>5  数据溯源管理</w:t>
      </w:r>
      <w:r>
        <w:rPr>
          <w:rFonts w:hint="eastAsia"/>
        </w:rPr>
        <w:tab/>
      </w:r>
      <w:r>
        <w:rPr>
          <w:rFonts w:hint="eastAsia"/>
        </w:rPr>
        <w:fldChar w:fldCharType="begin"/>
      </w:r>
      <w:r>
        <w:rPr>
          <w:rFonts w:hint="eastAsia"/>
        </w:rPr>
        <w:instrText xml:space="preserve"> </w:instrText>
      </w:r>
      <w:r>
        <w:instrText xml:space="preserve">PAGEREF _Toc228620514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04B9B0A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"_Toc228620515" </w:instrText>
      </w:r>
      <w:r>
        <w:fldChar w:fldCharType="separate"/>
      </w:r>
      <w:r>
        <w:rPr>
          <w:rStyle w:val="32"/>
        </w:rPr>
        <w:t>6  数据采集与记录</w:t>
      </w:r>
      <w:r>
        <w:rPr>
          <w:rFonts w:hint="eastAsia"/>
        </w:rPr>
        <w:tab/>
      </w:r>
      <w:r>
        <w:rPr>
          <w:rFonts w:hint="eastAsia"/>
        </w:rPr>
        <w:fldChar w:fldCharType="begin"/>
      </w:r>
      <w:r>
        <w:rPr>
          <w:rFonts w:hint="eastAsia"/>
        </w:rPr>
        <w:instrText xml:space="preserve"> </w:instrText>
      </w:r>
      <w:r>
        <w:instrText xml:space="preserve">PAGEREF _Toc228620515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2BBEBF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"_Toc228620516" </w:instrText>
      </w:r>
      <w:r>
        <w:fldChar w:fldCharType="separate"/>
      </w:r>
      <w:r>
        <w:rPr>
          <w:rStyle w:val="32"/>
        </w:rPr>
        <w:t>7  数据质量控制</w:t>
      </w:r>
      <w:r>
        <w:rPr>
          <w:rFonts w:hint="eastAsia"/>
        </w:rPr>
        <w:tab/>
      </w:r>
      <w:r>
        <w:rPr>
          <w:rFonts w:hint="eastAsia"/>
        </w:rPr>
        <w:fldChar w:fldCharType="begin"/>
      </w:r>
      <w:r>
        <w:rPr>
          <w:rFonts w:hint="eastAsia"/>
        </w:rPr>
        <w:instrText xml:space="preserve"> </w:instrText>
      </w:r>
      <w:r>
        <w:instrText xml:space="preserve">PAGEREF _Toc228620516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E5813A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"_Toc228620517" </w:instrText>
      </w:r>
      <w:r>
        <w:fldChar w:fldCharType="separate"/>
      </w:r>
      <w:r>
        <w:rPr>
          <w:rStyle w:val="32"/>
        </w:rPr>
        <w:t>8  数据审核与更正</w:t>
      </w:r>
      <w:r>
        <w:rPr>
          <w:rFonts w:hint="eastAsia"/>
        </w:rPr>
        <w:tab/>
      </w:r>
      <w:r>
        <w:rPr>
          <w:rFonts w:hint="eastAsia"/>
        </w:rPr>
        <w:fldChar w:fldCharType="begin"/>
      </w:r>
      <w:r>
        <w:rPr>
          <w:rFonts w:hint="eastAsia"/>
        </w:rPr>
        <w:instrText xml:space="preserve"> </w:instrText>
      </w:r>
      <w:r>
        <w:instrText xml:space="preserve">PAGEREF _Toc228620517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3F7055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"_Toc228620518" </w:instrText>
      </w:r>
      <w:r>
        <w:fldChar w:fldCharType="separate"/>
      </w:r>
      <w:r>
        <w:rPr>
          <w:rStyle w:val="32"/>
        </w:rPr>
        <w:t>9  电子数据管理</w:t>
      </w:r>
      <w:r>
        <w:rPr>
          <w:rFonts w:hint="eastAsia"/>
        </w:rPr>
        <w:tab/>
      </w:r>
      <w:r>
        <w:rPr>
          <w:rFonts w:hint="eastAsia"/>
        </w:rPr>
        <w:fldChar w:fldCharType="begin"/>
      </w:r>
      <w:r>
        <w:rPr>
          <w:rFonts w:hint="eastAsia"/>
        </w:rPr>
        <w:instrText xml:space="preserve"> </w:instrText>
      </w:r>
      <w:r>
        <w:instrText xml:space="preserve">PAGEREF _Toc228620518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66940D3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"_Toc228620519" </w:instrText>
      </w:r>
      <w:r>
        <w:fldChar w:fldCharType="separate"/>
      </w:r>
      <w:r>
        <w:rPr>
          <w:rStyle w:val="32"/>
        </w:rPr>
        <w:t>10  数据归档与保存</w:t>
      </w:r>
      <w:r>
        <w:rPr>
          <w:rFonts w:hint="eastAsia"/>
        </w:rPr>
        <w:tab/>
      </w:r>
      <w:r>
        <w:rPr>
          <w:rFonts w:hint="eastAsia"/>
        </w:rPr>
        <w:fldChar w:fldCharType="begin"/>
      </w:r>
      <w:r>
        <w:rPr>
          <w:rFonts w:hint="eastAsia"/>
        </w:rPr>
        <w:instrText xml:space="preserve"> </w:instrText>
      </w:r>
      <w:r>
        <w:instrText xml:space="preserve">PAGEREF _Toc228620519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58CB6BD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"_Toc228620520" </w:instrText>
      </w:r>
      <w:r>
        <w:fldChar w:fldCharType="separate"/>
      </w:r>
      <w:r>
        <w:rPr>
          <w:rStyle w:val="32"/>
        </w:rPr>
        <w:t>11  异常数据处置</w:t>
      </w:r>
      <w:r>
        <w:rPr>
          <w:rFonts w:hint="eastAsia"/>
        </w:rPr>
        <w:tab/>
      </w:r>
      <w:r>
        <w:rPr>
          <w:rFonts w:hint="eastAsia"/>
        </w:rPr>
        <w:fldChar w:fldCharType="begin"/>
      </w:r>
      <w:r>
        <w:rPr>
          <w:rFonts w:hint="eastAsia"/>
        </w:rPr>
        <w:instrText xml:space="preserve"> </w:instrText>
      </w:r>
      <w:r>
        <w:instrText xml:space="preserve">PAGEREF _Toc228620520 \h</w:instrText>
      </w:r>
      <w:r>
        <w:rPr>
          <w:rFonts w:hint="eastAsia"/>
        </w:rPr>
        <w:instrText xml:space="preserve"> </w:instrText>
      </w:r>
      <w:r>
        <w:rPr>
          <w:rFonts w:hint="eastAsia"/>
        </w:rPr>
        <w:fldChar w:fldCharType="separate"/>
      </w:r>
      <w:r>
        <w:t>19</w:t>
      </w:r>
      <w:r>
        <w:rPr>
          <w:rFonts w:hint="eastAsia"/>
        </w:rPr>
        <w:fldChar w:fldCharType="end"/>
      </w:r>
      <w:r>
        <w:rPr>
          <w:rFonts w:hint="eastAsia"/>
        </w:rPr>
        <w:fldChar w:fldCharType="end"/>
      </w:r>
    </w:p>
    <w:p w14:paraId="0EF4084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"_Toc228620521" </w:instrText>
      </w:r>
      <w:r>
        <w:fldChar w:fldCharType="separate"/>
      </w:r>
      <w:r>
        <w:rPr>
          <w:rStyle w:val="32"/>
        </w:rPr>
        <w:t>12  监督检查与持续改进</w:t>
      </w:r>
      <w:r>
        <w:rPr>
          <w:rFonts w:hint="eastAsia"/>
        </w:rPr>
        <w:tab/>
      </w:r>
      <w:r>
        <w:rPr>
          <w:rFonts w:hint="eastAsia"/>
        </w:rPr>
        <w:fldChar w:fldCharType="begin"/>
      </w:r>
      <w:r>
        <w:rPr>
          <w:rFonts w:hint="eastAsia"/>
        </w:rPr>
        <w:instrText xml:space="preserve"> </w:instrText>
      </w:r>
      <w:r>
        <w:instrText xml:space="preserve">PAGEREF _Toc228620521 \h</w:instrText>
      </w:r>
      <w:r>
        <w:rPr>
          <w:rFonts w:hint="eastAsia"/>
        </w:rPr>
        <w:instrText xml:space="preserve"> </w:instrText>
      </w:r>
      <w:r>
        <w:rPr>
          <w:rFonts w:hint="eastAsia"/>
        </w:rPr>
        <w:fldChar w:fldCharType="separate"/>
      </w:r>
      <w:r>
        <w:t>22</w:t>
      </w:r>
      <w:r>
        <w:rPr>
          <w:rFonts w:hint="eastAsia"/>
        </w:rPr>
        <w:fldChar w:fldCharType="end"/>
      </w:r>
      <w:r>
        <w:rPr>
          <w:rFonts w:hint="eastAsia"/>
        </w:rPr>
        <w:fldChar w:fldCharType="end"/>
      </w:r>
    </w:p>
    <w:p w14:paraId="42EEF72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"_Toc228620522" </w:instrText>
      </w:r>
      <w:r>
        <w:fldChar w:fldCharType="separate"/>
      </w:r>
      <w:r>
        <w:rPr>
          <w:rStyle w:val="32"/>
        </w:rPr>
        <w:t>附录A（资料性）  检测数据溯源记录要素</w:t>
      </w:r>
      <w:r>
        <w:rPr>
          <w:rFonts w:hint="eastAsia"/>
        </w:rPr>
        <w:tab/>
      </w:r>
      <w:r>
        <w:rPr>
          <w:rFonts w:hint="eastAsia"/>
        </w:rPr>
        <w:fldChar w:fldCharType="begin"/>
      </w:r>
      <w:r>
        <w:rPr>
          <w:rFonts w:hint="eastAsia"/>
        </w:rPr>
        <w:instrText xml:space="preserve"> </w:instrText>
      </w:r>
      <w:r>
        <w:instrText xml:space="preserve">PAGEREF _Toc228620522 \h</w:instrText>
      </w:r>
      <w:r>
        <w:rPr>
          <w:rFonts w:hint="eastAsia"/>
        </w:rPr>
        <w:instrText xml:space="preserve"> </w:instrText>
      </w:r>
      <w:r>
        <w:rPr>
          <w:rFonts w:hint="eastAsia"/>
        </w:rPr>
        <w:fldChar w:fldCharType="separate"/>
      </w:r>
      <w:r>
        <w:t>25</w:t>
      </w:r>
      <w:r>
        <w:rPr>
          <w:rFonts w:hint="eastAsia"/>
        </w:rPr>
        <w:fldChar w:fldCharType="end"/>
      </w:r>
      <w:r>
        <w:rPr>
          <w:rFonts w:hint="eastAsia"/>
        </w:rPr>
        <w:fldChar w:fldCharType="end"/>
      </w:r>
    </w:p>
    <w:p w14:paraId="648C0E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"_Toc228620523" </w:instrText>
      </w:r>
      <w:r>
        <w:fldChar w:fldCharType="separate"/>
      </w:r>
      <w:r>
        <w:rPr>
          <w:rStyle w:val="32"/>
        </w:rPr>
        <w:t>附录B（资料性）  检测数据质量检查记录表</w:t>
      </w:r>
      <w:r>
        <w:rPr>
          <w:rFonts w:hint="eastAsia"/>
        </w:rPr>
        <w:tab/>
      </w:r>
      <w:r>
        <w:rPr>
          <w:rFonts w:hint="eastAsia"/>
        </w:rPr>
        <w:fldChar w:fldCharType="begin"/>
      </w:r>
      <w:r>
        <w:rPr>
          <w:rFonts w:hint="eastAsia"/>
        </w:rPr>
        <w:instrText xml:space="preserve"> </w:instrText>
      </w:r>
      <w:r>
        <w:instrText xml:space="preserve">PAGEREF _Toc228620523 \h</w:instrText>
      </w:r>
      <w:r>
        <w:rPr>
          <w:rFonts w:hint="eastAsia"/>
        </w:rPr>
        <w:instrText xml:space="preserve"> </w:instrText>
      </w:r>
      <w:r>
        <w:rPr>
          <w:rFonts w:hint="eastAsia"/>
        </w:rPr>
        <w:fldChar w:fldCharType="separate"/>
      </w:r>
      <w:r>
        <w:t>26</w:t>
      </w:r>
      <w:r>
        <w:rPr>
          <w:rFonts w:hint="eastAsia"/>
        </w:rPr>
        <w:fldChar w:fldCharType="end"/>
      </w:r>
      <w:r>
        <w:rPr>
          <w:rFonts w:hint="eastAsia"/>
        </w:rPr>
        <w:fldChar w:fldCharType="end"/>
      </w:r>
    </w:p>
    <w:p w14:paraId="6C103AB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"_Toc228620524" </w:instrText>
      </w:r>
      <w:r>
        <w:fldChar w:fldCharType="separate"/>
      </w:r>
      <w:r>
        <w:rPr>
          <w:rStyle w:val="32"/>
        </w:rPr>
        <w:t>参考文献</w:t>
      </w:r>
      <w:r>
        <w:rPr>
          <w:rFonts w:hint="eastAsia"/>
        </w:rPr>
        <w:tab/>
      </w:r>
      <w:r>
        <w:rPr>
          <w:rFonts w:hint="eastAsia"/>
        </w:rPr>
        <w:fldChar w:fldCharType="begin"/>
      </w:r>
      <w:r>
        <w:rPr>
          <w:rFonts w:hint="eastAsia"/>
        </w:rPr>
        <w:instrText xml:space="preserve"> </w:instrText>
      </w:r>
      <w:r>
        <w:instrText xml:space="preserve">PAGEREF _Toc228620524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392A0877">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620508"/>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广东集信国控检测认证技术服务中心股份有限公司。</w:t>
      </w:r>
    </w:p>
    <w:p w14:paraId="7B08CC5B">
      <w:pPr>
        <w:pStyle w:val="56"/>
        <w:spacing w:line="360" w:lineRule="auto"/>
        <w:ind w:firstLine="420"/>
      </w:pPr>
      <w:r>
        <w:rPr>
          <w:rFonts w:hint="eastAsia"/>
        </w:rPr>
        <w:t>本文件主要起草人：</w:t>
      </w:r>
      <w:r>
        <w:t>黄晓彬</w:t>
      </w:r>
      <w:bookmarkStart w:id="66" w:name="_GoBack"/>
      <w:bookmarkEnd w:id="66"/>
      <w:r>
        <w:t>。</w:t>
      </w:r>
    </w:p>
    <w:p w14:paraId="0CAF290A">
      <w:pPr>
        <w:pStyle w:val="56"/>
        <w:spacing w:line="360" w:lineRule="auto"/>
        <w:ind w:firstLine="420"/>
      </w:pP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p>
    <w:bookmarkEnd w:id="23"/>
    <w:p w14:paraId="66D0A2F3">
      <w:pPr>
        <w:pStyle w:val="89"/>
        <w:spacing w:after="360"/>
      </w:pPr>
      <w:bookmarkStart w:id="24" w:name="_Toc228620509"/>
      <w:bookmarkStart w:id="25" w:name="BookMark3"/>
      <w:r>
        <w:rPr>
          <w:spacing w:val="320"/>
        </w:rPr>
        <w:t>引</w:t>
      </w:r>
      <w:r>
        <w:t>言</w:t>
      </w:r>
      <w:bookmarkEnd w:id="24"/>
    </w:p>
    <w:p w14:paraId="16FC7F5E">
      <w:pPr>
        <w:pStyle w:val="56"/>
        <w:spacing w:line="360" w:lineRule="auto"/>
        <w:ind w:firstLine="420"/>
      </w:pPr>
      <w:r>
        <w:rPr>
          <w:rFonts w:hint="eastAsia"/>
        </w:rPr>
        <w:t>建筑工程检测数据是工程质量评价、结构安全判定、材料性能确认、施工过程控制和竣工验收管理的重要依据。检测数据的真实性、完整性、准确性和可追溯性直接影响工程质量责任认定、质量风险处置和工程建设全过程管理水平。随着建筑工程检测活动数字化、信息化和平台化程度不断提高，检测数据的采集方式、传输方式、存储方式、审核方式和使用场景发生了较大变化，检测数据在形成、流转、归档和调用过程中涉及检测机构、建设单位、施工单位、监理单位、见证人员、检测人员、审核人员、信息系统运维人员等多个主体，数据链条较长，管理环节较多，质量控制难度相应增加。</w:t>
      </w:r>
    </w:p>
    <w:p w14:paraId="24D82660">
      <w:pPr>
        <w:pStyle w:val="56"/>
        <w:spacing w:line="360" w:lineRule="auto"/>
        <w:ind w:firstLine="420"/>
      </w:pPr>
      <w:r>
        <w:rPr>
          <w:rFonts w:hint="eastAsia"/>
        </w:rPr>
        <w:t>在实际检测活动中，部分检测数据仍存在来源记录不完整、样品标识不唯一、见证取样信息与检测记录不一致、原始记录修改留痕不足、设备状态信息关联不充分、人员操作权限边界不清、电子数据备份和防篡改措施不足、异常数据处置流程不明确等问题。上述问题容易导致检测数据无法有效追溯至样品、人员、设备、环境、方法、时间和审核过程，影响检测结论的可靠性和工程质量管理的严肃性。建立覆盖检测数据全生命周期的溯源与质控要求，是提高建筑工程检测质量、规范检测机构内部管理、强化质量责任追溯和促进检测行业规范发展的必要措施。</w:t>
      </w:r>
    </w:p>
    <w:p w14:paraId="12B73E0B">
      <w:pPr>
        <w:pStyle w:val="56"/>
        <w:spacing w:line="360" w:lineRule="auto"/>
        <w:ind w:firstLine="420"/>
      </w:pPr>
      <w:r>
        <w:rPr>
          <w:rFonts w:hint="eastAsia"/>
        </w:rPr>
        <w:t>本文件围绕建筑工程检测数据“采集有依据、流转有记录、修改有留痕、审核有责任、归档有完整性、调用有权限、异常有处置、质量有控制”的目标，对检测数据溯源链条、质量控制节点、数据采集要求、数据审核要求、数据更正要求、数据归档要求、信息系统管理要求和监督改进要求作出规定。本文件注重将检测数据管理要求转化为可执行、可检查、可追溯的操作要求，强化“应”“不得”等规范性表述，避免仅作原则性说明，使检测机构和相关责任主体在执行过程中能够形成统一的数据管理规则。</w:t>
      </w:r>
    </w:p>
    <w:p w14:paraId="6DED3E13">
      <w:pPr>
        <w:pStyle w:val="56"/>
        <w:spacing w:line="360" w:lineRule="auto"/>
        <w:ind w:firstLine="420"/>
      </w:pPr>
      <w:r>
        <w:rPr>
          <w:rFonts w:hint="eastAsia"/>
        </w:rPr>
        <w:t>本文件适用于建筑工程检测机构对检测数据进行全过程管理，也可供建设单位、施工单位、监理单位、质量监督机构和工程质量管理相关单位在开展检测数据核查、检测结果采信、质量责任追溯和检测信息化建设时参考使用。不同类型检测项目在数据来源、采集方式、设备自动化程度和数据结构方面存在差异，实施时应结合检测项目特点、检测方法要求、信息系统条件和质量管理体系要求，建立与检测活动相适应的数据溯源与质控机制。</w:t>
      </w:r>
    </w:p>
    <w:p w14:paraId="0AE3CA17">
      <w:pPr>
        <w:pStyle w:val="56"/>
        <w:spacing w:line="360" w:lineRule="auto"/>
        <w:ind w:firstLine="420"/>
      </w:pPr>
      <w:r>
        <w:rPr>
          <w:rFonts w:hint="eastAsia"/>
        </w:rPr>
        <w:t>本文件按照标准化文件结构和起草规则的相关要求编写，内容设置上兼顾建筑工程检测业务流程和数据生命周期管理逻辑，后续章节将依次规定范围、规范性引用文件、术语和定义、基本要求、数据溯源管理、数据采集与记录、数据质量控制、数据审核与更正、电子数据管理、档案管理、异常处置和监督改进等内容，以形成较完整的建筑工程检测数据管理技术规则。</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7D4E3E1F">
          <w:pPr>
            <w:pStyle w:val="177"/>
            <w:spacing w:after="0"/>
            <w:rPr>
              <w:rFonts w:hint="eastAsia"/>
            </w:rPr>
          </w:pPr>
          <w:bookmarkStart w:id="27" w:name="NEW_STAND_NAME"/>
          <w:r>
            <w:t>建筑工程检测数据溯源与质控规程</w:t>
          </w:r>
        </w:p>
      </w:sdtContent>
    </w:sdt>
    <w:bookmarkEnd w:id="27"/>
    <w:p w14:paraId="3DB22445">
      <w:pPr>
        <w:pStyle w:val="104"/>
        <w:spacing w:before="240" w:after="240" w:line="360" w:lineRule="auto"/>
      </w:pPr>
      <w:bookmarkStart w:id="28" w:name="_Toc17233325"/>
      <w:bookmarkStart w:id="29" w:name="_Toc17233333"/>
      <w:bookmarkStart w:id="30" w:name="_Toc26718930"/>
      <w:bookmarkStart w:id="31" w:name="_Toc26986530"/>
      <w:bookmarkStart w:id="32" w:name="_Toc97192964"/>
      <w:bookmarkStart w:id="33" w:name="_Toc24884211"/>
      <w:bookmarkStart w:id="34" w:name="_Toc24884218"/>
      <w:bookmarkStart w:id="35" w:name="_Toc26986771"/>
      <w:bookmarkStart w:id="36" w:name="_Toc228620510"/>
      <w:bookmarkStart w:id="37" w:name="_Toc26648465"/>
      <w:r>
        <w:rPr>
          <w:rFonts w:hint="eastAsia"/>
        </w:rPr>
        <w:t>范围</w:t>
      </w:r>
      <w:bookmarkEnd w:id="28"/>
      <w:bookmarkEnd w:id="29"/>
      <w:bookmarkEnd w:id="30"/>
      <w:bookmarkEnd w:id="31"/>
      <w:bookmarkEnd w:id="32"/>
      <w:bookmarkEnd w:id="33"/>
      <w:bookmarkEnd w:id="34"/>
      <w:bookmarkEnd w:id="35"/>
      <w:bookmarkEnd w:id="36"/>
      <w:bookmarkEnd w:id="37"/>
    </w:p>
    <w:p w14:paraId="54B78B74">
      <w:pPr>
        <w:pStyle w:val="56"/>
        <w:spacing w:line="360" w:lineRule="auto"/>
        <w:ind w:firstLine="420"/>
      </w:pPr>
      <w:bookmarkStart w:id="38" w:name="_Toc24884212"/>
      <w:bookmarkStart w:id="39" w:name="_Toc24884219"/>
      <w:bookmarkStart w:id="40" w:name="_Toc17233326"/>
      <w:bookmarkStart w:id="41" w:name="_Toc17233334"/>
      <w:bookmarkStart w:id="42" w:name="_Toc26648466"/>
      <w:r>
        <w:rPr>
          <w:rFonts w:hint="eastAsia"/>
        </w:rPr>
        <w:t>本文件规定了建筑工程检测数据溯源与质量控制的基本要求、数据溯源管理、数据采集与记录、数据质量控制、数据审核与更正、电子数据管理、</w:t>
      </w:r>
      <w:r>
        <w:t>数据归档与保存</w:t>
      </w:r>
      <w:r>
        <w:rPr>
          <w:rFonts w:hint="eastAsia"/>
        </w:rPr>
        <w:t>、异常数据处置、</w:t>
      </w:r>
      <w:r>
        <w:t>监督检查与持续改进</w:t>
      </w:r>
      <w:r>
        <w:rPr>
          <w:rFonts w:hint="eastAsia"/>
        </w:rPr>
        <w:t>等要求。</w:t>
      </w:r>
    </w:p>
    <w:p w14:paraId="71C4ADC0">
      <w:pPr>
        <w:pStyle w:val="56"/>
        <w:spacing w:line="360" w:lineRule="auto"/>
        <w:ind w:firstLine="420"/>
      </w:pPr>
      <w:r>
        <w:rPr>
          <w:rFonts w:hint="eastAsia"/>
        </w:rPr>
        <w:t>本文件适用于建筑工程检测机构在地基基础、主体结构、建筑材料、建筑节能、室内环境、钢结构、幕墙、道路与市政配套工程等检测活动中形成的检测数据管理。建设单位、施工单位、监理单位、工程质量监督机构及相关信息化服务单位开展检测数据核查、共享、归档和质量追溯时可参照使用。</w:t>
      </w:r>
    </w:p>
    <w:p w14:paraId="3733B2AD">
      <w:pPr>
        <w:pStyle w:val="104"/>
        <w:spacing w:before="240" w:after="240" w:line="360" w:lineRule="auto"/>
      </w:pPr>
      <w:bookmarkStart w:id="43" w:name="_Toc26718931"/>
      <w:bookmarkStart w:id="44" w:name="_Toc26986531"/>
      <w:bookmarkStart w:id="45" w:name="_Toc26986772"/>
      <w:bookmarkStart w:id="46" w:name="_Toc97192965"/>
      <w:bookmarkStart w:id="47" w:name="_Toc228620511"/>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92C092C">
      <w:pPr>
        <w:pStyle w:val="56"/>
        <w:spacing w:line="360" w:lineRule="auto"/>
        <w:ind w:firstLine="420"/>
      </w:pPr>
      <w:r>
        <w:rPr>
          <w:rFonts w:hint="eastAsia"/>
        </w:rPr>
        <w:t>GB 50300—2013 建筑工程施工质量验收统一标准</w:t>
      </w:r>
    </w:p>
    <w:p w14:paraId="07A7F860">
      <w:pPr>
        <w:pStyle w:val="56"/>
        <w:spacing w:line="360" w:lineRule="auto"/>
        <w:ind w:firstLine="420"/>
      </w:pPr>
      <w:r>
        <w:rPr>
          <w:rFonts w:hint="eastAsia"/>
        </w:rPr>
        <w:t>GB/T 22080—2025 信息技术  安全技术  信息安全管理体系  要求</w:t>
      </w:r>
    </w:p>
    <w:p w14:paraId="4534B1AF">
      <w:pPr>
        <w:pStyle w:val="56"/>
        <w:spacing w:line="360" w:lineRule="auto"/>
        <w:ind w:firstLine="420"/>
      </w:pPr>
      <w:r>
        <w:t>CECS 182</w:t>
      </w:r>
      <w:r>
        <w:rPr>
          <w:rFonts w:hint="eastAsia"/>
        </w:rPr>
        <w:t>—</w:t>
      </w:r>
      <w:r>
        <w:t>2005</w:t>
      </w:r>
      <w:r>
        <w:rPr>
          <w:rFonts w:hint="eastAsia"/>
        </w:rPr>
        <w:t xml:space="preserve"> 智能建筑工程检测规程</w:t>
      </w:r>
    </w:p>
    <w:p w14:paraId="0092B300">
      <w:pPr>
        <w:pStyle w:val="56"/>
        <w:spacing w:line="360" w:lineRule="auto"/>
        <w:ind w:firstLine="420"/>
        <w:rPr>
          <w:rFonts w:hint="eastAsia"/>
        </w:rPr>
      </w:pPr>
      <w:r>
        <w:t>JGJ/T 454</w:t>
      </w:r>
      <w:r>
        <w:rPr>
          <w:rFonts w:hint="eastAsia"/>
        </w:rPr>
        <w:t>—</w:t>
      </w:r>
      <w:r>
        <w:t>2019</w:t>
      </w:r>
      <w:r>
        <w:rPr>
          <w:rFonts w:hint="eastAsia"/>
        </w:rPr>
        <w:t xml:space="preserve"> 智能建筑工程质量检测标准</w:t>
      </w:r>
    </w:p>
    <w:p w14:paraId="51F02A4E">
      <w:pPr>
        <w:pStyle w:val="104"/>
        <w:spacing w:before="240" w:after="240" w:line="360" w:lineRule="auto"/>
      </w:pPr>
      <w:bookmarkStart w:id="48" w:name="_Toc228620512"/>
      <w:bookmarkStart w:id="49" w:name="_Toc97192966"/>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080F527">
          <w:pPr>
            <w:pStyle w:val="56"/>
            <w:spacing w:line="360" w:lineRule="auto"/>
            <w:ind w:firstLine="420"/>
          </w:pPr>
          <w:bookmarkStart w:id="50" w:name="_Toc26986532"/>
          <w:bookmarkEnd w:id="50"/>
          <w:r>
            <w:t>下列术语和定义适用于本文件。</w:t>
          </w:r>
        </w:p>
      </w:sdtContent>
    </w:sdt>
    <w:p w14:paraId="4C84F32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数据溯源 data traceability</w:t>
      </w:r>
    </w:p>
    <w:p w14:paraId="20011113">
      <w:pPr>
        <w:pStyle w:val="56"/>
        <w:spacing w:line="360" w:lineRule="auto"/>
        <w:ind w:firstLine="420"/>
      </w:pPr>
      <w:r>
        <w:rPr>
          <w:rFonts w:hint="eastAsia"/>
        </w:rPr>
        <w:t>通过唯一标识、过程记录、责任记录和时间记录，将检测数据追溯至样品来源、检测方法、检测设备、检测人员、检测环境、数据处理过程、审核批准过程和最终检测报告的管理活动。</w:t>
      </w:r>
    </w:p>
    <w:p w14:paraId="5D05C46C">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溯源链 traceability chain</w:t>
      </w:r>
    </w:p>
    <w:p w14:paraId="5A8771E8">
      <w:pPr>
        <w:pStyle w:val="56"/>
        <w:spacing w:line="360" w:lineRule="auto"/>
        <w:ind w:firstLine="420"/>
      </w:pPr>
      <w:r>
        <w:rPr>
          <w:rFonts w:hint="eastAsia"/>
        </w:rPr>
        <w:t>由样品接收、样品流转、检测实施、数据采集、数据处理、结果审核、报告签发、档案归集和数据调用等环节形成的连续记录链条。</w:t>
      </w:r>
    </w:p>
    <w:p w14:paraId="42D5A462">
      <w:pPr>
        <w:pStyle w:val="56"/>
        <w:spacing w:line="360" w:lineRule="auto"/>
        <w:ind w:firstLine="420"/>
        <w:rPr>
          <w:rFonts w:hint="eastAsia"/>
        </w:rPr>
      </w:pPr>
    </w:p>
    <w:p w14:paraId="21CED56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数据质量控制 data quality control</w:t>
      </w:r>
    </w:p>
    <w:p w14:paraId="6EF85189">
      <w:pPr>
        <w:pStyle w:val="56"/>
        <w:spacing w:line="360" w:lineRule="auto"/>
        <w:ind w:firstLine="420"/>
      </w:pPr>
      <w:r>
        <w:rPr>
          <w:rFonts w:hint="eastAsia"/>
        </w:rPr>
        <w:t>为保证检测数据真实、准确、完整、一致、可追溯和可验证，对数据形成、录入、计算、审核、修改、传输、存储和调用过程实施的控制活动。</w:t>
      </w:r>
    </w:p>
    <w:p w14:paraId="12F192E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原始记录 original record</w:t>
      </w:r>
    </w:p>
    <w:p w14:paraId="505D722D">
      <w:pPr>
        <w:pStyle w:val="56"/>
        <w:spacing w:line="360" w:lineRule="auto"/>
        <w:ind w:firstLine="420"/>
      </w:pPr>
      <w:r>
        <w:rPr>
          <w:rFonts w:hint="eastAsia"/>
        </w:rPr>
        <w:t>检测活动实施过程中直接形成的记录，包括人工填写记录、仪器自动输出记录、现场检测记录、环境条件记录、样品状态记录、计算记录、图像记录、视频记录及其他用于支撑检测结果的数据资料。</w:t>
      </w:r>
    </w:p>
    <w:p w14:paraId="3A876EAB">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电子原始记录 electronic original record</w:t>
      </w:r>
    </w:p>
    <w:p w14:paraId="7C877169">
      <w:pPr>
        <w:pStyle w:val="56"/>
        <w:spacing w:line="360" w:lineRule="auto"/>
        <w:ind w:firstLine="420"/>
      </w:pPr>
      <w:r>
        <w:rPr>
          <w:rFonts w:hint="eastAsia"/>
        </w:rPr>
        <w:t>以电子方式形成、保存并可用于证明检测过程和检测结果的原始记录。电子原始记录应具有生成时间、生成主体、数据来源、修改留痕和防篡改控制信息。</w:t>
      </w:r>
    </w:p>
    <w:p w14:paraId="1F72B3BD">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唯一标识 unique identification</w:t>
      </w:r>
    </w:p>
    <w:p w14:paraId="4B5F96B4">
      <w:pPr>
        <w:pStyle w:val="56"/>
        <w:spacing w:line="360" w:lineRule="auto"/>
        <w:ind w:firstLine="420"/>
      </w:pPr>
      <w:r>
        <w:rPr>
          <w:rFonts w:hint="eastAsia"/>
        </w:rPr>
        <w:t>用于区分委托、样品、检测任务、检测记录、检测报告、检测设备、检测人员和电子文件的唯一编码或标记。</w:t>
      </w:r>
    </w:p>
    <w:p w14:paraId="12264B21">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样品标识 sample identification</w:t>
      </w:r>
    </w:p>
    <w:p w14:paraId="0BEF1301">
      <w:pPr>
        <w:pStyle w:val="56"/>
        <w:spacing w:line="360" w:lineRule="auto"/>
        <w:ind w:firstLine="420"/>
      </w:pPr>
      <w:r>
        <w:rPr>
          <w:rFonts w:hint="eastAsia"/>
        </w:rPr>
        <w:t>用于识别样品来源、类别、规格、数量、状态、接收时间、流转过程和检测项目的标识信息。</w:t>
      </w:r>
    </w:p>
    <w:p w14:paraId="2802A8B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自动采集数据 automatically collected data</w:t>
      </w:r>
    </w:p>
    <w:p w14:paraId="0B3FC262">
      <w:pPr>
        <w:pStyle w:val="56"/>
        <w:spacing w:line="360" w:lineRule="auto"/>
        <w:ind w:firstLine="420"/>
      </w:pPr>
      <w:r>
        <w:rPr>
          <w:rFonts w:hint="eastAsia"/>
        </w:rPr>
        <w:t>由检测设备、传感器、数据采集终端或信息系统自动生成并传输的数据。</w:t>
      </w:r>
    </w:p>
    <w:p w14:paraId="5741CCD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人工录入数据 manually entered data</w:t>
      </w:r>
    </w:p>
    <w:p w14:paraId="2C0F0225">
      <w:pPr>
        <w:pStyle w:val="56"/>
        <w:spacing w:line="360" w:lineRule="auto"/>
        <w:ind w:firstLine="420"/>
      </w:pPr>
      <w:r>
        <w:rPr>
          <w:rFonts w:hint="eastAsia"/>
        </w:rPr>
        <w:t>由检测人员、复核人员、审核人员或其他授权人员通过手工录入方式形成的数据。</w:t>
      </w:r>
    </w:p>
    <w:p w14:paraId="60EB41D6">
      <w:pPr>
        <w:pStyle w:val="104"/>
        <w:spacing w:before="240" w:after="240" w:line="360" w:lineRule="auto"/>
      </w:pPr>
      <w:bookmarkStart w:id="51" w:name="_Toc228620513"/>
      <w:r>
        <w:rPr>
          <w:rFonts w:hint="eastAsia"/>
        </w:rPr>
        <w:t>基本要求</w:t>
      </w:r>
      <w:bookmarkEnd w:id="51"/>
    </w:p>
    <w:p w14:paraId="386B674E">
      <w:pPr>
        <w:pStyle w:val="105"/>
        <w:spacing w:before="120" w:after="120" w:line="360" w:lineRule="auto"/>
      </w:pPr>
      <w:r>
        <w:rPr>
          <w:rFonts w:hint="eastAsia"/>
        </w:rPr>
        <w:t>总体要求</w:t>
      </w:r>
    </w:p>
    <w:p w14:paraId="08D585A4">
      <w:pPr>
        <w:pStyle w:val="165"/>
        <w:spacing w:line="360" w:lineRule="auto"/>
      </w:pPr>
      <w:r>
        <w:rPr>
          <w:rFonts w:hint="eastAsia"/>
        </w:rPr>
        <w:t>建筑工程检测数据管理应覆盖委托受理、样品接收、样品流转、检测实施、数据采集、数据计算、结果复核、报告审核、报告签发、资料归档、数据调用和异常处置全过程。</w:t>
      </w:r>
    </w:p>
    <w:p w14:paraId="510DBF52">
      <w:pPr>
        <w:pStyle w:val="165"/>
        <w:spacing w:line="360" w:lineRule="auto"/>
      </w:pPr>
      <w:r>
        <w:rPr>
          <w:rFonts w:hint="eastAsia"/>
        </w:rPr>
        <w:t>检测机构应建立检测数据溯源与质量控制制度，明确组织职责、岗位权限、数据流程、控制节点、审核要求、异常处置要求和责任追究要求。</w:t>
      </w:r>
    </w:p>
    <w:p w14:paraId="7C77126E">
      <w:pPr>
        <w:pStyle w:val="165"/>
        <w:spacing w:line="360" w:lineRule="auto"/>
      </w:pPr>
      <w:r>
        <w:rPr>
          <w:rFonts w:hint="eastAsia"/>
        </w:rPr>
        <w:t>检测数据应真实、准确、完整、清晰、连续、可追溯，不得伪造、篡改、隐匿、替换、选择性删除检测数据。</w:t>
      </w:r>
    </w:p>
    <w:p w14:paraId="665F9AC3">
      <w:pPr>
        <w:pStyle w:val="165"/>
        <w:spacing w:line="360" w:lineRule="auto"/>
      </w:pPr>
      <w:r>
        <w:rPr>
          <w:rFonts w:hint="eastAsia"/>
        </w:rPr>
        <w:t>检测数据应与委托信息、样品信息、检测方法、检测设备、检测人员、检测环境、原始记录、检测报告和归档资料保持一致。</w:t>
      </w:r>
    </w:p>
    <w:p w14:paraId="171933A4">
      <w:pPr>
        <w:pStyle w:val="165"/>
        <w:spacing w:line="360" w:lineRule="auto"/>
      </w:pPr>
      <w:r>
        <w:rPr>
          <w:rFonts w:hint="eastAsia"/>
        </w:rPr>
        <w:t>检测机构应对检测数据实施分级管理。涉及结构安全、主要使用功能、工程质量验收结论和质量责任认定的数据，应作为重点数据进行控制。</w:t>
      </w:r>
    </w:p>
    <w:p w14:paraId="4AE43D23">
      <w:pPr>
        <w:pStyle w:val="165"/>
        <w:spacing w:line="360" w:lineRule="auto"/>
      </w:pPr>
      <w:r>
        <w:rPr>
          <w:rFonts w:hint="eastAsia"/>
        </w:rPr>
        <w:t>检测机构应建立检测数据唯一标识规则。委托单、样品、检测任务、原始记录、检测报告、电子文件和归档资料应具有唯一标识，且同一检测事项的标识应能相互关联。</w:t>
      </w:r>
    </w:p>
    <w:p w14:paraId="7164F78C">
      <w:pPr>
        <w:pStyle w:val="165"/>
        <w:spacing w:line="360" w:lineRule="auto"/>
      </w:pPr>
      <w:r>
        <w:rPr>
          <w:rFonts w:hint="eastAsia"/>
        </w:rPr>
        <w:t>检测机构应建立数据留痕机制。数据生成、录入、修改、删除、审核、退回、批准、导出、归档和调用等操作应保留操作记录。</w:t>
      </w:r>
    </w:p>
    <w:p w14:paraId="5DA6516B">
      <w:pPr>
        <w:pStyle w:val="165"/>
        <w:spacing w:line="360" w:lineRule="auto"/>
      </w:pPr>
      <w:r>
        <w:rPr>
          <w:rFonts w:hint="eastAsia"/>
        </w:rPr>
        <w:t>检测机构采用信息系统管理检测数据时，信息系统应具备用户权限控制、数据备份、日志记录、版本管理、异常提示和防篡改功能。</w:t>
      </w:r>
    </w:p>
    <w:p w14:paraId="02CABA4C">
      <w:pPr>
        <w:pStyle w:val="165"/>
        <w:spacing w:line="360" w:lineRule="auto"/>
      </w:pPr>
      <w:r>
        <w:rPr>
          <w:rFonts w:hint="eastAsia"/>
        </w:rPr>
        <w:t>检测机构不得以覆盖原始数据、删除电子日志、替换原始文件、重新生成无留痕记录等方式规避数据追溯要求。</w:t>
      </w:r>
    </w:p>
    <w:p w14:paraId="27067632">
      <w:pPr>
        <w:pStyle w:val="165"/>
        <w:spacing w:line="360" w:lineRule="auto"/>
      </w:pPr>
      <w:r>
        <w:rPr>
          <w:rFonts w:hint="eastAsia"/>
        </w:rPr>
        <w:t>检测机构应定期开展检测数据质量检查，对发现的问题应及时采取纠正措施，并形成检查记录、原因分析记录和整改验证记录。</w:t>
      </w:r>
    </w:p>
    <w:p w14:paraId="6897E2B5">
      <w:pPr>
        <w:pStyle w:val="105"/>
        <w:spacing w:before="120" w:after="120" w:line="360" w:lineRule="auto"/>
      </w:pPr>
      <w:r>
        <w:rPr>
          <w:rFonts w:hint="eastAsia"/>
        </w:rPr>
        <w:t>职责要求</w:t>
      </w:r>
    </w:p>
    <w:p w14:paraId="49B05DC0">
      <w:pPr>
        <w:pStyle w:val="165"/>
        <w:spacing w:line="360" w:lineRule="auto"/>
      </w:pPr>
      <w:r>
        <w:rPr>
          <w:rFonts w:hint="eastAsia"/>
        </w:rPr>
        <w:t>检测机构负责人应对检测数据溯源与质量控制工作承担管理责任，应组织建立数据管理制度、资源保障机制和监督检查机制。</w:t>
      </w:r>
    </w:p>
    <w:p w14:paraId="17DC131A">
      <w:pPr>
        <w:pStyle w:val="165"/>
        <w:spacing w:line="360" w:lineRule="auto"/>
      </w:pPr>
      <w:r>
        <w:rPr>
          <w:rFonts w:hint="eastAsia"/>
        </w:rPr>
        <w:t>技术负责人应对检测方法适用性、检测数据技术审核、异常数据技术判定和检测结果有效性承担技术管理责任。</w:t>
      </w:r>
    </w:p>
    <w:p w14:paraId="4BE3B806">
      <w:pPr>
        <w:pStyle w:val="165"/>
        <w:spacing w:line="360" w:lineRule="auto"/>
      </w:pPr>
      <w:r>
        <w:rPr>
          <w:rFonts w:hint="eastAsia"/>
        </w:rPr>
        <w:t>质量负责人应对检测数据质量控制体系运行、内部审核、质量监督、纠正措施和持续改进承担管理责任。</w:t>
      </w:r>
    </w:p>
    <w:p w14:paraId="76A2C450">
      <w:pPr>
        <w:pStyle w:val="165"/>
        <w:spacing w:line="360" w:lineRule="auto"/>
      </w:pPr>
      <w:r>
        <w:rPr>
          <w:rFonts w:hint="eastAsia"/>
        </w:rPr>
        <w:t>检测人员应对本人采集、记录、录入和确认的数据负责，不得委托无授权人员代填、代录、代签检测数据。</w:t>
      </w:r>
    </w:p>
    <w:p w14:paraId="337863A0">
      <w:pPr>
        <w:pStyle w:val="165"/>
        <w:spacing w:line="360" w:lineRule="auto"/>
      </w:pPr>
      <w:r>
        <w:rPr>
          <w:rFonts w:hint="eastAsia"/>
        </w:rPr>
        <w:t>复核人员应对原始记录完整性、计算过程正确性、数据逻辑一致性和检测结果符合性进行复核，不得仅对报告格式进行形式审查。</w:t>
      </w:r>
    </w:p>
    <w:p w14:paraId="1616DC31">
      <w:pPr>
        <w:pStyle w:val="165"/>
        <w:spacing w:line="360" w:lineRule="auto"/>
      </w:pPr>
      <w:r>
        <w:rPr>
          <w:rFonts w:hint="eastAsia"/>
        </w:rPr>
        <w:t>审核人员应对检测报告与原始记录、检测方法、样品信息、设备状态和审核记录的一致性进行审核。</w:t>
      </w:r>
    </w:p>
    <w:p w14:paraId="472992EC">
      <w:pPr>
        <w:pStyle w:val="165"/>
        <w:spacing w:line="360" w:lineRule="auto"/>
      </w:pPr>
      <w:r>
        <w:rPr>
          <w:rFonts w:hint="eastAsia"/>
        </w:rPr>
        <w:t>授权签字人应对检测报告签发前的数据完整性、结果有效性和结论适用性进行确认。</w:t>
      </w:r>
    </w:p>
    <w:p w14:paraId="22699423">
      <w:pPr>
        <w:pStyle w:val="165"/>
        <w:spacing w:line="360" w:lineRule="auto"/>
      </w:pPr>
      <w:r>
        <w:rPr>
          <w:rFonts w:hint="eastAsia"/>
        </w:rPr>
        <w:t>信息系统管理人员应对检测数据系统账号、权限、日志、备份、安全策略和系统运行状态进行维护，不得擅自修改检测业务数据。</w:t>
      </w:r>
    </w:p>
    <w:p w14:paraId="71101320">
      <w:pPr>
        <w:pStyle w:val="165"/>
        <w:numPr>
          <w:ilvl w:val="0"/>
          <w:numId w:val="0"/>
        </w:numPr>
        <w:spacing w:line="360" w:lineRule="auto"/>
        <w:rPr>
          <w:rFonts w:hint="eastAsia"/>
        </w:rPr>
      </w:pPr>
    </w:p>
    <w:p w14:paraId="7FD90E82">
      <w:pPr>
        <w:pStyle w:val="105"/>
        <w:spacing w:before="120" w:after="120" w:line="360" w:lineRule="auto"/>
      </w:pPr>
      <w:r>
        <w:rPr>
          <w:rFonts w:hint="eastAsia"/>
        </w:rPr>
        <w:t>制度要求</w:t>
      </w:r>
    </w:p>
    <w:p w14:paraId="5C6689D7">
      <w:pPr>
        <w:pStyle w:val="165"/>
        <w:spacing w:line="360" w:lineRule="auto"/>
      </w:pPr>
      <w:r>
        <w:rPr>
          <w:rFonts w:hint="eastAsia"/>
        </w:rPr>
        <w:t>检测机构应建立并实施下列检测数据管理制度：</w:t>
      </w:r>
    </w:p>
    <w:p w14:paraId="2357E118">
      <w:pPr>
        <w:pStyle w:val="56"/>
        <w:spacing w:line="360" w:lineRule="auto"/>
        <w:ind w:firstLine="420"/>
      </w:pPr>
      <w:r>
        <w:rPr>
          <w:rFonts w:hint="eastAsia"/>
        </w:rPr>
        <w:t>a) 检测数据采集与记录制度；</w:t>
      </w:r>
    </w:p>
    <w:p w14:paraId="5EFF4B52">
      <w:pPr>
        <w:pStyle w:val="56"/>
        <w:spacing w:line="360" w:lineRule="auto"/>
        <w:ind w:firstLine="420"/>
      </w:pPr>
      <w:r>
        <w:rPr>
          <w:rFonts w:hint="eastAsia"/>
        </w:rPr>
        <w:t>b) 原始记录管理制度；</w:t>
      </w:r>
    </w:p>
    <w:p w14:paraId="3734EA89">
      <w:pPr>
        <w:pStyle w:val="56"/>
        <w:spacing w:line="360" w:lineRule="auto"/>
        <w:ind w:firstLine="420"/>
      </w:pPr>
      <w:r>
        <w:rPr>
          <w:rFonts w:hint="eastAsia"/>
        </w:rPr>
        <w:t>c) 样品标识与流转记录制度；</w:t>
      </w:r>
    </w:p>
    <w:p w14:paraId="6A4E7C77">
      <w:pPr>
        <w:pStyle w:val="56"/>
        <w:spacing w:line="360" w:lineRule="auto"/>
        <w:ind w:firstLine="420"/>
      </w:pPr>
      <w:r>
        <w:rPr>
          <w:rFonts w:hint="eastAsia"/>
        </w:rPr>
        <w:t>d) 检测设备数据关联制度；</w:t>
      </w:r>
    </w:p>
    <w:p w14:paraId="73657029">
      <w:pPr>
        <w:pStyle w:val="56"/>
        <w:spacing w:line="360" w:lineRule="auto"/>
        <w:ind w:firstLine="420"/>
      </w:pPr>
      <w:r>
        <w:rPr>
          <w:rFonts w:hint="eastAsia"/>
        </w:rPr>
        <w:t>e) 检测数据复核与审核制度；</w:t>
      </w:r>
    </w:p>
    <w:p w14:paraId="5622D9E6">
      <w:pPr>
        <w:pStyle w:val="56"/>
        <w:spacing w:line="360" w:lineRule="auto"/>
        <w:ind w:firstLine="420"/>
      </w:pPr>
      <w:r>
        <w:rPr>
          <w:rFonts w:hint="eastAsia"/>
        </w:rPr>
        <w:t>f) 检测数据更正制度；</w:t>
      </w:r>
    </w:p>
    <w:p w14:paraId="483C3050">
      <w:pPr>
        <w:pStyle w:val="56"/>
        <w:spacing w:line="360" w:lineRule="auto"/>
        <w:ind w:firstLine="420"/>
      </w:pPr>
      <w:r>
        <w:rPr>
          <w:rFonts w:hint="eastAsia"/>
        </w:rPr>
        <w:t>g) 电子数据安全管理制度；</w:t>
      </w:r>
    </w:p>
    <w:p w14:paraId="1C0F220C">
      <w:pPr>
        <w:pStyle w:val="56"/>
        <w:spacing w:line="360" w:lineRule="auto"/>
        <w:ind w:firstLine="420"/>
      </w:pPr>
      <w:r>
        <w:rPr>
          <w:rFonts w:hint="eastAsia"/>
        </w:rPr>
        <w:t>h) 检测数据归档与保存制度；</w:t>
      </w:r>
    </w:p>
    <w:p w14:paraId="28E4D14E">
      <w:pPr>
        <w:pStyle w:val="56"/>
        <w:spacing w:line="360" w:lineRule="auto"/>
        <w:ind w:firstLine="420"/>
      </w:pPr>
      <w:r>
        <w:rPr>
          <w:rFonts w:hint="eastAsia"/>
        </w:rPr>
        <w:t>i) 异常数据识别与处置制度；</w:t>
      </w:r>
    </w:p>
    <w:p w14:paraId="0B24E7EF">
      <w:pPr>
        <w:pStyle w:val="56"/>
        <w:spacing w:line="360" w:lineRule="auto"/>
        <w:ind w:firstLine="420"/>
      </w:pPr>
      <w:r>
        <w:rPr>
          <w:rFonts w:hint="eastAsia"/>
        </w:rPr>
        <w:t>j) 数据质量监督检查制度。</w:t>
      </w:r>
    </w:p>
    <w:p w14:paraId="0A3307DA">
      <w:pPr>
        <w:pStyle w:val="165"/>
        <w:spacing w:line="360" w:lineRule="auto"/>
      </w:pPr>
      <w:r>
        <w:rPr>
          <w:rFonts w:hint="eastAsia"/>
        </w:rPr>
        <w:t>检测机构应将数据溯源与质量控制要求纳入质量管理体系文件，并应与检测方法、作业指导书、记录表式和信息系统操作规则保持一致。</w:t>
      </w:r>
    </w:p>
    <w:p w14:paraId="1C728CF0">
      <w:pPr>
        <w:pStyle w:val="165"/>
        <w:spacing w:line="360" w:lineRule="auto"/>
      </w:pPr>
      <w:r>
        <w:rPr>
          <w:rFonts w:hint="eastAsia"/>
        </w:rPr>
        <w:t>检测机构应对检测人员、复核人员、审核人员、授权签字人和信息系统管理人员开展数据管理培训。未经培训或考核不合格的人员，不得独立承担数据采集、数据审核、报告签发和系统管理工作。</w:t>
      </w:r>
    </w:p>
    <w:p w14:paraId="10E5F33A">
      <w:pPr>
        <w:pStyle w:val="165"/>
        <w:spacing w:line="360" w:lineRule="auto"/>
      </w:pPr>
      <w:r>
        <w:rPr>
          <w:rFonts w:hint="eastAsia"/>
        </w:rPr>
        <w:t>检测机构应建立岗位授权清单，明确不同岗位的数据录入、修改、复核、审核、批准、导出、归档和删除权限。</w:t>
      </w:r>
    </w:p>
    <w:p w14:paraId="73C07664">
      <w:pPr>
        <w:pStyle w:val="165"/>
        <w:spacing w:line="360" w:lineRule="auto"/>
      </w:pPr>
      <w:r>
        <w:rPr>
          <w:rFonts w:hint="eastAsia"/>
        </w:rPr>
        <w:t>检测机构应保存岗位授权记录。岗位调整、人员离职、职责变更时，应及时调整信息系统权限，不得保留无关人员账号或超范围权限。</w:t>
      </w:r>
    </w:p>
    <w:p w14:paraId="1EFFA461">
      <w:pPr>
        <w:pStyle w:val="105"/>
        <w:spacing w:before="120" w:after="120" w:line="360" w:lineRule="auto"/>
      </w:pPr>
      <w:r>
        <w:rPr>
          <w:rFonts w:hint="eastAsia"/>
        </w:rPr>
        <w:t>数据控制原则</w:t>
      </w:r>
    </w:p>
    <w:p w14:paraId="70C60B5C">
      <w:pPr>
        <w:pStyle w:val="165"/>
        <w:spacing w:line="360" w:lineRule="auto"/>
      </w:pPr>
      <w:r>
        <w:rPr>
          <w:rFonts w:hint="eastAsia"/>
        </w:rPr>
        <w:t>检测数据应遵循来源可查、过程可控、责任可追、结果可验、风险可防的原则。</w:t>
      </w:r>
    </w:p>
    <w:p w14:paraId="64DA8DDE">
      <w:pPr>
        <w:pStyle w:val="165"/>
        <w:spacing w:line="360" w:lineRule="auto"/>
      </w:pPr>
      <w:r>
        <w:rPr>
          <w:rFonts w:hint="eastAsia"/>
        </w:rPr>
        <w:t>检测数据采集应以检测方法、合同委托、样品状态、设备状态和现场条件为依据，不得脱离实际检测过程生成数据。</w:t>
      </w:r>
    </w:p>
    <w:p w14:paraId="11C693E9">
      <w:pPr>
        <w:pStyle w:val="165"/>
        <w:spacing w:line="360" w:lineRule="auto"/>
      </w:pPr>
      <w:r>
        <w:rPr>
          <w:rFonts w:hint="eastAsia"/>
        </w:rPr>
        <w:t>检测数据记录应与检测活动同步进行。因现场条件限制不能同步录入信息系统的，应先形成纸质记录、仪器记录或影像记录，并应在规定时间内补录至信息系统。</w:t>
      </w:r>
    </w:p>
    <w:p w14:paraId="4A9578AC">
      <w:pPr>
        <w:pStyle w:val="165"/>
        <w:spacing w:line="360" w:lineRule="auto"/>
      </w:pPr>
      <w:r>
        <w:rPr>
          <w:rFonts w:hint="eastAsia"/>
        </w:rPr>
        <w:t>检测数据处理应保留计算公式、计算参数、计算过程、修约规则和判定依据。</w:t>
      </w:r>
    </w:p>
    <w:p w14:paraId="26A08522">
      <w:pPr>
        <w:pStyle w:val="165"/>
        <w:spacing w:line="360" w:lineRule="auto"/>
      </w:pPr>
      <w:r>
        <w:rPr>
          <w:rFonts w:hint="eastAsia"/>
        </w:rPr>
        <w:t>检测数据审核应以原始记录为基础，不得以检测报告代替原始记录进行审核。</w:t>
      </w:r>
    </w:p>
    <w:p w14:paraId="2A994DAA">
      <w:pPr>
        <w:pStyle w:val="165"/>
        <w:spacing w:line="360" w:lineRule="auto"/>
      </w:pPr>
      <w:r>
        <w:rPr>
          <w:rFonts w:hint="eastAsia"/>
        </w:rPr>
        <w:t>检测数据归档应保持记录完整、目录清晰、版本明确、权限受控和可读取状态。</w:t>
      </w:r>
    </w:p>
    <w:p w14:paraId="3B47DEE0">
      <w:pPr>
        <w:pStyle w:val="165"/>
        <w:spacing w:line="360" w:lineRule="auto"/>
      </w:pPr>
      <w:r>
        <w:rPr>
          <w:rFonts w:hint="eastAsia"/>
        </w:rPr>
        <w:t>检测数据调用应符合授权要求。未经批准，不得向无关单位或人员提供检测数据、原始记录、电子文件或系统账号。</w:t>
      </w:r>
    </w:p>
    <w:p w14:paraId="1B217CEA">
      <w:pPr>
        <w:pStyle w:val="165"/>
        <w:spacing w:line="360" w:lineRule="auto"/>
      </w:pPr>
      <w:r>
        <w:rPr>
          <w:rFonts w:hint="eastAsia"/>
        </w:rPr>
        <w:t>检测机构应对涉及工程质量争议、质量事故、监督抽查、司法鉴定和行政执法的数据采取保护措施，不得擅自更改、销毁或迁移。</w:t>
      </w:r>
    </w:p>
    <w:p w14:paraId="1D92E945">
      <w:pPr>
        <w:pStyle w:val="105"/>
        <w:spacing w:before="120" w:after="120" w:line="360" w:lineRule="auto"/>
      </w:pPr>
      <w:r>
        <w:rPr>
          <w:rFonts w:hint="eastAsia"/>
        </w:rPr>
        <w:t>控制节点</w:t>
      </w:r>
    </w:p>
    <w:p w14:paraId="681182D9">
      <w:pPr>
        <w:pStyle w:val="56"/>
        <w:spacing w:line="360" w:lineRule="auto"/>
        <w:ind w:firstLine="420"/>
      </w:pPr>
      <w:r>
        <w:rPr>
          <w:rFonts w:hint="eastAsia"/>
        </w:rPr>
        <w:t>检测数据溯源与质控应围绕关键业务环节设置控制节点，主要控制节点及控制要求见表1。</w:t>
      </w:r>
    </w:p>
    <w:p w14:paraId="2A62EE40">
      <w:pPr>
        <w:pStyle w:val="112"/>
        <w:spacing w:before="120" w:after="120" w:line="360" w:lineRule="auto"/>
      </w:pPr>
      <w:r>
        <w:rPr>
          <w:rFonts w:hint="eastAsia"/>
        </w:rPr>
        <w:t>检测数据溯源与质控主要控制节点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41"/>
        <w:gridCol w:w="1276"/>
        <w:gridCol w:w="2835"/>
        <w:gridCol w:w="4382"/>
      </w:tblGrid>
      <w:tr w14:paraId="65A83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8" w:space="0"/>
            </w:tcBorders>
            <w:vAlign w:val="center"/>
          </w:tcPr>
          <w:p w14:paraId="168B5279">
            <w:pPr>
              <w:pStyle w:val="178"/>
            </w:pPr>
            <w:r>
              <w:rPr>
                <w:rFonts w:hint="eastAsia"/>
              </w:rPr>
              <w:t>序号</w:t>
            </w:r>
          </w:p>
        </w:tc>
        <w:tc>
          <w:tcPr>
            <w:tcW w:w="1276" w:type="dxa"/>
            <w:tcBorders>
              <w:top w:val="single" w:color="auto" w:sz="8" w:space="0"/>
              <w:bottom w:val="single" w:color="auto" w:sz="8" w:space="0"/>
            </w:tcBorders>
            <w:vAlign w:val="center"/>
          </w:tcPr>
          <w:p w14:paraId="79E7ABB8">
            <w:pPr>
              <w:pStyle w:val="178"/>
            </w:pPr>
            <w:r>
              <w:rPr>
                <w:rFonts w:hint="eastAsia"/>
              </w:rPr>
              <w:t>控制节点</w:t>
            </w:r>
          </w:p>
        </w:tc>
        <w:tc>
          <w:tcPr>
            <w:tcW w:w="2835" w:type="dxa"/>
            <w:tcBorders>
              <w:top w:val="single" w:color="auto" w:sz="8" w:space="0"/>
              <w:bottom w:val="single" w:color="auto" w:sz="8" w:space="0"/>
            </w:tcBorders>
            <w:vAlign w:val="center"/>
          </w:tcPr>
          <w:p w14:paraId="47B3A1C9">
            <w:pPr>
              <w:pStyle w:val="178"/>
            </w:pPr>
            <w:r>
              <w:rPr>
                <w:rFonts w:hint="eastAsia"/>
              </w:rPr>
              <w:t>控制对象</w:t>
            </w:r>
          </w:p>
        </w:tc>
        <w:tc>
          <w:tcPr>
            <w:tcW w:w="4382" w:type="dxa"/>
            <w:tcBorders>
              <w:top w:val="single" w:color="auto" w:sz="8" w:space="0"/>
              <w:bottom w:val="single" w:color="auto" w:sz="8" w:space="0"/>
            </w:tcBorders>
            <w:vAlign w:val="center"/>
          </w:tcPr>
          <w:p w14:paraId="5152843E">
            <w:pPr>
              <w:pStyle w:val="178"/>
            </w:pPr>
            <w:r>
              <w:rPr>
                <w:rFonts w:hint="eastAsia"/>
              </w:rPr>
              <w:t>主要控制要求</w:t>
            </w:r>
          </w:p>
        </w:tc>
      </w:tr>
      <w:tr w14:paraId="793734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tcBorders>
              <w:top w:val="single" w:color="auto" w:sz="8" w:space="0"/>
            </w:tcBorders>
            <w:vAlign w:val="center"/>
          </w:tcPr>
          <w:p w14:paraId="0089ED9F">
            <w:pPr>
              <w:pStyle w:val="178"/>
            </w:pPr>
            <w:r>
              <w:rPr>
                <w:rFonts w:hint="eastAsia"/>
              </w:rPr>
              <w:t>1</w:t>
            </w:r>
          </w:p>
        </w:tc>
        <w:tc>
          <w:tcPr>
            <w:tcW w:w="1276" w:type="dxa"/>
            <w:tcBorders>
              <w:top w:val="single" w:color="auto" w:sz="8" w:space="0"/>
            </w:tcBorders>
            <w:vAlign w:val="center"/>
          </w:tcPr>
          <w:p w14:paraId="466D8FD4">
            <w:pPr>
              <w:pStyle w:val="178"/>
            </w:pPr>
            <w:r>
              <w:rPr>
                <w:rFonts w:hint="eastAsia"/>
              </w:rPr>
              <w:t>委托受理</w:t>
            </w:r>
          </w:p>
        </w:tc>
        <w:tc>
          <w:tcPr>
            <w:tcW w:w="2835" w:type="dxa"/>
            <w:tcBorders>
              <w:top w:val="single" w:color="auto" w:sz="8" w:space="0"/>
            </w:tcBorders>
            <w:vAlign w:val="center"/>
          </w:tcPr>
          <w:p w14:paraId="74339227">
            <w:pPr>
              <w:pStyle w:val="178"/>
            </w:pPr>
            <w:r>
              <w:rPr>
                <w:rFonts w:hint="eastAsia"/>
              </w:rPr>
              <w:t>委托信息、工程信息、检测项目</w:t>
            </w:r>
          </w:p>
        </w:tc>
        <w:tc>
          <w:tcPr>
            <w:tcW w:w="4382" w:type="dxa"/>
            <w:tcBorders>
              <w:top w:val="single" w:color="auto" w:sz="8" w:space="0"/>
            </w:tcBorders>
            <w:vAlign w:val="center"/>
          </w:tcPr>
          <w:p w14:paraId="797ADB2D">
            <w:pPr>
              <w:pStyle w:val="178"/>
            </w:pPr>
            <w:r>
              <w:rPr>
                <w:rFonts w:hint="eastAsia"/>
              </w:rPr>
              <w:t>应核对工程名称、委托单位、检测项目、检测依据和样品来源，不得受理信息明显缺失且无法补正的检测委托</w:t>
            </w:r>
          </w:p>
        </w:tc>
      </w:tr>
      <w:tr w14:paraId="5AAC6E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55EC96E8">
            <w:pPr>
              <w:pStyle w:val="178"/>
            </w:pPr>
            <w:r>
              <w:rPr>
                <w:rFonts w:hint="eastAsia"/>
              </w:rPr>
              <w:t>2</w:t>
            </w:r>
          </w:p>
        </w:tc>
        <w:tc>
          <w:tcPr>
            <w:tcW w:w="1276" w:type="dxa"/>
            <w:vAlign w:val="center"/>
          </w:tcPr>
          <w:p w14:paraId="706615D3">
            <w:pPr>
              <w:pStyle w:val="178"/>
            </w:pPr>
            <w:r>
              <w:rPr>
                <w:rFonts w:hint="eastAsia"/>
              </w:rPr>
              <w:t>样品接收</w:t>
            </w:r>
          </w:p>
        </w:tc>
        <w:tc>
          <w:tcPr>
            <w:tcW w:w="2835" w:type="dxa"/>
            <w:vAlign w:val="center"/>
          </w:tcPr>
          <w:p w14:paraId="17602DCD">
            <w:pPr>
              <w:pStyle w:val="178"/>
            </w:pPr>
            <w:r>
              <w:rPr>
                <w:rFonts w:hint="eastAsia"/>
              </w:rPr>
              <w:t>样品标识、样品状态、交接记录</w:t>
            </w:r>
          </w:p>
        </w:tc>
        <w:tc>
          <w:tcPr>
            <w:tcW w:w="4382" w:type="dxa"/>
            <w:vAlign w:val="center"/>
          </w:tcPr>
          <w:p w14:paraId="5FC9C58C">
            <w:pPr>
              <w:pStyle w:val="178"/>
            </w:pPr>
            <w:r>
              <w:rPr>
                <w:rFonts w:hint="eastAsia"/>
              </w:rPr>
              <w:t>应确认样品数量、规格、状态、标识和见证信息，不符合接收要求的样品应记录并处置</w:t>
            </w:r>
          </w:p>
        </w:tc>
      </w:tr>
      <w:tr w14:paraId="4571B5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2427E5CB">
            <w:pPr>
              <w:pStyle w:val="178"/>
            </w:pPr>
            <w:r>
              <w:rPr>
                <w:rFonts w:hint="eastAsia"/>
              </w:rPr>
              <w:t>3</w:t>
            </w:r>
          </w:p>
        </w:tc>
        <w:tc>
          <w:tcPr>
            <w:tcW w:w="1276" w:type="dxa"/>
            <w:vAlign w:val="center"/>
          </w:tcPr>
          <w:p w14:paraId="29A76DF8">
            <w:pPr>
              <w:pStyle w:val="178"/>
            </w:pPr>
            <w:r>
              <w:rPr>
                <w:rFonts w:hint="eastAsia"/>
              </w:rPr>
              <w:t>样品流转</w:t>
            </w:r>
          </w:p>
        </w:tc>
        <w:tc>
          <w:tcPr>
            <w:tcW w:w="2835" w:type="dxa"/>
            <w:vAlign w:val="center"/>
          </w:tcPr>
          <w:p w14:paraId="1732990A">
            <w:pPr>
              <w:pStyle w:val="178"/>
            </w:pPr>
            <w:r>
              <w:rPr>
                <w:rFonts w:hint="eastAsia"/>
              </w:rPr>
              <w:t>样品交接、存放、领用、退样</w:t>
            </w:r>
          </w:p>
        </w:tc>
        <w:tc>
          <w:tcPr>
            <w:tcW w:w="4382" w:type="dxa"/>
            <w:vAlign w:val="center"/>
          </w:tcPr>
          <w:p w14:paraId="0B25D539">
            <w:pPr>
              <w:pStyle w:val="178"/>
            </w:pPr>
            <w:r>
              <w:rPr>
                <w:rFonts w:hint="eastAsia"/>
              </w:rPr>
              <w:t>应形成流转记录，记录流转时间、责任人员和样品状态</w:t>
            </w:r>
          </w:p>
        </w:tc>
      </w:tr>
      <w:tr w14:paraId="5ED5AE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3641B9BA">
            <w:pPr>
              <w:pStyle w:val="178"/>
            </w:pPr>
            <w:r>
              <w:rPr>
                <w:rFonts w:hint="eastAsia"/>
              </w:rPr>
              <w:t>4</w:t>
            </w:r>
          </w:p>
        </w:tc>
        <w:tc>
          <w:tcPr>
            <w:tcW w:w="1276" w:type="dxa"/>
            <w:vAlign w:val="center"/>
          </w:tcPr>
          <w:p w14:paraId="127ED7A2">
            <w:pPr>
              <w:pStyle w:val="178"/>
            </w:pPr>
            <w:r>
              <w:rPr>
                <w:rFonts w:hint="eastAsia"/>
              </w:rPr>
              <w:t>检测实施</w:t>
            </w:r>
          </w:p>
        </w:tc>
        <w:tc>
          <w:tcPr>
            <w:tcW w:w="2835" w:type="dxa"/>
            <w:vAlign w:val="center"/>
          </w:tcPr>
          <w:p w14:paraId="27232B22">
            <w:pPr>
              <w:pStyle w:val="178"/>
            </w:pPr>
            <w:r>
              <w:rPr>
                <w:rFonts w:hint="eastAsia"/>
              </w:rPr>
              <w:t>检测人员、检测方法、检测环境</w:t>
            </w:r>
          </w:p>
        </w:tc>
        <w:tc>
          <w:tcPr>
            <w:tcW w:w="4382" w:type="dxa"/>
            <w:vAlign w:val="center"/>
          </w:tcPr>
          <w:p w14:paraId="0B3A838F">
            <w:pPr>
              <w:pStyle w:val="178"/>
            </w:pPr>
            <w:r>
              <w:rPr>
                <w:rFonts w:hint="eastAsia"/>
              </w:rPr>
              <w:t>应按检测方法和作业指导书实施检测，不得随意变更检测条件</w:t>
            </w:r>
          </w:p>
        </w:tc>
      </w:tr>
      <w:tr w14:paraId="543A49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4681713F">
            <w:pPr>
              <w:pStyle w:val="178"/>
            </w:pPr>
            <w:r>
              <w:rPr>
                <w:rFonts w:hint="eastAsia"/>
              </w:rPr>
              <w:t>5</w:t>
            </w:r>
          </w:p>
        </w:tc>
        <w:tc>
          <w:tcPr>
            <w:tcW w:w="1276" w:type="dxa"/>
            <w:vAlign w:val="center"/>
          </w:tcPr>
          <w:p w14:paraId="6EE254A7">
            <w:pPr>
              <w:pStyle w:val="178"/>
            </w:pPr>
            <w:r>
              <w:rPr>
                <w:rFonts w:hint="eastAsia"/>
              </w:rPr>
              <w:t>数据采集</w:t>
            </w:r>
          </w:p>
        </w:tc>
        <w:tc>
          <w:tcPr>
            <w:tcW w:w="2835" w:type="dxa"/>
            <w:vAlign w:val="center"/>
          </w:tcPr>
          <w:p w14:paraId="7BD6718B">
            <w:pPr>
              <w:pStyle w:val="178"/>
            </w:pPr>
            <w:r>
              <w:rPr>
                <w:rFonts w:hint="eastAsia"/>
              </w:rPr>
              <w:t>原始读数、仪器输出、现场记录</w:t>
            </w:r>
          </w:p>
        </w:tc>
        <w:tc>
          <w:tcPr>
            <w:tcW w:w="4382" w:type="dxa"/>
            <w:vAlign w:val="center"/>
          </w:tcPr>
          <w:p w14:paraId="6CCECA78">
            <w:pPr>
              <w:pStyle w:val="178"/>
            </w:pPr>
            <w:r>
              <w:rPr>
                <w:rFonts w:hint="eastAsia"/>
              </w:rPr>
              <w:t>应记录数据来源、采集时间、采集人员和设备信息</w:t>
            </w:r>
          </w:p>
        </w:tc>
      </w:tr>
      <w:tr w14:paraId="0D50CD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5B308F41">
            <w:pPr>
              <w:pStyle w:val="178"/>
            </w:pPr>
            <w:r>
              <w:rPr>
                <w:rFonts w:hint="eastAsia"/>
              </w:rPr>
              <w:t>6</w:t>
            </w:r>
          </w:p>
        </w:tc>
        <w:tc>
          <w:tcPr>
            <w:tcW w:w="1276" w:type="dxa"/>
            <w:vAlign w:val="center"/>
          </w:tcPr>
          <w:p w14:paraId="70F4A6FF">
            <w:pPr>
              <w:pStyle w:val="178"/>
            </w:pPr>
            <w:r>
              <w:rPr>
                <w:rFonts w:hint="eastAsia"/>
              </w:rPr>
              <w:t>数据处理</w:t>
            </w:r>
          </w:p>
        </w:tc>
        <w:tc>
          <w:tcPr>
            <w:tcW w:w="2835" w:type="dxa"/>
            <w:vAlign w:val="center"/>
          </w:tcPr>
          <w:p w14:paraId="74B78489">
            <w:pPr>
              <w:pStyle w:val="178"/>
            </w:pPr>
            <w:r>
              <w:rPr>
                <w:rFonts w:hint="eastAsia"/>
              </w:rPr>
              <w:t>计算过程、修约规则、判定依据</w:t>
            </w:r>
          </w:p>
        </w:tc>
        <w:tc>
          <w:tcPr>
            <w:tcW w:w="4382" w:type="dxa"/>
            <w:vAlign w:val="center"/>
          </w:tcPr>
          <w:p w14:paraId="3F647E5F">
            <w:pPr>
              <w:pStyle w:val="178"/>
            </w:pPr>
            <w:r>
              <w:rPr>
                <w:rFonts w:hint="eastAsia"/>
              </w:rPr>
              <w:t>应保留计算公式、参数和过程，不得只保存最终结果</w:t>
            </w:r>
          </w:p>
        </w:tc>
      </w:tr>
      <w:tr w14:paraId="6EFF25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6FD7D4BF">
            <w:pPr>
              <w:pStyle w:val="178"/>
            </w:pPr>
            <w:r>
              <w:rPr>
                <w:rFonts w:hint="eastAsia"/>
              </w:rPr>
              <w:t>7</w:t>
            </w:r>
          </w:p>
        </w:tc>
        <w:tc>
          <w:tcPr>
            <w:tcW w:w="1276" w:type="dxa"/>
            <w:vAlign w:val="center"/>
          </w:tcPr>
          <w:p w14:paraId="46099FD8">
            <w:pPr>
              <w:pStyle w:val="178"/>
            </w:pPr>
            <w:r>
              <w:rPr>
                <w:rFonts w:hint="eastAsia"/>
              </w:rPr>
              <w:t>结果复核</w:t>
            </w:r>
          </w:p>
        </w:tc>
        <w:tc>
          <w:tcPr>
            <w:tcW w:w="2835" w:type="dxa"/>
            <w:vAlign w:val="center"/>
          </w:tcPr>
          <w:p w14:paraId="7A45F011">
            <w:pPr>
              <w:pStyle w:val="178"/>
            </w:pPr>
            <w:r>
              <w:rPr>
                <w:rFonts w:hint="eastAsia"/>
              </w:rPr>
              <w:t>原始记录、计算结果、逻辑关系</w:t>
            </w:r>
          </w:p>
        </w:tc>
        <w:tc>
          <w:tcPr>
            <w:tcW w:w="4382" w:type="dxa"/>
            <w:vAlign w:val="center"/>
          </w:tcPr>
          <w:p w14:paraId="6817AAC5">
            <w:pPr>
              <w:pStyle w:val="178"/>
            </w:pPr>
            <w:r>
              <w:rPr>
                <w:rFonts w:hint="eastAsia"/>
              </w:rPr>
              <w:t>应核查数据完整性、计算正确性和记录一致性</w:t>
            </w:r>
          </w:p>
        </w:tc>
      </w:tr>
      <w:tr w14:paraId="542479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4D46DDBA">
            <w:pPr>
              <w:pStyle w:val="178"/>
            </w:pPr>
            <w:r>
              <w:rPr>
                <w:rFonts w:hint="eastAsia"/>
              </w:rPr>
              <w:t>8</w:t>
            </w:r>
          </w:p>
        </w:tc>
        <w:tc>
          <w:tcPr>
            <w:tcW w:w="1276" w:type="dxa"/>
            <w:vAlign w:val="center"/>
          </w:tcPr>
          <w:p w14:paraId="32B511FF">
            <w:pPr>
              <w:pStyle w:val="178"/>
            </w:pPr>
            <w:r>
              <w:rPr>
                <w:rFonts w:hint="eastAsia"/>
              </w:rPr>
              <w:t>报告审核</w:t>
            </w:r>
          </w:p>
        </w:tc>
        <w:tc>
          <w:tcPr>
            <w:tcW w:w="2835" w:type="dxa"/>
            <w:vAlign w:val="center"/>
          </w:tcPr>
          <w:p w14:paraId="67802CEA">
            <w:pPr>
              <w:pStyle w:val="178"/>
            </w:pPr>
            <w:r>
              <w:rPr>
                <w:rFonts w:hint="eastAsia"/>
              </w:rPr>
              <w:t>报告内容、结论、签发信息</w:t>
            </w:r>
          </w:p>
        </w:tc>
        <w:tc>
          <w:tcPr>
            <w:tcW w:w="4382" w:type="dxa"/>
            <w:vAlign w:val="center"/>
          </w:tcPr>
          <w:p w14:paraId="3B47FF93">
            <w:pPr>
              <w:pStyle w:val="178"/>
            </w:pPr>
            <w:r>
              <w:rPr>
                <w:rFonts w:hint="eastAsia"/>
              </w:rPr>
              <w:t>应核查报告与原始记录、委托信息和检测依据的一致性</w:t>
            </w:r>
          </w:p>
        </w:tc>
      </w:tr>
      <w:tr w14:paraId="64E596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1662822D">
            <w:pPr>
              <w:pStyle w:val="178"/>
            </w:pPr>
            <w:r>
              <w:rPr>
                <w:rFonts w:hint="eastAsia"/>
              </w:rPr>
              <w:t>9</w:t>
            </w:r>
          </w:p>
        </w:tc>
        <w:tc>
          <w:tcPr>
            <w:tcW w:w="1276" w:type="dxa"/>
            <w:vAlign w:val="center"/>
          </w:tcPr>
          <w:p w14:paraId="5C28A8C0">
            <w:pPr>
              <w:pStyle w:val="178"/>
            </w:pPr>
            <w:r>
              <w:rPr>
                <w:rFonts w:hint="eastAsia"/>
              </w:rPr>
              <w:t>数据归档</w:t>
            </w:r>
          </w:p>
        </w:tc>
        <w:tc>
          <w:tcPr>
            <w:tcW w:w="2835" w:type="dxa"/>
            <w:vAlign w:val="center"/>
          </w:tcPr>
          <w:p w14:paraId="1EDEB4A1">
            <w:pPr>
              <w:pStyle w:val="178"/>
            </w:pPr>
            <w:r>
              <w:rPr>
                <w:rFonts w:hint="eastAsia"/>
              </w:rPr>
              <w:t>纸质资料、电子文件、影像资料</w:t>
            </w:r>
          </w:p>
        </w:tc>
        <w:tc>
          <w:tcPr>
            <w:tcW w:w="4382" w:type="dxa"/>
            <w:vAlign w:val="center"/>
          </w:tcPr>
          <w:p w14:paraId="60C44706">
            <w:pPr>
              <w:pStyle w:val="178"/>
            </w:pPr>
            <w:r>
              <w:rPr>
                <w:rFonts w:hint="eastAsia"/>
              </w:rPr>
              <w:t>应按项目或报告编号归档，不得遗漏关键支撑资料</w:t>
            </w:r>
          </w:p>
        </w:tc>
      </w:tr>
      <w:tr w14:paraId="17130E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Align w:val="center"/>
          </w:tcPr>
          <w:p w14:paraId="56C7FCD4">
            <w:pPr>
              <w:pStyle w:val="178"/>
            </w:pPr>
            <w:r>
              <w:rPr>
                <w:rFonts w:hint="eastAsia"/>
              </w:rPr>
              <w:t>10</w:t>
            </w:r>
          </w:p>
        </w:tc>
        <w:tc>
          <w:tcPr>
            <w:tcW w:w="1276" w:type="dxa"/>
            <w:vAlign w:val="center"/>
          </w:tcPr>
          <w:p w14:paraId="513B442E">
            <w:pPr>
              <w:pStyle w:val="178"/>
            </w:pPr>
            <w:r>
              <w:rPr>
                <w:rFonts w:hint="eastAsia"/>
              </w:rPr>
              <w:t>数据调用</w:t>
            </w:r>
          </w:p>
        </w:tc>
        <w:tc>
          <w:tcPr>
            <w:tcW w:w="2835" w:type="dxa"/>
            <w:vAlign w:val="center"/>
          </w:tcPr>
          <w:p w14:paraId="69B37984">
            <w:pPr>
              <w:pStyle w:val="178"/>
            </w:pPr>
            <w:r>
              <w:rPr>
                <w:rFonts w:hint="eastAsia"/>
              </w:rPr>
              <w:t>查询、复制、导出、共享</w:t>
            </w:r>
          </w:p>
        </w:tc>
        <w:tc>
          <w:tcPr>
            <w:tcW w:w="4382" w:type="dxa"/>
            <w:vAlign w:val="center"/>
          </w:tcPr>
          <w:p w14:paraId="2549B0DF">
            <w:pPr>
              <w:pStyle w:val="178"/>
            </w:pPr>
            <w:r>
              <w:rPr>
                <w:rFonts w:hint="eastAsia"/>
              </w:rPr>
              <w:t>应经授权后实施，并应保留调用记录</w:t>
            </w:r>
          </w:p>
        </w:tc>
      </w:tr>
    </w:tbl>
    <w:p w14:paraId="5C50D67A">
      <w:pPr>
        <w:pStyle w:val="105"/>
        <w:spacing w:before="120" w:after="120" w:line="360" w:lineRule="auto"/>
      </w:pPr>
      <w:r>
        <w:rPr>
          <w:rFonts w:hint="eastAsia"/>
        </w:rPr>
        <w:t>人员能力要求</w:t>
      </w:r>
    </w:p>
    <w:p w14:paraId="68576865">
      <w:pPr>
        <w:pStyle w:val="165"/>
        <w:spacing w:line="360" w:lineRule="auto"/>
      </w:pPr>
      <w:r>
        <w:rPr>
          <w:rFonts w:hint="eastAsia"/>
        </w:rPr>
        <w:t>检测人员应熟悉所承担检测项目的数据采集要求、原始记录填写要求、数据修约规则和异常数据识别要求。</w:t>
      </w:r>
    </w:p>
    <w:p w14:paraId="2ABA28F2">
      <w:pPr>
        <w:pStyle w:val="165"/>
        <w:spacing w:line="360" w:lineRule="auto"/>
      </w:pPr>
      <w:r>
        <w:rPr>
          <w:rFonts w:hint="eastAsia"/>
        </w:rPr>
        <w:t>复核人员应具备识别数据缺失、数据矛盾、计算错误、方法误用和判定错误的能力。</w:t>
      </w:r>
    </w:p>
    <w:p w14:paraId="19C73160">
      <w:pPr>
        <w:pStyle w:val="165"/>
        <w:spacing w:line="360" w:lineRule="auto"/>
      </w:pPr>
      <w:r>
        <w:rPr>
          <w:rFonts w:hint="eastAsia"/>
        </w:rPr>
        <w:t>审核人员应熟悉检测标准、验收规范、质量管理体系要求和检测数据追溯要求。</w:t>
      </w:r>
    </w:p>
    <w:p w14:paraId="5590FC50">
      <w:pPr>
        <w:pStyle w:val="165"/>
        <w:spacing w:line="360" w:lineRule="auto"/>
      </w:pPr>
      <w:r>
        <w:rPr>
          <w:rFonts w:hint="eastAsia"/>
        </w:rPr>
        <w:t>信息系统管理人员应熟悉数据权限配置、日志维护、数据备份、数据恢复和网络安全管理要求。</w:t>
      </w:r>
    </w:p>
    <w:p w14:paraId="628CEA8D">
      <w:pPr>
        <w:pStyle w:val="165"/>
        <w:spacing w:line="360" w:lineRule="auto"/>
      </w:pPr>
      <w:r>
        <w:rPr>
          <w:rFonts w:hint="eastAsia"/>
        </w:rPr>
        <w:t>检测机构应每年至少组织一次检测数据管理培训或考核。培训内容应包括数据真实性要求、原始记录要求、电子数据管理要求、数据更正要求和违规责任要求。</w:t>
      </w:r>
    </w:p>
    <w:p w14:paraId="023FD2C8">
      <w:pPr>
        <w:pStyle w:val="105"/>
        <w:spacing w:before="120" w:after="120" w:line="360" w:lineRule="auto"/>
      </w:pPr>
      <w:r>
        <w:rPr>
          <w:rFonts w:hint="eastAsia"/>
        </w:rPr>
        <w:t>信息化要求</w:t>
      </w:r>
    </w:p>
    <w:p w14:paraId="5CF5E268">
      <w:pPr>
        <w:pStyle w:val="165"/>
        <w:spacing w:line="360" w:lineRule="auto"/>
      </w:pPr>
      <w:r>
        <w:rPr>
          <w:rFonts w:hint="eastAsia"/>
        </w:rPr>
        <w:t>检测机构使用信息系统管理检测数据时，应保证信息系统与检测业务流程相匹配。</w:t>
      </w:r>
    </w:p>
    <w:p w14:paraId="52BE2932">
      <w:pPr>
        <w:pStyle w:val="165"/>
        <w:spacing w:line="360" w:lineRule="auto"/>
      </w:pPr>
      <w:r>
        <w:rPr>
          <w:rFonts w:hint="eastAsia"/>
        </w:rPr>
        <w:t>信息系统应支持委托编号、样品编号、检测任务编号、原始记录编号、报告编号和归档编号之间的关联查询。</w:t>
      </w:r>
    </w:p>
    <w:p w14:paraId="6B44A7D0">
      <w:pPr>
        <w:pStyle w:val="165"/>
        <w:spacing w:line="360" w:lineRule="auto"/>
      </w:pPr>
      <w:r>
        <w:rPr>
          <w:rFonts w:hint="eastAsia"/>
        </w:rPr>
        <w:t>信息系统应按岗位设置权限。不同人员应使用本人账号登录系统，不得共用账号、借用账号或使用他人账号操作。</w:t>
      </w:r>
    </w:p>
    <w:p w14:paraId="0A064C2A">
      <w:pPr>
        <w:pStyle w:val="165"/>
        <w:spacing w:line="360" w:lineRule="auto"/>
      </w:pPr>
      <w:r>
        <w:rPr>
          <w:rFonts w:hint="eastAsia"/>
        </w:rPr>
        <w:t>信息系统应自动记录关键操作日志。日志内容应至少包括操作人员、操作时间、操作对象、操作类型、操作前内容和操作后内容。</w:t>
      </w:r>
    </w:p>
    <w:p w14:paraId="7A4721AF">
      <w:pPr>
        <w:pStyle w:val="165"/>
        <w:spacing w:line="360" w:lineRule="auto"/>
      </w:pPr>
      <w:r>
        <w:rPr>
          <w:rFonts w:hint="eastAsia"/>
        </w:rPr>
        <w:t>信息系统应具备数据备份功能。备份数据应定期验证可恢复性，不得仅保存无法验证的备份文件。</w:t>
      </w:r>
    </w:p>
    <w:p w14:paraId="6D64357E">
      <w:pPr>
        <w:pStyle w:val="165"/>
        <w:spacing w:line="360" w:lineRule="auto"/>
      </w:pPr>
      <w:r>
        <w:rPr>
          <w:rFonts w:hint="eastAsia"/>
        </w:rPr>
        <w:t>信息系统发生故障影响检测数据采集、审核或报告签发时，应启动应急处置程序，并应形成故障记录、临时记录、补录记录和数据核验记录。</w:t>
      </w:r>
    </w:p>
    <w:p w14:paraId="166F7706">
      <w:pPr>
        <w:pStyle w:val="105"/>
        <w:spacing w:before="120" w:after="120" w:line="360" w:lineRule="auto"/>
      </w:pPr>
      <w:r>
        <w:rPr>
          <w:rFonts w:hint="eastAsia"/>
        </w:rPr>
        <w:t>保密与安全要求</w:t>
      </w:r>
    </w:p>
    <w:p w14:paraId="245A2C25">
      <w:pPr>
        <w:pStyle w:val="165"/>
        <w:spacing w:line="360" w:lineRule="auto"/>
      </w:pPr>
      <w:r>
        <w:rPr>
          <w:rFonts w:hint="eastAsia"/>
        </w:rPr>
        <w:t>检测机构应对检测数据实施安全管理。涉及工程质量争议、商业秘密、个人信息和监督检查的数据，应按规定设置访问权限。</w:t>
      </w:r>
    </w:p>
    <w:p w14:paraId="1C12C415">
      <w:pPr>
        <w:pStyle w:val="165"/>
        <w:spacing w:line="360" w:lineRule="auto"/>
      </w:pPr>
      <w:r>
        <w:rPr>
          <w:rFonts w:hint="eastAsia"/>
        </w:rPr>
        <w:t>检测机构不得将检测数据存储在未经批准的个人设备、个人网盘、外部即时通信工具或非受控存储介质中。</w:t>
      </w:r>
    </w:p>
    <w:p w14:paraId="6D64205D">
      <w:pPr>
        <w:pStyle w:val="165"/>
        <w:spacing w:line="360" w:lineRule="auto"/>
      </w:pPr>
      <w:r>
        <w:rPr>
          <w:rFonts w:hint="eastAsia"/>
        </w:rPr>
        <w:t>检测数据传输应采取必要的安全措施。采用移动存储介质传输数据的，应进行登记、审批和病毒查验。</w:t>
      </w:r>
    </w:p>
    <w:p w14:paraId="208227CE">
      <w:pPr>
        <w:pStyle w:val="165"/>
        <w:spacing w:line="360" w:lineRule="auto"/>
      </w:pPr>
      <w:r>
        <w:rPr>
          <w:rFonts w:hint="eastAsia"/>
        </w:rPr>
        <w:t>检测机构应防止未授权人员接触、复制、修改、删除检测数据。</w:t>
      </w:r>
    </w:p>
    <w:p w14:paraId="27359C01">
      <w:pPr>
        <w:pStyle w:val="165"/>
        <w:spacing w:line="360" w:lineRule="auto"/>
      </w:pPr>
      <w:r>
        <w:rPr>
          <w:rFonts w:hint="eastAsia"/>
        </w:rPr>
        <w:t>检测机构委托第三方提供信息系统建设、运维、云存储或数据处理服务时，应明确数据所有权、访问权限、安全责任、保密义务、备份要求和服务终止后的数据移交要求。</w:t>
      </w:r>
    </w:p>
    <w:p w14:paraId="041D61BD">
      <w:pPr>
        <w:pStyle w:val="104"/>
        <w:spacing w:before="240" w:after="240" w:line="360" w:lineRule="auto"/>
      </w:pPr>
      <w:bookmarkStart w:id="52" w:name="_Toc228620514"/>
      <w:r>
        <w:rPr>
          <w:rFonts w:hint="eastAsia"/>
        </w:rPr>
        <w:t>数据溯源管理</w:t>
      </w:r>
      <w:bookmarkEnd w:id="52"/>
    </w:p>
    <w:p w14:paraId="1B621779">
      <w:pPr>
        <w:pStyle w:val="105"/>
        <w:spacing w:before="120" w:after="120" w:line="360" w:lineRule="auto"/>
      </w:pPr>
      <w:r>
        <w:rPr>
          <w:rFonts w:hint="eastAsia"/>
        </w:rPr>
        <w:t>一般要求</w:t>
      </w:r>
    </w:p>
    <w:p w14:paraId="20BC5828">
      <w:pPr>
        <w:pStyle w:val="165"/>
        <w:spacing w:line="360" w:lineRule="auto"/>
      </w:pPr>
      <w:r>
        <w:rPr>
          <w:rFonts w:hint="eastAsia"/>
        </w:rPr>
        <w:t>检测机构应建立覆盖检测数据全生命周期的溯源链。溯源链应能够追溯检测数据形成的样品来源、检测任务、检测依据、检测人员、检测设备、检测环境、检测过程、数据处理、审核批准和报告签发情况。</w:t>
      </w:r>
    </w:p>
    <w:p w14:paraId="23671A82">
      <w:pPr>
        <w:pStyle w:val="165"/>
        <w:spacing w:line="360" w:lineRule="auto"/>
      </w:pPr>
      <w:r>
        <w:rPr>
          <w:rFonts w:hint="eastAsia"/>
        </w:rPr>
        <w:t>每一项检测任务应建立唯一的数据关联关系，不得出现同一检测任务多套编号互不关联、同一编号对应多个无关检测任务或不同检测报告共用同一原始记录的情形。</w:t>
      </w:r>
    </w:p>
    <w:p w14:paraId="0FC8C8EC">
      <w:pPr>
        <w:pStyle w:val="165"/>
        <w:spacing w:line="360" w:lineRule="auto"/>
      </w:pPr>
      <w:r>
        <w:rPr>
          <w:rFonts w:hint="eastAsia"/>
        </w:rPr>
        <w:t>检测数据溯源应以原始记录为核心，以样品标识、设备记录、人员记录、环境记录、计算记录、审核记录和报告记录为支撑。</w:t>
      </w:r>
    </w:p>
    <w:p w14:paraId="79FBB4A5">
      <w:pPr>
        <w:pStyle w:val="165"/>
        <w:spacing w:line="360" w:lineRule="auto"/>
      </w:pPr>
      <w:r>
        <w:rPr>
          <w:rFonts w:hint="eastAsia"/>
        </w:rPr>
        <w:t>检测机构应保证溯源记录连续完整。发现溯源链中断、关键记录缺失或记录不一致时，应暂停使用相关数据形成检测结论，并应按异常数据处置程序处理。</w:t>
      </w:r>
    </w:p>
    <w:p w14:paraId="684BEE3C">
      <w:pPr>
        <w:pStyle w:val="165"/>
        <w:spacing w:line="360" w:lineRule="auto"/>
      </w:pPr>
      <w:r>
        <w:rPr>
          <w:rFonts w:hint="eastAsia"/>
        </w:rPr>
        <w:t>检测机构不得在未完成样品接收、检测实施和数据审核的情况下预生成检测结果或检测报告。</w:t>
      </w:r>
    </w:p>
    <w:p w14:paraId="43FF5AE6">
      <w:pPr>
        <w:pStyle w:val="165"/>
        <w:spacing w:line="360" w:lineRule="auto"/>
      </w:pPr>
      <w:r>
        <w:t>检测机构应根据检测项目类别、数据形成方式和质量控制要求，确定检测数据溯源记录要素。检测数据溯源记录要素可包括委托信息、样品信息、见证信息、人员信息、设备信息、环境信息、原始数据、计算信息、审核信息和归档信息等，具体记录要素可参照附录A。</w:t>
      </w:r>
    </w:p>
    <w:p w14:paraId="7471EB05">
      <w:pPr>
        <w:pStyle w:val="105"/>
        <w:spacing w:before="120" w:after="120" w:line="360" w:lineRule="auto"/>
      </w:pPr>
      <w:r>
        <w:rPr>
          <w:rFonts w:hint="eastAsia"/>
        </w:rPr>
        <w:t>委托信息溯源</w:t>
      </w:r>
    </w:p>
    <w:p w14:paraId="5235A5E9">
      <w:pPr>
        <w:pStyle w:val="165"/>
        <w:spacing w:line="360" w:lineRule="auto"/>
      </w:pPr>
      <w:r>
        <w:rPr>
          <w:rFonts w:hint="eastAsia"/>
        </w:rPr>
        <w:t>委托受理时应记录委托单位、工程名称、工程部位、检测项目、检测依据、样品来源、委托日期、联系人、联系方式和报告用途。</w:t>
      </w:r>
    </w:p>
    <w:p w14:paraId="561C3539">
      <w:pPr>
        <w:pStyle w:val="165"/>
        <w:spacing w:line="360" w:lineRule="auto"/>
      </w:pPr>
      <w:r>
        <w:rPr>
          <w:rFonts w:hint="eastAsia"/>
        </w:rPr>
        <w:t>委托信息应与检测合同、委托单、见证取样单、样品标签和检测报告保持一致。</w:t>
      </w:r>
    </w:p>
    <w:p w14:paraId="1CA353E4">
      <w:pPr>
        <w:pStyle w:val="165"/>
        <w:spacing w:line="360" w:lineRule="auto"/>
      </w:pPr>
      <w:r>
        <w:rPr>
          <w:rFonts w:hint="eastAsia"/>
        </w:rPr>
        <w:t>委托信息发生变更时，应由委托方提出书面或电子确认记录。检测机构应保存变更前信息、变更后信息、变更原因、变更时间和确认人员信息。</w:t>
      </w:r>
    </w:p>
    <w:p w14:paraId="6FE0B89F">
      <w:pPr>
        <w:pStyle w:val="165"/>
        <w:spacing w:line="360" w:lineRule="auto"/>
      </w:pPr>
      <w:r>
        <w:rPr>
          <w:rFonts w:hint="eastAsia"/>
        </w:rPr>
        <w:t>检测机构不得在无委托依据、无样品来源信息或无检测项目要求的情况下开展检测并出具检测报告。</w:t>
      </w:r>
    </w:p>
    <w:p w14:paraId="769A2F8F">
      <w:pPr>
        <w:pStyle w:val="165"/>
        <w:spacing w:line="360" w:lineRule="auto"/>
      </w:pPr>
      <w:r>
        <w:rPr>
          <w:rFonts w:hint="eastAsia"/>
        </w:rPr>
        <w:t>对涉及见证取样的检测项目，委托信息应与见证取样信息进行关联，不得以普通委托信息替代见证取样信息。</w:t>
      </w:r>
    </w:p>
    <w:p w14:paraId="182BE106">
      <w:pPr>
        <w:pStyle w:val="105"/>
        <w:spacing w:before="120" w:after="120" w:line="360" w:lineRule="auto"/>
      </w:pPr>
      <w:r>
        <w:rPr>
          <w:rFonts w:hint="eastAsia"/>
        </w:rPr>
        <w:t>样品溯源</w:t>
      </w:r>
    </w:p>
    <w:p w14:paraId="3340527D">
      <w:pPr>
        <w:pStyle w:val="165"/>
        <w:spacing w:line="360" w:lineRule="auto"/>
      </w:pPr>
      <w:r>
        <w:rPr>
          <w:rFonts w:hint="eastAsia"/>
        </w:rPr>
        <w:t>样品接收时应建立样品唯一标识。样品唯一标识应至少关联委托编号、样品名称、规格型号、数量、工程部位、取样日期、接收日期和检测项目。</w:t>
      </w:r>
    </w:p>
    <w:p w14:paraId="0ADAECE7">
      <w:pPr>
        <w:pStyle w:val="165"/>
        <w:spacing w:line="360" w:lineRule="auto"/>
      </w:pPr>
      <w:r>
        <w:rPr>
          <w:rFonts w:hint="eastAsia"/>
        </w:rPr>
        <w:t>样品标识应清晰、牢固、唯一。标识损坏、脱落、重复或无法识别时，应暂停检测，并应确认样品身份后方可继续流转。</w:t>
      </w:r>
    </w:p>
    <w:p w14:paraId="3DA23425">
      <w:pPr>
        <w:pStyle w:val="165"/>
        <w:spacing w:line="360" w:lineRule="auto"/>
      </w:pPr>
      <w:r>
        <w:rPr>
          <w:rFonts w:hint="eastAsia"/>
        </w:rPr>
        <w:t>样品接收记录应包括样品外观状态、包装状态、封样状态、数量状态和异常情况。样品状态不符合检测要求时，应记录并经相关责任人员确认。</w:t>
      </w:r>
    </w:p>
    <w:p w14:paraId="1CBF7E1D">
      <w:pPr>
        <w:pStyle w:val="165"/>
        <w:spacing w:line="360" w:lineRule="auto"/>
      </w:pPr>
      <w:r>
        <w:rPr>
          <w:rFonts w:hint="eastAsia"/>
        </w:rPr>
        <w:t>样品流转应形成记录。记录内容应至少包括流转环节、流转时间、交接人员、接收人员、存放位置、样品状态和处置结果。</w:t>
      </w:r>
    </w:p>
    <w:p w14:paraId="709C7E43">
      <w:pPr>
        <w:pStyle w:val="165"/>
        <w:spacing w:line="360" w:lineRule="auto"/>
      </w:pPr>
      <w:r>
        <w:rPr>
          <w:rFonts w:hint="eastAsia"/>
        </w:rPr>
        <w:t>样品拆分、制备、养护、加工、留样、退样和处置应保留记录。需要拍照或录像确认的，应将影像资料与样品编号关联。</w:t>
      </w:r>
    </w:p>
    <w:p w14:paraId="523209A4">
      <w:pPr>
        <w:pStyle w:val="165"/>
        <w:spacing w:line="360" w:lineRule="auto"/>
      </w:pPr>
      <w:r>
        <w:rPr>
          <w:rFonts w:hint="eastAsia"/>
        </w:rPr>
        <w:t>检测机构不得使用来源不明、编号不清、状态不符合要求或流转记录缺失的样品形成检测结论。</w:t>
      </w:r>
    </w:p>
    <w:p w14:paraId="387251CB">
      <w:pPr>
        <w:pStyle w:val="105"/>
        <w:spacing w:before="120" w:after="120" w:line="360" w:lineRule="auto"/>
      </w:pPr>
      <w:r>
        <w:rPr>
          <w:rFonts w:hint="eastAsia"/>
        </w:rPr>
        <w:t>见证取样数据溯源</w:t>
      </w:r>
    </w:p>
    <w:p w14:paraId="0946BD18">
      <w:pPr>
        <w:pStyle w:val="165"/>
        <w:spacing w:line="360" w:lineRule="auto"/>
      </w:pPr>
      <w:r>
        <w:rPr>
          <w:rFonts w:hint="eastAsia"/>
        </w:rPr>
        <w:t>涉及见证取样送检的检测项目，应记录取样人员、见证人员、取样地点、取样部位、取样时间、样品数量、样品规格、封样方式和送样过程。</w:t>
      </w:r>
    </w:p>
    <w:p w14:paraId="62359B7F">
      <w:pPr>
        <w:pStyle w:val="165"/>
        <w:spacing w:line="360" w:lineRule="auto"/>
      </w:pPr>
      <w:r>
        <w:rPr>
          <w:rFonts w:hint="eastAsia"/>
        </w:rPr>
        <w:t>见证取样记录应与样品接收记录、委托信息和检测报告相关内容保持一致。</w:t>
      </w:r>
    </w:p>
    <w:p w14:paraId="0739A6E8">
      <w:pPr>
        <w:pStyle w:val="165"/>
        <w:spacing w:line="360" w:lineRule="auto"/>
      </w:pPr>
      <w:r>
        <w:rPr>
          <w:rFonts w:hint="eastAsia"/>
        </w:rPr>
        <w:t>见证取样影像资料应能反映取样对象、取样部位、见证过程、样品封识和送检信息。影像资料无法证明见证过程的，不得作为完整见证取样资料使用。</w:t>
      </w:r>
    </w:p>
    <w:p w14:paraId="1F111C10">
      <w:pPr>
        <w:pStyle w:val="165"/>
        <w:spacing w:line="360" w:lineRule="auto"/>
      </w:pPr>
      <w:r>
        <w:rPr>
          <w:rFonts w:hint="eastAsia"/>
        </w:rPr>
        <w:t>见证人员信息应真实有效。检测机构发现见证人员身份信息、见证记录或签名信息异常时，应进行核实并形成记录。</w:t>
      </w:r>
    </w:p>
    <w:p w14:paraId="183F6FBB">
      <w:pPr>
        <w:pStyle w:val="165"/>
        <w:spacing w:line="360" w:lineRule="auto"/>
      </w:pPr>
      <w:r>
        <w:rPr>
          <w:rFonts w:hint="eastAsia"/>
        </w:rPr>
        <w:t>见证取样信息存在缺失、矛盾或无法核验情形时，应按异常数据处理，不得直接出具正常检测报告。</w:t>
      </w:r>
    </w:p>
    <w:p w14:paraId="3321F533">
      <w:pPr>
        <w:pStyle w:val="105"/>
        <w:spacing w:before="120" w:after="120" w:line="360" w:lineRule="auto"/>
      </w:pPr>
      <w:r>
        <w:rPr>
          <w:rFonts w:hint="eastAsia"/>
        </w:rPr>
        <w:t>检测人员溯源</w:t>
      </w:r>
    </w:p>
    <w:p w14:paraId="7B94EFCE">
      <w:pPr>
        <w:pStyle w:val="165"/>
        <w:spacing w:line="360" w:lineRule="auto"/>
      </w:pPr>
      <w:r>
        <w:rPr>
          <w:rFonts w:hint="eastAsia"/>
        </w:rPr>
        <w:t>检测数据应能追溯至具体检测人员。检测人员信息应包括姓名、岗位、资格能力、授权范围和实际操作项目。</w:t>
      </w:r>
    </w:p>
    <w:p w14:paraId="48D18E85">
      <w:pPr>
        <w:pStyle w:val="165"/>
        <w:spacing w:line="360" w:lineRule="auto"/>
      </w:pPr>
      <w:r>
        <w:rPr>
          <w:rFonts w:hint="eastAsia"/>
        </w:rPr>
        <w:t>检测人员应在授权范围内开展检测活动，不得超范围操作或以他人名义生成检测记录。</w:t>
      </w:r>
    </w:p>
    <w:p w14:paraId="286E91AE">
      <w:pPr>
        <w:pStyle w:val="165"/>
        <w:spacing w:line="360" w:lineRule="auto"/>
      </w:pPr>
      <w:r>
        <w:rPr>
          <w:rFonts w:hint="eastAsia"/>
        </w:rPr>
        <w:t>多人共同完成检测项目时，应分别记录各人员承担的检测环节，不得仅记录项目负责人姓名。</w:t>
      </w:r>
    </w:p>
    <w:p w14:paraId="49CE497A">
      <w:pPr>
        <w:pStyle w:val="165"/>
        <w:spacing w:line="360" w:lineRule="auto"/>
      </w:pPr>
      <w:r>
        <w:rPr>
          <w:rFonts w:hint="eastAsia"/>
        </w:rPr>
        <w:t>检测人员发生变更时，应记录变更时间、变更原因、交接内容和变更后责任人员。</w:t>
      </w:r>
    </w:p>
    <w:p w14:paraId="4CB4A5C3">
      <w:pPr>
        <w:pStyle w:val="165"/>
        <w:spacing w:line="360" w:lineRule="auto"/>
      </w:pPr>
      <w:r>
        <w:rPr>
          <w:rFonts w:hint="eastAsia"/>
        </w:rPr>
        <w:t>检测机构应保存检测人员培训、能力确认、授权和监督记录，并应能与检测任务关联查询。</w:t>
      </w:r>
    </w:p>
    <w:p w14:paraId="6A23E2FE">
      <w:pPr>
        <w:pStyle w:val="105"/>
        <w:spacing w:before="120" w:after="120" w:line="360" w:lineRule="auto"/>
      </w:pPr>
      <w:r>
        <w:rPr>
          <w:rFonts w:hint="eastAsia"/>
        </w:rPr>
        <w:t>检测设备溯源</w:t>
      </w:r>
    </w:p>
    <w:p w14:paraId="027A02DA">
      <w:pPr>
        <w:pStyle w:val="165"/>
        <w:spacing w:line="360" w:lineRule="auto"/>
      </w:pPr>
      <w:r>
        <w:rPr>
          <w:rFonts w:hint="eastAsia"/>
        </w:rPr>
        <w:t>检测数据应能追溯至使用的检测设备、计量器具、辅助装置和软件版本。</w:t>
      </w:r>
    </w:p>
    <w:p w14:paraId="3809A51C">
      <w:pPr>
        <w:pStyle w:val="165"/>
        <w:spacing w:line="360" w:lineRule="auto"/>
      </w:pPr>
      <w:r>
        <w:rPr>
          <w:rFonts w:hint="eastAsia"/>
        </w:rPr>
        <w:t>设备信息应至少包括设备名称、设备编号、规格型号、校准或检定状态、有效期、使用状态、使用人员和使用时间。</w:t>
      </w:r>
    </w:p>
    <w:p w14:paraId="315BCE69">
      <w:pPr>
        <w:pStyle w:val="165"/>
        <w:spacing w:line="360" w:lineRule="auto"/>
      </w:pPr>
      <w:r>
        <w:rPr>
          <w:rFonts w:hint="eastAsia"/>
        </w:rPr>
        <w:t>检测前应确认设备处于有效校准或检定周期内，并应满足检测方法要求。设备超出有效期、状态异常或精度不满足要求时，不得用于检测。</w:t>
      </w:r>
    </w:p>
    <w:p w14:paraId="6A22F3A5">
      <w:pPr>
        <w:pStyle w:val="165"/>
        <w:spacing w:line="360" w:lineRule="auto"/>
      </w:pPr>
      <w:r>
        <w:rPr>
          <w:rFonts w:hint="eastAsia"/>
        </w:rPr>
        <w:t>自动采集设备输出的数据应与设备编号、采集时间、检测任务编号和样品编号自动或人工关联。</w:t>
      </w:r>
    </w:p>
    <w:p w14:paraId="7C02163F">
      <w:pPr>
        <w:pStyle w:val="165"/>
        <w:spacing w:line="360" w:lineRule="auto"/>
      </w:pPr>
      <w:r>
        <w:rPr>
          <w:rFonts w:hint="eastAsia"/>
        </w:rPr>
        <w:t>设备维护、期间核查、故障维修、停用、启用和报废记录应保存，并应能追溯影响的检测任务。</w:t>
      </w:r>
    </w:p>
    <w:p w14:paraId="18857B0A">
      <w:pPr>
        <w:pStyle w:val="165"/>
        <w:spacing w:line="360" w:lineRule="auto"/>
      </w:pPr>
      <w:r>
        <w:rPr>
          <w:rFonts w:hint="eastAsia"/>
        </w:rPr>
        <w:t>检测机构发现设备异常可能影响已出具检测结果时，应追溯受影响数据范围，并应按异常数据处置程序处理。</w:t>
      </w:r>
    </w:p>
    <w:p w14:paraId="1E3F88A3">
      <w:pPr>
        <w:pStyle w:val="105"/>
        <w:spacing w:before="120" w:after="120" w:line="360" w:lineRule="auto"/>
      </w:pPr>
      <w:r>
        <w:rPr>
          <w:rFonts w:hint="eastAsia"/>
        </w:rPr>
        <w:t>检测方法溯源</w:t>
      </w:r>
    </w:p>
    <w:p w14:paraId="1BCFE767">
      <w:pPr>
        <w:pStyle w:val="165"/>
        <w:spacing w:line="360" w:lineRule="auto"/>
      </w:pPr>
      <w:r>
        <w:rPr>
          <w:rFonts w:hint="eastAsia"/>
        </w:rPr>
        <w:t>检测数据应能追溯至采用的检测标准、检测方法、作业指导书和判定依据。</w:t>
      </w:r>
    </w:p>
    <w:p w14:paraId="518DB595">
      <w:pPr>
        <w:pStyle w:val="165"/>
        <w:spacing w:line="360" w:lineRule="auto"/>
      </w:pPr>
      <w:r>
        <w:rPr>
          <w:rFonts w:hint="eastAsia"/>
        </w:rPr>
        <w:t>检测记录应标明检测依据的标准编号、标准名称、版本或年代号。使用非标准方法的，应保存方法确认记录。</w:t>
      </w:r>
    </w:p>
    <w:p w14:paraId="62A52517">
      <w:pPr>
        <w:pStyle w:val="165"/>
        <w:spacing w:line="360" w:lineRule="auto"/>
      </w:pPr>
      <w:r>
        <w:rPr>
          <w:rFonts w:hint="eastAsia"/>
        </w:rPr>
        <w:t>检测方法发生变更时，应记录变更依据、变更时间、影响范围和批准人员。</w:t>
      </w:r>
    </w:p>
    <w:p w14:paraId="58E95A50">
      <w:pPr>
        <w:pStyle w:val="165"/>
        <w:spacing w:line="360" w:lineRule="auto"/>
      </w:pPr>
      <w:r>
        <w:rPr>
          <w:rFonts w:hint="eastAsia"/>
        </w:rPr>
        <w:t>检测机构不得在未确认检测方法适用性的情况下开展检测。</w:t>
      </w:r>
    </w:p>
    <w:p w14:paraId="6351AD2B">
      <w:pPr>
        <w:pStyle w:val="165"/>
        <w:spacing w:line="360" w:lineRule="auto"/>
      </w:pPr>
      <w:r>
        <w:rPr>
          <w:rFonts w:hint="eastAsia"/>
        </w:rPr>
        <w:t>检测报告中的检测依据应与原始记录中的检测依据一致。存在多个检测依据时，应明确各检测项目对应的依据。</w:t>
      </w:r>
    </w:p>
    <w:p w14:paraId="2D72229F">
      <w:pPr>
        <w:pStyle w:val="105"/>
        <w:spacing w:before="120" w:after="120" w:line="360" w:lineRule="auto"/>
      </w:pPr>
      <w:r>
        <w:rPr>
          <w:rFonts w:hint="eastAsia"/>
        </w:rPr>
        <w:t>检测环境溯源</w:t>
      </w:r>
    </w:p>
    <w:p w14:paraId="361E102C">
      <w:pPr>
        <w:pStyle w:val="165"/>
        <w:spacing w:line="360" w:lineRule="auto"/>
      </w:pPr>
      <w:r>
        <w:rPr>
          <w:rFonts w:hint="eastAsia"/>
        </w:rPr>
        <w:t>检测方法对环境条件有要求的，应记录温度、湿度、养护条件、试验场地状态、电源条件、加载条件或其他规定环境参数。</w:t>
      </w:r>
    </w:p>
    <w:p w14:paraId="74924021">
      <w:pPr>
        <w:pStyle w:val="165"/>
        <w:spacing w:line="360" w:lineRule="auto"/>
      </w:pPr>
      <w:r>
        <w:rPr>
          <w:rFonts w:hint="eastAsia"/>
        </w:rPr>
        <w:t>环境条件记录应与检测时间对应，不得使用无关时段的环境记录替代实际检测时段记录。</w:t>
      </w:r>
    </w:p>
    <w:p w14:paraId="5AC7517A">
      <w:pPr>
        <w:pStyle w:val="165"/>
        <w:spacing w:line="360" w:lineRule="auto"/>
      </w:pPr>
      <w:r>
        <w:rPr>
          <w:rFonts w:hint="eastAsia"/>
        </w:rPr>
        <w:t>环境条件超出检测方法规定范围时，应暂停检测；确需继续检测的，应经技术负责人确认其影响，并形成记录。</w:t>
      </w:r>
    </w:p>
    <w:p w14:paraId="7351EBB0">
      <w:pPr>
        <w:pStyle w:val="165"/>
        <w:spacing w:line="360" w:lineRule="auto"/>
      </w:pPr>
      <w:r>
        <w:rPr>
          <w:rFonts w:hint="eastAsia"/>
        </w:rPr>
        <w:t>自动监测环境数据应与检测任务建立关联。人工记录环境数据时，应记录测量时间、测量位置、测量设备和记录人员。</w:t>
      </w:r>
    </w:p>
    <w:p w14:paraId="2C706E3E">
      <w:pPr>
        <w:pStyle w:val="165"/>
        <w:spacing w:line="360" w:lineRule="auto"/>
      </w:pPr>
      <w:r>
        <w:rPr>
          <w:rFonts w:hint="eastAsia"/>
        </w:rPr>
        <w:t>检测机构不得删除、覆盖或选择性使用环境监测数据。</w:t>
      </w:r>
    </w:p>
    <w:p w14:paraId="2FAFF95A">
      <w:pPr>
        <w:pStyle w:val="105"/>
        <w:spacing w:before="120" w:after="120" w:line="360" w:lineRule="auto"/>
      </w:pPr>
      <w:r>
        <w:rPr>
          <w:rFonts w:hint="eastAsia"/>
        </w:rPr>
        <w:t>原始记录溯源</w:t>
      </w:r>
    </w:p>
    <w:p w14:paraId="7C627BE0">
      <w:pPr>
        <w:pStyle w:val="165"/>
        <w:spacing w:line="360" w:lineRule="auto"/>
      </w:pPr>
      <w:r>
        <w:rPr>
          <w:rFonts w:hint="eastAsia"/>
        </w:rPr>
        <w:t>原始记录应能直接支撑检测结果和检测结论。原始记录不得缺项、漏项、代填或事后无依据补填。</w:t>
      </w:r>
    </w:p>
    <w:p w14:paraId="046265CC">
      <w:pPr>
        <w:pStyle w:val="165"/>
        <w:spacing w:line="360" w:lineRule="auto"/>
      </w:pPr>
      <w:r>
        <w:rPr>
          <w:rFonts w:hint="eastAsia"/>
        </w:rPr>
        <w:t>原始记录应包括检测任务编号、样品编号、检测项目、检测依据、检测日期、检测人员、设备编号、环境条件、原始读数、计算过程、检测结果和必要说明。</w:t>
      </w:r>
    </w:p>
    <w:p w14:paraId="56BACC5D">
      <w:pPr>
        <w:pStyle w:val="165"/>
        <w:spacing w:line="360" w:lineRule="auto"/>
      </w:pPr>
      <w:r>
        <w:rPr>
          <w:rFonts w:hint="eastAsia"/>
        </w:rPr>
        <w:t>纸质原始记录应使用耐久、清晰的书写方式。记录错误需要更正时，应采用划改方式保留原记录，并应注明更正内容、更正人员和更正日期。</w:t>
      </w:r>
    </w:p>
    <w:p w14:paraId="21EAE916">
      <w:pPr>
        <w:pStyle w:val="165"/>
        <w:spacing w:line="360" w:lineRule="auto"/>
      </w:pPr>
      <w:r>
        <w:rPr>
          <w:rFonts w:hint="eastAsia"/>
        </w:rPr>
        <w:t>电子原始记录应保留数据生成、修改、审核和确认过程。电子记录更正不得覆盖原始数据。</w:t>
      </w:r>
    </w:p>
    <w:p w14:paraId="375AF477">
      <w:pPr>
        <w:pStyle w:val="165"/>
        <w:spacing w:line="360" w:lineRule="auto"/>
      </w:pPr>
      <w:r>
        <w:rPr>
          <w:rFonts w:hint="eastAsia"/>
        </w:rPr>
        <w:t>仪器自动输出记录、图谱、曲线、照片、视频和数据文件应与原始记录一并保存，不得仅保存摘录数据。</w:t>
      </w:r>
    </w:p>
    <w:p w14:paraId="28053605">
      <w:pPr>
        <w:pStyle w:val="165"/>
        <w:spacing w:line="360" w:lineRule="auto"/>
      </w:pPr>
      <w:r>
        <w:rPr>
          <w:rFonts w:hint="eastAsia"/>
        </w:rPr>
        <w:t>原始记录与检测报告不一致时，应查明原因。原因未查明前，不得签发检测报告。</w:t>
      </w:r>
    </w:p>
    <w:p w14:paraId="002437D7">
      <w:pPr>
        <w:pStyle w:val="105"/>
        <w:spacing w:before="120" w:after="120" w:line="360" w:lineRule="auto"/>
      </w:pPr>
      <w:r>
        <w:rPr>
          <w:rFonts w:hint="eastAsia"/>
        </w:rPr>
        <w:t>报告数据溯源</w:t>
      </w:r>
    </w:p>
    <w:p w14:paraId="077D7283">
      <w:pPr>
        <w:pStyle w:val="165"/>
        <w:spacing w:line="360" w:lineRule="auto"/>
      </w:pPr>
      <w:r>
        <w:rPr>
          <w:rFonts w:hint="eastAsia"/>
        </w:rPr>
        <w:t>检测报告中的每一项结果数据应能追溯至相应原始记录、计算过程和审核记录。</w:t>
      </w:r>
    </w:p>
    <w:p w14:paraId="50BDD1B9">
      <w:pPr>
        <w:pStyle w:val="165"/>
        <w:spacing w:line="360" w:lineRule="auto"/>
      </w:pPr>
      <w:r>
        <w:rPr>
          <w:rFonts w:hint="eastAsia"/>
        </w:rPr>
        <w:t>检测报告编号应与委托编号、样品编号、检测任务编号和归档编号建立关联。</w:t>
      </w:r>
    </w:p>
    <w:p w14:paraId="77474EC5">
      <w:pPr>
        <w:pStyle w:val="165"/>
        <w:spacing w:line="360" w:lineRule="auto"/>
      </w:pPr>
      <w:r>
        <w:rPr>
          <w:rFonts w:hint="eastAsia"/>
        </w:rPr>
        <w:t>检测报告应载明必要的检测依据、样品信息、检测项目、检测结果、检测日期、批准日期和签发人员信息。</w:t>
      </w:r>
    </w:p>
    <w:p w14:paraId="42F913D6">
      <w:pPr>
        <w:pStyle w:val="165"/>
        <w:spacing w:line="360" w:lineRule="auto"/>
      </w:pPr>
      <w:r>
        <w:rPr>
          <w:rFonts w:hint="eastAsia"/>
        </w:rPr>
        <w:t>检测报告修改、补发、作废或撤回时，应保留原报告、修改原因、批准记录、通知记录和新旧版本对应关系。</w:t>
      </w:r>
    </w:p>
    <w:p w14:paraId="4AD390F7">
      <w:pPr>
        <w:pStyle w:val="165"/>
        <w:spacing w:line="360" w:lineRule="auto"/>
      </w:pPr>
      <w:r>
        <w:rPr>
          <w:rFonts w:hint="eastAsia"/>
        </w:rPr>
        <w:t>检测机构不得在原始记录未完成、复核未通过或审核未批准的情况下签发检测报告。</w:t>
      </w:r>
    </w:p>
    <w:p w14:paraId="4FFD30BE">
      <w:pPr>
        <w:pStyle w:val="104"/>
        <w:spacing w:before="240" w:after="240" w:line="360" w:lineRule="auto"/>
      </w:pPr>
      <w:bookmarkStart w:id="53" w:name="_Toc228620515"/>
      <w:r>
        <w:rPr>
          <w:rFonts w:hint="eastAsia"/>
        </w:rPr>
        <w:t>数据采集与记录</w:t>
      </w:r>
      <w:bookmarkEnd w:id="53"/>
    </w:p>
    <w:p w14:paraId="4437EEAF">
      <w:pPr>
        <w:pStyle w:val="105"/>
        <w:spacing w:before="120" w:after="120" w:line="360" w:lineRule="auto"/>
      </w:pPr>
      <w:r>
        <w:rPr>
          <w:rFonts w:hint="eastAsia"/>
        </w:rPr>
        <w:t>一般要求</w:t>
      </w:r>
    </w:p>
    <w:p w14:paraId="3463FACA">
      <w:pPr>
        <w:pStyle w:val="165"/>
        <w:spacing w:line="360" w:lineRule="auto"/>
      </w:pPr>
      <w:r>
        <w:rPr>
          <w:rFonts w:hint="eastAsia"/>
        </w:rPr>
        <w:t>检测数据采集应依据检测委托、检测方案、检测标准、作业指导书和样品状态实施，不得脱离实际检测活动生成检测数据。</w:t>
      </w:r>
    </w:p>
    <w:p w14:paraId="56F25A52">
      <w:pPr>
        <w:pStyle w:val="165"/>
        <w:spacing w:line="360" w:lineRule="auto"/>
      </w:pPr>
      <w:r>
        <w:rPr>
          <w:rFonts w:hint="eastAsia"/>
        </w:rPr>
        <w:t>检测数据采集应与检测活动同步进行。确因现场条件、设备条件或网络条件限制不能同步录入信息系统的，应先形成受控纸质记录、仪器输出记录、影像记录或离线电子记录，并应在检测机构规定时间内补录和核验。</w:t>
      </w:r>
    </w:p>
    <w:p w14:paraId="058F4F07">
      <w:pPr>
        <w:pStyle w:val="165"/>
        <w:spacing w:line="360" w:lineRule="auto"/>
      </w:pPr>
      <w:r>
        <w:rPr>
          <w:rFonts w:hint="eastAsia"/>
        </w:rPr>
        <w:t>检测数据记录应内容完整、字迹清晰、表达准确、格式规范、逻辑一致。记录内容不得随意省略，不得使用无法识别的简称、符号或非受控代码。</w:t>
      </w:r>
    </w:p>
    <w:p w14:paraId="12CF363C">
      <w:pPr>
        <w:pStyle w:val="165"/>
        <w:spacing w:line="360" w:lineRule="auto"/>
      </w:pPr>
      <w:r>
        <w:rPr>
          <w:rFonts w:hint="eastAsia"/>
        </w:rPr>
        <w:t>检测数据应按检测项目分别记录。不同工程、不同委托、不同样品、不同检测批次的数据不得混记、合并记录或交叉引用。</w:t>
      </w:r>
    </w:p>
    <w:p w14:paraId="37CD5410">
      <w:pPr>
        <w:pStyle w:val="165"/>
        <w:spacing w:line="360" w:lineRule="auto"/>
      </w:pPr>
      <w:r>
        <w:rPr>
          <w:rFonts w:hint="eastAsia"/>
        </w:rPr>
        <w:t>检测记录应能反映检测过程。仅记录最终检测结果而不能追溯原始读数、计算过程、检测条件和操作人员的，不得作为有效检测数据。</w:t>
      </w:r>
    </w:p>
    <w:p w14:paraId="44CF0027">
      <w:pPr>
        <w:pStyle w:val="165"/>
        <w:spacing w:line="360" w:lineRule="auto"/>
      </w:pPr>
      <w:r>
        <w:rPr>
          <w:rFonts w:hint="eastAsia"/>
        </w:rPr>
        <w:t>检测数据采集过程中发现样品异常、设备异常、环境异常、操作异常或结果异常时，应立即记录异常情况，并按异常数据处置程序处理。</w:t>
      </w:r>
    </w:p>
    <w:p w14:paraId="1085CB81">
      <w:pPr>
        <w:pStyle w:val="105"/>
        <w:spacing w:before="120" w:after="120" w:line="360" w:lineRule="auto"/>
      </w:pPr>
      <w:r>
        <w:rPr>
          <w:rFonts w:hint="eastAsia"/>
        </w:rPr>
        <w:t>委托数据采集</w:t>
      </w:r>
    </w:p>
    <w:p w14:paraId="6F19C0C5">
      <w:pPr>
        <w:pStyle w:val="165"/>
        <w:spacing w:line="360" w:lineRule="auto"/>
      </w:pPr>
      <w:r>
        <w:rPr>
          <w:rFonts w:hint="eastAsia"/>
        </w:rPr>
        <w:t>委托数据应在检测受理阶段采集，内容应至少包括工程名称、工程地址、委托单位、建设单位、施工单位、监理单位、检测类别、检测项目、检测依据、样品来源、报告用途和委托日期。</w:t>
      </w:r>
    </w:p>
    <w:p w14:paraId="4660F32D">
      <w:pPr>
        <w:pStyle w:val="165"/>
        <w:spacing w:line="360" w:lineRule="auto"/>
      </w:pPr>
      <w:r>
        <w:rPr>
          <w:rFonts w:hint="eastAsia"/>
        </w:rPr>
        <w:t>委托数据应由受理人员核对。委托信息不完整、不一致或无法确认时，应要求委托方补充或更正，不得直接进入检测流程。</w:t>
      </w:r>
    </w:p>
    <w:p w14:paraId="7D64994D">
      <w:pPr>
        <w:pStyle w:val="165"/>
        <w:spacing w:line="360" w:lineRule="auto"/>
      </w:pPr>
      <w:r>
        <w:rPr>
          <w:rFonts w:hint="eastAsia"/>
        </w:rPr>
        <w:t>委托数据涉及工程部位、结构构件、批次、规格型号、强度等级、设计要求或验收要求的，应按检测项目要求逐项记录。</w:t>
      </w:r>
    </w:p>
    <w:p w14:paraId="79731B9C">
      <w:pPr>
        <w:pStyle w:val="165"/>
        <w:spacing w:line="360" w:lineRule="auto"/>
      </w:pPr>
      <w:r>
        <w:rPr>
          <w:rFonts w:hint="eastAsia"/>
        </w:rPr>
        <w:t>委托方变更检测项目、工程部位、检测依据、报告抬头或其他关键信息的，应形成变更确认记录。检测机构不得仅凭口头通知修改委托数据。</w:t>
      </w:r>
    </w:p>
    <w:p w14:paraId="5656B454">
      <w:pPr>
        <w:pStyle w:val="105"/>
        <w:spacing w:before="120" w:after="120" w:line="360" w:lineRule="auto"/>
      </w:pPr>
      <w:r>
        <w:rPr>
          <w:rFonts w:hint="eastAsia"/>
        </w:rPr>
        <w:t>样品数据采集</w:t>
      </w:r>
    </w:p>
    <w:p w14:paraId="551FFF83">
      <w:pPr>
        <w:pStyle w:val="165"/>
        <w:spacing w:line="360" w:lineRule="auto"/>
      </w:pPr>
      <w:r>
        <w:rPr>
          <w:rFonts w:hint="eastAsia"/>
        </w:rPr>
        <w:t>样品接收时应采集样品名称、样品编号、规格型号、数量、代表批量、工程部位、取样日期、送样日期、接收日期、样品状态、封样状态和交接人员信息。</w:t>
      </w:r>
    </w:p>
    <w:p w14:paraId="7ECA90EA">
      <w:pPr>
        <w:pStyle w:val="165"/>
        <w:spacing w:line="360" w:lineRule="auto"/>
      </w:pPr>
      <w:r>
        <w:rPr>
          <w:rFonts w:hint="eastAsia"/>
        </w:rPr>
        <w:t>样品状态应按实际情况记录。存在破损、污染、变形、数量不足、标识不清、封样异常、养护条件不明等情形的，应记录异常状态，并应经委托方或见证方确认。</w:t>
      </w:r>
    </w:p>
    <w:p w14:paraId="25E25829">
      <w:pPr>
        <w:pStyle w:val="165"/>
        <w:spacing w:line="360" w:lineRule="auto"/>
      </w:pPr>
      <w:r>
        <w:rPr>
          <w:rFonts w:hint="eastAsia"/>
        </w:rPr>
        <w:t>需要制样、分样、养护、预处理或加工的样品，应记录处理过程、处理时间、处理人员、处理设备、处理条件和处理后状态。</w:t>
      </w:r>
    </w:p>
    <w:p w14:paraId="3F1739A8">
      <w:pPr>
        <w:pStyle w:val="165"/>
        <w:spacing w:line="360" w:lineRule="auto"/>
      </w:pPr>
      <w:r>
        <w:rPr>
          <w:rFonts w:hint="eastAsia"/>
        </w:rPr>
        <w:t>留样样品应记录留样编号、留样数量、留样位置、保存条件、保存期限和处置方式。</w:t>
      </w:r>
    </w:p>
    <w:p w14:paraId="53865C6C">
      <w:pPr>
        <w:pStyle w:val="165"/>
        <w:spacing w:line="360" w:lineRule="auto"/>
      </w:pPr>
      <w:r>
        <w:rPr>
          <w:rFonts w:hint="eastAsia"/>
        </w:rPr>
        <w:t>样品报废、退样、销毁或转移时，应形成处置记录。处置记录应至少包括处置原因、处置时间、处置人员、审批人员和样品状态。</w:t>
      </w:r>
    </w:p>
    <w:p w14:paraId="302816E2">
      <w:pPr>
        <w:pStyle w:val="105"/>
        <w:spacing w:before="120" w:after="120" w:line="360" w:lineRule="auto"/>
      </w:pPr>
      <w:r>
        <w:rPr>
          <w:rFonts w:hint="eastAsia"/>
        </w:rPr>
        <w:t>现场检测数据采集</w:t>
      </w:r>
    </w:p>
    <w:p w14:paraId="3AE57D6A">
      <w:pPr>
        <w:pStyle w:val="165"/>
        <w:spacing w:line="360" w:lineRule="auto"/>
      </w:pPr>
      <w:r>
        <w:rPr>
          <w:rFonts w:hint="eastAsia"/>
        </w:rPr>
        <w:t>现场检测前应核对检测对象、检测部位、检测条件、现场环境、检测设备和人员授权情况。</w:t>
      </w:r>
    </w:p>
    <w:p w14:paraId="269A1CA0">
      <w:pPr>
        <w:pStyle w:val="165"/>
        <w:spacing w:line="360" w:lineRule="auto"/>
      </w:pPr>
      <w:r>
        <w:rPr>
          <w:rFonts w:hint="eastAsia"/>
        </w:rPr>
        <w:t>现场检测数据应记录检测日期、检测地点、检测部位、检测人员、见证人员、设备编号、环境条件、检测方法、布点信息、检测过程和原始读数。</w:t>
      </w:r>
    </w:p>
    <w:p w14:paraId="688AB8A9">
      <w:pPr>
        <w:pStyle w:val="165"/>
        <w:spacing w:line="360" w:lineRule="auto"/>
      </w:pPr>
      <w:r>
        <w:rPr>
          <w:rFonts w:hint="eastAsia"/>
        </w:rPr>
        <w:t>现场检测点位应具有可识别性。需要复测、核查或追溯的检测项目，应通过文字描述、示意图、照片、坐标、轴线编号或构件编号等方式记录检测点位。</w:t>
      </w:r>
    </w:p>
    <w:p w14:paraId="6A8F9E7B">
      <w:pPr>
        <w:pStyle w:val="165"/>
        <w:spacing w:line="360" w:lineRule="auto"/>
      </w:pPr>
      <w:r>
        <w:rPr>
          <w:rFonts w:hint="eastAsia"/>
        </w:rPr>
        <w:t>现场检测形成的照片、视频、定位信息、仪器输出文件和现场记录应与检测任务编号关联保存。</w:t>
      </w:r>
    </w:p>
    <w:p w14:paraId="32151422">
      <w:pPr>
        <w:pStyle w:val="165"/>
        <w:spacing w:line="360" w:lineRule="auto"/>
      </w:pPr>
      <w:r>
        <w:rPr>
          <w:rFonts w:hint="eastAsia"/>
        </w:rPr>
        <w:t>现场条件不满足检测方法要求时，应暂停检测。确需继续检测的，应经技术负责人确认，并应在记录中说明影响因素和处理措施。</w:t>
      </w:r>
    </w:p>
    <w:p w14:paraId="666BC347">
      <w:pPr>
        <w:pStyle w:val="165"/>
        <w:spacing w:line="360" w:lineRule="auto"/>
      </w:pPr>
      <w:r>
        <w:rPr>
          <w:rFonts w:hint="eastAsia"/>
        </w:rPr>
        <w:t>现场检测数据不得事后凭记忆补填。确需补充说明的，应注明补充原因、补充人员和补充时间。</w:t>
      </w:r>
    </w:p>
    <w:p w14:paraId="664D16D5">
      <w:pPr>
        <w:pStyle w:val="105"/>
        <w:spacing w:before="120" w:after="120" w:line="360" w:lineRule="auto"/>
      </w:pPr>
      <w:r>
        <w:rPr>
          <w:rFonts w:hint="eastAsia"/>
        </w:rPr>
        <w:t>实验室检测数据采集</w:t>
      </w:r>
    </w:p>
    <w:p w14:paraId="46DC3BB0">
      <w:pPr>
        <w:pStyle w:val="165"/>
        <w:spacing w:line="360" w:lineRule="auto"/>
      </w:pPr>
      <w:r>
        <w:rPr>
          <w:rFonts w:hint="eastAsia"/>
        </w:rPr>
        <w:t>实验室检测前应确认样品编号、检测项目、检测依据、设备状态、环境条件和人员授权。</w:t>
      </w:r>
    </w:p>
    <w:p w14:paraId="0803C6DE">
      <w:pPr>
        <w:pStyle w:val="165"/>
        <w:spacing w:line="360" w:lineRule="auto"/>
      </w:pPr>
      <w:r>
        <w:rPr>
          <w:rFonts w:hint="eastAsia"/>
        </w:rPr>
        <w:t>实验室检测数据应记录样品制备、试验条件、加载过程、测量读数、仪器输出、计算参数、结果修约和判定依据。</w:t>
      </w:r>
    </w:p>
    <w:p w14:paraId="1DA1D550">
      <w:pPr>
        <w:pStyle w:val="165"/>
        <w:spacing w:line="360" w:lineRule="auto"/>
      </w:pPr>
      <w:r>
        <w:rPr>
          <w:rFonts w:hint="eastAsia"/>
        </w:rPr>
        <w:t>对养护时间、龄期、恒温恒湿、干燥、称量、加载速率、试验持续时间等有要求的检测项目，应记录实际控制参数。</w:t>
      </w:r>
    </w:p>
    <w:p w14:paraId="4AB7FCB2">
      <w:pPr>
        <w:pStyle w:val="165"/>
        <w:spacing w:line="360" w:lineRule="auto"/>
      </w:pPr>
      <w:r>
        <w:rPr>
          <w:rFonts w:hint="eastAsia"/>
        </w:rPr>
        <w:t>同一检测项目存在平行试验、重复试验或复测要求的，应分别记录每次试验数据，不得仅记录平均值或代表值。</w:t>
      </w:r>
    </w:p>
    <w:p w14:paraId="5A08EEB9">
      <w:pPr>
        <w:pStyle w:val="165"/>
        <w:spacing w:line="360" w:lineRule="auto"/>
      </w:pPr>
      <w:r>
        <w:rPr>
          <w:rFonts w:hint="eastAsia"/>
        </w:rPr>
        <w:t>检测过程中剔除异常值的，应记录剔除依据、剔除原因、批准人员和重新检测情况。</w:t>
      </w:r>
    </w:p>
    <w:p w14:paraId="5C1FC2F5">
      <w:pPr>
        <w:pStyle w:val="165"/>
        <w:spacing w:line="360" w:lineRule="auto"/>
      </w:pPr>
      <w:r>
        <w:rPr>
          <w:rFonts w:hint="eastAsia"/>
        </w:rPr>
        <w:t>检测完成后应及时核对原始数据、设备输出数据和记录表内容。发现缺漏、矛盾或计算异常的，应在报告形成前完成核查。</w:t>
      </w:r>
    </w:p>
    <w:p w14:paraId="5EB77B1E">
      <w:pPr>
        <w:pStyle w:val="105"/>
        <w:spacing w:before="120" w:after="120" w:line="360" w:lineRule="auto"/>
      </w:pPr>
      <w:r>
        <w:rPr>
          <w:rFonts w:hint="eastAsia"/>
        </w:rPr>
        <w:t>自动采集数据</w:t>
      </w:r>
    </w:p>
    <w:p w14:paraId="2160F5EA">
      <w:pPr>
        <w:pStyle w:val="165"/>
        <w:spacing w:line="360" w:lineRule="auto"/>
      </w:pPr>
      <w:r>
        <w:rPr>
          <w:rFonts w:hint="eastAsia"/>
        </w:rPr>
        <w:t>自动采集数据应直接来源于检测设备、传感器、数据采集系统或经确认的软件接口。</w:t>
      </w:r>
    </w:p>
    <w:p w14:paraId="29422452">
      <w:pPr>
        <w:pStyle w:val="165"/>
        <w:spacing w:line="360" w:lineRule="auto"/>
      </w:pPr>
      <w:r>
        <w:rPr>
          <w:rFonts w:hint="eastAsia"/>
        </w:rPr>
        <w:t>自动采集系统应记录采集时间、设备编号、任务编号、样品编号、采集参数、原始数据文件名称和数据传输状态。</w:t>
      </w:r>
    </w:p>
    <w:p w14:paraId="4342F570">
      <w:pPr>
        <w:pStyle w:val="165"/>
        <w:spacing w:line="360" w:lineRule="auto"/>
      </w:pPr>
      <w:r>
        <w:rPr>
          <w:rFonts w:hint="eastAsia"/>
        </w:rPr>
        <w:t>自动采集数据不得未经授权导出后手工修改再导入系统。</w:t>
      </w:r>
    </w:p>
    <w:p w14:paraId="639B0CC4">
      <w:pPr>
        <w:pStyle w:val="165"/>
        <w:spacing w:line="360" w:lineRule="auto"/>
      </w:pPr>
      <w:r>
        <w:rPr>
          <w:rFonts w:hint="eastAsia"/>
        </w:rPr>
        <w:t>自动采集设备生成的原始文件应保存。需要转换格式的，应保存转换前文件、转换后文件、转换工具、转换时间和转换人员信息。</w:t>
      </w:r>
    </w:p>
    <w:p w14:paraId="615EF70B">
      <w:pPr>
        <w:pStyle w:val="165"/>
        <w:spacing w:line="360" w:lineRule="auto"/>
      </w:pPr>
      <w:r>
        <w:rPr>
          <w:rFonts w:hint="eastAsia"/>
        </w:rPr>
        <w:t>自动采集数据与人工记录不一致时，应查明原因。原因未查明前，不得采用其中任一数据作为最终检测结果。</w:t>
      </w:r>
    </w:p>
    <w:p w14:paraId="6F8C3188">
      <w:pPr>
        <w:pStyle w:val="105"/>
        <w:spacing w:before="120" w:after="120" w:line="360" w:lineRule="auto"/>
      </w:pPr>
      <w:r>
        <w:rPr>
          <w:rFonts w:hint="eastAsia"/>
        </w:rPr>
        <w:t>人工录入数据</w:t>
      </w:r>
    </w:p>
    <w:p w14:paraId="0D90F7F1">
      <w:pPr>
        <w:pStyle w:val="165"/>
        <w:spacing w:line="360" w:lineRule="auto"/>
      </w:pPr>
      <w:r>
        <w:rPr>
          <w:rFonts w:hint="eastAsia"/>
        </w:rPr>
        <w:t>人工录入数据应由授权人员录入，并应由复核人员进行核对。</w:t>
      </w:r>
    </w:p>
    <w:p w14:paraId="3158B614">
      <w:pPr>
        <w:pStyle w:val="165"/>
        <w:spacing w:line="360" w:lineRule="auto"/>
      </w:pPr>
      <w:r>
        <w:rPr>
          <w:rFonts w:hint="eastAsia"/>
        </w:rPr>
        <w:t>人工录入数据应与纸质原始记录、仪器显示值、仪器打印记录或现场记录一致。</w:t>
      </w:r>
    </w:p>
    <w:p w14:paraId="4E78763A">
      <w:pPr>
        <w:pStyle w:val="165"/>
        <w:spacing w:line="360" w:lineRule="auto"/>
      </w:pPr>
      <w:r>
        <w:rPr>
          <w:rFonts w:hint="eastAsia"/>
        </w:rPr>
        <w:t>人工录入数据不得由非检测人员代录。确需集中录入的，应保留录入人员、复核人员、录入依据和复核记录。</w:t>
      </w:r>
    </w:p>
    <w:p w14:paraId="3871187E">
      <w:pPr>
        <w:pStyle w:val="165"/>
        <w:spacing w:line="360" w:lineRule="auto"/>
      </w:pPr>
      <w:r>
        <w:rPr>
          <w:rFonts w:hint="eastAsia"/>
        </w:rPr>
        <w:t>人工录入数值应按检测方法和数值修约规则录入。不得擅自增加、减少有效位数或改变修约方式。</w:t>
      </w:r>
    </w:p>
    <w:p w14:paraId="61813042">
      <w:pPr>
        <w:pStyle w:val="165"/>
        <w:spacing w:line="360" w:lineRule="auto"/>
      </w:pPr>
      <w:r>
        <w:rPr>
          <w:rFonts w:hint="eastAsia"/>
        </w:rPr>
        <w:t>人工录入完成后，应对关键字段进行核验。关键字段至少包括样品编号、检测项目、原始读数、计算结果、检测结论和报告编号。</w:t>
      </w:r>
    </w:p>
    <w:p w14:paraId="159A0BB7">
      <w:pPr>
        <w:pStyle w:val="105"/>
        <w:spacing w:before="120" w:after="120" w:line="360" w:lineRule="auto"/>
      </w:pPr>
      <w:r>
        <w:rPr>
          <w:rFonts w:hint="eastAsia"/>
        </w:rPr>
        <w:t>数据记录格式</w:t>
      </w:r>
    </w:p>
    <w:p w14:paraId="54A3D554">
      <w:pPr>
        <w:pStyle w:val="165"/>
        <w:spacing w:line="360" w:lineRule="auto"/>
      </w:pPr>
      <w:r>
        <w:rPr>
          <w:rFonts w:hint="eastAsia"/>
        </w:rPr>
        <w:t>检测机构应制定受控记录表式。记录表式应与检测方法、检测项目和信息系统字段相匹配。</w:t>
      </w:r>
    </w:p>
    <w:p w14:paraId="0D79A622">
      <w:pPr>
        <w:pStyle w:val="165"/>
        <w:spacing w:line="360" w:lineRule="auto"/>
      </w:pPr>
      <w:r>
        <w:rPr>
          <w:rFonts w:hint="eastAsia"/>
        </w:rPr>
        <w:t>记录表式应包含必要的数据项、责任签署项、复核项和异常说明项。</w:t>
      </w:r>
    </w:p>
    <w:p w14:paraId="50C5C37C">
      <w:pPr>
        <w:pStyle w:val="165"/>
        <w:spacing w:line="360" w:lineRule="auto"/>
      </w:pPr>
      <w:r>
        <w:rPr>
          <w:rFonts w:hint="eastAsia"/>
        </w:rPr>
        <w:t>记录表式变更时，应按文件控制程序审批。未受控的记录表式不得用于正式检测活动。</w:t>
      </w:r>
    </w:p>
    <w:p w14:paraId="07C0B76F">
      <w:pPr>
        <w:pStyle w:val="165"/>
        <w:spacing w:line="360" w:lineRule="auto"/>
      </w:pPr>
      <w:r>
        <w:rPr>
          <w:rFonts w:hint="eastAsia"/>
        </w:rPr>
        <w:t>检测记录中采用符号、缩写或代码的，应在记录表式、作业指导书或系统字典中明确含义。</w:t>
      </w:r>
    </w:p>
    <w:p w14:paraId="38DE777C">
      <w:pPr>
        <w:pStyle w:val="165"/>
        <w:spacing w:line="360" w:lineRule="auto"/>
      </w:pPr>
      <w:r>
        <w:rPr>
          <w:rFonts w:hint="eastAsia"/>
        </w:rPr>
        <w:t>检测记录不得留有空白项。确无内容填写的，应采用“无”“不适用”或受控符号标明，不得随意划空或空缺。</w:t>
      </w:r>
    </w:p>
    <w:p w14:paraId="03399745">
      <w:pPr>
        <w:pStyle w:val="104"/>
        <w:spacing w:before="240" w:after="240" w:line="360" w:lineRule="auto"/>
      </w:pPr>
      <w:bookmarkStart w:id="54" w:name="_Toc228620516"/>
      <w:r>
        <w:rPr>
          <w:rFonts w:hint="eastAsia"/>
        </w:rPr>
        <w:t>数据质量控制</w:t>
      </w:r>
      <w:bookmarkEnd w:id="54"/>
    </w:p>
    <w:p w14:paraId="4E996DF2">
      <w:pPr>
        <w:pStyle w:val="105"/>
        <w:spacing w:before="120" w:after="120" w:line="360" w:lineRule="auto"/>
      </w:pPr>
      <w:r>
        <w:rPr>
          <w:rFonts w:hint="eastAsia"/>
        </w:rPr>
        <w:t>一般要求</w:t>
      </w:r>
    </w:p>
    <w:p w14:paraId="156CD9B8">
      <w:pPr>
        <w:pStyle w:val="165"/>
        <w:spacing w:line="360" w:lineRule="auto"/>
      </w:pPr>
      <w:r>
        <w:rPr>
          <w:rFonts w:hint="eastAsia"/>
        </w:rPr>
        <w:t>检测机构应建立检测数据质量控制机制，对数据真实性、完整性、准确性、一致性、及时性和可追溯性进行控制。</w:t>
      </w:r>
    </w:p>
    <w:p w14:paraId="0A5C585C">
      <w:pPr>
        <w:pStyle w:val="165"/>
        <w:spacing w:line="360" w:lineRule="auto"/>
      </w:pPr>
      <w:r>
        <w:rPr>
          <w:rFonts w:hint="eastAsia"/>
        </w:rPr>
        <w:t>数据质量控制应覆盖数据采集、录入、计算、复核、审核、签发、归档和调用全过程。</w:t>
      </w:r>
    </w:p>
    <w:p w14:paraId="5964B096">
      <w:pPr>
        <w:pStyle w:val="165"/>
        <w:spacing w:line="360" w:lineRule="auto"/>
      </w:pPr>
      <w:r>
        <w:rPr>
          <w:rFonts w:hint="eastAsia"/>
        </w:rPr>
        <w:t>检测机构应根据检测项目风险等级设置数据质量控制重点。涉及结构安全、主要使用功能、强制性验收指标和监督抽检结果的数据，应实施重点控制。</w:t>
      </w:r>
    </w:p>
    <w:p w14:paraId="0FE30ED3">
      <w:pPr>
        <w:pStyle w:val="165"/>
        <w:spacing w:line="360" w:lineRule="auto"/>
      </w:pPr>
      <w:r>
        <w:rPr>
          <w:rFonts w:hint="eastAsia"/>
        </w:rPr>
        <w:t>检测机构应定期开展数据质量抽查。抽查内容应包括原始记录、设备输出、计算过程、报告结论、电子日志和归档资料。</w:t>
      </w:r>
    </w:p>
    <w:p w14:paraId="1B104A5F">
      <w:pPr>
        <w:pStyle w:val="165"/>
        <w:spacing w:line="360" w:lineRule="auto"/>
      </w:pPr>
      <w:r>
        <w:rPr>
          <w:rFonts w:hint="eastAsia"/>
        </w:rPr>
        <w:t>数据质量控制发现的问题应形成记录，并应明确责任人员、整改措施、完成时限和验证方式。</w:t>
      </w:r>
    </w:p>
    <w:p w14:paraId="6F632E45">
      <w:pPr>
        <w:pStyle w:val="105"/>
        <w:spacing w:before="120" w:after="120" w:line="360" w:lineRule="auto"/>
      </w:pPr>
      <w:r>
        <w:rPr>
          <w:rFonts w:hint="eastAsia"/>
        </w:rPr>
        <w:t>数据真实性控制</w:t>
      </w:r>
    </w:p>
    <w:p w14:paraId="67AD34B1">
      <w:pPr>
        <w:pStyle w:val="165"/>
        <w:spacing w:line="360" w:lineRule="auto"/>
      </w:pPr>
      <w:r>
        <w:rPr>
          <w:rFonts w:hint="eastAsia"/>
        </w:rPr>
        <w:t>检测数据应来源于实际检测活动。不得编造、复制、套用、替换、拼接或模拟生成检测数据。</w:t>
      </w:r>
    </w:p>
    <w:p w14:paraId="67EA123C">
      <w:pPr>
        <w:pStyle w:val="165"/>
        <w:spacing w:line="360" w:lineRule="auto"/>
      </w:pPr>
      <w:r>
        <w:rPr>
          <w:rFonts w:hint="eastAsia"/>
        </w:rPr>
        <w:t>检测机构应通过人员授权、设备关联、样品标识、现场影像、系统日志和审核记录控制数据真实性。</w:t>
      </w:r>
    </w:p>
    <w:p w14:paraId="045578C9">
      <w:pPr>
        <w:pStyle w:val="165"/>
        <w:spacing w:line="360" w:lineRule="auto"/>
      </w:pPr>
      <w:r>
        <w:rPr>
          <w:rFonts w:hint="eastAsia"/>
        </w:rPr>
        <w:t>原始记录形成时间应与检测实施时间相匹配。记录形成时间明显异常的，应进行核查。</w:t>
      </w:r>
    </w:p>
    <w:p w14:paraId="5FE900A6">
      <w:pPr>
        <w:pStyle w:val="165"/>
        <w:spacing w:line="360" w:lineRule="auto"/>
      </w:pPr>
      <w:r>
        <w:rPr>
          <w:rFonts w:hint="eastAsia"/>
        </w:rPr>
        <w:t>检测结果明显异常但未记录异常原因、复测情况或技术判断依据的，不得直接作为有效数据使用。</w:t>
      </w:r>
    </w:p>
    <w:p w14:paraId="66CC52A9">
      <w:pPr>
        <w:pStyle w:val="165"/>
        <w:spacing w:line="360" w:lineRule="auto"/>
      </w:pPr>
      <w:r>
        <w:rPr>
          <w:rFonts w:hint="eastAsia"/>
        </w:rPr>
        <w:t>检测机构不得为满足合格判定要求而选择性记录、选择性上传或选择性报告检测结果。</w:t>
      </w:r>
    </w:p>
    <w:p w14:paraId="61A3B2EE">
      <w:pPr>
        <w:pStyle w:val="105"/>
        <w:spacing w:before="120" w:after="120" w:line="360" w:lineRule="auto"/>
      </w:pPr>
      <w:r>
        <w:rPr>
          <w:rFonts w:hint="eastAsia"/>
        </w:rPr>
        <w:t>数据完整性控制</w:t>
      </w:r>
    </w:p>
    <w:p w14:paraId="03C4F4AE">
      <w:pPr>
        <w:pStyle w:val="165"/>
        <w:spacing w:line="360" w:lineRule="auto"/>
      </w:pPr>
      <w:r>
        <w:rPr>
          <w:rFonts w:hint="eastAsia"/>
        </w:rPr>
        <w:t>检测数据应包含形成检测结论所需的全部关键资料。</w:t>
      </w:r>
    </w:p>
    <w:p w14:paraId="22FB7887">
      <w:pPr>
        <w:pStyle w:val="165"/>
        <w:spacing w:line="360" w:lineRule="auto"/>
      </w:pPr>
      <w:r>
        <w:rPr>
          <w:rFonts w:hint="eastAsia"/>
        </w:rPr>
        <w:t>原始记录、计算记录、设备输出、审核记录和报告文件应成套保存，不得只保存检测报告。</w:t>
      </w:r>
    </w:p>
    <w:p w14:paraId="00DBE956">
      <w:pPr>
        <w:pStyle w:val="165"/>
        <w:spacing w:line="360" w:lineRule="auto"/>
      </w:pPr>
      <w:r>
        <w:rPr>
          <w:rFonts w:hint="eastAsia"/>
        </w:rPr>
        <w:t>检测数据缺少关键原始读数、关键计算参数、检测依据或样品信息的，应判定为数据不完整。</w:t>
      </w:r>
    </w:p>
    <w:p w14:paraId="1F190B80">
      <w:pPr>
        <w:pStyle w:val="165"/>
        <w:spacing w:line="360" w:lineRule="auto"/>
      </w:pPr>
      <w:r>
        <w:rPr>
          <w:rFonts w:hint="eastAsia"/>
        </w:rPr>
        <w:t>数据归档前应进行完整性检查。检查未通过的，不得办理归档确认。</w:t>
      </w:r>
    </w:p>
    <w:p w14:paraId="5191CEEA">
      <w:pPr>
        <w:pStyle w:val="165"/>
        <w:spacing w:line="360" w:lineRule="auto"/>
      </w:pPr>
      <w:r>
        <w:rPr>
          <w:rFonts w:hint="eastAsia"/>
        </w:rPr>
        <w:t>对于电子数据，应同时检查主数据、附件数据、日志数据和版本数据的完整性。</w:t>
      </w:r>
    </w:p>
    <w:p w14:paraId="7A9BA9B5">
      <w:pPr>
        <w:pStyle w:val="105"/>
        <w:spacing w:before="120" w:after="120" w:line="360" w:lineRule="auto"/>
      </w:pPr>
      <w:r>
        <w:rPr>
          <w:rFonts w:hint="eastAsia"/>
        </w:rPr>
        <w:t>数据准确性控制</w:t>
      </w:r>
    </w:p>
    <w:p w14:paraId="32B20FE4">
      <w:pPr>
        <w:pStyle w:val="165"/>
        <w:spacing w:line="360" w:lineRule="auto"/>
      </w:pPr>
      <w:r>
        <w:rPr>
          <w:rFonts w:hint="eastAsia"/>
        </w:rPr>
        <w:t>检测数据计算应符合检测方法和数值修约规则要求。</w:t>
      </w:r>
    </w:p>
    <w:p w14:paraId="6A184844">
      <w:pPr>
        <w:pStyle w:val="165"/>
        <w:spacing w:line="360" w:lineRule="auto"/>
      </w:pPr>
      <w:r>
        <w:rPr>
          <w:rFonts w:hint="eastAsia"/>
        </w:rPr>
        <w:t>检测机构应对计算公式、自动计算模板和系统计算逻辑进行确认。未经确认的计算模板不得用于正式检测。</w:t>
      </w:r>
    </w:p>
    <w:p w14:paraId="518800E8">
      <w:pPr>
        <w:pStyle w:val="165"/>
        <w:spacing w:line="360" w:lineRule="auto"/>
      </w:pPr>
      <w:r>
        <w:rPr>
          <w:rFonts w:hint="eastAsia"/>
        </w:rPr>
        <w:t>计算过程涉及单位换算、面积换算、荷载换算、强度换算、系数取值、平均值计算、标准差计算或判定限值引用的，应保留计算依据。</w:t>
      </w:r>
    </w:p>
    <w:p w14:paraId="7A65C83D">
      <w:pPr>
        <w:pStyle w:val="165"/>
        <w:spacing w:line="360" w:lineRule="auto"/>
      </w:pPr>
      <w:r>
        <w:rPr>
          <w:rFonts w:hint="eastAsia"/>
        </w:rPr>
        <w:t>自动计算结果应定期通过人工复算或比对方式验证。发现系统计算错误时，应停止使用相关模板或模块，并应追溯受影响数据。</w:t>
      </w:r>
    </w:p>
    <w:p w14:paraId="30EAAAB9">
      <w:pPr>
        <w:pStyle w:val="165"/>
        <w:spacing w:line="360" w:lineRule="auto"/>
      </w:pPr>
      <w:r>
        <w:rPr>
          <w:rFonts w:hint="eastAsia"/>
        </w:rPr>
        <w:t>检测结果修约应符合检测依据和GB/T 8170要求。不得通过不当修约改变判定结论。</w:t>
      </w:r>
    </w:p>
    <w:p w14:paraId="7D1A569F">
      <w:pPr>
        <w:pStyle w:val="105"/>
        <w:spacing w:before="120" w:after="120" w:line="360" w:lineRule="auto"/>
      </w:pPr>
      <w:r>
        <w:rPr>
          <w:rFonts w:hint="eastAsia"/>
        </w:rPr>
        <w:t>数据一致性控制</w:t>
      </w:r>
    </w:p>
    <w:p w14:paraId="4418A22A">
      <w:pPr>
        <w:pStyle w:val="165"/>
        <w:spacing w:line="360" w:lineRule="auto"/>
      </w:pPr>
      <w:r>
        <w:rPr>
          <w:rFonts w:hint="eastAsia"/>
        </w:rPr>
        <w:t>检测报告中的工程名称、委托单位、样品名称、规格型号、工程部位、检测依据、检测日期和检测结果应与委托信息、样品信息和原始记录一致。</w:t>
      </w:r>
    </w:p>
    <w:p w14:paraId="4DA231AF">
      <w:pPr>
        <w:pStyle w:val="165"/>
        <w:spacing w:line="360" w:lineRule="auto"/>
      </w:pPr>
      <w:r>
        <w:rPr>
          <w:rFonts w:hint="eastAsia"/>
        </w:rPr>
        <w:t>同一检测任务在纸质记录、电子记录、仪器输出和报告文件中的关键数据应一致。</w:t>
      </w:r>
    </w:p>
    <w:p w14:paraId="0832CFF9">
      <w:pPr>
        <w:pStyle w:val="165"/>
        <w:spacing w:line="360" w:lineRule="auto"/>
      </w:pPr>
      <w:r>
        <w:rPr>
          <w:rFonts w:hint="eastAsia"/>
        </w:rPr>
        <w:t>数据存在不一致时，应查明原因并形成处理记录。原因未查明前，不得签发检测报告。</w:t>
      </w:r>
    </w:p>
    <w:p w14:paraId="4DCCF1C1">
      <w:pPr>
        <w:pStyle w:val="165"/>
        <w:spacing w:line="360" w:lineRule="auto"/>
      </w:pPr>
      <w:r>
        <w:rPr>
          <w:rFonts w:hint="eastAsia"/>
        </w:rPr>
        <w:t>委托信息、样品信息或检测依据发生合法变更的，应同步更新相关记录，并应保留变更轨迹。</w:t>
      </w:r>
    </w:p>
    <w:p w14:paraId="5DF6BD62">
      <w:pPr>
        <w:pStyle w:val="165"/>
        <w:spacing w:line="360" w:lineRule="auto"/>
      </w:pPr>
      <w:r>
        <w:rPr>
          <w:rFonts w:hint="eastAsia"/>
        </w:rPr>
        <w:t>检测机构不得通过修改报告数据掩盖原始记录与检测结论之间的不一致。</w:t>
      </w:r>
    </w:p>
    <w:p w14:paraId="7EAF1F99">
      <w:pPr>
        <w:pStyle w:val="105"/>
        <w:spacing w:before="120" w:after="120" w:line="360" w:lineRule="auto"/>
      </w:pPr>
      <w:r>
        <w:rPr>
          <w:rFonts w:hint="eastAsia"/>
        </w:rPr>
        <w:t>数据及时性控制</w:t>
      </w:r>
    </w:p>
    <w:p w14:paraId="2D587152">
      <w:pPr>
        <w:pStyle w:val="165"/>
        <w:spacing w:line="360" w:lineRule="auto"/>
      </w:pPr>
      <w:r>
        <w:rPr>
          <w:rFonts w:hint="eastAsia"/>
        </w:rPr>
        <w:t>检测数据应在规定时间内完成记录、录入、复核、审核和归档。</w:t>
      </w:r>
    </w:p>
    <w:p w14:paraId="62E08776">
      <w:pPr>
        <w:pStyle w:val="165"/>
        <w:spacing w:line="360" w:lineRule="auto"/>
      </w:pPr>
      <w:r>
        <w:rPr>
          <w:rFonts w:hint="eastAsia"/>
        </w:rPr>
        <w:t>现场检测数据应在检测完成后及时上传或移交。上传或移交时间超过检测机构规定时限的，应说明原因。</w:t>
      </w:r>
    </w:p>
    <w:p w14:paraId="1EA61E6F">
      <w:pPr>
        <w:pStyle w:val="165"/>
        <w:spacing w:line="360" w:lineRule="auto"/>
      </w:pPr>
      <w:r>
        <w:rPr>
          <w:rFonts w:hint="eastAsia"/>
        </w:rPr>
        <w:t>检测报告签发后，相关原始记录和支撑资料应在规定期限内完成归档。</w:t>
      </w:r>
    </w:p>
    <w:p w14:paraId="684C7EE4">
      <w:pPr>
        <w:pStyle w:val="165"/>
        <w:spacing w:line="360" w:lineRule="auto"/>
      </w:pPr>
      <w:r>
        <w:rPr>
          <w:rFonts w:hint="eastAsia"/>
        </w:rPr>
        <w:t>对时效性要求较高的检测项目，检测机构应明确数据采集、报告出具和资料归档时限。</w:t>
      </w:r>
    </w:p>
    <w:p w14:paraId="55F327C4">
      <w:pPr>
        <w:pStyle w:val="165"/>
        <w:spacing w:line="360" w:lineRule="auto"/>
      </w:pPr>
      <w:r>
        <w:rPr>
          <w:rFonts w:hint="eastAsia"/>
        </w:rPr>
        <w:t>超期录入、超期审核或超期归档的数据，应纳入质量监督检查范围。</w:t>
      </w:r>
    </w:p>
    <w:p w14:paraId="568CEBCC">
      <w:pPr>
        <w:pStyle w:val="105"/>
        <w:spacing w:before="120" w:after="120" w:line="360" w:lineRule="auto"/>
      </w:pPr>
      <w:r>
        <w:rPr>
          <w:rFonts w:hint="eastAsia"/>
        </w:rPr>
        <w:t>质量控制方式</w:t>
      </w:r>
    </w:p>
    <w:p w14:paraId="3F8C577C">
      <w:pPr>
        <w:pStyle w:val="165"/>
        <w:spacing w:line="360" w:lineRule="auto"/>
      </w:pPr>
      <w:r>
        <w:rPr>
          <w:rFonts w:hint="eastAsia"/>
        </w:rPr>
        <w:t>检测机构应根据检测项目特点采用人员复核、设备核查、平行试验、重复检测、留样复测、标准物质核查、比对试验、能力验证、系统校验等方式实施数据质量控制。</w:t>
      </w:r>
    </w:p>
    <w:p w14:paraId="0825B47D">
      <w:pPr>
        <w:pStyle w:val="165"/>
        <w:spacing w:line="360" w:lineRule="auto"/>
      </w:pPr>
      <w:r>
        <w:rPr>
          <w:rFonts w:hint="eastAsia"/>
        </w:rPr>
        <w:t>采用平行试验或重复检测的，应记录全部检测结果，不得只记录满足要求的数据。</w:t>
      </w:r>
    </w:p>
    <w:p w14:paraId="27AB5D4B">
      <w:pPr>
        <w:pStyle w:val="165"/>
        <w:spacing w:line="360" w:lineRule="auto"/>
      </w:pPr>
      <w:r>
        <w:rPr>
          <w:rFonts w:hint="eastAsia"/>
        </w:rPr>
        <w:t>采用标准样品、标准物质或已知值样品进行核查的，应记录标准值、实测值、允许偏差、核查结论和处置措施。</w:t>
      </w:r>
    </w:p>
    <w:p w14:paraId="1047967F">
      <w:pPr>
        <w:pStyle w:val="165"/>
        <w:spacing w:line="360" w:lineRule="auto"/>
      </w:pPr>
      <w:r>
        <w:rPr>
          <w:rFonts w:hint="eastAsia"/>
        </w:rPr>
        <w:t>采用设备期间核查的，应记录核查项目、核查方法、核查结果、判定依据和影响范围。</w:t>
      </w:r>
    </w:p>
    <w:p w14:paraId="3AEC64D7">
      <w:pPr>
        <w:pStyle w:val="165"/>
        <w:spacing w:line="360" w:lineRule="auto"/>
      </w:pPr>
      <w:r>
        <w:rPr>
          <w:rFonts w:hint="eastAsia"/>
        </w:rPr>
        <w:t>参加外部能力验证或实验室间比对的，应保存方案、结果、评价、原因分析和整改记录。</w:t>
      </w:r>
    </w:p>
    <w:p w14:paraId="10C403BE">
      <w:pPr>
        <w:pStyle w:val="105"/>
        <w:spacing w:before="120" w:after="120" w:line="360" w:lineRule="auto"/>
      </w:pPr>
      <w:r>
        <w:rPr>
          <w:rFonts w:hint="eastAsia"/>
        </w:rPr>
        <w:t>数据质量检查项目</w:t>
      </w:r>
    </w:p>
    <w:p w14:paraId="36522DCA">
      <w:pPr>
        <w:pStyle w:val="165"/>
        <w:spacing w:line="360" w:lineRule="auto"/>
      </w:pPr>
      <w:r>
        <w:t>检测机构应根据检测数据质量检查项目建立检查记录表，对真实性、完整性、准确性、一致性、及时性、可追溯性、安全性、可读性、留痕性和有效性进行记录和评价，检测数据质量检查记录表可参照附录B。</w:t>
      </w:r>
    </w:p>
    <w:p w14:paraId="71F86FCD">
      <w:pPr>
        <w:pStyle w:val="165"/>
        <w:spacing w:line="360" w:lineRule="auto"/>
      </w:pPr>
      <w:r>
        <w:rPr>
          <w:rFonts w:hint="eastAsia"/>
        </w:rPr>
        <w:t>检测机构应按表2对检测数据质量进行检查，并可结合检测项目特点增加检查项目。</w:t>
      </w:r>
    </w:p>
    <w:p w14:paraId="2BE25A0C">
      <w:pPr>
        <w:pStyle w:val="112"/>
        <w:spacing w:before="120" w:after="120" w:line="360" w:lineRule="auto"/>
      </w:pPr>
      <w:r>
        <w:rPr>
          <w:rFonts w:hint="eastAsia"/>
        </w:rPr>
        <w:t>检测数据质量检查项目</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560"/>
        <w:gridCol w:w="2126"/>
        <w:gridCol w:w="4524"/>
      </w:tblGrid>
      <w:tr w14:paraId="31E0F8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tcBorders>
              <w:top w:val="single" w:color="auto" w:sz="8" w:space="0"/>
              <w:bottom w:val="single" w:color="auto" w:sz="8" w:space="0"/>
            </w:tcBorders>
          </w:tcPr>
          <w:p w14:paraId="06951F55">
            <w:pPr>
              <w:pStyle w:val="178"/>
            </w:pPr>
            <w:r>
              <w:rPr>
                <w:rFonts w:hint="eastAsia"/>
              </w:rPr>
              <w:t>序号</w:t>
            </w:r>
          </w:p>
        </w:tc>
        <w:tc>
          <w:tcPr>
            <w:tcW w:w="1560" w:type="dxa"/>
            <w:tcBorders>
              <w:top w:val="single" w:color="auto" w:sz="8" w:space="0"/>
              <w:bottom w:val="single" w:color="auto" w:sz="8" w:space="0"/>
            </w:tcBorders>
          </w:tcPr>
          <w:p w14:paraId="21DFC6C3">
            <w:pPr>
              <w:pStyle w:val="178"/>
            </w:pPr>
            <w:r>
              <w:rPr>
                <w:rFonts w:hint="eastAsia"/>
              </w:rPr>
              <w:t>检查类别</w:t>
            </w:r>
          </w:p>
        </w:tc>
        <w:tc>
          <w:tcPr>
            <w:tcW w:w="2126" w:type="dxa"/>
            <w:tcBorders>
              <w:top w:val="single" w:color="auto" w:sz="8" w:space="0"/>
              <w:bottom w:val="single" w:color="auto" w:sz="8" w:space="0"/>
            </w:tcBorders>
          </w:tcPr>
          <w:p w14:paraId="20D8FA3D">
            <w:pPr>
              <w:pStyle w:val="178"/>
            </w:pPr>
            <w:r>
              <w:rPr>
                <w:rFonts w:hint="eastAsia"/>
              </w:rPr>
              <w:t>检查项目</w:t>
            </w:r>
          </w:p>
        </w:tc>
        <w:tc>
          <w:tcPr>
            <w:tcW w:w="4524" w:type="dxa"/>
            <w:tcBorders>
              <w:top w:val="single" w:color="auto" w:sz="8" w:space="0"/>
              <w:bottom w:val="single" w:color="auto" w:sz="8" w:space="0"/>
            </w:tcBorders>
          </w:tcPr>
          <w:p w14:paraId="3F04B001">
            <w:pPr>
              <w:pStyle w:val="178"/>
            </w:pPr>
            <w:r>
              <w:rPr>
                <w:rFonts w:hint="eastAsia"/>
              </w:rPr>
              <w:t>控制要求</w:t>
            </w:r>
          </w:p>
        </w:tc>
      </w:tr>
      <w:tr w14:paraId="00AED6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tcBorders>
          </w:tcPr>
          <w:p w14:paraId="1EB93D90">
            <w:pPr>
              <w:pStyle w:val="178"/>
            </w:pPr>
            <w:r>
              <w:rPr>
                <w:rFonts w:hint="eastAsia"/>
              </w:rPr>
              <w:t>1</w:t>
            </w:r>
          </w:p>
        </w:tc>
        <w:tc>
          <w:tcPr>
            <w:tcW w:w="1560" w:type="dxa"/>
            <w:tcBorders>
              <w:top w:val="single" w:color="auto" w:sz="8" w:space="0"/>
            </w:tcBorders>
          </w:tcPr>
          <w:p w14:paraId="437B8505">
            <w:pPr>
              <w:pStyle w:val="178"/>
            </w:pPr>
            <w:r>
              <w:rPr>
                <w:rFonts w:hint="eastAsia"/>
              </w:rPr>
              <w:t>真实性</w:t>
            </w:r>
          </w:p>
        </w:tc>
        <w:tc>
          <w:tcPr>
            <w:tcW w:w="2126" w:type="dxa"/>
            <w:tcBorders>
              <w:top w:val="single" w:color="auto" w:sz="8" w:space="0"/>
            </w:tcBorders>
          </w:tcPr>
          <w:p w14:paraId="74AAE422">
            <w:pPr>
              <w:pStyle w:val="178"/>
            </w:pPr>
            <w:r>
              <w:rPr>
                <w:rFonts w:hint="eastAsia"/>
              </w:rPr>
              <w:t>数据来源</w:t>
            </w:r>
          </w:p>
        </w:tc>
        <w:tc>
          <w:tcPr>
            <w:tcW w:w="4524" w:type="dxa"/>
            <w:tcBorders>
              <w:top w:val="single" w:color="auto" w:sz="8" w:space="0"/>
            </w:tcBorders>
          </w:tcPr>
          <w:p w14:paraId="5AFEEBF4">
            <w:pPr>
              <w:pStyle w:val="178"/>
            </w:pPr>
            <w:r>
              <w:rPr>
                <w:rFonts w:hint="eastAsia"/>
              </w:rPr>
              <w:t>应能追溯至实际检测活动、设备输出或原始记录</w:t>
            </w:r>
          </w:p>
        </w:tc>
      </w:tr>
      <w:tr w14:paraId="14870D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4E62AF1C">
            <w:pPr>
              <w:pStyle w:val="178"/>
            </w:pPr>
            <w:r>
              <w:rPr>
                <w:rFonts w:hint="eastAsia"/>
              </w:rPr>
              <w:t>2</w:t>
            </w:r>
          </w:p>
        </w:tc>
        <w:tc>
          <w:tcPr>
            <w:tcW w:w="1560" w:type="dxa"/>
          </w:tcPr>
          <w:p w14:paraId="3AE4B2A5">
            <w:pPr>
              <w:pStyle w:val="178"/>
            </w:pPr>
            <w:r>
              <w:rPr>
                <w:rFonts w:hint="eastAsia"/>
              </w:rPr>
              <w:t>完整性</w:t>
            </w:r>
          </w:p>
        </w:tc>
        <w:tc>
          <w:tcPr>
            <w:tcW w:w="2126" w:type="dxa"/>
          </w:tcPr>
          <w:p w14:paraId="72A63157">
            <w:pPr>
              <w:pStyle w:val="178"/>
            </w:pPr>
            <w:r>
              <w:rPr>
                <w:rFonts w:hint="eastAsia"/>
              </w:rPr>
              <w:t>记录内容</w:t>
            </w:r>
          </w:p>
        </w:tc>
        <w:tc>
          <w:tcPr>
            <w:tcW w:w="4524" w:type="dxa"/>
          </w:tcPr>
          <w:p w14:paraId="6CBFC8CB">
            <w:pPr>
              <w:pStyle w:val="178"/>
            </w:pPr>
            <w:r>
              <w:rPr>
                <w:rFonts w:hint="eastAsia"/>
              </w:rPr>
              <w:t>应包含检测结论形成所需的全部关键数据</w:t>
            </w:r>
          </w:p>
        </w:tc>
      </w:tr>
      <w:tr w14:paraId="551AAC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1C0CAEED">
            <w:pPr>
              <w:pStyle w:val="178"/>
            </w:pPr>
            <w:r>
              <w:rPr>
                <w:rFonts w:hint="eastAsia"/>
              </w:rPr>
              <w:t>3</w:t>
            </w:r>
          </w:p>
        </w:tc>
        <w:tc>
          <w:tcPr>
            <w:tcW w:w="1560" w:type="dxa"/>
          </w:tcPr>
          <w:p w14:paraId="2D9F6F99">
            <w:pPr>
              <w:pStyle w:val="178"/>
            </w:pPr>
            <w:r>
              <w:rPr>
                <w:rFonts w:hint="eastAsia"/>
              </w:rPr>
              <w:t>准确性</w:t>
            </w:r>
          </w:p>
        </w:tc>
        <w:tc>
          <w:tcPr>
            <w:tcW w:w="2126" w:type="dxa"/>
          </w:tcPr>
          <w:p w14:paraId="58890E95">
            <w:pPr>
              <w:pStyle w:val="178"/>
            </w:pPr>
            <w:r>
              <w:rPr>
                <w:rFonts w:hint="eastAsia"/>
              </w:rPr>
              <w:t>计算过程</w:t>
            </w:r>
          </w:p>
        </w:tc>
        <w:tc>
          <w:tcPr>
            <w:tcW w:w="4524" w:type="dxa"/>
          </w:tcPr>
          <w:p w14:paraId="1D014758">
            <w:pPr>
              <w:pStyle w:val="178"/>
            </w:pPr>
            <w:r>
              <w:rPr>
                <w:rFonts w:hint="eastAsia"/>
              </w:rPr>
              <w:t>应符合检测方法、计算公式和修约规则</w:t>
            </w:r>
          </w:p>
        </w:tc>
      </w:tr>
      <w:tr w14:paraId="08F05C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7B699FAB">
            <w:pPr>
              <w:pStyle w:val="178"/>
            </w:pPr>
            <w:r>
              <w:rPr>
                <w:rFonts w:hint="eastAsia"/>
              </w:rPr>
              <w:t>4</w:t>
            </w:r>
          </w:p>
        </w:tc>
        <w:tc>
          <w:tcPr>
            <w:tcW w:w="1560" w:type="dxa"/>
          </w:tcPr>
          <w:p w14:paraId="1E1F6892">
            <w:pPr>
              <w:pStyle w:val="178"/>
            </w:pPr>
            <w:r>
              <w:rPr>
                <w:rFonts w:hint="eastAsia"/>
              </w:rPr>
              <w:t>一致性</w:t>
            </w:r>
          </w:p>
        </w:tc>
        <w:tc>
          <w:tcPr>
            <w:tcW w:w="2126" w:type="dxa"/>
          </w:tcPr>
          <w:p w14:paraId="35FB6FD9">
            <w:pPr>
              <w:pStyle w:val="178"/>
            </w:pPr>
            <w:r>
              <w:rPr>
                <w:rFonts w:hint="eastAsia"/>
              </w:rPr>
              <w:t>关键字段</w:t>
            </w:r>
          </w:p>
        </w:tc>
        <w:tc>
          <w:tcPr>
            <w:tcW w:w="4524" w:type="dxa"/>
          </w:tcPr>
          <w:p w14:paraId="09FEA443">
            <w:pPr>
              <w:pStyle w:val="178"/>
            </w:pPr>
            <w:r>
              <w:rPr>
                <w:rFonts w:hint="eastAsia"/>
              </w:rPr>
              <w:t>委托、样品、原始记录、报告和归档资料应一致</w:t>
            </w:r>
          </w:p>
        </w:tc>
      </w:tr>
      <w:tr w14:paraId="64E7C6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0811FE7F">
            <w:pPr>
              <w:pStyle w:val="178"/>
            </w:pPr>
            <w:r>
              <w:rPr>
                <w:rFonts w:hint="eastAsia"/>
              </w:rPr>
              <w:t>5</w:t>
            </w:r>
          </w:p>
        </w:tc>
        <w:tc>
          <w:tcPr>
            <w:tcW w:w="1560" w:type="dxa"/>
          </w:tcPr>
          <w:p w14:paraId="355CFFAA">
            <w:pPr>
              <w:pStyle w:val="178"/>
            </w:pPr>
            <w:r>
              <w:rPr>
                <w:rFonts w:hint="eastAsia"/>
              </w:rPr>
              <w:t>及时性</w:t>
            </w:r>
          </w:p>
        </w:tc>
        <w:tc>
          <w:tcPr>
            <w:tcW w:w="2126" w:type="dxa"/>
          </w:tcPr>
          <w:p w14:paraId="4BC8F912">
            <w:pPr>
              <w:pStyle w:val="178"/>
            </w:pPr>
            <w:r>
              <w:rPr>
                <w:rFonts w:hint="eastAsia"/>
              </w:rPr>
              <w:t>录入与归档</w:t>
            </w:r>
          </w:p>
        </w:tc>
        <w:tc>
          <w:tcPr>
            <w:tcW w:w="4524" w:type="dxa"/>
          </w:tcPr>
          <w:p w14:paraId="7807F8FC">
            <w:pPr>
              <w:pStyle w:val="178"/>
            </w:pPr>
            <w:r>
              <w:rPr>
                <w:rFonts w:hint="eastAsia"/>
              </w:rPr>
              <w:t>应在规定时限内完成录入、审核和归档</w:t>
            </w:r>
          </w:p>
        </w:tc>
      </w:tr>
      <w:tr w14:paraId="1D4C98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2AB2EB6E">
            <w:pPr>
              <w:pStyle w:val="178"/>
            </w:pPr>
            <w:r>
              <w:rPr>
                <w:rFonts w:hint="eastAsia"/>
              </w:rPr>
              <w:t>6</w:t>
            </w:r>
          </w:p>
        </w:tc>
        <w:tc>
          <w:tcPr>
            <w:tcW w:w="1560" w:type="dxa"/>
          </w:tcPr>
          <w:p w14:paraId="2CFEB387">
            <w:pPr>
              <w:pStyle w:val="178"/>
            </w:pPr>
            <w:r>
              <w:rPr>
                <w:rFonts w:hint="eastAsia"/>
              </w:rPr>
              <w:t>可追溯性</w:t>
            </w:r>
          </w:p>
        </w:tc>
        <w:tc>
          <w:tcPr>
            <w:tcW w:w="2126" w:type="dxa"/>
          </w:tcPr>
          <w:p w14:paraId="423A1058">
            <w:pPr>
              <w:pStyle w:val="178"/>
            </w:pPr>
            <w:r>
              <w:rPr>
                <w:rFonts w:hint="eastAsia"/>
              </w:rPr>
              <w:t>标识关联</w:t>
            </w:r>
          </w:p>
        </w:tc>
        <w:tc>
          <w:tcPr>
            <w:tcW w:w="4524" w:type="dxa"/>
          </w:tcPr>
          <w:p w14:paraId="4891D2B0">
            <w:pPr>
              <w:pStyle w:val="178"/>
            </w:pPr>
            <w:r>
              <w:rPr>
                <w:rFonts w:hint="eastAsia"/>
              </w:rPr>
              <w:t>应能按编号追溯人员、设备、样品、方法和报告</w:t>
            </w:r>
          </w:p>
        </w:tc>
      </w:tr>
      <w:tr w14:paraId="32E12E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1E7617CA">
            <w:pPr>
              <w:pStyle w:val="178"/>
            </w:pPr>
            <w:r>
              <w:rPr>
                <w:rFonts w:hint="eastAsia"/>
              </w:rPr>
              <w:t>7</w:t>
            </w:r>
          </w:p>
        </w:tc>
        <w:tc>
          <w:tcPr>
            <w:tcW w:w="1560" w:type="dxa"/>
          </w:tcPr>
          <w:p w14:paraId="337B7162">
            <w:pPr>
              <w:pStyle w:val="178"/>
            </w:pPr>
            <w:r>
              <w:rPr>
                <w:rFonts w:hint="eastAsia"/>
              </w:rPr>
              <w:t>安全性</w:t>
            </w:r>
          </w:p>
        </w:tc>
        <w:tc>
          <w:tcPr>
            <w:tcW w:w="2126" w:type="dxa"/>
          </w:tcPr>
          <w:p w14:paraId="21B97DA4">
            <w:pPr>
              <w:pStyle w:val="178"/>
            </w:pPr>
            <w:r>
              <w:rPr>
                <w:rFonts w:hint="eastAsia"/>
              </w:rPr>
              <w:t>权限控制</w:t>
            </w:r>
          </w:p>
        </w:tc>
        <w:tc>
          <w:tcPr>
            <w:tcW w:w="4524" w:type="dxa"/>
          </w:tcPr>
          <w:p w14:paraId="6415C987">
            <w:pPr>
              <w:pStyle w:val="178"/>
            </w:pPr>
            <w:r>
              <w:rPr>
                <w:rFonts w:hint="eastAsia"/>
              </w:rPr>
              <w:t>应防止未授权访问、修改、删除和导出</w:t>
            </w:r>
          </w:p>
        </w:tc>
      </w:tr>
      <w:tr w14:paraId="27D1CE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03CCC0B2">
            <w:pPr>
              <w:pStyle w:val="178"/>
            </w:pPr>
            <w:r>
              <w:rPr>
                <w:rFonts w:hint="eastAsia"/>
              </w:rPr>
              <w:t>8</w:t>
            </w:r>
          </w:p>
        </w:tc>
        <w:tc>
          <w:tcPr>
            <w:tcW w:w="1560" w:type="dxa"/>
          </w:tcPr>
          <w:p w14:paraId="610920D0">
            <w:pPr>
              <w:pStyle w:val="178"/>
            </w:pPr>
            <w:r>
              <w:rPr>
                <w:rFonts w:hint="eastAsia"/>
              </w:rPr>
              <w:t>可读性</w:t>
            </w:r>
          </w:p>
        </w:tc>
        <w:tc>
          <w:tcPr>
            <w:tcW w:w="2126" w:type="dxa"/>
          </w:tcPr>
          <w:p w14:paraId="363CB596">
            <w:pPr>
              <w:pStyle w:val="178"/>
            </w:pPr>
            <w:r>
              <w:rPr>
                <w:rFonts w:hint="eastAsia"/>
              </w:rPr>
              <w:t>文件状态</w:t>
            </w:r>
          </w:p>
        </w:tc>
        <w:tc>
          <w:tcPr>
            <w:tcW w:w="4524" w:type="dxa"/>
          </w:tcPr>
          <w:p w14:paraId="520F1628">
            <w:pPr>
              <w:pStyle w:val="178"/>
            </w:pPr>
            <w:r>
              <w:rPr>
                <w:rFonts w:hint="eastAsia"/>
              </w:rPr>
              <w:t>纸质资料应清晰，电子文件应可打开、可识别、可读取</w:t>
            </w:r>
          </w:p>
        </w:tc>
      </w:tr>
      <w:tr w14:paraId="0BB42E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36DD9A69">
            <w:pPr>
              <w:pStyle w:val="178"/>
            </w:pPr>
            <w:r>
              <w:rPr>
                <w:rFonts w:hint="eastAsia"/>
              </w:rPr>
              <w:t>9</w:t>
            </w:r>
          </w:p>
        </w:tc>
        <w:tc>
          <w:tcPr>
            <w:tcW w:w="1560" w:type="dxa"/>
          </w:tcPr>
          <w:p w14:paraId="6E79807D">
            <w:pPr>
              <w:pStyle w:val="178"/>
            </w:pPr>
            <w:r>
              <w:rPr>
                <w:rFonts w:hint="eastAsia"/>
              </w:rPr>
              <w:t>留痕性</w:t>
            </w:r>
          </w:p>
        </w:tc>
        <w:tc>
          <w:tcPr>
            <w:tcW w:w="2126" w:type="dxa"/>
          </w:tcPr>
          <w:p w14:paraId="46432D27">
            <w:pPr>
              <w:pStyle w:val="178"/>
            </w:pPr>
            <w:r>
              <w:rPr>
                <w:rFonts w:hint="eastAsia"/>
              </w:rPr>
              <w:t>操作日志</w:t>
            </w:r>
          </w:p>
        </w:tc>
        <w:tc>
          <w:tcPr>
            <w:tcW w:w="4524" w:type="dxa"/>
          </w:tcPr>
          <w:p w14:paraId="1A2800D2">
            <w:pPr>
              <w:pStyle w:val="178"/>
            </w:pPr>
            <w:r>
              <w:rPr>
                <w:rFonts w:hint="eastAsia"/>
              </w:rPr>
              <w:t>关键操作应保留日志，不得覆盖或删除</w:t>
            </w:r>
          </w:p>
        </w:tc>
      </w:tr>
      <w:tr w14:paraId="2FB1A6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Pr>
          <w:p w14:paraId="1A7B6A51">
            <w:pPr>
              <w:pStyle w:val="178"/>
            </w:pPr>
            <w:r>
              <w:rPr>
                <w:rFonts w:hint="eastAsia"/>
              </w:rPr>
              <w:t>10</w:t>
            </w:r>
          </w:p>
        </w:tc>
        <w:tc>
          <w:tcPr>
            <w:tcW w:w="1560" w:type="dxa"/>
          </w:tcPr>
          <w:p w14:paraId="0BAA6711">
            <w:pPr>
              <w:pStyle w:val="178"/>
            </w:pPr>
            <w:r>
              <w:rPr>
                <w:rFonts w:hint="eastAsia"/>
              </w:rPr>
              <w:t>有效性</w:t>
            </w:r>
          </w:p>
        </w:tc>
        <w:tc>
          <w:tcPr>
            <w:tcW w:w="2126" w:type="dxa"/>
          </w:tcPr>
          <w:p w14:paraId="2340AF26">
            <w:pPr>
              <w:pStyle w:val="178"/>
            </w:pPr>
            <w:r>
              <w:rPr>
                <w:rFonts w:hint="eastAsia"/>
              </w:rPr>
              <w:t>审核批准</w:t>
            </w:r>
          </w:p>
        </w:tc>
        <w:tc>
          <w:tcPr>
            <w:tcW w:w="4524" w:type="dxa"/>
          </w:tcPr>
          <w:p w14:paraId="038C1296">
            <w:pPr>
              <w:pStyle w:val="178"/>
            </w:pPr>
            <w:r>
              <w:rPr>
                <w:rFonts w:hint="eastAsia"/>
              </w:rPr>
              <w:t>应经过规定的复核、审核和批准程序</w:t>
            </w:r>
          </w:p>
        </w:tc>
      </w:tr>
    </w:tbl>
    <w:p w14:paraId="375C9732">
      <w:pPr>
        <w:pStyle w:val="104"/>
        <w:spacing w:before="240" w:after="240" w:line="360" w:lineRule="auto"/>
      </w:pPr>
      <w:bookmarkStart w:id="55" w:name="_Toc228620517"/>
      <w:r>
        <w:rPr>
          <w:rFonts w:hint="eastAsia"/>
        </w:rPr>
        <w:t>数据审核与更正</w:t>
      </w:r>
      <w:bookmarkEnd w:id="55"/>
    </w:p>
    <w:p w14:paraId="42DECDFC">
      <w:pPr>
        <w:pStyle w:val="105"/>
        <w:spacing w:before="120" w:after="120" w:line="360" w:lineRule="auto"/>
      </w:pPr>
      <w:r>
        <w:rPr>
          <w:rFonts w:hint="eastAsia"/>
        </w:rPr>
        <w:t>一般要求</w:t>
      </w:r>
    </w:p>
    <w:p w14:paraId="72901490">
      <w:pPr>
        <w:pStyle w:val="165"/>
        <w:spacing w:line="360" w:lineRule="auto"/>
      </w:pPr>
      <w:r>
        <w:rPr>
          <w:rFonts w:hint="eastAsia"/>
        </w:rPr>
        <w:t>检测数据应实行分级审核。原始记录、计算结果、检测报告和归档资料应按规定经过复核、审核和批准。</w:t>
      </w:r>
    </w:p>
    <w:p w14:paraId="55781E1D">
      <w:pPr>
        <w:pStyle w:val="165"/>
        <w:spacing w:line="360" w:lineRule="auto"/>
      </w:pPr>
      <w:r>
        <w:rPr>
          <w:rFonts w:hint="eastAsia"/>
        </w:rPr>
        <w:t>数据审核应以检测依据、原始记录、设备记录、样品记录、环境记录和计算过程为依据。</w:t>
      </w:r>
    </w:p>
    <w:p w14:paraId="2C01EC9B">
      <w:pPr>
        <w:pStyle w:val="165"/>
        <w:spacing w:line="360" w:lineRule="auto"/>
      </w:pPr>
      <w:r>
        <w:rPr>
          <w:rFonts w:hint="eastAsia"/>
        </w:rPr>
        <w:t>数据审核人员应独立履行审核职责。未经审核或审核未通过的数据，不得用于出具检测报告。</w:t>
      </w:r>
    </w:p>
    <w:p w14:paraId="5BC4F76E">
      <w:pPr>
        <w:pStyle w:val="165"/>
        <w:spacing w:line="360" w:lineRule="auto"/>
      </w:pPr>
      <w:r>
        <w:rPr>
          <w:rFonts w:hint="eastAsia"/>
        </w:rPr>
        <w:t>数据更正应遵循保留原始记录、说明更正原因、履行审批程序、保留更正痕迹的原则。</w:t>
      </w:r>
    </w:p>
    <w:p w14:paraId="0F97E3FA">
      <w:pPr>
        <w:pStyle w:val="165"/>
        <w:spacing w:line="360" w:lineRule="auto"/>
      </w:pPr>
      <w:r>
        <w:rPr>
          <w:rFonts w:hint="eastAsia"/>
        </w:rPr>
        <w:t>数据更正不得改变真实检测过程，不得掩盖检测偏差、设备异常、样品异常或操作错误。</w:t>
      </w:r>
    </w:p>
    <w:p w14:paraId="2D45E832">
      <w:pPr>
        <w:pStyle w:val="105"/>
        <w:spacing w:before="120" w:after="120" w:line="360" w:lineRule="auto"/>
      </w:pPr>
      <w:r>
        <w:rPr>
          <w:rFonts w:hint="eastAsia"/>
        </w:rPr>
        <w:t>原始记录复核</w:t>
      </w:r>
    </w:p>
    <w:p w14:paraId="346D31E7">
      <w:pPr>
        <w:pStyle w:val="165"/>
        <w:spacing w:line="360" w:lineRule="auto"/>
      </w:pPr>
      <w:r>
        <w:rPr>
          <w:rFonts w:hint="eastAsia"/>
        </w:rPr>
        <w:t>原始记录复核应在检测报告审核前完成。</w:t>
      </w:r>
    </w:p>
    <w:p w14:paraId="59F83ACE">
      <w:pPr>
        <w:pStyle w:val="165"/>
        <w:spacing w:line="360" w:lineRule="auto"/>
      </w:pPr>
      <w:r>
        <w:rPr>
          <w:rFonts w:hint="eastAsia"/>
        </w:rPr>
        <w:t>原始记录复核内容应至少包括：</w:t>
      </w:r>
    </w:p>
    <w:p w14:paraId="28882D0D">
      <w:pPr>
        <w:pStyle w:val="56"/>
        <w:spacing w:line="360" w:lineRule="auto"/>
        <w:ind w:firstLine="420"/>
      </w:pPr>
      <w:r>
        <w:rPr>
          <w:rFonts w:hint="eastAsia"/>
        </w:rPr>
        <w:t>a) 检测任务编号、样品编号和报告编号是否关联一致；</w:t>
      </w:r>
    </w:p>
    <w:p w14:paraId="0C8809AF">
      <w:pPr>
        <w:pStyle w:val="56"/>
        <w:spacing w:line="360" w:lineRule="auto"/>
        <w:ind w:firstLine="420"/>
      </w:pPr>
      <w:r>
        <w:rPr>
          <w:rFonts w:hint="eastAsia"/>
        </w:rPr>
        <w:t>b) 检测依据是否适用；</w:t>
      </w:r>
    </w:p>
    <w:p w14:paraId="3C64A7EE">
      <w:pPr>
        <w:pStyle w:val="56"/>
        <w:spacing w:line="360" w:lineRule="auto"/>
        <w:ind w:firstLine="420"/>
      </w:pPr>
      <w:r>
        <w:rPr>
          <w:rFonts w:hint="eastAsia"/>
        </w:rPr>
        <w:t>c) 检测人员是否具有相应授权；</w:t>
      </w:r>
    </w:p>
    <w:p w14:paraId="006F07FF">
      <w:pPr>
        <w:pStyle w:val="56"/>
        <w:spacing w:line="360" w:lineRule="auto"/>
        <w:ind w:firstLine="420"/>
      </w:pPr>
      <w:r>
        <w:rPr>
          <w:rFonts w:hint="eastAsia"/>
        </w:rPr>
        <w:t>d) 检测设备是否处于有效状态；</w:t>
      </w:r>
    </w:p>
    <w:p w14:paraId="13E8A81B">
      <w:pPr>
        <w:pStyle w:val="56"/>
        <w:spacing w:line="360" w:lineRule="auto"/>
        <w:ind w:firstLine="420"/>
      </w:pPr>
      <w:r>
        <w:rPr>
          <w:rFonts w:hint="eastAsia"/>
        </w:rPr>
        <w:t>e) 环境条件是否满足检测方法要求；</w:t>
      </w:r>
    </w:p>
    <w:p w14:paraId="2E4E7E3F">
      <w:pPr>
        <w:pStyle w:val="56"/>
        <w:spacing w:line="360" w:lineRule="auto"/>
        <w:ind w:firstLine="420"/>
      </w:pPr>
      <w:r>
        <w:rPr>
          <w:rFonts w:hint="eastAsia"/>
        </w:rPr>
        <w:t>f) 原始读数是否完整；</w:t>
      </w:r>
    </w:p>
    <w:p w14:paraId="11DBE1A2">
      <w:pPr>
        <w:pStyle w:val="56"/>
        <w:spacing w:line="360" w:lineRule="auto"/>
        <w:ind w:firstLine="420"/>
      </w:pPr>
      <w:r>
        <w:rPr>
          <w:rFonts w:hint="eastAsia"/>
        </w:rPr>
        <w:t>g) 计算过程是否正确；</w:t>
      </w:r>
    </w:p>
    <w:p w14:paraId="302DEEA0">
      <w:pPr>
        <w:pStyle w:val="56"/>
        <w:spacing w:line="360" w:lineRule="auto"/>
        <w:ind w:firstLine="420"/>
      </w:pPr>
      <w:r>
        <w:rPr>
          <w:rFonts w:hint="eastAsia"/>
        </w:rPr>
        <w:t>h) 数值修约是否符合要求；</w:t>
      </w:r>
    </w:p>
    <w:p w14:paraId="3D23407B">
      <w:pPr>
        <w:pStyle w:val="56"/>
        <w:spacing w:line="360" w:lineRule="auto"/>
        <w:ind w:firstLine="420"/>
      </w:pPr>
      <w:r>
        <w:rPr>
          <w:rFonts w:hint="eastAsia"/>
        </w:rPr>
        <w:t>i) 异常情况是否记录并处置；</w:t>
      </w:r>
    </w:p>
    <w:p w14:paraId="6154CBC3">
      <w:pPr>
        <w:pStyle w:val="56"/>
        <w:spacing w:line="360" w:lineRule="auto"/>
        <w:ind w:firstLine="420"/>
      </w:pPr>
      <w:r>
        <w:rPr>
          <w:rFonts w:hint="eastAsia"/>
        </w:rPr>
        <w:t>j) 签名、日期和审核信息是否完整。</w:t>
      </w:r>
    </w:p>
    <w:p w14:paraId="3761DA46">
      <w:pPr>
        <w:pStyle w:val="165"/>
        <w:spacing w:line="360" w:lineRule="auto"/>
      </w:pPr>
      <w:r>
        <w:rPr>
          <w:rFonts w:hint="eastAsia"/>
        </w:rPr>
        <w:t>原始记录复核发现问题的，应退回检测人员核查。未经核查确认的，不得继续进入报告审核环节。</w:t>
      </w:r>
    </w:p>
    <w:p w14:paraId="4816FB30">
      <w:pPr>
        <w:pStyle w:val="165"/>
        <w:spacing w:line="360" w:lineRule="auto"/>
      </w:pPr>
      <w:r>
        <w:rPr>
          <w:rFonts w:hint="eastAsia"/>
        </w:rPr>
        <w:t>复核人员不得直接替代检测人员修改原始检测数据。确需更正的，应按数据更正程序执行。</w:t>
      </w:r>
    </w:p>
    <w:p w14:paraId="42473CDC">
      <w:pPr>
        <w:pStyle w:val="105"/>
        <w:spacing w:before="120" w:after="120" w:line="360" w:lineRule="auto"/>
      </w:pPr>
      <w:r>
        <w:rPr>
          <w:rFonts w:hint="eastAsia"/>
        </w:rPr>
        <w:t>检测报告审核</w:t>
      </w:r>
    </w:p>
    <w:p w14:paraId="2E17879D">
      <w:pPr>
        <w:pStyle w:val="165"/>
        <w:spacing w:line="360" w:lineRule="auto"/>
      </w:pPr>
      <w:r>
        <w:rPr>
          <w:rFonts w:hint="eastAsia"/>
        </w:rPr>
        <w:t>检测报告审核应在原始记录复核合格后进行。</w:t>
      </w:r>
    </w:p>
    <w:p w14:paraId="26647B11">
      <w:pPr>
        <w:pStyle w:val="165"/>
        <w:spacing w:line="360" w:lineRule="auto"/>
      </w:pPr>
      <w:r>
        <w:rPr>
          <w:rFonts w:hint="eastAsia"/>
        </w:rPr>
        <w:t>检测报告审核内容应至少包括：</w:t>
      </w:r>
    </w:p>
    <w:p w14:paraId="4CD141ED">
      <w:pPr>
        <w:pStyle w:val="56"/>
        <w:spacing w:line="360" w:lineRule="auto"/>
        <w:ind w:firstLine="420"/>
      </w:pPr>
      <w:r>
        <w:rPr>
          <w:rFonts w:hint="eastAsia"/>
        </w:rPr>
        <w:t>a) 报告格式是否符合机构受控要求；</w:t>
      </w:r>
    </w:p>
    <w:p w14:paraId="74023011">
      <w:pPr>
        <w:pStyle w:val="56"/>
        <w:spacing w:line="360" w:lineRule="auto"/>
        <w:ind w:firstLine="420"/>
      </w:pPr>
      <w:r>
        <w:rPr>
          <w:rFonts w:hint="eastAsia"/>
        </w:rPr>
        <w:t>b) 工程信息、委托信息、样品信息是否一致；</w:t>
      </w:r>
    </w:p>
    <w:p w14:paraId="3F6C411C">
      <w:pPr>
        <w:pStyle w:val="56"/>
        <w:spacing w:line="360" w:lineRule="auto"/>
        <w:ind w:firstLine="420"/>
      </w:pPr>
      <w:r>
        <w:rPr>
          <w:rFonts w:hint="eastAsia"/>
        </w:rPr>
        <w:t>c) 检测项目、检测依据和判定依据是否准确；</w:t>
      </w:r>
    </w:p>
    <w:p w14:paraId="2E42126E">
      <w:pPr>
        <w:pStyle w:val="56"/>
        <w:spacing w:line="360" w:lineRule="auto"/>
        <w:ind w:firstLine="420"/>
      </w:pPr>
      <w:r>
        <w:rPr>
          <w:rFonts w:hint="eastAsia"/>
        </w:rPr>
        <w:t>d) 检测结果是否与原始记录一致；</w:t>
      </w:r>
    </w:p>
    <w:p w14:paraId="51ECE313">
      <w:pPr>
        <w:pStyle w:val="56"/>
        <w:spacing w:line="360" w:lineRule="auto"/>
        <w:ind w:firstLine="420"/>
      </w:pPr>
      <w:r>
        <w:rPr>
          <w:rFonts w:hint="eastAsia"/>
        </w:rPr>
        <w:t>e) 检测结论是否符合判定规则；</w:t>
      </w:r>
    </w:p>
    <w:p w14:paraId="569F1E0D">
      <w:pPr>
        <w:pStyle w:val="56"/>
        <w:spacing w:line="360" w:lineRule="auto"/>
        <w:ind w:firstLine="420"/>
      </w:pPr>
      <w:r>
        <w:rPr>
          <w:rFonts w:hint="eastAsia"/>
        </w:rPr>
        <w:t>f) 报告编号、签发日期和签章信息是否完整；</w:t>
      </w:r>
    </w:p>
    <w:p w14:paraId="7F5DB5CD">
      <w:pPr>
        <w:pStyle w:val="56"/>
        <w:spacing w:line="360" w:lineRule="auto"/>
        <w:ind w:firstLine="420"/>
      </w:pPr>
      <w:r>
        <w:rPr>
          <w:rFonts w:hint="eastAsia"/>
        </w:rPr>
        <w:t>g) 涉及不合格结果、异常结果或争议结果的说明是否充分。</w:t>
      </w:r>
    </w:p>
    <w:p w14:paraId="30871F4A">
      <w:pPr>
        <w:pStyle w:val="165"/>
        <w:spacing w:line="360" w:lineRule="auto"/>
      </w:pPr>
      <w:r>
        <w:rPr>
          <w:rFonts w:hint="eastAsia"/>
        </w:rPr>
        <w:t>审核人员发现报告数据与原始记录不一致的，应退回修改并保留退回记录。</w:t>
      </w:r>
    </w:p>
    <w:p w14:paraId="7C194186">
      <w:pPr>
        <w:pStyle w:val="165"/>
        <w:spacing w:line="360" w:lineRule="auto"/>
      </w:pPr>
      <w:r>
        <w:rPr>
          <w:rFonts w:hint="eastAsia"/>
        </w:rPr>
        <w:t>授权签字人签发报告前，应确认报告审核已完成，关键数据无未关闭问题。</w:t>
      </w:r>
    </w:p>
    <w:p w14:paraId="72E7DDAD">
      <w:pPr>
        <w:pStyle w:val="165"/>
        <w:spacing w:line="360" w:lineRule="auto"/>
      </w:pPr>
      <w:r>
        <w:rPr>
          <w:rFonts w:hint="eastAsia"/>
        </w:rPr>
        <w:t>未经授权签字人批准的报告不得对外出具。</w:t>
      </w:r>
    </w:p>
    <w:p w14:paraId="071AF38B">
      <w:pPr>
        <w:pStyle w:val="105"/>
        <w:spacing w:before="120" w:after="120" w:line="360" w:lineRule="auto"/>
      </w:pPr>
      <w:r>
        <w:rPr>
          <w:rFonts w:hint="eastAsia"/>
        </w:rPr>
        <w:t>数据更正</w:t>
      </w:r>
    </w:p>
    <w:p w14:paraId="38FC80FB">
      <w:pPr>
        <w:pStyle w:val="165"/>
        <w:spacing w:line="360" w:lineRule="auto"/>
      </w:pPr>
      <w:r>
        <w:rPr>
          <w:rFonts w:hint="eastAsia"/>
        </w:rPr>
        <w:t>检测数据更正应限于可确认错误。可更正情形包括录入错误、格式错误、计算错误、单位错误、关联编号错误、文字表述错误和经核实的信息变更。</w:t>
      </w:r>
    </w:p>
    <w:p w14:paraId="216BE2C3">
      <w:pPr>
        <w:pStyle w:val="165"/>
        <w:spacing w:line="360" w:lineRule="auto"/>
      </w:pPr>
      <w:r>
        <w:rPr>
          <w:rFonts w:hint="eastAsia"/>
        </w:rPr>
        <w:t>下列情形不得作为一般数据更正处理：</w:t>
      </w:r>
    </w:p>
    <w:p w14:paraId="351235C7">
      <w:pPr>
        <w:pStyle w:val="56"/>
        <w:spacing w:line="360" w:lineRule="auto"/>
        <w:ind w:firstLine="420"/>
      </w:pPr>
      <w:r>
        <w:rPr>
          <w:rFonts w:hint="eastAsia"/>
        </w:rPr>
        <w:t>a) 为改变检测结论而修改原始读数；</w:t>
      </w:r>
    </w:p>
    <w:p w14:paraId="7616E810">
      <w:pPr>
        <w:pStyle w:val="56"/>
        <w:spacing w:line="360" w:lineRule="auto"/>
        <w:ind w:firstLine="420"/>
      </w:pPr>
      <w:r>
        <w:rPr>
          <w:rFonts w:hint="eastAsia"/>
        </w:rPr>
        <w:t>b) 为满足合格要求而调整计算参数；</w:t>
      </w:r>
    </w:p>
    <w:p w14:paraId="73133581">
      <w:pPr>
        <w:pStyle w:val="56"/>
        <w:spacing w:line="360" w:lineRule="auto"/>
        <w:ind w:firstLine="420"/>
      </w:pPr>
      <w:r>
        <w:rPr>
          <w:rFonts w:hint="eastAsia"/>
        </w:rPr>
        <w:t>c) 删除不利检测结果；</w:t>
      </w:r>
    </w:p>
    <w:p w14:paraId="5332180F">
      <w:pPr>
        <w:pStyle w:val="56"/>
        <w:spacing w:line="360" w:lineRule="auto"/>
        <w:ind w:firstLine="420"/>
      </w:pPr>
      <w:r>
        <w:rPr>
          <w:rFonts w:hint="eastAsia"/>
        </w:rPr>
        <w:t>d) 覆盖设备自动输出文件；</w:t>
      </w:r>
    </w:p>
    <w:p w14:paraId="672549B6">
      <w:pPr>
        <w:pStyle w:val="56"/>
        <w:spacing w:line="360" w:lineRule="auto"/>
        <w:ind w:firstLine="420"/>
      </w:pPr>
      <w:r>
        <w:rPr>
          <w:rFonts w:hint="eastAsia"/>
        </w:rPr>
        <w:t>e) 伪造补充检测记录；</w:t>
      </w:r>
    </w:p>
    <w:p w14:paraId="6AD456C8">
      <w:pPr>
        <w:pStyle w:val="56"/>
        <w:spacing w:line="360" w:lineRule="auto"/>
        <w:ind w:firstLine="420"/>
      </w:pPr>
      <w:r>
        <w:rPr>
          <w:rFonts w:hint="eastAsia"/>
        </w:rPr>
        <w:t>f) 将未检测项目补录为已检测项目。</w:t>
      </w:r>
    </w:p>
    <w:p w14:paraId="2603A7F3">
      <w:pPr>
        <w:pStyle w:val="165"/>
        <w:spacing w:line="360" w:lineRule="auto"/>
      </w:pPr>
      <w:r>
        <w:rPr>
          <w:rFonts w:hint="eastAsia"/>
        </w:rPr>
        <w:t>纸质记录更正应采用划改方式保留原内容，并应注明更正内容、更正人和更正日期。不得使用涂改液、刮擦、覆盖粘贴等方式修改原始记录。</w:t>
      </w:r>
    </w:p>
    <w:p w14:paraId="6B0DDF0F">
      <w:pPr>
        <w:pStyle w:val="165"/>
        <w:spacing w:line="360" w:lineRule="auto"/>
      </w:pPr>
      <w:r>
        <w:rPr>
          <w:rFonts w:hint="eastAsia"/>
        </w:rPr>
        <w:t>电子数据更正应通过系统更正功能完成。系统应保留更正前数据、更正后数据、更正原因、更正人员、更正时间和审批记录。</w:t>
      </w:r>
    </w:p>
    <w:p w14:paraId="5C26F9BA">
      <w:pPr>
        <w:pStyle w:val="165"/>
        <w:spacing w:line="360" w:lineRule="auto"/>
      </w:pPr>
      <w:r>
        <w:rPr>
          <w:rFonts w:hint="eastAsia"/>
        </w:rPr>
        <w:t>已签发报告的数据需要更正时，应启动报告更正、补发、作废或撤回程序，并应通知相关方。</w:t>
      </w:r>
    </w:p>
    <w:p w14:paraId="708C2D1C">
      <w:pPr>
        <w:pStyle w:val="165"/>
        <w:spacing w:line="360" w:lineRule="auto"/>
      </w:pPr>
      <w:r>
        <w:rPr>
          <w:rFonts w:hint="eastAsia"/>
        </w:rPr>
        <w:t>数据更正完成后，应由复核人员或审核人员确认更正结果。未经确认的更正数据不得用于报告签发或归档。</w:t>
      </w:r>
    </w:p>
    <w:p w14:paraId="6976B16B">
      <w:pPr>
        <w:pStyle w:val="105"/>
        <w:spacing w:before="120" w:after="120" w:line="360" w:lineRule="auto"/>
      </w:pPr>
      <w:r>
        <w:rPr>
          <w:rFonts w:hint="eastAsia"/>
        </w:rPr>
        <w:t>报告修改、补发、作废与撤回</w:t>
      </w:r>
    </w:p>
    <w:p w14:paraId="40AD95A3">
      <w:pPr>
        <w:pStyle w:val="165"/>
        <w:spacing w:line="360" w:lineRule="auto"/>
      </w:pPr>
      <w:r>
        <w:rPr>
          <w:rFonts w:hint="eastAsia"/>
        </w:rPr>
        <w:t>检测报告签发后发现报告内容存在错误的，应根据错误性质实施修改、补发、作废或撤回。</w:t>
      </w:r>
    </w:p>
    <w:p w14:paraId="19801D7F">
      <w:pPr>
        <w:pStyle w:val="165"/>
        <w:spacing w:line="360" w:lineRule="auto"/>
      </w:pPr>
      <w:r>
        <w:rPr>
          <w:rFonts w:hint="eastAsia"/>
        </w:rPr>
        <w:t>报告修改不得覆盖原报告。修改后报告应标识版本状态，并应与原报告建立关联。</w:t>
      </w:r>
    </w:p>
    <w:p w14:paraId="68E0330B">
      <w:pPr>
        <w:pStyle w:val="165"/>
        <w:spacing w:line="360" w:lineRule="auto"/>
      </w:pPr>
      <w:r>
        <w:rPr>
          <w:rFonts w:hint="eastAsia"/>
        </w:rPr>
        <w:t>报告补发应核实原报告真实性和补发原因。补发报告内容应与原报告一致，确需变更的，应按报告修改程序执行。</w:t>
      </w:r>
    </w:p>
    <w:p w14:paraId="026CE0BC">
      <w:pPr>
        <w:pStyle w:val="165"/>
        <w:spacing w:line="360" w:lineRule="auto"/>
      </w:pPr>
      <w:r>
        <w:rPr>
          <w:rFonts w:hint="eastAsia"/>
        </w:rPr>
        <w:t>报告作废应经批准，并应记录作废原因、作废时间、批准人员和通知范围。</w:t>
      </w:r>
    </w:p>
    <w:p w14:paraId="73BCD7CF">
      <w:pPr>
        <w:pStyle w:val="165"/>
        <w:spacing w:line="360" w:lineRule="auto"/>
      </w:pPr>
      <w:r>
        <w:rPr>
          <w:rFonts w:hint="eastAsia"/>
        </w:rPr>
        <w:t>报告撤回应适用于报告结论可能失效、数据来源存在重大问题、检测活动不符合要求或法律法规要求撤回的情形。</w:t>
      </w:r>
    </w:p>
    <w:p w14:paraId="31B8F08E">
      <w:pPr>
        <w:pStyle w:val="165"/>
        <w:spacing w:line="360" w:lineRule="auto"/>
      </w:pPr>
      <w:r>
        <w:rPr>
          <w:rFonts w:hint="eastAsia"/>
        </w:rPr>
        <w:t>已作废或撤回的报告不得继续作为工程质量验收、质量评价或责任认定依据。</w:t>
      </w:r>
    </w:p>
    <w:p w14:paraId="3D226E8C">
      <w:pPr>
        <w:pStyle w:val="104"/>
        <w:spacing w:before="240" w:after="240" w:line="360" w:lineRule="auto"/>
      </w:pPr>
      <w:bookmarkStart w:id="56" w:name="_Toc228620518"/>
      <w:r>
        <w:rPr>
          <w:rFonts w:hint="eastAsia"/>
        </w:rPr>
        <w:t>电子数据管理</w:t>
      </w:r>
      <w:bookmarkEnd w:id="56"/>
    </w:p>
    <w:p w14:paraId="276C5B33">
      <w:pPr>
        <w:pStyle w:val="105"/>
        <w:spacing w:before="120" w:after="120" w:line="360" w:lineRule="auto"/>
      </w:pPr>
      <w:r>
        <w:rPr>
          <w:rFonts w:hint="eastAsia"/>
        </w:rPr>
        <w:t>一般要求</w:t>
      </w:r>
    </w:p>
    <w:p w14:paraId="509DADB2">
      <w:pPr>
        <w:pStyle w:val="165"/>
        <w:spacing w:line="360" w:lineRule="auto"/>
      </w:pPr>
      <w:r>
        <w:rPr>
          <w:rFonts w:hint="eastAsia"/>
        </w:rPr>
        <w:t>检测机构采用电子方式管理检测数据时，应保证电子数据与纸质记录具有一致性和可追溯性。</w:t>
      </w:r>
    </w:p>
    <w:p w14:paraId="1F69CF15">
      <w:pPr>
        <w:pStyle w:val="165"/>
        <w:spacing w:line="360" w:lineRule="auto"/>
      </w:pPr>
      <w:r>
        <w:rPr>
          <w:rFonts w:hint="eastAsia"/>
        </w:rPr>
        <w:t>电子数据管理系统应满足检测业务流程、质量管理体系和信息安全管理要求。</w:t>
      </w:r>
    </w:p>
    <w:p w14:paraId="045F28EE">
      <w:pPr>
        <w:pStyle w:val="165"/>
        <w:spacing w:line="360" w:lineRule="auto"/>
      </w:pPr>
      <w:r>
        <w:rPr>
          <w:rFonts w:hint="eastAsia"/>
        </w:rPr>
        <w:t>电子数据应进行权限控制、备份管理、日志管理、版本管理和安全防护。</w:t>
      </w:r>
    </w:p>
    <w:p w14:paraId="322DAA15">
      <w:pPr>
        <w:pStyle w:val="165"/>
        <w:spacing w:line="360" w:lineRule="auto"/>
      </w:pPr>
      <w:r>
        <w:rPr>
          <w:rFonts w:hint="eastAsia"/>
        </w:rPr>
        <w:t>电子数据不得因系统升级、人员变更、设备更换或服务终止而丢失、不可读或无法追溯。</w:t>
      </w:r>
    </w:p>
    <w:p w14:paraId="41787206">
      <w:pPr>
        <w:pStyle w:val="105"/>
        <w:spacing w:before="120" w:after="120" w:line="360" w:lineRule="auto"/>
      </w:pPr>
      <w:r>
        <w:rPr>
          <w:rFonts w:hint="eastAsia"/>
        </w:rPr>
        <w:t>用户与权限管理</w:t>
      </w:r>
    </w:p>
    <w:p w14:paraId="5DC5F6C7">
      <w:pPr>
        <w:pStyle w:val="165"/>
        <w:spacing w:line="360" w:lineRule="auto"/>
      </w:pPr>
      <w:r>
        <w:rPr>
          <w:rFonts w:hint="eastAsia"/>
        </w:rPr>
        <w:t>信息系统账号应实行实名制管理。每名用户应使用本人账号，不得共用、借用或转让账号。</w:t>
      </w:r>
    </w:p>
    <w:p w14:paraId="20F582B7">
      <w:pPr>
        <w:pStyle w:val="165"/>
        <w:spacing w:line="360" w:lineRule="auto"/>
      </w:pPr>
      <w:r>
        <w:rPr>
          <w:rFonts w:hint="eastAsia"/>
        </w:rPr>
        <w:t>用户权限应按岗位职责设置，并应遵循最小授权原则。</w:t>
      </w:r>
    </w:p>
    <w:p w14:paraId="0E918CDE">
      <w:pPr>
        <w:pStyle w:val="165"/>
        <w:spacing w:line="360" w:lineRule="auto"/>
      </w:pPr>
      <w:r>
        <w:rPr>
          <w:rFonts w:hint="eastAsia"/>
        </w:rPr>
        <w:t>检测人员、复核人员、审核人员、授权签字人、档案管理人员和系统管理人员的权限应相互区分。</w:t>
      </w:r>
    </w:p>
    <w:p w14:paraId="265A1FBF">
      <w:pPr>
        <w:pStyle w:val="165"/>
        <w:spacing w:line="360" w:lineRule="auto"/>
      </w:pPr>
      <w:r>
        <w:rPr>
          <w:rFonts w:hint="eastAsia"/>
        </w:rPr>
        <w:t>系统管理员不得直接修改检测业务数据。确需后台处理的，应经批准并保留操作记录。</w:t>
      </w:r>
    </w:p>
    <w:p w14:paraId="66072E28">
      <w:pPr>
        <w:pStyle w:val="165"/>
        <w:spacing w:line="360" w:lineRule="auto"/>
      </w:pPr>
      <w:r>
        <w:rPr>
          <w:rFonts w:hint="eastAsia"/>
        </w:rPr>
        <w:t>人员离职、转岗或授权范围变化时，应及时停用或调整系统账号权限。</w:t>
      </w:r>
    </w:p>
    <w:p w14:paraId="0A314866">
      <w:pPr>
        <w:pStyle w:val="165"/>
        <w:numPr>
          <w:ilvl w:val="0"/>
          <w:numId w:val="0"/>
        </w:numPr>
        <w:spacing w:line="360" w:lineRule="auto"/>
        <w:rPr>
          <w:rFonts w:hint="eastAsia"/>
        </w:rPr>
      </w:pPr>
    </w:p>
    <w:p w14:paraId="7CDB07C9">
      <w:pPr>
        <w:pStyle w:val="105"/>
        <w:spacing w:before="120" w:after="120" w:line="360" w:lineRule="auto"/>
      </w:pPr>
      <w:r>
        <w:rPr>
          <w:rFonts w:hint="eastAsia"/>
        </w:rPr>
        <w:t>日志管理</w:t>
      </w:r>
    </w:p>
    <w:p w14:paraId="54778A26">
      <w:pPr>
        <w:pStyle w:val="165"/>
        <w:spacing w:line="360" w:lineRule="auto"/>
      </w:pPr>
      <w:r>
        <w:rPr>
          <w:rFonts w:hint="eastAsia"/>
        </w:rPr>
        <w:t>信息系统应自动生成操作日志。日志应记录用户登录、数据新增、数据修改、数据删除、数据审核、数据退回、报告签发、数据导出和权限变更等操作。</w:t>
      </w:r>
    </w:p>
    <w:p w14:paraId="38E87422">
      <w:pPr>
        <w:pStyle w:val="165"/>
        <w:spacing w:line="360" w:lineRule="auto"/>
      </w:pPr>
      <w:r>
        <w:rPr>
          <w:rFonts w:hint="eastAsia"/>
        </w:rPr>
        <w:t>操作日志应至少包括操作人员、操作时间、操作对象、操作类型、操作前内容、操作后内容和操作终端信息。</w:t>
      </w:r>
    </w:p>
    <w:p w14:paraId="71F9EF7D">
      <w:pPr>
        <w:pStyle w:val="165"/>
        <w:spacing w:line="360" w:lineRule="auto"/>
      </w:pPr>
      <w:r>
        <w:rPr>
          <w:rFonts w:hint="eastAsia"/>
        </w:rPr>
        <w:t>操作日志不得由普通用户删除、修改或覆盖。</w:t>
      </w:r>
    </w:p>
    <w:p w14:paraId="7D17860F">
      <w:pPr>
        <w:pStyle w:val="165"/>
        <w:spacing w:line="360" w:lineRule="auto"/>
      </w:pPr>
      <w:r>
        <w:rPr>
          <w:rFonts w:hint="eastAsia"/>
        </w:rPr>
        <w:t>日志保存期限不得短于对应检测数据保存期限。</w:t>
      </w:r>
    </w:p>
    <w:p w14:paraId="3F98B236">
      <w:pPr>
        <w:pStyle w:val="165"/>
        <w:spacing w:line="360" w:lineRule="auto"/>
      </w:pPr>
      <w:r>
        <w:rPr>
          <w:rFonts w:hint="eastAsia"/>
        </w:rPr>
        <w:t>检测机构应定期检查系统日志，发现异常登录、批量导出、异常修改、越权访问等情况时，应及时处置。</w:t>
      </w:r>
    </w:p>
    <w:p w14:paraId="0318E859">
      <w:pPr>
        <w:pStyle w:val="105"/>
        <w:spacing w:before="120" w:after="120" w:line="360" w:lineRule="auto"/>
      </w:pPr>
      <w:r>
        <w:rPr>
          <w:rFonts w:hint="eastAsia"/>
        </w:rPr>
        <w:t>数据备份与恢复</w:t>
      </w:r>
    </w:p>
    <w:p w14:paraId="3A182C06">
      <w:pPr>
        <w:pStyle w:val="165"/>
        <w:spacing w:line="360" w:lineRule="auto"/>
      </w:pPr>
      <w:r>
        <w:rPr>
          <w:rFonts w:hint="eastAsia"/>
        </w:rPr>
        <w:t>检测机构应制定电子数据备份策略，明确备份范围、备份周期、备份方式、备份介质、保管地点和责任人员。</w:t>
      </w:r>
    </w:p>
    <w:p w14:paraId="3F4E482B">
      <w:pPr>
        <w:pStyle w:val="165"/>
        <w:spacing w:line="360" w:lineRule="auto"/>
      </w:pPr>
      <w:r>
        <w:rPr>
          <w:rFonts w:hint="eastAsia"/>
        </w:rPr>
        <w:t>备份范围应包括数据库、电子原始记录、报告文件、附件资料、系统配置、操作日志和版本文件。</w:t>
      </w:r>
    </w:p>
    <w:p w14:paraId="02A56CCA">
      <w:pPr>
        <w:pStyle w:val="165"/>
        <w:spacing w:line="360" w:lineRule="auto"/>
      </w:pPr>
      <w:r>
        <w:rPr>
          <w:rFonts w:hint="eastAsia"/>
        </w:rPr>
        <w:t>备份数据应定期进行恢复验证。未经验证的备份不得作为唯一备份依据。</w:t>
      </w:r>
    </w:p>
    <w:p w14:paraId="22CA7283">
      <w:pPr>
        <w:pStyle w:val="165"/>
        <w:spacing w:line="360" w:lineRule="auto"/>
      </w:pPr>
      <w:r>
        <w:rPr>
          <w:rFonts w:hint="eastAsia"/>
        </w:rPr>
        <w:t>备份介质应采取防丢失、防损坏、防病毒、防未授权访问措施。</w:t>
      </w:r>
    </w:p>
    <w:p w14:paraId="1B63B47E">
      <w:pPr>
        <w:pStyle w:val="165"/>
        <w:spacing w:line="360" w:lineRule="auto"/>
      </w:pPr>
      <w:r>
        <w:rPr>
          <w:rFonts w:hint="eastAsia"/>
        </w:rPr>
        <w:t>发生系统故障、数据损坏、误删除或安全事件时，应按恢复程序恢复数据，并应记录故障原因、恢复过程、恢复结果和影响范围。</w:t>
      </w:r>
    </w:p>
    <w:p w14:paraId="0FABB47C">
      <w:pPr>
        <w:pStyle w:val="105"/>
        <w:spacing w:before="120" w:after="120" w:line="360" w:lineRule="auto"/>
      </w:pPr>
      <w:r>
        <w:rPr>
          <w:rFonts w:hint="eastAsia"/>
        </w:rPr>
        <w:t>电子签名与电子审批</w:t>
      </w:r>
    </w:p>
    <w:p w14:paraId="78B9F8A6">
      <w:pPr>
        <w:pStyle w:val="165"/>
        <w:spacing w:line="360" w:lineRule="auto"/>
      </w:pPr>
      <w:r>
        <w:rPr>
          <w:rFonts w:hint="eastAsia"/>
        </w:rPr>
        <w:t>采用电子签名或电子审批的，应保证签名人身份真实、签署行为可追溯、签署内容不可篡改。</w:t>
      </w:r>
    </w:p>
    <w:p w14:paraId="34D9C96D">
      <w:pPr>
        <w:pStyle w:val="165"/>
        <w:spacing w:line="360" w:lineRule="auto"/>
      </w:pPr>
      <w:r>
        <w:rPr>
          <w:rFonts w:hint="eastAsia"/>
        </w:rPr>
        <w:t>电子签名不得由他人代签。系统不得设置通用签名、默认签名或自动代签功能。</w:t>
      </w:r>
    </w:p>
    <w:p w14:paraId="07A2AF0C">
      <w:pPr>
        <w:pStyle w:val="165"/>
        <w:spacing w:line="360" w:lineRule="auto"/>
      </w:pPr>
      <w:r>
        <w:rPr>
          <w:rFonts w:hint="eastAsia"/>
        </w:rPr>
        <w:t>电子审批应按规定流程进行。系统应记录审批意见、审批时间、审批人员和审批状态。</w:t>
      </w:r>
    </w:p>
    <w:p w14:paraId="405657A2">
      <w:pPr>
        <w:pStyle w:val="165"/>
        <w:spacing w:line="360" w:lineRule="auto"/>
      </w:pPr>
      <w:r>
        <w:rPr>
          <w:rFonts w:hint="eastAsia"/>
        </w:rPr>
        <w:t>电子签名失效、账号异常或权限异常时，不得继续使用该账号签发检测报告。</w:t>
      </w:r>
    </w:p>
    <w:p w14:paraId="226409C3">
      <w:pPr>
        <w:pStyle w:val="105"/>
        <w:spacing w:before="120" w:after="120" w:line="360" w:lineRule="auto"/>
      </w:pPr>
      <w:r>
        <w:rPr>
          <w:rFonts w:hint="eastAsia"/>
        </w:rPr>
        <w:t>数据接口与共享</w:t>
      </w:r>
    </w:p>
    <w:p w14:paraId="49A1E783">
      <w:pPr>
        <w:pStyle w:val="165"/>
        <w:spacing w:line="360" w:lineRule="auto"/>
      </w:pPr>
      <w:r>
        <w:rPr>
          <w:rFonts w:hint="eastAsia"/>
        </w:rPr>
        <w:t>检测机构与外部平台进行数据交换时，应明确数据范围、传输方式、接口规则、安全要求和责任边界。</w:t>
      </w:r>
    </w:p>
    <w:p w14:paraId="7AB845E7">
      <w:pPr>
        <w:pStyle w:val="165"/>
        <w:spacing w:line="360" w:lineRule="auto"/>
      </w:pPr>
      <w:r>
        <w:rPr>
          <w:rFonts w:hint="eastAsia"/>
        </w:rPr>
        <w:t>对外共享检测数据应经授权审批，并应记录共享对象、共享内容、共享时间、共享方式和经办人员。</w:t>
      </w:r>
    </w:p>
    <w:p w14:paraId="6D1ACDE3">
      <w:pPr>
        <w:pStyle w:val="165"/>
        <w:spacing w:line="360" w:lineRule="auto"/>
      </w:pPr>
      <w:r>
        <w:rPr>
          <w:rFonts w:hint="eastAsia"/>
        </w:rPr>
        <w:t>数据接口不得绕过检测机构内部审核流程直接生成或修改检测报告。</w:t>
      </w:r>
    </w:p>
    <w:p w14:paraId="58B8E303">
      <w:pPr>
        <w:pStyle w:val="165"/>
        <w:spacing w:line="360" w:lineRule="auto"/>
      </w:pPr>
      <w:r>
        <w:rPr>
          <w:rFonts w:hint="eastAsia"/>
        </w:rPr>
        <w:t>外部平台反馈的数据与检测机构内部数据不一致时，应以受控原始记录和受控报告为核查依据。</w:t>
      </w:r>
    </w:p>
    <w:p w14:paraId="7055D8E1">
      <w:pPr>
        <w:pStyle w:val="165"/>
        <w:spacing w:line="360" w:lineRule="auto"/>
      </w:pPr>
      <w:r>
        <w:rPr>
          <w:rFonts w:hint="eastAsia"/>
        </w:rPr>
        <w:t>检测机构不得向未经授权的第三方开放系统账号、数据库接口或批量导出权限。</w:t>
      </w:r>
    </w:p>
    <w:p w14:paraId="217D986A">
      <w:pPr>
        <w:pStyle w:val="105"/>
        <w:spacing w:before="120" w:after="120" w:line="360" w:lineRule="auto"/>
      </w:pPr>
      <w:r>
        <w:rPr>
          <w:rFonts w:hint="eastAsia"/>
        </w:rPr>
        <w:t>信息安全</w:t>
      </w:r>
    </w:p>
    <w:p w14:paraId="1F842E5A">
      <w:pPr>
        <w:pStyle w:val="165"/>
        <w:spacing w:line="360" w:lineRule="auto"/>
      </w:pPr>
      <w:r>
        <w:rPr>
          <w:rFonts w:hint="eastAsia"/>
        </w:rPr>
        <w:t>检测机构应按照信息安全管理要求对检测数据系统进行安全防护。</w:t>
      </w:r>
    </w:p>
    <w:p w14:paraId="7E01D151">
      <w:pPr>
        <w:pStyle w:val="165"/>
        <w:spacing w:line="360" w:lineRule="auto"/>
      </w:pPr>
      <w:r>
        <w:rPr>
          <w:rFonts w:hint="eastAsia"/>
        </w:rPr>
        <w:t>信息系统应采取身份认证、访问控制、病毒防护、入侵防范、数据加密或其他必要安全措施。</w:t>
      </w:r>
    </w:p>
    <w:p w14:paraId="629D748B">
      <w:pPr>
        <w:pStyle w:val="165"/>
        <w:spacing w:line="360" w:lineRule="auto"/>
      </w:pPr>
      <w:r>
        <w:rPr>
          <w:rFonts w:hint="eastAsia"/>
        </w:rPr>
        <w:t>涉及互联网访问、远程运维、云存储或移动终端访问的，应制定专门安全管理措施。</w:t>
      </w:r>
    </w:p>
    <w:p w14:paraId="314AFDF0">
      <w:pPr>
        <w:pStyle w:val="165"/>
        <w:spacing w:line="360" w:lineRule="auto"/>
      </w:pPr>
      <w:r>
        <w:rPr>
          <w:rFonts w:hint="eastAsia"/>
        </w:rPr>
        <w:t>远程运维应经授权审批，并应保留运维时间、运维人员、运维内容和操作记录。</w:t>
      </w:r>
    </w:p>
    <w:p w14:paraId="0C266AFD">
      <w:pPr>
        <w:pStyle w:val="165"/>
        <w:spacing w:line="360" w:lineRule="auto"/>
      </w:pPr>
      <w:r>
        <w:rPr>
          <w:rFonts w:hint="eastAsia"/>
        </w:rPr>
        <w:t>发生数据泄露、篡改、丢失或系统被攻击等事件时，应立即启动应急响应程序，并应追溯影响范围。</w:t>
      </w:r>
    </w:p>
    <w:p w14:paraId="36F01E27">
      <w:pPr>
        <w:pStyle w:val="104"/>
        <w:spacing w:before="240" w:after="240" w:line="360" w:lineRule="auto"/>
      </w:pPr>
      <w:bookmarkStart w:id="57" w:name="_Toc228620519"/>
      <w:r>
        <w:rPr>
          <w:rFonts w:hint="eastAsia"/>
        </w:rPr>
        <w:t>数据归档与保存</w:t>
      </w:r>
      <w:bookmarkEnd w:id="57"/>
    </w:p>
    <w:p w14:paraId="7D827BC3">
      <w:pPr>
        <w:pStyle w:val="105"/>
        <w:spacing w:before="120" w:after="120" w:line="360" w:lineRule="auto"/>
      </w:pPr>
      <w:r>
        <w:rPr>
          <w:rFonts w:hint="eastAsia"/>
        </w:rPr>
        <w:t>一般要求</w:t>
      </w:r>
    </w:p>
    <w:p w14:paraId="610337DA">
      <w:pPr>
        <w:pStyle w:val="165"/>
        <w:spacing w:line="360" w:lineRule="auto"/>
      </w:pPr>
      <w:r>
        <w:rPr>
          <w:rFonts w:hint="eastAsia"/>
        </w:rPr>
        <w:t>检测机构应建立检测数据归档管理制度，明确归档范围、归档时限、归档方式、保存期限、保管责任和查阅要求。</w:t>
      </w:r>
    </w:p>
    <w:p w14:paraId="50E6C5E6">
      <w:pPr>
        <w:pStyle w:val="165"/>
        <w:spacing w:line="360" w:lineRule="auto"/>
      </w:pPr>
      <w:r>
        <w:rPr>
          <w:rFonts w:hint="eastAsia"/>
        </w:rPr>
        <w:t>检测数据归档应按工程、委托、报告编号或检测项目分类管理，并应保证资料完整、目录清晰、编号唯一、状态明确。</w:t>
      </w:r>
    </w:p>
    <w:p w14:paraId="5FCBFBAF">
      <w:pPr>
        <w:pStyle w:val="165"/>
        <w:spacing w:line="360" w:lineRule="auto"/>
      </w:pPr>
      <w:r>
        <w:rPr>
          <w:rFonts w:hint="eastAsia"/>
        </w:rPr>
        <w:t>纸质资料和电子资料应建立对应关系。纸质资料扫描形成电子文件的，应保证扫描件清晰、完整、未缺页。</w:t>
      </w:r>
    </w:p>
    <w:p w14:paraId="59E54AB0">
      <w:pPr>
        <w:pStyle w:val="165"/>
        <w:spacing w:line="360" w:lineRule="auto"/>
      </w:pPr>
      <w:r>
        <w:rPr>
          <w:rFonts w:hint="eastAsia"/>
        </w:rPr>
        <w:t>归档资料不得擅自抽取、替换、损毁或销毁。</w:t>
      </w:r>
    </w:p>
    <w:p w14:paraId="5E0ACD25">
      <w:pPr>
        <w:pStyle w:val="165"/>
        <w:spacing w:line="360" w:lineRule="auto"/>
      </w:pPr>
      <w:r>
        <w:rPr>
          <w:rFonts w:hint="eastAsia"/>
        </w:rPr>
        <w:t>检测数据保存期限应符合合同、法律法规、监管要求和检测机构管理制度要求。涉及结构安全、质量事故、争议处理和司法程序的数据，应按较长期限保存。</w:t>
      </w:r>
    </w:p>
    <w:p w14:paraId="6F7B579C">
      <w:pPr>
        <w:pStyle w:val="105"/>
        <w:spacing w:before="120" w:after="120" w:line="360" w:lineRule="auto"/>
      </w:pPr>
      <w:r>
        <w:rPr>
          <w:rFonts w:hint="eastAsia"/>
        </w:rPr>
        <w:t>归档范围</w:t>
      </w:r>
    </w:p>
    <w:p w14:paraId="5ADA9306">
      <w:pPr>
        <w:pStyle w:val="165"/>
        <w:spacing w:line="360" w:lineRule="auto"/>
      </w:pPr>
      <w:r>
        <w:rPr>
          <w:rFonts w:hint="eastAsia"/>
        </w:rPr>
        <w:t>检测数据归档资料应至少包括：</w:t>
      </w:r>
    </w:p>
    <w:p w14:paraId="5CE14345">
      <w:pPr>
        <w:pStyle w:val="56"/>
        <w:spacing w:line="360" w:lineRule="auto"/>
        <w:ind w:firstLine="420"/>
      </w:pPr>
      <w:r>
        <w:rPr>
          <w:rFonts w:hint="eastAsia"/>
        </w:rPr>
        <w:t>a) 检测委托单或合同资料；</w:t>
      </w:r>
    </w:p>
    <w:p w14:paraId="1C4CFE3D">
      <w:pPr>
        <w:pStyle w:val="56"/>
        <w:spacing w:line="360" w:lineRule="auto"/>
        <w:ind w:firstLine="420"/>
      </w:pPr>
      <w:r>
        <w:rPr>
          <w:rFonts w:hint="eastAsia"/>
        </w:rPr>
        <w:t>b) 见证取样记录和送检资料；</w:t>
      </w:r>
    </w:p>
    <w:p w14:paraId="462DB764">
      <w:pPr>
        <w:pStyle w:val="56"/>
        <w:spacing w:line="360" w:lineRule="auto"/>
        <w:ind w:firstLine="420"/>
      </w:pPr>
      <w:r>
        <w:rPr>
          <w:rFonts w:hint="eastAsia"/>
        </w:rPr>
        <w:t>c) 样品接收、流转、制备、留样和处置记录；</w:t>
      </w:r>
    </w:p>
    <w:p w14:paraId="7741A3D1">
      <w:pPr>
        <w:pStyle w:val="56"/>
        <w:spacing w:line="360" w:lineRule="auto"/>
        <w:ind w:firstLine="420"/>
      </w:pPr>
      <w:r>
        <w:rPr>
          <w:rFonts w:hint="eastAsia"/>
        </w:rPr>
        <w:t>d) 检测方案或作业指导书适用记录；</w:t>
      </w:r>
    </w:p>
    <w:p w14:paraId="446B1AF9">
      <w:pPr>
        <w:pStyle w:val="56"/>
        <w:spacing w:line="360" w:lineRule="auto"/>
        <w:ind w:firstLine="420"/>
      </w:pPr>
      <w:r>
        <w:rPr>
          <w:rFonts w:hint="eastAsia"/>
        </w:rPr>
        <w:t>e) 原始检测记录；</w:t>
      </w:r>
    </w:p>
    <w:p w14:paraId="1E050AB9">
      <w:pPr>
        <w:pStyle w:val="56"/>
        <w:spacing w:line="360" w:lineRule="auto"/>
        <w:ind w:firstLine="420"/>
      </w:pPr>
      <w:r>
        <w:rPr>
          <w:rFonts w:hint="eastAsia"/>
        </w:rPr>
        <w:t>f) 仪器自动输出文件、图谱、曲线、照片、视频等支撑资料；</w:t>
      </w:r>
    </w:p>
    <w:p w14:paraId="3DFACA48">
      <w:pPr>
        <w:pStyle w:val="56"/>
        <w:spacing w:line="360" w:lineRule="auto"/>
        <w:ind w:firstLine="420"/>
      </w:pPr>
      <w:r>
        <w:rPr>
          <w:rFonts w:hint="eastAsia"/>
        </w:rPr>
        <w:t>g) 计算记录和结果判定记录；</w:t>
      </w:r>
    </w:p>
    <w:p w14:paraId="7DF16331">
      <w:pPr>
        <w:pStyle w:val="56"/>
        <w:spacing w:line="360" w:lineRule="auto"/>
        <w:ind w:firstLine="420"/>
      </w:pPr>
      <w:r>
        <w:rPr>
          <w:rFonts w:hint="eastAsia"/>
        </w:rPr>
        <w:t>h) 复核、审核和批准记录；</w:t>
      </w:r>
    </w:p>
    <w:p w14:paraId="69EE2440">
      <w:pPr>
        <w:pStyle w:val="56"/>
        <w:spacing w:line="360" w:lineRule="auto"/>
        <w:ind w:firstLine="420"/>
      </w:pPr>
      <w:r>
        <w:rPr>
          <w:rFonts w:hint="eastAsia"/>
        </w:rPr>
        <w:t>i) 检测报告及报告修改记录；</w:t>
      </w:r>
    </w:p>
    <w:p w14:paraId="24EC7715">
      <w:pPr>
        <w:pStyle w:val="56"/>
        <w:spacing w:line="360" w:lineRule="auto"/>
        <w:ind w:firstLine="420"/>
      </w:pPr>
      <w:r>
        <w:rPr>
          <w:rFonts w:hint="eastAsia"/>
        </w:rPr>
        <w:t>j) 异常数据处置记录；</w:t>
      </w:r>
    </w:p>
    <w:p w14:paraId="27A0BE0C">
      <w:pPr>
        <w:pStyle w:val="56"/>
        <w:spacing w:line="360" w:lineRule="auto"/>
        <w:ind w:firstLine="420"/>
      </w:pPr>
      <w:r>
        <w:rPr>
          <w:rFonts w:hint="eastAsia"/>
        </w:rPr>
        <w:t>k) 数据更正记录；</w:t>
      </w:r>
    </w:p>
    <w:p w14:paraId="24F68FB0">
      <w:pPr>
        <w:pStyle w:val="56"/>
        <w:spacing w:line="360" w:lineRule="auto"/>
        <w:ind w:firstLine="420"/>
      </w:pPr>
      <w:r>
        <w:rPr>
          <w:rFonts w:hint="eastAsia"/>
        </w:rPr>
        <w:t>l) 电子数据日志和归档索引。</w:t>
      </w:r>
    </w:p>
    <w:p w14:paraId="060D025F">
      <w:pPr>
        <w:pStyle w:val="165"/>
        <w:spacing w:line="360" w:lineRule="auto"/>
      </w:pPr>
      <w:r>
        <w:rPr>
          <w:rFonts w:hint="eastAsia"/>
        </w:rPr>
        <w:t>对于仅形成电子记录的检测项目，应保存电子原始记录、电子签名记录、操作日志和备份记录。</w:t>
      </w:r>
    </w:p>
    <w:p w14:paraId="49A23D8D">
      <w:pPr>
        <w:pStyle w:val="165"/>
        <w:spacing w:line="360" w:lineRule="auto"/>
      </w:pPr>
      <w:r>
        <w:rPr>
          <w:rFonts w:hint="eastAsia"/>
        </w:rPr>
        <w:t>对于现场检测项目，应保存现场照片、点位图、现场条件记录和现场见证记录。</w:t>
      </w:r>
    </w:p>
    <w:p w14:paraId="1C5F0820">
      <w:pPr>
        <w:pStyle w:val="105"/>
        <w:spacing w:before="120" w:after="120" w:line="360" w:lineRule="auto"/>
      </w:pPr>
      <w:r>
        <w:rPr>
          <w:rFonts w:hint="eastAsia"/>
        </w:rPr>
        <w:t>归档时限</w:t>
      </w:r>
    </w:p>
    <w:p w14:paraId="71EA952F">
      <w:pPr>
        <w:pStyle w:val="165"/>
        <w:spacing w:line="360" w:lineRule="auto"/>
      </w:pPr>
      <w:r>
        <w:rPr>
          <w:rFonts w:hint="eastAsia"/>
        </w:rPr>
        <w:t>检测报告签发后，应在检测机构规定期限内完成归档。</w:t>
      </w:r>
    </w:p>
    <w:p w14:paraId="32DBE376">
      <w:pPr>
        <w:pStyle w:val="165"/>
        <w:spacing w:line="360" w:lineRule="auto"/>
      </w:pPr>
      <w:r>
        <w:rPr>
          <w:rFonts w:hint="eastAsia"/>
        </w:rPr>
        <w:t>涉及不合格结果、异常数据、监督抽查、质量争议或报告更正的检测项目，应在相关事项关闭后补充归档处置资料。</w:t>
      </w:r>
    </w:p>
    <w:p w14:paraId="1D920C9D">
      <w:pPr>
        <w:pStyle w:val="165"/>
        <w:spacing w:line="360" w:lineRule="auto"/>
      </w:pPr>
      <w:r>
        <w:rPr>
          <w:rFonts w:hint="eastAsia"/>
        </w:rPr>
        <w:t>归档前应完成完整性检查。资料不完整的，应退回责任部门补充，不得先行确认归档完成。</w:t>
      </w:r>
    </w:p>
    <w:p w14:paraId="56DD0C38">
      <w:pPr>
        <w:pStyle w:val="165"/>
        <w:spacing w:line="360" w:lineRule="auto"/>
      </w:pPr>
      <w:r>
        <w:rPr>
          <w:rFonts w:hint="eastAsia"/>
        </w:rPr>
        <w:t>归档资料补充、替换或增补时，应记录原因、时间、责任人员和审批人员。</w:t>
      </w:r>
    </w:p>
    <w:p w14:paraId="7141BC10">
      <w:pPr>
        <w:pStyle w:val="105"/>
        <w:spacing w:before="120" w:after="120" w:line="360" w:lineRule="auto"/>
      </w:pPr>
      <w:r>
        <w:rPr>
          <w:rFonts w:hint="eastAsia"/>
        </w:rPr>
        <w:t>档案保管</w:t>
      </w:r>
    </w:p>
    <w:p w14:paraId="71829193">
      <w:pPr>
        <w:pStyle w:val="165"/>
        <w:spacing w:line="360" w:lineRule="auto"/>
      </w:pPr>
      <w:r>
        <w:rPr>
          <w:rFonts w:hint="eastAsia"/>
        </w:rPr>
        <w:t>纸质档案应存放在防潮、防火、防虫、防盗和便于检索的场所。</w:t>
      </w:r>
    </w:p>
    <w:p w14:paraId="5E671C53">
      <w:pPr>
        <w:pStyle w:val="165"/>
        <w:spacing w:line="360" w:lineRule="auto"/>
      </w:pPr>
      <w:r>
        <w:rPr>
          <w:rFonts w:hint="eastAsia"/>
        </w:rPr>
        <w:t>电子档案应存储在受控系统或受控存储介质中，并应设置访问权限和备份措施。</w:t>
      </w:r>
    </w:p>
    <w:p w14:paraId="56F341C8">
      <w:pPr>
        <w:pStyle w:val="165"/>
        <w:spacing w:line="360" w:lineRule="auto"/>
      </w:pPr>
      <w:r>
        <w:rPr>
          <w:rFonts w:hint="eastAsia"/>
        </w:rPr>
        <w:t>档案借阅、复制、扫描、导出和移交应履行审批手续，并应保留记录。</w:t>
      </w:r>
    </w:p>
    <w:p w14:paraId="2FF4CB63">
      <w:pPr>
        <w:pStyle w:val="165"/>
        <w:spacing w:line="360" w:lineRule="auto"/>
      </w:pPr>
      <w:r>
        <w:rPr>
          <w:rFonts w:hint="eastAsia"/>
        </w:rPr>
        <w:t>检测机构不得将唯一归档资料长期存放在个人办公电脑、个人移动硬盘、个人邮箱或个人网盘中。</w:t>
      </w:r>
    </w:p>
    <w:p w14:paraId="652A134F">
      <w:pPr>
        <w:pStyle w:val="165"/>
        <w:spacing w:line="360" w:lineRule="auto"/>
      </w:pPr>
      <w:r>
        <w:rPr>
          <w:rFonts w:hint="eastAsia"/>
        </w:rPr>
        <w:t>档案保存期满需要销毁的，应经审批后实施，并应保留销毁清单和销毁记录。涉及未关闭质量争议、监督检查、司法程序或行政程序的档案不得销毁。</w:t>
      </w:r>
    </w:p>
    <w:p w14:paraId="4BDE518D">
      <w:pPr>
        <w:pStyle w:val="105"/>
        <w:spacing w:before="120" w:after="120" w:line="360" w:lineRule="auto"/>
      </w:pPr>
      <w:r>
        <w:rPr>
          <w:rFonts w:hint="eastAsia"/>
        </w:rPr>
        <w:t>档案查阅与调用</w:t>
      </w:r>
    </w:p>
    <w:p w14:paraId="2268F1FB">
      <w:pPr>
        <w:pStyle w:val="165"/>
        <w:spacing w:line="360" w:lineRule="auto"/>
      </w:pPr>
      <w:r>
        <w:rPr>
          <w:rFonts w:hint="eastAsia"/>
        </w:rPr>
        <w:t>检测数据查阅应按授权范围进行。未经授权的人员不得查阅、复制或导出检测档案。</w:t>
      </w:r>
    </w:p>
    <w:p w14:paraId="43A1F6EB">
      <w:pPr>
        <w:pStyle w:val="165"/>
        <w:spacing w:line="360" w:lineRule="auto"/>
      </w:pPr>
      <w:r>
        <w:rPr>
          <w:rFonts w:hint="eastAsia"/>
        </w:rPr>
        <w:t>外部单位申请查阅检测数据的，应核实申请主体、查阅目的、查阅范围和授权依据。</w:t>
      </w:r>
    </w:p>
    <w:p w14:paraId="5377AC32">
      <w:pPr>
        <w:pStyle w:val="165"/>
        <w:spacing w:line="360" w:lineRule="auto"/>
      </w:pPr>
      <w:r>
        <w:rPr>
          <w:rFonts w:hint="eastAsia"/>
        </w:rPr>
        <w:t>查阅检测数据时，不得在原始档案上标注、涂改、拆分或替换。</w:t>
      </w:r>
    </w:p>
    <w:p w14:paraId="2E9B0EB7">
      <w:pPr>
        <w:pStyle w:val="165"/>
        <w:spacing w:line="360" w:lineRule="auto"/>
      </w:pPr>
      <w:r>
        <w:rPr>
          <w:rFonts w:hint="eastAsia"/>
        </w:rPr>
        <w:t>复制件、扫描件或导出文件应标识来源、复制日期和经办人员。</w:t>
      </w:r>
    </w:p>
    <w:p w14:paraId="75C26C80">
      <w:pPr>
        <w:pStyle w:val="165"/>
        <w:spacing w:line="360" w:lineRule="auto"/>
      </w:pPr>
      <w:r>
        <w:rPr>
          <w:rFonts w:hint="eastAsia"/>
        </w:rPr>
        <w:t>涉及工程质量争议或法律程序的数据调用，应保留完整调用记录和交付记录。</w:t>
      </w:r>
    </w:p>
    <w:p w14:paraId="1AC15801">
      <w:pPr>
        <w:pStyle w:val="104"/>
        <w:spacing w:before="240" w:after="240" w:line="360" w:lineRule="auto"/>
      </w:pPr>
      <w:bookmarkStart w:id="58" w:name="_Toc228620520"/>
      <w:r>
        <w:rPr>
          <w:rFonts w:hint="eastAsia"/>
        </w:rPr>
        <w:t>异常数据处置</w:t>
      </w:r>
      <w:bookmarkEnd w:id="58"/>
    </w:p>
    <w:p w14:paraId="5114E171">
      <w:pPr>
        <w:pStyle w:val="105"/>
        <w:spacing w:before="120" w:after="120" w:line="360" w:lineRule="auto"/>
      </w:pPr>
      <w:r>
        <w:rPr>
          <w:rFonts w:hint="eastAsia"/>
        </w:rPr>
        <w:t>一般要求</w:t>
      </w:r>
    </w:p>
    <w:p w14:paraId="56824759">
      <w:pPr>
        <w:pStyle w:val="165"/>
        <w:spacing w:line="360" w:lineRule="auto"/>
      </w:pPr>
      <w:r>
        <w:rPr>
          <w:rFonts w:hint="eastAsia"/>
        </w:rPr>
        <w:t>检测机构应建立异常数据识别、报告、核查、处置、审批和关闭程序。</w:t>
      </w:r>
    </w:p>
    <w:p w14:paraId="6C2364DE">
      <w:pPr>
        <w:pStyle w:val="165"/>
        <w:spacing w:line="360" w:lineRule="auto"/>
      </w:pPr>
      <w:r>
        <w:rPr>
          <w:rFonts w:hint="eastAsia"/>
        </w:rPr>
        <w:t>异常数据未完成处置前，不得直接用于检测报告结论。</w:t>
      </w:r>
    </w:p>
    <w:p w14:paraId="7B1F72A1">
      <w:pPr>
        <w:pStyle w:val="165"/>
        <w:spacing w:line="360" w:lineRule="auto"/>
      </w:pPr>
      <w:r>
        <w:rPr>
          <w:rFonts w:hint="eastAsia"/>
        </w:rPr>
        <w:t>异常数据处置应保留原始数据、核查记录、原因分析、处置措施、审批记录和验证记录。</w:t>
      </w:r>
    </w:p>
    <w:p w14:paraId="6AF69D5A">
      <w:pPr>
        <w:pStyle w:val="165"/>
        <w:spacing w:line="360" w:lineRule="auto"/>
      </w:pPr>
      <w:r>
        <w:rPr>
          <w:rFonts w:hint="eastAsia"/>
        </w:rPr>
        <w:t>检测机构不得通过删除异常数据、重新编号、重新建档或替换样品等方式规避异常数据处置。</w:t>
      </w:r>
    </w:p>
    <w:p w14:paraId="12F74350">
      <w:pPr>
        <w:pStyle w:val="105"/>
        <w:spacing w:before="120" w:after="120" w:line="360" w:lineRule="auto"/>
      </w:pPr>
      <w:r>
        <w:rPr>
          <w:rFonts w:hint="eastAsia"/>
        </w:rPr>
        <w:t>异常数据类型</w:t>
      </w:r>
    </w:p>
    <w:p w14:paraId="0A5E301C">
      <w:pPr>
        <w:pStyle w:val="56"/>
        <w:spacing w:line="360" w:lineRule="auto"/>
        <w:ind w:firstLine="420"/>
      </w:pPr>
      <w:r>
        <w:rPr>
          <w:rFonts w:hint="eastAsia"/>
        </w:rPr>
        <w:t>检测数据存在下列情形之一的，应识别为异常数据：</w:t>
      </w:r>
    </w:p>
    <w:p w14:paraId="71EC58FB">
      <w:pPr>
        <w:pStyle w:val="56"/>
        <w:spacing w:line="360" w:lineRule="auto"/>
        <w:ind w:firstLine="420"/>
      </w:pPr>
      <w:r>
        <w:rPr>
          <w:rFonts w:hint="eastAsia"/>
        </w:rPr>
        <w:t>a) 数据缺失、记录不完整或关键字段空缺；</w:t>
      </w:r>
    </w:p>
    <w:p w14:paraId="13DD90C0">
      <w:pPr>
        <w:pStyle w:val="56"/>
        <w:spacing w:line="360" w:lineRule="auto"/>
        <w:ind w:firstLine="420"/>
      </w:pPr>
      <w:r>
        <w:rPr>
          <w:rFonts w:hint="eastAsia"/>
        </w:rPr>
        <w:t>b) 数据与样品信息、委托信息或报告信息不一致；</w:t>
      </w:r>
    </w:p>
    <w:p w14:paraId="408483A9">
      <w:pPr>
        <w:pStyle w:val="56"/>
        <w:spacing w:line="360" w:lineRule="auto"/>
        <w:ind w:firstLine="420"/>
      </w:pPr>
      <w:r>
        <w:rPr>
          <w:rFonts w:hint="eastAsia"/>
        </w:rPr>
        <w:t>c) 原始读数明显超出合理范围；</w:t>
      </w:r>
    </w:p>
    <w:p w14:paraId="5C7DE24E">
      <w:pPr>
        <w:pStyle w:val="56"/>
        <w:spacing w:line="360" w:lineRule="auto"/>
        <w:ind w:firstLine="420"/>
      </w:pPr>
      <w:r>
        <w:rPr>
          <w:rFonts w:hint="eastAsia"/>
        </w:rPr>
        <w:t>d) 平行试验或重复检测结果差异超出允许范围；</w:t>
      </w:r>
    </w:p>
    <w:p w14:paraId="4449C299">
      <w:pPr>
        <w:pStyle w:val="56"/>
        <w:spacing w:line="360" w:lineRule="auto"/>
        <w:ind w:firstLine="420"/>
      </w:pPr>
      <w:r>
        <w:rPr>
          <w:rFonts w:hint="eastAsia"/>
        </w:rPr>
        <w:t>e) 检测设备状态异常或超出校准有效期；</w:t>
      </w:r>
    </w:p>
    <w:p w14:paraId="15AD0AB6">
      <w:pPr>
        <w:pStyle w:val="56"/>
        <w:spacing w:line="360" w:lineRule="auto"/>
        <w:ind w:firstLine="420"/>
      </w:pPr>
      <w:r>
        <w:rPr>
          <w:rFonts w:hint="eastAsia"/>
        </w:rPr>
        <w:t>f) 检测环境不符合方法要求；</w:t>
      </w:r>
    </w:p>
    <w:p w14:paraId="2672DEA3">
      <w:pPr>
        <w:pStyle w:val="56"/>
        <w:spacing w:line="360" w:lineRule="auto"/>
        <w:ind w:firstLine="420"/>
      </w:pPr>
      <w:r>
        <w:rPr>
          <w:rFonts w:hint="eastAsia"/>
        </w:rPr>
        <w:t>g) 自动采集数据与人工记录不一致；</w:t>
      </w:r>
    </w:p>
    <w:p w14:paraId="1E9EF641">
      <w:pPr>
        <w:pStyle w:val="56"/>
        <w:spacing w:line="360" w:lineRule="auto"/>
        <w:ind w:firstLine="420"/>
      </w:pPr>
      <w:r>
        <w:rPr>
          <w:rFonts w:hint="eastAsia"/>
        </w:rPr>
        <w:t>h) 计算公式、参数或修约规则使用错误；</w:t>
      </w:r>
    </w:p>
    <w:p w14:paraId="396CFFE1">
      <w:pPr>
        <w:pStyle w:val="56"/>
        <w:spacing w:line="360" w:lineRule="auto"/>
        <w:ind w:firstLine="420"/>
      </w:pPr>
      <w:r>
        <w:rPr>
          <w:rFonts w:hint="eastAsia"/>
        </w:rPr>
        <w:t>i) 系统日志显示异常修改、删除或越权操作；</w:t>
      </w:r>
    </w:p>
    <w:p w14:paraId="33095358">
      <w:pPr>
        <w:pStyle w:val="56"/>
        <w:spacing w:line="360" w:lineRule="auto"/>
        <w:ind w:firstLine="420"/>
      </w:pPr>
      <w:r>
        <w:rPr>
          <w:rFonts w:hint="eastAsia"/>
        </w:rPr>
        <w:t>j) 检测结果与工程实际、历史数据或同批次数据明显矛盾；</w:t>
      </w:r>
    </w:p>
    <w:p w14:paraId="33B8598D">
      <w:pPr>
        <w:pStyle w:val="56"/>
        <w:spacing w:line="360" w:lineRule="auto"/>
        <w:ind w:firstLine="420"/>
      </w:pPr>
      <w:r>
        <w:rPr>
          <w:rFonts w:hint="eastAsia"/>
        </w:rPr>
        <w:t>k) 审核人员认为可能影响检测结论有效性的其他情形。</w:t>
      </w:r>
    </w:p>
    <w:p w14:paraId="1DAC2C88">
      <w:pPr>
        <w:pStyle w:val="105"/>
        <w:spacing w:before="120" w:after="120" w:line="360" w:lineRule="auto"/>
      </w:pPr>
      <w:r>
        <w:rPr>
          <w:rFonts w:hint="eastAsia"/>
        </w:rPr>
        <w:t>异常数据报告</w:t>
      </w:r>
    </w:p>
    <w:p w14:paraId="1CDB1402">
      <w:pPr>
        <w:pStyle w:val="165"/>
        <w:spacing w:line="360" w:lineRule="auto"/>
      </w:pPr>
      <w:r>
        <w:rPr>
          <w:rFonts w:hint="eastAsia"/>
        </w:rPr>
        <w:t>检测人员、复核人员、审核人员、授权签字人和系统管理人员发现异常数据时，应及时报告。</w:t>
      </w:r>
    </w:p>
    <w:p w14:paraId="2FD08257">
      <w:pPr>
        <w:pStyle w:val="165"/>
        <w:spacing w:line="360" w:lineRule="auto"/>
      </w:pPr>
      <w:r>
        <w:rPr>
          <w:rFonts w:hint="eastAsia"/>
        </w:rPr>
        <w:t>异常数据报告应包括异常发现时间、发现人员、涉及工程、样品编号、检测项目、异常描述、初步影响范围和临时控制措施。</w:t>
      </w:r>
    </w:p>
    <w:p w14:paraId="3F24A6EC">
      <w:pPr>
        <w:pStyle w:val="165"/>
        <w:spacing w:line="360" w:lineRule="auto"/>
      </w:pPr>
      <w:r>
        <w:rPr>
          <w:rFonts w:hint="eastAsia"/>
        </w:rPr>
        <w:t>对可能影响检测报告有效性的异常数据，应暂停报告签发。已签发报告可能受影响的，应启动影响评估。</w:t>
      </w:r>
    </w:p>
    <w:p w14:paraId="1D7EC899">
      <w:pPr>
        <w:pStyle w:val="165"/>
        <w:spacing w:line="360" w:lineRule="auto"/>
      </w:pPr>
      <w:r>
        <w:rPr>
          <w:rFonts w:hint="eastAsia"/>
        </w:rPr>
        <w:t>对涉及数据伪造、篡改、故意删除、越权修改等重大异常的，应及时报告检测机构负责人和质量负责人。</w:t>
      </w:r>
    </w:p>
    <w:p w14:paraId="3D137F5C">
      <w:pPr>
        <w:pStyle w:val="105"/>
        <w:spacing w:before="120" w:after="120" w:line="360" w:lineRule="auto"/>
      </w:pPr>
      <w:r>
        <w:rPr>
          <w:rFonts w:hint="eastAsia"/>
        </w:rPr>
        <w:t>异常数据核查</w:t>
      </w:r>
    </w:p>
    <w:p w14:paraId="02808496">
      <w:pPr>
        <w:pStyle w:val="165"/>
        <w:spacing w:line="360" w:lineRule="auto"/>
      </w:pPr>
      <w:r>
        <w:rPr>
          <w:rFonts w:hint="eastAsia"/>
        </w:rPr>
        <w:t>异常数据核查应查明异常原因、影响范围和责任环节。</w:t>
      </w:r>
    </w:p>
    <w:p w14:paraId="01009B6E">
      <w:pPr>
        <w:pStyle w:val="165"/>
        <w:spacing w:line="360" w:lineRule="auto"/>
      </w:pPr>
      <w:r>
        <w:rPr>
          <w:rFonts w:hint="eastAsia"/>
        </w:rPr>
        <w:t>核查内容应至少包括：</w:t>
      </w:r>
    </w:p>
    <w:p w14:paraId="2CC52767">
      <w:pPr>
        <w:pStyle w:val="56"/>
        <w:spacing w:line="360" w:lineRule="auto"/>
        <w:ind w:firstLine="420"/>
      </w:pPr>
      <w:r>
        <w:rPr>
          <w:rFonts w:hint="eastAsia"/>
        </w:rPr>
        <w:t>a) 委托信息和样品信息；</w:t>
      </w:r>
    </w:p>
    <w:p w14:paraId="723BE711">
      <w:pPr>
        <w:pStyle w:val="56"/>
        <w:spacing w:line="360" w:lineRule="auto"/>
        <w:ind w:firstLine="420"/>
      </w:pPr>
      <w:r>
        <w:rPr>
          <w:rFonts w:hint="eastAsia"/>
        </w:rPr>
        <w:t>b) 原始记录和设备输出；</w:t>
      </w:r>
    </w:p>
    <w:p w14:paraId="01B0CACD">
      <w:pPr>
        <w:pStyle w:val="56"/>
        <w:spacing w:line="360" w:lineRule="auto"/>
        <w:ind w:firstLine="420"/>
      </w:pPr>
      <w:r>
        <w:rPr>
          <w:rFonts w:hint="eastAsia"/>
        </w:rPr>
        <w:t>c) 检测人员和审核人员记录；</w:t>
      </w:r>
    </w:p>
    <w:p w14:paraId="7B6AADB5">
      <w:pPr>
        <w:pStyle w:val="56"/>
        <w:spacing w:line="360" w:lineRule="auto"/>
        <w:ind w:firstLine="420"/>
      </w:pPr>
      <w:r>
        <w:rPr>
          <w:rFonts w:hint="eastAsia"/>
        </w:rPr>
        <w:t>d) 设备状态和环境条件；</w:t>
      </w:r>
    </w:p>
    <w:p w14:paraId="2666FCF2">
      <w:pPr>
        <w:pStyle w:val="56"/>
        <w:spacing w:line="360" w:lineRule="auto"/>
        <w:ind w:firstLine="420"/>
      </w:pPr>
      <w:r>
        <w:rPr>
          <w:rFonts w:hint="eastAsia"/>
        </w:rPr>
        <w:t>e) 计算过程和修约规则；</w:t>
      </w:r>
    </w:p>
    <w:p w14:paraId="76D89E12">
      <w:pPr>
        <w:pStyle w:val="56"/>
        <w:spacing w:line="360" w:lineRule="auto"/>
        <w:ind w:firstLine="420"/>
      </w:pPr>
      <w:r>
        <w:rPr>
          <w:rFonts w:hint="eastAsia"/>
        </w:rPr>
        <w:t>f) 系统日志和权限记录；</w:t>
      </w:r>
    </w:p>
    <w:p w14:paraId="610639BC">
      <w:pPr>
        <w:pStyle w:val="56"/>
        <w:spacing w:line="360" w:lineRule="auto"/>
        <w:ind w:firstLine="420"/>
      </w:pPr>
      <w:r>
        <w:rPr>
          <w:rFonts w:hint="eastAsia"/>
        </w:rPr>
        <w:t>g) 报告签发和归档情况。</w:t>
      </w:r>
    </w:p>
    <w:p w14:paraId="5EF16712">
      <w:pPr>
        <w:pStyle w:val="165"/>
        <w:spacing w:line="360" w:lineRule="auto"/>
      </w:pPr>
      <w:r>
        <w:rPr>
          <w:rFonts w:hint="eastAsia"/>
        </w:rPr>
        <w:t>异常原因未查明前，不得擅自更正、删除或重新生成数据。</w:t>
      </w:r>
    </w:p>
    <w:p w14:paraId="60AD2167">
      <w:pPr>
        <w:pStyle w:val="165"/>
        <w:spacing w:line="360" w:lineRule="auto"/>
      </w:pPr>
      <w:r>
        <w:rPr>
          <w:rFonts w:hint="eastAsia"/>
        </w:rPr>
        <w:t>异常数据涉及已出具报告的，应追溯相关报告、样品、检测批次和工程范围。</w:t>
      </w:r>
    </w:p>
    <w:p w14:paraId="01A70AD2">
      <w:pPr>
        <w:pStyle w:val="105"/>
        <w:spacing w:before="120" w:after="120" w:line="360" w:lineRule="auto"/>
      </w:pPr>
      <w:r>
        <w:rPr>
          <w:rFonts w:hint="eastAsia"/>
        </w:rPr>
        <w:t>异常数据处置方式</w:t>
      </w:r>
    </w:p>
    <w:p w14:paraId="1F3D1191">
      <w:pPr>
        <w:pStyle w:val="165"/>
        <w:spacing w:line="360" w:lineRule="auto"/>
      </w:pPr>
      <w:r>
        <w:rPr>
          <w:rFonts w:hint="eastAsia"/>
        </w:rPr>
        <w:t>异常数据应根据原因和影响程度采取下列一种或多种处置措施：</w:t>
      </w:r>
    </w:p>
    <w:p w14:paraId="5EF06E94">
      <w:pPr>
        <w:pStyle w:val="56"/>
        <w:spacing w:line="360" w:lineRule="auto"/>
        <w:ind w:firstLine="420"/>
      </w:pPr>
      <w:r>
        <w:rPr>
          <w:rFonts w:hint="eastAsia"/>
        </w:rPr>
        <w:t>a) 补充记录；</w:t>
      </w:r>
    </w:p>
    <w:p w14:paraId="488D8D5A">
      <w:pPr>
        <w:pStyle w:val="56"/>
        <w:spacing w:line="360" w:lineRule="auto"/>
        <w:ind w:firstLine="420"/>
      </w:pPr>
      <w:r>
        <w:rPr>
          <w:rFonts w:hint="eastAsia"/>
        </w:rPr>
        <w:t>b) 数据更正；</w:t>
      </w:r>
    </w:p>
    <w:p w14:paraId="05B0C398">
      <w:pPr>
        <w:pStyle w:val="56"/>
        <w:spacing w:line="360" w:lineRule="auto"/>
        <w:ind w:firstLine="420"/>
      </w:pPr>
      <w:r>
        <w:rPr>
          <w:rFonts w:hint="eastAsia"/>
        </w:rPr>
        <w:t>c) 重新计算；</w:t>
      </w:r>
    </w:p>
    <w:p w14:paraId="3128DCDA">
      <w:pPr>
        <w:pStyle w:val="56"/>
        <w:spacing w:line="360" w:lineRule="auto"/>
        <w:ind w:firstLine="420"/>
      </w:pPr>
      <w:r>
        <w:rPr>
          <w:rFonts w:hint="eastAsia"/>
        </w:rPr>
        <w:t>d) 复核确认；</w:t>
      </w:r>
    </w:p>
    <w:p w14:paraId="2396FACA">
      <w:pPr>
        <w:pStyle w:val="56"/>
        <w:spacing w:line="360" w:lineRule="auto"/>
        <w:ind w:firstLine="420"/>
      </w:pPr>
      <w:r>
        <w:rPr>
          <w:rFonts w:hint="eastAsia"/>
        </w:rPr>
        <w:t>e) 复测或重新检测；</w:t>
      </w:r>
    </w:p>
    <w:p w14:paraId="4ABB9451">
      <w:pPr>
        <w:pStyle w:val="56"/>
        <w:spacing w:line="360" w:lineRule="auto"/>
        <w:ind w:firstLine="420"/>
      </w:pPr>
      <w:r>
        <w:rPr>
          <w:rFonts w:hint="eastAsia"/>
        </w:rPr>
        <w:t>f) 报告修改、补发、作废或撤回；</w:t>
      </w:r>
    </w:p>
    <w:p w14:paraId="3C4A3623">
      <w:pPr>
        <w:pStyle w:val="56"/>
        <w:spacing w:line="360" w:lineRule="auto"/>
        <w:ind w:firstLine="420"/>
      </w:pPr>
      <w:r>
        <w:rPr>
          <w:rFonts w:hint="eastAsia"/>
        </w:rPr>
        <w:t>g) 设备停用或核查；</w:t>
      </w:r>
    </w:p>
    <w:p w14:paraId="09CBFE3F">
      <w:pPr>
        <w:pStyle w:val="56"/>
        <w:spacing w:line="360" w:lineRule="auto"/>
        <w:ind w:firstLine="420"/>
      </w:pPr>
      <w:r>
        <w:rPr>
          <w:rFonts w:hint="eastAsia"/>
        </w:rPr>
        <w:t>h) 人员培训或重新授权；</w:t>
      </w:r>
    </w:p>
    <w:p w14:paraId="07F7D16E">
      <w:pPr>
        <w:pStyle w:val="56"/>
        <w:spacing w:line="360" w:lineRule="auto"/>
        <w:ind w:firstLine="420"/>
      </w:pPr>
      <w:r>
        <w:rPr>
          <w:rFonts w:hint="eastAsia"/>
        </w:rPr>
        <w:t>i) 系统权限调整；</w:t>
      </w:r>
    </w:p>
    <w:p w14:paraId="6D3BE142">
      <w:pPr>
        <w:pStyle w:val="56"/>
        <w:spacing w:line="360" w:lineRule="auto"/>
        <w:ind w:firstLine="420"/>
      </w:pPr>
      <w:r>
        <w:rPr>
          <w:rFonts w:hint="eastAsia"/>
        </w:rPr>
        <w:t>j) 纠正措施和预防措施。</w:t>
      </w:r>
    </w:p>
    <w:p w14:paraId="2C861FB0">
      <w:pPr>
        <w:pStyle w:val="165"/>
        <w:spacing w:line="360" w:lineRule="auto"/>
      </w:pPr>
      <w:r>
        <w:rPr>
          <w:rFonts w:hint="eastAsia"/>
        </w:rPr>
        <w:t>因记录缺失导致无法证明检测过程的，应判定相关检测数据无效。</w:t>
      </w:r>
    </w:p>
    <w:p w14:paraId="658A960B">
      <w:pPr>
        <w:pStyle w:val="165"/>
        <w:spacing w:line="360" w:lineRule="auto"/>
      </w:pPr>
      <w:r>
        <w:rPr>
          <w:rFonts w:hint="eastAsia"/>
        </w:rPr>
        <w:t>因设备异常可能影响检测结果的，应追溯设备异常期间形成的检测数据，并应评估报告有效性。</w:t>
      </w:r>
    </w:p>
    <w:p w14:paraId="0B0F69F6">
      <w:pPr>
        <w:pStyle w:val="165"/>
        <w:spacing w:line="360" w:lineRule="auto"/>
      </w:pPr>
      <w:r>
        <w:rPr>
          <w:rFonts w:hint="eastAsia"/>
        </w:rPr>
        <w:t>因人为故意篡改、伪造或删除导致数据失真的，应判定相关数据无效，并应按机构管理制度追究责任。</w:t>
      </w:r>
    </w:p>
    <w:p w14:paraId="3DDF54A2">
      <w:pPr>
        <w:pStyle w:val="165"/>
        <w:spacing w:line="360" w:lineRule="auto"/>
      </w:pPr>
      <w:r>
        <w:rPr>
          <w:rFonts w:hint="eastAsia"/>
        </w:rPr>
        <w:t>重新检测应按检测方法重新实施，不得仅通过调整原有数据替代重新检测。</w:t>
      </w:r>
    </w:p>
    <w:p w14:paraId="1B1D1359">
      <w:pPr>
        <w:pStyle w:val="105"/>
        <w:spacing w:before="120" w:after="120" w:line="360" w:lineRule="auto"/>
      </w:pPr>
      <w:r>
        <w:rPr>
          <w:rFonts w:hint="eastAsia"/>
        </w:rPr>
        <w:t>异常数据处置流程</w:t>
      </w:r>
    </w:p>
    <w:p w14:paraId="3F75DF80">
      <w:pPr>
        <w:pStyle w:val="56"/>
        <w:spacing w:line="360" w:lineRule="auto"/>
        <w:ind w:firstLine="420"/>
      </w:pPr>
      <w:r>
        <w:rPr>
          <w:rFonts w:hint="eastAsia"/>
        </w:rPr>
        <w:t>异常数据处置流程见图1。</w:t>
      </w:r>
    </w:p>
    <w:p w14:paraId="06AFC0BB">
      <w:pPr>
        <w:pStyle w:val="56"/>
        <w:spacing w:line="360" w:lineRule="auto"/>
        <w:ind w:firstLine="0" w:firstLineChars="0"/>
        <w:jc w:val="center"/>
        <w:rPr>
          <w:rFonts w:hint="eastAsia"/>
        </w:rPr>
      </w:pPr>
      <w:r>
        <w:drawing>
          <wp:inline distT="0" distB="0" distL="0" distR="0">
            <wp:extent cx="2387600" cy="3581400"/>
            <wp:effectExtent l="0" t="0" r="0" b="0"/>
            <wp:docPr id="6142909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29096" name="图片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387600" cy="3581400"/>
                    </a:xfrm>
                    <a:prstGeom prst="rect">
                      <a:avLst/>
                    </a:prstGeom>
                    <a:noFill/>
                  </pic:spPr>
                </pic:pic>
              </a:graphicData>
            </a:graphic>
          </wp:inline>
        </w:drawing>
      </w:r>
    </w:p>
    <w:p w14:paraId="70558333">
      <w:pPr>
        <w:pStyle w:val="114"/>
        <w:spacing w:before="120" w:after="120" w:line="360" w:lineRule="auto"/>
      </w:pPr>
      <w:r>
        <w:rPr>
          <w:rFonts w:hint="eastAsia"/>
        </w:rPr>
        <w:t>异常数据处置流程</w:t>
      </w:r>
    </w:p>
    <w:p w14:paraId="1068CE50">
      <w:pPr>
        <w:pStyle w:val="105"/>
        <w:spacing w:before="120" w:after="120" w:line="360" w:lineRule="auto"/>
      </w:pPr>
      <w:r>
        <w:rPr>
          <w:rFonts w:hint="eastAsia"/>
        </w:rPr>
        <w:t>处置关闭</w:t>
      </w:r>
    </w:p>
    <w:p w14:paraId="11685002">
      <w:pPr>
        <w:pStyle w:val="165"/>
        <w:spacing w:line="360" w:lineRule="auto"/>
      </w:pPr>
      <w:r>
        <w:rPr>
          <w:rFonts w:hint="eastAsia"/>
        </w:rPr>
        <w:t>异常数据处置完成后，应由质量负责人或授权人员确认关闭。</w:t>
      </w:r>
    </w:p>
    <w:p w14:paraId="39B358D9">
      <w:pPr>
        <w:pStyle w:val="165"/>
        <w:spacing w:line="360" w:lineRule="auto"/>
      </w:pPr>
      <w:r>
        <w:rPr>
          <w:rFonts w:hint="eastAsia"/>
        </w:rPr>
        <w:t>异常关闭记录应包括异常描述、原因分析、影响范围、处置措施、验证结果、关闭日期和批准人员。</w:t>
      </w:r>
    </w:p>
    <w:p w14:paraId="157A695B">
      <w:pPr>
        <w:pStyle w:val="165"/>
        <w:spacing w:line="360" w:lineRule="auto"/>
      </w:pPr>
      <w:r>
        <w:rPr>
          <w:rFonts w:hint="eastAsia"/>
        </w:rPr>
        <w:t>异常数据处置资料应纳入检测数据归档范围。</w:t>
      </w:r>
    </w:p>
    <w:p w14:paraId="72205108">
      <w:pPr>
        <w:pStyle w:val="165"/>
        <w:spacing w:line="360" w:lineRule="auto"/>
      </w:pPr>
      <w:r>
        <w:rPr>
          <w:rFonts w:hint="eastAsia"/>
        </w:rPr>
        <w:t>对重复发生的异常数据问题，应开展专项分析，并应制定预防措施。</w:t>
      </w:r>
    </w:p>
    <w:p w14:paraId="5777DF06">
      <w:pPr>
        <w:pStyle w:val="104"/>
        <w:spacing w:before="240" w:after="240" w:line="360" w:lineRule="auto"/>
      </w:pPr>
      <w:bookmarkStart w:id="59" w:name="_Toc228620521"/>
      <w:r>
        <w:rPr>
          <w:rFonts w:hint="eastAsia"/>
        </w:rPr>
        <w:t>监督检查与持续改进</w:t>
      </w:r>
      <w:bookmarkEnd w:id="59"/>
    </w:p>
    <w:p w14:paraId="6E5A6220">
      <w:pPr>
        <w:pStyle w:val="105"/>
        <w:spacing w:before="120" w:after="120" w:line="360" w:lineRule="auto"/>
      </w:pPr>
      <w:r>
        <w:rPr>
          <w:rFonts w:hint="eastAsia"/>
        </w:rPr>
        <w:t>一般要求</w:t>
      </w:r>
    </w:p>
    <w:p w14:paraId="0E8710D6">
      <w:pPr>
        <w:pStyle w:val="165"/>
        <w:spacing w:line="360" w:lineRule="auto"/>
      </w:pPr>
      <w:r>
        <w:rPr>
          <w:rFonts w:hint="eastAsia"/>
        </w:rPr>
        <w:t>检测机构应对检测数据溯源与质量控制工作实施监督检查。</w:t>
      </w:r>
    </w:p>
    <w:p w14:paraId="30C55C3F">
      <w:pPr>
        <w:pStyle w:val="165"/>
        <w:spacing w:line="360" w:lineRule="auto"/>
      </w:pPr>
      <w:r>
        <w:rPr>
          <w:rFonts w:hint="eastAsia"/>
        </w:rPr>
        <w:t>监督检查应覆盖制度执行、人员履职、数据采集、数据审核、数据更正、电子数据管理、档案保存和异常处置等内容。</w:t>
      </w:r>
    </w:p>
    <w:p w14:paraId="63B49F89">
      <w:pPr>
        <w:pStyle w:val="165"/>
        <w:spacing w:line="360" w:lineRule="auto"/>
      </w:pPr>
      <w:r>
        <w:rPr>
          <w:rFonts w:hint="eastAsia"/>
        </w:rPr>
        <w:t>监督检查应形成记录。检查发现的问题应明确整改责任、整改措施、整改期限和验证要求。</w:t>
      </w:r>
    </w:p>
    <w:p w14:paraId="30E0A3B0">
      <w:pPr>
        <w:pStyle w:val="165"/>
        <w:spacing w:line="360" w:lineRule="auto"/>
      </w:pPr>
      <w:r>
        <w:rPr>
          <w:rFonts w:hint="eastAsia"/>
        </w:rPr>
        <w:t>检测机构应根据监督检查结果、客户反馈、监管要求、内部审核和数据异常情况持续改进数据管理体系。</w:t>
      </w:r>
    </w:p>
    <w:p w14:paraId="18C8B882">
      <w:pPr>
        <w:pStyle w:val="165"/>
        <w:numPr>
          <w:ilvl w:val="0"/>
          <w:numId w:val="0"/>
        </w:numPr>
        <w:spacing w:line="360" w:lineRule="auto"/>
        <w:rPr>
          <w:rFonts w:hint="eastAsia"/>
        </w:rPr>
      </w:pPr>
    </w:p>
    <w:p w14:paraId="1BFCC8FE">
      <w:pPr>
        <w:pStyle w:val="105"/>
        <w:spacing w:before="120" w:after="120" w:line="360" w:lineRule="auto"/>
      </w:pPr>
      <w:r>
        <w:rPr>
          <w:rFonts w:hint="eastAsia"/>
        </w:rPr>
        <w:t>日常监督</w:t>
      </w:r>
    </w:p>
    <w:p w14:paraId="56DB745A">
      <w:pPr>
        <w:pStyle w:val="165"/>
        <w:spacing w:line="360" w:lineRule="auto"/>
      </w:pPr>
      <w:r>
        <w:rPr>
          <w:rFonts w:hint="eastAsia"/>
        </w:rPr>
        <w:t>检测机构应对检测数据进行日常抽查。抽查比例和频次应根据检测项目风险、人员能力、历史问题和监管要求确定。</w:t>
      </w:r>
    </w:p>
    <w:p w14:paraId="20F55999">
      <w:pPr>
        <w:pStyle w:val="165"/>
        <w:spacing w:line="360" w:lineRule="auto"/>
      </w:pPr>
      <w:r>
        <w:rPr>
          <w:rFonts w:hint="eastAsia"/>
        </w:rPr>
        <w:t>日常监督内容应至少包括：</w:t>
      </w:r>
    </w:p>
    <w:p w14:paraId="2C2FE442">
      <w:pPr>
        <w:pStyle w:val="56"/>
        <w:spacing w:line="360" w:lineRule="auto"/>
        <w:ind w:firstLine="420"/>
      </w:pPr>
      <w:r>
        <w:rPr>
          <w:rFonts w:hint="eastAsia"/>
        </w:rPr>
        <w:t>a) 原始记录是否完整；</w:t>
      </w:r>
    </w:p>
    <w:p w14:paraId="7B3CD2AA">
      <w:pPr>
        <w:pStyle w:val="56"/>
        <w:spacing w:line="360" w:lineRule="auto"/>
        <w:ind w:firstLine="420"/>
      </w:pPr>
      <w:r>
        <w:rPr>
          <w:rFonts w:hint="eastAsia"/>
        </w:rPr>
        <w:t>b) 数据采集是否及时；</w:t>
      </w:r>
    </w:p>
    <w:p w14:paraId="043D5984">
      <w:pPr>
        <w:pStyle w:val="56"/>
        <w:spacing w:line="360" w:lineRule="auto"/>
        <w:ind w:firstLine="420"/>
      </w:pPr>
      <w:r>
        <w:rPr>
          <w:rFonts w:hint="eastAsia"/>
        </w:rPr>
        <w:t>c) 数据计算是否正确；</w:t>
      </w:r>
    </w:p>
    <w:p w14:paraId="4FACAAE1">
      <w:pPr>
        <w:pStyle w:val="56"/>
        <w:spacing w:line="360" w:lineRule="auto"/>
        <w:ind w:firstLine="420"/>
      </w:pPr>
      <w:r>
        <w:rPr>
          <w:rFonts w:hint="eastAsia"/>
        </w:rPr>
        <w:t>d) 报告与原始记录是否一致；</w:t>
      </w:r>
    </w:p>
    <w:p w14:paraId="4505AB26">
      <w:pPr>
        <w:pStyle w:val="56"/>
        <w:spacing w:line="360" w:lineRule="auto"/>
        <w:ind w:firstLine="420"/>
      </w:pPr>
      <w:r>
        <w:rPr>
          <w:rFonts w:hint="eastAsia"/>
        </w:rPr>
        <w:t>e) 数据更正是否留痕；</w:t>
      </w:r>
    </w:p>
    <w:p w14:paraId="29109847">
      <w:pPr>
        <w:pStyle w:val="56"/>
        <w:spacing w:line="360" w:lineRule="auto"/>
        <w:ind w:firstLine="420"/>
      </w:pPr>
      <w:r>
        <w:rPr>
          <w:rFonts w:hint="eastAsia"/>
        </w:rPr>
        <w:t>f) 电子日志是否完整；</w:t>
      </w:r>
    </w:p>
    <w:p w14:paraId="513F2A47">
      <w:pPr>
        <w:pStyle w:val="56"/>
        <w:spacing w:line="360" w:lineRule="auto"/>
        <w:ind w:firstLine="420"/>
      </w:pPr>
      <w:r>
        <w:rPr>
          <w:rFonts w:hint="eastAsia"/>
        </w:rPr>
        <w:t>g) 归档资料是否齐全；</w:t>
      </w:r>
    </w:p>
    <w:p w14:paraId="34A41B31">
      <w:pPr>
        <w:pStyle w:val="56"/>
        <w:spacing w:line="360" w:lineRule="auto"/>
        <w:ind w:firstLine="420"/>
      </w:pPr>
      <w:r>
        <w:rPr>
          <w:rFonts w:hint="eastAsia"/>
        </w:rPr>
        <w:t>h) 异常数据是否按规定处置。</w:t>
      </w:r>
    </w:p>
    <w:p w14:paraId="134CDC75">
      <w:pPr>
        <w:pStyle w:val="165"/>
        <w:spacing w:line="360" w:lineRule="auto"/>
      </w:pPr>
      <w:r>
        <w:rPr>
          <w:rFonts w:hint="eastAsia"/>
        </w:rPr>
        <w:t>对涉及结构安全和主要使用功能的检测项目，应提高监督频次。</w:t>
      </w:r>
    </w:p>
    <w:p w14:paraId="7FA2AC96">
      <w:pPr>
        <w:pStyle w:val="165"/>
        <w:spacing w:line="360" w:lineRule="auto"/>
      </w:pPr>
      <w:r>
        <w:rPr>
          <w:rFonts w:hint="eastAsia"/>
        </w:rPr>
        <w:t>日常监督发现不符合项时，应及时反馈责任部门，并应跟踪整改结果。</w:t>
      </w:r>
    </w:p>
    <w:p w14:paraId="611AC28B">
      <w:pPr>
        <w:pStyle w:val="105"/>
        <w:spacing w:before="120" w:after="120" w:line="360" w:lineRule="auto"/>
      </w:pPr>
      <w:r>
        <w:rPr>
          <w:rFonts w:hint="eastAsia"/>
        </w:rPr>
        <w:t>内部审核</w:t>
      </w:r>
    </w:p>
    <w:p w14:paraId="37572F86">
      <w:pPr>
        <w:pStyle w:val="165"/>
        <w:spacing w:line="360" w:lineRule="auto"/>
      </w:pPr>
      <w:r>
        <w:rPr>
          <w:rFonts w:hint="eastAsia"/>
        </w:rPr>
        <w:t>检测机构应将检测数据溯源与质控要求纳入内部审核范围。</w:t>
      </w:r>
    </w:p>
    <w:p w14:paraId="37732C74">
      <w:pPr>
        <w:pStyle w:val="165"/>
        <w:spacing w:line="360" w:lineRule="auto"/>
      </w:pPr>
      <w:r>
        <w:rPr>
          <w:rFonts w:hint="eastAsia"/>
        </w:rPr>
        <w:t>内部审核应至少每年开展一次。发生重大数据异常、重大质量投诉、系统重大变更或监管通报时，应增加专项审核。</w:t>
      </w:r>
    </w:p>
    <w:p w14:paraId="537830C8">
      <w:pPr>
        <w:pStyle w:val="165"/>
        <w:spacing w:line="360" w:lineRule="auto"/>
      </w:pPr>
      <w:r>
        <w:rPr>
          <w:rFonts w:hint="eastAsia"/>
        </w:rPr>
        <w:t>内部审核应评价数据管理制度的适宜性、执行有效性和持续符合性。</w:t>
      </w:r>
    </w:p>
    <w:p w14:paraId="6B821E78">
      <w:pPr>
        <w:pStyle w:val="165"/>
        <w:spacing w:line="360" w:lineRule="auto"/>
      </w:pPr>
      <w:r>
        <w:rPr>
          <w:rFonts w:hint="eastAsia"/>
        </w:rPr>
        <w:t>内部审核发现的问题应形成不符合项报告，并应实施原因分析、纠正措施和验证关闭。</w:t>
      </w:r>
    </w:p>
    <w:p w14:paraId="65C271AF">
      <w:pPr>
        <w:pStyle w:val="105"/>
        <w:spacing w:before="120" w:after="120" w:line="360" w:lineRule="auto"/>
      </w:pPr>
      <w:r>
        <w:rPr>
          <w:rFonts w:hint="eastAsia"/>
        </w:rPr>
        <w:t>管理评审</w:t>
      </w:r>
    </w:p>
    <w:p w14:paraId="0C1D9BCC">
      <w:pPr>
        <w:pStyle w:val="165"/>
        <w:spacing w:line="360" w:lineRule="auto"/>
      </w:pPr>
      <w:r>
        <w:rPr>
          <w:rFonts w:hint="eastAsia"/>
        </w:rPr>
        <w:t>检测机构管理层应定期评审检测数据溯源与质量控制工作。</w:t>
      </w:r>
    </w:p>
    <w:p w14:paraId="6AAD05D1">
      <w:pPr>
        <w:pStyle w:val="165"/>
        <w:spacing w:line="360" w:lineRule="auto"/>
      </w:pPr>
      <w:r>
        <w:rPr>
          <w:rFonts w:hint="eastAsia"/>
        </w:rPr>
        <w:t>管理评审输入应包括：</w:t>
      </w:r>
    </w:p>
    <w:p w14:paraId="446662C0">
      <w:pPr>
        <w:pStyle w:val="56"/>
        <w:spacing w:line="360" w:lineRule="auto"/>
        <w:ind w:firstLine="420"/>
      </w:pPr>
      <w:r>
        <w:rPr>
          <w:rFonts w:hint="eastAsia"/>
        </w:rPr>
        <w:t>a) 数据质量监督检查结果；</w:t>
      </w:r>
    </w:p>
    <w:p w14:paraId="11429464">
      <w:pPr>
        <w:pStyle w:val="56"/>
        <w:spacing w:line="360" w:lineRule="auto"/>
        <w:ind w:firstLine="420"/>
      </w:pPr>
      <w:r>
        <w:rPr>
          <w:rFonts w:hint="eastAsia"/>
        </w:rPr>
        <w:t>b) 内部审核结果；</w:t>
      </w:r>
    </w:p>
    <w:p w14:paraId="3142B18F">
      <w:pPr>
        <w:pStyle w:val="56"/>
        <w:spacing w:line="360" w:lineRule="auto"/>
        <w:ind w:firstLine="420"/>
      </w:pPr>
      <w:r>
        <w:rPr>
          <w:rFonts w:hint="eastAsia"/>
        </w:rPr>
        <w:t>c) 异常数据统计分析；</w:t>
      </w:r>
    </w:p>
    <w:p w14:paraId="0677D7F4">
      <w:pPr>
        <w:pStyle w:val="56"/>
        <w:spacing w:line="360" w:lineRule="auto"/>
        <w:ind w:firstLine="420"/>
      </w:pPr>
      <w:r>
        <w:rPr>
          <w:rFonts w:hint="eastAsia"/>
        </w:rPr>
        <w:t>d) 客户投诉和监管反馈；</w:t>
      </w:r>
    </w:p>
    <w:p w14:paraId="453D7869">
      <w:pPr>
        <w:pStyle w:val="56"/>
        <w:spacing w:line="360" w:lineRule="auto"/>
        <w:ind w:firstLine="420"/>
      </w:pPr>
      <w:r>
        <w:rPr>
          <w:rFonts w:hint="eastAsia"/>
        </w:rPr>
        <w:t>e) 信息系统运行情况；</w:t>
      </w:r>
    </w:p>
    <w:p w14:paraId="7C0651C4">
      <w:pPr>
        <w:pStyle w:val="56"/>
        <w:spacing w:line="360" w:lineRule="auto"/>
        <w:ind w:firstLine="420"/>
      </w:pPr>
      <w:r>
        <w:rPr>
          <w:rFonts w:hint="eastAsia"/>
        </w:rPr>
        <w:t>f) 人员能力和培训情况；</w:t>
      </w:r>
    </w:p>
    <w:p w14:paraId="39A8EE35">
      <w:pPr>
        <w:pStyle w:val="56"/>
        <w:spacing w:line="360" w:lineRule="auto"/>
        <w:ind w:firstLine="420"/>
      </w:pPr>
      <w:r>
        <w:rPr>
          <w:rFonts w:hint="eastAsia"/>
        </w:rPr>
        <w:t>g) 纠正措施和预防措施实施情况；</w:t>
      </w:r>
    </w:p>
    <w:p w14:paraId="14E8809D">
      <w:pPr>
        <w:pStyle w:val="56"/>
        <w:spacing w:line="360" w:lineRule="auto"/>
        <w:ind w:firstLine="420"/>
      </w:pPr>
      <w:r>
        <w:rPr>
          <w:rFonts w:hint="eastAsia"/>
        </w:rPr>
        <w:t>h) 改进建议。</w:t>
      </w:r>
    </w:p>
    <w:p w14:paraId="68932987">
      <w:pPr>
        <w:pStyle w:val="165"/>
        <w:spacing w:line="360" w:lineRule="auto"/>
      </w:pPr>
      <w:r>
        <w:rPr>
          <w:rFonts w:hint="eastAsia"/>
        </w:rPr>
        <w:t>管理评审输出应包括资源配置、制度修订、系统改进、人员培训、风险控制和持续改进措施。</w:t>
      </w:r>
    </w:p>
    <w:p w14:paraId="3A0BE178">
      <w:pPr>
        <w:pStyle w:val="105"/>
        <w:spacing w:before="120" w:after="120" w:line="360" w:lineRule="auto"/>
      </w:pPr>
      <w:r>
        <w:rPr>
          <w:rFonts w:hint="eastAsia"/>
        </w:rPr>
        <w:t>责任追究</w:t>
      </w:r>
    </w:p>
    <w:p w14:paraId="3E71143E">
      <w:pPr>
        <w:pStyle w:val="165"/>
        <w:spacing w:line="360" w:lineRule="auto"/>
      </w:pPr>
      <w:r>
        <w:rPr>
          <w:rFonts w:hint="eastAsia"/>
        </w:rPr>
        <w:t>检测机构应建立检测数据责任追究机制。</w:t>
      </w:r>
    </w:p>
    <w:p w14:paraId="26FCACA3">
      <w:pPr>
        <w:pStyle w:val="165"/>
        <w:spacing w:line="360" w:lineRule="auto"/>
      </w:pPr>
      <w:r>
        <w:rPr>
          <w:rFonts w:hint="eastAsia"/>
        </w:rPr>
        <w:t>对因过失造成数据缺失、计算错误、记录不一致或归档不完整的，应采取纠正、培训、监督或岗位调整措施。</w:t>
      </w:r>
    </w:p>
    <w:p w14:paraId="76F3B643">
      <w:pPr>
        <w:pStyle w:val="165"/>
        <w:spacing w:line="360" w:lineRule="auto"/>
      </w:pPr>
      <w:r>
        <w:rPr>
          <w:rFonts w:hint="eastAsia"/>
        </w:rPr>
        <w:t>对故意伪造、篡改、隐匿、删除、替换检测数据的，应按机构制度严肃处理；涉嫌违法违规的，应按规定移交有关部门处理。</w:t>
      </w:r>
    </w:p>
    <w:p w14:paraId="7869C89F">
      <w:pPr>
        <w:pStyle w:val="165"/>
        <w:spacing w:line="360" w:lineRule="auto"/>
      </w:pPr>
      <w:r>
        <w:rPr>
          <w:rFonts w:hint="eastAsia"/>
        </w:rPr>
        <w:t>对未履行审核职责导致错误报告签发的，应追究相关复核、审核和批准人员责任。</w:t>
      </w:r>
    </w:p>
    <w:p w14:paraId="4B18FEC9">
      <w:pPr>
        <w:pStyle w:val="165"/>
        <w:spacing w:line="360" w:lineRule="auto"/>
      </w:pPr>
      <w:r>
        <w:rPr>
          <w:rFonts w:hint="eastAsia"/>
        </w:rPr>
        <w:t>信息系统管理人员违规开放权限、删除日志、修改数据或泄露数据的，应按数据安全责任要求处理。</w:t>
      </w:r>
    </w:p>
    <w:p w14:paraId="494BD23D">
      <w:pPr>
        <w:pStyle w:val="105"/>
        <w:spacing w:before="120" w:after="120" w:line="360" w:lineRule="auto"/>
      </w:pPr>
      <w:r>
        <w:rPr>
          <w:rFonts w:hint="eastAsia"/>
        </w:rPr>
        <w:t>持续改进</w:t>
      </w:r>
    </w:p>
    <w:p w14:paraId="680873EC">
      <w:pPr>
        <w:pStyle w:val="165"/>
        <w:spacing w:line="360" w:lineRule="auto"/>
      </w:pPr>
      <w:r>
        <w:rPr>
          <w:rFonts w:hint="eastAsia"/>
        </w:rPr>
        <w:t>检测机构应根据数据质量问题发生频次、影响程度和风险等级，制定持续改进计划。</w:t>
      </w:r>
    </w:p>
    <w:p w14:paraId="60EEEA4F">
      <w:pPr>
        <w:pStyle w:val="165"/>
        <w:spacing w:line="360" w:lineRule="auto"/>
      </w:pPr>
      <w:r>
        <w:rPr>
          <w:rFonts w:hint="eastAsia"/>
        </w:rPr>
        <w:t>持续改进措施应包括制度优化、流程再造、表式修订、系统升级、人员培训、设备改进和监督强化。</w:t>
      </w:r>
    </w:p>
    <w:p w14:paraId="327CDF33">
      <w:pPr>
        <w:pStyle w:val="165"/>
        <w:spacing w:line="360" w:lineRule="auto"/>
      </w:pPr>
      <w:r>
        <w:rPr>
          <w:rFonts w:hint="eastAsia"/>
        </w:rPr>
        <w:t>检测机构应对改进措施实施效果进行验证。验证未达到预期效果的，应重新分析原因并采取进一步措施。</w:t>
      </w:r>
    </w:p>
    <w:p w14:paraId="32F738EC">
      <w:pPr>
        <w:pStyle w:val="165"/>
        <w:spacing w:line="360" w:lineRule="auto"/>
      </w:pPr>
      <w:r>
        <w:rPr>
          <w:rFonts w:hint="eastAsia"/>
        </w:rPr>
        <w:t>检测机构应建立数据质量统计分析机制，定期分析数据缺失率、退回率、更正率、异常率、归档完整率和审核差错率。</w:t>
      </w:r>
    </w:p>
    <w:p w14:paraId="21B4AEF3">
      <w:pPr>
        <w:pStyle w:val="165"/>
        <w:spacing w:line="360" w:lineRule="auto"/>
      </w:pPr>
      <w:r>
        <w:rPr>
          <w:rFonts w:hint="eastAsia"/>
        </w:rPr>
        <w:t>检测机构应将数据质量分析结果用于人员考核、风险预警、资源配置和管理改进。</w:t>
      </w:r>
    </w:p>
    <w:p w14:paraId="285226B2">
      <w:pPr>
        <w:pStyle w:val="56"/>
        <w:ind w:firstLine="420"/>
      </w:pPr>
    </w:p>
    <w:p w14:paraId="1AA2759E">
      <w:pPr>
        <w:pStyle w:val="56"/>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pPr>
    </w:p>
    <w:bookmarkEnd w:id="26"/>
    <w:p w14:paraId="58798AC6">
      <w:pPr>
        <w:pStyle w:val="198"/>
        <w:rPr>
          <w:rFonts w:hint="eastAsia"/>
        </w:rPr>
      </w:pPr>
      <w:bookmarkStart w:id="60" w:name="BookMark5"/>
    </w:p>
    <w:p w14:paraId="41E15A6C">
      <w:pPr>
        <w:pStyle w:val="199"/>
      </w:pPr>
    </w:p>
    <w:p w14:paraId="7181EE88">
      <w:pPr>
        <w:pStyle w:val="76"/>
        <w:spacing w:after="120" w:line="360" w:lineRule="auto"/>
      </w:pPr>
      <w:r>
        <w:br w:type="textWrapping"/>
      </w:r>
      <w:bookmarkStart w:id="61" w:name="_Toc228620522"/>
      <w:r>
        <w:rPr>
          <w:rFonts w:hint="eastAsia"/>
        </w:rPr>
        <w:t>（资料性）</w:t>
      </w:r>
      <w:r>
        <w:br w:type="textWrapping"/>
      </w:r>
      <w:r>
        <w:rPr>
          <w:rFonts w:hint="eastAsia"/>
        </w:rPr>
        <w:t>检测数据溯源记录要素</w:t>
      </w:r>
      <w:bookmarkEnd w:id="61"/>
    </w:p>
    <w:p w14:paraId="0C83A32F">
      <w:pPr>
        <w:pStyle w:val="211"/>
        <w:spacing w:line="360" w:lineRule="auto"/>
      </w:pPr>
      <w:r>
        <w:rPr>
          <w:rFonts w:hint="eastAsia"/>
        </w:rPr>
        <w:t>检测机构可按表A.1设置检测数据溯源记录要素，并可根据检测项目特点进行调整。</w:t>
      </w:r>
    </w:p>
    <w:p w14:paraId="6B85A012">
      <w:pPr>
        <w:pStyle w:val="77"/>
        <w:spacing w:before="120" w:after="120" w:line="360" w:lineRule="auto"/>
      </w:pPr>
      <w:r>
        <w:rPr>
          <w:rFonts w:hint="eastAsia"/>
        </w:rPr>
        <w:t>检测数据溯源记录要素</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833"/>
        <w:gridCol w:w="4389"/>
        <w:gridCol w:w="3112"/>
      </w:tblGrid>
      <w:tr w14:paraId="223BFD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833" w:type="dxa"/>
            <w:tcBorders>
              <w:top w:val="single" w:color="auto" w:sz="8" w:space="0"/>
              <w:bottom w:val="single" w:color="auto" w:sz="8" w:space="0"/>
            </w:tcBorders>
          </w:tcPr>
          <w:p w14:paraId="6721969B">
            <w:pPr>
              <w:pStyle w:val="178"/>
              <w:spacing w:line="360" w:lineRule="auto"/>
            </w:pPr>
            <w:r>
              <w:rPr>
                <w:rFonts w:hint="eastAsia"/>
              </w:rPr>
              <w:t>类别</w:t>
            </w:r>
          </w:p>
        </w:tc>
        <w:tc>
          <w:tcPr>
            <w:tcW w:w="4389" w:type="dxa"/>
            <w:tcBorders>
              <w:top w:val="single" w:color="auto" w:sz="8" w:space="0"/>
              <w:bottom w:val="single" w:color="auto" w:sz="8" w:space="0"/>
            </w:tcBorders>
          </w:tcPr>
          <w:p w14:paraId="0E9B9B24">
            <w:pPr>
              <w:pStyle w:val="178"/>
              <w:spacing w:line="360" w:lineRule="auto"/>
            </w:pPr>
            <w:r>
              <w:rPr>
                <w:rFonts w:hint="eastAsia"/>
              </w:rPr>
              <w:t>记录要素</w:t>
            </w:r>
          </w:p>
        </w:tc>
        <w:tc>
          <w:tcPr>
            <w:tcW w:w="3112" w:type="dxa"/>
            <w:tcBorders>
              <w:top w:val="single" w:color="auto" w:sz="8" w:space="0"/>
              <w:bottom w:val="single" w:color="auto" w:sz="8" w:space="0"/>
            </w:tcBorders>
          </w:tcPr>
          <w:p w14:paraId="029B7DF6">
            <w:pPr>
              <w:pStyle w:val="178"/>
              <w:spacing w:line="360" w:lineRule="auto"/>
            </w:pPr>
            <w:r>
              <w:rPr>
                <w:rFonts w:hint="eastAsia"/>
              </w:rPr>
              <w:t>记录要求</w:t>
            </w:r>
          </w:p>
        </w:tc>
      </w:tr>
      <w:tr w14:paraId="25B1FC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Borders>
              <w:top w:val="single" w:color="auto" w:sz="8" w:space="0"/>
            </w:tcBorders>
          </w:tcPr>
          <w:p w14:paraId="727C5EAD">
            <w:pPr>
              <w:pStyle w:val="178"/>
              <w:spacing w:line="360" w:lineRule="auto"/>
            </w:pPr>
            <w:r>
              <w:rPr>
                <w:rFonts w:hint="eastAsia"/>
              </w:rPr>
              <w:t>委托信息</w:t>
            </w:r>
          </w:p>
        </w:tc>
        <w:tc>
          <w:tcPr>
            <w:tcW w:w="4389" w:type="dxa"/>
            <w:tcBorders>
              <w:top w:val="single" w:color="auto" w:sz="8" w:space="0"/>
            </w:tcBorders>
          </w:tcPr>
          <w:p w14:paraId="2848F501">
            <w:pPr>
              <w:pStyle w:val="178"/>
              <w:spacing w:line="360" w:lineRule="auto"/>
            </w:pPr>
            <w:r>
              <w:rPr>
                <w:rFonts w:hint="eastAsia"/>
              </w:rPr>
              <w:t>工程名称、委托单位、检测项目、检测依据、委托日期</w:t>
            </w:r>
          </w:p>
        </w:tc>
        <w:tc>
          <w:tcPr>
            <w:tcW w:w="3112" w:type="dxa"/>
            <w:tcBorders>
              <w:top w:val="single" w:color="auto" w:sz="8" w:space="0"/>
            </w:tcBorders>
          </w:tcPr>
          <w:p w14:paraId="11EBFF68">
            <w:pPr>
              <w:pStyle w:val="178"/>
              <w:spacing w:line="360" w:lineRule="auto"/>
            </w:pPr>
            <w:r>
              <w:rPr>
                <w:rFonts w:hint="eastAsia"/>
              </w:rPr>
              <w:t>应与委托单和报告一致</w:t>
            </w:r>
          </w:p>
        </w:tc>
      </w:tr>
      <w:tr w14:paraId="017CFC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836F554">
            <w:pPr>
              <w:pStyle w:val="178"/>
              <w:spacing w:line="360" w:lineRule="auto"/>
            </w:pPr>
            <w:r>
              <w:rPr>
                <w:rFonts w:hint="eastAsia"/>
              </w:rPr>
              <w:t>样品信息</w:t>
            </w:r>
          </w:p>
        </w:tc>
        <w:tc>
          <w:tcPr>
            <w:tcW w:w="4389" w:type="dxa"/>
          </w:tcPr>
          <w:p w14:paraId="2F6E5CC0">
            <w:pPr>
              <w:pStyle w:val="178"/>
              <w:spacing w:line="360" w:lineRule="auto"/>
            </w:pPr>
            <w:r>
              <w:rPr>
                <w:rFonts w:hint="eastAsia"/>
              </w:rPr>
              <w:t>样品编号、名称、规格、数量、状态、接收日期</w:t>
            </w:r>
          </w:p>
        </w:tc>
        <w:tc>
          <w:tcPr>
            <w:tcW w:w="3112" w:type="dxa"/>
          </w:tcPr>
          <w:p w14:paraId="37E9054C">
            <w:pPr>
              <w:pStyle w:val="178"/>
              <w:spacing w:line="360" w:lineRule="auto"/>
            </w:pPr>
            <w:r>
              <w:rPr>
                <w:rFonts w:hint="eastAsia"/>
              </w:rPr>
              <w:t>应与样品标签和接收记录一致</w:t>
            </w:r>
          </w:p>
        </w:tc>
      </w:tr>
      <w:tr w14:paraId="3C6BDB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2EB629E">
            <w:pPr>
              <w:pStyle w:val="178"/>
              <w:spacing w:line="360" w:lineRule="auto"/>
            </w:pPr>
            <w:r>
              <w:rPr>
                <w:rFonts w:hint="eastAsia"/>
              </w:rPr>
              <w:t>见证信息</w:t>
            </w:r>
          </w:p>
        </w:tc>
        <w:tc>
          <w:tcPr>
            <w:tcW w:w="4389" w:type="dxa"/>
          </w:tcPr>
          <w:p w14:paraId="0B331C86">
            <w:pPr>
              <w:pStyle w:val="178"/>
              <w:spacing w:line="360" w:lineRule="auto"/>
            </w:pPr>
            <w:r>
              <w:rPr>
                <w:rFonts w:hint="eastAsia"/>
              </w:rPr>
              <w:t>见证人员、取样人员、取样部位、封样情况</w:t>
            </w:r>
          </w:p>
        </w:tc>
        <w:tc>
          <w:tcPr>
            <w:tcW w:w="3112" w:type="dxa"/>
          </w:tcPr>
          <w:p w14:paraId="42D9E67B">
            <w:pPr>
              <w:pStyle w:val="178"/>
              <w:spacing w:line="360" w:lineRule="auto"/>
            </w:pPr>
            <w:r>
              <w:rPr>
                <w:rFonts w:hint="eastAsia"/>
              </w:rPr>
              <w:t>涉及见证取样时应完整记录</w:t>
            </w:r>
          </w:p>
        </w:tc>
      </w:tr>
      <w:tr w14:paraId="0D1383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10DC4B33">
            <w:pPr>
              <w:pStyle w:val="178"/>
              <w:spacing w:line="360" w:lineRule="auto"/>
            </w:pPr>
            <w:r>
              <w:rPr>
                <w:rFonts w:hint="eastAsia"/>
              </w:rPr>
              <w:t>人员信息</w:t>
            </w:r>
          </w:p>
        </w:tc>
        <w:tc>
          <w:tcPr>
            <w:tcW w:w="4389" w:type="dxa"/>
          </w:tcPr>
          <w:p w14:paraId="6E3DA370">
            <w:pPr>
              <w:pStyle w:val="178"/>
              <w:spacing w:line="360" w:lineRule="auto"/>
            </w:pPr>
            <w:r>
              <w:rPr>
                <w:rFonts w:hint="eastAsia"/>
              </w:rPr>
              <w:t>检测人员、复核人员、审核人员、授权签字人</w:t>
            </w:r>
          </w:p>
        </w:tc>
        <w:tc>
          <w:tcPr>
            <w:tcW w:w="3112" w:type="dxa"/>
          </w:tcPr>
          <w:p w14:paraId="4DB3FD91">
            <w:pPr>
              <w:pStyle w:val="178"/>
              <w:spacing w:line="360" w:lineRule="auto"/>
            </w:pPr>
            <w:r>
              <w:rPr>
                <w:rFonts w:hint="eastAsia"/>
              </w:rPr>
              <w:t>应与岗位授权范围一致</w:t>
            </w:r>
          </w:p>
        </w:tc>
      </w:tr>
      <w:tr w14:paraId="098130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0A8F847">
            <w:pPr>
              <w:pStyle w:val="178"/>
              <w:spacing w:line="360" w:lineRule="auto"/>
            </w:pPr>
            <w:r>
              <w:rPr>
                <w:rFonts w:hint="eastAsia"/>
              </w:rPr>
              <w:t>设备信息</w:t>
            </w:r>
          </w:p>
        </w:tc>
        <w:tc>
          <w:tcPr>
            <w:tcW w:w="4389" w:type="dxa"/>
          </w:tcPr>
          <w:p w14:paraId="2D49A4C5">
            <w:pPr>
              <w:pStyle w:val="178"/>
              <w:spacing w:line="360" w:lineRule="auto"/>
            </w:pPr>
            <w:r>
              <w:rPr>
                <w:rFonts w:hint="eastAsia"/>
              </w:rPr>
              <w:t>设备名称、设备编号、校准状态、使用时间</w:t>
            </w:r>
          </w:p>
        </w:tc>
        <w:tc>
          <w:tcPr>
            <w:tcW w:w="3112" w:type="dxa"/>
          </w:tcPr>
          <w:p w14:paraId="7D42DF65">
            <w:pPr>
              <w:pStyle w:val="178"/>
              <w:spacing w:line="360" w:lineRule="auto"/>
            </w:pPr>
            <w:r>
              <w:rPr>
                <w:rFonts w:hint="eastAsia"/>
              </w:rPr>
              <w:t>应能证明设备有效状态</w:t>
            </w:r>
          </w:p>
        </w:tc>
      </w:tr>
      <w:tr w14:paraId="586C34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3C4100CC">
            <w:pPr>
              <w:pStyle w:val="178"/>
              <w:spacing w:line="360" w:lineRule="auto"/>
            </w:pPr>
            <w:r>
              <w:rPr>
                <w:rFonts w:hint="eastAsia"/>
              </w:rPr>
              <w:t>环境信息</w:t>
            </w:r>
          </w:p>
        </w:tc>
        <w:tc>
          <w:tcPr>
            <w:tcW w:w="4389" w:type="dxa"/>
          </w:tcPr>
          <w:p w14:paraId="24C8765E">
            <w:pPr>
              <w:pStyle w:val="178"/>
              <w:spacing w:line="360" w:lineRule="auto"/>
            </w:pPr>
            <w:r>
              <w:rPr>
                <w:rFonts w:hint="eastAsia"/>
              </w:rPr>
              <w:t>温度、湿度、养护条件、现场条件</w:t>
            </w:r>
          </w:p>
        </w:tc>
        <w:tc>
          <w:tcPr>
            <w:tcW w:w="3112" w:type="dxa"/>
          </w:tcPr>
          <w:p w14:paraId="3971A8F9">
            <w:pPr>
              <w:pStyle w:val="178"/>
              <w:spacing w:line="360" w:lineRule="auto"/>
            </w:pPr>
            <w:r>
              <w:rPr>
                <w:rFonts w:hint="eastAsia"/>
              </w:rPr>
              <w:t>应符合检测方法要求</w:t>
            </w:r>
          </w:p>
        </w:tc>
      </w:tr>
      <w:tr w14:paraId="289E58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4A25BB88">
            <w:pPr>
              <w:pStyle w:val="178"/>
              <w:spacing w:line="360" w:lineRule="auto"/>
            </w:pPr>
            <w:r>
              <w:rPr>
                <w:rFonts w:hint="eastAsia"/>
              </w:rPr>
              <w:t>原始数据</w:t>
            </w:r>
          </w:p>
        </w:tc>
        <w:tc>
          <w:tcPr>
            <w:tcW w:w="4389" w:type="dxa"/>
          </w:tcPr>
          <w:p w14:paraId="24982560">
            <w:pPr>
              <w:pStyle w:val="178"/>
              <w:spacing w:line="360" w:lineRule="auto"/>
            </w:pPr>
            <w:r>
              <w:rPr>
                <w:rFonts w:hint="eastAsia"/>
              </w:rPr>
              <w:t>原始读数、仪器输出、图谱、照片、视频</w:t>
            </w:r>
          </w:p>
        </w:tc>
        <w:tc>
          <w:tcPr>
            <w:tcW w:w="3112" w:type="dxa"/>
          </w:tcPr>
          <w:p w14:paraId="7BDEACF6">
            <w:pPr>
              <w:pStyle w:val="178"/>
              <w:spacing w:line="360" w:lineRule="auto"/>
            </w:pPr>
            <w:r>
              <w:rPr>
                <w:rFonts w:hint="eastAsia"/>
              </w:rPr>
              <w:t>应能支撑检测结果</w:t>
            </w:r>
          </w:p>
        </w:tc>
      </w:tr>
      <w:tr w14:paraId="47788E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DB3E9A6">
            <w:pPr>
              <w:pStyle w:val="178"/>
              <w:spacing w:line="360" w:lineRule="auto"/>
            </w:pPr>
            <w:r>
              <w:rPr>
                <w:rFonts w:hint="eastAsia"/>
              </w:rPr>
              <w:t>计算信息</w:t>
            </w:r>
          </w:p>
        </w:tc>
        <w:tc>
          <w:tcPr>
            <w:tcW w:w="4389" w:type="dxa"/>
          </w:tcPr>
          <w:p w14:paraId="5A177625">
            <w:pPr>
              <w:pStyle w:val="178"/>
              <w:spacing w:line="360" w:lineRule="auto"/>
            </w:pPr>
            <w:r>
              <w:rPr>
                <w:rFonts w:hint="eastAsia"/>
              </w:rPr>
              <w:t>公式、参数、修约规则、判定依据</w:t>
            </w:r>
          </w:p>
        </w:tc>
        <w:tc>
          <w:tcPr>
            <w:tcW w:w="3112" w:type="dxa"/>
          </w:tcPr>
          <w:p w14:paraId="511C5869">
            <w:pPr>
              <w:pStyle w:val="178"/>
              <w:spacing w:line="360" w:lineRule="auto"/>
            </w:pPr>
            <w:r>
              <w:rPr>
                <w:rFonts w:hint="eastAsia"/>
              </w:rPr>
              <w:t>应保留完整计算过程</w:t>
            </w:r>
          </w:p>
        </w:tc>
      </w:tr>
      <w:tr w14:paraId="798A92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76FA2D92">
            <w:pPr>
              <w:pStyle w:val="178"/>
              <w:spacing w:line="360" w:lineRule="auto"/>
            </w:pPr>
            <w:r>
              <w:rPr>
                <w:rFonts w:hint="eastAsia"/>
              </w:rPr>
              <w:t>审核信息</w:t>
            </w:r>
          </w:p>
        </w:tc>
        <w:tc>
          <w:tcPr>
            <w:tcW w:w="4389" w:type="dxa"/>
          </w:tcPr>
          <w:p w14:paraId="76B3252F">
            <w:pPr>
              <w:pStyle w:val="178"/>
              <w:spacing w:line="360" w:lineRule="auto"/>
            </w:pPr>
            <w:r>
              <w:rPr>
                <w:rFonts w:hint="eastAsia"/>
              </w:rPr>
              <w:t>复核意见、审核意见、批准记录</w:t>
            </w:r>
          </w:p>
        </w:tc>
        <w:tc>
          <w:tcPr>
            <w:tcW w:w="3112" w:type="dxa"/>
          </w:tcPr>
          <w:p w14:paraId="51A672AF">
            <w:pPr>
              <w:pStyle w:val="178"/>
              <w:spacing w:line="360" w:lineRule="auto"/>
            </w:pPr>
            <w:r>
              <w:rPr>
                <w:rFonts w:hint="eastAsia"/>
              </w:rPr>
              <w:t>应形成责任闭环</w:t>
            </w:r>
          </w:p>
        </w:tc>
      </w:tr>
      <w:tr w14:paraId="670F5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833" w:type="dxa"/>
          </w:tcPr>
          <w:p w14:paraId="5413797C">
            <w:pPr>
              <w:pStyle w:val="178"/>
              <w:spacing w:line="360" w:lineRule="auto"/>
            </w:pPr>
            <w:r>
              <w:rPr>
                <w:rFonts w:hint="eastAsia"/>
              </w:rPr>
              <w:t>归档信息</w:t>
            </w:r>
          </w:p>
        </w:tc>
        <w:tc>
          <w:tcPr>
            <w:tcW w:w="4389" w:type="dxa"/>
          </w:tcPr>
          <w:p w14:paraId="0A287114">
            <w:pPr>
              <w:pStyle w:val="178"/>
              <w:spacing w:line="360" w:lineRule="auto"/>
            </w:pPr>
            <w:r>
              <w:rPr>
                <w:rFonts w:hint="eastAsia"/>
              </w:rPr>
              <w:t>归档编号、归档时间、保存位置、保管人员</w:t>
            </w:r>
          </w:p>
        </w:tc>
        <w:tc>
          <w:tcPr>
            <w:tcW w:w="3112" w:type="dxa"/>
          </w:tcPr>
          <w:p w14:paraId="4C86B660">
            <w:pPr>
              <w:pStyle w:val="178"/>
              <w:spacing w:line="360" w:lineRule="auto"/>
            </w:pPr>
            <w:r>
              <w:rPr>
                <w:rFonts w:hint="eastAsia"/>
              </w:rPr>
              <w:t>应便于查询和追溯</w:t>
            </w:r>
          </w:p>
        </w:tc>
      </w:tr>
    </w:tbl>
    <w:p w14:paraId="1C374B51">
      <w:pPr>
        <w:pStyle w:val="56"/>
        <w:ind w:firstLine="420"/>
      </w:pPr>
    </w:p>
    <w:p w14:paraId="06DEF3A4">
      <w:pPr>
        <w:pStyle w:val="56"/>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43D49E72">
      <w:pPr>
        <w:pStyle w:val="198"/>
        <w:rPr>
          <w:rFonts w:hint="eastAsia"/>
        </w:rPr>
      </w:pPr>
    </w:p>
    <w:p w14:paraId="4A04B0C2">
      <w:pPr>
        <w:pStyle w:val="199"/>
      </w:pPr>
    </w:p>
    <w:p w14:paraId="4D3B2F5A">
      <w:pPr>
        <w:pStyle w:val="76"/>
        <w:spacing w:after="120" w:line="360" w:lineRule="auto"/>
      </w:pPr>
      <w:r>
        <w:br w:type="textWrapping"/>
      </w:r>
      <w:bookmarkStart w:id="62" w:name="_Toc228620523"/>
      <w:r>
        <w:rPr>
          <w:rFonts w:hint="eastAsia"/>
        </w:rPr>
        <w:t>（资料性）</w:t>
      </w:r>
      <w:r>
        <w:br w:type="textWrapping"/>
      </w:r>
      <w:r>
        <w:rPr>
          <w:rFonts w:hint="eastAsia"/>
        </w:rPr>
        <w:t>检测数据质量检查记录表</w:t>
      </w:r>
      <w:bookmarkEnd w:id="62"/>
    </w:p>
    <w:p w14:paraId="4205B4C5">
      <w:pPr>
        <w:pStyle w:val="211"/>
        <w:spacing w:line="360" w:lineRule="auto"/>
      </w:pPr>
      <w:r>
        <w:t>检测机构可按表B.1开展检测数据质量检查。</w:t>
      </w:r>
    </w:p>
    <w:p w14:paraId="326D3A4C">
      <w:pPr>
        <w:pStyle w:val="77"/>
        <w:spacing w:before="120" w:after="120" w:line="360" w:lineRule="auto"/>
      </w:pPr>
      <w:r>
        <w:t>检测数据质量检查记录表</w:t>
      </w:r>
    </w:p>
    <w:tbl>
      <w:tblPr>
        <w:tblStyle w:val="2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
        <w:gridCol w:w="983"/>
        <w:gridCol w:w="2750"/>
        <w:gridCol w:w="929"/>
        <w:gridCol w:w="938"/>
        <w:gridCol w:w="1867"/>
        <w:gridCol w:w="1867"/>
      </w:tblGrid>
      <w:tr w14:paraId="3BB47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4"/>
          </w:tcPr>
          <w:p w14:paraId="2E8F711C">
            <w:pPr>
              <w:pStyle w:val="56"/>
              <w:spacing w:line="360" w:lineRule="auto"/>
              <w:ind w:firstLine="0" w:firstLineChars="0"/>
              <w:rPr>
                <w:sz w:val="18"/>
                <w:szCs w:val="18"/>
              </w:rPr>
            </w:pPr>
            <w:r>
              <w:rPr>
                <w:sz w:val="18"/>
                <w:szCs w:val="18"/>
              </w:rPr>
              <w:t>工程名称</w:t>
            </w:r>
            <w:r>
              <w:rPr>
                <w:rFonts w:hint="eastAsia"/>
                <w:sz w:val="18"/>
                <w:szCs w:val="18"/>
              </w:rPr>
              <w:t>：___________</w:t>
            </w:r>
          </w:p>
        </w:tc>
        <w:tc>
          <w:tcPr>
            <w:tcW w:w="4672" w:type="dxa"/>
            <w:gridSpan w:val="3"/>
            <w:vAlign w:val="center"/>
          </w:tcPr>
          <w:p w14:paraId="4FF3168A">
            <w:pPr>
              <w:pStyle w:val="56"/>
              <w:spacing w:line="360" w:lineRule="auto"/>
              <w:ind w:firstLine="1620" w:firstLineChars="900"/>
              <w:rPr>
                <w:sz w:val="18"/>
                <w:szCs w:val="18"/>
              </w:rPr>
            </w:pPr>
            <w:r>
              <w:rPr>
                <w:sz w:val="18"/>
                <w:szCs w:val="18"/>
              </w:rPr>
              <w:t>报告编号</w:t>
            </w:r>
            <w:r>
              <w:rPr>
                <w:rFonts w:hint="eastAsia"/>
                <w:sz w:val="18"/>
                <w:szCs w:val="18"/>
              </w:rPr>
              <w:t>：___________</w:t>
            </w:r>
          </w:p>
        </w:tc>
      </w:tr>
      <w:tr w14:paraId="4400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4"/>
          </w:tcPr>
          <w:p w14:paraId="1653C0D7">
            <w:pPr>
              <w:pStyle w:val="56"/>
              <w:spacing w:line="360" w:lineRule="auto"/>
              <w:ind w:firstLine="0" w:firstLineChars="0"/>
              <w:rPr>
                <w:sz w:val="18"/>
                <w:szCs w:val="18"/>
              </w:rPr>
            </w:pPr>
            <w:r>
              <w:rPr>
                <w:sz w:val="18"/>
                <w:szCs w:val="18"/>
              </w:rPr>
              <w:t>检测项目</w:t>
            </w:r>
            <w:r>
              <w:rPr>
                <w:rFonts w:hint="eastAsia"/>
                <w:sz w:val="18"/>
                <w:szCs w:val="18"/>
              </w:rPr>
              <w:t>：___________</w:t>
            </w:r>
          </w:p>
        </w:tc>
        <w:tc>
          <w:tcPr>
            <w:tcW w:w="4672" w:type="dxa"/>
            <w:gridSpan w:val="3"/>
            <w:vAlign w:val="center"/>
          </w:tcPr>
          <w:p w14:paraId="2619B9F8">
            <w:pPr>
              <w:pStyle w:val="56"/>
              <w:spacing w:line="360" w:lineRule="auto"/>
              <w:ind w:firstLine="1620" w:firstLineChars="900"/>
              <w:rPr>
                <w:sz w:val="18"/>
                <w:szCs w:val="18"/>
              </w:rPr>
            </w:pPr>
            <w:r>
              <w:rPr>
                <w:sz w:val="18"/>
                <w:szCs w:val="18"/>
              </w:rPr>
              <w:t>检查日期</w:t>
            </w:r>
            <w:r>
              <w:rPr>
                <w:rFonts w:hint="eastAsia"/>
                <w:sz w:val="18"/>
                <w:szCs w:val="18"/>
              </w:rPr>
              <w:t>：___________</w:t>
            </w:r>
          </w:p>
        </w:tc>
      </w:tr>
      <w:tr w14:paraId="3D13D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2" w:type="dxa"/>
            <w:gridSpan w:val="4"/>
          </w:tcPr>
          <w:p w14:paraId="55A3B0DE">
            <w:pPr>
              <w:pStyle w:val="56"/>
              <w:spacing w:line="360" w:lineRule="auto"/>
              <w:ind w:firstLine="0" w:firstLineChars="0"/>
              <w:rPr>
                <w:sz w:val="18"/>
                <w:szCs w:val="18"/>
              </w:rPr>
            </w:pPr>
            <w:r>
              <w:rPr>
                <w:sz w:val="18"/>
                <w:szCs w:val="18"/>
              </w:rPr>
              <w:t>检查人员</w:t>
            </w:r>
            <w:r>
              <w:rPr>
                <w:rFonts w:hint="eastAsia"/>
                <w:sz w:val="18"/>
                <w:szCs w:val="18"/>
              </w:rPr>
              <w:t>：___________</w:t>
            </w:r>
          </w:p>
        </w:tc>
        <w:tc>
          <w:tcPr>
            <w:tcW w:w="4672" w:type="dxa"/>
            <w:gridSpan w:val="3"/>
            <w:vAlign w:val="center"/>
          </w:tcPr>
          <w:p w14:paraId="03C52472">
            <w:pPr>
              <w:pStyle w:val="56"/>
              <w:spacing w:line="360" w:lineRule="auto"/>
              <w:ind w:firstLine="1620" w:firstLineChars="900"/>
              <w:rPr>
                <w:sz w:val="18"/>
                <w:szCs w:val="18"/>
              </w:rPr>
            </w:pPr>
            <w:r>
              <w:rPr>
                <w:sz w:val="18"/>
                <w:szCs w:val="18"/>
              </w:rPr>
              <w:t>被检查部门</w:t>
            </w:r>
            <w:r>
              <w:rPr>
                <w:rFonts w:hint="eastAsia"/>
                <w:sz w:val="18"/>
                <w:szCs w:val="18"/>
              </w:rPr>
              <w:t>：___________</w:t>
            </w:r>
          </w:p>
        </w:tc>
      </w:tr>
      <w:tr w14:paraId="52E097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7403F8D6">
            <w:pPr>
              <w:pStyle w:val="178"/>
              <w:spacing w:line="360" w:lineRule="auto"/>
            </w:pPr>
            <w:r>
              <w:rPr>
                <w:b/>
                <w:bCs/>
              </w:rPr>
              <w:t>序号</w:t>
            </w:r>
          </w:p>
        </w:tc>
        <w:tc>
          <w:tcPr>
            <w:tcW w:w="2750" w:type="dxa"/>
            <w:vAlign w:val="center"/>
          </w:tcPr>
          <w:p w14:paraId="576E175C">
            <w:pPr>
              <w:pStyle w:val="178"/>
              <w:spacing w:line="360" w:lineRule="auto"/>
            </w:pPr>
            <w:r>
              <w:rPr>
                <w:b/>
                <w:bCs/>
              </w:rPr>
              <w:t>检查内容</w:t>
            </w:r>
          </w:p>
        </w:tc>
        <w:tc>
          <w:tcPr>
            <w:tcW w:w="1867" w:type="dxa"/>
            <w:gridSpan w:val="2"/>
            <w:vAlign w:val="center"/>
          </w:tcPr>
          <w:p w14:paraId="35831ABC">
            <w:pPr>
              <w:pStyle w:val="178"/>
              <w:spacing w:line="360" w:lineRule="auto"/>
            </w:pPr>
            <w:r>
              <w:rPr>
                <w:b/>
                <w:bCs/>
              </w:rPr>
              <w:t>检查结果</w:t>
            </w:r>
          </w:p>
        </w:tc>
        <w:tc>
          <w:tcPr>
            <w:tcW w:w="1867" w:type="dxa"/>
            <w:vAlign w:val="center"/>
          </w:tcPr>
          <w:p w14:paraId="01A570DF">
            <w:pPr>
              <w:pStyle w:val="178"/>
              <w:spacing w:line="360" w:lineRule="auto"/>
            </w:pPr>
            <w:r>
              <w:rPr>
                <w:b/>
                <w:bCs/>
              </w:rPr>
              <w:t>问题描述</w:t>
            </w:r>
          </w:p>
        </w:tc>
        <w:tc>
          <w:tcPr>
            <w:tcW w:w="1867" w:type="dxa"/>
            <w:vAlign w:val="center"/>
          </w:tcPr>
          <w:p w14:paraId="42E7D4EE">
            <w:pPr>
              <w:pStyle w:val="178"/>
              <w:spacing w:line="360" w:lineRule="auto"/>
            </w:pPr>
            <w:r>
              <w:rPr>
                <w:b/>
                <w:bCs/>
              </w:rPr>
              <w:t>整改要求</w:t>
            </w:r>
          </w:p>
        </w:tc>
      </w:tr>
      <w:tr w14:paraId="1F91A4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0D329415">
            <w:pPr>
              <w:pStyle w:val="178"/>
              <w:spacing w:line="360" w:lineRule="auto"/>
            </w:pPr>
            <w:r>
              <w:t>1</w:t>
            </w:r>
          </w:p>
        </w:tc>
        <w:tc>
          <w:tcPr>
            <w:tcW w:w="2750" w:type="dxa"/>
            <w:vAlign w:val="center"/>
          </w:tcPr>
          <w:p w14:paraId="6867A9B1">
            <w:pPr>
              <w:pStyle w:val="178"/>
              <w:spacing w:line="360" w:lineRule="auto"/>
            </w:pPr>
            <w:r>
              <w:t>委托信息是否完整一致</w:t>
            </w:r>
          </w:p>
        </w:tc>
        <w:tc>
          <w:tcPr>
            <w:tcW w:w="1867" w:type="dxa"/>
            <w:gridSpan w:val="2"/>
            <w:vAlign w:val="center"/>
          </w:tcPr>
          <w:p w14:paraId="6BE5D0C0">
            <w:pPr>
              <w:pStyle w:val="178"/>
              <w:spacing w:line="360" w:lineRule="auto"/>
            </w:pPr>
            <w:r>
              <w:t>□符合 □不符合</w:t>
            </w:r>
          </w:p>
        </w:tc>
        <w:tc>
          <w:tcPr>
            <w:tcW w:w="1867" w:type="dxa"/>
            <w:vAlign w:val="center"/>
          </w:tcPr>
          <w:p w14:paraId="6A8653B4">
            <w:pPr>
              <w:pStyle w:val="178"/>
              <w:spacing w:line="360" w:lineRule="auto"/>
            </w:pPr>
          </w:p>
        </w:tc>
        <w:tc>
          <w:tcPr>
            <w:tcW w:w="1867" w:type="dxa"/>
            <w:vAlign w:val="center"/>
          </w:tcPr>
          <w:p w14:paraId="3E460745">
            <w:pPr>
              <w:pStyle w:val="178"/>
              <w:spacing w:line="360" w:lineRule="auto"/>
            </w:pPr>
          </w:p>
        </w:tc>
      </w:tr>
      <w:tr w14:paraId="1153DB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31648D2D">
            <w:pPr>
              <w:pStyle w:val="178"/>
              <w:spacing w:line="360" w:lineRule="auto"/>
            </w:pPr>
            <w:r>
              <w:t>2</w:t>
            </w:r>
          </w:p>
        </w:tc>
        <w:tc>
          <w:tcPr>
            <w:tcW w:w="2750" w:type="dxa"/>
            <w:vAlign w:val="center"/>
          </w:tcPr>
          <w:p w14:paraId="7988BA08">
            <w:pPr>
              <w:pStyle w:val="178"/>
              <w:spacing w:line="360" w:lineRule="auto"/>
            </w:pPr>
            <w:r>
              <w:t>样品标识是否唯一清晰</w:t>
            </w:r>
          </w:p>
        </w:tc>
        <w:tc>
          <w:tcPr>
            <w:tcW w:w="1867" w:type="dxa"/>
            <w:gridSpan w:val="2"/>
            <w:vAlign w:val="center"/>
          </w:tcPr>
          <w:p w14:paraId="0D55B813">
            <w:pPr>
              <w:pStyle w:val="178"/>
              <w:spacing w:line="360" w:lineRule="auto"/>
            </w:pPr>
            <w:r>
              <w:t>□符合 □不符合</w:t>
            </w:r>
          </w:p>
        </w:tc>
        <w:tc>
          <w:tcPr>
            <w:tcW w:w="1867" w:type="dxa"/>
            <w:vAlign w:val="center"/>
          </w:tcPr>
          <w:p w14:paraId="2C836B6C">
            <w:pPr>
              <w:pStyle w:val="178"/>
              <w:spacing w:line="360" w:lineRule="auto"/>
            </w:pPr>
          </w:p>
        </w:tc>
        <w:tc>
          <w:tcPr>
            <w:tcW w:w="1867" w:type="dxa"/>
            <w:vAlign w:val="center"/>
          </w:tcPr>
          <w:p w14:paraId="48BCE2C1">
            <w:pPr>
              <w:pStyle w:val="178"/>
              <w:spacing w:line="360" w:lineRule="auto"/>
            </w:pPr>
          </w:p>
        </w:tc>
      </w:tr>
      <w:tr w14:paraId="603429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59226C8E">
            <w:pPr>
              <w:pStyle w:val="178"/>
              <w:spacing w:line="360" w:lineRule="auto"/>
            </w:pPr>
            <w:r>
              <w:t>3</w:t>
            </w:r>
          </w:p>
        </w:tc>
        <w:tc>
          <w:tcPr>
            <w:tcW w:w="2750" w:type="dxa"/>
            <w:vAlign w:val="center"/>
          </w:tcPr>
          <w:p w14:paraId="18AB5D94">
            <w:pPr>
              <w:pStyle w:val="178"/>
              <w:spacing w:line="360" w:lineRule="auto"/>
            </w:pPr>
            <w:r>
              <w:t>原始记录是否完整</w:t>
            </w:r>
          </w:p>
        </w:tc>
        <w:tc>
          <w:tcPr>
            <w:tcW w:w="1867" w:type="dxa"/>
            <w:gridSpan w:val="2"/>
            <w:vAlign w:val="center"/>
          </w:tcPr>
          <w:p w14:paraId="0131B004">
            <w:pPr>
              <w:pStyle w:val="178"/>
              <w:spacing w:line="360" w:lineRule="auto"/>
            </w:pPr>
            <w:r>
              <w:t>□符合 □不符合</w:t>
            </w:r>
          </w:p>
        </w:tc>
        <w:tc>
          <w:tcPr>
            <w:tcW w:w="1867" w:type="dxa"/>
            <w:vAlign w:val="center"/>
          </w:tcPr>
          <w:p w14:paraId="6A3A343C">
            <w:pPr>
              <w:pStyle w:val="178"/>
              <w:spacing w:line="360" w:lineRule="auto"/>
            </w:pPr>
          </w:p>
        </w:tc>
        <w:tc>
          <w:tcPr>
            <w:tcW w:w="1867" w:type="dxa"/>
            <w:vAlign w:val="center"/>
          </w:tcPr>
          <w:p w14:paraId="55F2D722">
            <w:pPr>
              <w:pStyle w:val="178"/>
              <w:spacing w:line="360" w:lineRule="auto"/>
            </w:pPr>
          </w:p>
        </w:tc>
      </w:tr>
      <w:tr w14:paraId="66265C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4C37D0F1">
            <w:pPr>
              <w:pStyle w:val="178"/>
              <w:spacing w:line="360" w:lineRule="auto"/>
            </w:pPr>
            <w:r>
              <w:t>4</w:t>
            </w:r>
          </w:p>
        </w:tc>
        <w:tc>
          <w:tcPr>
            <w:tcW w:w="2750" w:type="dxa"/>
            <w:vAlign w:val="center"/>
          </w:tcPr>
          <w:p w14:paraId="14578179">
            <w:pPr>
              <w:pStyle w:val="178"/>
              <w:spacing w:line="360" w:lineRule="auto"/>
            </w:pPr>
            <w:r>
              <w:t>设备状态是否有效</w:t>
            </w:r>
          </w:p>
        </w:tc>
        <w:tc>
          <w:tcPr>
            <w:tcW w:w="1867" w:type="dxa"/>
            <w:gridSpan w:val="2"/>
            <w:vAlign w:val="center"/>
          </w:tcPr>
          <w:p w14:paraId="7C0EC337">
            <w:pPr>
              <w:pStyle w:val="178"/>
              <w:spacing w:line="360" w:lineRule="auto"/>
            </w:pPr>
            <w:r>
              <w:t>□符合 □不符合</w:t>
            </w:r>
          </w:p>
        </w:tc>
        <w:tc>
          <w:tcPr>
            <w:tcW w:w="1867" w:type="dxa"/>
            <w:vAlign w:val="center"/>
          </w:tcPr>
          <w:p w14:paraId="5D640107">
            <w:pPr>
              <w:pStyle w:val="178"/>
              <w:spacing w:line="360" w:lineRule="auto"/>
            </w:pPr>
          </w:p>
        </w:tc>
        <w:tc>
          <w:tcPr>
            <w:tcW w:w="1867" w:type="dxa"/>
            <w:vAlign w:val="center"/>
          </w:tcPr>
          <w:p w14:paraId="608840AF">
            <w:pPr>
              <w:pStyle w:val="178"/>
              <w:spacing w:line="360" w:lineRule="auto"/>
            </w:pPr>
          </w:p>
        </w:tc>
      </w:tr>
      <w:tr w14:paraId="26B4A1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68C7EAC1">
            <w:pPr>
              <w:pStyle w:val="178"/>
              <w:spacing w:line="360" w:lineRule="auto"/>
            </w:pPr>
            <w:r>
              <w:t>5</w:t>
            </w:r>
          </w:p>
        </w:tc>
        <w:tc>
          <w:tcPr>
            <w:tcW w:w="2750" w:type="dxa"/>
            <w:vAlign w:val="center"/>
          </w:tcPr>
          <w:p w14:paraId="5885D537">
            <w:pPr>
              <w:pStyle w:val="178"/>
              <w:spacing w:line="360" w:lineRule="auto"/>
            </w:pPr>
            <w:r>
              <w:t>环境条件是否满足要求</w:t>
            </w:r>
          </w:p>
        </w:tc>
        <w:tc>
          <w:tcPr>
            <w:tcW w:w="1867" w:type="dxa"/>
            <w:gridSpan w:val="2"/>
            <w:vAlign w:val="center"/>
          </w:tcPr>
          <w:p w14:paraId="2151766D">
            <w:pPr>
              <w:pStyle w:val="178"/>
              <w:spacing w:line="360" w:lineRule="auto"/>
            </w:pPr>
            <w:r>
              <w:t>□符合 □不符合</w:t>
            </w:r>
          </w:p>
        </w:tc>
        <w:tc>
          <w:tcPr>
            <w:tcW w:w="1867" w:type="dxa"/>
            <w:vAlign w:val="center"/>
          </w:tcPr>
          <w:p w14:paraId="4D38E619">
            <w:pPr>
              <w:pStyle w:val="178"/>
              <w:spacing w:line="360" w:lineRule="auto"/>
            </w:pPr>
          </w:p>
        </w:tc>
        <w:tc>
          <w:tcPr>
            <w:tcW w:w="1867" w:type="dxa"/>
            <w:vAlign w:val="center"/>
          </w:tcPr>
          <w:p w14:paraId="1AE03742">
            <w:pPr>
              <w:pStyle w:val="178"/>
              <w:spacing w:line="360" w:lineRule="auto"/>
            </w:pPr>
          </w:p>
        </w:tc>
      </w:tr>
      <w:tr w14:paraId="5C8E7E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7A998455">
            <w:pPr>
              <w:pStyle w:val="178"/>
              <w:spacing w:line="360" w:lineRule="auto"/>
            </w:pPr>
            <w:r>
              <w:t>6</w:t>
            </w:r>
          </w:p>
        </w:tc>
        <w:tc>
          <w:tcPr>
            <w:tcW w:w="2750" w:type="dxa"/>
            <w:vAlign w:val="center"/>
          </w:tcPr>
          <w:p w14:paraId="6E76AA69">
            <w:pPr>
              <w:pStyle w:val="178"/>
              <w:spacing w:line="360" w:lineRule="auto"/>
            </w:pPr>
            <w:r>
              <w:t>计算过程是否正确</w:t>
            </w:r>
          </w:p>
        </w:tc>
        <w:tc>
          <w:tcPr>
            <w:tcW w:w="1867" w:type="dxa"/>
            <w:gridSpan w:val="2"/>
            <w:vAlign w:val="center"/>
          </w:tcPr>
          <w:p w14:paraId="59746FF6">
            <w:pPr>
              <w:pStyle w:val="178"/>
              <w:spacing w:line="360" w:lineRule="auto"/>
            </w:pPr>
            <w:r>
              <w:t>□符合 □不符合</w:t>
            </w:r>
          </w:p>
        </w:tc>
        <w:tc>
          <w:tcPr>
            <w:tcW w:w="1867" w:type="dxa"/>
            <w:vAlign w:val="center"/>
          </w:tcPr>
          <w:p w14:paraId="62F806E8">
            <w:pPr>
              <w:pStyle w:val="178"/>
              <w:spacing w:line="360" w:lineRule="auto"/>
            </w:pPr>
          </w:p>
        </w:tc>
        <w:tc>
          <w:tcPr>
            <w:tcW w:w="1867" w:type="dxa"/>
            <w:vAlign w:val="center"/>
          </w:tcPr>
          <w:p w14:paraId="602DEA9D">
            <w:pPr>
              <w:pStyle w:val="178"/>
              <w:spacing w:line="360" w:lineRule="auto"/>
            </w:pPr>
          </w:p>
        </w:tc>
      </w:tr>
      <w:tr w14:paraId="18A83C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61900DB6">
            <w:pPr>
              <w:pStyle w:val="178"/>
              <w:spacing w:line="360" w:lineRule="auto"/>
            </w:pPr>
            <w:r>
              <w:t>7</w:t>
            </w:r>
          </w:p>
        </w:tc>
        <w:tc>
          <w:tcPr>
            <w:tcW w:w="2750" w:type="dxa"/>
            <w:vAlign w:val="center"/>
          </w:tcPr>
          <w:p w14:paraId="6E6AF2BB">
            <w:pPr>
              <w:pStyle w:val="178"/>
              <w:spacing w:line="360" w:lineRule="auto"/>
            </w:pPr>
            <w:r>
              <w:t>报告与原始记录是否一致</w:t>
            </w:r>
          </w:p>
        </w:tc>
        <w:tc>
          <w:tcPr>
            <w:tcW w:w="1867" w:type="dxa"/>
            <w:gridSpan w:val="2"/>
            <w:vAlign w:val="center"/>
          </w:tcPr>
          <w:p w14:paraId="17EED431">
            <w:pPr>
              <w:pStyle w:val="178"/>
              <w:spacing w:line="360" w:lineRule="auto"/>
            </w:pPr>
            <w:r>
              <w:t>□符合 □不符合</w:t>
            </w:r>
          </w:p>
        </w:tc>
        <w:tc>
          <w:tcPr>
            <w:tcW w:w="1867" w:type="dxa"/>
            <w:vAlign w:val="center"/>
          </w:tcPr>
          <w:p w14:paraId="404F10C7">
            <w:pPr>
              <w:pStyle w:val="178"/>
              <w:spacing w:line="360" w:lineRule="auto"/>
            </w:pPr>
          </w:p>
        </w:tc>
        <w:tc>
          <w:tcPr>
            <w:tcW w:w="1867" w:type="dxa"/>
            <w:vAlign w:val="center"/>
          </w:tcPr>
          <w:p w14:paraId="344365E1">
            <w:pPr>
              <w:pStyle w:val="178"/>
              <w:spacing w:line="360" w:lineRule="auto"/>
            </w:pPr>
          </w:p>
        </w:tc>
      </w:tr>
      <w:tr w14:paraId="64983C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0923440C">
            <w:pPr>
              <w:pStyle w:val="178"/>
              <w:spacing w:line="360" w:lineRule="auto"/>
            </w:pPr>
            <w:r>
              <w:t>8</w:t>
            </w:r>
          </w:p>
        </w:tc>
        <w:tc>
          <w:tcPr>
            <w:tcW w:w="2750" w:type="dxa"/>
            <w:vAlign w:val="center"/>
          </w:tcPr>
          <w:p w14:paraId="28F62C0B">
            <w:pPr>
              <w:pStyle w:val="178"/>
              <w:spacing w:line="360" w:lineRule="auto"/>
            </w:pPr>
            <w:r>
              <w:t>数据更正是否留痕</w:t>
            </w:r>
          </w:p>
        </w:tc>
        <w:tc>
          <w:tcPr>
            <w:tcW w:w="1867" w:type="dxa"/>
            <w:gridSpan w:val="2"/>
            <w:vAlign w:val="center"/>
          </w:tcPr>
          <w:p w14:paraId="070477DE">
            <w:pPr>
              <w:pStyle w:val="178"/>
              <w:spacing w:line="360" w:lineRule="auto"/>
            </w:pPr>
            <w:r>
              <w:t>□符合 □不符合</w:t>
            </w:r>
          </w:p>
        </w:tc>
        <w:tc>
          <w:tcPr>
            <w:tcW w:w="1867" w:type="dxa"/>
            <w:vAlign w:val="center"/>
          </w:tcPr>
          <w:p w14:paraId="51773944">
            <w:pPr>
              <w:pStyle w:val="178"/>
              <w:spacing w:line="360" w:lineRule="auto"/>
            </w:pPr>
          </w:p>
        </w:tc>
        <w:tc>
          <w:tcPr>
            <w:tcW w:w="1867" w:type="dxa"/>
            <w:vAlign w:val="center"/>
          </w:tcPr>
          <w:p w14:paraId="65DCD9B1">
            <w:pPr>
              <w:pStyle w:val="178"/>
              <w:spacing w:line="360" w:lineRule="auto"/>
            </w:pPr>
          </w:p>
        </w:tc>
      </w:tr>
      <w:tr w14:paraId="310687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3F43EBDA">
            <w:pPr>
              <w:pStyle w:val="178"/>
              <w:spacing w:line="360" w:lineRule="auto"/>
            </w:pPr>
            <w:r>
              <w:t>9</w:t>
            </w:r>
          </w:p>
        </w:tc>
        <w:tc>
          <w:tcPr>
            <w:tcW w:w="2750" w:type="dxa"/>
            <w:vAlign w:val="center"/>
          </w:tcPr>
          <w:p w14:paraId="2BBBE815">
            <w:pPr>
              <w:pStyle w:val="178"/>
              <w:spacing w:line="360" w:lineRule="auto"/>
            </w:pPr>
            <w:r>
              <w:t>电子日志是否完整</w:t>
            </w:r>
          </w:p>
        </w:tc>
        <w:tc>
          <w:tcPr>
            <w:tcW w:w="1867" w:type="dxa"/>
            <w:gridSpan w:val="2"/>
            <w:vAlign w:val="center"/>
          </w:tcPr>
          <w:p w14:paraId="62C337F5">
            <w:pPr>
              <w:pStyle w:val="178"/>
              <w:spacing w:line="360" w:lineRule="auto"/>
            </w:pPr>
            <w:r>
              <w:t>□符合 □不符合</w:t>
            </w:r>
          </w:p>
        </w:tc>
        <w:tc>
          <w:tcPr>
            <w:tcW w:w="1867" w:type="dxa"/>
            <w:vAlign w:val="center"/>
          </w:tcPr>
          <w:p w14:paraId="76469308">
            <w:pPr>
              <w:pStyle w:val="178"/>
              <w:spacing w:line="360" w:lineRule="auto"/>
            </w:pPr>
          </w:p>
        </w:tc>
        <w:tc>
          <w:tcPr>
            <w:tcW w:w="1867" w:type="dxa"/>
            <w:vAlign w:val="center"/>
          </w:tcPr>
          <w:p w14:paraId="0C83A2BB">
            <w:pPr>
              <w:pStyle w:val="178"/>
              <w:spacing w:line="360" w:lineRule="auto"/>
            </w:pPr>
          </w:p>
        </w:tc>
      </w:tr>
      <w:tr w14:paraId="357EA4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gridBefore w:val="1"/>
          <w:wBefore w:w="10" w:type="dxa"/>
          <w:jc w:val="center"/>
        </w:trPr>
        <w:tc>
          <w:tcPr>
            <w:tcW w:w="983" w:type="dxa"/>
            <w:vAlign w:val="center"/>
          </w:tcPr>
          <w:p w14:paraId="627A8A06">
            <w:pPr>
              <w:pStyle w:val="178"/>
              <w:spacing w:line="360" w:lineRule="auto"/>
            </w:pPr>
            <w:r>
              <w:t>10</w:t>
            </w:r>
          </w:p>
        </w:tc>
        <w:tc>
          <w:tcPr>
            <w:tcW w:w="2750" w:type="dxa"/>
            <w:vAlign w:val="center"/>
          </w:tcPr>
          <w:p w14:paraId="120DF940">
            <w:pPr>
              <w:pStyle w:val="178"/>
              <w:spacing w:line="360" w:lineRule="auto"/>
            </w:pPr>
            <w:r>
              <w:t>归档资料是否齐全</w:t>
            </w:r>
          </w:p>
        </w:tc>
        <w:tc>
          <w:tcPr>
            <w:tcW w:w="1867" w:type="dxa"/>
            <w:gridSpan w:val="2"/>
            <w:vAlign w:val="center"/>
          </w:tcPr>
          <w:p w14:paraId="3D1FC366">
            <w:pPr>
              <w:pStyle w:val="178"/>
              <w:spacing w:line="360" w:lineRule="auto"/>
            </w:pPr>
            <w:r>
              <w:t>□符合 □不符合</w:t>
            </w:r>
          </w:p>
        </w:tc>
        <w:tc>
          <w:tcPr>
            <w:tcW w:w="1867" w:type="dxa"/>
            <w:vAlign w:val="center"/>
          </w:tcPr>
          <w:p w14:paraId="0697EDE9">
            <w:pPr>
              <w:pStyle w:val="178"/>
              <w:spacing w:line="360" w:lineRule="auto"/>
            </w:pPr>
          </w:p>
        </w:tc>
        <w:tc>
          <w:tcPr>
            <w:tcW w:w="1867" w:type="dxa"/>
            <w:vAlign w:val="center"/>
          </w:tcPr>
          <w:p w14:paraId="0D8EAC8F">
            <w:pPr>
              <w:pStyle w:val="178"/>
              <w:spacing w:line="360" w:lineRule="auto"/>
            </w:pPr>
          </w:p>
        </w:tc>
      </w:tr>
    </w:tbl>
    <w:p w14:paraId="57E84BC2">
      <w:pPr>
        <w:pStyle w:val="211"/>
        <w:spacing w:before="120" w:beforeLines="50" w:line="360" w:lineRule="auto"/>
      </w:pPr>
      <w:r>
        <w:t>检查发现不符合项时，应形成整改记录。整改记录应包括问题原因、整改措施、责任人员、完成时间和验证结论。</w:t>
      </w:r>
    </w:p>
    <w:bookmarkEnd w:id="60"/>
    <w:p w14:paraId="2EEF887B">
      <w:pPr>
        <w:pStyle w:val="56"/>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bookmarkStart w:id="63" w:name="BookMark6"/>
    </w:p>
    <w:p w14:paraId="2C90B27E">
      <w:pPr>
        <w:pStyle w:val="63"/>
        <w:spacing w:after="120" w:line="360" w:lineRule="auto"/>
      </w:pPr>
      <w:bookmarkStart w:id="64" w:name="_Toc228620524"/>
      <w:r>
        <w:rPr>
          <w:rFonts w:hint="eastAsia"/>
          <w:spacing w:val="105"/>
        </w:rPr>
        <w:t>参考文</w:t>
      </w:r>
      <w:r>
        <w:rPr>
          <w:rFonts w:hint="eastAsia"/>
        </w:rPr>
        <w:t>献</w:t>
      </w:r>
      <w:bookmarkEnd w:id="64"/>
    </w:p>
    <w:p w14:paraId="78CEA3D8">
      <w:pPr>
        <w:pStyle w:val="56"/>
        <w:spacing w:line="360" w:lineRule="auto"/>
        <w:ind w:firstLine="420"/>
      </w:pPr>
      <w:r>
        <w:rPr>
          <w:rFonts w:hint="eastAsia"/>
        </w:rPr>
        <w:t>[1] GB/T 1.1—2020 标准化工作导则  第1部分：标准化文件的结构和起草规则</w:t>
      </w:r>
    </w:p>
    <w:p w14:paraId="2A70936D">
      <w:pPr>
        <w:pStyle w:val="56"/>
        <w:spacing w:line="360" w:lineRule="auto"/>
        <w:ind w:firstLine="420"/>
      </w:pPr>
      <w:r>
        <w:rPr>
          <w:rFonts w:hint="eastAsia"/>
        </w:rPr>
        <w:t>[2] GB/T 19001 质量管理体系  要求</w:t>
      </w:r>
    </w:p>
    <w:p w14:paraId="3BD47D1D">
      <w:pPr>
        <w:pStyle w:val="56"/>
        <w:spacing w:line="360" w:lineRule="auto"/>
        <w:ind w:firstLine="420"/>
      </w:pPr>
      <w:r>
        <w:rPr>
          <w:rFonts w:hint="eastAsia"/>
        </w:rPr>
        <w:t>[3] GB/T 27000 合格评定  词汇和通用原则</w:t>
      </w:r>
    </w:p>
    <w:p w14:paraId="61D08412">
      <w:pPr>
        <w:pStyle w:val="56"/>
        <w:spacing w:line="360" w:lineRule="auto"/>
        <w:ind w:firstLine="420"/>
      </w:pPr>
      <w:r>
        <w:rPr>
          <w:rFonts w:hint="eastAsia"/>
        </w:rPr>
        <w:t>[4] GB 50204 混凝土结构工程施工质量验收规范</w:t>
      </w:r>
    </w:p>
    <w:p w14:paraId="17678BC5">
      <w:pPr>
        <w:pStyle w:val="56"/>
        <w:spacing w:line="360" w:lineRule="auto"/>
        <w:ind w:firstLine="420"/>
      </w:pPr>
      <w:r>
        <w:rPr>
          <w:rFonts w:hint="eastAsia"/>
        </w:rPr>
        <w:t>[5] GB 50202 建筑地基基础工程施工质量验收标准</w:t>
      </w:r>
    </w:p>
    <w:p w14:paraId="58F2875E">
      <w:pPr>
        <w:pStyle w:val="56"/>
        <w:spacing w:line="360" w:lineRule="auto"/>
        <w:ind w:firstLine="420"/>
      </w:pPr>
      <w:r>
        <w:rPr>
          <w:rFonts w:hint="eastAsia"/>
        </w:rPr>
        <w:t>[6] JGJ/T 152 混凝土中钢筋检测技术标准</w:t>
      </w:r>
    </w:p>
    <w:bookmarkEnd w:id="63"/>
    <w:p w14:paraId="22A8937C">
      <w:pPr>
        <w:pStyle w:val="56"/>
        <w:ind w:firstLine="0" w:firstLineChars="0"/>
        <w:jc w:val="center"/>
      </w:pPr>
      <w:bookmarkStart w:id="65" w:name="BookMark8"/>
      <w:r>
        <w:drawing>
          <wp:inline distT="0" distB="0" distL="0" distR="0">
            <wp:extent cx="1485900" cy="317500"/>
            <wp:effectExtent l="0" t="0" r="0" b="6350"/>
            <wp:docPr id="829816720" name="图片 3"/>
            <wp:cNvGraphicFramePr/>
            <a:graphic xmlns:a="http://schemas.openxmlformats.org/drawingml/2006/main">
              <a:graphicData uri="http://schemas.openxmlformats.org/drawingml/2006/picture">
                <pic:pic xmlns:pic="http://schemas.openxmlformats.org/drawingml/2006/picture">
                  <pic:nvPicPr>
                    <pic:cNvPr id="829816720" name="图片 3"/>
                    <pic:cNvPicPr/>
                  </pic:nvPicPr>
                  <pic:blipFill>
                    <a:blip r:embed="rId4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5"/>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CCACF">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CF525">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6C26F">
    <w:pPr>
      <w:pStyle w:val="51"/>
    </w:pPr>
    <w:r>
      <w:fldChar w:fldCharType="begin"/>
    </w:r>
    <w:r>
      <w:instrText xml:space="preserve"> PAGE   \* MERGEFORMAT \* MERGEFORMAT </w:instrText>
    </w:r>
    <w:r>
      <w:fldChar w:fldCharType="separate"/>
    </w:r>
    <w:r>
      <w:t>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D15B7">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0DF35">
    <w:pPr>
      <w:pStyle w:val="51"/>
    </w:pPr>
    <w:r>
      <w:fldChar w:fldCharType="begin"/>
    </w:r>
    <w:r>
      <w:instrText xml:space="preserve"> PAGE   \* MERGEFORMAT \* MERGEFORMAT </w:instrText>
    </w:r>
    <w:r>
      <w:fldChar w:fldCharType="separate"/>
    </w:r>
    <w: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D1385">
    <w:pPr>
      <w:pStyle w:val="52"/>
    </w:pPr>
    <w:r>
      <w:fldChar w:fldCharType="begin"/>
    </w:r>
    <w:r>
      <w:instrText xml:space="preserve">PAGE   \* MERGEFORMAT</w:instrText>
    </w:r>
    <w:r>
      <w:fldChar w:fldCharType="separate"/>
    </w:r>
    <w:r>
      <w:rPr>
        <w:lang w:val="zh-CN"/>
      </w:rPr>
      <w:t>1</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89684">
    <w:pPr>
      <w:pStyle w:val="51"/>
    </w:pPr>
    <w:r>
      <w:fldChar w:fldCharType="begin"/>
    </w:r>
    <w:r>
      <w:instrText xml:space="preserve"> PAGE   \* MERGEFORMAT \* MERGEFORMAT </w:instrText>
    </w:r>
    <w:r>
      <w:fldChar w:fldCharType="separate"/>
    </w:r>
    <w: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AEB80">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D386D">
    <w:pPr>
      <w:pStyle w:val="51"/>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0272—2026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0272—2026</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83552">
    <w:pPr>
      <w:pStyle w:val="61"/>
      <w:rPr>
        <w:rFonts w:hint="eastAsia"/>
      </w:rPr>
    </w:pPr>
    <w:r>
      <w:fldChar w:fldCharType="begin"/>
    </w:r>
    <w:r>
      <w:instrText xml:space="preserve"> STYLEREF  标准文件_文件编号  \* MERGEFORMAT </w:instrText>
    </w:r>
    <w:r>
      <w:fldChar w:fldCharType="separate"/>
    </w:r>
    <w:r>
      <w:t>T/XZBX 0272—2026</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B8AEB">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0272—2026</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DE472">
    <w:pPr>
      <w:pStyle w:val="61"/>
      <w:rPr>
        <w:rFonts w:hint="eastAsia"/>
      </w:rPr>
    </w:pPr>
    <w:r>
      <w:fldChar w:fldCharType="begin"/>
    </w:r>
    <w:r>
      <w:instrText xml:space="preserve"> STYLEREF  标准文件_文件编号  \* MERGEFORMAT </w:instrText>
    </w:r>
    <w:r>
      <w:fldChar w:fldCharType="separate"/>
    </w:r>
    <w:r>
      <w:t>T/XZBX 0272—2026</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7E52E">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0272—2026</w:t>
    </w:r>
    <w:r>
      <w:rPr>
        <w:rFonts w:hint="eastAsia"/>
      </w:rP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BD776">
    <w:pPr>
      <w:pStyle w:val="61"/>
      <w:rPr>
        <w:rFonts w:hint="eastAsia"/>
      </w:rPr>
    </w:pPr>
    <w:r>
      <w:fldChar w:fldCharType="begin"/>
    </w:r>
    <w:r>
      <w:instrText xml:space="preserve"> STYLEREF  标准文件_文件编号  \* MERGEFORMAT </w:instrText>
    </w:r>
    <w:r>
      <w:fldChar w:fldCharType="separate"/>
    </w:r>
    <w:r>
      <w:t>T/XZBX 0272—2026</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CFAEC">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0272—2026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DF76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0272—2026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0272—2026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86036">
    <w:pPr>
      <w:pStyle w:val="61"/>
      <w:rPr>
        <w:rFonts w:hint="eastAsia"/>
      </w:rPr>
    </w:pPr>
    <w:r>
      <w:fldChar w:fldCharType="begin"/>
    </w:r>
    <w:r>
      <w:instrText xml:space="preserve"> STYLEREF  标准文件_文件编号  \* MERGEFORMAT </w:instrText>
    </w:r>
    <w:r>
      <w:fldChar w:fldCharType="separate"/>
    </w:r>
    <w:r>
      <w:t>T/XZBX 0272—2026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4F393">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0272—2026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0272—2026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0272—2026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1768D"/>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906"/>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51C6"/>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572C"/>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4A0"/>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D3C"/>
    <w:rsid w:val="00210B15"/>
    <w:rsid w:val="002142EA"/>
    <w:rsid w:val="00215ADD"/>
    <w:rsid w:val="002204BB"/>
    <w:rsid w:val="00221B79"/>
    <w:rsid w:val="00221C6B"/>
    <w:rsid w:val="002253A1"/>
    <w:rsid w:val="00225CF8"/>
    <w:rsid w:val="0022794E"/>
    <w:rsid w:val="00230EFA"/>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252C"/>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577"/>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4A4"/>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15E4"/>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281"/>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52F"/>
    <w:rsid w:val="00885A9D"/>
    <w:rsid w:val="008864F6"/>
    <w:rsid w:val="0089049D"/>
    <w:rsid w:val="008928C9"/>
    <w:rsid w:val="008930CB"/>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48A"/>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BD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926"/>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75C04"/>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4EB9"/>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36C"/>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B76A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1E54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8" Type="http://schemas.openxmlformats.org/officeDocument/2006/relationships/glossaryDocument" Target="glossary/document.xml"/><Relationship Id="rId47" Type="http://schemas.openxmlformats.org/officeDocument/2006/relationships/fontTable" Target="fontTable.xml"/><Relationship Id="rId46" Type="http://schemas.openxmlformats.org/officeDocument/2006/relationships/customXml" Target="../customXml/item2.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4.jpeg"/><Relationship Id="rId42" Type="http://schemas.openxmlformats.org/officeDocument/2006/relationships/image" Target="media/image3.pn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247F54EC">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56ED1267">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4BEBB77D">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1768D"/>
    <w:rsid w:val="0007358F"/>
    <w:rsid w:val="000E51C6"/>
    <w:rsid w:val="002E6AD9"/>
    <w:rsid w:val="003646F4"/>
    <w:rsid w:val="003F62CE"/>
    <w:rsid w:val="004524A4"/>
    <w:rsid w:val="004838F4"/>
    <w:rsid w:val="004A6324"/>
    <w:rsid w:val="004F15E4"/>
    <w:rsid w:val="005B18DA"/>
    <w:rsid w:val="005E4B5C"/>
    <w:rsid w:val="006141C6"/>
    <w:rsid w:val="00652769"/>
    <w:rsid w:val="00796662"/>
    <w:rsid w:val="008C0337"/>
    <w:rsid w:val="008E6778"/>
    <w:rsid w:val="009F3BDB"/>
    <w:rsid w:val="00A329C3"/>
    <w:rsid w:val="00A33EE8"/>
    <w:rsid w:val="00AA2819"/>
    <w:rsid w:val="00AE100B"/>
    <w:rsid w:val="00AE1DC6"/>
    <w:rsid w:val="00B1644D"/>
    <w:rsid w:val="00E76885"/>
    <w:rsid w:val="00F71FBF"/>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35</Pages>
  <Words>5403</Words>
  <Characters>5738</Characters>
  <Lines>837</Lines>
  <Paragraphs>721</Paragraphs>
  <TotalTime>199</TotalTime>
  <ScaleCrop>false</ScaleCrop>
  <LinksUpToDate>false</LinksUpToDate>
  <CharactersWithSpaces>5863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2026-05-19T06:18:32Z</dcterms:modified>
  <dc:title>团体标准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CBFB2A81C4904D409B817D5714CDDAB7_12</vt:lpwstr>
  </property>
</Properties>
</file>