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71.040.5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71.040.50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N 04"/>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N 04</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48"/>
            </w:textInput>
          </w:ffData>
        </w:fldChar>
      </w:r>
      <w:bookmarkStart w:id="6" w:name="NSTD_CODE_F"/>
      <w:r>
        <w:instrText xml:space="preserve"> FORMTEXT </w:instrText>
      </w:r>
      <w:r>
        <w:fldChar w:fldCharType="separate"/>
      </w:r>
      <w:r>
        <w:t>0248</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新型全氟化合物快速筛查与定量操作规范"/>
            </w:textInput>
          </w:ffData>
        </w:fldChar>
      </w:r>
      <w:bookmarkStart w:id="9" w:name="CSTD_NAME"/>
      <w:r>
        <w:rPr>
          <w:rFonts w:hint="eastAsia"/>
        </w:rPr>
        <w:instrText xml:space="preserve"> FORMTEXT </w:instrText>
      </w:r>
      <w:r>
        <w:rPr>
          <w:rFonts w:hint="eastAsia"/>
        </w:rPr>
        <w:fldChar w:fldCharType="separate"/>
      </w:r>
      <w:r>
        <w:rPr>
          <w:rFonts w:hint="eastAsia"/>
        </w:rPr>
        <w:t>新型全氟化合物快速筛查与定量操作规范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rapid screening and quantitative operation of novel perfluorinated compound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rapid screening and quantitative operation of novel perfluorinated compounds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0CB67BA8">
      <w:pPr>
        <w:pStyle w:val="91"/>
        <w:spacing w:after="360"/>
      </w:pPr>
      <w:bookmarkStart w:id="21" w:name="BookMark1"/>
      <w:r>
        <w:rPr>
          <w:rFonts w:hint="eastAsia"/>
          <w:spacing w:val="320"/>
        </w:rPr>
        <w:t>目</w:t>
      </w:r>
      <w:r>
        <w:rPr>
          <w:rFonts w:hint="eastAsia"/>
        </w:rPr>
        <w:t>次</w:t>
      </w:r>
    </w:p>
    <w:p w14:paraId="7F37223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"_Toc228436441"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_Toc228436441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0127EA0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_Toc228436442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34AC1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_Toc228436443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E952C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_Toc228436444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3184AB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_Toc228436445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5F74CC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_Toc228436446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B4A847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"_Toc228436447" </w:instrText>
      </w:r>
      <w:r>
        <w:fldChar w:fldCharType="separate"/>
      </w:r>
      <w:r>
        <w:rPr>
          <w:rStyle w:val="32"/>
        </w:rPr>
        <w:t>5  样品采集、保存与运输要求</w:t>
      </w:r>
      <w:r>
        <w:rPr>
          <w:rFonts w:hint="eastAsia"/>
        </w:rPr>
        <w:tab/>
      </w:r>
      <w:r>
        <w:rPr>
          <w:rFonts w:hint="eastAsia"/>
        </w:rPr>
        <w:fldChar w:fldCharType="begin"/>
      </w:r>
      <w:r>
        <w:rPr>
          <w:rFonts w:hint="eastAsia"/>
        </w:rPr>
        <w:instrText xml:space="preserve"> </w:instrText>
      </w:r>
      <w:r>
        <w:instrText xml:space="preserve">PAGEREF _Toc228436447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4C930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"_Toc228436448" </w:instrText>
      </w:r>
      <w:r>
        <w:fldChar w:fldCharType="separate"/>
      </w:r>
      <w:r>
        <w:rPr>
          <w:rStyle w:val="32"/>
        </w:rPr>
        <w:t>6  样品前处理要求</w:t>
      </w:r>
      <w:r>
        <w:rPr>
          <w:rFonts w:hint="eastAsia"/>
        </w:rPr>
        <w:tab/>
      </w:r>
      <w:r>
        <w:rPr>
          <w:rFonts w:hint="eastAsia"/>
        </w:rPr>
        <w:fldChar w:fldCharType="begin"/>
      </w:r>
      <w:r>
        <w:rPr>
          <w:rFonts w:hint="eastAsia"/>
        </w:rPr>
        <w:instrText xml:space="preserve"> </w:instrText>
      </w:r>
      <w:r>
        <w:instrText xml:space="preserve">PAGEREF _Toc228436448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543A7F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"_Toc228436449" </w:instrText>
      </w:r>
      <w:r>
        <w:fldChar w:fldCharType="separate"/>
      </w:r>
      <w:r>
        <w:rPr>
          <w:rStyle w:val="32"/>
        </w:rPr>
        <w:t>7  仪器分析要求</w:t>
      </w:r>
      <w:r>
        <w:rPr>
          <w:rFonts w:hint="eastAsia"/>
        </w:rPr>
        <w:tab/>
      </w:r>
      <w:r>
        <w:rPr>
          <w:rFonts w:hint="eastAsia"/>
        </w:rPr>
        <w:fldChar w:fldCharType="begin"/>
      </w:r>
      <w:r>
        <w:rPr>
          <w:rFonts w:hint="eastAsia"/>
        </w:rPr>
        <w:instrText xml:space="preserve"> </w:instrText>
      </w:r>
      <w:r>
        <w:instrText xml:space="preserve">PAGEREF _Toc228436449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2F8EEC5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"_Toc228436450" </w:instrText>
      </w:r>
      <w:r>
        <w:fldChar w:fldCharType="separate"/>
      </w:r>
      <w:r>
        <w:rPr>
          <w:rStyle w:val="32"/>
        </w:rPr>
        <w:t>8  质量保证与质量控制要求</w:t>
      </w:r>
      <w:r>
        <w:rPr>
          <w:rFonts w:hint="eastAsia"/>
        </w:rPr>
        <w:tab/>
      </w:r>
      <w:r>
        <w:rPr>
          <w:rFonts w:hint="eastAsia"/>
        </w:rPr>
        <w:fldChar w:fldCharType="begin"/>
      </w:r>
      <w:r>
        <w:rPr>
          <w:rFonts w:hint="eastAsia"/>
        </w:rPr>
        <w:instrText xml:space="preserve"> </w:instrText>
      </w:r>
      <w:r>
        <w:instrText xml:space="preserve">PAGEREF _Toc228436450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90DC85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"_Toc228436451" </w:instrText>
      </w:r>
      <w:r>
        <w:fldChar w:fldCharType="separate"/>
      </w:r>
      <w:r>
        <w:rPr>
          <w:rStyle w:val="32"/>
        </w:rPr>
        <w:t>9  数据处理、定性确认与定量计算要求</w:t>
      </w:r>
      <w:r>
        <w:rPr>
          <w:rFonts w:hint="eastAsia"/>
        </w:rPr>
        <w:tab/>
      </w:r>
      <w:r>
        <w:rPr>
          <w:rFonts w:hint="eastAsia"/>
        </w:rPr>
        <w:fldChar w:fldCharType="begin"/>
      </w:r>
      <w:r>
        <w:rPr>
          <w:rFonts w:hint="eastAsia"/>
        </w:rPr>
        <w:instrText xml:space="preserve"> </w:instrText>
      </w:r>
      <w:r>
        <w:instrText xml:space="preserve">PAGEREF _Toc228436451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40CC237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"_Toc228436452" </w:instrText>
      </w:r>
      <w:r>
        <w:fldChar w:fldCharType="separate"/>
      </w:r>
      <w:r>
        <w:rPr>
          <w:rStyle w:val="32"/>
        </w:rPr>
        <w:t>10  结果表示与报告要求</w:t>
      </w:r>
      <w:r>
        <w:rPr>
          <w:rFonts w:hint="eastAsia"/>
        </w:rPr>
        <w:tab/>
      </w:r>
      <w:r>
        <w:rPr>
          <w:rFonts w:hint="eastAsia"/>
        </w:rPr>
        <w:fldChar w:fldCharType="begin"/>
      </w:r>
      <w:r>
        <w:rPr>
          <w:rFonts w:hint="eastAsia"/>
        </w:rPr>
        <w:instrText xml:space="preserve"> </w:instrText>
      </w:r>
      <w:r>
        <w:instrText xml:space="preserve">PAGEREF _Toc228436452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7279BFA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"_Toc228436453" </w:instrText>
      </w:r>
      <w:r>
        <w:fldChar w:fldCharType="separate"/>
      </w:r>
      <w:r>
        <w:rPr>
          <w:rStyle w:val="32"/>
        </w:rPr>
        <w:t>11  安全、健康与废弃物处置要求</w:t>
      </w:r>
      <w:r>
        <w:rPr>
          <w:rFonts w:hint="eastAsia"/>
        </w:rPr>
        <w:tab/>
      </w:r>
      <w:r>
        <w:rPr>
          <w:rFonts w:hint="eastAsia"/>
        </w:rPr>
        <w:fldChar w:fldCharType="begin"/>
      </w:r>
      <w:r>
        <w:rPr>
          <w:rFonts w:hint="eastAsia"/>
        </w:rPr>
        <w:instrText xml:space="preserve"> </w:instrText>
      </w:r>
      <w:r>
        <w:instrText xml:space="preserve">PAGEREF _Toc228436453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3BB778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"_Toc228436454" </w:instrText>
      </w:r>
      <w:r>
        <w:fldChar w:fldCharType="separate"/>
      </w:r>
      <w:r>
        <w:rPr>
          <w:rStyle w:val="32"/>
        </w:rPr>
        <w:t>12  记录、档案与信息管理要求</w:t>
      </w:r>
      <w:r>
        <w:rPr>
          <w:rFonts w:hint="eastAsia"/>
        </w:rPr>
        <w:tab/>
      </w:r>
      <w:r>
        <w:rPr>
          <w:rFonts w:hint="eastAsia"/>
        </w:rPr>
        <w:fldChar w:fldCharType="begin"/>
      </w:r>
      <w:r>
        <w:rPr>
          <w:rFonts w:hint="eastAsia"/>
        </w:rPr>
        <w:instrText xml:space="preserve"> </w:instrText>
      </w:r>
      <w:r>
        <w:instrText xml:space="preserve">PAGEREF _Toc228436454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09E5B06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"_Toc228436455" </w:instrText>
      </w:r>
      <w:r>
        <w:fldChar w:fldCharType="separate"/>
      </w:r>
      <w:r>
        <w:rPr>
          <w:rStyle w:val="32"/>
        </w:rPr>
        <w:t>13  附则</w:t>
      </w:r>
      <w:r>
        <w:rPr>
          <w:rFonts w:hint="eastAsia"/>
        </w:rPr>
        <w:tab/>
      </w:r>
      <w:r>
        <w:rPr>
          <w:rFonts w:hint="eastAsia"/>
        </w:rPr>
        <w:fldChar w:fldCharType="begin"/>
      </w:r>
      <w:r>
        <w:rPr>
          <w:rFonts w:hint="eastAsia"/>
        </w:rPr>
        <w:instrText xml:space="preserve"> </w:instrText>
      </w:r>
      <w:r>
        <w:instrText xml:space="preserve">PAGEREF _Toc228436455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73DF9ED8">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43644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湖南省长沙生态环境监测中心</w:t>
      </w:r>
      <w:r>
        <w:rPr>
          <w:rFonts w:hint="eastAsia"/>
        </w:rPr>
        <w:t>。</w:t>
      </w: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茹赛红</w:t>
      </w:r>
      <w:bookmarkStart w:id="62" w:name="_GoBack"/>
      <w:bookmarkEnd w:id="62"/>
      <w:r>
        <w:rPr>
          <w:rFonts w:hint="eastAsia"/>
        </w:rPr>
        <w:t>。</w:t>
      </w:r>
    </w:p>
    <w:bookmarkEnd w:id="23"/>
    <w:p w14:paraId="66D0A2F3">
      <w:pPr>
        <w:pStyle w:val="89"/>
        <w:spacing w:after="360"/>
      </w:pPr>
      <w:bookmarkStart w:id="24" w:name="_Toc228436442"/>
      <w:bookmarkStart w:id="25" w:name="BookMark3"/>
      <w:r>
        <w:rPr>
          <w:spacing w:val="320"/>
        </w:rPr>
        <w:t>引</w:t>
      </w:r>
      <w:r>
        <w:t>言</w:t>
      </w:r>
      <w:bookmarkEnd w:id="24"/>
    </w:p>
    <w:p w14:paraId="11F5EAB2">
      <w:pPr>
        <w:pStyle w:val="56"/>
        <w:spacing w:line="360" w:lineRule="auto"/>
        <w:ind w:firstLine="420"/>
      </w:pPr>
      <w:r>
        <w:rPr>
          <w:rFonts w:hint="eastAsia"/>
        </w:rPr>
        <w:t>新型全氟化合物是一类具有持久性、迁移性、生物累积性或者潜在毒性特征的有机氟污染物，广泛存在于工业生产、消费品使用、环境介质迁移和废弃物处置等相关环节。随着传统全氟和多氟烷基物质逐步受到限制，结构类型多样、替代特征明显、环境行为复杂的新型全氟化合物不断出现，并在水体、土壤、沉积物、大气颗粒物、污泥、生物样品、食品接触材料和工业产品中被陆续检出。由于该类物质种类繁多、浓度水平低、基质干扰复杂、同系物和异构体识别难度较大，快速、准确和规范地开展筛查与定量分析，已成为环境监测、污染溯源、产品质量控制、风险评估和监管执法中的重要技术需求。</w:t>
      </w:r>
    </w:p>
    <w:p w14:paraId="0F068A49">
      <w:pPr>
        <w:pStyle w:val="56"/>
        <w:spacing w:line="360" w:lineRule="auto"/>
        <w:ind w:firstLine="420"/>
      </w:pPr>
      <w:r>
        <w:rPr>
          <w:rFonts w:hint="eastAsia"/>
        </w:rPr>
        <w:t>当前，新型全氟化合物分析工作正由单一靶向检测逐步向快速筛查与精准定量协同模式发展。高效液相色谱—串联质谱、超高效液相色谱—高分辨质谱、在线净化、自动进样、同位素内标校正、非靶向筛查和疑似筛查等技术在相关检测场景中持续应用，为提升新型全氟化合物识别能力和定量准确性提供了技术支撑。与此同时，不同实验室在样品采集、保存运输、前处理方式、空白控制、仪器条件设置、定性判别规则、定量校准方式、检出限确定、质量控制和结果报告等方面做法不一，部分检测活动仍存在目标物选择口径不统一、交叉污染控制不足、基质效应评估不充分、筛查结果确认规则不明确和实验过程可追溯性不足等问题，影响了检测结果的一致性、可比性和可靠性。</w:t>
      </w:r>
    </w:p>
    <w:p w14:paraId="0E8BF072">
      <w:pPr>
        <w:pStyle w:val="56"/>
        <w:spacing w:line="360" w:lineRule="auto"/>
        <w:ind w:firstLine="420"/>
      </w:pPr>
      <w:r>
        <w:rPr>
          <w:rFonts w:hint="eastAsia"/>
        </w:rPr>
        <w:t>为规范新型全氟化合物快速筛查与定量操作活动，统一样品管理、前处理操作、仪器分析、结果判定、质量保证和质量控制要求，提升检测工作的规范化和标准化水平，有必要制定本文件。本文件立足新型全氟化合物分析技术特点，围绕“样品采集与保存—实验准备—快速筛查—定性确认—定量分析—质量控制—结果审核—记录与报告”全过程，明确关键技术要求和操作要求，重点解决“筛查如何开展、定性如何确认、定量如何控制、污染如何防范、结果如何判定、数据如何留痕”等实际问题。</w:t>
      </w:r>
    </w:p>
    <w:p w14:paraId="2CFF51A8">
      <w:pPr>
        <w:pStyle w:val="56"/>
        <w:spacing w:line="360" w:lineRule="auto"/>
        <w:ind w:firstLine="420"/>
      </w:pPr>
      <w:r>
        <w:rPr>
          <w:rFonts w:hint="eastAsia"/>
        </w:rPr>
        <w:t>本文件强调，新型全氟化合物快速筛查与定量分析应坚持科学性、准确性、可重复性、可追溯性和污染防控并重原则，应根据样品基质类型、目标物特征、检测目的和方法适用范围，合理选择筛查策略、定量方法和质量控制措施。对饮用水源、地表水、地下水、污水、污泥、土壤、沉积物、生物组织和复杂工业样品等不同基质，应在保证代表性和准确性的前提下实施差异化处理，不得以单一前处理方式覆盖所有样品类型，也不得以快速筛查结果直接替代需要严格确认的定量结果。</w:t>
      </w:r>
    </w:p>
    <w:p w14:paraId="5CFE1C83">
      <w:pPr>
        <w:pStyle w:val="56"/>
        <w:spacing w:line="360" w:lineRule="auto"/>
        <w:ind w:firstLine="420"/>
      </w:pPr>
      <w:r>
        <w:rPr>
          <w:rFonts w:hint="eastAsia"/>
        </w:rPr>
        <w:t>本文件的制定，有助于提升新型全氟化合物检测活动的技术一致性和结果可比性，增强不同实验室之间数据衔接能力和质量控制水平；有助于提高对新型污染物的发现能力、识别能力和风险监测能力；有助于为生态环境监测、食品与产品安全评价、工业排放控制、污染源识别和风险管理提供统一技术依据；有助于推动新型全氟化合物检测工作向规范化、精细化和高质量发展方向持续提升。</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新型全氟化合物快速筛查与定量操作规范</w:t>
          </w:r>
        </w:p>
      </w:sdtContent>
    </w:sdt>
    <w:bookmarkEnd w:id="27"/>
    <w:p w14:paraId="3DB22445">
      <w:pPr>
        <w:pStyle w:val="104"/>
        <w:spacing w:before="240" w:after="240" w:line="360" w:lineRule="auto"/>
      </w:pPr>
      <w:bookmarkStart w:id="28" w:name="_Toc24884218"/>
      <w:bookmarkStart w:id="29" w:name="_Toc17233325"/>
      <w:bookmarkStart w:id="30" w:name="_Toc17233333"/>
      <w:bookmarkStart w:id="31" w:name="_Toc24884211"/>
      <w:bookmarkStart w:id="32" w:name="_Toc26718930"/>
      <w:bookmarkStart w:id="33" w:name="_Toc26986530"/>
      <w:bookmarkStart w:id="34" w:name="_Toc26648465"/>
      <w:bookmarkStart w:id="35" w:name="_Toc228436443"/>
      <w:bookmarkStart w:id="36" w:name="_Toc97192964"/>
      <w:bookmarkStart w:id="37" w:name="_Toc26986771"/>
      <w:r>
        <w:rPr>
          <w:rFonts w:hint="eastAsia"/>
        </w:rPr>
        <w:t>范围</w:t>
      </w:r>
      <w:bookmarkEnd w:id="28"/>
      <w:bookmarkEnd w:id="29"/>
      <w:bookmarkEnd w:id="30"/>
      <w:bookmarkEnd w:id="31"/>
      <w:bookmarkEnd w:id="32"/>
      <w:bookmarkEnd w:id="33"/>
      <w:bookmarkEnd w:id="34"/>
      <w:bookmarkEnd w:id="35"/>
      <w:bookmarkEnd w:id="36"/>
      <w:bookmarkEnd w:id="37"/>
    </w:p>
    <w:p w14:paraId="6F5BEC04">
      <w:pPr>
        <w:pStyle w:val="56"/>
        <w:spacing w:line="360" w:lineRule="auto"/>
        <w:ind w:firstLine="420"/>
      </w:pPr>
      <w:bookmarkStart w:id="38" w:name="_Toc26648466"/>
      <w:bookmarkStart w:id="39" w:name="_Toc17233326"/>
      <w:bookmarkStart w:id="40" w:name="_Toc17233334"/>
      <w:bookmarkStart w:id="41" w:name="_Toc24884212"/>
      <w:bookmarkStart w:id="42" w:name="_Toc24884219"/>
      <w:r>
        <w:rPr>
          <w:rFonts w:hint="eastAsia"/>
        </w:rPr>
        <w:t>本文件规定了新型全氟化合物快速筛查与定量分析的基本规定，样品采集、保存与运输要求，样品前处理要求，仪器分析要求，质量保证与质量控制要求，数据处理、定性确认与定量计算要求，结果表示与报告要求，安全、健康与废弃物处置要求及记录、档案与信息管理要求等要求。</w:t>
      </w:r>
    </w:p>
    <w:p w14:paraId="53350B5D">
      <w:pPr>
        <w:pStyle w:val="56"/>
        <w:spacing w:line="360" w:lineRule="auto"/>
        <w:ind w:firstLine="420"/>
      </w:pPr>
      <w:r>
        <w:rPr>
          <w:rFonts w:hint="eastAsia"/>
        </w:rPr>
        <w:t>本文件适用于地表水、地下水、饮用水、废水、海水、污泥、土壤、沉积物、生物组织及其他相关环境与产品样品中新型全氟化合物的快速筛查与定量分析。</w:t>
      </w:r>
    </w:p>
    <w:p w14:paraId="76265264">
      <w:pPr>
        <w:pStyle w:val="56"/>
        <w:spacing w:line="360" w:lineRule="auto"/>
        <w:ind w:firstLine="420"/>
      </w:pPr>
      <w:r>
        <w:rPr>
          <w:rFonts w:hint="eastAsia"/>
        </w:rPr>
        <w:t>本文件适用于采用液相色谱—质谱联用技术、高分辨质谱筛查技术及其相关前处理技术开展的新型全氟化合物分析活动。</w:t>
      </w:r>
    </w:p>
    <w:p w14:paraId="3733B2AD">
      <w:pPr>
        <w:pStyle w:val="104"/>
        <w:spacing w:before="240" w:after="240" w:line="360" w:lineRule="auto"/>
      </w:pPr>
      <w:bookmarkStart w:id="43" w:name="_Toc26718931"/>
      <w:bookmarkStart w:id="44" w:name="_Toc228436444"/>
      <w:bookmarkStart w:id="45" w:name="_Toc97192965"/>
      <w:bookmarkStart w:id="46" w:name="_Toc26986531"/>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4A6C0A">
      <w:pPr>
        <w:pStyle w:val="56"/>
        <w:spacing w:line="360" w:lineRule="auto"/>
        <w:ind w:firstLine="420"/>
      </w:pPr>
      <w:r>
        <w:rPr>
          <w:rFonts w:hint="eastAsia"/>
        </w:rPr>
        <w:t>GB/T 1.1—2020 标准化工作导则  第1部分：标准化文件的结构和起草规则</w:t>
      </w:r>
    </w:p>
    <w:p w14:paraId="07A7F860">
      <w:pPr>
        <w:pStyle w:val="56"/>
        <w:spacing w:line="360" w:lineRule="auto"/>
        <w:ind w:firstLine="420"/>
      </w:pPr>
      <w:r>
        <w:rPr>
          <w:rFonts w:hint="eastAsia"/>
        </w:rPr>
        <w:t>GB/T 6682 分析实验室用水规格和试验方法</w:t>
      </w:r>
    </w:p>
    <w:p w14:paraId="7292ABD9">
      <w:pPr>
        <w:pStyle w:val="56"/>
        <w:spacing w:line="360" w:lineRule="auto"/>
        <w:ind w:firstLine="420"/>
      </w:pPr>
      <w:r>
        <w:t>HJ 494 水质 采样技术指导</w:t>
      </w:r>
    </w:p>
    <w:p w14:paraId="46EC6894">
      <w:pPr>
        <w:pStyle w:val="56"/>
        <w:spacing w:line="360" w:lineRule="auto"/>
        <w:ind w:firstLine="420"/>
      </w:pPr>
      <w:r>
        <w:t>HJ/T 166 土壤环境监测技术规范</w:t>
      </w:r>
    </w:p>
    <w:p w14:paraId="51F02A4E">
      <w:pPr>
        <w:pStyle w:val="104"/>
        <w:spacing w:before="240" w:after="240" w:line="360" w:lineRule="auto"/>
      </w:pPr>
      <w:bookmarkStart w:id="48" w:name="_Toc97192966"/>
      <w:bookmarkStart w:id="49" w:name="_Toc228436445"/>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1E61D7E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新型全氟化合物 emerging perfluorinated compounds</w:t>
      </w:r>
    </w:p>
    <w:p w14:paraId="2AA4DF43">
      <w:pPr>
        <w:pStyle w:val="56"/>
        <w:spacing w:line="360" w:lineRule="auto"/>
        <w:ind w:firstLine="420"/>
      </w:pPr>
      <w:r>
        <w:rPr>
          <w:rFonts w:hint="eastAsia"/>
        </w:rPr>
        <w:t>相对于传统受广泛关注的全氟和多氟烷基化合物，在结构类型、应用场景、环境行为或者替代用途方面表现出新特征，并在环境、产品或者生物样品中具有检出可能性的有机氟化合物。</w:t>
      </w:r>
    </w:p>
    <w:p w14:paraId="007720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快速筛查 rapid screening</w:t>
      </w:r>
    </w:p>
    <w:p w14:paraId="75332214">
      <w:pPr>
        <w:pStyle w:val="56"/>
        <w:spacing w:line="360" w:lineRule="auto"/>
        <w:ind w:firstLine="420"/>
      </w:pPr>
      <w:r>
        <w:rPr>
          <w:rFonts w:hint="eastAsia"/>
        </w:rPr>
        <w:t>采用适宜的样品前处理方式和仪器分析条件，在较短时间内对样品中目标物、疑似目标物或者特征响应进行识别、初步判别和范围性评价的分析过程。</w:t>
      </w:r>
    </w:p>
    <w:p w14:paraId="236D621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定量分析 quantitative analysis</w:t>
      </w:r>
    </w:p>
    <w:p w14:paraId="36599CA5">
      <w:pPr>
        <w:pStyle w:val="56"/>
        <w:spacing w:line="360" w:lineRule="auto"/>
        <w:ind w:firstLine="420"/>
      </w:pPr>
      <w:r>
        <w:rPr>
          <w:rFonts w:hint="eastAsia"/>
        </w:rPr>
        <w:t>通过校准曲线、内标校正、同位素稀释或者其他适用方法，对样品中目标化合物含量进行测定并给出数值结果的分析过程。</w:t>
      </w:r>
    </w:p>
    <w:p w14:paraId="5EA6E30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目标物 target analyte</w:t>
      </w:r>
    </w:p>
    <w:p w14:paraId="43602E7A">
      <w:pPr>
        <w:pStyle w:val="56"/>
        <w:spacing w:line="360" w:lineRule="auto"/>
        <w:ind w:firstLine="420"/>
      </w:pPr>
      <w:r>
        <w:rPr>
          <w:rFonts w:hint="eastAsia"/>
        </w:rPr>
        <w:t>根据检测目的、方法范围、监管需求或者科研需求，预先设定并拟进行识别和测定的化合物。</w:t>
      </w:r>
    </w:p>
    <w:p w14:paraId="11FC609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定性确认 qualitative confirmation</w:t>
      </w:r>
    </w:p>
    <w:p w14:paraId="1A131917">
      <w:pPr>
        <w:pStyle w:val="56"/>
        <w:spacing w:line="360" w:lineRule="auto"/>
        <w:ind w:firstLine="420"/>
      </w:pPr>
      <w:r>
        <w:rPr>
          <w:rFonts w:hint="eastAsia"/>
        </w:rPr>
        <w:t>依据保留时间、母离子、特征子离子、离子对丰度比、精确质量、同位素分布和谱图匹配等信息，对化合物身份进行确认的过程。</w:t>
      </w:r>
    </w:p>
    <w:p w14:paraId="7587ACA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检出限 limit of detection</w:t>
      </w:r>
    </w:p>
    <w:p w14:paraId="70F6BD0F">
      <w:pPr>
        <w:pStyle w:val="56"/>
        <w:spacing w:line="360" w:lineRule="auto"/>
        <w:ind w:firstLine="420"/>
      </w:pPr>
      <w:r>
        <w:rPr>
          <w:rFonts w:hint="eastAsia"/>
        </w:rPr>
        <w:t>在规定试验条件下，方法能够检出但不一定能够准确定量的目标物最低含量或者最低浓度。</w:t>
      </w:r>
    </w:p>
    <w:p w14:paraId="3A539BB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测定下限 limit of quantification</w:t>
      </w:r>
    </w:p>
    <w:p w14:paraId="34891006">
      <w:pPr>
        <w:pStyle w:val="56"/>
        <w:spacing w:line="360" w:lineRule="auto"/>
        <w:ind w:firstLine="420"/>
      </w:pPr>
      <w:r>
        <w:rPr>
          <w:rFonts w:hint="eastAsia"/>
        </w:rPr>
        <w:t>在规定试验条件下，方法能够以可接受的准确度和精密度进行定量测定的目标物最低含量或者最低浓度。</w:t>
      </w:r>
    </w:p>
    <w:p w14:paraId="53428F3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基质效应 matrix effect</w:t>
      </w:r>
    </w:p>
    <w:p w14:paraId="3B7C775C">
      <w:pPr>
        <w:pStyle w:val="56"/>
        <w:spacing w:line="360" w:lineRule="auto"/>
        <w:ind w:firstLine="420"/>
      </w:pPr>
      <w:r>
        <w:rPr>
          <w:rFonts w:hint="eastAsia"/>
        </w:rPr>
        <w:t>样品中共存组分对目标物离子化效率、响应强度或者定量结果产生增强或者抑制影响的现象。</w:t>
      </w:r>
    </w:p>
    <w:p w14:paraId="7F8CFBF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同位素内标 isotope-labelled internal standard</w:t>
      </w:r>
    </w:p>
    <w:p w14:paraId="5EAAD98B">
      <w:pPr>
        <w:pStyle w:val="56"/>
        <w:spacing w:line="360" w:lineRule="auto"/>
        <w:ind w:firstLine="420"/>
      </w:pPr>
      <w:r>
        <w:rPr>
          <w:rFonts w:hint="eastAsia"/>
        </w:rPr>
        <w:t>与目标物结构相似或者相同、但含有稳定同位素标记并在样品前处理和仪器分析过程中用于校正损失、校正基质效应和提高定量准确性的内标物质。</w:t>
      </w:r>
    </w:p>
    <w:p w14:paraId="2C04060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方法空白 method blank</w:t>
      </w:r>
    </w:p>
    <w:p w14:paraId="3167839F">
      <w:pPr>
        <w:pStyle w:val="56"/>
        <w:spacing w:line="360" w:lineRule="auto"/>
        <w:ind w:firstLine="420"/>
      </w:pPr>
      <w:r>
        <w:rPr>
          <w:rFonts w:hint="eastAsia"/>
        </w:rPr>
        <w:t>在不加入实际样品的条件下，按照与样品相同的前处理、净化和分析步骤进行测试所获得的空白结果。</w:t>
      </w:r>
    </w:p>
    <w:p w14:paraId="3DE9E3A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实验室空白 laboratory blank</w:t>
      </w:r>
    </w:p>
    <w:p w14:paraId="50D04661">
      <w:pPr>
        <w:pStyle w:val="56"/>
        <w:spacing w:line="360" w:lineRule="auto"/>
        <w:ind w:firstLine="420"/>
      </w:pPr>
      <w:r>
        <w:rPr>
          <w:rFonts w:hint="eastAsia"/>
        </w:rPr>
        <w:t>用于反映实验室环境、试剂、器皿、耗材和操作过程带入污染情况的空白样品或者空白测试结果。</w:t>
      </w:r>
    </w:p>
    <w:p w14:paraId="720A123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平行样 parallel sample</w:t>
      </w:r>
    </w:p>
    <w:p w14:paraId="0768A218">
      <w:pPr>
        <w:pStyle w:val="56"/>
        <w:spacing w:line="360" w:lineRule="auto"/>
        <w:ind w:firstLine="420"/>
      </w:pPr>
      <w:r>
        <w:rPr>
          <w:rFonts w:hint="eastAsia"/>
        </w:rPr>
        <w:t>在相同条件下对同一样品分取两个或者两个以上子样，并分别独立完成前处理和分析，用于评价方法精密度和实验重复性的样品。</w:t>
      </w:r>
    </w:p>
    <w:p w14:paraId="292E3B2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加标回收率 spike recovery</w:t>
      </w:r>
    </w:p>
    <w:p w14:paraId="6DA0AB79">
      <w:pPr>
        <w:pStyle w:val="56"/>
        <w:spacing w:line="360" w:lineRule="auto"/>
        <w:ind w:firstLine="420"/>
      </w:pPr>
      <w:r>
        <w:rPr>
          <w:rFonts w:hint="eastAsia"/>
        </w:rPr>
        <w:t>向实际样品或者空白基质中加入已知量目标物后，经完整分析过程测得回收结果与加标量之间比值的百分数。</w:t>
      </w:r>
    </w:p>
    <w:p w14:paraId="180947C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特征离子 characteristic ion</w:t>
      </w:r>
    </w:p>
    <w:p w14:paraId="37132FE0">
      <w:pPr>
        <w:pStyle w:val="56"/>
        <w:spacing w:line="360" w:lineRule="auto"/>
        <w:ind w:firstLine="420"/>
      </w:pPr>
      <w:r>
        <w:rPr>
          <w:rFonts w:hint="eastAsia"/>
        </w:rPr>
        <w:t>在质谱分析中可用于目标物识别、确认或者定量的母离子、子离子或者精确质量离子。</w:t>
      </w:r>
    </w:p>
    <w:p w14:paraId="6F42E8A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质控样 quality control sample</w:t>
      </w:r>
    </w:p>
    <w:p w14:paraId="11ED0D72">
      <w:pPr>
        <w:pStyle w:val="56"/>
        <w:spacing w:line="360" w:lineRule="auto"/>
        <w:ind w:firstLine="420"/>
      </w:pPr>
      <w:r>
        <w:rPr>
          <w:rFonts w:hint="eastAsia"/>
        </w:rPr>
        <w:t>用于评价分析方法准确性、精密度、稳定性和全过程受控状态的样品，包括空白样、平行样、加标样、实验室控制样和校准核查样等。</w:t>
      </w:r>
    </w:p>
    <w:p w14:paraId="754F4720">
      <w:pPr>
        <w:pStyle w:val="104"/>
        <w:spacing w:before="240" w:after="240" w:line="360" w:lineRule="auto"/>
      </w:pPr>
      <w:bookmarkStart w:id="51" w:name="_Toc228436446"/>
      <w:r>
        <w:rPr>
          <w:rFonts w:hint="eastAsia"/>
        </w:rPr>
        <w:t>基本规定</w:t>
      </w:r>
      <w:bookmarkEnd w:id="51"/>
    </w:p>
    <w:p w14:paraId="7B2DB691">
      <w:pPr>
        <w:pStyle w:val="105"/>
        <w:spacing w:before="120" w:after="120" w:line="360" w:lineRule="auto"/>
      </w:pPr>
      <w:r>
        <w:rPr>
          <w:rFonts w:hint="eastAsia"/>
        </w:rPr>
        <w:t>总体要求</w:t>
      </w:r>
    </w:p>
    <w:p w14:paraId="5E5F44D9">
      <w:pPr>
        <w:pStyle w:val="165"/>
        <w:spacing w:line="360" w:lineRule="auto"/>
      </w:pPr>
      <w:r>
        <w:rPr>
          <w:rFonts w:hint="eastAsia"/>
        </w:rPr>
        <w:t>新型全氟化合物快速筛查与定量分析应遵循科学、准确、灵敏、可重复、可追溯和防污染并重的原则。</w:t>
      </w:r>
    </w:p>
    <w:p w14:paraId="605F849D">
      <w:pPr>
        <w:pStyle w:val="165"/>
        <w:spacing w:line="360" w:lineRule="auto"/>
      </w:pPr>
      <w:r>
        <w:rPr>
          <w:rFonts w:hint="eastAsia"/>
        </w:rPr>
        <w:t>新型全氟化合物快速筛查与定量分析应根据检测目的、样品基质、目标物特征、方法适用范围和质量控制要求选择适宜的技术路线，不得脱离样品特性和分析目的盲目套用单一方法。</w:t>
      </w:r>
    </w:p>
    <w:p w14:paraId="0943051C">
      <w:pPr>
        <w:pStyle w:val="165"/>
        <w:spacing w:line="360" w:lineRule="auto"/>
      </w:pPr>
      <w:r>
        <w:rPr>
          <w:rFonts w:hint="eastAsia"/>
        </w:rPr>
        <w:t>本文件所规定的快速筛查结果可用于目标物初筛、风险识别、样品分层和后续定量分析判定依据的建立；对需要形成正式定量结论、监管判定结论或者比对性结论的样品，不得仅以快速筛查结果替代定量分析结果。</w:t>
      </w:r>
    </w:p>
    <w:p w14:paraId="6FC19704">
      <w:pPr>
        <w:pStyle w:val="165"/>
        <w:spacing w:line="360" w:lineRule="auto"/>
      </w:pPr>
      <w:r>
        <w:rPr>
          <w:rFonts w:hint="eastAsia"/>
        </w:rPr>
        <w:t>分析活动应覆盖样品采集、样品保存、样品前处理、仪器分析、数据处理、定性确认、定量计算、质量控制、结果审核和记录归档全过程，并应形成完整留痕。</w:t>
      </w:r>
    </w:p>
    <w:p w14:paraId="4402D3EC">
      <w:pPr>
        <w:pStyle w:val="165"/>
        <w:spacing w:line="360" w:lineRule="auto"/>
      </w:pPr>
      <w:r>
        <w:rPr>
          <w:rFonts w:hint="eastAsia"/>
        </w:rPr>
        <w:t>对饮用水源、环境敏感区域样品、污染事故样品、复杂工业样品和争议性样品，应实施重点质量控制，不得简化关键操作环节。</w:t>
      </w:r>
    </w:p>
    <w:p w14:paraId="0CC3FF98">
      <w:pPr>
        <w:pStyle w:val="165"/>
        <w:spacing w:line="360" w:lineRule="auto"/>
      </w:pPr>
      <w:r>
        <w:rPr>
          <w:rFonts w:hint="eastAsia"/>
        </w:rPr>
        <w:t>分析过程中涉及目标物选择、内标选择、定性判据、定量方式、检出限控制、结果修约和异常数据处理等关键技术环节时，应有明确依据，不得凭经验随意调整。</w:t>
      </w:r>
    </w:p>
    <w:p w14:paraId="37B42BA9">
      <w:pPr>
        <w:pStyle w:val="165"/>
        <w:spacing w:line="360" w:lineRule="auto"/>
      </w:pPr>
      <w:r>
        <w:rPr>
          <w:rFonts w:hint="eastAsia"/>
        </w:rPr>
        <w:t>任何单位和人员不得伪造、篡改、选择性舍弃原始分析数据，不得以重做样品、覆盖文件或者删除原记录方式掩盖分析异常。</w:t>
      </w:r>
    </w:p>
    <w:p w14:paraId="77D6EB77">
      <w:pPr>
        <w:pStyle w:val="105"/>
        <w:spacing w:before="120" w:after="120" w:line="360" w:lineRule="auto"/>
      </w:pPr>
      <w:r>
        <w:rPr>
          <w:rFonts w:hint="eastAsia"/>
        </w:rPr>
        <w:t>方法选择要求</w:t>
      </w:r>
    </w:p>
    <w:p w14:paraId="211B18D9">
      <w:pPr>
        <w:pStyle w:val="165"/>
        <w:spacing w:line="360" w:lineRule="auto"/>
      </w:pPr>
      <w:r>
        <w:rPr>
          <w:rFonts w:hint="eastAsia"/>
        </w:rPr>
        <w:t>方法选择应与目标物理化学性质、样品基质特征、浓度范围、干扰程度和检测目的相适应。</w:t>
      </w:r>
    </w:p>
    <w:p w14:paraId="1C828272">
      <w:pPr>
        <w:pStyle w:val="165"/>
        <w:spacing w:line="360" w:lineRule="auto"/>
      </w:pPr>
      <w:r>
        <w:rPr>
          <w:rFonts w:hint="eastAsia"/>
        </w:rPr>
        <w:t>采用快速筛查方法时，应明确筛查对象范围、筛查判定规则和后续确认路径；未明确判定规则的，不得直接实施正式筛查。</w:t>
      </w:r>
    </w:p>
    <w:p w14:paraId="1C3F49B3">
      <w:pPr>
        <w:pStyle w:val="165"/>
        <w:spacing w:line="360" w:lineRule="auto"/>
      </w:pPr>
      <w:r>
        <w:rPr>
          <w:rFonts w:hint="eastAsia"/>
        </w:rPr>
        <w:t>采用定量分析方法时，应明确目标物清单、内标体系、校准方式、定量范围和质量控制指标。</w:t>
      </w:r>
    </w:p>
    <w:p w14:paraId="35FD6E21">
      <w:pPr>
        <w:pStyle w:val="165"/>
        <w:spacing w:line="360" w:lineRule="auto"/>
      </w:pPr>
      <w:r>
        <w:rPr>
          <w:rFonts w:hint="eastAsia"/>
        </w:rPr>
        <w:t>对下列情形之一，宜采用高分辨质谱筛查、疑似筛查或者靶向与非靶向结合策略：</w:t>
      </w:r>
    </w:p>
    <w:p w14:paraId="71ABA855">
      <w:pPr>
        <w:pStyle w:val="56"/>
        <w:spacing w:line="360" w:lineRule="auto"/>
        <w:ind w:firstLine="420"/>
      </w:pPr>
      <w:r>
        <w:rPr>
          <w:rFonts w:hint="eastAsia"/>
        </w:rPr>
        <w:t>a）目标物种类不明确；</w:t>
      </w:r>
    </w:p>
    <w:p w14:paraId="6165B9B1">
      <w:pPr>
        <w:pStyle w:val="56"/>
        <w:spacing w:line="360" w:lineRule="auto"/>
        <w:ind w:firstLine="420"/>
      </w:pPr>
      <w:r>
        <w:rPr>
          <w:rFonts w:hint="eastAsia"/>
        </w:rPr>
        <w:t>b）样品来源复杂且污染谱未知；</w:t>
      </w:r>
    </w:p>
    <w:p w14:paraId="16919C09">
      <w:pPr>
        <w:pStyle w:val="56"/>
        <w:spacing w:line="360" w:lineRule="auto"/>
        <w:ind w:firstLine="420"/>
      </w:pPr>
      <w:r>
        <w:rPr>
          <w:rFonts w:hint="eastAsia"/>
        </w:rPr>
        <w:t>c）疑似存在新型替代化合物；</w:t>
      </w:r>
    </w:p>
    <w:p w14:paraId="6B1BCBDA">
      <w:pPr>
        <w:pStyle w:val="56"/>
        <w:spacing w:line="360" w:lineRule="auto"/>
        <w:ind w:firstLine="420"/>
      </w:pPr>
      <w:r>
        <w:rPr>
          <w:rFonts w:hint="eastAsia"/>
        </w:rPr>
        <w:t>d）常规靶向分析结果难以解释实际污染特征；</w:t>
      </w:r>
    </w:p>
    <w:p w14:paraId="2258F1D3">
      <w:pPr>
        <w:pStyle w:val="56"/>
        <w:spacing w:line="360" w:lineRule="auto"/>
        <w:ind w:firstLine="420"/>
      </w:pPr>
      <w:r>
        <w:rPr>
          <w:rFonts w:hint="eastAsia"/>
        </w:rPr>
        <w:t>e）需开展污染溯源或者特征指纹分析。</w:t>
      </w:r>
    </w:p>
    <w:p w14:paraId="7F33A57E">
      <w:pPr>
        <w:pStyle w:val="165"/>
        <w:spacing w:line="360" w:lineRule="auto"/>
      </w:pPr>
      <w:r>
        <w:rPr>
          <w:rFonts w:hint="eastAsia"/>
        </w:rPr>
        <w:t>对已明确目标物、需获得定量结果或者需进行实验室间结果比对的样品，宜优先采用经验证的靶向定量方法。</w:t>
      </w:r>
    </w:p>
    <w:p w14:paraId="4CAA3138">
      <w:pPr>
        <w:pStyle w:val="165"/>
        <w:spacing w:line="360" w:lineRule="auto"/>
      </w:pPr>
      <w:r>
        <w:rPr>
          <w:rFonts w:hint="eastAsia"/>
        </w:rPr>
        <w:t>同一批样品同时开展快速筛查和定量分析时，应明确两类方法之间的衔接关系，不得因方法切换导致样品编号、批次信息或者前处理状态失配。</w:t>
      </w:r>
    </w:p>
    <w:p w14:paraId="00C9D05F">
      <w:pPr>
        <w:pStyle w:val="165"/>
        <w:spacing w:line="360" w:lineRule="auto"/>
      </w:pPr>
      <w:r>
        <w:rPr>
          <w:rFonts w:hint="eastAsia"/>
        </w:rPr>
        <w:t>对采用改进方法、自建方法或者实验室内部方法开展分析的，应完成方法确认或者方法验证后方可用于正式分析。</w:t>
      </w:r>
    </w:p>
    <w:p w14:paraId="3DCDBD5D">
      <w:pPr>
        <w:pStyle w:val="105"/>
        <w:spacing w:before="120" w:after="120" w:line="360" w:lineRule="auto"/>
      </w:pPr>
      <w:r>
        <w:rPr>
          <w:rFonts w:hint="eastAsia"/>
        </w:rPr>
        <w:t>实验环境与污染防控要求</w:t>
      </w:r>
    </w:p>
    <w:p w14:paraId="5AF09F7F">
      <w:pPr>
        <w:pStyle w:val="165"/>
        <w:spacing w:line="360" w:lineRule="auto"/>
      </w:pPr>
      <w:r>
        <w:rPr>
          <w:rFonts w:hint="eastAsia"/>
        </w:rPr>
        <w:t>开展新型全氟化合物分析的实验区域应实施分区管理，宜至少划分为试剂准备区、样品前处理区、仪器分析区和数据处理区。</w:t>
      </w:r>
    </w:p>
    <w:p w14:paraId="5EBEF984">
      <w:pPr>
        <w:pStyle w:val="165"/>
        <w:spacing w:line="360" w:lineRule="auto"/>
      </w:pPr>
      <w:r>
        <w:rPr>
          <w:rFonts w:hint="eastAsia"/>
        </w:rPr>
        <w:t>不同实验区域之间应采取防交叉污染措施；高浓度标准溶液配制区、高浓度样品处理区和痕量分析区不得无控制混用。</w:t>
      </w:r>
    </w:p>
    <w:p w14:paraId="79ABF925">
      <w:pPr>
        <w:pStyle w:val="165"/>
        <w:spacing w:line="360" w:lineRule="auto"/>
      </w:pPr>
      <w:r>
        <w:rPr>
          <w:rFonts w:hint="eastAsia"/>
        </w:rPr>
        <w:t>实验环境中使用的器皿、管路、密封件、滤膜、取样器具和其他耗材应优先选择不含聚四氟乙烯或者其他可能引入有机氟背景污染材料的产品；确需使用相关材料时，应进行空白验证。</w:t>
      </w:r>
    </w:p>
    <w:p w14:paraId="749F4B72">
      <w:pPr>
        <w:pStyle w:val="165"/>
        <w:spacing w:line="360" w:lineRule="auto"/>
      </w:pPr>
      <w:r>
        <w:rPr>
          <w:rFonts w:hint="eastAsia"/>
        </w:rPr>
        <w:t>样品处理、标准品配制和痕量分析过程中，不得使用未经空白核查的含氟防粘材料、防水涂层耗材或者来源不明实验耗材。</w:t>
      </w:r>
    </w:p>
    <w:p w14:paraId="0ABB3914">
      <w:pPr>
        <w:pStyle w:val="165"/>
        <w:spacing w:line="360" w:lineRule="auto"/>
      </w:pPr>
      <w:r>
        <w:rPr>
          <w:rFonts w:hint="eastAsia"/>
        </w:rPr>
        <w:t>实验用水、甲醇、乙腈、酸、缓冲盐和其他试剂应满足痕量分析要求；空白值不满足要求的，不得用于正式分析。</w:t>
      </w:r>
    </w:p>
    <w:p w14:paraId="74463432">
      <w:pPr>
        <w:pStyle w:val="165"/>
        <w:spacing w:line="360" w:lineRule="auto"/>
      </w:pPr>
      <w:r>
        <w:rPr>
          <w:rFonts w:hint="eastAsia"/>
        </w:rPr>
        <w:t>实验室应建立背景污染监控机制。对长期存在本底异常、空白波动明显或者重复出现特定目标物背景污染的，应查明来源并采取整改措施。</w:t>
      </w:r>
    </w:p>
    <w:p w14:paraId="68B7D6D3">
      <w:pPr>
        <w:pStyle w:val="165"/>
        <w:spacing w:line="360" w:lineRule="auto"/>
      </w:pPr>
      <w:r>
        <w:rPr>
          <w:rFonts w:hint="eastAsia"/>
        </w:rPr>
        <w:t>仪器进样系统、管路系统、样品瓶、移液器、固相萃取装置和样品浓缩装置应定期清洗和检查；存在残留污染风险的，不得直接用于下一批样品分析。</w:t>
      </w:r>
    </w:p>
    <w:p w14:paraId="345A38AC">
      <w:pPr>
        <w:pStyle w:val="105"/>
        <w:spacing w:before="120" w:after="120" w:line="360" w:lineRule="auto"/>
      </w:pPr>
      <w:r>
        <w:rPr>
          <w:rFonts w:hint="eastAsia"/>
        </w:rPr>
        <w:t>人员要求</w:t>
      </w:r>
    </w:p>
    <w:p w14:paraId="311824F3">
      <w:pPr>
        <w:pStyle w:val="165"/>
        <w:spacing w:line="360" w:lineRule="auto"/>
      </w:pPr>
      <w:r>
        <w:rPr>
          <w:rFonts w:hint="eastAsia"/>
        </w:rPr>
        <w:t>从事新型全氟化合物快速筛查与定量分析的人员应具备相应专业知识、仪器操作能力、数据判读能力和质量控制能力。</w:t>
      </w:r>
    </w:p>
    <w:p w14:paraId="0224FBCA">
      <w:pPr>
        <w:pStyle w:val="165"/>
        <w:spacing w:line="360" w:lineRule="auto"/>
      </w:pPr>
      <w:r>
        <w:rPr>
          <w:rFonts w:hint="eastAsia"/>
        </w:rPr>
        <w:t>分析人员应熟悉目标物基本性质、样品前处理方法、质谱判读规则、污染防控要求和异常情况处置要求。</w:t>
      </w:r>
    </w:p>
    <w:p w14:paraId="193A53E5">
      <w:pPr>
        <w:pStyle w:val="165"/>
        <w:spacing w:line="360" w:lineRule="auto"/>
      </w:pPr>
      <w:r>
        <w:rPr>
          <w:rFonts w:hint="eastAsia"/>
        </w:rPr>
        <w:t>从事样品前处理、仪器分析、结果计算、质量审核和报告签发的人员职责应明确，不得由不具备相应能力的人员独立承担关键分析环节。</w:t>
      </w:r>
    </w:p>
    <w:p w14:paraId="44408A20">
      <w:pPr>
        <w:pStyle w:val="165"/>
        <w:spacing w:line="360" w:lineRule="auto"/>
      </w:pPr>
      <w:r>
        <w:rPr>
          <w:rFonts w:hint="eastAsia"/>
        </w:rPr>
        <w:t>新上岗人员、转岗人员和临时参与人员不得在无人指导和无人审核条件下独立开展正式样品分析。</w:t>
      </w:r>
    </w:p>
    <w:p w14:paraId="40D63A70">
      <w:pPr>
        <w:pStyle w:val="165"/>
        <w:spacing w:line="360" w:lineRule="auto"/>
      </w:pPr>
      <w:r>
        <w:rPr>
          <w:rFonts w:hint="eastAsia"/>
        </w:rPr>
        <w:t>数据审核人员应熟悉定性确认规则、定量计算逻辑、质控判定要求和异常数据识别方法，不得以形式性审核替代技术审核。</w:t>
      </w:r>
    </w:p>
    <w:p w14:paraId="32696B8B">
      <w:pPr>
        <w:pStyle w:val="105"/>
        <w:spacing w:before="120" w:after="120" w:line="360" w:lineRule="auto"/>
      </w:pPr>
      <w:r>
        <w:rPr>
          <w:rFonts w:hint="eastAsia"/>
        </w:rPr>
        <w:t>试剂、材料与标准物质要求</w:t>
      </w:r>
    </w:p>
    <w:p w14:paraId="322D8217">
      <w:pPr>
        <w:pStyle w:val="165"/>
        <w:spacing w:line="360" w:lineRule="auto"/>
      </w:pPr>
      <w:r>
        <w:rPr>
          <w:rFonts w:hint="eastAsia"/>
        </w:rPr>
        <w:t>标准物质、内标物质、替代物和质控物质应来源明确、标识完整并在有效期内使用。</w:t>
      </w:r>
    </w:p>
    <w:p w14:paraId="56874EA6">
      <w:pPr>
        <w:pStyle w:val="165"/>
        <w:spacing w:line="360" w:lineRule="auto"/>
      </w:pPr>
      <w:r>
        <w:rPr>
          <w:rFonts w:hint="eastAsia"/>
        </w:rPr>
        <w:t>标准储备液、标准工作液、内标工作液和混合校准液应按规定条件配制、保存和使用，并应记录配制人员、配制日期、批号、浓度和有效期。</w:t>
      </w:r>
    </w:p>
    <w:p w14:paraId="17F03038">
      <w:pPr>
        <w:pStyle w:val="165"/>
        <w:spacing w:line="360" w:lineRule="auto"/>
      </w:pPr>
      <w:r>
        <w:rPr>
          <w:rFonts w:hint="eastAsia"/>
        </w:rPr>
        <w:t>不同浓度级别标准溶液应分类存放；高浓度标准溶液不得与低浓度工作液混放、混用或者共用器具未经处理直接转用。</w:t>
      </w:r>
    </w:p>
    <w:p w14:paraId="0586EF76">
      <w:pPr>
        <w:pStyle w:val="165"/>
        <w:spacing w:line="360" w:lineRule="auto"/>
      </w:pPr>
      <w:r>
        <w:rPr>
          <w:rFonts w:hint="eastAsia"/>
        </w:rPr>
        <w:t>实验用滤膜、样品瓶、离心管、移液枪头、针式过滤器、提取柱和净化柱等耗材在正式使用前宜进行空白核查。</w:t>
      </w:r>
    </w:p>
    <w:p w14:paraId="3D22CD81">
      <w:pPr>
        <w:pStyle w:val="165"/>
        <w:spacing w:line="360" w:lineRule="auto"/>
      </w:pPr>
      <w:r>
        <w:rPr>
          <w:rFonts w:hint="eastAsia"/>
        </w:rPr>
        <w:t>对批次变更的关键试剂、耗材和标准物质，应进行必要的适用性核查；核查不符合要求的，不得直接替代使用。</w:t>
      </w:r>
    </w:p>
    <w:p w14:paraId="6169B549">
      <w:pPr>
        <w:pStyle w:val="105"/>
        <w:spacing w:before="120" w:after="120" w:line="360" w:lineRule="auto"/>
      </w:pPr>
      <w:r>
        <w:rPr>
          <w:rFonts w:hint="eastAsia"/>
        </w:rPr>
        <w:t>仪器设备要求</w:t>
      </w:r>
    </w:p>
    <w:p w14:paraId="0E550356">
      <w:pPr>
        <w:pStyle w:val="165"/>
        <w:spacing w:line="360" w:lineRule="auto"/>
      </w:pPr>
      <w:r>
        <w:rPr>
          <w:rFonts w:hint="eastAsia"/>
        </w:rPr>
        <w:t>用于快速筛查与定量分析的液相色谱、质谱仪、自动进样器、样品浓缩装置、固相萃取装置、离心设备和其他辅助设备应处于完好状态。</w:t>
      </w:r>
    </w:p>
    <w:p w14:paraId="0126F817">
      <w:pPr>
        <w:pStyle w:val="165"/>
        <w:spacing w:line="360" w:lineRule="auto"/>
      </w:pPr>
      <w:r>
        <w:rPr>
          <w:rFonts w:hint="eastAsia"/>
        </w:rPr>
        <w:t>仪器设备应按规定进行检定、校准或者期间核查，并应在有效状态下使用。</w:t>
      </w:r>
    </w:p>
    <w:p w14:paraId="073688B7">
      <w:pPr>
        <w:pStyle w:val="165"/>
        <w:spacing w:line="360" w:lineRule="auto"/>
      </w:pPr>
      <w:r>
        <w:rPr>
          <w:rFonts w:hint="eastAsia"/>
        </w:rPr>
        <w:t>仪器分析前应完成系统适用性检查。系统适用性检查至少应包括仪器响应、保留时间稳定性、峰形、基线状态、质量数准确性或者离子对响应一致性等内容。</w:t>
      </w:r>
    </w:p>
    <w:p w14:paraId="5207AEA2">
      <w:pPr>
        <w:pStyle w:val="165"/>
        <w:spacing w:line="360" w:lineRule="auto"/>
      </w:pPr>
      <w:r>
        <w:rPr>
          <w:rFonts w:hint="eastAsia"/>
        </w:rPr>
        <w:t>仪器设备存在下列情形之一时，不得用于正式样品分析：</w:t>
      </w:r>
    </w:p>
    <w:p w14:paraId="68833935">
      <w:pPr>
        <w:pStyle w:val="56"/>
        <w:spacing w:line="360" w:lineRule="auto"/>
        <w:ind w:firstLine="420"/>
      </w:pPr>
      <w:r>
        <w:rPr>
          <w:rFonts w:hint="eastAsia"/>
        </w:rPr>
        <w:t>a）系统适用性不符合要求；</w:t>
      </w:r>
    </w:p>
    <w:p w14:paraId="0D3684D1">
      <w:pPr>
        <w:pStyle w:val="56"/>
        <w:spacing w:line="360" w:lineRule="auto"/>
        <w:ind w:firstLine="420"/>
      </w:pPr>
      <w:r>
        <w:rPr>
          <w:rFonts w:hint="eastAsia"/>
        </w:rPr>
        <w:t>b）灵敏度明显下降；</w:t>
      </w:r>
    </w:p>
    <w:p w14:paraId="7F92023D">
      <w:pPr>
        <w:pStyle w:val="56"/>
        <w:spacing w:line="360" w:lineRule="auto"/>
        <w:ind w:firstLine="420"/>
      </w:pPr>
      <w:r>
        <w:rPr>
          <w:rFonts w:hint="eastAsia"/>
        </w:rPr>
        <w:t>c）保留时间漂移超出方法允许范围；</w:t>
      </w:r>
    </w:p>
    <w:p w14:paraId="1F6CE6D5">
      <w:pPr>
        <w:pStyle w:val="56"/>
        <w:spacing w:line="360" w:lineRule="auto"/>
        <w:ind w:firstLine="420"/>
      </w:pPr>
      <w:r>
        <w:rPr>
          <w:rFonts w:hint="eastAsia"/>
        </w:rPr>
        <w:t>d）离子响应异常；</w:t>
      </w:r>
    </w:p>
    <w:p w14:paraId="2FE038D8">
      <w:pPr>
        <w:pStyle w:val="56"/>
        <w:spacing w:line="360" w:lineRule="auto"/>
        <w:ind w:firstLine="420"/>
      </w:pPr>
      <w:r>
        <w:rPr>
          <w:rFonts w:hint="eastAsia"/>
        </w:rPr>
        <w:t>e）本底污染明显升高；</w:t>
      </w:r>
    </w:p>
    <w:p w14:paraId="47F18A8A">
      <w:pPr>
        <w:pStyle w:val="56"/>
        <w:spacing w:line="360" w:lineRule="auto"/>
        <w:ind w:firstLine="420"/>
      </w:pPr>
      <w:r>
        <w:rPr>
          <w:rFonts w:hint="eastAsia"/>
        </w:rPr>
        <w:t>f）自动进样或者采集系统运行异常；</w:t>
      </w:r>
    </w:p>
    <w:p w14:paraId="5EB9834B">
      <w:pPr>
        <w:pStyle w:val="56"/>
        <w:spacing w:line="360" w:lineRule="auto"/>
        <w:ind w:firstLine="420"/>
      </w:pPr>
      <w:r>
        <w:rPr>
          <w:rFonts w:hint="eastAsia"/>
        </w:rPr>
        <w:t>g）关键部件失效或者状态不明。</w:t>
      </w:r>
    </w:p>
    <w:p w14:paraId="18E6F02D">
      <w:pPr>
        <w:pStyle w:val="165"/>
        <w:spacing w:line="360" w:lineRule="auto"/>
      </w:pPr>
      <w:r>
        <w:rPr>
          <w:rFonts w:hint="eastAsia"/>
        </w:rPr>
        <w:t>仪器维护、清洗、更换配件和参数调整应形成记录，并应评估其对结果可比性的影响。</w:t>
      </w:r>
    </w:p>
    <w:p w14:paraId="71064780">
      <w:pPr>
        <w:pStyle w:val="105"/>
        <w:spacing w:before="120" w:after="120" w:line="360" w:lineRule="auto"/>
      </w:pPr>
      <w:r>
        <w:rPr>
          <w:rFonts w:hint="eastAsia"/>
        </w:rPr>
        <w:t>样品管理要求</w:t>
      </w:r>
    </w:p>
    <w:p w14:paraId="16EB35CB">
      <w:pPr>
        <w:pStyle w:val="165"/>
        <w:spacing w:line="360" w:lineRule="auto"/>
      </w:pPr>
      <w:r>
        <w:rPr>
          <w:rFonts w:hint="eastAsia"/>
        </w:rPr>
        <w:t>样品应具有代表性，样品采集、转运、接收、保存、分样、前处理和分析全过程应保持样品身份唯一和状态受控。</w:t>
      </w:r>
    </w:p>
    <w:p w14:paraId="1377363B">
      <w:pPr>
        <w:pStyle w:val="165"/>
        <w:spacing w:line="360" w:lineRule="auto"/>
      </w:pPr>
      <w:r>
        <w:rPr>
          <w:rFonts w:hint="eastAsia"/>
        </w:rPr>
        <w:t>样品编号应唯一，并应与采样记录、交接记录、前处理记录、仪器序列、原始数据文件和结果报告保持一致。</w:t>
      </w:r>
    </w:p>
    <w:p w14:paraId="3BAE1088">
      <w:pPr>
        <w:pStyle w:val="165"/>
        <w:spacing w:line="360" w:lineRule="auto"/>
      </w:pPr>
      <w:r>
        <w:rPr>
          <w:rFonts w:hint="eastAsia"/>
        </w:rPr>
        <w:t>样品接收时应核查样品类型、包装状态、采样容器、保存条件、样品数量、标签信息和伴随文件；信息不完整或者状态异常的样品应单独登记并按规定处置。</w:t>
      </w:r>
    </w:p>
    <w:p w14:paraId="2FD2FF2D">
      <w:pPr>
        <w:pStyle w:val="165"/>
        <w:spacing w:line="360" w:lineRule="auto"/>
      </w:pPr>
      <w:r>
        <w:rPr>
          <w:rFonts w:hint="eastAsia"/>
        </w:rPr>
        <w:t>样品保存条件应与样品基质和目标物特征相适应；不符合温度、避光、密封或者保存时限要求的样品，不得直接进入正式分析程序。</w:t>
      </w:r>
    </w:p>
    <w:p w14:paraId="6B50ED65">
      <w:pPr>
        <w:pStyle w:val="165"/>
        <w:spacing w:line="360" w:lineRule="auto"/>
      </w:pPr>
      <w:r>
        <w:rPr>
          <w:rFonts w:hint="eastAsia"/>
        </w:rPr>
        <w:t>样品分样、均质、过滤、提取、净化和浓缩过程中应防止交叉污染、目标物损失和状态改变。</w:t>
      </w:r>
    </w:p>
    <w:p w14:paraId="73F9C8E7">
      <w:pPr>
        <w:pStyle w:val="165"/>
        <w:spacing w:line="360" w:lineRule="auto"/>
      </w:pPr>
      <w:r>
        <w:rPr>
          <w:rFonts w:hint="eastAsia"/>
        </w:rPr>
        <w:t>高浓度样品、疑似高污染样品和事故样品宜单独处理，并应与常规痕量样品分批或者分区操作。</w:t>
      </w:r>
    </w:p>
    <w:p w14:paraId="38F1AF1D">
      <w:pPr>
        <w:pStyle w:val="165"/>
        <w:spacing w:line="360" w:lineRule="auto"/>
      </w:pPr>
      <w:r>
        <w:rPr>
          <w:rFonts w:hint="eastAsia"/>
        </w:rPr>
        <w:t>样品前处理顺序宜按照空白样、低浓度样、常规样和高浓度样顺序安排；必要时应穿插空白监控。</w:t>
      </w:r>
    </w:p>
    <w:p w14:paraId="343FD417">
      <w:pPr>
        <w:pStyle w:val="105"/>
        <w:spacing w:before="120" w:after="120" w:line="360" w:lineRule="auto"/>
      </w:pPr>
      <w:r>
        <w:rPr>
          <w:rFonts w:hint="eastAsia"/>
        </w:rPr>
        <w:t>快速筛查与定量分析基本要求</w:t>
      </w:r>
    </w:p>
    <w:p w14:paraId="29F561DA">
      <w:pPr>
        <w:pStyle w:val="165"/>
        <w:spacing w:line="360" w:lineRule="auto"/>
      </w:pPr>
      <w:r>
        <w:rPr>
          <w:rFonts w:hint="eastAsia"/>
        </w:rPr>
        <w:t>快速筛查应在明确筛查规则、筛查目标和筛查判定逻辑后实施。</w:t>
      </w:r>
    </w:p>
    <w:p w14:paraId="313D7740">
      <w:pPr>
        <w:pStyle w:val="165"/>
        <w:spacing w:line="360" w:lineRule="auto"/>
      </w:pPr>
      <w:r>
        <w:rPr>
          <w:rFonts w:hint="eastAsia"/>
        </w:rPr>
        <w:t>快速筛查结果应至少区分未检出、疑似检出和确认检出三类状态；未完成确认前，不得将疑似检出结果直接作为正式定量结论。</w:t>
      </w:r>
    </w:p>
    <w:p w14:paraId="18D02EE7">
      <w:pPr>
        <w:pStyle w:val="165"/>
        <w:spacing w:line="360" w:lineRule="auto"/>
      </w:pPr>
      <w:r>
        <w:rPr>
          <w:rFonts w:hint="eastAsia"/>
        </w:rPr>
        <w:t>定量分析应采用经确认适用的校准方式。对基质效应明显的样品，应优先采用同位素内标校正、基质匹配校准或者其他适宜方式。</w:t>
      </w:r>
    </w:p>
    <w:p w14:paraId="02B388BC">
      <w:pPr>
        <w:pStyle w:val="165"/>
        <w:spacing w:line="360" w:lineRule="auto"/>
      </w:pPr>
      <w:r>
        <w:rPr>
          <w:rFonts w:hint="eastAsia"/>
        </w:rPr>
        <w:t>目标物响应超出校准范围时，应按规定进行稀释、重新进样或者重新制备；不得直接外推计算正式结果。</w:t>
      </w:r>
    </w:p>
    <w:p w14:paraId="2D921C10">
      <w:pPr>
        <w:pStyle w:val="165"/>
        <w:spacing w:line="360" w:lineRule="auto"/>
      </w:pPr>
      <w:r>
        <w:rPr>
          <w:rFonts w:hint="eastAsia"/>
        </w:rPr>
        <w:t>采用多离子对监测或者高分辨精确质量监测时，应按方法要求设置定量离子、定性离子、允许偏差和确认规则。</w:t>
      </w:r>
    </w:p>
    <w:p w14:paraId="38A52E6F">
      <w:pPr>
        <w:pStyle w:val="165"/>
        <w:spacing w:line="360" w:lineRule="auto"/>
      </w:pPr>
      <w:r>
        <w:rPr>
          <w:rFonts w:hint="eastAsia"/>
        </w:rPr>
        <w:t>同一批样品中若出现异常峰形、离子比异常、保留时间异常、精确质量偏差异常或者明显基质干扰，应进行复核，不得直接报告结果。</w:t>
      </w:r>
    </w:p>
    <w:p w14:paraId="1268577D">
      <w:pPr>
        <w:pStyle w:val="105"/>
        <w:spacing w:before="120" w:after="120" w:line="360" w:lineRule="auto"/>
      </w:pPr>
      <w:r>
        <w:rPr>
          <w:rFonts w:hint="eastAsia"/>
        </w:rPr>
        <w:t>质量保证与质量控制要求</w:t>
      </w:r>
    </w:p>
    <w:p w14:paraId="0393EC78">
      <w:pPr>
        <w:pStyle w:val="165"/>
        <w:spacing w:line="360" w:lineRule="auto"/>
      </w:pPr>
      <w:r>
        <w:rPr>
          <w:rFonts w:hint="eastAsia"/>
        </w:rPr>
        <w:t>实验室应建立覆盖采样、接样、前处理、分析、计算、审核和报告全过程的质量保证与质量控制体系。</w:t>
      </w:r>
    </w:p>
    <w:p w14:paraId="1DC2C9DE">
      <w:pPr>
        <w:pStyle w:val="165"/>
        <w:spacing w:line="360" w:lineRule="auto"/>
      </w:pPr>
      <w:r>
        <w:rPr>
          <w:rFonts w:hint="eastAsia"/>
        </w:rPr>
        <w:t>每批样品分析均应设置必要的质量控制样，质量控制样至少宜包括方法空白、实验室空白、平行样、加标样、校准核查样和必要的实验室控制样。</w:t>
      </w:r>
    </w:p>
    <w:p w14:paraId="7087CAB1">
      <w:pPr>
        <w:pStyle w:val="165"/>
        <w:spacing w:line="360" w:lineRule="auto"/>
      </w:pPr>
      <w:r>
        <w:rPr>
          <w:rFonts w:hint="eastAsia"/>
        </w:rPr>
        <w:t>质控样设置数量和频次应与样品数量、样品复杂程度、方法要求和风险程度相适应；重点样品批次应提高质控频次。</w:t>
      </w:r>
    </w:p>
    <w:p w14:paraId="250E8668">
      <w:pPr>
        <w:pStyle w:val="165"/>
        <w:spacing w:line="360" w:lineRule="auto"/>
      </w:pPr>
      <w:r>
        <w:rPr>
          <w:rFonts w:hint="eastAsia"/>
        </w:rPr>
        <w:t>空白样中目标物检出达到或者超过规定控制要求时，应暂停结果判定并查明污染来源。</w:t>
      </w:r>
    </w:p>
    <w:p w14:paraId="77E952B3">
      <w:pPr>
        <w:pStyle w:val="165"/>
        <w:spacing w:line="360" w:lineRule="auto"/>
      </w:pPr>
      <w:r>
        <w:rPr>
          <w:rFonts w:hint="eastAsia"/>
        </w:rPr>
        <w:t>平行样重复性、加标回收率和校准核查结果不符合方法要求时，应分析原因，并对受影响样品重新处理或者重新分析。</w:t>
      </w:r>
    </w:p>
    <w:p w14:paraId="74EBB103">
      <w:pPr>
        <w:pStyle w:val="165"/>
        <w:spacing w:line="360" w:lineRule="auto"/>
      </w:pPr>
      <w:r>
        <w:rPr>
          <w:rFonts w:hint="eastAsia"/>
        </w:rPr>
        <w:t>对首次开展的新基质样品、新目标物样品、新方法样品或者疑难样品，应增加质控措施。</w:t>
      </w:r>
    </w:p>
    <w:p w14:paraId="49D68571">
      <w:pPr>
        <w:pStyle w:val="165"/>
        <w:spacing w:line="360" w:lineRule="auto"/>
      </w:pPr>
      <w:r>
        <w:rPr>
          <w:rFonts w:hint="eastAsia"/>
        </w:rPr>
        <w:t>质量控制结果应纳入结果审核依据；质控不合格的数据不得直接出具正式结果。</w:t>
      </w:r>
    </w:p>
    <w:p w14:paraId="74F135C4">
      <w:pPr>
        <w:pStyle w:val="105"/>
        <w:spacing w:before="120" w:after="120" w:line="360" w:lineRule="auto"/>
      </w:pPr>
      <w:r>
        <w:rPr>
          <w:rFonts w:hint="eastAsia"/>
        </w:rPr>
        <w:t>数据处理与结果判定要求</w:t>
      </w:r>
    </w:p>
    <w:p w14:paraId="316F865D">
      <w:pPr>
        <w:pStyle w:val="165"/>
        <w:spacing w:line="360" w:lineRule="auto"/>
      </w:pPr>
      <w:r>
        <w:rPr>
          <w:rFonts w:hint="eastAsia"/>
        </w:rPr>
        <w:t>数据处理应基于原始数据文件、仪器积分结果、校准数据和质控数据进行，不得脱离原始数据手工编造或者修改分析结果。</w:t>
      </w:r>
    </w:p>
    <w:p w14:paraId="0C42BD2C">
      <w:pPr>
        <w:pStyle w:val="165"/>
        <w:spacing w:line="360" w:lineRule="auto"/>
      </w:pPr>
      <w:r>
        <w:rPr>
          <w:rFonts w:hint="eastAsia"/>
        </w:rPr>
        <w:t>峰识别、积分调整、保留时间匹配、离子比核查和定量计算应按照统一规则执行；积分规则不得针对个别样品随意改变。</w:t>
      </w:r>
    </w:p>
    <w:p w14:paraId="3A7C5EA6">
      <w:pPr>
        <w:pStyle w:val="165"/>
        <w:spacing w:line="360" w:lineRule="auto"/>
      </w:pPr>
      <w:r>
        <w:rPr>
          <w:rFonts w:hint="eastAsia"/>
        </w:rPr>
        <w:t>对筛查结果的定性判定应依据预设的判别标准执行，不得仅凭单一离子响应或者单一谱图特征作出确认结论。</w:t>
      </w:r>
    </w:p>
    <w:p w14:paraId="6DA5DD2F">
      <w:pPr>
        <w:pStyle w:val="165"/>
        <w:spacing w:line="360" w:lineRule="auto"/>
      </w:pPr>
      <w:r>
        <w:rPr>
          <w:rFonts w:hint="eastAsia"/>
        </w:rPr>
        <w:t>对定量结果的有效数字、单位换算和数值修约，应按相关规定执行。</w:t>
      </w:r>
    </w:p>
    <w:p w14:paraId="5742D21C">
      <w:pPr>
        <w:pStyle w:val="165"/>
        <w:spacing w:line="360" w:lineRule="auto"/>
      </w:pPr>
      <w:r>
        <w:rPr>
          <w:rFonts w:hint="eastAsia"/>
        </w:rPr>
        <w:t>当结果低于检出限、介于检出限与测定下限之间或者高于校准上限时，应按规定方式表述，不得以不规范形式报告。</w:t>
      </w:r>
    </w:p>
    <w:p w14:paraId="01DD3C5B">
      <w:pPr>
        <w:pStyle w:val="165"/>
        <w:spacing w:line="360" w:lineRule="auto"/>
      </w:pPr>
      <w:r>
        <w:rPr>
          <w:rFonts w:hint="eastAsia"/>
        </w:rPr>
        <w:t>数据处理过程中的原始文件、处理文件、计算表和审核记录应妥善保存，并应可追溯。</w:t>
      </w:r>
    </w:p>
    <w:p w14:paraId="6CF24DE1">
      <w:pPr>
        <w:pStyle w:val="105"/>
        <w:spacing w:before="120" w:after="120" w:line="360" w:lineRule="auto"/>
      </w:pPr>
      <w:r>
        <w:rPr>
          <w:rFonts w:hint="eastAsia"/>
        </w:rPr>
        <w:t>异常情况处置要求</w:t>
      </w:r>
    </w:p>
    <w:p w14:paraId="4A3CE15E">
      <w:pPr>
        <w:pStyle w:val="165"/>
        <w:spacing w:line="360" w:lineRule="auto"/>
      </w:pPr>
      <w:r>
        <w:rPr>
          <w:rFonts w:hint="eastAsia"/>
        </w:rPr>
        <w:t>分析过程中出现下列情形之一时，应判定为异常情况并启动处置程序：</w:t>
      </w:r>
    </w:p>
    <w:p w14:paraId="66876A6A">
      <w:pPr>
        <w:pStyle w:val="56"/>
        <w:spacing w:line="360" w:lineRule="auto"/>
        <w:ind w:firstLine="420"/>
      </w:pPr>
      <w:r>
        <w:rPr>
          <w:rFonts w:hint="eastAsia"/>
        </w:rPr>
        <w:t>a）样品容器破损或者标签错误；</w:t>
      </w:r>
    </w:p>
    <w:p w14:paraId="740A58B8">
      <w:pPr>
        <w:pStyle w:val="56"/>
        <w:spacing w:line="360" w:lineRule="auto"/>
        <w:ind w:firstLine="420"/>
      </w:pPr>
      <w:r>
        <w:rPr>
          <w:rFonts w:hint="eastAsia"/>
        </w:rPr>
        <w:t>b）实验室空白异常；</w:t>
      </w:r>
    </w:p>
    <w:p w14:paraId="4BFA807B">
      <w:pPr>
        <w:pStyle w:val="56"/>
        <w:spacing w:line="360" w:lineRule="auto"/>
        <w:ind w:firstLine="420"/>
      </w:pPr>
      <w:r>
        <w:rPr>
          <w:rFonts w:hint="eastAsia"/>
        </w:rPr>
        <w:t>c）质控样不合格；</w:t>
      </w:r>
    </w:p>
    <w:p w14:paraId="641FCF6A">
      <w:pPr>
        <w:pStyle w:val="56"/>
        <w:spacing w:line="360" w:lineRule="auto"/>
        <w:ind w:firstLine="420"/>
      </w:pPr>
      <w:r>
        <w:rPr>
          <w:rFonts w:hint="eastAsia"/>
        </w:rPr>
        <w:t>d）仪器响应异常；</w:t>
      </w:r>
    </w:p>
    <w:p w14:paraId="33650274">
      <w:pPr>
        <w:pStyle w:val="56"/>
        <w:spacing w:line="360" w:lineRule="auto"/>
        <w:ind w:firstLine="420"/>
      </w:pPr>
      <w:r>
        <w:rPr>
          <w:rFonts w:hint="eastAsia"/>
        </w:rPr>
        <w:t>e）保留时间漂移超限；</w:t>
      </w:r>
    </w:p>
    <w:p w14:paraId="451BFA07">
      <w:pPr>
        <w:pStyle w:val="56"/>
        <w:spacing w:line="360" w:lineRule="auto"/>
        <w:ind w:firstLine="420"/>
      </w:pPr>
      <w:r>
        <w:rPr>
          <w:rFonts w:hint="eastAsia"/>
        </w:rPr>
        <w:t>f）离子比异常；</w:t>
      </w:r>
    </w:p>
    <w:p w14:paraId="5D53A8DF">
      <w:pPr>
        <w:pStyle w:val="56"/>
        <w:spacing w:line="360" w:lineRule="auto"/>
        <w:ind w:firstLine="420"/>
      </w:pPr>
      <w:r>
        <w:rPr>
          <w:rFonts w:hint="eastAsia"/>
        </w:rPr>
        <w:t>g）基线污染明显；</w:t>
      </w:r>
    </w:p>
    <w:p w14:paraId="6D82540B">
      <w:pPr>
        <w:pStyle w:val="56"/>
        <w:spacing w:line="360" w:lineRule="auto"/>
        <w:ind w:firstLine="420"/>
      </w:pPr>
      <w:r>
        <w:rPr>
          <w:rFonts w:hint="eastAsia"/>
        </w:rPr>
        <w:t>h）样品间交叉污染；</w:t>
      </w:r>
    </w:p>
    <w:p w14:paraId="3BDF0C74">
      <w:pPr>
        <w:pStyle w:val="56"/>
        <w:spacing w:line="360" w:lineRule="auto"/>
        <w:ind w:firstLine="420"/>
      </w:pPr>
      <w:r>
        <w:rPr>
          <w:rFonts w:hint="eastAsia"/>
        </w:rPr>
        <w:t>i）原始数据丢失或者损坏；</w:t>
      </w:r>
    </w:p>
    <w:p w14:paraId="0DBB5EF5">
      <w:pPr>
        <w:pStyle w:val="56"/>
        <w:spacing w:line="360" w:lineRule="auto"/>
        <w:ind w:firstLine="420"/>
      </w:pPr>
      <w:r>
        <w:rPr>
          <w:rFonts w:hint="eastAsia"/>
        </w:rPr>
        <w:t>j）计算结果与实际情况明显不符。</w:t>
      </w:r>
    </w:p>
    <w:p w14:paraId="10F568FD">
      <w:pPr>
        <w:pStyle w:val="165"/>
        <w:spacing w:line="360" w:lineRule="auto"/>
      </w:pPr>
      <w:r>
        <w:rPr>
          <w:rFonts w:hint="eastAsia"/>
        </w:rPr>
        <w:t>异常情况处置应至少包括异常登记、原因分析、处置决定、重新分析或者重新取样建议及结果复核。</w:t>
      </w:r>
    </w:p>
    <w:p w14:paraId="157D0190">
      <w:pPr>
        <w:pStyle w:val="165"/>
        <w:spacing w:line="360" w:lineRule="auto"/>
      </w:pPr>
      <w:r>
        <w:rPr>
          <w:rFonts w:hint="eastAsia"/>
        </w:rPr>
        <w:t>异常处置过程中，不得删除原始异常数据和原始异常记录。</w:t>
      </w:r>
    </w:p>
    <w:p w14:paraId="7758F08A">
      <w:pPr>
        <w:pStyle w:val="165"/>
        <w:spacing w:line="360" w:lineRule="auto"/>
      </w:pPr>
      <w:r>
        <w:rPr>
          <w:rFonts w:hint="eastAsia"/>
        </w:rPr>
        <w:t>对可能影响整批样品结果有效性的异常，应暂停整批结果出具，待原因查明并完成必要纠正后再继续。</w:t>
      </w:r>
    </w:p>
    <w:p w14:paraId="64005D0E">
      <w:pPr>
        <w:pStyle w:val="105"/>
        <w:spacing w:before="120" w:after="120" w:line="360" w:lineRule="auto"/>
      </w:pPr>
      <w:r>
        <w:rPr>
          <w:rFonts w:hint="eastAsia"/>
        </w:rPr>
        <w:t>安全与废弃物处置要求</w:t>
      </w:r>
    </w:p>
    <w:p w14:paraId="589829ED">
      <w:pPr>
        <w:pStyle w:val="165"/>
        <w:spacing w:line="360" w:lineRule="auto"/>
      </w:pPr>
      <w:r>
        <w:rPr>
          <w:rFonts w:hint="eastAsia"/>
        </w:rPr>
        <w:t>新型全氟化合物分析过程中使用的有机溶剂、酸碱试剂、含氟标准物质和污染样品应按实验室安全要求管理。</w:t>
      </w:r>
    </w:p>
    <w:p w14:paraId="26F47B5C">
      <w:pPr>
        <w:pStyle w:val="165"/>
        <w:spacing w:line="360" w:lineRule="auto"/>
      </w:pPr>
      <w:r>
        <w:rPr>
          <w:rFonts w:hint="eastAsia"/>
        </w:rPr>
        <w:t>分析人员应根据试剂危害性和样品风险佩戴必要的个体防护用品。</w:t>
      </w:r>
    </w:p>
    <w:p w14:paraId="4055360C">
      <w:pPr>
        <w:pStyle w:val="165"/>
        <w:spacing w:line="360" w:lineRule="auto"/>
      </w:pPr>
      <w:r>
        <w:rPr>
          <w:rFonts w:hint="eastAsia"/>
        </w:rPr>
        <w:t>含氟废液、废弃提取液、污染滤膜、废弃固相萃取柱、废弃样品和其他实验废弃物应分类收集和规范处置，不得随意排放。</w:t>
      </w:r>
    </w:p>
    <w:p w14:paraId="539655C4">
      <w:pPr>
        <w:pStyle w:val="165"/>
        <w:spacing w:line="360" w:lineRule="auto"/>
      </w:pPr>
      <w:r>
        <w:rPr>
          <w:rFonts w:hint="eastAsia"/>
        </w:rPr>
        <w:t>发生试剂泄漏、样品泄漏、仪器污染或者人员暴露风险时，应按实验室应急处置程序处理。</w:t>
      </w:r>
    </w:p>
    <w:p w14:paraId="46BBE8A2">
      <w:pPr>
        <w:pStyle w:val="105"/>
        <w:spacing w:before="120" w:after="120" w:line="360" w:lineRule="auto"/>
      </w:pPr>
      <w:r>
        <w:rPr>
          <w:rFonts w:hint="eastAsia"/>
        </w:rPr>
        <w:t>记录与档案管理要求</w:t>
      </w:r>
    </w:p>
    <w:p w14:paraId="56F2D770">
      <w:pPr>
        <w:pStyle w:val="165"/>
        <w:spacing w:line="360" w:lineRule="auto"/>
      </w:pPr>
      <w:r>
        <w:rPr>
          <w:rFonts w:hint="eastAsia"/>
        </w:rPr>
        <w:t>新型全氟化合物快速筛查与定量分析活动应建立全过程记录制度。</w:t>
      </w:r>
    </w:p>
    <w:p w14:paraId="50C13C70">
      <w:pPr>
        <w:pStyle w:val="165"/>
        <w:spacing w:line="360" w:lineRule="auto"/>
      </w:pPr>
      <w:r>
        <w:rPr>
          <w:rFonts w:hint="eastAsia"/>
        </w:rPr>
        <w:t>记录内容至少应包括样品信息、试剂信息、标准品信息、仪器状态、前处理过程、分析序列表、质控结果、数据处理过程、审核记录和报告记录。</w:t>
      </w:r>
    </w:p>
    <w:p w14:paraId="33421CB2">
      <w:pPr>
        <w:pStyle w:val="165"/>
        <w:spacing w:line="360" w:lineRule="auto"/>
      </w:pPr>
      <w:r>
        <w:rPr>
          <w:rFonts w:hint="eastAsia"/>
        </w:rPr>
        <w:t>各类记录应内容完整、字迹清晰、时间明确、责任明确，并应能够与样品编号和数据文件一一对应。</w:t>
      </w:r>
    </w:p>
    <w:p w14:paraId="4489F7DA">
      <w:pPr>
        <w:pStyle w:val="165"/>
        <w:spacing w:line="360" w:lineRule="auto"/>
      </w:pPr>
      <w:r>
        <w:rPr>
          <w:rFonts w:hint="eastAsia"/>
        </w:rPr>
        <w:t>电子数据、原始谱图、仪器方法文件、积分文件、审核意见和报告版本应统一归档管理。</w:t>
      </w:r>
    </w:p>
    <w:p w14:paraId="4E298868">
      <w:pPr>
        <w:pStyle w:val="165"/>
        <w:spacing w:line="360" w:lineRule="auto"/>
      </w:pPr>
      <w:r>
        <w:rPr>
          <w:rFonts w:hint="eastAsia"/>
        </w:rPr>
        <w:t>未形成完整记录或者记录无法追溯的分析结果，不得作为正式结果出具。</w:t>
      </w:r>
    </w:p>
    <w:p w14:paraId="232E31CD">
      <w:pPr>
        <w:pStyle w:val="104"/>
        <w:spacing w:before="240" w:after="240" w:line="360" w:lineRule="auto"/>
      </w:pPr>
      <w:bookmarkStart w:id="52" w:name="_Toc228436447"/>
      <w:r>
        <w:rPr>
          <w:rFonts w:hint="eastAsia"/>
        </w:rPr>
        <w:t>样品采集、保存与运输要求</w:t>
      </w:r>
      <w:bookmarkEnd w:id="52"/>
    </w:p>
    <w:p w14:paraId="2EF8427B">
      <w:pPr>
        <w:pStyle w:val="105"/>
        <w:spacing w:before="120" w:after="120" w:line="360" w:lineRule="auto"/>
      </w:pPr>
      <w:r>
        <w:rPr>
          <w:rFonts w:hint="eastAsia"/>
        </w:rPr>
        <w:t>一般规定</w:t>
      </w:r>
    </w:p>
    <w:p w14:paraId="7F2D7EDE">
      <w:pPr>
        <w:pStyle w:val="165"/>
        <w:spacing w:line="360" w:lineRule="auto"/>
      </w:pPr>
      <w:r>
        <w:rPr>
          <w:rFonts w:hint="eastAsia"/>
        </w:rPr>
        <w:t>样品采集、保存与运输应以保证样品代表性、完整性、稳定性和可追溯性为原则。</w:t>
      </w:r>
    </w:p>
    <w:p w14:paraId="4DC64870">
      <w:pPr>
        <w:pStyle w:val="165"/>
        <w:spacing w:line="360" w:lineRule="auto"/>
      </w:pPr>
      <w:r>
        <w:rPr>
          <w:rFonts w:hint="eastAsia"/>
        </w:rPr>
        <w:t>样品采集前应根据检测目的、样品基质类型、目标物特征、检测方法要求和质量控制要求制定采样方案。</w:t>
      </w:r>
    </w:p>
    <w:p w14:paraId="0987AF09">
      <w:pPr>
        <w:pStyle w:val="165"/>
        <w:spacing w:line="360" w:lineRule="auto"/>
      </w:pPr>
      <w:r>
        <w:rPr>
          <w:rFonts w:hint="eastAsia"/>
        </w:rPr>
        <w:t>采样方案应至少包括采样对象、采样点位、采样数量、采样频次、采样容器、保存条件、运输方式、质量控制措施和异常情况处置要求。</w:t>
      </w:r>
    </w:p>
    <w:p w14:paraId="3BE169EA">
      <w:pPr>
        <w:pStyle w:val="165"/>
        <w:spacing w:line="360" w:lineRule="auto"/>
      </w:pPr>
      <w:r>
        <w:rPr>
          <w:rFonts w:hint="eastAsia"/>
        </w:rPr>
        <w:t>样品采集、保存和运输全过程应防止交叉污染、样品损失、样品变质、目标物吸附或者样品身份混淆。</w:t>
      </w:r>
    </w:p>
    <w:p w14:paraId="5EA3A010">
      <w:pPr>
        <w:pStyle w:val="165"/>
        <w:spacing w:line="360" w:lineRule="auto"/>
      </w:pPr>
      <w:r>
        <w:rPr>
          <w:rFonts w:hint="eastAsia"/>
        </w:rPr>
        <w:t>对饮用水源样品、污染事故样品、环境敏感区域样品、高浓度污染样品和争议性样品，应实施重点管理和重点质量控制。</w:t>
      </w:r>
    </w:p>
    <w:p w14:paraId="2F79F1A4">
      <w:pPr>
        <w:pStyle w:val="165"/>
        <w:spacing w:line="360" w:lineRule="auto"/>
      </w:pPr>
      <w:r>
        <w:rPr>
          <w:rFonts w:hint="eastAsia"/>
        </w:rPr>
        <w:t>样品采集后至实验室分析前的各环节均应形成完整记录；记录不完整或者样品身份无法确认的，不得作为正式分析样品。</w:t>
      </w:r>
    </w:p>
    <w:p w14:paraId="0730A016">
      <w:pPr>
        <w:pStyle w:val="105"/>
        <w:spacing w:before="120" w:after="120" w:line="360" w:lineRule="auto"/>
      </w:pPr>
      <w:r>
        <w:rPr>
          <w:rFonts w:hint="eastAsia"/>
        </w:rPr>
        <w:t>采样准备要求</w:t>
      </w:r>
    </w:p>
    <w:p w14:paraId="222A1112">
      <w:pPr>
        <w:pStyle w:val="165"/>
        <w:spacing w:line="360" w:lineRule="auto"/>
      </w:pPr>
      <w:r>
        <w:rPr>
          <w:rFonts w:hint="eastAsia"/>
        </w:rPr>
        <w:t>采样前应确认检测目标、目标物范围、基质类型、分析方法、样品数量和保存条件。</w:t>
      </w:r>
    </w:p>
    <w:p w14:paraId="4DADA077">
      <w:pPr>
        <w:pStyle w:val="165"/>
        <w:spacing w:line="360" w:lineRule="auto"/>
      </w:pPr>
      <w:r>
        <w:rPr>
          <w:rFonts w:hint="eastAsia"/>
        </w:rPr>
        <w:t>采样器具、采样容器、过滤装置、保存试剂、标签、记录表、冷藏装置和运输工具应在采样前准备齐全。</w:t>
      </w:r>
    </w:p>
    <w:p w14:paraId="0E20888B">
      <w:pPr>
        <w:pStyle w:val="165"/>
        <w:spacing w:line="360" w:lineRule="auto"/>
      </w:pPr>
      <w:r>
        <w:rPr>
          <w:rFonts w:hint="eastAsia"/>
        </w:rPr>
        <w:t>采样器具和容器应洁净、完好、无泄漏，并应经空白核查或者适用性核查确认不会引入明显有机氟背景污染。</w:t>
      </w:r>
    </w:p>
    <w:p w14:paraId="06905BC9">
      <w:pPr>
        <w:pStyle w:val="165"/>
        <w:spacing w:line="360" w:lineRule="auto"/>
      </w:pPr>
      <w:r>
        <w:rPr>
          <w:rFonts w:hint="eastAsia"/>
        </w:rPr>
        <w:t>采样过程中使用的手套、采样绳、过滤材料、储样瓶盖垫片、软管和其他辅助材料应避免使用可能释放含氟污染物的材质；确需使用时，应进行空白验证。</w:t>
      </w:r>
    </w:p>
    <w:p w14:paraId="73FEDB34">
      <w:pPr>
        <w:pStyle w:val="165"/>
        <w:spacing w:line="360" w:lineRule="auto"/>
      </w:pPr>
      <w:r>
        <w:rPr>
          <w:rFonts w:hint="eastAsia"/>
        </w:rPr>
        <w:t>采样前应准备现场空白样、平行样和必要的运输空白样容器；未准备质量控制样的，不得开展正式采样。</w:t>
      </w:r>
    </w:p>
    <w:p w14:paraId="25783443">
      <w:pPr>
        <w:pStyle w:val="165"/>
        <w:spacing w:line="360" w:lineRule="auto"/>
      </w:pPr>
      <w:r>
        <w:rPr>
          <w:rFonts w:hint="eastAsia"/>
        </w:rPr>
        <w:t>采样人员应熟悉样品类型、采样流程、污染防控要求和安全防护要求。</w:t>
      </w:r>
    </w:p>
    <w:p w14:paraId="4DA282A6">
      <w:pPr>
        <w:pStyle w:val="105"/>
        <w:spacing w:before="120" w:after="120" w:line="360" w:lineRule="auto"/>
      </w:pPr>
      <w:r>
        <w:rPr>
          <w:rFonts w:hint="eastAsia"/>
        </w:rPr>
        <w:t>采样点位与采样时机要求</w:t>
      </w:r>
    </w:p>
    <w:p w14:paraId="0105BDD0">
      <w:pPr>
        <w:pStyle w:val="165"/>
        <w:spacing w:line="360" w:lineRule="auto"/>
      </w:pPr>
      <w:r>
        <w:rPr>
          <w:rFonts w:hint="eastAsia"/>
        </w:rPr>
        <w:t>采样点位应能够代表被监测对象实际污染状况和空间分布特征。</w:t>
      </w:r>
    </w:p>
    <w:p w14:paraId="08344F8E">
      <w:pPr>
        <w:pStyle w:val="165"/>
        <w:spacing w:line="360" w:lineRule="auto"/>
      </w:pPr>
      <w:r>
        <w:rPr>
          <w:rFonts w:hint="eastAsia"/>
        </w:rPr>
        <w:t>对地表水、地下水和废水样品，采样点应结合水流方向、污染源位置、混合条件和监测目的合理设置。</w:t>
      </w:r>
    </w:p>
    <w:p w14:paraId="00B29D23">
      <w:pPr>
        <w:pStyle w:val="165"/>
        <w:spacing w:line="360" w:lineRule="auto"/>
      </w:pPr>
      <w:r>
        <w:rPr>
          <w:rFonts w:hint="eastAsia"/>
        </w:rPr>
        <w:t>对土壤、沉积物和污泥样品，采样点应结合污染分布、地形条件、堆积状态、深度特征和历史信息合理设置。</w:t>
      </w:r>
    </w:p>
    <w:p w14:paraId="27973962">
      <w:pPr>
        <w:pStyle w:val="165"/>
        <w:spacing w:line="360" w:lineRule="auto"/>
      </w:pPr>
      <w:r>
        <w:rPr>
          <w:rFonts w:hint="eastAsia"/>
        </w:rPr>
        <w:t>对生物样品和产品样品，采样对象应具有代表性，并应明确取样部位、取样数量和样品状态。</w:t>
      </w:r>
    </w:p>
    <w:p w14:paraId="46BF065A">
      <w:pPr>
        <w:pStyle w:val="165"/>
        <w:spacing w:line="360" w:lineRule="auto"/>
      </w:pPr>
      <w:r>
        <w:rPr>
          <w:rFonts w:hint="eastAsia"/>
        </w:rPr>
        <w:t>采样时机应与监测目的相一致。对污染事故样品、排放波动样品或者工艺变动样品，应结合关键时段实施采样。</w:t>
      </w:r>
    </w:p>
    <w:p w14:paraId="68FA57C9">
      <w:pPr>
        <w:pStyle w:val="165"/>
        <w:spacing w:line="360" w:lineRule="auto"/>
      </w:pPr>
      <w:r>
        <w:rPr>
          <w:rFonts w:hint="eastAsia"/>
        </w:rPr>
        <w:t>采样点位、采样深度、采样时间和采样条件一经确定，不得随意变更；确需变更时，应记录原因并保留原方案信息。</w:t>
      </w:r>
    </w:p>
    <w:p w14:paraId="05BBCA0F">
      <w:pPr>
        <w:pStyle w:val="105"/>
        <w:spacing w:before="120" w:after="120" w:line="360" w:lineRule="auto"/>
      </w:pPr>
      <w:r>
        <w:rPr>
          <w:rFonts w:hint="eastAsia"/>
        </w:rPr>
        <w:t>水样采集要求</w:t>
      </w:r>
    </w:p>
    <w:p w14:paraId="01FB5B53">
      <w:pPr>
        <w:pStyle w:val="165"/>
        <w:spacing w:line="360" w:lineRule="auto"/>
      </w:pPr>
      <w:r>
        <w:rPr>
          <w:rFonts w:hint="eastAsia"/>
        </w:rPr>
        <w:t>水样采集前应确认采样容器种类、容器体积、过滤要求和保存条件。</w:t>
      </w:r>
    </w:p>
    <w:p w14:paraId="359A49CD">
      <w:pPr>
        <w:pStyle w:val="165"/>
        <w:spacing w:line="360" w:lineRule="auto"/>
      </w:pPr>
      <w:r>
        <w:rPr>
          <w:rFonts w:hint="eastAsia"/>
        </w:rPr>
        <w:t>采集地表水、地下水、饮用水、废水和海水样品时，应避免搅动底泥、漂浮物和附着污染物，防止非代表性颗粒进入样品。</w:t>
      </w:r>
    </w:p>
    <w:p w14:paraId="62CCF5D5">
      <w:pPr>
        <w:pStyle w:val="165"/>
        <w:spacing w:line="360" w:lineRule="auto"/>
      </w:pPr>
      <w:r>
        <w:rPr>
          <w:rFonts w:hint="eastAsia"/>
        </w:rPr>
        <w:t>对需测定溶解态目标物的样品，应按方法要求进行现场过滤或者实验室过滤，并应明确过滤时点和过滤条件。</w:t>
      </w:r>
    </w:p>
    <w:p w14:paraId="51F63AE4">
      <w:pPr>
        <w:pStyle w:val="165"/>
        <w:spacing w:line="360" w:lineRule="auto"/>
      </w:pPr>
      <w:r>
        <w:rPr>
          <w:rFonts w:hint="eastAsia"/>
        </w:rPr>
        <w:t>对需同时分析总量和溶解态组分的样品，应分别采集未过滤样和过滤样，并分别编号。</w:t>
      </w:r>
    </w:p>
    <w:p w14:paraId="5DFB7B2C">
      <w:pPr>
        <w:pStyle w:val="165"/>
        <w:spacing w:line="360" w:lineRule="auto"/>
      </w:pPr>
      <w:r>
        <w:rPr>
          <w:rFonts w:hint="eastAsia"/>
        </w:rPr>
        <w:t>水样采集过程中不得使用未经核查的含氟涂层容器或者含氟润滑部件直接接触样品。</w:t>
      </w:r>
    </w:p>
    <w:p w14:paraId="0FD472D7">
      <w:pPr>
        <w:pStyle w:val="165"/>
        <w:spacing w:line="360" w:lineRule="auto"/>
      </w:pPr>
      <w:r>
        <w:rPr>
          <w:rFonts w:hint="eastAsia"/>
        </w:rPr>
        <w:t>对高浓度废水样品和复杂工业废水样品，宜单独采样、单独包装和单独运输，不得与常规环境样品混装。</w:t>
      </w:r>
    </w:p>
    <w:p w14:paraId="7C2825F3">
      <w:pPr>
        <w:pStyle w:val="105"/>
        <w:spacing w:before="120" w:after="120" w:line="360" w:lineRule="auto"/>
      </w:pPr>
      <w:r>
        <w:rPr>
          <w:rFonts w:hint="eastAsia"/>
        </w:rPr>
        <w:t>固体样品采集要求</w:t>
      </w:r>
    </w:p>
    <w:p w14:paraId="09EFE317">
      <w:pPr>
        <w:pStyle w:val="165"/>
        <w:spacing w:line="360" w:lineRule="auto"/>
      </w:pPr>
      <w:r>
        <w:rPr>
          <w:rFonts w:hint="eastAsia"/>
        </w:rPr>
        <w:t>土壤、沉积物、污泥和固体废弃物样品采集前，应明确采样深度、采样层位、混合方式和保存方式。</w:t>
      </w:r>
    </w:p>
    <w:p w14:paraId="1D556813">
      <w:pPr>
        <w:pStyle w:val="165"/>
        <w:spacing w:line="360" w:lineRule="auto"/>
      </w:pPr>
      <w:r>
        <w:rPr>
          <w:rFonts w:hint="eastAsia"/>
        </w:rPr>
        <w:t>固体样品采集应避免外来物混入，并应剔除与分析目的无关的明显异物。</w:t>
      </w:r>
    </w:p>
    <w:p w14:paraId="6FCC9777">
      <w:pPr>
        <w:pStyle w:val="165"/>
        <w:spacing w:line="360" w:lineRule="auto"/>
      </w:pPr>
      <w:r>
        <w:rPr>
          <w:rFonts w:hint="eastAsia"/>
        </w:rPr>
        <w:t>对分层明显、含水率差异显著或者污染分布不均匀的样品，应分层采集或者分区采集，不得盲目混合作为代表样。</w:t>
      </w:r>
    </w:p>
    <w:p w14:paraId="009A174A">
      <w:pPr>
        <w:pStyle w:val="165"/>
        <w:spacing w:line="360" w:lineRule="auto"/>
      </w:pPr>
      <w:r>
        <w:rPr>
          <w:rFonts w:hint="eastAsia"/>
        </w:rPr>
        <w:t>对挥发损失风险低但吸附损失风险明显的固体样品，应减少暴露时间，并应尽快封装保存。</w:t>
      </w:r>
    </w:p>
    <w:p w14:paraId="5E05BF5D">
      <w:pPr>
        <w:pStyle w:val="165"/>
        <w:spacing w:line="360" w:lineRule="auto"/>
      </w:pPr>
      <w:r>
        <w:rPr>
          <w:rFonts w:hint="eastAsia"/>
        </w:rPr>
        <w:t>对湿样、泥样和高有机质样品，应根据方法要求确定均质、分样和冷藏条件。</w:t>
      </w:r>
    </w:p>
    <w:p w14:paraId="00EC644D">
      <w:pPr>
        <w:pStyle w:val="105"/>
        <w:spacing w:before="120" w:after="120" w:line="360" w:lineRule="auto"/>
      </w:pPr>
      <w:r>
        <w:rPr>
          <w:rFonts w:hint="eastAsia"/>
        </w:rPr>
        <w:t>生物与其他样品采集要求</w:t>
      </w:r>
    </w:p>
    <w:p w14:paraId="65DC0C4C">
      <w:pPr>
        <w:pStyle w:val="165"/>
        <w:spacing w:line="360" w:lineRule="auto"/>
      </w:pPr>
      <w:r>
        <w:rPr>
          <w:rFonts w:hint="eastAsia"/>
        </w:rPr>
        <w:t>生物样品采集应根据组织类型、目标物分布特征和保存要求确定采样部位和采样量。</w:t>
      </w:r>
    </w:p>
    <w:p w14:paraId="6F40EB0C">
      <w:pPr>
        <w:pStyle w:val="165"/>
        <w:spacing w:line="360" w:lineRule="auto"/>
      </w:pPr>
      <w:r>
        <w:rPr>
          <w:rFonts w:hint="eastAsia"/>
        </w:rPr>
        <w:t>生物样品采集后应尽快低温保存，防止腐败变质和成分变化。</w:t>
      </w:r>
    </w:p>
    <w:p w14:paraId="3DB24B87">
      <w:pPr>
        <w:pStyle w:val="165"/>
        <w:spacing w:line="360" w:lineRule="auto"/>
      </w:pPr>
      <w:r>
        <w:rPr>
          <w:rFonts w:hint="eastAsia"/>
        </w:rPr>
        <w:t>产品样品、材料样品和接触材料样品采集时，应记录样品名称、批次、材质、状态和来源信息。</w:t>
      </w:r>
    </w:p>
    <w:p w14:paraId="63E3552A">
      <w:pPr>
        <w:pStyle w:val="165"/>
        <w:spacing w:line="360" w:lineRule="auto"/>
      </w:pPr>
      <w:r>
        <w:rPr>
          <w:rFonts w:hint="eastAsia"/>
        </w:rPr>
        <w:t>对来源复杂或者批次差异明显的产品样品，应按批次、类别或者用途分别采集和编号。</w:t>
      </w:r>
    </w:p>
    <w:p w14:paraId="781AAF3B">
      <w:pPr>
        <w:pStyle w:val="105"/>
        <w:spacing w:before="120" w:after="120" w:line="360" w:lineRule="auto"/>
      </w:pPr>
      <w:r>
        <w:rPr>
          <w:rFonts w:hint="eastAsia"/>
        </w:rPr>
        <w:t>样品数量与平行样要求</w:t>
      </w:r>
    </w:p>
    <w:p w14:paraId="41B47A7F">
      <w:pPr>
        <w:pStyle w:val="165"/>
        <w:spacing w:line="360" w:lineRule="auto"/>
      </w:pPr>
      <w:r>
        <w:rPr>
          <w:rFonts w:hint="eastAsia"/>
        </w:rPr>
        <w:t>样品采集量应满足正式分析、平行分析、复测分析、质量控制和必要留样要求。</w:t>
      </w:r>
    </w:p>
    <w:p w14:paraId="0ACABCD1">
      <w:pPr>
        <w:pStyle w:val="165"/>
        <w:spacing w:line="360" w:lineRule="auto"/>
      </w:pPr>
      <w:r>
        <w:rPr>
          <w:rFonts w:hint="eastAsia"/>
        </w:rPr>
        <w:t>样品量不足以完成规定分析和质控要求时，不得仅保留正式分析需求而取消质控样。</w:t>
      </w:r>
    </w:p>
    <w:p w14:paraId="6D1F4A98">
      <w:pPr>
        <w:pStyle w:val="165"/>
        <w:spacing w:line="360" w:lineRule="auto"/>
      </w:pPr>
      <w:r>
        <w:rPr>
          <w:rFonts w:hint="eastAsia"/>
        </w:rPr>
        <w:t>同一样品点位需要开展平行样采集时，应采用独立容器分别采集和分别编号，不得由同一容器分装代替独立平行样。</w:t>
      </w:r>
    </w:p>
    <w:p w14:paraId="445AC016">
      <w:pPr>
        <w:pStyle w:val="165"/>
        <w:spacing w:line="360" w:lineRule="auto"/>
      </w:pPr>
      <w:r>
        <w:rPr>
          <w:rFonts w:hint="eastAsia"/>
        </w:rPr>
        <w:t>对高风险样品、重点监测样品和争议性样品，宜适当增加平行样和备份样数量。</w:t>
      </w:r>
    </w:p>
    <w:p w14:paraId="416C03D6">
      <w:pPr>
        <w:pStyle w:val="105"/>
        <w:spacing w:before="120" w:after="120" w:line="360" w:lineRule="auto"/>
      </w:pPr>
      <w:r>
        <w:rPr>
          <w:rFonts w:hint="eastAsia"/>
        </w:rPr>
        <w:t>样品标识与现场记录要求</w:t>
      </w:r>
    </w:p>
    <w:p w14:paraId="7B7EE0C7">
      <w:pPr>
        <w:pStyle w:val="165"/>
        <w:spacing w:line="360" w:lineRule="auto"/>
      </w:pPr>
      <w:r>
        <w:rPr>
          <w:rFonts w:hint="eastAsia"/>
        </w:rPr>
        <w:t>每份样品均应设置唯一编号，并应与采样记录、交接记录和实验室接收记录保持一致。</w:t>
      </w:r>
    </w:p>
    <w:p w14:paraId="1348CCF5">
      <w:pPr>
        <w:pStyle w:val="165"/>
        <w:spacing w:line="360" w:lineRule="auto"/>
      </w:pPr>
      <w:r>
        <w:rPr>
          <w:rFonts w:hint="eastAsia"/>
        </w:rPr>
        <w:t>样品标签至少应包括样品编号、样品类型、采样地点、采样时间、采样人和保存方式。</w:t>
      </w:r>
    </w:p>
    <w:p w14:paraId="6AE5F395">
      <w:pPr>
        <w:pStyle w:val="165"/>
        <w:spacing w:line="360" w:lineRule="auto"/>
      </w:pPr>
      <w:r>
        <w:rPr>
          <w:rFonts w:hint="eastAsia"/>
        </w:rPr>
        <w:t>对过滤样、未过滤样、平行样、空白样、加标样和运输空白样，应通过编号规则或者附加标识明确区分。</w:t>
      </w:r>
    </w:p>
    <w:p w14:paraId="33EFADEC">
      <w:pPr>
        <w:pStyle w:val="165"/>
        <w:spacing w:line="360" w:lineRule="auto"/>
      </w:pPr>
      <w:r>
        <w:rPr>
          <w:rFonts w:hint="eastAsia"/>
        </w:rPr>
        <w:t>现场记录应至少包括下列内容：</w:t>
      </w:r>
    </w:p>
    <w:p w14:paraId="1D9A522B">
      <w:pPr>
        <w:pStyle w:val="56"/>
        <w:spacing w:line="360" w:lineRule="auto"/>
        <w:ind w:firstLine="420"/>
      </w:pPr>
      <w:r>
        <w:rPr>
          <w:rFonts w:hint="eastAsia"/>
        </w:rPr>
        <w:t>a）采样日期和时间；</w:t>
      </w:r>
    </w:p>
    <w:p w14:paraId="444EFBD6">
      <w:pPr>
        <w:pStyle w:val="56"/>
        <w:spacing w:line="360" w:lineRule="auto"/>
        <w:ind w:firstLine="420"/>
      </w:pPr>
      <w:r>
        <w:rPr>
          <w:rFonts w:hint="eastAsia"/>
        </w:rPr>
        <w:t>b）采样地点和点位信息；</w:t>
      </w:r>
    </w:p>
    <w:p w14:paraId="25200DC5">
      <w:pPr>
        <w:pStyle w:val="56"/>
        <w:spacing w:line="360" w:lineRule="auto"/>
        <w:ind w:firstLine="420"/>
      </w:pPr>
      <w:r>
        <w:rPr>
          <w:rFonts w:hint="eastAsia"/>
        </w:rPr>
        <w:t>c）样品名称和样品类型；</w:t>
      </w:r>
    </w:p>
    <w:p w14:paraId="59BD0DEA">
      <w:pPr>
        <w:pStyle w:val="56"/>
        <w:spacing w:line="360" w:lineRule="auto"/>
        <w:ind w:firstLine="420"/>
      </w:pPr>
      <w:r>
        <w:rPr>
          <w:rFonts w:hint="eastAsia"/>
        </w:rPr>
        <w:t>d）采样容器类型；</w:t>
      </w:r>
    </w:p>
    <w:p w14:paraId="44CBB18F">
      <w:pPr>
        <w:pStyle w:val="56"/>
        <w:spacing w:line="360" w:lineRule="auto"/>
        <w:ind w:firstLine="420"/>
      </w:pPr>
      <w:r>
        <w:rPr>
          <w:rFonts w:hint="eastAsia"/>
        </w:rPr>
        <w:t>e）采样数量或者体积；</w:t>
      </w:r>
    </w:p>
    <w:p w14:paraId="556795D6">
      <w:pPr>
        <w:pStyle w:val="56"/>
        <w:spacing w:line="360" w:lineRule="auto"/>
        <w:ind w:firstLine="420"/>
      </w:pPr>
      <w:r>
        <w:rPr>
          <w:rFonts w:hint="eastAsia"/>
        </w:rPr>
        <w:t>f）现场环境条件；</w:t>
      </w:r>
    </w:p>
    <w:p w14:paraId="01EC1940">
      <w:pPr>
        <w:pStyle w:val="56"/>
        <w:spacing w:line="360" w:lineRule="auto"/>
        <w:ind w:firstLine="420"/>
      </w:pPr>
      <w:r>
        <w:rPr>
          <w:rFonts w:hint="eastAsia"/>
        </w:rPr>
        <w:t>g）样品状态描述；</w:t>
      </w:r>
    </w:p>
    <w:p w14:paraId="59914BF2">
      <w:pPr>
        <w:pStyle w:val="56"/>
        <w:spacing w:line="360" w:lineRule="auto"/>
        <w:ind w:firstLine="420"/>
      </w:pPr>
      <w:r>
        <w:rPr>
          <w:rFonts w:hint="eastAsia"/>
        </w:rPr>
        <w:t>h）现场过滤、现场保存或者现场预处理情况；</w:t>
      </w:r>
    </w:p>
    <w:p w14:paraId="361B5663">
      <w:pPr>
        <w:pStyle w:val="56"/>
        <w:spacing w:line="360" w:lineRule="auto"/>
        <w:ind w:firstLine="420"/>
      </w:pPr>
      <w:r>
        <w:rPr>
          <w:rFonts w:hint="eastAsia"/>
        </w:rPr>
        <w:t>i）质控样设置情况；</w:t>
      </w:r>
    </w:p>
    <w:p w14:paraId="6F069C9A">
      <w:pPr>
        <w:pStyle w:val="56"/>
        <w:spacing w:line="360" w:lineRule="auto"/>
        <w:ind w:firstLine="420"/>
      </w:pPr>
      <w:r>
        <w:rPr>
          <w:rFonts w:hint="eastAsia"/>
        </w:rPr>
        <w:t>j）采样人员和复核人员信息。</w:t>
      </w:r>
    </w:p>
    <w:p w14:paraId="3EF61801">
      <w:pPr>
        <w:pStyle w:val="165"/>
        <w:spacing w:line="360" w:lineRule="auto"/>
      </w:pPr>
      <w:r>
        <w:rPr>
          <w:rFonts w:hint="eastAsia"/>
        </w:rPr>
        <w:t>现场记录应同步填写，不得事后凭记忆补录关键采样信息。</w:t>
      </w:r>
    </w:p>
    <w:p w14:paraId="62EF7DDF">
      <w:pPr>
        <w:pStyle w:val="105"/>
        <w:spacing w:before="120" w:after="120" w:line="360" w:lineRule="auto"/>
      </w:pPr>
      <w:r>
        <w:rPr>
          <w:rFonts w:hint="eastAsia"/>
        </w:rPr>
        <w:t>样品保存要求</w:t>
      </w:r>
    </w:p>
    <w:p w14:paraId="1D8DFD06">
      <w:pPr>
        <w:pStyle w:val="165"/>
        <w:spacing w:line="360" w:lineRule="auto"/>
      </w:pPr>
      <w:r>
        <w:rPr>
          <w:rFonts w:hint="eastAsia"/>
        </w:rPr>
        <w:t>样品采集后应根据样品类型和目标物稳定性及时采取冷藏、冷冻、避光、密封或者其他适宜保存措施。</w:t>
      </w:r>
    </w:p>
    <w:p w14:paraId="3F19D851">
      <w:pPr>
        <w:pStyle w:val="165"/>
        <w:spacing w:line="360" w:lineRule="auto"/>
      </w:pPr>
      <w:r>
        <w:rPr>
          <w:rFonts w:hint="eastAsia"/>
        </w:rPr>
        <w:t>样品保存条件应至少满足防挥发损失、防交叉污染、防微生物作用和防物理化学性质改变要求。</w:t>
      </w:r>
    </w:p>
    <w:p w14:paraId="6E92D95C">
      <w:pPr>
        <w:pStyle w:val="165"/>
        <w:spacing w:line="360" w:lineRule="auto"/>
      </w:pPr>
      <w:r>
        <w:rPr>
          <w:rFonts w:hint="eastAsia"/>
        </w:rPr>
        <w:t>需加入保存试剂的样品，应按方法要求加入，并应记录试剂种类、加入量和加入时间。</w:t>
      </w:r>
    </w:p>
    <w:p w14:paraId="0BE76389">
      <w:pPr>
        <w:pStyle w:val="165"/>
        <w:spacing w:line="360" w:lineRule="auto"/>
      </w:pPr>
      <w:r>
        <w:rPr>
          <w:rFonts w:hint="eastAsia"/>
        </w:rPr>
        <w:t>样品保存容器应密封良好，不得渗漏；样品封装后不得频繁开启或者更换容器。</w:t>
      </w:r>
    </w:p>
    <w:p w14:paraId="711870C0">
      <w:pPr>
        <w:pStyle w:val="165"/>
        <w:spacing w:line="360" w:lineRule="auto"/>
      </w:pPr>
      <w:r>
        <w:rPr>
          <w:rFonts w:hint="eastAsia"/>
        </w:rPr>
        <w:t>样品保存时间应符合方法要求；超过规定保存时限的样品，不得直接作为正式分析样品。</w:t>
      </w:r>
    </w:p>
    <w:p w14:paraId="12DDCA6E">
      <w:pPr>
        <w:pStyle w:val="165"/>
        <w:spacing w:line="360" w:lineRule="auto"/>
      </w:pPr>
      <w:r>
        <w:rPr>
          <w:rFonts w:hint="eastAsia"/>
        </w:rPr>
        <w:t>实验室接收后未立即分析的样品，应按规定条件继续保存，并应记录保存位置和保存状态。</w:t>
      </w:r>
    </w:p>
    <w:p w14:paraId="0D5EEE38">
      <w:pPr>
        <w:pStyle w:val="105"/>
        <w:spacing w:before="120" w:after="120" w:line="360" w:lineRule="auto"/>
      </w:pPr>
      <w:r>
        <w:rPr>
          <w:rFonts w:hint="eastAsia"/>
        </w:rPr>
        <w:t>样品运输要求</w:t>
      </w:r>
    </w:p>
    <w:p w14:paraId="38A9F80B">
      <w:pPr>
        <w:pStyle w:val="165"/>
        <w:spacing w:line="360" w:lineRule="auto"/>
      </w:pPr>
      <w:r>
        <w:rPr>
          <w:rFonts w:hint="eastAsia"/>
        </w:rPr>
        <w:t>样品运输应采用能够保持规定温度、避免震荡、避免污染和避免破损的方式。</w:t>
      </w:r>
    </w:p>
    <w:p w14:paraId="14F3FFA7">
      <w:pPr>
        <w:pStyle w:val="165"/>
        <w:spacing w:line="360" w:lineRule="auto"/>
      </w:pPr>
      <w:r>
        <w:rPr>
          <w:rFonts w:hint="eastAsia"/>
        </w:rPr>
        <w:t>冷藏或者冷冻运输样品应配备足够的冷源和温度保持措施。</w:t>
      </w:r>
    </w:p>
    <w:p w14:paraId="6CA8BE8A">
      <w:pPr>
        <w:pStyle w:val="165"/>
        <w:spacing w:line="360" w:lineRule="auto"/>
      </w:pPr>
      <w:r>
        <w:rPr>
          <w:rFonts w:hint="eastAsia"/>
        </w:rPr>
        <w:t>样品运输箱内不同类型样品应采取隔离措施；高浓度样品、空白样和常规样品不宜直接混放。</w:t>
      </w:r>
    </w:p>
    <w:p w14:paraId="17D9D372">
      <w:pPr>
        <w:pStyle w:val="165"/>
        <w:spacing w:line="360" w:lineRule="auto"/>
      </w:pPr>
      <w:r>
        <w:rPr>
          <w:rFonts w:hint="eastAsia"/>
        </w:rPr>
        <w:t>样品运输过程中应防止容器倾倒、碰撞、破裂、泄漏和标签脱落。</w:t>
      </w:r>
    </w:p>
    <w:p w14:paraId="5CA8BF85">
      <w:pPr>
        <w:pStyle w:val="165"/>
        <w:spacing w:line="360" w:lineRule="auto"/>
      </w:pPr>
      <w:r>
        <w:rPr>
          <w:rFonts w:hint="eastAsia"/>
        </w:rPr>
        <w:t>运输时间应尽可能缩短；对有严格时限要求的样品，应优先安排快速送达。</w:t>
      </w:r>
    </w:p>
    <w:p w14:paraId="2AF2C648">
      <w:pPr>
        <w:pStyle w:val="165"/>
        <w:spacing w:line="360" w:lineRule="auto"/>
      </w:pPr>
      <w:r>
        <w:rPr>
          <w:rFonts w:hint="eastAsia"/>
        </w:rPr>
        <w:t>样品运输过程宜配备运输记录；必要时应记录启运时间、到达时间、温度状态和运输异常情况。</w:t>
      </w:r>
    </w:p>
    <w:p w14:paraId="2156F160">
      <w:pPr>
        <w:pStyle w:val="105"/>
        <w:spacing w:before="120" w:after="120" w:line="360" w:lineRule="auto"/>
      </w:pPr>
      <w:r>
        <w:rPr>
          <w:rFonts w:hint="eastAsia"/>
        </w:rPr>
        <w:t>样品交接要求</w:t>
      </w:r>
    </w:p>
    <w:p w14:paraId="271D5195">
      <w:pPr>
        <w:pStyle w:val="165"/>
        <w:spacing w:line="360" w:lineRule="auto"/>
      </w:pPr>
      <w:r>
        <w:rPr>
          <w:rFonts w:hint="eastAsia"/>
        </w:rPr>
        <w:t>样品到达实验室后，应立即进行接收检查和交接确认。</w:t>
      </w:r>
    </w:p>
    <w:p w14:paraId="76E6AB61">
      <w:pPr>
        <w:pStyle w:val="165"/>
        <w:spacing w:line="360" w:lineRule="auto"/>
      </w:pPr>
      <w:r>
        <w:rPr>
          <w:rFonts w:hint="eastAsia"/>
        </w:rPr>
        <w:t>接收检查应至少包括样品数量、样品编号、容器状态、密封状态、保存状态、标签信息和伴随记录。</w:t>
      </w:r>
    </w:p>
    <w:p w14:paraId="44714403">
      <w:pPr>
        <w:pStyle w:val="165"/>
        <w:spacing w:line="360" w:lineRule="auto"/>
      </w:pPr>
      <w:r>
        <w:rPr>
          <w:rFonts w:hint="eastAsia"/>
        </w:rPr>
        <w:t>对存在破损、泄漏、标签不清、保存条件不符合要求或者交接信息不完整的样品，应单独登记并评估是否可接收。</w:t>
      </w:r>
    </w:p>
    <w:p w14:paraId="7E72B305">
      <w:pPr>
        <w:pStyle w:val="165"/>
        <w:spacing w:line="360" w:lineRule="auto"/>
      </w:pPr>
      <w:r>
        <w:rPr>
          <w:rFonts w:hint="eastAsia"/>
        </w:rPr>
        <w:t>样品交接双方应签字确认交接信息；未完成交接确认的样品，不得直接进入正式分析流程。</w:t>
      </w:r>
    </w:p>
    <w:p w14:paraId="7CC4BC5B">
      <w:pPr>
        <w:pStyle w:val="165"/>
        <w:spacing w:line="360" w:lineRule="auto"/>
      </w:pPr>
      <w:r>
        <w:rPr>
          <w:rFonts w:hint="eastAsia"/>
        </w:rPr>
        <w:t>样品接收后应及时赋予实验室内部状态标识，并纳入样品台账管理。</w:t>
      </w:r>
    </w:p>
    <w:p w14:paraId="608A570C">
      <w:pPr>
        <w:pStyle w:val="105"/>
        <w:spacing w:before="120" w:after="120" w:line="360" w:lineRule="auto"/>
      </w:pPr>
      <w:r>
        <w:rPr>
          <w:rFonts w:hint="eastAsia"/>
        </w:rPr>
        <w:t>样品异常处置要求</w:t>
      </w:r>
    </w:p>
    <w:p w14:paraId="7916F751">
      <w:pPr>
        <w:pStyle w:val="165"/>
        <w:spacing w:line="360" w:lineRule="auto"/>
      </w:pPr>
      <w:r>
        <w:rPr>
          <w:rFonts w:hint="eastAsia"/>
        </w:rPr>
        <w:t>对下列情形之一的样品，应判定为异常样品：</w:t>
      </w:r>
    </w:p>
    <w:p w14:paraId="671DB740">
      <w:pPr>
        <w:pStyle w:val="56"/>
        <w:spacing w:line="360" w:lineRule="auto"/>
        <w:ind w:firstLine="420"/>
      </w:pPr>
      <w:r>
        <w:rPr>
          <w:rFonts w:hint="eastAsia"/>
        </w:rPr>
        <w:t>a）样品数量不足；</w:t>
      </w:r>
    </w:p>
    <w:p w14:paraId="7A0C1213">
      <w:pPr>
        <w:pStyle w:val="56"/>
        <w:spacing w:line="360" w:lineRule="auto"/>
        <w:ind w:firstLine="420"/>
      </w:pPr>
      <w:r>
        <w:rPr>
          <w:rFonts w:hint="eastAsia"/>
        </w:rPr>
        <w:t>b）样品容器破损或者泄漏；</w:t>
      </w:r>
    </w:p>
    <w:p w14:paraId="3C1E5E76">
      <w:pPr>
        <w:pStyle w:val="56"/>
        <w:spacing w:line="360" w:lineRule="auto"/>
        <w:ind w:firstLine="420"/>
      </w:pPr>
      <w:r>
        <w:rPr>
          <w:rFonts w:hint="eastAsia"/>
        </w:rPr>
        <w:t>c）样品标签缺失或者信息不清；</w:t>
      </w:r>
    </w:p>
    <w:p w14:paraId="741A9C92">
      <w:pPr>
        <w:pStyle w:val="56"/>
        <w:spacing w:line="360" w:lineRule="auto"/>
        <w:ind w:firstLine="420"/>
      </w:pPr>
      <w:r>
        <w:rPr>
          <w:rFonts w:hint="eastAsia"/>
        </w:rPr>
        <w:t>d）样品保存条件失控；</w:t>
      </w:r>
    </w:p>
    <w:p w14:paraId="3BF586B9">
      <w:pPr>
        <w:pStyle w:val="56"/>
        <w:spacing w:line="360" w:lineRule="auto"/>
        <w:ind w:firstLine="420"/>
      </w:pPr>
      <w:r>
        <w:rPr>
          <w:rFonts w:hint="eastAsia"/>
        </w:rPr>
        <w:t>e）样品超过保存时限；</w:t>
      </w:r>
    </w:p>
    <w:p w14:paraId="553E4072">
      <w:pPr>
        <w:pStyle w:val="56"/>
        <w:spacing w:line="360" w:lineRule="auto"/>
        <w:ind w:firstLine="420"/>
      </w:pPr>
      <w:r>
        <w:rPr>
          <w:rFonts w:hint="eastAsia"/>
        </w:rPr>
        <w:t>f）样品明显污染或者混入异物；</w:t>
      </w:r>
    </w:p>
    <w:p w14:paraId="503B3C11">
      <w:pPr>
        <w:pStyle w:val="56"/>
        <w:spacing w:line="360" w:lineRule="auto"/>
        <w:ind w:firstLine="420"/>
      </w:pPr>
      <w:r>
        <w:rPr>
          <w:rFonts w:hint="eastAsia"/>
        </w:rPr>
        <w:t>g）样品交接链断裂；</w:t>
      </w:r>
    </w:p>
    <w:p w14:paraId="004E677B">
      <w:pPr>
        <w:pStyle w:val="56"/>
        <w:spacing w:line="360" w:lineRule="auto"/>
        <w:ind w:firstLine="420"/>
      </w:pPr>
      <w:r>
        <w:rPr>
          <w:rFonts w:hint="eastAsia"/>
        </w:rPr>
        <w:t>h）样品类型与任务信息不符。</w:t>
      </w:r>
    </w:p>
    <w:p w14:paraId="0DC8D268">
      <w:pPr>
        <w:pStyle w:val="165"/>
        <w:spacing w:line="360" w:lineRule="auto"/>
      </w:pPr>
      <w:r>
        <w:rPr>
          <w:rFonts w:hint="eastAsia"/>
        </w:rPr>
        <w:t>异常样品应单独登记并评估其对分析结果有效性的影响。</w:t>
      </w:r>
    </w:p>
    <w:p w14:paraId="68E4B3ED">
      <w:pPr>
        <w:pStyle w:val="165"/>
        <w:spacing w:line="360" w:lineRule="auto"/>
      </w:pPr>
      <w:r>
        <w:rPr>
          <w:rFonts w:hint="eastAsia"/>
        </w:rPr>
        <w:t>对无法保证代表性或者完整性的异常样品，不得出具正式分析结果；必要时应重新采样。</w:t>
      </w:r>
    </w:p>
    <w:p w14:paraId="2A62EE40">
      <w:pPr>
        <w:pStyle w:val="165"/>
        <w:spacing w:line="360" w:lineRule="auto"/>
      </w:pPr>
      <w:r>
        <w:rPr>
          <w:rFonts w:hint="eastAsia"/>
        </w:rPr>
        <w:t>异常样品处置过程应形成记录，并与样品编号、任务编号和分析记录建立对应关系。</w:t>
      </w:r>
    </w:p>
    <w:p w14:paraId="571BE6B1">
      <w:pPr>
        <w:pStyle w:val="104"/>
        <w:spacing w:before="240" w:after="240" w:line="360" w:lineRule="auto"/>
      </w:pPr>
      <w:bookmarkStart w:id="53" w:name="_Toc228436448"/>
      <w:r>
        <w:rPr>
          <w:rFonts w:hint="eastAsia"/>
        </w:rPr>
        <w:t>样品前处理要求</w:t>
      </w:r>
      <w:bookmarkEnd w:id="53"/>
    </w:p>
    <w:p w14:paraId="6C2B0721">
      <w:pPr>
        <w:pStyle w:val="105"/>
        <w:spacing w:before="120" w:after="120" w:line="360" w:lineRule="auto"/>
      </w:pPr>
      <w:r>
        <w:rPr>
          <w:rFonts w:hint="eastAsia"/>
        </w:rPr>
        <w:t>一般规定</w:t>
      </w:r>
    </w:p>
    <w:p w14:paraId="0522566E">
      <w:pPr>
        <w:pStyle w:val="165"/>
        <w:spacing w:line="360" w:lineRule="auto"/>
      </w:pPr>
      <w:r>
        <w:rPr>
          <w:rFonts w:hint="eastAsia"/>
        </w:rPr>
        <w:t>样品前处理应根据样品基质类型、目标物性质、检测目的、方法适用范围和仪器分析要求确定。</w:t>
      </w:r>
    </w:p>
    <w:p w14:paraId="5766F95D">
      <w:pPr>
        <w:pStyle w:val="165"/>
        <w:spacing w:line="360" w:lineRule="auto"/>
      </w:pPr>
      <w:r>
        <w:rPr>
          <w:rFonts w:hint="eastAsia"/>
        </w:rPr>
        <w:t>样品前处理应满足目标物有效提取、干扰物尽可能去除、背景污染可控和结果可重复的要求。</w:t>
      </w:r>
    </w:p>
    <w:p w14:paraId="5CABD78B">
      <w:pPr>
        <w:pStyle w:val="165"/>
        <w:spacing w:line="360" w:lineRule="auto"/>
      </w:pPr>
      <w:r>
        <w:rPr>
          <w:rFonts w:hint="eastAsia"/>
        </w:rPr>
        <w:t>不同基质样品不得在未评估适用性的前提下直接采用同一前处理流程。</w:t>
      </w:r>
    </w:p>
    <w:p w14:paraId="00DC0DE4">
      <w:pPr>
        <w:pStyle w:val="165"/>
        <w:spacing w:line="360" w:lineRule="auto"/>
      </w:pPr>
      <w:r>
        <w:rPr>
          <w:rFonts w:hint="eastAsia"/>
        </w:rPr>
        <w:t>样品前处理应尽量减少处理步骤、转移次数和暴露时间，以降低目标物损失和交叉污染风险。</w:t>
      </w:r>
    </w:p>
    <w:p w14:paraId="456F7D23">
      <w:pPr>
        <w:pStyle w:val="165"/>
        <w:spacing w:line="360" w:lineRule="auto"/>
      </w:pPr>
      <w:r>
        <w:rPr>
          <w:rFonts w:hint="eastAsia"/>
        </w:rPr>
        <w:t>样品前处理全过程应设置空白控制和必要的质量控制措施；未设置相应质控措施的，不得开展正式样品处理。</w:t>
      </w:r>
    </w:p>
    <w:p w14:paraId="395D0C08">
      <w:pPr>
        <w:pStyle w:val="165"/>
        <w:spacing w:line="360" w:lineRule="auto"/>
      </w:pPr>
      <w:r>
        <w:rPr>
          <w:rFonts w:hint="eastAsia"/>
        </w:rPr>
        <w:t>对高浓度样品、复杂基质样品和疑难样品，宜单独分批处理，不得与常规痕量样品混批前处理。</w:t>
      </w:r>
    </w:p>
    <w:p w14:paraId="35CAEF7D">
      <w:pPr>
        <w:pStyle w:val="105"/>
        <w:spacing w:before="120" w:after="120" w:line="360" w:lineRule="auto"/>
      </w:pPr>
      <w:r>
        <w:rPr>
          <w:rFonts w:hint="eastAsia"/>
        </w:rPr>
        <w:t>前处理方案确定要求</w:t>
      </w:r>
    </w:p>
    <w:p w14:paraId="05AFAE57">
      <w:pPr>
        <w:pStyle w:val="165"/>
        <w:spacing w:line="360" w:lineRule="auto"/>
      </w:pPr>
      <w:r>
        <w:rPr>
          <w:rFonts w:hint="eastAsia"/>
        </w:rPr>
        <w:t>前处理方案应根据样品基质分为水样前处理、固体样品前处理、生物样品前处理和其他特殊样品前处理。</w:t>
      </w:r>
    </w:p>
    <w:p w14:paraId="40F188E8">
      <w:pPr>
        <w:pStyle w:val="165"/>
        <w:spacing w:line="360" w:lineRule="auto"/>
      </w:pPr>
      <w:r>
        <w:rPr>
          <w:rFonts w:hint="eastAsia"/>
        </w:rPr>
        <w:t>前处理方案确定时应至少考虑下列因素：</w:t>
      </w:r>
    </w:p>
    <w:p w14:paraId="7845A446">
      <w:pPr>
        <w:pStyle w:val="56"/>
        <w:spacing w:line="360" w:lineRule="auto"/>
        <w:ind w:firstLine="420"/>
      </w:pPr>
      <w:r>
        <w:rPr>
          <w:rFonts w:hint="eastAsia"/>
        </w:rPr>
        <w:t>a）目标物的极性、链长、官能团类型和稳定性；</w:t>
      </w:r>
    </w:p>
    <w:p w14:paraId="22BC01E6">
      <w:pPr>
        <w:pStyle w:val="56"/>
        <w:spacing w:line="360" w:lineRule="auto"/>
        <w:ind w:firstLine="420"/>
      </w:pPr>
      <w:r>
        <w:rPr>
          <w:rFonts w:hint="eastAsia"/>
        </w:rPr>
        <w:t>b）样品中有机质、盐分、悬浮物、脂类和蛋白质含量；</w:t>
      </w:r>
    </w:p>
    <w:p w14:paraId="21A1A0C2">
      <w:pPr>
        <w:pStyle w:val="56"/>
        <w:spacing w:line="360" w:lineRule="auto"/>
        <w:ind w:firstLine="420"/>
      </w:pPr>
      <w:r>
        <w:rPr>
          <w:rFonts w:hint="eastAsia"/>
        </w:rPr>
        <w:t>c）样品浓度范围；</w:t>
      </w:r>
    </w:p>
    <w:p w14:paraId="50A101E6">
      <w:pPr>
        <w:pStyle w:val="56"/>
        <w:spacing w:line="360" w:lineRule="auto"/>
        <w:ind w:firstLine="420"/>
      </w:pPr>
      <w:r>
        <w:rPr>
          <w:rFonts w:hint="eastAsia"/>
        </w:rPr>
        <w:t>d）基质效应强弱；</w:t>
      </w:r>
    </w:p>
    <w:p w14:paraId="4BD2C313">
      <w:pPr>
        <w:pStyle w:val="56"/>
        <w:spacing w:line="360" w:lineRule="auto"/>
        <w:ind w:firstLine="420"/>
      </w:pPr>
      <w:r>
        <w:rPr>
          <w:rFonts w:hint="eastAsia"/>
        </w:rPr>
        <w:t>e）后续仪器分析方式；</w:t>
      </w:r>
    </w:p>
    <w:p w14:paraId="6F9286AB">
      <w:pPr>
        <w:pStyle w:val="56"/>
        <w:spacing w:line="360" w:lineRule="auto"/>
        <w:ind w:firstLine="420"/>
      </w:pPr>
      <w:r>
        <w:rPr>
          <w:rFonts w:hint="eastAsia"/>
        </w:rPr>
        <w:t>f）方法检出限和测定下限要求；</w:t>
      </w:r>
    </w:p>
    <w:p w14:paraId="52B2B262">
      <w:pPr>
        <w:pStyle w:val="56"/>
        <w:spacing w:line="360" w:lineRule="auto"/>
        <w:ind w:firstLine="420"/>
      </w:pPr>
      <w:r>
        <w:rPr>
          <w:rFonts w:hint="eastAsia"/>
        </w:rPr>
        <w:t>g）批量处理效率要求。</w:t>
      </w:r>
    </w:p>
    <w:p w14:paraId="3517FD1E">
      <w:pPr>
        <w:pStyle w:val="165"/>
        <w:spacing w:line="360" w:lineRule="auto"/>
      </w:pPr>
      <w:r>
        <w:rPr>
          <w:rFonts w:hint="eastAsia"/>
        </w:rPr>
        <w:t>对未知污染谱样品或者疑似存在多类新型全氟化合物的样品，宜优先采用兼顾筛查范围和回收率的前处理策略。</w:t>
      </w:r>
    </w:p>
    <w:p w14:paraId="2D2D356F">
      <w:pPr>
        <w:pStyle w:val="165"/>
        <w:spacing w:line="360" w:lineRule="auto"/>
      </w:pPr>
      <w:r>
        <w:rPr>
          <w:rFonts w:hint="eastAsia"/>
        </w:rPr>
        <w:t>对需开展准确定量的样品，前处理方案应优先保证回收率稳定性、重复性和基质效应可控性。</w:t>
      </w:r>
    </w:p>
    <w:p w14:paraId="3971BEB0">
      <w:pPr>
        <w:pStyle w:val="105"/>
        <w:spacing w:before="120" w:after="120" w:line="360" w:lineRule="auto"/>
      </w:pPr>
      <w:r>
        <w:rPr>
          <w:rFonts w:hint="eastAsia"/>
        </w:rPr>
        <w:t>水样前处理要求</w:t>
      </w:r>
    </w:p>
    <w:p w14:paraId="204C48C7">
      <w:pPr>
        <w:pStyle w:val="165"/>
        <w:spacing w:line="360" w:lineRule="auto"/>
      </w:pPr>
      <w:r>
        <w:rPr>
          <w:rFonts w:hint="eastAsia"/>
        </w:rPr>
        <w:t>水样前处理宜采用固相萃取、在线富集、直接进样稀释或者其他经确认适用的方式。</w:t>
      </w:r>
    </w:p>
    <w:p w14:paraId="313B8FA6">
      <w:pPr>
        <w:pStyle w:val="165"/>
        <w:spacing w:line="360" w:lineRule="auto"/>
      </w:pPr>
      <w:r>
        <w:rPr>
          <w:rFonts w:hint="eastAsia"/>
        </w:rPr>
        <w:t>采用固相萃取时，应根据目标物特征和样品基质选择适宜的固相材料、上样体积、洗脱溶剂和洗脱程序。</w:t>
      </w:r>
    </w:p>
    <w:p w14:paraId="62407B8B">
      <w:pPr>
        <w:pStyle w:val="165"/>
        <w:spacing w:line="360" w:lineRule="auto"/>
      </w:pPr>
      <w:r>
        <w:rPr>
          <w:rFonts w:hint="eastAsia"/>
        </w:rPr>
        <w:t>水样中悬浮颗粒较多时，应根据检测目的确定是否过滤；需区分溶解态和颗粒态目标物的，应分别处理。</w:t>
      </w:r>
    </w:p>
    <w:p w14:paraId="7D795CCE">
      <w:pPr>
        <w:pStyle w:val="165"/>
        <w:spacing w:line="360" w:lineRule="auto"/>
      </w:pPr>
      <w:r>
        <w:rPr>
          <w:rFonts w:hint="eastAsia"/>
        </w:rPr>
        <w:t>水样前处理前宜加入同位素内标或者替代物；内标加入时点应能够反映前处理全过程损失。</w:t>
      </w:r>
    </w:p>
    <w:p w14:paraId="3B5C7243">
      <w:pPr>
        <w:pStyle w:val="165"/>
        <w:spacing w:line="360" w:lineRule="auto"/>
      </w:pPr>
      <w:r>
        <w:rPr>
          <w:rFonts w:hint="eastAsia"/>
        </w:rPr>
        <w:t>对高盐度水样、高有机污染水样和高悬浮物水样，应评估盐析、乳化、吸附和基质抑制影响，并采取针对性控制措施。</w:t>
      </w:r>
    </w:p>
    <w:p w14:paraId="43CAD790">
      <w:pPr>
        <w:pStyle w:val="165"/>
        <w:spacing w:line="360" w:lineRule="auto"/>
      </w:pPr>
      <w:r>
        <w:rPr>
          <w:rFonts w:hint="eastAsia"/>
        </w:rPr>
        <w:t>经富集后的提取液需要浓缩时，应控制浓缩温度、终体积和氮吹条件，不得因过度蒸干造成目标物损失。</w:t>
      </w:r>
    </w:p>
    <w:p w14:paraId="75232324">
      <w:pPr>
        <w:pStyle w:val="105"/>
        <w:spacing w:before="120" w:after="120" w:line="360" w:lineRule="auto"/>
      </w:pPr>
      <w:r>
        <w:rPr>
          <w:rFonts w:hint="eastAsia"/>
        </w:rPr>
        <w:t>固体样品前处理要求</w:t>
      </w:r>
    </w:p>
    <w:p w14:paraId="315A3187">
      <w:pPr>
        <w:pStyle w:val="165"/>
        <w:spacing w:line="360" w:lineRule="auto"/>
      </w:pPr>
      <w:r>
        <w:rPr>
          <w:rFonts w:hint="eastAsia"/>
        </w:rPr>
        <w:t>土壤、沉积物、污泥和固体废物样品前处理前，应根据方法要求进行风干、冷冻干燥、均质、过筛或者混匀。</w:t>
      </w:r>
    </w:p>
    <w:p w14:paraId="446A89CD">
      <w:pPr>
        <w:pStyle w:val="165"/>
        <w:spacing w:line="360" w:lineRule="auto"/>
      </w:pPr>
      <w:r>
        <w:rPr>
          <w:rFonts w:hint="eastAsia"/>
        </w:rPr>
        <w:t>样品干燥条件应避免目标物损失和污染引入；对热敏感目标物或者组成复杂样品，宜优先采用低温干燥或者冻干方式。</w:t>
      </w:r>
    </w:p>
    <w:p w14:paraId="04A0498D">
      <w:pPr>
        <w:pStyle w:val="165"/>
        <w:spacing w:line="360" w:lineRule="auto"/>
      </w:pPr>
      <w:r>
        <w:rPr>
          <w:rFonts w:hint="eastAsia"/>
        </w:rPr>
        <w:t>固体样品前处理宜采用振荡提取、超声提取、加压流体萃取、固液萃取或者其他经确认适用的提取方式。</w:t>
      </w:r>
    </w:p>
    <w:p w14:paraId="6D095E48">
      <w:pPr>
        <w:pStyle w:val="165"/>
        <w:spacing w:line="360" w:lineRule="auto"/>
      </w:pPr>
      <w:r>
        <w:rPr>
          <w:rFonts w:hint="eastAsia"/>
        </w:rPr>
        <w:t>固体样品提取前应记录样品湿重、干重或者含水率；需要以干重计结果的，应进行含水率测定并据此换算。</w:t>
      </w:r>
    </w:p>
    <w:p w14:paraId="1EF83F29">
      <w:pPr>
        <w:pStyle w:val="165"/>
        <w:spacing w:line="360" w:lineRule="auto"/>
      </w:pPr>
      <w:r>
        <w:rPr>
          <w:rFonts w:hint="eastAsia"/>
        </w:rPr>
        <w:t>提取溶剂种类、提取次数、提取时间和提取液合并方式应按方法要求执行，不得擅自减少提取强度或者缩短提取时间。</w:t>
      </w:r>
    </w:p>
    <w:p w14:paraId="577845C6">
      <w:pPr>
        <w:pStyle w:val="165"/>
        <w:spacing w:line="360" w:lineRule="auto"/>
      </w:pPr>
      <w:r>
        <w:rPr>
          <w:rFonts w:hint="eastAsia"/>
        </w:rPr>
        <w:t>提取液净化前应观察颜色、悬浮状态和相分离情况；存在明显乳化或者杂质异常时，应采取适当分离措施。</w:t>
      </w:r>
    </w:p>
    <w:p w14:paraId="3FDBD128">
      <w:pPr>
        <w:pStyle w:val="105"/>
        <w:spacing w:before="120" w:after="120" w:line="360" w:lineRule="auto"/>
      </w:pPr>
      <w:r>
        <w:rPr>
          <w:rFonts w:hint="eastAsia"/>
        </w:rPr>
        <w:t>生物样品前处理要求</w:t>
      </w:r>
    </w:p>
    <w:p w14:paraId="19017E06">
      <w:pPr>
        <w:pStyle w:val="165"/>
        <w:spacing w:line="360" w:lineRule="auto"/>
      </w:pPr>
      <w:r>
        <w:rPr>
          <w:rFonts w:hint="eastAsia"/>
        </w:rPr>
        <w:t>生物组织、血液、血清、乳汁或者其他生物样品前处理应结合样品中蛋白质、脂类和水分含量确定前处理方案。</w:t>
      </w:r>
    </w:p>
    <w:p w14:paraId="32210027">
      <w:pPr>
        <w:pStyle w:val="165"/>
        <w:spacing w:line="360" w:lineRule="auto"/>
      </w:pPr>
      <w:r>
        <w:rPr>
          <w:rFonts w:hint="eastAsia"/>
        </w:rPr>
        <w:t>生物样品前处理宜包括均质、蛋白沉淀、提取、净化和必要的浓缩步骤。</w:t>
      </w:r>
    </w:p>
    <w:p w14:paraId="6E721C50">
      <w:pPr>
        <w:pStyle w:val="165"/>
        <w:spacing w:line="360" w:lineRule="auto"/>
      </w:pPr>
      <w:r>
        <w:rPr>
          <w:rFonts w:hint="eastAsia"/>
        </w:rPr>
        <w:t>对脂质含量高的样品，应加强脱脂和净化控制，防止严重基质干扰影响筛查和定量结果。</w:t>
      </w:r>
    </w:p>
    <w:p w14:paraId="004B067E">
      <w:pPr>
        <w:pStyle w:val="165"/>
        <w:spacing w:line="360" w:lineRule="auto"/>
      </w:pPr>
      <w:r>
        <w:rPr>
          <w:rFonts w:hint="eastAsia"/>
        </w:rPr>
        <w:t>生物样品称样量、内标加入量和提取溶剂体积应满足方法要求；样品量不足的，应在记录中注明并评估结果适用性。</w:t>
      </w:r>
    </w:p>
    <w:p w14:paraId="3DBB6328">
      <w:pPr>
        <w:pStyle w:val="165"/>
        <w:spacing w:line="360" w:lineRule="auto"/>
      </w:pPr>
      <w:r>
        <w:rPr>
          <w:rFonts w:hint="eastAsia"/>
        </w:rPr>
        <w:t>生物样品前处理过程中不得发生样品混淆、反复冻融和长时间室温暴露。</w:t>
      </w:r>
    </w:p>
    <w:p w14:paraId="6A831DF3">
      <w:pPr>
        <w:pStyle w:val="105"/>
        <w:spacing w:before="120" w:after="120" w:line="360" w:lineRule="auto"/>
      </w:pPr>
      <w:r>
        <w:rPr>
          <w:rFonts w:hint="eastAsia"/>
        </w:rPr>
        <w:t>净化要求</w:t>
      </w:r>
    </w:p>
    <w:p w14:paraId="5E275586">
      <w:pPr>
        <w:pStyle w:val="165"/>
        <w:spacing w:line="360" w:lineRule="auto"/>
      </w:pPr>
      <w:r>
        <w:rPr>
          <w:rFonts w:hint="eastAsia"/>
        </w:rPr>
        <w:t>样品提取液净化应根据基质类型和目标物特征确定。</w:t>
      </w:r>
    </w:p>
    <w:p w14:paraId="3CFF3C9E">
      <w:pPr>
        <w:pStyle w:val="165"/>
        <w:spacing w:line="360" w:lineRule="auto"/>
      </w:pPr>
      <w:r>
        <w:rPr>
          <w:rFonts w:hint="eastAsia"/>
        </w:rPr>
        <w:t>净化方式可采用固相萃取净化、分散固相净化、液液分配净化、活性炭去除、弱阴离子交换净化或者其他适宜方式。</w:t>
      </w:r>
    </w:p>
    <w:p w14:paraId="77AA6446">
      <w:pPr>
        <w:pStyle w:val="165"/>
        <w:spacing w:line="360" w:lineRule="auto"/>
      </w:pPr>
      <w:r>
        <w:rPr>
          <w:rFonts w:hint="eastAsia"/>
        </w:rPr>
        <w:t>净化过程应兼顾去除基质干扰和保持目标物回收率，不得因过度净化导致目标物明显损失。</w:t>
      </w:r>
    </w:p>
    <w:p w14:paraId="4A6AF5F3">
      <w:pPr>
        <w:pStyle w:val="165"/>
        <w:spacing w:line="360" w:lineRule="auto"/>
      </w:pPr>
      <w:r>
        <w:rPr>
          <w:rFonts w:hint="eastAsia"/>
        </w:rPr>
        <w:t>更换净化材料、净化柱规格或者净化程序时，应评估其对目标物回收率和基质效应的影响。</w:t>
      </w:r>
    </w:p>
    <w:p w14:paraId="79CB1A02">
      <w:pPr>
        <w:pStyle w:val="165"/>
        <w:spacing w:line="360" w:lineRule="auto"/>
      </w:pPr>
      <w:r>
        <w:rPr>
          <w:rFonts w:hint="eastAsia"/>
        </w:rPr>
        <w:t>净化后提取液应满足后续仪器进样要求；不满足要求的，应继续处理或者重新前处理。</w:t>
      </w:r>
    </w:p>
    <w:p w14:paraId="62A2CEDD">
      <w:pPr>
        <w:pStyle w:val="105"/>
        <w:spacing w:before="120" w:after="120" w:line="360" w:lineRule="auto"/>
      </w:pPr>
      <w:r>
        <w:rPr>
          <w:rFonts w:hint="eastAsia"/>
        </w:rPr>
        <w:t>内标与替代物加入要求</w:t>
      </w:r>
    </w:p>
    <w:p w14:paraId="23677455">
      <w:pPr>
        <w:pStyle w:val="165"/>
        <w:spacing w:line="360" w:lineRule="auto"/>
      </w:pPr>
      <w:r>
        <w:rPr>
          <w:rFonts w:hint="eastAsia"/>
        </w:rPr>
        <w:t>内标和替代物应优先在样品前处理初始阶段加入。</w:t>
      </w:r>
    </w:p>
    <w:p w14:paraId="77B5C09A">
      <w:pPr>
        <w:pStyle w:val="165"/>
        <w:spacing w:line="360" w:lineRule="auto"/>
      </w:pPr>
      <w:r>
        <w:rPr>
          <w:rFonts w:hint="eastAsia"/>
        </w:rPr>
        <w:t>内标和替代物的种类、浓度和加入体积应满足方法要求，不得因加入量不当导致信号饱和或者无法有效校正。</w:t>
      </w:r>
    </w:p>
    <w:p w14:paraId="3AF63174">
      <w:pPr>
        <w:pStyle w:val="165"/>
        <w:spacing w:line="360" w:lineRule="auto"/>
      </w:pPr>
      <w:r>
        <w:rPr>
          <w:rFonts w:hint="eastAsia"/>
        </w:rPr>
        <w:t>对未配备完全同位素内标的目标物，可采用结构相近、保留行为相近且响应特征适宜的替代内标，但应说明依据。</w:t>
      </w:r>
    </w:p>
    <w:p w14:paraId="0E43F88A">
      <w:pPr>
        <w:pStyle w:val="165"/>
        <w:spacing w:line="360" w:lineRule="auto"/>
      </w:pPr>
      <w:r>
        <w:rPr>
          <w:rFonts w:hint="eastAsia"/>
        </w:rPr>
        <w:t>内标、替代物和目标物存在相互干扰时，应调整监测条件或者更换校正策略。</w:t>
      </w:r>
    </w:p>
    <w:p w14:paraId="56566DDE">
      <w:pPr>
        <w:pStyle w:val="105"/>
        <w:spacing w:before="120" w:after="120" w:line="360" w:lineRule="auto"/>
      </w:pPr>
      <w:r>
        <w:rPr>
          <w:rFonts w:hint="eastAsia"/>
        </w:rPr>
        <w:t>前处理空白与批次控制要求</w:t>
      </w:r>
    </w:p>
    <w:p w14:paraId="3DA93398">
      <w:pPr>
        <w:pStyle w:val="165"/>
        <w:spacing w:line="360" w:lineRule="auto"/>
      </w:pPr>
      <w:r>
        <w:rPr>
          <w:rFonts w:hint="eastAsia"/>
        </w:rPr>
        <w:t>每批样品前处理应至少设置方法空白样。</w:t>
      </w:r>
    </w:p>
    <w:p w14:paraId="1FCE96FF">
      <w:pPr>
        <w:pStyle w:val="165"/>
        <w:spacing w:line="360" w:lineRule="auto"/>
      </w:pPr>
      <w:r>
        <w:rPr>
          <w:rFonts w:hint="eastAsia"/>
        </w:rPr>
        <w:t>对复杂基质样品、重点样品或者批量较大的样品，应增加平行样、基质加标样或者实验室控制样。</w:t>
      </w:r>
    </w:p>
    <w:p w14:paraId="77DB5D0D">
      <w:pPr>
        <w:pStyle w:val="165"/>
        <w:spacing w:line="360" w:lineRule="auto"/>
      </w:pPr>
      <w:r>
        <w:rPr>
          <w:rFonts w:hint="eastAsia"/>
        </w:rPr>
        <w:t>同一批次样品的前处理条件、所用试剂、耗材批次和关键操作步骤应尽量保持一致。</w:t>
      </w:r>
    </w:p>
    <w:p w14:paraId="1880AF82">
      <w:pPr>
        <w:pStyle w:val="165"/>
        <w:spacing w:line="360" w:lineRule="auto"/>
      </w:pPr>
      <w:r>
        <w:rPr>
          <w:rFonts w:hint="eastAsia"/>
        </w:rPr>
        <w:t>前处理批次中若出现空白异常、回收率异常或者重复性异常，应暂停该批次结果判定并查明原因。</w:t>
      </w:r>
    </w:p>
    <w:p w14:paraId="000D9513">
      <w:pPr>
        <w:pStyle w:val="165"/>
        <w:numPr>
          <w:ilvl w:val="0"/>
          <w:numId w:val="0"/>
        </w:numPr>
        <w:spacing w:line="360" w:lineRule="auto"/>
      </w:pPr>
    </w:p>
    <w:p w14:paraId="29C8313C">
      <w:pPr>
        <w:pStyle w:val="165"/>
        <w:numPr>
          <w:ilvl w:val="0"/>
          <w:numId w:val="0"/>
        </w:numPr>
        <w:spacing w:line="360" w:lineRule="auto"/>
        <w:rPr>
          <w:rFonts w:hint="eastAsia"/>
        </w:rPr>
      </w:pPr>
    </w:p>
    <w:p w14:paraId="0B5C0E67">
      <w:pPr>
        <w:pStyle w:val="105"/>
        <w:spacing w:before="120" w:after="120" w:line="360" w:lineRule="auto"/>
      </w:pPr>
      <w:r>
        <w:rPr>
          <w:rFonts w:hint="eastAsia"/>
        </w:rPr>
        <w:t>前处理记录要求</w:t>
      </w:r>
    </w:p>
    <w:p w14:paraId="76834A2D">
      <w:pPr>
        <w:pStyle w:val="165"/>
        <w:spacing w:line="360" w:lineRule="auto"/>
      </w:pPr>
      <w:r>
        <w:rPr>
          <w:rFonts w:hint="eastAsia"/>
        </w:rPr>
        <w:t>前处理过程应形成完整记录。</w:t>
      </w:r>
    </w:p>
    <w:p w14:paraId="10F9AA62">
      <w:pPr>
        <w:pStyle w:val="165"/>
        <w:spacing w:line="360" w:lineRule="auto"/>
      </w:pPr>
      <w:r>
        <w:rPr>
          <w:rFonts w:hint="eastAsia"/>
        </w:rPr>
        <w:t>前处理记录至少应包括下列内容：</w:t>
      </w:r>
    </w:p>
    <w:p w14:paraId="673ECB56">
      <w:pPr>
        <w:pStyle w:val="56"/>
        <w:spacing w:line="360" w:lineRule="auto"/>
        <w:ind w:firstLine="420"/>
      </w:pPr>
      <w:r>
        <w:rPr>
          <w:rFonts w:hint="eastAsia"/>
        </w:rPr>
        <w:t>a）样品编号；</w:t>
      </w:r>
    </w:p>
    <w:p w14:paraId="6F0B885E">
      <w:pPr>
        <w:pStyle w:val="56"/>
        <w:spacing w:line="360" w:lineRule="auto"/>
        <w:ind w:firstLine="420"/>
      </w:pPr>
      <w:r>
        <w:rPr>
          <w:rFonts w:hint="eastAsia"/>
        </w:rPr>
        <w:t>b）样品类型和称样量或者取样体积；</w:t>
      </w:r>
    </w:p>
    <w:p w14:paraId="287B6E18">
      <w:pPr>
        <w:pStyle w:val="56"/>
        <w:spacing w:line="360" w:lineRule="auto"/>
        <w:ind w:firstLine="420"/>
      </w:pPr>
      <w:r>
        <w:rPr>
          <w:rFonts w:hint="eastAsia"/>
        </w:rPr>
        <w:t>c）内标和替代物加入信息；</w:t>
      </w:r>
    </w:p>
    <w:p w14:paraId="223B5095">
      <w:pPr>
        <w:pStyle w:val="56"/>
        <w:spacing w:line="360" w:lineRule="auto"/>
        <w:ind w:firstLine="420"/>
      </w:pPr>
      <w:r>
        <w:rPr>
          <w:rFonts w:hint="eastAsia"/>
        </w:rPr>
        <w:t>d）提取方式和提取条件；</w:t>
      </w:r>
    </w:p>
    <w:p w14:paraId="588F3101">
      <w:pPr>
        <w:pStyle w:val="56"/>
        <w:spacing w:line="360" w:lineRule="auto"/>
        <w:ind w:firstLine="420"/>
      </w:pPr>
      <w:r>
        <w:rPr>
          <w:rFonts w:hint="eastAsia"/>
        </w:rPr>
        <w:t>e）净化方式和净化条件；</w:t>
      </w:r>
    </w:p>
    <w:p w14:paraId="0857DB25">
      <w:pPr>
        <w:pStyle w:val="56"/>
        <w:spacing w:line="360" w:lineRule="auto"/>
        <w:ind w:firstLine="420"/>
      </w:pPr>
      <w:r>
        <w:rPr>
          <w:rFonts w:hint="eastAsia"/>
        </w:rPr>
        <w:t>f）浓缩体积；</w:t>
      </w:r>
    </w:p>
    <w:p w14:paraId="2D7EBD82">
      <w:pPr>
        <w:pStyle w:val="56"/>
        <w:spacing w:line="360" w:lineRule="auto"/>
        <w:ind w:firstLine="420"/>
      </w:pPr>
      <w:r>
        <w:rPr>
          <w:rFonts w:hint="eastAsia"/>
        </w:rPr>
        <w:t>g）定容体积；</w:t>
      </w:r>
    </w:p>
    <w:p w14:paraId="7238FE5D">
      <w:pPr>
        <w:pStyle w:val="56"/>
        <w:spacing w:line="360" w:lineRule="auto"/>
        <w:ind w:firstLine="420"/>
      </w:pPr>
      <w:r>
        <w:rPr>
          <w:rFonts w:hint="eastAsia"/>
        </w:rPr>
        <w:t>h）处理日期和处理人员；</w:t>
      </w:r>
    </w:p>
    <w:p w14:paraId="0F832355">
      <w:pPr>
        <w:pStyle w:val="56"/>
        <w:spacing w:line="360" w:lineRule="auto"/>
        <w:ind w:firstLine="420"/>
      </w:pPr>
      <w:r>
        <w:rPr>
          <w:rFonts w:hint="eastAsia"/>
        </w:rPr>
        <w:t>i）质控样设置情况；</w:t>
      </w:r>
    </w:p>
    <w:p w14:paraId="022057BA">
      <w:pPr>
        <w:pStyle w:val="56"/>
        <w:spacing w:line="360" w:lineRule="auto"/>
        <w:ind w:firstLine="420"/>
      </w:pPr>
      <w:r>
        <w:rPr>
          <w:rFonts w:hint="eastAsia"/>
        </w:rPr>
        <w:t>j）异常情况说明。</w:t>
      </w:r>
    </w:p>
    <w:p w14:paraId="305AD961">
      <w:pPr>
        <w:pStyle w:val="165"/>
        <w:spacing w:line="360" w:lineRule="auto"/>
      </w:pPr>
      <w:r>
        <w:rPr>
          <w:rFonts w:hint="eastAsia"/>
        </w:rPr>
        <w:t>前处理记录不得事后凭记忆集中补录。</w:t>
      </w:r>
    </w:p>
    <w:p w14:paraId="26BA744E">
      <w:pPr>
        <w:pStyle w:val="104"/>
        <w:spacing w:before="240" w:after="240" w:line="360" w:lineRule="auto"/>
      </w:pPr>
      <w:bookmarkStart w:id="54" w:name="_Toc228436449"/>
      <w:r>
        <w:rPr>
          <w:rFonts w:hint="eastAsia"/>
        </w:rPr>
        <w:t>仪器分析要求</w:t>
      </w:r>
      <w:bookmarkEnd w:id="54"/>
    </w:p>
    <w:p w14:paraId="70605502">
      <w:pPr>
        <w:pStyle w:val="105"/>
        <w:spacing w:before="120" w:after="120" w:line="360" w:lineRule="auto"/>
      </w:pPr>
      <w:r>
        <w:rPr>
          <w:rFonts w:hint="eastAsia"/>
        </w:rPr>
        <w:t>一般规定</w:t>
      </w:r>
    </w:p>
    <w:p w14:paraId="2D941681">
      <w:pPr>
        <w:pStyle w:val="165"/>
        <w:spacing w:line="360" w:lineRule="auto"/>
      </w:pPr>
      <w:r>
        <w:rPr>
          <w:rFonts w:hint="eastAsia"/>
        </w:rPr>
        <w:t>新型全氟化合物快速筛查与定量分析宜采用液相色谱—串联质谱、液相色谱—高分辨质谱或者其他经确认适用的仪器分析技术。</w:t>
      </w:r>
    </w:p>
    <w:p w14:paraId="3FD7591D">
      <w:pPr>
        <w:pStyle w:val="165"/>
        <w:spacing w:line="360" w:lineRule="auto"/>
      </w:pPr>
      <w:r>
        <w:rPr>
          <w:rFonts w:hint="eastAsia"/>
        </w:rPr>
        <w:t>仪器分析条件应满足目标物分离、识别和定量要求。</w:t>
      </w:r>
    </w:p>
    <w:p w14:paraId="7F097CA4">
      <w:pPr>
        <w:pStyle w:val="165"/>
        <w:spacing w:line="360" w:lineRule="auto"/>
      </w:pPr>
      <w:r>
        <w:rPr>
          <w:rFonts w:hint="eastAsia"/>
        </w:rPr>
        <w:t>仪器分析方法一经确定，不得在正式样品分析过程中随意变更关键参数；确需调整时，应说明理由并进行适用性确认。</w:t>
      </w:r>
    </w:p>
    <w:p w14:paraId="4F8A62DA">
      <w:pPr>
        <w:pStyle w:val="105"/>
        <w:spacing w:before="120" w:after="120" w:line="360" w:lineRule="auto"/>
      </w:pPr>
      <w:r>
        <w:rPr>
          <w:rFonts w:hint="eastAsia"/>
        </w:rPr>
        <w:t>液相色谱条件要求</w:t>
      </w:r>
    </w:p>
    <w:p w14:paraId="79FCFAED">
      <w:pPr>
        <w:pStyle w:val="165"/>
        <w:spacing w:line="360" w:lineRule="auto"/>
      </w:pPr>
      <w:r>
        <w:rPr>
          <w:rFonts w:hint="eastAsia"/>
        </w:rPr>
        <w:t>色谱柱类型、流动相组成、梯度程序、柱温、进样体积和流速应与目标物特征和基质复杂程度相适应。</w:t>
      </w:r>
    </w:p>
    <w:p w14:paraId="42A4EC95">
      <w:pPr>
        <w:pStyle w:val="165"/>
        <w:spacing w:line="360" w:lineRule="auto"/>
      </w:pPr>
      <w:r>
        <w:rPr>
          <w:rFonts w:hint="eastAsia"/>
        </w:rPr>
        <w:t>色谱分离应尽量避免同分异构体、同系物和基质共洗脱对目标物定性和定量产生显著影响。</w:t>
      </w:r>
    </w:p>
    <w:p w14:paraId="5A2F9774">
      <w:pPr>
        <w:pStyle w:val="165"/>
        <w:spacing w:line="360" w:lineRule="auto"/>
      </w:pPr>
      <w:r>
        <w:rPr>
          <w:rFonts w:hint="eastAsia"/>
        </w:rPr>
        <w:t>使用含氟部件较多的液相系统时，应确认系统本底不影响目标物分析。</w:t>
      </w:r>
    </w:p>
    <w:p w14:paraId="0E3E1C0C">
      <w:pPr>
        <w:pStyle w:val="165"/>
        <w:spacing w:line="360" w:lineRule="auto"/>
      </w:pPr>
      <w:r>
        <w:rPr>
          <w:rFonts w:hint="eastAsia"/>
        </w:rPr>
        <w:t>梯度洗脱程序应能兼顾短链和长链目标物的分离与洗脱，不得因程序设置不合理造成峰拖尾、峰重叠或者残留记忆效应明显。</w:t>
      </w:r>
    </w:p>
    <w:p w14:paraId="03DD80DE">
      <w:pPr>
        <w:pStyle w:val="105"/>
        <w:spacing w:before="120" w:after="120" w:line="360" w:lineRule="auto"/>
      </w:pPr>
      <w:r>
        <w:rPr>
          <w:rFonts w:hint="eastAsia"/>
        </w:rPr>
        <w:t>质谱条件要求</w:t>
      </w:r>
    </w:p>
    <w:p w14:paraId="5C4948F4">
      <w:pPr>
        <w:pStyle w:val="165"/>
        <w:spacing w:line="360" w:lineRule="auto"/>
      </w:pPr>
      <w:r>
        <w:rPr>
          <w:rFonts w:hint="eastAsia"/>
        </w:rPr>
        <w:t>质谱离子源模式、离子化条件、扫描方式和监测离子选择应符合目标物分析要求。</w:t>
      </w:r>
    </w:p>
    <w:p w14:paraId="1B51F568">
      <w:pPr>
        <w:pStyle w:val="165"/>
        <w:spacing w:line="360" w:lineRule="auto"/>
      </w:pPr>
      <w:r>
        <w:rPr>
          <w:rFonts w:hint="eastAsia"/>
        </w:rPr>
        <w:t>串联质谱定量分析宜采用多反应监测模式，并设置定量离子对和定性离子对。</w:t>
      </w:r>
    </w:p>
    <w:p w14:paraId="6ACC07DA">
      <w:pPr>
        <w:pStyle w:val="165"/>
        <w:spacing w:line="360" w:lineRule="auto"/>
      </w:pPr>
      <w:r>
        <w:rPr>
          <w:rFonts w:hint="eastAsia"/>
        </w:rPr>
        <w:t>高分辨质谱筛查分析应设置足够的质量分辨率、质量数准确度和采集范围，以满足疑似筛查和精确质量确认要求。</w:t>
      </w:r>
    </w:p>
    <w:p w14:paraId="73B73826">
      <w:pPr>
        <w:pStyle w:val="165"/>
        <w:spacing w:line="360" w:lineRule="auto"/>
      </w:pPr>
      <w:r>
        <w:rPr>
          <w:rFonts w:hint="eastAsia"/>
        </w:rPr>
        <w:t>质谱条件应尽可能降低背景噪声和共存干扰；背景过高或者干扰明显时，应优化前处理和仪器条件后再分析。</w:t>
      </w:r>
    </w:p>
    <w:p w14:paraId="1EFDDA79">
      <w:pPr>
        <w:pStyle w:val="105"/>
        <w:spacing w:before="120" w:after="120" w:line="360" w:lineRule="auto"/>
      </w:pPr>
      <w:r>
        <w:rPr>
          <w:rFonts w:hint="eastAsia"/>
        </w:rPr>
        <w:t>进样顺序要求</w:t>
      </w:r>
    </w:p>
    <w:p w14:paraId="6FEE8AF3">
      <w:pPr>
        <w:pStyle w:val="165"/>
        <w:spacing w:line="360" w:lineRule="auto"/>
      </w:pPr>
      <w:r>
        <w:rPr>
          <w:rFonts w:hint="eastAsia"/>
        </w:rPr>
        <w:t>仪器分析序列宜按照溶剂空白、方法空白、校准系列、质控样、正式样品、穿插质控样和序列结束空白顺序安排。</w:t>
      </w:r>
    </w:p>
    <w:p w14:paraId="422CA832">
      <w:pPr>
        <w:pStyle w:val="165"/>
        <w:spacing w:line="360" w:lineRule="auto"/>
      </w:pPr>
      <w:r>
        <w:rPr>
          <w:rFonts w:hint="eastAsia"/>
        </w:rPr>
        <w:t>高浓度样品不宜排在低浓度样品前连续进样；必要时应在高浓度样品后增加空白进样检查残留。</w:t>
      </w:r>
    </w:p>
    <w:p w14:paraId="3DEBDD44">
      <w:pPr>
        <w:pStyle w:val="165"/>
        <w:spacing w:line="360" w:lineRule="auto"/>
      </w:pPr>
      <w:r>
        <w:rPr>
          <w:rFonts w:hint="eastAsia"/>
        </w:rPr>
        <w:t>对疑似高污染样品、事故样品和工业样品，应单独编排进样序列。</w:t>
      </w:r>
    </w:p>
    <w:p w14:paraId="7FE8BD97">
      <w:pPr>
        <w:pStyle w:val="165"/>
        <w:spacing w:line="360" w:lineRule="auto"/>
      </w:pPr>
      <w:r>
        <w:rPr>
          <w:rFonts w:hint="eastAsia"/>
        </w:rPr>
        <w:t>进样序列一经建立，应形成记录，不得随意插入未登记样品。</w:t>
      </w:r>
    </w:p>
    <w:p w14:paraId="030CABB8">
      <w:pPr>
        <w:pStyle w:val="105"/>
        <w:spacing w:before="120" w:after="120" w:line="360" w:lineRule="auto"/>
      </w:pPr>
      <w:r>
        <w:rPr>
          <w:rFonts w:hint="eastAsia"/>
        </w:rPr>
        <w:t>系统适用性要求</w:t>
      </w:r>
    </w:p>
    <w:p w14:paraId="4553035B">
      <w:pPr>
        <w:pStyle w:val="165"/>
        <w:spacing w:line="360" w:lineRule="auto"/>
      </w:pPr>
      <w:r>
        <w:rPr>
          <w:rFonts w:hint="eastAsia"/>
        </w:rPr>
        <w:t>正式样品分析前应进行系统适用性检查。</w:t>
      </w:r>
    </w:p>
    <w:p w14:paraId="54504A9C">
      <w:pPr>
        <w:pStyle w:val="165"/>
        <w:spacing w:line="360" w:lineRule="auto"/>
      </w:pPr>
      <w:r>
        <w:rPr>
          <w:rFonts w:hint="eastAsia"/>
        </w:rPr>
        <w:t>系统适用性检查至少应包括下列内容：</w:t>
      </w:r>
    </w:p>
    <w:p w14:paraId="283085A9">
      <w:pPr>
        <w:pStyle w:val="56"/>
        <w:spacing w:line="360" w:lineRule="auto"/>
        <w:ind w:firstLine="420"/>
      </w:pPr>
      <w:r>
        <w:rPr>
          <w:rFonts w:hint="eastAsia"/>
        </w:rPr>
        <w:t>a）保留时间稳定性；</w:t>
      </w:r>
    </w:p>
    <w:p w14:paraId="68846B93">
      <w:pPr>
        <w:pStyle w:val="56"/>
        <w:spacing w:line="360" w:lineRule="auto"/>
        <w:ind w:firstLine="420"/>
      </w:pPr>
      <w:r>
        <w:rPr>
          <w:rFonts w:hint="eastAsia"/>
        </w:rPr>
        <w:t>b）响应强度；</w:t>
      </w:r>
    </w:p>
    <w:p w14:paraId="3B1FD5AC">
      <w:pPr>
        <w:pStyle w:val="56"/>
        <w:spacing w:line="360" w:lineRule="auto"/>
        <w:ind w:firstLine="420"/>
      </w:pPr>
      <w:r>
        <w:rPr>
          <w:rFonts w:hint="eastAsia"/>
        </w:rPr>
        <w:t>c）峰形；</w:t>
      </w:r>
    </w:p>
    <w:p w14:paraId="4F54F735">
      <w:pPr>
        <w:pStyle w:val="56"/>
        <w:spacing w:line="360" w:lineRule="auto"/>
        <w:ind w:firstLine="420"/>
      </w:pPr>
      <w:r>
        <w:rPr>
          <w:rFonts w:hint="eastAsia"/>
        </w:rPr>
        <w:t>d）空白背景；</w:t>
      </w:r>
    </w:p>
    <w:p w14:paraId="099C9049">
      <w:pPr>
        <w:pStyle w:val="56"/>
        <w:spacing w:line="360" w:lineRule="auto"/>
        <w:ind w:firstLine="420"/>
      </w:pPr>
      <w:r>
        <w:rPr>
          <w:rFonts w:hint="eastAsia"/>
        </w:rPr>
        <w:t>e）质量数准确度或者离子对响应一致性；</w:t>
      </w:r>
    </w:p>
    <w:p w14:paraId="0701E5BB">
      <w:pPr>
        <w:pStyle w:val="56"/>
        <w:spacing w:line="360" w:lineRule="auto"/>
        <w:ind w:firstLine="420"/>
      </w:pPr>
      <w:r>
        <w:rPr>
          <w:rFonts w:hint="eastAsia"/>
        </w:rPr>
        <w:t>f）重复进样稳定性。</w:t>
      </w:r>
    </w:p>
    <w:p w14:paraId="47FC7805">
      <w:pPr>
        <w:pStyle w:val="165"/>
        <w:spacing w:line="360" w:lineRule="auto"/>
      </w:pPr>
      <w:r>
        <w:rPr>
          <w:rFonts w:hint="eastAsia"/>
        </w:rPr>
        <w:t>系统适用性不符合要求时，不得直接开展正式样品分析。</w:t>
      </w:r>
    </w:p>
    <w:p w14:paraId="66EC3CB3">
      <w:pPr>
        <w:pStyle w:val="105"/>
        <w:spacing w:before="120" w:after="120" w:line="360" w:lineRule="auto"/>
      </w:pPr>
      <w:r>
        <w:rPr>
          <w:rFonts w:hint="eastAsia"/>
        </w:rPr>
        <w:t>快速筛查分析要求</w:t>
      </w:r>
    </w:p>
    <w:p w14:paraId="5AEECB67">
      <w:pPr>
        <w:pStyle w:val="165"/>
        <w:spacing w:line="360" w:lineRule="auto"/>
      </w:pPr>
      <w:r>
        <w:rPr>
          <w:rFonts w:hint="eastAsia"/>
        </w:rPr>
        <w:t>快速筛查应根据预设目标物清单、疑似筛查清单或者非靶向策略执行。</w:t>
      </w:r>
    </w:p>
    <w:p w14:paraId="4D789EAF">
      <w:pPr>
        <w:pStyle w:val="165"/>
        <w:spacing w:line="360" w:lineRule="auto"/>
      </w:pPr>
      <w:r>
        <w:rPr>
          <w:rFonts w:hint="eastAsia"/>
        </w:rPr>
        <w:t>快速筛查应明确筛查判定规则，包括保留时间窗口、特征离子条件、精确质量偏差范围、同位素分布要求和最低响应要求。</w:t>
      </w:r>
    </w:p>
    <w:p w14:paraId="069A7345">
      <w:pPr>
        <w:pStyle w:val="165"/>
        <w:spacing w:line="360" w:lineRule="auto"/>
      </w:pPr>
      <w:r>
        <w:rPr>
          <w:rFonts w:hint="eastAsia"/>
        </w:rPr>
        <w:t>快速筛查结果为疑似检出的，应按规定开展进一步确认，不得直接作为正式定量结果出具。</w:t>
      </w:r>
    </w:p>
    <w:p w14:paraId="6343FADA">
      <w:pPr>
        <w:pStyle w:val="165"/>
        <w:spacing w:line="360" w:lineRule="auto"/>
      </w:pPr>
      <w:r>
        <w:rPr>
          <w:rFonts w:hint="eastAsia"/>
        </w:rPr>
        <w:t>非靶向或者疑似筛查中形成的候选化合物，应根据证据强度进行分级管理。</w:t>
      </w:r>
    </w:p>
    <w:p w14:paraId="66DB912D">
      <w:pPr>
        <w:pStyle w:val="105"/>
        <w:spacing w:before="120" w:after="120" w:line="360" w:lineRule="auto"/>
      </w:pPr>
      <w:r>
        <w:rPr>
          <w:rFonts w:hint="eastAsia"/>
        </w:rPr>
        <w:t>定量分析要求</w:t>
      </w:r>
    </w:p>
    <w:p w14:paraId="661FC981">
      <w:pPr>
        <w:pStyle w:val="165"/>
        <w:spacing w:line="360" w:lineRule="auto"/>
      </w:pPr>
      <w:r>
        <w:rPr>
          <w:rFonts w:hint="eastAsia"/>
        </w:rPr>
        <w:t>定量分析应采用不少于方法要求点数的校准系列建立校准曲线。</w:t>
      </w:r>
    </w:p>
    <w:p w14:paraId="5B0EC62A">
      <w:pPr>
        <w:pStyle w:val="165"/>
        <w:spacing w:line="360" w:lineRule="auto"/>
      </w:pPr>
      <w:r>
        <w:rPr>
          <w:rFonts w:hint="eastAsia"/>
        </w:rPr>
        <w:t>校准曲线的浓度范围应覆盖样品实际浓度范围；样品响应超出曲线范围时，应按规定处理。</w:t>
      </w:r>
    </w:p>
    <w:p w14:paraId="69EB7082">
      <w:pPr>
        <w:pStyle w:val="165"/>
        <w:spacing w:line="360" w:lineRule="auto"/>
      </w:pPr>
      <w:r>
        <w:rPr>
          <w:rFonts w:hint="eastAsia"/>
        </w:rPr>
        <w:t>校准方式可采用外标法、内标法、同位素稀释法、基质匹配校准法或者标准加入法；采用何种方式应有明确依据。</w:t>
      </w:r>
    </w:p>
    <w:p w14:paraId="538EAE71">
      <w:pPr>
        <w:pStyle w:val="165"/>
        <w:spacing w:line="360" w:lineRule="auto"/>
      </w:pPr>
      <w:r>
        <w:rPr>
          <w:rFonts w:hint="eastAsia"/>
        </w:rPr>
        <w:t>定量分析中应定期插入校准核查样和质控样，以确认仪器漂移和定量稳定性。</w:t>
      </w:r>
    </w:p>
    <w:p w14:paraId="2701A1E9">
      <w:pPr>
        <w:pStyle w:val="165"/>
        <w:spacing w:line="360" w:lineRule="auto"/>
      </w:pPr>
      <w:r>
        <w:rPr>
          <w:rFonts w:hint="eastAsia"/>
        </w:rPr>
        <w:t>定量离子峰积分应符合统一积分规则；对低信噪比峰和受干扰峰，应复核后判定是否可用于定量。</w:t>
      </w:r>
    </w:p>
    <w:p w14:paraId="053D4928">
      <w:pPr>
        <w:pStyle w:val="105"/>
        <w:spacing w:before="120" w:after="120" w:line="360" w:lineRule="auto"/>
      </w:pPr>
      <w:r>
        <w:rPr>
          <w:rFonts w:hint="eastAsia"/>
        </w:rPr>
        <w:t>残留与携带污染控制要求</w:t>
      </w:r>
    </w:p>
    <w:p w14:paraId="07673A82">
      <w:pPr>
        <w:pStyle w:val="165"/>
        <w:spacing w:line="360" w:lineRule="auto"/>
      </w:pPr>
      <w:r>
        <w:rPr>
          <w:rFonts w:hint="eastAsia"/>
        </w:rPr>
        <w:t>进样系统、针座、管路和色谱柱存在明显残留时，应及时清洗和检查。</w:t>
      </w:r>
    </w:p>
    <w:p w14:paraId="0B59AABC">
      <w:pPr>
        <w:pStyle w:val="165"/>
        <w:spacing w:line="360" w:lineRule="auto"/>
      </w:pPr>
      <w:r>
        <w:rPr>
          <w:rFonts w:hint="eastAsia"/>
        </w:rPr>
        <w:t>高浓度样品分析后应采用空白样检查是否存在携带污染。</w:t>
      </w:r>
    </w:p>
    <w:p w14:paraId="285226B2">
      <w:pPr>
        <w:pStyle w:val="165"/>
        <w:spacing w:line="360" w:lineRule="auto"/>
      </w:pPr>
      <w:r>
        <w:rPr>
          <w:rFonts w:hint="eastAsia"/>
        </w:rPr>
        <w:t>若空白样中出现明显携带污染，应暂停后续低浓度样品分析，并在污染消除后重新进样。</w:t>
      </w:r>
    </w:p>
    <w:p w14:paraId="242692EB">
      <w:pPr>
        <w:pStyle w:val="104"/>
        <w:spacing w:before="240" w:after="240" w:line="360" w:lineRule="auto"/>
      </w:pPr>
      <w:bookmarkStart w:id="55" w:name="_Toc228436450"/>
      <w:r>
        <w:rPr>
          <w:rFonts w:hint="eastAsia"/>
        </w:rPr>
        <w:t>质量保证与质量控制要求</w:t>
      </w:r>
      <w:bookmarkEnd w:id="55"/>
    </w:p>
    <w:p w14:paraId="7CC971CE">
      <w:pPr>
        <w:pStyle w:val="105"/>
        <w:spacing w:before="120" w:after="120" w:line="360" w:lineRule="auto"/>
      </w:pPr>
      <w:r>
        <w:rPr>
          <w:rFonts w:hint="eastAsia"/>
        </w:rPr>
        <w:t>一般规定</w:t>
      </w:r>
    </w:p>
    <w:p w14:paraId="7CDD6254">
      <w:pPr>
        <w:pStyle w:val="165"/>
        <w:spacing w:line="360" w:lineRule="auto"/>
      </w:pPr>
      <w:r>
        <w:rPr>
          <w:rFonts w:hint="eastAsia"/>
        </w:rPr>
        <w:t>质量保证与质量控制应覆盖样品采集、样品保存、前处理、仪器分析、数据处理和结果报告全过程。</w:t>
      </w:r>
    </w:p>
    <w:p w14:paraId="566E50D6">
      <w:pPr>
        <w:pStyle w:val="165"/>
        <w:spacing w:line="360" w:lineRule="auto"/>
      </w:pPr>
      <w:r>
        <w:rPr>
          <w:rFonts w:hint="eastAsia"/>
        </w:rPr>
        <w:t>实验室应建立适用于新型全氟化合物分析的质控计划和判定规则。</w:t>
      </w:r>
    </w:p>
    <w:p w14:paraId="25F752CA">
      <w:pPr>
        <w:pStyle w:val="105"/>
        <w:spacing w:before="120" w:after="120" w:line="360" w:lineRule="auto"/>
      </w:pPr>
      <w:r>
        <w:rPr>
          <w:rFonts w:hint="eastAsia"/>
        </w:rPr>
        <w:t>空白控制要求</w:t>
      </w:r>
    </w:p>
    <w:p w14:paraId="738EF2D6">
      <w:pPr>
        <w:pStyle w:val="165"/>
        <w:spacing w:line="360" w:lineRule="auto"/>
      </w:pPr>
      <w:r>
        <w:rPr>
          <w:rFonts w:hint="eastAsia"/>
        </w:rPr>
        <w:t>每批样品分析应设置方法空白。</w:t>
      </w:r>
    </w:p>
    <w:p w14:paraId="7A0E067D">
      <w:pPr>
        <w:pStyle w:val="165"/>
        <w:spacing w:line="360" w:lineRule="auto"/>
      </w:pPr>
      <w:r>
        <w:rPr>
          <w:rFonts w:hint="eastAsia"/>
        </w:rPr>
        <w:t>必要时应设置实验室空白、运输空白和现场空白。</w:t>
      </w:r>
    </w:p>
    <w:p w14:paraId="515A4656">
      <w:pPr>
        <w:pStyle w:val="165"/>
        <w:spacing w:line="360" w:lineRule="auto"/>
      </w:pPr>
      <w:r>
        <w:rPr>
          <w:rFonts w:hint="eastAsia"/>
        </w:rPr>
        <w:t>空白样中目标物检出达到影响结果判定程度时，应查明来源并重新处理受影响样品。</w:t>
      </w:r>
    </w:p>
    <w:p w14:paraId="04E137FC">
      <w:pPr>
        <w:pStyle w:val="105"/>
        <w:spacing w:before="120" w:after="120" w:line="360" w:lineRule="auto"/>
      </w:pPr>
      <w:r>
        <w:rPr>
          <w:rFonts w:hint="eastAsia"/>
        </w:rPr>
        <w:t>平行样要求</w:t>
      </w:r>
    </w:p>
    <w:p w14:paraId="1FB26860">
      <w:pPr>
        <w:pStyle w:val="165"/>
        <w:spacing w:line="360" w:lineRule="auto"/>
      </w:pPr>
      <w:r>
        <w:rPr>
          <w:rFonts w:hint="eastAsia"/>
        </w:rPr>
        <w:t>每批样品宜按规定比例设置平行样。</w:t>
      </w:r>
    </w:p>
    <w:p w14:paraId="2FD0DDAA">
      <w:pPr>
        <w:pStyle w:val="165"/>
        <w:spacing w:line="360" w:lineRule="auto"/>
      </w:pPr>
      <w:r>
        <w:rPr>
          <w:rFonts w:hint="eastAsia"/>
        </w:rPr>
        <w:t>平行样结果应满足方法规定的重复性要求；不满足要求时，应分析原因并采取纠正措施。</w:t>
      </w:r>
    </w:p>
    <w:p w14:paraId="46F06921">
      <w:pPr>
        <w:pStyle w:val="105"/>
        <w:spacing w:before="120" w:after="120" w:line="360" w:lineRule="auto"/>
      </w:pPr>
      <w:r>
        <w:rPr>
          <w:rFonts w:hint="eastAsia"/>
        </w:rPr>
        <w:t>加标回收要求</w:t>
      </w:r>
    </w:p>
    <w:p w14:paraId="1AED539F">
      <w:pPr>
        <w:pStyle w:val="165"/>
        <w:spacing w:line="360" w:lineRule="auto"/>
      </w:pPr>
      <w:r>
        <w:rPr>
          <w:rFonts w:hint="eastAsia"/>
        </w:rPr>
        <w:t>每批样品宜设置基质加标样或者实验室加标样。</w:t>
      </w:r>
    </w:p>
    <w:p w14:paraId="2F353B77">
      <w:pPr>
        <w:pStyle w:val="165"/>
        <w:spacing w:line="360" w:lineRule="auto"/>
      </w:pPr>
      <w:r>
        <w:rPr>
          <w:rFonts w:hint="eastAsia"/>
        </w:rPr>
        <w:t>加标回收率应在方法允许范围内；超出范围时，应评估基质效应和前处理稳定性。</w:t>
      </w:r>
    </w:p>
    <w:p w14:paraId="647576A0">
      <w:pPr>
        <w:pStyle w:val="165"/>
        <w:spacing w:line="360" w:lineRule="auto"/>
      </w:pPr>
      <w:r>
        <w:rPr>
          <w:rFonts w:hint="eastAsia"/>
        </w:rPr>
        <w:t>高复杂基质样品应优先采用基质加标控制。</w:t>
      </w:r>
    </w:p>
    <w:p w14:paraId="12F6CE7D">
      <w:pPr>
        <w:pStyle w:val="105"/>
        <w:spacing w:before="120" w:after="120" w:line="360" w:lineRule="auto"/>
      </w:pPr>
      <w:r>
        <w:rPr>
          <w:rFonts w:hint="eastAsia"/>
        </w:rPr>
        <w:t>校准核查要求</w:t>
      </w:r>
    </w:p>
    <w:p w14:paraId="6E5AECA6">
      <w:pPr>
        <w:pStyle w:val="165"/>
        <w:spacing w:line="360" w:lineRule="auto"/>
      </w:pPr>
      <w:r>
        <w:rPr>
          <w:rFonts w:hint="eastAsia"/>
        </w:rPr>
        <w:t>仪器分析过程中应定期插入校准核查样。</w:t>
      </w:r>
    </w:p>
    <w:p w14:paraId="6DDC5A56">
      <w:pPr>
        <w:pStyle w:val="165"/>
        <w:spacing w:line="360" w:lineRule="auto"/>
      </w:pPr>
      <w:r>
        <w:rPr>
          <w:rFonts w:hint="eastAsia"/>
        </w:rPr>
        <w:t>校准核查结果不符合要求时，应评估已分析样品结果的有效性，并视情况重新校准或者重新分析。</w:t>
      </w:r>
    </w:p>
    <w:p w14:paraId="61026FB7">
      <w:pPr>
        <w:pStyle w:val="105"/>
        <w:spacing w:before="120" w:after="120" w:line="360" w:lineRule="auto"/>
      </w:pPr>
      <w:r>
        <w:rPr>
          <w:rFonts w:hint="eastAsia"/>
        </w:rPr>
        <w:t>实验室控制样要求</w:t>
      </w:r>
    </w:p>
    <w:p w14:paraId="3CDABADD">
      <w:pPr>
        <w:pStyle w:val="165"/>
        <w:spacing w:line="360" w:lineRule="auto"/>
      </w:pPr>
      <w:r>
        <w:rPr>
          <w:rFonts w:hint="eastAsia"/>
        </w:rPr>
        <w:t>必要时应设置实验室控制样，用于评价方法长期稳定性和实验室内部质量控制水平。</w:t>
      </w:r>
    </w:p>
    <w:p w14:paraId="56EA9C10">
      <w:pPr>
        <w:pStyle w:val="165"/>
        <w:spacing w:line="360" w:lineRule="auto"/>
      </w:pPr>
      <w:r>
        <w:rPr>
          <w:rFonts w:hint="eastAsia"/>
        </w:rPr>
        <w:t>实验室控制样应来源明确、状态稳定并具有可比较性。</w:t>
      </w:r>
    </w:p>
    <w:p w14:paraId="0C27C34C">
      <w:pPr>
        <w:pStyle w:val="105"/>
        <w:spacing w:before="120" w:after="120" w:line="360" w:lineRule="auto"/>
      </w:pPr>
      <w:r>
        <w:rPr>
          <w:rFonts w:hint="eastAsia"/>
        </w:rPr>
        <w:t>质控频次要求</w:t>
      </w:r>
    </w:p>
    <w:p w14:paraId="6B5AE8CA">
      <w:pPr>
        <w:pStyle w:val="165"/>
        <w:spacing w:line="360" w:lineRule="auto"/>
      </w:pPr>
      <w:r>
        <w:rPr>
          <w:rFonts w:hint="eastAsia"/>
        </w:rPr>
        <w:t>质控频次应与样品批量、样品复杂程度、方法风险和结果用途相适应。</w:t>
      </w:r>
    </w:p>
    <w:p w14:paraId="648B1334">
      <w:pPr>
        <w:pStyle w:val="165"/>
        <w:spacing w:line="360" w:lineRule="auto"/>
      </w:pPr>
      <w:r>
        <w:rPr>
          <w:rFonts w:hint="eastAsia"/>
        </w:rPr>
        <w:t>对重点样品、争议样品和高风险样品，应适当提高质控频次。</w:t>
      </w:r>
    </w:p>
    <w:p w14:paraId="51A8C385">
      <w:pPr>
        <w:pStyle w:val="105"/>
        <w:spacing w:before="120" w:after="120" w:line="360" w:lineRule="auto"/>
      </w:pPr>
      <w:r>
        <w:rPr>
          <w:rFonts w:hint="eastAsia"/>
        </w:rPr>
        <w:t>质控结果判定与处置要求</w:t>
      </w:r>
    </w:p>
    <w:p w14:paraId="0956CE59">
      <w:pPr>
        <w:pStyle w:val="165"/>
        <w:spacing w:line="360" w:lineRule="auto"/>
      </w:pPr>
      <w:r>
        <w:rPr>
          <w:rFonts w:hint="eastAsia"/>
        </w:rPr>
        <w:t>质控结果应纳入样品结果有效性判定依据。</w:t>
      </w:r>
    </w:p>
    <w:p w14:paraId="7059E12B">
      <w:pPr>
        <w:pStyle w:val="165"/>
        <w:spacing w:line="360" w:lineRule="auto"/>
      </w:pPr>
      <w:r>
        <w:rPr>
          <w:rFonts w:hint="eastAsia"/>
        </w:rPr>
        <w:t>质控不合格时，应暂停结果出具，并根据问题性质采取重新前处理、重新分析、重新采样建议或者数据作废等措施。</w:t>
      </w:r>
    </w:p>
    <w:p w14:paraId="41A6295F">
      <w:pPr>
        <w:pStyle w:val="165"/>
        <w:spacing w:line="360" w:lineRule="auto"/>
      </w:pPr>
      <w:r>
        <w:rPr>
          <w:rFonts w:hint="eastAsia"/>
        </w:rPr>
        <w:t>质控异常及处置过程应形成记录。</w:t>
      </w:r>
    </w:p>
    <w:p w14:paraId="7DF57889">
      <w:pPr>
        <w:pStyle w:val="104"/>
        <w:spacing w:before="240" w:after="240" w:line="360" w:lineRule="auto"/>
      </w:pPr>
      <w:bookmarkStart w:id="56" w:name="_Toc228436451"/>
      <w:r>
        <w:rPr>
          <w:rFonts w:hint="eastAsia"/>
        </w:rPr>
        <w:t>数据处理、定性确认与定量计算要求</w:t>
      </w:r>
      <w:bookmarkEnd w:id="56"/>
    </w:p>
    <w:p w14:paraId="488316C5">
      <w:pPr>
        <w:pStyle w:val="105"/>
        <w:spacing w:before="120" w:after="120" w:line="360" w:lineRule="auto"/>
      </w:pPr>
      <w:r>
        <w:rPr>
          <w:rFonts w:hint="eastAsia"/>
        </w:rPr>
        <w:t>一般规定</w:t>
      </w:r>
    </w:p>
    <w:p w14:paraId="66B36EB2">
      <w:pPr>
        <w:pStyle w:val="165"/>
        <w:spacing w:line="360" w:lineRule="auto"/>
      </w:pPr>
      <w:r>
        <w:rPr>
          <w:rFonts w:hint="eastAsia"/>
        </w:rPr>
        <w:t>数据处理应基于原始数据文件和经审核的处理规则进行。</w:t>
      </w:r>
    </w:p>
    <w:p w14:paraId="08EF138F">
      <w:pPr>
        <w:pStyle w:val="165"/>
        <w:spacing w:line="360" w:lineRule="auto"/>
      </w:pPr>
      <w:r>
        <w:rPr>
          <w:rFonts w:hint="eastAsia"/>
        </w:rPr>
        <w:t>数据处理应确保结果真实、准确、一致和可追溯。</w:t>
      </w:r>
    </w:p>
    <w:p w14:paraId="374604DE">
      <w:pPr>
        <w:pStyle w:val="105"/>
        <w:spacing w:before="120" w:after="120" w:line="360" w:lineRule="auto"/>
      </w:pPr>
      <w:r>
        <w:rPr>
          <w:rFonts w:hint="eastAsia"/>
        </w:rPr>
        <w:t>峰识别与积分要求</w:t>
      </w:r>
    </w:p>
    <w:p w14:paraId="65D73BDD">
      <w:pPr>
        <w:pStyle w:val="165"/>
        <w:spacing w:line="360" w:lineRule="auto"/>
      </w:pPr>
      <w:r>
        <w:rPr>
          <w:rFonts w:hint="eastAsia"/>
        </w:rPr>
        <w:t>峰识别应结合保留时间、峰形、信噪比、定量离子和定性离子信息综合判定。</w:t>
      </w:r>
    </w:p>
    <w:p w14:paraId="34AA288A">
      <w:pPr>
        <w:pStyle w:val="165"/>
        <w:spacing w:line="360" w:lineRule="auto"/>
      </w:pPr>
      <w:r>
        <w:rPr>
          <w:rFonts w:hint="eastAsia"/>
        </w:rPr>
        <w:t>峰积分应采用统一规则，不得针对个别样品随意更改峰起止点以改变结果。</w:t>
      </w:r>
    </w:p>
    <w:p w14:paraId="41B6B330">
      <w:pPr>
        <w:pStyle w:val="165"/>
        <w:spacing w:line="360" w:lineRule="auto"/>
      </w:pPr>
      <w:r>
        <w:rPr>
          <w:rFonts w:hint="eastAsia"/>
        </w:rPr>
        <w:t>对峰形异常、峰分裂、峰拖尾或者明显受干扰的样品，应进行复核。</w:t>
      </w:r>
    </w:p>
    <w:p w14:paraId="74C8A65F">
      <w:pPr>
        <w:pStyle w:val="105"/>
        <w:spacing w:before="120" w:after="120" w:line="360" w:lineRule="auto"/>
      </w:pPr>
      <w:r>
        <w:rPr>
          <w:rFonts w:hint="eastAsia"/>
        </w:rPr>
        <w:t>定性确认要求</w:t>
      </w:r>
    </w:p>
    <w:p w14:paraId="2DE7D666">
      <w:pPr>
        <w:pStyle w:val="165"/>
        <w:spacing w:line="360" w:lineRule="auto"/>
      </w:pPr>
      <w:r>
        <w:rPr>
          <w:rFonts w:hint="eastAsia"/>
        </w:rPr>
        <w:t>定性确认应至少依据保留时间和特征离子信息。</w:t>
      </w:r>
    </w:p>
    <w:p w14:paraId="7F812279">
      <w:pPr>
        <w:pStyle w:val="165"/>
        <w:spacing w:line="360" w:lineRule="auto"/>
      </w:pPr>
      <w:r>
        <w:rPr>
          <w:rFonts w:hint="eastAsia"/>
        </w:rPr>
        <w:t>采用串联质谱时，应核查定量离子对和定性离子对的响应比例。</w:t>
      </w:r>
    </w:p>
    <w:p w14:paraId="630078AE">
      <w:pPr>
        <w:pStyle w:val="165"/>
        <w:spacing w:line="360" w:lineRule="auto"/>
      </w:pPr>
      <w:r>
        <w:rPr>
          <w:rFonts w:hint="eastAsia"/>
        </w:rPr>
        <w:t>采用高分辨质谱时，应核查精确质量偏差、同位素分布和必要的二级碎片信息。</w:t>
      </w:r>
    </w:p>
    <w:p w14:paraId="5D651DBA">
      <w:pPr>
        <w:pStyle w:val="165"/>
        <w:spacing w:line="360" w:lineRule="auto"/>
      </w:pPr>
      <w:r>
        <w:rPr>
          <w:rFonts w:hint="eastAsia"/>
        </w:rPr>
        <w:t>未满足定性确认条件的，只可判为疑似检出，不得判为确认检出。</w:t>
      </w:r>
    </w:p>
    <w:p w14:paraId="241051F6">
      <w:pPr>
        <w:pStyle w:val="105"/>
        <w:spacing w:before="120" w:after="120" w:line="360" w:lineRule="auto"/>
      </w:pPr>
      <w:r>
        <w:rPr>
          <w:rFonts w:hint="eastAsia"/>
        </w:rPr>
        <w:t>定量计算要求</w:t>
      </w:r>
    </w:p>
    <w:p w14:paraId="27F681EC">
      <w:pPr>
        <w:pStyle w:val="165"/>
        <w:spacing w:line="360" w:lineRule="auto"/>
      </w:pPr>
      <w:r>
        <w:rPr>
          <w:rFonts w:hint="eastAsia"/>
        </w:rPr>
        <w:t>定量计算应根据经确认的校准曲线、内标校正因子、样品体积或者称样量、定容体积和稀释倍数进行。</w:t>
      </w:r>
    </w:p>
    <w:p w14:paraId="3B88B767">
      <w:pPr>
        <w:pStyle w:val="165"/>
        <w:spacing w:line="360" w:lineRule="auto"/>
      </w:pPr>
      <w:r>
        <w:rPr>
          <w:rFonts w:hint="eastAsia"/>
        </w:rPr>
        <w:t>结果换算为体积浓度、质量分数或者干重含量时，应采用统一换算公式和单位。</w:t>
      </w:r>
    </w:p>
    <w:p w14:paraId="5A672F06">
      <w:pPr>
        <w:pStyle w:val="165"/>
        <w:spacing w:line="360" w:lineRule="auto"/>
      </w:pPr>
      <w:r>
        <w:rPr>
          <w:rFonts w:hint="eastAsia"/>
        </w:rPr>
        <w:t>干重样品结果换算应采用实测含水率数据，不得使用估算值。</w:t>
      </w:r>
    </w:p>
    <w:p w14:paraId="3374164A">
      <w:pPr>
        <w:pStyle w:val="165"/>
        <w:spacing w:line="360" w:lineRule="auto"/>
      </w:pPr>
      <w:r>
        <w:rPr>
          <w:rFonts w:hint="eastAsia"/>
        </w:rPr>
        <w:t>定量结果有效数字和数值修约应符合相关规定。</w:t>
      </w:r>
    </w:p>
    <w:p w14:paraId="05CC9626">
      <w:pPr>
        <w:pStyle w:val="105"/>
        <w:spacing w:before="120" w:after="120" w:line="360" w:lineRule="auto"/>
      </w:pPr>
      <w:r>
        <w:rPr>
          <w:rFonts w:hint="eastAsia"/>
        </w:rPr>
        <w:t>检出限和测定下限应用要求</w:t>
      </w:r>
    </w:p>
    <w:p w14:paraId="2E8E6E0B">
      <w:pPr>
        <w:pStyle w:val="165"/>
        <w:spacing w:line="360" w:lineRule="auto"/>
      </w:pPr>
      <w:r>
        <w:rPr>
          <w:rFonts w:hint="eastAsia"/>
        </w:rPr>
        <w:t>结果低于检出限时，应按“未检出”或者规定形式表述。</w:t>
      </w:r>
    </w:p>
    <w:p w14:paraId="5D698382">
      <w:pPr>
        <w:pStyle w:val="165"/>
        <w:spacing w:line="360" w:lineRule="auto"/>
      </w:pPr>
      <w:r>
        <w:rPr>
          <w:rFonts w:hint="eastAsia"/>
        </w:rPr>
        <w:t>结果介于检出限与测定下限之间时，应按规定形式表述，不得作为精确定量值使用。</w:t>
      </w:r>
    </w:p>
    <w:p w14:paraId="3E56EA33">
      <w:pPr>
        <w:pStyle w:val="165"/>
        <w:spacing w:line="360" w:lineRule="auto"/>
      </w:pPr>
      <w:r>
        <w:rPr>
          <w:rFonts w:hint="eastAsia"/>
        </w:rPr>
        <w:t>结果高于校准上限时，应经稀释复测后报告。</w:t>
      </w:r>
    </w:p>
    <w:p w14:paraId="2F320878">
      <w:pPr>
        <w:pStyle w:val="105"/>
        <w:spacing w:before="120" w:after="120" w:line="360" w:lineRule="auto"/>
      </w:pPr>
      <w:r>
        <w:rPr>
          <w:rFonts w:hint="eastAsia"/>
        </w:rPr>
        <w:t>数据复核要求</w:t>
      </w:r>
    </w:p>
    <w:p w14:paraId="7C649C6B">
      <w:pPr>
        <w:pStyle w:val="165"/>
        <w:spacing w:line="360" w:lineRule="auto"/>
      </w:pPr>
      <w:r>
        <w:rPr>
          <w:rFonts w:hint="eastAsia"/>
        </w:rPr>
        <w:t>每批样品结果均应进行技术复核。</w:t>
      </w:r>
    </w:p>
    <w:p w14:paraId="1AA385A6">
      <w:pPr>
        <w:pStyle w:val="165"/>
        <w:spacing w:line="360" w:lineRule="auto"/>
      </w:pPr>
      <w:r>
        <w:rPr>
          <w:rFonts w:hint="eastAsia"/>
        </w:rPr>
        <w:t>复核内容至少应包括样品编号、原始文件、积分结果、定性判定、定量计算、质控结果和结果单位。</w:t>
      </w:r>
    </w:p>
    <w:p w14:paraId="6BF52A48">
      <w:pPr>
        <w:pStyle w:val="165"/>
        <w:spacing w:line="360" w:lineRule="auto"/>
      </w:pPr>
      <w:r>
        <w:rPr>
          <w:rFonts w:hint="eastAsia"/>
        </w:rPr>
        <w:t>技术复核未完成的结果，不得进入报告程序。</w:t>
      </w:r>
    </w:p>
    <w:p w14:paraId="09DA6D69">
      <w:pPr>
        <w:pStyle w:val="104"/>
        <w:spacing w:before="240" w:after="240" w:line="360" w:lineRule="auto"/>
      </w:pPr>
      <w:bookmarkStart w:id="57" w:name="_Toc228436452"/>
      <w:r>
        <w:rPr>
          <w:rFonts w:hint="eastAsia"/>
        </w:rPr>
        <w:t>结果表示与报告要求</w:t>
      </w:r>
      <w:bookmarkEnd w:id="57"/>
    </w:p>
    <w:p w14:paraId="106C82F0">
      <w:pPr>
        <w:pStyle w:val="105"/>
        <w:spacing w:before="120" w:after="120" w:line="360" w:lineRule="auto"/>
      </w:pPr>
      <w:r>
        <w:rPr>
          <w:rFonts w:hint="eastAsia"/>
        </w:rPr>
        <w:t>一般规定</w:t>
      </w:r>
    </w:p>
    <w:p w14:paraId="368F24A9">
      <w:pPr>
        <w:pStyle w:val="165"/>
        <w:spacing w:line="360" w:lineRule="auto"/>
      </w:pPr>
      <w:r>
        <w:rPr>
          <w:rFonts w:hint="eastAsia"/>
        </w:rPr>
        <w:t>结果表示应准确、规范、清晰和可追溯。</w:t>
      </w:r>
    </w:p>
    <w:p w14:paraId="012C5CE6">
      <w:pPr>
        <w:pStyle w:val="165"/>
        <w:spacing w:line="360" w:lineRule="auto"/>
      </w:pPr>
      <w:r>
        <w:rPr>
          <w:rFonts w:hint="eastAsia"/>
        </w:rPr>
        <w:t>报告内容应与检测目的、样品信息、分析方法和结果用途相匹配。</w:t>
      </w:r>
    </w:p>
    <w:p w14:paraId="49339806">
      <w:pPr>
        <w:pStyle w:val="105"/>
        <w:spacing w:before="120" w:after="120" w:line="360" w:lineRule="auto"/>
      </w:pPr>
      <w:r>
        <w:rPr>
          <w:rFonts w:hint="eastAsia"/>
        </w:rPr>
        <w:t>结果表示要求</w:t>
      </w:r>
    </w:p>
    <w:p w14:paraId="6FEC748B">
      <w:pPr>
        <w:pStyle w:val="165"/>
        <w:spacing w:line="360" w:lineRule="auto"/>
      </w:pPr>
      <w:r>
        <w:rPr>
          <w:rFonts w:hint="eastAsia"/>
        </w:rPr>
        <w:t>结果应明确样品编号、样品类型、目标物名称、结果数值、单位和结果状态。</w:t>
      </w:r>
    </w:p>
    <w:p w14:paraId="76C52458">
      <w:pPr>
        <w:pStyle w:val="165"/>
        <w:spacing w:line="360" w:lineRule="auto"/>
      </w:pPr>
      <w:r>
        <w:rPr>
          <w:rFonts w:hint="eastAsia"/>
        </w:rPr>
        <w:t>对快速筛查结果，应明确说明是“未检出”“疑似检出”还是“确认检出”。</w:t>
      </w:r>
    </w:p>
    <w:p w14:paraId="7F507AF0">
      <w:pPr>
        <w:pStyle w:val="165"/>
        <w:spacing w:line="360" w:lineRule="auto"/>
      </w:pPr>
      <w:r>
        <w:rPr>
          <w:rFonts w:hint="eastAsia"/>
        </w:rPr>
        <w:t>对定量结果，应明确是否经内标校正、是否为干重结果、是否为稀释后结果。</w:t>
      </w:r>
    </w:p>
    <w:p w14:paraId="254784DF">
      <w:pPr>
        <w:pStyle w:val="165"/>
        <w:spacing w:line="360" w:lineRule="auto"/>
      </w:pPr>
      <w:r>
        <w:rPr>
          <w:rFonts w:hint="eastAsia"/>
        </w:rPr>
        <w:t>对低于检出限、低于测定下限或者高于校准上限的结果，应按规定方式注明。</w:t>
      </w:r>
    </w:p>
    <w:p w14:paraId="6153B28E">
      <w:pPr>
        <w:pStyle w:val="105"/>
        <w:spacing w:before="120" w:after="120" w:line="360" w:lineRule="auto"/>
      </w:pPr>
      <w:r>
        <w:rPr>
          <w:rFonts w:hint="eastAsia"/>
        </w:rPr>
        <w:t>报告内容要求</w:t>
      </w:r>
    </w:p>
    <w:p w14:paraId="0BDA3724">
      <w:pPr>
        <w:pStyle w:val="165"/>
        <w:spacing w:line="360" w:lineRule="auto"/>
      </w:pPr>
      <w:r>
        <w:rPr>
          <w:rFonts w:hint="eastAsia"/>
        </w:rPr>
        <w:t>报告应至少包括下列内容：</w:t>
      </w:r>
    </w:p>
    <w:p w14:paraId="3A36B0A6">
      <w:pPr>
        <w:pStyle w:val="56"/>
        <w:spacing w:line="360" w:lineRule="auto"/>
        <w:ind w:firstLine="420"/>
      </w:pPr>
      <w:r>
        <w:rPr>
          <w:rFonts w:hint="eastAsia"/>
        </w:rPr>
        <w:t>a）样品基本信息；</w:t>
      </w:r>
    </w:p>
    <w:p w14:paraId="5F239443">
      <w:pPr>
        <w:pStyle w:val="56"/>
        <w:spacing w:line="360" w:lineRule="auto"/>
        <w:ind w:firstLine="420"/>
      </w:pPr>
      <w:r>
        <w:rPr>
          <w:rFonts w:hint="eastAsia"/>
        </w:rPr>
        <w:t>b）分析项目；</w:t>
      </w:r>
    </w:p>
    <w:p w14:paraId="72FBC4E0">
      <w:pPr>
        <w:pStyle w:val="56"/>
        <w:spacing w:line="360" w:lineRule="auto"/>
        <w:ind w:firstLine="420"/>
      </w:pPr>
      <w:r>
        <w:rPr>
          <w:rFonts w:hint="eastAsia"/>
        </w:rPr>
        <w:t>c）分析方法名称或者方法依据；</w:t>
      </w:r>
    </w:p>
    <w:p w14:paraId="3FBCACDA">
      <w:pPr>
        <w:pStyle w:val="56"/>
        <w:spacing w:line="360" w:lineRule="auto"/>
        <w:ind w:firstLine="420"/>
      </w:pPr>
      <w:r>
        <w:rPr>
          <w:rFonts w:hint="eastAsia"/>
        </w:rPr>
        <w:t>d）主要仪器设备；</w:t>
      </w:r>
    </w:p>
    <w:p w14:paraId="443FFB31">
      <w:pPr>
        <w:pStyle w:val="56"/>
        <w:spacing w:line="360" w:lineRule="auto"/>
        <w:ind w:firstLine="420"/>
      </w:pPr>
      <w:r>
        <w:rPr>
          <w:rFonts w:hint="eastAsia"/>
        </w:rPr>
        <w:t>e）结果表示方式；</w:t>
      </w:r>
    </w:p>
    <w:p w14:paraId="65945207">
      <w:pPr>
        <w:pStyle w:val="56"/>
        <w:spacing w:line="360" w:lineRule="auto"/>
        <w:ind w:firstLine="420"/>
      </w:pPr>
      <w:r>
        <w:rPr>
          <w:rFonts w:hint="eastAsia"/>
        </w:rPr>
        <w:t>f）质控结论；</w:t>
      </w:r>
    </w:p>
    <w:p w14:paraId="061BBE79">
      <w:pPr>
        <w:pStyle w:val="56"/>
        <w:spacing w:line="360" w:lineRule="auto"/>
        <w:ind w:firstLine="420"/>
      </w:pPr>
      <w:r>
        <w:rPr>
          <w:rFonts w:hint="eastAsia"/>
        </w:rPr>
        <w:t>g）报告日期；</w:t>
      </w:r>
    </w:p>
    <w:p w14:paraId="149F0475">
      <w:pPr>
        <w:pStyle w:val="56"/>
        <w:spacing w:line="360" w:lineRule="auto"/>
        <w:ind w:firstLine="420"/>
      </w:pPr>
      <w:r>
        <w:rPr>
          <w:rFonts w:hint="eastAsia"/>
        </w:rPr>
        <w:t>h）审核和签发信息。</w:t>
      </w:r>
    </w:p>
    <w:p w14:paraId="041FE8F9">
      <w:pPr>
        <w:pStyle w:val="165"/>
        <w:spacing w:line="360" w:lineRule="auto"/>
      </w:pPr>
      <w:r>
        <w:rPr>
          <w:rFonts w:hint="eastAsia"/>
        </w:rPr>
        <w:t>对采用快速筛查方法的报告，应注明筛查性质、确认条件和适用范围。</w:t>
      </w:r>
    </w:p>
    <w:p w14:paraId="4B8A885A">
      <w:pPr>
        <w:pStyle w:val="165"/>
        <w:spacing w:line="360" w:lineRule="auto"/>
      </w:pPr>
      <w:r>
        <w:rPr>
          <w:rFonts w:hint="eastAsia"/>
        </w:rPr>
        <w:t>对疑似筛查或者非靶向筛查结果，应明确证据等级和结果局限性。</w:t>
      </w:r>
    </w:p>
    <w:p w14:paraId="68CED485">
      <w:pPr>
        <w:pStyle w:val="105"/>
        <w:spacing w:before="120" w:after="120" w:line="360" w:lineRule="auto"/>
      </w:pPr>
      <w:r>
        <w:rPr>
          <w:rFonts w:hint="eastAsia"/>
        </w:rPr>
        <w:t>报告审核与签发要求</w:t>
      </w:r>
    </w:p>
    <w:p w14:paraId="7F70EB39">
      <w:pPr>
        <w:pStyle w:val="165"/>
        <w:spacing w:line="360" w:lineRule="auto"/>
      </w:pPr>
      <w:r>
        <w:rPr>
          <w:rFonts w:hint="eastAsia"/>
        </w:rPr>
        <w:t>报告签发前应完成数据审核、技术审核和必要的质量审核。</w:t>
      </w:r>
    </w:p>
    <w:p w14:paraId="64535C16">
      <w:pPr>
        <w:pStyle w:val="165"/>
        <w:spacing w:line="360" w:lineRule="auto"/>
      </w:pPr>
      <w:r>
        <w:rPr>
          <w:rFonts w:hint="eastAsia"/>
        </w:rPr>
        <w:t>质控不合格、样品异常未处置完成或者技术问题未解决的，不得签发正式报告。</w:t>
      </w:r>
    </w:p>
    <w:p w14:paraId="4B31FB2E">
      <w:pPr>
        <w:pStyle w:val="165"/>
        <w:spacing w:line="360" w:lineRule="auto"/>
      </w:pPr>
      <w:r>
        <w:rPr>
          <w:rFonts w:hint="eastAsia"/>
        </w:rPr>
        <w:t>报告签发后如发现重大错误，应按规定程序更正并保留更正记录。</w:t>
      </w:r>
    </w:p>
    <w:p w14:paraId="21AA2BA6">
      <w:pPr>
        <w:pStyle w:val="104"/>
        <w:spacing w:before="240" w:after="240" w:line="360" w:lineRule="auto"/>
      </w:pPr>
      <w:bookmarkStart w:id="58" w:name="_Toc228436453"/>
      <w:r>
        <w:rPr>
          <w:rFonts w:hint="eastAsia"/>
        </w:rPr>
        <w:t>安全、健康与废弃物处置要求</w:t>
      </w:r>
      <w:bookmarkEnd w:id="58"/>
    </w:p>
    <w:p w14:paraId="12F863F4">
      <w:pPr>
        <w:pStyle w:val="105"/>
        <w:spacing w:before="120" w:after="120" w:line="360" w:lineRule="auto"/>
      </w:pPr>
      <w:r>
        <w:rPr>
          <w:rFonts w:hint="eastAsia"/>
        </w:rPr>
        <w:t>实验安全要求</w:t>
      </w:r>
    </w:p>
    <w:p w14:paraId="6EFDC1A3">
      <w:pPr>
        <w:pStyle w:val="165"/>
        <w:spacing w:line="360" w:lineRule="auto"/>
      </w:pPr>
      <w:r>
        <w:rPr>
          <w:rFonts w:hint="eastAsia"/>
        </w:rPr>
        <w:t>实验室应建立与有机溶剂、酸碱试剂、标准品和污染样品相适应的安全管理制度。</w:t>
      </w:r>
    </w:p>
    <w:p w14:paraId="7FEDD003">
      <w:pPr>
        <w:pStyle w:val="165"/>
        <w:spacing w:line="360" w:lineRule="auto"/>
      </w:pPr>
      <w:r>
        <w:rPr>
          <w:rFonts w:hint="eastAsia"/>
        </w:rPr>
        <w:t>分析人员应按要求佩戴实验服、防护手套、防护眼镜和其他必要防护用品。</w:t>
      </w:r>
    </w:p>
    <w:p w14:paraId="23F5F32B">
      <w:pPr>
        <w:pStyle w:val="165"/>
        <w:spacing w:line="360" w:lineRule="auto"/>
      </w:pPr>
      <w:r>
        <w:rPr>
          <w:rFonts w:hint="eastAsia"/>
        </w:rPr>
        <w:t>试剂配制、样品提取、浓缩和溶剂转移操作应在适宜通风条件下进行。</w:t>
      </w:r>
    </w:p>
    <w:p w14:paraId="68645177">
      <w:pPr>
        <w:pStyle w:val="105"/>
        <w:spacing w:before="120" w:after="120" w:line="360" w:lineRule="auto"/>
      </w:pPr>
      <w:r>
        <w:rPr>
          <w:rFonts w:hint="eastAsia"/>
        </w:rPr>
        <w:t>暴露防护要求</w:t>
      </w:r>
    </w:p>
    <w:p w14:paraId="7A99FADE">
      <w:pPr>
        <w:pStyle w:val="165"/>
        <w:spacing w:line="360" w:lineRule="auto"/>
      </w:pPr>
      <w:r>
        <w:rPr>
          <w:rFonts w:hint="eastAsia"/>
        </w:rPr>
        <w:t>处理高浓度污染样品、事故样品或者高危试剂时，应加强个体防护和作业隔离。</w:t>
      </w:r>
    </w:p>
    <w:p w14:paraId="5112695A">
      <w:pPr>
        <w:pStyle w:val="165"/>
        <w:spacing w:line="360" w:lineRule="auto"/>
      </w:pPr>
      <w:r>
        <w:rPr>
          <w:rFonts w:hint="eastAsia"/>
        </w:rPr>
        <w:t>皮肤接触、吸入暴露和误食风险应采取预防措施；发生意外接触时，应立即按应急程序处理。</w:t>
      </w:r>
    </w:p>
    <w:p w14:paraId="75A911B5">
      <w:pPr>
        <w:pStyle w:val="105"/>
        <w:spacing w:before="120" w:after="120" w:line="360" w:lineRule="auto"/>
      </w:pPr>
      <w:r>
        <w:rPr>
          <w:rFonts w:hint="eastAsia"/>
        </w:rPr>
        <w:t>废弃物处置要求</w:t>
      </w:r>
    </w:p>
    <w:p w14:paraId="4FDB027A">
      <w:pPr>
        <w:pStyle w:val="165"/>
        <w:spacing w:line="360" w:lineRule="auto"/>
      </w:pPr>
      <w:r>
        <w:rPr>
          <w:rFonts w:hint="eastAsia"/>
        </w:rPr>
        <w:t>含氟废液、废提取液、废洗脱液、污染滤膜、废柱和废样品应分类收集。</w:t>
      </w:r>
    </w:p>
    <w:p w14:paraId="76CE57B3">
      <w:pPr>
        <w:pStyle w:val="165"/>
        <w:spacing w:line="360" w:lineRule="auto"/>
      </w:pPr>
      <w:r>
        <w:rPr>
          <w:rFonts w:hint="eastAsia"/>
        </w:rPr>
        <w:t>实验废弃物不得直接排入下水系统或者与一般生活垃圾混放。</w:t>
      </w:r>
    </w:p>
    <w:p w14:paraId="68E8E182">
      <w:pPr>
        <w:pStyle w:val="165"/>
        <w:spacing w:line="360" w:lineRule="auto"/>
      </w:pPr>
      <w:r>
        <w:rPr>
          <w:rFonts w:hint="eastAsia"/>
        </w:rPr>
        <w:t>废弃物贮存、转移和处置应符合有关危险废物管理要求。</w:t>
      </w:r>
    </w:p>
    <w:p w14:paraId="2B28B253">
      <w:pPr>
        <w:pStyle w:val="104"/>
        <w:spacing w:before="240" w:after="240" w:line="360" w:lineRule="auto"/>
      </w:pPr>
      <w:bookmarkStart w:id="59" w:name="_Toc228436454"/>
      <w:r>
        <w:rPr>
          <w:rFonts w:hint="eastAsia"/>
        </w:rPr>
        <w:t>记录、档案与信息管理要求</w:t>
      </w:r>
      <w:bookmarkEnd w:id="59"/>
    </w:p>
    <w:p w14:paraId="6EFA40FE">
      <w:pPr>
        <w:pStyle w:val="105"/>
        <w:spacing w:before="120" w:after="120" w:line="360" w:lineRule="auto"/>
      </w:pPr>
      <w:r>
        <w:rPr>
          <w:rFonts w:hint="eastAsia"/>
        </w:rPr>
        <w:t>记录要求</w:t>
      </w:r>
    </w:p>
    <w:p w14:paraId="30BA78D4">
      <w:pPr>
        <w:pStyle w:val="165"/>
        <w:spacing w:line="360" w:lineRule="auto"/>
      </w:pPr>
      <w:r>
        <w:rPr>
          <w:rFonts w:hint="eastAsia"/>
        </w:rPr>
        <w:t>样品采集、接收、保存、前处理、分析、数据处理、质控、审核和报告全过程均应形成记录。</w:t>
      </w:r>
    </w:p>
    <w:p w14:paraId="0F97D892">
      <w:pPr>
        <w:pStyle w:val="165"/>
        <w:spacing w:line="360" w:lineRule="auto"/>
      </w:pPr>
      <w:r>
        <w:rPr>
          <w:rFonts w:hint="eastAsia"/>
        </w:rPr>
        <w:t>记录应真实、完整、清晰、及时，并与样品编号和数据文件一一对应。</w:t>
      </w:r>
    </w:p>
    <w:p w14:paraId="18284356">
      <w:pPr>
        <w:pStyle w:val="105"/>
        <w:spacing w:before="120" w:after="120" w:line="360" w:lineRule="auto"/>
      </w:pPr>
      <w:r>
        <w:rPr>
          <w:rFonts w:hint="eastAsia"/>
        </w:rPr>
        <w:t>档案管理要求</w:t>
      </w:r>
    </w:p>
    <w:p w14:paraId="6FF364AF">
      <w:pPr>
        <w:pStyle w:val="165"/>
        <w:spacing w:line="360" w:lineRule="auto"/>
      </w:pPr>
      <w:r>
        <w:rPr>
          <w:rFonts w:hint="eastAsia"/>
        </w:rPr>
        <w:t>原始记录、谱图文件、积分文件、计算表、质控记录、审核记录和报告文件应统一归档。</w:t>
      </w:r>
    </w:p>
    <w:p w14:paraId="7A24C732">
      <w:pPr>
        <w:pStyle w:val="165"/>
        <w:spacing w:line="360" w:lineRule="auto"/>
      </w:pPr>
      <w:r>
        <w:rPr>
          <w:rFonts w:hint="eastAsia"/>
        </w:rPr>
        <w:t>电子档案和纸质档案应保持一致；确有差异时，应以受控原始记录为准并查明原因。</w:t>
      </w:r>
    </w:p>
    <w:p w14:paraId="0422C048">
      <w:pPr>
        <w:pStyle w:val="165"/>
        <w:spacing w:line="360" w:lineRule="auto"/>
      </w:pPr>
      <w:r>
        <w:rPr>
          <w:rFonts w:hint="eastAsia"/>
        </w:rPr>
        <w:t>档案保存期限应符合有关规定和项目要求。</w:t>
      </w:r>
    </w:p>
    <w:p w14:paraId="13CBDDFA">
      <w:pPr>
        <w:pStyle w:val="105"/>
        <w:spacing w:before="120" w:after="120" w:line="360" w:lineRule="auto"/>
      </w:pPr>
      <w:r>
        <w:rPr>
          <w:rFonts w:hint="eastAsia"/>
        </w:rPr>
        <w:t>信息管理要求</w:t>
      </w:r>
    </w:p>
    <w:p w14:paraId="62591327">
      <w:pPr>
        <w:pStyle w:val="165"/>
        <w:spacing w:line="360" w:lineRule="auto"/>
      </w:pPr>
      <w:r>
        <w:rPr>
          <w:rFonts w:hint="eastAsia"/>
        </w:rPr>
        <w:t>数据文件命名规则、目录结构和备份规则应统一。</w:t>
      </w:r>
    </w:p>
    <w:p w14:paraId="63FD7C90">
      <w:pPr>
        <w:pStyle w:val="165"/>
        <w:spacing w:line="360" w:lineRule="auto"/>
      </w:pPr>
      <w:r>
        <w:rPr>
          <w:rFonts w:hint="eastAsia"/>
        </w:rPr>
        <w:t>原始数据和处理数据应分别保存，不得相互覆盖。</w:t>
      </w:r>
    </w:p>
    <w:p w14:paraId="40049E9D">
      <w:pPr>
        <w:pStyle w:val="165"/>
        <w:spacing w:line="360" w:lineRule="auto"/>
      </w:pPr>
      <w:r>
        <w:rPr>
          <w:rFonts w:hint="eastAsia"/>
        </w:rPr>
        <w:t>未经授权，不得复制、删除、外传或者修改原始数据文件。</w:t>
      </w:r>
    </w:p>
    <w:p w14:paraId="6A41E42F">
      <w:pPr>
        <w:pStyle w:val="104"/>
        <w:spacing w:before="240" w:after="240" w:line="360" w:lineRule="auto"/>
      </w:pPr>
      <w:bookmarkStart w:id="60" w:name="_Toc228436455"/>
      <w:r>
        <w:rPr>
          <w:rFonts w:hint="eastAsia"/>
        </w:rPr>
        <w:t>附则</w:t>
      </w:r>
      <w:bookmarkEnd w:id="60"/>
    </w:p>
    <w:p w14:paraId="196ABFF8">
      <w:pPr>
        <w:pStyle w:val="162"/>
        <w:spacing w:line="360" w:lineRule="auto"/>
      </w:pPr>
      <w:r>
        <w:rPr>
          <w:rFonts w:hint="eastAsia"/>
        </w:rPr>
        <w:t>本文件用于指导新型全氟化合物快速筛查与定量分析相关操作活动。</w:t>
      </w:r>
    </w:p>
    <w:p w14:paraId="2922E43A">
      <w:pPr>
        <w:pStyle w:val="162"/>
        <w:spacing w:line="360" w:lineRule="auto"/>
      </w:pPr>
      <w:r>
        <w:rPr>
          <w:rFonts w:hint="eastAsia"/>
        </w:rPr>
        <w:t>各实验室可根据样品类型、仪器条件、管理要求和应用场景，在不低于本文件要求的前提下，细化形成作业指导书、质量控制细则和内部操作程序。</w:t>
      </w:r>
    </w:p>
    <w:p w14:paraId="64A83B8A">
      <w:pPr>
        <w:pStyle w:val="162"/>
        <w:spacing w:line="360" w:lineRule="auto"/>
      </w:pPr>
      <w:r>
        <w:rPr>
          <w:rFonts w:hint="eastAsia"/>
        </w:rPr>
        <w:t>本文件未规定的事项，应符合国家现行有关法律法规及相关标准的规定。</w:t>
      </w:r>
    </w:p>
    <w:bookmarkEnd w:id="26"/>
    <w:p w14:paraId="220F0A00">
      <w:pPr>
        <w:pStyle w:val="56"/>
        <w:ind w:firstLine="0" w:firstLineChars="0"/>
        <w:jc w:val="center"/>
      </w:pPr>
      <w:bookmarkStart w:id="61" w:name="BookMark8"/>
      <w:r>
        <w:drawing>
          <wp:inline distT="0" distB="0" distL="0" distR="0">
            <wp:extent cx="1485900" cy="317500"/>
            <wp:effectExtent l="0" t="0" r="0" b="6350"/>
            <wp:docPr id="680886348" name="图片 3"/>
            <wp:cNvGraphicFramePr/>
            <a:graphic xmlns:a="http://schemas.openxmlformats.org/drawingml/2006/main">
              <a:graphicData uri="http://schemas.openxmlformats.org/drawingml/2006/picture">
                <pic:pic xmlns:pic="http://schemas.openxmlformats.org/drawingml/2006/picture">
                  <pic:nvPicPr>
                    <pic:cNvPr id="680886348"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87CA7">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0AC7C">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0248—2026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0248—2026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0248—2026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E619">
    <w:pPr>
      <w:pStyle w:val="61"/>
      <w:rPr>
        <w:rFonts w:hint="eastAsia"/>
      </w:rPr>
    </w:pPr>
    <w:r>
      <w:fldChar w:fldCharType="begin"/>
    </w:r>
    <w:r>
      <w:instrText xml:space="preserve"> STYLEREF  标准文件_文件编号  \* MERGEFORMAT </w:instrText>
    </w:r>
    <w:r>
      <w:fldChar w:fldCharType="separate"/>
    </w:r>
    <w:r>
      <w:t>T/XZBX 0248—2026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AB1BC">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0248—2026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0248—2026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0248—2026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0248—2026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AB5"/>
    <w:rsid w:val="00067F1E"/>
    <w:rsid w:val="00071723"/>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EF5"/>
    <w:rsid w:val="000E4C9E"/>
    <w:rsid w:val="000E6FD7"/>
    <w:rsid w:val="000E7144"/>
    <w:rsid w:val="000F06E1"/>
    <w:rsid w:val="000F0E3C"/>
    <w:rsid w:val="000F19D5"/>
    <w:rsid w:val="000F4050"/>
    <w:rsid w:val="000F4AEA"/>
    <w:rsid w:val="000F67E9"/>
    <w:rsid w:val="00104926"/>
    <w:rsid w:val="00113B1E"/>
    <w:rsid w:val="0011497B"/>
    <w:rsid w:val="0011711C"/>
    <w:rsid w:val="00124E4F"/>
    <w:rsid w:val="001260B7"/>
    <w:rsid w:val="001265CB"/>
    <w:rsid w:val="001321C6"/>
    <w:rsid w:val="001325C4"/>
    <w:rsid w:val="00133010"/>
    <w:rsid w:val="001338EE"/>
    <w:rsid w:val="00133AAE"/>
    <w:rsid w:val="001344F1"/>
    <w:rsid w:val="00135323"/>
    <w:rsid w:val="001356C4"/>
    <w:rsid w:val="00137565"/>
    <w:rsid w:val="00141114"/>
    <w:rsid w:val="00142969"/>
    <w:rsid w:val="001446C2"/>
    <w:rsid w:val="001457E7"/>
    <w:rsid w:val="00145D9D"/>
    <w:rsid w:val="00146388"/>
    <w:rsid w:val="001464EB"/>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E7B"/>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2E0"/>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25ED"/>
    <w:rsid w:val="002F2BF1"/>
    <w:rsid w:val="002F2CD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340"/>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DCE"/>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585A"/>
    <w:rsid w:val="003F6272"/>
    <w:rsid w:val="00400E72"/>
    <w:rsid w:val="00401400"/>
    <w:rsid w:val="00404869"/>
    <w:rsid w:val="00405884"/>
    <w:rsid w:val="00407D39"/>
    <w:rsid w:val="0041477A"/>
    <w:rsid w:val="004167A3"/>
    <w:rsid w:val="00421B07"/>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6FB3"/>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743"/>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930"/>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07E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5F3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163"/>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6E9A"/>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16D6"/>
    <w:rsid w:val="00AF47B8"/>
    <w:rsid w:val="00AF47C5"/>
    <w:rsid w:val="00AF5398"/>
    <w:rsid w:val="00B038A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5D8F"/>
    <w:rsid w:val="00B77EC8"/>
    <w:rsid w:val="00B827A6"/>
    <w:rsid w:val="00B831CE"/>
    <w:rsid w:val="00B84F96"/>
    <w:rsid w:val="00B86677"/>
    <w:rsid w:val="00B87131"/>
    <w:rsid w:val="00B939B1"/>
    <w:rsid w:val="00B96D40"/>
    <w:rsid w:val="00B97386"/>
    <w:rsid w:val="00BA263B"/>
    <w:rsid w:val="00BA42B2"/>
    <w:rsid w:val="00BA58D4"/>
    <w:rsid w:val="00BA5B9E"/>
    <w:rsid w:val="00BA7C9A"/>
    <w:rsid w:val="00BB5F8F"/>
    <w:rsid w:val="00BB657A"/>
    <w:rsid w:val="00BC1A4E"/>
    <w:rsid w:val="00BC254F"/>
    <w:rsid w:val="00BC5DC7"/>
    <w:rsid w:val="00BC6B8B"/>
    <w:rsid w:val="00BC73D8"/>
    <w:rsid w:val="00BD52D7"/>
    <w:rsid w:val="00BD5AD2"/>
    <w:rsid w:val="00BE22F3"/>
    <w:rsid w:val="00BE5B52"/>
    <w:rsid w:val="00BE7B8D"/>
    <w:rsid w:val="00BF0993"/>
    <w:rsid w:val="00BF10A9"/>
    <w:rsid w:val="00BF1703"/>
    <w:rsid w:val="00BF231C"/>
    <w:rsid w:val="00BF4689"/>
    <w:rsid w:val="00BF51E5"/>
    <w:rsid w:val="00BF74A6"/>
    <w:rsid w:val="00C013AD"/>
    <w:rsid w:val="00C04904"/>
    <w:rsid w:val="00C056B3"/>
    <w:rsid w:val="00C103E5"/>
    <w:rsid w:val="00C13319"/>
    <w:rsid w:val="00C13EE9"/>
    <w:rsid w:val="00C21540"/>
    <w:rsid w:val="00C21906"/>
    <w:rsid w:val="00C21BFA"/>
    <w:rsid w:val="00C24C8D"/>
    <w:rsid w:val="00C25FE2"/>
    <w:rsid w:val="00C2671A"/>
    <w:rsid w:val="00C26B53"/>
    <w:rsid w:val="00C279B2"/>
    <w:rsid w:val="00C33E50"/>
    <w:rsid w:val="00C34C20"/>
    <w:rsid w:val="00C35A3E"/>
    <w:rsid w:val="00C42130"/>
    <w:rsid w:val="00C423A4"/>
    <w:rsid w:val="00C423E3"/>
    <w:rsid w:val="00C44BF5"/>
    <w:rsid w:val="00C518A8"/>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A8E"/>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28E"/>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1D9E"/>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37B7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F56"/>
    <w:rsid w:val="00E70388"/>
    <w:rsid w:val="00E70F92"/>
    <w:rsid w:val="00E74313"/>
    <w:rsid w:val="00E74C54"/>
    <w:rsid w:val="00E77A03"/>
    <w:rsid w:val="00E80A18"/>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912"/>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13D5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6ED1E65E">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57E7E849">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3544697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1497B"/>
    <w:rsid w:val="002E6AD9"/>
    <w:rsid w:val="002F25ED"/>
    <w:rsid w:val="00310678"/>
    <w:rsid w:val="003646F4"/>
    <w:rsid w:val="003A7DCE"/>
    <w:rsid w:val="003F62CE"/>
    <w:rsid w:val="004474AC"/>
    <w:rsid w:val="004A6324"/>
    <w:rsid w:val="005302AB"/>
    <w:rsid w:val="005B18DA"/>
    <w:rsid w:val="005E4B5C"/>
    <w:rsid w:val="006141C6"/>
    <w:rsid w:val="00652769"/>
    <w:rsid w:val="006D6D94"/>
    <w:rsid w:val="00796662"/>
    <w:rsid w:val="008C0337"/>
    <w:rsid w:val="008E6778"/>
    <w:rsid w:val="00AA2819"/>
    <w:rsid w:val="00AE100B"/>
    <w:rsid w:val="00AE1DC6"/>
    <w:rsid w:val="00C518A8"/>
    <w:rsid w:val="00CF093F"/>
    <w:rsid w:val="00E76885"/>
    <w:rsid w:val="00E80A18"/>
    <w:rsid w:val="00E97912"/>
    <w:rsid w:val="00F43A7C"/>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29</Pages>
  <Words>10806</Words>
  <Characters>11206</Characters>
  <Lines>373</Lines>
  <Paragraphs>506</Paragraphs>
  <TotalTime>1</TotalTime>
  <ScaleCrop>false</ScaleCrop>
  <LinksUpToDate>false</LinksUpToDate>
  <CharactersWithSpaces>11323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2026-05-19T03:45:56Z</dcterms:modified>
  <dc:title>团体标准</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9A4DD7E19CA948F5B2BBEBFA1FCA5237_12</vt:lpwstr>
  </property>
</Properties>
</file>