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1.140.9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91.140.90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Q 78"/>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Q 78</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6"/>
            </w:textInput>
          </w:ffData>
        </w:fldChar>
      </w:r>
      <w:bookmarkStart w:id="6" w:name="NSTD_CODE_F"/>
      <w:r>
        <w:instrText xml:space="preserve"> FORMTEXT </w:instrText>
      </w:r>
      <w:r>
        <w:fldChar w:fldCharType="separate"/>
      </w:r>
      <w:r>
        <w:t>0266</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电梯检验检测结果判定与复检准则"/>
            </w:textInput>
          </w:ffData>
        </w:fldChar>
      </w:r>
      <w:bookmarkStart w:id="9" w:name="CSTD_NAME"/>
      <w:r>
        <w:rPr>
          <w:rFonts w:hint="eastAsia"/>
        </w:rPr>
        <w:instrText xml:space="preserve"> FORMTEXT </w:instrText>
      </w:r>
      <w:r>
        <w:rPr>
          <w:rFonts w:hint="eastAsia"/>
        </w:rPr>
        <w:fldChar w:fldCharType="separate"/>
      </w:r>
      <w:r>
        <w:rPr>
          <w:rFonts w:hint="eastAsia"/>
        </w:rPr>
        <w:t>电梯检验检测结果判定与复检准则</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riteria for result determination and reinspection of elevator inspection and test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Criteria for result determination and reinspection of elevator inspection and testing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4105A005">
      <w:pPr>
        <w:pStyle w:val="91"/>
        <w:spacing w:after="360"/>
      </w:pPr>
      <w:bookmarkStart w:id="21" w:name="BookMark1"/>
      <w:r>
        <w:rPr>
          <w:rFonts w:hint="eastAsia"/>
          <w:spacing w:val="320"/>
        </w:rPr>
        <w:t>目</w:t>
      </w:r>
      <w:r>
        <w:rPr>
          <w:rFonts w:hint="eastAsia"/>
        </w:rPr>
        <w:t>次</w:t>
      </w:r>
    </w:p>
    <w:p w14:paraId="67C4EA8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"_Toc228615088"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_Toc228615088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0865D34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"_Toc228615089"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_Toc228615089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4567E26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"_Toc228615090"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_Toc228615090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D6644F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"_Toc228615091"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_Toc228615091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76FA71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"_Toc228615092"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_Toc228615092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16B14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"_Toc228615093"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_Toc228615093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3F95E9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"_Toc228615094" </w:instrText>
      </w:r>
      <w:r>
        <w:fldChar w:fldCharType="separate"/>
      </w:r>
      <w:r>
        <w:rPr>
          <w:rStyle w:val="32"/>
        </w:rPr>
        <w:t>5  结果判定要求</w:t>
      </w:r>
      <w:r>
        <w:rPr>
          <w:rFonts w:hint="eastAsia"/>
        </w:rPr>
        <w:tab/>
      </w:r>
      <w:r>
        <w:rPr>
          <w:rFonts w:hint="eastAsia"/>
        </w:rPr>
        <w:fldChar w:fldCharType="begin"/>
      </w:r>
      <w:r>
        <w:rPr>
          <w:rFonts w:hint="eastAsia"/>
        </w:rPr>
        <w:instrText xml:space="preserve"> </w:instrText>
      </w:r>
      <w:r>
        <w:instrText xml:space="preserve">PAGEREF _Toc228615094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0AFD8F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"_Toc228615095" </w:instrText>
      </w:r>
      <w:r>
        <w:fldChar w:fldCharType="separate"/>
      </w:r>
      <w:r>
        <w:rPr>
          <w:rStyle w:val="32"/>
        </w:rPr>
        <w:t>6  整改确认与复检要求</w:t>
      </w:r>
      <w:r>
        <w:rPr>
          <w:rFonts w:hint="eastAsia"/>
        </w:rPr>
        <w:tab/>
      </w:r>
      <w:r>
        <w:rPr>
          <w:rFonts w:hint="eastAsia"/>
        </w:rPr>
        <w:fldChar w:fldCharType="begin"/>
      </w:r>
      <w:r>
        <w:rPr>
          <w:rFonts w:hint="eastAsia"/>
        </w:rPr>
        <w:instrText xml:space="preserve"> </w:instrText>
      </w:r>
      <w:r>
        <w:instrText xml:space="preserve">PAGEREF _Toc228615095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524836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"_Toc228615096" </w:instrText>
      </w:r>
      <w:r>
        <w:fldChar w:fldCharType="separate"/>
      </w:r>
      <w:r>
        <w:rPr>
          <w:rStyle w:val="32"/>
        </w:rPr>
        <w:t>7  争议处理与资料管理要求</w:t>
      </w:r>
      <w:r>
        <w:rPr>
          <w:rFonts w:hint="eastAsia"/>
        </w:rPr>
        <w:tab/>
      </w:r>
      <w:r>
        <w:rPr>
          <w:rFonts w:hint="eastAsia"/>
        </w:rPr>
        <w:fldChar w:fldCharType="begin"/>
      </w:r>
      <w:r>
        <w:rPr>
          <w:rFonts w:hint="eastAsia"/>
        </w:rPr>
        <w:instrText xml:space="preserve"> </w:instrText>
      </w:r>
      <w:r>
        <w:instrText xml:space="preserve">PAGEREF _Toc228615096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54D10AC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"_Toc228615097" </w:instrText>
      </w:r>
      <w:r>
        <w:fldChar w:fldCharType="separate"/>
      </w:r>
      <w:r>
        <w:rPr>
          <w:rStyle w:val="32"/>
        </w:rPr>
        <w:t>8  附则</w:t>
      </w:r>
      <w:r>
        <w:rPr>
          <w:rFonts w:hint="eastAsia"/>
        </w:rPr>
        <w:tab/>
      </w:r>
      <w:r>
        <w:rPr>
          <w:rFonts w:hint="eastAsia"/>
        </w:rPr>
        <w:fldChar w:fldCharType="begin"/>
      </w:r>
      <w:r>
        <w:rPr>
          <w:rFonts w:hint="eastAsia"/>
        </w:rPr>
        <w:instrText xml:space="preserve"> </w:instrText>
      </w:r>
      <w:r>
        <w:instrText xml:space="preserve">PAGEREF _Toc228615097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7C2E86C">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5088"/>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遵义市特种设备检验所</w:t>
      </w:r>
      <w:bookmarkStart w:id="57" w:name="_GoBack"/>
      <w:bookmarkEnd w:id="57"/>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唐瑞</w:t>
      </w:r>
      <w:r>
        <w:rPr>
          <w:rFonts w:hint="eastAsia"/>
        </w:rPr>
        <w:t>。</w:t>
      </w:r>
    </w:p>
    <w:bookmarkEnd w:id="23"/>
    <w:p w14:paraId="66D0A2F3">
      <w:pPr>
        <w:pStyle w:val="89"/>
        <w:spacing w:after="360"/>
      </w:pPr>
      <w:bookmarkStart w:id="24" w:name="_Toc228615089"/>
      <w:bookmarkStart w:id="25" w:name="BookMark3"/>
      <w:r>
        <w:rPr>
          <w:spacing w:val="320"/>
        </w:rPr>
        <w:t>引</w:t>
      </w:r>
      <w:r>
        <w:t>言</w:t>
      </w:r>
      <w:bookmarkEnd w:id="24"/>
    </w:p>
    <w:p w14:paraId="2BED2206">
      <w:pPr>
        <w:pStyle w:val="56"/>
        <w:spacing w:line="360" w:lineRule="auto"/>
        <w:ind w:firstLine="420"/>
      </w:pPr>
      <w:r>
        <w:rPr>
          <w:rFonts w:hint="eastAsia"/>
        </w:rPr>
        <w:t>电梯检验检测结果判定是电梯安全监管链条中的关键环节。检验检测结果既关系到电梯能否继续投入使用、是否需要整改、是否应当停用或者采取限制措施，也直接影响使用单位履责、维保单位整改、检验检测机构公正履职和监管部门监督检查。2024年市场监管总局印发的有关文件明确提出，要加强对检验机构、检测单位和检验、检测行为的监督检查，提高检验、检测工作质量，并细化检验检测程序和技术要求，包括音像记录、使用标志换发、检验检测实施月份、部分试验项目执行口径等内容，说明当前电梯检验检测规则正在向更细化、更可操作和更强调结果应用的方向发展。</w:t>
      </w:r>
    </w:p>
    <w:p w14:paraId="62F0905D">
      <w:pPr>
        <w:pStyle w:val="56"/>
        <w:spacing w:line="360" w:lineRule="auto"/>
        <w:ind w:firstLine="420"/>
      </w:pPr>
      <w:r>
        <w:rPr>
          <w:rFonts w:hint="eastAsia"/>
        </w:rPr>
        <w:t>但在实际工作中，电梯检验检测结果判定与复检管理仍存在一些共性问题：不同机构对判定结论边界把握不一致，缺陷分类和风险区分不够清晰，整改确认条件与复检触发条件衔接不紧密，结果记录、音像资料和现场证据留存不充分，复检时机、复检范围、复检程序和复检结论表述不统一，容易导致使用单位理解偏差、整改要求落实不到位、争议处理周期延长，甚至影响电梯正常使用秩序和安全监管效能。市场监管总局2024年文件已强调，检验机构及人员应保证音像记录内容的唯一性、完整性和可追溯性，这从侧面反映出结果判定和复检活动对证据完整性与过程留痕的要求正在持续提高。</w:t>
      </w:r>
    </w:p>
    <w:p w14:paraId="286AEF57">
      <w:pPr>
        <w:pStyle w:val="56"/>
        <w:spacing w:line="360" w:lineRule="auto"/>
        <w:ind w:firstLine="420"/>
      </w:pPr>
      <w:r>
        <w:rPr>
          <w:rFonts w:hint="eastAsia"/>
        </w:rPr>
        <w:t>电梯检验检测结果判定不同于一般设备巡检结论。其本质是依据安全技术规范、检验检测规则、现场试验结果、设备状态记录和必要的证据资料，对电梯安全状态作出规范判断，并形成与整改、复检、使用管理和监督管理相衔接的结论。结果判定既不能简单以“合格”或者“不合格”二元化处理，也不能脱离缺陷性质、风险程度、整改可行性和使用影响程度进行笼统表述。复检也不应被理解为对原检验检测活动的简单重复，而应是针对整改完成情况、问题消除情况和安全状态恢复情况所实施的确认活动，其范围、条件、程序和结论均应当受到统一规则约束。</w:t>
      </w:r>
    </w:p>
    <w:p w14:paraId="47AC0719">
      <w:pPr>
        <w:pStyle w:val="56"/>
        <w:spacing w:line="360" w:lineRule="auto"/>
        <w:ind w:firstLine="420"/>
      </w:pPr>
      <w:r>
        <w:rPr>
          <w:rFonts w:hint="eastAsia"/>
        </w:rPr>
        <w:t>本文件立足电梯检验检测工作实际，围绕检验检测结果分类、判定原则、缺陷处理、结论出具、整改要求、复检条件、复检程序、复检结论、争议处理和资料管理等关键内容，提出规范要求。其目的在于统一电梯检验检测结果判定与复检工作的基本原则、关键节点和控制要求，减少因判定口径不一、复检程序不清、资料留存不足和结论衔接不畅导致的管理缺陷，提高电梯检验检测工作的规范性、公正性、可追溯性和结果应用有效性。</w:t>
      </w:r>
    </w:p>
    <w:p w14:paraId="7AE20D25">
      <w:pPr>
        <w:pStyle w:val="56"/>
        <w:spacing w:line="360" w:lineRule="auto"/>
        <w:ind w:firstLine="420"/>
      </w:pPr>
      <w:r>
        <w:rPr>
          <w:rFonts w:hint="eastAsia"/>
        </w:rPr>
        <w:t>本文件的制定与实施，有助于推动电梯检验检测工作由重实施、轻结果应用，向重判定、重整改、重复检、重闭环管理转变，有助于提升电梯质量安全治理水平、规范电梯检验检测市场秩序，并为保障公众安全乘梯、放心乘梯提供技术支撑。</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电梯检验检测结果判定与复检准则</w:t>
          </w:r>
        </w:p>
      </w:sdtContent>
    </w:sdt>
    <w:bookmarkEnd w:id="27"/>
    <w:p w14:paraId="4EFCFF0E">
      <w:pPr>
        <w:pStyle w:val="104"/>
        <w:spacing w:before="240" w:after="240" w:line="360" w:lineRule="auto"/>
      </w:pPr>
      <w:bookmarkStart w:id="28" w:name="_Toc17233325"/>
      <w:bookmarkStart w:id="29" w:name="_Toc17233333"/>
      <w:bookmarkStart w:id="30" w:name="_Toc26648465"/>
      <w:bookmarkStart w:id="31" w:name="_Toc26986771"/>
      <w:bookmarkStart w:id="32" w:name="_Toc24884218"/>
      <w:bookmarkStart w:id="33" w:name="_Toc26718930"/>
      <w:bookmarkStart w:id="34" w:name="_Toc97192964"/>
      <w:bookmarkStart w:id="35" w:name="_Toc228615090"/>
      <w:bookmarkStart w:id="36" w:name="_Toc26986530"/>
      <w:bookmarkStart w:id="37" w:name="_Toc24884211"/>
      <w:r>
        <w:rPr>
          <w:rFonts w:hint="eastAsia"/>
        </w:rPr>
        <w:t>范围</w:t>
      </w:r>
      <w:bookmarkEnd w:id="28"/>
      <w:bookmarkEnd w:id="29"/>
      <w:bookmarkEnd w:id="30"/>
      <w:bookmarkEnd w:id="31"/>
      <w:bookmarkEnd w:id="32"/>
      <w:bookmarkEnd w:id="33"/>
      <w:bookmarkEnd w:id="34"/>
      <w:bookmarkEnd w:id="35"/>
      <w:bookmarkEnd w:id="36"/>
      <w:bookmarkEnd w:id="37"/>
    </w:p>
    <w:p w14:paraId="6779263A">
      <w:pPr>
        <w:pStyle w:val="56"/>
        <w:spacing w:line="360" w:lineRule="auto"/>
        <w:ind w:firstLine="420"/>
      </w:pPr>
      <w:bookmarkStart w:id="38" w:name="_Toc24884212"/>
      <w:bookmarkStart w:id="39" w:name="_Toc24884219"/>
      <w:bookmarkStart w:id="40" w:name="_Toc17233326"/>
      <w:bookmarkStart w:id="41" w:name="_Toc17233334"/>
      <w:bookmarkStart w:id="42" w:name="_Toc26648466"/>
      <w:r>
        <w:t>本文件规定了电梯检验检测结果判定与复检的</w:t>
      </w:r>
      <w:r>
        <w:rPr>
          <w:rFonts w:hint="eastAsia"/>
        </w:rPr>
        <w:t>基本规定、结果判定要求、整改确认与复检要求以及争议处理与资料管理要求</w:t>
      </w:r>
      <w:r>
        <w:t>等内容。</w:t>
      </w:r>
    </w:p>
    <w:p w14:paraId="4E6E0954">
      <w:pPr>
        <w:pStyle w:val="56"/>
        <w:spacing w:line="360" w:lineRule="auto"/>
        <w:ind w:firstLine="420"/>
      </w:pPr>
      <w:r>
        <w:t>本文件适用于电梯监督检验、定期检验、自行检测及其相关整改确认和复检活动。</w:t>
      </w:r>
    </w:p>
    <w:p w14:paraId="3733B2AD">
      <w:pPr>
        <w:pStyle w:val="104"/>
        <w:spacing w:before="240" w:after="240" w:line="360" w:lineRule="auto"/>
      </w:pPr>
      <w:bookmarkStart w:id="43" w:name="_Toc26986531"/>
      <w:bookmarkStart w:id="44" w:name="_Toc228615091"/>
      <w:bookmarkStart w:id="45" w:name="_Toc26718931"/>
      <w:bookmarkStart w:id="46" w:name="_Toc97192965"/>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A7F860">
      <w:pPr>
        <w:pStyle w:val="56"/>
        <w:spacing w:line="360" w:lineRule="auto"/>
        <w:ind w:firstLine="420"/>
      </w:pPr>
      <w:r>
        <w:t>GB/T 1.1—2020 标准化工作导则</w:t>
      </w:r>
      <w:r>
        <w:rPr>
          <w:rFonts w:hint="eastAsia"/>
        </w:rPr>
        <w:t xml:space="preserve"> </w:t>
      </w:r>
      <w:r>
        <w:t xml:space="preserve"> 第1部分：标准化文件的结构和起草规则</w:t>
      </w:r>
    </w:p>
    <w:p w14:paraId="1B5D85B1">
      <w:pPr>
        <w:pStyle w:val="56"/>
        <w:spacing w:line="360" w:lineRule="auto"/>
        <w:ind w:firstLine="420"/>
      </w:pPr>
      <w:r>
        <w:t>DB41/T 2844-2025</w:t>
      </w:r>
      <w:r>
        <w:rPr>
          <w:rFonts w:hint="eastAsia"/>
        </w:rPr>
        <w:t xml:space="preserve"> 电梯检验检测数据规范</w:t>
      </w:r>
    </w:p>
    <w:p w14:paraId="2B2B0582">
      <w:pPr>
        <w:pStyle w:val="56"/>
        <w:spacing w:line="360" w:lineRule="auto"/>
        <w:ind w:firstLine="420"/>
        <w:rPr>
          <w:highlight w:val="yellow"/>
        </w:rPr>
      </w:pPr>
      <w:r>
        <w:t>DB34/T 4876-2024</w:t>
      </w:r>
      <w:r>
        <w:rPr>
          <w:rFonts w:hint="eastAsia"/>
        </w:rPr>
        <w:t xml:space="preserve"> 检验检测机构监控结果有效性技术规范</w:t>
      </w:r>
    </w:p>
    <w:p w14:paraId="51F02A4E">
      <w:pPr>
        <w:pStyle w:val="104"/>
        <w:spacing w:before="240" w:after="240" w:line="360" w:lineRule="auto"/>
      </w:pPr>
      <w:bookmarkStart w:id="48" w:name="_Toc97192966"/>
      <w:bookmarkStart w:id="49" w:name="_Toc228615092"/>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65A9BBB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电梯检验 elevator inspection</w:t>
      </w:r>
    </w:p>
    <w:p w14:paraId="5496F09C">
      <w:pPr>
        <w:pStyle w:val="56"/>
        <w:spacing w:line="360" w:lineRule="auto"/>
        <w:ind w:firstLine="420"/>
      </w:pPr>
      <w:r>
        <w:rPr>
          <w:rFonts w:hint="eastAsia"/>
        </w:rPr>
        <w:t>依据现行电梯安全技术规范，对电梯实施监督检验或者定期检验，并形成检验结论的活动。现行公开文件已明确监督检验、定期检验的实施规则和月份确定等口径。</w:t>
      </w:r>
    </w:p>
    <w:p w14:paraId="220C223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检验检测结果判定 determination of inspection and testing results</w:t>
      </w:r>
    </w:p>
    <w:p w14:paraId="27B024F4">
      <w:pPr>
        <w:pStyle w:val="56"/>
        <w:spacing w:line="360" w:lineRule="auto"/>
        <w:ind w:firstLine="420"/>
      </w:pPr>
      <w:r>
        <w:rPr>
          <w:rFonts w:hint="eastAsia"/>
        </w:rPr>
        <w:t>依据检验检测规则、现场检查情况、试验结果、资料核查结果和相关证据，对电梯安全状态作出的规范性判断活动。</w:t>
      </w:r>
    </w:p>
    <w:p w14:paraId="033382C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复检 reinspection</w:t>
      </w:r>
    </w:p>
    <w:p w14:paraId="5F5EE0FF">
      <w:pPr>
        <w:pStyle w:val="56"/>
        <w:spacing w:line="360" w:lineRule="auto"/>
        <w:ind w:firstLine="420"/>
      </w:pPr>
      <w:r>
        <w:rPr>
          <w:rFonts w:hint="eastAsia"/>
        </w:rPr>
        <w:t>对电梯检验检测中发现的问题整改完成情况、相应项目恢复情况和安全状态变化情况进行再次确认的活动。</w:t>
      </w:r>
    </w:p>
    <w:p w14:paraId="2ECF19F5">
      <w:pPr>
        <w:pStyle w:val="56"/>
        <w:spacing w:line="360" w:lineRule="auto"/>
        <w:ind w:firstLine="420"/>
        <w:rPr>
          <w:rFonts w:hint="eastAsia"/>
        </w:rPr>
      </w:pPr>
    </w:p>
    <w:p w14:paraId="31B4F6F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整改项 rectification item</w:t>
      </w:r>
    </w:p>
    <w:p w14:paraId="1E96423C">
      <w:pPr>
        <w:pStyle w:val="56"/>
        <w:spacing w:line="360" w:lineRule="auto"/>
        <w:ind w:firstLine="420"/>
      </w:pPr>
      <w:r>
        <w:rPr>
          <w:rFonts w:hint="eastAsia"/>
        </w:rPr>
        <w:t>在检验检测中发现的不符合现行规则、技术要求或者安全要求，需由使用单位、维保单位或者相关责任主体采取措施予以消除或者纠正的事项。</w:t>
      </w:r>
    </w:p>
    <w:p w14:paraId="310C8D4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判定依据 basis for determination</w:t>
      </w:r>
    </w:p>
    <w:p w14:paraId="5E118A26">
      <w:pPr>
        <w:pStyle w:val="56"/>
        <w:spacing w:line="360" w:lineRule="auto"/>
        <w:ind w:firstLine="420"/>
      </w:pPr>
      <w:r>
        <w:rPr>
          <w:rFonts w:hint="eastAsia"/>
        </w:rPr>
        <w:t>用于形成检验检测结果结论的规则条款、现场记录、试验数据、设备状态、资料信息和其他相关证据的总和。</w:t>
      </w:r>
    </w:p>
    <w:p w14:paraId="46601F1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不符合项 nonconformity</w:t>
      </w:r>
    </w:p>
    <w:p w14:paraId="04E806AA">
      <w:pPr>
        <w:pStyle w:val="56"/>
        <w:spacing w:line="360" w:lineRule="auto"/>
        <w:ind w:firstLine="420"/>
      </w:pPr>
      <w:r>
        <w:rPr>
          <w:rFonts w:hint="eastAsia"/>
        </w:rPr>
        <w:t>电梯实际状态、资料状态、试验结果或者管理状态与现行检验检测规则要求不一致的事项。</w:t>
      </w:r>
    </w:p>
    <w:p w14:paraId="7C8CA732">
      <w:pPr>
        <w:pStyle w:val="104"/>
        <w:spacing w:before="240" w:after="240" w:line="360" w:lineRule="auto"/>
      </w:pPr>
      <w:bookmarkStart w:id="51" w:name="_Toc228615093"/>
      <w:r>
        <w:rPr>
          <w:rFonts w:hint="eastAsia"/>
        </w:rPr>
        <w:t>基本规定</w:t>
      </w:r>
      <w:bookmarkEnd w:id="51"/>
    </w:p>
    <w:p w14:paraId="45116963">
      <w:pPr>
        <w:pStyle w:val="105"/>
        <w:spacing w:before="120" w:after="120" w:line="360" w:lineRule="auto"/>
      </w:pPr>
      <w:r>
        <w:rPr>
          <w:rFonts w:hint="eastAsia"/>
        </w:rPr>
        <w:t>一般要求</w:t>
      </w:r>
    </w:p>
    <w:p w14:paraId="7F24F4D2">
      <w:pPr>
        <w:pStyle w:val="165"/>
        <w:spacing w:line="360" w:lineRule="auto"/>
      </w:pPr>
      <w:r>
        <w:rPr>
          <w:rFonts w:hint="eastAsia"/>
        </w:rPr>
        <w:t>电梯检验检测结果判定与复检工作应坚持依法依规、客观公正、证据充分、程序规范、结论清晰和闭环管理的原则。</w:t>
      </w:r>
    </w:p>
    <w:p w14:paraId="3A591574">
      <w:pPr>
        <w:pStyle w:val="165"/>
        <w:spacing w:line="360" w:lineRule="auto"/>
      </w:pPr>
      <w:r>
        <w:rPr>
          <w:rFonts w:hint="eastAsia"/>
        </w:rPr>
        <w:t>电梯检验检测结果判定应以现行安全技术规范、检验检测规则、现场实际状态、试验结果、资料核查结果和相关证据资料为依据，不得脱离检验检测事实单独作出结论。</w:t>
      </w:r>
    </w:p>
    <w:p w14:paraId="2E8B1B94">
      <w:pPr>
        <w:pStyle w:val="165"/>
        <w:spacing w:line="360" w:lineRule="auto"/>
      </w:pPr>
      <w:r>
        <w:rPr>
          <w:rFonts w:hint="eastAsia"/>
        </w:rPr>
        <w:t>电梯复检应以整改完成、条件具备、范围明确和程序受控为前提，不得将复检简单视为对原检验检测活动的重复实施。</w:t>
      </w:r>
    </w:p>
    <w:p w14:paraId="08436135">
      <w:pPr>
        <w:pStyle w:val="165"/>
        <w:spacing w:line="360" w:lineRule="auto"/>
      </w:pPr>
      <w:r>
        <w:rPr>
          <w:rFonts w:hint="eastAsia"/>
        </w:rPr>
        <w:t>电梯检验检测结果判定与复检活动应与使用单位、维保单位、检验机构、检测单位和监督管理要求相衔接，不得出现结论已作出但整改要求不清、整改完成但无人确认、复检实施后结论无法落地等情形。</w:t>
      </w:r>
    </w:p>
    <w:p w14:paraId="1BB2BE0C">
      <w:pPr>
        <w:pStyle w:val="165"/>
        <w:spacing w:line="360" w:lineRule="auto"/>
      </w:pPr>
      <w:r>
        <w:rPr>
          <w:rFonts w:hint="eastAsia"/>
        </w:rPr>
        <w:t>对涉及人身安全保护装置、制动系统、层门和轿门系统、限速器—安全钳联动系统、缓冲系统、控制系统关键安全功能和其他关键安全项目的结果判定与复检，应实施重点审核和重点控制。</w:t>
      </w:r>
    </w:p>
    <w:p w14:paraId="12ADDD74">
      <w:pPr>
        <w:pStyle w:val="165"/>
        <w:spacing w:line="360" w:lineRule="auto"/>
      </w:pPr>
      <w:r>
        <w:rPr>
          <w:rFonts w:hint="eastAsia"/>
        </w:rPr>
        <w:t>电梯检验检测结果判定不得受非技术因素干扰，不得因使用需要、运行压力、商业关系或者时间要求降低判定标准、简化判定程序或者弱化整改要求。</w:t>
      </w:r>
    </w:p>
    <w:p w14:paraId="57C72EF4">
      <w:pPr>
        <w:pStyle w:val="165"/>
        <w:spacing w:line="360" w:lineRule="auto"/>
      </w:pPr>
      <w:r>
        <w:rPr>
          <w:rFonts w:hint="eastAsia"/>
        </w:rPr>
        <w:t>电梯复检结论不得脱离整改真实性、整改完整性和整改有效性作出，不得仅依据书面说明、口头承诺或者单一图片资料代替现场确认。</w:t>
      </w:r>
    </w:p>
    <w:p w14:paraId="1FB7175D">
      <w:pPr>
        <w:pStyle w:val="105"/>
        <w:spacing w:before="120" w:after="120" w:line="360" w:lineRule="auto"/>
      </w:pPr>
      <w:r>
        <w:rPr>
          <w:rFonts w:hint="eastAsia"/>
        </w:rPr>
        <w:t>管理职责</w:t>
      </w:r>
    </w:p>
    <w:p w14:paraId="23534648">
      <w:pPr>
        <w:pStyle w:val="165"/>
        <w:spacing w:line="360" w:lineRule="auto"/>
      </w:pPr>
      <w:r>
        <w:rPr>
          <w:rFonts w:hint="eastAsia"/>
        </w:rPr>
        <w:t>开展电梯检验检测结果判定与复检的机构应建立相应管理制度，明确岗位职责、审核流程、证据管理要求和复检控制要求。</w:t>
      </w:r>
    </w:p>
    <w:p w14:paraId="635C3437">
      <w:pPr>
        <w:pStyle w:val="165"/>
        <w:spacing w:line="360" w:lineRule="auto"/>
      </w:pPr>
      <w:r>
        <w:rPr>
          <w:rFonts w:hint="eastAsia"/>
        </w:rPr>
        <w:t>检验机构或者检测单位应对本机构出具的结果判定和复检结论负责。</w:t>
      </w:r>
    </w:p>
    <w:p w14:paraId="78D6ED1E">
      <w:pPr>
        <w:pStyle w:val="165"/>
        <w:spacing w:line="360" w:lineRule="auto"/>
      </w:pPr>
      <w:r>
        <w:rPr>
          <w:rFonts w:hint="eastAsia"/>
        </w:rPr>
        <w:t>现场实施人员应负责检验检测原始记录、现场状态核查、试验结果记录和证据资料采集。</w:t>
      </w:r>
    </w:p>
    <w:p w14:paraId="67896B70">
      <w:pPr>
        <w:pStyle w:val="165"/>
        <w:spacing w:line="360" w:lineRule="auto"/>
      </w:pPr>
      <w:r>
        <w:rPr>
          <w:rFonts w:hint="eastAsia"/>
        </w:rPr>
        <w:t>审核人员应负责判定依据审核、结论审核、证据完整性审核和报告审核。</w:t>
      </w:r>
    </w:p>
    <w:p w14:paraId="71C8E7B3">
      <w:pPr>
        <w:pStyle w:val="165"/>
        <w:spacing w:line="360" w:lineRule="auto"/>
      </w:pPr>
      <w:r>
        <w:rPr>
          <w:rFonts w:hint="eastAsia"/>
        </w:rPr>
        <w:t>使用单位应负责提供真实、完整、有效的设备资料、运行情况和整改情况，并配合检验检测和复检活动实施。</w:t>
      </w:r>
    </w:p>
    <w:p w14:paraId="62A3A090">
      <w:pPr>
        <w:pStyle w:val="165"/>
        <w:spacing w:line="360" w:lineRule="auto"/>
      </w:pPr>
      <w:r>
        <w:rPr>
          <w:rFonts w:hint="eastAsia"/>
        </w:rPr>
        <w:t>维保单位应负责对检验检测发现问题实施整改，并对整改措施的真实性、完整性和有效性负责。</w:t>
      </w:r>
    </w:p>
    <w:p w14:paraId="3552BF61">
      <w:pPr>
        <w:pStyle w:val="165"/>
        <w:spacing w:line="360" w:lineRule="auto"/>
      </w:pPr>
      <w:r>
        <w:rPr>
          <w:rFonts w:hint="eastAsia"/>
        </w:rPr>
        <w:t>多方参与同一电梯整改确认和复检时，应明确主责单位、配合单位和资料提交责任，不得因责任不清影响结果确认和复检进度。</w:t>
      </w:r>
    </w:p>
    <w:p w14:paraId="7AD51D41">
      <w:pPr>
        <w:pStyle w:val="105"/>
        <w:spacing w:before="120" w:after="120" w:line="360" w:lineRule="auto"/>
      </w:pPr>
      <w:r>
        <w:rPr>
          <w:rFonts w:hint="eastAsia"/>
        </w:rPr>
        <w:t>判定依据要求</w:t>
      </w:r>
    </w:p>
    <w:p w14:paraId="3AE0CCC7">
      <w:pPr>
        <w:pStyle w:val="165"/>
        <w:spacing w:line="360" w:lineRule="auto"/>
      </w:pPr>
      <w:r>
        <w:rPr>
          <w:rFonts w:hint="eastAsia"/>
        </w:rPr>
        <w:t>电梯检验检测结果判定应依据下列信息综合作出：</w:t>
      </w:r>
    </w:p>
    <w:p w14:paraId="74370D92">
      <w:pPr>
        <w:pStyle w:val="56"/>
        <w:spacing w:line="360" w:lineRule="auto"/>
        <w:ind w:firstLine="420"/>
      </w:pPr>
      <w:r>
        <w:rPr>
          <w:rFonts w:hint="eastAsia"/>
        </w:rPr>
        <w:t>a）适用的检验检测规则；</w:t>
      </w:r>
    </w:p>
    <w:p w14:paraId="7F108A0E">
      <w:pPr>
        <w:pStyle w:val="56"/>
        <w:spacing w:line="360" w:lineRule="auto"/>
        <w:ind w:firstLine="420"/>
      </w:pPr>
      <w:r>
        <w:rPr>
          <w:rFonts w:hint="eastAsia"/>
        </w:rPr>
        <w:t>b）电梯设备型式、参数和配置状态；</w:t>
      </w:r>
    </w:p>
    <w:p w14:paraId="388D2A35">
      <w:pPr>
        <w:pStyle w:val="56"/>
        <w:spacing w:line="360" w:lineRule="auto"/>
        <w:ind w:firstLine="420"/>
      </w:pPr>
      <w:r>
        <w:rPr>
          <w:rFonts w:hint="eastAsia"/>
        </w:rPr>
        <w:t>c）现场检查结果；</w:t>
      </w:r>
    </w:p>
    <w:p w14:paraId="1A98F51E">
      <w:pPr>
        <w:pStyle w:val="56"/>
        <w:spacing w:line="360" w:lineRule="auto"/>
        <w:ind w:firstLine="420"/>
      </w:pPr>
      <w:r>
        <w:rPr>
          <w:rFonts w:hint="eastAsia"/>
        </w:rPr>
        <w:t>d）试验测试结果；</w:t>
      </w:r>
    </w:p>
    <w:p w14:paraId="79004CC6">
      <w:pPr>
        <w:pStyle w:val="56"/>
        <w:spacing w:line="360" w:lineRule="auto"/>
        <w:ind w:firstLine="420"/>
      </w:pPr>
      <w:r>
        <w:rPr>
          <w:rFonts w:hint="eastAsia"/>
        </w:rPr>
        <w:t>e）相关技术资料和管理资料；</w:t>
      </w:r>
    </w:p>
    <w:p w14:paraId="1B8E2FB5">
      <w:pPr>
        <w:pStyle w:val="56"/>
        <w:spacing w:line="360" w:lineRule="auto"/>
        <w:ind w:firstLine="420"/>
      </w:pPr>
      <w:r>
        <w:rPr>
          <w:rFonts w:hint="eastAsia"/>
        </w:rPr>
        <w:t>f）整改记录和整改证明资料；</w:t>
      </w:r>
    </w:p>
    <w:p w14:paraId="38C8FC42">
      <w:pPr>
        <w:pStyle w:val="56"/>
        <w:spacing w:line="360" w:lineRule="auto"/>
        <w:ind w:firstLine="420"/>
      </w:pPr>
      <w:r>
        <w:rPr>
          <w:rFonts w:hint="eastAsia"/>
        </w:rPr>
        <w:t>g）必要的图像、音像和数据记录；</w:t>
      </w:r>
    </w:p>
    <w:p w14:paraId="33143F16">
      <w:pPr>
        <w:pStyle w:val="56"/>
        <w:spacing w:line="360" w:lineRule="auto"/>
        <w:ind w:firstLine="420"/>
      </w:pPr>
      <w:r>
        <w:rPr>
          <w:rFonts w:hint="eastAsia"/>
        </w:rPr>
        <w:t>h）其他足以支撑判定结论的证据。</w:t>
      </w:r>
    </w:p>
    <w:p w14:paraId="63020FC8">
      <w:pPr>
        <w:pStyle w:val="165"/>
        <w:spacing w:line="360" w:lineRule="auto"/>
      </w:pPr>
      <w:r>
        <w:rPr>
          <w:rFonts w:hint="eastAsia"/>
        </w:rPr>
        <w:t>判定依据应真实、完整、清晰并能够相互印证。</w:t>
      </w:r>
    </w:p>
    <w:p w14:paraId="4CBDCEEE">
      <w:pPr>
        <w:pStyle w:val="165"/>
        <w:spacing w:line="360" w:lineRule="auto"/>
      </w:pPr>
      <w:r>
        <w:rPr>
          <w:rFonts w:hint="eastAsia"/>
        </w:rPr>
        <w:t>判定依据存在缺失、矛盾、模糊或者无法核验情形时，不得直接形成正式结论。</w:t>
      </w:r>
    </w:p>
    <w:p w14:paraId="44DFDCF6">
      <w:pPr>
        <w:pStyle w:val="165"/>
        <w:spacing w:line="360" w:lineRule="auto"/>
      </w:pPr>
      <w:r>
        <w:rPr>
          <w:rFonts w:hint="eastAsia"/>
        </w:rPr>
        <w:t>需借助音像记录、数据记录或者历史资料辅助判定的，应确保资料来源明确、时间可核、对象可辨和内容完整。</w:t>
      </w:r>
    </w:p>
    <w:p w14:paraId="5B3E9142">
      <w:pPr>
        <w:pStyle w:val="105"/>
        <w:spacing w:before="120" w:after="120" w:line="360" w:lineRule="auto"/>
      </w:pPr>
      <w:r>
        <w:rPr>
          <w:rFonts w:hint="eastAsia"/>
        </w:rPr>
        <w:t>结果分类要求</w:t>
      </w:r>
    </w:p>
    <w:p w14:paraId="5B35D138">
      <w:pPr>
        <w:pStyle w:val="165"/>
        <w:spacing w:line="360" w:lineRule="auto"/>
      </w:pPr>
      <w:r>
        <w:rPr>
          <w:rFonts w:hint="eastAsia"/>
        </w:rPr>
        <w:t>电梯检验检测结果应根据规则要求、现场状态和问题性质进行分类管理。</w:t>
      </w:r>
    </w:p>
    <w:p w14:paraId="63537BCD">
      <w:pPr>
        <w:pStyle w:val="165"/>
        <w:spacing w:line="360" w:lineRule="auto"/>
      </w:pPr>
      <w:r>
        <w:rPr>
          <w:rFonts w:hint="eastAsia"/>
        </w:rPr>
        <w:t>结果分类宜至少包括下列情形：</w:t>
      </w:r>
    </w:p>
    <w:p w14:paraId="13349207">
      <w:pPr>
        <w:pStyle w:val="56"/>
        <w:spacing w:line="360" w:lineRule="auto"/>
        <w:ind w:firstLine="420"/>
      </w:pPr>
      <w:r>
        <w:rPr>
          <w:rFonts w:hint="eastAsia"/>
        </w:rPr>
        <w:t>a）符合要求；</w:t>
      </w:r>
    </w:p>
    <w:p w14:paraId="62D2C3A3">
      <w:pPr>
        <w:pStyle w:val="56"/>
        <w:spacing w:line="360" w:lineRule="auto"/>
        <w:ind w:firstLine="420"/>
      </w:pPr>
      <w:r>
        <w:rPr>
          <w:rFonts w:hint="eastAsia"/>
        </w:rPr>
        <w:t>b）存在一般不符合项；</w:t>
      </w:r>
    </w:p>
    <w:p w14:paraId="4AA84282">
      <w:pPr>
        <w:pStyle w:val="56"/>
        <w:spacing w:line="360" w:lineRule="auto"/>
        <w:ind w:firstLine="420"/>
      </w:pPr>
      <w:r>
        <w:rPr>
          <w:rFonts w:hint="eastAsia"/>
        </w:rPr>
        <w:t>c）存在严重不符合项；</w:t>
      </w:r>
    </w:p>
    <w:p w14:paraId="340C41CE">
      <w:pPr>
        <w:pStyle w:val="56"/>
        <w:spacing w:line="360" w:lineRule="auto"/>
        <w:ind w:firstLine="420"/>
      </w:pPr>
      <w:r>
        <w:rPr>
          <w:rFonts w:hint="eastAsia"/>
        </w:rPr>
        <w:t>d）需整改后确认；</w:t>
      </w:r>
    </w:p>
    <w:p w14:paraId="554547BD">
      <w:pPr>
        <w:pStyle w:val="56"/>
        <w:spacing w:line="360" w:lineRule="auto"/>
        <w:ind w:firstLine="420"/>
      </w:pPr>
      <w:r>
        <w:rPr>
          <w:rFonts w:hint="eastAsia"/>
        </w:rPr>
        <w:t>e）需复检确认；</w:t>
      </w:r>
    </w:p>
    <w:p w14:paraId="57912D9A">
      <w:pPr>
        <w:pStyle w:val="56"/>
        <w:spacing w:line="360" w:lineRule="auto"/>
        <w:ind w:firstLine="420"/>
      </w:pPr>
      <w:r>
        <w:rPr>
          <w:rFonts w:hint="eastAsia"/>
        </w:rPr>
        <w:t>f）不具备判定条件。</w:t>
      </w:r>
    </w:p>
    <w:p w14:paraId="4E5F0168">
      <w:pPr>
        <w:pStyle w:val="165"/>
        <w:spacing w:line="360" w:lineRule="auto"/>
      </w:pPr>
      <w:r>
        <w:rPr>
          <w:rFonts w:hint="eastAsia"/>
        </w:rPr>
        <w:t>不同结果分类应对应不同整改要求、不同复检条件和不同使用管理要求。</w:t>
      </w:r>
    </w:p>
    <w:p w14:paraId="19B1F124">
      <w:pPr>
        <w:pStyle w:val="165"/>
        <w:spacing w:line="360" w:lineRule="auto"/>
      </w:pPr>
      <w:r>
        <w:rPr>
          <w:rFonts w:hint="eastAsia"/>
        </w:rPr>
        <w:t>结果分类不得模糊不清，不得以“基本合格”“原则通过”“建议使用”等非规范表述替代正式分类结论。</w:t>
      </w:r>
    </w:p>
    <w:p w14:paraId="7D82EC40">
      <w:pPr>
        <w:pStyle w:val="105"/>
        <w:spacing w:before="120" w:after="120" w:line="360" w:lineRule="auto"/>
      </w:pPr>
      <w:r>
        <w:rPr>
          <w:rFonts w:hint="eastAsia"/>
        </w:rPr>
        <w:t>结果应用要求</w:t>
      </w:r>
    </w:p>
    <w:p w14:paraId="1526167E">
      <w:pPr>
        <w:pStyle w:val="165"/>
        <w:spacing w:line="360" w:lineRule="auto"/>
      </w:pPr>
      <w:r>
        <w:rPr>
          <w:rFonts w:hint="eastAsia"/>
        </w:rPr>
        <w:t>电梯检验检测结果应与使用管理、整改管理、复检管理和监督管理相衔接。</w:t>
      </w:r>
    </w:p>
    <w:p w14:paraId="4BCC8DA6">
      <w:pPr>
        <w:pStyle w:val="165"/>
        <w:spacing w:line="360" w:lineRule="auto"/>
      </w:pPr>
      <w:r>
        <w:rPr>
          <w:rFonts w:hint="eastAsia"/>
        </w:rPr>
        <w:t>对符合要求的电梯，应按规定出具相应结果文件并纳入后续正常管理。</w:t>
      </w:r>
    </w:p>
    <w:p w14:paraId="4F190174">
      <w:pPr>
        <w:pStyle w:val="165"/>
        <w:spacing w:line="360" w:lineRule="auto"/>
      </w:pPr>
      <w:r>
        <w:rPr>
          <w:rFonts w:hint="eastAsia"/>
        </w:rPr>
        <w:t>对存在一般不符合项的电梯，应明确整改项目、整改要求和整改时限。</w:t>
      </w:r>
    </w:p>
    <w:p w14:paraId="4273E521">
      <w:pPr>
        <w:pStyle w:val="165"/>
        <w:spacing w:line="360" w:lineRule="auto"/>
      </w:pPr>
      <w:r>
        <w:rPr>
          <w:rFonts w:hint="eastAsia"/>
        </w:rPr>
        <w:t>对存在严重不符合项或者影响安全运行的项目，应明确限制使用、停止使用或者其他必要安全控制措施。</w:t>
      </w:r>
    </w:p>
    <w:p w14:paraId="2BCF8E75">
      <w:pPr>
        <w:pStyle w:val="165"/>
        <w:spacing w:line="360" w:lineRule="auto"/>
      </w:pPr>
      <w:r>
        <w:rPr>
          <w:rFonts w:hint="eastAsia"/>
        </w:rPr>
        <w:t>对不具备判定条件的电梯，应说明原因并明确补充条件、补充资料或者补充检查要求。</w:t>
      </w:r>
    </w:p>
    <w:p w14:paraId="0A23292A">
      <w:pPr>
        <w:pStyle w:val="105"/>
        <w:spacing w:before="120" w:after="120" w:line="360" w:lineRule="auto"/>
      </w:pPr>
      <w:r>
        <w:rPr>
          <w:rFonts w:hint="eastAsia"/>
        </w:rPr>
        <w:t>整改与复检衔接要求</w:t>
      </w:r>
    </w:p>
    <w:p w14:paraId="43F13CFD">
      <w:pPr>
        <w:pStyle w:val="165"/>
        <w:spacing w:line="360" w:lineRule="auto"/>
      </w:pPr>
      <w:r>
        <w:rPr>
          <w:rFonts w:hint="eastAsia"/>
        </w:rPr>
        <w:t>检验检测发现问题后，应根据问题性质明确是否需要整改确认、是否需要复检以及复检范围。</w:t>
      </w:r>
    </w:p>
    <w:p w14:paraId="393B38B4">
      <w:pPr>
        <w:pStyle w:val="165"/>
        <w:spacing w:line="360" w:lineRule="auto"/>
      </w:pPr>
      <w:r>
        <w:rPr>
          <w:rFonts w:hint="eastAsia"/>
        </w:rPr>
        <w:t>整改要求应与问题项目一一对应，不得笼统提出“全面整改”“自行完善”等无法操作的要求。</w:t>
      </w:r>
    </w:p>
    <w:p w14:paraId="5237A249">
      <w:pPr>
        <w:pStyle w:val="165"/>
        <w:spacing w:line="360" w:lineRule="auto"/>
      </w:pPr>
      <w:r>
        <w:rPr>
          <w:rFonts w:hint="eastAsia"/>
        </w:rPr>
        <w:t>需要复检的项目，应明确复检前提、复检内容、复检范围和提交资料要求。</w:t>
      </w:r>
    </w:p>
    <w:p w14:paraId="79E644E0">
      <w:pPr>
        <w:pStyle w:val="165"/>
        <w:spacing w:line="360" w:lineRule="auto"/>
      </w:pPr>
      <w:r>
        <w:rPr>
          <w:rFonts w:hint="eastAsia"/>
        </w:rPr>
        <w:t>整改完成后，使用单位或者维保单位应按要求提出整改确认或者复检申请。</w:t>
      </w:r>
    </w:p>
    <w:p w14:paraId="53B6116A">
      <w:pPr>
        <w:pStyle w:val="165"/>
        <w:spacing w:line="360" w:lineRule="auto"/>
      </w:pPr>
      <w:r>
        <w:rPr>
          <w:rFonts w:hint="eastAsia"/>
        </w:rPr>
        <w:t>未完成整改或者整改资料明显不足的，不得进入正式复检程序。</w:t>
      </w:r>
    </w:p>
    <w:p w14:paraId="0E2353CA">
      <w:pPr>
        <w:pStyle w:val="105"/>
        <w:spacing w:before="120" w:after="120" w:line="360" w:lineRule="auto"/>
      </w:pPr>
      <w:r>
        <w:rPr>
          <w:rFonts w:hint="eastAsia"/>
        </w:rPr>
        <w:t>证据管理要求</w:t>
      </w:r>
    </w:p>
    <w:p w14:paraId="75D969E0">
      <w:pPr>
        <w:pStyle w:val="165"/>
        <w:spacing w:line="360" w:lineRule="auto"/>
      </w:pPr>
      <w:r>
        <w:rPr>
          <w:rFonts w:hint="eastAsia"/>
        </w:rPr>
        <w:t>电梯检验检测结果判定与复检全过程应加强证据资料管理。</w:t>
      </w:r>
    </w:p>
    <w:p w14:paraId="44452F1A">
      <w:pPr>
        <w:pStyle w:val="165"/>
        <w:spacing w:line="360" w:lineRule="auto"/>
      </w:pPr>
      <w:r>
        <w:rPr>
          <w:rFonts w:hint="eastAsia"/>
        </w:rPr>
        <w:t>证据资料宜至少包括原始记录、现场照片、音像资料、试验数据、整改记录、整改前后对比资料和复检记录。</w:t>
      </w:r>
    </w:p>
    <w:p w14:paraId="2A473ACF">
      <w:pPr>
        <w:pStyle w:val="165"/>
        <w:spacing w:line="360" w:lineRule="auto"/>
      </w:pPr>
      <w:r>
        <w:rPr>
          <w:rFonts w:hint="eastAsia"/>
        </w:rPr>
        <w:t>证据资料应与电梯编号、项目名称、实施时间、实施人员和结论信息相对应。</w:t>
      </w:r>
    </w:p>
    <w:p w14:paraId="05D1F81E">
      <w:pPr>
        <w:pStyle w:val="165"/>
        <w:spacing w:line="360" w:lineRule="auto"/>
      </w:pPr>
      <w:r>
        <w:rPr>
          <w:rFonts w:hint="eastAsia"/>
        </w:rPr>
        <w:t>证据资料应满足可识别、可核验、可追溯要求。</w:t>
      </w:r>
    </w:p>
    <w:p w14:paraId="1BC2B629">
      <w:pPr>
        <w:pStyle w:val="165"/>
        <w:spacing w:line="360" w:lineRule="auto"/>
      </w:pPr>
      <w:r>
        <w:rPr>
          <w:rFonts w:hint="eastAsia"/>
        </w:rPr>
        <w:t>未形成必要证据资料的关键项目，不得认定为已完成规范判定或者规范复检。</w:t>
      </w:r>
    </w:p>
    <w:p w14:paraId="1716A016">
      <w:pPr>
        <w:pStyle w:val="105"/>
        <w:spacing w:before="120" w:after="120" w:line="360" w:lineRule="auto"/>
      </w:pPr>
      <w:r>
        <w:rPr>
          <w:rFonts w:hint="eastAsia"/>
        </w:rPr>
        <w:t>程序控制要求</w:t>
      </w:r>
    </w:p>
    <w:p w14:paraId="06BA189A">
      <w:pPr>
        <w:pStyle w:val="165"/>
        <w:spacing w:line="360" w:lineRule="auto"/>
      </w:pPr>
      <w:r>
        <w:rPr>
          <w:rFonts w:hint="eastAsia"/>
        </w:rPr>
        <w:t>电梯检验检测结果判定与复检应按照规定程序实施。</w:t>
      </w:r>
    </w:p>
    <w:p w14:paraId="5C60EE0C">
      <w:pPr>
        <w:pStyle w:val="165"/>
        <w:spacing w:line="360" w:lineRule="auto"/>
      </w:pPr>
      <w:r>
        <w:rPr>
          <w:rFonts w:hint="eastAsia"/>
        </w:rPr>
        <w:t>程序控制宜至少包括下列环节：</w:t>
      </w:r>
    </w:p>
    <w:p w14:paraId="77D6BA0C">
      <w:pPr>
        <w:pStyle w:val="56"/>
        <w:spacing w:line="360" w:lineRule="auto"/>
        <w:ind w:firstLine="420"/>
      </w:pPr>
      <w:r>
        <w:rPr>
          <w:rFonts w:hint="eastAsia"/>
        </w:rPr>
        <w:t>a）现场实施；</w:t>
      </w:r>
    </w:p>
    <w:p w14:paraId="03AC4E3B">
      <w:pPr>
        <w:pStyle w:val="56"/>
        <w:spacing w:line="360" w:lineRule="auto"/>
        <w:ind w:firstLine="420"/>
      </w:pPr>
      <w:r>
        <w:rPr>
          <w:rFonts w:hint="eastAsia"/>
        </w:rPr>
        <w:t>b）原始记录形成；</w:t>
      </w:r>
    </w:p>
    <w:p w14:paraId="0441E842">
      <w:pPr>
        <w:pStyle w:val="56"/>
        <w:spacing w:line="360" w:lineRule="auto"/>
        <w:ind w:firstLine="420"/>
      </w:pPr>
      <w:r>
        <w:rPr>
          <w:rFonts w:hint="eastAsia"/>
        </w:rPr>
        <w:t>c）结果初判；</w:t>
      </w:r>
    </w:p>
    <w:p w14:paraId="6F77CFA4">
      <w:pPr>
        <w:pStyle w:val="56"/>
        <w:spacing w:line="360" w:lineRule="auto"/>
        <w:ind w:firstLine="420"/>
      </w:pPr>
      <w:r>
        <w:rPr>
          <w:rFonts w:hint="eastAsia"/>
        </w:rPr>
        <w:t>d）证据核查；</w:t>
      </w:r>
    </w:p>
    <w:p w14:paraId="6265B219">
      <w:pPr>
        <w:pStyle w:val="56"/>
        <w:spacing w:line="360" w:lineRule="auto"/>
        <w:ind w:firstLine="420"/>
      </w:pPr>
      <w:r>
        <w:rPr>
          <w:rFonts w:hint="eastAsia"/>
        </w:rPr>
        <w:t>e）结论审核；</w:t>
      </w:r>
    </w:p>
    <w:p w14:paraId="726E5C18">
      <w:pPr>
        <w:pStyle w:val="56"/>
        <w:spacing w:line="360" w:lineRule="auto"/>
        <w:ind w:firstLine="420"/>
      </w:pPr>
      <w:r>
        <w:rPr>
          <w:rFonts w:hint="eastAsia"/>
        </w:rPr>
        <w:t>f）问题告知；</w:t>
      </w:r>
    </w:p>
    <w:p w14:paraId="0ECFFDF5">
      <w:pPr>
        <w:pStyle w:val="56"/>
        <w:spacing w:line="360" w:lineRule="auto"/>
        <w:ind w:firstLine="420"/>
      </w:pPr>
      <w:r>
        <w:rPr>
          <w:rFonts w:hint="eastAsia"/>
        </w:rPr>
        <w:t>g）整改确认；</w:t>
      </w:r>
    </w:p>
    <w:p w14:paraId="5C4E4F95">
      <w:pPr>
        <w:pStyle w:val="56"/>
        <w:spacing w:line="360" w:lineRule="auto"/>
        <w:ind w:firstLine="420"/>
      </w:pPr>
      <w:r>
        <w:rPr>
          <w:rFonts w:hint="eastAsia"/>
        </w:rPr>
        <w:t>h）复检实施；</w:t>
      </w:r>
    </w:p>
    <w:p w14:paraId="434FEE15">
      <w:pPr>
        <w:pStyle w:val="56"/>
        <w:spacing w:line="360" w:lineRule="auto"/>
        <w:ind w:firstLine="420"/>
      </w:pPr>
      <w:r>
        <w:rPr>
          <w:rFonts w:hint="eastAsia"/>
        </w:rPr>
        <w:t>i）复检结论形成；</w:t>
      </w:r>
    </w:p>
    <w:p w14:paraId="4AA70AFA">
      <w:pPr>
        <w:pStyle w:val="56"/>
        <w:spacing w:line="360" w:lineRule="auto"/>
        <w:ind w:firstLine="420"/>
      </w:pPr>
      <w:r>
        <w:rPr>
          <w:rFonts w:hint="eastAsia"/>
        </w:rPr>
        <w:t>j）资料归档。</w:t>
      </w:r>
    </w:p>
    <w:p w14:paraId="5A85672D">
      <w:pPr>
        <w:pStyle w:val="165"/>
        <w:spacing w:line="360" w:lineRule="auto"/>
      </w:pPr>
      <w:r>
        <w:rPr>
          <w:rFonts w:hint="eastAsia"/>
        </w:rPr>
        <w:t>任一关键程序未完成的，不得跳过直接形成最终结论。</w:t>
      </w:r>
    </w:p>
    <w:p w14:paraId="450C1D45">
      <w:pPr>
        <w:pStyle w:val="105"/>
        <w:spacing w:before="120" w:after="120" w:line="360" w:lineRule="auto"/>
      </w:pPr>
      <w:r>
        <w:rPr>
          <w:rFonts w:hint="eastAsia"/>
        </w:rPr>
        <w:t>争议处理要求</w:t>
      </w:r>
    </w:p>
    <w:p w14:paraId="2ED8A8C2">
      <w:pPr>
        <w:pStyle w:val="165"/>
        <w:spacing w:line="360" w:lineRule="auto"/>
      </w:pPr>
      <w:r>
        <w:rPr>
          <w:rFonts w:hint="eastAsia"/>
        </w:rPr>
        <w:t>对结果判定、整改要求、复检范围或者复检结论存在争议的，应建立争议处理机制。</w:t>
      </w:r>
    </w:p>
    <w:p w14:paraId="41B15073">
      <w:pPr>
        <w:pStyle w:val="165"/>
        <w:spacing w:line="360" w:lineRule="auto"/>
      </w:pPr>
      <w:r>
        <w:rPr>
          <w:rFonts w:hint="eastAsia"/>
        </w:rPr>
        <w:t>争议处理应以规则依据、现场事实和证据资料为基础实施。</w:t>
      </w:r>
    </w:p>
    <w:p w14:paraId="18443267">
      <w:pPr>
        <w:pStyle w:val="165"/>
        <w:spacing w:line="360" w:lineRule="auto"/>
      </w:pPr>
      <w:r>
        <w:rPr>
          <w:rFonts w:hint="eastAsia"/>
        </w:rPr>
        <w:t>争议处理期间，不得擅自改变原始记录，不得以补录资料替代原始证据。</w:t>
      </w:r>
    </w:p>
    <w:p w14:paraId="5575C409">
      <w:pPr>
        <w:pStyle w:val="165"/>
        <w:spacing w:line="360" w:lineRule="auto"/>
      </w:pPr>
      <w:r>
        <w:rPr>
          <w:rFonts w:hint="eastAsia"/>
        </w:rPr>
        <w:t>对涉及安全风险的争议事项，应优先保障安全，不得因争议未决而放任电梯带风险运行。</w:t>
      </w:r>
    </w:p>
    <w:p w14:paraId="539A1BF6">
      <w:pPr>
        <w:pStyle w:val="105"/>
        <w:spacing w:before="120" w:after="120" w:line="360" w:lineRule="auto"/>
      </w:pPr>
      <w:r>
        <w:rPr>
          <w:rFonts w:hint="eastAsia"/>
        </w:rPr>
        <w:t>资料与追溯要求</w:t>
      </w:r>
    </w:p>
    <w:p w14:paraId="6DFCDCC0">
      <w:pPr>
        <w:pStyle w:val="165"/>
        <w:spacing w:line="360" w:lineRule="auto"/>
      </w:pPr>
      <w:r>
        <w:rPr>
          <w:rFonts w:hint="eastAsia"/>
        </w:rPr>
        <w:t>电梯检验检测结果判定与复检全过程应形成完整资料。</w:t>
      </w:r>
    </w:p>
    <w:p w14:paraId="56242257">
      <w:pPr>
        <w:pStyle w:val="165"/>
        <w:spacing w:line="360" w:lineRule="auto"/>
      </w:pPr>
      <w:r>
        <w:rPr>
          <w:rFonts w:hint="eastAsia"/>
        </w:rPr>
        <w:t>资料应至少包括原始记录、判定记录、审核记录、问题通知、整改资料、复检资料和结论文件。</w:t>
      </w:r>
    </w:p>
    <w:p w14:paraId="7B874F5D">
      <w:pPr>
        <w:pStyle w:val="165"/>
        <w:spacing w:line="360" w:lineRule="auto"/>
      </w:pPr>
      <w:r>
        <w:rPr>
          <w:rFonts w:hint="eastAsia"/>
        </w:rPr>
        <w:t>各类资料应相互对应、逻辑一致、编号统一、便于查询。</w:t>
      </w:r>
    </w:p>
    <w:p w14:paraId="45EEC247">
      <w:pPr>
        <w:pStyle w:val="165"/>
        <w:spacing w:line="360" w:lineRule="auto"/>
      </w:pPr>
      <w:r>
        <w:rPr>
          <w:rFonts w:hint="eastAsia"/>
        </w:rPr>
        <w:t>资料缺失、记录失真或者前后不一致的，不得认定相关判定或者复检活动已规范完成。</w:t>
      </w:r>
    </w:p>
    <w:p w14:paraId="599B82A7">
      <w:pPr>
        <w:pStyle w:val="105"/>
        <w:spacing w:before="120" w:after="120" w:line="360" w:lineRule="auto"/>
      </w:pPr>
      <w:r>
        <w:rPr>
          <w:rFonts w:hint="eastAsia"/>
        </w:rPr>
        <w:t>禁止性要求</w:t>
      </w:r>
    </w:p>
    <w:p w14:paraId="426BD9E9">
      <w:pPr>
        <w:pStyle w:val="165"/>
        <w:spacing w:line="360" w:lineRule="auto"/>
      </w:pPr>
      <w:r>
        <w:rPr>
          <w:rFonts w:hint="eastAsia"/>
        </w:rPr>
        <w:t>不得在原始记录不完整、试验结果不明确或者关键证据缺失的情况下作出正式判定结论。</w:t>
      </w:r>
    </w:p>
    <w:p w14:paraId="40FAEA21">
      <w:pPr>
        <w:pStyle w:val="165"/>
        <w:spacing w:line="360" w:lineRule="auto"/>
      </w:pPr>
      <w:r>
        <w:rPr>
          <w:rFonts w:hint="eastAsia"/>
        </w:rPr>
        <w:t>不得以口头说明、关系协调或者非正式承诺替代整改确认和复检确认。</w:t>
      </w:r>
    </w:p>
    <w:p w14:paraId="70B6B698">
      <w:pPr>
        <w:pStyle w:val="165"/>
        <w:spacing w:line="360" w:lineRule="auto"/>
      </w:pPr>
      <w:r>
        <w:rPr>
          <w:rFonts w:hint="eastAsia"/>
        </w:rPr>
        <w:t>不得对严重不符合项按一般不符合项处理，不得对明显影响安全的项目弱化处理要求。</w:t>
      </w:r>
    </w:p>
    <w:p w14:paraId="7553A826">
      <w:pPr>
        <w:pStyle w:val="165"/>
        <w:spacing w:line="360" w:lineRule="auto"/>
      </w:pPr>
      <w:r>
        <w:rPr>
          <w:rFonts w:hint="eastAsia"/>
        </w:rPr>
        <w:t>不得在整改未完成、条件未具备或者范围不明确的情况下组织复检。</w:t>
      </w:r>
    </w:p>
    <w:p w14:paraId="71035028">
      <w:pPr>
        <w:pStyle w:val="165"/>
        <w:spacing w:line="360" w:lineRule="auto"/>
      </w:pPr>
      <w:r>
        <w:rPr>
          <w:rFonts w:hint="eastAsia"/>
        </w:rPr>
        <w:t>不得随意修改、删除、替换原始资料和证据资料。</w:t>
      </w:r>
    </w:p>
    <w:p w14:paraId="3C96A680">
      <w:pPr>
        <w:pStyle w:val="104"/>
        <w:spacing w:before="240" w:after="240" w:line="360" w:lineRule="auto"/>
      </w:pPr>
      <w:bookmarkStart w:id="52" w:name="_Toc228615094"/>
      <w:r>
        <w:rPr>
          <w:rFonts w:hint="eastAsia"/>
        </w:rPr>
        <w:t>结果判定要求</w:t>
      </w:r>
      <w:bookmarkEnd w:id="52"/>
    </w:p>
    <w:p w14:paraId="2098322E">
      <w:pPr>
        <w:pStyle w:val="105"/>
        <w:spacing w:before="120" w:after="120" w:line="360" w:lineRule="auto"/>
      </w:pPr>
      <w:r>
        <w:rPr>
          <w:rFonts w:hint="eastAsia"/>
        </w:rPr>
        <w:t>一般要求</w:t>
      </w:r>
    </w:p>
    <w:p w14:paraId="206CEC19">
      <w:pPr>
        <w:pStyle w:val="165"/>
        <w:spacing w:line="360" w:lineRule="auto"/>
      </w:pPr>
      <w:r>
        <w:rPr>
          <w:rFonts w:hint="eastAsia"/>
        </w:rPr>
        <w:t>电梯检验检测结果判定应依据适用规则、现场检查结果、试验测试结果和相关证据资料综合实施。</w:t>
      </w:r>
    </w:p>
    <w:p w14:paraId="565E4363">
      <w:pPr>
        <w:pStyle w:val="165"/>
        <w:spacing w:line="360" w:lineRule="auto"/>
      </w:pPr>
      <w:r>
        <w:rPr>
          <w:rFonts w:hint="eastAsia"/>
        </w:rPr>
        <w:t>结果判定应遵循逐项判定、分类处理、统一口径和证据支撑原则。</w:t>
      </w:r>
    </w:p>
    <w:p w14:paraId="73C508FB">
      <w:pPr>
        <w:pStyle w:val="165"/>
        <w:spacing w:line="360" w:lineRule="auto"/>
      </w:pPr>
      <w:r>
        <w:rPr>
          <w:rFonts w:hint="eastAsia"/>
        </w:rPr>
        <w:t>对同一电梯不同项目的判定，应做到规则适用一致、尺度把握一致和结论表达一致。</w:t>
      </w:r>
    </w:p>
    <w:p w14:paraId="52A1CD25">
      <w:pPr>
        <w:pStyle w:val="165"/>
        <w:spacing w:line="360" w:lineRule="auto"/>
      </w:pPr>
      <w:r>
        <w:rPr>
          <w:rFonts w:hint="eastAsia"/>
        </w:rPr>
        <w:t>结果判定不得脱离项目性质、风险程度、整改可行性和实际影响机械套用模板化表述。</w:t>
      </w:r>
    </w:p>
    <w:p w14:paraId="4741DC18">
      <w:pPr>
        <w:pStyle w:val="165"/>
        <w:numPr>
          <w:ilvl w:val="0"/>
          <w:numId w:val="0"/>
        </w:numPr>
        <w:spacing w:line="360" w:lineRule="auto"/>
        <w:rPr>
          <w:rFonts w:hint="eastAsia"/>
        </w:rPr>
      </w:pPr>
    </w:p>
    <w:p w14:paraId="431E9413">
      <w:pPr>
        <w:pStyle w:val="105"/>
        <w:spacing w:before="120" w:after="120" w:line="360" w:lineRule="auto"/>
      </w:pPr>
      <w:r>
        <w:rPr>
          <w:rFonts w:hint="eastAsia"/>
        </w:rPr>
        <w:t>判定原则</w:t>
      </w:r>
    </w:p>
    <w:p w14:paraId="74F91862">
      <w:pPr>
        <w:pStyle w:val="65"/>
        <w:spacing w:before="120" w:after="120" w:line="360" w:lineRule="auto"/>
      </w:pPr>
      <w:r>
        <w:rPr>
          <w:rFonts w:hint="eastAsia"/>
        </w:rPr>
        <w:t>合规性原则</w:t>
      </w:r>
    </w:p>
    <w:p w14:paraId="3757B1F6">
      <w:pPr>
        <w:pStyle w:val="164"/>
        <w:spacing w:line="360" w:lineRule="auto"/>
      </w:pPr>
      <w:r>
        <w:rPr>
          <w:rFonts w:hint="eastAsia"/>
        </w:rPr>
        <w:t>判定结论应符合现行检验检测规则和安全技术规范要求。</w:t>
      </w:r>
    </w:p>
    <w:p w14:paraId="19C7859D">
      <w:pPr>
        <w:pStyle w:val="164"/>
        <w:spacing w:line="360" w:lineRule="auto"/>
      </w:pPr>
      <w:r>
        <w:rPr>
          <w:rFonts w:hint="eastAsia"/>
        </w:rPr>
        <w:t>对规则要求明确的项目，应按明确条款直接判定。</w:t>
      </w:r>
    </w:p>
    <w:p w14:paraId="22279F70">
      <w:pPr>
        <w:pStyle w:val="164"/>
        <w:spacing w:line="360" w:lineRule="auto"/>
      </w:pPr>
      <w:r>
        <w:rPr>
          <w:rFonts w:hint="eastAsia"/>
        </w:rPr>
        <w:t>对规则要求需结合现场状态综合判断的项目，应在充分核查基础上判定。</w:t>
      </w:r>
    </w:p>
    <w:p w14:paraId="0C1F6CD9">
      <w:pPr>
        <w:pStyle w:val="65"/>
        <w:spacing w:before="120" w:after="120" w:line="360" w:lineRule="auto"/>
      </w:pPr>
      <w:r>
        <w:rPr>
          <w:rFonts w:hint="eastAsia"/>
        </w:rPr>
        <w:t>风险导向原则</w:t>
      </w:r>
    </w:p>
    <w:p w14:paraId="7F710782">
      <w:pPr>
        <w:pStyle w:val="164"/>
        <w:spacing w:line="360" w:lineRule="auto"/>
      </w:pPr>
      <w:r>
        <w:rPr>
          <w:rFonts w:hint="eastAsia"/>
        </w:rPr>
        <w:t>结果判定应充分考虑项目不符合状态对电梯安全运行的影响程度。</w:t>
      </w:r>
    </w:p>
    <w:p w14:paraId="053A8316">
      <w:pPr>
        <w:pStyle w:val="164"/>
        <w:spacing w:line="360" w:lineRule="auto"/>
      </w:pPr>
      <w:r>
        <w:rPr>
          <w:rFonts w:hint="eastAsia"/>
        </w:rPr>
        <w:t>对可能直接影响乘客安全、运行安全、制动安全、开门保护、安全回路和限速保护功能的项目，应从严判定。</w:t>
      </w:r>
    </w:p>
    <w:p w14:paraId="597BF642">
      <w:pPr>
        <w:pStyle w:val="164"/>
        <w:spacing w:line="360" w:lineRule="auto"/>
      </w:pPr>
      <w:r>
        <w:rPr>
          <w:rFonts w:hint="eastAsia"/>
        </w:rPr>
        <w:t>对风险可控但已不满足规则要求的项目，应明确整改要求和后续确认要求。</w:t>
      </w:r>
    </w:p>
    <w:p w14:paraId="241E4AB6">
      <w:pPr>
        <w:pStyle w:val="65"/>
        <w:spacing w:before="120" w:after="120" w:line="360" w:lineRule="auto"/>
      </w:pPr>
      <w:r>
        <w:rPr>
          <w:rFonts w:hint="eastAsia"/>
        </w:rPr>
        <w:t>证据充分原则</w:t>
      </w:r>
    </w:p>
    <w:p w14:paraId="588A2B0D">
      <w:pPr>
        <w:pStyle w:val="164"/>
        <w:spacing w:line="360" w:lineRule="auto"/>
      </w:pPr>
      <w:r>
        <w:rPr>
          <w:rFonts w:hint="eastAsia"/>
        </w:rPr>
        <w:t>判定应建立在充分证据基础上。</w:t>
      </w:r>
    </w:p>
    <w:p w14:paraId="3D3622C9">
      <w:pPr>
        <w:pStyle w:val="164"/>
        <w:spacing w:line="360" w:lineRule="auto"/>
      </w:pPr>
      <w:r>
        <w:rPr>
          <w:rFonts w:hint="eastAsia"/>
        </w:rPr>
        <w:t>对需借助动态测试、音像记录、历史记录或者技术资料辅助判定的项目，应形成完整证据链。</w:t>
      </w:r>
    </w:p>
    <w:p w14:paraId="402328DC">
      <w:pPr>
        <w:pStyle w:val="164"/>
        <w:spacing w:line="360" w:lineRule="auto"/>
      </w:pPr>
      <w:r>
        <w:rPr>
          <w:rFonts w:hint="eastAsia"/>
        </w:rPr>
        <w:t>证据不足的，不得强行作出确定性判定结论。</w:t>
      </w:r>
    </w:p>
    <w:p w14:paraId="7061BAB9">
      <w:pPr>
        <w:pStyle w:val="65"/>
        <w:spacing w:before="120" w:after="120" w:line="360" w:lineRule="auto"/>
      </w:pPr>
      <w:r>
        <w:rPr>
          <w:rFonts w:hint="eastAsia"/>
        </w:rPr>
        <w:t>一致性原则</w:t>
      </w:r>
    </w:p>
    <w:p w14:paraId="2D7EEC10">
      <w:pPr>
        <w:pStyle w:val="164"/>
        <w:spacing w:line="360" w:lineRule="auto"/>
      </w:pPr>
      <w:r>
        <w:rPr>
          <w:rFonts w:hint="eastAsia"/>
        </w:rPr>
        <w:t>同一机构对相同类型项目的判定口径应保持一致。</w:t>
      </w:r>
    </w:p>
    <w:p w14:paraId="31A2A1B9">
      <w:pPr>
        <w:pStyle w:val="164"/>
        <w:spacing w:line="360" w:lineRule="auto"/>
      </w:pPr>
      <w:r>
        <w:rPr>
          <w:rFonts w:hint="eastAsia"/>
        </w:rPr>
        <w:t>不同人员对同类问题的判定应尽量保持统一标准，不得出现明显尺度失衡。</w:t>
      </w:r>
    </w:p>
    <w:p w14:paraId="26A1743E">
      <w:pPr>
        <w:pStyle w:val="164"/>
        <w:spacing w:line="360" w:lineRule="auto"/>
      </w:pPr>
      <w:r>
        <w:rPr>
          <w:rFonts w:hint="eastAsia"/>
        </w:rPr>
        <w:t>对存在易争议项目的，应建立内部统一判定口径和复核机制。</w:t>
      </w:r>
    </w:p>
    <w:p w14:paraId="165A7302">
      <w:pPr>
        <w:pStyle w:val="105"/>
        <w:spacing w:before="120" w:after="120" w:line="360" w:lineRule="auto"/>
      </w:pPr>
      <w:r>
        <w:rPr>
          <w:rFonts w:hint="eastAsia"/>
        </w:rPr>
        <w:t>判定程序要求</w:t>
      </w:r>
    </w:p>
    <w:p w14:paraId="49FAE21A">
      <w:pPr>
        <w:pStyle w:val="65"/>
        <w:spacing w:before="120" w:after="120" w:line="360" w:lineRule="auto"/>
      </w:pPr>
      <w:r>
        <w:rPr>
          <w:rFonts w:hint="eastAsia"/>
        </w:rPr>
        <w:t>一般要求</w:t>
      </w:r>
    </w:p>
    <w:p w14:paraId="5996149B">
      <w:pPr>
        <w:pStyle w:val="164"/>
        <w:spacing w:line="360" w:lineRule="auto"/>
      </w:pPr>
      <w:r>
        <w:rPr>
          <w:rFonts w:hint="eastAsia"/>
        </w:rPr>
        <w:t>电梯检验检测结果判定宜按“现场实施、项目记录、问题识别、项目初判、证据核查、结论审核、结果形成”的程序实施。</w:t>
      </w:r>
    </w:p>
    <w:p w14:paraId="60D3C614">
      <w:pPr>
        <w:pStyle w:val="164"/>
        <w:spacing w:line="360" w:lineRule="auto"/>
      </w:pPr>
      <w:r>
        <w:rPr>
          <w:rFonts w:hint="eastAsia"/>
        </w:rPr>
        <w:t>判定程序应与报告形成程序、整改通知程序和复检衔接程序相统一。</w:t>
      </w:r>
    </w:p>
    <w:p w14:paraId="6811F3B7">
      <w:pPr>
        <w:pStyle w:val="65"/>
        <w:spacing w:before="120" w:after="120" w:line="360" w:lineRule="auto"/>
      </w:pPr>
      <w:r>
        <w:rPr>
          <w:rFonts w:hint="eastAsia"/>
        </w:rPr>
        <w:t>现场初判要求</w:t>
      </w:r>
    </w:p>
    <w:p w14:paraId="378909DB">
      <w:pPr>
        <w:pStyle w:val="164"/>
        <w:spacing w:line="360" w:lineRule="auto"/>
      </w:pPr>
      <w:r>
        <w:rPr>
          <w:rFonts w:hint="eastAsia"/>
        </w:rPr>
        <w:t>现场实施人员应根据现场检查和试验结果进行项目初判。</w:t>
      </w:r>
    </w:p>
    <w:p w14:paraId="405ABED4">
      <w:pPr>
        <w:pStyle w:val="164"/>
        <w:spacing w:line="360" w:lineRule="auto"/>
      </w:pPr>
      <w:r>
        <w:rPr>
          <w:rFonts w:hint="eastAsia"/>
        </w:rPr>
        <w:t>项目初判应明确项目状态、存在问题、证据来源和建议处理方式。</w:t>
      </w:r>
    </w:p>
    <w:p w14:paraId="61F7703F">
      <w:pPr>
        <w:pStyle w:val="164"/>
        <w:spacing w:line="360" w:lineRule="auto"/>
      </w:pPr>
      <w:r>
        <w:rPr>
          <w:rFonts w:hint="eastAsia"/>
        </w:rPr>
        <w:t>对现场不能即时明确的问题项目，应暂缓最终判定并补充核查，不得简单口头下结论。</w:t>
      </w:r>
    </w:p>
    <w:p w14:paraId="6B4876D3">
      <w:pPr>
        <w:pStyle w:val="65"/>
        <w:spacing w:before="120" w:after="120" w:line="360" w:lineRule="auto"/>
      </w:pPr>
      <w:r>
        <w:rPr>
          <w:rFonts w:hint="eastAsia"/>
        </w:rPr>
        <w:t>审核确认要求</w:t>
      </w:r>
    </w:p>
    <w:p w14:paraId="5D024483">
      <w:pPr>
        <w:pStyle w:val="164"/>
        <w:spacing w:line="360" w:lineRule="auto"/>
      </w:pPr>
      <w:r>
        <w:rPr>
          <w:rFonts w:hint="eastAsia"/>
        </w:rPr>
        <w:t>正式结果形成前，应完成审核确认。</w:t>
      </w:r>
    </w:p>
    <w:p w14:paraId="3BADCC84">
      <w:pPr>
        <w:pStyle w:val="164"/>
        <w:spacing w:line="360" w:lineRule="auto"/>
      </w:pPr>
      <w:r>
        <w:rPr>
          <w:rFonts w:hint="eastAsia"/>
        </w:rPr>
        <w:t>审核内容宜至少包括：</w:t>
      </w:r>
    </w:p>
    <w:p w14:paraId="729EB94A">
      <w:pPr>
        <w:pStyle w:val="56"/>
        <w:spacing w:line="360" w:lineRule="auto"/>
        <w:ind w:firstLine="420"/>
      </w:pPr>
      <w:r>
        <w:rPr>
          <w:rFonts w:hint="eastAsia"/>
        </w:rPr>
        <w:t>a）规则适用是否正确；</w:t>
      </w:r>
    </w:p>
    <w:p w14:paraId="4E372E1D">
      <w:pPr>
        <w:pStyle w:val="56"/>
        <w:spacing w:line="360" w:lineRule="auto"/>
        <w:ind w:firstLine="420"/>
      </w:pPr>
      <w:r>
        <w:rPr>
          <w:rFonts w:hint="eastAsia"/>
        </w:rPr>
        <w:t>b）项目记录是否完整；</w:t>
      </w:r>
    </w:p>
    <w:p w14:paraId="35F0ED78">
      <w:pPr>
        <w:pStyle w:val="56"/>
        <w:spacing w:line="360" w:lineRule="auto"/>
        <w:ind w:firstLine="420"/>
      </w:pPr>
      <w:r>
        <w:rPr>
          <w:rFonts w:hint="eastAsia"/>
        </w:rPr>
        <w:t>c）证据资料是否充分；</w:t>
      </w:r>
    </w:p>
    <w:p w14:paraId="76D2F3C0">
      <w:pPr>
        <w:pStyle w:val="56"/>
        <w:spacing w:line="360" w:lineRule="auto"/>
        <w:ind w:firstLine="420"/>
      </w:pPr>
      <w:r>
        <w:rPr>
          <w:rFonts w:hint="eastAsia"/>
        </w:rPr>
        <w:t>d）问题分类是否准确；</w:t>
      </w:r>
    </w:p>
    <w:p w14:paraId="15DE00D1">
      <w:pPr>
        <w:pStyle w:val="56"/>
        <w:spacing w:line="360" w:lineRule="auto"/>
        <w:ind w:firstLine="420"/>
      </w:pPr>
      <w:r>
        <w:rPr>
          <w:rFonts w:hint="eastAsia"/>
        </w:rPr>
        <w:t>e）结论表述是否规范；</w:t>
      </w:r>
    </w:p>
    <w:p w14:paraId="2B3F5A77">
      <w:pPr>
        <w:pStyle w:val="56"/>
        <w:spacing w:line="360" w:lineRule="auto"/>
        <w:ind w:firstLine="420"/>
      </w:pPr>
      <w:r>
        <w:rPr>
          <w:rFonts w:hint="eastAsia"/>
        </w:rPr>
        <w:t>f）整改和复检要求是否明确。</w:t>
      </w:r>
    </w:p>
    <w:p w14:paraId="614AF922">
      <w:pPr>
        <w:pStyle w:val="164"/>
        <w:spacing w:line="360" w:lineRule="auto"/>
      </w:pPr>
      <w:r>
        <w:rPr>
          <w:rFonts w:hint="eastAsia"/>
        </w:rPr>
        <w:t>审核不通过的，应退回补充资料、重新核查或者重新判定。</w:t>
      </w:r>
    </w:p>
    <w:p w14:paraId="26ECDF92">
      <w:pPr>
        <w:pStyle w:val="105"/>
        <w:spacing w:before="120" w:after="120" w:line="360" w:lineRule="auto"/>
      </w:pPr>
      <w:r>
        <w:rPr>
          <w:rFonts w:hint="eastAsia"/>
        </w:rPr>
        <w:t>项目判定要求</w:t>
      </w:r>
    </w:p>
    <w:p w14:paraId="242B3B71">
      <w:pPr>
        <w:pStyle w:val="65"/>
        <w:spacing w:before="120" w:after="120" w:line="360" w:lineRule="auto"/>
      </w:pPr>
      <w:r>
        <w:rPr>
          <w:rFonts w:hint="eastAsia"/>
        </w:rPr>
        <w:t>一般要求</w:t>
      </w:r>
    </w:p>
    <w:p w14:paraId="33FAB0FA">
      <w:pPr>
        <w:pStyle w:val="164"/>
        <w:spacing w:line="360" w:lineRule="auto"/>
      </w:pPr>
      <w:r>
        <w:rPr>
          <w:rFonts w:hint="eastAsia"/>
        </w:rPr>
        <w:t>电梯检验检测结果应以项目为基础进行逐项判定。</w:t>
      </w:r>
    </w:p>
    <w:p w14:paraId="28EEBB1C">
      <w:pPr>
        <w:pStyle w:val="164"/>
        <w:spacing w:line="360" w:lineRule="auto"/>
      </w:pPr>
      <w:r>
        <w:rPr>
          <w:rFonts w:hint="eastAsia"/>
        </w:rPr>
        <w:t>每一判定项目均应有对应记录、对应证据和对应结论。</w:t>
      </w:r>
    </w:p>
    <w:p w14:paraId="5EE5A683">
      <w:pPr>
        <w:pStyle w:val="164"/>
        <w:spacing w:line="360" w:lineRule="auto"/>
      </w:pPr>
      <w:r>
        <w:rPr>
          <w:rFonts w:hint="eastAsia"/>
        </w:rPr>
        <w:t>不得以整体印象代替逐项判定，不得以局部正常掩盖关键项目不符合。</w:t>
      </w:r>
    </w:p>
    <w:p w14:paraId="33480D42">
      <w:pPr>
        <w:pStyle w:val="65"/>
        <w:spacing w:before="120" w:after="120" w:line="360" w:lineRule="auto"/>
      </w:pPr>
      <w:r>
        <w:rPr>
          <w:rFonts w:hint="eastAsia"/>
        </w:rPr>
        <w:t>关键项目判定要求</w:t>
      </w:r>
    </w:p>
    <w:p w14:paraId="7A54A558">
      <w:pPr>
        <w:pStyle w:val="164"/>
        <w:spacing w:line="360" w:lineRule="auto"/>
      </w:pPr>
      <w:r>
        <w:rPr>
          <w:rFonts w:hint="eastAsia"/>
        </w:rPr>
        <w:t>对下列项目应实施重点判定：</w:t>
      </w:r>
    </w:p>
    <w:p w14:paraId="3C2155A4">
      <w:pPr>
        <w:pStyle w:val="56"/>
        <w:spacing w:line="360" w:lineRule="auto"/>
        <w:ind w:firstLine="420"/>
      </w:pPr>
      <w:r>
        <w:rPr>
          <w:rFonts w:hint="eastAsia"/>
        </w:rPr>
        <w:t>a）安全保护装置；</w:t>
      </w:r>
    </w:p>
    <w:p w14:paraId="65DF4413">
      <w:pPr>
        <w:pStyle w:val="56"/>
        <w:spacing w:line="360" w:lineRule="auto"/>
        <w:ind w:firstLine="420"/>
      </w:pPr>
      <w:r>
        <w:rPr>
          <w:rFonts w:hint="eastAsia"/>
        </w:rPr>
        <w:t>b）制动和制停功能；</w:t>
      </w:r>
    </w:p>
    <w:p w14:paraId="41438264">
      <w:pPr>
        <w:pStyle w:val="56"/>
        <w:spacing w:line="360" w:lineRule="auto"/>
        <w:ind w:firstLine="420"/>
      </w:pPr>
      <w:r>
        <w:rPr>
          <w:rFonts w:hint="eastAsia"/>
        </w:rPr>
        <w:t>c）层门和轿门锁紧及联锁功能；</w:t>
      </w:r>
    </w:p>
    <w:p w14:paraId="55EE08F9">
      <w:pPr>
        <w:pStyle w:val="56"/>
        <w:spacing w:line="360" w:lineRule="auto"/>
        <w:ind w:firstLine="420"/>
      </w:pPr>
      <w:r>
        <w:rPr>
          <w:rFonts w:hint="eastAsia"/>
        </w:rPr>
        <w:t>d）门保护和防夹保护功能；</w:t>
      </w:r>
    </w:p>
    <w:p w14:paraId="27DB1FB6">
      <w:pPr>
        <w:pStyle w:val="56"/>
        <w:spacing w:line="360" w:lineRule="auto"/>
        <w:ind w:firstLine="420"/>
      </w:pPr>
      <w:r>
        <w:rPr>
          <w:rFonts w:hint="eastAsia"/>
        </w:rPr>
        <w:t>e）限速器、安全钳和相关联动功能；</w:t>
      </w:r>
    </w:p>
    <w:p w14:paraId="1C5C4822">
      <w:pPr>
        <w:pStyle w:val="56"/>
        <w:spacing w:line="360" w:lineRule="auto"/>
        <w:ind w:firstLine="420"/>
      </w:pPr>
      <w:r>
        <w:rPr>
          <w:rFonts w:hint="eastAsia"/>
        </w:rPr>
        <w:t>f）缓冲系统；</w:t>
      </w:r>
    </w:p>
    <w:p w14:paraId="1B4810FA">
      <w:pPr>
        <w:pStyle w:val="56"/>
        <w:spacing w:line="360" w:lineRule="auto"/>
        <w:ind w:firstLine="420"/>
      </w:pPr>
      <w:r>
        <w:rPr>
          <w:rFonts w:hint="eastAsia"/>
        </w:rPr>
        <w:t>g）紧急报警、应急照明和救援装置；</w:t>
      </w:r>
    </w:p>
    <w:p w14:paraId="36C00B61">
      <w:pPr>
        <w:pStyle w:val="56"/>
        <w:spacing w:line="360" w:lineRule="auto"/>
        <w:ind w:firstLine="420"/>
      </w:pPr>
      <w:r>
        <w:rPr>
          <w:rFonts w:hint="eastAsia"/>
        </w:rPr>
        <w:t>h）电气安全回路；</w:t>
      </w:r>
    </w:p>
    <w:p w14:paraId="008169CD">
      <w:pPr>
        <w:pStyle w:val="56"/>
        <w:spacing w:line="360" w:lineRule="auto"/>
        <w:ind w:firstLine="420"/>
      </w:pPr>
      <w:r>
        <w:rPr>
          <w:rFonts w:hint="eastAsia"/>
        </w:rPr>
        <w:t>i）轿厢意外移动保护功能；</w:t>
      </w:r>
    </w:p>
    <w:p w14:paraId="7C989FBF">
      <w:pPr>
        <w:pStyle w:val="56"/>
        <w:spacing w:line="360" w:lineRule="auto"/>
        <w:ind w:firstLine="420"/>
      </w:pPr>
      <w:r>
        <w:rPr>
          <w:rFonts w:hint="eastAsia"/>
        </w:rPr>
        <w:t>j）其他规则规定的关键安全项目。</w:t>
      </w:r>
    </w:p>
    <w:p w14:paraId="4573964D">
      <w:pPr>
        <w:pStyle w:val="164"/>
        <w:spacing w:line="360" w:lineRule="auto"/>
      </w:pPr>
      <w:r>
        <w:rPr>
          <w:rFonts w:hint="eastAsia"/>
        </w:rPr>
        <w:t>关键项目一旦存在明显失效、缺失或者功能异常，应从严判定，不得以“观察使用”“后续关注”等表述代替正式处理结论。</w:t>
      </w:r>
    </w:p>
    <w:p w14:paraId="5769EF0E">
      <w:pPr>
        <w:pStyle w:val="65"/>
        <w:spacing w:before="120" w:after="120" w:line="360" w:lineRule="auto"/>
      </w:pPr>
      <w:r>
        <w:rPr>
          <w:rFonts w:hint="eastAsia"/>
        </w:rPr>
        <w:t>资料项目判定要求</w:t>
      </w:r>
    </w:p>
    <w:p w14:paraId="51CD93E3">
      <w:pPr>
        <w:pStyle w:val="164"/>
        <w:spacing w:line="360" w:lineRule="auto"/>
      </w:pPr>
      <w:r>
        <w:rPr>
          <w:rFonts w:hint="eastAsia"/>
        </w:rPr>
        <w:t>对管理资料、技术资料和维保资料等项目的判定，应以真实、完整、有效和与现场一致为原则。</w:t>
      </w:r>
    </w:p>
    <w:p w14:paraId="1EC2FED6">
      <w:pPr>
        <w:pStyle w:val="164"/>
        <w:spacing w:line="360" w:lineRule="auto"/>
      </w:pPr>
      <w:r>
        <w:rPr>
          <w:rFonts w:hint="eastAsia"/>
        </w:rPr>
        <w:t>资料缺失、失效、相互矛盾或者与现场状态明显不一致的，应判定为不符合相应要求。</w:t>
      </w:r>
    </w:p>
    <w:p w14:paraId="3F8965C1">
      <w:pPr>
        <w:pStyle w:val="164"/>
        <w:spacing w:line="360" w:lineRule="auto"/>
      </w:pPr>
      <w:r>
        <w:rPr>
          <w:rFonts w:hint="eastAsia"/>
        </w:rPr>
        <w:t>不得将后补资料直接视为原本合规资料，不得以临时补齐资料掩盖长期管理缺陷。</w:t>
      </w:r>
    </w:p>
    <w:p w14:paraId="2F0FC18E">
      <w:pPr>
        <w:pStyle w:val="105"/>
        <w:spacing w:before="120" w:after="120" w:line="360" w:lineRule="auto"/>
      </w:pPr>
      <w:r>
        <w:rPr>
          <w:rFonts w:hint="eastAsia"/>
        </w:rPr>
        <w:t>不符合项分类要求</w:t>
      </w:r>
    </w:p>
    <w:p w14:paraId="5BD92B9E">
      <w:pPr>
        <w:pStyle w:val="65"/>
        <w:spacing w:before="120" w:after="120" w:line="360" w:lineRule="auto"/>
      </w:pPr>
      <w:r>
        <w:rPr>
          <w:rFonts w:hint="eastAsia"/>
        </w:rPr>
        <w:t>一般要求</w:t>
      </w:r>
    </w:p>
    <w:p w14:paraId="6F414ECE">
      <w:pPr>
        <w:pStyle w:val="164"/>
        <w:spacing w:line="360" w:lineRule="auto"/>
      </w:pPr>
      <w:r>
        <w:rPr>
          <w:rFonts w:hint="eastAsia"/>
        </w:rPr>
        <w:t>判定发现的不符合项应进行分类管理。</w:t>
      </w:r>
    </w:p>
    <w:p w14:paraId="3FA41600">
      <w:pPr>
        <w:pStyle w:val="164"/>
        <w:spacing w:line="360" w:lineRule="auto"/>
      </w:pPr>
      <w:r>
        <w:rPr>
          <w:rFonts w:hint="eastAsia"/>
        </w:rPr>
        <w:t>不符合项分类应结合项目性质、风险程度、影响范围和整改紧迫性实施。</w:t>
      </w:r>
    </w:p>
    <w:p w14:paraId="5E26B902">
      <w:pPr>
        <w:pStyle w:val="65"/>
        <w:spacing w:before="120" w:after="120" w:line="360" w:lineRule="auto"/>
      </w:pPr>
      <w:r>
        <w:rPr>
          <w:rFonts w:hint="eastAsia"/>
        </w:rPr>
        <w:t>一般不符合项判定要求</w:t>
      </w:r>
    </w:p>
    <w:p w14:paraId="6DC2ED40">
      <w:pPr>
        <w:pStyle w:val="164"/>
        <w:spacing w:line="360" w:lineRule="auto"/>
      </w:pPr>
      <w:r>
        <w:rPr>
          <w:rFonts w:hint="eastAsia"/>
        </w:rPr>
        <w:t>一般不符合项通常指虽不立即导致重大安全风险，但已不满足规则要求或者存在管理缺陷、功能缺陷、资料缺陷和状态异常的项目。</w:t>
      </w:r>
    </w:p>
    <w:p w14:paraId="329D73AF">
      <w:pPr>
        <w:pStyle w:val="164"/>
        <w:spacing w:line="360" w:lineRule="auto"/>
      </w:pPr>
      <w:r>
        <w:rPr>
          <w:rFonts w:hint="eastAsia"/>
        </w:rPr>
        <w:t>一般不符合项应明确整改期限和整改要求。</w:t>
      </w:r>
    </w:p>
    <w:p w14:paraId="0D9886D4">
      <w:pPr>
        <w:pStyle w:val="65"/>
        <w:spacing w:before="120" w:after="120" w:line="360" w:lineRule="auto"/>
      </w:pPr>
      <w:r>
        <w:rPr>
          <w:rFonts w:hint="eastAsia"/>
        </w:rPr>
        <w:t>严重不符合项判定要求</w:t>
      </w:r>
    </w:p>
    <w:p w14:paraId="58CBBEA8">
      <w:pPr>
        <w:pStyle w:val="164"/>
        <w:spacing w:line="360" w:lineRule="auto"/>
      </w:pPr>
      <w:r>
        <w:rPr>
          <w:rFonts w:hint="eastAsia"/>
        </w:rPr>
        <w:t>严重不符合项通常指直接影响安全运行、可能造成乘客伤害、导致关键安全功能失效或者存在明显失控风险的项目。</w:t>
      </w:r>
    </w:p>
    <w:p w14:paraId="02A7B29C">
      <w:pPr>
        <w:pStyle w:val="164"/>
        <w:spacing w:line="360" w:lineRule="auto"/>
      </w:pPr>
      <w:r>
        <w:rPr>
          <w:rFonts w:hint="eastAsia"/>
        </w:rPr>
        <w:t>对严重不符合项，应明确停止使用、限制使用或者其他必要控制措施。</w:t>
      </w:r>
    </w:p>
    <w:p w14:paraId="03E16D7E">
      <w:pPr>
        <w:pStyle w:val="164"/>
        <w:spacing w:line="360" w:lineRule="auto"/>
      </w:pPr>
      <w:r>
        <w:rPr>
          <w:rFonts w:hint="eastAsia"/>
        </w:rPr>
        <w:t>严重不符合项不得以“建议整改”或者“后续改进”方式弱化处理。</w:t>
      </w:r>
    </w:p>
    <w:p w14:paraId="4DDB41D5">
      <w:pPr>
        <w:pStyle w:val="105"/>
        <w:spacing w:before="120" w:after="120" w:line="360" w:lineRule="auto"/>
      </w:pPr>
      <w:r>
        <w:rPr>
          <w:rFonts w:hint="eastAsia"/>
        </w:rPr>
        <w:t>综合结论形成要求</w:t>
      </w:r>
    </w:p>
    <w:p w14:paraId="71AC645A">
      <w:pPr>
        <w:pStyle w:val="65"/>
        <w:spacing w:before="120" w:after="120" w:line="360" w:lineRule="auto"/>
      </w:pPr>
      <w:r>
        <w:rPr>
          <w:rFonts w:hint="eastAsia"/>
        </w:rPr>
        <w:t>一般要求</w:t>
      </w:r>
    </w:p>
    <w:p w14:paraId="0184FA6A">
      <w:pPr>
        <w:pStyle w:val="164"/>
        <w:spacing w:line="360" w:lineRule="auto"/>
      </w:pPr>
      <w:r>
        <w:rPr>
          <w:rFonts w:hint="eastAsia"/>
        </w:rPr>
        <w:t>在逐项判定基础上，应形成综合结论。</w:t>
      </w:r>
    </w:p>
    <w:p w14:paraId="14CA15F3">
      <w:pPr>
        <w:pStyle w:val="164"/>
        <w:spacing w:line="360" w:lineRule="auto"/>
      </w:pPr>
      <w:r>
        <w:rPr>
          <w:rFonts w:hint="eastAsia"/>
        </w:rPr>
        <w:t>综合结论应反映电梯整体安全状态、问题性质和后续处理要求。</w:t>
      </w:r>
    </w:p>
    <w:p w14:paraId="77664DAB">
      <w:pPr>
        <w:pStyle w:val="164"/>
        <w:spacing w:line="360" w:lineRule="auto"/>
      </w:pPr>
      <w:r>
        <w:rPr>
          <w:rFonts w:hint="eastAsia"/>
        </w:rPr>
        <w:t>综合结论应与项目判定结果一致，不得出现项目结论与综合结论相互矛盾的情形。</w:t>
      </w:r>
    </w:p>
    <w:p w14:paraId="6ADC500A">
      <w:pPr>
        <w:pStyle w:val="65"/>
        <w:spacing w:before="120" w:after="120" w:line="360" w:lineRule="auto"/>
      </w:pPr>
      <w:r>
        <w:rPr>
          <w:rFonts w:hint="eastAsia"/>
        </w:rPr>
        <w:t>综合结论内容要求</w:t>
      </w:r>
    </w:p>
    <w:p w14:paraId="53F6FAD5">
      <w:pPr>
        <w:pStyle w:val="164"/>
        <w:spacing w:line="360" w:lineRule="auto"/>
      </w:pPr>
      <w:r>
        <w:rPr>
          <w:rFonts w:hint="eastAsia"/>
        </w:rPr>
        <w:t>综合结论宜至少包括：</w:t>
      </w:r>
    </w:p>
    <w:p w14:paraId="6B626352">
      <w:pPr>
        <w:pStyle w:val="56"/>
        <w:spacing w:line="360" w:lineRule="auto"/>
        <w:ind w:firstLine="420"/>
      </w:pPr>
      <w:r>
        <w:rPr>
          <w:rFonts w:hint="eastAsia"/>
        </w:rPr>
        <w:t>a）适用规则；</w:t>
      </w:r>
    </w:p>
    <w:p w14:paraId="388941F7">
      <w:pPr>
        <w:pStyle w:val="56"/>
        <w:spacing w:line="360" w:lineRule="auto"/>
        <w:ind w:firstLine="420"/>
      </w:pPr>
      <w:r>
        <w:rPr>
          <w:rFonts w:hint="eastAsia"/>
        </w:rPr>
        <w:t>b）实施类型；</w:t>
      </w:r>
    </w:p>
    <w:p w14:paraId="04B48045">
      <w:pPr>
        <w:pStyle w:val="56"/>
        <w:spacing w:line="360" w:lineRule="auto"/>
        <w:ind w:firstLine="420"/>
      </w:pPr>
      <w:r>
        <w:rPr>
          <w:rFonts w:hint="eastAsia"/>
        </w:rPr>
        <w:t>c）总体判定结果；</w:t>
      </w:r>
    </w:p>
    <w:p w14:paraId="1BA97AE2">
      <w:pPr>
        <w:pStyle w:val="56"/>
        <w:spacing w:line="360" w:lineRule="auto"/>
        <w:ind w:firstLine="420"/>
      </w:pPr>
      <w:r>
        <w:rPr>
          <w:rFonts w:hint="eastAsia"/>
        </w:rPr>
        <w:t>d）存在问题数量和性质；</w:t>
      </w:r>
    </w:p>
    <w:p w14:paraId="4FDC0332">
      <w:pPr>
        <w:pStyle w:val="56"/>
        <w:spacing w:line="360" w:lineRule="auto"/>
        <w:ind w:firstLine="420"/>
      </w:pPr>
      <w:r>
        <w:rPr>
          <w:rFonts w:hint="eastAsia"/>
        </w:rPr>
        <w:t>e）整改要求；</w:t>
      </w:r>
    </w:p>
    <w:p w14:paraId="46737FDD">
      <w:pPr>
        <w:pStyle w:val="56"/>
        <w:spacing w:line="360" w:lineRule="auto"/>
        <w:ind w:firstLine="420"/>
      </w:pPr>
      <w:r>
        <w:rPr>
          <w:rFonts w:hint="eastAsia"/>
        </w:rPr>
        <w:t>f）是否需要复检；</w:t>
      </w:r>
    </w:p>
    <w:p w14:paraId="57FD0DF0">
      <w:pPr>
        <w:pStyle w:val="56"/>
        <w:spacing w:line="360" w:lineRule="auto"/>
        <w:ind w:firstLine="420"/>
      </w:pPr>
      <w:r>
        <w:rPr>
          <w:rFonts w:hint="eastAsia"/>
        </w:rPr>
        <w:t>g）是否涉及限制使用或者停止使用；</w:t>
      </w:r>
    </w:p>
    <w:p w14:paraId="687AB7DE">
      <w:pPr>
        <w:pStyle w:val="56"/>
        <w:spacing w:line="360" w:lineRule="auto"/>
        <w:ind w:firstLine="420"/>
      </w:pPr>
      <w:r>
        <w:rPr>
          <w:rFonts w:hint="eastAsia"/>
        </w:rPr>
        <w:t>h）其他需明确事项。</w:t>
      </w:r>
    </w:p>
    <w:p w14:paraId="01B454F4">
      <w:pPr>
        <w:pStyle w:val="164"/>
        <w:spacing w:line="360" w:lineRule="auto"/>
      </w:pPr>
      <w:r>
        <w:rPr>
          <w:rFonts w:hint="eastAsia"/>
        </w:rPr>
        <w:t>综合结论表述应规范、明确，不得使用含义不清或者边界不明的结论性语句。</w:t>
      </w:r>
    </w:p>
    <w:p w14:paraId="7C0B9218">
      <w:pPr>
        <w:pStyle w:val="105"/>
        <w:spacing w:before="120" w:after="120" w:line="360" w:lineRule="auto"/>
      </w:pPr>
      <w:r>
        <w:rPr>
          <w:rFonts w:hint="eastAsia"/>
        </w:rPr>
        <w:t>结果通知要求</w:t>
      </w:r>
    </w:p>
    <w:p w14:paraId="6DC639CF">
      <w:pPr>
        <w:pStyle w:val="65"/>
        <w:spacing w:before="120" w:after="120" w:line="360" w:lineRule="auto"/>
      </w:pPr>
      <w:r>
        <w:rPr>
          <w:rFonts w:hint="eastAsia"/>
        </w:rPr>
        <w:t>一般要求</w:t>
      </w:r>
    </w:p>
    <w:p w14:paraId="0DEF8873">
      <w:pPr>
        <w:pStyle w:val="164"/>
        <w:spacing w:line="360" w:lineRule="auto"/>
      </w:pPr>
      <w:r>
        <w:rPr>
          <w:rFonts w:hint="eastAsia"/>
        </w:rPr>
        <w:t>结果形成后，应及时通知相关责任主体。</w:t>
      </w:r>
    </w:p>
    <w:p w14:paraId="295FADF7">
      <w:pPr>
        <w:pStyle w:val="164"/>
        <w:spacing w:line="360" w:lineRule="auto"/>
      </w:pPr>
      <w:r>
        <w:rPr>
          <w:rFonts w:hint="eastAsia"/>
        </w:rPr>
        <w:t>结果通知应覆盖使用单位、维保单位和必要的相关责任方。</w:t>
      </w:r>
    </w:p>
    <w:p w14:paraId="11CF5447">
      <w:pPr>
        <w:pStyle w:val="164"/>
        <w:spacing w:line="360" w:lineRule="auto"/>
      </w:pPr>
      <w:r>
        <w:rPr>
          <w:rFonts w:hint="eastAsia"/>
        </w:rPr>
        <w:t>结果通知应明确问题项目、问题性质、整改要求、整改期限、复检条件和风险提示。</w:t>
      </w:r>
    </w:p>
    <w:p w14:paraId="2553B4B1">
      <w:pPr>
        <w:pStyle w:val="65"/>
        <w:spacing w:before="120" w:after="120" w:line="360" w:lineRule="auto"/>
      </w:pPr>
      <w:r>
        <w:rPr>
          <w:rFonts w:hint="eastAsia"/>
        </w:rPr>
        <w:t>重点通知要求</w:t>
      </w:r>
    </w:p>
    <w:p w14:paraId="368752E6">
      <w:pPr>
        <w:pStyle w:val="164"/>
        <w:spacing w:line="360" w:lineRule="auto"/>
      </w:pPr>
      <w:r>
        <w:rPr>
          <w:rFonts w:hint="eastAsia"/>
        </w:rPr>
        <w:t>对严重不符合项、限制使用项目、停止使用项目和需立即整改项目，应实施重点通知。</w:t>
      </w:r>
    </w:p>
    <w:p w14:paraId="65B47387">
      <w:pPr>
        <w:pStyle w:val="164"/>
        <w:spacing w:line="360" w:lineRule="auto"/>
      </w:pPr>
      <w:r>
        <w:rPr>
          <w:rFonts w:hint="eastAsia"/>
        </w:rPr>
        <w:t>重点通知应确保相关责任主体已知悉并具备执行条件。</w:t>
      </w:r>
    </w:p>
    <w:p w14:paraId="42248EB1">
      <w:pPr>
        <w:pStyle w:val="164"/>
        <w:spacing w:line="360" w:lineRule="auto"/>
      </w:pPr>
      <w:r>
        <w:rPr>
          <w:rFonts w:hint="eastAsia"/>
        </w:rPr>
        <w:t>对影响乘客安全的重大问题，不得以一般书面送达方式替代即时告知和即时控制要求。</w:t>
      </w:r>
    </w:p>
    <w:p w14:paraId="2D941B7A">
      <w:pPr>
        <w:pStyle w:val="105"/>
        <w:spacing w:before="120" w:after="120" w:line="360" w:lineRule="auto"/>
      </w:pPr>
      <w:r>
        <w:rPr>
          <w:rFonts w:hint="eastAsia"/>
        </w:rPr>
        <w:t>典型问题判定要点</w:t>
      </w:r>
    </w:p>
    <w:p w14:paraId="5833DFC2">
      <w:pPr>
        <w:pStyle w:val="56"/>
        <w:spacing w:line="360" w:lineRule="auto"/>
        <w:ind w:firstLine="420"/>
      </w:pPr>
      <w:r>
        <w:rPr>
          <w:rFonts w:hint="eastAsia"/>
        </w:rPr>
        <w:t>电梯检验检测结果判定的典型问题判定要点见表1。表1给出了电梯检验检测结果判定中常见问题的分类判断和控制要点。</w:t>
      </w:r>
    </w:p>
    <w:p w14:paraId="2A62EE40">
      <w:pPr>
        <w:pStyle w:val="112"/>
        <w:spacing w:before="120" w:after="120" w:line="360" w:lineRule="auto"/>
      </w:pPr>
      <w:r>
        <w:rPr>
          <w:rFonts w:hint="eastAsia"/>
        </w:rPr>
        <w:t>表电梯检验检测结果判定典型问题判定要点表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2552"/>
        <w:gridCol w:w="2410"/>
        <w:gridCol w:w="2681"/>
      </w:tblGrid>
      <w:tr w14:paraId="7B6ED8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vAlign w:val="center"/>
          </w:tcPr>
          <w:p w14:paraId="03910D02">
            <w:pPr>
              <w:pStyle w:val="178"/>
            </w:pPr>
            <w:r>
              <w:rPr>
                <w:rFonts w:hint="eastAsia"/>
              </w:rPr>
              <w:t>问题类别</w:t>
            </w:r>
          </w:p>
        </w:tc>
        <w:tc>
          <w:tcPr>
            <w:tcW w:w="2552" w:type="dxa"/>
            <w:tcBorders>
              <w:top w:val="single" w:color="auto" w:sz="8" w:space="0"/>
              <w:bottom w:val="single" w:color="auto" w:sz="8" w:space="0"/>
            </w:tcBorders>
            <w:vAlign w:val="center"/>
          </w:tcPr>
          <w:p w14:paraId="6EACC497">
            <w:pPr>
              <w:pStyle w:val="178"/>
            </w:pPr>
            <w:r>
              <w:rPr>
                <w:rFonts w:hint="eastAsia"/>
              </w:rPr>
              <w:t>常见情形</w:t>
            </w:r>
          </w:p>
        </w:tc>
        <w:tc>
          <w:tcPr>
            <w:tcW w:w="2410" w:type="dxa"/>
            <w:tcBorders>
              <w:top w:val="single" w:color="auto" w:sz="8" w:space="0"/>
              <w:bottom w:val="single" w:color="auto" w:sz="8" w:space="0"/>
            </w:tcBorders>
            <w:vAlign w:val="center"/>
          </w:tcPr>
          <w:p w14:paraId="74FEBDE7">
            <w:pPr>
              <w:pStyle w:val="178"/>
            </w:pPr>
            <w:r>
              <w:rPr>
                <w:rFonts w:hint="eastAsia"/>
              </w:rPr>
              <w:t>判定重点</w:t>
            </w:r>
          </w:p>
        </w:tc>
        <w:tc>
          <w:tcPr>
            <w:tcW w:w="2681" w:type="dxa"/>
            <w:tcBorders>
              <w:top w:val="single" w:color="auto" w:sz="8" w:space="0"/>
              <w:bottom w:val="single" w:color="auto" w:sz="8" w:space="0"/>
            </w:tcBorders>
            <w:vAlign w:val="center"/>
          </w:tcPr>
          <w:p w14:paraId="6BC83A3B">
            <w:pPr>
              <w:pStyle w:val="178"/>
            </w:pPr>
            <w:r>
              <w:rPr>
                <w:rFonts w:hint="eastAsia"/>
              </w:rPr>
              <w:t>控制要点</w:t>
            </w:r>
          </w:p>
        </w:tc>
      </w:tr>
      <w:tr w14:paraId="33A87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vAlign w:val="center"/>
          </w:tcPr>
          <w:p w14:paraId="666B01F7">
            <w:pPr>
              <w:pStyle w:val="178"/>
            </w:pPr>
            <w:r>
              <w:rPr>
                <w:rFonts w:hint="eastAsia"/>
              </w:rPr>
              <w:t>关键安全功能问题</w:t>
            </w:r>
          </w:p>
        </w:tc>
        <w:tc>
          <w:tcPr>
            <w:tcW w:w="2552" w:type="dxa"/>
            <w:tcBorders>
              <w:top w:val="single" w:color="auto" w:sz="8" w:space="0"/>
            </w:tcBorders>
            <w:vAlign w:val="center"/>
          </w:tcPr>
          <w:p w14:paraId="4D6D3A51">
            <w:pPr>
              <w:pStyle w:val="178"/>
            </w:pPr>
            <w:r>
              <w:rPr>
                <w:rFonts w:hint="eastAsia"/>
              </w:rPr>
              <w:t>安全保护装置失效、</w:t>
            </w:r>
          </w:p>
          <w:p w14:paraId="32373E2B">
            <w:pPr>
              <w:pStyle w:val="178"/>
            </w:pPr>
            <w:r>
              <w:rPr>
                <w:rFonts w:hint="eastAsia"/>
              </w:rPr>
              <w:t>门锁功能异常、制动异常</w:t>
            </w:r>
          </w:p>
        </w:tc>
        <w:tc>
          <w:tcPr>
            <w:tcW w:w="2410" w:type="dxa"/>
            <w:tcBorders>
              <w:top w:val="single" w:color="auto" w:sz="8" w:space="0"/>
            </w:tcBorders>
            <w:vAlign w:val="center"/>
          </w:tcPr>
          <w:p w14:paraId="0C58BE82">
            <w:pPr>
              <w:pStyle w:val="178"/>
            </w:pPr>
            <w:r>
              <w:rPr>
                <w:rFonts w:hint="eastAsia"/>
              </w:rPr>
              <w:t>是否直接影响安全运行</w:t>
            </w:r>
          </w:p>
        </w:tc>
        <w:tc>
          <w:tcPr>
            <w:tcW w:w="2681" w:type="dxa"/>
            <w:tcBorders>
              <w:top w:val="single" w:color="auto" w:sz="8" w:space="0"/>
            </w:tcBorders>
            <w:vAlign w:val="center"/>
          </w:tcPr>
          <w:p w14:paraId="43912E42">
            <w:pPr>
              <w:pStyle w:val="178"/>
            </w:pPr>
            <w:r>
              <w:rPr>
                <w:rFonts w:hint="eastAsia"/>
              </w:rPr>
              <w:t>应从严判定并优先控制使用风险</w:t>
            </w:r>
          </w:p>
        </w:tc>
      </w:tr>
      <w:tr w14:paraId="385EE0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61643F9A">
            <w:pPr>
              <w:pStyle w:val="178"/>
            </w:pPr>
            <w:r>
              <w:rPr>
                <w:rFonts w:hint="eastAsia"/>
              </w:rPr>
              <w:t>功能性问题</w:t>
            </w:r>
          </w:p>
        </w:tc>
        <w:tc>
          <w:tcPr>
            <w:tcW w:w="2552" w:type="dxa"/>
            <w:vAlign w:val="center"/>
          </w:tcPr>
          <w:p w14:paraId="5DE8F1AD">
            <w:pPr>
              <w:pStyle w:val="178"/>
            </w:pPr>
            <w:r>
              <w:rPr>
                <w:rFonts w:hint="eastAsia"/>
              </w:rPr>
              <w:t>运行异常、平层偏差、指示异常</w:t>
            </w:r>
          </w:p>
        </w:tc>
        <w:tc>
          <w:tcPr>
            <w:tcW w:w="2410" w:type="dxa"/>
            <w:vAlign w:val="center"/>
          </w:tcPr>
          <w:p w14:paraId="4C8C67EB">
            <w:pPr>
              <w:pStyle w:val="178"/>
            </w:pPr>
            <w:r>
              <w:rPr>
                <w:rFonts w:hint="eastAsia"/>
              </w:rPr>
              <w:t>是否影响正常安全使用</w:t>
            </w:r>
          </w:p>
        </w:tc>
        <w:tc>
          <w:tcPr>
            <w:tcW w:w="2681" w:type="dxa"/>
            <w:vAlign w:val="center"/>
          </w:tcPr>
          <w:p w14:paraId="417B75B1">
            <w:pPr>
              <w:pStyle w:val="178"/>
            </w:pPr>
            <w:r>
              <w:rPr>
                <w:rFonts w:hint="eastAsia"/>
              </w:rPr>
              <w:t>应结合风险程度分类处理</w:t>
            </w:r>
          </w:p>
        </w:tc>
      </w:tr>
      <w:tr w14:paraId="21CEBC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2AD8F4C9">
            <w:pPr>
              <w:pStyle w:val="178"/>
            </w:pPr>
            <w:r>
              <w:rPr>
                <w:rFonts w:hint="eastAsia"/>
              </w:rPr>
              <w:t>资料性问题</w:t>
            </w:r>
          </w:p>
        </w:tc>
        <w:tc>
          <w:tcPr>
            <w:tcW w:w="2552" w:type="dxa"/>
            <w:vAlign w:val="center"/>
          </w:tcPr>
          <w:p w14:paraId="62FF8491">
            <w:pPr>
              <w:pStyle w:val="178"/>
            </w:pPr>
            <w:r>
              <w:rPr>
                <w:rFonts w:hint="eastAsia"/>
              </w:rPr>
              <w:t>资料缺失、资料失效、</w:t>
            </w:r>
          </w:p>
          <w:p w14:paraId="60339703">
            <w:pPr>
              <w:pStyle w:val="178"/>
            </w:pPr>
            <w:r>
              <w:rPr>
                <w:rFonts w:hint="eastAsia"/>
              </w:rPr>
              <w:t>资料与现场不符</w:t>
            </w:r>
          </w:p>
        </w:tc>
        <w:tc>
          <w:tcPr>
            <w:tcW w:w="2410" w:type="dxa"/>
            <w:vAlign w:val="center"/>
          </w:tcPr>
          <w:p w14:paraId="36353FAF">
            <w:pPr>
              <w:pStyle w:val="178"/>
            </w:pPr>
            <w:r>
              <w:rPr>
                <w:rFonts w:hint="eastAsia"/>
              </w:rPr>
              <w:t>是否影响规则符合性和追溯性</w:t>
            </w:r>
          </w:p>
        </w:tc>
        <w:tc>
          <w:tcPr>
            <w:tcW w:w="2681" w:type="dxa"/>
            <w:vAlign w:val="center"/>
          </w:tcPr>
          <w:p w14:paraId="33D8DE23">
            <w:pPr>
              <w:pStyle w:val="178"/>
            </w:pPr>
            <w:r>
              <w:rPr>
                <w:rFonts w:hint="eastAsia"/>
              </w:rPr>
              <w:t>应明确补正要求和管理责任</w:t>
            </w:r>
          </w:p>
        </w:tc>
      </w:tr>
      <w:tr w14:paraId="3B0806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13124387">
            <w:pPr>
              <w:pStyle w:val="178"/>
            </w:pPr>
            <w:r>
              <w:rPr>
                <w:rFonts w:hint="eastAsia"/>
              </w:rPr>
              <w:t>管理性问题</w:t>
            </w:r>
          </w:p>
        </w:tc>
        <w:tc>
          <w:tcPr>
            <w:tcW w:w="2552" w:type="dxa"/>
            <w:vAlign w:val="center"/>
          </w:tcPr>
          <w:p w14:paraId="3EB559F9">
            <w:pPr>
              <w:pStyle w:val="178"/>
            </w:pPr>
            <w:r>
              <w:rPr>
                <w:rFonts w:hint="eastAsia"/>
              </w:rPr>
              <w:t>维保记录不规范、自检记录缺失</w:t>
            </w:r>
          </w:p>
        </w:tc>
        <w:tc>
          <w:tcPr>
            <w:tcW w:w="2410" w:type="dxa"/>
            <w:vAlign w:val="center"/>
          </w:tcPr>
          <w:p w14:paraId="4E498DAF">
            <w:pPr>
              <w:pStyle w:val="178"/>
            </w:pPr>
            <w:r>
              <w:rPr>
                <w:rFonts w:hint="eastAsia"/>
              </w:rPr>
              <w:t>是否影响安全管理和责任落实</w:t>
            </w:r>
          </w:p>
        </w:tc>
        <w:tc>
          <w:tcPr>
            <w:tcW w:w="2681" w:type="dxa"/>
            <w:vAlign w:val="center"/>
          </w:tcPr>
          <w:p w14:paraId="76CD3F73">
            <w:pPr>
              <w:pStyle w:val="178"/>
            </w:pPr>
            <w:r>
              <w:rPr>
                <w:rFonts w:hint="eastAsia"/>
              </w:rPr>
              <w:t>应与整改要求同步明确</w:t>
            </w:r>
          </w:p>
        </w:tc>
      </w:tr>
      <w:tr w14:paraId="18A29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3DF03F17">
            <w:pPr>
              <w:pStyle w:val="178"/>
            </w:pPr>
            <w:r>
              <w:rPr>
                <w:rFonts w:hint="eastAsia"/>
              </w:rPr>
              <w:t>设备状态问题</w:t>
            </w:r>
          </w:p>
        </w:tc>
        <w:tc>
          <w:tcPr>
            <w:tcW w:w="2552" w:type="dxa"/>
            <w:vAlign w:val="center"/>
          </w:tcPr>
          <w:p w14:paraId="274C8DA3">
            <w:pPr>
              <w:pStyle w:val="178"/>
            </w:pPr>
            <w:r>
              <w:rPr>
                <w:rFonts w:hint="eastAsia"/>
              </w:rPr>
              <w:t>部件磨损、保护参数异常、</w:t>
            </w:r>
          </w:p>
          <w:p w14:paraId="44B13676">
            <w:pPr>
              <w:pStyle w:val="178"/>
            </w:pPr>
            <w:r>
              <w:rPr>
                <w:rFonts w:hint="eastAsia"/>
              </w:rPr>
              <w:t>部件损坏</w:t>
            </w:r>
          </w:p>
        </w:tc>
        <w:tc>
          <w:tcPr>
            <w:tcW w:w="2410" w:type="dxa"/>
            <w:vAlign w:val="center"/>
          </w:tcPr>
          <w:p w14:paraId="5D83364A">
            <w:pPr>
              <w:pStyle w:val="178"/>
            </w:pPr>
            <w:r>
              <w:rPr>
                <w:rFonts w:hint="eastAsia"/>
              </w:rPr>
              <w:t>是否已达到风险边界</w:t>
            </w:r>
          </w:p>
        </w:tc>
        <w:tc>
          <w:tcPr>
            <w:tcW w:w="2681" w:type="dxa"/>
            <w:vAlign w:val="center"/>
          </w:tcPr>
          <w:p w14:paraId="0DC6A488">
            <w:pPr>
              <w:pStyle w:val="178"/>
            </w:pPr>
            <w:r>
              <w:rPr>
                <w:rFonts w:hint="eastAsia"/>
              </w:rPr>
              <w:t>应结合整改紧迫性判定</w:t>
            </w:r>
          </w:p>
        </w:tc>
      </w:tr>
      <w:tr w14:paraId="52E0B5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312A8F50">
            <w:pPr>
              <w:pStyle w:val="178"/>
            </w:pPr>
            <w:r>
              <w:rPr>
                <w:rFonts w:hint="eastAsia"/>
              </w:rPr>
              <w:t>证据不足问题</w:t>
            </w:r>
          </w:p>
        </w:tc>
        <w:tc>
          <w:tcPr>
            <w:tcW w:w="2552" w:type="dxa"/>
            <w:vAlign w:val="center"/>
          </w:tcPr>
          <w:p w14:paraId="4316EE46">
            <w:pPr>
              <w:pStyle w:val="178"/>
            </w:pPr>
            <w:r>
              <w:rPr>
                <w:rFonts w:hint="eastAsia"/>
              </w:rPr>
              <w:t>记录不全、试验未完整实施、</w:t>
            </w:r>
          </w:p>
          <w:p w14:paraId="48C8B838">
            <w:pPr>
              <w:pStyle w:val="178"/>
            </w:pPr>
            <w:r>
              <w:rPr>
                <w:rFonts w:hint="eastAsia"/>
              </w:rPr>
              <w:t>资料模糊</w:t>
            </w:r>
          </w:p>
        </w:tc>
        <w:tc>
          <w:tcPr>
            <w:tcW w:w="2410" w:type="dxa"/>
            <w:vAlign w:val="center"/>
          </w:tcPr>
          <w:p w14:paraId="5750131C">
            <w:pPr>
              <w:pStyle w:val="178"/>
            </w:pPr>
            <w:r>
              <w:rPr>
                <w:rFonts w:hint="eastAsia"/>
              </w:rPr>
              <w:t>是否具备正式判定条件</w:t>
            </w:r>
          </w:p>
        </w:tc>
        <w:tc>
          <w:tcPr>
            <w:tcW w:w="2681" w:type="dxa"/>
            <w:vAlign w:val="center"/>
          </w:tcPr>
          <w:p w14:paraId="35FA000D">
            <w:pPr>
              <w:pStyle w:val="178"/>
            </w:pPr>
            <w:r>
              <w:rPr>
                <w:rFonts w:hint="eastAsia"/>
              </w:rPr>
              <w:t>证据不足不得强行出具明确结论</w:t>
            </w:r>
          </w:p>
        </w:tc>
      </w:tr>
    </w:tbl>
    <w:p w14:paraId="220EAD33">
      <w:pPr>
        <w:pStyle w:val="105"/>
        <w:spacing w:before="120" w:after="120" w:line="360" w:lineRule="auto"/>
      </w:pPr>
      <w:r>
        <w:rPr>
          <w:rFonts w:hint="eastAsia"/>
        </w:rPr>
        <w:t>争议项目判定要求</w:t>
      </w:r>
    </w:p>
    <w:p w14:paraId="20745A5C">
      <w:pPr>
        <w:pStyle w:val="165"/>
        <w:spacing w:line="360" w:lineRule="auto"/>
      </w:pPr>
      <w:r>
        <w:rPr>
          <w:rFonts w:hint="eastAsia"/>
        </w:rPr>
        <w:t>对易产生争议的项目，应实施重点核查和重点审核。</w:t>
      </w:r>
    </w:p>
    <w:p w14:paraId="6D1C5B88">
      <w:pPr>
        <w:pStyle w:val="165"/>
        <w:spacing w:line="360" w:lineRule="auto"/>
      </w:pPr>
      <w:r>
        <w:rPr>
          <w:rFonts w:hint="eastAsia"/>
        </w:rPr>
        <w:t>争议项目判定应以规则条款、设备实际状态和完整证据资料为基础。</w:t>
      </w:r>
    </w:p>
    <w:p w14:paraId="66514E21">
      <w:pPr>
        <w:pStyle w:val="165"/>
        <w:spacing w:line="360" w:lineRule="auto"/>
      </w:pPr>
      <w:r>
        <w:rPr>
          <w:rFonts w:hint="eastAsia"/>
        </w:rPr>
        <w:t>必要时，争议项目可组织复核、补充检测或者技术会商。</w:t>
      </w:r>
    </w:p>
    <w:p w14:paraId="25F4B3E0">
      <w:pPr>
        <w:pStyle w:val="165"/>
        <w:spacing w:line="360" w:lineRule="auto"/>
      </w:pPr>
      <w:r>
        <w:rPr>
          <w:rFonts w:hint="eastAsia"/>
        </w:rPr>
        <w:t>争议项目在未形成明确结论前，不得擅自认定整改已完成或者安全风险已消除。</w:t>
      </w:r>
    </w:p>
    <w:p w14:paraId="5E97969F">
      <w:pPr>
        <w:pStyle w:val="105"/>
        <w:spacing w:before="120" w:after="120" w:line="360" w:lineRule="auto"/>
      </w:pPr>
      <w:r>
        <w:rPr>
          <w:rFonts w:hint="eastAsia"/>
        </w:rPr>
        <w:t>禁止性要求</w:t>
      </w:r>
    </w:p>
    <w:p w14:paraId="02324142">
      <w:pPr>
        <w:pStyle w:val="56"/>
        <w:spacing w:line="360" w:lineRule="auto"/>
        <w:ind w:firstLine="420"/>
      </w:pPr>
      <w:r>
        <w:rPr>
          <w:rFonts w:hint="eastAsia"/>
        </w:rPr>
        <w:t>不得在逐项判定未完成的情况下直接形成综合结论。</w:t>
      </w:r>
    </w:p>
    <w:p w14:paraId="204E8AE2">
      <w:pPr>
        <w:pStyle w:val="165"/>
        <w:spacing w:line="360" w:lineRule="auto"/>
      </w:pPr>
      <w:r>
        <w:rPr>
          <w:rFonts w:hint="eastAsia"/>
        </w:rPr>
        <w:t>不得在关键项目证据不足时以经验推定代替正式判定。</w:t>
      </w:r>
    </w:p>
    <w:p w14:paraId="38FCAE71">
      <w:pPr>
        <w:pStyle w:val="165"/>
        <w:spacing w:line="360" w:lineRule="auto"/>
      </w:pPr>
      <w:r>
        <w:rPr>
          <w:rFonts w:hint="eastAsia"/>
        </w:rPr>
        <w:t>不得对严重不符合项弱化判定、模糊表达或者延后处理。</w:t>
      </w:r>
    </w:p>
    <w:p w14:paraId="7A8613AC">
      <w:pPr>
        <w:pStyle w:val="165"/>
        <w:spacing w:line="360" w:lineRule="auto"/>
      </w:pPr>
      <w:r>
        <w:rPr>
          <w:rFonts w:hint="eastAsia"/>
        </w:rPr>
        <w:t>不得将管理资料问题与关键安全功能问题混同处理。</w:t>
      </w:r>
    </w:p>
    <w:p w14:paraId="148B7A85">
      <w:pPr>
        <w:pStyle w:val="165"/>
        <w:spacing w:line="360" w:lineRule="auto"/>
      </w:pPr>
      <w:r>
        <w:rPr>
          <w:rFonts w:hint="eastAsia"/>
        </w:rPr>
        <w:t>不得在结果通知中遗漏整改要求、复检条件和使用风险提示。</w:t>
      </w:r>
    </w:p>
    <w:p w14:paraId="634E312B">
      <w:pPr>
        <w:pStyle w:val="104"/>
        <w:spacing w:before="240" w:after="240" w:line="360" w:lineRule="auto"/>
      </w:pPr>
      <w:bookmarkStart w:id="53" w:name="_Toc228615095"/>
      <w:r>
        <w:rPr>
          <w:rFonts w:hint="eastAsia"/>
        </w:rPr>
        <w:t>整改确认与复检要求</w:t>
      </w:r>
      <w:bookmarkEnd w:id="53"/>
    </w:p>
    <w:p w14:paraId="6FA89718">
      <w:pPr>
        <w:pStyle w:val="105"/>
        <w:spacing w:before="120" w:after="120" w:line="360" w:lineRule="auto"/>
      </w:pPr>
      <w:r>
        <w:rPr>
          <w:rFonts w:hint="eastAsia"/>
        </w:rPr>
        <w:t>一般要求</w:t>
      </w:r>
    </w:p>
    <w:p w14:paraId="3230DB73">
      <w:pPr>
        <w:pStyle w:val="165"/>
        <w:spacing w:line="360" w:lineRule="auto"/>
      </w:pPr>
      <w:r>
        <w:rPr>
          <w:rFonts w:hint="eastAsia"/>
        </w:rPr>
        <w:t>对电梯检验检测中发现的不符合项，应根据问题性质、风险程度和规则要求实施整改确认或者复检。</w:t>
      </w:r>
    </w:p>
    <w:p w14:paraId="4C40A74D">
      <w:pPr>
        <w:pStyle w:val="165"/>
        <w:spacing w:line="360" w:lineRule="auto"/>
      </w:pPr>
      <w:r>
        <w:rPr>
          <w:rFonts w:hint="eastAsia"/>
        </w:rPr>
        <w:t>整改确认与复检应坚持问题导向、风险导向、项目对应、范围明确、程序规范和结论清晰的原则。</w:t>
      </w:r>
    </w:p>
    <w:p w14:paraId="46016523">
      <w:pPr>
        <w:pStyle w:val="165"/>
        <w:spacing w:line="360" w:lineRule="auto"/>
      </w:pPr>
      <w:r>
        <w:rPr>
          <w:rFonts w:hint="eastAsia"/>
        </w:rPr>
        <w:t>整改确认应以问题项目已完成整改、相关资料齐全、现场状态可核验为前提。</w:t>
      </w:r>
    </w:p>
    <w:p w14:paraId="7B892BC3">
      <w:pPr>
        <w:pStyle w:val="165"/>
        <w:spacing w:line="360" w:lineRule="auto"/>
      </w:pPr>
      <w:r>
        <w:rPr>
          <w:rFonts w:hint="eastAsia"/>
        </w:rPr>
        <w:t>复检应以原判定结论、整改要求和复检条件为依据实施，不得脱离原问题项目任意扩大或者缩小复检范围。</w:t>
      </w:r>
    </w:p>
    <w:p w14:paraId="1427E85F">
      <w:pPr>
        <w:pStyle w:val="165"/>
        <w:spacing w:line="360" w:lineRule="auto"/>
      </w:pPr>
      <w:r>
        <w:rPr>
          <w:rFonts w:hint="eastAsia"/>
        </w:rPr>
        <w:t>对涉及关键安全功能、严重不符合项、限制使用或者停止使用措施的项目，应从严实施整改确认和复检。</w:t>
      </w:r>
    </w:p>
    <w:p w14:paraId="6F32C3B7">
      <w:pPr>
        <w:pStyle w:val="105"/>
        <w:spacing w:before="120" w:after="120" w:line="360" w:lineRule="auto"/>
      </w:pPr>
      <w:r>
        <w:rPr>
          <w:rFonts w:hint="eastAsia"/>
        </w:rPr>
        <w:t>整改要求确定</w:t>
      </w:r>
    </w:p>
    <w:p w14:paraId="57FB3516">
      <w:pPr>
        <w:pStyle w:val="65"/>
        <w:spacing w:before="120" w:after="120" w:line="360" w:lineRule="auto"/>
      </w:pPr>
      <w:r>
        <w:rPr>
          <w:rFonts w:hint="eastAsia"/>
        </w:rPr>
        <w:t>一般要求</w:t>
      </w:r>
    </w:p>
    <w:p w14:paraId="6BDA200E">
      <w:pPr>
        <w:pStyle w:val="165"/>
        <w:spacing w:line="360" w:lineRule="auto"/>
      </w:pPr>
      <w:r>
        <w:rPr>
          <w:rFonts w:hint="eastAsia"/>
        </w:rPr>
        <w:t>电梯检验检测发现问题后，应明确整改要求。</w:t>
      </w:r>
    </w:p>
    <w:p w14:paraId="445B4725">
      <w:pPr>
        <w:pStyle w:val="165"/>
        <w:spacing w:line="360" w:lineRule="auto"/>
      </w:pPr>
      <w:r>
        <w:rPr>
          <w:rFonts w:hint="eastAsia"/>
        </w:rPr>
        <w:t>整改要求应与不符合项逐项对应，不得笼统表述或者以原则性要求替代具体整改内容。</w:t>
      </w:r>
    </w:p>
    <w:p w14:paraId="34F69F07">
      <w:pPr>
        <w:pStyle w:val="165"/>
        <w:spacing w:line="360" w:lineRule="auto"/>
      </w:pPr>
      <w:r>
        <w:rPr>
          <w:rFonts w:hint="eastAsia"/>
        </w:rPr>
        <w:t>整改要求应明确整改部位、整改内容、整改方式、整改时限和整改责任主体。</w:t>
      </w:r>
    </w:p>
    <w:p w14:paraId="459D50F3">
      <w:pPr>
        <w:pStyle w:val="65"/>
        <w:spacing w:before="120" w:after="120" w:line="360" w:lineRule="auto"/>
      </w:pPr>
      <w:r>
        <w:rPr>
          <w:rFonts w:hint="eastAsia"/>
        </w:rPr>
        <w:t>整改内容要求</w:t>
      </w:r>
    </w:p>
    <w:p w14:paraId="4B26B79A">
      <w:pPr>
        <w:pStyle w:val="165"/>
        <w:spacing w:line="360" w:lineRule="auto"/>
      </w:pPr>
      <w:r>
        <w:rPr>
          <w:rFonts w:hint="eastAsia"/>
        </w:rPr>
        <w:t>整改要求宜至少包括下列内容：</w:t>
      </w:r>
    </w:p>
    <w:p w14:paraId="70C84FD1">
      <w:pPr>
        <w:pStyle w:val="56"/>
        <w:spacing w:line="360" w:lineRule="auto"/>
        <w:ind w:firstLine="420"/>
      </w:pPr>
      <w:r>
        <w:rPr>
          <w:rFonts w:hint="eastAsia"/>
        </w:rPr>
        <w:t>a）问题项目名称；</w:t>
      </w:r>
    </w:p>
    <w:p w14:paraId="4FAB0401">
      <w:pPr>
        <w:pStyle w:val="56"/>
        <w:spacing w:line="360" w:lineRule="auto"/>
        <w:ind w:firstLine="420"/>
      </w:pPr>
      <w:r>
        <w:rPr>
          <w:rFonts w:hint="eastAsia"/>
        </w:rPr>
        <w:t>b）问题表现；</w:t>
      </w:r>
    </w:p>
    <w:p w14:paraId="6EC57699">
      <w:pPr>
        <w:pStyle w:val="56"/>
        <w:spacing w:line="360" w:lineRule="auto"/>
        <w:ind w:firstLine="420"/>
      </w:pPr>
      <w:r>
        <w:rPr>
          <w:rFonts w:hint="eastAsia"/>
        </w:rPr>
        <w:t>c）适用规则依据；</w:t>
      </w:r>
    </w:p>
    <w:p w14:paraId="2863BC6D">
      <w:pPr>
        <w:pStyle w:val="56"/>
        <w:spacing w:line="360" w:lineRule="auto"/>
        <w:ind w:firstLine="420"/>
      </w:pPr>
      <w:r>
        <w:rPr>
          <w:rFonts w:hint="eastAsia"/>
        </w:rPr>
        <w:t>d）整改措施要求；</w:t>
      </w:r>
    </w:p>
    <w:p w14:paraId="15406A5B">
      <w:pPr>
        <w:pStyle w:val="56"/>
        <w:spacing w:line="360" w:lineRule="auto"/>
        <w:ind w:firstLine="420"/>
      </w:pPr>
      <w:r>
        <w:rPr>
          <w:rFonts w:hint="eastAsia"/>
        </w:rPr>
        <w:t>e）整改完成标准；</w:t>
      </w:r>
    </w:p>
    <w:p w14:paraId="633CE6D8">
      <w:pPr>
        <w:pStyle w:val="56"/>
        <w:spacing w:line="360" w:lineRule="auto"/>
        <w:ind w:firstLine="420"/>
      </w:pPr>
      <w:r>
        <w:rPr>
          <w:rFonts w:hint="eastAsia"/>
        </w:rPr>
        <w:t>f）整改完成时限；</w:t>
      </w:r>
    </w:p>
    <w:p w14:paraId="3270D8BE">
      <w:pPr>
        <w:pStyle w:val="56"/>
        <w:spacing w:line="360" w:lineRule="auto"/>
        <w:ind w:firstLine="420"/>
      </w:pPr>
      <w:r>
        <w:rPr>
          <w:rFonts w:hint="eastAsia"/>
        </w:rPr>
        <w:t>g）整改证明资料要求；</w:t>
      </w:r>
    </w:p>
    <w:p w14:paraId="6B797D9A">
      <w:pPr>
        <w:pStyle w:val="56"/>
        <w:spacing w:line="360" w:lineRule="auto"/>
        <w:ind w:firstLine="420"/>
      </w:pPr>
      <w:r>
        <w:rPr>
          <w:rFonts w:hint="eastAsia"/>
        </w:rPr>
        <w:t>h）是否需要复检。</w:t>
      </w:r>
    </w:p>
    <w:p w14:paraId="293967E6">
      <w:pPr>
        <w:pStyle w:val="165"/>
        <w:spacing w:line="360" w:lineRule="auto"/>
      </w:pPr>
      <w:r>
        <w:rPr>
          <w:rFonts w:hint="eastAsia"/>
        </w:rPr>
        <w:t>对影响安全运行的项目，应明确是否需要停止使用、限制使用或者采取其他风险控制措施。</w:t>
      </w:r>
    </w:p>
    <w:p w14:paraId="00B95DC1">
      <w:pPr>
        <w:pStyle w:val="165"/>
        <w:numPr>
          <w:ilvl w:val="0"/>
          <w:numId w:val="0"/>
        </w:numPr>
        <w:spacing w:line="360" w:lineRule="auto"/>
        <w:rPr>
          <w:rFonts w:hint="eastAsia"/>
        </w:rPr>
      </w:pPr>
    </w:p>
    <w:p w14:paraId="156D0E89">
      <w:pPr>
        <w:pStyle w:val="65"/>
        <w:spacing w:before="120" w:after="120" w:line="360" w:lineRule="auto"/>
      </w:pPr>
      <w:r>
        <w:rPr>
          <w:rFonts w:hint="eastAsia"/>
        </w:rPr>
        <w:t>整改时限要求</w:t>
      </w:r>
    </w:p>
    <w:p w14:paraId="2ED1F930">
      <w:pPr>
        <w:pStyle w:val="165"/>
        <w:spacing w:line="360" w:lineRule="auto"/>
      </w:pPr>
      <w:r>
        <w:rPr>
          <w:rFonts w:hint="eastAsia"/>
        </w:rPr>
        <w:t>整改时限应与问题性质和风险程度相适应。</w:t>
      </w:r>
    </w:p>
    <w:p w14:paraId="76463CE8">
      <w:pPr>
        <w:pStyle w:val="165"/>
        <w:spacing w:line="360" w:lineRule="auto"/>
      </w:pPr>
      <w:r>
        <w:rPr>
          <w:rFonts w:hint="eastAsia"/>
        </w:rPr>
        <w:t>对严重不符合项和高风险项目，应要求立即整改或者先采取安全控制措施后尽快整改。</w:t>
      </w:r>
    </w:p>
    <w:p w14:paraId="0C95A726">
      <w:pPr>
        <w:pStyle w:val="165"/>
        <w:spacing w:line="360" w:lineRule="auto"/>
      </w:pPr>
      <w:r>
        <w:rPr>
          <w:rFonts w:hint="eastAsia"/>
        </w:rPr>
        <w:t>对一般不符合项，应明确合理整改期限，不得长期拖延整改。</w:t>
      </w:r>
    </w:p>
    <w:p w14:paraId="5B6B464A">
      <w:pPr>
        <w:pStyle w:val="105"/>
        <w:spacing w:before="120" w:after="120" w:line="360" w:lineRule="auto"/>
      </w:pPr>
      <w:r>
        <w:rPr>
          <w:rFonts w:hint="eastAsia"/>
        </w:rPr>
        <w:t>整改资料要求</w:t>
      </w:r>
    </w:p>
    <w:p w14:paraId="20730425">
      <w:pPr>
        <w:pStyle w:val="65"/>
        <w:spacing w:before="120" w:after="120" w:line="360" w:lineRule="auto"/>
      </w:pPr>
      <w:r>
        <w:rPr>
          <w:rFonts w:hint="eastAsia"/>
        </w:rPr>
        <w:t>一般要求</w:t>
      </w:r>
    </w:p>
    <w:p w14:paraId="0754E6E4">
      <w:pPr>
        <w:pStyle w:val="165"/>
        <w:spacing w:line="360" w:lineRule="auto"/>
      </w:pPr>
      <w:r>
        <w:rPr>
          <w:rFonts w:hint="eastAsia"/>
        </w:rPr>
        <w:t>整改完成后，应提交相应整改资料。</w:t>
      </w:r>
    </w:p>
    <w:p w14:paraId="78E8C53F">
      <w:pPr>
        <w:pStyle w:val="165"/>
        <w:spacing w:line="360" w:lineRule="auto"/>
      </w:pPr>
      <w:r>
        <w:rPr>
          <w:rFonts w:hint="eastAsia"/>
        </w:rPr>
        <w:t>整改资料应真实、完整、清晰并能够支撑整改确认和复检实施。</w:t>
      </w:r>
    </w:p>
    <w:p w14:paraId="0A36BDD9">
      <w:pPr>
        <w:pStyle w:val="165"/>
        <w:spacing w:line="360" w:lineRule="auto"/>
      </w:pPr>
      <w:r>
        <w:rPr>
          <w:rFonts w:hint="eastAsia"/>
        </w:rPr>
        <w:t>整改资料不得以事后补写、拼接照片或者模糊说明替代真实整改记录。</w:t>
      </w:r>
    </w:p>
    <w:p w14:paraId="22174859">
      <w:pPr>
        <w:pStyle w:val="65"/>
        <w:spacing w:before="120" w:after="120" w:line="360" w:lineRule="auto"/>
      </w:pPr>
      <w:r>
        <w:rPr>
          <w:rFonts w:hint="eastAsia"/>
        </w:rPr>
        <w:t>整改资料内容</w:t>
      </w:r>
    </w:p>
    <w:p w14:paraId="000D055B">
      <w:pPr>
        <w:pStyle w:val="165"/>
        <w:spacing w:line="360" w:lineRule="auto"/>
      </w:pPr>
      <w:r>
        <w:rPr>
          <w:rFonts w:hint="eastAsia"/>
        </w:rPr>
        <w:t>整改资料宜至少包括下列内容：</w:t>
      </w:r>
    </w:p>
    <w:p w14:paraId="6FA9ECAD">
      <w:pPr>
        <w:pStyle w:val="56"/>
        <w:spacing w:line="360" w:lineRule="auto"/>
        <w:ind w:firstLine="420"/>
      </w:pPr>
      <w:r>
        <w:rPr>
          <w:rFonts w:hint="eastAsia"/>
        </w:rPr>
        <w:t>a）整改完成说明；</w:t>
      </w:r>
    </w:p>
    <w:p w14:paraId="64E9A740">
      <w:pPr>
        <w:pStyle w:val="56"/>
        <w:spacing w:line="360" w:lineRule="auto"/>
        <w:ind w:firstLine="420"/>
      </w:pPr>
      <w:r>
        <w:rPr>
          <w:rFonts w:hint="eastAsia"/>
        </w:rPr>
        <w:t>b）整改项目清单；</w:t>
      </w:r>
    </w:p>
    <w:p w14:paraId="72C22C92">
      <w:pPr>
        <w:pStyle w:val="56"/>
        <w:spacing w:line="360" w:lineRule="auto"/>
        <w:ind w:firstLine="420"/>
      </w:pPr>
      <w:r>
        <w:rPr>
          <w:rFonts w:hint="eastAsia"/>
        </w:rPr>
        <w:t>c）整改前后对比资料；</w:t>
      </w:r>
    </w:p>
    <w:p w14:paraId="1E34D394">
      <w:pPr>
        <w:pStyle w:val="56"/>
        <w:spacing w:line="360" w:lineRule="auto"/>
        <w:ind w:firstLine="420"/>
      </w:pPr>
      <w:r>
        <w:rPr>
          <w:rFonts w:hint="eastAsia"/>
        </w:rPr>
        <w:t>d）相关部件更换或者修复记录；</w:t>
      </w:r>
    </w:p>
    <w:p w14:paraId="6BA59607">
      <w:pPr>
        <w:pStyle w:val="56"/>
        <w:spacing w:line="360" w:lineRule="auto"/>
        <w:ind w:firstLine="420"/>
      </w:pPr>
      <w:r>
        <w:rPr>
          <w:rFonts w:hint="eastAsia"/>
        </w:rPr>
        <w:t>e）功能恢复或者试验记录；</w:t>
      </w:r>
    </w:p>
    <w:p w14:paraId="4A796C66">
      <w:pPr>
        <w:pStyle w:val="56"/>
        <w:spacing w:line="360" w:lineRule="auto"/>
        <w:ind w:firstLine="420"/>
      </w:pPr>
      <w:r>
        <w:rPr>
          <w:rFonts w:hint="eastAsia"/>
        </w:rPr>
        <w:t>f）必要的照片或者音像资料；</w:t>
      </w:r>
    </w:p>
    <w:p w14:paraId="2F406796">
      <w:pPr>
        <w:pStyle w:val="56"/>
        <w:spacing w:line="360" w:lineRule="auto"/>
        <w:ind w:firstLine="420"/>
      </w:pPr>
      <w:r>
        <w:rPr>
          <w:rFonts w:hint="eastAsia"/>
        </w:rPr>
        <w:t>g）使用单位或者维保单位确认信息；</w:t>
      </w:r>
    </w:p>
    <w:p w14:paraId="3C4F9C3D">
      <w:pPr>
        <w:pStyle w:val="56"/>
        <w:spacing w:line="360" w:lineRule="auto"/>
        <w:ind w:firstLine="420"/>
      </w:pPr>
      <w:r>
        <w:rPr>
          <w:rFonts w:hint="eastAsia"/>
        </w:rPr>
        <w:t>h）其他支撑整改有效性的资料。</w:t>
      </w:r>
    </w:p>
    <w:p w14:paraId="3B0D4461">
      <w:pPr>
        <w:pStyle w:val="165"/>
        <w:spacing w:line="360" w:lineRule="auto"/>
      </w:pPr>
      <w:r>
        <w:rPr>
          <w:rFonts w:hint="eastAsia"/>
        </w:rPr>
        <w:t>涉及关键部件更换、保护功能恢复和参数调整的，还应提供相应技术资料或者测试记录。</w:t>
      </w:r>
    </w:p>
    <w:p w14:paraId="54A04C3B">
      <w:pPr>
        <w:pStyle w:val="105"/>
        <w:spacing w:before="120" w:after="120" w:line="360" w:lineRule="auto"/>
      </w:pPr>
      <w:r>
        <w:rPr>
          <w:rFonts w:hint="eastAsia"/>
        </w:rPr>
        <w:t>整改确认要求</w:t>
      </w:r>
    </w:p>
    <w:p w14:paraId="68C09288">
      <w:pPr>
        <w:pStyle w:val="65"/>
        <w:spacing w:before="120" w:after="120" w:line="360" w:lineRule="auto"/>
      </w:pPr>
      <w:r>
        <w:rPr>
          <w:rFonts w:hint="eastAsia"/>
        </w:rPr>
        <w:t>一般要求</w:t>
      </w:r>
    </w:p>
    <w:p w14:paraId="409654A6">
      <w:pPr>
        <w:pStyle w:val="165"/>
        <w:spacing w:line="360" w:lineRule="auto"/>
      </w:pPr>
      <w:r>
        <w:rPr>
          <w:rFonts w:hint="eastAsia"/>
        </w:rPr>
        <w:t>对无需实施正式复检但需确认整改完成情况的项目，应实施整改确认。</w:t>
      </w:r>
    </w:p>
    <w:p w14:paraId="713DAE4A">
      <w:pPr>
        <w:pStyle w:val="165"/>
        <w:spacing w:line="360" w:lineRule="auto"/>
      </w:pPr>
      <w:r>
        <w:rPr>
          <w:rFonts w:hint="eastAsia"/>
        </w:rPr>
        <w:t>整改确认应围绕整改真实性、完整性和有效性开展。</w:t>
      </w:r>
    </w:p>
    <w:p w14:paraId="495ACB1E">
      <w:pPr>
        <w:pStyle w:val="165"/>
        <w:spacing w:line="360" w:lineRule="auto"/>
      </w:pPr>
      <w:r>
        <w:rPr>
          <w:rFonts w:hint="eastAsia"/>
        </w:rPr>
        <w:t>整改确认不得仅以书面承诺或者口头说明替代必要核查。</w:t>
      </w:r>
    </w:p>
    <w:p w14:paraId="19ED90FB">
      <w:pPr>
        <w:pStyle w:val="65"/>
        <w:spacing w:before="120" w:after="120" w:line="360" w:lineRule="auto"/>
      </w:pPr>
      <w:r>
        <w:rPr>
          <w:rFonts w:hint="eastAsia"/>
        </w:rPr>
        <w:t>确认内容要求</w:t>
      </w:r>
    </w:p>
    <w:p w14:paraId="238220CD">
      <w:pPr>
        <w:pStyle w:val="165"/>
        <w:spacing w:line="360" w:lineRule="auto"/>
      </w:pPr>
      <w:r>
        <w:rPr>
          <w:rFonts w:hint="eastAsia"/>
        </w:rPr>
        <w:t>整改确认宜至少包括下列内容：</w:t>
      </w:r>
    </w:p>
    <w:p w14:paraId="354BDADF">
      <w:pPr>
        <w:pStyle w:val="56"/>
        <w:spacing w:line="360" w:lineRule="auto"/>
        <w:ind w:firstLine="420"/>
      </w:pPr>
      <w:r>
        <w:rPr>
          <w:rFonts w:hint="eastAsia"/>
        </w:rPr>
        <w:t>a）问题项目是否全部覆盖；</w:t>
      </w:r>
    </w:p>
    <w:p w14:paraId="3A186B16">
      <w:pPr>
        <w:pStyle w:val="56"/>
        <w:spacing w:line="360" w:lineRule="auto"/>
        <w:ind w:firstLine="420"/>
      </w:pPr>
      <w:r>
        <w:rPr>
          <w:rFonts w:hint="eastAsia"/>
        </w:rPr>
        <w:t>b）整改措施是否与要求一致；</w:t>
      </w:r>
    </w:p>
    <w:p w14:paraId="55D10F2C">
      <w:pPr>
        <w:pStyle w:val="56"/>
        <w:spacing w:line="360" w:lineRule="auto"/>
        <w:ind w:firstLine="420"/>
      </w:pPr>
      <w:r>
        <w:rPr>
          <w:rFonts w:hint="eastAsia"/>
        </w:rPr>
        <w:t>c）整改后设备状态是否恢复；</w:t>
      </w:r>
    </w:p>
    <w:p w14:paraId="503FDF34">
      <w:pPr>
        <w:pStyle w:val="56"/>
        <w:spacing w:line="360" w:lineRule="auto"/>
        <w:ind w:firstLine="420"/>
      </w:pPr>
      <w:r>
        <w:rPr>
          <w:rFonts w:hint="eastAsia"/>
        </w:rPr>
        <w:t>d）整改后相关功能是否正常；</w:t>
      </w:r>
    </w:p>
    <w:p w14:paraId="3D62AE06">
      <w:pPr>
        <w:pStyle w:val="56"/>
        <w:spacing w:line="360" w:lineRule="auto"/>
        <w:ind w:firstLine="420"/>
      </w:pPr>
      <w:r>
        <w:rPr>
          <w:rFonts w:hint="eastAsia"/>
        </w:rPr>
        <w:t>e）整改资料是否完整；</w:t>
      </w:r>
    </w:p>
    <w:p w14:paraId="4130BD98">
      <w:pPr>
        <w:pStyle w:val="56"/>
        <w:spacing w:line="360" w:lineRule="auto"/>
        <w:ind w:firstLine="420"/>
      </w:pPr>
      <w:r>
        <w:rPr>
          <w:rFonts w:hint="eastAsia"/>
        </w:rPr>
        <w:t>f）是否存在关联影响项目。</w:t>
      </w:r>
    </w:p>
    <w:p w14:paraId="6C6C6D5F">
      <w:pPr>
        <w:pStyle w:val="165"/>
        <w:spacing w:line="360" w:lineRule="auto"/>
      </w:pPr>
      <w:r>
        <w:rPr>
          <w:rFonts w:hint="eastAsia"/>
        </w:rPr>
        <w:t>对存在系统关联影响的项目，应同步核查受影响相关项目，不得仅对单一部位孤立确认。</w:t>
      </w:r>
    </w:p>
    <w:p w14:paraId="7E61CCE1">
      <w:pPr>
        <w:pStyle w:val="65"/>
        <w:spacing w:before="120" w:after="120" w:line="360" w:lineRule="auto"/>
      </w:pPr>
      <w:r>
        <w:rPr>
          <w:rFonts w:hint="eastAsia"/>
        </w:rPr>
        <w:t>整改确认结论要求</w:t>
      </w:r>
    </w:p>
    <w:p w14:paraId="0A994ED2">
      <w:pPr>
        <w:pStyle w:val="165"/>
        <w:spacing w:line="360" w:lineRule="auto"/>
      </w:pPr>
      <w:r>
        <w:rPr>
          <w:rFonts w:hint="eastAsia"/>
        </w:rPr>
        <w:t>整改确认后，应形成明确结论。</w:t>
      </w:r>
    </w:p>
    <w:p w14:paraId="398F44C4">
      <w:pPr>
        <w:pStyle w:val="165"/>
        <w:spacing w:line="360" w:lineRule="auto"/>
      </w:pPr>
      <w:r>
        <w:rPr>
          <w:rFonts w:hint="eastAsia"/>
        </w:rPr>
        <w:t>整改确认结论宜包括：</w:t>
      </w:r>
    </w:p>
    <w:p w14:paraId="323A76D8">
      <w:pPr>
        <w:pStyle w:val="56"/>
        <w:spacing w:line="360" w:lineRule="auto"/>
        <w:ind w:firstLine="420"/>
      </w:pPr>
      <w:r>
        <w:rPr>
          <w:rFonts w:hint="eastAsia"/>
        </w:rPr>
        <w:t>a）整改完成；</w:t>
      </w:r>
    </w:p>
    <w:p w14:paraId="07EDFFAF">
      <w:pPr>
        <w:pStyle w:val="56"/>
        <w:spacing w:line="360" w:lineRule="auto"/>
        <w:ind w:firstLine="420"/>
      </w:pPr>
      <w:r>
        <w:rPr>
          <w:rFonts w:hint="eastAsia"/>
        </w:rPr>
        <w:t>b）整改部分完成；</w:t>
      </w:r>
    </w:p>
    <w:p w14:paraId="50768D6D">
      <w:pPr>
        <w:pStyle w:val="56"/>
        <w:spacing w:line="360" w:lineRule="auto"/>
        <w:ind w:firstLine="420"/>
      </w:pPr>
      <w:r>
        <w:rPr>
          <w:rFonts w:hint="eastAsia"/>
        </w:rPr>
        <w:t>c）整改未完成；</w:t>
      </w:r>
    </w:p>
    <w:p w14:paraId="6F1C78EB">
      <w:pPr>
        <w:pStyle w:val="56"/>
        <w:spacing w:line="360" w:lineRule="auto"/>
        <w:ind w:firstLine="420"/>
      </w:pPr>
      <w:r>
        <w:rPr>
          <w:rFonts w:hint="eastAsia"/>
        </w:rPr>
        <w:t>d）整改后仍不符合要求；</w:t>
      </w:r>
    </w:p>
    <w:p w14:paraId="708E7089">
      <w:pPr>
        <w:pStyle w:val="56"/>
        <w:spacing w:line="360" w:lineRule="auto"/>
        <w:ind w:firstLine="420"/>
      </w:pPr>
      <w:r>
        <w:rPr>
          <w:rFonts w:hint="eastAsia"/>
        </w:rPr>
        <w:t>e）需进一步复检确认。</w:t>
      </w:r>
    </w:p>
    <w:p w14:paraId="0840C52C">
      <w:pPr>
        <w:pStyle w:val="165"/>
        <w:spacing w:line="360" w:lineRule="auto"/>
      </w:pPr>
      <w:r>
        <w:rPr>
          <w:rFonts w:hint="eastAsia"/>
        </w:rPr>
        <w:t>整改确认结论应与后续管理措施保持一致，不得结论模糊不清。</w:t>
      </w:r>
    </w:p>
    <w:p w14:paraId="41FAC442">
      <w:pPr>
        <w:pStyle w:val="105"/>
        <w:spacing w:before="120" w:after="120" w:line="360" w:lineRule="auto"/>
      </w:pPr>
      <w:r>
        <w:rPr>
          <w:rFonts w:hint="eastAsia"/>
        </w:rPr>
        <w:t>复检条件要求</w:t>
      </w:r>
    </w:p>
    <w:p w14:paraId="150192E1">
      <w:pPr>
        <w:pStyle w:val="65"/>
        <w:spacing w:before="120" w:after="120" w:line="360" w:lineRule="auto"/>
      </w:pPr>
      <w:r>
        <w:rPr>
          <w:rFonts w:hint="eastAsia"/>
        </w:rPr>
        <w:t>一般要求</w:t>
      </w:r>
    </w:p>
    <w:p w14:paraId="754C5FF7">
      <w:pPr>
        <w:pStyle w:val="165"/>
        <w:spacing w:line="360" w:lineRule="auto"/>
      </w:pPr>
      <w:r>
        <w:rPr>
          <w:rFonts w:hint="eastAsia"/>
        </w:rPr>
        <w:t>符合下列条件时，可申请复检：</w:t>
      </w:r>
    </w:p>
    <w:p w14:paraId="4FF319E6">
      <w:pPr>
        <w:pStyle w:val="56"/>
        <w:spacing w:line="360" w:lineRule="auto"/>
        <w:ind w:firstLine="420"/>
      </w:pPr>
      <w:r>
        <w:rPr>
          <w:rFonts w:hint="eastAsia"/>
        </w:rPr>
        <w:t>a）原检验检测发现问题已完成整改；</w:t>
      </w:r>
    </w:p>
    <w:p w14:paraId="3C357A07">
      <w:pPr>
        <w:pStyle w:val="56"/>
        <w:spacing w:line="360" w:lineRule="auto"/>
        <w:ind w:firstLine="420"/>
      </w:pPr>
      <w:r>
        <w:rPr>
          <w:rFonts w:hint="eastAsia"/>
        </w:rPr>
        <w:t>b）整改资料已提交并经初步核查；</w:t>
      </w:r>
    </w:p>
    <w:p w14:paraId="6A97207A">
      <w:pPr>
        <w:pStyle w:val="56"/>
        <w:spacing w:line="360" w:lineRule="auto"/>
        <w:ind w:firstLine="420"/>
      </w:pPr>
      <w:r>
        <w:rPr>
          <w:rFonts w:hint="eastAsia"/>
        </w:rPr>
        <w:t>c）电梯现场具备复检条件；</w:t>
      </w:r>
    </w:p>
    <w:p w14:paraId="42C5E287">
      <w:pPr>
        <w:pStyle w:val="56"/>
        <w:spacing w:line="360" w:lineRule="auto"/>
        <w:ind w:firstLine="420"/>
      </w:pPr>
      <w:r>
        <w:rPr>
          <w:rFonts w:hint="eastAsia"/>
        </w:rPr>
        <w:t>d）相关责任主体已配合到位；</w:t>
      </w:r>
    </w:p>
    <w:p w14:paraId="45AAC7C7">
      <w:pPr>
        <w:pStyle w:val="56"/>
        <w:spacing w:line="360" w:lineRule="auto"/>
        <w:ind w:firstLine="420"/>
      </w:pPr>
      <w:r>
        <w:rPr>
          <w:rFonts w:hint="eastAsia"/>
        </w:rPr>
        <w:t>e）原要求的安全控制措施已落实。</w:t>
      </w:r>
    </w:p>
    <w:p w14:paraId="0F554DF3">
      <w:pPr>
        <w:pStyle w:val="165"/>
        <w:spacing w:line="360" w:lineRule="auto"/>
      </w:pPr>
      <w:r>
        <w:rPr>
          <w:rFonts w:hint="eastAsia"/>
        </w:rPr>
        <w:t>复检条件不具备的，不得进入正式复检程序。</w:t>
      </w:r>
    </w:p>
    <w:p w14:paraId="3F6F0146">
      <w:pPr>
        <w:pStyle w:val="65"/>
        <w:spacing w:before="120" w:after="120" w:line="360" w:lineRule="auto"/>
      </w:pPr>
      <w:r>
        <w:rPr>
          <w:rFonts w:hint="eastAsia"/>
        </w:rPr>
        <w:t>复检前核查要求</w:t>
      </w:r>
    </w:p>
    <w:p w14:paraId="6A2FAEEF">
      <w:pPr>
        <w:pStyle w:val="165"/>
        <w:spacing w:line="360" w:lineRule="auto"/>
      </w:pPr>
      <w:r>
        <w:rPr>
          <w:rFonts w:hint="eastAsia"/>
        </w:rPr>
        <w:t>复检实施前，应对下列事项进行核查：</w:t>
      </w:r>
    </w:p>
    <w:p w14:paraId="3CA8F1F7">
      <w:pPr>
        <w:pStyle w:val="56"/>
        <w:spacing w:line="360" w:lineRule="auto"/>
        <w:ind w:firstLine="420"/>
      </w:pPr>
      <w:r>
        <w:rPr>
          <w:rFonts w:hint="eastAsia"/>
        </w:rPr>
        <w:t>a）申请信息是否完整；</w:t>
      </w:r>
    </w:p>
    <w:p w14:paraId="38575B82">
      <w:pPr>
        <w:pStyle w:val="56"/>
        <w:spacing w:line="360" w:lineRule="auto"/>
        <w:ind w:firstLine="420"/>
      </w:pPr>
      <w:r>
        <w:rPr>
          <w:rFonts w:hint="eastAsia"/>
        </w:rPr>
        <w:t>b）整改项目是否明确；</w:t>
      </w:r>
    </w:p>
    <w:p w14:paraId="0A5E6EB6">
      <w:pPr>
        <w:pStyle w:val="56"/>
        <w:spacing w:line="360" w:lineRule="auto"/>
        <w:ind w:firstLine="420"/>
      </w:pPr>
      <w:r>
        <w:rPr>
          <w:rFonts w:hint="eastAsia"/>
        </w:rPr>
        <w:t>c）整改资料是否齐全；</w:t>
      </w:r>
    </w:p>
    <w:p w14:paraId="63C9DF7B">
      <w:pPr>
        <w:pStyle w:val="56"/>
        <w:spacing w:line="360" w:lineRule="auto"/>
        <w:ind w:firstLine="420"/>
      </w:pPr>
      <w:r>
        <w:rPr>
          <w:rFonts w:hint="eastAsia"/>
        </w:rPr>
        <w:t>d）现场设备是否具备复检条件；</w:t>
      </w:r>
    </w:p>
    <w:p w14:paraId="528F67B2">
      <w:pPr>
        <w:pStyle w:val="56"/>
        <w:spacing w:line="360" w:lineRule="auto"/>
        <w:ind w:firstLine="420"/>
      </w:pPr>
      <w:r>
        <w:rPr>
          <w:rFonts w:hint="eastAsia"/>
        </w:rPr>
        <w:t>e）试验条件是否满足；</w:t>
      </w:r>
    </w:p>
    <w:p w14:paraId="1EA45581">
      <w:pPr>
        <w:pStyle w:val="56"/>
        <w:spacing w:line="360" w:lineRule="auto"/>
        <w:ind w:firstLine="420"/>
      </w:pPr>
      <w:r>
        <w:rPr>
          <w:rFonts w:hint="eastAsia"/>
        </w:rPr>
        <w:t>f）使用单位和维保单位是否配合到位。</w:t>
      </w:r>
    </w:p>
    <w:p w14:paraId="04D1137A">
      <w:pPr>
        <w:pStyle w:val="165"/>
        <w:spacing w:line="360" w:lineRule="auto"/>
      </w:pPr>
      <w:r>
        <w:rPr>
          <w:rFonts w:hint="eastAsia"/>
        </w:rPr>
        <w:t>复检前核查不通过的，应退回补充或者延后复检。</w:t>
      </w:r>
    </w:p>
    <w:p w14:paraId="38C18CE2">
      <w:pPr>
        <w:pStyle w:val="105"/>
        <w:spacing w:before="120" w:after="120" w:line="360" w:lineRule="auto"/>
      </w:pPr>
      <w:r>
        <w:rPr>
          <w:rFonts w:hint="eastAsia"/>
        </w:rPr>
        <w:t>复检范围要求</w:t>
      </w:r>
    </w:p>
    <w:p w14:paraId="60E5C65F">
      <w:pPr>
        <w:pStyle w:val="65"/>
        <w:spacing w:before="120" w:after="120" w:line="360" w:lineRule="auto"/>
      </w:pPr>
      <w:r>
        <w:rPr>
          <w:rFonts w:hint="eastAsia"/>
        </w:rPr>
        <w:t>一般要求</w:t>
      </w:r>
    </w:p>
    <w:p w14:paraId="6DEDBE48">
      <w:pPr>
        <w:pStyle w:val="165"/>
        <w:spacing w:line="360" w:lineRule="auto"/>
      </w:pPr>
      <w:r>
        <w:rPr>
          <w:rFonts w:hint="eastAsia"/>
        </w:rPr>
        <w:t>复检范围应根据原问题项目、整改内容和关联影响范围确定。</w:t>
      </w:r>
    </w:p>
    <w:p w14:paraId="11C509EF">
      <w:pPr>
        <w:pStyle w:val="165"/>
        <w:spacing w:line="360" w:lineRule="auto"/>
      </w:pPr>
      <w:r>
        <w:rPr>
          <w:rFonts w:hint="eastAsia"/>
        </w:rPr>
        <w:t>复检范围应明确到项目、部位、功能和必要的关联系统。</w:t>
      </w:r>
    </w:p>
    <w:p w14:paraId="51C8FF39">
      <w:pPr>
        <w:pStyle w:val="165"/>
        <w:spacing w:line="360" w:lineRule="auto"/>
      </w:pPr>
      <w:r>
        <w:rPr>
          <w:rFonts w:hint="eastAsia"/>
        </w:rPr>
        <w:t>复检不得无依据扩大至与原问题无关的全部项目，也不得无依据缩小至无法确认整改有效性的范围。</w:t>
      </w:r>
    </w:p>
    <w:p w14:paraId="79B5C455">
      <w:pPr>
        <w:pStyle w:val="65"/>
        <w:spacing w:before="120" w:after="120" w:line="360" w:lineRule="auto"/>
      </w:pPr>
      <w:r>
        <w:rPr>
          <w:rFonts w:hint="eastAsia"/>
        </w:rPr>
        <w:t>关联项目要求</w:t>
      </w:r>
    </w:p>
    <w:p w14:paraId="40B7BD69">
      <w:pPr>
        <w:pStyle w:val="165"/>
        <w:spacing w:line="360" w:lineRule="auto"/>
      </w:pPr>
      <w:r>
        <w:rPr>
          <w:rFonts w:hint="eastAsia"/>
        </w:rPr>
        <w:t>对具有系统联动关系、保护联动关系和参数关联关系的项目，应将必要的关联项目纳入复检范围。</w:t>
      </w:r>
    </w:p>
    <w:p w14:paraId="2CFAB5A9">
      <w:pPr>
        <w:pStyle w:val="165"/>
        <w:spacing w:line="360" w:lineRule="auto"/>
      </w:pPr>
      <w:r>
        <w:rPr>
          <w:rFonts w:hint="eastAsia"/>
        </w:rPr>
        <w:t>对更换关键部件、调整关键参数、恢复关键保护功能的，应检查相关功能恢复情况和联动状态。</w:t>
      </w:r>
    </w:p>
    <w:p w14:paraId="127ACF3E">
      <w:pPr>
        <w:pStyle w:val="56"/>
        <w:spacing w:line="360" w:lineRule="auto"/>
        <w:ind w:firstLine="420"/>
      </w:pPr>
      <w:r>
        <w:rPr>
          <w:rFonts w:hint="eastAsia"/>
        </w:rPr>
        <w:t>范围变更要求</w:t>
      </w:r>
    </w:p>
    <w:p w14:paraId="57EE9147">
      <w:pPr>
        <w:pStyle w:val="165"/>
        <w:spacing w:line="360" w:lineRule="auto"/>
      </w:pPr>
      <w:r>
        <w:rPr>
          <w:rFonts w:hint="eastAsia"/>
        </w:rPr>
        <w:t>复检过程中发现整改范围、设备状态或者关联影响明显超出原预判时，应及时调整复检范围。</w:t>
      </w:r>
    </w:p>
    <w:p w14:paraId="4B3927C5">
      <w:pPr>
        <w:pStyle w:val="165"/>
        <w:spacing w:line="360" w:lineRule="auto"/>
      </w:pPr>
      <w:r>
        <w:rPr>
          <w:rFonts w:hint="eastAsia"/>
        </w:rPr>
        <w:t>范围调整应形成记录，并说明调整原因。</w:t>
      </w:r>
    </w:p>
    <w:p w14:paraId="17295D3E">
      <w:pPr>
        <w:pStyle w:val="105"/>
        <w:spacing w:before="120" w:after="120" w:line="360" w:lineRule="auto"/>
      </w:pPr>
      <w:r>
        <w:rPr>
          <w:rFonts w:hint="eastAsia"/>
        </w:rPr>
        <w:t>复检实施要求</w:t>
      </w:r>
    </w:p>
    <w:p w14:paraId="20A6EE0A">
      <w:pPr>
        <w:pStyle w:val="65"/>
        <w:spacing w:before="120" w:after="120" w:line="360" w:lineRule="auto"/>
      </w:pPr>
      <w:r>
        <w:rPr>
          <w:rFonts w:hint="eastAsia"/>
        </w:rPr>
        <w:t>一般要求</w:t>
      </w:r>
    </w:p>
    <w:p w14:paraId="7ECE9A9D">
      <w:pPr>
        <w:pStyle w:val="165"/>
        <w:spacing w:line="360" w:lineRule="auto"/>
      </w:pPr>
      <w:r>
        <w:rPr>
          <w:rFonts w:hint="eastAsia"/>
        </w:rPr>
        <w:t>复检应按规定程序实施。</w:t>
      </w:r>
    </w:p>
    <w:p w14:paraId="624ADF86">
      <w:pPr>
        <w:pStyle w:val="165"/>
        <w:spacing w:line="360" w:lineRule="auto"/>
      </w:pPr>
      <w:r>
        <w:rPr>
          <w:rFonts w:hint="eastAsia"/>
        </w:rPr>
        <w:t>复检应重点确认原问题项目是否消除、相关功能是否恢复和风险是否消除或者受控。</w:t>
      </w:r>
    </w:p>
    <w:p w14:paraId="31F63D87">
      <w:pPr>
        <w:pStyle w:val="165"/>
        <w:spacing w:line="360" w:lineRule="auto"/>
      </w:pPr>
      <w:r>
        <w:rPr>
          <w:rFonts w:hint="eastAsia"/>
        </w:rPr>
        <w:t>复检不得以简单目测替代必要试验，不得以局部正常替代整体确认。</w:t>
      </w:r>
    </w:p>
    <w:p w14:paraId="650BB57B">
      <w:pPr>
        <w:pStyle w:val="65"/>
        <w:spacing w:before="120" w:after="120" w:line="360" w:lineRule="auto"/>
      </w:pPr>
      <w:r>
        <w:rPr>
          <w:rFonts w:hint="eastAsia"/>
        </w:rPr>
        <w:t>实施程序要求</w:t>
      </w:r>
    </w:p>
    <w:p w14:paraId="24CE7401">
      <w:pPr>
        <w:pStyle w:val="165"/>
        <w:spacing w:line="360" w:lineRule="auto"/>
      </w:pPr>
      <w:r>
        <w:rPr>
          <w:rFonts w:hint="eastAsia"/>
        </w:rPr>
        <w:t>复检宜按下列程序实施：</w:t>
      </w:r>
    </w:p>
    <w:p w14:paraId="32AD4BBB">
      <w:pPr>
        <w:pStyle w:val="56"/>
        <w:spacing w:line="360" w:lineRule="auto"/>
        <w:ind w:firstLine="420"/>
      </w:pPr>
      <w:r>
        <w:rPr>
          <w:rFonts w:hint="eastAsia"/>
        </w:rPr>
        <w:t>a）复检申请受理；</w:t>
      </w:r>
    </w:p>
    <w:p w14:paraId="3D3F0BF7">
      <w:pPr>
        <w:pStyle w:val="56"/>
        <w:spacing w:line="360" w:lineRule="auto"/>
        <w:ind w:firstLine="420"/>
      </w:pPr>
      <w:r>
        <w:rPr>
          <w:rFonts w:hint="eastAsia"/>
        </w:rPr>
        <w:t>b）复检条件核查；</w:t>
      </w:r>
    </w:p>
    <w:p w14:paraId="36BAE410">
      <w:pPr>
        <w:pStyle w:val="56"/>
        <w:spacing w:line="360" w:lineRule="auto"/>
        <w:ind w:firstLine="420"/>
      </w:pPr>
      <w:r>
        <w:rPr>
          <w:rFonts w:hint="eastAsia"/>
        </w:rPr>
        <w:t>c）整改资料审查；</w:t>
      </w:r>
    </w:p>
    <w:p w14:paraId="3ACC11C7">
      <w:pPr>
        <w:pStyle w:val="56"/>
        <w:spacing w:line="360" w:lineRule="auto"/>
        <w:ind w:firstLine="420"/>
      </w:pPr>
      <w:r>
        <w:rPr>
          <w:rFonts w:hint="eastAsia"/>
        </w:rPr>
        <w:t>d）现场项目核查；</w:t>
      </w:r>
    </w:p>
    <w:p w14:paraId="41D2E293">
      <w:pPr>
        <w:pStyle w:val="56"/>
        <w:spacing w:line="360" w:lineRule="auto"/>
        <w:ind w:firstLine="420"/>
      </w:pPr>
      <w:r>
        <w:rPr>
          <w:rFonts w:hint="eastAsia"/>
        </w:rPr>
        <w:t>e）必要试验和功能确认；</w:t>
      </w:r>
    </w:p>
    <w:p w14:paraId="524AEEBA">
      <w:pPr>
        <w:pStyle w:val="56"/>
        <w:spacing w:line="360" w:lineRule="auto"/>
        <w:ind w:firstLine="420"/>
      </w:pPr>
      <w:r>
        <w:rPr>
          <w:rFonts w:hint="eastAsia"/>
        </w:rPr>
        <w:t>f）复检记录形成；</w:t>
      </w:r>
    </w:p>
    <w:p w14:paraId="1FB540CC">
      <w:pPr>
        <w:pStyle w:val="56"/>
        <w:spacing w:line="360" w:lineRule="auto"/>
        <w:ind w:firstLine="420"/>
      </w:pPr>
      <w:r>
        <w:rPr>
          <w:rFonts w:hint="eastAsia"/>
        </w:rPr>
        <w:t>g）复检结论审核；</w:t>
      </w:r>
    </w:p>
    <w:p w14:paraId="34DC3201">
      <w:pPr>
        <w:pStyle w:val="56"/>
        <w:spacing w:line="360" w:lineRule="auto"/>
        <w:ind w:firstLine="420"/>
      </w:pPr>
      <w:r>
        <w:rPr>
          <w:rFonts w:hint="eastAsia"/>
        </w:rPr>
        <w:t>h）结论出具。</w:t>
      </w:r>
    </w:p>
    <w:p w14:paraId="38D50A04">
      <w:pPr>
        <w:pStyle w:val="165"/>
        <w:spacing w:line="360" w:lineRule="auto"/>
      </w:pPr>
      <w:r>
        <w:rPr>
          <w:rFonts w:hint="eastAsia"/>
        </w:rPr>
        <w:t>对重点项目和关键安全项目，应实施重点复检和重点审核。</w:t>
      </w:r>
    </w:p>
    <w:p w14:paraId="16151F3F">
      <w:pPr>
        <w:pStyle w:val="165"/>
        <w:numPr>
          <w:ilvl w:val="0"/>
          <w:numId w:val="0"/>
        </w:numPr>
        <w:spacing w:line="360" w:lineRule="auto"/>
        <w:rPr>
          <w:rFonts w:hint="eastAsia"/>
        </w:rPr>
      </w:pPr>
    </w:p>
    <w:p w14:paraId="4C322A3A">
      <w:pPr>
        <w:pStyle w:val="65"/>
        <w:spacing w:before="120" w:after="120" w:line="360" w:lineRule="auto"/>
      </w:pPr>
      <w:r>
        <w:rPr>
          <w:rFonts w:hint="eastAsia"/>
        </w:rPr>
        <w:t>现场复检要求</w:t>
      </w:r>
    </w:p>
    <w:p w14:paraId="586506FC">
      <w:pPr>
        <w:pStyle w:val="165"/>
        <w:spacing w:line="360" w:lineRule="auto"/>
      </w:pPr>
      <w:r>
        <w:rPr>
          <w:rFonts w:hint="eastAsia"/>
        </w:rPr>
        <w:t>现场复检应核查整改部位、整改状态和相关功能恢复情况。</w:t>
      </w:r>
    </w:p>
    <w:p w14:paraId="79F63F52">
      <w:pPr>
        <w:pStyle w:val="165"/>
        <w:spacing w:line="360" w:lineRule="auto"/>
      </w:pPr>
      <w:r>
        <w:rPr>
          <w:rFonts w:hint="eastAsia"/>
        </w:rPr>
        <w:t>现场复检中发现整改不彻底、整改与资料不一致或者出现新的明显问题时，应如实记录并纳入结论。</w:t>
      </w:r>
    </w:p>
    <w:p w14:paraId="403BCA40">
      <w:pPr>
        <w:pStyle w:val="165"/>
        <w:spacing w:line="360" w:lineRule="auto"/>
      </w:pPr>
      <w:r>
        <w:rPr>
          <w:rFonts w:hint="eastAsia"/>
        </w:rPr>
        <w:t>对因现场条件限制无法完成全部复检项目的，应说明原因，不得作出完整复检通过结论。</w:t>
      </w:r>
    </w:p>
    <w:p w14:paraId="77A064D2">
      <w:pPr>
        <w:pStyle w:val="105"/>
        <w:spacing w:before="120" w:after="120" w:line="360" w:lineRule="auto"/>
      </w:pPr>
      <w:r>
        <w:rPr>
          <w:rFonts w:hint="eastAsia"/>
        </w:rPr>
        <w:t>复检结论要求</w:t>
      </w:r>
    </w:p>
    <w:p w14:paraId="0F8CB0FB">
      <w:pPr>
        <w:pStyle w:val="65"/>
        <w:spacing w:before="120" w:after="120" w:line="360" w:lineRule="auto"/>
      </w:pPr>
      <w:r>
        <w:rPr>
          <w:rFonts w:hint="eastAsia"/>
        </w:rPr>
        <w:t>一般要求</w:t>
      </w:r>
    </w:p>
    <w:p w14:paraId="574BE9B9">
      <w:pPr>
        <w:pStyle w:val="165"/>
        <w:spacing w:line="360" w:lineRule="auto"/>
      </w:pPr>
      <w:r>
        <w:rPr>
          <w:rFonts w:hint="eastAsia"/>
        </w:rPr>
        <w:t>复检完成后，应形成复检结论。</w:t>
      </w:r>
    </w:p>
    <w:p w14:paraId="6A683F99">
      <w:pPr>
        <w:pStyle w:val="165"/>
        <w:spacing w:line="360" w:lineRule="auto"/>
      </w:pPr>
      <w:r>
        <w:rPr>
          <w:rFonts w:hint="eastAsia"/>
        </w:rPr>
        <w:t>复检结论应围绕原问题项目整改情况和安全状态恢复情况作出。</w:t>
      </w:r>
    </w:p>
    <w:p w14:paraId="4F6684D4">
      <w:pPr>
        <w:pStyle w:val="165"/>
        <w:spacing w:line="360" w:lineRule="auto"/>
      </w:pPr>
      <w:r>
        <w:rPr>
          <w:rFonts w:hint="eastAsia"/>
        </w:rPr>
        <w:t>复检结论应明确、规范、可执行。</w:t>
      </w:r>
    </w:p>
    <w:p w14:paraId="1F3B510A">
      <w:pPr>
        <w:pStyle w:val="65"/>
        <w:spacing w:before="120" w:after="120" w:line="360" w:lineRule="auto"/>
      </w:pPr>
      <w:r>
        <w:rPr>
          <w:rFonts w:hint="eastAsia"/>
        </w:rPr>
        <w:t>结论分类要求</w:t>
      </w:r>
    </w:p>
    <w:p w14:paraId="4D727E14">
      <w:pPr>
        <w:pStyle w:val="165"/>
        <w:spacing w:line="360" w:lineRule="auto"/>
      </w:pPr>
      <w:r>
        <w:rPr>
          <w:rFonts w:hint="eastAsia"/>
        </w:rPr>
        <w:t>复检结论宜包括下列情形：</w:t>
      </w:r>
    </w:p>
    <w:p w14:paraId="5683C0AA">
      <w:pPr>
        <w:pStyle w:val="56"/>
        <w:spacing w:line="360" w:lineRule="auto"/>
        <w:ind w:firstLine="420"/>
      </w:pPr>
      <w:r>
        <w:rPr>
          <w:rFonts w:hint="eastAsia"/>
        </w:rPr>
        <w:t>a）原问题项目已整改并符合要求；</w:t>
      </w:r>
    </w:p>
    <w:p w14:paraId="17832402">
      <w:pPr>
        <w:pStyle w:val="56"/>
        <w:spacing w:line="360" w:lineRule="auto"/>
        <w:ind w:firstLine="420"/>
      </w:pPr>
      <w:r>
        <w:rPr>
          <w:rFonts w:hint="eastAsia"/>
        </w:rPr>
        <w:t>b）原问题项目整改后仍不符合要求；</w:t>
      </w:r>
    </w:p>
    <w:p w14:paraId="1D0929EF">
      <w:pPr>
        <w:pStyle w:val="56"/>
        <w:spacing w:line="360" w:lineRule="auto"/>
        <w:ind w:firstLine="420"/>
      </w:pPr>
      <w:r>
        <w:rPr>
          <w:rFonts w:hint="eastAsia"/>
        </w:rPr>
        <w:t>c）部分项目整改完成，部分项目未完成；</w:t>
      </w:r>
    </w:p>
    <w:p w14:paraId="2585B75B">
      <w:pPr>
        <w:pStyle w:val="56"/>
        <w:spacing w:line="360" w:lineRule="auto"/>
        <w:ind w:firstLine="420"/>
      </w:pPr>
      <w:r>
        <w:rPr>
          <w:rFonts w:hint="eastAsia"/>
        </w:rPr>
        <w:t>d）不具备出具完整复检结论条件。</w:t>
      </w:r>
    </w:p>
    <w:p w14:paraId="18510F9C">
      <w:pPr>
        <w:pStyle w:val="165"/>
        <w:spacing w:line="360" w:lineRule="auto"/>
      </w:pPr>
      <w:r>
        <w:rPr>
          <w:rFonts w:hint="eastAsia"/>
        </w:rPr>
        <w:t>复检结论应与整改状态、现场核查结果和试验结果一致。</w:t>
      </w:r>
    </w:p>
    <w:p w14:paraId="7567313F">
      <w:pPr>
        <w:pStyle w:val="65"/>
        <w:spacing w:before="120" w:after="120" w:line="360" w:lineRule="auto"/>
      </w:pPr>
      <w:r>
        <w:rPr>
          <w:rFonts w:hint="eastAsia"/>
        </w:rPr>
        <w:t>结论应用要求</w:t>
      </w:r>
    </w:p>
    <w:p w14:paraId="31865D3E">
      <w:pPr>
        <w:pStyle w:val="165"/>
        <w:spacing w:line="360" w:lineRule="auto"/>
      </w:pPr>
      <w:r>
        <w:rPr>
          <w:rFonts w:hint="eastAsia"/>
        </w:rPr>
        <w:t>复检结论应与后续管理措施相衔接。</w:t>
      </w:r>
    </w:p>
    <w:p w14:paraId="340A75EF">
      <w:pPr>
        <w:pStyle w:val="165"/>
        <w:spacing w:line="360" w:lineRule="auto"/>
      </w:pPr>
      <w:r>
        <w:rPr>
          <w:rFonts w:hint="eastAsia"/>
        </w:rPr>
        <w:t>对复检仍不符合要求的项目，应重新明确整改要求、风险控制要求和再次复检要求。</w:t>
      </w:r>
    </w:p>
    <w:p w14:paraId="10377D84">
      <w:pPr>
        <w:pStyle w:val="105"/>
        <w:spacing w:before="120" w:after="120" w:line="360" w:lineRule="auto"/>
      </w:pPr>
      <w:r>
        <w:rPr>
          <w:rFonts w:hint="eastAsia"/>
        </w:rPr>
        <w:t>复检记录要求</w:t>
      </w:r>
    </w:p>
    <w:p w14:paraId="407025D4">
      <w:pPr>
        <w:pStyle w:val="165"/>
        <w:spacing w:line="360" w:lineRule="auto"/>
      </w:pPr>
      <w:r>
        <w:rPr>
          <w:rFonts w:hint="eastAsia"/>
        </w:rPr>
        <w:t>整改确认和复检全过程应形成记录。</w:t>
      </w:r>
    </w:p>
    <w:p w14:paraId="1796FD59">
      <w:pPr>
        <w:pStyle w:val="165"/>
        <w:spacing w:line="360" w:lineRule="auto"/>
      </w:pPr>
      <w:r>
        <w:rPr>
          <w:rFonts w:hint="eastAsia"/>
        </w:rPr>
        <w:t>记录宜至少包括复检申请信息、整改资料信息、现场核查记录、试验记录、证据资料、结论记录和审核记录。</w:t>
      </w:r>
    </w:p>
    <w:p w14:paraId="11B467BA">
      <w:pPr>
        <w:pStyle w:val="165"/>
        <w:spacing w:line="360" w:lineRule="auto"/>
      </w:pPr>
      <w:r>
        <w:rPr>
          <w:rFonts w:hint="eastAsia"/>
        </w:rPr>
        <w:t>复检记录应与原问题项目、整改要求和复检范围保持对应关系。</w:t>
      </w:r>
    </w:p>
    <w:p w14:paraId="723916E5">
      <w:pPr>
        <w:pStyle w:val="165"/>
        <w:spacing w:line="360" w:lineRule="auto"/>
      </w:pPr>
      <w:r>
        <w:rPr>
          <w:rFonts w:hint="eastAsia"/>
        </w:rPr>
        <w:t>无记录、记录缺失或者记录与结论不一致的，不得认定复检已规范完成。</w:t>
      </w:r>
    </w:p>
    <w:p w14:paraId="3C7FE8C0">
      <w:pPr>
        <w:pStyle w:val="105"/>
        <w:spacing w:before="120" w:after="120" w:line="360" w:lineRule="auto"/>
      </w:pPr>
      <w:r>
        <w:rPr>
          <w:rFonts w:hint="eastAsia"/>
        </w:rPr>
        <w:t>整改确认与复检要点</w:t>
      </w:r>
    </w:p>
    <w:p w14:paraId="2D55003F">
      <w:pPr>
        <w:pStyle w:val="56"/>
        <w:spacing w:line="360" w:lineRule="auto"/>
        <w:ind w:firstLine="420"/>
      </w:pPr>
      <w:r>
        <w:rPr>
          <w:rFonts w:hint="eastAsia"/>
        </w:rPr>
        <w:t>整改确认与复检的主要内容见表2。表2给出了电梯整改确认与复检的主要内容及控制要点。</w:t>
      </w:r>
    </w:p>
    <w:p w14:paraId="7A481AFB">
      <w:pPr>
        <w:pStyle w:val="56"/>
        <w:spacing w:line="360" w:lineRule="auto"/>
        <w:ind w:firstLine="199" w:firstLineChars="95"/>
        <w:rPr>
          <w:rFonts w:hint="eastAsia"/>
        </w:rPr>
      </w:pPr>
    </w:p>
    <w:p w14:paraId="37C399B0">
      <w:pPr>
        <w:pStyle w:val="112"/>
        <w:spacing w:before="120" w:after="120" w:line="360" w:lineRule="auto"/>
      </w:pPr>
      <w:r>
        <w:rPr>
          <w:rFonts w:hint="eastAsia"/>
        </w:rPr>
        <w:t>电梯整改确认与复检要点表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395"/>
        <w:gridCol w:w="3248"/>
      </w:tblGrid>
      <w:tr w14:paraId="6E498C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0EB3B168">
            <w:pPr>
              <w:pStyle w:val="178"/>
            </w:pPr>
            <w:r>
              <w:rPr>
                <w:rFonts w:hint="eastAsia"/>
              </w:rPr>
              <w:t>工作类别</w:t>
            </w:r>
          </w:p>
        </w:tc>
        <w:tc>
          <w:tcPr>
            <w:tcW w:w="4395" w:type="dxa"/>
            <w:tcBorders>
              <w:top w:val="single" w:color="auto" w:sz="8" w:space="0"/>
              <w:bottom w:val="single" w:color="auto" w:sz="8" w:space="0"/>
            </w:tcBorders>
          </w:tcPr>
          <w:p w14:paraId="1EA99D61">
            <w:pPr>
              <w:pStyle w:val="178"/>
            </w:pPr>
            <w:r>
              <w:rPr>
                <w:rFonts w:hint="eastAsia"/>
              </w:rPr>
              <w:t>主要内容</w:t>
            </w:r>
          </w:p>
        </w:tc>
        <w:tc>
          <w:tcPr>
            <w:tcW w:w="3248" w:type="dxa"/>
            <w:tcBorders>
              <w:top w:val="single" w:color="auto" w:sz="8" w:space="0"/>
              <w:bottom w:val="single" w:color="auto" w:sz="8" w:space="0"/>
            </w:tcBorders>
          </w:tcPr>
          <w:p w14:paraId="6C07475C">
            <w:pPr>
              <w:pStyle w:val="178"/>
            </w:pPr>
            <w:r>
              <w:rPr>
                <w:rFonts w:hint="eastAsia"/>
              </w:rPr>
              <w:t>控制要点</w:t>
            </w:r>
          </w:p>
        </w:tc>
      </w:tr>
      <w:tr w14:paraId="37BC0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691" w:type="dxa"/>
            <w:tcBorders>
              <w:top w:val="single" w:color="auto" w:sz="8" w:space="0"/>
            </w:tcBorders>
          </w:tcPr>
          <w:p w14:paraId="16987E28">
            <w:pPr>
              <w:pStyle w:val="178"/>
            </w:pPr>
            <w:r>
              <w:rPr>
                <w:rFonts w:hint="eastAsia"/>
              </w:rPr>
              <w:t>整改要求确定</w:t>
            </w:r>
          </w:p>
        </w:tc>
        <w:tc>
          <w:tcPr>
            <w:tcW w:w="4395" w:type="dxa"/>
            <w:tcBorders>
              <w:top w:val="single" w:color="auto" w:sz="8" w:space="0"/>
            </w:tcBorders>
          </w:tcPr>
          <w:p w14:paraId="732C74B5">
            <w:pPr>
              <w:pStyle w:val="178"/>
            </w:pPr>
            <w:r>
              <w:rPr>
                <w:rFonts w:hint="eastAsia"/>
              </w:rPr>
              <w:t>项目、依据、措施、时限、责任主体</w:t>
            </w:r>
          </w:p>
        </w:tc>
        <w:tc>
          <w:tcPr>
            <w:tcW w:w="3248" w:type="dxa"/>
            <w:tcBorders>
              <w:top w:val="single" w:color="auto" w:sz="8" w:space="0"/>
            </w:tcBorders>
          </w:tcPr>
          <w:p w14:paraId="0B863C18">
            <w:pPr>
              <w:pStyle w:val="178"/>
            </w:pPr>
            <w:r>
              <w:rPr>
                <w:rFonts w:hint="eastAsia"/>
              </w:rPr>
              <w:t>要求具体，不得笼统模糊</w:t>
            </w:r>
          </w:p>
        </w:tc>
      </w:tr>
      <w:tr w14:paraId="636708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45B1A75">
            <w:pPr>
              <w:pStyle w:val="178"/>
            </w:pPr>
            <w:r>
              <w:rPr>
                <w:rFonts w:hint="eastAsia"/>
              </w:rPr>
              <w:t>整改资料</w:t>
            </w:r>
          </w:p>
        </w:tc>
        <w:tc>
          <w:tcPr>
            <w:tcW w:w="4395" w:type="dxa"/>
          </w:tcPr>
          <w:p w14:paraId="7612E5E0">
            <w:pPr>
              <w:pStyle w:val="178"/>
            </w:pPr>
            <w:r>
              <w:rPr>
                <w:rFonts w:hint="eastAsia"/>
              </w:rPr>
              <w:t>说明、记录、前后对比、试验资料</w:t>
            </w:r>
          </w:p>
        </w:tc>
        <w:tc>
          <w:tcPr>
            <w:tcW w:w="3248" w:type="dxa"/>
          </w:tcPr>
          <w:p w14:paraId="4E09A761">
            <w:pPr>
              <w:pStyle w:val="178"/>
            </w:pPr>
            <w:r>
              <w:rPr>
                <w:rFonts w:hint="eastAsia"/>
              </w:rPr>
              <w:t>资料真实完整，可支撑确认</w:t>
            </w:r>
          </w:p>
        </w:tc>
      </w:tr>
      <w:tr w14:paraId="72E0FF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2B970C5">
            <w:pPr>
              <w:pStyle w:val="178"/>
            </w:pPr>
            <w:r>
              <w:rPr>
                <w:rFonts w:hint="eastAsia"/>
              </w:rPr>
              <w:t>整改确认</w:t>
            </w:r>
          </w:p>
        </w:tc>
        <w:tc>
          <w:tcPr>
            <w:tcW w:w="4395" w:type="dxa"/>
          </w:tcPr>
          <w:p w14:paraId="1F27EEE4">
            <w:pPr>
              <w:pStyle w:val="178"/>
            </w:pPr>
            <w:r>
              <w:rPr>
                <w:rFonts w:hint="eastAsia"/>
              </w:rPr>
              <w:t>真实性、完整性、有效性核查</w:t>
            </w:r>
          </w:p>
        </w:tc>
        <w:tc>
          <w:tcPr>
            <w:tcW w:w="3248" w:type="dxa"/>
          </w:tcPr>
          <w:p w14:paraId="5A045295">
            <w:pPr>
              <w:pStyle w:val="178"/>
            </w:pPr>
            <w:r>
              <w:rPr>
                <w:rFonts w:hint="eastAsia"/>
              </w:rPr>
              <w:t>不得只看承诺，不查现场</w:t>
            </w:r>
          </w:p>
        </w:tc>
      </w:tr>
      <w:tr w14:paraId="5C43F6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CC948EE">
            <w:pPr>
              <w:pStyle w:val="178"/>
            </w:pPr>
            <w:r>
              <w:rPr>
                <w:rFonts w:hint="eastAsia"/>
              </w:rPr>
              <w:t>复检条件</w:t>
            </w:r>
          </w:p>
        </w:tc>
        <w:tc>
          <w:tcPr>
            <w:tcW w:w="4395" w:type="dxa"/>
          </w:tcPr>
          <w:p w14:paraId="10FF98F9">
            <w:pPr>
              <w:pStyle w:val="178"/>
            </w:pPr>
            <w:r>
              <w:rPr>
                <w:rFonts w:hint="eastAsia"/>
              </w:rPr>
              <w:t>整改完成、资料齐全、现场具备条件</w:t>
            </w:r>
          </w:p>
        </w:tc>
        <w:tc>
          <w:tcPr>
            <w:tcW w:w="3248" w:type="dxa"/>
          </w:tcPr>
          <w:p w14:paraId="389C3903">
            <w:pPr>
              <w:pStyle w:val="178"/>
            </w:pPr>
            <w:r>
              <w:rPr>
                <w:rFonts w:hint="eastAsia"/>
              </w:rPr>
              <w:t>条件不足不得实施复检</w:t>
            </w:r>
          </w:p>
        </w:tc>
      </w:tr>
      <w:tr w14:paraId="65E0C3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655ECCB">
            <w:pPr>
              <w:pStyle w:val="178"/>
            </w:pPr>
            <w:r>
              <w:rPr>
                <w:rFonts w:hint="eastAsia"/>
              </w:rPr>
              <w:t>复检范围</w:t>
            </w:r>
          </w:p>
        </w:tc>
        <w:tc>
          <w:tcPr>
            <w:tcW w:w="4395" w:type="dxa"/>
          </w:tcPr>
          <w:p w14:paraId="1969E75D">
            <w:pPr>
              <w:pStyle w:val="178"/>
            </w:pPr>
            <w:r>
              <w:rPr>
                <w:rFonts w:hint="eastAsia"/>
              </w:rPr>
              <w:t>原问题项目及关联项目</w:t>
            </w:r>
          </w:p>
        </w:tc>
        <w:tc>
          <w:tcPr>
            <w:tcW w:w="3248" w:type="dxa"/>
          </w:tcPr>
          <w:p w14:paraId="0EDD966E">
            <w:pPr>
              <w:pStyle w:val="178"/>
            </w:pPr>
            <w:r>
              <w:rPr>
                <w:rFonts w:hint="eastAsia"/>
              </w:rPr>
              <w:t>范围应明确，不得随意扩大或缩小</w:t>
            </w:r>
          </w:p>
        </w:tc>
      </w:tr>
      <w:tr w14:paraId="5D0939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AC8CC8F">
            <w:pPr>
              <w:pStyle w:val="178"/>
            </w:pPr>
            <w:r>
              <w:rPr>
                <w:rFonts w:hint="eastAsia"/>
              </w:rPr>
              <w:t>复检实施</w:t>
            </w:r>
          </w:p>
        </w:tc>
        <w:tc>
          <w:tcPr>
            <w:tcW w:w="4395" w:type="dxa"/>
          </w:tcPr>
          <w:p w14:paraId="045C8104">
            <w:pPr>
              <w:pStyle w:val="178"/>
            </w:pPr>
            <w:r>
              <w:rPr>
                <w:rFonts w:hint="eastAsia"/>
              </w:rPr>
              <w:t>资料审查、现场核查、必要试验</w:t>
            </w:r>
          </w:p>
        </w:tc>
        <w:tc>
          <w:tcPr>
            <w:tcW w:w="3248" w:type="dxa"/>
          </w:tcPr>
          <w:p w14:paraId="6BCE1BB1">
            <w:pPr>
              <w:pStyle w:val="178"/>
            </w:pPr>
            <w:r>
              <w:rPr>
                <w:rFonts w:hint="eastAsia"/>
              </w:rPr>
              <w:t>应针对原问题项目逐项确认</w:t>
            </w:r>
          </w:p>
        </w:tc>
      </w:tr>
      <w:tr w14:paraId="43E1E6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5F79784">
            <w:pPr>
              <w:pStyle w:val="178"/>
            </w:pPr>
            <w:r>
              <w:rPr>
                <w:rFonts w:hint="eastAsia"/>
              </w:rPr>
              <w:t>复检结论</w:t>
            </w:r>
          </w:p>
        </w:tc>
        <w:tc>
          <w:tcPr>
            <w:tcW w:w="4395" w:type="dxa"/>
          </w:tcPr>
          <w:p w14:paraId="467C76B9">
            <w:pPr>
              <w:pStyle w:val="178"/>
            </w:pPr>
            <w:r>
              <w:rPr>
                <w:rFonts w:hint="eastAsia"/>
              </w:rPr>
              <w:t>完成、未完成、部分完成、条件不足</w:t>
            </w:r>
          </w:p>
        </w:tc>
        <w:tc>
          <w:tcPr>
            <w:tcW w:w="3248" w:type="dxa"/>
          </w:tcPr>
          <w:p w14:paraId="2FE373E5">
            <w:pPr>
              <w:pStyle w:val="178"/>
            </w:pPr>
            <w:r>
              <w:rPr>
                <w:rFonts w:hint="eastAsia"/>
              </w:rPr>
              <w:t>结论明确并与后续管理衔接</w:t>
            </w:r>
          </w:p>
        </w:tc>
      </w:tr>
    </w:tbl>
    <w:p w14:paraId="15A2254B">
      <w:pPr>
        <w:pStyle w:val="105"/>
        <w:spacing w:before="120" w:after="120" w:line="360" w:lineRule="auto"/>
      </w:pPr>
      <w:r>
        <w:rPr>
          <w:rFonts w:hint="eastAsia"/>
        </w:rPr>
        <w:t>禁止性要求</w:t>
      </w:r>
    </w:p>
    <w:p w14:paraId="5053C2C3">
      <w:pPr>
        <w:pStyle w:val="165"/>
        <w:spacing w:line="360" w:lineRule="auto"/>
      </w:pPr>
      <w:r>
        <w:rPr>
          <w:rFonts w:hint="eastAsia"/>
        </w:rPr>
        <w:t>不得在整改要求未明确的情况下要求责任主体“自行整改后复检”。</w:t>
      </w:r>
    </w:p>
    <w:p w14:paraId="5F019668">
      <w:pPr>
        <w:pStyle w:val="165"/>
        <w:spacing w:line="360" w:lineRule="auto"/>
      </w:pPr>
      <w:r>
        <w:rPr>
          <w:rFonts w:hint="eastAsia"/>
        </w:rPr>
        <w:t>不得以模糊照片、单一截图或者口头说明代替正式整改资料。</w:t>
      </w:r>
    </w:p>
    <w:p w14:paraId="5C964B6C">
      <w:pPr>
        <w:pStyle w:val="165"/>
        <w:spacing w:line="360" w:lineRule="auto"/>
      </w:pPr>
      <w:r>
        <w:rPr>
          <w:rFonts w:hint="eastAsia"/>
        </w:rPr>
        <w:t>不得在复检条件不具备、现场状态不明或者整改资料不齐的情况下组织复检。</w:t>
      </w:r>
    </w:p>
    <w:p w14:paraId="61742583">
      <w:pPr>
        <w:pStyle w:val="165"/>
        <w:spacing w:line="360" w:lineRule="auto"/>
      </w:pPr>
      <w:r>
        <w:rPr>
          <w:rFonts w:hint="eastAsia"/>
        </w:rPr>
        <w:t>不得在关键项目未完成试验或者功能确认的情况下作出复检合格结论。</w:t>
      </w:r>
    </w:p>
    <w:p w14:paraId="277A2074">
      <w:pPr>
        <w:pStyle w:val="165"/>
        <w:spacing w:line="360" w:lineRule="auto"/>
      </w:pPr>
      <w:r>
        <w:rPr>
          <w:rFonts w:hint="eastAsia"/>
        </w:rPr>
        <w:t>不得对复检仍不符合要求项目出具含糊不清或者带有误导性的结论表述。</w:t>
      </w:r>
    </w:p>
    <w:p w14:paraId="09515CEF">
      <w:pPr>
        <w:pStyle w:val="104"/>
        <w:spacing w:before="240" w:after="240" w:line="360" w:lineRule="auto"/>
      </w:pPr>
      <w:bookmarkStart w:id="54" w:name="_Toc228615096"/>
      <w:r>
        <w:rPr>
          <w:rFonts w:hint="eastAsia"/>
        </w:rPr>
        <w:t>争议处理与资料管理要求</w:t>
      </w:r>
      <w:bookmarkEnd w:id="54"/>
    </w:p>
    <w:p w14:paraId="76C70824">
      <w:pPr>
        <w:pStyle w:val="105"/>
        <w:spacing w:before="120" w:after="120" w:line="360" w:lineRule="auto"/>
      </w:pPr>
      <w:r>
        <w:rPr>
          <w:rFonts w:hint="eastAsia"/>
        </w:rPr>
        <w:t>一般要求</w:t>
      </w:r>
    </w:p>
    <w:p w14:paraId="579B2D59">
      <w:pPr>
        <w:pStyle w:val="165"/>
        <w:spacing w:line="360" w:lineRule="auto"/>
      </w:pPr>
      <w:r>
        <w:rPr>
          <w:rFonts w:hint="eastAsia"/>
        </w:rPr>
        <w:t>电梯检验检测结果判定与复检过程中，应建立争议处理与资料管理机制。</w:t>
      </w:r>
    </w:p>
    <w:p w14:paraId="42DA4DC0">
      <w:pPr>
        <w:pStyle w:val="165"/>
        <w:spacing w:line="360" w:lineRule="auto"/>
      </w:pPr>
      <w:r>
        <w:rPr>
          <w:rFonts w:hint="eastAsia"/>
        </w:rPr>
        <w:t>争议处理应坚持事实清楚、依据明确、程序规范、公正审慎和风险优先控制的原则。</w:t>
      </w:r>
    </w:p>
    <w:p w14:paraId="437A5AC0">
      <w:pPr>
        <w:pStyle w:val="165"/>
        <w:spacing w:line="360" w:lineRule="auto"/>
      </w:pPr>
      <w:r>
        <w:rPr>
          <w:rFonts w:hint="eastAsia"/>
        </w:rPr>
        <w:t>资料管理应坚持真实完整、前后对应、统一编号、及时归档和可追溯原则。</w:t>
      </w:r>
    </w:p>
    <w:p w14:paraId="1BB2674A">
      <w:pPr>
        <w:pStyle w:val="165"/>
        <w:spacing w:line="360" w:lineRule="auto"/>
      </w:pPr>
      <w:r>
        <w:rPr>
          <w:rFonts w:hint="eastAsia"/>
        </w:rPr>
        <w:t>争议处理与资料管理不得脱离原始记录、原始证据和适用规则单独进行。</w:t>
      </w:r>
    </w:p>
    <w:p w14:paraId="1A919F5C">
      <w:pPr>
        <w:pStyle w:val="105"/>
        <w:spacing w:before="120" w:after="120" w:line="360" w:lineRule="auto"/>
      </w:pPr>
      <w:r>
        <w:rPr>
          <w:rFonts w:hint="eastAsia"/>
        </w:rPr>
        <w:t>争议事项识别要求</w:t>
      </w:r>
    </w:p>
    <w:p w14:paraId="4B56FF62">
      <w:pPr>
        <w:pStyle w:val="65"/>
        <w:spacing w:before="120" w:after="120" w:line="360" w:lineRule="auto"/>
      </w:pPr>
      <w:r>
        <w:rPr>
          <w:rFonts w:hint="eastAsia"/>
        </w:rPr>
        <w:t>一般要求</w:t>
      </w:r>
    </w:p>
    <w:p w14:paraId="2DD4B36A">
      <w:pPr>
        <w:pStyle w:val="164"/>
        <w:spacing w:line="360" w:lineRule="auto"/>
      </w:pPr>
      <w:r>
        <w:rPr>
          <w:rFonts w:hint="eastAsia"/>
        </w:rPr>
        <w:t>对结果判定、问题分类、整改要求、复检范围、复检结论和使用限制措施存在分歧的，应识别为争议事项。</w:t>
      </w:r>
    </w:p>
    <w:p w14:paraId="454FF068">
      <w:pPr>
        <w:pStyle w:val="164"/>
        <w:spacing w:line="360" w:lineRule="auto"/>
      </w:pPr>
      <w:r>
        <w:rPr>
          <w:rFonts w:hint="eastAsia"/>
        </w:rPr>
        <w:t>争议事项应及时登记，不得口头争论后不形成记录。</w:t>
      </w:r>
    </w:p>
    <w:p w14:paraId="2D08E6E2">
      <w:pPr>
        <w:pStyle w:val="65"/>
        <w:spacing w:before="120" w:after="120" w:line="360" w:lineRule="auto"/>
      </w:pPr>
      <w:r>
        <w:rPr>
          <w:rFonts w:hint="eastAsia"/>
        </w:rPr>
        <w:t>常见争议事项</w:t>
      </w:r>
    </w:p>
    <w:p w14:paraId="70635423">
      <w:pPr>
        <w:pStyle w:val="56"/>
        <w:spacing w:line="360" w:lineRule="auto"/>
        <w:ind w:firstLine="420"/>
      </w:pPr>
      <w:r>
        <w:rPr>
          <w:rFonts w:hint="eastAsia"/>
        </w:rPr>
        <w:t>常见争议事项宜包括：</w:t>
      </w:r>
    </w:p>
    <w:p w14:paraId="161138A2">
      <w:pPr>
        <w:pStyle w:val="56"/>
        <w:spacing w:line="360" w:lineRule="auto"/>
        <w:ind w:firstLine="420"/>
      </w:pPr>
      <w:r>
        <w:rPr>
          <w:rFonts w:hint="eastAsia"/>
        </w:rPr>
        <w:t>a）规则条款适用争议；</w:t>
      </w:r>
    </w:p>
    <w:p w14:paraId="2DB649C9">
      <w:pPr>
        <w:pStyle w:val="56"/>
        <w:spacing w:line="360" w:lineRule="auto"/>
        <w:ind w:firstLine="420"/>
      </w:pPr>
      <w:r>
        <w:rPr>
          <w:rFonts w:hint="eastAsia"/>
        </w:rPr>
        <w:t>b）项目分类争议；</w:t>
      </w:r>
    </w:p>
    <w:p w14:paraId="453980EE">
      <w:pPr>
        <w:pStyle w:val="56"/>
        <w:spacing w:line="360" w:lineRule="auto"/>
        <w:ind w:firstLine="420"/>
      </w:pPr>
      <w:r>
        <w:rPr>
          <w:rFonts w:hint="eastAsia"/>
        </w:rPr>
        <w:t>c）严重程度判定争议；</w:t>
      </w:r>
    </w:p>
    <w:p w14:paraId="4A140D4B">
      <w:pPr>
        <w:pStyle w:val="56"/>
        <w:spacing w:line="360" w:lineRule="auto"/>
        <w:ind w:firstLine="420"/>
      </w:pPr>
      <w:r>
        <w:rPr>
          <w:rFonts w:hint="eastAsia"/>
        </w:rPr>
        <w:t>d）整改完成程度争议；</w:t>
      </w:r>
    </w:p>
    <w:p w14:paraId="7E4EC01F">
      <w:pPr>
        <w:pStyle w:val="56"/>
        <w:spacing w:line="360" w:lineRule="auto"/>
        <w:ind w:firstLine="420"/>
      </w:pPr>
      <w:r>
        <w:rPr>
          <w:rFonts w:hint="eastAsia"/>
        </w:rPr>
        <w:t>e）复检必要性争议；</w:t>
      </w:r>
    </w:p>
    <w:p w14:paraId="2E2D6936">
      <w:pPr>
        <w:pStyle w:val="56"/>
        <w:spacing w:line="360" w:lineRule="auto"/>
        <w:ind w:firstLine="420"/>
      </w:pPr>
      <w:r>
        <w:rPr>
          <w:rFonts w:hint="eastAsia"/>
        </w:rPr>
        <w:t>f）复检范围争议；</w:t>
      </w:r>
    </w:p>
    <w:p w14:paraId="1F2A1183">
      <w:pPr>
        <w:pStyle w:val="56"/>
        <w:spacing w:line="360" w:lineRule="auto"/>
        <w:ind w:firstLine="420"/>
      </w:pPr>
      <w:r>
        <w:rPr>
          <w:rFonts w:hint="eastAsia"/>
        </w:rPr>
        <w:t>g）结论表述争议；</w:t>
      </w:r>
    </w:p>
    <w:p w14:paraId="6253A228">
      <w:pPr>
        <w:pStyle w:val="56"/>
        <w:spacing w:line="360" w:lineRule="auto"/>
        <w:ind w:firstLine="420"/>
      </w:pPr>
      <w:r>
        <w:rPr>
          <w:rFonts w:hint="eastAsia"/>
        </w:rPr>
        <w:t>h）资料真实性争议。</w:t>
      </w:r>
    </w:p>
    <w:p w14:paraId="784D6680">
      <w:pPr>
        <w:pStyle w:val="105"/>
        <w:spacing w:before="120" w:after="120" w:line="360" w:lineRule="auto"/>
      </w:pPr>
      <w:r>
        <w:rPr>
          <w:rFonts w:hint="eastAsia"/>
        </w:rPr>
        <w:t>争议处理程序要求</w:t>
      </w:r>
    </w:p>
    <w:p w14:paraId="0CFFDB6C">
      <w:pPr>
        <w:pStyle w:val="65"/>
        <w:spacing w:before="120" w:after="120" w:line="360" w:lineRule="auto"/>
      </w:pPr>
      <w:r>
        <w:rPr>
          <w:rFonts w:hint="eastAsia"/>
        </w:rPr>
        <w:t>一般要求</w:t>
      </w:r>
    </w:p>
    <w:p w14:paraId="3AE41A63">
      <w:pPr>
        <w:pStyle w:val="164"/>
        <w:spacing w:line="360" w:lineRule="auto"/>
      </w:pPr>
      <w:r>
        <w:rPr>
          <w:rFonts w:hint="eastAsia"/>
        </w:rPr>
        <w:t>争议事项应按规定程序处理。</w:t>
      </w:r>
    </w:p>
    <w:p w14:paraId="1A14524C">
      <w:pPr>
        <w:pStyle w:val="164"/>
        <w:spacing w:line="360" w:lineRule="auto"/>
      </w:pPr>
      <w:r>
        <w:rPr>
          <w:rFonts w:hint="eastAsia"/>
        </w:rPr>
        <w:t>争议处理宜按“争议提出、事项登记、证据核查、规则比对、复核确认、结果反馈、资料归档”的程序实施。</w:t>
      </w:r>
    </w:p>
    <w:p w14:paraId="2E823D1F">
      <w:pPr>
        <w:pStyle w:val="164"/>
        <w:spacing w:line="360" w:lineRule="auto"/>
      </w:pPr>
      <w:r>
        <w:rPr>
          <w:rFonts w:hint="eastAsia"/>
        </w:rPr>
        <w:t>争议处理期间，应同步评估是否需要采取限制使用、暂停使用或者其他风险控制措施。</w:t>
      </w:r>
    </w:p>
    <w:p w14:paraId="37BBDD2E">
      <w:pPr>
        <w:pStyle w:val="65"/>
        <w:spacing w:before="120" w:after="120" w:line="360" w:lineRule="auto"/>
      </w:pPr>
      <w:r>
        <w:rPr>
          <w:rFonts w:hint="eastAsia"/>
        </w:rPr>
        <w:t>证据核查要求</w:t>
      </w:r>
    </w:p>
    <w:p w14:paraId="33968727">
      <w:pPr>
        <w:pStyle w:val="164"/>
        <w:spacing w:line="360" w:lineRule="auto"/>
      </w:pPr>
      <w:r>
        <w:rPr>
          <w:rFonts w:hint="eastAsia"/>
        </w:rPr>
        <w:t>争议处理应重点核查下列内容：</w:t>
      </w:r>
    </w:p>
    <w:p w14:paraId="22DFBFD8">
      <w:pPr>
        <w:pStyle w:val="56"/>
        <w:spacing w:line="360" w:lineRule="auto"/>
        <w:ind w:firstLine="420"/>
      </w:pPr>
      <w:r>
        <w:rPr>
          <w:rFonts w:hint="eastAsia"/>
        </w:rPr>
        <w:t>a）原始记录；</w:t>
      </w:r>
    </w:p>
    <w:p w14:paraId="7CCF7697">
      <w:pPr>
        <w:pStyle w:val="56"/>
        <w:spacing w:line="360" w:lineRule="auto"/>
        <w:ind w:firstLine="420"/>
      </w:pPr>
      <w:r>
        <w:rPr>
          <w:rFonts w:hint="eastAsia"/>
        </w:rPr>
        <w:t>b）照片和音像资料；</w:t>
      </w:r>
    </w:p>
    <w:p w14:paraId="3E0576BE">
      <w:pPr>
        <w:pStyle w:val="56"/>
        <w:spacing w:line="360" w:lineRule="auto"/>
        <w:ind w:firstLine="420"/>
      </w:pPr>
      <w:r>
        <w:rPr>
          <w:rFonts w:hint="eastAsia"/>
        </w:rPr>
        <w:t>c）试验数据；</w:t>
      </w:r>
    </w:p>
    <w:p w14:paraId="72A92279">
      <w:pPr>
        <w:pStyle w:val="56"/>
        <w:spacing w:line="360" w:lineRule="auto"/>
        <w:ind w:firstLine="420"/>
      </w:pPr>
      <w:r>
        <w:rPr>
          <w:rFonts w:hint="eastAsia"/>
        </w:rPr>
        <w:t>d）设备资料；</w:t>
      </w:r>
    </w:p>
    <w:p w14:paraId="5D9C78C9">
      <w:pPr>
        <w:pStyle w:val="56"/>
        <w:spacing w:line="360" w:lineRule="auto"/>
        <w:ind w:firstLine="420"/>
      </w:pPr>
      <w:r>
        <w:rPr>
          <w:rFonts w:hint="eastAsia"/>
        </w:rPr>
        <w:t>e）整改资料；</w:t>
      </w:r>
    </w:p>
    <w:p w14:paraId="56D2A889">
      <w:pPr>
        <w:pStyle w:val="56"/>
        <w:spacing w:line="360" w:lineRule="auto"/>
        <w:ind w:firstLine="420"/>
      </w:pPr>
      <w:r>
        <w:rPr>
          <w:rFonts w:hint="eastAsia"/>
        </w:rPr>
        <w:t>f）规则条款；</w:t>
      </w:r>
    </w:p>
    <w:p w14:paraId="0ED798AD">
      <w:pPr>
        <w:pStyle w:val="56"/>
        <w:spacing w:line="360" w:lineRule="auto"/>
        <w:ind w:firstLine="420"/>
      </w:pPr>
      <w:r>
        <w:rPr>
          <w:rFonts w:hint="eastAsia"/>
        </w:rPr>
        <w:t>g）审核记录。</w:t>
      </w:r>
    </w:p>
    <w:p w14:paraId="6DE41F62">
      <w:pPr>
        <w:pStyle w:val="164"/>
        <w:spacing w:line="360" w:lineRule="auto"/>
      </w:pPr>
      <w:r>
        <w:rPr>
          <w:rFonts w:hint="eastAsia"/>
        </w:rPr>
        <w:t>争议处理不得以补造资料替代原始证据，不得擅自删除不利证据。</w:t>
      </w:r>
    </w:p>
    <w:p w14:paraId="61F1E24A">
      <w:pPr>
        <w:pStyle w:val="65"/>
        <w:spacing w:before="120" w:after="120" w:line="360" w:lineRule="auto"/>
      </w:pPr>
      <w:r>
        <w:rPr>
          <w:rFonts w:hint="eastAsia"/>
        </w:rPr>
        <w:t>复核确认要求</w:t>
      </w:r>
    </w:p>
    <w:p w14:paraId="19420CC1">
      <w:pPr>
        <w:pStyle w:val="164"/>
        <w:spacing w:line="360" w:lineRule="auto"/>
      </w:pPr>
      <w:r>
        <w:rPr>
          <w:rFonts w:hint="eastAsia"/>
        </w:rPr>
        <w:t>争议事项必要时可组织内部复核、上级复核或者技术会商。</w:t>
      </w:r>
    </w:p>
    <w:p w14:paraId="31E4496B">
      <w:pPr>
        <w:pStyle w:val="164"/>
        <w:spacing w:line="360" w:lineRule="auto"/>
      </w:pPr>
      <w:r>
        <w:rPr>
          <w:rFonts w:hint="eastAsia"/>
        </w:rPr>
        <w:t>对影响安全边界认定、关键安全项目分类和停止使用措施的争议事项，应从严复核。</w:t>
      </w:r>
    </w:p>
    <w:p w14:paraId="68B1012E">
      <w:pPr>
        <w:pStyle w:val="164"/>
        <w:spacing w:line="360" w:lineRule="auto"/>
      </w:pPr>
      <w:r>
        <w:rPr>
          <w:rFonts w:hint="eastAsia"/>
        </w:rPr>
        <w:t>复核结论应形成书面记录。</w:t>
      </w:r>
    </w:p>
    <w:p w14:paraId="06BFDE81">
      <w:pPr>
        <w:pStyle w:val="105"/>
        <w:spacing w:before="120" w:after="120" w:line="360" w:lineRule="auto"/>
      </w:pPr>
      <w:r>
        <w:rPr>
          <w:rFonts w:hint="eastAsia"/>
        </w:rPr>
        <w:t>风险优先控制要求</w:t>
      </w:r>
    </w:p>
    <w:p w14:paraId="008ED282">
      <w:pPr>
        <w:pStyle w:val="65"/>
        <w:spacing w:before="120" w:after="120" w:line="360" w:lineRule="auto"/>
      </w:pPr>
      <w:r>
        <w:rPr>
          <w:rFonts w:hint="eastAsia"/>
        </w:rPr>
        <w:t>一般要求</w:t>
      </w:r>
    </w:p>
    <w:p w14:paraId="4D07357C">
      <w:pPr>
        <w:pStyle w:val="164"/>
        <w:spacing w:line="360" w:lineRule="auto"/>
      </w:pPr>
      <w:r>
        <w:rPr>
          <w:rFonts w:hint="eastAsia"/>
        </w:rPr>
        <w:t>对存在安全风险的争议事项，应坚持风险优先控制。</w:t>
      </w:r>
    </w:p>
    <w:p w14:paraId="77C44196">
      <w:pPr>
        <w:pStyle w:val="164"/>
        <w:spacing w:line="360" w:lineRule="auto"/>
      </w:pPr>
      <w:r>
        <w:rPr>
          <w:rFonts w:hint="eastAsia"/>
        </w:rPr>
        <w:t>在争议未最终明确前，如已存在明显安全风险，应先采取控制措施，再处理争议。</w:t>
      </w:r>
    </w:p>
    <w:p w14:paraId="6A7DB2EC">
      <w:pPr>
        <w:pStyle w:val="164"/>
        <w:numPr>
          <w:ilvl w:val="0"/>
          <w:numId w:val="0"/>
        </w:numPr>
        <w:spacing w:line="360" w:lineRule="auto"/>
      </w:pPr>
    </w:p>
    <w:p w14:paraId="19EF1DA4">
      <w:pPr>
        <w:pStyle w:val="164"/>
        <w:numPr>
          <w:ilvl w:val="0"/>
          <w:numId w:val="0"/>
        </w:numPr>
        <w:spacing w:line="360" w:lineRule="auto"/>
        <w:rPr>
          <w:rFonts w:hint="eastAsia"/>
        </w:rPr>
      </w:pPr>
    </w:p>
    <w:p w14:paraId="2643A489">
      <w:pPr>
        <w:pStyle w:val="65"/>
        <w:spacing w:before="120" w:after="120" w:line="360" w:lineRule="auto"/>
      </w:pPr>
      <w:r>
        <w:rPr>
          <w:rFonts w:hint="eastAsia"/>
        </w:rPr>
        <w:t>控制要求</w:t>
      </w:r>
    </w:p>
    <w:p w14:paraId="3E733A88">
      <w:pPr>
        <w:pStyle w:val="164"/>
        <w:spacing w:line="360" w:lineRule="auto"/>
      </w:pPr>
      <w:r>
        <w:rPr>
          <w:rFonts w:hint="eastAsia"/>
        </w:rPr>
        <w:t>风险控制措施宜包括：</w:t>
      </w:r>
    </w:p>
    <w:p w14:paraId="2FB80DBE">
      <w:pPr>
        <w:pStyle w:val="56"/>
        <w:spacing w:line="360" w:lineRule="auto"/>
        <w:ind w:firstLine="420"/>
      </w:pPr>
      <w:r>
        <w:rPr>
          <w:rFonts w:hint="eastAsia"/>
        </w:rPr>
        <w:t>a）暂停使用；</w:t>
      </w:r>
    </w:p>
    <w:p w14:paraId="42F403C5">
      <w:pPr>
        <w:pStyle w:val="56"/>
        <w:spacing w:line="360" w:lineRule="auto"/>
        <w:ind w:firstLine="420"/>
      </w:pPr>
      <w:r>
        <w:rPr>
          <w:rFonts w:hint="eastAsia"/>
        </w:rPr>
        <w:t>b）限制使用；</w:t>
      </w:r>
    </w:p>
    <w:p w14:paraId="26417CED">
      <w:pPr>
        <w:pStyle w:val="56"/>
        <w:spacing w:line="360" w:lineRule="auto"/>
        <w:ind w:firstLine="420"/>
      </w:pPr>
      <w:r>
        <w:rPr>
          <w:rFonts w:hint="eastAsia"/>
        </w:rPr>
        <w:t>c）停止部分功能；</w:t>
      </w:r>
    </w:p>
    <w:p w14:paraId="39625A34">
      <w:pPr>
        <w:pStyle w:val="56"/>
        <w:spacing w:line="360" w:lineRule="auto"/>
        <w:ind w:firstLine="420"/>
      </w:pPr>
      <w:r>
        <w:rPr>
          <w:rFonts w:hint="eastAsia"/>
        </w:rPr>
        <w:t>d）加强监护；</w:t>
      </w:r>
    </w:p>
    <w:p w14:paraId="0D2B4905">
      <w:pPr>
        <w:pStyle w:val="56"/>
        <w:spacing w:line="360" w:lineRule="auto"/>
        <w:ind w:firstLine="420"/>
      </w:pPr>
      <w:r>
        <w:rPr>
          <w:rFonts w:hint="eastAsia"/>
        </w:rPr>
        <w:t>e）限期补充检测；</w:t>
      </w:r>
    </w:p>
    <w:p w14:paraId="428BFA35">
      <w:pPr>
        <w:pStyle w:val="56"/>
        <w:spacing w:line="360" w:lineRule="auto"/>
        <w:ind w:firstLine="420"/>
      </w:pPr>
      <w:r>
        <w:rPr>
          <w:rFonts w:hint="eastAsia"/>
        </w:rPr>
        <w:t>f）补充技术核查。</w:t>
      </w:r>
    </w:p>
    <w:p w14:paraId="27CBB5C7">
      <w:pPr>
        <w:pStyle w:val="164"/>
        <w:spacing w:line="360" w:lineRule="auto"/>
      </w:pPr>
      <w:r>
        <w:rPr>
          <w:rFonts w:hint="eastAsia"/>
        </w:rPr>
        <w:t>不得因争议未解决而放任存在明显安全风险的电梯继续正常运行。</w:t>
      </w:r>
    </w:p>
    <w:p w14:paraId="0F2CC040">
      <w:pPr>
        <w:pStyle w:val="105"/>
        <w:spacing w:before="120" w:after="120" w:line="360" w:lineRule="auto"/>
      </w:pPr>
      <w:r>
        <w:rPr>
          <w:rFonts w:hint="eastAsia"/>
        </w:rPr>
        <w:t>结果反馈要求</w:t>
      </w:r>
    </w:p>
    <w:p w14:paraId="7A28CB80">
      <w:pPr>
        <w:pStyle w:val="65"/>
        <w:spacing w:before="120" w:after="120" w:line="360" w:lineRule="auto"/>
      </w:pPr>
      <w:r>
        <w:rPr>
          <w:rFonts w:hint="eastAsia"/>
        </w:rPr>
        <w:t>一般要求</w:t>
      </w:r>
    </w:p>
    <w:p w14:paraId="3756DDCD">
      <w:pPr>
        <w:pStyle w:val="164"/>
        <w:spacing w:line="360" w:lineRule="auto"/>
      </w:pPr>
      <w:r>
        <w:rPr>
          <w:rFonts w:hint="eastAsia"/>
        </w:rPr>
        <w:t>争议处理完成后，应及时反馈处理结论。</w:t>
      </w:r>
    </w:p>
    <w:p w14:paraId="654F27C3">
      <w:pPr>
        <w:pStyle w:val="164"/>
        <w:spacing w:line="360" w:lineRule="auto"/>
      </w:pPr>
      <w:r>
        <w:rPr>
          <w:rFonts w:hint="eastAsia"/>
        </w:rPr>
        <w:t>反馈内容应明确争议焦点、处理依据、处理结论和后续要求。</w:t>
      </w:r>
    </w:p>
    <w:p w14:paraId="51393243">
      <w:pPr>
        <w:pStyle w:val="164"/>
        <w:spacing w:line="360" w:lineRule="auto"/>
      </w:pPr>
      <w:r>
        <w:rPr>
          <w:rFonts w:hint="eastAsia"/>
        </w:rPr>
        <w:t>反馈不得只给出口头意见而无正式记录。</w:t>
      </w:r>
    </w:p>
    <w:p w14:paraId="28BDCD7A">
      <w:pPr>
        <w:pStyle w:val="65"/>
        <w:spacing w:before="120" w:after="120" w:line="360" w:lineRule="auto"/>
      </w:pPr>
      <w:r>
        <w:rPr>
          <w:rFonts w:hint="eastAsia"/>
        </w:rPr>
        <w:t>后续要求</w:t>
      </w:r>
    </w:p>
    <w:p w14:paraId="20DC52F6">
      <w:pPr>
        <w:pStyle w:val="164"/>
        <w:spacing w:line="360" w:lineRule="auto"/>
      </w:pPr>
      <w:r>
        <w:rPr>
          <w:rFonts w:hint="eastAsia"/>
        </w:rPr>
        <w:t>争议处理后，如需补充整改、补充复检或者调整结论，应及时落实相应程序。</w:t>
      </w:r>
    </w:p>
    <w:p w14:paraId="7F11543A">
      <w:pPr>
        <w:pStyle w:val="164"/>
        <w:spacing w:line="360" w:lineRule="auto"/>
      </w:pPr>
      <w:r>
        <w:rPr>
          <w:rFonts w:hint="eastAsia"/>
        </w:rPr>
        <w:t>争议处理影响原报告、原结论或者原整改要求的，应同步更新相关文件和记录。</w:t>
      </w:r>
    </w:p>
    <w:p w14:paraId="08593E5E">
      <w:pPr>
        <w:pStyle w:val="105"/>
        <w:spacing w:before="120" w:after="120" w:line="360" w:lineRule="auto"/>
      </w:pPr>
      <w:r>
        <w:rPr>
          <w:rFonts w:hint="eastAsia"/>
        </w:rPr>
        <w:t>资料管理要求</w:t>
      </w:r>
    </w:p>
    <w:p w14:paraId="6505F9CD">
      <w:pPr>
        <w:pStyle w:val="65"/>
        <w:spacing w:before="120" w:after="120" w:line="360" w:lineRule="auto"/>
      </w:pPr>
      <w:r>
        <w:rPr>
          <w:rFonts w:hint="eastAsia"/>
        </w:rPr>
        <w:t>一般要求</w:t>
      </w:r>
    </w:p>
    <w:p w14:paraId="736076C2">
      <w:pPr>
        <w:pStyle w:val="164"/>
        <w:spacing w:line="360" w:lineRule="auto"/>
      </w:pPr>
      <w:r>
        <w:rPr>
          <w:rFonts w:hint="eastAsia"/>
        </w:rPr>
        <w:t>电梯检验检测结果判定与复检资料应实施统一管理。</w:t>
      </w:r>
    </w:p>
    <w:p w14:paraId="0D3014D4">
      <w:pPr>
        <w:pStyle w:val="164"/>
        <w:spacing w:line="360" w:lineRule="auto"/>
      </w:pPr>
      <w:r>
        <w:rPr>
          <w:rFonts w:hint="eastAsia"/>
        </w:rPr>
        <w:t>资料管理应覆盖原始记录、图像资料、音像资料、审核资料、通知资料、整改资料、复检资料和争议处理资料。</w:t>
      </w:r>
    </w:p>
    <w:p w14:paraId="5C9A7CEA">
      <w:pPr>
        <w:pStyle w:val="164"/>
        <w:spacing w:line="360" w:lineRule="auto"/>
      </w:pPr>
      <w:r>
        <w:rPr>
          <w:rFonts w:hint="eastAsia"/>
        </w:rPr>
        <w:t>资料管理应保证项目完整、链条完整、时序完整和责任完整。</w:t>
      </w:r>
    </w:p>
    <w:p w14:paraId="60EC0033">
      <w:pPr>
        <w:pStyle w:val="65"/>
        <w:spacing w:before="120" w:after="120" w:line="360" w:lineRule="auto"/>
      </w:pPr>
      <w:r>
        <w:rPr>
          <w:rFonts w:hint="eastAsia"/>
        </w:rPr>
        <w:t>资料内容要求</w:t>
      </w:r>
    </w:p>
    <w:p w14:paraId="5241C5AC">
      <w:pPr>
        <w:pStyle w:val="56"/>
        <w:spacing w:line="360" w:lineRule="auto"/>
        <w:ind w:firstLine="420"/>
      </w:pPr>
      <w:r>
        <w:rPr>
          <w:rFonts w:hint="eastAsia"/>
        </w:rPr>
        <w:t>资料宜至少包括下列内容：</w:t>
      </w:r>
    </w:p>
    <w:p w14:paraId="532DF900">
      <w:pPr>
        <w:pStyle w:val="56"/>
        <w:spacing w:line="360" w:lineRule="auto"/>
        <w:ind w:firstLine="420"/>
      </w:pPr>
      <w:r>
        <w:rPr>
          <w:rFonts w:hint="eastAsia"/>
        </w:rPr>
        <w:t>a）检验检测原始记录；</w:t>
      </w:r>
    </w:p>
    <w:p w14:paraId="25B646E6">
      <w:pPr>
        <w:pStyle w:val="56"/>
        <w:spacing w:line="360" w:lineRule="auto"/>
        <w:ind w:firstLine="420"/>
      </w:pPr>
      <w:r>
        <w:rPr>
          <w:rFonts w:hint="eastAsia"/>
        </w:rPr>
        <w:t>b）现场检查和试验记录；</w:t>
      </w:r>
    </w:p>
    <w:p w14:paraId="5CCAAD7C">
      <w:pPr>
        <w:pStyle w:val="56"/>
        <w:spacing w:line="360" w:lineRule="auto"/>
        <w:ind w:firstLine="420"/>
      </w:pPr>
      <w:r>
        <w:rPr>
          <w:rFonts w:hint="eastAsia"/>
        </w:rPr>
        <w:t>c）问题项目清单；</w:t>
      </w:r>
    </w:p>
    <w:p w14:paraId="666E5645">
      <w:pPr>
        <w:pStyle w:val="56"/>
        <w:spacing w:line="360" w:lineRule="auto"/>
        <w:ind w:firstLine="420"/>
      </w:pPr>
      <w:r>
        <w:rPr>
          <w:rFonts w:hint="eastAsia"/>
        </w:rPr>
        <w:t>d）结果判定记录；</w:t>
      </w:r>
    </w:p>
    <w:p w14:paraId="31F0884F">
      <w:pPr>
        <w:pStyle w:val="56"/>
        <w:spacing w:line="360" w:lineRule="auto"/>
        <w:ind w:firstLine="420"/>
      </w:pPr>
      <w:r>
        <w:rPr>
          <w:rFonts w:hint="eastAsia"/>
        </w:rPr>
        <w:t>e）结果审核记录；</w:t>
      </w:r>
    </w:p>
    <w:p w14:paraId="73AA001C">
      <w:pPr>
        <w:pStyle w:val="56"/>
        <w:spacing w:line="360" w:lineRule="auto"/>
        <w:ind w:firstLine="420"/>
      </w:pPr>
      <w:r>
        <w:rPr>
          <w:rFonts w:hint="eastAsia"/>
        </w:rPr>
        <w:t>f）整改通知资料；</w:t>
      </w:r>
    </w:p>
    <w:p w14:paraId="5BD321F7">
      <w:pPr>
        <w:pStyle w:val="56"/>
        <w:spacing w:line="360" w:lineRule="auto"/>
        <w:ind w:firstLine="420"/>
      </w:pPr>
      <w:r>
        <w:rPr>
          <w:rFonts w:hint="eastAsia"/>
        </w:rPr>
        <w:t>g）整改提交资料；</w:t>
      </w:r>
    </w:p>
    <w:p w14:paraId="4DCADADE">
      <w:pPr>
        <w:pStyle w:val="56"/>
        <w:spacing w:line="360" w:lineRule="auto"/>
        <w:ind w:firstLine="420"/>
      </w:pPr>
      <w:r>
        <w:rPr>
          <w:rFonts w:hint="eastAsia"/>
        </w:rPr>
        <w:t>h）整改确认记录；</w:t>
      </w:r>
    </w:p>
    <w:p w14:paraId="7A3B6431">
      <w:pPr>
        <w:pStyle w:val="56"/>
        <w:spacing w:line="360" w:lineRule="auto"/>
        <w:ind w:firstLine="420"/>
      </w:pPr>
      <w:r>
        <w:rPr>
          <w:rFonts w:hint="eastAsia"/>
        </w:rPr>
        <w:t>i）复检申请资料；</w:t>
      </w:r>
    </w:p>
    <w:p w14:paraId="537F9B12">
      <w:pPr>
        <w:pStyle w:val="56"/>
        <w:spacing w:line="360" w:lineRule="auto"/>
        <w:ind w:firstLine="420"/>
      </w:pPr>
      <w:r>
        <w:rPr>
          <w:rFonts w:hint="eastAsia"/>
        </w:rPr>
        <w:t>j）复检实施记录；</w:t>
      </w:r>
    </w:p>
    <w:p w14:paraId="616CD156">
      <w:pPr>
        <w:pStyle w:val="56"/>
        <w:spacing w:line="360" w:lineRule="auto"/>
        <w:ind w:firstLine="420"/>
      </w:pPr>
      <w:r>
        <w:rPr>
          <w:rFonts w:hint="eastAsia"/>
        </w:rPr>
        <w:t>k）复检结论资料；</w:t>
      </w:r>
    </w:p>
    <w:p w14:paraId="543AE036">
      <w:pPr>
        <w:pStyle w:val="56"/>
        <w:spacing w:line="360" w:lineRule="auto"/>
        <w:ind w:firstLine="420"/>
      </w:pPr>
      <w:r>
        <w:rPr>
          <w:rFonts w:hint="eastAsia"/>
        </w:rPr>
        <w:t>l）争议登记与处理资料。</w:t>
      </w:r>
    </w:p>
    <w:p w14:paraId="463C7122">
      <w:pPr>
        <w:pStyle w:val="65"/>
        <w:spacing w:before="120" w:after="120" w:line="360" w:lineRule="auto"/>
      </w:pPr>
      <w:r>
        <w:rPr>
          <w:rFonts w:hint="eastAsia"/>
        </w:rPr>
        <w:t>资料分类要求</w:t>
      </w:r>
    </w:p>
    <w:p w14:paraId="2FE7FB25">
      <w:pPr>
        <w:pStyle w:val="164"/>
        <w:spacing w:line="360" w:lineRule="auto"/>
      </w:pPr>
      <w:r>
        <w:rPr>
          <w:rFonts w:hint="eastAsia"/>
        </w:rPr>
        <w:t>资料可按电梯编号、项目类别、实施时间和处理阶段进行分类管理。</w:t>
      </w:r>
    </w:p>
    <w:p w14:paraId="4FE17ABA">
      <w:pPr>
        <w:pStyle w:val="164"/>
        <w:spacing w:line="360" w:lineRule="auto"/>
      </w:pPr>
      <w:r>
        <w:rPr>
          <w:rFonts w:hint="eastAsia"/>
        </w:rPr>
        <w:t>同一台电梯的原检验检测资料、整改资料和复检资料应保持一体化关联。</w:t>
      </w:r>
    </w:p>
    <w:p w14:paraId="3B66F693">
      <w:pPr>
        <w:pStyle w:val="164"/>
        <w:spacing w:line="360" w:lineRule="auto"/>
      </w:pPr>
      <w:r>
        <w:rPr>
          <w:rFonts w:hint="eastAsia"/>
        </w:rPr>
        <w:t>资料分类不得造成同一项目证据分散、链条断裂或者难以追溯。</w:t>
      </w:r>
    </w:p>
    <w:p w14:paraId="6CA1AB36">
      <w:pPr>
        <w:pStyle w:val="105"/>
        <w:spacing w:before="120" w:after="120" w:line="360" w:lineRule="auto"/>
      </w:pPr>
      <w:r>
        <w:rPr>
          <w:rFonts w:hint="eastAsia"/>
        </w:rPr>
        <w:t>资料归档要求</w:t>
      </w:r>
    </w:p>
    <w:p w14:paraId="52CE5F87">
      <w:pPr>
        <w:pStyle w:val="65"/>
        <w:spacing w:before="120" w:after="120" w:line="360" w:lineRule="auto"/>
      </w:pPr>
      <w:r>
        <w:rPr>
          <w:rFonts w:hint="eastAsia"/>
        </w:rPr>
        <w:t>一般要求</w:t>
      </w:r>
    </w:p>
    <w:p w14:paraId="1F70951F">
      <w:pPr>
        <w:pStyle w:val="164"/>
        <w:spacing w:line="360" w:lineRule="auto"/>
      </w:pPr>
      <w:r>
        <w:rPr>
          <w:rFonts w:hint="eastAsia"/>
        </w:rPr>
        <w:t>资料形成后，应按规定及时归档。</w:t>
      </w:r>
    </w:p>
    <w:p w14:paraId="7F44B2CA">
      <w:pPr>
        <w:pStyle w:val="164"/>
        <w:spacing w:line="360" w:lineRule="auto"/>
      </w:pPr>
      <w:r>
        <w:rPr>
          <w:rFonts w:hint="eastAsia"/>
        </w:rPr>
        <w:t>归档资料应真实、完整、清晰和可检索。</w:t>
      </w:r>
    </w:p>
    <w:p w14:paraId="5850A0CA">
      <w:pPr>
        <w:pStyle w:val="164"/>
        <w:spacing w:line="360" w:lineRule="auto"/>
      </w:pPr>
      <w:r>
        <w:rPr>
          <w:rFonts w:hint="eastAsia"/>
        </w:rPr>
        <w:t>已归档资料不得随意抽换、删改、覆盖或者销毁。</w:t>
      </w:r>
    </w:p>
    <w:p w14:paraId="206AC0FD">
      <w:pPr>
        <w:pStyle w:val="65"/>
        <w:spacing w:before="120" w:after="120" w:line="360" w:lineRule="auto"/>
      </w:pPr>
      <w:r>
        <w:rPr>
          <w:rFonts w:hint="eastAsia"/>
        </w:rPr>
        <w:t>归档控制要求</w:t>
      </w:r>
    </w:p>
    <w:p w14:paraId="07A49F5E">
      <w:pPr>
        <w:pStyle w:val="164"/>
        <w:spacing w:line="360" w:lineRule="auto"/>
      </w:pPr>
      <w:r>
        <w:rPr>
          <w:rFonts w:hint="eastAsia"/>
        </w:rPr>
        <w:t>归档前应核查资料完整性和一致性。</w:t>
      </w:r>
    </w:p>
    <w:p w14:paraId="18B2C3CA">
      <w:pPr>
        <w:pStyle w:val="164"/>
        <w:spacing w:line="360" w:lineRule="auto"/>
      </w:pPr>
      <w:r>
        <w:rPr>
          <w:rFonts w:hint="eastAsia"/>
        </w:rPr>
        <w:t>对记录缺页、项目缺项、证据缺失、编号不一致和资料前后矛盾的，应补充完善后归档。</w:t>
      </w:r>
    </w:p>
    <w:p w14:paraId="39B4B103">
      <w:pPr>
        <w:pStyle w:val="164"/>
        <w:spacing w:line="360" w:lineRule="auto"/>
      </w:pPr>
      <w:r>
        <w:rPr>
          <w:rFonts w:hint="eastAsia"/>
        </w:rPr>
        <w:t>电子资料和纸质资料并存时，应保持内容一致。</w:t>
      </w:r>
    </w:p>
    <w:p w14:paraId="418B07D2">
      <w:pPr>
        <w:pStyle w:val="105"/>
        <w:spacing w:before="120" w:after="120" w:line="360" w:lineRule="auto"/>
      </w:pPr>
      <w:r>
        <w:rPr>
          <w:rFonts w:hint="eastAsia"/>
        </w:rPr>
        <w:t>资料保存与调用要求</w:t>
      </w:r>
    </w:p>
    <w:p w14:paraId="2B9FBF3B">
      <w:pPr>
        <w:pStyle w:val="65"/>
        <w:spacing w:before="120" w:after="120" w:line="360" w:lineRule="auto"/>
      </w:pPr>
      <w:r>
        <w:rPr>
          <w:rFonts w:hint="eastAsia"/>
        </w:rPr>
        <w:t>一般要求</w:t>
      </w:r>
    </w:p>
    <w:p w14:paraId="59F10725">
      <w:pPr>
        <w:pStyle w:val="164"/>
        <w:spacing w:line="360" w:lineRule="auto"/>
      </w:pPr>
      <w:r>
        <w:rPr>
          <w:rFonts w:hint="eastAsia"/>
        </w:rPr>
        <w:t>资料保存应满足监督检查、质量追溯、争议处理和后续复检管理需要。</w:t>
      </w:r>
    </w:p>
    <w:p w14:paraId="78D9C189">
      <w:pPr>
        <w:pStyle w:val="164"/>
        <w:spacing w:line="360" w:lineRule="auto"/>
      </w:pPr>
      <w:r>
        <w:rPr>
          <w:rFonts w:hint="eastAsia"/>
        </w:rPr>
        <w:t>资料调用应按权限实施。</w:t>
      </w:r>
    </w:p>
    <w:p w14:paraId="15139F50">
      <w:pPr>
        <w:pStyle w:val="65"/>
        <w:spacing w:before="120" w:after="120" w:line="360" w:lineRule="auto"/>
      </w:pPr>
      <w:r>
        <w:rPr>
          <w:rFonts w:hint="eastAsia"/>
        </w:rPr>
        <w:t>调用要求</w:t>
      </w:r>
    </w:p>
    <w:p w14:paraId="4A8DBE11">
      <w:pPr>
        <w:pStyle w:val="164"/>
        <w:spacing w:line="360" w:lineRule="auto"/>
      </w:pPr>
      <w:r>
        <w:rPr>
          <w:rFonts w:hint="eastAsia"/>
        </w:rPr>
        <w:t>调用资料时，应进行登记。</w:t>
      </w:r>
    </w:p>
    <w:p w14:paraId="2A36FD2B">
      <w:pPr>
        <w:pStyle w:val="164"/>
        <w:spacing w:line="360" w:lineRule="auto"/>
      </w:pPr>
      <w:r>
        <w:rPr>
          <w:rFonts w:hint="eastAsia"/>
        </w:rPr>
        <w:t>未经授权，不得擅自复制、导出、外传或者向无关人员展示相关资料。</w:t>
      </w:r>
    </w:p>
    <w:p w14:paraId="4D97974A">
      <w:pPr>
        <w:pStyle w:val="164"/>
        <w:spacing w:line="360" w:lineRule="auto"/>
      </w:pPr>
      <w:r>
        <w:rPr>
          <w:rFonts w:hint="eastAsia"/>
        </w:rPr>
        <w:t>对涉及音像资料和关键安全项目资料的调用，应实施重点管理。</w:t>
      </w:r>
    </w:p>
    <w:p w14:paraId="7EB29354">
      <w:pPr>
        <w:pStyle w:val="164"/>
        <w:numPr>
          <w:ilvl w:val="0"/>
          <w:numId w:val="0"/>
        </w:numPr>
        <w:spacing w:line="360" w:lineRule="auto"/>
        <w:rPr>
          <w:rFonts w:hint="eastAsia"/>
        </w:rPr>
      </w:pPr>
    </w:p>
    <w:p w14:paraId="033A0482">
      <w:pPr>
        <w:pStyle w:val="105"/>
        <w:spacing w:before="120" w:after="120" w:line="360" w:lineRule="auto"/>
      </w:pPr>
      <w:r>
        <w:rPr>
          <w:rFonts w:hint="eastAsia"/>
        </w:rPr>
        <w:t>争议处理与资料管理要点</w:t>
      </w:r>
    </w:p>
    <w:p w14:paraId="15DA48D1">
      <w:pPr>
        <w:pStyle w:val="56"/>
        <w:spacing w:line="360" w:lineRule="auto"/>
        <w:ind w:firstLine="420"/>
      </w:pPr>
      <w:r>
        <w:rPr>
          <w:rFonts w:hint="eastAsia"/>
        </w:rPr>
        <w:t>争议处理与资料管理的主要内容见表3。表3给出了电梯检验检测结果判定与复检中争议处理与资料管理的主要内容及控制要点。</w:t>
      </w:r>
    </w:p>
    <w:p w14:paraId="33C10AD7">
      <w:pPr>
        <w:pStyle w:val="112"/>
        <w:spacing w:before="120" w:after="120" w:line="360" w:lineRule="auto"/>
      </w:pPr>
      <w:r>
        <w:rPr>
          <w:rFonts w:hint="eastAsia"/>
        </w:rPr>
        <w:t>电梯检验检测争议处理与资料管理要点表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14:paraId="2C361E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tcPr>
          <w:p w14:paraId="62938054">
            <w:pPr>
              <w:pStyle w:val="178"/>
            </w:pPr>
            <w:r>
              <w:rPr>
                <w:rFonts w:hint="eastAsia"/>
              </w:rPr>
              <w:t>工作类别</w:t>
            </w:r>
          </w:p>
        </w:tc>
        <w:tc>
          <w:tcPr>
            <w:tcW w:w="4814" w:type="dxa"/>
            <w:tcBorders>
              <w:top w:val="single" w:color="auto" w:sz="8" w:space="0"/>
              <w:bottom w:val="single" w:color="auto" w:sz="8" w:space="0"/>
            </w:tcBorders>
          </w:tcPr>
          <w:p w14:paraId="4FAEFA9F">
            <w:pPr>
              <w:pStyle w:val="178"/>
            </w:pPr>
            <w:r>
              <w:rPr>
                <w:rFonts w:hint="eastAsia"/>
              </w:rPr>
              <w:t>主要内容</w:t>
            </w:r>
          </w:p>
        </w:tc>
        <w:tc>
          <w:tcPr>
            <w:tcW w:w="3112" w:type="dxa"/>
            <w:tcBorders>
              <w:top w:val="single" w:color="auto" w:sz="8" w:space="0"/>
              <w:bottom w:val="single" w:color="auto" w:sz="8" w:space="0"/>
            </w:tcBorders>
          </w:tcPr>
          <w:p w14:paraId="06D17304">
            <w:pPr>
              <w:pStyle w:val="178"/>
            </w:pPr>
            <w:r>
              <w:rPr>
                <w:rFonts w:hint="eastAsia"/>
              </w:rPr>
              <w:t>控制要点</w:t>
            </w:r>
          </w:p>
        </w:tc>
      </w:tr>
      <w:tr w14:paraId="58944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tcPr>
          <w:p w14:paraId="3336F128">
            <w:pPr>
              <w:pStyle w:val="178"/>
            </w:pPr>
            <w:r>
              <w:rPr>
                <w:rFonts w:hint="eastAsia"/>
              </w:rPr>
              <w:t>争议识别</w:t>
            </w:r>
          </w:p>
        </w:tc>
        <w:tc>
          <w:tcPr>
            <w:tcW w:w="4814" w:type="dxa"/>
            <w:tcBorders>
              <w:top w:val="single" w:color="auto" w:sz="8" w:space="0"/>
            </w:tcBorders>
          </w:tcPr>
          <w:p w14:paraId="5DCE678B">
            <w:pPr>
              <w:pStyle w:val="178"/>
            </w:pPr>
            <w:r>
              <w:rPr>
                <w:rFonts w:hint="eastAsia"/>
              </w:rPr>
              <w:t>条款适用、问题分类、整改结论、复检范围争议</w:t>
            </w:r>
          </w:p>
        </w:tc>
        <w:tc>
          <w:tcPr>
            <w:tcW w:w="3112" w:type="dxa"/>
            <w:tcBorders>
              <w:top w:val="single" w:color="auto" w:sz="8" w:space="0"/>
            </w:tcBorders>
          </w:tcPr>
          <w:p w14:paraId="52671B6F">
            <w:pPr>
              <w:pStyle w:val="178"/>
            </w:pPr>
            <w:r>
              <w:rPr>
                <w:rFonts w:hint="eastAsia"/>
              </w:rPr>
              <w:t>争议事项应及时登记</w:t>
            </w:r>
          </w:p>
        </w:tc>
      </w:tr>
      <w:tr w14:paraId="570CE3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4B598456">
            <w:pPr>
              <w:pStyle w:val="178"/>
            </w:pPr>
            <w:r>
              <w:rPr>
                <w:rFonts w:hint="eastAsia"/>
              </w:rPr>
              <w:t>证据核查</w:t>
            </w:r>
          </w:p>
        </w:tc>
        <w:tc>
          <w:tcPr>
            <w:tcW w:w="4814" w:type="dxa"/>
          </w:tcPr>
          <w:p w14:paraId="4436AFF5">
            <w:pPr>
              <w:pStyle w:val="178"/>
            </w:pPr>
            <w:r>
              <w:rPr>
                <w:rFonts w:hint="eastAsia"/>
              </w:rPr>
              <w:t>原始记录、音像资料、试验数据、整改资料</w:t>
            </w:r>
          </w:p>
        </w:tc>
        <w:tc>
          <w:tcPr>
            <w:tcW w:w="3112" w:type="dxa"/>
          </w:tcPr>
          <w:p w14:paraId="0109263F">
            <w:pPr>
              <w:pStyle w:val="178"/>
            </w:pPr>
            <w:r>
              <w:rPr>
                <w:rFonts w:hint="eastAsia"/>
              </w:rPr>
              <w:t>原始证据优先，不得补造替代</w:t>
            </w:r>
          </w:p>
        </w:tc>
      </w:tr>
      <w:tr w14:paraId="32D26A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246D65F9">
            <w:pPr>
              <w:pStyle w:val="178"/>
            </w:pPr>
            <w:r>
              <w:rPr>
                <w:rFonts w:hint="eastAsia"/>
              </w:rPr>
              <w:t>风险控制</w:t>
            </w:r>
          </w:p>
        </w:tc>
        <w:tc>
          <w:tcPr>
            <w:tcW w:w="4814" w:type="dxa"/>
          </w:tcPr>
          <w:p w14:paraId="13EDC0C6">
            <w:pPr>
              <w:pStyle w:val="178"/>
            </w:pPr>
            <w:r>
              <w:rPr>
                <w:rFonts w:hint="eastAsia"/>
              </w:rPr>
              <w:t>限制使用、暂停使用、补充核查</w:t>
            </w:r>
          </w:p>
        </w:tc>
        <w:tc>
          <w:tcPr>
            <w:tcW w:w="3112" w:type="dxa"/>
          </w:tcPr>
          <w:p w14:paraId="23093211">
            <w:pPr>
              <w:pStyle w:val="178"/>
            </w:pPr>
            <w:r>
              <w:rPr>
                <w:rFonts w:hint="eastAsia"/>
              </w:rPr>
              <w:t>有安全风险时应先控风险</w:t>
            </w:r>
          </w:p>
        </w:tc>
      </w:tr>
      <w:tr w14:paraId="2C057B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4D42FC4E">
            <w:pPr>
              <w:pStyle w:val="178"/>
            </w:pPr>
            <w:r>
              <w:rPr>
                <w:rFonts w:hint="eastAsia"/>
              </w:rPr>
              <w:t>结果反馈</w:t>
            </w:r>
          </w:p>
        </w:tc>
        <w:tc>
          <w:tcPr>
            <w:tcW w:w="4814" w:type="dxa"/>
          </w:tcPr>
          <w:p w14:paraId="1DD61B1F">
            <w:pPr>
              <w:pStyle w:val="178"/>
            </w:pPr>
            <w:r>
              <w:rPr>
                <w:rFonts w:hint="eastAsia"/>
              </w:rPr>
              <w:t>争议焦点、处理依据、处理结论、后续要求</w:t>
            </w:r>
          </w:p>
        </w:tc>
        <w:tc>
          <w:tcPr>
            <w:tcW w:w="3112" w:type="dxa"/>
          </w:tcPr>
          <w:p w14:paraId="39DB457C">
            <w:pPr>
              <w:pStyle w:val="178"/>
            </w:pPr>
            <w:r>
              <w:rPr>
                <w:rFonts w:hint="eastAsia"/>
              </w:rPr>
              <w:t>应正式反馈并留痕</w:t>
            </w:r>
          </w:p>
        </w:tc>
      </w:tr>
      <w:tr w14:paraId="247A4C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69727FDC">
            <w:pPr>
              <w:pStyle w:val="178"/>
            </w:pPr>
            <w:r>
              <w:rPr>
                <w:rFonts w:hint="eastAsia"/>
              </w:rPr>
              <w:t>资料管理</w:t>
            </w:r>
          </w:p>
        </w:tc>
        <w:tc>
          <w:tcPr>
            <w:tcW w:w="4814" w:type="dxa"/>
          </w:tcPr>
          <w:p w14:paraId="68A00ACA">
            <w:pPr>
              <w:pStyle w:val="178"/>
            </w:pPr>
            <w:r>
              <w:rPr>
                <w:rFonts w:hint="eastAsia"/>
              </w:rPr>
              <w:t>原始、审核、整改、复检、争议资料</w:t>
            </w:r>
          </w:p>
        </w:tc>
        <w:tc>
          <w:tcPr>
            <w:tcW w:w="3112" w:type="dxa"/>
          </w:tcPr>
          <w:p w14:paraId="5ECAC87D">
            <w:pPr>
              <w:pStyle w:val="178"/>
            </w:pPr>
            <w:r>
              <w:rPr>
                <w:rFonts w:hint="eastAsia"/>
              </w:rPr>
              <w:t>链条完整、前后对应、便于追溯</w:t>
            </w:r>
          </w:p>
        </w:tc>
      </w:tr>
      <w:tr w14:paraId="41742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02E27707">
            <w:pPr>
              <w:pStyle w:val="178"/>
            </w:pPr>
            <w:r>
              <w:rPr>
                <w:rFonts w:hint="eastAsia"/>
              </w:rPr>
              <w:t>归档保存</w:t>
            </w:r>
          </w:p>
        </w:tc>
        <w:tc>
          <w:tcPr>
            <w:tcW w:w="4814" w:type="dxa"/>
          </w:tcPr>
          <w:p w14:paraId="44FCED62">
            <w:pPr>
              <w:pStyle w:val="178"/>
            </w:pPr>
            <w:r>
              <w:rPr>
                <w:rFonts w:hint="eastAsia"/>
              </w:rPr>
              <w:t>分类归档、权限调用、电子纸质一致</w:t>
            </w:r>
          </w:p>
        </w:tc>
        <w:tc>
          <w:tcPr>
            <w:tcW w:w="3112" w:type="dxa"/>
          </w:tcPr>
          <w:p w14:paraId="362B9807">
            <w:pPr>
              <w:pStyle w:val="178"/>
            </w:pPr>
            <w:r>
              <w:rPr>
                <w:rFonts w:hint="eastAsia"/>
              </w:rPr>
              <w:t>不得删改、抽换和失控调用</w:t>
            </w:r>
          </w:p>
        </w:tc>
      </w:tr>
    </w:tbl>
    <w:p w14:paraId="0E6D6B89">
      <w:pPr>
        <w:pStyle w:val="105"/>
        <w:spacing w:before="120" w:after="120" w:line="360" w:lineRule="auto"/>
      </w:pPr>
      <w:r>
        <w:rPr>
          <w:rFonts w:hint="eastAsia"/>
        </w:rPr>
        <w:t>禁止性要求</w:t>
      </w:r>
    </w:p>
    <w:p w14:paraId="57AA1F59">
      <w:pPr>
        <w:pStyle w:val="165"/>
        <w:spacing w:line="360" w:lineRule="auto"/>
      </w:pPr>
      <w:r>
        <w:rPr>
          <w:rFonts w:hint="eastAsia"/>
        </w:rPr>
        <w:t>不得对争议事项只作口头协调而不登记、不核查和不形成正式处理记录。</w:t>
      </w:r>
    </w:p>
    <w:p w14:paraId="674E5815">
      <w:pPr>
        <w:pStyle w:val="165"/>
        <w:spacing w:line="360" w:lineRule="auto"/>
      </w:pPr>
      <w:r>
        <w:rPr>
          <w:rFonts w:hint="eastAsia"/>
        </w:rPr>
        <w:t>不得在争议处理中修改、删除或者替换原始记录和关键证据。</w:t>
      </w:r>
    </w:p>
    <w:p w14:paraId="6E9661FC">
      <w:pPr>
        <w:pStyle w:val="165"/>
        <w:spacing w:line="360" w:lineRule="auto"/>
      </w:pPr>
      <w:r>
        <w:rPr>
          <w:rFonts w:hint="eastAsia"/>
        </w:rPr>
        <w:t>不得因争议存在而延迟采取必要安全控制措施。</w:t>
      </w:r>
    </w:p>
    <w:p w14:paraId="39958D0A">
      <w:pPr>
        <w:pStyle w:val="165"/>
        <w:spacing w:line="360" w:lineRule="auto"/>
      </w:pPr>
      <w:r>
        <w:rPr>
          <w:rFonts w:hint="eastAsia"/>
        </w:rPr>
        <w:t>不得资料缺失、编号混乱、前后矛盾而认定结果判定或者复检活动合规。</w:t>
      </w:r>
    </w:p>
    <w:p w14:paraId="6101F54B">
      <w:pPr>
        <w:pStyle w:val="165"/>
        <w:spacing w:line="360" w:lineRule="auto"/>
      </w:pPr>
      <w:r>
        <w:rPr>
          <w:rFonts w:hint="eastAsia"/>
        </w:rPr>
        <w:t>不得未经授权擅自调用、复制、传播或者泄露相关资料。</w:t>
      </w:r>
    </w:p>
    <w:p w14:paraId="715C4ADB">
      <w:pPr>
        <w:pStyle w:val="104"/>
        <w:spacing w:before="240" w:after="240" w:line="360" w:lineRule="auto"/>
      </w:pPr>
      <w:bookmarkStart w:id="55" w:name="_Toc228615097"/>
      <w:r>
        <w:rPr>
          <w:rFonts w:hint="eastAsia"/>
        </w:rPr>
        <w:t>附则</w:t>
      </w:r>
      <w:bookmarkEnd w:id="55"/>
    </w:p>
    <w:p w14:paraId="1EA89726">
      <w:pPr>
        <w:pStyle w:val="162"/>
        <w:spacing w:line="360" w:lineRule="auto"/>
      </w:pPr>
      <w:r>
        <w:rPr>
          <w:rFonts w:hint="eastAsia"/>
        </w:rPr>
        <w:t>开展电梯检验检测结果判定与复检活动的机构，可根据设备类型、项目特点和管理需要，在不低于本文件要求的前提下，制定实施细则。</w:t>
      </w:r>
    </w:p>
    <w:p w14:paraId="600DCB46">
      <w:pPr>
        <w:pStyle w:val="162"/>
        <w:spacing w:line="360" w:lineRule="auto"/>
      </w:pPr>
      <w:r>
        <w:rPr>
          <w:rFonts w:hint="eastAsia"/>
        </w:rPr>
        <w:t>对公众聚集场所电梯、老旧电梯、故障频发电梯和存在争议事项较多的电梯，可在本文件基础上提高结果审核、整改确认和复检管理要求。</w:t>
      </w:r>
    </w:p>
    <w:p w14:paraId="798DD6F5">
      <w:pPr>
        <w:pStyle w:val="162"/>
        <w:spacing w:line="360" w:lineRule="auto"/>
      </w:pPr>
      <w:r>
        <w:rPr>
          <w:rFonts w:hint="eastAsia"/>
        </w:rPr>
        <w:t>本文件未规定的事项，应符合国家有关法律法规、现行特种设备安全技术规范和监督管理规定。</w:t>
      </w:r>
    </w:p>
    <w:bookmarkEnd w:id="26"/>
    <w:p w14:paraId="285226B2">
      <w:pPr>
        <w:pStyle w:val="56"/>
        <w:spacing w:line="360" w:lineRule="auto"/>
        <w:ind w:firstLine="0" w:firstLineChars="0"/>
        <w:jc w:val="center"/>
      </w:pPr>
      <w:bookmarkStart w:id="56" w:name="BookMark8"/>
      <w:r>
        <w:drawing>
          <wp:inline distT="0" distB="0" distL="0" distR="0">
            <wp:extent cx="1485900" cy="317500"/>
            <wp:effectExtent l="0" t="0" r="0" b="6350"/>
            <wp:docPr id="1112501494" name="图片 3"/>
            <wp:cNvGraphicFramePr/>
            <a:graphic xmlns:a="http://schemas.openxmlformats.org/drawingml/2006/main">
              <a:graphicData uri="http://schemas.openxmlformats.org/drawingml/2006/picture">
                <pic:pic xmlns:pic="http://schemas.openxmlformats.org/drawingml/2006/picture">
                  <pic:nvPicPr>
                    <pic:cNvPr id="1112501494"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FA2F1">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18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EE5E6">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BC171">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0266—2026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0266—2026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4782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0266—2026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0266—2026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3950F">
    <w:pPr>
      <w:pStyle w:val="61"/>
      <w:rPr>
        <w:rFonts w:hint="eastAsia"/>
      </w:rPr>
    </w:pPr>
    <w:r>
      <w:fldChar w:fldCharType="begin"/>
    </w:r>
    <w:r>
      <w:instrText xml:space="preserve"> STYLEREF  标准文件_文件编号  \* MERGEFORMAT </w:instrText>
    </w:r>
    <w:r>
      <w:fldChar w:fldCharType="separate"/>
    </w:r>
    <w:r>
      <w:t>T/XZBX 0266—2026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A776E">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0266—2026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0266—2026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0266—2026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0C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F11"/>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5F3A"/>
    <w:rsid w:val="00146388"/>
    <w:rsid w:val="001478E4"/>
    <w:rsid w:val="0015163C"/>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F8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73E"/>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426"/>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5F30"/>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40E"/>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74F8"/>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2BA9"/>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A7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458"/>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1BA"/>
    <w:rsid w:val="00E35D1E"/>
    <w:rsid w:val="00E364F9"/>
    <w:rsid w:val="00E365FA"/>
    <w:rsid w:val="00E36789"/>
    <w:rsid w:val="00E424CA"/>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8781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0129F066">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289246F8">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31B3166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45F3A"/>
    <w:rsid w:val="001C1BB0"/>
    <w:rsid w:val="002E6AD9"/>
    <w:rsid w:val="003646F4"/>
    <w:rsid w:val="003A5F41"/>
    <w:rsid w:val="003F62CE"/>
    <w:rsid w:val="004A6324"/>
    <w:rsid w:val="004B0426"/>
    <w:rsid w:val="005B18DA"/>
    <w:rsid w:val="005E4B5C"/>
    <w:rsid w:val="006141C6"/>
    <w:rsid w:val="0064239E"/>
    <w:rsid w:val="00652769"/>
    <w:rsid w:val="00707352"/>
    <w:rsid w:val="00796662"/>
    <w:rsid w:val="008C0337"/>
    <w:rsid w:val="008E6778"/>
    <w:rsid w:val="009C2BA9"/>
    <w:rsid w:val="00AA2819"/>
    <w:rsid w:val="00AE100B"/>
    <w:rsid w:val="00AE1DC6"/>
    <w:rsid w:val="00D90458"/>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27</Pages>
  <Words>6481</Words>
  <Characters>6754</Characters>
  <Lines>97</Lines>
  <Paragraphs>27</Paragraphs>
  <TotalTime>141</TotalTime>
  <ScaleCrop>false</ScaleCrop>
  <LinksUpToDate>false</LinksUpToDate>
  <CharactersWithSpaces>6833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2026-05-19T06:13:34Z</dcterms:modified>
  <dc:title>团体标准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E9B209CED5A947DD8017358A97A04AFA_12</vt:lpwstr>
  </property>
</Properties>
</file>