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11.02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11.020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C 05"/>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C 05</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65"/>
            </w:textInput>
          </w:ffData>
        </w:fldChar>
      </w:r>
      <w:bookmarkStart w:id="6" w:name="NSTD_CODE_F"/>
      <w:r>
        <w:instrText xml:space="preserve"> FORMTEXT </w:instrText>
      </w:r>
      <w:r>
        <w:fldChar w:fldCharType="separate"/>
      </w:r>
      <w:r>
        <w:t>0265</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癌症早期筛查质量控制与管理规程"/>
            </w:textInput>
          </w:ffData>
        </w:fldChar>
      </w:r>
      <w:bookmarkStart w:id="9" w:name="CSTD_NAME"/>
      <w:r>
        <w:rPr>
          <w:rFonts w:hint="eastAsia"/>
        </w:rPr>
        <w:instrText xml:space="preserve"> FORMTEXT </w:instrText>
      </w:r>
      <w:r>
        <w:rPr>
          <w:rFonts w:hint="eastAsia"/>
        </w:rPr>
        <w:fldChar w:fldCharType="separate"/>
      </w:r>
      <w:r>
        <w:rPr>
          <w:rFonts w:hint="eastAsia"/>
        </w:rPr>
        <w:t>癌症早期筛查质量控制与管理规程</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ode of practice for quality control and management of early cancer screen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Code of practice for quality control and management of early cancer screening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37FA8CD9">
      <w:pPr>
        <w:pStyle w:val="91"/>
        <w:spacing w:after="360"/>
      </w:pPr>
      <w:bookmarkStart w:id="21" w:name="BookMark1"/>
      <w:r>
        <w:rPr>
          <w:rFonts w:hint="eastAsia"/>
          <w:spacing w:val="320"/>
        </w:rPr>
        <w:t>目</w:t>
      </w:r>
      <w:r>
        <w:rPr>
          <w:rFonts w:hint="eastAsia"/>
        </w:rPr>
        <w:t>次</w:t>
      </w:r>
    </w:p>
    <w:p w14:paraId="12FEDCD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"_Toc228614101"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_Toc228614101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566B6E5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"_Toc228614102"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_Toc228614102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7274BC9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"_Toc228614103"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_Toc228614103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3740DE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"_Toc228614104"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_Toc228614104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645318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"_Toc228614105"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_Toc228614105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78ACCA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"_Toc228614106"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_Toc228614106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2D9379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"_Toc228614107" </w:instrText>
      </w:r>
      <w:r>
        <w:fldChar w:fldCharType="separate"/>
      </w:r>
      <w:r>
        <w:rPr>
          <w:rStyle w:val="32"/>
        </w:rPr>
        <w:t>5  筛查组织与机构管理要求</w:t>
      </w:r>
      <w:r>
        <w:rPr>
          <w:rFonts w:hint="eastAsia"/>
        </w:rPr>
        <w:tab/>
      </w:r>
      <w:r>
        <w:rPr>
          <w:rFonts w:hint="eastAsia"/>
        </w:rPr>
        <w:fldChar w:fldCharType="begin"/>
      </w:r>
      <w:r>
        <w:rPr>
          <w:rFonts w:hint="eastAsia"/>
        </w:rPr>
        <w:instrText xml:space="preserve"> </w:instrText>
      </w:r>
      <w:r>
        <w:instrText xml:space="preserve">PAGEREF _Toc228614107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0236ACD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"_Toc228614108" </w:instrText>
      </w:r>
      <w:r>
        <w:fldChar w:fldCharType="separate"/>
      </w:r>
      <w:r>
        <w:rPr>
          <w:rStyle w:val="32"/>
        </w:rPr>
        <w:t>6  筛查对象管理与流程控制要求</w:t>
      </w:r>
      <w:r>
        <w:rPr>
          <w:rFonts w:hint="eastAsia"/>
        </w:rPr>
        <w:tab/>
      </w:r>
      <w:r>
        <w:rPr>
          <w:rFonts w:hint="eastAsia"/>
        </w:rPr>
        <w:fldChar w:fldCharType="begin"/>
      </w:r>
      <w:r>
        <w:rPr>
          <w:rFonts w:hint="eastAsia"/>
        </w:rPr>
        <w:instrText xml:space="preserve"> </w:instrText>
      </w:r>
      <w:r>
        <w:instrText xml:space="preserve">PAGEREF _Toc228614108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0691A02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"_Toc228614109" </w:instrText>
      </w:r>
      <w:r>
        <w:fldChar w:fldCharType="separate"/>
      </w:r>
      <w:r>
        <w:rPr>
          <w:rStyle w:val="32"/>
        </w:rPr>
        <w:t>7  检查检测质量控制要求</w:t>
      </w:r>
      <w:r>
        <w:rPr>
          <w:rFonts w:hint="eastAsia"/>
        </w:rPr>
        <w:tab/>
      </w:r>
      <w:r>
        <w:rPr>
          <w:rFonts w:hint="eastAsia"/>
        </w:rPr>
        <w:fldChar w:fldCharType="begin"/>
      </w:r>
      <w:r>
        <w:rPr>
          <w:rFonts w:hint="eastAsia"/>
        </w:rPr>
        <w:instrText xml:space="preserve"> </w:instrText>
      </w:r>
      <w:r>
        <w:instrText xml:space="preserve">PAGEREF _Toc228614109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1BB9CF2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"_Toc228614110" </w:instrText>
      </w:r>
      <w:r>
        <w:fldChar w:fldCharType="separate"/>
      </w:r>
      <w:r>
        <w:rPr>
          <w:rStyle w:val="32"/>
        </w:rPr>
        <w:t>8  结果判定与报告管理要求</w:t>
      </w:r>
      <w:r>
        <w:rPr>
          <w:rFonts w:hint="eastAsia"/>
        </w:rPr>
        <w:tab/>
      </w:r>
      <w:r>
        <w:rPr>
          <w:rFonts w:hint="eastAsia"/>
        </w:rPr>
        <w:fldChar w:fldCharType="begin"/>
      </w:r>
      <w:r>
        <w:rPr>
          <w:rFonts w:hint="eastAsia"/>
        </w:rPr>
        <w:instrText xml:space="preserve"> </w:instrText>
      </w:r>
      <w:r>
        <w:instrText xml:space="preserve">PAGEREF _Toc228614110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424D444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"_Toc228614111" </w:instrText>
      </w:r>
      <w:r>
        <w:fldChar w:fldCharType="separate"/>
      </w:r>
      <w:r>
        <w:rPr>
          <w:rStyle w:val="32"/>
        </w:rPr>
        <w:t>9  转诊随访与信息管理要求</w:t>
      </w:r>
      <w:r>
        <w:rPr>
          <w:rFonts w:hint="eastAsia"/>
        </w:rPr>
        <w:tab/>
      </w:r>
      <w:r>
        <w:rPr>
          <w:rFonts w:hint="eastAsia"/>
        </w:rPr>
        <w:fldChar w:fldCharType="begin"/>
      </w:r>
      <w:r>
        <w:rPr>
          <w:rFonts w:hint="eastAsia"/>
        </w:rPr>
        <w:instrText xml:space="preserve"> </w:instrText>
      </w:r>
      <w:r>
        <w:instrText xml:space="preserve">PAGEREF _Toc228614111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29424EE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"_Toc228614112" </w:instrText>
      </w:r>
      <w:r>
        <w:fldChar w:fldCharType="separate"/>
      </w:r>
      <w:r>
        <w:rPr>
          <w:rStyle w:val="32"/>
        </w:rPr>
        <w:t>10  质量评价与持续改进要求</w:t>
      </w:r>
      <w:r>
        <w:rPr>
          <w:rFonts w:hint="eastAsia"/>
        </w:rPr>
        <w:tab/>
      </w:r>
      <w:r>
        <w:rPr>
          <w:rFonts w:hint="eastAsia"/>
        </w:rPr>
        <w:fldChar w:fldCharType="begin"/>
      </w:r>
      <w:r>
        <w:rPr>
          <w:rFonts w:hint="eastAsia"/>
        </w:rPr>
        <w:instrText xml:space="preserve"> </w:instrText>
      </w:r>
      <w:r>
        <w:instrText xml:space="preserve">PAGEREF _Toc228614112 \h</w:instrText>
      </w:r>
      <w:r>
        <w:rPr>
          <w:rFonts w:hint="eastAsia"/>
        </w:rPr>
        <w:instrText xml:space="preserve"> </w:instrText>
      </w:r>
      <w:r>
        <w:rPr>
          <w:rFonts w:hint="eastAsia"/>
        </w:rPr>
        <w:fldChar w:fldCharType="separate"/>
      </w:r>
      <w:r>
        <w:t>30</w:t>
      </w:r>
      <w:r>
        <w:rPr>
          <w:rFonts w:hint="eastAsia"/>
        </w:rPr>
        <w:fldChar w:fldCharType="end"/>
      </w:r>
      <w:r>
        <w:rPr>
          <w:rFonts w:hint="eastAsia"/>
        </w:rPr>
        <w:fldChar w:fldCharType="end"/>
      </w:r>
    </w:p>
    <w:p w14:paraId="6FDA892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"_Toc228614113" </w:instrText>
      </w:r>
      <w:r>
        <w:fldChar w:fldCharType="separate"/>
      </w:r>
      <w:r>
        <w:rPr>
          <w:rStyle w:val="32"/>
        </w:rPr>
        <w:t>11  资料管理</w:t>
      </w:r>
      <w:r>
        <w:rPr>
          <w:rFonts w:hint="eastAsia"/>
        </w:rPr>
        <w:tab/>
      </w:r>
      <w:r>
        <w:rPr>
          <w:rFonts w:hint="eastAsia"/>
        </w:rPr>
        <w:fldChar w:fldCharType="begin"/>
      </w:r>
      <w:r>
        <w:rPr>
          <w:rFonts w:hint="eastAsia"/>
        </w:rPr>
        <w:instrText xml:space="preserve"> </w:instrText>
      </w:r>
      <w:r>
        <w:instrText xml:space="preserve">PAGEREF _Toc228614113 \h</w:instrText>
      </w:r>
      <w:r>
        <w:rPr>
          <w:rFonts w:hint="eastAsia"/>
        </w:rPr>
        <w:instrText xml:space="preserve"> </w:instrText>
      </w:r>
      <w:r>
        <w:rPr>
          <w:rFonts w:hint="eastAsia"/>
        </w:rPr>
        <w:fldChar w:fldCharType="separate"/>
      </w:r>
      <w:r>
        <w:t>35</w:t>
      </w:r>
      <w:r>
        <w:rPr>
          <w:rFonts w:hint="eastAsia"/>
        </w:rPr>
        <w:fldChar w:fldCharType="end"/>
      </w:r>
      <w:r>
        <w:rPr>
          <w:rFonts w:hint="eastAsia"/>
        </w:rPr>
        <w:fldChar w:fldCharType="end"/>
      </w:r>
    </w:p>
    <w:p w14:paraId="2DCC79B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"_Toc228614114" </w:instrText>
      </w:r>
      <w:r>
        <w:fldChar w:fldCharType="separate"/>
      </w:r>
      <w:r>
        <w:rPr>
          <w:rStyle w:val="32"/>
        </w:rPr>
        <w:t>12  附则</w:t>
      </w:r>
      <w:r>
        <w:rPr>
          <w:rFonts w:hint="eastAsia"/>
        </w:rPr>
        <w:tab/>
      </w:r>
      <w:r>
        <w:rPr>
          <w:rFonts w:hint="eastAsia"/>
        </w:rPr>
        <w:fldChar w:fldCharType="begin"/>
      </w:r>
      <w:r>
        <w:rPr>
          <w:rFonts w:hint="eastAsia"/>
        </w:rPr>
        <w:instrText xml:space="preserve"> </w:instrText>
      </w:r>
      <w:r>
        <w:instrText xml:space="preserve">PAGEREF _Toc228614114 \h</w:instrText>
      </w:r>
      <w:r>
        <w:rPr>
          <w:rFonts w:hint="eastAsia"/>
        </w:rPr>
        <w:instrText xml:space="preserve"> </w:instrText>
      </w:r>
      <w:r>
        <w:rPr>
          <w:rFonts w:hint="eastAsia"/>
        </w:rPr>
        <w:fldChar w:fldCharType="separate"/>
      </w:r>
      <w:r>
        <w:t>37</w:t>
      </w:r>
      <w:r>
        <w:rPr>
          <w:rFonts w:hint="eastAsia"/>
        </w:rPr>
        <w:fldChar w:fldCharType="end"/>
      </w:r>
      <w:r>
        <w:rPr>
          <w:rFonts w:hint="eastAsia"/>
        </w:rPr>
        <w:fldChar w:fldCharType="end"/>
      </w:r>
    </w:p>
    <w:p w14:paraId="0F68C23E">
      <w:pPr>
        <w:pStyle w:val="91"/>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14101"/>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bookmarkStart w:id="61" w:name="_GoBack"/>
      <w:bookmarkEnd w:id="61"/>
    </w:p>
    <w:p w14:paraId="13021025">
      <w:pPr>
        <w:pStyle w:val="56"/>
        <w:spacing w:line="360" w:lineRule="auto"/>
        <w:ind w:firstLine="420"/>
      </w:pPr>
      <w:r>
        <w:rPr>
          <w:rFonts w:hint="eastAsia"/>
        </w:rPr>
        <w:t>本文件起草单位：</w:t>
      </w:r>
      <w:r>
        <w:t>山东省立第三医院。</w:t>
      </w:r>
    </w:p>
    <w:p w14:paraId="784B3C9B">
      <w:pPr>
        <w:pStyle w:val="56"/>
        <w:spacing w:line="360" w:lineRule="auto"/>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张琼。</w:t>
      </w:r>
    </w:p>
    <w:bookmarkEnd w:id="23"/>
    <w:p w14:paraId="66D0A2F3">
      <w:pPr>
        <w:pStyle w:val="89"/>
        <w:spacing w:after="360"/>
      </w:pPr>
      <w:bookmarkStart w:id="24" w:name="_Toc228614102"/>
      <w:bookmarkStart w:id="25" w:name="BookMark3"/>
      <w:r>
        <w:rPr>
          <w:spacing w:val="320"/>
        </w:rPr>
        <w:t>引</w:t>
      </w:r>
      <w:r>
        <w:t>言</w:t>
      </w:r>
      <w:bookmarkEnd w:id="24"/>
    </w:p>
    <w:p w14:paraId="4658C11C">
      <w:pPr>
        <w:pStyle w:val="56"/>
        <w:spacing w:line="360" w:lineRule="auto"/>
        <w:ind w:firstLine="420"/>
      </w:pPr>
      <w:r>
        <w:rPr>
          <w:rFonts w:hint="eastAsia"/>
        </w:rPr>
        <w:t>癌症早期筛查的核心价值，在于通过风险评估、初筛、复筛、转诊和随访等连续环节，尽可能在癌前病变或者早期癌症阶段发现异常对象，促进早诊早治，提升防治效果。国家卫生健康委现行工作方案已分别对宫颈癌、乳腺癌、肺癌和结直肠癌筛查工作提出明确要求，其中既包括筛查对象、高风险人群界定、筛查方法和筛查频率，也包括异常结果管理、转诊随访、信息管理、质量控制和考核评估等内容，说明癌症筛查已不再是单一检查行为，而是覆盖组织实施、技术路径和全过程管理的系统性工作。</w:t>
      </w:r>
    </w:p>
    <w:p w14:paraId="71915445">
      <w:pPr>
        <w:pStyle w:val="56"/>
        <w:spacing w:line="360" w:lineRule="auto"/>
        <w:ind w:firstLine="420"/>
      </w:pPr>
      <w:r>
        <w:rPr>
          <w:rFonts w:hint="eastAsia"/>
        </w:rPr>
        <w:t>但在实际工作中，癌症早期筛查仍存在一些突出问题：部分筛查机构质量管理职责不清，人员培训和资质管理不均衡，筛查对象识别不够精准，筛查流程衔接不顺畅，结果判定标准执行不一致，阳性对象转诊率和随访完成率不足，信息登记、数据审核和质量追溯机制不完善，导致筛查覆盖率、筛查质量和早诊早治效果之间存在脱节。国家卫生健康委关于宫颈癌、乳腺癌筛查工作的文件解读已明确提出，筛查工作不仅应关注服务覆盖，还应同步关注筛查质量、异常或可疑病例随访管理、信息管理和考核评估。</w:t>
      </w:r>
    </w:p>
    <w:p w14:paraId="6F513F62">
      <w:pPr>
        <w:pStyle w:val="56"/>
        <w:spacing w:line="360" w:lineRule="auto"/>
        <w:ind w:firstLine="420"/>
      </w:pPr>
      <w:r>
        <w:rPr>
          <w:rFonts w:hint="eastAsia"/>
        </w:rPr>
        <w:t>本文件立足癌症早期筛查工作实际，围绕“对象明确、流程规范、结果准确、转诊及时、随访连续、信息完整、质控有效”的总体要求，对癌症筛查全过程质量控制与管理提出规范要求。其目的在于统一癌症早期筛查质量控制与管理的基本原则、关键节点和控制要求，减少因组织不规范、流程不衔接、判定不一致和随访不闭环造成的管理缺陷，提升筛查规范性、筛查可及性和筛查有效性。</w:t>
      </w:r>
    </w:p>
    <w:p w14:paraId="7031C0A8">
      <w:pPr>
        <w:pStyle w:val="56"/>
        <w:spacing w:line="360" w:lineRule="auto"/>
        <w:ind w:firstLine="420"/>
      </w:pPr>
      <w:r>
        <w:rPr>
          <w:rFonts w:hint="eastAsia"/>
        </w:rPr>
        <w:t>本文件强调，癌症早期筛查质量管理的重点不在于单纯提高筛查数量，而在于建立以质量为核心、以结果为导向、以转诊随访为延伸、以信息追溯为保障的全过程管理体系。凡纳入本文件管理范围的筛查活动，均应做到筛查对象有依据、筛查流程有标准、结果判定有规则、异常对象有转诊、阳性对象有追踪、质量问题有整改、全过程资料有留痕。对重点癌种筛查项目、高风险人群筛查项目和大规模人群筛查项目，应实施更加严格的质量控制和管理要求。</w:t>
      </w:r>
    </w:p>
    <w:p w14:paraId="506FF974">
      <w:pPr>
        <w:pStyle w:val="56"/>
        <w:spacing w:line="360" w:lineRule="auto"/>
        <w:ind w:firstLine="420"/>
      </w:pPr>
      <w:r>
        <w:rPr>
          <w:rFonts w:hint="eastAsia"/>
        </w:rPr>
        <w:t>本文件的制定与实施，有助于推动癌症早期筛查工作由项目化、分散化推进向规范化、连续化和闭环化管理转变，有助于提高筛查服务质量、异常结果处置效率和早诊早治成效，为落实癌症防治行动、完善癌症筛查长效机制和提升群众健康水平提供支撑。</w:t>
      </w:r>
    </w:p>
    <w:p w14:paraId="41C59179">
      <w:pPr>
        <w:pStyle w:val="56"/>
        <w:ind w:firstLine="420"/>
      </w:pPr>
    </w:p>
    <w:p w14:paraId="3AC90217">
      <w:pPr>
        <w:pStyle w:val="56"/>
        <w:ind w:firstLine="420"/>
        <w:sectPr>
          <w:headerReference r:id="rId17" w:type="default"/>
          <w:footerReference r:id="rId19" w:type="default"/>
          <w:headerReference r:id="rId18" w:type="even"/>
          <w:footerReference r:id="rId20"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癌症早期筛查质量控制与管理规程</w:t>
          </w:r>
        </w:p>
      </w:sdtContent>
    </w:sdt>
    <w:bookmarkEnd w:id="27"/>
    <w:p w14:paraId="3DB22445">
      <w:pPr>
        <w:pStyle w:val="104"/>
        <w:spacing w:before="240" w:after="240" w:line="360" w:lineRule="auto"/>
      </w:pPr>
      <w:bookmarkStart w:id="28" w:name="_Toc24884218"/>
      <w:bookmarkStart w:id="29" w:name="_Toc26648465"/>
      <w:bookmarkStart w:id="30" w:name="_Toc24884211"/>
      <w:bookmarkStart w:id="31" w:name="_Toc17233325"/>
      <w:bookmarkStart w:id="32" w:name="_Toc17233333"/>
      <w:bookmarkStart w:id="33" w:name="_Toc97192964"/>
      <w:bookmarkStart w:id="34" w:name="_Toc228614103"/>
      <w:bookmarkStart w:id="35" w:name="_Toc26986530"/>
      <w:bookmarkStart w:id="36" w:name="_Toc26986771"/>
      <w:bookmarkStart w:id="37" w:name="_Toc26718930"/>
      <w:r>
        <w:rPr>
          <w:rFonts w:hint="eastAsia"/>
        </w:rPr>
        <w:t>范围</w:t>
      </w:r>
      <w:bookmarkEnd w:id="28"/>
      <w:bookmarkEnd w:id="29"/>
      <w:bookmarkEnd w:id="30"/>
      <w:bookmarkEnd w:id="31"/>
      <w:bookmarkEnd w:id="32"/>
      <w:bookmarkEnd w:id="33"/>
      <w:bookmarkEnd w:id="34"/>
      <w:bookmarkEnd w:id="35"/>
      <w:bookmarkEnd w:id="36"/>
      <w:bookmarkEnd w:id="37"/>
    </w:p>
    <w:p w14:paraId="12DD23CB">
      <w:pPr>
        <w:pStyle w:val="56"/>
        <w:spacing w:line="360" w:lineRule="auto"/>
        <w:ind w:firstLine="420"/>
      </w:pPr>
      <w:bookmarkStart w:id="38" w:name="_Toc17233326"/>
      <w:bookmarkStart w:id="39" w:name="_Toc17233334"/>
      <w:bookmarkStart w:id="40" w:name="_Toc24884219"/>
      <w:bookmarkStart w:id="41" w:name="_Toc26648466"/>
      <w:bookmarkStart w:id="42" w:name="_Toc24884212"/>
      <w:r>
        <w:rPr>
          <w:rFonts w:hint="eastAsia"/>
        </w:rPr>
        <w:t>本文件规定了癌症早期筛查质量控制与管理的基本规定、筛查组织与机构管理要求、筛查对象管理与流程控制要求、检查检测质量控制要求、结果判定与报告管理要求、转诊随访与信息管理要求、质量评价与持续改进要求以及资料管理等内容。</w:t>
      </w:r>
    </w:p>
    <w:p w14:paraId="4D3E44F1">
      <w:pPr>
        <w:pStyle w:val="56"/>
        <w:spacing w:line="360" w:lineRule="auto"/>
        <w:ind w:firstLine="420"/>
      </w:pPr>
      <w:r>
        <w:rPr>
          <w:rFonts w:hint="eastAsia"/>
        </w:rPr>
        <w:t>本文件适用于医疗卫生机构、体检机构、癌症筛查项目实施机构和相关技术支撑机构开展的癌症早期筛查质量控制与管理活动。</w:t>
      </w:r>
    </w:p>
    <w:p w14:paraId="3733B2AD">
      <w:pPr>
        <w:pStyle w:val="104"/>
        <w:spacing w:before="240" w:after="240" w:line="360" w:lineRule="auto"/>
      </w:pPr>
      <w:bookmarkStart w:id="43" w:name="_Toc97192965"/>
      <w:bookmarkStart w:id="44" w:name="_Toc26986531"/>
      <w:bookmarkStart w:id="45" w:name="_Toc26986772"/>
      <w:bookmarkStart w:id="46" w:name="_Toc26718931"/>
      <w:bookmarkStart w:id="47" w:name="_Toc228614104"/>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60CA25F">
      <w:pPr>
        <w:pStyle w:val="56"/>
        <w:spacing w:line="360" w:lineRule="auto"/>
        <w:ind w:firstLine="420"/>
      </w:pPr>
      <w:r>
        <w:rPr>
          <w:rFonts w:hint="eastAsia"/>
        </w:rPr>
        <w:t>GB/T 1.1—2020 标准化工作导则  第1部分：标准化文件的结构和起草规则</w:t>
      </w:r>
    </w:p>
    <w:p w14:paraId="2CA32862">
      <w:pPr>
        <w:pStyle w:val="56"/>
        <w:spacing w:line="360" w:lineRule="auto"/>
        <w:ind w:firstLine="420"/>
      </w:pPr>
      <w:r>
        <w:rPr>
          <w:rFonts w:hint="eastAsia"/>
        </w:rPr>
        <w:t>GB/T 19000—2016 质量管理体系  基础和术语</w:t>
      </w:r>
    </w:p>
    <w:p w14:paraId="61847FD4">
      <w:pPr>
        <w:pStyle w:val="56"/>
        <w:spacing w:line="360" w:lineRule="auto"/>
        <w:ind w:firstLine="420"/>
      </w:pPr>
      <w:r>
        <w:rPr>
          <w:rFonts w:hint="eastAsia"/>
        </w:rPr>
        <w:t>GB/T 19001—2016 质量管理体系  要求</w:t>
      </w:r>
    </w:p>
    <w:p w14:paraId="07A7F860">
      <w:pPr>
        <w:pStyle w:val="56"/>
        <w:spacing w:line="360" w:lineRule="auto"/>
        <w:ind w:firstLine="420"/>
      </w:pPr>
      <w:r>
        <w:rPr>
          <w:rFonts w:hint="eastAsia"/>
        </w:rPr>
        <w:t>GB/T 22239—2019 信息安全技术  网络安全等级保护基本要求</w:t>
      </w:r>
    </w:p>
    <w:p w14:paraId="51561FB5">
      <w:pPr>
        <w:pStyle w:val="56"/>
        <w:spacing w:line="360" w:lineRule="auto"/>
        <w:ind w:firstLine="420"/>
      </w:pPr>
      <w:r>
        <w:t>WS 375.22</w:t>
      </w:r>
      <w:r>
        <w:rPr>
          <w:rFonts w:hint="eastAsia"/>
        </w:rPr>
        <w:t>—</w:t>
      </w:r>
      <w:r>
        <w:t>2016</w:t>
      </w:r>
      <w:r>
        <w:rPr>
          <w:rFonts w:hint="eastAsia"/>
        </w:rPr>
        <w:t xml:space="preserve"> 疾病控制基本数据集  第22部分：宫颈癌筛查登记</w:t>
      </w:r>
    </w:p>
    <w:p w14:paraId="6AE74F75">
      <w:pPr>
        <w:pStyle w:val="56"/>
        <w:spacing w:line="360" w:lineRule="auto"/>
        <w:ind w:firstLine="420"/>
      </w:pPr>
      <w:r>
        <w:t>WS 375.23</w:t>
      </w:r>
      <w:r>
        <w:rPr>
          <w:rFonts w:hint="eastAsia"/>
        </w:rPr>
        <w:t>—</w:t>
      </w:r>
      <w:r>
        <w:t>2016</w:t>
      </w:r>
      <w:r>
        <w:rPr>
          <w:rFonts w:hint="eastAsia"/>
        </w:rPr>
        <w:t xml:space="preserve"> 疾病控制基本数据集  第23部分：大肠癌筛查登记</w:t>
      </w:r>
    </w:p>
    <w:p w14:paraId="51F02A4E">
      <w:pPr>
        <w:pStyle w:val="104"/>
        <w:spacing w:before="240" w:after="240" w:line="360" w:lineRule="auto"/>
      </w:pPr>
      <w:bookmarkStart w:id="48" w:name="_Toc97192966"/>
      <w:bookmarkStart w:id="49" w:name="_Toc228614105"/>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DC9FE6C">
          <w:pPr>
            <w:pStyle w:val="56"/>
            <w:spacing w:line="360" w:lineRule="auto"/>
            <w:ind w:firstLine="420"/>
          </w:pPr>
          <w:bookmarkStart w:id="50" w:name="_Toc26986532"/>
          <w:bookmarkEnd w:id="50"/>
          <w:r>
            <w:t>下列术语和定义适用于本文件。</w:t>
          </w:r>
        </w:p>
      </w:sdtContent>
    </w:sdt>
    <w:p w14:paraId="7EFDCB9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癌症早期筛查 early cancer screening</w:t>
      </w:r>
    </w:p>
    <w:p w14:paraId="7BE5E970">
      <w:pPr>
        <w:pStyle w:val="56"/>
        <w:spacing w:line="360" w:lineRule="auto"/>
        <w:ind w:firstLine="420"/>
      </w:pPr>
      <w:r>
        <w:rPr>
          <w:rFonts w:hint="eastAsia"/>
        </w:rPr>
        <w:t>针对特定人群或者特定高风险人群，按照既定技术路径和管理要求，采用风险评估、问卷调查、体格检查、实验室检测、影像检查、内镜检查或者其他适宜技术，对癌症或者癌前病变进行早期发现的活动。</w:t>
      </w:r>
    </w:p>
    <w:p w14:paraId="0FE751C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质量控制 quality control</w:t>
      </w:r>
    </w:p>
    <w:p w14:paraId="3C139D28">
      <w:pPr>
        <w:pStyle w:val="56"/>
        <w:spacing w:line="360" w:lineRule="auto"/>
        <w:ind w:firstLine="420"/>
      </w:pPr>
      <w:r>
        <w:rPr>
          <w:rFonts w:hint="eastAsia"/>
        </w:rPr>
        <w:t>为确保癌症筛查服务全过程符合规定要求，对机构、人员、设备、试剂、流程、检测、结果判定、随访和信息管理等实施的计划、核查、纠正和评价活动。</w:t>
      </w:r>
    </w:p>
    <w:p w14:paraId="513454F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筛查对象 screening target population</w:t>
      </w:r>
    </w:p>
    <w:p w14:paraId="2E7A5E7E">
      <w:pPr>
        <w:pStyle w:val="56"/>
        <w:spacing w:line="360" w:lineRule="auto"/>
        <w:ind w:firstLine="420"/>
      </w:pPr>
      <w:r>
        <w:rPr>
          <w:rFonts w:hint="eastAsia"/>
        </w:rPr>
        <w:t>依据年龄、性别、危险因素、暴露史、家族史、既往病史或者其他筛查策略确定的，适宜接受相应癌种筛查的人群。</w:t>
      </w:r>
    </w:p>
    <w:p w14:paraId="3974FA7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高风险人群 high-risk population</w:t>
      </w:r>
    </w:p>
    <w:p w14:paraId="66F220BC">
      <w:pPr>
        <w:pStyle w:val="56"/>
        <w:spacing w:line="360" w:lineRule="auto"/>
        <w:ind w:firstLine="420"/>
      </w:pPr>
      <w:r>
        <w:rPr>
          <w:rFonts w:hint="eastAsia"/>
        </w:rPr>
        <w:t>癌症发生风险显著高于一般人群，需按照相应筛查方案纳入重点筛查、重点管理或者重点随访的人群。</w:t>
      </w:r>
    </w:p>
    <w:p w14:paraId="59CB4B8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初筛 primary screening</w:t>
      </w:r>
    </w:p>
    <w:p w14:paraId="4EBFE53C">
      <w:pPr>
        <w:pStyle w:val="56"/>
        <w:spacing w:line="360" w:lineRule="auto"/>
        <w:ind w:firstLine="420"/>
      </w:pPr>
      <w:r>
        <w:rPr>
          <w:rFonts w:hint="eastAsia"/>
        </w:rPr>
        <w:t>按照规定的筛查路径，对筛查对象进行首次筛查、风险识别或者初步判断的过程。</w:t>
      </w:r>
    </w:p>
    <w:p w14:paraId="3372C64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复筛 secondary screening</w:t>
      </w:r>
    </w:p>
    <w:p w14:paraId="4E298868">
      <w:pPr>
        <w:pStyle w:val="56"/>
        <w:spacing w:line="360" w:lineRule="auto"/>
        <w:ind w:firstLine="420"/>
      </w:pPr>
      <w:r>
        <w:rPr>
          <w:rFonts w:hint="eastAsia"/>
        </w:rPr>
        <w:t>对初筛异常、可疑、阳性或者需进一步明确状态的对象，按照规定程序实施的进一步筛查、复核或者确认性检查。</w:t>
      </w:r>
    </w:p>
    <w:p w14:paraId="15D6803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阳性结果 positive screening result</w:t>
      </w:r>
    </w:p>
    <w:p w14:paraId="09D416F0">
      <w:pPr>
        <w:pStyle w:val="56"/>
        <w:spacing w:line="360" w:lineRule="auto"/>
        <w:ind w:firstLine="420"/>
      </w:pPr>
      <w:r>
        <w:rPr>
          <w:rFonts w:hint="eastAsia"/>
        </w:rPr>
        <w:t>按照规定判定标准，提示存在癌症、癌前病变或者需进一步检查确认风险的筛查结果。</w:t>
      </w:r>
    </w:p>
    <w:p w14:paraId="084DADE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异常结果 abnormal screening result</w:t>
      </w:r>
    </w:p>
    <w:p w14:paraId="15E2F5D2">
      <w:pPr>
        <w:pStyle w:val="56"/>
        <w:spacing w:line="360" w:lineRule="auto"/>
        <w:ind w:firstLine="420"/>
      </w:pPr>
      <w:r>
        <w:rPr>
          <w:rFonts w:hint="eastAsia"/>
        </w:rPr>
        <w:t>在筛查过程中发现偏离正常范围、符合可疑标准或者需要进一步复核、转诊和随访的结果。</w:t>
      </w:r>
    </w:p>
    <w:p w14:paraId="5EE6D91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转诊 referral</w:t>
      </w:r>
    </w:p>
    <w:p w14:paraId="0779FD09">
      <w:pPr>
        <w:pStyle w:val="56"/>
        <w:spacing w:line="360" w:lineRule="auto"/>
        <w:ind w:firstLine="420"/>
      </w:pPr>
      <w:r>
        <w:rPr>
          <w:rFonts w:hint="eastAsia"/>
        </w:rPr>
        <w:t>将初筛异常、复筛异常或者疑似病例，按规定流程转入具有进一步诊断、病理确认或者治疗能力的医疗机构的活动。</w:t>
      </w:r>
    </w:p>
    <w:p w14:paraId="02167BD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随访 follow-up</w:t>
      </w:r>
    </w:p>
    <w:p w14:paraId="1A2F3FD1">
      <w:pPr>
        <w:pStyle w:val="56"/>
        <w:spacing w:line="360" w:lineRule="auto"/>
        <w:ind w:firstLine="420"/>
      </w:pPr>
      <w:r>
        <w:rPr>
          <w:rFonts w:hint="eastAsia"/>
        </w:rPr>
        <w:t>对筛查对象尤其是阳性对象、可疑对象、异常对象或者已转诊对象，按照规定时限和规定路径进行结果追踪、复查提醒、管理干预和结局记录的活动。</w:t>
      </w:r>
    </w:p>
    <w:p w14:paraId="2A21FB4D">
      <w:pPr>
        <w:pStyle w:val="104"/>
        <w:spacing w:before="240" w:after="240" w:line="360" w:lineRule="auto"/>
      </w:pPr>
      <w:bookmarkStart w:id="51" w:name="_Toc228614106"/>
      <w:r>
        <w:rPr>
          <w:rFonts w:hint="eastAsia"/>
        </w:rPr>
        <w:t>基本规定</w:t>
      </w:r>
      <w:bookmarkEnd w:id="51"/>
    </w:p>
    <w:p w14:paraId="77142AD3">
      <w:pPr>
        <w:pStyle w:val="105"/>
        <w:spacing w:before="120" w:after="120" w:line="360" w:lineRule="auto"/>
      </w:pPr>
      <w:r>
        <w:rPr>
          <w:rFonts w:hint="eastAsia"/>
        </w:rPr>
        <w:t>一般要求</w:t>
      </w:r>
    </w:p>
    <w:p w14:paraId="50D38D22">
      <w:pPr>
        <w:pStyle w:val="165"/>
        <w:spacing w:line="360" w:lineRule="auto"/>
      </w:pPr>
      <w:r>
        <w:rPr>
          <w:rFonts w:hint="eastAsia"/>
        </w:rPr>
        <w:t>癌症早期筛查质量控制与管理应坚持政府组织、机构实施、规范筛查、质量优先、结果可追溯和全过程闭环管理的原则。</w:t>
      </w:r>
    </w:p>
    <w:p w14:paraId="74A3525B">
      <w:pPr>
        <w:pStyle w:val="165"/>
        <w:spacing w:line="360" w:lineRule="auto"/>
      </w:pPr>
      <w:r>
        <w:rPr>
          <w:rFonts w:hint="eastAsia"/>
        </w:rPr>
        <w:t>癌症早期筛查工作应以提高目标人群筛查覆盖率、异常结果识别率、阳性对象转诊率、随访完成率和早诊早治率为主要目标，不得仅以筛查数量作为质量评价的唯一依据。</w:t>
      </w:r>
    </w:p>
    <w:p w14:paraId="3B8AEE3B">
      <w:pPr>
        <w:pStyle w:val="165"/>
        <w:spacing w:line="360" w:lineRule="auto"/>
      </w:pPr>
      <w:r>
        <w:rPr>
          <w:rFonts w:hint="eastAsia"/>
        </w:rPr>
        <w:t>癌症早期筛查质量控制与管理应覆盖筛查组织、对象识别、知情告知、预约登记、风险评估、初筛、复筛、结果判定、转诊、随访、信息管理、质量评价和持续改进全过程。</w:t>
      </w:r>
    </w:p>
    <w:p w14:paraId="0DAA9E5F">
      <w:pPr>
        <w:pStyle w:val="165"/>
        <w:spacing w:line="360" w:lineRule="auto"/>
      </w:pPr>
      <w:r>
        <w:rPr>
          <w:rFonts w:hint="eastAsia"/>
        </w:rPr>
        <w:t>癌症早期筛查活动应遵循相应癌种筛查方案、技术规范和质量控制要求开展，不得超出适用人群范围盲目筛查，不得脱离既定技术路径擅自简化或者增加关键流程。</w:t>
      </w:r>
    </w:p>
    <w:p w14:paraId="0A225948">
      <w:pPr>
        <w:pStyle w:val="165"/>
        <w:spacing w:line="360" w:lineRule="auto"/>
      </w:pPr>
      <w:r>
        <w:rPr>
          <w:rFonts w:hint="eastAsia"/>
        </w:rPr>
        <w:t>对涉及高风险人群、大规模人群筛查、重点癌种筛查、重点地区筛查和多机构协同筛查的项目，应实施重点质量控制和重点管理。</w:t>
      </w:r>
    </w:p>
    <w:p w14:paraId="24F718E6">
      <w:pPr>
        <w:pStyle w:val="165"/>
        <w:spacing w:line="360" w:lineRule="auto"/>
      </w:pPr>
      <w:r>
        <w:rPr>
          <w:rFonts w:hint="eastAsia"/>
        </w:rPr>
        <w:t>癌症早期筛查应坚持知情、自愿和规范原则。筛查实施机构在开展筛查前，应向筛查对象说明筛查目的、筛查方法、注意事项、可能风险、结果解释范围和后续转诊随访要求。</w:t>
      </w:r>
    </w:p>
    <w:p w14:paraId="5996B5AF">
      <w:pPr>
        <w:pStyle w:val="165"/>
        <w:spacing w:line="360" w:lineRule="auto"/>
      </w:pPr>
      <w:r>
        <w:rPr>
          <w:rFonts w:hint="eastAsia"/>
        </w:rPr>
        <w:t>癌症早期筛查不得替代临床诊断，不得以筛查结果直接作出癌症最终诊断结论。对筛查阳性、可疑或者异常对象，应按照规定路径实施复筛、转诊或者进一步检查。</w:t>
      </w:r>
    </w:p>
    <w:p w14:paraId="6E09B62A">
      <w:pPr>
        <w:pStyle w:val="165"/>
        <w:spacing w:line="360" w:lineRule="auto"/>
      </w:pPr>
      <w:r>
        <w:rPr>
          <w:rFonts w:hint="eastAsia"/>
        </w:rPr>
        <w:t>癌症早期筛查质量管理不得局限于检测或者检查单一环节，应同步覆盖样本管理、检查判读、结果审核、异常处置、转诊衔接和随访闭环。</w:t>
      </w:r>
    </w:p>
    <w:p w14:paraId="27BC9700">
      <w:pPr>
        <w:pStyle w:val="105"/>
        <w:spacing w:before="120" w:after="120" w:line="360" w:lineRule="auto"/>
      </w:pPr>
      <w:r>
        <w:rPr>
          <w:rFonts w:hint="eastAsia"/>
        </w:rPr>
        <w:t>管理职责</w:t>
      </w:r>
    </w:p>
    <w:p w14:paraId="6BAD2F87">
      <w:pPr>
        <w:pStyle w:val="165"/>
        <w:spacing w:line="360" w:lineRule="auto"/>
      </w:pPr>
      <w:r>
        <w:rPr>
          <w:rFonts w:hint="eastAsia"/>
        </w:rPr>
        <w:t>开展癌症早期筛查的组织实施单位应建立筛查质量控制与管理体系，明确管理机构、责任岗位和工作流程。</w:t>
      </w:r>
    </w:p>
    <w:p w14:paraId="5CBCF6E0">
      <w:pPr>
        <w:pStyle w:val="165"/>
        <w:spacing w:line="360" w:lineRule="auto"/>
      </w:pPr>
      <w:r>
        <w:rPr>
          <w:rFonts w:hint="eastAsia"/>
        </w:rPr>
        <w:t>筛查实施机构应对筛查全过程质量负责。</w:t>
      </w:r>
    </w:p>
    <w:p w14:paraId="3E38ED56">
      <w:pPr>
        <w:pStyle w:val="165"/>
        <w:spacing w:line="360" w:lineRule="auto"/>
      </w:pPr>
      <w:r>
        <w:rPr>
          <w:rFonts w:hint="eastAsia"/>
        </w:rPr>
        <w:t>项目管理部门或者筛查管理部门应负责筛查组织实施、人员协调、资源配置、工作调度、质量检查和资料归档。</w:t>
      </w:r>
    </w:p>
    <w:p w14:paraId="7C0B5F50">
      <w:pPr>
        <w:pStyle w:val="165"/>
        <w:spacing w:line="360" w:lineRule="auto"/>
      </w:pPr>
      <w:r>
        <w:rPr>
          <w:rFonts w:hint="eastAsia"/>
        </w:rPr>
        <w:t>临床筛查岗位应负责筛查对象接待、风险评估、初筛实施、结果解释、转诊建议和相关记录填写。</w:t>
      </w:r>
    </w:p>
    <w:p w14:paraId="5237148E">
      <w:pPr>
        <w:pStyle w:val="165"/>
        <w:spacing w:line="360" w:lineRule="auto"/>
      </w:pPr>
      <w:r>
        <w:rPr>
          <w:rFonts w:hint="eastAsia"/>
        </w:rPr>
        <w:t>检验、病理、影像、内镜和其他相关技术岗位应负责相应检查检测环节质量控制、结果审核和异常报告。</w:t>
      </w:r>
    </w:p>
    <w:p w14:paraId="2B9F6A6F">
      <w:pPr>
        <w:pStyle w:val="165"/>
        <w:spacing w:line="360" w:lineRule="auto"/>
      </w:pPr>
      <w:r>
        <w:rPr>
          <w:rFonts w:hint="eastAsia"/>
        </w:rPr>
        <w:t>信息管理岗位应负责筛查对象信息管理、结果录入、转诊登记、随访登记、数据审核和统计分析。</w:t>
      </w:r>
    </w:p>
    <w:p w14:paraId="59B4E46C">
      <w:pPr>
        <w:pStyle w:val="165"/>
        <w:spacing w:line="360" w:lineRule="auto"/>
      </w:pPr>
      <w:r>
        <w:rPr>
          <w:rFonts w:hint="eastAsia"/>
        </w:rPr>
        <w:t>质控岗位或者质控小组应负责筛查全过程监督检查、质量抽查、问题分析、整改督办和持续改进。</w:t>
      </w:r>
    </w:p>
    <w:p w14:paraId="5FF5DDE7">
      <w:pPr>
        <w:pStyle w:val="165"/>
        <w:spacing w:line="360" w:lineRule="auto"/>
      </w:pPr>
      <w:r>
        <w:rPr>
          <w:rFonts w:hint="eastAsia"/>
        </w:rPr>
        <w:t>多机构联合开展筛查项目时，应明确主责机构、协作机构和转诊机构职责边界，不得出现筛查结果无人解释、异常对象无人跟踪和质量问题无人负责的情形。</w:t>
      </w:r>
    </w:p>
    <w:p w14:paraId="7EB32200">
      <w:pPr>
        <w:pStyle w:val="165"/>
        <w:numPr>
          <w:ilvl w:val="0"/>
          <w:numId w:val="0"/>
        </w:numPr>
        <w:spacing w:line="360" w:lineRule="auto"/>
        <w:rPr>
          <w:rFonts w:hint="eastAsia"/>
        </w:rPr>
      </w:pPr>
    </w:p>
    <w:p w14:paraId="489E691E">
      <w:pPr>
        <w:pStyle w:val="105"/>
        <w:spacing w:before="120" w:after="120" w:line="360" w:lineRule="auto"/>
      </w:pPr>
      <w:r>
        <w:rPr>
          <w:rFonts w:hint="eastAsia"/>
        </w:rPr>
        <w:t>对象管理要求</w:t>
      </w:r>
    </w:p>
    <w:p w14:paraId="5584E9A3">
      <w:pPr>
        <w:pStyle w:val="165"/>
        <w:spacing w:line="360" w:lineRule="auto"/>
      </w:pPr>
      <w:r>
        <w:rPr>
          <w:rFonts w:hint="eastAsia"/>
        </w:rPr>
        <w:t>筛查对象应按癌种筛查方案和风险分层要求进行识别、登记和管理。</w:t>
      </w:r>
    </w:p>
    <w:p w14:paraId="1E77DEA5">
      <w:pPr>
        <w:pStyle w:val="165"/>
        <w:spacing w:line="360" w:lineRule="auto"/>
      </w:pPr>
      <w:r>
        <w:rPr>
          <w:rFonts w:hint="eastAsia"/>
        </w:rPr>
        <w:t>对不符合筛查适应范围、存在明确筛查禁忌或者不适宜按常规路径开展筛查的对象，应说明原因，并引导其进入相应临床诊疗路径或者个体化管理路径。</w:t>
      </w:r>
    </w:p>
    <w:p w14:paraId="13E3B62A">
      <w:pPr>
        <w:pStyle w:val="165"/>
        <w:spacing w:line="360" w:lineRule="auto"/>
      </w:pPr>
      <w:r>
        <w:rPr>
          <w:rFonts w:hint="eastAsia"/>
        </w:rPr>
        <w:t>对高风险人群应实施重点登记、重点提醒、重点复筛和重点随访。</w:t>
      </w:r>
    </w:p>
    <w:p w14:paraId="4B048646">
      <w:pPr>
        <w:pStyle w:val="165"/>
        <w:spacing w:line="360" w:lineRule="auto"/>
      </w:pPr>
      <w:r>
        <w:rPr>
          <w:rFonts w:hint="eastAsia"/>
        </w:rPr>
        <w:t>对既往筛查异常对象、阳性对象、未完成转诊对象和失访对象，应建立专门管理台账。</w:t>
      </w:r>
    </w:p>
    <w:p w14:paraId="22EB233D">
      <w:pPr>
        <w:pStyle w:val="165"/>
        <w:spacing w:line="360" w:lineRule="auto"/>
      </w:pPr>
      <w:r>
        <w:rPr>
          <w:rFonts w:hint="eastAsia"/>
        </w:rPr>
        <w:t>筛查对象信息采集应真实、完整、规范，不得漏采、误采或者随意简化关键危险因素信息。</w:t>
      </w:r>
    </w:p>
    <w:p w14:paraId="5228C13A">
      <w:pPr>
        <w:pStyle w:val="105"/>
        <w:spacing w:before="120" w:after="120" w:line="360" w:lineRule="auto"/>
      </w:pPr>
      <w:r>
        <w:rPr>
          <w:rFonts w:hint="eastAsia"/>
        </w:rPr>
        <w:t>流程管理要求</w:t>
      </w:r>
    </w:p>
    <w:p w14:paraId="3FC6FB9B">
      <w:pPr>
        <w:pStyle w:val="165"/>
        <w:spacing w:line="360" w:lineRule="auto"/>
      </w:pPr>
      <w:r>
        <w:rPr>
          <w:rFonts w:hint="eastAsia"/>
        </w:rPr>
        <w:t>癌症早期筛查应建立标准化流程。</w:t>
      </w:r>
    </w:p>
    <w:p w14:paraId="0FD87B27">
      <w:pPr>
        <w:pStyle w:val="165"/>
        <w:spacing w:line="360" w:lineRule="auto"/>
      </w:pPr>
      <w:r>
        <w:rPr>
          <w:rFonts w:hint="eastAsia"/>
        </w:rPr>
        <w:t>标准化流程宜至少包括下列环节：</w:t>
      </w:r>
    </w:p>
    <w:p w14:paraId="0C66F153">
      <w:pPr>
        <w:pStyle w:val="56"/>
        <w:spacing w:line="360" w:lineRule="auto"/>
        <w:ind w:firstLine="420"/>
      </w:pPr>
      <w:r>
        <w:rPr>
          <w:rFonts w:hint="eastAsia"/>
        </w:rPr>
        <w:t>a）对象识别；</w:t>
      </w:r>
    </w:p>
    <w:p w14:paraId="6444AA55">
      <w:pPr>
        <w:pStyle w:val="56"/>
        <w:spacing w:line="360" w:lineRule="auto"/>
        <w:ind w:firstLine="420"/>
      </w:pPr>
      <w:r>
        <w:rPr>
          <w:rFonts w:hint="eastAsia"/>
        </w:rPr>
        <w:t>b）知情告知；</w:t>
      </w:r>
    </w:p>
    <w:p w14:paraId="39476D06">
      <w:pPr>
        <w:pStyle w:val="56"/>
        <w:spacing w:line="360" w:lineRule="auto"/>
        <w:ind w:firstLine="420"/>
      </w:pPr>
      <w:r>
        <w:rPr>
          <w:rFonts w:hint="eastAsia"/>
        </w:rPr>
        <w:t>c）风险评估；</w:t>
      </w:r>
    </w:p>
    <w:p w14:paraId="042E5979">
      <w:pPr>
        <w:pStyle w:val="56"/>
        <w:spacing w:line="360" w:lineRule="auto"/>
        <w:ind w:firstLine="420"/>
      </w:pPr>
      <w:r>
        <w:rPr>
          <w:rFonts w:hint="eastAsia"/>
        </w:rPr>
        <w:t>d）预约登记；</w:t>
      </w:r>
    </w:p>
    <w:p w14:paraId="012B25B7">
      <w:pPr>
        <w:pStyle w:val="56"/>
        <w:spacing w:line="360" w:lineRule="auto"/>
        <w:ind w:firstLine="420"/>
      </w:pPr>
      <w:r>
        <w:rPr>
          <w:rFonts w:hint="eastAsia"/>
        </w:rPr>
        <w:t>e）初筛实施；</w:t>
      </w:r>
    </w:p>
    <w:p w14:paraId="6F529E24">
      <w:pPr>
        <w:pStyle w:val="56"/>
        <w:spacing w:line="360" w:lineRule="auto"/>
        <w:ind w:firstLine="420"/>
      </w:pPr>
      <w:r>
        <w:rPr>
          <w:rFonts w:hint="eastAsia"/>
        </w:rPr>
        <w:t>f）复筛或者复核；</w:t>
      </w:r>
    </w:p>
    <w:p w14:paraId="4F89C1EA">
      <w:pPr>
        <w:pStyle w:val="56"/>
        <w:spacing w:line="360" w:lineRule="auto"/>
        <w:ind w:firstLine="420"/>
      </w:pPr>
      <w:r>
        <w:rPr>
          <w:rFonts w:hint="eastAsia"/>
        </w:rPr>
        <w:t>g）结果判定；</w:t>
      </w:r>
    </w:p>
    <w:p w14:paraId="72E11688">
      <w:pPr>
        <w:pStyle w:val="56"/>
        <w:spacing w:line="360" w:lineRule="auto"/>
        <w:ind w:firstLine="420"/>
      </w:pPr>
      <w:r>
        <w:rPr>
          <w:rFonts w:hint="eastAsia"/>
        </w:rPr>
        <w:t>h）结果告知；</w:t>
      </w:r>
    </w:p>
    <w:p w14:paraId="402A4828">
      <w:pPr>
        <w:pStyle w:val="56"/>
        <w:spacing w:line="360" w:lineRule="auto"/>
        <w:ind w:firstLine="420"/>
      </w:pPr>
      <w:r>
        <w:rPr>
          <w:rFonts w:hint="eastAsia"/>
        </w:rPr>
        <w:t>i）转诊管理；</w:t>
      </w:r>
    </w:p>
    <w:p w14:paraId="311EFDF9">
      <w:pPr>
        <w:pStyle w:val="56"/>
        <w:spacing w:line="360" w:lineRule="auto"/>
        <w:ind w:firstLine="420"/>
      </w:pPr>
      <w:r>
        <w:rPr>
          <w:rFonts w:hint="eastAsia"/>
        </w:rPr>
        <w:t>j）随访管理；</w:t>
      </w:r>
    </w:p>
    <w:p w14:paraId="0D021253">
      <w:pPr>
        <w:pStyle w:val="56"/>
        <w:spacing w:line="360" w:lineRule="auto"/>
        <w:ind w:firstLine="420"/>
      </w:pPr>
      <w:r>
        <w:rPr>
          <w:rFonts w:hint="eastAsia"/>
        </w:rPr>
        <w:t>k）质量评价；</w:t>
      </w:r>
    </w:p>
    <w:p w14:paraId="3C93235C">
      <w:pPr>
        <w:pStyle w:val="56"/>
        <w:spacing w:line="360" w:lineRule="auto"/>
        <w:ind w:firstLine="420"/>
      </w:pPr>
      <w:r>
        <w:rPr>
          <w:rFonts w:hint="eastAsia"/>
        </w:rPr>
        <w:t>l）资料归档。</w:t>
      </w:r>
    </w:p>
    <w:p w14:paraId="3661C1DB">
      <w:pPr>
        <w:pStyle w:val="165"/>
        <w:spacing w:line="360" w:lineRule="auto"/>
      </w:pPr>
      <w:r>
        <w:rPr>
          <w:rFonts w:hint="eastAsia"/>
        </w:rPr>
        <w:t>不同癌种可根据筛查路径差异设置不同流程节点，但不得缺失对象确认、结果判定、异常管理和随访闭环等基本环节。</w:t>
      </w:r>
    </w:p>
    <w:p w14:paraId="1EB1C9F9">
      <w:pPr>
        <w:pStyle w:val="165"/>
        <w:spacing w:line="360" w:lineRule="auto"/>
      </w:pPr>
      <w:r>
        <w:rPr>
          <w:rFonts w:hint="eastAsia"/>
        </w:rPr>
        <w:t>流程调整时，应同步调整岗位职责、信息系统、表单文书和质量控制要求。</w:t>
      </w:r>
    </w:p>
    <w:p w14:paraId="3ACF4A3D">
      <w:pPr>
        <w:pStyle w:val="105"/>
        <w:spacing w:before="120" w:after="120" w:line="360" w:lineRule="auto"/>
      </w:pPr>
      <w:r>
        <w:rPr>
          <w:rFonts w:hint="eastAsia"/>
        </w:rPr>
        <w:t>风险与安全管理要求</w:t>
      </w:r>
    </w:p>
    <w:p w14:paraId="20D3C0AD">
      <w:pPr>
        <w:pStyle w:val="165"/>
        <w:spacing w:line="360" w:lineRule="auto"/>
      </w:pPr>
      <w:r>
        <w:rPr>
          <w:rFonts w:hint="eastAsia"/>
        </w:rPr>
        <w:t>癌症早期筛查应建立风险与安全管理机制。</w:t>
      </w:r>
    </w:p>
    <w:p w14:paraId="11784415">
      <w:pPr>
        <w:pStyle w:val="165"/>
        <w:spacing w:line="360" w:lineRule="auto"/>
      </w:pPr>
      <w:r>
        <w:rPr>
          <w:rFonts w:hint="eastAsia"/>
        </w:rPr>
        <w:t>风险与安全管理应覆盖受检者身份识别、样本采集安全、设备使用安全、感染防控、数据安全、信息保密和不良事件管理等内容。</w:t>
      </w:r>
    </w:p>
    <w:p w14:paraId="094803DC">
      <w:pPr>
        <w:pStyle w:val="165"/>
        <w:spacing w:line="360" w:lineRule="auto"/>
      </w:pPr>
      <w:r>
        <w:rPr>
          <w:rFonts w:hint="eastAsia"/>
        </w:rPr>
        <w:t>任何机构和个人不得泄露筛查对象隐私信息、检测结果和其他受保护信息。</w:t>
      </w:r>
    </w:p>
    <w:p w14:paraId="75D33253">
      <w:pPr>
        <w:pStyle w:val="165"/>
        <w:spacing w:line="360" w:lineRule="auto"/>
      </w:pPr>
      <w:r>
        <w:rPr>
          <w:rFonts w:hint="eastAsia"/>
        </w:rPr>
        <w:t>对筛查过程中发生的不良反应、不良事件、样本差错、结果差错和转诊遗漏等情形，应及时登记、处置和复盘。</w:t>
      </w:r>
    </w:p>
    <w:p w14:paraId="73560D9A">
      <w:pPr>
        <w:pStyle w:val="105"/>
        <w:spacing w:before="120" w:after="120" w:line="360" w:lineRule="auto"/>
      </w:pPr>
      <w:r>
        <w:rPr>
          <w:rFonts w:hint="eastAsia"/>
        </w:rPr>
        <w:t>结果应用要求</w:t>
      </w:r>
    </w:p>
    <w:p w14:paraId="17D6C497">
      <w:pPr>
        <w:pStyle w:val="165"/>
        <w:spacing w:line="360" w:lineRule="auto"/>
      </w:pPr>
      <w:r>
        <w:rPr>
          <w:rFonts w:hint="eastAsia"/>
        </w:rPr>
        <w:t>癌症早期筛查结果应按规定分类管理和规范使用。</w:t>
      </w:r>
    </w:p>
    <w:p w14:paraId="3ADCF278">
      <w:pPr>
        <w:pStyle w:val="165"/>
        <w:spacing w:line="360" w:lineRule="auto"/>
      </w:pPr>
      <w:r>
        <w:rPr>
          <w:rFonts w:hint="eastAsia"/>
        </w:rPr>
        <w:t>筛查结果宜分为阴性、阳性、可疑、异常待复核和无效等类别。</w:t>
      </w:r>
    </w:p>
    <w:p w14:paraId="6D2CB5D4">
      <w:pPr>
        <w:pStyle w:val="165"/>
        <w:spacing w:line="360" w:lineRule="auto"/>
      </w:pPr>
      <w:r>
        <w:rPr>
          <w:rFonts w:hint="eastAsia"/>
        </w:rPr>
        <w:t>对阳性、可疑或者异常结果，不得仅发放报告而不提供进一步管理建议。</w:t>
      </w:r>
    </w:p>
    <w:p w14:paraId="647182BE">
      <w:pPr>
        <w:pStyle w:val="165"/>
        <w:spacing w:line="360" w:lineRule="auto"/>
      </w:pPr>
      <w:r>
        <w:rPr>
          <w:rFonts w:hint="eastAsia"/>
        </w:rPr>
        <w:t>对无效结果、样本不合格结果或者判定依据不充分结果，应按规定重新采样、重新检查或者重新判定。</w:t>
      </w:r>
    </w:p>
    <w:p w14:paraId="446FE0B5">
      <w:pPr>
        <w:pStyle w:val="165"/>
        <w:spacing w:line="360" w:lineRule="auto"/>
      </w:pPr>
      <w:r>
        <w:rPr>
          <w:rFonts w:hint="eastAsia"/>
        </w:rPr>
        <w:t>筛查结果应用范围应与其技术属性一致，不得将筛查结果直接替代病理诊断、临床诊断或者治疗决策依据。</w:t>
      </w:r>
    </w:p>
    <w:p w14:paraId="59CAC56D">
      <w:pPr>
        <w:pStyle w:val="105"/>
        <w:spacing w:before="120" w:after="120" w:line="360" w:lineRule="auto"/>
      </w:pPr>
      <w:r>
        <w:rPr>
          <w:rFonts w:hint="eastAsia"/>
        </w:rPr>
        <w:t>资料与追溯要求</w:t>
      </w:r>
    </w:p>
    <w:p w14:paraId="7B70B6A9">
      <w:pPr>
        <w:pStyle w:val="165"/>
        <w:spacing w:line="360" w:lineRule="auto"/>
      </w:pPr>
      <w:r>
        <w:rPr>
          <w:rFonts w:hint="eastAsia"/>
        </w:rPr>
        <w:t>癌症早期筛查全过程应形成完整资料和记录。</w:t>
      </w:r>
    </w:p>
    <w:p w14:paraId="1632F5D4">
      <w:pPr>
        <w:pStyle w:val="165"/>
        <w:spacing w:line="360" w:lineRule="auto"/>
      </w:pPr>
      <w:r>
        <w:rPr>
          <w:rFonts w:hint="eastAsia"/>
        </w:rPr>
        <w:t>资料和记录宜至少包括下列内容：</w:t>
      </w:r>
    </w:p>
    <w:p w14:paraId="39454036">
      <w:pPr>
        <w:pStyle w:val="56"/>
        <w:spacing w:line="360" w:lineRule="auto"/>
        <w:ind w:firstLine="420"/>
      </w:pPr>
      <w:r>
        <w:rPr>
          <w:rFonts w:hint="eastAsia"/>
        </w:rPr>
        <w:t>a）筛查对象登记资料；</w:t>
      </w:r>
    </w:p>
    <w:p w14:paraId="30BD3CD9">
      <w:pPr>
        <w:pStyle w:val="56"/>
        <w:spacing w:line="360" w:lineRule="auto"/>
        <w:ind w:firstLine="420"/>
      </w:pPr>
      <w:r>
        <w:rPr>
          <w:rFonts w:hint="eastAsia"/>
        </w:rPr>
        <w:t>b）知情告知资料；</w:t>
      </w:r>
    </w:p>
    <w:p w14:paraId="66D41384">
      <w:pPr>
        <w:pStyle w:val="56"/>
        <w:spacing w:line="360" w:lineRule="auto"/>
        <w:ind w:firstLine="420"/>
      </w:pPr>
      <w:r>
        <w:rPr>
          <w:rFonts w:hint="eastAsia"/>
        </w:rPr>
        <w:t>c）风险评估资料；</w:t>
      </w:r>
    </w:p>
    <w:p w14:paraId="70FDA21E">
      <w:pPr>
        <w:pStyle w:val="56"/>
        <w:spacing w:line="360" w:lineRule="auto"/>
        <w:ind w:firstLine="420"/>
      </w:pPr>
      <w:r>
        <w:rPr>
          <w:rFonts w:hint="eastAsia"/>
        </w:rPr>
        <w:t>d）检查检测原始记录；</w:t>
      </w:r>
    </w:p>
    <w:p w14:paraId="4D4139B5">
      <w:pPr>
        <w:pStyle w:val="56"/>
        <w:spacing w:line="360" w:lineRule="auto"/>
        <w:ind w:firstLine="420"/>
      </w:pPr>
      <w:r>
        <w:rPr>
          <w:rFonts w:hint="eastAsia"/>
        </w:rPr>
        <w:t>e）结果判定记录；</w:t>
      </w:r>
    </w:p>
    <w:p w14:paraId="5A4FA24E">
      <w:pPr>
        <w:pStyle w:val="56"/>
        <w:spacing w:line="360" w:lineRule="auto"/>
        <w:ind w:firstLine="420"/>
      </w:pPr>
      <w:r>
        <w:rPr>
          <w:rFonts w:hint="eastAsia"/>
        </w:rPr>
        <w:t>f）复核记录；</w:t>
      </w:r>
    </w:p>
    <w:p w14:paraId="3C12641A">
      <w:pPr>
        <w:pStyle w:val="56"/>
        <w:spacing w:line="360" w:lineRule="auto"/>
        <w:ind w:firstLine="420"/>
      </w:pPr>
      <w:r>
        <w:rPr>
          <w:rFonts w:hint="eastAsia"/>
        </w:rPr>
        <w:t>g）转诊记录；</w:t>
      </w:r>
    </w:p>
    <w:p w14:paraId="28970427">
      <w:pPr>
        <w:pStyle w:val="56"/>
        <w:spacing w:line="360" w:lineRule="auto"/>
        <w:ind w:firstLine="420"/>
      </w:pPr>
      <w:r>
        <w:rPr>
          <w:rFonts w:hint="eastAsia"/>
        </w:rPr>
        <w:t>h）随访记录；</w:t>
      </w:r>
    </w:p>
    <w:p w14:paraId="44870351">
      <w:pPr>
        <w:pStyle w:val="56"/>
        <w:spacing w:line="360" w:lineRule="auto"/>
        <w:ind w:firstLine="420"/>
      </w:pPr>
      <w:r>
        <w:rPr>
          <w:rFonts w:hint="eastAsia"/>
        </w:rPr>
        <w:t>i）质控记录；</w:t>
      </w:r>
    </w:p>
    <w:p w14:paraId="6EBAE8C2">
      <w:pPr>
        <w:pStyle w:val="56"/>
        <w:spacing w:line="360" w:lineRule="auto"/>
        <w:ind w:firstLine="420"/>
      </w:pPr>
      <w:r>
        <w:rPr>
          <w:rFonts w:hint="eastAsia"/>
        </w:rPr>
        <w:t>j）整改记录。</w:t>
      </w:r>
    </w:p>
    <w:p w14:paraId="3C3DCCE4">
      <w:pPr>
        <w:pStyle w:val="165"/>
        <w:spacing w:line="360" w:lineRule="auto"/>
      </w:pPr>
      <w:r>
        <w:rPr>
          <w:rFonts w:hint="eastAsia"/>
        </w:rPr>
        <w:t>筛查资料应做到人、样本、检查结果、判定结果、转诊结果和随访结局相互对应。</w:t>
      </w:r>
    </w:p>
    <w:p w14:paraId="131CD284">
      <w:pPr>
        <w:pStyle w:val="165"/>
        <w:spacing w:line="360" w:lineRule="auto"/>
      </w:pPr>
      <w:r>
        <w:rPr>
          <w:rFonts w:hint="eastAsia"/>
        </w:rPr>
        <w:t>资料缺失、记录失真或者无法追溯的，不得认定为该筛查环节已规范完成。</w:t>
      </w:r>
    </w:p>
    <w:p w14:paraId="3FCB33A4">
      <w:pPr>
        <w:pStyle w:val="105"/>
        <w:spacing w:before="120" w:after="120" w:line="360" w:lineRule="auto"/>
      </w:pPr>
      <w:r>
        <w:rPr>
          <w:rFonts w:hint="eastAsia"/>
        </w:rPr>
        <w:t>禁止性要求</w:t>
      </w:r>
    </w:p>
    <w:p w14:paraId="2D43A7FC">
      <w:pPr>
        <w:pStyle w:val="165"/>
        <w:spacing w:line="360" w:lineRule="auto"/>
      </w:pPr>
      <w:r>
        <w:rPr>
          <w:rFonts w:hint="eastAsia"/>
        </w:rPr>
        <w:t>不得在未明确筛查对象范围和筛查路径的情况下盲目组织筛查。</w:t>
      </w:r>
    </w:p>
    <w:p w14:paraId="143E9AC3">
      <w:pPr>
        <w:pStyle w:val="165"/>
        <w:spacing w:line="360" w:lineRule="auto"/>
      </w:pPr>
      <w:r>
        <w:rPr>
          <w:rFonts w:hint="eastAsia"/>
        </w:rPr>
        <w:t>不得以宣传推广、任务数量或者短期指标为由扩大筛查适用范围。</w:t>
      </w:r>
    </w:p>
    <w:p w14:paraId="36820C19">
      <w:pPr>
        <w:pStyle w:val="165"/>
        <w:spacing w:line="360" w:lineRule="auto"/>
      </w:pPr>
      <w:r>
        <w:rPr>
          <w:rFonts w:hint="eastAsia"/>
        </w:rPr>
        <w:t>不得在知情告知不充分、身份核验不清或者信息登记不完整的情况下实施筛查。</w:t>
      </w:r>
    </w:p>
    <w:p w14:paraId="270732B4">
      <w:pPr>
        <w:pStyle w:val="165"/>
        <w:spacing w:line="360" w:lineRule="auto"/>
      </w:pPr>
      <w:r>
        <w:rPr>
          <w:rFonts w:hint="eastAsia"/>
        </w:rPr>
        <w:t>不得仅重初筛、不重复筛、转诊和随访。</w:t>
      </w:r>
    </w:p>
    <w:p w14:paraId="24589324">
      <w:pPr>
        <w:pStyle w:val="165"/>
        <w:spacing w:line="360" w:lineRule="auto"/>
      </w:pPr>
      <w:r>
        <w:rPr>
          <w:rFonts w:hint="eastAsia"/>
        </w:rPr>
        <w:t>不得将筛查活动与正式诊断、正式治疗和临床结论混同管理。</w:t>
      </w:r>
    </w:p>
    <w:p w14:paraId="1DB0EF07">
      <w:pPr>
        <w:pStyle w:val="165"/>
        <w:numPr>
          <w:ilvl w:val="0"/>
          <w:numId w:val="0"/>
        </w:numPr>
        <w:spacing w:line="360" w:lineRule="auto"/>
      </w:pPr>
    </w:p>
    <w:p w14:paraId="208E4327">
      <w:pPr>
        <w:pStyle w:val="165"/>
        <w:numPr>
          <w:ilvl w:val="0"/>
          <w:numId w:val="0"/>
        </w:numPr>
        <w:spacing w:line="360" w:lineRule="auto"/>
        <w:rPr>
          <w:rFonts w:hint="eastAsia"/>
        </w:rPr>
      </w:pPr>
    </w:p>
    <w:p w14:paraId="789DCA5A">
      <w:pPr>
        <w:pStyle w:val="104"/>
        <w:spacing w:before="240" w:after="240" w:line="360" w:lineRule="auto"/>
      </w:pPr>
      <w:bookmarkStart w:id="52" w:name="_Toc228614107"/>
      <w:r>
        <w:rPr>
          <w:rFonts w:hint="eastAsia"/>
        </w:rPr>
        <w:t>筛查组织与机构管理要求</w:t>
      </w:r>
      <w:bookmarkEnd w:id="52"/>
    </w:p>
    <w:p w14:paraId="4036C421">
      <w:pPr>
        <w:pStyle w:val="105"/>
        <w:spacing w:before="120" w:after="120" w:line="360" w:lineRule="auto"/>
      </w:pPr>
      <w:r>
        <w:rPr>
          <w:rFonts w:hint="eastAsia"/>
        </w:rPr>
        <w:t>一般要求</w:t>
      </w:r>
    </w:p>
    <w:p w14:paraId="2C95A160">
      <w:pPr>
        <w:pStyle w:val="165"/>
        <w:spacing w:line="360" w:lineRule="auto"/>
      </w:pPr>
      <w:r>
        <w:rPr>
          <w:rFonts w:hint="eastAsia"/>
        </w:rPr>
        <w:t>开展癌症早期筛查的机构应具备与筛查项目相适应的组织能力、技术能力、质量控制能力和管理能力。</w:t>
      </w:r>
    </w:p>
    <w:p w14:paraId="161CC0DD">
      <w:pPr>
        <w:pStyle w:val="165"/>
        <w:spacing w:line="360" w:lineRule="auto"/>
      </w:pPr>
      <w:r>
        <w:rPr>
          <w:rFonts w:hint="eastAsia"/>
        </w:rPr>
        <w:t>筛查组织与机构管理应覆盖组织架构、机构准入、岗位设置、人员配置、场地条件、设备条件、样本管理、信息系统和协作机制等内容。</w:t>
      </w:r>
    </w:p>
    <w:p w14:paraId="204F9EAF">
      <w:pPr>
        <w:pStyle w:val="165"/>
        <w:spacing w:line="360" w:lineRule="auto"/>
      </w:pPr>
      <w:r>
        <w:rPr>
          <w:rFonts w:hint="eastAsia"/>
        </w:rPr>
        <w:t>机构管理应坚持统一组织、分工明确、责任到岗、流程清晰和质量可控的原则。</w:t>
      </w:r>
    </w:p>
    <w:p w14:paraId="49A09357">
      <w:pPr>
        <w:pStyle w:val="165"/>
        <w:spacing w:line="360" w:lineRule="auto"/>
      </w:pPr>
      <w:r>
        <w:rPr>
          <w:rFonts w:hint="eastAsia"/>
        </w:rPr>
        <w:t>未具备相应能力的机构，不得独立承担相应癌种筛查项目。</w:t>
      </w:r>
    </w:p>
    <w:p w14:paraId="3E8F5BBD">
      <w:pPr>
        <w:pStyle w:val="105"/>
        <w:spacing w:before="120" w:after="120" w:line="360" w:lineRule="auto"/>
      </w:pPr>
      <w:r>
        <w:rPr>
          <w:rFonts w:hint="eastAsia"/>
        </w:rPr>
        <w:t>组织实施要求</w:t>
      </w:r>
    </w:p>
    <w:p w14:paraId="53DD4891">
      <w:pPr>
        <w:pStyle w:val="65"/>
        <w:spacing w:before="120" w:after="120" w:line="360" w:lineRule="auto"/>
      </w:pPr>
      <w:r>
        <w:rPr>
          <w:rFonts w:hint="eastAsia"/>
        </w:rPr>
        <w:t>一般要求</w:t>
      </w:r>
    </w:p>
    <w:p w14:paraId="0AC400A4">
      <w:pPr>
        <w:pStyle w:val="164"/>
        <w:spacing w:line="360" w:lineRule="auto"/>
      </w:pPr>
      <w:r>
        <w:rPr>
          <w:rFonts w:hint="eastAsia"/>
        </w:rPr>
        <w:t>筛查项目实施前，应制定组织实施方案。</w:t>
      </w:r>
    </w:p>
    <w:p w14:paraId="298EA42C">
      <w:pPr>
        <w:pStyle w:val="164"/>
        <w:spacing w:line="360" w:lineRule="auto"/>
      </w:pPr>
      <w:r>
        <w:rPr>
          <w:rFonts w:hint="eastAsia"/>
        </w:rPr>
        <w:t>组织实施方案宜至少包括下列内容：</w:t>
      </w:r>
    </w:p>
    <w:p w14:paraId="71422E73">
      <w:pPr>
        <w:pStyle w:val="56"/>
        <w:spacing w:line="360" w:lineRule="auto"/>
        <w:ind w:firstLine="420"/>
      </w:pPr>
      <w:r>
        <w:rPr>
          <w:rFonts w:hint="eastAsia"/>
        </w:rPr>
        <w:t>a）筛查目标；</w:t>
      </w:r>
    </w:p>
    <w:p w14:paraId="12FCDA9B">
      <w:pPr>
        <w:pStyle w:val="56"/>
        <w:spacing w:line="360" w:lineRule="auto"/>
        <w:ind w:firstLine="420"/>
      </w:pPr>
      <w:r>
        <w:rPr>
          <w:rFonts w:hint="eastAsia"/>
        </w:rPr>
        <w:t>b）筛查对象范围；</w:t>
      </w:r>
    </w:p>
    <w:p w14:paraId="095B2449">
      <w:pPr>
        <w:pStyle w:val="56"/>
        <w:spacing w:line="360" w:lineRule="auto"/>
        <w:ind w:firstLine="420"/>
      </w:pPr>
      <w:r>
        <w:rPr>
          <w:rFonts w:hint="eastAsia"/>
        </w:rPr>
        <w:t>c）筛查癌种；</w:t>
      </w:r>
    </w:p>
    <w:p w14:paraId="088BABEF">
      <w:pPr>
        <w:pStyle w:val="56"/>
        <w:spacing w:line="360" w:lineRule="auto"/>
        <w:ind w:firstLine="420"/>
      </w:pPr>
      <w:r>
        <w:rPr>
          <w:rFonts w:hint="eastAsia"/>
        </w:rPr>
        <w:t>d）筛查路径；</w:t>
      </w:r>
    </w:p>
    <w:p w14:paraId="714FB821">
      <w:pPr>
        <w:pStyle w:val="56"/>
        <w:spacing w:line="360" w:lineRule="auto"/>
        <w:ind w:firstLine="420"/>
      </w:pPr>
      <w:r>
        <w:rPr>
          <w:rFonts w:hint="eastAsia"/>
        </w:rPr>
        <w:t>e）时间安排；</w:t>
      </w:r>
    </w:p>
    <w:p w14:paraId="1A57AEB2">
      <w:pPr>
        <w:pStyle w:val="56"/>
        <w:spacing w:line="360" w:lineRule="auto"/>
        <w:ind w:firstLine="420"/>
      </w:pPr>
      <w:r>
        <w:rPr>
          <w:rFonts w:hint="eastAsia"/>
        </w:rPr>
        <w:t>f）机构分工；</w:t>
      </w:r>
    </w:p>
    <w:p w14:paraId="30D59AF0">
      <w:pPr>
        <w:pStyle w:val="56"/>
        <w:spacing w:line="360" w:lineRule="auto"/>
        <w:ind w:firstLine="420"/>
      </w:pPr>
      <w:r>
        <w:rPr>
          <w:rFonts w:hint="eastAsia"/>
        </w:rPr>
        <w:t>g）资源配置；</w:t>
      </w:r>
    </w:p>
    <w:p w14:paraId="0DA5AC7A">
      <w:pPr>
        <w:pStyle w:val="56"/>
        <w:spacing w:line="360" w:lineRule="auto"/>
        <w:ind w:firstLine="420"/>
      </w:pPr>
      <w:r>
        <w:rPr>
          <w:rFonts w:hint="eastAsia"/>
        </w:rPr>
        <w:t>h）质量控制要求；</w:t>
      </w:r>
    </w:p>
    <w:p w14:paraId="27D67C25">
      <w:pPr>
        <w:pStyle w:val="56"/>
        <w:spacing w:line="360" w:lineRule="auto"/>
        <w:ind w:firstLine="420"/>
      </w:pPr>
      <w:r>
        <w:rPr>
          <w:rFonts w:hint="eastAsia"/>
        </w:rPr>
        <w:t>i）信息管理要求；</w:t>
      </w:r>
    </w:p>
    <w:p w14:paraId="1C832A74">
      <w:pPr>
        <w:pStyle w:val="56"/>
        <w:spacing w:line="360" w:lineRule="auto"/>
        <w:ind w:firstLine="420"/>
      </w:pPr>
      <w:r>
        <w:rPr>
          <w:rFonts w:hint="eastAsia"/>
        </w:rPr>
        <w:t>j）转诊与随访要求。</w:t>
      </w:r>
    </w:p>
    <w:p w14:paraId="7C08903D">
      <w:pPr>
        <w:pStyle w:val="56"/>
        <w:spacing w:line="360" w:lineRule="auto"/>
        <w:ind w:firstLine="420"/>
      </w:pPr>
      <w:r>
        <w:rPr>
          <w:rFonts w:hint="eastAsia"/>
        </w:rPr>
        <w:t>组织实施方案未经确认，不得开展正式筛查活动。</w:t>
      </w:r>
    </w:p>
    <w:p w14:paraId="5F89F0E9">
      <w:pPr>
        <w:pStyle w:val="65"/>
        <w:spacing w:before="120" w:after="120" w:line="360" w:lineRule="auto"/>
      </w:pPr>
      <w:r>
        <w:rPr>
          <w:rFonts w:hint="eastAsia"/>
        </w:rPr>
        <w:t>多机构协同要求</w:t>
      </w:r>
    </w:p>
    <w:p w14:paraId="7FA6E155">
      <w:pPr>
        <w:pStyle w:val="164"/>
        <w:spacing w:line="360" w:lineRule="auto"/>
      </w:pPr>
      <w:r>
        <w:rPr>
          <w:rFonts w:hint="eastAsia"/>
        </w:rPr>
        <w:t>涉及初筛机构、复筛机构、病理机构、转诊机构和随访机构协同的，应建立协作机制。</w:t>
      </w:r>
    </w:p>
    <w:p w14:paraId="106222FC">
      <w:pPr>
        <w:pStyle w:val="164"/>
        <w:spacing w:line="360" w:lineRule="auto"/>
      </w:pPr>
      <w:r>
        <w:rPr>
          <w:rFonts w:hint="eastAsia"/>
        </w:rPr>
        <w:t>协作机制应明确转介规则、报告流转、信息共享、结果反馈和责任边界。</w:t>
      </w:r>
    </w:p>
    <w:p w14:paraId="2ABA67C1">
      <w:pPr>
        <w:pStyle w:val="164"/>
        <w:spacing w:line="360" w:lineRule="auto"/>
      </w:pPr>
      <w:r>
        <w:rPr>
          <w:rFonts w:hint="eastAsia"/>
        </w:rPr>
        <w:t>多机构协同中，不得出现初筛结果已出具而复筛衔接中断、转诊无人跟踪和随访无人落实的情形。</w:t>
      </w:r>
    </w:p>
    <w:p w14:paraId="5E44937B">
      <w:pPr>
        <w:pStyle w:val="164"/>
        <w:numPr>
          <w:ilvl w:val="0"/>
          <w:numId w:val="0"/>
        </w:numPr>
        <w:spacing w:line="360" w:lineRule="auto"/>
      </w:pPr>
    </w:p>
    <w:p w14:paraId="3E6F511C">
      <w:pPr>
        <w:pStyle w:val="164"/>
        <w:numPr>
          <w:ilvl w:val="0"/>
          <w:numId w:val="0"/>
        </w:numPr>
        <w:spacing w:line="360" w:lineRule="auto"/>
        <w:rPr>
          <w:rFonts w:hint="eastAsia"/>
        </w:rPr>
      </w:pPr>
    </w:p>
    <w:p w14:paraId="72B73F52">
      <w:pPr>
        <w:pStyle w:val="105"/>
        <w:spacing w:before="120" w:after="120" w:line="360" w:lineRule="auto"/>
      </w:pPr>
      <w:r>
        <w:rPr>
          <w:rFonts w:hint="eastAsia"/>
        </w:rPr>
        <w:t>机构设置要求</w:t>
      </w:r>
    </w:p>
    <w:p w14:paraId="2EF67E57">
      <w:pPr>
        <w:pStyle w:val="65"/>
        <w:spacing w:before="120" w:after="120" w:line="360" w:lineRule="auto"/>
      </w:pPr>
      <w:r>
        <w:rPr>
          <w:rFonts w:hint="eastAsia"/>
        </w:rPr>
        <w:t>一般要求</w:t>
      </w:r>
    </w:p>
    <w:p w14:paraId="27A6AD83">
      <w:pPr>
        <w:pStyle w:val="164"/>
        <w:spacing w:line="360" w:lineRule="auto"/>
      </w:pPr>
      <w:r>
        <w:rPr>
          <w:rFonts w:hint="eastAsia"/>
        </w:rPr>
        <w:t>实施癌症早期筛查的机构应设置相应管理单元或者工作小组。</w:t>
      </w:r>
    </w:p>
    <w:p w14:paraId="05FD289A">
      <w:pPr>
        <w:pStyle w:val="164"/>
        <w:spacing w:line="360" w:lineRule="auto"/>
      </w:pPr>
      <w:r>
        <w:rPr>
          <w:rFonts w:hint="eastAsia"/>
        </w:rPr>
        <w:t>机构内部宜设置项目管理、临床筛查、检验检查、质控管理、信息管理和随访管理等功能岗位或者职责模块。</w:t>
      </w:r>
    </w:p>
    <w:p w14:paraId="36E4AB93">
      <w:pPr>
        <w:pStyle w:val="164"/>
        <w:spacing w:line="360" w:lineRule="auto"/>
      </w:pPr>
      <w:r>
        <w:rPr>
          <w:rFonts w:hint="eastAsia"/>
        </w:rPr>
        <w:t>机构设置应与筛查规模、筛查癌种数量和技术路径复杂程度相适应。</w:t>
      </w:r>
    </w:p>
    <w:p w14:paraId="22E8D39B">
      <w:pPr>
        <w:pStyle w:val="65"/>
        <w:spacing w:before="120" w:after="120" w:line="360" w:lineRule="auto"/>
      </w:pPr>
      <w:r>
        <w:rPr>
          <w:rFonts w:hint="eastAsia"/>
        </w:rPr>
        <w:t>功能要求</w:t>
      </w:r>
    </w:p>
    <w:p w14:paraId="0878D7FC">
      <w:pPr>
        <w:pStyle w:val="164"/>
        <w:spacing w:line="360" w:lineRule="auto"/>
      </w:pPr>
      <w:r>
        <w:rPr>
          <w:rFonts w:hint="eastAsia"/>
        </w:rPr>
        <w:t>筛查机构应具备受检者接待、登记、咨询、筛查实施、结果反馈和转诊协助等基础功能。</w:t>
      </w:r>
    </w:p>
    <w:p w14:paraId="4177B88A">
      <w:pPr>
        <w:pStyle w:val="164"/>
        <w:spacing w:line="360" w:lineRule="auto"/>
      </w:pPr>
      <w:r>
        <w:rPr>
          <w:rFonts w:hint="eastAsia"/>
        </w:rPr>
        <w:t>涉及病理、影像、内镜或者实验室检测的机构，应具备相应技术实施条件和质量控制条件。</w:t>
      </w:r>
    </w:p>
    <w:p w14:paraId="03B75452">
      <w:pPr>
        <w:pStyle w:val="164"/>
        <w:spacing w:line="360" w:lineRule="auto"/>
      </w:pPr>
      <w:r>
        <w:rPr>
          <w:rFonts w:hint="eastAsia"/>
        </w:rPr>
        <w:t>不具备相应复筛或者诊断条件的机构，应与上级医疗机构或者专科机构建立固定协作关系。</w:t>
      </w:r>
    </w:p>
    <w:p w14:paraId="4AA8D781">
      <w:pPr>
        <w:pStyle w:val="105"/>
        <w:spacing w:before="120" w:after="120" w:line="360" w:lineRule="auto"/>
      </w:pPr>
      <w:r>
        <w:rPr>
          <w:rFonts w:hint="eastAsia"/>
        </w:rPr>
        <w:t>人员配置要求</w:t>
      </w:r>
    </w:p>
    <w:p w14:paraId="18D05DD3">
      <w:pPr>
        <w:pStyle w:val="65"/>
        <w:spacing w:before="120" w:after="120" w:line="360" w:lineRule="auto"/>
      </w:pPr>
      <w:r>
        <w:rPr>
          <w:rFonts w:hint="eastAsia"/>
        </w:rPr>
        <w:t>一般要求</w:t>
      </w:r>
    </w:p>
    <w:p w14:paraId="459EA45D">
      <w:pPr>
        <w:pStyle w:val="164"/>
        <w:spacing w:line="360" w:lineRule="auto"/>
      </w:pPr>
      <w:r>
        <w:rPr>
          <w:rFonts w:hint="eastAsia"/>
        </w:rPr>
        <w:t>筛查机构应根据项目需要配备相应人员。</w:t>
      </w:r>
    </w:p>
    <w:p w14:paraId="0FA6B3D7">
      <w:pPr>
        <w:pStyle w:val="164"/>
        <w:spacing w:line="360" w:lineRule="auto"/>
      </w:pPr>
      <w:r>
        <w:rPr>
          <w:rFonts w:hint="eastAsia"/>
        </w:rPr>
        <w:t>人员配置应覆盖临床医师、护士、检验人员、影像人员、病理人员、内镜人员、登记人员、随访人员和质控人员等。</w:t>
      </w:r>
    </w:p>
    <w:p w14:paraId="0D129ECE">
      <w:pPr>
        <w:pStyle w:val="164"/>
        <w:spacing w:line="360" w:lineRule="auto"/>
      </w:pPr>
      <w:r>
        <w:rPr>
          <w:rFonts w:hint="eastAsia"/>
        </w:rPr>
        <w:t>人员数量和岗位结构应与筛查工作量和工作复杂程度相适应。</w:t>
      </w:r>
    </w:p>
    <w:p w14:paraId="587208FD">
      <w:pPr>
        <w:pStyle w:val="65"/>
        <w:spacing w:before="120" w:after="120" w:line="360" w:lineRule="auto"/>
      </w:pPr>
      <w:r>
        <w:rPr>
          <w:rFonts w:hint="eastAsia"/>
        </w:rPr>
        <w:t>能力要求</w:t>
      </w:r>
    </w:p>
    <w:p w14:paraId="209AA3CD">
      <w:pPr>
        <w:pStyle w:val="164"/>
        <w:spacing w:line="360" w:lineRule="auto"/>
      </w:pPr>
      <w:r>
        <w:rPr>
          <w:rFonts w:hint="eastAsia"/>
        </w:rPr>
        <w:t>参与筛查的人员应具备相应专业背景、岗位培训经历和实际操作能力。</w:t>
      </w:r>
    </w:p>
    <w:p w14:paraId="4F96B38C">
      <w:pPr>
        <w:pStyle w:val="164"/>
        <w:spacing w:line="360" w:lineRule="auto"/>
      </w:pPr>
      <w:r>
        <w:rPr>
          <w:rFonts w:hint="eastAsia"/>
        </w:rPr>
        <w:t>关键岗位人员应熟悉筛查方案、操作规范、结果判定标准、异常结果处置要求和信息登记要求。</w:t>
      </w:r>
    </w:p>
    <w:p w14:paraId="4AC49848">
      <w:pPr>
        <w:pStyle w:val="164"/>
        <w:spacing w:line="360" w:lineRule="auto"/>
      </w:pPr>
      <w:r>
        <w:rPr>
          <w:rFonts w:hint="eastAsia"/>
        </w:rPr>
        <w:t>未经培训或者培训考核不合格的人员，不得独立上岗。</w:t>
      </w:r>
    </w:p>
    <w:p w14:paraId="36CAC915">
      <w:pPr>
        <w:pStyle w:val="65"/>
        <w:spacing w:before="120" w:after="120" w:line="360" w:lineRule="auto"/>
      </w:pPr>
      <w:r>
        <w:rPr>
          <w:rFonts w:hint="eastAsia"/>
        </w:rPr>
        <w:t>培训要求</w:t>
      </w:r>
    </w:p>
    <w:p w14:paraId="036235E4">
      <w:pPr>
        <w:pStyle w:val="164"/>
        <w:spacing w:line="360" w:lineRule="auto"/>
      </w:pPr>
      <w:r>
        <w:rPr>
          <w:rFonts w:hint="eastAsia"/>
        </w:rPr>
        <w:t>筛查机构应建立培训制度。</w:t>
      </w:r>
    </w:p>
    <w:p w14:paraId="21A3A3CA">
      <w:pPr>
        <w:pStyle w:val="164"/>
        <w:spacing w:line="360" w:lineRule="auto"/>
      </w:pPr>
      <w:r>
        <w:rPr>
          <w:rFonts w:hint="eastAsia"/>
        </w:rPr>
        <w:t>培训内容宜至少包括：</w:t>
      </w:r>
    </w:p>
    <w:p w14:paraId="43423BBF">
      <w:pPr>
        <w:pStyle w:val="56"/>
        <w:spacing w:line="360" w:lineRule="auto"/>
        <w:ind w:firstLine="420"/>
      </w:pPr>
      <w:r>
        <w:rPr>
          <w:rFonts w:hint="eastAsia"/>
        </w:rPr>
        <w:t>a）筛查政策和筛查方案；</w:t>
      </w:r>
    </w:p>
    <w:p w14:paraId="5EFAF004">
      <w:pPr>
        <w:pStyle w:val="56"/>
        <w:spacing w:line="360" w:lineRule="auto"/>
        <w:ind w:firstLine="420"/>
      </w:pPr>
      <w:r>
        <w:rPr>
          <w:rFonts w:hint="eastAsia"/>
        </w:rPr>
        <w:t>b）技术规范；</w:t>
      </w:r>
    </w:p>
    <w:p w14:paraId="5BD6BD4A">
      <w:pPr>
        <w:pStyle w:val="56"/>
        <w:spacing w:line="360" w:lineRule="auto"/>
        <w:ind w:firstLine="420"/>
      </w:pPr>
      <w:r>
        <w:rPr>
          <w:rFonts w:hint="eastAsia"/>
        </w:rPr>
        <w:t>c）操作流程；</w:t>
      </w:r>
    </w:p>
    <w:p w14:paraId="5828B90A">
      <w:pPr>
        <w:pStyle w:val="56"/>
        <w:spacing w:line="360" w:lineRule="auto"/>
        <w:ind w:firstLine="420"/>
      </w:pPr>
      <w:r>
        <w:rPr>
          <w:rFonts w:hint="eastAsia"/>
        </w:rPr>
        <w:t>d）质量控制要求；</w:t>
      </w:r>
    </w:p>
    <w:p w14:paraId="2D4FA9D2">
      <w:pPr>
        <w:pStyle w:val="56"/>
        <w:spacing w:line="360" w:lineRule="auto"/>
        <w:ind w:firstLine="420"/>
      </w:pPr>
      <w:r>
        <w:rPr>
          <w:rFonts w:hint="eastAsia"/>
        </w:rPr>
        <w:t>e）信息登记要求；</w:t>
      </w:r>
    </w:p>
    <w:p w14:paraId="6432BA6C">
      <w:pPr>
        <w:pStyle w:val="56"/>
        <w:spacing w:line="360" w:lineRule="auto"/>
        <w:ind w:firstLine="420"/>
      </w:pPr>
      <w:r>
        <w:rPr>
          <w:rFonts w:hint="eastAsia"/>
        </w:rPr>
        <w:t>f）转诊随访要求；</w:t>
      </w:r>
    </w:p>
    <w:p w14:paraId="0926B8F9">
      <w:pPr>
        <w:pStyle w:val="56"/>
        <w:spacing w:line="360" w:lineRule="auto"/>
        <w:ind w:firstLine="420"/>
      </w:pPr>
      <w:r>
        <w:rPr>
          <w:rFonts w:hint="eastAsia"/>
        </w:rPr>
        <w:t>g）不良事件处置要求；</w:t>
      </w:r>
    </w:p>
    <w:p w14:paraId="339C37DE">
      <w:pPr>
        <w:pStyle w:val="56"/>
        <w:spacing w:line="360" w:lineRule="auto"/>
        <w:ind w:firstLine="420"/>
      </w:pPr>
      <w:r>
        <w:rPr>
          <w:rFonts w:hint="eastAsia"/>
        </w:rPr>
        <w:t>h）隐私保护要求。</w:t>
      </w:r>
    </w:p>
    <w:p w14:paraId="339A047C">
      <w:pPr>
        <w:pStyle w:val="164"/>
        <w:spacing w:line="360" w:lineRule="auto"/>
      </w:pPr>
      <w:r>
        <w:rPr>
          <w:rFonts w:hint="eastAsia"/>
        </w:rPr>
        <w:t>新上岗人员、转岗人员和参与新癌种筛查项目的人员，应进行专项培训。</w:t>
      </w:r>
    </w:p>
    <w:p w14:paraId="414AA123">
      <w:pPr>
        <w:pStyle w:val="105"/>
        <w:spacing w:before="120" w:after="120" w:line="360" w:lineRule="auto"/>
      </w:pPr>
      <w:r>
        <w:rPr>
          <w:rFonts w:hint="eastAsia"/>
        </w:rPr>
        <w:t>场地与设施要求</w:t>
      </w:r>
    </w:p>
    <w:p w14:paraId="524B0D1B">
      <w:pPr>
        <w:pStyle w:val="65"/>
        <w:spacing w:before="120" w:after="120" w:line="360" w:lineRule="auto"/>
      </w:pPr>
      <w:r>
        <w:rPr>
          <w:rFonts w:hint="eastAsia"/>
        </w:rPr>
        <w:t>一般要求</w:t>
      </w:r>
    </w:p>
    <w:p w14:paraId="2B17D49E">
      <w:pPr>
        <w:pStyle w:val="164"/>
        <w:spacing w:line="360" w:lineRule="auto"/>
      </w:pPr>
      <w:r>
        <w:rPr>
          <w:rFonts w:hint="eastAsia"/>
        </w:rPr>
        <w:t>筛查机构应具备与筛查工作相适应的场地和设施条件。</w:t>
      </w:r>
    </w:p>
    <w:p w14:paraId="77FE2A1C">
      <w:pPr>
        <w:pStyle w:val="164"/>
        <w:spacing w:line="360" w:lineRule="auto"/>
      </w:pPr>
      <w:r>
        <w:rPr>
          <w:rFonts w:hint="eastAsia"/>
        </w:rPr>
        <w:t>场地布局应满足预约登记、候诊、检查、样本采集、结果解释和隐私保护要求。</w:t>
      </w:r>
    </w:p>
    <w:p w14:paraId="30C18854">
      <w:pPr>
        <w:pStyle w:val="164"/>
        <w:spacing w:line="360" w:lineRule="auto"/>
      </w:pPr>
      <w:r>
        <w:rPr>
          <w:rFonts w:hint="eastAsia"/>
        </w:rPr>
        <w:t>场地环境应整洁、安全、分区明确、标识清晰。</w:t>
      </w:r>
    </w:p>
    <w:p w14:paraId="593D44C9">
      <w:pPr>
        <w:pStyle w:val="65"/>
        <w:spacing w:before="120" w:after="120" w:line="360" w:lineRule="auto"/>
      </w:pPr>
      <w:r>
        <w:rPr>
          <w:rFonts w:hint="eastAsia"/>
        </w:rPr>
        <w:t>功能分区要求</w:t>
      </w:r>
    </w:p>
    <w:p w14:paraId="62BA47A9">
      <w:pPr>
        <w:pStyle w:val="164"/>
        <w:spacing w:line="360" w:lineRule="auto"/>
      </w:pPr>
      <w:r>
        <w:rPr>
          <w:rFonts w:hint="eastAsia"/>
        </w:rPr>
        <w:t>筛查机构宜设置下列功能区域：</w:t>
      </w:r>
    </w:p>
    <w:p w14:paraId="6C819373">
      <w:pPr>
        <w:pStyle w:val="56"/>
        <w:spacing w:line="360" w:lineRule="auto"/>
        <w:ind w:firstLine="420"/>
      </w:pPr>
      <w:r>
        <w:rPr>
          <w:rFonts w:hint="eastAsia"/>
        </w:rPr>
        <w:t>a）登记区；</w:t>
      </w:r>
    </w:p>
    <w:p w14:paraId="420288FB">
      <w:pPr>
        <w:pStyle w:val="56"/>
        <w:spacing w:line="360" w:lineRule="auto"/>
        <w:ind w:firstLine="420"/>
      </w:pPr>
      <w:r>
        <w:rPr>
          <w:rFonts w:hint="eastAsia"/>
        </w:rPr>
        <w:t>b）候诊区；</w:t>
      </w:r>
    </w:p>
    <w:p w14:paraId="764DD5BB">
      <w:pPr>
        <w:pStyle w:val="56"/>
        <w:spacing w:line="360" w:lineRule="auto"/>
        <w:ind w:firstLine="420"/>
      </w:pPr>
      <w:r>
        <w:rPr>
          <w:rFonts w:hint="eastAsia"/>
        </w:rPr>
        <w:t>c）咨询区；</w:t>
      </w:r>
    </w:p>
    <w:p w14:paraId="230D4AE4">
      <w:pPr>
        <w:pStyle w:val="56"/>
        <w:spacing w:line="360" w:lineRule="auto"/>
        <w:ind w:firstLine="420"/>
      </w:pPr>
      <w:r>
        <w:rPr>
          <w:rFonts w:hint="eastAsia"/>
        </w:rPr>
        <w:t>d）检查区；</w:t>
      </w:r>
    </w:p>
    <w:p w14:paraId="4FFECC4B">
      <w:pPr>
        <w:pStyle w:val="56"/>
        <w:spacing w:line="360" w:lineRule="auto"/>
        <w:ind w:firstLine="420"/>
      </w:pPr>
      <w:r>
        <w:rPr>
          <w:rFonts w:hint="eastAsia"/>
        </w:rPr>
        <w:t>e）样本采集区；</w:t>
      </w:r>
    </w:p>
    <w:p w14:paraId="7CF02D50">
      <w:pPr>
        <w:pStyle w:val="56"/>
        <w:spacing w:line="360" w:lineRule="auto"/>
        <w:ind w:firstLine="420"/>
      </w:pPr>
      <w:r>
        <w:rPr>
          <w:rFonts w:hint="eastAsia"/>
        </w:rPr>
        <w:t>f）结果反馈区；</w:t>
      </w:r>
    </w:p>
    <w:p w14:paraId="2A5F78A8">
      <w:pPr>
        <w:pStyle w:val="56"/>
        <w:spacing w:line="360" w:lineRule="auto"/>
        <w:ind w:firstLine="420"/>
      </w:pPr>
      <w:r>
        <w:rPr>
          <w:rFonts w:hint="eastAsia"/>
        </w:rPr>
        <w:t>g）资料管理区。</w:t>
      </w:r>
    </w:p>
    <w:p w14:paraId="60455E2C">
      <w:pPr>
        <w:pStyle w:val="164"/>
        <w:spacing w:line="360" w:lineRule="auto"/>
      </w:pPr>
      <w:r>
        <w:rPr>
          <w:rFonts w:hint="eastAsia"/>
        </w:rPr>
        <w:t>不同功能区域应避免无序交叉和混杂流线。</w:t>
      </w:r>
    </w:p>
    <w:p w14:paraId="452F70AF">
      <w:pPr>
        <w:pStyle w:val="65"/>
        <w:spacing w:before="120" w:after="120" w:line="360" w:lineRule="auto"/>
      </w:pPr>
      <w:r>
        <w:rPr>
          <w:rFonts w:hint="eastAsia"/>
        </w:rPr>
        <w:t>隐私保护要求</w:t>
      </w:r>
    </w:p>
    <w:p w14:paraId="2C40947E">
      <w:pPr>
        <w:pStyle w:val="164"/>
        <w:spacing w:line="360" w:lineRule="auto"/>
      </w:pPr>
      <w:r>
        <w:rPr>
          <w:rFonts w:hint="eastAsia"/>
        </w:rPr>
        <w:t>涉及妇科检查、乳腺检查、内镜检查、问卷调查和结果反馈的区域，应加强隐私保护。</w:t>
      </w:r>
    </w:p>
    <w:p w14:paraId="01CD4E13">
      <w:pPr>
        <w:pStyle w:val="164"/>
        <w:spacing w:line="360" w:lineRule="auto"/>
      </w:pPr>
      <w:r>
        <w:rPr>
          <w:rFonts w:hint="eastAsia"/>
        </w:rPr>
        <w:t>不得在公开区域随意谈论受检者筛查结果和个人健康信息。</w:t>
      </w:r>
    </w:p>
    <w:p w14:paraId="63EF65F1">
      <w:pPr>
        <w:pStyle w:val="105"/>
        <w:spacing w:before="120" w:after="120" w:line="360" w:lineRule="auto"/>
      </w:pPr>
      <w:r>
        <w:rPr>
          <w:rFonts w:hint="eastAsia"/>
        </w:rPr>
        <w:t>设备与试剂管理要求</w:t>
      </w:r>
    </w:p>
    <w:p w14:paraId="6EB5E4E0">
      <w:pPr>
        <w:pStyle w:val="65"/>
        <w:spacing w:before="120" w:after="120" w:line="360" w:lineRule="auto"/>
      </w:pPr>
      <w:r>
        <w:rPr>
          <w:rFonts w:hint="eastAsia"/>
        </w:rPr>
        <w:t>一般要求</w:t>
      </w:r>
    </w:p>
    <w:p w14:paraId="3281C0F0">
      <w:pPr>
        <w:pStyle w:val="164"/>
        <w:spacing w:line="360" w:lineRule="auto"/>
      </w:pPr>
      <w:r>
        <w:rPr>
          <w:rFonts w:hint="eastAsia"/>
        </w:rPr>
        <w:t>筛查机构应配备与筛查项目相适应的设备和器械。</w:t>
      </w:r>
    </w:p>
    <w:p w14:paraId="693F5B73">
      <w:pPr>
        <w:pStyle w:val="164"/>
        <w:spacing w:line="360" w:lineRule="auto"/>
      </w:pPr>
      <w:r>
        <w:rPr>
          <w:rFonts w:hint="eastAsia"/>
        </w:rPr>
        <w:t>设备和器械应满足国家有关规定、技术要求和使用要求。</w:t>
      </w:r>
    </w:p>
    <w:p w14:paraId="4030AD1B">
      <w:pPr>
        <w:pStyle w:val="164"/>
        <w:spacing w:line="360" w:lineRule="auto"/>
      </w:pPr>
      <w:r>
        <w:rPr>
          <w:rFonts w:hint="eastAsia"/>
        </w:rPr>
        <w:t>设备应保持完好状态，并按规定维护、校验和保养。</w:t>
      </w:r>
    </w:p>
    <w:p w14:paraId="5A7CE062">
      <w:pPr>
        <w:pStyle w:val="65"/>
        <w:spacing w:before="120" w:after="120" w:line="360" w:lineRule="auto"/>
      </w:pPr>
      <w:r>
        <w:rPr>
          <w:rFonts w:hint="eastAsia"/>
        </w:rPr>
        <w:t>试剂和耗材要求</w:t>
      </w:r>
    </w:p>
    <w:p w14:paraId="67B547A9">
      <w:pPr>
        <w:pStyle w:val="164"/>
        <w:spacing w:line="360" w:lineRule="auto"/>
      </w:pPr>
      <w:r>
        <w:rPr>
          <w:rFonts w:hint="eastAsia"/>
        </w:rPr>
        <w:t>涉及实验室检测和样本处理的筛查项目，应使用合格试剂和耗材。</w:t>
      </w:r>
    </w:p>
    <w:p w14:paraId="61D45FC4">
      <w:pPr>
        <w:pStyle w:val="164"/>
        <w:spacing w:line="360" w:lineRule="auto"/>
      </w:pPr>
      <w:r>
        <w:rPr>
          <w:rFonts w:hint="eastAsia"/>
        </w:rPr>
        <w:t>试剂和耗材应在有效期内使用，并按规定储存和管理。</w:t>
      </w:r>
    </w:p>
    <w:p w14:paraId="38CB2306">
      <w:pPr>
        <w:pStyle w:val="164"/>
        <w:spacing w:line="360" w:lineRule="auto"/>
      </w:pPr>
      <w:r>
        <w:rPr>
          <w:rFonts w:hint="eastAsia"/>
        </w:rPr>
        <w:t>来源不明、标识不清、超过有效期或者储存条件不符合要求的试剂和耗材，不得使用。</w:t>
      </w:r>
    </w:p>
    <w:p w14:paraId="25866269">
      <w:pPr>
        <w:pStyle w:val="105"/>
        <w:spacing w:before="120" w:after="120" w:line="360" w:lineRule="auto"/>
      </w:pPr>
      <w:r>
        <w:rPr>
          <w:rFonts w:hint="eastAsia"/>
        </w:rPr>
        <w:t>信息系统要求</w:t>
      </w:r>
    </w:p>
    <w:p w14:paraId="23BA10D5">
      <w:pPr>
        <w:pStyle w:val="65"/>
        <w:spacing w:before="120" w:after="120" w:line="360" w:lineRule="auto"/>
      </w:pPr>
      <w:r>
        <w:rPr>
          <w:rFonts w:hint="eastAsia"/>
        </w:rPr>
        <w:t>一般要求</w:t>
      </w:r>
    </w:p>
    <w:p w14:paraId="75BD6DB8">
      <w:pPr>
        <w:pStyle w:val="164"/>
        <w:spacing w:line="360" w:lineRule="auto"/>
      </w:pPr>
      <w:r>
        <w:rPr>
          <w:rFonts w:hint="eastAsia"/>
        </w:rPr>
        <w:t>筛查机构应建立与筛查项目相适应的信息管理机制。</w:t>
      </w:r>
    </w:p>
    <w:p w14:paraId="19876014">
      <w:pPr>
        <w:pStyle w:val="164"/>
        <w:spacing w:line="360" w:lineRule="auto"/>
      </w:pPr>
      <w:r>
        <w:rPr>
          <w:rFonts w:hint="eastAsia"/>
        </w:rPr>
        <w:t>有条件的机构宜使用信息化系统实施筛查对象登记、结果录入、转诊管理、随访管理和质量统计。</w:t>
      </w:r>
    </w:p>
    <w:p w14:paraId="60766013">
      <w:pPr>
        <w:pStyle w:val="164"/>
        <w:spacing w:line="360" w:lineRule="auto"/>
      </w:pPr>
      <w:r>
        <w:rPr>
          <w:rFonts w:hint="eastAsia"/>
        </w:rPr>
        <w:t>信息系统应满足数据录入、数据查询、结果关联、转诊追踪和质量统计要求。</w:t>
      </w:r>
    </w:p>
    <w:p w14:paraId="08A9B736">
      <w:pPr>
        <w:pStyle w:val="65"/>
        <w:spacing w:before="120" w:after="120" w:line="360" w:lineRule="auto"/>
      </w:pPr>
      <w:r>
        <w:rPr>
          <w:rFonts w:hint="eastAsia"/>
        </w:rPr>
        <w:t>控制要求</w:t>
      </w:r>
    </w:p>
    <w:p w14:paraId="2CF5F78B">
      <w:pPr>
        <w:pStyle w:val="164"/>
        <w:spacing w:line="360" w:lineRule="auto"/>
      </w:pPr>
      <w:r>
        <w:rPr>
          <w:rFonts w:hint="eastAsia"/>
        </w:rPr>
        <w:t>信息系统应对筛查对象基本信息、风险信息、检查结果、复筛结果、转诊信息和随访结局进行关联管理。</w:t>
      </w:r>
    </w:p>
    <w:p w14:paraId="21EEED93">
      <w:pPr>
        <w:pStyle w:val="164"/>
        <w:spacing w:line="360" w:lineRule="auto"/>
      </w:pPr>
      <w:r>
        <w:rPr>
          <w:rFonts w:hint="eastAsia"/>
        </w:rPr>
        <w:t>重要数据录入应设置必要校验规则。</w:t>
      </w:r>
    </w:p>
    <w:p w14:paraId="7CD09B33">
      <w:pPr>
        <w:pStyle w:val="164"/>
        <w:spacing w:line="360" w:lineRule="auto"/>
      </w:pPr>
      <w:r>
        <w:rPr>
          <w:rFonts w:hint="eastAsia"/>
        </w:rPr>
        <w:t>信息系统权限应按岗位分配，不得无控制共享账号。</w:t>
      </w:r>
    </w:p>
    <w:p w14:paraId="64D50373">
      <w:pPr>
        <w:pStyle w:val="105"/>
        <w:spacing w:before="120" w:after="120" w:line="360" w:lineRule="auto"/>
      </w:pPr>
      <w:r>
        <w:rPr>
          <w:rFonts w:hint="eastAsia"/>
        </w:rPr>
        <w:t>转诊协作机制要求</w:t>
      </w:r>
    </w:p>
    <w:p w14:paraId="259B8853">
      <w:pPr>
        <w:pStyle w:val="65"/>
        <w:spacing w:before="120" w:after="120" w:line="360" w:lineRule="auto"/>
      </w:pPr>
      <w:r>
        <w:rPr>
          <w:rFonts w:hint="eastAsia"/>
        </w:rPr>
        <w:t>一般要求</w:t>
      </w:r>
    </w:p>
    <w:p w14:paraId="055C9EDB">
      <w:pPr>
        <w:pStyle w:val="164"/>
        <w:spacing w:line="360" w:lineRule="auto"/>
      </w:pPr>
      <w:r>
        <w:rPr>
          <w:rFonts w:hint="eastAsia"/>
        </w:rPr>
        <w:t>筛查机构应建立转诊协作机制。</w:t>
      </w:r>
    </w:p>
    <w:p w14:paraId="35DB9C9F">
      <w:pPr>
        <w:pStyle w:val="164"/>
        <w:spacing w:line="360" w:lineRule="auto"/>
      </w:pPr>
      <w:r>
        <w:rPr>
          <w:rFonts w:hint="eastAsia"/>
        </w:rPr>
        <w:t>转诊协作机制应覆盖阳性对象、可疑对象和需进一步检查对象。</w:t>
      </w:r>
    </w:p>
    <w:p w14:paraId="384E1FA9">
      <w:pPr>
        <w:pStyle w:val="164"/>
        <w:spacing w:line="360" w:lineRule="auto"/>
      </w:pPr>
      <w:r>
        <w:rPr>
          <w:rFonts w:hint="eastAsia"/>
        </w:rPr>
        <w:t>转诊协作应与结果解释、随访提醒和结局反馈相衔接。</w:t>
      </w:r>
    </w:p>
    <w:p w14:paraId="26E113B4">
      <w:pPr>
        <w:pStyle w:val="65"/>
        <w:spacing w:before="120" w:after="120" w:line="360" w:lineRule="auto"/>
      </w:pPr>
      <w:r>
        <w:rPr>
          <w:rFonts w:hint="eastAsia"/>
        </w:rPr>
        <w:t>管理要求</w:t>
      </w:r>
    </w:p>
    <w:p w14:paraId="3C17CF39">
      <w:pPr>
        <w:pStyle w:val="164"/>
        <w:spacing w:line="360" w:lineRule="auto"/>
      </w:pPr>
      <w:r>
        <w:rPr>
          <w:rFonts w:hint="eastAsia"/>
        </w:rPr>
        <w:t>筛查机构应明确转诊机构名单、转诊路径、转诊时限和反馈要求。</w:t>
      </w:r>
    </w:p>
    <w:p w14:paraId="53DEB509">
      <w:pPr>
        <w:pStyle w:val="164"/>
        <w:spacing w:line="360" w:lineRule="auto"/>
      </w:pPr>
      <w:r>
        <w:rPr>
          <w:rFonts w:hint="eastAsia"/>
        </w:rPr>
        <w:t>对重点异常对象，应实施主动转诊提醒和转诊进展跟踪。</w:t>
      </w:r>
    </w:p>
    <w:p w14:paraId="5EE63E33">
      <w:pPr>
        <w:pStyle w:val="164"/>
        <w:spacing w:line="360" w:lineRule="auto"/>
      </w:pPr>
      <w:r>
        <w:rPr>
          <w:rFonts w:hint="eastAsia"/>
        </w:rPr>
        <w:t>转诊协作中断、结局反馈中断或者异常对象长期失访的，应纳入质量问题管理。</w:t>
      </w:r>
    </w:p>
    <w:p w14:paraId="3F17C170">
      <w:pPr>
        <w:pStyle w:val="105"/>
        <w:spacing w:before="120" w:after="120" w:line="360" w:lineRule="auto"/>
      </w:pPr>
      <w:r>
        <w:rPr>
          <w:rFonts w:hint="eastAsia"/>
        </w:rPr>
        <w:t>筛查组织与机构管理要点</w:t>
      </w:r>
    </w:p>
    <w:p w14:paraId="6D81AACC">
      <w:pPr>
        <w:pStyle w:val="56"/>
        <w:spacing w:line="360" w:lineRule="auto"/>
        <w:ind w:firstLine="420"/>
      </w:pPr>
      <w:r>
        <w:rPr>
          <w:rFonts w:hint="eastAsia"/>
        </w:rPr>
        <w:t>筛查组织与机构管理的主要内容见表1。表1给出了癌症早期筛查组织与机构管理的主要内容及控制要点。</w:t>
      </w:r>
    </w:p>
    <w:p w14:paraId="285226B2">
      <w:pPr>
        <w:pStyle w:val="112"/>
        <w:spacing w:before="120" w:after="120" w:line="360" w:lineRule="auto"/>
      </w:pPr>
      <w:r>
        <w:rPr>
          <w:rFonts w:hint="eastAsia"/>
        </w:rPr>
        <w:t>癌症早期筛查组织与机构管理要点表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395"/>
        <w:gridCol w:w="3248"/>
      </w:tblGrid>
      <w:tr w14:paraId="6923D2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18BE1434">
            <w:pPr>
              <w:pStyle w:val="178"/>
            </w:pPr>
            <w:r>
              <w:rPr>
                <w:rFonts w:hint="eastAsia"/>
              </w:rPr>
              <w:t>工作类别</w:t>
            </w:r>
          </w:p>
        </w:tc>
        <w:tc>
          <w:tcPr>
            <w:tcW w:w="4395" w:type="dxa"/>
            <w:tcBorders>
              <w:top w:val="single" w:color="auto" w:sz="8" w:space="0"/>
              <w:bottom w:val="single" w:color="auto" w:sz="8" w:space="0"/>
            </w:tcBorders>
          </w:tcPr>
          <w:p w14:paraId="4F19C836">
            <w:pPr>
              <w:pStyle w:val="178"/>
            </w:pPr>
            <w:r>
              <w:rPr>
                <w:rFonts w:hint="eastAsia"/>
              </w:rPr>
              <w:t>主要内容</w:t>
            </w:r>
          </w:p>
        </w:tc>
        <w:tc>
          <w:tcPr>
            <w:tcW w:w="3248" w:type="dxa"/>
            <w:tcBorders>
              <w:top w:val="single" w:color="auto" w:sz="8" w:space="0"/>
              <w:bottom w:val="single" w:color="auto" w:sz="8" w:space="0"/>
            </w:tcBorders>
          </w:tcPr>
          <w:p w14:paraId="2B2297BC">
            <w:pPr>
              <w:pStyle w:val="178"/>
            </w:pPr>
            <w:r>
              <w:rPr>
                <w:rFonts w:hint="eastAsia"/>
              </w:rPr>
              <w:t>控制要点</w:t>
            </w:r>
          </w:p>
        </w:tc>
      </w:tr>
      <w:tr w14:paraId="366BEF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1E41E741">
            <w:pPr>
              <w:pStyle w:val="178"/>
            </w:pPr>
            <w:r>
              <w:rPr>
                <w:rFonts w:hint="eastAsia"/>
              </w:rPr>
              <w:t>组织实施</w:t>
            </w:r>
          </w:p>
        </w:tc>
        <w:tc>
          <w:tcPr>
            <w:tcW w:w="4395" w:type="dxa"/>
            <w:tcBorders>
              <w:top w:val="single" w:color="auto" w:sz="8" w:space="0"/>
            </w:tcBorders>
          </w:tcPr>
          <w:p w14:paraId="61516E38">
            <w:pPr>
              <w:pStyle w:val="178"/>
            </w:pPr>
            <w:r>
              <w:rPr>
                <w:rFonts w:hint="eastAsia"/>
              </w:rPr>
              <w:t>目标、范围、流程、分工、计划</w:t>
            </w:r>
          </w:p>
        </w:tc>
        <w:tc>
          <w:tcPr>
            <w:tcW w:w="3248" w:type="dxa"/>
            <w:tcBorders>
              <w:top w:val="single" w:color="auto" w:sz="8" w:space="0"/>
            </w:tcBorders>
          </w:tcPr>
          <w:p w14:paraId="0BFE50BC">
            <w:pPr>
              <w:pStyle w:val="178"/>
            </w:pPr>
            <w:r>
              <w:rPr>
                <w:rFonts w:hint="eastAsia"/>
              </w:rPr>
              <w:t>方案明确，责任到岗，流程闭环</w:t>
            </w:r>
          </w:p>
        </w:tc>
      </w:tr>
      <w:tr w14:paraId="4D285B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5CED11E">
            <w:pPr>
              <w:pStyle w:val="178"/>
            </w:pPr>
            <w:r>
              <w:rPr>
                <w:rFonts w:hint="eastAsia"/>
              </w:rPr>
              <w:t>机构设置</w:t>
            </w:r>
          </w:p>
        </w:tc>
        <w:tc>
          <w:tcPr>
            <w:tcW w:w="4395" w:type="dxa"/>
          </w:tcPr>
          <w:p w14:paraId="4A3955C6">
            <w:pPr>
              <w:pStyle w:val="178"/>
            </w:pPr>
            <w:r>
              <w:rPr>
                <w:rFonts w:hint="eastAsia"/>
              </w:rPr>
              <w:t>管理、筛查、质控、信息、随访功能</w:t>
            </w:r>
          </w:p>
        </w:tc>
        <w:tc>
          <w:tcPr>
            <w:tcW w:w="3248" w:type="dxa"/>
          </w:tcPr>
          <w:p w14:paraId="149C59A9">
            <w:pPr>
              <w:pStyle w:val="178"/>
            </w:pPr>
            <w:r>
              <w:rPr>
                <w:rFonts w:hint="eastAsia"/>
              </w:rPr>
              <w:t>功能完整，不得缺少关键管理单元</w:t>
            </w:r>
          </w:p>
        </w:tc>
      </w:tr>
      <w:tr w14:paraId="2E9E08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20594BB0">
            <w:pPr>
              <w:pStyle w:val="178"/>
            </w:pPr>
            <w:r>
              <w:rPr>
                <w:rFonts w:hint="eastAsia"/>
              </w:rPr>
              <w:t>人员配置</w:t>
            </w:r>
          </w:p>
        </w:tc>
        <w:tc>
          <w:tcPr>
            <w:tcW w:w="4395" w:type="dxa"/>
          </w:tcPr>
          <w:p w14:paraId="1CB951F7">
            <w:pPr>
              <w:pStyle w:val="178"/>
            </w:pPr>
            <w:r>
              <w:rPr>
                <w:rFonts w:hint="eastAsia"/>
              </w:rPr>
              <w:t>医师、护士、检验、影像、病理、随访人员</w:t>
            </w:r>
          </w:p>
        </w:tc>
        <w:tc>
          <w:tcPr>
            <w:tcW w:w="3248" w:type="dxa"/>
          </w:tcPr>
          <w:p w14:paraId="0C8A3EF6">
            <w:pPr>
              <w:pStyle w:val="178"/>
            </w:pPr>
            <w:r>
              <w:rPr>
                <w:rFonts w:hint="eastAsia"/>
              </w:rPr>
              <w:t>岗位匹配，培训合格后上岗</w:t>
            </w:r>
          </w:p>
        </w:tc>
      </w:tr>
      <w:tr w14:paraId="737A93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7FC2C673">
            <w:pPr>
              <w:pStyle w:val="178"/>
            </w:pPr>
            <w:r>
              <w:rPr>
                <w:rFonts w:hint="eastAsia"/>
              </w:rPr>
              <w:t>场地设施</w:t>
            </w:r>
          </w:p>
        </w:tc>
        <w:tc>
          <w:tcPr>
            <w:tcW w:w="4395" w:type="dxa"/>
          </w:tcPr>
          <w:p w14:paraId="6E443105">
            <w:pPr>
              <w:pStyle w:val="178"/>
            </w:pPr>
            <w:r>
              <w:rPr>
                <w:rFonts w:hint="eastAsia"/>
              </w:rPr>
              <w:t>登记、候诊、检查、反馈、资料区域</w:t>
            </w:r>
          </w:p>
        </w:tc>
        <w:tc>
          <w:tcPr>
            <w:tcW w:w="3248" w:type="dxa"/>
          </w:tcPr>
          <w:p w14:paraId="491987C6">
            <w:pPr>
              <w:pStyle w:val="178"/>
            </w:pPr>
            <w:r>
              <w:rPr>
                <w:rFonts w:hint="eastAsia"/>
              </w:rPr>
              <w:t>分区清晰，保护隐私</w:t>
            </w:r>
          </w:p>
        </w:tc>
      </w:tr>
      <w:tr w14:paraId="26A3BA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407DE253">
            <w:pPr>
              <w:pStyle w:val="178"/>
            </w:pPr>
            <w:r>
              <w:rPr>
                <w:rFonts w:hint="eastAsia"/>
              </w:rPr>
              <w:t>设备试剂</w:t>
            </w:r>
          </w:p>
        </w:tc>
        <w:tc>
          <w:tcPr>
            <w:tcW w:w="4395" w:type="dxa"/>
          </w:tcPr>
          <w:p w14:paraId="38606065">
            <w:pPr>
              <w:pStyle w:val="178"/>
            </w:pPr>
            <w:r>
              <w:rPr>
                <w:rFonts w:hint="eastAsia"/>
              </w:rPr>
              <w:t>设备配置、维护、试剂耗材管理</w:t>
            </w:r>
          </w:p>
        </w:tc>
        <w:tc>
          <w:tcPr>
            <w:tcW w:w="3248" w:type="dxa"/>
          </w:tcPr>
          <w:p w14:paraId="645EDF27">
            <w:pPr>
              <w:pStyle w:val="178"/>
            </w:pPr>
            <w:r>
              <w:rPr>
                <w:rFonts w:hint="eastAsia"/>
              </w:rPr>
              <w:t>合格、有效、受控</w:t>
            </w:r>
          </w:p>
        </w:tc>
      </w:tr>
    </w:tbl>
    <w:p w14:paraId="25DBC491">
      <w:pPr>
        <w:pStyle w:val="56"/>
        <w:spacing w:before="120" w:beforeLines="50" w:after="120" w:afterLines="50"/>
        <w:ind w:firstLine="0" w:firstLineChars="0"/>
        <w:jc w:val="center"/>
        <w:rPr>
          <w:rFonts w:hint="eastAsia" w:ascii="黑体" w:hAnsi="黑体" w:eastAsia="黑体"/>
        </w:rPr>
      </w:pPr>
      <w:r>
        <w:rPr>
          <w:rFonts w:hint="eastAsia" w:ascii="黑体" w:hAnsi="黑体" w:eastAsia="黑体"/>
        </w:rPr>
        <w:t>表1  癌症早期筛查组织与机构管理要点表</w:t>
      </w:r>
      <w:r>
        <w:rPr>
          <w:rFonts w:hint="eastAsia" w:hAnsi="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4395"/>
        <w:gridCol w:w="3248"/>
      </w:tblGrid>
      <w:tr w14:paraId="0E94E3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691" w:type="dxa"/>
            <w:tcBorders>
              <w:top w:val="single" w:color="auto" w:sz="8" w:space="0"/>
              <w:bottom w:val="single" w:color="auto" w:sz="8" w:space="0"/>
            </w:tcBorders>
          </w:tcPr>
          <w:p w14:paraId="7B10AFC9">
            <w:pPr>
              <w:pStyle w:val="178"/>
            </w:pPr>
            <w:r>
              <w:rPr>
                <w:rFonts w:hint="eastAsia"/>
              </w:rPr>
              <w:t>工作类别</w:t>
            </w:r>
          </w:p>
        </w:tc>
        <w:tc>
          <w:tcPr>
            <w:tcW w:w="4395" w:type="dxa"/>
            <w:tcBorders>
              <w:top w:val="single" w:color="auto" w:sz="8" w:space="0"/>
              <w:bottom w:val="single" w:color="auto" w:sz="8" w:space="0"/>
            </w:tcBorders>
          </w:tcPr>
          <w:p w14:paraId="4A34AC4D">
            <w:pPr>
              <w:pStyle w:val="178"/>
            </w:pPr>
            <w:r>
              <w:rPr>
                <w:rFonts w:hint="eastAsia"/>
              </w:rPr>
              <w:t>主要内容</w:t>
            </w:r>
          </w:p>
        </w:tc>
        <w:tc>
          <w:tcPr>
            <w:tcW w:w="3248" w:type="dxa"/>
            <w:tcBorders>
              <w:top w:val="single" w:color="auto" w:sz="8" w:space="0"/>
              <w:bottom w:val="single" w:color="auto" w:sz="8" w:space="0"/>
            </w:tcBorders>
          </w:tcPr>
          <w:p w14:paraId="61C2F098">
            <w:pPr>
              <w:pStyle w:val="178"/>
            </w:pPr>
            <w:r>
              <w:rPr>
                <w:rFonts w:hint="eastAsia"/>
              </w:rPr>
              <w:t>控制要点</w:t>
            </w:r>
          </w:p>
        </w:tc>
      </w:tr>
      <w:tr w14:paraId="4FA64A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5AAF1E96">
            <w:pPr>
              <w:pStyle w:val="178"/>
            </w:pPr>
            <w:r>
              <w:rPr>
                <w:rFonts w:hint="eastAsia"/>
              </w:rPr>
              <w:t>信息系统</w:t>
            </w:r>
          </w:p>
        </w:tc>
        <w:tc>
          <w:tcPr>
            <w:tcW w:w="4395" w:type="dxa"/>
          </w:tcPr>
          <w:p w14:paraId="0B3554A2">
            <w:pPr>
              <w:pStyle w:val="178"/>
            </w:pPr>
            <w:r>
              <w:rPr>
                <w:rFonts w:hint="eastAsia"/>
              </w:rPr>
              <w:t>登记、结果、转诊、随访、统计</w:t>
            </w:r>
          </w:p>
        </w:tc>
        <w:tc>
          <w:tcPr>
            <w:tcW w:w="3248" w:type="dxa"/>
          </w:tcPr>
          <w:p w14:paraId="17FC9329">
            <w:pPr>
              <w:pStyle w:val="178"/>
            </w:pPr>
            <w:r>
              <w:rPr>
                <w:rFonts w:hint="eastAsia"/>
              </w:rPr>
              <w:t>数据关联、权限清晰、可追溯</w:t>
            </w:r>
          </w:p>
        </w:tc>
      </w:tr>
      <w:tr w14:paraId="4F0740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397ABE6F">
            <w:pPr>
              <w:pStyle w:val="178"/>
            </w:pPr>
            <w:r>
              <w:rPr>
                <w:rFonts w:hint="eastAsia"/>
              </w:rPr>
              <w:t>转诊协作</w:t>
            </w:r>
          </w:p>
        </w:tc>
        <w:tc>
          <w:tcPr>
            <w:tcW w:w="4395" w:type="dxa"/>
          </w:tcPr>
          <w:p w14:paraId="34E86B9C">
            <w:pPr>
              <w:pStyle w:val="178"/>
            </w:pPr>
            <w:r>
              <w:rPr>
                <w:rFonts w:hint="eastAsia"/>
              </w:rPr>
              <w:t>转诊路径、反馈机制、跟踪管理</w:t>
            </w:r>
          </w:p>
        </w:tc>
        <w:tc>
          <w:tcPr>
            <w:tcW w:w="3248" w:type="dxa"/>
          </w:tcPr>
          <w:p w14:paraId="53751DDB">
            <w:pPr>
              <w:pStyle w:val="178"/>
            </w:pPr>
            <w:r>
              <w:rPr>
                <w:rFonts w:hint="eastAsia"/>
              </w:rPr>
              <w:t>阳性对象应有人跟、有人管</w:t>
            </w:r>
          </w:p>
        </w:tc>
      </w:tr>
    </w:tbl>
    <w:p w14:paraId="7C5F5903">
      <w:pPr>
        <w:pStyle w:val="105"/>
        <w:spacing w:before="120" w:after="120" w:line="360" w:lineRule="auto"/>
      </w:pPr>
      <w:r>
        <w:rPr>
          <w:rFonts w:hint="eastAsia"/>
        </w:rPr>
        <w:t>禁止性要求</w:t>
      </w:r>
    </w:p>
    <w:p w14:paraId="627EC178">
      <w:pPr>
        <w:pStyle w:val="165"/>
        <w:spacing w:line="360" w:lineRule="auto"/>
      </w:pPr>
      <w:r>
        <w:rPr>
          <w:rFonts w:hint="eastAsia"/>
        </w:rPr>
        <w:t>不得在机构能力不足、人员配备不足或者协作机制缺失的情况下开展正式筛查项目。</w:t>
      </w:r>
    </w:p>
    <w:p w14:paraId="7452C293">
      <w:pPr>
        <w:pStyle w:val="165"/>
        <w:spacing w:line="360" w:lineRule="auto"/>
      </w:pPr>
      <w:r>
        <w:rPr>
          <w:rFonts w:hint="eastAsia"/>
        </w:rPr>
        <w:t>不得由未经培训或者不具备相应资质能力的人员独立承担关键筛查岗位工作。</w:t>
      </w:r>
    </w:p>
    <w:p w14:paraId="57581AD4">
      <w:pPr>
        <w:pStyle w:val="165"/>
        <w:spacing w:line="360" w:lineRule="auto"/>
      </w:pPr>
      <w:r>
        <w:rPr>
          <w:rFonts w:hint="eastAsia"/>
        </w:rPr>
        <w:t>不得在场地条件、设备条件和试剂条件不满足要求的情况下开展筛查。</w:t>
      </w:r>
    </w:p>
    <w:p w14:paraId="213DBBD3">
      <w:pPr>
        <w:pStyle w:val="165"/>
        <w:spacing w:line="360" w:lineRule="auto"/>
      </w:pPr>
      <w:r>
        <w:rPr>
          <w:rFonts w:hint="eastAsia"/>
        </w:rPr>
        <w:t>不得仅完成初筛组织而不建立转诊和随访管理机制。</w:t>
      </w:r>
    </w:p>
    <w:p w14:paraId="43005C94">
      <w:pPr>
        <w:pStyle w:val="165"/>
        <w:spacing w:line="360" w:lineRule="auto"/>
      </w:pPr>
      <w:r>
        <w:rPr>
          <w:rFonts w:hint="eastAsia"/>
        </w:rPr>
        <w:t>不得在信息管理混乱、资料无法追溯和责任边界不清的情况下认定机构具备规范筛查条件。</w:t>
      </w:r>
    </w:p>
    <w:p w14:paraId="1C1F16B1">
      <w:pPr>
        <w:pStyle w:val="104"/>
        <w:spacing w:before="240" w:after="240" w:line="360" w:lineRule="auto"/>
      </w:pPr>
      <w:bookmarkStart w:id="53" w:name="_Toc228614108"/>
      <w:r>
        <w:rPr>
          <w:rFonts w:hint="eastAsia"/>
        </w:rPr>
        <w:t>筛查对象管理与流程控制要求</w:t>
      </w:r>
      <w:bookmarkEnd w:id="53"/>
    </w:p>
    <w:p w14:paraId="2D35B1D1">
      <w:pPr>
        <w:pStyle w:val="105"/>
        <w:spacing w:before="120" w:after="120" w:line="360" w:lineRule="auto"/>
      </w:pPr>
      <w:r>
        <w:rPr>
          <w:rFonts w:hint="eastAsia"/>
        </w:rPr>
        <w:t>一般要求</w:t>
      </w:r>
    </w:p>
    <w:p w14:paraId="3A8F4753">
      <w:pPr>
        <w:pStyle w:val="165"/>
        <w:spacing w:line="360" w:lineRule="auto"/>
      </w:pPr>
      <w:r>
        <w:rPr>
          <w:rFonts w:hint="eastAsia"/>
        </w:rPr>
        <w:t>癌症早期筛查应对筛查对象实施全过程管理。</w:t>
      </w:r>
    </w:p>
    <w:p w14:paraId="6D6D399A">
      <w:pPr>
        <w:pStyle w:val="165"/>
        <w:spacing w:line="360" w:lineRule="auto"/>
      </w:pPr>
      <w:r>
        <w:rPr>
          <w:rFonts w:hint="eastAsia"/>
        </w:rPr>
        <w:t>筛查对象管理应覆盖对象识别、资格确认、风险评估、预约登记、知情告知、检查实施、结果反馈、异常管理、转诊衔接和随访追踪等环节。</w:t>
      </w:r>
    </w:p>
    <w:p w14:paraId="630E75D0">
      <w:pPr>
        <w:pStyle w:val="165"/>
        <w:spacing w:line="360" w:lineRule="auto"/>
      </w:pPr>
      <w:r>
        <w:rPr>
          <w:rFonts w:hint="eastAsia"/>
        </w:rPr>
        <w:t>筛查流程控制应坚持路径清晰、节点明确、责任到岗、信息一致和闭环管理的原则。</w:t>
      </w:r>
    </w:p>
    <w:p w14:paraId="44FC9C44">
      <w:pPr>
        <w:pStyle w:val="165"/>
        <w:spacing w:line="360" w:lineRule="auto"/>
      </w:pPr>
      <w:r>
        <w:rPr>
          <w:rFonts w:hint="eastAsia"/>
        </w:rPr>
        <w:t>不同癌种筛查可根据技术路径设置差异化流程，但不得缺失对象确认、结果判定、异常管理和转诊随访等关键节点。</w:t>
      </w:r>
    </w:p>
    <w:p w14:paraId="6A2E734C">
      <w:pPr>
        <w:pStyle w:val="165"/>
        <w:spacing w:line="360" w:lineRule="auto"/>
      </w:pPr>
      <w:r>
        <w:rPr>
          <w:rFonts w:hint="eastAsia"/>
        </w:rPr>
        <w:t>对高风险人群、既往异常对象、复筛对象、阳性对象和失访对象，应实施重点管理。</w:t>
      </w:r>
    </w:p>
    <w:p w14:paraId="1FF2F478">
      <w:pPr>
        <w:pStyle w:val="105"/>
        <w:spacing w:before="120" w:after="120" w:line="360" w:lineRule="auto"/>
      </w:pPr>
      <w:r>
        <w:rPr>
          <w:rFonts w:hint="eastAsia"/>
        </w:rPr>
        <w:t>筛查对象识别要求</w:t>
      </w:r>
    </w:p>
    <w:p w14:paraId="058CBC98">
      <w:pPr>
        <w:pStyle w:val="65"/>
        <w:spacing w:before="120" w:after="120" w:line="360" w:lineRule="auto"/>
      </w:pPr>
      <w:r>
        <w:rPr>
          <w:rFonts w:hint="eastAsia"/>
        </w:rPr>
        <w:t>一般要求</w:t>
      </w:r>
    </w:p>
    <w:p w14:paraId="439773A3">
      <w:pPr>
        <w:pStyle w:val="164"/>
        <w:spacing w:line="360" w:lineRule="auto"/>
      </w:pPr>
      <w:r>
        <w:rPr>
          <w:rFonts w:hint="eastAsia"/>
        </w:rPr>
        <w:t>筛查对象识别应依据相应癌种筛查方案、项目要求和风险分层标准实施。</w:t>
      </w:r>
    </w:p>
    <w:p w14:paraId="2BE91ACF">
      <w:pPr>
        <w:pStyle w:val="164"/>
        <w:spacing w:line="360" w:lineRule="auto"/>
      </w:pPr>
      <w:r>
        <w:rPr>
          <w:rFonts w:hint="eastAsia"/>
        </w:rPr>
        <w:t>筛查对象识别应结合年龄、性别、家族史、既往病史、行为习惯、职业暴露、环境暴露和其他危险因素进行。</w:t>
      </w:r>
    </w:p>
    <w:p w14:paraId="7486875B">
      <w:pPr>
        <w:pStyle w:val="164"/>
        <w:spacing w:line="360" w:lineRule="auto"/>
      </w:pPr>
      <w:r>
        <w:rPr>
          <w:rFonts w:hint="eastAsia"/>
        </w:rPr>
        <w:t>筛查对象识别不得仅依据个人意愿或者现场主诉随意纳入，应符合规定的筛查适应范围。</w:t>
      </w:r>
    </w:p>
    <w:p w14:paraId="6D6CB2AD">
      <w:pPr>
        <w:pStyle w:val="65"/>
        <w:spacing w:before="120" w:after="120" w:line="360" w:lineRule="auto"/>
      </w:pPr>
      <w:r>
        <w:rPr>
          <w:rFonts w:hint="eastAsia"/>
        </w:rPr>
        <w:t>高风险人群识别要求</w:t>
      </w:r>
    </w:p>
    <w:p w14:paraId="32C471DA">
      <w:pPr>
        <w:pStyle w:val="164"/>
        <w:spacing w:line="360" w:lineRule="auto"/>
      </w:pPr>
      <w:r>
        <w:rPr>
          <w:rFonts w:hint="eastAsia"/>
        </w:rPr>
        <w:t>对下列人群宜开展重点识别：</w:t>
      </w:r>
    </w:p>
    <w:p w14:paraId="14FFCB0E">
      <w:pPr>
        <w:pStyle w:val="56"/>
        <w:spacing w:line="360" w:lineRule="auto"/>
        <w:ind w:firstLine="420"/>
      </w:pPr>
      <w:r>
        <w:rPr>
          <w:rFonts w:hint="eastAsia"/>
        </w:rPr>
        <w:t>a）具有相关癌种家族史者；</w:t>
      </w:r>
    </w:p>
    <w:p w14:paraId="341D9694">
      <w:pPr>
        <w:pStyle w:val="56"/>
        <w:spacing w:line="360" w:lineRule="auto"/>
        <w:ind w:firstLine="420"/>
      </w:pPr>
      <w:r>
        <w:rPr>
          <w:rFonts w:hint="eastAsia"/>
        </w:rPr>
        <w:t>b）具有长期不良生活方式暴露者；</w:t>
      </w:r>
    </w:p>
    <w:p w14:paraId="6E2671F9">
      <w:pPr>
        <w:pStyle w:val="56"/>
        <w:spacing w:line="360" w:lineRule="auto"/>
        <w:ind w:firstLine="420"/>
      </w:pPr>
      <w:r>
        <w:rPr>
          <w:rFonts w:hint="eastAsia"/>
        </w:rPr>
        <w:t>c）具有相关职业暴露史或者环境暴露史者；</w:t>
      </w:r>
    </w:p>
    <w:p w14:paraId="53EF3EDD">
      <w:pPr>
        <w:pStyle w:val="56"/>
        <w:spacing w:line="360" w:lineRule="auto"/>
        <w:ind w:firstLine="420"/>
      </w:pPr>
      <w:r>
        <w:rPr>
          <w:rFonts w:hint="eastAsia"/>
        </w:rPr>
        <w:t>d）具有相关癌前病变或者既往异常检查史者；</w:t>
      </w:r>
    </w:p>
    <w:p w14:paraId="1C4B8339">
      <w:pPr>
        <w:pStyle w:val="56"/>
        <w:spacing w:line="360" w:lineRule="auto"/>
        <w:ind w:firstLine="420"/>
      </w:pPr>
      <w:r>
        <w:rPr>
          <w:rFonts w:hint="eastAsia"/>
        </w:rPr>
        <w:t>e）符合现行癌种筛查方案规定高风险条件者；</w:t>
      </w:r>
    </w:p>
    <w:p w14:paraId="6FCE2BA1">
      <w:pPr>
        <w:pStyle w:val="56"/>
        <w:spacing w:line="360" w:lineRule="auto"/>
        <w:ind w:firstLine="420"/>
      </w:pPr>
      <w:r>
        <w:rPr>
          <w:rFonts w:hint="eastAsia"/>
        </w:rPr>
        <w:t>f）既往已纳入筛查管理但尚未完成闭环者。</w:t>
      </w:r>
    </w:p>
    <w:p w14:paraId="09B8AC74">
      <w:pPr>
        <w:pStyle w:val="164"/>
        <w:spacing w:line="360" w:lineRule="auto"/>
      </w:pPr>
      <w:r>
        <w:rPr>
          <w:rFonts w:hint="eastAsia"/>
        </w:rPr>
        <w:t>高风险人群识别结果应形成记录，并纳入重点筛查和重点随访管理范围。</w:t>
      </w:r>
    </w:p>
    <w:p w14:paraId="3A58FE7E">
      <w:pPr>
        <w:pStyle w:val="65"/>
        <w:spacing w:before="120" w:after="120" w:line="360" w:lineRule="auto"/>
      </w:pPr>
      <w:r>
        <w:rPr>
          <w:rFonts w:hint="eastAsia"/>
        </w:rPr>
        <w:t>排除与暂缓要求</w:t>
      </w:r>
    </w:p>
    <w:p w14:paraId="2F2668FA">
      <w:pPr>
        <w:pStyle w:val="164"/>
        <w:spacing w:line="360" w:lineRule="auto"/>
      </w:pPr>
      <w:r>
        <w:rPr>
          <w:rFonts w:hint="eastAsia"/>
        </w:rPr>
        <w:t>对不符合筛查适应范围、近期已完成相同筛查、存在明确临床禁忌、当前处于急性疾病状态或者不适宜接受相应筛查者，应予以排除或者暂缓。</w:t>
      </w:r>
    </w:p>
    <w:p w14:paraId="6C345474">
      <w:pPr>
        <w:pStyle w:val="164"/>
        <w:spacing w:line="360" w:lineRule="auto"/>
      </w:pPr>
      <w:r>
        <w:rPr>
          <w:rFonts w:hint="eastAsia"/>
        </w:rPr>
        <w:t>排除或者暂缓的原因应告知筛查对象，并形成记录。</w:t>
      </w:r>
    </w:p>
    <w:p w14:paraId="3B3C8A8B">
      <w:pPr>
        <w:pStyle w:val="164"/>
        <w:spacing w:line="360" w:lineRule="auto"/>
      </w:pPr>
      <w:r>
        <w:rPr>
          <w:rFonts w:hint="eastAsia"/>
        </w:rPr>
        <w:t>不得对明显不适宜筛查对象继续实施正式筛查。</w:t>
      </w:r>
    </w:p>
    <w:p w14:paraId="425F5DDC">
      <w:pPr>
        <w:pStyle w:val="105"/>
        <w:spacing w:before="120" w:after="120" w:line="360" w:lineRule="auto"/>
      </w:pPr>
      <w:r>
        <w:rPr>
          <w:rFonts w:hint="eastAsia"/>
        </w:rPr>
        <w:t>风险评估要求</w:t>
      </w:r>
    </w:p>
    <w:p w14:paraId="1FD96D53">
      <w:pPr>
        <w:pStyle w:val="65"/>
        <w:spacing w:before="120" w:after="120" w:line="360" w:lineRule="auto"/>
      </w:pPr>
      <w:r>
        <w:rPr>
          <w:rFonts w:hint="eastAsia"/>
        </w:rPr>
        <w:t>一般要求</w:t>
      </w:r>
    </w:p>
    <w:p w14:paraId="087D201B">
      <w:pPr>
        <w:pStyle w:val="164"/>
        <w:spacing w:line="360" w:lineRule="auto"/>
      </w:pPr>
      <w:r>
        <w:rPr>
          <w:rFonts w:hint="eastAsia"/>
        </w:rPr>
        <w:t>对需开展风险分层的癌种筛查项目，应在初筛前完成风险评估。</w:t>
      </w:r>
    </w:p>
    <w:p w14:paraId="551ADF93">
      <w:pPr>
        <w:pStyle w:val="164"/>
        <w:spacing w:line="360" w:lineRule="auto"/>
      </w:pPr>
      <w:r>
        <w:rPr>
          <w:rFonts w:hint="eastAsia"/>
        </w:rPr>
        <w:t>风险评估应采用规范问卷、结构化信息采集表、风险评估工具或者经确认的项目规则实施。</w:t>
      </w:r>
    </w:p>
    <w:p w14:paraId="2D5436AA">
      <w:pPr>
        <w:pStyle w:val="164"/>
        <w:spacing w:line="360" w:lineRule="auto"/>
      </w:pPr>
      <w:r>
        <w:rPr>
          <w:rFonts w:hint="eastAsia"/>
        </w:rPr>
        <w:t>风险评估结果应作为筛查对象纳入、筛查项目选择、复筛建议和随访管理的重要依据。</w:t>
      </w:r>
    </w:p>
    <w:p w14:paraId="31AF8DAD">
      <w:pPr>
        <w:pStyle w:val="65"/>
        <w:spacing w:before="120" w:after="120" w:line="360" w:lineRule="auto"/>
      </w:pPr>
      <w:r>
        <w:rPr>
          <w:rFonts w:hint="eastAsia"/>
        </w:rPr>
        <w:t>风险评估内容</w:t>
      </w:r>
    </w:p>
    <w:p w14:paraId="0A7BB585">
      <w:pPr>
        <w:pStyle w:val="164"/>
        <w:spacing w:line="360" w:lineRule="auto"/>
      </w:pPr>
      <w:r>
        <w:rPr>
          <w:rFonts w:hint="eastAsia"/>
        </w:rPr>
        <w:t>风险评估宜至少包括下列内容：</w:t>
      </w:r>
    </w:p>
    <w:p w14:paraId="52396E6D">
      <w:pPr>
        <w:pStyle w:val="56"/>
        <w:spacing w:line="360" w:lineRule="auto"/>
        <w:ind w:firstLine="420"/>
      </w:pPr>
      <w:r>
        <w:rPr>
          <w:rFonts w:hint="eastAsia"/>
        </w:rPr>
        <w:t>a）基本人口学信息；</w:t>
      </w:r>
    </w:p>
    <w:p w14:paraId="004E3148">
      <w:pPr>
        <w:pStyle w:val="56"/>
        <w:spacing w:line="360" w:lineRule="auto"/>
        <w:ind w:firstLine="420"/>
      </w:pPr>
      <w:r>
        <w:rPr>
          <w:rFonts w:hint="eastAsia"/>
        </w:rPr>
        <w:t>b）既往病史；</w:t>
      </w:r>
    </w:p>
    <w:p w14:paraId="52C536ED">
      <w:pPr>
        <w:pStyle w:val="56"/>
        <w:spacing w:line="360" w:lineRule="auto"/>
        <w:ind w:firstLine="420"/>
      </w:pPr>
      <w:r>
        <w:rPr>
          <w:rFonts w:hint="eastAsia"/>
        </w:rPr>
        <w:t>c）家族史；</w:t>
      </w:r>
    </w:p>
    <w:p w14:paraId="72D8FC89">
      <w:pPr>
        <w:pStyle w:val="56"/>
        <w:spacing w:line="360" w:lineRule="auto"/>
        <w:ind w:firstLine="420"/>
      </w:pPr>
      <w:r>
        <w:rPr>
          <w:rFonts w:hint="eastAsia"/>
        </w:rPr>
        <w:t>d）生活方式相关因素；</w:t>
      </w:r>
    </w:p>
    <w:p w14:paraId="095D0537">
      <w:pPr>
        <w:pStyle w:val="56"/>
        <w:spacing w:line="360" w:lineRule="auto"/>
        <w:ind w:firstLine="420"/>
      </w:pPr>
      <w:r>
        <w:rPr>
          <w:rFonts w:hint="eastAsia"/>
        </w:rPr>
        <w:t>e）职业和环境暴露因素；</w:t>
      </w:r>
    </w:p>
    <w:p w14:paraId="509DC2C1">
      <w:pPr>
        <w:pStyle w:val="56"/>
        <w:spacing w:line="360" w:lineRule="auto"/>
        <w:ind w:firstLine="420"/>
      </w:pPr>
      <w:r>
        <w:rPr>
          <w:rFonts w:hint="eastAsia"/>
        </w:rPr>
        <w:t>f）既往筛查结果；</w:t>
      </w:r>
    </w:p>
    <w:p w14:paraId="4F4553A8">
      <w:pPr>
        <w:pStyle w:val="56"/>
        <w:spacing w:line="360" w:lineRule="auto"/>
        <w:ind w:firstLine="420"/>
      </w:pPr>
      <w:r>
        <w:rPr>
          <w:rFonts w:hint="eastAsia"/>
        </w:rPr>
        <w:t>g）相关症状或者异常提示；</w:t>
      </w:r>
    </w:p>
    <w:p w14:paraId="672F889E">
      <w:pPr>
        <w:pStyle w:val="56"/>
        <w:spacing w:line="360" w:lineRule="auto"/>
        <w:ind w:firstLine="420"/>
      </w:pPr>
      <w:r>
        <w:rPr>
          <w:rFonts w:hint="eastAsia"/>
        </w:rPr>
        <w:t>h）其他癌种特异性危险因素。</w:t>
      </w:r>
    </w:p>
    <w:p w14:paraId="78B41698">
      <w:pPr>
        <w:pStyle w:val="164"/>
        <w:spacing w:line="360" w:lineRule="auto"/>
      </w:pPr>
      <w:r>
        <w:rPr>
          <w:rFonts w:hint="eastAsia"/>
        </w:rPr>
        <w:t>风险评估信息应真实、完整，不得主观推断、随意简化或者由非受检对象代填关键内容而不加核实。</w:t>
      </w:r>
    </w:p>
    <w:p w14:paraId="6960BC87">
      <w:pPr>
        <w:pStyle w:val="65"/>
        <w:spacing w:before="120" w:after="120" w:line="360" w:lineRule="auto"/>
      </w:pPr>
      <w:r>
        <w:rPr>
          <w:rFonts w:hint="eastAsia"/>
        </w:rPr>
        <w:t>风险分层管理要求</w:t>
      </w:r>
    </w:p>
    <w:p w14:paraId="50F7EA11">
      <w:pPr>
        <w:pStyle w:val="164"/>
        <w:spacing w:line="360" w:lineRule="auto"/>
      </w:pPr>
      <w:r>
        <w:rPr>
          <w:rFonts w:hint="eastAsia"/>
        </w:rPr>
        <w:t>风险评估后，应根据结果实施分层管理。</w:t>
      </w:r>
    </w:p>
    <w:p w14:paraId="69B38D4E">
      <w:pPr>
        <w:pStyle w:val="164"/>
        <w:spacing w:line="360" w:lineRule="auto"/>
      </w:pPr>
      <w:r>
        <w:rPr>
          <w:rFonts w:hint="eastAsia"/>
        </w:rPr>
        <w:t>不同风险等级对象可分别进入常规筛查路径、高风险筛查路径、复筛路径或者临床就诊路径。</w:t>
      </w:r>
    </w:p>
    <w:p w14:paraId="586F7CCD">
      <w:pPr>
        <w:pStyle w:val="164"/>
        <w:spacing w:line="360" w:lineRule="auto"/>
      </w:pPr>
      <w:r>
        <w:rPr>
          <w:rFonts w:hint="eastAsia"/>
        </w:rPr>
        <w:t>风险分层结果应与筛查对象基本信息、筛查项目和后续建议保持一致。</w:t>
      </w:r>
    </w:p>
    <w:p w14:paraId="51EF9EF4">
      <w:pPr>
        <w:pStyle w:val="164"/>
        <w:numPr>
          <w:ilvl w:val="0"/>
          <w:numId w:val="0"/>
        </w:numPr>
        <w:spacing w:line="360" w:lineRule="auto"/>
        <w:rPr>
          <w:rFonts w:hint="eastAsia"/>
        </w:rPr>
      </w:pPr>
    </w:p>
    <w:p w14:paraId="4E0B6E0F">
      <w:pPr>
        <w:pStyle w:val="105"/>
        <w:spacing w:before="120" w:after="120" w:line="360" w:lineRule="auto"/>
      </w:pPr>
      <w:r>
        <w:rPr>
          <w:rFonts w:hint="eastAsia"/>
        </w:rPr>
        <w:t>知情告知与预约登记要求</w:t>
      </w:r>
    </w:p>
    <w:p w14:paraId="368FF380">
      <w:pPr>
        <w:pStyle w:val="65"/>
        <w:spacing w:before="120" w:after="120" w:line="360" w:lineRule="auto"/>
      </w:pPr>
      <w:r>
        <w:rPr>
          <w:rFonts w:hint="eastAsia"/>
        </w:rPr>
        <w:t>一般要求</w:t>
      </w:r>
    </w:p>
    <w:p w14:paraId="1DCA5747">
      <w:pPr>
        <w:pStyle w:val="164"/>
        <w:spacing w:line="360" w:lineRule="auto"/>
      </w:pPr>
      <w:r>
        <w:rPr>
          <w:rFonts w:hint="eastAsia"/>
        </w:rPr>
        <w:t>筛查前应实施知情告知。</w:t>
      </w:r>
    </w:p>
    <w:p w14:paraId="18D17006">
      <w:pPr>
        <w:pStyle w:val="164"/>
        <w:spacing w:line="360" w:lineRule="auto"/>
      </w:pPr>
      <w:r>
        <w:rPr>
          <w:rFonts w:hint="eastAsia"/>
        </w:rPr>
        <w:t>知情告知内容应通俗、准确、完整，不得夸大筛查作用或者淡化筛查局限性。</w:t>
      </w:r>
    </w:p>
    <w:p w14:paraId="24265314">
      <w:pPr>
        <w:pStyle w:val="164"/>
        <w:spacing w:line="360" w:lineRule="auto"/>
      </w:pPr>
      <w:r>
        <w:rPr>
          <w:rFonts w:hint="eastAsia"/>
        </w:rPr>
        <w:t>知情告知后，应取得相应确认记录。</w:t>
      </w:r>
    </w:p>
    <w:p w14:paraId="6216B81F">
      <w:pPr>
        <w:pStyle w:val="65"/>
        <w:spacing w:before="120" w:after="120" w:line="360" w:lineRule="auto"/>
      </w:pPr>
      <w:r>
        <w:rPr>
          <w:rFonts w:hint="eastAsia"/>
        </w:rPr>
        <w:t>知情告知内容</w:t>
      </w:r>
    </w:p>
    <w:p w14:paraId="1BA0CA5C">
      <w:pPr>
        <w:pStyle w:val="164"/>
        <w:spacing w:line="360" w:lineRule="auto"/>
      </w:pPr>
      <w:r>
        <w:rPr>
          <w:rFonts w:hint="eastAsia"/>
        </w:rPr>
        <w:t>知情告知宜至少包括下列内容：</w:t>
      </w:r>
    </w:p>
    <w:p w14:paraId="6BB6D81A">
      <w:pPr>
        <w:pStyle w:val="56"/>
        <w:spacing w:line="360" w:lineRule="auto"/>
        <w:ind w:firstLine="420"/>
      </w:pPr>
      <w:r>
        <w:rPr>
          <w:rFonts w:hint="eastAsia"/>
        </w:rPr>
        <w:t>a）筛查目的；</w:t>
      </w:r>
    </w:p>
    <w:p w14:paraId="608D5B9F">
      <w:pPr>
        <w:pStyle w:val="56"/>
        <w:spacing w:line="360" w:lineRule="auto"/>
        <w:ind w:firstLine="420"/>
      </w:pPr>
      <w:r>
        <w:rPr>
          <w:rFonts w:hint="eastAsia"/>
        </w:rPr>
        <w:t>b）筛查方法；</w:t>
      </w:r>
    </w:p>
    <w:p w14:paraId="2A00DE78">
      <w:pPr>
        <w:pStyle w:val="56"/>
        <w:spacing w:line="360" w:lineRule="auto"/>
        <w:ind w:firstLine="420"/>
      </w:pPr>
      <w:r>
        <w:rPr>
          <w:rFonts w:hint="eastAsia"/>
        </w:rPr>
        <w:t>c）适用范围；</w:t>
      </w:r>
    </w:p>
    <w:p w14:paraId="7E637729">
      <w:pPr>
        <w:pStyle w:val="56"/>
        <w:spacing w:line="360" w:lineRule="auto"/>
        <w:ind w:firstLine="420"/>
      </w:pPr>
      <w:r>
        <w:rPr>
          <w:rFonts w:hint="eastAsia"/>
        </w:rPr>
        <w:t>d）注意事项；</w:t>
      </w:r>
    </w:p>
    <w:p w14:paraId="48DF4A5E">
      <w:pPr>
        <w:pStyle w:val="56"/>
        <w:spacing w:line="360" w:lineRule="auto"/>
        <w:ind w:firstLine="420"/>
      </w:pPr>
      <w:r>
        <w:rPr>
          <w:rFonts w:hint="eastAsia"/>
        </w:rPr>
        <w:t>e）可能的不适和风险；</w:t>
      </w:r>
    </w:p>
    <w:p w14:paraId="3934D656">
      <w:pPr>
        <w:pStyle w:val="56"/>
        <w:spacing w:line="360" w:lineRule="auto"/>
        <w:ind w:firstLine="420"/>
      </w:pPr>
      <w:r>
        <w:rPr>
          <w:rFonts w:hint="eastAsia"/>
        </w:rPr>
        <w:t>f）结果解释边界；</w:t>
      </w:r>
    </w:p>
    <w:p w14:paraId="3B0F6115">
      <w:pPr>
        <w:pStyle w:val="56"/>
        <w:spacing w:line="360" w:lineRule="auto"/>
        <w:ind w:firstLine="420"/>
      </w:pPr>
      <w:r>
        <w:rPr>
          <w:rFonts w:hint="eastAsia"/>
        </w:rPr>
        <w:t>g）异常结果后续处理要求；</w:t>
      </w:r>
    </w:p>
    <w:p w14:paraId="580C332D">
      <w:pPr>
        <w:pStyle w:val="56"/>
        <w:spacing w:line="360" w:lineRule="auto"/>
        <w:ind w:firstLine="420"/>
      </w:pPr>
      <w:r>
        <w:rPr>
          <w:rFonts w:hint="eastAsia"/>
        </w:rPr>
        <w:t>h）隐私保护要求；</w:t>
      </w:r>
    </w:p>
    <w:p w14:paraId="01B60B47">
      <w:pPr>
        <w:pStyle w:val="56"/>
        <w:spacing w:line="360" w:lineRule="auto"/>
        <w:ind w:firstLine="420"/>
      </w:pPr>
      <w:r>
        <w:rPr>
          <w:rFonts w:hint="eastAsia"/>
        </w:rPr>
        <w:t>i）退出筛查权利。</w:t>
      </w:r>
    </w:p>
    <w:p w14:paraId="5D417575">
      <w:pPr>
        <w:pStyle w:val="56"/>
        <w:spacing w:line="360" w:lineRule="auto"/>
        <w:ind w:firstLine="420"/>
      </w:pPr>
      <w:r>
        <w:rPr>
          <w:rFonts w:hint="eastAsia"/>
        </w:rPr>
        <w:t>预约登记要求</w:t>
      </w:r>
    </w:p>
    <w:p w14:paraId="525AEBC4">
      <w:pPr>
        <w:pStyle w:val="164"/>
        <w:spacing w:line="360" w:lineRule="auto"/>
      </w:pPr>
      <w:r>
        <w:rPr>
          <w:rFonts w:hint="eastAsia"/>
        </w:rPr>
        <w:t>筛查机构应建立预约登记制度。</w:t>
      </w:r>
    </w:p>
    <w:p w14:paraId="5A1622AD">
      <w:pPr>
        <w:pStyle w:val="164"/>
        <w:spacing w:line="360" w:lineRule="auto"/>
      </w:pPr>
      <w:r>
        <w:rPr>
          <w:rFonts w:hint="eastAsia"/>
        </w:rPr>
        <w:t>预约登记应确保对象身份、筛查项目、筛查时间、筛查地点和准备要求准确无误。</w:t>
      </w:r>
    </w:p>
    <w:p w14:paraId="2E96BE02">
      <w:pPr>
        <w:pStyle w:val="164"/>
        <w:spacing w:line="360" w:lineRule="auto"/>
      </w:pPr>
      <w:r>
        <w:rPr>
          <w:rFonts w:hint="eastAsia"/>
        </w:rPr>
        <w:t>对需空腹、肠道准备、避开生理期、停用相关药物或者满足其他前置条件的筛查项目，应在预约登记时明确告知。</w:t>
      </w:r>
    </w:p>
    <w:p w14:paraId="39275582">
      <w:pPr>
        <w:pStyle w:val="105"/>
        <w:spacing w:before="120" w:after="120" w:line="360" w:lineRule="auto"/>
      </w:pPr>
      <w:r>
        <w:rPr>
          <w:rFonts w:hint="eastAsia"/>
        </w:rPr>
        <w:t>身份核验与受检前确认要求</w:t>
      </w:r>
    </w:p>
    <w:p w14:paraId="03E95FF2">
      <w:pPr>
        <w:pStyle w:val="65"/>
        <w:spacing w:before="120" w:after="120" w:line="360" w:lineRule="auto"/>
      </w:pPr>
      <w:r>
        <w:rPr>
          <w:rFonts w:hint="eastAsia"/>
        </w:rPr>
        <w:t>一般要求</w:t>
      </w:r>
    </w:p>
    <w:p w14:paraId="7EF6BF9C">
      <w:pPr>
        <w:pStyle w:val="164"/>
        <w:spacing w:line="360" w:lineRule="auto"/>
      </w:pPr>
      <w:r>
        <w:rPr>
          <w:rFonts w:hint="eastAsia"/>
        </w:rPr>
        <w:t>筛查实施前，应核验筛查对象身份。</w:t>
      </w:r>
    </w:p>
    <w:p w14:paraId="3778B02A">
      <w:pPr>
        <w:pStyle w:val="164"/>
        <w:spacing w:line="360" w:lineRule="auto"/>
      </w:pPr>
      <w:r>
        <w:rPr>
          <w:rFonts w:hint="eastAsia"/>
        </w:rPr>
        <w:t>身份核验应与预约信息、风险评估信息和拟开展筛查项目相对应。</w:t>
      </w:r>
    </w:p>
    <w:p w14:paraId="3C837C4D">
      <w:pPr>
        <w:pStyle w:val="164"/>
        <w:spacing w:line="360" w:lineRule="auto"/>
      </w:pPr>
      <w:r>
        <w:rPr>
          <w:rFonts w:hint="eastAsia"/>
        </w:rPr>
        <w:t>身份核验不一致、信息缺失或者项目不匹配的，不得直接实施检查检测。</w:t>
      </w:r>
    </w:p>
    <w:p w14:paraId="2D681A61">
      <w:pPr>
        <w:pStyle w:val="65"/>
        <w:spacing w:before="120" w:after="120" w:line="360" w:lineRule="auto"/>
      </w:pPr>
      <w:r>
        <w:rPr>
          <w:rFonts w:hint="eastAsia"/>
        </w:rPr>
        <w:t>受检前确认内容</w:t>
      </w:r>
    </w:p>
    <w:p w14:paraId="6BAEDCEE">
      <w:pPr>
        <w:pStyle w:val="164"/>
        <w:spacing w:line="360" w:lineRule="auto"/>
      </w:pPr>
      <w:r>
        <w:rPr>
          <w:rFonts w:hint="eastAsia"/>
        </w:rPr>
        <w:t>受检前应确认下列内容：</w:t>
      </w:r>
    </w:p>
    <w:p w14:paraId="778AA3F2">
      <w:pPr>
        <w:pStyle w:val="56"/>
        <w:spacing w:line="360" w:lineRule="auto"/>
        <w:ind w:firstLine="420"/>
      </w:pPr>
      <w:r>
        <w:rPr>
          <w:rFonts w:hint="eastAsia"/>
        </w:rPr>
        <w:t>a）对象身份；</w:t>
      </w:r>
    </w:p>
    <w:p w14:paraId="1CC06D42">
      <w:pPr>
        <w:pStyle w:val="56"/>
        <w:spacing w:line="360" w:lineRule="auto"/>
        <w:ind w:firstLine="420"/>
      </w:pPr>
      <w:r>
        <w:rPr>
          <w:rFonts w:hint="eastAsia"/>
        </w:rPr>
        <w:t>b）筛查项目；</w:t>
      </w:r>
    </w:p>
    <w:p w14:paraId="1D2C37A6">
      <w:pPr>
        <w:pStyle w:val="56"/>
        <w:spacing w:line="360" w:lineRule="auto"/>
        <w:ind w:firstLine="420"/>
      </w:pPr>
      <w:r>
        <w:rPr>
          <w:rFonts w:hint="eastAsia"/>
        </w:rPr>
        <w:t>c）筛查适应证；</w:t>
      </w:r>
    </w:p>
    <w:p w14:paraId="445F9766">
      <w:pPr>
        <w:pStyle w:val="56"/>
        <w:spacing w:line="360" w:lineRule="auto"/>
        <w:ind w:firstLine="420"/>
      </w:pPr>
      <w:r>
        <w:rPr>
          <w:rFonts w:hint="eastAsia"/>
        </w:rPr>
        <w:t>d）筛查禁忌证；</w:t>
      </w:r>
    </w:p>
    <w:p w14:paraId="223FF175">
      <w:pPr>
        <w:pStyle w:val="56"/>
        <w:spacing w:line="360" w:lineRule="auto"/>
        <w:ind w:firstLine="420"/>
      </w:pPr>
      <w:r>
        <w:rPr>
          <w:rFonts w:hint="eastAsia"/>
        </w:rPr>
        <w:t>e）前期准备是否达标；</w:t>
      </w:r>
    </w:p>
    <w:p w14:paraId="0A1EE156">
      <w:pPr>
        <w:pStyle w:val="56"/>
        <w:spacing w:line="360" w:lineRule="auto"/>
        <w:ind w:firstLine="420"/>
      </w:pPr>
      <w:r>
        <w:rPr>
          <w:rFonts w:hint="eastAsia"/>
        </w:rPr>
        <w:t>f）知情告知是否完成；</w:t>
      </w:r>
    </w:p>
    <w:p w14:paraId="78B663C1">
      <w:pPr>
        <w:pStyle w:val="56"/>
        <w:spacing w:line="360" w:lineRule="auto"/>
        <w:ind w:firstLine="420"/>
      </w:pPr>
      <w:r>
        <w:rPr>
          <w:rFonts w:hint="eastAsia"/>
        </w:rPr>
        <w:t>g）资料信息是否完整。</w:t>
      </w:r>
    </w:p>
    <w:p w14:paraId="7A67B19F">
      <w:pPr>
        <w:pStyle w:val="164"/>
        <w:spacing w:line="360" w:lineRule="auto"/>
      </w:pPr>
      <w:r>
        <w:rPr>
          <w:rFonts w:hint="eastAsia"/>
        </w:rPr>
        <w:t>受检前确认不合格的，应调整筛查时间、补充资料或者转入其他路径。</w:t>
      </w:r>
    </w:p>
    <w:p w14:paraId="16E149F9">
      <w:pPr>
        <w:pStyle w:val="105"/>
        <w:spacing w:before="120" w:after="120" w:line="360" w:lineRule="auto"/>
      </w:pPr>
      <w:r>
        <w:rPr>
          <w:rFonts w:hint="eastAsia"/>
        </w:rPr>
        <w:t>筛查实施流程要求</w:t>
      </w:r>
    </w:p>
    <w:p w14:paraId="23833D84">
      <w:pPr>
        <w:pStyle w:val="65"/>
        <w:spacing w:before="120" w:after="120" w:line="360" w:lineRule="auto"/>
      </w:pPr>
      <w:r>
        <w:rPr>
          <w:rFonts w:hint="eastAsia"/>
        </w:rPr>
        <w:t>一般要求</w:t>
      </w:r>
    </w:p>
    <w:p w14:paraId="1464BD6D">
      <w:pPr>
        <w:pStyle w:val="164"/>
        <w:spacing w:line="360" w:lineRule="auto"/>
      </w:pPr>
      <w:r>
        <w:rPr>
          <w:rFonts w:hint="eastAsia"/>
        </w:rPr>
        <w:t>癌症早期筛查应按既定流程实施。</w:t>
      </w:r>
    </w:p>
    <w:p w14:paraId="2914DA44">
      <w:pPr>
        <w:pStyle w:val="164"/>
        <w:spacing w:line="360" w:lineRule="auto"/>
      </w:pPr>
      <w:r>
        <w:rPr>
          <w:rFonts w:hint="eastAsia"/>
        </w:rPr>
        <w:t>同一筛查对象从登记到结果反馈全过程，应保持信息连续、一致和可追溯。</w:t>
      </w:r>
    </w:p>
    <w:p w14:paraId="28AF84CB">
      <w:pPr>
        <w:pStyle w:val="164"/>
        <w:spacing w:line="360" w:lineRule="auto"/>
      </w:pPr>
      <w:r>
        <w:rPr>
          <w:rFonts w:hint="eastAsia"/>
        </w:rPr>
        <w:t>筛查流程中的每一关键节点应有相应记录，不得口头流转而无痕。</w:t>
      </w:r>
    </w:p>
    <w:p w14:paraId="653CE51D">
      <w:pPr>
        <w:pStyle w:val="56"/>
        <w:spacing w:line="360" w:lineRule="auto"/>
        <w:ind w:firstLine="420"/>
      </w:pPr>
      <w:r>
        <w:rPr>
          <w:rFonts w:hint="eastAsia"/>
        </w:rPr>
        <w:t>流程节点控制要求</w:t>
      </w:r>
    </w:p>
    <w:p w14:paraId="4F8C7329">
      <w:pPr>
        <w:pStyle w:val="164"/>
        <w:spacing w:line="360" w:lineRule="auto"/>
      </w:pPr>
      <w:r>
        <w:rPr>
          <w:rFonts w:hint="eastAsia"/>
        </w:rPr>
        <w:t>筛查流程宜至少设置下列控制节点：</w:t>
      </w:r>
    </w:p>
    <w:p w14:paraId="1DD1170A">
      <w:pPr>
        <w:pStyle w:val="56"/>
        <w:spacing w:line="360" w:lineRule="auto"/>
        <w:ind w:firstLine="420"/>
      </w:pPr>
      <w:r>
        <w:rPr>
          <w:rFonts w:hint="eastAsia"/>
        </w:rPr>
        <w:t>a）对象确认节点；</w:t>
      </w:r>
    </w:p>
    <w:p w14:paraId="796DACFA">
      <w:pPr>
        <w:pStyle w:val="56"/>
        <w:spacing w:line="360" w:lineRule="auto"/>
        <w:ind w:firstLine="420"/>
      </w:pPr>
      <w:r>
        <w:rPr>
          <w:rFonts w:hint="eastAsia"/>
        </w:rPr>
        <w:t>b）风险评估节点；</w:t>
      </w:r>
    </w:p>
    <w:p w14:paraId="7F91E48F">
      <w:pPr>
        <w:pStyle w:val="56"/>
        <w:spacing w:line="360" w:lineRule="auto"/>
        <w:ind w:firstLine="420"/>
      </w:pPr>
      <w:r>
        <w:rPr>
          <w:rFonts w:hint="eastAsia"/>
        </w:rPr>
        <w:t>c）筛查实施节点；</w:t>
      </w:r>
    </w:p>
    <w:p w14:paraId="1AFA37F7">
      <w:pPr>
        <w:pStyle w:val="56"/>
        <w:spacing w:line="360" w:lineRule="auto"/>
        <w:ind w:firstLine="420"/>
      </w:pPr>
      <w:r>
        <w:rPr>
          <w:rFonts w:hint="eastAsia"/>
        </w:rPr>
        <w:t>d）样本或者图像确认节点；</w:t>
      </w:r>
    </w:p>
    <w:p w14:paraId="0C41B582">
      <w:pPr>
        <w:pStyle w:val="56"/>
        <w:spacing w:line="360" w:lineRule="auto"/>
        <w:ind w:firstLine="420"/>
      </w:pPr>
      <w:r>
        <w:rPr>
          <w:rFonts w:hint="eastAsia"/>
        </w:rPr>
        <w:t>e）结果审核节点；</w:t>
      </w:r>
    </w:p>
    <w:p w14:paraId="4FDCE73C">
      <w:pPr>
        <w:pStyle w:val="56"/>
        <w:spacing w:line="360" w:lineRule="auto"/>
        <w:ind w:firstLine="420"/>
      </w:pPr>
      <w:r>
        <w:rPr>
          <w:rFonts w:hint="eastAsia"/>
        </w:rPr>
        <w:t>f）异常结果判定节点；</w:t>
      </w:r>
    </w:p>
    <w:p w14:paraId="689FCCAD">
      <w:pPr>
        <w:pStyle w:val="56"/>
        <w:spacing w:line="360" w:lineRule="auto"/>
        <w:ind w:firstLine="420"/>
      </w:pPr>
      <w:r>
        <w:rPr>
          <w:rFonts w:hint="eastAsia"/>
        </w:rPr>
        <w:t>g）结果反馈节点；</w:t>
      </w:r>
    </w:p>
    <w:p w14:paraId="557BE78E">
      <w:pPr>
        <w:pStyle w:val="56"/>
        <w:spacing w:line="360" w:lineRule="auto"/>
        <w:ind w:firstLine="420"/>
      </w:pPr>
      <w:r>
        <w:rPr>
          <w:rFonts w:hint="eastAsia"/>
        </w:rPr>
        <w:t>h）转诊登记节点；</w:t>
      </w:r>
    </w:p>
    <w:p w14:paraId="36D684A0">
      <w:pPr>
        <w:pStyle w:val="56"/>
        <w:spacing w:line="360" w:lineRule="auto"/>
        <w:ind w:firstLine="420"/>
      </w:pPr>
      <w:r>
        <w:rPr>
          <w:rFonts w:hint="eastAsia"/>
        </w:rPr>
        <w:t>i）随访启动节点。</w:t>
      </w:r>
    </w:p>
    <w:p w14:paraId="554B087E">
      <w:pPr>
        <w:pStyle w:val="164"/>
        <w:spacing w:line="360" w:lineRule="auto"/>
      </w:pPr>
      <w:r>
        <w:rPr>
          <w:rFonts w:hint="eastAsia"/>
        </w:rPr>
        <w:t>关键节点未完成确认的，不得进入下一节点。</w:t>
      </w:r>
    </w:p>
    <w:p w14:paraId="01E7FC92">
      <w:pPr>
        <w:pStyle w:val="65"/>
        <w:spacing w:before="120" w:after="120" w:line="360" w:lineRule="auto"/>
      </w:pPr>
      <w:r>
        <w:rPr>
          <w:rFonts w:hint="eastAsia"/>
        </w:rPr>
        <w:t>多步骤筛查控制要求</w:t>
      </w:r>
    </w:p>
    <w:p w14:paraId="615D73AD">
      <w:pPr>
        <w:pStyle w:val="164"/>
        <w:spacing w:line="360" w:lineRule="auto"/>
      </w:pPr>
      <w:r>
        <w:rPr>
          <w:rFonts w:hint="eastAsia"/>
        </w:rPr>
        <w:t>对需先初筛后复筛、先问卷评估后检查、先实验室检测后影像或者内镜检查的项目，应明确分步衔接规则。</w:t>
      </w:r>
    </w:p>
    <w:p w14:paraId="7A9EDFCD">
      <w:pPr>
        <w:pStyle w:val="164"/>
        <w:spacing w:line="360" w:lineRule="auto"/>
      </w:pPr>
      <w:r>
        <w:rPr>
          <w:rFonts w:hint="eastAsia"/>
        </w:rPr>
        <w:t>多步骤筛查中任一步骤结果异常的，应及时触发后续流程，不得无故中断。</w:t>
      </w:r>
    </w:p>
    <w:p w14:paraId="66743327">
      <w:pPr>
        <w:pStyle w:val="164"/>
        <w:spacing w:line="360" w:lineRule="auto"/>
      </w:pPr>
      <w:r>
        <w:rPr>
          <w:rFonts w:hint="eastAsia"/>
        </w:rPr>
        <w:t>多步骤筛查流程中，应防止对象信息错配、样本错配、结果错配和转诊错配。</w:t>
      </w:r>
    </w:p>
    <w:p w14:paraId="33AB5D49">
      <w:pPr>
        <w:pStyle w:val="164"/>
        <w:numPr>
          <w:ilvl w:val="0"/>
          <w:numId w:val="0"/>
        </w:numPr>
        <w:spacing w:line="360" w:lineRule="auto"/>
      </w:pPr>
    </w:p>
    <w:p w14:paraId="3BF66931">
      <w:pPr>
        <w:pStyle w:val="164"/>
        <w:numPr>
          <w:ilvl w:val="0"/>
          <w:numId w:val="0"/>
        </w:numPr>
        <w:spacing w:line="360" w:lineRule="auto"/>
      </w:pPr>
    </w:p>
    <w:p w14:paraId="76942F84">
      <w:pPr>
        <w:pStyle w:val="164"/>
        <w:numPr>
          <w:ilvl w:val="0"/>
          <w:numId w:val="0"/>
        </w:numPr>
        <w:spacing w:line="360" w:lineRule="auto"/>
        <w:rPr>
          <w:rFonts w:hint="eastAsia"/>
        </w:rPr>
      </w:pPr>
    </w:p>
    <w:p w14:paraId="5613C6E1">
      <w:pPr>
        <w:pStyle w:val="105"/>
        <w:spacing w:before="120" w:after="120" w:line="360" w:lineRule="auto"/>
      </w:pPr>
      <w:r>
        <w:rPr>
          <w:rFonts w:hint="eastAsia"/>
        </w:rPr>
        <w:t>样本与受检资料流转要求</w:t>
      </w:r>
    </w:p>
    <w:p w14:paraId="0093E2FA">
      <w:pPr>
        <w:pStyle w:val="65"/>
        <w:spacing w:before="120" w:after="120" w:line="360" w:lineRule="auto"/>
      </w:pPr>
      <w:r>
        <w:rPr>
          <w:rFonts w:hint="eastAsia"/>
        </w:rPr>
        <w:t>一般要求</w:t>
      </w:r>
    </w:p>
    <w:p w14:paraId="3080B265">
      <w:pPr>
        <w:pStyle w:val="164"/>
        <w:spacing w:line="360" w:lineRule="auto"/>
      </w:pPr>
      <w:r>
        <w:rPr>
          <w:rFonts w:hint="eastAsia"/>
        </w:rPr>
        <w:t>涉及样本采集、影像资料、病理资料、内镜资料或者其他检查资料流转的，应实施统一标识和统一管理。</w:t>
      </w:r>
    </w:p>
    <w:p w14:paraId="7DFC312F">
      <w:pPr>
        <w:pStyle w:val="164"/>
        <w:spacing w:line="360" w:lineRule="auto"/>
      </w:pPr>
      <w:r>
        <w:rPr>
          <w:rFonts w:hint="eastAsia"/>
        </w:rPr>
        <w:t>样本和资料流转应确保人、样本、申请单、检查项目和结果一一对应。</w:t>
      </w:r>
    </w:p>
    <w:p w14:paraId="14E630E8">
      <w:pPr>
        <w:pStyle w:val="164"/>
        <w:spacing w:line="360" w:lineRule="auto"/>
      </w:pPr>
      <w:r>
        <w:rPr>
          <w:rFonts w:hint="eastAsia"/>
        </w:rPr>
        <w:t>样本或者资料流转中断、破损、污染、丢失和标识不清的，不得进入正式检测判定流程。</w:t>
      </w:r>
    </w:p>
    <w:p w14:paraId="3107319B">
      <w:pPr>
        <w:pStyle w:val="65"/>
        <w:spacing w:before="120" w:after="120" w:line="360" w:lineRule="auto"/>
      </w:pPr>
      <w:r>
        <w:rPr>
          <w:rFonts w:hint="eastAsia"/>
        </w:rPr>
        <w:t>标识要求</w:t>
      </w:r>
    </w:p>
    <w:p w14:paraId="2F235E8A">
      <w:pPr>
        <w:pStyle w:val="164"/>
        <w:spacing w:line="360" w:lineRule="auto"/>
      </w:pPr>
      <w:r>
        <w:rPr>
          <w:rFonts w:hint="eastAsia"/>
        </w:rPr>
        <w:t>样本或者检查资料应具有唯一标识。</w:t>
      </w:r>
    </w:p>
    <w:p w14:paraId="2E02E442">
      <w:pPr>
        <w:pStyle w:val="164"/>
        <w:spacing w:line="360" w:lineRule="auto"/>
      </w:pPr>
      <w:r>
        <w:rPr>
          <w:rFonts w:hint="eastAsia"/>
        </w:rPr>
        <w:t>标识内容宜包括对象编号、项目名称、采样或者检查时间和必要的类别信息。</w:t>
      </w:r>
    </w:p>
    <w:p w14:paraId="2C3088FC">
      <w:pPr>
        <w:pStyle w:val="164"/>
        <w:spacing w:line="360" w:lineRule="auto"/>
      </w:pPr>
      <w:r>
        <w:rPr>
          <w:rFonts w:hint="eastAsia"/>
        </w:rPr>
        <w:t>标识填写不得使用无法辨识的简写、模糊字迹或者无规则自定义符号。</w:t>
      </w:r>
    </w:p>
    <w:p w14:paraId="49820688">
      <w:pPr>
        <w:pStyle w:val="105"/>
        <w:spacing w:before="120" w:after="120" w:line="360" w:lineRule="auto"/>
      </w:pPr>
      <w:r>
        <w:rPr>
          <w:rFonts w:hint="eastAsia"/>
        </w:rPr>
        <w:t>异常对象管理要求</w:t>
      </w:r>
    </w:p>
    <w:p w14:paraId="7D4CC446">
      <w:pPr>
        <w:pStyle w:val="65"/>
        <w:spacing w:before="120" w:after="120" w:line="360" w:lineRule="auto"/>
      </w:pPr>
      <w:r>
        <w:rPr>
          <w:rFonts w:hint="eastAsia"/>
        </w:rPr>
        <w:t>一般要求</w:t>
      </w:r>
    </w:p>
    <w:p w14:paraId="373B7C5C">
      <w:pPr>
        <w:pStyle w:val="164"/>
        <w:spacing w:line="360" w:lineRule="auto"/>
      </w:pPr>
      <w:r>
        <w:rPr>
          <w:rFonts w:hint="eastAsia"/>
        </w:rPr>
        <w:t>对初筛异常、可疑或者阳性对象，应建立异常对象管理台账。</w:t>
      </w:r>
    </w:p>
    <w:p w14:paraId="34A689F8">
      <w:pPr>
        <w:pStyle w:val="164"/>
        <w:spacing w:line="360" w:lineRule="auto"/>
      </w:pPr>
      <w:r>
        <w:rPr>
          <w:rFonts w:hint="eastAsia"/>
        </w:rPr>
        <w:t>异常对象管理应包括异常登记、结果复核、转诊建议、转诊落实、随访提醒和结局记录。</w:t>
      </w:r>
    </w:p>
    <w:p w14:paraId="688C4633">
      <w:pPr>
        <w:pStyle w:val="164"/>
        <w:spacing w:line="360" w:lineRule="auto"/>
      </w:pPr>
      <w:r>
        <w:rPr>
          <w:rFonts w:hint="eastAsia"/>
        </w:rPr>
        <w:t>对异常对象不得仅发放报告而不纳入后续管理。</w:t>
      </w:r>
    </w:p>
    <w:p w14:paraId="6169E642">
      <w:pPr>
        <w:pStyle w:val="65"/>
        <w:spacing w:before="120" w:after="120" w:line="360" w:lineRule="auto"/>
      </w:pPr>
      <w:r>
        <w:rPr>
          <w:rFonts w:hint="eastAsia"/>
        </w:rPr>
        <w:t>重点管理要求</w:t>
      </w:r>
    </w:p>
    <w:p w14:paraId="1C5B69F5">
      <w:pPr>
        <w:pStyle w:val="164"/>
        <w:spacing w:line="360" w:lineRule="auto"/>
      </w:pPr>
      <w:r>
        <w:rPr>
          <w:rFonts w:hint="eastAsia"/>
        </w:rPr>
        <w:t>对下列对象应重点管理：</w:t>
      </w:r>
    </w:p>
    <w:p w14:paraId="668EB30B">
      <w:pPr>
        <w:pStyle w:val="56"/>
        <w:spacing w:line="360" w:lineRule="auto"/>
        <w:ind w:firstLine="420"/>
      </w:pPr>
      <w:r>
        <w:rPr>
          <w:rFonts w:hint="eastAsia"/>
        </w:rPr>
        <w:t>a）阳性结果对象；</w:t>
      </w:r>
    </w:p>
    <w:p w14:paraId="0B779C7E">
      <w:pPr>
        <w:pStyle w:val="56"/>
        <w:spacing w:line="360" w:lineRule="auto"/>
        <w:ind w:firstLine="420"/>
      </w:pPr>
      <w:r>
        <w:rPr>
          <w:rFonts w:hint="eastAsia"/>
        </w:rPr>
        <w:t>b）高度可疑对象；</w:t>
      </w:r>
    </w:p>
    <w:p w14:paraId="06BB4C0B">
      <w:pPr>
        <w:pStyle w:val="56"/>
        <w:spacing w:line="360" w:lineRule="auto"/>
        <w:ind w:firstLine="420"/>
      </w:pPr>
      <w:r>
        <w:rPr>
          <w:rFonts w:hint="eastAsia"/>
        </w:rPr>
        <w:t>c）重复异常对象；</w:t>
      </w:r>
    </w:p>
    <w:p w14:paraId="5A60F34C">
      <w:pPr>
        <w:pStyle w:val="56"/>
        <w:spacing w:line="360" w:lineRule="auto"/>
        <w:ind w:firstLine="420"/>
      </w:pPr>
      <w:r>
        <w:rPr>
          <w:rFonts w:hint="eastAsia"/>
        </w:rPr>
        <w:t>d）既往异常但未完成复查对象；</w:t>
      </w:r>
    </w:p>
    <w:p w14:paraId="54629861">
      <w:pPr>
        <w:pStyle w:val="56"/>
        <w:spacing w:line="360" w:lineRule="auto"/>
        <w:ind w:firstLine="420"/>
      </w:pPr>
      <w:r>
        <w:rPr>
          <w:rFonts w:hint="eastAsia"/>
        </w:rPr>
        <w:t>e）高风险且筛查异常对象；</w:t>
      </w:r>
    </w:p>
    <w:p w14:paraId="68BD377E">
      <w:pPr>
        <w:pStyle w:val="56"/>
        <w:spacing w:line="360" w:lineRule="auto"/>
        <w:ind w:firstLine="420"/>
      </w:pPr>
      <w:r>
        <w:rPr>
          <w:rFonts w:hint="eastAsia"/>
        </w:rPr>
        <w:t>f）失访后重新联系对象。</w:t>
      </w:r>
    </w:p>
    <w:p w14:paraId="2510DA42">
      <w:pPr>
        <w:pStyle w:val="164"/>
        <w:spacing w:line="360" w:lineRule="auto"/>
      </w:pPr>
      <w:r>
        <w:rPr>
          <w:rFonts w:hint="eastAsia"/>
        </w:rPr>
        <w:t>重点管理对象应实施优先联系、优先转诊和优先随访。</w:t>
      </w:r>
    </w:p>
    <w:p w14:paraId="49464C66">
      <w:pPr>
        <w:pStyle w:val="105"/>
        <w:spacing w:before="120" w:after="120" w:line="360" w:lineRule="auto"/>
      </w:pPr>
      <w:r>
        <w:rPr>
          <w:rFonts w:hint="eastAsia"/>
        </w:rPr>
        <w:t>流程异常管理要求</w:t>
      </w:r>
    </w:p>
    <w:p w14:paraId="7FF56146">
      <w:pPr>
        <w:pStyle w:val="65"/>
        <w:spacing w:before="120" w:after="120" w:line="360" w:lineRule="auto"/>
      </w:pPr>
      <w:r>
        <w:rPr>
          <w:rFonts w:hint="eastAsia"/>
        </w:rPr>
        <w:t>一般要求</w:t>
      </w:r>
    </w:p>
    <w:p w14:paraId="6B45CFD8">
      <w:pPr>
        <w:pStyle w:val="164"/>
        <w:spacing w:line="360" w:lineRule="auto"/>
      </w:pPr>
      <w:r>
        <w:rPr>
          <w:rFonts w:hint="eastAsia"/>
        </w:rPr>
        <w:t>在筛查流程中出现身份差错、样本差错、登记差错、项目遗漏、结果遗漏、转诊遗漏和随访中断等情形时，应纳入流程异常管理。</w:t>
      </w:r>
    </w:p>
    <w:p w14:paraId="6616A068">
      <w:pPr>
        <w:pStyle w:val="164"/>
        <w:spacing w:line="360" w:lineRule="auto"/>
      </w:pPr>
      <w:r>
        <w:rPr>
          <w:rFonts w:hint="eastAsia"/>
        </w:rPr>
        <w:t>流程异常应做到及时发现、及时纠正、及时记录和及时复盘。</w:t>
      </w:r>
    </w:p>
    <w:p w14:paraId="6B65FAF2">
      <w:pPr>
        <w:pStyle w:val="65"/>
        <w:spacing w:before="120" w:after="120" w:line="360" w:lineRule="auto"/>
      </w:pPr>
      <w:r>
        <w:rPr>
          <w:rFonts w:hint="eastAsia"/>
        </w:rPr>
        <w:t>处置要求</w:t>
      </w:r>
    </w:p>
    <w:p w14:paraId="6BCCB002">
      <w:pPr>
        <w:pStyle w:val="164"/>
        <w:spacing w:line="360" w:lineRule="auto"/>
      </w:pPr>
      <w:r>
        <w:rPr>
          <w:rFonts w:hint="eastAsia"/>
        </w:rPr>
        <w:t>对流程异常，应按“发现、登记、分析、纠正、复核、归档”的程序处理。</w:t>
      </w:r>
    </w:p>
    <w:p w14:paraId="7949AFC3">
      <w:pPr>
        <w:pStyle w:val="164"/>
        <w:spacing w:line="360" w:lineRule="auto"/>
      </w:pPr>
      <w:r>
        <w:rPr>
          <w:rFonts w:hint="eastAsia"/>
        </w:rPr>
        <w:t>对涉及筛查结果有效性的流程异常，应优先处置，不得拖延。</w:t>
      </w:r>
    </w:p>
    <w:p w14:paraId="6C08E06F">
      <w:pPr>
        <w:pStyle w:val="164"/>
        <w:spacing w:line="360" w:lineRule="auto"/>
      </w:pPr>
      <w:r>
        <w:rPr>
          <w:rFonts w:hint="eastAsia"/>
        </w:rPr>
        <w:t>对重复发生的流程异常，应开展专项整改。</w:t>
      </w:r>
    </w:p>
    <w:p w14:paraId="57E78DCA">
      <w:pPr>
        <w:pStyle w:val="105"/>
        <w:spacing w:before="120" w:after="120" w:line="360" w:lineRule="auto"/>
      </w:pPr>
      <w:r>
        <w:rPr>
          <w:rFonts w:hint="eastAsia"/>
        </w:rPr>
        <w:t>筛查对象管理与流程控制要点</w:t>
      </w:r>
    </w:p>
    <w:p w14:paraId="0F3146FD">
      <w:pPr>
        <w:pStyle w:val="56"/>
        <w:spacing w:line="360" w:lineRule="auto"/>
        <w:ind w:firstLine="420"/>
      </w:pPr>
      <w:r>
        <w:rPr>
          <w:rFonts w:hint="eastAsia"/>
        </w:rPr>
        <w:t>筛查对象管理与流程控制的主要内容见表2。表2给出了癌症早期筛查对象管理与流程控制的主要内容及控制要点。</w:t>
      </w:r>
    </w:p>
    <w:p w14:paraId="3FEC22FC">
      <w:pPr>
        <w:pStyle w:val="112"/>
        <w:spacing w:before="120" w:after="120" w:line="360" w:lineRule="auto"/>
      </w:pPr>
      <w:r>
        <w:rPr>
          <w:rFonts w:hint="eastAsia"/>
        </w:rPr>
        <w:t>癌症早期筛查对象管理与流程控制要点表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3969"/>
        <w:gridCol w:w="3532"/>
      </w:tblGrid>
      <w:tr w14:paraId="1C1E16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3D02F90D">
            <w:pPr>
              <w:pStyle w:val="178"/>
            </w:pPr>
            <w:r>
              <w:rPr>
                <w:rFonts w:hint="eastAsia"/>
              </w:rPr>
              <w:t>工作类别</w:t>
            </w:r>
          </w:p>
        </w:tc>
        <w:tc>
          <w:tcPr>
            <w:tcW w:w="3969" w:type="dxa"/>
            <w:tcBorders>
              <w:top w:val="single" w:color="auto" w:sz="8" w:space="0"/>
              <w:bottom w:val="single" w:color="auto" w:sz="8" w:space="0"/>
            </w:tcBorders>
          </w:tcPr>
          <w:p w14:paraId="36193533">
            <w:pPr>
              <w:pStyle w:val="178"/>
            </w:pPr>
            <w:r>
              <w:rPr>
                <w:rFonts w:hint="eastAsia"/>
              </w:rPr>
              <w:t>主要内容</w:t>
            </w:r>
          </w:p>
        </w:tc>
        <w:tc>
          <w:tcPr>
            <w:tcW w:w="3532" w:type="dxa"/>
            <w:tcBorders>
              <w:top w:val="single" w:color="auto" w:sz="8" w:space="0"/>
              <w:bottom w:val="single" w:color="auto" w:sz="8" w:space="0"/>
            </w:tcBorders>
          </w:tcPr>
          <w:p w14:paraId="001AB854">
            <w:pPr>
              <w:pStyle w:val="178"/>
            </w:pPr>
            <w:r>
              <w:rPr>
                <w:rFonts w:hint="eastAsia"/>
              </w:rPr>
              <w:t>控制要点</w:t>
            </w:r>
          </w:p>
        </w:tc>
      </w:tr>
      <w:tr w14:paraId="29CF00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tcPr>
          <w:p w14:paraId="496451F5">
            <w:pPr>
              <w:pStyle w:val="178"/>
            </w:pPr>
            <w:r>
              <w:rPr>
                <w:rFonts w:hint="eastAsia"/>
              </w:rPr>
              <w:t>对象识别</w:t>
            </w:r>
          </w:p>
        </w:tc>
        <w:tc>
          <w:tcPr>
            <w:tcW w:w="3969" w:type="dxa"/>
            <w:tcBorders>
              <w:top w:val="single" w:color="auto" w:sz="8" w:space="0"/>
            </w:tcBorders>
          </w:tcPr>
          <w:p w14:paraId="28A903C4">
            <w:pPr>
              <w:pStyle w:val="178"/>
            </w:pPr>
            <w:r>
              <w:rPr>
                <w:rFonts w:hint="eastAsia"/>
              </w:rPr>
              <w:t>适用范围、高风险识别、排除与暂缓</w:t>
            </w:r>
          </w:p>
        </w:tc>
        <w:tc>
          <w:tcPr>
            <w:tcW w:w="3532" w:type="dxa"/>
            <w:tcBorders>
              <w:top w:val="single" w:color="auto" w:sz="8" w:space="0"/>
            </w:tcBorders>
          </w:tcPr>
          <w:p w14:paraId="77022EEC">
            <w:pPr>
              <w:pStyle w:val="178"/>
            </w:pPr>
            <w:r>
              <w:rPr>
                <w:rFonts w:hint="eastAsia"/>
              </w:rPr>
              <w:t>应按癌种路径识别，不得随意扩大范围</w:t>
            </w:r>
          </w:p>
        </w:tc>
      </w:tr>
      <w:tr w14:paraId="6F329E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055FB0D7">
            <w:pPr>
              <w:pStyle w:val="178"/>
            </w:pPr>
            <w:r>
              <w:rPr>
                <w:rFonts w:hint="eastAsia"/>
              </w:rPr>
              <w:t>风险评估</w:t>
            </w:r>
          </w:p>
        </w:tc>
        <w:tc>
          <w:tcPr>
            <w:tcW w:w="3969" w:type="dxa"/>
          </w:tcPr>
          <w:p w14:paraId="430FEA31">
            <w:pPr>
              <w:pStyle w:val="178"/>
            </w:pPr>
            <w:r>
              <w:rPr>
                <w:rFonts w:hint="eastAsia"/>
              </w:rPr>
              <w:t>问卷、病史、家族史、暴露因素</w:t>
            </w:r>
          </w:p>
        </w:tc>
        <w:tc>
          <w:tcPr>
            <w:tcW w:w="3532" w:type="dxa"/>
          </w:tcPr>
          <w:p w14:paraId="54983B95">
            <w:pPr>
              <w:pStyle w:val="178"/>
            </w:pPr>
            <w:r>
              <w:rPr>
                <w:rFonts w:hint="eastAsia"/>
              </w:rPr>
              <w:t>信息真实完整，结果用于分层管理</w:t>
            </w:r>
          </w:p>
        </w:tc>
      </w:tr>
      <w:tr w14:paraId="1A4651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03F9050E">
            <w:pPr>
              <w:pStyle w:val="178"/>
            </w:pPr>
            <w:r>
              <w:rPr>
                <w:rFonts w:hint="eastAsia"/>
              </w:rPr>
              <w:t>知情告知</w:t>
            </w:r>
          </w:p>
        </w:tc>
        <w:tc>
          <w:tcPr>
            <w:tcW w:w="3969" w:type="dxa"/>
          </w:tcPr>
          <w:p w14:paraId="03439360">
            <w:pPr>
              <w:pStyle w:val="178"/>
            </w:pPr>
            <w:r>
              <w:rPr>
                <w:rFonts w:hint="eastAsia"/>
              </w:rPr>
              <w:t>目的、方法、风险、结果边界</w:t>
            </w:r>
          </w:p>
        </w:tc>
        <w:tc>
          <w:tcPr>
            <w:tcW w:w="3532" w:type="dxa"/>
          </w:tcPr>
          <w:p w14:paraId="52798092">
            <w:pPr>
              <w:pStyle w:val="178"/>
            </w:pPr>
            <w:r>
              <w:rPr>
                <w:rFonts w:hint="eastAsia"/>
              </w:rPr>
              <w:t>告知充分并留痕</w:t>
            </w:r>
          </w:p>
        </w:tc>
      </w:tr>
      <w:tr w14:paraId="1AC084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16BD4AD8">
            <w:pPr>
              <w:pStyle w:val="178"/>
            </w:pPr>
            <w:r>
              <w:rPr>
                <w:rFonts w:hint="eastAsia"/>
              </w:rPr>
              <w:t>预约登记</w:t>
            </w:r>
          </w:p>
        </w:tc>
        <w:tc>
          <w:tcPr>
            <w:tcW w:w="3969" w:type="dxa"/>
          </w:tcPr>
          <w:p w14:paraId="76ECEF5F">
            <w:pPr>
              <w:pStyle w:val="178"/>
            </w:pPr>
            <w:r>
              <w:rPr>
                <w:rFonts w:hint="eastAsia"/>
              </w:rPr>
              <w:t>身份、项目、时间、准备要求</w:t>
            </w:r>
          </w:p>
        </w:tc>
        <w:tc>
          <w:tcPr>
            <w:tcW w:w="3532" w:type="dxa"/>
          </w:tcPr>
          <w:p w14:paraId="7AA80479">
            <w:pPr>
              <w:pStyle w:val="178"/>
            </w:pPr>
            <w:r>
              <w:rPr>
                <w:rFonts w:hint="eastAsia"/>
              </w:rPr>
              <w:t>信息准确、条件明确</w:t>
            </w:r>
          </w:p>
        </w:tc>
      </w:tr>
      <w:tr w14:paraId="19E0D9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66ACD2E7">
            <w:pPr>
              <w:pStyle w:val="178"/>
            </w:pPr>
            <w:r>
              <w:rPr>
                <w:rFonts w:hint="eastAsia"/>
              </w:rPr>
              <w:t>受检前确认</w:t>
            </w:r>
          </w:p>
        </w:tc>
        <w:tc>
          <w:tcPr>
            <w:tcW w:w="3969" w:type="dxa"/>
          </w:tcPr>
          <w:p w14:paraId="0F23CD86">
            <w:pPr>
              <w:pStyle w:val="178"/>
            </w:pPr>
            <w:r>
              <w:rPr>
                <w:rFonts w:hint="eastAsia"/>
              </w:rPr>
              <w:t>身份核验、禁忌核查、项目核对</w:t>
            </w:r>
          </w:p>
        </w:tc>
        <w:tc>
          <w:tcPr>
            <w:tcW w:w="3532" w:type="dxa"/>
          </w:tcPr>
          <w:p w14:paraId="6B904CD8">
            <w:pPr>
              <w:pStyle w:val="178"/>
            </w:pPr>
            <w:r>
              <w:rPr>
                <w:rFonts w:hint="eastAsia"/>
              </w:rPr>
              <w:t>不符合条件不得实施筛查</w:t>
            </w:r>
          </w:p>
        </w:tc>
      </w:tr>
      <w:tr w14:paraId="77DB0C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61F2C45F">
            <w:pPr>
              <w:pStyle w:val="178"/>
            </w:pPr>
            <w:r>
              <w:rPr>
                <w:rFonts w:hint="eastAsia"/>
              </w:rPr>
              <w:t>流程节点控制</w:t>
            </w:r>
          </w:p>
        </w:tc>
        <w:tc>
          <w:tcPr>
            <w:tcW w:w="3969" w:type="dxa"/>
          </w:tcPr>
          <w:p w14:paraId="396460C1">
            <w:pPr>
              <w:pStyle w:val="178"/>
            </w:pPr>
            <w:r>
              <w:rPr>
                <w:rFonts w:hint="eastAsia"/>
              </w:rPr>
              <w:t>初筛、复筛、审核、反馈、转诊、随访</w:t>
            </w:r>
          </w:p>
        </w:tc>
        <w:tc>
          <w:tcPr>
            <w:tcW w:w="3532" w:type="dxa"/>
          </w:tcPr>
          <w:p w14:paraId="5AE0A9B3">
            <w:pPr>
              <w:pStyle w:val="178"/>
            </w:pPr>
            <w:r>
              <w:rPr>
                <w:rFonts w:hint="eastAsia"/>
              </w:rPr>
              <w:t>节点清晰，不得中断闭环</w:t>
            </w:r>
          </w:p>
        </w:tc>
      </w:tr>
      <w:tr w14:paraId="4B4C43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2988ABFD">
            <w:pPr>
              <w:pStyle w:val="178"/>
            </w:pPr>
            <w:r>
              <w:rPr>
                <w:rFonts w:hint="eastAsia"/>
              </w:rPr>
              <w:t>异常对象管理</w:t>
            </w:r>
          </w:p>
        </w:tc>
        <w:tc>
          <w:tcPr>
            <w:tcW w:w="3969" w:type="dxa"/>
          </w:tcPr>
          <w:p w14:paraId="7B3AC393">
            <w:pPr>
              <w:pStyle w:val="178"/>
            </w:pPr>
            <w:r>
              <w:rPr>
                <w:rFonts w:hint="eastAsia"/>
              </w:rPr>
              <w:t>异常登记、转诊、追踪、结局记录</w:t>
            </w:r>
          </w:p>
        </w:tc>
        <w:tc>
          <w:tcPr>
            <w:tcW w:w="3532" w:type="dxa"/>
          </w:tcPr>
          <w:p w14:paraId="186DE739">
            <w:pPr>
              <w:pStyle w:val="178"/>
            </w:pPr>
            <w:r>
              <w:rPr>
                <w:rFonts w:hint="eastAsia"/>
              </w:rPr>
              <w:t>异常对象应有人跟、有人管</w:t>
            </w:r>
          </w:p>
        </w:tc>
      </w:tr>
      <w:tr w14:paraId="66189B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7BD14BE">
            <w:pPr>
              <w:pStyle w:val="178"/>
            </w:pPr>
            <w:r>
              <w:rPr>
                <w:rFonts w:hint="eastAsia"/>
              </w:rPr>
              <w:t>流程异常管理</w:t>
            </w:r>
          </w:p>
        </w:tc>
        <w:tc>
          <w:tcPr>
            <w:tcW w:w="3969" w:type="dxa"/>
          </w:tcPr>
          <w:p w14:paraId="3BD187BA">
            <w:pPr>
              <w:pStyle w:val="178"/>
            </w:pPr>
            <w:r>
              <w:rPr>
                <w:rFonts w:hint="eastAsia"/>
              </w:rPr>
              <w:t>差错发现、纠正、复核、整改</w:t>
            </w:r>
          </w:p>
        </w:tc>
        <w:tc>
          <w:tcPr>
            <w:tcW w:w="3532" w:type="dxa"/>
          </w:tcPr>
          <w:p w14:paraId="7050C814">
            <w:pPr>
              <w:pStyle w:val="178"/>
            </w:pPr>
            <w:r>
              <w:rPr>
                <w:rFonts w:hint="eastAsia"/>
              </w:rPr>
              <w:t>反复异常应专项整改</w:t>
            </w:r>
          </w:p>
        </w:tc>
      </w:tr>
    </w:tbl>
    <w:p w14:paraId="09CB73E3">
      <w:pPr>
        <w:pStyle w:val="105"/>
        <w:spacing w:before="120" w:after="120" w:line="360" w:lineRule="auto"/>
      </w:pPr>
      <w:r>
        <w:rPr>
          <w:rFonts w:hint="eastAsia"/>
        </w:rPr>
        <w:t>禁止性要求</w:t>
      </w:r>
    </w:p>
    <w:p w14:paraId="1E5919CF">
      <w:pPr>
        <w:pStyle w:val="165"/>
        <w:spacing w:line="360" w:lineRule="auto"/>
      </w:pPr>
      <w:r>
        <w:rPr>
          <w:rFonts w:hint="eastAsia"/>
        </w:rPr>
        <w:t>不得在对象适应范围不清、风险信息不明或者身份核验不清的情况下实施筛查。</w:t>
      </w:r>
    </w:p>
    <w:p w14:paraId="3AFE694B">
      <w:pPr>
        <w:pStyle w:val="165"/>
        <w:spacing w:line="360" w:lineRule="auto"/>
      </w:pPr>
      <w:r>
        <w:rPr>
          <w:rFonts w:hint="eastAsia"/>
        </w:rPr>
        <w:t>不得以简化流程为由省略知情告知、风险评估和受检前确认。</w:t>
      </w:r>
    </w:p>
    <w:p w14:paraId="037CDE4A">
      <w:pPr>
        <w:pStyle w:val="165"/>
        <w:spacing w:line="360" w:lineRule="auto"/>
      </w:pPr>
      <w:r>
        <w:rPr>
          <w:rFonts w:hint="eastAsia"/>
        </w:rPr>
        <w:t>不得在样本、资料和对象信息未建立唯一对应关系的情况下进入正式检测判定流程。</w:t>
      </w:r>
    </w:p>
    <w:p w14:paraId="06FF29E1">
      <w:pPr>
        <w:pStyle w:val="165"/>
        <w:spacing w:line="360" w:lineRule="auto"/>
      </w:pPr>
      <w:r>
        <w:rPr>
          <w:rFonts w:hint="eastAsia"/>
        </w:rPr>
        <w:t>不得对异常对象只登记不转诊、只转诊不追踪、只追踪不记录。</w:t>
      </w:r>
    </w:p>
    <w:p w14:paraId="52E0BD23">
      <w:pPr>
        <w:pStyle w:val="165"/>
        <w:spacing w:line="360" w:lineRule="auto"/>
      </w:pPr>
      <w:r>
        <w:rPr>
          <w:rFonts w:hint="eastAsia"/>
        </w:rPr>
        <w:t>不得对流程中出现的差错和异常不登记、不纠正和不复盘。</w:t>
      </w:r>
    </w:p>
    <w:p w14:paraId="2FCAACBF">
      <w:pPr>
        <w:pStyle w:val="104"/>
        <w:spacing w:before="240" w:after="240" w:line="360" w:lineRule="auto"/>
      </w:pPr>
      <w:bookmarkStart w:id="54" w:name="_Toc228614109"/>
      <w:r>
        <w:rPr>
          <w:rFonts w:hint="eastAsia"/>
        </w:rPr>
        <w:t>检查检测质量控制要求</w:t>
      </w:r>
      <w:bookmarkEnd w:id="54"/>
    </w:p>
    <w:p w14:paraId="24055672">
      <w:pPr>
        <w:pStyle w:val="105"/>
        <w:spacing w:before="120" w:after="120" w:line="360" w:lineRule="auto"/>
      </w:pPr>
      <w:r>
        <w:rPr>
          <w:rFonts w:hint="eastAsia"/>
        </w:rPr>
        <w:t>一般要求</w:t>
      </w:r>
    </w:p>
    <w:p w14:paraId="469B0541">
      <w:pPr>
        <w:pStyle w:val="165"/>
        <w:spacing w:line="360" w:lineRule="auto"/>
      </w:pPr>
      <w:r>
        <w:rPr>
          <w:rFonts w:hint="eastAsia"/>
        </w:rPr>
        <w:t>癌症早期筛查中的检查检测活动应建立全过程质量控制机制。</w:t>
      </w:r>
    </w:p>
    <w:p w14:paraId="6A757830">
      <w:pPr>
        <w:pStyle w:val="165"/>
        <w:spacing w:line="360" w:lineRule="auto"/>
      </w:pPr>
      <w:r>
        <w:rPr>
          <w:rFonts w:hint="eastAsia"/>
        </w:rPr>
        <w:t>检查检测质量控制应覆盖受检准备、样本采集、样本保存、检测实施、图像采集、结果判读、复核审核、设备试剂管理和不良事件管理等内容。</w:t>
      </w:r>
    </w:p>
    <w:p w14:paraId="4877AB8B">
      <w:pPr>
        <w:pStyle w:val="165"/>
        <w:spacing w:line="360" w:lineRule="auto"/>
      </w:pPr>
      <w:r>
        <w:rPr>
          <w:rFonts w:hint="eastAsia"/>
        </w:rPr>
        <w:t>不同癌种、不同检查方法和不同检测技术应根据相应技术规范实施差异化质量控制。</w:t>
      </w:r>
    </w:p>
    <w:p w14:paraId="4ABA29C6">
      <w:pPr>
        <w:pStyle w:val="165"/>
        <w:spacing w:line="360" w:lineRule="auto"/>
      </w:pPr>
      <w:r>
        <w:rPr>
          <w:rFonts w:hint="eastAsia"/>
        </w:rPr>
        <w:t>检查检测质量控制不得仅停留在设备和试剂管理层面，应同步覆盖操作质量、判读质量和结果质量。</w:t>
      </w:r>
    </w:p>
    <w:p w14:paraId="408F3231">
      <w:pPr>
        <w:pStyle w:val="165"/>
        <w:numPr>
          <w:ilvl w:val="0"/>
          <w:numId w:val="0"/>
        </w:numPr>
        <w:spacing w:line="360" w:lineRule="auto"/>
      </w:pPr>
    </w:p>
    <w:p w14:paraId="7B18F6AC">
      <w:pPr>
        <w:pStyle w:val="165"/>
        <w:numPr>
          <w:ilvl w:val="0"/>
          <w:numId w:val="0"/>
        </w:numPr>
        <w:spacing w:line="360" w:lineRule="auto"/>
        <w:rPr>
          <w:rFonts w:hint="eastAsia"/>
        </w:rPr>
      </w:pPr>
    </w:p>
    <w:p w14:paraId="2A325516">
      <w:pPr>
        <w:pStyle w:val="105"/>
        <w:spacing w:before="120" w:after="120" w:line="360" w:lineRule="auto"/>
      </w:pPr>
      <w:r>
        <w:rPr>
          <w:rFonts w:hint="eastAsia"/>
        </w:rPr>
        <w:t>受检准备质量控制要求</w:t>
      </w:r>
    </w:p>
    <w:p w14:paraId="7FF474C4">
      <w:pPr>
        <w:pStyle w:val="65"/>
        <w:spacing w:before="120" w:after="120" w:line="360" w:lineRule="auto"/>
      </w:pPr>
      <w:r>
        <w:rPr>
          <w:rFonts w:hint="eastAsia"/>
        </w:rPr>
        <w:t>一般要求</w:t>
      </w:r>
    </w:p>
    <w:p w14:paraId="3E6D92B4">
      <w:pPr>
        <w:pStyle w:val="164"/>
        <w:spacing w:line="360" w:lineRule="auto"/>
      </w:pPr>
      <w:r>
        <w:rPr>
          <w:rFonts w:hint="eastAsia"/>
        </w:rPr>
        <w:t>开展检查检测前，应确认受检准备符合要求。</w:t>
      </w:r>
    </w:p>
    <w:p w14:paraId="384696E4">
      <w:pPr>
        <w:pStyle w:val="164"/>
        <w:spacing w:line="360" w:lineRule="auto"/>
      </w:pPr>
      <w:r>
        <w:rPr>
          <w:rFonts w:hint="eastAsia"/>
        </w:rPr>
        <w:t>受检准备应根据癌种和检查方式明确具体要求。</w:t>
      </w:r>
    </w:p>
    <w:p w14:paraId="2BC60E40">
      <w:pPr>
        <w:pStyle w:val="164"/>
        <w:spacing w:line="360" w:lineRule="auto"/>
      </w:pPr>
      <w:r>
        <w:rPr>
          <w:rFonts w:hint="eastAsia"/>
        </w:rPr>
        <w:t>受检准备不符合要求的，不得直接实施正式检查检测。</w:t>
      </w:r>
    </w:p>
    <w:p w14:paraId="4FFF6D16">
      <w:pPr>
        <w:pStyle w:val="65"/>
        <w:spacing w:before="120" w:after="120" w:line="360" w:lineRule="auto"/>
      </w:pPr>
      <w:r>
        <w:rPr>
          <w:rFonts w:hint="eastAsia"/>
        </w:rPr>
        <w:t>控制内容</w:t>
      </w:r>
    </w:p>
    <w:p w14:paraId="0DB88A18">
      <w:pPr>
        <w:pStyle w:val="164"/>
        <w:spacing w:line="360" w:lineRule="auto"/>
      </w:pPr>
      <w:r>
        <w:rPr>
          <w:rFonts w:hint="eastAsia"/>
        </w:rPr>
        <w:t>受检准备宜至少核查下列内容：</w:t>
      </w:r>
    </w:p>
    <w:p w14:paraId="474EDB4F">
      <w:pPr>
        <w:pStyle w:val="56"/>
        <w:spacing w:line="360" w:lineRule="auto"/>
        <w:ind w:firstLine="420"/>
      </w:pPr>
      <w:r>
        <w:rPr>
          <w:rFonts w:hint="eastAsia"/>
        </w:rPr>
        <w:t>a）身份信息；</w:t>
      </w:r>
    </w:p>
    <w:p w14:paraId="374033B3">
      <w:pPr>
        <w:pStyle w:val="56"/>
        <w:spacing w:line="360" w:lineRule="auto"/>
        <w:ind w:firstLine="420"/>
      </w:pPr>
      <w:r>
        <w:rPr>
          <w:rFonts w:hint="eastAsia"/>
        </w:rPr>
        <w:t>b）检查申请信息；</w:t>
      </w:r>
    </w:p>
    <w:p w14:paraId="350C373D">
      <w:pPr>
        <w:pStyle w:val="56"/>
        <w:spacing w:line="360" w:lineRule="auto"/>
        <w:ind w:firstLine="420"/>
      </w:pPr>
      <w:r>
        <w:rPr>
          <w:rFonts w:hint="eastAsia"/>
        </w:rPr>
        <w:t>c）前期禁食、禁饮或者用药要求；</w:t>
      </w:r>
    </w:p>
    <w:p w14:paraId="30AFF780">
      <w:pPr>
        <w:pStyle w:val="56"/>
        <w:spacing w:line="360" w:lineRule="auto"/>
        <w:ind w:firstLine="420"/>
      </w:pPr>
      <w:r>
        <w:rPr>
          <w:rFonts w:hint="eastAsia"/>
        </w:rPr>
        <w:t>d）生理状态和临床禁忌；</w:t>
      </w:r>
    </w:p>
    <w:p w14:paraId="69B6C942">
      <w:pPr>
        <w:pStyle w:val="56"/>
        <w:spacing w:line="360" w:lineRule="auto"/>
        <w:ind w:firstLine="420"/>
      </w:pPr>
      <w:r>
        <w:rPr>
          <w:rFonts w:hint="eastAsia"/>
        </w:rPr>
        <w:t>e）肠道准备或者局部准备情况；</w:t>
      </w:r>
    </w:p>
    <w:p w14:paraId="2453C810">
      <w:pPr>
        <w:pStyle w:val="56"/>
        <w:spacing w:line="360" w:lineRule="auto"/>
        <w:ind w:firstLine="420"/>
      </w:pPr>
      <w:r>
        <w:rPr>
          <w:rFonts w:hint="eastAsia"/>
        </w:rPr>
        <w:t>f）既往相关检查史；</w:t>
      </w:r>
    </w:p>
    <w:p w14:paraId="5686D4E5">
      <w:pPr>
        <w:pStyle w:val="56"/>
        <w:spacing w:line="360" w:lineRule="auto"/>
        <w:ind w:firstLine="420"/>
      </w:pPr>
      <w:r>
        <w:rPr>
          <w:rFonts w:hint="eastAsia"/>
        </w:rPr>
        <w:t>g）知情同意情况。</w:t>
      </w:r>
    </w:p>
    <w:p w14:paraId="217A5D03">
      <w:pPr>
        <w:pStyle w:val="164"/>
        <w:spacing w:line="360" w:lineRule="auto"/>
      </w:pPr>
      <w:r>
        <w:rPr>
          <w:rFonts w:hint="eastAsia"/>
        </w:rPr>
        <w:t>对未达到准备要求的对象，应重新安排检查时间或者调整检查路径。</w:t>
      </w:r>
    </w:p>
    <w:p w14:paraId="48FD17F2">
      <w:pPr>
        <w:pStyle w:val="105"/>
        <w:spacing w:before="120" w:after="120" w:line="360" w:lineRule="auto"/>
      </w:pPr>
      <w:r>
        <w:rPr>
          <w:rFonts w:hint="eastAsia"/>
        </w:rPr>
        <w:t>样本采集质量控制要求</w:t>
      </w:r>
    </w:p>
    <w:p w14:paraId="68293E3D">
      <w:pPr>
        <w:pStyle w:val="65"/>
        <w:spacing w:before="120" w:after="120" w:line="360" w:lineRule="auto"/>
      </w:pPr>
      <w:r>
        <w:rPr>
          <w:rFonts w:hint="eastAsia"/>
        </w:rPr>
        <w:t>一般要求</w:t>
      </w:r>
    </w:p>
    <w:p w14:paraId="35BA2515">
      <w:pPr>
        <w:pStyle w:val="164"/>
        <w:spacing w:line="360" w:lineRule="auto"/>
      </w:pPr>
      <w:r>
        <w:rPr>
          <w:rFonts w:hint="eastAsia"/>
        </w:rPr>
        <w:t>涉及样本采集的筛查项目，应建立样本采集质量控制要求。</w:t>
      </w:r>
    </w:p>
    <w:p w14:paraId="06C7C2B3">
      <w:pPr>
        <w:pStyle w:val="164"/>
        <w:spacing w:line="360" w:lineRule="auto"/>
      </w:pPr>
      <w:r>
        <w:rPr>
          <w:rFonts w:hint="eastAsia"/>
        </w:rPr>
        <w:t>样本采集应做到对象正确、部位正确、方法正确、时机正确和标识正确。</w:t>
      </w:r>
    </w:p>
    <w:p w14:paraId="6451056D">
      <w:pPr>
        <w:pStyle w:val="164"/>
        <w:spacing w:line="360" w:lineRule="auto"/>
      </w:pPr>
      <w:r>
        <w:rPr>
          <w:rFonts w:hint="eastAsia"/>
        </w:rPr>
        <w:t>样本采集不得由未经培训或者不具备相应操作能力的人员独立实施。</w:t>
      </w:r>
    </w:p>
    <w:p w14:paraId="1BCE3A08">
      <w:pPr>
        <w:pStyle w:val="65"/>
        <w:spacing w:before="120" w:after="120" w:line="360" w:lineRule="auto"/>
      </w:pPr>
      <w:r>
        <w:rPr>
          <w:rFonts w:hint="eastAsia"/>
        </w:rPr>
        <w:t>采集要求</w:t>
      </w:r>
    </w:p>
    <w:p w14:paraId="5BCD107A">
      <w:pPr>
        <w:pStyle w:val="164"/>
        <w:spacing w:line="360" w:lineRule="auto"/>
      </w:pPr>
      <w:r>
        <w:rPr>
          <w:rFonts w:hint="eastAsia"/>
        </w:rPr>
        <w:t>样本采集应符合相应操作规范。</w:t>
      </w:r>
    </w:p>
    <w:p w14:paraId="012DF34E">
      <w:pPr>
        <w:pStyle w:val="164"/>
        <w:spacing w:line="360" w:lineRule="auto"/>
      </w:pPr>
      <w:r>
        <w:rPr>
          <w:rFonts w:hint="eastAsia"/>
        </w:rPr>
        <w:t>采样过程中应重点控制：</w:t>
      </w:r>
    </w:p>
    <w:p w14:paraId="12DAB722">
      <w:pPr>
        <w:pStyle w:val="56"/>
        <w:spacing w:line="360" w:lineRule="auto"/>
        <w:ind w:firstLine="420"/>
      </w:pPr>
      <w:r>
        <w:rPr>
          <w:rFonts w:hint="eastAsia"/>
        </w:rPr>
        <w:t>a）采样对象核对；</w:t>
      </w:r>
    </w:p>
    <w:p w14:paraId="6BB054D6">
      <w:pPr>
        <w:pStyle w:val="56"/>
        <w:spacing w:line="360" w:lineRule="auto"/>
        <w:ind w:firstLine="420"/>
      </w:pPr>
      <w:r>
        <w:rPr>
          <w:rFonts w:hint="eastAsia"/>
        </w:rPr>
        <w:t>b）采样部位核对；</w:t>
      </w:r>
    </w:p>
    <w:p w14:paraId="66B38C80">
      <w:pPr>
        <w:pStyle w:val="56"/>
        <w:spacing w:line="360" w:lineRule="auto"/>
        <w:ind w:firstLine="420"/>
      </w:pPr>
      <w:r>
        <w:rPr>
          <w:rFonts w:hint="eastAsia"/>
        </w:rPr>
        <w:t>c）采样器具规范使用；</w:t>
      </w:r>
    </w:p>
    <w:p w14:paraId="112206F6">
      <w:pPr>
        <w:pStyle w:val="56"/>
        <w:spacing w:line="360" w:lineRule="auto"/>
        <w:ind w:firstLine="420"/>
      </w:pPr>
      <w:r>
        <w:rPr>
          <w:rFonts w:hint="eastAsia"/>
        </w:rPr>
        <w:t>d）样本量或者样本质量；</w:t>
      </w:r>
    </w:p>
    <w:p w14:paraId="6171B387">
      <w:pPr>
        <w:pStyle w:val="56"/>
        <w:spacing w:line="360" w:lineRule="auto"/>
        <w:ind w:firstLine="420"/>
      </w:pPr>
      <w:r>
        <w:rPr>
          <w:rFonts w:hint="eastAsia"/>
        </w:rPr>
        <w:t>e）无菌或者清洁要求；</w:t>
      </w:r>
    </w:p>
    <w:p w14:paraId="620129AB">
      <w:pPr>
        <w:pStyle w:val="56"/>
        <w:spacing w:line="360" w:lineRule="auto"/>
        <w:ind w:firstLine="420"/>
      </w:pPr>
      <w:r>
        <w:rPr>
          <w:rFonts w:hint="eastAsia"/>
        </w:rPr>
        <w:t>f）标本容器和标识管理；</w:t>
      </w:r>
    </w:p>
    <w:p w14:paraId="3A73A55F">
      <w:pPr>
        <w:pStyle w:val="56"/>
        <w:spacing w:line="360" w:lineRule="auto"/>
        <w:ind w:firstLine="420"/>
      </w:pPr>
      <w:r>
        <w:rPr>
          <w:rFonts w:hint="eastAsia"/>
        </w:rPr>
        <w:t>g）采样后保存与转运条件。</w:t>
      </w:r>
    </w:p>
    <w:p w14:paraId="58B0866E">
      <w:pPr>
        <w:pStyle w:val="164"/>
        <w:spacing w:line="360" w:lineRule="auto"/>
      </w:pPr>
      <w:r>
        <w:rPr>
          <w:rFonts w:hint="eastAsia"/>
        </w:rPr>
        <w:t>样本采集异常、污染、破损、量不足、标识错误或者保存不当的，应判定为不合格样本并按规定重采。</w:t>
      </w:r>
    </w:p>
    <w:p w14:paraId="47F8D404">
      <w:pPr>
        <w:pStyle w:val="105"/>
        <w:spacing w:before="120" w:after="120" w:line="360" w:lineRule="auto"/>
      </w:pPr>
      <w:r>
        <w:rPr>
          <w:rFonts w:hint="eastAsia"/>
        </w:rPr>
        <w:t>检查实施质量控制要求</w:t>
      </w:r>
    </w:p>
    <w:p w14:paraId="3E0A1758">
      <w:pPr>
        <w:pStyle w:val="65"/>
        <w:spacing w:before="120" w:after="120" w:line="360" w:lineRule="auto"/>
      </w:pPr>
      <w:r>
        <w:rPr>
          <w:rFonts w:hint="eastAsia"/>
        </w:rPr>
        <w:t>一般要求</w:t>
      </w:r>
    </w:p>
    <w:p w14:paraId="211DBF0C">
      <w:pPr>
        <w:pStyle w:val="164"/>
        <w:spacing w:line="360" w:lineRule="auto"/>
      </w:pPr>
      <w:r>
        <w:rPr>
          <w:rFonts w:hint="eastAsia"/>
        </w:rPr>
        <w:t>影像检查、内镜检查、实验室检测和其他筛查检查检测应按相应规范实施。</w:t>
      </w:r>
    </w:p>
    <w:p w14:paraId="11F30C04">
      <w:pPr>
        <w:pStyle w:val="164"/>
        <w:spacing w:line="360" w:lineRule="auto"/>
      </w:pPr>
      <w:r>
        <w:rPr>
          <w:rFonts w:hint="eastAsia"/>
        </w:rPr>
        <w:t>检查实施应确保过程可控、结果清晰、记录完整和信息可追溯。</w:t>
      </w:r>
    </w:p>
    <w:p w14:paraId="63B8873C">
      <w:pPr>
        <w:pStyle w:val="164"/>
        <w:spacing w:line="360" w:lineRule="auto"/>
      </w:pPr>
      <w:r>
        <w:rPr>
          <w:rFonts w:hint="eastAsia"/>
        </w:rPr>
        <w:t>检查实施中发现对象状态异常、配合困难或者存在操作风险的，应及时调整或者终止检查。</w:t>
      </w:r>
    </w:p>
    <w:p w14:paraId="73CCF361">
      <w:pPr>
        <w:pStyle w:val="65"/>
        <w:spacing w:before="120" w:after="120" w:line="360" w:lineRule="auto"/>
      </w:pPr>
      <w:r>
        <w:rPr>
          <w:rFonts w:hint="eastAsia"/>
        </w:rPr>
        <w:t>影像与内镜检查控制要求</w:t>
      </w:r>
    </w:p>
    <w:p w14:paraId="11D4DBAA">
      <w:pPr>
        <w:pStyle w:val="164"/>
        <w:spacing w:line="360" w:lineRule="auto"/>
      </w:pPr>
      <w:r>
        <w:rPr>
          <w:rFonts w:hint="eastAsia"/>
        </w:rPr>
        <w:t>影像检查应重点控制受检体位、图像质量、成像参数和图像存储完整性。</w:t>
      </w:r>
    </w:p>
    <w:p w14:paraId="2E8DAEAB">
      <w:pPr>
        <w:pStyle w:val="164"/>
        <w:spacing w:line="360" w:lineRule="auto"/>
      </w:pPr>
      <w:r>
        <w:rPr>
          <w:rFonts w:hint="eastAsia"/>
        </w:rPr>
        <w:t>内镜检查应重点控制检查范围、图像采集完整性、操作规范性、病灶描述准确性和并发症防控。</w:t>
      </w:r>
    </w:p>
    <w:p w14:paraId="231DCCD9">
      <w:pPr>
        <w:pStyle w:val="164"/>
        <w:spacing w:line="360" w:lineRule="auto"/>
      </w:pPr>
      <w:r>
        <w:rPr>
          <w:rFonts w:hint="eastAsia"/>
        </w:rPr>
        <w:t>对图像模糊、视野不充分、记录不完整或者关键部位未清晰显示的，不得直接形成正式判定结论。</w:t>
      </w:r>
    </w:p>
    <w:p w14:paraId="79F92849">
      <w:pPr>
        <w:pStyle w:val="65"/>
        <w:spacing w:before="120" w:after="120" w:line="360" w:lineRule="auto"/>
      </w:pPr>
      <w:r>
        <w:rPr>
          <w:rFonts w:hint="eastAsia"/>
        </w:rPr>
        <w:t>实验室检测控制要求</w:t>
      </w:r>
    </w:p>
    <w:p w14:paraId="0FBD01B8">
      <w:pPr>
        <w:pStyle w:val="164"/>
        <w:spacing w:line="360" w:lineRule="auto"/>
      </w:pPr>
      <w:r>
        <w:rPr>
          <w:rFonts w:hint="eastAsia"/>
        </w:rPr>
        <w:t>实验室检测应重点控制样本接收、样本状态确认、前处理、检测过程、结果审核和报告出具。</w:t>
      </w:r>
    </w:p>
    <w:p w14:paraId="1760F10B">
      <w:pPr>
        <w:pStyle w:val="164"/>
        <w:spacing w:line="360" w:lineRule="auto"/>
      </w:pPr>
      <w:r>
        <w:rPr>
          <w:rFonts w:hint="eastAsia"/>
        </w:rPr>
        <w:t>样本接收时，应核对样本标识、样本状态、样本量和申请信息一致性。</w:t>
      </w:r>
    </w:p>
    <w:p w14:paraId="4B78EE6F">
      <w:pPr>
        <w:pStyle w:val="164"/>
        <w:spacing w:line="360" w:lineRule="auto"/>
      </w:pPr>
      <w:r>
        <w:rPr>
          <w:rFonts w:hint="eastAsia"/>
        </w:rPr>
        <w:t>检测过程中发现样本异常、设备异常、试剂异常或者质控异常的，应停止相应结果进入正式判定流程。</w:t>
      </w:r>
    </w:p>
    <w:p w14:paraId="26227C74">
      <w:pPr>
        <w:pStyle w:val="105"/>
        <w:spacing w:before="120" w:after="120" w:line="360" w:lineRule="auto"/>
      </w:pPr>
      <w:r>
        <w:rPr>
          <w:rFonts w:hint="eastAsia"/>
        </w:rPr>
        <w:t>结果判读质量控制要求</w:t>
      </w:r>
    </w:p>
    <w:p w14:paraId="6EB21FC2">
      <w:pPr>
        <w:pStyle w:val="65"/>
        <w:spacing w:before="120" w:after="120" w:line="360" w:lineRule="auto"/>
      </w:pPr>
      <w:r>
        <w:rPr>
          <w:rFonts w:hint="eastAsia"/>
        </w:rPr>
        <w:t>一般要求</w:t>
      </w:r>
    </w:p>
    <w:p w14:paraId="41A55F4E">
      <w:pPr>
        <w:pStyle w:val="164"/>
        <w:spacing w:line="360" w:lineRule="auto"/>
      </w:pPr>
      <w:r>
        <w:rPr>
          <w:rFonts w:hint="eastAsia"/>
        </w:rPr>
        <w:t>检查检测结果应按照统一判定标准进行判读。</w:t>
      </w:r>
    </w:p>
    <w:p w14:paraId="1BBEDA26">
      <w:pPr>
        <w:pStyle w:val="164"/>
        <w:spacing w:line="360" w:lineRule="auto"/>
      </w:pPr>
      <w:r>
        <w:rPr>
          <w:rFonts w:hint="eastAsia"/>
        </w:rPr>
        <w:t>判读应基于完整资料、规范图像、合格样本和明确规则实施。</w:t>
      </w:r>
    </w:p>
    <w:p w14:paraId="0535BB30">
      <w:pPr>
        <w:pStyle w:val="164"/>
        <w:spacing w:line="360" w:lineRule="auto"/>
      </w:pPr>
      <w:r>
        <w:rPr>
          <w:rFonts w:hint="eastAsia"/>
        </w:rPr>
        <w:t>判读人员应具备相应专业背景和判读能力。</w:t>
      </w:r>
    </w:p>
    <w:p w14:paraId="2C38ACEA">
      <w:pPr>
        <w:pStyle w:val="65"/>
        <w:spacing w:before="120" w:after="120" w:line="360" w:lineRule="auto"/>
      </w:pPr>
      <w:r>
        <w:rPr>
          <w:rFonts w:hint="eastAsia"/>
        </w:rPr>
        <w:t>判读要求</w:t>
      </w:r>
    </w:p>
    <w:p w14:paraId="79EF39F8">
      <w:pPr>
        <w:pStyle w:val="164"/>
        <w:spacing w:line="360" w:lineRule="auto"/>
      </w:pPr>
      <w:r>
        <w:rPr>
          <w:rFonts w:hint="eastAsia"/>
        </w:rPr>
        <w:t>判读宜重点控制下列内容：</w:t>
      </w:r>
    </w:p>
    <w:p w14:paraId="350C8F00">
      <w:pPr>
        <w:pStyle w:val="56"/>
        <w:spacing w:line="360" w:lineRule="auto"/>
        <w:ind w:firstLine="420"/>
      </w:pPr>
      <w:r>
        <w:rPr>
          <w:rFonts w:hint="eastAsia"/>
        </w:rPr>
        <w:t>a）判读依据是否明确；</w:t>
      </w:r>
    </w:p>
    <w:p w14:paraId="3DD6C32C">
      <w:pPr>
        <w:pStyle w:val="56"/>
        <w:spacing w:line="360" w:lineRule="auto"/>
        <w:ind w:firstLine="420"/>
      </w:pPr>
      <w:r>
        <w:rPr>
          <w:rFonts w:hint="eastAsia"/>
        </w:rPr>
        <w:t>b）判读标准是否统一；</w:t>
      </w:r>
    </w:p>
    <w:p w14:paraId="730A5675">
      <w:pPr>
        <w:pStyle w:val="56"/>
        <w:spacing w:line="360" w:lineRule="auto"/>
        <w:ind w:firstLine="420"/>
      </w:pPr>
      <w:r>
        <w:rPr>
          <w:rFonts w:hint="eastAsia"/>
        </w:rPr>
        <w:t>c）病灶描述是否规范；</w:t>
      </w:r>
    </w:p>
    <w:p w14:paraId="6EA3C0C9">
      <w:pPr>
        <w:pStyle w:val="56"/>
        <w:spacing w:line="360" w:lineRule="auto"/>
        <w:ind w:firstLine="420"/>
      </w:pPr>
      <w:r>
        <w:rPr>
          <w:rFonts w:hint="eastAsia"/>
        </w:rPr>
        <w:t>d）结果分级是否准确；</w:t>
      </w:r>
    </w:p>
    <w:p w14:paraId="1B27C9A5">
      <w:pPr>
        <w:pStyle w:val="56"/>
        <w:spacing w:line="360" w:lineRule="auto"/>
        <w:ind w:firstLine="420"/>
      </w:pPr>
      <w:r>
        <w:rPr>
          <w:rFonts w:hint="eastAsia"/>
        </w:rPr>
        <w:t>e）可疑结果是否提示复核；</w:t>
      </w:r>
    </w:p>
    <w:p w14:paraId="4E6DC441">
      <w:pPr>
        <w:pStyle w:val="56"/>
        <w:spacing w:line="360" w:lineRule="auto"/>
        <w:ind w:firstLine="420"/>
      </w:pPr>
      <w:r>
        <w:rPr>
          <w:rFonts w:hint="eastAsia"/>
        </w:rPr>
        <w:t>f）阳性结果是否提出进一步建议。</w:t>
      </w:r>
    </w:p>
    <w:p w14:paraId="26ED8F53">
      <w:pPr>
        <w:pStyle w:val="164"/>
        <w:spacing w:line="360" w:lineRule="auto"/>
      </w:pPr>
      <w:r>
        <w:rPr>
          <w:rFonts w:hint="eastAsia"/>
        </w:rPr>
        <w:t>对边界性结果、可疑结果和高影响结果，应实施复核判读或者会诊判读。</w:t>
      </w:r>
    </w:p>
    <w:p w14:paraId="53124A57">
      <w:pPr>
        <w:pStyle w:val="65"/>
        <w:spacing w:before="120" w:after="120" w:line="360" w:lineRule="auto"/>
      </w:pPr>
      <w:r>
        <w:rPr>
          <w:rFonts w:hint="eastAsia"/>
        </w:rPr>
        <w:t>判读一致性要求</w:t>
      </w:r>
    </w:p>
    <w:p w14:paraId="3C18A4DF">
      <w:pPr>
        <w:pStyle w:val="164"/>
        <w:spacing w:line="360" w:lineRule="auto"/>
      </w:pPr>
      <w:r>
        <w:rPr>
          <w:rFonts w:hint="eastAsia"/>
        </w:rPr>
        <w:t>同一机构内部同类项目判读标准应保持一致。</w:t>
      </w:r>
    </w:p>
    <w:p w14:paraId="1707E348">
      <w:pPr>
        <w:pStyle w:val="164"/>
        <w:spacing w:line="360" w:lineRule="auto"/>
      </w:pPr>
      <w:r>
        <w:rPr>
          <w:rFonts w:hint="eastAsia"/>
        </w:rPr>
        <w:t>多机构协作项目应建立判读一致性控制机制。</w:t>
      </w:r>
    </w:p>
    <w:p w14:paraId="3631636F">
      <w:pPr>
        <w:pStyle w:val="164"/>
        <w:spacing w:line="360" w:lineRule="auto"/>
      </w:pPr>
      <w:r>
        <w:rPr>
          <w:rFonts w:hint="eastAsia"/>
        </w:rPr>
        <w:t>判读差异明显、重复性差或者争议较多的项目，应开展专项质控和再培训。</w:t>
      </w:r>
    </w:p>
    <w:p w14:paraId="705B28CB">
      <w:pPr>
        <w:pStyle w:val="105"/>
        <w:spacing w:before="120" w:after="120" w:line="360" w:lineRule="auto"/>
      </w:pPr>
      <w:r>
        <w:rPr>
          <w:rFonts w:hint="eastAsia"/>
        </w:rPr>
        <w:t>结果复核与审核要求</w:t>
      </w:r>
    </w:p>
    <w:p w14:paraId="35E95A1A">
      <w:pPr>
        <w:pStyle w:val="65"/>
        <w:spacing w:before="120" w:after="120" w:line="360" w:lineRule="auto"/>
      </w:pPr>
      <w:r>
        <w:rPr>
          <w:rFonts w:hint="eastAsia"/>
        </w:rPr>
        <w:t>一般要求</w:t>
      </w:r>
    </w:p>
    <w:p w14:paraId="2D2E1AD5">
      <w:pPr>
        <w:pStyle w:val="164"/>
        <w:spacing w:line="360" w:lineRule="auto"/>
      </w:pPr>
      <w:r>
        <w:rPr>
          <w:rFonts w:hint="eastAsia"/>
        </w:rPr>
        <w:t>正式筛查结果出具前，应按规定进行复核和审核。</w:t>
      </w:r>
    </w:p>
    <w:p w14:paraId="060147C8">
      <w:pPr>
        <w:pStyle w:val="164"/>
        <w:spacing w:line="360" w:lineRule="auto"/>
      </w:pPr>
      <w:r>
        <w:rPr>
          <w:rFonts w:hint="eastAsia"/>
        </w:rPr>
        <w:t>复核和审核应覆盖信息一致性、样本或者图像质量、结果合理性和分级准确性。</w:t>
      </w:r>
    </w:p>
    <w:p w14:paraId="6FEAEC01">
      <w:pPr>
        <w:pStyle w:val="164"/>
        <w:spacing w:line="360" w:lineRule="auto"/>
      </w:pPr>
      <w:r>
        <w:rPr>
          <w:rFonts w:hint="eastAsia"/>
        </w:rPr>
        <w:t>未经复核或者审核的结果，不得作为正式筛查结果出具。</w:t>
      </w:r>
    </w:p>
    <w:p w14:paraId="45063464">
      <w:pPr>
        <w:pStyle w:val="65"/>
        <w:spacing w:before="120" w:after="120" w:line="360" w:lineRule="auto"/>
      </w:pPr>
      <w:r>
        <w:rPr>
          <w:rFonts w:hint="eastAsia"/>
        </w:rPr>
        <w:t>复核要求</w:t>
      </w:r>
    </w:p>
    <w:p w14:paraId="26E6846D">
      <w:pPr>
        <w:pStyle w:val="164"/>
        <w:spacing w:line="360" w:lineRule="auto"/>
      </w:pPr>
      <w:r>
        <w:rPr>
          <w:rFonts w:hint="eastAsia"/>
        </w:rPr>
        <w:t>下列情形宜纳入重点复核范围：</w:t>
      </w:r>
    </w:p>
    <w:p w14:paraId="59E554E7">
      <w:pPr>
        <w:pStyle w:val="56"/>
        <w:spacing w:line="360" w:lineRule="auto"/>
        <w:ind w:firstLine="420"/>
      </w:pPr>
      <w:r>
        <w:rPr>
          <w:rFonts w:hint="eastAsia"/>
        </w:rPr>
        <w:t>a）阳性结果；</w:t>
      </w:r>
    </w:p>
    <w:p w14:paraId="4DF71143">
      <w:pPr>
        <w:pStyle w:val="56"/>
        <w:spacing w:line="360" w:lineRule="auto"/>
        <w:ind w:firstLine="420"/>
      </w:pPr>
      <w:r>
        <w:rPr>
          <w:rFonts w:hint="eastAsia"/>
        </w:rPr>
        <w:t>b）高度可疑结果；</w:t>
      </w:r>
    </w:p>
    <w:p w14:paraId="1A5E0E09">
      <w:pPr>
        <w:pStyle w:val="56"/>
        <w:spacing w:line="360" w:lineRule="auto"/>
        <w:ind w:firstLine="420"/>
      </w:pPr>
      <w:r>
        <w:rPr>
          <w:rFonts w:hint="eastAsia"/>
        </w:rPr>
        <w:t>c）边界性结果；</w:t>
      </w:r>
    </w:p>
    <w:p w14:paraId="254D28D1">
      <w:pPr>
        <w:pStyle w:val="56"/>
        <w:spacing w:line="360" w:lineRule="auto"/>
        <w:ind w:firstLine="420"/>
      </w:pPr>
      <w:r>
        <w:rPr>
          <w:rFonts w:hint="eastAsia"/>
        </w:rPr>
        <w:t>d）重复异常结果；</w:t>
      </w:r>
    </w:p>
    <w:p w14:paraId="1C23A096">
      <w:pPr>
        <w:pStyle w:val="56"/>
        <w:spacing w:line="360" w:lineRule="auto"/>
        <w:ind w:firstLine="420"/>
      </w:pPr>
      <w:r>
        <w:rPr>
          <w:rFonts w:hint="eastAsia"/>
        </w:rPr>
        <w:t>e）结果与临床信息明显不符者；</w:t>
      </w:r>
    </w:p>
    <w:p w14:paraId="7D96CEB6">
      <w:pPr>
        <w:pStyle w:val="56"/>
        <w:spacing w:line="360" w:lineRule="auto"/>
        <w:ind w:firstLine="420"/>
      </w:pPr>
      <w:r>
        <w:rPr>
          <w:rFonts w:hint="eastAsia"/>
        </w:rPr>
        <w:t>f）样本或者图像质量可疑者。</w:t>
      </w:r>
    </w:p>
    <w:p w14:paraId="18C42EB5">
      <w:pPr>
        <w:pStyle w:val="164"/>
        <w:spacing w:line="360" w:lineRule="auto"/>
      </w:pPr>
      <w:r>
        <w:rPr>
          <w:rFonts w:hint="eastAsia"/>
        </w:rPr>
        <w:t>复核过程应形成记录，并明确复核结论。</w:t>
      </w:r>
    </w:p>
    <w:p w14:paraId="7EFF6A05">
      <w:pPr>
        <w:pStyle w:val="65"/>
        <w:spacing w:before="120" w:after="120" w:line="360" w:lineRule="auto"/>
      </w:pPr>
      <w:r>
        <w:rPr>
          <w:rFonts w:hint="eastAsia"/>
        </w:rPr>
        <w:t>审核要求</w:t>
      </w:r>
    </w:p>
    <w:p w14:paraId="57726A53">
      <w:pPr>
        <w:pStyle w:val="164"/>
        <w:spacing w:line="360" w:lineRule="auto"/>
      </w:pPr>
      <w:r>
        <w:rPr>
          <w:rFonts w:hint="eastAsia"/>
        </w:rPr>
        <w:t>报告审核应关注对象信息、项目名称、判读结论、建议内容和流转状态的一致性。</w:t>
      </w:r>
    </w:p>
    <w:p w14:paraId="6B6F3F85">
      <w:pPr>
        <w:pStyle w:val="164"/>
        <w:spacing w:line="360" w:lineRule="auto"/>
      </w:pPr>
      <w:r>
        <w:rPr>
          <w:rFonts w:hint="eastAsia"/>
        </w:rPr>
        <w:t>审核发现错误、遗漏或者结论不清的，应退回修改，不得带问题出具结果。</w:t>
      </w:r>
    </w:p>
    <w:p w14:paraId="3475C989">
      <w:pPr>
        <w:pStyle w:val="105"/>
        <w:spacing w:before="120" w:after="120" w:line="360" w:lineRule="auto"/>
      </w:pPr>
      <w:r>
        <w:rPr>
          <w:rFonts w:hint="eastAsia"/>
        </w:rPr>
        <w:t>设备与试剂质量控制要求</w:t>
      </w:r>
    </w:p>
    <w:p w14:paraId="552A19CA">
      <w:pPr>
        <w:pStyle w:val="65"/>
        <w:spacing w:before="120" w:after="120" w:line="360" w:lineRule="auto"/>
      </w:pPr>
      <w:r>
        <w:rPr>
          <w:rFonts w:hint="eastAsia"/>
        </w:rPr>
        <w:t>一般要求</w:t>
      </w:r>
    </w:p>
    <w:p w14:paraId="7D71371F">
      <w:pPr>
        <w:pStyle w:val="164"/>
        <w:spacing w:line="360" w:lineRule="auto"/>
      </w:pPr>
      <w:r>
        <w:rPr>
          <w:rFonts w:hint="eastAsia"/>
        </w:rPr>
        <w:t>用于癌症筛查的设备、器械和试剂应处于受控状态。</w:t>
      </w:r>
    </w:p>
    <w:p w14:paraId="29E9B966">
      <w:pPr>
        <w:pStyle w:val="164"/>
        <w:spacing w:line="360" w:lineRule="auto"/>
      </w:pPr>
      <w:r>
        <w:rPr>
          <w:rFonts w:hint="eastAsia"/>
        </w:rPr>
        <w:t>设备和试剂管理应覆盖采购、验收、储存、使用、维护、校验和报废全过程。</w:t>
      </w:r>
    </w:p>
    <w:p w14:paraId="1CE38B49">
      <w:pPr>
        <w:pStyle w:val="164"/>
        <w:numPr>
          <w:ilvl w:val="0"/>
          <w:numId w:val="0"/>
        </w:numPr>
        <w:spacing w:line="360" w:lineRule="auto"/>
        <w:rPr>
          <w:rFonts w:hint="eastAsia"/>
        </w:rPr>
      </w:pPr>
    </w:p>
    <w:p w14:paraId="1AD068CD">
      <w:pPr>
        <w:pStyle w:val="65"/>
        <w:spacing w:before="120" w:after="120" w:line="360" w:lineRule="auto"/>
      </w:pPr>
      <w:r>
        <w:rPr>
          <w:rFonts w:hint="eastAsia"/>
        </w:rPr>
        <w:t>设备管理要求</w:t>
      </w:r>
    </w:p>
    <w:p w14:paraId="7202D7C0">
      <w:pPr>
        <w:pStyle w:val="164"/>
        <w:spacing w:line="360" w:lineRule="auto"/>
      </w:pPr>
      <w:r>
        <w:rPr>
          <w:rFonts w:hint="eastAsia"/>
        </w:rPr>
        <w:t>设备应建立台账。</w:t>
      </w:r>
    </w:p>
    <w:p w14:paraId="3332BB25">
      <w:pPr>
        <w:pStyle w:val="164"/>
        <w:spacing w:line="360" w:lineRule="auto"/>
      </w:pPr>
      <w:r>
        <w:rPr>
          <w:rFonts w:hint="eastAsia"/>
        </w:rPr>
        <w:t>设备台账宜至少包括名称、型号、编号、启用时间、维护记录、校验记录和状态标识。</w:t>
      </w:r>
    </w:p>
    <w:p w14:paraId="588E157B">
      <w:pPr>
        <w:pStyle w:val="164"/>
        <w:spacing w:line="360" w:lineRule="auto"/>
      </w:pPr>
      <w:r>
        <w:rPr>
          <w:rFonts w:hint="eastAsia"/>
        </w:rPr>
        <w:t>未经校验、状态异常、故障未排除或者维护超期的设备，不得用于正式筛查。</w:t>
      </w:r>
    </w:p>
    <w:p w14:paraId="3482313B">
      <w:pPr>
        <w:pStyle w:val="65"/>
        <w:spacing w:before="120" w:after="120" w:line="360" w:lineRule="auto"/>
      </w:pPr>
      <w:r>
        <w:rPr>
          <w:rFonts w:hint="eastAsia"/>
        </w:rPr>
        <w:t>试剂和耗材管理要求</w:t>
      </w:r>
    </w:p>
    <w:p w14:paraId="0D8DC42E">
      <w:pPr>
        <w:pStyle w:val="164"/>
        <w:spacing w:line="360" w:lineRule="auto"/>
      </w:pPr>
      <w:r>
        <w:rPr>
          <w:rFonts w:hint="eastAsia"/>
        </w:rPr>
        <w:t>试剂和耗材应分类存放、标识清晰、状态明确。</w:t>
      </w:r>
    </w:p>
    <w:p w14:paraId="644964A9">
      <w:pPr>
        <w:pStyle w:val="164"/>
        <w:spacing w:line="360" w:lineRule="auto"/>
      </w:pPr>
      <w:r>
        <w:rPr>
          <w:rFonts w:hint="eastAsia"/>
        </w:rPr>
        <w:t>试剂启用、停用和失效情况应有记录。</w:t>
      </w:r>
    </w:p>
    <w:p w14:paraId="2D8CA01F">
      <w:pPr>
        <w:pStyle w:val="164"/>
        <w:spacing w:line="360" w:lineRule="auto"/>
      </w:pPr>
      <w:r>
        <w:rPr>
          <w:rFonts w:hint="eastAsia"/>
        </w:rPr>
        <w:t>试剂质控失败、储存条件不符合要求或者批次信息不清的，不得继续使用。</w:t>
      </w:r>
    </w:p>
    <w:p w14:paraId="16B69E5D">
      <w:pPr>
        <w:pStyle w:val="105"/>
        <w:spacing w:before="120" w:after="120" w:line="360" w:lineRule="auto"/>
      </w:pPr>
      <w:r>
        <w:rPr>
          <w:rFonts w:hint="eastAsia"/>
        </w:rPr>
        <w:t>不良事件与异常情况管理要求</w:t>
      </w:r>
    </w:p>
    <w:p w14:paraId="7BEF9B39">
      <w:pPr>
        <w:pStyle w:val="65"/>
        <w:spacing w:before="120" w:after="120" w:line="360" w:lineRule="auto"/>
      </w:pPr>
      <w:r>
        <w:rPr>
          <w:rFonts w:hint="eastAsia"/>
        </w:rPr>
        <w:t>一般要求</w:t>
      </w:r>
    </w:p>
    <w:p w14:paraId="7B1D7345">
      <w:pPr>
        <w:pStyle w:val="164"/>
        <w:spacing w:line="360" w:lineRule="auto"/>
      </w:pPr>
      <w:r>
        <w:rPr>
          <w:rFonts w:hint="eastAsia"/>
        </w:rPr>
        <w:t>检查检测过程中发生不良反应、不良事件、设备故障、样本差错、图像差错和其他异常情况时，应及时处理。</w:t>
      </w:r>
    </w:p>
    <w:p w14:paraId="2050D9EB">
      <w:pPr>
        <w:pStyle w:val="164"/>
        <w:spacing w:line="360" w:lineRule="auto"/>
      </w:pPr>
      <w:r>
        <w:rPr>
          <w:rFonts w:hint="eastAsia"/>
        </w:rPr>
        <w:t>异常情况应做到及时报告、及时控制、及时记录和及时复盘。</w:t>
      </w:r>
    </w:p>
    <w:p w14:paraId="12FD2B99">
      <w:pPr>
        <w:pStyle w:val="65"/>
        <w:spacing w:before="120" w:after="120" w:line="360" w:lineRule="auto"/>
      </w:pPr>
      <w:r>
        <w:rPr>
          <w:rFonts w:hint="eastAsia"/>
        </w:rPr>
        <w:t>处置要求</w:t>
      </w:r>
    </w:p>
    <w:p w14:paraId="2694BAD3">
      <w:pPr>
        <w:pStyle w:val="164"/>
        <w:spacing w:line="360" w:lineRule="auto"/>
      </w:pPr>
      <w:r>
        <w:rPr>
          <w:rFonts w:hint="eastAsia"/>
        </w:rPr>
        <w:t>对受检者出现不适、出血、晕厥、疼痛明显或者其他异常反应时，应立即采取相应处理措施。</w:t>
      </w:r>
    </w:p>
    <w:p w14:paraId="6CB1B4AF">
      <w:pPr>
        <w:pStyle w:val="164"/>
        <w:spacing w:line="360" w:lineRule="auto"/>
      </w:pPr>
      <w:r>
        <w:rPr>
          <w:rFonts w:hint="eastAsia"/>
        </w:rPr>
        <w:t>对因设备异常、样本异常或者图像异常导致结果无效的，应及时重新安排相应筛查。</w:t>
      </w:r>
    </w:p>
    <w:p w14:paraId="1D84ACE9">
      <w:pPr>
        <w:pStyle w:val="164"/>
        <w:spacing w:line="360" w:lineRule="auto"/>
      </w:pPr>
      <w:r>
        <w:rPr>
          <w:rFonts w:hint="eastAsia"/>
        </w:rPr>
        <w:t>对可能影响筛查结果可靠性的异常情况，应同步纳入质量问题管理。</w:t>
      </w:r>
    </w:p>
    <w:p w14:paraId="03FB4647">
      <w:pPr>
        <w:pStyle w:val="105"/>
        <w:spacing w:before="120" w:after="120" w:line="360" w:lineRule="auto"/>
      </w:pPr>
      <w:r>
        <w:rPr>
          <w:rFonts w:hint="eastAsia"/>
        </w:rPr>
        <w:t>检查检测质量控制要点</w:t>
      </w:r>
    </w:p>
    <w:p w14:paraId="4798EC8C">
      <w:pPr>
        <w:pStyle w:val="56"/>
        <w:spacing w:line="360" w:lineRule="auto"/>
        <w:ind w:firstLine="420"/>
      </w:pPr>
      <w:r>
        <w:rPr>
          <w:rFonts w:hint="eastAsia"/>
        </w:rPr>
        <w:t>检查检测质量控制的主要内容见表3。表3给出了癌症早期筛查检查检测质量控制的主要内容及控制要点。</w:t>
      </w:r>
    </w:p>
    <w:p w14:paraId="0EE9BBFC">
      <w:pPr>
        <w:pStyle w:val="112"/>
        <w:spacing w:before="120" w:after="120" w:line="360" w:lineRule="auto"/>
      </w:pPr>
      <w:r>
        <w:rPr>
          <w:rFonts w:hint="eastAsia"/>
        </w:rPr>
        <w:t>癌症早期筛查检查检测质量控制要点表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3827"/>
        <w:gridCol w:w="3390"/>
      </w:tblGrid>
      <w:tr w14:paraId="036D9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tcPr>
          <w:p w14:paraId="7B821D61">
            <w:pPr>
              <w:pStyle w:val="178"/>
            </w:pPr>
            <w:r>
              <w:rPr>
                <w:rFonts w:hint="eastAsia"/>
              </w:rPr>
              <w:t>工作类别</w:t>
            </w:r>
          </w:p>
        </w:tc>
        <w:tc>
          <w:tcPr>
            <w:tcW w:w="3827" w:type="dxa"/>
            <w:tcBorders>
              <w:top w:val="single" w:color="auto" w:sz="8" w:space="0"/>
              <w:bottom w:val="single" w:color="auto" w:sz="8" w:space="0"/>
            </w:tcBorders>
          </w:tcPr>
          <w:p w14:paraId="49AE0374">
            <w:pPr>
              <w:pStyle w:val="178"/>
            </w:pPr>
            <w:r>
              <w:rPr>
                <w:rFonts w:hint="eastAsia"/>
              </w:rPr>
              <w:t>主要内容</w:t>
            </w:r>
          </w:p>
        </w:tc>
        <w:tc>
          <w:tcPr>
            <w:tcW w:w="3390" w:type="dxa"/>
            <w:tcBorders>
              <w:top w:val="single" w:color="auto" w:sz="8" w:space="0"/>
              <w:bottom w:val="single" w:color="auto" w:sz="8" w:space="0"/>
            </w:tcBorders>
          </w:tcPr>
          <w:p w14:paraId="33C764AA">
            <w:pPr>
              <w:pStyle w:val="178"/>
            </w:pPr>
            <w:r>
              <w:rPr>
                <w:rFonts w:hint="eastAsia"/>
              </w:rPr>
              <w:t>控制要点</w:t>
            </w:r>
          </w:p>
        </w:tc>
      </w:tr>
      <w:tr w14:paraId="0DB3C9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tcPr>
          <w:p w14:paraId="1EC6A126">
            <w:pPr>
              <w:pStyle w:val="178"/>
            </w:pPr>
            <w:r>
              <w:rPr>
                <w:rFonts w:hint="eastAsia"/>
              </w:rPr>
              <w:t>受检准备</w:t>
            </w:r>
          </w:p>
        </w:tc>
        <w:tc>
          <w:tcPr>
            <w:tcW w:w="3827" w:type="dxa"/>
            <w:tcBorders>
              <w:top w:val="single" w:color="auto" w:sz="8" w:space="0"/>
            </w:tcBorders>
          </w:tcPr>
          <w:p w14:paraId="4520E25B">
            <w:pPr>
              <w:pStyle w:val="178"/>
            </w:pPr>
            <w:r>
              <w:rPr>
                <w:rFonts w:hint="eastAsia"/>
              </w:rPr>
              <w:t>身份、禁忌、前期准备、知情确认</w:t>
            </w:r>
          </w:p>
        </w:tc>
        <w:tc>
          <w:tcPr>
            <w:tcW w:w="3390" w:type="dxa"/>
            <w:tcBorders>
              <w:top w:val="single" w:color="auto" w:sz="8" w:space="0"/>
            </w:tcBorders>
          </w:tcPr>
          <w:p w14:paraId="199895B4">
            <w:pPr>
              <w:pStyle w:val="178"/>
            </w:pPr>
            <w:r>
              <w:rPr>
                <w:rFonts w:hint="eastAsia"/>
              </w:rPr>
              <w:t>条件不满足不得进入正式检查</w:t>
            </w:r>
          </w:p>
        </w:tc>
      </w:tr>
      <w:tr w14:paraId="0E6061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453E3736">
            <w:pPr>
              <w:pStyle w:val="178"/>
            </w:pPr>
            <w:r>
              <w:rPr>
                <w:rFonts w:hint="eastAsia"/>
              </w:rPr>
              <w:t>样本采集</w:t>
            </w:r>
          </w:p>
        </w:tc>
        <w:tc>
          <w:tcPr>
            <w:tcW w:w="3827" w:type="dxa"/>
          </w:tcPr>
          <w:p w14:paraId="7ED8DAD8">
            <w:pPr>
              <w:pStyle w:val="178"/>
            </w:pPr>
            <w:r>
              <w:rPr>
                <w:rFonts w:hint="eastAsia"/>
              </w:rPr>
              <w:t>样本部位、样本量、标识、保存</w:t>
            </w:r>
          </w:p>
        </w:tc>
        <w:tc>
          <w:tcPr>
            <w:tcW w:w="3390" w:type="dxa"/>
          </w:tcPr>
          <w:p w14:paraId="60509491">
            <w:pPr>
              <w:pStyle w:val="178"/>
            </w:pPr>
            <w:r>
              <w:rPr>
                <w:rFonts w:hint="eastAsia"/>
              </w:rPr>
              <w:t>样本正确、规范、可追溯</w:t>
            </w:r>
          </w:p>
        </w:tc>
      </w:tr>
      <w:tr w14:paraId="6E7EA2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2289821C">
            <w:pPr>
              <w:pStyle w:val="178"/>
            </w:pPr>
            <w:r>
              <w:rPr>
                <w:rFonts w:hint="eastAsia"/>
              </w:rPr>
              <w:t>检查实施</w:t>
            </w:r>
          </w:p>
        </w:tc>
        <w:tc>
          <w:tcPr>
            <w:tcW w:w="3827" w:type="dxa"/>
          </w:tcPr>
          <w:p w14:paraId="10512366">
            <w:pPr>
              <w:pStyle w:val="178"/>
            </w:pPr>
            <w:r>
              <w:rPr>
                <w:rFonts w:hint="eastAsia"/>
              </w:rPr>
              <w:t>影像、内镜、实验室检测</w:t>
            </w:r>
          </w:p>
        </w:tc>
        <w:tc>
          <w:tcPr>
            <w:tcW w:w="3390" w:type="dxa"/>
          </w:tcPr>
          <w:p w14:paraId="13C7AE83">
            <w:pPr>
              <w:pStyle w:val="178"/>
            </w:pPr>
            <w:r>
              <w:rPr>
                <w:rFonts w:hint="eastAsia"/>
              </w:rPr>
              <w:t>过程规范，图像和数据完整</w:t>
            </w:r>
          </w:p>
        </w:tc>
      </w:tr>
      <w:tr w14:paraId="4D4E5A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0B3633FC">
            <w:pPr>
              <w:pStyle w:val="178"/>
            </w:pPr>
            <w:r>
              <w:rPr>
                <w:rFonts w:hint="eastAsia"/>
              </w:rPr>
              <w:t>结果判读</w:t>
            </w:r>
          </w:p>
        </w:tc>
        <w:tc>
          <w:tcPr>
            <w:tcW w:w="3827" w:type="dxa"/>
          </w:tcPr>
          <w:p w14:paraId="3974FFD2">
            <w:pPr>
              <w:pStyle w:val="178"/>
            </w:pPr>
            <w:r>
              <w:rPr>
                <w:rFonts w:hint="eastAsia"/>
              </w:rPr>
              <w:t>判定标准、结果分级、病灶描述</w:t>
            </w:r>
          </w:p>
        </w:tc>
        <w:tc>
          <w:tcPr>
            <w:tcW w:w="3390" w:type="dxa"/>
          </w:tcPr>
          <w:p w14:paraId="5886FABF">
            <w:pPr>
              <w:pStyle w:val="178"/>
            </w:pPr>
            <w:r>
              <w:rPr>
                <w:rFonts w:hint="eastAsia"/>
              </w:rPr>
              <w:t>标准统一，边界结果应复核</w:t>
            </w:r>
          </w:p>
        </w:tc>
      </w:tr>
      <w:tr w14:paraId="21B4BA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52046695">
            <w:pPr>
              <w:pStyle w:val="178"/>
            </w:pPr>
            <w:r>
              <w:rPr>
                <w:rFonts w:hint="eastAsia"/>
              </w:rPr>
              <w:t>复核审核</w:t>
            </w:r>
          </w:p>
        </w:tc>
        <w:tc>
          <w:tcPr>
            <w:tcW w:w="3827" w:type="dxa"/>
          </w:tcPr>
          <w:p w14:paraId="0DE04C75">
            <w:pPr>
              <w:pStyle w:val="178"/>
            </w:pPr>
            <w:r>
              <w:rPr>
                <w:rFonts w:hint="eastAsia"/>
              </w:rPr>
              <w:t>信息一致性、结果合理性</w:t>
            </w:r>
          </w:p>
        </w:tc>
        <w:tc>
          <w:tcPr>
            <w:tcW w:w="3390" w:type="dxa"/>
          </w:tcPr>
          <w:p w14:paraId="70E1CE50">
            <w:pPr>
              <w:pStyle w:val="178"/>
            </w:pPr>
            <w:r>
              <w:rPr>
                <w:rFonts w:hint="eastAsia"/>
              </w:rPr>
              <w:t>未复核不得出具正式结果</w:t>
            </w:r>
          </w:p>
        </w:tc>
      </w:tr>
      <w:tr w14:paraId="486BD5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2D651421">
            <w:pPr>
              <w:pStyle w:val="178"/>
            </w:pPr>
            <w:r>
              <w:rPr>
                <w:rFonts w:hint="eastAsia"/>
              </w:rPr>
              <w:t>设备试剂管理</w:t>
            </w:r>
          </w:p>
        </w:tc>
        <w:tc>
          <w:tcPr>
            <w:tcW w:w="3827" w:type="dxa"/>
          </w:tcPr>
          <w:p w14:paraId="19C20138">
            <w:pPr>
              <w:pStyle w:val="178"/>
            </w:pPr>
            <w:r>
              <w:rPr>
                <w:rFonts w:hint="eastAsia"/>
              </w:rPr>
              <w:t>台账、校验、储存、状态控制</w:t>
            </w:r>
          </w:p>
        </w:tc>
        <w:tc>
          <w:tcPr>
            <w:tcW w:w="3390" w:type="dxa"/>
          </w:tcPr>
          <w:p w14:paraId="42B582E8">
            <w:pPr>
              <w:pStyle w:val="178"/>
            </w:pPr>
            <w:r>
              <w:rPr>
                <w:rFonts w:hint="eastAsia"/>
              </w:rPr>
              <w:t>状态异常不得用于正式筛查</w:t>
            </w:r>
          </w:p>
        </w:tc>
      </w:tr>
      <w:tr w14:paraId="44F875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6BF01333">
            <w:pPr>
              <w:pStyle w:val="178"/>
            </w:pPr>
            <w:r>
              <w:rPr>
                <w:rFonts w:hint="eastAsia"/>
              </w:rPr>
              <w:t>异常情况管理</w:t>
            </w:r>
          </w:p>
        </w:tc>
        <w:tc>
          <w:tcPr>
            <w:tcW w:w="3827" w:type="dxa"/>
          </w:tcPr>
          <w:p w14:paraId="741D79D2">
            <w:pPr>
              <w:pStyle w:val="178"/>
            </w:pPr>
            <w:r>
              <w:rPr>
                <w:rFonts w:hint="eastAsia"/>
              </w:rPr>
              <w:t>不良事件、样本差错、设备故障</w:t>
            </w:r>
          </w:p>
        </w:tc>
        <w:tc>
          <w:tcPr>
            <w:tcW w:w="3390" w:type="dxa"/>
          </w:tcPr>
          <w:p w14:paraId="29D75584">
            <w:pPr>
              <w:pStyle w:val="178"/>
            </w:pPr>
            <w:r>
              <w:rPr>
                <w:rFonts w:hint="eastAsia"/>
              </w:rPr>
              <w:t>及时处置、及时记录、及时复盘</w:t>
            </w:r>
          </w:p>
        </w:tc>
      </w:tr>
    </w:tbl>
    <w:p w14:paraId="2D64F2A2">
      <w:pPr>
        <w:pStyle w:val="105"/>
        <w:spacing w:before="120" w:after="120" w:line="360" w:lineRule="auto"/>
      </w:pPr>
      <w:r>
        <w:rPr>
          <w:rFonts w:hint="eastAsia"/>
        </w:rPr>
        <w:t>禁止性要求</w:t>
      </w:r>
    </w:p>
    <w:p w14:paraId="2F1CEA58">
      <w:pPr>
        <w:pStyle w:val="165"/>
        <w:spacing w:line="360" w:lineRule="auto"/>
      </w:pPr>
      <w:r>
        <w:rPr>
          <w:rFonts w:hint="eastAsia"/>
        </w:rPr>
        <w:t>不得在受检准备不充分、禁忌未排除或者身份未核清的情况下实施正式检查检测。</w:t>
      </w:r>
    </w:p>
    <w:p w14:paraId="389E8D39">
      <w:pPr>
        <w:pStyle w:val="165"/>
        <w:spacing w:line="360" w:lineRule="auto"/>
      </w:pPr>
      <w:r>
        <w:rPr>
          <w:rFonts w:hint="eastAsia"/>
        </w:rPr>
        <w:t>不得使用不合格样本、状态异常设备或者超期试剂开展正式筛查。</w:t>
      </w:r>
    </w:p>
    <w:p w14:paraId="542117DC">
      <w:pPr>
        <w:pStyle w:val="165"/>
        <w:spacing w:line="360" w:lineRule="auto"/>
      </w:pPr>
      <w:r>
        <w:rPr>
          <w:rFonts w:hint="eastAsia"/>
        </w:rPr>
        <w:t>不得在图像质量不足、检查记录不全或者样本条件不满足要求时勉强形成正式判读结论。</w:t>
      </w:r>
    </w:p>
    <w:p w14:paraId="6C580BAF">
      <w:pPr>
        <w:pStyle w:val="165"/>
        <w:spacing w:line="360" w:lineRule="auto"/>
      </w:pPr>
      <w:r>
        <w:rPr>
          <w:rFonts w:hint="eastAsia"/>
        </w:rPr>
        <w:t>不得对阳性结果、可疑结果和边界性结果缺少复核审核程序。</w:t>
      </w:r>
    </w:p>
    <w:p w14:paraId="0D03EB60">
      <w:pPr>
        <w:pStyle w:val="165"/>
        <w:spacing w:line="360" w:lineRule="auto"/>
      </w:pPr>
      <w:r>
        <w:rPr>
          <w:rFonts w:hint="eastAsia"/>
        </w:rPr>
        <w:t>不得对检查检测过程中发生的异常情况和不良事件不登记、不报告和不复盘。</w:t>
      </w:r>
    </w:p>
    <w:p w14:paraId="3D51716B">
      <w:pPr>
        <w:pStyle w:val="104"/>
        <w:spacing w:before="240" w:after="240" w:line="360" w:lineRule="auto"/>
      </w:pPr>
      <w:bookmarkStart w:id="55" w:name="_Toc228614110"/>
      <w:r>
        <w:rPr>
          <w:rFonts w:hint="eastAsia"/>
        </w:rPr>
        <w:t>结果判定与报告管理要求</w:t>
      </w:r>
      <w:bookmarkEnd w:id="55"/>
    </w:p>
    <w:p w14:paraId="6D938F2A">
      <w:pPr>
        <w:pStyle w:val="105"/>
        <w:spacing w:before="120" w:after="120" w:line="360" w:lineRule="auto"/>
      </w:pPr>
      <w:r>
        <w:rPr>
          <w:rFonts w:hint="eastAsia"/>
        </w:rPr>
        <w:t>一般要求</w:t>
      </w:r>
    </w:p>
    <w:p w14:paraId="7452D8FE">
      <w:pPr>
        <w:pStyle w:val="165"/>
        <w:spacing w:line="360" w:lineRule="auto"/>
      </w:pPr>
      <w:r>
        <w:rPr>
          <w:rFonts w:hint="eastAsia"/>
        </w:rPr>
        <w:t>癌症早期筛查结果判定与报告管理应坚持标准统一、判定准确、审核严格、反馈及时和结果可追溯的原则。</w:t>
      </w:r>
    </w:p>
    <w:p w14:paraId="385B98F6">
      <w:pPr>
        <w:pStyle w:val="165"/>
        <w:spacing w:line="360" w:lineRule="auto"/>
      </w:pPr>
      <w:r>
        <w:rPr>
          <w:rFonts w:hint="eastAsia"/>
        </w:rPr>
        <w:t>筛查结果判定应以合格的检查检测资料、明确的判定规则和规范的审核程序为基础实施。</w:t>
      </w:r>
    </w:p>
    <w:p w14:paraId="22DB482A">
      <w:pPr>
        <w:pStyle w:val="165"/>
        <w:spacing w:line="360" w:lineRule="auto"/>
      </w:pPr>
      <w:r>
        <w:rPr>
          <w:rFonts w:hint="eastAsia"/>
        </w:rPr>
        <w:t>报告管理应覆盖结果生成、结果审核、报告签发、结果反馈、异常结果提示、报告更正和归档保存全过程。</w:t>
      </w:r>
    </w:p>
    <w:p w14:paraId="3DDD230C">
      <w:pPr>
        <w:pStyle w:val="165"/>
        <w:spacing w:line="360" w:lineRule="auto"/>
      </w:pPr>
      <w:r>
        <w:rPr>
          <w:rFonts w:hint="eastAsia"/>
        </w:rPr>
        <w:t>筛查结果不得脱离既定筛查路径和既定判定标准单独解释，不得以经验判断代替正式判定。</w:t>
      </w:r>
    </w:p>
    <w:p w14:paraId="0C127B44">
      <w:pPr>
        <w:pStyle w:val="165"/>
        <w:spacing w:line="360" w:lineRule="auto"/>
      </w:pPr>
      <w:r>
        <w:rPr>
          <w:rFonts w:hint="eastAsia"/>
        </w:rPr>
        <w:t>对阳性结果、可疑结果、边界性结果和无效结果，应实施重点审核和重点管理。</w:t>
      </w:r>
    </w:p>
    <w:p w14:paraId="6794773A">
      <w:pPr>
        <w:pStyle w:val="105"/>
        <w:spacing w:before="120" w:after="120" w:line="360" w:lineRule="auto"/>
      </w:pPr>
      <w:r>
        <w:rPr>
          <w:rFonts w:hint="eastAsia"/>
        </w:rPr>
        <w:t>结果判定要求</w:t>
      </w:r>
    </w:p>
    <w:p w14:paraId="3E45E999">
      <w:pPr>
        <w:pStyle w:val="65"/>
        <w:spacing w:before="120" w:after="120" w:line="360" w:lineRule="auto"/>
      </w:pPr>
      <w:r>
        <w:rPr>
          <w:rFonts w:hint="eastAsia"/>
        </w:rPr>
        <w:t>一般要求</w:t>
      </w:r>
    </w:p>
    <w:p w14:paraId="1CFCFA86">
      <w:pPr>
        <w:pStyle w:val="164"/>
        <w:spacing w:line="360" w:lineRule="auto"/>
      </w:pPr>
      <w:r>
        <w:rPr>
          <w:rFonts w:hint="eastAsia"/>
        </w:rPr>
        <w:t>各癌种筛查结果应依据相应筛查方案、技术规范和项目要求进行判定。</w:t>
      </w:r>
    </w:p>
    <w:p w14:paraId="643EFB46">
      <w:pPr>
        <w:pStyle w:val="164"/>
        <w:spacing w:line="360" w:lineRule="auto"/>
      </w:pPr>
      <w:r>
        <w:rPr>
          <w:rFonts w:hint="eastAsia"/>
        </w:rPr>
        <w:t>结果判定应明确分类标准、判定依据和后续建议。</w:t>
      </w:r>
    </w:p>
    <w:p w14:paraId="6700CB69">
      <w:pPr>
        <w:pStyle w:val="164"/>
        <w:spacing w:line="360" w:lineRule="auto"/>
      </w:pPr>
      <w:r>
        <w:rPr>
          <w:rFonts w:hint="eastAsia"/>
        </w:rPr>
        <w:t>结果判定不得使用含义不清、边界模糊或者无法支撑后续处置的表达方式。</w:t>
      </w:r>
    </w:p>
    <w:p w14:paraId="22F3B6E0">
      <w:pPr>
        <w:pStyle w:val="65"/>
        <w:spacing w:before="120" w:after="120" w:line="360" w:lineRule="auto"/>
      </w:pPr>
      <w:r>
        <w:rPr>
          <w:rFonts w:hint="eastAsia"/>
        </w:rPr>
        <w:t>判定分类要求</w:t>
      </w:r>
    </w:p>
    <w:p w14:paraId="06DC7C8C">
      <w:pPr>
        <w:pStyle w:val="164"/>
        <w:spacing w:line="360" w:lineRule="auto"/>
      </w:pPr>
      <w:r>
        <w:rPr>
          <w:rFonts w:hint="eastAsia"/>
        </w:rPr>
        <w:t>筛查结果宜分为下列类别：</w:t>
      </w:r>
    </w:p>
    <w:p w14:paraId="30412AF5">
      <w:pPr>
        <w:pStyle w:val="56"/>
        <w:spacing w:line="360" w:lineRule="auto"/>
        <w:ind w:firstLine="420"/>
      </w:pPr>
      <w:r>
        <w:rPr>
          <w:rFonts w:hint="eastAsia"/>
        </w:rPr>
        <w:t>a）阴性；</w:t>
      </w:r>
    </w:p>
    <w:p w14:paraId="4F19D158">
      <w:pPr>
        <w:pStyle w:val="56"/>
        <w:spacing w:line="360" w:lineRule="auto"/>
        <w:ind w:firstLine="420"/>
      </w:pPr>
      <w:r>
        <w:rPr>
          <w:rFonts w:hint="eastAsia"/>
        </w:rPr>
        <w:t>b）阳性；</w:t>
      </w:r>
    </w:p>
    <w:p w14:paraId="2C80FCBB">
      <w:pPr>
        <w:pStyle w:val="56"/>
        <w:spacing w:line="360" w:lineRule="auto"/>
        <w:ind w:firstLine="420"/>
      </w:pPr>
      <w:r>
        <w:rPr>
          <w:rFonts w:hint="eastAsia"/>
        </w:rPr>
        <w:t>c）可疑；</w:t>
      </w:r>
    </w:p>
    <w:p w14:paraId="6B6C4AA7">
      <w:pPr>
        <w:pStyle w:val="56"/>
        <w:spacing w:line="360" w:lineRule="auto"/>
        <w:ind w:firstLine="420"/>
      </w:pPr>
      <w:r>
        <w:rPr>
          <w:rFonts w:hint="eastAsia"/>
        </w:rPr>
        <w:t>d）异常待复核；</w:t>
      </w:r>
    </w:p>
    <w:p w14:paraId="3478D5C4">
      <w:pPr>
        <w:pStyle w:val="56"/>
        <w:spacing w:line="360" w:lineRule="auto"/>
        <w:ind w:firstLine="420"/>
      </w:pPr>
      <w:r>
        <w:rPr>
          <w:rFonts w:hint="eastAsia"/>
        </w:rPr>
        <w:t>e）无效；</w:t>
      </w:r>
    </w:p>
    <w:p w14:paraId="2232A52E">
      <w:pPr>
        <w:pStyle w:val="56"/>
        <w:spacing w:line="360" w:lineRule="auto"/>
        <w:ind w:firstLine="420"/>
      </w:pPr>
      <w:r>
        <w:rPr>
          <w:rFonts w:hint="eastAsia"/>
        </w:rPr>
        <w:t>f）其他按专项筛查路径设置的结果类别。</w:t>
      </w:r>
    </w:p>
    <w:p w14:paraId="330EBFD5">
      <w:pPr>
        <w:pStyle w:val="164"/>
        <w:spacing w:line="360" w:lineRule="auto"/>
      </w:pPr>
      <w:r>
        <w:rPr>
          <w:rFonts w:hint="eastAsia"/>
        </w:rPr>
        <w:t>不同癌种可根据筛查技术路径设置细化分类，但分类逻辑应清晰、统一、可解释。</w:t>
      </w:r>
    </w:p>
    <w:p w14:paraId="1AD47684">
      <w:pPr>
        <w:pStyle w:val="65"/>
        <w:spacing w:before="120" w:after="120" w:line="360" w:lineRule="auto"/>
      </w:pPr>
      <w:r>
        <w:rPr>
          <w:rFonts w:hint="eastAsia"/>
        </w:rPr>
        <w:t>判定依据要求</w:t>
      </w:r>
    </w:p>
    <w:p w14:paraId="4275F074">
      <w:pPr>
        <w:pStyle w:val="164"/>
        <w:spacing w:line="360" w:lineRule="auto"/>
      </w:pPr>
      <w:r>
        <w:rPr>
          <w:rFonts w:hint="eastAsia"/>
        </w:rPr>
        <w:t>结果判定应有明确依据。</w:t>
      </w:r>
    </w:p>
    <w:p w14:paraId="447F796C">
      <w:pPr>
        <w:pStyle w:val="164"/>
        <w:spacing w:line="360" w:lineRule="auto"/>
      </w:pPr>
      <w:r>
        <w:rPr>
          <w:rFonts w:hint="eastAsia"/>
        </w:rPr>
        <w:t>判定依据宜至少包括下列内容：</w:t>
      </w:r>
    </w:p>
    <w:p w14:paraId="0C6F9B96">
      <w:pPr>
        <w:pStyle w:val="56"/>
        <w:spacing w:line="360" w:lineRule="auto"/>
        <w:ind w:firstLine="420"/>
      </w:pPr>
      <w:r>
        <w:rPr>
          <w:rFonts w:hint="eastAsia"/>
        </w:rPr>
        <w:t>a）筛查对象基本信息；</w:t>
      </w:r>
    </w:p>
    <w:p w14:paraId="30B091CD">
      <w:pPr>
        <w:pStyle w:val="56"/>
        <w:spacing w:line="360" w:lineRule="auto"/>
        <w:ind w:firstLine="420"/>
      </w:pPr>
      <w:r>
        <w:rPr>
          <w:rFonts w:hint="eastAsia"/>
        </w:rPr>
        <w:t>b）风险评估结果；</w:t>
      </w:r>
    </w:p>
    <w:p w14:paraId="00D623D1">
      <w:pPr>
        <w:pStyle w:val="56"/>
        <w:spacing w:line="360" w:lineRule="auto"/>
        <w:ind w:firstLine="420"/>
      </w:pPr>
      <w:r>
        <w:rPr>
          <w:rFonts w:hint="eastAsia"/>
        </w:rPr>
        <w:t>c）检查检测原始结果；</w:t>
      </w:r>
    </w:p>
    <w:p w14:paraId="3228C133">
      <w:pPr>
        <w:pStyle w:val="56"/>
        <w:spacing w:line="360" w:lineRule="auto"/>
        <w:ind w:firstLine="420"/>
      </w:pPr>
      <w:r>
        <w:rPr>
          <w:rFonts w:hint="eastAsia"/>
        </w:rPr>
        <w:t>d）图像、病理或者实验室资料；</w:t>
      </w:r>
    </w:p>
    <w:p w14:paraId="608884D0">
      <w:pPr>
        <w:pStyle w:val="56"/>
        <w:spacing w:line="360" w:lineRule="auto"/>
        <w:ind w:firstLine="420"/>
      </w:pPr>
      <w:r>
        <w:rPr>
          <w:rFonts w:hint="eastAsia"/>
        </w:rPr>
        <w:t>e）复核意见；</w:t>
      </w:r>
    </w:p>
    <w:p w14:paraId="705C093F">
      <w:pPr>
        <w:pStyle w:val="56"/>
        <w:spacing w:line="360" w:lineRule="auto"/>
        <w:ind w:firstLine="420"/>
      </w:pPr>
      <w:r>
        <w:rPr>
          <w:rFonts w:hint="eastAsia"/>
        </w:rPr>
        <w:t>f）相关临床提示信息；</w:t>
      </w:r>
    </w:p>
    <w:p w14:paraId="6F73EF89">
      <w:pPr>
        <w:pStyle w:val="56"/>
        <w:spacing w:line="360" w:lineRule="auto"/>
        <w:ind w:firstLine="420"/>
      </w:pPr>
      <w:r>
        <w:rPr>
          <w:rFonts w:hint="eastAsia"/>
        </w:rPr>
        <w:t>g）相应判定标准。</w:t>
      </w:r>
    </w:p>
    <w:p w14:paraId="5BA18BAB">
      <w:pPr>
        <w:pStyle w:val="164"/>
        <w:spacing w:line="360" w:lineRule="auto"/>
      </w:pPr>
      <w:r>
        <w:rPr>
          <w:rFonts w:hint="eastAsia"/>
        </w:rPr>
        <w:t>判定依据不完整、资料质量不符合要求或者复核程序未完成的，不得形成正式判定结论。</w:t>
      </w:r>
    </w:p>
    <w:p w14:paraId="6C782FD4">
      <w:pPr>
        <w:pStyle w:val="105"/>
        <w:spacing w:before="120" w:after="120" w:line="360" w:lineRule="auto"/>
      </w:pPr>
      <w:r>
        <w:rPr>
          <w:rFonts w:hint="eastAsia"/>
        </w:rPr>
        <w:t>阳性、可疑和无效结果管理要求</w:t>
      </w:r>
    </w:p>
    <w:p w14:paraId="190CA1BD">
      <w:pPr>
        <w:pStyle w:val="65"/>
        <w:spacing w:before="120" w:after="120" w:line="360" w:lineRule="auto"/>
      </w:pPr>
      <w:r>
        <w:rPr>
          <w:rFonts w:hint="eastAsia"/>
        </w:rPr>
        <w:t>阳性结果管理要求</w:t>
      </w:r>
    </w:p>
    <w:p w14:paraId="300020B8">
      <w:pPr>
        <w:pStyle w:val="164"/>
        <w:spacing w:line="360" w:lineRule="auto"/>
      </w:pPr>
      <w:r>
        <w:rPr>
          <w:rFonts w:hint="eastAsia"/>
        </w:rPr>
        <w:t>阳性结果应实施重点审核和重点告知。</w:t>
      </w:r>
    </w:p>
    <w:p w14:paraId="1FD6CFEA">
      <w:pPr>
        <w:pStyle w:val="164"/>
        <w:spacing w:line="360" w:lineRule="auto"/>
      </w:pPr>
      <w:r>
        <w:rPr>
          <w:rFonts w:hint="eastAsia"/>
        </w:rPr>
        <w:t>对阳性结果，应明确提示进一步检查、复筛、转诊或者专科就诊建议。</w:t>
      </w:r>
    </w:p>
    <w:p w14:paraId="1B1E356F">
      <w:pPr>
        <w:pStyle w:val="164"/>
        <w:spacing w:line="360" w:lineRule="auto"/>
      </w:pPr>
      <w:r>
        <w:rPr>
          <w:rFonts w:hint="eastAsia"/>
        </w:rPr>
        <w:t>阳性结果不得仅作为普通筛查报告发放而无专门管理要求。</w:t>
      </w:r>
    </w:p>
    <w:p w14:paraId="76CAB448">
      <w:pPr>
        <w:pStyle w:val="65"/>
        <w:spacing w:before="120" w:after="120" w:line="360" w:lineRule="auto"/>
      </w:pPr>
      <w:r>
        <w:rPr>
          <w:rFonts w:hint="eastAsia"/>
        </w:rPr>
        <w:t>可疑结果管理要求</w:t>
      </w:r>
    </w:p>
    <w:p w14:paraId="3247D6DC">
      <w:pPr>
        <w:pStyle w:val="164"/>
        <w:spacing w:line="360" w:lineRule="auto"/>
      </w:pPr>
      <w:r>
        <w:rPr>
          <w:rFonts w:hint="eastAsia"/>
        </w:rPr>
        <w:t>可疑结果应明确下一步复核、复筛或者专科评估路径。</w:t>
      </w:r>
    </w:p>
    <w:p w14:paraId="74A1A45D">
      <w:pPr>
        <w:pStyle w:val="164"/>
        <w:spacing w:line="360" w:lineRule="auto"/>
      </w:pPr>
      <w:r>
        <w:rPr>
          <w:rFonts w:hint="eastAsia"/>
        </w:rPr>
        <w:t>对可疑结果应限定复查时限和复核方式。</w:t>
      </w:r>
    </w:p>
    <w:p w14:paraId="369EC7AA">
      <w:pPr>
        <w:pStyle w:val="164"/>
        <w:spacing w:line="360" w:lineRule="auto"/>
      </w:pPr>
      <w:r>
        <w:rPr>
          <w:rFonts w:hint="eastAsia"/>
        </w:rPr>
        <w:t>可疑结果不得按阴性结果直接归档关闭。</w:t>
      </w:r>
    </w:p>
    <w:p w14:paraId="3A17465D">
      <w:pPr>
        <w:pStyle w:val="65"/>
        <w:spacing w:before="120" w:after="120" w:line="360" w:lineRule="auto"/>
      </w:pPr>
      <w:r>
        <w:rPr>
          <w:rFonts w:hint="eastAsia"/>
        </w:rPr>
        <w:t>无效结果管理要求</w:t>
      </w:r>
    </w:p>
    <w:p w14:paraId="6FB8A8AD">
      <w:pPr>
        <w:pStyle w:val="164"/>
        <w:spacing w:line="360" w:lineRule="auto"/>
      </w:pPr>
      <w:r>
        <w:rPr>
          <w:rFonts w:hint="eastAsia"/>
        </w:rPr>
        <w:t>因样本不合格、图像不清、设备异常、操作异常或者资料不全导致无法形成有效结论的，应判定为无效结果。</w:t>
      </w:r>
    </w:p>
    <w:p w14:paraId="24283CAD">
      <w:pPr>
        <w:pStyle w:val="164"/>
        <w:spacing w:line="360" w:lineRule="auto"/>
      </w:pPr>
      <w:r>
        <w:rPr>
          <w:rFonts w:hint="eastAsia"/>
        </w:rPr>
        <w:t>无效结果应说明原因，并及时安排补检、重采或者重做。</w:t>
      </w:r>
    </w:p>
    <w:p w14:paraId="14BDE489">
      <w:pPr>
        <w:pStyle w:val="164"/>
        <w:spacing w:line="360" w:lineRule="auto"/>
      </w:pPr>
      <w:r>
        <w:rPr>
          <w:rFonts w:hint="eastAsia"/>
        </w:rPr>
        <w:t>无效结果不得计入正式筛查完成结果。</w:t>
      </w:r>
    </w:p>
    <w:p w14:paraId="6B4382DE">
      <w:pPr>
        <w:pStyle w:val="105"/>
        <w:spacing w:before="120" w:after="120" w:line="360" w:lineRule="auto"/>
      </w:pPr>
      <w:r>
        <w:rPr>
          <w:rFonts w:hint="eastAsia"/>
        </w:rPr>
        <w:t>结果复核要求</w:t>
      </w:r>
    </w:p>
    <w:p w14:paraId="7DA3FB0B">
      <w:pPr>
        <w:pStyle w:val="65"/>
        <w:spacing w:before="120" w:after="120" w:line="360" w:lineRule="auto"/>
      </w:pPr>
      <w:r>
        <w:rPr>
          <w:rFonts w:hint="eastAsia"/>
        </w:rPr>
        <w:t>一般要求</w:t>
      </w:r>
    </w:p>
    <w:p w14:paraId="16E8F98D">
      <w:pPr>
        <w:pStyle w:val="164"/>
        <w:spacing w:line="360" w:lineRule="auto"/>
      </w:pPr>
      <w:r>
        <w:rPr>
          <w:rFonts w:hint="eastAsia"/>
        </w:rPr>
        <w:t>正式结果出具前，应按照规定实施复核。</w:t>
      </w:r>
    </w:p>
    <w:p w14:paraId="40AFBDEE">
      <w:pPr>
        <w:pStyle w:val="164"/>
        <w:spacing w:line="360" w:lineRule="auto"/>
      </w:pPr>
      <w:r>
        <w:rPr>
          <w:rFonts w:hint="eastAsia"/>
        </w:rPr>
        <w:t>复核应覆盖结果分类、判定依据、信息一致性、后续建议和报告表述完整性。</w:t>
      </w:r>
    </w:p>
    <w:p w14:paraId="3C0E1D8D">
      <w:pPr>
        <w:pStyle w:val="164"/>
        <w:spacing w:line="360" w:lineRule="auto"/>
      </w:pPr>
      <w:r>
        <w:rPr>
          <w:rFonts w:hint="eastAsia"/>
        </w:rPr>
        <w:t>复核应由具备相应能力和权限的人员实施。</w:t>
      </w:r>
    </w:p>
    <w:p w14:paraId="376668A4">
      <w:pPr>
        <w:pStyle w:val="65"/>
        <w:spacing w:before="120" w:after="120" w:line="360" w:lineRule="auto"/>
      </w:pPr>
      <w:r>
        <w:rPr>
          <w:rFonts w:hint="eastAsia"/>
        </w:rPr>
        <w:t>重点复核范围</w:t>
      </w:r>
    </w:p>
    <w:p w14:paraId="35EB3460">
      <w:pPr>
        <w:pStyle w:val="164"/>
        <w:spacing w:line="360" w:lineRule="auto"/>
      </w:pPr>
      <w:r>
        <w:rPr>
          <w:rFonts w:hint="eastAsia"/>
        </w:rPr>
        <w:t>下列结果应纳入重点复核范围：</w:t>
      </w:r>
    </w:p>
    <w:p w14:paraId="654296C4">
      <w:pPr>
        <w:pStyle w:val="56"/>
        <w:spacing w:line="360" w:lineRule="auto"/>
        <w:ind w:firstLine="420"/>
      </w:pPr>
      <w:r>
        <w:rPr>
          <w:rFonts w:hint="eastAsia"/>
        </w:rPr>
        <w:t>a）阳性结果；</w:t>
      </w:r>
    </w:p>
    <w:p w14:paraId="469ECD72">
      <w:pPr>
        <w:pStyle w:val="56"/>
        <w:spacing w:line="360" w:lineRule="auto"/>
        <w:ind w:firstLine="420"/>
      </w:pPr>
      <w:r>
        <w:rPr>
          <w:rFonts w:hint="eastAsia"/>
        </w:rPr>
        <w:t>b）高度可疑结果；</w:t>
      </w:r>
    </w:p>
    <w:p w14:paraId="553C6C00">
      <w:pPr>
        <w:pStyle w:val="56"/>
        <w:spacing w:line="360" w:lineRule="auto"/>
        <w:ind w:firstLine="420"/>
      </w:pPr>
      <w:r>
        <w:rPr>
          <w:rFonts w:hint="eastAsia"/>
        </w:rPr>
        <w:t>c）边界性结果；</w:t>
      </w:r>
    </w:p>
    <w:p w14:paraId="0A0810D3">
      <w:pPr>
        <w:pStyle w:val="56"/>
        <w:spacing w:line="360" w:lineRule="auto"/>
        <w:ind w:firstLine="420"/>
      </w:pPr>
      <w:r>
        <w:rPr>
          <w:rFonts w:hint="eastAsia"/>
        </w:rPr>
        <w:t>d）无效结果；</w:t>
      </w:r>
    </w:p>
    <w:p w14:paraId="727A1370">
      <w:pPr>
        <w:pStyle w:val="56"/>
        <w:spacing w:line="360" w:lineRule="auto"/>
        <w:ind w:firstLine="420"/>
      </w:pPr>
      <w:r>
        <w:rPr>
          <w:rFonts w:hint="eastAsia"/>
        </w:rPr>
        <w:t>e）与既往筛查结果明显不一致的结果；</w:t>
      </w:r>
    </w:p>
    <w:p w14:paraId="5048B702">
      <w:pPr>
        <w:pStyle w:val="56"/>
        <w:spacing w:line="360" w:lineRule="auto"/>
        <w:ind w:firstLine="420"/>
      </w:pPr>
      <w:r>
        <w:rPr>
          <w:rFonts w:hint="eastAsia"/>
        </w:rPr>
        <w:t>f）结果与风险评估明显不一致的结果；</w:t>
      </w:r>
    </w:p>
    <w:p w14:paraId="43D17780">
      <w:pPr>
        <w:pStyle w:val="56"/>
        <w:spacing w:line="360" w:lineRule="auto"/>
        <w:ind w:firstLine="420"/>
      </w:pPr>
      <w:r>
        <w:rPr>
          <w:rFonts w:hint="eastAsia"/>
        </w:rPr>
        <w:t>g）筛查对象提出异议的结果。</w:t>
      </w:r>
    </w:p>
    <w:p w14:paraId="647D6F6E">
      <w:pPr>
        <w:pStyle w:val="164"/>
        <w:spacing w:line="360" w:lineRule="auto"/>
      </w:pPr>
      <w:r>
        <w:rPr>
          <w:rFonts w:hint="eastAsia"/>
        </w:rPr>
        <w:t>重点复核应形成复核记录，并明确复核意见和处理结论。</w:t>
      </w:r>
    </w:p>
    <w:p w14:paraId="6DFEBDEE">
      <w:pPr>
        <w:pStyle w:val="105"/>
        <w:spacing w:before="120" w:after="120" w:line="360" w:lineRule="auto"/>
      </w:pPr>
      <w:r>
        <w:rPr>
          <w:rFonts w:hint="eastAsia"/>
        </w:rPr>
        <w:t>报告编制要求</w:t>
      </w:r>
    </w:p>
    <w:p w14:paraId="257868C3">
      <w:pPr>
        <w:pStyle w:val="65"/>
        <w:spacing w:before="120" w:after="120" w:line="360" w:lineRule="auto"/>
      </w:pPr>
      <w:r>
        <w:rPr>
          <w:rFonts w:hint="eastAsia"/>
        </w:rPr>
        <w:t>一般要求</w:t>
      </w:r>
    </w:p>
    <w:p w14:paraId="1E33F07E">
      <w:pPr>
        <w:pStyle w:val="164"/>
        <w:spacing w:line="360" w:lineRule="auto"/>
      </w:pPr>
      <w:r>
        <w:rPr>
          <w:rFonts w:hint="eastAsia"/>
        </w:rPr>
        <w:t>癌症早期筛查结果应形成规范报告。</w:t>
      </w:r>
    </w:p>
    <w:p w14:paraId="462068DA">
      <w:pPr>
        <w:pStyle w:val="164"/>
        <w:spacing w:line="360" w:lineRule="auto"/>
      </w:pPr>
      <w:r>
        <w:rPr>
          <w:rFonts w:hint="eastAsia"/>
        </w:rPr>
        <w:t>报告内容应真实、准确、完整、清晰，便于受检者理解和便于后续转诊随访使用。</w:t>
      </w:r>
    </w:p>
    <w:p w14:paraId="4F75709D">
      <w:pPr>
        <w:pStyle w:val="164"/>
        <w:spacing w:line="360" w:lineRule="auto"/>
      </w:pPr>
      <w:r>
        <w:rPr>
          <w:rFonts w:hint="eastAsia"/>
        </w:rPr>
        <w:t>报告格式应统一，不得同一项目使用多种不一致模板。</w:t>
      </w:r>
    </w:p>
    <w:p w14:paraId="078110E9">
      <w:pPr>
        <w:pStyle w:val="65"/>
        <w:spacing w:before="120" w:after="120" w:line="360" w:lineRule="auto"/>
      </w:pPr>
      <w:r>
        <w:rPr>
          <w:rFonts w:hint="eastAsia"/>
        </w:rPr>
        <w:t>报告内容要求</w:t>
      </w:r>
    </w:p>
    <w:p w14:paraId="27D54582">
      <w:pPr>
        <w:pStyle w:val="164"/>
        <w:spacing w:line="360" w:lineRule="auto"/>
      </w:pPr>
      <w:r>
        <w:rPr>
          <w:rFonts w:hint="eastAsia"/>
        </w:rPr>
        <w:t>报告宜至少包括下列内容：</w:t>
      </w:r>
    </w:p>
    <w:p w14:paraId="222D4E5D">
      <w:pPr>
        <w:pStyle w:val="56"/>
        <w:spacing w:line="360" w:lineRule="auto"/>
        <w:ind w:firstLine="420"/>
      </w:pPr>
      <w:r>
        <w:rPr>
          <w:rFonts w:hint="eastAsia"/>
        </w:rPr>
        <w:t>a）筛查对象基本信息；</w:t>
      </w:r>
    </w:p>
    <w:p w14:paraId="3F2407F2">
      <w:pPr>
        <w:pStyle w:val="56"/>
        <w:spacing w:line="360" w:lineRule="auto"/>
        <w:ind w:firstLine="420"/>
      </w:pPr>
      <w:r>
        <w:rPr>
          <w:rFonts w:hint="eastAsia"/>
        </w:rPr>
        <w:t>b）筛查项目名称；</w:t>
      </w:r>
    </w:p>
    <w:p w14:paraId="6451B7A9">
      <w:pPr>
        <w:pStyle w:val="56"/>
        <w:spacing w:line="360" w:lineRule="auto"/>
        <w:ind w:firstLine="420"/>
      </w:pPr>
      <w:r>
        <w:rPr>
          <w:rFonts w:hint="eastAsia"/>
        </w:rPr>
        <w:t>c）筛查日期；</w:t>
      </w:r>
    </w:p>
    <w:p w14:paraId="2DFFCC0D">
      <w:pPr>
        <w:pStyle w:val="56"/>
        <w:spacing w:line="360" w:lineRule="auto"/>
        <w:ind w:firstLine="420"/>
      </w:pPr>
      <w:r>
        <w:rPr>
          <w:rFonts w:hint="eastAsia"/>
        </w:rPr>
        <w:t>d）检查检测结果；</w:t>
      </w:r>
    </w:p>
    <w:p w14:paraId="4943D9A7">
      <w:pPr>
        <w:pStyle w:val="56"/>
        <w:spacing w:line="360" w:lineRule="auto"/>
        <w:ind w:firstLine="420"/>
      </w:pPr>
      <w:r>
        <w:rPr>
          <w:rFonts w:hint="eastAsia"/>
        </w:rPr>
        <w:t>e）结果分类；</w:t>
      </w:r>
    </w:p>
    <w:p w14:paraId="4B01A7B8">
      <w:pPr>
        <w:pStyle w:val="56"/>
        <w:spacing w:line="360" w:lineRule="auto"/>
        <w:ind w:firstLine="420"/>
      </w:pPr>
      <w:r>
        <w:rPr>
          <w:rFonts w:hint="eastAsia"/>
        </w:rPr>
        <w:t>f）判定意见；</w:t>
      </w:r>
    </w:p>
    <w:p w14:paraId="198C25B2">
      <w:pPr>
        <w:pStyle w:val="56"/>
        <w:spacing w:line="360" w:lineRule="auto"/>
        <w:ind w:firstLine="420"/>
      </w:pPr>
      <w:r>
        <w:rPr>
          <w:rFonts w:hint="eastAsia"/>
        </w:rPr>
        <w:t>g）进一步建议；</w:t>
      </w:r>
    </w:p>
    <w:p w14:paraId="308EEE10">
      <w:pPr>
        <w:pStyle w:val="56"/>
        <w:spacing w:line="360" w:lineRule="auto"/>
        <w:ind w:firstLine="420"/>
      </w:pPr>
      <w:r>
        <w:rPr>
          <w:rFonts w:hint="eastAsia"/>
        </w:rPr>
        <w:t>h）必要注意事项；</w:t>
      </w:r>
    </w:p>
    <w:p w14:paraId="764FB1D4">
      <w:pPr>
        <w:pStyle w:val="56"/>
        <w:spacing w:line="360" w:lineRule="auto"/>
        <w:ind w:firstLine="420"/>
      </w:pPr>
      <w:r>
        <w:rPr>
          <w:rFonts w:hint="eastAsia"/>
        </w:rPr>
        <w:t>i）报告日期；</w:t>
      </w:r>
    </w:p>
    <w:p w14:paraId="745B13AD">
      <w:pPr>
        <w:pStyle w:val="56"/>
        <w:spacing w:line="360" w:lineRule="auto"/>
        <w:ind w:firstLine="420"/>
      </w:pPr>
      <w:r>
        <w:rPr>
          <w:rFonts w:hint="eastAsia"/>
        </w:rPr>
        <w:t>j）审核信息。</w:t>
      </w:r>
    </w:p>
    <w:p w14:paraId="0557038F">
      <w:pPr>
        <w:pStyle w:val="164"/>
        <w:spacing w:line="360" w:lineRule="auto"/>
      </w:pPr>
      <w:r>
        <w:rPr>
          <w:rFonts w:hint="eastAsia"/>
        </w:rPr>
        <w:t>对阳性、可疑和无效结果，应在报告中明确标注并给出后续处理建议。</w:t>
      </w:r>
    </w:p>
    <w:p w14:paraId="3372D973">
      <w:pPr>
        <w:pStyle w:val="65"/>
        <w:spacing w:before="120" w:after="120" w:line="360" w:lineRule="auto"/>
      </w:pPr>
      <w:r>
        <w:rPr>
          <w:rFonts w:hint="eastAsia"/>
        </w:rPr>
        <w:t>报告表述要求</w:t>
      </w:r>
    </w:p>
    <w:p w14:paraId="037776BA">
      <w:pPr>
        <w:pStyle w:val="164"/>
        <w:spacing w:line="360" w:lineRule="auto"/>
      </w:pPr>
      <w:r>
        <w:rPr>
          <w:rFonts w:hint="eastAsia"/>
        </w:rPr>
        <w:t>报告表述应客观、规范，不得夸大、不应引起不必要误解。</w:t>
      </w:r>
    </w:p>
    <w:p w14:paraId="75CC50E8">
      <w:pPr>
        <w:pStyle w:val="164"/>
        <w:spacing w:line="360" w:lineRule="auto"/>
      </w:pPr>
      <w:r>
        <w:rPr>
          <w:rFonts w:hint="eastAsia"/>
        </w:rPr>
        <w:t>报告中不得使用未经定义的缩略语、模糊表述或者与正式判定不一致的口语性描述。</w:t>
      </w:r>
    </w:p>
    <w:p w14:paraId="12F619DF">
      <w:pPr>
        <w:pStyle w:val="164"/>
        <w:spacing w:line="360" w:lineRule="auto"/>
      </w:pPr>
      <w:r>
        <w:rPr>
          <w:rFonts w:hint="eastAsia"/>
        </w:rPr>
        <w:t>报告应区分筛查结论、复核建议和临床建议，不得混淆筛查结果与临床确诊意见。</w:t>
      </w:r>
    </w:p>
    <w:p w14:paraId="177D28F6">
      <w:pPr>
        <w:pStyle w:val="164"/>
        <w:numPr>
          <w:ilvl w:val="0"/>
          <w:numId w:val="0"/>
        </w:numPr>
        <w:spacing w:line="360" w:lineRule="auto"/>
        <w:rPr>
          <w:rFonts w:hint="eastAsia"/>
        </w:rPr>
      </w:pPr>
    </w:p>
    <w:p w14:paraId="669FCCE0">
      <w:pPr>
        <w:pStyle w:val="105"/>
        <w:spacing w:before="120" w:after="120" w:line="360" w:lineRule="auto"/>
      </w:pPr>
      <w:r>
        <w:rPr>
          <w:rFonts w:hint="eastAsia"/>
        </w:rPr>
        <w:t>报告审核与签发要求</w:t>
      </w:r>
    </w:p>
    <w:p w14:paraId="0F92A21C">
      <w:pPr>
        <w:pStyle w:val="65"/>
        <w:spacing w:before="120" w:after="120" w:line="360" w:lineRule="auto"/>
      </w:pPr>
      <w:r>
        <w:rPr>
          <w:rFonts w:hint="eastAsia"/>
        </w:rPr>
        <w:t>一般要求</w:t>
      </w:r>
    </w:p>
    <w:p w14:paraId="4C55713A">
      <w:pPr>
        <w:pStyle w:val="164"/>
        <w:spacing w:line="360" w:lineRule="auto"/>
      </w:pPr>
      <w:r>
        <w:rPr>
          <w:rFonts w:hint="eastAsia"/>
        </w:rPr>
        <w:t>报告签发前应完成审核。</w:t>
      </w:r>
    </w:p>
    <w:p w14:paraId="7646BFB8">
      <w:pPr>
        <w:pStyle w:val="164"/>
        <w:spacing w:line="360" w:lineRule="auto"/>
      </w:pPr>
      <w:r>
        <w:rPr>
          <w:rFonts w:hint="eastAsia"/>
        </w:rPr>
        <w:t>审核应包括信息核对、结果核对、建议核对和格式核对。</w:t>
      </w:r>
    </w:p>
    <w:p w14:paraId="1801DDF9">
      <w:pPr>
        <w:pStyle w:val="164"/>
        <w:spacing w:line="360" w:lineRule="auto"/>
      </w:pPr>
      <w:r>
        <w:rPr>
          <w:rFonts w:hint="eastAsia"/>
        </w:rPr>
        <w:t>未经审核或者审核不通过的报告，不得正式发放。</w:t>
      </w:r>
    </w:p>
    <w:p w14:paraId="08DFB6CC">
      <w:pPr>
        <w:pStyle w:val="65"/>
        <w:spacing w:before="120" w:after="120" w:line="360" w:lineRule="auto"/>
      </w:pPr>
      <w:r>
        <w:rPr>
          <w:rFonts w:hint="eastAsia"/>
        </w:rPr>
        <w:t>审核内容要求</w:t>
      </w:r>
    </w:p>
    <w:p w14:paraId="512BA284">
      <w:pPr>
        <w:pStyle w:val="164"/>
        <w:spacing w:line="360" w:lineRule="auto"/>
      </w:pPr>
      <w:r>
        <w:rPr>
          <w:rFonts w:hint="eastAsia"/>
        </w:rPr>
        <w:t>审核宜至少包括下列内容：</w:t>
      </w:r>
    </w:p>
    <w:p w14:paraId="0396C220">
      <w:pPr>
        <w:pStyle w:val="56"/>
        <w:spacing w:line="360" w:lineRule="auto"/>
        <w:ind w:firstLine="420"/>
      </w:pPr>
      <w:r>
        <w:rPr>
          <w:rFonts w:hint="eastAsia"/>
        </w:rPr>
        <w:t>a）对象身份信息是否正确；</w:t>
      </w:r>
    </w:p>
    <w:p w14:paraId="49A1F91A">
      <w:pPr>
        <w:pStyle w:val="56"/>
        <w:spacing w:line="360" w:lineRule="auto"/>
        <w:ind w:firstLine="420"/>
      </w:pPr>
      <w:r>
        <w:rPr>
          <w:rFonts w:hint="eastAsia"/>
        </w:rPr>
        <w:t>b）筛查项目是否正确；</w:t>
      </w:r>
    </w:p>
    <w:p w14:paraId="65DE2C1D">
      <w:pPr>
        <w:pStyle w:val="56"/>
        <w:spacing w:line="360" w:lineRule="auto"/>
        <w:ind w:firstLine="420"/>
      </w:pPr>
      <w:r>
        <w:rPr>
          <w:rFonts w:hint="eastAsia"/>
        </w:rPr>
        <w:t>c）结果判定是否与原始资料一致；</w:t>
      </w:r>
    </w:p>
    <w:p w14:paraId="174F544A">
      <w:pPr>
        <w:pStyle w:val="56"/>
        <w:spacing w:line="360" w:lineRule="auto"/>
        <w:ind w:firstLine="420"/>
      </w:pPr>
      <w:r>
        <w:rPr>
          <w:rFonts w:hint="eastAsia"/>
        </w:rPr>
        <w:t>d）复核结论是否已纳入；</w:t>
      </w:r>
    </w:p>
    <w:p w14:paraId="5961691B">
      <w:pPr>
        <w:pStyle w:val="56"/>
        <w:spacing w:line="360" w:lineRule="auto"/>
        <w:ind w:firstLine="420"/>
      </w:pPr>
      <w:r>
        <w:rPr>
          <w:rFonts w:hint="eastAsia"/>
        </w:rPr>
        <w:t>e）进一步建议是否明确；</w:t>
      </w:r>
    </w:p>
    <w:p w14:paraId="090A22EE">
      <w:pPr>
        <w:pStyle w:val="56"/>
        <w:spacing w:line="360" w:lineRule="auto"/>
        <w:ind w:firstLine="420"/>
      </w:pPr>
      <w:r>
        <w:rPr>
          <w:rFonts w:hint="eastAsia"/>
        </w:rPr>
        <w:t>f）报告格式是否规范；</w:t>
      </w:r>
    </w:p>
    <w:p w14:paraId="205FEE8C">
      <w:pPr>
        <w:pStyle w:val="56"/>
        <w:spacing w:line="360" w:lineRule="auto"/>
        <w:ind w:firstLine="420"/>
      </w:pPr>
      <w:r>
        <w:rPr>
          <w:rFonts w:hint="eastAsia"/>
        </w:rPr>
        <w:t>g）异常标识是否准确。</w:t>
      </w:r>
    </w:p>
    <w:p w14:paraId="47319D67">
      <w:pPr>
        <w:pStyle w:val="164"/>
        <w:spacing w:line="360" w:lineRule="auto"/>
      </w:pPr>
      <w:r>
        <w:rPr>
          <w:rFonts w:hint="eastAsia"/>
        </w:rPr>
        <w:t>审核发现差错的，应及时更正并重新审核。</w:t>
      </w:r>
    </w:p>
    <w:p w14:paraId="1FBA6660">
      <w:pPr>
        <w:pStyle w:val="105"/>
        <w:spacing w:before="120" w:after="120" w:line="360" w:lineRule="auto"/>
      </w:pPr>
      <w:r>
        <w:rPr>
          <w:rFonts w:hint="eastAsia"/>
        </w:rPr>
        <w:t>结果反馈要求</w:t>
      </w:r>
    </w:p>
    <w:p w14:paraId="53860353">
      <w:pPr>
        <w:pStyle w:val="65"/>
        <w:spacing w:before="120" w:after="120" w:line="360" w:lineRule="auto"/>
      </w:pPr>
      <w:r>
        <w:rPr>
          <w:rFonts w:hint="eastAsia"/>
        </w:rPr>
        <w:t>一般要求</w:t>
      </w:r>
    </w:p>
    <w:p w14:paraId="7851034B">
      <w:pPr>
        <w:pStyle w:val="164"/>
        <w:spacing w:line="360" w:lineRule="auto"/>
      </w:pPr>
      <w:r>
        <w:rPr>
          <w:rFonts w:hint="eastAsia"/>
        </w:rPr>
        <w:t>筛查结果应及时反馈至筛查对象或者其授权接收人。</w:t>
      </w:r>
    </w:p>
    <w:p w14:paraId="0D17D0C5">
      <w:pPr>
        <w:pStyle w:val="164"/>
        <w:spacing w:line="360" w:lineRule="auto"/>
      </w:pPr>
      <w:r>
        <w:rPr>
          <w:rFonts w:hint="eastAsia"/>
        </w:rPr>
        <w:t>结果反馈应与筛查对象身份核验相结合。</w:t>
      </w:r>
    </w:p>
    <w:p w14:paraId="4B7F0CC3">
      <w:pPr>
        <w:pStyle w:val="164"/>
        <w:spacing w:line="360" w:lineRule="auto"/>
      </w:pPr>
      <w:r>
        <w:rPr>
          <w:rFonts w:hint="eastAsia"/>
        </w:rPr>
        <w:t>结果反馈应兼顾及时性、准确性、保密性和可理解性。</w:t>
      </w:r>
    </w:p>
    <w:p w14:paraId="3D6D49C1">
      <w:pPr>
        <w:pStyle w:val="65"/>
        <w:spacing w:before="120" w:after="120" w:line="360" w:lineRule="auto"/>
      </w:pPr>
      <w:r>
        <w:rPr>
          <w:rFonts w:hint="eastAsia"/>
        </w:rPr>
        <w:t>分类反馈要求</w:t>
      </w:r>
    </w:p>
    <w:p w14:paraId="0F464DAF">
      <w:pPr>
        <w:pStyle w:val="164"/>
        <w:spacing w:line="360" w:lineRule="auto"/>
      </w:pPr>
      <w:r>
        <w:rPr>
          <w:rFonts w:hint="eastAsia"/>
        </w:rPr>
        <w:t>对阴性结果，可按常规方式反馈，并告知后续筛查建议。</w:t>
      </w:r>
    </w:p>
    <w:p w14:paraId="188325DA">
      <w:pPr>
        <w:pStyle w:val="164"/>
        <w:spacing w:line="360" w:lineRule="auto"/>
      </w:pPr>
      <w:r>
        <w:rPr>
          <w:rFonts w:hint="eastAsia"/>
        </w:rPr>
        <w:t>对阳性、可疑和异常结果，应由具备相应能力的人员进行重点解释，并明确后续检查、转诊和随访要求。</w:t>
      </w:r>
    </w:p>
    <w:p w14:paraId="66234585">
      <w:pPr>
        <w:pStyle w:val="164"/>
        <w:spacing w:line="360" w:lineRule="auto"/>
      </w:pPr>
      <w:r>
        <w:rPr>
          <w:rFonts w:hint="eastAsia"/>
        </w:rPr>
        <w:t>对无效结果，应明确说明原因并告知补检安排。</w:t>
      </w:r>
    </w:p>
    <w:p w14:paraId="0E80B4D7">
      <w:pPr>
        <w:pStyle w:val="65"/>
        <w:spacing w:before="120" w:after="120" w:line="360" w:lineRule="auto"/>
      </w:pPr>
      <w:r>
        <w:rPr>
          <w:rFonts w:hint="eastAsia"/>
        </w:rPr>
        <w:t>保密要求</w:t>
      </w:r>
    </w:p>
    <w:p w14:paraId="5833E537">
      <w:pPr>
        <w:pStyle w:val="164"/>
        <w:spacing w:line="360" w:lineRule="auto"/>
      </w:pPr>
      <w:r>
        <w:rPr>
          <w:rFonts w:hint="eastAsia"/>
        </w:rPr>
        <w:t>结果反馈过程中应保护筛查对象隐私。</w:t>
      </w:r>
    </w:p>
    <w:p w14:paraId="00CFDDCA">
      <w:pPr>
        <w:pStyle w:val="164"/>
        <w:spacing w:line="360" w:lineRule="auto"/>
      </w:pPr>
      <w:r>
        <w:rPr>
          <w:rFonts w:hint="eastAsia"/>
        </w:rPr>
        <w:t>未经授权，不得将筛查结果向无关人员公开、转发或者口头传播。</w:t>
      </w:r>
    </w:p>
    <w:p w14:paraId="42C98B8B">
      <w:pPr>
        <w:pStyle w:val="164"/>
        <w:numPr>
          <w:ilvl w:val="0"/>
          <w:numId w:val="0"/>
        </w:numPr>
        <w:spacing w:line="360" w:lineRule="auto"/>
        <w:rPr>
          <w:rFonts w:hint="eastAsia"/>
        </w:rPr>
      </w:pPr>
    </w:p>
    <w:p w14:paraId="587CB427">
      <w:pPr>
        <w:pStyle w:val="105"/>
        <w:spacing w:before="120" w:after="120" w:line="360" w:lineRule="auto"/>
      </w:pPr>
      <w:r>
        <w:rPr>
          <w:rFonts w:hint="eastAsia"/>
        </w:rPr>
        <w:t>报告更正与补发要求</w:t>
      </w:r>
    </w:p>
    <w:p w14:paraId="584A9755">
      <w:pPr>
        <w:pStyle w:val="65"/>
        <w:spacing w:before="120" w:after="120" w:line="360" w:lineRule="auto"/>
      </w:pPr>
      <w:r>
        <w:rPr>
          <w:rFonts w:hint="eastAsia"/>
        </w:rPr>
        <w:t>一般要求</w:t>
      </w:r>
    </w:p>
    <w:p w14:paraId="50472909">
      <w:pPr>
        <w:pStyle w:val="164"/>
        <w:spacing w:line="360" w:lineRule="auto"/>
      </w:pPr>
      <w:r>
        <w:rPr>
          <w:rFonts w:hint="eastAsia"/>
        </w:rPr>
        <w:t>已出具报告发现信息错误、分类错误、结果错误或者建议错误时，应按规定更正。</w:t>
      </w:r>
    </w:p>
    <w:p w14:paraId="350943A9">
      <w:pPr>
        <w:pStyle w:val="164"/>
        <w:spacing w:line="360" w:lineRule="auto"/>
      </w:pPr>
      <w:r>
        <w:rPr>
          <w:rFonts w:hint="eastAsia"/>
        </w:rPr>
        <w:t>报告更正应保留原记录、更正原因、更正内容和审核记录。</w:t>
      </w:r>
    </w:p>
    <w:p w14:paraId="19CC2A11">
      <w:pPr>
        <w:pStyle w:val="65"/>
        <w:spacing w:before="120" w:after="120" w:line="360" w:lineRule="auto"/>
      </w:pPr>
      <w:r>
        <w:rPr>
          <w:rFonts w:hint="eastAsia"/>
        </w:rPr>
        <w:t>更正要求</w:t>
      </w:r>
    </w:p>
    <w:p w14:paraId="0807B66F">
      <w:pPr>
        <w:pStyle w:val="164"/>
        <w:spacing w:line="360" w:lineRule="auto"/>
      </w:pPr>
      <w:r>
        <w:rPr>
          <w:rFonts w:hint="eastAsia"/>
        </w:rPr>
        <w:t>报告更正后，应及时通知相关对象和相关管理岗位。</w:t>
      </w:r>
    </w:p>
    <w:p w14:paraId="1AAC1C53">
      <w:pPr>
        <w:pStyle w:val="164"/>
        <w:spacing w:line="360" w:lineRule="auto"/>
      </w:pPr>
      <w:r>
        <w:rPr>
          <w:rFonts w:hint="eastAsia"/>
        </w:rPr>
        <w:t>已影响转诊、随访或者项目统计的，应同步更正相关环节记录。</w:t>
      </w:r>
    </w:p>
    <w:p w14:paraId="18431741">
      <w:pPr>
        <w:pStyle w:val="164"/>
        <w:spacing w:line="360" w:lineRule="auto"/>
      </w:pPr>
      <w:r>
        <w:rPr>
          <w:rFonts w:hint="eastAsia"/>
        </w:rPr>
        <w:t>不得未经审核擅自修改正式报告内容。</w:t>
      </w:r>
    </w:p>
    <w:p w14:paraId="787CE3D5">
      <w:pPr>
        <w:pStyle w:val="105"/>
        <w:spacing w:before="120" w:after="120" w:line="360" w:lineRule="auto"/>
      </w:pPr>
      <w:r>
        <w:rPr>
          <w:rFonts w:hint="eastAsia"/>
        </w:rPr>
        <w:t>结果争议处理要求</w:t>
      </w:r>
    </w:p>
    <w:p w14:paraId="03CDC9BB">
      <w:pPr>
        <w:pStyle w:val="65"/>
        <w:spacing w:before="120" w:after="120" w:line="360" w:lineRule="auto"/>
      </w:pPr>
      <w:r>
        <w:rPr>
          <w:rFonts w:hint="eastAsia"/>
        </w:rPr>
        <w:t>一般要求</w:t>
      </w:r>
    </w:p>
    <w:p w14:paraId="6597B0D7">
      <w:pPr>
        <w:pStyle w:val="164"/>
        <w:spacing w:line="360" w:lineRule="auto"/>
      </w:pPr>
      <w:r>
        <w:rPr>
          <w:rFonts w:hint="eastAsia"/>
        </w:rPr>
        <w:t>对筛查结果存在异议的，应建立受理、复核和反馈机制。</w:t>
      </w:r>
    </w:p>
    <w:p w14:paraId="3F193051">
      <w:pPr>
        <w:pStyle w:val="164"/>
        <w:spacing w:line="360" w:lineRule="auto"/>
      </w:pPr>
      <w:r>
        <w:rPr>
          <w:rFonts w:hint="eastAsia"/>
        </w:rPr>
        <w:t>结果争议处理应基于原始资料、复核资料、报告记录和相应判定标准实施。</w:t>
      </w:r>
    </w:p>
    <w:p w14:paraId="192F5B10">
      <w:pPr>
        <w:pStyle w:val="65"/>
        <w:spacing w:before="120" w:after="120" w:line="360" w:lineRule="auto"/>
      </w:pPr>
      <w:r>
        <w:rPr>
          <w:rFonts w:hint="eastAsia"/>
        </w:rPr>
        <w:t>处理要求</w:t>
      </w:r>
    </w:p>
    <w:p w14:paraId="506ABC40">
      <w:pPr>
        <w:pStyle w:val="164"/>
        <w:spacing w:line="360" w:lineRule="auto"/>
      </w:pPr>
      <w:r>
        <w:rPr>
          <w:rFonts w:hint="eastAsia"/>
        </w:rPr>
        <w:t>结果争议处理应做到及时受理、及时复核、及时反馈。</w:t>
      </w:r>
    </w:p>
    <w:p w14:paraId="7C4C04E0">
      <w:pPr>
        <w:pStyle w:val="164"/>
        <w:spacing w:line="360" w:lineRule="auto"/>
      </w:pPr>
      <w:r>
        <w:rPr>
          <w:rFonts w:hint="eastAsia"/>
        </w:rPr>
        <w:t>对争议较大的结果，宜组织上级机构、专科机构或者相应专家参与复核。</w:t>
      </w:r>
    </w:p>
    <w:p w14:paraId="187BA1D4">
      <w:pPr>
        <w:pStyle w:val="164"/>
        <w:spacing w:line="360" w:lineRule="auto"/>
      </w:pPr>
      <w:r>
        <w:rPr>
          <w:rFonts w:hint="eastAsia"/>
        </w:rPr>
        <w:t>争议处理结论应形成记录。</w:t>
      </w:r>
    </w:p>
    <w:p w14:paraId="31285E68">
      <w:pPr>
        <w:pStyle w:val="105"/>
        <w:spacing w:before="120" w:after="120" w:line="360" w:lineRule="auto"/>
      </w:pPr>
      <w:r>
        <w:rPr>
          <w:rFonts w:hint="eastAsia"/>
        </w:rPr>
        <w:t>结果判定与报告管理要点</w:t>
      </w:r>
    </w:p>
    <w:p w14:paraId="30C95773">
      <w:pPr>
        <w:pStyle w:val="56"/>
        <w:spacing w:line="360" w:lineRule="auto"/>
        <w:ind w:firstLine="420"/>
      </w:pPr>
      <w:r>
        <w:rPr>
          <w:rFonts w:hint="eastAsia"/>
        </w:rPr>
        <w:t>结果判定与报告管理的主要内容见表4。表4给出了癌症早期筛查结果判定与报告管理的主要内容及控制要点。</w:t>
      </w:r>
    </w:p>
    <w:p w14:paraId="1BE007C9">
      <w:pPr>
        <w:pStyle w:val="112"/>
        <w:spacing w:before="120" w:after="120" w:line="360" w:lineRule="auto"/>
      </w:pPr>
      <w:r>
        <w:rPr>
          <w:rFonts w:hint="eastAsia"/>
        </w:rPr>
        <w:t>癌症早期筛查结果判定与报告管理要点表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4105"/>
        <w:gridCol w:w="3112"/>
      </w:tblGrid>
      <w:tr w14:paraId="25B4E2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tcPr>
          <w:p w14:paraId="2CB822C6">
            <w:pPr>
              <w:pStyle w:val="178"/>
            </w:pPr>
            <w:r>
              <w:rPr>
                <w:rFonts w:hint="eastAsia"/>
              </w:rPr>
              <w:t>工作类别</w:t>
            </w:r>
          </w:p>
        </w:tc>
        <w:tc>
          <w:tcPr>
            <w:tcW w:w="4105" w:type="dxa"/>
            <w:tcBorders>
              <w:top w:val="single" w:color="auto" w:sz="8" w:space="0"/>
              <w:bottom w:val="single" w:color="auto" w:sz="8" w:space="0"/>
            </w:tcBorders>
          </w:tcPr>
          <w:p w14:paraId="2F1AD295">
            <w:pPr>
              <w:pStyle w:val="178"/>
            </w:pPr>
            <w:r>
              <w:rPr>
                <w:rFonts w:hint="eastAsia"/>
              </w:rPr>
              <w:t>主要内容</w:t>
            </w:r>
          </w:p>
        </w:tc>
        <w:tc>
          <w:tcPr>
            <w:tcW w:w="3112" w:type="dxa"/>
            <w:tcBorders>
              <w:top w:val="single" w:color="auto" w:sz="8" w:space="0"/>
              <w:bottom w:val="single" w:color="auto" w:sz="8" w:space="0"/>
            </w:tcBorders>
          </w:tcPr>
          <w:p w14:paraId="330D7100">
            <w:pPr>
              <w:pStyle w:val="178"/>
            </w:pPr>
            <w:r>
              <w:rPr>
                <w:rFonts w:hint="eastAsia"/>
              </w:rPr>
              <w:t>控制要点</w:t>
            </w:r>
          </w:p>
        </w:tc>
      </w:tr>
      <w:tr w14:paraId="3A57D7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tcPr>
          <w:p w14:paraId="276D5EC3">
            <w:pPr>
              <w:pStyle w:val="178"/>
            </w:pPr>
            <w:r>
              <w:rPr>
                <w:rFonts w:hint="eastAsia"/>
              </w:rPr>
              <w:t>结果判定</w:t>
            </w:r>
          </w:p>
        </w:tc>
        <w:tc>
          <w:tcPr>
            <w:tcW w:w="4105" w:type="dxa"/>
            <w:tcBorders>
              <w:top w:val="single" w:color="auto" w:sz="8" w:space="0"/>
            </w:tcBorders>
          </w:tcPr>
          <w:p w14:paraId="29D93097">
            <w:pPr>
              <w:pStyle w:val="178"/>
            </w:pPr>
            <w:r>
              <w:rPr>
                <w:rFonts w:hint="eastAsia"/>
              </w:rPr>
              <w:t>分类、依据、标准、边界</w:t>
            </w:r>
          </w:p>
        </w:tc>
        <w:tc>
          <w:tcPr>
            <w:tcW w:w="3112" w:type="dxa"/>
            <w:tcBorders>
              <w:top w:val="single" w:color="auto" w:sz="8" w:space="0"/>
            </w:tcBorders>
          </w:tcPr>
          <w:p w14:paraId="0C29CADA">
            <w:pPr>
              <w:pStyle w:val="178"/>
            </w:pPr>
            <w:r>
              <w:rPr>
                <w:rFonts w:hint="eastAsia"/>
              </w:rPr>
              <w:t>应依据统一规则，结论清晰</w:t>
            </w:r>
          </w:p>
        </w:tc>
      </w:tr>
      <w:tr w14:paraId="6DBBE0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56EB7119">
            <w:pPr>
              <w:pStyle w:val="178"/>
            </w:pPr>
            <w:r>
              <w:rPr>
                <w:rFonts w:hint="eastAsia"/>
              </w:rPr>
              <w:t>阳性和可疑结果管理</w:t>
            </w:r>
          </w:p>
        </w:tc>
        <w:tc>
          <w:tcPr>
            <w:tcW w:w="4105" w:type="dxa"/>
          </w:tcPr>
          <w:p w14:paraId="215EBAE7">
            <w:pPr>
              <w:pStyle w:val="178"/>
            </w:pPr>
            <w:r>
              <w:rPr>
                <w:rFonts w:hint="eastAsia"/>
              </w:rPr>
              <w:t>重点复核、重点告知、后续建议</w:t>
            </w:r>
          </w:p>
        </w:tc>
        <w:tc>
          <w:tcPr>
            <w:tcW w:w="3112" w:type="dxa"/>
          </w:tcPr>
          <w:p w14:paraId="4A34FC32">
            <w:pPr>
              <w:pStyle w:val="178"/>
            </w:pPr>
            <w:r>
              <w:rPr>
                <w:rFonts w:hint="eastAsia"/>
              </w:rPr>
              <w:t>不得简单发报告后结束管理</w:t>
            </w:r>
          </w:p>
        </w:tc>
      </w:tr>
      <w:tr w14:paraId="372F27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5BA291FC">
            <w:pPr>
              <w:pStyle w:val="178"/>
            </w:pPr>
            <w:r>
              <w:rPr>
                <w:rFonts w:hint="eastAsia"/>
              </w:rPr>
              <w:t>结果复核</w:t>
            </w:r>
          </w:p>
        </w:tc>
        <w:tc>
          <w:tcPr>
            <w:tcW w:w="4105" w:type="dxa"/>
          </w:tcPr>
          <w:p w14:paraId="06C747B1">
            <w:pPr>
              <w:pStyle w:val="178"/>
            </w:pPr>
            <w:r>
              <w:rPr>
                <w:rFonts w:hint="eastAsia"/>
              </w:rPr>
              <w:t>阳性、可疑、边界性和无效结果复核</w:t>
            </w:r>
          </w:p>
        </w:tc>
        <w:tc>
          <w:tcPr>
            <w:tcW w:w="3112" w:type="dxa"/>
          </w:tcPr>
          <w:p w14:paraId="26160E4B">
            <w:pPr>
              <w:pStyle w:val="178"/>
            </w:pPr>
            <w:r>
              <w:rPr>
                <w:rFonts w:hint="eastAsia"/>
              </w:rPr>
              <w:t>重点结果应有复核记录</w:t>
            </w:r>
          </w:p>
        </w:tc>
      </w:tr>
      <w:tr w14:paraId="7C3DB6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270CC03C">
            <w:pPr>
              <w:pStyle w:val="178"/>
            </w:pPr>
            <w:r>
              <w:rPr>
                <w:rFonts w:hint="eastAsia"/>
              </w:rPr>
              <w:t>报告编制</w:t>
            </w:r>
          </w:p>
        </w:tc>
        <w:tc>
          <w:tcPr>
            <w:tcW w:w="4105" w:type="dxa"/>
          </w:tcPr>
          <w:p w14:paraId="2F37953D">
            <w:pPr>
              <w:pStyle w:val="178"/>
            </w:pPr>
            <w:r>
              <w:rPr>
                <w:rFonts w:hint="eastAsia"/>
              </w:rPr>
              <w:t>信息、结论、建议、注意事项</w:t>
            </w:r>
          </w:p>
        </w:tc>
        <w:tc>
          <w:tcPr>
            <w:tcW w:w="3112" w:type="dxa"/>
          </w:tcPr>
          <w:p w14:paraId="02651E07">
            <w:pPr>
              <w:pStyle w:val="178"/>
            </w:pPr>
            <w:r>
              <w:rPr>
                <w:rFonts w:hint="eastAsia"/>
              </w:rPr>
              <w:t>内容完整，表述规范</w:t>
            </w:r>
          </w:p>
        </w:tc>
      </w:tr>
      <w:tr w14:paraId="6943A8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6689834C">
            <w:pPr>
              <w:pStyle w:val="178"/>
            </w:pPr>
            <w:r>
              <w:rPr>
                <w:rFonts w:hint="eastAsia"/>
              </w:rPr>
              <w:t>报告审核</w:t>
            </w:r>
          </w:p>
        </w:tc>
        <w:tc>
          <w:tcPr>
            <w:tcW w:w="4105" w:type="dxa"/>
          </w:tcPr>
          <w:p w14:paraId="447EDB0B">
            <w:pPr>
              <w:pStyle w:val="178"/>
            </w:pPr>
            <w:r>
              <w:rPr>
                <w:rFonts w:hint="eastAsia"/>
              </w:rPr>
              <w:t>信息核对、结果核对、建议核对</w:t>
            </w:r>
          </w:p>
        </w:tc>
        <w:tc>
          <w:tcPr>
            <w:tcW w:w="3112" w:type="dxa"/>
          </w:tcPr>
          <w:p w14:paraId="51A60611">
            <w:pPr>
              <w:pStyle w:val="178"/>
            </w:pPr>
            <w:r>
              <w:rPr>
                <w:rFonts w:hint="eastAsia"/>
              </w:rPr>
              <w:t>未审核不得签发</w:t>
            </w:r>
          </w:p>
        </w:tc>
      </w:tr>
      <w:tr w14:paraId="3BB445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63A5CBB0">
            <w:pPr>
              <w:pStyle w:val="178"/>
            </w:pPr>
            <w:r>
              <w:rPr>
                <w:rFonts w:hint="eastAsia"/>
              </w:rPr>
              <w:t>结果反馈</w:t>
            </w:r>
          </w:p>
        </w:tc>
        <w:tc>
          <w:tcPr>
            <w:tcW w:w="4105" w:type="dxa"/>
          </w:tcPr>
          <w:p w14:paraId="6A840E0E">
            <w:pPr>
              <w:pStyle w:val="178"/>
            </w:pPr>
            <w:r>
              <w:rPr>
                <w:rFonts w:hint="eastAsia"/>
              </w:rPr>
              <w:t>及时反馈、重点解释、隐私保护</w:t>
            </w:r>
          </w:p>
        </w:tc>
        <w:tc>
          <w:tcPr>
            <w:tcW w:w="3112" w:type="dxa"/>
          </w:tcPr>
          <w:p w14:paraId="671C173C">
            <w:pPr>
              <w:pStyle w:val="178"/>
            </w:pPr>
            <w:r>
              <w:rPr>
                <w:rFonts w:hint="eastAsia"/>
              </w:rPr>
              <w:t>阳性对象应重点解释和提醒</w:t>
            </w:r>
          </w:p>
        </w:tc>
      </w:tr>
      <w:tr w14:paraId="2B402F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0DCA8913">
            <w:pPr>
              <w:pStyle w:val="178"/>
            </w:pPr>
            <w:r>
              <w:rPr>
                <w:rFonts w:hint="eastAsia"/>
              </w:rPr>
              <w:t>报告更正</w:t>
            </w:r>
          </w:p>
        </w:tc>
        <w:tc>
          <w:tcPr>
            <w:tcW w:w="4105" w:type="dxa"/>
          </w:tcPr>
          <w:p w14:paraId="2DF966F5">
            <w:pPr>
              <w:pStyle w:val="178"/>
            </w:pPr>
            <w:r>
              <w:rPr>
                <w:rFonts w:hint="eastAsia"/>
              </w:rPr>
              <w:t>错误更正、痕迹保留、同步更新</w:t>
            </w:r>
          </w:p>
        </w:tc>
        <w:tc>
          <w:tcPr>
            <w:tcW w:w="3112" w:type="dxa"/>
          </w:tcPr>
          <w:p w14:paraId="53EFA2AA">
            <w:pPr>
              <w:pStyle w:val="178"/>
            </w:pPr>
            <w:r>
              <w:rPr>
                <w:rFonts w:hint="eastAsia"/>
              </w:rPr>
              <w:t>不得擅自修改正式报告</w:t>
            </w:r>
          </w:p>
        </w:tc>
      </w:tr>
      <w:tr w14:paraId="4607F7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Pr>
          <w:p w14:paraId="586CD4E4">
            <w:pPr>
              <w:pStyle w:val="178"/>
            </w:pPr>
            <w:r>
              <w:rPr>
                <w:rFonts w:hint="eastAsia"/>
              </w:rPr>
              <w:t>争议处理</w:t>
            </w:r>
          </w:p>
        </w:tc>
        <w:tc>
          <w:tcPr>
            <w:tcW w:w="4105" w:type="dxa"/>
          </w:tcPr>
          <w:p w14:paraId="62301029">
            <w:pPr>
              <w:pStyle w:val="178"/>
            </w:pPr>
            <w:r>
              <w:rPr>
                <w:rFonts w:hint="eastAsia"/>
              </w:rPr>
              <w:t>受理、复核、反馈、归档</w:t>
            </w:r>
          </w:p>
        </w:tc>
        <w:tc>
          <w:tcPr>
            <w:tcW w:w="3112" w:type="dxa"/>
          </w:tcPr>
          <w:p w14:paraId="68E8CCDC">
            <w:pPr>
              <w:pStyle w:val="178"/>
            </w:pPr>
            <w:r>
              <w:rPr>
                <w:rFonts w:hint="eastAsia"/>
              </w:rPr>
              <w:t>应有正式处理机制</w:t>
            </w:r>
          </w:p>
        </w:tc>
      </w:tr>
    </w:tbl>
    <w:p w14:paraId="46CB82BA">
      <w:pPr>
        <w:pStyle w:val="105"/>
        <w:spacing w:before="120" w:after="120" w:line="360" w:lineRule="auto"/>
      </w:pPr>
      <w:r>
        <w:rPr>
          <w:rFonts w:hint="eastAsia"/>
        </w:rPr>
        <w:t>禁止性要求</w:t>
      </w:r>
    </w:p>
    <w:p w14:paraId="58F27FDD">
      <w:pPr>
        <w:pStyle w:val="165"/>
        <w:spacing w:line="360" w:lineRule="auto"/>
      </w:pPr>
      <w:r>
        <w:rPr>
          <w:rFonts w:hint="eastAsia"/>
        </w:rPr>
        <w:t>不得在原始资料不完整、判定依据不清或者复核程序未完成的情况下出具正式结果。</w:t>
      </w:r>
    </w:p>
    <w:p w14:paraId="701BC57F">
      <w:pPr>
        <w:pStyle w:val="165"/>
        <w:spacing w:line="360" w:lineRule="auto"/>
      </w:pPr>
      <w:r>
        <w:rPr>
          <w:rFonts w:hint="eastAsia"/>
        </w:rPr>
        <w:t>不得对阳性、可疑和无效结果按普通阴性结果方式处理。</w:t>
      </w:r>
    </w:p>
    <w:p w14:paraId="36CCC022">
      <w:pPr>
        <w:pStyle w:val="165"/>
        <w:spacing w:line="360" w:lineRule="auto"/>
      </w:pPr>
      <w:r>
        <w:rPr>
          <w:rFonts w:hint="eastAsia"/>
        </w:rPr>
        <w:t>不得在报告中混淆筛查结论、临床诊断和治疗结论。</w:t>
      </w:r>
    </w:p>
    <w:p w14:paraId="06E04354">
      <w:pPr>
        <w:pStyle w:val="165"/>
        <w:spacing w:line="360" w:lineRule="auto"/>
      </w:pPr>
      <w:r>
        <w:rPr>
          <w:rFonts w:hint="eastAsia"/>
        </w:rPr>
        <w:t>不得未经审核擅自签发、修改或者补发正式报告。</w:t>
      </w:r>
    </w:p>
    <w:p w14:paraId="273D1389">
      <w:pPr>
        <w:pStyle w:val="165"/>
        <w:spacing w:line="360" w:lineRule="auto"/>
      </w:pPr>
      <w:r>
        <w:rPr>
          <w:rFonts w:hint="eastAsia"/>
        </w:rPr>
        <w:t>不得对筛查对象提出的结果异议置之不理或者无记录处理。</w:t>
      </w:r>
    </w:p>
    <w:p w14:paraId="52A5275A">
      <w:pPr>
        <w:pStyle w:val="104"/>
        <w:spacing w:before="240" w:after="240" w:line="360" w:lineRule="auto"/>
      </w:pPr>
      <w:bookmarkStart w:id="56" w:name="_Toc228614111"/>
      <w:r>
        <w:rPr>
          <w:rFonts w:hint="eastAsia"/>
        </w:rPr>
        <w:t>转诊随访与信息管理要求</w:t>
      </w:r>
      <w:bookmarkEnd w:id="56"/>
    </w:p>
    <w:p w14:paraId="7B5534FB">
      <w:pPr>
        <w:pStyle w:val="105"/>
        <w:spacing w:before="120" w:after="120" w:line="360" w:lineRule="auto"/>
      </w:pPr>
      <w:r>
        <w:rPr>
          <w:rFonts w:hint="eastAsia"/>
        </w:rPr>
        <w:t>一般要求</w:t>
      </w:r>
    </w:p>
    <w:p w14:paraId="09C2FCF5">
      <w:pPr>
        <w:pStyle w:val="165"/>
        <w:spacing w:line="360" w:lineRule="auto"/>
      </w:pPr>
      <w:r>
        <w:rPr>
          <w:rFonts w:hint="eastAsia"/>
        </w:rPr>
        <w:t>癌症早期筛查应建立转诊随访与信息管理机制。</w:t>
      </w:r>
    </w:p>
    <w:p w14:paraId="725D5096">
      <w:pPr>
        <w:pStyle w:val="165"/>
        <w:spacing w:line="360" w:lineRule="auto"/>
      </w:pPr>
      <w:r>
        <w:rPr>
          <w:rFonts w:hint="eastAsia"/>
        </w:rPr>
        <w:t>转诊随访与信息管理应覆盖异常对象登记、阳性对象管理、转诊衔接、复查提醒、结局追踪、数据录入、数据审核、数据统计和信息安全管理等内容。</w:t>
      </w:r>
    </w:p>
    <w:p w14:paraId="1B40F76A">
      <w:pPr>
        <w:pStyle w:val="165"/>
        <w:spacing w:line="360" w:lineRule="auto"/>
      </w:pPr>
      <w:r>
        <w:rPr>
          <w:rFonts w:hint="eastAsia"/>
        </w:rPr>
        <w:t>转诊随访与信息管理应坚持对象清晰、路径明确、信息一致、时限受控、过程可追溯和结果可闭环的原则。</w:t>
      </w:r>
    </w:p>
    <w:p w14:paraId="5B5FAA91">
      <w:pPr>
        <w:pStyle w:val="165"/>
        <w:spacing w:line="360" w:lineRule="auto"/>
      </w:pPr>
      <w:r>
        <w:rPr>
          <w:rFonts w:hint="eastAsia"/>
        </w:rPr>
        <w:t>对阳性对象、高度可疑对象、重复异常对象和失访对象，应实施重点转诊和重点随访管理。</w:t>
      </w:r>
    </w:p>
    <w:p w14:paraId="363100D9">
      <w:pPr>
        <w:pStyle w:val="105"/>
        <w:spacing w:before="120" w:after="120" w:line="360" w:lineRule="auto"/>
      </w:pPr>
      <w:r>
        <w:rPr>
          <w:rFonts w:hint="eastAsia"/>
        </w:rPr>
        <w:t>转诊管理要求</w:t>
      </w:r>
    </w:p>
    <w:p w14:paraId="51309A84">
      <w:pPr>
        <w:pStyle w:val="65"/>
        <w:spacing w:before="120" w:after="120" w:line="360" w:lineRule="auto"/>
      </w:pPr>
      <w:r>
        <w:rPr>
          <w:rFonts w:hint="eastAsia"/>
        </w:rPr>
        <w:t>一般要求</w:t>
      </w:r>
    </w:p>
    <w:p w14:paraId="576D1448">
      <w:pPr>
        <w:pStyle w:val="164"/>
        <w:spacing w:line="360" w:lineRule="auto"/>
      </w:pPr>
      <w:r>
        <w:rPr>
          <w:rFonts w:hint="eastAsia"/>
        </w:rPr>
        <w:t>对筛查结果提示需进一步检查、复筛、病理确认或者专科评估的对象，应实施规范转诊。</w:t>
      </w:r>
    </w:p>
    <w:p w14:paraId="1055116E">
      <w:pPr>
        <w:pStyle w:val="164"/>
        <w:spacing w:line="360" w:lineRule="auto"/>
      </w:pPr>
      <w:r>
        <w:rPr>
          <w:rFonts w:hint="eastAsia"/>
        </w:rPr>
        <w:t>转诊管理应明确转诊机构、转诊时限、转诊路径和反馈要求。</w:t>
      </w:r>
    </w:p>
    <w:p w14:paraId="182310B5">
      <w:pPr>
        <w:pStyle w:val="164"/>
        <w:spacing w:line="360" w:lineRule="auto"/>
      </w:pPr>
      <w:r>
        <w:rPr>
          <w:rFonts w:hint="eastAsia"/>
        </w:rPr>
        <w:t>转诊管理不得仅停留在口头建议层面，应形成书面或者信息化转诊记录。</w:t>
      </w:r>
    </w:p>
    <w:p w14:paraId="2B8F7991">
      <w:pPr>
        <w:pStyle w:val="65"/>
        <w:spacing w:before="120" w:after="120" w:line="360" w:lineRule="auto"/>
      </w:pPr>
      <w:r>
        <w:rPr>
          <w:rFonts w:hint="eastAsia"/>
        </w:rPr>
        <w:t>转诊对象要求</w:t>
      </w:r>
    </w:p>
    <w:p w14:paraId="7F80E02C">
      <w:pPr>
        <w:pStyle w:val="56"/>
        <w:spacing w:line="360" w:lineRule="auto"/>
        <w:ind w:firstLine="420"/>
      </w:pPr>
      <w:r>
        <w:rPr>
          <w:rFonts w:hint="eastAsia"/>
        </w:rPr>
        <w:t>下列对象应纳入转诊管理：</w:t>
      </w:r>
    </w:p>
    <w:p w14:paraId="38558C14">
      <w:pPr>
        <w:pStyle w:val="56"/>
        <w:spacing w:line="360" w:lineRule="auto"/>
        <w:ind w:firstLine="420"/>
      </w:pPr>
      <w:r>
        <w:rPr>
          <w:rFonts w:hint="eastAsia"/>
        </w:rPr>
        <w:t>a）筛查阳性对象；</w:t>
      </w:r>
    </w:p>
    <w:p w14:paraId="44EBB076">
      <w:pPr>
        <w:pStyle w:val="56"/>
        <w:spacing w:line="360" w:lineRule="auto"/>
        <w:ind w:firstLine="420"/>
      </w:pPr>
      <w:r>
        <w:rPr>
          <w:rFonts w:hint="eastAsia"/>
        </w:rPr>
        <w:t>b）高度可疑对象；</w:t>
      </w:r>
    </w:p>
    <w:p w14:paraId="20DD6680">
      <w:pPr>
        <w:pStyle w:val="56"/>
        <w:spacing w:line="360" w:lineRule="auto"/>
        <w:ind w:firstLine="420"/>
      </w:pPr>
      <w:r>
        <w:rPr>
          <w:rFonts w:hint="eastAsia"/>
        </w:rPr>
        <w:t>c）需进一步专科检查对象；</w:t>
      </w:r>
    </w:p>
    <w:p w14:paraId="68B208DA">
      <w:pPr>
        <w:pStyle w:val="56"/>
        <w:spacing w:line="360" w:lineRule="auto"/>
        <w:ind w:firstLine="420"/>
      </w:pPr>
      <w:r>
        <w:rPr>
          <w:rFonts w:hint="eastAsia"/>
        </w:rPr>
        <w:t>d）需病理确认对象；</w:t>
      </w:r>
    </w:p>
    <w:p w14:paraId="110A708F">
      <w:pPr>
        <w:pStyle w:val="56"/>
        <w:spacing w:line="360" w:lineRule="auto"/>
        <w:ind w:firstLine="420"/>
      </w:pPr>
      <w:r>
        <w:rPr>
          <w:rFonts w:hint="eastAsia"/>
        </w:rPr>
        <w:t>e）需短期复筛但基层机构不具备条件对象；</w:t>
      </w:r>
    </w:p>
    <w:p w14:paraId="3CEA48D2">
      <w:pPr>
        <w:pStyle w:val="56"/>
        <w:spacing w:line="360" w:lineRule="auto"/>
        <w:ind w:firstLine="420"/>
      </w:pPr>
      <w:r>
        <w:rPr>
          <w:rFonts w:hint="eastAsia"/>
        </w:rPr>
        <w:t>f）其他按筛查路径规定应转诊对象。</w:t>
      </w:r>
    </w:p>
    <w:p w14:paraId="10F67B39">
      <w:pPr>
        <w:pStyle w:val="65"/>
        <w:spacing w:before="120" w:after="120" w:line="360" w:lineRule="auto"/>
      </w:pPr>
      <w:r>
        <w:rPr>
          <w:rFonts w:hint="eastAsia"/>
        </w:rPr>
        <w:t>转诊实施要求</w:t>
      </w:r>
    </w:p>
    <w:p w14:paraId="2BD30488">
      <w:pPr>
        <w:pStyle w:val="164"/>
        <w:spacing w:line="360" w:lineRule="auto"/>
      </w:pPr>
      <w:r>
        <w:rPr>
          <w:rFonts w:hint="eastAsia"/>
        </w:rPr>
        <w:t>转诊前应向对象说明转诊原因、转诊必要性和后续检查要求。</w:t>
      </w:r>
    </w:p>
    <w:p w14:paraId="0FC70104">
      <w:pPr>
        <w:pStyle w:val="164"/>
        <w:spacing w:line="360" w:lineRule="auto"/>
      </w:pPr>
      <w:r>
        <w:rPr>
          <w:rFonts w:hint="eastAsia"/>
        </w:rPr>
        <w:t>转诊资料宜至少包括对象信息、筛查项目、筛查结果、复核意见和建议转诊方向。</w:t>
      </w:r>
    </w:p>
    <w:p w14:paraId="76C29BB3">
      <w:pPr>
        <w:pStyle w:val="164"/>
        <w:spacing w:line="360" w:lineRule="auto"/>
      </w:pPr>
      <w:r>
        <w:rPr>
          <w:rFonts w:hint="eastAsia"/>
        </w:rPr>
        <w:t>转诊后应及时登记转诊状态，不得出现“已建议转诊”但无后续追踪的情形。</w:t>
      </w:r>
    </w:p>
    <w:p w14:paraId="1E585963">
      <w:pPr>
        <w:pStyle w:val="164"/>
        <w:numPr>
          <w:ilvl w:val="0"/>
          <w:numId w:val="0"/>
        </w:numPr>
        <w:spacing w:line="360" w:lineRule="auto"/>
        <w:rPr>
          <w:rFonts w:hint="eastAsia"/>
        </w:rPr>
      </w:pPr>
    </w:p>
    <w:p w14:paraId="573A78D6">
      <w:pPr>
        <w:pStyle w:val="105"/>
        <w:spacing w:before="120" w:after="120" w:line="360" w:lineRule="auto"/>
      </w:pPr>
      <w:r>
        <w:rPr>
          <w:rFonts w:hint="eastAsia"/>
        </w:rPr>
        <w:t>转诊跟踪要求</w:t>
      </w:r>
    </w:p>
    <w:p w14:paraId="6F17A5D6">
      <w:pPr>
        <w:pStyle w:val="65"/>
        <w:spacing w:before="120" w:after="120" w:line="360" w:lineRule="auto"/>
      </w:pPr>
      <w:r>
        <w:rPr>
          <w:rFonts w:hint="eastAsia"/>
        </w:rPr>
        <w:t>一般要求</w:t>
      </w:r>
    </w:p>
    <w:p w14:paraId="743B7273">
      <w:pPr>
        <w:pStyle w:val="164"/>
        <w:spacing w:line="360" w:lineRule="auto"/>
      </w:pPr>
      <w:r>
        <w:rPr>
          <w:rFonts w:hint="eastAsia"/>
        </w:rPr>
        <w:t>对已转诊对象，应进行跟踪管理。</w:t>
      </w:r>
    </w:p>
    <w:p w14:paraId="238779CC">
      <w:pPr>
        <w:pStyle w:val="164"/>
        <w:spacing w:line="360" w:lineRule="auto"/>
      </w:pPr>
      <w:r>
        <w:rPr>
          <w:rFonts w:hint="eastAsia"/>
        </w:rPr>
        <w:t>跟踪管理应重点掌握是否到诊、是否完成进一步检查、是否完成病理确认和是否形成明确结局。</w:t>
      </w:r>
    </w:p>
    <w:p w14:paraId="1A8F52D8">
      <w:pPr>
        <w:pStyle w:val="65"/>
        <w:spacing w:before="120" w:after="120" w:line="360" w:lineRule="auto"/>
      </w:pPr>
      <w:r>
        <w:rPr>
          <w:rFonts w:hint="eastAsia"/>
        </w:rPr>
        <w:t>跟踪内容要求</w:t>
      </w:r>
    </w:p>
    <w:p w14:paraId="032A8476">
      <w:pPr>
        <w:pStyle w:val="164"/>
        <w:spacing w:line="360" w:lineRule="auto"/>
      </w:pPr>
      <w:r>
        <w:rPr>
          <w:rFonts w:hint="eastAsia"/>
        </w:rPr>
        <w:t>转诊跟踪宜至少包括下列内容：</w:t>
      </w:r>
    </w:p>
    <w:p w14:paraId="27625A4A">
      <w:pPr>
        <w:pStyle w:val="56"/>
        <w:spacing w:line="360" w:lineRule="auto"/>
        <w:ind w:firstLine="420"/>
      </w:pPr>
      <w:r>
        <w:rPr>
          <w:rFonts w:hint="eastAsia"/>
        </w:rPr>
        <w:t>a）转诊时间；</w:t>
      </w:r>
    </w:p>
    <w:p w14:paraId="032E9C35">
      <w:pPr>
        <w:pStyle w:val="56"/>
        <w:spacing w:line="360" w:lineRule="auto"/>
        <w:ind w:firstLine="420"/>
      </w:pPr>
      <w:r>
        <w:rPr>
          <w:rFonts w:hint="eastAsia"/>
        </w:rPr>
        <w:t>b）转诊机构；</w:t>
      </w:r>
    </w:p>
    <w:p w14:paraId="2E2B5022">
      <w:pPr>
        <w:pStyle w:val="56"/>
        <w:spacing w:line="360" w:lineRule="auto"/>
        <w:ind w:firstLine="420"/>
      </w:pPr>
      <w:r>
        <w:rPr>
          <w:rFonts w:hint="eastAsia"/>
        </w:rPr>
        <w:t>c）到诊情况；</w:t>
      </w:r>
    </w:p>
    <w:p w14:paraId="4EADE8A4">
      <w:pPr>
        <w:pStyle w:val="56"/>
        <w:spacing w:line="360" w:lineRule="auto"/>
        <w:ind w:firstLine="420"/>
      </w:pPr>
      <w:r>
        <w:rPr>
          <w:rFonts w:hint="eastAsia"/>
        </w:rPr>
        <w:t>d）进一步检查完成情况；</w:t>
      </w:r>
    </w:p>
    <w:p w14:paraId="00C2C694">
      <w:pPr>
        <w:pStyle w:val="56"/>
        <w:spacing w:line="360" w:lineRule="auto"/>
        <w:ind w:firstLine="420"/>
      </w:pPr>
      <w:r>
        <w:rPr>
          <w:rFonts w:hint="eastAsia"/>
        </w:rPr>
        <w:t>e）诊断情况；</w:t>
      </w:r>
    </w:p>
    <w:p w14:paraId="4B48DDED">
      <w:pPr>
        <w:pStyle w:val="56"/>
        <w:spacing w:line="360" w:lineRule="auto"/>
        <w:ind w:firstLine="420"/>
      </w:pPr>
      <w:r>
        <w:rPr>
          <w:rFonts w:hint="eastAsia"/>
        </w:rPr>
        <w:t>f）治疗建议或者处理建议；</w:t>
      </w:r>
    </w:p>
    <w:p w14:paraId="52D5E788">
      <w:pPr>
        <w:pStyle w:val="56"/>
        <w:spacing w:line="360" w:lineRule="auto"/>
        <w:ind w:firstLine="420"/>
      </w:pPr>
      <w:r>
        <w:rPr>
          <w:rFonts w:hint="eastAsia"/>
        </w:rPr>
        <w:t>g）未完成转诊原因。</w:t>
      </w:r>
    </w:p>
    <w:p w14:paraId="34370740">
      <w:pPr>
        <w:pStyle w:val="164"/>
        <w:spacing w:line="360" w:lineRule="auto"/>
      </w:pPr>
      <w:r>
        <w:rPr>
          <w:rFonts w:hint="eastAsia"/>
        </w:rPr>
        <w:t>对未按期到诊对象，应及时提醒和再次联系。</w:t>
      </w:r>
    </w:p>
    <w:p w14:paraId="0903620A">
      <w:pPr>
        <w:pStyle w:val="105"/>
        <w:spacing w:before="120" w:after="120" w:line="360" w:lineRule="auto"/>
      </w:pPr>
      <w:r>
        <w:rPr>
          <w:rFonts w:hint="eastAsia"/>
        </w:rPr>
        <w:t>随访管理要求</w:t>
      </w:r>
    </w:p>
    <w:p w14:paraId="1B18812C">
      <w:pPr>
        <w:pStyle w:val="65"/>
        <w:spacing w:before="120" w:after="120" w:line="360" w:lineRule="auto"/>
      </w:pPr>
      <w:r>
        <w:rPr>
          <w:rFonts w:hint="eastAsia"/>
        </w:rPr>
        <w:t>一般要求</w:t>
      </w:r>
    </w:p>
    <w:p w14:paraId="6F6312FF">
      <w:pPr>
        <w:pStyle w:val="164"/>
        <w:spacing w:line="360" w:lineRule="auto"/>
      </w:pPr>
      <w:r>
        <w:rPr>
          <w:rFonts w:hint="eastAsia"/>
        </w:rPr>
        <w:t>筛查项目应建立随访制度。</w:t>
      </w:r>
    </w:p>
    <w:p w14:paraId="1B15E9ED">
      <w:pPr>
        <w:pStyle w:val="164"/>
        <w:spacing w:line="360" w:lineRule="auto"/>
      </w:pPr>
      <w:r>
        <w:rPr>
          <w:rFonts w:hint="eastAsia"/>
        </w:rPr>
        <w:t>随访管理应覆盖阳性对象、异常对象、可疑对象、复筛对象和失访对象。</w:t>
      </w:r>
    </w:p>
    <w:p w14:paraId="70B2AF67">
      <w:pPr>
        <w:pStyle w:val="164"/>
        <w:spacing w:line="360" w:lineRule="auto"/>
      </w:pPr>
      <w:r>
        <w:rPr>
          <w:rFonts w:hint="eastAsia"/>
        </w:rPr>
        <w:t>随访管理应坚持分层管理、时限管理、重点管理和闭环管理原则。</w:t>
      </w:r>
    </w:p>
    <w:p w14:paraId="220A669F">
      <w:pPr>
        <w:pStyle w:val="65"/>
        <w:spacing w:before="120" w:after="120" w:line="360" w:lineRule="auto"/>
      </w:pPr>
      <w:r>
        <w:rPr>
          <w:rFonts w:hint="eastAsia"/>
        </w:rPr>
        <w:t>随访分类要求</w:t>
      </w:r>
    </w:p>
    <w:p w14:paraId="67F39344">
      <w:pPr>
        <w:pStyle w:val="164"/>
        <w:spacing w:line="360" w:lineRule="auto"/>
      </w:pPr>
      <w:r>
        <w:rPr>
          <w:rFonts w:hint="eastAsia"/>
        </w:rPr>
        <w:t>随访可分为结果随访、转诊随访、复查随访和结局随访。</w:t>
      </w:r>
    </w:p>
    <w:p w14:paraId="7F53F58C">
      <w:pPr>
        <w:pStyle w:val="164"/>
        <w:spacing w:line="360" w:lineRule="auto"/>
      </w:pPr>
      <w:r>
        <w:rPr>
          <w:rFonts w:hint="eastAsia"/>
        </w:rPr>
        <w:t>不同随访类型应明确随访对象、随访时点、随访方式和记录内容。</w:t>
      </w:r>
    </w:p>
    <w:p w14:paraId="43B1C9E6">
      <w:pPr>
        <w:pStyle w:val="65"/>
        <w:spacing w:before="120" w:after="120" w:line="360" w:lineRule="auto"/>
      </w:pPr>
      <w:r>
        <w:rPr>
          <w:rFonts w:hint="eastAsia"/>
        </w:rPr>
        <w:t>随访时限要求</w:t>
      </w:r>
    </w:p>
    <w:p w14:paraId="6028D40B">
      <w:pPr>
        <w:pStyle w:val="164"/>
        <w:spacing w:line="360" w:lineRule="auto"/>
      </w:pPr>
      <w:r>
        <w:rPr>
          <w:rFonts w:hint="eastAsia"/>
        </w:rPr>
        <w:t>随访时限应依据癌种筛查路径和结果分类确定。</w:t>
      </w:r>
    </w:p>
    <w:p w14:paraId="6913C0EF">
      <w:pPr>
        <w:pStyle w:val="164"/>
        <w:spacing w:line="360" w:lineRule="auto"/>
      </w:pPr>
      <w:r>
        <w:rPr>
          <w:rFonts w:hint="eastAsia"/>
        </w:rPr>
        <w:t>对阳性对象和高度可疑对象，应优先随访并缩短首次随访时限。</w:t>
      </w:r>
    </w:p>
    <w:p w14:paraId="0F11B6BA">
      <w:pPr>
        <w:pStyle w:val="164"/>
        <w:spacing w:line="360" w:lineRule="auto"/>
      </w:pPr>
      <w:r>
        <w:rPr>
          <w:rFonts w:hint="eastAsia"/>
        </w:rPr>
        <w:t>对长期未反馈结局对象，应持续跟踪直至形成明确管理结局或者达到规定终止条件。</w:t>
      </w:r>
    </w:p>
    <w:p w14:paraId="24F0C0C3">
      <w:pPr>
        <w:pStyle w:val="164"/>
        <w:numPr>
          <w:ilvl w:val="0"/>
          <w:numId w:val="0"/>
        </w:numPr>
        <w:spacing w:line="360" w:lineRule="auto"/>
      </w:pPr>
    </w:p>
    <w:p w14:paraId="0024FDA7">
      <w:pPr>
        <w:pStyle w:val="164"/>
        <w:numPr>
          <w:ilvl w:val="0"/>
          <w:numId w:val="0"/>
        </w:numPr>
        <w:spacing w:line="360" w:lineRule="auto"/>
        <w:rPr>
          <w:rFonts w:hint="eastAsia"/>
        </w:rPr>
      </w:pPr>
    </w:p>
    <w:p w14:paraId="63FD2203">
      <w:pPr>
        <w:pStyle w:val="105"/>
        <w:spacing w:before="120" w:after="120" w:line="360" w:lineRule="auto"/>
      </w:pPr>
      <w:r>
        <w:rPr>
          <w:rFonts w:hint="eastAsia"/>
        </w:rPr>
        <w:t>随访实施要求</w:t>
      </w:r>
    </w:p>
    <w:p w14:paraId="340BA6B1">
      <w:pPr>
        <w:pStyle w:val="65"/>
        <w:spacing w:before="120" w:after="120" w:line="360" w:lineRule="auto"/>
      </w:pPr>
      <w:r>
        <w:rPr>
          <w:rFonts w:hint="eastAsia"/>
        </w:rPr>
        <w:t>一般要求</w:t>
      </w:r>
    </w:p>
    <w:p w14:paraId="203119D0">
      <w:pPr>
        <w:pStyle w:val="164"/>
        <w:spacing w:line="360" w:lineRule="auto"/>
      </w:pPr>
      <w:r>
        <w:rPr>
          <w:rFonts w:hint="eastAsia"/>
        </w:rPr>
        <w:t>随访可采用电话、短信、信息平台、门诊复访、社区协作或者其他适宜方式实施。</w:t>
      </w:r>
    </w:p>
    <w:p w14:paraId="2EEB1DD3">
      <w:pPr>
        <w:pStyle w:val="164"/>
        <w:spacing w:line="360" w:lineRule="auto"/>
      </w:pPr>
      <w:r>
        <w:rPr>
          <w:rFonts w:hint="eastAsia"/>
        </w:rPr>
        <w:t>随访实施应确保身份确认、内容准确、用语规范和过程留痕。</w:t>
      </w:r>
    </w:p>
    <w:p w14:paraId="218D36C9">
      <w:pPr>
        <w:pStyle w:val="164"/>
        <w:spacing w:line="360" w:lineRule="auto"/>
      </w:pPr>
      <w:r>
        <w:rPr>
          <w:rFonts w:hint="eastAsia"/>
        </w:rPr>
        <w:t>随访不得流于形式，不得仅完成联系动作而不记录实质性结果。</w:t>
      </w:r>
    </w:p>
    <w:p w14:paraId="390A5920">
      <w:pPr>
        <w:pStyle w:val="65"/>
        <w:spacing w:before="120" w:after="120" w:line="360" w:lineRule="auto"/>
      </w:pPr>
      <w:r>
        <w:rPr>
          <w:rFonts w:hint="eastAsia"/>
        </w:rPr>
        <w:t>随访内容要求</w:t>
      </w:r>
    </w:p>
    <w:p w14:paraId="639B103C">
      <w:pPr>
        <w:pStyle w:val="56"/>
        <w:spacing w:line="360" w:lineRule="auto"/>
        <w:ind w:firstLine="420"/>
      </w:pPr>
      <w:r>
        <w:rPr>
          <w:rFonts w:hint="eastAsia"/>
        </w:rPr>
        <w:t>随访内容宜至少包括下列内容：</w:t>
      </w:r>
    </w:p>
    <w:p w14:paraId="508C78EF">
      <w:pPr>
        <w:pStyle w:val="56"/>
        <w:spacing w:line="360" w:lineRule="auto"/>
        <w:ind w:firstLine="420"/>
      </w:pPr>
      <w:r>
        <w:rPr>
          <w:rFonts w:hint="eastAsia"/>
        </w:rPr>
        <w:t>a）对象身份确认；</w:t>
      </w:r>
    </w:p>
    <w:p w14:paraId="38085B0E">
      <w:pPr>
        <w:pStyle w:val="56"/>
        <w:spacing w:line="360" w:lineRule="auto"/>
        <w:ind w:firstLine="420"/>
      </w:pPr>
      <w:r>
        <w:rPr>
          <w:rFonts w:hint="eastAsia"/>
        </w:rPr>
        <w:t>b）筛查结果提醒；</w:t>
      </w:r>
    </w:p>
    <w:p w14:paraId="3399EB5F">
      <w:pPr>
        <w:pStyle w:val="56"/>
        <w:spacing w:line="360" w:lineRule="auto"/>
        <w:ind w:firstLine="420"/>
      </w:pPr>
      <w:r>
        <w:rPr>
          <w:rFonts w:hint="eastAsia"/>
        </w:rPr>
        <w:t>c）转诊或者复查完成情况；</w:t>
      </w:r>
    </w:p>
    <w:p w14:paraId="32E779B3">
      <w:pPr>
        <w:pStyle w:val="56"/>
        <w:spacing w:line="360" w:lineRule="auto"/>
        <w:ind w:firstLine="420"/>
      </w:pPr>
      <w:r>
        <w:rPr>
          <w:rFonts w:hint="eastAsia"/>
        </w:rPr>
        <w:t>d）当前健康状态；</w:t>
      </w:r>
    </w:p>
    <w:p w14:paraId="753487DD">
      <w:pPr>
        <w:pStyle w:val="56"/>
        <w:spacing w:line="360" w:lineRule="auto"/>
        <w:ind w:firstLine="420"/>
      </w:pPr>
      <w:r>
        <w:rPr>
          <w:rFonts w:hint="eastAsia"/>
        </w:rPr>
        <w:t>e）进一步检查结果；</w:t>
      </w:r>
    </w:p>
    <w:p w14:paraId="7B4D2031">
      <w:pPr>
        <w:pStyle w:val="56"/>
        <w:spacing w:line="360" w:lineRule="auto"/>
        <w:ind w:firstLine="420"/>
      </w:pPr>
      <w:r>
        <w:rPr>
          <w:rFonts w:hint="eastAsia"/>
        </w:rPr>
        <w:t>f）治疗情况或者处理情况；</w:t>
      </w:r>
    </w:p>
    <w:p w14:paraId="58D90231">
      <w:pPr>
        <w:pStyle w:val="56"/>
        <w:spacing w:line="360" w:lineRule="auto"/>
        <w:ind w:firstLine="420"/>
      </w:pPr>
      <w:r>
        <w:rPr>
          <w:rFonts w:hint="eastAsia"/>
        </w:rPr>
        <w:t>g）未完成原因；</w:t>
      </w:r>
    </w:p>
    <w:p w14:paraId="541A1582">
      <w:pPr>
        <w:pStyle w:val="56"/>
        <w:spacing w:line="360" w:lineRule="auto"/>
        <w:ind w:firstLine="420"/>
      </w:pPr>
      <w:r>
        <w:rPr>
          <w:rFonts w:hint="eastAsia"/>
        </w:rPr>
        <w:t>h）后续建议。</w:t>
      </w:r>
    </w:p>
    <w:p w14:paraId="3A2DBBE8">
      <w:pPr>
        <w:pStyle w:val="65"/>
        <w:spacing w:before="120" w:after="120" w:line="360" w:lineRule="auto"/>
      </w:pPr>
      <w:r>
        <w:rPr>
          <w:rFonts w:hint="eastAsia"/>
        </w:rPr>
        <w:t>失访管理要求</w:t>
      </w:r>
    </w:p>
    <w:p w14:paraId="7FA6B403">
      <w:pPr>
        <w:pStyle w:val="164"/>
        <w:spacing w:line="360" w:lineRule="auto"/>
      </w:pPr>
      <w:r>
        <w:rPr>
          <w:rFonts w:hint="eastAsia"/>
        </w:rPr>
        <w:t>对多次联系未果、联系方式失效或者对象拒绝随访者，应按规定纳入失访管理。</w:t>
      </w:r>
    </w:p>
    <w:p w14:paraId="0697CCCA">
      <w:pPr>
        <w:pStyle w:val="164"/>
        <w:spacing w:line="360" w:lineRule="auto"/>
      </w:pPr>
      <w:r>
        <w:rPr>
          <w:rFonts w:hint="eastAsia"/>
        </w:rPr>
        <w:t>失访对象应明确失访原因、联系次数和最后一次联系时间。</w:t>
      </w:r>
    </w:p>
    <w:p w14:paraId="4B234796">
      <w:pPr>
        <w:pStyle w:val="164"/>
        <w:spacing w:line="360" w:lineRule="auto"/>
      </w:pPr>
      <w:r>
        <w:rPr>
          <w:rFonts w:hint="eastAsia"/>
        </w:rPr>
        <w:t>对高风险失访对象，应提高追踪力度，并根据项目要求开展多渠道联系。</w:t>
      </w:r>
    </w:p>
    <w:p w14:paraId="38A58ADA">
      <w:pPr>
        <w:pStyle w:val="105"/>
        <w:spacing w:before="120" w:after="120" w:line="360" w:lineRule="auto"/>
      </w:pPr>
      <w:r>
        <w:rPr>
          <w:rFonts w:hint="eastAsia"/>
        </w:rPr>
        <w:t>信息采集与录入要求</w:t>
      </w:r>
    </w:p>
    <w:p w14:paraId="3BDA8B24">
      <w:pPr>
        <w:pStyle w:val="65"/>
        <w:spacing w:before="120" w:after="120" w:line="360" w:lineRule="auto"/>
      </w:pPr>
      <w:r>
        <w:rPr>
          <w:rFonts w:hint="eastAsia"/>
        </w:rPr>
        <w:t>一般要求</w:t>
      </w:r>
    </w:p>
    <w:p w14:paraId="32B64C7C">
      <w:pPr>
        <w:pStyle w:val="164"/>
        <w:spacing w:line="360" w:lineRule="auto"/>
      </w:pPr>
      <w:r>
        <w:rPr>
          <w:rFonts w:hint="eastAsia"/>
        </w:rPr>
        <w:t>癌症早期筛查全过程应实施信息采集与录入管理。</w:t>
      </w:r>
    </w:p>
    <w:p w14:paraId="378B01E9">
      <w:pPr>
        <w:pStyle w:val="164"/>
        <w:spacing w:line="360" w:lineRule="auto"/>
      </w:pPr>
      <w:r>
        <w:rPr>
          <w:rFonts w:hint="eastAsia"/>
        </w:rPr>
        <w:t>信息采集与录入应做到真实、完整、及时、准确和一致。</w:t>
      </w:r>
    </w:p>
    <w:p w14:paraId="0BA3988B">
      <w:pPr>
        <w:pStyle w:val="164"/>
        <w:spacing w:line="360" w:lineRule="auto"/>
      </w:pPr>
      <w:r>
        <w:rPr>
          <w:rFonts w:hint="eastAsia"/>
        </w:rPr>
        <w:t>信息采集与录入不得后补造假、随意修改或者长期滞后。</w:t>
      </w:r>
    </w:p>
    <w:p w14:paraId="44B8323F">
      <w:pPr>
        <w:pStyle w:val="65"/>
        <w:spacing w:before="120" w:after="120" w:line="360" w:lineRule="auto"/>
      </w:pPr>
      <w:r>
        <w:rPr>
          <w:rFonts w:hint="eastAsia"/>
        </w:rPr>
        <w:t>采集内容要求</w:t>
      </w:r>
    </w:p>
    <w:p w14:paraId="02874112">
      <w:pPr>
        <w:pStyle w:val="56"/>
        <w:spacing w:line="360" w:lineRule="auto"/>
        <w:ind w:firstLine="420"/>
      </w:pPr>
      <w:r>
        <w:rPr>
          <w:rFonts w:hint="eastAsia"/>
        </w:rPr>
        <w:t>信息采集内容宜至少包括下列内容：</w:t>
      </w:r>
    </w:p>
    <w:p w14:paraId="3DD14D01">
      <w:pPr>
        <w:pStyle w:val="56"/>
        <w:spacing w:line="360" w:lineRule="auto"/>
        <w:ind w:firstLine="420"/>
      </w:pPr>
      <w:r>
        <w:rPr>
          <w:rFonts w:hint="eastAsia"/>
        </w:rPr>
        <w:t>a）对象基本信息；</w:t>
      </w:r>
    </w:p>
    <w:p w14:paraId="218401AC">
      <w:pPr>
        <w:pStyle w:val="56"/>
        <w:spacing w:line="360" w:lineRule="auto"/>
        <w:ind w:firstLine="420"/>
      </w:pPr>
      <w:r>
        <w:rPr>
          <w:rFonts w:hint="eastAsia"/>
        </w:rPr>
        <w:t>b）风险评估信息；</w:t>
      </w:r>
    </w:p>
    <w:p w14:paraId="6040E2F2">
      <w:pPr>
        <w:pStyle w:val="56"/>
        <w:spacing w:line="360" w:lineRule="auto"/>
        <w:ind w:firstLine="420"/>
      </w:pPr>
      <w:r>
        <w:rPr>
          <w:rFonts w:hint="eastAsia"/>
        </w:rPr>
        <w:t>c）筛查项目和筛查时间；</w:t>
      </w:r>
    </w:p>
    <w:p w14:paraId="344F5859">
      <w:pPr>
        <w:pStyle w:val="56"/>
        <w:spacing w:line="360" w:lineRule="auto"/>
        <w:ind w:firstLine="420"/>
      </w:pPr>
      <w:r>
        <w:rPr>
          <w:rFonts w:hint="eastAsia"/>
        </w:rPr>
        <w:t>d）检查检测结果；</w:t>
      </w:r>
    </w:p>
    <w:p w14:paraId="62FD2087">
      <w:pPr>
        <w:pStyle w:val="56"/>
        <w:spacing w:line="360" w:lineRule="auto"/>
        <w:ind w:firstLine="420"/>
      </w:pPr>
      <w:r>
        <w:rPr>
          <w:rFonts w:hint="eastAsia"/>
        </w:rPr>
        <w:t>e）结果分类；</w:t>
      </w:r>
    </w:p>
    <w:p w14:paraId="23D5BED9">
      <w:pPr>
        <w:pStyle w:val="56"/>
        <w:spacing w:line="360" w:lineRule="auto"/>
        <w:ind w:firstLine="420"/>
      </w:pPr>
      <w:r>
        <w:rPr>
          <w:rFonts w:hint="eastAsia"/>
        </w:rPr>
        <w:t>f）复核情况；</w:t>
      </w:r>
    </w:p>
    <w:p w14:paraId="5A076292">
      <w:pPr>
        <w:pStyle w:val="56"/>
        <w:spacing w:line="360" w:lineRule="auto"/>
        <w:ind w:firstLine="420"/>
      </w:pPr>
      <w:r>
        <w:rPr>
          <w:rFonts w:hint="eastAsia"/>
        </w:rPr>
        <w:t>g）转诊信息；</w:t>
      </w:r>
    </w:p>
    <w:p w14:paraId="685D6FC6">
      <w:pPr>
        <w:pStyle w:val="56"/>
        <w:spacing w:line="360" w:lineRule="auto"/>
        <w:ind w:firstLine="420"/>
      </w:pPr>
      <w:r>
        <w:rPr>
          <w:rFonts w:hint="eastAsia"/>
        </w:rPr>
        <w:t>h）随访信息；</w:t>
      </w:r>
    </w:p>
    <w:p w14:paraId="6395FEFB">
      <w:pPr>
        <w:pStyle w:val="56"/>
        <w:spacing w:line="360" w:lineRule="auto"/>
        <w:ind w:firstLine="420"/>
      </w:pPr>
      <w:r>
        <w:rPr>
          <w:rFonts w:hint="eastAsia"/>
        </w:rPr>
        <w:t>i）结局信息；</w:t>
      </w:r>
    </w:p>
    <w:p w14:paraId="104BB2DF">
      <w:pPr>
        <w:pStyle w:val="56"/>
        <w:spacing w:line="360" w:lineRule="auto"/>
        <w:ind w:firstLine="420"/>
      </w:pPr>
      <w:r>
        <w:rPr>
          <w:rFonts w:hint="eastAsia"/>
        </w:rPr>
        <w:t>j）质控信息。</w:t>
      </w:r>
    </w:p>
    <w:p w14:paraId="4EABDAE7">
      <w:pPr>
        <w:pStyle w:val="65"/>
        <w:spacing w:before="120" w:after="120" w:line="360" w:lineRule="auto"/>
      </w:pPr>
      <w:r>
        <w:rPr>
          <w:rFonts w:hint="eastAsia"/>
        </w:rPr>
        <w:t>录入控制要求</w:t>
      </w:r>
    </w:p>
    <w:p w14:paraId="50ECB4EB">
      <w:pPr>
        <w:pStyle w:val="164"/>
        <w:spacing w:line="360" w:lineRule="auto"/>
      </w:pPr>
      <w:r>
        <w:rPr>
          <w:rFonts w:hint="eastAsia"/>
        </w:rPr>
        <w:t>重要信息录入应实施校验。</w:t>
      </w:r>
    </w:p>
    <w:p w14:paraId="337299F0">
      <w:pPr>
        <w:pStyle w:val="164"/>
        <w:spacing w:line="360" w:lineRule="auto"/>
      </w:pPr>
      <w:r>
        <w:rPr>
          <w:rFonts w:hint="eastAsia"/>
        </w:rPr>
        <w:t>阳性结果、转诊状态和结局状态等关键信息宜双重复核。</w:t>
      </w:r>
    </w:p>
    <w:p w14:paraId="61AACD1E">
      <w:pPr>
        <w:pStyle w:val="164"/>
        <w:spacing w:line="360" w:lineRule="auto"/>
      </w:pPr>
      <w:r>
        <w:rPr>
          <w:rFonts w:hint="eastAsia"/>
        </w:rPr>
        <w:t>录入错误、重复录入和逻辑冲突信息应及时更正并留痕。</w:t>
      </w:r>
    </w:p>
    <w:p w14:paraId="742E5079">
      <w:pPr>
        <w:pStyle w:val="105"/>
        <w:spacing w:before="120" w:after="120" w:line="360" w:lineRule="auto"/>
      </w:pPr>
      <w:r>
        <w:rPr>
          <w:rFonts w:hint="eastAsia"/>
        </w:rPr>
        <w:t>数据审核与统计分析要求</w:t>
      </w:r>
    </w:p>
    <w:p w14:paraId="433B8051">
      <w:pPr>
        <w:pStyle w:val="65"/>
        <w:spacing w:before="120" w:after="120" w:line="360" w:lineRule="auto"/>
      </w:pPr>
      <w:r>
        <w:rPr>
          <w:rFonts w:hint="eastAsia"/>
        </w:rPr>
        <w:t>一般要求</w:t>
      </w:r>
    </w:p>
    <w:p w14:paraId="61889902">
      <w:pPr>
        <w:pStyle w:val="164"/>
        <w:spacing w:line="360" w:lineRule="auto"/>
      </w:pPr>
      <w:r>
        <w:rPr>
          <w:rFonts w:hint="eastAsia"/>
        </w:rPr>
        <w:t>筛查数据应建立审核机制。</w:t>
      </w:r>
    </w:p>
    <w:p w14:paraId="7AFB4AB8">
      <w:pPr>
        <w:pStyle w:val="164"/>
        <w:spacing w:line="360" w:lineRule="auto"/>
      </w:pPr>
      <w:r>
        <w:rPr>
          <w:rFonts w:hint="eastAsia"/>
        </w:rPr>
        <w:t>数据审核应覆盖完整性、逻辑一致性、项目匹配性和状态一致性。</w:t>
      </w:r>
    </w:p>
    <w:p w14:paraId="473CF9BF">
      <w:pPr>
        <w:pStyle w:val="164"/>
        <w:spacing w:line="360" w:lineRule="auto"/>
      </w:pPr>
      <w:r>
        <w:rPr>
          <w:rFonts w:hint="eastAsia"/>
        </w:rPr>
        <w:t>数据审核不通过的，不得直接用于正式统计和正式质量评价。</w:t>
      </w:r>
    </w:p>
    <w:p w14:paraId="5C88C4F4">
      <w:pPr>
        <w:pStyle w:val="65"/>
        <w:spacing w:before="120" w:after="120" w:line="360" w:lineRule="auto"/>
      </w:pPr>
      <w:r>
        <w:rPr>
          <w:rFonts w:hint="eastAsia"/>
        </w:rPr>
        <w:t>审核内容要求</w:t>
      </w:r>
    </w:p>
    <w:p w14:paraId="311221C2">
      <w:pPr>
        <w:pStyle w:val="56"/>
        <w:spacing w:line="360" w:lineRule="auto"/>
        <w:ind w:firstLine="420"/>
      </w:pPr>
      <w:r>
        <w:rPr>
          <w:rFonts w:hint="eastAsia"/>
        </w:rPr>
        <w:t>数据审核宜至少包括下列内容：</w:t>
      </w:r>
    </w:p>
    <w:p w14:paraId="38B86A8F">
      <w:pPr>
        <w:pStyle w:val="56"/>
        <w:spacing w:line="360" w:lineRule="auto"/>
        <w:ind w:firstLine="420"/>
      </w:pPr>
      <w:r>
        <w:rPr>
          <w:rFonts w:hint="eastAsia"/>
        </w:rPr>
        <w:t>a）对象信息是否完整；</w:t>
      </w:r>
    </w:p>
    <w:p w14:paraId="15DCC8AB">
      <w:pPr>
        <w:pStyle w:val="56"/>
        <w:spacing w:line="360" w:lineRule="auto"/>
        <w:ind w:firstLine="420"/>
      </w:pPr>
      <w:r>
        <w:rPr>
          <w:rFonts w:hint="eastAsia"/>
        </w:rPr>
        <w:t>b）风险评估与筛查项目是否匹配；</w:t>
      </w:r>
    </w:p>
    <w:p w14:paraId="520AFDFE">
      <w:pPr>
        <w:pStyle w:val="56"/>
        <w:spacing w:line="360" w:lineRule="auto"/>
        <w:ind w:firstLine="420"/>
      </w:pPr>
      <w:r>
        <w:rPr>
          <w:rFonts w:hint="eastAsia"/>
        </w:rPr>
        <w:t>c）筛查结果与分类是否匹配；</w:t>
      </w:r>
    </w:p>
    <w:p w14:paraId="0ABEEA1E">
      <w:pPr>
        <w:pStyle w:val="56"/>
        <w:spacing w:line="360" w:lineRule="auto"/>
        <w:ind w:firstLine="420"/>
      </w:pPr>
      <w:r>
        <w:rPr>
          <w:rFonts w:hint="eastAsia"/>
        </w:rPr>
        <w:t>d）阳性对象是否已转诊；</w:t>
      </w:r>
    </w:p>
    <w:p w14:paraId="59284981">
      <w:pPr>
        <w:pStyle w:val="56"/>
        <w:spacing w:line="360" w:lineRule="auto"/>
        <w:ind w:firstLine="420"/>
      </w:pPr>
      <w:r>
        <w:rPr>
          <w:rFonts w:hint="eastAsia"/>
        </w:rPr>
        <w:t>e）随访对象是否已记录；</w:t>
      </w:r>
    </w:p>
    <w:p w14:paraId="7998B413">
      <w:pPr>
        <w:pStyle w:val="56"/>
        <w:spacing w:line="360" w:lineRule="auto"/>
        <w:ind w:firstLine="420"/>
      </w:pPr>
      <w:r>
        <w:rPr>
          <w:rFonts w:hint="eastAsia"/>
        </w:rPr>
        <w:t>f）结局信息是否完整；</w:t>
      </w:r>
    </w:p>
    <w:p w14:paraId="38961563">
      <w:pPr>
        <w:pStyle w:val="56"/>
        <w:spacing w:line="360" w:lineRule="auto"/>
        <w:ind w:firstLine="420"/>
      </w:pPr>
      <w:r>
        <w:rPr>
          <w:rFonts w:hint="eastAsia"/>
        </w:rPr>
        <w:t>g）同一对象信息是否重复或者冲突。</w:t>
      </w:r>
    </w:p>
    <w:p w14:paraId="748EF765">
      <w:pPr>
        <w:pStyle w:val="65"/>
        <w:spacing w:before="120" w:after="120" w:line="360" w:lineRule="auto"/>
      </w:pPr>
      <w:r>
        <w:rPr>
          <w:rFonts w:hint="eastAsia"/>
        </w:rPr>
        <w:t>统计分析要求</w:t>
      </w:r>
    </w:p>
    <w:p w14:paraId="7B142BAD">
      <w:pPr>
        <w:pStyle w:val="164"/>
        <w:spacing w:line="360" w:lineRule="auto"/>
      </w:pPr>
      <w:r>
        <w:rPr>
          <w:rFonts w:hint="eastAsia"/>
        </w:rPr>
        <w:t>应定期开展筛查数据统计分析。</w:t>
      </w:r>
    </w:p>
    <w:p w14:paraId="5AB3835E">
      <w:pPr>
        <w:pStyle w:val="164"/>
        <w:spacing w:line="360" w:lineRule="auto"/>
      </w:pPr>
      <w:r>
        <w:rPr>
          <w:rFonts w:hint="eastAsia"/>
        </w:rPr>
        <w:t>统计分析宜至少包括下列内容：</w:t>
      </w:r>
    </w:p>
    <w:p w14:paraId="458C5F05">
      <w:pPr>
        <w:pStyle w:val="56"/>
        <w:spacing w:line="360" w:lineRule="auto"/>
        <w:ind w:firstLine="420"/>
      </w:pPr>
      <w:r>
        <w:rPr>
          <w:rFonts w:hint="eastAsia"/>
        </w:rPr>
        <w:t>a）筛查覆盖率；</w:t>
      </w:r>
    </w:p>
    <w:p w14:paraId="35262B6B">
      <w:pPr>
        <w:pStyle w:val="56"/>
        <w:spacing w:line="360" w:lineRule="auto"/>
        <w:ind w:firstLine="420"/>
      </w:pPr>
      <w:r>
        <w:rPr>
          <w:rFonts w:hint="eastAsia"/>
        </w:rPr>
        <w:t>b）筛查完成率；</w:t>
      </w:r>
    </w:p>
    <w:p w14:paraId="145C713B">
      <w:pPr>
        <w:pStyle w:val="56"/>
        <w:spacing w:line="360" w:lineRule="auto"/>
        <w:ind w:firstLine="420"/>
      </w:pPr>
      <w:r>
        <w:rPr>
          <w:rFonts w:hint="eastAsia"/>
        </w:rPr>
        <w:t>c）阳性检出率；</w:t>
      </w:r>
    </w:p>
    <w:p w14:paraId="3970913E">
      <w:pPr>
        <w:pStyle w:val="56"/>
        <w:spacing w:line="360" w:lineRule="auto"/>
        <w:ind w:firstLine="420"/>
      </w:pPr>
      <w:r>
        <w:rPr>
          <w:rFonts w:hint="eastAsia"/>
        </w:rPr>
        <w:t>d）复筛完成率；</w:t>
      </w:r>
    </w:p>
    <w:p w14:paraId="2E80C2D4">
      <w:pPr>
        <w:pStyle w:val="56"/>
        <w:spacing w:line="360" w:lineRule="auto"/>
        <w:ind w:firstLine="420"/>
      </w:pPr>
      <w:r>
        <w:rPr>
          <w:rFonts w:hint="eastAsia"/>
        </w:rPr>
        <w:t>e）转诊到位率；</w:t>
      </w:r>
    </w:p>
    <w:p w14:paraId="1CBF078C">
      <w:pPr>
        <w:pStyle w:val="56"/>
        <w:spacing w:line="360" w:lineRule="auto"/>
        <w:ind w:firstLine="420"/>
      </w:pPr>
      <w:r>
        <w:rPr>
          <w:rFonts w:hint="eastAsia"/>
        </w:rPr>
        <w:t>f）随访完成率；</w:t>
      </w:r>
    </w:p>
    <w:p w14:paraId="6791591A">
      <w:pPr>
        <w:pStyle w:val="56"/>
        <w:spacing w:line="360" w:lineRule="auto"/>
        <w:ind w:firstLine="420"/>
      </w:pPr>
      <w:r>
        <w:rPr>
          <w:rFonts w:hint="eastAsia"/>
        </w:rPr>
        <w:t>g）失访率；</w:t>
      </w:r>
    </w:p>
    <w:p w14:paraId="71C1EB30">
      <w:pPr>
        <w:pStyle w:val="56"/>
        <w:spacing w:line="360" w:lineRule="auto"/>
        <w:ind w:firstLine="420"/>
      </w:pPr>
      <w:r>
        <w:rPr>
          <w:rFonts w:hint="eastAsia"/>
        </w:rPr>
        <w:t>h）早诊早治相关指标。</w:t>
      </w:r>
    </w:p>
    <w:p w14:paraId="40092631">
      <w:pPr>
        <w:pStyle w:val="164"/>
        <w:spacing w:line="360" w:lineRule="auto"/>
      </w:pPr>
      <w:r>
        <w:rPr>
          <w:rFonts w:hint="eastAsia"/>
        </w:rPr>
        <w:t>统计分析结果应作为质量评价和持续改进依据。</w:t>
      </w:r>
    </w:p>
    <w:p w14:paraId="1CBC01F5">
      <w:pPr>
        <w:pStyle w:val="105"/>
        <w:spacing w:before="120" w:after="120" w:line="360" w:lineRule="auto"/>
      </w:pPr>
      <w:r>
        <w:rPr>
          <w:rFonts w:hint="eastAsia"/>
        </w:rPr>
        <w:t>信息安全与隐私保护要求</w:t>
      </w:r>
    </w:p>
    <w:p w14:paraId="5357243D">
      <w:pPr>
        <w:pStyle w:val="65"/>
        <w:spacing w:before="120" w:after="120" w:line="360" w:lineRule="auto"/>
      </w:pPr>
      <w:r>
        <w:rPr>
          <w:rFonts w:hint="eastAsia"/>
        </w:rPr>
        <w:t>一般要求</w:t>
      </w:r>
    </w:p>
    <w:p w14:paraId="5A861016">
      <w:pPr>
        <w:pStyle w:val="164"/>
        <w:spacing w:line="360" w:lineRule="auto"/>
      </w:pPr>
      <w:r>
        <w:rPr>
          <w:rFonts w:hint="eastAsia"/>
        </w:rPr>
        <w:t>癌症筛查信息管理应符合信息安全和隐私保护要求。</w:t>
      </w:r>
    </w:p>
    <w:p w14:paraId="572129EE">
      <w:pPr>
        <w:pStyle w:val="164"/>
        <w:spacing w:line="360" w:lineRule="auto"/>
      </w:pPr>
      <w:r>
        <w:rPr>
          <w:rFonts w:hint="eastAsia"/>
        </w:rPr>
        <w:t>对对象身份信息、健康信息、筛查结果、转诊结果和随访结果，应实施分类保护。</w:t>
      </w:r>
    </w:p>
    <w:p w14:paraId="2EA0B27A">
      <w:pPr>
        <w:pStyle w:val="164"/>
        <w:spacing w:line="360" w:lineRule="auto"/>
      </w:pPr>
      <w:r>
        <w:rPr>
          <w:rFonts w:hint="eastAsia"/>
        </w:rPr>
        <w:t>未经授权，不得查询、导出、复制、传播或者向无关人员披露筛查信息。</w:t>
      </w:r>
    </w:p>
    <w:p w14:paraId="1FF04A7E">
      <w:pPr>
        <w:pStyle w:val="65"/>
        <w:spacing w:before="120" w:after="120" w:line="360" w:lineRule="auto"/>
      </w:pPr>
      <w:r>
        <w:rPr>
          <w:rFonts w:hint="eastAsia"/>
        </w:rPr>
        <w:t>权限管理要求</w:t>
      </w:r>
    </w:p>
    <w:p w14:paraId="5AED4AE3">
      <w:pPr>
        <w:pStyle w:val="164"/>
        <w:spacing w:line="360" w:lineRule="auto"/>
      </w:pPr>
      <w:r>
        <w:rPr>
          <w:rFonts w:hint="eastAsia"/>
        </w:rPr>
        <w:t>信息系统应按岗位设置权限。</w:t>
      </w:r>
    </w:p>
    <w:p w14:paraId="3D8DB945">
      <w:pPr>
        <w:pStyle w:val="164"/>
        <w:spacing w:line="360" w:lineRule="auto"/>
      </w:pPr>
      <w:r>
        <w:rPr>
          <w:rFonts w:hint="eastAsia"/>
        </w:rPr>
        <w:t>不同岗位人员应仅获取履职所必需的信息范围。</w:t>
      </w:r>
    </w:p>
    <w:p w14:paraId="61749CFE">
      <w:pPr>
        <w:pStyle w:val="164"/>
        <w:spacing w:line="360" w:lineRule="auto"/>
      </w:pPr>
      <w:r>
        <w:rPr>
          <w:rFonts w:hint="eastAsia"/>
        </w:rPr>
        <w:t>账号共用、越权查询和越权导出行为应纳入重点管理。</w:t>
      </w:r>
    </w:p>
    <w:p w14:paraId="0F25A436">
      <w:pPr>
        <w:pStyle w:val="65"/>
        <w:spacing w:before="120" w:after="120" w:line="360" w:lineRule="auto"/>
      </w:pPr>
      <w:r>
        <w:rPr>
          <w:rFonts w:hint="eastAsia"/>
        </w:rPr>
        <w:t>安全留痕要求</w:t>
      </w:r>
    </w:p>
    <w:p w14:paraId="146D15DB">
      <w:pPr>
        <w:pStyle w:val="164"/>
        <w:spacing w:line="360" w:lineRule="auto"/>
      </w:pPr>
      <w:r>
        <w:rPr>
          <w:rFonts w:hint="eastAsia"/>
        </w:rPr>
        <w:t>信息系统应保留录入、修改、查询、导出和删除等操作痕迹。</w:t>
      </w:r>
    </w:p>
    <w:p w14:paraId="7BFFDBF8">
      <w:pPr>
        <w:pStyle w:val="164"/>
        <w:spacing w:line="360" w:lineRule="auto"/>
      </w:pPr>
      <w:r>
        <w:rPr>
          <w:rFonts w:hint="eastAsia"/>
        </w:rPr>
        <w:t>发现信息泄露、异常访问或者异常导出时，应及时处置并形成记录。</w:t>
      </w:r>
    </w:p>
    <w:p w14:paraId="13B22F46">
      <w:pPr>
        <w:pStyle w:val="105"/>
        <w:spacing w:before="120" w:after="120" w:line="360" w:lineRule="auto"/>
      </w:pPr>
      <w:r>
        <w:rPr>
          <w:rFonts w:hint="eastAsia"/>
        </w:rPr>
        <w:t>转诊随访与信息管理要点</w:t>
      </w:r>
    </w:p>
    <w:p w14:paraId="79C8BC44">
      <w:pPr>
        <w:pStyle w:val="56"/>
        <w:spacing w:line="360" w:lineRule="auto"/>
        <w:ind w:firstLine="420"/>
      </w:pPr>
      <w:r>
        <w:rPr>
          <w:rFonts w:hint="eastAsia"/>
        </w:rPr>
        <w:t>转诊随访与信息管理的主要内容见表5。表5给出了癌症早期筛查转诊随访与信息管理的主要内容及控制要点。</w:t>
      </w:r>
    </w:p>
    <w:p w14:paraId="513C06A3">
      <w:pPr>
        <w:pStyle w:val="112"/>
        <w:spacing w:before="120" w:after="120" w:line="360" w:lineRule="auto"/>
      </w:pPr>
      <w:r>
        <w:rPr>
          <w:rFonts w:hint="eastAsia"/>
        </w:rPr>
        <w:t>表癌症早期筛查转诊随访与信息管理要点表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4536"/>
        <w:gridCol w:w="3248"/>
      </w:tblGrid>
      <w:tr w14:paraId="40E079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tcPr>
          <w:p w14:paraId="505B45AA">
            <w:pPr>
              <w:pStyle w:val="178"/>
            </w:pPr>
            <w:r>
              <w:rPr>
                <w:rFonts w:hint="eastAsia"/>
              </w:rPr>
              <w:t>工作类别</w:t>
            </w:r>
          </w:p>
        </w:tc>
        <w:tc>
          <w:tcPr>
            <w:tcW w:w="4536" w:type="dxa"/>
            <w:tcBorders>
              <w:top w:val="single" w:color="auto" w:sz="8" w:space="0"/>
              <w:bottom w:val="single" w:color="auto" w:sz="8" w:space="0"/>
            </w:tcBorders>
          </w:tcPr>
          <w:p w14:paraId="588C5CCE">
            <w:pPr>
              <w:pStyle w:val="178"/>
            </w:pPr>
            <w:r>
              <w:rPr>
                <w:rFonts w:hint="eastAsia"/>
              </w:rPr>
              <w:t>主要内容</w:t>
            </w:r>
          </w:p>
        </w:tc>
        <w:tc>
          <w:tcPr>
            <w:tcW w:w="3248" w:type="dxa"/>
            <w:tcBorders>
              <w:top w:val="single" w:color="auto" w:sz="8" w:space="0"/>
              <w:bottom w:val="single" w:color="auto" w:sz="8" w:space="0"/>
            </w:tcBorders>
          </w:tcPr>
          <w:p w14:paraId="1BD120B5">
            <w:pPr>
              <w:pStyle w:val="178"/>
            </w:pPr>
            <w:r>
              <w:rPr>
                <w:rFonts w:hint="eastAsia"/>
              </w:rPr>
              <w:t>控制要点</w:t>
            </w:r>
          </w:p>
        </w:tc>
      </w:tr>
      <w:tr w14:paraId="1256FB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tcPr>
          <w:p w14:paraId="7E9D257F">
            <w:pPr>
              <w:pStyle w:val="178"/>
            </w:pPr>
            <w:r>
              <w:rPr>
                <w:rFonts w:hint="eastAsia"/>
              </w:rPr>
              <w:t>转诊管理</w:t>
            </w:r>
          </w:p>
        </w:tc>
        <w:tc>
          <w:tcPr>
            <w:tcW w:w="4536" w:type="dxa"/>
            <w:tcBorders>
              <w:top w:val="single" w:color="auto" w:sz="8" w:space="0"/>
            </w:tcBorders>
          </w:tcPr>
          <w:p w14:paraId="6DB4803B">
            <w:pPr>
              <w:pStyle w:val="178"/>
            </w:pPr>
            <w:r>
              <w:rPr>
                <w:rFonts w:hint="eastAsia"/>
              </w:rPr>
              <w:t>转诊建议、转诊资料、转诊路径、转诊记录</w:t>
            </w:r>
          </w:p>
        </w:tc>
        <w:tc>
          <w:tcPr>
            <w:tcW w:w="3248" w:type="dxa"/>
            <w:tcBorders>
              <w:top w:val="single" w:color="auto" w:sz="8" w:space="0"/>
            </w:tcBorders>
          </w:tcPr>
          <w:p w14:paraId="40A84474">
            <w:pPr>
              <w:pStyle w:val="178"/>
            </w:pPr>
            <w:r>
              <w:rPr>
                <w:rFonts w:hint="eastAsia"/>
              </w:rPr>
              <w:t>阳性和可疑对象应纳入正式转诊管理</w:t>
            </w:r>
          </w:p>
        </w:tc>
      </w:tr>
      <w:tr w14:paraId="6DB8BA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DEAAEB7">
            <w:pPr>
              <w:pStyle w:val="178"/>
            </w:pPr>
            <w:r>
              <w:rPr>
                <w:rFonts w:hint="eastAsia"/>
              </w:rPr>
              <w:t>转诊跟踪</w:t>
            </w:r>
          </w:p>
        </w:tc>
        <w:tc>
          <w:tcPr>
            <w:tcW w:w="4536" w:type="dxa"/>
          </w:tcPr>
          <w:p w14:paraId="1F3D7FC5">
            <w:pPr>
              <w:pStyle w:val="178"/>
            </w:pPr>
            <w:r>
              <w:rPr>
                <w:rFonts w:hint="eastAsia"/>
              </w:rPr>
              <w:t>到诊、检查、诊断、未到诊原因</w:t>
            </w:r>
          </w:p>
        </w:tc>
        <w:tc>
          <w:tcPr>
            <w:tcW w:w="3248" w:type="dxa"/>
          </w:tcPr>
          <w:p w14:paraId="155B6184">
            <w:pPr>
              <w:pStyle w:val="178"/>
            </w:pPr>
            <w:r>
              <w:rPr>
                <w:rFonts w:hint="eastAsia"/>
              </w:rPr>
              <w:t>转诊后应持续跟踪，不得只开转诊单</w:t>
            </w:r>
          </w:p>
        </w:tc>
      </w:tr>
      <w:tr w14:paraId="16B827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62CD2287">
            <w:pPr>
              <w:pStyle w:val="178"/>
            </w:pPr>
            <w:r>
              <w:rPr>
                <w:rFonts w:hint="eastAsia"/>
              </w:rPr>
              <w:t>随访管理</w:t>
            </w:r>
          </w:p>
        </w:tc>
        <w:tc>
          <w:tcPr>
            <w:tcW w:w="4536" w:type="dxa"/>
          </w:tcPr>
          <w:p w14:paraId="72B27EC4">
            <w:pPr>
              <w:pStyle w:val="178"/>
            </w:pPr>
            <w:r>
              <w:rPr>
                <w:rFonts w:hint="eastAsia"/>
              </w:rPr>
              <w:t>结果随访、转诊随访、复查随访、结局随访</w:t>
            </w:r>
          </w:p>
        </w:tc>
        <w:tc>
          <w:tcPr>
            <w:tcW w:w="3248" w:type="dxa"/>
          </w:tcPr>
          <w:p w14:paraId="44B60A5B">
            <w:pPr>
              <w:pStyle w:val="178"/>
            </w:pPr>
            <w:r>
              <w:rPr>
                <w:rFonts w:hint="eastAsia"/>
              </w:rPr>
              <w:t>分层管理，重点对象优先随访</w:t>
            </w:r>
          </w:p>
        </w:tc>
      </w:tr>
      <w:tr w14:paraId="07324B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31C820BE">
            <w:pPr>
              <w:pStyle w:val="178"/>
            </w:pPr>
            <w:r>
              <w:rPr>
                <w:rFonts w:hint="eastAsia"/>
              </w:rPr>
              <w:t>失访管理</w:t>
            </w:r>
          </w:p>
        </w:tc>
        <w:tc>
          <w:tcPr>
            <w:tcW w:w="4536" w:type="dxa"/>
          </w:tcPr>
          <w:p w14:paraId="659CF136">
            <w:pPr>
              <w:pStyle w:val="178"/>
            </w:pPr>
            <w:r>
              <w:rPr>
                <w:rFonts w:hint="eastAsia"/>
              </w:rPr>
              <w:t>失访登记、原因记录、多渠道联系</w:t>
            </w:r>
          </w:p>
        </w:tc>
        <w:tc>
          <w:tcPr>
            <w:tcW w:w="3248" w:type="dxa"/>
          </w:tcPr>
          <w:p w14:paraId="50DE9CCD">
            <w:pPr>
              <w:pStyle w:val="178"/>
            </w:pPr>
            <w:r>
              <w:rPr>
                <w:rFonts w:hint="eastAsia"/>
              </w:rPr>
              <w:t>高风险失访对象应重点追踪</w:t>
            </w:r>
          </w:p>
        </w:tc>
      </w:tr>
      <w:tr w14:paraId="5282CC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F92BD75">
            <w:pPr>
              <w:pStyle w:val="178"/>
            </w:pPr>
            <w:r>
              <w:rPr>
                <w:rFonts w:hint="eastAsia"/>
              </w:rPr>
              <w:t>信息录入</w:t>
            </w:r>
          </w:p>
        </w:tc>
        <w:tc>
          <w:tcPr>
            <w:tcW w:w="4536" w:type="dxa"/>
          </w:tcPr>
          <w:p w14:paraId="2B7AFE02">
            <w:pPr>
              <w:pStyle w:val="178"/>
            </w:pPr>
            <w:r>
              <w:rPr>
                <w:rFonts w:hint="eastAsia"/>
              </w:rPr>
              <w:t>基本信息、结果、转诊、随访、结局</w:t>
            </w:r>
          </w:p>
        </w:tc>
        <w:tc>
          <w:tcPr>
            <w:tcW w:w="3248" w:type="dxa"/>
          </w:tcPr>
          <w:p w14:paraId="286F57AA">
            <w:pPr>
              <w:pStyle w:val="178"/>
            </w:pPr>
            <w:r>
              <w:rPr>
                <w:rFonts w:hint="eastAsia"/>
              </w:rPr>
              <w:t>真实完整，关键信息应复核</w:t>
            </w:r>
          </w:p>
        </w:tc>
      </w:tr>
      <w:tr w14:paraId="545BE8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EE97039">
            <w:pPr>
              <w:pStyle w:val="178"/>
            </w:pPr>
            <w:r>
              <w:rPr>
                <w:rFonts w:hint="eastAsia"/>
              </w:rPr>
              <w:t>数据审核</w:t>
            </w:r>
          </w:p>
        </w:tc>
        <w:tc>
          <w:tcPr>
            <w:tcW w:w="4536" w:type="dxa"/>
          </w:tcPr>
          <w:p w14:paraId="5C8339DC">
            <w:pPr>
              <w:pStyle w:val="178"/>
            </w:pPr>
            <w:r>
              <w:rPr>
                <w:rFonts w:hint="eastAsia"/>
              </w:rPr>
              <w:t>完整性、逻辑性、一致性</w:t>
            </w:r>
          </w:p>
        </w:tc>
        <w:tc>
          <w:tcPr>
            <w:tcW w:w="3248" w:type="dxa"/>
          </w:tcPr>
          <w:p w14:paraId="314F9034">
            <w:pPr>
              <w:pStyle w:val="178"/>
            </w:pPr>
            <w:r>
              <w:rPr>
                <w:rFonts w:hint="eastAsia"/>
              </w:rPr>
              <w:t>审核不通过不得进入正式统计</w:t>
            </w:r>
          </w:p>
        </w:tc>
      </w:tr>
      <w:tr w14:paraId="28D1D9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64E87133">
            <w:pPr>
              <w:pStyle w:val="178"/>
            </w:pPr>
            <w:r>
              <w:rPr>
                <w:rFonts w:hint="eastAsia"/>
              </w:rPr>
              <w:t>统计分析</w:t>
            </w:r>
          </w:p>
        </w:tc>
        <w:tc>
          <w:tcPr>
            <w:tcW w:w="4536" w:type="dxa"/>
          </w:tcPr>
          <w:p w14:paraId="444BAEF5">
            <w:pPr>
              <w:pStyle w:val="178"/>
            </w:pPr>
            <w:r>
              <w:rPr>
                <w:rFonts w:hint="eastAsia"/>
              </w:rPr>
              <w:t>覆盖率、阳性率、转诊率、随访率等</w:t>
            </w:r>
          </w:p>
        </w:tc>
        <w:tc>
          <w:tcPr>
            <w:tcW w:w="3248" w:type="dxa"/>
          </w:tcPr>
          <w:p w14:paraId="2683C964">
            <w:pPr>
              <w:pStyle w:val="178"/>
            </w:pPr>
            <w:r>
              <w:rPr>
                <w:rFonts w:hint="eastAsia"/>
              </w:rPr>
              <w:t>应定期分析并用于改进</w:t>
            </w:r>
          </w:p>
        </w:tc>
      </w:tr>
      <w:tr w14:paraId="67C68D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159B34C1">
            <w:pPr>
              <w:pStyle w:val="178"/>
            </w:pPr>
            <w:r>
              <w:rPr>
                <w:rFonts w:hint="eastAsia"/>
              </w:rPr>
              <w:t>信息安全</w:t>
            </w:r>
          </w:p>
        </w:tc>
        <w:tc>
          <w:tcPr>
            <w:tcW w:w="4536" w:type="dxa"/>
          </w:tcPr>
          <w:p w14:paraId="7E4384B6">
            <w:pPr>
              <w:pStyle w:val="178"/>
            </w:pPr>
            <w:r>
              <w:rPr>
                <w:rFonts w:hint="eastAsia"/>
              </w:rPr>
              <w:t>权限、保密、留痕、异常处置</w:t>
            </w:r>
          </w:p>
        </w:tc>
        <w:tc>
          <w:tcPr>
            <w:tcW w:w="3248" w:type="dxa"/>
          </w:tcPr>
          <w:p w14:paraId="7F472795">
            <w:pPr>
              <w:pStyle w:val="178"/>
            </w:pPr>
            <w:r>
              <w:rPr>
                <w:rFonts w:hint="eastAsia"/>
              </w:rPr>
              <w:t>信息受控，不得越权使用</w:t>
            </w:r>
          </w:p>
        </w:tc>
      </w:tr>
    </w:tbl>
    <w:p w14:paraId="79E4396F">
      <w:pPr>
        <w:pStyle w:val="105"/>
        <w:spacing w:before="120" w:after="120" w:line="360" w:lineRule="auto"/>
      </w:pPr>
      <w:r>
        <w:rPr>
          <w:rFonts w:hint="eastAsia"/>
        </w:rPr>
        <w:t>禁止性要求</w:t>
      </w:r>
    </w:p>
    <w:p w14:paraId="1519BDA7">
      <w:pPr>
        <w:pStyle w:val="165"/>
        <w:spacing w:line="360" w:lineRule="auto"/>
      </w:pPr>
      <w:r>
        <w:rPr>
          <w:rFonts w:hint="eastAsia"/>
        </w:rPr>
        <w:t>不得对阳性对象和高度可疑对象仅作结果告知而不纳入正式转诊管理。</w:t>
      </w:r>
    </w:p>
    <w:p w14:paraId="255AFD0A">
      <w:pPr>
        <w:pStyle w:val="165"/>
        <w:spacing w:line="360" w:lineRule="auto"/>
      </w:pPr>
      <w:r>
        <w:rPr>
          <w:rFonts w:hint="eastAsia"/>
        </w:rPr>
        <w:t>不得对转诊对象不跟踪、不提醒和不记录结局。</w:t>
      </w:r>
    </w:p>
    <w:p w14:paraId="51527555">
      <w:pPr>
        <w:pStyle w:val="165"/>
        <w:spacing w:line="360" w:lineRule="auto"/>
      </w:pPr>
      <w:r>
        <w:rPr>
          <w:rFonts w:hint="eastAsia"/>
        </w:rPr>
        <w:t>不得将随访工作简化为一次联系而无结果记录和后续安排。</w:t>
      </w:r>
    </w:p>
    <w:p w14:paraId="44A5E1B7">
      <w:pPr>
        <w:pStyle w:val="165"/>
        <w:spacing w:line="360" w:lineRule="auto"/>
      </w:pPr>
      <w:r>
        <w:rPr>
          <w:rFonts w:hint="eastAsia"/>
        </w:rPr>
        <w:t>不得在信息录入不完整、逻辑不一致和数据审核未完成的情况下开展正式统计分析。</w:t>
      </w:r>
    </w:p>
    <w:p w14:paraId="2E681EC0">
      <w:pPr>
        <w:pStyle w:val="165"/>
        <w:spacing w:line="360" w:lineRule="auto"/>
      </w:pPr>
      <w:r>
        <w:rPr>
          <w:rFonts w:hint="eastAsia"/>
        </w:rPr>
        <w:t>不得泄露筛查对象隐私信息、筛查结果和转诊随访信息。</w:t>
      </w:r>
    </w:p>
    <w:p w14:paraId="4EB8B75B">
      <w:pPr>
        <w:pStyle w:val="104"/>
        <w:spacing w:before="240" w:after="240" w:line="360" w:lineRule="auto"/>
      </w:pPr>
      <w:bookmarkStart w:id="57" w:name="_Toc228614112"/>
      <w:r>
        <w:rPr>
          <w:rFonts w:hint="eastAsia"/>
        </w:rPr>
        <w:t>质量评价与持续改进要求</w:t>
      </w:r>
      <w:bookmarkEnd w:id="57"/>
    </w:p>
    <w:p w14:paraId="521E98F0">
      <w:pPr>
        <w:pStyle w:val="105"/>
        <w:spacing w:before="120" w:after="120" w:line="360" w:lineRule="auto"/>
      </w:pPr>
      <w:r>
        <w:rPr>
          <w:rFonts w:hint="eastAsia"/>
        </w:rPr>
        <w:t>一般要求</w:t>
      </w:r>
    </w:p>
    <w:p w14:paraId="35184BAE">
      <w:pPr>
        <w:pStyle w:val="165"/>
        <w:spacing w:line="360" w:lineRule="auto"/>
      </w:pPr>
      <w:r>
        <w:rPr>
          <w:rFonts w:hint="eastAsia"/>
        </w:rPr>
        <w:t>本文件实施过程中，应建立癌症早期筛查质量评价与持续改进机制。</w:t>
      </w:r>
    </w:p>
    <w:p w14:paraId="5096E5A4">
      <w:pPr>
        <w:pStyle w:val="165"/>
        <w:spacing w:line="360" w:lineRule="auto"/>
      </w:pPr>
      <w:r>
        <w:rPr>
          <w:rFonts w:hint="eastAsia"/>
        </w:rPr>
        <w:t>质量评价应覆盖筛查组织、对象管理、流程控制、检查检测、结果判定、报告管理、转诊管理、随访管理、信息管理和安全管理等全过程。</w:t>
      </w:r>
    </w:p>
    <w:p w14:paraId="0E0113D9">
      <w:pPr>
        <w:pStyle w:val="165"/>
        <w:spacing w:line="360" w:lineRule="auto"/>
      </w:pPr>
      <w:r>
        <w:rPr>
          <w:rFonts w:hint="eastAsia"/>
        </w:rPr>
        <w:t>持续改进应坚持问题导向、结果导向、风险导向和闭环导向原则。</w:t>
      </w:r>
    </w:p>
    <w:p w14:paraId="27646EFE">
      <w:pPr>
        <w:pStyle w:val="165"/>
        <w:spacing w:line="360" w:lineRule="auto"/>
      </w:pPr>
      <w:r>
        <w:rPr>
          <w:rFonts w:hint="eastAsia"/>
        </w:rPr>
        <w:t>质量评价不得流于形式，不得仅停留在数据汇总和报表报送层面，应能够真实反映筛查工作规范性、完整性、有效性和可持续性。</w:t>
      </w:r>
    </w:p>
    <w:p w14:paraId="3056CA78">
      <w:pPr>
        <w:pStyle w:val="165"/>
        <w:spacing w:line="360" w:lineRule="auto"/>
      </w:pPr>
      <w:r>
        <w:rPr>
          <w:rFonts w:hint="eastAsia"/>
        </w:rPr>
        <w:t>对重点癌种筛查项目、大规模筛查项目、多机构联合筛查项目和高风险人群筛查项目，应提高质量评价频次和质量改进要求。</w:t>
      </w:r>
    </w:p>
    <w:p w14:paraId="589503F6">
      <w:pPr>
        <w:pStyle w:val="105"/>
        <w:spacing w:before="120" w:after="120" w:line="360" w:lineRule="auto"/>
      </w:pPr>
      <w:r>
        <w:rPr>
          <w:rFonts w:hint="eastAsia"/>
        </w:rPr>
        <w:t>质量评价组织要求</w:t>
      </w:r>
    </w:p>
    <w:p w14:paraId="41A0A3C3">
      <w:pPr>
        <w:pStyle w:val="65"/>
        <w:spacing w:before="120" w:after="120" w:line="360" w:lineRule="auto"/>
      </w:pPr>
      <w:r>
        <w:rPr>
          <w:rFonts w:hint="eastAsia"/>
        </w:rPr>
        <w:t>一般要求</w:t>
      </w:r>
    </w:p>
    <w:p w14:paraId="73843609">
      <w:pPr>
        <w:pStyle w:val="164"/>
        <w:spacing w:line="360" w:lineRule="auto"/>
      </w:pPr>
      <w:r>
        <w:rPr>
          <w:rFonts w:hint="eastAsia"/>
        </w:rPr>
        <w:t>开展筛查工作的机构应建立质量评价组织机制。</w:t>
      </w:r>
    </w:p>
    <w:p w14:paraId="29B62904">
      <w:pPr>
        <w:pStyle w:val="164"/>
        <w:spacing w:line="360" w:lineRule="auto"/>
      </w:pPr>
      <w:r>
        <w:rPr>
          <w:rFonts w:hint="eastAsia"/>
        </w:rPr>
        <w:t>质量评价可由机构内部质控组织实施，也可根据项目需要邀请上级机构、专科机构或者第三方技术机构参与。</w:t>
      </w:r>
    </w:p>
    <w:p w14:paraId="3E24CBC7">
      <w:pPr>
        <w:pStyle w:val="164"/>
        <w:spacing w:line="360" w:lineRule="auto"/>
      </w:pPr>
      <w:r>
        <w:rPr>
          <w:rFonts w:hint="eastAsia"/>
        </w:rPr>
        <w:t>质量评价组织应保持相对独立，不得由单一执行岗位自行评价本岗位全部工作质量而无复核机制。</w:t>
      </w:r>
    </w:p>
    <w:p w14:paraId="36954347">
      <w:pPr>
        <w:pStyle w:val="65"/>
        <w:spacing w:before="120" w:after="120" w:line="360" w:lineRule="auto"/>
      </w:pPr>
      <w:r>
        <w:rPr>
          <w:rFonts w:hint="eastAsia"/>
        </w:rPr>
        <w:t>职责要求</w:t>
      </w:r>
    </w:p>
    <w:p w14:paraId="78B64A19">
      <w:pPr>
        <w:pStyle w:val="164"/>
        <w:spacing w:line="360" w:lineRule="auto"/>
      </w:pPr>
      <w:r>
        <w:rPr>
          <w:rFonts w:hint="eastAsia"/>
        </w:rPr>
        <w:t>质量评价组织宜至少承担下列职责：</w:t>
      </w:r>
    </w:p>
    <w:p w14:paraId="07653BD4">
      <w:pPr>
        <w:pStyle w:val="56"/>
        <w:spacing w:line="360" w:lineRule="auto"/>
        <w:ind w:firstLine="420"/>
      </w:pPr>
      <w:r>
        <w:rPr>
          <w:rFonts w:hint="eastAsia"/>
        </w:rPr>
        <w:t>a）制定年度或者阶段性质控评价计划；</w:t>
      </w:r>
    </w:p>
    <w:p w14:paraId="51B4F6ED">
      <w:pPr>
        <w:pStyle w:val="56"/>
        <w:spacing w:line="360" w:lineRule="auto"/>
        <w:ind w:firstLine="420"/>
      </w:pPr>
      <w:r>
        <w:rPr>
          <w:rFonts w:hint="eastAsia"/>
        </w:rPr>
        <w:t>b）确定评价指标、评价方法和评价频次；</w:t>
      </w:r>
    </w:p>
    <w:p w14:paraId="2671C3CE">
      <w:pPr>
        <w:pStyle w:val="56"/>
        <w:spacing w:line="360" w:lineRule="auto"/>
        <w:ind w:firstLine="420"/>
      </w:pPr>
      <w:r>
        <w:rPr>
          <w:rFonts w:hint="eastAsia"/>
        </w:rPr>
        <w:t>c）组织现场检查、资料抽查和数据核查；</w:t>
      </w:r>
    </w:p>
    <w:p w14:paraId="75718A47">
      <w:pPr>
        <w:pStyle w:val="56"/>
        <w:spacing w:line="360" w:lineRule="auto"/>
        <w:ind w:firstLine="420"/>
      </w:pPr>
      <w:r>
        <w:rPr>
          <w:rFonts w:hint="eastAsia"/>
        </w:rPr>
        <w:t>d）分析质量问题和薄弱环节；</w:t>
      </w:r>
    </w:p>
    <w:p w14:paraId="1FD2BAD5">
      <w:pPr>
        <w:pStyle w:val="56"/>
        <w:spacing w:line="360" w:lineRule="auto"/>
        <w:ind w:firstLine="420"/>
      </w:pPr>
      <w:r>
        <w:rPr>
          <w:rFonts w:hint="eastAsia"/>
        </w:rPr>
        <w:t>e）提出整改要求和改进建议；</w:t>
      </w:r>
    </w:p>
    <w:p w14:paraId="72564CBA">
      <w:pPr>
        <w:pStyle w:val="56"/>
        <w:spacing w:line="360" w:lineRule="auto"/>
        <w:ind w:firstLine="420"/>
      </w:pPr>
      <w:r>
        <w:rPr>
          <w:rFonts w:hint="eastAsia"/>
        </w:rPr>
        <w:t>f）跟踪整改落实和复核结果；</w:t>
      </w:r>
    </w:p>
    <w:p w14:paraId="7FD30D78">
      <w:pPr>
        <w:pStyle w:val="56"/>
        <w:spacing w:line="360" w:lineRule="auto"/>
        <w:ind w:firstLine="420"/>
      </w:pPr>
      <w:r>
        <w:rPr>
          <w:rFonts w:hint="eastAsia"/>
        </w:rPr>
        <w:t>g）形成质量评价报告。</w:t>
      </w:r>
    </w:p>
    <w:p w14:paraId="708C55F4">
      <w:pPr>
        <w:pStyle w:val="164"/>
        <w:spacing w:line="360" w:lineRule="auto"/>
      </w:pPr>
      <w:r>
        <w:rPr>
          <w:rFonts w:hint="eastAsia"/>
        </w:rPr>
        <w:t>多机构协同项目的质量评价职责分工应事先明确，不得出现评价责任缺位或者重复评价但无人整改的情形。</w:t>
      </w:r>
    </w:p>
    <w:p w14:paraId="7C5A473D">
      <w:pPr>
        <w:pStyle w:val="105"/>
        <w:spacing w:before="120" w:after="120" w:line="360" w:lineRule="auto"/>
      </w:pPr>
      <w:r>
        <w:rPr>
          <w:rFonts w:hint="eastAsia"/>
        </w:rPr>
        <w:t>质量评价内容要求</w:t>
      </w:r>
    </w:p>
    <w:p w14:paraId="382883B3">
      <w:pPr>
        <w:pStyle w:val="65"/>
        <w:spacing w:before="120" w:after="120" w:line="360" w:lineRule="auto"/>
      </w:pPr>
      <w:r>
        <w:rPr>
          <w:rFonts w:hint="eastAsia"/>
        </w:rPr>
        <w:t>一般要求</w:t>
      </w:r>
    </w:p>
    <w:p w14:paraId="1B1DFC62">
      <w:pPr>
        <w:pStyle w:val="164"/>
        <w:spacing w:line="360" w:lineRule="auto"/>
      </w:pPr>
      <w:r>
        <w:rPr>
          <w:rFonts w:hint="eastAsia"/>
        </w:rPr>
        <w:t>质量评价应围绕筛查全过程关键节点开展。</w:t>
      </w:r>
    </w:p>
    <w:p w14:paraId="75D0097F">
      <w:pPr>
        <w:pStyle w:val="164"/>
        <w:spacing w:line="360" w:lineRule="auto"/>
      </w:pPr>
      <w:r>
        <w:rPr>
          <w:rFonts w:hint="eastAsia"/>
        </w:rPr>
        <w:t>质量评价宜兼顾结构质量、过程质量和结果质量。</w:t>
      </w:r>
    </w:p>
    <w:p w14:paraId="02A70E6D">
      <w:pPr>
        <w:pStyle w:val="65"/>
        <w:spacing w:before="120" w:after="120" w:line="360" w:lineRule="auto"/>
      </w:pPr>
      <w:r>
        <w:rPr>
          <w:rFonts w:hint="eastAsia"/>
        </w:rPr>
        <w:t>结构质量评价要求</w:t>
      </w:r>
    </w:p>
    <w:p w14:paraId="201E9154">
      <w:pPr>
        <w:pStyle w:val="56"/>
        <w:spacing w:line="360" w:lineRule="auto"/>
        <w:ind w:firstLine="420"/>
      </w:pPr>
      <w:r>
        <w:rPr>
          <w:rFonts w:hint="eastAsia"/>
        </w:rPr>
        <w:t>结构质量评价宜至少包括下列内容：</w:t>
      </w:r>
    </w:p>
    <w:p w14:paraId="2C4F0A60">
      <w:pPr>
        <w:pStyle w:val="56"/>
        <w:spacing w:line="360" w:lineRule="auto"/>
        <w:ind w:firstLine="420"/>
      </w:pPr>
      <w:r>
        <w:rPr>
          <w:rFonts w:hint="eastAsia"/>
        </w:rPr>
        <w:t>a）组织体系是否健全；</w:t>
      </w:r>
    </w:p>
    <w:p w14:paraId="6F4DD39F">
      <w:pPr>
        <w:pStyle w:val="56"/>
        <w:spacing w:line="360" w:lineRule="auto"/>
        <w:ind w:firstLine="420"/>
      </w:pPr>
      <w:r>
        <w:rPr>
          <w:rFonts w:hint="eastAsia"/>
        </w:rPr>
        <w:t>b）岗位设置是否合理；</w:t>
      </w:r>
    </w:p>
    <w:p w14:paraId="17BC774C">
      <w:pPr>
        <w:pStyle w:val="56"/>
        <w:spacing w:line="360" w:lineRule="auto"/>
        <w:ind w:firstLine="420"/>
      </w:pPr>
      <w:r>
        <w:rPr>
          <w:rFonts w:hint="eastAsia"/>
        </w:rPr>
        <w:t>c）人员配置是否满足要求；</w:t>
      </w:r>
    </w:p>
    <w:p w14:paraId="34394DE4">
      <w:pPr>
        <w:pStyle w:val="56"/>
        <w:spacing w:line="360" w:lineRule="auto"/>
        <w:ind w:firstLine="420"/>
      </w:pPr>
      <w:r>
        <w:rPr>
          <w:rFonts w:hint="eastAsia"/>
        </w:rPr>
        <w:t>d）培训制度是否落实；</w:t>
      </w:r>
    </w:p>
    <w:p w14:paraId="156DEEE9">
      <w:pPr>
        <w:pStyle w:val="56"/>
        <w:spacing w:line="360" w:lineRule="auto"/>
        <w:ind w:firstLine="420"/>
      </w:pPr>
      <w:r>
        <w:rPr>
          <w:rFonts w:hint="eastAsia"/>
        </w:rPr>
        <w:t>e）场地条件是否符合要求；</w:t>
      </w:r>
    </w:p>
    <w:p w14:paraId="35731445">
      <w:pPr>
        <w:pStyle w:val="56"/>
        <w:spacing w:line="360" w:lineRule="auto"/>
        <w:ind w:firstLine="420"/>
      </w:pPr>
      <w:r>
        <w:rPr>
          <w:rFonts w:hint="eastAsia"/>
        </w:rPr>
        <w:t>f）设备和试剂管理是否受控；</w:t>
      </w:r>
    </w:p>
    <w:p w14:paraId="1ADD7AAD">
      <w:pPr>
        <w:pStyle w:val="56"/>
        <w:spacing w:line="360" w:lineRule="auto"/>
        <w:ind w:firstLine="420"/>
      </w:pPr>
      <w:r>
        <w:rPr>
          <w:rFonts w:hint="eastAsia"/>
        </w:rPr>
        <w:t>g）信息系统是否可用；</w:t>
      </w:r>
    </w:p>
    <w:p w14:paraId="30501164">
      <w:pPr>
        <w:pStyle w:val="56"/>
        <w:spacing w:line="360" w:lineRule="auto"/>
        <w:ind w:firstLine="420"/>
      </w:pPr>
      <w:r>
        <w:rPr>
          <w:rFonts w:hint="eastAsia"/>
        </w:rPr>
        <w:t>h）转诊协作机制是否建立。</w:t>
      </w:r>
    </w:p>
    <w:p w14:paraId="4C70478E">
      <w:pPr>
        <w:pStyle w:val="65"/>
        <w:spacing w:before="120" w:after="120" w:line="360" w:lineRule="auto"/>
      </w:pPr>
      <w:r>
        <w:rPr>
          <w:rFonts w:hint="eastAsia"/>
        </w:rPr>
        <w:t>过程质量评价要求</w:t>
      </w:r>
    </w:p>
    <w:p w14:paraId="6C5A3C78">
      <w:pPr>
        <w:pStyle w:val="56"/>
        <w:spacing w:line="360" w:lineRule="auto"/>
        <w:ind w:firstLine="420"/>
      </w:pPr>
      <w:r>
        <w:rPr>
          <w:rFonts w:hint="eastAsia"/>
        </w:rPr>
        <w:t>过程质量评价宜至少包括下列内容：</w:t>
      </w:r>
    </w:p>
    <w:p w14:paraId="14E83F64">
      <w:pPr>
        <w:pStyle w:val="56"/>
        <w:spacing w:line="360" w:lineRule="auto"/>
        <w:ind w:firstLine="420"/>
      </w:pPr>
      <w:r>
        <w:rPr>
          <w:rFonts w:hint="eastAsia"/>
        </w:rPr>
        <w:t>a）对象识别是否准确；</w:t>
      </w:r>
    </w:p>
    <w:p w14:paraId="2CD4A9A9">
      <w:pPr>
        <w:pStyle w:val="56"/>
        <w:spacing w:line="360" w:lineRule="auto"/>
        <w:ind w:firstLine="420"/>
      </w:pPr>
      <w:r>
        <w:rPr>
          <w:rFonts w:hint="eastAsia"/>
        </w:rPr>
        <w:t>b）风险评估是否规范；</w:t>
      </w:r>
    </w:p>
    <w:p w14:paraId="757D730F">
      <w:pPr>
        <w:pStyle w:val="56"/>
        <w:spacing w:line="360" w:lineRule="auto"/>
        <w:ind w:firstLine="420"/>
      </w:pPr>
      <w:r>
        <w:rPr>
          <w:rFonts w:hint="eastAsia"/>
        </w:rPr>
        <w:t>c）知情告知是否完整；</w:t>
      </w:r>
    </w:p>
    <w:p w14:paraId="68B40F44">
      <w:pPr>
        <w:pStyle w:val="56"/>
        <w:spacing w:line="360" w:lineRule="auto"/>
        <w:ind w:firstLine="420"/>
      </w:pPr>
      <w:r>
        <w:rPr>
          <w:rFonts w:hint="eastAsia"/>
        </w:rPr>
        <w:t>d）预约登记和身份核验是否规范；</w:t>
      </w:r>
    </w:p>
    <w:p w14:paraId="5EBA979E">
      <w:pPr>
        <w:pStyle w:val="56"/>
        <w:spacing w:line="360" w:lineRule="auto"/>
        <w:ind w:firstLine="420"/>
      </w:pPr>
      <w:r>
        <w:rPr>
          <w:rFonts w:hint="eastAsia"/>
        </w:rPr>
        <w:t>e）检查检测过程是否符合操作要求；</w:t>
      </w:r>
    </w:p>
    <w:p w14:paraId="3757622A">
      <w:pPr>
        <w:pStyle w:val="56"/>
        <w:spacing w:line="360" w:lineRule="auto"/>
        <w:ind w:firstLine="420"/>
      </w:pPr>
      <w:r>
        <w:rPr>
          <w:rFonts w:hint="eastAsia"/>
        </w:rPr>
        <w:t>f）结果判定和复核是否规范；</w:t>
      </w:r>
    </w:p>
    <w:p w14:paraId="2E5DAFF6">
      <w:pPr>
        <w:pStyle w:val="56"/>
        <w:spacing w:line="360" w:lineRule="auto"/>
        <w:ind w:firstLine="420"/>
      </w:pPr>
      <w:r>
        <w:rPr>
          <w:rFonts w:hint="eastAsia"/>
        </w:rPr>
        <w:t>g）报告反馈是否及时；</w:t>
      </w:r>
    </w:p>
    <w:p w14:paraId="5B344DE0">
      <w:pPr>
        <w:pStyle w:val="56"/>
        <w:spacing w:line="360" w:lineRule="auto"/>
        <w:ind w:firstLine="420"/>
      </w:pPr>
      <w:r>
        <w:rPr>
          <w:rFonts w:hint="eastAsia"/>
        </w:rPr>
        <w:t>h）转诊管理是否衔接到位；</w:t>
      </w:r>
    </w:p>
    <w:p w14:paraId="009C7E98">
      <w:pPr>
        <w:pStyle w:val="56"/>
        <w:spacing w:line="360" w:lineRule="auto"/>
        <w:ind w:firstLine="420"/>
      </w:pPr>
      <w:r>
        <w:rPr>
          <w:rFonts w:hint="eastAsia"/>
        </w:rPr>
        <w:t>i）随访管理是否连续；</w:t>
      </w:r>
    </w:p>
    <w:p w14:paraId="0274FEA3">
      <w:pPr>
        <w:pStyle w:val="56"/>
        <w:spacing w:line="360" w:lineRule="auto"/>
        <w:ind w:firstLine="420"/>
      </w:pPr>
      <w:r>
        <w:rPr>
          <w:rFonts w:hint="eastAsia"/>
        </w:rPr>
        <w:t>j）异常情况和不良事件处置是否规范。</w:t>
      </w:r>
    </w:p>
    <w:p w14:paraId="4B5AB3BD">
      <w:pPr>
        <w:pStyle w:val="65"/>
        <w:spacing w:before="120" w:after="120" w:line="360" w:lineRule="auto"/>
      </w:pPr>
      <w:r>
        <w:rPr>
          <w:rFonts w:hint="eastAsia"/>
        </w:rPr>
        <w:t>结果质量评价要求</w:t>
      </w:r>
    </w:p>
    <w:p w14:paraId="458429F2">
      <w:pPr>
        <w:pStyle w:val="164"/>
        <w:spacing w:line="360" w:lineRule="auto"/>
      </w:pPr>
      <w:r>
        <w:rPr>
          <w:rFonts w:hint="eastAsia"/>
        </w:rPr>
        <w:t>结果质量评价宜至少包括下列内容：</w:t>
      </w:r>
    </w:p>
    <w:p w14:paraId="018CFEC4">
      <w:pPr>
        <w:pStyle w:val="56"/>
        <w:spacing w:line="360" w:lineRule="auto"/>
        <w:ind w:firstLine="420"/>
      </w:pPr>
      <w:r>
        <w:rPr>
          <w:rFonts w:hint="eastAsia"/>
        </w:rPr>
        <w:t>a）筛查覆盖率；</w:t>
      </w:r>
    </w:p>
    <w:p w14:paraId="19164833">
      <w:pPr>
        <w:pStyle w:val="56"/>
        <w:spacing w:line="360" w:lineRule="auto"/>
        <w:ind w:firstLine="420"/>
      </w:pPr>
      <w:r>
        <w:rPr>
          <w:rFonts w:hint="eastAsia"/>
        </w:rPr>
        <w:t>b）筛查完成率；</w:t>
      </w:r>
    </w:p>
    <w:p w14:paraId="06DC7957">
      <w:pPr>
        <w:pStyle w:val="56"/>
        <w:spacing w:line="360" w:lineRule="auto"/>
        <w:ind w:firstLine="420"/>
      </w:pPr>
      <w:r>
        <w:rPr>
          <w:rFonts w:hint="eastAsia"/>
        </w:rPr>
        <w:t>c）阳性检出率；</w:t>
      </w:r>
    </w:p>
    <w:p w14:paraId="5327AF0C">
      <w:pPr>
        <w:pStyle w:val="56"/>
        <w:spacing w:line="360" w:lineRule="auto"/>
        <w:ind w:firstLine="420"/>
      </w:pPr>
      <w:r>
        <w:rPr>
          <w:rFonts w:hint="eastAsia"/>
        </w:rPr>
        <w:t>d）异常结果复核率；</w:t>
      </w:r>
    </w:p>
    <w:p w14:paraId="3473368A">
      <w:pPr>
        <w:pStyle w:val="56"/>
        <w:spacing w:line="360" w:lineRule="auto"/>
        <w:ind w:firstLine="420"/>
      </w:pPr>
      <w:r>
        <w:rPr>
          <w:rFonts w:hint="eastAsia"/>
        </w:rPr>
        <w:t>e）阳性对象转诊率；</w:t>
      </w:r>
    </w:p>
    <w:p w14:paraId="43001FC1">
      <w:pPr>
        <w:pStyle w:val="56"/>
        <w:spacing w:line="360" w:lineRule="auto"/>
        <w:ind w:firstLine="420"/>
      </w:pPr>
      <w:r>
        <w:rPr>
          <w:rFonts w:hint="eastAsia"/>
        </w:rPr>
        <w:t>f）转诊到诊率；</w:t>
      </w:r>
    </w:p>
    <w:p w14:paraId="76CEFDDC">
      <w:pPr>
        <w:pStyle w:val="56"/>
        <w:spacing w:line="360" w:lineRule="auto"/>
        <w:ind w:firstLine="420"/>
      </w:pPr>
      <w:r>
        <w:rPr>
          <w:rFonts w:hint="eastAsia"/>
        </w:rPr>
        <w:t>g）随访完成率；</w:t>
      </w:r>
    </w:p>
    <w:p w14:paraId="7DEDDD73">
      <w:pPr>
        <w:pStyle w:val="56"/>
        <w:spacing w:line="360" w:lineRule="auto"/>
        <w:ind w:firstLine="420"/>
      </w:pPr>
      <w:r>
        <w:rPr>
          <w:rFonts w:hint="eastAsia"/>
        </w:rPr>
        <w:t>h）失访率；</w:t>
      </w:r>
    </w:p>
    <w:p w14:paraId="295580C9">
      <w:pPr>
        <w:pStyle w:val="56"/>
        <w:spacing w:line="360" w:lineRule="auto"/>
        <w:ind w:firstLine="420"/>
      </w:pPr>
      <w:r>
        <w:rPr>
          <w:rFonts w:hint="eastAsia"/>
        </w:rPr>
        <w:t>i）报告差错率；</w:t>
      </w:r>
    </w:p>
    <w:p w14:paraId="02AF0AEE">
      <w:pPr>
        <w:pStyle w:val="56"/>
        <w:spacing w:line="360" w:lineRule="auto"/>
        <w:ind w:firstLine="420"/>
      </w:pPr>
      <w:r>
        <w:rPr>
          <w:rFonts w:hint="eastAsia"/>
        </w:rPr>
        <w:t>j）早诊早治相关指标。</w:t>
      </w:r>
    </w:p>
    <w:p w14:paraId="74C0731A">
      <w:pPr>
        <w:pStyle w:val="164"/>
        <w:spacing w:line="360" w:lineRule="auto"/>
      </w:pPr>
      <w:r>
        <w:rPr>
          <w:rFonts w:hint="eastAsia"/>
        </w:rPr>
        <w:t>结果质量评价应结合癌种特征、项目属性和人群特点综合判断，不得脱离适用场景简单横向比较。</w:t>
      </w:r>
    </w:p>
    <w:p w14:paraId="3D0F79DB">
      <w:pPr>
        <w:pStyle w:val="105"/>
        <w:spacing w:before="120" w:after="120" w:line="360" w:lineRule="auto"/>
      </w:pPr>
      <w:r>
        <w:rPr>
          <w:rFonts w:hint="eastAsia"/>
        </w:rPr>
        <w:t>质量评价方式要求</w:t>
      </w:r>
    </w:p>
    <w:p w14:paraId="7D00A83A">
      <w:pPr>
        <w:pStyle w:val="65"/>
        <w:spacing w:before="120" w:after="120" w:line="360" w:lineRule="auto"/>
      </w:pPr>
      <w:r>
        <w:rPr>
          <w:rFonts w:hint="eastAsia"/>
        </w:rPr>
        <w:t>一般要求</w:t>
      </w:r>
    </w:p>
    <w:p w14:paraId="229CB1D5">
      <w:pPr>
        <w:pStyle w:val="164"/>
        <w:spacing w:line="360" w:lineRule="auto"/>
      </w:pPr>
      <w:r>
        <w:rPr>
          <w:rFonts w:hint="eastAsia"/>
        </w:rPr>
        <w:t>质量评价可采用日常监测、专项检查、定期抽查、病例追踪、数据分析、现场督导和质控复评等方式实施。</w:t>
      </w:r>
    </w:p>
    <w:p w14:paraId="082B7876">
      <w:pPr>
        <w:pStyle w:val="164"/>
        <w:spacing w:line="360" w:lineRule="auto"/>
      </w:pPr>
      <w:r>
        <w:rPr>
          <w:rFonts w:hint="eastAsia"/>
        </w:rPr>
        <w:t>质量评价应做到平时监测与集中评价相结合、数据分析与现场核查相结合、问题发现与整改督办相结合。</w:t>
      </w:r>
    </w:p>
    <w:p w14:paraId="0318003F">
      <w:pPr>
        <w:pStyle w:val="65"/>
        <w:spacing w:before="120" w:after="120" w:line="360" w:lineRule="auto"/>
      </w:pPr>
      <w:r>
        <w:rPr>
          <w:rFonts w:hint="eastAsia"/>
        </w:rPr>
        <w:t>日常监测要求</w:t>
      </w:r>
    </w:p>
    <w:p w14:paraId="609DDDBC">
      <w:pPr>
        <w:pStyle w:val="164"/>
        <w:spacing w:line="360" w:lineRule="auto"/>
      </w:pPr>
      <w:r>
        <w:rPr>
          <w:rFonts w:hint="eastAsia"/>
        </w:rPr>
        <w:t>筛查机构应开展日常质量监测。</w:t>
      </w:r>
    </w:p>
    <w:p w14:paraId="5DA204BC">
      <w:pPr>
        <w:pStyle w:val="164"/>
        <w:spacing w:line="360" w:lineRule="auto"/>
      </w:pPr>
      <w:r>
        <w:rPr>
          <w:rFonts w:hint="eastAsia"/>
        </w:rPr>
        <w:t>日常质量监测宜重点关注下列内容：</w:t>
      </w:r>
    </w:p>
    <w:p w14:paraId="4C131460">
      <w:pPr>
        <w:pStyle w:val="56"/>
        <w:spacing w:line="360" w:lineRule="auto"/>
        <w:ind w:firstLine="420"/>
      </w:pPr>
      <w:r>
        <w:rPr>
          <w:rFonts w:hint="eastAsia"/>
        </w:rPr>
        <w:t>a）筛查对象登记完整性；</w:t>
      </w:r>
    </w:p>
    <w:p w14:paraId="130175ED">
      <w:pPr>
        <w:pStyle w:val="56"/>
        <w:spacing w:line="360" w:lineRule="auto"/>
        <w:ind w:firstLine="420"/>
      </w:pPr>
      <w:r>
        <w:rPr>
          <w:rFonts w:hint="eastAsia"/>
        </w:rPr>
        <w:t>b）检查检测完成率；</w:t>
      </w:r>
    </w:p>
    <w:p w14:paraId="3A15D0C7">
      <w:pPr>
        <w:pStyle w:val="56"/>
        <w:spacing w:line="360" w:lineRule="auto"/>
        <w:ind w:firstLine="420"/>
      </w:pPr>
      <w:r>
        <w:rPr>
          <w:rFonts w:hint="eastAsia"/>
        </w:rPr>
        <w:t>c）报告出具及时性；</w:t>
      </w:r>
    </w:p>
    <w:p w14:paraId="71F7274D">
      <w:pPr>
        <w:pStyle w:val="56"/>
        <w:spacing w:line="360" w:lineRule="auto"/>
        <w:ind w:firstLine="420"/>
      </w:pPr>
      <w:r>
        <w:rPr>
          <w:rFonts w:hint="eastAsia"/>
        </w:rPr>
        <w:t>d）异常对象转诊状态；</w:t>
      </w:r>
    </w:p>
    <w:p w14:paraId="31AB99FA">
      <w:pPr>
        <w:pStyle w:val="56"/>
        <w:spacing w:line="360" w:lineRule="auto"/>
        <w:ind w:firstLine="420"/>
      </w:pPr>
      <w:r>
        <w:rPr>
          <w:rFonts w:hint="eastAsia"/>
        </w:rPr>
        <w:t>e）随访进度；</w:t>
      </w:r>
    </w:p>
    <w:p w14:paraId="1F3EDFF8">
      <w:pPr>
        <w:pStyle w:val="56"/>
        <w:spacing w:line="360" w:lineRule="auto"/>
        <w:ind w:firstLine="420"/>
      </w:pPr>
      <w:r>
        <w:rPr>
          <w:rFonts w:hint="eastAsia"/>
        </w:rPr>
        <w:t>f）信息录入及时性；</w:t>
      </w:r>
    </w:p>
    <w:p w14:paraId="4A22DFE5">
      <w:pPr>
        <w:pStyle w:val="56"/>
        <w:spacing w:line="360" w:lineRule="auto"/>
        <w:ind w:firstLine="420"/>
      </w:pPr>
      <w:r>
        <w:rPr>
          <w:rFonts w:hint="eastAsia"/>
        </w:rPr>
        <w:t>g）设备与试剂状态；</w:t>
      </w:r>
    </w:p>
    <w:p w14:paraId="30115F57">
      <w:pPr>
        <w:pStyle w:val="56"/>
        <w:spacing w:line="360" w:lineRule="auto"/>
        <w:ind w:firstLine="420"/>
      </w:pPr>
      <w:r>
        <w:rPr>
          <w:rFonts w:hint="eastAsia"/>
        </w:rPr>
        <w:t>h）异常事件发生情况。</w:t>
      </w:r>
    </w:p>
    <w:p w14:paraId="3C48DD3C">
      <w:pPr>
        <w:pStyle w:val="65"/>
        <w:spacing w:before="120" w:after="120" w:line="360" w:lineRule="auto"/>
      </w:pPr>
      <w:r>
        <w:rPr>
          <w:rFonts w:hint="eastAsia"/>
        </w:rPr>
        <w:t>专项检查要求</w:t>
      </w:r>
    </w:p>
    <w:p w14:paraId="31F58F0E">
      <w:pPr>
        <w:pStyle w:val="56"/>
        <w:spacing w:line="360" w:lineRule="auto"/>
        <w:ind w:firstLine="420"/>
      </w:pPr>
      <w:r>
        <w:rPr>
          <w:rFonts w:hint="eastAsia"/>
        </w:rPr>
        <w:t>出现下列情形之一时，宜组织专项检查：</w:t>
      </w:r>
    </w:p>
    <w:p w14:paraId="398F72F2">
      <w:pPr>
        <w:pStyle w:val="56"/>
        <w:spacing w:line="360" w:lineRule="auto"/>
        <w:ind w:firstLine="420"/>
      </w:pPr>
      <w:r>
        <w:rPr>
          <w:rFonts w:hint="eastAsia"/>
        </w:rPr>
        <w:t>a）阳性检出率异常波动；</w:t>
      </w:r>
    </w:p>
    <w:p w14:paraId="4F3985F4">
      <w:pPr>
        <w:pStyle w:val="56"/>
        <w:spacing w:line="360" w:lineRule="auto"/>
        <w:ind w:firstLine="420"/>
      </w:pPr>
      <w:r>
        <w:rPr>
          <w:rFonts w:hint="eastAsia"/>
        </w:rPr>
        <w:t>b）转诊率明显偏低；</w:t>
      </w:r>
    </w:p>
    <w:p w14:paraId="6CD4CBE3">
      <w:pPr>
        <w:pStyle w:val="56"/>
        <w:spacing w:line="360" w:lineRule="auto"/>
        <w:ind w:firstLine="420"/>
      </w:pPr>
      <w:r>
        <w:rPr>
          <w:rFonts w:hint="eastAsia"/>
        </w:rPr>
        <w:t>c）失访率明显偏高；</w:t>
      </w:r>
    </w:p>
    <w:p w14:paraId="3A9EB309">
      <w:pPr>
        <w:pStyle w:val="56"/>
        <w:spacing w:line="360" w:lineRule="auto"/>
        <w:ind w:firstLine="420"/>
      </w:pPr>
      <w:r>
        <w:rPr>
          <w:rFonts w:hint="eastAsia"/>
        </w:rPr>
        <w:t>d）报告差错反复发生；</w:t>
      </w:r>
    </w:p>
    <w:p w14:paraId="75472593">
      <w:pPr>
        <w:pStyle w:val="56"/>
        <w:spacing w:line="360" w:lineRule="auto"/>
        <w:ind w:firstLine="420"/>
      </w:pPr>
      <w:r>
        <w:rPr>
          <w:rFonts w:hint="eastAsia"/>
        </w:rPr>
        <w:t>e）样本差错或者判读差错集中出现；</w:t>
      </w:r>
    </w:p>
    <w:p w14:paraId="45797947">
      <w:pPr>
        <w:pStyle w:val="56"/>
        <w:spacing w:line="360" w:lineRule="auto"/>
        <w:ind w:firstLine="420"/>
      </w:pPr>
      <w:r>
        <w:rPr>
          <w:rFonts w:hint="eastAsia"/>
        </w:rPr>
        <w:t>f）信息系统异常或者数据质量异常；</w:t>
      </w:r>
    </w:p>
    <w:p w14:paraId="602E82D1">
      <w:pPr>
        <w:pStyle w:val="56"/>
        <w:spacing w:line="360" w:lineRule="auto"/>
        <w:ind w:firstLine="420"/>
      </w:pPr>
      <w:r>
        <w:rPr>
          <w:rFonts w:hint="eastAsia"/>
        </w:rPr>
        <w:t>g）筛查对象投诉集中；</w:t>
      </w:r>
    </w:p>
    <w:p w14:paraId="598F0D70">
      <w:pPr>
        <w:pStyle w:val="56"/>
        <w:spacing w:line="360" w:lineRule="auto"/>
        <w:ind w:firstLine="420"/>
      </w:pPr>
      <w:r>
        <w:rPr>
          <w:rFonts w:hint="eastAsia"/>
        </w:rPr>
        <w:t>h）上级主管部门提出专项要求。</w:t>
      </w:r>
    </w:p>
    <w:p w14:paraId="5C8DB4A3">
      <w:pPr>
        <w:pStyle w:val="105"/>
        <w:spacing w:before="120" w:after="120" w:line="360" w:lineRule="auto"/>
      </w:pPr>
      <w:r>
        <w:rPr>
          <w:rFonts w:hint="eastAsia"/>
        </w:rPr>
        <w:t>质量指标管理要求</w:t>
      </w:r>
    </w:p>
    <w:p w14:paraId="7C793499">
      <w:pPr>
        <w:pStyle w:val="65"/>
        <w:spacing w:before="120" w:after="120" w:line="360" w:lineRule="auto"/>
      </w:pPr>
      <w:r>
        <w:rPr>
          <w:rFonts w:hint="eastAsia"/>
        </w:rPr>
        <w:t>一般要求</w:t>
      </w:r>
    </w:p>
    <w:p w14:paraId="4F69B863">
      <w:pPr>
        <w:pStyle w:val="164"/>
        <w:spacing w:line="360" w:lineRule="auto"/>
      </w:pPr>
      <w:r>
        <w:rPr>
          <w:rFonts w:hint="eastAsia"/>
        </w:rPr>
        <w:t>本文件实施过程中，应建立质量指标管理制度。</w:t>
      </w:r>
    </w:p>
    <w:p w14:paraId="426934D7">
      <w:pPr>
        <w:pStyle w:val="164"/>
        <w:spacing w:line="360" w:lineRule="auto"/>
      </w:pPr>
      <w:r>
        <w:rPr>
          <w:rFonts w:hint="eastAsia"/>
        </w:rPr>
        <w:t>质量指标应与筛查目标、筛查癌种、筛查路径和管理重点相适应。</w:t>
      </w:r>
    </w:p>
    <w:p w14:paraId="46537F40">
      <w:pPr>
        <w:pStyle w:val="164"/>
        <w:spacing w:line="360" w:lineRule="auto"/>
      </w:pPr>
      <w:r>
        <w:rPr>
          <w:rFonts w:hint="eastAsia"/>
        </w:rPr>
        <w:t>质量指标应具有可统计性、可比较性、可解释性和可改进性。</w:t>
      </w:r>
    </w:p>
    <w:p w14:paraId="65601BBD">
      <w:pPr>
        <w:pStyle w:val="65"/>
        <w:spacing w:before="120" w:after="120" w:line="360" w:lineRule="auto"/>
      </w:pPr>
      <w:r>
        <w:rPr>
          <w:rFonts w:hint="eastAsia"/>
        </w:rPr>
        <w:t>指标设置要求</w:t>
      </w:r>
    </w:p>
    <w:p w14:paraId="4B81DB50">
      <w:pPr>
        <w:pStyle w:val="164"/>
        <w:spacing w:line="360" w:lineRule="auto"/>
      </w:pPr>
      <w:r>
        <w:rPr>
          <w:rFonts w:hint="eastAsia"/>
        </w:rPr>
        <w:t>质量指标宜至少包括下列类别：</w:t>
      </w:r>
    </w:p>
    <w:p w14:paraId="2EE466D6">
      <w:pPr>
        <w:pStyle w:val="56"/>
        <w:spacing w:line="360" w:lineRule="auto"/>
        <w:ind w:firstLine="420"/>
      </w:pPr>
      <w:r>
        <w:rPr>
          <w:rFonts w:hint="eastAsia"/>
        </w:rPr>
        <w:t>a）覆盖类指标；</w:t>
      </w:r>
    </w:p>
    <w:p w14:paraId="0B49EB59">
      <w:pPr>
        <w:pStyle w:val="56"/>
        <w:spacing w:line="360" w:lineRule="auto"/>
        <w:ind w:firstLine="420"/>
      </w:pPr>
      <w:r>
        <w:rPr>
          <w:rFonts w:hint="eastAsia"/>
        </w:rPr>
        <w:t>b）过程类指标；</w:t>
      </w:r>
    </w:p>
    <w:p w14:paraId="2DD67360">
      <w:pPr>
        <w:pStyle w:val="56"/>
        <w:spacing w:line="360" w:lineRule="auto"/>
        <w:ind w:firstLine="420"/>
      </w:pPr>
      <w:r>
        <w:rPr>
          <w:rFonts w:hint="eastAsia"/>
        </w:rPr>
        <w:t>c）结果类指标；</w:t>
      </w:r>
    </w:p>
    <w:p w14:paraId="1714ECA4">
      <w:pPr>
        <w:pStyle w:val="56"/>
        <w:spacing w:line="360" w:lineRule="auto"/>
        <w:ind w:firstLine="420"/>
      </w:pPr>
      <w:r>
        <w:rPr>
          <w:rFonts w:hint="eastAsia"/>
        </w:rPr>
        <w:t>d）转诊类指标；</w:t>
      </w:r>
    </w:p>
    <w:p w14:paraId="18C6FCFD">
      <w:pPr>
        <w:pStyle w:val="56"/>
        <w:spacing w:line="360" w:lineRule="auto"/>
        <w:ind w:firstLine="420"/>
      </w:pPr>
      <w:r>
        <w:rPr>
          <w:rFonts w:hint="eastAsia"/>
        </w:rPr>
        <w:t>e）随访类指标；</w:t>
      </w:r>
    </w:p>
    <w:p w14:paraId="24E42C3C">
      <w:pPr>
        <w:pStyle w:val="56"/>
        <w:spacing w:line="360" w:lineRule="auto"/>
        <w:ind w:firstLine="420"/>
      </w:pPr>
      <w:r>
        <w:rPr>
          <w:rFonts w:hint="eastAsia"/>
        </w:rPr>
        <w:t>f）安全类指标；</w:t>
      </w:r>
    </w:p>
    <w:p w14:paraId="6081C7B8">
      <w:pPr>
        <w:pStyle w:val="56"/>
        <w:spacing w:line="360" w:lineRule="auto"/>
        <w:ind w:firstLine="420"/>
      </w:pPr>
      <w:r>
        <w:rPr>
          <w:rFonts w:hint="eastAsia"/>
        </w:rPr>
        <w:t>g）信息质量类指标；</w:t>
      </w:r>
    </w:p>
    <w:p w14:paraId="2F1BC669">
      <w:pPr>
        <w:pStyle w:val="56"/>
        <w:spacing w:line="360" w:lineRule="auto"/>
        <w:ind w:firstLine="420"/>
      </w:pPr>
      <w:r>
        <w:rPr>
          <w:rFonts w:hint="eastAsia"/>
        </w:rPr>
        <w:t>h）整改类指标。</w:t>
      </w:r>
    </w:p>
    <w:p w14:paraId="69A997FC">
      <w:pPr>
        <w:pStyle w:val="164"/>
        <w:spacing w:line="360" w:lineRule="auto"/>
      </w:pPr>
      <w:r>
        <w:rPr>
          <w:rFonts w:hint="eastAsia"/>
        </w:rPr>
        <w:t>不同癌种筛查项目可根据技术特点增加专项指标。</w:t>
      </w:r>
    </w:p>
    <w:p w14:paraId="57D32D12">
      <w:pPr>
        <w:pStyle w:val="65"/>
        <w:spacing w:before="120" w:after="120" w:line="360" w:lineRule="auto"/>
      </w:pPr>
      <w:r>
        <w:rPr>
          <w:rFonts w:hint="eastAsia"/>
        </w:rPr>
        <w:t>指标应用要求</w:t>
      </w:r>
    </w:p>
    <w:p w14:paraId="2E7C6CD1">
      <w:pPr>
        <w:pStyle w:val="164"/>
        <w:spacing w:line="360" w:lineRule="auto"/>
      </w:pPr>
      <w:r>
        <w:rPr>
          <w:rFonts w:hint="eastAsia"/>
        </w:rPr>
        <w:t>质量指标应作为质量分析、问题发现、考核评价和持续改进的重要依据。</w:t>
      </w:r>
    </w:p>
    <w:p w14:paraId="76864D13">
      <w:pPr>
        <w:pStyle w:val="164"/>
        <w:spacing w:line="360" w:lineRule="auto"/>
      </w:pPr>
      <w:r>
        <w:rPr>
          <w:rFonts w:hint="eastAsia"/>
        </w:rPr>
        <w:t>对连续偏离预期水平、长期处于不良状态或者明显异于同类项目的指标，应开展专项分析。</w:t>
      </w:r>
    </w:p>
    <w:p w14:paraId="3365CB36">
      <w:pPr>
        <w:pStyle w:val="105"/>
        <w:spacing w:before="120" w:after="120" w:line="360" w:lineRule="auto"/>
      </w:pPr>
      <w:r>
        <w:rPr>
          <w:rFonts w:hint="eastAsia"/>
        </w:rPr>
        <w:t>问题整改要求</w:t>
      </w:r>
    </w:p>
    <w:p w14:paraId="6F2C9767">
      <w:pPr>
        <w:pStyle w:val="65"/>
        <w:spacing w:before="120" w:after="120" w:line="360" w:lineRule="auto"/>
      </w:pPr>
      <w:r>
        <w:rPr>
          <w:rFonts w:hint="eastAsia"/>
        </w:rPr>
        <w:t>一般要求</w:t>
      </w:r>
    </w:p>
    <w:p w14:paraId="0AF4ED00">
      <w:pPr>
        <w:pStyle w:val="164"/>
        <w:spacing w:line="360" w:lineRule="auto"/>
      </w:pPr>
      <w:r>
        <w:rPr>
          <w:rFonts w:hint="eastAsia"/>
        </w:rPr>
        <w:t>质量评价发现的问题应纳入整改管理。</w:t>
      </w:r>
    </w:p>
    <w:p w14:paraId="0F536FFD">
      <w:pPr>
        <w:pStyle w:val="164"/>
        <w:spacing w:line="360" w:lineRule="auto"/>
      </w:pPr>
      <w:r>
        <w:rPr>
          <w:rFonts w:hint="eastAsia"/>
        </w:rPr>
        <w:t>问题整改应坚持“谁负责、谁整改，谁整改、谁复核”的原则。</w:t>
      </w:r>
    </w:p>
    <w:p w14:paraId="759A7118">
      <w:pPr>
        <w:pStyle w:val="164"/>
        <w:spacing w:line="360" w:lineRule="auto"/>
      </w:pPr>
      <w:r>
        <w:rPr>
          <w:rFonts w:hint="eastAsia"/>
        </w:rPr>
        <w:t>问题整改应做到可追踪、可核查、可销项。</w:t>
      </w:r>
    </w:p>
    <w:p w14:paraId="1154A209">
      <w:pPr>
        <w:pStyle w:val="65"/>
        <w:spacing w:before="120" w:after="120" w:line="360" w:lineRule="auto"/>
      </w:pPr>
      <w:r>
        <w:rPr>
          <w:rFonts w:hint="eastAsia"/>
        </w:rPr>
        <w:t>整改程序要求</w:t>
      </w:r>
    </w:p>
    <w:p w14:paraId="7CBC80AA">
      <w:pPr>
        <w:pStyle w:val="164"/>
        <w:spacing w:line="360" w:lineRule="auto"/>
      </w:pPr>
      <w:r>
        <w:rPr>
          <w:rFonts w:hint="eastAsia"/>
        </w:rPr>
        <w:t>问题整改宜按下列程序实施：</w:t>
      </w:r>
    </w:p>
    <w:p w14:paraId="1C3A2B3A">
      <w:pPr>
        <w:pStyle w:val="56"/>
        <w:spacing w:line="360" w:lineRule="auto"/>
        <w:ind w:firstLine="420"/>
      </w:pPr>
      <w:r>
        <w:rPr>
          <w:rFonts w:hint="eastAsia"/>
        </w:rPr>
        <w:t>a）问题发现；</w:t>
      </w:r>
    </w:p>
    <w:p w14:paraId="7E991BAB">
      <w:pPr>
        <w:pStyle w:val="56"/>
        <w:spacing w:line="360" w:lineRule="auto"/>
        <w:ind w:firstLine="420"/>
      </w:pPr>
      <w:r>
        <w:rPr>
          <w:rFonts w:hint="eastAsia"/>
        </w:rPr>
        <w:t>b）问题登记；</w:t>
      </w:r>
    </w:p>
    <w:p w14:paraId="52C779E3">
      <w:pPr>
        <w:pStyle w:val="56"/>
        <w:spacing w:line="360" w:lineRule="auto"/>
        <w:ind w:firstLine="420"/>
      </w:pPr>
      <w:r>
        <w:rPr>
          <w:rFonts w:hint="eastAsia"/>
        </w:rPr>
        <w:t>c）原因分析；</w:t>
      </w:r>
    </w:p>
    <w:p w14:paraId="499BE297">
      <w:pPr>
        <w:pStyle w:val="56"/>
        <w:spacing w:line="360" w:lineRule="auto"/>
        <w:ind w:firstLine="420"/>
      </w:pPr>
      <w:r>
        <w:rPr>
          <w:rFonts w:hint="eastAsia"/>
        </w:rPr>
        <w:t>d）整改措施制定；</w:t>
      </w:r>
    </w:p>
    <w:p w14:paraId="7C508E9F">
      <w:pPr>
        <w:pStyle w:val="56"/>
        <w:spacing w:line="360" w:lineRule="auto"/>
        <w:ind w:firstLine="420"/>
      </w:pPr>
      <w:r>
        <w:rPr>
          <w:rFonts w:hint="eastAsia"/>
        </w:rPr>
        <w:t>e）整改落实；</w:t>
      </w:r>
    </w:p>
    <w:p w14:paraId="397C6CD0">
      <w:pPr>
        <w:pStyle w:val="56"/>
        <w:spacing w:line="360" w:lineRule="auto"/>
        <w:ind w:firstLine="420"/>
      </w:pPr>
      <w:r>
        <w:rPr>
          <w:rFonts w:hint="eastAsia"/>
        </w:rPr>
        <w:t>f）整改复核；</w:t>
      </w:r>
    </w:p>
    <w:p w14:paraId="472C74ED">
      <w:pPr>
        <w:pStyle w:val="56"/>
        <w:spacing w:line="360" w:lineRule="auto"/>
        <w:ind w:firstLine="420"/>
      </w:pPr>
      <w:r>
        <w:rPr>
          <w:rFonts w:hint="eastAsia"/>
        </w:rPr>
        <w:t>g）销项归档。</w:t>
      </w:r>
    </w:p>
    <w:p w14:paraId="69E1FCEF">
      <w:pPr>
        <w:pStyle w:val="164"/>
        <w:spacing w:line="360" w:lineRule="auto"/>
      </w:pPr>
      <w:r>
        <w:rPr>
          <w:rFonts w:hint="eastAsia"/>
        </w:rPr>
        <w:t>对影响筛查质量安全、结果准确性、对象权益和信息安全的问题，应优先整改。</w:t>
      </w:r>
    </w:p>
    <w:p w14:paraId="35DAE348">
      <w:pPr>
        <w:pStyle w:val="65"/>
        <w:spacing w:before="120" w:after="120" w:line="360" w:lineRule="auto"/>
      </w:pPr>
      <w:r>
        <w:rPr>
          <w:rFonts w:hint="eastAsia"/>
        </w:rPr>
        <w:t>重复问题管理要求</w:t>
      </w:r>
    </w:p>
    <w:p w14:paraId="306688BD">
      <w:pPr>
        <w:pStyle w:val="164"/>
        <w:spacing w:line="360" w:lineRule="auto"/>
      </w:pPr>
      <w:r>
        <w:rPr>
          <w:rFonts w:hint="eastAsia"/>
        </w:rPr>
        <w:t>对重复发生的问题，应开展根因分析。</w:t>
      </w:r>
    </w:p>
    <w:p w14:paraId="3DF381CA">
      <w:pPr>
        <w:pStyle w:val="164"/>
        <w:spacing w:line="360" w:lineRule="auto"/>
      </w:pPr>
      <w:r>
        <w:rPr>
          <w:rFonts w:hint="eastAsia"/>
        </w:rPr>
        <w:t>对同类问题在多个岗位、多个环节或者多个机构重复发生的，应组织专项整改。</w:t>
      </w:r>
    </w:p>
    <w:p w14:paraId="076863AC">
      <w:pPr>
        <w:pStyle w:val="164"/>
        <w:spacing w:line="360" w:lineRule="auto"/>
      </w:pPr>
      <w:r>
        <w:rPr>
          <w:rFonts w:hint="eastAsia"/>
        </w:rPr>
        <w:t>不得对重复问题仅做表面纠正而不调整制度、流程或者培训机制。</w:t>
      </w:r>
    </w:p>
    <w:p w14:paraId="77080BAC">
      <w:pPr>
        <w:pStyle w:val="105"/>
        <w:spacing w:before="120" w:after="120" w:line="360" w:lineRule="auto"/>
      </w:pPr>
      <w:r>
        <w:rPr>
          <w:rFonts w:hint="eastAsia"/>
        </w:rPr>
        <w:t>持续改进要求</w:t>
      </w:r>
    </w:p>
    <w:p w14:paraId="6B3195ED">
      <w:pPr>
        <w:pStyle w:val="65"/>
        <w:spacing w:before="120" w:after="120" w:line="360" w:lineRule="auto"/>
      </w:pPr>
      <w:r>
        <w:rPr>
          <w:rFonts w:hint="eastAsia"/>
        </w:rPr>
        <w:t>一般要求</w:t>
      </w:r>
    </w:p>
    <w:p w14:paraId="1F422C84">
      <w:pPr>
        <w:pStyle w:val="164"/>
        <w:spacing w:line="360" w:lineRule="auto"/>
      </w:pPr>
      <w:r>
        <w:rPr>
          <w:rFonts w:hint="eastAsia"/>
        </w:rPr>
        <w:t>本文件实施过程中，应建立持续改进机制。</w:t>
      </w:r>
    </w:p>
    <w:p w14:paraId="06ACEE50">
      <w:pPr>
        <w:pStyle w:val="164"/>
        <w:spacing w:line="360" w:lineRule="auto"/>
      </w:pPr>
      <w:r>
        <w:rPr>
          <w:rFonts w:hint="eastAsia"/>
        </w:rPr>
        <w:t>持续改进应以质量评价结果、筛查效果分析、问题整改结果、对象反馈和政策更新情况为依据。</w:t>
      </w:r>
    </w:p>
    <w:p w14:paraId="1612CC33">
      <w:pPr>
        <w:pStyle w:val="164"/>
        <w:spacing w:line="360" w:lineRule="auto"/>
      </w:pPr>
      <w:r>
        <w:rPr>
          <w:rFonts w:hint="eastAsia"/>
        </w:rPr>
        <w:t>持续改进应覆盖组织管理、筛查流程、技术路径、人员培训、设备试剂、信息系统、转诊随访和安全管理等方面。</w:t>
      </w:r>
    </w:p>
    <w:p w14:paraId="61352CA5">
      <w:pPr>
        <w:pStyle w:val="65"/>
        <w:spacing w:before="120" w:after="120" w:line="360" w:lineRule="auto"/>
      </w:pPr>
      <w:r>
        <w:rPr>
          <w:rFonts w:hint="eastAsia"/>
        </w:rPr>
        <w:t>改进内容要求</w:t>
      </w:r>
    </w:p>
    <w:p w14:paraId="750C8FBF">
      <w:pPr>
        <w:pStyle w:val="164"/>
        <w:spacing w:line="360" w:lineRule="auto"/>
      </w:pPr>
      <w:r>
        <w:rPr>
          <w:rFonts w:hint="eastAsia"/>
        </w:rPr>
        <w:t>持续改进宜至少包括下列内容：</w:t>
      </w:r>
    </w:p>
    <w:p w14:paraId="40093C60">
      <w:pPr>
        <w:pStyle w:val="56"/>
        <w:spacing w:line="360" w:lineRule="auto"/>
        <w:ind w:firstLine="420"/>
      </w:pPr>
      <w:r>
        <w:rPr>
          <w:rFonts w:hint="eastAsia"/>
        </w:rPr>
        <w:t>a）优化对象识别规则；</w:t>
      </w:r>
    </w:p>
    <w:p w14:paraId="3D5DF2B0">
      <w:pPr>
        <w:pStyle w:val="56"/>
        <w:spacing w:line="360" w:lineRule="auto"/>
        <w:ind w:firstLine="420"/>
      </w:pPr>
      <w:r>
        <w:rPr>
          <w:rFonts w:hint="eastAsia"/>
        </w:rPr>
        <w:t>b）优化风险评估工具；</w:t>
      </w:r>
    </w:p>
    <w:p w14:paraId="58340C2C">
      <w:pPr>
        <w:pStyle w:val="56"/>
        <w:spacing w:line="360" w:lineRule="auto"/>
        <w:ind w:firstLine="420"/>
      </w:pPr>
      <w:r>
        <w:rPr>
          <w:rFonts w:hint="eastAsia"/>
        </w:rPr>
        <w:t>c）优化筛查流程节点；</w:t>
      </w:r>
    </w:p>
    <w:p w14:paraId="5FC3E3B3">
      <w:pPr>
        <w:pStyle w:val="56"/>
        <w:spacing w:line="360" w:lineRule="auto"/>
        <w:ind w:firstLine="420"/>
      </w:pPr>
      <w:r>
        <w:rPr>
          <w:rFonts w:hint="eastAsia"/>
        </w:rPr>
        <w:t>d）优化判读和复核机制；</w:t>
      </w:r>
    </w:p>
    <w:p w14:paraId="7903438F">
      <w:pPr>
        <w:pStyle w:val="56"/>
        <w:spacing w:line="360" w:lineRule="auto"/>
        <w:ind w:firstLine="420"/>
      </w:pPr>
      <w:r>
        <w:rPr>
          <w:rFonts w:hint="eastAsia"/>
        </w:rPr>
        <w:t>e）优化转诊协作机制；</w:t>
      </w:r>
    </w:p>
    <w:p w14:paraId="0D43B69E">
      <w:pPr>
        <w:pStyle w:val="56"/>
        <w:spacing w:line="360" w:lineRule="auto"/>
        <w:ind w:firstLine="420"/>
      </w:pPr>
      <w:r>
        <w:rPr>
          <w:rFonts w:hint="eastAsia"/>
        </w:rPr>
        <w:t>f）优化随访提醒机制；</w:t>
      </w:r>
    </w:p>
    <w:p w14:paraId="79C19400">
      <w:pPr>
        <w:pStyle w:val="56"/>
        <w:spacing w:line="360" w:lineRule="auto"/>
        <w:ind w:firstLine="420"/>
      </w:pPr>
      <w:r>
        <w:rPr>
          <w:rFonts w:hint="eastAsia"/>
        </w:rPr>
        <w:t>g）提升信息系统支撑能力；</w:t>
      </w:r>
    </w:p>
    <w:p w14:paraId="1257C494">
      <w:pPr>
        <w:pStyle w:val="56"/>
        <w:spacing w:line="360" w:lineRule="auto"/>
        <w:ind w:firstLine="420"/>
      </w:pPr>
      <w:r>
        <w:rPr>
          <w:rFonts w:hint="eastAsia"/>
        </w:rPr>
        <w:t>h）完善隐私保护和信息安全措施；</w:t>
      </w:r>
    </w:p>
    <w:p w14:paraId="4C1D2FEA">
      <w:pPr>
        <w:pStyle w:val="56"/>
        <w:spacing w:line="360" w:lineRule="auto"/>
        <w:ind w:firstLine="420"/>
      </w:pPr>
      <w:r>
        <w:rPr>
          <w:rFonts w:hint="eastAsia"/>
        </w:rPr>
        <w:t>i）加强人员培训和能力评价；</w:t>
      </w:r>
    </w:p>
    <w:p w14:paraId="029F2FF3">
      <w:pPr>
        <w:pStyle w:val="56"/>
        <w:spacing w:line="360" w:lineRule="auto"/>
        <w:ind w:firstLine="420"/>
      </w:pPr>
      <w:r>
        <w:rPr>
          <w:rFonts w:hint="eastAsia"/>
        </w:rPr>
        <w:t>j）完善质量指标体系。</w:t>
      </w:r>
    </w:p>
    <w:p w14:paraId="6E0F15FD">
      <w:pPr>
        <w:pStyle w:val="164"/>
        <w:spacing w:line="360" w:lineRule="auto"/>
      </w:pPr>
      <w:r>
        <w:rPr>
          <w:rFonts w:hint="eastAsia"/>
        </w:rPr>
        <w:t>改进措施实施后，应评估其效果，不得只形成改进方案而不验证落实成效。</w:t>
      </w:r>
    </w:p>
    <w:p w14:paraId="419F14FA">
      <w:pPr>
        <w:pStyle w:val="105"/>
        <w:spacing w:before="120" w:after="120" w:line="360" w:lineRule="auto"/>
      </w:pPr>
      <w:r>
        <w:rPr>
          <w:rFonts w:hint="eastAsia"/>
        </w:rPr>
        <w:t>质量评价与持续改进要点</w:t>
      </w:r>
    </w:p>
    <w:p w14:paraId="569C18B7">
      <w:pPr>
        <w:pStyle w:val="56"/>
        <w:spacing w:line="360" w:lineRule="auto"/>
        <w:ind w:firstLine="420"/>
      </w:pPr>
      <w:r>
        <w:rPr>
          <w:rFonts w:hint="eastAsia"/>
        </w:rPr>
        <w:t>质量评价与持续改进的主要内容见表6。表6给出了癌症早期筛查质量评价与持续改进的主要内容及控制要点。</w:t>
      </w:r>
    </w:p>
    <w:p w14:paraId="0693FA44">
      <w:pPr>
        <w:pStyle w:val="112"/>
        <w:spacing w:before="120" w:after="120" w:line="360" w:lineRule="auto"/>
      </w:pPr>
      <w:r>
        <w:rPr>
          <w:rFonts w:hint="eastAsia"/>
        </w:rPr>
        <w:t>癌症早期筛查质量评价与持续改进要点表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4389"/>
        <w:gridCol w:w="3112"/>
      </w:tblGrid>
      <w:tr w14:paraId="378F33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79D49BE0">
            <w:pPr>
              <w:pStyle w:val="178"/>
            </w:pPr>
            <w:r>
              <w:rPr>
                <w:rFonts w:hint="eastAsia"/>
              </w:rPr>
              <w:t>工作类别</w:t>
            </w:r>
          </w:p>
        </w:tc>
        <w:tc>
          <w:tcPr>
            <w:tcW w:w="4389" w:type="dxa"/>
            <w:tcBorders>
              <w:top w:val="single" w:color="auto" w:sz="8" w:space="0"/>
              <w:bottom w:val="single" w:color="auto" w:sz="8" w:space="0"/>
            </w:tcBorders>
          </w:tcPr>
          <w:p w14:paraId="6C6CEC90">
            <w:pPr>
              <w:pStyle w:val="178"/>
            </w:pPr>
            <w:r>
              <w:rPr>
                <w:rFonts w:hint="eastAsia"/>
              </w:rPr>
              <w:t>主要内容</w:t>
            </w:r>
          </w:p>
        </w:tc>
        <w:tc>
          <w:tcPr>
            <w:tcW w:w="3112" w:type="dxa"/>
            <w:tcBorders>
              <w:top w:val="single" w:color="auto" w:sz="8" w:space="0"/>
              <w:bottom w:val="single" w:color="auto" w:sz="8" w:space="0"/>
            </w:tcBorders>
          </w:tcPr>
          <w:p w14:paraId="29BC4AD2">
            <w:pPr>
              <w:pStyle w:val="178"/>
            </w:pPr>
            <w:r>
              <w:rPr>
                <w:rFonts w:hint="eastAsia"/>
              </w:rPr>
              <w:t>控制要点</w:t>
            </w:r>
          </w:p>
        </w:tc>
      </w:tr>
      <w:tr w14:paraId="11D069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tcPr>
          <w:p w14:paraId="0BB8A8B3">
            <w:pPr>
              <w:pStyle w:val="178"/>
            </w:pPr>
            <w:r>
              <w:rPr>
                <w:rFonts w:hint="eastAsia"/>
              </w:rPr>
              <w:t>质量评价组织</w:t>
            </w:r>
          </w:p>
        </w:tc>
        <w:tc>
          <w:tcPr>
            <w:tcW w:w="4389" w:type="dxa"/>
            <w:tcBorders>
              <w:top w:val="single" w:color="auto" w:sz="8" w:space="0"/>
            </w:tcBorders>
          </w:tcPr>
          <w:p w14:paraId="462C88A9">
            <w:pPr>
              <w:pStyle w:val="178"/>
            </w:pPr>
            <w:r>
              <w:rPr>
                <w:rFonts w:hint="eastAsia"/>
              </w:rPr>
              <w:t>计划、实施、分析、报告、督办</w:t>
            </w:r>
          </w:p>
        </w:tc>
        <w:tc>
          <w:tcPr>
            <w:tcW w:w="3112" w:type="dxa"/>
            <w:tcBorders>
              <w:top w:val="single" w:color="auto" w:sz="8" w:space="0"/>
            </w:tcBorders>
          </w:tcPr>
          <w:p w14:paraId="358386A0">
            <w:pPr>
              <w:pStyle w:val="178"/>
            </w:pPr>
            <w:r>
              <w:rPr>
                <w:rFonts w:hint="eastAsia"/>
              </w:rPr>
              <w:t>评价责任明确，过程独立可核</w:t>
            </w:r>
          </w:p>
        </w:tc>
      </w:tr>
      <w:tr w14:paraId="0EA836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03735C4F">
            <w:pPr>
              <w:pStyle w:val="178"/>
            </w:pPr>
            <w:r>
              <w:rPr>
                <w:rFonts w:hint="eastAsia"/>
              </w:rPr>
              <w:t>结构质量评价</w:t>
            </w:r>
          </w:p>
        </w:tc>
        <w:tc>
          <w:tcPr>
            <w:tcW w:w="4389" w:type="dxa"/>
          </w:tcPr>
          <w:p w14:paraId="7BA8EE3B">
            <w:pPr>
              <w:pStyle w:val="178"/>
            </w:pPr>
            <w:r>
              <w:rPr>
                <w:rFonts w:hint="eastAsia"/>
              </w:rPr>
              <w:t>机构、人员、设备、场地、系统</w:t>
            </w:r>
          </w:p>
        </w:tc>
        <w:tc>
          <w:tcPr>
            <w:tcW w:w="3112" w:type="dxa"/>
          </w:tcPr>
          <w:p w14:paraId="1AC83BBB">
            <w:pPr>
              <w:pStyle w:val="178"/>
            </w:pPr>
            <w:r>
              <w:rPr>
                <w:rFonts w:hint="eastAsia"/>
              </w:rPr>
              <w:t>基础条件不足不得视为质量合格</w:t>
            </w:r>
          </w:p>
        </w:tc>
      </w:tr>
      <w:tr w14:paraId="522112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664AFCFC">
            <w:pPr>
              <w:pStyle w:val="178"/>
            </w:pPr>
            <w:r>
              <w:rPr>
                <w:rFonts w:hint="eastAsia"/>
              </w:rPr>
              <w:t>过程质量评价</w:t>
            </w:r>
          </w:p>
        </w:tc>
        <w:tc>
          <w:tcPr>
            <w:tcW w:w="4389" w:type="dxa"/>
          </w:tcPr>
          <w:p w14:paraId="65D83752">
            <w:pPr>
              <w:pStyle w:val="178"/>
            </w:pPr>
            <w:r>
              <w:rPr>
                <w:rFonts w:hint="eastAsia"/>
              </w:rPr>
              <w:t>对象管理、流程执行、判读复核、转诊随访</w:t>
            </w:r>
          </w:p>
        </w:tc>
        <w:tc>
          <w:tcPr>
            <w:tcW w:w="3112" w:type="dxa"/>
          </w:tcPr>
          <w:p w14:paraId="32CF3495">
            <w:pPr>
              <w:pStyle w:val="178"/>
            </w:pPr>
            <w:r>
              <w:rPr>
                <w:rFonts w:hint="eastAsia"/>
              </w:rPr>
              <w:t>应覆盖全过程关键节点</w:t>
            </w:r>
          </w:p>
        </w:tc>
      </w:tr>
      <w:tr w14:paraId="11121F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9C6A83F">
            <w:pPr>
              <w:pStyle w:val="178"/>
            </w:pPr>
            <w:r>
              <w:rPr>
                <w:rFonts w:hint="eastAsia"/>
              </w:rPr>
              <w:t>结果质量评价</w:t>
            </w:r>
          </w:p>
        </w:tc>
        <w:tc>
          <w:tcPr>
            <w:tcW w:w="4389" w:type="dxa"/>
          </w:tcPr>
          <w:p w14:paraId="35316828">
            <w:pPr>
              <w:pStyle w:val="178"/>
            </w:pPr>
            <w:r>
              <w:rPr>
                <w:rFonts w:hint="eastAsia"/>
              </w:rPr>
              <w:t>覆盖率、阳性率、转诊率、随访率等</w:t>
            </w:r>
          </w:p>
        </w:tc>
        <w:tc>
          <w:tcPr>
            <w:tcW w:w="3112" w:type="dxa"/>
          </w:tcPr>
          <w:p w14:paraId="43759641">
            <w:pPr>
              <w:pStyle w:val="178"/>
            </w:pPr>
            <w:r>
              <w:rPr>
                <w:rFonts w:hint="eastAsia"/>
              </w:rPr>
              <w:t>指标异常应开展专项分析</w:t>
            </w:r>
          </w:p>
        </w:tc>
      </w:tr>
      <w:tr w14:paraId="24AEC8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F54C338">
            <w:pPr>
              <w:pStyle w:val="178"/>
            </w:pPr>
            <w:r>
              <w:rPr>
                <w:rFonts w:hint="eastAsia"/>
              </w:rPr>
              <w:t>问题整改</w:t>
            </w:r>
          </w:p>
        </w:tc>
        <w:tc>
          <w:tcPr>
            <w:tcW w:w="4389" w:type="dxa"/>
          </w:tcPr>
          <w:p w14:paraId="71D24A14">
            <w:pPr>
              <w:pStyle w:val="178"/>
            </w:pPr>
            <w:r>
              <w:rPr>
                <w:rFonts w:hint="eastAsia"/>
              </w:rPr>
              <w:t>登记、分析、整改、复核、销项</w:t>
            </w:r>
          </w:p>
        </w:tc>
        <w:tc>
          <w:tcPr>
            <w:tcW w:w="3112" w:type="dxa"/>
          </w:tcPr>
          <w:p w14:paraId="2B70E285">
            <w:pPr>
              <w:pStyle w:val="178"/>
            </w:pPr>
            <w:r>
              <w:rPr>
                <w:rFonts w:hint="eastAsia"/>
              </w:rPr>
              <w:t>问题应闭环，不得久拖不改</w:t>
            </w:r>
          </w:p>
        </w:tc>
      </w:tr>
      <w:tr w14:paraId="2E395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604FD66E">
            <w:pPr>
              <w:pStyle w:val="178"/>
            </w:pPr>
            <w:r>
              <w:rPr>
                <w:rFonts w:hint="eastAsia"/>
              </w:rPr>
              <w:t>持续改进</w:t>
            </w:r>
          </w:p>
        </w:tc>
        <w:tc>
          <w:tcPr>
            <w:tcW w:w="4389" w:type="dxa"/>
          </w:tcPr>
          <w:p w14:paraId="71E22FAC">
            <w:pPr>
              <w:pStyle w:val="178"/>
            </w:pPr>
            <w:r>
              <w:rPr>
                <w:rFonts w:hint="eastAsia"/>
              </w:rPr>
              <w:t>流程、工具、机制、系统、培训优化</w:t>
            </w:r>
          </w:p>
        </w:tc>
        <w:tc>
          <w:tcPr>
            <w:tcW w:w="3112" w:type="dxa"/>
          </w:tcPr>
          <w:p w14:paraId="0D4BC10A">
            <w:pPr>
              <w:pStyle w:val="178"/>
            </w:pPr>
            <w:r>
              <w:rPr>
                <w:rFonts w:hint="eastAsia"/>
              </w:rPr>
              <w:t>改进后应评估效果</w:t>
            </w:r>
          </w:p>
        </w:tc>
      </w:tr>
    </w:tbl>
    <w:p w14:paraId="1951425E">
      <w:pPr>
        <w:pStyle w:val="105"/>
        <w:spacing w:before="120" w:after="120" w:line="360" w:lineRule="auto"/>
      </w:pPr>
      <w:r>
        <w:rPr>
          <w:rFonts w:hint="eastAsia"/>
        </w:rPr>
        <w:t>禁止性要求</w:t>
      </w:r>
    </w:p>
    <w:p w14:paraId="0E7E11C9">
      <w:pPr>
        <w:pStyle w:val="165"/>
        <w:spacing w:line="360" w:lineRule="auto"/>
      </w:pPr>
      <w:r>
        <w:rPr>
          <w:rFonts w:hint="eastAsia"/>
        </w:rPr>
        <w:t>不得将质量评价简化为单纯统计报表填报。</w:t>
      </w:r>
    </w:p>
    <w:p w14:paraId="78F7CA92">
      <w:pPr>
        <w:pStyle w:val="165"/>
        <w:spacing w:line="360" w:lineRule="auto"/>
      </w:pPr>
      <w:r>
        <w:rPr>
          <w:rFonts w:hint="eastAsia"/>
        </w:rPr>
        <w:t>不得对明显质量问题只通报、不整改，或者只整改、不复核。</w:t>
      </w:r>
    </w:p>
    <w:p w14:paraId="43EE9DD2">
      <w:pPr>
        <w:pStyle w:val="165"/>
        <w:spacing w:line="360" w:lineRule="auto"/>
      </w:pPr>
      <w:r>
        <w:rPr>
          <w:rFonts w:hint="eastAsia"/>
        </w:rPr>
        <w:t>不得长期忽视阳性对象转诊率低、失访率高和报告差错多等关键问题。</w:t>
      </w:r>
    </w:p>
    <w:p w14:paraId="31E76F2B">
      <w:pPr>
        <w:pStyle w:val="165"/>
        <w:spacing w:line="360" w:lineRule="auto"/>
      </w:pPr>
      <w:r>
        <w:rPr>
          <w:rFonts w:hint="eastAsia"/>
        </w:rPr>
        <w:t>不得在未分析原因的情况下简单以数量指标评价筛查质量。</w:t>
      </w:r>
    </w:p>
    <w:p w14:paraId="2B6D40B9">
      <w:pPr>
        <w:pStyle w:val="165"/>
        <w:spacing w:line="360" w:lineRule="auto"/>
      </w:pPr>
      <w:r>
        <w:rPr>
          <w:rFonts w:hint="eastAsia"/>
        </w:rPr>
        <w:t>不得在持续改进措施未落实或者无效果验证情况下认定质量问题已解决。</w:t>
      </w:r>
    </w:p>
    <w:p w14:paraId="0A878859">
      <w:pPr>
        <w:pStyle w:val="104"/>
        <w:spacing w:before="240" w:after="240" w:line="360" w:lineRule="auto"/>
      </w:pPr>
      <w:bookmarkStart w:id="58" w:name="_Toc228614113"/>
      <w:r>
        <w:rPr>
          <w:rFonts w:hint="eastAsia"/>
        </w:rPr>
        <w:t>资料管理</w:t>
      </w:r>
      <w:bookmarkEnd w:id="58"/>
    </w:p>
    <w:p w14:paraId="7AC89D07">
      <w:pPr>
        <w:pStyle w:val="105"/>
        <w:spacing w:before="120" w:after="120" w:line="360" w:lineRule="auto"/>
      </w:pPr>
      <w:r>
        <w:rPr>
          <w:rFonts w:hint="eastAsia"/>
        </w:rPr>
        <w:t>一般要求</w:t>
      </w:r>
    </w:p>
    <w:p w14:paraId="289B130A">
      <w:pPr>
        <w:pStyle w:val="165"/>
        <w:spacing w:line="360" w:lineRule="auto"/>
      </w:pPr>
      <w:r>
        <w:rPr>
          <w:rFonts w:hint="eastAsia"/>
        </w:rPr>
        <w:t>本文件实施过程中，应建立资料管理制度。</w:t>
      </w:r>
    </w:p>
    <w:p w14:paraId="18C7DC80">
      <w:pPr>
        <w:pStyle w:val="165"/>
        <w:spacing w:line="360" w:lineRule="auto"/>
      </w:pPr>
      <w:r>
        <w:rPr>
          <w:rFonts w:hint="eastAsia"/>
        </w:rPr>
        <w:t>资料管理应覆盖筛查组织资料、对象管理资料、检查检测资料、结果判定资料、转诊随访资料、质控资料和整改资料。</w:t>
      </w:r>
    </w:p>
    <w:p w14:paraId="572305E3">
      <w:pPr>
        <w:pStyle w:val="165"/>
        <w:spacing w:line="360" w:lineRule="auto"/>
      </w:pPr>
      <w:r>
        <w:rPr>
          <w:rFonts w:hint="eastAsia"/>
        </w:rPr>
        <w:t>资料管理应坚持分类管理、统一编号、及时归档、便于查询和长期可追溯原则。</w:t>
      </w:r>
    </w:p>
    <w:p w14:paraId="73F1EA96">
      <w:pPr>
        <w:pStyle w:val="165"/>
        <w:spacing w:line="360" w:lineRule="auto"/>
      </w:pPr>
      <w:r>
        <w:rPr>
          <w:rFonts w:hint="eastAsia"/>
        </w:rPr>
        <w:t>资料管理不得仅关注纸质档案，不得忽视电子资料、系统数据和操作痕迹管理。</w:t>
      </w:r>
    </w:p>
    <w:p w14:paraId="3B745289">
      <w:pPr>
        <w:pStyle w:val="165"/>
        <w:numPr>
          <w:ilvl w:val="0"/>
          <w:numId w:val="0"/>
        </w:numPr>
        <w:spacing w:line="360" w:lineRule="auto"/>
      </w:pPr>
    </w:p>
    <w:p w14:paraId="729E7A6B">
      <w:pPr>
        <w:pStyle w:val="165"/>
        <w:numPr>
          <w:ilvl w:val="0"/>
          <w:numId w:val="0"/>
        </w:numPr>
        <w:spacing w:line="360" w:lineRule="auto"/>
        <w:rPr>
          <w:rFonts w:hint="eastAsia"/>
        </w:rPr>
      </w:pPr>
    </w:p>
    <w:p w14:paraId="552888F9">
      <w:pPr>
        <w:pStyle w:val="105"/>
        <w:spacing w:before="120" w:after="120" w:line="360" w:lineRule="auto"/>
      </w:pPr>
      <w:r>
        <w:rPr>
          <w:rFonts w:hint="eastAsia"/>
        </w:rPr>
        <w:t>资料内容要求</w:t>
      </w:r>
    </w:p>
    <w:p w14:paraId="72751A72">
      <w:pPr>
        <w:pStyle w:val="65"/>
        <w:spacing w:before="120" w:after="120" w:line="360" w:lineRule="auto"/>
      </w:pPr>
      <w:r>
        <w:rPr>
          <w:rFonts w:hint="eastAsia"/>
        </w:rPr>
        <w:t>一般要求</w:t>
      </w:r>
    </w:p>
    <w:p w14:paraId="21654BFA">
      <w:pPr>
        <w:pStyle w:val="56"/>
        <w:spacing w:line="360" w:lineRule="auto"/>
        <w:ind w:firstLine="420"/>
      </w:pPr>
      <w:r>
        <w:rPr>
          <w:rFonts w:hint="eastAsia"/>
        </w:rPr>
        <w:t>癌症早期筛查资料宜至少包括下列内容：</w:t>
      </w:r>
    </w:p>
    <w:p w14:paraId="5F7BBC95">
      <w:pPr>
        <w:pStyle w:val="56"/>
        <w:spacing w:line="360" w:lineRule="auto"/>
        <w:ind w:firstLine="420"/>
      </w:pPr>
      <w:r>
        <w:rPr>
          <w:rFonts w:hint="eastAsia"/>
        </w:rPr>
        <w:t>a）项目组织实施方案；</w:t>
      </w:r>
    </w:p>
    <w:p w14:paraId="28FE923F">
      <w:pPr>
        <w:pStyle w:val="56"/>
        <w:spacing w:line="360" w:lineRule="auto"/>
        <w:ind w:firstLine="420"/>
      </w:pPr>
      <w:r>
        <w:rPr>
          <w:rFonts w:hint="eastAsia"/>
        </w:rPr>
        <w:t>b）筛查对象登记资料；</w:t>
      </w:r>
    </w:p>
    <w:p w14:paraId="493D46DD">
      <w:pPr>
        <w:pStyle w:val="56"/>
        <w:spacing w:line="360" w:lineRule="auto"/>
        <w:ind w:firstLine="420"/>
      </w:pPr>
      <w:r>
        <w:rPr>
          <w:rFonts w:hint="eastAsia"/>
        </w:rPr>
        <w:t>c）知情告知资料；</w:t>
      </w:r>
    </w:p>
    <w:p w14:paraId="4ED46D2B">
      <w:pPr>
        <w:pStyle w:val="56"/>
        <w:spacing w:line="360" w:lineRule="auto"/>
        <w:ind w:firstLine="420"/>
      </w:pPr>
      <w:r>
        <w:rPr>
          <w:rFonts w:hint="eastAsia"/>
        </w:rPr>
        <w:t>d）风险评估资料；</w:t>
      </w:r>
    </w:p>
    <w:p w14:paraId="466CDF24">
      <w:pPr>
        <w:pStyle w:val="56"/>
        <w:spacing w:line="360" w:lineRule="auto"/>
        <w:ind w:firstLine="420"/>
      </w:pPr>
      <w:r>
        <w:rPr>
          <w:rFonts w:hint="eastAsia"/>
        </w:rPr>
        <w:t>e）检查检测原始记录；</w:t>
      </w:r>
    </w:p>
    <w:p w14:paraId="59B93DB8">
      <w:pPr>
        <w:pStyle w:val="56"/>
        <w:spacing w:line="360" w:lineRule="auto"/>
        <w:ind w:firstLine="420"/>
      </w:pPr>
      <w:r>
        <w:rPr>
          <w:rFonts w:hint="eastAsia"/>
        </w:rPr>
        <w:t>f）判读与复核记录；</w:t>
      </w:r>
    </w:p>
    <w:p w14:paraId="3281AD49">
      <w:pPr>
        <w:pStyle w:val="56"/>
        <w:spacing w:line="360" w:lineRule="auto"/>
        <w:ind w:firstLine="420"/>
      </w:pPr>
      <w:r>
        <w:rPr>
          <w:rFonts w:hint="eastAsia"/>
        </w:rPr>
        <w:t>g）正式报告；</w:t>
      </w:r>
    </w:p>
    <w:p w14:paraId="33E1A382">
      <w:pPr>
        <w:pStyle w:val="56"/>
        <w:spacing w:line="360" w:lineRule="auto"/>
        <w:ind w:firstLine="420"/>
      </w:pPr>
      <w:r>
        <w:rPr>
          <w:rFonts w:hint="eastAsia"/>
        </w:rPr>
        <w:t>h）转诊记录；</w:t>
      </w:r>
    </w:p>
    <w:p w14:paraId="724A91D5">
      <w:pPr>
        <w:pStyle w:val="56"/>
        <w:spacing w:line="360" w:lineRule="auto"/>
        <w:ind w:firstLine="420"/>
      </w:pPr>
      <w:r>
        <w:rPr>
          <w:rFonts w:hint="eastAsia"/>
        </w:rPr>
        <w:t>i）随访记录；</w:t>
      </w:r>
    </w:p>
    <w:p w14:paraId="31C98FE4">
      <w:pPr>
        <w:pStyle w:val="56"/>
        <w:spacing w:line="360" w:lineRule="auto"/>
        <w:ind w:firstLine="420"/>
      </w:pPr>
      <w:r>
        <w:rPr>
          <w:rFonts w:hint="eastAsia"/>
        </w:rPr>
        <w:t>j）质量控制记录；</w:t>
      </w:r>
    </w:p>
    <w:p w14:paraId="1CA1ECE1">
      <w:pPr>
        <w:pStyle w:val="56"/>
        <w:spacing w:line="360" w:lineRule="auto"/>
        <w:ind w:firstLine="420"/>
      </w:pPr>
      <w:r>
        <w:rPr>
          <w:rFonts w:hint="eastAsia"/>
        </w:rPr>
        <w:t>k）质量评价报告；</w:t>
      </w:r>
    </w:p>
    <w:p w14:paraId="0B093F6B">
      <w:pPr>
        <w:pStyle w:val="56"/>
        <w:spacing w:line="360" w:lineRule="auto"/>
        <w:ind w:firstLine="420"/>
      </w:pPr>
      <w:r>
        <w:rPr>
          <w:rFonts w:hint="eastAsia"/>
        </w:rPr>
        <w:t>l）问题整改资料；</w:t>
      </w:r>
    </w:p>
    <w:p w14:paraId="7CD2B0E0">
      <w:pPr>
        <w:pStyle w:val="56"/>
        <w:spacing w:line="360" w:lineRule="auto"/>
        <w:ind w:firstLine="420"/>
      </w:pPr>
      <w:r>
        <w:rPr>
          <w:rFonts w:hint="eastAsia"/>
        </w:rPr>
        <w:t>m）培训记录；</w:t>
      </w:r>
    </w:p>
    <w:p w14:paraId="39D88CBE">
      <w:pPr>
        <w:pStyle w:val="56"/>
        <w:spacing w:line="360" w:lineRule="auto"/>
        <w:ind w:firstLine="420"/>
      </w:pPr>
      <w:r>
        <w:rPr>
          <w:rFonts w:hint="eastAsia"/>
        </w:rPr>
        <w:t>n）设备与试剂管理资料；</w:t>
      </w:r>
    </w:p>
    <w:p w14:paraId="66B0608B">
      <w:pPr>
        <w:pStyle w:val="56"/>
        <w:spacing w:line="360" w:lineRule="auto"/>
        <w:ind w:firstLine="420"/>
      </w:pPr>
      <w:r>
        <w:rPr>
          <w:rFonts w:hint="eastAsia"/>
        </w:rPr>
        <w:t>o）信息系统操作记录。</w:t>
      </w:r>
    </w:p>
    <w:p w14:paraId="7109026F">
      <w:pPr>
        <w:pStyle w:val="65"/>
        <w:spacing w:before="120" w:after="120" w:line="360" w:lineRule="auto"/>
      </w:pPr>
      <w:r>
        <w:rPr>
          <w:rFonts w:hint="eastAsia"/>
        </w:rPr>
        <w:t>分类要求</w:t>
      </w:r>
    </w:p>
    <w:p w14:paraId="3BD742E5">
      <w:pPr>
        <w:pStyle w:val="164"/>
        <w:spacing w:line="360" w:lineRule="auto"/>
      </w:pPr>
      <w:r>
        <w:rPr>
          <w:rFonts w:hint="eastAsia"/>
        </w:rPr>
        <w:t>资料可按癌种、年度、项目、机构、对象类别和环节类别进行分类管理。</w:t>
      </w:r>
    </w:p>
    <w:p w14:paraId="22D39B20">
      <w:pPr>
        <w:pStyle w:val="164"/>
        <w:spacing w:line="360" w:lineRule="auto"/>
      </w:pPr>
      <w:r>
        <w:rPr>
          <w:rFonts w:hint="eastAsia"/>
        </w:rPr>
        <w:t>不同类别资料之间应保持逻辑关联和编号关联。</w:t>
      </w:r>
    </w:p>
    <w:p w14:paraId="41497C90">
      <w:pPr>
        <w:pStyle w:val="164"/>
        <w:spacing w:line="360" w:lineRule="auto"/>
      </w:pPr>
      <w:r>
        <w:rPr>
          <w:rFonts w:hint="eastAsia"/>
        </w:rPr>
        <w:t>同一对象的筛查、复筛、转诊和随访资料应能够相互对应。</w:t>
      </w:r>
    </w:p>
    <w:p w14:paraId="0327DE05">
      <w:pPr>
        <w:pStyle w:val="105"/>
        <w:spacing w:before="120" w:after="120" w:line="360" w:lineRule="auto"/>
      </w:pPr>
      <w:r>
        <w:rPr>
          <w:rFonts w:hint="eastAsia"/>
        </w:rPr>
        <w:t>资料归档要求</w:t>
      </w:r>
    </w:p>
    <w:p w14:paraId="1B85AC11">
      <w:pPr>
        <w:pStyle w:val="65"/>
        <w:spacing w:before="120" w:after="120" w:line="360" w:lineRule="auto"/>
      </w:pPr>
      <w:r>
        <w:rPr>
          <w:rFonts w:hint="eastAsia"/>
        </w:rPr>
        <w:t>一般要求</w:t>
      </w:r>
    </w:p>
    <w:p w14:paraId="524D4F19">
      <w:pPr>
        <w:pStyle w:val="164"/>
        <w:spacing w:line="360" w:lineRule="auto"/>
      </w:pPr>
      <w:r>
        <w:rPr>
          <w:rFonts w:hint="eastAsia"/>
        </w:rPr>
        <w:t>筛查资料应按规定及时归档。</w:t>
      </w:r>
    </w:p>
    <w:p w14:paraId="0C515171">
      <w:pPr>
        <w:pStyle w:val="164"/>
        <w:spacing w:line="360" w:lineRule="auto"/>
      </w:pPr>
      <w:r>
        <w:rPr>
          <w:rFonts w:hint="eastAsia"/>
        </w:rPr>
        <w:t>归档资料应真实、完整、清晰和可追溯。</w:t>
      </w:r>
    </w:p>
    <w:p w14:paraId="7E2F045E">
      <w:pPr>
        <w:pStyle w:val="164"/>
        <w:spacing w:line="360" w:lineRule="auto"/>
      </w:pPr>
      <w:r>
        <w:rPr>
          <w:rFonts w:hint="eastAsia"/>
        </w:rPr>
        <w:t>已归档资料不得随意抽撤、篡改、销毁或者替换。</w:t>
      </w:r>
    </w:p>
    <w:p w14:paraId="3D3EBA03">
      <w:pPr>
        <w:pStyle w:val="65"/>
        <w:spacing w:before="120" w:after="120" w:line="360" w:lineRule="auto"/>
      </w:pPr>
      <w:r>
        <w:rPr>
          <w:rFonts w:hint="eastAsia"/>
        </w:rPr>
        <w:t>归档控制要求</w:t>
      </w:r>
    </w:p>
    <w:p w14:paraId="14915A1E">
      <w:pPr>
        <w:pStyle w:val="164"/>
        <w:spacing w:line="360" w:lineRule="auto"/>
      </w:pPr>
      <w:r>
        <w:rPr>
          <w:rFonts w:hint="eastAsia"/>
        </w:rPr>
        <w:t>归档前应核查资料完整性和一致性。</w:t>
      </w:r>
    </w:p>
    <w:p w14:paraId="1B3AF2D3">
      <w:pPr>
        <w:pStyle w:val="164"/>
        <w:spacing w:line="360" w:lineRule="auto"/>
      </w:pPr>
      <w:r>
        <w:rPr>
          <w:rFonts w:hint="eastAsia"/>
        </w:rPr>
        <w:t>对缺页、漏项、签字不全、对象信息不一致和结局信息缺失的资料，应补充完善后归档。</w:t>
      </w:r>
    </w:p>
    <w:p w14:paraId="01F3538B">
      <w:pPr>
        <w:pStyle w:val="164"/>
        <w:spacing w:line="360" w:lineRule="auto"/>
      </w:pPr>
      <w:r>
        <w:rPr>
          <w:rFonts w:hint="eastAsia"/>
        </w:rPr>
        <w:t>纸质资料和电子资料不一致的，应核查并统一。</w:t>
      </w:r>
    </w:p>
    <w:p w14:paraId="2A3D16AC">
      <w:pPr>
        <w:pStyle w:val="105"/>
        <w:spacing w:before="120" w:after="120" w:line="360" w:lineRule="auto"/>
      </w:pPr>
      <w:r>
        <w:rPr>
          <w:rFonts w:hint="eastAsia"/>
        </w:rPr>
        <w:t>保存与调用要求</w:t>
      </w:r>
    </w:p>
    <w:p w14:paraId="0AF3CA2B">
      <w:pPr>
        <w:pStyle w:val="65"/>
        <w:spacing w:before="120" w:after="120" w:line="360" w:lineRule="auto"/>
      </w:pPr>
      <w:r>
        <w:rPr>
          <w:rFonts w:hint="eastAsia"/>
        </w:rPr>
        <w:t>一般要求</w:t>
      </w:r>
    </w:p>
    <w:p w14:paraId="13FD5C88">
      <w:pPr>
        <w:pStyle w:val="164"/>
        <w:spacing w:line="360" w:lineRule="auto"/>
      </w:pPr>
      <w:r>
        <w:rPr>
          <w:rFonts w:hint="eastAsia"/>
        </w:rPr>
        <w:t>癌症筛查资料应按相关规定保存。</w:t>
      </w:r>
    </w:p>
    <w:p w14:paraId="45A785DF">
      <w:pPr>
        <w:pStyle w:val="164"/>
        <w:spacing w:line="360" w:lineRule="auto"/>
      </w:pPr>
      <w:r>
        <w:rPr>
          <w:rFonts w:hint="eastAsia"/>
        </w:rPr>
        <w:t>筛查资料保存应满足质量追溯、转诊随访追踪、项目评价和监督检查需要。</w:t>
      </w:r>
    </w:p>
    <w:p w14:paraId="72E09173">
      <w:pPr>
        <w:pStyle w:val="65"/>
        <w:spacing w:before="120" w:after="120" w:line="360" w:lineRule="auto"/>
      </w:pPr>
      <w:r>
        <w:rPr>
          <w:rFonts w:hint="eastAsia"/>
        </w:rPr>
        <w:t>调用要求</w:t>
      </w:r>
    </w:p>
    <w:p w14:paraId="1C718C67">
      <w:pPr>
        <w:pStyle w:val="164"/>
        <w:spacing w:line="360" w:lineRule="auto"/>
      </w:pPr>
      <w:r>
        <w:rPr>
          <w:rFonts w:hint="eastAsia"/>
        </w:rPr>
        <w:t>资料调用应按权限实施。</w:t>
      </w:r>
    </w:p>
    <w:p w14:paraId="3EF948BC">
      <w:pPr>
        <w:pStyle w:val="164"/>
        <w:spacing w:line="360" w:lineRule="auto"/>
      </w:pPr>
      <w:r>
        <w:rPr>
          <w:rFonts w:hint="eastAsia"/>
        </w:rPr>
        <w:t>调用资料时，应做好登记。</w:t>
      </w:r>
    </w:p>
    <w:p w14:paraId="430F6E47">
      <w:pPr>
        <w:pStyle w:val="164"/>
        <w:spacing w:line="360" w:lineRule="auto"/>
      </w:pPr>
      <w:r>
        <w:rPr>
          <w:rFonts w:hint="eastAsia"/>
        </w:rPr>
        <w:t>未经授权，不得擅自复制、导出、传播或者向无关人员展示筛查资料。</w:t>
      </w:r>
    </w:p>
    <w:p w14:paraId="39D9153C">
      <w:pPr>
        <w:pStyle w:val="105"/>
        <w:spacing w:before="120" w:after="120" w:line="360" w:lineRule="auto"/>
      </w:pPr>
      <w:r>
        <w:rPr>
          <w:rFonts w:hint="eastAsia"/>
        </w:rPr>
        <w:t>信息化资料管理要求</w:t>
      </w:r>
    </w:p>
    <w:p w14:paraId="09EE3DCA">
      <w:pPr>
        <w:pStyle w:val="65"/>
        <w:spacing w:before="120" w:after="120" w:line="360" w:lineRule="auto"/>
      </w:pPr>
      <w:r>
        <w:rPr>
          <w:rFonts w:hint="eastAsia"/>
        </w:rPr>
        <w:t>一般要求</w:t>
      </w:r>
    </w:p>
    <w:p w14:paraId="0D68BE52">
      <w:pPr>
        <w:pStyle w:val="164"/>
        <w:spacing w:line="360" w:lineRule="auto"/>
      </w:pPr>
      <w:r>
        <w:rPr>
          <w:rFonts w:hint="eastAsia"/>
        </w:rPr>
        <w:t>有条件的机构宜建立信息化资料管理机制。</w:t>
      </w:r>
    </w:p>
    <w:p w14:paraId="46E2D1E0">
      <w:pPr>
        <w:pStyle w:val="164"/>
        <w:spacing w:line="360" w:lineRule="auto"/>
      </w:pPr>
      <w:r>
        <w:rPr>
          <w:rFonts w:hint="eastAsia"/>
        </w:rPr>
        <w:t>信息化资料管理应覆盖对象信息、筛查结果、转诊状态、随访结局、质控记录和统计分析数据。</w:t>
      </w:r>
    </w:p>
    <w:p w14:paraId="68D297B0">
      <w:pPr>
        <w:pStyle w:val="65"/>
        <w:spacing w:before="120" w:after="120" w:line="360" w:lineRule="auto"/>
      </w:pPr>
      <w:r>
        <w:rPr>
          <w:rFonts w:hint="eastAsia"/>
        </w:rPr>
        <w:t>控制要求</w:t>
      </w:r>
    </w:p>
    <w:p w14:paraId="3C7A1388">
      <w:pPr>
        <w:pStyle w:val="164"/>
        <w:spacing w:line="360" w:lineRule="auto"/>
      </w:pPr>
      <w:r>
        <w:rPr>
          <w:rFonts w:hint="eastAsia"/>
        </w:rPr>
        <w:t>信息化资料应具备检索、关联、统计、权限控制和操作留痕功能。</w:t>
      </w:r>
    </w:p>
    <w:p w14:paraId="2DE19B86">
      <w:pPr>
        <w:pStyle w:val="164"/>
        <w:spacing w:line="360" w:lineRule="auto"/>
      </w:pPr>
      <w:r>
        <w:rPr>
          <w:rFonts w:hint="eastAsia"/>
        </w:rPr>
        <w:t>对关键数据的新增、修改和删除，应保留操作记录。</w:t>
      </w:r>
    </w:p>
    <w:p w14:paraId="14BAA075">
      <w:pPr>
        <w:pStyle w:val="164"/>
        <w:spacing w:line="360" w:lineRule="auto"/>
      </w:pPr>
      <w:r>
        <w:rPr>
          <w:rFonts w:hint="eastAsia"/>
        </w:rPr>
        <w:t>信息化资料与纸质资料应保持一致，不得形成两套相互矛盾的数据来源。</w:t>
      </w:r>
    </w:p>
    <w:p w14:paraId="60020494">
      <w:pPr>
        <w:pStyle w:val="105"/>
        <w:spacing w:before="120" w:after="120" w:line="360" w:lineRule="auto"/>
      </w:pPr>
      <w:r>
        <w:rPr>
          <w:rFonts w:hint="eastAsia"/>
        </w:rPr>
        <w:t>禁止性要求</w:t>
      </w:r>
    </w:p>
    <w:p w14:paraId="07BDD4F6">
      <w:pPr>
        <w:pStyle w:val="165"/>
        <w:spacing w:line="360" w:lineRule="auto"/>
      </w:pPr>
      <w:r>
        <w:rPr>
          <w:rFonts w:hint="eastAsia"/>
        </w:rPr>
        <w:t>不得资料缺失、记录不全或者对象信息与结果信息无法对应而认定筛查管理合格。</w:t>
      </w:r>
    </w:p>
    <w:p w14:paraId="3F73D93E">
      <w:pPr>
        <w:pStyle w:val="165"/>
        <w:spacing w:line="360" w:lineRule="auto"/>
      </w:pPr>
      <w:r>
        <w:rPr>
          <w:rFonts w:hint="eastAsia"/>
        </w:rPr>
        <w:t>不得在未完成归档核查的情况下直接归档。</w:t>
      </w:r>
    </w:p>
    <w:p w14:paraId="799D0DFE">
      <w:pPr>
        <w:pStyle w:val="165"/>
        <w:spacing w:line="360" w:lineRule="auto"/>
      </w:pPr>
      <w:r>
        <w:rPr>
          <w:rFonts w:hint="eastAsia"/>
        </w:rPr>
        <w:t>不得随意删除、篡改或者私自传播筛查资料和筛查对象隐私信息。</w:t>
      </w:r>
    </w:p>
    <w:p w14:paraId="304DBD97">
      <w:pPr>
        <w:pStyle w:val="165"/>
        <w:spacing w:line="360" w:lineRule="auto"/>
      </w:pPr>
      <w:r>
        <w:rPr>
          <w:rFonts w:hint="eastAsia"/>
        </w:rPr>
        <w:t>不得将纸质资料、电子资料和信息系统数据长期处于不一致状态。</w:t>
      </w:r>
    </w:p>
    <w:p w14:paraId="0CF8F506">
      <w:pPr>
        <w:pStyle w:val="165"/>
        <w:spacing w:line="360" w:lineRule="auto"/>
      </w:pPr>
      <w:r>
        <w:rPr>
          <w:rFonts w:hint="eastAsia"/>
        </w:rPr>
        <w:t>不得在资料无法支撑质量追溯和随访追踪的情况下认定本文件要求已落实。</w:t>
      </w:r>
    </w:p>
    <w:p w14:paraId="3CE93C66">
      <w:pPr>
        <w:pStyle w:val="104"/>
        <w:spacing w:before="240" w:after="240" w:line="360" w:lineRule="auto"/>
      </w:pPr>
      <w:bookmarkStart w:id="59" w:name="_Toc228614114"/>
      <w:r>
        <w:rPr>
          <w:rFonts w:hint="eastAsia"/>
        </w:rPr>
        <w:t>附则</w:t>
      </w:r>
      <w:bookmarkEnd w:id="59"/>
    </w:p>
    <w:p w14:paraId="6A94B0B7">
      <w:pPr>
        <w:pStyle w:val="162"/>
        <w:spacing w:line="360" w:lineRule="auto"/>
      </w:pPr>
      <w:r>
        <w:rPr>
          <w:rFonts w:hint="eastAsia"/>
        </w:rPr>
        <w:t>开展癌症早期筛查的机构可根据筛查癌种、筛查路径、实施模式和管理需要，在不低于本文件要求的前提下，制定实施细则。</w:t>
      </w:r>
    </w:p>
    <w:p w14:paraId="39118AD9">
      <w:pPr>
        <w:pStyle w:val="162"/>
        <w:spacing w:line="360" w:lineRule="auto"/>
      </w:pPr>
      <w:r>
        <w:rPr>
          <w:rFonts w:hint="eastAsia"/>
        </w:rPr>
        <w:t>对重点癌种筛查项目、高风险人群筛查项目、大规模人群筛查项目和多机构联合筛查项目，可在本文件基础上提高质量控制、转诊随访和信息管理要求。</w:t>
      </w:r>
    </w:p>
    <w:p w14:paraId="0BB2343D">
      <w:pPr>
        <w:pStyle w:val="162"/>
        <w:spacing w:line="360" w:lineRule="auto"/>
      </w:pPr>
      <w:r>
        <w:rPr>
          <w:rFonts w:hint="eastAsia"/>
        </w:rPr>
        <w:t>本文件未规定的事项，应符合国家有关法律法规、行政规范性文件、筛查方案和相关专业技术规范要求。</w:t>
      </w:r>
    </w:p>
    <w:bookmarkEnd w:id="26"/>
    <w:p w14:paraId="79F1B662">
      <w:pPr>
        <w:pStyle w:val="56"/>
        <w:spacing w:line="360" w:lineRule="auto"/>
        <w:ind w:firstLine="0" w:firstLineChars="0"/>
        <w:jc w:val="center"/>
      </w:pPr>
      <w:bookmarkStart w:id="60" w:name="BookMark8"/>
      <w:r>
        <w:rPr>
          <w:rFonts w:hint="eastAsia"/>
        </w:rPr>
        <w:drawing>
          <wp:inline distT="0" distB="0" distL="0" distR="0">
            <wp:extent cx="1485900" cy="317500"/>
            <wp:effectExtent l="0" t="0" r="0" b="6350"/>
            <wp:docPr id="1978125290" name="图片 3"/>
            <wp:cNvGraphicFramePr/>
            <a:graphic xmlns:a="http://schemas.openxmlformats.org/drawingml/2006/main">
              <a:graphicData uri="http://schemas.openxmlformats.org/drawingml/2006/picture">
                <pic:pic xmlns:pic="http://schemas.openxmlformats.org/drawingml/2006/picture">
                  <pic:nvPicPr>
                    <pic:cNvPr id="1978125290"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headerReference r:id="rId21" w:type="default"/>
      <w:footerReference r:id="rId23" w:type="default"/>
      <w:headerReference r:id="rId22" w:type="even"/>
      <w:footerReference r:id="rId24"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EE826">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99782">
    <w:pPr>
      <w:pStyle w:val="51"/>
    </w:pPr>
    <w:r>
      <w:fldChar w:fldCharType="begin"/>
    </w:r>
    <w:r>
      <w:instrText xml:space="preserve"> PAGE   \* MERGEFORMAT \* MERGEFORMAT </w:instrText>
    </w:r>
    <w:r>
      <w:fldChar w:fldCharType="separate"/>
    </w:r>
    <w: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0265—2026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0265—2026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0265—2026</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EFAE8">
    <w:pPr>
      <w:pStyle w:val="61"/>
      <w:rPr>
        <w:rFonts w:hint="eastAsia"/>
      </w:rPr>
    </w:pPr>
    <w:r>
      <w:fldChar w:fldCharType="begin"/>
    </w:r>
    <w:r>
      <w:instrText xml:space="preserve"> STYLEREF  标准文件_文件编号  \* MERGEFORMAT </w:instrText>
    </w:r>
    <w:r>
      <w:fldChar w:fldCharType="separate"/>
    </w:r>
    <w:r>
      <w:t>T/XZBX 0265—2026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BB79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0265—2026</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0265—2026</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0265—2026</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0265—2026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2AC"/>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B0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ADE"/>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6C2"/>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575A3"/>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3C24"/>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4DB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2C30"/>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37A7D"/>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23F8"/>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179A"/>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86DF4"/>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6CB"/>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E36"/>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4AD2"/>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7324"/>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0348"/>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7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FAC5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40328865">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2D3E28F0">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72B396A8">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0A04F0"/>
    <w:rsid w:val="002866C2"/>
    <w:rsid w:val="002E6AD9"/>
    <w:rsid w:val="003646F4"/>
    <w:rsid w:val="003F62CE"/>
    <w:rsid w:val="004A6324"/>
    <w:rsid w:val="005B18DA"/>
    <w:rsid w:val="005E4B5C"/>
    <w:rsid w:val="006141C6"/>
    <w:rsid w:val="00652769"/>
    <w:rsid w:val="00796662"/>
    <w:rsid w:val="008C0337"/>
    <w:rsid w:val="008E6778"/>
    <w:rsid w:val="00AA2819"/>
    <w:rsid w:val="00AE100B"/>
    <w:rsid w:val="00AE1DC6"/>
    <w:rsid w:val="00CB26CB"/>
    <w:rsid w:val="00CF7961"/>
    <w:rsid w:val="00E266E0"/>
    <w:rsid w:val="00E30348"/>
    <w:rsid w:val="00E72569"/>
    <w:rsid w:val="00E76885"/>
    <w:rsid w:val="00F86678"/>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46</Pages>
  <Words>6520</Words>
  <Characters>6848</Characters>
  <Lines>168</Lines>
  <Paragraphs>47</Paragraphs>
  <TotalTime>166</TotalTime>
  <ScaleCrop>false</ScaleCrop>
  <LinksUpToDate>false</LinksUpToDate>
  <CharactersWithSpaces>6964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2026-05-19T06:12:05Z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7FCD05C626944000A213C5B911561939_12</vt:lpwstr>
  </property>
</Properties>
</file>