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509"/>
        <w:gridCol w:w="8855"/>
      </w:tblGrid>
      <w:tr w14:paraId="59FA41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19C05D81">
            <w:pPr>
              <w:pStyle w:val="18"/>
              <w:framePr w:wrap="notBeside" w:vAnchor="page" w:hAnchor="page" w:x="1372" w:y="568"/>
              <w:tabs>
                <w:tab w:val="clear" w:pos="4153"/>
                <w:tab w:val="clear" w:pos="8306"/>
              </w:tabs>
              <w:spacing w:line="240" w:lineRule="auto"/>
              <w:jc w:val="left"/>
              <w:rPr>
                <w:rFonts w:hint="eastAsia"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14:paraId="03CFE7BF">
            <w:pPr>
              <w:pStyle w:val="18"/>
              <w:framePr w:wrap="notBeside" w:vAnchor="page" w:hAnchor="page" w:x="1372" w:y="568"/>
              <w:tabs>
                <w:tab w:val="clear" w:pos="4153"/>
                <w:tab w:val="clear" w:pos="8306"/>
              </w:tabs>
              <w:spacing w:line="240" w:lineRule="auto"/>
              <w:jc w:val="both"/>
              <w:rPr>
                <w:rFonts w:hint="eastAsia" w:ascii="黑体" w:hAnsi="黑体" w:eastAsia="黑体"/>
                <w:sz w:val="21"/>
                <w:szCs w:val="21"/>
              </w:rPr>
            </w:pPr>
            <w:r>
              <w:rPr>
                <w:rFonts w:hint="eastAsia" w:ascii="黑体" w:hAnsi="黑体" w:eastAsia="黑体"/>
                <w:sz w:val="21"/>
                <w:szCs w:val="21"/>
              </w:rPr>
              <w:fldChar w:fldCharType="begin">
                <w:ffData>
                  <w:name w:val="ICS"/>
                  <w:enabled/>
                  <w:calcOnExit w:val="0"/>
                  <w:textInput>
                    <w:default w:val="13.060.30"/>
                  </w:textInput>
                </w:ffData>
              </w:fldChar>
            </w:r>
            <w:bookmarkStart w:id="0" w:name="ICS"/>
            <w:r>
              <w:rPr>
                <w:rFonts w:hint="eastAsia" w:ascii="黑体" w:hAnsi="黑体" w:eastAsia="黑体"/>
                <w:sz w:val="21"/>
                <w:szCs w:val="21"/>
              </w:rPr>
              <w:instrText xml:space="preserve"> </w:instrText>
            </w:r>
            <w:r>
              <w:rPr>
                <w:rFonts w:ascii="黑体" w:hAnsi="黑体" w:eastAsia="黑体"/>
                <w:sz w:val="21"/>
                <w:szCs w:val="21"/>
              </w:rPr>
              <w:instrText xml:space="preserve">FORMTEXT</w:instrText>
            </w:r>
            <w:r>
              <w:rPr>
                <w:rFonts w:hint="eastAsia" w:ascii="黑体" w:hAnsi="黑体" w:eastAsia="黑体"/>
                <w:sz w:val="21"/>
                <w:szCs w:val="21"/>
              </w:rPr>
              <w:instrText xml:space="preserve"> </w:instrText>
            </w:r>
            <w:r>
              <w:rPr>
                <w:rFonts w:hint="eastAsia" w:ascii="黑体" w:hAnsi="黑体" w:eastAsia="黑体"/>
                <w:sz w:val="21"/>
                <w:szCs w:val="21"/>
              </w:rPr>
              <w:fldChar w:fldCharType="separate"/>
            </w:r>
            <w:r>
              <w:rPr>
                <w:rFonts w:hint="eastAsia" w:ascii="黑体" w:hAnsi="黑体" w:eastAsia="黑体"/>
                <w:sz w:val="21"/>
                <w:szCs w:val="21"/>
              </w:rPr>
              <w:t>13.060.30</w:t>
            </w:r>
            <w:r>
              <w:rPr>
                <w:rFonts w:hint="eastAsia" w:ascii="黑体" w:hAnsi="黑体" w:eastAsia="黑体"/>
                <w:sz w:val="21"/>
                <w:szCs w:val="21"/>
              </w:rPr>
              <w:fldChar w:fldCharType="end"/>
            </w:r>
            <w:bookmarkEnd w:id="0"/>
          </w:p>
        </w:tc>
      </w:tr>
      <w:tr w14:paraId="2AEB01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70B3D27D">
            <w:pPr>
              <w:pStyle w:val="18"/>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tbl>
            <w:tblPr>
              <w:tblStyle w:val="27"/>
              <w:tblpPr w:vertAnchor="page" w:horzAnchor="margin" w:tblpX="1" w:tblpY="341"/>
              <w:tblOverlap w:val="never"/>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0" w:type="dxa"/>
                <w:bottom w:w="0" w:type="dxa"/>
                <w:right w:w="113" w:type="dxa"/>
              </w:tblCellMar>
            </w:tblPr>
            <w:tblGrid>
              <w:gridCol w:w="9242"/>
            </w:tblGrid>
            <w:tr w14:paraId="1673C322">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PrEx>
              <w:trPr>
                <w:trHeight w:val="1021" w:hRule="exact"/>
              </w:trPr>
              <w:tc>
                <w:tcPr>
                  <w:tcW w:w="9242" w:type="dxa"/>
                  <w:vAlign w:val="center"/>
                </w:tcPr>
                <w:p w14:paraId="3D9EF6ED">
                  <w:pPr>
                    <w:pStyle w:val="49"/>
                    <w:framePr w:wrap="notBeside" w:vAnchor="page" w:hAnchor="page" w:x="1372" w:y="568"/>
                    <w:ind w:left="420" w:right="624"/>
                    <w:rPr>
                      <w:rFonts w:hint="eastAsia" w:ascii="宋体" w:hAnsi="宋体"/>
                      <w:sz w:val="28"/>
                      <w:szCs w:val="28"/>
                    </w:rPr>
                  </w:pPr>
                  <w:r>
                    <w:drawing>
                      <wp:inline distT="0" distB="0" distL="0" distR="0">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drawing>
                      <wp:inline distT="0" distB="0" distL="0" distR="0">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fldChar w:fldCharType="begin">
                      <w:ffData>
                        <w:name w:val="c1"/>
                        <w:enabled/>
                        <w:calcOnExit w:val="0"/>
                        <w:textInput>
                          <w:default w:val="XZBX"/>
                          <w:maxLength w:val="7"/>
                        </w:textInput>
                      </w:ffData>
                    </w:fldChar>
                  </w:r>
                  <w:bookmarkStart w:id="1" w:name="c1"/>
                  <w:r>
                    <w:instrText xml:space="preserve"> FORMTEXT </w:instrText>
                  </w:r>
                  <w:r>
                    <w:fldChar w:fldCharType="separate"/>
                  </w:r>
                  <w:r>
                    <w:t>XZBX</w:t>
                  </w:r>
                  <w:r>
                    <w:fldChar w:fldCharType="end"/>
                  </w:r>
                  <w:bookmarkEnd w:id="1"/>
                </w:p>
              </w:tc>
            </w:tr>
          </w:tbl>
          <w:p w14:paraId="7211AB71">
            <w:pPr>
              <w:pStyle w:val="18"/>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hint="eastAsia" w:ascii="黑体" w:hAnsi="黑体" w:eastAsia="黑体"/>
                <w:sz w:val="21"/>
                <w:szCs w:val="21"/>
              </w:rPr>
              <w:fldChar w:fldCharType="begin">
                <w:ffData>
                  <w:name w:val="CSDN"/>
                  <w:enabled/>
                  <w:calcOnExit w:val="0"/>
                  <w:textInput>
                    <w:default w:val="Z 16"/>
                  </w:textInput>
                </w:ffData>
              </w:fldChar>
            </w:r>
            <w:bookmarkStart w:id="2" w:name="CSDN"/>
            <w:r>
              <w:rPr>
                <w:rFonts w:hint="eastAsia" w:ascii="黑体" w:hAnsi="黑体" w:eastAsia="黑体"/>
                <w:sz w:val="21"/>
                <w:szCs w:val="21"/>
              </w:rPr>
              <w:instrText xml:space="preserve"> </w:instrText>
            </w:r>
            <w:r>
              <w:rPr>
                <w:rFonts w:ascii="黑体" w:hAnsi="黑体" w:eastAsia="黑体"/>
                <w:sz w:val="21"/>
                <w:szCs w:val="21"/>
              </w:rPr>
              <w:instrText xml:space="preserve">FORMTEXT</w:instrText>
            </w:r>
            <w:r>
              <w:rPr>
                <w:rFonts w:hint="eastAsia" w:ascii="黑体" w:hAnsi="黑体" w:eastAsia="黑体"/>
                <w:sz w:val="21"/>
                <w:szCs w:val="21"/>
              </w:rPr>
              <w:instrText xml:space="preserve"> </w:instrText>
            </w:r>
            <w:r>
              <w:rPr>
                <w:rFonts w:hint="eastAsia" w:ascii="黑体" w:hAnsi="黑体" w:eastAsia="黑体"/>
                <w:sz w:val="21"/>
                <w:szCs w:val="21"/>
              </w:rPr>
              <w:fldChar w:fldCharType="separate"/>
            </w:r>
            <w:r>
              <w:rPr>
                <w:rFonts w:hint="eastAsia" w:ascii="黑体" w:hAnsi="黑体" w:eastAsia="黑体"/>
                <w:sz w:val="21"/>
                <w:szCs w:val="21"/>
              </w:rPr>
              <w:t>Z 16</w:t>
            </w:r>
            <w:r>
              <w:rPr>
                <w:rFonts w:hint="eastAsia" w:ascii="黑体" w:hAnsi="黑体" w:eastAsia="黑体"/>
                <w:sz w:val="21"/>
                <w:szCs w:val="21"/>
              </w:rPr>
              <w:fldChar w:fldCharType="end"/>
            </w:r>
            <w:bookmarkEnd w:id="2"/>
          </w:p>
        </w:tc>
      </w:tr>
    </w:tbl>
    <w:p w14:paraId="14B17AD5">
      <w:pPr>
        <w:pStyle w:val="50"/>
        <w:framePr w:w="9639" w:h="624" w:hRule="exact" w:hSpace="181" w:vSpace="181" w:wrap="around" w:hAnchor="page" w:x="1305" w:y="2269"/>
        <w:rPr>
          <w:rFonts w:hint="eastAsia" w:ascii="黑体" w:hAnsi="黑体" w:eastAsia="黑体"/>
          <w:b w:val="0"/>
          <w:bCs w:val="0"/>
          <w:w w:val="100"/>
          <w:sz w:val="48"/>
          <w:szCs w:val="48"/>
        </w:rPr>
      </w:pPr>
      <w:bookmarkStart w:id="3" w:name="_Hlk26473981"/>
      <w:r>
        <w:rPr>
          <w:rFonts w:ascii="黑体" w:eastAsia="黑体"/>
          <w:b w:val="0"/>
          <w:w w:val="100"/>
          <w:sz w:val="48"/>
        </w:rPr>
        <w:fldChar w:fldCharType="begin">
          <w:ffData>
            <w:name w:val="c2"/>
            <w:enabled/>
            <w:calcOnExit w:val="0"/>
            <w:textInput>
              <w:default w:val="西安市质量与标准化协会"/>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西安市质量与标准化协会</w:t>
      </w:r>
      <w:r>
        <w:rPr>
          <w:rFonts w:ascii="黑体" w:eastAsia="黑体"/>
          <w:b w:val="0"/>
          <w:w w:val="100"/>
          <w:sz w:val="48"/>
        </w:rPr>
        <w:fldChar w:fldCharType="end"/>
      </w:r>
      <w:bookmarkEnd w:id="4"/>
      <w:r>
        <w:rPr>
          <w:rFonts w:hint="eastAsia" w:ascii="黑体" w:eastAsia="黑体"/>
          <w:b w:val="0"/>
          <w:w w:val="100"/>
          <w:sz w:val="48"/>
        </w:rPr>
        <w:t>团体</w:t>
      </w:r>
      <w:r>
        <w:rPr>
          <w:rFonts w:hint="eastAsia" w:ascii="黑体" w:hAnsi="黑体" w:eastAsia="黑体"/>
          <w:b w:val="0"/>
          <w:bCs w:val="0"/>
          <w:w w:val="100"/>
          <w:sz w:val="48"/>
          <w:szCs w:val="48"/>
        </w:rPr>
        <w:t>标准</w:t>
      </w:r>
    </w:p>
    <w:bookmarkEnd w:id="3"/>
    <w:p w14:paraId="77C1F0ED">
      <w:pPr>
        <w:pStyle w:val="195"/>
        <w:framePr/>
      </w:pPr>
      <w:r>
        <w:t>T/</w:t>
      </w:r>
      <w:r>
        <w:fldChar w:fldCharType="begin">
          <w:ffData>
            <w:name w:val="文字1"/>
            <w:enabled/>
            <w:calcOnExit w:val="0"/>
            <w:textInput>
              <w:default w:val="XZBX"/>
            </w:textInput>
          </w:ffData>
        </w:fldChar>
      </w:r>
      <w:bookmarkStart w:id="5" w:name="文字1"/>
      <w:r>
        <w:instrText xml:space="preserve"> FORMTEXT </w:instrText>
      </w:r>
      <w:r>
        <w:fldChar w:fldCharType="separate"/>
      </w:r>
      <w:r>
        <w:t>XZBX</w:t>
      </w:r>
      <w:r>
        <w:fldChar w:fldCharType="end"/>
      </w:r>
      <w:bookmarkEnd w:id="5"/>
      <w:r>
        <w:t xml:space="preserve"> </w:t>
      </w:r>
      <w:r>
        <w:fldChar w:fldCharType="begin">
          <w:ffData>
            <w:name w:val="NSTD_CODE_F"/>
            <w:enabled/>
            <w:calcOnExit w:val="0"/>
            <w:textInput>
              <w:default w:val="0263"/>
            </w:textInput>
          </w:ffData>
        </w:fldChar>
      </w:r>
      <w:bookmarkStart w:id="6" w:name="NSTD_CODE_F"/>
      <w:r>
        <w:instrText xml:space="preserve"> FORMTEXT </w:instrText>
      </w:r>
      <w:r>
        <w:fldChar w:fldCharType="separate"/>
      </w:r>
      <w:r>
        <w:t>0263</w:t>
      </w:r>
      <w:r>
        <w:fldChar w:fldCharType="end"/>
      </w:r>
      <w:bookmarkEnd w:id="6"/>
      <w:r>
        <w:rPr>
          <w:rFonts w:hAnsi="黑体"/>
        </w:rPr>
        <w:t>—</w:t>
      </w:r>
      <w:r>
        <w:fldChar w:fldCharType="begin">
          <w:ffData>
            <w:name w:val="NSTD_CODE_B"/>
            <w:enabled/>
            <w:calcOnExit w:val="0"/>
            <w:textInput>
              <w:default w:val="2026"/>
            </w:textInput>
          </w:ffData>
        </w:fldChar>
      </w:r>
      <w:bookmarkStart w:id="7" w:name="NSTD_CODE_B"/>
      <w:r>
        <w:instrText xml:space="preserve"> FORMTEXT </w:instrText>
      </w:r>
      <w:r>
        <w:fldChar w:fldCharType="separate"/>
      </w:r>
      <w:r>
        <w:t>2026</w:t>
      </w:r>
      <w:r>
        <w:fldChar w:fldCharType="end"/>
      </w:r>
      <w:bookmarkEnd w:id="7"/>
    </w:p>
    <w:p w14:paraId="6644B319">
      <w:pPr>
        <w:pStyle w:val="196"/>
        <w:framePr/>
        <w:rPr>
          <w:rFonts w:hint="eastAsia"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14:paraId="7497C1C9">
      <w:pPr>
        <w:spacing w:line="240" w:lineRule="auto"/>
        <w:rPr>
          <w:rFonts w:hint="eastAsia"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直接连接符 3"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8xQH&#10;AOUBAACrAwAADgAAAAAAAAABACAAAAAnAQAAZHJzL2Uyb0RvYy54bWxQSwUGAAAAAAYABgBZAQAA&#10;fgUAAAAA&#10;">
                <v:fill on="f" focussize="0,0"/>
                <v:stroke color="#000000" joinstyle="round"/>
                <v:imagedata o:title=""/>
                <o:lock v:ext="edit" aspectratio="f"/>
              </v:line>
            </w:pict>
          </mc:Fallback>
        </mc:AlternateContent>
      </w:r>
    </w:p>
    <w:p w14:paraId="7CF237F3">
      <w:pPr>
        <w:pStyle w:val="50"/>
        <w:framePr w:w="9639" w:h="6976" w:hRule="exact" w:hSpace="0" w:vSpace="0" w:wrap="around" w:hAnchor="page" w:y="6408"/>
        <w:jc w:val="center"/>
        <w:rPr>
          <w:rFonts w:hint="eastAsia" w:ascii="黑体" w:hAnsi="黑体" w:eastAsia="黑体"/>
          <w:b w:val="0"/>
          <w:bCs w:val="0"/>
          <w:w w:val="100"/>
        </w:rPr>
      </w:pPr>
    </w:p>
    <w:p w14:paraId="672892B5">
      <w:pPr>
        <w:pStyle w:val="197"/>
        <w:framePr w:h="6974" w:hRule="exact" w:wrap="around" w:x="1419" w:anchorLock="1"/>
        <w:rPr>
          <w:rFonts w:hint="eastAsia"/>
        </w:rPr>
      </w:pPr>
      <w:r>
        <w:rPr>
          <w:rFonts w:hint="eastAsia"/>
        </w:rPr>
        <w:fldChar w:fldCharType="begin">
          <w:ffData>
            <w:name w:val="CSTD_NAME"/>
            <w:enabled/>
            <w:calcOnExit w:val="0"/>
            <w:textInput>
              <w:default w:val="水利工程施工期水环境在线监测与智慧管控规程"/>
            </w:textInput>
          </w:ffData>
        </w:fldChar>
      </w:r>
      <w:bookmarkStart w:id="9" w:name="CSTD_NAME"/>
      <w:r>
        <w:rPr>
          <w:rFonts w:hint="eastAsia"/>
        </w:rPr>
        <w:instrText xml:space="preserve"> FORMTEXT </w:instrText>
      </w:r>
      <w:r>
        <w:rPr>
          <w:rFonts w:hint="eastAsia"/>
        </w:rPr>
        <w:fldChar w:fldCharType="separate"/>
      </w:r>
      <w:r>
        <w:rPr>
          <w:rFonts w:hint="eastAsia"/>
        </w:rPr>
        <w:t>水利工程施工期水环境在线监测</w:t>
      </w:r>
    </w:p>
    <w:p w14:paraId="73594FE6">
      <w:pPr>
        <w:pStyle w:val="197"/>
        <w:framePr w:h="6974" w:hRule="exact" w:wrap="around" w:x="1419" w:anchorLock="1"/>
        <w:rPr>
          <w:rFonts w:hint="eastAsia"/>
        </w:rPr>
      </w:pPr>
      <w:r>
        <w:rPr>
          <w:rFonts w:hint="eastAsia"/>
        </w:rPr>
        <w:t>与智慧管控规程</w:t>
      </w:r>
      <w:r>
        <w:rPr>
          <w:rFonts w:hint="eastAsia"/>
        </w:rPr>
        <w:fldChar w:fldCharType="end"/>
      </w:r>
      <w:bookmarkEnd w:id="9"/>
    </w:p>
    <w:p w14:paraId="445B16AD">
      <w:pPr>
        <w:framePr w:w="9639" w:h="6974" w:hRule="exact" w:wrap="around" w:vAnchor="page" w:hAnchor="page" w:x="1419" w:y="6408" w:anchorLock="1"/>
        <w:ind w:left="-1418"/>
      </w:pPr>
    </w:p>
    <w:p w14:paraId="7581C8E1">
      <w:pPr>
        <w:pStyle w:val="125"/>
        <w:framePr w:w="9639" w:h="6974" w:hRule="exact" w:wrap="around" w:vAnchor="page" w:hAnchor="page" w:x="1419" w:y="6408" w:anchorLock="1"/>
        <w:textAlignment w:val="bottom"/>
        <w:rPr>
          <w:rFonts w:hint="eastAsia" w:ascii="黑体" w:hAnsi="黑体" w:eastAsia="黑体"/>
          <w:szCs w:val="28"/>
        </w:rPr>
      </w:pPr>
      <w:r>
        <w:rPr>
          <w:rFonts w:hint="eastAsia" w:ascii="黑体" w:hAnsi="黑体" w:eastAsia="黑体"/>
          <w:szCs w:val="28"/>
        </w:rPr>
        <w:fldChar w:fldCharType="begin">
          <w:ffData>
            <w:name w:val="ESTD_NAME"/>
            <w:enabled/>
            <w:calcOnExit w:val="0"/>
            <w:textInput>
              <w:default w:val="Code of practice for online monitoring and intelligent control of water environment during construction in water conservancy engineering"/>
            </w:textInput>
          </w:ffData>
        </w:fldChar>
      </w:r>
      <w:bookmarkStart w:id="10" w:name="ESTD_NAME"/>
      <w:r>
        <w:rPr>
          <w:rFonts w:hint="eastAsia" w:ascii="黑体" w:hAnsi="黑体" w:eastAsia="黑体"/>
          <w:szCs w:val="28"/>
        </w:rPr>
        <w:instrText xml:space="preserve"> FORMTEXT </w:instrText>
      </w:r>
      <w:r>
        <w:rPr>
          <w:rFonts w:hint="eastAsia" w:ascii="黑体" w:hAnsi="黑体" w:eastAsia="黑体"/>
          <w:szCs w:val="28"/>
        </w:rPr>
        <w:fldChar w:fldCharType="separate"/>
      </w:r>
      <w:r>
        <w:rPr>
          <w:rFonts w:hint="eastAsia" w:ascii="黑体" w:hAnsi="黑体" w:eastAsia="黑体"/>
          <w:szCs w:val="28"/>
        </w:rPr>
        <w:t>Code of practice for online monitoring and intelligent control of water environment during construction in water conservancy engineering</w:t>
      </w:r>
      <w:r>
        <w:rPr>
          <w:rFonts w:hint="eastAsia" w:ascii="黑体" w:hAnsi="黑体" w:eastAsia="黑体"/>
          <w:szCs w:val="28"/>
        </w:rPr>
        <w:fldChar w:fldCharType="end"/>
      </w:r>
      <w:bookmarkEnd w:id="10"/>
    </w:p>
    <w:p w14:paraId="0F045E5F">
      <w:pPr>
        <w:framePr w:w="9639" w:h="6974" w:hRule="exact" w:wrap="around" w:vAnchor="page" w:hAnchor="page" w:x="1419" w:y="6408" w:anchorLock="1"/>
        <w:spacing w:line="760" w:lineRule="exact"/>
        <w:ind w:left="-1418"/>
      </w:pPr>
    </w:p>
    <w:p w14:paraId="35A51517">
      <w:pPr>
        <w:pStyle w:val="125"/>
        <w:framePr w:w="9639" w:h="6974" w:hRule="exact" w:wrap="around" w:vAnchor="page" w:hAnchor="page" w:x="1419" w:y="6408" w:anchorLock="1"/>
        <w:textAlignment w:val="bottom"/>
        <w:rPr>
          <w:rFonts w:eastAsia="黑体"/>
          <w:szCs w:val="28"/>
        </w:rPr>
      </w:pPr>
    </w:p>
    <w:p w14:paraId="1926DE23">
      <w:pPr>
        <w:pStyle w:val="125"/>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14:paraId="0324A2D6">
      <w:pPr>
        <w:pStyle w:val="125"/>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2"/>
    </w:p>
    <w:p w14:paraId="2F878F1C">
      <w:pPr>
        <w:pStyle w:val="125"/>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14:paraId="7E89F4D2">
      <w:pPr>
        <w:pStyle w:val="193"/>
        <w:framePr w:wrap="around" w:y="14176"/>
      </w:pPr>
      <w:r>
        <w:rPr>
          <w:rFonts w:ascii="黑体"/>
        </w:rPr>
        <w:fldChar w:fldCharType="begin">
          <w:ffData>
            <w:name w:val="PLSH_DATE_Y"/>
            <w:enabled/>
            <w:calcOnExit w:val="0"/>
            <w:textInput>
              <w:default w:val="2026"/>
              <w:maxLength w:val="4"/>
            </w:textInput>
          </w:ffData>
        </w:fldChar>
      </w:r>
      <w:bookmarkStart w:id="14" w:name="PLSH_DATE_Y"/>
      <w:r>
        <w:rPr>
          <w:rFonts w:ascii="黑体"/>
        </w:rPr>
        <w:instrText xml:space="preserve"> FORMTEXT </w:instrText>
      </w:r>
      <w:r>
        <w:rPr>
          <w:rFonts w:ascii="黑体"/>
        </w:rPr>
        <w:fldChar w:fldCharType="separate"/>
      </w:r>
      <w:r>
        <w:rPr>
          <w:rFonts w:ascii="黑体"/>
        </w:rPr>
        <w:t>2026</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发布</w:t>
      </w:r>
    </w:p>
    <w:p w14:paraId="0D82105B">
      <w:pPr>
        <w:pStyle w:val="194"/>
        <w:framePr w:wrap="around" w:y="14176"/>
      </w:pPr>
      <w:r>
        <w:rPr>
          <w:rFonts w:ascii="黑体"/>
        </w:rPr>
        <w:fldChar w:fldCharType="begin">
          <w:ffData>
            <w:name w:val="CROT_DATE_Y"/>
            <w:enabled/>
            <w:calcOnExit w:val="0"/>
            <w:textInput>
              <w:default w:val="2026"/>
              <w:maxLength w:val="4"/>
            </w:textInput>
          </w:ffData>
        </w:fldChar>
      </w:r>
      <w:bookmarkStart w:id="17" w:name="CROT_DATE_Y"/>
      <w:r>
        <w:rPr>
          <w:rFonts w:ascii="黑体"/>
        </w:rPr>
        <w:instrText xml:space="preserve"> FORMTEXT </w:instrText>
      </w:r>
      <w:r>
        <w:rPr>
          <w:rFonts w:ascii="黑体"/>
        </w:rPr>
        <w:fldChar w:fldCharType="separate"/>
      </w:r>
      <w:r>
        <w:rPr>
          <w:rFonts w:ascii="黑体"/>
        </w:rPr>
        <w:t>2026</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hint="eastAsia"/>
        </w:rPr>
        <w:t>实施</w:t>
      </w:r>
    </w:p>
    <w:p w14:paraId="51BA3478">
      <w:pPr>
        <w:pStyle w:val="151"/>
        <w:framePr w:h="584" w:hRule="exact" w:hSpace="181" w:vSpace="181" w:wrap="around" w:y="14800"/>
        <w:rPr>
          <w:rFonts w:hint="eastAsia" w:hAnsi="黑体"/>
        </w:rPr>
      </w:pPr>
      <w:r>
        <w:rPr>
          <w:rFonts w:hint="eastAsia" w:hAnsi="黑体"/>
          <w:w w:val="100"/>
          <w:sz w:val="28"/>
        </w:rPr>
        <w:fldChar w:fldCharType="begin">
          <w:ffData>
            <w:name w:val="fm"/>
            <w:enabled/>
            <w:calcOnExit w:val="0"/>
            <w:textInput>
              <w:default w:val="西安市质量与标准化协会"/>
            </w:textInput>
          </w:ffData>
        </w:fldChar>
      </w:r>
      <w:bookmarkStart w:id="20" w:name="fm"/>
      <w:r>
        <w:rPr>
          <w:rFonts w:hint="eastAsia" w:hAnsi="黑体"/>
          <w:w w:val="100"/>
          <w:sz w:val="28"/>
        </w:rPr>
        <w:instrText xml:space="preserve"> FORMTEXT </w:instrText>
      </w:r>
      <w:r>
        <w:rPr>
          <w:rFonts w:hint="eastAsia" w:hAnsi="黑体"/>
          <w:w w:val="100"/>
          <w:sz w:val="28"/>
        </w:rPr>
        <w:fldChar w:fldCharType="separate"/>
      </w:r>
      <w:r>
        <w:rPr>
          <w:rFonts w:hint="eastAsia" w:hAnsi="黑体"/>
          <w:w w:val="100"/>
          <w:sz w:val="28"/>
        </w:rPr>
        <w:t>西安市质量与标准化协会</w:t>
      </w:r>
      <w:r>
        <w:rPr>
          <w:rFonts w:hint="eastAsia" w:hAnsi="黑体"/>
          <w:w w:val="100"/>
          <w:sz w:val="28"/>
        </w:rPr>
        <w:fldChar w:fldCharType="end"/>
      </w:r>
      <w:bookmarkEnd w:id="20"/>
      <w:r>
        <w:rPr>
          <w:rFonts w:ascii="Times New Roman"/>
          <w:w w:val="100"/>
          <w:sz w:val="28"/>
        </w:rPr>
        <w:t>  </w:t>
      </w:r>
      <w:r>
        <w:rPr>
          <w:rStyle w:val="229"/>
          <w:rFonts w:hint="eastAsia" w:hAnsi="黑体"/>
          <w:position w:val="0"/>
        </w:rPr>
        <w:t>发</w:t>
      </w:r>
      <w:r>
        <w:rPr>
          <w:rStyle w:val="229"/>
          <w:rFonts w:hint="eastAsia" w:hAnsi="黑体"/>
          <w:spacing w:val="0"/>
          <w:position w:val="0"/>
        </w:rPr>
        <w:t>布</w:t>
      </w:r>
    </w:p>
    <w:p w14:paraId="6F7BCF62">
      <w:pPr>
        <w:rPr>
          <w:rFonts w:hint="eastAsia"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567" w:right="1134" w:bottom="1134" w:left="1134" w:header="1418" w:footer="1134"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4"/>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直接连接符 4"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s202S+MB&#10;AACqAwAADgAAAAAAAAABACAAAAAmAQAAZHJzL2Uyb0RvYy54bWxQSwUGAAAAAAYABgBZAQAAewUA&#10;AAAA&#10;">
                <v:fill on="f" focussize="0,0"/>
                <v:stroke color="#000000" joinstyle="round"/>
                <v:imagedata o:title=""/>
                <o:lock v:ext="edit" aspectratio="f"/>
                <w10:anchorlock/>
              </v:line>
            </w:pict>
          </mc:Fallback>
        </mc:AlternateContent>
      </w:r>
    </w:p>
    <w:p w14:paraId="1343708E">
      <w:pPr>
        <w:pStyle w:val="91"/>
        <w:spacing w:after="360"/>
      </w:pPr>
      <w:bookmarkStart w:id="21" w:name="BookMark1"/>
      <w:r>
        <w:rPr>
          <w:rFonts w:hint="eastAsia"/>
          <w:spacing w:val="320"/>
        </w:rPr>
        <w:t>目</w:t>
      </w:r>
      <w:r>
        <w:rPr>
          <w:rFonts w:hint="eastAsia"/>
        </w:rPr>
        <w:t>次</w:t>
      </w:r>
    </w:p>
    <w:p w14:paraId="73BE83DB">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TOC \o "1-1" \h </w:instrText>
      </w:r>
      <w:r>
        <w:fldChar w:fldCharType="separate"/>
      </w:r>
      <w:r>
        <w:fldChar w:fldCharType="begin"/>
      </w:r>
      <w:r>
        <w:instrText xml:space="preserve"> HYPERLINK \l "_Toc228609183" </w:instrText>
      </w:r>
      <w:r>
        <w:fldChar w:fldCharType="separate"/>
      </w:r>
      <w:r>
        <w:rPr>
          <w:rStyle w:val="32"/>
        </w:rPr>
        <w:t>前言</w:t>
      </w:r>
      <w:r>
        <w:rPr>
          <w:rFonts w:hint="eastAsia"/>
        </w:rPr>
        <w:tab/>
      </w:r>
      <w:r>
        <w:rPr>
          <w:rFonts w:hint="eastAsia"/>
        </w:rPr>
        <w:fldChar w:fldCharType="begin"/>
      </w:r>
      <w:r>
        <w:rPr>
          <w:rFonts w:hint="eastAsia"/>
        </w:rPr>
        <w:instrText xml:space="preserve"> </w:instrText>
      </w:r>
      <w:r>
        <w:instrText xml:space="preserve">PAGEREF _Toc228609183 \h</w:instrText>
      </w:r>
      <w:r>
        <w:rPr>
          <w:rFonts w:hint="eastAsia"/>
        </w:rPr>
        <w:instrText xml:space="preserve"> </w:instrText>
      </w:r>
      <w:r>
        <w:rPr>
          <w:rFonts w:hint="eastAsia"/>
        </w:rPr>
        <w:fldChar w:fldCharType="separate"/>
      </w:r>
      <w:r>
        <w:t>III</w:t>
      </w:r>
      <w:r>
        <w:rPr>
          <w:rFonts w:hint="eastAsia"/>
        </w:rPr>
        <w:fldChar w:fldCharType="end"/>
      </w:r>
      <w:r>
        <w:rPr>
          <w:rFonts w:hint="eastAsia"/>
        </w:rPr>
        <w:fldChar w:fldCharType="end"/>
      </w:r>
    </w:p>
    <w:p w14:paraId="6ED56F80">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"_Toc228609184" </w:instrText>
      </w:r>
      <w:r>
        <w:fldChar w:fldCharType="separate"/>
      </w:r>
      <w:r>
        <w:rPr>
          <w:rStyle w:val="32"/>
        </w:rPr>
        <w:t>引言</w:t>
      </w:r>
      <w:r>
        <w:rPr>
          <w:rFonts w:hint="eastAsia"/>
        </w:rPr>
        <w:tab/>
      </w:r>
      <w:r>
        <w:rPr>
          <w:rFonts w:hint="eastAsia"/>
        </w:rPr>
        <w:fldChar w:fldCharType="begin"/>
      </w:r>
      <w:r>
        <w:rPr>
          <w:rFonts w:hint="eastAsia"/>
        </w:rPr>
        <w:instrText xml:space="preserve"> </w:instrText>
      </w:r>
      <w:r>
        <w:instrText xml:space="preserve">PAGEREF _Toc228609184 \h</w:instrText>
      </w:r>
      <w:r>
        <w:rPr>
          <w:rFonts w:hint="eastAsia"/>
        </w:rPr>
        <w:instrText xml:space="preserve"> </w:instrText>
      </w:r>
      <w:r>
        <w:rPr>
          <w:rFonts w:hint="eastAsia"/>
        </w:rPr>
        <w:fldChar w:fldCharType="separate"/>
      </w:r>
      <w:r>
        <w:t>V</w:t>
      </w:r>
      <w:r>
        <w:rPr>
          <w:rFonts w:hint="eastAsia"/>
        </w:rPr>
        <w:fldChar w:fldCharType="end"/>
      </w:r>
      <w:r>
        <w:rPr>
          <w:rFonts w:hint="eastAsia"/>
        </w:rPr>
        <w:fldChar w:fldCharType="end"/>
      </w:r>
    </w:p>
    <w:p w14:paraId="0D2386F3">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"_Toc228609185" </w:instrText>
      </w:r>
      <w:r>
        <w:fldChar w:fldCharType="separate"/>
      </w:r>
      <w:r>
        <w:rPr>
          <w:rStyle w:val="32"/>
        </w:rPr>
        <w:t>1  范围</w:t>
      </w:r>
      <w:r>
        <w:rPr>
          <w:rFonts w:hint="eastAsia"/>
        </w:rPr>
        <w:tab/>
      </w:r>
      <w:r>
        <w:rPr>
          <w:rFonts w:hint="eastAsia"/>
        </w:rPr>
        <w:fldChar w:fldCharType="begin"/>
      </w:r>
      <w:r>
        <w:rPr>
          <w:rFonts w:hint="eastAsia"/>
        </w:rPr>
        <w:instrText xml:space="preserve"> </w:instrText>
      </w:r>
      <w:r>
        <w:instrText xml:space="preserve">PAGEREF _Toc228609185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26FCDF16">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"_Toc228609186" </w:instrText>
      </w:r>
      <w:r>
        <w:fldChar w:fldCharType="separate"/>
      </w:r>
      <w:r>
        <w:rPr>
          <w:rStyle w:val="32"/>
        </w:rPr>
        <w:t>2  规范性引用文件</w:t>
      </w:r>
      <w:r>
        <w:rPr>
          <w:rFonts w:hint="eastAsia"/>
        </w:rPr>
        <w:tab/>
      </w:r>
      <w:r>
        <w:rPr>
          <w:rFonts w:hint="eastAsia"/>
        </w:rPr>
        <w:fldChar w:fldCharType="begin"/>
      </w:r>
      <w:r>
        <w:rPr>
          <w:rFonts w:hint="eastAsia"/>
        </w:rPr>
        <w:instrText xml:space="preserve"> </w:instrText>
      </w:r>
      <w:r>
        <w:instrText xml:space="preserve">PAGEREF _Toc228609186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4E071B6B">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"_Toc228609187" </w:instrText>
      </w:r>
      <w:r>
        <w:fldChar w:fldCharType="separate"/>
      </w:r>
      <w:r>
        <w:rPr>
          <w:rStyle w:val="32"/>
        </w:rPr>
        <w:t>3  术语和定义</w:t>
      </w:r>
      <w:r>
        <w:rPr>
          <w:rFonts w:hint="eastAsia"/>
        </w:rPr>
        <w:tab/>
      </w:r>
      <w:r>
        <w:rPr>
          <w:rFonts w:hint="eastAsia"/>
        </w:rPr>
        <w:fldChar w:fldCharType="begin"/>
      </w:r>
      <w:r>
        <w:rPr>
          <w:rFonts w:hint="eastAsia"/>
        </w:rPr>
        <w:instrText xml:space="preserve"> </w:instrText>
      </w:r>
      <w:r>
        <w:instrText xml:space="preserve">PAGEREF _Toc228609187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01B3BC34">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"_Toc228609188" </w:instrText>
      </w:r>
      <w:r>
        <w:fldChar w:fldCharType="separate"/>
      </w:r>
      <w:r>
        <w:rPr>
          <w:rStyle w:val="32"/>
        </w:rPr>
        <w:t>4  基本规定</w:t>
      </w:r>
      <w:r>
        <w:rPr>
          <w:rFonts w:hint="eastAsia"/>
        </w:rPr>
        <w:tab/>
      </w:r>
      <w:r>
        <w:rPr>
          <w:rFonts w:hint="eastAsia"/>
        </w:rPr>
        <w:fldChar w:fldCharType="begin"/>
      </w:r>
      <w:r>
        <w:rPr>
          <w:rFonts w:hint="eastAsia"/>
        </w:rPr>
        <w:instrText xml:space="preserve"> </w:instrText>
      </w:r>
      <w:r>
        <w:instrText xml:space="preserve">PAGEREF _Toc228609188 \h</w:instrText>
      </w:r>
      <w:r>
        <w:rPr>
          <w:rFonts w:hint="eastAsia"/>
        </w:rPr>
        <w:instrText xml:space="preserve"> </w:instrText>
      </w:r>
      <w:r>
        <w:rPr>
          <w:rFonts w:hint="eastAsia"/>
        </w:rPr>
        <w:fldChar w:fldCharType="separate"/>
      </w:r>
      <w:r>
        <w:t>2</w:t>
      </w:r>
      <w:r>
        <w:rPr>
          <w:rFonts w:hint="eastAsia"/>
        </w:rPr>
        <w:fldChar w:fldCharType="end"/>
      </w:r>
      <w:r>
        <w:rPr>
          <w:rFonts w:hint="eastAsia"/>
        </w:rPr>
        <w:fldChar w:fldCharType="end"/>
      </w:r>
    </w:p>
    <w:p w14:paraId="6747D2AE">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"_Toc228609189" </w:instrText>
      </w:r>
      <w:r>
        <w:fldChar w:fldCharType="separate"/>
      </w:r>
      <w:r>
        <w:rPr>
          <w:rStyle w:val="32"/>
        </w:rPr>
        <w:t>5  监测布设与监测指标要求</w:t>
      </w:r>
      <w:r>
        <w:rPr>
          <w:rFonts w:hint="eastAsia"/>
        </w:rPr>
        <w:tab/>
      </w:r>
      <w:r>
        <w:rPr>
          <w:rFonts w:hint="eastAsia"/>
        </w:rPr>
        <w:fldChar w:fldCharType="begin"/>
      </w:r>
      <w:r>
        <w:rPr>
          <w:rFonts w:hint="eastAsia"/>
        </w:rPr>
        <w:instrText xml:space="preserve"> </w:instrText>
      </w:r>
      <w:r>
        <w:instrText xml:space="preserve">PAGEREF _Toc228609189 \h</w:instrText>
      </w:r>
      <w:r>
        <w:rPr>
          <w:rFonts w:hint="eastAsia"/>
        </w:rPr>
        <w:instrText xml:space="preserve"> </w:instrText>
      </w:r>
      <w:r>
        <w:rPr>
          <w:rFonts w:hint="eastAsia"/>
        </w:rPr>
        <w:fldChar w:fldCharType="separate"/>
      </w:r>
      <w:r>
        <w:t>6</w:t>
      </w:r>
      <w:r>
        <w:rPr>
          <w:rFonts w:hint="eastAsia"/>
        </w:rPr>
        <w:fldChar w:fldCharType="end"/>
      </w:r>
      <w:r>
        <w:rPr>
          <w:rFonts w:hint="eastAsia"/>
        </w:rPr>
        <w:fldChar w:fldCharType="end"/>
      </w:r>
    </w:p>
    <w:p w14:paraId="496A5B78">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"_Toc228609190" </w:instrText>
      </w:r>
      <w:r>
        <w:fldChar w:fldCharType="separate"/>
      </w:r>
      <w:r>
        <w:rPr>
          <w:rStyle w:val="32"/>
        </w:rPr>
        <w:t>6  监测设施配置要求</w:t>
      </w:r>
      <w:r>
        <w:rPr>
          <w:rFonts w:hint="eastAsia"/>
        </w:rPr>
        <w:tab/>
      </w:r>
      <w:r>
        <w:rPr>
          <w:rFonts w:hint="eastAsia"/>
        </w:rPr>
        <w:fldChar w:fldCharType="begin"/>
      </w:r>
      <w:r>
        <w:rPr>
          <w:rFonts w:hint="eastAsia"/>
        </w:rPr>
        <w:instrText xml:space="preserve"> </w:instrText>
      </w:r>
      <w:r>
        <w:instrText xml:space="preserve">PAGEREF _Toc228609190 \h</w:instrText>
      </w:r>
      <w:r>
        <w:rPr>
          <w:rFonts w:hint="eastAsia"/>
        </w:rPr>
        <w:instrText xml:space="preserve"> </w:instrText>
      </w:r>
      <w:r>
        <w:rPr>
          <w:rFonts w:hint="eastAsia"/>
        </w:rPr>
        <w:fldChar w:fldCharType="separate"/>
      </w:r>
      <w:r>
        <w:t>10</w:t>
      </w:r>
      <w:r>
        <w:rPr>
          <w:rFonts w:hint="eastAsia"/>
        </w:rPr>
        <w:fldChar w:fldCharType="end"/>
      </w:r>
      <w:r>
        <w:rPr>
          <w:rFonts w:hint="eastAsia"/>
        </w:rPr>
        <w:fldChar w:fldCharType="end"/>
      </w:r>
    </w:p>
    <w:p w14:paraId="1043D78C">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"_Toc228609191" </w:instrText>
      </w:r>
      <w:r>
        <w:fldChar w:fldCharType="separate"/>
      </w:r>
      <w:r>
        <w:rPr>
          <w:rStyle w:val="32"/>
        </w:rPr>
        <w:t>7  数据采集与传输要求</w:t>
      </w:r>
      <w:r>
        <w:rPr>
          <w:rFonts w:hint="eastAsia"/>
        </w:rPr>
        <w:tab/>
      </w:r>
      <w:r>
        <w:rPr>
          <w:rFonts w:hint="eastAsia"/>
        </w:rPr>
        <w:fldChar w:fldCharType="begin"/>
      </w:r>
      <w:r>
        <w:rPr>
          <w:rFonts w:hint="eastAsia"/>
        </w:rPr>
        <w:instrText xml:space="preserve"> </w:instrText>
      </w:r>
      <w:r>
        <w:instrText xml:space="preserve">PAGEREF _Toc228609191 \h</w:instrText>
      </w:r>
      <w:r>
        <w:rPr>
          <w:rFonts w:hint="eastAsia"/>
        </w:rPr>
        <w:instrText xml:space="preserve"> </w:instrText>
      </w:r>
      <w:r>
        <w:rPr>
          <w:rFonts w:hint="eastAsia"/>
        </w:rPr>
        <w:fldChar w:fldCharType="separate"/>
      </w:r>
      <w:r>
        <w:t>14</w:t>
      </w:r>
      <w:r>
        <w:rPr>
          <w:rFonts w:hint="eastAsia"/>
        </w:rPr>
        <w:fldChar w:fldCharType="end"/>
      </w:r>
      <w:r>
        <w:rPr>
          <w:rFonts w:hint="eastAsia"/>
        </w:rPr>
        <w:fldChar w:fldCharType="end"/>
      </w:r>
    </w:p>
    <w:p w14:paraId="15B0DE3E">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"_Toc228609192" </w:instrText>
      </w:r>
      <w:r>
        <w:fldChar w:fldCharType="separate"/>
      </w:r>
      <w:r>
        <w:rPr>
          <w:rStyle w:val="32"/>
        </w:rPr>
        <w:t>8  预警管理要求</w:t>
      </w:r>
      <w:r>
        <w:rPr>
          <w:rFonts w:hint="eastAsia"/>
        </w:rPr>
        <w:tab/>
      </w:r>
      <w:r>
        <w:rPr>
          <w:rFonts w:hint="eastAsia"/>
        </w:rPr>
        <w:fldChar w:fldCharType="begin"/>
      </w:r>
      <w:r>
        <w:rPr>
          <w:rFonts w:hint="eastAsia"/>
        </w:rPr>
        <w:instrText xml:space="preserve"> </w:instrText>
      </w:r>
      <w:r>
        <w:instrText xml:space="preserve">PAGEREF _Toc228609192 \h</w:instrText>
      </w:r>
      <w:r>
        <w:rPr>
          <w:rFonts w:hint="eastAsia"/>
        </w:rPr>
        <w:instrText xml:space="preserve"> </w:instrText>
      </w:r>
      <w:r>
        <w:rPr>
          <w:rFonts w:hint="eastAsia"/>
        </w:rPr>
        <w:fldChar w:fldCharType="separate"/>
      </w:r>
      <w:r>
        <w:t>17</w:t>
      </w:r>
      <w:r>
        <w:rPr>
          <w:rFonts w:hint="eastAsia"/>
        </w:rPr>
        <w:fldChar w:fldCharType="end"/>
      </w:r>
      <w:r>
        <w:rPr>
          <w:rFonts w:hint="eastAsia"/>
        </w:rPr>
        <w:fldChar w:fldCharType="end"/>
      </w:r>
    </w:p>
    <w:p w14:paraId="3D4AB5D5">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"_Toc228609193" </w:instrText>
      </w:r>
      <w:r>
        <w:fldChar w:fldCharType="separate"/>
      </w:r>
      <w:r>
        <w:rPr>
          <w:rStyle w:val="32"/>
        </w:rPr>
        <w:t>9  联动处置要求</w:t>
      </w:r>
      <w:r>
        <w:rPr>
          <w:rFonts w:hint="eastAsia"/>
        </w:rPr>
        <w:tab/>
      </w:r>
      <w:r>
        <w:rPr>
          <w:rFonts w:hint="eastAsia"/>
        </w:rPr>
        <w:fldChar w:fldCharType="begin"/>
      </w:r>
      <w:r>
        <w:rPr>
          <w:rFonts w:hint="eastAsia"/>
        </w:rPr>
        <w:instrText xml:space="preserve"> </w:instrText>
      </w:r>
      <w:r>
        <w:instrText xml:space="preserve">PAGEREF _Toc228609193 \h</w:instrText>
      </w:r>
      <w:r>
        <w:rPr>
          <w:rFonts w:hint="eastAsia"/>
        </w:rPr>
        <w:instrText xml:space="preserve"> </w:instrText>
      </w:r>
      <w:r>
        <w:rPr>
          <w:rFonts w:hint="eastAsia"/>
        </w:rPr>
        <w:fldChar w:fldCharType="separate"/>
      </w:r>
      <w:r>
        <w:t>21</w:t>
      </w:r>
      <w:r>
        <w:rPr>
          <w:rFonts w:hint="eastAsia"/>
        </w:rPr>
        <w:fldChar w:fldCharType="end"/>
      </w:r>
      <w:r>
        <w:rPr>
          <w:rFonts w:hint="eastAsia"/>
        </w:rPr>
        <w:fldChar w:fldCharType="end"/>
      </w:r>
    </w:p>
    <w:p w14:paraId="762E86E4">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"_Toc228609194" </w:instrText>
      </w:r>
      <w:r>
        <w:fldChar w:fldCharType="separate"/>
      </w:r>
      <w:r>
        <w:rPr>
          <w:rStyle w:val="32"/>
        </w:rPr>
        <w:t>10  运行维护要求</w:t>
      </w:r>
      <w:r>
        <w:rPr>
          <w:rFonts w:hint="eastAsia"/>
        </w:rPr>
        <w:tab/>
      </w:r>
      <w:r>
        <w:rPr>
          <w:rFonts w:hint="eastAsia"/>
        </w:rPr>
        <w:fldChar w:fldCharType="begin"/>
      </w:r>
      <w:r>
        <w:rPr>
          <w:rFonts w:hint="eastAsia"/>
        </w:rPr>
        <w:instrText xml:space="preserve"> </w:instrText>
      </w:r>
      <w:r>
        <w:instrText xml:space="preserve">PAGEREF _Toc228609194 \h</w:instrText>
      </w:r>
      <w:r>
        <w:rPr>
          <w:rFonts w:hint="eastAsia"/>
        </w:rPr>
        <w:instrText xml:space="preserve"> </w:instrText>
      </w:r>
      <w:r>
        <w:rPr>
          <w:rFonts w:hint="eastAsia"/>
        </w:rPr>
        <w:fldChar w:fldCharType="separate"/>
      </w:r>
      <w:r>
        <w:t>24</w:t>
      </w:r>
      <w:r>
        <w:rPr>
          <w:rFonts w:hint="eastAsia"/>
        </w:rPr>
        <w:fldChar w:fldCharType="end"/>
      </w:r>
      <w:r>
        <w:rPr>
          <w:rFonts w:hint="eastAsia"/>
        </w:rPr>
        <w:fldChar w:fldCharType="end"/>
      </w:r>
    </w:p>
    <w:p w14:paraId="71F9C2D9">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"_Toc228609195" </w:instrText>
      </w:r>
      <w:r>
        <w:fldChar w:fldCharType="separate"/>
      </w:r>
      <w:r>
        <w:rPr>
          <w:rStyle w:val="32"/>
        </w:rPr>
        <w:t>11  质量控制与资料管理</w:t>
      </w:r>
      <w:r>
        <w:rPr>
          <w:rFonts w:hint="eastAsia"/>
        </w:rPr>
        <w:tab/>
      </w:r>
      <w:r>
        <w:rPr>
          <w:rFonts w:hint="eastAsia"/>
        </w:rPr>
        <w:fldChar w:fldCharType="begin"/>
      </w:r>
      <w:r>
        <w:rPr>
          <w:rFonts w:hint="eastAsia"/>
        </w:rPr>
        <w:instrText xml:space="preserve"> </w:instrText>
      </w:r>
      <w:r>
        <w:instrText xml:space="preserve">PAGEREF _Toc228609195 \h</w:instrText>
      </w:r>
      <w:r>
        <w:rPr>
          <w:rFonts w:hint="eastAsia"/>
        </w:rPr>
        <w:instrText xml:space="preserve"> </w:instrText>
      </w:r>
      <w:r>
        <w:rPr>
          <w:rFonts w:hint="eastAsia"/>
        </w:rPr>
        <w:fldChar w:fldCharType="separate"/>
      </w:r>
      <w:r>
        <w:t>27</w:t>
      </w:r>
      <w:r>
        <w:rPr>
          <w:rFonts w:hint="eastAsia"/>
        </w:rPr>
        <w:fldChar w:fldCharType="end"/>
      </w:r>
      <w:r>
        <w:rPr>
          <w:rFonts w:hint="eastAsia"/>
        </w:rPr>
        <w:fldChar w:fldCharType="end"/>
      </w:r>
    </w:p>
    <w:p w14:paraId="15B4FFF0">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"_Toc228609196" </w:instrText>
      </w:r>
      <w:r>
        <w:fldChar w:fldCharType="separate"/>
      </w:r>
      <w:r>
        <w:rPr>
          <w:rStyle w:val="32"/>
        </w:rPr>
        <w:t>12  附则</w:t>
      </w:r>
      <w:r>
        <w:rPr>
          <w:rFonts w:hint="eastAsia"/>
        </w:rPr>
        <w:tab/>
      </w:r>
      <w:r>
        <w:rPr>
          <w:rFonts w:hint="eastAsia"/>
        </w:rPr>
        <w:fldChar w:fldCharType="begin"/>
      </w:r>
      <w:r>
        <w:rPr>
          <w:rFonts w:hint="eastAsia"/>
        </w:rPr>
        <w:instrText xml:space="preserve"> </w:instrText>
      </w:r>
      <w:r>
        <w:instrText xml:space="preserve">PAGEREF _Toc228609196 \h</w:instrText>
      </w:r>
      <w:r>
        <w:rPr>
          <w:rFonts w:hint="eastAsia"/>
        </w:rPr>
        <w:instrText xml:space="preserve"> </w:instrText>
      </w:r>
      <w:r>
        <w:rPr>
          <w:rFonts w:hint="eastAsia"/>
        </w:rPr>
        <w:fldChar w:fldCharType="separate"/>
      </w:r>
      <w:r>
        <w:t>30</w:t>
      </w:r>
      <w:r>
        <w:rPr>
          <w:rFonts w:hint="eastAsia"/>
        </w:rPr>
        <w:fldChar w:fldCharType="end"/>
      </w:r>
      <w:r>
        <w:rPr>
          <w:rFonts w:hint="eastAsia"/>
        </w:rPr>
        <w:fldChar w:fldCharType="end"/>
      </w:r>
    </w:p>
    <w:p w14:paraId="0DDE9FBF">
      <w:pPr>
        <w:pStyle w:val="91"/>
        <w:spacing w:after="360"/>
        <w:sectPr>
          <w:headerReference r:id="rId11" w:type="default"/>
          <w:footerReference r:id="rId13" w:type="default"/>
          <w:headerReference r:id="rId12" w:type="even"/>
          <w:footerReference r:id="rId14" w:type="even"/>
          <w:pgSz w:w="11906" w:h="16838"/>
          <w:pgMar w:top="1928" w:right="1134" w:bottom="1134" w:left="1134" w:header="1418" w:footer="1134" w:gutter="284"/>
          <w:pgNumType w:fmt="upperRoman" w:start="1"/>
          <w:cols w:space="425" w:num="1"/>
          <w:formProt w:val="0"/>
          <w:docGrid w:linePitch="312" w:charSpace="0"/>
        </w:sectPr>
      </w:pPr>
      <w:r>
        <w:fldChar w:fldCharType="end"/>
      </w:r>
    </w:p>
    <w:bookmarkEnd w:id="21"/>
    <w:p w14:paraId="7500498C">
      <w:pPr>
        <w:pStyle w:val="89"/>
        <w:spacing w:before="900" w:after="360"/>
      </w:pPr>
      <w:bookmarkStart w:id="22" w:name="_Toc228609183"/>
      <w:bookmarkStart w:id="23" w:name="BookMark2"/>
      <w:r>
        <w:rPr>
          <w:spacing w:val="320"/>
        </w:rPr>
        <w:t>前</w:t>
      </w:r>
      <w:r>
        <w:t>言</w:t>
      </w:r>
      <w:bookmarkEnd w:id="22"/>
    </w:p>
    <w:p w14:paraId="252D74D2">
      <w:pPr>
        <w:pStyle w:val="56"/>
        <w:spacing w:line="360" w:lineRule="auto"/>
        <w:ind w:firstLine="420"/>
      </w:pPr>
      <w:r>
        <w:rPr>
          <w:rFonts w:hint="eastAsia"/>
        </w:rPr>
        <w:t>本文件按照GB/T 1.1—2020《标准化工作导则  第1部分：标准化文件的结构和起草规则》的规定起草。</w:t>
      </w:r>
    </w:p>
    <w:p w14:paraId="0F2E2311">
      <w:pPr>
        <w:pStyle w:val="56"/>
        <w:spacing w:line="360" w:lineRule="auto"/>
        <w:ind w:firstLine="420"/>
      </w:pPr>
      <w:r>
        <w:rPr>
          <w:rFonts w:hint="eastAsia"/>
        </w:rPr>
        <w:t>请注意本文件的某些内容可能涉及专利。本文件的发布机构不承担识别专利的责任。</w:t>
      </w:r>
    </w:p>
    <w:p w14:paraId="56B1EF6F">
      <w:pPr>
        <w:pStyle w:val="56"/>
        <w:spacing w:line="360" w:lineRule="auto"/>
        <w:ind w:firstLine="420"/>
      </w:pPr>
      <w:r>
        <w:rPr>
          <w:rFonts w:hint="eastAsia"/>
        </w:rPr>
        <w:t>本文件由西安市质量与标准化协会提出并归口。</w:t>
      </w:r>
    </w:p>
    <w:p w14:paraId="13021025">
      <w:pPr>
        <w:pStyle w:val="56"/>
        <w:spacing w:line="360" w:lineRule="auto"/>
        <w:ind w:firstLine="420"/>
      </w:pPr>
      <w:r>
        <w:rPr>
          <w:rFonts w:hint="eastAsia"/>
        </w:rPr>
        <w:t>本文件起草单位：</w:t>
      </w:r>
      <w:r>
        <w:t>聊城黄河河务局东阿黄河河务局</w:t>
      </w:r>
      <w:r>
        <w:rPr>
          <w:rFonts w:hint="eastAsia"/>
        </w:rPr>
        <w:t>。</w:t>
      </w:r>
      <w:bookmarkStart w:id="61" w:name="_GoBack"/>
      <w:bookmarkEnd w:id="61"/>
    </w:p>
    <w:p w14:paraId="784B3C9B">
      <w:pPr>
        <w:pStyle w:val="56"/>
        <w:spacing w:line="360" w:lineRule="auto"/>
        <w:ind w:firstLine="420"/>
        <w:sectPr>
          <w:headerReference r:id="rId15" w:type="default"/>
          <w:footerReference r:id="rId17" w:type="default"/>
          <w:headerReference r:id="rId16" w:type="even"/>
          <w:footerReference r:id="rId18" w:type="even"/>
          <w:pgSz w:w="11906" w:h="16838"/>
          <w:pgMar w:top="1928" w:right="1134" w:bottom="1134" w:left="1134" w:header="1418" w:footer="1134" w:gutter="284"/>
          <w:pgNumType w:fmt="upperRoman" w:start="3"/>
          <w:cols w:space="425" w:num="1"/>
          <w:formProt w:val="0"/>
          <w:docGrid w:linePitch="312" w:charSpace="0"/>
        </w:sectPr>
      </w:pPr>
      <w:r>
        <w:rPr>
          <w:rFonts w:hint="eastAsia"/>
        </w:rPr>
        <w:t>本文件主要起草人：</w:t>
      </w:r>
      <w:r>
        <w:t>张静</w:t>
      </w:r>
      <w:r>
        <w:rPr>
          <w:rFonts w:hint="eastAsia"/>
        </w:rPr>
        <w:t>。</w:t>
      </w:r>
    </w:p>
    <w:bookmarkEnd w:id="23"/>
    <w:p w14:paraId="66D0A2F3">
      <w:pPr>
        <w:pStyle w:val="89"/>
        <w:spacing w:after="360"/>
      </w:pPr>
      <w:bookmarkStart w:id="24" w:name="_Toc228609184"/>
      <w:bookmarkStart w:id="25" w:name="BookMark3"/>
      <w:r>
        <w:rPr>
          <w:spacing w:val="320"/>
        </w:rPr>
        <w:t>引</w:t>
      </w:r>
      <w:r>
        <w:t>言</w:t>
      </w:r>
      <w:bookmarkEnd w:id="24"/>
    </w:p>
    <w:p w14:paraId="257DCC8D">
      <w:pPr>
        <w:pStyle w:val="56"/>
        <w:spacing w:line="360" w:lineRule="auto"/>
        <w:ind w:firstLine="420"/>
      </w:pPr>
      <w:r>
        <w:rPr>
          <w:rFonts w:hint="eastAsia"/>
        </w:rPr>
        <w:t>随着水利基础设施建设持续推进，水库工程、引调水工程、灌区工程、河道治理工程、泵站工程、水闸工程及其他水利工程施工规模不断扩大，施工组织方式日趋复杂，施工活动对周边水环境的影响呈现出范围广、持续时间长、影响因素多和变化速度快等特点。围堰施工、基坑排水、隧洞开挖、砂石料加工、混凝土拌和、施工营地排水、弃渣场径流和施工道路冲刷等活动，均可能引起受纳水体浊度升高、悬浮物增加、水质波动加剧和局部污染风险上升。特别是在生态敏感区、饮用水水源关联水域、跨界河流、重要水功能区和水生态保护要求较高区域，施工期水环境风险控制要求更高，传统以人工定期巡查和离线检测为主的管理方式，已难以满足实时感知、快速预警和动态调控的实际需要。</w:t>
      </w:r>
    </w:p>
    <w:p w14:paraId="004D8910">
      <w:pPr>
        <w:pStyle w:val="56"/>
        <w:spacing w:line="360" w:lineRule="auto"/>
        <w:ind w:firstLine="420"/>
      </w:pPr>
      <w:r>
        <w:rPr>
          <w:rFonts w:hint="eastAsia"/>
        </w:rPr>
        <w:t>施工期水环境管理具有明显的阶段性、动态性和现场性特征。不同施工阶段、不同工点、不同排水节点和不同水文气象条件下，水环境影响类型、影响强度和影响范围存在较大差异。若监测布设不合理、指标设置不匹配、数据传输不连续、预警规则不完善、联动处置不及时，容易造成风险识别滞后、异常处置迟缓、问题整改不彻底和管理闭环缺失。部分工程实践中仍存在监测点位设置偏重形式、在线设备运行不稳定、监测数据审核薄弱、平台展示与现场管理脱节、预警信息未有效转化为施工控制措施等问题，影响了施工期水环境保护工作的针对性和有效性。</w:t>
      </w:r>
    </w:p>
    <w:p w14:paraId="6126F958">
      <w:pPr>
        <w:pStyle w:val="56"/>
        <w:spacing w:line="360" w:lineRule="auto"/>
        <w:ind w:firstLine="420"/>
      </w:pPr>
      <w:r>
        <w:rPr>
          <w:rFonts w:hint="eastAsia"/>
        </w:rPr>
        <w:t>在线监测和智慧管控是提升施工期水环境管理能力的重要技术路径。通过布设在线监测点位、连续采集关键水环境指标、同步接入视频信息、施工信息和气象水文信息，并依托数据平台开展趋势分析、分级预警、联动处置和闭环管理，能够及时发现施工活动对水环境的不利影响，及时识别排水异常、扰动异常和设备异常，及时支撑施工组织优化、污染治理措施调整和风险防控决策。在线监测强调对水环境状态的实时感知和连续掌握，智慧管控强调对监测结果的综合研判、联动响应和过程控制，两者相互衔接、相互支撑，是施工期水环境由被动管理向主动管理转变的重要基础。</w:t>
      </w:r>
    </w:p>
    <w:p w14:paraId="29AFAB78">
      <w:pPr>
        <w:pStyle w:val="56"/>
        <w:spacing w:line="360" w:lineRule="auto"/>
        <w:ind w:firstLine="420"/>
      </w:pPr>
      <w:r>
        <w:rPr>
          <w:rFonts w:hint="eastAsia"/>
        </w:rPr>
        <w:t>本文件立足水利工程施工期水环境保护实际，围绕“监测先行、预警驱动、联动处置、闭环管理”的总体要求，对施工期水环境在线监测与智慧管控活动中的监测目标、监测布设、指标设置、设施配置、数据采集、数据审核、预警管理、联动处置、运行维护、质量控制和资料管理等内容提出规范要求。其目的在于统一施工期水环境在线监测与智慧管控的基本原则、关键环节和控制要求，增强监测体系的代表性、连续性、稳定性和可用性，提升智慧管控的及时性、精准性和有效性，减少因施工扰动、排水异常、极端天气和管理脱节导致的水环境风险。</w:t>
      </w:r>
    </w:p>
    <w:p w14:paraId="41C59179">
      <w:pPr>
        <w:pStyle w:val="56"/>
        <w:spacing w:line="360" w:lineRule="auto"/>
        <w:ind w:firstLine="420"/>
      </w:pPr>
      <w:r>
        <w:rPr>
          <w:rFonts w:hint="eastAsia"/>
        </w:rPr>
        <w:t>本文件的制定与实施，有助于推动水利工程施工期水环境管理由分散监测向系统监测转变，由事后处置向事前预警和过程控制转变，由单点管理向多源感知、智慧分析和协同联动转变，有助于提高施工期水环境风险防控能力、工程环境管理水平和问题整改实效，为水利工程绿色施工、文明施工和生态环境保护提供技术支撑。</w:t>
      </w:r>
    </w:p>
    <w:p w14:paraId="3AC90217">
      <w:pPr>
        <w:pStyle w:val="56"/>
        <w:ind w:firstLine="420"/>
        <w:sectPr>
          <w:headerReference r:id="rId19" w:type="default"/>
          <w:footerReference r:id="rId21" w:type="default"/>
          <w:headerReference r:id="rId20" w:type="even"/>
          <w:footerReference r:id="rId22" w:type="even"/>
          <w:pgSz w:w="11906" w:h="16838"/>
          <w:pgMar w:top="1928" w:right="1134" w:bottom="1134" w:left="1134" w:header="1418" w:footer="1134" w:gutter="284"/>
          <w:pgNumType w:fmt="upperRoman" w:start="5"/>
          <w:cols w:space="425" w:num="1"/>
          <w:formProt w:val="0"/>
          <w:docGrid w:linePitch="312" w:charSpace="0"/>
        </w:sectPr>
      </w:pPr>
    </w:p>
    <w:bookmarkEnd w:id="25"/>
    <w:p w14:paraId="7BCFE31A">
      <w:pPr>
        <w:spacing w:line="20" w:lineRule="exact"/>
        <w:jc w:val="center"/>
        <w:rPr>
          <w:rFonts w:hint="eastAsia" w:ascii="黑体" w:hAnsi="黑体" w:eastAsia="黑体"/>
          <w:sz w:val="32"/>
          <w:szCs w:val="32"/>
        </w:rPr>
      </w:pPr>
      <w:bookmarkStart w:id="26" w:name="BookMark4"/>
    </w:p>
    <w:p w14:paraId="71484A10">
      <w:pPr>
        <w:spacing w:line="20" w:lineRule="exact"/>
        <w:jc w:val="center"/>
        <w:rPr>
          <w:rFonts w:hint="eastAsia" w:ascii="黑体" w:hAnsi="黑体" w:eastAsia="黑体"/>
          <w:sz w:val="32"/>
          <w:szCs w:val="32"/>
        </w:rPr>
      </w:pPr>
    </w:p>
    <w:sdt>
      <w:sdtPr>
        <w:tag w:val="NEW_STAND_NAME"/>
        <w:id w:val="595910757"/>
        <w:lock w:val="sdtLocked"/>
        <w:placeholder>
          <w:docPart w:val="012FB321F5A4443D9AFC61825E0F0C38"/>
        </w:placeholder>
      </w:sdtPr>
      <w:sdtContent>
        <w:p w14:paraId="1824212A">
          <w:pPr>
            <w:pStyle w:val="177"/>
            <w:spacing w:after="0"/>
            <w:rPr>
              <w:rFonts w:hint="eastAsia"/>
            </w:rPr>
          </w:pPr>
          <w:bookmarkStart w:id="27" w:name="NEW_STAND_NAME"/>
          <w:r>
            <w:rPr>
              <w:rFonts w:hint="eastAsia"/>
            </w:rPr>
            <w:t>水利工程施工期水环境在线监测</w:t>
          </w:r>
        </w:p>
        <w:p w14:paraId="7D4E3E1F">
          <w:pPr>
            <w:pStyle w:val="177"/>
            <w:spacing w:before="0" w:after="0"/>
            <w:rPr>
              <w:rFonts w:hint="eastAsia"/>
            </w:rPr>
          </w:pPr>
          <w:r>
            <w:rPr>
              <w:rFonts w:hint="eastAsia"/>
            </w:rPr>
            <w:t>与智慧管控规程</w:t>
          </w:r>
        </w:p>
      </w:sdtContent>
    </w:sdt>
    <w:bookmarkEnd w:id="27"/>
    <w:p w14:paraId="3DB22445">
      <w:pPr>
        <w:pStyle w:val="104"/>
        <w:spacing w:before="240" w:after="240" w:line="360" w:lineRule="auto"/>
      </w:pPr>
      <w:bookmarkStart w:id="28" w:name="_Toc24884218"/>
      <w:bookmarkStart w:id="29" w:name="_Toc17233333"/>
      <w:bookmarkStart w:id="30" w:name="_Toc17233325"/>
      <w:bookmarkStart w:id="31" w:name="_Toc24884211"/>
      <w:bookmarkStart w:id="32" w:name="_Toc26648465"/>
      <w:bookmarkStart w:id="33" w:name="_Toc26986771"/>
      <w:bookmarkStart w:id="34" w:name="_Toc26986530"/>
      <w:bookmarkStart w:id="35" w:name="_Toc97192964"/>
      <w:bookmarkStart w:id="36" w:name="_Toc26718930"/>
      <w:bookmarkStart w:id="37" w:name="_Toc228609185"/>
      <w:r>
        <w:rPr>
          <w:rFonts w:hint="eastAsia"/>
        </w:rPr>
        <w:t>范围</w:t>
      </w:r>
      <w:bookmarkEnd w:id="28"/>
      <w:bookmarkEnd w:id="29"/>
      <w:bookmarkEnd w:id="30"/>
      <w:bookmarkEnd w:id="31"/>
      <w:bookmarkEnd w:id="32"/>
      <w:bookmarkEnd w:id="33"/>
      <w:bookmarkEnd w:id="34"/>
      <w:bookmarkEnd w:id="35"/>
      <w:bookmarkEnd w:id="36"/>
      <w:bookmarkEnd w:id="37"/>
    </w:p>
    <w:p w14:paraId="1F44651F">
      <w:pPr>
        <w:pStyle w:val="56"/>
        <w:spacing w:line="360" w:lineRule="auto"/>
        <w:ind w:firstLine="420"/>
      </w:pPr>
      <w:bookmarkStart w:id="38" w:name="_Toc24884219"/>
      <w:bookmarkStart w:id="39" w:name="_Toc24884212"/>
      <w:bookmarkStart w:id="40" w:name="_Toc26648466"/>
      <w:bookmarkStart w:id="41" w:name="_Toc17233334"/>
      <w:bookmarkStart w:id="42" w:name="_Toc17233326"/>
      <w:r>
        <w:rPr>
          <w:rFonts w:hint="eastAsia"/>
        </w:rPr>
        <w:t>本文件规定了水利工程施工期水环境在线监测与智慧管控的基本规定，监测布设与监测指标要求，监测设施配置要求，数据采集与传输要求，预警管理要求，联动处置要求，运行维护要求以及质量控制与资料管理等内容。</w:t>
      </w:r>
    </w:p>
    <w:p w14:paraId="36680A15">
      <w:pPr>
        <w:pStyle w:val="56"/>
        <w:spacing w:line="360" w:lineRule="auto"/>
        <w:ind w:firstLine="420"/>
      </w:pPr>
      <w:r>
        <w:rPr>
          <w:rFonts w:hint="eastAsia"/>
        </w:rPr>
        <w:t>本文件适用于水库工程、引调水工程、灌区工程、河道治理工程、堤防工程、泵站工程、水闸工程及其他水利工程施工期水环境在线监测与智慧管控活动。</w:t>
      </w:r>
    </w:p>
    <w:p w14:paraId="3733B2AD">
      <w:pPr>
        <w:pStyle w:val="104"/>
        <w:spacing w:before="240" w:after="240" w:line="360" w:lineRule="auto"/>
      </w:pPr>
      <w:bookmarkStart w:id="43" w:name="_Toc26718931"/>
      <w:bookmarkStart w:id="44" w:name="_Toc26986531"/>
      <w:bookmarkStart w:id="45" w:name="_Toc26986772"/>
      <w:bookmarkStart w:id="46" w:name="_Toc97192965"/>
      <w:bookmarkStart w:id="47" w:name="_Toc228609186"/>
      <w:r>
        <w:rPr>
          <w:rFonts w:hint="eastAsia"/>
        </w:rPr>
        <w:t>规范性引用文件</w:t>
      </w:r>
      <w:bookmarkEnd w:id="38"/>
      <w:bookmarkEnd w:id="39"/>
      <w:bookmarkEnd w:id="40"/>
      <w:bookmarkEnd w:id="41"/>
      <w:bookmarkEnd w:id="42"/>
      <w:bookmarkEnd w:id="43"/>
      <w:bookmarkEnd w:id="44"/>
      <w:bookmarkEnd w:id="45"/>
      <w:bookmarkEnd w:id="46"/>
      <w:bookmarkEnd w:id="47"/>
    </w:p>
    <w:sdt>
      <w:sdtPr>
        <w:rPr>
          <w:rFonts w:hint="eastAsia"/>
        </w:rPr>
        <w:id w:val="715848253"/>
        <w:placeholder>
          <w:docPart w:val="06591A60496146309C06F8B2E11B4B09"/>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555A6380">
          <w:pPr>
            <w:pStyle w:val="56"/>
            <w:spacing w:line="360" w:lineRule="auto"/>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053915B1">
      <w:pPr>
        <w:pStyle w:val="56"/>
        <w:spacing w:line="360" w:lineRule="auto"/>
        <w:ind w:firstLine="420"/>
      </w:pPr>
      <w:r>
        <w:rPr>
          <w:rFonts w:hint="eastAsia"/>
        </w:rPr>
        <w:t>GB/T 1.1—2020 标准化工作导则  第1部分：标准化文件的结构和起草规则</w:t>
      </w:r>
    </w:p>
    <w:p w14:paraId="06BA4D2D">
      <w:pPr>
        <w:pStyle w:val="56"/>
        <w:spacing w:line="360" w:lineRule="auto"/>
        <w:ind w:firstLine="420"/>
      </w:pPr>
      <w:r>
        <w:rPr>
          <w:rFonts w:hint="eastAsia"/>
        </w:rPr>
        <w:t>GB/T 19001—2016 质量管理体系  要求</w:t>
      </w:r>
    </w:p>
    <w:p w14:paraId="07A7F860">
      <w:pPr>
        <w:pStyle w:val="56"/>
        <w:spacing w:line="360" w:lineRule="auto"/>
        <w:ind w:firstLine="420"/>
      </w:pPr>
      <w:r>
        <w:rPr>
          <w:rFonts w:hint="eastAsia"/>
        </w:rPr>
        <w:t>GB/T 22239—2019 信息安全技术  网络安全等级保护基本要求</w:t>
      </w:r>
    </w:p>
    <w:p w14:paraId="38DCFAAD">
      <w:pPr>
        <w:pStyle w:val="56"/>
        <w:spacing w:line="360" w:lineRule="auto"/>
        <w:ind w:firstLine="420"/>
      </w:pPr>
      <w:r>
        <w:t>DB41/T 2666</w:t>
      </w:r>
      <w:r>
        <w:rPr>
          <w:rFonts w:hint="eastAsia"/>
        </w:rPr>
        <w:t>—</w:t>
      </w:r>
      <w:r>
        <w:t>2024</w:t>
      </w:r>
      <w:r>
        <w:rPr>
          <w:rFonts w:hint="eastAsia"/>
        </w:rPr>
        <w:t xml:space="preserve"> 工业集聚区地下水环境监测技术规范</w:t>
      </w:r>
    </w:p>
    <w:p w14:paraId="6F7F53FF">
      <w:pPr>
        <w:pStyle w:val="56"/>
        <w:spacing w:line="360" w:lineRule="auto"/>
        <w:ind w:firstLine="420"/>
      </w:pPr>
      <w:r>
        <w:t>DL/T 5260</w:t>
      </w:r>
      <w:r>
        <w:rPr>
          <w:rFonts w:hint="eastAsia"/>
        </w:rPr>
        <w:t>—</w:t>
      </w:r>
      <w:r>
        <w:t>2010</w:t>
      </w:r>
      <w:r>
        <w:rPr>
          <w:rFonts w:hint="eastAsia"/>
        </w:rPr>
        <w:t xml:space="preserve"> 水电水利工程施工环境保护技术规程</w:t>
      </w:r>
    </w:p>
    <w:p w14:paraId="43B4161D">
      <w:pPr>
        <w:pStyle w:val="56"/>
        <w:spacing w:line="360" w:lineRule="auto"/>
        <w:ind w:firstLine="420"/>
      </w:pPr>
      <w:r>
        <w:t>NB/T 11179</w:t>
      </w:r>
      <w:r>
        <w:rPr>
          <w:rFonts w:hint="eastAsia"/>
        </w:rPr>
        <w:t>—</w:t>
      </w:r>
      <w:r>
        <w:t>2023</w:t>
      </w:r>
      <w:r>
        <w:rPr>
          <w:rFonts w:hint="eastAsia"/>
        </w:rPr>
        <w:t xml:space="preserve"> 水电工程环境监测技术规范</w:t>
      </w:r>
    </w:p>
    <w:p w14:paraId="64EAEA30">
      <w:pPr>
        <w:pStyle w:val="56"/>
        <w:spacing w:line="360" w:lineRule="auto"/>
        <w:ind w:firstLine="420"/>
      </w:pPr>
      <w:r>
        <w:t>SL 219</w:t>
      </w:r>
      <w:r>
        <w:rPr>
          <w:rFonts w:hint="eastAsia"/>
        </w:rPr>
        <w:t>—</w:t>
      </w:r>
      <w:r>
        <w:t>2013</w:t>
      </w:r>
      <w:r>
        <w:rPr>
          <w:rFonts w:hint="eastAsia"/>
        </w:rPr>
        <w:t xml:space="preserve"> 水环境监测规范</w:t>
      </w:r>
    </w:p>
    <w:p w14:paraId="51F02A4E">
      <w:pPr>
        <w:pStyle w:val="104"/>
        <w:spacing w:before="240" w:after="240" w:line="360" w:lineRule="auto"/>
      </w:pPr>
      <w:bookmarkStart w:id="48" w:name="_Toc97192966"/>
      <w:bookmarkStart w:id="49" w:name="_Toc228609187"/>
      <w:r>
        <w:rPr>
          <w:rFonts w:hint="eastAsia"/>
          <w:szCs w:val="21"/>
        </w:rPr>
        <w:t>术语和定义</w:t>
      </w:r>
      <w:bookmarkEnd w:id="48"/>
      <w:bookmarkEnd w:id="49"/>
    </w:p>
    <w:sdt>
      <w:sdtPr>
        <w:id w:val="-1909835108"/>
        <w:placeholder>
          <w:docPart w:val="301A11BD743F4400A8B304744630EFE7"/>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1BC59F72">
          <w:pPr>
            <w:pStyle w:val="56"/>
            <w:spacing w:line="360" w:lineRule="auto"/>
            <w:ind w:firstLine="420"/>
          </w:pPr>
          <w:bookmarkStart w:id="50" w:name="_Toc26986532"/>
          <w:bookmarkEnd w:id="50"/>
          <w:r>
            <w:t>下列术语和定义适用于本文件。</w:t>
          </w:r>
        </w:p>
      </w:sdtContent>
    </w:sdt>
    <w:p w14:paraId="1C2A46C0">
      <w:pPr>
        <w:pStyle w:val="223"/>
        <w:spacing w:line="360" w:lineRule="auto"/>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水利工程施工期 water conservancy project construction period</w:t>
      </w:r>
    </w:p>
    <w:p w14:paraId="37FDE753">
      <w:pPr>
        <w:pStyle w:val="56"/>
        <w:spacing w:line="360" w:lineRule="auto"/>
        <w:ind w:firstLine="420"/>
      </w:pPr>
      <w:r>
        <w:rPr>
          <w:rFonts w:hint="eastAsia"/>
        </w:rPr>
        <w:t>水利工程自施工准备、主体施工、附属工程施工至工程完工前的阶段。</w:t>
      </w:r>
    </w:p>
    <w:p w14:paraId="315F7482">
      <w:pPr>
        <w:pStyle w:val="223"/>
        <w:spacing w:line="360" w:lineRule="auto"/>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施工期水环境 construction-period water environment</w:t>
      </w:r>
    </w:p>
    <w:p w14:paraId="7870F6AF">
      <w:pPr>
        <w:pStyle w:val="56"/>
        <w:spacing w:line="360" w:lineRule="auto"/>
        <w:ind w:firstLine="420"/>
      </w:pPr>
      <w:r>
        <w:rPr>
          <w:rFonts w:hint="eastAsia"/>
        </w:rPr>
        <w:t>水利工程施工活动影响范围内地表水体的水质状态、水体功能状态和与施工扰动相关的环境条件总和。</w:t>
      </w:r>
    </w:p>
    <w:p w14:paraId="7A0B3DA2">
      <w:pPr>
        <w:pStyle w:val="223"/>
        <w:spacing w:line="360" w:lineRule="auto"/>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在线监测 online monitoring</w:t>
      </w:r>
    </w:p>
    <w:p w14:paraId="473BAC90">
      <w:pPr>
        <w:pStyle w:val="56"/>
        <w:spacing w:line="360" w:lineRule="auto"/>
        <w:ind w:firstLine="420"/>
      </w:pPr>
      <w:r>
        <w:rPr>
          <w:rFonts w:hint="eastAsia"/>
        </w:rPr>
        <w:t>利用在线监测设备、自动采样设备、数据采集设备和传输系统，对施工期水环境相关指标进行连续或者定时自动监测的活动。</w:t>
      </w:r>
    </w:p>
    <w:p w14:paraId="25E5A37C">
      <w:pPr>
        <w:pStyle w:val="223"/>
        <w:spacing w:line="360" w:lineRule="auto"/>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智慧管控 intelligent management and control</w:t>
      </w:r>
    </w:p>
    <w:p w14:paraId="62A4CD00">
      <w:pPr>
        <w:pStyle w:val="56"/>
        <w:spacing w:line="360" w:lineRule="auto"/>
        <w:ind w:firstLine="420"/>
      </w:pPr>
      <w:r>
        <w:rPr>
          <w:rFonts w:hint="eastAsia"/>
        </w:rPr>
        <w:t>基于在线监测数据、视频信息、气象水文信息、施工信息和预警模型，对施工期水环境风险进行识别、分析、预警、调度和处置的管理活动。</w:t>
      </w:r>
    </w:p>
    <w:p w14:paraId="73ACB47F">
      <w:pPr>
        <w:pStyle w:val="223"/>
        <w:spacing w:line="360" w:lineRule="auto"/>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监测断面 monitoring section</w:t>
      </w:r>
    </w:p>
    <w:p w14:paraId="6E497489">
      <w:pPr>
        <w:pStyle w:val="56"/>
        <w:spacing w:line="360" w:lineRule="auto"/>
        <w:ind w:firstLine="420"/>
      </w:pPr>
      <w:r>
        <w:rPr>
          <w:rFonts w:hint="eastAsia"/>
        </w:rPr>
        <w:t>为反映施工影响区域水环境变化，在河流、渠道、库区或者其他水体上布设的具有代表性的监测位置。</w:t>
      </w:r>
    </w:p>
    <w:p w14:paraId="64C3E93C">
      <w:pPr>
        <w:pStyle w:val="223"/>
        <w:spacing w:line="360" w:lineRule="auto"/>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监测点位 monitoring point</w:t>
      </w:r>
    </w:p>
    <w:p w14:paraId="4B9E051A">
      <w:pPr>
        <w:pStyle w:val="56"/>
        <w:spacing w:line="360" w:lineRule="auto"/>
        <w:ind w:firstLine="420"/>
      </w:pPr>
      <w:r>
        <w:rPr>
          <w:rFonts w:hint="eastAsia"/>
        </w:rPr>
        <w:t>在特定监测断面、排水口、取水口、弃水口、施工营地周边水域或者其他重点区域设置的具体监测位置。</w:t>
      </w:r>
    </w:p>
    <w:p w14:paraId="4AB2142E">
      <w:pPr>
        <w:pStyle w:val="223"/>
        <w:spacing w:line="360" w:lineRule="auto"/>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背景点 background point</w:t>
      </w:r>
    </w:p>
    <w:p w14:paraId="30E82B14">
      <w:pPr>
        <w:pStyle w:val="56"/>
        <w:spacing w:line="360" w:lineRule="auto"/>
        <w:ind w:firstLine="420"/>
      </w:pPr>
      <w:r>
        <w:rPr>
          <w:rFonts w:hint="eastAsia"/>
        </w:rPr>
        <w:t>用于反映施工活动发生前或者不受施工活动直接影响区域水环境基础状态的监测点位。</w:t>
      </w:r>
    </w:p>
    <w:p w14:paraId="48608E37">
      <w:pPr>
        <w:pStyle w:val="223"/>
        <w:spacing w:line="360" w:lineRule="auto"/>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控制点 control point</w:t>
      </w:r>
    </w:p>
    <w:p w14:paraId="2A62EE40">
      <w:pPr>
        <w:pStyle w:val="56"/>
        <w:spacing w:line="360" w:lineRule="auto"/>
        <w:ind w:firstLine="420"/>
      </w:pPr>
      <w:r>
        <w:rPr>
          <w:rFonts w:hint="eastAsia"/>
        </w:rPr>
        <w:t>用于反映施工活动重点影响区域、敏感区域或者关键排放节点水环境状态的监测点位。</w:t>
      </w:r>
    </w:p>
    <w:p w14:paraId="4322FE37">
      <w:pPr>
        <w:pStyle w:val="104"/>
        <w:spacing w:before="240" w:after="240" w:line="360" w:lineRule="auto"/>
      </w:pPr>
      <w:bookmarkStart w:id="51" w:name="_Toc228609188"/>
      <w:r>
        <w:rPr>
          <w:rFonts w:hint="eastAsia"/>
        </w:rPr>
        <w:t>基本规定</w:t>
      </w:r>
      <w:bookmarkEnd w:id="51"/>
    </w:p>
    <w:p w14:paraId="2D87502E">
      <w:pPr>
        <w:pStyle w:val="105"/>
        <w:spacing w:before="120" w:after="120" w:line="360" w:lineRule="auto"/>
      </w:pPr>
      <w:r>
        <w:rPr>
          <w:rFonts w:hint="eastAsia"/>
        </w:rPr>
        <w:t>一般要求</w:t>
      </w:r>
    </w:p>
    <w:p w14:paraId="326B8471">
      <w:pPr>
        <w:pStyle w:val="165"/>
        <w:spacing w:line="360" w:lineRule="auto"/>
      </w:pPr>
      <w:r>
        <w:rPr>
          <w:rFonts w:hint="eastAsia"/>
        </w:rPr>
        <w:t>水利工程施工期水环境在线监测与智慧管控应坚持预防为主、监测先行、风险分级、实时感知、智慧研判、联动处置和闭环管理的原则。</w:t>
      </w:r>
    </w:p>
    <w:p w14:paraId="52CEB12A">
      <w:pPr>
        <w:pStyle w:val="165"/>
        <w:spacing w:line="360" w:lineRule="auto"/>
      </w:pPr>
      <w:r>
        <w:rPr>
          <w:rFonts w:hint="eastAsia"/>
        </w:rPr>
        <w:t>施工期水环境在线监测与智慧管控应服务于施工扰动控制、污染防治、水环境风险预警、敏感水域保护、异常事件处置和施工组织优化，不得脱离工程实际和环境风险单独建设、单独运行。</w:t>
      </w:r>
    </w:p>
    <w:p w14:paraId="758A0E77">
      <w:pPr>
        <w:pStyle w:val="165"/>
        <w:spacing w:line="360" w:lineRule="auto"/>
      </w:pPr>
      <w:r>
        <w:rPr>
          <w:rFonts w:hint="eastAsia"/>
        </w:rPr>
        <w:t>在线监测与智慧管控应覆盖施工准备阶段、主体施工阶段、附属工程施工阶段、调试阶段和施工结束前生态恢复阶段的相关监测管理活动。</w:t>
      </w:r>
    </w:p>
    <w:p w14:paraId="2F6AC15A">
      <w:pPr>
        <w:pStyle w:val="165"/>
        <w:spacing w:line="360" w:lineRule="auto"/>
      </w:pPr>
      <w:r>
        <w:rPr>
          <w:rFonts w:hint="eastAsia"/>
        </w:rPr>
        <w:t>监测与管控活动应与施工组织设计、环境保护方案、水土保持方案、防洪度汛方案、应急预案和现场管理制度相衔接。</w:t>
      </w:r>
    </w:p>
    <w:p w14:paraId="6643C642">
      <w:pPr>
        <w:pStyle w:val="165"/>
        <w:spacing w:line="360" w:lineRule="auto"/>
      </w:pPr>
      <w:r>
        <w:rPr>
          <w:rFonts w:hint="eastAsia"/>
        </w:rPr>
        <w:t>对施工废水排放口、敏感水域、饮用水水源关联水域、生态敏感区关联水域、上下游控制断面和施工影响集中区域，应实施重点监测和重点管控。</w:t>
      </w:r>
    </w:p>
    <w:p w14:paraId="659B6C26">
      <w:pPr>
        <w:pStyle w:val="165"/>
        <w:spacing w:line="360" w:lineRule="auto"/>
      </w:pPr>
      <w:r>
        <w:rPr>
          <w:rFonts w:hint="eastAsia"/>
        </w:rPr>
        <w:t>水环境在线监测与智慧管控不得以单一监测设备替代系统性环境管理，不得以平台展示替代现场核查和问题整改。</w:t>
      </w:r>
    </w:p>
    <w:p w14:paraId="4FABC40C">
      <w:pPr>
        <w:pStyle w:val="165"/>
        <w:spacing w:line="360" w:lineRule="auto"/>
      </w:pPr>
      <w:r>
        <w:rPr>
          <w:rFonts w:hint="eastAsia"/>
        </w:rPr>
        <w:t>施工期水环境监测数据、预警信息、处置记录和复核记录应做到真实、完整、连续、及时和可追溯。</w:t>
      </w:r>
    </w:p>
    <w:p w14:paraId="3587891B">
      <w:pPr>
        <w:pStyle w:val="105"/>
        <w:spacing w:before="120" w:after="120" w:line="360" w:lineRule="auto"/>
      </w:pPr>
      <w:r>
        <w:rPr>
          <w:rFonts w:hint="eastAsia"/>
        </w:rPr>
        <w:t>管理目标</w:t>
      </w:r>
    </w:p>
    <w:p w14:paraId="3F58252D">
      <w:pPr>
        <w:pStyle w:val="165"/>
        <w:spacing w:line="360" w:lineRule="auto"/>
      </w:pPr>
      <w:r>
        <w:rPr>
          <w:rFonts w:hint="eastAsia"/>
        </w:rPr>
        <w:t>水利工程施工期水环境在线监测与智慧管控应实现下列目标：</w:t>
      </w:r>
    </w:p>
    <w:p w14:paraId="14EEE67B">
      <w:pPr>
        <w:pStyle w:val="56"/>
        <w:spacing w:line="360" w:lineRule="auto"/>
        <w:ind w:firstLine="420"/>
      </w:pPr>
      <w:r>
        <w:rPr>
          <w:rFonts w:hint="eastAsia"/>
        </w:rPr>
        <w:t>a）及时掌握施工影响范围内水环境变化情况；</w:t>
      </w:r>
    </w:p>
    <w:p w14:paraId="2C0CC18B">
      <w:pPr>
        <w:pStyle w:val="56"/>
        <w:spacing w:line="360" w:lineRule="auto"/>
        <w:ind w:firstLine="420"/>
      </w:pPr>
      <w:r>
        <w:rPr>
          <w:rFonts w:hint="eastAsia"/>
        </w:rPr>
        <w:t>b）及时发现施工废水排放异常和水环境风险异常；</w:t>
      </w:r>
    </w:p>
    <w:p w14:paraId="0069C891">
      <w:pPr>
        <w:pStyle w:val="56"/>
        <w:spacing w:line="360" w:lineRule="auto"/>
        <w:ind w:firstLine="420"/>
      </w:pPr>
      <w:r>
        <w:rPr>
          <w:rFonts w:hint="eastAsia"/>
        </w:rPr>
        <w:t>c）提高施工活动对水环境影响的识别能力和预警能力；</w:t>
      </w:r>
    </w:p>
    <w:p w14:paraId="754018B2">
      <w:pPr>
        <w:pStyle w:val="56"/>
        <w:spacing w:line="360" w:lineRule="auto"/>
        <w:ind w:firstLine="420"/>
      </w:pPr>
      <w:r>
        <w:rPr>
          <w:rFonts w:hint="eastAsia"/>
        </w:rPr>
        <w:t>d）支撑施工组织优化和污染防治措施调整；</w:t>
      </w:r>
    </w:p>
    <w:p w14:paraId="37006372">
      <w:pPr>
        <w:pStyle w:val="56"/>
        <w:spacing w:line="360" w:lineRule="auto"/>
        <w:ind w:firstLine="420"/>
      </w:pPr>
      <w:r>
        <w:rPr>
          <w:rFonts w:hint="eastAsia"/>
        </w:rPr>
        <w:t>e）提升敏感水域保护和突发事件响应能力；</w:t>
      </w:r>
    </w:p>
    <w:p w14:paraId="45DD95E0">
      <w:pPr>
        <w:pStyle w:val="56"/>
        <w:spacing w:line="360" w:lineRule="auto"/>
        <w:ind w:firstLine="420"/>
      </w:pPr>
      <w:r>
        <w:rPr>
          <w:rFonts w:hint="eastAsia"/>
        </w:rPr>
        <w:t>f）提高施工期环境管理规范性和闭环管理水平。</w:t>
      </w:r>
    </w:p>
    <w:p w14:paraId="7AE61620">
      <w:pPr>
        <w:pStyle w:val="165"/>
        <w:spacing w:line="360" w:lineRule="auto"/>
      </w:pPr>
      <w:r>
        <w:rPr>
          <w:rFonts w:hint="eastAsia"/>
        </w:rPr>
        <w:t>对大型水利工程、跨流域引调水工程、涉敏感水域工程和施工周期长、施工扰动大的工程，应提高监测目标要求和智慧管控要求。</w:t>
      </w:r>
    </w:p>
    <w:p w14:paraId="59E19040">
      <w:pPr>
        <w:pStyle w:val="105"/>
        <w:spacing w:before="120" w:after="120" w:line="360" w:lineRule="auto"/>
      </w:pPr>
      <w:r>
        <w:rPr>
          <w:rFonts w:hint="eastAsia"/>
        </w:rPr>
        <w:t>管理职责</w:t>
      </w:r>
    </w:p>
    <w:p w14:paraId="50CBFC80">
      <w:pPr>
        <w:pStyle w:val="165"/>
        <w:spacing w:line="360" w:lineRule="auto"/>
      </w:pPr>
      <w:r>
        <w:rPr>
          <w:rFonts w:hint="eastAsia"/>
        </w:rPr>
        <w:t>建设单位应对施工期水环境在线监测与智慧管控工作总体负责。</w:t>
      </w:r>
    </w:p>
    <w:p w14:paraId="4571F025">
      <w:pPr>
        <w:pStyle w:val="165"/>
        <w:spacing w:line="360" w:lineRule="auto"/>
      </w:pPr>
      <w:r>
        <w:rPr>
          <w:rFonts w:hint="eastAsia"/>
        </w:rPr>
        <w:t>施工单位应负责施工活动影响控制、监测配合、污染防治措施落实、异常问题处置和整改落实。</w:t>
      </w:r>
    </w:p>
    <w:p w14:paraId="62D3C105">
      <w:pPr>
        <w:pStyle w:val="165"/>
        <w:spacing w:line="360" w:lineRule="auto"/>
      </w:pPr>
      <w:r>
        <w:rPr>
          <w:rFonts w:hint="eastAsia"/>
        </w:rPr>
        <w:t>监理单位应负责对监测布设、监测运行、数据异常、预警处置和整改闭环等活动实施监督。</w:t>
      </w:r>
    </w:p>
    <w:p w14:paraId="65ADC199">
      <w:pPr>
        <w:pStyle w:val="165"/>
        <w:spacing w:line="360" w:lineRule="auto"/>
      </w:pPr>
      <w:r>
        <w:rPr>
          <w:rFonts w:hint="eastAsia"/>
        </w:rPr>
        <w:t>在线监测运维单位应负责监测设施运行维护、质量控制、数据传输、故障处理和记录管理。</w:t>
      </w:r>
    </w:p>
    <w:p w14:paraId="67BA196A">
      <w:pPr>
        <w:pStyle w:val="165"/>
        <w:spacing w:line="360" w:lineRule="auto"/>
      </w:pPr>
      <w:r>
        <w:rPr>
          <w:rFonts w:hint="eastAsia"/>
        </w:rPr>
        <w:t>智慧管控平台运行管理单位应负责数据接收、数据审核、预警推送、联动调度、处置跟踪和资料归档。</w:t>
      </w:r>
    </w:p>
    <w:p w14:paraId="38522EFC">
      <w:pPr>
        <w:pStyle w:val="165"/>
        <w:spacing w:line="360" w:lineRule="auto"/>
      </w:pPr>
      <w:r>
        <w:rPr>
          <w:rFonts w:hint="eastAsia"/>
        </w:rPr>
        <w:t>设计、咨询、检测和第三方服务单位参与相关工作的，应明确职责边界、技术边界和资料移交要求。</w:t>
      </w:r>
    </w:p>
    <w:p w14:paraId="32DEF5F4">
      <w:pPr>
        <w:pStyle w:val="165"/>
        <w:spacing w:line="360" w:lineRule="auto"/>
      </w:pPr>
      <w:r>
        <w:rPr>
          <w:rFonts w:hint="eastAsia"/>
        </w:rPr>
        <w:t>各责任主体之间应建立信息通报、预警联动、问题交办、整改复核和考核评价机制，不得出现职责交叉不清、问题无人负责或者处置脱节等情形。</w:t>
      </w:r>
    </w:p>
    <w:p w14:paraId="26B2F6E5">
      <w:pPr>
        <w:pStyle w:val="105"/>
        <w:spacing w:before="120" w:after="120" w:line="360" w:lineRule="auto"/>
      </w:pPr>
      <w:r>
        <w:rPr>
          <w:rFonts w:hint="eastAsia"/>
        </w:rPr>
        <w:t>分级分类管理要求</w:t>
      </w:r>
    </w:p>
    <w:p w14:paraId="050D681A">
      <w:pPr>
        <w:pStyle w:val="165"/>
        <w:spacing w:line="360" w:lineRule="auto"/>
      </w:pPr>
      <w:r>
        <w:rPr>
          <w:rFonts w:hint="eastAsia"/>
        </w:rPr>
        <w:t>施工期水环境在线监测与智慧管控应根据工程规模、施工方式、受纳水体特征、环境敏感程度、污染风险和监管要求实施分级分类管理。</w:t>
      </w:r>
    </w:p>
    <w:p w14:paraId="5E0A38E7">
      <w:pPr>
        <w:pStyle w:val="165"/>
        <w:spacing w:line="360" w:lineRule="auto"/>
      </w:pPr>
      <w:r>
        <w:rPr>
          <w:rFonts w:hint="eastAsia"/>
        </w:rPr>
        <w:t>监测对象宜分为背景水体、施工影响水体、排放控制点、敏感保护点和应急响应点。</w:t>
      </w:r>
    </w:p>
    <w:p w14:paraId="3225037E">
      <w:pPr>
        <w:pStyle w:val="165"/>
        <w:spacing w:line="360" w:lineRule="auto"/>
      </w:pPr>
      <w:r>
        <w:rPr>
          <w:rFonts w:hint="eastAsia"/>
        </w:rPr>
        <w:t>管控等级宜综合考虑下列因素：</w:t>
      </w:r>
    </w:p>
    <w:p w14:paraId="627DC409">
      <w:pPr>
        <w:pStyle w:val="56"/>
        <w:spacing w:line="360" w:lineRule="auto"/>
        <w:ind w:firstLine="420"/>
      </w:pPr>
      <w:r>
        <w:rPr>
          <w:rFonts w:hint="eastAsia"/>
        </w:rPr>
        <w:t>a）工程施工扰动强度；</w:t>
      </w:r>
    </w:p>
    <w:p w14:paraId="0DD67E6A">
      <w:pPr>
        <w:pStyle w:val="56"/>
        <w:spacing w:line="360" w:lineRule="auto"/>
        <w:ind w:firstLine="420"/>
      </w:pPr>
      <w:r>
        <w:rPr>
          <w:rFonts w:hint="eastAsia"/>
        </w:rPr>
        <w:t>b）施工废水产生量和排放风险；</w:t>
      </w:r>
    </w:p>
    <w:p w14:paraId="78BC669F">
      <w:pPr>
        <w:pStyle w:val="56"/>
        <w:spacing w:line="360" w:lineRule="auto"/>
        <w:ind w:firstLine="420"/>
      </w:pPr>
      <w:r>
        <w:rPr>
          <w:rFonts w:hint="eastAsia"/>
        </w:rPr>
        <w:t>c）受纳水体环境功能；</w:t>
      </w:r>
    </w:p>
    <w:p w14:paraId="6EB9D1DA">
      <w:pPr>
        <w:pStyle w:val="56"/>
        <w:spacing w:line="360" w:lineRule="auto"/>
        <w:ind w:firstLine="420"/>
      </w:pPr>
      <w:r>
        <w:rPr>
          <w:rFonts w:hint="eastAsia"/>
        </w:rPr>
        <w:t>d）上下游敏感目标分布；</w:t>
      </w:r>
    </w:p>
    <w:p w14:paraId="69B48E35">
      <w:pPr>
        <w:pStyle w:val="56"/>
        <w:spacing w:line="360" w:lineRule="auto"/>
        <w:ind w:firstLine="420"/>
      </w:pPr>
      <w:r>
        <w:rPr>
          <w:rFonts w:hint="eastAsia"/>
        </w:rPr>
        <w:t>e）季节性水文变化和极端天气影响；</w:t>
      </w:r>
    </w:p>
    <w:p w14:paraId="4EC06464">
      <w:pPr>
        <w:pStyle w:val="56"/>
        <w:spacing w:line="360" w:lineRule="auto"/>
        <w:ind w:firstLine="420"/>
      </w:pPr>
      <w:r>
        <w:rPr>
          <w:rFonts w:hint="eastAsia"/>
        </w:rPr>
        <w:t>f）历史异常事件和隐患情况；</w:t>
      </w:r>
    </w:p>
    <w:p w14:paraId="18BF7936">
      <w:pPr>
        <w:pStyle w:val="56"/>
        <w:spacing w:line="360" w:lineRule="auto"/>
        <w:ind w:firstLine="420"/>
      </w:pPr>
      <w:r>
        <w:rPr>
          <w:rFonts w:hint="eastAsia"/>
        </w:rPr>
        <w:t>g）监管要求和公众关注程度。</w:t>
      </w:r>
    </w:p>
    <w:p w14:paraId="1D537D63">
      <w:pPr>
        <w:pStyle w:val="164"/>
        <w:spacing w:line="360" w:lineRule="auto"/>
      </w:pPr>
      <w:r>
        <w:rPr>
          <w:rFonts w:hint="eastAsia"/>
        </w:rPr>
        <w:t>对高风险区域、高敏感区域和重点控制点，应提高监测密度、预警敏感度、巡检频次和处置时效要求。</w:t>
      </w:r>
    </w:p>
    <w:p w14:paraId="7AC5C2A1">
      <w:pPr>
        <w:pStyle w:val="105"/>
        <w:spacing w:before="120" w:after="120" w:line="360" w:lineRule="auto"/>
      </w:pPr>
      <w:r>
        <w:rPr>
          <w:rFonts w:hint="eastAsia"/>
        </w:rPr>
        <w:t>监测与管控边界要求</w:t>
      </w:r>
    </w:p>
    <w:p w14:paraId="1C175EBE">
      <w:pPr>
        <w:pStyle w:val="165"/>
        <w:spacing w:line="360" w:lineRule="auto"/>
      </w:pPr>
      <w:r>
        <w:rPr>
          <w:rFonts w:hint="eastAsia"/>
        </w:rPr>
        <w:t>在线监测与智慧管控范围应覆盖施工活动直接影响区域和可能受间接影响的重要水域。</w:t>
      </w:r>
    </w:p>
    <w:p w14:paraId="0869D282">
      <w:pPr>
        <w:pStyle w:val="165"/>
        <w:spacing w:line="360" w:lineRule="auto"/>
      </w:pPr>
      <w:r>
        <w:rPr>
          <w:rFonts w:hint="eastAsia"/>
        </w:rPr>
        <w:t>监测边界应与施工边界、排水边界、水域边界、生态敏感边界和管理责任边界相一致。</w:t>
      </w:r>
    </w:p>
    <w:p w14:paraId="27B22D35">
      <w:pPr>
        <w:pStyle w:val="165"/>
        <w:spacing w:line="360" w:lineRule="auto"/>
      </w:pPr>
      <w:r>
        <w:rPr>
          <w:rFonts w:hint="eastAsia"/>
        </w:rPr>
        <w:t>对上下游影响范围不明确、施工扰动路径复杂或者汇排水关系复杂的工程，应通过调查分析明确监测和管控边界。</w:t>
      </w:r>
    </w:p>
    <w:p w14:paraId="4FEA2962">
      <w:pPr>
        <w:pStyle w:val="165"/>
        <w:spacing w:line="360" w:lineRule="auto"/>
      </w:pPr>
      <w:r>
        <w:rPr>
          <w:rFonts w:hint="eastAsia"/>
        </w:rPr>
        <w:t>未明确边界的，不得直接开展正式监测评价和正式预警判断。</w:t>
      </w:r>
    </w:p>
    <w:p w14:paraId="4145EEB4">
      <w:pPr>
        <w:pStyle w:val="105"/>
        <w:spacing w:before="120" w:after="120" w:line="360" w:lineRule="auto"/>
      </w:pPr>
      <w:r>
        <w:rPr>
          <w:rFonts w:hint="eastAsia"/>
        </w:rPr>
        <w:t>系统建设要求</w:t>
      </w:r>
    </w:p>
    <w:p w14:paraId="56601861">
      <w:pPr>
        <w:pStyle w:val="165"/>
        <w:spacing w:line="360" w:lineRule="auto"/>
      </w:pPr>
      <w:r>
        <w:rPr>
          <w:rFonts w:hint="eastAsia"/>
        </w:rPr>
        <w:t>水环境在线监测与智慧管控系统应与工程规模、施工期环境风险和管理需求相适应。</w:t>
      </w:r>
    </w:p>
    <w:p w14:paraId="2F8963D2">
      <w:pPr>
        <w:pStyle w:val="165"/>
        <w:spacing w:line="360" w:lineRule="auto"/>
      </w:pPr>
      <w:r>
        <w:rPr>
          <w:rFonts w:hint="eastAsia"/>
        </w:rPr>
        <w:t>系统宜由前端监测设施、数据采集设备、通信网络、视频感知设备、数据平台、预警模块、联动处置模块和运维保障模块组成。</w:t>
      </w:r>
    </w:p>
    <w:p w14:paraId="27C3FCE9">
      <w:pPr>
        <w:pStyle w:val="165"/>
        <w:spacing w:line="360" w:lineRule="auto"/>
      </w:pPr>
      <w:r>
        <w:rPr>
          <w:rFonts w:hint="eastAsia"/>
        </w:rPr>
        <w:t>系统建设应满足数据采集、数据传输、数据存储、数据展示、预警分析、事件管理和资料留存等要求。</w:t>
      </w:r>
    </w:p>
    <w:p w14:paraId="7CF7DF53">
      <w:pPr>
        <w:pStyle w:val="165"/>
        <w:spacing w:line="360" w:lineRule="auto"/>
      </w:pPr>
      <w:r>
        <w:rPr>
          <w:rFonts w:hint="eastAsia"/>
        </w:rPr>
        <w:t>系统建设不得仅重前端设备配置而忽视后端数据治理、预警逻辑、联动机制和运维保障。</w:t>
      </w:r>
    </w:p>
    <w:p w14:paraId="379B4E6E">
      <w:pPr>
        <w:pStyle w:val="105"/>
        <w:spacing w:before="120" w:after="120" w:line="360" w:lineRule="auto"/>
      </w:pPr>
      <w:r>
        <w:rPr>
          <w:rFonts w:hint="eastAsia"/>
        </w:rPr>
        <w:t>数据管理要求</w:t>
      </w:r>
    </w:p>
    <w:p w14:paraId="50E3E112">
      <w:pPr>
        <w:pStyle w:val="165"/>
        <w:spacing w:line="360" w:lineRule="auto"/>
      </w:pPr>
      <w:r>
        <w:rPr>
          <w:rFonts w:hint="eastAsia"/>
        </w:rPr>
        <w:t>施工期水环境监测数据应实行统一接收、统一存储、统一审核、统一展示和统一归档。</w:t>
      </w:r>
    </w:p>
    <w:p w14:paraId="5CC5C917">
      <w:pPr>
        <w:pStyle w:val="165"/>
        <w:spacing w:line="360" w:lineRule="auto"/>
      </w:pPr>
      <w:r>
        <w:rPr>
          <w:rFonts w:hint="eastAsia"/>
        </w:rPr>
        <w:t>监测数据应包括水质数据、水文数据、视频数据、设备状态数据、告警数据、处置数据和相关辅助数据。</w:t>
      </w:r>
    </w:p>
    <w:p w14:paraId="32813419">
      <w:pPr>
        <w:pStyle w:val="165"/>
        <w:spacing w:line="360" w:lineRule="auto"/>
      </w:pPr>
      <w:r>
        <w:rPr>
          <w:rFonts w:hint="eastAsia"/>
        </w:rPr>
        <w:t>数据管理应满足真实性、完整性、连续性、一致性、及时性和可追溯性要求。</w:t>
      </w:r>
    </w:p>
    <w:p w14:paraId="3E7A9173">
      <w:pPr>
        <w:pStyle w:val="165"/>
        <w:spacing w:line="360" w:lineRule="auto"/>
      </w:pPr>
      <w:r>
        <w:rPr>
          <w:rFonts w:hint="eastAsia"/>
        </w:rPr>
        <w:t>未经审核确认的数据，不得直接作为正式评价结论和正式考核依据。</w:t>
      </w:r>
    </w:p>
    <w:p w14:paraId="24D82BD3">
      <w:pPr>
        <w:pStyle w:val="165"/>
        <w:spacing w:line="360" w:lineRule="auto"/>
      </w:pPr>
      <w:r>
        <w:rPr>
          <w:rFonts w:hint="eastAsia"/>
        </w:rPr>
        <w:t>异常数据、缺失数据和中断数据应进行标识、分析和处置，不得无说明直接纳入正式统计结果。</w:t>
      </w:r>
    </w:p>
    <w:p w14:paraId="5FF4BB45">
      <w:pPr>
        <w:pStyle w:val="165"/>
        <w:numPr>
          <w:ilvl w:val="0"/>
          <w:numId w:val="0"/>
        </w:numPr>
        <w:spacing w:line="360" w:lineRule="auto"/>
        <w:rPr>
          <w:rFonts w:hint="eastAsia"/>
        </w:rPr>
      </w:pPr>
    </w:p>
    <w:p w14:paraId="2C11EB28">
      <w:pPr>
        <w:pStyle w:val="105"/>
        <w:spacing w:before="120" w:after="120" w:line="360" w:lineRule="auto"/>
      </w:pPr>
      <w:r>
        <w:rPr>
          <w:rFonts w:hint="eastAsia"/>
        </w:rPr>
        <w:t>预警与处置要求</w:t>
      </w:r>
    </w:p>
    <w:p w14:paraId="65A2940C">
      <w:pPr>
        <w:pStyle w:val="165"/>
        <w:spacing w:line="360" w:lineRule="auto"/>
      </w:pPr>
      <w:r>
        <w:rPr>
          <w:rFonts w:hint="eastAsia"/>
        </w:rPr>
        <w:t>施工期水环境在线监测系统应建立预警机制。</w:t>
      </w:r>
    </w:p>
    <w:p w14:paraId="5C06376C">
      <w:pPr>
        <w:pStyle w:val="165"/>
        <w:spacing w:line="360" w:lineRule="auto"/>
      </w:pPr>
      <w:r>
        <w:rPr>
          <w:rFonts w:hint="eastAsia"/>
        </w:rPr>
        <w:t>预警应根据监测指标异常程度、变化趋势、持续时间、影响范围和敏感目标风险实施分级管理。</w:t>
      </w:r>
    </w:p>
    <w:p w14:paraId="266807D1">
      <w:pPr>
        <w:pStyle w:val="165"/>
        <w:spacing w:line="360" w:lineRule="auto"/>
      </w:pPr>
      <w:r>
        <w:rPr>
          <w:rFonts w:hint="eastAsia"/>
        </w:rPr>
        <w:t>预警信息应及时传递至建设单位、施工单位、监理单位和相关责任岗位。</w:t>
      </w:r>
    </w:p>
    <w:p w14:paraId="312F0B67">
      <w:pPr>
        <w:pStyle w:val="165"/>
        <w:spacing w:line="360" w:lineRule="auto"/>
      </w:pPr>
      <w:r>
        <w:rPr>
          <w:rFonts w:hint="eastAsia"/>
        </w:rPr>
        <w:t>预警后应及时开展核查、研判、处置、复核和销项，不得只发预警不处置、只处置不复核。</w:t>
      </w:r>
    </w:p>
    <w:p w14:paraId="31035C52">
      <w:pPr>
        <w:pStyle w:val="165"/>
        <w:spacing w:line="360" w:lineRule="auto"/>
      </w:pPr>
      <w:r>
        <w:rPr>
          <w:rFonts w:hint="eastAsia"/>
        </w:rPr>
        <w:t>对涉及敏感水域、饮用水安全、跨界水体影响或者重大污染风险的预警，应优先处置并提高报告等级。</w:t>
      </w:r>
    </w:p>
    <w:p w14:paraId="491EE420">
      <w:pPr>
        <w:pStyle w:val="105"/>
        <w:spacing w:before="120" w:after="120" w:line="360" w:lineRule="auto"/>
      </w:pPr>
      <w:r>
        <w:rPr>
          <w:rFonts w:hint="eastAsia"/>
        </w:rPr>
        <w:t>运行维护要求</w:t>
      </w:r>
    </w:p>
    <w:p w14:paraId="6358535D">
      <w:pPr>
        <w:pStyle w:val="165"/>
        <w:spacing w:line="360" w:lineRule="auto"/>
      </w:pPr>
      <w:r>
        <w:rPr>
          <w:rFonts w:hint="eastAsia"/>
        </w:rPr>
        <w:t>在线监测与智慧管控系统应建立运行维护制度。</w:t>
      </w:r>
    </w:p>
    <w:p w14:paraId="1580404F">
      <w:pPr>
        <w:pStyle w:val="165"/>
        <w:spacing w:line="360" w:lineRule="auto"/>
      </w:pPr>
      <w:r>
        <w:rPr>
          <w:rFonts w:hint="eastAsia"/>
        </w:rPr>
        <w:t>运行维护应包括设备巡检、设备校验、试剂更换、采样系统检查、通信维护、平台维护、故障处理和记录管理等内容。</w:t>
      </w:r>
    </w:p>
    <w:p w14:paraId="6BB90BFF">
      <w:pPr>
        <w:pStyle w:val="165"/>
        <w:spacing w:line="360" w:lineRule="auto"/>
      </w:pPr>
      <w:r>
        <w:rPr>
          <w:rFonts w:hint="eastAsia"/>
        </w:rPr>
        <w:t>运行维护单位应按规定开展日常维护和专项维护，确保系统持续稳定运行。</w:t>
      </w:r>
    </w:p>
    <w:p w14:paraId="79CA722A">
      <w:pPr>
        <w:pStyle w:val="165"/>
        <w:spacing w:line="360" w:lineRule="auto"/>
      </w:pPr>
      <w:r>
        <w:rPr>
          <w:rFonts w:hint="eastAsia"/>
        </w:rPr>
        <w:t>监测设备故障、通信中断、供电异常、平台异常或者数据异常时，应及时处置，不得长期带故障运行。</w:t>
      </w:r>
    </w:p>
    <w:p w14:paraId="71606D32">
      <w:pPr>
        <w:pStyle w:val="105"/>
        <w:spacing w:before="120" w:after="120" w:line="360" w:lineRule="auto"/>
      </w:pPr>
      <w:r>
        <w:rPr>
          <w:rFonts w:hint="eastAsia"/>
        </w:rPr>
        <w:t>资料与记录要求</w:t>
      </w:r>
    </w:p>
    <w:p w14:paraId="03EDE8CB">
      <w:pPr>
        <w:pStyle w:val="165"/>
        <w:spacing w:line="360" w:lineRule="auto"/>
      </w:pPr>
      <w:r>
        <w:rPr>
          <w:rFonts w:hint="eastAsia"/>
        </w:rPr>
        <w:t>施工期水环境在线监测与智慧管控活动应形成完整资料和记录。</w:t>
      </w:r>
    </w:p>
    <w:p w14:paraId="337DDB18">
      <w:pPr>
        <w:pStyle w:val="165"/>
        <w:spacing w:line="360" w:lineRule="auto"/>
      </w:pPr>
      <w:r>
        <w:rPr>
          <w:rFonts w:hint="eastAsia"/>
        </w:rPr>
        <w:t>资料和记录宜至少包括下列内容：</w:t>
      </w:r>
    </w:p>
    <w:p w14:paraId="2437189D">
      <w:pPr>
        <w:pStyle w:val="56"/>
        <w:spacing w:line="360" w:lineRule="auto"/>
        <w:ind w:firstLine="420"/>
      </w:pPr>
      <w:r>
        <w:rPr>
          <w:rFonts w:hint="eastAsia"/>
        </w:rPr>
        <w:t>a）监测方案；</w:t>
      </w:r>
    </w:p>
    <w:p w14:paraId="70B8102E">
      <w:pPr>
        <w:pStyle w:val="56"/>
        <w:spacing w:line="360" w:lineRule="auto"/>
        <w:ind w:firstLine="420"/>
      </w:pPr>
      <w:r>
        <w:rPr>
          <w:rFonts w:hint="eastAsia"/>
        </w:rPr>
        <w:t>b）点位布设资料；</w:t>
      </w:r>
    </w:p>
    <w:p w14:paraId="6051AA0C">
      <w:pPr>
        <w:pStyle w:val="56"/>
        <w:spacing w:line="360" w:lineRule="auto"/>
        <w:ind w:firstLine="420"/>
      </w:pPr>
      <w:r>
        <w:rPr>
          <w:rFonts w:hint="eastAsia"/>
        </w:rPr>
        <w:t>c）监测设备台账；</w:t>
      </w:r>
    </w:p>
    <w:p w14:paraId="37F57995">
      <w:pPr>
        <w:pStyle w:val="56"/>
        <w:spacing w:line="360" w:lineRule="auto"/>
        <w:ind w:firstLine="420"/>
      </w:pPr>
      <w:r>
        <w:rPr>
          <w:rFonts w:hint="eastAsia"/>
        </w:rPr>
        <w:t>d）运行维护记录；</w:t>
      </w:r>
    </w:p>
    <w:p w14:paraId="5F462032">
      <w:pPr>
        <w:pStyle w:val="56"/>
        <w:spacing w:line="360" w:lineRule="auto"/>
        <w:ind w:firstLine="420"/>
      </w:pPr>
      <w:r>
        <w:rPr>
          <w:rFonts w:hint="eastAsia"/>
        </w:rPr>
        <w:t>e）监测原始数据；</w:t>
      </w:r>
    </w:p>
    <w:p w14:paraId="204DFA8E">
      <w:pPr>
        <w:pStyle w:val="56"/>
        <w:spacing w:line="360" w:lineRule="auto"/>
        <w:ind w:firstLine="420"/>
      </w:pPr>
      <w:r>
        <w:rPr>
          <w:rFonts w:hint="eastAsia"/>
        </w:rPr>
        <w:t>f）数据审核记录；</w:t>
      </w:r>
    </w:p>
    <w:p w14:paraId="6A91CBA3">
      <w:pPr>
        <w:pStyle w:val="56"/>
        <w:spacing w:line="360" w:lineRule="auto"/>
        <w:ind w:firstLine="420"/>
      </w:pPr>
      <w:r>
        <w:rPr>
          <w:rFonts w:hint="eastAsia"/>
        </w:rPr>
        <w:t>g）预警记录；</w:t>
      </w:r>
    </w:p>
    <w:p w14:paraId="763E12F0">
      <w:pPr>
        <w:pStyle w:val="56"/>
        <w:spacing w:line="360" w:lineRule="auto"/>
        <w:ind w:firstLine="420"/>
      </w:pPr>
      <w:r>
        <w:rPr>
          <w:rFonts w:hint="eastAsia"/>
        </w:rPr>
        <w:t>h）联动处置记录；</w:t>
      </w:r>
    </w:p>
    <w:p w14:paraId="46698284">
      <w:pPr>
        <w:pStyle w:val="56"/>
        <w:spacing w:line="360" w:lineRule="auto"/>
        <w:ind w:firstLine="420"/>
      </w:pPr>
      <w:r>
        <w:rPr>
          <w:rFonts w:hint="eastAsia"/>
        </w:rPr>
        <w:t>i）复核销项记录；</w:t>
      </w:r>
    </w:p>
    <w:p w14:paraId="1D488AFB">
      <w:pPr>
        <w:pStyle w:val="56"/>
        <w:spacing w:line="360" w:lineRule="auto"/>
        <w:ind w:firstLine="420"/>
      </w:pPr>
      <w:r>
        <w:rPr>
          <w:rFonts w:hint="eastAsia"/>
        </w:rPr>
        <w:t>j）质量控制记录。</w:t>
      </w:r>
    </w:p>
    <w:p w14:paraId="75A514C1">
      <w:pPr>
        <w:pStyle w:val="165"/>
        <w:spacing w:line="360" w:lineRule="auto"/>
      </w:pPr>
      <w:r>
        <w:rPr>
          <w:rFonts w:hint="eastAsia"/>
        </w:rPr>
        <w:t>资料和记录应分类归档、统一编号、便于查询和长期追溯。</w:t>
      </w:r>
    </w:p>
    <w:p w14:paraId="5B18CEFB">
      <w:pPr>
        <w:pStyle w:val="165"/>
        <w:spacing w:line="360" w:lineRule="auto"/>
      </w:pPr>
      <w:r>
        <w:rPr>
          <w:rFonts w:hint="eastAsia"/>
        </w:rPr>
        <w:t>记录缺失、资料失真或者无法对应责任主体的，不得视为相关管理活动已规范完成。</w:t>
      </w:r>
    </w:p>
    <w:p w14:paraId="051DB404">
      <w:pPr>
        <w:pStyle w:val="105"/>
        <w:spacing w:before="120" w:after="120" w:line="360" w:lineRule="auto"/>
      </w:pPr>
      <w:r>
        <w:rPr>
          <w:rFonts w:hint="eastAsia"/>
        </w:rPr>
        <w:t>禁止性要求</w:t>
      </w:r>
    </w:p>
    <w:p w14:paraId="26B449F0">
      <w:pPr>
        <w:pStyle w:val="165"/>
        <w:spacing w:line="360" w:lineRule="auto"/>
      </w:pPr>
      <w:r>
        <w:rPr>
          <w:rFonts w:hint="eastAsia"/>
        </w:rPr>
        <w:t>不得在未明确监测目标、监测边界和责任边界的情况下建设和运行在线监测系统。</w:t>
      </w:r>
    </w:p>
    <w:p w14:paraId="2A70F3B2">
      <w:pPr>
        <w:pStyle w:val="165"/>
        <w:spacing w:line="360" w:lineRule="auto"/>
      </w:pPr>
      <w:r>
        <w:rPr>
          <w:rFonts w:hint="eastAsia"/>
        </w:rPr>
        <w:t>不得以临时监测点、临时监测数据或者非受控移动设备数据长期替代正式在线监测体系。</w:t>
      </w:r>
    </w:p>
    <w:p w14:paraId="59E2DA9F">
      <w:pPr>
        <w:pStyle w:val="165"/>
        <w:spacing w:line="360" w:lineRule="auto"/>
      </w:pPr>
      <w:r>
        <w:rPr>
          <w:rFonts w:hint="eastAsia"/>
        </w:rPr>
        <w:t>不得在监测设备异常、数据明显失真或者预警逻辑失效的情况下继续输出正式结果而不作说明。</w:t>
      </w:r>
    </w:p>
    <w:p w14:paraId="1CA9EED4">
      <w:pPr>
        <w:pStyle w:val="165"/>
        <w:spacing w:line="360" w:lineRule="auto"/>
      </w:pPr>
      <w:r>
        <w:rPr>
          <w:rFonts w:hint="eastAsia"/>
        </w:rPr>
        <w:t>不得对预警信息迟报、漏报、瞒报或者压报。</w:t>
      </w:r>
    </w:p>
    <w:p w14:paraId="1D139F9E">
      <w:pPr>
        <w:pStyle w:val="165"/>
        <w:spacing w:line="360" w:lineRule="auto"/>
      </w:pPr>
      <w:r>
        <w:rPr>
          <w:rFonts w:hint="eastAsia"/>
        </w:rPr>
        <w:t>不得在未完成复核和问题整改的情况下直接解除预警或者销项关闭。</w:t>
      </w:r>
    </w:p>
    <w:p w14:paraId="4C3E31E8">
      <w:pPr>
        <w:pStyle w:val="104"/>
        <w:spacing w:before="240" w:after="240" w:line="360" w:lineRule="auto"/>
      </w:pPr>
      <w:bookmarkStart w:id="52" w:name="_Toc228609189"/>
      <w:r>
        <w:rPr>
          <w:rFonts w:hint="eastAsia"/>
        </w:rPr>
        <w:t>监测布设与监测指标要求</w:t>
      </w:r>
      <w:bookmarkEnd w:id="52"/>
    </w:p>
    <w:p w14:paraId="542D2378">
      <w:pPr>
        <w:pStyle w:val="105"/>
        <w:spacing w:before="120" w:after="120" w:line="360" w:lineRule="auto"/>
      </w:pPr>
      <w:r>
        <w:rPr>
          <w:rFonts w:hint="eastAsia"/>
        </w:rPr>
        <w:t>一般要求</w:t>
      </w:r>
    </w:p>
    <w:p w14:paraId="13FC248C">
      <w:pPr>
        <w:pStyle w:val="164"/>
        <w:spacing w:line="360" w:lineRule="auto"/>
      </w:pPr>
      <w:r>
        <w:rPr>
          <w:rFonts w:hint="eastAsia"/>
        </w:rPr>
        <w:t>水利工程施工期水环境在线监测点位布设和监测指标确定，应以工程施工特点、水体特征、环境敏感目标、污染风险来源和管理目标为依据。</w:t>
      </w:r>
    </w:p>
    <w:p w14:paraId="291AF5E6">
      <w:pPr>
        <w:pStyle w:val="164"/>
        <w:spacing w:line="360" w:lineRule="auto"/>
      </w:pPr>
      <w:r>
        <w:rPr>
          <w:rFonts w:hint="eastAsia"/>
        </w:rPr>
        <w:t>点位布设应遵循代表性、连续性、可达性、安全性、可维护性和可比较性原则。</w:t>
      </w:r>
    </w:p>
    <w:p w14:paraId="78274C54">
      <w:pPr>
        <w:pStyle w:val="164"/>
        <w:spacing w:line="360" w:lineRule="auto"/>
      </w:pPr>
      <w:r>
        <w:rPr>
          <w:rFonts w:hint="eastAsia"/>
        </w:rPr>
        <w:t>监测指标设置应遵循目标导向、风险导向、必要适度和动态优化原则。</w:t>
      </w:r>
    </w:p>
    <w:p w14:paraId="4B52E9C0">
      <w:pPr>
        <w:pStyle w:val="164"/>
        <w:spacing w:line="360" w:lineRule="auto"/>
      </w:pPr>
      <w:r>
        <w:rPr>
          <w:rFonts w:hint="eastAsia"/>
        </w:rPr>
        <w:t>点位布设和指标确定不得脱离施工组织、排水路径、水流方向和水环境敏感性单独实施。</w:t>
      </w:r>
    </w:p>
    <w:p w14:paraId="566A9881">
      <w:pPr>
        <w:pStyle w:val="164"/>
        <w:spacing w:line="360" w:lineRule="auto"/>
      </w:pPr>
      <w:r>
        <w:rPr>
          <w:rFonts w:hint="eastAsia"/>
        </w:rPr>
        <w:t>未完成监测调查和风险分析的，不得直接确定正式监测布设方案。</w:t>
      </w:r>
    </w:p>
    <w:p w14:paraId="4316D6E2">
      <w:pPr>
        <w:pStyle w:val="105"/>
        <w:spacing w:before="120" w:after="120" w:line="360" w:lineRule="auto"/>
      </w:pPr>
      <w:r>
        <w:rPr>
          <w:rFonts w:hint="eastAsia"/>
        </w:rPr>
        <w:t>监测布设原则</w:t>
      </w:r>
    </w:p>
    <w:p w14:paraId="301FFE5E">
      <w:pPr>
        <w:pStyle w:val="65"/>
        <w:spacing w:before="120" w:after="120" w:line="360" w:lineRule="auto"/>
      </w:pPr>
      <w:r>
        <w:rPr>
          <w:rFonts w:hint="eastAsia"/>
        </w:rPr>
        <w:t>代表性要求</w:t>
      </w:r>
    </w:p>
    <w:p w14:paraId="599C04CD">
      <w:pPr>
        <w:pStyle w:val="164"/>
        <w:spacing w:line="360" w:lineRule="auto"/>
      </w:pPr>
      <w:r>
        <w:rPr>
          <w:rFonts w:hint="eastAsia"/>
        </w:rPr>
        <w:t>监测点位应能够真实反映施工活动对水环境的影响特征和变化趋势。</w:t>
      </w:r>
    </w:p>
    <w:p w14:paraId="7A53827A">
      <w:pPr>
        <w:pStyle w:val="164"/>
        <w:spacing w:line="360" w:lineRule="auto"/>
      </w:pPr>
      <w:r>
        <w:rPr>
          <w:rFonts w:hint="eastAsia"/>
        </w:rPr>
        <w:t>背景点应能够代表未受或者基本未受施工影响的水环境基础状态。</w:t>
      </w:r>
    </w:p>
    <w:p w14:paraId="4BC47453">
      <w:pPr>
        <w:pStyle w:val="164"/>
        <w:spacing w:line="360" w:lineRule="auto"/>
      </w:pPr>
      <w:r>
        <w:rPr>
          <w:rFonts w:hint="eastAsia"/>
        </w:rPr>
        <w:t>控制点应能够代表施工扰动集中区域、污染输入节点或者敏感保护对象附近水环境状态。</w:t>
      </w:r>
    </w:p>
    <w:p w14:paraId="471B7AF2">
      <w:pPr>
        <w:pStyle w:val="65"/>
        <w:spacing w:before="120" w:after="120" w:line="360" w:lineRule="auto"/>
      </w:pPr>
      <w:r>
        <w:rPr>
          <w:rFonts w:hint="eastAsia"/>
        </w:rPr>
        <w:t>比较性要求</w:t>
      </w:r>
    </w:p>
    <w:p w14:paraId="69E2D18F">
      <w:pPr>
        <w:pStyle w:val="164"/>
        <w:spacing w:line="360" w:lineRule="auto"/>
      </w:pPr>
      <w:r>
        <w:rPr>
          <w:rFonts w:hint="eastAsia"/>
        </w:rPr>
        <w:t>上下游监测断面、背景点和控制点之间应具有可比较性。</w:t>
      </w:r>
    </w:p>
    <w:p w14:paraId="172F5128">
      <w:pPr>
        <w:pStyle w:val="164"/>
        <w:spacing w:line="360" w:lineRule="auto"/>
      </w:pPr>
      <w:r>
        <w:rPr>
          <w:rFonts w:hint="eastAsia"/>
        </w:rPr>
        <w:t>同类监测点位之间应尽量保持监测条件、监测周期和监测方式一致。</w:t>
      </w:r>
    </w:p>
    <w:p w14:paraId="4A45953E">
      <w:pPr>
        <w:pStyle w:val="164"/>
        <w:spacing w:line="360" w:lineRule="auto"/>
      </w:pPr>
      <w:r>
        <w:rPr>
          <w:rFonts w:hint="eastAsia"/>
        </w:rPr>
        <w:t>因地形、水流条件或者施工布置限制导致比较性不足的，应在监测方案中说明原因并采取补充措施。</w:t>
      </w:r>
    </w:p>
    <w:p w14:paraId="157FD9B4">
      <w:pPr>
        <w:pStyle w:val="56"/>
        <w:spacing w:line="360" w:lineRule="auto"/>
        <w:ind w:firstLine="420"/>
      </w:pPr>
      <w:r>
        <w:rPr>
          <w:rFonts w:hint="eastAsia"/>
        </w:rPr>
        <w:t>安全与维护要求</w:t>
      </w:r>
    </w:p>
    <w:p w14:paraId="07BBB311">
      <w:pPr>
        <w:pStyle w:val="164"/>
        <w:spacing w:line="360" w:lineRule="auto"/>
      </w:pPr>
      <w:r>
        <w:rPr>
          <w:rFonts w:hint="eastAsia"/>
        </w:rPr>
        <w:t>点位布设应便于设备安装、设备维护、样品核查和现场巡检。</w:t>
      </w:r>
    </w:p>
    <w:p w14:paraId="6442D557">
      <w:pPr>
        <w:pStyle w:val="164"/>
        <w:spacing w:line="360" w:lineRule="auto"/>
      </w:pPr>
      <w:r>
        <w:rPr>
          <w:rFonts w:hint="eastAsia"/>
        </w:rPr>
        <w:t>点位不得设置在长期无供电、无通信、易被洪水冲毁、易塌岸、易坠落或者存在明显人身安全风险且无法采取防护措施的位置。</w:t>
      </w:r>
    </w:p>
    <w:p w14:paraId="4886BD57">
      <w:pPr>
        <w:pStyle w:val="164"/>
        <w:spacing w:line="360" w:lineRule="auto"/>
      </w:pPr>
      <w:r>
        <w:rPr>
          <w:rFonts w:hint="eastAsia"/>
        </w:rPr>
        <w:t>对偏远、陡坡、库岸不稳和洪水易淹区域的点位，应采取专门防护和维护措施。</w:t>
      </w:r>
    </w:p>
    <w:p w14:paraId="303DAF6F">
      <w:pPr>
        <w:pStyle w:val="164"/>
        <w:numPr>
          <w:ilvl w:val="0"/>
          <w:numId w:val="0"/>
        </w:numPr>
        <w:spacing w:line="360" w:lineRule="auto"/>
      </w:pPr>
    </w:p>
    <w:p w14:paraId="4E68764E">
      <w:pPr>
        <w:pStyle w:val="164"/>
        <w:numPr>
          <w:ilvl w:val="0"/>
          <w:numId w:val="0"/>
        </w:numPr>
        <w:spacing w:line="360" w:lineRule="auto"/>
        <w:rPr>
          <w:rFonts w:hint="eastAsia"/>
        </w:rPr>
      </w:pPr>
    </w:p>
    <w:p w14:paraId="285CBADC">
      <w:pPr>
        <w:pStyle w:val="105"/>
        <w:spacing w:before="120" w:after="120" w:line="360" w:lineRule="auto"/>
      </w:pPr>
      <w:r>
        <w:rPr>
          <w:rFonts w:hint="eastAsia"/>
        </w:rPr>
        <w:t>监测断面布设要求</w:t>
      </w:r>
    </w:p>
    <w:p w14:paraId="3B28B077">
      <w:pPr>
        <w:pStyle w:val="65"/>
        <w:spacing w:before="120" w:after="120" w:line="360" w:lineRule="auto"/>
      </w:pPr>
      <w:r>
        <w:rPr>
          <w:rFonts w:hint="eastAsia"/>
        </w:rPr>
        <w:t>一般要求</w:t>
      </w:r>
    </w:p>
    <w:p w14:paraId="4D53E6C4">
      <w:pPr>
        <w:pStyle w:val="164"/>
        <w:spacing w:line="360" w:lineRule="auto"/>
      </w:pPr>
      <w:r>
        <w:rPr>
          <w:rFonts w:hint="eastAsia"/>
        </w:rPr>
        <w:t>对河流、渠道和施工排水影响明显的天然水体，应优先采用断面布设方式。</w:t>
      </w:r>
    </w:p>
    <w:p w14:paraId="00ADF57B">
      <w:pPr>
        <w:pStyle w:val="164"/>
        <w:spacing w:line="360" w:lineRule="auto"/>
      </w:pPr>
      <w:r>
        <w:rPr>
          <w:rFonts w:hint="eastAsia"/>
        </w:rPr>
        <w:t>监测断面宜包括背景断面、施工影响控制断面和下游影响评价断面。</w:t>
      </w:r>
    </w:p>
    <w:p w14:paraId="5612AB7F">
      <w:pPr>
        <w:pStyle w:val="164"/>
        <w:spacing w:line="360" w:lineRule="auto"/>
      </w:pPr>
      <w:r>
        <w:rPr>
          <w:rFonts w:hint="eastAsia"/>
        </w:rPr>
        <w:t>断面布设应结合施工区上下游关系、水流方向、汇排水关系和敏感目标位置确定。</w:t>
      </w:r>
    </w:p>
    <w:p w14:paraId="265A32D5">
      <w:pPr>
        <w:pStyle w:val="65"/>
        <w:spacing w:before="120" w:after="120" w:line="360" w:lineRule="auto"/>
      </w:pPr>
      <w:r>
        <w:rPr>
          <w:rFonts w:hint="eastAsia"/>
        </w:rPr>
        <w:t>背景断面布设要求</w:t>
      </w:r>
    </w:p>
    <w:p w14:paraId="1FF91889">
      <w:pPr>
        <w:pStyle w:val="164"/>
        <w:spacing w:line="360" w:lineRule="auto"/>
      </w:pPr>
      <w:r>
        <w:rPr>
          <w:rFonts w:hint="eastAsia"/>
        </w:rPr>
        <w:t>背景断面应设置在施工影响区上游或者不受施工影响的对照水域。</w:t>
      </w:r>
    </w:p>
    <w:p w14:paraId="5349CF1A">
      <w:pPr>
        <w:pStyle w:val="164"/>
        <w:spacing w:line="360" w:lineRule="auto"/>
      </w:pPr>
      <w:r>
        <w:rPr>
          <w:rFonts w:hint="eastAsia"/>
        </w:rPr>
        <w:t>背景断面与施工影响区之间不得存在其他明显污染源或者显著水体交换干扰。</w:t>
      </w:r>
    </w:p>
    <w:p w14:paraId="42CBCF7B">
      <w:pPr>
        <w:pStyle w:val="164"/>
        <w:spacing w:line="360" w:lineRule="auto"/>
      </w:pPr>
      <w:r>
        <w:rPr>
          <w:rFonts w:hint="eastAsia"/>
        </w:rPr>
        <w:t>背景断面不足以代表自然背景状态的，应增设辅助背景点或者补充人工核查点。</w:t>
      </w:r>
    </w:p>
    <w:p w14:paraId="75D58C09">
      <w:pPr>
        <w:pStyle w:val="65"/>
        <w:spacing w:before="120" w:after="120" w:line="360" w:lineRule="auto"/>
      </w:pPr>
      <w:r>
        <w:rPr>
          <w:rFonts w:hint="eastAsia"/>
        </w:rPr>
        <w:t>控制断面布设要求</w:t>
      </w:r>
    </w:p>
    <w:p w14:paraId="3307E3E4">
      <w:pPr>
        <w:pStyle w:val="164"/>
        <w:spacing w:line="360" w:lineRule="auto"/>
      </w:pPr>
      <w:r>
        <w:rPr>
          <w:rFonts w:hint="eastAsia"/>
        </w:rPr>
        <w:t>控制断面应设置在施工活动对水环境可能产生直接影响的重点区域。</w:t>
      </w:r>
    </w:p>
    <w:p w14:paraId="37C8F337">
      <w:pPr>
        <w:pStyle w:val="164"/>
        <w:spacing w:line="360" w:lineRule="auto"/>
      </w:pPr>
      <w:r>
        <w:rPr>
          <w:rFonts w:hint="eastAsia"/>
        </w:rPr>
        <w:t>施工围堰、基坑排水口、施工便道穿越点、弃渣场下游汇水口、施工营地下游、砂石料加工废水排放相关区域和混凝土拌合站周边水体宜设置控制断面或者控制点。</w:t>
      </w:r>
    </w:p>
    <w:p w14:paraId="06C1233C">
      <w:pPr>
        <w:pStyle w:val="164"/>
        <w:spacing w:line="360" w:lineRule="auto"/>
      </w:pPr>
      <w:r>
        <w:rPr>
          <w:rFonts w:hint="eastAsia"/>
        </w:rPr>
        <w:t>对施工扰动强度大、废水排放频繁或者水体交换能力弱的区域，应增设加密控制断面。</w:t>
      </w:r>
    </w:p>
    <w:p w14:paraId="2BB1777E">
      <w:pPr>
        <w:pStyle w:val="65"/>
        <w:spacing w:before="120" w:after="120" w:line="360" w:lineRule="auto"/>
      </w:pPr>
      <w:r>
        <w:rPr>
          <w:rFonts w:hint="eastAsia"/>
        </w:rPr>
        <w:t>下游评价断面布设要求</w:t>
      </w:r>
    </w:p>
    <w:p w14:paraId="43A8045C">
      <w:pPr>
        <w:pStyle w:val="164"/>
        <w:spacing w:line="360" w:lineRule="auto"/>
      </w:pPr>
      <w:r>
        <w:rPr>
          <w:rFonts w:hint="eastAsia"/>
        </w:rPr>
        <w:t>下游评价断面应设置在能够反映施工影响扩散和恢复情况的位置。</w:t>
      </w:r>
    </w:p>
    <w:p w14:paraId="0D4E1D18">
      <w:pPr>
        <w:pStyle w:val="164"/>
        <w:spacing w:line="360" w:lineRule="auto"/>
      </w:pPr>
      <w:r>
        <w:rPr>
          <w:rFonts w:hint="eastAsia"/>
        </w:rPr>
        <w:t>下游评价断面与控制断面之间的距离，应结合水流速度、水体交换条件、污染物扩散规律和敏感目标位置确定。</w:t>
      </w:r>
    </w:p>
    <w:p w14:paraId="1C3C4E62">
      <w:pPr>
        <w:pStyle w:val="164"/>
        <w:spacing w:line="360" w:lineRule="auto"/>
      </w:pPr>
      <w:r>
        <w:rPr>
          <w:rFonts w:hint="eastAsia"/>
        </w:rPr>
        <w:t>对跨行政区域、跨管理边界或者下游存在重要取水目标的工程，应重点布设下游评价断面。</w:t>
      </w:r>
    </w:p>
    <w:p w14:paraId="05E75E39">
      <w:pPr>
        <w:pStyle w:val="105"/>
        <w:spacing w:before="120" w:after="120" w:line="360" w:lineRule="auto"/>
      </w:pPr>
      <w:r>
        <w:rPr>
          <w:rFonts w:hint="eastAsia"/>
        </w:rPr>
        <w:t>重点区域监测点布设要求</w:t>
      </w:r>
    </w:p>
    <w:p w14:paraId="6756696D">
      <w:pPr>
        <w:pStyle w:val="65"/>
        <w:spacing w:before="120" w:after="120" w:line="360" w:lineRule="auto"/>
      </w:pPr>
      <w:r>
        <w:rPr>
          <w:rFonts w:hint="eastAsia"/>
        </w:rPr>
        <w:t>排放口监测点</w:t>
      </w:r>
    </w:p>
    <w:p w14:paraId="142B0385">
      <w:pPr>
        <w:pStyle w:val="164"/>
        <w:spacing w:line="360" w:lineRule="auto"/>
      </w:pPr>
      <w:r>
        <w:rPr>
          <w:rFonts w:hint="eastAsia"/>
        </w:rPr>
        <w:t>对施工废水排放口、基坑排水口、洞室排水口和其他集中排水节点，应设置监测点。</w:t>
      </w:r>
    </w:p>
    <w:p w14:paraId="228ECDEB">
      <w:pPr>
        <w:pStyle w:val="164"/>
        <w:spacing w:line="360" w:lineRule="auto"/>
      </w:pPr>
      <w:r>
        <w:rPr>
          <w:rFonts w:hint="eastAsia"/>
        </w:rPr>
        <w:t>排放口监测点应能够反映排放水质、水量变化和排放异常情况。</w:t>
      </w:r>
    </w:p>
    <w:p w14:paraId="1F249B54">
      <w:pPr>
        <w:pStyle w:val="164"/>
        <w:spacing w:line="360" w:lineRule="auto"/>
      </w:pPr>
      <w:r>
        <w:rPr>
          <w:rFonts w:hint="eastAsia"/>
        </w:rPr>
        <w:t>排放口位置发生变更、增设或者取消时，应同步调整监测点布设。</w:t>
      </w:r>
    </w:p>
    <w:p w14:paraId="552B4583">
      <w:pPr>
        <w:pStyle w:val="65"/>
        <w:spacing w:before="120" w:after="120" w:line="360" w:lineRule="auto"/>
      </w:pPr>
      <w:r>
        <w:rPr>
          <w:rFonts w:hint="eastAsia"/>
        </w:rPr>
        <w:t>敏感水域监测点</w:t>
      </w:r>
    </w:p>
    <w:p w14:paraId="142D289A">
      <w:pPr>
        <w:pStyle w:val="164"/>
        <w:spacing w:line="360" w:lineRule="auto"/>
      </w:pPr>
      <w:r>
        <w:rPr>
          <w:rFonts w:hint="eastAsia"/>
        </w:rPr>
        <w:t>对饮用水水源关联水域、生态敏感水域、重要渔业水域、自然保护区关联水域和重要水功能区，应设置敏感水域监测点。</w:t>
      </w:r>
    </w:p>
    <w:p w14:paraId="4D662B1D">
      <w:pPr>
        <w:pStyle w:val="164"/>
        <w:spacing w:line="360" w:lineRule="auto"/>
      </w:pPr>
      <w:r>
        <w:rPr>
          <w:rFonts w:hint="eastAsia"/>
        </w:rPr>
        <w:t>敏感水域监测点应优先满足风险预警和保护目标评价要求。</w:t>
      </w:r>
    </w:p>
    <w:p w14:paraId="43EB767F">
      <w:pPr>
        <w:pStyle w:val="164"/>
        <w:spacing w:line="360" w:lineRule="auto"/>
      </w:pPr>
      <w:r>
        <w:rPr>
          <w:rFonts w:hint="eastAsia"/>
        </w:rPr>
        <w:t>敏感水域保护要求提高或者敏感目标发生变化时，应及时优化布设方案。</w:t>
      </w:r>
    </w:p>
    <w:p w14:paraId="676991A0">
      <w:pPr>
        <w:pStyle w:val="65"/>
        <w:spacing w:before="120" w:after="120" w:line="360" w:lineRule="auto"/>
      </w:pPr>
      <w:r>
        <w:rPr>
          <w:rFonts w:hint="eastAsia"/>
        </w:rPr>
        <w:t>施工扰动区监测点</w:t>
      </w:r>
    </w:p>
    <w:p w14:paraId="42B9F409">
      <w:pPr>
        <w:pStyle w:val="164"/>
        <w:spacing w:line="360" w:lineRule="auto"/>
      </w:pPr>
      <w:r>
        <w:rPr>
          <w:rFonts w:hint="eastAsia"/>
        </w:rPr>
        <w:t>对围堰施工区、爆破施工区、挖填方集中区、弃渣区、施工道路交叉排水区和大面积清基区域，应结合扰动强度布设监测点。</w:t>
      </w:r>
    </w:p>
    <w:p w14:paraId="45828CBD">
      <w:pPr>
        <w:pStyle w:val="164"/>
        <w:spacing w:line="360" w:lineRule="auto"/>
      </w:pPr>
      <w:r>
        <w:rPr>
          <w:rFonts w:hint="eastAsia"/>
        </w:rPr>
        <w:t>对存在泥沙扰动、悬浮物增加、pH 异常、油污风险或者化学品泄漏风险的区域，应优先布设专项监测点。</w:t>
      </w:r>
    </w:p>
    <w:p w14:paraId="08FA826A">
      <w:pPr>
        <w:pStyle w:val="105"/>
        <w:spacing w:before="120" w:after="120" w:line="360" w:lineRule="auto"/>
      </w:pPr>
      <w:r>
        <w:rPr>
          <w:rFonts w:hint="eastAsia"/>
        </w:rPr>
        <w:t>监测布设数量与密度要求</w:t>
      </w:r>
    </w:p>
    <w:p w14:paraId="7E33EB46">
      <w:pPr>
        <w:pStyle w:val="65"/>
        <w:spacing w:before="120" w:after="120" w:line="360" w:lineRule="auto"/>
      </w:pPr>
      <w:r>
        <w:rPr>
          <w:rFonts w:hint="eastAsia"/>
        </w:rPr>
        <w:t>一般要求</w:t>
      </w:r>
    </w:p>
    <w:p w14:paraId="2CFFE14F">
      <w:pPr>
        <w:pStyle w:val="164"/>
        <w:spacing w:line="360" w:lineRule="auto"/>
      </w:pPr>
      <w:r>
        <w:rPr>
          <w:rFonts w:hint="eastAsia"/>
        </w:rPr>
        <w:t>监测点位数量应与工程规模、施工范围、水体类型、敏感目标数量和污染风险程度相适应。</w:t>
      </w:r>
    </w:p>
    <w:p w14:paraId="3A57F7A4">
      <w:pPr>
        <w:pStyle w:val="164"/>
        <w:spacing w:line="360" w:lineRule="auto"/>
      </w:pPr>
      <w:r>
        <w:rPr>
          <w:rFonts w:hint="eastAsia"/>
        </w:rPr>
        <w:t>大型工程、分散施工工程、长距离线性工程和多作业面工程，应适当增加监测点位数量。</w:t>
      </w:r>
    </w:p>
    <w:p w14:paraId="0F71E0FF">
      <w:pPr>
        <w:pStyle w:val="164"/>
        <w:spacing w:line="360" w:lineRule="auto"/>
      </w:pPr>
      <w:r>
        <w:rPr>
          <w:rFonts w:hint="eastAsia"/>
        </w:rPr>
        <w:t>监测密度不得过低而无法反映施工影响变化，不得无依据过密布设造成资源浪费和运维失控。</w:t>
      </w:r>
    </w:p>
    <w:p w14:paraId="5C5A601F">
      <w:pPr>
        <w:pStyle w:val="65"/>
        <w:spacing w:before="120" w:after="120" w:line="360" w:lineRule="auto"/>
      </w:pPr>
      <w:r>
        <w:rPr>
          <w:rFonts w:hint="eastAsia"/>
        </w:rPr>
        <w:t>加密布设情形</w:t>
      </w:r>
    </w:p>
    <w:p w14:paraId="682916F0">
      <w:pPr>
        <w:pStyle w:val="56"/>
        <w:spacing w:line="360" w:lineRule="auto"/>
        <w:ind w:firstLine="420"/>
      </w:pPr>
      <w:r>
        <w:rPr>
          <w:rFonts w:hint="eastAsia"/>
        </w:rPr>
        <w:t>出现下列情形之一时，应增加监测密度或者增设临时监测点：</w:t>
      </w:r>
    </w:p>
    <w:p w14:paraId="105F0C38">
      <w:pPr>
        <w:pStyle w:val="56"/>
        <w:spacing w:line="360" w:lineRule="auto"/>
        <w:ind w:firstLine="420"/>
      </w:pPr>
      <w:r>
        <w:rPr>
          <w:rFonts w:hint="eastAsia"/>
        </w:rPr>
        <w:t>a）施工进入高扰动阶段；</w:t>
      </w:r>
    </w:p>
    <w:p w14:paraId="296470F9">
      <w:pPr>
        <w:pStyle w:val="56"/>
        <w:spacing w:line="360" w:lineRule="auto"/>
        <w:ind w:firstLine="420"/>
      </w:pPr>
      <w:r>
        <w:rPr>
          <w:rFonts w:hint="eastAsia"/>
        </w:rPr>
        <w:t>b）施工废水排放量明显增大；</w:t>
      </w:r>
    </w:p>
    <w:p w14:paraId="0D4ED5E1">
      <w:pPr>
        <w:pStyle w:val="56"/>
        <w:spacing w:line="360" w:lineRule="auto"/>
        <w:ind w:firstLine="420"/>
      </w:pPr>
      <w:r>
        <w:rPr>
          <w:rFonts w:hint="eastAsia"/>
        </w:rPr>
        <w:t>c）雨季、汛期和洪水期来临；</w:t>
      </w:r>
    </w:p>
    <w:p w14:paraId="246FCEEA">
      <w:pPr>
        <w:pStyle w:val="56"/>
        <w:spacing w:line="360" w:lineRule="auto"/>
        <w:ind w:firstLine="420"/>
      </w:pPr>
      <w:r>
        <w:rPr>
          <w:rFonts w:hint="eastAsia"/>
        </w:rPr>
        <w:t>d）出现异常预警或者污染投诉；</w:t>
      </w:r>
    </w:p>
    <w:p w14:paraId="7061A6FE">
      <w:pPr>
        <w:pStyle w:val="56"/>
        <w:spacing w:line="360" w:lineRule="auto"/>
        <w:ind w:firstLine="420"/>
      </w:pPr>
      <w:r>
        <w:rPr>
          <w:rFonts w:hint="eastAsia"/>
        </w:rPr>
        <w:t>e）敏感目标临近或者新增；</w:t>
      </w:r>
    </w:p>
    <w:p w14:paraId="6D50631E">
      <w:pPr>
        <w:pStyle w:val="56"/>
        <w:spacing w:line="360" w:lineRule="auto"/>
        <w:ind w:firstLine="420"/>
      </w:pPr>
      <w:r>
        <w:rPr>
          <w:rFonts w:hint="eastAsia"/>
        </w:rPr>
        <w:t>f）原有监测点代表性不足；</w:t>
      </w:r>
    </w:p>
    <w:p w14:paraId="46BC9E43">
      <w:pPr>
        <w:pStyle w:val="56"/>
        <w:spacing w:line="360" w:lineRule="auto"/>
        <w:ind w:firstLine="420"/>
      </w:pPr>
      <w:r>
        <w:rPr>
          <w:rFonts w:hint="eastAsia"/>
        </w:rPr>
        <w:t>g）发生突发水环境事件。</w:t>
      </w:r>
    </w:p>
    <w:p w14:paraId="13E11A52">
      <w:pPr>
        <w:pStyle w:val="105"/>
        <w:spacing w:before="120" w:after="120" w:line="360" w:lineRule="auto"/>
      </w:pPr>
      <w:r>
        <w:rPr>
          <w:rFonts w:hint="eastAsia"/>
        </w:rPr>
        <w:t>监测指标确定要求</w:t>
      </w:r>
    </w:p>
    <w:p w14:paraId="030C2EA2">
      <w:pPr>
        <w:pStyle w:val="65"/>
        <w:spacing w:before="120" w:after="120" w:line="360" w:lineRule="auto"/>
      </w:pPr>
      <w:r>
        <w:rPr>
          <w:rFonts w:hint="eastAsia"/>
        </w:rPr>
        <w:t>一般要求</w:t>
      </w:r>
    </w:p>
    <w:p w14:paraId="2616BBA1">
      <w:pPr>
        <w:pStyle w:val="164"/>
        <w:spacing w:line="360" w:lineRule="auto"/>
      </w:pPr>
      <w:r>
        <w:rPr>
          <w:rFonts w:hint="eastAsia"/>
        </w:rPr>
        <w:t>监测指标应根据受纳水体特征、施工活动类型、污染来源特征、环境功能要求和监管要求综合确定。</w:t>
      </w:r>
    </w:p>
    <w:p w14:paraId="23EB9202">
      <w:pPr>
        <w:pStyle w:val="164"/>
        <w:spacing w:line="360" w:lineRule="auto"/>
      </w:pPr>
      <w:r>
        <w:rPr>
          <w:rFonts w:hint="eastAsia"/>
        </w:rPr>
        <w:t>监测指标宜分为基础指标、控制指标和专项指标。</w:t>
      </w:r>
    </w:p>
    <w:p w14:paraId="6B8447EE">
      <w:pPr>
        <w:pStyle w:val="164"/>
        <w:spacing w:line="360" w:lineRule="auto"/>
      </w:pPr>
      <w:r>
        <w:rPr>
          <w:rFonts w:hint="eastAsia"/>
        </w:rPr>
        <w:t>不同监测点位和不同施工阶段可设置不同监测指标组合。</w:t>
      </w:r>
    </w:p>
    <w:p w14:paraId="3CADE21A">
      <w:pPr>
        <w:pStyle w:val="65"/>
        <w:spacing w:before="120" w:after="120" w:line="360" w:lineRule="auto"/>
      </w:pPr>
      <w:r>
        <w:rPr>
          <w:rFonts w:hint="eastAsia"/>
        </w:rPr>
        <w:t>基础指标要求</w:t>
      </w:r>
    </w:p>
    <w:p w14:paraId="0C6C53C7">
      <w:pPr>
        <w:pStyle w:val="164"/>
        <w:spacing w:line="360" w:lineRule="auto"/>
      </w:pPr>
      <w:r>
        <w:rPr>
          <w:rFonts w:hint="eastAsia"/>
        </w:rPr>
        <w:t>基础指标宜包括能够反映水体基本状态和施工扰动影响的指标。</w:t>
      </w:r>
    </w:p>
    <w:p w14:paraId="6F222515">
      <w:pPr>
        <w:pStyle w:val="164"/>
        <w:spacing w:line="360" w:lineRule="auto"/>
      </w:pPr>
      <w:r>
        <w:rPr>
          <w:rFonts w:hint="eastAsia"/>
        </w:rPr>
        <w:t>河流、渠道、库区和排放相关监测点可根据需要设置水温、pH、溶解氧、电导率、浊度、悬浮物等基础指标。</w:t>
      </w:r>
    </w:p>
    <w:p w14:paraId="6694478A">
      <w:pPr>
        <w:pStyle w:val="164"/>
        <w:spacing w:line="360" w:lineRule="auto"/>
      </w:pPr>
      <w:r>
        <w:rPr>
          <w:rFonts w:hint="eastAsia"/>
        </w:rPr>
        <w:t>基础指标应能够支持趋势分析、背景对比和异常识别。</w:t>
      </w:r>
    </w:p>
    <w:p w14:paraId="6F06EC2F">
      <w:pPr>
        <w:pStyle w:val="65"/>
        <w:spacing w:before="120" w:after="120" w:line="360" w:lineRule="auto"/>
      </w:pPr>
      <w:r>
        <w:rPr>
          <w:rFonts w:hint="eastAsia"/>
        </w:rPr>
        <w:t>控制指标要求</w:t>
      </w:r>
    </w:p>
    <w:p w14:paraId="448AC48C">
      <w:pPr>
        <w:pStyle w:val="164"/>
        <w:spacing w:line="360" w:lineRule="auto"/>
      </w:pPr>
      <w:r>
        <w:rPr>
          <w:rFonts w:hint="eastAsia"/>
        </w:rPr>
        <w:t>控制指标应根据施工污染风险和排放控制要求设置。</w:t>
      </w:r>
    </w:p>
    <w:p w14:paraId="7B580F48">
      <w:pPr>
        <w:pStyle w:val="164"/>
        <w:spacing w:line="360" w:lineRule="auto"/>
      </w:pPr>
      <w:r>
        <w:rPr>
          <w:rFonts w:hint="eastAsia"/>
        </w:rPr>
        <w:t>对施工废水排放相关点位，宜重点关注反映泥沙扰动、污染输入和处理效果的控制指标。</w:t>
      </w:r>
    </w:p>
    <w:p w14:paraId="07BAFB1F">
      <w:pPr>
        <w:pStyle w:val="164"/>
        <w:spacing w:line="360" w:lineRule="auto"/>
      </w:pPr>
      <w:r>
        <w:rPr>
          <w:rFonts w:hint="eastAsia"/>
        </w:rPr>
        <w:t>对混凝土施工、砂石料加工、机械作业密集和油料使用频繁区域，应结合实际设置相应控制指标。</w:t>
      </w:r>
    </w:p>
    <w:p w14:paraId="63A4865A">
      <w:pPr>
        <w:pStyle w:val="65"/>
        <w:spacing w:before="120" w:after="120" w:line="360" w:lineRule="auto"/>
      </w:pPr>
      <w:r>
        <w:rPr>
          <w:rFonts w:hint="eastAsia"/>
        </w:rPr>
        <w:t>专项指标要求</w:t>
      </w:r>
    </w:p>
    <w:p w14:paraId="0A32C634">
      <w:pPr>
        <w:pStyle w:val="164"/>
        <w:spacing w:line="360" w:lineRule="auto"/>
      </w:pPr>
      <w:r>
        <w:rPr>
          <w:rFonts w:hint="eastAsia"/>
        </w:rPr>
        <w:t>存在特殊污染风险或者特殊保护要求时，应设置专项指标。</w:t>
      </w:r>
    </w:p>
    <w:p w14:paraId="3423E5A2">
      <w:pPr>
        <w:pStyle w:val="164"/>
        <w:spacing w:line="360" w:lineRule="auto"/>
      </w:pPr>
      <w:r>
        <w:rPr>
          <w:rFonts w:hint="eastAsia"/>
        </w:rPr>
        <w:t>出现下列情形之一时，宜增设专项指标：</w:t>
      </w:r>
    </w:p>
    <w:p w14:paraId="3B7C6A36">
      <w:pPr>
        <w:pStyle w:val="56"/>
        <w:spacing w:line="360" w:lineRule="auto"/>
        <w:ind w:firstLine="420"/>
      </w:pPr>
      <w:r>
        <w:rPr>
          <w:rFonts w:hint="eastAsia"/>
        </w:rPr>
        <w:t>a）油污泄漏风险较高；</w:t>
      </w:r>
    </w:p>
    <w:p w14:paraId="2F0371E2">
      <w:pPr>
        <w:pStyle w:val="56"/>
        <w:spacing w:line="360" w:lineRule="auto"/>
        <w:ind w:firstLine="420"/>
      </w:pPr>
      <w:r>
        <w:rPr>
          <w:rFonts w:hint="eastAsia"/>
        </w:rPr>
        <w:t>b）混凝土施工规模较大；</w:t>
      </w:r>
    </w:p>
    <w:p w14:paraId="3234C3E5">
      <w:pPr>
        <w:pStyle w:val="56"/>
        <w:spacing w:line="360" w:lineRule="auto"/>
        <w:ind w:firstLine="420"/>
      </w:pPr>
      <w:r>
        <w:rPr>
          <w:rFonts w:hint="eastAsia"/>
        </w:rPr>
        <w:t>c）施工营地生活污水影响明显；</w:t>
      </w:r>
    </w:p>
    <w:p w14:paraId="2D4BE509">
      <w:pPr>
        <w:pStyle w:val="56"/>
        <w:spacing w:line="360" w:lineRule="auto"/>
        <w:ind w:firstLine="420"/>
      </w:pPr>
      <w:r>
        <w:rPr>
          <w:rFonts w:hint="eastAsia"/>
        </w:rPr>
        <w:t>d）弃渣场淋滤影响明显；</w:t>
      </w:r>
    </w:p>
    <w:p w14:paraId="539E50A0">
      <w:pPr>
        <w:pStyle w:val="56"/>
        <w:spacing w:line="360" w:lineRule="auto"/>
        <w:ind w:firstLine="420"/>
      </w:pPr>
      <w:r>
        <w:rPr>
          <w:rFonts w:hint="eastAsia"/>
        </w:rPr>
        <w:t>e）特定生态保护目标对水质敏感；</w:t>
      </w:r>
    </w:p>
    <w:p w14:paraId="42B86699">
      <w:pPr>
        <w:pStyle w:val="56"/>
        <w:spacing w:line="360" w:lineRule="auto"/>
        <w:ind w:firstLine="420"/>
      </w:pPr>
      <w:r>
        <w:rPr>
          <w:rFonts w:hint="eastAsia"/>
        </w:rPr>
        <w:t>f）主管部门提出专项要求。</w:t>
      </w:r>
    </w:p>
    <w:p w14:paraId="300D9B81">
      <w:pPr>
        <w:pStyle w:val="105"/>
        <w:spacing w:before="120" w:after="120" w:line="360" w:lineRule="auto"/>
      </w:pPr>
      <w:r>
        <w:rPr>
          <w:rFonts w:hint="eastAsia"/>
        </w:rPr>
        <w:t>监测指标动态调整要求</w:t>
      </w:r>
    </w:p>
    <w:p w14:paraId="6643A756">
      <w:pPr>
        <w:pStyle w:val="65"/>
        <w:spacing w:before="120" w:after="120" w:line="360" w:lineRule="auto"/>
      </w:pPr>
      <w:r>
        <w:rPr>
          <w:rFonts w:hint="eastAsia"/>
        </w:rPr>
        <w:t>一般要求</w:t>
      </w:r>
    </w:p>
    <w:p w14:paraId="1EC09E32">
      <w:pPr>
        <w:pStyle w:val="164"/>
        <w:spacing w:line="360" w:lineRule="auto"/>
      </w:pPr>
      <w:r>
        <w:rPr>
          <w:rFonts w:hint="eastAsia"/>
        </w:rPr>
        <w:t>施工阶段变化、施工工艺变化、排水路径变化、风险因素变化或者敏感目标变化时，应动态调整监测指标。</w:t>
      </w:r>
    </w:p>
    <w:p w14:paraId="2F71DFEB">
      <w:pPr>
        <w:pStyle w:val="164"/>
        <w:spacing w:line="360" w:lineRule="auto"/>
      </w:pPr>
      <w:r>
        <w:rPr>
          <w:rFonts w:hint="eastAsia"/>
        </w:rPr>
        <w:t>动态调整应以不降低监测代表性和风险识别能力为前提。</w:t>
      </w:r>
    </w:p>
    <w:p w14:paraId="51DFA47E">
      <w:pPr>
        <w:pStyle w:val="65"/>
        <w:spacing w:before="120" w:after="120" w:line="360" w:lineRule="auto"/>
      </w:pPr>
      <w:r>
        <w:rPr>
          <w:rFonts w:hint="eastAsia"/>
        </w:rPr>
        <w:t>调整情形</w:t>
      </w:r>
    </w:p>
    <w:p w14:paraId="70071E71">
      <w:pPr>
        <w:pStyle w:val="164"/>
        <w:spacing w:line="360" w:lineRule="auto"/>
      </w:pPr>
      <w:r>
        <w:rPr>
          <w:rFonts w:hint="eastAsia"/>
        </w:rPr>
        <w:t>出现下列情形之一时，应重新评估监测指标设置：</w:t>
      </w:r>
    </w:p>
    <w:p w14:paraId="496B536D">
      <w:pPr>
        <w:pStyle w:val="56"/>
        <w:spacing w:line="360" w:lineRule="auto"/>
        <w:ind w:firstLine="420"/>
      </w:pPr>
      <w:r>
        <w:rPr>
          <w:rFonts w:hint="eastAsia"/>
        </w:rPr>
        <w:t>a）主体施工转入高扰动阶段；</w:t>
      </w:r>
    </w:p>
    <w:p w14:paraId="356C4DBF">
      <w:pPr>
        <w:pStyle w:val="56"/>
        <w:spacing w:line="360" w:lineRule="auto"/>
        <w:ind w:firstLine="420"/>
      </w:pPr>
      <w:r>
        <w:rPr>
          <w:rFonts w:hint="eastAsia"/>
        </w:rPr>
        <w:t>b）新增排水节点或者排放口；</w:t>
      </w:r>
    </w:p>
    <w:p w14:paraId="16EF675D">
      <w:pPr>
        <w:pStyle w:val="56"/>
        <w:spacing w:line="360" w:lineRule="auto"/>
        <w:ind w:firstLine="420"/>
      </w:pPr>
      <w:r>
        <w:rPr>
          <w:rFonts w:hint="eastAsia"/>
        </w:rPr>
        <w:t>c）施工工艺改变导致污染特征变化；</w:t>
      </w:r>
    </w:p>
    <w:p w14:paraId="795D1F7E">
      <w:pPr>
        <w:pStyle w:val="56"/>
        <w:spacing w:line="360" w:lineRule="auto"/>
        <w:ind w:firstLine="420"/>
      </w:pPr>
      <w:r>
        <w:rPr>
          <w:rFonts w:hint="eastAsia"/>
        </w:rPr>
        <w:t>d）连续出现异常预警；</w:t>
      </w:r>
    </w:p>
    <w:p w14:paraId="048E1445">
      <w:pPr>
        <w:pStyle w:val="56"/>
        <w:spacing w:line="360" w:lineRule="auto"/>
        <w:ind w:firstLine="420"/>
      </w:pPr>
      <w:r>
        <w:rPr>
          <w:rFonts w:hint="eastAsia"/>
        </w:rPr>
        <w:t>e）监测结果长期稳定且风险降低；</w:t>
      </w:r>
    </w:p>
    <w:p w14:paraId="7BAC18B5">
      <w:pPr>
        <w:pStyle w:val="56"/>
        <w:spacing w:line="360" w:lineRule="auto"/>
        <w:ind w:firstLine="420"/>
      </w:pPr>
      <w:r>
        <w:rPr>
          <w:rFonts w:hint="eastAsia"/>
        </w:rPr>
        <w:t>f）上级监管要求变化。</w:t>
      </w:r>
    </w:p>
    <w:p w14:paraId="7B66D8A5">
      <w:pPr>
        <w:pStyle w:val="164"/>
        <w:spacing w:line="360" w:lineRule="auto"/>
      </w:pPr>
      <w:r>
        <w:rPr>
          <w:rFonts w:hint="eastAsia"/>
        </w:rPr>
        <w:t>指标调整后，应同步更新监测方案、预警逻辑和运维计划。</w:t>
      </w:r>
    </w:p>
    <w:p w14:paraId="6D03C989">
      <w:pPr>
        <w:pStyle w:val="164"/>
        <w:numPr>
          <w:ilvl w:val="0"/>
          <w:numId w:val="0"/>
        </w:numPr>
        <w:spacing w:line="360" w:lineRule="auto"/>
      </w:pPr>
    </w:p>
    <w:p w14:paraId="113148FD">
      <w:pPr>
        <w:pStyle w:val="164"/>
        <w:numPr>
          <w:ilvl w:val="0"/>
          <w:numId w:val="0"/>
        </w:numPr>
        <w:spacing w:line="360" w:lineRule="auto"/>
        <w:rPr>
          <w:rFonts w:hint="eastAsia"/>
        </w:rPr>
      </w:pPr>
    </w:p>
    <w:p w14:paraId="08923EAD">
      <w:pPr>
        <w:pStyle w:val="105"/>
        <w:spacing w:before="120" w:after="120" w:line="360" w:lineRule="auto"/>
      </w:pPr>
      <w:r>
        <w:rPr>
          <w:rFonts w:hint="eastAsia"/>
        </w:rPr>
        <w:t>监测布设与指标设置要点</w:t>
      </w:r>
    </w:p>
    <w:p w14:paraId="274C3D68">
      <w:pPr>
        <w:pStyle w:val="56"/>
        <w:spacing w:line="360" w:lineRule="auto"/>
        <w:ind w:firstLine="420"/>
      </w:pPr>
      <w:r>
        <w:rPr>
          <w:rFonts w:hint="eastAsia"/>
        </w:rPr>
        <w:t>施工期水环境监测点位布设和监测指标设置的主要内容见表1。表1给出了施工期水环境监测点位布设和监测指标设置的主要控制内容及控制要点。</w:t>
      </w:r>
    </w:p>
    <w:p w14:paraId="285226B2">
      <w:pPr>
        <w:pStyle w:val="112"/>
        <w:spacing w:before="120" w:after="120" w:line="360" w:lineRule="auto"/>
      </w:pPr>
      <w:r>
        <w:rPr>
          <w:rFonts w:hint="eastAsia"/>
        </w:rPr>
        <w:t>施工期水环境监测点位布设与监测指标设置要点表</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2117"/>
        <w:gridCol w:w="3685"/>
        <w:gridCol w:w="3532"/>
      </w:tblGrid>
      <w:tr w14:paraId="368483A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2117" w:type="dxa"/>
            <w:tcBorders>
              <w:top w:val="single" w:color="auto" w:sz="8" w:space="0"/>
              <w:bottom w:val="single" w:color="auto" w:sz="8" w:space="0"/>
            </w:tcBorders>
          </w:tcPr>
          <w:p w14:paraId="3F4436BA">
            <w:pPr>
              <w:pStyle w:val="178"/>
            </w:pPr>
            <w:r>
              <w:rPr>
                <w:rFonts w:hint="eastAsia"/>
              </w:rPr>
              <w:t>工作类别</w:t>
            </w:r>
          </w:p>
        </w:tc>
        <w:tc>
          <w:tcPr>
            <w:tcW w:w="3685" w:type="dxa"/>
            <w:tcBorders>
              <w:top w:val="single" w:color="auto" w:sz="8" w:space="0"/>
              <w:bottom w:val="single" w:color="auto" w:sz="8" w:space="0"/>
            </w:tcBorders>
          </w:tcPr>
          <w:p w14:paraId="36F44D98">
            <w:pPr>
              <w:pStyle w:val="178"/>
            </w:pPr>
            <w:r>
              <w:rPr>
                <w:rFonts w:hint="eastAsia"/>
              </w:rPr>
              <w:t>主要内容</w:t>
            </w:r>
          </w:p>
        </w:tc>
        <w:tc>
          <w:tcPr>
            <w:tcW w:w="3532" w:type="dxa"/>
            <w:tcBorders>
              <w:top w:val="single" w:color="auto" w:sz="8" w:space="0"/>
              <w:bottom w:val="single" w:color="auto" w:sz="8" w:space="0"/>
            </w:tcBorders>
          </w:tcPr>
          <w:p w14:paraId="555199C2">
            <w:pPr>
              <w:pStyle w:val="178"/>
            </w:pPr>
            <w:r>
              <w:rPr>
                <w:rFonts w:hint="eastAsia"/>
              </w:rPr>
              <w:t>控制要点</w:t>
            </w:r>
          </w:p>
        </w:tc>
      </w:tr>
      <w:tr w14:paraId="2AA38D4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117" w:type="dxa"/>
            <w:tcBorders>
              <w:top w:val="single" w:color="auto" w:sz="8" w:space="0"/>
            </w:tcBorders>
          </w:tcPr>
          <w:p w14:paraId="14BAEE17">
            <w:pPr>
              <w:pStyle w:val="178"/>
            </w:pPr>
            <w:r>
              <w:rPr>
                <w:rFonts w:hint="eastAsia"/>
              </w:rPr>
              <w:t>背景点布设</w:t>
            </w:r>
          </w:p>
        </w:tc>
        <w:tc>
          <w:tcPr>
            <w:tcW w:w="3685" w:type="dxa"/>
            <w:tcBorders>
              <w:top w:val="single" w:color="auto" w:sz="8" w:space="0"/>
            </w:tcBorders>
          </w:tcPr>
          <w:p w14:paraId="624CB515">
            <w:pPr>
              <w:pStyle w:val="178"/>
            </w:pPr>
            <w:r>
              <w:rPr>
                <w:rFonts w:hint="eastAsia"/>
              </w:rPr>
              <w:t>上游背景、对照水域</w:t>
            </w:r>
          </w:p>
        </w:tc>
        <w:tc>
          <w:tcPr>
            <w:tcW w:w="3532" w:type="dxa"/>
            <w:tcBorders>
              <w:top w:val="single" w:color="auto" w:sz="8" w:space="0"/>
            </w:tcBorders>
          </w:tcPr>
          <w:p w14:paraId="33CBC078">
            <w:pPr>
              <w:pStyle w:val="178"/>
            </w:pPr>
            <w:r>
              <w:rPr>
                <w:rFonts w:hint="eastAsia"/>
              </w:rPr>
              <w:t>应避免其他污染源干扰，确保可比较</w:t>
            </w:r>
          </w:p>
        </w:tc>
      </w:tr>
      <w:tr w14:paraId="3BE5441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117" w:type="dxa"/>
          </w:tcPr>
          <w:p w14:paraId="5F6F4317">
            <w:pPr>
              <w:pStyle w:val="178"/>
            </w:pPr>
            <w:r>
              <w:rPr>
                <w:rFonts w:hint="eastAsia"/>
              </w:rPr>
              <w:t>控制点布设</w:t>
            </w:r>
          </w:p>
        </w:tc>
        <w:tc>
          <w:tcPr>
            <w:tcW w:w="3685" w:type="dxa"/>
          </w:tcPr>
          <w:p w14:paraId="4A6DBDF2">
            <w:pPr>
              <w:pStyle w:val="178"/>
            </w:pPr>
            <w:r>
              <w:rPr>
                <w:rFonts w:hint="eastAsia"/>
              </w:rPr>
              <w:t>排放口、施工扰动区、敏感区</w:t>
            </w:r>
          </w:p>
        </w:tc>
        <w:tc>
          <w:tcPr>
            <w:tcW w:w="3532" w:type="dxa"/>
          </w:tcPr>
          <w:p w14:paraId="6F1CB8AA">
            <w:pPr>
              <w:pStyle w:val="178"/>
            </w:pPr>
            <w:r>
              <w:rPr>
                <w:rFonts w:hint="eastAsia"/>
              </w:rPr>
              <w:t>应突出重点风险点和关键影响点</w:t>
            </w:r>
          </w:p>
        </w:tc>
      </w:tr>
      <w:tr w14:paraId="50A32FC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117" w:type="dxa"/>
          </w:tcPr>
          <w:p w14:paraId="6572541D">
            <w:pPr>
              <w:pStyle w:val="178"/>
            </w:pPr>
            <w:r>
              <w:rPr>
                <w:rFonts w:hint="eastAsia"/>
              </w:rPr>
              <w:t>下游评价点布设</w:t>
            </w:r>
          </w:p>
        </w:tc>
        <w:tc>
          <w:tcPr>
            <w:tcW w:w="3685" w:type="dxa"/>
          </w:tcPr>
          <w:p w14:paraId="6E11BEFD">
            <w:pPr>
              <w:pStyle w:val="178"/>
            </w:pPr>
            <w:r>
              <w:rPr>
                <w:rFonts w:hint="eastAsia"/>
              </w:rPr>
              <w:t>下游影响扩散和恢复区域</w:t>
            </w:r>
          </w:p>
        </w:tc>
        <w:tc>
          <w:tcPr>
            <w:tcW w:w="3532" w:type="dxa"/>
          </w:tcPr>
          <w:p w14:paraId="39D8E3AD">
            <w:pPr>
              <w:pStyle w:val="178"/>
            </w:pPr>
            <w:r>
              <w:rPr>
                <w:rFonts w:hint="eastAsia"/>
              </w:rPr>
              <w:t>应兼顾敏感目标和水体交换条件</w:t>
            </w:r>
          </w:p>
        </w:tc>
      </w:tr>
      <w:tr w14:paraId="608F00C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117" w:type="dxa"/>
          </w:tcPr>
          <w:p w14:paraId="1F6BB2AB">
            <w:pPr>
              <w:pStyle w:val="178"/>
            </w:pPr>
            <w:r>
              <w:rPr>
                <w:rFonts w:hint="eastAsia"/>
              </w:rPr>
              <w:t>排放口监测</w:t>
            </w:r>
          </w:p>
        </w:tc>
        <w:tc>
          <w:tcPr>
            <w:tcW w:w="3685" w:type="dxa"/>
          </w:tcPr>
          <w:p w14:paraId="01B1FC67">
            <w:pPr>
              <w:pStyle w:val="178"/>
            </w:pPr>
            <w:r>
              <w:rPr>
                <w:rFonts w:hint="eastAsia"/>
              </w:rPr>
              <w:t>施工废水、基坑排水、洞室排水</w:t>
            </w:r>
          </w:p>
        </w:tc>
        <w:tc>
          <w:tcPr>
            <w:tcW w:w="3532" w:type="dxa"/>
          </w:tcPr>
          <w:p w14:paraId="242CAA53">
            <w:pPr>
              <w:pStyle w:val="178"/>
            </w:pPr>
            <w:r>
              <w:rPr>
                <w:rFonts w:hint="eastAsia"/>
              </w:rPr>
              <w:t>应能反映排放异常和处理效果</w:t>
            </w:r>
          </w:p>
        </w:tc>
      </w:tr>
      <w:tr w14:paraId="63F647F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117" w:type="dxa"/>
          </w:tcPr>
          <w:p w14:paraId="691CCB58">
            <w:pPr>
              <w:pStyle w:val="178"/>
            </w:pPr>
            <w:r>
              <w:rPr>
                <w:rFonts w:hint="eastAsia"/>
              </w:rPr>
              <w:t>敏感水域监测</w:t>
            </w:r>
          </w:p>
        </w:tc>
        <w:tc>
          <w:tcPr>
            <w:tcW w:w="3685" w:type="dxa"/>
          </w:tcPr>
          <w:p w14:paraId="10B1EA01">
            <w:pPr>
              <w:pStyle w:val="178"/>
            </w:pPr>
            <w:r>
              <w:rPr>
                <w:rFonts w:hint="eastAsia"/>
              </w:rPr>
              <w:t>水源地、生态敏感区、功能区</w:t>
            </w:r>
          </w:p>
        </w:tc>
        <w:tc>
          <w:tcPr>
            <w:tcW w:w="3532" w:type="dxa"/>
          </w:tcPr>
          <w:p w14:paraId="146AE595">
            <w:pPr>
              <w:pStyle w:val="178"/>
            </w:pPr>
            <w:r>
              <w:rPr>
                <w:rFonts w:hint="eastAsia"/>
              </w:rPr>
              <w:t>应优先满足保护和预警要求</w:t>
            </w:r>
          </w:p>
        </w:tc>
      </w:tr>
      <w:tr w14:paraId="04D118A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117" w:type="dxa"/>
          </w:tcPr>
          <w:p w14:paraId="7A33A977">
            <w:pPr>
              <w:pStyle w:val="178"/>
            </w:pPr>
            <w:r>
              <w:rPr>
                <w:rFonts w:hint="eastAsia"/>
              </w:rPr>
              <w:t>基础指标设置</w:t>
            </w:r>
          </w:p>
        </w:tc>
        <w:tc>
          <w:tcPr>
            <w:tcW w:w="3685" w:type="dxa"/>
          </w:tcPr>
          <w:p w14:paraId="2AF93929">
            <w:pPr>
              <w:pStyle w:val="178"/>
            </w:pPr>
            <w:r>
              <w:rPr>
                <w:rFonts w:hint="eastAsia"/>
              </w:rPr>
              <w:t>pH、溶解氧、浊度等</w:t>
            </w:r>
          </w:p>
        </w:tc>
        <w:tc>
          <w:tcPr>
            <w:tcW w:w="3532" w:type="dxa"/>
          </w:tcPr>
          <w:p w14:paraId="3612A858">
            <w:pPr>
              <w:pStyle w:val="178"/>
            </w:pPr>
            <w:r>
              <w:rPr>
                <w:rFonts w:hint="eastAsia"/>
              </w:rPr>
              <w:t>应反映基本水环境状态和扰动变化</w:t>
            </w:r>
          </w:p>
        </w:tc>
      </w:tr>
      <w:tr w14:paraId="11BAB05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117" w:type="dxa"/>
          </w:tcPr>
          <w:p w14:paraId="64AA981A">
            <w:pPr>
              <w:pStyle w:val="178"/>
            </w:pPr>
            <w:r>
              <w:rPr>
                <w:rFonts w:hint="eastAsia"/>
              </w:rPr>
              <w:t>控制指标设置</w:t>
            </w:r>
          </w:p>
        </w:tc>
        <w:tc>
          <w:tcPr>
            <w:tcW w:w="3685" w:type="dxa"/>
          </w:tcPr>
          <w:p w14:paraId="7F99FF73">
            <w:pPr>
              <w:pStyle w:val="178"/>
            </w:pPr>
            <w:r>
              <w:rPr>
                <w:rFonts w:hint="eastAsia"/>
              </w:rPr>
              <w:t>污染输入和处理效果相关指标</w:t>
            </w:r>
          </w:p>
        </w:tc>
        <w:tc>
          <w:tcPr>
            <w:tcW w:w="3532" w:type="dxa"/>
          </w:tcPr>
          <w:p w14:paraId="51E9CF18">
            <w:pPr>
              <w:pStyle w:val="178"/>
            </w:pPr>
            <w:r>
              <w:rPr>
                <w:rFonts w:hint="eastAsia"/>
              </w:rPr>
              <w:t>应结合施工污染特征确定</w:t>
            </w:r>
          </w:p>
        </w:tc>
      </w:tr>
      <w:tr w14:paraId="4E2B269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117" w:type="dxa"/>
          </w:tcPr>
          <w:p w14:paraId="420C1E00">
            <w:pPr>
              <w:pStyle w:val="178"/>
            </w:pPr>
            <w:r>
              <w:rPr>
                <w:rFonts w:hint="eastAsia"/>
              </w:rPr>
              <w:t>专项指标设置</w:t>
            </w:r>
          </w:p>
        </w:tc>
        <w:tc>
          <w:tcPr>
            <w:tcW w:w="3685" w:type="dxa"/>
          </w:tcPr>
          <w:p w14:paraId="65E7AD68">
            <w:pPr>
              <w:pStyle w:val="178"/>
            </w:pPr>
            <w:r>
              <w:rPr>
                <w:rFonts w:hint="eastAsia"/>
              </w:rPr>
              <w:t>油污、混凝土、生活污水等特殊风险</w:t>
            </w:r>
          </w:p>
        </w:tc>
        <w:tc>
          <w:tcPr>
            <w:tcW w:w="3532" w:type="dxa"/>
          </w:tcPr>
          <w:p w14:paraId="03F44C98">
            <w:pPr>
              <w:pStyle w:val="178"/>
            </w:pPr>
            <w:r>
              <w:rPr>
                <w:rFonts w:hint="eastAsia"/>
              </w:rPr>
              <w:t>有专项风险时应增设专项指标</w:t>
            </w:r>
          </w:p>
        </w:tc>
      </w:tr>
      <w:tr w14:paraId="2415CE3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117" w:type="dxa"/>
          </w:tcPr>
          <w:p w14:paraId="6873E0EB">
            <w:pPr>
              <w:pStyle w:val="178"/>
            </w:pPr>
            <w:r>
              <w:rPr>
                <w:rFonts w:hint="eastAsia"/>
              </w:rPr>
              <w:t>动态调整</w:t>
            </w:r>
          </w:p>
        </w:tc>
        <w:tc>
          <w:tcPr>
            <w:tcW w:w="3685" w:type="dxa"/>
          </w:tcPr>
          <w:p w14:paraId="40887974">
            <w:pPr>
              <w:pStyle w:val="178"/>
            </w:pPr>
            <w:r>
              <w:rPr>
                <w:rFonts w:hint="eastAsia"/>
              </w:rPr>
              <w:t>指标调整、点位加密</w:t>
            </w:r>
          </w:p>
        </w:tc>
        <w:tc>
          <w:tcPr>
            <w:tcW w:w="3532" w:type="dxa"/>
          </w:tcPr>
          <w:p w14:paraId="4EA82810">
            <w:pPr>
              <w:pStyle w:val="178"/>
            </w:pPr>
            <w:r>
              <w:rPr>
                <w:rFonts w:hint="eastAsia"/>
              </w:rPr>
              <w:t>应随施工阶段和风险变化同步优化</w:t>
            </w:r>
          </w:p>
        </w:tc>
      </w:tr>
    </w:tbl>
    <w:p w14:paraId="4FA4CDCD">
      <w:pPr>
        <w:pStyle w:val="105"/>
        <w:spacing w:before="120" w:after="120" w:line="360" w:lineRule="auto"/>
      </w:pPr>
      <w:r>
        <w:rPr>
          <w:rFonts w:hint="eastAsia"/>
        </w:rPr>
        <w:t>方案确认要求</w:t>
      </w:r>
    </w:p>
    <w:p w14:paraId="194842E0">
      <w:pPr>
        <w:pStyle w:val="165"/>
        <w:spacing w:line="360" w:lineRule="auto"/>
      </w:pPr>
      <w:r>
        <w:rPr>
          <w:rFonts w:hint="eastAsia"/>
        </w:rPr>
        <w:t>监测布设与监测指标方案确定后，应由建设单位组织施工、监理、运维和相关技术单位共同确认。</w:t>
      </w:r>
    </w:p>
    <w:p w14:paraId="495650B2">
      <w:pPr>
        <w:pStyle w:val="165"/>
        <w:spacing w:line="360" w:lineRule="auto"/>
      </w:pPr>
      <w:r>
        <w:rPr>
          <w:rFonts w:hint="eastAsia"/>
        </w:rPr>
        <w:t>方案确认内容应至少包括监测目标、点位布设、指标设置、预警需求、运维条件和资料留存要求。</w:t>
      </w:r>
    </w:p>
    <w:p w14:paraId="55F3A076">
      <w:pPr>
        <w:pStyle w:val="165"/>
        <w:spacing w:line="360" w:lineRule="auto"/>
      </w:pPr>
      <w:r>
        <w:rPr>
          <w:rFonts w:hint="eastAsia"/>
        </w:rPr>
        <w:t>监测方案实施前，应完成现场复核和必要试运行。</w:t>
      </w:r>
    </w:p>
    <w:p w14:paraId="38FFE099">
      <w:pPr>
        <w:pStyle w:val="165"/>
        <w:spacing w:line="360" w:lineRule="auto"/>
      </w:pPr>
      <w:r>
        <w:rPr>
          <w:rFonts w:hint="eastAsia"/>
        </w:rPr>
        <w:t>方案未经确认或者现场条件与方案明显不一致的，不得进入正式运行阶段。</w:t>
      </w:r>
    </w:p>
    <w:p w14:paraId="0C49D5D0">
      <w:pPr>
        <w:pStyle w:val="105"/>
        <w:spacing w:before="120" w:after="120" w:line="360" w:lineRule="auto"/>
      </w:pPr>
      <w:r>
        <w:rPr>
          <w:rFonts w:hint="eastAsia"/>
        </w:rPr>
        <w:t>禁止性要求</w:t>
      </w:r>
    </w:p>
    <w:p w14:paraId="0F20DF04">
      <w:pPr>
        <w:pStyle w:val="165"/>
        <w:spacing w:line="360" w:lineRule="auto"/>
      </w:pPr>
      <w:r>
        <w:rPr>
          <w:rFonts w:hint="eastAsia"/>
        </w:rPr>
        <w:t>不得在未开展施工影响调查和风险分析的情况下直接布设正式监测点位。</w:t>
      </w:r>
    </w:p>
    <w:p w14:paraId="70E7164D">
      <w:pPr>
        <w:pStyle w:val="165"/>
        <w:spacing w:line="360" w:lineRule="auto"/>
      </w:pPr>
      <w:r>
        <w:rPr>
          <w:rFonts w:hint="eastAsia"/>
        </w:rPr>
        <w:t>不得将布设位置方便、通信方便或者安装方便作为唯一选点依据。</w:t>
      </w:r>
    </w:p>
    <w:p w14:paraId="3E84A1FF">
      <w:pPr>
        <w:pStyle w:val="165"/>
        <w:spacing w:line="360" w:lineRule="auto"/>
      </w:pPr>
      <w:r>
        <w:rPr>
          <w:rFonts w:hint="eastAsia"/>
        </w:rPr>
        <w:t>不得遗漏排放口、敏感水域和重点扰动区域等关键控制点。</w:t>
      </w:r>
    </w:p>
    <w:p w14:paraId="30E8D48C">
      <w:pPr>
        <w:pStyle w:val="165"/>
        <w:spacing w:line="360" w:lineRule="auto"/>
      </w:pPr>
      <w:r>
        <w:rPr>
          <w:rFonts w:hint="eastAsia"/>
        </w:rPr>
        <w:t>不得设置与施工污染特征明显不匹配的监测指标。</w:t>
      </w:r>
    </w:p>
    <w:p w14:paraId="6F14980C">
      <w:pPr>
        <w:pStyle w:val="165"/>
        <w:spacing w:line="360" w:lineRule="auto"/>
      </w:pPr>
      <w:r>
        <w:rPr>
          <w:rFonts w:hint="eastAsia"/>
        </w:rPr>
        <w:t>不得在施工阶段和风险特征明显变化后仍长期沿用原有点位和指标而不作评估调整。</w:t>
      </w:r>
    </w:p>
    <w:p w14:paraId="41888823">
      <w:pPr>
        <w:pStyle w:val="104"/>
        <w:spacing w:before="240" w:after="240" w:line="360" w:lineRule="auto"/>
      </w:pPr>
      <w:bookmarkStart w:id="53" w:name="_Toc228609190"/>
      <w:r>
        <w:rPr>
          <w:rFonts w:hint="eastAsia"/>
        </w:rPr>
        <w:t>监测设施配置要求</w:t>
      </w:r>
      <w:bookmarkEnd w:id="53"/>
    </w:p>
    <w:p w14:paraId="75DA524C">
      <w:pPr>
        <w:pStyle w:val="105"/>
        <w:spacing w:before="120" w:after="120" w:line="360" w:lineRule="auto"/>
      </w:pPr>
      <w:r>
        <w:rPr>
          <w:rFonts w:hint="eastAsia"/>
        </w:rPr>
        <w:t>一般要求</w:t>
      </w:r>
    </w:p>
    <w:p w14:paraId="7519089E">
      <w:pPr>
        <w:pStyle w:val="165"/>
        <w:spacing w:line="360" w:lineRule="auto"/>
      </w:pPr>
      <w:r>
        <w:rPr>
          <w:rFonts w:hint="eastAsia"/>
        </w:rPr>
        <w:t>水利工程施工期水环境在线监测设施配置应与工程规模、施工方式、监测目标、点位布设、环境条件和运维能力相适应。</w:t>
      </w:r>
    </w:p>
    <w:p w14:paraId="49D14801">
      <w:pPr>
        <w:pStyle w:val="165"/>
        <w:spacing w:line="360" w:lineRule="auto"/>
      </w:pPr>
      <w:r>
        <w:rPr>
          <w:rFonts w:hint="eastAsia"/>
        </w:rPr>
        <w:t>监测设施配置应坚持功能适用、性能稳定、安装规范、运行可靠、维护方便和扩展适度的原则。</w:t>
      </w:r>
    </w:p>
    <w:p w14:paraId="0C0AC748">
      <w:pPr>
        <w:pStyle w:val="165"/>
        <w:spacing w:line="360" w:lineRule="auto"/>
      </w:pPr>
      <w:r>
        <w:rPr>
          <w:rFonts w:hint="eastAsia"/>
        </w:rPr>
        <w:t>监测设施应满足连续监测、自动采集、自动存储、自动传输、异常告警和运行留痕要求。</w:t>
      </w:r>
    </w:p>
    <w:p w14:paraId="5306F03A">
      <w:pPr>
        <w:pStyle w:val="165"/>
        <w:spacing w:line="360" w:lineRule="auto"/>
      </w:pPr>
      <w:r>
        <w:rPr>
          <w:rFonts w:hint="eastAsia"/>
        </w:rPr>
        <w:t>对敏感水域、重点控制点、重要排放口和高风险施工区域，应优先配置连续在线监测设施。</w:t>
      </w:r>
    </w:p>
    <w:p w14:paraId="06BC3051">
      <w:pPr>
        <w:pStyle w:val="165"/>
        <w:spacing w:line="360" w:lineRule="auto"/>
      </w:pPr>
      <w:r>
        <w:rPr>
          <w:rFonts w:hint="eastAsia"/>
        </w:rPr>
        <w:t>监测设施配置不得脱离现场供电、通信、采样条件、水流条件和安全条件盲目实施。</w:t>
      </w:r>
    </w:p>
    <w:p w14:paraId="2C8C9932">
      <w:pPr>
        <w:pStyle w:val="165"/>
        <w:spacing w:line="360" w:lineRule="auto"/>
      </w:pPr>
      <w:r>
        <w:rPr>
          <w:rFonts w:hint="eastAsia"/>
        </w:rPr>
        <w:t>设施配置应与智慧管控平台、视频监控系统、气象水文感知设备和施工管理系统预留必要的接入条件。</w:t>
      </w:r>
    </w:p>
    <w:p w14:paraId="5FB4E6D9">
      <w:pPr>
        <w:pStyle w:val="105"/>
        <w:spacing w:before="120" w:after="120" w:line="360" w:lineRule="auto"/>
      </w:pPr>
      <w:r>
        <w:rPr>
          <w:rFonts w:hint="eastAsia"/>
        </w:rPr>
        <w:t>监测设施组成要求</w:t>
      </w:r>
    </w:p>
    <w:p w14:paraId="6108BD01">
      <w:pPr>
        <w:pStyle w:val="65"/>
        <w:spacing w:before="120" w:after="120" w:line="360" w:lineRule="auto"/>
      </w:pPr>
      <w:r>
        <w:rPr>
          <w:rFonts w:hint="eastAsia"/>
        </w:rPr>
        <w:t>一般要求</w:t>
      </w:r>
    </w:p>
    <w:p w14:paraId="06241FAF">
      <w:pPr>
        <w:pStyle w:val="164"/>
        <w:spacing w:line="360" w:lineRule="auto"/>
      </w:pPr>
      <w:r>
        <w:rPr>
          <w:rFonts w:hint="eastAsia"/>
        </w:rPr>
        <w:t>施工期水环境在线监测系统宜由前端监测单元、采样与预处理单元、数据采集单元、通信传输单元、供电保障单元、防护单元和辅助感知单元组成。</w:t>
      </w:r>
    </w:p>
    <w:p w14:paraId="5CBA3EBD">
      <w:pPr>
        <w:pStyle w:val="164"/>
        <w:spacing w:line="360" w:lineRule="auto"/>
      </w:pPr>
      <w:r>
        <w:rPr>
          <w:rFonts w:hint="eastAsia"/>
        </w:rPr>
        <w:t>不同工程、不同点位和不同监测对象可根据实际需要配置不同组合的监测设施。</w:t>
      </w:r>
    </w:p>
    <w:p w14:paraId="28F643A2">
      <w:pPr>
        <w:pStyle w:val="65"/>
        <w:spacing w:before="120" w:after="120" w:line="360" w:lineRule="auto"/>
      </w:pPr>
      <w:r>
        <w:rPr>
          <w:rFonts w:hint="eastAsia"/>
        </w:rPr>
        <w:t>前端监测单元</w:t>
      </w:r>
    </w:p>
    <w:p w14:paraId="70131486">
      <w:pPr>
        <w:pStyle w:val="164"/>
        <w:spacing w:line="360" w:lineRule="auto"/>
      </w:pPr>
      <w:r>
        <w:rPr>
          <w:rFonts w:hint="eastAsia"/>
        </w:rPr>
        <w:t>前端监测单元应满足监测指标测量要求。</w:t>
      </w:r>
    </w:p>
    <w:p w14:paraId="5BC217B3">
      <w:pPr>
        <w:pStyle w:val="164"/>
        <w:spacing w:line="360" w:lineRule="auto"/>
      </w:pPr>
      <w:r>
        <w:rPr>
          <w:rFonts w:hint="eastAsia"/>
        </w:rPr>
        <w:t>前端监测单元宜根据监测目标配置常规水质参数监测设备和必要的专项监测设备。</w:t>
      </w:r>
    </w:p>
    <w:p w14:paraId="5B0306E1">
      <w:pPr>
        <w:pStyle w:val="164"/>
        <w:spacing w:line="360" w:lineRule="auto"/>
      </w:pPr>
      <w:r>
        <w:rPr>
          <w:rFonts w:hint="eastAsia"/>
        </w:rPr>
        <w:t>前端监测单元应具备稳定运行、结果输出和状态反馈能力。</w:t>
      </w:r>
    </w:p>
    <w:p w14:paraId="12DF5A38">
      <w:pPr>
        <w:pStyle w:val="65"/>
        <w:spacing w:before="120" w:after="120" w:line="360" w:lineRule="auto"/>
      </w:pPr>
      <w:r>
        <w:rPr>
          <w:rFonts w:hint="eastAsia"/>
        </w:rPr>
        <w:t>采样与预处理单元</w:t>
      </w:r>
    </w:p>
    <w:p w14:paraId="7365088C">
      <w:pPr>
        <w:pStyle w:val="164"/>
        <w:spacing w:line="360" w:lineRule="auto"/>
      </w:pPr>
      <w:r>
        <w:rPr>
          <w:rFonts w:hint="eastAsia"/>
        </w:rPr>
        <w:t>需要取样、过滤、稳流、恒温或者自动清洗的监测点，应配置采样与预处理单元。</w:t>
      </w:r>
    </w:p>
    <w:p w14:paraId="2B604913">
      <w:pPr>
        <w:pStyle w:val="164"/>
        <w:spacing w:line="360" w:lineRule="auto"/>
      </w:pPr>
      <w:r>
        <w:rPr>
          <w:rFonts w:hint="eastAsia"/>
        </w:rPr>
        <w:t>采样与预处理单元应与水体特征、泥沙条件、流速条件和污染特征相适应。</w:t>
      </w:r>
    </w:p>
    <w:p w14:paraId="5E3D7769">
      <w:pPr>
        <w:pStyle w:val="164"/>
        <w:spacing w:line="360" w:lineRule="auto"/>
      </w:pPr>
      <w:r>
        <w:rPr>
          <w:rFonts w:hint="eastAsia"/>
        </w:rPr>
        <w:t>采样口、采样管路和预处理部件应便于检查、冲洗和维护。</w:t>
      </w:r>
    </w:p>
    <w:p w14:paraId="5EDDD688">
      <w:pPr>
        <w:pStyle w:val="65"/>
        <w:spacing w:before="120" w:after="120" w:line="360" w:lineRule="auto"/>
      </w:pPr>
      <w:r>
        <w:rPr>
          <w:rFonts w:hint="eastAsia"/>
        </w:rPr>
        <w:t>数据采集与通信单元</w:t>
      </w:r>
    </w:p>
    <w:p w14:paraId="534C2997">
      <w:pPr>
        <w:pStyle w:val="164"/>
        <w:spacing w:line="360" w:lineRule="auto"/>
      </w:pPr>
      <w:r>
        <w:rPr>
          <w:rFonts w:hint="eastAsia"/>
        </w:rPr>
        <w:t>每个正式在线监测点应配置数据采集单元。</w:t>
      </w:r>
    </w:p>
    <w:p w14:paraId="7576E778">
      <w:pPr>
        <w:pStyle w:val="164"/>
        <w:spacing w:line="360" w:lineRule="auto"/>
      </w:pPr>
      <w:r>
        <w:rPr>
          <w:rFonts w:hint="eastAsia"/>
        </w:rPr>
        <w:t>数据采集单元应满足数据接收、时间标记、数据缓存、状态监控和传输控制要求。</w:t>
      </w:r>
    </w:p>
    <w:p w14:paraId="67BAD2B4">
      <w:pPr>
        <w:pStyle w:val="164"/>
        <w:spacing w:line="360" w:lineRule="auto"/>
      </w:pPr>
      <w:r>
        <w:rPr>
          <w:rFonts w:hint="eastAsia"/>
        </w:rPr>
        <w:t>通信单元应满足数据上传、断点续传、异常报警和远程维护要求。</w:t>
      </w:r>
    </w:p>
    <w:p w14:paraId="7138D3D7">
      <w:pPr>
        <w:pStyle w:val="65"/>
        <w:spacing w:before="120" w:after="120" w:line="360" w:lineRule="auto"/>
      </w:pPr>
      <w:r>
        <w:rPr>
          <w:rFonts w:hint="eastAsia"/>
        </w:rPr>
        <w:t>供电与防护单元</w:t>
      </w:r>
    </w:p>
    <w:p w14:paraId="76603546">
      <w:pPr>
        <w:pStyle w:val="164"/>
        <w:spacing w:line="360" w:lineRule="auto"/>
      </w:pPr>
      <w:r>
        <w:rPr>
          <w:rFonts w:hint="eastAsia"/>
        </w:rPr>
        <w:t>监测点应具备稳定供电条件。</w:t>
      </w:r>
    </w:p>
    <w:p w14:paraId="6F11EAC5">
      <w:pPr>
        <w:pStyle w:val="164"/>
        <w:spacing w:line="360" w:lineRule="auto"/>
      </w:pPr>
      <w:r>
        <w:rPr>
          <w:rFonts w:hint="eastAsia"/>
        </w:rPr>
        <w:t>对偏远点位、临时施工点位和汛期易停电区域，可配置备用电源、太阳能供电或者其他保障电源。</w:t>
      </w:r>
    </w:p>
    <w:p w14:paraId="4E13838D">
      <w:pPr>
        <w:pStyle w:val="164"/>
        <w:spacing w:line="360" w:lineRule="auto"/>
      </w:pPr>
      <w:r>
        <w:rPr>
          <w:rFonts w:hint="eastAsia"/>
        </w:rPr>
        <w:t>监测设施应配置防雨、防潮、防尘、防晒、防雷、防盗和防撞措施。</w:t>
      </w:r>
    </w:p>
    <w:p w14:paraId="7586CC67">
      <w:pPr>
        <w:pStyle w:val="65"/>
        <w:spacing w:before="120" w:after="120" w:line="360" w:lineRule="auto"/>
      </w:pPr>
      <w:r>
        <w:rPr>
          <w:rFonts w:hint="eastAsia"/>
        </w:rPr>
        <w:t>辅助感知单元</w:t>
      </w:r>
    </w:p>
    <w:p w14:paraId="2965A6F7">
      <w:pPr>
        <w:pStyle w:val="164"/>
        <w:spacing w:line="360" w:lineRule="auto"/>
      </w:pPr>
      <w:r>
        <w:rPr>
          <w:rFonts w:hint="eastAsia"/>
        </w:rPr>
        <w:t>对重点点位宜配置视频监控设备、环境监测设备和水位流量感知设备。</w:t>
      </w:r>
    </w:p>
    <w:p w14:paraId="47858791">
      <w:pPr>
        <w:pStyle w:val="164"/>
        <w:spacing w:line="360" w:lineRule="auto"/>
      </w:pPr>
      <w:r>
        <w:rPr>
          <w:rFonts w:hint="eastAsia"/>
        </w:rPr>
        <w:t>视频监控设备应能反映点位周边水体状态、设备状态和现场扰动情况。</w:t>
      </w:r>
    </w:p>
    <w:p w14:paraId="0EFC3330">
      <w:pPr>
        <w:pStyle w:val="164"/>
        <w:spacing w:line="360" w:lineRule="auto"/>
      </w:pPr>
      <w:r>
        <w:rPr>
          <w:rFonts w:hint="eastAsia"/>
        </w:rPr>
        <w:t>辅助感知单元应与主监测设施时间同步，并与数据平台关联。</w:t>
      </w:r>
    </w:p>
    <w:p w14:paraId="644BB696">
      <w:pPr>
        <w:pStyle w:val="105"/>
        <w:spacing w:before="120" w:after="120" w:line="360" w:lineRule="auto"/>
      </w:pPr>
      <w:r>
        <w:rPr>
          <w:rFonts w:hint="eastAsia"/>
        </w:rPr>
        <w:t>设备选型要求</w:t>
      </w:r>
    </w:p>
    <w:p w14:paraId="68C457FA">
      <w:pPr>
        <w:pStyle w:val="65"/>
        <w:spacing w:before="120" w:after="120" w:line="360" w:lineRule="auto"/>
      </w:pPr>
      <w:r>
        <w:rPr>
          <w:rFonts w:hint="eastAsia"/>
        </w:rPr>
        <w:t>一般要求</w:t>
      </w:r>
    </w:p>
    <w:p w14:paraId="190E8640">
      <w:pPr>
        <w:pStyle w:val="164"/>
        <w:spacing w:line="360" w:lineRule="auto"/>
      </w:pPr>
      <w:r>
        <w:rPr>
          <w:rFonts w:hint="eastAsia"/>
        </w:rPr>
        <w:t>监测设备选型应符合国家有关标准、行业规范和工程管理要求。</w:t>
      </w:r>
    </w:p>
    <w:p w14:paraId="24419ED3">
      <w:pPr>
        <w:pStyle w:val="164"/>
        <w:spacing w:line="360" w:lineRule="auto"/>
      </w:pPr>
      <w:r>
        <w:rPr>
          <w:rFonts w:hint="eastAsia"/>
        </w:rPr>
        <w:t>设备选型应与监测指标、量程范围、精度要求、现场环境和维护条件相匹配。</w:t>
      </w:r>
    </w:p>
    <w:p w14:paraId="5DD829BD">
      <w:pPr>
        <w:pStyle w:val="164"/>
        <w:spacing w:line="360" w:lineRule="auto"/>
      </w:pPr>
      <w:r>
        <w:rPr>
          <w:rFonts w:hint="eastAsia"/>
        </w:rPr>
        <w:t>设备选型不得仅以采购成本、供货周期或者外观形式作为依据。</w:t>
      </w:r>
    </w:p>
    <w:p w14:paraId="749C8A82">
      <w:pPr>
        <w:pStyle w:val="65"/>
        <w:spacing w:before="120" w:after="120" w:line="360" w:lineRule="auto"/>
      </w:pPr>
      <w:r>
        <w:rPr>
          <w:rFonts w:hint="eastAsia"/>
        </w:rPr>
        <w:t>选型控制要求</w:t>
      </w:r>
    </w:p>
    <w:p w14:paraId="601B8984">
      <w:pPr>
        <w:pStyle w:val="164"/>
        <w:spacing w:line="360" w:lineRule="auto"/>
      </w:pPr>
      <w:r>
        <w:rPr>
          <w:rFonts w:hint="eastAsia"/>
        </w:rPr>
        <w:t>设备选型宜重点考虑下列因素：</w:t>
      </w:r>
    </w:p>
    <w:p w14:paraId="7788A594">
      <w:pPr>
        <w:pStyle w:val="56"/>
        <w:spacing w:line="360" w:lineRule="auto"/>
        <w:ind w:firstLine="420"/>
      </w:pPr>
      <w:r>
        <w:rPr>
          <w:rFonts w:hint="eastAsia"/>
        </w:rPr>
        <w:t>a）监测参数适配性；</w:t>
      </w:r>
    </w:p>
    <w:p w14:paraId="50452928">
      <w:pPr>
        <w:pStyle w:val="56"/>
        <w:spacing w:line="360" w:lineRule="auto"/>
        <w:ind w:firstLine="420"/>
      </w:pPr>
      <w:r>
        <w:rPr>
          <w:rFonts w:hint="eastAsia"/>
        </w:rPr>
        <w:t>b）测量范围和精度；</w:t>
      </w:r>
    </w:p>
    <w:p w14:paraId="0848D042">
      <w:pPr>
        <w:pStyle w:val="56"/>
        <w:spacing w:line="360" w:lineRule="auto"/>
        <w:ind w:firstLine="420"/>
      </w:pPr>
      <w:r>
        <w:rPr>
          <w:rFonts w:hint="eastAsia"/>
        </w:rPr>
        <w:t>c）抗干扰能力；</w:t>
      </w:r>
    </w:p>
    <w:p w14:paraId="6C6A1697">
      <w:pPr>
        <w:pStyle w:val="56"/>
        <w:spacing w:line="360" w:lineRule="auto"/>
        <w:ind w:firstLine="420"/>
      </w:pPr>
      <w:r>
        <w:rPr>
          <w:rFonts w:hint="eastAsia"/>
        </w:rPr>
        <w:t>d）环境适应能力；</w:t>
      </w:r>
    </w:p>
    <w:p w14:paraId="3CF19BE9">
      <w:pPr>
        <w:pStyle w:val="56"/>
        <w:spacing w:line="360" w:lineRule="auto"/>
        <w:ind w:firstLine="420"/>
      </w:pPr>
      <w:r>
        <w:rPr>
          <w:rFonts w:hint="eastAsia"/>
        </w:rPr>
        <w:t>e）自动清洗和自检能力；</w:t>
      </w:r>
    </w:p>
    <w:p w14:paraId="1BF719A1">
      <w:pPr>
        <w:pStyle w:val="56"/>
        <w:spacing w:line="360" w:lineRule="auto"/>
        <w:ind w:firstLine="420"/>
      </w:pPr>
      <w:r>
        <w:rPr>
          <w:rFonts w:hint="eastAsia"/>
        </w:rPr>
        <w:t>f）维护便利性；</w:t>
      </w:r>
    </w:p>
    <w:p w14:paraId="719F031C">
      <w:pPr>
        <w:pStyle w:val="56"/>
        <w:spacing w:line="360" w:lineRule="auto"/>
        <w:ind w:firstLine="420"/>
      </w:pPr>
      <w:r>
        <w:rPr>
          <w:rFonts w:hint="eastAsia"/>
        </w:rPr>
        <w:t>g）数据接口兼容性；</w:t>
      </w:r>
    </w:p>
    <w:p w14:paraId="4FE89D52">
      <w:pPr>
        <w:pStyle w:val="56"/>
        <w:spacing w:line="360" w:lineRule="auto"/>
        <w:ind w:firstLine="420"/>
      </w:pPr>
      <w:r>
        <w:rPr>
          <w:rFonts w:hint="eastAsia"/>
        </w:rPr>
        <w:t>h）运行稳定性。</w:t>
      </w:r>
    </w:p>
    <w:p w14:paraId="4C9FFBAB">
      <w:pPr>
        <w:pStyle w:val="164"/>
        <w:spacing w:line="360" w:lineRule="auto"/>
      </w:pPr>
      <w:r>
        <w:rPr>
          <w:rFonts w:hint="eastAsia"/>
        </w:rPr>
        <w:t>对高浊度、高泥沙、高波动水体和易漂浮物干扰区域，应优先选用抗污堵能力较强的设备。</w:t>
      </w:r>
    </w:p>
    <w:p w14:paraId="36E7AFBE">
      <w:pPr>
        <w:pStyle w:val="164"/>
        <w:spacing w:line="360" w:lineRule="auto"/>
      </w:pPr>
      <w:r>
        <w:rPr>
          <w:rFonts w:hint="eastAsia"/>
        </w:rPr>
        <w:t>对高温、高湿、强雷暴、强腐蚀和高海拔区域，应优先选用环境适应性较强的设备。</w:t>
      </w:r>
    </w:p>
    <w:p w14:paraId="63C35B1B">
      <w:pPr>
        <w:pStyle w:val="105"/>
        <w:spacing w:before="120" w:after="120" w:line="360" w:lineRule="auto"/>
      </w:pPr>
      <w:r>
        <w:rPr>
          <w:rFonts w:hint="eastAsia"/>
        </w:rPr>
        <w:t>点位安装要求</w:t>
      </w:r>
    </w:p>
    <w:p w14:paraId="51A0E1AD">
      <w:pPr>
        <w:pStyle w:val="65"/>
        <w:spacing w:before="120" w:after="120" w:line="360" w:lineRule="auto"/>
      </w:pPr>
      <w:r>
        <w:rPr>
          <w:rFonts w:hint="eastAsia"/>
        </w:rPr>
        <w:t>一般要求</w:t>
      </w:r>
    </w:p>
    <w:p w14:paraId="7705FD7C">
      <w:pPr>
        <w:pStyle w:val="164"/>
        <w:spacing w:line="360" w:lineRule="auto"/>
      </w:pPr>
      <w:r>
        <w:rPr>
          <w:rFonts w:hint="eastAsia"/>
        </w:rPr>
        <w:t>在线监测设施安装应符合安全、稳定、便于维护和不影响监测代表性的要求。</w:t>
      </w:r>
    </w:p>
    <w:p w14:paraId="46BA3F8D">
      <w:pPr>
        <w:pStyle w:val="164"/>
        <w:spacing w:line="360" w:lineRule="auto"/>
      </w:pPr>
      <w:r>
        <w:rPr>
          <w:rFonts w:hint="eastAsia"/>
        </w:rPr>
        <w:t>安装位置应便于采样、巡检、校验、维修和现场核查。</w:t>
      </w:r>
    </w:p>
    <w:p w14:paraId="0AF202CA">
      <w:pPr>
        <w:pStyle w:val="164"/>
        <w:spacing w:line="360" w:lineRule="auto"/>
      </w:pPr>
      <w:r>
        <w:rPr>
          <w:rFonts w:hint="eastAsia"/>
        </w:rPr>
        <w:t>安装不得破坏河道行洪、施工通行、安全隔离和现场作业秩序。</w:t>
      </w:r>
    </w:p>
    <w:p w14:paraId="1E5C1979">
      <w:pPr>
        <w:pStyle w:val="65"/>
        <w:spacing w:before="120" w:after="120" w:line="360" w:lineRule="auto"/>
      </w:pPr>
      <w:r>
        <w:rPr>
          <w:rFonts w:hint="eastAsia"/>
        </w:rPr>
        <w:t>安装控制要求</w:t>
      </w:r>
    </w:p>
    <w:p w14:paraId="065CEE5C">
      <w:pPr>
        <w:pStyle w:val="164"/>
        <w:spacing w:line="360" w:lineRule="auto"/>
      </w:pPr>
      <w:r>
        <w:rPr>
          <w:rFonts w:hint="eastAsia"/>
        </w:rPr>
        <w:t>采样口设置应避开死水区、回流区、明显漂浮物聚集区和局部淤积区。</w:t>
      </w:r>
    </w:p>
    <w:p w14:paraId="1197F410">
      <w:pPr>
        <w:pStyle w:val="164"/>
        <w:spacing w:line="360" w:lineRule="auto"/>
      </w:pPr>
      <w:r>
        <w:rPr>
          <w:rFonts w:hint="eastAsia"/>
        </w:rPr>
        <w:t>设备安装基础应牢固可靠。</w:t>
      </w:r>
    </w:p>
    <w:p w14:paraId="394F2AF6">
      <w:pPr>
        <w:pStyle w:val="164"/>
        <w:spacing w:line="360" w:lineRule="auto"/>
      </w:pPr>
      <w:r>
        <w:rPr>
          <w:rFonts w:hint="eastAsia"/>
        </w:rPr>
        <w:t>管线、支架、机柜和防护箱体应固定可靠，标识清晰。</w:t>
      </w:r>
    </w:p>
    <w:p w14:paraId="21A6B864">
      <w:pPr>
        <w:pStyle w:val="164"/>
        <w:spacing w:line="360" w:lineRule="auto"/>
      </w:pPr>
      <w:r>
        <w:rPr>
          <w:rFonts w:hint="eastAsia"/>
        </w:rPr>
        <w:t>安装完成后，应开展安装核查和试运行检查。</w:t>
      </w:r>
    </w:p>
    <w:p w14:paraId="10F29202">
      <w:pPr>
        <w:pStyle w:val="164"/>
        <w:numPr>
          <w:ilvl w:val="0"/>
          <w:numId w:val="0"/>
        </w:numPr>
        <w:spacing w:line="360" w:lineRule="auto"/>
      </w:pPr>
    </w:p>
    <w:p w14:paraId="253BF39D">
      <w:pPr>
        <w:pStyle w:val="164"/>
        <w:numPr>
          <w:ilvl w:val="0"/>
          <w:numId w:val="0"/>
        </w:numPr>
        <w:spacing w:line="360" w:lineRule="auto"/>
        <w:rPr>
          <w:rFonts w:hint="eastAsia"/>
        </w:rPr>
      </w:pPr>
    </w:p>
    <w:p w14:paraId="0888AC11">
      <w:pPr>
        <w:pStyle w:val="105"/>
        <w:spacing w:before="120" w:after="120" w:line="360" w:lineRule="auto"/>
      </w:pPr>
      <w:r>
        <w:rPr>
          <w:rFonts w:hint="eastAsia"/>
        </w:rPr>
        <w:t>配套设施要求</w:t>
      </w:r>
    </w:p>
    <w:p w14:paraId="59AADEBD">
      <w:pPr>
        <w:pStyle w:val="65"/>
        <w:spacing w:before="120" w:after="120" w:line="360" w:lineRule="auto"/>
      </w:pPr>
      <w:r>
        <w:rPr>
          <w:rFonts w:hint="eastAsia"/>
        </w:rPr>
        <w:t>一般要求</w:t>
      </w:r>
    </w:p>
    <w:p w14:paraId="488AFD8E">
      <w:pPr>
        <w:pStyle w:val="164"/>
        <w:spacing w:line="360" w:lineRule="auto"/>
      </w:pPr>
      <w:r>
        <w:rPr>
          <w:rFonts w:hint="eastAsia"/>
        </w:rPr>
        <w:t>监测点应根据需要配置站房、机柜、围栏、照明、防雷接地、排水和安防设施。</w:t>
      </w:r>
    </w:p>
    <w:p w14:paraId="5BE86E0E">
      <w:pPr>
        <w:pStyle w:val="164"/>
        <w:spacing w:line="360" w:lineRule="auto"/>
      </w:pPr>
      <w:r>
        <w:rPr>
          <w:rFonts w:hint="eastAsia"/>
        </w:rPr>
        <w:t>配套设施应满足设备正常运行和人员安全维护要求。</w:t>
      </w:r>
    </w:p>
    <w:p w14:paraId="7C080039">
      <w:pPr>
        <w:pStyle w:val="65"/>
        <w:spacing w:before="120" w:after="120" w:line="360" w:lineRule="auto"/>
      </w:pPr>
      <w:r>
        <w:rPr>
          <w:rFonts w:hint="eastAsia"/>
        </w:rPr>
        <w:t>管理要求</w:t>
      </w:r>
    </w:p>
    <w:p w14:paraId="6EF4DC52">
      <w:pPr>
        <w:pStyle w:val="164"/>
        <w:spacing w:line="360" w:lineRule="auto"/>
      </w:pPr>
      <w:r>
        <w:rPr>
          <w:rFonts w:hint="eastAsia"/>
        </w:rPr>
        <w:t>站房或者机柜内部应整洁、有序、通风良好。</w:t>
      </w:r>
    </w:p>
    <w:p w14:paraId="39BD6770">
      <w:pPr>
        <w:pStyle w:val="164"/>
        <w:spacing w:line="360" w:lineRule="auto"/>
      </w:pPr>
      <w:r>
        <w:rPr>
          <w:rFonts w:hint="eastAsia"/>
        </w:rPr>
        <w:t>围栏、门锁和警示标识应完好可用。</w:t>
      </w:r>
    </w:p>
    <w:p w14:paraId="5C08845D">
      <w:pPr>
        <w:pStyle w:val="164"/>
        <w:spacing w:line="360" w:lineRule="auto"/>
      </w:pPr>
      <w:r>
        <w:rPr>
          <w:rFonts w:hint="eastAsia"/>
        </w:rPr>
        <w:t>排水不畅、基础下沉、机柜进水和防护设施损坏时，应及时整改。</w:t>
      </w:r>
    </w:p>
    <w:p w14:paraId="09B01F36">
      <w:pPr>
        <w:pStyle w:val="105"/>
        <w:spacing w:before="120" w:after="120" w:line="360" w:lineRule="auto"/>
      </w:pPr>
      <w:r>
        <w:rPr>
          <w:rFonts w:hint="eastAsia"/>
        </w:rPr>
        <w:t>备用与冗余要求</w:t>
      </w:r>
    </w:p>
    <w:p w14:paraId="786BB72E">
      <w:pPr>
        <w:pStyle w:val="65"/>
        <w:spacing w:before="120" w:after="120" w:line="360" w:lineRule="auto"/>
      </w:pPr>
      <w:r>
        <w:rPr>
          <w:rFonts w:hint="eastAsia"/>
        </w:rPr>
        <w:t>一般要求</w:t>
      </w:r>
    </w:p>
    <w:p w14:paraId="7D6BAE4E">
      <w:pPr>
        <w:pStyle w:val="164"/>
        <w:spacing w:line="360" w:lineRule="auto"/>
      </w:pPr>
      <w:r>
        <w:rPr>
          <w:rFonts w:hint="eastAsia"/>
        </w:rPr>
        <w:t>对重点点位和高风险点位，宜配置必要的冗余保障措施。</w:t>
      </w:r>
    </w:p>
    <w:p w14:paraId="6815AFA2">
      <w:pPr>
        <w:pStyle w:val="164"/>
        <w:spacing w:line="360" w:lineRule="auto"/>
      </w:pPr>
      <w:r>
        <w:rPr>
          <w:rFonts w:hint="eastAsia"/>
        </w:rPr>
        <w:t>冗余保障可包括备用电源、备用通信链路、备用采样部件和备用关键监测部件。</w:t>
      </w:r>
    </w:p>
    <w:p w14:paraId="4AEA4D71">
      <w:pPr>
        <w:pStyle w:val="65"/>
        <w:spacing w:before="120" w:after="120" w:line="360" w:lineRule="auto"/>
      </w:pPr>
      <w:r>
        <w:rPr>
          <w:rFonts w:hint="eastAsia"/>
        </w:rPr>
        <w:t>配置要求</w:t>
      </w:r>
    </w:p>
    <w:p w14:paraId="1F9D03B8">
      <w:pPr>
        <w:pStyle w:val="164"/>
        <w:spacing w:line="360" w:lineRule="auto"/>
      </w:pPr>
      <w:r>
        <w:rPr>
          <w:rFonts w:hint="eastAsia"/>
        </w:rPr>
        <w:t>对断电后可能导致关键监测中断的点位，应设置供电保障措施。</w:t>
      </w:r>
    </w:p>
    <w:p w14:paraId="70576508">
      <w:pPr>
        <w:pStyle w:val="164"/>
        <w:spacing w:line="360" w:lineRule="auto"/>
      </w:pPr>
      <w:r>
        <w:rPr>
          <w:rFonts w:hint="eastAsia"/>
        </w:rPr>
        <w:t>对通信不稳定区域，应设置数据缓存和补传机制。</w:t>
      </w:r>
    </w:p>
    <w:p w14:paraId="1F513F7A">
      <w:pPr>
        <w:pStyle w:val="164"/>
        <w:spacing w:line="360" w:lineRule="auto"/>
      </w:pPr>
      <w:r>
        <w:rPr>
          <w:rFonts w:hint="eastAsia"/>
        </w:rPr>
        <w:t>对重要断面和敏感水域控制点，宜设置人工复核条件或者辅助监测条件。</w:t>
      </w:r>
    </w:p>
    <w:p w14:paraId="23DC1430">
      <w:pPr>
        <w:pStyle w:val="105"/>
        <w:spacing w:before="120" w:after="120" w:line="360" w:lineRule="auto"/>
      </w:pPr>
      <w:r>
        <w:rPr>
          <w:rFonts w:hint="eastAsia"/>
        </w:rPr>
        <w:t>设施配置要点</w:t>
      </w:r>
    </w:p>
    <w:p w14:paraId="74194772">
      <w:pPr>
        <w:pStyle w:val="56"/>
        <w:spacing w:line="360" w:lineRule="auto"/>
        <w:ind w:firstLine="420"/>
      </w:pPr>
      <w:r>
        <w:rPr>
          <w:rFonts w:hint="eastAsia"/>
        </w:rPr>
        <w:t>监测设施配置的主要内容见表2。表2给出了施工期水环境在线监测设施配置的主要内容及控制要点。</w:t>
      </w:r>
    </w:p>
    <w:p w14:paraId="40A1E8A7">
      <w:pPr>
        <w:pStyle w:val="112"/>
        <w:spacing w:before="120" w:after="120" w:line="360" w:lineRule="auto"/>
      </w:pPr>
      <w:r>
        <w:rPr>
          <w:rFonts w:hint="eastAsia"/>
        </w:rPr>
        <w:t>施工期水环境在线监测设施配置要点表</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2400"/>
        <w:gridCol w:w="3402"/>
        <w:gridCol w:w="3532"/>
      </w:tblGrid>
      <w:tr w14:paraId="62A701F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2400" w:type="dxa"/>
            <w:tcBorders>
              <w:top w:val="single" w:color="auto" w:sz="8" w:space="0"/>
              <w:bottom w:val="single" w:color="auto" w:sz="8" w:space="0"/>
            </w:tcBorders>
          </w:tcPr>
          <w:p w14:paraId="7D6B709A">
            <w:pPr>
              <w:pStyle w:val="178"/>
            </w:pPr>
            <w:r>
              <w:rPr>
                <w:rFonts w:hint="eastAsia"/>
              </w:rPr>
              <w:t>配置类别</w:t>
            </w:r>
          </w:p>
        </w:tc>
        <w:tc>
          <w:tcPr>
            <w:tcW w:w="3402" w:type="dxa"/>
            <w:tcBorders>
              <w:top w:val="single" w:color="auto" w:sz="8" w:space="0"/>
              <w:bottom w:val="single" w:color="auto" w:sz="8" w:space="0"/>
            </w:tcBorders>
          </w:tcPr>
          <w:p w14:paraId="1DCBBC6F">
            <w:pPr>
              <w:pStyle w:val="178"/>
            </w:pPr>
            <w:r>
              <w:rPr>
                <w:rFonts w:hint="eastAsia"/>
              </w:rPr>
              <w:t>主要内容</w:t>
            </w:r>
          </w:p>
        </w:tc>
        <w:tc>
          <w:tcPr>
            <w:tcW w:w="3532" w:type="dxa"/>
            <w:tcBorders>
              <w:top w:val="single" w:color="auto" w:sz="8" w:space="0"/>
              <w:bottom w:val="single" w:color="auto" w:sz="8" w:space="0"/>
            </w:tcBorders>
          </w:tcPr>
          <w:p w14:paraId="2C08A4CC">
            <w:pPr>
              <w:pStyle w:val="178"/>
            </w:pPr>
            <w:r>
              <w:rPr>
                <w:rFonts w:hint="eastAsia"/>
              </w:rPr>
              <w:t>控制要点</w:t>
            </w:r>
          </w:p>
        </w:tc>
      </w:tr>
      <w:tr w14:paraId="4E7CC01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400" w:type="dxa"/>
            <w:tcBorders>
              <w:top w:val="single" w:color="auto" w:sz="8" w:space="0"/>
            </w:tcBorders>
          </w:tcPr>
          <w:p w14:paraId="3C037B75">
            <w:pPr>
              <w:pStyle w:val="178"/>
            </w:pPr>
            <w:r>
              <w:rPr>
                <w:rFonts w:hint="eastAsia"/>
              </w:rPr>
              <w:t>前端监测设施</w:t>
            </w:r>
          </w:p>
        </w:tc>
        <w:tc>
          <w:tcPr>
            <w:tcW w:w="3402" w:type="dxa"/>
            <w:tcBorders>
              <w:top w:val="single" w:color="auto" w:sz="8" w:space="0"/>
            </w:tcBorders>
          </w:tcPr>
          <w:p w14:paraId="6CA414B6">
            <w:pPr>
              <w:pStyle w:val="178"/>
            </w:pPr>
            <w:r>
              <w:rPr>
                <w:rFonts w:hint="eastAsia"/>
              </w:rPr>
              <w:t>水质监测设备、专项监测设备</w:t>
            </w:r>
          </w:p>
        </w:tc>
        <w:tc>
          <w:tcPr>
            <w:tcW w:w="3532" w:type="dxa"/>
            <w:tcBorders>
              <w:top w:val="single" w:color="auto" w:sz="8" w:space="0"/>
            </w:tcBorders>
          </w:tcPr>
          <w:p w14:paraId="6DBB88D2">
            <w:pPr>
              <w:pStyle w:val="178"/>
            </w:pPr>
            <w:r>
              <w:rPr>
                <w:rFonts w:hint="eastAsia"/>
              </w:rPr>
              <w:t>指标匹配、量程适配、运行稳定</w:t>
            </w:r>
          </w:p>
        </w:tc>
      </w:tr>
      <w:tr w14:paraId="653B285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400" w:type="dxa"/>
          </w:tcPr>
          <w:p w14:paraId="22E34B64">
            <w:pPr>
              <w:pStyle w:val="178"/>
            </w:pPr>
            <w:r>
              <w:rPr>
                <w:rFonts w:hint="eastAsia"/>
              </w:rPr>
              <w:t>采样预处理设施</w:t>
            </w:r>
          </w:p>
        </w:tc>
        <w:tc>
          <w:tcPr>
            <w:tcW w:w="3402" w:type="dxa"/>
          </w:tcPr>
          <w:p w14:paraId="04D004E9">
            <w:pPr>
              <w:pStyle w:val="178"/>
            </w:pPr>
            <w:r>
              <w:rPr>
                <w:rFonts w:hint="eastAsia"/>
              </w:rPr>
              <w:t>采样口、采样管路、预处理装置</w:t>
            </w:r>
          </w:p>
        </w:tc>
        <w:tc>
          <w:tcPr>
            <w:tcW w:w="3532" w:type="dxa"/>
          </w:tcPr>
          <w:p w14:paraId="3B59205B">
            <w:pPr>
              <w:pStyle w:val="178"/>
            </w:pPr>
            <w:r>
              <w:rPr>
                <w:rFonts w:hint="eastAsia"/>
              </w:rPr>
              <w:t>防堵塞、易清洗、便维护</w:t>
            </w:r>
          </w:p>
        </w:tc>
      </w:tr>
      <w:tr w14:paraId="2418280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400" w:type="dxa"/>
          </w:tcPr>
          <w:p w14:paraId="29884171">
            <w:pPr>
              <w:pStyle w:val="178"/>
            </w:pPr>
            <w:r>
              <w:rPr>
                <w:rFonts w:hint="eastAsia"/>
              </w:rPr>
              <w:t>数据采集设施</w:t>
            </w:r>
          </w:p>
        </w:tc>
        <w:tc>
          <w:tcPr>
            <w:tcW w:w="3402" w:type="dxa"/>
          </w:tcPr>
          <w:p w14:paraId="6B4354BB">
            <w:pPr>
              <w:pStyle w:val="178"/>
            </w:pPr>
            <w:r>
              <w:rPr>
                <w:rFonts w:hint="eastAsia"/>
              </w:rPr>
              <w:t>数据采集器、控制器</w:t>
            </w:r>
          </w:p>
        </w:tc>
        <w:tc>
          <w:tcPr>
            <w:tcW w:w="3532" w:type="dxa"/>
          </w:tcPr>
          <w:p w14:paraId="11166B1E">
            <w:pPr>
              <w:pStyle w:val="178"/>
            </w:pPr>
            <w:r>
              <w:rPr>
                <w:rFonts w:hint="eastAsia"/>
              </w:rPr>
              <w:t>时间准确、缓存可靠、状态可查</w:t>
            </w:r>
          </w:p>
        </w:tc>
      </w:tr>
      <w:tr w14:paraId="74B62F8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400" w:type="dxa"/>
          </w:tcPr>
          <w:p w14:paraId="4DC37A7D">
            <w:pPr>
              <w:pStyle w:val="178"/>
            </w:pPr>
            <w:r>
              <w:rPr>
                <w:rFonts w:hint="eastAsia"/>
              </w:rPr>
              <w:t>通信设施</w:t>
            </w:r>
          </w:p>
        </w:tc>
        <w:tc>
          <w:tcPr>
            <w:tcW w:w="3402" w:type="dxa"/>
          </w:tcPr>
          <w:p w14:paraId="5F3EFC3A">
            <w:pPr>
              <w:pStyle w:val="178"/>
            </w:pPr>
            <w:r>
              <w:rPr>
                <w:rFonts w:hint="eastAsia"/>
              </w:rPr>
              <w:t>通信模块、天线、链路</w:t>
            </w:r>
          </w:p>
        </w:tc>
        <w:tc>
          <w:tcPr>
            <w:tcW w:w="3532" w:type="dxa"/>
          </w:tcPr>
          <w:p w14:paraId="0E5F2FB7">
            <w:pPr>
              <w:pStyle w:val="178"/>
            </w:pPr>
            <w:r>
              <w:rPr>
                <w:rFonts w:hint="eastAsia"/>
              </w:rPr>
              <w:t>传输稳定、断点续传、兼容平台</w:t>
            </w:r>
          </w:p>
        </w:tc>
      </w:tr>
      <w:tr w14:paraId="57CDC8E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400" w:type="dxa"/>
          </w:tcPr>
          <w:p w14:paraId="0C4978A1">
            <w:pPr>
              <w:pStyle w:val="178"/>
            </w:pPr>
            <w:r>
              <w:rPr>
                <w:rFonts w:hint="eastAsia"/>
              </w:rPr>
              <w:t>供电设施</w:t>
            </w:r>
          </w:p>
        </w:tc>
        <w:tc>
          <w:tcPr>
            <w:tcW w:w="3402" w:type="dxa"/>
          </w:tcPr>
          <w:p w14:paraId="79A56943">
            <w:pPr>
              <w:pStyle w:val="178"/>
            </w:pPr>
            <w:r>
              <w:rPr>
                <w:rFonts w:hint="eastAsia"/>
              </w:rPr>
              <w:t>市电、备用电源、太阳能</w:t>
            </w:r>
          </w:p>
        </w:tc>
        <w:tc>
          <w:tcPr>
            <w:tcW w:w="3532" w:type="dxa"/>
          </w:tcPr>
          <w:p w14:paraId="59C4390F">
            <w:pPr>
              <w:pStyle w:val="178"/>
            </w:pPr>
            <w:r>
              <w:rPr>
                <w:rFonts w:hint="eastAsia"/>
              </w:rPr>
              <w:t>持续供电、具备应急保障</w:t>
            </w:r>
          </w:p>
        </w:tc>
      </w:tr>
      <w:tr w14:paraId="1E5CEC8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400" w:type="dxa"/>
          </w:tcPr>
          <w:p w14:paraId="0CA0C7DF">
            <w:pPr>
              <w:pStyle w:val="178"/>
            </w:pPr>
            <w:r>
              <w:rPr>
                <w:rFonts w:hint="eastAsia"/>
              </w:rPr>
              <w:t>防护设施</w:t>
            </w:r>
          </w:p>
        </w:tc>
        <w:tc>
          <w:tcPr>
            <w:tcW w:w="3402" w:type="dxa"/>
          </w:tcPr>
          <w:p w14:paraId="0F205EDA">
            <w:pPr>
              <w:pStyle w:val="178"/>
            </w:pPr>
            <w:r>
              <w:rPr>
                <w:rFonts w:hint="eastAsia"/>
              </w:rPr>
              <w:t>防雷、防雨、防盗、防撞</w:t>
            </w:r>
          </w:p>
        </w:tc>
        <w:tc>
          <w:tcPr>
            <w:tcW w:w="3532" w:type="dxa"/>
          </w:tcPr>
          <w:p w14:paraId="67E38472">
            <w:pPr>
              <w:pStyle w:val="178"/>
            </w:pPr>
            <w:r>
              <w:rPr>
                <w:rFonts w:hint="eastAsia"/>
              </w:rPr>
              <w:t>环境适应、设施完好、标识清晰</w:t>
            </w:r>
          </w:p>
        </w:tc>
      </w:tr>
      <w:tr w14:paraId="20242F7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400" w:type="dxa"/>
          </w:tcPr>
          <w:p w14:paraId="6DEB763F">
            <w:pPr>
              <w:pStyle w:val="178"/>
            </w:pPr>
            <w:r>
              <w:rPr>
                <w:rFonts w:hint="eastAsia"/>
              </w:rPr>
              <w:t>辅助感知设施</w:t>
            </w:r>
          </w:p>
        </w:tc>
        <w:tc>
          <w:tcPr>
            <w:tcW w:w="3402" w:type="dxa"/>
          </w:tcPr>
          <w:p w14:paraId="7D244259">
            <w:pPr>
              <w:pStyle w:val="178"/>
            </w:pPr>
            <w:r>
              <w:rPr>
                <w:rFonts w:hint="eastAsia"/>
              </w:rPr>
              <w:t>视频、水位、流量、环境感知</w:t>
            </w:r>
          </w:p>
        </w:tc>
        <w:tc>
          <w:tcPr>
            <w:tcW w:w="3532" w:type="dxa"/>
          </w:tcPr>
          <w:p w14:paraId="73124D16">
            <w:pPr>
              <w:pStyle w:val="178"/>
            </w:pPr>
            <w:r>
              <w:rPr>
                <w:rFonts w:hint="eastAsia"/>
              </w:rPr>
              <w:t>与主监测设施联动、时间同步</w:t>
            </w:r>
          </w:p>
        </w:tc>
      </w:tr>
    </w:tbl>
    <w:p w14:paraId="3271AD64">
      <w:pPr>
        <w:pStyle w:val="105"/>
        <w:spacing w:before="120" w:after="120" w:line="360" w:lineRule="auto"/>
      </w:pPr>
      <w:r>
        <w:rPr>
          <w:rFonts w:hint="eastAsia"/>
        </w:rPr>
        <w:t>禁止性要求</w:t>
      </w:r>
    </w:p>
    <w:p w14:paraId="2F360A15">
      <w:pPr>
        <w:pStyle w:val="165"/>
        <w:spacing w:line="360" w:lineRule="auto"/>
      </w:pPr>
      <w:r>
        <w:rPr>
          <w:rFonts w:hint="eastAsia"/>
        </w:rPr>
        <w:t>不得在未完成设备选型论证和现场条件核查的情况下直接安装正式监测设施。</w:t>
      </w:r>
    </w:p>
    <w:p w14:paraId="3948506B">
      <w:pPr>
        <w:pStyle w:val="165"/>
        <w:spacing w:line="360" w:lineRule="auto"/>
      </w:pPr>
      <w:r>
        <w:rPr>
          <w:rFonts w:hint="eastAsia"/>
        </w:rPr>
        <w:t>不得将不具备连续运行能力、自动传输能力或者必要防护能力的设备长期作为正式在线监测设备使用。</w:t>
      </w:r>
    </w:p>
    <w:p w14:paraId="492EB721">
      <w:pPr>
        <w:pStyle w:val="165"/>
        <w:spacing w:line="360" w:lineRule="auto"/>
      </w:pPr>
      <w:r>
        <w:rPr>
          <w:rFonts w:hint="eastAsia"/>
        </w:rPr>
        <w:t>不得在采样条件明显不满足代表性要求的位置布设正式采样口。</w:t>
      </w:r>
    </w:p>
    <w:p w14:paraId="0EE777B4">
      <w:pPr>
        <w:pStyle w:val="165"/>
        <w:spacing w:line="360" w:lineRule="auto"/>
      </w:pPr>
      <w:r>
        <w:rPr>
          <w:rFonts w:hint="eastAsia"/>
        </w:rPr>
        <w:t>不得因施工便利或者运维便利擅自降低防护配置和辅助保障配置。</w:t>
      </w:r>
    </w:p>
    <w:p w14:paraId="3A722FEF">
      <w:pPr>
        <w:pStyle w:val="165"/>
        <w:spacing w:line="360" w:lineRule="auto"/>
      </w:pPr>
      <w:r>
        <w:rPr>
          <w:rFonts w:hint="eastAsia"/>
        </w:rPr>
        <w:t>不得在设备安装不牢、供电不稳、通信不通或者防雷接地不完善的情况下投入正式运行。</w:t>
      </w:r>
    </w:p>
    <w:p w14:paraId="78FF92FC">
      <w:pPr>
        <w:pStyle w:val="104"/>
        <w:spacing w:before="240" w:after="240" w:line="360" w:lineRule="auto"/>
      </w:pPr>
      <w:bookmarkStart w:id="54" w:name="_Toc228609191"/>
      <w:r>
        <w:rPr>
          <w:rFonts w:hint="eastAsia"/>
        </w:rPr>
        <w:t>数据采集与传输要求</w:t>
      </w:r>
      <w:bookmarkEnd w:id="54"/>
    </w:p>
    <w:p w14:paraId="7724CC05">
      <w:pPr>
        <w:pStyle w:val="105"/>
        <w:spacing w:before="120" w:after="120" w:line="360" w:lineRule="auto"/>
      </w:pPr>
      <w:r>
        <w:rPr>
          <w:rFonts w:hint="eastAsia"/>
        </w:rPr>
        <w:t>一般要求</w:t>
      </w:r>
    </w:p>
    <w:p w14:paraId="64151D40">
      <w:pPr>
        <w:pStyle w:val="165"/>
        <w:spacing w:line="360" w:lineRule="auto"/>
      </w:pPr>
      <w:r>
        <w:rPr>
          <w:rFonts w:hint="eastAsia"/>
        </w:rPr>
        <w:t>施工期水环境在线监测系统应建立规范的数据采集与传输机制。</w:t>
      </w:r>
    </w:p>
    <w:p w14:paraId="15253417">
      <w:pPr>
        <w:pStyle w:val="165"/>
        <w:spacing w:line="360" w:lineRule="auto"/>
      </w:pPr>
      <w:r>
        <w:rPr>
          <w:rFonts w:hint="eastAsia"/>
        </w:rPr>
        <w:t>数据采集与传输应满足连续性、准确性、及时性、安全性和可追溯性要求。</w:t>
      </w:r>
    </w:p>
    <w:p w14:paraId="354CC918">
      <w:pPr>
        <w:pStyle w:val="165"/>
        <w:spacing w:line="360" w:lineRule="auto"/>
      </w:pPr>
      <w:r>
        <w:rPr>
          <w:rFonts w:hint="eastAsia"/>
        </w:rPr>
        <w:t>采集数据应与监测点位、监测设备、采样时间、运行状态和预警规则相对应。</w:t>
      </w:r>
    </w:p>
    <w:p w14:paraId="5D6F4BE5">
      <w:pPr>
        <w:pStyle w:val="165"/>
        <w:spacing w:line="360" w:lineRule="auto"/>
      </w:pPr>
      <w:r>
        <w:rPr>
          <w:rFonts w:hint="eastAsia"/>
        </w:rPr>
        <w:t>数据传输应满足实时上传、异常补传、状态监控和日志留痕要求。</w:t>
      </w:r>
    </w:p>
    <w:p w14:paraId="76D7EC23">
      <w:pPr>
        <w:pStyle w:val="165"/>
        <w:spacing w:line="360" w:lineRule="auto"/>
      </w:pPr>
      <w:r>
        <w:rPr>
          <w:rFonts w:hint="eastAsia"/>
        </w:rPr>
        <w:t>未经校核和必要审核的数据，不得直接作为正式预警判断和正式管理考核依据。</w:t>
      </w:r>
    </w:p>
    <w:p w14:paraId="4F4B4842">
      <w:pPr>
        <w:pStyle w:val="105"/>
        <w:spacing w:before="120" w:after="120" w:line="360" w:lineRule="auto"/>
      </w:pPr>
      <w:r>
        <w:rPr>
          <w:rFonts w:hint="eastAsia"/>
        </w:rPr>
        <w:t>数据采集要求</w:t>
      </w:r>
    </w:p>
    <w:p w14:paraId="7087152F">
      <w:pPr>
        <w:pStyle w:val="65"/>
        <w:spacing w:before="120" w:after="120" w:line="360" w:lineRule="auto"/>
      </w:pPr>
      <w:r>
        <w:rPr>
          <w:rFonts w:hint="eastAsia"/>
        </w:rPr>
        <w:t>一般要求</w:t>
      </w:r>
    </w:p>
    <w:p w14:paraId="2A3E955E">
      <w:pPr>
        <w:pStyle w:val="164"/>
        <w:spacing w:line="360" w:lineRule="auto"/>
      </w:pPr>
      <w:r>
        <w:rPr>
          <w:rFonts w:hint="eastAsia"/>
        </w:rPr>
        <w:t>在线监测点应按规定频率进行自动采集。</w:t>
      </w:r>
    </w:p>
    <w:p w14:paraId="7A88CEE2">
      <w:pPr>
        <w:pStyle w:val="164"/>
        <w:spacing w:line="360" w:lineRule="auto"/>
      </w:pPr>
      <w:r>
        <w:rPr>
          <w:rFonts w:hint="eastAsia"/>
        </w:rPr>
        <w:t>数据采集应覆盖监测指标数据、时间数据、设备状态数据和必要的辅助感知数据。</w:t>
      </w:r>
    </w:p>
    <w:p w14:paraId="5961B12F">
      <w:pPr>
        <w:pStyle w:val="164"/>
        <w:spacing w:line="360" w:lineRule="auto"/>
      </w:pPr>
      <w:r>
        <w:rPr>
          <w:rFonts w:hint="eastAsia"/>
        </w:rPr>
        <w:t>采集过程应保证设备状态正常、时间同步准确和数据链路连续。</w:t>
      </w:r>
    </w:p>
    <w:p w14:paraId="45A201A4">
      <w:pPr>
        <w:pStyle w:val="65"/>
        <w:spacing w:before="120" w:after="120" w:line="360" w:lineRule="auto"/>
      </w:pPr>
      <w:r>
        <w:rPr>
          <w:rFonts w:hint="eastAsia"/>
        </w:rPr>
        <w:t>采集内容要求</w:t>
      </w:r>
    </w:p>
    <w:p w14:paraId="0A5D8D5C">
      <w:pPr>
        <w:pStyle w:val="164"/>
        <w:spacing w:line="360" w:lineRule="auto"/>
      </w:pPr>
      <w:r>
        <w:rPr>
          <w:rFonts w:hint="eastAsia"/>
        </w:rPr>
        <w:t>采集内容宜至少包括下列信息：</w:t>
      </w:r>
    </w:p>
    <w:p w14:paraId="243BDE6C">
      <w:pPr>
        <w:pStyle w:val="56"/>
        <w:spacing w:line="360" w:lineRule="auto"/>
        <w:ind w:firstLine="420"/>
      </w:pPr>
      <w:r>
        <w:rPr>
          <w:rFonts w:hint="eastAsia"/>
        </w:rPr>
        <w:t>a）监测点编号；</w:t>
      </w:r>
    </w:p>
    <w:p w14:paraId="27D0A483">
      <w:pPr>
        <w:pStyle w:val="56"/>
        <w:spacing w:line="360" w:lineRule="auto"/>
        <w:ind w:firstLine="420"/>
      </w:pPr>
      <w:r>
        <w:rPr>
          <w:rFonts w:hint="eastAsia"/>
        </w:rPr>
        <w:t>b）监测时间；</w:t>
      </w:r>
    </w:p>
    <w:p w14:paraId="0A43EFD0">
      <w:pPr>
        <w:pStyle w:val="56"/>
        <w:spacing w:line="360" w:lineRule="auto"/>
        <w:ind w:firstLine="420"/>
      </w:pPr>
      <w:r>
        <w:rPr>
          <w:rFonts w:hint="eastAsia"/>
        </w:rPr>
        <w:t>c）监测指标值；</w:t>
      </w:r>
    </w:p>
    <w:p w14:paraId="6B53B735">
      <w:pPr>
        <w:pStyle w:val="56"/>
        <w:spacing w:line="360" w:lineRule="auto"/>
        <w:ind w:firstLine="420"/>
      </w:pPr>
      <w:r>
        <w:rPr>
          <w:rFonts w:hint="eastAsia"/>
        </w:rPr>
        <w:t>d）设备运行状态；</w:t>
      </w:r>
    </w:p>
    <w:p w14:paraId="05A85263">
      <w:pPr>
        <w:pStyle w:val="56"/>
        <w:spacing w:line="360" w:lineRule="auto"/>
        <w:ind w:firstLine="420"/>
      </w:pPr>
      <w:r>
        <w:rPr>
          <w:rFonts w:hint="eastAsia"/>
        </w:rPr>
        <w:t>e）报警状态；</w:t>
      </w:r>
    </w:p>
    <w:p w14:paraId="256D4342">
      <w:pPr>
        <w:pStyle w:val="56"/>
        <w:spacing w:line="360" w:lineRule="auto"/>
        <w:ind w:firstLine="420"/>
      </w:pPr>
      <w:r>
        <w:rPr>
          <w:rFonts w:hint="eastAsia"/>
        </w:rPr>
        <w:t>f）校准或者维护状态；</w:t>
      </w:r>
    </w:p>
    <w:p w14:paraId="6BBA03A8">
      <w:pPr>
        <w:pStyle w:val="56"/>
        <w:spacing w:line="360" w:lineRule="auto"/>
        <w:ind w:firstLine="420"/>
      </w:pPr>
      <w:r>
        <w:rPr>
          <w:rFonts w:hint="eastAsia"/>
        </w:rPr>
        <w:t>g）视频关联信息；</w:t>
      </w:r>
    </w:p>
    <w:p w14:paraId="497E0D55">
      <w:pPr>
        <w:pStyle w:val="56"/>
        <w:spacing w:line="360" w:lineRule="auto"/>
        <w:ind w:firstLine="420"/>
      </w:pPr>
      <w:r>
        <w:rPr>
          <w:rFonts w:hint="eastAsia"/>
        </w:rPr>
        <w:t>h）辅助环境信息。</w:t>
      </w:r>
    </w:p>
    <w:p w14:paraId="33CAF43A">
      <w:pPr>
        <w:pStyle w:val="164"/>
        <w:spacing w:line="360" w:lineRule="auto"/>
      </w:pPr>
      <w:r>
        <w:rPr>
          <w:rFonts w:hint="eastAsia"/>
        </w:rPr>
        <w:t>监测设备处于校准、维护、试运行或者异常状态时，应明确标识相关数据状态。</w:t>
      </w:r>
    </w:p>
    <w:p w14:paraId="300AFD2E">
      <w:pPr>
        <w:pStyle w:val="65"/>
        <w:spacing w:before="120" w:after="120" w:line="360" w:lineRule="auto"/>
      </w:pPr>
      <w:r>
        <w:rPr>
          <w:rFonts w:hint="eastAsia"/>
        </w:rPr>
        <w:t>采集频率要求</w:t>
      </w:r>
    </w:p>
    <w:p w14:paraId="77FCDD1E">
      <w:pPr>
        <w:pStyle w:val="164"/>
        <w:spacing w:line="360" w:lineRule="auto"/>
      </w:pPr>
      <w:r>
        <w:rPr>
          <w:rFonts w:hint="eastAsia"/>
        </w:rPr>
        <w:t>数据采集频率应根据监测目标、点位类型、风险等级和施工阶段确定。</w:t>
      </w:r>
    </w:p>
    <w:p w14:paraId="4D328AA5">
      <w:pPr>
        <w:pStyle w:val="164"/>
        <w:spacing w:line="360" w:lineRule="auto"/>
      </w:pPr>
      <w:r>
        <w:rPr>
          <w:rFonts w:hint="eastAsia"/>
        </w:rPr>
        <w:t>对重点控制点、敏感水域点和异常高发点，应提高采集频率。</w:t>
      </w:r>
    </w:p>
    <w:p w14:paraId="6FB799DE">
      <w:pPr>
        <w:pStyle w:val="164"/>
        <w:spacing w:line="360" w:lineRule="auto"/>
      </w:pPr>
      <w:r>
        <w:rPr>
          <w:rFonts w:hint="eastAsia"/>
        </w:rPr>
        <w:t>采集频率调整后，应同步更新平台设置、预警规则和运维要求。</w:t>
      </w:r>
    </w:p>
    <w:p w14:paraId="42253B39">
      <w:pPr>
        <w:pStyle w:val="105"/>
        <w:spacing w:before="120" w:after="120" w:line="360" w:lineRule="auto"/>
      </w:pPr>
      <w:r>
        <w:rPr>
          <w:rFonts w:hint="eastAsia"/>
        </w:rPr>
        <w:t>数据传输要求</w:t>
      </w:r>
    </w:p>
    <w:p w14:paraId="403C53E1">
      <w:pPr>
        <w:pStyle w:val="65"/>
        <w:spacing w:before="120" w:after="120" w:line="360" w:lineRule="auto"/>
      </w:pPr>
      <w:r>
        <w:rPr>
          <w:rFonts w:hint="eastAsia"/>
        </w:rPr>
        <w:t>一般要求</w:t>
      </w:r>
    </w:p>
    <w:p w14:paraId="4B9C4767">
      <w:pPr>
        <w:pStyle w:val="164"/>
        <w:spacing w:line="360" w:lineRule="auto"/>
      </w:pPr>
      <w:r>
        <w:rPr>
          <w:rFonts w:hint="eastAsia"/>
        </w:rPr>
        <w:t>监测数据应通过受控通信链路传输至数据平台或者智慧管控平台。</w:t>
      </w:r>
    </w:p>
    <w:p w14:paraId="5C694FA2">
      <w:pPr>
        <w:pStyle w:val="164"/>
        <w:spacing w:line="360" w:lineRule="auto"/>
      </w:pPr>
      <w:r>
        <w:rPr>
          <w:rFonts w:hint="eastAsia"/>
        </w:rPr>
        <w:t>数据传输应满足稳定、连续、完整和安全要求。</w:t>
      </w:r>
    </w:p>
    <w:p w14:paraId="3AD5EE6B">
      <w:pPr>
        <w:pStyle w:val="164"/>
        <w:spacing w:line="360" w:lineRule="auto"/>
      </w:pPr>
      <w:r>
        <w:rPr>
          <w:rFonts w:hint="eastAsia"/>
        </w:rPr>
        <w:t>传输过程中不得无故丢失、重复、错序或者篡改正式监测数据。</w:t>
      </w:r>
    </w:p>
    <w:p w14:paraId="743EC002">
      <w:pPr>
        <w:pStyle w:val="65"/>
        <w:spacing w:before="120" w:after="120" w:line="360" w:lineRule="auto"/>
      </w:pPr>
      <w:r>
        <w:rPr>
          <w:rFonts w:hint="eastAsia"/>
        </w:rPr>
        <w:t>传输控制要求</w:t>
      </w:r>
    </w:p>
    <w:p w14:paraId="40A55FF8">
      <w:pPr>
        <w:pStyle w:val="164"/>
        <w:spacing w:line="360" w:lineRule="auto"/>
      </w:pPr>
      <w:r>
        <w:rPr>
          <w:rFonts w:hint="eastAsia"/>
        </w:rPr>
        <w:t>通信链路应支持自动重连和异常告警。</w:t>
      </w:r>
    </w:p>
    <w:p w14:paraId="209209FA">
      <w:pPr>
        <w:pStyle w:val="164"/>
        <w:spacing w:line="360" w:lineRule="auto"/>
      </w:pPr>
      <w:r>
        <w:rPr>
          <w:rFonts w:hint="eastAsia"/>
        </w:rPr>
        <w:t>数据中断后，应具备缓存和补传功能。</w:t>
      </w:r>
    </w:p>
    <w:p w14:paraId="09B8DE54">
      <w:pPr>
        <w:pStyle w:val="164"/>
        <w:spacing w:line="360" w:lineRule="auto"/>
      </w:pPr>
      <w:r>
        <w:rPr>
          <w:rFonts w:hint="eastAsia"/>
        </w:rPr>
        <w:t>数据传输时间、接收时间和入库时间应可记录、可查询。</w:t>
      </w:r>
    </w:p>
    <w:p w14:paraId="72A3E7B2">
      <w:pPr>
        <w:pStyle w:val="164"/>
        <w:spacing w:line="360" w:lineRule="auto"/>
      </w:pPr>
      <w:r>
        <w:rPr>
          <w:rFonts w:hint="eastAsia"/>
        </w:rPr>
        <w:t>采用无线传输方式的，应重点防范信号不稳定、丢包和时延影响。</w:t>
      </w:r>
    </w:p>
    <w:p w14:paraId="69C4CBA1">
      <w:pPr>
        <w:pStyle w:val="105"/>
        <w:spacing w:before="120" w:after="120" w:line="360" w:lineRule="auto"/>
      </w:pPr>
      <w:r>
        <w:rPr>
          <w:rFonts w:hint="eastAsia"/>
        </w:rPr>
        <w:t>数据完整性要求</w:t>
      </w:r>
    </w:p>
    <w:p w14:paraId="36D9EE29">
      <w:pPr>
        <w:pStyle w:val="65"/>
        <w:spacing w:before="120" w:after="120" w:line="360" w:lineRule="auto"/>
      </w:pPr>
      <w:r>
        <w:rPr>
          <w:rFonts w:hint="eastAsia"/>
        </w:rPr>
        <w:t>一般要求</w:t>
      </w:r>
    </w:p>
    <w:p w14:paraId="4A41C5B8">
      <w:pPr>
        <w:pStyle w:val="164"/>
        <w:spacing w:line="360" w:lineRule="auto"/>
      </w:pPr>
      <w:r>
        <w:rPr>
          <w:rFonts w:hint="eastAsia"/>
        </w:rPr>
        <w:t>数据平台应对上传数据进行完整性检查。</w:t>
      </w:r>
    </w:p>
    <w:p w14:paraId="508B4D64">
      <w:pPr>
        <w:pStyle w:val="164"/>
        <w:spacing w:line="360" w:lineRule="auto"/>
      </w:pPr>
      <w:r>
        <w:rPr>
          <w:rFonts w:hint="eastAsia"/>
        </w:rPr>
        <w:t>完整性检查宜包括时间连续性、字段完整性、记录完整性和关联完整性。</w:t>
      </w:r>
    </w:p>
    <w:p w14:paraId="1FDE82C4">
      <w:pPr>
        <w:pStyle w:val="65"/>
        <w:spacing w:before="120" w:after="120" w:line="360" w:lineRule="auto"/>
      </w:pPr>
      <w:r>
        <w:rPr>
          <w:rFonts w:hint="eastAsia"/>
        </w:rPr>
        <w:t>控制要求</w:t>
      </w:r>
    </w:p>
    <w:p w14:paraId="06332E10">
      <w:pPr>
        <w:pStyle w:val="164"/>
        <w:spacing w:line="360" w:lineRule="auto"/>
      </w:pPr>
      <w:r>
        <w:rPr>
          <w:rFonts w:hint="eastAsia"/>
        </w:rPr>
        <w:t>发现缺失数据、断档数据和重复数据时，应及时标识并分析原因。</w:t>
      </w:r>
    </w:p>
    <w:p w14:paraId="251ECAB0">
      <w:pPr>
        <w:pStyle w:val="164"/>
        <w:spacing w:line="360" w:lineRule="auto"/>
      </w:pPr>
      <w:r>
        <w:rPr>
          <w:rFonts w:hint="eastAsia"/>
        </w:rPr>
        <w:t>对重点点位的连续缺失数据，应优先处置。</w:t>
      </w:r>
    </w:p>
    <w:p w14:paraId="5EA55031">
      <w:pPr>
        <w:pStyle w:val="164"/>
        <w:spacing w:line="360" w:lineRule="auto"/>
      </w:pPr>
      <w:r>
        <w:rPr>
          <w:rFonts w:hint="eastAsia"/>
        </w:rPr>
        <w:t>因设备维护、断电、断网和外部施工等原因造成的数据中断，应形成说明记录。</w:t>
      </w:r>
    </w:p>
    <w:p w14:paraId="52DCE0CC">
      <w:pPr>
        <w:pStyle w:val="105"/>
        <w:spacing w:before="120" w:after="120" w:line="360" w:lineRule="auto"/>
      </w:pPr>
      <w:r>
        <w:rPr>
          <w:rFonts w:hint="eastAsia"/>
        </w:rPr>
        <w:t>数据有效性要求</w:t>
      </w:r>
    </w:p>
    <w:p w14:paraId="7E23F0A8">
      <w:pPr>
        <w:pStyle w:val="65"/>
        <w:spacing w:before="120" w:after="120" w:line="360" w:lineRule="auto"/>
      </w:pPr>
      <w:r>
        <w:rPr>
          <w:rFonts w:hint="eastAsia"/>
        </w:rPr>
        <w:t>一般要求</w:t>
      </w:r>
    </w:p>
    <w:p w14:paraId="47373F74">
      <w:pPr>
        <w:pStyle w:val="164"/>
        <w:spacing w:line="360" w:lineRule="auto"/>
      </w:pPr>
      <w:r>
        <w:rPr>
          <w:rFonts w:hint="eastAsia"/>
        </w:rPr>
        <w:t>监测数据应进行有效性判别。</w:t>
      </w:r>
    </w:p>
    <w:p w14:paraId="28B91F00">
      <w:pPr>
        <w:pStyle w:val="164"/>
        <w:spacing w:line="360" w:lineRule="auto"/>
      </w:pPr>
      <w:r>
        <w:rPr>
          <w:rFonts w:hint="eastAsia"/>
        </w:rPr>
        <w:t>有效性判别应结合设备状态、校准状态、变化趋势、逻辑关系和现场情况综合进行。</w:t>
      </w:r>
    </w:p>
    <w:p w14:paraId="1C55E0C6">
      <w:pPr>
        <w:pStyle w:val="65"/>
        <w:spacing w:before="120" w:after="120" w:line="360" w:lineRule="auto"/>
      </w:pPr>
      <w:r>
        <w:rPr>
          <w:rFonts w:hint="eastAsia"/>
        </w:rPr>
        <w:t>判别要求</w:t>
      </w:r>
    </w:p>
    <w:p w14:paraId="0A172291">
      <w:pPr>
        <w:pStyle w:val="164"/>
        <w:spacing w:line="360" w:lineRule="auto"/>
      </w:pPr>
      <w:r>
        <w:rPr>
          <w:rFonts w:hint="eastAsia"/>
        </w:rPr>
        <w:t>出现下列情形之一的数据，应判定为异常数据或者待核查数据：</w:t>
      </w:r>
    </w:p>
    <w:p w14:paraId="3D912911">
      <w:pPr>
        <w:pStyle w:val="56"/>
        <w:spacing w:line="360" w:lineRule="auto"/>
        <w:ind w:firstLine="420"/>
      </w:pPr>
      <w:r>
        <w:rPr>
          <w:rFonts w:hint="eastAsia"/>
        </w:rPr>
        <w:t>a）明显超出合理范围；</w:t>
      </w:r>
    </w:p>
    <w:p w14:paraId="04E13657">
      <w:pPr>
        <w:pStyle w:val="56"/>
        <w:spacing w:line="360" w:lineRule="auto"/>
        <w:ind w:firstLine="420"/>
      </w:pPr>
      <w:r>
        <w:rPr>
          <w:rFonts w:hint="eastAsia"/>
        </w:rPr>
        <w:t>b）长时间固定不变；</w:t>
      </w:r>
    </w:p>
    <w:p w14:paraId="4EEE4DD1">
      <w:pPr>
        <w:pStyle w:val="56"/>
        <w:spacing w:line="360" w:lineRule="auto"/>
        <w:ind w:firstLine="420"/>
      </w:pPr>
      <w:r>
        <w:rPr>
          <w:rFonts w:hint="eastAsia"/>
        </w:rPr>
        <w:t>c）短时间剧烈跳变且无现场依据；</w:t>
      </w:r>
    </w:p>
    <w:p w14:paraId="272C3D31">
      <w:pPr>
        <w:pStyle w:val="56"/>
        <w:spacing w:line="360" w:lineRule="auto"/>
        <w:ind w:firstLine="420"/>
      </w:pPr>
      <w:r>
        <w:rPr>
          <w:rFonts w:hint="eastAsia"/>
        </w:rPr>
        <w:t>d）与上下游关系明显矛盾；</w:t>
      </w:r>
    </w:p>
    <w:p w14:paraId="67345AB6">
      <w:pPr>
        <w:pStyle w:val="56"/>
        <w:spacing w:line="360" w:lineRule="auto"/>
        <w:ind w:firstLine="420"/>
      </w:pPr>
      <w:r>
        <w:rPr>
          <w:rFonts w:hint="eastAsia"/>
        </w:rPr>
        <w:t>e）与视频、水位、流量或者施工状态明显不符；</w:t>
      </w:r>
    </w:p>
    <w:p w14:paraId="73AD54FF">
      <w:pPr>
        <w:pStyle w:val="56"/>
        <w:spacing w:line="360" w:lineRule="auto"/>
        <w:ind w:firstLine="420"/>
      </w:pPr>
      <w:r>
        <w:rPr>
          <w:rFonts w:hint="eastAsia"/>
        </w:rPr>
        <w:t>f）设备处于异常状态期间产生的数据。</w:t>
      </w:r>
    </w:p>
    <w:p w14:paraId="0D177995">
      <w:pPr>
        <w:pStyle w:val="164"/>
        <w:spacing w:line="360" w:lineRule="auto"/>
      </w:pPr>
      <w:r>
        <w:rPr>
          <w:rFonts w:hint="eastAsia"/>
        </w:rPr>
        <w:t>异常数据未经核查，不得直接纳入正式趋势分析和正式预警考核。</w:t>
      </w:r>
    </w:p>
    <w:p w14:paraId="634291BD">
      <w:pPr>
        <w:pStyle w:val="105"/>
        <w:spacing w:before="120" w:after="120" w:line="360" w:lineRule="auto"/>
      </w:pPr>
      <w:r>
        <w:rPr>
          <w:rFonts w:hint="eastAsia"/>
        </w:rPr>
        <w:t>数据审核要求</w:t>
      </w:r>
    </w:p>
    <w:p w14:paraId="0D992D40">
      <w:pPr>
        <w:pStyle w:val="65"/>
        <w:spacing w:before="120" w:after="120" w:line="360" w:lineRule="auto"/>
      </w:pPr>
      <w:r>
        <w:rPr>
          <w:rFonts w:hint="eastAsia"/>
        </w:rPr>
        <w:t>一般要求</w:t>
      </w:r>
    </w:p>
    <w:p w14:paraId="18254376">
      <w:pPr>
        <w:pStyle w:val="164"/>
        <w:spacing w:line="360" w:lineRule="auto"/>
      </w:pPr>
      <w:r>
        <w:rPr>
          <w:rFonts w:hint="eastAsia"/>
        </w:rPr>
        <w:t>监测数据应建立审核机制。</w:t>
      </w:r>
    </w:p>
    <w:p w14:paraId="6C7C55BC">
      <w:pPr>
        <w:pStyle w:val="164"/>
        <w:spacing w:line="360" w:lineRule="auto"/>
      </w:pPr>
      <w:r>
        <w:rPr>
          <w:rFonts w:hint="eastAsia"/>
        </w:rPr>
        <w:t>数据审核应包括自动审核和人工审核。</w:t>
      </w:r>
    </w:p>
    <w:p w14:paraId="7498CBBC">
      <w:pPr>
        <w:pStyle w:val="164"/>
        <w:spacing w:line="360" w:lineRule="auto"/>
      </w:pPr>
      <w:r>
        <w:rPr>
          <w:rFonts w:hint="eastAsia"/>
        </w:rPr>
        <w:t>自动审核宜作为初筛手段，人工审核宜作为复核和异常判定手段。</w:t>
      </w:r>
    </w:p>
    <w:p w14:paraId="6467DFC3">
      <w:pPr>
        <w:pStyle w:val="65"/>
        <w:spacing w:before="120" w:after="120" w:line="360" w:lineRule="auto"/>
      </w:pPr>
      <w:r>
        <w:rPr>
          <w:rFonts w:hint="eastAsia"/>
        </w:rPr>
        <w:t>审核内容</w:t>
      </w:r>
    </w:p>
    <w:p w14:paraId="21BEFE2F">
      <w:pPr>
        <w:pStyle w:val="164"/>
        <w:spacing w:line="360" w:lineRule="auto"/>
      </w:pPr>
      <w:r>
        <w:rPr>
          <w:rFonts w:hint="eastAsia"/>
        </w:rPr>
        <w:t>数据审核宜至少包括下列内容：</w:t>
      </w:r>
    </w:p>
    <w:p w14:paraId="310B8156">
      <w:pPr>
        <w:pStyle w:val="56"/>
        <w:spacing w:line="360" w:lineRule="auto"/>
        <w:ind w:firstLine="420"/>
      </w:pPr>
      <w:r>
        <w:rPr>
          <w:rFonts w:hint="eastAsia"/>
        </w:rPr>
        <w:t>a）时间连续性；</w:t>
      </w:r>
    </w:p>
    <w:p w14:paraId="216D8CE5">
      <w:pPr>
        <w:pStyle w:val="56"/>
        <w:spacing w:line="360" w:lineRule="auto"/>
        <w:ind w:firstLine="420"/>
      </w:pPr>
      <w:r>
        <w:rPr>
          <w:rFonts w:hint="eastAsia"/>
        </w:rPr>
        <w:t>b）设备状态一致性；</w:t>
      </w:r>
    </w:p>
    <w:p w14:paraId="02C30011">
      <w:pPr>
        <w:pStyle w:val="56"/>
        <w:spacing w:line="360" w:lineRule="auto"/>
        <w:ind w:firstLine="420"/>
      </w:pPr>
      <w:r>
        <w:rPr>
          <w:rFonts w:hint="eastAsia"/>
        </w:rPr>
        <w:t>c）指标变化合理性；</w:t>
      </w:r>
    </w:p>
    <w:p w14:paraId="0DE63B9C">
      <w:pPr>
        <w:pStyle w:val="56"/>
        <w:spacing w:line="360" w:lineRule="auto"/>
        <w:ind w:firstLine="420"/>
      </w:pPr>
      <w:r>
        <w:rPr>
          <w:rFonts w:hint="eastAsia"/>
        </w:rPr>
        <w:t>d）上下游关系合理性；</w:t>
      </w:r>
    </w:p>
    <w:p w14:paraId="54898253">
      <w:pPr>
        <w:pStyle w:val="56"/>
        <w:spacing w:line="360" w:lineRule="auto"/>
        <w:ind w:firstLine="420"/>
      </w:pPr>
      <w:r>
        <w:rPr>
          <w:rFonts w:hint="eastAsia"/>
        </w:rPr>
        <w:t>e）同类点位对比情况；</w:t>
      </w:r>
    </w:p>
    <w:p w14:paraId="3A5992E7">
      <w:pPr>
        <w:pStyle w:val="56"/>
        <w:spacing w:line="360" w:lineRule="auto"/>
        <w:ind w:firstLine="420"/>
      </w:pPr>
      <w:r>
        <w:rPr>
          <w:rFonts w:hint="eastAsia"/>
        </w:rPr>
        <w:t>f）施工工况关联性；</w:t>
      </w:r>
    </w:p>
    <w:p w14:paraId="620BD408">
      <w:pPr>
        <w:pStyle w:val="56"/>
        <w:spacing w:line="360" w:lineRule="auto"/>
        <w:ind w:firstLine="420"/>
      </w:pPr>
      <w:r>
        <w:rPr>
          <w:rFonts w:hint="eastAsia"/>
        </w:rPr>
        <w:t>g）预警触发合理性。</w:t>
      </w:r>
    </w:p>
    <w:p w14:paraId="6CDE273F">
      <w:pPr>
        <w:pStyle w:val="164"/>
        <w:spacing w:line="360" w:lineRule="auto"/>
      </w:pPr>
      <w:r>
        <w:rPr>
          <w:rFonts w:hint="eastAsia"/>
        </w:rPr>
        <w:t>审核发现异常时，应及时转入核查或者处置流程。</w:t>
      </w:r>
    </w:p>
    <w:p w14:paraId="1B4BB18A">
      <w:pPr>
        <w:pStyle w:val="105"/>
        <w:spacing w:before="120" w:after="120" w:line="360" w:lineRule="auto"/>
      </w:pPr>
      <w:r>
        <w:rPr>
          <w:rFonts w:hint="eastAsia"/>
        </w:rPr>
        <w:t>数据存储与留痕要求</w:t>
      </w:r>
    </w:p>
    <w:p w14:paraId="5D0CB1E9">
      <w:pPr>
        <w:pStyle w:val="65"/>
        <w:spacing w:before="120" w:after="120" w:line="360" w:lineRule="auto"/>
      </w:pPr>
      <w:r>
        <w:rPr>
          <w:rFonts w:hint="eastAsia"/>
        </w:rPr>
        <w:t>一般要求</w:t>
      </w:r>
    </w:p>
    <w:p w14:paraId="1315471B">
      <w:pPr>
        <w:pStyle w:val="164"/>
        <w:spacing w:line="360" w:lineRule="auto"/>
      </w:pPr>
      <w:r>
        <w:rPr>
          <w:rFonts w:hint="eastAsia"/>
        </w:rPr>
        <w:t>数据平台应对原始数据、审核数据、异常标记数据和预警数据分类存储。</w:t>
      </w:r>
    </w:p>
    <w:p w14:paraId="163C88FB">
      <w:pPr>
        <w:pStyle w:val="164"/>
        <w:spacing w:line="360" w:lineRule="auto"/>
      </w:pPr>
      <w:r>
        <w:rPr>
          <w:rFonts w:hint="eastAsia"/>
        </w:rPr>
        <w:t>数据留痕应覆盖采集、传输、接收、审核、修改标记、预警触发和处置反馈全过程。</w:t>
      </w:r>
    </w:p>
    <w:p w14:paraId="12055F87">
      <w:pPr>
        <w:pStyle w:val="65"/>
        <w:spacing w:before="120" w:after="120" w:line="360" w:lineRule="auto"/>
      </w:pPr>
      <w:r>
        <w:rPr>
          <w:rFonts w:hint="eastAsia"/>
        </w:rPr>
        <w:t>控制要求</w:t>
      </w:r>
    </w:p>
    <w:p w14:paraId="57F0EB0C">
      <w:pPr>
        <w:pStyle w:val="164"/>
        <w:spacing w:line="360" w:lineRule="auto"/>
      </w:pPr>
      <w:r>
        <w:rPr>
          <w:rFonts w:hint="eastAsia"/>
        </w:rPr>
        <w:t>原始数据不得直接覆盖。</w:t>
      </w:r>
    </w:p>
    <w:p w14:paraId="5CDFEE1C">
      <w:pPr>
        <w:pStyle w:val="164"/>
        <w:spacing w:line="360" w:lineRule="auto"/>
      </w:pPr>
      <w:r>
        <w:rPr>
          <w:rFonts w:hint="eastAsia"/>
        </w:rPr>
        <w:t>对异常数据进行标记、剔除或者说明时，应保留处理痕迹和责任信息。</w:t>
      </w:r>
    </w:p>
    <w:p w14:paraId="4968F4EF">
      <w:pPr>
        <w:pStyle w:val="164"/>
        <w:spacing w:line="360" w:lineRule="auto"/>
      </w:pPr>
      <w:r>
        <w:rPr>
          <w:rFonts w:hint="eastAsia"/>
        </w:rPr>
        <w:t>数据存储与调用应满足权限管理和安全管理要求。</w:t>
      </w:r>
    </w:p>
    <w:p w14:paraId="5F98ED11">
      <w:pPr>
        <w:pStyle w:val="105"/>
        <w:spacing w:before="120" w:after="120" w:line="360" w:lineRule="auto"/>
      </w:pPr>
      <w:r>
        <w:rPr>
          <w:rFonts w:hint="eastAsia"/>
        </w:rPr>
        <w:t>数据采集与传输要点</w:t>
      </w:r>
    </w:p>
    <w:p w14:paraId="059A62AD">
      <w:pPr>
        <w:pStyle w:val="56"/>
        <w:spacing w:line="360" w:lineRule="auto"/>
        <w:ind w:firstLine="420"/>
      </w:pPr>
      <w:r>
        <w:rPr>
          <w:rFonts w:hint="eastAsia"/>
        </w:rPr>
        <w:t>数据采集与传输的主要内容见表3。表3给出了施工期水环境在线监测数据采集与传输的主要内容及控制要点。</w:t>
      </w:r>
    </w:p>
    <w:p w14:paraId="7B6D708D">
      <w:pPr>
        <w:pStyle w:val="112"/>
        <w:spacing w:before="120" w:after="120" w:line="360" w:lineRule="auto"/>
      </w:pPr>
      <w:r>
        <w:rPr>
          <w:rFonts w:hint="eastAsia"/>
        </w:rPr>
        <w:t>施工期水环境在线监测数据采集与传输要点表</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975"/>
        <w:gridCol w:w="3969"/>
        <w:gridCol w:w="3390"/>
      </w:tblGrid>
      <w:tr w14:paraId="3FCB3B1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1975" w:type="dxa"/>
            <w:tcBorders>
              <w:top w:val="single" w:color="auto" w:sz="8" w:space="0"/>
              <w:bottom w:val="single" w:color="auto" w:sz="8" w:space="0"/>
            </w:tcBorders>
          </w:tcPr>
          <w:p w14:paraId="6C5B1FB5">
            <w:pPr>
              <w:pStyle w:val="178"/>
            </w:pPr>
            <w:r>
              <w:rPr>
                <w:rFonts w:hint="eastAsia"/>
              </w:rPr>
              <w:t>工作类别</w:t>
            </w:r>
          </w:p>
        </w:tc>
        <w:tc>
          <w:tcPr>
            <w:tcW w:w="3969" w:type="dxa"/>
            <w:tcBorders>
              <w:top w:val="single" w:color="auto" w:sz="8" w:space="0"/>
              <w:bottom w:val="single" w:color="auto" w:sz="8" w:space="0"/>
            </w:tcBorders>
          </w:tcPr>
          <w:p w14:paraId="7EDC626E">
            <w:pPr>
              <w:pStyle w:val="178"/>
            </w:pPr>
            <w:r>
              <w:rPr>
                <w:rFonts w:hint="eastAsia"/>
              </w:rPr>
              <w:t>主要内容</w:t>
            </w:r>
          </w:p>
        </w:tc>
        <w:tc>
          <w:tcPr>
            <w:tcW w:w="3390" w:type="dxa"/>
            <w:tcBorders>
              <w:top w:val="single" w:color="auto" w:sz="8" w:space="0"/>
              <w:bottom w:val="single" w:color="auto" w:sz="8" w:space="0"/>
            </w:tcBorders>
          </w:tcPr>
          <w:p w14:paraId="67B90394">
            <w:pPr>
              <w:pStyle w:val="178"/>
            </w:pPr>
            <w:r>
              <w:rPr>
                <w:rFonts w:hint="eastAsia"/>
              </w:rPr>
              <w:t>控制要点</w:t>
            </w:r>
          </w:p>
        </w:tc>
      </w:tr>
      <w:tr w14:paraId="6E1B386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975" w:type="dxa"/>
            <w:tcBorders>
              <w:top w:val="single" w:color="auto" w:sz="8" w:space="0"/>
            </w:tcBorders>
          </w:tcPr>
          <w:p w14:paraId="72A640D5">
            <w:pPr>
              <w:pStyle w:val="178"/>
            </w:pPr>
            <w:r>
              <w:rPr>
                <w:rFonts w:hint="eastAsia"/>
              </w:rPr>
              <w:t>数据采集</w:t>
            </w:r>
          </w:p>
        </w:tc>
        <w:tc>
          <w:tcPr>
            <w:tcW w:w="3969" w:type="dxa"/>
            <w:tcBorders>
              <w:top w:val="single" w:color="auto" w:sz="8" w:space="0"/>
            </w:tcBorders>
          </w:tcPr>
          <w:p w14:paraId="6F123206">
            <w:pPr>
              <w:pStyle w:val="178"/>
            </w:pPr>
            <w:r>
              <w:rPr>
                <w:rFonts w:hint="eastAsia"/>
              </w:rPr>
              <w:t>指标数据、状态数据、时间数据</w:t>
            </w:r>
          </w:p>
        </w:tc>
        <w:tc>
          <w:tcPr>
            <w:tcW w:w="3390" w:type="dxa"/>
            <w:tcBorders>
              <w:top w:val="single" w:color="auto" w:sz="8" w:space="0"/>
            </w:tcBorders>
          </w:tcPr>
          <w:p w14:paraId="2815F9C1">
            <w:pPr>
              <w:pStyle w:val="178"/>
            </w:pPr>
            <w:r>
              <w:rPr>
                <w:rFonts w:hint="eastAsia"/>
              </w:rPr>
              <w:t>采集连续、时间准确、状态可识别</w:t>
            </w:r>
          </w:p>
        </w:tc>
      </w:tr>
      <w:tr w14:paraId="506B018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975" w:type="dxa"/>
          </w:tcPr>
          <w:p w14:paraId="254FB8B6">
            <w:pPr>
              <w:pStyle w:val="178"/>
            </w:pPr>
            <w:r>
              <w:rPr>
                <w:rFonts w:hint="eastAsia"/>
              </w:rPr>
              <w:t>数据传输</w:t>
            </w:r>
          </w:p>
        </w:tc>
        <w:tc>
          <w:tcPr>
            <w:tcW w:w="3969" w:type="dxa"/>
          </w:tcPr>
          <w:p w14:paraId="7E6DEA2A">
            <w:pPr>
              <w:pStyle w:val="178"/>
            </w:pPr>
            <w:r>
              <w:rPr>
                <w:rFonts w:hint="eastAsia"/>
              </w:rPr>
              <w:t>实时上传、缓存补传、异常告警</w:t>
            </w:r>
          </w:p>
        </w:tc>
        <w:tc>
          <w:tcPr>
            <w:tcW w:w="3390" w:type="dxa"/>
          </w:tcPr>
          <w:p w14:paraId="59BD5B78">
            <w:pPr>
              <w:pStyle w:val="178"/>
            </w:pPr>
            <w:r>
              <w:rPr>
                <w:rFonts w:hint="eastAsia"/>
              </w:rPr>
              <w:t>链路稳定、断点可补、过程可查</w:t>
            </w:r>
          </w:p>
        </w:tc>
      </w:tr>
      <w:tr w14:paraId="02A7E17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975" w:type="dxa"/>
          </w:tcPr>
          <w:p w14:paraId="342595D2">
            <w:pPr>
              <w:pStyle w:val="178"/>
            </w:pPr>
            <w:r>
              <w:rPr>
                <w:rFonts w:hint="eastAsia"/>
              </w:rPr>
              <w:t>完整性检查</w:t>
            </w:r>
          </w:p>
        </w:tc>
        <w:tc>
          <w:tcPr>
            <w:tcW w:w="3969" w:type="dxa"/>
          </w:tcPr>
          <w:p w14:paraId="20F1589B">
            <w:pPr>
              <w:pStyle w:val="178"/>
            </w:pPr>
            <w:r>
              <w:rPr>
                <w:rFonts w:hint="eastAsia"/>
              </w:rPr>
              <w:t>缺失、断档、重复、错序</w:t>
            </w:r>
          </w:p>
        </w:tc>
        <w:tc>
          <w:tcPr>
            <w:tcW w:w="3390" w:type="dxa"/>
          </w:tcPr>
          <w:p w14:paraId="65E0F871">
            <w:pPr>
              <w:pStyle w:val="178"/>
            </w:pPr>
            <w:r>
              <w:rPr>
                <w:rFonts w:hint="eastAsia"/>
              </w:rPr>
              <w:t>发现异常应及时标识和分析</w:t>
            </w:r>
          </w:p>
        </w:tc>
      </w:tr>
      <w:tr w14:paraId="7DD7D81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975" w:type="dxa"/>
          </w:tcPr>
          <w:p w14:paraId="7D825B76">
            <w:pPr>
              <w:pStyle w:val="178"/>
            </w:pPr>
            <w:r>
              <w:rPr>
                <w:rFonts w:hint="eastAsia"/>
              </w:rPr>
              <w:t>有效性判别</w:t>
            </w:r>
          </w:p>
        </w:tc>
        <w:tc>
          <w:tcPr>
            <w:tcW w:w="3969" w:type="dxa"/>
          </w:tcPr>
          <w:p w14:paraId="0CFBC305">
            <w:pPr>
              <w:pStyle w:val="178"/>
            </w:pPr>
            <w:r>
              <w:rPr>
                <w:rFonts w:hint="eastAsia"/>
              </w:rPr>
              <w:t>跳变、失真、固定值、逻辑异常</w:t>
            </w:r>
          </w:p>
        </w:tc>
        <w:tc>
          <w:tcPr>
            <w:tcW w:w="3390" w:type="dxa"/>
          </w:tcPr>
          <w:p w14:paraId="317558AE">
            <w:pPr>
              <w:pStyle w:val="178"/>
            </w:pPr>
            <w:r>
              <w:rPr>
                <w:rFonts w:hint="eastAsia"/>
              </w:rPr>
              <w:t>异常数据不得直接用于正式判断</w:t>
            </w:r>
          </w:p>
        </w:tc>
      </w:tr>
      <w:tr w14:paraId="0E73685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975" w:type="dxa"/>
          </w:tcPr>
          <w:p w14:paraId="5C89ABC4">
            <w:pPr>
              <w:pStyle w:val="178"/>
            </w:pPr>
            <w:r>
              <w:rPr>
                <w:rFonts w:hint="eastAsia"/>
              </w:rPr>
              <w:t>数据审核</w:t>
            </w:r>
          </w:p>
        </w:tc>
        <w:tc>
          <w:tcPr>
            <w:tcW w:w="3969" w:type="dxa"/>
          </w:tcPr>
          <w:p w14:paraId="288F6E13">
            <w:pPr>
              <w:pStyle w:val="178"/>
            </w:pPr>
            <w:r>
              <w:rPr>
                <w:rFonts w:hint="eastAsia"/>
              </w:rPr>
              <w:t>自动审核、人工复核</w:t>
            </w:r>
          </w:p>
        </w:tc>
        <w:tc>
          <w:tcPr>
            <w:tcW w:w="3390" w:type="dxa"/>
          </w:tcPr>
          <w:p w14:paraId="217E89A6">
            <w:pPr>
              <w:pStyle w:val="178"/>
            </w:pPr>
            <w:r>
              <w:rPr>
                <w:rFonts w:hint="eastAsia"/>
              </w:rPr>
              <w:t>自动初筛、人工复判、异常转办</w:t>
            </w:r>
          </w:p>
        </w:tc>
      </w:tr>
      <w:tr w14:paraId="74EA1E9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975" w:type="dxa"/>
          </w:tcPr>
          <w:p w14:paraId="7C77A76D">
            <w:pPr>
              <w:pStyle w:val="178"/>
            </w:pPr>
            <w:r>
              <w:rPr>
                <w:rFonts w:hint="eastAsia"/>
              </w:rPr>
              <w:t>数据留痕</w:t>
            </w:r>
          </w:p>
        </w:tc>
        <w:tc>
          <w:tcPr>
            <w:tcW w:w="3969" w:type="dxa"/>
          </w:tcPr>
          <w:p w14:paraId="155EF32A">
            <w:pPr>
              <w:pStyle w:val="178"/>
            </w:pPr>
            <w:r>
              <w:rPr>
                <w:rFonts w:hint="eastAsia"/>
              </w:rPr>
              <w:t>原始数据、处理痕迹、责任信息</w:t>
            </w:r>
          </w:p>
        </w:tc>
        <w:tc>
          <w:tcPr>
            <w:tcW w:w="3390" w:type="dxa"/>
          </w:tcPr>
          <w:p w14:paraId="76A361C1">
            <w:pPr>
              <w:pStyle w:val="178"/>
            </w:pPr>
            <w:r>
              <w:rPr>
                <w:rFonts w:hint="eastAsia"/>
              </w:rPr>
              <w:t>原始数据不覆盖、处理过程可追溯</w:t>
            </w:r>
          </w:p>
        </w:tc>
      </w:tr>
    </w:tbl>
    <w:p w14:paraId="31D71ACF">
      <w:pPr>
        <w:pStyle w:val="105"/>
        <w:spacing w:before="120" w:after="120" w:line="360" w:lineRule="auto"/>
      </w:pPr>
      <w:r>
        <w:rPr>
          <w:rFonts w:hint="eastAsia"/>
        </w:rPr>
        <w:t>禁止性要求</w:t>
      </w:r>
    </w:p>
    <w:p w14:paraId="51F74C45">
      <w:pPr>
        <w:pStyle w:val="165"/>
        <w:spacing w:line="360" w:lineRule="auto"/>
      </w:pPr>
      <w:r>
        <w:rPr>
          <w:rFonts w:hint="eastAsia"/>
        </w:rPr>
        <w:t>不得在采集频率不足、时间不同步或者状态标识缺失的情况下认定数据有效。</w:t>
      </w:r>
    </w:p>
    <w:p w14:paraId="0966CAE6">
      <w:pPr>
        <w:pStyle w:val="165"/>
        <w:spacing w:line="360" w:lineRule="auto"/>
      </w:pPr>
      <w:r>
        <w:rPr>
          <w:rFonts w:hint="eastAsia"/>
        </w:rPr>
        <w:t>不得在数据传输中断、长期断档或者大量重复上传的情况下长期不处理。</w:t>
      </w:r>
    </w:p>
    <w:p w14:paraId="798E195D">
      <w:pPr>
        <w:pStyle w:val="165"/>
        <w:spacing w:line="360" w:lineRule="auto"/>
      </w:pPr>
      <w:r>
        <w:rPr>
          <w:rFonts w:hint="eastAsia"/>
        </w:rPr>
        <w:t>不得随意删除原始数据、覆盖异常数据或者人工修改正式监测值而不留痕。</w:t>
      </w:r>
    </w:p>
    <w:p w14:paraId="72F7F59A">
      <w:pPr>
        <w:pStyle w:val="165"/>
        <w:spacing w:line="360" w:lineRule="auto"/>
      </w:pPr>
      <w:r>
        <w:rPr>
          <w:rFonts w:hint="eastAsia"/>
        </w:rPr>
        <w:t>不得将未审核数据和明显失真数据直接用于正式预警和正式考核。</w:t>
      </w:r>
    </w:p>
    <w:p w14:paraId="7259FD1A">
      <w:pPr>
        <w:pStyle w:val="165"/>
        <w:spacing w:line="360" w:lineRule="auto"/>
      </w:pPr>
      <w:r>
        <w:rPr>
          <w:rFonts w:hint="eastAsia"/>
        </w:rPr>
        <w:t>不得在数据平台无缓存、无补传、无日志的情况下长期运行正式在线监测系统。</w:t>
      </w:r>
    </w:p>
    <w:p w14:paraId="46103314">
      <w:pPr>
        <w:pStyle w:val="104"/>
        <w:spacing w:before="240" w:after="240" w:line="360" w:lineRule="auto"/>
      </w:pPr>
      <w:bookmarkStart w:id="55" w:name="_Toc228609192"/>
      <w:r>
        <w:rPr>
          <w:rFonts w:hint="eastAsia"/>
        </w:rPr>
        <w:t>预警管理要求</w:t>
      </w:r>
      <w:bookmarkEnd w:id="55"/>
    </w:p>
    <w:p w14:paraId="6CF1310C">
      <w:pPr>
        <w:pStyle w:val="105"/>
        <w:spacing w:before="120" w:after="120" w:line="360" w:lineRule="auto"/>
      </w:pPr>
      <w:r>
        <w:rPr>
          <w:rFonts w:hint="eastAsia"/>
        </w:rPr>
        <w:t>一般要求</w:t>
      </w:r>
    </w:p>
    <w:p w14:paraId="49FB362C">
      <w:pPr>
        <w:pStyle w:val="165"/>
        <w:spacing w:line="360" w:lineRule="auto"/>
      </w:pPr>
      <w:r>
        <w:rPr>
          <w:rFonts w:hint="eastAsia"/>
        </w:rPr>
        <w:t>水利工程施工期水环境在线监测系统应建立预警管理机制。</w:t>
      </w:r>
    </w:p>
    <w:p w14:paraId="2AE465EA">
      <w:pPr>
        <w:pStyle w:val="165"/>
        <w:spacing w:line="360" w:lineRule="auto"/>
      </w:pPr>
      <w:r>
        <w:rPr>
          <w:rFonts w:hint="eastAsia"/>
        </w:rPr>
        <w:t>预警管理应以监测数据、设备状态、视频信息、施工工况、气象水文条件和历史异常情况为基础开展。</w:t>
      </w:r>
    </w:p>
    <w:p w14:paraId="3A3F1EAB">
      <w:pPr>
        <w:pStyle w:val="165"/>
        <w:spacing w:line="360" w:lineRule="auto"/>
      </w:pPr>
      <w:r>
        <w:rPr>
          <w:rFonts w:hint="eastAsia"/>
        </w:rPr>
        <w:t>预警管理应坚持及时发现、分级响应、快速核查、精准处置和闭环销项的原则。</w:t>
      </w:r>
    </w:p>
    <w:p w14:paraId="61C85537">
      <w:pPr>
        <w:pStyle w:val="165"/>
        <w:spacing w:line="360" w:lineRule="auto"/>
      </w:pPr>
      <w:r>
        <w:rPr>
          <w:rFonts w:hint="eastAsia"/>
        </w:rPr>
        <w:t>预警管理不得仅依赖单一指标、单一时点数据或者单一设备状态作出最终判断。</w:t>
      </w:r>
    </w:p>
    <w:p w14:paraId="2C7C1441">
      <w:pPr>
        <w:pStyle w:val="165"/>
        <w:spacing w:line="360" w:lineRule="auto"/>
      </w:pPr>
      <w:r>
        <w:rPr>
          <w:rFonts w:hint="eastAsia"/>
        </w:rPr>
        <w:t>对敏感水域、重点排放口、重点施工区和异常高发区，应提高预警灵敏度和响应等级。</w:t>
      </w:r>
    </w:p>
    <w:p w14:paraId="4E699249">
      <w:pPr>
        <w:pStyle w:val="105"/>
        <w:spacing w:before="120" w:after="120" w:line="360" w:lineRule="auto"/>
      </w:pPr>
      <w:r>
        <w:rPr>
          <w:rFonts w:hint="eastAsia"/>
        </w:rPr>
        <w:t>预警类型要求</w:t>
      </w:r>
    </w:p>
    <w:p w14:paraId="3EA25D32">
      <w:pPr>
        <w:pStyle w:val="65"/>
        <w:spacing w:before="120" w:after="120" w:line="360" w:lineRule="auto"/>
      </w:pPr>
      <w:r>
        <w:rPr>
          <w:rFonts w:hint="eastAsia"/>
        </w:rPr>
        <w:t>一般要求</w:t>
      </w:r>
    </w:p>
    <w:p w14:paraId="65153B80">
      <w:pPr>
        <w:pStyle w:val="164"/>
        <w:spacing w:line="360" w:lineRule="auto"/>
      </w:pPr>
      <w:r>
        <w:rPr>
          <w:rFonts w:hint="eastAsia"/>
        </w:rPr>
        <w:t>施工期水环境预警宜根据来源和性质分为水质异常预警、排放异常预警、设备异常预警、趋势异常预警和综合风险预警。</w:t>
      </w:r>
    </w:p>
    <w:p w14:paraId="4837FE7B">
      <w:pPr>
        <w:pStyle w:val="164"/>
        <w:spacing w:line="360" w:lineRule="auto"/>
      </w:pPr>
      <w:r>
        <w:rPr>
          <w:rFonts w:hint="eastAsia"/>
        </w:rPr>
        <w:t>不同类型预警应分别明确触发条件、核查要求、处置责任和升级规则。</w:t>
      </w:r>
    </w:p>
    <w:p w14:paraId="27F7ED5A">
      <w:pPr>
        <w:pStyle w:val="65"/>
        <w:spacing w:before="120" w:after="120" w:line="360" w:lineRule="auto"/>
      </w:pPr>
      <w:r>
        <w:rPr>
          <w:rFonts w:hint="eastAsia"/>
        </w:rPr>
        <w:t>水质异常预警</w:t>
      </w:r>
    </w:p>
    <w:p w14:paraId="18610BBE">
      <w:pPr>
        <w:pStyle w:val="164"/>
        <w:spacing w:line="360" w:lineRule="auto"/>
      </w:pPr>
      <w:r>
        <w:rPr>
          <w:rFonts w:hint="eastAsia"/>
        </w:rPr>
        <w:t>水质异常预警适用于监测指标值超过预警阈值、连续异常波动或者与背景值偏离明显的情形。</w:t>
      </w:r>
    </w:p>
    <w:p w14:paraId="13D6A036">
      <w:pPr>
        <w:pStyle w:val="164"/>
        <w:spacing w:line="360" w:lineRule="auto"/>
      </w:pPr>
      <w:r>
        <w:rPr>
          <w:rFonts w:hint="eastAsia"/>
        </w:rPr>
        <w:t>水质异常预警应重点关注施工废水排放影响区、敏感水域和下游评价断面。</w:t>
      </w:r>
    </w:p>
    <w:p w14:paraId="701286EC">
      <w:pPr>
        <w:pStyle w:val="164"/>
        <w:numPr>
          <w:ilvl w:val="0"/>
          <w:numId w:val="0"/>
        </w:numPr>
        <w:spacing w:line="360" w:lineRule="auto"/>
      </w:pPr>
    </w:p>
    <w:p w14:paraId="16026A24">
      <w:pPr>
        <w:pStyle w:val="164"/>
        <w:numPr>
          <w:ilvl w:val="0"/>
          <w:numId w:val="0"/>
        </w:numPr>
        <w:spacing w:line="360" w:lineRule="auto"/>
        <w:rPr>
          <w:rFonts w:hint="eastAsia"/>
        </w:rPr>
      </w:pPr>
    </w:p>
    <w:p w14:paraId="6E83937A">
      <w:pPr>
        <w:pStyle w:val="65"/>
        <w:spacing w:before="120" w:after="120" w:line="360" w:lineRule="auto"/>
      </w:pPr>
      <w:r>
        <w:rPr>
          <w:rFonts w:hint="eastAsia"/>
        </w:rPr>
        <w:t>排放异常预警</w:t>
      </w:r>
    </w:p>
    <w:p w14:paraId="2C602354">
      <w:pPr>
        <w:pStyle w:val="164"/>
        <w:spacing w:line="360" w:lineRule="auto"/>
      </w:pPr>
      <w:r>
        <w:rPr>
          <w:rFonts w:hint="eastAsia"/>
        </w:rPr>
        <w:t>排放异常预警适用于施工废水排放口、基坑排水口、洞室排水口和其他集中排水节点出现异常排放、水量突增、污染特征加重或者处理设施异常运行的情形。</w:t>
      </w:r>
    </w:p>
    <w:p w14:paraId="2825416A">
      <w:pPr>
        <w:pStyle w:val="164"/>
        <w:spacing w:line="360" w:lineRule="auto"/>
      </w:pPr>
      <w:r>
        <w:rPr>
          <w:rFonts w:hint="eastAsia"/>
        </w:rPr>
        <w:t>排放异常预警应与排水设施运行状态和施工工况同步分析。</w:t>
      </w:r>
    </w:p>
    <w:p w14:paraId="3A28E59D">
      <w:pPr>
        <w:pStyle w:val="65"/>
        <w:spacing w:before="120" w:after="120" w:line="360" w:lineRule="auto"/>
      </w:pPr>
      <w:r>
        <w:rPr>
          <w:rFonts w:hint="eastAsia"/>
        </w:rPr>
        <w:t>设备异常预警</w:t>
      </w:r>
    </w:p>
    <w:p w14:paraId="123422AC">
      <w:pPr>
        <w:pStyle w:val="164"/>
        <w:spacing w:line="360" w:lineRule="auto"/>
      </w:pPr>
      <w:r>
        <w:rPr>
          <w:rFonts w:hint="eastAsia"/>
        </w:rPr>
        <w:t>设备异常预警适用于在线监测设备、采样设备、数据采集设备、通信设备和供电设备异常导致监测能力下降或者数据质量失控的情形。</w:t>
      </w:r>
    </w:p>
    <w:p w14:paraId="56CAF7C7">
      <w:pPr>
        <w:pStyle w:val="164"/>
        <w:spacing w:line="360" w:lineRule="auto"/>
      </w:pPr>
      <w:r>
        <w:rPr>
          <w:rFonts w:hint="eastAsia"/>
        </w:rPr>
        <w:t>设备异常预警不得与水质异常预警混同处置。</w:t>
      </w:r>
    </w:p>
    <w:p w14:paraId="14F6DEDB">
      <w:pPr>
        <w:pStyle w:val="65"/>
        <w:spacing w:before="120" w:after="120" w:line="360" w:lineRule="auto"/>
      </w:pPr>
      <w:r>
        <w:rPr>
          <w:rFonts w:hint="eastAsia"/>
        </w:rPr>
        <w:t>趋势异常预警</w:t>
      </w:r>
    </w:p>
    <w:p w14:paraId="16EFFFDB">
      <w:pPr>
        <w:pStyle w:val="164"/>
        <w:spacing w:line="360" w:lineRule="auto"/>
      </w:pPr>
      <w:r>
        <w:rPr>
          <w:rFonts w:hint="eastAsia"/>
        </w:rPr>
        <w:t>趋势异常预警适用于短期数值虽未超过预警阈值，但持续接近阈值、连续恶化、波动放大或者与历史规律明显偏离的情形。</w:t>
      </w:r>
    </w:p>
    <w:p w14:paraId="32888A98">
      <w:pPr>
        <w:pStyle w:val="164"/>
        <w:spacing w:line="360" w:lineRule="auto"/>
      </w:pPr>
      <w:r>
        <w:rPr>
          <w:rFonts w:hint="eastAsia"/>
        </w:rPr>
        <w:t>趋势异常预警应作为提前干预和提前调控的重要依据。</w:t>
      </w:r>
    </w:p>
    <w:p w14:paraId="2EF4CB0A">
      <w:pPr>
        <w:pStyle w:val="65"/>
        <w:spacing w:before="120" w:after="120" w:line="360" w:lineRule="auto"/>
      </w:pPr>
      <w:r>
        <w:rPr>
          <w:rFonts w:hint="eastAsia"/>
        </w:rPr>
        <w:t>综合风险预警</w:t>
      </w:r>
    </w:p>
    <w:p w14:paraId="1D922C26">
      <w:pPr>
        <w:pStyle w:val="164"/>
        <w:spacing w:line="360" w:lineRule="auto"/>
      </w:pPr>
      <w:r>
        <w:rPr>
          <w:rFonts w:hint="eastAsia"/>
        </w:rPr>
        <w:t>综合风险预警适用于水质监测、视频监控、施工进度、雨情水情和现场巡查信息综合显示风险升高的情形。</w:t>
      </w:r>
    </w:p>
    <w:p w14:paraId="246C0B8A">
      <w:pPr>
        <w:pStyle w:val="164"/>
        <w:spacing w:line="360" w:lineRule="auto"/>
      </w:pPr>
      <w:r>
        <w:rPr>
          <w:rFonts w:hint="eastAsia"/>
        </w:rPr>
        <w:t>综合风险预警应重点用于暴雨施工、高浑水排放、弃渣场冲刷风险、围堰区域扰动风险和敏感水域保护风险等场景。</w:t>
      </w:r>
    </w:p>
    <w:p w14:paraId="53A8D029">
      <w:pPr>
        <w:pStyle w:val="105"/>
        <w:spacing w:before="120" w:after="120" w:line="360" w:lineRule="auto"/>
      </w:pPr>
      <w:r>
        <w:rPr>
          <w:rFonts w:hint="eastAsia"/>
        </w:rPr>
        <w:t>预警分级要求</w:t>
      </w:r>
    </w:p>
    <w:p w14:paraId="01A5D869">
      <w:pPr>
        <w:pStyle w:val="65"/>
        <w:spacing w:before="120" w:after="120" w:line="360" w:lineRule="auto"/>
      </w:pPr>
      <w:r>
        <w:rPr>
          <w:rFonts w:hint="eastAsia"/>
        </w:rPr>
        <w:t>一般要求</w:t>
      </w:r>
    </w:p>
    <w:p w14:paraId="0FD8597E">
      <w:pPr>
        <w:pStyle w:val="164"/>
        <w:spacing w:line="360" w:lineRule="auto"/>
      </w:pPr>
      <w:r>
        <w:rPr>
          <w:rFonts w:hint="eastAsia"/>
        </w:rPr>
        <w:t>预警应实行分级管理。</w:t>
      </w:r>
    </w:p>
    <w:p w14:paraId="3623D7BA">
      <w:pPr>
        <w:pStyle w:val="164"/>
        <w:spacing w:line="360" w:lineRule="auto"/>
      </w:pPr>
      <w:r>
        <w:rPr>
          <w:rFonts w:hint="eastAsia"/>
        </w:rPr>
        <w:t>预警等级宜分为一般预警、重要预警和紧急预警。</w:t>
      </w:r>
    </w:p>
    <w:p w14:paraId="6314AAA5">
      <w:pPr>
        <w:pStyle w:val="164"/>
        <w:spacing w:line="360" w:lineRule="auto"/>
      </w:pPr>
      <w:r>
        <w:rPr>
          <w:rFonts w:hint="eastAsia"/>
        </w:rPr>
        <w:t>各等级预警应明确触发标准、报告路径、处置时限和升级条件。</w:t>
      </w:r>
    </w:p>
    <w:p w14:paraId="71E542B8">
      <w:pPr>
        <w:pStyle w:val="65"/>
        <w:spacing w:before="120" w:after="120" w:line="360" w:lineRule="auto"/>
      </w:pPr>
      <w:r>
        <w:rPr>
          <w:rFonts w:hint="eastAsia"/>
        </w:rPr>
        <w:t>分级原则</w:t>
      </w:r>
    </w:p>
    <w:p w14:paraId="6714883F">
      <w:pPr>
        <w:pStyle w:val="164"/>
        <w:spacing w:line="360" w:lineRule="auto"/>
      </w:pPr>
      <w:r>
        <w:rPr>
          <w:rFonts w:hint="eastAsia"/>
        </w:rPr>
        <w:t>预警分级宜综合考虑下列因素：</w:t>
      </w:r>
    </w:p>
    <w:p w14:paraId="6C76BE70">
      <w:pPr>
        <w:pStyle w:val="56"/>
        <w:spacing w:line="360" w:lineRule="auto"/>
        <w:ind w:firstLine="420"/>
      </w:pPr>
      <w:r>
        <w:rPr>
          <w:rFonts w:hint="eastAsia"/>
        </w:rPr>
        <w:t>a）指标超限程度；</w:t>
      </w:r>
    </w:p>
    <w:p w14:paraId="2274B69D">
      <w:pPr>
        <w:pStyle w:val="56"/>
        <w:spacing w:line="360" w:lineRule="auto"/>
        <w:ind w:firstLine="420"/>
      </w:pPr>
      <w:r>
        <w:rPr>
          <w:rFonts w:hint="eastAsia"/>
        </w:rPr>
        <w:t>b）异常持续时间；</w:t>
      </w:r>
    </w:p>
    <w:p w14:paraId="728E7C79">
      <w:pPr>
        <w:pStyle w:val="56"/>
        <w:spacing w:line="360" w:lineRule="auto"/>
        <w:ind w:firstLine="420"/>
      </w:pPr>
      <w:r>
        <w:rPr>
          <w:rFonts w:hint="eastAsia"/>
        </w:rPr>
        <w:t>c）异常影响范围；</w:t>
      </w:r>
    </w:p>
    <w:p w14:paraId="5F4A2D2F">
      <w:pPr>
        <w:pStyle w:val="56"/>
        <w:spacing w:line="360" w:lineRule="auto"/>
        <w:ind w:firstLine="420"/>
      </w:pPr>
      <w:r>
        <w:rPr>
          <w:rFonts w:hint="eastAsia"/>
        </w:rPr>
        <w:t>d）敏感目标受影响程度；</w:t>
      </w:r>
    </w:p>
    <w:p w14:paraId="3BB44E66">
      <w:pPr>
        <w:pStyle w:val="56"/>
        <w:spacing w:line="360" w:lineRule="auto"/>
        <w:ind w:firstLine="420"/>
      </w:pPr>
      <w:r>
        <w:rPr>
          <w:rFonts w:hint="eastAsia"/>
        </w:rPr>
        <w:t>e）施工活动强度；</w:t>
      </w:r>
    </w:p>
    <w:p w14:paraId="0F306F3B">
      <w:pPr>
        <w:pStyle w:val="56"/>
        <w:spacing w:line="360" w:lineRule="auto"/>
        <w:ind w:firstLine="420"/>
      </w:pPr>
      <w:r>
        <w:rPr>
          <w:rFonts w:hint="eastAsia"/>
        </w:rPr>
        <w:t>f）污染风险扩散速度；</w:t>
      </w:r>
    </w:p>
    <w:p w14:paraId="5675D0AD">
      <w:pPr>
        <w:pStyle w:val="56"/>
        <w:spacing w:line="360" w:lineRule="auto"/>
        <w:ind w:firstLine="420"/>
      </w:pPr>
      <w:r>
        <w:rPr>
          <w:rFonts w:hint="eastAsia"/>
        </w:rPr>
        <w:t>g）设备运行状态和数据可信程度。</w:t>
      </w:r>
    </w:p>
    <w:p w14:paraId="485ADC78">
      <w:pPr>
        <w:pStyle w:val="164"/>
        <w:spacing w:line="360" w:lineRule="auto"/>
      </w:pPr>
      <w:r>
        <w:rPr>
          <w:rFonts w:hint="eastAsia"/>
        </w:rPr>
        <w:t>对饮用水水源关联水域、生态敏感区关联水域和跨界影响水域的异常，应从严分级。</w:t>
      </w:r>
    </w:p>
    <w:p w14:paraId="1135D684">
      <w:pPr>
        <w:pStyle w:val="164"/>
        <w:spacing w:line="360" w:lineRule="auto"/>
      </w:pPr>
      <w:r>
        <w:rPr>
          <w:rFonts w:hint="eastAsia"/>
        </w:rPr>
        <w:t>对连续多点同步异常、持续上升趋势异常和极端天气叠加施工扰动异常，应提高预警等级。</w:t>
      </w:r>
    </w:p>
    <w:p w14:paraId="5AD2A01C">
      <w:pPr>
        <w:pStyle w:val="105"/>
        <w:spacing w:before="120" w:after="120" w:line="360" w:lineRule="auto"/>
      </w:pPr>
      <w:r>
        <w:rPr>
          <w:rFonts w:hint="eastAsia"/>
        </w:rPr>
        <w:t>预警阈值要求</w:t>
      </w:r>
    </w:p>
    <w:p w14:paraId="33806D5E">
      <w:pPr>
        <w:pStyle w:val="65"/>
        <w:spacing w:before="120" w:after="120" w:line="360" w:lineRule="auto"/>
      </w:pPr>
      <w:r>
        <w:rPr>
          <w:rFonts w:hint="eastAsia"/>
        </w:rPr>
        <w:t>一般要求</w:t>
      </w:r>
    </w:p>
    <w:p w14:paraId="063749EC">
      <w:pPr>
        <w:pStyle w:val="164"/>
        <w:spacing w:line="360" w:lineRule="auto"/>
      </w:pPr>
      <w:r>
        <w:rPr>
          <w:rFonts w:hint="eastAsia"/>
        </w:rPr>
        <w:t>预警阈值应根据环境功能要求、监管要求、工程控制目标、背景水平和风险容忍度确定。</w:t>
      </w:r>
    </w:p>
    <w:p w14:paraId="48D1369B">
      <w:pPr>
        <w:pStyle w:val="164"/>
        <w:spacing w:line="360" w:lineRule="auto"/>
      </w:pPr>
      <w:r>
        <w:rPr>
          <w:rFonts w:hint="eastAsia"/>
        </w:rPr>
        <w:t>预警阈值可分为提示阈值、控制阈值和紧急阈值。</w:t>
      </w:r>
    </w:p>
    <w:p w14:paraId="3E07C4D0">
      <w:pPr>
        <w:pStyle w:val="164"/>
        <w:spacing w:line="360" w:lineRule="auto"/>
      </w:pPr>
      <w:r>
        <w:rPr>
          <w:rFonts w:hint="eastAsia"/>
        </w:rPr>
        <w:t>预警阈值设置应兼顾科学性、敏感性和可执行性，不得过宽导致预警失效，不得过严导致无效频繁预警。</w:t>
      </w:r>
    </w:p>
    <w:p w14:paraId="2D7163EE">
      <w:pPr>
        <w:pStyle w:val="65"/>
        <w:spacing w:before="120" w:after="120" w:line="360" w:lineRule="auto"/>
      </w:pPr>
      <w:r>
        <w:rPr>
          <w:rFonts w:hint="eastAsia"/>
        </w:rPr>
        <w:t>阈值设置要求</w:t>
      </w:r>
    </w:p>
    <w:p w14:paraId="6D744CEA">
      <w:pPr>
        <w:pStyle w:val="164"/>
        <w:spacing w:line="360" w:lineRule="auto"/>
      </w:pPr>
      <w:r>
        <w:rPr>
          <w:rFonts w:hint="eastAsia"/>
        </w:rPr>
        <w:t>不同点位、不同施工阶段和不同水体类型可设置不同预警阈值。</w:t>
      </w:r>
    </w:p>
    <w:p w14:paraId="1B5DA652">
      <w:pPr>
        <w:pStyle w:val="164"/>
        <w:spacing w:line="360" w:lineRule="auto"/>
      </w:pPr>
      <w:r>
        <w:rPr>
          <w:rFonts w:hint="eastAsia"/>
        </w:rPr>
        <w:t>背景点、控制点、敏感点和排放口的阈值设置应分别考虑其功能定位。</w:t>
      </w:r>
    </w:p>
    <w:p w14:paraId="22FF1F2E">
      <w:pPr>
        <w:pStyle w:val="164"/>
        <w:spacing w:line="360" w:lineRule="auto"/>
      </w:pPr>
      <w:r>
        <w:rPr>
          <w:rFonts w:hint="eastAsia"/>
        </w:rPr>
        <w:t>阈值设置后，应同步纳入平台规则、值班规则和联动处置流程。</w:t>
      </w:r>
    </w:p>
    <w:p w14:paraId="4FE6073F">
      <w:pPr>
        <w:pStyle w:val="65"/>
        <w:spacing w:before="120" w:after="120" w:line="360" w:lineRule="auto"/>
      </w:pPr>
      <w:r>
        <w:rPr>
          <w:rFonts w:hint="eastAsia"/>
        </w:rPr>
        <w:t>阈值调整要求</w:t>
      </w:r>
    </w:p>
    <w:p w14:paraId="08D05493">
      <w:pPr>
        <w:pStyle w:val="164"/>
        <w:spacing w:line="360" w:lineRule="auto"/>
      </w:pPr>
      <w:r>
        <w:rPr>
          <w:rFonts w:hint="eastAsia"/>
        </w:rPr>
        <w:t>出现下列情形之一时，应重新评估预警阈值：</w:t>
      </w:r>
    </w:p>
    <w:p w14:paraId="695AD10A">
      <w:pPr>
        <w:pStyle w:val="56"/>
        <w:spacing w:line="360" w:lineRule="auto"/>
        <w:ind w:firstLine="420"/>
      </w:pPr>
      <w:r>
        <w:rPr>
          <w:rFonts w:hint="eastAsia"/>
        </w:rPr>
        <w:t>a）施工阶段发生明显变化；</w:t>
      </w:r>
    </w:p>
    <w:p w14:paraId="5C12589A">
      <w:pPr>
        <w:pStyle w:val="56"/>
        <w:spacing w:line="360" w:lineRule="auto"/>
        <w:ind w:firstLine="420"/>
      </w:pPr>
      <w:r>
        <w:rPr>
          <w:rFonts w:hint="eastAsia"/>
        </w:rPr>
        <w:t>b）施工工艺发生调整；</w:t>
      </w:r>
    </w:p>
    <w:p w14:paraId="46DE0255">
      <w:pPr>
        <w:pStyle w:val="56"/>
        <w:spacing w:line="360" w:lineRule="auto"/>
        <w:ind w:firstLine="420"/>
      </w:pPr>
      <w:r>
        <w:rPr>
          <w:rFonts w:hint="eastAsia"/>
        </w:rPr>
        <w:t>c）监测点位发生调整；</w:t>
      </w:r>
    </w:p>
    <w:p w14:paraId="4E0C506B">
      <w:pPr>
        <w:pStyle w:val="56"/>
        <w:spacing w:line="360" w:lineRule="auto"/>
        <w:ind w:firstLine="420"/>
      </w:pPr>
      <w:r>
        <w:rPr>
          <w:rFonts w:hint="eastAsia"/>
        </w:rPr>
        <w:t>d）连续出现误报或者漏报；</w:t>
      </w:r>
    </w:p>
    <w:p w14:paraId="4975F508">
      <w:pPr>
        <w:pStyle w:val="56"/>
        <w:spacing w:line="360" w:lineRule="auto"/>
        <w:ind w:firstLine="420"/>
      </w:pPr>
      <w:r>
        <w:rPr>
          <w:rFonts w:hint="eastAsia"/>
        </w:rPr>
        <w:t>e）环境保护目标发生变化；</w:t>
      </w:r>
    </w:p>
    <w:p w14:paraId="038B1496">
      <w:pPr>
        <w:pStyle w:val="56"/>
        <w:spacing w:line="360" w:lineRule="auto"/>
        <w:ind w:firstLine="420"/>
      </w:pPr>
      <w:r>
        <w:rPr>
          <w:rFonts w:hint="eastAsia"/>
        </w:rPr>
        <w:t>f）监管要求发生变化。</w:t>
      </w:r>
    </w:p>
    <w:p w14:paraId="1341B5E3">
      <w:pPr>
        <w:pStyle w:val="164"/>
        <w:spacing w:line="360" w:lineRule="auto"/>
      </w:pPr>
      <w:r>
        <w:rPr>
          <w:rFonts w:hint="eastAsia"/>
        </w:rPr>
        <w:t>阈值调整后，应形成记录并重新发布执行。</w:t>
      </w:r>
    </w:p>
    <w:p w14:paraId="6FE16998">
      <w:pPr>
        <w:pStyle w:val="105"/>
        <w:spacing w:before="120" w:after="120" w:line="360" w:lineRule="auto"/>
      </w:pPr>
      <w:r>
        <w:rPr>
          <w:rFonts w:hint="eastAsia"/>
        </w:rPr>
        <w:t>预警触发要求</w:t>
      </w:r>
    </w:p>
    <w:p w14:paraId="184BF30D">
      <w:pPr>
        <w:pStyle w:val="65"/>
        <w:spacing w:before="120" w:after="120" w:line="360" w:lineRule="auto"/>
      </w:pPr>
      <w:r>
        <w:rPr>
          <w:rFonts w:hint="eastAsia"/>
        </w:rPr>
        <w:t>一般要求</w:t>
      </w:r>
    </w:p>
    <w:p w14:paraId="1066BFF1">
      <w:pPr>
        <w:pStyle w:val="164"/>
        <w:spacing w:line="360" w:lineRule="auto"/>
      </w:pPr>
      <w:r>
        <w:rPr>
          <w:rFonts w:hint="eastAsia"/>
        </w:rPr>
        <w:t>预警触发应基于经系统判别和必要审核的数据实施。</w:t>
      </w:r>
    </w:p>
    <w:p w14:paraId="794AAD85">
      <w:pPr>
        <w:pStyle w:val="164"/>
        <w:spacing w:line="360" w:lineRule="auto"/>
      </w:pPr>
      <w:r>
        <w:rPr>
          <w:rFonts w:hint="eastAsia"/>
        </w:rPr>
        <w:t>预警触发可采用单指标触发、组合指标触发、趋势触发和综合规则触发方式。</w:t>
      </w:r>
    </w:p>
    <w:p w14:paraId="48A0D841">
      <w:pPr>
        <w:pStyle w:val="164"/>
        <w:spacing w:line="360" w:lineRule="auto"/>
      </w:pPr>
      <w:r>
        <w:rPr>
          <w:rFonts w:hint="eastAsia"/>
        </w:rPr>
        <w:t>对明显由设备故障、通信故障或者校准状态导致的异常数据，不得直接触发正式环境预警。</w:t>
      </w:r>
    </w:p>
    <w:p w14:paraId="3F69931C">
      <w:pPr>
        <w:pStyle w:val="164"/>
        <w:numPr>
          <w:ilvl w:val="0"/>
          <w:numId w:val="0"/>
        </w:numPr>
        <w:spacing w:line="360" w:lineRule="auto"/>
      </w:pPr>
    </w:p>
    <w:p w14:paraId="5EF88746">
      <w:pPr>
        <w:pStyle w:val="164"/>
        <w:numPr>
          <w:ilvl w:val="0"/>
          <w:numId w:val="0"/>
        </w:numPr>
        <w:spacing w:line="360" w:lineRule="auto"/>
        <w:rPr>
          <w:rFonts w:hint="eastAsia"/>
        </w:rPr>
      </w:pPr>
    </w:p>
    <w:p w14:paraId="3B397E68">
      <w:pPr>
        <w:pStyle w:val="65"/>
        <w:spacing w:before="120" w:after="120" w:line="360" w:lineRule="auto"/>
      </w:pPr>
      <w:r>
        <w:rPr>
          <w:rFonts w:hint="eastAsia"/>
        </w:rPr>
        <w:t>触发条件</w:t>
      </w:r>
    </w:p>
    <w:p w14:paraId="2125860C">
      <w:pPr>
        <w:pStyle w:val="164"/>
        <w:spacing w:line="360" w:lineRule="auto"/>
      </w:pPr>
      <w:r>
        <w:rPr>
          <w:rFonts w:hint="eastAsia"/>
        </w:rPr>
        <w:t>出现下列情形之一时，应触发预警：</w:t>
      </w:r>
    </w:p>
    <w:p w14:paraId="7EAB5625">
      <w:pPr>
        <w:pStyle w:val="56"/>
        <w:spacing w:line="360" w:lineRule="auto"/>
        <w:ind w:firstLine="420"/>
      </w:pPr>
      <w:r>
        <w:rPr>
          <w:rFonts w:hint="eastAsia"/>
        </w:rPr>
        <w:t>a）监测值超过相应预警阈值；</w:t>
      </w:r>
    </w:p>
    <w:p w14:paraId="0E14D470">
      <w:pPr>
        <w:pStyle w:val="56"/>
        <w:spacing w:line="360" w:lineRule="auto"/>
        <w:ind w:firstLine="420"/>
      </w:pPr>
      <w:r>
        <w:rPr>
          <w:rFonts w:hint="eastAsia"/>
        </w:rPr>
        <w:t>b）连续多次接近控制阈值；</w:t>
      </w:r>
    </w:p>
    <w:p w14:paraId="50267E11">
      <w:pPr>
        <w:pStyle w:val="56"/>
        <w:spacing w:line="360" w:lineRule="auto"/>
        <w:ind w:firstLine="420"/>
      </w:pPr>
      <w:r>
        <w:rPr>
          <w:rFonts w:hint="eastAsia"/>
        </w:rPr>
        <w:t>c）短时间内异常波动明显；</w:t>
      </w:r>
    </w:p>
    <w:p w14:paraId="6FBF208C">
      <w:pPr>
        <w:pStyle w:val="56"/>
        <w:spacing w:line="360" w:lineRule="auto"/>
        <w:ind w:firstLine="420"/>
      </w:pPr>
      <w:r>
        <w:rPr>
          <w:rFonts w:hint="eastAsia"/>
        </w:rPr>
        <w:t>d）上下游对比出现明显异常差异；</w:t>
      </w:r>
    </w:p>
    <w:p w14:paraId="12509AEA">
      <w:pPr>
        <w:pStyle w:val="56"/>
        <w:spacing w:line="360" w:lineRule="auto"/>
        <w:ind w:firstLine="420"/>
      </w:pPr>
      <w:r>
        <w:rPr>
          <w:rFonts w:hint="eastAsia"/>
        </w:rPr>
        <w:t>e）排放口与下游控制点同步异常；</w:t>
      </w:r>
    </w:p>
    <w:p w14:paraId="3953C6D2">
      <w:pPr>
        <w:pStyle w:val="56"/>
        <w:spacing w:line="360" w:lineRule="auto"/>
        <w:ind w:firstLine="420"/>
      </w:pPr>
      <w:r>
        <w:rPr>
          <w:rFonts w:hint="eastAsia"/>
        </w:rPr>
        <w:t>f）视频显示施工扰动、排水异常或者污染物外泄；</w:t>
      </w:r>
    </w:p>
    <w:p w14:paraId="5DFF2886">
      <w:pPr>
        <w:pStyle w:val="56"/>
        <w:spacing w:line="360" w:lineRule="auto"/>
        <w:ind w:firstLine="420"/>
      </w:pPr>
      <w:r>
        <w:rPr>
          <w:rFonts w:hint="eastAsia"/>
        </w:rPr>
        <w:t>g）雨情、水情与施工扰动叠加导致风险升高；</w:t>
      </w:r>
    </w:p>
    <w:p w14:paraId="4E837050">
      <w:pPr>
        <w:pStyle w:val="56"/>
        <w:spacing w:line="360" w:lineRule="auto"/>
        <w:ind w:firstLine="420"/>
      </w:pPr>
      <w:r>
        <w:rPr>
          <w:rFonts w:hint="eastAsia"/>
        </w:rPr>
        <w:t>h）设备状态异常影响数据连续性和预警能力。</w:t>
      </w:r>
    </w:p>
    <w:p w14:paraId="63EA25EC">
      <w:pPr>
        <w:pStyle w:val="65"/>
        <w:spacing w:before="120" w:after="120" w:line="360" w:lineRule="auto"/>
      </w:pPr>
      <w:r>
        <w:rPr>
          <w:rFonts w:hint="eastAsia"/>
        </w:rPr>
        <w:t>触发复核要求</w:t>
      </w:r>
    </w:p>
    <w:p w14:paraId="10DEAB39">
      <w:pPr>
        <w:pStyle w:val="164"/>
        <w:spacing w:line="360" w:lineRule="auto"/>
      </w:pPr>
      <w:r>
        <w:rPr>
          <w:rFonts w:hint="eastAsia"/>
        </w:rPr>
        <w:t>正式预警触发后，应及时进行初步复核。</w:t>
      </w:r>
    </w:p>
    <w:p w14:paraId="501E50BD">
      <w:pPr>
        <w:pStyle w:val="164"/>
        <w:spacing w:line="360" w:lineRule="auto"/>
      </w:pPr>
      <w:r>
        <w:rPr>
          <w:rFonts w:hint="eastAsia"/>
        </w:rPr>
        <w:t>初步复核宜包括数据状态检查、设备状态检查、点位状态检查和视频信息核查。</w:t>
      </w:r>
    </w:p>
    <w:p w14:paraId="0F292449">
      <w:pPr>
        <w:pStyle w:val="164"/>
        <w:spacing w:line="360" w:lineRule="auto"/>
      </w:pPr>
      <w:r>
        <w:rPr>
          <w:rFonts w:hint="eastAsia"/>
        </w:rPr>
        <w:t>对无法立即判定真伪的异常，应先按预警管理，再进一步核查。</w:t>
      </w:r>
    </w:p>
    <w:p w14:paraId="0B6FAC2F">
      <w:pPr>
        <w:pStyle w:val="105"/>
        <w:spacing w:before="120" w:after="120" w:line="360" w:lineRule="auto"/>
      </w:pPr>
      <w:r>
        <w:rPr>
          <w:rFonts w:hint="eastAsia"/>
        </w:rPr>
        <w:t>预警发布要求</w:t>
      </w:r>
    </w:p>
    <w:p w14:paraId="1A5D8679">
      <w:pPr>
        <w:pStyle w:val="65"/>
        <w:spacing w:before="120" w:after="120" w:line="360" w:lineRule="auto"/>
      </w:pPr>
      <w:r>
        <w:rPr>
          <w:rFonts w:hint="eastAsia"/>
        </w:rPr>
        <w:t>一般要求</w:t>
      </w:r>
    </w:p>
    <w:p w14:paraId="427BE8CC">
      <w:pPr>
        <w:pStyle w:val="164"/>
        <w:spacing w:line="360" w:lineRule="auto"/>
      </w:pPr>
      <w:r>
        <w:rPr>
          <w:rFonts w:hint="eastAsia"/>
        </w:rPr>
        <w:t>预警信息应及时发布至相关责任主体。</w:t>
      </w:r>
    </w:p>
    <w:p w14:paraId="3258D837">
      <w:pPr>
        <w:pStyle w:val="164"/>
        <w:spacing w:line="360" w:lineRule="auto"/>
      </w:pPr>
      <w:r>
        <w:rPr>
          <w:rFonts w:hint="eastAsia"/>
        </w:rPr>
        <w:t>预警发布应明确预警时间、点位位置、异常类型、异常程度、初步影响判断和响应要求。</w:t>
      </w:r>
    </w:p>
    <w:p w14:paraId="5AE3982D">
      <w:pPr>
        <w:pStyle w:val="164"/>
        <w:spacing w:line="360" w:lineRule="auto"/>
      </w:pPr>
      <w:r>
        <w:rPr>
          <w:rFonts w:hint="eastAsia"/>
        </w:rPr>
        <w:t>预警发布不得遗漏建设单位、施工单位、监理单位和相关运维责任岗位。</w:t>
      </w:r>
    </w:p>
    <w:p w14:paraId="25C0B235">
      <w:pPr>
        <w:pStyle w:val="65"/>
        <w:spacing w:before="120" w:after="120" w:line="360" w:lineRule="auto"/>
      </w:pPr>
      <w:r>
        <w:rPr>
          <w:rFonts w:hint="eastAsia"/>
        </w:rPr>
        <w:t>发布方式</w:t>
      </w:r>
    </w:p>
    <w:p w14:paraId="3911FDF5">
      <w:pPr>
        <w:pStyle w:val="164"/>
        <w:spacing w:line="360" w:lineRule="auto"/>
      </w:pPr>
      <w:r>
        <w:rPr>
          <w:rFonts w:hint="eastAsia"/>
        </w:rPr>
        <w:t>预警发布可采用平台推送、短信提醒、电话通知、工作群通知和书面通知等方式。</w:t>
      </w:r>
    </w:p>
    <w:p w14:paraId="316BA5A9">
      <w:pPr>
        <w:pStyle w:val="164"/>
        <w:spacing w:line="360" w:lineRule="auto"/>
      </w:pPr>
      <w:r>
        <w:rPr>
          <w:rFonts w:hint="eastAsia"/>
        </w:rPr>
        <w:t>对重要预警和紧急预警，应采用双重以上方式通知。</w:t>
      </w:r>
    </w:p>
    <w:p w14:paraId="009F3304">
      <w:pPr>
        <w:pStyle w:val="164"/>
        <w:spacing w:line="360" w:lineRule="auto"/>
      </w:pPr>
      <w:r>
        <w:rPr>
          <w:rFonts w:hint="eastAsia"/>
        </w:rPr>
        <w:t>预警发布应留痕并形成记录。</w:t>
      </w:r>
    </w:p>
    <w:p w14:paraId="106EE7DC">
      <w:pPr>
        <w:pStyle w:val="105"/>
        <w:spacing w:before="120" w:after="120" w:line="360" w:lineRule="auto"/>
      </w:pPr>
      <w:r>
        <w:rPr>
          <w:rFonts w:hint="eastAsia"/>
        </w:rPr>
        <w:t>预警升级与解除要求</w:t>
      </w:r>
    </w:p>
    <w:p w14:paraId="799752C7">
      <w:pPr>
        <w:pStyle w:val="65"/>
        <w:spacing w:before="120" w:after="120" w:line="360" w:lineRule="auto"/>
      </w:pPr>
      <w:r>
        <w:rPr>
          <w:rFonts w:hint="eastAsia"/>
        </w:rPr>
        <w:t>预警升级要求</w:t>
      </w:r>
    </w:p>
    <w:p w14:paraId="33DCF2BF">
      <w:pPr>
        <w:pStyle w:val="164"/>
        <w:spacing w:line="360" w:lineRule="auto"/>
      </w:pPr>
      <w:r>
        <w:rPr>
          <w:rFonts w:hint="eastAsia"/>
        </w:rPr>
        <w:t>预警发布后，若异常程度持续加重、影响范围扩大或者现场核查确认风险升级，应及时提高预警等级。</w:t>
      </w:r>
    </w:p>
    <w:p w14:paraId="021049FC">
      <w:pPr>
        <w:pStyle w:val="164"/>
        <w:spacing w:line="360" w:lineRule="auto"/>
      </w:pPr>
      <w:r>
        <w:rPr>
          <w:rFonts w:hint="eastAsia"/>
        </w:rPr>
        <w:t>同一问题连续未处置、处置无效或者复发的，应升级管理。</w:t>
      </w:r>
    </w:p>
    <w:p w14:paraId="00ADD62B">
      <w:pPr>
        <w:pStyle w:val="164"/>
        <w:numPr>
          <w:ilvl w:val="0"/>
          <w:numId w:val="0"/>
        </w:numPr>
        <w:spacing w:line="360" w:lineRule="auto"/>
        <w:rPr>
          <w:rFonts w:hint="eastAsia"/>
        </w:rPr>
      </w:pPr>
    </w:p>
    <w:p w14:paraId="160EA01B">
      <w:pPr>
        <w:pStyle w:val="65"/>
        <w:spacing w:before="120" w:after="120" w:line="360" w:lineRule="auto"/>
      </w:pPr>
      <w:r>
        <w:rPr>
          <w:rFonts w:hint="eastAsia"/>
        </w:rPr>
        <w:t>预警解除要求</w:t>
      </w:r>
    </w:p>
    <w:p w14:paraId="6CDA65E4">
      <w:pPr>
        <w:pStyle w:val="164"/>
        <w:spacing w:line="360" w:lineRule="auto"/>
      </w:pPr>
      <w:r>
        <w:rPr>
          <w:rFonts w:hint="eastAsia"/>
        </w:rPr>
        <w:t>预警解除应以异常原因查明、处置措施落实、监测数据恢复正常和必要复核完成为前提。</w:t>
      </w:r>
    </w:p>
    <w:p w14:paraId="0A91712D">
      <w:pPr>
        <w:pStyle w:val="164"/>
        <w:spacing w:line="360" w:lineRule="auto"/>
      </w:pPr>
      <w:r>
        <w:rPr>
          <w:rFonts w:hint="eastAsia"/>
        </w:rPr>
        <w:t>未完成复核和处置闭环的，不得直接解除正式预警。</w:t>
      </w:r>
    </w:p>
    <w:p w14:paraId="4D53F0D6">
      <w:pPr>
        <w:pStyle w:val="164"/>
        <w:spacing w:line="360" w:lineRule="auto"/>
      </w:pPr>
      <w:r>
        <w:rPr>
          <w:rFonts w:hint="eastAsia"/>
        </w:rPr>
        <w:t>预警解除后，应形成解除记录和处置总结。</w:t>
      </w:r>
    </w:p>
    <w:p w14:paraId="647C5427">
      <w:pPr>
        <w:pStyle w:val="105"/>
        <w:spacing w:before="120" w:after="120" w:line="360" w:lineRule="auto"/>
      </w:pPr>
      <w:r>
        <w:rPr>
          <w:rFonts w:hint="eastAsia"/>
        </w:rPr>
        <w:t>预警管理要点</w:t>
      </w:r>
    </w:p>
    <w:p w14:paraId="157DBE87">
      <w:pPr>
        <w:pStyle w:val="56"/>
        <w:spacing w:line="360" w:lineRule="auto"/>
        <w:ind w:firstLine="420"/>
      </w:pPr>
      <w:r>
        <w:rPr>
          <w:rFonts w:hint="eastAsia"/>
        </w:rPr>
        <w:t>预警管理的主要内容见表4。表4给出了施工期水环境预警管理的主要内容及控制要点。</w:t>
      </w:r>
    </w:p>
    <w:p w14:paraId="2CD2568B">
      <w:pPr>
        <w:pStyle w:val="112"/>
        <w:spacing w:before="120" w:after="120" w:line="360" w:lineRule="auto"/>
      </w:pPr>
      <w:r>
        <w:rPr>
          <w:rFonts w:hint="eastAsia"/>
        </w:rPr>
        <w:t>施工期水环境预警管理要点表</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691"/>
        <w:gridCol w:w="3686"/>
        <w:gridCol w:w="3957"/>
      </w:tblGrid>
      <w:tr w14:paraId="74E3A5D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1691" w:type="dxa"/>
            <w:tcBorders>
              <w:top w:val="single" w:color="auto" w:sz="8" w:space="0"/>
              <w:bottom w:val="single" w:color="auto" w:sz="8" w:space="0"/>
            </w:tcBorders>
          </w:tcPr>
          <w:p w14:paraId="18A40E1B">
            <w:pPr>
              <w:pStyle w:val="178"/>
            </w:pPr>
            <w:r>
              <w:rPr>
                <w:rFonts w:hint="eastAsia"/>
              </w:rPr>
              <w:t>工作类别</w:t>
            </w:r>
          </w:p>
        </w:tc>
        <w:tc>
          <w:tcPr>
            <w:tcW w:w="3686" w:type="dxa"/>
            <w:tcBorders>
              <w:top w:val="single" w:color="auto" w:sz="8" w:space="0"/>
              <w:bottom w:val="single" w:color="auto" w:sz="8" w:space="0"/>
            </w:tcBorders>
          </w:tcPr>
          <w:p w14:paraId="68BDDDC0">
            <w:pPr>
              <w:pStyle w:val="178"/>
            </w:pPr>
            <w:r>
              <w:rPr>
                <w:rFonts w:hint="eastAsia"/>
              </w:rPr>
              <w:t>主要内容</w:t>
            </w:r>
          </w:p>
        </w:tc>
        <w:tc>
          <w:tcPr>
            <w:tcW w:w="3957" w:type="dxa"/>
            <w:tcBorders>
              <w:top w:val="single" w:color="auto" w:sz="8" w:space="0"/>
              <w:bottom w:val="single" w:color="auto" w:sz="8" w:space="0"/>
            </w:tcBorders>
          </w:tcPr>
          <w:p w14:paraId="56F0F494">
            <w:pPr>
              <w:pStyle w:val="178"/>
            </w:pPr>
            <w:r>
              <w:rPr>
                <w:rFonts w:hint="eastAsia"/>
              </w:rPr>
              <w:t>控制要点</w:t>
            </w:r>
          </w:p>
        </w:tc>
      </w:tr>
      <w:tr w14:paraId="610467B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691" w:type="dxa"/>
            <w:tcBorders>
              <w:top w:val="single" w:color="auto" w:sz="8" w:space="0"/>
            </w:tcBorders>
          </w:tcPr>
          <w:p w14:paraId="5C5DD4F0">
            <w:pPr>
              <w:pStyle w:val="178"/>
            </w:pPr>
            <w:r>
              <w:rPr>
                <w:rFonts w:hint="eastAsia"/>
              </w:rPr>
              <w:t>预警类型</w:t>
            </w:r>
          </w:p>
        </w:tc>
        <w:tc>
          <w:tcPr>
            <w:tcW w:w="3686" w:type="dxa"/>
            <w:tcBorders>
              <w:top w:val="single" w:color="auto" w:sz="8" w:space="0"/>
            </w:tcBorders>
          </w:tcPr>
          <w:p w14:paraId="16BEDF12">
            <w:pPr>
              <w:pStyle w:val="178"/>
            </w:pPr>
            <w:r>
              <w:rPr>
                <w:rFonts w:hint="eastAsia"/>
              </w:rPr>
              <w:t>水质、排放、设备、趋势、综合风险</w:t>
            </w:r>
          </w:p>
        </w:tc>
        <w:tc>
          <w:tcPr>
            <w:tcW w:w="3957" w:type="dxa"/>
            <w:tcBorders>
              <w:top w:val="single" w:color="auto" w:sz="8" w:space="0"/>
            </w:tcBorders>
          </w:tcPr>
          <w:p w14:paraId="33806DE3">
            <w:pPr>
              <w:pStyle w:val="178"/>
            </w:pPr>
            <w:r>
              <w:rPr>
                <w:rFonts w:hint="eastAsia"/>
              </w:rPr>
              <w:t>分类管理，不同类型分别响应</w:t>
            </w:r>
          </w:p>
        </w:tc>
      </w:tr>
      <w:tr w14:paraId="1F0B261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691" w:type="dxa"/>
          </w:tcPr>
          <w:p w14:paraId="010BD7E9">
            <w:pPr>
              <w:pStyle w:val="178"/>
            </w:pPr>
            <w:r>
              <w:rPr>
                <w:rFonts w:hint="eastAsia"/>
              </w:rPr>
              <w:t>预警分级</w:t>
            </w:r>
          </w:p>
        </w:tc>
        <w:tc>
          <w:tcPr>
            <w:tcW w:w="3686" w:type="dxa"/>
          </w:tcPr>
          <w:p w14:paraId="3E66C5DC">
            <w:pPr>
              <w:pStyle w:val="178"/>
            </w:pPr>
            <w:r>
              <w:rPr>
                <w:rFonts w:hint="eastAsia"/>
              </w:rPr>
              <w:t>一般、重要、紧急</w:t>
            </w:r>
          </w:p>
        </w:tc>
        <w:tc>
          <w:tcPr>
            <w:tcW w:w="3957" w:type="dxa"/>
          </w:tcPr>
          <w:p w14:paraId="07C155F4">
            <w:pPr>
              <w:pStyle w:val="178"/>
            </w:pPr>
            <w:r>
              <w:rPr>
                <w:rFonts w:hint="eastAsia"/>
              </w:rPr>
              <w:t>分级标准明确，响应要求清晰</w:t>
            </w:r>
          </w:p>
        </w:tc>
      </w:tr>
      <w:tr w14:paraId="4D479DF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691" w:type="dxa"/>
          </w:tcPr>
          <w:p w14:paraId="09C11FE5">
            <w:pPr>
              <w:pStyle w:val="178"/>
            </w:pPr>
            <w:r>
              <w:rPr>
                <w:rFonts w:hint="eastAsia"/>
              </w:rPr>
              <w:t>阈值设置</w:t>
            </w:r>
          </w:p>
        </w:tc>
        <w:tc>
          <w:tcPr>
            <w:tcW w:w="3686" w:type="dxa"/>
          </w:tcPr>
          <w:p w14:paraId="50F13802">
            <w:pPr>
              <w:pStyle w:val="178"/>
            </w:pPr>
            <w:r>
              <w:rPr>
                <w:rFonts w:hint="eastAsia"/>
              </w:rPr>
              <w:t>提示阈值、控制阈值、紧急阈值</w:t>
            </w:r>
          </w:p>
        </w:tc>
        <w:tc>
          <w:tcPr>
            <w:tcW w:w="3957" w:type="dxa"/>
          </w:tcPr>
          <w:p w14:paraId="50FE77D2">
            <w:pPr>
              <w:pStyle w:val="178"/>
            </w:pPr>
            <w:r>
              <w:rPr>
                <w:rFonts w:hint="eastAsia"/>
              </w:rPr>
              <w:t>兼顾敏感性和可执行性</w:t>
            </w:r>
          </w:p>
        </w:tc>
      </w:tr>
      <w:tr w14:paraId="218417A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691" w:type="dxa"/>
          </w:tcPr>
          <w:p w14:paraId="4F84BF90">
            <w:pPr>
              <w:pStyle w:val="178"/>
            </w:pPr>
            <w:r>
              <w:rPr>
                <w:rFonts w:hint="eastAsia"/>
              </w:rPr>
              <w:t>预警触发</w:t>
            </w:r>
          </w:p>
        </w:tc>
        <w:tc>
          <w:tcPr>
            <w:tcW w:w="3686" w:type="dxa"/>
          </w:tcPr>
          <w:p w14:paraId="32B5CA2F">
            <w:pPr>
              <w:pStyle w:val="178"/>
            </w:pPr>
            <w:r>
              <w:rPr>
                <w:rFonts w:hint="eastAsia"/>
              </w:rPr>
              <w:t>单指标、组合指标、趋势、综合规则</w:t>
            </w:r>
          </w:p>
        </w:tc>
        <w:tc>
          <w:tcPr>
            <w:tcW w:w="3957" w:type="dxa"/>
          </w:tcPr>
          <w:p w14:paraId="031A42DF">
            <w:pPr>
              <w:pStyle w:val="178"/>
            </w:pPr>
            <w:r>
              <w:rPr>
                <w:rFonts w:hint="eastAsia"/>
              </w:rPr>
              <w:t>设备故障数据不得直接触发正式环境预警</w:t>
            </w:r>
          </w:p>
        </w:tc>
      </w:tr>
      <w:tr w14:paraId="1EAE532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691" w:type="dxa"/>
          </w:tcPr>
          <w:p w14:paraId="638CA681">
            <w:pPr>
              <w:pStyle w:val="178"/>
            </w:pPr>
            <w:r>
              <w:rPr>
                <w:rFonts w:hint="eastAsia"/>
              </w:rPr>
              <w:t>预警发布</w:t>
            </w:r>
          </w:p>
        </w:tc>
        <w:tc>
          <w:tcPr>
            <w:tcW w:w="3686" w:type="dxa"/>
          </w:tcPr>
          <w:p w14:paraId="25DC9A3A">
            <w:pPr>
              <w:pStyle w:val="178"/>
            </w:pPr>
            <w:r>
              <w:rPr>
                <w:rFonts w:hint="eastAsia"/>
              </w:rPr>
              <w:t>平台、短信、电话、书面</w:t>
            </w:r>
          </w:p>
        </w:tc>
        <w:tc>
          <w:tcPr>
            <w:tcW w:w="3957" w:type="dxa"/>
          </w:tcPr>
          <w:p w14:paraId="1B15641C">
            <w:pPr>
              <w:pStyle w:val="178"/>
            </w:pPr>
            <w:r>
              <w:rPr>
                <w:rFonts w:hint="eastAsia"/>
              </w:rPr>
              <w:t>重要预警应双重以上通知</w:t>
            </w:r>
          </w:p>
        </w:tc>
      </w:tr>
      <w:tr w14:paraId="2B2132A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691" w:type="dxa"/>
          </w:tcPr>
          <w:p w14:paraId="20B7BB02">
            <w:pPr>
              <w:pStyle w:val="178"/>
            </w:pPr>
            <w:r>
              <w:rPr>
                <w:rFonts w:hint="eastAsia"/>
              </w:rPr>
              <w:t>预警升级</w:t>
            </w:r>
          </w:p>
        </w:tc>
        <w:tc>
          <w:tcPr>
            <w:tcW w:w="3686" w:type="dxa"/>
          </w:tcPr>
          <w:p w14:paraId="438E0109">
            <w:pPr>
              <w:pStyle w:val="178"/>
            </w:pPr>
            <w:r>
              <w:rPr>
                <w:rFonts w:hint="eastAsia"/>
              </w:rPr>
              <w:t>异常加重、影响扩大、处置无效</w:t>
            </w:r>
          </w:p>
        </w:tc>
        <w:tc>
          <w:tcPr>
            <w:tcW w:w="3957" w:type="dxa"/>
          </w:tcPr>
          <w:p w14:paraId="39CA90C9">
            <w:pPr>
              <w:pStyle w:val="178"/>
            </w:pPr>
            <w:r>
              <w:rPr>
                <w:rFonts w:hint="eastAsia"/>
              </w:rPr>
              <w:t>风险升级应及时提高等级</w:t>
            </w:r>
          </w:p>
        </w:tc>
      </w:tr>
      <w:tr w14:paraId="3A58491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691" w:type="dxa"/>
          </w:tcPr>
          <w:p w14:paraId="33A217E0">
            <w:pPr>
              <w:pStyle w:val="178"/>
            </w:pPr>
            <w:r>
              <w:rPr>
                <w:rFonts w:hint="eastAsia"/>
              </w:rPr>
              <w:t>预警解除</w:t>
            </w:r>
          </w:p>
        </w:tc>
        <w:tc>
          <w:tcPr>
            <w:tcW w:w="3686" w:type="dxa"/>
          </w:tcPr>
          <w:p w14:paraId="6C7ABDF8">
            <w:pPr>
              <w:pStyle w:val="178"/>
            </w:pPr>
            <w:r>
              <w:rPr>
                <w:rFonts w:hint="eastAsia"/>
              </w:rPr>
              <w:t>处置完成、数据恢复、复核完成</w:t>
            </w:r>
          </w:p>
        </w:tc>
        <w:tc>
          <w:tcPr>
            <w:tcW w:w="3957" w:type="dxa"/>
          </w:tcPr>
          <w:p w14:paraId="3BD6CBE1">
            <w:pPr>
              <w:pStyle w:val="178"/>
            </w:pPr>
            <w:r>
              <w:rPr>
                <w:rFonts w:hint="eastAsia"/>
              </w:rPr>
              <w:t>未复核不得解除</w:t>
            </w:r>
          </w:p>
        </w:tc>
      </w:tr>
    </w:tbl>
    <w:p w14:paraId="516B387A">
      <w:pPr>
        <w:pStyle w:val="105"/>
        <w:spacing w:before="120" w:after="120" w:line="360" w:lineRule="auto"/>
      </w:pPr>
      <w:r>
        <w:rPr>
          <w:rFonts w:hint="eastAsia"/>
        </w:rPr>
        <w:t>禁止性要求</w:t>
      </w:r>
    </w:p>
    <w:p w14:paraId="746ACC3E">
      <w:pPr>
        <w:pStyle w:val="165"/>
        <w:spacing w:line="360" w:lineRule="auto"/>
      </w:pPr>
      <w:r>
        <w:rPr>
          <w:rFonts w:hint="eastAsia"/>
        </w:rPr>
        <w:t>不得在阈值不清、规则不明的情况下启用正式预警功能。</w:t>
      </w:r>
    </w:p>
    <w:p w14:paraId="329D42CF">
      <w:pPr>
        <w:pStyle w:val="165"/>
        <w:spacing w:line="360" w:lineRule="auto"/>
      </w:pPr>
      <w:r>
        <w:rPr>
          <w:rFonts w:hint="eastAsia"/>
        </w:rPr>
        <w:t>不得对明显预警信息迟发、漏发或者压发。</w:t>
      </w:r>
    </w:p>
    <w:p w14:paraId="0F96657A">
      <w:pPr>
        <w:pStyle w:val="165"/>
        <w:spacing w:line="360" w:lineRule="auto"/>
      </w:pPr>
      <w:r>
        <w:rPr>
          <w:rFonts w:hint="eastAsia"/>
        </w:rPr>
        <w:t>不得将设备故障报警长期误作为环境异常预警而不分类处理。</w:t>
      </w:r>
    </w:p>
    <w:p w14:paraId="2E9FC7EE">
      <w:pPr>
        <w:pStyle w:val="165"/>
        <w:spacing w:line="360" w:lineRule="auto"/>
      </w:pPr>
      <w:r>
        <w:rPr>
          <w:rFonts w:hint="eastAsia"/>
        </w:rPr>
        <w:t>不得在未核查、未处置和未复核的情况下直接解除正式预警。</w:t>
      </w:r>
    </w:p>
    <w:p w14:paraId="38473ED0">
      <w:pPr>
        <w:pStyle w:val="165"/>
        <w:spacing w:line="360" w:lineRule="auto"/>
      </w:pPr>
      <w:r>
        <w:rPr>
          <w:rFonts w:hint="eastAsia"/>
        </w:rPr>
        <w:t>不得只统计预警数量而不分析预警质量和处置效果。</w:t>
      </w:r>
    </w:p>
    <w:p w14:paraId="390E1FE0">
      <w:pPr>
        <w:pStyle w:val="104"/>
        <w:spacing w:before="240" w:after="240" w:line="360" w:lineRule="auto"/>
      </w:pPr>
      <w:bookmarkStart w:id="56" w:name="_Toc228609193"/>
      <w:r>
        <w:rPr>
          <w:rFonts w:hint="eastAsia"/>
        </w:rPr>
        <w:t>联动处置要求</w:t>
      </w:r>
      <w:bookmarkEnd w:id="56"/>
    </w:p>
    <w:p w14:paraId="0A3246C3">
      <w:pPr>
        <w:pStyle w:val="105"/>
        <w:spacing w:before="120" w:after="120" w:line="360" w:lineRule="auto"/>
      </w:pPr>
      <w:r>
        <w:rPr>
          <w:rFonts w:hint="eastAsia"/>
        </w:rPr>
        <w:t>一般要求</w:t>
      </w:r>
    </w:p>
    <w:p w14:paraId="0C20BFFD">
      <w:pPr>
        <w:pStyle w:val="165"/>
        <w:spacing w:line="360" w:lineRule="auto"/>
      </w:pPr>
      <w:r>
        <w:rPr>
          <w:rFonts w:hint="eastAsia"/>
        </w:rPr>
        <w:t>施工期水环境异常预警、异常事件和风险事件应实行联动处置。</w:t>
      </w:r>
    </w:p>
    <w:p w14:paraId="33FB8256">
      <w:pPr>
        <w:pStyle w:val="165"/>
        <w:spacing w:line="360" w:lineRule="auto"/>
      </w:pPr>
      <w:r>
        <w:rPr>
          <w:rFonts w:hint="eastAsia"/>
        </w:rPr>
        <w:t>联动处置应坚持统一调度、分级响应、快速核查、分工明确、同步整改和闭环销项的原则。</w:t>
      </w:r>
    </w:p>
    <w:p w14:paraId="40866DD9">
      <w:pPr>
        <w:pStyle w:val="165"/>
        <w:spacing w:line="360" w:lineRule="auto"/>
      </w:pPr>
      <w:r>
        <w:rPr>
          <w:rFonts w:hint="eastAsia"/>
        </w:rPr>
        <w:t>联动处置应覆盖监测、施工、环保、水保、运维、监理和管理等责任主体。</w:t>
      </w:r>
    </w:p>
    <w:p w14:paraId="70D9BBD2">
      <w:pPr>
        <w:pStyle w:val="165"/>
        <w:spacing w:line="360" w:lineRule="auto"/>
      </w:pPr>
      <w:r>
        <w:rPr>
          <w:rFonts w:hint="eastAsia"/>
        </w:rPr>
        <w:t>对敏感水域影响事件、持续超阈值事件、排放异常事件和突发污染事件，应优先联动处置。</w:t>
      </w:r>
    </w:p>
    <w:p w14:paraId="7A9D2303">
      <w:pPr>
        <w:pStyle w:val="105"/>
        <w:spacing w:before="120" w:after="120" w:line="360" w:lineRule="auto"/>
      </w:pPr>
      <w:r>
        <w:rPr>
          <w:rFonts w:hint="eastAsia"/>
        </w:rPr>
        <w:t>联动机制要求</w:t>
      </w:r>
    </w:p>
    <w:p w14:paraId="6E6B82C2">
      <w:pPr>
        <w:pStyle w:val="65"/>
        <w:spacing w:before="120" w:after="120" w:line="360" w:lineRule="auto"/>
      </w:pPr>
      <w:r>
        <w:rPr>
          <w:rFonts w:hint="eastAsia"/>
        </w:rPr>
        <w:t>一般要求</w:t>
      </w:r>
    </w:p>
    <w:p w14:paraId="458A5776">
      <w:pPr>
        <w:pStyle w:val="164"/>
        <w:spacing w:line="360" w:lineRule="auto"/>
      </w:pPr>
      <w:r>
        <w:rPr>
          <w:rFonts w:hint="eastAsia"/>
        </w:rPr>
        <w:t>建设单位应组织建立联动处置机制。</w:t>
      </w:r>
    </w:p>
    <w:p w14:paraId="217C919C">
      <w:pPr>
        <w:pStyle w:val="164"/>
        <w:spacing w:line="360" w:lineRule="auto"/>
      </w:pPr>
      <w:r>
        <w:rPr>
          <w:rFonts w:hint="eastAsia"/>
        </w:rPr>
        <w:t>联动机制应明确处置组织、处置流程、信息报送、现场核查、整改落实、复核销项和责任追踪要求。</w:t>
      </w:r>
    </w:p>
    <w:p w14:paraId="468A17BD">
      <w:pPr>
        <w:pStyle w:val="164"/>
        <w:spacing w:line="360" w:lineRule="auto"/>
      </w:pPr>
      <w:r>
        <w:rPr>
          <w:rFonts w:hint="eastAsia"/>
        </w:rPr>
        <w:t>联动机制不得停留在原则性要求，应落实到具体岗位和具体流程。</w:t>
      </w:r>
    </w:p>
    <w:p w14:paraId="14E16137">
      <w:pPr>
        <w:pStyle w:val="65"/>
        <w:spacing w:before="120" w:after="120" w:line="360" w:lineRule="auto"/>
      </w:pPr>
      <w:r>
        <w:rPr>
          <w:rFonts w:hint="eastAsia"/>
        </w:rPr>
        <w:t>联动主体职责</w:t>
      </w:r>
    </w:p>
    <w:p w14:paraId="3A3100B7">
      <w:pPr>
        <w:pStyle w:val="164"/>
        <w:spacing w:line="360" w:lineRule="auto"/>
      </w:pPr>
      <w:r>
        <w:rPr>
          <w:rFonts w:hint="eastAsia"/>
        </w:rPr>
        <w:t>监测运维单位应负责异常信息核查、设备状态判断和数据支撑。</w:t>
      </w:r>
    </w:p>
    <w:p w14:paraId="4E16864D">
      <w:pPr>
        <w:pStyle w:val="164"/>
        <w:spacing w:line="360" w:lineRule="auto"/>
      </w:pPr>
      <w:r>
        <w:rPr>
          <w:rFonts w:hint="eastAsia"/>
        </w:rPr>
        <w:t>施工单位应负责现场污染源排查、施工调整、废水治理设施检查和问题整改。</w:t>
      </w:r>
    </w:p>
    <w:p w14:paraId="7C03CDFB">
      <w:pPr>
        <w:pStyle w:val="164"/>
        <w:spacing w:line="360" w:lineRule="auto"/>
      </w:pPr>
      <w:r>
        <w:rPr>
          <w:rFonts w:hint="eastAsia"/>
        </w:rPr>
        <w:t>监理单位应负责督促处置、验证措施落实和跟踪闭环。</w:t>
      </w:r>
    </w:p>
    <w:p w14:paraId="20B9FEC9">
      <w:pPr>
        <w:pStyle w:val="164"/>
        <w:spacing w:line="360" w:lineRule="auto"/>
      </w:pPr>
      <w:r>
        <w:rPr>
          <w:rFonts w:hint="eastAsia"/>
        </w:rPr>
        <w:t>平台管理单位应负责预警推送、事件登记、流转跟踪和资料归档。</w:t>
      </w:r>
    </w:p>
    <w:p w14:paraId="5B1A9E47">
      <w:pPr>
        <w:pStyle w:val="164"/>
        <w:spacing w:line="360" w:lineRule="auto"/>
      </w:pPr>
      <w:r>
        <w:rPr>
          <w:rFonts w:hint="eastAsia"/>
        </w:rPr>
        <w:t>建设单位应负责组织协调、重大问题决策和考核督办。</w:t>
      </w:r>
    </w:p>
    <w:p w14:paraId="7EB355FC">
      <w:pPr>
        <w:pStyle w:val="105"/>
        <w:spacing w:before="120" w:after="120" w:line="360" w:lineRule="auto"/>
      </w:pPr>
      <w:r>
        <w:rPr>
          <w:rFonts w:hint="eastAsia"/>
        </w:rPr>
        <w:t>联动处置程序要求</w:t>
      </w:r>
    </w:p>
    <w:p w14:paraId="04313CB4">
      <w:pPr>
        <w:pStyle w:val="65"/>
        <w:spacing w:before="120" w:after="120" w:line="360" w:lineRule="auto"/>
      </w:pPr>
      <w:r>
        <w:rPr>
          <w:rFonts w:hint="eastAsia"/>
        </w:rPr>
        <w:t>一般要求</w:t>
      </w:r>
    </w:p>
    <w:p w14:paraId="42C35D74">
      <w:pPr>
        <w:pStyle w:val="164"/>
        <w:spacing w:line="360" w:lineRule="auto"/>
      </w:pPr>
      <w:r>
        <w:rPr>
          <w:rFonts w:hint="eastAsia"/>
        </w:rPr>
        <w:t>联动处置宜按“预警触发、信息推送、现场核查、原因分析、措施落实、效果复核、销项归档”的程序实施。</w:t>
      </w:r>
    </w:p>
    <w:p w14:paraId="79734014">
      <w:pPr>
        <w:pStyle w:val="164"/>
        <w:spacing w:line="360" w:lineRule="auto"/>
      </w:pPr>
      <w:r>
        <w:rPr>
          <w:rFonts w:hint="eastAsia"/>
        </w:rPr>
        <w:t>各环节之间应时间衔接明确、责任衔接明确和记录衔接明确。</w:t>
      </w:r>
    </w:p>
    <w:p w14:paraId="030C9EC2">
      <w:pPr>
        <w:pStyle w:val="65"/>
        <w:spacing w:before="120" w:after="120" w:line="360" w:lineRule="auto"/>
      </w:pPr>
      <w:r>
        <w:rPr>
          <w:rFonts w:hint="eastAsia"/>
        </w:rPr>
        <w:t>现场核查要求</w:t>
      </w:r>
    </w:p>
    <w:p w14:paraId="41A33E6A">
      <w:pPr>
        <w:pStyle w:val="164"/>
        <w:spacing w:line="360" w:lineRule="auto"/>
      </w:pPr>
      <w:r>
        <w:rPr>
          <w:rFonts w:hint="eastAsia"/>
        </w:rPr>
        <w:t>接到预警信息后，应及时开展现场核查。</w:t>
      </w:r>
    </w:p>
    <w:p w14:paraId="06FFB20B">
      <w:pPr>
        <w:pStyle w:val="164"/>
        <w:spacing w:line="360" w:lineRule="auto"/>
      </w:pPr>
      <w:r>
        <w:rPr>
          <w:rFonts w:hint="eastAsia"/>
        </w:rPr>
        <w:t>现场核查宜至少包括下列内容：</w:t>
      </w:r>
    </w:p>
    <w:p w14:paraId="713CB459">
      <w:pPr>
        <w:pStyle w:val="56"/>
        <w:spacing w:line="360" w:lineRule="auto"/>
        <w:ind w:firstLine="420"/>
      </w:pPr>
      <w:r>
        <w:rPr>
          <w:rFonts w:hint="eastAsia"/>
        </w:rPr>
        <w:t>a）监测设备状态；</w:t>
      </w:r>
    </w:p>
    <w:p w14:paraId="40DFAC00">
      <w:pPr>
        <w:pStyle w:val="56"/>
        <w:spacing w:line="360" w:lineRule="auto"/>
        <w:ind w:firstLine="420"/>
      </w:pPr>
      <w:r>
        <w:rPr>
          <w:rFonts w:hint="eastAsia"/>
        </w:rPr>
        <w:t>b）点位周边水体状态；</w:t>
      </w:r>
    </w:p>
    <w:p w14:paraId="5FD6449B">
      <w:pPr>
        <w:pStyle w:val="56"/>
        <w:spacing w:line="360" w:lineRule="auto"/>
        <w:ind w:firstLine="420"/>
      </w:pPr>
      <w:r>
        <w:rPr>
          <w:rFonts w:hint="eastAsia"/>
        </w:rPr>
        <w:t>c）施工活动状态；</w:t>
      </w:r>
    </w:p>
    <w:p w14:paraId="3A12C886">
      <w:pPr>
        <w:pStyle w:val="56"/>
        <w:spacing w:line="360" w:lineRule="auto"/>
        <w:ind w:firstLine="420"/>
      </w:pPr>
      <w:r>
        <w:rPr>
          <w:rFonts w:hint="eastAsia"/>
        </w:rPr>
        <w:t>d）排水设施运行状态；</w:t>
      </w:r>
    </w:p>
    <w:p w14:paraId="7DA38AD4">
      <w:pPr>
        <w:pStyle w:val="56"/>
        <w:spacing w:line="360" w:lineRule="auto"/>
        <w:ind w:firstLine="420"/>
      </w:pPr>
      <w:r>
        <w:rPr>
          <w:rFonts w:hint="eastAsia"/>
        </w:rPr>
        <w:t>e）沉淀池、处理设施和截排设施状态；</w:t>
      </w:r>
    </w:p>
    <w:p w14:paraId="0611D22B">
      <w:pPr>
        <w:pStyle w:val="56"/>
        <w:spacing w:line="360" w:lineRule="auto"/>
        <w:ind w:firstLine="420"/>
      </w:pPr>
      <w:r>
        <w:rPr>
          <w:rFonts w:hint="eastAsia"/>
        </w:rPr>
        <w:t>f）周边水流、水位和雨情情况；</w:t>
      </w:r>
    </w:p>
    <w:p w14:paraId="257E3633">
      <w:pPr>
        <w:pStyle w:val="56"/>
        <w:spacing w:line="360" w:lineRule="auto"/>
        <w:ind w:firstLine="420"/>
      </w:pPr>
      <w:r>
        <w:rPr>
          <w:rFonts w:hint="eastAsia"/>
        </w:rPr>
        <w:t>g）视频和实际情况一致性。</w:t>
      </w:r>
    </w:p>
    <w:p w14:paraId="5E8E5500">
      <w:pPr>
        <w:pStyle w:val="164"/>
        <w:spacing w:line="360" w:lineRule="auto"/>
      </w:pPr>
      <w:r>
        <w:rPr>
          <w:rFonts w:hint="eastAsia"/>
        </w:rPr>
        <w:t>现场核查结果应形成记录。</w:t>
      </w:r>
    </w:p>
    <w:p w14:paraId="155312FC">
      <w:pPr>
        <w:pStyle w:val="65"/>
        <w:spacing w:before="120" w:after="120" w:line="360" w:lineRule="auto"/>
      </w:pPr>
      <w:r>
        <w:rPr>
          <w:rFonts w:hint="eastAsia"/>
        </w:rPr>
        <w:t>原因分析要求</w:t>
      </w:r>
    </w:p>
    <w:p w14:paraId="7E7E2796">
      <w:pPr>
        <w:pStyle w:val="164"/>
        <w:spacing w:line="360" w:lineRule="auto"/>
      </w:pPr>
      <w:r>
        <w:rPr>
          <w:rFonts w:hint="eastAsia"/>
        </w:rPr>
        <w:t>现场核查后，应分析异常原因。</w:t>
      </w:r>
    </w:p>
    <w:p w14:paraId="447D97C3">
      <w:pPr>
        <w:pStyle w:val="164"/>
        <w:spacing w:line="360" w:lineRule="auto"/>
      </w:pPr>
      <w:r>
        <w:rPr>
          <w:rFonts w:hint="eastAsia"/>
        </w:rPr>
        <w:t>异常原因宜区分为设备原因、施工原因、排放原因、自然条件原因和综合原因。</w:t>
      </w:r>
    </w:p>
    <w:p w14:paraId="5E6332B4">
      <w:pPr>
        <w:pStyle w:val="164"/>
        <w:spacing w:line="360" w:lineRule="auto"/>
      </w:pPr>
      <w:r>
        <w:rPr>
          <w:rFonts w:hint="eastAsia"/>
        </w:rPr>
        <w:t>原因未查明前，不得草率销项或者简单归因。</w:t>
      </w:r>
    </w:p>
    <w:p w14:paraId="3D4E368C">
      <w:pPr>
        <w:pStyle w:val="164"/>
        <w:numPr>
          <w:ilvl w:val="0"/>
          <w:numId w:val="0"/>
        </w:numPr>
        <w:spacing w:line="360" w:lineRule="auto"/>
      </w:pPr>
    </w:p>
    <w:p w14:paraId="5E7FF16E">
      <w:pPr>
        <w:pStyle w:val="164"/>
        <w:numPr>
          <w:ilvl w:val="0"/>
          <w:numId w:val="0"/>
        </w:numPr>
        <w:spacing w:line="360" w:lineRule="auto"/>
      </w:pPr>
    </w:p>
    <w:p w14:paraId="65DD9F34">
      <w:pPr>
        <w:pStyle w:val="164"/>
        <w:numPr>
          <w:ilvl w:val="0"/>
          <w:numId w:val="0"/>
        </w:numPr>
        <w:spacing w:line="360" w:lineRule="auto"/>
        <w:rPr>
          <w:rFonts w:hint="eastAsia"/>
        </w:rPr>
      </w:pPr>
    </w:p>
    <w:p w14:paraId="2FDA6F38">
      <w:pPr>
        <w:pStyle w:val="105"/>
        <w:spacing w:before="120" w:after="120" w:line="360" w:lineRule="auto"/>
      </w:pPr>
      <w:r>
        <w:rPr>
          <w:rFonts w:hint="eastAsia"/>
        </w:rPr>
        <w:t>处置措施要求</w:t>
      </w:r>
    </w:p>
    <w:p w14:paraId="094C5F5B">
      <w:pPr>
        <w:pStyle w:val="65"/>
        <w:spacing w:before="120" w:after="120" w:line="360" w:lineRule="auto"/>
      </w:pPr>
      <w:r>
        <w:rPr>
          <w:rFonts w:hint="eastAsia"/>
        </w:rPr>
        <w:t>一般要求</w:t>
      </w:r>
    </w:p>
    <w:p w14:paraId="6EEEB327">
      <w:pPr>
        <w:pStyle w:val="164"/>
        <w:spacing w:line="360" w:lineRule="auto"/>
      </w:pPr>
      <w:r>
        <w:rPr>
          <w:rFonts w:hint="eastAsia"/>
        </w:rPr>
        <w:t>对确认属于施工活动影响导致的异常，应立即采取控制和整改措施。</w:t>
      </w:r>
    </w:p>
    <w:p w14:paraId="19AF9E10">
      <w:pPr>
        <w:pStyle w:val="164"/>
        <w:spacing w:line="360" w:lineRule="auto"/>
      </w:pPr>
      <w:r>
        <w:rPr>
          <w:rFonts w:hint="eastAsia"/>
        </w:rPr>
        <w:t>处置措施应与异常类型、影响范围和风险程度相匹配。</w:t>
      </w:r>
    </w:p>
    <w:p w14:paraId="63571A18">
      <w:pPr>
        <w:pStyle w:val="65"/>
        <w:spacing w:before="120" w:after="120" w:line="360" w:lineRule="auto"/>
      </w:pPr>
      <w:r>
        <w:rPr>
          <w:rFonts w:hint="eastAsia"/>
        </w:rPr>
        <w:t>常见处置措施</w:t>
      </w:r>
    </w:p>
    <w:p w14:paraId="1768DEE3">
      <w:pPr>
        <w:pStyle w:val="164"/>
        <w:spacing w:line="360" w:lineRule="auto"/>
      </w:pPr>
      <w:r>
        <w:rPr>
          <w:rFonts w:hint="eastAsia"/>
        </w:rPr>
        <w:t>处置措施宜包括下列内容：</w:t>
      </w:r>
    </w:p>
    <w:p w14:paraId="56F9AC35">
      <w:pPr>
        <w:pStyle w:val="56"/>
        <w:spacing w:line="360" w:lineRule="auto"/>
        <w:ind w:firstLine="420"/>
      </w:pPr>
      <w:r>
        <w:rPr>
          <w:rFonts w:hint="eastAsia"/>
        </w:rPr>
        <w:t>a）暂停或者调整高扰动作业；</w:t>
      </w:r>
    </w:p>
    <w:p w14:paraId="435063CA">
      <w:pPr>
        <w:pStyle w:val="56"/>
        <w:spacing w:line="360" w:lineRule="auto"/>
        <w:ind w:firstLine="420"/>
      </w:pPr>
      <w:r>
        <w:rPr>
          <w:rFonts w:hint="eastAsia"/>
        </w:rPr>
        <w:t>b）停止异常排水；</w:t>
      </w:r>
    </w:p>
    <w:p w14:paraId="7E1123DB">
      <w:pPr>
        <w:pStyle w:val="56"/>
        <w:spacing w:line="360" w:lineRule="auto"/>
        <w:ind w:firstLine="420"/>
      </w:pPr>
      <w:r>
        <w:rPr>
          <w:rFonts w:hint="eastAsia"/>
        </w:rPr>
        <w:t>c）启用备用处理设施；</w:t>
      </w:r>
    </w:p>
    <w:p w14:paraId="729982D7">
      <w:pPr>
        <w:pStyle w:val="56"/>
        <w:spacing w:line="360" w:lineRule="auto"/>
        <w:ind w:firstLine="420"/>
      </w:pPr>
      <w:r>
        <w:rPr>
          <w:rFonts w:hint="eastAsia"/>
        </w:rPr>
        <w:t>d）增加沉淀、拦截、导流和回用措施；</w:t>
      </w:r>
    </w:p>
    <w:p w14:paraId="063D5CBB">
      <w:pPr>
        <w:pStyle w:val="56"/>
        <w:spacing w:line="360" w:lineRule="auto"/>
        <w:ind w:firstLine="420"/>
      </w:pPr>
      <w:r>
        <w:rPr>
          <w:rFonts w:hint="eastAsia"/>
        </w:rPr>
        <w:t>e）清理外泄泥浆、漂浮物和污染物；</w:t>
      </w:r>
    </w:p>
    <w:p w14:paraId="7B1B37B0">
      <w:pPr>
        <w:pStyle w:val="56"/>
        <w:spacing w:line="360" w:lineRule="auto"/>
        <w:ind w:firstLine="420"/>
      </w:pPr>
      <w:r>
        <w:rPr>
          <w:rFonts w:hint="eastAsia"/>
        </w:rPr>
        <w:t>f）加密监测和加密巡查；</w:t>
      </w:r>
    </w:p>
    <w:p w14:paraId="5E345F42">
      <w:pPr>
        <w:pStyle w:val="56"/>
        <w:spacing w:line="360" w:lineRule="auto"/>
        <w:ind w:firstLine="420"/>
      </w:pPr>
      <w:r>
        <w:rPr>
          <w:rFonts w:hint="eastAsia"/>
        </w:rPr>
        <w:t>g）强化敏感区保护；</w:t>
      </w:r>
    </w:p>
    <w:p w14:paraId="59BDB627">
      <w:pPr>
        <w:pStyle w:val="56"/>
        <w:spacing w:line="360" w:lineRule="auto"/>
        <w:ind w:firstLine="420"/>
      </w:pPr>
      <w:r>
        <w:rPr>
          <w:rFonts w:hint="eastAsia"/>
        </w:rPr>
        <w:t>h）开展专项整改。</w:t>
      </w:r>
    </w:p>
    <w:p w14:paraId="08225C8E">
      <w:pPr>
        <w:pStyle w:val="164"/>
        <w:spacing w:line="360" w:lineRule="auto"/>
      </w:pPr>
      <w:r>
        <w:rPr>
          <w:rFonts w:hint="eastAsia"/>
        </w:rPr>
        <w:t>对连续异常或者重复异常点位，应采取更严格的源头控制措施。</w:t>
      </w:r>
    </w:p>
    <w:p w14:paraId="3874D3ED">
      <w:pPr>
        <w:pStyle w:val="105"/>
        <w:spacing w:before="120" w:after="120" w:line="360" w:lineRule="auto"/>
      </w:pPr>
      <w:r>
        <w:rPr>
          <w:rFonts w:hint="eastAsia"/>
        </w:rPr>
        <w:t>处置时限要求</w:t>
      </w:r>
    </w:p>
    <w:p w14:paraId="6781179E">
      <w:pPr>
        <w:pStyle w:val="65"/>
        <w:spacing w:before="120" w:after="120" w:line="360" w:lineRule="auto"/>
      </w:pPr>
      <w:r>
        <w:rPr>
          <w:rFonts w:hint="eastAsia"/>
        </w:rPr>
        <w:t>一般要求</w:t>
      </w:r>
    </w:p>
    <w:p w14:paraId="24470FF2">
      <w:pPr>
        <w:pStyle w:val="164"/>
        <w:spacing w:line="360" w:lineRule="auto"/>
      </w:pPr>
      <w:r>
        <w:rPr>
          <w:rFonts w:hint="eastAsia"/>
        </w:rPr>
        <w:t>不同等级预警和不同类型事件应明确处置时限。</w:t>
      </w:r>
    </w:p>
    <w:p w14:paraId="68BA12F5">
      <w:pPr>
        <w:pStyle w:val="164"/>
        <w:spacing w:line="360" w:lineRule="auto"/>
      </w:pPr>
      <w:r>
        <w:rPr>
          <w:rFonts w:hint="eastAsia"/>
        </w:rPr>
        <w:t>紧急事件和敏感水域事件应立即处置。</w:t>
      </w:r>
    </w:p>
    <w:p w14:paraId="60944F42">
      <w:pPr>
        <w:pStyle w:val="164"/>
        <w:spacing w:line="360" w:lineRule="auto"/>
      </w:pPr>
      <w:r>
        <w:rPr>
          <w:rFonts w:hint="eastAsia"/>
        </w:rPr>
        <w:t>一般预警和可控事件应在规定时限内完成核查和初步处置。</w:t>
      </w:r>
    </w:p>
    <w:p w14:paraId="18023F6D">
      <w:pPr>
        <w:pStyle w:val="65"/>
        <w:spacing w:before="120" w:after="120" w:line="360" w:lineRule="auto"/>
      </w:pPr>
      <w:r>
        <w:rPr>
          <w:rFonts w:hint="eastAsia"/>
        </w:rPr>
        <w:t>超时处置要求</w:t>
      </w:r>
    </w:p>
    <w:p w14:paraId="488B9750">
      <w:pPr>
        <w:pStyle w:val="164"/>
        <w:spacing w:line="360" w:lineRule="auto"/>
      </w:pPr>
      <w:r>
        <w:rPr>
          <w:rFonts w:hint="eastAsia"/>
        </w:rPr>
        <w:t>超过规定时限未完成处置的，应升级报告和升级管理。</w:t>
      </w:r>
    </w:p>
    <w:p w14:paraId="51D9A7E6">
      <w:pPr>
        <w:pStyle w:val="164"/>
        <w:spacing w:line="360" w:lineRule="auto"/>
      </w:pPr>
      <w:r>
        <w:rPr>
          <w:rFonts w:hint="eastAsia"/>
        </w:rPr>
        <w:t>长期未销项的问题应纳入专项督办。</w:t>
      </w:r>
    </w:p>
    <w:p w14:paraId="6A143A18">
      <w:pPr>
        <w:pStyle w:val="105"/>
        <w:spacing w:before="120" w:after="120" w:line="360" w:lineRule="auto"/>
      </w:pPr>
      <w:r>
        <w:rPr>
          <w:rFonts w:hint="eastAsia"/>
        </w:rPr>
        <w:t>复核与销项要求</w:t>
      </w:r>
    </w:p>
    <w:p w14:paraId="0D5C4D8F">
      <w:pPr>
        <w:pStyle w:val="65"/>
        <w:spacing w:before="120" w:after="120" w:line="360" w:lineRule="auto"/>
      </w:pPr>
      <w:r>
        <w:rPr>
          <w:rFonts w:hint="eastAsia"/>
        </w:rPr>
        <w:t>一般要求</w:t>
      </w:r>
    </w:p>
    <w:p w14:paraId="1C6A1CE5">
      <w:pPr>
        <w:pStyle w:val="164"/>
        <w:spacing w:line="360" w:lineRule="auto"/>
      </w:pPr>
      <w:r>
        <w:rPr>
          <w:rFonts w:hint="eastAsia"/>
        </w:rPr>
        <w:t>处置完成后，应开展复核。</w:t>
      </w:r>
    </w:p>
    <w:p w14:paraId="7FC9220C">
      <w:pPr>
        <w:pStyle w:val="164"/>
        <w:spacing w:line="360" w:lineRule="auto"/>
      </w:pPr>
      <w:r>
        <w:rPr>
          <w:rFonts w:hint="eastAsia"/>
        </w:rPr>
        <w:t>复核应包括监测数据复核、现场状态复核和措施落实复核。</w:t>
      </w:r>
    </w:p>
    <w:p w14:paraId="53FB269C">
      <w:pPr>
        <w:pStyle w:val="65"/>
        <w:spacing w:before="120" w:after="120" w:line="360" w:lineRule="auto"/>
      </w:pPr>
      <w:r>
        <w:rPr>
          <w:rFonts w:hint="eastAsia"/>
        </w:rPr>
        <w:t>销项要求</w:t>
      </w:r>
    </w:p>
    <w:p w14:paraId="0D217B65">
      <w:pPr>
        <w:pStyle w:val="164"/>
        <w:spacing w:line="360" w:lineRule="auto"/>
      </w:pPr>
      <w:r>
        <w:rPr>
          <w:rFonts w:hint="eastAsia"/>
        </w:rPr>
        <w:t>同时满足下列条件时，方可销项：</w:t>
      </w:r>
    </w:p>
    <w:p w14:paraId="0261E034">
      <w:pPr>
        <w:pStyle w:val="56"/>
        <w:spacing w:line="360" w:lineRule="auto"/>
        <w:ind w:firstLine="420"/>
      </w:pPr>
      <w:r>
        <w:rPr>
          <w:rFonts w:hint="eastAsia"/>
        </w:rPr>
        <w:t>a）异常原因明确；</w:t>
      </w:r>
    </w:p>
    <w:p w14:paraId="7FE2C9C2">
      <w:pPr>
        <w:pStyle w:val="56"/>
        <w:spacing w:line="360" w:lineRule="auto"/>
        <w:ind w:firstLine="420"/>
      </w:pPr>
      <w:r>
        <w:rPr>
          <w:rFonts w:hint="eastAsia"/>
        </w:rPr>
        <w:t>b）整改措施落实；</w:t>
      </w:r>
    </w:p>
    <w:p w14:paraId="3A631163">
      <w:pPr>
        <w:pStyle w:val="56"/>
        <w:spacing w:line="360" w:lineRule="auto"/>
        <w:ind w:firstLine="420"/>
      </w:pPr>
      <w:r>
        <w:rPr>
          <w:rFonts w:hint="eastAsia"/>
        </w:rPr>
        <w:t>c）监测结果恢复正常或者恢复可控；</w:t>
      </w:r>
    </w:p>
    <w:p w14:paraId="059EE1C1">
      <w:pPr>
        <w:pStyle w:val="56"/>
        <w:spacing w:line="360" w:lineRule="auto"/>
        <w:ind w:firstLine="420"/>
      </w:pPr>
      <w:r>
        <w:rPr>
          <w:rFonts w:hint="eastAsia"/>
        </w:rPr>
        <w:t>d）现场风险消除或者受控；</w:t>
      </w:r>
    </w:p>
    <w:p w14:paraId="62996DF4">
      <w:pPr>
        <w:pStyle w:val="56"/>
        <w:spacing w:line="360" w:lineRule="auto"/>
        <w:ind w:firstLine="420"/>
      </w:pPr>
      <w:r>
        <w:rPr>
          <w:rFonts w:hint="eastAsia"/>
        </w:rPr>
        <w:t>e）相关记录完整。</w:t>
      </w:r>
    </w:p>
    <w:p w14:paraId="58E8C760">
      <w:pPr>
        <w:pStyle w:val="164"/>
        <w:spacing w:line="360" w:lineRule="auto"/>
      </w:pPr>
      <w:r>
        <w:rPr>
          <w:rFonts w:hint="eastAsia"/>
        </w:rPr>
        <w:t>未完成复核或者复核不通过的，不得销项。</w:t>
      </w:r>
    </w:p>
    <w:p w14:paraId="226AA03B">
      <w:pPr>
        <w:pStyle w:val="105"/>
        <w:spacing w:before="120" w:after="120" w:line="360" w:lineRule="auto"/>
      </w:pPr>
      <w:r>
        <w:rPr>
          <w:rFonts w:hint="eastAsia"/>
        </w:rPr>
        <w:t>联动处置要点</w:t>
      </w:r>
    </w:p>
    <w:p w14:paraId="45A95809">
      <w:pPr>
        <w:pStyle w:val="56"/>
        <w:spacing w:line="360" w:lineRule="auto"/>
        <w:ind w:firstLine="420"/>
      </w:pPr>
      <w:r>
        <w:rPr>
          <w:rFonts w:hint="eastAsia"/>
        </w:rPr>
        <w:t>联动处置的主要内容见表5。表5给出了施工期水环境联动处置的主要内容及控制要点。</w:t>
      </w:r>
    </w:p>
    <w:p w14:paraId="07DE5AEA">
      <w:pPr>
        <w:pStyle w:val="112"/>
        <w:spacing w:before="120" w:after="120" w:line="360" w:lineRule="auto"/>
      </w:pPr>
      <w:r>
        <w:rPr>
          <w:rFonts w:hint="eastAsia"/>
        </w:rPr>
        <w:t>施工期水环境联动处置要点表</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2117"/>
        <w:gridCol w:w="4105"/>
        <w:gridCol w:w="3112"/>
      </w:tblGrid>
      <w:tr w14:paraId="5300F6E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2117" w:type="dxa"/>
            <w:tcBorders>
              <w:top w:val="single" w:color="auto" w:sz="8" w:space="0"/>
              <w:bottom w:val="single" w:color="auto" w:sz="8" w:space="0"/>
            </w:tcBorders>
          </w:tcPr>
          <w:p w14:paraId="64BE0676">
            <w:pPr>
              <w:pStyle w:val="178"/>
            </w:pPr>
            <w:r>
              <w:rPr>
                <w:rFonts w:hint="eastAsia"/>
              </w:rPr>
              <w:t>工作类别</w:t>
            </w:r>
          </w:p>
        </w:tc>
        <w:tc>
          <w:tcPr>
            <w:tcW w:w="4105" w:type="dxa"/>
            <w:tcBorders>
              <w:top w:val="single" w:color="auto" w:sz="8" w:space="0"/>
              <w:bottom w:val="single" w:color="auto" w:sz="8" w:space="0"/>
            </w:tcBorders>
          </w:tcPr>
          <w:p w14:paraId="690ABCEC">
            <w:pPr>
              <w:pStyle w:val="178"/>
            </w:pPr>
            <w:r>
              <w:rPr>
                <w:rFonts w:hint="eastAsia"/>
              </w:rPr>
              <w:t>主要内容</w:t>
            </w:r>
          </w:p>
        </w:tc>
        <w:tc>
          <w:tcPr>
            <w:tcW w:w="3112" w:type="dxa"/>
            <w:tcBorders>
              <w:top w:val="single" w:color="auto" w:sz="8" w:space="0"/>
              <w:bottom w:val="single" w:color="auto" w:sz="8" w:space="0"/>
            </w:tcBorders>
          </w:tcPr>
          <w:p w14:paraId="5BFEA4B1">
            <w:pPr>
              <w:pStyle w:val="178"/>
            </w:pPr>
            <w:r>
              <w:rPr>
                <w:rFonts w:hint="eastAsia"/>
              </w:rPr>
              <w:t>控制要点</w:t>
            </w:r>
          </w:p>
        </w:tc>
      </w:tr>
      <w:tr w14:paraId="32153CB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117" w:type="dxa"/>
            <w:tcBorders>
              <w:top w:val="single" w:color="auto" w:sz="8" w:space="0"/>
            </w:tcBorders>
          </w:tcPr>
          <w:p w14:paraId="670D35F6">
            <w:pPr>
              <w:pStyle w:val="178"/>
            </w:pPr>
            <w:r>
              <w:rPr>
                <w:rFonts w:hint="eastAsia"/>
              </w:rPr>
              <w:t>联动机制</w:t>
            </w:r>
          </w:p>
        </w:tc>
        <w:tc>
          <w:tcPr>
            <w:tcW w:w="4105" w:type="dxa"/>
            <w:tcBorders>
              <w:top w:val="single" w:color="auto" w:sz="8" w:space="0"/>
            </w:tcBorders>
          </w:tcPr>
          <w:p w14:paraId="00DC1F19">
            <w:pPr>
              <w:pStyle w:val="178"/>
            </w:pPr>
            <w:r>
              <w:rPr>
                <w:rFonts w:hint="eastAsia"/>
              </w:rPr>
              <w:t>组织、职责、流程、信息流转</w:t>
            </w:r>
          </w:p>
        </w:tc>
        <w:tc>
          <w:tcPr>
            <w:tcW w:w="3112" w:type="dxa"/>
            <w:tcBorders>
              <w:top w:val="single" w:color="auto" w:sz="8" w:space="0"/>
            </w:tcBorders>
          </w:tcPr>
          <w:p w14:paraId="17A1B7CF">
            <w:pPr>
              <w:pStyle w:val="178"/>
            </w:pPr>
            <w:r>
              <w:rPr>
                <w:rFonts w:hint="eastAsia"/>
              </w:rPr>
              <w:t>责任清晰、响应及时、闭环可查</w:t>
            </w:r>
          </w:p>
        </w:tc>
      </w:tr>
      <w:tr w14:paraId="6BD76CA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117" w:type="dxa"/>
          </w:tcPr>
          <w:p w14:paraId="73C8215F">
            <w:pPr>
              <w:pStyle w:val="178"/>
            </w:pPr>
            <w:r>
              <w:rPr>
                <w:rFonts w:hint="eastAsia"/>
              </w:rPr>
              <w:t>现场核查</w:t>
            </w:r>
          </w:p>
        </w:tc>
        <w:tc>
          <w:tcPr>
            <w:tcW w:w="4105" w:type="dxa"/>
          </w:tcPr>
          <w:p w14:paraId="5FB5219F">
            <w:pPr>
              <w:pStyle w:val="178"/>
            </w:pPr>
            <w:r>
              <w:rPr>
                <w:rFonts w:hint="eastAsia"/>
              </w:rPr>
              <w:t>设备、水体、施工、排放、设施状态</w:t>
            </w:r>
          </w:p>
        </w:tc>
        <w:tc>
          <w:tcPr>
            <w:tcW w:w="3112" w:type="dxa"/>
          </w:tcPr>
          <w:p w14:paraId="42D7CCC5">
            <w:pPr>
              <w:pStyle w:val="178"/>
            </w:pPr>
            <w:r>
              <w:rPr>
                <w:rFonts w:hint="eastAsia"/>
              </w:rPr>
              <w:t>应到现场核实，不得只看平台数据</w:t>
            </w:r>
          </w:p>
        </w:tc>
      </w:tr>
      <w:tr w14:paraId="136794C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117" w:type="dxa"/>
          </w:tcPr>
          <w:p w14:paraId="426FCFEE">
            <w:pPr>
              <w:pStyle w:val="178"/>
            </w:pPr>
            <w:r>
              <w:rPr>
                <w:rFonts w:hint="eastAsia"/>
              </w:rPr>
              <w:t>原因分析</w:t>
            </w:r>
          </w:p>
        </w:tc>
        <w:tc>
          <w:tcPr>
            <w:tcW w:w="4105" w:type="dxa"/>
          </w:tcPr>
          <w:p w14:paraId="5688BD25">
            <w:pPr>
              <w:pStyle w:val="178"/>
            </w:pPr>
            <w:r>
              <w:rPr>
                <w:rFonts w:hint="eastAsia"/>
              </w:rPr>
              <w:t>设备原因、施工原因、自然原因</w:t>
            </w:r>
          </w:p>
        </w:tc>
        <w:tc>
          <w:tcPr>
            <w:tcW w:w="3112" w:type="dxa"/>
          </w:tcPr>
          <w:p w14:paraId="56CD0C8E">
            <w:pPr>
              <w:pStyle w:val="178"/>
            </w:pPr>
            <w:r>
              <w:rPr>
                <w:rFonts w:hint="eastAsia"/>
              </w:rPr>
              <w:t>原因不明不得简单销项</w:t>
            </w:r>
          </w:p>
        </w:tc>
      </w:tr>
      <w:tr w14:paraId="4B6F0AD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117" w:type="dxa"/>
          </w:tcPr>
          <w:p w14:paraId="07C467EC">
            <w:pPr>
              <w:pStyle w:val="178"/>
            </w:pPr>
            <w:r>
              <w:rPr>
                <w:rFonts w:hint="eastAsia"/>
              </w:rPr>
              <w:t>整改处置</w:t>
            </w:r>
          </w:p>
        </w:tc>
        <w:tc>
          <w:tcPr>
            <w:tcW w:w="4105" w:type="dxa"/>
          </w:tcPr>
          <w:p w14:paraId="14D38E59">
            <w:pPr>
              <w:pStyle w:val="178"/>
            </w:pPr>
            <w:r>
              <w:rPr>
                <w:rFonts w:hint="eastAsia"/>
              </w:rPr>
              <w:t>停排、限作业、加强治理、加密监测</w:t>
            </w:r>
          </w:p>
        </w:tc>
        <w:tc>
          <w:tcPr>
            <w:tcW w:w="3112" w:type="dxa"/>
          </w:tcPr>
          <w:p w14:paraId="130895FF">
            <w:pPr>
              <w:pStyle w:val="178"/>
            </w:pPr>
            <w:r>
              <w:rPr>
                <w:rFonts w:hint="eastAsia"/>
              </w:rPr>
              <w:t>应与异常类型和等级匹配</w:t>
            </w:r>
          </w:p>
        </w:tc>
      </w:tr>
      <w:tr w14:paraId="73148EC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117" w:type="dxa"/>
          </w:tcPr>
          <w:p w14:paraId="7DFEA9B9">
            <w:pPr>
              <w:pStyle w:val="178"/>
            </w:pPr>
            <w:r>
              <w:rPr>
                <w:rFonts w:hint="eastAsia"/>
              </w:rPr>
              <w:t>复核销项</w:t>
            </w:r>
          </w:p>
        </w:tc>
        <w:tc>
          <w:tcPr>
            <w:tcW w:w="4105" w:type="dxa"/>
          </w:tcPr>
          <w:p w14:paraId="2DC20815">
            <w:pPr>
              <w:pStyle w:val="178"/>
            </w:pPr>
            <w:r>
              <w:rPr>
                <w:rFonts w:hint="eastAsia"/>
              </w:rPr>
              <w:t>数据复核、现场复核、措施复核</w:t>
            </w:r>
          </w:p>
        </w:tc>
        <w:tc>
          <w:tcPr>
            <w:tcW w:w="3112" w:type="dxa"/>
          </w:tcPr>
          <w:p w14:paraId="07BCDA6F">
            <w:pPr>
              <w:pStyle w:val="178"/>
            </w:pPr>
            <w:r>
              <w:rPr>
                <w:rFonts w:hint="eastAsia"/>
              </w:rPr>
              <w:t>复核通过后方可销项</w:t>
            </w:r>
          </w:p>
        </w:tc>
      </w:tr>
    </w:tbl>
    <w:p w14:paraId="6BD915E9">
      <w:pPr>
        <w:pStyle w:val="105"/>
        <w:spacing w:before="120" w:after="120" w:line="360" w:lineRule="auto"/>
      </w:pPr>
      <w:r>
        <w:rPr>
          <w:rFonts w:hint="eastAsia"/>
        </w:rPr>
        <w:t>禁止性要求</w:t>
      </w:r>
    </w:p>
    <w:p w14:paraId="30EE4780">
      <w:pPr>
        <w:pStyle w:val="165"/>
        <w:spacing w:line="360" w:lineRule="auto"/>
      </w:pPr>
      <w:r>
        <w:rPr>
          <w:rFonts w:hint="eastAsia"/>
        </w:rPr>
        <w:t>不得在预警触发后长期不核查、不转办和不处置。</w:t>
      </w:r>
    </w:p>
    <w:p w14:paraId="03541178">
      <w:pPr>
        <w:pStyle w:val="165"/>
        <w:spacing w:line="360" w:lineRule="auto"/>
      </w:pPr>
      <w:r>
        <w:rPr>
          <w:rFonts w:hint="eastAsia"/>
        </w:rPr>
        <w:t>不得将联动处置简化为单一单位自行处理而无协同机制。</w:t>
      </w:r>
    </w:p>
    <w:p w14:paraId="5ED1BAD1">
      <w:pPr>
        <w:pStyle w:val="165"/>
        <w:spacing w:line="360" w:lineRule="auto"/>
      </w:pPr>
      <w:r>
        <w:rPr>
          <w:rFonts w:hint="eastAsia"/>
        </w:rPr>
        <w:t>不得在原因未查明、措施未落实的情况下直接销项。</w:t>
      </w:r>
    </w:p>
    <w:p w14:paraId="19DC5FA0">
      <w:pPr>
        <w:pStyle w:val="165"/>
        <w:spacing w:line="360" w:lineRule="auto"/>
      </w:pPr>
      <w:r>
        <w:rPr>
          <w:rFonts w:hint="eastAsia"/>
        </w:rPr>
        <w:t>不得以“设备故障”作为通用理由规避施工责任排查。</w:t>
      </w:r>
    </w:p>
    <w:p w14:paraId="4B59A997">
      <w:pPr>
        <w:pStyle w:val="165"/>
        <w:spacing w:line="360" w:lineRule="auto"/>
      </w:pPr>
      <w:r>
        <w:rPr>
          <w:rFonts w:hint="eastAsia"/>
        </w:rPr>
        <w:t>不得只记录处置完成而无效果复核和复核记录。</w:t>
      </w:r>
    </w:p>
    <w:p w14:paraId="57C82210">
      <w:pPr>
        <w:pStyle w:val="104"/>
        <w:spacing w:before="240" w:after="240" w:line="360" w:lineRule="auto"/>
      </w:pPr>
      <w:bookmarkStart w:id="57" w:name="_Toc228609194"/>
      <w:r>
        <w:rPr>
          <w:rFonts w:hint="eastAsia"/>
        </w:rPr>
        <w:t>运行维护要求</w:t>
      </w:r>
      <w:bookmarkEnd w:id="57"/>
    </w:p>
    <w:p w14:paraId="2D4EA177">
      <w:pPr>
        <w:pStyle w:val="105"/>
        <w:spacing w:before="120" w:after="120" w:line="360" w:lineRule="auto"/>
      </w:pPr>
      <w:r>
        <w:rPr>
          <w:rFonts w:hint="eastAsia"/>
        </w:rPr>
        <w:t>一般要求</w:t>
      </w:r>
    </w:p>
    <w:p w14:paraId="425559E0">
      <w:pPr>
        <w:pStyle w:val="165"/>
        <w:spacing w:line="360" w:lineRule="auto"/>
      </w:pPr>
      <w:r>
        <w:rPr>
          <w:rFonts w:hint="eastAsia"/>
        </w:rPr>
        <w:t>施工期水环境在线监测与智慧管控系统应建立运行维护制度。</w:t>
      </w:r>
    </w:p>
    <w:p w14:paraId="5BF681E3">
      <w:pPr>
        <w:pStyle w:val="165"/>
        <w:spacing w:line="360" w:lineRule="auto"/>
      </w:pPr>
      <w:r>
        <w:rPr>
          <w:rFonts w:hint="eastAsia"/>
        </w:rPr>
        <w:t>运行维护应覆盖在线监测设备、采样系统、预处理系统、数据采集系统、通信系统、视频系统、平台系统和供电保障系统。</w:t>
      </w:r>
    </w:p>
    <w:p w14:paraId="61A1C815">
      <w:pPr>
        <w:pStyle w:val="165"/>
        <w:spacing w:line="360" w:lineRule="auto"/>
      </w:pPr>
      <w:r>
        <w:rPr>
          <w:rFonts w:hint="eastAsia"/>
        </w:rPr>
        <w:t>运行维护应坚持日常巡检、定期维护、异常快修、质量控制和记录管理相结合的原则。</w:t>
      </w:r>
    </w:p>
    <w:p w14:paraId="23C6721E">
      <w:pPr>
        <w:pStyle w:val="165"/>
        <w:spacing w:line="360" w:lineRule="auto"/>
      </w:pPr>
      <w:r>
        <w:rPr>
          <w:rFonts w:hint="eastAsia"/>
        </w:rPr>
        <w:t>系统运行期间不得长期无巡检、无维护、无校验和无故障处理机制。</w:t>
      </w:r>
    </w:p>
    <w:p w14:paraId="42B57EC2">
      <w:pPr>
        <w:pStyle w:val="105"/>
        <w:spacing w:before="120" w:after="120" w:line="360" w:lineRule="auto"/>
      </w:pPr>
      <w:r>
        <w:rPr>
          <w:rFonts w:hint="eastAsia"/>
        </w:rPr>
        <w:t>日常巡检要求</w:t>
      </w:r>
    </w:p>
    <w:p w14:paraId="2677ACC3">
      <w:pPr>
        <w:pStyle w:val="65"/>
        <w:spacing w:before="120" w:after="120" w:line="360" w:lineRule="auto"/>
      </w:pPr>
      <w:r>
        <w:rPr>
          <w:rFonts w:hint="eastAsia"/>
        </w:rPr>
        <w:t>一般要求</w:t>
      </w:r>
    </w:p>
    <w:p w14:paraId="177B3880">
      <w:pPr>
        <w:pStyle w:val="164"/>
        <w:spacing w:line="360" w:lineRule="auto"/>
      </w:pPr>
      <w:r>
        <w:rPr>
          <w:rFonts w:hint="eastAsia"/>
        </w:rPr>
        <w:t>运维单位应建立日常巡检制度。</w:t>
      </w:r>
    </w:p>
    <w:p w14:paraId="64A53690">
      <w:pPr>
        <w:pStyle w:val="164"/>
        <w:spacing w:line="360" w:lineRule="auto"/>
      </w:pPr>
      <w:r>
        <w:rPr>
          <w:rFonts w:hint="eastAsia"/>
        </w:rPr>
        <w:t>巡检应覆盖设备状态、通信状态、供电状态、采样状态和平台状态。</w:t>
      </w:r>
    </w:p>
    <w:p w14:paraId="5F43DA62">
      <w:pPr>
        <w:pStyle w:val="164"/>
        <w:spacing w:line="360" w:lineRule="auto"/>
      </w:pPr>
      <w:r>
        <w:rPr>
          <w:rFonts w:hint="eastAsia"/>
        </w:rPr>
        <w:t>对重点点位和故障高发点位，应增加巡检频次。</w:t>
      </w:r>
    </w:p>
    <w:p w14:paraId="19D1347E">
      <w:pPr>
        <w:pStyle w:val="56"/>
        <w:spacing w:line="360" w:lineRule="auto"/>
        <w:ind w:firstLine="420"/>
      </w:pPr>
      <w:r>
        <w:rPr>
          <w:rFonts w:hint="eastAsia"/>
        </w:rPr>
        <w:t>巡检内容</w:t>
      </w:r>
    </w:p>
    <w:p w14:paraId="2EDCA9AD">
      <w:pPr>
        <w:pStyle w:val="56"/>
        <w:spacing w:line="360" w:lineRule="auto"/>
        <w:ind w:firstLine="420"/>
      </w:pPr>
      <w:r>
        <w:rPr>
          <w:rFonts w:hint="eastAsia"/>
        </w:rPr>
        <w:t>巡检宜至少包括下列内容：</w:t>
      </w:r>
    </w:p>
    <w:p w14:paraId="59509AC7">
      <w:pPr>
        <w:pStyle w:val="56"/>
        <w:spacing w:line="360" w:lineRule="auto"/>
        <w:ind w:firstLine="420"/>
      </w:pPr>
      <w:r>
        <w:rPr>
          <w:rFonts w:hint="eastAsia"/>
        </w:rPr>
        <w:t>a）设备运行指示；</w:t>
      </w:r>
    </w:p>
    <w:p w14:paraId="044E9BBD">
      <w:pPr>
        <w:pStyle w:val="56"/>
        <w:spacing w:line="360" w:lineRule="auto"/>
        <w:ind w:firstLine="420"/>
      </w:pPr>
      <w:r>
        <w:rPr>
          <w:rFonts w:hint="eastAsia"/>
        </w:rPr>
        <w:t>b）采样口和管路状态；</w:t>
      </w:r>
    </w:p>
    <w:p w14:paraId="56B95429">
      <w:pPr>
        <w:pStyle w:val="56"/>
        <w:spacing w:line="360" w:lineRule="auto"/>
        <w:ind w:firstLine="420"/>
      </w:pPr>
      <w:r>
        <w:rPr>
          <w:rFonts w:hint="eastAsia"/>
        </w:rPr>
        <w:t>c）试剂和耗材状态；</w:t>
      </w:r>
    </w:p>
    <w:p w14:paraId="1EDE9312">
      <w:pPr>
        <w:pStyle w:val="56"/>
        <w:spacing w:line="360" w:lineRule="auto"/>
        <w:ind w:firstLine="420"/>
      </w:pPr>
      <w:r>
        <w:rPr>
          <w:rFonts w:hint="eastAsia"/>
        </w:rPr>
        <w:t>d）机柜和站房状态；</w:t>
      </w:r>
    </w:p>
    <w:p w14:paraId="5BBCDBC6">
      <w:pPr>
        <w:pStyle w:val="56"/>
        <w:spacing w:line="360" w:lineRule="auto"/>
        <w:ind w:firstLine="420"/>
      </w:pPr>
      <w:r>
        <w:rPr>
          <w:rFonts w:hint="eastAsia"/>
        </w:rPr>
        <w:t>e）供电和防雷状态；</w:t>
      </w:r>
    </w:p>
    <w:p w14:paraId="77482AA5">
      <w:pPr>
        <w:pStyle w:val="56"/>
        <w:spacing w:line="360" w:lineRule="auto"/>
        <w:ind w:firstLine="420"/>
      </w:pPr>
      <w:r>
        <w:rPr>
          <w:rFonts w:hint="eastAsia"/>
        </w:rPr>
        <w:t>f）通信和数据上传状态；</w:t>
      </w:r>
    </w:p>
    <w:p w14:paraId="2698F57A">
      <w:pPr>
        <w:pStyle w:val="56"/>
        <w:spacing w:line="360" w:lineRule="auto"/>
        <w:ind w:firstLine="420"/>
      </w:pPr>
      <w:r>
        <w:rPr>
          <w:rFonts w:hint="eastAsia"/>
        </w:rPr>
        <w:t>g）视频监控状态；</w:t>
      </w:r>
    </w:p>
    <w:p w14:paraId="024B2BC6">
      <w:pPr>
        <w:pStyle w:val="56"/>
        <w:spacing w:line="360" w:lineRule="auto"/>
        <w:ind w:firstLine="420"/>
      </w:pPr>
      <w:r>
        <w:rPr>
          <w:rFonts w:hint="eastAsia"/>
        </w:rPr>
        <w:t>h）告警状态和日志状态。</w:t>
      </w:r>
    </w:p>
    <w:p w14:paraId="61AB020E">
      <w:pPr>
        <w:pStyle w:val="105"/>
        <w:spacing w:before="120" w:after="120" w:line="360" w:lineRule="auto"/>
      </w:pPr>
      <w:r>
        <w:rPr>
          <w:rFonts w:hint="eastAsia"/>
        </w:rPr>
        <w:t>定期维护要求</w:t>
      </w:r>
    </w:p>
    <w:p w14:paraId="21C3CB76">
      <w:pPr>
        <w:pStyle w:val="65"/>
        <w:spacing w:before="120" w:after="120" w:line="360" w:lineRule="auto"/>
      </w:pPr>
      <w:r>
        <w:rPr>
          <w:rFonts w:hint="eastAsia"/>
        </w:rPr>
        <w:t>一般要求</w:t>
      </w:r>
    </w:p>
    <w:p w14:paraId="7F373CE2">
      <w:pPr>
        <w:pStyle w:val="164"/>
        <w:spacing w:line="360" w:lineRule="auto"/>
      </w:pPr>
      <w:r>
        <w:rPr>
          <w:rFonts w:hint="eastAsia"/>
        </w:rPr>
        <w:t>在线监测设施应按规定开展定期维护。</w:t>
      </w:r>
    </w:p>
    <w:p w14:paraId="5D78472F">
      <w:pPr>
        <w:pStyle w:val="164"/>
        <w:spacing w:line="360" w:lineRule="auto"/>
      </w:pPr>
      <w:r>
        <w:rPr>
          <w:rFonts w:hint="eastAsia"/>
        </w:rPr>
        <w:t>定期维护应根据设备类型、运行频次、环境条件和厂商要求实施。</w:t>
      </w:r>
    </w:p>
    <w:p w14:paraId="12696427">
      <w:pPr>
        <w:pStyle w:val="56"/>
        <w:spacing w:line="360" w:lineRule="auto"/>
        <w:ind w:firstLine="420"/>
      </w:pPr>
      <w:r>
        <w:rPr>
          <w:rFonts w:hint="eastAsia"/>
        </w:rPr>
        <w:t>维护内容</w:t>
      </w:r>
    </w:p>
    <w:p w14:paraId="103478D5">
      <w:pPr>
        <w:pStyle w:val="56"/>
        <w:spacing w:line="360" w:lineRule="auto"/>
        <w:ind w:firstLine="420"/>
      </w:pPr>
      <w:r>
        <w:rPr>
          <w:rFonts w:hint="eastAsia"/>
        </w:rPr>
        <w:t>定期维护宜至少包括下列内容：</w:t>
      </w:r>
    </w:p>
    <w:p w14:paraId="640AA379">
      <w:pPr>
        <w:pStyle w:val="56"/>
        <w:spacing w:line="360" w:lineRule="auto"/>
        <w:ind w:firstLine="420"/>
      </w:pPr>
      <w:r>
        <w:rPr>
          <w:rFonts w:hint="eastAsia"/>
        </w:rPr>
        <w:t>a）清洁保养；</w:t>
      </w:r>
    </w:p>
    <w:p w14:paraId="072E3F50">
      <w:pPr>
        <w:pStyle w:val="56"/>
        <w:spacing w:line="360" w:lineRule="auto"/>
        <w:ind w:firstLine="420"/>
      </w:pPr>
      <w:r>
        <w:rPr>
          <w:rFonts w:hint="eastAsia"/>
        </w:rPr>
        <w:t>b）滤芯和耗材更换；</w:t>
      </w:r>
    </w:p>
    <w:p w14:paraId="143F9830">
      <w:pPr>
        <w:pStyle w:val="56"/>
        <w:spacing w:line="360" w:lineRule="auto"/>
        <w:ind w:firstLine="420"/>
      </w:pPr>
      <w:r>
        <w:rPr>
          <w:rFonts w:hint="eastAsia"/>
        </w:rPr>
        <w:t>c）试剂补充和更换；</w:t>
      </w:r>
    </w:p>
    <w:p w14:paraId="66BE1EC9">
      <w:pPr>
        <w:pStyle w:val="56"/>
        <w:spacing w:line="360" w:lineRule="auto"/>
        <w:ind w:firstLine="420"/>
      </w:pPr>
      <w:r>
        <w:rPr>
          <w:rFonts w:hint="eastAsia"/>
        </w:rPr>
        <w:t>d）采样管路冲洗；</w:t>
      </w:r>
    </w:p>
    <w:p w14:paraId="26AFEB73">
      <w:pPr>
        <w:pStyle w:val="56"/>
        <w:spacing w:line="360" w:lineRule="auto"/>
        <w:ind w:firstLine="420"/>
      </w:pPr>
      <w:r>
        <w:rPr>
          <w:rFonts w:hint="eastAsia"/>
        </w:rPr>
        <w:t>e）传感器检查；</w:t>
      </w:r>
    </w:p>
    <w:p w14:paraId="45E859DE">
      <w:pPr>
        <w:pStyle w:val="56"/>
        <w:spacing w:line="360" w:lineRule="auto"/>
        <w:ind w:firstLine="420"/>
      </w:pPr>
      <w:r>
        <w:rPr>
          <w:rFonts w:hint="eastAsia"/>
        </w:rPr>
        <w:t>f）部件紧固；</w:t>
      </w:r>
    </w:p>
    <w:p w14:paraId="7DCC713C">
      <w:pPr>
        <w:pStyle w:val="56"/>
        <w:spacing w:line="360" w:lineRule="auto"/>
        <w:ind w:firstLine="420"/>
      </w:pPr>
      <w:r>
        <w:rPr>
          <w:rFonts w:hint="eastAsia"/>
        </w:rPr>
        <w:t>g）防护设施检查；</w:t>
      </w:r>
    </w:p>
    <w:p w14:paraId="1A5EA1AD">
      <w:pPr>
        <w:pStyle w:val="56"/>
        <w:spacing w:line="360" w:lineRule="auto"/>
        <w:ind w:firstLine="420"/>
      </w:pPr>
      <w:r>
        <w:rPr>
          <w:rFonts w:hint="eastAsia"/>
        </w:rPr>
        <w:t>h）系统软件检查。</w:t>
      </w:r>
    </w:p>
    <w:p w14:paraId="2E7ABEF6">
      <w:pPr>
        <w:pStyle w:val="105"/>
        <w:spacing w:before="120" w:after="120" w:line="360" w:lineRule="auto"/>
      </w:pPr>
      <w:r>
        <w:rPr>
          <w:rFonts w:hint="eastAsia"/>
        </w:rPr>
        <w:t>校验与质量控制要求</w:t>
      </w:r>
    </w:p>
    <w:p w14:paraId="6882D75A">
      <w:pPr>
        <w:pStyle w:val="65"/>
        <w:spacing w:before="120" w:after="120" w:line="360" w:lineRule="auto"/>
      </w:pPr>
      <w:r>
        <w:rPr>
          <w:rFonts w:hint="eastAsia"/>
        </w:rPr>
        <w:t>一般要求</w:t>
      </w:r>
    </w:p>
    <w:p w14:paraId="6E4556EB">
      <w:pPr>
        <w:pStyle w:val="164"/>
        <w:spacing w:line="360" w:lineRule="auto"/>
      </w:pPr>
      <w:r>
        <w:rPr>
          <w:rFonts w:hint="eastAsia"/>
        </w:rPr>
        <w:t>在线监测设备应按规定开展校验和质量控制。</w:t>
      </w:r>
    </w:p>
    <w:p w14:paraId="1354D36D">
      <w:pPr>
        <w:pStyle w:val="164"/>
        <w:spacing w:line="360" w:lineRule="auto"/>
      </w:pPr>
      <w:r>
        <w:rPr>
          <w:rFonts w:hint="eastAsia"/>
        </w:rPr>
        <w:t>校验与质量控制应满足现行相关技术规范要求。</w:t>
      </w:r>
    </w:p>
    <w:p w14:paraId="01B0F3C8">
      <w:pPr>
        <w:pStyle w:val="164"/>
        <w:spacing w:line="360" w:lineRule="auto"/>
      </w:pPr>
      <w:r>
        <w:rPr>
          <w:rFonts w:hint="eastAsia"/>
        </w:rPr>
        <w:t>校验、维护和质量控制活动应形成记录。</w:t>
      </w:r>
    </w:p>
    <w:p w14:paraId="121180CE">
      <w:pPr>
        <w:pStyle w:val="65"/>
        <w:spacing w:before="120" w:after="120" w:line="360" w:lineRule="auto"/>
      </w:pPr>
      <w:r>
        <w:rPr>
          <w:rFonts w:hint="eastAsia"/>
        </w:rPr>
        <w:t>质量控制内容</w:t>
      </w:r>
    </w:p>
    <w:p w14:paraId="10D5AAB3">
      <w:pPr>
        <w:pStyle w:val="56"/>
        <w:spacing w:line="360" w:lineRule="auto"/>
        <w:ind w:firstLine="420"/>
      </w:pPr>
      <w:r>
        <w:rPr>
          <w:rFonts w:hint="eastAsia"/>
        </w:rPr>
        <w:t>质量控制宜至少包括下列内容：</w:t>
      </w:r>
    </w:p>
    <w:p w14:paraId="6EF2DACE">
      <w:pPr>
        <w:pStyle w:val="56"/>
        <w:spacing w:line="360" w:lineRule="auto"/>
        <w:ind w:firstLine="420"/>
      </w:pPr>
      <w:r>
        <w:rPr>
          <w:rFonts w:hint="eastAsia"/>
        </w:rPr>
        <w:t>a）零点检查；</w:t>
      </w:r>
    </w:p>
    <w:p w14:paraId="75C10319">
      <w:pPr>
        <w:pStyle w:val="56"/>
        <w:spacing w:line="360" w:lineRule="auto"/>
        <w:ind w:firstLine="420"/>
      </w:pPr>
      <w:r>
        <w:rPr>
          <w:rFonts w:hint="eastAsia"/>
        </w:rPr>
        <w:t>b）跨度检查；</w:t>
      </w:r>
    </w:p>
    <w:p w14:paraId="08A0D670">
      <w:pPr>
        <w:pStyle w:val="56"/>
        <w:spacing w:line="360" w:lineRule="auto"/>
        <w:ind w:firstLine="420"/>
      </w:pPr>
      <w:r>
        <w:rPr>
          <w:rFonts w:hint="eastAsia"/>
        </w:rPr>
        <w:t>c）比对检查；</w:t>
      </w:r>
    </w:p>
    <w:p w14:paraId="1D4F4003">
      <w:pPr>
        <w:pStyle w:val="56"/>
        <w:spacing w:line="360" w:lineRule="auto"/>
        <w:ind w:firstLine="420"/>
      </w:pPr>
      <w:r>
        <w:rPr>
          <w:rFonts w:hint="eastAsia"/>
        </w:rPr>
        <w:t>d）状态标识检查；</w:t>
      </w:r>
    </w:p>
    <w:p w14:paraId="045764D9">
      <w:pPr>
        <w:pStyle w:val="56"/>
        <w:spacing w:line="360" w:lineRule="auto"/>
        <w:ind w:firstLine="420"/>
      </w:pPr>
      <w:r>
        <w:rPr>
          <w:rFonts w:hint="eastAsia"/>
        </w:rPr>
        <w:t>e）数据完整性检查；</w:t>
      </w:r>
    </w:p>
    <w:p w14:paraId="27C47D53">
      <w:pPr>
        <w:pStyle w:val="56"/>
        <w:spacing w:line="360" w:lineRule="auto"/>
        <w:ind w:firstLine="420"/>
      </w:pPr>
      <w:r>
        <w:rPr>
          <w:rFonts w:hint="eastAsia"/>
        </w:rPr>
        <w:t>f）异常率统计；</w:t>
      </w:r>
    </w:p>
    <w:p w14:paraId="212E9F5A">
      <w:pPr>
        <w:pStyle w:val="56"/>
        <w:spacing w:line="360" w:lineRule="auto"/>
        <w:ind w:firstLine="420"/>
      </w:pPr>
      <w:r>
        <w:rPr>
          <w:rFonts w:hint="eastAsia"/>
        </w:rPr>
        <w:t>g）故障率统计。</w:t>
      </w:r>
    </w:p>
    <w:p w14:paraId="70200896">
      <w:pPr>
        <w:pStyle w:val="105"/>
        <w:spacing w:before="120" w:after="120" w:line="360" w:lineRule="auto"/>
      </w:pPr>
      <w:r>
        <w:rPr>
          <w:rFonts w:hint="eastAsia"/>
        </w:rPr>
        <w:t>故障处理要求</w:t>
      </w:r>
    </w:p>
    <w:p w14:paraId="706FB3C2">
      <w:pPr>
        <w:pStyle w:val="65"/>
        <w:spacing w:before="120" w:after="120" w:line="360" w:lineRule="auto"/>
      </w:pPr>
      <w:r>
        <w:rPr>
          <w:rFonts w:hint="eastAsia"/>
        </w:rPr>
        <w:t>一般要求</w:t>
      </w:r>
    </w:p>
    <w:p w14:paraId="0177D6AC">
      <w:pPr>
        <w:pStyle w:val="164"/>
        <w:spacing w:line="360" w:lineRule="auto"/>
      </w:pPr>
      <w:r>
        <w:rPr>
          <w:rFonts w:hint="eastAsia"/>
        </w:rPr>
        <w:t>系统发生故障时，应及时处置。</w:t>
      </w:r>
    </w:p>
    <w:p w14:paraId="785088E0">
      <w:pPr>
        <w:pStyle w:val="164"/>
        <w:spacing w:line="360" w:lineRule="auto"/>
      </w:pPr>
      <w:r>
        <w:rPr>
          <w:rFonts w:hint="eastAsia"/>
        </w:rPr>
        <w:t>故障处理应坚持先恢复监测能力、后分析深层原因的原则。</w:t>
      </w:r>
    </w:p>
    <w:p w14:paraId="4453E142">
      <w:pPr>
        <w:pStyle w:val="164"/>
        <w:spacing w:line="360" w:lineRule="auto"/>
      </w:pPr>
      <w:r>
        <w:rPr>
          <w:rFonts w:hint="eastAsia"/>
        </w:rPr>
        <w:t>故障未消除前，应采取人工补测、临时替代或者加密巡查等补救措施。</w:t>
      </w:r>
    </w:p>
    <w:p w14:paraId="4666BF39">
      <w:pPr>
        <w:pStyle w:val="65"/>
        <w:spacing w:before="120" w:after="120" w:line="360" w:lineRule="auto"/>
      </w:pPr>
      <w:r>
        <w:rPr>
          <w:rFonts w:hint="eastAsia"/>
        </w:rPr>
        <w:t>故障分类</w:t>
      </w:r>
    </w:p>
    <w:p w14:paraId="43C11CC3">
      <w:pPr>
        <w:pStyle w:val="164"/>
        <w:spacing w:line="360" w:lineRule="auto"/>
      </w:pPr>
      <w:r>
        <w:rPr>
          <w:rFonts w:hint="eastAsia"/>
        </w:rPr>
        <w:t>故障宜分为一般故障、重要故障和紧急故障。</w:t>
      </w:r>
    </w:p>
    <w:p w14:paraId="5EFC3B2D">
      <w:pPr>
        <w:pStyle w:val="164"/>
        <w:spacing w:line="360" w:lineRule="auto"/>
      </w:pPr>
      <w:r>
        <w:rPr>
          <w:rFonts w:hint="eastAsia"/>
        </w:rPr>
        <w:t>对导致敏感点位失去监测能力、重点排放口失去监测能力、平台失去预警能力或者多点同步中断的，应按重要故障或者紧急故障管理。</w:t>
      </w:r>
    </w:p>
    <w:p w14:paraId="2D5DEB74">
      <w:pPr>
        <w:pStyle w:val="105"/>
        <w:spacing w:before="120" w:after="120" w:line="360" w:lineRule="auto"/>
      </w:pPr>
      <w:r>
        <w:rPr>
          <w:rFonts w:hint="eastAsia"/>
        </w:rPr>
        <w:t>运行维护要点</w:t>
      </w:r>
    </w:p>
    <w:p w14:paraId="3791D5E1">
      <w:pPr>
        <w:pStyle w:val="56"/>
        <w:spacing w:line="360" w:lineRule="auto"/>
        <w:ind w:firstLine="420"/>
      </w:pPr>
      <w:r>
        <w:rPr>
          <w:rFonts w:hint="eastAsia"/>
        </w:rPr>
        <w:t>运行维护的主要内容见表6。表6给出了施工期水环境在线监测系统运行维护的主要内容及控制要点。</w:t>
      </w:r>
    </w:p>
    <w:p w14:paraId="67ACC476">
      <w:pPr>
        <w:pStyle w:val="112"/>
        <w:spacing w:before="120" w:after="120" w:line="360" w:lineRule="auto"/>
      </w:pPr>
      <w:r>
        <w:rPr>
          <w:rFonts w:hint="eastAsia"/>
        </w:rPr>
        <w:t>施工期水环境在线监测运行维护要点表</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3110"/>
        <w:gridCol w:w="3112"/>
        <w:gridCol w:w="3112"/>
      </w:tblGrid>
      <w:tr w14:paraId="1B2152F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3110" w:type="dxa"/>
            <w:tcBorders>
              <w:top w:val="single" w:color="auto" w:sz="8" w:space="0"/>
              <w:bottom w:val="single" w:color="auto" w:sz="8" w:space="0"/>
            </w:tcBorders>
          </w:tcPr>
          <w:p w14:paraId="18D90A00">
            <w:pPr>
              <w:pStyle w:val="178"/>
            </w:pPr>
            <w:r>
              <w:rPr>
                <w:rFonts w:hint="eastAsia"/>
              </w:rPr>
              <w:t>工作类别</w:t>
            </w:r>
          </w:p>
        </w:tc>
        <w:tc>
          <w:tcPr>
            <w:tcW w:w="3112" w:type="dxa"/>
            <w:tcBorders>
              <w:top w:val="single" w:color="auto" w:sz="8" w:space="0"/>
              <w:bottom w:val="single" w:color="auto" w:sz="8" w:space="0"/>
            </w:tcBorders>
          </w:tcPr>
          <w:p w14:paraId="5961533A">
            <w:pPr>
              <w:pStyle w:val="178"/>
            </w:pPr>
            <w:r>
              <w:rPr>
                <w:rFonts w:hint="eastAsia"/>
              </w:rPr>
              <w:t>主要内容</w:t>
            </w:r>
          </w:p>
        </w:tc>
        <w:tc>
          <w:tcPr>
            <w:tcW w:w="3112" w:type="dxa"/>
            <w:tcBorders>
              <w:top w:val="single" w:color="auto" w:sz="8" w:space="0"/>
              <w:bottom w:val="single" w:color="auto" w:sz="8" w:space="0"/>
            </w:tcBorders>
          </w:tcPr>
          <w:p w14:paraId="05C2BEE0">
            <w:pPr>
              <w:pStyle w:val="178"/>
            </w:pPr>
            <w:r>
              <w:rPr>
                <w:rFonts w:hint="eastAsia"/>
              </w:rPr>
              <w:t>控制要点</w:t>
            </w:r>
          </w:p>
        </w:tc>
      </w:tr>
      <w:tr w14:paraId="2FBAFC8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110" w:type="dxa"/>
            <w:tcBorders>
              <w:top w:val="single" w:color="auto" w:sz="8" w:space="0"/>
            </w:tcBorders>
          </w:tcPr>
          <w:p w14:paraId="6877D0E6">
            <w:pPr>
              <w:pStyle w:val="178"/>
            </w:pPr>
            <w:r>
              <w:rPr>
                <w:rFonts w:hint="eastAsia"/>
              </w:rPr>
              <w:t>日常巡检</w:t>
            </w:r>
          </w:p>
        </w:tc>
        <w:tc>
          <w:tcPr>
            <w:tcW w:w="3112" w:type="dxa"/>
            <w:tcBorders>
              <w:top w:val="single" w:color="auto" w:sz="8" w:space="0"/>
            </w:tcBorders>
          </w:tcPr>
          <w:p w14:paraId="5795F03A">
            <w:pPr>
              <w:pStyle w:val="178"/>
            </w:pPr>
            <w:r>
              <w:rPr>
                <w:rFonts w:hint="eastAsia"/>
              </w:rPr>
              <w:t>设备、通信、供电、采样、平台</w:t>
            </w:r>
          </w:p>
        </w:tc>
        <w:tc>
          <w:tcPr>
            <w:tcW w:w="3112" w:type="dxa"/>
            <w:tcBorders>
              <w:top w:val="single" w:color="auto" w:sz="8" w:space="0"/>
            </w:tcBorders>
          </w:tcPr>
          <w:p w14:paraId="2E2DD7C2">
            <w:pPr>
              <w:pStyle w:val="178"/>
            </w:pPr>
            <w:r>
              <w:rPr>
                <w:rFonts w:hint="eastAsia"/>
              </w:rPr>
              <w:t>重点点位应加密巡检</w:t>
            </w:r>
          </w:p>
        </w:tc>
      </w:tr>
      <w:tr w14:paraId="481DB9B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110" w:type="dxa"/>
          </w:tcPr>
          <w:p w14:paraId="337692B9">
            <w:pPr>
              <w:pStyle w:val="178"/>
            </w:pPr>
            <w:r>
              <w:rPr>
                <w:rFonts w:hint="eastAsia"/>
              </w:rPr>
              <w:t>定期维护</w:t>
            </w:r>
          </w:p>
        </w:tc>
        <w:tc>
          <w:tcPr>
            <w:tcW w:w="3112" w:type="dxa"/>
          </w:tcPr>
          <w:p w14:paraId="66E78837">
            <w:pPr>
              <w:pStyle w:val="178"/>
            </w:pPr>
            <w:r>
              <w:rPr>
                <w:rFonts w:hint="eastAsia"/>
              </w:rPr>
              <w:t>清洁、换件、补液、冲洗、紧固</w:t>
            </w:r>
          </w:p>
        </w:tc>
        <w:tc>
          <w:tcPr>
            <w:tcW w:w="3112" w:type="dxa"/>
          </w:tcPr>
          <w:p w14:paraId="5B618AFC">
            <w:pPr>
              <w:pStyle w:val="178"/>
            </w:pPr>
            <w:r>
              <w:rPr>
                <w:rFonts w:hint="eastAsia"/>
              </w:rPr>
              <w:t>应按周期执行，不得长期拖延</w:t>
            </w:r>
          </w:p>
        </w:tc>
      </w:tr>
      <w:tr w14:paraId="66BE737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110" w:type="dxa"/>
          </w:tcPr>
          <w:p w14:paraId="37699477">
            <w:pPr>
              <w:pStyle w:val="178"/>
            </w:pPr>
            <w:r>
              <w:rPr>
                <w:rFonts w:hint="eastAsia"/>
              </w:rPr>
              <w:t>校验质控</w:t>
            </w:r>
          </w:p>
        </w:tc>
        <w:tc>
          <w:tcPr>
            <w:tcW w:w="3112" w:type="dxa"/>
          </w:tcPr>
          <w:p w14:paraId="687178E9">
            <w:pPr>
              <w:pStyle w:val="178"/>
            </w:pPr>
            <w:r>
              <w:rPr>
                <w:rFonts w:hint="eastAsia"/>
              </w:rPr>
              <w:t>零点、跨度、比对、有效性检查</w:t>
            </w:r>
          </w:p>
        </w:tc>
        <w:tc>
          <w:tcPr>
            <w:tcW w:w="3112" w:type="dxa"/>
          </w:tcPr>
          <w:p w14:paraId="6438811F">
            <w:pPr>
              <w:pStyle w:val="178"/>
            </w:pPr>
            <w:r>
              <w:rPr>
                <w:rFonts w:hint="eastAsia"/>
              </w:rPr>
              <w:t>应形成记录并用于数据审核</w:t>
            </w:r>
          </w:p>
        </w:tc>
      </w:tr>
      <w:tr w14:paraId="2D12710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110" w:type="dxa"/>
          </w:tcPr>
          <w:p w14:paraId="3360FAC5">
            <w:pPr>
              <w:pStyle w:val="178"/>
            </w:pPr>
            <w:r>
              <w:rPr>
                <w:rFonts w:hint="eastAsia"/>
              </w:rPr>
              <w:t>故障处理</w:t>
            </w:r>
          </w:p>
        </w:tc>
        <w:tc>
          <w:tcPr>
            <w:tcW w:w="3112" w:type="dxa"/>
          </w:tcPr>
          <w:p w14:paraId="2A811D2D">
            <w:pPr>
              <w:pStyle w:val="178"/>
            </w:pPr>
            <w:r>
              <w:rPr>
                <w:rFonts w:hint="eastAsia"/>
              </w:rPr>
              <w:t>一般、重要、紧急故障处置</w:t>
            </w:r>
          </w:p>
        </w:tc>
        <w:tc>
          <w:tcPr>
            <w:tcW w:w="3112" w:type="dxa"/>
          </w:tcPr>
          <w:p w14:paraId="3649175F">
            <w:pPr>
              <w:pStyle w:val="178"/>
            </w:pPr>
            <w:r>
              <w:rPr>
                <w:rFonts w:hint="eastAsia"/>
              </w:rPr>
              <w:t>先恢复能力，再做深度分析</w:t>
            </w:r>
          </w:p>
        </w:tc>
      </w:tr>
      <w:tr w14:paraId="05BAB1B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110" w:type="dxa"/>
          </w:tcPr>
          <w:p w14:paraId="3787DBE3">
            <w:pPr>
              <w:pStyle w:val="178"/>
            </w:pPr>
            <w:r>
              <w:rPr>
                <w:rFonts w:hint="eastAsia"/>
              </w:rPr>
              <w:t>补救措施</w:t>
            </w:r>
          </w:p>
        </w:tc>
        <w:tc>
          <w:tcPr>
            <w:tcW w:w="3112" w:type="dxa"/>
          </w:tcPr>
          <w:p w14:paraId="720B56F9">
            <w:pPr>
              <w:pStyle w:val="178"/>
            </w:pPr>
            <w:r>
              <w:rPr>
                <w:rFonts w:hint="eastAsia"/>
              </w:rPr>
              <w:t>人工补测、临时替代、加密巡查</w:t>
            </w:r>
          </w:p>
        </w:tc>
        <w:tc>
          <w:tcPr>
            <w:tcW w:w="3112" w:type="dxa"/>
          </w:tcPr>
          <w:p w14:paraId="3814818C">
            <w:pPr>
              <w:pStyle w:val="178"/>
            </w:pPr>
            <w:r>
              <w:rPr>
                <w:rFonts w:hint="eastAsia"/>
              </w:rPr>
              <w:t>故障期间不得形成监测空档而不管控</w:t>
            </w:r>
          </w:p>
        </w:tc>
      </w:tr>
    </w:tbl>
    <w:p w14:paraId="1B82E75F">
      <w:pPr>
        <w:pStyle w:val="105"/>
        <w:spacing w:before="120" w:after="120" w:line="360" w:lineRule="auto"/>
      </w:pPr>
      <w:r>
        <w:rPr>
          <w:rFonts w:hint="eastAsia"/>
        </w:rPr>
        <w:t>禁止性要求</w:t>
      </w:r>
    </w:p>
    <w:p w14:paraId="0C5A5B7B">
      <w:pPr>
        <w:pStyle w:val="165"/>
        <w:spacing w:line="360" w:lineRule="auto"/>
      </w:pPr>
      <w:r>
        <w:rPr>
          <w:rFonts w:hint="eastAsia"/>
        </w:rPr>
        <w:t>不得长期带故障运行重点监测点位。</w:t>
      </w:r>
    </w:p>
    <w:p w14:paraId="614406ED">
      <w:pPr>
        <w:pStyle w:val="165"/>
        <w:spacing w:line="360" w:lineRule="auto"/>
      </w:pPr>
      <w:r>
        <w:rPr>
          <w:rFonts w:hint="eastAsia"/>
        </w:rPr>
        <w:t>不得因维护不及时导致连续数据中断而无补救措施。</w:t>
      </w:r>
    </w:p>
    <w:p w14:paraId="3EE51F98">
      <w:pPr>
        <w:pStyle w:val="165"/>
        <w:spacing w:line="360" w:lineRule="auto"/>
      </w:pPr>
      <w:r>
        <w:rPr>
          <w:rFonts w:hint="eastAsia"/>
        </w:rPr>
        <w:t>不得在设备未校验、状态不明的情况下输出正式监测结果。</w:t>
      </w:r>
    </w:p>
    <w:p w14:paraId="6A9811AA">
      <w:pPr>
        <w:pStyle w:val="165"/>
        <w:spacing w:line="360" w:lineRule="auto"/>
      </w:pPr>
      <w:r>
        <w:rPr>
          <w:rFonts w:hint="eastAsia"/>
        </w:rPr>
        <w:t>不得对频繁故障点位只维修不分析根因。</w:t>
      </w:r>
    </w:p>
    <w:p w14:paraId="4FAFE418">
      <w:pPr>
        <w:pStyle w:val="165"/>
        <w:spacing w:line="360" w:lineRule="auto"/>
      </w:pPr>
      <w:r>
        <w:rPr>
          <w:rFonts w:hint="eastAsia"/>
        </w:rPr>
        <w:t>不得在故障期间停止监测管理而不采取替代措施。</w:t>
      </w:r>
    </w:p>
    <w:p w14:paraId="158426D6">
      <w:pPr>
        <w:pStyle w:val="104"/>
        <w:spacing w:before="240" w:after="240" w:line="360" w:lineRule="auto"/>
      </w:pPr>
      <w:bookmarkStart w:id="58" w:name="_Toc228609195"/>
      <w:r>
        <w:rPr>
          <w:rFonts w:hint="eastAsia"/>
        </w:rPr>
        <w:t>质量控制与资料管理</w:t>
      </w:r>
      <w:bookmarkEnd w:id="58"/>
    </w:p>
    <w:p w14:paraId="6BEE112B">
      <w:pPr>
        <w:pStyle w:val="105"/>
        <w:spacing w:before="120" w:after="120" w:line="360" w:lineRule="auto"/>
      </w:pPr>
      <w:r>
        <w:rPr>
          <w:rFonts w:hint="eastAsia"/>
        </w:rPr>
        <w:t>一般要求</w:t>
      </w:r>
    </w:p>
    <w:p w14:paraId="7FC64113">
      <w:pPr>
        <w:pStyle w:val="165"/>
        <w:spacing w:line="360" w:lineRule="auto"/>
      </w:pPr>
      <w:r>
        <w:rPr>
          <w:rFonts w:hint="eastAsia"/>
        </w:rPr>
        <w:t>水利工程施工期水环境在线监测与智慧管控应建立质量控制与资料管理机制。</w:t>
      </w:r>
    </w:p>
    <w:p w14:paraId="777E34B2">
      <w:pPr>
        <w:pStyle w:val="165"/>
        <w:spacing w:line="360" w:lineRule="auto"/>
      </w:pPr>
      <w:r>
        <w:rPr>
          <w:rFonts w:hint="eastAsia"/>
        </w:rPr>
        <w:t>质量控制应覆盖方案制定、点位布设、设备运行、数据采集、数据审核、预警管理、联动处置和运行维护全过程。</w:t>
      </w:r>
    </w:p>
    <w:p w14:paraId="263E6A89">
      <w:pPr>
        <w:pStyle w:val="165"/>
        <w:spacing w:line="360" w:lineRule="auto"/>
      </w:pPr>
      <w:r>
        <w:rPr>
          <w:rFonts w:hint="eastAsia"/>
        </w:rPr>
        <w:t>资料管理应覆盖监测方案、设备台账、原始数据、审核记录、预警记录、处置记录、维护记录和质量控制记录等内容。</w:t>
      </w:r>
    </w:p>
    <w:p w14:paraId="19ABE357">
      <w:pPr>
        <w:pStyle w:val="165"/>
        <w:spacing w:line="360" w:lineRule="auto"/>
      </w:pPr>
      <w:r>
        <w:rPr>
          <w:rFonts w:hint="eastAsia"/>
        </w:rPr>
        <w:t>质量控制和资料管理应坚持真实、完整、及时、规范和可追溯原则。</w:t>
      </w:r>
    </w:p>
    <w:p w14:paraId="2524C111">
      <w:pPr>
        <w:pStyle w:val="105"/>
        <w:spacing w:before="120" w:after="120" w:line="360" w:lineRule="auto"/>
      </w:pPr>
      <w:r>
        <w:rPr>
          <w:rFonts w:hint="eastAsia"/>
        </w:rPr>
        <w:t>质量控制要求</w:t>
      </w:r>
    </w:p>
    <w:p w14:paraId="345994E4">
      <w:pPr>
        <w:pStyle w:val="65"/>
        <w:spacing w:before="120" w:after="120" w:line="360" w:lineRule="auto"/>
      </w:pPr>
      <w:r>
        <w:rPr>
          <w:rFonts w:hint="eastAsia"/>
        </w:rPr>
        <w:t>一般要求</w:t>
      </w:r>
    </w:p>
    <w:p w14:paraId="1EEA941B">
      <w:pPr>
        <w:pStyle w:val="164"/>
        <w:spacing w:line="360" w:lineRule="auto"/>
      </w:pPr>
      <w:r>
        <w:rPr>
          <w:rFonts w:hint="eastAsia"/>
        </w:rPr>
        <w:t>建设单位应组织建立质量控制制度。</w:t>
      </w:r>
    </w:p>
    <w:p w14:paraId="4F80479A">
      <w:pPr>
        <w:pStyle w:val="164"/>
        <w:spacing w:line="360" w:lineRule="auto"/>
      </w:pPr>
      <w:r>
        <w:rPr>
          <w:rFonts w:hint="eastAsia"/>
        </w:rPr>
        <w:t>运维单位和平台管理单位应按职责落实质量控制要求。</w:t>
      </w:r>
    </w:p>
    <w:p w14:paraId="67B66F9A">
      <w:pPr>
        <w:pStyle w:val="164"/>
        <w:spacing w:line="360" w:lineRule="auto"/>
      </w:pPr>
      <w:r>
        <w:rPr>
          <w:rFonts w:hint="eastAsia"/>
        </w:rPr>
        <w:t>质量控制不得仅停留在设备运行层面，还应覆盖数据质量和管理质量。</w:t>
      </w:r>
    </w:p>
    <w:p w14:paraId="3C70A6DD">
      <w:pPr>
        <w:pStyle w:val="65"/>
        <w:spacing w:before="120" w:after="120" w:line="360" w:lineRule="auto"/>
      </w:pPr>
      <w:r>
        <w:rPr>
          <w:rFonts w:hint="eastAsia"/>
        </w:rPr>
        <w:t>质量控制内容</w:t>
      </w:r>
    </w:p>
    <w:p w14:paraId="459256F0">
      <w:pPr>
        <w:pStyle w:val="56"/>
        <w:spacing w:line="360" w:lineRule="auto"/>
        <w:ind w:firstLine="420"/>
      </w:pPr>
      <w:r>
        <w:rPr>
          <w:rFonts w:hint="eastAsia"/>
        </w:rPr>
        <w:t>质量控制宜至少包括下列内容：</w:t>
      </w:r>
    </w:p>
    <w:p w14:paraId="09B4C96B">
      <w:pPr>
        <w:pStyle w:val="56"/>
        <w:spacing w:line="360" w:lineRule="auto"/>
        <w:ind w:firstLine="420"/>
      </w:pPr>
      <w:r>
        <w:rPr>
          <w:rFonts w:hint="eastAsia"/>
        </w:rPr>
        <w:t>a）点位代表性核查；</w:t>
      </w:r>
    </w:p>
    <w:p w14:paraId="779FBE7F">
      <w:pPr>
        <w:pStyle w:val="56"/>
        <w:spacing w:line="360" w:lineRule="auto"/>
        <w:ind w:firstLine="420"/>
      </w:pPr>
      <w:r>
        <w:rPr>
          <w:rFonts w:hint="eastAsia"/>
        </w:rPr>
        <w:t>b）设备状态核查；</w:t>
      </w:r>
    </w:p>
    <w:p w14:paraId="465C09EB">
      <w:pPr>
        <w:pStyle w:val="56"/>
        <w:spacing w:line="360" w:lineRule="auto"/>
        <w:ind w:firstLine="420"/>
      </w:pPr>
      <w:r>
        <w:rPr>
          <w:rFonts w:hint="eastAsia"/>
        </w:rPr>
        <w:t>c）数据完整性核查；</w:t>
      </w:r>
    </w:p>
    <w:p w14:paraId="53F558E8">
      <w:pPr>
        <w:pStyle w:val="56"/>
        <w:spacing w:line="360" w:lineRule="auto"/>
        <w:ind w:firstLine="420"/>
      </w:pPr>
      <w:r>
        <w:rPr>
          <w:rFonts w:hint="eastAsia"/>
        </w:rPr>
        <w:t>d）数据有效性核查；</w:t>
      </w:r>
    </w:p>
    <w:p w14:paraId="0660A2A3">
      <w:pPr>
        <w:pStyle w:val="56"/>
        <w:spacing w:line="360" w:lineRule="auto"/>
        <w:ind w:firstLine="420"/>
      </w:pPr>
      <w:r>
        <w:rPr>
          <w:rFonts w:hint="eastAsia"/>
        </w:rPr>
        <w:t>e）预警准确性核查；</w:t>
      </w:r>
    </w:p>
    <w:p w14:paraId="444BFF56">
      <w:pPr>
        <w:pStyle w:val="56"/>
        <w:spacing w:line="360" w:lineRule="auto"/>
        <w:ind w:firstLine="420"/>
      </w:pPr>
      <w:r>
        <w:rPr>
          <w:rFonts w:hint="eastAsia"/>
        </w:rPr>
        <w:t>f）联动处置及时性核查；</w:t>
      </w:r>
    </w:p>
    <w:p w14:paraId="328F61F5">
      <w:pPr>
        <w:pStyle w:val="56"/>
        <w:spacing w:line="360" w:lineRule="auto"/>
        <w:ind w:firstLine="420"/>
      </w:pPr>
      <w:r>
        <w:rPr>
          <w:rFonts w:hint="eastAsia"/>
        </w:rPr>
        <w:t>g）整改闭环率核查；</w:t>
      </w:r>
    </w:p>
    <w:p w14:paraId="0C3967FB">
      <w:pPr>
        <w:pStyle w:val="56"/>
        <w:spacing w:line="360" w:lineRule="auto"/>
        <w:ind w:firstLine="420"/>
      </w:pPr>
      <w:r>
        <w:rPr>
          <w:rFonts w:hint="eastAsia"/>
        </w:rPr>
        <w:t>h）资料完整性核查。</w:t>
      </w:r>
    </w:p>
    <w:p w14:paraId="55CD5914">
      <w:pPr>
        <w:pStyle w:val="105"/>
        <w:spacing w:before="120" w:after="120" w:line="360" w:lineRule="auto"/>
      </w:pPr>
      <w:r>
        <w:rPr>
          <w:rFonts w:hint="eastAsia"/>
        </w:rPr>
        <w:t>质量评价要求</w:t>
      </w:r>
    </w:p>
    <w:p w14:paraId="46CEDB0D">
      <w:pPr>
        <w:pStyle w:val="65"/>
        <w:spacing w:before="120" w:after="120" w:line="360" w:lineRule="auto"/>
      </w:pPr>
      <w:r>
        <w:rPr>
          <w:rFonts w:hint="eastAsia"/>
        </w:rPr>
        <w:t>一般要求</w:t>
      </w:r>
    </w:p>
    <w:p w14:paraId="55AD02F3">
      <w:pPr>
        <w:pStyle w:val="164"/>
        <w:spacing w:line="360" w:lineRule="auto"/>
      </w:pPr>
      <w:r>
        <w:rPr>
          <w:rFonts w:hint="eastAsia"/>
        </w:rPr>
        <w:t>应定期开展质量评价。</w:t>
      </w:r>
    </w:p>
    <w:p w14:paraId="4CC3AF83">
      <w:pPr>
        <w:pStyle w:val="164"/>
        <w:spacing w:line="360" w:lineRule="auto"/>
      </w:pPr>
      <w:r>
        <w:rPr>
          <w:rFonts w:hint="eastAsia"/>
        </w:rPr>
        <w:t>质量评价应围绕系统运行质量、监测数据质量、预警管理质量和处置闭环质量实施。</w:t>
      </w:r>
    </w:p>
    <w:p w14:paraId="1A283F6D">
      <w:pPr>
        <w:pStyle w:val="65"/>
        <w:spacing w:before="120" w:after="120" w:line="360" w:lineRule="auto"/>
      </w:pPr>
      <w:r>
        <w:rPr>
          <w:rFonts w:hint="eastAsia"/>
        </w:rPr>
        <w:t>评价内容</w:t>
      </w:r>
    </w:p>
    <w:p w14:paraId="048A2C87">
      <w:pPr>
        <w:pStyle w:val="164"/>
        <w:spacing w:line="360" w:lineRule="auto"/>
      </w:pPr>
      <w:r>
        <w:rPr>
          <w:rFonts w:hint="eastAsia"/>
        </w:rPr>
        <w:t>质量评价宜至少包括下列内容：</w:t>
      </w:r>
    </w:p>
    <w:p w14:paraId="64ABFB0C">
      <w:pPr>
        <w:pStyle w:val="56"/>
        <w:spacing w:line="360" w:lineRule="auto"/>
        <w:ind w:firstLine="420"/>
      </w:pPr>
      <w:r>
        <w:rPr>
          <w:rFonts w:hint="eastAsia"/>
        </w:rPr>
        <w:t>a）监测点位运行率；</w:t>
      </w:r>
    </w:p>
    <w:p w14:paraId="34CAE203">
      <w:pPr>
        <w:pStyle w:val="56"/>
        <w:spacing w:line="360" w:lineRule="auto"/>
        <w:ind w:firstLine="420"/>
      </w:pPr>
      <w:r>
        <w:rPr>
          <w:rFonts w:hint="eastAsia"/>
        </w:rPr>
        <w:t>b）数据完整率；</w:t>
      </w:r>
    </w:p>
    <w:p w14:paraId="664D6115">
      <w:pPr>
        <w:pStyle w:val="56"/>
        <w:spacing w:line="360" w:lineRule="auto"/>
        <w:ind w:firstLine="420"/>
      </w:pPr>
      <w:r>
        <w:rPr>
          <w:rFonts w:hint="eastAsia"/>
        </w:rPr>
        <w:t>c）数据有效率；</w:t>
      </w:r>
    </w:p>
    <w:p w14:paraId="41925438">
      <w:pPr>
        <w:pStyle w:val="56"/>
        <w:spacing w:line="360" w:lineRule="auto"/>
        <w:ind w:firstLine="420"/>
      </w:pPr>
      <w:r>
        <w:rPr>
          <w:rFonts w:hint="eastAsia"/>
        </w:rPr>
        <w:t>d）预警触发准确率；</w:t>
      </w:r>
    </w:p>
    <w:p w14:paraId="25B5D045">
      <w:pPr>
        <w:pStyle w:val="56"/>
        <w:spacing w:line="360" w:lineRule="auto"/>
        <w:ind w:firstLine="420"/>
      </w:pPr>
      <w:r>
        <w:rPr>
          <w:rFonts w:hint="eastAsia"/>
        </w:rPr>
        <w:t>e）预警处置及时率；</w:t>
      </w:r>
    </w:p>
    <w:p w14:paraId="4B03BE6F">
      <w:pPr>
        <w:pStyle w:val="56"/>
        <w:spacing w:line="360" w:lineRule="auto"/>
        <w:ind w:firstLine="420"/>
      </w:pPr>
      <w:r>
        <w:rPr>
          <w:rFonts w:hint="eastAsia"/>
        </w:rPr>
        <w:t>f）异常问题闭环率；</w:t>
      </w:r>
    </w:p>
    <w:p w14:paraId="69AD7A38">
      <w:pPr>
        <w:pStyle w:val="56"/>
        <w:spacing w:line="360" w:lineRule="auto"/>
        <w:ind w:firstLine="420"/>
      </w:pPr>
      <w:r>
        <w:rPr>
          <w:rFonts w:hint="eastAsia"/>
        </w:rPr>
        <w:t>g）设备故障恢复及时率；</w:t>
      </w:r>
    </w:p>
    <w:p w14:paraId="3FFC46A5">
      <w:pPr>
        <w:pStyle w:val="56"/>
        <w:spacing w:line="360" w:lineRule="auto"/>
        <w:ind w:firstLine="420"/>
      </w:pPr>
      <w:r>
        <w:rPr>
          <w:rFonts w:hint="eastAsia"/>
        </w:rPr>
        <w:t>h）资料归档完整率。</w:t>
      </w:r>
    </w:p>
    <w:p w14:paraId="418F70E6">
      <w:pPr>
        <w:pStyle w:val="164"/>
        <w:spacing w:line="360" w:lineRule="auto"/>
      </w:pPr>
      <w:r>
        <w:rPr>
          <w:rFonts w:hint="eastAsia"/>
        </w:rPr>
        <w:t>对敏感水域点位和重点控制点，应增加专项评价内容。</w:t>
      </w:r>
    </w:p>
    <w:p w14:paraId="46C899CE">
      <w:pPr>
        <w:pStyle w:val="105"/>
        <w:spacing w:before="120" w:after="120" w:line="360" w:lineRule="auto"/>
      </w:pPr>
      <w:r>
        <w:rPr>
          <w:rFonts w:hint="eastAsia"/>
        </w:rPr>
        <w:t>资料管理要求</w:t>
      </w:r>
    </w:p>
    <w:p w14:paraId="70455580">
      <w:pPr>
        <w:pStyle w:val="65"/>
        <w:spacing w:before="120" w:after="120" w:line="360" w:lineRule="auto"/>
      </w:pPr>
      <w:r>
        <w:rPr>
          <w:rFonts w:hint="eastAsia"/>
        </w:rPr>
        <w:t>一般要求</w:t>
      </w:r>
    </w:p>
    <w:p w14:paraId="7A902428">
      <w:pPr>
        <w:pStyle w:val="164"/>
        <w:spacing w:line="360" w:lineRule="auto"/>
      </w:pPr>
      <w:r>
        <w:rPr>
          <w:rFonts w:hint="eastAsia"/>
        </w:rPr>
        <w:t>应建立统一资料管理制度。</w:t>
      </w:r>
    </w:p>
    <w:p w14:paraId="43167865">
      <w:pPr>
        <w:pStyle w:val="164"/>
        <w:spacing w:line="360" w:lineRule="auto"/>
      </w:pPr>
      <w:r>
        <w:rPr>
          <w:rFonts w:hint="eastAsia"/>
        </w:rPr>
        <w:t>资料应分类存放、统一编号、动态更新和长期可追溯。</w:t>
      </w:r>
    </w:p>
    <w:p w14:paraId="64D0AF85">
      <w:pPr>
        <w:pStyle w:val="65"/>
        <w:spacing w:before="120" w:after="120" w:line="360" w:lineRule="auto"/>
      </w:pPr>
      <w:r>
        <w:rPr>
          <w:rFonts w:hint="eastAsia"/>
        </w:rPr>
        <w:t>资料内容</w:t>
      </w:r>
    </w:p>
    <w:p w14:paraId="1F642BF0">
      <w:pPr>
        <w:pStyle w:val="56"/>
        <w:spacing w:line="360" w:lineRule="auto"/>
        <w:ind w:firstLine="420"/>
      </w:pPr>
      <w:r>
        <w:rPr>
          <w:rFonts w:hint="eastAsia"/>
        </w:rPr>
        <w:t>资料宜至少包括下列内容：</w:t>
      </w:r>
    </w:p>
    <w:p w14:paraId="746E708E">
      <w:pPr>
        <w:pStyle w:val="56"/>
        <w:spacing w:line="360" w:lineRule="auto"/>
        <w:ind w:firstLine="420"/>
      </w:pPr>
      <w:r>
        <w:rPr>
          <w:rFonts w:hint="eastAsia"/>
        </w:rPr>
        <w:t>a）监测方案和调整记录；</w:t>
      </w:r>
    </w:p>
    <w:p w14:paraId="4BE0DF70">
      <w:pPr>
        <w:pStyle w:val="56"/>
        <w:spacing w:line="360" w:lineRule="auto"/>
        <w:ind w:firstLine="420"/>
      </w:pPr>
      <w:r>
        <w:rPr>
          <w:rFonts w:hint="eastAsia"/>
        </w:rPr>
        <w:t>b）点位布设图和点位台账；</w:t>
      </w:r>
    </w:p>
    <w:p w14:paraId="0CE89C3D">
      <w:pPr>
        <w:pStyle w:val="56"/>
        <w:spacing w:line="360" w:lineRule="auto"/>
        <w:ind w:firstLine="420"/>
      </w:pPr>
      <w:r>
        <w:rPr>
          <w:rFonts w:hint="eastAsia"/>
        </w:rPr>
        <w:t>c）设备台账和安装记录；</w:t>
      </w:r>
    </w:p>
    <w:p w14:paraId="52BE8DC0">
      <w:pPr>
        <w:pStyle w:val="56"/>
        <w:spacing w:line="360" w:lineRule="auto"/>
        <w:ind w:firstLine="420"/>
      </w:pPr>
      <w:r>
        <w:rPr>
          <w:rFonts w:hint="eastAsia"/>
        </w:rPr>
        <w:t>d）运行维护记录；</w:t>
      </w:r>
    </w:p>
    <w:p w14:paraId="7350E46D">
      <w:pPr>
        <w:pStyle w:val="56"/>
        <w:spacing w:line="360" w:lineRule="auto"/>
        <w:ind w:firstLine="420"/>
      </w:pPr>
      <w:r>
        <w:rPr>
          <w:rFonts w:hint="eastAsia"/>
        </w:rPr>
        <w:t>e）原始监测数据；</w:t>
      </w:r>
    </w:p>
    <w:p w14:paraId="01581619">
      <w:pPr>
        <w:pStyle w:val="56"/>
        <w:spacing w:line="360" w:lineRule="auto"/>
        <w:ind w:firstLine="420"/>
      </w:pPr>
      <w:r>
        <w:rPr>
          <w:rFonts w:hint="eastAsia"/>
        </w:rPr>
        <w:t>f）数据审核记录；</w:t>
      </w:r>
    </w:p>
    <w:p w14:paraId="2B547129">
      <w:pPr>
        <w:pStyle w:val="56"/>
        <w:spacing w:line="360" w:lineRule="auto"/>
        <w:ind w:firstLine="420"/>
      </w:pPr>
      <w:r>
        <w:rPr>
          <w:rFonts w:hint="eastAsia"/>
        </w:rPr>
        <w:t>g）预警记录；</w:t>
      </w:r>
    </w:p>
    <w:p w14:paraId="6185EE96">
      <w:pPr>
        <w:pStyle w:val="56"/>
        <w:spacing w:line="360" w:lineRule="auto"/>
        <w:ind w:firstLine="420"/>
      </w:pPr>
      <w:r>
        <w:rPr>
          <w:rFonts w:hint="eastAsia"/>
        </w:rPr>
        <w:t>h）联动处置记录；</w:t>
      </w:r>
    </w:p>
    <w:p w14:paraId="6A1EDAC7">
      <w:pPr>
        <w:pStyle w:val="56"/>
        <w:spacing w:line="360" w:lineRule="auto"/>
        <w:ind w:firstLine="420"/>
      </w:pPr>
      <w:r>
        <w:rPr>
          <w:rFonts w:hint="eastAsia"/>
        </w:rPr>
        <w:t>i）复核销项记录；</w:t>
      </w:r>
    </w:p>
    <w:p w14:paraId="635AF197">
      <w:pPr>
        <w:pStyle w:val="56"/>
        <w:spacing w:line="360" w:lineRule="auto"/>
        <w:ind w:firstLine="420"/>
      </w:pPr>
      <w:r>
        <w:rPr>
          <w:rFonts w:hint="eastAsia"/>
        </w:rPr>
        <w:t>j）质量控制和质量评价记录。</w:t>
      </w:r>
    </w:p>
    <w:p w14:paraId="35F8AA19">
      <w:pPr>
        <w:pStyle w:val="65"/>
        <w:spacing w:before="120" w:after="120" w:line="360" w:lineRule="auto"/>
      </w:pPr>
      <w:r>
        <w:rPr>
          <w:rFonts w:hint="eastAsia"/>
        </w:rPr>
        <w:t>归档要求</w:t>
      </w:r>
    </w:p>
    <w:p w14:paraId="2F6AA53B">
      <w:pPr>
        <w:pStyle w:val="164"/>
        <w:spacing w:line="360" w:lineRule="auto"/>
      </w:pPr>
      <w:r>
        <w:rPr>
          <w:rFonts w:hint="eastAsia"/>
        </w:rPr>
        <w:t>资料应按工程、标段、点位、时间和类别归档。</w:t>
      </w:r>
    </w:p>
    <w:p w14:paraId="3A529A0B">
      <w:pPr>
        <w:pStyle w:val="164"/>
        <w:spacing w:line="360" w:lineRule="auto"/>
      </w:pPr>
      <w:r>
        <w:rPr>
          <w:rFonts w:hint="eastAsia"/>
        </w:rPr>
        <w:t>电子资料和纸质资料并存时，应保持一致。</w:t>
      </w:r>
    </w:p>
    <w:p w14:paraId="43310C68">
      <w:pPr>
        <w:pStyle w:val="164"/>
        <w:spacing w:line="360" w:lineRule="auto"/>
      </w:pPr>
      <w:r>
        <w:rPr>
          <w:rFonts w:hint="eastAsia"/>
        </w:rPr>
        <w:t>已归档资料不得随意删除、覆盖或者擅自外传。</w:t>
      </w:r>
    </w:p>
    <w:p w14:paraId="3A13F96E">
      <w:pPr>
        <w:pStyle w:val="105"/>
        <w:spacing w:before="120" w:after="120" w:line="360" w:lineRule="auto"/>
      </w:pPr>
      <w:r>
        <w:rPr>
          <w:rFonts w:hint="eastAsia"/>
        </w:rPr>
        <w:t>持续改进要求</w:t>
      </w:r>
    </w:p>
    <w:p w14:paraId="165A5B12">
      <w:pPr>
        <w:pStyle w:val="65"/>
        <w:spacing w:before="120" w:after="120" w:line="360" w:lineRule="auto"/>
      </w:pPr>
      <w:r>
        <w:rPr>
          <w:rFonts w:hint="eastAsia"/>
        </w:rPr>
        <w:t>一般要求</w:t>
      </w:r>
    </w:p>
    <w:p w14:paraId="5EB09A38">
      <w:pPr>
        <w:pStyle w:val="164"/>
        <w:spacing w:line="360" w:lineRule="auto"/>
      </w:pPr>
      <w:r>
        <w:rPr>
          <w:rFonts w:hint="eastAsia"/>
        </w:rPr>
        <w:t>应建立持续改进机制。</w:t>
      </w:r>
    </w:p>
    <w:p w14:paraId="3D5C7E94">
      <w:pPr>
        <w:pStyle w:val="164"/>
        <w:spacing w:line="360" w:lineRule="auto"/>
      </w:pPr>
      <w:r>
        <w:rPr>
          <w:rFonts w:hint="eastAsia"/>
        </w:rPr>
        <w:t>持续改进应基于质量评价、异常统计、预警复盘、联动处置复盘和运维经验实施。</w:t>
      </w:r>
    </w:p>
    <w:p w14:paraId="2078BCE8">
      <w:pPr>
        <w:pStyle w:val="65"/>
        <w:spacing w:before="120" w:after="120" w:line="360" w:lineRule="auto"/>
      </w:pPr>
      <w:r>
        <w:rPr>
          <w:rFonts w:hint="eastAsia"/>
        </w:rPr>
        <w:t>改进内容</w:t>
      </w:r>
    </w:p>
    <w:p w14:paraId="719D621D">
      <w:pPr>
        <w:pStyle w:val="164"/>
        <w:spacing w:line="360" w:lineRule="auto"/>
      </w:pPr>
      <w:r>
        <w:rPr>
          <w:rFonts w:hint="eastAsia"/>
        </w:rPr>
        <w:t>持续改进宜包括下列内容：</w:t>
      </w:r>
    </w:p>
    <w:p w14:paraId="3FB751DC">
      <w:pPr>
        <w:pStyle w:val="56"/>
        <w:spacing w:line="360" w:lineRule="auto"/>
        <w:ind w:firstLine="420"/>
      </w:pPr>
      <w:r>
        <w:rPr>
          <w:rFonts w:hint="eastAsia"/>
        </w:rPr>
        <w:t>a）优化点位布设；</w:t>
      </w:r>
    </w:p>
    <w:p w14:paraId="76CC43C7">
      <w:pPr>
        <w:pStyle w:val="56"/>
        <w:spacing w:line="360" w:lineRule="auto"/>
        <w:ind w:firstLine="420"/>
      </w:pPr>
      <w:r>
        <w:rPr>
          <w:rFonts w:hint="eastAsia"/>
        </w:rPr>
        <w:t>b）优化指标组合；</w:t>
      </w:r>
    </w:p>
    <w:p w14:paraId="155127DA">
      <w:pPr>
        <w:pStyle w:val="56"/>
        <w:spacing w:line="360" w:lineRule="auto"/>
        <w:ind w:firstLine="420"/>
      </w:pPr>
      <w:r>
        <w:rPr>
          <w:rFonts w:hint="eastAsia"/>
        </w:rPr>
        <w:t>c）优化预警阈值和预警规则；</w:t>
      </w:r>
    </w:p>
    <w:p w14:paraId="657281BA">
      <w:pPr>
        <w:pStyle w:val="56"/>
        <w:spacing w:line="360" w:lineRule="auto"/>
        <w:ind w:firstLine="420"/>
      </w:pPr>
      <w:r>
        <w:rPr>
          <w:rFonts w:hint="eastAsia"/>
        </w:rPr>
        <w:t>d）完善联动流程；</w:t>
      </w:r>
    </w:p>
    <w:p w14:paraId="74E7AADD">
      <w:pPr>
        <w:pStyle w:val="56"/>
        <w:spacing w:line="360" w:lineRule="auto"/>
        <w:ind w:firstLine="420"/>
      </w:pPr>
      <w:r>
        <w:rPr>
          <w:rFonts w:hint="eastAsia"/>
        </w:rPr>
        <w:t>e）提升设备稳定性；</w:t>
      </w:r>
    </w:p>
    <w:p w14:paraId="7692C882">
      <w:pPr>
        <w:pStyle w:val="56"/>
        <w:spacing w:line="360" w:lineRule="auto"/>
        <w:ind w:firstLine="420"/>
      </w:pPr>
      <w:r>
        <w:rPr>
          <w:rFonts w:hint="eastAsia"/>
        </w:rPr>
        <w:t>f）加强运维能力；</w:t>
      </w:r>
    </w:p>
    <w:p w14:paraId="7823168A">
      <w:pPr>
        <w:pStyle w:val="56"/>
        <w:spacing w:line="360" w:lineRule="auto"/>
        <w:ind w:firstLine="420"/>
      </w:pPr>
      <w:r>
        <w:rPr>
          <w:rFonts w:hint="eastAsia"/>
        </w:rPr>
        <w:t>g）完善资料管理；</w:t>
      </w:r>
    </w:p>
    <w:p w14:paraId="053BC7F7">
      <w:pPr>
        <w:pStyle w:val="56"/>
        <w:spacing w:line="360" w:lineRule="auto"/>
        <w:ind w:firstLine="420"/>
      </w:pPr>
      <w:r>
        <w:rPr>
          <w:rFonts w:hint="eastAsia"/>
        </w:rPr>
        <w:t>h）强化风险分级管控。</w:t>
      </w:r>
    </w:p>
    <w:p w14:paraId="115CBD22">
      <w:pPr>
        <w:pStyle w:val="105"/>
        <w:spacing w:before="120" w:after="120" w:line="360" w:lineRule="auto"/>
      </w:pPr>
      <w:r>
        <w:rPr>
          <w:rFonts w:hint="eastAsia"/>
        </w:rPr>
        <w:t>质量控制与资料管理要点</w:t>
      </w:r>
    </w:p>
    <w:p w14:paraId="2F9AAC26">
      <w:pPr>
        <w:pStyle w:val="56"/>
        <w:spacing w:line="360" w:lineRule="auto"/>
        <w:ind w:firstLine="420"/>
      </w:pPr>
      <w:r>
        <w:rPr>
          <w:rFonts w:hint="eastAsia"/>
        </w:rPr>
        <w:t>质量控制与资料管理的主要内容见表7。表7给出了施工期水环境在线监测与智慧管控质量控制和资料管理的主要内容及控制要点。</w:t>
      </w:r>
    </w:p>
    <w:p w14:paraId="3D0AF28D">
      <w:pPr>
        <w:pStyle w:val="112"/>
        <w:spacing w:before="120" w:after="120" w:line="360" w:lineRule="auto"/>
      </w:pPr>
      <w:r>
        <w:rPr>
          <w:rFonts w:hint="eastAsia"/>
        </w:rPr>
        <w:t>施工期水环境在线监测与智慧管控质量控制与资料管理要点表</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691"/>
        <w:gridCol w:w="4253"/>
        <w:gridCol w:w="3390"/>
      </w:tblGrid>
      <w:tr w14:paraId="61CB266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1691" w:type="dxa"/>
            <w:tcBorders>
              <w:top w:val="single" w:color="auto" w:sz="8" w:space="0"/>
              <w:bottom w:val="single" w:color="auto" w:sz="8" w:space="0"/>
            </w:tcBorders>
          </w:tcPr>
          <w:p w14:paraId="73C9B941">
            <w:pPr>
              <w:pStyle w:val="178"/>
            </w:pPr>
            <w:r>
              <w:rPr>
                <w:rFonts w:hint="eastAsia"/>
              </w:rPr>
              <w:t>工作类别</w:t>
            </w:r>
          </w:p>
        </w:tc>
        <w:tc>
          <w:tcPr>
            <w:tcW w:w="4253" w:type="dxa"/>
            <w:tcBorders>
              <w:top w:val="single" w:color="auto" w:sz="8" w:space="0"/>
              <w:bottom w:val="single" w:color="auto" w:sz="8" w:space="0"/>
            </w:tcBorders>
          </w:tcPr>
          <w:p w14:paraId="1CD4E4CE">
            <w:pPr>
              <w:pStyle w:val="178"/>
            </w:pPr>
            <w:r>
              <w:rPr>
                <w:rFonts w:hint="eastAsia"/>
              </w:rPr>
              <w:t>主要内容</w:t>
            </w:r>
          </w:p>
        </w:tc>
        <w:tc>
          <w:tcPr>
            <w:tcW w:w="3390" w:type="dxa"/>
            <w:tcBorders>
              <w:top w:val="single" w:color="auto" w:sz="8" w:space="0"/>
              <w:bottom w:val="single" w:color="auto" w:sz="8" w:space="0"/>
            </w:tcBorders>
          </w:tcPr>
          <w:p w14:paraId="2E5A85C8">
            <w:pPr>
              <w:pStyle w:val="178"/>
            </w:pPr>
            <w:r>
              <w:rPr>
                <w:rFonts w:hint="eastAsia"/>
              </w:rPr>
              <w:t>控制要点</w:t>
            </w:r>
          </w:p>
        </w:tc>
      </w:tr>
      <w:tr w14:paraId="4C5531C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691" w:type="dxa"/>
            <w:tcBorders>
              <w:top w:val="single" w:color="auto" w:sz="8" w:space="0"/>
            </w:tcBorders>
          </w:tcPr>
          <w:p w14:paraId="498DABC4">
            <w:pPr>
              <w:pStyle w:val="178"/>
            </w:pPr>
            <w:r>
              <w:rPr>
                <w:rFonts w:hint="eastAsia"/>
              </w:rPr>
              <w:t>质量控制</w:t>
            </w:r>
          </w:p>
        </w:tc>
        <w:tc>
          <w:tcPr>
            <w:tcW w:w="4253" w:type="dxa"/>
            <w:tcBorders>
              <w:top w:val="single" w:color="auto" w:sz="8" w:space="0"/>
            </w:tcBorders>
          </w:tcPr>
          <w:p w14:paraId="5B035053">
            <w:pPr>
              <w:pStyle w:val="178"/>
            </w:pPr>
            <w:r>
              <w:rPr>
                <w:rFonts w:hint="eastAsia"/>
              </w:rPr>
              <w:t>点位、设备、数据、预警、处置</w:t>
            </w:r>
          </w:p>
        </w:tc>
        <w:tc>
          <w:tcPr>
            <w:tcW w:w="3390" w:type="dxa"/>
            <w:tcBorders>
              <w:top w:val="single" w:color="auto" w:sz="8" w:space="0"/>
            </w:tcBorders>
          </w:tcPr>
          <w:p w14:paraId="292D5CFD">
            <w:pPr>
              <w:pStyle w:val="178"/>
            </w:pPr>
            <w:r>
              <w:rPr>
                <w:rFonts w:hint="eastAsia"/>
              </w:rPr>
              <w:t>应覆盖全过程，不得只控设备不控数据</w:t>
            </w:r>
          </w:p>
        </w:tc>
      </w:tr>
      <w:tr w14:paraId="430D416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691" w:type="dxa"/>
          </w:tcPr>
          <w:p w14:paraId="7B6346ED">
            <w:pPr>
              <w:pStyle w:val="178"/>
            </w:pPr>
            <w:r>
              <w:rPr>
                <w:rFonts w:hint="eastAsia"/>
              </w:rPr>
              <w:t>质量评价</w:t>
            </w:r>
          </w:p>
        </w:tc>
        <w:tc>
          <w:tcPr>
            <w:tcW w:w="4253" w:type="dxa"/>
          </w:tcPr>
          <w:p w14:paraId="2AA4F5AC">
            <w:pPr>
              <w:pStyle w:val="178"/>
            </w:pPr>
            <w:r>
              <w:rPr>
                <w:rFonts w:hint="eastAsia"/>
              </w:rPr>
              <w:t>运行率、有效率、闭环率、准确率</w:t>
            </w:r>
          </w:p>
        </w:tc>
        <w:tc>
          <w:tcPr>
            <w:tcW w:w="3390" w:type="dxa"/>
          </w:tcPr>
          <w:p w14:paraId="15719FD4">
            <w:pPr>
              <w:pStyle w:val="178"/>
            </w:pPr>
            <w:r>
              <w:rPr>
                <w:rFonts w:hint="eastAsia"/>
              </w:rPr>
              <w:t>应定期开展并形成报告</w:t>
            </w:r>
          </w:p>
        </w:tc>
      </w:tr>
      <w:tr w14:paraId="3B7408B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691" w:type="dxa"/>
          </w:tcPr>
          <w:p w14:paraId="6E93383A">
            <w:pPr>
              <w:pStyle w:val="178"/>
            </w:pPr>
            <w:r>
              <w:rPr>
                <w:rFonts w:hint="eastAsia"/>
              </w:rPr>
              <w:t>资料管理</w:t>
            </w:r>
          </w:p>
        </w:tc>
        <w:tc>
          <w:tcPr>
            <w:tcW w:w="4253" w:type="dxa"/>
          </w:tcPr>
          <w:p w14:paraId="20E0F62B">
            <w:pPr>
              <w:pStyle w:val="178"/>
            </w:pPr>
            <w:r>
              <w:rPr>
                <w:rFonts w:hint="eastAsia"/>
              </w:rPr>
              <w:t>方案、台账、记录、原始数据、处置资料</w:t>
            </w:r>
          </w:p>
        </w:tc>
        <w:tc>
          <w:tcPr>
            <w:tcW w:w="3390" w:type="dxa"/>
          </w:tcPr>
          <w:p w14:paraId="71509514">
            <w:pPr>
              <w:pStyle w:val="178"/>
            </w:pPr>
            <w:r>
              <w:rPr>
                <w:rFonts w:hint="eastAsia"/>
              </w:rPr>
              <w:t>分类归档、统一编号、动态更新</w:t>
            </w:r>
          </w:p>
        </w:tc>
      </w:tr>
      <w:tr w14:paraId="3FA6C8D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691" w:type="dxa"/>
          </w:tcPr>
          <w:p w14:paraId="6D7F3669">
            <w:pPr>
              <w:pStyle w:val="178"/>
            </w:pPr>
            <w:r>
              <w:rPr>
                <w:rFonts w:hint="eastAsia"/>
              </w:rPr>
              <w:t>持续改进</w:t>
            </w:r>
          </w:p>
        </w:tc>
        <w:tc>
          <w:tcPr>
            <w:tcW w:w="4253" w:type="dxa"/>
          </w:tcPr>
          <w:p w14:paraId="4457437E">
            <w:pPr>
              <w:pStyle w:val="178"/>
            </w:pPr>
            <w:r>
              <w:rPr>
                <w:rFonts w:hint="eastAsia"/>
              </w:rPr>
              <w:t>点位优化、规则优化、流程优化</w:t>
            </w:r>
          </w:p>
        </w:tc>
        <w:tc>
          <w:tcPr>
            <w:tcW w:w="3390" w:type="dxa"/>
          </w:tcPr>
          <w:p w14:paraId="62C52199">
            <w:pPr>
              <w:pStyle w:val="178"/>
            </w:pPr>
            <w:r>
              <w:rPr>
                <w:rFonts w:hint="eastAsia"/>
              </w:rPr>
              <w:t>问题导向，整改后应验证效果</w:t>
            </w:r>
          </w:p>
        </w:tc>
      </w:tr>
    </w:tbl>
    <w:p w14:paraId="1402D85F">
      <w:pPr>
        <w:pStyle w:val="105"/>
        <w:spacing w:before="120" w:after="120" w:line="360" w:lineRule="auto"/>
      </w:pPr>
      <w:r>
        <w:rPr>
          <w:rFonts w:hint="eastAsia"/>
        </w:rPr>
        <w:t>禁止性要求</w:t>
      </w:r>
    </w:p>
    <w:p w14:paraId="6B4E84E6">
      <w:pPr>
        <w:pStyle w:val="164"/>
        <w:spacing w:line="360" w:lineRule="auto"/>
      </w:pPr>
      <w:r>
        <w:rPr>
          <w:rFonts w:hint="eastAsia"/>
        </w:rPr>
        <w:t>不得质量控制流于形式，只记录不分析、只分析不整改。</w:t>
      </w:r>
    </w:p>
    <w:p w14:paraId="38D2FE54">
      <w:pPr>
        <w:pStyle w:val="164"/>
        <w:spacing w:line="360" w:lineRule="auto"/>
      </w:pPr>
      <w:r>
        <w:rPr>
          <w:rFonts w:hint="eastAsia"/>
        </w:rPr>
        <w:t>不得对数据质量问题、预警误报漏报和处置超时问题长期不改进。</w:t>
      </w:r>
    </w:p>
    <w:p w14:paraId="1E053FCB">
      <w:pPr>
        <w:pStyle w:val="164"/>
        <w:spacing w:line="360" w:lineRule="auto"/>
      </w:pPr>
      <w:r>
        <w:rPr>
          <w:rFonts w:hint="eastAsia"/>
        </w:rPr>
        <w:t>不得资料缺失、原始数据缺失或者记录无法追溯而认定系统运行合规。</w:t>
      </w:r>
    </w:p>
    <w:p w14:paraId="57CC3EE6">
      <w:pPr>
        <w:pStyle w:val="164"/>
        <w:spacing w:line="360" w:lineRule="auto"/>
      </w:pPr>
      <w:r>
        <w:rPr>
          <w:rFonts w:hint="eastAsia"/>
        </w:rPr>
        <w:t>不得对敏感点位和重点控制点降低质量控制要求。</w:t>
      </w:r>
    </w:p>
    <w:p w14:paraId="7BE835B2">
      <w:pPr>
        <w:pStyle w:val="164"/>
        <w:spacing w:line="360" w:lineRule="auto"/>
      </w:pPr>
      <w:r>
        <w:rPr>
          <w:rFonts w:hint="eastAsia"/>
        </w:rPr>
        <w:t>不得在未完成质量复核和资料归档的情况下认定预警事件已经闭环完成。</w:t>
      </w:r>
    </w:p>
    <w:p w14:paraId="4CF72FEA">
      <w:pPr>
        <w:pStyle w:val="164"/>
        <w:numPr>
          <w:ilvl w:val="0"/>
          <w:numId w:val="0"/>
        </w:numPr>
        <w:spacing w:line="360" w:lineRule="auto"/>
      </w:pPr>
    </w:p>
    <w:p w14:paraId="6F5F0BE8">
      <w:pPr>
        <w:pStyle w:val="164"/>
        <w:numPr>
          <w:ilvl w:val="0"/>
          <w:numId w:val="0"/>
        </w:numPr>
        <w:spacing w:line="360" w:lineRule="auto"/>
        <w:rPr>
          <w:rFonts w:hint="eastAsia"/>
        </w:rPr>
      </w:pPr>
    </w:p>
    <w:p w14:paraId="2104FEA4">
      <w:pPr>
        <w:pStyle w:val="104"/>
        <w:spacing w:before="240" w:after="240" w:line="360" w:lineRule="auto"/>
      </w:pPr>
      <w:bookmarkStart w:id="59" w:name="_Toc228609196"/>
      <w:r>
        <w:rPr>
          <w:rFonts w:hint="eastAsia"/>
        </w:rPr>
        <w:t>附则</w:t>
      </w:r>
      <w:bookmarkEnd w:id="59"/>
    </w:p>
    <w:p w14:paraId="1F55BB18">
      <w:pPr>
        <w:pStyle w:val="162"/>
        <w:spacing w:line="360" w:lineRule="auto"/>
      </w:pPr>
      <w:r>
        <w:rPr>
          <w:rFonts w:hint="eastAsia"/>
        </w:rPr>
        <w:t>建设单位可根据工程类型、施工区域环境特征、监管要求和管理需要，在不低于本文件要求的前提下，制定实施细则。</w:t>
      </w:r>
    </w:p>
    <w:p w14:paraId="4A32EA75">
      <w:pPr>
        <w:pStyle w:val="162"/>
        <w:spacing w:line="360" w:lineRule="auto"/>
      </w:pPr>
      <w:r>
        <w:rPr>
          <w:rFonts w:hint="eastAsia"/>
        </w:rPr>
        <w:t>对跨流域、跨区域、长线路、多标段和高敏感工程，可在本文件基础上提高监测密度、预警等级和联动要求。</w:t>
      </w:r>
    </w:p>
    <w:p w14:paraId="562C1D56">
      <w:pPr>
        <w:pStyle w:val="162"/>
      </w:pPr>
      <w:r>
        <w:rPr>
          <w:rFonts w:hint="eastAsia"/>
        </w:rPr>
        <w:t>12.3 本文件未规定的事项，应符合国家有关法律法规、相关标准和主管部门管理要求。</w:t>
      </w:r>
    </w:p>
    <w:bookmarkEnd w:id="26"/>
    <w:p w14:paraId="29F68C2A">
      <w:pPr>
        <w:pStyle w:val="56"/>
        <w:ind w:firstLine="0" w:firstLineChars="0"/>
        <w:jc w:val="center"/>
      </w:pPr>
      <w:bookmarkStart w:id="60" w:name="BookMark8"/>
      <w:r>
        <w:rPr>
          <w:rFonts w:hint="eastAsia"/>
        </w:rPr>
        <w:drawing>
          <wp:inline distT="0" distB="0" distL="0" distR="0">
            <wp:extent cx="1485900" cy="317500"/>
            <wp:effectExtent l="0" t="0" r="0" b="6350"/>
            <wp:docPr id="215757333" name="图片 3"/>
            <wp:cNvGraphicFramePr/>
            <a:graphic xmlns:a="http://schemas.openxmlformats.org/drawingml/2006/main">
              <a:graphicData uri="http://schemas.openxmlformats.org/drawingml/2006/picture">
                <pic:pic xmlns:pic="http://schemas.openxmlformats.org/drawingml/2006/picture">
                  <pic:nvPicPr>
                    <pic:cNvPr id="215757333" name="图片 3"/>
                    <pic:cNvPicPr/>
                  </pic:nvPicPr>
                  <pic:blipFill>
                    <a:blip r:embed="rId30">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60"/>
    </w:p>
    <w:sectPr>
      <w:headerReference r:id="rId23" w:type="default"/>
      <w:footerReference r:id="rId25" w:type="default"/>
      <w:headerReference r:id="rId24" w:type="even"/>
      <w:footerReference r:id="rId26" w:type="even"/>
      <w:pgSz w:w="11906" w:h="16838"/>
      <w:pgMar w:top="1928" w:right="1134" w:bottom="1134" w:left="1134" w:header="1418" w:footer="1134" w:gutter="284"/>
      <w:pgNumType w:start="1"/>
      <w:cols w:space="425" w:num="1"/>
      <w:formProt w:val="0"/>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331CFF">
    <w:pPr>
      <w:pStyle w:val="17"/>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45FB89">
    <w:pPr>
      <w:pStyle w:val="52"/>
    </w:pPr>
    <w:r>
      <w:fldChar w:fldCharType="begin"/>
    </w:r>
    <w:r>
      <w:instrText xml:space="preserve">PAGE   \* MERGEFORMAT</w:instrText>
    </w:r>
    <w:r>
      <w:fldChar w:fldCharType="separate"/>
    </w:r>
    <w:r>
      <w:rPr>
        <w:lang w:val="zh-CN"/>
      </w:rPr>
      <w:t>1</w:t>
    </w:r>
    <w:r>
      <w:fldChar w:fldCharType="end"/>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A94BBC">
    <w:pPr>
      <w:pStyle w:val="51"/>
    </w:pPr>
    <w:r>
      <w:fldChar w:fldCharType="begin"/>
    </w:r>
    <w:r>
      <w:instrText xml:space="preserve"> PAGE   \* MERGEFORMAT \* MERGEFORMAT </w:instrText>
    </w:r>
    <w:r>
      <w:fldChar w:fldCharType="separate"/>
    </w:r>
    <w:r>
      <w:t>28</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82C22D">
    <w:pPr>
      <w:pStyle w:val="17"/>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849337">
    <w:pPr>
      <w:pStyle w:val="17"/>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65C18A">
    <w:pPr>
      <w:pStyle w:val="52"/>
    </w:pPr>
    <w:r>
      <w:fldChar w:fldCharType="begin"/>
    </w:r>
    <w:r>
      <w:instrText xml:space="preserve">PAGE   \* MERGEFORMAT</w:instrText>
    </w:r>
    <w:r>
      <w:fldChar w:fldCharType="separate"/>
    </w:r>
    <w:r>
      <w:rPr>
        <w:lang w:val="zh-CN"/>
      </w:rPr>
      <w:t>1</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9846EC">
    <w:pPr>
      <w:pStyle w:val="51"/>
    </w:pPr>
    <w:r>
      <w:fldChar w:fldCharType="begin"/>
    </w:r>
    <w:r>
      <w:instrText xml:space="preserve"> PAGE   \* MERGEFORMAT \* MERGEFORMAT </w:instrText>
    </w:r>
    <w:r>
      <w:fldChar w:fldCharType="separate"/>
    </w:r>
    <w:r>
      <w:t>II</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890B76">
    <w:pPr>
      <w:pStyle w:val="52"/>
    </w:pPr>
    <w:r>
      <w:fldChar w:fldCharType="begin"/>
    </w:r>
    <w:r>
      <w:instrText xml:space="preserve">PAGE   \* MERGEFORMAT</w:instrText>
    </w:r>
    <w:r>
      <w:fldChar w:fldCharType="separate"/>
    </w:r>
    <w:r>
      <w:rPr>
        <w:lang w:val="zh-CN"/>
      </w:rPr>
      <w:t>1</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5D03E3">
    <w:pPr>
      <w:pStyle w:val="51"/>
    </w:pPr>
    <w:r>
      <w:fldChar w:fldCharType="begin"/>
    </w:r>
    <w:r>
      <w:instrText xml:space="preserve"> PAGE   \* MERGEFORMAT \* MERGEFORMAT </w:instrText>
    </w:r>
    <w:r>
      <w:fldChar w:fldCharType="separate"/>
    </w:r>
    <w:r>
      <w:t>I</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DDA474">
    <w:pPr>
      <w:pStyle w:val="52"/>
    </w:pPr>
    <w:r>
      <w:fldChar w:fldCharType="begin"/>
    </w:r>
    <w:r>
      <w:instrText xml:space="preserve">PAGE   \* MERGEFORMAT</w:instrText>
    </w:r>
    <w:r>
      <w:fldChar w:fldCharType="separate"/>
    </w:r>
    <w:r>
      <w:rPr>
        <w:lang w:val="zh-CN"/>
      </w:rPr>
      <w:t>1</w:t>
    </w:r>
    <w: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B2F09C">
    <w:pPr>
      <w:pStyle w:val="51"/>
    </w:pPr>
    <w:r>
      <w:fldChar w:fldCharType="begin"/>
    </w:r>
    <w:r>
      <w:instrText xml:space="preserve"> PAGE   \* MERGEFORMAT \* MERGEFORMAT </w:instrText>
    </w:r>
    <w:r>
      <w:fldChar w:fldCharType="separate"/>
    </w:r>
    <w: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B02859">
    <w:pPr>
      <w:pStyle w:val="18"/>
      <w:wordWrap w:val="0"/>
      <w:jc w:val="right"/>
      <w:rPr>
        <w:rFonts w:hint="eastAsia"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D7ED11">
    <w:pPr>
      <w:pStyle w:val="61"/>
      <w:rPr>
        <w:rFonts w:hint="eastAsia"/>
      </w:rPr>
    </w:pPr>
    <w:r>
      <w:fldChar w:fldCharType="begin"/>
    </w:r>
    <w:r>
      <w:instrText xml:space="preserve"> STYLEREF  标准文件_文件编号  \* MERGEFORMAT </w:instrText>
    </w:r>
    <w:r>
      <w:fldChar w:fldCharType="separate"/>
    </w:r>
    <w:r>
      <w:t>T/XZBX 0263—2026</w:t>
    </w:r>
    <w:r>
      <w:fldChar w:fldCharType="end"/>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863A54">
    <w:pPr>
      <w:pStyle w:val="62"/>
      <w:rPr>
        <w:rFonts w:hint="eastAsia"/>
      </w:rPr>
    </w:pPr>
    <w:r>
      <w:rPr>
        <w:rFonts w:hint="eastAsia"/>
      </w:rPr>
      <w:fldChar w:fldCharType="begin"/>
    </w:r>
    <w:r>
      <w:rPr>
        <w:rFonts w:hint="eastAsia"/>
      </w:rPr>
      <w:instrText xml:space="preserve"> STYLEREF  标准文件_文件编号 \* MERGEFORMAT </w:instrText>
    </w:r>
    <w:r>
      <w:rPr>
        <w:rFonts w:hint="eastAsia"/>
      </w:rPr>
      <w:fldChar w:fldCharType="separate"/>
    </w:r>
    <w:r>
      <w:rPr>
        <w:rFonts w:hint="eastAsia"/>
      </w:rPr>
      <w:t>T/XZBX 0263—2026</w:t>
    </w:r>
    <w:r>
      <w:rPr>
        <w:rFonts w:hint="eastAsia"/>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988B65">
    <w:pPr>
      <w:pStyle w:val="1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FDBA31">
    <w:pPr>
      <w:pStyle w:val="18"/>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1C7098">
    <w:pPr>
      <w:pStyle w:val="61"/>
      <w:rPr>
        <w:rFonts w:hint="eastAsia"/>
      </w:rPr>
    </w:pPr>
    <w:r>
      <w:fldChar w:fldCharType="begin"/>
    </w:r>
    <w:r>
      <w:instrText xml:space="preserve"> STYLEREF  标准文件_文件编号  \* MERGEFORMAT </w:instrText>
    </w:r>
    <w:r>
      <w:fldChar w:fldCharType="separate"/>
    </w:r>
    <w:r>
      <w:t>T/XZBX 0263—2026</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D007A2">
    <w:pPr>
      <w:pStyle w:val="62"/>
      <w:rPr>
        <w:rFonts w:hint="eastAsia"/>
      </w:rPr>
    </w:pPr>
    <w:r>
      <w:rPr>
        <w:rFonts w:hint="eastAsia"/>
      </w:rPr>
      <w:fldChar w:fldCharType="begin"/>
    </w:r>
    <w:r>
      <w:rPr>
        <w:rFonts w:hint="eastAsia"/>
      </w:rPr>
      <w:instrText xml:space="preserve"> STYLEREF  标准文件_文件编号 \* MERGEFORMAT </w:instrText>
    </w:r>
    <w:r>
      <w:rPr>
        <w:rFonts w:hint="eastAsia"/>
      </w:rPr>
      <w:fldChar w:fldCharType="separate"/>
    </w:r>
    <w:r>
      <w:rPr>
        <w:rFonts w:hint="eastAsia"/>
      </w:rPr>
      <w:t>T/XZBX 0263—2026</w:t>
    </w:r>
    <w:r>
      <w:rPr>
        <w:rFonts w:hint="eastAsia"/>
      </w:rP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041B66">
    <w:pPr>
      <w:pStyle w:val="61"/>
      <w:rPr>
        <w:rFonts w:hint="eastAsia"/>
      </w:rPr>
    </w:pPr>
    <w:r>
      <w:fldChar w:fldCharType="begin"/>
    </w:r>
    <w:r>
      <w:instrText xml:space="preserve"> STYLEREF  标准文件_文件编号  \* MERGEFORMAT </w:instrText>
    </w:r>
    <w:r>
      <w:fldChar w:fldCharType="separate"/>
    </w:r>
    <w:r>
      <w:t>T/XZBX 0263—2026</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EAB07E">
    <w:pPr>
      <w:pStyle w:val="62"/>
      <w:rPr>
        <w:rFonts w:hint="eastAsia"/>
      </w:rPr>
    </w:pPr>
    <w:r>
      <w:rPr>
        <w:rFonts w:hint="eastAsia"/>
      </w:rPr>
      <w:fldChar w:fldCharType="begin"/>
    </w:r>
    <w:r>
      <w:rPr>
        <w:rFonts w:hint="eastAsia"/>
      </w:rPr>
      <w:instrText xml:space="preserve"> STYLEREF  标准文件_文件编号 \* MERGEFORMAT </w:instrText>
    </w:r>
    <w:r>
      <w:rPr>
        <w:rFonts w:hint="eastAsia"/>
      </w:rPr>
      <w:fldChar w:fldCharType="separate"/>
    </w:r>
    <w:r>
      <w:rPr>
        <w:rFonts w:hint="eastAsia"/>
      </w:rPr>
      <w:t>T/XZBX 0263—2026</w:t>
    </w:r>
    <w:r>
      <w:rPr>
        <w:rFonts w:hint="eastAsia"/>
      </w:rP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7EAF36">
    <w:pPr>
      <w:pStyle w:val="61"/>
      <w:rPr>
        <w:rFonts w:hint="eastAsia"/>
      </w:rPr>
    </w:pPr>
    <w:r>
      <w:fldChar w:fldCharType="begin"/>
    </w:r>
    <w:r>
      <w:instrText xml:space="preserve"> STYLEREF  标准文件_文件编号  \* MERGEFORMAT </w:instrText>
    </w:r>
    <w:r>
      <w:fldChar w:fldCharType="separate"/>
    </w:r>
    <w:r>
      <w:t>T/XZBX 0263—2026</w:t>
    </w:r>
    <w:r>
      <w:fldChar w:fldCharType="end"/>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BA6B57">
    <w:pPr>
      <w:pStyle w:val="62"/>
      <w:rPr>
        <w:rFonts w:hint="eastAsia"/>
      </w:rPr>
    </w:pPr>
    <w:r>
      <w:rPr>
        <w:rFonts w:hint="eastAsia"/>
      </w:rPr>
      <w:fldChar w:fldCharType="begin"/>
    </w:r>
    <w:r>
      <w:rPr>
        <w:rFonts w:hint="eastAsia"/>
      </w:rPr>
      <w:instrText xml:space="preserve"> STYLEREF  标准文件_文件编号 \* MERGEFORMAT </w:instrText>
    </w:r>
    <w:r>
      <w:rPr>
        <w:rFonts w:hint="eastAsia"/>
      </w:rPr>
      <w:fldChar w:fldCharType="separate"/>
    </w:r>
    <w:r>
      <w:rPr>
        <w:rFonts w:hint="eastAsia"/>
      </w:rPr>
      <w:t>T/XZBX 0263—2026</w:t>
    </w:r>
    <w:r>
      <w:rPr>
        <w:rFonts w:hint="eastAsia"/>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4"/>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9"/>
      <w:suff w:val="nothing"/>
      <w:lvlText w:val="%1%2.%3　"/>
      <w:lvlJc w:val="left"/>
      <w:pPr>
        <w:ind w:left="0" w:firstLine="0"/>
      </w:pPr>
    </w:lvl>
    <w:lvl w:ilvl="3" w:tentative="0">
      <w:start w:val="1"/>
      <w:numFmt w:val="decimal"/>
      <w:pStyle w:val="118"/>
      <w:suff w:val="nothing"/>
      <w:lvlText w:val="%1%2.%3.%4　"/>
      <w:lvlJc w:val="left"/>
      <w:pPr>
        <w:ind w:left="0" w:firstLine="0"/>
      </w:pPr>
    </w:lvl>
    <w:lvl w:ilvl="4" w:tentative="0">
      <w:start w:val="1"/>
      <w:numFmt w:val="decimal"/>
      <w:pStyle w:val="153"/>
      <w:suff w:val="nothing"/>
      <w:lvlText w:val="%1%2.%3.%4.%5　"/>
      <w:lvlJc w:val="left"/>
      <w:pPr>
        <w:ind w:left="0" w:firstLine="0"/>
      </w:pPr>
    </w:lvl>
    <w:lvl w:ilvl="5" w:tentative="0">
      <w:start w:val="1"/>
      <w:numFmt w:val="decimal"/>
      <w:pStyle w:val="155"/>
      <w:suff w:val="nothing"/>
      <w:lvlText w:val="%1%2.%3.%4.%5.%6　"/>
      <w:lvlJc w:val="left"/>
      <w:pPr>
        <w:ind w:left="0" w:firstLine="0"/>
      </w:pPr>
    </w:lvl>
    <w:lvl w:ilvl="6" w:tentative="0">
      <w:start w:val="1"/>
      <w:numFmt w:val="decimal"/>
      <w:pStyle w:val="158"/>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0"/>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89"/>
      <w:lvlText w:val="%1"/>
      <w:lvlJc w:val="left"/>
      <w:pPr>
        <w:ind w:left="425" w:hanging="425"/>
      </w:pPr>
      <w:rPr>
        <w:rFonts w:hint="eastAsia"/>
      </w:rPr>
    </w:lvl>
    <w:lvl w:ilvl="1" w:tentative="0">
      <w:start w:val="1"/>
      <w:numFmt w:val="decimal"/>
      <w:pStyle w:val="200"/>
      <w:suff w:val="nothing"/>
      <w:lvlText w:val="%10.%2 "/>
      <w:lvlJc w:val="left"/>
      <w:pPr>
        <w:ind w:left="0" w:firstLine="0"/>
      </w:pPr>
      <w:rPr>
        <w:rFonts w:hint="eastAsia" w:ascii="黑体" w:eastAsia="黑体" w:hAnsiTheme="minorHAnsi"/>
        <w:b w:val="0"/>
        <w:i w:val="0"/>
        <w:sz w:val="21"/>
      </w:rPr>
    </w:lvl>
    <w:lvl w:ilvl="2" w:tentative="0">
      <w:start w:val="1"/>
      <w:numFmt w:val="decimal"/>
      <w:pStyle w:val="201"/>
      <w:suff w:val="nothing"/>
      <w:lvlText w:val="%10.%2.%3 "/>
      <w:lvlJc w:val="left"/>
      <w:pPr>
        <w:ind w:left="0" w:firstLine="0"/>
      </w:pPr>
      <w:rPr>
        <w:rFonts w:hint="eastAsia" w:ascii="黑体" w:eastAsia="黑体" w:hAnsiTheme="minorHAnsi"/>
        <w:b w:val="0"/>
        <w:i w:val="0"/>
        <w:sz w:val="21"/>
      </w:rPr>
    </w:lvl>
    <w:lvl w:ilvl="3" w:tentative="0">
      <w:start w:val="1"/>
      <w:numFmt w:val="decimal"/>
      <w:pStyle w:val="202"/>
      <w:suff w:val="nothing"/>
      <w:lvlText w:val="%10.%2.%3.%4 "/>
      <w:lvlJc w:val="left"/>
      <w:pPr>
        <w:ind w:left="0" w:firstLine="0"/>
      </w:pPr>
      <w:rPr>
        <w:rFonts w:hint="eastAsia" w:ascii="黑体" w:eastAsia="黑体" w:hAnsiTheme="minorHAnsi"/>
        <w:b w:val="0"/>
        <w:i w:val="0"/>
        <w:sz w:val="21"/>
      </w:rPr>
    </w:lvl>
    <w:lvl w:ilvl="4" w:tentative="0">
      <w:start w:val="1"/>
      <w:numFmt w:val="decimal"/>
      <w:pStyle w:val="203"/>
      <w:suff w:val="nothing"/>
      <w:lvlText w:val="%10.%2.%3.%4.%5 "/>
      <w:lvlJc w:val="left"/>
      <w:pPr>
        <w:ind w:left="0" w:firstLine="0"/>
      </w:pPr>
      <w:rPr>
        <w:rFonts w:hint="eastAsia" w:ascii="黑体" w:eastAsia="黑体" w:hAnsiTheme="minorHAnsi"/>
        <w:b w:val="0"/>
        <w:i w:val="0"/>
        <w:sz w:val="21"/>
      </w:rPr>
    </w:lvl>
    <w:lvl w:ilvl="5" w:tentative="0">
      <w:start w:val="1"/>
      <w:numFmt w:val="decimal"/>
      <w:pStyle w:val="204"/>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1"/>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7"/>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0"/>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5"/>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2"/>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7"/>
      <w:lvlText w:val=""/>
      <w:lvlJc w:val="left"/>
      <w:pPr>
        <w:ind w:left="851" w:hanging="431"/>
      </w:pPr>
      <w:rPr>
        <w:rFonts w:hint="default" w:ascii="Symbol" w:hAnsi="Symbol"/>
        <w:sz w:val="21"/>
      </w:rPr>
    </w:lvl>
    <w:lvl w:ilvl="2" w:tentative="0">
      <w:start w:val="1"/>
      <w:numFmt w:val="bullet"/>
      <w:pStyle w:val="172"/>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4"/>
      <w:lvlText w:val="%1)"/>
      <w:lvlJc w:val="left"/>
      <w:pPr>
        <w:tabs>
          <w:tab w:val="left" w:pos="851"/>
        </w:tabs>
        <w:ind w:left="851" w:hanging="426"/>
      </w:pPr>
      <w:rPr>
        <w:rFonts w:hint="eastAsia" w:ascii="宋体" w:hAnsi="Times New Roman" w:eastAsia="宋体"/>
        <w:sz w:val="21"/>
      </w:rPr>
    </w:lvl>
    <w:lvl w:ilvl="1" w:tentative="0">
      <w:start w:val="1"/>
      <w:numFmt w:val="decimal"/>
      <w:pStyle w:val="109"/>
      <w:lvlText w:val="%2)"/>
      <w:lvlJc w:val="left"/>
      <w:pPr>
        <w:tabs>
          <w:tab w:val="left" w:pos="1276"/>
        </w:tabs>
        <w:ind w:left="1276" w:hanging="425"/>
      </w:pPr>
      <w:rPr>
        <w:rFonts w:hint="eastAsia" w:ascii="宋体" w:hAnsi="Times New Roman" w:eastAsia="宋体"/>
        <w:sz w:val="21"/>
      </w:rPr>
    </w:lvl>
    <w:lvl w:ilvl="2" w:tentative="0">
      <w:start w:val="1"/>
      <w:numFmt w:val="decimal"/>
      <w:pStyle w:val="117"/>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198"/>
      <w:lvlText w:val="%1"/>
      <w:lvlJc w:val="left"/>
      <w:pPr>
        <w:ind w:left="420" w:hanging="420"/>
      </w:pPr>
      <w:rPr>
        <w:rFonts w:hint="eastAsia"/>
      </w:rPr>
    </w:lvl>
    <w:lvl w:ilvl="1" w:tentative="0">
      <w:start w:val="1"/>
      <w:numFmt w:val="decimal"/>
      <w:pStyle w:val="83"/>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3"/>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6"/>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3"/>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4"/>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199"/>
      <w:suff w:val="space"/>
      <w:lvlText w:val="%1"/>
      <w:lvlJc w:val="left"/>
      <w:pPr>
        <w:ind w:left="425" w:hanging="425"/>
      </w:pPr>
      <w:rPr>
        <w:rFonts w:hint="eastAsia"/>
      </w:rPr>
    </w:lvl>
    <w:lvl w:ilvl="1" w:tentative="0">
      <w:start w:val="1"/>
      <w:numFmt w:val="decimal"/>
      <w:pStyle w:val="77"/>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1"/>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6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2"/>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89"/>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6"/>
      <w:suff w:val="nothing"/>
      <w:lvlText w:val="附录%1"/>
      <w:lvlJc w:val="left"/>
      <w:pPr>
        <w:ind w:left="0" w:firstLine="0"/>
      </w:pPr>
      <w:rPr>
        <w:rFonts w:hint="eastAsia"/>
        <w:spacing w:val="100"/>
      </w:rPr>
    </w:lvl>
    <w:lvl w:ilvl="1" w:tentative="0">
      <w:start w:val="1"/>
      <w:numFmt w:val="decimal"/>
      <w:pStyle w:val="78"/>
      <w:suff w:val="nothing"/>
      <w:lvlText w:val="%1.%2　"/>
      <w:lvlJc w:val="left"/>
      <w:pPr>
        <w:ind w:left="0" w:firstLine="0"/>
      </w:pPr>
      <w:rPr>
        <w:rFonts w:hint="eastAsia" w:ascii="黑体" w:eastAsia="黑体"/>
        <w:b w:val="0"/>
        <w:i w:val="0"/>
        <w:sz w:val="21"/>
      </w:rPr>
    </w:lvl>
    <w:lvl w:ilvl="2" w:tentative="0">
      <w:start w:val="1"/>
      <w:numFmt w:val="decimal"/>
      <w:pStyle w:val="79"/>
      <w:suff w:val="nothing"/>
      <w:lvlText w:val="%1.%2.%3　"/>
      <w:lvlJc w:val="left"/>
      <w:pPr>
        <w:ind w:left="0" w:firstLine="0"/>
      </w:pPr>
      <w:rPr>
        <w:rFonts w:hint="eastAsia" w:ascii="黑体" w:eastAsia="黑体"/>
        <w:b w:val="0"/>
        <w:i w:val="0"/>
        <w:sz w:val="21"/>
      </w:rPr>
    </w:lvl>
    <w:lvl w:ilvl="3" w:tentative="0">
      <w:start w:val="1"/>
      <w:numFmt w:val="decimal"/>
      <w:pStyle w:val="81"/>
      <w:suff w:val="nothing"/>
      <w:lvlText w:val="%1.%2.%3.%4　"/>
      <w:lvlJc w:val="left"/>
      <w:pPr>
        <w:ind w:left="0" w:firstLine="0"/>
      </w:pPr>
      <w:rPr>
        <w:rFonts w:hint="eastAsia" w:ascii="黑体" w:eastAsia="黑体"/>
        <w:b w:val="0"/>
        <w:i w:val="0"/>
        <w:sz w:val="21"/>
      </w:rPr>
    </w:lvl>
    <w:lvl w:ilvl="4" w:tentative="0">
      <w:start w:val="1"/>
      <w:numFmt w:val="decimal"/>
      <w:pStyle w:val="82"/>
      <w:suff w:val="nothing"/>
      <w:lvlText w:val="%1.%2.%3.%4.%5　"/>
      <w:lvlJc w:val="left"/>
      <w:pPr>
        <w:ind w:left="0" w:firstLine="0"/>
      </w:pPr>
      <w:rPr>
        <w:rFonts w:hint="eastAsia" w:ascii="黑体" w:eastAsia="黑体"/>
        <w:b w:val="0"/>
        <w:i w:val="0"/>
        <w:sz w:val="21"/>
      </w:rPr>
    </w:lvl>
    <w:lvl w:ilvl="5" w:tentative="0">
      <w:start w:val="1"/>
      <w:numFmt w:val="decimal"/>
      <w:pStyle w:val="8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8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7"/>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2"/>
      <w:suff w:val="nothing"/>
      <w:lvlText w:val="%1"/>
      <w:lvlJc w:val="left"/>
      <w:pPr>
        <w:ind w:left="0" w:firstLine="0"/>
      </w:pPr>
      <w:rPr>
        <w:rFonts w:hint="eastAsia"/>
      </w:rPr>
    </w:lvl>
    <w:lvl w:ilvl="1" w:tentative="0">
      <w:start w:val="1"/>
      <w:numFmt w:val="decimal"/>
      <w:pStyle w:val="104"/>
      <w:suff w:val="nothing"/>
      <w:lvlText w:val="%1%2　"/>
      <w:lvlJc w:val="left"/>
      <w:pPr>
        <w:ind w:left="0" w:firstLine="0"/>
      </w:pPr>
      <w:rPr>
        <w:rFonts w:hint="eastAsia" w:ascii="黑体" w:eastAsia="黑体"/>
        <w:b w:val="0"/>
        <w:i w:val="0"/>
        <w:sz w:val="21"/>
      </w:rPr>
    </w:lvl>
    <w:lvl w:ilvl="2" w:tentative="0">
      <w:start w:val="1"/>
      <w:numFmt w:val="decimal"/>
      <w:pStyle w:val="105"/>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prst="orthographicFront">
          <w14:lightRig w14:rig="threePt" w14:dir="t">
            <w14:rot w14:lat="0" w14:lon="0" w14:rev="0"/>
          </w14:lightRig>
        </w14:scene3d>
        <w14:ligatures w14:val="none"/>
        <w14:numForm w14:val="default"/>
        <w14:numSpacing w14:val="default"/>
        <w14:cntxtalts w14:val="0"/>
      </w:rPr>
    </w:lvl>
    <w:lvl w:ilvl="3" w:tentative="0">
      <w:start w:val="1"/>
      <w:numFmt w:val="decimal"/>
      <w:pStyle w:val="65"/>
      <w:suff w:val="nothing"/>
      <w:lvlText w:val="%1%2.%3.%4　"/>
      <w:lvlJc w:val="left"/>
      <w:pPr>
        <w:ind w:left="0" w:firstLine="0"/>
      </w:pPr>
      <w:rPr>
        <w:rFonts w:hint="eastAsia" w:ascii="黑体" w:eastAsia="黑体"/>
        <w:b w:val="0"/>
        <w:i w:val="0"/>
        <w:sz w:val="21"/>
      </w:rPr>
    </w:lvl>
    <w:lvl w:ilvl="4" w:tentative="0">
      <w:start w:val="1"/>
      <w:numFmt w:val="decimal"/>
      <w:pStyle w:val="94"/>
      <w:suff w:val="nothing"/>
      <w:lvlText w:val="%1%2.%3.%4.%5　"/>
      <w:lvlJc w:val="left"/>
      <w:pPr>
        <w:ind w:left="0" w:firstLine="0"/>
      </w:pPr>
      <w:rPr>
        <w:rFonts w:hint="eastAsia" w:ascii="黑体" w:eastAsia="黑体"/>
        <w:b w:val="0"/>
        <w:i w:val="0"/>
        <w:sz w:val="21"/>
      </w:rPr>
    </w:lvl>
    <w:lvl w:ilvl="5" w:tentative="0">
      <w:start w:val="1"/>
      <w:numFmt w:val="decimal"/>
      <w:pStyle w:val="98"/>
      <w:suff w:val="nothing"/>
      <w:lvlText w:val="%1%2.%3.%4.%5.%6　"/>
      <w:lvlJc w:val="left"/>
      <w:pPr>
        <w:ind w:left="0" w:firstLine="0"/>
      </w:pPr>
      <w:rPr>
        <w:rFonts w:hint="eastAsia" w:ascii="黑体" w:eastAsia="黑体"/>
        <w:b w:val="0"/>
        <w:i w:val="0"/>
        <w:sz w:val="21"/>
      </w:rPr>
    </w:lvl>
    <w:lvl w:ilvl="6" w:tentative="0">
      <w:start w:val="1"/>
      <w:numFmt w:val="decimal"/>
      <w:pStyle w:val="10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79"/>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5"/>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39"/>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attachedTemplate r:id="rId1"/>
  <w:documentProtection w:edit="forms" w:enforcement="0"/>
  <w:defaultTabStop w:val="420"/>
  <w:evenAndOddHeaders w:val="1"/>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2tDSwNLYwMrIwtjS2NDNT0lEKTi0uzszPAykwrAUASC/mvywAAAA="/>
  </w:docVars>
  <w:rsids>
    <w:rsidRoot w:val="00EB4D3D"/>
    <w:rsid w:val="0000040A"/>
    <w:rsid w:val="00000A94"/>
    <w:rsid w:val="00000B3B"/>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37A4"/>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E7144"/>
    <w:rsid w:val="000F06E1"/>
    <w:rsid w:val="000F0E3C"/>
    <w:rsid w:val="000F19D5"/>
    <w:rsid w:val="000F1AD4"/>
    <w:rsid w:val="000F4050"/>
    <w:rsid w:val="000F4AEA"/>
    <w:rsid w:val="000F67E9"/>
    <w:rsid w:val="00104926"/>
    <w:rsid w:val="00113B1E"/>
    <w:rsid w:val="0011711C"/>
    <w:rsid w:val="00124E4F"/>
    <w:rsid w:val="001260B7"/>
    <w:rsid w:val="001265CB"/>
    <w:rsid w:val="001321C6"/>
    <w:rsid w:val="001325C4"/>
    <w:rsid w:val="00133010"/>
    <w:rsid w:val="001338EE"/>
    <w:rsid w:val="00133AAE"/>
    <w:rsid w:val="00134669"/>
    <w:rsid w:val="00135323"/>
    <w:rsid w:val="001356C4"/>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7A0B"/>
    <w:rsid w:val="00190087"/>
    <w:rsid w:val="001913C4"/>
    <w:rsid w:val="0019348F"/>
    <w:rsid w:val="00193A07"/>
    <w:rsid w:val="00194C95"/>
    <w:rsid w:val="00195C34"/>
    <w:rsid w:val="00196EF5"/>
    <w:rsid w:val="001A1A53"/>
    <w:rsid w:val="001A234A"/>
    <w:rsid w:val="001A4CF3"/>
    <w:rsid w:val="001A6696"/>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15ADD"/>
    <w:rsid w:val="002204BB"/>
    <w:rsid w:val="00221B79"/>
    <w:rsid w:val="00221C6B"/>
    <w:rsid w:val="002253A1"/>
    <w:rsid w:val="00225CF8"/>
    <w:rsid w:val="0022794E"/>
    <w:rsid w:val="00233D64"/>
    <w:rsid w:val="0023482A"/>
    <w:rsid w:val="002359CB"/>
    <w:rsid w:val="0024295A"/>
    <w:rsid w:val="00243540"/>
    <w:rsid w:val="0024497B"/>
    <w:rsid w:val="0024515B"/>
    <w:rsid w:val="00246021"/>
    <w:rsid w:val="0024666E"/>
    <w:rsid w:val="00247F52"/>
    <w:rsid w:val="00250B25"/>
    <w:rsid w:val="00250BBE"/>
    <w:rsid w:val="002515C2"/>
    <w:rsid w:val="0025194F"/>
    <w:rsid w:val="0026037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5347"/>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46FA"/>
    <w:rsid w:val="002C5278"/>
    <w:rsid w:val="002C7EBB"/>
    <w:rsid w:val="002D06C1"/>
    <w:rsid w:val="002D1562"/>
    <w:rsid w:val="002D42B5"/>
    <w:rsid w:val="002D4F1A"/>
    <w:rsid w:val="002D6EC6"/>
    <w:rsid w:val="002D79AC"/>
    <w:rsid w:val="002E039D"/>
    <w:rsid w:val="002E4D5A"/>
    <w:rsid w:val="002E6326"/>
    <w:rsid w:val="002E6AD9"/>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EDD"/>
    <w:rsid w:val="003331E4"/>
    <w:rsid w:val="00336C64"/>
    <w:rsid w:val="00337162"/>
    <w:rsid w:val="0034194F"/>
    <w:rsid w:val="00344605"/>
    <w:rsid w:val="003474AA"/>
    <w:rsid w:val="00350D1D"/>
    <w:rsid w:val="00352C83"/>
    <w:rsid w:val="00352F1A"/>
    <w:rsid w:val="0036107C"/>
    <w:rsid w:val="003615D2"/>
    <w:rsid w:val="0036429C"/>
    <w:rsid w:val="003646F4"/>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689"/>
    <w:rsid w:val="00390EE6"/>
    <w:rsid w:val="0039118F"/>
    <w:rsid w:val="00392AD7"/>
    <w:rsid w:val="003938D9"/>
    <w:rsid w:val="00394376"/>
    <w:rsid w:val="003943FF"/>
    <w:rsid w:val="003974EB"/>
    <w:rsid w:val="00397CC5"/>
    <w:rsid w:val="003A11D1"/>
    <w:rsid w:val="003A1582"/>
    <w:rsid w:val="003A3D9C"/>
    <w:rsid w:val="003A4077"/>
    <w:rsid w:val="003A4AA7"/>
    <w:rsid w:val="003B09AD"/>
    <w:rsid w:val="003B1F18"/>
    <w:rsid w:val="003B5BF0"/>
    <w:rsid w:val="003B60BF"/>
    <w:rsid w:val="003B6BE3"/>
    <w:rsid w:val="003C010C"/>
    <w:rsid w:val="003C0A6C"/>
    <w:rsid w:val="003C14F8"/>
    <w:rsid w:val="003C5A43"/>
    <w:rsid w:val="003D0519"/>
    <w:rsid w:val="003D0FF6"/>
    <w:rsid w:val="003D262C"/>
    <w:rsid w:val="003D6D61"/>
    <w:rsid w:val="003E019F"/>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3741A"/>
    <w:rsid w:val="0044083F"/>
    <w:rsid w:val="00441AE7"/>
    <w:rsid w:val="00445574"/>
    <w:rsid w:val="004467FB"/>
    <w:rsid w:val="00452D6B"/>
    <w:rsid w:val="00454484"/>
    <w:rsid w:val="0045517B"/>
    <w:rsid w:val="00455A20"/>
    <w:rsid w:val="00460FE4"/>
    <w:rsid w:val="0046301D"/>
    <w:rsid w:val="00463B77"/>
    <w:rsid w:val="00463C7B"/>
    <w:rsid w:val="004644A6"/>
    <w:rsid w:val="004659BD"/>
    <w:rsid w:val="00470775"/>
    <w:rsid w:val="004746B1"/>
    <w:rsid w:val="0047583F"/>
    <w:rsid w:val="00475DE8"/>
    <w:rsid w:val="00481C44"/>
    <w:rsid w:val="00484936"/>
    <w:rsid w:val="00485C89"/>
    <w:rsid w:val="0048673E"/>
    <w:rsid w:val="00486BE3"/>
    <w:rsid w:val="004905E4"/>
    <w:rsid w:val="00490A89"/>
    <w:rsid w:val="00490AB4"/>
    <w:rsid w:val="00492F02"/>
    <w:rsid w:val="004939AE"/>
    <w:rsid w:val="004A12DF"/>
    <w:rsid w:val="004A1BA8"/>
    <w:rsid w:val="004A1DBF"/>
    <w:rsid w:val="004A4B57"/>
    <w:rsid w:val="004A63FA"/>
    <w:rsid w:val="004A6A3D"/>
    <w:rsid w:val="004B0272"/>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E754D"/>
    <w:rsid w:val="004F3690"/>
    <w:rsid w:val="004F391A"/>
    <w:rsid w:val="004F3CFB"/>
    <w:rsid w:val="004F6456"/>
    <w:rsid w:val="004F696E"/>
    <w:rsid w:val="004F6C71"/>
    <w:rsid w:val="00501139"/>
    <w:rsid w:val="0050363E"/>
    <w:rsid w:val="005039BC"/>
    <w:rsid w:val="005043BB"/>
    <w:rsid w:val="00504A3D"/>
    <w:rsid w:val="00505767"/>
    <w:rsid w:val="005073F0"/>
    <w:rsid w:val="00510A7B"/>
    <w:rsid w:val="00512DC1"/>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554A5"/>
    <w:rsid w:val="00561475"/>
    <w:rsid w:val="00562308"/>
    <w:rsid w:val="0056487B"/>
    <w:rsid w:val="00564FB9"/>
    <w:rsid w:val="00573D9E"/>
    <w:rsid w:val="005801E3"/>
    <w:rsid w:val="00581802"/>
    <w:rsid w:val="005836A8"/>
    <w:rsid w:val="0058409C"/>
    <w:rsid w:val="00584262"/>
    <w:rsid w:val="00586630"/>
    <w:rsid w:val="00587ADD"/>
    <w:rsid w:val="00593A49"/>
    <w:rsid w:val="00596160"/>
    <w:rsid w:val="005966E2"/>
    <w:rsid w:val="00597007"/>
    <w:rsid w:val="005A0966"/>
    <w:rsid w:val="005A11B7"/>
    <w:rsid w:val="005A260B"/>
    <w:rsid w:val="005A4A1B"/>
    <w:rsid w:val="005A7830"/>
    <w:rsid w:val="005A7FCE"/>
    <w:rsid w:val="005B0F3F"/>
    <w:rsid w:val="005B18DA"/>
    <w:rsid w:val="005B191C"/>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4250"/>
    <w:rsid w:val="005E6812"/>
    <w:rsid w:val="005E7881"/>
    <w:rsid w:val="005E78E0"/>
    <w:rsid w:val="005F0D9C"/>
    <w:rsid w:val="005F284E"/>
    <w:rsid w:val="00600439"/>
    <w:rsid w:val="006015CE"/>
    <w:rsid w:val="00604784"/>
    <w:rsid w:val="00606419"/>
    <w:rsid w:val="00607D29"/>
    <w:rsid w:val="00612952"/>
    <w:rsid w:val="00614CC1"/>
    <w:rsid w:val="00615A9D"/>
    <w:rsid w:val="00617387"/>
    <w:rsid w:val="006205D6"/>
    <w:rsid w:val="0062320A"/>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396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5D3A"/>
    <w:rsid w:val="007A6FD9"/>
    <w:rsid w:val="007A7FFA"/>
    <w:rsid w:val="007B04EB"/>
    <w:rsid w:val="007B0D4F"/>
    <w:rsid w:val="007B5A3D"/>
    <w:rsid w:val="007B5B95"/>
    <w:rsid w:val="007B6032"/>
    <w:rsid w:val="007B68EA"/>
    <w:rsid w:val="007B7453"/>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1D19"/>
    <w:rsid w:val="00823303"/>
    <w:rsid w:val="008233B2"/>
    <w:rsid w:val="00823A9F"/>
    <w:rsid w:val="00823C85"/>
    <w:rsid w:val="00825138"/>
    <w:rsid w:val="008269DD"/>
    <w:rsid w:val="00830621"/>
    <w:rsid w:val="0083348C"/>
    <w:rsid w:val="008373D3"/>
    <w:rsid w:val="00840617"/>
    <w:rsid w:val="00840F84"/>
    <w:rsid w:val="00842A47"/>
    <w:rsid w:val="00843C13"/>
    <w:rsid w:val="00843DEF"/>
    <w:rsid w:val="008454F8"/>
    <w:rsid w:val="0085173A"/>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6D9"/>
    <w:rsid w:val="008A173B"/>
    <w:rsid w:val="008A1893"/>
    <w:rsid w:val="008A57E6"/>
    <w:rsid w:val="008A6F81"/>
    <w:rsid w:val="008A769A"/>
    <w:rsid w:val="008B0C9C"/>
    <w:rsid w:val="008B166D"/>
    <w:rsid w:val="008B17F4"/>
    <w:rsid w:val="008B3615"/>
    <w:rsid w:val="008B4AC4"/>
    <w:rsid w:val="008B50C8"/>
    <w:rsid w:val="008B5281"/>
    <w:rsid w:val="008B7E05"/>
    <w:rsid w:val="008C0337"/>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778"/>
    <w:rsid w:val="008E6A84"/>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AE"/>
    <w:rsid w:val="009245F5"/>
    <w:rsid w:val="009249EC"/>
    <w:rsid w:val="009273B3"/>
    <w:rsid w:val="009305B5"/>
    <w:rsid w:val="009378DD"/>
    <w:rsid w:val="009429D5"/>
    <w:rsid w:val="00942BF1"/>
    <w:rsid w:val="009440B9"/>
    <w:rsid w:val="00945180"/>
    <w:rsid w:val="00945428"/>
    <w:rsid w:val="0094607B"/>
    <w:rsid w:val="00953604"/>
    <w:rsid w:val="0095496B"/>
    <w:rsid w:val="00960F1E"/>
    <w:rsid w:val="009610DC"/>
    <w:rsid w:val="00961490"/>
    <w:rsid w:val="0096381A"/>
    <w:rsid w:val="00965E04"/>
    <w:rsid w:val="009674AD"/>
    <w:rsid w:val="00970CDC"/>
    <w:rsid w:val="00975727"/>
    <w:rsid w:val="00977010"/>
    <w:rsid w:val="00977D02"/>
    <w:rsid w:val="00977FF9"/>
    <w:rsid w:val="009809BB"/>
    <w:rsid w:val="0098364B"/>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496B"/>
    <w:rsid w:val="009B6029"/>
    <w:rsid w:val="009B6971"/>
    <w:rsid w:val="009C27F1"/>
    <w:rsid w:val="009C3152"/>
    <w:rsid w:val="009C3257"/>
    <w:rsid w:val="009C4CFA"/>
    <w:rsid w:val="009C5070"/>
    <w:rsid w:val="009D112C"/>
    <w:rsid w:val="009D1385"/>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3C67"/>
    <w:rsid w:val="00A3597D"/>
    <w:rsid w:val="00A36DD1"/>
    <w:rsid w:val="00A4006C"/>
    <w:rsid w:val="00A40091"/>
    <w:rsid w:val="00A4030F"/>
    <w:rsid w:val="00A41C79"/>
    <w:rsid w:val="00A41CB5"/>
    <w:rsid w:val="00A42CDF"/>
    <w:rsid w:val="00A4452E"/>
    <w:rsid w:val="00A4472C"/>
    <w:rsid w:val="00A44E69"/>
    <w:rsid w:val="00A465DE"/>
    <w:rsid w:val="00A4661E"/>
    <w:rsid w:val="00A55BD6"/>
    <w:rsid w:val="00A55D50"/>
    <w:rsid w:val="00A57142"/>
    <w:rsid w:val="00A57BFB"/>
    <w:rsid w:val="00A648CD"/>
    <w:rsid w:val="00A6537A"/>
    <w:rsid w:val="00A67866"/>
    <w:rsid w:val="00A70B07"/>
    <w:rsid w:val="00A723F8"/>
    <w:rsid w:val="00A774B5"/>
    <w:rsid w:val="00A77CCB"/>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819"/>
    <w:rsid w:val="00AA6EC9"/>
    <w:rsid w:val="00AB6309"/>
    <w:rsid w:val="00AB6C5F"/>
    <w:rsid w:val="00AB7129"/>
    <w:rsid w:val="00AC27A6"/>
    <w:rsid w:val="00AC30F7"/>
    <w:rsid w:val="00AC3A5A"/>
    <w:rsid w:val="00AC4D95"/>
    <w:rsid w:val="00AC5DF4"/>
    <w:rsid w:val="00AC7875"/>
    <w:rsid w:val="00AD0AEF"/>
    <w:rsid w:val="00AD11B7"/>
    <w:rsid w:val="00AD1A94"/>
    <w:rsid w:val="00AD1C05"/>
    <w:rsid w:val="00AD4126"/>
    <w:rsid w:val="00AD421C"/>
    <w:rsid w:val="00AD44FA"/>
    <w:rsid w:val="00AE070A"/>
    <w:rsid w:val="00AE100B"/>
    <w:rsid w:val="00AE101C"/>
    <w:rsid w:val="00AE2A69"/>
    <w:rsid w:val="00AE37E5"/>
    <w:rsid w:val="00AE5EB4"/>
    <w:rsid w:val="00AF0C18"/>
    <w:rsid w:val="00AF47B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4C8D"/>
    <w:rsid w:val="00C25FE2"/>
    <w:rsid w:val="00C26B53"/>
    <w:rsid w:val="00C279B2"/>
    <w:rsid w:val="00C33E50"/>
    <w:rsid w:val="00C34C20"/>
    <w:rsid w:val="00C35A3E"/>
    <w:rsid w:val="00C42130"/>
    <w:rsid w:val="00C423A4"/>
    <w:rsid w:val="00C423E3"/>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747AC"/>
    <w:rsid w:val="00C80CB8"/>
    <w:rsid w:val="00C819F8"/>
    <w:rsid w:val="00C8248C"/>
    <w:rsid w:val="00C84E33"/>
    <w:rsid w:val="00C86D6F"/>
    <w:rsid w:val="00C905FC"/>
    <w:rsid w:val="00C90A55"/>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20737"/>
    <w:rsid w:val="00D21E81"/>
    <w:rsid w:val="00D223DE"/>
    <w:rsid w:val="00D25E37"/>
    <w:rsid w:val="00D2661A"/>
    <w:rsid w:val="00D27582"/>
    <w:rsid w:val="00D27C74"/>
    <w:rsid w:val="00D27EC4"/>
    <w:rsid w:val="00D32719"/>
    <w:rsid w:val="00D33333"/>
    <w:rsid w:val="00D352A2"/>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6F54"/>
    <w:rsid w:val="00DB73F7"/>
    <w:rsid w:val="00DC0321"/>
    <w:rsid w:val="00DC3067"/>
    <w:rsid w:val="00DC370B"/>
    <w:rsid w:val="00DC4647"/>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E01138"/>
    <w:rsid w:val="00E02DFB"/>
    <w:rsid w:val="00E030F9"/>
    <w:rsid w:val="00E0311A"/>
    <w:rsid w:val="00E03138"/>
    <w:rsid w:val="00E06404"/>
    <w:rsid w:val="00E07149"/>
    <w:rsid w:val="00E11A85"/>
    <w:rsid w:val="00E12495"/>
    <w:rsid w:val="00E15CCD"/>
    <w:rsid w:val="00E202EF"/>
    <w:rsid w:val="00E21088"/>
    <w:rsid w:val="00E210B5"/>
    <w:rsid w:val="00E2552F"/>
    <w:rsid w:val="00E27DF1"/>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31ED"/>
    <w:rsid w:val="00EB4D3D"/>
    <w:rsid w:val="00EB5EDF"/>
    <w:rsid w:val="00EB60FE"/>
    <w:rsid w:val="00EB74DB"/>
    <w:rsid w:val="00EC5359"/>
    <w:rsid w:val="00EC562A"/>
    <w:rsid w:val="00ED067A"/>
    <w:rsid w:val="00ED2B50"/>
    <w:rsid w:val="00EE0350"/>
    <w:rsid w:val="00EE0719"/>
    <w:rsid w:val="00EE0E80"/>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16F00"/>
    <w:rsid w:val="00F25BB6"/>
    <w:rsid w:val="00F26B7E"/>
    <w:rsid w:val="00F27A3B"/>
    <w:rsid w:val="00F32780"/>
    <w:rsid w:val="00F33817"/>
    <w:rsid w:val="00F35ECF"/>
    <w:rsid w:val="00F36B2E"/>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33BA"/>
    <w:rsid w:val="00F84FD0"/>
    <w:rsid w:val="00F859A8"/>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4A43"/>
    <w:rsid w:val="00FD59EB"/>
    <w:rsid w:val="00FD7299"/>
    <w:rsid w:val="00FE1FBE"/>
    <w:rsid w:val="00FE3901"/>
    <w:rsid w:val="00FE39D3"/>
    <w:rsid w:val="00FE4BCE"/>
    <w:rsid w:val="00FE4E13"/>
    <w:rsid w:val="00FE54AE"/>
    <w:rsid w:val="00FE576A"/>
    <w:rsid w:val="00FE7E79"/>
    <w:rsid w:val="00FF3E7D"/>
    <w:rsid w:val="00FF5B99"/>
    <w:rsid w:val="00FF730C"/>
    <w:rsid w:val="00FF73F4"/>
    <w:rsid w:val="00FF7CE4"/>
    <w:rsid w:val="00FF7E39"/>
    <w:rsid w:val="310467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semiHidden="0" w:name="toc 1"/>
    <w:lsdException w:uiPriority="39" w:semiHidden="0" w:name="toc 2"/>
    <w:lsdException w:uiPriority="39" w:semiHidden="0" w:name="toc 3"/>
    <w:lsdException w:qFormat="1" w:uiPriority="39" w:semiHidden="0" w:name="toc 4"/>
    <w:lsdException w:qFormat="1" w:uiPriority="39" w:semiHidden="0" w:name="toc 5"/>
    <w:lsdException w:qFormat="1" w:uiPriority="39" w:semiHidden="0" w:name="toc 6"/>
    <w:lsdException w:uiPriority="39" w:semiHidden="0" w:name="toc 7"/>
    <w:lsdException w:uiPriority="0" w:name="toc 8"/>
    <w:lsdException w:uiPriority="0" w:name="toc 9"/>
    <w:lsdException w:unhideWhenUsed="0" w:uiPriority="0" w:semiHidden="0" w:name="Normal Indent"/>
    <w:lsdException w:unhideWhenUsed="0" w:uiPriority="0" w:name="footnote text"/>
    <w:lsdException w:uiPriority="99" w:name="annotation text"/>
    <w:lsdException w:unhideWhenUsed="0" w:uiPriority="99" w:semiHidden="0" w:name="header"/>
    <w:lsdException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4"/>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5"/>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6"/>
    <w:qFormat/>
    <w:uiPriority w:val="0"/>
    <w:pPr>
      <w:keepNext/>
      <w:keepLines/>
      <w:spacing w:before="260" w:after="260" w:line="416" w:lineRule="auto"/>
      <w:outlineLvl w:val="2"/>
    </w:pPr>
    <w:rPr>
      <w:b/>
      <w:bCs/>
      <w:sz w:val="32"/>
      <w:szCs w:val="32"/>
    </w:rPr>
  </w:style>
  <w:style w:type="paragraph" w:styleId="5">
    <w:name w:val="heading 4"/>
    <w:basedOn w:val="1"/>
    <w:next w:val="1"/>
    <w:link w:val="37"/>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8"/>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39"/>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0"/>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1"/>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2"/>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semiHidden/>
    <w:unhideWhenUsed/>
    <w:uiPriority w:val="1"/>
  </w:style>
  <w:style w:type="table" w:default="1" w:styleId="26">
    <w:name w:val="Normal Table"/>
    <w:semiHidden/>
    <w:unhideWhenUsed/>
    <w:uiPriority w:val="99"/>
    <w:tblPr>
      <w:tblCellMar>
        <w:top w:w="0" w:type="dxa"/>
        <w:left w:w="108" w:type="dxa"/>
        <w:bottom w:w="0" w:type="dxa"/>
        <w:right w:w="108" w:type="dxa"/>
      </w:tblCellMar>
    </w:tblPr>
  </w:style>
  <w:style w:type="paragraph" w:styleId="11">
    <w:name w:val="toc 7"/>
    <w:basedOn w:val="1"/>
    <w:next w:val="1"/>
    <w:autoRedefine/>
    <w:unhideWhenUsed/>
    <w:uiPriority w:val="39"/>
    <w:pPr>
      <w:tabs>
        <w:tab w:val="right" w:leader="dot" w:pos="9344"/>
      </w:tabs>
      <w:spacing w:line="300" w:lineRule="exact"/>
      <w:ind w:left="1259"/>
    </w:pPr>
    <w:rPr>
      <w:rFonts w:ascii="宋体"/>
    </w:rPr>
  </w:style>
  <w:style w:type="paragraph" w:styleId="12">
    <w:name w:val="Normal Indent"/>
    <w:basedOn w:val="1"/>
    <w:uiPriority w:val="0"/>
    <w:pPr>
      <w:ind w:firstLine="420"/>
    </w:pPr>
  </w:style>
  <w:style w:type="paragraph" w:styleId="13">
    <w:name w:val="Body Text"/>
    <w:basedOn w:val="1"/>
    <w:link w:val="86"/>
    <w:uiPriority w:val="0"/>
    <w:pPr>
      <w:spacing w:after="120"/>
    </w:pPr>
  </w:style>
  <w:style w:type="paragraph" w:styleId="14">
    <w:name w:val="toc 5"/>
    <w:basedOn w:val="1"/>
    <w:next w:val="1"/>
    <w:autoRedefine/>
    <w:unhideWhenUsed/>
    <w:qFormat/>
    <w:uiPriority w:val="39"/>
    <w:pPr>
      <w:ind w:left="839"/>
    </w:pPr>
    <w:rPr>
      <w:rFonts w:ascii="宋体"/>
    </w:rPr>
  </w:style>
  <w:style w:type="paragraph" w:styleId="15">
    <w:name w:val="toc 3"/>
    <w:basedOn w:val="1"/>
    <w:next w:val="1"/>
    <w:autoRedefine/>
    <w:unhideWhenUsed/>
    <w:uiPriority w:val="39"/>
    <w:pPr>
      <w:spacing w:line="300" w:lineRule="exact"/>
      <w:ind w:left="420"/>
    </w:pPr>
    <w:rPr>
      <w:rFonts w:ascii="宋体"/>
    </w:rPr>
  </w:style>
  <w:style w:type="paragraph" w:styleId="16">
    <w:name w:val="Balloon Text"/>
    <w:basedOn w:val="1"/>
    <w:link w:val="45"/>
    <w:semiHidden/>
    <w:unhideWhenUsed/>
    <w:qFormat/>
    <w:uiPriority w:val="99"/>
    <w:rPr>
      <w:sz w:val="18"/>
      <w:szCs w:val="18"/>
    </w:rPr>
  </w:style>
  <w:style w:type="paragraph" w:styleId="17">
    <w:name w:val="footer"/>
    <w:basedOn w:val="1"/>
    <w:link w:val="44"/>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3"/>
    <w:uiPriority w:val="99"/>
    <w:pPr>
      <w:tabs>
        <w:tab w:val="center" w:pos="4153"/>
        <w:tab w:val="right" w:pos="8306"/>
      </w:tabs>
      <w:adjustRightInd/>
      <w:snapToGrid w:val="0"/>
      <w:jc w:val="center"/>
    </w:pPr>
    <w:rPr>
      <w:sz w:val="18"/>
      <w:szCs w:val="18"/>
    </w:rPr>
  </w:style>
  <w:style w:type="paragraph" w:styleId="19">
    <w:name w:val="toc 1"/>
    <w:basedOn w:val="1"/>
    <w:next w:val="1"/>
    <w:autoRedefine/>
    <w:unhideWhenUsed/>
    <w:uiPriority w:val="39"/>
    <w:rPr>
      <w:rFonts w:ascii="宋体"/>
    </w:rPr>
  </w:style>
  <w:style w:type="paragraph" w:styleId="20">
    <w:name w:val="toc 4"/>
    <w:basedOn w:val="1"/>
    <w:next w:val="1"/>
    <w:autoRedefine/>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99"/>
    <w:semiHidden/>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autoRedefine/>
    <w:unhideWhenUsed/>
    <w:qFormat/>
    <w:uiPriority w:val="39"/>
    <w:pPr>
      <w:spacing w:line="300" w:lineRule="exact"/>
      <w:ind w:left="1049"/>
    </w:pPr>
    <w:rPr>
      <w:rFonts w:ascii="宋体"/>
    </w:rPr>
  </w:style>
  <w:style w:type="paragraph" w:styleId="23">
    <w:name w:val="table of figures"/>
    <w:basedOn w:val="1"/>
    <w:next w:val="1"/>
    <w:semiHidden/>
    <w:qFormat/>
    <w:uiPriority w:val="0"/>
    <w:pPr>
      <w:adjustRightInd/>
      <w:spacing w:line="240" w:lineRule="auto"/>
      <w:jc w:val="left"/>
    </w:pPr>
    <w:rPr>
      <w:szCs w:val="24"/>
    </w:rPr>
  </w:style>
  <w:style w:type="paragraph" w:styleId="24">
    <w:name w:val="toc 2"/>
    <w:basedOn w:val="1"/>
    <w:next w:val="1"/>
    <w:autoRedefine/>
    <w:unhideWhenUsed/>
    <w:uiPriority w:val="39"/>
    <w:pPr>
      <w:tabs>
        <w:tab w:val="right" w:leader="dot" w:pos="9344"/>
      </w:tabs>
      <w:spacing w:line="300" w:lineRule="exact"/>
      <w:ind w:left="210"/>
    </w:pPr>
    <w:rPr>
      <w:rFonts w:ascii="宋体"/>
    </w:rPr>
  </w:style>
  <w:style w:type="paragraph" w:styleId="25">
    <w:name w:val="Title"/>
    <w:basedOn w:val="1"/>
    <w:link w:val="48"/>
    <w:qFormat/>
    <w:uiPriority w:val="0"/>
    <w:pPr>
      <w:spacing w:before="240" w:after="60"/>
      <w:jc w:val="center"/>
      <w:outlineLvl w:val="0"/>
    </w:pPr>
    <w:rPr>
      <w:rFonts w:ascii="Arial" w:hAnsi="Arial" w:cs="Arial"/>
      <w:b/>
      <w:bCs/>
      <w:sz w:val="32"/>
      <w:szCs w:val="32"/>
    </w:rPr>
  </w:style>
  <w:style w:type="table" w:styleId="27">
    <w:name w:val="Table Grid"/>
    <w:basedOn w:val="26"/>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22"/>
    <w:rPr>
      <w:b/>
      <w:bCs/>
    </w:rPr>
  </w:style>
  <w:style w:type="character" w:styleId="30">
    <w:name w:val="page number"/>
    <w:qFormat/>
    <w:uiPriority w:val="0"/>
    <w:rPr>
      <w:rFonts w:ascii="宋体" w:hAnsi="Times New Roman" w:eastAsia="宋体"/>
      <w:sz w:val="18"/>
    </w:rPr>
  </w:style>
  <w:style w:type="character" w:styleId="31">
    <w:name w:val="Emphasis"/>
    <w:qFormat/>
    <w:uiPriority w:val="20"/>
    <w:rPr>
      <w:i/>
      <w:iCs/>
    </w:rPr>
  </w:style>
  <w:style w:type="character" w:styleId="32">
    <w:name w:val="Hyperlink"/>
    <w:uiPriority w:val="99"/>
    <w:rPr>
      <w:rFonts w:ascii="宋体" w:hAnsi="Times New Roman" w:eastAsia="宋体"/>
      <w:color w:val="auto"/>
      <w:spacing w:val="0"/>
      <w:w w:val="100"/>
      <w:position w:val="0"/>
      <w:sz w:val="21"/>
      <w:u w:val="none"/>
      <w:vertAlign w:val="baseline"/>
    </w:rPr>
  </w:style>
  <w:style w:type="character" w:styleId="33">
    <w:name w:val="footnote reference"/>
    <w:semiHidden/>
    <w:uiPriority w:val="0"/>
    <w:rPr>
      <w:rFonts w:ascii="宋体" w:hAnsi="宋体" w:eastAsia="宋体" w:cs="Times New Roman"/>
      <w:spacing w:val="0"/>
      <w:sz w:val="18"/>
      <w:vertAlign w:val="superscript"/>
    </w:rPr>
  </w:style>
  <w:style w:type="character" w:customStyle="1" w:styleId="34">
    <w:name w:val="标题 1 字符"/>
    <w:link w:val="2"/>
    <w:uiPriority w:val="0"/>
    <w:rPr>
      <w:b/>
      <w:bCs/>
      <w:kern w:val="44"/>
      <w:sz w:val="44"/>
      <w:szCs w:val="44"/>
    </w:rPr>
  </w:style>
  <w:style w:type="character" w:customStyle="1" w:styleId="35">
    <w:name w:val="标题 2 字符"/>
    <w:link w:val="3"/>
    <w:uiPriority w:val="0"/>
    <w:rPr>
      <w:rFonts w:ascii="Arial" w:hAnsi="Arial" w:eastAsia="黑体"/>
      <w:b/>
      <w:bCs/>
      <w:kern w:val="2"/>
      <w:sz w:val="32"/>
      <w:szCs w:val="32"/>
    </w:rPr>
  </w:style>
  <w:style w:type="character" w:customStyle="1" w:styleId="36">
    <w:name w:val="标题 3 字符"/>
    <w:link w:val="4"/>
    <w:uiPriority w:val="0"/>
    <w:rPr>
      <w:b/>
      <w:bCs/>
      <w:kern w:val="2"/>
      <w:sz w:val="32"/>
      <w:szCs w:val="32"/>
    </w:rPr>
  </w:style>
  <w:style w:type="character" w:customStyle="1" w:styleId="37">
    <w:name w:val="标题 4 字符"/>
    <w:link w:val="5"/>
    <w:qFormat/>
    <w:uiPriority w:val="0"/>
    <w:rPr>
      <w:rFonts w:ascii="Arial" w:hAnsi="Arial" w:eastAsia="黑体"/>
      <w:b/>
      <w:bCs/>
      <w:kern w:val="2"/>
      <w:sz w:val="28"/>
      <w:szCs w:val="28"/>
    </w:rPr>
  </w:style>
  <w:style w:type="character" w:customStyle="1" w:styleId="38">
    <w:name w:val="标题 5 字符"/>
    <w:link w:val="6"/>
    <w:uiPriority w:val="0"/>
    <w:rPr>
      <w:b/>
      <w:bCs/>
      <w:kern w:val="2"/>
      <w:sz w:val="28"/>
      <w:szCs w:val="28"/>
    </w:rPr>
  </w:style>
  <w:style w:type="character" w:customStyle="1" w:styleId="39">
    <w:name w:val="标题 6 字符"/>
    <w:link w:val="7"/>
    <w:qFormat/>
    <w:uiPriority w:val="0"/>
    <w:rPr>
      <w:rFonts w:ascii="Arial" w:hAnsi="Arial" w:eastAsia="黑体"/>
      <w:b/>
      <w:bCs/>
      <w:kern w:val="2"/>
      <w:sz w:val="24"/>
      <w:szCs w:val="24"/>
    </w:rPr>
  </w:style>
  <w:style w:type="character" w:customStyle="1" w:styleId="40">
    <w:name w:val="标题 7 字符"/>
    <w:link w:val="8"/>
    <w:qFormat/>
    <w:uiPriority w:val="0"/>
    <w:rPr>
      <w:b/>
      <w:bCs/>
      <w:kern w:val="2"/>
      <w:sz w:val="24"/>
      <w:szCs w:val="24"/>
    </w:rPr>
  </w:style>
  <w:style w:type="character" w:customStyle="1" w:styleId="41">
    <w:name w:val="标题 8 字符"/>
    <w:link w:val="9"/>
    <w:uiPriority w:val="0"/>
    <w:rPr>
      <w:rFonts w:ascii="Arial" w:hAnsi="Arial" w:eastAsia="黑体"/>
      <w:kern w:val="2"/>
      <w:sz w:val="24"/>
      <w:szCs w:val="24"/>
    </w:rPr>
  </w:style>
  <w:style w:type="character" w:customStyle="1" w:styleId="42">
    <w:name w:val="标题 9 字符"/>
    <w:link w:val="10"/>
    <w:qFormat/>
    <w:uiPriority w:val="0"/>
    <w:rPr>
      <w:rFonts w:ascii="Arial" w:hAnsi="Arial" w:eastAsia="黑体"/>
      <w:kern w:val="2"/>
      <w:sz w:val="21"/>
      <w:szCs w:val="21"/>
    </w:rPr>
  </w:style>
  <w:style w:type="character" w:customStyle="1" w:styleId="43">
    <w:name w:val="页眉 字符"/>
    <w:link w:val="18"/>
    <w:uiPriority w:val="99"/>
    <w:rPr>
      <w:kern w:val="2"/>
      <w:sz w:val="18"/>
      <w:szCs w:val="18"/>
    </w:rPr>
  </w:style>
  <w:style w:type="character" w:customStyle="1" w:styleId="44">
    <w:name w:val="页脚 字符"/>
    <w:link w:val="17"/>
    <w:uiPriority w:val="99"/>
    <w:rPr>
      <w:rFonts w:ascii="宋体"/>
      <w:kern w:val="2"/>
      <w:sz w:val="18"/>
      <w:szCs w:val="18"/>
    </w:rPr>
  </w:style>
  <w:style w:type="character" w:customStyle="1" w:styleId="45">
    <w:name w:val="批注框文本 字符"/>
    <w:link w:val="16"/>
    <w:semiHidden/>
    <w:qFormat/>
    <w:uiPriority w:val="99"/>
    <w:rPr>
      <w:kern w:val="2"/>
      <w:sz w:val="18"/>
      <w:szCs w:val="18"/>
    </w:rPr>
  </w:style>
  <w:style w:type="paragraph" w:styleId="46">
    <w:name w:val="Quote"/>
    <w:basedOn w:val="1"/>
    <w:next w:val="1"/>
    <w:link w:val="47"/>
    <w:qFormat/>
    <w:uiPriority w:val="29"/>
    <w:rPr>
      <w:i/>
      <w:iCs/>
      <w:color w:val="000000"/>
    </w:rPr>
  </w:style>
  <w:style w:type="character" w:customStyle="1" w:styleId="47">
    <w:name w:val="引用 字符"/>
    <w:link w:val="46"/>
    <w:uiPriority w:val="29"/>
    <w:rPr>
      <w:i/>
      <w:iCs/>
      <w:color w:val="000000"/>
      <w:kern w:val="2"/>
      <w:sz w:val="21"/>
      <w:szCs w:val="21"/>
    </w:rPr>
  </w:style>
  <w:style w:type="character" w:customStyle="1" w:styleId="48">
    <w:name w:val="标题 字符"/>
    <w:link w:val="25"/>
    <w:qFormat/>
    <w:uiPriority w:val="0"/>
    <w:rPr>
      <w:rFonts w:ascii="Arial" w:hAnsi="Arial" w:cs="Arial"/>
      <w:b/>
      <w:bCs/>
      <w:kern w:val="2"/>
      <w:sz w:val="32"/>
      <w:szCs w:val="32"/>
    </w:rPr>
  </w:style>
  <w:style w:type="paragraph" w:customStyle="1" w:styleId="49">
    <w:name w:val="标准标志"/>
    <w:next w:val="1"/>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0">
    <w:name w:val="标准称谓"/>
    <w:next w:val="1"/>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1">
    <w:name w:val="标准文件_页脚偶数页"/>
    <w:uiPriority w:val="0"/>
    <w:pPr>
      <w:ind w:left="198"/>
    </w:pPr>
    <w:rPr>
      <w:rFonts w:ascii="宋体" w:hAnsi="Times New Roman" w:eastAsia="宋体" w:cs="Times New Roman"/>
      <w:sz w:val="18"/>
      <w:lang w:val="en-US" w:eastAsia="zh-CN" w:bidi="ar-SA"/>
    </w:rPr>
  </w:style>
  <w:style w:type="paragraph" w:customStyle="1" w:styleId="52">
    <w:name w:val="标准文件_页脚奇数页"/>
    <w:uiPriority w:val="0"/>
    <w:pPr>
      <w:ind w:right="227"/>
      <w:jc w:val="right"/>
    </w:pPr>
    <w:rPr>
      <w:rFonts w:ascii="宋体" w:hAnsi="Times New Roman" w:eastAsia="宋体" w:cs="Times New Roman"/>
      <w:sz w:val="18"/>
      <w:lang w:val="en-US" w:eastAsia="zh-CN" w:bidi="ar-SA"/>
    </w:rPr>
  </w:style>
  <w:style w:type="paragraph" w:customStyle="1" w:styleId="53">
    <w:name w:val="标准书眉一"/>
    <w:uiPriority w:val="0"/>
    <w:pPr>
      <w:jc w:val="both"/>
    </w:pPr>
    <w:rPr>
      <w:rFonts w:ascii="Times New Roman" w:hAnsi="Times New Roman" w:eastAsia="宋体" w:cs="Times New Roman"/>
      <w:lang w:val="en-US" w:eastAsia="zh-CN" w:bidi="ar-SA"/>
    </w:rPr>
  </w:style>
  <w:style w:type="paragraph" w:customStyle="1" w:styleId="54">
    <w:name w:val="标准文件_ICS"/>
    <w:basedOn w:val="1"/>
    <w:uiPriority w:val="0"/>
    <w:pPr>
      <w:spacing w:line="0" w:lineRule="atLeast"/>
    </w:pPr>
    <w:rPr>
      <w:rFonts w:ascii="黑体" w:hAnsi="宋体" w:eastAsia="黑体"/>
    </w:rPr>
  </w:style>
  <w:style w:type="paragraph" w:customStyle="1" w:styleId="55">
    <w:name w:val="标准文件_标准正文"/>
    <w:basedOn w:val="1"/>
    <w:next w:val="56"/>
    <w:uiPriority w:val="0"/>
    <w:pPr>
      <w:snapToGrid w:val="0"/>
      <w:ind w:firstLine="200" w:firstLineChars="200"/>
    </w:pPr>
    <w:rPr>
      <w:kern w:val="0"/>
    </w:rPr>
  </w:style>
  <w:style w:type="paragraph" w:customStyle="1" w:styleId="56">
    <w:name w:val="标准文件_段"/>
    <w:link w:val="184"/>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7">
    <w:name w:val="标准文件_版本"/>
    <w:basedOn w:val="55"/>
    <w:qFormat/>
    <w:uiPriority w:val="0"/>
    <w:pPr>
      <w:adjustRightInd/>
      <w:snapToGrid/>
      <w:ind w:firstLine="0" w:firstLineChars="0"/>
    </w:pPr>
    <w:rPr>
      <w:rFonts w:ascii="宋体" w:hAnsi="宋体"/>
      <w:kern w:val="2"/>
    </w:rPr>
  </w:style>
  <w:style w:type="paragraph" w:customStyle="1" w:styleId="58">
    <w:name w:val="标准文件_标准部门"/>
    <w:basedOn w:val="1"/>
    <w:qFormat/>
    <w:uiPriority w:val="0"/>
    <w:pPr>
      <w:jc w:val="center"/>
    </w:pPr>
    <w:rPr>
      <w:rFonts w:ascii="黑体" w:eastAsia="黑体"/>
      <w:kern w:val="0"/>
      <w:sz w:val="44"/>
    </w:rPr>
  </w:style>
  <w:style w:type="paragraph" w:customStyle="1" w:styleId="59">
    <w:name w:val="标准文件_标准代替"/>
    <w:basedOn w:val="1"/>
    <w:next w:val="1"/>
    <w:qFormat/>
    <w:uiPriority w:val="0"/>
    <w:pPr>
      <w:spacing w:line="310" w:lineRule="exact"/>
      <w:jc w:val="right"/>
    </w:pPr>
    <w:rPr>
      <w:rFonts w:ascii="宋体" w:hAnsi="宋体"/>
      <w:kern w:val="0"/>
    </w:rPr>
  </w:style>
  <w:style w:type="paragraph" w:customStyle="1" w:styleId="60">
    <w:name w:val="标准文件_标准名称标题"/>
    <w:basedOn w:val="1"/>
    <w:next w:val="1"/>
    <w:uiPriority w:val="0"/>
    <w:pPr>
      <w:widowControl/>
      <w:shd w:val="clear" w:color="FFFFFF" w:fill="FFFFFF"/>
      <w:adjustRightInd/>
      <w:spacing w:before="640" w:after="100"/>
      <w:jc w:val="center"/>
    </w:pPr>
    <w:rPr>
      <w:rFonts w:ascii="黑体" w:eastAsia="黑体"/>
      <w:kern w:val="0"/>
      <w:sz w:val="32"/>
    </w:rPr>
  </w:style>
  <w:style w:type="paragraph" w:customStyle="1" w:styleId="61">
    <w:name w:val="标准文件_页眉奇数页"/>
    <w:next w:val="1"/>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2">
    <w:name w:val="标准文件_页眉偶数页"/>
    <w:basedOn w:val="61"/>
    <w:next w:val="1"/>
    <w:uiPriority w:val="0"/>
    <w:pPr>
      <w:jc w:val="left"/>
    </w:pPr>
  </w:style>
  <w:style w:type="paragraph" w:customStyle="1" w:styleId="63">
    <w:name w:val="标准文件_参考文献标题"/>
    <w:basedOn w:val="1"/>
    <w:next w:val="1"/>
    <w:qFormat/>
    <w:uiPriority w:val="0"/>
    <w:pPr>
      <w:widowControl/>
      <w:shd w:val="clear" w:color="FFFFFF" w:fill="FFFFFF"/>
      <w:adjustRightInd/>
      <w:spacing w:before="560" w:after="50" w:afterLines="50" w:line="240" w:lineRule="auto"/>
      <w:jc w:val="center"/>
      <w:outlineLvl w:val="0"/>
    </w:pPr>
    <w:rPr>
      <w:rFonts w:ascii="黑体" w:eastAsia="黑体"/>
      <w:kern w:val="0"/>
    </w:rPr>
  </w:style>
  <w:style w:type="paragraph" w:customStyle="1" w:styleId="64">
    <w:name w:val="标准文件_参考文献条目"/>
    <w:uiPriority w:val="0"/>
    <w:pPr>
      <w:numPr>
        <w:ilvl w:val="0"/>
        <w:numId w:val="1"/>
      </w:numPr>
    </w:pPr>
    <w:rPr>
      <w:rFonts w:ascii="宋体" w:hAnsi="Times New Roman" w:eastAsia="宋体" w:cs="Times New Roman"/>
      <w:lang w:val="en-US" w:eastAsia="zh-CN" w:bidi="ar-SA"/>
    </w:rPr>
  </w:style>
  <w:style w:type="paragraph" w:customStyle="1" w:styleId="65">
    <w:name w:val="标准文件_二级条标题"/>
    <w:next w:val="56"/>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6">
    <w:name w:val="标准文件_发布"/>
    <w:qFormat/>
    <w:uiPriority w:val="0"/>
    <w:rPr>
      <w:rFonts w:ascii="黑体" w:eastAsia="黑体"/>
      <w:spacing w:val="0"/>
      <w:w w:val="100"/>
      <w:position w:val="3"/>
      <w:sz w:val="28"/>
    </w:rPr>
  </w:style>
  <w:style w:type="paragraph" w:customStyle="1" w:styleId="67">
    <w:name w:val="标准文件_方框数字列项"/>
    <w:basedOn w:val="56"/>
    <w:qFormat/>
    <w:uiPriority w:val="0"/>
    <w:pPr>
      <w:numPr>
        <w:ilvl w:val="0"/>
        <w:numId w:val="3"/>
      </w:numPr>
      <w:ind w:firstLine="0" w:firstLineChars="0"/>
    </w:pPr>
  </w:style>
  <w:style w:type="paragraph" w:customStyle="1" w:styleId="68">
    <w:name w:val="标准文件_封面标准编号"/>
    <w:basedOn w:val="1"/>
    <w:next w:val="59"/>
    <w:uiPriority w:val="0"/>
    <w:pPr>
      <w:spacing w:line="310" w:lineRule="exact"/>
      <w:jc w:val="right"/>
    </w:pPr>
    <w:rPr>
      <w:rFonts w:ascii="黑体" w:eastAsia="黑体"/>
      <w:kern w:val="0"/>
      <w:sz w:val="28"/>
    </w:rPr>
  </w:style>
  <w:style w:type="paragraph" w:customStyle="1" w:styleId="69">
    <w:name w:val="标准文件_封面标准分类号"/>
    <w:basedOn w:val="1"/>
    <w:uiPriority w:val="0"/>
    <w:rPr>
      <w:rFonts w:ascii="黑体" w:eastAsia="黑体"/>
      <w:b/>
      <w:kern w:val="0"/>
      <w:sz w:val="28"/>
    </w:rPr>
  </w:style>
  <w:style w:type="paragraph" w:customStyle="1" w:styleId="70">
    <w:name w:val="标准文件_封面标准名称"/>
    <w:basedOn w:val="1"/>
    <w:uiPriority w:val="0"/>
    <w:pPr>
      <w:spacing w:line="240" w:lineRule="auto"/>
      <w:jc w:val="center"/>
    </w:pPr>
    <w:rPr>
      <w:rFonts w:ascii="黑体" w:eastAsia="黑体"/>
      <w:kern w:val="0"/>
      <w:sz w:val="52"/>
    </w:rPr>
  </w:style>
  <w:style w:type="paragraph" w:customStyle="1" w:styleId="71">
    <w:name w:val="标准文件_封面标准英文名称"/>
    <w:basedOn w:val="1"/>
    <w:uiPriority w:val="0"/>
    <w:pPr>
      <w:spacing w:line="240" w:lineRule="auto"/>
      <w:jc w:val="center"/>
    </w:pPr>
    <w:rPr>
      <w:rFonts w:ascii="黑体" w:eastAsia="黑体"/>
      <w:b/>
      <w:sz w:val="28"/>
    </w:rPr>
  </w:style>
  <w:style w:type="paragraph" w:customStyle="1" w:styleId="72">
    <w:name w:val="标准文件_封面发布日期"/>
    <w:basedOn w:val="1"/>
    <w:uiPriority w:val="0"/>
    <w:pPr>
      <w:spacing w:line="310" w:lineRule="exact"/>
    </w:pPr>
    <w:rPr>
      <w:rFonts w:ascii="黑体" w:eastAsia="黑体"/>
      <w:kern w:val="0"/>
      <w:sz w:val="28"/>
    </w:rPr>
  </w:style>
  <w:style w:type="paragraph" w:customStyle="1" w:styleId="73">
    <w:name w:val="标准文件_封面密级"/>
    <w:basedOn w:val="1"/>
    <w:uiPriority w:val="0"/>
    <w:rPr>
      <w:rFonts w:eastAsia="黑体"/>
      <w:sz w:val="32"/>
    </w:rPr>
  </w:style>
  <w:style w:type="paragraph" w:customStyle="1" w:styleId="74">
    <w:name w:val="标准文件_封面实施日期"/>
    <w:basedOn w:val="1"/>
    <w:uiPriority w:val="0"/>
    <w:pPr>
      <w:spacing w:line="310" w:lineRule="exact"/>
      <w:jc w:val="right"/>
    </w:pPr>
    <w:rPr>
      <w:rFonts w:ascii="黑体" w:eastAsia="黑体"/>
      <w:sz w:val="28"/>
    </w:rPr>
  </w:style>
  <w:style w:type="paragraph" w:customStyle="1" w:styleId="75">
    <w:name w:val="标准文件_封面抬头"/>
    <w:basedOn w:val="56"/>
    <w:qFormat/>
    <w:uiPriority w:val="0"/>
    <w:pPr>
      <w:adjustRightInd w:val="0"/>
      <w:spacing w:line="800" w:lineRule="exact"/>
      <w:ind w:firstLine="0" w:firstLineChars="0"/>
      <w:jc w:val="distribute"/>
    </w:pPr>
    <w:rPr>
      <w:rFonts w:ascii="黑体" w:eastAsia="黑体"/>
      <w:b/>
      <w:sz w:val="64"/>
    </w:rPr>
  </w:style>
  <w:style w:type="paragraph" w:customStyle="1" w:styleId="76">
    <w:name w:val="标准文件_附录标识"/>
    <w:next w:val="56"/>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7">
    <w:name w:val="标准文件_附录表标题"/>
    <w:next w:val="56"/>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78">
    <w:name w:val="标准文件_附录一级条标题"/>
    <w:next w:val="56"/>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79">
    <w:name w:val="标准文件_附录二级条标题"/>
    <w:basedOn w:val="78"/>
    <w:next w:val="56"/>
    <w:uiPriority w:val="0"/>
    <w:pPr>
      <w:widowControl/>
      <w:numPr>
        <w:ilvl w:val="2"/>
      </w:numPr>
      <w:wordWrap w:val="0"/>
      <w:overflowPunct w:val="0"/>
      <w:autoSpaceDE w:val="0"/>
      <w:autoSpaceDN w:val="0"/>
      <w:textAlignment w:val="baseline"/>
      <w:outlineLvl w:val="3"/>
    </w:pPr>
  </w:style>
  <w:style w:type="paragraph" w:customStyle="1" w:styleId="80">
    <w:name w:val="标准文件_附录公式"/>
    <w:basedOn w:val="55"/>
    <w:next w:val="55"/>
    <w:uiPriority w:val="0"/>
    <w:pPr>
      <w:tabs>
        <w:tab w:val="center" w:pos="4678"/>
        <w:tab w:val="right" w:leader="middleDot" w:pos="9356"/>
      </w:tabs>
      <w:spacing w:line="240" w:lineRule="auto"/>
      <w:ind w:right="-51" w:firstLine="0" w:firstLineChars="0"/>
    </w:pPr>
    <w:rPr>
      <w:rFonts w:ascii="宋体" w:hAnsi="宋体"/>
    </w:rPr>
  </w:style>
  <w:style w:type="paragraph" w:customStyle="1" w:styleId="81">
    <w:name w:val="标准文件_附录三级条标题"/>
    <w:next w:val="56"/>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2">
    <w:name w:val="标准文件_附录四级条标题"/>
    <w:next w:val="56"/>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3">
    <w:name w:val="标准文件_附录图标题"/>
    <w:next w:val="56"/>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4">
    <w:name w:val="标准文件_附录五级条标题"/>
    <w:next w:val="56"/>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5">
    <w:name w:val="标准文件_附录英文标识"/>
    <w:next w:val="13"/>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6">
    <w:name w:val="正文文本 字符"/>
    <w:link w:val="13"/>
    <w:uiPriority w:val="0"/>
    <w:rPr>
      <w:kern w:val="2"/>
      <w:sz w:val="21"/>
      <w:szCs w:val="21"/>
    </w:rPr>
  </w:style>
  <w:style w:type="paragraph" w:customStyle="1" w:styleId="87">
    <w:name w:val="标准文件_附录章标题"/>
    <w:next w:val="56"/>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8">
    <w:name w:val="标准文件_公式后的破折号"/>
    <w:basedOn w:val="56"/>
    <w:next w:val="56"/>
    <w:qFormat/>
    <w:uiPriority w:val="0"/>
    <w:pPr>
      <w:ind w:left="488" w:leftChars="200" w:hanging="289" w:hangingChars="290"/>
    </w:pPr>
  </w:style>
  <w:style w:type="paragraph" w:customStyle="1" w:styleId="89">
    <w:name w:val="标准文件_前言、引言标题"/>
    <w:next w:val="1"/>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0">
    <w:name w:val="标准文件_目次、标准名称标题"/>
    <w:basedOn w:val="89"/>
    <w:next w:val="56"/>
    <w:qFormat/>
    <w:uiPriority w:val="0"/>
    <w:pPr>
      <w:spacing w:line="460" w:lineRule="exact"/>
      <w:ind w:left="0" w:firstLine="0"/>
    </w:pPr>
  </w:style>
  <w:style w:type="paragraph" w:customStyle="1" w:styleId="91">
    <w:name w:val="标准文件_目录标题"/>
    <w:basedOn w:val="1"/>
    <w:uiPriority w:val="0"/>
    <w:pPr>
      <w:spacing w:before="480" w:after="150" w:afterLines="150" w:line="240" w:lineRule="auto"/>
      <w:jc w:val="center"/>
    </w:pPr>
    <w:rPr>
      <w:rFonts w:ascii="黑体" w:eastAsia="黑体"/>
      <w:sz w:val="32"/>
    </w:rPr>
  </w:style>
  <w:style w:type="paragraph" w:customStyle="1" w:styleId="92">
    <w:name w:val="标准文件_破折号列项"/>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3">
    <w:name w:val="标准文件_破折号列项（二级）"/>
    <w:basedOn w:val="92"/>
    <w:uiPriority w:val="0"/>
    <w:pPr>
      <w:numPr>
        <w:numId w:val="10"/>
      </w:numPr>
    </w:pPr>
  </w:style>
  <w:style w:type="paragraph" w:customStyle="1" w:styleId="94">
    <w:name w:val="标准文件_三级条标题"/>
    <w:basedOn w:val="65"/>
    <w:next w:val="56"/>
    <w:uiPriority w:val="0"/>
    <w:pPr>
      <w:widowControl/>
      <w:numPr>
        <w:ilvl w:val="4"/>
      </w:numPr>
      <w:outlineLvl w:val="3"/>
    </w:pPr>
  </w:style>
  <w:style w:type="character" w:customStyle="1" w:styleId="95">
    <w:name w:val="Subtle Reference"/>
    <w:qFormat/>
    <w:uiPriority w:val="31"/>
    <w:rPr>
      <w:smallCaps/>
      <w:color w:val="C0504D"/>
      <w:u w:val="single"/>
    </w:rPr>
  </w:style>
  <w:style w:type="paragraph" w:customStyle="1" w:styleId="96">
    <w:name w:val="标准文件_示例后续"/>
    <w:basedOn w:val="1"/>
    <w:uiPriority w:val="0"/>
    <w:pPr>
      <w:adjustRightInd/>
      <w:spacing w:line="240" w:lineRule="auto"/>
      <w:ind w:firstLine="200" w:firstLineChars="200"/>
    </w:pPr>
    <w:rPr>
      <w:sz w:val="18"/>
      <w:szCs w:val="24"/>
    </w:rPr>
  </w:style>
  <w:style w:type="paragraph" w:customStyle="1" w:styleId="97">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8">
    <w:name w:val="标准文件_四级条标题"/>
    <w:next w:val="56"/>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99">
    <w:name w:val="脚注文本 字符"/>
    <w:link w:val="21"/>
    <w:semiHidden/>
    <w:qFormat/>
    <w:uiPriority w:val="0"/>
    <w:rPr>
      <w:rFonts w:ascii="宋体"/>
      <w:kern w:val="2"/>
      <w:sz w:val="18"/>
      <w:szCs w:val="18"/>
    </w:rPr>
  </w:style>
  <w:style w:type="paragraph" w:customStyle="1" w:styleId="100">
    <w:name w:val="标准文件_条文脚注"/>
    <w:basedOn w:val="21"/>
    <w:qFormat/>
    <w:uiPriority w:val="0"/>
    <w:pPr>
      <w:adjustRightInd w:val="0"/>
      <w:spacing w:line="240" w:lineRule="auto"/>
      <w:ind w:left="0" w:leftChars="0" w:firstLine="200" w:firstLineChars="200"/>
      <w:jc w:val="both"/>
    </w:pPr>
    <w:rPr>
      <w:rFonts w:hAnsi="宋体"/>
    </w:rPr>
  </w:style>
  <w:style w:type="paragraph" w:customStyle="1" w:styleId="101">
    <w:name w:val="标准文件_图表脚注"/>
    <w:basedOn w:val="1"/>
    <w:next w:val="56"/>
    <w:qFormat/>
    <w:uiPriority w:val="0"/>
    <w:pPr>
      <w:numPr>
        <w:ilvl w:val="0"/>
        <w:numId w:val="12"/>
      </w:numPr>
      <w:spacing w:line="240" w:lineRule="auto"/>
      <w:jc w:val="left"/>
    </w:pPr>
    <w:rPr>
      <w:rFonts w:ascii="宋体" w:hAnsi="宋体"/>
      <w:sz w:val="18"/>
    </w:rPr>
  </w:style>
  <w:style w:type="character" w:customStyle="1" w:styleId="102">
    <w:name w:val="标准文件_图表脚注内容"/>
    <w:qFormat/>
    <w:uiPriority w:val="0"/>
    <w:rPr>
      <w:rFonts w:ascii="宋体" w:hAnsi="宋体" w:eastAsia="宋体" w:cs="Times New Roman"/>
      <w:spacing w:val="0"/>
      <w:sz w:val="18"/>
      <w:vertAlign w:val="superscript"/>
    </w:rPr>
  </w:style>
  <w:style w:type="paragraph" w:customStyle="1" w:styleId="103">
    <w:name w:val="标准文件_五级条标题"/>
    <w:next w:val="56"/>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4">
    <w:name w:val="标准文件_章标题"/>
    <w:next w:val="56"/>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5">
    <w:name w:val="标准文件_一级条标题"/>
    <w:basedOn w:val="104"/>
    <w:next w:val="56"/>
    <w:qFormat/>
    <w:uiPriority w:val="0"/>
    <w:pPr>
      <w:numPr>
        <w:ilvl w:val="2"/>
      </w:numPr>
      <w:spacing w:before="50" w:beforeLines="50" w:after="50" w:afterLines="50"/>
      <w:outlineLvl w:val="1"/>
    </w:pPr>
  </w:style>
  <w:style w:type="paragraph" w:customStyle="1" w:styleId="106">
    <w:name w:val="标准文件_一致程度"/>
    <w:basedOn w:val="1"/>
    <w:uiPriority w:val="0"/>
    <w:pPr>
      <w:spacing w:line="440" w:lineRule="exact"/>
      <w:jc w:val="center"/>
    </w:pPr>
    <w:rPr>
      <w:sz w:val="28"/>
    </w:rPr>
  </w:style>
  <w:style w:type="paragraph" w:customStyle="1" w:styleId="107">
    <w:name w:val="标准文件_引言标题"/>
    <w:next w:val="1"/>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8">
    <w:name w:val="标准文件_英文图表脚注"/>
    <w:basedOn w:val="55"/>
    <w:qFormat/>
    <w:uiPriority w:val="0"/>
    <w:pPr>
      <w:widowControl/>
      <w:adjustRightInd/>
      <w:snapToGrid/>
      <w:spacing w:line="240" w:lineRule="auto"/>
      <w:ind w:left="79" w:hanging="79" w:hangingChars="80"/>
    </w:pPr>
    <w:rPr>
      <w:rFonts w:ascii="宋体" w:hAnsi="宋体"/>
    </w:rPr>
  </w:style>
  <w:style w:type="paragraph" w:customStyle="1" w:styleId="109">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0">
    <w:name w:val="标准文件_英文注："/>
    <w:basedOn w:val="1"/>
    <w:next w:val="56"/>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1">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2">
    <w:name w:val="标准文件_正文表标题"/>
    <w:next w:val="56"/>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3">
    <w:name w:val="标准文件_正文公式"/>
    <w:basedOn w:val="1"/>
    <w:next w:val="55"/>
    <w:qFormat/>
    <w:uiPriority w:val="0"/>
    <w:pPr>
      <w:tabs>
        <w:tab w:val="center" w:pos="4678"/>
        <w:tab w:val="right" w:leader="middleDot" w:pos="9356"/>
      </w:tabs>
      <w:spacing w:line="240" w:lineRule="auto"/>
    </w:pPr>
    <w:rPr>
      <w:rFonts w:ascii="宋体" w:hAnsi="宋体"/>
    </w:rPr>
  </w:style>
  <w:style w:type="paragraph" w:customStyle="1" w:styleId="114">
    <w:name w:val="标准文件_正文图标题"/>
    <w:next w:val="56"/>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英文表标题"/>
    <w:next w:val="56"/>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6">
    <w:name w:val="标准文件_正文英文图标题"/>
    <w:next w:val="56"/>
    <w:uiPriority w:val="0"/>
    <w:pPr>
      <w:numPr>
        <w:ilvl w:val="0"/>
        <w:numId w:val="19"/>
      </w:numPr>
      <w:jc w:val="center"/>
    </w:pPr>
    <w:rPr>
      <w:rFonts w:ascii="黑体" w:hAnsi="Times New Roman" w:eastAsia="黑体" w:cs="Times New Roman"/>
      <w:sz w:val="21"/>
      <w:lang w:val="en-US" w:eastAsia="zh-CN" w:bidi="ar-SA"/>
    </w:rPr>
  </w:style>
  <w:style w:type="paragraph" w:customStyle="1" w:styleId="117">
    <w:name w:val="标准文件_编号列项（三级）"/>
    <w:uiPriority w:val="0"/>
    <w:pPr>
      <w:numPr>
        <w:ilvl w:val="2"/>
        <w:numId w:val="13"/>
      </w:numPr>
    </w:pPr>
    <w:rPr>
      <w:rFonts w:ascii="宋体" w:hAnsi="Times New Roman" w:eastAsia="宋体" w:cs="Times New Roman"/>
      <w:sz w:val="21"/>
      <w:lang w:val="en-US" w:eastAsia="zh-CN" w:bidi="ar-SA"/>
    </w:rPr>
  </w:style>
  <w:style w:type="paragraph" w:customStyle="1" w:styleId="118">
    <w:name w:val="二级无标题条"/>
    <w:basedOn w:val="1"/>
    <w:qFormat/>
    <w:uiPriority w:val="0"/>
    <w:pPr>
      <w:numPr>
        <w:ilvl w:val="3"/>
        <w:numId w:val="20"/>
      </w:numPr>
      <w:adjustRightInd/>
      <w:spacing w:line="240" w:lineRule="auto"/>
    </w:pPr>
    <w:rPr>
      <w:rFonts w:ascii="宋体" w:hAnsi="宋体"/>
      <w:szCs w:val="24"/>
    </w:rPr>
  </w:style>
  <w:style w:type="paragraph" w:customStyle="1" w:styleId="119">
    <w:name w:val="发布部门"/>
    <w:next w:val="56"/>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0">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1">
    <w:name w:val="封面标准代替信息"/>
    <w:basedOn w:val="1"/>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2">
    <w:name w:val="封面标准名称"/>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3">
    <w:name w:val="封面标准文稿编辑信息"/>
    <w:uiPriority w:val="0"/>
    <w:pPr>
      <w:spacing w:before="180" w:line="180" w:lineRule="exact"/>
      <w:jc w:val="center"/>
    </w:pPr>
    <w:rPr>
      <w:rFonts w:ascii="宋体" w:hAnsi="Times New Roman" w:eastAsia="宋体" w:cs="Times New Roman"/>
      <w:sz w:val="21"/>
      <w:lang w:val="en-US" w:eastAsia="zh-CN" w:bidi="ar-SA"/>
    </w:rPr>
  </w:style>
  <w:style w:type="paragraph" w:customStyle="1" w:styleId="124">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5">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6">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7">
    <w:name w:val="封面正文"/>
    <w:uiPriority w:val="0"/>
    <w:pPr>
      <w:jc w:val="both"/>
    </w:pPr>
    <w:rPr>
      <w:rFonts w:ascii="Times New Roman" w:hAnsi="Times New Roman" w:eastAsia="宋体" w:cs="Times New Roman"/>
      <w:lang w:val="en-US" w:eastAsia="zh-CN" w:bidi="ar-SA"/>
    </w:rPr>
  </w:style>
  <w:style w:type="paragraph" w:customStyle="1" w:styleId="128">
    <w:name w:val="附录二级无标题条"/>
    <w:basedOn w:val="1"/>
    <w:next w:val="56"/>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29">
    <w:name w:val="附录三级无标题条"/>
    <w:basedOn w:val="128"/>
    <w:next w:val="56"/>
    <w:qFormat/>
    <w:uiPriority w:val="0"/>
    <w:pPr>
      <w:outlineLvl w:val="4"/>
    </w:pPr>
  </w:style>
  <w:style w:type="paragraph" w:customStyle="1" w:styleId="130">
    <w:name w:val="附录四级无标题条"/>
    <w:basedOn w:val="129"/>
    <w:next w:val="56"/>
    <w:qFormat/>
    <w:uiPriority w:val="0"/>
    <w:pPr>
      <w:outlineLvl w:val="5"/>
    </w:pPr>
  </w:style>
  <w:style w:type="paragraph" w:customStyle="1" w:styleId="131">
    <w:name w:val="附录图"/>
    <w:next w:val="56"/>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2">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3">
    <w:name w:val="附录五级无标题条"/>
    <w:basedOn w:val="130"/>
    <w:next w:val="56"/>
    <w:qFormat/>
    <w:uiPriority w:val="0"/>
    <w:pPr>
      <w:outlineLvl w:val="6"/>
    </w:pPr>
  </w:style>
  <w:style w:type="paragraph" w:customStyle="1" w:styleId="134">
    <w:name w:val="附录性质"/>
    <w:basedOn w:val="1"/>
    <w:qFormat/>
    <w:uiPriority w:val="0"/>
    <w:pPr>
      <w:widowControl/>
      <w:adjustRightInd/>
      <w:jc w:val="center"/>
    </w:pPr>
    <w:rPr>
      <w:rFonts w:ascii="黑体" w:eastAsia="黑体"/>
    </w:rPr>
  </w:style>
  <w:style w:type="paragraph" w:customStyle="1" w:styleId="135">
    <w:name w:val="附录一级无标题条"/>
    <w:basedOn w:val="87"/>
    <w:next w:val="56"/>
    <w:qFormat/>
    <w:uiPriority w:val="0"/>
    <w:pPr>
      <w:autoSpaceDN w:val="0"/>
      <w:outlineLvl w:val="2"/>
    </w:pPr>
    <w:rPr>
      <w:rFonts w:ascii="宋体" w:hAnsi="宋体" w:eastAsia="宋体"/>
    </w:rPr>
  </w:style>
  <w:style w:type="character" w:customStyle="1" w:styleId="136">
    <w:name w:val="个人答复风格"/>
    <w:qFormat/>
    <w:uiPriority w:val="0"/>
    <w:rPr>
      <w:rFonts w:ascii="Arial" w:hAnsi="Arial" w:eastAsia="宋体" w:cs="Arial"/>
      <w:color w:val="auto"/>
      <w:spacing w:val="0"/>
      <w:sz w:val="20"/>
    </w:rPr>
  </w:style>
  <w:style w:type="character" w:customStyle="1" w:styleId="137">
    <w:name w:val="个人撰写风格"/>
    <w:qFormat/>
    <w:uiPriority w:val="0"/>
    <w:rPr>
      <w:rFonts w:ascii="Arial" w:hAnsi="Arial" w:eastAsia="宋体" w:cs="Arial"/>
      <w:color w:val="auto"/>
      <w:spacing w:val="0"/>
      <w:sz w:val="20"/>
    </w:rPr>
  </w:style>
  <w:style w:type="paragraph" w:customStyle="1" w:styleId="138">
    <w:name w:val="脚注后续"/>
    <w:uiPriority w:val="0"/>
    <w:pPr>
      <w:ind w:left="350" w:leftChars="350"/>
      <w:jc w:val="both"/>
    </w:pPr>
    <w:rPr>
      <w:rFonts w:ascii="宋体" w:hAnsi="Times New Roman" w:eastAsia="宋体" w:cs="Times New Roman"/>
      <w:sz w:val="18"/>
      <w:lang w:val="en-US" w:eastAsia="zh-CN" w:bidi="ar-SA"/>
    </w:rPr>
  </w:style>
  <w:style w:type="paragraph" w:customStyle="1" w:styleId="139">
    <w:name w:val="列项——"/>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0">
    <w:name w:val="列项·"/>
    <w:basedOn w:val="56"/>
    <w:uiPriority w:val="0"/>
    <w:pPr>
      <w:tabs>
        <w:tab w:val="left" w:pos="840"/>
      </w:tabs>
    </w:pPr>
  </w:style>
  <w:style w:type="paragraph" w:customStyle="1" w:styleId="141">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2">
    <w:name w:val="目录 21"/>
    <w:basedOn w:val="1"/>
    <w:next w:val="1"/>
    <w:autoRedefine/>
    <w:semiHidden/>
    <w:uiPriority w:val="0"/>
    <w:pPr>
      <w:adjustRightInd/>
      <w:spacing w:line="240" w:lineRule="auto"/>
      <w:jc w:val="left"/>
    </w:pPr>
    <w:rPr>
      <w:bCs/>
      <w:iCs/>
    </w:rPr>
  </w:style>
  <w:style w:type="paragraph" w:customStyle="1" w:styleId="143">
    <w:name w:val="目录 31"/>
    <w:basedOn w:val="1"/>
    <w:next w:val="1"/>
    <w:autoRedefine/>
    <w:semiHidden/>
    <w:qFormat/>
    <w:uiPriority w:val="0"/>
    <w:pPr>
      <w:spacing w:line="240" w:lineRule="auto"/>
    </w:pPr>
    <w:rPr>
      <w:rFonts w:ascii="宋体" w:hAnsi="宋体"/>
      <w:iCs/>
    </w:rPr>
  </w:style>
  <w:style w:type="paragraph" w:customStyle="1" w:styleId="144">
    <w:name w:val="目录 41"/>
    <w:basedOn w:val="1"/>
    <w:next w:val="1"/>
    <w:autoRedefine/>
    <w:semiHidden/>
    <w:qFormat/>
    <w:uiPriority w:val="0"/>
    <w:pPr>
      <w:adjustRightInd/>
      <w:spacing w:line="240" w:lineRule="auto"/>
      <w:jc w:val="left"/>
    </w:pPr>
  </w:style>
  <w:style w:type="paragraph" w:customStyle="1" w:styleId="145">
    <w:name w:val="目录 51"/>
    <w:basedOn w:val="1"/>
    <w:next w:val="1"/>
    <w:autoRedefine/>
    <w:semiHidden/>
    <w:qFormat/>
    <w:uiPriority w:val="0"/>
    <w:pPr>
      <w:spacing w:line="240" w:lineRule="auto"/>
    </w:pPr>
    <w:rPr>
      <w:rFonts w:ascii="宋体" w:hAnsi="宋体"/>
    </w:rPr>
  </w:style>
  <w:style w:type="paragraph" w:customStyle="1" w:styleId="146">
    <w:name w:val="目录 61"/>
    <w:basedOn w:val="1"/>
    <w:next w:val="1"/>
    <w:autoRedefine/>
    <w:semiHidden/>
    <w:qFormat/>
    <w:uiPriority w:val="0"/>
    <w:pPr>
      <w:adjustRightInd/>
      <w:spacing w:line="240" w:lineRule="auto"/>
      <w:jc w:val="left"/>
    </w:pPr>
  </w:style>
  <w:style w:type="paragraph" w:customStyle="1" w:styleId="147">
    <w:name w:val="目录 71"/>
    <w:basedOn w:val="146"/>
    <w:autoRedefine/>
    <w:semiHidden/>
    <w:qFormat/>
    <w:uiPriority w:val="0"/>
    <w:pPr>
      <w:ind w:left="1260"/>
    </w:pPr>
  </w:style>
  <w:style w:type="paragraph" w:customStyle="1" w:styleId="148">
    <w:name w:val="目录 81"/>
    <w:basedOn w:val="147"/>
    <w:autoRedefine/>
    <w:semiHidden/>
    <w:qFormat/>
    <w:uiPriority w:val="0"/>
    <w:pPr>
      <w:ind w:left="1470"/>
    </w:pPr>
  </w:style>
  <w:style w:type="paragraph" w:customStyle="1" w:styleId="149">
    <w:name w:val="目录 91"/>
    <w:basedOn w:val="148"/>
    <w:autoRedefine/>
    <w:semiHidden/>
    <w:uiPriority w:val="0"/>
    <w:pPr>
      <w:ind w:left="1680"/>
    </w:pPr>
  </w:style>
  <w:style w:type="paragraph" w:customStyle="1" w:styleId="150">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1">
    <w:name w:val="其他发布部门"/>
    <w:basedOn w:val="119"/>
    <w:uiPriority w:val="0"/>
    <w:pPr>
      <w:framePr w:wrap="around"/>
      <w:spacing w:line="0" w:lineRule="atLeast"/>
    </w:pPr>
    <w:rPr>
      <w:rFonts w:ascii="黑体" w:eastAsia="黑体"/>
      <w:b w:val="0"/>
    </w:rPr>
  </w:style>
  <w:style w:type="paragraph" w:customStyle="1" w:styleId="152">
    <w:name w:val="前言标题"/>
    <w:next w:val="1"/>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3">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4">
    <w:name w:val="实施日期"/>
    <w:basedOn w:val="120"/>
    <w:qFormat/>
    <w:uiPriority w:val="0"/>
    <w:pPr>
      <w:framePr w:hSpace="0" w:wrap="around" w:xAlign="right"/>
      <w:jc w:val="right"/>
    </w:pPr>
  </w:style>
  <w:style w:type="paragraph" w:customStyle="1" w:styleId="155">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6">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7">
    <w:name w:val="无标题条"/>
    <w:next w:val="56"/>
    <w:qFormat/>
    <w:uiPriority w:val="0"/>
    <w:pPr>
      <w:jc w:val="both"/>
    </w:pPr>
    <w:rPr>
      <w:rFonts w:ascii="宋体" w:hAnsi="宋体" w:eastAsia="宋体" w:cs="Times New Roman"/>
      <w:sz w:val="21"/>
      <w:lang w:val="en-US" w:eastAsia="zh-CN" w:bidi="ar-SA"/>
    </w:rPr>
  </w:style>
  <w:style w:type="paragraph" w:customStyle="1" w:styleId="158">
    <w:name w:val="五级无标题条"/>
    <w:basedOn w:val="1"/>
    <w:qFormat/>
    <w:uiPriority w:val="0"/>
    <w:pPr>
      <w:numPr>
        <w:ilvl w:val="6"/>
        <w:numId w:val="20"/>
      </w:numPr>
      <w:adjustRightInd/>
    </w:pPr>
    <w:rPr>
      <w:szCs w:val="24"/>
    </w:rPr>
  </w:style>
  <w:style w:type="paragraph" w:customStyle="1" w:styleId="159">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0">
    <w:name w:val="注:后续"/>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1">
    <w:name w:val="注×:后续"/>
    <w:basedOn w:val="160"/>
    <w:qFormat/>
    <w:uiPriority w:val="0"/>
    <w:pPr>
      <w:ind w:left="1406" w:leftChars="0" w:hanging="499" w:firstLineChars="0"/>
    </w:pPr>
  </w:style>
  <w:style w:type="paragraph" w:customStyle="1" w:styleId="162">
    <w:name w:val="标准文件_一级无标题"/>
    <w:basedOn w:val="105"/>
    <w:qFormat/>
    <w:uiPriority w:val="0"/>
    <w:pPr>
      <w:spacing w:before="0" w:beforeLines="0" w:after="0" w:afterLines="0"/>
      <w:outlineLvl w:val="9"/>
    </w:pPr>
    <w:rPr>
      <w:rFonts w:ascii="宋体" w:eastAsia="宋体"/>
    </w:rPr>
  </w:style>
  <w:style w:type="paragraph" w:customStyle="1" w:styleId="163">
    <w:name w:val="标准文件_五级无标题"/>
    <w:basedOn w:val="103"/>
    <w:qFormat/>
    <w:uiPriority w:val="0"/>
    <w:pPr>
      <w:spacing w:before="0" w:beforeLines="0" w:after="0" w:afterLines="0"/>
      <w:outlineLvl w:val="9"/>
    </w:pPr>
    <w:rPr>
      <w:rFonts w:ascii="宋体" w:eastAsia="宋体"/>
    </w:rPr>
  </w:style>
  <w:style w:type="paragraph" w:customStyle="1" w:styleId="164">
    <w:name w:val="标准文件_三级无标题"/>
    <w:basedOn w:val="94"/>
    <w:qFormat/>
    <w:uiPriority w:val="0"/>
    <w:pPr>
      <w:spacing w:before="0" w:beforeLines="0" w:after="0" w:afterLines="0"/>
      <w:outlineLvl w:val="9"/>
    </w:pPr>
    <w:rPr>
      <w:rFonts w:ascii="宋体" w:eastAsia="宋体"/>
    </w:rPr>
  </w:style>
  <w:style w:type="paragraph" w:customStyle="1" w:styleId="165">
    <w:name w:val="标准文件_二级无标题"/>
    <w:basedOn w:val="65"/>
    <w:qFormat/>
    <w:uiPriority w:val="0"/>
    <w:pPr>
      <w:spacing w:before="0" w:beforeLines="0" w:after="0" w:afterLines="0"/>
      <w:outlineLvl w:val="9"/>
    </w:pPr>
    <w:rPr>
      <w:rFonts w:ascii="宋体" w:eastAsia="宋体"/>
    </w:rPr>
  </w:style>
  <w:style w:type="paragraph" w:customStyle="1" w:styleId="166">
    <w:name w:val="标准_四级无标题"/>
    <w:basedOn w:val="98"/>
    <w:next w:val="56"/>
    <w:qFormat/>
    <w:uiPriority w:val="0"/>
    <w:rPr>
      <w:rFonts w:eastAsia="宋体"/>
    </w:rPr>
  </w:style>
  <w:style w:type="paragraph" w:customStyle="1" w:styleId="167">
    <w:name w:val="标准文件_四级无标题"/>
    <w:basedOn w:val="98"/>
    <w:qFormat/>
    <w:uiPriority w:val="0"/>
    <w:pPr>
      <w:spacing w:before="0" w:beforeLines="0" w:after="0" w:afterLines="0"/>
      <w:outlineLvl w:val="9"/>
    </w:pPr>
    <w:rPr>
      <w:rFonts w:ascii="宋体" w:hAnsi="黑体" w:eastAsia="宋体"/>
      <w:szCs w:val="52"/>
    </w:rPr>
  </w:style>
  <w:style w:type="paragraph" w:customStyle="1" w:styleId="168">
    <w:name w:val="标准文件_大写罗马数字编号列项"/>
    <w:basedOn w:val="56"/>
    <w:qFormat/>
    <w:uiPriority w:val="0"/>
    <w:pPr>
      <w:numPr>
        <w:ilvl w:val="0"/>
        <w:numId w:val="23"/>
      </w:numPr>
      <w:ind w:firstLine="0" w:firstLineChars="0"/>
    </w:pPr>
    <w:rPr>
      <w:rFonts w:ascii="Times New Roman" w:cs="Arial"/>
      <w:szCs w:val="28"/>
    </w:rPr>
  </w:style>
  <w:style w:type="paragraph" w:customStyle="1" w:styleId="169">
    <w:name w:val="标准文件_小写罗马数字编号列项"/>
    <w:basedOn w:val="56"/>
    <w:qFormat/>
    <w:uiPriority w:val="0"/>
    <w:pPr>
      <w:numPr>
        <w:ilvl w:val="0"/>
        <w:numId w:val="24"/>
      </w:numPr>
      <w:ind w:firstLine="0" w:firstLineChars="0"/>
    </w:pPr>
    <w:rPr>
      <w:rFonts w:cs="Arial"/>
      <w:szCs w:val="28"/>
    </w:rPr>
  </w:style>
  <w:style w:type="paragraph" w:customStyle="1" w:styleId="170">
    <w:name w:val="标准文件_附录标题"/>
    <w:basedOn w:val="76"/>
    <w:qFormat/>
    <w:uiPriority w:val="0"/>
    <w:pPr>
      <w:numPr>
        <w:numId w:val="0"/>
      </w:numPr>
      <w:spacing w:after="280"/>
      <w:outlineLvl w:val="9"/>
    </w:pPr>
  </w:style>
  <w:style w:type="paragraph" w:customStyle="1" w:styleId="171">
    <w:name w:val="标准文件_二级项"/>
    <w:uiPriority w:val="0"/>
    <w:rPr>
      <w:rFonts w:ascii="宋体" w:hAnsi="Times New Roman" w:eastAsia="宋体" w:cs="Times New Roman"/>
      <w:sz w:val="21"/>
      <w:lang w:val="en-US" w:eastAsia="zh-CN" w:bidi="ar-SA"/>
    </w:rPr>
  </w:style>
  <w:style w:type="paragraph" w:customStyle="1" w:styleId="172">
    <w:name w:val="标准文件_三级项"/>
    <w:basedOn w:val="1"/>
    <w:qFormat/>
    <w:uiPriority w:val="0"/>
    <w:pPr>
      <w:numPr>
        <w:ilvl w:val="2"/>
        <w:numId w:val="21"/>
      </w:numPr>
      <w:spacing w:line="536870612" w:lineRule="auto"/>
    </w:pPr>
    <w:rPr>
      <w:rFonts w:ascii="Times New Roman" w:hAnsi="Times New Roman"/>
    </w:rPr>
  </w:style>
  <w:style w:type="paragraph" w:customStyle="1" w:styleId="173">
    <w:name w:val="图表脚注说明"/>
    <w:basedOn w:val="1"/>
    <w:next w:val="56"/>
    <w:qFormat/>
    <w:uiPriority w:val="0"/>
    <w:pPr>
      <w:numPr>
        <w:ilvl w:val="0"/>
        <w:numId w:val="25"/>
      </w:numPr>
      <w:adjustRightInd/>
      <w:spacing w:line="240" w:lineRule="auto"/>
    </w:pPr>
    <w:rPr>
      <w:rFonts w:ascii="宋体" w:hAnsi="Times New Roman"/>
      <w:sz w:val="18"/>
      <w:szCs w:val="18"/>
    </w:rPr>
  </w:style>
  <w:style w:type="paragraph" w:customStyle="1" w:styleId="174">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5">
    <w:name w:val="标准文件_索引字母"/>
    <w:next w:val="56"/>
    <w:qFormat/>
    <w:uiPriority w:val="0"/>
    <w:pPr>
      <w:jc w:val="center"/>
    </w:pPr>
    <w:rPr>
      <w:rFonts w:ascii="宋体" w:hAnsi="宋体" w:eastAsia="Times New Roman" w:cs="Times New Roman"/>
      <w:b/>
      <w:kern w:val="2"/>
      <w:sz w:val="21"/>
      <w:lang w:val="en-US" w:eastAsia="zh-CN" w:bidi="ar-SA"/>
    </w:rPr>
  </w:style>
  <w:style w:type="paragraph" w:customStyle="1" w:styleId="176">
    <w:name w:val="标准文件_附录前"/>
    <w:next w:val="56"/>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7">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8">
    <w:name w:val="标准文件_表格"/>
    <w:basedOn w:val="56"/>
    <w:qFormat/>
    <w:uiPriority w:val="0"/>
    <w:pPr>
      <w:ind w:firstLine="0" w:firstLineChars="0"/>
      <w:jc w:val="center"/>
    </w:pPr>
    <w:rPr>
      <w:sz w:val="18"/>
    </w:rPr>
  </w:style>
  <w:style w:type="paragraph" w:customStyle="1" w:styleId="179">
    <w:name w:val="标准文件_注："/>
    <w:next w:val="56"/>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0">
    <w:name w:val="标准文件_注×："/>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示例："/>
    <w:next w:val="182"/>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2">
    <w:name w:val="标准文件_示例内容"/>
    <w:basedOn w:val="56"/>
    <w:qFormat/>
    <w:uiPriority w:val="0"/>
    <w:pPr>
      <w:ind w:firstLine="420"/>
    </w:pPr>
    <w:rPr>
      <w:sz w:val="18"/>
    </w:rPr>
  </w:style>
  <w:style w:type="paragraph" w:customStyle="1" w:styleId="183">
    <w:name w:val="标准文件_示例×："/>
    <w:basedOn w:val="1"/>
    <w:next w:val="182"/>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4">
    <w:name w:val="标准文件_段 Char"/>
    <w:link w:val="56"/>
    <w:uiPriority w:val="0"/>
    <w:rPr>
      <w:rFonts w:ascii="宋体" w:hAnsi="Times New Roman"/>
      <w:sz w:val="21"/>
    </w:rPr>
  </w:style>
  <w:style w:type="paragraph" w:customStyle="1" w:styleId="185">
    <w:name w:val="标准文件_表格续"/>
    <w:basedOn w:val="56"/>
    <w:next w:val="56"/>
    <w:qFormat/>
    <w:uiPriority w:val="0"/>
    <w:pPr>
      <w:jc w:val="center"/>
    </w:pPr>
    <w:rPr>
      <w:rFonts w:ascii="黑体" w:hAnsi="黑体" w:eastAsia="黑体"/>
    </w:rPr>
  </w:style>
  <w:style w:type="character" w:styleId="186">
    <w:name w:val="Placeholder Text"/>
    <w:basedOn w:val="28"/>
    <w:semiHidden/>
    <w:uiPriority w:val="99"/>
    <w:rPr>
      <w:color w:val="808080"/>
    </w:rPr>
  </w:style>
  <w:style w:type="paragraph" w:customStyle="1" w:styleId="187">
    <w:name w:val="标准文件_二级项2"/>
    <w:basedOn w:val="56"/>
    <w:qFormat/>
    <w:uiPriority w:val="0"/>
    <w:pPr>
      <w:numPr>
        <w:ilvl w:val="1"/>
        <w:numId w:val="21"/>
      </w:numPr>
      <w:ind w:firstLine="0" w:firstLineChars="0"/>
    </w:pPr>
  </w:style>
  <w:style w:type="paragraph" w:customStyle="1" w:styleId="188">
    <w:name w:val="标准文件_三级项2"/>
    <w:basedOn w:val="56"/>
    <w:qFormat/>
    <w:uiPriority w:val="0"/>
    <w:pPr>
      <w:numPr>
        <w:ilvl w:val="0"/>
        <w:numId w:val="30"/>
      </w:numPr>
      <w:spacing w:line="300" w:lineRule="exact"/>
      <w:ind w:firstLineChars="0"/>
    </w:pPr>
    <w:rPr>
      <w:rFonts w:ascii="Times New Roman"/>
    </w:rPr>
  </w:style>
  <w:style w:type="paragraph" w:customStyle="1" w:styleId="189">
    <w:name w:val="标准文件_一级项2"/>
    <w:basedOn w:val="56"/>
    <w:qFormat/>
    <w:uiPriority w:val="0"/>
    <w:pPr>
      <w:numPr>
        <w:ilvl w:val="0"/>
        <w:numId w:val="31"/>
      </w:numPr>
      <w:spacing w:line="300" w:lineRule="exact"/>
      <w:ind w:firstLineChars="0"/>
    </w:pPr>
    <w:rPr>
      <w:rFonts w:ascii="Times New Roman"/>
    </w:rPr>
  </w:style>
  <w:style w:type="paragraph" w:customStyle="1" w:styleId="190">
    <w:name w:val="标准文件_提示"/>
    <w:basedOn w:val="56"/>
    <w:next w:val="56"/>
    <w:qFormat/>
    <w:uiPriority w:val="0"/>
    <w:pPr>
      <w:ind w:firstLine="420"/>
    </w:pPr>
    <w:rPr>
      <w:rFonts w:ascii="黑体" w:eastAsia="黑体"/>
    </w:rPr>
  </w:style>
  <w:style w:type="character" w:customStyle="1" w:styleId="191">
    <w:name w:val="标准文件_来源"/>
    <w:basedOn w:val="28"/>
    <w:qFormat/>
    <w:uiPriority w:val="1"/>
    <w:rPr>
      <w:rFonts w:eastAsia="宋体"/>
      <w:sz w:val="21"/>
    </w:rPr>
  </w:style>
  <w:style w:type="paragraph" w:customStyle="1" w:styleId="192">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0"/>
    <w:qFormat/>
    <w:uiPriority w:val="0"/>
    <w:pPr>
      <w:framePr w:w="3997" w:h="471" w:hRule="exact" w:hSpace="0" w:vSpace="181" w:wrap="around" w:vAnchor="page" w:hAnchor="page" w:x="1419" w:y="14097"/>
    </w:pPr>
  </w:style>
  <w:style w:type="paragraph" w:customStyle="1" w:styleId="194">
    <w:name w:val="其他实施日期"/>
    <w:basedOn w:val="154"/>
    <w:qFormat/>
    <w:uiPriority w:val="0"/>
    <w:pPr>
      <w:framePr w:w="3997" w:h="471" w:hRule="exact" w:vSpace="181" w:wrap="around" w:vAnchor="page" w:hAnchor="page" w:x="7089" w:y="14097"/>
    </w:pPr>
  </w:style>
  <w:style w:type="paragraph" w:customStyle="1" w:styleId="195">
    <w:name w:val="标准文件_文件编号"/>
    <w:basedOn w:val="56"/>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qFormat/>
    <w:uiPriority w:val="0"/>
    <w:pPr>
      <w:framePr/>
      <w:spacing w:before="57"/>
    </w:pPr>
    <w:rPr>
      <w:sz w:val="21"/>
    </w:rPr>
  </w:style>
  <w:style w:type="paragraph" w:customStyle="1" w:styleId="197">
    <w:name w:val="标准文件_文件名称"/>
    <w:basedOn w:val="56"/>
    <w:next w:val="56"/>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56"/>
    <w:next w:val="56"/>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56"/>
    <w:next w:val="56"/>
    <w:qFormat/>
    <w:uiPriority w:val="0"/>
    <w:pPr>
      <w:numPr>
        <w:ilvl w:val="0"/>
        <w:numId w:val="5"/>
      </w:numPr>
      <w:spacing w:line="14" w:lineRule="exact"/>
      <w:ind w:firstLine="0" w:firstLineChars="0"/>
      <w:jc w:val="center"/>
    </w:pPr>
    <w:rPr>
      <w:rFonts w:eastAsia="黑体"/>
      <w:vanish/>
      <w:sz w:val="2"/>
    </w:rPr>
  </w:style>
  <w:style w:type="paragraph" w:customStyle="1" w:styleId="200">
    <w:name w:val="标准文件_引言一级条标题"/>
    <w:basedOn w:val="56"/>
    <w:next w:val="56"/>
    <w:qFormat/>
    <w:uiPriority w:val="0"/>
    <w:pPr>
      <w:numPr>
        <w:ilvl w:val="1"/>
        <w:numId w:val="8"/>
      </w:numPr>
      <w:spacing w:before="50" w:beforeLines="50" w:after="50" w:afterLines="50"/>
      <w:ind w:firstLineChars="0"/>
    </w:pPr>
    <w:rPr>
      <w:rFonts w:ascii="黑体" w:eastAsia="黑体"/>
    </w:rPr>
  </w:style>
  <w:style w:type="paragraph" w:customStyle="1" w:styleId="201">
    <w:name w:val="标准文件_引言二级条标题"/>
    <w:basedOn w:val="56"/>
    <w:next w:val="56"/>
    <w:qFormat/>
    <w:uiPriority w:val="0"/>
    <w:pPr>
      <w:numPr>
        <w:ilvl w:val="2"/>
        <w:numId w:val="8"/>
      </w:numPr>
      <w:spacing w:before="50" w:beforeLines="50" w:after="50" w:afterLines="50"/>
      <w:ind w:firstLineChars="0"/>
    </w:pPr>
    <w:rPr>
      <w:rFonts w:ascii="黑体" w:eastAsia="黑体"/>
    </w:rPr>
  </w:style>
  <w:style w:type="paragraph" w:customStyle="1" w:styleId="202">
    <w:name w:val="标准文件_引言三级条标题"/>
    <w:basedOn w:val="56"/>
    <w:next w:val="56"/>
    <w:qFormat/>
    <w:uiPriority w:val="0"/>
    <w:pPr>
      <w:numPr>
        <w:ilvl w:val="3"/>
        <w:numId w:val="8"/>
      </w:numPr>
      <w:spacing w:before="50" w:beforeLines="50" w:after="50" w:afterLines="50"/>
      <w:ind w:firstLineChars="0"/>
    </w:pPr>
    <w:rPr>
      <w:rFonts w:ascii="黑体" w:eastAsia="黑体"/>
    </w:rPr>
  </w:style>
  <w:style w:type="paragraph" w:customStyle="1" w:styleId="203">
    <w:name w:val="标准文件_引言四级条标题"/>
    <w:basedOn w:val="56"/>
    <w:next w:val="56"/>
    <w:qFormat/>
    <w:uiPriority w:val="0"/>
    <w:pPr>
      <w:numPr>
        <w:ilvl w:val="4"/>
        <w:numId w:val="8"/>
      </w:numPr>
      <w:spacing w:before="50" w:beforeLines="50" w:after="50" w:afterLines="50"/>
      <w:ind w:firstLineChars="0"/>
    </w:pPr>
    <w:rPr>
      <w:rFonts w:ascii="黑体" w:eastAsia="黑体"/>
    </w:rPr>
  </w:style>
  <w:style w:type="paragraph" w:customStyle="1" w:styleId="204">
    <w:name w:val="标准文件_引言五级条标题"/>
    <w:basedOn w:val="56"/>
    <w:next w:val="56"/>
    <w:qFormat/>
    <w:uiPriority w:val="0"/>
    <w:pPr>
      <w:numPr>
        <w:ilvl w:val="5"/>
        <w:numId w:val="8"/>
      </w:numPr>
      <w:spacing w:before="50" w:beforeLines="50" w:after="50" w:afterLines="50"/>
      <w:ind w:firstLineChars="0"/>
    </w:pPr>
    <w:rPr>
      <w:rFonts w:ascii="黑体" w:eastAsia="黑体"/>
    </w:rPr>
  </w:style>
  <w:style w:type="paragraph" w:customStyle="1" w:styleId="205">
    <w:name w:val="标准文件_注后"/>
    <w:basedOn w:val="56"/>
    <w:qFormat/>
    <w:uiPriority w:val="0"/>
    <w:pPr>
      <w:ind w:left="811" w:firstLine="0" w:firstLineChars="0"/>
    </w:pPr>
    <w:rPr>
      <w:sz w:val="18"/>
    </w:rPr>
  </w:style>
  <w:style w:type="paragraph" w:customStyle="1" w:styleId="206">
    <w:name w:val="标准文件_注X后"/>
    <w:basedOn w:val="56"/>
    <w:qFormat/>
    <w:uiPriority w:val="0"/>
    <w:pPr>
      <w:ind w:left="811" w:firstLine="0" w:firstLineChars="0"/>
    </w:pPr>
    <w:rPr>
      <w:sz w:val="18"/>
    </w:rPr>
  </w:style>
  <w:style w:type="paragraph" w:customStyle="1" w:styleId="207">
    <w:name w:val="标准文件_示例后"/>
    <w:basedOn w:val="56"/>
    <w:qFormat/>
    <w:uiPriority w:val="0"/>
    <w:pPr>
      <w:ind w:left="964" w:firstLine="0" w:firstLineChars="0"/>
    </w:pPr>
    <w:rPr>
      <w:sz w:val="18"/>
    </w:rPr>
  </w:style>
  <w:style w:type="paragraph" w:customStyle="1" w:styleId="208">
    <w:name w:val="标准文件_示例X后"/>
    <w:basedOn w:val="56"/>
    <w:link w:val="209"/>
    <w:qFormat/>
    <w:uiPriority w:val="0"/>
    <w:pPr>
      <w:ind w:left="1049" w:firstLine="0" w:firstLineChars="0"/>
    </w:pPr>
    <w:rPr>
      <w:sz w:val="18"/>
    </w:rPr>
  </w:style>
  <w:style w:type="character" w:customStyle="1" w:styleId="209">
    <w:name w:val="标准文件_示例X后 字符"/>
    <w:basedOn w:val="184"/>
    <w:link w:val="208"/>
    <w:uiPriority w:val="0"/>
    <w:rPr>
      <w:rFonts w:ascii="宋体" w:hAnsi="Times New Roman"/>
      <w:sz w:val="18"/>
    </w:rPr>
  </w:style>
  <w:style w:type="paragraph" w:customStyle="1" w:styleId="210">
    <w:name w:val="标准文件_索引项"/>
    <w:basedOn w:val="56"/>
    <w:next w:val="56"/>
    <w:qFormat/>
    <w:uiPriority w:val="0"/>
    <w:pPr>
      <w:tabs>
        <w:tab w:val="right" w:leader="dot" w:pos="9356"/>
      </w:tabs>
      <w:ind w:left="210" w:hanging="210" w:firstLineChars="0"/>
      <w:jc w:val="left"/>
    </w:pPr>
  </w:style>
  <w:style w:type="paragraph" w:customStyle="1" w:styleId="211">
    <w:name w:val="标准文件_附录一级无标题"/>
    <w:basedOn w:val="78"/>
    <w:qFormat/>
    <w:uiPriority w:val="0"/>
    <w:pPr>
      <w:spacing w:before="0" w:beforeLines="0" w:after="0" w:afterLines="0" w:line="276" w:lineRule="auto"/>
      <w:outlineLvl w:val="9"/>
    </w:pPr>
    <w:rPr>
      <w:rFonts w:ascii="宋体" w:eastAsia="宋体"/>
    </w:rPr>
  </w:style>
  <w:style w:type="paragraph" w:customStyle="1" w:styleId="212">
    <w:name w:val="标准文件_附录二级无标题"/>
    <w:basedOn w:val="79"/>
    <w:uiPriority w:val="0"/>
    <w:pPr>
      <w:spacing w:before="0" w:beforeLines="0" w:after="0" w:afterLines="0" w:line="276" w:lineRule="auto"/>
      <w:outlineLvl w:val="9"/>
    </w:pPr>
    <w:rPr>
      <w:rFonts w:ascii="宋体" w:eastAsia="宋体"/>
    </w:rPr>
  </w:style>
  <w:style w:type="paragraph" w:customStyle="1" w:styleId="213">
    <w:name w:val="标准文件_附录三级无标题"/>
    <w:basedOn w:val="81"/>
    <w:qFormat/>
    <w:uiPriority w:val="0"/>
    <w:pPr>
      <w:spacing w:before="0" w:beforeLines="0" w:after="0" w:afterLines="0" w:line="276" w:lineRule="auto"/>
      <w:outlineLvl w:val="9"/>
    </w:pPr>
    <w:rPr>
      <w:rFonts w:ascii="宋体" w:eastAsia="宋体"/>
    </w:rPr>
  </w:style>
  <w:style w:type="paragraph" w:customStyle="1" w:styleId="214">
    <w:name w:val="标准文件_附录四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五级无标题"/>
    <w:basedOn w:val="84"/>
    <w:qFormat/>
    <w:uiPriority w:val="0"/>
    <w:pPr>
      <w:spacing w:before="0" w:beforeLines="0" w:after="0" w:afterLines="0" w:line="276" w:lineRule="auto"/>
      <w:outlineLvl w:val="9"/>
    </w:pPr>
    <w:rPr>
      <w:rFonts w:ascii="宋体" w:eastAsia="宋体"/>
    </w:rPr>
  </w:style>
  <w:style w:type="paragraph" w:customStyle="1" w:styleId="216">
    <w:name w:val="标准文件_引言一级无标题"/>
    <w:basedOn w:val="200"/>
    <w:next w:val="56"/>
    <w:qFormat/>
    <w:uiPriority w:val="0"/>
    <w:pPr>
      <w:spacing w:before="0" w:beforeLines="0" w:after="0" w:afterLines="0" w:line="276" w:lineRule="auto"/>
    </w:pPr>
    <w:rPr>
      <w:rFonts w:ascii="宋体" w:eastAsia="宋体"/>
    </w:rPr>
  </w:style>
  <w:style w:type="paragraph" w:customStyle="1" w:styleId="217">
    <w:name w:val="标准文件_引言二级无标题"/>
    <w:basedOn w:val="201"/>
    <w:next w:val="56"/>
    <w:qFormat/>
    <w:uiPriority w:val="0"/>
    <w:pPr>
      <w:spacing w:before="0" w:beforeLines="0" w:after="0" w:afterLines="0" w:line="276" w:lineRule="auto"/>
    </w:pPr>
    <w:rPr>
      <w:rFonts w:ascii="宋体" w:eastAsia="宋体"/>
    </w:rPr>
  </w:style>
  <w:style w:type="paragraph" w:customStyle="1" w:styleId="218">
    <w:name w:val="标准文件_引言三级无标题"/>
    <w:basedOn w:val="202"/>
    <w:qFormat/>
    <w:uiPriority w:val="0"/>
    <w:pPr>
      <w:spacing w:before="0" w:beforeLines="0" w:after="0" w:afterLines="0" w:line="276" w:lineRule="auto"/>
    </w:pPr>
    <w:rPr>
      <w:rFonts w:ascii="宋体" w:eastAsia="宋体"/>
    </w:rPr>
  </w:style>
  <w:style w:type="paragraph" w:customStyle="1" w:styleId="219">
    <w:name w:val="标准文件_引言四级无标题"/>
    <w:basedOn w:val="203"/>
    <w:next w:val="56"/>
    <w:qFormat/>
    <w:uiPriority w:val="0"/>
    <w:pPr>
      <w:spacing w:before="0" w:beforeLines="0" w:after="0" w:afterLines="0" w:line="276" w:lineRule="auto"/>
    </w:pPr>
    <w:rPr>
      <w:rFonts w:ascii="宋体" w:eastAsia="宋体"/>
    </w:rPr>
  </w:style>
  <w:style w:type="paragraph" w:customStyle="1" w:styleId="220">
    <w:name w:val="标准文件_引言五级无标题"/>
    <w:basedOn w:val="204"/>
    <w:next w:val="56"/>
    <w:qFormat/>
    <w:uiPriority w:val="0"/>
    <w:pPr>
      <w:spacing w:before="0" w:beforeLines="0" w:after="0" w:afterLines="0" w:line="276" w:lineRule="auto"/>
    </w:pPr>
    <w:rPr>
      <w:rFonts w:ascii="宋体" w:eastAsia="宋体"/>
    </w:rPr>
  </w:style>
  <w:style w:type="paragraph" w:customStyle="1" w:styleId="221">
    <w:name w:val="标准文件_索引标题"/>
    <w:basedOn w:val="63"/>
    <w:next w:val="56"/>
    <w:qFormat/>
    <w:uiPriority w:val="0"/>
    <w:rPr>
      <w:rFonts w:hAnsi="黑体"/>
    </w:rPr>
  </w:style>
  <w:style w:type="paragraph" w:customStyle="1" w:styleId="222">
    <w:name w:val="标准文件_脚注内容"/>
    <w:basedOn w:val="56"/>
    <w:qFormat/>
    <w:uiPriority w:val="0"/>
    <w:pPr>
      <w:ind w:left="400" w:leftChars="200" w:hanging="200" w:hangingChars="200"/>
    </w:pPr>
    <w:rPr>
      <w:sz w:val="15"/>
    </w:rPr>
  </w:style>
  <w:style w:type="paragraph" w:customStyle="1" w:styleId="223">
    <w:name w:val="标准文件_术语条一"/>
    <w:basedOn w:val="162"/>
    <w:next w:val="56"/>
    <w:qFormat/>
    <w:uiPriority w:val="0"/>
  </w:style>
  <w:style w:type="paragraph" w:customStyle="1" w:styleId="224">
    <w:name w:val="标准文件_术语条二"/>
    <w:basedOn w:val="165"/>
    <w:next w:val="56"/>
    <w:qFormat/>
    <w:uiPriority w:val="0"/>
  </w:style>
  <w:style w:type="paragraph" w:customStyle="1" w:styleId="225">
    <w:name w:val="标准文件_术语条三"/>
    <w:basedOn w:val="164"/>
    <w:next w:val="56"/>
    <w:qFormat/>
    <w:uiPriority w:val="0"/>
  </w:style>
  <w:style w:type="paragraph" w:customStyle="1" w:styleId="226">
    <w:name w:val="标准文件_术语条四"/>
    <w:basedOn w:val="167"/>
    <w:next w:val="56"/>
    <w:qFormat/>
    <w:uiPriority w:val="0"/>
  </w:style>
  <w:style w:type="paragraph" w:customStyle="1" w:styleId="227">
    <w:name w:val="标准文件_术语条五"/>
    <w:basedOn w:val="163"/>
    <w:next w:val="56"/>
    <w:qFormat/>
    <w:uiPriority w:val="0"/>
  </w:style>
  <w:style w:type="paragraph" w:customStyle="1" w:styleId="228">
    <w:name w:val="Defaul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29">
    <w:name w:val="发布"/>
    <w:basedOn w:val="28"/>
    <w:qFormat/>
    <w:uiPriority w:val="0"/>
    <w:rPr>
      <w:rFonts w:ascii="黑体" w:eastAsia="黑体"/>
      <w:spacing w:val="85"/>
      <w:w w:val="100"/>
      <w:position w:val="3"/>
      <w:sz w:val="28"/>
      <w:szCs w:val="2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5" Type="http://schemas.openxmlformats.org/officeDocument/2006/relationships/glossaryDocument" Target="glossary/document.xml"/><Relationship Id="rId34" Type="http://schemas.openxmlformats.org/officeDocument/2006/relationships/fontTable" Target="fontTable.xml"/><Relationship Id="rId33" Type="http://schemas.openxmlformats.org/officeDocument/2006/relationships/customXml" Target="../customXml/item2.xml"/><Relationship Id="rId32" Type="http://schemas.openxmlformats.org/officeDocument/2006/relationships/numbering" Target="numbering.xml"/><Relationship Id="rId31" Type="http://schemas.openxmlformats.org/officeDocument/2006/relationships/customXml" Target="../customXml/item1.xml"/><Relationship Id="rId30" Type="http://schemas.openxmlformats.org/officeDocument/2006/relationships/image" Target="media/image3.jpeg"/><Relationship Id="rId3" Type="http://schemas.openxmlformats.org/officeDocument/2006/relationships/footnotes" Target="footnotes.xml"/><Relationship Id="rId29" Type="http://schemas.openxmlformats.org/officeDocument/2006/relationships/image" Target="media/image2.png"/><Relationship Id="rId28" Type="http://schemas.openxmlformats.org/officeDocument/2006/relationships/image" Target="media/image1.png"/><Relationship Id="rId27" Type="http://schemas.openxmlformats.org/officeDocument/2006/relationships/theme" Target="theme/theme1.xml"/><Relationship Id="rId26" Type="http://schemas.openxmlformats.org/officeDocument/2006/relationships/footer" Target="footer11.xml"/><Relationship Id="rId25" Type="http://schemas.openxmlformats.org/officeDocument/2006/relationships/footer" Target="footer10.xml"/><Relationship Id="rId24" Type="http://schemas.openxmlformats.org/officeDocument/2006/relationships/header" Target="header11.xml"/><Relationship Id="rId23" Type="http://schemas.openxmlformats.org/officeDocument/2006/relationships/header" Target="header10.xml"/><Relationship Id="rId22" Type="http://schemas.openxmlformats.org/officeDocument/2006/relationships/footer" Target="footer9.xml"/><Relationship Id="rId21" Type="http://schemas.openxmlformats.org/officeDocument/2006/relationships/footer" Target="footer8.xml"/><Relationship Id="rId20" Type="http://schemas.openxmlformats.org/officeDocument/2006/relationships/header" Target="header9.xml"/><Relationship Id="rId2" Type="http://schemas.openxmlformats.org/officeDocument/2006/relationships/settings" Target="settings.xml"/><Relationship Id="rId19" Type="http://schemas.openxmlformats.org/officeDocument/2006/relationships/header" Target="header8.xml"/><Relationship Id="rId18" Type="http://schemas.openxmlformats.org/officeDocument/2006/relationships/footer" Target="footer7.xml"/><Relationship Id="rId17" Type="http://schemas.openxmlformats.org/officeDocument/2006/relationships/footer" Target="footer6.xml"/><Relationship Id="rId16" Type="http://schemas.openxmlformats.org/officeDocument/2006/relationships/header" Target="header7.xml"/><Relationship Id="rId15" Type="http://schemas.openxmlformats.org/officeDocument/2006/relationships/header" Target="header6.xml"/><Relationship Id="rId14" Type="http://schemas.openxmlformats.org/officeDocument/2006/relationships/footer" Target="footer5.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012FB321F5A4443D9AFC61825E0F0C38"/>
        <w:style w:val=""/>
        <w:category>
          <w:name w:val="常规"/>
          <w:gallery w:val="placeholder"/>
        </w:category>
        <w:types>
          <w:type w:val="bbPlcHdr"/>
        </w:types>
        <w:behaviors>
          <w:behavior w:val="content"/>
        </w:behaviors>
        <w:description w:val=""/>
        <w:guid w:val="{6BC8AE12-FCBB-459F-AF45-E50AEA0241F1}"/>
      </w:docPartPr>
      <w:docPartBody>
        <w:p w14:paraId="799DE285">
          <w:pPr>
            <w:pStyle w:val="5"/>
            <w:rPr>
              <w:rFonts w:hint="eastAsia"/>
            </w:rPr>
          </w:pPr>
          <w:r>
            <w:rPr>
              <w:rStyle w:val="4"/>
              <w:rFonts w:hint="eastAsia"/>
            </w:rPr>
            <w:t>单击或点击此处输入文字。</w:t>
          </w:r>
        </w:p>
      </w:docPartBody>
    </w:docPart>
    <w:docPart>
      <w:docPartPr>
        <w:name w:val="06591A60496146309C06F8B2E11B4B09"/>
        <w:style w:val=""/>
        <w:category>
          <w:name w:val="常规"/>
          <w:gallery w:val="placeholder"/>
        </w:category>
        <w:types>
          <w:type w:val="bbPlcHdr"/>
        </w:types>
        <w:behaviors>
          <w:behavior w:val="content"/>
        </w:behaviors>
        <w:description w:val=""/>
        <w:guid w:val="{9CA1BFD8-86DC-49E7-8A17-8C8D6D52C131}"/>
      </w:docPartPr>
      <w:docPartBody>
        <w:p w14:paraId="0EEFE93E">
          <w:pPr>
            <w:pStyle w:val="6"/>
            <w:rPr>
              <w:rFonts w:hint="eastAsia"/>
            </w:rPr>
          </w:pPr>
          <w:r>
            <w:rPr>
              <w:rStyle w:val="4"/>
              <w:rFonts w:hint="eastAsia"/>
            </w:rPr>
            <w:t>选择一项。</w:t>
          </w:r>
        </w:p>
      </w:docPartBody>
    </w:docPart>
    <w:docPart>
      <w:docPartPr>
        <w:name w:val="301A11BD743F4400A8B304744630EFE7"/>
        <w:style w:val=""/>
        <w:category>
          <w:name w:val="常规"/>
          <w:gallery w:val="placeholder"/>
        </w:category>
        <w:types>
          <w:type w:val="bbPlcHdr"/>
        </w:types>
        <w:behaviors>
          <w:behavior w:val="content"/>
        </w:behaviors>
        <w:description w:val=""/>
        <w:guid w:val="{E52AB75A-1AE2-48D1-8CE3-EC37C4964B3D}"/>
      </w:docPartPr>
      <w:docPartBody>
        <w:p w14:paraId="52E2A101">
          <w:pPr>
            <w:pStyle w:val="7"/>
            <w:rPr>
              <w:rFonts w:hint="eastAsia"/>
            </w:rPr>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1DC6"/>
    <w:rsid w:val="00000B3B"/>
    <w:rsid w:val="000527CE"/>
    <w:rsid w:val="0007358F"/>
    <w:rsid w:val="002C46FA"/>
    <w:rsid w:val="002E6AD9"/>
    <w:rsid w:val="003646F4"/>
    <w:rsid w:val="003F4451"/>
    <w:rsid w:val="003F62CE"/>
    <w:rsid w:val="00440D7C"/>
    <w:rsid w:val="0048673E"/>
    <w:rsid w:val="004A6324"/>
    <w:rsid w:val="00512DC1"/>
    <w:rsid w:val="005B18DA"/>
    <w:rsid w:val="005E4B5C"/>
    <w:rsid w:val="006141C6"/>
    <w:rsid w:val="00652769"/>
    <w:rsid w:val="00796662"/>
    <w:rsid w:val="008C0337"/>
    <w:rsid w:val="008E6778"/>
    <w:rsid w:val="00AA2819"/>
    <w:rsid w:val="00AE100B"/>
    <w:rsid w:val="00AE1DC6"/>
    <w:rsid w:val="00B60F13"/>
    <w:rsid w:val="00E76885"/>
    <w:rsid w:val="00F36B2E"/>
    <w:rsid w:val="00FD4A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uiPriority="99" w:name="Normal Table"/>
    <w:lsdException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character" w:styleId="4">
    <w:name w:val="Placeholder Text"/>
    <w:basedOn w:val="2"/>
    <w:semiHidden/>
    <w:uiPriority w:val="99"/>
    <w:rPr>
      <w:color w:val="808080"/>
    </w:rPr>
  </w:style>
  <w:style w:type="paragraph" w:customStyle="1" w:styleId="5">
    <w:name w:val="012FB321F5A4443D9AFC61825E0F0C38"/>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06591A60496146309C06F8B2E11B4B09"/>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301A11BD743F4400A8B304744630EFE7"/>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3E0F809-F1B0-47A2-BF3F-77BC97C7211C}">
  <ds:schemaRefs/>
</ds:datastoreItem>
</file>

<file path=docProps/app.xml><?xml version="1.0" encoding="utf-8"?>
<Properties xmlns="http://schemas.openxmlformats.org/officeDocument/2006/extended-properties" xmlns:vt="http://schemas.openxmlformats.org/officeDocument/2006/docPropsVTypes">
  <Template>团体标准</Template>
  <Company>PCMI</Company>
  <Pages>38</Pages>
  <Words>7375</Words>
  <Characters>7768</Characters>
  <Lines>148</Lines>
  <Paragraphs>41</Paragraphs>
  <TotalTime>185</TotalTime>
  <ScaleCrop>false</ScaleCrop>
  <LinksUpToDate>false</LinksUpToDate>
  <CharactersWithSpaces>7887</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2025-08-08T02:30:00Z</dcterms:created>
  <dc:creator>Jianyi Huang</dc:creator>
  <dc:description>&lt;config cover="true" show_menu="true" version="1.0.0" doctype="SDKXY"&gt;_x000d_
&lt;/config&gt;</dc:description>
  <cp:lastModifiedBy>殇璃</cp:lastModifiedBy>
  <cp:lastPrinted>2021-02-02T08:22:00Z</cp:lastPrinted>
  <dcterms:modified xsi:type="dcterms:W3CDTF">2026-05-19T06:10:53Z</dcterms:modified>
  <dc:title>团体标准</dc:title>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TemplateDocerSaveRecord">
    <vt:lpwstr>eyJoZGlkIjoiZTA3OGNhMDk1YTk4YTUwNGQ2YTRlNGMxNGM3YzZmNTUiLCJ1c2VySWQiOiIxMTM5ODQ3NjAzIn0=</vt:lpwstr>
  </property>
  <property fmtid="{D5CDD505-2E9C-101B-9397-08002B2CF9AE}" pid="16" name="KSOProductBuildVer">
    <vt:lpwstr>2052-12.1.0.25865</vt:lpwstr>
  </property>
  <property fmtid="{D5CDD505-2E9C-101B-9397-08002B2CF9AE}" pid="17" name="ICV">
    <vt:lpwstr>6A9BD402F1424B8C8ADAB5C86C2DF60A_12</vt:lpwstr>
  </property>
</Properties>
</file>