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27.10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27.100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F 2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F 20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2"/>
            </w:textInput>
          </w:ffData>
        </w:fldChar>
      </w:r>
      <w:bookmarkStart w:id="6" w:name="NSTD_CODE_F"/>
      <w:r>
        <w:instrText xml:space="preserve"> FORMTEXT </w:instrText>
      </w:r>
      <w:r>
        <w:fldChar w:fldCharType="separate"/>
      </w:r>
      <w:r>
        <w:t>0262</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新能源发电场站安全运维与设备防护规程"/>
            </w:textInput>
          </w:ffData>
        </w:fldChar>
      </w:r>
      <w:bookmarkStart w:id="9" w:name="CSTD_NAME"/>
      <w:r>
        <w:rPr>
          <w:rFonts w:hint="eastAsia"/>
        </w:rPr>
        <w:instrText xml:space="preserve"> FORMTEXT </w:instrText>
      </w:r>
      <w:r>
        <w:rPr>
          <w:rFonts w:hint="eastAsia"/>
        </w:rPr>
        <w:fldChar w:fldCharType="separate"/>
      </w:r>
      <w:r>
        <w:rPr>
          <w:rFonts w:hint="eastAsia"/>
        </w:rPr>
        <w:t>新能源发电场站安全运维与设备防护规程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safe operation and equipment protection of new energy power station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safe operation and equipment protection of new energy power stations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4E4AE6A8">
      <w:pPr>
        <w:pStyle w:val="91"/>
        <w:spacing w:after="360"/>
      </w:pPr>
      <w:bookmarkStart w:id="21" w:name="BookMark1"/>
      <w:r>
        <w:rPr>
          <w:rFonts w:hint="eastAsia"/>
          <w:spacing w:val="320"/>
        </w:rPr>
        <w:t>目</w:t>
      </w:r>
      <w:r>
        <w:rPr>
          <w:rFonts w:hint="eastAsia"/>
        </w:rPr>
        <w:t>次</w:t>
      </w:r>
    </w:p>
    <w:p w14:paraId="02CBED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"_Toc228605981"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_Toc228605981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459623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_Toc228605982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541A2AD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_Toc228605983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E9FD1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_Toc228605984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D9FB27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_Toc228605985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28EB89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_Toc228605986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84CD45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"_Toc228605987" </w:instrText>
      </w:r>
      <w:r>
        <w:fldChar w:fldCharType="separate"/>
      </w:r>
      <w:r>
        <w:rPr>
          <w:rStyle w:val="32"/>
        </w:rPr>
        <w:t>5  运行管理与巡视监测要求</w:t>
      </w:r>
      <w:r>
        <w:rPr>
          <w:rFonts w:hint="eastAsia"/>
        </w:rPr>
        <w:tab/>
      </w:r>
      <w:r>
        <w:rPr>
          <w:rFonts w:hint="eastAsia"/>
        </w:rPr>
        <w:fldChar w:fldCharType="begin"/>
      </w:r>
      <w:r>
        <w:rPr>
          <w:rFonts w:hint="eastAsia"/>
        </w:rPr>
        <w:instrText xml:space="preserve"> </w:instrText>
      </w:r>
      <w:r>
        <w:instrText xml:space="preserve">PAGEREF _Toc228605987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767A289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"_Toc228605988" </w:instrText>
      </w:r>
      <w:r>
        <w:fldChar w:fldCharType="separate"/>
      </w:r>
      <w:r>
        <w:rPr>
          <w:rStyle w:val="32"/>
        </w:rPr>
        <w:t>6  检修维护与缺陷管理要求</w:t>
      </w:r>
      <w:r>
        <w:rPr>
          <w:rFonts w:hint="eastAsia"/>
        </w:rPr>
        <w:tab/>
      </w:r>
      <w:r>
        <w:rPr>
          <w:rFonts w:hint="eastAsia"/>
        </w:rPr>
        <w:fldChar w:fldCharType="begin"/>
      </w:r>
      <w:r>
        <w:rPr>
          <w:rFonts w:hint="eastAsia"/>
        </w:rPr>
        <w:instrText xml:space="preserve"> </w:instrText>
      </w:r>
      <w:r>
        <w:instrText xml:space="preserve">PAGEREF _Toc228605988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774927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"_Toc228605989" </w:instrText>
      </w:r>
      <w:r>
        <w:fldChar w:fldCharType="separate"/>
      </w:r>
      <w:r>
        <w:rPr>
          <w:rStyle w:val="32"/>
        </w:rPr>
        <w:t>7  设备防护与特殊环境防护要求</w:t>
      </w:r>
      <w:r>
        <w:rPr>
          <w:rFonts w:hint="eastAsia"/>
        </w:rPr>
        <w:tab/>
      </w:r>
      <w:r>
        <w:rPr>
          <w:rFonts w:hint="eastAsia"/>
        </w:rPr>
        <w:fldChar w:fldCharType="begin"/>
      </w:r>
      <w:r>
        <w:rPr>
          <w:rFonts w:hint="eastAsia"/>
        </w:rPr>
        <w:instrText xml:space="preserve"> </w:instrText>
      </w:r>
      <w:r>
        <w:instrText xml:space="preserve">PAGEREF _Toc228605989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E2460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"_Toc228605990" </w:instrText>
      </w:r>
      <w:r>
        <w:fldChar w:fldCharType="separate"/>
      </w:r>
      <w:r>
        <w:rPr>
          <w:rStyle w:val="32"/>
        </w:rPr>
        <w:t>8  外委作业与应急处置要求</w:t>
      </w:r>
      <w:r>
        <w:rPr>
          <w:rFonts w:hint="eastAsia"/>
        </w:rPr>
        <w:tab/>
      </w:r>
      <w:r>
        <w:rPr>
          <w:rFonts w:hint="eastAsia"/>
        </w:rPr>
        <w:fldChar w:fldCharType="begin"/>
      </w:r>
      <w:r>
        <w:rPr>
          <w:rFonts w:hint="eastAsia"/>
        </w:rPr>
        <w:instrText xml:space="preserve"> </w:instrText>
      </w:r>
      <w:r>
        <w:instrText xml:space="preserve">PAGEREF _Toc228605990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348F988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"_Toc228605991" </w:instrText>
      </w:r>
      <w:r>
        <w:fldChar w:fldCharType="separate"/>
      </w:r>
      <w:r>
        <w:rPr>
          <w:rStyle w:val="32"/>
        </w:rPr>
        <w:t>9  资料管理、质量评价与持续改进</w:t>
      </w:r>
      <w:r>
        <w:rPr>
          <w:rFonts w:hint="eastAsia"/>
        </w:rPr>
        <w:tab/>
      </w:r>
      <w:r>
        <w:rPr>
          <w:rFonts w:hint="eastAsia"/>
        </w:rPr>
        <w:fldChar w:fldCharType="begin"/>
      </w:r>
      <w:r>
        <w:rPr>
          <w:rFonts w:hint="eastAsia"/>
        </w:rPr>
        <w:instrText xml:space="preserve"> </w:instrText>
      </w:r>
      <w:r>
        <w:instrText xml:space="preserve">PAGEREF _Toc228605991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6BEDB7CA">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598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华东交通大学。</w:t>
      </w:r>
    </w:p>
    <w:p w14:paraId="13DB2B88">
      <w:pPr>
        <w:pStyle w:val="56"/>
        <w:spacing w:line="360" w:lineRule="auto"/>
        <w:ind w:firstLine="420"/>
      </w:pPr>
      <w:r>
        <w:rPr>
          <w:rFonts w:hint="eastAsia"/>
        </w:rPr>
        <w:t>本文件主要起草人：</w:t>
      </w:r>
      <w:r>
        <w:t>力尚龙</w:t>
      </w:r>
      <w:bookmarkStart w:id="58" w:name="_GoBack"/>
      <w:bookmarkEnd w:id="58"/>
      <w:r>
        <w:t>。</w:t>
      </w:r>
    </w:p>
    <w:p w14:paraId="03CECDEF">
      <w:pPr>
        <w:pStyle w:val="56"/>
        <w:spacing w:line="360" w:lineRule="auto"/>
        <w:ind w:firstLine="420"/>
      </w:pP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05982"/>
      <w:bookmarkStart w:id="25" w:name="BookMark3"/>
      <w:r>
        <w:rPr>
          <w:spacing w:val="320"/>
        </w:rPr>
        <w:t>引</w:t>
      </w:r>
      <w:r>
        <w:t>言</w:t>
      </w:r>
      <w:bookmarkEnd w:id="24"/>
    </w:p>
    <w:p w14:paraId="66C82F02">
      <w:pPr>
        <w:pStyle w:val="56"/>
        <w:spacing w:line="360" w:lineRule="auto"/>
        <w:ind w:firstLine="420"/>
      </w:pPr>
      <w:r>
        <w:rPr>
          <w:rFonts w:hint="eastAsia"/>
        </w:rPr>
        <w:t>新能源发电场站具有设备类型多、自动化程度高、运行环境复杂、分布范围广、无人值守和少人值守比例高、涉网运行要求严等特点。风电场、光伏电站以及配套升压站、集电线路、储能单元、监控系统和通信系统之间相互关联、相互影响，任何一个环节管理不当，都可能引发设备损坏、运行中断、涉网异常、火灾事故、人身伤害或者大范围发电损失。近年能源主管部门持续强化新能源和新型并网主体涉网安全管理，也持续推进新能源场站相关安全稳定控制、建设与运维等标准工作，表明新能源场站安全运维已从一般性生产管理要求逐步转向更加系统化、规范化和精细化的管理要求。</w:t>
      </w:r>
    </w:p>
    <w:p w14:paraId="7743FE18">
      <w:pPr>
        <w:pStyle w:val="56"/>
        <w:spacing w:line="360" w:lineRule="auto"/>
        <w:ind w:firstLine="420"/>
      </w:pPr>
      <w:r>
        <w:rPr>
          <w:rFonts w:hint="eastAsia"/>
        </w:rPr>
        <w:t>当前，新能源发电场站在实际运行管理中，仍存在运维制度不统一、设备巡视标准不一致、缺陷管理闭环不足、防护措施落实不均衡、极端天气应对准备不足、外委作业管理薄弱、在线监测与现场核查脱节、运行数据利用不充分以及人员技能与场站智能化水平不匹配等问题。部分场站存在“重建设、轻运维”“重发电指标、轻设备防护”“重故障抢修、轻预防性维护”的现象，导致设备可靠性下降、故障重复发生、防护能力不足和安全风险累积。尤其是在高风速、高海拔、强盐雾、强雷暴、沙尘、积冰、高温和潮湿等特殊环境下，新能源发电场站的设备防护、运行监测和应急处置要求更加严格，如缺乏统一、明确、可执行的规程，容易造成管理失序和风险失控。</w:t>
      </w:r>
    </w:p>
    <w:p w14:paraId="406D8CF2">
      <w:pPr>
        <w:pStyle w:val="56"/>
        <w:spacing w:line="360" w:lineRule="auto"/>
        <w:ind w:firstLine="420"/>
      </w:pPr>
      <w:r>
        <w:rPr>
          <w:rFonts w:hint="eastAsia"/>
        </w:rPr>
        <w:t>新能源发电场站安全运维与设备防护工作，不仅包括运行值守、巡视检查、状态监测、预防性试验、维护保养、故障处置、缺陷整改和备品备件管理，还涉及防雷接地、防火防爆、防腐防尘、防风防汛、防覆冰、防误操作、防外力破坏、网络与监控安全、涉网安全管理和应急响应等多个环节。上述工作具有连续性、专业性、协同性和强现场性特征，必须围绕“设备安全、人员安全、系统安全、涉网安全和环境安全”统一组织实施。安全运维不应局限于单一设备维修活动，设备防护也不应停留在局部物理防护层面，而应与运行管理、状态评估、故障预警和风险控制相结合，形成全过程、全要素、全周期管理机制。</w:t>
      </w:r>
    </w:p>
    <w:p w14:paraId="31240D7C">
      <w:pPr>
        <w:pStyle w:val="56"/>
        <w:spacing w:line="360" w:lineRule="auto"/>
        <w:ind w:firstLine="420"/>
      </w:pPr>
      <w:r>
        <w:rPr>
          <w:rFonts w:hint="eastAsia"/>
        </w:rPr>
        <w:t>本文件立足新能源发电场站运行特点和设备防护实际需求，围绕运行管理、设备巡视、状态监测、检修维护、缺陷管理、防护措施、特殊环境应对、外委作业控制、应急处置和资料管理等关键内容，提出规范要求。其目的在于统一新能源发电场站安全运维与设备防护的基本原则、岗位要求、操作要求和控制要求，减少因管理不规范、操作不统一、防护不到位和响应不及时引发的事故和故障，提高场站安全运行水平、设备可靠性和风险防控能力。</w:t>
      </w:r>
    </w:p>
    <w:p w14:paraId="47A91A04">
      <w:pPr>
        <w:pStyle w:val="56"/>
        <w:spacing w:line="360" w:lineRule="auto"/>
        <w:ind w:firstLine="420"/>
      </w:pPr>
      <w:r>
        <w:rPr>
          <w:rFonts w:hint="eastAsia"/>
        </w:rPr>
        <w:t>本文件的制定与实施，有助于推动新能源发电场站运维管理由经验型、分散型管理向标准化、系统化和智能化管理转变，有助于提升新能源发电场站设备安全防护水平、故障预防能力和应急处置能力，为保障新能源发电场站安全稳定运行、提升新能源消纳能力和支撑新型电力系统建设提供基础支撑。</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新能源发电场站安全运维与设备防护规程</w:t>
          </w:r>
        </w:p>
      </w:sdtContent>
    </w:sdt>
    <w:bookmarkEnd w:id="27"/>
    <w:p w14:paraId="090CC1B8">
      <w:pPr>
        <w:pStyle w:val="104"/>
        <w:spacing w:before="240" w:after="240" w:line="360" w:lineRule="auto"/>
      </w:pPr>
      <w:bookmarkStart w:id="28" w:name="_Toc97192964"/>
      <w:bookmarkStart w:id="29" w:name="_Toc17233333"/>
      <w:bookmarkStart w:id="30" w:name="_Toc228605983"/>
      <w:bookmarkStart w:id="31" w:name="_Toc26648465"/>
      <w:bookmarkStart w:id="32" w:name="_Toc24884211"/>
      <w:bookmarkStart w:id="33" w:name="_Toc26718930"/>
      <w:bookmarkStart w:id="34" w:name="_Toc24884218"/>
      <w:bookmarkStart w:id="35" w:name="_Toc26986530"/>
      <w:bookmarkStart w:id="36" w:name="_Toc17233325"/>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76E43ADD">
      <w:pPr>
        <w:pStyle w:val="56"/>
        <w:spacing w:line="360" w:lineRule="auto"/>
        <w:ind w:firstLine="420"/>
      </w:pPr>
      <w:bookmarkStart w:id="38" w:name="_Toc17233334"/>
      <w:bookmarkStart w:id="39" w:name="_Toc17233326"/>
      <w:bookmarkStart w:id="40" w:name="_Toc24884212"/>
      <w:bookmarkStart w:id="41" w:name="_Toc24884219"/>
      <w:bookmarkStart w:id="42" w:name="_Toc26648466"/>
      <w:r>
        <w:rPr>
          <w:rFonts w:hint="eastAsia"/>
        </w:rPr>
        <w:t>本文件规定了新能源发电场站安全运维与设备防护的基本规定，运行管理与巡视监测要求，检修维护与缺陷管理要求，设备防护与特殊环境防护要求，外委作业与应急处置要求以及资料管理、质量评价与持续改进等内容。</w:t>
      </w:r>
    </w:p>
    <w:p w14:paraId="0ECAA44F">
      <w:pPr>
        <w:pStyle w:val="56"/>
        <w:spacing w:line="360" w:lineRule="auto"/>
        <w:ind w:firstLine="420"/>
      </w:pPr>
      <w:r>
        <w:rPr>
          <w:rFonts w:hint="eastAsia"/>
        </w:rPr>
        <w:t>本文件适用于风电场、光伏电站及其配套升压站、集电线路、场内输变电设施、监控系统、通信系统、辅助系统和相关附属设施的安全运维与设备防护活动。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60598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70478D">
      <w:pPr>
        <w:pStyle w:val="56"/>
        <w:spacing w:line="360" w:lineRule="auto"/>
        <w:ind w:firstLine="420"/>
      </w:pPr>
      <w:r>
        <w:rPr>
          <w:rFonts w:hint="eastAsia"/>
        </w:rPr>
        <w:t>GB/T 1.1—2020 标准化工作导则  第1部分：标准化文件的结构和起草规则</w:t>
      </w:r>
    </w:p>
    <w:p w14:paraId="539A9441">
      <w:pPr>
        <w:pStyle w:val="56"/>
        <w:spacing w:line="360" w:lineRule="auto"/>
        <w:ind w:firstLine="420"/>
      </w:pPr>
      <w:r>
        <w:rPr>
          <w:rFonts w:hint="eastAsia"/>
        </w:rPr>
        <w:t>GB/T 19001—2016 质量管理体系  要求</w:t>
      </w:r>
    </w:p>
    <w:p w14:paraId="1514558C">
      <w:pPr>
        <w:pStyle w:val="56"/>
        <w:spacing w:line="360" w:lineRule="auto"/>
        <w:ind w:firstLine="420"/>
      </w:pPr>
      <w:r>
        <w:t>GB/T 44659.1</w:t>
      </w:r>
      <w:r>
        <w:rPr>
          <w:rFonts w:hint="eastAsia"/>
        </w:rPr>
        <w:t>—</w:t>
      </w:r>
      <w:r>
        <w:t>2024</w:t>
      </w:r>
      <w:r>
        <w:rPr>
          <w:rFonts w:hint="eastAsia"/>
        </w:rPr>
        <w:t xml:space="preserve"> 新能源场站及接入系统短路电流计算  第1部分：风力发电</w:t>
      </w:r>
    </w:p>
    <w:p w14:paraId="513386AC">
      <w:pPr>
        <w:pStyle w:val="56"/>
        <w:spacing w:line="360" w:lineRule="auto"/>
        <w:ind w:firstLine="420"/>
      </w:pPr>
      <w:r>
        <w:t>GB/T 44659.2</w:t>
      </w:r>
      <w:r>
        <w:rPr>
          <w:rFonts w:hint="eastAsia"/>
        </w:rPr>
        <w:t>—</w:t>
      </w:r>
      <w:r>
        <w:t>2024</w:t>
      </w:r>
      <w:r>
        <w:rPr>
          <w:rFonts w:hint="eastAsia"/>
        </w:rPr>
        <w:t xml:space="preserve"> 新能源场站及接入系统短路电流计算  第2部分：光伏发电</w:t>
      </w:r>
    </w:p>
    <w:p w14:paraId="0F5894B8">
      <w:pPr>
        <w:pStyle w:val="56"/>
        <w:spacing w:line="360" w:lineRule="auto"/>
        <w:ind w:firstLine="420"/>
      </w:pPr>
      <w:r>
        <w:t>GB/T 44659.3</w:t>
      </w:r>
      <w:r>
        <w:rPr>
          <w:rFonts w:hint="eastAsia"/>
        </w:rPr>
        <w:t>—</w:t>
      </w:r>
      <w:r>
        <w:t>2024</w:t>
      </w:r>
      <w:r>
        <w:rPr>
          <w:rFonts w:hint="eastAsia"/>
        </w:rPr>
        <w:t xml:space="preserve"> 新能源场站及接入系统短路电流计算  第3部分：储能电站</w:t>
      </w:r>
    </w:p>
    <w:p w14:paraId="53469BC1">
      <w:pPr>
        <w:pStyle w:val="56"/>
        <w:spacing w:line="360" w:lineRule="auto"/>
        <w:ind w:firstLine="420"/>
      </w:pPr>
      <w:r>
        <w:t>GB/T 44908</w:t>
      </w:r>
      <w:r>
        <w:rPr>
          <w:rFonts w:hint="eastAsia"/>
        </w:rPr>
        <w:t>—</w:t>
      </w:r>
      <w:r>
        <w:t>2024</w:t>
      </w:r>
      <w:r>
        <w:rPr>
          <w:rFonts w:hint="eastAsia"/>
        </w:rPr>
        <w:t xml:space="preserve"> 风力发电场技改升级安全要求及评价方法</w:t>
      </w:r>
    </w:p>
    <w:p w14:paraId="327CA92D">
      <w:pPr>
        <w:pStyle w:val="56"/>
        <w:spacing w:line="360" w:lineRule="auto"/>
        <w:ind w:firstLine="420"/>
      </w:pPr>
      <w:r>
        <w:t>DL/T 796</w:t>
      </w:r>
      <w:r>
        <w:rPr>
          <w:rFonts w:hint="eastAsia"/>
        </w:rPr>
        <w:t>—</w:t>
      </w:r>
      <w:r>
        <w:t>2012</w:t>
      </w:r>
      <w:r>
        <w:rPr>
          <w:rFonts w:hint="eastAsia"/>
        </w:rPr>
        <w:t xml:space="preserve"> 风力发电场安全规程</w:t>
      </w:r>
    </w:p>
    <w:p w14:paraId="51F02A4E">
      <w:pPr>
        <w:pStyle w:val="104"/>
        <w:spacing w:before="240" w:after="240" w:line="360" w:lineRule="auto"/>
      </w:pPr>
      <w:bookmarkStart w:id="48" w:name="_Toc97192966"/>
      <w:bookmarkStart w:id="49" w:name="_Toc228605985"/>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7675B1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新能源发电场站 new energy power station</w:t>
      </w:r>
    </w:p>
    <w:p w14:paraId="7C17660B">
      <w:pPr>
        <w:pStyle w:val="56"/>
        <w:spacing w:line="360" w:lineRule="auto"/>
        <w:ind w:firstLine="420"/>
      </w:pPr>
      <w:r>
        <w:rPr>
          <w:rFonts w:hint="eastAsia"/>
        </w:rPr>
        <w:t>以风力发电、太阳能发电等新能源发电设备为主体，配套建设升压、集电、监控、通信、辅助供电和相关附属设施，用于实现电能生产、转换、汇集和送出的运行场所及其设施集合。</w:t>
      </w:r>
    </w:p>
    <w:p w14:paraId="13C210B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设备防护 equipment protection</w:t>
      </w:r>
    </w:p>
    <w:p w14:paraId="462C254A">
      <w:pPr>
        <w:pStyle w:val="56"/>
        <w:spacing w:line="360" w:lineRule="auto"/>
        <w:ind w:firstLine="420"/>
      </w:pPr>
      <w:r>
        <w:rPr>
          <w:rFonts w:hint="eastAsia"/>
        </w:rPr>
        <w:t>为防止设备受到雷击、火灾、腐蚀、风沙、覆冰、潮湿、高温、盐雾、外力破坏和误操作等影响而采取的结构性、技术性和管理性保护措施。</w:t>
      </w:r>
    </w:p>
    <w:p w14:paraId="5239C94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关键设备 key equipment</w:t>
      </w:r>
    </w:p>
    <w:p w14:paraId="4CE79732">
      <w:pPr>
        <w:pStyle w:val="56"/>
        <w:spacing w:line="360" w:lineRule="auto"/>
        <w:ind w:firstLine="420"/>
      </w:pPr>
      <w:r>
        <w:rPr>
          <w:rFonts w:hint="eastAsia"/>
        </w:rPr>
        <w:t>一旦发生故障、停运或者保护失效，将直接影响场站安全运行、发电能力、并网稳定性或者人身安全的重要设备和装置。</w:t>
      </w:r>
    </w:p>
    <w:p w14:paraId="5C1A1E2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状态监测 condition monitoring</w:t>
      </w:r>
    </w:p>
    <w:p w14:paraId="7C92165E">
      <w:pPr>
        <w:pStyle w:val="56"/>
        <w:spacing w:line="360" w:lineRule="auto"/>
        <w:ind w:firstLine="420"/>
      </w:pPr>
      <w:r>
        <w:rPr>
          <w:rFonts w:hint="eastAsia"/>
        </w:rPr>
        <w:t>通过在线监测、离线检测、巡视观察、数据分析或者其他技术手段，对设备运行状态、性能变化和异常趋势进行持续或者定期掌握的活动。</w:t>
      </w:r>
    </w:p>
    <w:p w14:paraId="4BFE875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缺陷 defect</w:t>
      </w:r>
    </w:p>
    <w:p w14:paraId="0AF5E027">
      <w:pPr>
        <w:pStyle w:val="56"/>
        <w:spacing w:line="360" w:lineRule="auto"/>
        <w:ind w:firstLine="420"/>
      </w:pPr>
      <w:r>
        <w:rPr>
          <w:rFonts w:hint="eastAsia"/>
        </w:rPr>
        <w:t>设备设施在结构、性能、功能、外观或者运行状态方面存在的不正常情形或者不符合规定要求的状态。</w:t>
      </w:r>
    </w:p>
    <w:p w14:paraId="04CB4E9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隐患 hazard</w:t>
      </w:r>
    </w:p>
    <w:p w14:paraId="762425C1">
      <w:pPr>
        <w:pStyle w:val="56"/>
        <w:spacing w:line="360" w:lineRule="auto"/>
        <w:ind w:firstLine="420"/>
      </w:pPr>
      <w:r>
        <w:rPr>
          <w:rFonts w:hint="eastAsia"/>
        </w:rPr>
        <w:t>可能导致设备损坏、运行异常、人身伤害、火灾事故或者并网安全事件的潜在不安全因素。</w:t>
      </w:r>
    </w:p>
    <w:p w14:paraId="0F3AE00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预防性维护 preventive maintenance</w:t>
      </w:r>
    </w:p>
    <w:p w14:paraId="3B7307C3">
      <w:pPr>
        <w:pStyle w:val="56"/>
        <w:spacing w:line="360" w:lineRule="auto"/>
        <w:ind w:firstLine="420"/>
      </w:pPr>
      <w:r>
        <w:rPr>
          <w:rFonts w:hint="eastAsia"/>
        </w:rPr>
        <w:t>根据设备运行规律、运行时间、状态信息和风险分析结果，在故障发生前有计划实施的维护活动。</w:t>
      </w:r>
    </w:p>
    <w:p w14:paraId="09032811">
      <w:pPr>
        <w:pStyle w:val="104"/>
        <w:spacing w:before="240" w:after="240" w:line="360" w:lineRule="auto"/>
      </w:pPr>
      <w:bookmarkStart w:id="51" w:name="_Toc228605986"/>
      <w:r>
        <w:rPr>
          <w:rFonts w:hint="eastAsia"/>
        </w:rPr>
        <w:t>基本规定</w:t>
      </w:r>
      <w:bookmarkEnd w:id="51"/>
    </w:p>
    <w:p w14:paraId="09A298E1">
      <w:pPr>
        <w:pStyle w:val="105"/>
        <w:spacing w:before="120" w:after="120" w:line="360" w:lineRule="auto"/>
      </w:pPr>
      <w:r>
        <w:rPr>
          <w:rFonts w:hint="eastAsia"/>
        </w:rPr>
        <w:t>一般要求</w:t>
      </w:r>
    </w:p>
    <w:p w14:paraId="62649EC3">
      <w:pPr>
        <w:pStyle w:val="165"/>
        <w:spacing w:line="360" w:lineRule="auto"/>
      </w:pPr>
      <w:r>
        <w:rPr>
          <w:rFonts w:hint="eastAsia"/>
        </w:rPr>
        <w:t>新能源发电场站安全运维与设备防护应坚持安全第一、预防为主、风险分级、状态受控、责任明确和闭环管理的原则。</w:t>
      </w:r>
    </w:p>
    <w:p w14:paraId="2642800C">
      <w:pPr>
        <w:pStyle w:val="165"/>
        <w:spacing w:line="360" w:lineRule="auto"/>
      </w:pPr>
      <w:r>
        <w:rPr>
          <w:rFonts w:hint="eastAsia"/>
        </w:rPr>
        <w:t>场站安全运维与设备防护应以保障人身安全、设备安全、系统安全、并网安全和环境安全为目标，不得以抢发电量、压缩维护成本或者缩短检修时间为由降低安全管理和设备防护要求。</w:t>
      </w:r>
    </w:p>
    <w:p w14:paraId="39326437">
      <w:pPr>
        <w:pStyle w:val="165"/>
        <w:spacing w:line="360" w:lineRule="auto"/>
      </w:pPr>
      <w:r>
        <w:rPr>
          <w:rFonts w:hint="eastAsia"/>
        </w:rPr>
        <w:t>场站运维活动应覆盖风电机组、光伏组件、汇流设备、逆变设备、箱式变压器、升压站设备、集电线路、储能设备、监控系统、通信系统、消防设施和其他相关附属设施。</w:t>
      </w:r>
    </w:p>
    <w:p w14:paraId="4C92BE3A">
      <w:pPr>
        <w:pStyle w:val="165"/>
        <w:spacing w:line="360" w:lineRule="auto"/>
      </w:pPr>
      <w:r>
        <w:rPr>
          <w:rFonts w:hint="eastAsia"/>
        </w:rPr>
        <w:t>场站设备防护应与运行管理、状态监测、缺陷处理、检修维护、应急处置和外委作业管理统筹实施，不得相互割裂。</w:t>
      </w:r>
    </w:p>
    <w:p w14:paraId="5C666788">
      <w:pPr>
        <w:pStyle w:val="165"/>
        <w:spacing w:line="360" w:lineRule="auto"/>
      </w:pPr>
      <w:r>
        <w:rPr>
          <w:rFonts w:hint="eastAsia"/>
        </w:rPr>
        <w:t>对关键设备、关键区域、关键系统和高风险作业，应实施重点管理、重点监测和重点防护。</w:t>
      </w:r>
    </w:p>
    <w:p w14:paraId="6470AFA7">
      <w:pPr>
        <w:pStyle w:val="165"/>
        <w:spacing w:line="360" w:lineRule="auto"/>
      </w:pPr>
      <w:r>
        <w:rPr>
          <w:rFonts w:hint="eastAsia"/>
        </w:rPr>
        <w:t>场站应根据设备类型、运行环境、气候条件、负荷特征和故障规律，制定差异化运维与防护措施。</w:t>
      </w:r>
    </w:p>
    <w:p w14:paraId="372AE440">
      <w:pPr>
        <w:pStyle w:val="165"/>
        <w:spacing w:line="360" w:lineRule="auto"/>
      </w:pPr>
      <w:r>
        <w:rPr>
          <w:rFonts w:hint="eastAsia"/>
        </w:rPr>
        <w:t>场站安全运维与设备防护不得脱离现场条件、设备状态和系统联动关系单独实施。凡涉及停送电、系统切换、保护投退、联锁控制和特殊作业的，应进行风险确认和过程控制。</w:t>
      </w:r>
    </w:p>
    <w:p w14:paraId="5DEFF5AC">
      <w:pPr>
        <w:pStyle w:val="105"/>
        <w:spacing w:before="120" w:after="120" w:line="360" w:lineRule="auto"/>
      </w:pPr>
      <w:r>
        <w:rPr>
          <w:rFonts w:hint="eastAsia"/>
        </w:rPr>
        <w:t>管理职责</w:t>
      </w:r>
    </w:p>
    <w:p w14:paraId="6B2EFC09">
      <w:pPr>
        <w:pStyle w:val="165"/>
        <w:spacing w:line="360" w:lineRule="auto"/>
      </w:pPr>
      <w:r>
        <w:rPr>
          <w:rFonts w:hint="eastAsia"/>
        </w:rPr>
        <w:t>场站运行单位应建立安全运维与设备防护管理体系，并明确管理机构、责任岗位和协同关系。</w:t>
      </w:r>
    </w:p>
    <w:p w14:paraId="674280EA">
      <w:pPr>
        <w:pStyle w:val="165"/>
        <w:spacing w:line="360" w:lineRule="auto"/>
      </w:pPr>
      <w:r>
        <w:rPr>
          <w:rFonts w:hint="eastAsia"/>
        </w:rPr>
        <w:t>场站负责人应对场站安全运维与设备防护工作全面负责。</w:t>
      </w:r>
    </w:p>
    <w:p w14:paraId="45C56475">
      <w:pPr>
        <w:pStyle w:val="165"/>
        <w:spacing w:line="360" w:lineRule="auto"/>
      </w:pPr>
      <w:r>
        <w:rPr>
          <w:rFonts w:hint="eastAsia"/>
        </w:rPr>
        <w:t>运行管理部门应负责运行组织、操作管理、巡视检查、运行记录和异常信息报告。</w:t>
      </w:r>
    </w:p>
    <w:p w14:paraId="18734924">
      <w:pPr>
        <w:pStyle w:val="165"/>
        <w:spacing w:line="360" w:lineRule="auto"/>
      </w:pPr>
      <w:r>
        <w:rPr>
          <w:rFonts w:hint="eastAsia"/>
        </w:rPr>
        <w:t>检修维护部门应负责设备维护、预防性试验、缺陷整改、故障处理和技术改进。</w:t>
      </w:r>
    </w:p>
    <w:p w14:paraId="68630E99">
      <w:pPr>
        <w:pStyle w:val="165"/>
        <w:spacing w:line="360" w:lineRule="auto"/>
      </w:pPr>
      <w:r>
        <w:rPr>
          <w:rFonts w:hint="eastAsia"/>
        </w:rPr>
        <w:t>安全管理部门应负责安全监督、隐患排查、特殊作业管控、应急管理和教育培训。</w:t>
      </w:r>
    </w:p>
    <w:p w14:paraId="538DDE31">
      <w:pPr>
        <w:pStyle w:val="165"/>
        <w:spacing w:line="360" w:lineRule="auto"/>
      </w:pPr>
      <w:r>
        <w:rPr>
          <w:rFonts w:hint="eastAsia"/>
        </w:rPr>
        <w:t>信息与监控管理岗位应负责监控系统、通信系统、网络系统和在线监测系统的运行维护与安全防护。</w:t>
      </w:r>
    </w:p>
    <w:p w14:paraId="6DF2D33E">
      <w:pPr>
        <w:pStyle w:val="165"/>
        <w:spacing w:line="360" w:lineRule="auto"/>
      </w:pPr>
      <w:r>
        <w:rPr>
          <w:rFonts w:hint="eastAsia"/>
        </w:rPr>
        <w:t>外委单位参与场站运维、检修、试验、施工和专项服务时，应服从场站统一管理，不得脱离场站安全管理体系单独作业。</w:t>
      </w:r>
    </w:p>
    <w:p w14:paraId="45679871">
      <w:pPr>
        <w:pStyle w:val="165"/>
        <w:spacing w:line="360" w:lineRule="auto"/>
      </w:pPr>
      <w:r>
        <w:rPr>
          <w:rFonts w:hint="eastAsia"/>
        </w:rPr>
        <w:t>场站不得存在职责边界不清、关键工作无人负责、交叉职责长期未协调或者重要岗位长期空缺的情形。</w:t>
      </w:r>
    </w:p>
    <w:p w14:paraId="417E652A">
      <w:pPr>
        <w:pStyle w:val="105"/>
        <w:spacing w:before="120" w:after="120" w:line="360" w:lineRule="auto"/>
      </w:pPr>
      <w:r>
        <w:rPr>
          <w:rFonts w:hint="eastAsia"/>
        </w:rPr>
        <w:t>人员要求</w:t>
      </w:r>
    </w:p>
    <w:p w14:paraId="61626277">
      <w:pPr>
        <w:pStyle w:val="165"/>
        <w:spacing w:line="360" w:lineRule="auto"/>
      </w:pPr>
      <w:r>
        <w:rPr>
          <w:rFonts w:hint="eastAsia"/>
        </w:rPr>
        <w:t>从事新能源发电场站安全运维与设备防护工作的人员，应具备与岗位相适应的专业知识、技能水平和安全意识。</w:t>
      </w:r>
    </w:p>
    <w:p w14:paraId="3E48B55A">
      <w:pPr>
        <w:pStyle w:val="165"/>
        <w:spacing w:line="360" w:lineRule="auto"/>
      </w:pPr>
      <w:r>
        <w:rPr>
          <w:rFonts w:hint="eastAsia"/>
        </w:rPr>
        <w:t>涉及电气操作、高处作业、特种设备作业、动火作业、有限空间作业和其他依法依规要求持证上岗的岗位，应由具备相应资格的人员承担。</w:t>
      </w:r>
    </w:p>
    <w:p w14:paraId="7BAC5A42">
      <w:pPr>
        <w:pStyle w:val="165"/>
        <w:spacing w:line="360" w:lineRule="auto"/>
      </w:pPr>
      <w:r>
        <w:rPr>
          <w:rFonts w:hint="eastAsia"/>
        </w:rPr>
        <w:t>新上岗人员、转岗人员和外委作业人员，应经安全教育、岗位培训和现场交底合格后方可独立作业或者参与作业。</w:t>
      </w:r>
    </w:p>
    <w:p w14:paraId="55FBA027">
      <w:pPr>
        <w:pStyle w:val="165"/>
        <w:spacing w:line="360" w:lineRule="auto"/>
      </w:pPr>
      <w:r>
        <w:rPr>
          <w:rFonts w:hint="eastAsia"/>
        </w:rPr>
        <w:t>场站应定期组织运维人员开展设备原理、操作规程、故障处置、应急响应和安全防护等培训。</w:t>
      </w:r>
    </w:p>
    <w:p w14:paraId="5D98980C">
      <w:pPr>
        <w:pStyle w:val="165"/>
        <w:spacing w:line="360" w:lineRule="auto"/>
      </w:pPr>
      <w:r>
        <w:rPr>
          <w:rFonts w:hint="eastAsia"/>
        </w:rPr>
        <w:t>运维人员应熟悉所辖设备的结构组成、运行原理、保护逻辑、风险点和防护要求，不得在不了解设备状态和系统边界的情况下实施操作。</w:t>
      </w:r>
    </w:p>
    <w:p w14:paraId="28FDFD1B">
      <w:pPr>
        <w:pStyle w:val="165"/>
        <w:spacing w:line="360" w:lineRule="auto"/>
      </w:pPr>
      <w:r>
        <w:rPr>
          <w:rFonts w:hint="eastAsia"/>
        </w:rPr>
        <w:t>未按规定配备劳动防护用品或者防护用品不符合要求的，不得进入相应作业区域或者开展相应作业。</w:t>
      </w:r>
    </w:p>
    <w:p w14:paraId="66FD392D">
      <w:pPr>
        <w:pStyle w:val="105"/>
        <w:spacing w:before="120" w:after="120" w:line="360" w:lineRule="auto"/>
      </w:pPr>
      <w:r>
        <w:rPr>
          <w:rFonts w:hint="eastAsia"/>
        </w:rPr>
        <w:t>制度与文件要求</w:t>
      </w:r>
    </w:p>
    <w:p w14:paraId="323E49E0">
      <w:pPr>
        <w:pStyle w:val="165"/>
        <w:spacing w:line="360" w:lineRule="auto"/>
      </w:pPr>
      <w:r>
        <w:rPr>
          <w:rFonts w:hint="eastAsia"/>
        </w:rPr>
        <w:t>场站应建立下列制度和文件：</w:t>
      </w:r>
    </w:p>
    <w:p w14:paraId="46731C8E">
      <w:pPr>
        <w:pStyle w:val="56"/>
        <w:spacing w:line="360" w:lineRule="auto"/>
        <w:ind w:firstLine="420"/>
      </w:pPr>
      <w:r>
        <w:rPr>
          <w:rFonts w:hint="eastAsia"/>
        </w:rPr>
        <w:t>a）运行管理制度；</w:t>
      </w:r>
    </w:p>
    <w:p w14:paraId="491B51EC">
      <w:pPr>
        <w:pStyle w:val="56"/>
        <w:spacing w:line="360" w:lineRule="auto"/>
        <w:ind w:firstLine="420"/>
      </w:pPr>
      <w:r>
        <w:rPr>
          <w:rFonts w:hint="eastAsia"/>
        </w:rPr>
        <w:t>b）巡视检查制度；</w:t>
      </w:r>
    </w:p>
    <w:p w14:paraId="38229883">
      <w:pPr>
        <w:pStyle w:val="56"/>
        <w:spacing w:line="360" w:lineRule="auto"/>
        <w:ind w:firstLine="420"/>
      </w:pPr>
      <w:r>
        <w:rPr>
          <w:rFonts w:hint="eastAsia"/>
        </w:rPr>
        <w:t>c）设备维护制度；</w:t>
      </w:r>
    </w:p>
    <w:p w14:paraId="2241A1E6">
      <w:pPr>
        <w:pStyle w:val="56"/>
        <w:spacing w:line="360" w:lineRule="auto"/>
        <w:ind w:firstLine="420"/>
      </w:pPr>
      <w:r>
        <w:rPr>
          <w:rFonts w:hint="eastAsia"/>
        </w:rPr>
        <w:t>d）缺陷管理制度；</w:t>
      </w:r>
    </w:p>
    <w:p w14:paraId="4AECB2E5">
      <w:pPr>
        <w:pStyle w:val="56"/>
        <w:spacing w:line="360" w:lineRule="auto"/>
        <w:ind w:firstLine="420"/>
      </w:pPr>
      <w:r>
        <w:rPr>
          <w:rFonts w:hint="eastAsia"/>
        </w:rPr>
        <w:t>e）隐患排查治理制度；</w:t>
      </w:r>
    </w:p>
    <w:p w14:paraId="7597D9D3">
      <w:pPr>
        <w:pStyle w:val="56"/>
        <w:spacing w:line="360" w:lineRule="auto"/>
        <w:ind w:firstLine="420"/>
      </w:pPr>
      <w:r>
        <w:rPr>
          <w:rFonts w:hint="eastAsia"/>
        </w:rPr>
        <w:t>f）工作票、操作票和作业许可管理制度；</w:t>
      </w:r>
    </w:p>
    <w:p w14:paraId="5D8C5D4D">
      <w:pPr>
        <w:pStyle w:val="56"/>
        <w:spacing w:line="360" w:lineRule="auto"/>
        <w:ind w:firstLine="420"/>
      </w:pPr>
      <w:r>
        <w:rPr>
          <w:rFonts w:hint="eastAsia"/>
        </w:rPr>
        <w:t>g）外委作业管理制度；</w:t>
      </w:r>
    </w:p>
    <w:p w14:paraId="6CE4314E">
      <w:pPr>
        <w:pStyle w:val="56"/>
        <w:spacing w:line="360" w:lineRule="auto"/>
        <w:ind w:firstLine="420"/>
      </w:pPr>
      <w:r>
        <w:rPr>
          <w:rFonts w:hint="eastAsia"/>
        </w:rPr>
        <w:t>h）应急管理制度；</w:t>
      </w:r>
    </w:p>
    <w:p w14:paraId="0944717A">
      <w:pPr>
        <w:pStyle w:val="56"/>
        <w:spacing w:line="360" w:lineRule="auto"/>
        <w:ind w:firstLine="420"/>
      </w:pPr>
      <w:r>
        <w:rPr>
          <w:rFonts w:hint="eastAsia"/>
        </w:rPr>
        <w:t>i）设备防护管理制度；</w:t>
      </w:r>
    </w:p>
    <w:p w14:paraId="43B76A21">
      <w:pPr>
        <w:pStyle w:val="56"/>
        <w:spacing w:line="360" w:lineRule="auto"/>
        <w:ind w:firstLine="420"/>
      </w:pPr>
      <w:r>
        <w:rPr>
          <w:rFonts w:hint="eastAsia"/>
        </w:rPr>
        <w:t>j）资料档案和台账管理制度。</w:t>
      </w:r>
    </w:p>
    <w:p w14:paraId="3D408440">
      <w:pPr>
        <w:pStyle w:val="165"/>
        <w:spacing w:line="360" w:lineRule="auto"/>
      </w:pPr>
      <w:r>
        <w:rPr>
          <w:rFonts w:hint="eastAsia"/>
        </w:rPr>
        <w:t>各类设备应配套编制运行规程、操作规程、巡视标准、维护计划和故障处置方案。</w:t>
      </w:r>
    </w:p>
    <w:p w14:paraId="7C80705E">
      <w:pPr>
        <w:pStyle w:val="165"/>
        <w:spacing w:line="360" w:lineRule="auto"/>
      </w:pPr>
      <w:r>
        <w:rPr>
          <w:rFonts w:hint="eastAsia"/>
        </w:rPr>
        <w:t>场站现场使用的系统图、一次接线图、二次原理图、设备布置图、保护配置资料和操作文件应保持现行有效。</w:t>
      </w:r>
    </w:p>
    <w:p w14:paraId="1D75342B">
      <w:pPr>
        <w:pStyle w:val="165"/>
        <w:spacing w:line="360" w:lineRule="auto"/>
      </w:pPr>
      <w:r>
        <w:rPr>
          <w:rFonts w:hint="eastAsia"/>
        </w:rPr>
        <w:t>设备改造、系统升级、保护定值调整、运行方式调整或者场站扩建后，应及时修订相关制度和文件。</w:t>
      </w:r>
    </w:p>
    <w:p w14:paraId="3E9EE23A">
      <w:pPr>
        <w:pStyle w:val="165"/>
        <w:spacing w:line="360" w:lineRule="auto"/>
      </w:pPr>
      <w:r>
        <w:rPr>
          <w:rFonts w:hint="eastAsia"/>
        </w:rPr>
        <w:t>已废止、已失效或者与现场实际不一致的文件，不得继续作为运行维护依据。</w:t>
      </w:r>
    </w:p>
    <w:p w14:paraId="38C23FB5">
      <w:pPr>
        <w:pStyle w:val="105"/>
        <w:spacing w:before="120" w:after="120" w:line="360" w:lineRule="auto"/>
      </w:pPr>
      <w:r>
        <w:rPr>
          <w:rFonts w:hint="eastAsia"/>
        </w:rPr>
        <w:t>设备分级管理要求</w:t>
      </w:r>
    </w:p>
    <w:p w14:paraId="605813E4">
      <w:pPr>
        <w:pStyle w:val="165"/>
        <w:spacing w:line="360" w:lineRule="auto"/>
      </w:pPr>
      <w:r>
        <w:rPr>
          <w:rFonts w:hint="eastAsia"/>
        </w:rPr>
        <w:t>场站设备应根据安全重要性、故障影响程度、维修难度、并网影响和环境敏感性实施分级管理。</w:t>
      </w:r>
    </w:p>
    <w:p w14:paraId="5095F30C">
      <w:pPr>
        <w:pStyle w:val="165"/>
        <w:spacing w:line="360" w:lineRule="auto"/>
      </w:pPr>
      <w:r>
        <w:rPr>
          <w:rFonts w:hint="eastAsia"/>
        </w:rPr>
        <w:t>下列设备宜纳入重点设备范围：</w:t>
      </w:r>
    </w:p>
    <w:p w14:paraId="043A9692">
      <w:pPr>
        <w:pStyle w:val="56"/>
        <w:spacing w:line="360" w:lineRule="auto"/>
        <w:ind w:firstLine="420"/>
      </w:pPr>
      <w:r>
        <w:rPr>
          <w:rFonts w:hint="eastAsia"/>
        </w:rPr>
        <w:t>a）风电机组主控系统、变桨系统、变流系统和偏航系统；</w:t>
      </w:r>
    </w:p>
    <w:p w14:paraId="56AF198F">
      <w:pPr>
        <w:pStyle w:val="56"/>
        <w:spacing w:line="360" w:lineRule="auto"/>
        <w:ind w:firstLine="420"/>
      </w:pPr>
      <w:r>
        <w:rPr>
          <w:rFonts w:hint="eastAsia"/>
        </w:rPr>
        <w:t>b）光伏逆变设备、汇流设备和直流汇集设备；</w:t>
      </w:r>
    </w:p>
    <w:p w14:paraId="16745779">
      <w:pPr>
        <w:pStyle w:val="56"/>
        <w:spacing w:line="360" w:lineRule="auto"/>
        <w:ind w:firstLine="420"/>
      </w:pPr>
      <w:r>
        <w:rPr>
          <w:rFonts w:hint="eastAsia"/>
        </w:rPr>
        <w:t>c）储能变流器、电池簇和储能管理系统；</w:t>
      </w:r>
    </w:p>
    <w:p w14:paraId="084C6C3E">
      <w:pPr>
        <w:pStyle w:val="56"/>
        <w:spacing w:line="360" w:lineRule="auto"/>
        <w:ind w:firstLine="420"/>
      </w:pPr>
      <w:r>
        <w:rPr>
          <w:rFonts w:hint="eastAsia"/>
        </w:rPr>
        <w:t>d）主变压器、升压站一次设备和继电保护装置；</w:t>
      </w:r>
    </w:p>
    <w:p w14:paraId="76E12B3C">
      <w:pPr>
        <w:pStyle w:val="56"/>
        <w:spacing w:line="360" w:lineRule="auto"/>
        <w:ind w:firstLine="420"/>
      </w:pPr>
      <w:r>
        <w:rPr>
          <w:rFonts w:hint="eastAsia"/>
        </w:rPr>
        <w:t>e）站用电系统和应急电源系统；</w:t>
      </w:r>
    </w:p>
    <w:p w14:paraId="37449D26">
      <w:pPr>
        <w:pStyle w:val="56"/>
        <w:spacing w:line="360" w:lineRule="auto"/>
        <w:ind w:firstLine="420"/>
      </w:pPr>
      <w:r>
        <w:rPr>
          <w:rFonts w:hint="eastAsia"/>
        </w:rPr>
        <w:t>f）监控系统、通信系统和调度数据通道；</w:t>
      </w:r>
    </w:p>
    <w:p w14:paraId="5E4D9A7D">
      <w:pPr>
        <w:pStyle w:val="56"/>
        <w:spacing w:line="360" w:lineRule="auto"/>
        <w:ind w:firstLine="420"/>
      </w:pPr>
      <w:r>
        <w:rPr>
          <w:rFonts w:hint="eastAsia"/>
        </w:rPr>
        <w:t>g）消防系统、防雷接地系统和安全防护系统；</w:t>
      </w:r>
    </w:p>
    <w:p w14:paraId="64CB7C93">
      <w:pPr>
        <w:pStyle w:val="56"/>
        <w:spacing w:line="360" w:lineRule="auto"/>
        <w:ind w:firstLine="420"/>
      </w:pPr>
      <w:r>
        <w:rPr>
          <w:rFonts w:hint="eastAsia"/>
        </w:rPr>
        <w:t>h）其他影响场站安全运行和并网安全的关键设备。</w:t>
      </w:r>
    </w:p>
    <w:p w14:paraId="0974D2CC">
      <w:pPr>
        <w:pStyle w:val="165"/>
        <w:spacing w:line="360" w:lineRule="auto"/>
      </w:pPr>
      <w:r>
        <w:rPr>
          <w:rFonts w:hint="eastAsia"/>
        </w:rPr>
        <w:t>对重点设备应实施专门台账管理、专项巡视检查、优先缺陷处理和重点防护管理。</w:t>
      </w:r>
    </w:p>
    <w:p w14:paraId="423DA3BF">
      <w:pPr>
        <w:pStyle w:val="165"/>
        <w:spacing w:line="360" w:lineRule="auto"/>
      </w:pPr>
      <w:r>
        <w:rPr>
          <w:rFonts w:hint="eastAsia"/>
        </w:rPr>
        <w:t>重点设备停运、切换、检修和恢复运行，应履行相应审批、确认或者交接程序。</w:t>
      </w:r>
    </w:p>
    <w:p w14:paraId="4314A484">
      <w:pPr>
        <w:pStyle w:val="105"/>
        <w:spacing w:before="120" w:after="120" w:line="360" w:lineRule="auto"/>
      </w:pPr>
      <w:r>
        <w:rPr>
          <w:rFonts w:hint="eastAsia"/>
        </w:rPr>
        <w:t>风险分级管控要求</w:t>
      </w:r>
    </w:p>
    <w:p w14:paraId="1331730A">
      <w:pPr>
        <w:pStyle w:val="165"/>
        <w:spacing w:line="360" w:lineRule="auto"/>
      </w:pPr>
      <w:r>
        <w:rPr>
          <w:rFonts w:hint="eastAsia"/>
        </w:rPr>
        <w:t>场站应开展安全风险识别和分级管控。</w:t>
      </w:r>
    </w:p>
    <w:p w14:paraId="6E997268">
      <w:pPr>
        <w:pStyle w:val="165"/>
        <w:spacing w:line="360" w:lineRule="auto"/>
      </w:pPr>
      <w:r>
        <w:rPr>
          <w:rFonts w:hint="eastAsia"/>
        </w:rPr>
        <w:t>风险识别应覆盖运行操作风险、设备故障风险、人身伤害风险、火灾爆炸风险、并网异常风险、自然灾害风险和网络安全风险等内容。</w:t>
      </w:r>
    </w:p>
    <w:p w14:paraId="5DC7D5C7">
      <w:pPr>
        <w:pStyle w:val="165"/>
        <w:spacing w:line="360" w:lineRule="auto"/>
      </w:pPr>
      <w:r>
        <w:rPr>
          <w:rFonts w:hint="eastAsia"/>
        </w:rPr>
        <w:t>对识别出的高风险作业、高风险区域和高风险设备，应制定专项控制措施。</w:t>
      </w:r>
    </w:p>
    <w:p w14:paraId="6810172E">
      <w:pPr>
        <w:pStyle w:val="165"/>
        <w:spacing w:line="360" w:lineRule="auto"/>
      </w:pPr>
      <w:r>
        <w:rPr>
          <w:rFonts w:hint="eastAsia"/>
        </w:rPr>
        <w:t>风险管控措施应落实到岗位、班组、设备、区域和作业票证中。</w:t>
      </w:r>
    </w:p>
    <w:p w14:paraId="21694201">
      <w:pPr>
        <w:pStyle w:val="165"/>
        <w:spacing w:line="360" w:lineRule="auto"/>
      </w:pPr>
      <w:r>
        <w:rPr>
          <w:rFonts w:hint="eastAsia"/>
        </w:rPr>
        <w:t>未完成风险分析或者未落实控制措施的，不得开展相关操作和作业。</w:t>
      </w:r>
    </w:p>
    <w:p w14:paraId="0960AEC5">
      <w:pPr>
        <w:pStyle w:val="105"/>
        <w:spacing w:before="120" w:after="120" w:line="360" w:lineRule="auto"/>
      </w:pPr>
      <w:r>
        <w:rPr>
          <w:rFonts w:hint="eastAsia"/>
        </w:rPr>
        <w:t>防护基本要求</w:t>
      </w:r>
    </w:p>
    <w:p w14:paraId="4BB5BC20">
      <w:pPr>
        <w:pStyle w:val="165"/>
        <w:spacing w:line="360" w:lineRule="auto"/>
      </w:pPr>
      <w:r>
        <w:rPr>
          <w:rFonts w:hint="eastAsia"/>
        </w:rPr>
        <w:t>场站设备防护应覆盖防雷、防火、防爆、防腐、防潮、防尘、防盐雾、防风、防汛、防覆冰、防误操作和防外力破坏等方面。</w:t>
      </w:r>
    </w:p>
    <w:p w14:paraId="7353B370">
      <w:pPr>
        <w:pStyle w:val="165"/>
        <w:spacing w:line="360" w:lineRule="auto"/>
      </w:pPr>
      <w:r>
        <w:rPr>
          <w:rFonts w:hint="eastAsia"/>
        </w:rPr>
        <w:t>设备防护措施应与设备布置方式、环境条件、工况特征和运行方式相匹配。</w:t>
      </w:r>
    </w:p>
    <w:p w14:paraId="45B48DD2">
      <w:pPr>
        <w:pStyle w:val="165"/>
        <w:spacing w:line="360" w:lineRule="auto"/>
      </w:pPr>
      <w:r>
        <w:rPr>
          <w:rFonts w:hint="eastAsia"/>
        </w:rPr>
        <w:t>防护设施和防护装置应定期检查、维护和试验，保持可用状态。</w:t>
      </w:r>
    </w:p>
    <w:p w14:paraId="45DD5D8F">
      <w:pPr>
        <w:pStyle w:val="165"/>
        <w:spacing w:line="360" w:lineRule="auto"/>
      </w:pPr>
      <w:r>
        <w:rPr>
          <w:rFonts w:hint="eastAsia"/>
        </w:rPr>
        <w:t>因设备改造、场站扩容或者环境变化导致原有防护措施不适用时，应及时调整完善。</w:t>
      </w:r>
    </w:p>
    <w:p w14:paraId="3A889112">
      <w:pPr>
        <w:pStyle w:val="165"/>
        <w:spacing w:line="360" w:lineRule="auto"/>
      </w:pPr>
      <w:r>
        <w:rPr>
          <w:rFonts w:hint="eastAsia"/>
        </w:rPr>
        <w:t>不得将临时措施长期替代正式防护措施，不得因防护成本或者施工便利削减必要防护配置。</w:t>
      </w:r>
    </w:p>
    <w:p w14:paraId="343DA204">
      <w:pPr>
        <w:pStyle w:val="105"/>
        <w:spacing w:before="120" w:after="120" w:line="360" w:lineRule="auto"/>
      </w:pPr>
      <w:r>
        <w:rPr>
          <w:rFonts w:hint="eastAsia"/>
        </w:rPr>
        <w:t>标识与隔离要求</w:t>
      </w:r>
    </w:p>
    <w:p w14:paraId="5133461B">
      <w:pPr>
        <w:pStyle w:val="165"/>
        <w:spacing w:line="360" w:lineRule="auto"/>
      </w:pPr>
      <w:r>
        <w:rPr>
          <w:rFonts w:hint="eastAsia"/>
        </w:rPr>
        <w:t>场站设备、开关、刀闸、控制回路、监控点位、消防设施、危险区域和特殊环境区域应设置清晰、准确、耐久的标识。</w:t>
      </w:r>
    </w:p>
    <w:p w14:paraId="4AFFB8E7">
      <w:pPr>
        <w:pStyle w:val="165"/>
        <w:spacing w:line="360" w:lineRule="auto"/>
      </w:pPr>
      <w:r>
        <w:rPr>
          <w:rFonts w:hint="eastAsia"/>
        </w:rPr>
        <w:t>正常运行、停运、检修、故障、试验、带电、禁止操作和危险区域等状态应设置相应标识和警示。</w:t>
      </w:r>
    </w:p>
    <w:p w14:paraId="7EB14020">
      <w:pPr>
        <w:pStyle w:val="165"/>
        <w:spacing w:line="360" w:lineRule="auto"/>
      </w:pPr>
      <w:r>
        <w:rPr>
          <w:rFonts w:hint="eastAsia"/>
        </w:rPr>
        <w:t>高处平台、旋转设备、带电区域、储能电池区域、消防重点区域和有限空间入口应设置专门警示标识。</w:t>
      </w:r>
    </w:p>
    <w:p w14:paraId="296D1E8F">
      <w:pPr>
        <w:pStyle w:val="165"/>
        <w:spacing w:line="360" w:lineRule="auto"/>
      </w:pPr>
      <w:r>
        <w:rPr>
          <w:rFonts w:hint="eastAsia"/>
        </w:rPr>
        <w:t>临时隔离、作业围挡和检修封闭区域应设置醒目标识，不得标识缺失或者隔离失效。</w:t>
      </w:r>
    </w:p>
    <w:p w14:paraId="01F912B8">
      <w:pPr>
        <w:pStyle w:val="105"/>
        <w:spacing w:before="120" w:after="120" w:line="360" w:lineRule="auto"/>
      </w:pPr>
      <w:r>
        <w:rPr>
          <w:rFonts w:hint="eastAsia"/>
        </w:rPr>
        <w:t>台账与记录要求</w:t>
      </w:r>
    </w:p>
    <w:p w14:paraId="4EAFFA35">
      <w:pPr>
        <w:pStyle w:val="165"/>
        <w:spacing w:line="360" w:lineRule="auto"/>
      </w:pPr>
      <w:r>
        <w:rPr>
          <w:rFonts w:hint="eastAsia"/>
        </w:rPr>
        <w:t>场站应建立设备台账、运维台账、缺陷台账、隐患台账和备品备件台账。</w:t>
      </w:r>
    </w:p>
    <w:p w14:paraId="40891E62">
      <w:pPr>
        <w:pStyle w:val="165"/>
        <w:spacing w:line="360" w:lineRule="auto"/>
      </w:pPr>
      <w:r>
        <w:rPr>
          <w:rFonts w:hint="eastAsia"/>
        </w:rPr>
        <w:t>运行记录、巡视记录、操作记录、检修记录、试验记录、缺陷处理记录和事故事件记录应真实、完整、及时、清晰。</w:t>
      </w:r>
    </w:p>
    <w:p w14:paraId="53F26BD5">
      <w:pPr>
        <w:pStyle w:val="165"/>
        <w:spacing w:line="360" w:lineRule="auto"/>
      </w:pPr>
      <w:r>
        <w:rPr>
          <w:rFonts w:hint="eastAsia"/>
        </w:rPr>
        <w:t>电子记录与纸质记录并存时，应保持内容一致。</w:t>
      </w:r>
    </w:p>
    <w:p w14:paraId="596CCD2D">
      <w:pPr>
        <w:pStyle w:val="165"/>
        <w:spacing w:line="360" w:lineRule="auto"/>
      </w:pPr>
      <w:r>
        <w:rPr>
          <w:rFonts w:hint="eastAsia"/>
        </w:rPr>
        <w:t>关键设备运行状态、关键操作过程和关键异常处置过程应重点留痕。</w:t>
      </w:r>
    </w:p>
    <w:p w14:paraId="56B90DE9">
      <w:pPr>
        <w:pStyle w:val="165"/>
        <w:spacing w:line="360" w:lineRule="auto"/>
      </w:pPr>
      <w:r>
        <w:rPr>
          <w:rFonts w:hint="eastAsia"/>
        </w:rPr>
        <w:t>记录缺失、内容失真或者无法追溯的，不得视为相关管理活动已规范完成。</w:t>
      </w:r>
    </w:p>
    <w:p w14:paraId="7C6464FB">
      <w:pPr>
        <w:pStyle w:val="105"/>
        <w:spacing w:before="120" w:after="120" w:line="360" w:lineRule="auto"/>
      </w:pPr>
      <w:r>
        <w:rPr>
          <w:rFonts w:hint="eastAsia"/>
        </w:rPr>
        <w:t>禁止性要求</w:t>
      </w:r>
    </w:p>
    <w:p w14:paraId="64DD8FDA">
      <w:pPr>
        <w:pStyle w:val="165"/>
        <w:spacing w:line="360" w:lineRule="auto"/>
      </w:pPr>
      <w:r>
        <w:rPr>
          <w:rFonts w:hint="eastAsia"/>
        </w:rPr>
        <w:t>不得未经批准擅自停用、拆除、屏蔽或者绕过安全保护装置、防护装置和监测装置。</w:t>
      </w:r>
    </w:p>
    <w:p w14:paraId="31F1E20A">
      <w:pPr>
        <w:pStyle w:val="165"/>
        <w:spacing w:line="360" w:lineRule="auto"/>
      </w:pPr>
      <w:r>
        <w:rPr>
          <w:rFonts w:hint="eastAsia"/>
        </w:rPr>
        <w:t>不得在设备状态不明、系统边界不清或者风险未确认的情况下实施操作。</w:t>
      </w:r>
    </w:p>
    <w:p w14:paraId="74EBCD31">
      <w:pPr>
        <w:pStyle w:val="165"/>
        <w:spacing w:line="360" w:lineRule="auto"/>
      </w:pPr>
      <w:r>
        <w:rPr>
          <w:rFonts w:hint="eastAsia"/>
        </w:rPr>
        <w:t>不得以临时短接、强制闭锁、取消联锁、解除告警或者跳过保护逻辑等方式维持运行。</w:t>
      </w:r>
    </w:p>
    <w:p w14:paraId="4CEF85D5">
      <w:pPr>
        <w:pStyle w:val="165"/>
        <w:spacing w:line="360" w:lineRule="auto"/>
      </w:pPr>
      <w:r>
        <w:rPr>
          <w:rFonts w:hint="eastAsia"/>
        </w:rPr>
        <w:t>不得在未落实防护措施和安全措施的情况下组织高处、带电、动火、吊装和有限空间作业。</w:t>
      </w:r>
    </w:p>
    <w:p w14:paraId="17335B64">
      <w:pPr>
        <w:pStyle w:val="165"/>
        <w:spacing w:line="360" w:lineRule="auto"/>
      </w:pPr>
      <w:r>
        <w:rPr>
          <w:rFonts w:hint="eastAsia"/>
        </w:rPr>
        <w:t>不得以减少巡视、减少维护、延后检修或者压缩试验频次作为常态管理手段。</w:t>
      </w:r>
    </w:p>
    <w:p w14:paraId="73F4E838">
      <w:pPr>
        <w:pStyle w:val="165"/>
        <w:numPr>
          <w:ilvl w:val="0"/>
          <w:numId w:val="0"/>
        </w:numPr>
        <w:spacing w:line="360" w:lineRule="auto"/>
      </w:pPr>
    </w:p>
    <w:p w14:paraId="1CE607AA">
      <w:pPr>
        <w:pStyle w:val="165"/>
        <w:numPr>
          <w:ilvl w:val="0"/>
          <w:numId w:val="0"/>
        </w:numPr>
        <w:spacing w:line="360" w:lineRule="auto"/>
        <w:rPr>
          <w:rFonts w:hint="eastAsia"/>
        </w:rPr>
      </w:pPr>
    </w:p>
    <w:p w14:paraId="46C72299">
      <w:pPr>
        <w:pStyle w:val="104"/>
        <w:spacing w:before="240" w:after="240" w:line="360" w:lineRule="auto"/>
      </w:pPr>
      <w:bookmarkStart w:id="52" w:name="_Toc228605987"/>
      <w:r>
        <w:rPr>
          <w:rFonts w:hint="eastAsia"/>
        </w:rPr>
        <w:t>运行管理与巡视监测要求</w:t>
      </w:r>
      <w:bookmarkEnd w:id="52"/>
    </w:p>
    <w:p w14:paraId="17598F24">
      <w:pPr>
        <w:pStyle w:val="105"/>
        <w:spacing w:before="120" w:after="120" w:line="360" w:lineRule="auto"/>
      </w:pPr>
      <w:r>
        <w:rPr>
          <w:rFonts w:hint="eastAsia"/>
        </w:rPr>
        <w:t>一般要求</w:t>
      </w:r>
    </w:p>
    <w:p w14:paraId="4462C12E">
      <w:pPr>
        <w:pStyle w:val="165"/>
        <w:spacing w:line="360" w:lineRule="auto"/>
      </w:pPr>
      <w:r>
        <w:rPr>
          <w:rFonts w:hint="eastAsia"/>
        </w:rPr>
        <w:t>场站应建立运行管理、巡视检查和状态监测制度。</w:t>
      </w:r>
    </w:p>
    <w:p w14:paraId="7AD5C761">
      <w:pPr>
        <w:pStyle w:val="165"/>
        <w:spacing w:line="360" w:lineRule="auto"/>
      </w:pPr>
      <w:r>
        <w:rPr>
          <w:rFonts w:hint="eastAsia"/>
        </w:rPr>
        <w:t>运行管理应覆盖正常运行、停运待机、检修恢复、试运行、故障状态和应急状态等全过程。</w:t>
      </w:r>
    </w:p>
    <w:p w14:paraId="4907E712">
      <w:pPr>
        <w:pStyle w:val="165"/>
        <w:spacing w:line="360" w:lineRule="auto"/>
      </w:pPr>
      <w:r>
        <w:rPr>
          <w:rFonts w:hint="eastAsia"/>
        </w:rPr>
        <w:t>巡视检查应与在线监测、离线检测、运行分析和异常预警相结合，不得以单一监控画面替代现场巡视，不得以单一在线数据替代必要人工确认。</w:t>
      </w:r>
    </w:p>
    <w:p w14:paraId="45510A03">
      <w:pPr>
        <w:pStyle w:val="165"/>
        <w:spacing w:line="360" w:lineRule="auto"/>
      </w:pPr>
      <w:r>
        <w:rPr>
          <w:rFonts w:hint="eastAsia"/>
        </w:rPr>
        <w:t>巡视检查和状态监测应以发现异常、识别风险、预防故障和支撑运维决策为目的，不得流于形式。</w:t>
      </w:r>
    </w:p>
    <w:p w14:paraId="0C66A2DC">
      <w:pPr>
        <w:pStyle w:val="105"/>
        <w:spacing w:before="120" w:after="120" w:line="360" w:lineRule="auto"/>
      </w:pPr>
      <w:r>
        <w:rPr>
          <w:rFonts w:hint="eastAsia"/>
        </w:rPr>
        <w:t>运行组织要求</w:t>
      </w:r>
    </w:p>
    <w:p w14:paraId="1FEB2B27">
      <w:pPr>
        <w:pStyle w:val="65"/>
        <w:spacing w:before="120" w:after="120" w:line="360" w:lineRule="auto"/>
      </w:pPr>
      <w:r>
        <w:rPr>
          <w:rFonts w:hint="eastAsia"/>
        </w:rPr>
        <w:t>一般要求</w:t>
      </w:r>
    </w:p>
    <w:p w14:paraId="75FBC132">
      <w:pPr>
        <w:pStyle w:val="164"/>
        <w:spacing w:line="360" w:lineRule="auto"/>
      </w:pPr>
      <w:r>
        <w:rPr>
          <w:rFonts w:hint="eastAsia"/>
        </w:rPr>
        <w:t>场站应根据规模、设备数量、运行方式和风险等级设置运行组织方式。</w:t>
      </w:r>
    </w:p>
    <w:p w14:paraId="798B0C5C">
      <w:pPr>
        <w:pStyle w:val="164"/>
        <w:spacing w:line="360" w:lineRule="auto"/>
      </w:pPr>
      <w:r>
        <w:rPr>
          <w:rFonts w:hint="eastAsia"/>
        </w:rPr>
        <w:t>运行组织方式可采用现场值守、集中监控、少人值守、无人值守加远程监控或者其他符合安全要求的方式。</w:t>
      </w:r>
    </w:p>
    <w:p w14:paraId="77C11CAA">
      <w:pPr>
        <w:pStyle w:val="164"/>
        <w:spacing w:line="360" w:lineRule="auto"/>
      </w:pPr>
      <w:r>
        <w:rPr>
          <w:rFonts w:hint="eastAsia"/>
        </w:rPr>
        <w:t>无论采用何种组织方式，均应明确现场响应责任、远程监控责任、异常报告责任和应急联动责任。</w:t>
      </w:r>
    </w:p>
    <w:p w14:paraId="29BD4814">
      <w:pPr>
        <w:pStyle w:val="65"/>
        <w:spacing w:before="120" w:after="120" w:line="360" w:lineRule="auto"/>
      </w:pPr>
      <w:r>
        <w:rPr>
          <w:rFonts w:hint="eastAsia"/>
        </w:rPr>
        <w:t>值守与交接要求</w:t>
      </w:r>
    </w:p>
    <w:p w14:paraId="054160D2">
      <w:pPr>
        <w:pStyle w:val="164"/>
        <w:spacing w:line="360" w:lineRule="auto"/>
      </w:pPr>
      <w:r>
        <w:rPr>
          <w:rFonts w:hint="eastAsia"/>
        </w:rPr>
        <w:t>设值守岗位的场站应实行值班和交接班制度。</w:t>
      </w:r>
    </w:p>
    <w:p w14:paraId="0E3EFF32">
      <w:pPr>
        <w:pStyle w:val="164"/>
        <w:spacing w:line="360" w:lineRule="auto"/>
      </w:pPr>
      <w:r>
        <w:rPr>
          <w:rFonts w:hint="eastAsia"/>
        </w:rPr>
        <w:t>交接班应做到当面交接、现场交接、记录交接和异常事项重点交接。</w:t>
      </w:r>
    </w:p>
    <w:p w14:paraId="643B0095">
      <w:pPr>
        <w:pStyle w:val="164"/>
        <w:spacing w:line="360" w:lineRule="auto"/>
      </w:pPr>
      <w:r>
        <w:rPr>
          <w:rFonts w:hint="eastAsia"/>
        </w:rPr>
        <w:t>接班人员未完成接班确认前，交班人员不得擅自离岗。</w:t>
      </w:r>
    </w:p>
    <w:p w14:paraId="75868063">
      <w:pPr>
        <w:pStyle w:val="164"/>
        <w:spacing w:line="360" w:lineRule="auto"/>
      </w:pPr>
      <w:r>
        <w:rPr>
          <w:rFonts w:hint="eastAsia"/>
        </w:rPr>
        <w:t>对当班发现的异常、缺陷、告警、未完成工作票和外委作业事项，应在交接记录中明确说明。</w:t>
      </w:r>
    </w:p>
    <w:p w14:paraId="2614C3B7">
      <w:pPr>
        <w:pStyle w:val="65"/>
        <w:spacing w:before="120" w:after="120" w:line="360" w:lineRule="auto"/>
      </w:pPr>
      <w:r>
        <w:rPr>
          <w:rFonts w:hint="eastAsia"/>
        </w:rPr>
        <w:t>运行方式管理</w:t>
      </w:r>
    </w:p>
    <w:p w14:paraId="2957507D">
      <w:pPr>
        <w:pStyle w:val="164"/>
        <w:spacing w:line="360" w:lineRule="auto"/>
      </w:pPr>
      <w:r>
        <w:rPr>
          <w:rFonts w:hint="eastAsia"/>
        </w:rPr>
        <w:t>场站应明确设备运行方式、备用方式、切换条件和恢复条件。</w:t>
      </w:r>
    </w:p>
    <w:p w14:paraId="412BBB58">
      <w:pPr>
        <w:pStyle w:val="164"/>
        <w:spacing w:line="360" w:lineRule="auto"/>
      </w:pPr>
      <w:r>
        <w:rPr>
          <w:rFonts w:hint="eastAsia"/>
        </w:rPr>
        <w:t>运行方式调整前，应分析对设备安全、场站安全和并网安全的影响。</w:t>
      </w:r>
    </w:p>
    <w:p w14:paraId="4B56039F">
      <w:pPr>
        <w:pStyle w:val="164"/>
        <w:spacing w:line="360" w:lineRule="auto"/>
      </w:pPr>
      <w:r>
        <w:rPr>
          <w:rFonts w:hint="eastAsia"/>
        </w:rPr>
        <w:t>重大运行方式调整应履行审批、确认和记录程序。</w:t>
      </w:r>
    </w:p>
    <w:p w14:paraId="0B25928B">
      <w:pPr>
        <w:pStyle w:val="105"/>
        <w:spacing w:before="120" w:after="120" w:line="360" w:lineRule="auto"/>
      </w:pPr>
      <w:r>
        <w:rPr>
          <w:rFonts w:hint="eastAsia"/>
        </w:rPr>
        <w:t>巡视检查要求</w:t>
      </w:r>
    </w:p>
    <w:p w14:paraId="4AD61149">
      <w:pPr>
        <w:pStyle w:val="65"/>
        <w:spacing w:before="120" w:after="120" w:line="360" w:lineRule="auto"/>
      </w:pPr>
      <w:r>
        <w:rPr>
          <w:rFonts w:hint="eastAsia"/>
        </w:rPr>
        <w:t>一般要求</w:t>
      </w:r>
    </w:p>
    <w:p w14:paraId="74530D80">
      <w:pPr>
        <w:pStyle w:val="164"/>
        <w:spacing w:line="360" w:lineRule="auto"/>
      </w:pPr>
      <w:r>
        <w:rPr>
          <w:rFonts w:hint="eastAsia"/>
        </w:rPr>
        <w:t>场站应按规定路线、规定周期、规定项目和规定标准开展巡视检查。</w:t>
      </w:r>
    </w:p>
    <w:p w14:paraId="12363BB3">
      <w:pPr>
        <w:pStyle w:val="164"/>
        <w:spacing w:line="360" w:lineRule="auto"/>
      </w:pPr>
      <w:r>
        <w:rPr>
          <w:rFonts w:hint="eastAsia"/>
        </w:rPr>
        <w:t>巡视检查应覆盖主设备、辅助设备、站内环境、防护设施和重点风险区域。</w:t>
      </w:r>
    </w:p>
    <w:p w14:paraId="32F0371D">
      <w:pPr>
        <w:pStyle w:val="164"/>
        <w:spacing w:line="360" w:lineRule="auto"/>
      </w:pPr>
      <w:r>
        <w:rPr>
          <w:rFonts w:hint="eastAsia"/>
        </w:rPr>
        <w:t>巡视检查应根据设备类型、运行工况、季节特点和环境条件差异化实施。</w:t>
      </w:r>
    </w:p>
    <w:p w14:paraId="5A3998DF">
      <w:pPr>
        <w:pStyle w:val="164"/>
        <w:spacing w:line="360" w:lineRule="auto"/>
      </w:pPr>
      <w:r>
        <w:rPr>
          <w:rFonts w:hint="eastAsia"/>
        </w:rPr>
        <w:t>对关键设备、故障多发设备、特殊环境设备和新投运设备，应提高巡视检查要求。</w:t>
      </w:r>
    </w:p>
    <w:p w14:paraId="1D5F2A8D">
      <w:pPr>
        <w:pStyle w:val="65"/>
        <w:spacing w:before="120" w:after="120" w:line="360" w:lineRule="auto"/>
      </w:pPr>
      <w:r>
        <w:rPr>
          <w:rFonts w:hint="eastAsia"/>
        </w:rPr>
        <w:t>巡视检查内容</w:t>
      </w:r>
    </w:p>
    <w:p w14:paraId="25DCC918">
      <w:pPr>
        <w:pStyle w:val="56"/>
        <w:spacing w:line="360" w:lineRule="auto"/>
        <w:ind w:firstLine="420"/>
      </w:pPr>
      <w:r>
        <w:rPr>
          <w:rFonts w:hint="eastAsia"/>
        </w:rPr>
        <w:t>巡视检查宜至少包括下列内容：</w:t>
      </w:r>
    </w:p>
    <w:p w14:paraId="11865725">
      <w:pPr>
        <w:pStyle w:val="56"/>
        <w:spacing w:line="360" w:lineRule="auto"/>
        <w:ind w:firstLine="420"/>
      </w:pPr>
      <w:r>
        <w:rPr>
          <w:rFonts w:hint="eastAsia"/>
        </w:rPr>
        <w:t>a）设备运行状态是否正常；</w:t>
      </w:r>
    </w:p>
    <w:p w14:paraId="69C9E707">
      <w:pPr>
        <w:pStyle w:val="56"/>
        <w:spacing w:line="360" w:lineRule="auto"/>
        <w:ind w:firstLine="420"/>
      </w:pPr>
      <w:r>
        <w:rPr>
          <w:rFonts w:hint="eastAsia"/>
        </w:rPr>
        <w:t>b）是否存在异常声音、异常振动、异常温升和异常气味；</w:t>
      </w:r>
    </w:p>
    <w:p w14:paraId="01B0E76A">
      <w:pPr>
        <w:pStyle w:val="56"/>
        <w:spacing w:line="360" w:lineRule="auto"/>
        <w:ind w:firstLine="420"/>
      </w:pPr>
      <w:r>
        <w:rPr>
          <w:rFonts w:hint="eastAsia"/>
        </w:rPr>
        <w:t>c）是否存在渗漏、裂纹、松动、腐蚀、变形和污染；</w:t>
      </w:r>
    </w:p>
    <w:p w14:paraId="7AAA8840">
      <w:pPr>
        <w:pStyle w:val="56"/>
        <w:spacing w:line="360" w:lineRule="auto"/>
        <w:ind w:firstLine="420"/>
      </w:pPr>
      <w:r>
        <w:rPr>
          <w:rFonts w:hint="eastAsia"/>
        </w:rPr>
        <w:t>d）监控信号、告警信号和指示状态是否正常；</w:t>
      </w:r>
    </w:p>
    <w:p w14:paraId="7B39E8AC">
      <w:pPr>
        <w:pStyle w:val="56"/>
        <w:spacing w:line="360" w:lineRule="auto"/>
        <w:ind w:firstLine="420"/>
      </w:pPr>
      <w:r>
        <w:rPr>
          <w:rFonts w:hint="eastAsia"/>
        </w:rPr>
        <w:t>e）防雷、防火、防误、防腐和围栏等防护设施是否完好；</w:t>
      </w:r>
    </w:p>
    <w:p w14:paraId="77A01521">
      <w:pPr>
        <w:pStyle w:val="56"/>
        <w:spacing w:line="360" w:lineRule="auto"/>
        <w:ind w:firstLine="420"/>
      </w:pPr>
      <w:r>
        <w:rPr>
          <w:rFonts w:hint="eastAsia"/>
        </w:rPr>
        <w:t>f）电缆、接地和连接部位是否存在异常；</w:t>
      </w:r>
    </w:p>
    <w:p w14:paraId="53577C90">
      <w:pPr>
        <w:pStyle w:val="56"/>
        <w:spacing w:line="360" w:lineRule="auto"/>
        <w:ind w:firstLine="420"/>
      </w:pPr>
      <w:r>
        <w:rPr>
          <w:rFonts w:hint="eastAsia"/>
        </w:rPr>
        <w:t>g）场站道路、围界、排水、照明和消防设施是否完好；</w:t>
      </w:r>
    </w:p>
    <w:p w14:paraId="11288D3F">
      <w:pPr>
        <w:pStyle w:val="56"/>
        <w:spacing w:line="360" w:lineRule="auto"/>
        <w:ind w:firstLine="420"/>
      </w:pPr>
      <w:r>
        <w:rPr>
          <w:rFonts w:hint="eastAsia"/>
        </w:rPr>
        <w:t>h）是否存在异物侵入、外力破坏和其他环境异常。</w:t>
      </w:r>
    </w:p>
    <w:p w14:paraId="5A0E2C32">
      <w:pPr>
        <w:pStyle w:val="65"/>
        <w:spacing w:before="120" w:after="120" w:line="360" w:lineRule="auto"/>
      </w:pPr>
      <w:r>
        <w:rPr>
          <w:rFonts w:hint="eastAsia"/>
        </w:rPr>
        <w:t>巡视检查方式</w:t>
      </w:r>
    </w:p>
    <w:p w14:paraId="754305DC">
      <w:pPr>
        <w:pStyle w:val="164"/>
        <w:spacing w:line="360" w:lineRule="auto"/>
      </w:pPr>
      <w:r>
        <w:rPr>
          <w:rFonts w:hint="eastAsia"/>
        </w:rPr>
        <w:t>巡视检查可采用日常巡视、专项巡视、季节性巡视、故障后巡视和恶劣天气前后巡视等方式。</w:t>
      </w:r>
    </w:p>
    <w:p w14:paraId="15CA9807">
      <w:pPr>
        <w:pStyle w:val="164"/>
        <w:spacing w:line="360" w:lineRule="auto"/>
      </w:pPr>
      <w:r>
        <w:rPr>
          <w:rFonts w:hint="eastAsia"/>
        </w:rPr>
        <w:t>对运行中无法直接接近或者环境危险性较高的设备，可结合视频巡视、在线监测和无人机巡检等方式辅助实施，但不得替代必要的现场确认。</w:t>
      </w:r>
    </w:p>
    <w:p w14:paraId="1325A357">
      <w:pPr>
        <w:pStyle w:val="164"/>
        <w:spacing w:line="360" w:lineRule="auto"/>
      </w:pPr>
      <w:r>
        <w:rPr>
          <w:rFonts w:hint="eastAsia"/>
        </w:rPr>
        <w:t>对风机塔筒内部、光伏方阵区域、升压站区域、储能区域和集电线路重点部位，应明确专项巡视要求。</w:t>
      </w:r>
    </w:p>
    <w:p w14:paraId="36136784">
      <w:pPr>
        <w:pStyle w:val="105"/>
        <w:spacing w:before="120" w:after="120" w:line="360" w:lineRule="auto"/>
      </w:pPr>
      <w:r>
        <w:rPr>
          <w:rFonts w:hint="eastAsia"/>
        </w:rPr>
        <w:t>巡视周期要求</w:t>
      </w:r>
    </w:p>
    <w:p w14:paraId="6CA05708">
      <w:pPr>
        <w:pStyle w:val="165"/>
        <w:spacing w:line="360" w:lineRule="auto"/>
      </w:pPr>
      <w:r>
        <w:rPr>
          <w:rFonts w:hint="eastAsia"/>
        </w:rPr>
        <w:t>场站应根据设备重要程度、运行状态、环境条件和故障风险确定巡视周期。</w:t>
      </w:r>
    </w:p>
    <w:p w14:paraId="1B8C5522">
      <w:pPr>
        <w:pStyle w:val="165"/>
        <w:spacing w:line="360" w:lineRule="auto"/>
      </w:pPr>
      <w:r>
        <w:rPr>
          <w:rFonts w:hint="eastAsia"/>
        </w:rPr>
        <w:t>常见场站设备及区域巡视检查重点和周期可按表1执行。表1给出了新能源发电场站常见设备及区域巡视检查重点和周期。</w:t>
      </w:r>
    </w:p>
    <w:p w14:paraId="285226B2">
      <w:pPr>
        <w:pStyle w:val="112"/>
        <w:spacing w:before="120" w:after="120" w:line="360" w:lineRule="auto"/>
      </w:pPr>
      <w:r>
        <w:rPr>
          <w:rFonts w:hint="eastAsia"/>
        </w:rPr>
        <w:t>新能源发电场站常见设备及区域巡视检查重点和周期表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3261"/>
        <w:gridCol w:w="3815"/>
      </w:tblGrid>
      <w:tr w14:paraId="4440C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vAlign w:val="center"/>
          </w:tcPr>
          <w:p w14:paraId="08D121DF">
            <w:pPr>
              <w:pStyle w:val="178"/>
            </w:pPr>
            <w:r>
              <w:rPr>
                <w:rFonts w:hint="eastAsia"/>
              </w:rPr>
              <w:t>巡视对象</w:t>
            </w:r>
          </w:p>
        </w:tc>
        <w:tc>
          <w:tcPr>
            <w:tcW w:w="3261" w:type="dxa"/>
            <w:tcBorders>
              <w:top w:val="single" w:color="auto" w:sz="8" w:space="0"/>
              <w:bottom w:val="single" w:color="auto" w:sz="8" w:space="0"/>
            </w:tcBorders>
            <w:vAlign w:val="center"/>
          </w:tcPr>
          <w:p w14:paraId="5A0D1C76">
            <w:pPr>
              <w:pStyle w:val="178"/>
            </w:pPr>
            <w:r>
              <w:rPr>
                <w:rFonts w:hint="eastAsia"/>
              </w:rPr>
              <w:t>巡视周期</w:t>
            </w:r>
          </w:p>
        </w:tc>
        <w:tc>
          <w:tcPr>
            <w:tcW w:w="3815" w:type="dxa"/>
            <w:tcBorders>
              <w:top w:val="single" w:color="auto" w:sz="8" w:space="0"/>
              <w:bottom w:val="single" w:color="auto" w:sz="8" w:space="0"/>
            </w:tcBorders>
            <w:vAlign w:val="center"/>
          </w:tcPr>
          <w:p w14:paraId="4409BA67">
            <w:pPr>
              <w:pStyle w:val="178"/>
            </w:pPr>
            <w:r>
              <w:rPr>
                <w:rFonts w:hint="eastAsia"/>
              </w:rPr>
              <w:t>巡视重点</w:t>
            </w:r>
          </w:p>
        </w:tc>
      </w:tr>
      <w:tr w14:paraId="416F09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top w:val="single" w:color="auto" w:sz="8" w:space="0"/>
            </w:tcBorders>
            <w:vAlign w:val="center"/>
          </w:tcPr>
          <w:p w14:paraId="04CF7FAE">
            <w:pPr>
              <w:pStyle w:val="178"/>
            </w:pPr>
            <w:r>
              <w:rPr>
                <w:rFonts w:hint="eastAsia"/>
              </w:rPr>
              <w:t>风电机组及塔基区域</w:t>
            </w:r>
          </w:p>
        </w:tc>
        <w:tc>
          <w:tcPr>
            <w:tcW w:w="3261" w:type="dxa"/>
            <w:tcBorders>
              <w:top w:val="single" w:color="auto" w:sz="8" w:space="0"/>
            </w:tcBorders>
            <w:vAlign w:val="center"/>
          </w:tcPr>
          <w:p w14:paraId="2761FA8C">
            <w:pPr>
              <w:pStyle w:val="178"/>
            </w:pPr>
            <w:r>
              <w:rPr>
                <w:rFonts w:hint="eastAsia"/>
              </w:rPr>
              <w:t>每班至少1次，恶劣天气加密</w:t>
            </w:r>
          </w:p>
        </w:tc>
        <w:tc>
          <w:tcPr>
            <w:tcW w:w="3815" w:type="dxa"/>
            <w:tcBorders>
              <w:top w:val="single" w:color="auto" w:sz="8" w:space="0"/>
            </w:tcBorders>
            <w:vAlign w:val="center"/>
          </w:tcPr>
          <w:p w14:paraId="03ED4593">
            <w:pPr>
              <w:pStyle w:val="178"/>
            </w:pPr>
            <w:r>
              <w:rPr>
                <w:rFonts w:hint="eastAsia"/>
              </w:rPr>
              <w:t>运行状态、振动、异响、漏油、塔基积水、</w:t>
            </w:r>
          </w:p>
          <w:p w14:paraId="74D59982">
            <w:pPr>
              <w:pStyle w:val="178"/>
            </w:pPr>
            <w:r>
              <w:rPr>
                <w:rFonts w:hint="eastAsia"/>
              </w:rPr>
              <w:t>门禁和防雷接地</w:t>
            </w:r>
          </w:p>
        </w:tc>
      </w:tr>
      <w:tr w14:paraId="6E875D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5BCAC9CF">
            <w:pPr>
              <w:pStyle w:val="178"/>
            </w:pPr>
            <w:r>
              <w:rPr>
                <w:rFonts w:hint="eastAsia"/>
              </w:rPr>
              <w:t>光伏方阵及组件区域</w:t>
            </w:r>
          </w:p>
        </w:tc>
        <w:tc>
          <w:tcPr>
            <w:tcW w:w="3261" w:type="dxa"/>
            <w:vAlign w:val="center"/>
          </w:tcPr>
          <w:p w14:paraId="0DACF127">
            <w:pPr>
              <w:pStyle w:val="178"/>
            </w:pPr>
            <w:r>
              <w:rPr>
                <w:rFonts w:hint="eastAsia"/>
              </w:rPr>
              <w:t>每日不少于1次，极端天气后专项巡视</w:t>
            </w:r>
          </w:p>
        </w:tc>
        <w:tc>
          <w:tcPr>
            <w:tcW w:w="3815" w:type="dxa"/>
            <w:vAlign w:val="center"/>
          </w:tcPr>
          <w:p w14:paraId="120DE706">
            <w:pPr>
              <w:pStyle w:val="178"/>
            </w:pPr>
            <w:r>
              <w:rPr>
                <w:rFonts w:hint="eastAsia"/>
              </w:rPr>
              <w:t>组件破损、热斑迹象、支架松动、遮挡、</w:t>
            </w:r>
          </w:p>
          <w:p w14:paraId="3EAC2EAC">
            <w:pPr>
              <w:pStyle w:val="178"/>
            </w:pPr>
            <w:r>
              <w:rPr>
                <w:rFonts w:hint="eastAsia"/>
              </w:rPr>
              <w:t>汇流箱状态和接线异常</w:t>
            </w:r>
          </w:p>
        </w:tc>
      </w:tr>
      <w:tr w14:paraId="7DA532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5A1E5347">
            <w:pPr>
              <w:pStyle w:val="178"/>
            </w:pPr>
            <w:r>
              <w:rPr>
                <w:rFonts w:hint="eastAsia"/>
              </w:rPr>
              <w:t>箱式变压器和逆变设备</w:t>
            </w:r>
          </w:p>
        </w:tc>
        <w:tc>
          <w:tcPr>
            <w:tcW w:w="3261" w:type="dxa"/>
            <w:vAlign w:val="center"/>
          </w:tcPr>
          <w:p w14:paraId="586DBA83">
            <w:pPr>
              <w:pStyle w:val="178"/>
            </w:pPr>
            <w:r>
              <w:rPr>
                <w:rFonts w:hint="eastAsia"/>
              </w:rPr>
              <w:t>每班至少1次</w:t>
            </w:r>
          </w:p>
        </w:tc>
        <w:tc>
          <w:tcPr>
            <w:tcW w:w="3815" w:type="dxa"/>
            <w:vAlign w:val="center"/>
          </w:tcPr>
          <w:p w14:paraId="51C1E5B6">
            <w:pPr>
              <w:pStyle w:val="178"/>
            </w:pPr>
            <w:r>
              <w:rPr>
                <w:rFonts w:hint="eastAsia"/>
              </w:rPr>
              <w:t>温升、异响、告警、油位、</w:t>
            </w:r>
          </w:p>
          <w:p w14:paraId="049906C4">
            <w:pPr>
              <w:pStyle w:val="178"/>
            </w:pPr>
            <w:r>
              <w:rPr>
                <w:rFonts w:hint="eastAsia"/>
              </w:rPr>
              <w:t>接线状态和通风散热情况</w:t>
            </w:r>
          </w:p>
        </w:tc>
      </w:tr>
      <w:tr w14:paraId="6820E9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45817DF9">
            <w:pPr>
              <w:pStyle w:val="178"/>
            </w:pPr>
            <w:r>
              <w:rPr>
                <w:rFonts w:hint="eastAsia"/>
              </w:rPr>
              <w:t>升压站一次设备</w:t>
            </w:r>
          </w:p>
        </w:tc>
        <w:tc>
          <w:tcPr>
            <w:tcW w:w="3261" w:type="dxa"/>
            <w:vAlign w:val="center"/>
          </w:tcPr>
          <w:p w14:paraId="13CA8CB5">
            <w:pPr>
              <w:pStyle w:val="178"/>
            </w:pPr>
            <w:r>
              <w:rPr>
                <w:rFonts w:hint="eastAsia"/>
              </w:rPr>
              <w:t>每班至少1次</w:t>
            </w:r>
          </w:p>
        </w:tc>
        <w:tc>
          <w:tcPr>
            <w:tcW w:w="3815" w:type="dxa"/>
            <w:vAlign w:val="center"/>
          </w:tcPr>
          <w:p w14:paraId="28F96025">
            <w:pPr>
              <w:pStyle w:val="178"/>
            </w:pPr>
            <w:r>
              <w:rPr>
                <w:rFonts w:hint="eastAsia"/>
              </w:rPr>
              <w:t>设备温度、油位、压力、放电痕迹、</w:t>
            </w:r>
          </w:p>
          <w:p w14:paraId="5C84A7A9">
            <w:pPr>
              <w:pStyle w:val="178"/>
            </w:pPr>
            <w:r>
              <w:rPr>
                <w:rFonts w:hint="eastAsia"/>
              </w:rPr>
              <w:t>保护和指示状态</w:t>
            </w:r>
          </w:p>
        </w:tc>
      </w:tr>
      <w:tr w14:paraId="79A31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519DEA3E">
            <w:pPr>
              <w:pStyle w:val="178"/>
            </w:pPr>
            <w:r>
              <w:rPr>
                <w:rFonts w:hint="eastAsia"/>
              </w:rPr>
              <w:t>储能设备及电池舱</w:t>
            </w:r>
          </w:p>
        </w:tc>
        <w:tc>
          <w:tcPr>
            <w:tcW w:w="3261" w:type="dxa"/>
            <w:vAlign w:val="center"/>
          </w:tcPr>
          <w:p w14:paraId="32301B46">
            <w:pPr>
              <w:pStyle w:val="178"/>
            </w:pPr>
            <w:r>
              <w:rPr>
                <w:rFonts w:hint="eastAsia"/>
              </w:rPr>
              <w:t>每班至少1次，充放电异常时加密</w:t>
            </w:r>
          </w:p>
        </w:tc>
        <w:tc>
          <w:tcPr>
            <w:tcW w:w="3815" w:type="dxa"/>
            <w:vAlign w:val="center"/>
          </w:tcPr>
          <w:p w14:paraId="46512F5E">
            <w:pPr>
              <w:pStyle w:val="178"/>
            </w:pPr>
            <w:r>
              <w:rPr>
                <w:rFonts w:hint="eastAsia"/>
              </w:rPr>
              <w:t>温度、告警、气味、消防状态、</w:t>
            </w:r>
          </w:p>
          <w:p w14:paraId="7A932298">
            <w:pPr>
              <w:pStyle w:val="178"/>
            </w:pPr>
            <w:r>
              <w:rPr>
                <w:rFonts w:hint="eastAsia"/>
              </w:rPr>
              <w:t>绝缘状态和通风状态</w:t>
            </w:r>
          </w:p>
        </w:tc>
      </w:tr>
      <w:tr w14:paraId="05970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019F457C">
            <w:pPr>
              <w:pStyle w:val="178"/>
            </w:pPr>
            <w:r>
              <w:rPr>
                <w:rFonts w:hint="eastAsia"/>
              </w:rPr>
              <w:t>集电线路和场站电缆通道</w:t>
            </w:r>
          </w:p>
        </w:tc>
        <w:tc>
          <w:tcPr>
            <w:tcW w:w="3261" w:type="dxa"/>
            <w:vAlign w:val="center"/>
          </w:tcPr>
          <w:p w14:paraId="563968F5">
            <w:pPr>
              <w:pStyle w:val="178"/>
            </w:pPr>
            <w:r>
              <w:rPr>
                <w:rFonts w:hint="eastAsia"/>
              </w:rPr>
              <w:t>每周不少于1次，恶劣天气后专项巡视</w:t>
            </w:r>
          </w:p>
        </w:tc>
        <w:tc>
          <w:tcPr>
            <w:tcW w:w="3815" w:type="dxa"/>
            <w:vAlign w:val="center"/>
          </w:tcPr>
          <w:p w14:paraId="6FDDE8F2">
            <w:pPr>
              <w:pStyle w:val="178"/>
            </w:pPr>
            <w:r>
              <w:rPr>
                <w:rFonts w:hint="eastAsia"/>
              </w:rPr>
              <w:t>外力破坏、杆塔基础、绝缘子状态、</w:t>
            </w:r>
          </w:p>
          <w:p w14:paraId="737C60B5">
            <w:pPr>
              <w:pStyle w:val="178"/>
            </w:pPr>
            <w:r>
              <w:rPr>
                <w:rFonts w:hint="eastAsia"/>
              </w:rPr>
              <w:t>电缆通道积水和标识完好性</w:t>
            </w:r>
          </w:p>
        </w:tc>
      </w:tr>
    </w:tbl>
    <w:p w14:paraId="4266BDE6">
      <w:pPr>
        <w:pStyle w:val="165"/>
        <w:numPr>
          <w:ilvl w:val="0"/>
          <w:numId w:val="0"/>
        </w:numPr>
        <w:spacing w:line="360" w:lineRule="auto"/>
        <w:rPr>
          <w:rFonts w:hint="eastAsia"/>
        </w:rPr>
      </w:pPr>
    </w:p>
    <w:p w14:paraId="620D0DC4">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表1  新能源发电场站常见设备及区域巡视检查重点和周期表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3261"/>
        <w:gridCol w:w="3815"/>
      </w:tblGrid>
      <w:tr w14:paraId="40BC6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vAlign w:val="center"/>
          </w:tcPr>
          <w:p w14:paraId="29D608F9">
            <w:pPr>
              <w:pStyle w:val="178"/>
            </w:pPr>
            <w:r>
              <w:rPr>
                <w:rFonts w:hint="eastAsia"/>
              </w:rPr>
              <w:t>巡视对象</w:t>
            </w:r>
          </w:p>
        </w:tc>
        <w:tc>
          <w:tcPr>
            <w:tcW w:w="3261" w:type="dxa"/>
            <w:tcBorders>
              <w:top w:val="single" w:color="auto" w:sz="8" w:space="0"/>
              <w:bottom w:val="single" w:color="auto" w:sz="8" w:space="0"/>
            </w:tcBorders>
            <w:vAlign w:val="center"/>
          </w:tcPr>
          <w:p w14:paraId="1322FA19">
            <w:pPr>
              <w:pStyle w:val="178"/>
            </w:pPr>
            <w:r>
              <w:rPr>
                <w:rFonts w:hint="eastAsia"/>
              </w:rPr>
              <w:t>巡视周期</w:t>
            </w:r>
          </w:p>
        </w:tc>
        <w:tc>
          <w:tcPr>
            <w:tcW w:w="3815" w:type="dxa"/>
            <w:tcBorders>
              <w:top w:val="single" w:color="auto" w:sz="8" w:space="0"/>
              <w:bottom w:val="single" w:color="auto" w:sz="8" w:space="0"/>
            </w:tcBorders>
            <w:vAlign w:val="center"/>
          </w:tcPr>
          <w:p w14:paraId="3FE1490E">
            <w:pPr>
              <w:pStyle w:val="178"/>
            </w:pPr>
            <w:r>
              <w:rPr>
                <w:rFonts w:hint="eastAsia"/>
              </w:rPr>
              <w:t>巡视重点</w:t>
            </w:r>
          </w:p>
        </w:tc>
      </w:tr>
      <w:tr w14:paraId="4F764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vAlign w:val="center"/>
          </w:tcPr>
          <w:p w14:paraId="5D40B0E0">
            <w:pPr>
              <w:pStyle w:val="178"/>
            </w:pPr>
            <w:r>
              <w:rPr>
                <w:rFonts w:hint="eastAsia"/>
              </w:rPr>
              <w:t>消防设施和防雷接地设施</w:t>
            </w:r>
          </w:p>
        </w:tc>
        <w:tc>
          <w:tcPr>
            <w:tcW w:w="3261" w:type="dxa"/>
            <w:vAlign w:val="center"/>
          </w:tcPr>
          <w:p w14:paraId="15CE65A2">
            <w:pPr>
              <w:pStyle w:val="178"/>
            </w:pPr>
            <w:r>
              <w:rPr>
                <w:rFonts w:hint="eastAsia"/>
              </w:rPr>
              <w:t>每月不少于1次，雷雨季前后专项检查</w:t>
            </w:r>
          </w:p>
        </w:tc>
        <w:tc>
          <w:tcPr>
            <w:tcW w:w="3815" w:type="dxa"/>
            <w:vAlign w:val="center"/>
          </w:tcPr>
          <w:p w14:paraId="2E3948D6">
            <w:pPr>
              <w:pStyle w:val="178"/>
            </w:pPr>
            <w:r>
              <w:rPr>
                <w:rFonts w:hint="eastAsia"/>
              </w:rPr>
              <w:t>消防器材状态、系统可用性、接地连接、</w:t>
            </w:r>
          </w:p>
          <w:p w14:paraId="2A1DACAD">
            <w:pPr>
              <w:pStyle w:val="178"/>
            </w:pPr>
            <w:r>
              <w:rPr>
                <w:rFonts w:hint="eastAsia"/>
              </w:rPr>
              <w:t>锈蚀和断裂情况</w:t>
            </w:r>
          </w:p>
        </w:tc>
      </w:tr>
    </w:tbl>
    <w:p w14:paraId="3F78075D">
      <w:pPr>
        <w:pStyle w:val="165"/>
        <w:spacing w:before="120" w:beforeLines="50" w:line="360" w:lineRule="auto"/>
      </w:pPr>
      <w:r>
        <w:rPr>
          <w:rFonts w:hint="eastAsia"/>
        </w:rPr>
        <w:t>巡视周期不得无依据降低。对老旧设备、故障频发设备和特殊环境设备，应在表1基础上适当增加巡视频次。</w:t>
      </w:r>
    </w:p>
    <w:p w14:paraId="19240F8A">
      <w:pPr>
        <w:pStyle w:val="165"/>
        <w:spacing w:line="360" w:lineRule="auto"/>
      </w:pPr>
      <w:r>
        <w:rPr>
          <w:rFonts w:hint="eastAsia"/>
        </w:rPr>
        <w:t>节假日、汛期、雷雨季、沙尘天气、冰冻天气和重要保电期间，应根据风险情况开展加密巡视。</w:t>
      </w:r>
    </w:p>
    <w:p w14:paraId="4FEA5EB6">
      <w:pPr>
        <w:pStyle w:val="105"/>
        <w:spacing w:before="120" w:after="120" w:line="360" w:lineRule="auto"/>
      </w:pPr>
      <w:r>
        <w:rPr>
          <w:rFonts w:hint="eastAsia"/>
        </w:rPr>
        <w:t>状态监测要求</w:t>
      </w:r>
    </w:p>
    <w:p w14:paraId="7C7F8321">
      <w:pPr>
        <w:pStyle w:val="65"/>
        <w:spacing w:before="120" w:after="120" w:line="360" w:lineRule="auto"/>
      </w:pPr>
      <w:r>
        <w:rPr>
          <w:rFonts w:hint="eastAsia"/>
        </w:rPr>
        <w:t>一般要求</w:t>
      </w:r>
    </w:p>
    <w:p w14:paraId="382F5305">
      <w:pPr>
        <w:pStyle w:val="164"/>
        <w:spacing w:line="360" w:lineRule="auto"/>
      </w:pPr>
      <w:r>
        <w:rPr>
          <w:rFonts w:hint="eastAsia"/>
        </w:rPr>
        <w:t>场站应根据设备重要程度和技术条件配置状态监测手段。</w:t>
      </w:r>
    </w:p>
    <w:p w14:paraId="6B254244">
      <w:pPr>
        <w:pStyle w:val="164"/>
        <w:spacing w:line="360" w:lineRule="auto"/>
      </w:pPr>
      <w:r>
        <w:rPr>
          <w:rFonts w:hint="eastAsia"/>
        </w:rPr>
        <w:t>状态监测可采用在线监测、离线检测、趋势分析、远程监控和人工复核等方式实施。</w:t>
      </w:r>
    </w:p>
    <w:p w14:paraId="41021745">
      <w:pPr>
        <w:pStyle w:val="164"/>
        <w:spacing w:line="360" w:lineRule="auto"/>
      </w:pPr>
      <w:r>
        <w:rPr>
          <w:rFonts w:hint="eastAsia"/>
        </w:rPr>
        <w:t>状态监测对象宜包括关键一次设备、核心控制设备、变流装置、储能系统、保护装置、消防系统和通信系统等。</w:t>
      </w:r>
    </w:p>
    <w:p w14:paraId="23BCA50C">
      <w:pPr>
        <w:pStyle w:val="65"/>
        <w:spacing w:before="120" w:after="120" w:line="360" w:lineRule="auto"/>
      </w:pPr>
      <w:r>
        <w:rPr>
          <w:rFonts w:hint="eastAsia"/>
        </w:rPr>
        <w:t>监测内容</w:t>
      </w:r>
    </w:p>
    <w:p w14:paraId="0AAEC013">
      <w:pPr>
        <w:pStyle w:val="164"/>
        <w:spacing w:line="360" w:lineRule="auto"/>
      </w:pPr>
      <w:r>
        <w:rPr>
          <w:rFonts w:hint="eastAsia"/>
        </w:rPr>
        <w:t>状态监测宜至少包括下列内容：</w:t>
      </w:r>
    </w:p>
    <w:p w14:paraId="4C308A44">
      <w:pPr>
        <w:pStyle w:val="56"/>
        <w:spacing w:line="360" w:lineRule="auto"/>
        <w:ind w:firstLine="420"/>
      </w:pPr>
      <w:r>
        <w:rPr>
          <w:rFonts w:hint="eastAsia"/>
        </w:rPr>
        <w:t>a）电压、电流、功率、频率和温度等运行参数；</w:t>
      </w:r>
    </w:p>
    <w:p w14:paraId="7D353C59">
      <w:pPr>
        <w:pStyle w:val="56"/>
        <w:spacing w:line="360" w:lineRule="auto"/>
        <w:ind w:firstLine="420"/>
      </w:pPr>
      <w:r>
        <w:rPr>
          <w:rFonts w:hint="eastAsia"/>
        </w:rPr>
        <w:t>b）振动、位移、绝缘和接地状态；</w:t>
      </w:r>
    </w:p>
    <w:p w14:paraId="7E5926E0">
      <w:pPr>
        <w:pStyle w:val="56"/>
        <w:spacing w:line="360" w:lineRule="auto"/>
        <w:ind w:firstLine="420"/>
      </w:pPr>
      <w:r>
        <w:rPr>
          <w:rFonts w:hint="eastAsia"/>
        </w:rPr>
        <w:t>c）设备故障码、保护动作和控制状态；</w:t>
      </w:r>
    </w:p>
    <w:p w14:paraId="3D356C04">
      <w:pPr>
        <w:pStyle w:val="56"/>
        <w:spacing w:line="360" w:lineRule="auto"/>
        <w:ind w:firstLine="420"/>
      </w:pPr>
      <w:r>
        <w:rPr>
          <w:rFonts w:hint="eastAsia"/>
        </w:rPr>
        <w:t>d）风机关键部件、逆变设备、储能单元和升压站设备健康状态；</w:t>
      </w:r>
    </w:p>
    <w:p w14:paraId="457DAD0B">
      <w:pPr>
        <w:pStyle w:val="56"/>
        <w:spacing w:line="360" w:lineRule="auto"/>
        <w:ind w:firstLine="420"/>
      </w:pPr>
      <w:r>
        <w:rPr>
          <w:rFonts w:hint="eastAsia"/>
        </w:rPr>
        <w:t>e）集电线路和通信链路运行状态；</w:t>
      </w:r>
    </w:p>
    <w:p w14:paraId="67750047">
      <w:pPr>
        <w:pStyle w:val="56"/>
        <w:spacing w:line="360" w:lineRule="auto"/>
        <w:ind w:firstLine="420"/>
      </w:pPr>
      <w:r>
        <w:rPr>
          <w:rFonts w:hint="eastAsia"/>
        </w:rPr>
        <w:t>f）消防设施、入侵报警和环境监测状态。</w:t>
      </w:r>
    </w:p>
    <w:p w14:paraId="0C3234DA">
      <w:pPr>
        <w:pStyle w:val="164"/>
        <w:spacing w:line="360" w:lineRule="auto"/>
      </w:pPr>
      <w:r>
        <w:rPr>
          <w:rFonts w:hint="eastAsia"/>
        </w:rPr>
        <w:t>对易受环境影响的设备，应增加特殊环境状态监测内容。</w:t>
      </w:r>
    </w:p>
    <w:p w14:paraId="290AF3A3">
      <w:pPr>
        <w:pStyle w:val="65"/>
        <w:spacing w:before="120" w:after="120" w:line="360" w:lineRule="auto"/>
      </w:pPr>
      <w:r>
        <w:rPr>
          <w:rFonts w:hint="eastAsia"/>
        </w:rPr>
        <w:t>监测数据应用要求</w:t>
      </w:r>
    </w:p>
    <w:p w14:paraId="1A12988E">
      <w:pPr>
        <w:pStyle w:val="164"/>
        <w:spacing w:line="360" w:lineRule="auto"/>
      </w:pPr>
      <w:r>
        <w:rPr>
          <w:rFonts w:hint="eastAsia"/>
        </w:rPr>
        <w:t>在线监测数据应作为巡视检查、维护计划、缺陷判断和故障分析的重要依据。</w:t>
      </w:r>
    </w:p>
    <w:p w14:paraId="20D04C91">
      <w:pPr>
        <w:pStyle w:val="164"/>
        <w:spacing w:line="360" w:lineRule="auto"/>
      </w:pPr>
      <w:r>
        <w:rPr>
          <w:rFonts w:hint="eastAsia"/>
        </w:rPr>
        <w:t>监测数据明显异常、长期缺失或者连续波动异常时，应及时开展现场核查。</w:t>
      </w:r>
    </w:p>
    <w:p w14:paraId="5592A92E">
      <w:pPr>
        <w:pStyle w:val="164"/>
        <w:spacing w:line="360" w:lineRule="auto"/>
      </w:pPr>
      <w:r>
        <w:rPr>
          <w:rFonts w:hint="eastAsia"/>
        </w:rPr>
        <w:t>不得仅依赖单一监测点异常即直接作出重大停运或者重大检修决定；确需采取紧急措施的，应先控制风险并及时复核。</w:t>
      </w:r>
    </w:p>
    <w:p w14:paraId="02B6758C">
      <w:pPr>
        <w:pStyle w:val="105"/>
        <w:spacing w:before="120" w:after="120" w:line="360" w:lineRule="auto"/>
      </w:pPr>
      <w:r>
        <w:rPr>
          <w:rFonts w:hint="eastAsia"/>
        </w:rPr>
        <w:t>运行分析要求</w:t>
      </w:r>
    </w:p>
    <w:p w14:paraId="6E989C71">
      <w:pPr>
        <w:pStyle w:val="65"/>
        <w:spacing w:before="120" w:after="120" w:line="360" w:lineRule="auto"/>
      </w:pPr>
      <w:r>
        <w:rPr>
          <w:rFonts w:hint="eastAsia"/>
        </w:rPr>
        <w:t>一般要求</w:t>
      </w:r>
    </w:p>
    <w:p w14:paraId="4A666A42">
      <w:pPr>
        <w:pStyle w:val="164"/>
        <w:spacing w:line="360" w:lineRule="auto"/>
      </w:pPr>
      <w:r>
        <w:rPr>
          <w:rFonts w:hint="eastAsia"/>
        </w:rPr>
        <w:t>场站应定期开展运行分析。</w:t>
      </w:r>
    </w:p>
    <w:p w14:paraId="6F7882F9">
      <w:pPr>
        <w:pStyle w:val="164"/>
        <w:spacing w:line="360" w:lineRule="auto"/>
      </w:pPr>
      <w:r>
        <w:rPr>
          <w:rFonts w:hint="eastAsia"/>
        </w:rPr>
        <w:t>运行分析应结合发电数据、故障数据、缺陷数据、环境数据和状态监测数据进行。</w:t>
      </w:r>
    </w:p>
    <w:p w14:paraId="6FC8886F">
      <w:pPr>
        <w:pStyle w:val="164"/>
        <w:spacing w:line="360" w:lineRule="auto"/>
      </w:pPr>
      <w:r>
        <w:rPr>
          <w:rFonts w:hint="eastAsia"/>
        </w:rPr>
        <w:t>运行分析应以发现薄弱环节、优化运行方式、完善防护措施和提升设备可靠性为目的。</w:t>
      </w:r>
    </w:p>
    <w:p w14:paraId="1F7620B6">
      <w:pPr>
        <w:pStyle w:val="65"/>
        <w:spacing w:before="120" w:after="120" w:line="360" w:lineRule="auto"/>
      </w:pPr>
      <w:r>
        <w:rPr>
          <w:rFonts w:hint="eastAsia"/>
        </w:rPr>
        <w:t>分析内容</w:t>
      </w:r>
    </w:p>
    <w:p w14:paraId="34A743BB">
      <w:pPr>
        <w:pStyle w:val="164"/>
        <w:spacing w:line="360" w:lineRule="auto"/>
      </w:pPr>
      <w:r>
        <w:rPr>
          <w:rFonts w:hint="eastAsia"/>
        </w:rPr>
        <w:t>运行分析宜至少包括下列内容：</w:t>
      </w:r>
    </w:p>
    <w:p w14:paraId="1E71B350">
      <w:pPr>
        <w:pStyle w:val="56"/>
        <w:spacing w:line="360" w:lineRule="auto"/>
        <w:ind w:firstLine="420"/>
      </w:pPr>
      <w:r>
        <w:rPr>
          <w:rFonts w:hint="eastAsia"/>
        </w:rPr>
        <w:t>a）设备运行可靠性分析；</w:t>
      </w:r>
    </w:p>
    <w:p w14:paraId="0AF8D909">
      <w:pPr>
        <w:pStyle w:val="56"/>
        <w:spacing w:line="360" w:lineRule="auto"/>
        <w:ind w:firstLine="420"/>
      </w:pPr>
      <w:r>
        <w:rPr>
          <w:rFonts w:hint="eastAsia"/>
        </w:rPr>
        <w:t>b）故障和告警统计分析；</w:t>
      </w:r>
    </w:p>
    <w:p w14:paraId="07AAE100">
      <w:pPr>
        <w:pStyle w:val="56"/>
        <w:spacing w:line="360" w:lineRule="auto"/>
        <w:ind w:firstLine="420"/>
      </w:pPr>
      <w:r>
        <w:rPr>
          <w:rFonts w:hint="eastAsia"/>
        </w:rPr>
        <w:t>c）缺陷重复发生分析；</w:t>
      </w:r>
    </w:p>
    <w:p w14:paraId="41866F5A">
      <w:pPr>
        <w:pStyle w:val="56"/>
        <w:spacing w:line="360" w:lineRule="auto"/>
        <w:ind w:firstLine="420"/>
      </w:pPr>
      <w:r>
        <w:rPr>
          <w:rFonts w:hint="eastAsia"/>
        </w:rPr>
        <w:t>d）弃风弃光和设备可利用率分析；</w:t>
      </w:r>
    </w:p>
    <w:p w14:paraId="5D6AABEE">
      <w:pPr>
        <w:pStyle w:val="56"/>
        <w:spacing w:line="360" w:lineRule="auto"/>
        <w:ind w:firstLine="420"/>
      </w:pPr>
      <w:r>
        <w:rPr>
          <w:rFonts w:hint="eastAsia"/>
        </w:rPr>
        <w:t>e）环境因素对设备运行影响分析；</w:t>
      </w:r>
    </w:p>
    <w:p w14:paraId="6052BA4D">
      <w:pPr>
        <w:pStyle w:val="56"/>
        <w:spacing w:line="360" w:lineRule="auto"/>
        <w:ind w:firstLine="420"/>
      </w:pPr>
      <w:r>
        <w:rPr>
          <w:rFonts w:hint="eastAsia"/>
        </w:rPr>
        <w:t>f）防护设施有效性分析；</w:t>
      </w:r>
    </w:p>
    <w:p w14:paraId="5ABA1DAB">
      <w:pPr>
        <w:pStyle w:val="56"/>
        <w:spacing w:line="360" w:lineRule="auto"/>
        <w:ind w:firstLine="420"/>
      </w:pPr>
      <w:r>
        <w:rPr>
          <w:rFonts w:hint="eastAsia"/>
        </w:rPr>
        <w:t>g）异常事件和非计划停运分析。</w:t>
      </w:r>
    </w:p>
    <w:p w14:paraId="78BBFA38">
      <w:pPr>
        <w:pStyle w:val="164"/>
        <w:spacing w:line="360" w:lineRule="auto"/>
      </w:pPr>
      <w:r>
        <w:rPr>
          <w:rFonts w:hint="eastAsia"/>
        </w:rPr>
        <w:t>运行分析结果应形成记录，并作为维护计划和技术改进依据。</w:t>
      </w:r>
    </w:p>
    <w:p w14:paraId="17C1EBB8">
      <w:pPr>
        <w:pStyle w:val="105"/>
        <w:spacing w:before="120" w:after="120" w:line="360" w:lineRule="auto"/>
      </w:pPr>
      <w:r>
        <w:rPr>
          <w:rFonts w:hint="eastAsia"/>
        </w:rPr>
        <w:t>异常报告与初期处置要求</w:t>
      </w:r>
    </w:p>
    <w:p w14:paraId="387DE3E2">
      <w:pPr>
        <w:pStyle w:val="65"/>
        <w:spacing w:before="120" w:after="120" w:line="360" w:lineRule="auto"/>
      </w:pPr>
      <w:r>
        <w:rPr>
          <w:rFonts w:hint="eastAsia"/>
        </w:rPr>
        <w:t>一般要求</w:t>
      </w:r>
    </w:p>
    <w:p w14:paraId="105D60C6">
      <w:pPr>
        <w:pStyle w:val="164"/>
        <w:spacing w:line="360" w:lineRule="auto"/>
      </w:pPr>
      <w:r>
        <w:rPr>
          <w:rFonts w:hint="eastAsia"/>
        </w:rPr>
        <w:t>巡视检查和状态监测发现异常后，应及时报告。</w:t>
      </w:r>
    </w:p>
    <w:p w14:paraId="2C0AB31F">
      <w:pPr>
        <w:pStyle w:val="164"/>
        <w:spacing w:line="360" w:lineRule="auto"/>
      </w:pPr>
      <w:r>
        <w:rPr>
          <w:rFonts w:hint="eastAsia"/>
        </w:rPr>
        <w:t>异常报告应明确时间、地点、设备名称、异常现象、初步判断和已采取措施。</w:t>
      </w:r>
    </w:p>
    <w:p w14:paraId="0C24BB0D">
      <w:pPr>
        <w:pStyle w:val="164"/>
        <w:spacing w:line="360" w:lineRule="auto"/>
      </w:pPr>
      <w:r>
        <w:rPr>
          <w:rFonts w:hint="eastAsia"/>
        </w:rPr>
        <w:t>对可能影响人身安全、设备安全或者并网安全的异常，应优先报告并优先处置。</w:t>
      </w:r>
    </w:p>
    <w:p w14:paraId="46B1858E">
      <w:pPr>
        <w:pStyle w:val="65"/>
        <w:spacing w:before="120" w:after="120" w:line="360" w:lineRule="auto"/>
      </w:pPr>
      <w:r>
        <w:rPr>
          <w:rFonts w:hint="eastAsia"/>
        </w:rPr>
        <w:t>初期处置要求</w:t>
      </w:r>
    </w:p>
    <w:p w14:paraId="527D16F6">
      <w:pPr>
        <w:pStyle w:val="164"/>
        <w:spacing w:line="360" w:lineRule="auto"/>
      </w:pPr>
      <w:r>
        <w:rPr>
          <w:rFonts w:hint="eastAsia"/>
        </w:rPr>
        <w:t>发现异常后，应先采取必要的安全控制措施，再进行进一步判断和处置。</w:t>
      </w:r>
    </w:p>
    <w:p w14:paraId="631ED6CE">
      <w:pPr>
        <w:pStyle w:val="164"/>
        <w:spacing w:line="360" w:lineRule="auto"/>
      </w:pPr>
      <w:r>
        <w:rPr>
          <w:rFonts w:hint="eastAsia"/>
        </w:rPr>
        <w:t>初期处置可包括隔离危险区域、停止相关操作、切换备用设备、报告调度或者启动应急措施等。</w:t>
      </w:r>
    </w:p>
    <w:p w14:paraId="3C697008">
      <w:pPr>
        <w:pStyle w:val="164"/>
        <w:spacing w:line="360" w:lineRule="auto"/>
      </w:pPr>
      <w:r>
        <w:rPr>
          <w:rFonts w:hint="eastAsia"/>
        </w:rPr>
        <w:t>异常原因未查明前，不得擅自恢复运行或者解除控制措施。</w:t>
      </w:r>
    </w:p>
    <w:p w14:paraId="40C6350B">
      <w:pPr>
        <w:pStyle w:val="105"/>
        <w:spacing w:before="120" w:after="120" w:line="360" w:lineRule="auto"/>
      </w:pPr>
      <w:r>
        <w:rPr>
          <w:rFonts w:hint="eastAsia"/>
        </w:rPr>
        <w:t>监控系统与远程值守要求</w:t>
      </w:r>
    </w:p>
    <w:p w14:paraId="5BB87ABB">
      <w:pPr>
        <w:pStyle w:val="65"/>
        <w:spacing w:before="120" w:after="120" w:line="360" w:lineRule="auto"/>
      </w:pPr>
      <w:r>
        <w:rPr>
          <w:rFonts w:hint="eastAsia"/>
        </w:rPr>
        <w:t>一般要求</w:t>
      </w:r>
    </w:p>
    <w:p w14:paraId="4657C6FB">
      <w:pPr>
        <w:pStyle w:val="164"/>
        <w:spacing w:line="360" w:lineRule="auto"/>
      </w:pPr>
      <w:r>
        <w:rPr>
          <w:rFonts w:hint="eastAsia"/>
        </w:rPr>
        <w:t>采用远程监控或者集中监控方式运行的场站，应建立监控中心与现场之间的信息衔接和响应机制。</w:t>
      </w:r>
    </w:p>
    <w:p w14:paraId="3C08AA25">
      <w:pPr>
        <w:pStyle w:val="164"/>
        <w:spacing w:line="360" w:lineRule="auto"/>
      </w:pPr>
      <w:r>
        <w:rPr>
          <w:rFonts w:hint="eastAsia"/>
        </w:rPr>
        <w:t>远程值守不得削弱场站现场处置能力、现场巡视要求和应急响应要求。</w:t>
      </w:r>
    </w:p>
    <w:p w14:paraId="0A6FC2B1">
      <w:pPr>
        <w:pStyle w:val="164"/>
        <w:spacing w:line="360" w:lineRule="auto"/>
      </w:pPr>
      <w:r>
        <w:rPr>
          <w:rFonts w:hint="eastAsia"/>
        </w:rPr>
        <w:t>监控系统应具备数据采集、状态显示、告警提示、历史记录和权限管理功能。</w:t>
      </w:r>
    </w:p>
    <w:p w14:paraId="4004467F">
      <w:pPr>
        <w:pStyle w:val="65"/>
        <w:spacing w:before="120" w:after="120" w:line="360" w:lineRule="auto"/>
      </w:pPr>
      <w:r>
        <w:rPr>
          <w:rFonts w:hint="eastAsia"/>
        </w:rPr>
        <w:t>远程值守控制要求</w:t>
      </w:r>
    </w:p>
    <w:p w14:paraId="54758FAB">
      <w:pPr>
        <w:pStyle w:val="164"/>
        <w:spacing w:line="360" w:lineRule="auto"/>
      </w:pPr>
      <w:r>
        <w:rPr>
          <w:rFonts w:hint="eastAsia"/>
        </w:rPr>
        <w:t>远程值守人员应熟悉场站设备状态、运行方式和告警规则。</w:t>
      </w:r>
    </w:p>
    <w:p w14:paraId="7891FB97">
      <w:pPr>
        <w:pStyle w:val="164"/>
        <w:spacing w:line="360" w:lineRule="auto"/>
      </w:pPr>
      <w:r>
        <w:rPr>
          <w:rFonts w:hint="eastAsia"/>
        </w:rPr>
        <w:t>远程发现异常后，应按规定通知现场人员核查或者按程序启动处置。</w:t>
      </w:r>
    </w:p>
    <w:p w14:paraId="75527286">
      <w:pPr>
        <w:pStyle w:val="164"/>
        <w:spacing w:line="360" w:lineRule="auto"/>
      </w:pPr>
      <w:r>
        <w:rPr>
          <w:rFonts w:hint="eastAsia"/>
        </w:rPr>
        <w:t>监控系统数据中断、误报码频发或者视频失效时，不得仅依赖远程值守维持风险受控状态，应增加现场巡视和人工确认。</w:t>
      </w:r>
    </w:p>
    <w:p w14:paraId="668F729C">
      <w:pPr>
        <w:pStyle w:val="105"/>
        <w:spacing w:before="120" w:after="120" w:line="360" w:lineRule="auto"/>
      </w:pPr>
      <w:r>
        <w:rPr>
          <w:rFonts w:hint="eastAsia"/>
        </w:rPr>
        <w:t>记录要求</w:t>
      </w:r>
    </w:p>
    <w:p w14:paraId="591F48AB">
      <w:pPr>
        <w:pStyle w:val="165"/>
        <w:spacing w:line="360" w:lineRule="auto"/>
      </w:pPr>
      <w:r>
        <w:rPr>
          <w:rFonts w:hint="eastAsia"/>
        </w:rPr>
        <w:t>运行管理、巡视检查、状态监测、运行分析和异常报告均应形成记录。</w:t>
      </w:r>
    </w:p>
    <w:p w14:paraId="77D36C4B">
      <w:pPr>
        <w:pStyle w:val="165"/>
        <w:spacing w:line="360" w:lineRule="auto"/>
      </w:pPr>
      <w:r>
        <w:rPr>
          <w:rFonts w:hint="eastAsia"/>
        </w:rPr>
        <w:t>记录应至少包括时间、地点、设备、状态、异常现象、处置措施和责任人信息。</w:t>
      </w:r>
    </w:p>
    <w:p w14:paraId="4CE0F513">
      <w:pPr>
        <w:pStyle w:val="165"/>
        <w:spacing w:line="360" w:lineRule="auto"/>
      </w:pPr>
      <w:r>
        <w:rPr>
          <w:rFonts w:hint="eastAsia"/>
        </w:rPr>
        <w:t>巡视记录、监测记录、告警记录和缺陷记录之间应相互对应。</w:t>
      </w:r>
    </w:p>
    <w:p w14:paraId="00C771D4">
      <w:pPr>
        <w:pStyle w:val="165"/>
        <w:spacing w:line="360" w:lineRule="auto"/>
      </w:pPr>
      <w:r>
        <w:rPr>
          <w:rFonts w:hint="eastAsia"/>
        </w:rPr>
        <w:t>发现问题未记录、记录不实或者记录无法追溯的，不得视为巡视和监测活动已完成。</w:t>
      </w:r>
    </w:p>
    <w:p w14:paraId="3EABBDFB">
      <w:pPr>
        <w:pStyle w:val="105"/>
        <w:spacing w:before="120" w:after="120" w:line="360" w:lineRule="auto"/>
      </w:pPr>
      <w:r>
        <w:rPr>
          <w:rFonts w:hint="eastAsia"/>
        </w:rPr>
        <w:t>禁止性要求</w:t>
      </w:r>
    </w:p>
    <w:p w14:paraId="7BF49D48">
      <w:pPr>
        <w:pStyle w:val="165"/>
        <w:spacing w:line="360" w:lineRule="auto"/>
      </w:pPr>
      <w:r>
        <w:rPr>
          <w:rFonts w:hint="eastAsia"/>
        </w:rPr>
        <w:t>不得以监控画面值守代替规定的现场巡视。</w:t>
      </w:r>
    </w:p>
    <w:p w14:paraId="05D36348">
      <w:pPr>
        <w:pStyle w:val="165"/>
        <w:spacing w:line="360" w:lineRule="auto"/>
      </w:pPr>
      <w:r>
        <w:rPr>
          <w:rFonts w:hint="eastAsia"/>
        </w:rPr>
        <w:t>不得漏检关键设备、重点区域和异常区域。</w:t>
      </w:r>
    </w:p>
    <w:p w14:paraId="6D68523F">
      <w:pPr>
        <w:pStyle w:val="165"/>
        <w:spacing w:line="360" w:lineRule="auto"/>
      </w:pPr>
      <w:r>
        <w:rPr>
          <w:rFonts w:hint="eastAsia"/>
        </w:rPr>
        <w:t>不得对告警信息只消音不核查、只确认不处置。</w:t>
      </w:r>
    </w:p>
    <w:p w14:paraId="60A370C6">
      <w:pPr>
        <w:pStyle w:val="165"/>
        <w:spacing w:line="360" w:lineRule="auto"/>
      </w:pPr>
      <w:r>
        <w:rPr>
          <w:rFonts w:hint="eastAsia"/>
        </w:rPr>
        <w:t>不得在监测数据明显异常的情况下长期不复核、不分析和不处理。</w:t>
      </w:r>
    </w:p>
    <w:p w14:paraId="64B96897">
      <w:pPr>
        <w:pStyle w:val="165"/>
        <w:spacing w:line="360" w:lineRule="auto"/>
      </w:pPr>
      <w:r>
        <w:rPr>
          <w:rFonts w:hint="eastAsia"/>
        </w:rPr>
        <w:t>不得仅记录“正常”或者“无异常”等笼统结论而不记录必要状态信息和关键参数。</w:t>
      </w:r>
    </w:p>
    <w:p w14:paraId="295A62FB">
      <w:pPr>
        <w:pStyle w:val="104"/>
        <w:spacing w:before="240" w:after="240" w:line="360" w:lineRule="auto"/>
      </w:pPr>
      <w:bookmarkStart w:id="53" w:name="_Toc228605988"/>
      <w:r>
        <w:rPr>
          <w:rFonts w:hint="eastAsia"/>
        </w:rPr>
        <w:t>检修维护与缺陷管理要求</w:t>
      </w:r>
      <w:bookmarkEnd w:id="53"/>
    </w:p>
    <w:p w14:paraId="4A75F8DA">
      <w:pPr>
        <w:pStyle w:val="105"/>
        <w:spacing w:before="120" w:after="120" w:line="360" w:lineRule="auto"/>
      </w:pPr>
      <w:r>
        <w:rPr>
          <w:rFonts w:hint="eastAsia"/>
        </w:rPr>
        <w:t>一般要求</w:t>
      </w:r>
    </w:p>
    <w:p w14:paraId="55745844">
      <w:pPr>
        <w:pStyle w:val="165"/>
        <w:spacing w:line="360" w:lineRule="auto"/>
      </w:pPr>
      <w:r>
        <w:rPr>
          <w:rFonts w:hint="eastAsia"/>
        </w:rPr>
        <w:t>新能源发电场站应建立检修维护与缺陷管理制度。</w:t>
      </w:r>
    </w:p>
    <w:p w14:paraId="034D602C">
      <w:pPr>
        <w:pStyle w:val="165"/>
        <w:spacing w:line="360" w:lineRule="auto"/>
      </w:pPr>
      <w:r>
        <w:rPr>
          <w:rFonts w:hint="eastAsia"/>
        </w:rPr>
        <w:t>检修维护应坚持计划管理、预防为主、状态结合、分级实施和闭环控制的原则。</w:t>
      </w:r>
    </w:p>
    <w:p w14:paraId="25D7A010">
      <w:pPr>
        <w:pStyle w:val="165"/>
        <w:spacing w:line="360" w:lineRule="auto"/>
      </w:pPr>
      <w:r>
        <w:rPr>
          <w:rFonts w:hint="eastAsia"/>
        </w:rPr>
        <w:t>缺陷管理应坚持及时发现、准确判断、分类处置、限期整改和全过程留痕的原则。</w:t>
      </w:r>
    </w:p>
    <w:p w14:paraId="74D07C63">
      <w:pPr>
        <w:pStyle w:val="165"/>
        <w:spacing w:line="360" w:lineRule="auto"/>
      </w:pPr>
      <w:r>
        <w:rPr>
          <w:rFonts w:hint="eastAsia"/>
        </w:rPr>
        <w:t>检修维护和缺陷管理应与运行管理、巡视检查、状态监测、设备防护、备品备件管理和应急处置相衔接。</w:t>
      </w:r>
    </w:p>
    <w:p w14:paraId="3D50FC05">
      <w:pPr>
        <w:pStyle w:val="165"/>
        <w:spacing w:line="360" w:lineRule="auto"/>
      </w:pPr>
      <w:r>
        <w:rPr>
          <w:rFonts w:hint="eastAsia"/>
        </w:rPr>
        <w:t>对关键设备、故障频发设备、特殊环境设备和高风险区域设备，应优先实施预防性维护和重点缺陷治理。</w:t>
      </w:r>
    </w:p>
    <w:p w14:paraId="676B6452">
      <w:pPr>
        <w:pStyle w:val="165"/>
        <w:spacing w:line="360" w:lineRule="auto"/>
      </w:pPr>
      <w:r>
        <w:rPr>
          <w:rFonts w:hint="eastAsia"/>
        </w:rPr>
        <w:t>检修维护活动不得影响场站安全运行和并网安全；确需停运设备实施检修维护的，应履行相应审批、许可和安全措施确认程序。</w:t>
      </w:r>
    </w:p>
    <w:p w14:paraId="60E6F751">
      <w:pPr>
        <w:pStyle w:val="105"/>
        <w:spacing w:before="120" w:after="120" w:line="360" w:lineRule="auto"/>
      </w:pPr>
      <w:r>
        <w:rPr>
          <w:rFonts w:hint="eastAsia"/>
        </w:rPr>
        <w:t>检修维护计划要求</w:t>
      </w:r>
    </w:p>
    <w:p w14:paraId="49B1C9B9">
      <w:pPr>
        <w:pStyle w:val="65"/>
        <w:spacing w:before="120" w:after="120" w:line="360" w:lineRule="auto"/>
      </w:pPr>
      <w:r>
        <w:rPr>
          <w:rFonts w:hint="eastAsia"/>
        </w:rPr>
        <w:t>一般要求</w:t>
      </w:r>
    </w:p>
    <w:p w14:paraId="16CA314E">
      <w:pPr>
        <w:pStyle w:val="164"/>
        <w:spacing w:line="360" w:lineRule="auto"/>
      </w:pPr>
      <w:r>
        <w:rPr>
          <w:rFonts w:hint="eastAsia"/>
        </w:rPr>
        <w:t>场站应根据设备类型、运行年限、运行状态、故障规律、环境条件和制造单位技术要求编制检修维护计划。</w:t>
      </w:r>
    </w:p>
    <w:p w14:paraId="4E6A8D6B">
      <w:pPr>
        <w:pStyle w:val="164"/>
        <w:spacing w:line="360" w:lineRule="auto"/>
      </w:pPr>
      <w:r>
        <w:rPr>
          <w:rFonts w:hint="eastAsia"/>
        </w:rPr>
        <w:t>检修维护计划宜分为年度计划、季度计划、月度计划和专项计划。</w:t>
      </w:r>
    </w:p>
    <w:p w14:paraId="302FC18B">
      <w:pPr>
        <w:pStyle w:val="164"/>
        <w:spacing w:line="360" w:lineRule="auto"/>
      </w:pPr>
      <w:r>
        <w:rPr>
          <w:rFonts w:hint="eastAsia"/>
        </w:rPr>
        <w:t>检修维护计划应与发电安排、调度安排、气象条件和停电计划协调衔接。</w:t>
      </w:r>
    </w:p>
    <w:p w14:paraId="0C70308E">
      <w:pPr>
        <w:pStyle w:val="65"/>
        <w:spacing w:before="120" w:after="120" w:line="360" w:lineRule="auto"/>
      </w:pPr>
      <w:r>
        <w:rPr>
          <w:rFonts w:hint="eastAsia"/>
        </w:rPr>
        <w:t>计划内容</w:t>
      </w:r>
    </w:p>
    <w:p w14:paraId="6A4E898D">
      <w:pPr>
        <w:pStyle w:val="164"/>
        <w:spacing w:line="360" w:lineRule="auto"/>
      </w:pPr>
      <w:r>
        <w:rPr>
          <w:rFonts w:hint="eastAsia"/>
        </w:rPr>
        <w:t>检修维护计划宜至少包括下列内容：</w:t>
      </w:r>
    </w:p>
    <w:p w14:paraId="5F7232E9">
      <w:pPr>
        <w:pStyle w:val="56"/>
        <w:spacing w:line="360" w:lineRule="auto"/>
        <w:ind w:firstLine="420"/>
      </w:pPr>
      <w:r>
        <w:rPr>
          <w:rFonts w:hint="eastAsia"/>
        </w:rPr>
        <w:t>a）设备名称、编号和所在区域；</w:t>
      </w:r>
    </w:p>
    <w:p w14:paraId="3B17F142">
      <w:pPr>
        <w:pStyle w:val="56"/>
        <w:spacing w:line="360" w:lineRule="auto"/>
        <w:ind w:firstLine="420"/>
      </w:pPr>
      <w:r>
        <w:rPr>
          <w:rFonts w:hint="eastAsia"/>
        </w:rPr>
        <w:t>b）检修维护项目；</w:t>
      </w:r>
    </w:p>
    <w:p w14:paraId="208F37F0">
      <w:pPr>
        <w:pStyle w:val="56"/>
        <w:spacing w:line="360" w:lineRule="auto"/>
        <w:ind w:firstLine="420"/>
      </w:pPr>
      <w:r>
        <w:rPr>
          <w:rFonts w:hint="eastAsia"/>
        </w:rPr>
        <w:t>c）计划时间；</w:t>
      </w:r>
    </w:p>
    <w:p w14:paraId="3161A630">
      <w:pPr>
        <w:pStyle w:val="56"/>
        <w:spacing w:line="360" w:lineRule="auto"/>
        <w:ind w:firstLine="420"/>
      </w:pPr>
      <w:r>
        <w:rPr>
          <w:rFonts w:hint="eastAsia"/>
        </w:rPr>
        <w:t>d）技术要求；</w:t>
      </w:r>
    </w:p>
    <w:p w14:paraId="0A315B87">
      <w:pPr>
        <w:pStyle w:val="56"/>
        <w:spacing w:line="360" w:lineRule="auto"/>
        <w:ind w:firstLine="420"/>
      </w:pPr>
      <w:r>
        <w:rPr>
          <w:rFonts w:hint="eastAsia"/>
        </w:rPr>
        <w:t>e）安全措施；</w:t>
      </w:r>
    </w:p>
    <w:p w14:paraId="22910696">
      <w:pPr>
        <w:pStyle w:val="56"/>
        <w:spacing w:line="360" w:lineRule="auto"/>
        <w:ind w:firstLine="420"/>
      </w:pPr>
      <w:r>
        <w:rPr>
          <w:rFonts w:hint="eastAsia"/>
        </w:rPr>
        <w:t>f）作业方式；</w:t>
      </w:r>
    </w:p>
    <w:p w14:paraId="30B67957">
      <w:pPr>
        <w:pStyle w:val="56"/>
        <w:spacing w:line="360" w:lineRule="auto"/>
        <w:ind w:firstLine="420"/>
      </w:pPr>
      <w:r>
        <w:rPr>
          <w:rFonts w:hint="eastAsia"/>
        </w:rPr>
        <w:t>g）责任部门和责任人员；</w:t>
      </w:r>
    </w:p>
    <w:p w14:paraId="6359D811">
      <w:pPr>
        <w:pStyle w:val="56"/>
        <w:spacing w:line="360" w:lineRule="auto"/>
        <w:ind w:firstLine="420"/>
      </w:pPr>
      <w:r>
        <w:rPr>
          <w:rFonts w:hint="eastAsia"/>
        </w:rPr>
        <w:t>h）备品备件需求；</w:t>
      </w:r>
    </w:p>
    <w:p w14:paraId="08C2FFBC">
      <w:pPr>
        <w:pStyle w:val="56"/>
        <w:spacing w:line="360" w:lineRule="auto"/>
        <w:ind w:firstLine="420"/>
      </w:pPr>
      <w:r>
        <w:rPr>
          <w:rFonts w:hint="eastAsia"/>
        </w:rPr>
        <w:t>i）验收要求；</w:t>
      </w:r>
    </w:p>
    <w:p w14:paraId="2CE22731">
      <w:pPr>
        <w:pStyle w:val="56"/>
        <w:spacing w:line="360" w:lineRule="auto"/>
        <w:ind w:firstLine="420"/>
      </w:pPr>
      <w:r>
        <w:rPr>
          <w:rFonts w:hint="eastAsia"/>
        </w:rPr>
        <w:t>j）记录要求。</w:t>
      </w:r>
    </w:p>
    <w:p w14:paraId="3AF7F576">
      <w:pPr>
        <w:pStyle w:val="164"/>
        <w:spacing w:line="360" w:lineRule="auto"/>
      </w:pPr>
      <w:r>
        <w:rPr>
          <w:rFonts w:hint="eastAsia"/>
        </w:rPr>
        <w:t>对风电机组年度检修、光伏阵列集中维护、升压站设备预防性试验、储能系统专项检查、防雷检测和消防设施维护等重点项目，应单独明确技术要点和风险控制要求。</w:t>
      </w:r>
    </w:p>
    <w:p w14:paraId="256731C6">
      <w:pPr>
        <w:pStyle w:val="65"/>
        <w:spacing w:before="120" w:after="120" w:line="360" w:lineRule="auto"/>
      </w:pPr>
      <w:r>
        <w:rPr>
          <w:rFonts w:hint="eastAsia"/>
        </w:rPr>
        <w:t>计划调整要求</w:t>
      </w:r>
    </w:p>
    <w:p w14:paraId="607F9B6F">
      <w:pPr>
        <w:pStyle w:val="164"/>
        <w:spacing w:line="360" w:lineRule="auto"/>
      </w:pPr>
      <w:r>
        <w:rPr>
          <w:rFonts w:hint="eastAsia"/>
        </w:rPr>
        <w:t>检修维护计划需调整时，应说明调整原因、影响范围和替代措施。</w:t>
      </w:r>
    </w:p>
    <w:p w14:paraId="75B3DD34">
      <w:pPr>
        <w:pStyle w:val="164"/>
        <w:spacing w:line="360" w:lineRule="auto"/>
      </w:pPr>
      <w:r>
        <w:rPr>
          <w:rFonts w:hint="eastAsia"/>
        </w:rPr>
        <w:t>因极端天气、设备突发异常、并网运行要求或者重大保电任务导致计划变更的，应重新确认作业时机和安全边界。</w:t>
      </w:r>
    </w:p>
    <w:p w14:paraId="1D6FA1EC">
      <w:pPr>
        <w:pStyle w:val="164"/>
        <w:spacing w:line="360" w:lineRule="auto"/>
      </w:pPr>
      <w:r>
        <w:rPr>
          <w:rFonts w:hint="eastAsia"/>
        </w:rPr>
        <w:t>未经确认，不得擅自取消关键设备维护项目、延后重要试验项目或者压缩必要作业步骤。</w:t>
      </w:r>
    </w:p>
    <w:p w14:paraId="66C1E25F">
      <w:pPr>
        <w:pStyle w:val="105"/>
        <w:spacing w:before="120" w:after="120" w:line="360" w:lineRule="auto"/>
      </w:pPr>
      <w:r>
        <w:rPr>
          <w:rFonts w:hint="eastAsia"/>
        </w:rPr>
        <w:t>检修维护实施要求</w:t>
      </w:r>
    </w:p>
    <w:p w14:paraId="44C71174">
      <w:pPr>
        <w:pStyle w:val="65"/>
        <w:spacing w:before="120" w:after="120" w:line="360" w:lineRule="auto"/>
      </w:pPr>
      <w:r>
        <w:rPr>
          <w:rFonts w:hint="eastAsia"/>
        </w:rPr>
        <w:t>一般要求</w:t>
      </w:r>
    </w:p>
    <w:p w14:paraId="15E0B85B">
      <w:pPr>
        <w:pStyle w:val="164"/>
        <w:spacing w:line="360" w:lineRule="auto"/>
      </w:pPr>
      <w:r>
        <w:rPr>
          <w:rFonts w:hint="eastAsia"/>
        </w:rPr>
        <w:t>检修维护应依据操作规程、检修规程、技术文件和作业票证实施。</w:t>
      </w:r>
    </w:p>
    <w:p w14:paraId="38A83BFD">
      <w:pPr>
        <w:pStyle w:val="164"/>
        <w:spacing w:line="360" w:lineRule="auto"/>
      </w:pPr>
      <w:r>
        <w:rPr>
          <w:rFonts w:hint="eastAsia"/>
        </w:rPr>
        <w:t>检修维护前，应完成工作票、操作票、风险分析、技术交底和现场安全交底。</w:t>
      </w:r>
    </w:p>
    <w:p w14:paraId="36CAC89C">
      <w:pPr>
        <w:pStyle w:val="164"/>
        <w:spacing w:line="360" w:lineRule="auto"/>
      </w:pPr>
      <w:r>
        <w:rPr>
          <w:rFonts w:hint="eastAsia"/>
        </w:rPr>
        <w:t>检修维护过程中，应严格执行停电、验电、接地、挂牌、隔离、监护和复查措施。</w:t>
      </w:r>
    </w:p>
    <w:p w14:paraId="481B4BE9">
      <w:pPr>
        <w:pStyle w:val="164"/>
        <w:spacing w:line="360" w:lineRule="auto"/>
      </w:pPr>
      <w:r>
        <w:rPr>
          <w:rFonts w:hint="eastAsia"/>
        </w:rPr>
        <w:t>检修维护作业完成后，应进行恢复确认、功能试验和现场清理。</w:t>
      </w:r>
    </w:p>
    <w:p w14:paraId="4DF0C01A">
      <w:pPr>
        <w:pStyle w:val="65"/>
        <w:spacing w:before="120" w:after="120" w:line="360" w:lineRule="auto"/>
      </w:pPr>
      <w:r>
        <w:rPr>
          <w:rFonts w:hint="eastAsia"/>
        </w:rPr>
        <w:t>关键作业控制要求</w:t>
      </w:r>
    </w:p>
    <w:p w14:paraId="1E89EB75">
      <w:pPr>
        <w:pStyle w:val="164"/>
        <w:spacing w:line="360" w:lineRule="auto"/>
      </w:pPr>
      <w:r>
        <w:rPr>
          <w:rFonts w:hint="eastAsia"/>
        </w:rPr>
        <w:t>涉及高处作业、吊装作业、带电邻近作业、动火作业、有限空间作业和电池舱内部作业的，应制定专项作业措施。</w:t>
      </w:r>
    </w:p>
    <w:p w14:paraId="173C1861">
      <w:pPr>
        <w:pStyle w:val="164"/>
        <w:spacing w:line="360" w:lineRule="auto"/>
      </w:pPr>
      <w:r>
        <w:rPr>
          <w:rFonts w:hint="eastAsia"/>
        </w:rPr>
        <w:t>涉及风机机舱、叶轮、塔筒内部、光伏高温组件区域、储能电池舱、升压站高压区域和电缆夹层等高风险部位的检修维护，应实施双人确认和现场监护。</w:t>
      </w:r>
    </w:p>
    <w:p w14:paraId="04F569F9">
      <w:pPr>
        <w:pStyle w:val="164"/>
        <w:spacing w:line="360" w:lineRule="auto"/>
      </w:pPr>
      <w:r>
        <w:rPr>
          <w:rFonts w:hint="eastAsia"/>
        </w:rPr>
        <w:t>对保护装置、自动控制系统、监控系统、消防系统和防误装置的检修维护，不得在无替代监护措施的情况下长期退出相关功能。</w:t>
      </w:r>
    </w:p>
    <w:p w14:paraId="527270F6">
      <w:pPr>
        <w:pStyle w:val="65"/>
        <w:spacing w:before="120" w:after="120" w:line="360" w:lineRule="auto"/>
      </w:pPr>
      <w:r>
        <w:rPr>
          <w:rFonts w:hint="eastAsia"/>
        </w:rPr>
        <w:t>工器具和备件要求</w:t>
      </w:r>
    </w:p>
    <w:p w14:paraId="27E91622">
      <w:pPr>
        <w:pStyle w:val="164"/>
        <w:spacing w:line="360" w:lineRule="auto"/>
      </w:pPr>
      <w:r>
        <w:rPr>
          <w:rFonts w:hint="eastAsia"/>
        </w:rPr>
        <w:t>检修维护使用的工器具、试验仪器、安全工器具和起重工具应状态良好、检验合格。</w:t>
      </w:r>
    </w:p>
    <w:p w14:paraId="6B4D4CF1">
      <w:pPr>
        <w:pStyle w:val="164"/>
        <w:spacing w:line="360" w:lineRule="auto"/>
      </w:pPr>
      <w:r>
        <w:rPr>
          <w:rFonts w:hint="eastAsia"/>
        </w:rPr>
        <w:t>超过有效期、绝缘性能不明或者状态异常的工器具，不得投入使用。</w:t>
      </w:r>
    </w:p>
    <w:p w14:paraId="49A083EE">
      <w:pPr>
        <w:pStyle w:val="164"/>
        <w:spacing w:line="360" w:lineRule="auto"/>
      </w:pPr>
      <w:r>
        <w:rPr>
          <w:rFonts w:hint="eastAsia"/>
        </w:rPr>
        <w:t>更换部件、备品备件和耗材应与原设备技术要求相适配，不得使用来源不明、规格不符或者质量无法确认的替代件。</w:t>
      </w:r>
    </w:p>
    <w:p w14:paraId="2ED02642">
      <w:pPr>
        <w:pStyle w:val="105"/>
        <w:spacing w:before="120" w:after="120" w:line="360" w:lineRule="auto"/>
      </w:pPr>
      <w:r>
        <w:rPr>
          <w:rFonts w:hint="eastAsia"/>
        </w:rPr>
        <w:t>预防性维护要求</w:t>
      </w:r>
    </w:p>
    <w:p w14:paraId="3E10B37F">
      <w:pPr>
        <w:pStyle w:val="65"/>
        <w:spacing w:before="120" w:after="120" w:line="360" w:lineRule="auto"/>
      </w:pPr>
      <w:r>
        <w:rPr>
          <w:rFonts w:hint="eastAsia"/>
        </w:rPr>
        <w:t>一般要求</w:t>
      </w:r>
    </w:p>
    <w:p w14:paraId="4C0F0066">
      <w:pPr>
        <w:pStyle w:val="164"/>
        <w:spacing w:line="360" w:lineRule="auto"/>
      </w:pPr>
      <w:r>
        <w:rPr>
          <w:rFonts w:hint="eastAsia"/>
        </w:rPr>
        <w:t>场站应建立预防性维护机制。</w:t>
      </w:r>
    </w:p>
    <w:p w14:paraId="6D628F8A">
      <w:pPr>
        <w:pStyle w:val="164"/>
        <w:spacing w:line="360" w:lineRule="auto"/>
      </w:pPr>
      <w:r>
        <w:rPr>
          <w:rFonts w:hint="eastAsia"/>
        </w:rPr>
        <w:t>预防性维护应结合运行时间、启停次数、负荷水平、环境条件、监测结果和历史缺陷情况实施。</w:t>
      </w:r>
    </w:p>
    <w:p w14:paraId="4CB1F6E7">
      <w:pPr>
        <w:pStyle w:val="164"/>
        <w:spacing w:line="360" w:lineRule="auto"/>
      </w:pPr>
      <w:r>
        <w:rPr>
          <w:rFonts w:hint="eastAsia"/>
        </w:rPr>
        <w:t>预防性维护项目不得长期被故障抢修任务挤占或者替代。</w:t>
      </w:r>
    </w:p>
    <w:p w14:paraId="2CDFF456">
      <w:pPr>
        <w:pStyle w:val="65"/>
        <w:spacing w:before="120" w:after="120" w:line="360" w:lineRule="auto"/>
      </w:pPr>
      <w:r>
        <w:rPr>
          <w:rFonts w:hint="eastAsia"/>
        </w:rPr>
        <w:t>重点内容</w:t>
      </w:r>
    </w:p>
    <w:p w14:paraId="6494B2BF">
      <w:pPr>
        <w:pStyle w:val="164"/>
        <w:spacing w:line="360" w:lineRule="auto"/>
      </w:pPr>
      <w:r>
        <w:rPr>
          <w:rFonts w:hint="eastAsia"/>
        </w:rPr>
        <w:t>预防性维护宜重点覆盖下列内容：</w:t>
      </w:r>
    </w:p>
    <w:p w14:paraId="32598E8E">
      <w:pPr>
        <w:pStyle w:val="56"/>
        <w:spacing w:line="360" w:lineRule="auto"/>
        <w:ind w:firstLine="420"/>
      </w:pPr>
      <w:r>
        <w:rPr>
          <w:rFonts w:hint="eastAsia"/>
        </w:rPr>
        <w:t>a）连接紧固；</w:t>
      </w:r>
    </w:p>
    <w:p w14:paraId="30BEBB9F">
      <w:pPr>
        <w:pStyle w:val="56"/>
        <w:spacing w:line="360" w:lineRule="auto"/>
        <w:ind w:firstLine="420"/>
      </w:pPr>
      <w:r>
        <w:rPr>
          <w:rFonts w:hint="eastAsia"/>
        </w:rPr>
        <w:t>b）绝缘检查；</w:t>
      </w:r>
    </w:p>
    <w:p w14:paraId="20309B08">
      <w:pPr>
        <w:pStyle w:val="56"/>
        <w:spacing w:line="360" w:lineRule="auto"/>
        <w:ind w:firstLine="420"/>
      </w:pPr>
      <w:r>
        <w:rPr>
          <w:rFonts w:hint="eastAsia"/>
        </w:rPr>
        <w:t>c）润滑保养；</w:t>
      </w:r>
    </w:p>
    <w:p w14:paraId="03B83456">
      <w:pPr>
        <w:pStyle w:val="56"/>
        <w:spacing w:line="360" w:lineRule="auto"/>
        <w:ind w:firstLine="420"/>
      </w:pPr>
      <w:r>
        <w:rPr>
          <w:rFonts w:hint="eastAsia"/>
        </w:rPr>
        <w:t>d）清洁除尘；</w:t>
      </w:r>
    </w:p>
    <w:p w14:paraId="4CBC8415">
      <w:pPr>
        <w:pStyle w:val="56"/>
        <w:spacing w:line="360" w:lineRule="auto"/>
        <w:ind w:firstLine="420"/>
      </w:pPr>
      <w:r>
        <w:rPr>
          <w:rFonts w:hint="eastAsia"/>
        </w:rPr>
        <w:t>e）防腐维护；</w:t>
      </w:r>
    </w:p>
    <w:p w14:paraId="77240659">
      <w:pPr>
        <w:pStyle w:val="56"/>
        <w:spacing w:line="360" w:lineRule="auto"/>
        <w:ind w:firstLine="420"/>
      </w:pPr>
      <w:r>
        <w:rPr>
          <w:rFonts w:hint="eastAsia"/>
        </w:rPr>
        <w:t>f）冷却与散热系统检查；</w:t>
      </w:r>
    </w:p>
    <w:p w14:paraId="3C1473AD">
      <w:pPr>
        <w:pStyle w:val="56"/>
        <w:spacing w:line="360" w:lineRule="auto"/>
        <w:ind w:firstLine="420"/>
      </w:pPr>
      <w:r>
        <w:rPr>
          <w:rFonts w:hint="eastAsia"/>
        </w:rPr>
        <w:t>g）接地系统检查；</w:t>
      </w:r>
    </w:p>
    <w:p w14:paraId="77A68AB0">
      <w:pPr>
        <w:pStyle w:val="56"/>
        <w:spacing w:line="360" w:lineRule="auto"/>
        <w:ind w:firstLine="420"/>
      </w:pPr>
      <w:r>
        <w:rPr>
          <w:rFonts w:hint="eastAsia"/>
        </w:rPr>
        <w:t>h）防雷设施检查；</w:t>
      </w:r>
    </w:p>
    <w:p w14:paraId="4B236FC8">
      <w:pPr>
        <w:pStyle w:val="56"/>
        <w:spacing w:line="360" w:lineRule="auto"/>
        <w:ind w:firstLine="420"/>
      </w:pPr>
      <w:r>
        <w:rPr>
          <w:rFonts w:hint="eastAsia"/>
        </w:rPr>
        <w:t>i）消防设施检查；</w:t>
      </w:r>
    </w:p>
    <w:p w14:paraId="334B4B72">
      <w:pPr>
        <w:pStyle w:val="56"/>
        <w:spacing w:line="360" w:lineRule="auto"/>
        <w:ind w:firstLine="420"/>
      </w:pPr>
      <w:r>
        <w:rPr>
          <w:rFonts w:hint="eastAsia"/>
        </w:rPr>
        <w:t>j）关键控制和保护功能核查。</w:t>
      </w:r>
    </w:p>
    <w:p w14:paraId="353B6453">
      <w:pPr>
        <w:pStyle w:val="164"/>
        <w:spacing w:line="360" w:lineRule="auto"/>
      </w:pPr>
      <w:r>
        <w:rPr>
          <w:rFonts w:hint="eastAsia"/>
        </w:rPr>
        <w:t>对风电机组传动系统、液压系统、偏航系统和变桨系统，光伏组件连接部位、逆变设备散热系统和直流侧接线，储能电池连接部位、热管理系统和消防联动装置，升压站开关设备、保护装置和直流系统，应实施重点预防性维护。</w:t>
      </w:r>
    </w:p>
    <w:p w14:paraId="7BE3DC3E">
      <w:pPr>
        <w:pStyle w:val="164"/>
        <w:numPr>
          <w:ilvl w:val="0"/>
          <w:numId w:val="0"/>
        </w:numPr>
        <w:spacing w:line="360" w:lineRule="auto"/>
        <w:rPr>
          <w:rFonts w:hint="eastAsia"/>
        </w:rPr>
      </w:pPr>
    </w:p>
    <w:p w14:paraId="5CA986FE">
      <w:pPr>
        <w:pStyle w:val="105"/>
        <w:spacing w:before="120" w:after="120" w:line="360" w:lineRule="auto"/>
      </w:pPr>
      <w:r>
        <w:rPr>
          <w:rFonts w:hint="eastAsia"/>
        </w:rPr>
        <w:t>缺陷识别与登记要求</w:t>
      </w:r>
    </w:p>
    <w:p w14:paraId="735ABA34">
      <w:pPr>
        <w:pStyle w:val="65"/>
        <w:spacing w:before="120" w:after="120" w:line="360" w:lineRule="auto"/>
      </w:pPr>
      <w:r>
        <w:rPr>
          <w:rFonts w:hint="eastAsia"/>
        </w:rPr>
        <w:t>一般要求</w:t>
      </w:r>
    </w:p>
    <w:p w14:paraId="595FC9B5">
      <w:pPr>
        <w:pStyle w:val="164"/>
        <w:spacing w:line="360" w:lineRule="auto"/>
      </w:pPr>
      <w:r>
        <w:rPr>
          <w:rFonts w:hint="eastAsia"/>
        </w:rPr>
        <w:t>巡视检查、状态监测、运行分析、检修试验和作业反馈中发现的异常，应纳入缺陷管理。</w:t>
      </w:r>
    </w:p>
    <w:p w14:paraId="45F333F4">
      <w:pPr>
        <w:pStyle w:val="164"/>
        <w:spacing w:line="360" w:lineRule="auto"/>
      </w:pPr>
      <w:r>
        <w:rPr>
          <w:rFonts w:hint="eastAsia"/>
        </w:rPr>
        <w:t>缺陷应及时登记，不得口头掌握、长期搁置或者遗漏不报。</w:t>
      </w:r>
    </w:p>
    <w:p w14:paraId="5945F7E3">
      <w:pPr>
        <w:pStyle w:val="164"/>
        <w:spacing w:line="360" w:lineRule="auto"/>
      </w:pPr>
      <w:r>
        <w:rPr>
          <w:rFonts w:hint="eastAsia"/>
        </w:rPr>
        <w:t>缺陷登记应与设备台账、巡视记录、监测记录和故障记录相对应。</w:t>
      </w:r>
    </w:p>
    <w:p w14:paraId="79430CA9">
      <w:pPr>
        <w:pStyle w:val="65"/>
        <w:spacing w:before="120" w:after="120" w:line="360" w:lineRule="auto"/>
      </w:pPr>
      <w:r>
        <w:rPr>
          <w:rFonts w:hint="eastAsia"/>
        </w:rPr>
        <w:t>缺陷登记内容</w:t>
      </w:r>
    </w:p>
    <w:p w14:paraId="4E6CFA29">
      <w:pPr>
        <w:pStyle w:val="164"/>
        <w:spacing w:line="360" w:lineRule="auto"/>
      </w:pPr>
      <w:r>
        <w:rPr>
          <w:rFonts w:hint="eastAsia"/>
        </w:rPr>
        <w:t>缺陷登记宜至少包括下列内容：</w:t>
      </w:r>
    </w:p>
    <w:p w14:paraId="3F0734FC">
      <w:pPr>
        <w:pStyle w:val="56"/>
        <w:spacing w:line="360" w:lineRule="auto"/>
        <w:ind w:firstLine="420"/>
      </w:pPr>
      <w:r>
        <w:rPr>
          <w:rFonts w:hint="eastAsia"/>
        </w:rPr>
        <w:t>a）发现时间；</w:t>
      </w:r>
    </w:p>
    <w:p w14:paraId="12888369">
      <w:pPr>
        <w:pStyle w:val="56"/>
        <w:spacing w:line="360" w:lineRule="auto"/>
        <w:ind w:firstLine="420"/>
      </w:pPr>
      <w:r>
        <w:rPr>
          <w:rFonts w:hint="eastAsia"/>
        </w:rPr>
        <w:t>b）设备名称和编号；</w:t>
      </w:r>
    </w:p>
    <w:p w14:paraId="1A262126">
      <w:pPr>
        <w:pStyle w:val="56"/>
        <w:spacing w:line="360" w:lineRule="auto"/>
        <w:ind w:firstLine="420"/>
      </w:pPr>
      <w:r>
        <w:rPr>
          <w:rFonts w:hint="eastAsia"/>
        </w:rPr>
        <w:t>c）缺陷位置；</w:t>
      </w:r>
    </w:p>
    <w:p w14:paraId="43D265A7">
      <w:pPr>
        <w:pStyle w:val="56"/>
        <w:spacing w:line="360" w:lineRule="auto"/>
        <w:ind w:firstLine="420"/>
      </w:pPr>
      <w:r>
        <w:rPr>
          <w:rFonts w:hint="eastAsia"/>
        </w:rPr>
        <w:t>d）缺陷现象；</w:t>
      </w:r>
    </w:p>
    <w:p w14:paraId="79929001">
      <w:pPr>
        <w:pStyle w:val="56"/>
        <w:spacing w:line="360" w:lineRule="auto"/>
        <w:ind w:firstLine="420"/>
      </w:pPr>
      <w:r>
        <w:rPr>
          <w:rFonts w:hint="eastAsia"/>
        </w:rPr>
        <w:t>e）发现方式；</w:t>
      </w:r>
    </w:p>
    <w:p w14:paraId="06AB7C7D">
      <w:pPr>
        <w:pStyle w:val="56"/>
        <w:spacing w:line="360" w:lineRule="auto"/>
        <w:ind w:firstLine="420"/>
      </w:pPr>
      <w:r>
        <w:rPr>
          <w:rFonts w:hint="eastAsia"/>
        </w:rPr>
        <w:t>f）初步影响判断；</w:t>
      </w:r>
    </w:p>
    <w:p w14:paraId="7BD38047">
      <w:pPr>
        <w:pStyle w:val="56"/>
        <w:spacing w:line="360" w:lineRule="auto"/>
        <w:ind w:firstLine="420"/>
      </w:pPr>
      <w:r>
        <w:rPr>
          <w:rFonts w:hint="eastAsia"/>
        </w:rPr>
        <w:t>g）临时控制措施；</w:t>
      </w:r>
    </w:p>
    <w:p w14:paraId="7BED1ED2">
      <w:pPr>
        <w:pStyle w:val="56"/>
        <w:spacing w:line="360" w:lineRule="auto"/>
        <w:ind w:firstLine="420"/>
      </w:pPr>
      <w:r>
        <w:rPr>
          <w:rFonts w:hint="eastAsia"/>
        </w:rPr>
        <w:t>h）责任部门；</w:t>
      </w:r>
    </w:p>
    <w:p w14:paraId="52C46862">
      <w:pPr>
        <w:pStyle w:val="56"/>
        <w:spacing w:line="360" w:lineRule="auto"/>
        <w:ind w:firstLine="420"/>
      </w:pPr>
      <w:r>
        <w:rPr>
          <w:rFonts w:hint="eastAsia"/>
        </w:rPr>
        <w:t>i）计划处理时限；</w:t>
      </w:r>
    </w:p>
    <w:p w14:paraId="525E1D07">
      <w:pPr>
        <w:pStyle w:val="56"/>
        <w:spacing w:line="360" w:lineRule="auto"/>
        <w:ind w:firstLine="420"/>
      </w:pPr>
      <w:r>
        <w:rPr>
          <w:rFonts w:hint="eastAsia"/>
        </w:rPr>
        <w:t>j）复核情况。</w:t>
      </w:r>
    </w:p>
    <w:p w14:paraId="491E39D6">
      <w:pPr>
        <w:pStyle w:val="164"/>
        <w:spacing w:line="360" w:lineRule="auto"/>
      </w:pPr>
      <w:r>
        <w:rPr>
          <w:rFonts w:hint="eastAsia"/>
        </w:rPr>
        <w:t>缺陷描述应准确、清晰、可识别，不得仅使用“异常”“有问题”等模糊表述替代具体情况。</w:t>
      </w:r>
    </w:p>
    <w:p w14:paraId="458B4EAC">
      <w:pPr>
        <w:pStyle w:val="105"/>
        <w:spacing w:before="120" w:after="120" w:line="360" w:lineRule="auto"/>
      </w:pPr>
      <w:r>
        <w:rPr>
          <w:rFonts w:hint="eastAsia"/>
        </w:rPr>
        <w:t>缺陷分级要求</w:t>
      </w:r>
    </w:p>
    <w:p w14:paraId="62E75FAA">
      <w:pPr>
        <w:pStyle w:val="65"/>
        <w:spacing w:before="120" w:after="120" w:line="360" w:lineRule="auto"/>
      </w:pPr>
      <w:r>
        <w:rPr>
          <w:rFonts w:hint="eastAsia"/>
        </w:rPr>
        <w:t>一般要求</w:t>
      </w:r>
    </w:p>
    <w:p w14:paraId="04E61DF6">
      <w:pPr>
        <w:pStyle w:val="164"/>
        <w:spacing w:line="360" w:lineRule="auto"/>
      </w:pPr>
      <w:r>
        <w:rPr>
          <w:rFonts w:hint="eastAsia"/>
        </w:rPr>
        <w:t>场站应对缺陷实施分级管理。</w:t>
      </w:r>
    </w:p>
    <w:p w14:paraId="3698C5A9">
      <w:pPr>
        <w:pStyle w:val="164"/>
        <w:spacing w:line="360" w:lineRule="auto"/>
      </w:pPr>
      <w:r>
        <w:rPr>
          <w:rFonts w:hint="eastAsia"/>
        </w:rPr>
        <w:t>缺陷宜分为一般缺陷、重要缺陷和紧急缺陷。</w:t>
      </w:r>
    </w:p>
    <w:p w14:paraId="41AD3C02">
      <w:pPr>
        <w:pStyle w:val="65"/>
        <w:spacing w:before="120" w:after="120" w:line="360" w:lineRule="auto"/>
      </w:pPr>
      <w:r>
        <w:rPr>
          <w:rFonts w:hint="eastAsia"/>
        </w:rPr>
        <w:t>分级原则</w:t>
      </w:r>
    </w:p>
    <w:p w14:paraId="1CDD765A">
      <w:pPr>
        <w:pStyle w:val="164"/>
        <w:spacing w:line="360" w:lineRule="auto"/>
      </w:pPr>
      <w:r>
        <w:rPr>
          <w:rFonts w:hint="eastAsia"/>
        </w:rPr>
        <w:t>缺陷分级宜综合考虑下列因素：</w:t>
      </w:r>
    </w:p>
    <w:p w14:paraId="3BC8A7E8">
      <w:pPr>
        <w:pStyle w:val="56"/>
        <w:spacing w:line="360" w:lineRule="auto"/>
        <w:ind w:firstLine="420"/>
      </w:pPr>
      <w:r>
        <w:rPr>
          <w:rFonts w:hint="eastAsia"/>
        </w:rPr>
        <w:t>a）对人身安全的影响；</w:t>
      </w:r>
    </w:p>
    <w:p w14:paraId="1BDE4633">
      <w:pPr>
        <w:pStyle w:val="56"/>
        <w:spacing w:line="360" w:lineRule="auto"/>
        <w:ind w:firstLine="420"/>
      </w:pPr>
      <w:r>
        <w:rPr>
          <w:rFonts w:hint="eastAsia"/>
        </w:rPr>
        <w:t>b）对设备安全的影响；</w:t>
      </w:r>
    </w:p>
    <w:p w14:paraId="3937E0FA">
      <w:pPr>
        <w:pStyle w:val="56"/>
        <w:spacing w:line="360" w:lineRule="auto"/>
        <w:ind w:firstLine="420"/>
      </w:pPr>
      <w:r>
        <w:rPr>
          <w:rFonts w:hint="eastAsia"/>
        </w:rPr>
        <w:t>c）对发电能力的影响；</w:t>
      </w:r>
    </w:p>
    <w:p w14:paraId="2FBEB77B">
      <w:pPr>
        <w:pStyle w:val="56"/>
        <w:spacing w:line="360" w:lineRule="auto"/>
        <w:ind w:firstLine="420"/>
      </w:pPr>
      <w:r>
        <w:rPr>
          <w:rFonts w:hint="eastAsia"/>
        </w:rPr>
        <w:t>d）对并网安全的影响；</w:t>
      </w:r>
    </w:p>
    <w:p w14:paraId="4291A94C">
      <w:pPr>
        <w:pStyle w:val="56"/>
        <w:spacing w:line="360" w:lineRule="auto"/>
        <w:ind w:firstLine="420"/>
      </w:pPr>
      <w:r>
        <w:rPr>
          <w:rFonts w:hint="eastAsia"/>
        </w:rPr>
        <w:t>e）对火灾、爆炸和环境事故风险的影响；</w:t>
      </w:r>
    </w:p>
    <w:p w14:paraId="6918AA9D">
      <w:pPr>
        <w:pStyle w:val="56"/>
        <w:spacing w:line="360" w:lineRule="auto"/>
        <w:ind w:firstLine="420"/>
      </w:pPr>
      <w:r>
        <w:rPr>
          <w:rFonts w:hint="eastAsia"/>
        </w:rPr>
        <w:t>f）缺陷扩展和恶化速度；</w:t>
      </w:r>
    </w:p>
    <w:p w14:paraId="0AA54070">
      <w:pPr>
        <w:pStyle w:val="56"/>
        <w:spacing w:line="360" w:lineRule="auto"/>
        <w:ind w:firstLine="420"/>
      </w:pPr>
      <w:r>
        <w:rPr>
          <w:rFonts w:hint="eastAsia"/>
        </w:rPr>
        <w:t>g）处理难度和恢复难度。</w:t>
      </w:r>
    </w:p>
    <w:p w14:paraId="6F14013E">
      <w:pPr>
        <w:pStyle w:val="164"/>
        <w:spacing w:line="360" w:lineRule="auto"/>
      </w:pPr>
      <w:r>
        <w:rPr>
          <w:rFonts w:hint="eastAsia"/>
        </w:rPr>
        <w:t>具有下列情形之一的，应列为紧急缺陷：</w:t>
      </w:r>
    </w:p>
    <w:p w14:paraId="0DBAFDED">
      <w:pPr>
        <w:pStyle w:val="56"/>
        <w:spacing w:line="360" w:lineRule="auto"/>
        <w:ind w:firstLine="420"/>
      </w:pPr>
      <w:r>
        <w:rPr>
          <w:rFonts w:hint="eastAsia"/>
        </w:rPr>
        <w:t>a）可能危及人身安全；</w:t>
      </w:r>
    </w:p>
    <w:p w14:paraId="59AC30C2">
      <w:pPr>
        <w:pStyle w:val="56"/>
        <w:spacing w:line="360" w:lineRule="auto"/>
        <w:ind w:firstLine="420"/>
      </w:pPr>
      <w:r>
        <w:rPr>
          <w:rFonts w:hint="eastAsia"/>
        </w:rPr>
        <w:t>b）可能引发火灾、爆炸或者重大设备损坏；</w:t>
      </w:r>
    </w:p>
    <w:p w14:paraId="3DD75D24">
      <w:pPr>
        <w:pStyle w:val="56"/>
        <w:spacing w:line="360" w:lineRule="auto"/>
        <w:ind w:firstLine="420"/>
      </w:pPr>
      <w:r>
        <w:rPr>
          <w:rFonts w:hint="eastAsia"/>
        </w:rPr>
        <w:t>c）可能导致场站主要设备停运或者并网异常；</w:t>
      </w:r>
    </w:p>
    <w:p w14:paraId="0A1CFFAE">
      <w:pPr>
        <w:pStyle w:val="56"/>
        <w:spacing w:line="360" w:lineRule="auto"/>
        <w:ind w:firstLine="420"/>
      </w:pPr>
      <w:r>
        <w:rPr>
          <w:rFonts w:hint="eastAsia"/>
        </w:rPr>
        <w:t>d）可能引发大面积脱网或者保护失效；</w:t>
      </w:r>
    </w:p>
    <w:p w14:paraId="76FDDDE9">
      <w:pPr>
        <w:pStyle w:val="56"/>
        <w:spacing w:line="360" w:lineRule="auto"/>
        <w:ind w:firstLine="420"/>
      </w:pPr>
      <w:r>
        <w:rPr>
          <w:rFonts w:hint="eastAsia"/>
        </w:rPr>
        <w:t>e）可能快速扩大为事故事件。</w:t>
      </w:r>
    </w:p>
    <w:p w14:paraId="5511DA79">
      <w:pPr>
        <w:pStyle w:val="164"/>
        <w:spacing w:line="360" w:lineRule="auto"/>
      </w:pPr>
      <w:r>
        <w:rPr>
          <w:rFonts w:hint="eastAsia"/>
        </w:rPr>
        <w:t>紧急缺陷应立即处置或者采取可靠隔离控制措施；重要缺陷应限期处理；一般缺陷应纳入计划整改。</w:t>
      </w:r>
    </w:p>
    <w:p w14:paraId="7CD61DDA">
      <w:pPr>
        <w:pStyle w:val="105"/>
        <w:spacing w:before="120" w:after="120" w:line="360" w:lineRule="auto"/>
      </w:pPr>
      <w:r>
        <w:rPr>
          <w:rFonts w:hint="eastAsia"/>
        </w:rPr>
        <w:t>缺陷处置要求</w:t>
      </w:r>
    </w:p>
    <w:p w14:paraId="310BB599">
      <w:pPr>
        <w:pStyle w:val="65"/>
        <w:spacing w:before="120" w:after="120" w:line="360" w:lineRule="auto"/>
      </w:pPr>
      <w:r>
        <w:rPr>
          <w:rFonts w:hint="eastAsia"/>
        </w:rPr>
        <w:t>一般要求</w:t>
      </w:r>
    </w:p>
    <w:p w14:paraId="753F6E05">
      <w:pPr>
        <w:pStyle w:val="164"/>
        <w:spacing w:line="360" w:lineRule="auto"/>
      </w:pPr>
      <w:r>
        <w:rPr>
          <w:rFonts w:hint="eastAsia"/>
        </w:rPr>
        <w:t>缺陷处置应坚持先控制风险、后组织修复的原则。</w:t>
      </w:r>
    </w:p>
    <w:p w14:paraId="6D845BAA">
      <w:pPr>
        <w:pStyle w:val="164"/>
        <w:spacing w:line="360" w:lineRule="auto"/>
      </w:pPr>
      <w:r>
        <w:rPr>
          <w:rFonts w:hint="eastAsia"/>
        </w:rPr>
        <w:t>对不能立即消除的缺陷，应采取临时控制措施并明确风险提示和复查要求。</w:t>
      </w:r>
    </w:p>
    <w:p w14:paraId="437362C6">
      <w:pPr>
        <w:pStyle w:val="164"/>
        <w:spacing w:line="360" w:lineRule="auto"/>
      </w:pPr>
      <w:r>
        <w:rPr>
          <w:rFonts w:hint="eastAsia"/>
        </w:rPr>
        <w:t>缺陷处置应与运行方式、设备状态和检修安排统筹实施。</w:t>
      </w:r>
    </w:p>
    <w:p w14:paraId="09BA57DC">
      <w:pPr>
        <w:pStyle w:val="65"/>
        <w:spacing w:before="120" w:after="120" w:line="360" w:lineRule="auto"/>
      </w:pPr>
      <w:r>
        <w:rPr>
          <w:rFonts w:hint="eastAsia"/>
        </w:rPr>
        <w:t>临时措施要求</w:t>
      </w:r>
    </w:p>
    <w:p w14:paraId="5E400403">
      <w:pPr>
        <w:pStyle w:val="164"/>
        <w:spacing w:line="360" w:lineRule="auto"/>
      </w:pPr>
      <w:r>
        <w:rPr>
          <w:rFonts w:hint="eastAsia"/>
        </w:rPr>
        <w:t>临时措施应确保风险可控，不得引入新的更高风险。</w:t>
      </w:r>
    </w:p>
    <w:p w14:paraId="2B4730CF">
      <w:pPr>
        <w:pStyle w:val="164"/>
        <w:spacing w:line="360" w:lineRule="auto"/>
      </w:pPr>
      <w:r>
        <w:rPr>
          <w:rFonts w:hint="eastAsia"/>
        </w:rPr>
        <w:t>临时措施不得长期替代正式整改措施。</w:t>
      </w:r>
    </w:p>
    <w:p w14:paraId="566FE42D">
      <w:pPr>
        <w:pStyle w:val="164"/>
        <w:spacing w:line="360" w:lineRule="auto"/>
      </w:pPr>
      <w:r>
        <w:rPr>
          <w:rFonts w:hint="eastAsia"/>
        </w:rPr>
        <w:t>采取临时措施的，应在缺陷台账中明确措施内容、责任人、有效期限和后续处理要求。</w:t>
      </w:r>
    </w:p>
    <w:p w14:paraId="6E40E6FF">
      <w:pPr>
        <w:pStyle w:val="65"/>
        <w:spacing w:before="120" w:after="120" w:line="360" w:lineRule="auto"/>
      </w:pPr>
      <w:r>
        <w:rPr>
          <w:rFonts w:hint="eastAsia"/>
        </w:rPr>
        <w:t>处理时限要求</w:t>
      </w:r>
    </w:p>
    <w:p w14:paraId="28EABC2C">
      <w:pPr>
        <w:pStyle w:val="164"/>
        <w:spacing w:line="360" w:lineRule="auto"/>
      </w:pPr>
      <w:r>
        <w:rPr>
          <w:rFonts w:hint="eastAsia"/>
        </w:rPr>
        <w:t>不同等级缺陷应明确处理时限。</w:t>
      </w:r>
    </w:p>
    <w:p w14:paraId="00B26C27">
      <w:pPr>
        <w:pStyle w:val="164"/>
        <w:spacing w:line="360" w:lineRule="auto"/>
      </w:pPr>
      <w:r>
        <w:rPr>
          <w:rFonts w:hint="eastAsia"/>
        </w:rPr>
        <w:t>对涉及防火、防雷、防误、并网保护、储能安全和人员伤害风险的缺陷，应优先安排处理。</w:t>
      </w:r>
    </w:p>
    <w:p w14:paraId="0C84A90A">
      <w:pPr>
        <w:pStyle w:val="164"/>
        <w:spacing w:line="360" w:lineRule="auto"/>
      </w:pPr>
      <w:r>
        <w:rPr>
          <w:rFonts w:hint="eastAsia"/>
        </w:rPr>
        <w:t>超过计划时限仍未完成处理的，应重新评估风险并升级管理。</w:t>
      </w:r>
    </w:p>
    <w:p w14:paraId="5E1AB68A">
      <w:pPr>
        <w:pStyle w:val="105"/>
        <w:spacing w:before="120" w:after="120" w:line="360" w:lineRule="auto"/>
      </w:pPr>
      <w:r>
        <w:rPr>
          <w:rFonts w:hint="eastAsia"/>
        </w:rPr>
        <w:t>检修后验收与恢复要求</w:t>
      </w:r>
    </w:p>
    <w:p w14:paraId="66C4BB53">
      <w:pPr>
        <w:pStyle w:val="65"/>
        <w:spacing w:before="120" w:after="120" w:line="360" w:lineRule="auto"/>
      </w:pPr>
      <w:r>
        <w:rPr>
          <w:rFonts w:hint="eastAsia"/>
        </w:rPr>
        <w:t>一般要求</w:t>
      </w:r>
    </w:p>
    <w:p w14:paraId="2AF454F6">
      <w:pPr>
        <w:pStyle w:val="164"/>
        <w:spacing w:line="360" w:lineRule="auto"/>
      </w:pPr>
      <w:r>
        <w:rPr>
          <w:rFonts w:hint="eastAsia"/>
        </w:rPr>
        <w:t>检修维护和缺陷处理完成后，应进行验收。</w:t>
      </w:r>
    </w:p>
    <w:p w14:paraId="20EF628E">
      <w:pPr>
        <w:pStyle w:val="164"/>
        <w:spacing w:line="360" w:lineRule="auto"/>
      </w:pPr>
      <w:r>
        <w:rPr>
          <w:rFonts w:hint="eastAsia"/>
        </w:rPr>
        <w:t>验收应包括外观检查、接线检查、功能检查、保护检查、参数检查和必要的试运行检查。</w:t>
      </w:r>
    </w:p>
    <w:p w14:paraId="392ABF23">
      <w:pPr>
        <w:pStyle w:val="164"/>
        <w:spacing w:line="360" w:lineRule="auto"/>
      </w:pPr>
      <w:r>
        <w:rPr>
          <w:rFonts w:hint="eastAsia"/>
        </w:rPr>
        <w:t>未经验收或者验收不合格的，不得恢复正式运行。</w:t>
      </w:r>
    </w:p>
    <w:p w14:paraId="7ECC0DC4">
      <w:pPr>
        <w:pStyle w:val="164"/>
        <w:numPr>
          <w:ilvl w:val="0"/>
          <w:numId w:val="0"/>
        </w:numPr>
        <w:spacing w:line="360" w:lineRule="auto"/>
      </w:pPr>
    </w:p>
    <w:p w14:paraId="1F26DEA1">
      <w:pPr>
        <w:pStyle w:val="164"/>
        <w:numPr>
          <w:ilvl w:val="0"/>
          <w:numId w:val="0"/>
        </w:numPr>
        <w:spacing w:line="360" w:lineRule="auto"/>
      </w:pPr>
    </w:p>
    <w:p w14:paraId="7C8DF551">
      <w:pPr>
        <w:pStyle w:val="164"/>
        <w:numPr>
          <w:ilvl w:val="0"/>
          <w:numId w:val="0"/>
        </w:numPr>
        <w:spacing w:line="360" w:lineRule="auto"/>
        <w:rPr>
          <w:rFonts w:hint="eastAsia"/>
        </w:rPr>
      </w:pPr>
    </w:p>
    <w:p w14:paraId="12760CA8">
      <w:pPr>
        <w:pStyle w:val="65"/>
        <w:spacing w:before="120" w:after="120" w:line="360" w:lineRule="auto"/>
      </w:pPr>
      <w:r>
        <w:rPr>
          <w:rFonts w:hint="eastAsia"/>
        </w:rPr>
        <w:t>恢复运行要求</w:t>
      </w:r>
    </w:p>
    <w:p w14:paraId="345CEE7B">
      <w:pPr>
        <w:pStyle w:val="164"/>
        <w:spacing w:line="360" w:lineRule="auto"/>
      </w:pPr>
      <w:r>
        <w:rPr>
          <w:rFonts w:hint="eastAsia"/>
        </w:rPr>
        <w:t>恢复运行前，应确认人员撤离、工具撤离、临时接地拆除、临时措施清理、保护恢复和状态标识恢复。</w:t>
      </w:r>
    </w:p>
    <w:p w14:paraId="6370BCA5">
      <w:pPr>
        <w:pStyle w:val="164"/>
        <w:spacing w:line="360" w:lineRule="auto"/>
      </w:pPr>
      <w:r>
        <w:rPr>
          <w:rFonts w:hint="eastAsia"/>
        </w:rPr>
        <w:t>恢复运行后，应重点观察设备响应、运行参数、告警状态和联动状态。</w:t>
      </w:r>
    </w:p>
    <w:p w14:paraId="20F52AAC">
      <w:pPr>
        <w:pStyle w:val="164"/>
        <w:spacing w:line="360" w:lineRule="auto"/>
      </w:pPr>
      <w:r>
        <w:rPr>
          <w:rFonts w:hint="eastAsia"/>
        </w:rPr>
        <w:t>检修后初期运行阶段出现异常的，应立即复核相关检修项目和设备状态。</w:t>
      </w:r>
    </w:p>
    <w:p w14:paraId="7003FA5A">
      <w:pPr>
        <w:pStyle w:val="105"/>
        <w:spacing w:before="120" w:after="120" w:line="360" w:lineRule="auto"/>
      </w:pPr>
      <w:r>
        <w:rPr>
          <w:rFonts w:hint="eastAsia"/>
        </w:rPr>
        <w:t>备品备件管理要求</w:t>
      </w:r>
    </w:p>
    <w:p w14:paraId="65CC9096">
      <w:pPr>
        <w:pStyle w:val="65"/>
        <w:spacing w:before="120" w:after="120" w:line="360" w:lineRule="auto"/>
      </w:pPr>
      <w:r>
        <w:rPr>
          <w:rFonts w:hint="eastAsia"/>
        </w:rPr>
        <w:t>一般要求</w:t>
      </w:r>
    </w:p>
    <w:p w14:paraId="1E0B6C3C">
      <w:pPr>
        <w:pStyle w:val="164"/>
        <w:spacing w:line="360" w:lineRule="auto"/>
      </w:pPr>
      <w:r>
        <w:rPr>
          <w:rFonts w:hint="eastAsia"/>
        </w:rPr>
        <w:t>场站应建立备品备件管理制度。</w:t>
      </w:r>
    </w:p>
    <w:p w14:paraId="48FA2E2A">
      <w:pPr>
        <w:pStyle w:val="164"/>
        <w:spacing w:line="360" w:lineRule="auto"/>
      </w:pPr>
      <w:r>
        <w:rPr>
          <w:rFonts w:hint="eastAsia"/>
        </w:rPr>
        <w:t>备品备件管理应与设备重要程度、故障概率、采购周期和现场交通条件相适应。</w:t>
      </w:r>
    </w:p>
    <w:p w14:paraId="1A1DE8CF">
      <w:pPr>
        <w:pStyle w:val="164"/>
        <w:spacing w:line="360" w:lineRule="auto"/>
      </w:pPr>
      <w:r>
        <w:rPr>
          <w:rFonts w:hint="eastAsia"/>
        </w:rPr>
        <w:t>对关键设备关键部件、易损件和长周期采购部件，应实施重点储备管理。</w:t>
      </w:r>
    </w:p>
    <w:p w14:paraId="28071CE6">
      <w:pPr>
        <w:pStyle w:val="65"/>
        <w:spacing w:before="120" w:after="120" w:line="360" w:lineRule="auto"/>
      </w:pPr>
      <w:r>
        <w:rPr>
          <w:rFonts w:hint="eastAsia"/>
        </w:rPr>
        <w:t>管理要求</w:t>
      </w:r>
    </w:p>
    <w:p w14:paraId="0D29DBB4">
      <w:pPr>
        <w:pStyle w:val="164"/>
        <w:spacing w:line="360" w:lineRule="auto"/>
      </w:pPr>
      <w:r>
        <w:rPr>
          <w:rFonts w:hint="eastAsia"/>
        </w:rPr>
        <w:t>备品备件应明确名称、型号、规格、适用设备、库存数量、存放位置和保管责任。</w:t>
      </w:r>
    </w:p>
    <w:p w14:paraId="7C5294D6">
      <w:pPr>
        <w:pStyle w:val="164"/>
        <w:spacing w:line="360" w:lineRule="auto"/>
      </w:pPr>
      <w:r>
        <w:rPr>
          <w:rFonts w:hint="eastAsia"/>
        </w:rPr>
        <w:t>备品备件应分类存放、防潮防尘、防火防腐，不得混放乱放。</w:t>
      </w:r>
    </w:p>
    <w:p w14:paraId="2A7E3EAE">
      <w:pPr>
        <w:pStyle w:val="164"/>
        <w:spacing w:line="360" w:lineRule="auto"/>
      </w:pPr>
      <w:r>
        <w:rPr>
          <w:rFonts w:hint="eastAsia"/>
        </w:rPr>
        <w:t>使用备件后，应及时更新台账并补充库存计划。</w:t>
      </w:r>
    </w:p>
    <w:p w14:paraId="114B76A6">
      <w:pPr>
        <w:pStyle w:val="105"/>
        <w:spacing w:before="120" w:after="120" w:line="360" w:lineRule="auto"/>
      </w:pPr>
      <w:r>
        <w:rPr>
          <w:rFonts w:hint="eastAsia"/>
        </w:rPr>
        <w:t>记录与分析要求</w:t>
      </w:r>
    </w:p>
    <w:p w14:paraId="61EC6136">
      <w:pPr>
        <w:pStyle w:val="165"/>
        <w:spacing w:line="360" w:lineRule="auto"/>
      </w:pPr>
      <w:r>
        <w:rPr>
          <w:rFonts w:hint="eastAsia"/>
        </w:rPr>
        <w:t>检修维护、缺陷登记、缺陷处理、验收恢复和备件使用均应形成记录。</w:t>
      </w:r>
    </w:p>
    <w:p w14:paraId="5644472E">
      <w:pPr>
        <w:pStyle w:val="165"/>
        <w:spacing w:line="360" w:lineRule="auto"/>
      </w:pPr>
      <w:r>
        <w:rPr>
          <w:rFonts w:hint="eastAsia"/>
        </w:rPr>
        <w:t>场站应定期对缺陷分布、故障频次、重复缺陷和检修效果进行分析。</w:t>
      </w:r>
    </w:p>
    <w:p w14:paraId="7C29DC29">
      <w:pPr>
        <w:pStyle w:val="165"/>
        <w:spacing w:line="360" w:lineRule="auto"/>
      </w:pPr>
      <w:r>
        <w:rPr>
          <w:rFonts w:hint="eastAsia"/>
        </w:rPr>
        <w:t>对重复发生、群发性和趋势性缺陷，应开展专项技术分析和原因追溯。</w:t>
      </w:r>
    </w:p>
    <w:p w14:paraId="4E1DBCAA">
      <w:pPr>
        <w:pStyle w:val="165"/>
        <w:spacing w:line="360" w:lineRule="auto"/>
      </w:pPr>
      <w:r>
        <w:rPr>
          <w:rFonts w:hint="eastAsia"/>
        </w:rPr>
        <w:t>检修维护记录、缺陷台账和运行分析结果应作为后续维护计划优化依据。</w:t>
      </w:r>
    </w:p>
    <w:p w14:paraId="33981880">
      <w:pPr>
        <w:pStyle w:val="105"/>
        <w:spacing w:before="120" w:after="120" w:line="360" w:lineRule="auto"/>
      </w:pPr>
      <w:r>
        <w:rPr>
          <w:rFonts w:hint="eastAsia"/>
        </w:rPr>
        <w:t>禁止性要求</w:t>
      </w:r>
    </w:p>
    <w:p w14:paraId="67FBFEB6">
      <w:pPr>
        <w:pStyle w:val="165"/>
        <w:spacing w:line="360" w:lineRule="auto"/>
      </w:pPr>
      <w:r>
        <w:rPr>
          <w:rFonts w:hint="eastAsia"/>
        </w:rPr>
        <w:t>不得在未办理工作票、操作票或者作业许可的情况下开展应办理票证的检修维护作业。</w:t>
      </w:r>
    </w:p>
    <w:p w14:paraId="212C1DBE">
      <w:pPr>
        <w:pStyle w:val="165"/>
        <w:spacing w:line="360" w:lineRule="auto"/>
      </w:pPr>
      <w:r>
        <w:rPr>
          <w:rFonts w:hint="eastAsia"/>
        </w:rPr>
        <w:t>不得对紧急缺陷拖延处理、瞒报或者降级处理。</w:t>
      </w:r>
    </w:p>
    <w:p w14:paraId="5A2C4D2E">
      <w:pPr>
        <w:pStyle w:val="165"/>
        <w:spacing w:line="360" w:lineRule="auto"/>
      </w:pPr>
      <w:r>
        <w:rPr>
          <w:rFonts w:hint="eastAsia"/>
        </w:rPr>
        <w:t>不得以简单复位、重复启动或者取消告警代替正式缺陷处理。</w:t>
      </w:r>
    </w:p>
    <w:p w14:paraId="58C3B89C">
      <w:pPr>
        <w:pStyle w:val="165"/>
        <w:spacing w:line="360" w:lineRule="auto"/>
      </w:pPr>
      <w:r>
        <w:rPr>
          <w:rFonts w:hint="eastAsia"/>
        </w:rPr>
        <w:t>不得在检修后未验收、未试验或者状态未恢复的情况下投入正式运行。</w:t>
      </w:r>
    </w:p>
    <w:p w14:paraId="54A1CCA2">
      <w:pPr>
        <w:pStyle w:val="165"/>
        <w:spacing w:line="360" w:lineRule="auto"/>
      </w:pPr>
      <w:r>
        <w:rPr>
          <w:rFonts w:hint="eastAsia"/>
        </w:rPr>
        <w:t>不得使用不合格工器具、不合格备件或者无技术依据的替代方案实施关键设备维护。</w:t>
      </w:r>
    </w:p>
    <w:p w14:paraId="68E499F4">
      <w:pPr>
        <w:pStyle w:val="104"/>
        <w:spacing w:before="240" w:after="240" w:line="360" w:lineRule="auto"/>
      </w:pPr>
      <w:bookmarkStart w:id="54" w:name="_Toc228605989"/>
      <w:r>
        <w:rPr>
          <w:rFonts w:hint="eastAsia"/>
        </w:rPr>
        <w:t>设备防护与特殊环境防护要求</w:t>
      </w:r>
      <w:bookmarkEnd w:id="54"/>
    </w:p>
    <w:p w14:paraId="1878BC67">
      <w:pPr>
        <w:pStyle w:val="105"/>
        <w:spacing w:before="120" w:after="120" w:line="360" w:lineRule="auto"/>
      </w:pPr>
      <w:r>
        <w:rPr>
          <w:rFonts w:hint="eastAsia"/>
        </w:rPr>
        <w:t>一般要求</w:t>
      </w:r>
    </w:p>
    <w:p w14:paraId="3FB7911B">
      <w:pPr>
        <w:pStyle w:val="165"/>
        <w:spacing w:line="360" w:lineRule="auto"/>
      </w:pPr>
      <w:r>
        <w:rPr>
          <w:rFonts w:hint="eastAsia"/>
        </w:rPr>
        <w:t>新能源发电场站应建立设备防护与特殊环境防护机制。</w:t>
      </w:r>
    </w:p>
    <w:p w14:paraId="2BD9D9FB">
      <w:pPr>
        <w:pStyle w:val="165"/>
        <w:spacing w:line="360" w:lineRule="auto"/>
      </w:pPr>
      <w:r>
        <w:rPr>
          <w:rFonts w:hint="eastAsia"/>
        </w:rPr>
        <w:t>设备防护应覆盖设备本体防护、附属设施防护、区域防护和系统性防护。</w:t>
      </w:r>
    </w:p>
    <w:p w14:paraId="23C92830">
      <w:pPr>
        <w:pStyle w:val="165"/>
        <w:spacing w:line="360" w:lineRule="auto"/>
      </w:pPr>
      <w:r>
        <w:rPr>
          <w:rFonts w:hint="eastAsia"/>
        </w:rPr>
        <w:t>特殊环境防护应根据场站所处区域的气候条件、地理环境和灾害特征实施差异化管理。</w:t>
      </w:r>
    </w:p>
    <w:p w14:paraId="5D5A6965">
      <w:pPr>
        <w:pStyle w:val="165"/>
        <w:spacing w:line="360" w:lineRule="auto"/>
      </w:pPr>
      <w:r>
        <w:rPr>
          <w:rFonts w:hint="eastAsia"/>
        </w:rPr>
        <w:t>设备防护措施应与设备运行管理、巡视监测、检修维护、缺陷整改和应急处置协同实施。</w:t>
      </w:r>
    </w:p>
    <w:p w14:paraId="026DFF75">
      <w:pPr>
        <w:pStyle w:val="165"/>
        <w:spacing w:line="360" w:lineRule="auto"/>
      </w:pPr>
      <w:r>
        <w:rPr>
          <w:rFonts w:hint="eastAsia"/>
        </w:rPr>
        <w:t>防护措施失效、缺失或者与实际环境不适配时，应及时整改，不得长期带缺陷运行。</w:t>
      </w:r>
    </w:p>
    <w:p w14:paraId="020FCA00">
      <w:pPr>
        <w:pStyle w:val="105"/>
        <w:spacing w:before="120" w:after="120" w:line="360" w:lineRule="auto"/>
      </w:pPr>
      <w:r>
        <w:rPr>
          <w:rFonts w:hint="eastAsia"/>
        </w:rPr>
        <w:t>防雷与接地防护要求</w:t>
      </w:r>
    </w:p>
    <w:p w14:paraId="4E45AF3D">
      <w:pPr>
        <w:pStyle w:val="65"/>
        <w:spacing w:before="120" w:after="120" w:line="360" w:lineRule="auto"/>
      </w:pPr>
      <w:r>
        <w:rPr>
          <w:rFonts w:hint="eastAsia"/>
        </w:rPr>
        <w:t>一般要求</w:t>
      </w:r>
    </w:p>
    <w:p w14:paraId="308A3D70">
      <w:pPr>
        <w:pStyle w:val="164"/>
        <w:spacing w:line="360" w:lineRule="auto"/>
      </w:pPr>
      <w:r>
        <w:rPr>
          <w:rFonts w:hint="eastAsia"/>
        </w:rPr>
        <w:t>场站应建立防雷与接地管理制度。</w:t>
      </w:r>
    </w:p>
    <w:p w14:paraId="05F494B7">
      <w:pPr>
        <w:pStyle w:val="164"/>
        <w:spacing w:line="360" w:lineRule="auto"/>
      </w:pPr>
      <w:r>
        <w:rPr>
          <w:rFonts w:hint="eastAsia"/>
        </w:rPr>
        <w:t>风电机组、光伏阵列、升压站设备、监控系统、通信系统和储能设备应根据技术要求配置防雷和接地措施。</w:t>
      </w:r>
    </w:p>
    <w:p w14:paraId="17E75CF6">
      <w:pPr>
        <w:pStyle w:val="164"/>
        <w:spacing w:line="360" w:lineRule="auto"/>
      </w:pPr>
      <w:r>
        <w:rPr>
          <w:rFonts w:hint="eastAsia"/>
        </w:rPr>
        <w:t>防雷与接地设施应定期检查和测试，保持连接可靠、标识清晰和功能有效。</w:t>
      </w:r>
    </w:p>
    <w:p w14:paraId="1357ABA5">
      <w:pPr>
        <w:pStyle w:val="65"/>
        <w:spacing w:before="120" w:after="120" w:line="360" w:lineRule="auto"/>
      </w:pPr>
      <w:r>
        <w:rPr>
          <w:rFonts w:hint="eastAsia"/>
        </w:rPr>
        <w:t>管理要求</w:t>
      </w:r>
    </w:p>
    <w:p w14:paraId="080567DC">
      <w:pPr>
        <w:pStyle w:val="164"/>
        <w:spacing w:line="360" w:lineRule="auto"/>
      </w:pPr>
      <w:r>
        <w:rPr>
          <w:rFonts w:hint="eastAsia"/>
        </w:rPr>
        <w:t>雷雨季前后应组织专项检查。</w:t>
      </w:r>
    </w:p>
    <w:p w14:paraId="6591AAE3">
      <w:pPr>
        <w:pStyle w:val="164"/>
        <w:spacing w:line="360" w:lineRule="auto"/>
      </w:pPr>
      <w:r>
        <w:rPr>
          <w:rFonts w:hint="eastAsia"/>
        </w:rPr>
        <w:t>发现接地连接松动、腐蚀、断裂、接地电阻异常或者防雷器件失效时，应及时整改。</w:t>
      </w:r>
    </w:p>
    <w:p w14:paraId="12CAE14B">
      <w:pPr>
        <w:pStyle w:val="164"/>
        <w:spacing w:line="360" w:lineRule="auto"/>
      </w:pPr>
      <w:r>
        <w:rPr>
          <w:rFonts w:hint="eastAsia"/>
        </w:rPr>
        <w:t>对位于高雷暴区域、山地高处区域和海边盐雾区域的场站，应提高防雷设施检查频次。</w:t>
      </w:r>
    </w:p>
    <w:p w14:paraId="17822439">
      <w:pPr>
        <w:pStyle w:val="56"/>
        <w:spacing w:line="360" w:lineRule="auto"/>
        <w:ind w:firstLine="420"/>
      </w:pPr>
      <w:r>
        <w:rPr>
          <w:rFonts w:hint="eastAsia"/>
        </w:rPr>
        <w:t>防火防爆要求</w:t>
      </w:r>
    </w:p>
    <w:p w14:paraId="67CB906C">
      <w:pPr>
        <w:pStyle w:val="65"/>
        <w:spacing w:before="120" w:after="120" w:line="360" w:lineRule="auto"/>
      </w:pPr>
      <w:r>
        <w:rPr>
          <w:rFonts w:hint="eastAsia"/>
        </w:rPr>
        <w:t>一般要求</w:t>
      </w:r>
    </w:p>
    <w:p w14:paraId="7E6EC48B">
      <w:pPr>
        <w:pStyle w:val="164"/>
        <w:spacing w:line="360" w:lineRule="auto"/>
      </w:pPr>
      <w:r>
        <w:rPr>
          <w:rFonts w:hint="eastAsia"/>
        </w:rPr>
        <w:t>场站应建立防火防爆管理机制。</w:t>
      </w:r>
    </w:p>
    <w:p w14:paraId="40EC4B80">
      <w:pPr>
        <w:pStyle w:val="164"/>
        <w:spacing w:line="360" w:lineRule="auto"/>
      </w:pPr>
      <w:r>
        <w:rPr>
          <w:rFonts w:hint="eastAsia"/>
        </w:rPr>
        <w:t>储能系统、升压站、逆变设备区域、电缆夹层、油浸设备区域、通信机房和控制室应纳入防火重点区域管理。</w:t>
      </w:r>
    </w:p>
    <w:p w14:paraId="17BEB2B2">
      <w:pPr>
        <w:pStyle w:val="164"/>
        <w:spacing w:line="360" w:lineRule="auto"/>
      </w:pPr>
      <w:r>
        <w:rPr>
          <w:rFonts w:hint="eastAsia"/>
        </w:rPr>
        <w:t>场站消防设施、火灾报警装置、联动装置和灭火器材应处于完好可用状态。</w:t>
      </w:r>
    </w:p>
    <w:p w14:paraId="0E7E84D6">
      <w:pPr>
        <w:pStyle w:val="65"/>
        <w:spacing w:before="120" w:after="120" w:line="360" w:lineRule="auto"/>
      </w:pPr>
      <w:r>
        <w:rPr>
          <w:rFonts w:hint="eastAsia"/>
        </w:rPr>
        <w:t>管理要求</w:t>
      </w:r>
    </w:p>
    <w:p w14:paraId="66EFCD87">
      <w:pPr>
        <w:pStyle w:val="164"/>
        <w:spacing w:line="360" w:lineRule="auto"/>
      </w:pPr>
      <w:r>
        <w:rPr>
          <w:rFonts w:hint="eastAsia"/>
        </w:rPr>
        <w:t>防火重点区域不得堆放易燃易爆杂物。</w:t>
      </w:r>
    </w:p>
    <w:p w14:paraId="31A607ED">
      <w:pPr>
        <w:pStyle w:val="164"/>
        <w:spacing w:line="360" w:lineRule="auto"/>
      </w:pPr>
      <w:r>
        <w:rPr>
          <w:rFonts w:hint="eastAsia"/>
        </w:rPr>
        <w:t>动火作业应严格执行审批、监护和现场清理制度。</w:t>
      </w:r>
    </w:p>
    <w:p w14:paraId="6F622484">
      <w:pPr>
        <w:pStyle w:val="164"/>
        <w:spacing w:line="360" w:lineRule="auto"/>
      </w:pPr>
      <w:r>
        <w:rPr>
          <w:rFonts w:hint="eastAsia"/>
        </w:rPr>
        <w:t>发现电缆过热、设备异味、烟气、局部放电痕迹、储能电池异常升温和其他火灾征兆时，应立即采取控制措施。</w:t>
      </w:r>
    </w:p>
    <w:p w14:paraId="145FA98C">
      <w:pPr>
        <w:pStyle w:val="164"/>
        <w:spacing w:line="360" w:lineRule="auto"/>
      </w:pPr>
      <w:r>
        <w:rPr>
          <w:rFonts w:hint="eastAsia"/>
        </w:rPr>
        <w:t>储能区域应重点防范热失控风险，并配置针对性消防和通风防护措施。</w:t>
      </w:r>
    </w:p>
    <w:p w14:paraId="603260AF">
      <w:pPr>
        <w:pStyle w:val="105"/>
        <w:spacing w:before="120" w:after="120" w:line="360" w:lineRule="auto"/>
      </w:pPr>
      <w:r>
        <w:rPr>
          <w:rFonts w:hint="eastAsia"/>
        </w:rPr>
        <w:t>防腐、防潮、防尘要求</w:t>
      </w:r>
    </w:p>
    <w:p w14:paraId="2AB48B4E">
      <w:pPr>
        <w:pStyle w:val="65"/>
        <w:spacing w:before="120" w:after="120" w:line="360" w:lineRule="auto"/>
      </w:pPr>
      <w:r>
        <w:rPr>
          <w:rFonts w:hint="eastAsia"/>
        </w:rPr>
        <w:t>一般要求</w:t>
      </w:r>
    </w:p>
    <w:p w14:paraId="1D898427">
      <w:pPr>
        <w:pStyle w:val="164"/>
        <w:spacing w:line="360" w:lineRule="auto"/>
      </w:pPr>
      <w:r>
        <w:rPr>
          <w:rFonts w:hint="eastAsia"/>
        </w:rPr>
        <w:t>对处于高湿、盐雾、沙尘、腐蚀性气体和高污染环境中的场站设备，应实施防腐、防潮、防尘管理。</w:t>
      </w:r>
    </w:p>
    <w:p w14:paraId="6826C9A0">
      <w:pPr>
        <w:pStyle w:val="164"/>
        <w:spacing w:line="360" w:lineRule="auto"/>
      </w:pPr>
      <w:r>
        <w:rPr>
          <w:rFonts w:hint="eastAsia"/>
        </w:rPr>
        <w:t>设备外壳、支架、连接件、电缆沟道、接线盒、汇流箱、箱变外壳和金属构件应根据环境条件采取相应防护措施。</w:t>
      </w:r>
    </w:p>
    <w:p w14:paraId="50443BD0">
      <w:pPr>
        <w:pStyle w:val="65"/>
        <w:spacing w:before="120" w:after="120" w:line="360" w:lineRule="auto"/>
      </w:pPr>
      <w:r>
        <w:rPr>
          <w:rFonts w:hint="eastAsia"/>
        </w:rPr>
        <w:t>管理要求</w:t>
      </w:r>
    </w:p>
    <w:p w14:paraId="6F270BFF">
      <w:pPr>
        <w:pStyle w:val="164"/>
        <w:spacing w:line="360" w:lineRule="auto"/>
      </w:pPr>
      <w:r>
        <w:rPr>
          <w:rFonts w:hint="eastAsia"/>
        </w:rPr>
        <w:t>应定期检查设备外观腐蚀、涂层脱落、密封老化、凝露、积尘和进水情况。</w:t>
      </w:r>
    </w:p>
    <w:p w14:paraId="656CC106">
      <w:pPr>
        <w:pStyle w:val="164"/>
        <w:spacing w:line="360" w:lineRule="auto"/>
      </w:pPr>
      <w:r>
        <w:rPr>
          <w:rFonts w:hint="eastAsia"/>
        </w:rPr>
        <w:t>在高盐雾场站，应加强金属构件防腐、连接部位防护和设备清洗维护。</w:t>
      </w:r>
    </w:p>
    <w:p w14:paraId="65757A19">
      <w:pPr>
        <w:pStyle w:val="164"/>
        <w:spacing w:line="360" w:lineRule="auto"/>
      </w:pPr>
      <w:r>
        <w:rPr>
          <w:rFonts w:hint="eastAsia"/>
        </w:rPr>
        <w:t>在高湿场站，应加强柜体密封、除湿装置维护和凝露监测。</w:t>
      </w:r>
    </w:p>
    <w:p w14:paraId="54EA654E">
      <w:pPr>
        <w:pStyle w:val="164"/>
        <w:spacing w:line="360" w:lineRule="auto"/>
      </w:pPr>
      <w:r>
        <w:rPr>
          <w:rFonts w:hint="eastAsia"/>
        </w:rPr>
        <w:t>在沙尘区域，应加强散热通道、滤网、风道和组件表面的积尘控制。</w:t>
      </w:r>
    </w:p>
    <w:p w14:paraId="3C8343D5">
      <w:pPr>
        <w:pStyle w:val="105"/>
        <w:spacing w:before="120" w:after="120" w:line="360" w:lineRule="auto"/>
      </w:pPr>
      <w:r>
        <w:rPr>
          <w:rFonts w:hint="eastAsia"/>
        </w:rPr>
        <w:t>防风、防汛、防覆冰要求</w:t>
      </w:r>
    </w:p>
    <w:p w14:paraId="2D22075B">
      <w:pPr>
        <w:pStyle w:val="65"/>
        <w:spacing w:before="120" w:after="120" w:line="360" w:lineRule="auto"/>
      </w:pPr>
      <w:r>
        <w:rPr>
          <w:rFonts w:hint="eastAsia"/>
        </w:rPr>
        <w:t>一般要求</w:t>
      </w:r>
    </w:p>
    <w:p w14:paraId="263EE096">
      <w:pPr>
        <w:pStyle w:val="164"/>
        <w:spacing w:line="360" w:lineRule="auto"/>
      </w:pPr>
      <w:r>
        <w:rPr>
          <w:rFonts w:hint="eastAsia"/>
        </w:rPr>
        <w:t>场站应根据地区气象特点建立防风、防汛、防覆冰管理措施。</w:t>
      </w:r>
    </w:p>
    <w:p w14:paraId="47309D8B">
      <w:pPr>
        <w:pStyle w:val="164"/>
        <w:spacing w:line="360" w:lineRule="auto"/>
      </w:pPr>
      <w:r>
        <w:rPr>
          <w:rFonts w:hint="eastAsia"/>
        </w:rPr>
        <w:t>对位于沿海、大风区、山地峡谷区、洪涝易发区和冰冻易发区的场站，应实施专项防护。</w:t>
      </w:r>
    </w:p>
    <w:p w14:paraId="62ED8806">
      <w:pPr>
        <w:pStyle w:val="65"/>
        <w:spacing w:before="120" w:after="120" w:line="360" w:lineRule="auto"/>
      </w:pPr>
      <w:r>
        <w:rPr>
          <w:rFonts w:hint="eastAsia"/>
        </w:rPr>
        <w:t>防风要求</w:t>
      </w:r>
    </w:p>
    <w:p w14:paraId="7DF51CA5">
      <w:pPr>
        <w:pStyle w:val="164"/>
        <w:spacing w:line="360" w:lineRule="auto"/>
      </w:pPr>
      <w:r>
        <w:rPr>
          <w:rFonts w:hint="eastAsia"/>
        </w:rPr>
        <w:t>对风电机组、光伏支架、围栏、箱体、通信塔和轻质附属设施，应重点防范大风破坏。</w:t>
      </w:r>
    </w:p>
    <w:p w14:paraId="50B2C8EA">
      <w:pPr>
        <w:pStyle w:val="164"/>
        <w:spacing w:line="360" w:lineRule="auto"/>
      </w:pPr>
      <w:r>
        <w:rPr>
          <w:rFonts w:hint="eastAsia"/>
        </w:rPr>
        <w:t>大风来临前，应检查紧固状态、支撑状态、固定状态和临时设施状态。</w:t>
      </w:r>
    </w:p>
    <w:p w14:paraId="2B46F5C5">
      <w:pPr>
        <w:pStyle w:val="164"/>
        <w:spacing w:line="360" w:lineRule="auto"/>
      </w:pPr>
      <w:r>
        <w:rPr>
          <w:rFonts w:hint="eastAsia"/>
        </w:rPr>
        <w:t>大风期间，不得组织无必要的高处作业和吊装作业。</w:t>
      </w:r>
    </w:p>
    <w:p w14:paraId="6C9F8289">
      <w:pPr>
        <w:pStyle w:val="65"/>
        <w:spacing w:before="120" w:after="120" w:line="360" w:lineRule="auto"/>
      </w:pPr>
      <w:r>
        <w:rPr>
          <w:rFonts w:hint="eastAsia"/>
        </w:rPr>
        <w:t>防汛要求</w:t>
      </w:r>
    </w:p>
    <w:p w14:paraId="7A174569">
      <w:pPr>
        <w:pStyle w:val="164"/>
        <w:spacing w:line="360" w:lineRule="auto"/>
      </w:pPr>
      <w:r>
        <w:rPr>
          <w:rFonts w:hint="eastAsia"/>
        </w:rPr>
        <w:t>场站应保持道路、排水沟、集水设施和排水设备畅通。</w:t>
      </w:r>
    </w:p>
    <w:p w14:paraId="39C8EDC6">
      <w:pPr>
        <w:pStyle w:val="164"/>
        <w:spacing w:line="360" w:lineRule="auto"/>
      </w:pPr>
      <w:r>
        <w:rPr>
          <w:rFonts w:hint="eastAsia"/>
        </w:rPr>
        <w:t>汛期前应对低洼区域、电缆沟道、箱变基础、储能区域和升压站区域开展排水防涝专项检查。</w:t>
      </w:r>
    </w:p>
    <w:p w14:paraId="4EB4842A">
      <w:pPr>
        <w:pStyle w:val="164"/>
        <w:spacing w:line="360" w:lineRule="auto"/>
      </w:pPr>
      <w:r>
        <w:rPr>
          <w:rFonts w:hint="eastAsia"/>
        </w:rPr>
        <w:t>发现积水、倒灌、地基冲刷和边坡失稳迹象时，应立即采取控制措施。</w:t>
      </w:r>
    </w:p>
    <w:p w14:paraId="578FD049">
      <w:pPr>
        <w:pStyle w:val="65"/>
        <w:spacing w:before="120" w:after="120" w:line="360" w:lineRule="auto"/>
      </w:pPr>
      <w:r>
        <w:rPr>
          <w:rFonts w:hint="eastAsia"/>
        </w:rPr>
        <w:t>防覆冰要求</w:t>
      </w:r>
    </w:p>
    <w:p w14:paraId="181B42C0">
      <w:pPr>
        <w:pStyle w:val="164"/>
        <w:spacing w:line="360" w:lineRule="auto"/>
      </w:pPr>
      <w:r>
        <w:rPr>
          <w:rFonts w:hint="eastAsia"/>
        </w:rPr>
        <w:t>覆冰易发区域的风机叶片、塔筒附属设施、集电线路、光伏支架和高空构件应重点防范覆冰风险。</w:t>
      </w:r>
    </w:p>
    <w:p w14:paraId="6E81EF9E">
      <w:pPr>
        <w:pStyle w:val="164"/>
        <w:spacing w:line="360" w:lineRule="auto"/>
      </w:pPr>
      <w:r>
        <w:rPr>
          <w:rFonts w:hint="eastAsia"/>
        </w:rPr>
        <w:t>冰冻天气来临前，应检查加热、融冰、监测和警示设施状态。</w:t>
      </w:r>
    </w:p>
    <w:p w14:paraId="678614C4">
      <w:pPr>
        <w:pStyle w:val="164"/>
        <w:spacing w:line="360" w:lineRule="auto"/>
      </w:pPr>
      <w:r>
        <w:rPr>
          <w:rFonts w:hint="eastAsia"/>
        </w:rPr>
        <w:t>覆冰期间应加强监测，不得在存在冰坠风险区域组织无防护措施作业。</w:t>
      </w:r>
    </w:p>
    <w:p w14:paraId="356216CB">
      <w:pPr>
        <w:pStyle w:val="105"/>
        <w:spacing w:before="120" w:after="120" w:line="360" w:lineRule="auto"/>
      </w:pPr>
      <w:r>
        <w:rPr>
          <w:rFonts w:hint="eastAsia"/>
        </w:rPr>
        <w:t>防误操作要求</w:t>
      </w:r>
    </w:p>
    <w:p w14:paraId="70746EB0">
      <w:pPr>
        <w:pStyle w:val="65"/>
        <w:spacing w:before="120" w:after="120" w:line="360" w:lineRule="auto"/>
      </w:pPr>
      <w:r>
        <w:rPr>
          <w:rFonts w:hint="eastAsia"/>
        </w:rPr>
        <w:t>一般要求</w:t>
      </w:r>
    </w:p>
    <w:p w14:paraId="2393D100">
      <w:pPr>
        <w:pStyle w:val="164"/>
        <w:spacing w:line="360" w:lineRule="auto"/>
      </w:pPr>
      <w:r>
        <w:rPr>
          <w:rFonts w:hint="eastAsia"/>
        </w:rPr>
        <w:t>场站应建立防误操作制度和技术措施。</w:t>
      </w:r>
    </w:p>
    <w:p w14:paraId="55AF202F">
      <w:pPr>
        <w:pStyle w:val="164"/>
        <w:spacing w:line="360" w:lineRule="auto"/>
      </w:pPr>
      <w:r>
        <w:rPr>
          <w:rFonts w:hint="eastAsia"/>
        </w:rPr>
        <w:t>对升压站设备、箱变设备、储能设备、保护装置、远方控制装置和站控系统，应实施重点防误管理。</w:t>
      </w:r>
    </w:p>
    <w:p w14:paraId="5639987D">
      <w:pPr>
        <w:pStyle w:val="65"/>
        <w:spacing w:before="120" w:after="120" w:line="360" w:lineRule="auto"/>
      </w:pPr>
      <w:r>
        <w:rPr>
          <w:rFonts w:hint="eastAsia"/>
        </w:rPr>
        <w:t>管理要求</w:t>
      </w:r>
    </w:p>
    <w:p w14:paraId="48F24155">
      <w:pPr>
        <w:pStyle w:val="164"/>
        <w:spacing w:line="360" w:lineRule="auto"/>
      </w:pPr>
      <w:r>
        <w:rPr>
          <w:rFonts w:hint="eastAsia"/>
        </w:rPr>
        <w:t>设备操作前应核对设备名称、编号、位置、状态和操作目的。</w:t>
      </w:r>
    </w:p>
    <w:p w14:paraId="5E76F0B0">
      <w:pPr>
        <w:pStyle w:val="164"/>
        <w:spacing w:line="360" w:lineRule="auto"/>
      </w:pPr>
      <w:r>
        <w:rPr>
          <w:rFonts w:hint="eastAsia"/>
        </w:rPr>
        <w:t>涉及远方与就地切换、主备切换、保护投退和控制权限切换的，应双重确认。</w:t>
      </w:r>
    </w:p>
    <w:p w14:paraId="57167615">
      <w:pPr>
        <w:pStyle w:val="164"/>
        <w:spacing w:line="360" w:lineRule="auto"/>
      </w:pPr>
      <w:r>
        <w:rPr>
          <w:rFonts w:hint="eastAsia"/>
        </w:rPr>
        <w:t>防误闭锁装置、防误标签、防误软件策略和操作票制度应同步实施，不得任一长期失效而无替代措施。</w:t>
      </w:r>
    </w:p>
    <w:p w14:paraId="51498217">
      <w:pPr>
        <w:pStyle w:val="164"/>
        <w:spacing w:line="360" w:lineRule="auto"/>
      </w:pPr>
      <w:r>
        <w:rPr>
          <w:rFonts w:hint="eastAsia"/>
        </w:rPr>
        <w:t>未经批准，不得擅自解除闭锁、跳过校验或者屏蔽告警。</w:t>
      </w:r>
    </w:p>
    <w:p w14:paraId="016648DF">
      <w:pPr>
        <w:pStyle w:val="105"/>
        <w:spacing w:before="120" w:after="120" w:line="360" w:lineRule="auto"/>
      </w:pPr>
      <w:r>
        <w:rPr>
          <w:rFonts w:hint="eastAsia"/>
        </w:rPr>
        <w:t>防外力破坏与区域防护要求</w:t>
      </w:r>
    </w:p>
    <w:p w14:paraId="724C2E93">
      <w:pPr>
        <w:pStyle w:val="65"/>
        <w:spacing w:before="120" w:after="120" w:line="360" w:lineRule="auto"/>
      </w:pPr>
      <w:r>
        <w:rPr>
          <w:rFonts w:hint="eastAsia"/>
        </w:rPr>
        <w:t>一般要求</w:t>
      </w:r>
    </w:p>
    <w:p w14:paraId="73B9E293">
      <w:pPr>
        <w:pStyle w:val="164"/>
        <w:spacing w:line="360" w:lineRule="auto"/>
      </w:pPr>
      <w:r>
        <w:rPr>
          <w:rFonts w:hint="eastAsia"/>
        </w:rPr>
        <w:t>场站应建立防外力破坏和区域防护措施。</w:t>
      </w:r>
    </w:p>
    <w:p w14:paraId="609D0A17">
      <w:pPr>
        <w:pStyle w:val="164"/>
        <w:spacing w:line="360" w:lineRule="auto"/>
      </w:pPr>
      <w:r>
        <w:rPr>
          <w:rFonts w:hint="eastAsia"/>
        </w:rPr>
        <w:t>场站围界、门禁、警示标识、视频监控和重点区域巡查应保持有效。</w:t>
      </w:r>
    </w:p>
    <w:p w14:paraId="1D21E3E6">
      <w:pPr>
        <w:pStyle w:val="105"/>
        <w:spacing w:before="120" w:after="120" w:line="360" w:lineRule="auto"/>
      </w:pPr>
      <w:r>
        <w:rPr>
          <w:rFonts w:hint="eastAsia"/>
        </w:rPr>
        <w:t>管理要求</w:t>
      </w:r>
    </w:p>
    <w:p w14:paraId="3EEFA59E">
      <w:pPr>
        <w:pStyle w:val="164"/>
        <w:spacing w:line="360" w:lineRule="auto"/>
      </w:pPr>
      <w:r>
        <w:rPr>
          <w:rFonts w:hint="eastAsia"/>
        </w:rPr>
        <w:t>集电线路通道、场站道路、围栏周界、箱变周边和升压站周边应防范施工机械碰撞、盗窃破坏、人员擅入和动物侵扰。</w:t>
      </w:r>
    </w:p>
    <w:p w14:paraId="56D71CE4">
      <w:pPr>
        <w:pStyle w:val="164"/>
        <w:spacing w:line="360" w:lineRule="auto"/>
      </w:pPr>
      <w:r>
        <w:rPr>
          <w:rFonts w:hint="eastAsia"/>
        </w:rPr>
        <w:t>对外部施工、交叉作业、道路施工和农机活动影响区域，应提前采取告知、隔离和现场监护措施。</w:t>
      </w:r>
    </w:p>
    <w:p w14:paraId="57E8475A">
      <w:pPr>
        <w:pStyle w:val="164"/>
        <w:spacing w:line="360" w:lineRule="auto"/>
      </w:pPr>
      <w:r>
        <w:rPr>
          <w:rFonts w:hint="eastAsia"/>
        </w:rPr>
        <w:t>发现外力破坏风险时，应及时报告并采取制止、隔离和补强措施。</w:t>
      </w:r>
    </w:p>
    <w:p w14:paraId="5ABF4E38">
      <w:pPr>
        <w:pStyle w:val="105"/>
        <w:spacing w:before="120" w:after="120" w:line="360" w:lineRule="auto"/>
      </w:pPr>
      <w:r>
        <w:rPr>
          <w:rFonts w:hint="eastAsia"/>
        </w:rPr>
        <w:t>特殊环境防护重点</w:t>
      </w:r>
    </w:p>
    <w:p w14:paraId="4B1F5A56">
      <w:pPr>
        <w:pStyle w:val="165"/>
        <w:spacing w:line="360" w:lineRule="auto"/>
      </w:pPr>
      <w:r>
        <w:rPr>
          <w:rFonts w:hint="eastAsia"/>
        </w:rPr>
        <w:t>场站常见特殊环境及防护重点见表2。表2给出了新能源发电场站常见特殊环境及防护重点。</w:t>
      </w:r>
    </w:p>
    <w:p w14:paraId="1116BD9E">
      <w:pPr>
        <w:pStyle w:val="112"/>
        <w:spacing w:before="120" w:after="120" w:line="360" w:lineRule="auto"/>
      </w:pPr>
      <w:r>
        <w:rPr>
          <w:rFonts w:hint="eastAsia"/>
        </w:rPr>
        <w:t>新能源发电场站常见特殊环境及防护重点表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402"/>
        <w:gridCol w:w="4382"/>
      </w:tblGrid>
      <w:tr w14:paraId="5257F5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5D13532D">
            <w:pPr>
              <w:pStyle w:val="178"/>
            </w:pPr>
            <w:r>
              <w:rPr>
                <w:rFonts w:hint="eastAsia"/>
              </w:rPr>
              <w:t>特殊环境</w:t>
            </w:r>
          </w:p>
        </w:tc>
        <w:tc>
          <w:tcPr>
            <w:tcW w:w="3402" w:type="dxa"/>
            <w:tcBorders>
              <w:top w:val="single" w:color="auto" w:sz="8" w:space="0"/>
              <w:bottom w:val="single" w:color="auto" w:sz="8" w:space="0"/>
            </w:tcBorders>
          </w:tcPr>
          <w:p w14:paraId="496AD118">
            <w:pPr>
              <w:pStyle w:val="178"/>
            </w:pPr>
            <w:r>
              <w:rPr>
                <w:rFonts w:hint="eastAsia"/>
              </w:rPr>
              <w:t>主要风险</w:t>
            </w:r>
          </w:p>
        </w:tc>
        <w:tc>
          <w:tcPr>
            <w:tcW w:w="4382" w:type="dxa"/>
            <w:tcBorders>
              <w:top w:val="single" w:color="auto" w:sz="8" w:space="0"/>
              <w:bottom w:val="single" w:color="auto" w:sz="8" w:space="0"/>
            </w:tcBorders>
          </w:tcPr>
          <w:p w14:paraId="21E46734">
            <w:pPr>
              <w:pStyle w:val="178"/>
            </w:pPr>
            <w:r>
              <w:rPr>
                <w:rFonts w:hint="eastAsia"/>
              </w:rPr>
              <w:t>防护重点</w:t>
            </w:r>
          </w:p>
        </w:tc>
      </w:tr>
      <w:tr w14:paraId="0EE61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136F5800">
            <w:pPr>
              <w:pStyle w:val="178"/>
            </w:pPr>
            <w:r>
              <w:rPr>
                <w:rFonts w:hint="eastAsia"/>
              </w:rPr>
              <w:t>高雷暴环境</w:t>
            </w:r>
          </w:p>
        </w:tc>
        <w:tc>
          <w:tcPr>
            <w:tcW w:w="3402" w:type="dxa"/>
            <w:tcBorders>
              <w:top w:val="single" w:color="auto" w:sz="8" w:space="0"/>
            </w:tcBorders>
          </w:tcPr>
          <w:p w14:paraId="318FC614">
            <w:pPr>
              <w:pStyle w:val="178"/>
            </w:pPr>
            <w:r>
              <w:rPr>
                <w:rFonts w:hint="eastAsia"/>
              </w:rPr>
              <w:t>雷击、绝缘击穿、通信中断</w:t>
            </w:r>
          </w:p>
        </w:tc>
        <w:tc>
          <w:tcPr>
            <w:tcW w:w="4382" w:type="dxa"/>
            <w:tcBorders>
              <w:top w:val="single" w:color="auto" w:sz="8" w:space="0"/>
            </w:tcBorders>
          </w:tcPr>
          <w:p w14:paraId="73AEAB14">
            <w:pPr>
              <w:pStyle w:val="178"/>
            </w:pPr>
            <w:r>
              <w:rPr>
                <w:rFonts w:hint="eastAsia"/>
              </w:rPr>
              <w:t>防雷器件、接地连接、浪涌保护、雷季专项检查</w:t>
            </w:r>
          </w:p>
        </w:tc>
      </w:tr>
      <w:tr w14:paraId="3A565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C541CF7">
            <w:pPr>
              <w:pStyle w:val="178"/>
            </w:pPr>
            <w:r>
              <w:rPr>
                <w:rFonts w:hint="eastAsia"/>
              </w:rPr>
              <w:t>高盐雾环境</w:t>
            </w:r>
          </w:p>
        </w:tc>
        <w:tc>
          <w:tcPr>
            <w:tcW w:w="3402" w:type="dxa"/>
          </w:tcPr>
          <w:p w14:paraId="31E80B4B">
            <w:pPr>
              <w:pStyle w:val="178"/>
            </w:pPr>
            <w:r>
              <w:rPr>
                <w:rFonts w:hint="eastAsia"/>
              </w:rPr>
              <w:t>金属腐蚀、接点失效、外壳老化</w:t>
            </w:r>
          </w:p>
        </w:tc>
        <w:tc>
          <w:tcPr>
            <w:tcW w:w="4382" w:type="dxa"/>
          </w:tcPr>
          <w:p w14:paraId="2E0614BD">
            <w:pPr>
              <w:pStyle w:val="178"/>
            </w:pPr>
            <w:r>
              <w:rPr>
                <w:rFonts w:hint="eastAsia"/>
              </w:rPr>
              <w:t>防腐涂层、密封检查、定期清洗、接点防护</w:t>
            </w:r>
          </w:p>
        </w:tc>
      </w:tr>
      <w:tr w14:paraId="72F9D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E60B01E">
            <w:pPr>
              <w:pStyle w:val="178"/>
            </w:pPr>
            <w:r>
              <w:rPr>
                <w:rFonts w:hint="eastAsia"/>
              </w:rPr>
              <w:t>高湿环境</w:t>
            </w:r>
          </w:p>
        </w:tc>
        <w:tc>
          <w:tcPr>
            <w:tcW w:w="3402" w:type="dxa"/>
          </w:tcPr>
          <w:p w14:paraId="7E513660">
            <w:pPr>
              <w:pStyle w:val="178"/>
            </w:pPr>
            <w:r>
              <w:rPr>
                <w:rFonts w:hint="eastAsia"/>
              </w:rPr>
              <w:t>凝露、绝缘下降、柜内受潮</w:t>
            </w:r>
          </w:p>
        </w:tc>
        <w:tc>
          <w:tcPr>
            <w:tcW w:w="4382" w:type="dxa"/>
          </w:tcPr>
          <w:p w14:paraId="0CA00C05">
            <w:pPr>
              <w:pStyle w:val="178"/>
            </w:pPr>
            <w:r>
              <w:rPr>
                <w:rFonts w:hint="eastAsia"/>
              </w:rPr>
              <w:t>除湿装置、密封维护、柜内温湿度监测</w:t>
            </w:r>
          </w:p>
        </w:tc>
      </w:tr>
      <w:tr w14:paraId="2ED584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6586D7B">
            <w:pPr>
              <w:pStyle w:val="178"/>
            </w:pPr>
            <w:r>
              <w:rPr>
                <w:rFonts w:hint="eastAsia"/>
              </w:rPr>
              <w:t>沙尘环境</w:t>
            </w:r>
          </w:p>
        </w:tc>
        <w:tc>
          <w:tcPr>
            <w:tcW w:w="3402" w:type="dxa"/>
          </w:tcPr>
          <w:p w14:paraId="396D087C">
            <w:pPr>
              <w:pStyle w:val="178"/>
            </w:pPr>
            <w:r>
              <w:rPr>
                <w:rFonts w:hint="eastAsia"/>
              </w:rPr>
              <w:t>散热不良、绝缘污染、组件遮挡</w:t>
            </w:r>
          </w:p>
        </w:tc>
        <w:tc>
          <w:tcPr>
            <w:tcW w:w="4382" w:type="dxa"/>
          </w:tcPr>
          <w:p w14:paraId="26EB602E">
            <w:pPr>
              <w:pStyle w:val="178"/>
            </w:pPr>
            <w:r>
              <w:rPr>
                <w:rFonts w:hint="eastAsia"/>
              </w:rPr>
              <w:t>清灰除尘、滤网维护、风道清理、组件清洗</w:t>
            </w:r>
          </w:p>
        </w:tc>
      </w:tr>
      <w:tr w14:paraId="7BDC8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039A68C">
            <w:pPr>
              <w:pStyle w:val="178"/>
            </w:pPr>
            <w:r>
              <w:rPr>
                <w:rFonts w:hint="eastAsia"/>
              </w:rPr>
              <w:t>大风环境</w:t>
            </w:r>
          </w:p>
        </w:tc>
        <w:tc>
          <w:tcPr>
            <w:tcW w:w="3402" w:type="dxa"/>
          </w:tcPr>
          <w:p w14:paraId="4EB71F2D">
            <w:pPr>
              <w:pStyle w:val="178"/>
            </w:pPr>
            <w:r>
              <w:rPr>
                <w:rFonts w:hint="eastAsia"/>
              </w:rPr>
              <w:t>构件松动、支架损坏、异物打击</w:t>
            </w:r>
          </w:p>
        </w:tc>
        <w:tc>
          <w:tcPr>
            <w:tcW w:w="4382" w:type="dxa"/>
          </w:tcPr>
          <w:p w14:paraId="6233E4C7">
            <w:pPr>
              <w:pStyle w:val="178"/>
            </w:pPr>
            <w:r>
              <w:rPr>
                <w:rFonts w:hint="eastAsia"/>
              </w:rPr>
              <w:t>紧固检查、支架检查、临时设施加固</w:t>
            </w:r>
          </w:p>
        </w:tc>
      </w:tr>
      <w:tr w14:paraId="285CFE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5630791">
            <w:pPr>
              <w:pStyle w:val="178"/>
            </w:pPr>
            <w:r>
              <w:rPr>
                <w:rFonts w:hint="eastAsia"/>
              </w:rPr>
              <w:t>汛涝环境</w:t>
            </w:r>
          </w:p>
        </w:tc>
        <w:tc>
          <w:tcPr>
            <w:tcW w:w="3402" w:type="dxa"/>
          </w:tcPr>
          <w:p w14:paraId="53261D91">
            <w:pPr>
              <w:pStyle w:val="178"/>
            </w:pPr>
            <w:r>
              <w:rPr>
                <w:rFonts w:hint="eastAsia"/>
              </w:rPr>
              <w:t>积水、倒灌、基础冲刷</w:t>
            </w:r>
          </w:p>
        </w:tc>
        <w:tc>
          <w:tcPr>
            <w:tcW w:w="4382" w:type="dxa"/>
          </w:tcPr>
          <w:p w14:paraId="78491FFC">
            <w:pPr>
              <w:pStyle w:val="178"/>
            </w:pPr>
            <w:r>
              <w:rPr>
                <w:rFonts w:hint="eastAsia"/>
              </w:rPr>
              <w:t>排水系统、低洼区防护、基础检查</w:t>
            </w:r>
          </w:p>
        </w:tc>
      </w:tr>
      <w:tr w14:paraId="56EC28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296D3FC">
            <w:pPr>
              <w:pStyle w:val="178"/>
            </w:pPr>
            <w:r>
              <w:rPr>
                <w:rFonts w:hint="eastAsia"/>
              </w:rPr>
              <w:t>覆冰环境</w:t>
            </w:r>
          </w:p>
        </w:tc>
        <w:tc>
          <w:tcPr>
            <w:tcW w:w="3402" w:type="dxa"/>
          </w:tcPr>
          <w:p w14:paraId="3F4F25BE">
            <w:pPr>
              <w:pStyle w:val="178"/>
            </w:pPr>
            <w:r>
              <w:rPr>
                <w:rFonts w:hint="eastAsia"/>
              </w:rPr>
              <w:t>机械负荷增大、坠冰伤害、线路异常</w:t>
            </w:r>
          </w:p>
        </w:tc>
        <w:tc>
          <w:tcPr>
            <w:tcW w:w="4382" w:type="dxa"/>
          </w:tcPr>
          <w:p w14:paraId="5A67B088">
            <w:pPr>
              <w:pStyle w:val="178"/>
            </w:pPr>
            <w:r>
              <w:rPr>
                <w:rFonts w:hint="eastAsia"/>
              </w:rPr>
              <w:t>覆冰监测、融冰措施、危险区域隔离</w:t>
            </w:r>
          </w:p>
        </w:tc>
      </w:tr>
      <w:tr w14:paraId="09692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CD3C69A">
            <w:pPr>
              <w:pStyle w:val="178"/>
            </w:pPr>
            <w:r>
              <w:rPr>
                <w:rFonts w:hint="eastAsia"/>
              </w:rPr>
              <w:t>高温环境</w:t>
            </w:r>
          </w:p>
        </w:tc>
        <w:tc>
          <w:tcPr>
            <w:tcW w:w="3402" w:type="dxa"/>
          </w:tcPr>
          <w:p w14:paraId="2376E29B">
            <w:pPr>
              <w:pStyle w:val="178"/>
            </w:pPr>
            <w:r>
              <w:rPr>
                <w:rFonts w:hint="eastAsia"/>
              </w:rPr>
              <w:t>过热降额、老化加速、火灾风险增大</w:t>
            </w:r>
          </w:p>
        </w:tc>
        <w:tc>
          <w:tcPr>
            <w:tcW w:w="4382" w:type="dxa"/>
          </w:tcPr>
          <w:p w14:paraId="22E013ED">
            <w:pPr>
              <w:pStyle w:val="178"/>
            </w:pPr>
            <w:r>
              <w:rPr>
                <w:rFonts w:hint="eastAsia"/>
              </w:rPr>
              <w:t>散热管理、温度监测、负荷控制、消防检查</w:t>
            </w:r>
          </w:p>
        </w:tc>
      </w:tr>
    </w:tbl>
    <w:p w14:paraId="0D05C49D">
      <w:pPr>
        <w:pStyle w:val="165"/>
        <w:spacing w:before="120" w:beforeLines="50" w:line="360" w:lineRule="auto"/>
      </w:pPr>
      <w:r>
        <w:rPr>
          <w:rFonts w:hint="eastAsia"/>
        </w:rPr>
        <w:t>对同时存在多种特殊环境影响的场站，应叠加实施综合防护措施。</w:t>
      </w:r>
    </w:p>
    <w:p w14:paraId="10A197EF">
      <w:pPr>
        <w:pStyle w:val="165"/>
        <w:spacing w:line="360" w:lineRule="auto"/>
      </w:pPr>
      <w:r>
        <w:rPr>
          <w:rFonts w:hint="eastAsia"/>
        </w:rPr>
        <w:t>当场站环境特征发生明显变化时，应重新评估防护措施适用性。</w:t>
      </w:r>
    </w:p>
    <w:p w14:paraId="3714B755">
      <w:pPr>
        <w:pStyle w:val="105"/>
        <w:spacing w:before="120" w:after="120" w:line="360" w:lineRule="auto"/>
      </w:pPr>
      <w:r>
        <w:rPr>
          <w:rFonts w:hint="eastAsia"/>
        </w:rPr>
        <w:t>防护检查与验证要求</w:t>
      </w:r>
    </w:p>
    <w:p w14:paraId="4F3F7DBF">
      <w:pPr>
        <w:pStyle w:val="165"/>
        <w:spacing w:line="360" w:lineRule="auto"/>
      </w:pPr>
      <w:r>
        <w:rPr>
          <w:rFonts w:hint="eastAsia"/>
        </w:rPr>
        <w:t>场站应定期开展设备防护设施检查与验证。</w:t>
      </w:r>
    </w:p>
    <w:p w14:paraId="7AAC2ED8">
      <w:pPr>
        <w:pStyle w:val="165"/>
        <w:spacing w:line="360" w:lineRule="auto"/>
      </w:pPr>
      <w:r>
        <w:rPr>
          <w:rFonts w:hint="eastAsia"/>
        </w:rPr>
        <w:t>检查与验证宜包括防雷设施、防火设施、防误装置、防腐状态、密封状态、排水设施、围界设施和告警设施等内容。</w:t>
      </w:r>
    </w:p>
    <w:p w14:paraId="77E41A6B">
      <w:pPr>
        <w:pStyle w:val="165"/>
        <w:spacing w:line="360" w:lineRule="auto"/>
      </w:pPr>
      <w:r>
        <w:rPr>
          <w:rFonts w:hint="eastAsia"/>
        </w:rPr>
        <w:t>防护设施检查发现问题后，应及时登记、整改和复核。</w:t>
      </w:r>
    </w:p>
    <w:p w14:paraId="3150CFB1">
      <w:pPr>
        <w:pStyle w:val="165"/>
        <w:spacing w:line="360" w:lineRule="auto"/>
      </w:pPr>
      <w:r>
        <w:rPr>
          <w:rFonts w:hint="eastAsia"/>
        </w:rPr>
        <w:t>重要防护措施整改完成后，应进行有效性验证。</w:t>
      </w:r>
    </w:p>
    <w:p w14:paraId="1F33E84D">
      <w:pPr>
        <w:pStyle w:val="105"/>
        <w:spacing w:before="120" w:after="120" w:line="360" w:lineRule="auto"/>
      </w:pPr>
      <w:r>
        <w:rPr>
          <w:rFonts w:hint="eastAsia"/>
        </w:rPr>
        <w:t>记录要求</w:t>
      </w:r>
    </w:p>
    <w:p w14:paraId="77E92897">
      <w:pPr>
        <w:pStyle w:val="165"/>
        <w:spacing w:line="360" w:lineRule="auto"/>
      </w:pPr>
      <w:r>
        <w:rPr>
          <w:rFonts w:hint="eastAsia"/>
        </w:rPr>
        <w:t>设备防护、特殊环境防护、专项检查、隐患整改和有效性验证活动均应形成记录。</w:t>
      </w:r>
    </w:p>
    <w:p w14:paraId="608AA143">
      <w:pPr>
        <w:pStyle w:val="165"/>
        <w:spacing w:line="360" w:lineRule="auto"/>
      </w:pPr>
      <w:r>
        <w:rPr>
          <w:rFonts w:hint="eastAsia"/>
        </w:rPr>
        <w:t>记录应至少包括检查时间、对象、环境条件、发现问题、采取措施、责任人和复核结论。</w:t>
      </w:r>
    </w:p>
    <w:p w14:paraId="1FB7F371">
      <w:pPr>
        <w:pStyle w:val="165"/>
        <w:spacing w:line="360" w:lineRule="auto"/>
      </w:pPr>
      <w:r>
        <w:rPr>
          <w:rFonts w:hint="eastAsia"/>
        </w:rPr>
        <w:t>防护记录应与运行记录、缺陷记录和应急处置记录相互对应。</w:t>
      </w:r>
    </w:p>
    <w:p w14:paraId="60637395">
      <w:pPr>
        <w:pStyle w:val="105"/>
        <w:spacing w:before="120" w:after="120" w:line="360" w:lineRule="auto"/>
      </w:pPr>
      <w:r>
        <w:rPr>
          <w:rFonts w:hint="eastAsia"/>
        </w:rPr>
        <w:t>禁止性要求</w:t>
      </w:r>
    </w:p>
    <w:p w14:paraId="166A225B">
      <w:pPr>
        <w:pStyle w:val="165"/>
        <w:spacing w:line="360" w:lineRule="auto"/>
      </w:pPr>
      <w:r>
        <w:rPr>
          <w:rFonts w:hint="eastAsia"/>
        </w:rPr>
        <w:t>不得在防雷、防火、防误、防腐和防汛等关键防护措施失效情况下长期运行而不整改。</w:t>
      </w:r>
    </w:p>
    <w:p w14:paraId="2FAE8064">
      <w:pPr>
        <w:pStyle w:val="165"/>
        <w:spacing w:line="360" w:lineRule="auto"/>
      </w:pPr>
      <w:r>
        <w:rPr>
          <w:rFonts w:hint="eastAsia"/>
        </w:rPr>
        <w:t>不得以临时围挡、临时覆盖、临时支撑等措施长期替代正式防护设施。</w:t>
      </w:r>
    </w:p>
    <w:p w14:paraId="5768AFF8">
      <w:pPr>
        <w:pStyle w:val="165"/>
        <w:spacing w:line="360" w:lineRule="auto"/>
      </w:pPr>
      <w:r>
        <w:rPr>
          <w:rFonts w:hint="eastAsia"/>
        </w:rPr>
        <w:t>不得在极端天气预警发布后仍按常态要求组织高风险现场作业而不调整防护措施。</w:t>
      </w:r>
    </w:p>
    <w:p w14:paraId="67935991">
      <w:pPr>
        <w:pStyle w:val="165"/>
        <w:spacing w:line="360" w:lineRule="auto"/>
      </w:pPr>
      <w:r>
        <w:rPr>
          <w:rFonts w:hint="eastAsia"/>
        </w:rPr>
        <w:t>不得对特殊环境影响下已出现的腐蚀、凝露、覆冰、积尘和进水问题长期不处理。</w:t>
      </w:r>
    </w:p>
    <w:p w14:paraId="1ED1334E">
      <w:pPr>
        <w:pStyle w:val="165"/>
        <w:spacing w:line="360" w:lineRule="auto"/>
      </w:pPr>
      <w:r>
        <w:rPr>
          <w:rFonts w:hint="eastAsia"/>
        </w:rPr>
        <w:t>不得擅自拆除、屏蔽或者停用防护设施、监测装置和告警装置。</w:t>
      </w:r>
    </w:p>
    <w:p w14:paraId="2F1921A1">
      <w:pPr>
        <w:pStyle w:val="104"/>
        <w:spacing w:before="240" w:after="240" w:line="360" w:lineRule="auto"/>
      </w:pPr>
      <w:bookmarkStart w:id="55" w:name="_Toc228605990"/>
      <w:r>
        <w:rPr>
          <w:rFonts w:hint="eastAsia"/>
        </w:rPr>
        <w:t>外委作业与应急处置要求</w:t>
      </w:r>
      <w:bookmarkEnd w:id="55"/>
    </w:p>
    <w:p w14:paraId="43A4DF1B">
      <w:pPr>
        <w:pStyle w:val="105"/>
        <w:spacing w:before="120" w:after="120" w:line="360" w:lineRule="auto"/>
      </w:pPr>
      <w:r>
        <w:rPr>
          <w:rFonts w:hint="eastAsia"/>
        </w:rPr>
        <w:t>一般要求</w:t>
      </w:r>
    </w:p>
    <w:p w14:paraId="27ADA1DE">
      <w:pPr>
        <w:pStyle w:val="165"/>
        <w:spacing w:line="360" w:lineRule="auto"/>
      </w:pPr>
      <w:r>
        <w:rPr>
          <w:rFonts w:hint="eastAsia"/>
        </w:rPr>
        <w:t>新能源发电场站应建立外委作业管理和应急处置管理机制。</w:t>
      </w:r>
    </w:p>
    <w:p w14:paraId="46E15A79">
      <w:pPr>
        <w:pStyle w:val="165"/>
        <w:spacing w:line="360" w:lineRule="auto"/>
      </w:pPr>
      <w:r>
        <w:rPr>
          <w:rFonts w:hint="eastAsia"/>
        </w:rPr>
        <w:t>外委作业管理应坚持统一准入、统一审批、统一交底、统一监护、统一验收和统一留痕的原则。</w:t>
      </w:r>
    </w:p>
    <w:p w14:paraId="3C664D64">
      <w:pPr>
        <w:pStyle w:val="165"/>
        <w:spacing w:line="360" w:lineRule="auto"/>
      </w:pPr>
      <w:r>
        <w:rPr>
          <w:rFonts w:hint="eastAsia"/>
        </w:rPr>
        <w:t>应急处置应坚持快速响应、先控风险、后查原因、分级启动、协同联动和及时恢复的原则。</w:t>
      </w:r>
    </w:p>
    <w:p w14:paraId="7D4D48B6">
      <w:pPr>
        <w:pStyle w:val="165"/>
        <w:spacing w:line="360" w:lineRule="auto"/>
      </w:pPr>
      <w:r>
        <w:rPr>
          <w:rFonts w:hint="eastAsia"/>
        </w:rPr>
        <w:t>外委作业管理和应急处置应与场站运行管理、设备防护、检修维护、缺陷管理和安全管理相衔接。</w:t>
      </w:r>
    </w:p>
    <w:p w14:paraId="1947C4E2">
      <w:pPr>
        <w:pStyle w:val="165"/>
        <w:spacing w:line="360" w:lineRule="auto"/>
      </w:pPr>
      <w:r>
        <w:rPr>
          <w:rFonts w:hint="eastAsia"/>
        </w:rPr>
        <w:t>对涉及高处、带电、动火、吊装、有限空间、储能系统、升压站高压设备和极端天气条件下的外委作业，应提高管控等级。</w:t>
      </w:r>
    </w:p>
    <w:p w14:paraId="77AE98C5">
      <w:pPr>
        <w:pStyle w:val="165"/>
        <w:spacing w:line="360" w:lineRule="auto"/>
      </w:pPr>
      <w:r>
        <w:rPr>
          <w:rFonts w:hint="eastAsia"/>
        </w:rPr>
        <w:t>对可能危及人身安全、设备安全、并网安全或者环境安全的突发情况，应优先启动应急控制措施。</w:t>
      </w:r>
    </w:p>
    <w:p w14:paraId="430664DB">
      <w:pPr>
        <w:pStyle w:val="105"/>
        <w:spacing w:before="120" w:after="120" w:line="360" w:lineRule="auto"/>
      </w:pPr>
      <w:r>
        <w:rPr>
          <w:rFonts w:hint="eastAsia"/>
        </w:rPr>
        <w:t>外委作业准入要求</w:t>
      </w:r>
    </w:p>
    <w:p w14:paraId="0BD0EC8C">
      <w:pPr>
        <w:pStyle w:val="65"/>
        <w:spacing w:before="120" w:after="120" w:line="360" w:lineRule="auto"/>
      </w:pPr>
      <w:r>
        <w:rPr>
          <w:rFonts w:hint="eastAsia"/>
        </w:rPr>
        <w:t>一般要求</w:t>
      </w:r>
    </w:p>
    <w:p w14:paraId="0EE82B5F">
      <w:pPr>
        <w:pStyle w:val="164"/>
        <w:spacing w:line="360" w:lineRule="auto"/>
      </w:pPr>
      <w:r>
        <w:rPr>
          <w:rFonts w:hint="eastAsia"/>
        </w:rPr>
        <w:t>场站引入外委单位实施检修、试验、检测、维护、施工或者专项技术服务前，应进行准入审核。</w:t>
      </w:r>
    </w:p>
    <w:p w14:paraId="27724F92">
      <w:pPr>
        <w:pStyle w:val="164"/>
        <w:spacing w:line="360" w:lineRule="auto"/>
      </w:pPr>
      <w:r>
        <w:rPr>
          <w:rFonts w:hint="eastAsia"/>
        </w:rPr>
        <w:t>准入审核应覆盖资质资格、人员能力、作业业绩、安全管理能力、工器具配置和应急保障能力等内容。</w:t>
      </w:r>
    </w:p>
    <w:p w14:paraId="6AF9F3BD">
      <w:pPr>
        <w:pStyle w:val="164"/>
        <w:spacing w:line="360" w:lineRule="auto"/>
      </w:pPr>
      <w:r>
        <w:rPr>
          <w:rFonts w:hint="eastAsia"/>
        </w:rPr>
        <w:t>未经准入审核或者审核不合格的外委单位，不得进入场站实施正式作业。</w:t>
      </w:r>
    </w:p>
    <w:p w14:paraId="6B772DE6">
      <w:pPr>
        <w:pStyle w:val="65"/>
        <w:spacing w:before="120" w:after="120" w:line="360" w:lineRule="auto"/>
      </w:pPr>
      <w:r>
        <w:rPr>
          <w:rFonts w:hint="eastAsia"/>
        </w:rPr>
        <w:t>审核内容</w:t>
      </w:r>
    </w:p>
    <w:p w14:paraId="71C74EE1">
      <w:pPr>
        <w:pStyle w:val="164"/>
        <w:spacing w:line="360" w:lineRule="auto"/>
      </w:pPr>
      <w:r>
        <w:rPr>
          <w:rFonts w:hint="eastAsia"/>
        </w:rPr>
        <w:t>外委单位准入审核宜至少包括下列内容：</w:t>
      </w:r>
    </w:p>
    <w:p w14:paraId="609953C0">
      <w:pPr>
        <w:pStyle w:val="56"/>
        <w:spacing w:line="360" w:lineRule="auto"/>
        <w:ind w:firstLine="420"/>
      </w:pPr>
      <w:r>
        <w:rPr>
          <w:rFonts w:hint="eastAsia"/>
        </w:rPr>
        <w:t>a）营业资质和专业资质；</w:t>
      </w:r>
    </w:p>
    <w:p w14:paraId="752ED26D">
      <w:pPr>
        <w:pStyle w:val="56"/>
        <w:spacing w:line="360" w:lineRule="auto"/>
        <w:ind w:firstLine="420"/>
      </w:pPr>
      <w:r>
        <w:rPr>
          <w:rFonts w:hint="eastAsia"/>
        </w:rPr>
        <w:t>b）特种作业人员资格证书；</w:t>
      </w:r>
    </w:p>
    <w:p w14:paraId="204B8C19">
      <w:pPr>
        <w:pStyle w:val="56"/>
        <w:spacing w:line="360" w:lineRule="auto"/>
        <w:ind w:firstLine="420"/>
      </w:pPr>
      <w:r>
        <w:rPr>
          <w:rFonts w:hint="eastAsia"/>
        </w:rPr>
        <w:t>c）近年类似项目实施情况；</w:t>
      </w:r>
    </w:p>
    <w:p w14:paraId="0D4A4F29">
      <w:pPr>
        <w:pStyle w:val="56"/>
        <w:spacing w:line="360" w:lineRule="auto"/>
        <w:ind w:firstLine="420"/>
      </w:pPr>
      <w:r>
        <w:rPr>
          <w:rFonts w:hint="eastAsia"/>
        </w:rPr>
        <w:t>d）安全生产管理制度；</w:t>
      </w:r>
    </w:p>
    <w:p w14:paraId="76CB9495">
      <w:pPr>
        <w:pStyle w:val="56"/>
        <w:spacing w:line="360" w:lineRule="auto"/>
        <w:ind w:firstLine="420"/>
      </w:pPr>
      <w:r>
        <w:rPr>
          <w:rFonts w:hint="eastAsia"/>
        </w:rPr>
        <w:t>e）作业负责人和关键岗位人员名单；</w:t>
      </w:r>
    </w:p>
    <w:p w14:paraId="7B101D46">
      <w:pPr>
        <w:pStyle w:val="56"/>
        <w:spacing w:line="360" w:lineRule="auto"/>
        <w:ind w:firstLine="420"/>
      </w:pPr>
      <w:r>
        <w:rPr>
          <w:rFonts w:hint="eastAsia"/>
        </w:rPr>
        <w:t>f）工器具、车辆和安全防护用品配置情况；</w:t>
      </w:r>
    </w:p>
    <w:p w14:paraId="343FFE17">
      <w:pPr>
        <w:pStyle w:val="56"/>
        <w:spacing w:line="360" w:lineRule="auto"/>
        <w:ind w:firstLine="420"/>
      </w:pPr>
      <w:r>
        <w:rPr>
          <w:rFonts w:hint="eastAsia"/>
        </w:rPr>
        <w:t>g）保险和相关保障情况；</w:t>
      </w:r>
    </w:p>
    <w:p w14:paraId="1679C778">
      <w:pPr>
        <w:pStyle w:val="56"/>
        <w:spacing w:line="360" w:lineRule="auto"/>
        <w:ind w:firstLine="420"/>
      </w:pPr>
      <w:r>
        <w:rPr>
          <w:rFonts w:hint="eastAsia"/>
        </w:rPr>
        <w:t>h）应急处置能力和联动方式。</w:t>
      </w:r>
    </w:p>
    <w:p w14:paraId="0D29CE83">
      <w:pPr>
        <w:pStyle w:val="164"/>
        <w:spacing w:line="360" w:lineRule="auto"/>
      </w:pPr>
      <w:r>
        <w:rPr>
          <w:rFonts w:hint="eastAsia"/>
        </w:rPr>
        <w:t>对涉及风机大部件吊装、储能系统维护、升压站一次设备检修、继电保护试验、消防系统调试和高危专项施工的外委单位，应从严审核专业能力和安全保障能力。</w:t>
      </w:r>
    </w:p>
    <w:p w14:paraId="27635C34">
      <w:pPr>
        <w:pStyle w:val="65"/>
        <w:spacing w:before="120" w:after="120" w:line="360" w:lineRule="auto"/>
      </w:pPr>
      <w:r>
        <w:rPr>
          <w:rFonts w:hint="eastAsia"/>
        </w:rPr>
        <w:t>进场条件</w:t>
      </w:r>
    </w:p>
    <w:p w14:paraId="6AC7EBF2">
      <w:pPr>
        <w:pStyle w:val="164"/>
        <w:spacing w:line="360" w:lineRule="auto"/>
      </w:pPr>
      <w:r>
        <w:rPr>
          <w:rFonts w:hint="eastAsia"/>
        </w:rPr>
        <w:t>外委人员进场前，应完成身份登记、安全教育、现场交底和风险告知。</w:t>
      </w:r>
    </w:p>
    <w:p w14:paraId="0BC59E47">
      <w:pPr>
        <w:pStyle w:val="164"/>
        <w:spacing w:line="360" w:lineRule="auto"/>
      </w:pPr>
      <w:r>
        <w:rPr>
          <w:rFonts w:hint="eastAsia"/>
        </w:rPr>
        <w:t>外委人员应熟悉作业区域、设备边界、危险点、禁入区域和应急疏散路线。</w:t>
      </w:r>
    </w:p>
    <w:p w14:paraId="71C0556A">
      <w:pPr>
        <w:pStyle w:val="164"/>
        <w:spacing w:line="360" w:lineRule="auto"/>
      </w:pPr>
      <w:r>
        <w:rPr>
          <w:rFonts w:hint="eastAsia"/>
        </w:rPr>
        <w:t>外委人员未完成进场教育和现场交底的，不得独立进入作业区域。</w:t>
      </w:r>
    </w:p>
    <w:p w14:paraId="1E6F6355">
      <w:pPr>
        <w:pStyle w:val="105"/>
        <w:spacing w:before="120" w:after="120" w:line="360" w:lineRule="auto"/>
      </w:pPr>
      <w:r>
        <w:rPr>
          <w:rFonts w:hint="eastAsia"/>
        </w:rPr>
        <w:t>外委作业审批与票证管理要求</w:t>
      </w:r>
    </w:p>
    <w:p w14:paraId="74DF725A">
      <w:pPr>
        <w:pStyle w:val="65"/>
        <w:spacing w:before="120" w:after="120" w:line="360" w:lineRule="auto"/>
      </w:pPr>
      <w:r>
        <w:rPr>
          <w:rFonts w:hint="eastAsia"/>
        </w:rPr>
        <w:t>一般要求</w:t>
      </w:r>
    </w:p>
    <w:p w14:paraId="281EF657">
      <w:pPr>
        <w:pStyle w:val="164"/>
        <w:spacing w:line="360" w:lineRule="auto"/>
      </w:pPr>
      <w:r>
        <w:rPr>
          <w:rFonts w:hint="eastAsia"/>
        </w:rPr>
        <w:t>外委作业应根据作业性质办理相应票证和审批手续。</w:t>
      </w:r>
    </w:p>
    <w:p w14:paraId="30DCA752">
      <w:pPr>
        <w:pStyle w:val="164"/>
        <w:spacing w:line="360" w:lineRule="auto"/>
      </w:pPr>
      <w:r>
        <w:rPr>
          <w:rFonts w:hint="eastAsia"/>
        </w:rPr>
        <w:t>涉及停送电、设备隔离、保护投退、动火、高处、吊装、有限空间和储能区域作业的，应执行相应工作票、操作票和作业许可制度。</w:t>
      </w:r>
    </w:p>
    <w:p w14:paraId="0A22BDC3">
      <w:pPr>
        <w:pStyle w:val="164"/>
        <w:spacing w:line="360" w:lineRule="auto"/>
      </w:pPr>
      <w:r>
        <w:rPr>
          <w:rFonts w:hint="eastAsia"/>
        </w:rPr>
        <w:t>作业审批应明确作业内容、作业范围、作业时段、安全措施、监护要求和恢复要求。</w:t>
      </w:r>
    </w:p>
    <w:p w14:paraId="4FC0BAE2">
      <w:pPr>
        <w:pStyle w:val="65"/>
        <w:spacing w:before="120" w:after="120" w:line="360" w:lineRule="auto"/>
      </w:pPr>
      <w:r>
        <w:rPr>
          <w:rFonts w:hint="eastAsia"/>
        </w:rPr>
        <w:t>票证要求</w:t>
      </w:r>
    </w:p>
    <w:p w14:paraId="17C3B68E">
      <w:pPr>
        <w:pStyle w:val="164"/>
        <w:spacing w:line="360" w:lineRule="auto"/>
      </w:pPr>
      <w:r>
        <w:rPr>
          <w:rFonts w:hint="eastAsia"/>
        </w:rPr>
        <w:t>外委作业票证宜至少包括下列内容：</w:t>
      </w:r>
    </w:p>
    <w:p w14:paraId="2EA5CB0C">
      <w:pPr>
        <w:pStyle w:val="56"/>
        <w:spacing w:line="360" w:lineRule="auto"/>
        <w:ind w:firstLine="420"/>
      </w:pPr>
      <w:r>
        <w:rPr>
          <w:rFonts w:hint="eastAsia"/>
        </w:rPr>
        <w:t>a）作业名称；</w:t>
      </w:r>
    </w:p>
    <w:p w14:paraId="296B5B4F">
      <w:pPr>
        <w:pStyle w:val="56"/>
        <w:spacing w:line="360" w:lineRule="auto"/>
        <w:ind w:firstLine="420"/>
      </w:pPr>
      <w:r>
        <w:rPr>
          <w:rFonts w:hint="eastAsia"/>
        </w:rPr>
        <w:t>b）作业地点；</w:t>
      </w:r>
    </w:p>
    <w:p w14:paraId="169AB846">
      <w:pPr>
        <w:pStyle w:val="56"/>
        <w:spacing w:line="360" w:lineRule="auto"/>
        <w:ind w:firstLine="420"/>
      </w:pPr>
      <w:r>
        <w:rPr>
          <w:rFonts w:hint="eastAsia"/>
        </w:rPr>
        <w:t>c）设备名称和编号；</w:t>
      </w:r>
    </w:p>
    <w:p w14:paraId="489C0F59">
      <w:pPr>
        <w:pStyle w:val="56"/>
        <w:spacing w:line="360" w:lineRule="auto"/>
        <w:ind w:firstLine="420"/>
      </w:pPr>
      <w:r>
        <w:rPr>
          <w:rFonts w:hint="eastAsia"/>
        </w:rPr>
        <w:t>d）作业内容；</w:t>
      </w:r>
    </w:p>
    <w:p w14:paraId="2605B2D5">
      <w:pPr>
        <w:pStyle w:val="56"/>
        <w:spacing w:line="360" w:lineRule="auto"/>
        <w:ind w:firstLine="420"/>
      </w:pPr>
      <w:r>
        <w:rPr>
          <w:rFonts w:hint="eastAsia"/>
        </w:rPr>
        <w:t>e）风险点和控制措施；</w:t>
      </w:r>
    </w:p>
    <w:p w14:paraId="43AA65A1">
      <w:pPr>
        <w:pStyle w:val="56"/>
        <w:spacing w:line="360" w:lineRule="auto"/>
        <w:ind w:firstLine="420"/>
      </w:pPr>
      <w:r>
        <w:rPr>
          <w:rFonts w:hint="eastAsia"/>
        </w:rPr>
        <w:t>f）停运、隔离和验电要求；</w:t>
      </w:r>
    </w:p>
    <w:p w14:paraId="7B099991">
      <w:pPr>
        <w:pStyle w:val="56"/>
        <w:spacing w:line="360" w:lineRule="auto"/>
        <w:ind w:firstLine="420"/>
      </w:pPr>
      <w:r>
        <w:rPr>
          <w:rFonts w:hint="eastAsia"/>
        </w:rPr>
        <w:t>g）作业负责人和监护人；</w:t>
      </w:r>
    </w:p>
    <w:p w14:paraId="3A5545D7">
      <w:pPr>
        <w:pStyle w:val="56"/>
        <w:spacing w:line="360" w:lineRule="auto"/>
        <w:ind w:firstLine="420"/>
      </w:pPr>
      <w:r>
        <w:rPr>
          <w:rFonts w:hint="eastAsia"/>
        </w:rPr>
        <w:t>h）起止时间；</w:t>
      </w:r>
    </w:p>
    <w:p w14:paraId="74650DD0">
      <w:pPr>
        <w:pStyle w:val="56"/>
        <w:spacing w:line="360" w:lineRule="auto"/>
        <w:ind w:firstLine="420"/>
      </w:pPr>
      <w:r>
        <w:rPr>
          <w:rFonts w:hint="eastAsia"/>
        </w:rPr>
        <w:t>i）恢复要求；</w:t>
      </w:r>
    </w:p>
    <w:p w14:paraId="713E51A8">
      <w:pPr>
        <w:pStyle w:val="56"/>
        <w:spacing w:line="360" w:lineRule="auto"/>
        <w:ind w:firstLine="420"/>
      </w:pPr>
      <w:r>
        <w:rPr>
          <w:rFonts w:hint="eastAsia"/>
        </w:rPr>
        <w:t>j）审批签发信息。</w:t>
      </w:r>
    </w:p>
    <w:p w14:paraId="7940B0E0">
      <w:pPr>
        <w:pStyle w:val="164"/>
        <w:spacing w:line="360" w:lineRule="auto"/>
      </w:pPr>
      <w:r>
        <w:rPr>
          <w:rFonts w:hint="eastAsia"/>
        </w:rPr>
        <w:t>票证内容与现场实际不一致的，不得开工。</w:t>
      </w:r>
    </w:p>
    <w:p w14:paraId="275CBE66">
      <w:pPr>
        <w:pStyle w:val="164"/>
        <w:spacing w:line="360" w:lineRule="auto"/>
      </w:pPr>
      <w:r>
        <w:rPr>
          <w:rFonts w:hint="eastAsia"/>
        </w:rPr>
        <w:t>同一作业项目发生范围变化、时间变化、人员变化或者设备边界变化时，应重新确认票证。</w:t>
      </w:r>
    </w:p>
    <w:p w14:paraId="27C03CF2">
      <w:pPr>
        <w:pStyle w:val="105"/>
        <w:spacing w:before="120" w:after="120" w:line="360" w:lineRule="auto"/>
      </w:pPr>
      <w:r>
        <w:rPr>
          <w:rFonts w:hint="eastAsia"/>
        </w:rPr>
        <w:t>外委作业现场控制要求</w:t>
      </w:r>
    </w:p>
    <w:p w14:paraId="3F99B842">
      <w:pPr>
        <w:pStyle w:val="65"/>
        <w:spacing w:before="120" w:after="120" w:line="360" w:lineRule="auto"/>
      </w:pPr>
      <w:r>
        <w:rPr>
          <w:rFonts w:hint="eastAsia"/>
        </w:rPr>
        <w:t>一般要求</w:t>
      </w:r>
    </w:p>
    <w:p w14:paraId="0542F8E8">
      <w:pPr>
        <w:pStyle w:val="164"/>
        <w:spacing w:line="360" w:lineRule="auto"/>
      </w:pPr>
      <w:r>
        <w:rPr>
          <w:rFonts w:hint="eastAsia"/>
        </w:rPr>
        <w:t>外委作业期间，场站应实施现场控制和过程监督。</w:t>
      </w:r>
    </w:p>
    <w:p w14:paraId="20E740DA">
      <w:pPr>
        <w:pStyle w:val="164"/>
        <w:spacing w:line="360" w:lineRule="auto"/>
      </w:pPr>
      <w:r>
        <w:rPr>
          <w:rFonts w:hint="eastAsia"/>
        </w:rPr>
        <w:t>场站应明确现场负责人、作业负责人和监护人，不得由无责任边界人员代行监护职责。</w:t>
      </w:r>
    </w:p>
    <w:p w14:paraId="06ABFB0E">
      <w:pPr>
        <w:pStyle w:val="164"/>
        <w:spacing w:line="360" w:lineRule="auto"/>
      </w:pPr>
      <w:r>
        <w:rPr>
          <w:rFonts w:hint="eastAsia"/>
        </w:rPr>
        <w:t>现场控制应覆盖作业边界、设备状态、隔离措施、工具材料、人员行为、环境变化和风险变化等内容。</w:t>
      </w:r>
    </w:p>
    <w:p w14:paraId="1E7D39D4">
      <w:pPr>
        <w:pStyle w:val="65"/>
        <w:spacing w:before="120" w:after="120" w:line="360" w:lineRule="auto"/>
      </w:pPr>
      <w:r>
        <w:rPr>
          <w:rFonts w:hint="eastAsia"/>
        </w:rPr>
        <w:t>现场监护要求</w:t>
      </w:r>
    </w:p>
    <w:p w14:paraId="00F66FFF">
      <w:pPr>
        <w:pStyle w:val="164"/>
        <w:spacing w:line="360" w:lineRule="auto"/>
      </w:pPr>
      <w:r>
        <w:rPr>
          <w:rFonts w:hint="eastAsia"/>
        </w:rPr>
        <w:t>对下列作业应设置现场监护：</w:t>
      </w:r>
    </w:p>
    <w:p w14:paraId="0C3B5B1B">
      <w:pPr>
        <w:pStyle w:val="56"/>
        <w:spacing w:line="360" w:lineRule="auto"/>
        <w:ind w:firstLine="420"/>
      </w:pPr>
      <w:r>
        <w:rPr>
          <w:rFonts w:hint="eastAsia"/>
        </w:rPr>
        <w:t>a）高处作业；</w:t>
      </w:r>
    </w:p>
    <w:p w14:paraId="5C22C78A">
      <w:pPr>
        <w:pStyle w:val="56"/>
        <w:spacing w:line="360" w:lineRule="auto"/>
        <w:ind w:firstLine="420"/>
      </w:pPr>
      <w:r>
        <w:rPr>
          <w:rFonts w:hint="eastAsia"/>
        </w:rPr>
        <w:t>b）带电邻近作业；</w:t>
      </w:r>
    </w:p>
    <w:p w14:paraId="3D4DE3D5">
      <w:pPr>
        <w:pStyle w:val="56"/>
        <w:spacing w:line="360" w:lineRule="auto"/>
        <w:ind w:firstLine="420"/>
      </w:pPr>
      <w:r>
        <w:rPr>
          <w:rFonts w:hint="eastAsia"/>
        </w:rPr>
        <w:t>c）动火作业；</w:t>
      </w:r>
    </w:p>
    <w:p w14:paraId="702A2F07">
      <w:pPr>
        <w:pStyle w:val="56"/>
        <w:spacing w:line="360" w:lineRule="auto"/>
        <w:ind w:firstLine="420"/>
      </w:pPr>
      <w:r>
        <w:rPr>
          <w:rFonts w:hint="eastAsia"/>
        </w:rPr>
        <w:t>d）吊装作业；</w:t>
      </w:r>
    </w:p>
    <w:p w14:paraId="1D5B18C8">
      <w:pPr>
        <w:pStyle w:val="56"/>
        <w:spacing w:line="360" w:lineRule="auto"/>
        <w:ind w:firstLine="420"/>
      </w:pPr>
      <w:r>
        <w:rPr>
          <w:rFonts w:hint="eastAsia"/>
        </w:rPr>
        <w:t>e）有限空间作业；</w:t>
      </w:r>
    </w:p>
    <w:p w14:paraId="4AD2603C">
      <w:pPr>
        <w:pStyle w:val="56"/>
        <w:spacing w:line="360" w:lineRule="auto"/>
        <w:ind w:firstLine="420"/>
      </w:pPr>
      <w:r>
        <w:rPr>
          <w:rFonts w:hint="eastAsia"/>
        </w:rPr>
        <w:t>f）升压站高压区域作业；</w:t>
      </w:r>
    </w:p>
    <w:p w14:paraId="03C2C4C1">
      <w:pPr>
        <w:pStyle w:val="56"/>
        <w:spacing w:line="360" w:lineRule="auto"/>
        <w:ind w:firstLine="420"/>
      </w:pPr>
      <w:r>
        <w:rPr>
          <w:rFonts w:hint="eastAsia"/>
        </w:rPr>
        <w:t>g）储能系统内部作业；</w:t>
      </w:r>
    </w:p>
    <w:p w14:paraId="0FC77BAD">
      <w:pPr>
        <w:pStyle w:val="56"/>
        <w:spacing w:line="360" w:lineRule="auto"/>
        <w:ind w:firstLine="420"/>
      </w:pPr>
      <w:r>
        <w:rPr>
          <w:rFonts w:hint="eastAsia"/>
        </w:rPr>
        <w:t>h）其他高风险作业。</w:t>
      </w:r>
    </w:p>
    <w:p w14:paraId="20CD5639">
      <w:pPr>
        <w:pStyle w:val="164"/>
        <w:spacing w:line="360" w:lineRule="auto"/>
      </w:pPr>
      <w:r>
        <w:rPr>
          <w:rFonts w:hint="eastAsia"/>
        </w:rPr>
        <w:t>监护人应重点核对作业人员资格、作业票证、隔离措施、作业步骤和现场风险变化。</w:t>
      </w:r>
    </w:p>
    <w:p w14:paraId="1C59ECE3">
      <w:pPr>
        <w:pStyle w:val="164"/>
        <w:spacing w:line="360" w:lineRule="auto"/>
      </w:pPr>
      <w:r>
        <w:rPr>
          <w:rFonts w:hint="eastAsia"/>
        </w:rPr>
        <w:t>监护人发现不安全行为、票证失效、边界突破或者风险升级时，应立即制止并报告。</w:t>
      </w:r>
    </w:p>
    <w:p w14:paraId="269C6588">
      <w:pPr>
        <w:pStyle w:val="65"/>
        <w:spacing w:before="120" w:after="120" w:line="360" w:lineRule="auto"/>
      </w:pPr>
      <w:r>
        <w:rPr>
          <w:rFonts w:hint="eastAsia"/>
        </w:rPr>
        <w:t>作业边界控制要求</w:t>
      </w:r>
    </w:p>
    <w:p w14:paraId="06FF21CC">
      <w:pPr>
        <w:pStyle w:val="164"/>
        <w:spacing w:line="360" w:lineRule="auto"/>
      </w:pPr>
      <w:r>
        <w:rPr>
          <w:rFonts w:hint="eastAsia"/>
        </w:rPr>
        <w:t>外委单位不得擅自扩大作业范围、改变作业方案或者跨区域作业。</w:t>
      </w:r>
    </w:p>
    <w:p w14:paraId="5CE73BC3">
      <w:pPr>
        <w:pStyle w:val="164"/>
        <w:spacing w:line="360" w:lineRule="auto"/>
      </w:pPr>
      <w:r>
        <w:rPr>
          <w:rFonts w:hint="eastAsia"/>
        </w:rPr>
        <w:t>外委单位不得擅自操作非授权设备、非票证设备或者与作业无关系统。</w:t>
      </w:r>
    </w:p>
    <w:p w14:paraId="64CD66AA">
      <w:pPr>
        <w:pStyle w:val="164"/>
        <w:spacing w:line="360" w:lineRule="auto"/>
      </w:pPr>
      <w:r>
        <w:rPr>
          <w:rFonts w:hint="eastAsia"/>
        </w:rPr>
        <w:t>涉及系统切换、参数调整、保护投退和远方控制操作的，应由场站授权人员执行或者在场站授权监护下执行。</w:t>
      </w:r>
    </w:p>
    <w:p w14:paraId="644C36F1">
      <w:pPr>
        <w:pStyle w:val="105"/>
        <w:spacing w:before="120" w:after="120" w:line="360" w:lineRule="auto"/>
      </w:pPr>
      <w:r>
        <w:rPr>
          <w:rFonts w:hint="eastAsia"/>
        </w:rPr>
        <w:t>外委作业安全要求</w:t>
      </w:r>
    </w:p>
    <w:p w14:paraId="117E1C80">
      <w:pPr>
        <w:pStyle w:val="65"/>
        <w:spacing w:before="120" w:after="120" w:line="360" w:lineRule="auto"/>
      </w:pPr>
      <w:r>
        <w:rPr>
          <w:rFonts w:hint="eastAsia"/>
        </w:rPr>
        <w:t>一般要求</w:t>
      </w:r>
    </w:p>
    <w:p w14:paraId="6C081F8D">
      <w:pPr>
        <w:pStyle w:val="164"/>
        <w:spacing w:line="360" w:lineRule="auto"/>
      </w:pPr>
      <w:r>
        <w:rPr>
          <w:rFonts w:hint="eastAsia"/>
        </w:rPr>
        <w:t>外委作业应严格执行场站安全管理制度。</w:t>
      </w:r>
    </w:p>
    <w:p w14:paraId="76178485">
      <w:pPr>
        <w:pStyle w:val="164"/>
        <w:spacing w:line="360" w:lineRule="auto"/>
      </w:pPr>
      <w:r>
        <w:rPr>
          <w:rFonts w:hint="eastAsia"/>
        </w:rPr>
        <w:t>外委作业人员应正确使用劳动防护用品和安全工器具。</w:t>
      </w:r>
    </w:p>
    <w:p w14:paraId="6BCE6932">
      <w:pPr>
        <w:pStyle w:val="164"/>
        <w:spacing w:line="360" w:lineRule="auto"/>
      </w:pPr>
      <w:r>
        <w:rPr>
          <w:rFonts w:hint="eastAsia"/>
        </w:rPr>
        <w:t>作业期间应保持消防通道、疏散通道、设备通道和应急通道畅通。</w:t>
      </w:r>
    </w:p>
    <w:p w14:paraId="57B44E7C">
      <w:pPr>
        <w:pStyle w:val="65"/>
        <w:spacing w:before="120" w:after="120" w:line="360" w:lineRule="auto"/>
      </w:pPr>
      <w:r>
        <w:rPr>
          <w:rFonts w:hint="eastAsia"/>
        </w:rPr>
        <w:t>特殊作业要求</w:t>
      </w:r>
    </w:p>
    <w:p w14:paraId="501CFBB5">
      <w:pPr>
        <w:pStyle w:val="164"/>
        <w:spacing w:line="360" w:lineRule="auto"/>
      </w:pPr>
      <w:r>
        <w:rPr>
          <w:rFonts w:hint="eastAsia"/>
        </w:rPr>
        <w:t>动火作业前，应清理易燃物，落实监护和灭火措施。</w:t>
      </w:r>
    </w:p>
    <w:p w14:paraId="7B1EE4D3">
      <w:pPr>
        <w:pStyle w:val="164"/>
        <w:spacing w:line="360" w:lineRule="auto"/>
      </w:pPr>
      <w:r>
        <w:rPr>
          <w:rFonts w:hint="eastAsia"/>
        </w:rPr>
        <w:t>吊装作业前，应确认吊点、吊具、地基条件、气象条件和警戒区域。</w:t>
      </w:r>
    </w:p>
    <w:p w14:paraId="2D91D9A6">
      <w:pPr>
        <w:pStyle w:val="164"/>
        <w:spacing w:line="360" w:lineRule="auto"/>
      </w:pPr>
      <w:r>
        <w:rPr>
          <w:rFonts w:hint="eastAsia"/>
        </w:rPr>
        <w:t>有限空间作业前，应落实检测、通风、监护、救援和联络措施。</w:t>
      </w:r>
    </w:p>
    <w:p w14:paraId="6B27269D">
      <w:pPr>
        <w:pStyle w:val="164"/>
        <w:spacing w:line="360" w:lineRule="auto"/>
      </w:pPr>
      <w:r>
        <w:rPr>
          <w:rFonts w:hint="eastAsia"/>
        </w:rPr>
        <w:t>雷雨、大风、覆冰、暴雪、高温和其他恶劣天气条件下，场站应根据风险决定暂停或者限制高风险外委作业。</w:t>
      </w:r>
    </w:p>
    <w:p w14:paraId="05716014">
      <w:pPr>
        <w:pStyle w:val="105"/>
        <w:spacing w:before="120" w:after="120" w:line="360" w:lineRule="auto"/>
      </w:pPr>
      <w:r>
        <w:rPr>
          <w:rFonts w:hint="eastAsia"/>
        </w:rPr>
        <w:t>外委作业验收与恢复要求</w:t>
      </w:r>
    </w:p>
    <w:p w14:paraId="44586C1E">
      <w:pPr>
        <w:pStyle w:val="65"/>
        <w:spacing w:before="120" w:after="120" w:line="360" w:lineRule="auto"/>
      </w:pPr>
      <w:r>
        <w:rPr>
          <w:rFonts w:hint="eastAsia"/>
        </w:rPr>
        <w:t>一般要求</w:t>
      </w:r>
    </w:p>
    <w:p w14:paraId="0775966F">
      <w:pPr>
        <w:pStyle w:val="164"/>
        <w:spacing w:line="360" w:lineRule="auto"/>
      </w:pPr>
      <w:r>
        <w:rPr>
          <w:rFonts w:hint="eastAsia"/>
        </w:rPr>
        <w:t>外委作业完成后，应实施作业验收和恢复确认。</w:t>
      </w:r>
    </w:p>
    <w:p w14:paraId="62C4A530">
      <w:pPr>
        <w:pStyle w:val="164"/>
        <w:spacing w:line="360" w:lineRule="auto"/>
      </w:pPr>
      <w:r>
        <w:rPr>
          <w:rFonts w:hint="eastAsia"/>
        </w:rPr>
        <w:t>验收应覆盖作业质量、现场清理、设备状态、保护恢复、标识恢复和记录完整性等内容。</w:t>
      </w:r>
    </w:p>
    <w:p w14:paraId="43E3F72D">
      <w:pPr>
        <w:pStyle w:val="164"/>
        <w:spacing w:line="360" w:lineRule="auto"/>
      </w:pPr>
      <w:r>
        <w:rPr>
          <w:rFonts w:hint="eastAsia"/>
        </w:rPr>
        <w:t>未经验收或者验收不合格的，不得恢复设备正式运行或者结束作业票证。</w:t>
      </w:r>
    </w:p>
    <w:p w14:paraId="3D4E134B">
      <w:pPr>
        <w:pStyle w:val="65"/>
        <w:spacing w:before="120" w:after="120" w:line="360" w:lineRule="auto"/>
      </w:pPr>
      <w:r>
        <w:rPr>
          <w:rFonts w:hint="eastAsia"/>
        </w:rPr>
        <w:t>恢复要求</w:t>
      </w:r>
    </w:p>
    <w:p w14:paraId="77581D23">
      <w:pPr>
        <w:pStyle w:val="164"/>
        <w:spacing w:line="360" w:lineRule="auto"/>
      </w:pPr>
      <w:r>
        <w:rPr>
          <w:rFonts w:hint="eastAsia"/>
        </w:rPr>
        <w:t>恢复运行前，应确认临时接地拆除、工具撤离、围挡撤离、临时线缆拆除和各项保护措施恢复。</w:t>
      </w:r>
    </w:p>
    <w:p w14:paraId="0B7C8A09">
      <w:pPr>
        <w:pStyle w:val="164"/>
        <w:spacing w:line="360" w:lineRule="auto"/>
      </w:pPr>
      <w:r>
        <w:rPr>
          <w:rFonts w:hint="eastAsia"/>
        </w:rPr>
        <w:t>恢复运行后，应观察设备运行状态、告警状态和联动状态。</w:t>
      </w:r>
    </w:p>
    <w:p w14:paraId="708294E5">
      <w:pPr>
        <w:pStyle w:val="164"/>
        <w:spacing w:line="360" w:lineRule="auto"/>
      </w:pPr>
      <w:r>
        <w:rPr>
          <w:rFonts w:hint="eastAsia"/>
        </w:rPr>
        <w:t>外委作业形成的试验记录、调试记录、缺陷处理记录和验收记录应移交场站归档。</w:t>
      </w:r>
    </w:p>
    <w:p w14:paraId="6E7BF47B">
      <w:pPr>
        <w:pStyle w:val="105"/>
        <w:spacing w:before="120" w:after="120" w:line="360" w:lineRule="auto"/>
      </w:pPr>
      <w:r>
        <w:rPr>
          <w:rFonts w:hint="eastAsia"/>
        </w:rPr>
        <w:t>应急管理要求</w:t>
      </w:r>
    </w:p>
    <w:p w14:paraId="2822D7C9">
      <w:pPr>
        <w:pStyle w:val="65"/>
        <w:spacing w:before="120" w:after="120" w:line="360" w:lineRule="auto"/>
      </w:pPr>
      <w:r>
        <w:rPr>
          <w:rFonts w:hint="eastAsia"/>
        </w:rPr>
        <w:t>一般要求</w:t>
      </w:r>
    </w:p>
    <w:p w14:paraId="7EA45C9E">
      <w:pPr>
        <w:pStyle w:val="164"/>
        <w:spacing w:line="360" w:lineRule="auto"/>
      </w:pPr>
      <w:r>
        <w:rPr>
          <w:rFonts w:hint="eastAsia"/>
        </w:rPr>
        <w:t>场站应建立应急管理体系。</w:t>
      </w:r>
    </w:p>
    <w:p w14:paraId="53FD5C0A">
      <w:pPr>
        <w:pStyle w:val="164"/>
        <w:spacing w:line="360" w:lineRule="auto"/>
      </w:pPr>
      <w:r>
        <w:rPr>
          <w:rFonts w:hint="eastAsia"/>
        </w:rPr>
        <w:t>应急管理应覆盖人身伤害、设备故障、火灾爆炸、储能异常、风机事故、光伏组件损坏、升压站故障、集电线路故障、极端天气事件、并网异常事件和网络安全事件等情形。</w:t>
      </w:r>
    </w:p>
    <w:p w14:paraId="345EB062">
      <w:pPr>
        <w:pStyle w:val="164"/>
        <w:spacing w:line="360" w:lineRule="auto"/>
      </w:pPr>
      <w:r>
        <w:rPr>
          <w:rFonts w:hint="eastAsia"/>
        </w:rPr>
        <w:t>场站应根据设备特征、环境条件和风险等级编制应急预案、现场处置方案和专项处置卡。</w:t>
      </w:r>
    </w:p>
    <w:p w14:paraId="5D52DD09">
      <w:pPr>
        <w:pStyle w:val="65"/>
        <w:spacing w:before="120" w:after="120" w:line="360" w:lineRule="auto"/>
      </w:pPr>
      <w:r>
        <w:rPr>
          <w:rFonts w:hint="eastAsia"/>
        </w:rPr>
        <w:t>应急资源要求</w:t>
      </w:r>
    </w:p>
    <w:p w14:paraId="64B8A52A">
      <w:pPr>
        <w:pStyle w:val="164"/>
        <w:spacing w:line="360" w:lineRule="auto"/>
      </w:pPr>
      <w:r>
        <w:rPr>
          <w:rFonts w:hint="eastAsia"/>
        </w:rPr>
        <w:t>场站应配备必要的应急工具、应急物资、通信器材、消防器材、照明设备和个人防护用品。</w:t>
      </w:r>
    </w:p>
    <w:p w14:paraId="4D66EB0F">
      <w:pPr>
        <w:pStyle w:val="164"/>
        <w:spacing w:line="360" w:lineRule="auto"/>
      </w:pPr>
      <w:r>
        <w:rPr>
          <w:rFonts w:hint="eastAsia"/>
        </w:rPr>
        <w:t>应急物资应分类存放、定期检查、定期补充和定期更新。</w:t>
      </w:r>
    </w:p>
    <w:p w14:paraId="458BAA0D">
      <w:pPr>
        <w:pStyle w:val="164"/>
        <w:spacing w:line="360" w:lineRule="auto"/>
      </w:pPr>
      <w:r>
        <w:rPr>
          <w:rFonts w:hint="eastAsia"/>
        </w:rPr>
        <w:t>对偏远场站、海上场站、山地场站和交通条件复杂场站，应提高应急物资储备要求。</w:t>
      </w:r>
    </w:p>
    <w:p w14:paraId="1A1D0A31">
      <w:pPr>
        <w:pStyle w:val="105"/>
        <w:spacing w:before="120" w:after="120" w:line="360" w:lineRule="auto"/>
      </w:pPr>
      <w:r>
        <w:rPr>
          <w:rFonts w:hint="eastAsia"/>
        </w:rPr>
        <w:t>应急响应要求</w:t>
      </w:r>
    </w:p>
    <w:p w14:paraId="30A9F6B7">
      <w:pPr>
        <w:pStyle w:val="65"/>
        <w:spacing w:before="120" w:after="120" w:line="360" w:lineRule="auto"/>
      </w:pPr>
      <w:r>
        <w:rPr>
          <w:rFonts w:hint="eastAsia"/>
        </w:rPr>
        <w:t>一般要求</w:t>
      </w:r>
    </w:p>
    <w:p w14:paraId="2A828E3E">
      <w:pPr>
        <w:pStyle w:val="164"/>
        <w:spacing w:line="360" w:lineRule="auto"/>
      </w:pPr>
      <w:r>
        <w:rPr>
          <w:rFonts w:hint="eastAsia"/>
        </w:rPr>
        <w:t>场站发生突发异常或者事故险情时，应立即启动相应应急响应。</w:t>
      </w:r>
    </w:p>
    <w:p w14:paraId="6E45F0F1">
      <w:pPr>
        <w:pStyle w:val="164"/>
        <w:spacing w:line="360" w:lineRule="auto"/>
      </w:pPr>
      <w:r>
        <w:rPr>
          <w:rFonts w:hint="eastAsia"/>
        </w:rPr>
        <w:t>应急响应应做到快速报告、快速控制、快速隔离、快速处置和快速联动。</w:t>
      </w:r>
    </w:p>
    <w:p w14:paraId="0A71D901">
      <w:pPr>
        <w:pStyle w:val="164"/>
        <w:spacing w:line="360" w:lineRule="auto"/>
      </w:pPr>
      <w:r>
        <w:rPr>
          <w:rFonts w:hint="eastAsia"/>
        </w:rPr>
        <w:t>应急响应应优先保障人身安全，其次保障设备安全和系统安全。</w:t>
      </w:r>
    </w:p>
    <w:p w14:paraId="01B13CBC">
      <w:pPr>
        <w:pStyle w:val="65"/>
        <w:spacing w:before="120" w:after="120" w:line="360" w:lineRule="auto"/>
      </w:pPr>
      <w:r>
        <w:rPr>
          <w:rFonts w:hint="eastAsia"/>
        </w:rPr>
        <w:t>启动条件</w:t>
      </w:r>
    </w:p>
    <w:p w14:paraId="7ADC84C0">
      <w:pPr>
        <w:pStyle w:val="56"/>
        <w:spacing w:line="360" w:lineRule="auto"/>
        <w:ind w:firstLine="420"/>
      </w:pPr>
      <w:r>
        <w:rPr>
          <w:rFonts w:hint="eastAsia"/>
        </w:rPr>
        <w:t>下列情形之一应启动相应应急响应：</w:t>
      </w:r>
    </w:p>
    <w:p w14:paraId="1FDF58F5">
      <w:pPr>
        <w:pStyle w:val="56"/>
        <w:spacing w:line="360" w:lineRule="auto"/>
        <w:ind w:firstLine="420"/>
      </w:pPr>
      <w:r>
        <w:rPr>
          <w:rFonts w:hint="eastAsia"/>
        </w:rPr>
        <w:t>a）发生人员伤害事故或者险情；</w:t>
      </w:r>
    </w:p>
    <w:p w14:paraId="566460AE">
      <w:pPr>
        <w:pStyle w:val="56"/>
        <w:spacing w:line="360" w:lineRule="auto"/>
        <w:ind w:firstLine="420"/>
      </w:pPr>
      <w:r>
        <w:rPr>
          <w:rFonts w:hint="eastAsia"/>
        </w:rPr>
        <w:t>b）发生火灾、冒烟、爆炸或者储能热失控征兆；</w:t>
      </w:r>
    </w:p>
    <w:p w14:paraId="63DDDD75">
      <w:pPr>
        <w:pStyle w:val="56"/>
        <w:spacing w:line="360" w:lineRule="auto"/>
        <w:ind w:firstLine="420"/>
      </w:pPr>
      <w:r>
        <w:rPr>
          <w:rFonts w:hint="eastAsia"/>
        </w:rPr>
        <w:t>c）发生主设备严重故障或者并网异常；</w:t>
      </w:r>
    </w:p>
    <w:p w14:paraId="5185C112">
      <w:pPr>
        <w:pStyle w:val="56"/>
        <w:spacing w:line="360" w:lineRule="auto"/>
        <w:ind w:firstLine="420"/>
      </w:pPr>
      <w:r>
        <w:rPr>
          <w:rFonts w:hint="eastAsia"/>
        </w:rPr>
        <w:t>d）发生大面积脱网或者关键保护失效；</w:t>
      </w:r>
    </w:p>
    <w:p w14:paraId="134CBB24">
      <w:pPr>
        <w:pStyle w:val="56"/>
        <w:spacing w:line="360" w:lineRule="auto"/>
        <w:ind w:firstLine="420"/>
      </w:pPr>
      <w:r>
        <w:rPr>
          <w:rFonts w:hint="eastAsia"/>
        </w:rPr>
        <w:t>e）发生极端天气造成设备受损或者运行失控；</w:t>
      </w:r>
    </w:p>
    <w:p w14:paraId="01B40144">
      <w:pPr>
        <w:pStyle w:val="56"/>
        <w:spacing w:line="360" w:lineRule="auto"/>
        <w:ind w:firstLine="420"/>
      </w:pPr>
      <w:r>
        <w:rPr>
          <w:rFonts w:hint="eastAsia"/>
        </w:rPr>
        <w:t>f）发生外力破坏、非法入侵或者重大网络异常；</w:t>
      </w:r>
    </w:p>
    <w:p w14:paraId="697EA60D">
      <w:pPr>
        <w:pStyle w:val="56"/>
        <w:spacing w:line="360" w:lineRule="auto"/>
        <w:ind w:firstLine="420"/>
      </w:pPr>
      <w:r>
        <w:rPr>
          <w:rFonts w:hint="eastAsia"/>
        </w:rPr>
        <w:t>g）发生其他需要紧急控制和抢险处置的情形。</w:t>
      </w:r>
    </w:p>
    <w:p w14:paraId="540A727B">
      <w:pPr>
        <w:pStyle w:val="65"/>
        <w:spacing w:before="120" w:after="120" w:line="360" w:lineRule="auto"/>
      </w:pPr>
      <w:r>
        <w:rPr>
          <w:rFonts w:hint="eastAsia"/>
        </w:rPr>
        <w:t>处置要求</w:t>
      </w:r>
    </w:p>
    <w:p w14:paraId="599A1B37">
      <w:pPr>
        <w:pStyle w:val="164"/>
        <w:spacing w:line="360" w:lineRule="auto"/>
      </w:pPr>
      <w:r>
        <w:rPr>
          <w:rFonts w:hint="eastAsia"/>
        </w:rPr>
        <w:t>应急处置宜按下列程序实施：</w:t>
      </w:r>
    </w:p>
    <w:p w14:paraId="62C726CB">
      <w:pPr>
        <w:pStyle w:val="56"/>
        <w:spacing w:line="360" w:lineRule="auto"/>
        <w:ind w:firstLine="420"/>
      </w:pPr>
      <w:r>
        <w:rPr>
          <w:rFonts w:hint="eastAsia"/>
        </w:rPr>
        <w:t>a）事件发现与报告；</w:t>
      </w:r>
    </w:p>
    <w:p w14:paraId="0D2829FE">
      <w:pPr>
        <w:pStyle w:val="56"/>
        <w:spacing w:line="360" w:lineRule="auto"/>
        <w:ind w:firstLine="420"/>
      </w:pPr>
      <w:r>
        <w:rPr>
          <w:rFonts w:hint="eastAsia"/>
        </w:rPr>
        <w:t>b）风险判断与分级；</w:t>
      </w:r>
    </w:p>
    <w:p w14:paraId="58DFAC7F">
      <w:pPr>
        <w:pStyle w:val="56"/>
        <w:spacing w:line="360" w:lineRule="auto"/>
        <w:ind w:firstLine="420"/>
      </w:pPr>
      <w:r>
        <w:rPr>
          <w:rFonts w:hint="eastAsia"/>
        </w:rPr>
        <w:t>c）现场控制与隔离；</w:t>
      </w:r>
    </w:p>
    <w:p w14:paraId="17E958F5">
      <w:pPr>
        <w:pStyle w:val="56"/>
        <w:spacing w:line="360" w:lineRule="auto"/>
        <w:ind w:firstLine="420"/>
      </w:pPr>
      <w:r>
        <w:rPr>
          <w:rFonts w:hint="eastAsia"/>
        </w:rPr>
        <w:t>d）人员疏散与防护；</w:t>
      </w:r>
    </w:p>
    <w:p w14:paraId="6E067A28">
      <w:pPr>
        <w:pStyle w:val="56"/>
        <w:spacing w:line="360" w:lineRule="auto"/>
        <w:ind w:firstLine="420"/>
      </w:pPr>
      <w:r>
        <w:rPr>
          <w:rFonts w:hint="eastAsia"/>
        </w:rPr>
        <w:t>e）故障或者险情处置；</w:t>
      </w:r>
    </w:p>
    <w:p w14:paraId="0989317E">
      <w:pPr>
        <w:pStyle w:val="56"/>
        <w:spacing w:line="360" w:lineRule="auto"/>
        <w:ind w:firstLine="420"/>
      </w:pPr>
      <w:r>
        <w:rPr>
          <w:rFonts w:hint="eastAsia"/>
        </w:rPr>
        <w:t>f）恢复运行评估；</w:t>
      </w:r>
    </w:p>
    <w:p w14:paraId="6F3C640B">
      <w:pPr>
        <w:pStyle w:val="56"/>
        <w:spacing w:line="360" w:lineRule="auto"/>
        <w:ind w:firstLine="420"/>
      </w:pPr>
      <w:r>
        <w:rPr>
          <w:rFonts w:hint="eastAsia"/>
        </w:rPr>
        <w:t>g）信息上报与协同联动；</w:t>
      </w:r>
    </w:p>
    <w:p w14:paraId="583F172F">
      <w:pPr>
        <w:pStyle w:val="56"/>
        <w:spacing w:line="360" w:lineRule="auto"/>
        <w:ind w:firstLine="420"/>
      </w:pPr>
      <w:r>
        <w:rPr>
          <w:rFonts w:hint="eastAsia"/>
        </w:rPr>
        <w:t>h）记录和复盘。</w:t>
      </w:r>
    </w:p>
    <w:p w14:paraId="6DBFAEEA">
      <w:pPr>
        <w:pStyle w:val="164"/>
        <w:spacing w:line="360" w:lineRule="auto"/>
      </w:pPr>
      <w:r>
        <w:rPr>
          <w:rFonts w:hint="eastAsia"/>
        </w:rPr>
        <w:t>处置过程中不得因抢修抢发电量而忽视人身安全和现场边界控制。</w:t>
      </w:r>
    </w:p>
    <w:p w14:paraId="5FE5A3F5">
      <w:pPr>
        <w:pStyle w:val="164"/>
        <w:numPr>
          <w:ilvl w:val="0"/>
          <w:numId w:val="0"/>
        </w:numPr>
        <w:spacing w:line="360" w:lineRule="auto"/>
        <w:rPr>
          <w:rFonts w:hint="eastAsia"/>
        </w:rPr>
      </w:pPr>
    </w:p>
    <w:p w14:paraId="765F3A74">
      <w:pPr>
        <w:pStyle w:val="105"/>
        <w:spacing w:before="120" w:after="120" w:line="360" w:lineRule="auto"/>
      </w:pPr>
      <w:r>
        <w:rPr>
          <w:rFonts w:hint="eastAsia"/>
        </w:rPr>
        <w:t>应急演练与复盘要求</w:t>
      </w:r>
    </w:p>
    <w:p w14:paraId="1F7F6EEF">
      <w:pPr>
        <w:pStyle w:val="65"/>
        <w:spacing w:before="120" w:after="120" w:line="360" w:lineRule="auto"/>
      </w:pPr>
      <w:r>
        <w:rPr>
          <w:rFonts w:hint="eastAsia"/>
        </w:rPr>
        <w:t>一般要求</w:t>
      </w:r>
    </w:p>
    <w:p w14:paraId="145F41EF">
      <w:pPr>
        <w:pStyle w:val="164"/>
        <w:spacing w:line="360" w:lineRule="auto"/>
      </w:pPr>
      <w:r>
        <w:rPr>
          <w:rFonts w:hint="eastAsia"/>
        </w:rPr>
        <w:t>场站应定期组织应急演练。</w:t>
      </w:r>
    </w:p>
    <w:p w14:paraId="03FFABA5">
      <w:pPr>
        <w:pStyle w:val="164"/>
        <w:spacing w:line="360" w:lineRule="auto"/>
      </w:pPr>
      <w:r>
        <w:rPr>
          <w:rFonts w:hint="eastAsia"/>
        </w:rPr>
        <w:t>演练内容应覆盖火灾处置、风机故障、储能异常、升压站故障、极端天气应对、人员伤害救援和并网异常处置等重点情形。</w:t>
      </w:r>
    </w:p>
    <w:p w14:paraId="7D9B10AA">
      <w:pPr>
        <w:pStyle w:val="164"/>
        <w:spacing w:line="360" w:lineRule="auto"/>
      </w:pPr>
      <w:r>
        <w:rPr>
          <w:rFonts w:hint="eastAsia"/>
        </w:rPr>
        <w:t>演练后应开展复盘评估。</w:t>
      </w:r>
    </w:p>
    <w:p w14:paraId="35E55FBC">
      <w:pPr>
        <w:pStyle w:val="65"/>
        <w:spacing w:before="120" w:after="120" w:line="360" w:lineRule="auto"/>
      </w:pPr>
      <w:r>
        <w:rPr>
          <w:rFonts w:hint="eastAsia"/>
        </w:rPr>
        <w:t>复盘要求</w:t>
      </w:r>
    </w:p>
    <w:p w14:paraId="18BEB966">
      <w:pPr>
        <w:pStyle w:val="164"/>
        <w:spacing w:line="360" w:lineRule="auto"/>
      </w:pPr>
      <w:r>
        <w:rPr>
          <w:rFonts w:hint="eastAsia"/>
        </w:rPr>
        <w:t>复盘宜至少包括下列内容：</w:t>
      </w:r>
    </w:p>
    <w:p w14:paraId="64C65347">
      <w:pPr>
        <w:pStyle w:val="56"/>
        <w:spacing w:line="360" w:lineRule="auto"/>
        <w:ind w:firstLine="420"/>
      </w:pPr>
      <w:r>
        <w:rPr>
          <w:rFonts w:hint="eastAsia"/>
        </w:rPr>
        <w:t>a）响应是否及时；</w:t>
      </w:r>
    </w:p>
    <w:p w14:paraId="2775AA7A">
      <w:pPr>
        <w:pStyle w:val="56"/>
        <w:spacing w:line="360" w:lineRule="auto"/>
        <w:ind w:firstLine="420"/>
      </w:pPr>
      <w:r>
        <w:rPr>
          <w:rFonts w:hint="eastAsia"/>
        </w:rPr>
        <w:t>b）职责是否清晰；</w:t>
      </w:r>
    </w:p>
    <w:p w14:paraId="6819E26F">
      <w:pPr>
        <w:pStyle w:val="56"/>
        <w:spacing w:line="360" w:lineRule="auto"/>
        <w:ind w:firstLine="420"/>
      </w:pPr>
      <w:r>
        <w:rPr>
          <w:rFonts w:hint="eastAsia"/>
        </w:rPr>
        <w:t>c）联动是否顺畅；</w:t>
      </w:r>
    </w:p>
    <w:p w14:paraId="4410AD8A">
      <w:pPr>
        <w:pStyle w:val="56"/>
        <w:spacing w:line="360" w:lineRule="auto"/>
        <w:ind w:firstLine="420"/>
      </w:pPr>
      <w:r>
        <w:rPr>
          <w:rFonts w:hint="eastAsia"/>
        </w:rPr>
        <w:t>d）物资是否充足；</w:t>
      </w:r>
    </w:p>
    <w:p w14:paraId="4EDE7294">
      <w:pPr>
        <w:pStyle w:val="56"/>
        <w:spacing w:line="360" w:lineRule="auto"/>
        <w:ind w:firstLine="420"/>
      </w:pPr>
      <w:r>
        <w:rPr>
          <w:rFonts w:hint="eastAsia"/>
        </w:rPr>
        <w:t>e）处置流程是否合理；</w:t>
      </w:r>
    </w:p>
    <w:p w14:paraId="46DE83BD">
      <w:pPr>
        <w:pStyle w:val="56"/>
        <w:spacing w:line="360" w:lineRule="auto"/>
        <w:ind w:firstLine="420"/>
      </w:pPr>
      <w:r>
        <w:rPr>
          <w:rFonts w:hint="eastAsia"/>
        </w:rPr>
        <w:t>f）存在问题和薄弱环节；</w:t>
      </w:r>
    </w:p>
    <w:p w14:paraId="60DC8AFF">
      <w:pPr>
        <w:pStyle w:val="56"/>
        <w:spacing w:line="360" w:lineRule="auto"/>
        <w:ind w:firstLine="420"/>
      </w:pPr>
      <w:r>
        <w:rPr>
          <w:rFonts w:hint="eastAsia"/>
        </w:rPr>
        <w:t>g）整改措施和完成时限。</w:t>
      </w:r>
    </w:p>
    <w:p w14:paraId="68D6844E">
      <w:pPr>
        <w:pStyle w:val="164"/>
        <w:spacing w:line="360" w:lineRule="auto"/>
      </w:pPr>
      <w:r>
        <w:rPr>
          <w:rFonts w:hint="eastAsia"/>
        </w:rPr>
        <w:t>演练和实际事件复盘结果应作为修订预案、完善防护和优化运维的重要依据。</w:t>
      </w:r>
    </w:p>
    <w:p w14:paraId="473549A9">
      <w:pPr>
        <w:pStyle w:val="105"/>
        <w:spacing w:before="120" w:after="120" w:line="360" w:lineRule="auto"/>
      </w:pPr>
      <w:r>
        <w:rPr>
          <w:rFonts w:hint="eastAsia"/>
        </w:rPr>
        <w:t>外委作业与应急处置要点</w:t>
      </w:r>
    </w:p>
    <w:p w14:paraId="5A2F5007">
      <w:pPr>
        <w:pStyle w:val="56"/>
        <w:spacing w:line="360" w:lineRule="auto"/>
        <w:ind w:firstLine="420"/>
      </w:pPr>
      <w:r>
        <w:rPr>
          <w:rFonts w:hint="eastAsia"/>
        </w:rPr>
        <w:t>外委作业与应急处置的主要控制内容见表3。表3给出了外委作业与应急处置的主要控制内容和控制要点。</w:t>
      </w:r>
    </w:p>
    <w:p w14:paraId="2679F9BF">
      <w:pPr>
        <w:pStyle w:val="112"/>
        <w:spacing w:before="120" w:after="120" w:line="360" w:lineRule="auto"/>
      </w:pPr>
      <w:r>
        <w:rPr>
          <w:rFonts w:hint="eastAsia"/>
        </w:rPr>
        <w:t>外委作业与应急处置要点表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105"/>
        <w:gridCol w:w="3112"/>
      </w:tblGrid>
      <w:tr w14:paraId="266CEE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7969B973">
            <w:pPr>
              <w:pStyle w:val="178"/>
            </w:pPr>
            <w:r>
              <w:rPr>
                <w:rFonts w:hint="eastAsia"/>
              </w:rPr>
              <w:t>工作类别</w:t>
            </w:r>
          </w:p>
        </w:tc>
        <w:tc>
          <w:tcPr>
            <w:tcW w:w="4105" w:type="dxa"/>
            <w:tcBorders>
              <w:top w:val="single" w:color="auto" w:sz="8" w:space="0"/>
              <w:bottom w:val="single" w:color="auto" w:sz="8" w:space="0"/>
            </w:tcBorders>
          </w:tcPr>
          <w:p w14:paraId="67FC6D15">
            <w:pPr>
              <w:pStyle w:val="178"/>
            </w:pPr>
            <w:r>
              <w:rPr>
                <w:rFonts w:hint="eastAsia"/>
              </w:rPr>
              <w:t>主要内容</w:t>
            </w:r>
          </w:p>
        </w:tc>
        <w:tc>
          <w:tcPr>
            <w:tcW w:w="3112" w:type="dxa"/>
            <w:tcBorders>
              <w:top w:val="single" w:color="auto" w:sz="8" w:space="0"/>
              <w:bottom w:val="single" w:color="auto" w:sz="8" w:space="0"/>
            </w:tcBorders>
          </w:tcPr>
          <w:p w14:paraId="59F1A5A7">
            <w:pPr>
              <w:pStyle w:val="178"/>
            </w:pPr>
            <w:r>
              <w:rPr>
                <w:rFonts w:hint="eastAsia"/>
              </w:rPr>
              <w:t>控制要点</w:t>
            </w:r>
          </w:p>
        </w:tc>
      </w:tr>
      <w:tr w14:paraId="6DDC3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3C06A7DA">
            <w:pPr>
              <w:pStyle w:val="178"/>
            </w:pPr>
            <w:r>
              <w:rPr>
                <w:rFonts w:hint="eastAsia"/>
              </w:rPr>
              <w:t>外委准入</w:t>
            </w:r>
          </w:p>
        </w:tc>
        <w:tc>
          <w:tcPr>
            <w:tcW w:w="4105" w:type="dxa"/>
            <w:tcBorders>
              <w:top w:val="single" w:color="auto" w:sz="8" w:space="0"/>
            </w:tcBorders>
          </w:tcPr>
          <w:p w14:paraId="666219A1">
            <w:pPr>
              <w:pStyle w:val="178"/>
            </w:pPr>
            <w:r>
              <w:rPr>
                <w:rFonts w:hint="eastAsia"/>
              </w:rPr>
              <w:t>资质、资格、能力、装备</w:t>
            </w:r>
          </w:p>
        </w:tc>
        <w:tc>
          <w:tcPr>
            <w:tcW w:w="3112" w:type="dxa"/>
            <w:tcBorders>
              <w:top w:val="single" w:color="auto" w:sz="8" w:space="0"/>
            </w:tcBorders>
          </w:tcPr>
          <w:p w14:paraId="5C7E219C">
            <w:pPr>
              <w:pStyle w:val="178"/>
            </w:pPr>
            <w:r>
              <w:rPr>
                <w:rFonts w:hint="eastAsia"/>
              </w:rPr>
              <w:t>未审核通过不得进场</w:t>
            </w:r>
          </w:p>
        </w:tc>
      </w:tr>
      <w:tr w14:paraId="402804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34E88726">
            <w:pPr>
              <w:pStyle w:val="178"/>
            </w:pPr>
            <w:r>
              <w:rPr>
                <w:rFonts w:hint="eastAsia"/>
              </w:rPr>
              <w:t>作业审批</w:t>
            </w:r>
          </w:p>
        </w:tc>
        <w:tc>
          <w:tcPr>
            <w:tcW w:w="4105" w:type="dxa"/>
          </w:tcPr>
          <w:p w14:paraId="579599CA">
            <w:pPr>
              <w:pStyle w:val="178"/>
            </w:pPr>
            <w:r>
              <w:rPr>
                <w:rFonts w:hint="eastAsia"/>
              </w:rPr>
              <w:t>工作票、操作票、专项许可</w:t>
            </w:r>
          </w:p>
        </w:tc>
        <w:tc>
          <w:tcPr>
            <w:tcW w:w="3112" w:type="dxa"/>
          </w:tcPr>
          <w:p w14:paraId="2139C42F">
            <w:pPr>
              <w:pStyle w:val="178"/>
            </w:pPr>
            <w:r>
              <w:rPr>
                <w:rFonts w:hint="eastAsia"/>
              </w:rPr>
              <w:t>范围变化应重新确认</w:t>
            </w:r>
          </w:p>
        </w:tc>
      </w:tr>
      <w:tr w14:paraId="34F55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A4E3D56">
            <w:pPr>
              <w:pStyle w:val="178"/>
            </w:pPr>
            <w:r>
              <w:rPr>
                <w:rFonts w:hint="eastAsia"/>
              </w:rPr>
              <w:t>现场监护</w:t>
            </w:r>
          </w:p>
        </w:tc>
        <w:tc>
          <w:tcPr>
            <w:tcW w:w="4105" w:type="dxa"/>
          </w:tcPr>
          <w:p w14:paraId="069403E8">
            <w:pPr>
              <w:pStyle w:val="178"/>
            </w:pPr>
            <w:r>
              <w:rPr>
                <w:rFonts w:hint="eastAsia"/>
              </w:rPr>
              <w:t>高处、动火、吊装、储能等高风险作业</w:t>
            </w:r>
          </w:p>
        </w:tc>
        <w:tc>
          <w:tcPr>
            <w:tcW w:w="3112" w:type="dxa"/>
          </w:tcPr>
          <w:p w14:paraId="776691D3">
            <w:pPr>
              <w:pStyle w:val="178"/>
            </w:pPr>
            <w:r>
              <w:rPr>
                <w:rFonts w:hint="eastAsia"/>
              </w:rPr>
              <w:t>监护人应全过程在位</w:t>
            </w:r>
          </w:p>
        </w:tc>
      </w:tr>
      <w:tr w14:paraId="1DAD9D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2C4D2C9">
            <w:pPr>
              <w:pStyle w:val="178"/>
            </w:pPr>
            <w:r>
              <w:rPr>
                <w:rFonts w:hint="eastAsia"/>
              </w:rPr>
              <w:t>边界控制</w:t>
            </w:r>
          </w:p>
        </w:tc>
        <w:tc>
          <w:tcPr>
            <w:tcW w:w="4105" w:type="dxa"/>
          </w:tcPr>
          <w:p w14:paraId="13D74D94">
            <w:pPr>
              <w:pStyle w:val="178"/>
            </w:pPr>
            <w:r>
              <w:rPr>
                <w:rFonts w:hint="eastAsia"/>
              </w:rPr>
              <w:t>作业区域、设备边界、系统边界</w:t>
            </w:r>
          </w:p>
        </w:tc>
        <w:tc>
          <w:tcPr>
            <w:tcW w:w="3112" w:type="dxa"/>
          </w:tcPr>
          <w:p w14:paraId="45C7D11A">
            <w:pPr>
              <w:pStyle w:val="178"/>
            </w:pPr>
            <w:r>
              <w:rPr>
                <w:rFonts w:hint="eastAsia"/>
              </w:rPr>
              <w:t>不得越界作业和擅自操作</w:t>
            </w:r>
          </w:p>
        </w:tc>
      </w:tr>
      <w:tr w14:paraId="4F0EA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89236E5">
            <w:pPr>
              <w:pStyle w:val="178"/>
            </w:pPr>
            <w:r>
              <w:rPr>
                <w:rFonts w:hint="eastAsia"/>
              </w:rPr>
              <w:t>作业验收</w:t>
            </w:r>
          </w:p>
        </w:tc>
        <w:tc>
          <w:tcPr>
            <w:tcW w:w="4105" w:type="dxa"/>
          </w:tcPr>
          <w:p w14:paraId="0C50B614">
            <w:pPr>
              <w:pStyle w:val="178"/>
            </w:pPr>
            <w:r>
              <w:rPr>
                <w:rFonts w:hint="eastAsia"/>
              </w:rPr>
              <w:t>质量验收、状态恢复、资料移交</w:t>
            </w:r>
          </w:p>
        </w:tc>
        <w:tc>
          <w:tcPr>
            <w:tcW w:w="3112" w:type="dxa"/>
          </w:tcPr>
          <w:p w14:paraId="0F65CA4D">
            <w:pPr>
              <w:pStyle w:val="178"/>
            </w:pPr>
            <w:r>
              <w:rPr>
                <w:rFonts w:hint="eastAsia"/>
              </w:rPr>
              <w:t>未验收不得恢复运行</w:t>
            </w:r>
          </w:p>
        </w:tc>
      </w:tr>
      <w:tr w14:paraId="30B902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FFC2574">
            <w:pPr>
              <w:pStyle w:val="178"/>
            </w:pPr>
            <w:r>
              <w:rPr>
                <w:rFonts w:hint="eastAsia"/>
              </w:rPr>
              <w:t>应急资源</w:t>
            </w:r>
          </w:p>
        </w:tc>
        <w:tc>
          <w:tcPr>
            <w:tcW w:w="4105" w:type="dxa"/>
          </w:tcPr>
          <w:p w14:paraId="0735CDE1">
            <w:pPr>
              <w:pStyle w:val="178"/>
            </w:pPr>
            <w:r>
              <w:rPr>
                <w:rFonts w:hint="eastAsia"/>
              </w:rPr>
              <w:t>工具、消防、通信、照明、救援物资</w:t>
            </w:r>
          </w:p>
        </w:tc>
        <w:tc>
          <w:tcPr>
            <w:tcW w:w="3112" w:type="dxa"/>
          </w:tcPr>
          <w:p w14:paraId="3627D23B">
            <w:pPr>
              <w:pStyle w:val="178"/>
            </w:pPr>
            <w:r>
              <w:rPr>
                <w:rFonts w:hint="eastAsia"/>
              </w:rPr>
              <w:t>应保持可用和适量储备</w:t>
            </w:r>
          </w:p>
        </w:tc>
      </w:tr>
      <w:tr w14:paraId="0065E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4A9114C">
            <w:pPr>
              <w:pStyle w:val="178"/>
            </w:pPr>
            <w:r>
              <w:rPr>
                <w:rFonts w:hint="eastAsia"/>
              </w:rPr>
              <w:t>应急响应</w:t>
            </w:r>
          </w:p>
        </w:tc>
        <w:tc>
          <w:tcPr>
            <w:tcW w:w="4105" w:type="dxa"/>
          </w:tcPr>
          <w:p w14:paraId="25097803">
            <w:pPr>
              <w:pStyle w:val="178"/>
            </w:pPr>
            <w:r>
              <w:rPr>
                <w:rFonts w:hint="eastAsia"/>
              </w:rPr>
              <w:t>报告、隔离、控制、抢修、恢复</w:t>
            </w:r>
          </w:p>
        </w:tc>
        <w:tc>
          <w:tcPr>
            <w:tcW w:w="3112" w:type="dxa"/>
          </w:tcPr>
          <w:p w14:paraId="774DD80A">
            <w:pPr>
              <w:pStyle w:val="178"/>
            </w:pPr>
            <w:r>
              <w:rPr>
                <w:rFonts w:hint="eastAsia"/>
              </w:rPr>
              <w:t>先保人身安全，再控设备风险</w:t>
            </w:r>
          </w:p>
        </w:tc>
      </w:tr>
      <w:tr w14:paraId="70674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043DCB2">
            <w:pPr>
              <w:pStyle w:val="178"/>
            </w:pPr>
            <w:r>
              <w:rPr>
                <w:rFonts w:hint="eastAsia"/>
              </w:rPr>
              <w:t>演练复盘</w:t>
            </w:r>
          </w:p>
        </w:tc>
        <w:tc>
          <w:tcPr>
            <w:tcW w:w="4105" w:type="dxa"/>
          </w:tcPr>
          <w:p w14:paraId="2676811E">
            <w:pPr>
              <w:pStyle w:val="178"/>
            </w:pPr>
            <w:r>
              <w:rPr>
                <w:rFonts w:hint="eastAsia"/>
              </w:rPr>
              <w:t>演练组织、问题复盘、整改提升</w:t>
            </w:r>
          </w:p>
        </w:tc>
        <w:tc>
          <w:tcPr>
            <w:tcW w:w="3112" w:type="dxa"/>
          </w:tcPr>
          <w:p w14:paraId="2B4425B4">
            <w:pPr>
              <w:pStyle w:val="178"/>
            </w:pPr>
            <w:r>
              <w:rPr>
                <w:rFonts w:hint="eastAsia"/>
              </w:rPr>
              <w:t>复盘结果应闭环整改</w:t>
            </w:r>
          </w:p>
        </w:tc>
      </w:tr>
    </w:tbl>
    <w:p w14:paraId="6D597592">
      <w:pPr>
        <w:pStyle w:val="105"/>
        <w:spacing w:before="120" w:after="120" w:line="360" w:lineRule="auto"/>
      </w:pPr>
      <w:r>
        <w:rPr>
          <w:rFonts w:hint="eastAsia"/>
        </w:rPr>
        <w:t>禁止性要求</w:t>
      </w:r>
    </w:p>
    <w:p w14:paraId="55611AB8">
      <w:pPr>
        <w:pStyle w:val="165"/>
        <w:spacing w:line="360" w:lineRule="auto"/>
      </w:pPr>
      <w:r>
        <w:rPr>
          <w:rFonts w:hint="eastAsia"/>
        </w:rPr>
        <w:t>不得未经准入审核和安全交底安排外委人员进场作业。</w:t>
      </w:r>
    </w:p>
    <w:p w14:paraId="1C9A9FB7">
      <w:pPr>
        <w:pStyle w:val="165"/>
        <w:spacing w:line="360" w:lineRule="auto"/>
      </w:pPr>
      <w:r>
        <w:rPr>
          <w:rFonts w:hint="eastAsia"/>
        </w:rPr>
        <w:t>不得在票证不全、边界不清或者监护不到位的情况下开展高风险外委作业。</w:t>
      </w:r>
    </w:p>
    <w:p w14:paraId="30054AAE">
      <w:pPr>
        <w:pStyle w:val="165"/>
        <w:spacing w:line="360" w:lineRule="auto"/>
      </w:pPr>
      <w:r>
        <w:rPr>
          <w:rFonts w:hint="eastAsia"/>
        </w:rPr>
        <w:t>不得由外委单位擅自实施保护投退、系统切换和关键设备操作。</w:t>
      </w:r>
    </w:p>
    <w:p w14:paraId="0E279A0F">
      <w:pPr>
        <w:pStyle w:val="165"/>
        <w:spacing w:line="360" w:lineRule="auto"/>
      </w:pPr>
      <w:r>
        <w:rPr>
          <w:rFonts w:hint="eastAsia"/>
        </w:rPr>
        <w:t>不得在火灾、储能异常、极端天气和重大设备故障情况下迟报、瞒报或者擅自弱化应急响应。</w:t>
      </w:r>
    </w:p>
    <w:p w14:paraId="660C7883">
      <w:pPr>
        <w:pStyle w:val="165"/>
        <w:spacing w:line="360" w:lineRule="auto"/>
      </w:pPr>
      <w:r>
        <w:rPr>
          <w:rFonts w:hint="eastAsia"/>
        </w:rPr>
        <w:t>不得在应急处置过程中破坏现场关键证据、隐瞒事件过程或者跳过复盘整改环节。</w:t>
      </w:r>
    </w:p>
    <w:p w14:paraId="44FBEF3E">
      <w:pPr>
        <w:pStyle w:val="104"/>
        <w:spacing w:before="240" w:after="240" w:line="360" w:lineRule="auto"/>
      </w:pPr>
      <w:bookmarkStart w:id="56" w:name="_Toc228605991"/>
      <w:r>
        <w:rPr>
          <w:rFonts w:hint="eastAsia"/>
        </w:rPr>
        <w:t>资料管理、质量评价与持续改进</w:t>
      </w:r>
      <w:bookmarkEnd w:id="56"/>
    </w:p>
    <w:p w14:paraId="25E7251E">
      <w:pPr>
        <w:pStyle w:val="105"/>
        <w:spacing w:before="120" w:after="120" w:line="360" w:lineRule="auto"/>
      </w:pPr>
      <w:r>
        <w:rPr>
          <w:rFonts w:hint="eastAsia"/>
        </w:rPr>
        <w:t>一般要求</w:t>
      </w:r>
    </w:p>
    <w:p w14:paraId="02232516">
      <w:pPr>
        <w:pStyle w:val="165"/>
        <w:spacing w:line="360" w:lineRule="auto"/>
      </w:pPr>
      <w:r>
        <w:rPr>
          <w:rFonts w:hint="eastAsia"/>
        </w:rPr>
        <w:t>新能源发电场站应建立资料管理、质量评价和持续改进机制。</w:t>
      </w:r>
    </w:p>
    <w:p w14:paraId="087E169F">
      <w:pPr>
        <w:pStyle w:val="165"/>
        <w:spacing w:line="360" w:lineRule="auto"/>
      </w:pPr>
      <w:r>
        <w:rPr>
          <w:rFonts w:hint="eastAsia"/>
        </w:rPr>
        <w:t>资料管理应覆盖运行资料、设备资料、检修资料、缺陷资料、外委资料、应急资料和技术改造资料全过程。</w:t>
      </w:r>
    </w:p>
    <w:p w14:paraId="0C943E81">
      <w:pPr>
        <w:pStyle w:val="165"/>
        <w:spacing w:line="360" w:lineRule="auto"/>
      </w:pPr>
      <w:r>
        <w:rPr>
          <w:rFonts w:hint="eastAsia"/>
        </w:rPr>
        <w:t>质量评价应覆盖运行管理质量、巡视监测质量、检修维护质量、设备防护质量、外委作业管理质量和应急处置质量。</w:t>
      </w:r>
    </w:p>
    <w:p w14:paraId="490F28AF">
      <w:pPr>
        <w:pStyle w:val="165"/>
        <w:spacing w:line="360" w:lineRule="auto"/>
      </w:pPr>
      <w:r>
        <w:rPr>
          <w:rFonts w:hint="eastAsia"/>
        </w:rPr>
        <w:t>持续改进应基于运行分析、缺陷统计、故障复盘、应急复盘、质量评价结果和技术发展情况实施。</w:t>
      </w:r>
    </w:p>
    <w:p w14:paraId="7E1B4DF2">
      <w:pPr>
        <w:pStyle w:val="105"/>
        <w:spacing w:before="120" w:after="120" w:line="360" w:lineRule="auto"/>
      </w:pPr>
      <w:r>
        <w:rPr>
          <w:rFonts w:hint="eastAsia"/>
        </w:rPr>
        <w:t>资料管理要求</w:t>
      </w:r>
    </w:p>
    <w:p w14:paraId="2D0A469A">
      <w:pPr>
        <w:pStyle w:val="65"/>
        <w:spacing w:before="120" w:after="120" w:line="360" w:lineRule="auto"/>
      </w:pPr>
      <w:r>
        <w:rPr>
          <w:rFonts w:hint="eastAsia"/>
        </w:rPr>
        <w:t>一般要求</w:t>
      </w:r>
    </w:p>
    <w:p w14:paraId="74D2517B">
      <w:pPr>
        <w:pStyle w:val="164"/>
        <w:spacing w:line="360" w:lineRule="auto"/>
      </w:pPr>
      <w:r>
        <w:rPr>
          <w:rFonts w:hint="eastAsia"/>
        </w:rPr>
        <w:t>场站应建立资料管理制度。</w:t>
      </w:r>
    </w:p>
    <w:p w14:paraId="0A1C5069">
      <w:pPr>
        <w:pStyle w:val="164"/>
        <w:spacing w:line="360" w:lineRule="auto"/>
      </w:pPr>
      <w:r>
        <w:rPr>
          <w:rFonts w:hint="eastAsia"/>
        </w:rPr>
        <w:t>资料应分类管理、统一编号、及时更新、便于检索和长期可追溯。</w:t>
      </w:r>
    </w:p>
    <w:p w14:paraId="3485A534">
      <w:pPr>
        <w:pStyle w:val="164"/>
        <w:spacing w:line="360" w:lineRule="auto"/>
      </w:pPr>
      <w:r>
        <w:rPr>
          <w:rFonts w:hint="eastAsia"/>
        </w:rPr>
        <w:t>资料管理应与设备台账、运行记录和技术文件管理相结合。</w:t>
      </w:r>
    </w:p>
    <w:p w14:paraId="00C0A6A6">
      <w:pPr>
        <w:pStyle w:val="65"/>
        <w:spacing w:before="120" w:after="120" w:line="360" w:lineRule="auto"/>
      </w:pPr>
      <w:r>
        <w:rPr>
          <w:rFonts w:hint="eastAsia"/>
        </w:rPr>
        <w:t>资料内容</w:t>
      </w:r>
    </w:p>
    <w:p w14:paraId="38C6B812">
      <w:pPr>
        <w:pStyle w:val="164"/>
        <w:spacing w:line="360" w:lineRule="auto"/>
      </w:pPr>
      <w:r>
        <w:rPr>
          <w:rFonts w:hint="eastAsia"/>
        </w:rPr>
        <w:t>场站资料宜至少包括下列内容：</w:t>
      </w:r>
    </w:p>
    <w:p w14:paraId="5F90259E">
      <w:pPr>
        <w:pStyle w:val="56"/>
        <w:spacing w:line="360" w:lineRule="auto"/>
        <w:ind w:firstLine="420"/>
      </w:pPr>
      <w:r>
        <w:rPr>
          <w:rFonts w:hint="eastAsia"/>
        </w:rPr>
        <w:t>a）设备台账；</w:t>
      </w:r>
    </w:p>
    <w:p w14:paraId="3800002E">
      <w:pPr>
        <w:pStyle w:val="56"/>
        <w:spacing w:line="360" w:lineRule="auto"/>
        <w:ind w:firstLine="420"/>
      </w:pPr>
      <w:r>
        <w:rPr>
          <w:rFonts w:hint="eastAsia"/>
        </w:rPr>
        <w:t>b）系统图和接线图；</w:t>
      </w:r>
    </w:p>
    <w:p w14:paraId="7313C01F">
      <w:pPr>
        <w:pStyle w:val="56"/>
        <w:spacing w:line="360" w:lineRule="auto"/>
        <w:ind w:firstLine="420"/>
      </w:pPr>
      <w:r>
        <w:rPr>
          <w:rFonts w:hint="eastAsia"/>
        </w:rPr>
        <w:t>c）保护和自动化配置资料；</w:t>
      </w:r>
    </w:p>
    <w:p w14:paraId="57BE562D">
      <w:pPr>
        <w:pStyle w:val="56"/>
        <w:spacing w:line="360" w:lineRule="auto"/>
        <w:ind w:firstLine="420"/>
      </w:pPr>
      <w:r>
        <w:rPr>
          <w:rFonts w:hint="eastAsia"/>
        </w:rPr>
        <w:t>d）运行规程和操作规程；</w:t>
      </w:r>
    </w:p>
    <w:p w14:paraId="3BFCF25C">
      <w:pPr>
        <w:pStyle w:val="56"/>
        <w:spacing w:line="360" w:lineRule="auto"/>
        <w:ind w:firstLine="420"/>
      </w:pPr>
      <w:r>
        <w:rPr>
          <w:rFonts w:hint="eastAsia"/>
        </w:rPr>
        <w:t>e）巡视记录和运行记录；</w:t>
      </w:r>
    </w:p>
    <w:p w14:paraId="71EA907B">
      <w:pPr>
        <w:pStyle w:val="56"/>
        <w:spacing w:line="360" w:lineRule="auto"/>
        <w:ind w:firstLine="420"/>
      </w:pPr>
      <w:r>
        <w:rPr>
          <w:rFonts w:hint="eastAsia"/>
        </w:rPr>
        <w:t>f）检修维护记录；</w:t>
      </w:r>
    </w:p>
    <w:p w14:paraId="4EB5AF73">
      <w:pPr>
        <w:pStyle w:val="56"/>
        <w:spacing w:line="360" w:lineRule="auto"/>
        <w:ind w:firstLine="420"/>
      </w:pPr>
      <w:r>
        <w:rPr>
          <w:rFonts w:hint="eastAsia"/>
        </w:rPr>
        <w:t>g）预防性试验记录；</w:t>
      </w:r>
    </w:p>
    <w:p w14:paraId="2B18B6DB">
      <w:pPr>
        <w:pStyle w:val="56"/>
        <w:spacing w:line="360" w:lineRule="auto"/>
        <w:ind w:firstLine="420"/>
      </w:pPr>
      <w:r>
        <w:rPr>
          <w:rFonts w:hint="eastAsia"/>
        </w:rPr>
        <w:t>h）缺陷和隐患台账；</w:t>
      </w:r>
    </w:p>
    <w:p w14:paraId="6E2BAE7F">
      <w:pPr>
        <w:pStyle w:val="56"/>
        <w:spacing w:line="360" w:lineRule="auto"/>
        <w:ind w:firstLine="420"/>
      </w:pPr>
      <w:r>
        <w:rPr>
          <w:rFonts w:hint="eastAsia"/>
        </w:rPr>
        <w:t>i）外委作业资料；</w:t>
      </w:r>
    </w:p>
    <w:p w14:paraId="1CD22E28">
      <w:pPr>
        <w:pStyle w:val="56"/>
        <w:spacing w:line="360" w:lineRule="auto"/>
        <w:ind w:firstLine="420"/>
      </w:pPr>
      <w:r>
        <w:rPr>
          <w:rFonts w:hint="eastAsia"/>
        </w:rPr>
        <w:t>j）应急预案、演练记录和事件处置记录；</w:t>
      </w:r>
    </w:p>
    <w:p w14:paraId="46417D49">
      <w:pPr>
        <w:pStyle w:val="56"/>
        <w:spacing w:line="360" w:lineRule="auto"/>
        <w:ind w:firstLine="420"/>
      </w:pPr>
      <w:r>
        <w:rPr>
          <w:rFonts w:hint="eastAsia"/>
        </w:rPr>
        <w:t>k）技术改造和变更资料；</w:t>
      </w:r>
    </w:p>
    <w:p w14:paraId="4E2E8884">
      <w:pPr>
        <w:pStyle w:val="56"/>
        <w:spacing w:line="360" w:lineRule="auto"/>
        <w:ind w:firstLine="420"/>
      </w:pPr>
      <w:r>
        <w:rPr>
          <w:rFonts w:hint="eastAsia"/>
        </w:rPr>
        <w:t>l）培训记录和资格记录。</w:t>
      </w:r>
    </w:p>
    <w:p w14:paraId="0457F15A">
      <w:pPr>
        <w:pStyle w:val="164"/>
        <w:spacing w:line="360" w:lineRule="auto"/>
      </w:pPr>
      <w:r>
        <w:rPr>
          <w:rFonts w:hint="eastAsia"/>
        </w:rPr>
        <w:t>关键设备更换、系统改造、保护定值调整和运行方式变化后，应及时更新相关资料。</w:t>
      </w:r>
    </w:p>
    <w:p w14:paraId="7A965F54">
      <w:pPr>
        <w:pStyle w:val="65"/>
        <w:spacing w:before="120" w:after="120" w:line="360" w:lineRule="auto"/>
      </w:pPr>
      <w:r>
        <w:rPr>
          <w:rFonts w:hint="eastAsia"/>
        </w:rPr>
        <w:t>资料归档要求</w:t>
      </w:r>
    </w:p>
    <w:p w14:paraId="622299A9">
      <w:pPr>
        <w:pStyle w:val="164"/>
        <w:spacing w:line="360" w:lineRule="auto"/>
      </w:pPr>
      <w:r>
        <w:rPr>
          <w:rFonts w:hint="eastAsia"/>
        </w:rPr>
        <w:t>资料应按设备、系统、专业和时间顺序归档。</w:t>
      </w:r>
    </w:p>
    <w:p w14:paraId="666D13AB">
      <w:pPr>
        <w:pStyle w:val="164"/>
        <w:spacing w:line="360" w:lineRule="auto"/>
      </w:pPr>
      <w:r>
        <w:rPr>
          <w:rFonts w:hint="eastAsia"/>
        </w:rPr>
        <w:t>纸质资料和电子资料应保持一致性。</w:t>
      </w:r>
    </w:p>
    <w:p w14:paraId="4F873B1F">
      <w:pPr>
        <w:pStyle w:val="164"/>
        <w:spacing w:line="360" w:lineRule="auto"/>
      </w:pPr>
      <w:r>
        <w:rPr>
          <w:rFonts w:hint="eastAsia"/>
        </w:rPr>
        <w:t>已失效资料应按规定停用并保留版本关系，不得与现行资料混用。</w:t>
      </w:r>
    </w:p>
    <w:p w14:paraId="6AC11EC2">
      <w:pPr>
        <w:pStyle w:val="105"/>
        <w:spacing w:before="120" w:after="120" w:line="360" w:lineRule="auto"/>
      </w:pPr>
      <w:r>
        <w:rPr>
          <w:rFonts w:hint="eastAsia"/>
        </w:rPr>
        <w:t>台账管理要求</w:t>
      </w:r>
    </w:p>
    <w:p w14:paraId="58919B18">
      <w:pPr>
        <w:pStyle w:val="65"/>
        <w:spacing w:before="120" w:after="120" w:line="360" w:lineRule="auto"/>
      </w:pPr>
      <w:r>
        <w:rPr>
          <w:rFonts w:hint="eastAsia"/>
        </w:rPr>
        <w:t>一般要求</w:t>
      </w:r>
    </w:p>
    <w:p w14:paraId="116FE99D">
      <w:pPr>
        <w:pStyle w:val="164"/>
        <w:spacing w:line="360" w:lineRule="auto"/>
      </w:pPr>
      <w:r>
        <w:rPr>
          <w:rFonts w:hint="eastAsia"/>
        </w:rPr>
        <w:t>场站应建立设备台账、缺陷台账、隐患台账、备品备件台账和应急物资台账。</w:t>
      </w:r>
    </w:p>
    <w:p w14:paraId="7FEAC932">
      <w:pPr>
        <w:pStyle w:val="164"/>
        <w:spacing w:line="360" w:lineRule="auto"/>
      </w:pPr>
      <w:r>
        <w:rPr>
          <w:rFonts w:hint="eastAsia"/>
        </w:rPr>
        <w:t>台账应动态更新。</w:t>
      </w:r>
    </w:p>
    <w:p w14:paraId="39C995CA">
      <w:pPr>
        <w:pStyle w:val="65"/>
        <w:spacing w:before="120" w:after="120" w:line="360" w:lineRule="auto"/>
      </w:pPr>
      <w:r>
        <w:rPr>
          <w:rFonts w:hint="eastAsia"/>
        </w:rPr>
        <w:t>台账内容</w:t>
      </w:r>
    </w:p>
    <w:p w14:paraId="3C0E2E7C">
      <w:pPr>
        <w:pStyle w:val="164"/>
        <w:spacing w:line="360" w:lineRule="auto"/>
      </w:pPr>
      <w:r>
        <w:rPr>
          <w:rFonts w:hint="eastAsia"/>
        </w:rPr>
        <w:t>台账宜至少包括下列内容：</w:t>
      </w:r>
    </w:p>
    <w:p w14:paraId="05320383">
      <w:pPr>
        <w:pStyle w:val="56"/>
        <w:spacing w:line="360" w:lineRule="auto"/>
        <w:ind w:firstLine="420"/>
      </w:pPr>
      <w:r>
        <w:rPr>
          <w:rFonts w:hint="eastAsia"/>
        </w:rPr>
        <w:t>a）名称和编号；</w:t>
      </w:r>
    </w:p>
    <w:p w14:paraId="6ABD6073">
      <w:pPr>
        <w:pStyle w:val="56"/>
        <w:spacing w:line="360" w:lineRule="auto"/>
        <w:ind w:firstLine="420"/>
      </w:pPr>
      <w:r>
        <w:rPr>
          <w:rFonts w:hint="eastAsia"/>
        </w:rPr>
        <w:t>b）型号规格；</w:t>
      </w:r>
    </w:p>
    <w:p w14:paraId="7E2A0DE4">
      <w:pPr>
        <w:pStyle w:val="56"/>
        <w:spacing w:line="360" w:lineRule="auto"/>
        <w:ind w:firstLine="420"/>
      </w:pPr>
      <w:r>
        <w:rPr>
          <w:rFonts w:hint="eastAsia"/>
        </w:rPr>
        <w:t>c）安装位置；</w:t>
      </w:r>
    </w:p>
    <w:p w14:paraId="2E63D62C">
      <w:pPr>
        <w:pStyle w:val="56"/>
        <w:spacing w:line="360" w:lineRule="auto"/>
        <w:ind w:firstLine="420"/>
      </w:pPr>
      <w:r>
        <w:rPr>
          <w:rFonts w:hint="eastAsia"/>
        </w:rPr>
        <w:t>d）投运时间；</w:t>
      </w:r>
    </w:p>
    <w:p w14:paraId="471C10A7">
      <w:pPr>
        <w:pStyle w:val="56"/>
        <w:spacing w:line="360" w:lineRule="auto"/>
        <w:ind w:firstLine="420"/>
      </w:pPr>
      <w:r>
        <w:rPr>
          <w:rFonts w:hint="eastAsia"/>
        </w:rPr>
        <w:t>e）运行状态；</w:t>
      </w:r>
    </w:p>
    <w:p w14:paraId="1AB7B920">
      <w:pPr>
        <w:pStyle w:val="56"/>
        <w:spacing w:line="360" w:lineRule="auto"/>
        <w:ind w:firstLine="420"/>
      </w:pPr>
      <w:r>
        <w:rPr>
          <w:rFonts w:hint="eastAsia"/>
        </w:rPr>
        <w:t>f）维护状态；</w:t>
      </w:r>
    </w:p>
    <w:p w14:paraId="1545CE07">
      <w:pPr>
        <w:pStyle w:val="56"/>
        <w:spacing w:line="360" w:lineRule="auto"/>
        <w:ind w:firstLine="420"/>
      </w:pPr>
      <w:r>
        <w:rPr>
          <w:rFonts w:hint="eastAsia"/>
        </w:rPr>
        <w:t>g）历史缺陷和故障情况；</w:t>
      </w:r>
    </w:p>
    <w:p w14:paraId="112E2854">
      <w:pPr>
        <w:pStyle w:val="56"/>
        <w:spacing w:line="360" w:lineRule="auto"/>
        <w:ind w:firstLine="420"/>
      </w:pPr>
      <w:r>
        <w:rPr>
          <w:rFonts w:hint="eastAsia"/>
        </w:rPr>
        <w:t>h）责任部门和责任岗位。</w:t>
      </w:r>
    </w:p>
    <w:p w14:paraId="1FC6AEE0">
      <w:pPr>
        <w:pStyle w:val="164"/>
        <w:spacing w:line="360" w:lineRule="auto"/>
      </w:pPr>
      <w:r>
        <w:rPr>
          <w:rFonts w:hint="eastAsia"/>
        </w:rPr>
        <w:t>台账内容与现场不一致时，应及时核对更正。</w:t>
      </w:r>
    </w:p>
    <w:p w14:paraId="1D0EF672">
      <w:pPr>
        <w:pStyle w:val="105"/>
        <w:spacing w:before="120" w:after="120" w:line="360" w:lineRule="auto"/>
      </w:pPr>
      <w:r>
        <w:rPr>
          <w:rFonts w:hint="eastAsia"/>
        </w:rPr>
        <w:t>质量评价要求</w:t>
      </w:r>
    </w:p>
    <w:p w14:paraId="4E8877D9">
      <w:pPr>
        <w:pStyle w:val="65"/>
        <w:spacing w:before="120" w:after="120" w:line="360" w:lineRule="auto"/>
      </w:pPr>
      <w:r>
        <w:rPr>
          <w:rFonts w:hint="eastAsia"/>
        </w:rPr>
        <w:t>一般要求</w:t>
      </w:r>
    </w:p>
    <w:p w14:paraId="67D2B5F3">
      <w:pPr>
        <w:pStyle w:val="164"/>
        <w:spacing w:line="360" w:lineRule="auto"/>
      </w:pPr>
      <w:r>
        <w:rPr>
          <w:rFonts w:hint="eastAsia"/>
        </w:rPr>
        <w:t>场站应建立安全运维与设备防护质量评价机制。</w:t>
      </w:r>
    </w:p>
    <w:p w14:paraId="6CCF4E2B">
      <w:pPr>
        <w:pStyle w:val="164"/>
        <w:spacing w:line="360" w:lineRule="auto"/>
      </w:pPr>
      <w:r>
        <w:rPr>
          <w:rFonts w:hint="eastAsia"/>
        </w:rPr>
        <w:t>质量评价应坚持客观、全面、可追溯和重实效原则。</w:t>
      </w:r>
    </w:p>
    <w:p w14:paraId="00A4C3AE">
      <w:pPr>
        <w:pStyle w:val="164"/>
        <w:spacing w:line="360" w:lineRule="auto"/>
      </w:pPr>
      <w:r>
        <w:rPr>
          <w:rFonts w:hint="eastAsia"/>
        </w:rPr>
        <w:t>质量评价不应仅以发电量或者设备完好率作为唯一依据，应综合考虑安全、可靠、规范和防护有效性。</w:t>
      </w:r>
    </w:p>
    <w:p w14:paraId="5C3757A2">
      <w:pPr>
        <w:pStyle w:val="65"/>
        <w:spacing w:before="120" w:after="120" w:line="360" w:lineRule="auto"/>
      </w:pPr>
      <w:r>
        <w:rPr>
          <w:rFonts w:hint="eastAsia"/>
        </w:rPr>
        <w:t>评价内容</w:t>
      </w:r>
    </w:p>
    <w:p w14:paraId="2AC3D0EB">
      <w:pPr>
        <w:pStyle w:val="164"/>
        <w:spacing w:line="360" w:lineRule="auto"/>
      </w:pPr>
      <w:r>
        <w:rPr>
          <w:rFonts w:hint="eastAsia"/>
        </w:rPr>
        <w:t>质量评价宜至少包括下列内容：</w:t>
      </w:r>
    </w:p>
    <w:p w14:paraId="788A67C3">
      <w:pPr>
        <w:pStyle w:val="56"/>
        <w:spacing w:line="360" w:lineRule="auto"/>
        <w:ind w:firstLine="420"/>
      </w:pPr>
      <w:r>
        <w:rPr>
          <w:rFonts w:hint="eastAsia"/>
        </w:rPr>
        <w:t>a）运行记录完整性；</w:t>
      </w:r>
    </w:p>
    <w:p w14:paraId="70BB8BFD">
      <w:pPr>
        <w:pStyle w:val="56"/>
        <w:spacing w:line="360" w:lineRule="auto"/>
        <w:ind w:firstLine="420"/>
      </w:pPr>
      <w:r>
        <w:rPr>
          <w:rFonts w:hint="eastAsia"/>
        </w:rPr>
        <w:t>b）巡视检查执行率；</w:t>
      </w:r>
    </w:p>
    <w:p w14:paraId="65F65554">
      <w:pPr>
        <w:pStyle w:val="56"/>
        <w:spacing w:line="360" w:lineRule="auto"/>
        <w:ind w:firstLine="420"/>
      </w:pPr>
      <w:r>
        <w:rPr>
          <w:rFonts w:hint="eastAsia"/>
        </w:rPr>
        <w:t>c）状态监测有效性；</w:t>
      </w:r>
    </w:p>
    <w:p w14:paraId="3634716D">
      <w:pPr>
        <w:pStyle w:val="56"/>
        <w:spacing w:line="360" w:lineRule="auto"/>
        <w:ind w:firstLine="420"/>
      </w:pPr>
      <w:r>
        <w:rPr>
          <w:rFonts w:hint="eastAsia"/>
        </w:rPr>
        <w:t>d）缺陷闭环率；</w:t>
      </w:r>
    </w:p>
    <w:p w14:paraId="14F02A62">
      <w:pPr>
        <w:pStyle w:val="56"/>
        <w:spacing w:line="360" w:lineRule="auto"/>
        <w:ind w:firstLine="420"/>
      </w:pPr>
      <w:r>
        <w:rPr>
          <w:rFonts w:hint="eastAsia"/>
        </w:rPr>
        <w:t>e）隐患整改完成率；</w:t>
      </w:r>
    </w:p>
    <w:p w14:paraId="5C96A587">
      <w:pPr>
        <w:pStyle w:val="56"/>
        <w:spacing w:line="360" w:lineRule="auto"/>
        <w:ind w:firstLine="420"/>
      </w:pPr>
      <w:r>
        <w:rPr>
          <w:rFonts w:hint="eastAsia"/>
        </w:rPr>
        <w:t>f）预防性维护完成率；</w:t>
      </w:r>
    </w:p>
    <w:p w14:paraId="1A59012A">
      <w:pPr>
        <w:pStyle w:val="56"/>
        <w:spacing w:line="360" w:lineRule="auto"/>
        <w:ind w:firstLine="420"/>
      </w:pPr>
      <w:r>
        <w:rPr>
          <w:rFonts w:hint="eastAsia"/>
        </w:rPr>
        <w:t>g）外委作业规范率；</w:t>
      </w:r>
    </w:p>
    <w:p w14:paraId="638E68EB">
      <w:pPr>
        <w:pStyle w:val="56"/>
        <w:spacing w:line="360" w:lineRule="auto"/>
        <w:ind w:firstLine="420"/>
      </w:pPr>
      <w:r>
        <w:rPr>
          <w:rFonts w:hint="eastAsia"/>
        </w:rPr>
        <w:t>h）应急演练和应急处置有效性；</w:t>
      </w:r>
    </w:p>
    <w:p w14:paraId="695BF635">
      <w:pPr>
        <w:pStyle w:val="56"/>
        <w:spacing w:line="360" w:lineRule="auto"/>
        <w:ind w:firstLine="420"/>
      </w:pPr>
      <w:r>
        <w:rPr>
          <w:rFonts w:hint="eastAsia"/>
        </w:rPr>
        <w:t>i）防护设施完好率；</w:t>
      </w:r>
    </w:p>
    <w:p w14:paraId="6D1E22D0">
      <w:pPr>
        <w:pStyle w:val="56"/>
        <w:spacing w:line="360" w:lineRule="auto"/>
        <w:ind w:firstLine="420"/>
      </w:pPr>
      <w:r>
        <w:rPr>
          <w:rFonts w:hint="eastAsia"/>
        </w:rPr>
        <w:t>j）重复故障下降情况。</w:t>
      </w:r>
    </w:p>
    <w:p w14:paraId="4E1BF2D6">
      <w:pPr>
        <w:pStyle w:val="164"/>
        <w:spacing w:line="360" w:lineRule="auto"/>
      </w:pPr>
      <w:r>
        <w:rPr>
          <w:rFonts w:hint="eastAsia"/>
        </w:rPr>
        <w:t>对关键设备管理和高风险作业管理，应增加专项评价内容。</w:t>
      </w:r>
    </w:p>
    <w:p w14:paraId="2632D8CB">
      <w:pPr>
        <w:pStyle w:val="105"/>
        <w:spacing w:before="120" w:after="120" w:line="360" w:lineRule="auto"/>
      </w:pPr>
      <w:r>
        <w:rPr>
          <w:rFonts w:hint="eastAsia"/>
        </w:rPr>
        <w:t>质量检查与抽查要求</w:t>
      </w:r>
    </w:p>
    <w:p w14:paraId="27A6F5AD">
      <w:pPr>
        <w:pStyle w:val="65"/>
        <w:spacing w:before="120" w:after="120" w:line="360" w:lineRule="auto"/>
      </w:pPr>
      <w:r>
        <w:rPr>
          <w:rFonts w:hint="eastAsia"/>
        </w:rPr>
        <w:t>一般要求</w:t>
      </w:r>
    </w:p>
    <w:p w14:paraId="65CFC831">
      <w:pPr>
        <w:pStyle w:val="164"/>
        <w:spacing w:line="360" w:lineRule="auto"/>
      </w:pPr>
      <w:r>
        <w:rPr>
          <w:rFonts w:hint="eastAsia"/>
        </w:rPr>
        <w:t>场站应定期开展质量检查和专项抽查。</w:t>
      </w:r>
    </w:p>
    <w:p w14:paraId="00A40DB6">
      <w:pPr>
        <w:pStyle w:val="164"/>
        <w:spacing w:line="360" w:lineRule="auto"/>
      </w:pPr>
      <w:r>
        <w:rPr>
          <w:rFonts w:hint="eastAsia"/>
        </w:rPr>
        <w:t>质量检查可采用日常检查、专项检查、交叉检查和第三方评估等方式实施。</w:t>
      </w:r>
    </w:p>
    <w:p w14:paraId="368DDF58">
      <w:pPr>
        <w:pStyle w:val="65"/>
        <w:spacing w:before="120" w:after="120" w:line="360" w:lineRule="auto"/>
      </w:pPr>
      <w:r>
        <w:rPr>
          <w:rFonts w:hint="eastAsia"/>
        </w:rPr>
        <w:t>检查重点</w:t>
      </w:r>
    </w:p>
    <w:p w14:paraId="4489C825">
      <w:pPr>
        <w:pStyle w:val="164"/>
        <w:spacing w:line="360" w:lineRule="auto"/>
      </w:pPr>
      <w:r>
        <w:rPr>
          <w:rFonts w:hint="eastAsia"/>
        </w:rPr>
        <w:t>检查重点宜包括下列内容：</w:t>
      </w:r>
    </w:p>
    <w:p w14:paraId="5E6D249D">
      <w:pPr>
        <w:pStyle w:val="56"/>
        <w:spacing w:line="360" w:lineRule="auto"/>
        <w:ind w:firstLine="420"/>
      </w:pPr>
      <w:r>
        <w:rPr>
          <w:rFonts w:hint="eastAsia"/>
        </w:rPr>
        <w:t>a）制度执行情况；</w:t>
      </w:r>
    </w:p>
    <w:p w14:paraId="1C227421">
      <w:pPr>
        <w:pStyle w:val="56"/>
        <w:spacing w:line="360" w:lineRule="auto"/>
        <w:ind w:firstLine="420"/>
      </w:pPr>
      <w:r>
        <w:rPr>
          <w:rFonts w:hint="eastAsia"/>
        </w:rPr>
        <w:t>b）票证执行情况；</w:t>
      </w:r>
    </w:p>
    <w:p w14:paraId="70CDC856">
      <w:pPr>
        <w:pStyle w:val="56"/>
        <w:spacing w:line="360" w:lineRule="auto"/>
        <w:ind w:firstLine="420"/>
      </w:pPr>
      <w:r>
        <w:rPr>
          <w:rFonts w:hint="eastAsia"/>
        </w:rPr>
        <w:t>c）关键操作规范性；</w:t>
      </w:r>
    </w:p>
    <w:p w14:paraId="218B8DD8">
      <w:pPr>
        <w:pStyle w:val="56"/>
        <w:spacing w:line="360" w:lineRule="auto"/>
        <w:ind w:firstLine="420"/>
      </w:pPr>
      <w:r>
        <w:rPr>
          <w:rFonts w:hint="eastAsia"/>
        </w:rPr>
        <w:t>d）关键设备防护状态；</w:t>
      </w:r>
    </w:p>
    <w:p w14:paraId="01CD6207">
      <w:pPr>
        <w:pStyle w:val="56"/>
        <w:spacing w:line="360" w:lineRule="auto"/>
        <w:ind w:firstLine="420"/>
      </w:pPr>
      <w:r>
        <w:rPr>
          <w:rFonts w:hint="eastAsia"/>
        </w:rPr>
        <w:t>e）检修维护质量；</w:t>
      </w:r>
    </w:p>
    <w:p w14:paraId="3F364FC1">
      <w:pPr>
        <w:pStyle w:val="56"/>
        <w:spacing w:line="360" w:lineRule="auto"/>
        <w:ind w:firstLine="420"/>
      </w:pPr>
      <w:r>
        <w:rPr>
          <w:rFonts w:hint="eastAsia"/>
        </w:rPr>
        <w:t>f）外委作业管理情况；</w:t>
      </w:r>
    </w:p>
    <w:p w14:paraId="219E7536">
      <w:pPr>
        <w:pStyle w:val="56"/>
        <w:spacing w:line="360" w:lineRule="auto"/>
        <w:ind w:firstLine="420"/>
      </w:pPr>
      <w:r>
        <w:rPr>
          <w:rFonts w:hint="eastAsia"/>
        </w:rPr>
        <w:t>g）应急资源配置情况；</w:t>
      </w:r>
    </w:p>
    <w:p w14:paraId="6F12B860">
      <w:pPr>
        <w:pStyle w:val="56"/>
        <w:spacing w:line="360" w:lineRule="auto"/>
        <w:ind w:firstLine="420"/>
      </w:pPr>
      <w:r>
        <w:rPr>
          <w:rFonts w:hint="eastAsia"/>
        </w:rPr>
        <w:t>h）资料归档完整性。</w:t>
      </w:r>
    </w:p>
    <w:p w14:paraId="50906A6E">
      <w:pPr>
        <w:pStyle w:val="164"/>
        <w:spacing w:line="360" w:lineRule="auto"/>
      </w:pPr>
      <w:r>
        <w:rPr>
          <w:rFonts w:hint="eastAsia"/>
        </w:rPr>
        <w:t>对发现问题较多、故障频发或者环境风险较高的场站，应提高检查频次。</w:t>
      </w:r>
    </w:p>
    <w:p w14:paraId="56A653DB">
      <w:pPr>
        <w:pStyle w:val="105"/>
        <w:spacing w:before="120" w:after="120" w:line="360" w:lineRule="auto"/>
      </w:pPr>
      <w:r>
        <w:rPr>
          <w:rFonts w:hint="eastAsia"/>
        </w:rPr>
        <w:t>问题整改要求</w:t>
      </w:r>
    </w:p>
    <w:p w14:paraId="4769AA60">
      <w:pPr>
        <w:pStyle w:val="65"/>
        <w:spacing w:before="120" w:after="120" w:line="360" w:lineRule="auto"/>
      </w:pPr>
      <w:r>
        <w:rPr>
          <w:rFonts w:hint="eastAsia"/>
        </w:rPr>
        <w:t>一般要求</w:t>
      </w:r>
    </w:p>
    <w:p w14:paraId="68007493">
      <w:pPr>
        <w:pStyle w:val="164"/>
        <w:spacing w:line="360" w:lineRule="auto"/>
      </w:pPr>
      <w:r>
        <w:rPr>
          <w:rFonts w:hint="eastAsia"/>
        </w:rPr>
        <w:t>质量评价和质量检查发现的问题应统一纳入整改管理。</w:t>
      </w:r>
    </w:p>
    <w:p w14:paraId="31C7636D">
      <w:pPr>
        <w:pStyle w:val="164"/>
        <w:spacing w:line="360" w:lineRule="auto"/>
      </w:pPr>
      <w:r>
        <w:rPr>
          <w:rFonts w:hint="eastAsia"/>
        </w:rPr>
        <w:t>问题整改应按“发现、登记、分析、整改、复核、销项”的程序闭环实施。</w:t>
      </w:r>
    </w:p>
    <w:p w14:paraId="6C44D72C">
      <w:pPr>
        <w:pStyle w:val="65"/>
        <w:spacing w:before="120" w:after="120" w:line="360" w:lineRule="auto"/>
      </w:pPr>
      <w:r>
        <w:rPr>
          <w:rFonts w:hint="eastAsia"/>
        </w:rPr>
        <w:t>整改要求</w:t>
      </w:r>
    </w:p>
    <w:p w14:paraId="16D21277">
      <w:pPr>
        <w:pStyle w:val="164"/>
        <w:spacing w:line="360" w:lineRule="auto"/>
      </w:pPr>
      <w:r>
        <w:rPr>
          <w:rFonts w:hint="eastAsia"/>
        </w:rPr>
        <w:t>问题整改应明确责任部门、责任人、整改措施、完成时限和复核要求。</w:t>
      </w:r>
    </w:p>
    <w:p w14:paraId="6DEB9873">
      <w:pPr>
        <w:pStyle w:val="164"/>
        <w:spacing w:line="360" w:lineRule="auto"/>
      </w:pPr>
      <w:r>
        <w:rPr>
          <w:rFonts w:hint="eastAsia"/>
        </w:rPr>
        <w:t>对影响人身安全、设备安全、并网安全和消防安全的问题，应优先整改。</w:t>
      </w:r>
    </w:p>
    <w:p w14:paraId="145C35CD">
      <w:pPr>
        <w:pStyle w:val="164"/>
        <w:spacing w:line="360" w:lineRule="auto"/>
      </w:pPr>
      <w:r>
        <w:rPr>
          <w:rFonts w:hint="eastAsia"/>
        </w:rPr>
        <w:t>对重复发生的问题，应开展根因分析和专项治理。</w:t>
      </w:r>
    </w:p>
    <w:p w14:paraId="095F4C6D">
      <w:pPr>
        <w:pStyle w:val="164"/>
        <w:spacing w:line="360" w:lineRule="auto"/>
      </w:pPr>
      <w:r>
        <w:rPr>
          <w:rFonts w:hint="eastAsia"/>
        </w:rPr>
        <w:t>未经复核确认的，不得视为问题整改完成。</w:t>
      </w:r>
    </w:p>
    <w:p w14:paraId="74C793A5">
      <w:pPr>
        <w:pStyle w:val="105"/>
        <w:spacing w:before="120" w:after="120" w:line="360" w:lineRule="auto"/>
      </w:pPr>
      <w:r>
        <w:rPr>
          <w:rFonts w:hint="eastAsia"/>
        </w:rPr>
        <w:t>事件复盘与经验反馈要求</w:t>
      </w:r>
    </w:p>
    <w:p w14:paraId="2F4816EB">
      <w:pPr>
        <w:pStyle w:val="65"/>
        <w:spacing w:before="120" w:after="120" w:line="360" w:lineRule="auto"/>
      </w:pPr>
      <w:r>
        <w:rPr>
          <w:rFonts w:hint="eastAsia"/>
        </w:rPr>
        <w:t>一般要求</w:t>
      </w:r>
    </w:p>
    <w:p w14:paraId="609A9445">
      <w:pPr>
        <w:pStyle w:val="164"/>
        <w:spacing w:line="360" w:lineRule="auto"/>
      </w:pPr>
      <w:r>
        <w:rPr>
          <w:rFonts w:hint="eastAsia"/>
        </w:rPr>
        <w:t>对设备故障、异常停运、保护误动、火灾险情、储能异常、外力破坏事件和应急处置事件，应组织复盘。</w:t>
      </w:r>
    </w:p>
    <w:p w14:paraId="4A41243A">
      <w:pPr>
        <w:pStyle w:val="164"/>
        <w:spacing w:line="360" w:lineRule="auto"/>
      </w:pPr>
      <w:r>
        <w:rPr>
          <w:rFonts w:hint="eastAsia"/>
        </w:rPr>
        <w:t>复盘应以查明原因、识别缺陷、完善防护和优化管理为目的。</w:t>
      </w:r>
    </w:p>
    <w:p w14:paraId="64E1E632">
      <w:pPr>
        <w:pStyle w:val="65"/>
        <w:spacing w:before="120" w:after="120" w:line="360" w:lineRule="auto"/>
      </w:pPr>
      <w:r>
        <w:rPr>
          <w:rFonts w:hint="eastAsia"/>
        </w:rPr>
        <w:t>复盘内容</w:t>
      </w:r>
    </w:p>
    <w:p w14:paraId="0DE2F812">
      <w:pPr>
        <w:pStyle w:val="164"/>
        <w:spacing w:line="360" w:lineRule="auto"/>
      </w:pPr>
      <w:r>
        <w:rPr>
          <w:rFonts w:hint="eastAsia"/>
        </w:rPr>
        <w:t>复盘宜至少包括下列内容：</w:t>
      </w:r>
    </w:p>
    <w:p w14:paraId="2B0FB2C1">
      <w:pPr>
        <w:pStyle w:val="56"/>
        <w:spacing w:line="360" w:lineRule="auto"/>
        <w:ind w:firstLine="420"/>
      </w:pPr>
      <w:r>
        <w:rPr>
          <w:rFonts w:hint="eastAsia"/>
        </w:rPr>
        <w:t>a）事件经过；</w:t>
      </w:r>
    </w:p>
    <w:p w14:paraId="144952A9">
      <w:pPr>
        <w:pStyle w:val="56"/>
        <w:spacing w:line="360" w:lineRule="auto"/>
        <w:ind w:firstLine="420"/>
      </w:pPr>
      <w:r>
        <w:rPr>
          <w:rFonts w:hint="eastAsia"/>
        </w:rPr>
        <w:t>b）直接原因；</w:t>
      </w:r>
    </w:p>
    <w:p w14:paraId="5BF4C7E1">
      <w:pPr>
        <w:pStyle w:val="56"/>
        <w:spacing w:line="360" w:lineRule="auto"/>
        <w:ind w:firstLine="420"/>
      </w:pPr>
      <w:r>
        <w:rPr>
          <w:rFonts w:hint="eastAsia"/>
        </w:rPr>
        <w:t>c）间接原因；</w:t>
      </w:r>
    </w:p>
    <w:p w14:paraId="58A4DC34">
      <w:pPr>
        <w:pStyle w:val="56"/>
        <w:spacing w:line="360" w:lineRule="auto"/>
        <w:ind w:firstLine="420"/>
      </w:pPr>
      <w:r>
        <w:rPr>
          <w:rFonts w:hint="eastAsia"/>
        </w:rPr>
        <w:t>d）处置过程；</w:t>
      </w:r>
    </w:p>
    <w:p w14:paraId="47A08C15">
      <w:pPr>
        <w:pStyle w:val="56"/>
        <w:spacing w:line="360" w:lineRule="auto"/>
        <w:ind w:firstLine="420"/>
      </w:pPr>
      <w:r>
        <w:rPr>
          <w:rFonts w:hint="eastAsia"/>
        </w:rPr>
        <w:t>e）措施有效性；</w:t>
      </w:r>
    </w:p>
    <w:p w14:paraId="752AEF9F">
      <w:pPr>
        <w:pStyle w:val="56"/>
        <w:spacing w:line="360" w:lineRule="auto"/>
        <w:ind w:firstLine="420"/>
      </w:pPr>
      <w:r>
        <w:rPr>
          <w:rFonts w:hint="eastAsia"/>
        </w:rPr>
        <w:t>f）管理短板；</w:t>
      </w:r>
    </w:p>
    <w:p w14:paraId="0B37997B">
      <w:pPr>
        <w:pStyle w:val="56"/>
        <w:spacing w:line="360" w:lineRule="auto"/>
        <w:ind w:firstLine="420"/>
      </w:pPr>
      <w:r>
        <w:rPr>
          <w:rFonts w:hint="eastAsia"/>
        </w:rPr>
        <w:t>g）防护不足；</w:t>
      </w:r>
    </w:p>
    <w:p w14:paraId="6F07BAC1">
      <w:pPr>
        <w:pStyle w:val="56"/>
        <w:spacing w:line="360" w:lineRule="auto"/>
        <w:ind w:firstLine="420"/>
      </w:pPr>
      <w:r>
        <w:rPr>
          <w:rFonts w:hint="eastAsia"/>
        </w:rPr>
        <w:t>h）整改要求；</w:t>
      </w:r>
    </w:p>
    <w:p w14:paraId="3B4F5785">
      <w:pPr>
        <w:pStyle w:val="56"/>
        <w:spacing w:line="360" w:lineRule="auto"/>
        <w:ind w:firstLine="420"/>
      </w:pPr>
      <w:r>
        <w:rPr>
          <w:rFonts w:hint="eastAsia"/>
        </w:rPr>
        <w:t>i）经验教训。</w:t>
      </w:r>
    </w:p>
    <w:p w14:paraId="5F93D9D3">
      <w:pPr>
        <w:pStyle w:val="164"/>
        <w:spacing w:line="360" w:lineRule="auto"/>
      </w:pPr>
      <w:r>
        <w:rPr>
          <w:rFonts w:hint="eastAsia"/>
        </w:rPr>
        <w:t>复盘结论应形成记录，并纳入制度修订、培训更新和技术改进依据。</w:t>
      </w:r>
    </w:p>
    <w:p w14:paraId="52A5CDE0">
      <w:pPr>
        <w:pStyle w:val="105"/>
        <w:spacing w:before="120" w:after="120" w:line="360" w:lineRule="auto"/>
      </w:pPr>
      <w:r>
        <w:rPr>
          <w:rFonts w:hint="eastAsia"/>
        </w:rPr>
        <w:t>持续改进要求</w:t>
      </w:r>
    </w:p>
    <w:p w14:paraId="30080DED">
      <w:pPr>
        <w:pStyle w:val="65"/>
        <w:spacing w:before="120" w:after="120" w:line="360" w:lineRule="auto"/>
      </w:pPr>
      <w:r>
        <w:rPr>
          <w:rFonts w:hint="eastAsia"/>
        </w:rPr>
        <w:t>一般要求</w:t>
      </w:r>
    </w:p>
    <w:p w14:paraId="02651EEB">
      <w:pPr>
        <w:pStyle w:val="164"/>
        <w:spacing w:line="360" w:lineRule="auto"/>
      </w:pPr>
      <w:r>
        <w:rPr>
          <w:rFonts w:hint="eastAsia"/>
        </w:rPr>
        <w:t>场站应建立持续改进机制。</w:t>
      </w:r>
    </w:p>
    <w:p w14:paraId="02ADE894">
      <w:pPr>
        <w:pStyle w:val="164"/>
        <w:spacing w:line="360" w:lineRule="auto"/>
      </w:pPr>
      <w:r>
        <w:rPr>
          <w:rFonts w:hint="eastAsia"/>
        </w:rPr>
        <w:t>持续改进应以设备可靠性提升、安全风险降低、防护能力增强和运维管理优化为导向。</w:t>
      </w:r>
    </w:p>
    <w:p w14:paraId="3CC12CC4">
      <w:pPr>
        <w:pStyle w:val="65"/>
        <w:spacing w:before="120" w:after="120" w:line="360" w:lineRule="auto"/>
      </w:pPr>
      <w:r>
        <w:rPr>
          <w:rFonts w:hint="eastAsia"/>
        </w:rPr>
        <w:t>改进内容</w:t>
      </w:r>
    </w:p>
    <w:p w14:paraId="60CC7225">
      <w:pPr>
        <w:pStyle w:val="164"/>
        <w:spacing w:line="360" w:lineRule="auto"/>
      </w:pPr>
      <w:r>
        <w:rPr>
          <w:rFonts w:hint="eastAsia"/>
        </w:rPr>
        <w:t>持续改进宜包括下列内容：</w:t>
      </w:r>
    </w:p>
    <w:p w14:paraId="6CC54B79">
      <w:pPr>
        <w:pStyle w:val="56"/>
        <w:spacing w:line="360" w:lineRule="auto"/>
        <w:ind w:firstLine="420"/>
      </w:pPr>
      <w:r>
        <w:rPr>
          <w:rFonts w:hint="eastAsia"/>
        </w:rPr>
        <w:t>a）优化巡视路线和巡视项目；</w:t>
      </w:r>
    </w:p>
    <w:p w14:paraId="67ED5C36">
      <w:pPr>
        <w:pStyle w:val="56"/>
        <w:spacing w:line="360" w:lineRule="auto"/>
        <w:ind w:firstLine="420"/>
      </w:pPr>
      <w:r>
        <w:rPr>
          <w:rFonts w:hint="eastAsia"/>
        </w:rPr>
        <w:t>b）优化状态监测配置和告警规则；</w:t>
      </w:r>
    </w:p>
    <w:p w14:paraId="17F77C2E">
      <w:pPr>
        <w:pStyle w:val="56"/>
        <w:spacing w:line="360" w:lineRule="auto"/>
        <w:ind w:firstLine="420"/>
      </w:pPr>
      <w:r>
        <w:rPr>
          <w:rFonts w:hint="eastAsia"/>
        </w:rPr>
        <w:t>c）完善缺陷分级和处理流程；</w:t>
      </w:r>
    </w:p>
    <w:p w14:paraId="0C63AE28">
      <w:pPr>
        <w:pStyle w:val="56"/>
        <w:spacing w:line="360" w:lineRule="auto"/>
        <w:ind w:firstLine="420"/>
      </w:pPr>
      <w:r>
        <w:rPr>
          <w:rFonts w:hint="eastAsia"/>
        </w:rPr>
        <w:t>d）提升预防性维护精准性；</w:t>
      </w:r>
    </w:p>
    <w:p w14:paraId="671CE5E8">
      <w:pPr>
        <w:pStyle w:val="56"/>
        <w:spacing w:line="360" w:lineRule="auto"/>
        <w:ind w:firstLine="420"/>
      </w:pPr>
      <w:r>
        <w:rPr>
          <w:rFonts w:hint="eastAsia"/>
        </w:rPr>
        <w:t>e）完善防雷、防火、防腐、防汛和防误操作措施；</w:t>
      </w:r>
    </w:p>
    <w:p w14:paraId="5AACEA05">
      <w:pPr>
        <w:pStyle w:val="56"/>
        <w:spacing w:line="360" w:lineRule="auto"/>
        <w:ind w:firstLine="420"/>
      </w:pPr>
      <w:r>
        <w:rPr>
          <w:rFonts w:hint="eastAsia"/>
        </w:rPr>
        <w:t>f）优化外委作业管控机制；</w:t>
      </w:r>
    </w:p>
    <w:p w14:paraId="369A9B82">
      <w:pPr>
        <w:pStyle w:val="56"/>
        <w:spacing w:line="360" w:lineRule="auto"/>
        <w:ind w:firstLine="420"/>
      </w:pPr>
      <w:r>
        <w:rPr>
          <w:rFonts w:hint="eastAsia"/>
        </w:rPr>
        <w:t>g）完善应急预案和演练方案；</w:t>
      </w:r>
    </w:p>
    <w:p w14:paraId="644C8DF6">
      <w:pPr>
        <w:pStyle w:val="56"/>
        <w:spacing w:line="360" w:lineRule="auto"/>
        <w:ind w:firstLine="420"/>
      </w:pPr>
      <w:r>
        <w:rPr>
          <w:rFonts w:hint="eastAsia"/>
        </w:rPr>
        <w:t>h）推动技术升级和智能运维应用；</w:t>
      </w:r>
    </w:p>
    <w:p w14:paraId="2B5124DF">
      <w:pPr>
        <w:pStyle w:val="56"/>
        <w:spacing w:line="360" w:lineRule="auto"/>
        <w:ind w:firstLine="420"/>
      </w:pPr>
      <w:r>
        <w:rPr>
          <w:rFonts w:hint="eastAsia"/>
        </w:rPr>
        <w:t>i）完善培训和岗位能力建设。</w:t>
      </w:r>
    </w:p>
    <w:p w14:paraId="1DBCA79F">
      <w:pPr>
        <w:pStyle w:val="164"/>
        <w:spacing w:line="360" w:lineRule="auto"/>
      </w:pPr>
      <w:r>
        <w:rPr>
          <w:rFonts w:hint="eastAsia"/>
        </w:rPr>
        <w:t>对成熟有效的做法，应及时固化为制度、作业指导书、技术标准或者信息化规则。</w:t>
      </w:r>
    </w:p>
    <w:p w14:paraId="200DDA76">
      <w:pPr>
        <w:pStyle w:val="105"/>
        <w:spacing w:before="120" w:after="120" w:line="360" w:lineRule="auto"/>
      </w:pPr>
      <w:r>
        <w:rPr>
          <w:rFonts w:hint="eastAsia"/>
        </w:rPr>
        <w:t>资料管理、质量评价与持续改进要点</w:t>
      </w:r>
    </w:p>
    <w:p w14:paraId="022E6965">
      <w:pPr>
        <w:pStyle w:val="56"/>
        <w:spacing w:line="360" w:lineRule="auto"/>
        <w:ind w:firstLine="420"/>
      </w:pPr>
      <w:r>
        <w:rPr>
          <w:rFonts w:hint="eastAsia"/>
        </w:rPr>
        <w:t>资料管理、质量评价与持续改进的主要控制内容见表4。表4给出了资料管理、质量评价与持续改进的主要控制内容和控制要点。</w:t>
      </w:r>
    </w:p>
    <w:p w14:paraId="3C764E8A">
      <w:pPr>
        <w:pStyle w:val="112"/>
        <w:spacing w:before="120" w:after="120" w:line="360" w:lineRule="auto"/>
      </w:pPr>
      <w:r>
        <w:rPr>
          <w:rFonts w:hint="eastAsia"/>
        </w:rPr>
        <w:t>资料管理、质量评价与持续改进要点表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105"/>
        <w:gridCol w:w="3112"/>
      </w:tblGrid>
      <w:tr w14:paraId="562D71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01D88449">
            <w:pPr>
              <w:pStyle w:val="178"/>
            </w:pPr>
            <w:r>
              <w:rPr>
                <w:rFonts w:hint="eastAsia"/>
              </w:rPr>
              <w:t>工作类别</w:t>
            </w:r>
          </w:p>
        </w:tc>
        <w:tc>
          <w:tcPr>
            <w:tcW w:w="4105" w:type="dxa"/>
            <w:tcBorders>
              <w:top w:val="single" w:color="auto" w:sz="8" w:space="0"/>
              <w:bottom w:val="single" w:color="auto" w:sz="8" w:space="0"/>
            </w:tcBorders>
          </w:tcPr>
          <w:p w14:paraId="6A579B4A">
            <w:pPr>
              <w:pStyle w:val="178"/>
            </w:pPr>
            <w:r>
              <w:rPr>
                <w:rFonts w:hint="eastAsia"/>
              </w:rPr>
              <w:t>主要内容</w:t>
            </w:r>
          </w:p>
        </w:tc>
        <w:tc>
          <w:tcPr>
            <w:tcW w:w="3112" w:type="dxa"/>
            <w:tcBorders>
              <w:top w:val="single" w:color="auto" w:sz="8" w:space="0"/>
              <w:bottom w:val="single" w:color="auto" w:sz="8" w:space="0"/>
            </w:tcBorders>
          </w:tcPr>
          <w:p w14:paraId="3DED5D9F">
            <w:pPr>
              <w:pStyle w:val="178"/>
            </w:pPr>
            <w:r>
              <w:rPr>
                <w:rFonts w:hint="eastAsia"/>
              </w:rPr>
              <w:t>控制要点</w:t>
            </w:r>
          </w:p>
        </w:tc>
      </w:tr>
      <w:tr w14:paraId="7FCE5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285FACCD">
            <w:pPr>
              <w:pStyle w:val="178"/>
            </w:pPr>
            <w:r>
              <w:rPr>
                <w:rFonts w:hint="eastAsia"/>
              </w:rPr>
              <w:t>资料管理</w:t>
            </w:r>
          </w:p>
        </w:tc>
        <w:tc>
          <w:tcPr>
            <w:tcW w:w="4105" w:type="dxa"/>
            <w:tcBorders>
              <w:top w:val="single" w:color="auto" w:sz="8" w:space="0"/>
            </w:tcBorders>
          </w:tcPr>
          <w:p w14:paraId="7974FF8C">
            <w:pPr>
              <w:pStyle w:val="178"/>
            </w:pPr>
            <w:r>
              <w:rPr>
                <w:rFonts w:hint="eastAsia"/>
              </w:rPr>
              <w:t>图纸、规程、记录、台账、改造资料</w:t>
            </w:r>
          </w:p>
        </w:tc>
        <w:tc>
          <w:tcPr>
            <w:tcW w:w="3112" w:type="dxa"/>
            <w:tcBorders>
              <w:top w:val="single" w:color="auto" w:sz="8" w:space="0"/>
            </w:tcBorders>
          </w:tcPr>
          <w:p w14:paraId="187C9E37">
            <w:pPr>
              <w:pStyle w:val="178"/>
            </w:pPr>
            <w:r>
              <w:rPr>
                <w:rFonts w:hint="eastAsia"/>
              </w:rPr>
              <w:t>分类归档、动态更新、版本清晰</w:t>
            </w:r>
          </w:p>
        </w:tc>
      </w:tr>
      <w:tr w14:paraId="231B67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ADE2B17">
            <w:pPr>
              <w:pStyle w:val="178"/>
            </w:pPr>
            <w:r>
              <w:rPr>
                <w:rFonts w:hint="eastAsia"/>
              </w:rPr>
              <w:t>台账管理</w:t>
            </w:r>
          </w:p>
        </w:tc>
        <w:tc>
          <w:tcPr>
            <w:tcW w:w="4105" w:type="dxa"/>
          </w:tcPr>
          <w:p w14:paraId="2827DC36">
            <w:pPr>
              <w:pStyle w:val="178"/>
            </w:pPr>
            <w:r>
              <w:rPr>
                <w:rFonts w:hint="eastAsia"/>
              </w:rPr>
              <w:t>设备、缺陷、隐患、备件、应急物资</w:t>
            </w:r>
          </w:p>
        </w:tc>
        <w:tc>
          <w:tcPr>
            <w:tcW w:w="3112" w:type="dxa"/>
          </w:tcPr>
          <w:p w14:paraId="1C37C8B4">
            <w:pPr>
              <w:pStyle w:val="178"/>
            </w:pPr>
            <w:r>
              <w:rPr>
                <w:rFonts w:hint="eastAsia"/>
              </w:rPr>
              <w:t>与现场一致，长期保持更新</w:t>
            </w:r>
          </w:p>
        </w:tc>
      </w:tr>
      <w:tr w14:paraId="67986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D4B3B05">
            <w:pPr>
              <w:pStyle w:val="178"/>
            </w:pPr>
            <w:r>
              <w:rPr>
                <w:rFonts w:hint="eastAsia"/>
              </w:rPr>
              <w:t>质量评价</w:t>
            </w:r>
          </w:p>
        </w:tc>
        <w:tc>
          <w:tcPr>
            <w:tcW w:w="4105" w:type="dxa"/>
          </w:tcPr>
          <w:p w14:paraId="7A242EB7">
            <w:pPr>
              <w:pStyle w:val="178"/>
            </w:pPr>
            <w:r>
              <w:rPr>
                <w:rFonts w:hint="eastAsia"/>
              </w:rPr>
              <w:t>运行、巡视、检修、防护、外委、应急</w:t>
            </w:r>
          </w:p>
        </w:tc>
        <w:tc>
          <w:tcPr>
            <w:tcW w:w="3112" w:type="dxa"/>
          </w:tcPr>
          <w:p w14:paraId="59212514">
            <w:pPr>
              <w:pStyle w:val="178"/>
            </w:pPr>
            <w:r>
              <w:rPr>
                <w:rFonts w:hint="eastAsia"/>
              </w:rPr>
              <w:t>不得只看发电指标，忽视安全质量</w:t>
            </w:r>
          </w:p>
        </w:tc>
      </w:tr>
      <w:tr w14:paraId="4BDCC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BD517A6">
            <w:pPr>
              <w:pStyle w:val="178"/>
            </w:pPr>
            <w:r>
              <w:rPr>
                <w:rFonts w:hint="eastAsia"/>
              </w:rPr>
              <w:t>质量检查</w:t>
            </w:r>
          </w:p>
        </w:tc>
        <w:tc>
          <w:tcPr>
            <w:tcW w:w="4105" w:type="dxa"/>
          </w:tcPr>
          <w:p w14:paraId="18F91166">
            <w:pPr>
              <w:pStyle w:val="178"/>
            </w:pPr>
            <w:r>
              <w:rPr>
                <w:rFonts w:hint="eastAsia"/>
              </w:rPr>
              <w:t>日常检查、专项抽查、交叉检查</w:t>
            </w:r>
          </w:p>
        </w:tc>
        <w:tc>
          <w:tcPr>
            <w:tcW w:w="3112" w:type="dxa"/>
          </w:tcPr>
          <w:p w14:paraId="261D4495">
            <w:pPr>
              <w:pStyle w:val="178"/>
            </w:pPr>
            <w:r>
              <w:rPr>
                <w:rFonts w:hint="eastAsia"/>
              </w:rPr>
              <w:t>对问题场站应提高频次</w:t>
            </w:r>
          </w:p>
        </w:tc>
      </w:tr>
      <w:tr w14:paraId="6B8281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7026E32F">
            <w:pPr>
              <w:pStyle w:val="178"/>
            </w:pPr>
            <w:r>
              <w:rPr>
                <w:rFonts w:hint="eastAsia"/>
              </w:rPr>
              <w:t>问题整改</w:t>
            </w:r>
          </w:p>
        </w:tc>
        <w:tc>
          <w:tcPr>
            <w:tcW w:w="4105" w:type="dxa"/>
          </w:tcPr>
          <w:p w14:paraId="1EE66475">
            <w:pPr>
              <w:pStyle w:val="178"/>
            </w:pPr>
            <w:r>
              <w:rPr>
                <w:rFonts w:hint="eastAsia"/>
              </w:rPr>
              <w:t>登记、分析、整改、复核、销项</w:t>
            </w:r>
          </w:p>
        </w:tc>
        <w:tc>
          <w:tcPr>
            <w:tcW w:w="3112" w:type="dxa"/>
          </w:tcPr>
          <w:p w14:paraId="07A8A304">
            <w:pPr>
              <w:pStyle w:val="178"/>
            </w:pPr>
            <w:r>
              <w:rPr>
                <w:rFonts w:hint="eastAsia"/>
              </w:rPr>
              <w:t>重大问题优先整改，整改必须闭环</w:t>
            </w:r>
          </w:p>
        </w:tc>
      </w:tr>
      <w:tr w14:paraId="197C6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089BF82E">
            <w:pPr>
              <w:pStyle w:val="178"/>
            </w:pPr>
            <w:r>
              <w:rPr>
                <w:rFonts w:hint="eastAsia"/>
              </w:rPr>
              <w:t>事件复盘</w:t>
            </w:r>
          </w:p>
        </w:tc>
        <w:tc>
          <w:tcPr>
            <w:tcW w:w="4105" w:type="dxa"/>
          </w:tcPr>
          <w:p w14:paraId="628CB714">
            <w:pPr>
              <w:pStyle w:val="178"/>
            </w:pPr>
            <w:r>
              <w:rPr>
                <w:rFonts w:hint="eastAsia"/>
              </w:rPr>
              <w:t>故障、险情、异常停运、应急事件</w:t>
            </w:r>
          </w:p>
        </w:tc>
        <w:tc>
          <w:tcPr>
            <w:tcW w:w="3112" w:type="dxa"/>
          </w:tcPr>
          <w:p w14:paraId="4B586736">
            <w:pPr>
              <w:pStyle w:val="178"/>
            </w:pPr>
            <w:r>
              <w:rPr>
                <w:rFonts w:hint="eastAsia"/>
              </w:rPr>
              <w:t>查原因、补短板、固化经验</w:t>
            </w:r>
          </w:p>
        </w:tc>
      </w:tr>
      <w:tr w14:paraId="1F1C4B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38EFF31">
            <w:pPr>
              <w:pStyle w:val="178"/>
            </w:pPr>
            <w:r>
              <w:rPr>
                <w:rFonts w:hint="eastAsia"/>
              </w:rPr>
              <w:t>持续改进</w:t>
            </w:r>
          </w:p>
        </w:tc>
        <w:tc>
          <w:tcPr>
            <w:tcW w:w="4105" w:type="dxa"/>
          </w:tcPr>
          <w:p w14:paraId="2FE0DBD6">
            <w:pPr>
              <w:pStyle w:val="178"/>
            </w:pPr>
            <w:r>
              <w:rPr>
                <w:rFonts w:hint="eastAsia"/>
              </w:rPr>
              <w:t>制度优化、技术升级、流程完善</w:t>
            </w:r>
          </w:p>
        </w:tc>
        <w:tc>
          <w:tcPr>
            <w:tcW w:w="3112" w:type="dxa"/>
          </w:tcPr>
          <w:p w14:paraId="605E5CD5">
            <w:pPr>
              <w:pStyle w:val="178"/>
            </w:pPr>
            <w:r>
              <w:rPr>
                <w:rFonts w:hint="eastAsia"/>
              </w:rPr>
              <w:t>问题导向，动态优化</w:t>
            </w:r>
          </w:p>
        </w:tc>
      </w:tr>
    </w:tbl>
    <w:p w14:paraId="6781CB70">
      <w:pPr>
        <w:pStyle w:val="105"/>
        <w:spacing w:before="120" w:after="120" w:line="360" w:lineRule="auto"/>
      </w:pPr>
      <w:r>
        <w:rPr>
          <w:rFonts w:hint="eastAsia"/>
        </w:rPr>
        <w:t>禁止性要求</w:t>
      </w:r>
    </w:p>
    <w:p w14:paraId="6CDCCE7B">
      <w:pPr>
        <w:pStyle w:val="165"/>
        <w:spacing w:line="360" w:lineRule="auto"/>
      </w:pPr>
      <w:r>
        <w:rPr>
          <w:rFonts w:hint="eastAsia"/>
        </w:rPr>
        <w:t>不得资料缺失、图纸失真、台账失实而长期不整改。</w:t>
      </w:r>
    </w:p>
    <w:p w14:paraId="4E2B182E">
      <w:pPr>
        <w:pStyle w:val="165"/>
        <w:spacing w:line="360" w:lineRule="auto"/>
      </w:pPr>
      <w:r>
        <w:rPr>
          <w:rFonts w:hint="eastAsia"/>
        </w:rPr>
        <w:t>不得对质量评价中发现的问题只通报不整改、只整改不复核。</w:t>
      </w:r>
    </w:p>
    <w:p w14:paraId="76C25FE5">
      <w:pPr>
        <w:pStyle w:val="165"/>
        <w:spacing w:line="360" w:lineRule="auto"/>
      </w:pPr>
      <w:r>
        <w:rPr>
          <w:rFonts w:hint="eastAsia"/>
        </w:rPr>
        <w:t>不得隐瞒重复故障、隐患未消除和防护失效等情况。</w:t>
      </w:r>
    </w:p>
    <w:p w14:paraId="1DE75CE9">
      <w:pPr>
        <w:pStyle w:val="165"/>
        <w:spacing w:line="360" w:lineRule="auto"/>
      </w:pPr>
      <w:r>
        <w:rPr>
          <w:rFonts w:hint="eastAsia"/>
        </w:rPr>
        <w:t>不得对事故险情、应急处置事件和群发性缺陷不开展复盘分析。</w:t>
      </w:r>
    </w:p>
    <w:p w14:paraId="18D436F4">
      <w:pPr>
        <w:pStyle w:val="165"/>
        <w:spacing w:line="360" w:lineRule="auto"/>
      </w:pPr>
      <w:r>
        <w:rPr>
          <w:rFonts w:hint="eastAsia"/>
        </w:rPr>
        <w:t>不得长期沿用已明显不适应设备状态、环境条件和运行方式的旧制度、旧规程和旧措施。</w:t>
      </w:r>
    </w:p>
    <w:bookmarkEnd w:id="26"/>
    <w:p w14:paraId="49E65346">
      <w:pPr>
        <w:pStyle w:val="56"/>
        <w:ind w:firstLine="0" w:firstLineChars="0"/>
        <w:jc w:val="center"/>
      </w:pPr>
      <w:bookmarkStart w:id="57" w:name="BookMark8"/>
      <w:r>
        <w:rPr>
          <w:rFonts w:hint="eastAsia"/>
        </w:rPr>
        <w:drawing>
          <wp:inline distT="0" distB="0" distL="0" distR="0">
            <wp:extent cx="1485900" cy="317500"/>
            <wp:effectExtent l="0" t="0" r="0" b="6350"/>
            <wp:docPr id="458979308" name="图片 3"/>
            <wp:cNvGraphicFramePr/>
            <a:graphic xmlns:a="http://schemas.openxmlformats.org/drawingml/2006/main">
              <a:graphicData uri="http://schemas.openxmlformats.org/drawingml/2006/picture">
                <pic:pic xmlns:pic="http://schemas.openxmlformats.org/drawingml/2006/picture">
                  <pic:nvPicPr>
                    <pic:cNvPr id="458979308"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CABE2">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8A1CF">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0262—2026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0262—2026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0262—2026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39D53">
    <w:pPr>
      <w:pStyle w:val="61"/>
      <w:rPr>
        <w:rFonts w:hint="eastAsia"/>
      </w:rPr>
    </w:pPr>
    <w:r>
      <w:fldChar w:fldCharType="begin"/>
    </w:r>
    <w:r>
      <w:instrText xml:space="preserve"> STYLEREF  标准文件_文件编号  \* MERGEFORMAT </w:instrText>
    </w:r>
    <w:r>
      <w:fldChar w:fldCharType="separate"/>
    </w:r>
    <w:r>
      <w:t>T/XZBX 0262—2026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1A193">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0262—2026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0262—2026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0262—2026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0262—2026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DE7"/>
    <w:rsid w:val="0006357D"/>
    <w:rsid w:val="00067F1E"/>
    <w:rsid w:val="00071CC0"/>
    <w:rsid w:val="00071CFC"/>
    <w:rsid w:val="00073C8C"/>
    <w:rsid w:val="00077B64"/>
    <w:rsid w:val="00080A1C"/>
    <w:rsid w:val="00082317"/>
    <w:rsid w:val="00083D2C"/>
    <w:rsid w:val="0008472B"/>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40E"/>
    <w:rsid w:val="0011711C"/>
    <w:rsid w:val="00124E4F"/>
    <w:rsid w:val="001260B7"/>
    <w:rsid w:val="001265CB"/>
    <w:rsid w:val="00131FB5"/>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B18"/>
    <w:rsid w:val="00233D64"/>
    <w:rsid w:val="0023482A"/>
    <w:rsid w:val="002359CB"/>
    <w:rsid w:val="00241E75"/>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3825"/>
    <w:rsid w:val="003E49F6"/>
    <w:rsid w:val="003E660F"/>
    <w:rsid w:val="003F0841"/>
    <w:rsid w:val="003F23D3"/>
    <w:rsid w:val="003F3F08"/>
    <w:rsid w:val="003F49F1"/>
    <w:rsid w:val="003F6272"/>
    <w:rsid w:val="003F7F8A"/>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9DB"/>
    <w:rsid w:val="005E7881"/>
    <w:rsid w:val="005E78E0"/>
    <w:rsid w:val="005F0D9C"/>
    <w:rsid w:val="005F284E"/>
    <w:rsid w:val="00600439"/>
    <w:rsid w:val="006015CE"/>
    <w:rsid w:val="00603A9F"/>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6A7"/>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3B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0005"/>
    <w:rsid w:val="009D112C"/>
    <w:rsid w:val="009D1385"/>
    <w:rsid w:val="009D47FA"/>
    <w:rsid w:val="009D4C5B"/>
    <w:rsid w:val="009D50D2"/>
    <w:rsid w:val="009D6BCA"/>
    <w:rsid w:val="009E0F62"/>
    <w:rsid w:val="009E4A58"/>
    <w:rsid w:val="009E5A2D"/>
    <w:rsid w:val="009E5AB2"/>
    <w:rsid w:val="009E6219"/>
    <w:rsid w:val="009F03B3"/>
    <w:rsid w:val="009F610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0B25"/>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5591"/>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4AB"/>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04F"/>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373"/>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CE4"/>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D847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554E852B">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11DC86B">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8FCF4C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62DE7"/>
    <w:rsid w:val="0007358F"/>
    <w:rsid w:val="0008472B"/>
    <w:rsid w:val="001F4546"/>
    <w:rsid w:val="00224637"/>
    <w:rsid w:val="00241E75"/>
    <w:rsid w:val="002E6AD9"/>
    <w:rsid w:val="003646F4"/>
    <w:rsid w:val="003F62CE"/>
    <w:rsid w:val="004A6324"/>
    <w:rsid w:val="005B18DA"/>
    <w:rsid w:val="005E4B5C"/>
    <w:rsid w:val="006141C6"/>
    <w:rsid w:val="006376A7"/>
    <w:rsid w:val="00652769"/>
    <w:rsid w:val="00796662"/>
    <w:rsid w:val="008C0337"/>
    <w:rsid w:val="008E6778"/>
    <w:rsid w:val="00A21337"/>
    <w:rsid w:val="00AA2819"/>
    <w:rsid w:val="00AE100B"/>
    <w:rsid w:val="00AE1DC6"/>
    <w:rsid w:val="00B23815"/>
    <w:rsid w:val="00D56540"/>
    <w:rsid w:val="00E76885"/>
    <w:rsid w:val="00EB2CE4"/>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37</Pages>
  <Words>6569</Words>
  <Characters>6850</Characters>
  <Lines>149</Lines>
  <Paragraphs>42</Paragraphs>
  <TotalTime>157</TotalTime>
  <ScaleCrop>false</ScaleCrop>
  <LinksUpToDate>false</LinksUpToDate>
  <CharactersWithSpaces>6951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2026-05-19T06:10:10Z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2BA7BC21757D42FEA1BDD3A685FA75B0_12</vt:lpwstr>
  </property>
</Properties>
</file>