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10.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14:paraId="59FA41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19C05D81">
            <w:pPr>
              <w:pStyle w:val="18"/>
              <w:framePr w:wrap="notBeside" w:vAnchor="page" w:hAnchor="page" w:x="1372" w:y="568"/>
              <w:tabs>
                <w:tab w:val="clear" w:pos="4153"/>
                <w:tab w:val="clear" w:pos="8306"/>
              </w:tabs>
              <w:spacing w:line="240" w:lineRule="auto"/>
              <w:jc w:val="left"/>
              <w:rPr>
                <w:rFonts w:hint="eastAsia"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03CFE7BF">
            <w:pPr>
              <w:pStyle w:val="18"/>
              <w:framePr w:wrap="notBeside" w:vAnchor="page" w:hAnchor="page" w:x="1372" w:y="568"/>
              <w:tabs>
                <w:tab w:val="clear" w:pos="4153"/>
                <w:tab w:val="clear" w:pos="8306"/>
              </w:tabs>
              <w:spacing w:line="240" w:lineRule="auto"/>
              <w:jc w:val="both"/>
              <w:rPr>
                <w:rFonts w:hint="eastAsia" w:ascii="黑体" w:hAnsi="黑体" w:eastAsia="黑体"/>
                <w:sz w:val="21"/>
                <w:szCs w:val="21"/>
              </w:rPr>
            </w:pPr>
            <w:r>
              <w:rPr>
                <w:rFonts w:hint="eastAsia" w:ascii="黑体" w:hAnsi="黑体" w:eastAsia="黑体"/>
                <w:sz w:val="21"/>
                <w:szCs w:val="21"/>
              </w:rPr>
              <w:fldChar w:fldCharType="begin">
                <w:ffData>
                  <w:name w:val="ICS"/>
                  <w:enabled/>
                  <w:calcOnExit w:val="0"/>
                  <w:textInput>
                    <w:default w:val="35.240.01"/>
                  </w:textInput>
                </w:ffData>
              </w:fldChar>
            </w:r>
            <w:bookmarkStart w:id="0" w:name="ICS"/>
            <w:r>
              <w:rPr>
                <w:rFonts w:hint="eastAsia" w:ascii="黑体" w:hAnsi="黑体" w:eastAsia="黑体"/>
                <w:sz w:val="21"/>
                <w:szCs w:val="21"/>
              </w:rPr>
              <w:instrText xml:space="preserve"> </w:instrText>
            </w:r>
            <w:r>
              <w:rPr>
                <w:rFonts w:ascii="黑体" w:hAnsi="黑体" w:eastAsia="黑体"/>
                <w:sz w:val="21"/>
                <w:szCs w:val="21"/>
              </w:rPr>
              <w:instrText xml:space="preserve">FORMTEXT</w:instrText>
            </w:r>
            <w:r>
              <w:rPr>
                <w:rFonts w:hint="eastAsia" w:ascii="黑体" w:hAnsi="黑体" w:eastAsia="黑体"/>
                <w:sz w:val="21"/>
                <w:szCs w:val="21"/>
              </w:rPr>
              <w:instrText xml:space="preserve"> </w:instrText>
            </w:r>
            <w:r>
              <w:rPr>
                <w:rFonts w:hint="eastAsia" w:ascii="黑体" w:hAnsi="黑体" w:eastAsia="黑体"/>
                <w:sz w:val="21"/>
                <w:szCs w:val="21"/>
              </w:rPr>
              <w:fldChar w:fldCharType="separate"/>
            </w:r>
            <w:r>
              <w:rPr>
                <w:rFonts w:hint="eastAsia" w:ascii="黑体" w:hAnsi="黑体" w:eastAsia="黑体"/>
                <w:sz w:val="21"/>
                <w:szCs w:val="21"/>
              </w:rPr>
              <w:t>35.240.01</w:t>
            </w:r>
            <w:r>
              <w:rPr>
                <w:rFonts w:hint="eastAsia" w:ascii="黑体" w:hAnsi="黑体" w:eastAsia="黑体"/>
                <w:sz w:val="21"/>
                <w:szCs w:val="21"/>
              </w:rPr>
              <w:fldChar w:fldCharType="end"/>
            </w:r>
            <w:bookmarkEnd w:id="0"/>
          </w:p>
        </w:tc>
      </w:tr>
      <w:tr w14:paraId="2AEB01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70B3D27D">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tbl>
            <w:tblPr>
              <w:tblStyle w:val="27"/>
              <w:tblpPr w:vertAnchor="page" w:horzAnchor="margin" w:tblpX="1" w:tblpY="341"/>
              <w:tblOverlap w:val="never"/>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0" w:type="dxa"/>
                <w:bottom w:w="0" w:type="dxa"/>
                <w:right w:w="113" w:type="dxa"/>
              </w:tblCellMar>
            </w:tblPr>
            <w:tblGrid>
              <w:gridCol w:w="9242"/>
            </w:tblGrid>
            <w:tr w14:paraId="1673C322">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0" w:type="dxa"/>
                  <w:bottom w:w="0" w:type="dxa"/>
                  <w:right w:w="113" w:type="dxa"/>
                </w:tblCellMar>
              </w:tblPrEx>
              <w:trPr>
                <w:trHeight w:val="1021" w:hRule="exact"/>
              </w:trPr>
              <w:tc>
                <w:tcPr>
                  <w:tcW w:w="9242" w:type="dxa"/>
                  <w:vAlign w:val="center"/>
                </w:tcPr>
                <w:p w14:paraId="3D9EF6ED">
                  <w:pPr>
                    <w:pStyle w:val="49"/>
                    <w:framePr w:wrap="notBeside" w:vAnchor="page" w:hAnchor="page" w:x="1372" w:y="568"/>
                    <w:ind w:left="420" w:right="624"/>
                    <w:rPr>
                      <w:rFonts w:hint="eastAsia" w:ascii="宋体" w:hAnsi="宋体"/>
                      <w:sz w:val="28"/>
                      <w:szCs w:val="28"/>
                    </w:rPr>
                  </w:pPr>
                  <w: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default w:val="XZBX"/>
                          <w:maxLength w:val="7"/>
                        </w:textInput>
                      </w:ffData>
                    </w:fldChar>
                  </w:r>
                  <w:bookmarkStart w:id="1" w:name="c1"/>
                  <w:r>
                    <w:instrText xml:space="preserve"> FORMTEXT </w:instrText>
                  </w:r>
                  <w:r>
                    <w:fldChar w:fldCharType="separate"/>
                  </w:r>
                  <w:r>
                    <w:t>XZBX</w:t>
                  </w:r>
                  <w:r>
                    <w:fldChar w:fldCharType="end"/>
                  </w:r>
                  <w:bookmarkEnd w:id="1"/>
                </w:p>
              </w:tc>
            </w:tr>
          </w:tbl>
          <w:p w14:paraId="7211AB71">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hint="eastAsia" w:ascii="黑体" w:hAnsi="黑体" w:eastAsia="黑体"/>
                <w:sz w:val="21"/>
                <w:szCs w:val="21"/>
              </w:rPr>
              <w:fldChar w:fldCharType="begin">
                <w:ffData>
                  <w:name w:val="CSDN"/>
                  <w:enabled/>
                  <w:calcOnExit w:val="0"/>
                  <w:textInput>
                    <w:default w:val="L 77"/>
                  </w:textInput>
                </w:ffData>
              </w:fldChar>
            </w:r>
            <w:bookmarkStart w:id="2" w:name="CSDN"/>
            <w:r>
              <w:rPr>
                <w:rFonts w:hint="eastAsia" w:ascii="黑体" w:hAnsi="黑体" w:eastAsia="黑体"/>
                <w:sz w:val="21"/>
                <w:szCs w:val="21"/>
              </w:rPr>
              <w:instrText xml:space="preserve"> </w:instrText>
            </w:r>
            <w:r>
              <w:rPr>
                <w:rFonts w:ascii="黑体" w:hAnsi="黑体" w:eastAsia="黑体"/>
                <w:sz w:val="21"/>
                <w:szCs w:val="21"/>
              </w:rPr>
              <w:instrText xml:space="preserve">FORMTEXT</w:instrText>
            </w:r>
            <w:r>
              <w:rPr>
                <w:rFonts w:hint="eastAsia" w:ascii="黑体" w:hAnsi="黑体" w:eastAsia="黑体"/>
                <w:sz w:val="21"/>
                <w:szCs w:val="21"/>
              </w:rPr>
              <w:instrText xml:space="preserve"> </w:instrText>
            </w:r>
            <w:r>
              <w:rPr>
                <w:rFonts w:hint="eastAsia" w:ascii="黑体" w:hAnsi="黑体" w:eastAsia="黑体"/>
                <w:sz w:val="21"/>
                <w:szCs w:val="21"/>
              </w:rPr>
              <w:fldChar w:fldCharType="separate"/>
            </w:r>
            <w:r>
              <w:rPr>
                <w:rFonts w:hint="eastAsia" w:ascii="黑体" w:hAnsi="黑体" w:eastAsia="黑体"/>
                <w:sz w:val="21"/>
                <w:szCs w:val="21"/>
              </w:rPr>
              <w:t>L 77</w:t>
            </w:r>
            <w:r>
              <w:rPr>
                <w:rFonts w:hint="eastAsia" w:ascii="黑体" w:hAnsi="黑体" w:eastAsia="黑体"/>
                <w:sz w:val="21"/>
                <w:szCs w:val="21"/>
              </w:rPr>
              <w:fldChar w:fldCharType="end"/>
            </w:r>
            <w:bookmarkEnd w:id="2"/>
          </w:p>
        </w:tc>
      </w:tr>
    </w:tbl>
    <w:p w14:paraId="14B17AD5">
      <w:pPr>
        <w:pStyle w:val="50"/>
        <w:framePr w:w="9639" w:h="624" w:hRule="exact" w:hSpace="181" w:vSpace="181" w:wrap="around" w:hAnchor="page" w:x="1305" w:y="2269"/>
        <w:rPr>
          <w:rFonts w:hint="eastAsia" w:ascii="黑体" w:hAnsi="黑体" w:eastAsia="黑体"/>
          <w:b w:val="0"/>
          <w:bCs w:val="0"/>
          <w:w w:val="100"/>
          <w:sz w:val="48"/>
          <w:szCs w:val="48"/>
        </w:rPr>
      </w:pPr>
      <w:bookmarkStart w:id="3" w:name="_Hlk26473981"/>
      <w:r>
        <w:rPr>
          <w:rFonts w:ascii="黑体" w:eastAsia="黑体"/>
          <w:b w:val="0"/>
          <w:w w:val="100"/>
          <w:sz w:val="48"/>
        </w:rPr>
        <w:fldChar w:fldCharType="begin">
          <w:ffData>
            <w:name w:val="c2"/>
            <w:enabled/>
            <w:calcOnExit w:val="0"/>
            <w:textInput>
              <w:default w:val="西安市质量与标准化协会"/>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西安市质量与标准化协会</w:t>
      </w:r>
      <w:r>
        <w:rPr>
          <w:rFonts w:ascii="黑体" w:eastAsia="黑体"/>
          <w:b w:val="0"/>
          <w:w w:val="100"/>
          <w:sz w:val="48"/>
        </w:rPr>
        <w:fldChar w:fldCharType="end"/>
      </w:r>
      <w:bookmarkEnd w:id="4"/>
      <w:r>
        <w:rPr>
          <w:rFonts w:hint="eastAsia" w:ascii="黑体" w:eastAsia="黑体"/>
          <w:b w:val="0"/>
          <w:w w:val="100"/>
          <w:sz w:val="48"/>
        </w:rPr>
        <w:t>团体</w:t>
      </w:r>
      <w:r>
        <w:rPr>
          <w:rFonts w:hint="eastAsia" w:ascii="黑体" w:hAnsi="黑体" w:eastAsia="黑体"/>
          <w:b w:val="0"/>
          <w:bCs w:val="0"/>
          <w:w w:val="100"/>
          <w:sz w:val="48"/>
          <w:szCs w:val="48"/>
        </w:rPr>
        <w:t>标准</w:t>
      </w:r>
    </w:p>
    <w:bookmarkEnd w:id="3"/>
    <w:p w14:paraId="77C1F0ED">
      <w:pPr>
        <w:pStyle w:val="195"/>
        <w:framePr/>
      </w:pPr>
      <w:r>
        <w:t>T/</w:t>
      </w:r>
      <w:r>
        <w:fldChar w:fldCharType="begin">
          <w:ffData>
            <w:name w:val="文字1"/>
            <w:enabled/>
            <w:calcOnExit w:val="0"/>
            <w:textInput>
              <w:default w:val="XZBX"/>
            </w:textInput>
          </w:ffData>
        </w:fldChar>
      </w:r>
      <w:bookmarkStart w:id="5" w:name="文字1"/>
      <w:r>
        <w:instrText xml:space="preserve"> FORMTEXT </w:instrText>
      </w:r>
      <w:r>
        <w:fldChar w:fldCharType="separate"/>
      </w:r>
      <w:r>
        <w:t>XZBX</w:t>
      </w:r>
      <w:r>
        <w:fldChar w:fldCharType="end"/>
      </w:r>
      <w:bookmarkEnd w:id="5"/>
      <w:r>
        <w:t xml:space="preserve"> </w:t>
      </w:r>
      <w:r>
        <w:fldChar w:fldCharType="begin">
          <w:ffData>
            <w:name w:val="NSTD_CODE_F"/>
            <w:enabled/>
            <w:calcOnExit w:val="0"/>
            <w:textInput>
              <w:default w:val="0261"/>
            </w:textInput>
          </w:ffData>
        </w:fldChar>
      </w:r>
      <w:bookmarkStart w:id="6" w:name="NSTD_CODE_F"/>
      <w:r>
        <w:instrText xml:space="preserve"> FORMTEXT </w:instrText>
      </w:r>
      <w:r>
        <w:fldChar w:fldCharType="separate"/>
      </w:r>
      <w:r>
        <w:t>0261</w:t>
      </w:r>
      <w:r>
        <w:fldChar w:fldCharType="end"/>
      </w:r>
      <w:bookmarkEnd w:id="6"/>
      <w:r>
        <w:rPr>
          <w:rFonts w:hAnsi="黑体"/>
        </w:rPr>
        <w:t>—</w:t>
      </w:r>
      <w:r>
        <w:fldChar w:fldCharType="begin">
          <w:ffData>
            <w:name w:val="NSTD_CODE_B"/>
            <w:enabled/>
            <w:calcOnExit w:val="0"/>
            <w:textInput>
              <w:default w:val="2026"/>
            </w:textInput>
          </w:ffData>
        </w:fldChar>
      </w:r>
      <w:bookmarkStart w:id="7" w:name="NSTD_CODE_B"/>
      <w:r>
        <w:instrText xml:space="preserve"> FORMTEXT </w:instrText>
      </w:r>
      <w:r>
        <w:fldChar w:fldCharType="separate"/>
      </w:r>
      <w:r>
        <w:t>2026</w:t>
      </w:r>
      <w:r>
        <w:fldChar w:fldCharType="end"/>
      </w:r>
      <w:bookmarkEnd w:id="7"/>
    </w:p>
    <w:p w14:paraId="6644B319">
      <w:pPr>
        <w:pStyle w:val="196"/>
        <w:framePr/>
        <w:rPr>
          <w:rFonts w:hint="eastAsia"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14:paraId="7497C1C9">
      <w:pPr>
        <w:spacing w:line="240" w:lineRule="auto"/>
        <w:rPr>
          <w:rFonts w:hint="eastAsia"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直接连接符 3"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8xQH&#10;AOUBAACrAwAADgAAAAAAAAABACAAAAAnAQAAZHJzL2Uyb0RvYy54bWxQSwUGAAAAAAYABgBZAQAA&#10;fgUAAAAA&#10;">
                <v:fill on="f" focussize="0,0"/>
                <v:stroke color="#000000" joinstyle="round"/>
                <v:imagedata o:title=""/>
                <o:lock v:ext="edit" aspectratio="f"/>
              </v:line>
            </w:pict>
          </mc:Fallback>
        </mc:AlternateContent>
      </w:r>
    </w:p>
    <w:p w14:paraId="7CF237F3">
      <w:pPr>
        <w:pStyle w:val="50"/>
        <w:framePr w:w="9639" w:h="6976" w:hRule="exact" w:hSpace="0" w:vSpace="0" w:wrap="around" w:hAnchor="page" w:y="6408"/>
        <w:jc w:val="center"/>
        <w:rPr>
          <w:rFonts w:hint="eastAsia" w:ascii="黑体" w:hAnsi="黑体" w:eastAsia="黑体"/>
          <w:b w:val="0"/>
          <w:bCs w:val="0"/>
          <w:w w:val="100"/>
        </w:rPr>
      </w:pPr>
    </w:p>
    <w:p w14:paraId="6BF7C52F">
      <w:pPr>
        <w:pStyle w:val="197"/>
        <w:framePr w:h="6974" w:hRule="exact" w:wrap="around" w:x="1419" w:anchorLock="1"/>
        <w:rPr>
          <w:rFonts w:hint="eastAsia"/>
        </w:rPr>
      </w:pPr>
      <w:r>
        <w:rPr>
          <w:rFonts w:hint="eastAsia"/>
        </w:rPr>
        <w:fldChar w:fldCharType="begin">
          <w:ffData>
            <w:name w:val="CSTD_NAME"/>
            <w:enabled/>
            <w:calcOnExit w:val="0"/>
            <w:textInput>
              <w:default w:val="中小企业人工智能数据分析系统建设与运维规范"/>
            </w:textInput>
          </w:ffData>
        </w:fldChar>
      </w:r>
      <w:bookmarkStart w:id="9" w:name="CSTD_NAME"/>
      <w:r>
        <w:rPr>
          <w:rFonts w:hint="eastAsia"/>
        </w:rPr>
        <w:instrText xml:space="preserve"> FORMTEXT </w:instrText>
      </w:r>
      <w:r>
        <w:rPr>
          <w:rFonts w:hint="eastAsia"/>
        </w:rPr>
        <w:fldChar w:fldCharType="separate"/>
      </w:r>
      <w:r>
        <w:rPr>
          <w:rFonts w:hint="eastAsia"/>
        </w:rPr>
        <w:t>中小企业人工智能数据分析系统建设</w:t>
      </w:r>
    </w:p>
    <w:p w14:paraId="73594FE6">
      <w:pPr>
        <w:pStyle w:val="197"/>
        <w:framePr w:h="6974" w:hRule="exact" w:wrap="around" w:x="1419" w:anchorLock="1"/>
        <w:rPr>
          <w:rFonts w:hint="eastAsia"/>
        </w:rPr>
      </w:pPr>
      <w:r>
        <w:rPr>
          <w:rFonts w:hint="eastAsia"/>
        </w:rPr>
        <w:t>与运维规范</w:t>
      </w:r>
      <w:r>
        <w:rPr>
          <w:rFonts w:hint="eastAsia"/>
        </w:rPr>
        <w:fldChar w:fldCharType="end"/>
      </w:r>
      <w:bookmarkEnd w:id="9"/>
    </w:p>
    <w:p w14:paraId="445B16AD">
      <w:pPr>
        <w:framePr w:w="9639" w:h="6974" w:hRule="exact" w:wrap="around" w:vAnchor="page" w:hAnchor="page" w:x="1419" w:y="6408" w:anchorLock="1"/>
        <w:ind w:left="-1418"/>
      </w:pPr>
    </w:p>
    <w:p w14:paraId="7581C8E1">
      <w:pPr>
        <w:pStyle w:val="125"/>
        <w:framePr w:w="9639" w:h="6974" w:hRule="exact" w:wrap="around" w:vAnchor="page" w:hAnchor="page" w:x="1419" w:y="6408" w:anchorLock="1"/>
        <w:textAlignment w:val="bottom"/>
        <w:rPr>
          <w:rFonts w:hint="eastAsia" w:ascii="黑体" w:hAnsi="黑体" w:eastAsia="黑体"/>
          <w:szCs w:val="28"/>
        </w:rPr>
      </w:pPr>
      <w:r>
        <w:rPr>
          <w:rFonts w:hint="eastAsia" w:ascii="黑体" w:hAnsi="黑体" w:eastAsia="黑体"/>
          <w:szCs w:val="28"/>
        </w:rPr>
        <w:fldChar w:fldCharType="begin">
          <w:ffData>
            <w:name w:val="ESTD_NAME"/>
            <w:enabled/>
            <w:calcOnExit w:val="0"/>
            <w:textInput>
              <w:default w:val="Specification for construction and operation of artificial intelligence data analysis systems in small and medium-sized enterprises"/>
            </w:textInput>
          </w:ffData>
        </w:fldChar>
      </w:r>
      <w:bookmarkStart w:id="10" w:name="ESTD_NAME"/>
      <w:r>
        <w:rPr>
          <w:rFonts w:hint="eastAsia" w:ascii="黑体" w:hAnsi="黑体" w:eastAsia="黑体"/>
          <w:szCs w:val="28"/>
        </w:rPr>
        <w:instrText xml:space="preserve"> FORMTEXT </w:instrText>
      </w:r>
      <w:r>
        <w:rPr>
          <w:rFonts w:hint="eastAsia" w:ascii="黑体" w:hAnsi="黑体" w:eastAsia="黑体"/>
          <w:szCs w:val="28"/>
        </w:rPr>
        <w:fldChar w:fldCharType="separate"/>
      </w:r>
      <w:r>
        <w:rPr>
          <w:rFonts w:hint="eastAsia" w:ascii="黑体" w:hAnsi="黑体" w:eastAsia="黑体"/>
          <w:szCs w:val="28"/>
        </w:rPr>
        <w:t>Specification for construction and operation of artificial intelligence data analysis systems in small and medium-sized enterprises</w:t>
      </w:r>
      <w:r>
        <w:rPr>
          <w:rFonts w:hint="eastAsia" w:ascii="黑体" w:hAnsi="黑体" w:eastAsia="黑体"/>
          <w:szCs w:val="28"/>
        </w:rPr>
        <w:fldChar w:fldCharType="end"/>
      </w:r>
      <w:bookmarkEnd w:id="10"/>
    </w:p>
    <w:p w14:paraId="0F045E5F">
      <w:pPr>
        <w:framePr w:w="9639" w:h="6974" w:hRule="exact" w:wrap="around" w:vAnchor="page" w:hAnchor="page" w:x="1419" w:y="6408" w:anchorLock="1"/>
        <w:spacing w:line="760" w:lineRule="exact"/>
        <w:ind w:left="-1418"/>
      </w:pPr>
    </w:p>
    <w:p w14:paraId="35A51517">
      <w:pPr>
        <w:pStyle w:val="125"/>
        <w:framePr w:w="9639" w:h="6974" w:hRule="exact" w:wrap="around" w:vAnchor="page" w:hAnchor="page" w:x="1419" w:y="6408" w:anchorLock="1"/>
        <w:textAlignment w:val="bottom"/>
        <w:rPr>
          <w:rFonts w:eastAsia="黑体"/>
          <w:szCs w:val="28"/>
        </w:rPr>
      </w:pPr>
    </w:p>
    <w:p w14:paraId="1926DE23">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14:paraId="0324A2D6">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14:paraId="2F878F1C">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14:paraId="7E89F4D2">
      <w:pPr>
        <w:pStyle w:val="193"/>
        <w:framePr w:wrap="around" w:y="14176"/>
      </w:pPr>
      <w:r>
        <w:rPr>
          <w:rFonts w:ascii="黑体"/>
        </w:rPr>
        <w:fldChar w:fldCharType="begin">
          <w:ffData>
            <w:name w:val="PLSH_DATE_Y"/>
            <w:enabled/>
            <w:calcOnExit w:val="0"/>
            <w:textInput>
              <w:default w:val="2026"/>
              <w:maxLength w:val="4"/>
            </w:textInput>
          </w:ffData>
        </w:fldChar>
      </w:r>
      <w:bookmarkStart w:id="14" w:name="PLSH_DATE_Y"/>
      <w:r>
        <w:rPr>
          <w:rFonts w:ascii="黑体"/>
        </w:rPr>
        <w:instrText xml:space="preserve"> FORMTEXT </w:instrText>
      </w:r>
      <w:r>
        <w:rPr>
          <w:rFonts w:ascii="黑体"/>
        </w:rPr>
        <w:fldChar w:fldCharType="separate"/>
      </w:r>
      <w:r>
        <w:rPr>
          <w:rFonts w:ascii="黑体"/>
        </w:rPr>
        <w:t>2026</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14:paraId="0D82105B">
      <w:pPr>
        <w:pStyle w:val="194"/>
        <w:framePr w:wrap="around" w:y="14176"/>
      </w:pPr>
      <w:r>
        <w:rPr>
          <w:rFonts w:ascii="黑体"/>
        </w:rPr>
        <w:fldChar w:fldCharType="begin">
          <w:ffData>
            <w:name w:val="CROT_DATE_Y"/>
            <w:enabled/>
            <w:calcOnExit w:val="0"/>
            <w:textInput>
              <w:default w:val="2026"/>
              <w:maxLength w:val="4"/>
            </w:textInput>
          </w:ffData>
        </w:fldChar>
      </w:r>
      <w:bookmarkStart w:id="17" w:name="CROT_DATE_Y"/>
      <w:r>
        <w:rPr>
          <w:rFonts w:ascii="黑体"/>
        </w:rPr>
        <w:instrText xml:space="preserve"> FORMTEXT </w:instrText>
      </w:r>
      <w:r>
        <w:rPr>
          <w:rFonts w:ascii="黑体"/>
        </w:rPr>
        <w:fldChar w:fldCharType="separate"/>
      </w:r>
      <w:r>
        <w:rPr>
          <w:rFonts w:ascii="黑体"/>
        </w:rPr>
        <w:t>2026</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14:paraId="51BA3478">
      <w:pPr>
        <w:pStyle w:val="151"/>
        <w:framePr w:h="584" w:hRule="exact" w:hSpace="181" w:vSpace="181" w:wrap="around" w:y="14800"/>
        <w:rPr>
          <w:rFonts w:hint="eastAsia" w:hAnsi="黑体"/>
        </w:rPr>
      </w:pPr>
      <w:r>
        <w:rPr>
          <w:rFonts w:hint="eastAsia" w:hAnsi="黑体"/>
          <w:w w:val="100"/>
          <w:sz w:val="28"/>
        </w:rPr>
        <w:fldChar w:fldCharType="begin">
          <w:ffData>
            <w:name w:val="fm"/>
            <w:enabled/>
            <w:calcOnExit w:val="0"/>
            <w:textInput>
              <w:default w:val="西安市质量与标准化协会"/>
            </w:textInput>
          </w:ffData>
        </w:fldChar>
      </w:r>
      <w:bookmarkStart w:id="20" w:name="fm"/>
      <w:r>
        <w:rPr>
          <w:rFonts w:hint="eastAsia" w:hAnsi="黑体"/>
          <w:w w:val="100"/>
          <w:sz w:val="28"/>
        </w:rPr>
        <w:instrText xml:space="preserve"> FORMTEXT </w:instrText>
      </w:r>
      <w:r>
        <w:rPr>
          <w:rFonts w:hint="eastAsia" w:hAnsi="黑体"/>
          <w:w w:val="100"/>
          <w:sz w:val="28"/>
        </w:rPr>
        <w:fldChar w:fldCharType="separate"/>
      </w:r>
      <w:r>
        <w:rPr>
          <w:rFonts w:hint="eastAsia" w:hAnsi="黑体"/>
          <w:w w:val="100"/>
          <w:sz w:val="28"/>
        </w:rPr>
        <w:t>西安市质量与标准化协会</w:t>
      </w:r>
      <w:r>
        <w:rPr>
          <w:rFonts w:hint="eastAsia" w:hAnsi="黑体"/>
          <w:w w:val="100"/>
          <w:sz w:val="28"/>
        </w:rPr>
        <w:fldChar w:fldCharType="end"/>
      </w:r>
      <w:bookmarkEnd w:id="20"/>
      <w:r>
        <w:rPr>
          <w:rFonts w:ascii="Times New Roman"/>
          <w:w w:val="100"/>
          <w:sz w:val="28"/>
        </w:rPr>
        <w:t>  </w:t>
      </w:r>
      <w:r>
        <w:rPr>
          <w:rStyle w:val="229"/>
          <w:rFonts w:hint="eastAsia" w:hAnsi="黑体"/>
          <w:position w:val="0"/>
        </w:rPr>
        <w:t>发</w:t>
      </w:r>
      <w:r>
        <w:rPr>
          <w:rStyle w:val="229"/>
          <w:rFonts w:hint="eastAsia" w:hAnsi="黑体"/>
          <w:spacing w:val="0"/>
          <w:position w:val="0"/>
        </w:rPr>
        <w:t>布</w:t>
      </w:r>
    </w:p>
    <w:p w14:paraId="6F7BCF62">
      <w:pPr>
        <w:rPr>
          <w:rFonts w:hint="eastAsia" w:ascii="宋体" w:hAnsi="宋体"/>
          <w:sz w:val="28"/>
          <w:szCs w:val="28"/>
        </w:rPr>
        <w:sectPr>
          <w:headerReference r:id="rId6" w:type="first"/>
          <w:footerReference r:id="rId8" w:type="first"/>
          <w:headerReference r:id="rId5" w:type="default"/>
          <w:footerReference r:id="rId7" w:type="even"/>
          <w:type w:val="continuous"/>
          <w:pgSz w:w="11906" w:h="16838"/>
          <w:pgMar w:top="567" w:right="1134" w:bottom="1134" w:left="1134" w:header="1418" w:footer="1134"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4"/>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直接连接符 4"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s202S+MB&#10;AACqAwAADgAAAAAAAAABACAAAAAmAQAAZHJzL2Uyb0RvYy54bWxQSwUGAAAAAAYABgBZAQAAewUA&#10;AAAA&#10;">
                <v:fill on="f" focussize="0,0"/>
                <v:stroke color="#000000" joinstyle="round"/>
                <v:imagedata o:title=""/>
                <o:lock v:ext="edit" aspectratio="f"/>
                <w10:anchorlock/>
              </v:line>
            </w:pict>
          </mc:Fallback>
        </mc:AlternateContent>
      </w:r>
    </w:p>
    <w:p w14:paraId="362D7825">
      <w:pPr>
        <w:pStyle w:val="91"/>
        <w:spacing w:after="360"/>
      </w:pPr>
      <w:bookmarkStart w:id="21" w:name="BookMark1"/>
      <w:r>
        <w:rPr>
          <w:rFonts w:hint="eastAsia"/>
          <w:spacing w:val="320"/>
        </w:rPr>
        <w:t>目</w:t>
      </w:r>
      <w:r>
        <w:rPr>
          <w:rFonts w:hint="eastAsia"/>
        </w:rPr>
        <w:t>次</w:t>
      </w:r>
    </w:p>
    <w:p w14:paraId="506E3A84">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TOC \o "1-1" \h </w:instrText>
      </w:r>
      <w:r>
        <w:fldChar w:fldCharType="separate"/>
      </w:r>
      <w:r>
        <w:fldChar w:fldCharType="begin"/>
      </w:r>
      <w:r>
        <w:instrText xml:space="preserve"> HYPERLINK \l "_Toc228604494" </w:instrText>
      </w:r>
      <w:r>
        <w:fldChar w:fldCharType="separate"/>
      </w:r>
      <w:r>
        <w:rPr>
          <w:rStyle w:val="32"/>
        </w:rPr>
        <w:t>前言</w:t>
      </w:r>
      <w:r>
        <w:rPr>
          <w:rFonts w:hint="eastAsia"/>
        </w:rPr>
        <w:tab/>
      </w:r>
      <w:r>
        <w:rPr>
          <w:rFonts w:hint="eastAsia"/>
        </w:rPr>
        <w:fldChar w:fldCharType="begin"/>
      </w:r>
      <w:r>
        <w:rPr>
          <w:rFonts w:hint="eastAsia"/>
        </w:rPr>
        <w:instrText xml:space="preserve"> </w:instrText>
      </w:r>
      <w:r>
        <w:instrText xml:space="preserve">PAGEREF _Toc228604494 \h</w:instrText>
      </w:r>
      <w:r>
        <w:rPr>
          <w:rFonts w:hint="eastAsia"/>
        </w:rPr>
        <w:instrText xml:space="preserve"> </w:instrText>
      </w:r>
      <w:r>
        <w:rPr>
          <w:rFonts w:hint="eastAsia"/>
        </w:rPr>
        <w:fldChar w:fldCharType="separate"/>
      </w:r>
      <w:r>
        <w:t>III</w:t>
      </w:r>
      <w:r>
        <w:rPr>
          <w:rFonts w:hint="eastAsia"/>
        </w:rPr>
        <w:fldChar w:fldCharType="end"/>
      </w:r>
      <w:r>
        <w:rPr>
          <w:rFonts w:hint="eastAsia"/>
        </w:rPr>
        <w:fldChar w:fldCharType="end"/>
      </w:r>
    </w:p>
    <w:p w14:paraId="2FC7BD02">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"_Toc228604495" </w:instrText>
      </w:r>
      <w:r>
        <w:fldChar w:fldCharType="separate"/>
      </w:r>
      <w:r>
        <w:rPr>
          <w:rStyle w:val="32"/>
        </w:rPr>
        <w:t>引言</w:t>
      </w:r>
      <w:r>
        <w:rPr>
          <w:rFonts w:hint="eastAsia"/>
        </w:rPr>
        <w:tab/>
      </w:r>
      <w:r>
        <w:rPr>
          <w:rFonts w:hint="eastAsia"/>
        </w:rPr>
        <w:fldChar w:fldCharType="begin"/>
      </w:r>
      <w:r>
        <w:rPr>
          <w:rFonts w:hint="eastAsia"/>
        </w:rPr>
        <w:instrText xml:space="preserve"> </w:instrText>
      </w:r>
      <w:r>
        <w:instrText xml:space="preserve">PAGEREF _Toc228604495 \h</w:instrText>
      </w:r>
      <w:r>
        <w:rPr>
          <w:rFonts w:hint="eastAsia"/>
        </w:rPr>
        <w:instrText xml:space="preserve"> </w:instrText>
      </w:r>
      <w:r>
        <w:rPr>
          <w:rFonts w:hint="eastAsia"/>
        </w:rPr>
        <w:fldChar w:fldCharType="separate"/>
      </w:r>
      <w:r>
        <w:t>V</w:t>
      </w:r>
      <w:r>
        <w:rPr>
          <w:rFonts w:hint="eastAsia"/>
        </w:rPr>
        <w:fldChar w:fldCharType="end"/>
      </w:r>
      <w:r>
        <w:rPr>
          <w:rFonts w:hint="eastAsia"/>
        </w:rPr>
        <w:fldChar w:fldCharType="end"/>
      </w:r>
    </w:p>
    <w:p w14:paraId="1CAAD483">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"_Toc228604496" </w:instrText>
      </w:r>
      <w:r>
        <w:fldChar w:fldCharType="separate"/>
      </w:r>
      <w:r>
        <w:rPr>
          <w:rStyle w:val="32"/>
        </w:rPr>
        <w:t>1  范围</w:t>
      </w:r>
      <w:r>
        <w:rPr>
          <w:rFonts w:hint="eastAsia"/>
        </w:rPr>
        <w:tab/>
      </w:r>
      <w:r>
        <w:rPr>
          <w:rFonts w:hint="eastAsia"/>
        </w:rPr>
        <w:fldChar w:fldCharType="begin"/>
      </w:r>
      <w:r>
        <w:rPr>
          <w:rFonts w:hint="eastAsia"/>
        </w:rPr>
        <w:instrText xml:space="preserve"> </w:instrText>
      </w:r>
      <w:r>
        <w:instrText xml:space="preserve">PAGEREF _Toc228604496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60A776CF">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"_Toc228604497" </w:instrText>
      </w:r>
      <w:r>
        <w:fldChar w:fldCharType="separate"/>
      </w:r>
      <w:r>
        <w:rPr>
          <w:rStyle w:val="32"/>
        </w:rPr>
        <w:t>2  规范性引用文件</w:t>
      </w:r>
      <w:r>
        <w:rPr>
          <w:rFonts w:hint="eastAsia"/>
        </w:rPr>
        <w:tab/>
      </w:r>
      <w:r>
        <w:rPr>
          <w:rFonts w:hint="eastAsia"/>
        </w:rPr>
        <w:fldChar w:fldCharType="begin"/>
      </w:r>
      <w:r>
        <w:rPr>
          <w:rFonts w:hint="eastAsia"/>
        </w:rPr>
        <w:instrText xml:space="preserve"> </w:instrText>
      </w:r>
      <w:r>
        <w:instrText xml:space="preserve">PAGEREF _Toc228604497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1385DF82">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"_Toc228604498" </w:instrText>
      </w:r>
      <w:r>
        <w:fldChar w:fldCharType="separate"/>
      </w:r>
      <w:r>
        <w:rPr>
          <w:rStyle w:val="32"/>
        </w:rPr>
        <w:t>3  术语和定义</w:t>
      </w:r>
      <w:r>
        <w:rPr>
          <w:rFonts w:hint="eastAsia"/>
        </w:rPr>
        <w:tab/>
      </w:r>
      <w:r>
        <w:rPr>
          <w:rFonts w:hint="eastAsia"/>
        </w:rPr>
        <w:fldChar w:fldCharType="begin"/>
      </w:r>
      <w:r>
        <w:rPr>
          <w:rFonts w:hint="eastAsia"/>
        </w:rPr>
        <w:instrText xml:space="preserve"> </w:instrText>
      </w:r>
      <w:r>
        <w:instrText xml:space="preserve">PAGEREF _Toc228604498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11DC3ED1">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"_Toc228604499" </w:instrText>
      </w:r>
      <w:r>
        <w:fldChar w:fldCharType="separate"/>
      </w:r>
      <w:r>
        <w:rPr>
          <w:rStyle w:val="32"/>
        </w:rPr>
        <w:t>4  基本规定</w:t>
      </w:r>
      <w:r>
        <w:rPr>
          <w:rFonts w:hint="eastAsia"/>
        </w:rPr>
        <w:tab/>
      </w:r>
      <w:r>
        <w:rPr>
          <w:rFonts w:hint="eastAsia"/>
        </w:rPr>
        <w:fldChar w:fldCharType="begin"/>
      </w:r>
      <w:r>
        <w:rPr>
          <w:rFonts w:hint="eastAsia"/>
        </w:rPr>
        <w:instrText xml:space="preserve"> </w:instrText>
      </w:r>
      <w:r>
        <w:instrText xml:space="preserve">PAGEREF _Toc228604499 \h</w:instrText>
      </w:r>
      <w:r>
        <w:rPr>
          <w:rFonts w:hint="eastAsia"/>
        </w:rPr>
        <w:instrText xml:space="preserve"> </w:instrText>
      </w:r>
      <w:r>
        <w:rPr>
          <w:rFonts w:hint="eastAsia"/>
        </w:rPr>
        <w:fldChar w:fldCharType="separate"/>
      </w:r>
      <w:r>
        <w:t>2</w:t>
      </w:r>
      <w:r>
        <w:rPr>
          <w:rFonts w:hint="eastAsia"/>
        </w:rPr>
        <w:fldChar w:fldCharType="end"/>
      </w:r>
      <w:r>
        <w:rPr>
          <w:rFonts w:hint="eastAsia"/>
        </w:rPr>
        <w:fldChar w:fldCharType="end"/>
      </w:r>
    </w:p>
    <w:p w14:paraId="4962A16E">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"_Toc228604500" </w:instrText>
      </w:r>
      <w:r>
        <w:fldChar w:fldCharType="separate"/>
      </w:r>
      <w:r>
        <w:rPr>
          <w:rStyle w:val="32"/>
        </w:rPr>
        <w:t>5  建设准备与需求分析要求</w:t>
      </w:r>
      <w:r>
        <w:rPr>
          <w:rFonts w:hint="eastAsia"/>
        </w:rPr>
        <w:tab/>
      </w:r>
      <w:r>
        <w:rPr>
          <w:rFonts w:hint="eastAsia"/>
        </w:rPr>
        <w:fldChar w:fldCharType="begin"/>
      </w:r>
      <w:r>
        <w:rPr>
          <w:rFonts w:hint="eastAsia"/>
        </w:rPr>
        <w:instrText xml:space="preserve"> </w:instrText>
      </w:r>
      <w:r>
        <w:instrText xml:space="preserve">PAGEREF _Toc228604500 \h</w:instrText>
      </w:r>
      <w:r>
        <w:rPr>
          <w:rFonts w:hint="eastAsia"/>
        </w:rPr>
        <w:instrText xml:space="preserve"> </w:instrText>
      </w:r>
      <w:r>
        <w:rPr>
          <w:rFonts w:hint="eastAsia"/>
        </w:rPr>
        <w:fldChar w:fldCharType="separate"/>
      </w:r>
      <w:r>
        <w:t>6</w:t>
      </w:r>
      <w:r>
        <w:rPr>
          <w:rFonts w:hint="eastAsia"/>
        </w:rPr>
        <w:fldChar w:fldCharType="end"/>
      </w:r>
      <w:r>
        <w:rPr>
          <w:rFonts w:hint="eastAsia"/>
        </w:rPr>
        <w:fldChar w:fldCharType="end"/>
      </w:r>
    </w:p>
    <w:p w14:paraId="67D7DA11">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"_Toc228604501" </w:instrText>
      </w:r>
      <w:r>
        <w:fldChar w:fldCharType="separate"/>
      </w:r>
      <w:r>
        <w:rPr>
          <w:rStyle w:val="32"/>
        </w:rPr>
        <w:t>6  系统设计与部署要求</w:t>
      </w:r>
      <w:r>
        <w:rPr>
          <w:rFonts w:hint="eastAsia"/>
        </w:rPr>
        <w:tab/>
      </w:r>
      <w:r>
        <w:rPr>
          <w:rFonts w:hint="eastAsia"/>
        </w:rPr>
        <w:fldChar w:fldCharType="begin"/>
      </w:r>
      <w:r>
        <w:rPr>
          <w:rFonts w:hint="eastAsia"/>
        </w:rPr>
        <w:instrText xml:space="preserve"> </w:instrText>
      </w:r>
      <w:r>
        <w:instrText xml:space="preserve">PAGEREF _Toc228604501 \h</w:instrText>
      </w:r>
      <w:r>
        <w:rPr>
          <w:rFonts w:hint="eastAsia"/>
        </w:rPr>
        <w:instrText xml:space="preserve"> </w:instrText>
      </w:r>
      <w:r>
        <w:rPr>
          <w:rFonts w:hint="eastAsia"/>
        </w:rPr>
        <w:fldChar w:fldCharType="separate"/>
      </w:r>
      <w:r>
        <w:t>12</w:t>
      </w:r>
      <w:r>
        <w:rPr>
          <w:rFonts w:hint="eastAsia"/>
        </w:rPr>
        <w:fldChar w:fldCharType="end"/>
      </w:r>
      <w:r>
        <w:rPr>
          <w:rFonts w:hint="eastAsia"/>
        </w:rPr>
        <w:fldChar w:fldCharType="end"/>
      </w:r>
    </w:p>
    <w:p w14:paraId="5ED5A799">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"_Toc228604502" </w:instrText>
      </w:r>
      <w:r>
        <w:fldChar w:fldCharType="separate"/>
      </w:r>
      <w:r>
        <w:rPr>
          <w:rStyle w:val="32"/>
        </w:rPr>
        <w:t>7  数据管理与模型管理要求</w:t>
      </w:r>
      <w:r>
        <w:rPr>
          <w:rFonts w:hint="eastAsia"/>
        </w:rPr>
        <w:tab/>
      </w:r>
      <w:r>
        <w:rPr>
          <w:rFonts w:hint="eastAsia"/>
        </w:rPr>
        <w:fldChar w:fldCharType="begin"/>
      </w:r>
      <w:r>
        <w:rPr>
          <w:rFonts w:hint="eastAsia"/>
        </w:rPr>
        <w:instrText xml:space="preserve"> </w:instrText>
      </w:r>
      <w:r>
        <w:instrText xml:space="preserve">PAGEREF _Toc228604502 \h</w:instrText>
      </w:r>
      <w:r>
        <w:rPr>
          <w:rFonts w:hint="eastAsia"/>
        </w:rPr>
        <w:instrText xml:space="preserve"> </w:instrText>
      </w:r>
      <w:r>
        <w:rPr>
          <w:rFonts w:hint="eastAsia"/>
        </w:rPr>
        <w:fldChar w:fldCharType="separate"/>
      </w:r>
      <w:r>
        <w:t>18</w:t>
      </w:r>
      <w:r>
        <w:rPr>
          <w:rFonts w:hint="eastAsia"/>
        </w:rPr>
        <w:fldChar w:fldCharType="end"/>
      </w:r>
      <w:r>
        <w:rPr>
          <w:rFonts w:hint="eastAsia"/>
        </w:rPr>
        <w:fldChar w:fldCharType="end"/>
      </w:r>
    </w:p>
    <w:p w14:paraId="458B883A">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"_Toc228604503" </w:instrText>
      </w:r>
      <w:r>
        <w:fldChar w:fldCharType="separate"/>
      </w:r>
      <w:r>
        <w:rPr>
          <w:rStyle w:val="32"/>
        </w:rPr>
        <w:t>8  运行维护与故障处置要求</w:t>
      </w:r>
      <w:r>
        <w:rPr>
          <w:rFonts w:hint="eastAsia"/>
        </w:rPr>
        <w:tab/>
      </w:r>
      <w:r>
        <w:rPr>
          <w:rFonts w:hint="eastAsia"/>
        </w:rPr>
        <w:fldChar w:fldCharType="begin"/>
      </w:r>
      <w:r>
        <w:rPr>
          <w:rFonts w:hint="eastAsia"/>
        </w:rPr>
        <w:instrText xml:space="preserve"> </w:instrText>
      </w:r>
      <w:r>
        <w:instrText xml:space="preserve">PAGEREF _Toc228604503 \h</w:instrText>
      </w:r>
      <w:r>
        <w:rPr>
          <w:rFonts w:hint="eastAsia"/>
        </w:rPr>
        <w:instrText xml:space="preserve"> </w:instrText>
      </w:r>
      <w:r>
        <w:rPr>
          <w:rFonts w:hint="eastAsia"/>
        </w:rPr>
        <w:fldChar w:fldCharType="separate"/>
      </w:r>
      <w:r>
        <w:t>24</w:t>
      </w:r>
      <w:r>
        <w:rPr>
          <w:rFonts w:hint="eastAsia"/>
        </w:rPr>
        <w:fldChar w:fldCharType="end"/>
      </w:r>
      <w:r>
        <w:rPr>
          <w:rFonts w:hint="eastAsia"/>
        </w:rPr>
        <w:fldChar w:fldCharType="end"/>
      </w:r>
    </w:p>
    <w:p w14:paraId="14F5E546">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"_Toc228604504" </w:instrText>
      </w:r>
      <w:r>
        <w:fldChar w:fldCharType="separate"/>
      </w:r>
      <w:r>
        <w:rPr>
          <w:rStyle w:val="32"/>
        </w:rPr>
        <w:t>9  安全、变更与资料管理</w:t>
      </w:r>
      <w:r>
        <w:rPr>
          <w:rFonts w:hint="eastAsia"/>
        </w:rPr>
        <w:tab/>
      </w:r>
      <w:r>
        <w:rPr>
          <w:rFonts w:hint="eastAsia"/>
        </w:rPr>
        <w:fldChar w:fldCharType="begin"/>
      </w:r>
      <w:r>
        <w:rPr>
          <w:rFonts w:hint="eastAsia"/>
        </w:rPr>
        <w:instrText xml:space="preserve"> </w:instrText>
      </w:r>
      <w:r>
        <w:instrText xml:space="preserve">PAGEREF _Toc228604504 \h</w:instrText>
      </w:r>
      <w:r>
        <w:rPr>
          <w:rFonts w:hint="eastAsia"/>
        </w:rPr>
        <w:instrText xml:space="preserve"> </w:instrText>
      </w:r>
      <w:r>
        <w:rPr>
          <w:rFonts w:hint="eastAsia"/>
        </w:rPr>
        <w:fldChar w:fldCharType="separate"/>
      </w:r>
      <w:r>
        <w:t>29</w:t>
      </w:r>
      <w:r>
        <w:rPr>
          <w:rFonts w:hint="eastAsia"/>
        </w:rPr>
        <w:fldChar w:fldCharType="end"/>
      </w:r>
      <w:r>
        <w:rPr>
          <w:rFonts w:hint="eastAsia"/>
        </w:rPr>
        <w:fldChar w:fldCharType="end"/>
      </w:r>
    </w:p>
    <w:p w14:paraId="07F816C9">
      <w:pPr>
        <w:pStyle w:val="91"/>
        <w:spacing w:after="360"/>
        <w:sectPr>
          <w:headerReference r:id="rId9" w:type="default"/>
          <w:footerReference r:id="rId11" w:type="default"/>
          <w:headerReference r:id="rId10" w:type="even"/>
          <w:footerReference r:id="rId12" w:type="even"/>
          <w:pgSz w:w="11906" w:h="16838"/>
          <w:pgMar w:top="1928" w:right="1134" w:bottom="1134" w:left="1134" w:header="1418" w:footer="1134" w:gutter="284"/>
          <w:pgNumType w:fmt="upperRoman" w:start="1"/>
          <w:cols w:space="425" w:num="1"/>
          <w:formProt w:val="0"/>
          <w:docGrid w:linePitch="312" w:charSpace="0"/>
        </w:sectPr>
      </w:pPr>
      <w:r>
        <w:fldChar w:fldCharType="end"/>
      </w:r>
    </w:p>
    <w:bookmarkEnd w:id="21"/>
    <w:p w14:paraId="7500498C">
      <w:pPr>
        <w:pStyle w:val="89"/>
        <w:spacing w:before="900" w:after="360"/>
      </w:pPr>
      <w:bookmarkStart w:id="22" w:name="_Toc228604494"/>
      <w:bookmarkStart w:id="23" w:name="BookMark2"/>
      <w:r>
        <w:rPr>
          <w:spacing w:val="320"/>
        </w:rPr>
        <w:t>前</w:t>
      </w:r>
      <w:r>
        <w:t>言</w:t>
      </w:r>
      <w:bookmarkEnd w:id="22"/>
    </w:p>
    <w:p w14:paraId="252D74D2">
      <w:pPr>
        <w:pStyle w:val="56"/>
        <w:spacing w:line="360" w:lineRule="auto"/>
        <w:ind w:firstLine="420"/>
      </w:pPr>
      <w:r>
        <w:rPr>
          <w:rFonts w:hint="eastAsia"/>
        </w:rPr>
        <w:t>本文件按照GB/T 1.1—2020《标准化工作导则  第1部分：标准化文件的结构和起草规则》的规定起草。</w:t>
      </w:r>
    </w:p>
    <w:p w14:paraId="0F2E2311">
      <w:pPr>
        <w:pStyle w:val="56"/>
        <w:spacing w:line="360" w:lineRule="auto"/>
        <w:ind w:firstLine="420"/>
      </w:pPr>
      <w:r>
        <w:rPr>
          <w:rFonts w:hint="eastAsia"/>
        </w:rPr>
        <w:t>请注意本文件的某些内容可能涉及专利。本文件的发布机构不承担识别专利的责任。</w:t>
      </w:r>
    </w:p>
    <w:p w14:paraId="56B1EF6F">
      <w:pPr>
        <w:pStyle w:val="56"/>
        <w:spacing w:line="360" w:lineRule="auto"/>
        <w:ind w:firstLine="420"/>
      </w:pPr>
      <w:r>
        <w:rPr>
          <w:rFonts w:hint="eastAsia"/>
        </w:rPr>
        <w:t>本文件由西安市质量与标准化协会提出并归口。</w:t>
      </w:r>
    </w:p>
    <w:p w14:paraId="13021025">
      <w:pPr>
        <w:pStyle w:val="56"/>
        <w:spacing w:line="360" w:lineRule="auto"/>
        <w:ind w:firstLine="420"/>
      </w:pPr>
      <w:r>
        <w:rPr>
          <w:rFonts w:hint="eastAsia"/>
        </w:rPr>
        <w:t>本文件起草单位：</w:t>
      </w:r>
      <w:r>
        <w:t>浙江机电职业技术大学。</w:t>
      </w:r>
    </w:p>
    <w:p w14:paraId="2B4E45EB">
      <w:pPr>
        <w:pStyle w:val="56"/>
        <w:spacing w:line="360" w:lineRule="auto"/>
        <w:ind w:firstLine="420"/>
      </w:pPr>
      <w:r>
        <w:rPr>
          <w:rFonts w:hint="eastAsia"/>
        </w:rPr>
        <w:t>本文件主要起草人：</w:t>
      </w:r>
      <w:r>
        <w:t>杨天玲</w:t>
      </w:r>
      <w:bookmarkStart w:id="58" w:name="_GoBack"/>
      <w:bookmarkEnd w:id="58"/>
      <w:r>
        <w:t>。</w:t>
      </w:r>
    </w:p>
    <w:p w14:paraId="33AAA2B9">
      <w:pPr>
        <w:pStyle w:val="56"/>
        <w:spacing w:line="360" w:lineRule="auto"/>
        <w:ind w:firstLine="420"/>
      </w:pPr>
    </w:p>
    <w:p w14:paraId="784B3C9B">
      <w:pPr>
        <w:pStyle w:val="56"/>
        <w:spacing w:line="360" w:lineRule="auto"/>
        <w:ind w:firstLine="420"/>
        <w:sectPr>
          <w:headerReference r:id="rId13" w:type="default"/>
          <w:footerReference r:id="rId15" w:type="default"/>
          <w:headerReference r:id="rId14" w:type="even"/>
          <w:footerReference r:id="rId16" w:type="even"/>
          <w:pgSz w:w="11906" w:h="16838"/>
          <w:pgMar w:top="1928" w:right="1134" w:bottom="1134" w:left="1134" w:header="1418" w:footer="1134" w:gutter="284"/>
          <w:pgNumType w:fmt="upperRoman" w:start="3"/>
          <w:cols w:space="425" w:num="1"/>
          <w:formProt w:val="0"/>
          <w:docGrid w:linePitch="312" w:charSpace="0"/>
        </w:sectPr>
      </w:pPr>
    </w:p>
    <w:bookmarkEnd w:id="23"/>
    <w:p w14:paraId="66D0A2F3">
      <w:pPr>
        <w:pStyle w:val="89"/>
        <w:spacing w:after="360"/>
      </w:pPr>
      <w:bookmarkStart w:id="24" w:name="_Toc228604495"/>
      <w:bookmarkStart w:id="25" w:name="BookMark3"/>
      <w:r>
        <w:rPr>
          <w:spacing w:val="320"/>
        </w:rPr>
        <w:t>引</w:t>
      </w:r>
      <w:r>
        <w:t>言</w:t>
      </w:r>
      <w:bookmarkEnd w:id="24"/>
    </w:p>
    <w:p w14:paraId="5F7EC57B">
      <w:pPr>
        <w:pStyle w:val="56"/>
        <w:spacing w:line="360" w:lineRule="auto"/>
        <w:ind w:firstLine="420"/>
      </w:pPr>
      <w:r>
        <w:rPr>
          <w:rFonts w:hint="eastAsia"/>
        </w:rPr>
        <w:t>随着数字经济持续发展和企业经营管理精细化需求不断提升，数据已成为中小企业开展经营决策、市场分析、客户管理、供应链优化、成本控制、风险识别和业务创新的重要资源。近年来，人工智能技术与数据分析技术加速融合，自然语言处理、机器学习、知识抽取、智能预测、自动报告生成和可视化分析等能力逐步进入企业应用场景，为中小企业提高数据利用效率、增强经营洞察能力和优化管理方式提供了新的技术路径。相较于大型企业，中小企业在组织规模、资金投入、专业人才、信息化基础和数据治理能力等方面普遍存在差异，其人工智能数据分析系统建设与运维活动更需要强调适用性、经济性、可实施性和持续可维护性。</w:t>
      </w:r>
    </w:p>
    <w:p w14:paraId="28C8889A">
      <w:pPr>
        <w:pStyle w:val="56"/>
        <w:spacing w:line="360" w:lineRule="auto"/>
        <w:ind w:firstLine="420"/>
      </w:pPr>
      <w:r>
        <w:rPr>
          <w:rFonts w:hint="eastAsia"/>
        </w:rPr>
        <w:t>当前，中小企业在建设人工智能数据分析系统过程中，普遍面临基础数据分散、数据质量不稳定、系统选型依据不足、建设目标不清晰、业务需求与技术方案脱节、模型应用场景不明确、接口兼容性不足、运行维护责任不清、系统更新缺乏规范和安全保障措施薄弱等问题。部分企业存在“重建设、轻运维”“重展示、轻应用”“重技术概念、轻业务落地”的现象，导致系统上线后使用率不高、分析结果不稳定、模型输出难以解释、维护成本持续增加，甚至影响企业正常经营管理秩序。特别是在中小企业资源有限、岗位复用程度较高的实际条件下，如缺乏统一、明确、可执行的建设与运维规范，容易出现系统建设重复投入、运维管理碎片化、问题响应不及时和业务价值难以持续体现等情况。</w:t>
      </w:r>
    </w:p>
    <w:p w14:paraId="52DF989E">
      <w:pPr>
        <w:pStyle w:val="56"/>
        <w:spacing w:line="360" w:lineRule="auto"/>
        <w:ind w:firstLine="420"/>
      </w:pPr>
      <w:r>
        <w:rPr>
          <w:rFonts w:hint="eastAsia"/>
        </w:rPr>
        <w:t>中小企业人工智能数据分析系统具有应用目标多样、部署方式灵活、业务耦合度高、数据来源复杂和运行环境差异明显等特点。系统建设不仅包括需求分析、架构设计、数据接入、模型配置、功能开发、测试上线和应用培训，还涉及数据治理、权限管理、运行监测、故障处理、模型更新、效果评估、安全防护和持续优化等多个环节。系统运维也不仅是简单的软件维护和硬件保障，还包括数据稳定性维护、接口连通性维护、算法适配性维护、分析结果质量控制和用户支持管理等内容。因此，有必要围绕中小企业实际应用需求，对人工智能数据分析系统建设与运维活动进行系统规范。</w:t>
      </w:r>
    </w:p>
    <w:p w14:paraId="677185C8">
      <w:pPr>
        <w:pStyle w:val="56"/>
        <w:spacing w:line="360" w:lineRule="auto"/>
        <w:ind w:firstLine="420"/>
      </w:pPr>
      <w:r>
        <w:rPr>
          <w:rFonts w:hint="eastAsia"/>
        </w:rPr>
        <w:t>本文件的制定与实施，有助于推动中小企业人工智能数据分析系统由项目驱动型建设向规范化、常态化和可持续运营转变，有助于提升中小企业数据利用水平、分析决策能力和数字化管理水平，有助于降低系统运行风险和运维成本，为中小企业数字化转型和高质量发展提供支撑。</w:t>
      </w:r>
    </w:p>
    <w:p w14:paraId="41C59179">
      <w:pPr>
        <w:pStyle w:val="56"/>
        <w:ind w:firstLine="420"/>
      </w:pPr>
    </w:p>
    <w:p w14:paraId="3AC90217">
      <w:pPr>
        <w:pStyle w:val="56"/>
        <w:ind w:firstLine="420"/>
        <w:sectPr>
          <w:headerReference r:id="rId17" w:type="default"/>
          <w:footerReference r:id="rId19" w:type="default"/>
          <w:headerReference r:id="rId18" w:type="even"/>
          <w:footerReference r:id="rId20" w:type="even"/>
          <w:pgSz w:w="11906" w:h="16838"/>
          <w:pgMar w:top="1928" w:right="1134" w:bottom="1134" w:left="1134" w:header="1418" w:footer="1134" w:gutter="284"/>
          <w:pgNumType w:fmt="upperRoman" w:start="5"/>
          <w:cols w:space="425" w:num="1"/>
          <w:formProt w:val="0"/>
          <w:docGrid w:linePitch="312" w:charSpace="0"/>
        </w:sectPr>
      </w:pPr>
    </w:p>
    <w:bookmarkEnd w:id="25"/>
    <w:p w14:paraId="7BCFE31A">
      <w:pPr>
        <w:spacing w:line="20" w:lineRule="exact"/>
        <w:jc w:val="center"/>
        <w:rPr>
          <w:rFonts w:hint="eastAsia" w:ascii="黑体" w:hAnsi="黑体" w:eastAsia="黑体"/>
          <w:sz w:val="32"/>
          <w:szCs w:val="32"/>
        </w:rPr>
      </w:pPr>
      <w:bookmarkStart w:id="26" w:name="BookMark4"/>
    </w:p>
    <w:p w14:paraId="71484A10">
      <w:pPr>
        <w:spacing w:line="20" w:lineRule="exact"/>
        <w:jc w:val="center"/>
        <w:rPr>
          <w:rFonts w:hint="eastAsia" w:ascii="黑体" w:hAnsi="黑体" w:eastAsia="黑体"/>
          <w:sz w:val="32"/>
          <w:szCs w:val="32"/>
        </w:rPr>
      </w:pPr>
    </w:p>
    <w:sdt>
      <w:sdtPr>
        <w:tag w:val="NEW_STAND_NAME"/>
        <w:id w:val="595910757"/>
        <w:lock w:val="sdtLocked"/>
        <w:placeholder>
          <w:docPart w:val="012FB321F5A4443D9AFC61825E0F0C38"/>
        </w:placeholder>
      </w:sdtPr>
      <w:sdtContent>
        <w:p w14:paraId="181E8FEA">
          <w:pPr>
            <w:pStyle w:val="177"/>
            <w:spacing w:after="0"/>
            <w:rPr>
              <w:rFonts w:hint="eastAsia"/>
            </w:rPr>
          </w:pPr>
          <w:bookmarkStart w:id="27" w:name="NEW_STAND_NAME"/>
          <w:r>
            <w:rPr>
              <w:rFonts w:hint="eastAsia"/>
            </w:rPr>
            <w:t>中小企业人工智能数据分析系统建设</w:t>
          </w:r>
        </w:p>
        <w:p w14:paraId="7D4E3E1F">
          <w:pPr>
            <w:pStyle w:val="177"/>
            <w:spacing w:before="0" w:after="0"/>
            <w:rPr>
              <w:rFonts w:hint="eastAsia"/>
            </w:rPr>
          </w:pPr>
          <w:r>
            <w:rPr>
              <w:rFonts w:hint="eastAsia"/>
            </w:rPr>
            <w:t>与运维规范</w:t>
          </w:r>
        </w:p>
      </w:sdtContent>
    </w:sdt>
    <w:bookmarkEnd w:id="27"/>
    <w:p w14:paraId="4D39DD4A">
      <w:pPr>
        <w:pStyle w:val="104"/>
        <w:spacing w:before="240" w:after="240"/>
      </w:pPr>
      <w:bookmarkStart w:id="28" w:name="_Toc17233325"/>
      <w:bookmarkStart w:id="29" w:name="_Toc17233333"/>
      <w:bookmarkStart w:id="30" w:name="_Toc24884218"/>
      <w:bookmarkStart w:id="31" w:name="_Toc26986771"/>
      <w:bookmarkStart w:id="32" w:name="_Toc26648465"/>
      <w:bookmarkStart w:id="33" w:name="_Toc24884211"/>
      <w:bookmarkStart w:id="34" w:name="_Toc26718930"/>
      <w:bookmarkStart w:id="35" w:name="_Toc26986530"/>
      <w:bookmarkStart w:id="36" w:name="_Toc97192964"/>
      <w:bookmarkStart w:id="37" w:name="_Toc228604496"/>
      <w:r>
        <w:rPr>
          <w:rFonts w:hint="eastAsia"/>
        </w:rPr>
        <w:t>范围</w:t>
      </w:r>
      <w:bookmarkEnd w:id="28"/>
      <w:bookmarkEnd w:id="29"/>
      <w:bookmarkEnd w:id="30"/>
      <w:bookmarkEnd w:id="31"/>
      <w:bookmarkEnd w:id="32"/>
      <w:bookmarkEnd w:id="33"/>
      <w:bookmarkEnd w:id="34"/>
      <w:bookmarkEnd w:id="35"/>
      <w:bookmarkEnd w:id="36"/>
      <w:bookmarkEnd w:id="37"/>
    </w:p>
    <w:p w14:paraId="3F543165">
      <w:pPr>
        <w:pStyle w:val="56"/>
        <w:spacing w:line="360" w:lineRule="auto"/>
        <w:ind w:firstLine="420"/>
      </w:pPr>
      <w:bookmarkStart w:id="38" w:name="_Toc24884219"/>
      <w:bookmarkStart w:id="39" w:name="_Toc26648466"/>
      <w:bookmarkStart w:id="40" w:name="_Toc17233334"/>
      <w:bookmarkStart w:id="41" w:name="_Toc24884212"/>
      <w:bookmarkStart w:id="42" w:name="_Toc17233326"/>
      <w:r>
        <w:rPr>
          <w:rFonts w:hint="eastAsia"/>
        </w:rPr>
        <w:t>本文件规定了中小企业人工智能数据分析系统建设与运维的基本要求，以及建设准备、需求分析、系统设计、系统部署、数据管理、模型管理、运行维护、变更管理、安全管理、人员保障和资料管理等内容。</w:t>
      </w:r>
    </w:p>
    <w:p w14:paraId="772D640C">
      <w:pPr>
        <w:pStyle w:val="56"/>
        <w:spacing w:line="360" w:lineRule="auto"/>
        <w:ind w:firstLine="420"/>
      </w:pPr>
      <w:r>
        <w:rPr>
          <w:rFonts w:hint="eastAsia"/>
        </w:rPr>
        <w:t>本文件适用于中小企业开展人工智能数据分析系统的新建、改建、扩建、升级和日常运维活动。</w:t>
      </w:r>
    </w:p>
    <w:p w14:paraId="3733B2AD">
      <w:pPr>
        <w:pStyle w:val="104"/>
        <w:spacing w:before="240" w:after="240" w:line="360" w:lineRule="auto"/>
      </w:pPr>
      <w:bookmarkStart w:id="43" w:name="_Toc26718931"/>
      <w:bookmarkStart w:id="44" w:name="_Toc26986531"/>
      <w:bookmarkStart w:id="45" w:name="_Toc97192965"/>
      <w:bookmarkStart w:id="46" w:name="_Toc26986772"/>
      <w:bookmarkStart w:id="47" w:name="_Toc228604497"/>
      <w:r>
        <w:rPr>
          <w:rFonts w:hint="eastAsia"/>
        </w:rPr>
        <w:t>规范性引用文件</w:t>
      </w:r>
      <w:bookmarkEnd w:id="38"/>
      <w:bookmarkEnd w:id="39"/>
      <w:bookmarkEnd w:id="40"/>
      <w:bookmarkEnd w:id="41"/>
      <w:bookmarkEnd w:id="42"/>
      <w:bookmarkEnd w:id="43"/>
      <w:bookmarkEnd w:id="44"/>
      <w:bookmarkEnd w:id="45"/>
      <w:bookmarkEnd w:id="46"/>
      <w:bookmarkEnd w:id="47"/>
    </w:p>
    <w:sdt>
      <w:sdtPr>
        <w:rPr>
          <w:rFonts w:hint="eastAsia"/>
        </w:rPr>
        <w:id w:val="715848253"/>
        <w:placeholder>
          <w:docPart w:val="06591A60496146309C06F8B2E11B4B09"/>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555A6380">
          <w:pPr>
            <w:pStyle w:val="56"/>
            <w:spacing w:line="360" w:lineRule="auto"/>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351BD141">
      <w:pPr>
        <w:pStyle w:val="56"/>
        <w:spacing w:line="360" w:lineRule="auto"/>
        <w:ind w:firstLine="420"/>
      </w:pPr>
      <w:r>
        <w:rPr>
          <w:rFonts w:hint="eastAsia"/>
        </w:rPr>
        <w:t>GB/T 1.1—2020 标准化工作导则  第1部分：标准化文件的结构和起草规则</w:t>
      </w:r>
    </w:p>
    <w:p w14:paraId="77B8E99F">
      <w:pPr>
        <w:pStyle w:val="56"/>
        <w:spacing w:line="360" w:lineRule="auto"/>
        <w:ind w:firstLine="420"/>
      </w:pPr>
      <w:r>
        <w:rPr>
          <w:rFonts w:hint="eastAsia"/>
        </w:rPr>
        <w:t>GB/T 19000—2016 质量管理体系  基础和术语</w:t>
      </w:r>
    </w:p>
    <w:p w14:paraId="472D0F1A">
      <w:pPr>
        <w:pStyle w:val="56"/>
        <w:spacing w:line="360" w:lineRule="auto"/>
        <w:ind w:firstLine="420"/>
      </w:pPr>
      <w:r>
        <w:rPr>
          <w:rFonts w:hint="eastAsia"/>
        </w:rPr>
        <w:t>GB/T 19001—2016 质量管理体系  要求</w:t>
      </w:r>
    </w:p>
    <w:p w14:paraId="07A7F860">
      <w:pPr>
        <w:pStyle w:val="56"/>
        <w:spacing w:line="360" w:lineRule="auto"/>
        <w:ind w:firstLine="420"/>
      </w:pPr>
      <w:r>
        <w:rPr>
          <w:rFonts w:hint="eastAsia"/>
        </w:rPr>
        <w:t>GB/T 22239—2019 信息安全技术  网络安全等级保护基本要求</w:t>
      </w:r>
    </w:p>
    <w:p w14:paraId="51F02A4E">
      <w:pPr>
        <w:pStyle w:val="104"/>
        <w:spacing w:before="240" w:after="240" w:line="360" w:lineRule="auto"/>
      </w:pPr>
      <w:bookmarkStart w:id="48" w:name="_Toc228604498"/>
      <w:bookmarkStart w:id="49" w:name="_Toc97192966"/>
      <w:r>
        <w:rPr>
          <w:rFonts w:hint="eastAsia"/>
          <w:szCs w:val="21"/>
        </w:rPr>
        <w:t>术语和定义</w:t>
      </w:r>
      <w:bookmarkEnd w:id="48"/>
      <w:bookmarkEnd w:id="49"/>
    </w:p>
    <w:sdt>
      <w:sdtPr>
        <w:id w:val="-1909835108"/>
        <w:placeholder>
          <w:docPart w:val="301A11BD743F4400A8B304744630EFE7"/>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448D8599">
          <w:pPr>
            <w:pStyle w:val="56"/>
            <w:spacing w:line="360" w:lineRule="auto"/>
            <w:ind w:firstLine="420"/>
          </w:pPr>
          <w:bookmarkStart w:id="50" w:name="_Toc26986532"/>
          <w:bookmarkEnd w:id="50"/>
          <w:r>
            <w:t>下列术语和定义适用于本文件。</w:t>
          </w:r>
        </w:p>
      </w:sdtContent>
    </w:sdt>
    <w:p w14:paraId="3F3E1B96">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中小企业 small and medium-sized enterprise</w:t>
      </w:r>
    </w:p>
    <w:p w14:paraId="4D23395E">
      <w:pPr>
        <w:pStyle w:val="56"/>
        <w:spacing w:line="360" w:lineRule="auto"/>
        <w:ind w:firstLine="420"/>
      </w:pPr>
      <w:r>
        <w:rPr>
          <w:rFonts w:hint="eastAsia"/>
        </w:rPr>
        <w:t>符合国家有关中小企业划型规定，在人员规模、营业收入、资产总额或者其他经营指标方面处于相应范围内的企业组织。</w:t>
      </w:r>
    </w:p>
    <w:p w14:paraId="6E54F464">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人工智能数据分析系统 artificial intelligence data analytics system</w:t>
      </w:r>
    </w:p>
    <w:p w14:paraId="0BEA72D2">
      <w:pPr>
        <w:pStyle w:val="56"/>
        <w:spacing w:line="360" w:lineRule="auto"/>
        <w:ind w:firstLine="420"/>
      </w:pPr>
      <w:r>
        <w:rPr>
          <w:rFonts w:hint="eastAsia"/>
        </w:rPr>
        <w:t>利用数据采集、数据处理、算法分析、模型推理、结果展示和辅助决策等技术，对企业经营和管理相关数据进行分析、预测、预警、识别或者推荐的系统。</w:t>
      </w:r>
    </w:p>
    <w:p w14:paraId="3D2BF403">
      <w:pPr>
        <w:pStyle w:val="56"/>
        <w:spacing w:line="360" w:lineRule="auto"/>
        <w:ind w:firstLine="199" w:firstLineChars="95"/>
      </w:pPr>
    </w:p>
    <w:p w14:paraId="4F8F08B6">
      <w:pPr>
        <w:pStyle w:val="56"/>
        <w:spacing w:line="360" w:lineRule="auto"/>
        <w:ind w:firstLine="199" w:firstLineChars="95"/>
        <w:rPr>
          <w:rFonts w:hint="eastAsia"/>
        </w:rPr>
      </w:pPr>
    </w:p>
    <w:p w14:paraId="14583399">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系统建设 system construction</w:t>
      </w:r>
    </w:p>
    <w:p w14:paraId="05F5477A">
      <w:pPr>
        <w:pStyle w:val="56"/>
        <w:spacing w:line="360" w:lineRule="auto"/>
        <w:ind w:firstLine="420"/>
      </w:pPr>
      <w:r>
        <w:rPr>
          <w:rFonts w:hint="eastAsia"/>
        </w:rPr>
        <w:t>围绕人工智能数据分析系统开展的需求分析、方案设计、架构设计、数据接入、功能开发、模型配置、测试验证、部署上线和交付准备等活动。</w:t>
      </w:r>
    </w:p>
    <w:p w14:paraId="1E3B45C4">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系统运维 system operation and maintenance</w:t>
      </w:r>
    </w:p>
    <w:p w14:paraId="4A43F691">
      <w:pPr>
        <w:pStyle w:val="56"/>
        <w:spacing w:line="360" w:lineRule="auto"/>
        <w:ind w:firstLine="420"/>
      </w:pPr>
      <w:r>
        <w:rPr>
          <w:rFonts w:hint="eastAsia"/>
        </w:rPr>
        <w:t>为保障人工智能数据分析系统稳定、安全、持续和有效运行而实施的运行监测、故障处理、数据维护、模型维护、变更管理、性能优化和用户支持等活动。</w:t>
      </w:r>
    </w:p>
    <w:p w14:paraId="52F7E526">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业务数据 business data</w:t>
      </w:r>
    </w:p>
    <w:p w14:paraId="1E6BE616">
      <w:pPr>
        <w:pStyle w:val="56"/>
        <w:spacing w:line="360" w:lineRule="auto"/>
        <w:ind w:firstLine="420"/>
      </w:pPr>
      <w:r>
        <w:rPr>
          <w:rFonts w:hint="eastAsia"/>
        </w:rPr>
        <w:t>中小企业在采购、生产、仓储、物流、销售、服务、财务、人力资源、客户关系和其他经营管理活动中形成或者使用的数据。</w:t>
      </w:r>
    </w:p>
    <w:p w14:paraId="44255C02">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模型管理 model management</w:t>
      </w:r>
    </w:p>
    <w:p w14:paraId="3E1471FC">
      <w:pPr>
        <w:pStyle w:val="56"/>
        <w:spacing w:line="360" w:lineRule="auto"/>
        <w:ind w:firstLine="420"/>
      </w:pPr>
      <w:r>
        <w:rPr>
          <w:rFonts w:hint="eastAsia"/>
        </w:rPr>
        <w:t>对模型的选型、训练、配置、测试、部署、监测、更新、停用和归档等进行控制和管理的活动。</w:t>
      </w:r>
    </w:p>
    <w:p w14:paraId="0414832C">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数据治理 data governance</w:t>
      </w:r>
    </w:p>
    <w:p w14:paraId="25BEF8B2">
      <w:pPr>
        <w:pStyle w:val="56"/>
        <w:spacing w:line="360" w:lineRule="auto"/>
        <w:ind w:firstLine="420"/>
      </w:pPr>
      <w:r>
        <w:rPr>
          <w:rFonts w:hint="eastAsia"/>
        </w:rPr>
        <w:t>围绕数据标准、数据质量、数据口径、数据权限、数据共享、数据安全和数据生命周期实施的统筹管理活动。</w:t>
      </w:r>
    </w:p>
    <w:p w14:paraId="20744DE2">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主数据 master data</w:t>
      </w:r>
    </w:p>
    <w:p w14:paraId="7DECF218">
      <w:pPr>
        <w:pStyle w:val="56"/>
        <w:spacing w:line="360" w:lineRule="auto"/>
        <w:ind w:firstLine="420"/>
      </w:pPr>
      <w:r>
        <w:rPr>
          <w:rFonts w:hint="eastAsia"/>
        </w:rPr>
        <w:t>在多个业务环节或者多个系统中被重复使用、具有相对稳定性并作为统一参照基础的数据。</w:t>
      </w:r>
    </w:p>
    <w:p w14:paraId="70BB5B3F">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数据质量 data quality</w:t>
      </w:r>
    </w:p>
    <w:p w14:paraId="4039A38D">
      <w:pPr>
        <w:pStyle w:val="56"/>
        <w:spacing w:line="360" w:lineRule="auto"/>
        <w:ind w:firstLine="420"/>
      </w:pPr>
      <w:r>
        <w:rPr>
          <w:rFonts w:hint="eastAsia"/>
        </w:rPr>
        <w:t>数据在完整性、准确性、一致性、及时性、有效性、规范性和可追溯性等方面满足使用要求的程度。</w:t>
      </w:r>
    </w:p>
    <w:p w14:paraId="7258DE3E">
      <w:pPr>
        <w:pStyle w:val="104"/>
        <w:spacing w:before="240" w:after="240" w:line="360" w:lineRule="auto"/>
      </w:pPr>
      <w:bookmarkStart w:id="51" w:name="_Toc228604499"/>
      <w:r>
        <w:rPr>
          <w:rFonts w:hint="eastAsia"/>
        </w:rPr>
        <w:t>基本规定</w:t>
      </w:r>
      <w:bookmarkEnd w:id="51"/>
    </w:p>
    <w:p w14:paraId="18EE053D">
      <w:pPr>
        <w:pStyle w:val="105"/>
        <w:spacing w:before="120" w:after="120" w:line="360" w:lineRule="auto"/>
      </w:pPr>
      <w:r>
        <w:rPr>
          <w:rFonts w:hint="eastAsia"/>
        </w:rPr>
        <w:t>一般要求</w:t>
      </w:r>
    </w:p>
    <w:p w14:paraId="382C7FE7">
      <w:pPr>
        <w:pStyle w:val="165"/>
        <w:spacing w:line="360" w:lineRule="auto"/>
      </w:pPr>
      <w:r>
        <w:rPr>
          <w:rFonts w:hint="eastAsia"/>
        </w:rPr>
        <w:t>中小企业人工智能数据分析系统建设与运维应坚持业务导向、适度建设、数据可信、运行稳定、安全可控和持续优化的原则。</w:t>
      </w:r>
    </w:p>
    <w:p w14:paraId="3DD8C9BC">
      <w:pPr>
        <w:pStyle w:val="165"/>
        <w:spacing w:line="360" w:lineRule="auto"/>
      </w:pPr>
      <w:r>
        <w:rPr>
          <w:rFonts w:hint="eastAsia"/>
        </w:rPr>
        <w:t>人工智能数据分析系统建设与运维应服务于企业经营管理、生产组织、市场营销、客户服务、风险控制和辅助决策等实际业务需求，不得脱离企业实际规模、管理水平和应用能力盲目建设。</w:t>
      </w:r>
    </w:p>
    <w:p w14:paraId="209AE4DB">
      <w:pPr>
        <w:pStyle w:val="165"/>
        <w:spacing w:line="360" w:lineRule="auto"/>
      </w:pPr>
      <w:r>
        <w:rPr>
          <w:rFonts w:hint="eastAsia"/>
        </w:rPr>
        <w:t>系统建设应与企业信息化现状、数字化发展规划、数据资源基础、网络基础设施和管理制度相衔接，不得孤立开展、重复建设或者与现有业务系统长期并行冲突。</w:t>
      </w:r>
    </w:p>
    <w:p w14:paraId="50FDC9A0">
      <w:pPr>
        <w:pStyle w:val="165"/>
        <w:spacing w:line="360" w:lineRule="auto"/>
      </w:pPr>
      <w:r>
        <w:rPr>
          <w:rFonts w:hint="eastAsia"/>
        </w:rPr>
        <w:t>系统运维应贯穿系统上线、运行、调整、升级、停用和退出全过程，不得以项目交付、试运行结束或者阶段验收完成替代正式运维管理。</w:t>
      </w:r>
    </w:p>
    <w:p w14:paraId="59D455AE">
      <w:pPr>
        <w:pStyle w:val="165"/>
        <w:spacing w:line="360" w:lineRule="auto"/>
      </w:pPr>
      <w:r>
        <w:rPr>
          <w:rFonts w:hint="eastAsia"/>
        </w:rPr>
        <w:t>中小企业人工智能数据分析系统应坚持“小步实施、分阶段建设、先基础后智能、先应用后扩展”的实施路径，不宜一次性建设超出企业承载能力的复杂系统。</w:t>
      </w:r>
    </w:p>
    <w:p w14:paraId="740F6372">
      <w:pPr>
        <w:pStyle w:val="165"/>
        <w:spacing w:line="360" w:lineRule="auto"/>
      </w:pPr>
      <w:r>
        <w:rPr>
          <w:rFonts w:hint="eastAsia"/>
        </w:rPr>
        <w:t>系统建设与运维活动应统筹考虑数据质量、算法适配、模型可解释性、分析结果可用性、用户操作便利性和长期维护成本，不得片面追求技术先进性而忽视系统可用性和可维护性。</w:t>
      </w:r>
    </w:p>
    <w:p w14:paraId="42877BBC">
      <w:pPr>
        <w:pStyle w:val="165"/>
        <w:spacing w:line="360" w:lineRule="auto"/>
      </w:pPr>
      <w:r>
        <w:rPr>
          <w:rFonts w:hint="eastAsia"/>
        </w:rPr>
        <w:t>对涉及财务数据、客户数据、供应链数据、合同数据、人力资源数据、设备运行数据和其他重要业务数据的分析系统，应实施重点管理。</w:t>
      </w:r>
    </w:p>
    <w:p w14:paraId="186D617B">
      <w:pPr>
        <w:pStyle w:val="165"/>
        <w:spacing w:line="360" w:lineRule="auto"/>
      </w:pPr>
      <w:r>
        <w:rPr>
          <w:rFonts w:hint="eastAsia"/>
        </w:rPr>
        <w:t>涉及企业核心经营决策、自动预警、信用评价、绩效评价、价格分析或者其他对经营结果有明显影响的分析功能，应提高建设论证要求、运行监测要求和结果复核要求。</w:t>
      </w:r>
    </w:p>
    <w:p w14:paraId="6661A639">
      <w:pPr>
        <w:pStyle w:val="105"/>
        <w:spacing w:before="120" w:after="120" w:line="360" w:lineRule="auto"/>
      </w:pPr>
      <w:r>
        <w:rPr>
          <w:rFonts w:hint="eastAsia"/>
        </w:rPr>
        <w:t>建设目标要求</w:t>
      </w:r>
    </w:p>
    <w:p w14:paraId="74EF7FE5">
      <w:pPr>
        <w:pStyle w:val="165"/>
        <w:spacing w:line="360" w:lineRule="auto"/>
      </w:pPr>
      <w:r>
        <w:rPr>
          <w:rFonts w:hint="eastAsia"/>
        </w:rPr>
        <w:t>中小企业建设人工智能数据分析系统前，应明确建设目标。</w:t>
      </w:r>
    </w:p>
    <w:p w14:paraId="6436EBD1">
      <w:pPr>
        <w:pStyle w:val="165"/>
        <w:spacing w:line="360" w:lineRule="auto"/>
      </w:pPr>
      <w:r>
        <w:rPr>
          <w:rFonts w:hint="eastAsia"/>
        </w:rPr>
        <w:t>建设目标应与企业经营管理需求相一致，并应至少明确下列内容：</w:t>
      </w:r>
    </w:p>
    <w:p w14:paraId="69AAD1D7">
      <w:pPr>
        <w:pStyle w:val="56"/>
        <w:spacing w:line="360" w:lineRule="auto"/>
        <w:ind w:firstLine="420"/>
      </w:pPr>
      <w:r>
        <w:rPr>
          <w:rFonts w:hint="eastAsia"/>
        </w:rPr>
        <w:t>a）系统服务对象；</w:t>
      </w:r>
    </w:p>
    <w:p w14:paraId="594102EA">
      <w:pPr>
        <w:pStyle w:val="56"/>
        <w:spacing w:line="360" w:lineRule="auto"/>
        <w:ind w:firstLine="420"/>
      </w:pPr>
      <w:r>
        <w:rPr>
          <w:rFonts w:hint="eastAsia"/>
        </w:rPr>
        <w:t>b）系统应用场景；</w:t>
      </w:r>
    </w:p>
    <w:p w14:paraId="2E19B4BC">
      <w:pPr>
        <w:pStyle w:val="56"/>
        <w:spacing w:line="360" w:lineRule="auto"/>
        <w:ind w:firstLine="420"/>
      </w:pPr>
      <w:r>
        <w:rPr>
          <w:rFonts w:hint="eastAsia"/>
        </w:rPr>
        <w:t>c）系统主要功能；</w:t>
      </w:r>
    </w:p>
    <w:p w14:paraId="2B374F17">
      <w:pPr>
        <w:pStyle w:val="56"/>
        <w:spacing w:line="360" w:lineRule="auto"/>
        <w:ind w:firstLine="420"/>
      </w:pPr>
      <w:r>
        <w:rPr>
          <w:rFonts w:hint="eastAsia"/>
        </w:rPr>
        <w:t>d）预期分析结果；</w:t>
      </w:r>
    </w:p>
    <w:p w14:paraId="03E1E114">
      <w:pPr>
        <w:pStyle w:val="56"/>
        <w:spacing w:line="360" w:lineRule="auto"/>
        <w:ind w:firstLine="420"/>
      </w:pPr>
      <w:r>
        <w:rPr>
          <w:rFonts w:hint="eastAsia"/>
        </w:rPr>
        <w:t>e）预期管理成效；</w:t>
      </w:r>
    </w:p>
    <w:p w14:paraId="0B8466D4">
      <w:pPr>
        <w:pStyle w:val="56"/>
        <w:spacing w:line="360" w:lineRule="auto"/>
        <w:ind w:firstLine="420"/>
      </w:pPr>
      <w:r>
        <w:rPr>
          <w:rFonts w:hint="eastAsia"/>
        </w:rPr>
        <w:t>f）建设范围；</w:t>
      </w:r>
    </w:p>
    <w:p w14:paraId="71698D15">
      <w:pPr>
        <w:pStyle w:val="56"/>
        <w:spacing w:line="360" w:lineRule="auto"/>
        <w:ind w:firstLine="420"/>
      </w:pPr>
      <w:r>
        <w:rPr>
          <w:rFonts w:hint="eastAsia"/>
        </w:rPr>
        <w:t>g）实施边界；</w:t>
      </w:r>
    </w:p>
    <w:p w14:paraId="1B79CD3E">
      <w:pPr>
        <w:pStyle w:val="56"/>
        <w:spacing w:line="360" w:lineRule="auto"/>
        <w:ind w:firstLine="420"/>
      </w:pPr>
      <w:r>
        <w:rPr>
          <w:rFonts w:hint="eastAsia"/>
        </w:rPr>
        <w:t>h）运维要求。</w:t>
      </w:r>
    </w:p>
    <w:p w14:paraId="2BE93C6F">
      <w:pPr>
        <w:pStyle w:val="165"/>
        <w:spacing w:line="360" w:lineRule="auto"/>
      </w:pPr>
      <w:r>
        <w:rPr>
          <w:rFonts w:hint="eastAsia"/>
        </w:rPr>
        <w:t>建设目标应具体、可验证、可考核，不得仅使用“提高智能化水平”“提升数字化能力”“增强分析能力”等笼统表述替代明确目标。</w:t>
      </w:r>
    </w:p>
    <w:p w14:paraId="44276A3B">
      <w:pPr>
        <w:pStyle w:val="165"/>
        <w:spacing w:line="360" w:lineRule="auto"/>
      </w:pPr>
      <w:r>
        <w:rPr>
          <w:rFonts w:hint="eastAsia"/>
        </w:rPr>
        <w:t>系统建设目标发生重大调整时，应同步调整需求分析、技术方案、实施计划和运维方案。</w:t>
      </w:r>
    </w:p>
    <w:p w14:paraId="5EB49C1B">
      <w:pPr>
        <w:pStyle w:val="105"/>
        <w:spacing w:before="120" w:after="120" w:line="360" w:lineRule="auto"/>
      </w:pPr>
      <w:r>
        <w:rPr>
          <w:rFonts w:hint="eastAsia"/>
        </w:rPr>
        <w:t>适用边界要求</w:t>
      </w:r>
    </w:p>
    <w:p w14:paraId="0B88E4BA">
      <w:pPr>
        <w:pStyle w:val="165"/>
        <w:spacing w:line="360" w:lineRule="auto"/>
      </w:pPr>
      <w:r>
        <w:rPr>
          <w:rFonts w:hint="eastAsia"/>
        </w:rPr>
        <w:t>人工智能数据分析系统应明确业务边界、数据边界、功能边界、接口边界和管理边界。</w:t>
      </w:r>
    </w:p>
    <w:p w14:paraId="3A785D01">
      <w:pPr>
        <w:pStyle w:val="165"/>
        <w:spacing w:line="360" w:lineRule="auto"/>
      </w:pPr>
      <w:r>
        <w:rPr>
          <w:rFonts w:hint="eastAsia"/>
        </w:rPr>
        <w:t>系统边界应与企业现有业务系统、办公系统、财务系统、设备系统、客户管理系统和其他相关系统保持协调，不得边界不清造成数据重复采集、责任交叉或者管理空白。</w:t>
      </w:r>
    </w:p>
    <w:p w14:paraId="04F4C1B2">
      <w:pPr>
        <w:pStyle w:val="165"/>
        <w:spacing w:line="360" w:lineRule="auto"/>
      </w:pPr>
      <w:r>
        <w:rPr>
          <w:rFonts w:hint="eastAsia"/>
        </w:rPr>
        <w:t>对不适宜采用人工智能分析方式、数据基础明显不足或者结果风险较高的业务场景，不得强行纳入系统建设范围。</w:t>
      </w:r>
    </w:p>
    <w:p w14:paraId="66D57969">
      <w:pPr>
        <w:pStyle w:val="165"/>
        <w:spacing w:line="360" w:lineRule="auto"/>
      </w:pPr>
      <w:r>
        <w:rPr>
          <w:rFonts w:hint="eastAsia"/>
        </w:rPr>
        <w:t>对仅需简单统计、固定报表或者常规查询即可满足管理要求的场景，不宜盲目采用复杂人工智能模型替代基础分析功能。</w:t>
      </w:r>
    </w:p>
    <w:p w14:paraId="55CE273D">
      <w:pPr>
        <w:pStyle w:val="165"/>
        <w:spacing w:line="360" w:lineRule="auto"/>
      </w:pPr>
      <w:r>
        <w:rPr>
          <w:rFonts w:hint="eastAsia"/>
        </w:rPr>
        <w:t>对试验性模型、验证性分析模块和探索性应用场景，应明确其试用属性、结果用途和正式上线条件，不得直接作为正式经营管理依据长期使用。</w:t>
      </w:r>
    </w:p>
    <w:p w14:paraId="612C0DBF">
      <w:pPr>
        <w:pStyle w:val="105"/>
        <w:spacing w:before="120" w:after="120" w:line="360" w:lineRule="auto"/>
      </w:pPr>
      <w:r>
        <w:rPr>
          <w:rFonts w:hint="eastAsia"/>
        </w:rPr>
        <w:t>管理职责要求</w:t>
      </w:r>
    </w:p>
    <w:p w14:paraId="289BA698">
      <w:pPr>
        <w:pStyle w:val="165"/>
        <w:spacing w:line="360" w:lineRule="auto"/>
      </w:pPr>
      <w:r>
        <w:rPr>
          <w:rFonts w:hint="eastAsia"/>
        </w:rPr>
        <w:t>中小企业应明确人工智能数据分析系统建设与运维的管理职责。</w:t>
      </w:r>
    </w:p>
    <w:p w14:paraId="62A4D26B">
      <w:pPr>
        <w:pStyle w:val="165"/>
        <w:spacing w:line="360" w:lineRule="auto"/>
      </w:pPr>
      <w:r>
        <w:rPr>
          <w:rFonts w:hint="eastAsia"/>
        </w:rPr>
        <w:t>企业应根据组织结构和管理模式，明确业务主管部门、信息化或者技术管理部门、数据管理部门、系统使用部门和运维责任岗位。</w:t>
      </w:r>
    </w:p>
    <w:p w14:paraId="1134764E">
      <w:pPr>
        <w:pStyle w:val="165"/>
        <w:spacing w:line="360" w:lineRule="auto"/>
      </w:pPr>
      <w:r>
        <w:rPr>
          <w:rFonts w:hint="eastAsia"/>
        </w:rPr>
        <w:t>业务主管部门应负责提出业务目标、明确分析需求、确认结果用途、参与功能验收和评价应用成效。</w:t>
      </w:r>
    </w:p>
    <w:p w14:paraId="5BE2B962">
      <w:pPr>
        <w:pStyle w:val="165"/>
        <w:spacing w:line="360" w:lineRule="auto"/>
      </w:pPr>
      <w:r>
        <w:rPr>
          <w:rFonts w:hint="eastAsia"/>
        </w:rPr>
        <w:t>信息化或者技术管理部门应负责系统架构设计、技术选型、系统部署、接口管理、运行监测和技术支持。</w:t>
      </w:r>
    </w:p>
    <w:p w14:paraId="1D17982B">
      <w:pPr>
        <w:pStyle w:val="165"/>
        <w:spacing w:line="360" w:lineRule="auto"/>
      </w:pPr>
      <w:r>
        <w:rPr>
          <w:rFonts w:hint="eastAsia"/>
        </w:rPr>
        <w:t>数据管理部门应负责数据标准、数据口径、数据权限、数据质量和数据治理工作。</w:t>
      </w:r>
    </w:p>
    <w:p w14:paraId="751304CD">
      <w:pPr>
        <w:pStyle w:val="165"/>
        <w:spacing w:line="360" w:lineRule="auto"/>
      </w:pPr>
      <w:r>
        <w:rPr>
          <w:rFonts w:hint="eastAsia"/>
        </w:rPr>
        <w:t>运维责任岗位应负责系统巡检、故障响应、变更实施、版本管理、台账维护和用户支持。</w:t>
      </w:r>
    </w:p>
    <w:p w14:paraId="66D95602">
      <w:pPr>
        <w:pStyle w:val="165"/>
        <w:spacing w:line="360" w:lineRule="auto"/>
      </w:pPr>
      <w:r>
        <w:rPr>
          <w:rFonts w:hint="eastAsia"/>
        </w:rPr>
        <w:t>涉及外部服务商参与建设或者运维的，应明确甲乙双方职责边界、交付边界、权限边界和安全责任，不得因外包而削弱企业主体责任。</w:t>
      </w:r>
    </w:p>
    <w:p w14:paraId="471F21C1">
      <w:pPr>
        <w:pStyle w:val="165"/>
        <w:spacing w:line="360" w:lineRule="auto"/>
      </w:pPr>
      <w:r>
        <w:rPr>
          <w:rFonts w:hint="eastAsia"/>
        </w:rPr>
        <w:t>系统建设与运维不得存在无人负责、多人重复负责或者职责边界长期不清的情形。</w:t>
      </w:r>
    </w:p>
    <w:p w14:paraId="1E641C93">
      <w:pPr>
        <w:pStyle w:val="105"/>
        <w:spacing w:before="120" w:after="120" w:line="360" w:lineRule="auto"/>
      </w:pPr>
      <w:r>
        <w:rPr>
          <w:rFonts w:hint="eastAsia"/>
        </w:rPr>
        <w:t>分级分类管理要求</w:t>
      </w:r>
    </w:p>
    <w:p w14:paraId="48D909F6">
      <w:pPr>
        <w:pStyle w:val="165"/>
        <w:spacing w:line="360" w:lineRule="auto"/>
      </w:pPr>
      <w:r>
        <w:rPr>
          <w:rFonts w:hint="eastAsia"/>
        </w:rPr>
        <w:t>中小企业应根据系统重要程度、业务影响范围、数据敏感程度、故障后果和维护复杂程度，对人工智能数据分析系统实施分级分类管理。</w:t>
      </w:r>
    </w:p>
    <w:p w14:paraId="014D268D">
      <w:pPr>
        <w:pStyle w:val="165"/>
        <w:spacing w:line="360" w:lineRule="auto"/>
      </w:pPr>
      <w:r>
        <w:rPr>
          <w:rFonts w:hint="eastAsia"/>
        </w:rPr>
        <w:t>系统分类宜包括经营分析类、销售分析类、客户分析类、财务分析类、供应链分析类、生产运营分析类、风险预警类和综合决策支持类。</w:t>
      </w:r>
    </w:p>
    <w:p w14:paraId="4FD566D9">
      <w:pPr>
        <w:pStyle w:val="165"/>
        <w:spacing w:line="360" w:lineRule="auto"/>
      </w:pPr>
      <w:r>
        <w:rPr>
          <w:rFonts w:hint="eastAsia"/>
        </w:rPr>
        <w:t>系统分级宜综合考虑下列因素：</w:t>
      </w:r>
    </w:p>
    <w:p w14:paraId="5FAE6A3F">
      <w:pPr>
        <w:pStyle w:val="56"/>
        <w:spacing w:line="360" w:lineRule="auto"/>
        <w:ind w:firstLine="420"/>
      </w:pPr>
      <w:r>
        <w:rPr>
          <w:rFonts w:hint="eastAsia"/>
        </w:rPr>
        <w:t>a）是否支撑核心经营管理；</w:t>
      </w:r>
    </w:p>
    <w:p w14:paraId="412EE620">
      <w:pPr>
        <w:pStyle w:val="56"/>
        <w:spacing w:line="360" w:lineRule="auto"/>
        <w:ind w:firstLine="420"/>
      </w:pPr>
      <w:r>
        <w:rPr>
          <w:rFonts w:hint="eastAsia"/>
        </w:rPr>
        <w:t>b）是否使用重要业务数据；</w:t>
      </w:r>
    </w:p>
    <w:p w14:paraId="3F3F4167">
      <w:pPr>
        <w:pStyle w:val="56"/>
        <w:spacing w:line="360" w:lineRule="auto"/>
        <w:ind w:firstLine="420"/>
      </w:pPr>
      <w:r>
        <w:rPr>
          <w:rFonts w:hint="eastAsia"/>
        </w:rPr>
        <w:t>c）是否影响日常业务连续性；</w:t>
      </w:r>
    </w:p>
    <w:p w14:paraId="78BCD5D8">
      <w:pPr>
        <w:pStyle w:val="56"/>
        <w:spacing w:line="360" w:lineRule="auto"/>
        <w:ind w:firstLine="420"/>
      </w:pPr>
      <w:r>
        <w:rPr>
          <w:rFonts w:hint="eastAsia"/>
        </w:rPr>
        <w:t>d）是否生成高风险分析结论；</w:t>
      </w:r>
    </w:p>
    <w:p w14:paraId="7F64BFF8">
      <w:pPr>
        <w:pStyle w:val="56"/>
        <w:spacing w:line="360" w:lineRule="auto"/>
        <w:ind w:firstLine="420"/>
      </w:pPr>
      <w:r>
        <w:rPr>
          <w:rFonts w:hint="eastAsia"/>
        </w:rPr>
        <w:t>e）是否需要高可用运行保障；</w:t>
      </w:r>
    </w:p>
    <w:p w14:paraId="57257AB6">
      <w:pPr>
        <w:pStyle w:val="56"/>
        <w:spacing w:line="360" w:lineRule="auto"/>
        <w:ind w:firstLine="420"/>
      </w:pPr>
      <w:r>
        <w:rPr>
          <w:rFonts w:hint="eastAsia"/>
        </w:rPr>
        <w:t>f）是否涉及多系统数据汇聚；</w:t>
      </w:r>
    </w:p>
    <w:p w14:paraId="0BC2C070">
      <w:pPr>
        <w:pStyle w:val="56"/>
        <w:spacing w:line="360" w:lineRule="auto"/>
        <w:ind w:firstLine="420"/>
      </w:pPr>
      <w:r>
        <w:rPr>
          <w:rFonts w:hint="eastAsia"/>
        </w:rPr>
        <w:t>g）是否存在较高安全风险。</w:t>
      </w:r>
    </w:p>
    <w:p w14:paraId="17E873CC">
      <w:pPr>
        <w:pStyle w:val="165"/>
        <w:spacing w:line="360" w:lineRule="auto"/>
      </w:pPr>
      <w:r>
        <w:rPr>
          <w:rFonts w:hint="eastAsia"/>
        </w:rPr>
        <w:t>对分级较高的系统，应提高建设论证、权限控制、运行监测、数据备份、结果复核和变更审批要求。</w:t>
      </w:r>
    </w:p>
    <w:p w14:paraId="2647A0CF">
      <w:pPr>
        <w:pStyle w:val="165"/>
        <w:numPr>
          <w:ilvl w:val="0"/>
          <w:numId w:val="0"/>
        </w:numPr>
        <w:spacing w:line="360" w:lineRule="auto"/>
        <w:rPr>
          <w:rFonts w:hint="eastAsia"/>
        </w:rPr>
      </w:pPr>
    </w:p>
    <w:p w14:paraId="1593E764">
      <w:pPr>
        <w:pStyle w:val="105"/>
        <w:spacing w:before="120" w:after="120" w:line="360" w:lineRule="auto"/>
      </w:pPr>
      <w:r>
        <w:rPr>
          <w:rFonts w:hint="eastAsia"/>
        </w:rPr>
        <w:t>数据与模型基本要求</w:t>
      </w:r>
    </w:p>
    <w:p w14:paraId="0DD98BC0">
      <w:pPr>
        <w:pStyle w:val="165"/>
        <w:spacing w:line="360" w:lineRule="auto"/>
      </w:pPr>
      <w:r>
        <w:rPr>
          <w:rFonts w:hint="eastAsia"/>
        </w:rPr>
        <w:t>系统建设和运维应以数据可得、数据可管、数据可用为基础。</w:t>
      </w:r>
    </w:p>
    <w:p w14:paraId="5202554F">
      <w:pPr>
        <w:pStyle w:val="165"/>
        <w:spacing w:line="360" w:lineRule="auto"/>
      </w:pPr>
      <w:r>
        <w:rPr>
          <w:rFonts w:hint="eastAsia"/>
        </w:rPr>
        <w:t>未明确数据来源、数据口径、数据质量和数据权限的数据，不得直接纳入正式分析系统作为核心数据源。</w:t>
      </w:r>
    </w:p>
    <w:p w14:paraId="278C8D40">
      <w:pPr>
        <w:pStyle w:val="165"/>
        <w:spacing w:line="360" w:lineRule="auto"/>
      </w:pPr>
      <w:r>
        <w:rPr>
          <w:rFonts w:hint="eastAsia"/>
        </w:rPr>
        <w:t>系统使用的分析模型、规则引擎和算法组件应与业务目标、数据结构和应用场景相匹配。</w:t>
      </w:r>
    </w:p>
    <w:p w14:paraId="4A2954C5">
      <w:pPr>
        <w:pStyle w:val="165"/>
        <w:spacing w:line="360" w:lineRule="auto"/>
      </w:pPr>
      <w:r>
        <w:rPr>
          <w:rFonts w:hint="eastAsia"/>
        </w:rPr>
        <w:t>未经验证的模型、来源不明的规则库或者无法说明适用边界的算法，不得直接用于正式业务分析。</w:t>
      </w:r>
    </w:p>
    <w:p w14:paraId="2E6ACEEF">
      <w:pPr>
        <w:pStyle w:val="165"/>
        <w:spacing w:line="360" w:lineRule="auto"/>
      </w:pPr>
      <w:r>
        <w:rPr>
          <w:rFonts w:hint="eastAsia"/>
        </w:rPr>
        <w:t>涉及自动预警、自动评分、自动推荐或者自动决策辅助的模型，应明确输入条件、输出范围、限制条件和人工复核边界。</w:t>
      </w:r>
    </w:p>
    <w:p w14:paraId="339184F7">
      <w:pPr>
        <w:pStyle w:val="105"/>
        <w:spacing w:before="120" w:after="120" w:line="360" w:lineRule="auto"/>
      </w:pPr>
      <w:r>
        <w:rPr>
          <w:rFonts w:hint="eastAsia"/>
        </w:rPr>
        <w:t>结果应用要求</w:t>
      </w:r>
    </w:p>
    <w:p w14:paraId="488F390F">
      <w:pPr>
        <w:pStyle w:val="165"/>
        <w:spacing w:line="360" w:lineRule="auto"/>
      </w:pPr>
      <w:r>
        <w:rPr>
          <w:rFonts w:hint="eastAsia"/>
        </w:rPr>
        <w:t>人工智能数据分析结果应用应遵循“分析辅助、结果解释、审慎使用、责任清晰”的原则。</w:t>
      </w:r>
    </w:p>
    <w:p w14:paraId="6A17BB73">
      <w:pPr>
        <w:pStyle w:val="165"/>
        <w:spacing w:line="360" w:lineRule="auto"/>
      </w:pPr>
      <w:r>
        <w:rPr>
          <w:rFonts w:hint="eastAsia"/>
        </w:rPr>
        <w:t>分析结果可用于经营诊断、业务优化、趋势研判、风险提示和辅助决策。</w:t>
      </w:r>
    </w:p>
    <w:p w14:paraId="453C97E9">
      <w:pPr>
        <w:pStyle w:val="165"/>
        <w:spacing w:line="360" w:lineRule="auto"/>
      </w:pPr>
      <w:r>
        <w:rPr>
          <w:rFonts w:hint="eastAsia"/>
        </w:rPr>
        <w:t>对涉及重大经营决策、信用判断、绩效考核、人员评价、客户分类和合同履约评估等高影响场景，不得仅以系统自动输出结果作为唯一依据。</w:t>
      </w:r>
    </w:p>
    <w:p w14:paraId="56178D44">
      <w:pPr>
        <w:pStyle w:val="165"/>
        <w:spacing w:line="360" w:lineRule="auto"/>
      </w:pPr>
      <w:r>
        <w:rPr>
          <w:rFonts w:hint="eastAsia"/>
        </w:rPr>
        <w:t>分析结果应根据业务场景明确标识为参考结果、辅助结果、预警结果或者正式报表结果。</w:t>
      </w:r>
    </w:p>
    <w:p w14:paraId="0E9E25A2">
      <w:pPr>
        <w:pStyle w:val="165"/>
        <w:spacing w:line="360" w:lineRule="auto"/>
      </w:pPr>
      <w:r>
        <w:rPr>
          <w:rFonts w:hint="eastAsia"/>
        </w:rPr>
        <w:t>对模型输出存在明显不确定性、样本不足或者超出适用边界的结果，应限制使用或者进入人工复核流程。</w:t>
      </w:r>
    </w:p>
    <w:p w14:paraId="4DA42A38">
      <w:pPr>
        <w:pStyle w:val="105"/>
        <w:spacing w:before="120" w:after="120" w:line="360" w:lineRule="auto"/>
      </w:pPr>
      <w:r>
        <w:rPr>
          <w:rFonts w:hint="eastAsia"/>
        </w:rPr>
        <w:t>运维基本要求</w:t>
      </w:r>
    </w:p>
    <w:p w14:paraId="177921AA">
      <w:pPr>
        <w:pStyle w:val="165"/>
        <w:spacing w:line="360" w:lineRule="auto"/>
      </w:pPr>
      <w:r>
        <w:rPr>
          <w:rFonts w:hint="eastAsia"/>
        </w:rPr>
        <w:t>系统上线后，应建立正式运维机制。</w:t>
      </w:r>
    </w:p>
    <w:p w14:paraId="1D818CD1">
      <w:pPr>
        <w:pStyle w:val="165"/>
        <w:spacing w:line="360" w:lineRule="auto"/>
      </w:pPr>
      <w:r>
        <w:rPr>
          <w:rFonts w:hint="eastAsia"/>
        </w:rPr>
        <w:t>运维内容应至少包括运行监测、故障处理、数据维护、接口维护、模型维护、权限管理、版本管理、备份恢复、日志审计和用户支持。</w:t>
      </w:r>
    </w:p>
    <w:p w14:paraId="469D3612">
      <w:pPr>
        <w:pStyle w:val="165"/>
        <w:spacing w:line="360" w:lineRule="auto"/>
      </w:pPr>
      <w:r>
        <w:rPr>
          <w:rFonts w:hint="eastAsia"/>
        </w:rPr>
        <w:t>运维工作应形成制度、流程、记录和台账，不得以临时处理替代规范管理。</w:t>
      </w:r>
    </w:p>
    <w:p w14:paraId="0CB98730">
      <w:pPr>
        <w:pStyle w:val="165"/>
        <w:spacing w:line="360" w:lineRule="auto"/>
      </w:pPr>
      <w:r>
        <w:rPr>
          <w:rFonts w:hint="eastAsia"/>
        </w:rPr>
        <w:t>系统运行中出现异常、性能下降、输出失真、接口中断、数据错误或者权限失控时，应及时处置并留痕。</w:t>
      </w:r>
    </w:p>
    <w:p w14:paraId="14417990">
      <w:pPr>
        <w:pStyle w:val="165"/>
        <w:spacing w:line="360" w:lineRule="auto"/>
      </w:pPr>
      <w:r>
        <w:rPr>
          <w:rFonts w:hint="eastAsia"/>
        </w:rPr>
        <w:t>系统长期无运维责任人、无监测机制、无备份机制或者无变更控制的，不得视为已进入稳定运行状态。</w:t>
      </w:r>
    </w:p>
    <w:p w14:paraId="131C5517">
      <w:pPr>
        <w:pStyle w:val="105"/>
        <w:spacing w:before="120" w:after="120" w:line="360" w:lineRule="auto"/>
      </w:pPr>
      <w:r>
        <w:rPr>
          <w:rFonts w:hint="eastAsia"/>
        </w:rPr>
        <w:t>安全与合规要求</w:t>
      </w:r>
    </w:p>
    <w:p w14:paraId="2EC11172">
      <w:pPr>
        <w:pStyle w:val="165"/>
        <w:spacing w:line="360" w:lineRule="auto"/>
      </w:pPr>
      <w:r>
        <w:rPr>
          <w:rFonts w:hint="eastAsia"/>
        </w:rPr>
        <w:t>人工智能数据分析系统建设与运维应符合网络安全、数据安全、商业秘密保护、个人信息保护和企业管理制度要求。</w:t>
      </w:r>
    </w:p>
    <w:p w14:paraId="52F5CDE8">
      <w:pPr>
        <w:pStyle w:val="165"/>
        <w:spacing w:line="360" w:lineRule="auto"/>
      </w:pPr>
      <w:r>
        <w:rPr>
          <w:rFonts w:hint="eastAsia"/>
        </w:rPr>
        <w:t>系统应按照数据敏感程度和业务风险实施差异化安全控制。</w:t>
      </w:r>
    </w:p>
    <w:p w14:paraId="1DC973AC">
      <w:pPr>
        <w:pStyle w:val="165"/>
        <w:spacing w:line="360" w:lineRule="auto"/>
      </w:pPr>
      <w:r>
        <w:rPr>
          <w:rFonts w:hint="eastAsia"/>
        </w:rPr>
        <w:t>未经授权，不得采集、导出、复制、共享或者长期保存与分析目标无关的数据。</w:t>
      </w:r>
    </w:p>
    <w:p w14:paraId="1D1936A8">
      <w:pPr>
        <w:pStyle w:val="165"/>
        <w:spacing w:line="360" w:lineRule="auto"/>
      </w:pPr>
      <w:r>
        <w:rPr>
          <w:rFonts w:hint="eastAsia"/>
        </w:rPr>
        <w:t>系统不得通过隐藏规则、黑箱输出、无痕调用和无审计修改方式开展正式分析活动。</w:t>
      </w:r>
    </w:p>
    <w:p w14:paraId="57AC48CF">
      <w:pPr>
        <w:pStyle w:val="165"/>
        <w:spacing w:line="360" w:lineRule="auto"/>
      </w:pPr>
      <w:r>
        <w:rPr>
          <w:rFonts w:hint="eastAsia"/>
        </w:rPr>
        <w:t>涉及重要经营数据和敏感客户数据的系统，应建立访问控制、日志留痕和异常预警机制。</w:t>
      </w:r>
    </w:p>
    <w:p w14:paraId="4005B3F5">
      <w:pPr>
        <w:pStyle w:val="105"/>
        <w:spacing w:before="120" w:after="120" w:line="360" w:lineRule="auto"/>
      </w:pPr>
      <w:r>
        <w:rPr>
          <w:rFonts w:hint="eastAsia"/>
        </w:rPr>
        <w:t>记录与追溯要求</w:t>
      </w:r>
    </w:p>
    <w:p w14:paraId="5B26EE0F">
      <w:pPr>
        <w:pStyle w:val="165"/>
        <w:spacing w:line="360" w:lineRule="auto"/>
      </w:pPr>
      <w:r>
        <w:rPr>
          <w:rFonts w:hint="eastAsia"/>
        </w:rPr>
        <w:t>系统建设与运维全过程应形成可追溯记录。</w:t>
      </w:r>
    </w:p>
    <w:p w14:paraId="0E855C13">
      <w:pPr>
        <w:pStyle w:val="165"/>
        <w:spacing w:line="360" w:lineRule="auto"/>
      </w:pPr>
      <w:r>
        <w:rPr>
          <w:rFonts w:hint="eastAsia"/>
        </w:rPr>
        <w:t>记录内容应至少包括需求提出、方案确认、数据接入、功能测试、上线验收、运行监测、故障处置、变更实施、模型更新和权限调整等活动。</w:t>
      </w:r>
    </w:p>
    <w:p w14:paraId="409756FA">
      <w:pPr>
        <w:pStyle w:val="165"/>
        <w:spacing w:line="360" w:lineRule="auto"/>
      </w:pPr>
      <w:r>
        <w:rPr>
          <w:rFonts w:hint="eastAsia"/>
        </w:rPr>
        <w:t>系统记录、日志、台账和版本信息之间应相互对应。</w:t>
      </w:r>
    </w:p>
    <w:p w14:paraId="0E61894C">
      <w:pPr>
        <w:pStyle w:val="165"/>
        <w:spacing w:line="360" w:lineRule="auto"/>
      </w:pPr>
      <w:r>
        <w:rPr>
          <w:rFonts w:hint="eastAsia"/>
        </w:rPr>
        <w:t>未形成记录或者记录无法支撑追溯的关键活动，不得视为已规范完成。</w:t>
      </w:r>
    </w:p>
    <w:p w14:paraId="08D4969A">
      <w:pPr>
        <w:pStyle w:val="105"/>
        <w:spacing w:before="120" w:after="120" w:line="360" w:lineRule="auto"/>
      </w:pPr>
      <w:r>
        <w:rPr>
          <w:rFonts w:hint="eastAsia"/>
        </w:rPr>
        <w:t>禁止性要求</w:t>
      </w:r>
    </w:p>
    <w:p w14:paraId="10C163C2">
      <w:pPr>
        <w:pStyle w:val="165"/>
        <w:spacing w:line="360" w:lineRule="auto"/>
      </w:pPr>
      <w:r>
        <w:rPr>
          <w:rFonts w:hint="eastAsia"/>
        </w:rPr>
        <w:t>不得在建设目标不清、数据基础不明和责任主体不明确的情况下启动系统建设。</w:t>
      </w:r>
    </w:p>
    <w:p w14:paraId="7675BABA">
      <w:pPr>
        <w:pStyle w:val="165"/>
        <w:spacing w:line="360" w:lineRule="auto"/>
      </w:pPr>
      <w:r>
        <w:rPr>
          <w:rFonts w:hint="eastAsia"/>
        </w:rPr>
        <w:t>不得脱离中小企业实际承载能力盲目建设复杂人工智能系统。</w:t>
      </w:r>
    </w:p>
    <w:p w14:paraId="38D978FA">
      <w:pPr>
        <w:pStyle w:val="165"/>
        <w:spacing w:line="360" w:lineRule="auto"/>
      </w:pPr>
      <w:r>
        <w:rPr>
          <w:rFonts w:hint="eastAsia"/>
        </w:rPr>
        <w:t>不得将试验性模型、未经验证模型或者临时分析脚本直接作为正式生产系统长期运行。</w:t>
      </w:r>
    </w:p>
    <w:p w14:paraId="2A7F65C5">
      <w:pPr>
        <w:pStyle w:val="165"/>
        <w:spacing w:line="360" w:lineRule="auto"/>
      </w:pPr>
      <w:r>
        <w:rPr>
          <w:rFonts w:hint="eastAsia"/>
        </w:rPr>
        <w:t>不得在未明确边界和使用限制的情况下将自动分析结果直接用于高风险决策。</w:t>
      </w:r>
    </w:p>
    <w:p w14:paraId="075AF82D">
      <w:pPr>
        <w:pStyle w:val="165"/>
        <w:spacing w:line="360" w:lineRule="auto"/>
      </w:pPr>
      <w:r>
        <w:rPr>
          <w:rFonts w:hint="eastAsia"/>
        </w:rPr>
        <w:t>不得将系统建设完成视为运维工作完成，不得以无人维护状态长期运行正式系统。</w:t>
      </w:r>
    </w:p>
    <w:p w14:paraId="14FDBABF">
      <w:pPr>
        <w:pStyle w:val="104"/>
        <w:spacing w:before="240" w:after="240" w:line="360" w:lineRule="auto"/>
      </w:pPr>
      <w:bookmarkStart w:id="52" w:name="_Toc228604500"/>
      <w:r>
        <w:rPr>
          <w:rFonts w:hint="eastAsia"/>
        </w:rPr>
        <w:t>建设准备与需求分析要求</w:t>
      </w:r>
      <w:bookmarkEnd w:id="52"/>
    </w:p>
    <w:p w14:paraId="4C7E6A34">
      <w:pPr>
        <w:pStyle w:val="105"/>
        <w:spacing w:before="120" w:after="120" w:line="360" w:lineRule="auto"/>
      </w:pPr>
      <w:r>
        <w:rPr>
          <w:rFonts w:hint="eastAsia"/>
        </w:rPr>
        <w:t>一般要求</w:t>
      </w:r>
    </w:p>
    <w:p w14:paraId="7A13B628">
      <w:pPr>
        <w:pStyle w:val="165"/>
        <w:spacing w:line="360" w:lineRule="auto"/>
      </w:pPr>
      <w:r>
        <w:rPr>
          <w:rFonts w:hint="eastAsia"/>
        </w:rPr>
        <w:t>中小企业建设人工智能数据分析系统前，应开展建设准备和需求分析工作。</w:t>
      </w:r>
    </w:p>
    <w:p w14:paraId="7219FB5F">
      <w:pPr>
        <w:pStyle w:val="165"/>
        <w:spacing w:line="360" w:lineRule="auto"/>
      </w:pPr>
      <w:r>
        <w:rPr>
          <w:rFonts w:hint="eastAsia"/>
        </w:rPr>
        <w:t>建设准备和需求分析应作为系统建设的前置环节，不得省略或者以简单会议纪要替代正式分析过程。</w:t>
      </w:r>
    </w:p>
    <w:p w14:paraId="062919FF">
      <w:pPr>
        <w:pStyle w:val="165"/>
        <w:spacing w:line="360" w:lineRule="auto"/>
      </w:pPr>
      <w:r>
        <w:rPr>
          <w:rFonts w:hint="eastAsia"/>
        </w:rPr>
        <w:t>建设准备应围绕企业发展目标、业务痛点、数据资源基础、技术条件、组织能力和运维条件展开。</w:t>
      </w:r>
    </w:p>
    <w:p w14:paraId="5FB270F5">
      <w:pPr>
        <w:pStyle w:val="165"/>
        <w:spacing w:line="360" w:lineRule="auto"/>
      </w:pPr>
      <w:r>
        <w:rPr>
          <w:rFonts w:hint="eastAsia"/>
        </w:rPr>
        <w:t>需求分析应覆盖业务需求、数据需求、功能需求、接口需求、性能需求、安全需求和运维需求。</w:t>
      </w:r>
    </w:p>
    <w:p w14:paraId="47F3A928">
      <w:pPr>
        <w:pStyle w:val="165"/>
        <w:spacing w:line="360" w:lineRule="auto"/>
      </w:pPr>
      <w:r>
        <w:rPr>
          <w:rFonts w:hint="eastAsia"/>
        </w:rPr>
        <w:t>未完成建设准备和需求分析的，不得直接进入系统设计和开发阶段。</w:t>
      </w:r>
    </w:p>
    <w:p w14:paraId="45013566">
      <w:pPr>
        <w:pStyle w:val="105"/>
        <w:spacing w:before="120" w:after="120" w:line="360" w:lineRule="auto"/>
      </w:pPr>
      <w:r>
        <w:rPr>
          <w:rFonts w:hint="eastAsia"/>
        </w:rPr>
        <w:t>建设准备要求</w:t>
      </w:r>
    </w:p>
    <w:p w14:paraId="372C2AC5">
      <w:pPr>
        <w:pStyle w:val="65"/>
        <w:spacing w:before="120" w:after="120" w:line="360" w:lineRule="auto"/>
      </w:pPr>
      <w:r>
        <w:rPr>
          <w:rFonts w:hint="eastAsia"/>
        </w:rPr>
        <w:t>建设准备内容</w:t>
      </w:r>
    </w:p>
    <w:p w14:paraId="046CB9ED">
      <w:pPr>
        <w:pStyle w:val="164"/>
        <w:spacing w:line="360" w:lineRule="auto"/>
      </w:pPr>
      <w:r>
        <w:rPr>
          <w:rFonts w:hint="eastAsia"/>
        </w:rPr>
        <w:t>建设准备宜至少包括下列内容：</w:t>
      </w:r>
    </w:p>
    <w:p w14:paraId="586FEDD5">
      <w:pPr>
        <w:pStyle w:val="164"/>
        <w:spacing w:line="360" w:lineRule="auto"/>
      </w:pPr>
      <w:r>
        <w:rPr>
          <w:rFonts w:hint="eastAsia"/>
        </w:rPr>
        <w:t>a）企业业务现状调查；</w:t>
      </w:r>
    </w:p>
    <w:p w14:paraId="5903DEBE">
      <w:pPr>
        <w:pStyle w:val="56"/>
        <w:spacing w:line="360" w:lineRule="auto"/>
        <w:ind w:firstLine="420"/>
      </w:pPr>
      <w:r>
        <w:rPr>
          <w:rFonts w:hint="eastAsia"/>
        </w:rPr>
        <w:t>b）信息化基础调查；</w:t>
      </w:r>
    </w:p>
    <w:p w14:paraId="0484FB1D">
      <w:pPr>
        <w:pStyle w:val="56"/>
        <w:spacing w:line="360" w:lineRule="auto"/>
        <w:ind w:firstLine="420"/>
      </w:pPr>
      <w:r>
        <w:rPr>
          <w:rFonts w:hint="eastAsia"/>
        </w:rPr>
        <w:t>c）数据资源现状调查；</w:t>
      </w:r>
    </w:p>
    <w:p w14:paraId="7CA24413">
      <w:pPr>
        <w:pStyle w:val="56"/>
        <w:spacing w:line="360" w:lineRule="auto"/>
        <w:ind w:firstLine="420"/>
      </w:pPr>
      <w:r>
        <w:rPr>
          <w:rFonts w:hint="eastAsia"/>
        </w:rPr>
        <w:t>d）管理制度现状调查；</w:t>
      </w:r>
    </w:p>
    <w:p w14:paraId="781A841C">
      <w:pPr>
        <w:pStyle w:val="56"/>
        <w:spacing w:line="360" w:lineRule="auto"/>
        <w:ind w:firstLine="420"/>
      </w:pPr>
      <w:r>
        <w:rPr>
          <w:rFonts w:hint="eastAsia"/>
        </w:rPr>
        <w:t>e）技术能力和人员能力调查；</w:t>
      </w:r>
    </w:p>
    <w:p w14:paraId="2C4B2613">
      <w:pPr>
        <w:pStyle w:val="56"/>
        <w:spacing w:line="360" w:lineRule="auto"/>
        <w:ind w:firstLine="420"/>
      </w:pPr>
      <w:r>
        <w:rPr>
          <w:rFonts w:hint="eastAsia"/>
        </w:rPr>
        <w:t>f）网络与设备条件调查；</w:t>
      </w:r>
    </w:p>
    <w:p w14:paraId="5A008323">
      <w:pPr>
        <w:pStyle w:val="56"/>
        <w:spacing w:line="360" w:lineRule="auto"/>
        <w:ind w:firstLine="420"/>
      </w:pPr>
      <w:r>
        <w:rPr>
          <w:rFonts w:hint="eastAsia"/>
        </w:rPr>
        <w:t>g）预算与实施资源评估；</w:t>
      </w:r>
    </w:p>
    <w:p w14:paraId="67BAA0F8">
      <w:pPr>
        <w:pStyle w:val="56"/>
        <w:spacing w:line="360" w:lineRule="auto"/>
        <w:ind w:firstLine="420"/>
      </w:pPr>
      <w:r>
        <w:rPr>
          <w:rFonts w:hint="eastAsia"/>
        </w:rPr>
        <w:t>h）运维能力评估。</w:t>
      </w:r>
    </w:p>
    <w:p w14:paraId="07775FD2">
      <w:pPr>
        <w:pStyle w:val="164"/>
        <w:spacing w:line="360" w:lineRule="auto"/>
      </w:pPr>
      <w:r>
        <w:rPr>
          <w:rFonts w:hint="eastAsia"/>
        </w:rPr>
        <w:t>建设准备结果应形成书面材料，作为立项、选型和设计依据。</w:t>
      </w:r>
    </w:p>
    <w:p w14:paraId="67E761B3">
      <w:pPr>
        <w:pStyle w:val="65"/>
        <w:spacing w:before="120" w:after="120" w:line="360" w:lineRule="auto"/>
      </w:pPr>
      <w:r>
        <w:rPr>
          <w:rFonts w:hint="eastAsia"/>
        </w:rPr>
        <w:t>业务现状调查</w:t>
      </w:r>
    </w:p>
    <w:p w14:paraId="26614D8A">
      <w:pPr>
        <w:pStyle w:val="164"/>
        <w:spacing w:line="360" w:lineRule="auto"/>
      </w:pPr>
      <w:r>
        <w:rPr>
          <w:rFonts w:hint="eastAsia"/>
        </w:rPr>
        <w:t>企业应调查拟建设系统所对应的业务流程、业务痛点、管理短板和应用目标。</w:t>
      </w:r>
    </w:p>
    <w:p w14:paraId="5B6F24B7">
      <w:pPr>
        <w:pStyle w:val="164"/>
        <w:spacing w:line="360" w:lineRule="auto"/>
      </w:pPr>
      <w:r>
        <w:rPr>
          <w:rFonts w:hint="eastAsia"/>
        </w:rPr>
        <w:t>业务现状调查应明确当前业务运行方式、现有数据处理方式、现有报表体系、现有分析手段和现有决策流程。</w:t>
      </w:r>
    </w:p>
    <w:p w14:paraId="27C4C427">
      <w:pPr>
        <w:pStyle w:val="164"/>
        <w:spacing w:line="360" w:lineRule="auto"/>
      </w:pPr>
      <w:r>
        <w:rPr>
          <w:rFonts w:hint="eastAsia"/>
        </w:rPr>
        <w:t>业务现状不清的，不得直接提出复杂系统建设需求。</w:t>
      </w:r>
    </w:p>
    <w:p w14:paraId="6D2B9DCC">
      <w:pPr>
        <w:pStyle w:val="65"/>
        <w:spacing w:before="120" w:after="120" w:line="360" w:lineRule="auto"/>
      </w:pPr>
      <w:r>
        <w:rPr>
          <w:rFonts w:hint="eastAsia"/>
        </w:rPr>
        <w:t>信息化基础调查</w:t>
      </w:r>
    </w:p>
    <w:p w14:paraId="7EE29C41">
      <w:pPr>
        <w:pStyle w:val="164"/>
        <w:spacing w:line="360" w:lineRule="auto"/>
      </w:pPr>
      <w:r>
        <w:rPr>
          <w:rFonts w:hint="eastAsia"/>
        </w:rPr>
        <w:t>企业应调查现有信息系统、网络环境、服务器环境、终端设备、数据库环境和接口条件。</w:t>
      </w:r>
    </w:p>
    <w:p w14:paraId="22E5F0A3">
      <w:pPr>
        <w:pStyle w:val="164"/>
        <w:spacing w:line="360" w:lineRule="auto"/>
      </w:pPr>
      <w:r>
        <w:rPr>
          <w:rFonts w:hint="eastAsia"/>
        </w:rPr>
        <w:t>对已上线的 ERP、CRM、MES、SCM、财务系统、办公系统、电商平台和设备管理系统等，应调查其数据开放能力和接口对接能力。</w:t>
      </w:r>
    </w:p>
    <w:p w14:paraId="38504C18">
      <w:pPr>
        <w:pStyle w:val="164"/>
        <w:spacing w:line="360" w:lineRule="auto"/>
      </w:pPr>
      <w:r>
        <w:rPr>
          <w:rFonts w:hint="eastAsia"/>
        </w:rPr>
        <w:t>信息化基础薄弱且短期内无法支撑系统建设的，应先补齐基础条件，再实施人工智能分析系统建设。</w:t>
      </w:r>
    </w:p>
    <w:p w14:paraId="15A224F1">
      <w:pPr>
        <w:pStyle w:val="65"/>
        <w:spacing w:before="120" w:after="120" w:line="360" w:lineRule="auto"/>
      </w:pPr>
      <w:r>
        <w:rPr>
          <w:rFonts w:hint="eastAsia"/>
        </w:rPr>
        <w:t>数据资源调查</w:t>
      </w:r>
    </w:p>
    <w:p w14:paraId="4875866C">
      <w:pPr>
        <w:pStyle w:val="164"/>
        <w:spacing w:line="360" w:lineRule="auto"/>
      </w:pPr>
      <w:r>
        <w:rPr>
          <w:rFonts w:hint="eastAsia"/>
        </w:rPr>
        <w:t>企业应调查现有数据资源种类、来源、更新频率、格式结构、质量状态和管理责任。</w:t>
      </w:r>
    </w:p>
    <w:p w14:paraId="64547A86">
      <w:pPr>
        <w:pStyle w:val="164"/>
        <w:spacing w:line="360" w:lineRule="auto"/>
      </w:pPr>
      <w:r>
        <w:rPr>
          <w:rFonts w:hint="eastAsia"/>
        </w:rPr>
        <w:t>数据资源调查应至少明确：</w:t>
      </w:r>
    </w:p>
    <w:p w14:paraId="5CB3B39A">
      <w:pPr>
        <w:pStyle w:val="56"/>
        <w:spacing w:line="360" w:lineRule="auto"/>
        <w:ind w:firstLine="420"/>
      </w:pPr>
      <w:r>
        <w:rPr>
          <w:rFonts w:hint="eastAsia"/>
        </w:rPr>
        <w:t>a）数据来源系统；</w:t>
      </w:r>
    </w:p>
    <w:p w14:paraId="74FE06EA">
      <w:pPr>
        <w:pStyle w:val="56"/>
        <w:spacing w:line="360" w:lineRule="auto"/>
        <w:ind w:firstLine="420"/>
      </w:pPr>
      <w:r>
        <w:rPr>
          <w:rFonts w:hint="eastAsia"/>
        </w:rPr>
        <w:t>b）数据表或者数据对象；</w:t>
      </w:r>
    </w:p>
    <w:p w14:paraId="505C3565">
      <w:pPr>
        <w:pStyle w:val="56"/>
        <w:spacing w:line="360" w:lineRule="auto"/>
        <w:ind w:firstLine="420"/>
      </w:pPr>
      <w:r>
        <w:rPr>
          <w:rFonts w:hint="eastAsia"/>
        </w:rPr>
        <w:t>c）数据更新频率；</w:t>
      </w:r>
    </w:p>
    <w:p w14:paraId="7C793D3A">
      <w:pPr>
        <w:pStyle w:val="56"/>
        <w:spacing w:line="360" w:lineRule="auto"/>
        <w:ind w:firstLine="420"/>
      </w:pPr>
      <w:r>
        <w:rPr>
          <w:rFonts w:hint="eastAsia"/>
        </w:rPr>
        <w:t>d）数据口径差异；</w:t>
      </w:r>
    </w:p>
    <w:p w14:paraId="522EDC98">
      <w:pPr>
        <w:pStyle w:val="56"/>
        <w:spacing w:line="360" w:lineRule="auto"/>
        <w:ind w:firstLine="420"/>
      </w:pPr>
      <w:r>
        <w:rPr>
          <w:rFonts w:hint="eastAsia"/>
        </w:rPr>
        <w:t>e）数据完整性情况；</w:t>
      </w:r>
    </w:p>
    <w:p w14:paraId="6AD19D3D">
      <w:pPr>
        <w:pStyle w:val="56"/>
        <w:spacing w:line="360" w:lineRule="auto"/>
        <w:ind w:firstLine="420"/>
      </w:pPr>
      <w:r>
        <w:rPr>
          <w:rFonts w:hint="eastAsia"/>
        </w:rPr>
        <w:t>f）数据权限状态；</w:t>
      </w:r>
    </w:p>
    <w:p w14:paraId="068A2E31">
      <w:pPr>
        <w:pStyle w:val="56"/>
        <w:spacing w:line="360" w:lineRule="auto"/>
        <w:ind w:firstLine="420"/>
      </w:pPr>
      <w:r>
        <w:rPr>
          <w:rFonts w:hint="eastAsia"/>
        </w:rPr>
        <w:t>g）数据共享条件；</w:t>
      </w:r>
    </w:p>
    <w:p w14:paraId="060FE620">
      <w:pPr>
        <w:pStyle w:val="56"/>
        <w:spacing w:line="360" w:lineRule="auto"/>
        <w:ind w:firstLine="420"/>
      </w:pPr>
      <w:r>
        <w:rPr>
          <w:rFonts w:hint="eastAsia"/>
        </w:rPr>
        <w:t>h）数据质量问题。</w:t>
      </w:r>
    </w:p>
    <w:p w14:paraId="25750EC1">
      <w:pPr>
        <w:pStyle w:val="164"/>
        <w:spacing w:line="360" w:lineRule="auto"/>
      </w:pPr>
      <w:r>
        <w:rPr>
          <w:rFonts w:hint="eastAsia"/>
        </w:rPr>
        <w:t>数据来源不清、口径不清或者责任不清的数据，不得直接列为核心分析数据源。</w:t>
      </w:r>
    </w:p>
    <w:p w14:paraId="6EACA16B">
      <w:pPr>
        <w:pStyle w:val="65"/>
        <w:spacing w:before="120" w:after="120" w:line="360" w:lineRule="auto"/>
      </w:pPr>
      <w:r>
        <w:rPr>
          <w:rFonts w:hint="eastAsia"/>
        </w:rPr>
        <w:t>资源与条件评估</w:t>
      </w:r>
    </w:p>
    <w:p w14:paraId="3B0E9C03">
      <w:pPr>
        <w:pStyle w:val="164"/>
        <w:spacing w:line="360" w:lineRule="auto"/>
      </w:pPr>
      <w:r>
        <w:rPr>
          <w:rFonts w:hint="eastAsia"/>
        </w:rPr>
        <w:t>企业应评估系统建设所需的人力、财力、设备资源和时间资源。</w:t>
      </w:r>
    </w:p>
    <w:p w14:paraId="73BDD675">
      <w:pPr>
        <w:pStyle w:val="164"/>
        <w:spacing w:line="360" w:lineRule="auto"/>
      </w:pPr>
      <w:r>
        <w:rPr>
          <w:rFonts w:hint="eastAsia"/>
        </w:rPr>
        <w:t>企业应评估自身是否具备部署、使用、维护和持续优化系统的基本能力。</w:t>
      </w:r>
    </w:p>
    <w:p w14:paraId="2E0764AD">
      <w:pPr>
        <w:pStyle w:val="164"/>
        <w:spacing w:line="360" w:lineRule="auto"/>
      </w:pPr>
      <w:r>
        <w:rPr>
          <w:rFonts w:hint="eastAsia"/>
        </w:rPr>
        <w:t>对明显超出本企业当前资源承载能力的建设方案，应进行压缩、分步或者调整，不得一次性铺开建设。</w:t>
      </w:r>
    </w:p>
    <w:p w14:paraId="595E11C8">
      <w:pPr>
        <w:pStyle w:val="105"/>
        <w:spacing w:before="120" w:after="120" w:line="360" w:lineRule="auto"/>
      </w:pPr>
      <w:r>
        <w:rPr>
          <w:rFonts w:hint="eastAsia"/>
        </w:rPr>
        <w:t>立项与可行性分析要求</w:t>
      </w:r>
    </w:p>
    <w:p w14:paraId="6B31E6EA">
      <w:pPr>
        <w:pStyle w:val="65"/>
        <w:spacing w:before="120" w:after="120" w:line="360" w:lineRule="auto"/>
      </w:pPr>
      <w:r>
        <w:rPr>
          <w:rFonts w:hint="eastAsia"/>
        </w:rPr>
        <w:t>一般要求</w:t>
      </w:r>
    </w:p>
    <w:p w14:paraId="351E99A1">
      <w:pPr>
        <w:pStyle w:val="164"/>
        <w:spacing w:line="360" w:lineRule="auto"/>
      </w:pPr>
      <w:r>
        <w:rPr>
          <w:rFonts w:hint="eastAsia"/>
        </w:rPr>
        <w:t>人工智能数据分析系统建设前，宜开展立项和可行性分析。</w:t>
      </w:r>
    </w:p>
    <w:p w14:paraId="664C2A72">
      <w:pPr>
        <w:pStyle w:val="164"/>
        <w:spacing w:line="360" w:lineRule="auto"/>
      </w:pPr>
      <w:r>
        <w:rPr>
          <w:rFonts w:hint="eastAsia"/>
        </w:rPr>
        <w:t>可行性分析应围绕业务必要性、技术可行性、数据可用性、经济合理性、实施可控性和运维可持续性开展。</w:t>
      </w:r>
    </w:p>
    <w:p w14:paraId="4D10B050">
      <w:pPr>
        <w:pStyle w:val="65"/>
        <w:spacing w:before="120" w:after="120" w:line="360" w:lineRule="auto"/>
      </w:pPr>
      <w:r>
        <w:rPr>
          <w:rFonts w:hint="eastAsia"/>
        </w:rPr>
        <w:t>可行性分析内容</w:t>
      </w:r>
    </w:p>
    <w:p w14:paraId="49AF7ECF">
      <w:pPr>
        <w:pStyle w:val="164"/>
        <w:spacing w:line="360" w:lineRule="auto"/>
      </w:pPr>
      <w:r>
        <w:rPr>
          <w:rFonts w:hint="eastAsia"/>
        </w:rPr>
        <w:t>可行性分析宜至少包括下列内容：</w:t>
      </w:r>
    </w:p>
    <w:p w14:paraId="6CAA91C0">
      <w:pPr>
        <w:pStyle w:val="56"/>
        <w:spacing w:line="360" w:lineRule="auto"/>
        <w:ind w:firstLine="420"/>
      </w:pPr>
      <w:r>
        <w:rPr>
          <w:rFonts w:hint="eastAsia"/>
        </w:rPr>
        <w:t>a）建设必要性；</w:t>
      </w:r>
    </w:p>
    <w:p w14:paraId="66A65CD9">
      <w:pPr>
        <w:pStyle w:val="56"/>
        <w:spacing w:line="360" w:lineRule="auto"/>
        <w:ind w:firstLine="420"/>
      </w:pPr>
      <w:r>
        <w:rPr>
          <w:rFonts w:hint="eastAsia"/>
        </w:rPr>
        <w:t>b）应用场景成熟度；</w:t>
      </w:r>
    </w:p>
    <w:p w14:paraId="1744D277">
      <w:pPr>
        <w:pStyle w:val="56"/>
        <w:spacing w:line="360" w:lineRule="auto"/>
        <w:ind w:firstLine="420"/>
      </w:pPr>
      <w:r>
        <w:rPr>
          <w:rFonts w:hint="eastAsia"/>
        </w:rPr>
        <w:t>c）数据基础成熟度；</w:t>
      </w:r>
    </w:p>
    <w:p w14:paraId="464AECB5">
      <w:pPr>
        <w:pStyle w:val="56"/>
        <w:spacing w:line="360" w:lineRule="auto"/>
        <w:ind w:firstLine="420"/>
      </w:pPr>
      <w:r>
        <w:rPr>
          <w:rFonts w:hint="eastAsia"/>
        </w:rPr>
        <w:t>d）技术方案适配性；</w:t>
      </w:r>
    </w:p>
    <w:p w14:paraId="4367AE8D">
      <w:pPr>
        <w:pStyle w:val="56"/>
        <w:spacing w:line="360" w:lineRule="auto"/>
        <w:ind w:firstLine="420"/>
      </w:pPr>
      <w:r>
        <w:rPr>
          <w:rFonts w:hint="eastAsia"/>
        </w:rPr>
        <w:t>e）预算可承受性；</w:t>
      </w:r>
    </w:p>
    <w:p w14:paraId="7BA0260B">
      <w:pPr>
        <w:pStyle w:val="56"/>
        <w:spacing w:line="360" w:lineRule="auto"/>
        <w:ind w:firstLine="420"/>
      </w:pPr>
      <w:r>
        <w:rPr>
          <w:rFonts w:hint="eastAsia"/>
        </w:rPr>
        <w:t>f）实施周期合理性；</w:t>
      </w:r>
    </w:p>
    <w:p w14:paraId="49E0777F">
      <w:pPr>
        <w:pStyle w:val="56"/>
        <w:spacing w:line="360" w:lineRule="auto"/>
        <w:ind w:firstLine="420"/>
      </w:pPr>
      <w:r>
        <w:rPr>
          <w:rFonts w:hint="eastAsia"/>
        </w:rPr>
        <w:t>g）运维能力保障性；</w:t>
      </w:r>
    </w:p>
    <w:p w14:paraId="43551495">
      <w:pPr>
        <w:pStyle w:val="56"/>
        <w:spacing w:line="360" w:lineRule="auto"/>
        <w:ind w:firstLine="420"/>
      </w:pPr>
      <w:r>
        <w:rPr>
          <w:rFonts w:hint="eastAsia"/>
        </w:rPr>
        <w:t>h）安全与合规风险；</w:t>
      </w:r>
    </w:p>
    <w:p w14:paraId="6C55265E">
      <w:pPr>
        <w:pStyle w:val="56"/>
        <w:spacing w:line="360" w:lineRule="auto"/>
        <w:ind w:firstLine="420"/>
      </w:pPr>
      <w:r>
        <w:rPr>
          <w:rFonts w:hint="eastAsia"/>
        </w:rPr>
        <w:t>i）预期收益与管理成效。</w:t>
      </w:r>
    </w:p>
    <w:p w14:paraId="305AD961">
      <w:pPr>
        <w:pStyle w:val="164"/>
        <w:spacing w:line="360" w:lineRule="auto"/>
      </w:pPr>
      <w:r>
        <w:rPr>
          <w:rFonts w:hint="eastAsia"/>
        </w:rPr>
        <w:t>可行性分析结论应明确“适宜建设”“调整后建设”或者“暂缓建设”等意见。</w:t>
      </w:r>
    </w:p>
    <w:p w14:paraId="7D709C73">
      <w:pPr>
        <w:pStyle w:val="105"/>
        <w:spacing w:before="120" w:after="120" w:line="360" w:lineRule="auto"/>
      </w:pPr>
      <w:r>
        <w:rPr>
          <w:rFonts w:hint="eastAsia"/>
        </w:rPr>
        <w:t>业务需求分析要求</w:t>
      </w:r>
    </w:p>
    <w:p w14:paraId="3DE7B069">
      <w:pPr>
        <w:pStyle w:val="65"/>
        <w:spacing w:before="120" w:after="120" w:line="360" w:lineRule="auto"/>
      </w:pPr>
      <w:r>
        <w:rPr>
          <w:rFonts w:hint="eastAsia"/>
        </w:rPr>
        <w:t>一般要求</w:t>
      </w:r>
    </w:p>
    <w:p w14:paraId="293B955A">
      <w:pPr>
        <w:pStyle w:val="164"/>
        <w:spacing w:line="360" w:lineRule="auto"/>
      </w:pPr>
      <w:r>
        <w:rPr>
          <w:rFonts w:hint="eastAsia"/>
        </w:rPr>
        <w:t>业务需求分析应以企业真实管理问题和实际应用目标为导向。</w:t>
      </w:r>
    </w:p>
    <w:p w14:paraId="61B5F1AB">
      <w:pPr>
        <w:pStyle w:val="164"/>
        <w:spacing w:line="360" w:lineRule="auto"/>
      </w:pPr>
      <w:r>
        <w:rPr>
          <w:rFonts w:hint="eastAsia"/>
        </w:rPr>
        <w:t>业务需求应来源于业务部门提出、管理层确认和技术人员协同分析，不得仅由技术供应方单方面定义。</w:t>
      </w:r>
    </w:p>
    <w:p w14:paraId="096FCB74">
      <w:pPr>
        <w:pStyle w:val="164"/>
        <w:spacing w:line="360" w:lineRule="auto"/>
      </w:pPr>
      <w:r>
        <w:rPr>
          <w:rFonts w:hint="eastAsia"/>
        </w:rPr>
        <w:t>业务需求分析应避免泛化、空泛和口号化。</w:t>
      </w:r>
    </w:p>
    <w:p w14:paraId="550329FB">
      <w:pPr>
        <w:pStyle w:val="65"/>
        <w:spacing w:before="120" w:after="120" w:line="360" w:lineRule="auto"/>
      </w:pPr>
      <w:r>
        <w:rPr>
          <w:rFonts w:hint="eastAsia"/>
        </w:rPr>
        <w:t>需求内容</w:t>
      </w:r>
    </w:p>
    <w:p w14:paraId="26A79A06">
      <w:pPr>
        <w:pStyle w:val="164"/>
        <w:spacing w:line="360" w:lineRule="auto"/>
      </w:pPr>
      <w:r>
        <w:rPr>
          <w:rFonts w:hint="eastAsia"/>
        </w:rPr>
        <w:t>业务需求分析宜至少包括下列内容：</w:t>
      </w:r>
    </w:p>
    <w:p w14:paraId="0E580CAB">
      <w:pPr>
        <w:pStyle w:val="56"/>
        <w:spacing w:line="360" w:lineRule="auto"/>
        <w:ind w:firstLine="420"/>
      </w:pPr>
      <w:r>
        <w:rPr>
          <w:rFonts w:hint="eastAsia"/>
        </w:rPr>
        <w:t>a）需要解决的业务问题；</w:t>
      </w:r>
    </w:p>
    <w:p w14:paraId="62EAACD3">
      <w:pPr>
        <w:pStyle w:val="56"/>
        <w:spacing w:line="360" w:lineRule="auto"/>
        <w:ind w:firstLine="420"/>
      </w:pPr>
      <w:r>
        <w:rPr>
          <w:rFonts w:hint="eastAsia"/>
        </w:rPr>
        <w:t>b）分析对象；</w:t>
      </w:r>
    </w:p>
    <w:p w14:paraId="5FF4F70A">
      <w:pPr>
        <w:pStyle w:val="56"/>
        <w:spacing w:line="360" w:lineRule="auto"/>
        <w:ind w:firstLine="420"/>
      </w:pPr>
      <w:r>
        <w:rPr>
          <w:rFonts w:hint="eastAsia"/>
        </w:rPr>
        <w:t>c）分析周期；</w:t>
      </w:r>
    </w:p>
    <w:p w14:paraId="53B6130C">
      <w:pPr>
        <w:pStyle w:val="56"/>
        <w:spacing w:line="360" w:lineRule="auto"/>
        <w:ind w:firstLine="420"/>
      </w:pPr>
      <w:r>
        <w:rPr>
          <w:rFonts w:hint="eastAsia"/>
        </w:rPr>
        <w:t>d）分析维度；</w:t>
      </w:r>
    </w:p>
    <w:p w14:paraId="0B059A17">
      <w:pPr>
        <w:pStyle w:val="56"/>
        <w:spacing w:line="360" w:lineRule="auto"/>
        <w:ind w:firstLine="420"/>
      </w:pPr>
      <w:r>
        <w:rPr>
          <w:rFonts w:hint="eastAsia"/>
        </w:rPr>
        <w:t>e）输出结果形式；</w:t>
      </w:r>
    </w:p>
    <w:p w14:paraId="70F518F4">
      <w:pPr>
        <w:pStyle w:val="56"/>
        <w:spacing w:line="360" w:lineRule="auto"/>
        <w:ind w:firstLine="420"/>
      </w:pPr>
      <w:r>
        <w:rPr>
          <w:rFonts w:hint="eastAsia"/>
        </w:rPr>
        <w:t>f）结果使用部门；</w:t>
      </w:r>
    </w:p>
    <w:p w14:paraId="05CB361D">
      <w:pPr>
        <w:pStyle w:val="56"/>
        <w:spacing w:line="360" w:lineRule="auto"/>
        <w:ind w:firstLine="420"/>
      </w:pPr>
      <w:r>
        <w:rPr>
          <w:rFonts w:hint="eastAsia"/>
        </w:rPr>
        <w:t>g）结果使用频率；</w:t>
      </w:r>
    </w:p>
    <w:p w14:paraId="5FE7B88C">
      <w:pPr>
        <w:pStyle w:val="56"/>
        <w:spacing w:line="360" w:lineRule="auto"/>
        <w:ind w:firstLine="420"/>
      </w:pPr>
      <w:r>
        <w:rPr>
          <w:rFonts w:hint="eastAsia"/>
        </w:rPr>
        <w:t>h）响应时效要求；</w:t>
      </w:r>
    </w:p>
    <w:p w14:paraId="579FADAC">
      <w:pPr>
        <w:pStyle w:val="56"/>
        <w:spacing w:line="360" w:lineRule="auto"/>
        <w:ind w:firstLine="420"/>
      </w:pPr>
      <w:r>
        <w:rPr>
          <w:rFonts w:hint="eastAsia"/>
        </w:rPr>
        <w:t>i）人工复核要求；</w:t>
      </w:r>
    </w:p>
    <w:p w14:paraId="74D946DE">
      <w:pPr>
        <w:pStyle w:val="56"/>
        <w:spacing w:line="360" w:lineRule="auto"/>
        <w:ind w:firstLine="420"/>
      </w:pPr>
      <w:r>
        <w:rPr>
          <w:rFonts w:hint="eastAsia"/>
        </w:rPr>
        <w:t>j）结果应用边界。</w:t>
      </w:r>
    </w:p>
    <w:p w14:paraId="37240BEE">
      <w:pPr>
        <w:pStyle w:val="164"/>
        <w:spacing w:line="360" w:lineRule="auto"/>
      </w:pPr>
      <w:r>
        <w:rPr>
          <w:rFonts w:hint="eastAsia"/>
        </w:rPr>
        <w:t>同一系统包含多个业务场景时，应分别形成场景化需求，不得将不同场景需求混杂为单一模糊需求。</w:t>
      </w:r>
    </w:p>
    <w:p w14:paraId="4B1DD9C2">
      <w:pPr>
        <w:pStyle w:val="65"/>
        <w:spacing w:before="120" w:after="120" w:line="360" w:lineRule="auto"/>
      </w:pPr>
      <w:r>
        <w:rPr>
          <w:rFonts w:hint="eastAsia"/>
        </w:rPr>
        <w:t>需求确认要求</w:t>
      </w:r>
    </w:p>
    <w:p w14:paraId="1C6A98D3">
      <w:pPr>
        <w:pStyle w:val="164"/>
        <w:spacing w:line="360" w:lineRule="auto"/>
      </w:pPr>
      <w:r>
        <w:rPr>
          <w:rFonts w:hint="eastAsia"/>
        </w:rPr>
        <w:t>业务需求分析完成后，应由相关业务部门确认。</w:t>
      </w:r>
    </w:p>
    <w:p w14:paraId="7B8DFFA3">
      <w:pPr>
        <w:pStyle w:val="164"/>
        <w:spacing w:line="360" w:lineRule="auto"/>
      </w:pPr>
      <w:r>
        <w:rPr>
          <w:rFonts w:hint="eastAsia"/>
        </w:rPr>
        <w:t>未经业务确认的需求，不得直接进入正式开发范围。</w:t>
      </w:r>
    </w:p>
    <w:p w14:paraId="1B39D1EF">
      <w:pPr>
        <w:pStyle w:val="164"/>
        <w:spacing w:line="360" w:lineRule="auto"/>
      </w:pPr>
      <w:r>
        <w:rPr>
          <w:rFonts w:hint="eastAsia"/>
        </w:rPr>
        <w:t>建设过程中新增重要需求时，应履行补充确认程序。</w:t>
      </w:r>
    </w:p>
    <w:p w14:paraId="09F57F15">
      <w:pPr>
        <w:pStyle w:val="105"/>
        <w:spacing w:before="120" w:after="120" w:line="360" w:lineRule="auto"/>
      </w:pPr>
      <w:r>
        <w:rPr>
          <w:rFonts w:hint="eastAsia"/>
        </w:rPr>
        <w:t>数据需求分析要求</w:t>
      </w:r>
    </w:p>
    <w:p w14:paraId="32C251F1">
      <w:pPr>
        <w:pStyle w:val="65"/>
        <w:spacing w:before="120" w:after="120" w:line="360" w:lineRule="auto"/>
      </w:pPr>
      <w:r>
        <w:rPr>
          <w:rFonts w:hint="eastAsia"/>
        </w:rPr>
        <w:t>一般要求</w:t>
      </w:r>
    </w:p>
    <w:p w14:paraId="7D561FDF">
      <w:pPr>
        <w:pStyle w:val="164"/>
        <w:spacing w:line="360" w:lineRule="auto"/>
      </w:pPr>
      <w:r>
        <w:rPr>
          <w:rFonts w:hint="eastAsia"/>
        </w:rPr>
        <w:t>系统建设前，应开展数据需求分析。</w:t>
      </w:r>
    </w:p>
    <w:p w14:paraId="7C32F2DC">
      <w:pPr>
        <w:pStyle w:val="164"/>
        <w:spacing w:line="360" w:lineRule="auto"/>
      </w:pPr>
      <w:r>
        <w:rPr>
          <w:rFonts w:hint="eastAsia"/>
        </w:rPr>
        <w:t>数据需求分析应明确系统需要哪些数据、数据从哪里来、数据如何治理、数据如何更新以及数据能否满足分析任务要求。</w:t>
      </w:r>
    </w:p>
    <w:p w14:paraId="7D69A9EB">
      <w:pPr>
        <w:pStyle w:val="65"/>
        <w:spacing w:before="120" w:after="120" w:line="360" w:lineRule="auto"/>
      </w:pPr>
      <w:r>
        <w:rPr>
          <w:rFonts w:hint="eastAsia"/>
        </w:rPr>
        <w:t>分析内容</w:t>
      </w:r>
    </w:p>
    <w:p w14:paraId="3488A55B">
      <w:pPr>
        <w:pStyle w:val="164"/>
        <w:spacing w:line="360" w:lineRule="auto"/>
      </w:pPr>
      <w:r>
        <w:rPr>
          <w:rFonts w:hint="eastAsia"/>
        </w:rPr>
        <w:t>数据需求分析宜至少包括下列内容：</w:t>
      </w:r>
    </w:p>
    <w:p w14:paraId="515B075A">
      <w:pPr>
        <w:pStyle w:val="56"/>
        <w:spacing w:line="360" w:lineRule="auto"/>
        <w:ind w:firstLine="420"/>
      </w:pPr>
      <w:r>
        <w:rPr>
          <w:rFonts w:hint="eastAsia"/>
        </w:rPr>
        <w:t>a）核心数据源；</w:t>
      </w:r>
    </w:p>
    <w:p w14:paraId="2C35F9D0">
      <w:pPr>
        <w:pStyle w:val="56"/>
        <w:spacing w:line="360" w:lineRule="auto"/>
        <w:ind w:firstLine="420"/>
      </w:pPr>
      <w:r>
        <w:rPr>
          <w:rFonts w:hint="eastAsia"/>
        </w:rPr>
        <w:t>b）辅助数据源；</w:t>
      </w:r>
    </w:p>
    <w:p w14:paraId="2DBD6C8B">
      <w:pPr>
        <w:pStyle w:val="56"/>
        <w:spacing w:line="360" w:lineRule="auto"/>
        <w:ind w:firstLine="420"/>
      </w:pPr>
      <w:r>
        <w:rPr>
          <w:rFonts w:hint="eastAsia"/>
        </w:rPr>
        <w:t>c）外部数据源；</w:t>
      </w:r>
    </w:p>
    <w:p w14:paraId="56F9CB04">
      <w:pPr>
        <w:pStyle w:val="56"/>
        <w:spacing w:line="360" w:lineRule="auto"/>
        <w:ind w:firstLine="420"/>
      </w:pPr>
      <w:r>
        <w:rPr>
          <w:rFonts w:hint="eastAsia"/>
        </w:rPr>
        <w:t>d）数据粒度；</w:t>
      </w:r>
    </w:p>
    <w:p w14:paraId="47EE2CF9">
      <w:pPr>
        <w:pStyle w:val="56"/>
        <w:spacing w:line="360" w:lineRule="auto"/>
        <w:ind w:firstLine="420"/>
      </w:pPr>
      <w:r>
        <w:rPr>
          <w:rFonts w:hint="eastAsia"/>
        </w:rPr>
        <w:t>e）数据周期；</w:t>
      </w:r>
    </w:p>
    <w:p w14:paraId="1740221A">
      <w:pPr>
        <w:pStyle w:val="56"/>
        <w:spacing w:line="360" w:lineRule="auto"/>
        <w:ind w:firstLine="420"/>
      </w:pPr>
      <w:r>
        <w:rPr>
          <w:rFonts w:hint="eastAsia"/>
        </w:rPr>
        <w:t>f）数据更新频率；</w:t>
      </w:r>
    </w:p>
    <w:p w14:paraId="12690A87">
      <w:pPr>
        <w:pStyle w:val="56"/>
        <w:spacing w:line="360" w:lineRule="auto"/>
        <w:ind w:firstLine="420"/>
      </w:pPr>
      <w:r>
        <w:rPr>
          <w:rFonts w:hint="eastAsia"/>
        </w:rPr>
        <w:t>g）数据质量要求；</w:t>
      </w:r>
    </w:p>
    <w:p w14:paraId="62C590AB">
      <w:pPr>
        <w:pStyle w:val="56"/>
        <w:spacing w:line="360" w:lineRule="auto"/>
        <w:ind w:firstLine="420"/>
      </w:pPr>
      <w:r>
        <w:rPr>
          <w:rFonts w:hint="eastAsia"/>
        </w:rPr>
        <w:t>h）数据清洗与整合要求；</w:t>
      </w:r>
    </w:p>
    <w:p w14:paraId="504BCFBB">
      <w:pPr>
        <w:pStyle w:val="56"/>
        <w:spacing w:line="360" w:lineRule="auto"/>
        <w:ind w:firstLine="420"/>
      </w:pPr>
      <w:r>
        <w:rPr>
          <w:rFonts w:hint="eastAsia"/>
        </w:rPr>
        <w:t>i）数据权限要求；</w:t>
      </w:r>
    </w:p>
    <w:p w14:paraId="1B34A60D">
      <w:pPr>
        <w:pStyle w:val="56"/>
        <w:spacing w:line="360" w:lineRule="auto"/>
        <w:ind w:firstLine="420"/>
      </w:pPr>
      <w:r>
        <w:rPr>
          <w:rFonts w:hint="eastAsia"/>
        </w:rPr>
        <w:t>j）数据保留期限。</w:t>
      </w:r>
    </w:p>
    <w:p w14:paraId="353928CC">
      <w:pPr>
        <w:pStyle w:val="164"/>
        <w:spacing w:line="360" w:lineRule="auto"/>
      </w:pPr>
      <w:r>
        <w:rPr>
          <w:rFonts w:hint="eastAsia"/>
        </w:rPr>
        <w:t>数据需求分析应同步识别主数据项、关键指标项、关键维度项和高敏感数据项。</w:t>
      </w:r>
    </w:p>
    <w:p w14:paraId="3FFC860E">
      <w:pPr>
        <w:pStyle w:val="65"/>
        <w:spacing w:before="120" w:after="120" w:line="360" w:lineRule="auto"/>
      </w:pPr>
      <w:r>
        <w:rPr>
          <w:rFonts w:hint="eastAsia"/>
        </w:rPr>
        <w:t>数据适配性要求</w:t>
      </w:r>
    </w:p>
    <w:p w14:paraId="4B451239">
      <w:pPr>
        <w:pStyle w:val="164"/>
        <w:spacing w:line="360" w:lineRule="auto"/>
      </w:pPr>
      <w:r>
        <w:rPr>
          <w:rFonts w:hint="eastAsia"/>
        </w:rPr>
        <w:t>数据需求分析后，应判断数据是否适合支撑相应分析任务。</w:t>
      </w:r>
    </w:p>
    <w:p w14:paraId="22169B9F">
      <w:pPr>
        <w:pStyle w:val="164"/>
        <w:spacing w:line="360" w:lineRule="auto"/>
      </w:pPr>
      <w:r>
        <w:rPr>
          <w:rFonts w:hint="eastAsia"/>
        </w:rPr>
        <w:t>对来源不连续、口径不统一、缺失严重或者质量长期不稳定的数据，应先开展治理，不得直接以其作为核心分析依据。</w:t>
      </w:r>
    </w:p>
    <w:p w14:paraId="01567D01">
      <w:pPr>
        <w:pStyle w:val="164"/>
        <w:spacing w:line="360" w:lineRule="auto"/>
      </w:pPr>
      <w:r>
        <w:rPr>
          <w:rFonts w:hint="eastAsia"/>
        </w:rPr>
        <w:t>数据适配性不足的分析需求，应调整需求范围、调整分析方法或者暂缓上线。</w:t>
      </w:r>
    </w:p>
    <w:p w14:paraId="40D794FB">
      <w:pPr>
        <w:pStyle w:val="105"/>
        <w:spacing w:before="120" w:after="120" w:line="360" w:lineRule="auto"/>
      </w:pPr>
      <w:r>
        <w:rPr>
          <w:rFonts w:hint="eastAsia"/>
        </w:rPr>
        <w:t>功能需求分析要求</w:t>
      </w:r>
    </w:p>
    <w:p w14:paraId="7E08E8C3">
      <w:pPr>
        <w:pStyle w:val="65"/>
        <w:spacing w:before="120" w:after="120" w:line="360" w:lineRule="auto"/>
      </w:pPr>
      <w:r>
        <w:rPr>
          <w:rFonts w:hint="eastAsia"/>
        </w:rPr>
        <w:t>一般要求</w:t>
      </w:r>
    </w:p>
    <w:p w14:paraId="5E3293F7">
      <w:pPr>
        <w:pStyle w:val="164"/>
        <w:spacing w:line="360" w:lineRule="auto"/>
      </w:pPr>
      <w:r>
        <w:rPr>
          <w:rFonts w:hint="eastAsia"/>
        </w:rPr>
        <w:t>系统建设前，应明确功能需求。</w:t>
      </w:r>
    </w:p>
    <w:p w14:paraId="5F4FA3EC">
      <w:pPr>
        <w:pStyle w:val="164"/>
        <w:spacing w:line="360" w:lineRule="auto"/>
      </w:pPr>
      <w:r>
        <w:rPr>
          <w:rFonts w:hint="eastAsia"/>
        </w:rPr>
        <w:t>功能需求应与业务需求和数据需求一一对应，不得出现无业务支撑的功能堆砌。</w:t>
      </w:r>
    </w:p>
    <w:p w14:paraId="6235E8FE">
      <w:pPr>
        <w:pStyle w:val="65"/>
        <w:spacing w:before="120" w:after="120" w:line="360" w:lineRule="auto"/>
      </w:pPr>
      <w:r>
        <w:rPr>
          <w:rFonts w:hint="eastAsia"/>
        </w:rPr>
        <w:t>功能内容</w:t>
      </w:r>
    </w:p>
    <w:p w14:paraId="114DF601">
      <w:pPr>
        <w:pStyle w:val="164"/>
        <w:spacing w:line="360" w:lineRule="auto"/>
      </w:pPr>
      <w:r>
        <w:rPr>
          <w:rFonts w:hint="eastAsia"/>
        </w:rPr>
        <w:t>功能需求宜至少包括下列内容：</w:t>
      </w:r>
    </w:p>
    <w:p w14:paraId="06617DC7">
      <w:pPr>
        <w:pStyle w:val="56"/>
        <w:spacing w:line="360" w:lineRule="auto"/>
        <w:ind w:firstLine="420"/>
      </w:pPr>
      <w:r>
        <w:rPr>
          <w:rFonts w:hint="eastAsia"/>
        </w:rPr>
        <w:t>a）数据接入功能；</w:t>
      </w:r>
    </w:p>
    <w:p w14:paraId="6522E40D">
      <w:pPr>
        <w:pStyle w:val="56"/>
        <w:spacing w:line="360" w:lineRule="auto"/>
        <w:ind w:firstLine="420"/>
      </w:pPr>
      <w:r>
        <w:rPr>
          <w:rFonts w:hint="eastAsia"/>
        </w:rPr>
        <w:t>b）数据清洗与治理功能；</w:t>
      </w:r>
    </w:p>
    <w:p w14:paraId="0693BFBC">
      <w:pPr>
        <w:pStyle w:val="56"/>
        <w:spacing w:line="360" w:lineRule="auto"/>
        <w:ind w:firstLine="420"/>
      </w:pPr>
      <w:r>
        <w:rPr>
          <w:rFonts w:hint="eastAsia"/>
        </w:rPr>
        <w:t>c）分析建模功能；</w:t>
      </w:r>
    </w:p>
    <w:p w14:paraId="6D2F502F">
      <w:pPr>
        <w:pStyle w:val="56"/>
        <w:spacing w:line="360" w:lineRule="auto"/>
        <w:ind w:firstLine="420"/>
      </w:pPr>
      <w:r>
        <w:rPr>
          <w:rFonts w:hint="eastAsia"/>
        </w:rPr>
        <w:t>d）报表与可视化展示功能；</w:t>
      </w:r>
    </w:p>
    <w:p w14:paraId="4B240074">
      <w:pPr>
        <w:pStyle w:val="56"/>
        <w:spacing w:line="360" w:lineRule="auto"/>
        <w:ind w:firstLine="420"/>
      </w:pPr>
      <w:r>
        <w:rPr>
          <w:rFonts w:hint="eastAsia"/>
        </w:rPr>
        <w:t>e）预警提示功能；</w:t>
      </w:r>
    </w:p>
    <w:p w14:paraId="3F3232D7">
      <w:pPr>
        <w:pStyle w:val="56"/>
        <w:spacing w:line="360" w:lineRule="auto"/>
        <w:ind w:firstLine="420"/>
      </w:pPr>
      <w:r>
        <w:rPr>
          <w:rFonts w:hint="eastAsia"/>
        </w:rPr>
        <w:t>f）结果查询与导出功能；</w:t>
      </w:r>
    </w:p>
    <w:p w14:paraId="03D52DA3">
      <w:pPr>
        <w:pStyle w:val="56"/>
        <w:spacing w:line="360" w:lineRule="auto"/>
        <w:ind w:firstLine="420"/>
      </w:pPr>
      <w:r>
        <w:rPr>
          <w:rFonts w:hint="eastAsia"/>
        </w:rPr>
        <w:t>g）权限控制功能；</w:t>
      </w:r>
    </w:p>
    <w:p w14:paraId="24447D4A">
      <w:pPr>
        <w:pStyle w:val="56"/>
        <w:spacing w:line="360" w:lineRule="auto"/>
        <w:ind w:firstLine="420"/>
      </w:pPr>
      <w:r>
        <w:rPr>
          <w:rFonts w:hint="eastAsia"/>
        </w:rPr>
        <w:t>h）运行监测功能；</w:t>
      </w:r>
    </w:p>
    <w:p w14:paraId="728746C3">
      <w:pPr>
        <w:pStyle w:val="56"/>
        <w:spacing w:line="360" w:lineRule="auto"/>
        <w:ind w:firstLine="420"/>
      </w:pPr>
      <w:r>
        <w:rPr>
          <w:rFonts w:hint="eastAsia"/>
        </w:rPr>
        <w:t>i）日志审计功能；</w:t>
      </w:r>
    </w:p>
    <w:p w14:paraId="07B68FB3">
      <w:pPr>
        <w:pStyle w:val="56"/>
        <w:spacing w:line="360" w:lineRule="auto"/>
        <w:ind w:firstLine="420"/>
      </w:pPr>
      <w:r>
        <w:rPr>
          <w:rFonts w:hint="eastAsia"/>
        </w:rPr>
        <w:t>j）系统管理功能。</w:t>
      </w:r>
    </w:p>
    <w:p w14:paraId="600C3BB8">
      <w:pPr>
        <w:pStyle w:val="164"/>
        <w:spacing w:line="360" w:lineRule="auto"/>
      </w:pPr>
      <w:r>
        <w:rPr>
          <w:rFonts w:hint="eastAsia"/>
        </w:rPr>
        <w:t>对中小企业实际使用频率低、维护负担大和收益不明显的复杂功能，不宜强制纳入首期建设范围。</w:t>
      </w:r>
    </w:p>
    <w:p w14:paraId="35881226">
      <w:pPr>
        <w:pStyle w:val="105"/>
        <w:spacing w:before="120" w:after="120" w:line="360" w:lineRule="auto"/>
      </w:pPr>
      <w:r>
        <w:rPr>
          <w:rFonts w:hint="eastAsia"/>
        </w:rPr>
        <w:t>性能与运维需求分析要求</w:t>
      </w:r>
    </w:p>
    <w:p w14:paraId="72438C00">
      <w:pPr>
        <w:pStyle w:val="65"/>
        <w:spacing w:before="120" w:after="120" w:line="360" w:lineRule="auto"/>
      </w:pPr>
      <w:r>
        <w:rPr>
          <w:rFonts w:hint="eastAsia"/>
        </w:rPr>
        <w:t>性能需求</w:t>
      </w:r>
    </w:p>
    <w:p w14:paraId="652174D9">
      <w:pPr>
        <w:pStyle w:val="164"/>
        <w:spacing w:line="360" w:lineRule="auto"/>
      </w:pPr>
      <w:r>
        <w:rPr>
          <w:rFonts w:hint="eastAsia"/>
        </w:rPr>
        <w:t>系统建设前，应明确性能需求。</w:t>
      </w:r>
    </w:p>
    <w:p w14:paraId="5D9A655A">
      <w:pPr>
        <w:pStyle w:val="164"/>
        <w:spacing w:line="360" w:lineRule="auto"/>
      </w:pPr>
      <w:r>
        <w:rPr>
          <w:rFonts w:hint="eastAsia"/>
        </w:rPr>
        <w:t>性能需求宜包括并发用户数、数据处理量、响应时长、分析周期、报表生成时限和预警响应时限等内容。</w:t>
      </w:r>
    </w:p>
    <w:p w14:paraId="34492D09">
      <w:pPr>
        <w:pStyle w:val="164"/>
        <w:spacing w:line="360" w:lineRule="auto"/>
      </w:pPr>
      <w:r>
        <w:rPr>
          <w:rFonts w:hint="eastAsia"/>
        </w:rPr>
        <w:t>性能指标设置应符合中小企业实际应用规模，不得盲目按照大型企业标准配置。</w:t>
      </w:r>
    </w:p>
    <w:p w14:paraId="2EDB1DFA">
      <w:pPr>
        <w:pStyle w:val="65"/>
        <w:spacing w:before="120" w:after="120" w:line="360" w:lineRule="auto"/>
      </w:pPr>
      <w:r>
        <w:rPr>
          <w:rFonts w:hint="eastAsia"/>
        </w:rPr>
        <w:t>运维需求</w:t>
      </w:r>
    </w:p>
    <w:p w14:paraId="25DCB8C6">
      <w:pPr>
        <w:pStyle w:val="164"/>
        <w:spacing w:line="360" w:lineRule="auto"/>
      </w:pPr>
      <w:r>
        <w:rPr>
          <w:rFonts w:hint="eastAsia"/>
        </w:rPr>
        <w:t>系统建设前，应明确运维需求。</w:t>
      </w:r>
    </w:p>
    <w:p w14:paraId="3F00A5EE">
      <w:pPr>
        <w:pStyle w:val="164"/>
        <w:spacing w:line="360" w:lineRule="auto"/>
      </w:pPr>
      <w:r>
        <w:rPr>
          <w:rFonts w:hint="eastAsia"/>
        </w:rPr>
        <w:t>运维需求宜包括监测方式、巡检频率、故障响应时限、数据维护要求、模型更新要求、备份恢复要求、日志保留要求和用户支持方式等内容。</w:t>
      </w:r>
    </w:p>
    <w:p w14:paraId="39FF2F87">
      <w:pPr>
        <w:pStyle w:val="164"/>
        <w:spacing w:line="360" w:lineRule="auto"/>
      </w:pPr>
      <w:r>
        <w:rPr>
          <w:rFonts w:hint="eastAsia"/>
        </w:rPr>
        <w:t>无法落实运维责任和运维资源的功能模块，不宜直接投入正式建设范围。</w:t>
      </w:r>
    </w:p>
    <w:p w14:paraId="6B7DB4CC">
      <w:pPr>
        <w:pStyle w:val="105"/>
        <w:spacing w:before="120" w:after="120" w:line="360" w:lineRule="auto"/>
      </w:pPr>
      <w:r>
        <w:rPr>
          <w:rFonts w:hint="eastAsia"/>
        </w:rPr>
        <w:t>安全与合规需求分析要求</w:t>
      </w:r>
    </w:p>
    <w:p w14:paraId="5D56F080">
      <w:pPr>
        <w:pStyle w:val="65"/>
        <w:spacing w:before="120" w:after="120" w:line="360" w:lineRule="auto"/>
      </w:pPr>
      <w:r>
        <w:rPr>
          <w:rFonts w:hint="eastAsia"/>
        </w:rPr>
        <w:t>一般要求</w:t>
      </w:r>
    </w:p>
    <w:p w14:paraId="3F92F0F3">
      <w:pPr>
        <w:pStyle w:val="164"/>
        <w:spacing w:line="360" w:lineRule="auto"/>
      </w:pPr>
      <w:r>
        <w:rPr>
          <w:rFonts w:hint="eastAsia"/>
        </w:rPr>
        <w:t>系统建设前，应开展安全与合规需求分析。</w:t>
      </w:r>
    </w:p>
    <w:p w14:paraId="41EDF0F3">
      <w:pPr>
        <w:pStyle w:val="164"/>
        <w:spacing w:line="360" w:lineRule="auto"/>
      </w:pPr>
      <w:r>
        <w:rPr>
          <w:rFonts w:hint="eastAsia"/>
        </w:rPr>
        <w:t>安全与合规需求分析应覆盖数据安全、网络安全、账号安全、权限安全、日志审计和合规使用要求。</w:t>
      </w:r>
    </w:p>
    <w:p w14:paraId="49F3CCDE">
      <w:pPr>
        <w:pStyle w:val="65"/>
        <w:spacing w:before="120" w:after="120" w:line="360" w:lineRule="auto"/>
      </w:pPr>
      <w:r>
        <w:rPr>
          <w:rFonts w:hint="eastAsia"/>
        </w:rPr>
        <w:t>分析内容</w:t>
      </w:r>
    </w:p>
    <w:p w14:paraId="145BCA98">
      <w:pPr>
        <w:pStyle w:val="164"/>
        <w:spacing w:line="360" w:lineRule="auto"/>
      </w:pPr>
      <w:r>
        <w:rPr>
          <w:rFonts w:hint="eastAsia"/>
        </w:rPr>
        <w:t>安全与合规需求分析宜至少包括下列内容：</w:t>
      </w:r>
    </w:p>
    <w:p w14:paraId="09821915">
      <w:pPr>
        <w:pStyle w:val="56"/>
        <w:spacing w:line="360" w:lineRule="auto"/>
        <w:ind w:firstLine="420"/>
      </w:pPr>
      <w:r>
        <w:rPr>
          <w:rFonts w:hint="eastAsia"/>
        </w:rPr>
        <w:t>a）数据敏感程度；</w:t>
      </w:r>
    </w:p>
    <w:p w14:paraId="5F08FF09">
      <w:pPr>
        <w:pStyle w:val="56"/>
        <w:spacing w:line="360" w:lineRule="auto"/>
        <w:ind w:firstLine="420"/>
      </w:pPr>
      <w:r>
        <w:rPr>
          <w:rFonts w:hint="eastAsia"/>
        </w:rPr>
        <w:t>b）用户角色和权限边界；</w:t>
      </w:r>
    </w:p>
    <w:p w14:paraId="772CF640">
      <w:pPr>
        <w:pStyle w:val="56"/>
        <w:spacing w:line="360" w:lineRule="auto"/>
        <w:ind w:firstLine="420"/>
      </w:pPr>
      <w:r>
        <w:rPr>
          <w:rFonts w:hint="eastAsia"/>
        </w:rPr>
        <w:t>c）外部访问需求；</w:t>
      </w:r>
    </w:p>
    <w:p w14:paraId="12EFEA5E">
      <w:pPr>
        <w:pStyle w:val="56"/>
        <w:spacing w:line="360" w:lineRule="auto"/>
        <w:ind w:firstLine="420"/>
      </w:pPr>
      <w:r>
        <w:rPr>
          <w:rFonts w:hint="eastAsia"/>
        </w:rPr>
        <w:t>d）数据导出需求；</w:t>
      </w:r>
    </w:p>
    <w:p w14:paraId="18FEC808">
      <w:pPr>
        <w:pStyle w:val="56"/>
        <w:spacing w:line="360" w:lineRule="auto"/>
        <w:ind w:firstLine="420"/>
      </w:pPr>
      <w:r>
        <w:rPr>
          <w:rFonts w:hint="eastAsia"/>
        </w:rPr>
        <w:t>e）接口开放需求；</w:t>
      </w:r>
    </w:p>
    <w:p w14:paraId="014C9102">
      <w:pPr>
        <w:pStyle w:val="56"/>
        <w:spacing w:line="360" w:lineRule="auto"/>
        <w:ind w:firstLine="420"/>
      </w:pPr>
      <w:r>
        <w:rPr>
          <w:rFonts w:hint="eastAsia"/>
        </w:rPr>
        <w:t>f）备份恢复需求；</w:t>
      </w:r>
    </w:p>
    <w:p w14:paraId="7163B2BF">
      <w:pPr>
        <w:pStyle w:val="56"/>
        <w:spacing w:line="360" w:lineRule="auto"/>
        <w:ind w:firstLine="420"/>
      </w:pPr>
      <w:r>
        <w:rPr>
          <w:rFonts w:hint="eastAsia"/>
        </w:rPr>
        <w:t>g）日志留痕需求；</w:t>
      </w:r>
    </w:p>
    <w:p w14:paraId="348225FF">
      <w:pPr>
        <w:pStyle w:val="56"/>
        <w:spacing w:line="360" w:lineRule="auto"/>
        <w:ind w:firstLine="420"/>
      </w:pPr>
      <w:r>
        <w:rPr>
          <w:rFonts w:hint="eastAsia"/>
        </w:rPr>
        <w:t>h）法律合规要求。</w:t>
      </w:r>
    </w:p>
    <w:p w14:paraId="7A69A40D">
      <w:pPr>
        <w:pStyle w:val="164"/>
        <w:spacing w:line="360" w:lineRule="auto"/>
      </w:pPr>
      <w:r>
        <w:rPr>
          <w:rFonts w:hint="eastAsia"/>
        </w:rPr>
        <w:t>对涉及客户信息、员工信息、财务信息和交易信息的分析系统，应提高安全与合规要求。</w:t>
      </w:r>
    </w:p>
    <w:p w14:paraId="1DA44E74">
      <w:pPr>
        <w:pStyle w:val="105"/>
        <w:spacing w:before="120" w:after="120" w:line="360" w:lineRule="auto"/>
      </w:pPr>
      <w:r>
        <w:rPr>
          <w:rFonts w:hint="eastAsia"/>
        </w:rPr>
        <w:t>建设准备与需求分析要点</w:t>
      </w:r>
    </w:p>
    <w:p w14:paraId="31A7BF7E">
      <w:pPr>
        <w:pStyle w:val="56"/>
        <w:spacing w:line="360" w:lineRule="auto"/>
        <w:ind w:firstLine="420"/>
      </w:pPr>
      <w:r>
        <w:rPr>
          <w:rFonts w:hint="eastAsia"/>
        </w:rPr>
        <w:t>建设准备与需求分析的主要内容见表1。表1给出了建设准备与需求分析的主要内容及控制要点。</w:t>
      </w:r>
    </w:p>
    <w:p w14:paraId="285226B2">
      <w:pPr>
        <w:pStyle w:val="112"/>
        <w:spacing w:before="120" w:after="120" w:line="360" w:lineRule="auto"/>
      </w:pPr>
      <w:r>
        <w:rPr>
          <w:rFonts w:hint="eastAsia"/>
        </w:rPr>
        <w:t>建设准备与需求分析要点表</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833"/>
        <w:gridCol w:w="4389"/>
        <w:gridCol w:w="3112"/>
      </w:tblGrid>
      <w:tr w14:paraId="29DEE9F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833" w:type="dxa"/>
            <w:tcBorders>
              <w:top w:val="single" w:color="auto" w:sz="8" w:space="0"/>
              <w:bottom w:val="single" w:color="auto" w:sz="8" w:space="0"/>
            </w:tcBorders>
          </w:tcPr>
          <w:p w14:paraId="08CF44AA">
            <w:pPr>
              <w:pStyle w:val="178"/>
            </w:pPr>
            <w:r>
              <w:rPr>
                <w:rFonts w:hint="eastAsia"/>
              </w:rPr>
              <w:t>工作类别</w:t>
            </w:r>
          </w:p>
        </w:tc>
        <w:tc>
          <w:tcPr>
            <w:tcW w:w="4389" w:type="dxa"/>
            <w:tcBorders>
              <w:top w:val="single" w:color="auto" w:sz="8" w:space="0"/>
              <w:bottom w:val="single" w:color="auto" w:sz="8" w:space="0"/>
            </w:tcBorders>
          </w:tcPr>
          <w:p w14:paraId="1289EA27">
            <w:pPr>
              <w:pStyle w:val="178"/>
            </w:pPr>
            <w:r>
              <w:rPr>
                <w:rFonts w:hint="eastAsia"/>
              </w:rPr>
              <w:t>主要内容</w:t>
            </w:r>
          </w:p>
        </w:tc>
        <w:tc>
          <w:tcPr>
            <w:tcW w:w="3112" w:type="dxa"/>
            <w:tcBorders>
              <w:top w:val="single" w:color="auto" w:sz="8" w:space="0"/>
              <w:bottom w:val="single" w:color="auto" w:sz="8" w:space="0"/>
            </w:tcBorders>
          </w:tcPr>
          <w:p w14:paraId="4FE89D14">
            <w:pPr>
              <w:pStyle w:val="178"/>
            </w:pPr>
            <w:r>
              <w:rPr>
                <w:rFonts w:hint="eastAsia"/>
              </w:rPr>
              <w:t>控制要点</w:t>
            </w:r>
          </w:p>
        </w:tc>
      </w:tr>
      <w:tr w14:paraId="0D1C197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33" w:type="dxa"/>
            <w:tcBorders>
              <w:top w:val="single" w:color="auto" w:sz="8" w:space="0"/>
            </w:tcBorders>
          </w:tcPr>
          <w:p w14:paraId="67C2C9E6">
            <w:pPr>
              <w:pStyle w:val="178"/>
            </w:pPr>
            <w:r>
              <w:rPr>
                <w:rFonts w:hint="eastAsia"/>
              </w:rPr>
              <w:t>业务现状调查</w:t>
            </w:r>
          </w:p>
        </w:tc>
        <w:tc>
          <w:tcPr>
            <w:tcW w:w="4389" w:type="dxa"/>
            <w:tcBorders>
              <w:top w:val="single" w:color="auto" w:sz="8" w:space="0"/>
            </w:tcBorders>
          </w:tcPr>
          <w:p w14:paraId="36C87198">
            <w:pPr>
              <w:pStyle w:val="178"/>
            </w:pPr>
            <w:r>
              <w:rPr>
                <w:rFonts w:hint="eastAsia"/>
              </w:rPr>
              <w:t>业务流程、痛点、现有分析方式</w:t>
            </w:r>
          </w:p>
        </w:tc>
        <w:tc>
          <w:tcPr>
            <w:tcW w:w="3112" w:type="dxa"/>
            <w:tcBorders>
              <w:top w:val="single" w:color="auto" w:sz="8" w:space="0"/>
            </w:tcBorders>
          </w:tcPr>
          <w:p w14:paraId="42BAA36B">
            <w:pPr>
              <w:pStyle w:val="178"/>
            </w:pPr>
            <w:r>
              <w:rPr>
                <w:rFonts w:hint="eastAsia"/>
              </w:rPr>
              <w:t>先摸清问题，再提出建设目标</w:t>
            </w:r>
          </w:p>
        </w:tc>
      </w:tr>
      <w:tr w14:paraId="307B002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33" w:type="dxa"/>
          </w:tcPr>
          <w:p w14:paraId="0A0A8D2E">
            <w:pPr>
              <w:pStyle w:val="178"/>
            </w:pPr>
            <w:r>
              <w:rPr>
                <w:rFonts w:hint="eastAsia"/>
              </w:rPr>
              <w:t>信息化基础调查</w:t>
            </w:r>
          </w:p>
        </w:tc>
        <w:tc>
          <w:tcPr>
            <w:tcW w:w="4389" w:type="dxa"/>
          </w:tcPr>
          <w:p w14:paraId="51D6DD19">
            <w:pPr>
              <w:pStyle w:val="178"/>
            </w:pPr>
            <w:r>
              <w:rPr>
                <w:rFonts w:hint="eastAsia"/>
              </w:rPr>
              <w:t>现有系统、网络、数据库、接口</w:t>
            </w:r>
          </w:p>
        </w:tc>
        <w:tc>
          <w:tcPr>
            <w:tcW w:w="3112" w:type="dxa"/>
          </w:tcPr>
          <w:p w14:paraId="3AECFB8C">
            <w:pPr>
              <w:pStyle w:val="178"/>
            </w:pPr>
            <w:r>
              <w:rPr>
                <w:rFonts w:hint="eastAsia"/>
              </w:rPr>
              <w:t>评估是否具备接入和运行条件</w:t>
            </w:r>
          </w:p>
        </w:tc>
      </w:tr>
      <w:tr w14:paraId="139D8E3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33" w:type="dxa"/>
          </w:tcPr>
          <w:p w14:paraId="79C2A1C6">
            <w:pPr>
              <w:pStyle w:val="178"/>
            </w:pPr>
            <w:r>
              <w:rPr>
                <w:rFonts w:hint="eastAsia"/>
              </w:rPr>
              <w:t>数据资源调查</w:t>
            </w:r>
          </w:p>
        </w:tc>
        <w:tc>
          <w:tcPr>
            <w:tcW w:w="4389" w:type="dxa"/>
          </w:tcPr>
          <w:p w14:paraId="3AC52A8E">
            <w:pPr>
              <w:pStyle w:val="178"/>
            </w:pPr>
            <w:r>
              <w:rPr>
                <w:rFonts w:hint="eastAsia"/>
              </w:rPr>
              <w:t>数据来源、质量、口径、权限</w:t>
            </w:r>
          </w:p>
        </w:tc>
        <w:tc>
          <w:tcPr>
            <w:tcW w:w="3112" w:type="dxa"/>
          </w:tcPr>
          <w:p w14:paraId="38FE6CB8">
            <w:pPr>
              <w:pStyle w:val="178"/>
            </w:pPr>
            <w:r>
              <w:rPr>
                <w:rFonts w:hint="eastAsia"/>
              </w:rPr>
              <w:t>明确核心数据源和质量风险</w:t>
            </w:r>
          </w:p>
        </w:tc>
      </w:tr>
      <w:tr w14:paraId="4480755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33" w:type="dxa"/>
          </w:tcPr>
          <w:p w14:paraId="1E6660E7">
            <w:pPr>
              <w:pStyle w:val="178"/>
            </w:pPr>
            <w:r>
              <w:rPr>
                <w:rFonts w:hint="eastAsia"/>
              </w:rPr>
              <w:t>可行性分析</w:t>
            </w:r>
          </w:p>
        </w:tc>
        <w:tc>
          <w:tcPr>
            <w:tcW w:w="4389" w:type="dxa"/>
          </w:tcPr>
          <w:p w14:paraId="58A02DDF">
            <w:pPr>
              <w:pStyle w:val="178"/>
            </w:pPr>
            <w:r>
              <w:rPr>
                <w:rFonts w:hint="eastAsia"/>
              </w:rPr>
              <w:t>必要性、可行性、预算、运维</w:t>
            </w:r>
          </w:p>
        </w:tc>
        <w:tc>
          <w:tcPr>
            <w:tcW w:w="3112" w:type="dxa"/>
          </w:tcPr>
          <w:p w14:paraId="140CA772">
            <w:pPr>
              <w:pStyle w:val="178"/>
            </w:pPr>
            <w:r>
              <w:rPr>
                <w:rFonts w:hint="eastAsia"/>
              </w:rPr>
              <w:t>不得超出企业承载能力盲目建设</w:t>
            </w:r>
          </w:p>
        </w:tc>
      </w:tr>
      <w:tr w14:paraId="0843A3D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33" w:type="dxa"/>
          </w:tcPr>
          <w:p w14:paraId="0F21610C">
            <w:pPr>
              <w:pStyle w:val="178"/>
            </w:pPr>
            <w:r>
              <w:rPr>
                <w:rFonts w:hint="eastAsia"/>
              </w:rPr>
              <w:t>业务需求分析</w:t>
            </w:r>
          </w:p>
        </w:tc>
        <w:tc>
          <w:tcPr>
            <w:tcW w:w="4389" w:type="dxa"/>
          </w:tcPr>
          <w:p w14:paraId="0E94BAD1">
            <w:pPr>
              <w:pStyle w:val="178"/>
            </w:pPr>
            <w:r>
              <w:rPr>
                <w:rFonts w:hint="eastAsia"/>
              </w:rPr>
              <w:t>场景、对象、输出、用途</w:t>
            </w:r>
          </w:p>
        </w:tc>
        <w:tc>
          <w:tcPr>
            <w:tcW w:w="3112" w:type="dxa"/>
          </w:tcPr>
          <w:p w14:paraId="7ACF92E7">
            <w:pPr>
              <w:pStyle w:val="178"/>
            </w:pPr>
            <w:r>
              <w:rPr>
                <w:rFonts w:hint="eastAsia"/>
              </w:rPr>
              <w:t>需求应具体、可确认、可落地</w:t>
            </w:r>
          </w:p>
        </w:tc>
      </w:tr>
      <w:tr w14:paraId="205DB56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33" w:type="dxa"/>
          </w:tcPr>
          <w:p w14:paraId="25F1A675">
            <w:pPr>
              <w:pStyle w:val="178"/>
            </w:pPr>
            <w:r>
              <w:rPr>
                <w:rFonts w:hint="eastAsia"/>
              </w:rPr>
              <w:t>数据需求分析</w:t>
            </w:r>
          </w:p>
        </w:tc>
        <w:tc>
          <w:tcPr>
            <w:tcW w:w="4389" w:type="dxa"/>
          </w:tcPr>
          <w:p w14:paraId="428B9C30">
            <w:pPr>
              <w:pStyle w:val="178"/>
            </w:pPr>
            <w:r>
              <w:rPr>
                <w:rFonts w:hint="eastAsia"/>
              </w:rPr>
              <w:t>数据项、更新频率、质量要求</w:t>
            </w:r>
          </w:p>
        </w:tc>
        <w:tc>
          <w:tcPr>
            <w:tcW w:w="3112" w:type="dxa"/>
          </w:tcPr>
          <w:p w14:paraId="00F3B46F">
            <w:pPr>
              <w:pStyle w:val="178"/>
            </w:pPr>
            <w:r>
              <w:rPr>
                <w:rFonts w:hint="eastAsia"/>
              </w:rPr>
              <w:t>数据不足时应先治理后建设</w:t>
            </w:r>
          </w:p>
        </w:tc>
      </w:tr>
      <w:tr w14:paraId="32DFE59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33" w:type="dxa"/>
          </w:tcPr>
          <w:p w14:paraId="460426C7">
            <w:pPr>
              <w:pStyle w:val="178"/>
            </w:pPr>
            <w:r>
              <w:rPr>
                <w:rFonts w:hint="eastAsia"/>
              </w:rPr>
              <w:t>功能需求分析</w:t>
            </w:r>
          </w:p>
        </w:tc>
        <w:tc>
          <w:tcPr>
            <w:tcW w:w="4389" w:type="dxa"/>
          </w:tcPr>
          <w:p w14:paraId="28506BC9">
            <w:pPr>
              <w:pStyle w:val="178"/>
            </w:pPr>
            <w:r>
              <w:rPr>
                <w:rFonts w:hint="eastAsia"/>
              </w:rPr>
              <w:t>接入、分析、展示、预警等</w:t>
            </w:r>
          </w:p>
        </w:tc>
        <w:tc>
          <w:tcPr>
            <w:tcW w:w="3112" w:type="dxa"/>
          </w:tcPr>
          <w:p w14:paraId="3043C4C1">
            <w:pPr>
              <w:pStyle w:val="178"/>
            </w:pPr>
            <w:r>
              <w:rPr>
                <w:rFonts w:hint="eastAsia"/>
              </w:rPr>
              <w:t>功能应与业务需求一一对应</w:t>
            </w:r>
          </w:p>
        </w:tc>
      </w:tr>
      <w:tr w14:paraId="545BB68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33" w:type="dxa"/>
          </w:tcPr>
          <w:p w14:paraId="5276FA7D">
            <w:pPr>
              <w:pStyle w:val="178"/>
            </w:pPr>
            <w:r>
              <w:rPr>
                <w:rFonts w:hint="eastAsia"/>
              </w:rPr>
              <w:t>运维需求分析</w:t>
            </w:r>
          </w:p>
        </w:tc>
        <w:tc>
          <w:tcPr>
            <w:tcW w:w="4389" w:type="dxa"/>
          </w:tcPr>
          <w:p w14:paraId="39746F31">
            <w:pPr>
              <w:pStyle w:val="178"/>
            </w:pPr>
            <w:r>
              <w:rPr>
                <w:rFonts w:hint="eastAsia"/>
              </w:rPr>
              <w:t>监测、故障、备份、支持</w:t>
            </w:r>
          </w:p>
        </w:tc>
        <w:tc>
          <w:tcPr>
            <w:tcW w:w="3112" w:type="dxa"/>
          </w:tcPr>
          <w:p w14:paraId="42DA8637">
            <w:pPr>
              <w:pStyle w:val="178"/>
            </w:pPr>
            <w:r>
              <w:rPr>
                <w:rFonts w:hint="eastAsia"/>
              </w:rPr>
              <w:t>无运维条件的功能不宜首期上线</w:t>
            </w:r>
          </w:p>
        </w:tc>
      </w:tr>
      <w:tr w14:paraId="76ECADD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33" w:type="dxa"/>
          </w:tcPr>
          <w:p w14:paraId="5D767558">
            <w:pPr>
              <w:pStyle w:val="178"/>
            </w:pPr>
            <w:r>
              <w:rPr>
                <w:rFonts w:hint="eastAsia"/>
              </w:rPr>
              <w:t>安全合规分析</w:t>
            </w:r>
          </w:p>
        </w:tc>
        <w:tc>
          <w:tcPr>
            <w:tcW w:w="4389" w:type="dxa"/>
          </w:tcPr>
          <w:p w14:paraId="24808710">
            <w:pPr>
              <w:pStyle w:val="178"/>
            </w:pPr>
            <w:r>
              <w:rPr>
                <w:rFonts w:hint="eastAsia"/>
              </w:rPr>
              <w:t>权限、日志、导出、接口</w:t>
            </w:r>
          </w:p>
        </w:tc>
        <w:tc>
          <w:tcPr>
            <w:tcW w:w="3112" w:type="dxa"/>
          </w:tcPr>
          <w:p w14:paraId="71CA3F56">
            <w:pPr>
              <w:pStyle w:val="178"/>
            </w:pPr>
            <w:r>
              <w:rPr>
                <w:rFonts w:hint="eastAsia"/>
              </w:rPr>
              <w:t>涉敏系统应从严控制</w:t>
            </w:r>
          </w:p>
        </w:tc>
      </w:tr>
    </w:tbl>
    <w:p w14:paraId="021F5376">
      <w:pPr>
        <w:pStyle w:val="105"/>
        <w:spacing w:before="120" w:after="120" w:line="360" w:lineRule="auto"/>
      </w:pPr>
      <w:r>
        <w:rPr>
          <w:rFonts w:hint="eastAsia"/>
        </w:rPr>
        <w:t>禁止性要求</w:t>
      </w:r>
    </w:p>
    <w:p w14:paraId="2D80BE50">
      <w:pPr>
        <w:pStyle w:val="165"/>
        <w:spacing w:line="360" w:lineRule="auto"/>
      </w:pPr>
      <w:r>
        <w:rPr>
          <w:rFonts w:hint="eastAsia"/>
        </w:rPr>
        <w:t>不得在未完成业务现状调查和数据现状调查的情况下直接确定系统方案。</w:t>
      </w:r>
    </w:p>
    <w:p w14:paraId="26FE7189">
      <w:pPr>
        <w:pStyle w:val="165"/>
        <w:spacing w:line="360" w:lineRule="auto"/>
      </w:pPr>
      <w:r>
        <w:rPr>
          <w:rFonts w:hint="eastAsia"/>
        </w:rPr>
        <w:t>不得将供应商演示功能直接等同于企业真实需求。</w:t>
      </w:r>
    </w:p>
    <w:p w14:paraId="30CFC8FE">
      <w:pPr>
        <w:pStyle w:val="165"/>
        <w:spacing w:line="360" w:lineRule="auto"/>
      </w:pPr>
      <w:r>
        <w:rPr>
          <w:rFonts w:hint="eastAsia"/>
        </w:rPr>
        <w:t>不得在数据基础薄弱且短期无法治理的情况下直接承诺高质量智能分析结果。</w:t>
      </w:r>
    </w:p>
    <w:p w14:paraId="7A5DB3A1">
      <w:pPr>
        <w:pStyle w:val="165"/>
        <w:spacing w:line="360" w:lineRule="auto"/>
      </w:pPr>
      <w:r>
        <w:rPr>
          <w:rFonts w:hint="eastAsia"/>
        </w:rPr>
        <w:t>不得在未明确运维责任和运维资源的情况下将复杂系统纳入正式建设计划。</w:t>
      </w:r>
    </w:p>
    <w:p w14:paraId="48A39D0B">
      <w:pPr>
        <w:pStyle w:val="165"/>
        <w:spacing w:line="360" w:lineRule="auto"/>
      </w:pPr>
      <w:r>
        <w:rPr>
          <w:rFonts w:hint="eastAsia"/>
        </w:rPr>
        <w:t>不得以概念性需求、模糊性需求和口号性目标替代正式需求分析文档。</w:t>
      </w:r>
    </w:p>
    <w:p w14:paraId="59C31E7B">
      <w:pPr>
        <w:pStyle w:val="104"/>
        <w:spacing w:before="240" w:after="240" w:line="360" w:lineRule="auto"/>
      </w:pPr>
      <w:bookmarkStart w:id="53" w:name="_Toc228604501"/>
      <w:r>
        <w:rPr>
          <w:rFonts w:hint="eastAsia"/>
        </w:rPr>
        <w:t>系统设计与部署要求</w:t>
      </w:r>
      <w:bookmarkEnd w:id="53"/>
    </w:p>
    <w:p w14:paraId="0E6AB73E">
      <w:pPr>
        <w:pStyle w:val="105"/>
        <w:spacing w:before="120" w:after="120" w:line="360" w:lineRule="auto"/>
      </w:pPr>
      <w:r>
        <w:rPr>
          <w:rFonts w:hint="eastAsia"/>
        </w:rPr>
        <w:t>一般要求</w:t>
      </w:r>
    </w:p>
    <w:p w14:paraId="5AF5F769">
      <w:pPr>
        <w:pStyle w:val="165"/>
        <w:spacing w:line="360" w:lineRule="auto"/>
      </w:pPr>
      <w:r>
        <w:rPr>
          <w:rFonts w:hint="eastAsia"/>
        </w:rPr>
        <w:t>中小企业人工智能数据分析系统设计应以经确认的业务需求、数据需求、功能需求、性能需求和运维需求为依据。</w:t>
      </w:r>
    </w:p>
    <w:p w14:paraId="7FF89086">
      <w:pPr>
        <w:pStyle w:val="165"/>
        <w:spacing w:line="360" w:lineRule="auto"/>
      </w:pPr>
      <w:r>
        <w:rPr>
          <w:rFonts w:hint="eastAsia"/>
        </w:rPr>
        <w:t>系统设计应遵循结构合理、功能适度、接口清晰、部署可行、运行可控、扩展适当和维护便利的原则。</w:t>
      </w:r>
    </w:p>
    <w:p w14:paraId="4A7ED10A">
      <w:pPr>
        <w:pStyle w:val="165"/>
        <w:spacing w:line="360" w:lineRule="auto"/>
      </w:pPr>
      <w:r>
        <w:rPr>
          <w:rFonts w:hint="eastAsia"/>
        </w:rPr>
        <w:t>系统部署应与企业现有网络环境、服务器环境、终端环境、数据库环境和信息安全要求相适应。</w:t>
      </w:r>
    </w:p>
    <w:p w14:paraId="1E281919">
      <w:pPr>
        <w:pStyle w:val="165"/>
        <w:spacing w:line="360" w:lineRule="auto"/>
      </w:pPr>
      <w:r>
        <w:rPr>
          <w:rFonts w:hint="eastAsia"/>
        </w:rPr>
        <w:t>系统设计不得脱离中小企业实际业务流程、管理模式和运维能力，盲目套用大型企业复杂架构。</w:t>
      </w:r>
    </w:p>
    <w:p w14:paraId="4F62D158">
      <w:pPr>
        <w:pStyle w:val="165"/>
        <w:spacing w:line="360" w:lineRule="auto"/>
      </w:pPr>
      <w:r>
        <w:rPr>
          <w:rFonts w:hint="eastAsia"/>
        </w:rPr>
        <w:t>系统设计与部署活动应覆盖总体架构设计、功能架构设计、数据架构设计、接口设计、权限设计、部署架构设计、测试验证和上线准备等内容。</w:t>
      </w:r>
    </w:p>
    <w:p w14:paraId="0C274EDA">
      <w:pPr>
        <w:pStyle w:val="165"/>
        <w:spacing w:line="360" w:lineRule="auto"/>
      </w:pPr>
      <w:r>
        <w:rPr>
          <w:rFonts w:hint="eastAsia"/>
        </w:rPr>
        <w:t>系统设计完成后，应形成可实施、可测试、可交付和可维护的技术文件，不得仅以概念图、宣传图或者演示原型替代正式设计文件。</w:t>
      </w:r>
    </w:p>
    <w:p w14:paraId="4B3D76F9">
      <w:pPr>
        <w:pStyle w:val="105"/>
        <w:spacing w:before="120" w:after="120" w:line="360" w:lineRule="auto"/>
      </w:pPr>
      <w:r>
        <w:rPr>
          <w:rFonts w:hint="eastAsia"/>
        </w:rPr>
        <w:t>总体架构设计要求</w:t>
      </w:r>
    </w:p>
    <w:p w14:paraId="7A5DE141">
      <w:pPr>
        <w:pStyle w:val="65"/>
        <w:spacing w:before="120" w:after="120" w:line="360" w:lineRule="auto"/>
      </w:pPr>
      <w:r>
        <w:rPr>
          <w:rFonts w:hint="eastAsia"/>
        </w:rPr>
        <w:t>一般要求</w:t>
      </w:r>
    </w:p>
    <w:p w14:paraId="12444D37">
      <w:pPr>
        <w:pStyle w:val="164"/>
        <w:spacing w:line="360" w:lineRule="auto"/>
      </w:pPr>
      <w:r>
        <w:rPr>
          <w:rFonts w:hint="eastAsia"/>
        </w:rPr>
        <w:t>系统应进行总体架构设计。</w:t>
      </w:r>
    </w:p>
    <w:p w14:paraId="43612E8A">
      <w:pPr>
        <w:pStyle w:val="164"/>
        <w:spacing w:line="360" w:lineRule="auto"/>
      </w:pPr>
      <w:r>
        <w:rPr>
          <w:rFonts w:hint="eastAsia"/>
        </w:rPr>
        <w:t>总体架构设计应体现业务层、数据层、分析层、应用层和运维支撑层之间的关系。</w:t>
      </w:r>
    </w:p>
    <w:p w14:paraId="6A11BB17">
      <w:pPr>
        <w:pStyle w:val="164"/>
        <w:spacing w:line="360" w:lineRule="auto"/>
      </w:pPr>
      <w:r>
        <w:rPr>
          <w:rFonts w:hint="eastAsia"/>
        </w:rPr>
        <w:t>总体架构设计应明确系统边界、外部系统边界、用户边界、数据流向和责任边界。</w:t>
      </w:r>
    </w:p>
    <w:p w14:paraId="4319E99C">
      <w:pPr>
        <w:pStyle w:val="164"/>
        <w:spacing w:line="360" w:lineRule="auto"/>
      </w:pPr>
      <w:r>
        <w:rPr>
          <w:rFonts w:hint="eastAsia"/>
        </w:rPr>
        <w:t>总体架构应满足当前业务需求，并预留合理扩展能力，但不得超出企业近期应用规划过度预留。</w:t>
      </w:r>
    </w:p>
    <w:p w14:paraId="7F56955A">
      <w:pPr>
        <w:pStyle w:val="65"/>
        <w:spacing w:before="120" w:after="120" w:line="360" w:lineRule="auto"/>
      </w:pPr>
      <w:r>
        <w:rPr>
          <w:rFonts w:hint="eastAsia"/>
        </w:rPr>
        <w:t>架构内容</w:t>
      </w:r>
    </w:p>
    <w:p w14:paraId="758E2293">
      <w:pPr>
        <w:pStyle w:val="164"/>
        <w:spacing w:line="360" w:lineRule="auto"/>
      </w:pPr>
      <w:r>
        <w:rPr>
          <w:rFonts w:hint="eastAsia"/>
        </w:rPr>
        <w:t>总体架构设计宜至少包括下列内容：</w:t>
      </w:r>
    </w:p>
    <w:p w14:paraId="50A36588">
      <w:pPr>
        <w:pStyle w:val="56"/>
        <w:spacing w:line="360" w:lineRule="auto"/>
        <w:ind w:firstLine="420"/>
      </w:pPr>
      <w:r>
        <w:rPr>
          <w:rFonts w:hint="eastAsia"/>
        </w:rPr>
        <w:t>a）系统目标架构；</w:t>
      </w:r>
    </w:p>
    <w:p w14:paraId="277B01E7">
      <w:pPr>
        <w:pStyle w:val="56"/>
        <w:spacing w:line="360" w:lineRule="auto"/>
        <w:ind w:firstLine="420"/>
      </w:pPr>
      <w:r>
        <w:rPr>
          <w:rFonts w:hint="eastAsia"/>
        </w:rPr>
        <w:t>b）业务流程架构；</w:t>
      </w:r>
    </w:p>
    <w:p w14:paraId="3504B92F">
      <w:pPr>
        <w:pStyle w:val="56"/>
        <w:spacing w:line="360" w:lineRule="auto"/>
        <w:ind w:firstLine="420"/>
      </w:pPr>
      <w:r>
        <w:rPr>
          <w:rFonts w:hint="eastAsia"/>
        </w:rPr>
        <w:t>c）数据流架构；</w:t>
      </w:r>
    </w:p>
    <w:p w14:paraId="114117BE">
      <w:pPr>
        <w:pStyle w:val="56"/>
        <w:spacing w:line="360" w:lineRule="auto"/>
        <w:ind w:firstLine="420"/>
      </w:pPr>
      <w:r>
        <w:rPr>
          <w:rFonts w:hint="eastAsia"/>
        </w:rPr>
        <w:t>d）应用功能架构；</w:t>
      </w:r>
    </w:p>
    <w:p w14:paraId="09389B6F">
      <w:pPr>
        <w:pStyle w:val="56"/>
        <w:spacing w:line="360" w:lineRule="auto"/>
        <w:ind w:firstLine="420"/>
      </w:pPr>
      <w:r>
        <w:rPr>
          <w:rFonts w:hint="eastAsia"/>
        </w:rPr>
        <w:t>e）部署架构；</w:t>
      </w:r>
    </w:p>
    <w:p w14:paraId="5BAFA8C5">
      <w:pPr>
        <w:pStyle w:val="56"/>
        <w:spacing w:line="360" w:lineRule="auto"/>
        <w:ind w:firstLine="420"/>
      </w:pPr>
      <w:r>
        <w:rPr>
          <w:rFonts w:hint="eastAsia"/>
        </w:rPr>
        <w:t>f）接口架构；</w:t>
      </w:r>
    </w:p>
    <w:p w14:paraId="7CEA7749">
      <w:pPr>
        <w:pStyle w:val="56"/>
        <w:spacing w:line="360" w:lineRule="auto"/>
        <w:ind w:firstLine="420"/>
      </w:pPr>
      <w:r>
        <w:rPr>
          <w:rFonts w:hint="eastAsia"/>
        </w:rPr>
        <w:t>g）安全架构；</w:t>
      </w:r>
    </w:p>
    <w:p w14:paraId="438BE9C7">
      <w:pPr>
        <w:pStyle w:val="56"/>
        <w:spacing w:line="360" w:lineRule="auto"/>
        <w:ind w:firstLine="420"/>
      </w:pPr>
      <w:r>
        <w:rPr>
          <w:rFonts w:hint="eastAsia"/>
        </w:rPr>
        <w:t>h）运维支撑架构。</w:t>
      </w:r>
    </w:p>
    <w:p w14:paraId="79557E64">
      <w:pPr>
        <w:pStyle w:val="164"/>
        <w:spacing w:line="360" w:lineRule="auto"/>
      </w:pPr>
      <w:r>
        <w:rPr>
          <w:rFonts w:hint="eastAsia"/>
        </w:rPr>
        <w:t>同一企业存在多个分析系统或者多个业务平台时，应明确本系统在企业整体数字化架构中的位置，不得与现有系统长期重复建设、功能交叉或者数据冲突。</w:t>
      </w:r>
    </w:p>
    <w:p w14:paraId="007D85B6">
      <w:pPr>
        <w:pStyle w:val="65"/>
        <w:spacing w:before="120" w:after="120" w:line="360" w:lineRule="auto"/>
      </w:pPr>
      <w:r>
        <w:rPr>
          <w:rFonts w:hint="eastAsia"/>
        </w:rPr>
        <w:t>架构适配要求</w:t>
      </w:r>
    </w:p>
    <w:p w14:paraId="2F9723D1">
      <w:pPr>
        <w:pStyle w:val="164"/>
        <w:spacing w:line="360" w:lineRule="auto"/>
      </w:pPr>
      <w:r>
        <w:rPr>
          <w:rFonts w:hint="eastAsia"/>
        </w:rPr>
        <w:t>对业务流程相对简单、用户规模较小、分析场景较少的企业，宜采用轻量化架构。</w:t>
      </w:r>
    </w:p>
    <w:p w14:paraId="165E9ECB">
      <w:pPr>
        <w:pStyle w:val="164"/>
        <w:spacing w:line="360" w:lineRule="auto"/>
      </w:pPr>
      <w:r>
        <w:rPr>
          <w:rFonts w:hint="eastAsia"/>
        </w:rPr>
        <w:t>对多部门协同、多源数据汇聚、分析任务较多和运维要求较高的企业，可采用分层分模块架构。</w:t>
      </w:r>
    </w:p>
    <w:p w14:paraId="30578A34">
      <w:pPr>
        <w:pStyle w:val="164"/>
        <w:spacing w:line="360" w:lineRule="auto"/>
      </w:pPr>
      <w:r>
        <w:rPr>
          <w:rFonts w:hint="eastAsia"/>
        </w:rPr>
        <w:t>对暂不具备独立部署条件的企业，可结合实际采用云部署、混合部署或者托管部署方式，但应明确数据边界、权限边界和安全责任。</w:t>
      </w:r>
    </w:p>
    <w:p w14:paraId="337568E4">
      <w:pPr>
        <w:pStyle w:val="105"/>
        <w:spacing w:before="120" w:after="120" w:line="360" w:lineRule="auto"/>
      </w:pPr>
      <w:r>
        <w:rPr>
          <w:rFonts w:hint="eastAsia"/>
        </w:rPr>
        <w:t>功能架构设计要求</w:t>
      </w:r>
    </w:p>
    <w:p w14:paraId="0C4A94DF">
      <w:pPr>
        <w:pStyle w:val="65"/>
        <w:spacing w:before="120" w:after="120" w:line="360" w:lineRule="auto"/>
      </w:pPr>
      <w:r>
        <w:rPr>
          <w:rFonts w:hint="eastAsia"/>
        </w:rPr>
        <w:t>一般要求</w:t>
      </w:r>
    </w:p>
    <w:p w14:paraId="73383D53">
      <w:pPr>
        <w:pStyle w:val="164"/>
        <w:spacing w:line="360" w:lineRule="auto"/>
      </w:pPr>
      <w:r>
        <w:rPr>
          <w:rFonts w:hint="eastAsia"/>
        </w:rPr>
        <w:t>功能架构设计应与已确认的业务需求一一对应。</w:t>
      </w:r>
    </w:p>
    <w:p w14:paraId="36156D3E">
      <w:pPr>
        <w:pStyle w:val="164"/>
        <w:spacing w:line="360" w:lineRule="auto"/>
      </w:pPr>
      <w:r>
        <w:rPr>
          <w:rFonts w:hint="eastAsia"/>
        </w:rPr>
        <w:t>功能设计应突出实用性、可操作性和可维护性，不得以展示性功能替代核心业务功能。</w:t>
      </w:r>
    </w:p>
    <w:p w14:paraId="5481E4B6">
      <w:pPr>
        <w:pStyle w:val="164"/>
        <w:spacing w:line="360" w:lineRule="auto"/>
      </w:pPr>
      <w:r>
        <w:rPr>
          <w:rFonts w:hint="eastAsia"/>
        </w:rPr>
        <w:t>首期建设功能应聚焦高频、刚需、易落地和价值明确的功能，不宜在首期上线大量低频复杂功能。</w:t>
      </w:r>
    </w:p>
    <w:p w14:paraId="4783DD20">
      <w:pPr>
        <w:pStyle w:val="65"/>
        <w:spacing w:before="120" w:after="120" w:line="360" w:lineRule="auto"/>
      </w:pPr>
      <w:r>
        <w:rPr>
          <w:rFonts w:hint="eastAsia"/>
        </w:rPr>
        <w:t>功能模块要求</w:t>
      </w:r>
    </w:p>
    <w:p w14:paraId="73A2D24B">
      <w:pPr>
        <w:pStyle w:val="164"/>
        <w:spacing w:line="360" w:lineRule="auto"/>
      </w:pPr>
      <w:r>
        <w:rPr>
          <w:rFonts w:hint="eastAsia"/>
        </w:rPr>
        <w:t>系统宜根据实际需要设置下列模块：</w:t>
      </w:r>
    </w:p>
    <w:p w14:paraId="4C9B8686">
      <w:pPr>
        <w:pStyle w:val="56"/>
        <w:spacing w:line="360" w:lineRule="auto"/>
        <w:ind w:firstLine="420"/>
      </w:pPr>
      <w:r>
        <w:rPr>
          <w:rFonts w:hint="eastAsia"/>
        </w:rPr>
        <w:t>a）数据接入模块；</w:t>
      </w:r>
    </w:p>
    <w:p w14:paraId="05848E70">
      <w:pPr>
        <w:pStyle w:val="56"/>
        <w:spacing w:line="360" w:lineRule="auto"/>
        <w:ind w:firstLine="420"/>
      </w:pPr>
      <w:r>
        <w:rPr>
          <w:rFonts w:hint="eastAsia"/>
        </w:rPr>
        <w:t>b）数据治理模块；</w:t>
      </w:r>
    </w:p>
    <w:p w14:paraId="4959044D">
      <w:pPr>
        <w:pStyle w:val="56"/>
        <w:spacing w:line="360" w:lineRule="auto"/>
        <w:ind w:firstLine="420"/>
      </w:pPr>
      <w:r>
        <w:rPr>
          <w:rFonts w:hint="eastAsia"/>
        </w:rPr>
        <w:t>c）分析建模模块；</w:t>
      </w:r>
    </w:p>
    <w:p w14:paraId="7706DEDA">
      <w:pPr>
        <w:pStyle w:val="56"/>
        <w:spacing w:line="360" w:lineRule="auto"/>
        <w:ind w:firstLine="420"/>
      </w:pPr>
      <w:r>
        <w:rPr>
          <w:rFonts w:hint="eastAsia"/>
        </w:rPr>
        <w:t>d）报表与可视化模块；</w:t>
      </w:r>
    </w:p>
    <w:p w14:paraId="5DA04C14">
      <w:pPr>
        <w:pStyle w:val="56"/>
        <w:spacing w:line="360" w:lineRule="auto"/>
        <w:ind w:firstLine="420"/>
      </w:pPr>
      <w:r>
        <w:rPr>
          <w:rFonts w:hint="eastAsia"/>
        </w:rPr>
        <w:t>e）预警分析模块；</w:t>
      </w:r>
    </w:p>
    <w:p w14:paraId="699370E8">
      <w:pPr>
        <w:pStyle w:val="56"/>
        <w:spacing w:line="360" w:lineRule="auto"/>
        <w:ind w:firstLine="420"/>
      </w:pPr>
      <w:r>
        <w:rPr>
          <w:rFonts w:hint="eastAsia"/>
        </w:rPr>
        <w:t>f）结果查询与导出模块；</w:t>
      </w:r>
    </w:p>
    <w:p w14:paraId="585F65B9">
      <w:pPr>
        <w:pStyle w:val="56"/>
        <w:spacing w:line="360" w:lineRule="auto"/>
        <w:ind w:firstLine="420"/>
      </w:pPr>
      <w:r>
        <w:rPr>
          <w:rFonts w:hint="eastAsia"/>
        </w:rPr>
        <w:t>g）用户与权限管理模块；</w:t>
      </w:r>
    </w:p>
    <w:p w14:paraId="5ECE4432">
      <w:pPr>
        <w:pStyle w:val="56"/>
        <w:spacing w:line="360" w:lineRule="auto"/>
        <w:ind w:firstLine="420"/>
      </w:pPr>
      <w:r>
        <w:rPr>
          <w:rFonts w:hint="eastAsia"/>
        </w:rPr>
        <w:t>h）日志与审计模块；</w:t>
      </w:r>
    </w:p>
    <w:p w14:paraId="2A1B11C6">
      <w:pPr>
        <w:pStyle w:val="56"/>
        <w:spacing w:line="360" w:lineRule="auto"/>
        <w:ind w:firstLine="420"/>
      </w:pPr>
      <w:r>
        <w:rPr>
          <w:rFonts w:hint="eastAsia"/>
        </w:rPr>
        <w:t>i）系统配置模块；</w:t>
      </w:r>
    </w:p>
    <w:p w14:paraId="3AE38CA0">
      <w:pPr>
        <w:pStyle w:val="56"/>
        <w:spacing w:line="360" w:lineRule="auto"/>
        <w:ind w:firstLine="420"/>
      </w:pPr>
      <w:r>
        <w:rPr>
          <w:rFonts w:hint="eastAsia"/>
        </w:rPr>
        <w:t>j）运行监测模块。</w:t>
      </w:r>
    </w:p>
    <w:p w14:paraId="1F8FF565">
      <w:pPr>
        <w:pStyle w:val="164"/>
        <w:spacing w:line="360" w:lineRule="auto"/>
      </w:pPr>
      <w:r>
        <w:rPr>
          <w:rFonts w:hint="eastAsia"/>
        </w:rPr>
        <w:t>各功能模块之间的输入、输出和调用关系应明确，不得形成逻辑重复、数据重复或者流程冲突。</w:t>
      </w:r>
    </w:p>
    <w:p w14:paraId="71FEB13A">
      <w:pPr>
        <w:pStyle w:val="65"/>
        <w:spacing w:before="120" w:after="120" w:line="360" w:lineRule="auto"/>
      </w:pPr>
      <w:r>
        <w:rPr>
          <w:rFonts w:hint="eastAsia"/>
        </w:rPr>
        <w:t>功能设计控制要求</w:t>
      </w:r>
    </w:p>
    <w:p w14:paraId="43B38BDD">
      <w:pPr>
        <w:pStyle w:val="164"/>
        <w:spacing w:line="360" w:lineRule="auto"/>
      </w:pPr>
      <w:r>
        <w:rPr>
          <w:rFonts w:hint="eastAsia"/>
        </w:rPr>
        <w:t>涉及自动分析、自动分类、自动预警、自动推荐或者自动评分的功能，应明确其输入条件、输出边界、人工干预条件和适用范围。</w:t>
      </w:r>
    </w:p>
    <w:p w14:paraId="3AACDB75">
      <w:pPr>
        <w:pStyle w:val="164"/>
        <w:spacing w:line="360" w:lineRule="auto"/>
      </w:pPr>
      <w:r>
        <w:rPr>
          <w:rFonts w:hint="eastAsia"/>
        </w:rPr>
        <w:t>涉及数据导出、批量调用、自动推送和共享接口的功能，应同步设计权限控制和日志审计功能。</w:t>
      </w:r>
    </w:p>
    <w:p w14:paraId="0C476C72">
      <w:pPr>
        <w:pStyle w:val="164"/>
        <w:spacing w:line="360" w:lineRule="auto"/>
      </w:pPr>
      <w:r>
        <w:rPr>
          <w:rFonts w:hint="eastAsia"/>
        </w:rPr>
        <w:t>功能设计中存在试验性、探索性或者验证性模块的，应明确标识，不得与正式生产功能混同。</w:t>
      </w:r>
    </w:p>
    <w:p w14:paraId="5AF98632">
      <w:pPr>
        <w:pStyle w:val="105"/>
        <w:spacing w:before="120" w:after="120" w:line="360" w:lineRule="auto"/>
      </w:pPr>
      <w:r>
        <w:rPr>
          <w:rFonts w:hint="eastAsia"/>
        </w:rPr>
        <w:t>数据架构设计要求</w:t>
      </w:r>
    </w:p>
    <w:p w14:paraId="546F05C4">
      <w:pPr>
        <w:pStyle w:val="65"/>
        <w:spacing w:before="120" w:after="120" w:line="360" w:lineRule="auto"/>
      </w:pPr>
      <w:r>
        <w:rPr>
          <w:rFonts w:hint="eastAsia"/>
        </w:rPr>
        <w:t>一般要求</w:t>
      </w:r>
    </w:p>
    <w:p w14:paraId="3B2174E2">
      <w:pPr>
        <w:pStyle w:val="164"/>
        <w:spacing w:line="360" w:lineRule="auto"/>
      </w:pPr>
      <w:r>
        <w:rPr>
          <w:rFonts w:hint="eastAsia"/>
        </w:rPr>
        <w:t>数据架构设计应支持数据采集、清洗、整合、存储、分析、展示和留痕要求。</w:t>
      </w:r>
    </w:p>
    <w:p w14:paraId="164F9D52">
      <w:pPr>
        <w:pStyle w:val="164"/>
        <w:spacing w:line="360" w:lineRule="auto"/>
      </w:pPr>
      <w:r>
        <w:rPr>
          <w:rFonts w:hint="eastAsia"/>
        </w:rPr>
        <w:t>数据架构设计应与数据来源、数据类型、数据更新频率和分析目标相匹配。</w:t>
      </w:r>
    </w:p>
    <w:p w14:paraId="188000BB">
      <w:pPr>
        <w:pStyle w:val="164"/>
        <w:spacing w:line="360" w:lineRule="auto"/>
      </w:pPr>
      <w:r>
        <w:rPr>
          <w:rFonts w:hint="eastAsia"/>
        </w:rPr>
        <w:t>数据架构设计应满足数据一致性、数据完整性、数据时效性和数据可追溯性要求。</w:t>
      </w:r>
    </w:p>
    <w:p w14:paraId="40CF6377">
      <w:pPr>
        <w:pStyle w:val="65"/>
        <w:spacing w:before="120" w:after="120" w:line="360" w:lineRule="auto"/>
      </w:pPr>
      <w:r>
        <w:rPr>
          <w:rFonts w:hint="eastAsia"/>
        </w:rPr>
        <w:t>数据分层要求</w:t>
      </w:r>
    </w:p>
    <w:p w14:paraId="5C605D1A">
      <w:pPr>
        <w:pStyle w:val="164"/>
        <w:spacing w:line="360" w:lineRule="auto"/>
      </w:pPr>
      <w:r>
        <w:rPr>
          <w:rFonts w:hint="eastAsia"/>
        </w:rPr>
        <w:t>有条件的系统宜按原始数据层、处理数据层、主题数据层、分析结果层和展示应用层进行分层设计。</w:t>
      </w:r>
    </w:p>
    <w:p w14:paraId="7B2CB1F3">
      <w:pPr>
        <w:pStyle w:val="164"/>
        <w:spacing w:line="360" w:lineRule="auto"/>
      </w:pPr>
      <w:r>
        <w:rPr>
          <w:rFonts w:hint="eastAsia"/>
        </w:rPr>
        <w:t>不同数据层应明确数据责任、更新规则、质量要求和访问权限。</w:t>
      </w:r>
    </w:p>
    <w:p w14:paraId="1256E0AE">
      <w:pPr>
        <w:pStyle w:val="164"/>
        <w:spacing w:line="360" w:lineRule="auto"/>
      </w:pPr>
      <w:r>
        <w:rPr>
          <w:rFonts w:hint="eastAsia"/>
        </w:rPr>
        <w:t>不得将原始数据、处理数据和结果数据长期混存而无区分管理。</w:t>
      </w:r>
    </w:p>
    <w:p w14:paraId="63D7F85D">
      <w:pPr>
        <w:pStyle w:val="65"/>
        <w:spacing w:before="120" w:after="120" w:line="360" w:lineRule="auto"/>
      </w:pPr>
      <w:r>
        <w:rPr>
          <w:rFonts w:hint="eastAsia"/>
        </w:rPr>
        <w:t>数据对象设计要求</w:t>
      </w:r>
    </w:p>
    <w:p w14:paraId="51F70864">
      <w:pPr>
        <w:pStyle w:val="164"/>
        <w:spacing w:line="360" w:lineRule="auto"/>
      </w:pPr>
      <w:r>
        <w:rPr>
          <w:rFonts w:hint="eastAsia"/>
        </w:rPr>
        <w:t>应明确主数据对象、核心业务对象、指标对象和结果对象。</w:t>
      </w:r>
    </w:p>
    <w:p w14:paraId="4CA5A8B4">
      <w:pPr>
        <w:pStyle w:val="164"/>
        <w:spacing w:line="360" w:lineRule="auto"/>
      </w:pPr>
      <w:r>
        <w:rPr>
          <w:rFonts w:hint="eastAsia"/>
        </w:rPr>
        <w:t>同一数据对象在不同模块中应保持名称一致、口径一致和编号关联一致。</w:t>
      </w:r>
    </w:p>
    <w:p w14:paraId="347F7D8A">
      <w:pPr>
        <w:pStyle w:val="164"/>
        <w:spacing w:line="360" w:lineRule="auto"/>
      </w:pPr>
      <w:r>
        <w:rPr>
          <w:rFonts w:hint="eastAsia"/>
        </w:rPr>
        <w:t>数据架构设计中应同步明确数据字典、字段说明、取值规则和更新规则。</w:t>
      </w:r>
    </w:p>
    <w:p w14:paraId="2A50CB26">
      <w:pPr>
        <w:pStyle w:val="105"/>
        <w:spacing w:before="120" w:after="120" w:line="360" w:lineRule="auto"/>
      </w:pPr>
      <w:r>
        <w:rPr>
          <w:rFonts w:hint="eastAsia"/>
        </w:rPr>
        <w:t>接口设计要求</w:t>
      </w:r>
    </w:p>
    <w:p w14:paraId="07EC733D">
      <w:pPr>
        <w:pStyle w:val="65"/>
        <w:spacing w:before="120" w:after="120" w:line="360" w:lineRule="auto"/>
      </w:pPr>
      <w:r>
        <w:rPr>
          <w:rFonts w:hint="eastAsia"/>
        </w:rPr>
        <w:t>一般要求</w:t>
      </w:r>
    </w:p>
    <w:p w14:paraId="495A448E">
      <w:pPr>
        <w:pStyle w:val="164"/>
        <w:spacing w:line="360" w:lineRule="auto"/>
      </w:pPr>
      <w:r>
        <w:rPr>
          <w:rFonts w:hint="eastAsia"/>
        </w:rPr>
        <w:t>系统应进行接口设计。</w:t>
      </w:r>
    </w:p>
    <w:p w14:paraId="003FFF7B">
      <w:pPr>
        <w:pStyle w:val="164"/>
        <w:spacing w:line="360" w:lineRule="auto"/>
      </w:pPr>
      <w:r>
        <w:rPr>
          <w:rFonts w:hint="eastAsia"/>
        </w:rPr>
        <w:t>接口设计应覆盖与内部业务系统、外部平台、数据库、中间件、可视化组件和第三方服务之间的对接需求。</w:t>
      </w:r>
    </w:p>
    <w:p w14:paraId="451EDC85">
      <w:pPr>
        <w:pStyle w:val="164"/>
        <w:spacing w:line="360" w:lineRule="auto"/>
      </w:pPr>
      <w:r>
        <w:rPr>
          <w:rFonts w:hint="eastAsia"/>
        </w:rPr>
        <w:t>接口设计应坚持统一命名、统一规则、统一权限和统一日志要求。</w:t>
      </w:r>
    </w:p>
    <w:p w14:paraId="0E5E79FD">
      <w:pPr>
        <w:pStyle w:val="164"/>
        <w:numPr>
          <w:ilvl w:val="0"/>
          <w:numId w:val="0"/>
        </w:numPr>
        <w:spacing w:line="360" w:lineRule="auto"/>
        <w:rPr>
          <w:rFonts w:hint="eastAsia"/>
        </w:rPr>
      </w:pPr>
    </w:p>
    <w:p w14:paraId="03F943BA">
      <w:pPr>
        <w:pStyle w:val="65"/>
        <w:spacing w:before="120" w:after="120" w:line="360" w:lineRule="auto"/>
      </w:pPr>
      <w:r>
        <w:rPr>
          <w:rFonts w:hint="eastAsia"/>
        </w:rPr>
        <w:t>接口内容要求</w:t>
      </w:r>
    </w:p>
    <w:p w14:paraId="2018680D">
      <w:pPr>
        <w:pStyle w:val="164"/>
        <w:spacing w:line="360" w:lineRule="auto"/>
      </w:pPr>
      <w:r>
        <w:rPr>
          <w:rFonts w:hint="eastAsia"/>
        </w:rPr>
        <w:t>接口设计宜至少包括下列内容：</w:t>
      </w:r>
    </w:p>
    <w:p w14:paraId="509B5FF8">
      <w:pPr>
        <w:pStyle w:val="56"/>
        <w:spacing w:line="360" w:lineRule="auto"/>
        <w:ind w:firstLine="420"/>
      </w:pPr>
      <w:r>
        <w:rPr>
          <w:rFonts w:hint="eastAsia"/>
        </w:rPr>
        <w:t>a）接口名称和接口编号；</w:t>
      </w:r>
    </w:p>
    <w:p w14:paraId="73BD9A7C">
      <w:pPr>
        <w:pStyle w:val="56"/>
        <w:spacing w:line="360" w:lineRule="auto"/>
        <w:ind w:firstLine="420"/>
      </w:pPr>
      <w:r>
        <w:rPr>
          <w:rFonts w:hint="eastAsia"/>
        </w:rPr>
        <w:t>b）接口用途；</w:t>
      </w:r>
    </w:p>
    <w:p w14:paraId="4BDC8EBE">
      <w:pPr>
        <w:pStyle w:val="56"/>
        <w:spacing w:line="360" w:lineRule="auto"/>
        <w:ind w:firstLine="420"/>
      </w:pPr>
      <w:r>
        <w:rPr>
          <w:rFonts w:hint="eastAsia"/>
        </w:rPr>
        <w:t>c）调用方向；</w:t>
      </w:r>
    </w:p>
    <w:p w14:paraId="675CE710">
      <w:pPr>
        <w:pStyle w:val="56"/>
        <w:spacing w:line="360" w:lineRule="auto"/>
        <w:ind w:firstLine="420"/>
      </w:pPr>
      <w:r>
        <w:rPr>
          <w:rFonts w:hint="eastAsia"/>
        </w:rPr>
        <w:t>d）字段结构；</w:t>
      </w:r>
    </w:p>
    <w:p w14:paraId="72193B0F">
      <w:pPr>
        <w:pStyle w:val="56"/>
        <w:spacing w:line="360" w:lineRule="auto"/>
        <w:ind w:firstLine="420"/>
      </w:pPr>
      <w:r>
        <w:rPr>
          <w:rFonts w:hint="eastAsia"/>
        </w:rPr>
        <w:t>e）数据类型；</w:t>
      </w:r>
    </w:p>
    <w:p w14:paraId="4CFB9E04">
      <w:pPr>
        <w:pStyle w:val="56"/>
        <w:spacing w:line="360" w:lineRule="auto"/>
        <w:ind w:firstLine="420"/>
      </w:pPr>
      <w:r>
        <w:rPr>
          <w:rFonts w:hint="eastAsia"/>
        </w:rPr>
        <w:t>f）更新频率；</w:t>
      </w:r>
    </w:p>
    <w:p w14:paraId="6BE9EB1F">
      <w:pPr>
        <w:pStyle w:val="56"/>
        <w:spacing w:line="360" w:lineRule="auto"/>
        <w:ind w:firstLine="420"/>
      </w:pPr>
      <w:r>
        <w:rPr>
          <w:rFonts w:hint="eastAsia"/>
        </w:rPr>
        <w:t>g）异常返回规则；</w:t>
      </w:r>
    </w:p>
    <w:p w14:paraId="07EE0524">
      <w:pPr>
        <w:pStyle w:val="56"/>
        <w:spacing w:line="360" w:lineRule="auto"/>
        <w:ind w:firstLine="420"/>
      </w:pPr>
      <w:r>
        <w:rPr>
          <w:rFonts w:hint="eastAsia"/>
        </w:rPr>
        <w:t>h）权限控制要求；</w:t>
      </w:r>
    </w:p>
    <w:p w14:paraId="6FB6C143">
      <w:pPr>
        <w:pStyle w:val="56"/>
        <w:spacing w:line="360" w:lineRule="auto"/>
        <w:ind w:firstLine="420"/>
      </w:pPr>
      <w:r>
        <w:rPr>
          <w:rFonts w:hint="eastAsia"/>
        </w:rPr>
        <w:t>i）日志记录要求。</w:t>
      </w:r>
    </w:p>
    <w:p w14:paraId="7C143DFC">
      <w:pPr>
        <w:pStyle w:val="164"/>
        <w:spacing w:line="360" w:lineRule="auto"/>
      </w:pPr>
      <w:r>
        <w:rPr>
          <w:rFonts w:hint="eastAsia"/>
        </w:rPr>
        <w:t>接口设计完成后，应形成接口文档。</w:t>
      </w:r>
    </w:p>
    <w:p w14:paraId="676A9D0C">
      <w:pPr>
        <w:pStyle w:val="65"/>
        <w:spacing w:before="120" w:after="120" w:line="360" w:lineRule="auto"/>
      </w:pPr>
      <w:r>
        <w:rPr>
          <w:rFonts w:hint="eastAsia"/>
        </w:rPr>
        <w:t>接口控制要求</w:t>
      </w:r>
    </w:p>
    <w:p w14:paraId="29FC0E6E">
      <w:pPr>
        <w:pStyle w:val="164"/>
        <w:spacing w:line="360" w:lineRule="auto"/>
      </w:pPr>
      <w:r>
        <w:rPr>
          <w:rFonts w:hint="eastAsia"/>
        </w:rPr>
        <w:t>正式接口上线前，应完成联调测试和异常场景测试。</w:t>
      </w:r>
    </w:p>
    <w:p w14:paraId="4D416735">
      <w:pPr>
        <w:pStyle w:val="164"/>
        <w:spacing w:line="360" w:lineRule="auto"/>
      </w:pPr>
      <w:r>
        <w:rPr>
          <w:rFonts w:hint="eastAsia"/>
        </w:rPr>
        <w:t>接口发生变更时，应履行变更管理程序，并同步更新接口文档。</w:t>
      </w:r>
    </w:p>
    <w:p w14:paraId="505BFCF4">
      <w:pPr>
        <w:pStyle w:val="164"/>
        <w:spacing w:line="360" w:lineRule="auto"/>
      </w:pPr>
      <w:r>
        <w:rPr>
          <w:rFonts w:hint="eastAsia"/>
        </w:rPr>
        <w:t>不得长期使用临时接口、人工导表接口或者非受控脚本接口替代正式接口。</w:t>
      </w:r>
    </w:p>
    <w:p w14:paraId="54CFE957">
      <w:pPr>
        <w:pStyle w:val="105"/>
        <w:spacing w:before="120" w:after="120" w:line="360" w:lineRule="auto"/>
      </w:pPr>
      <w:r>
        <w:rPr>
          <w:rFonts w:hint="eastAsia"/>
        </w:rPr>
        <w:t>部署架构设计要求</w:t>
      </w:r>
    </w:p>
    <w:p w14:paraId="577839D4">
      <w:pPr>
        <w:pStyle w:val="65"/>
        <w:spacing w:before="120" w:after="120" w:line="360" w:lineRule="auto"/>
      </w:pPr>
      <w:r>
        <w:rPr>
          <w:rFonts w:hint="eastAsia"/>
        </w:rPr>
        <w:t>一般要求</w:t>
      </w:r>
    </w:p>
    <w:p w14:paraId="11A3FAF9">
      <w:pPr>
        <w:pStyle w:val="164"/>
        <w:spacing w:line="360" w:lineRule="auto"/>
      </w:pPr>
      <w:r>
        <w:rPr>
          <w:rFonts w:hint="eastAsia"/>
        </w:rPr>
        <w:t>系统部署架构应根据企业规模、数据规模、用户数量、访问频率和安全要求合理设计。</w:t>
      </w:r>
    </w:p>
    <w:p w14:paraId="59EAEECD">
      <w:pPr>
        <w:pStyle w:val="164"/>
        <w:spacing w:line="360" w:lineRule="auto"/>
      </w:pPr>
      <w:r>
        <w:rPr>
          <w:rFonts w:hint="eastAsia"/>
        </w:rPr>
        <w:t>部署方式可采用本地部署、云部署或者混合部署。</w:t>
      </w:r>
    </w:p>
    <w:p w14:paraId="135E41B7">
      <w:pPr>
        <w:pStyle w:val="164"/>
        <w:spacing w:line="360" w:lineRule="auto"/>
      </w:pPr>
      <w:r>
        <w:rPr>
          <w:rFonts w:hint="eastAsia"/>
        </w:rPr>
        <w:t>部署方式选择应兼顾成本、可维护性、扩展性和安全性。</w:t>
      </w:r>
    </w:p>
    <w:p w14:paraId="370C584C">
      <w:pPr>
        <w:pStyle w:val="65"/>
        <w:spacing w:before="120" w:after="120" w:line="360" w:lineRule="auto"/>
      </w:pPr>
      <w:r>
        <w:rPr>
          <w:rFonts w:hint="eastAsia"/>
        </w:rPr>
        <w:t>环境设计要求</w:t>
      </w:r>
    </w:p>
    <w:p w14:paraId="099D8EB6">
      <w:pPr>
        <w:pStyle w:val="164"/>
        <w:spacing w:line="360" w:lineRule="auto"/>
      </w:pPr>
      <w:r>
        <w:rPr>
          <w:rFonts w:hint="eastAsia"/>
        </w:rPr>
        <w:t>系统部署前，应明确开发环境、测试环境、预发布环境和生产环境。</w:t>
      </w:r>
    </w:p>
    <w:p w14:paraId="39547E71">
      <w:pPr>
        <w:pStyle w:val="164"/>
        <w:spacing w:line="360" w:lineRule="auto"/>
      </w:pPr>
      <w:r>
        <w:rPr>
          <w:rFonts w:hint="eastAsia"/>
        </w:rPr>
        <w:t>不同环境应根据需要进行逻辑隔离或者物理隔离。</w:t>
      </w:r>
    </w:p>
    <w:p w14:paraId="46051E66">
      <w:pPr>
        <w:pStyle w:val="164"/>
        <w:spacing w:line="360" w:lineRule="auto"/>
      </w:pPr>
      <w:r>
        <w:rPr>
          <w:rFonts w:hint="eastAsia"/>
        </w:rPr>
        <w:t>不得在生产环境直接开展未授权开发、未验证调试或者临时测试。</w:t>
      </w:r>
    </w:p>
    <w:p w14:paraId="43E61324">
      <w:pPr>
        <w:pStyle w:val="65"/>
        <w:spacing w:before="120" w:after="120" w:line="360" w:lineRule="auto"/>
      </w:pPr>
      <w:r>
        <w:rPr>
          <w:rFonts w:hint="eastAsia"/>
        </w:rPr>
        <w:t>资源配置要求</w:t>
      </w:r>
    </w:p>
    <w:p w14:paraId="7DE74318">
      <w:pPr>
        <w:pStyle w:val="164"/>
        <w:spacing w:line="360" w:lineRule="auto"/>
      </w:pPr>
      <w:r>
        <w:rPr>
          <w:rFonts w:hint="eastAsia"/>
        </w:rPr>
        <w:t>系统部署应明确服务器、数据库、存储、网络带宽、终端访问和备份资源配置。</w:t>
      </w:r>
    </w:p>
    <w:p w14:paraId="77FDA311">
      <w:pPr>
        <w:pStyle w:val="164"/>
        <w:spacing w:line="360" w:lineRule="auto"/>
      </w:pPr>
      <w:r>
        <w:rPr>
          <w:rFonts w:hint="eastAsia"/>
        </w:rPr>
        <w:t>资源配置应满足正常运行要求，并保留合理冗余。</w:t>
      </w:r>
    </w:p>
    <w:p w14:paraId="5466C227">
      <w:pPr>
        <w:pStyle w:val="164"/>
        <w:spacing w:line="360" w:lineRule="auto"/>
      </w:pPr>
      <w:r>
        <w:rPr>
          <w:rFonts w:hint="eastAsia"/>
        </w:rPr>
        <w:t>因资源明显不足可能导致系统频繁中断、分析超时或者结果生成失败的，不得直接投入正式运行。</w:t>
      </w:r>
    </w:p>
    <w:p w14:paraId="3CD754C9">
      <w:pPr>
        <w:pStyle w:val="105"/>
        <w:spacing w:before="120" w:after="120" w:line="360" w:lineRule="auto"/>
      </w:pPr>
      <w:r>
        <w:rPr>
          <w:rFonts w:hint="eastAsia"/>
        </w:rPr>
        <w:t>性能与可用性设计要求</w:t>
      </w:r>
    </w:p>
    <w:p w14:paraId="17F83138">
      <w:pPr>
        <w:pStyle w:val="65"/>
        <w:spacing w:before="120" w:after="120" w:line="360" w:lineRule="auto"/>
      </w:pPr>
      <w:r>
        <w:rPr>
          <w:rFonts w:hint="eastAsia"/>
        </w:rPr>
        <w:t>一般要求</w:t>
      </w:r>
    </w:p>
    <w:p w14:paraId="325EE609">
      <w:pPr>
        <w:pStyle w:val="164"/>
        <w:spacing w:line="360" w:lineRule="auto"/>
      </w:pPr>
      <w:r>
        <w:rPr>
          <w:rFonts w:hint="eastAsia"/>
        </w:rPr>
        <w:t>系统设计应考虑并发访问、数据处理效率、结果生成效率和持续运行能力。</w:t>
      </w:r>
    </w:p>
    <w:p w14:paraId="41C5B937">
      <w:pPr>
        <w:pStyle w:val="164"/>
        <w:spacing w:line="360" w:lineRule="auto"/>
      </w:pPr>
      <w:r>
        <w:rPr>
          <w:rFonts w:hint="eastAsia"/>
        </w:rPr>
        <w:t>对高频访问模块、重点报表模块、实时预警模块和批量分析模块，应分别设定性能目标。</w:t>
      </w:r>
    </w:p>
    <w:p w14:paraId="36133CFB">
      <w:pPr>
        <w:pStyle w:val="65"/>
        <w:spacing w:before="120" w:after="120" w:line="360" w:lineRule="auto"/>
      </w:pPr>
      <w:r>
        <w:rPr>
          <w:rFonts w:hint="eastAsia"/>
        </w:rPr>
        <w:t>性能控制要求</w:t>
      </w:r>
    </w:p>
    <w:p w14:paraId="6714079B">
      <w:pPr>
        <w:pStyle w:val="164"/>
        <w:spacing w:line="360" w:lineRule="auto"/>
      </w:pPr>
      <w:r>
        <w:rPr>
          <w:rFonts w:hint="eastAsia"/>
        </w:rPr>
        <w:t>性能设计宜覆盖下列内容：</w:t>
      </w:r>
    </w:p>
    <w:p w14:paraId="7FE5B5CD">
      <w:pPr>
        <w:pStyle w:val="56"/>
        <w:spacing w:line="360" w:lineRule="auto"/>
        <w:ind w:firstLine="420"/>
      </w:pPr>
      <w:r>
        <w:rPr>
          <w:rFonts w:hint="eastAsia"/>
        </w:rPr>
        <w:t>a）页面响应时间；</w:t>
      </w:r>
    </w:p>
    <w:p w14:paraId="2A7C83CB">
      <w:pPr>
        <w:pStyle w:val="56"/>
        <w:spacing w:line="360" w:lineRule="auto"/>
        <w:ind w:firstLine="420"/>
      </w:pPr>
      <w:r>
        <w:rPr>
          <w:rFonts w:hint="eastAsia"/>
        </w:rPr>
        <w:t>b）报表生成时间；</w:t>
      </w:r>
    </w:p>
    <w:p w14:paraId="05D8C237">
      <w:pPr>
        <w:pStyle w:val="56"/>
        <w:spacing w:line="360" w:lineRule="auto"/>
        <w:ind w:firstLine="420"/>
      </w:pPr>
      <w:r>
        <w:rPr>
          <w:rFonts w:hint="eastAsia"/>
        </w:rPr>
        <w:t>c）分析任务执行时间；</w:t>
      </w:r>
    </w:p>
    <w:p w14:paraId="679F65AF">
      <w:pPr>
        <w:pStyle w:val="56"/>
        <w:spacing w:line="360" w:lineRule="auto"/>
        <w:ind w:firstLine="420"/>
      </w:pPr>
      <w:r>
        <w:rPr>
          <w:rFonts w:hint="eastAsia"/>
        </w:rPr>
        <w:t>d）并发访问能力；</w:t>
      </w:r>
    </w:p>
    <w:p w14:paraId="690CE322">
      <w:pPr>
        <w:pStyle w:val="56"/>
        <w:spacing w:line="360" w:lineRule="auto"/>
        <w:ind w:firstLine="420"/>
      </w:pPr>
      <w:r>
        <w:rPr>
          <w:rFonts w:hint="eastAsia"/>
        </w:rPr>
        <w:t>e）批量任务处理能力；</w:t>
      </w:r>
    </w:p>
    <w:p w14:paraId="2E727328">
      <w:pPr>
        <w:pStyle w:val="56"/>
        <w:spacing w:line="360" w:lineRule="auto"/>
        <w:ind w:firstLine="420"/>
      </w:pPr>
      <w:r>
        <w:rPr>
          <w:rFonts w:hint="eastAsia"/>
        </w:rPr>
        <w:t>f）接口响应能力；</w:t>
      </w:r>
    </w:p>
    <w:p w14:paraId="48A1C612">
      <w:pPr>
        <w:pStyle w:val="56"/>
        <w:spacing w:line="360" w:lineRule="auto"/>
        <w:ind w:firstLine="420"/>
      </w:pPr>
      <w:r>
        <w:rPr>
          <w:rFonts w:hint="eastAsia"/>
        </w:rPr>
        <w:t>g）系统恢复能力。</w:t>
      </w:r>
    </w:p>
    <w:p w14:paraId="71900C51">
      <w:pPr>
        <w:pStyle w:val="164"/>
        <w:spacing w:line="360" w:lineRule="auto"/>
      </w:pPr>
      <w:r>
        <w:rPr>
          <w:rFonts w:hint="eastAsia"/>
        </w:rPr>
        <w:t>对性能要求较高的模块，应在上线前进行专项测试。</w:t>
      </w:r>
    </w:p>
    <w:p w14:paraId="24F56635">
      <w:pPr>
        <w:pStyle w:val="65"/>
        <w:spacing w:before="120" w:after="120" w:line="360" w:lineRule="auto"/>
      </w:pPr>
      <w:r>
        <w:rPr>
          <w:rFonts w:hint="eastAsia"/>
        </w:rPr>
        <w:t>可用性要求</w:t>
      </w:r>
    </w:p>
    <w:p w14:paraId="50BE7648">
      <w:pPr>
        <w:pStyle w:val="164"/>
        <w:spacing w:line="360" w:lineRule="auto"/>
      </w:pPr>
      <w:r>
        <w:rPr>
          <w:rFonts w:hint="eastAsia"/>
        </w:rPr>
        <w:t>正式生产系统应具备基本可用性保障措施。</w:t>
      </w:r>
    </w:p>
    <w:p w14:paraId="01A9A50E">
      <w:pPr>
        <w:pStyle w:val="164"/>
        <w:spacing w:line="360" w:lineRule="auto"/>
      </w:pPr>
      <w:r>
        <w:rPr>
          <w:rFonts w:hint="eastAsia"/>
        </w:rPr>
        <w:t>对关键业务系统，应建立备份、恢复和应急切换方案。</w:t>
      </w:r>
    </w:p>
    <w:p w14:paraId="48809DFD">
      <w:pPr>
        <w:pStyle w:val="164"/>
        <w:spacing w:line="360" w:lineRule="auto"/>
      </w:pPr>
      <w:r>
        <w:rPr>
          <w:rFonts w:hint="eastAsia"/>
        </w:rPr>
        <w:t>系统设计不得仅关注正常状态运行，不考虑故障、异常和恢复情形。</w:t>
      </w:r>
    </w:p>
    <w:p w14:paraId="3F31BBDD">
      <w:pPr>
        <w:pStyle w:val="105"/>
        <w:spacing w:before="120" w:after="120" w:line="360" w:lineRule="auto"/>
      </w:pPr>
      <w:r>
        <w:rPr>
          <w:rFonts w:hint="eastAsia"/>
        </w:rPr>
        <w:t>安全设计要求</w:t>
      </w:r>
    </w:p>
    <w:p w14:paraId="07FDE41C">
      <w:pPr>
        <w:pStyle w:val="65"/>
        <w:spacing w:before="120" w:after="120" w:line="360" w:lineRule="auto"/>
      </w:pPr>
      <w:r>
        <w:rPr>
          <w:rFonts w:hint="eastAsia"/>
        </w:rPr>
        <w:t>一般要求</w:t>
      </w:r>
    </w:p>
    <w:p w14:paraId="450FD131">
      <w:pPr>
        <w:pStyle w:val="164"/>
        <w:spacing w:line="360" w:lineRule="auto"/>
      </w:pPr>
      <w:r>
        <w:rPr>
          <w:rFonts w:hint="eastAsia"/>
        </w:rPr>
        <w:t>系统设计应同步考虑身份认证、访问控制、数据保护、日志审计和备份恢复等安全要求。</w:t>
      </w:r>
    </w:p>
    <w:p w14:paraId="4933CBD3">
      <w:pPr>
        <w:pStyle w:val="164"/>
        <w:spacing w:line="360" w:lineRule="auto"/>
      </w:pPr>
      <w:r>
        <w:rPr>
          <w:rFonts w:hint="eastAsia"/>
        </w:rPr>
        <w:t>安全设计应与系统分级、数据敏感程度和业务风险等级相适应。</w:t>
      </w:r>
    </w:p>
    <w:p w14:paraId="3EF71613">
      <w:pPr>
        <w:pStyle w:val="65"/>
        <w:spacing w:before="120" w:after="120" w:line="360" w:lineRule="auto"/>
      </w:pPr>
      <w:r>
        <w:rPr>
          <w:rFonts w:hint="eastAsia"/>
        </w:rPr>
        <w:t>安全控制内容</w:t>
      </w:r>
    </w:p>
    <w:p w14:paraId="0B67451A">
      <w:pPr>
        <w:pStyle w:val="164"/>
        <w:spacing w:line="360" w:lineRule="auto"/>
      </w:pPr>
      <w:r>
        <w:rPr>
          <w:rFonts w:hint="eastAsia"/>
        </w:rPr>
        <w:t>安全设计宜至少包括下列内容：</w:t>
      </w:r>
    </w:p>
    <w:p w14:paraId="710CFBC5">
      <w:pPr>
        <w:pStyle w:val="56"/>
        <w:spacing w:line="360" w:lineRule="auto"/>
        <w:ind w:firstLine="420"/>
      </w:pPr>
      <w:r>
        <w:rPr>
          <w:rFonts w:hint="eastAsia"/>
        </w:rPr>
        <w:t>a）账户与密码策略；</w:t>
      </w:r>
    </w:p>
    <w:p w14:paraId="1A239706">
      <w:pPr>
        <w:pStyle w:val="56"/>
        <w:spacing w:line="360" w:lineRule="auto"/>
        <w:ind w:firstLine="420"/>
      </w:pPr>
      <w:r>
        <w:rPr>
          <w:rFonts w:hint="eastAsia"/>
        </w:rPr>
        <w:t>b）角色与权限分配；</w:t>
      </w:r>
    </w:p>
    <w:p w14:paraId="62658EBB">
      <w:pPr>
        <w:pStyle w:val="56"/>
        <w:spacing w:line="360" w:lineRule="auto"/>
        <w:ind w:firstLine="420"/>
      </w:pPr>
      <w:r>
        <w:rPr>
          <w:rFonts w:hint="eastAsia"/>
        </w:rPr>
        <w:t>c）敏感数据访问限制；</w:t>
      </w:r>
    </w:p>
    <w:p w14:paraId="6D2175B2">
      <w:pPr>
        <w:pStyle w:val="56"/>
        <w:spacing w:line="360" w:lineRule="auto"/>
        <w:ind w:firstLine="420"/>
      </w:pPr>
      <w:r>
        <w:rPr>
          <w:rFonts w:hint="eastAsia"/>
        </w:rPr>
        <w:t>d）操作日志留痕；</w:t>
      </w:r>
    </w:p>
    <w:p w14:paraId="37AD1EBB">
      <w:pPr>
        <w:pStyle w:val="56"/>
        <w:spacing w:line="360" w:lineRule="auto"/>
        <w:ind w:firstLine="420"/>
      </w:pPr>
      <w:r>
        <w:rPr>
          <w:rFonts w:hint="eastAsia"/>
        </w:rPr>
        <w:t>e）数据导出控制；</w:t>
      </w:r>
    </w:p>
    <w:p w14:paraId="0780C986">
      <w:pPr>
        <w:pStyle w:val="56"/>
        <w:spacing w:line="360" w:lineRule="auto"/>
        <w:ind w:firstLine="420"/>
      </w:pPr>
      <w:r>
        <w:rPr>
          <w:rFonts w:hint="eastAsia"/>
        </w:rPr>
        <w:t>f）接口访问控制；</w:t>
      </w:r>
    </w:p>
    <w:p w14:paraId="72BFC822">
      <w:pPr>
        <w:pStyle w:val="56"/>
        <w:spacing w:line="360" w:lineRule="auto"/>
        <w:ind w:firstLine="420"/>
      </w:pPr>
      <w:r>
        <w:rPr>
          <w:rFonts w:hint="eastAsia"/>
        </w:rPr>
        <w:t>g）备份恢复机制；</w:t>
      </w:r>
    </w:p>
    <w:p w14:paraId="426DB1DE">
      <w:pPr>
        <w:pStyle w:val="56"/>
        <w:spacing w:line="360" w:lineRule="auto"/>
        <w:ind w:firstLine="420"/>
      </w:pPr>
      <w:r>
        <w:rPr>
          <w:rFonts w:hint="eastAsia"/>
        </w:rPr>
        <w:t>h）异常登录告警；</w:t>
      </w:r>
    </w:p>
    <w:p w14:paraId="1415712D">
      <w:pPr>
        <w:pStyle w:val="56"/>
        <w:spacing w:line="360" w:lineRule="auto"/>
        <w:ind w:firstLine="420"/>
      </w:pPr>
      <w:r>
        <w:rPr>
          <w:rFonts w:hint="eastAsia"/>
        </w:rPr>
        <w:t>i）重要变更审批。</w:t>
      </w:r>
    </w:p>
    <w:p w14:paraId="3E02C247">
      <w:pPr>
        <w:pStyle w:val="164"/>
        <w:spacing w:line="360" w:lineRule="auto"/>
      </w:pPr>
      <w:r>
        <w:rPr>
          <w:rFonts w:hint="eastAsia"/>
        </w:rPr>
        <w:t>对涉及客户信息、财务数据和核心经营数据的系统，应提高安全控制等级。</w:t>
      </w:r>
    </w:p>
    <w:p w14:paraId="7D391E2B">
      <w:pPr>
        <w:pStyle w:val="105"/>
        <w:spacing w:before="120" w:after="120" w:line="360" w:lineRule="auto"/>
      </w:pPr>
      <w:r>
        <w:rPr>
          <w:rFonts w:hint="eastAsia"/>
        </w:rPr>
        <w:t>测试与上线要求</w:t>
      </w:r>
    </w:p>
    <w:p w14:paraId="68911D26">
      <w:pPr>
        <w:pStyle w:val="65"/>
        <w:spacing w:before="120" w:after="120" w:line="360" w:lineRule="auto"/>
      </w:pPr>
      <w:r>
        <w:rPr>
          <w:rFonts w:hint="eastAsia"/>
        </w:rPr>
        <w:t>一般要求</w:t>
      </w:r>
    </w:p>
    <w:p w14:paraId="132FD4D9">
      <w:pPr>
        <w:pStyle w:val="164"/>
        <w:spacing w:line="360" w:lineRule="auto"/>
      </w:pPr>
      <w:r>
        <w:rPr>
          <w:rFonts w:hint="eastAsia"/>
        </w:rPr>
        <w:t>系统部署完成后，应开展测试和上线准备。</w:t>
      </w:r>
    </w:p>
    <w:p w14:paraId="3B7A64CC">
      <w:pPr>
        <w:pStyle w:val="164"/>
        <w:spacing w:line="360" w:lineRule="auto"/>
      </w:pPr>
      <w:r>
        <w:rPr>
          <w:rFonts w:hint="eastAsia"/>
        </w:rPr>
        <w:t>测试应覆盖功能测试、接口测试、性能测试、权限测试、日志测试和必要的安全测试。</w:t>
      </w:r>
    </w:p>
    <w:p w14:paraId="14A65765">
      <w:pPr>
        <w:pStyle w:val="164"/>
        <w:spacing w:line="360" w:lineRule="auto"/>
      </w:pPr>
      <w:r>
        <w:rPr>
          <w:rFonts w:hint="eastAsia"/>
        </w:rPr>
        <w:t>未通过测试的系统，不得进入正式生产运行。</w:t>
      </w:r>
    </w:p>
    <w:p w14:paraId="05759D07">
      <w:pPr>
        <w:pStyle w:val="65"/>
        <w:spacing w:before="120" w:after="120" w:line="360" w:lineRule="auto"/>
      </w:pPr>
      <w:r>
        <w:rPr>
          <w:rFonts w:hint="eastAsia"/>
        </w:rPr>
        <w:t>上线准备要求</w:t>
      </w:r>
    </w:p>
    <w:p w14:paraId="3AB3B7A7">
      <w:pPr>
        <w:pStyle w:val="164"/>
        <w:spacing w:line="360" w:lineRule="auto"/>
      </w:pPr>
      <w:r>
        <w:rPr>
          <w:rFonts w:hint="eastAsia"/>
        </w:rPr>
        <w:t>上线前宜完成下列工作：</w:t>
      </w:r>
    </w:p>
    <w:p w14:paraId="4613F23E">
      <w:pPr>
        <w:pStyle w:val="56"/>
        <w:spacing w:line="360" w:lineRule="auto"/>
        <w:ind w:firstLine="420"/>
      </w:pPr>
      <w:r>
        <w:rPr>
          <w:rFonts w:hint="eastAsia"/>
        </w:rPr>
        <w:t>a）配置核查；</w:t>
      </w:r>
    </w:p>
    <w:p w14:paraId="064104A0">
      <w:pPr>
        <w:pStyle w:val="56"/>
        <w:spacing w:line="360" w:lineRule="auto"/>
        <w:ind w:firstLine="420"/>
      </w:pPr>
      <w:r>
        <w:rPr>
          <w:rFonts w:hint="eastAsia"/>
        </w:rPr>
        <w:t>b）功能核查；</w:t>
      </w:r>
    </w:p>
    <w:p w14:paraId="075B2846">
      <w:pPr>
        <w:pStyle w:val="56"/>
        <w:spacing w:line="360" w:lineRule="auto"/>
        <w:ind w:firstLine="420"/>
      </w:pPr>
      <w:r>
        <w:rPr>
          <w:rFonts w:hint="eastAsia"/>
        </w:rPr>
        <w:t>c）数据接入核查；</w:t>
      </w:r>
    </w:p>
    <w:p w14:paraId="4F24B71B">
      <w:pPr>
        <w:pStyle w:val="56"/>
        <w:spacing w:line="360" w:lineRule="auto"/>
        <w:ind w:firstLine="420"/>
      </w:pPr>
      <w:r>
        <w:rPr>
          <w:rFonts w:hint="eastAsia"/>
        </w:rPr>
        <w:t>d）用户权限核查；</w:t>
      </w:r>
    </w:p>
    <w:p w14:paraId="4E91710E">
      <w:pPr>
        <w:pStyle w:val="56"/>
        <w:spacing w:line="360" w:lineRule="auto"/>
        <w:ind w:firstLine="420"/>
      </w:pPr>
      <w:r>
        <w:rPr>
          <w:rFonts w:hint="eastAsia"/>
        </w:rPr>
        <w:t>e）备份与恢复准备；</w:t>
      </w:r>
    </w:p>
    <w:p w14:paraId="3CAB15A8">
      <w:pPr>
        <w:pStyle w:val="56"/>
        <w:spacing w:line="360" w:lineRule="auto"/>
        <w:ind w:firstLine="420"/>
      </w:pPr>
      <w:r>
        <w:rPr>
          <w:rFonts w:hint="eastAsia"/>
        </w:rPr>
        <w:t>f）应急预案准备；</w:t>
      </w:r>
    </w:p>
    <w:p w14:paraId="0A6A9345">
      <w:pPr>
        <w:pStyle w:val="56"/>
        <w:spacing w:line="360" w:lineRule="auto"/>
        <w:ind w:firstLine="420"/>
      </w:pPr>
      <w:r>
        <w:rPr>
          <w:rFonts w:hint="eastAsia"/>
        </w:rPr>
        <w:t>g）用户培训；</w:t>
      </w:r>
    </w:p>
    <w:p w14:paraId="65163EDF">
      <w:pPr>
        <w:pStyle w:val="56"/>
        <w:spacing w:line="360" w:lineRule="auto"/>
        <w:ind w:firstLine="420"/>
      </w:pPr>
      <w:r>
        <w:rPr>
          <w:rFonts w:hint="eastAsia"/>
        </w:rPr>
        <w:t>h）上线审批。</w:t>
      </w:r>
    </w:p>
    <w:p w14:paraId="67F46079">
      <w:pPr>
        <w:pStyle w:val="164"/>
        <w:spacing w:line="360" w:lineRule="auto"/>
      </w:pPr>
      <w:r>
        <w:rPr>
          <w:rFonts w:hint="eastAsia"/>
        </w:rPr>
        <w:t>上线后应进入试运行或者稳定观察阶段。</w:t>
      </w:r>
    </w:p>
    <w:p w14:paraId="3CB52182">
      <w:pPr>
        <w:pStyle w:val="65"/>
        <w:spacing w:before="120" w:after="120" w:line="360" w:lineRule="auto"/>
      </w:pPr>
      <w:r>
        <w:rPr>
          <w:rFonts w:hint="eastAsia"/>
        </w:rPr>
        <w:t>试运行要求</w:t>
      </w:r>
    </w:p>
    <w:p w14:paraId="455943D7">
      <w:pPr>
        <w:pStyle w:val="164"/>
        <w:spacing w:line="360" w:lineRule="auto"/>
      </w:pPr>
      <w:r>
        <w:rPr>
          <w:rFonts w:hint="eastAsia"/>
        </w:rPr>
        <w:t>试运行期间应重点监测系统稳定性、数据正确性、接口连通性和结果可接受性。</w:t>
      </w:r>
    </w:p>
    <w:p w14:paraId="7FABD437">
      <w:pPr>
        <w:pStyle w:val="164"/>
        <w:spacing w:line="360" w:lineRule="auto"/>
      </w:pPr>
      <w:r>
        <w:rPr>
          <w:rFonts w:hint="eastAsia"/>
        </w:rPr>
        <w:t>试运行发现重大问题的，应整改后重新验证，不得带病转入正式运行。</w:t>
      </w:r>
    </w:p>
    <w:p w14:paraId="5D3384FE">
      <w:pPr>
        <w:pStyle w:val="105"/>
        <w:spacing w:before="120" w:after="120" w:line="360" w:lineRule="auto"/>
      </w:pPr>
      <w:r>
        <w:rPr>
          <w:rFonts w:hint="eastAsia"/>
        </w:rPr>
        <w:t>设计与部署文档要求</w:t>
      </w:r>
    </w:p>
    <w:p w14:paraId="3D8ECC12">
      <w:pPr>
        <w:pStyle w:val="56"/>
        <w:spacing w:line="360" w:lineRule="auto"/>
        <w:ind w:firstLine="420"/>
      </w:pPr>
      <w:r>
        <w:rPr>
          <w:rFonts w:hint="eastAsia"/>
        </w:rPr>
        <w:t>系统设计与部署完成后，应形成相应文档。</w:t>
      </w:r>
    </w:p>
    <w:p w14:paraId="31AE40A8">
      <w:pPr>
        <w:pStyle w:val="56"/>
        <w:spacing w:line="360" w:lineRule="auto"/>
        <w:ind w:firstLine="420"/>
      </w:pPr>
      <w:r>
        <w:rPr>
          <w:rFonts w:hint="eastAsia"/>
        </w:rPr>
        <w:t>文档宜至少包括下列内容：</w:t>
      </w:r>
    </w:p>
    <w:p w14:paraId="5AACFF9B">
      <w:pPr>
        <w:pStyle w:val="56"/>
        <w:spacing w:line="360" w:lineRule="auto"/>
        <w:ind w:firstLine="420"/>
      </w:pPr>
      <w:r>
        <w:rPr>
          <w:rFonts w:hint="eastAsia"/>
        </w:rPr>
        <w:t>a）总体设计说明；</w:t>
      </w:r>
    </w:p>
    <w:p w14:paraId="39D6BB1F">
      <w:pPr>
        <w:pStyle w:val="56"/>
        <w:spacing w:line="360" w:lineRule="auto"/>
        <w:ind w:firstLine="420"/>
      </w:pPr>
      <w:r>
        <w:rPr>
          <w:rFonts w:hint="eastAsia"/>
        </w:rPr>
        <w:t>b）功能设计说明；</w:t>
      </w:r>
    </w:p>
    <w:p w14:paraId="7DD5579E">
      <w:pPr>
        <w:pStyle w:val="56"/>
        <w:spacing w:line="360" w:lineRule="auto"/>
        <w:ind w:firstLine="420"/>
      </w:pPr>
      <w:r>
        <w:rPr>
          <w:rFonts w:hint="eastAsia"/>
        </w:rPr>
        <w:t>c）数据架构说明；</w:t>
      </w:r>
    </w:p>
    <w:p w14:paraId="7C8F53E9">
      <w:pPr>
        <w:pStyle w:val="56"/>
        <w:spacing w:line="360" w:lineRule="auto"/>
        <w:ind w:firstLine="420"/>
      </w:pPr>
      <w:r>
        <w:rPr>
          <w:rFonts w:hint="eastAsia"/>
        </w:rPr>
        <w:t>d）接口文档；</w:t>
      </w:r>
    </w:p>
    <w:p w14:paraId="21931A3E">
      <w:pPr>
        <w:pStyle w:val="56"/>
        <w:spacing w:line="360" w:lineRule="auto"/>
        <w:ind w:firstLine="420"/>
      </w:pPr>
      <w:r>
        <w:rPr>
          <w:rFonts w:hint="eastAsia"/>
        </w:rPr>
        <w:t>e）部署文档；</w:t>
      </w:r>
    </w:p>
    <w:p w14:paraId="23627519">
      <w:pPr>
        <w:pStyle w:val="56"/>
        <w:spacing w:line="360" w:lineRule="auto"/>
        <w:ind w:firstLine="420"/>
      </w:pPr>
      <w:r>
        <w:rPr>
          <w:rFonts w:hint="eastAsia"/>
        </w:rPr>
        <w:t>f）测试记录；</w:t>
      </w:r>
    </w:p>
    <w:p w14:paraId="1332F8E1">
      <w:pPr>
        <w:pStyle w:val="56"/>
        <w:spacing w:line="360" w:lineRule="auto"/>
        <w:ind w:firstLine="420"/>
      </w:pPr>
      <w:r>
        <w:rPr>
          <w:rFonts w:hint="eastAsia"/>
        </w:rPr>
        <w:t>g）上线记录；</w:t>
      </w:r>
    </w:p>
    <w:p w14:paraId="25829D71">
      <w:pPr>
        <w:pStyle w:val="56"/>
        <w:spacing w:line="360" w:lineRule="auto"/>
        <w:ind w:firstLine="420"/>
      </w:pPr>
      <w:r>
        <w:rPr>
          <w:rFonts w:hint="eastAsia"/>
        </w:rPr>
        <w:t>h）用户手册；</w:t>
      </w:r>
    </w:p>
    <w:p w14:paraId="02323EDD">
      <w:pPr>
        <w:pStyle w:val="56"/>
        <w:spacing w:line="360" w:lineRule="auto"/>
        <w:ind w:firstLine="420"/>
      </w:pPr>
      <w:r>
        <w:rPr>
          <w:rFonts w:hint="eastAsia"/>
        </w:rPr>
        <w:t>i）运维手册。</w:t>
      </w:r>
    </w:p>
    <w:p w14:paraId="5997F653">
      <w:pPr>
        <w:pStyle w:val="165"/>
        <w:spacing w:line="360" w:lineRule="auto"/>
      </w:pPr>
      <w:r>
        <w:rPr>
          <w:rFonts w:hint="eastAsia"/>
        </w:rPr>
        <w:t>文档应与实际系统保持一致。系统调整、模块增减和接口变更后，应同步更新文档。</w:t>
      </w:r>
    </w:p>
    <w:p w14:paraId="4A540859">
      <w:pPr>
        <w:pStyle w:val="105"/>
        <w:spacing w:before="120" w:after="120" w:line="360" w:lineRule="auto"/>
      </w:pPr>
      <w:r>
        <w:rPr>
          <w:rFonts w:hint="eastAsia"/>
        </w:rPr>
        <w:t>系统设计与部署要点</w:t>
      </w:r>
    </w:p>
    <w:p w14:paraId="323A9CF2">
      <w:pPr>
        <w:pStyle w:val="56"/>
        <w:spacing w:line="360" w:lineRule="auto"/>
        <w:ind w:firstLine="420"/>
      </w:pPr>
      <w:r>
        <w:rPr>
          <w:rFonts w:hint="eastAsia"/>
        </w:rPr>
        <w:t>系统设计与部署的主要控制内容见表2。表2给出了系统设计与部署的主要控制内容及控制要点。</w:t>
      </w:r>
    </w:p>
    <w:p w14:paraId="213C4AB0">
      <w:pPr>
        <w:pStyle w:val="112"/>
        <w:spacing w:before="120" w:after="120" w:line="360" w:lineRule="auto"/>
      </w:pPr>
      <w:r>
        <w:rPr>
          <w:rFonts w:hint="eastAsia"/>
        </w:rPr>
        <w:t>系统设计与部署要点表</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691"/>
        <w:gridCol w:w="4111"/>
        <w:gridCol w:w="3532"/>
      </w:tblGrid>
      <w:tr w14:paraId="08DEFEE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691" w:type="dxa"/>
            <w:tcBorders>
              <w:top w:val="single" w:color="auto" w:sz="8" w:space="0"/>
              <w:bottom w:val="single" w:color="auto" w:sz="8" w:space="0"/>
            </w:tcBorders>
          </w:tcPr>
          <w:p w14:paraId="58CA5A92">
            <w:pPr>
              <w:pStyle w:val="178"/>
              <w:rPr>
                <w:rFonts w:hint="eastAsia"/>
              </w:rPr>
            </w:pPr>
            <w:r>
              <w:rPr>
                <w:rFonts w:hint="eastAsia"/>
              </w:rPr>
              <w:t>系统设计</w:t>
            </w:r>
          </w:p>
        </w:tc>
        <w:tc>
          <w:tcPr>
            <w:tcW w:w="4111" w:type="dxa"/>
            <w:tcBorders>
              <w:top w:val="single" w:color="auto" w:sz="8" w:space="0"/>
              <w:bottom w:val="single" w:color="auto" w:sz="8" w:space="0"/>
            </w:tcBorders>
          </w:tcPr>
          <w:p w14:paraId="6601854D">
            <w:pPr>
              <w:pStyle w:val="178"/>
            </w:pPr>
            <w:r>
              <w:rPr>
                <w:rFonts w:hint="eastAsia"/>
              </w:rPr>
              <w:t>主要内容</w:t>
            </w:r>
          </w:p>
        </w:tc>
        <w:tc>
          <w:tcPr>
            <w:tcW w:w="3532" w:type="dxa"/>
            <w:tcBorders>
              <w:top w:val="single" w:color="auto" w:sz="8" w:space="0"/>
              <w:bottom w:val="single" w:color="auto" w:sz="8" w:space="0"/>
            </w:tcBorders>
          </w:tcPr>
          <w:p w14:paraId="6363DB40">
            <w:pPr>
              <w:pStyle w:val="178"/>
            </w:pPr>
            <w:r>
              <w:rPr>
                <w:rFonts w:hint="eastAsia"/>
              </w:rPr>
              <w:t>控制要点</w:t>
            </w:r>
          </w:p>
        </w:tc>
      </w:tr>
      <w:tr w14:paraId="63C20C7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691" w:type="dxa"/>
            <w:tcBorders>
              <w:top w:val="single" w:color="auto" w:sz="8" w:space="0"/>
            </w:tcBorders>
          </w:tcPr>
          <w:p w14:paraId="6DE54618">
            <w:pPr>
              <w:pStyle w:val="178"/>
            </w:pPr>
            <w:r>
              <w:rPr>
                <w:rFonts w:hint="eastAsia"/>
              </w:rPr>
              <w:t>总体架构设计</w:t>
            </w:r>
          </w:p>
        </w:tc>
        <w:tc>
          <w:tcPr>
            <w:tcW w:w="4111" w:type="dxa"/>
            <w:tcBorders>
              <w:top w:val="single" w:color="auto" w:sz="8" w:space="0"/>
            </w:tcBorders>
          </w:tcPr>
          <w:p w14:paraId="0FBEFBAF">
            <w:pPr>
              <w:pStyle w:val="178"/>
            </w:pPr>
            <w:r>
              <w:rPr>
                <w:rFonts w:hint="eastAsia"/>
              </w:rPr>
              <w:t>业务层、数据层、应用层、运维层</w:t>
            </w:r>
          </w:p>
        </w:tc>
        <w:tc>
          <w:tcPr>
            <w:tcW w:w="3532" w:type="dxa"/>
            <w:tcBorders>
              <w:top w:val="single" w:color="auto" w:sz="8" w:space="0"/>
            </w:tcBorders>
          </w:tcPr>
          <w:p w14:paraId="2CCA30E2">
            <w:pPr>
              <w:pStyle w:val="178"/>
            </w:pPr>
            <w:r>
              <w:rPr>
                <w:rFonts w:hint="eastAsia"/>
              </w:rPr>
              <w:t>架构适度、边界清晰、便于扩展</w:t>
            </w:r>
          </w:p>
        </w:tc>
      </w:tr>
      <w:tr w14:paraId="3DF4211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691" w:type="dxa"/>
          </w:tcPr>
          <w:p w14:paraId="266429B0">
            <w:pPr>
              <w:pStyle w:val="178"/>
            </w:pPr>
            <w:r>
              <w:rPr>
                <w:rFonts w:hint="eastAsia"/>
              </w:rPr>
              <w:t>功能架构设计</w:t>
            </w:r>
          </w:p>
        </w:tc>
        <w:tc>
          <w:tcPr>
            <w:tcW w:w="4111" w:type="dxa"/>
          </w:tcPr>
          <w:p w14:paraId="6BA00839">
            <w:pPr>
              <w:pStyle w:val="178"/>
            </w:pPr>
            <w:r>
              <w:rPr>
                <w:rFonts w:hint="eastAsia"/>
              </w:rPr>
              <w:t>接入、治理、分析、展示、预警等</w:t>
            </w:r>
          </w:p>
        </w:tc>
        <w:tc>
          <w:tcPr>
            <w:tcW w:w="3532" w:type="dxa"/>
          </w:tcPr>
          <w:p w14:paraId="756850E4">
            <w:pPr>
              <w:pStyle w:val="178"/>
            </w:pPr>
            <w:r>
              <w:rPr>
                <w:rFonts w:hint="eastAsia"/>
              </w:rPr>
              <w:t>功能与需求对应，不堆砌无效功能</w:t>
            </w:r>
          </w:p>
        </w:tc>
      </w:tr>
      <w:tr w14:paraId="2B61F2D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691" w:type="dxa"/>
          </w:tcPr>
          <w:p w14:paraId="59A6E066">
            <w:pPr>
              <w:pStyle w:val="178"/>
            </w:pPr>
            <w:r>
              <w:rPr>
                <w:rFonts w:hint="eastAsia"/>
              </w:rPr>
              <w:t>数据架构设计</w:t>
            </w:r>
          </w:p>
        </w:tc>
        <w:tc>
          <w:tcPr>
            <w:tcW w:w="4111" w:type="dxa"/>
          </w:tcPr>
          <w:p w14:paraId="71FB8FDB">
            <w:pPr>
              <w:pStyle w:val="178"/>
            </w:pPr>
            <w:r>
              <w:rPr>
                <w:rFonts w:hint="eastAsia"/>
              </w:rPr>
              <w:t>数据分层、对象定义、字段规则</w:t>
            </w:r>
          </w:p>
        </w:tc>
        <w:tc>
          <w:tcPr>
            <w:tcW w:w="3532" w:type="dxa"/>
          </w:tcPr>
          <w:p w14:paraId="5ACAA67D">
            <w:pPr>
              <w:pStyle w:val="178"/>
            </w:pPr>
            <w:r>
              <w:rPr>
                <w:rFonts w:hint="eastAsia"/>
              </w:rPr>
              <w:t>名称统一、口径统一、层次清晰</w:t>
            </w:r>
          </w:p>
        </w:tc>
      </w:tr>
      <w:tr w14:paraId="585C92B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691" w:type="dxa"/>
          </w:tcPr>
          <w:p w14:paraId="67ADC505">
            <w:pPr>
              <w:pStyle w:val="178"/>
            </w:pPr>
            <w:r>
              <w:rPr>
                <w:rFonts w:hint="eastAsia"/>
              </w:rPr>
              <w:t>接口设计</w:t>
            </w:r>
          </w:p>
        </w:tc>
        <w:tc>
          <w:tcPr>
            <w:tcW w:w="4111" w:type="dxa"/>
          </w:tcPr>
          <w:p w14:paraId="106C4363">
            <w:pPr>
              <w:pStyle w:val="178"/>
            </w:pPr>
            <w:r>
              <w:rPr>
                <w:rFonts w:hint="eastAsia"/>
              </w:rPr>
              <w:t>接口文档、联调规则、异常处理</w:t>
            </w:r>
          </w:p>
        </w:tc>
        <w:tc>
          <w:tcPr>
            <w:tcW w:w="3532" w:type="dxa"/>
          </w:tcPr>
          <w:p w14:paraId="2461D607">
            <w:pPr>
              <w:pStyle w:val="178"/>
            </w:pPr>
            <w:r>
              <w:rPr>
                <w:rFonts w:hint="eastAsia"/>
              </w:rPr>
              <w:t>正式接口受控，不依赖临时接口</w:t>
            </w:r>
          </w:p>
        </w:tc>
      </w:tr>
      <w:tr w14:paraId="5B16457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691" w:type="dxa"/>
          </w:tcPr>
          <w:p w14:paraId="7274B3CB">
            <w:pPr>
              <w:pStyle w:val="178"/>
            </w:pPr>
            <w:r>
              <w:rPr>
                <w:rFonts w:hint="eastAsia"/>
              </w:rPr>
              <w:t>部署设计</w:t>
            </w:r>
          </w:p>
        </w:tc>
        <w:tc>
          <w:tcPr>
            <w:tcW w:w="4111" w:type="dxa"/>
          </w:tcPr>
          <w:p w14:paraId="022259A0">
            <w:pPr>
              <w:pStyle w:val="178"/>
            </w:pPr>
            <w:r>
              <w:rPr>
                <w:rFonts w:hint="eastAsia"/>
              </w:rPr>
              <w:t>本地、云、混合部署</w:t>
            </w:r>
          </w:p>
        </w:tc>
        <w:tc>
          <w:tcPr>
            <w:tcW w:w="3532" w:type="dxa"/>
          </w:tcPr>
          <w:p w14:paraId="7AD511BC">
            <w:pPr>
              <w:pStyle w:val="178"/>
            </w:pPr>
            <w:r>
              <w:rPr>
                <w:rFonts w:hint="eastAsia"/>
              </w:rPr>
              <w:t>符合企业资源条件和安全要求</w:t>
            </w:r>
          </w:p>
        </w:tc>
      </w:tr>
      <w:tr w14:paraId="79A5CAA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691" w:type="dxa"/>
          </w:tcPr>
          <w:p w14:paraId="0074EEC9">
            <w:pPr>
              <w:pStyle w:val="178"/>
            </w:pPr>
            <w:r>
              <w:rPr>
                <w:rFonts w:hint="eastAsia"/>
              </w:rPr>
              <w:t>性能设计</w:t>
            </w:r>
          </w:p>
        </w:tc>
        <w:tc>
          <w:tcPr>
            <w:tcW w:w="4111" w:type="dxa"/>
          </w:tcPr>
          <w:p w14:paraId="20F939BD">
            <w:pPr>
              <w:pStyle w:val="178"/>
            </w:pPr>
            <w:r>
              <w:rPr>
                <w:rFonts w:hint="eastAsia"/>
              </w:rPr>
              <w:t>响应时长、并发、处理能力</w:t>
            </w:r>
          </w:p>
        </w:tc>
        <w:tc>
          <w:tcPr>
            <w:tcW w:w="3532" w:type="dxa"/>
          </w:tcPr>
          <w:p w14:paraId="1428BB4A">
            <w:pPr>
              <w:pStyle w:val="178"/>
            </w:pPr>
            <w:r>
              <w:rPr>
                <w:rFonts w:hint="eastAsia"/>
              </w:rPr>
              <w:t>关键模块应专项测试</w:t>
            </w:r>
          </w:p>
        </w:tc>
      </w:tr>
      <w:tr w14:paraId="34F0303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691" w:type="dxa"/>
          </w:tcPr>
          <w:p w14:paraId="685B6248">
            <w:pPr>
              <w:pStyle w:val="178"/>
            </w:pPr>
            <w:r>
              <w:rPr>
                <w:rFonts w:hint="eastAsia"/>
              </w:rPr>
              <w:t>安全设计</w:t>
            </w:r>
          </w:p>
        </w:tc>
        <w:tc>
          <w:tcPr>
            <w:tcW w:w="4111" w:type="dxa"/>
          </w:tcPr>
          <w:p w14:paraId="14D65A05">
            <w:pPr>
              <w:pStyle w:val="178"/>
            </w:pPr>
            <w:r>
              <w:rPr>
                <w:rFonts w:hint="eastAsia"/>
              </w:rPr>
              <w:t>认证、权限、日志、备份</w:t>
            </w:r>
          </w:p>
        </w:tc>
        <w:tc>
          <w:tcPr>
            <w:tcW w:w="3532" w:type="dxa"/>
          </w:tcPr>
          <w:p w14:paraId="7E4840F0">
            <w:pPr>
              <w:pStyle w:val="178"/>
            </w:pPr>
            <w:r>
              <w:rPr>
                <w:rFonts w:hint="eastAsia"/>
              </w:rPr>
              <w:t>涉敏系统应从严控制</w:t>
            </w:r>
          </w:p>
        </w:tc>
      </w:tr>
      <w:tr w14:paraId="043C0FD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691" w:type="dxa"/>
          </w:tcPr>
          <w:p w14:paraId="7D75D57D">
            <w:pPr>
              <w:pStyle w:val="178"/>
            </w:pPr>
            <w:r>
              <w:rPr>
                <w:rFonts w:hint="eastAsia"/>
              </w:rPr>
              <w:t>测试上线</w:t>
            </w:r>
          </w:p>
        </w:tc>
        <w:tc>
          <w:tcPr>
            <w:tcW w:w="4111" w:type="dxa"/>
          </w:tcPr>
          <w:p w14:paraId="2C8C08C2">
            <w:pPr>
              <w:pStyle w:val="178"/>
            </w:pPr>
            <w:r>
              <w:rPr>
                <w:rFonts w:hint="eastAsia"/>
              </w:rPr>
              <w:t>功能、性能、权限、日志测试</w:t>
            </w:r>
          </w:p>
        </w:tc>
        <w:tc>
          <w:tcPr>
            <w:tcW w:w="3532" w:type="dxa"/>
          </w:tcPr>
          <w:p w14:paraId="1338C722">
            <w:pPr>
              <w:pStyle w:val="178"/>
            </w:pPr>
            <w:r>
              <w:rPr>
                <w:rFonts w:hint="eastAsia"/>
              </w:rPr>
              <w:t>未通过测试不得正式上线</w:t>
            </w:r>
          </w:p>
        </w:tc>
      </w:tr>
    </w:tbl>
    <w:p w14:paraId="5D82F9AD">
      <w:pPr>
        <w:pStyle w:val="105"/>
        <w:spacing w:before="120" w:after="120" w:line="360" w:lineRule="auto"/>
      </w:pPr>
      <w:r>
        <w:rPr>
          <w:rFonts w:hint="eastAsia"/>
        </w:rPr>
        <w:t>禁止性要求</w:t>
      </w:r>
    </w:p>
    <w:p w14:paraId="1E4E807B">
      <w:pPr>
        <w:pStyle w:val="165"/>
        <w:spacing w:line="360" w:lineRule="auto"/>
      </w:pPr>
      <w:r>
        <w:rPr>
          <w:rFonts w:hint="eastAsia"/>
        </w:rPr>
        <w:t>不得在未形成正式设计文件的情况下直接开发和部署正式系统。</w:t>
      </w:r>
    </w:p>
    <w:p w14:paraId="59A1363D">
      <w:pPr>
        <w:pStyle w:val="165"/>
        <w:spacing w:line="360" w:lineRule="auto"/>
      </w:pPr>
      <w:r>
        <w:rPr>
          <w:rFonts w:hint="eastAsia"/>
        </w:rPr>
        <w:t>不得在功能需求未确认的情况下堆砌复杂模块和高成本组件。</w:t>
      </w:r>
    </w:p>
    <w:p w14:paraId="674BB9D9">
      <w:pPr>
        <w:pStyle w:val="165"/>
        <w:spacing w:line="360" w:lineRule="auto"/>
      </w:pPr>
      <w:r>
        <w:rPr>
          <w:rFonts w:hint="eastAsia"/>
        </w:rPr>
        <w:t>不得长期以测试环境替代生产环境运行正式业务。</w:t>
      </w:r>
    </w:p>
    <w:p w14:paraId="40F50FC4">
      <w:pPr>
        <w:pStyle w:val="165"/>
        <w:spacing w:line="360" w:lineRule="auto"/>
      </w:pPr>
      <w:r>
        <w:rPr>
          <w:rFonts w:hint="eastAsia"/>
        </w:rPr>
        <w:t>不得在未完成接口联调和数据核查的情况下直接上线系统。</w:t>
      </w:r>
    </w:p>
    <w:p w14:paraId="5C84C616">
      <w:pPr>
        <w:pStyle w:val="165"/>
        <w:spacing w:line="360" w:lineRule="auto"/>
      </w:pPr>
      <w:r>
        <w:rPr>
          <w:rFonts w:hint="eastAsia"/>
        </w:rPr>
        <w:t>不得在未具备基本备份恢复能力的情况下将关键业务分析系统投入正式运行。</w:t>
      </w:r>
    </w:p>
    <w:p w14:paraId="7705EDA1">
      <w:pPr>
        <w:pStyle w:val="104"/>
        <w:spacing w:before="240" w:after="240" w:line="360" w:lineRule="auto"/>
      </w:pPr>
      <w:bookmarkStart w:id="54" w:name="_Toc228604502"/>
      <w:r>
        <w:rPr>
          <w:rFonts w:hint="eastAsia"/>
        </w:rPr>
        <w:t>数据管理与模型管理要求</w:t>
      </w:r>
      <w:bookmarkEnd w:id="54"/>
    </w:p>
    <w:p w14:paraId="3E09151B">
      <w:pPr>
        <w:pStyle w:val="105"/>
        <w:spacing w:before="120" w:after="120" w:line="360" w:lineRule="auto"/>
      </w:pPr>
      <w:r>
        <w:rPr>
          <w:rFonts w:hint="eastAsia"/>
        </w:rPr>
        <w:t>一般要求</w:t>
      </w:r>
    </w:p>
    <w:p w14:paraId="06E3A03D">
      <w:pPr>
        <w:pStyle w:val="165"/>
        <w:spacing w:line="360" w:lineRule="auto"/>
      </w:pPr>
      <w:r>
        <w:rPr>
          <w:rFonts w:hint="eastAsia"/>
        </w:rPr>
        <w:t>中小企业人工智能数据分析系统应建立数据管理和模型管理机制。</w:t>
      </w:r>
    </w:p>
    <w:p w14:paraId="0701EC71">
      <w:pPr>
        <w:pStyle w:val="165"/>
        <w:spacing w:line="360" w:lineRule="auto"/>
      </w:pPr>
      <w:r>
        <w:rPr>
          <w:rFonts w:hint="eastAsia"/>
        </w:rPr>
        <w:t>数据管理应覆盖数据接入、数据治理、数据质量、数据权限、数据存储、数据共享、数据备份和数据退出全过程。</w:t>
      </w:r>
    </w:p>
    <w:p w14:paraId="59A0FEDF">
      <w:pPr>
        <w:pStyle w:val="165"/>
        <w:spacing w:line="360" w:lineRule="auto"/>
      </w:pPr>
      <w:r>
        <w:rPr>
          <w:rFonts w:hint="eastAsia"/>
        </w:rPr>
        <w:t>模型管理应覆盖模型选型、模型配置、模型验证、模型上线、模型监测、模型更新、模型停用和模型归档全过程。</w:t>
      </w:r>
    </w:p>
    <w:p w14:paraId="1680192E">
      <w:pPr>
        <w:pStyle w:val="165"/>
        <w:spacing w:line="360" w:lineRule="auto"/>
      </w:pPr>
      <w:r>
        <w:rPr>
          <w:rFonts w:hint="eastAsia"/>
        </w:rPr>
        <w:t>数据管理和模型管理应与业务目标、系统功能、运维机制和安全要求相协调，不得脱节管理。</w:t>
      </w:r>
    </w:p>
    <w:p w14:paraId="3F4C0AC8">
      <w:pPr>
        <w:pStyle w:val="165"/>
        <w:spacing w:line="360" w:lineRule="auto"/>
      </w:pPr>
      <w:r>
        <w:rPr>
          <w:rFonts w:hint="eastAsia"/>
        </w:rPr>
        <w:t>数据基础不满足要求或者模型边界不清的，不得直接使用正式分析结果支撑关键经营决策。</w:t>
      </w:r>
    </w:p>
    <w:p w14:paraId="29FF3953">
      <w:pPr>
        <w:pStyle w:val="105"/>
        <w:spacing w:before="120" w:after="120" w:line="360" w:lineRule="auto"/>
      </w:pPr>
      <w:r>
        <w:rPr>
          <w:rFonts w:hint="eastAsia"/>
        </w:rPr>
        <w:t>数据接入管理要求</w:t>
      </w:r>
    </w:p>
    <w:p w14:paraId="1E9A18B6">
      <w:pPr>
        <w:pStyle w:val="65"/>
        <w:spacing w:before="120" w:after="120" w:line="360" w:lineRule="auto"/>
      </w:pPr>
      <w:r>
        <w:rPr>
          <w:rFonts w:hint="eastAsia"/>
        </w:rPr>
        <w:t>一般要求</w:t>
      </w:r>
    </w:p>
    <w:p w14:paraId="1C3C8FE8">
      <w:pPr>
        <w:pStyle w:val="164"/>
        <w:spacing w:line="360" w:lineRule="auto"/>
      </w:pPr>
      <w:r>
        <w:rPr>
          <w:rFonts w:hint="eastAsia"/>
        </w:rPr>
        <w:t>系统应对接入数据实行统一管理。</w:t>
      </w:r>
    </w:p>
    <w:p w14:paraId="1D5EB60B">
      <w:pPr>
        <w:pStyle w:val="164"/>
        <w:spacing w:line="360" w:lineRule="auto"/>
      </w:pPr>
      <w:r>
        <w:rPr>
          <w:rFonts w:hint="eastAsia"/>
        </w:rPr>
        <w:t>数据接入应以来源清晰、接口规范、口径明确和权限可控为前提。</w:t>
      </w:r>
    </w:p>
    <w:p w14:paraId="566E6CD1">
      <w:pPr>
        <w:pStyle w:val="164"/>
        <w:spacing w:line="360" w:lineRule="auto"/>
      </w:pPr>
      <w:r>
        <w:rPr>
          <w:rFonts w:hint="eastAsia"/>
        </w:rPr>
        <w:t>数据接入不得影响原业务系统正常运行。</w:t>
      </w:r>
    </w:p>
    <w:p w14:paraId="01CF7BCE">
      <w:pPr>
        <w:pStyle w:val="65"/>
        <w:spacing w:before="120" w:after="120" w:line="360" w:lineRule="auto"/>
      </w:pPr>
      <w:r>
        <w:rPr>
          <w:rFonts w:hint="eastAsia"/>
        </w:rPr>
        <w:t>接入内容要求</w:t>
      </w:r>
    </w:p>
    <w:p w14:paraId="524F14B7">
      <w:pPr>
        <w:pStyle w:val="164"/>
        <w:spacing w:line="360" w:lineRule="auto"/>
      </w:pPr>
      <w:r>
        <w:rPr>
          <w:rFonts w:hint="eastAsia"/>
        </w:rPr>
        <w:t>数据接入前应明确下列内容：</w:t>
      </w:r>
    </w:p>
    <w:p w14:paraId="025BD04E">
      <w:pPr>
        <w:pStyle w:val="56"/>
        <w:spacing w:line="360" w:lineRule="auto"/>
        <w:ind w:firstLine="420"/>
      </w:pPr>
      <w:r>
        <w:rPr>
          <w:rFonts w:hint="eastAsia"/>
        </w:rPr>
        <w:t>a）数据来源系统；</w:t>
      </w:r>
    </w:p>
    <w:p w14:paraId="1752FF34">
      <w:pPr>
        <w:pStyle w:val="56"/>
        <w:spacing w:line="360" w:lineRule="auto"/>
        <w:ind w:firstLine="420"/>
      </w:pPr>
      <w:r>
        <w:rPr>
          <w:rFonts w:hint="eastAsia"/>
        </w:rPr>
        <w:t>b）数据对象名称；</w:t>
      </w:r>
    </w:p>
    <w:p w14:paraId="66153094">
      <w:pPr>
        <w:pStyle w:val="56"/>
        <w:spacing w:line="360" w:lineRule="auto"/>
        <w:ind w:firstLine="420"/>
      </w:pPr>
      <w:r>
        <w:rPr>
          <w:rFonts w:hint="eastAsia"/>
        </w:rPr>
        <w:t>c）数据字段定义；</w:t>
      </w:r>
    </w:p>
    <w:p w14:paraId="55F58192">
      <w:pPr>
        <w:pStyle w:val="56"/>
        <w:spacing w:line="360" w:lineRule="auto"/>
        <w:ind w:firstLine="420"/>
      </w:pPr>
      <w:r>
        <w:rPr>
          <w:rFonts w:hint="eastAsia"/>
        </w:rPr>
        <w:t>d）数据更新频率；</w:t>
      </w:r>
    </w:p>
    <w:p w14:paraId="467895C8">
      <w:pPr>
        <w:pStyle w:val="56"/>
        <w:spacing w:line="360" w:lineRule="auto"/>
        <w:ind w:firstLine="420"/>
      </w:pPr>
      <w:r>
        <w:rPr>
          <w:rFonts w:hint="eastAsia"/>
        </w:rPr>
        <w:t>e）数据责任部门；</w:t>
      </w:r>
    </w:p>
    <w:p w14:paraId="1B16E809">
      <w:pPr>
        <w:pStyle w:val="56"/>
        <w:spacing w:line="360" w:lineRule="auto"/>
        <w:ind w:firstLine="420"/>
      </w:pPr>
      <w:r>
        <w:rPr>
          <w:rFonts w:hint="eastAsia"/>
        </w:rPr>
        <w:t>f）数据权限范围；</w:t>
      </w:r>
    </w:p>
    <w:p w14:paraId="58D05498">
      <w:pPr>
        <w:pStyle w:val="56"/>
        <w:spacing w:line="360" w:lineRule="auto"/>
        <w:ind w:firstLine="420"/>
      </w:pPr>
      <w:r>
        <w:rPr>
          <w:rFonts w:hint="eastAsia"/>
        </w:rPr>
        <w:t>g）数据质量要求；</w:t>
      </w:r>
    </w:p>
    <w:p w14:paraId="63A83E8D">
      <w:pPr>
        <w:pStyle w:val="56"/>
        <w:spacing w:line="360" w:lineRule="auto"/>
        <w:ind w:firstLine="420"/>
      </w:pPr>
      <w:r>
        <w:rPr>
          <w:rFonts w:hint="eastAsia"/>
        </w:rPr>
        <w:t>h）数据使用用途。</w:t>
      </w:r>
    </w:p>
    <w:p w14:paraId="3A56DFAA">
      <w:pPr>
        <w:pStyle w:val="164"/>
        <w:spacing w:line="360" w:lineRule="auto"/>
      </w:pPr>
      <w:r>
        <w:rPr>
          <w:rFonts w:hint="eastAsia"/>
        </w:rPr>
        <w:t>对来自多个系统的同类数据，应明确主来源和辅助来源，不得长期多头并行而无统一口径。</w:t>
      </w:r>
    </w:p>
    <w:p w14:paraId="7876B18E">
      <w:pPr>
        <w:pStyle w:val="65"/>
        <w:spacing w:before="120" w:after="120" w:line="360" w:lineRule="auto"/>
      </w:pPr>
      <w:r>
        <w:rPr>
          <w:rFonts w:hint="eastAsia"/>
        </w:rPr>
        <w:t>接入控制要求</w:t>
      </w:r>
    </w:p>
    <w:p w14:paraId="512F44C1">
      <w:pPr>
        <w:pStyle w:val="164"/>
        <w:spacing w:line="360" w:lineRule="auto"/>
      </w:pPr>
      <w:r>
        <w:rPr>
          <w:rFonts w:hint="eastAsia"/>
        </w:rPr>
        <w:t>数据接入前应进行字段映射、口径核对和样本核查。</w:t>
      </w:r>
    </w:p>
    <w:p w14:paraId="0C315436">
      <w:pPr>
        <w:pStyle w:val="164"/>
        <w:spacing w:line="360" w:lineRule="auto"/>
      </w:pPr>
      <w:r>
        <w:rPr>
          <w:rFonts w:hint="eastAsia"/>
        </w:rPr>
        <w:t>接入过程中发现字段缺失、格式错误、更新延迟或者口径冲突的，应先解决问题再正式接入。</w:t>
      </w:r>
    </w:p>
    <w:p w14:paraId="33DAC23C">
      <w:pPr>
        <w:pStyle w:val="164"/>
        <w:spacing w:line="360" w:lineRule="auto"/>
      </w:pPr>
      <w:r>
        <w:rPr>
          <w:rFonts w:hint="eastAsia"/>
        </w:rPr>
        <w:t>未经批准，不得接入来源不明、质量不可控或者用途不明的数据源。</w:t>
      </w:r>
    </w:p>
    <w:p w14:paraId="235D4121">
      <w:pPr>
        <w:pStyle w:val="105"/>
        <w:spacing w:before="120" w:after="120" w:line="360" w:lineRule="auto"/>
      </w:pPr>
      <w:r>
        <w:rPr>
          <w:rFonts w:hint="eastAsia"/>
        </w:rPr>
        <w:t>数据治理要求</w:t>
      </w:r>
    </w:p>
    <w:p w14:paraId="22B351A7">
      <w:pPr>
        <w:pStyle w:val="65"/>
        <w:spacing w:before="120" w:after="120" w:line="360" w:lineRule="auto"/>
      </w:pPr>
      <w:r>
        <w:rPr>
          <w:rFonts w:hint="eastAsia"/>
        </w:rPr>
        <w:t>一般要求</w:t>
      </w:r>
    </w:p>
    <w:p w14:paraId="2405B094">
      <w:pPr>
        <w:pStyle w:val="164"/>
        <w:spacing w:line="360" w:lineRule="auto"/>
      </w:pPr>
      <w:r>
        <w:rPr>
          <w:rFonts w:hint="eastAsia"/>
        </w:rPr>
        <w:t>系统运行前和运行过程中，应持续开展数据治理工作。</w:t>
      </w:r>
    </w:p>
    <w:p w14:paraId="7212EC39">
      <w:pPr>
        <w:pStyle w:val="164"/>
        <w:spacing w:line="360" w:lineRule="auto"/>
      </w:pPr>
      <w:r>
        <w:rPr>
          <w:rFonts w:hint="eastAsia"/>
        </w:rPr>
        <w:t>数据治理应围绕数据标准、数据口径、数据清洗、数据整合、数据命名和数据责任实施。</w:t>
      </w:r>
    </w:p>
    <w:p w14:paraId="4128EF4E">
      <w:pPr>
        <w:pStyle w:val="164"/>
        <w:spacing w:line="360" w:lineRule="auto"/>
      </w:pPr>
      <w:r>
        <w:rPr>
          <w:rFonts w:hint="eastAsia"/>
        </w:rPr>
        <w:t>数据治理不得仅停留在数据汇集层面，应落实到规则、流程、职责和结果。</w:t>
      </w:r>
    </w:p>
    <w:p w14:paraId="4B832856">
      <w:pPr>
        <w:pStyle w:val="65"/>
        <w:spacing w:before="120" w:after="120" w:line="360" w:lineRule="auto"/>
      </w:pPr>
      <w:r>
        <w:rPr>
          <w:rFonts w:hint="eastAsia"/>
        </w:rPr>
        <w:t>数据标准要求</w:t>
      </w:r>
    </w:p>
    <w:p w14:paraId="3CBA9FA3">
      <w:pPr>
        <w:pStyle w:val="164"/>
        <w:spacing w:line="360" w:lineRule="auto"/>
      </w:pPr>
      <w:r>
        <w:rPr>
          <w:rFonts w:hint="eastAsia"/>
        </w:rPr>
        <w:t>企业应根据系统需要明确数据命名规则、字段规则、编码规则、时间规则和统计口径规则。</w:t>
      </w:r>
    </w:p>
    <w:p w14:paraId="15DA119A">
      <w:pPr>
        <w:pStyle w:val="164"/>
        <w:spacing w:line="360" w:lineRule="auto"/>
      </w:pPr>
      <w:r>
        <w:rPr>
          <w:rFonts w:hint="eastAsia"/>
        </w:rPr>
        <w:t>同一业务对象在不同模块和不同报表中应保持名称一致、定义一致和口径一致。</w:t>
      </w:r>
    </w:p>
    <w:p w14:paraId="1DD4D49D">
      <w:pPr>
        <w:pStyle w:val="164"/>
        <w:spacing w:line="360" w:lineRule="auto"/>
      </w:pPr>
      <w:r>
        <w:rPr>
          <w:rFonts w:hint="eastAsia"/>
        </w:rPr>
        <w:t>需要跨系统整合的数据，应优先统一主数据和关键编码。</w:t>
      </w:r>
    </w:p>
    <w:p w14:paraId="131EDB43">
      <w:pPr>
        <w:pStyle w:val="65"/>
        <w:spacing w:before="120" w:after="120" w:line="360" w:lineRule="auto"/>
      </w:pPr>
      <w:r>
        <w:rPr>
          <w:rFonts w:hint="eastAsia"/>
        </w:rPr>
        <w:t>数据清洗与整合要求</w:t>
      </w:r>
    </w:p>
    <w:p w14:paraId="02C77B34">
      <w:pPr>
        <w:pStyle w:val="164"/>
        <w:spacing w:line="360" w:lineRule="auto"/>
      </w:pPr>
      <w:r>
        <w:rPr>
          <w:rFonts w:hint="eastAsia"/>
        </w:rPr>
        <w:t>数据进入分析层前，应进行必要清洗、转换和整合。</w:t>
      </w:r>
    </w:p>
    <w:p w14:paraId="379DAA94">
      <w:pPr>
        <w:pStyle w:val="164"/>
        <w:spacing w:line="360" w:lineRule="auto"/>
      </w:pPr>
      <w:r>
        <w:rPr>
          <w:rFonts w:hint="eastAsia"/>
        </w:rPr>
        <w:t>数据清洗应重点控制缺失值、重复值、异常值、格式错误和逻辑冲突。</w:t>
      </w:r>
    </w:p>
    <w:p w14:paraId="11D7E99D">
      <w:pPr>
        <w:pStyle w:val="164"/>
        <w:spacing w:line="360" w:lineRule="auto"/>
      </w:pPr>
      <w:r>
        <w:rPr>
          <w:rFonts w:hint="eastAsia"/>
        </w:rPr>
        <w:t>数据整合应建立映射关系、关联关系和处理规则，不得简单拼接不同口径数据形成正式结果。</w:t>
      </w:r>
    </w:p>
    <w:p w14:paraId="63C6EAA0">
      <w:pPr>
        <w:pStyle w:val="105"/>
        <w:spacing w:before="120" w:after="120" w:line="360" w:lineRule="auto"/>
      </w:pPr>
      <w:r>
        <w:rPr>
          <w:rFonts w:hint="eastAsia"/>
        </w:rPr>
        <w:t>数据质量管理要求</w:t>
      </w:r>
    </w:p>
    <w:p w14:paraId="17AA1F30">
      <w:pPr>
        <w:pStyle w:val="65"/>
        <w:spacing w:before="120" w:after="120" w:line="360" w:lineRule="auto"/>
      </w:pPr>
      <w:r>
        <w:rPr>
          <w:rFonts w:hint="eastAsia"/>
        </w:rPr>
        <w:t>一般要求</w:t>
      </w:r>
    </w:p>
    <w:p w14:paraId="3604532B">
      <w:pPr>
        <w:pStyle w:val="164"/>
        <w:spacing w:line="360" w:lineRule="auto"/>
      </w:pPr>
      <w:r>
        <w:rPr>
          <w:rFonts w:hint="eastAsia"/>
        </w:rPr>
        <w:t>企业应建立数据质量管理机制。</w:t>
      </w:r>
    </w:p>
    <w:p w14:paraId="55C0EC9B">
      <w:pPr>
        <w:pStyle w:val="164"/>
        <w:spacing w:line="360" w:lineRule="auto"/>
      </w:pPr>
      <w:r>
        <w:rPr>
          <w:rFonts w:hint="eastAsia"/>
        </w:rPr>
        <w:t>数据质量管理应覆盖完整性、准确性、一致性、及时性、有效性和可追溯性要求。</w:t>
      </w:r>
    </w:p>
    <w:p w14:paraId="2CEBA4A9">
      <w:pPr>
        <w:pStyle w:val="164"/>
        <w:spacing w:line="360" w:lineRule="auto"/>
      </w:pPr>
      <w:r>
        <w:rPr>
          <w:rFonts w:hint="eastAsia"/>
        </w:rPr>
        <w:t>对核心经营指标、关键预警指标和模型输入数据，应实施重点质量控制。</w:t>
      </w:r>
    </w:p>
    <w:p w14:paraId="3C4F65BF">
      <w:pPr>
        <w:pStyle w:val="65"/>
        <w:spacing w:before="120" w:after="120" w:line="360" w:lineRule="auto"/>
      </w:pPr>
      <w:r>
        <w:rPr>
          <w:rFonts w:hint="eastAsia"/>
        </w:rPr>
        <w:t>质量控制内容</w:t>
      </w:r>
    </w:p>
    <w:p w14:paraId="70942C50">
      <w:pPr>
        <w:pStyle w:val="164"/>
        <w:spacing w:line="360" w:lineRule="auto"/>
      </w:pPr>
      <w:r>
        <w:rPr>
          <w:rFonts w:hint="eastAsia"/>
        </w:rPr>
        <w:t>数据质量控制宜至少包括下列内容：</w:t>
      </w:r>
    </w:p>
    <w:p w14:paraId="5813120C">
      <w:pPr>
        <w:pStyle w:val="56"/>
        <w:spacing w:line="360" w:lineRule="auto"/>
        <w:ind w:firstLine="420"/>
      </w:pPr>
      <w:r>
        <w:rPr>
          <w:rFonts w:hint="eastAsia"/>
        </w:rPr>
        <w:t>a）数据缺失检查；</w:t>
      </w:r>
    </w:p>
    <w:p w14:paraId="6EA848D9">
      <w:pPr>
        <w:pStyle w:val="56"/>
        <w:spacing w:line="360" w:lineRule="auto"/>
        <w:ind w:firstLine="420"/>
      </w:pPr>
      <w:r>
        <w:rPr>
          <w:rFonts w:hint="eastAsia"/>
        </w:rPr>
        <w:t>b）数据重复检查；</w:t>
      </w:r>
    </w:p>
    <w:p w14:paraId="48FF9BA7">
      <w:pPr>
        <w:pStyle w:val="56"/>
        <w:spacing w:line="360" w:lineRule="auto"/>
        <w:ind w:firstLine="420"/>
      </w:pPr>
      <w:r>
        <w:rPr>
          <w:rFonts w:hint="eastAsia"/>
        </w:rPr>
        <w:t>c）字段格式检查；</w:t>
      </w:r>
    </w:p>
    <w:p w14:paraId="11032206">
      <w:pPr>
        <w:pStyle w:val="56"/>
        <w:spacing w:line="360" w:lineRule="auto"/>
        <w:ind w:firstLine="420"/>
      </w:pPr>
      <w:r>
        <w:rPr>
          <w:rFonts w:hint="eastAsia"/>
        </w:rPr>
        <w:t>d）值域合理性检查；</w:t>
      </w:r>
    </w:p>
    <w:p w14:paraId="403CF72D">
      <w:pPr>
        <w:pStyle w:val="56"/>
        <w:spacing w:line="360" w:lineRule="auto"/>
        <w:ind w:firstLine="420"/>
      </w:pPr>
      <w:r>
        <w:rPr>
          <w:rFonts w:hint="eastAsia"/>
        </w:rPr>
        <w:t>e）跨表一致性检查；</w:t>
      </w:r>
    </w:p>
    <w:p w14:paraId="7DE35F9F">
      <w:pPr>
        <w:pStyle w:val="56"/>
        <w:spacing w:line="360" w:lineRule="auto"/>
        <w:ind w:firstLine="420"/>
      </w:pPr>
      <w:r>
        <w:rPr>
          <w:rFonts w:hint="eastAsia"/>
        </w:rPr>
        <w:t>f）更新及时性检查；</w:t>
      </w:r>
    </w:p>
    <w:p w14:paraId="16D854A5">
      <w:pPr>
        <w:pStyle w:val="56"/>
        <w:spacing w:line="360" w:lineRule="auto"/>
        <w:ind w:firstLine="420"/>
      </w:pPr>
      <w:r>
        <w:rPr>
          <w:rFonts w:hint="eastAsia"/>
        </w:rPr>
        <w:t>g）异常波动检查；</w:t>
      </w:r>
    </w:p>
    <w:p w14:paraId="44BC80C3">
      <w:pPr>
        <w:pStyle w:val="56"/>
        <w:spacing w:line="360" w:lineRule="auto"/>
        <w:ind w:firstLine="420"/>
      </w:pPr>
      <w:r>
        <w:rPr>
          <w:rFonts w:hint="eastAsia"/>
        </w:rPr>
        <w:t>h）口径一致性检查。</w:t>
      </w:r>
    </w:p>
    <w:p w14:paraId="5A11F517">
      <w:pPr>
        <w:pStyle w:val="164"/>
        <w:spacing w:line="360" w:lineRule="auto"/>
      </w:pPr>
      <w:r>
        <w:rPr>
          <w:rFonts w:hint="eastAsia"/>
        </w:rPr>
        <w:t>数据质量异常影响正式分析结果时，应及时标识、限制使用或者启动整改。</w:t>
      </w:r>
    </w:p>
    <w:p w14:paraId="2116FF45">
      <w:pPr>
        <w:pStyle w:val="65"/>
        <w:spacing w:before="120" w:after="120" w:line="360" w:lineRule="auto"/>
      </w:pPr>
      <w:r>
        <w:rPr>
          <w:rFonts w:hint="eastAsia"/>
        </w:rPr>
        <w:t>质量问题处置要求</w:t>
      </w:r>
    </w:p>
    <w:p w14:paraId="1486FC96">
      <w:pPr>
        <w:pStyle w:val="164"/>
        <w:spacing w:line="360" w:lineRule="auto"/>
      </w:pPr>
      <w:r>
        <w:rPr>
          <w:rFonts w:hint="eastAsia"/>
        </w:rPr>
        <w:t>发现数据质量问题后，应按“发现、登记、分析、整改、复核、销项”的程序闭环处理。</w:t>
      </w:r>
    </w:p>
    <w:p w14:paraId="78C37B5E">
      <w:pPr>
        <w:pStyle w:val="164"/>
        <w:spacing w:line="360" w:lineRule="auto"/>
      </w:pPr>
      <w:r>
        <w:rPr>
          <w:rFonts w:hint="eastAsia"/>
        </w:rPr>
        <w:t>对重复发生的数据质量问题，应优先从源头系统、源头流程和责任环节进行治理。</w:t>
      </w:r>
    </w:p>
    <w:p w14:paraId="6054ECE4">
      <w:pPr>
        <w:pStyle w:val="164"/>
        <w:spacing w:line="360" w:lineRule="auto"/>
      </w:pPr>
      <w:r>
        <w:rPr>
          <w:rFonts w:hint="eastAsia"/>
        </w:rPr>
        <w:t>不得以人工反复修补结果数据替代源头数据治理。</w:t>
      </w:r>
    </w:p>
    <w:p w14:paraId="21533189">
      <w:pPr>
        <w:pStyle w:val="105"/>
        <w:spacing w:before="120" w:after="120" w:line="360" w:lineRule="auto"/>
      </w:pPr>
      <w:r>
        <w:rPr>
          <w:rFonts w:hint="eastAsia"/>
        </w:rPr>
        <w:t>数据存储与备份要求</w:t>
      </w:r>
    </w:p>
    <w:p w14:paraId="60B61B08">
      <w:pPr>
        <w:pStyle w:val="65"/>
        <w:spacing w:before="120" w:after="120" w:line="360" w:lineRule="auto"/>
      </w:pPr>
      <w:r>
        <w:rPr>
          <w:rFonts w:hint="eastAsia"/>
        </w:rPr>
        <w:t>一般要求</w:t>
      </w:r>
    </w:p>
    <w:p w14:paraId="0B6EBAA1">
      <w:pPr>
        <w:pStyle w:val="164"/>
        <w:spacing w:line="360" w:lineRule="auto"/>
      </w:pPr>
      <w:r>
        <w:rPr>
          <w:rFonts w:hint="eastAsia"/>
        </w:rPr>
        <w:t>系统应对原始数据、处理数据、模型输入数据、分析结果数据和日志数据进行分类存储。</w:t>
      </w:r>
    </w:p>
    <w:p w14:paraId="70E3E6D8">
      <w:pPr>
        <w:pStyle w:val="164"/>
        <w:spacing w:line="360" w:lineRule="auto"/>
      </w:pPr>
      <w:r>
        <w:rPr>
          <w:rFonts w:hint="eastAsia"/>
        </w:rPr>
        <w:t>数据存储应满足安全、可靠、可恢复和可追溯要求。</w:t>
      </w:r>
    </w:p>
    <w:p w14:paraId="330BA2FA">
      <w:pPr>
        <w:pStyle w:val="164"/>
        <w:spacing w:line="360" w:lineRule="auto"/>
      </w:pPr>
      <w:r>
        <w:rPr>
          <w:rFonts w:hint="eastAsia"/>
        </w:rPr>
        <w:t>不同敏感等级数据应采取不同存储和访问控制措施。</w:t>
      </w:r>
    </w:p>
    <w:p w14:paraId="79B0CD9A">
      <w:pPr>
        <w:pStyle w:val="65"/>
        <w:spacing w:before="120" w:after="120" w:line="360" w:lineRule="auto"/>
      </w:pPr>
      <w:r>
        <w:rPr>
          <w:rFonts w:hint="eastAsia"/>
        </w:rPr>
        <w:t>备份要求</w:t>
      </w:r>
    </w:p>
    <w:p w14:paraId="584FBC8D">
      <w:pPr>
        <w:pStyle w:val="164"/>
        <w:spacing w:line="360" w:lineRule="auto"/>
      </w:pPr>
      <w:r>
        <w:rPr>
          <w:rFonts w:hint="eastAsia"/>
        </w:rPr>
        <w:t>核心业务数据、关键分析结果和关键配置数据应按规定备份。</w:t>
      </w:r>
    </w:p>
    <w:p w14:paraId="7B0A173B">
      <w:pPr>
        <w:pStyle w:val="164"/>
        <w:spacing w:line="360" w:lineRule="auto"/>
      </w:pPr>
      <w:r>
        <w:rPr>
          <w:rFonts w:hint="eastAsia"/>
        </w:rPr>
        <w:t>备份应明确备份频率、备份范围、备份介质、保留期限和恢复责任人。</w:t>
      </w:r>
    </w:p>
    <w:p w14:paraId="64D7608D">
      <w:pPr>
        <w:pStyle w:val="164"/>
        <w:spacing w:line="360" w:lineRule="auto"/>
      </w:pPr>
      <w:r>
        <w:rPr>
          <w:rFonts w:hint="eastAsia"/>
        </w:rPr>
        <w:t>未经恢复验证的备份，不得视为有效备份。</w:t>
      </w:r>
    </w:p>
    <w:p w14:paraId="545B3BAD">
      <w:pPr>
        <w:pStyle w:val="65"/>
        <w:spacing w:before="120" w:after="120" w:line="360" w:lineRule="auto"/>
      </w:pPr>
      <w:r>
        <w:rPr>
          <w:rFonts w:hint="eastAsia"/>
        </w:rPr>
        <w:t>数据退出要求</w:t>
      </w:r>
    </w:p>
    <w:p w14:paraId="574CB607">
      <w:pPr>
        <w:pStyle w:val="164"/>
        <w:spacing w:line="360" w:lineRule="auto"/>
      </w:pPr>
      <w:r>
        <w:rPr>
          <w:rFonts w:hint="eastAsia"/>
        </w:rPr>
        <w:t>不再使用的数据、过期数据和试验性数据应按规定退出或者归档。</w:t>
      </w:r>
    </w:p>
    <w:p w14:paraId="785204D9">
      <w:pPr>
        <w:pStyle w:val="164"/>
        <w:spacing w:line="360" w:lineRule="auto"/>
      </w:pPr>
      <w:r>
        <w:rPr>
          <w:rFonts w:hint="eastAsia"/>
        </w:rPr>
        <w:t>数据退出不得破坏正式分析结果的追溯关系和必要的审计关系。</w:t>
      </w:r>
    </w:p>
    <w:p w14:paraId="445CF550">
      <w:pPr>
        <w:pStyle w:val="105"/>
        <w:spacing w:before="120" w:after="120" w:line="360" w:lineRule="auto"/>
      </w:pPr>
      <w:r>
        <w:rPr>
          <w:rFonts w:hint="eastAsia"/>
        </w:rPr>
        <w:t>模型选型要求</w:t>
      </w:r>
    </w:p>
    <w:p w14:paraId="39EBAB44">
      <w:pPr>
        <w:pStyle w:val="65"/>
        <w:spacing w:before="120" w:after="120" w:line="360" w:lineRule="auto"/>
      </w:pPr>
      <w:r>
        <w:rPr>
          <w:rFonts w:hint="eastAsia"/>
        </w:rPr>
        <w:t>一般要求</w:t>
      </w:r>
    </w:p>
    <w:p w14:paraId="6A220CB8">
      <w:pPr>
        <w:pStyle w:val="164"/>
        <w:spacing w:line="360" w:lineRule="auto"/>
      </w:pPr>
      <w:r>
        <w:rPr>
          <w:rFonts w:hint="eastAsia"/>
        </w:rPr>
        <w:t>系统建设前，应根据业务目标、数据基础和企业能力进行模型选型。</w:t>
      </w:r>
    </w:p>
    <w:p w14:paraId="660DE0E1">
      <w:pPr>
        <w:pStyle w:val="164"/>
        <w:spacing w:line="360" w:lineRule="auto"/>
      </w:pPr>
      <w:r>
        <w:rPr>
          <w:rFonts w:hint="eastAsia"/>
        </w:rPr>
        <w:t>模型选型应坚持适配性、实用性、可解释性、可维护性和成本可承受性原则。</w:t>
      </w:r>
    </w:p>
    <w:p w14:paraId="68115BCF">
      <w:pPr>
        <w:pStyle w:val="164"/>
        <w:spacing w:line="360" w:lineRule="auto"/>
      </w:pPr>
      <w:r>
        <w:rPr>
          <w:rFonts w:hint="eastAsia"/>
        </w:rPr>
        <w:t>模型选型不得仅以“先进”“热门”或者“参数规模大”作为依据。</w:t>
      </w:r>
    </w:p>
    <w:p w14:paraId="6B575FBB">
      <w:pPr>
        <w:pStyle w:val="65"/>
        <w:spacing w:before="120" w:after="120" w:line="360" w:lineRule="auto"/>
      </w:pPr>
      <w:r>
        <w:rPr>
          <w:rFonts w:hint="eastAsia"/>
        </w:rPr>
        <w:t>选型内容</w:t>
      </w:r>
    </w:p>
    <w:p w14:paraId="34868FEB">
      <w:pPr>
        <w:pStyle w:val="164"/>
        <w:spacing w:line="360" w:lineRule="auto"/>
      </w:pPr>
      <w:r>
        <w:rPr>
          <w:rFonts w:hint="eastAsia"/>
        </w:rPr>
        <w:t>模型选型宜至少考虑下列因素：</w:t>
      </w:r>
    </w:p>
    <w:p w14:paraId="01CD4F32">
      <w:pPr>
        <w:pStyle w:val="56"/>
        <w:spacing w:line="360" w:lineRule="auto"/>
        <w:ind w:firstLine="420"/>
      </w:pPr>
      <w:r>
        <w:rPr>
          <w:rFonts w:hint="eastAsia"/>
        </w:rPr>
        <w:t>a）适用业务场景；</w:t>
      </w:r>
    </w:p>
    <w:p w14:paraId="3C63E2C4">
      <w:pPr>
        <w:pStyle w:val="56"/>
        <w:spacing w:line="360" w:lineRule="auto"/>
        <w:ind w:firstLine="420"/>
      </w:pPr>
      <w:r>
        <w:rPr>
          <w:rFonts w:hint="eastAsia"/>
        </w:rPr>
        <w:t>b）输入数据类型；</w:t>
      </w:r>
    </w:p>
    <w:p w14:paraId="5EFF5C7C">
      <w:pPr>
        <w:pStyle w:val="56"/>
        <w:spacing w:line="360" w:lineRule="auto"/>
        <w:ind w:firstLine="420"/>
      </w:pPr>
      <w:r>
        <w:rPr>
          <w:rFonts w:hint="eastAsia"/>
        </w:rPr>
        <w:t>c）输出结果形式；</w:t>
      </w:r>
    </w:p>
    <w:p w14:paraId="058BE561">
      <w:pPr>
        <w:pStyle w:val="56"/>
        <w:spacing w:line="360" w:lineRule="auto"/>
        <w:ind w:firstLine="420"/>
      </w:pPr>
      <w:r>
        <w:rPr>
          <w:rFonts w:hint="eastAsia"/>
        </w:rPr>
        <w:t>d）模型复杂度；</w:t>
      </w:r>
    </w:p>
    <w:p w14:paraId="62EB7607">
      <w:pPr>
        <w:pStyle w:val="56"/>
        <w:spacing w:line="360" w:lineRule="auto"/>
        <w:ind w:firstLine="420"/>
      </w:pPr>
      <w:r>
        <w:rPr>
          <w:rFonts w:hint="eastAsia"/>
        </w:rPr>
        <w:t>e）训练和维护成本；</w:t>
      </w:r>
    </w:p>
    <w:p w14:paraId="7E1BE8CB">
      <w:pPr>
        <w:pStyle w:val="56"/>
        <w:spacing w:line="360" w:lineRule="auto"/>
        <w:ind w:firstLine="420"/>
      </w:pPr>
      <w:r>
        <w:rPr>
          <w:rFonts w:hint="eastAsia"/>
        </w:rPr>
        <w:t>f）结果解释要求；</w:t>
      </w:r>
    </w:p>
    <w:p w14:paraId="0FBEB66D">
      <w:pPr>
        <w:pStyle w:val="56"/>
        <w:spacing w:line="360" w:lineRule="auto"/>
        <w:ind w:firstLine="420"/>
      </w:pPr>
      <w:r>
        <w:rPr>
          <w:rFonts w:hint="eastAsia"/>
        </w:rPr>
        <w:t>g）上线环境要求；</w:t>
      </w:r>
    </w:p>
    <w:p w14:paraId="22691EAF">
      <w:pPr>
        <w:pStyle w:val="56"/>
        <w:spacing w:line="360" w:lineRule="auto"/>
        <w:ind w:firstLine="420"/>
      </w:pPr>
      <w:r>
        <w:rPr>
          <w:rFonts w:hint="eastAsia"/>
        </w:rPr>
        <w:t>h）更新频率要求；</w:t>
      </w:r>
    </w:p>
    <w:p w14:paraId="35CAE40F">
      <w:pPr>
        <w:pStyle w:val="56"/>
        <w:spacing w:line="360" w:lineRule="auto"/>
        <w:ind w:firstLine="420"/>
      </w:pPr>
      <w:r>
        <w:rPr>
          <w:rFonts w:hint="eastAsia"/>
        </w:rPr>
        <w:t>i）人工复核需求；</w:t>
      </w:r>
    </w:p>
    <w:p w14:paraId="62B50F86">
      <w:pPr>
        <w:pStyle w:val="56"/>
        <w:spacing w:line="360" w:lineRule="auto"/>
        <w:ind w:firstLine="420"/>
      </w:pPr>
      <w:r>
        <w:rPr>
          <w:rFonts w:hint="eastAsia"/>
        </w:rPr>
        <w:t>j）风险等级。</w:t>
      </w:r>
    </w:p>
    <w:p w14:paraId="376D5411">
      <w:pPr>
        <w:pStyle w:val="164"/>
        <w:spacing w:line="360" w:lineRule="auto"/>
      </w:pPr>
      <w:r>
        <w:rPr>
          <w:rFonts w:hint="eastAsia"/>
        </w:rPr>
        <w:t>对规则明确、数据量有限、分析逻辑相对稳定的场景，宜优先采用可解释性较强、维护成本较低的模型或者规则方案。</w:t>
      </w:r>
    </w:p>
    <w:p w14:paraId="0FA237CE">
      <w:pPr>
        <w:pStyle w:val="105"/>
        <w:spacing w:before="120" w:after="120" w:line="360" w:lineRule="auto"/>
      </w:pPr>
      <w:r>
        <w:rPr>
          <w:rFonts w:hint="eastAsia"/>
        </w:rPr>
        <w:t>模型配置与验证要求</w:t>
      </w:r>
    </w:p>
    <w:p w14:paraId="1E34A931">
      <w:pPr>
        <w:pStyle w:val="65"/>
        <w:spacing w:before="120" w:after="120" w:line="360" w:lineRule="auto"/>
      </w:pPr>
      <w:r>
        <w:rPr>
          <w:rFonts w:hint="eastAsia"/>
        </w:rPr>
        <w:t>一般要求</w:t>
      </w:r>
    </w:p>
    <w:p w14:paraId="1BD9D18D">
      <w:pPr>
        <w:pStyle w:val="164"/>
        <w:spacing w:line="360" w:lineRule="auto"/>
      </w:pPr>
      <w:r>
        <w:rPr>
          <w:rFonts w:hint="eastAsia"/>
        </w:rPr>
        <w:t>模型在正式上线前，应完成配置、测试和验证。</w:t>
      </w:r>
    </w:p>
    <w:p w14:paraId="1ACB2437">
      <w:pPr>
        <w:pStyle w:val="164"/>
        <w:spacing w:line="360" w:lineRule="auto"/>
      </w:pPr>
      <w:r>
        <w:rPr>
          <w:rFonts w:hint="eastAsia"/>
        </w:rPr>
        <w:t>模型配置应明确输入字段、参数设置、阈值设置、输出格式和适用边界。</w:t>
      </w:r>
    </w:p>
    <w:p w14:paraId="6F6D4A53">
      <w:pPr>
        <w:pStyle w:val="164"/>
        <w:spacing w:line="360" w:lineRule="auto"/>
      </w:pPr>
      <w:r>
        <w:rPr>
          <w:rFonts w:hint="eastAsia"/>
        </w:rPr>
        <w:t>模型验证应覆盖准确性、稳定性、适配性和可解释性等方面。</w:t>
      </w:r>
    </w:p>
    <w:p w14:paraId="1AB45277">
      <w:pPr>
        <w:pStyle w:val="65"/>
        <w:spacing w:before="120" w:after="120" w:line="360" w:lineRule="auto"/>
      </w:pPr>
      <w:r>
        <w:rPr>
          <w:rFonts w:hint="eastAsia"/>
        </w:rPr>
        <w:t>验证要求</w:t>
      </w:r>
    </w:p>
    <w:p w14:paraId="466ABA73">
      <w:pPr>
        <w:pStyle w:val="164"/>
        <w:spacing w:line="360" w:lineRule="auto"/>
      </w:pPr>
      <w:r>
        <w:rPr>
          <w:rFonts w:hint="eastAsia"/>
        </w:rPr>
        <w:t>模型验证宜至少包括下列内容：</w:t>
      </w:r>
    </w:p>
    <w:p w14:paraId="45AFA478">
      <w:pPr>
        <w:pStyle w:val="56"/>
        <w:spacing w:line="360" w:lineRule="auto"/>
        <w:ind w:firstLine="420"/>
      </w:pPr>
      <w:r>
        <w:rPr>
          <w:rFonts w:hint="eastAsia"/>
        </w:rPr>
        <w:t>a）样本数据验证；</w:t>
      </w:r>
    </w:p>
    <w:p w14:paraId="7E456C80">
      <w:pPr>
        <w:pStyle w:val="56"/>
        <w:spacing w:line="360" w:lineRule="auto"/>
        <w:ind w:firstLine="420"/>
      </w:pPr>
      <w:r>
        <w:rPr>
          <w:rFonts w:hint="eastAsia"/>
        </w:rPr>
        <w:t>b）历史结果对照验证；</w:t>
      </w:r>
    </w:p>
    <w:p w14:paraId="486073B2">
      <w:pPr>
        <w:pStyle w:val="56"/>
        <w:spacing w:line="360" w:lineRule="auto"/>
        <w:ind w:firstLine="420"/>
      </w:pPr>
      <w:r>
        <w:rPr>
          <w:rFonts w:hint="eastAsia"/>
        </w:rPr>
        <w:t>c）异常场景验证；</w:t>
      </w:r>
    </w:p>
    <w:p w14:paraId="37433D9F">
      <w:pPr>
        <w:pStyle w:val="56"/>
        <w:spacing w:line="360" w:lineRule="auto"/>
        <w:ind w:firstLine="420"/>
      </w:pPr>
      <w:r>
        <w:rPr>
          <w:rFonts w:hint="eastAsia"/>
        </w:rPr>
        <w:t>d）边界样本验证；</w:t>
      </w:r>
    </w:p>
    <w:p w14:paraId="299FBAF4">
      <w:pPr>
        <w:pStyle w:val="56"/>
        <w:spacing w:line="360" w:lineRule="auto"/>
        <w:ind w:firstLine="420"/>
      </w:pPr>
      <w:r>
        <w:rPr>
          <w:rFonts w:hint="eastAsia"/>
        </w:rPr>
        <w:t>e）人工复核一致性验证；</w:t>
      </w:r>
    </w:p>
    <w:p w14:paraId="44FB24D7">
      <w:pPr>
        <w:pStyle w:val="56"/>
        <w:spacing w:line="360" w:lineRule="auto"/>
        <w:ind w:firstLine="420"/>
      </w:pPr>
      <w:r>
        <w:rPr>
          <w:rFonts w:hint="eastAsia"/>
        </w:rPr>
        <w:t>f）输出逻辑合理性验证。</w:t>
      </w:r>
    </w:p>
    <w:p w14:paraId="1B2417B7">
      <w:pPr>
        <w:pStyle w:val="164"/>
        <w:spacing w:line="360" w:lineRule="auto"/>
      </w:pPr>
      <w:r>
        <w:rPr>
          <w:rFonts w:hint="eastAsia"/>
        </w:rPr>
        <w:t>未经验证或者验证结论不明确的模型，不得进入正式生产环境。</w:t>
      </w:r>
    </w:p>
    <w:p w14:paraId="0E58F085">
      <w:pPr>
        <w:pStyle w:val="65"/>
        <w:spacing w:before="120" w:after="120" w:line="360" w:lineRule="auto"/>
      </w:pPr>
      <w:r>
        <w:rPr>
          <w:rFonts w:hint="eastAsia"/>
        </w:rPr>
        <w:t>结果边界要求</w:t>
      </w:r>
    </w:p>
    <w:p w14:paraId="4AC22C7D">
      <w:pPr>
        <w:pStyle w:val="164"/>
        <w:spacing w:line="360" w:lineRule="auto"/>
      </w:pPr>
      <w:r>
        <w:rPr>
          <w:rFonts w:hint="eastAsia"/>
        </w:rPr>
        <w:t>模型输出应明确其适用边界、解释边界和使用边界。</w:t>
      </w:r>
    </w:p>
    <w:p w14:paraId="04EEE953">
      <w:pPr>
        <w:pStyle w:val="164"/>
        <w:spacing w:line="360" w:lineRule="auto"/>
      </w:pPr>
      <w:r>
        <w:rPr>
          <w:rFonts w:hint="eastAsia"/>
        </w:rPr>
        <w:t>对超出样本覆盖范围、业务规则覆盖范围或者输入条件边界的输出结果，应标识限制使用状态。</w:t>
      </w:r>
    </w:p>
    <w:p w14:paraId="63347271">
      <w:pPr>
        <w:pStyle w:val="105"/>
        <w:spacing w:before="120" w:after="120" w:line="360" w:lineRule="auto"/>
      </w:pPr>
      <w:r>
        <w:rPr>
          <w:rFonts w:hint="eastAsia"/>
        </w:rPr>
        <w:t>模型上线与运行要求</w:t>
      </w:r>
    </w:p>
    <w:p w14:paraId="47A8136F">
      <w:pPr>
        <w:pStyle w:val="65"/>
        <w:spacing w:before="120" w:after="120" w:line="360" w:lineRule="auto"/>
      </w:pPr>
      <w:r>
        <w:rPr>
          <w:rFonts w:hint="eastAsia"/>
        </w:rPr>
        <w:t>一般要求</w:t>
      </w:r>
    </w:p>
    <w:p w14:paraId="5D7F3949">
      <w:pPr>
        <w:pStyle w:val="164"/>
        <w:spacing w:line="360" w:lineRule="auto"/>
      </w:pPr>
      <w:r>
        <w:rPr>
          <w:rFonts w:hint="eastAsia"/>
        </w:rPr>
        <w:t>模型上线前，应完成上线审批、版本登记和风险确认。</w:t>
      </w:r>
    </w:p>
    <w:p w14:paraId="5CA48530">
      <w:pPr>
        <w:pStyle w:val="164"/>
        <w:spacing w:line="360" w:lineRule="auto"/>
      </w:pPr>
      <w:r>
        <w:rPr>
          <w:rFonts w:hint="eastAsia"/>
        </w:rPr>
        <w:t>模型上线后，应纳入正式运行监测范围。</w:t>
      </w:r>
    </w:p>
    <w:p w14:paraId="5D8C315B">
      <w:pPr>
        <w:pStyle w:val="164"/>
        <w:spacing w:line="360" w:lineRule="auto"/>
      </w:pPr>
      <w:r>
        <w:rPr>
          <w:rFonts w:hint="eastAsia"/>
        </w:rPr>
        <w:t>不同模型版本、不同规则版本和不同参数版本不得无控制混用。</w:t>
      </w:r>
    </w:p>
    <w:p w14:paraId="649E0C6A">
      <w:pPr>
        <w:pStyle w:val="65"/>
        <w:spacing w:before="120" w:after="120" w:line="360" w:lineRule="auto"/>
      </w:pPr>
      <w:r>
        <w:rPr>
          <w:rFonts w:hint="eastAsia"/>
        </w:rPr>
        <w:t>运行监测要求</w:t>
      </w:r>
    </w:p>
    <w:p w14:paraId="5E2EBFEE">
      <w:pPr>
        <w:pStyle w:val="164"/>
        <w:spacing w:line="360" w:lineRule="auto"/>
      </w:pPr>
      <w:r>
        <w:rPr>
          <w:rFonts w:hint="eastAsia"/>
        </w:rPr>
        <w:t>模型运行期间应监测下列内容：</w:t>
      </w:r>
    </w:p>
    <w:p w14:paraId="154D749D">
      <w:pPr>
        <w:pStyle w:val="56"/>
        <w:spacing w:line="360" w:lineRule="auto"/>
        <w:ind w:firstLine="420"/>
      </w:pPr>
      <w:r>
        <w:rPr>
          <w:rFonts w:hint="eastAsia"/>
        </w:rPr>
        <w:t>a）输入数据状态；</w:t>
      </w:r>
    </w:p>
    <w:p w14:paraId="577F663A">
      <w:pPr>
        <w:pStyle w:val="56"/>
        <w:spacing w:line="360" w:lineRule="auto"/>
        <w:ind w:firstLine="420"/>
      </w:pPr>
      <w:r>
        <w:rPr>
          <w:rFonts w:hint="eastAsia"/>
        </w:rPr>
        <w:t>b）模型调用状态；</w:t>
      </w:r>
    </w:p>
    <w:p w14:paraId="4D81ABF1">
      <w:pPr>
        <w:pStyle w:val="56"/>
        <w:spacing w:line="360" w:lineRule="auto"/>
        <w:ind w:firstLine="420"/>
      </w:pPr>
      <w:r>
        <w:rPr>
          <w:rFonts w:hint="eastAsia"/>
        </w:rPr>
        <w:t>c）输出结果分布；</w:t>
      </w:r>
    </w:p>
    <w:p w14:paraId="02AE1379">
      <w:pPr>
        <w:pStyle w:val="56"/>
        <w:spacing w:line="360" w:lineRule="auto"/>
        <w:ind w:firstLine="420"/>
      </w:pPr>
      <w:r>
        <w:rPr>
          <w:rFonts w:hint="eastAsia"/>
        </w:rPr>
        <w:t>d）结果异常率；</w:t>
      </w:r>
    </w:p>
    <w:p w14:paraId="6B2DB10B">
      <w:pPr>
        <w:pStyle w:val="56"/>
        <w:spacing w:line="360" w:lineRule="auto"/>
        <w:ind w:firstLine="420"/>
      </w:pPr>
      <w:r>
        <w:rPr>
          <w:rFonts w:hint="eastAsia"/>
        </w:rPr>
        <w:t>e）人工复核差异；</w:t>
      </w:r>
    </w:p>
    <w:p w14:paraId="52EDD3A8">
      <w:pPr>
        <w:pStyle w:val="56"/>
        <w:spacing w:line="360" w:lineRule="auto"/>
        <w:ind w:firstLine="420"/>
      </w:pPr>
      <w:r>
        <w:rPr>
          <w:rFonts w:hint="eastAsia"/>
        </w:rPr>
        <w:t>f）运行资源占用；</w:t>
      </w:r>
    </w:p>
    <w:p w14:paraId="2806EFA0">
      <w:pPr>
        <w:pStyle w:val="56"/>
        <w:spacing w:line="360" w:lineRule="auto"/>
        <w:ind w:firstLine="420"/>
      </w:pPr>
      <w:r>
        <w:rPr>
          <w:rFonts w:hint="eastAsia"/>
        </w:rPr>
        <w:t>g）调用失败情况。</w:t>
      </w:r>
    </w:p>
    <w:p w14:paraId="4B05AC32">
      <w:pPr>
        <w:pStyle w:val="164"/>
        <w:spacing w:line="360" w:lineRule="auto"/>
      </w:pPr>
      <w:r>
        <w:rPr>
          <w:rFonts w:hint="eastAsia"/>
        </w:rPr>
        <w:t>发现模型输出明显偏离、持续异常或者与业务常识明显冲突时，应及时限制使用并复核。</w:t>
      </w:r>
    </w:p>
    <w:p w14:paraId="1F6B761F">
      <w:pPr>
        <w:pStyle w:val="164"/>
        <w:numPr>
          <w:ilvl w:val="0"/>
          <w:numId w:val="0"/>
        </w:numPr>
        <w:spacing w:line="360" w:lineRule="auto"/>
        <w:rPr>
          <w:rFonts w:hint="eastAsia"/>
        </w:rPr>
      </w:pPr>
    </w:p>
    <w:p w14:paraId="0B40A569">
      <w:pPr>
        <w:pStyle w:val="105"/>
        <w:spacing w:before="120" w:after="120" w:line="360" w:lineRule="auto"/>
      </w:pPr>
      <w:r>
        <w:rPr>
          <w:rFonts w:hint="eastAsia"/>
        </w:rPr>
        <w:t>模型更新与变更要求</w:t>
      </w:r>
    </w:p>
    <w:p w14:paraId="63A028A2">
      <w:pPr>
        <w:pStyle w:val="65"/>
        <w:spacing w:before="120" w:after="120" w:line="360" w:lineRule="auto"/>
      </w:pPr>
      <w:r>
        <w:rPr>
          <w:rFonts w:hint="eastAsia"/>
        </w:rPr>
        <w:t>一般要求</w:t>
      </w:r>
    </w:p>
    <w:p w14:paraId="4DB32609">
      <w:pPr>
        <w:pStyle w:val="164"/>
        <w:spacing w:line="360" w:lineRule="auto"/>
      </w:pPr>
      <w:r>
        <w:rPr>
          <w:rFonts w:hint="eastAsia"/>
        </w:rPr>
        <w:t>模型更新应纳入变更管理。</w:t>
      </w:r>
    </w:p>
    <w:p w14:paraId="28B929E6">
      <w:pPr>
        <w:pStyle w:val="164"/>
        <w:spacing w:line="360" w:lineRule="auto"/>
      </w:pPr>
      <w:r>
        <w:rPr>
          <w:rFonts w:hint="eastAsia"/>
        </w:rPr>
        <w:t>模型更新包括算法更新、参数更新、规则更新、阈值更新和样本更新等情形。</w:t>
      </w:r>
    </w:p>
    <w:p w14:paraId="422432F4">
      <w:pPr>
        <w:pStyle w:val="164"/>
        <w:spacing w:line="360" w:lineRule="auto"/>
      </w:pPr>
      <w:r>
        <w:rPr>
          <w:rFonts w:hint="eastAsia"/>
        </w:rPr>
        <w:t>模型更新前应明确更新原因、影响范围、验证要求和回退条件。</w:t>
      </w:r>
    </w:p>
    <w:p w14:paraId="477A407A">
      <w:pPr>
        <w:pStyle w:val="65"/>
        <w:spacing w:before="120" w:after="120" w:line="360" w:lineRule="auto"/>
      </w:pPr>
      <w:r>
        <w:rPr>
          <w:rFonts w:hint="eastAsia"/>
        </w:rPr>
        <w:t>更新控制要求</w:t>
      </w:r>
    </w:p>
    <w:p w14:paraId="3351B717">
      <w:pPr>
        <w:pStyle w:val="164"/>
        <w:spacing w:line="360" w:lineRule="auto"/>
      </w:pPr>
      <w:r>
        <w:rPr>
          <w:rFonts w:hint="eastAsia"/>
        </w:rPr>
        <w:t>重要模型更新应先在测试环境验证，再进入正式环境。</w:t>
      </w:r>
    </w:p>
    <w:p w14:paraId="017D9282">
      <w:pPr>
        <w:pStyle w:val="164"/>
        <w:spacing w:line="360" w:lineRule="auto"/>
      </w:pPr>
      <w:r>
        <w:rPr>
          <w:rFonts w:hint="eastAsia"/>
        </w:rPr>
        <w:t>模型更新后，应重新评估结果稳定性和适配性。</w:t>
      </w:r>
    </w:p>
    <w:p w14:paraId="0905DA7A">
      <w:pPr>
        <w:pStyle w:val="164"/>
        <w:spacing w:line="360" w:lineRule="auto"/>
      </w:pPr>
      <w:r>
        <w:rPr>
          <w:rFonts w:hint="eastAsia"/>
        </w:rPr>
        <w:t>更新未完成验证的，不得直接替换正式模型。</w:t>
      </w:r>
    </w:p>
    <w:p w14:paraId="1AAC0EA1">
      <w:pPr>
        <w:pStyle w:val="65"/>
        <w:spacing w:before="120" w:after="120" w:line="360" w:lineRule="auto"/>
      </w:pPr>
      <w:r>
        <w:rPr>
          <w:rFonts w:hint="eastAsia"/>
        </w:rPr>
        <w:t>模型停用要求</w:t>
      </w:r>
    </w:p>
    <w:p w14:paraId="5CFD449A">
      <w:pPr>
        <w:pStyle w:val="164"/>
        <w:spacing w:line="360" w:lineRule="auto"/>
      </w:pPr>
      <w:r>
        <w:rPr>
          <w:rFonts w:hint="eastAsia"/>
        </w:rPr>
        <w:t>不再适用、长期异常、长期无效或者已被替代的模型，应按规定停用。</w:t>
      </w:r>
    </w:p>
    <w:p w14:paraId="082F19C7">
      <w:pPr>
        <w:pStyle w:val="164"/>
        <w:spacing w:line="360" w:lineRule="auto"/>
      </w:pPr>
      <w:r>
        <w:rPr>
          <w:rFonts w:hint="eastAsia"/>
        </w:rPr>
        <w:t>模型停用应保留停用原因、停用时间和历史版本记录。</w:t>
      </w:r>
    </w:p>
    <w:p w14:paraId="2559ABC1">
      <w:pPr>
        <w:pStyle w:val="105"/>
        <w:spacing w:before="120" w:after="120" w:line="360" w:lineRule="auto"/>
      </w:pPr>
      <w:r>
        <w:rPr>
          <w:rFonts w:hint="eastAsia"/>
        </w:rPr>
        <w:t>数据管理与模型管理要点</w:t>
      </w:r>
    </w:p>
    <w:p w14:paraId="455C97AE">
      <w:pPr>
        <w:pStyle w:val="56"/>
        <w:spacing w:line="360" w:lineRule="auto"/>
        <w:ind w:firstLine="420"/>
      </w:pPr>
      <w:r>
        <w:rPr>
          <w:rFonts w:hint="eastAsia"/>
        </w:rPr>
        <w:t>数据管理与模型管理的主要控制内容见表3。表3给出了数据管理与模型管理的主要控制内容及控制要点。</w:t>
      </w:r>
    </w:p>
    <w:p w14:paraId="5BA71BCF">
      <w:pPr>
        <w:pStyle w:val="112"/>
        <w:spacing w:before="120" w:after="120" w:line="360" w:lineRule="auto"/>
      </w:pPr>
      <w:r>
        <w:rPr>
          <w:rFonts w:hint="eastAsia"/>
        </w:rPr>
        <w:t>表数据管理与模型管理要点表</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3110"/>
        <w:gridCol w:w="3112"/>
        <w:gridCol w:w="3112"/>
      </w:tblGrid>
      <w:tr w14:paraId="28D878C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3110" w:type="dxa"/>
            <w:tcBorders>
              <w:top w:val="single" w:color="auto" w:sz="8" w:space="0"/>
              <w:bottom w:val="single" w:color="auto" w:sz="8" w:space="0"/>
            </w:tcBorders>
          </w:tcPr>
          <w:p w14:paraId="3A0011B4">
            <w:pPr>
              <w:pStyle w:val="178"/>
            </w:pPr>
            <w:r>
              <w:rPr>
                <w:rFonts w:hint="eastAsia"/>
              </w:rPr>
              <w:t>工作类别</w:t>
            </w:r>
          </w:p>
        </w:tc>
        <w:tc>
          <w:tcPr>
            <w:tcW w:w="3112" w:type="dxa"/>
            <w:tcBorders>
              <w:top w:val="single" w:color="auto" w:sz="8" w:space="0"/>
              <w:bottom w:val="single" w:color="auto" w:sz="8" w:space="0"/>
            </w:tcBorders>
          </w:tcPr>
          <w:p w14:paraId="2FB3FBBC">
            <w:pPr>
              <w:pStyle w:val="178"/>
            </w:pPr>
            <w:r>
              <w:rPr>
                <w:rFonts w:hint="eastAsia"/>
              </w:rPr>
              <w:t>主要内容</w:t>
            </w:r>
          </w:p>
        </w:tc>
        <w:tc>
          <w:tcPr>
            <w:tcW w:w="3112" w:type="dxa"/>
            <w:tcBorders>
              <w:top w:val="single" w:color="auto" w:sz="8" w:space="0"/>
              <w:bottom w:val="single" w:color="auto" w:sz="8" w:space="0"/>
            </w:tcBorders>
          </w:tcPr>
          <w:p w14:paraId="26CD30DE">
            <w:pPr>
              <w:pStyle w:val="178"/>
            </w:pPr>
            <w:r>
              <w:rPr>
                <w:rFonts w:hint="eastAsia"/>
              </w:rPr>
              <w:t>控制要点</w:t>
            </w:r>
          </w:p>
        </w:tc>
      </w:tr>
      <w:tr w14:paraId="5E60F4B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tcBorders>
              <w:top w:val="single" w:color="auto" w:sz="8" w:space="0"/>
            </w:tcBorders>
          </w:tcPr>
          <w:p w14:paraId="139D8897">
            <w:pPr>
              <w:pStyle w:val="178"/>
            </w:pPr>
            <w:r>
              <w:rPr>
                <w:rFonts w:hint="eastAsia"/>
              </w:rPr>
              <w:t>数据接入管理</w:t>
            </w:r>
          </w:p>
        </w:tc>
        <w:tc>
          <w:tcPr>
            <w:tcW w:w="3112" w:type="dxa"/>
            <w:tcBorders>
              <w:top w:val="single" w:color="auto" w:sz="8" w:space="0"/>
            </w:tcBorders>
          </w:tcPr>
          <w:p w14:paraId="1D8DC1BA">
            <w:pPr>
              <w:pStyle w:val="178"/>
            </w:pPr>
            <w:r>
              <w:rPr>
                <w:rFonts w:hint="eastAsia"/>
              </w:rPr>
              <w:t>来源、字段、频率、权限</w:t>
            </w:r>
          </w:p>
        </w:tc>
        <w:tc>
          <w:tcPr>
            <w:tcW w:w="3112" w:type="dxa"/>
            <w:tcBorders>
              <w:top w:val="single" w:color="auto" w:sz="8" w:space="0"/>
            </w:tcBorders>
          </w:tcPr>
          <w:p w14:paraId="624DD13D">
            <w:pPr>
              <w:pStyle w:val="178"/>
            </w:pPr>
            <w:r>
              <w:rPr>
                <w:rFonts w:hint="eastAsia"/>
              </w:rPr>
              <w:t>来源清晰、口径明确、接口受控</w:t>
            </w:r>
          </w:p>
        </w:tc>
      </w:tr>
      <w:tr w14:paraId="69AE87A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tcPr>
          <w:p w14:paraId="4899DFDC">
            <w:pPr>
              <w:pStyle w:val="178"/>
            </w:pPr>
            <w:r>
              <w:rPr>
                <w:rFonts w:hint="eastAsia"/>
              </w:rPr>
              <w:t>数据治理</w:t>
            </w:r>
          </w:p>
        </w:tc>
        <w:tc>
          <w:tcPr>
            <w:tcW w:w="3112" w:type="dxa"/>
          </w:tcPr>
          <w:p w14:paraId="522DD5A9">
            <w:pPr>
              <w:pStyle w:val="178"/>
            </w:pPr>
            <w:r>
              <w:rPr>
                <w:rFonts w:hint="eastAsia"/>
              </w:rPr>
              <w:t>清洗、整合、命名、口径统一</w:t>
            </w:r>
          </w:p>
        </w:tc>
        <w:tc>
          <w:tcPr>
            <w:tcW w:w="3112" w:type="dxa"/>
          </w:tcPr>
          <w:p w14:paraId="436A8CF6">
            <w:pPr>
              <w:pStyle w:val="178"/>
            </w:pPr>
            <w:r>
              <w:rPr>
                <w:rFonts w:hint="eastAsia"/>
              </w:rPr>
              <w:t>统一标准，不以结果修补代替治理</w:t>
            </w:r>
          </w:p>
        </w:tc>
      </w:tr>
      <w:tr w14:paraId="2173412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tcPr>
          <w:p w14:paraId="67977DD7">
            <w:pPr>
              <w:pStyle w:val="178"/>
            </w:pPr>
            <w:r>
              <w:rPr>
                <w:rFonts w:hint="eastAsia"/>
              </w:rPr>
              <w:t>数据质量管理</w:t>
            </w:r>
          </w:p>
        </w:tc>
        <w:tc>
          <w:tcPr>
            <w:tcW w:w="3112" w:type="dxa"/>
          </w:tcPr>
          <w:p w14:paraId="39C38F53">
            <w:pPr>
              <w:pStyle w:val="178"/>
            </w:pPr>
            <w:r>
              <w:rPr>
                <w:rFonts w:hint="eastAsia"/>
              </w:rPr>
              <w:t>完整性、准确性、一致性、及时性</w:t>
            </w:r>
          </w:p>
        </w:tc>
        <w:tc>
          <w:tcPr>
            <w:tcW w:w="3112" w:type="dxa"/>
          </w:tcPr>
          <w:p w14:paraId="1E5E4469">
            <w:pPr>
              <w:pStyle w:val="178"/>
            </w:pPr>
            <w:r>
              <w:rPr>
                <w:rFonts w:hint="eastAsia"/>
              </w:rPr>
              <w:t>核心指标和模型输入应重点监控</w:t>
            </w:r>
          </w:p>
        </w:tc>
      </w:tr>
      <w:tr w14:paraId="2194D3E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tcPr>
          <w:p w14:paraId="5D96E97A">
            <w:pPr>
              <w:pStyle w:val="178"/>
            </w:pPr>
            <w:r>
              <w:rPr>
                <w:rFonts w:hint="eastAsia"/>
              </w:rPr>
              <w:t>数据存储备份</w:t>
            </w:r>
          </w:p>
        </w:tc>
        <w:tc>
          <w:tcPr>
            <w:tcW w:w="3112" w:type="dxa"/>
          </w:tcPr>
          <w:p w14:paraId="0187E0A4">
            <w:pPr>
              <w:pStyle w:val="178"/>
            </w:pPr>
            <w:r>
              <w:rPr>
                <w:rFonts w:hint="eastAsia"/>
              </w:rPr>
              <w:t>分类存储、备份、恢复、退出</w:t>
            </w:r>
          </w:p>
        </w:tc>
        <w:tc>
          <w:tcPr>
            <w:tcW w:w="3112" w:type="dxa"/>
          </w:tcPr>
          <w:p w14:paraId="54C19598">
            <w:pPr>
              <w:pStyle w:val="178"/>
            </w:pPr>
            <w:r>
              <w:rPr>
                <w:rFonts w:hint="eastAsia"/>
              </w:rPr>
              <w:t>核心数据可恢复、可追溯</w:t>
            </w:r>
          </w:p>
        </w:tc>
      </w:tr>
      <w:tr w14:paraId="385EEEC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tcPr>
          <w:p w14:paraId="6591B7CE">
            <w:pPr>
              <w:pStyle w:val="178"/>
            </w:pPr>
            <w:r>
              <w:rPr>
                <w:rFonts w:hint="eastAsia"/>
              </w:rPr>
              <w:t>模型选型</w:t>
            </w:r>
          </w:p>
        </w:tc>
        <w:tc>
          <w:tcPr>
            <w:tcW w:w="3112" w:type="dxa"/>
          </w:tcPr>
          <w:p w14:paraId="22453BD8">
            <w:pPr>
              <w:pStyle w:val="178"/>
            </w:pPr>
            <w:r>
              <w:rPr>
                <w:rFonts w:hint="eastAsia"/>
              </w:rPr>
              <w:t>场景适配、复杂度、成本、解释性</w:t>
            </w:r>
          </w:p>
        </w:tc>
        <w:tc>
          <w:tcPr>
            <w:tcW w:w="3112" w:type="dxa"/>
          </w:tcPr>
          <w:p w14:paraId="5515976C">
            <w:pPr>
              <w:pStyle w:val="178"/>
            </w:pPr>
            <w:r>
              <w:rPr>
                <w:rFonts w:hint="eastAsia"/>
              </w:rPr>
              <w:t>以适配性和可维护性为主</w:t>
            </w:r>
          </w:p>
        </w:tc>
      </w:tr>
      <w:tr w14:paraId="5B4874F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tcPr>
          <w:p w14:paraId="2CFB8C15">
            <w:pPr>
              <w:pStyle w:val="178"/>
            </w:pPr>
            <w:r>
              <w:rPr>
                <w:rFonts w:hint="eastAsia"/>
              </w:rPr>
              <w:t>模型验证</w:t>
            </w:r>
          </w:p>
        </w:tc>
        <w:tc>
          <w:tcPr>
            <w:tcW w:w="3112" w:type="dxa"/>
          </w:tcPr>
          <w:p w14:paraId="4939CD28">
            <w:pPr>
              <w:pStyle w:val="178"/>
            </w:pPr>
            <w:r>
              <w:rPr>
                <w:rFonts w:hint="eastAsia"/>
              </w:rPr>
              <w:t>样本验证、对照验证、异常验证</w:t>
            </w:r>
          </w:p>
        </w:tc>
        <w:tc>
          <w:tcPr>
            <w:tcW w:w="3112" w:type="dxa"/>
          </w:tcPr>
          <w:p w14:paraId="498054F7">
            <w:pPr>
              <w:pStyle w:val="178"/>
            </w:pPr>
            <w:r>
              <w:rPr>
                <w:rFonts w:hint="eastAsia"/>
              </w:rPr>
              <w:t>未验证不得上线</w:t>
            </w:r>
          </w:p>
        </w:tc>
      </w:tr>
      <w:tr w14:paraId="25A7997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tcPr>
          <w:p w14:paraId="05BC6E38">
            <w:pPr>
              <w:pStyle w:val="178"/>
            </w:pPr>
            <w:r>
              <w:rPr>
                <w:rFonts w:hint="eastAsia"/>
              </w:rPr>
              <w:t>模型运行</w:t>
            </w:r>
          </w:p>
        </w:tc>
        <w:tc>
          <w:tcPr>
            <w:tcW w:w="3112" w:type="dxa"/>
          </w:tcPr>
          <w:p w14:paraId="28DD1431">
            <w:pPr>
              <w:pStyle w:val="178"/>
            </w:pPr>
            <w:r>
              <w:rPr>
                <w:rFonts w:hint="eastAsia"/>
              </w:rPr>
              <w:t>输入状态、输出分布、异常率</w:t>
            </w:r>
          </w:p>
        </w:tc>
        <w:tc>
          <w:tcPr>
            <w:tcW w:w="3112" w:type="dxa"/>
          </w:tcPr>
          <w:p w14:paraId="445C57F8">
            <w:pPr>
              <w:pStyle w:val="178"/>
            </w:pPr>
            <w:r>
              <w:rPr>
                <w:rFonts w:hint="eastAsia"/>
              </w:rPr>
              <w:t>输出异常应及时限制使用</w:t>
            </w:r>
          </w:p>
        </w:tc>
      </w:tr>
      <w:tr w14:paraId="28A1CEF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tcPr>
          <w:p w14:paraId="29B731F0">
            <w:pPr>
              <w:pStyle w:val="178"/>
            </w:pPr>
            <w:r>
              <w:rPr>
                <w:rFonts w:hint="eastAsia"/>
              </w:rPr>
              <w:t>模型更新</w:t>
            </w:r>
          </w:p>
        </w:tc>
        <w:tc>
          <w:tcPr>
            <w:tcW w:w="3112" w:type="dxa"/>
          </w:tcPr>
          <w:p w14:paraId="74039781">
            <w:pPr>
              <w:pStyle w:val="178"/>
            </w:pPr>
            <w:r>
              <w:rPr>
                <w:rFonts w:hint="eastAsia"/>
              </w:rPr>
              <w:t>版本变更、验证、回退</w:t>
            </w:r>
          </w:p>
        </w:tc>
        <w:tc>
          <w:tcPr>
            <w:tcW w:w="3112" w:type="dxa"/>
          </w:tcPr>
          <w:p w14:paraId="48D82F77">
            <w:pPr>
              <w:pStyle w:val="178"/>
            </w:pPr>
            <w:r>
              <w:rPr>
                <w:rFonts w:hint="eastAsia"/>
              </w:rPr>
              <w:t>重要更新先测试后上线</w:t>
            </w:r>
          </w:p>
        </w:tc>
      </w:tr>
    </w:tbl>
    <w:p w14:paraId="37D9800E">
      <w:pPr>
        <w:pStyle w:val="105"/>
        <w:spacing w:before="120" w:after="120" w:line="360" w:lineRule="auto"/>
      </w:pPr>
      <w:r>
        <w:rPr>
          <w:rFonts w:hint="eastAsia"/>
        </w:rPr>
        <w:t>禁止性要求</w:t>
      </w:r>
    </w:p>
    <w:p w14:paraId="10E1AD09">
      <w:pPr>
        <w:pStyle w:val="165"/>
        <w:spacing w:line="360" w:lineRule="auto"/>
      </w:pPr>
      <w:r>
        <w:rPr>
          <w:rFonts w:hint="eastAsia"/>
        </w:rPr>
        <w:t>不得将来源不明、口径不清或者质量长期失控的数据直接作为核心分析输入。</w:t>
      </w:r>
    </w:p>
    <w:p w14:paraId="7953FB42">
      <w:pPr>
        <w:pStyle w:val="165"/>
        <w:spacing w:line="360" w:lineRule="auto"/>
      </w:pPr>
      <w:r>
        <w:rPr>
          <w:rFonts w:hint="eastAsia"/>
        </w:rPr>
        <w:t>不得将未经验证的模型、规则或者参数直接部署到正式生产环境。</w:t>
      </w:r>
    </w:p>
    <w:p w14:paraId="5F1CED3C">
      <w:pPr>
        <w:pStyle w:val="165"/>
        <w:spacing w:line="360" w:lineRule="auto"/>
      </w:pPr>
      <w:r>
        <w:rPr>
          <w:rFonts w:hint="eastAsia"/>
        </w:rPr>
        <w:t>不得以人工修改结果数据长期掩盖数据治理和模型适配问题。</w:t>
      </w:r>
    </w:p>
    <w:p w14:paraId="0D42BCA8">
      <w:pPr>
        <w:pStyle w:val="165"/>
        <w:spacing w:line="360" w:lineRule="auto"/>
      </w:pPr>
      <w:r>
        <w:rPr>
          <w:rFonts w:hint="eastAsia"/>
        </w:rPr>
        <w:t>不得在模型适用边界不清的情况下将输出结果直接用于高风险业务决策。</w:t>
      </w:r>
    </w:p>
    <w:p w14:paraId="086E5340">
      <w:pPr>
        <w:pStyle w:val="165"/>
        <w:spacing w:line="360" w:lineRule="auto"/>
      </w:pPr>
      <w:r>
        <w:rPr>
          <w:rFonts w:hint="eastAsia"/>
        </w:rPr>
        <w:t>不得在未建立备份、版本和回退机制的情况下频繁更新正式模型。</w:t>
      </w:r>
    </w:p>
    <w:p w14:paraId="19D513DD">
      <w:pPr>
        <w:pStyle w:val="165"/>
        <w:numPr>
          <w:ilvl w:val="0"/>
          <w:numId w:val="0"/>
        </w:numPr>
        <w:spacing w:line="360" w:lineRule="auto"/>
        <w:rPr>
          <w:rFonts w:hint="eastAsia"/>
        </w:rPr>
      </w:pPr>
    </w:p>
    <w:p w14:paraId="15BF2A84">
      <w:pPr>
        <w:pStyle w:val="104"/>
        <w:spacing w:before="240" w:after="240" w:line="360" w:lineRule="auto"/>
      </w:pPr>
      <w:bookmarkStart w:id="55" w:name="_Toc228604503"/>
      <w:r>
        <w:rPr>
          <w:rFonts w:hint="eastAsia"/>
        </w:rPr>
        <w:t>运行维护与故障处置要求</w:t>
      </w:r>
      <w:bookmarkEnd w:id="55"/>
    </w:p>
    <w:p w14:paraId="3DBC99EB">
      <w:pPr>
        <w:pStyle w:val="105"/>
        <w:spacing w:before="120" w:after="120" w:line="360" w:lineRule="auto"/>
      </w:pPr>
      <w:r>
        <w:rPr>
          <w:rFonts w:hint="eastAsia"/>
        </w:rPr>
        <w:t>一般要求</w:t>
      </w:r>
    </w:p>
    <w:p w14:paraId="7AF7B8D6">
      <w:pPr>
        <w:pStyle w:val="165"/>
        <w:spacing w:line="360" w:lineRule="auto"/>
      </w:pPr>
      <w:r>
        <w:rPr>
          <w:rFonts w:hint="eastAsia"/>
        </w:rPr>
        <w:t>中小企业人工智能数据分析系统上线后，应纳入正式运行维护管理。</w:t>
      </w:r>
    </w:p>
    <w:p w14:paraId="6405E84B">
      <w:pPr>
        <w:pStyle w:val="165"/>
        <w:spacing w:line="360" w:lineRule="auto"/>
      </w:pPr>
      <w:r>
        <w:rPr>
          <w:rFonts w:hint="eastAsia"/>
        </w:rPr>
        <w:t>运行维护应覆盖系统运行监测、数据流转监测、接口状态监测、模型运行监测、告警管理、故障处理、用户支持、备份恢复和运行记录管理等内容。</w:t>
      </w:r>
    </w:p>
    <w:p w14:paraId="0869C404">
      <w:pPr>
        <w:pStyle w:val="165"/>
        <w:spacing w:line="360" w:lineRule="auto"/>
      </w:pPr>
      <w:r>
        <w:rPr>
          <w:rFonts w:hint="eastAsia"/>
        </w:rPr>
        <w:t>运行维护应坚持“监测及时、响应及时、处置规范、恢复可控、过程留痕、问题闭环”的原则。</w:t>
      </w:r>
    </w:p>
    <w:p w14:paraId="52CA3620">
      <w:pPr>
        <w:pStyle w:val="165"/>
        <w:spacing w:line="360" w:lineRule="auto"/>
      </w:pPr>
      <w:r>
        <w:rPr>
          <w:rFonts w:hint="eastAsia"/>
        </w:rPr>
        <w:t>系统运维不得仅限于服务器、网络和软件进程维护，还应覆盖数据状态、分析结果状态、接口状态和模型输出状态。</w:t>
      </w:r>
    </w:p>
    <w:p w14:paraId="26FDB77F">
      <w:pPr>
        <w:pStyle w:val="165"/>
        <w:spacing w:line="360" w:lineRule="auto"/>
      </w:pPr>
      <w:r>
        <w:rPr>
          <w:rFonts w:hint="eastAsia"/>
        </w:rPr>
        <w:t>对支撑核心经营分析、关键预警和高频管理决策的系统，应提高运行保障等级和故障响应等级。</w:t>
      </w:r>
    </w:p>
    <w:p w14:paraId="200F38CE">
      <w:pPr>
        <w:pStyle w:val="105"/>
        <w:spacing w:before="120" w:after="120" w:line="360" w:lineRule="auto"/>
      </w:pPr>
      <w:r>
        <w:rPr>
          <w:rFonts w:hint="eastAsia"/>
        </w:rPr>
        <w:t>运行监测要求</w:t>
      </w:r>
    </w:p>
    <w:p w14:paraId="22389126">
      <w:pPr>
        <w:pStyle w:val="65"/>
        <w:spacing w:before="120" w:after="120" w:line="360" w:lineRule="auto"/>
      </w:pPr>
      <w:r>
        <w:rPr>
          <w:rFonts w:hint="eastAsia"/>
        </w:rPr>
        <w:t>一般要求</w:t>
      </w:r>
    </w:p>
    <w:p w14:paraId="7E5D4D41">
      <w:pPr>
        <w:pStyle w:val="164"/>
        <w:spacing w:line="360" w:lineRule="auto"/>
      </w:pPr>
      <w:r>
        <w:rPr>
          <w:rFonts w:hint="eastAsia"/>
        </w:rPr>
        <w:t>系统应建立运行监测机制。</w:t>
      </w:r>
    </w:p>
    <w:p w14:paraId="5C2A5D9B">
      <w:pPr>
        <w:pStyle w:val="164"/>
        <w:spacing w:line="360" w:lineRule="auto"/>
      </w:pPr>
      <w:r>
        <w:rPr>
          <w:rFonts w:hint="eastAsia"/>
        </w:rPr>
        <w:t>运行监测应以自动监测为主、人工巡检为辅。</w:t>
      </w:r>
    </w:p>
    <w:p w14:paraId="5B36D3C6">
      <w:pPr>
        <w:pStyle w:val="164"/>
        <w:spacing w:line="360" w:lineRule="auto"/>
      </w:pPr>
      <w:r>
        <w:rPr>
          <w:rFonts w:hint="eastAsia"/>
        </w:rPr>
        <w:t>运行监测应覆盖系统资源、应用服务、接口状态、数据任务、模型任务和结果发布状态。</w:t>
      </w:r>
    </w:p>
    <w:p w14:paraId="50E21412">
      <w:pPr>
        <w:pStyle w:val="65"/>
        <w:spacing w:before="120" w:after="120" w:line="360" w:lineRule="auto"/>
      </w:pPr>
      <w:r>
        <w:rPr>
          <w:rFonts w:hint="eastAsia"/>
        </w:rPr>
        <w:t>监测内容</w:t>
      </w:r>
    </w:p>
    <w:p w14:paraId="15618451">
      <w:pPr>
        <w:pStyle w:val="164"/>
        <w:spacing w:line="360" w:lineRule="auto"/>
      </w:pPr>
      <w:r>
        <w:rPr>
          <w:rFonts w:hint="eastAsia"/>
        </w:rPr>
        <w:t>运行监测宜至少包括下列内容：</w:t>
      </w:r>
    </w:p>
    <w:p w14:paraId="55C12CB9">
      <w:pPr>
        <w:pStyle w:val="56"/>
        <w:spacing w:line="360" w:lineRule="auto"/>
        <w:ind w:firstLine="420"/>
      </w:pPr>
      <w:r>
        <w:rPr>
          <w:rFonts w:hint="eastAsia"/>
        </w:rPr>
        <w:t>a）服务运行状态；</w:t>
      </w:r>
    </w:p>
    <w:p w14:paraId="6EDDA932">
      <w:pPr>
        <w:pStyle w:val="56"/>
        <w:spacing w:line="360" w:lineRule="auto"/>
        <w:ind w:firstLine="420"/>
      </w:pPr>
      <w:r>
        <w:rPr>
          <w:rFonts w:hint="eastAsia"/>
        </w:rPr>
        <w:t>b）服务器和存储资源占用状态；</w:t>
      </w:r>
    </w:p>
    <w:p w14:paraId="48B0C3E5">
      <w:pPr>
        <w:pStyle w:val="56"/>
        <w:spacing w:line="360" w:lineRule="auto"/>
        <w:ind w:firstLine="420"/>
      </w:pPr>
      <w:r>
        <w:rPr>
          <w:rFonts w:hint="eastAsia"/>
        </w:rPr>
        <w:t>c）数据库运行状态；</w:t>
      </w:r>
    </w:p>
    <w:p w14:paraId="40581536">
      <w:pPr>
        <w:pStyle w:val="56"/>
        <w:spacing w:line="360" w:lineRule="auto"/>
        <w:ind w:firstLine="420"/>
      </w:pPr>
      <w:r>
        <w:rPr>
          <w:rFonts w:hint="eastAsia"/>
        </w:rPr>
        <w:t>d）接口调用成功率；</w:t>
      </w:r>
    </w:p>
    <w:p w14:paraId="0E329D79">
      <w:pPr>
        <w:pStyle w:val="56"/>
        <w:spacing w:line="360" w:lineRule="auto"/>
        <w:ind w:firstLine="420"/>
      </w:pPr>
      <w:r>
        <w:rPr>
          <w:rFonts w:hint="eastAsia"/>
        </w:rPr>
        <w:t>e）数据同步任务状态；</w:t>
      </w:r>
    </w:p>
    <w:p w14:paraId="46CFF12A">
      <w:pPr>
        <w:pStyle w:val="56"/>
        <w:spacing w:line="360" w:lineRule="auto"/>
        <w:ind w:firstLine="420"/>
      </w:pPr>
      <w:r>
        <w:rPr>
          <w:rFonts w:hint="eastAsia"/>
        </w:rPr>
        <w:t>f）分析任务执行状态；</w:t>
      </w:r>
    </w:p>
    <w:p w14:paraId="3263B9AA">
      <w:pPr>
        <w:pStyle w:val="56"/>
        <w:spacing w:line="360" w:lineRule="auto"/>
        <w:ind w:firstLine="420"/>
      </w:pPr>
      <w:r>
        <w:rPr>
          <w:rFonts w:hint="eastAsia"/>
        </w:rPr>
        <w:t>g）模型调用状态；</w:t>
      </w:r>
    </w:p>
    <w:p w14:paraId="36D68DB1">
      <w:pPr>
        <w:pStyle w:val="56"/>
        <w:spacing w:line="360" w:lineRule="auto"/>
        <w:ind w:firstLine="420"/>
      </w:pPr>
      <w:r>
        <w:rPr>
          <w:rFonts w:hint="eastAsia"/>
        </w:rPr>
        <w:t>h）结果生成状态；</w:t>
      </w:r>
    </w:p>
    <w:p w14:paraId="60069E75">
      <w:pPr>
        <w:pStyle w:val="56"/>
        <w:spacing w:line="360" w:lineRule="auto"/>
        <w:ind w:firstLine="420"/>
      </w:pPr>
      <w:r>
        <w:rPr>
          <w:rFonts w:hint="eastAsia"/>
        </w:rPr>
        <w:t>i）用户访问状态；</w:t>
      </w:r>
    </w:p>
    <w:p w14:paraId="69EC0FD5">
      <w:pPr>
        <w:pStyle w:val="56"/>
        <w:spacing w:line="360" w:lineRule="auto"/>
        <w:ind w:firstLine="420"/>
      </w:pPr>
      <w:r>
        <w:rPr>
          <w:rFonts w:hint="eastAsia"/>
        </w:rPr>
        <w:t>j）告警和异常日志状态。</w:t>
      </w:r>
    </w:p>
    <w:p w14:paraId="47796F09">
      <w:pPr>
        <w:pStyle w:val="164"/>
        <w:spacing w:line="360" w:lineRule="auto"/>
      </w:pPr>
      <w:r>
        <w:rPr>
          <w:rFonts w:hint="eastAsia"/>
        </w:rPr>
        <w:t>对实时预警模块、关键报表模块和高频访问模块，应设置重点监测项。</w:t>
      </w:r>
    </w:p>
    <w:p w14:paraId="1F36A772">
      <w:pPr>
        <w:pStyle w:val="65"/>
        <w:spacing w:before="120" w:after="120" w:line="360" w:lineRule="auto"/>
      </w:pPr>
      <w:r>
        <w:rPr>
          <w:rFonts w:hint="eastAsia"/>
        </w:rPr>
        <w:t>监测频率要求</w:t>
      </w:r>
    </w:p>
    <w:p w14:paraId="547A6849">
      <w:pPr>
        <w:pStyle w:val="164"/>
        <w:spacing w:line="360" w:lineRule="auto"/>
      </w:pPr>
      <w:r>
        <w:rPr>
          <w:rFonts w:hint="eastAsia"/>
        </w:rPr>
        <w:t>监测频率应根据系统分级、业务重要性和运行风险确定。</w:t>
      </w:r>
    </w:p>
    <w:p w14:paraId="4568078D">
      <w:pPr>
        <w:pStyle w:val="164"/>
        <w:spacing w:line="360" w:lineRule="auto"/>
      </w:pPr>
      <w:r>
        <w:rPr>
          <w:rFonts w:hint="eastAsia"/>
        </w:rPr>
        <w:t>对关键系统和关键模块，应实施持续监测或者高频监测。</w:t>
      </w:r>
    </w:p>
    <w:p w14:paraId="06AFE36B">
      <w:pPr>
        <w:pStyle w:val="164"/>
        <w:spacing w:line="360" w:lineRule="auto"/>
      </w:pPr>
      <w:r>
        <w:rPr>
          <w:rFonts w:hint="eastAsia"/>
        </w:rPr>
        <w:t>对低频使用模块，可按规定实施定时监测，但不得长期无人检查。</w:t>
      </w:r>
    </w:p>
    <w:p w14:paraId="63B04ADC">
      <w:pPr>
        <w:pStyle w:val="105"/>
        <w:spacing w:before="120" w:after="120" w:line="360" w:lineRule="auto"/>
      </w:pPr>
      <w:r>
        <w:rPr>
          <w:rFonts w:hint="eastAsia"/>
        </w:rPr>
        <w:t>运行巡检要求</w:t>
      </w:r>
    </w:p>
    <w:p w14:paraId="31AF5D28">
      <w:pPr>
        <w:pStyle w:val="65"/>
        <w:spacing w:before="120" w:after="120" w:line="360" w:lineRule="auto"/>
      </w:pPr>
      <w:r>
        <w:rPr>
          <w:rFonts w:hint="eastAsia"/>
        </w:rPr>
        <w:t>一般要求</w:t>
      </w:r>
    </w:p>
    <w:p w14:paraId="1B4E0053">
      <w:pPr>
        <w:pStyle w:val="164"/>
        <w:spacing w:line="360" w:lineRule="auto"/>
      </w:pPr>
      <w:r>
        <w:rPr>
          <w:rFonts w:hint="eastAsia"/>
        </w:rPr>
        <w:t>系统应建立运行巡检制度。</w:t>
      </w:r>
    </w:p>
    <w:p w14:paraId="3482EB7D">
      <w:pPr>
        <w:pStyle w:val="164"/>
        <w:spacing w:line="360" w:lineRule="auto"/>
      </w:pPr>
      <w:r>
        <w:rPr>
          <w:rFonts w:hint="eastAsia"/>
        </w:rPr>
        <w:t>巡检可采用日常巡检、专项巡检和节假日前巡检等方式实施。</w:t>
      </w:r>
    </w:p>
    <w:p w14:paraId="5C841218">
      <w:pPr>
        <w:pStyle w:val="164"/>
        <w:spacing w:line="360" w:lineRule="auto"/>
      </w:pPr>
      <w:r>
        <w:rPr>
          <w:rFonts w:hint="eastAsia"/>
        </w:rPr>
        <w:t>巡检应覆盖系统状态、数据状态、接口状态、日志状态和安全状态。</w:t>
      </w:r>
    </w:p>
    <w:p w14:paraId="75A778BD">
      <w:pPr>
        <w:pStyle w:val="65"/>
        <w:spacing w:before="120" w:after="120" w:line="360" w:lineRule="auto"/>
      </w:pPr>
      <w:r>
        <w:rPr>
          <w:rFonts w:hint="eastAsia"/>
        </w:rPr>
        <w:t>巡检内容</w:t>
      </w:r>
    </w:p>
    <w:p w14:paraId="2372A013">
      <w:pPr>
        <w:pStyle w:val="164"/>
        <w:spacing w:line="360" w:lineRule="auto"/>
      </w:pPr>
      <w:r>
        <w:rPr>
          <w:rFonts w:hint="eastAsia"/>
        </w:rPr>
        <w:t>巡检宜至少包括下列内容：</w:t>
      </w:r>
    </w:p>
    <w:p w14:paraId="50CB7350">
      <w:pPr>
        <w:pStyle w:val="56"/>
        <w:spacing w:line="360" w:lineRule="auto"/>
        <w:ind w:firstLine="420"/>
      </w:pPr>
      <w:r>
        <w:rPr>
          <w:rFonts w:hint="eastAsia"/>
        </w:rPr>
        <w:t>a）系统服务是否正常；</w:t>
      </w:r>
    </w:p>
    <w:p w14:paraId="2813AC4A">
      <w:pPr>
        <w:pStyle w:val="56"/>
        <w:spacing w:line="360" w:lineRule="auto"/>
        <w:ind w:firstLine="420"/>
      </w:pPr>
      <w:r>
        <w:rPr>
          <w:rFonts w:hint="eastAsia"/>
        </w:rPr>
        <w:t>b）关键接口是否连通；</w:t>
      </w:r>
    </w:p>
    <w:p w14:paraId="15C55FC3">
      <w:pPr>
        <w:pStyle w:val="56"/>
        <w:spacing w:line="360" w:lineRule="auto"/>
        <w:ind w:firstLine="420"/>
      </w:pPr>
      <w:r>
        <w:rPr>
          <w:rFonts w:hint="eastAsia"/>
        </w:rPr>
        <w:t>c）数据同步是否正常完成；</w:t>
      </w:r>
    </w:p>
    <w:p w14:paraId="4FF77D40">
      <w:pPr>
        <w:pStyle w:val="56"/>
        <w:spacing w:line="360" w:lineRule="auto"/>
        <w:ind w:firstLine="420"/>
      </w:pPr>
      <w:r>
        <w:rPr>
          <w:rFonts w:hint="eastAsia"/>
        </w:rPr>
        <w:t>d）模型运行是否正常；</w:t>
      </w:r>
    </w:p>
    <w:p w14:paraId="648CF00B">
      <w:pPr>
        <w:pStyle w:val="56"/>
        <w:spacing w:line="360" w:lineRule="auto"/>
        <w:ind w:firstLine="420"/>
      </w:pPr>
      <w:r>
        <w:rPr>
          <w:rFonts w:hint="eastAsia"/>
        </w:rPr>
        <w:t>e）报表结果是否正常生成；</w:t>
      </w:r>
    </w:p>
    <w:p w14:paraId="0DE1B023">
      <w:pPr>
        <w:pStyle w:val="56"/>
        <w:spacing w:line="360" w:lineRule="auto"/>
        <w:ind w:firstLine="420"/>
      </w:pPr>
      <w:r>
        <w:rPr>
          <w:rFonts w:hint="eastAsia"/>
        </w:rPr>
        <w:t>f）权限状态是否异常；</w:t>
      </w:r>
    </w:p>
    <w:p w14:paraId="262EF5E6">
      <w:pPr>
        <w:pStyle w:val="56"/>
        <w:spacing w:line="360" w:lineRule="auto"/>
        <w:ind w:firstLine="420"/>
      </w:pPr>
      <w:r>
        <w:rPr>
          <w:rFonts w:hint="eastAsia"/>
        </w:rPr>
        <w:t>g）日志是否持续记录；</w:t>
      </w:r>
    </w:p>
    <w:p w14:paraId="729C4175">
      <w:pPr>
        <w:pStyle w:val="56"/>
        <w:spacing w:line="360" w:lineRule="auto"/>
        <w:ind w:firstLine="420"/>
      </w:pPr>
      <w:r>
        <w:rPr>
          <w:rFonts w:hint="eastAsia"/>
        </w:rPr>
        <w:t>h）备份任务是否按计划执行；</w:t>
      </w:r>
    </w:p>
    <w:p w14:paraId="6F881B97">
      <w:pPr>
        <w:pStyle w:val="56"/>
        <w:spacing w:line="360" w:lineRule="auto"/>
        <w:ind w:firstLine="420"/>
      </w:pPr>
      <w:r>
        <w:rPr>
          <w:rFonts w:hint="eastAsia"/>
        </w:rPr>
        <w:t>i）告警信息是否已处理；</w:t>
      </w:r>
    </w:p>
    <w:p w14:paraId="16075BA0">
      <w:pPr>
        <w:pStyle w:val="56"/>
        <w:spacing w:line="360" w:lineRule="auto"/>
        <w:ind w:firstLine="420"/>
      </w:pPr>
      <w:r>
        <w:rPr>
          <w:rFonts w:hint="eastAsia"/>
        </w:rPr>
        <w:t>j）历史问题是否复发。</w:t>
      </w:r>
    </w:p>
    <w:p w14:paraId="09F75C27">
      <w:pPr>
        <w:pStyle w:val="164"/>
        <w:spacing w:line="360" w:lineRule="auto"/>
      </w:pPr>
      <w:r>
        <w:rPr>
          <w:rFonts w:hint="eastAsia"/>
        </w:rPr>
        <w:t>巡检发现异常时，应及时登记并转入处置流程。</w:t>
      </w:r>
    </w:p>
    <w:p w14:paraId="05829126">
      <w:pPr>
        <w:pStyle w:val="105"/>
        <w:spacing w:before="120" w:after="120" w:line="360" w:lineRule="auto"/>
      </w:pPr>
      <w:r>
        <w:rPr>
          <w:rFonts w:hint="eastAsia"/>
        </w:rPr>
        <w:t>告警管理要求</w:t>
      </w:r>
    </w:p>
    <w:p w14:paraId="488D3C44">
      <w:pPr>
        <w:pStyle w:val="65"/>
        <w:spacing w:before="120" w:after="120" w:line="360" w:lineRule="auto"/>
      </w:pPr>
      <w:r>
        <w:rPr>
          <w:rFonts w:hint="eastAsia"/>
        </w:rPr>
        <w:t>一般要求</w:t>
      </w:r>
    </w:p>
    <w:p w14:paraId="6076C9C9">
      <w:pPr>
        <w:pStyle w:val="164"/>
        <w:spacing w:line="360" w:lineRule="auto"/>
      </w:pPr>
      <w:r>
        <w:rPr>
          <w:rFonts w:hint="eastAsia"/>
        </w:rPr>
        <w:t>系统应建立告警管理机制。</w:t>
      </w:r>
    </w:p>
    <w:p w14:paraId="41B5AD6C">
      <w:pPr>
        <w:pStyle w:val="164"/>
        <w:spacing w:line="360" w:lineRule="auto"/>
      </w:pPr>
      <w:r>
        <w:rPr>
          <w:rFonts w:hint="eastAsia"/>
        </w:rPr>
        <w:t>告警应根据影响程度分级管理。</w:t>
      </w:r>
    </w:p>
    <w:p w14:paraId="0D899903">
      <w:pPr>
        <w:pStyle w:val="164"/>
        <w:spacing w:line="360" w:lineRule="auto"/>
      </w:pPr>
      <w:r>
        <w:rPr>
          <w:rFonts w:hint="eastAsia"/>
        </w:rPr>
        <w:t>告警规则应覆盖服务异常、接口异常、数据异常、模型异常、安全异常和资源异常等情形。</w:t>
      </w:r>
    </w:p>
    <w:p w14:paraId="4051FDEF">
      <w:pPr>
        <w:pStyle w:val="65"/>
        <w:spacing w:before="120" w:after="120" w:line="360" w:lineRule="auto"/>
      </w:pPr>
      <w:r>
        <w:rPr>
          <w:rFonts w:hint="eastAsia"/>
        </w:rPr>
        <w:t>告警分级</w:t>
      </w:r>
    </w:p>
    <w:p w14:paraId="0107A91F">
      <w:pPr>
        <w:pStyle w:val="164"/>
        <w:spacing w:line="360" w:lineRule="auto"/>
      </w:pPr>
      <w:r>
        <w:rPr>
          <w:rFonts w:hint="eastAsia"/>
        </w:rPr>
        <w:t>告警宜分为一般告警、重要告警和紧急告警。</w:t>
      </w:r>
    </w:p>
    <w:p w14:paraId="12C47C86">
      <w:pPr>
        <w:pStyle w:val="164"/>
        <w:spacing w:line="360" w:lineRule="auto"/>
      </w:pPr>
      <w:r>
        <w:rPr>
          <w:rFonts w:hint="eastAsia"/>
        </w:rPr>
        <w:t>紧急告警包括但不限于下列情形：</w:t>
      </w:r>
    </w:p>
    <w:p w14:paraId="2D4D7B2E">
      <w:pPr>
        <w:pStyle w:val="56"/>
        <w:spacing w:line="360" w:lineRule="auto"/>
        <w:ind w:firstLine="420"/>
      </w:pPr>
      <w:r>
        <w:rPr>
          <w:rFonts w:hint="eastAsia"/>
        </w:rPr>
        <w:t>a）系统整体不可用；</w:t>
      </w:r>
    </w:p>
    <w:p w14:paraId="107B64B6">
      <w:pPr>
        <w:pStyle w:val="56"/>
        <w:spacing w:line="360" w:lineRule="auto"/>
        <w:ind w:firstLine="420"/>
      </w:pPr>
      <w:r>
        <w:rPr>
          <w:rFonts w:hint="eastAsia"/>
        </w:rPr>
        <w:t>b）关键接口全面中断；</w:t>
      </w:r>
    </w:p>
    <w:p w14:paraId="68D35B27">
      <w:pPr>
        <w:pStyle w:val="56"/>
        <w:spacing w:line="360" w:lineRule="auto"/>
        <w:ind w:firstLine="420"/>
      </w:pPr>
      <w:r>
        <w:rPr>
          <w:rFonts w:hint="eastAsia"/>
        </w:rPr>
        <w:t>c）核心数据任务失败；</w:t>
      </w:r>
    </w:p>
    <w:p w14:paraId="0F5CDA7C">
      <w:pPr>
        <w:pStyle w:val="56"/>
        <w:spacing w:line="360" w:lineRule="auto"/>
        <w:ind w:firstLine="420"/>
      </w:pPr>
      <w:r>
        <w:rPr>
          <w:rFonts w:hint="eastAsia"/>
        </w:rPr>
        <w:t>d）模型输出严重异常；</w:t>
      </w:r>
    </w:p>
    <w:p w14:paraId="78368F6D">
      <w:pPr>
        <w:pStyle w:val="56"/>
        <w:spacing w:line="360" w:lineRule="auto"/>
        <w:ind w:firstLine="420"/>
      </w:pPr>
      <w:r>
        <w:rPr>
          <w:rFonts w:hint="eastAsia"/>
        </w:rPr>
        <w:t>e）关键结果无法生成；</w:t>
      </w:r>
    </w:p>
    <w:p w14:paraId="60293445">
      <w:pPr>
        <w:pStyle w:val="56"/>
        <w:spacing w:line="360" w:lineRule="auto"/>
        <w:ind w:firstLine="420"/>
      </w:pPr>
      <w:r>
        <w:rPr>
          <w:rFonts w:hint="eastAsia"/>
        </w:rPr>
        <w:t>f）权限失控或者安全事件；</w:t>
      </w:r>
    </w:p>
    <w:p w14:paraId="25588ECD">
      <w:pPr>
        <w:pStyle w:val="56"/>
        <w:spacing w:line="360" w:lineRule="auto"/>
        <w:ind w:firstLine="420"/>
      </w:pPr>
      <w:r>
        <w:rPr>
          <w:rFonts w:hint="eastAsia"/>
        </w:rPr>
        <w:t>g）备份失败且无恢复保障。</w:t>
      </w:r>
    </w:p>
    <w:p w14:paraId="154B79F1">
      <w:pPr>
        <w:pStyle w:val="164"/>
        <w:spacing w:line="360" w:lineRule="auto"/>
      </w:pPr>
      <w:r>
        <w:rPr>
          <w:rFonts w:hint="eastAsia"/>
        </w:rPr>
        <w:t>不同等级告警应明确响应时限和处置责任。</w:t>
      </w:r>
    </w:p>
    <w:p w14:paraId="74ED8F1D">
      <w:pPr>
        <w:pStyle w:val="65"/>
        <w:spacing w:before="120" w:after="120" w:line="360" w:lineRule="auto"/>
      </w:pPr>
      <w:r>
        <w:rPr>
          <w:rFonts w:hint="eastAsia"/>
        </w:rPr>
        <w:t>告警处置要求</w:t>
      </w:r>
    </w:p>
    <w:p w14:paraId="64930F82">
      <w:pPr>
        <w:pStyle w:val="164"/>
        <w:spacing w:line="360" w:lineRule="auto"/>
      </w:pPr>
      <w:r>
        <w:rPr>
          <w:rFonts w:hint="eastAsia"/>
        </w:rPr>
        <w:t>告警发生后，应及时确认来源、影响范围和严重程度。</w:t>
      </w:r>
    </w:p>
    <w:p w14:paraId="7EED0F36">
      <w:pPr>
        <w:pStyle w:val="164"/>
        <w:spacing w:line="360" w:lineRule="auto"/>
      </w:pPr>
      <w:r>
        <w:rPr>
          <w:rFonts w:hint="eastAsia"/>
        </w:rPr>
        <w:t>告警未核实前，不得简单关闭或者忽略。</w:t>
      </w:r>
    </w:p>
    <w:p w14:paraId="718D1F5C">
      <w:pPr>
        <w:pStyle w:val="164"/>
        <w:spacing w:line="360" w:lineRule="auto"/>
      </w:pPr>
      <w:r>
        <w:rPr>
          <w:rFonts w:hint="eastAsia"/>
        </w:rPr>
        <w:t>对反复出现的告警，应分析根因并优化规则或者系统配置。</w:t>
      </w:r>
    </w:p>
    <w:p w14:paraId="604E5AC6">
      <w:pPr>
        <w:pStyle w:val="105"/>
        <w:spacing w:before="120" w:after="120" w:line="360" w:lineRule="auto"/>
      </w:pPr>
      <w:r>
        <w:rPr>
          <w:rFonts w:hint="eastAsia"/>
        </w:rPr>
        <w:t>日常维护要求</w:t>
      </w:r>
    </w:p>
    <w:p w14:paraId="64581F76">
      <w:pPr>
        <w:pStyle w:val="65"/>
        <w:spacing w:before="120" w:after="120" w:line="360" w:lineRule="auto"/>
      </w:pPr>
      <w:r>
        <w:rPr>
          <w:rFonts w:hint="eastAsia"/>
        </w:rPr>
        <w:t>一般要求</w:t>
      </w:r>
    </w:p>
    <w:p w14:paraId="7A3A259E">
      <w:pPr>
        <w:pStyle w:val="164"/>
        <w:spacing w:line="360" w:lineRule="auto"/>
      </w:pPr>
      <w:r>
        <w:rPr>
          <w:rFonts w:hint="eastAsia"/>
        </w:rPr>
        <w:t>系统应实施日常维护。</w:t>
      </w:r>
    </w:p>
    <w:p w14:paraId="65D85140">
      <w:pPr>
        <w:pStyle w:val="164"/>
        <w:spacing w:line="360" w:lineRule="auto"/>
      </w:pPr>
      <w:r>
        <w:rPr>
          <w:rFonts w:hint="eastAsia"/>
        </w:rPr>
        <w:t>日常维护应至少包括运行环境维护、数据库维护、任务维护、接口维护、模型维护和账号维护。</w:t>
      </w:r>
    </w:p>
    <w:p w14:paraId="620EF99A">
      <w:pPr>
        <w:pStyle w:val="65"/>
        <w:spacing w:before="120" w:after="120" w:line="360" w:lineRule="auto"/>
      </w:pPr>
      <w:r>
        <w:rPr>
          <w:rFonts w:hint="eastAsia"/>
        </w:rPr>
        <w:t>环境维护要求</w:t>
      </w:r>
    </w:p>
    <w:p w14:paraId="20F953CE">
      <w:pPr>
        <w:pStyle w:val="164"/>
        <w:spacing w:line="360" w:lineRule="auto"/>
      </w:pPr>
      <w:r>
        <w:rPr>
          <w:rFonts w:hint="eastAsia"/>
        </w:rPr>
        <w:t>运维人员应定期检查服务器环境、网络环境、数据库环境和中间件环境。</w:t>
      </w:r>
    </w:p>
    <w:p w14:paraId="547F8549">
      <w:pPr>
        <w:pStyle w:val="164"/>
        <w:spacing w:line="360" w:lineRule="auto"/>
      </w:pPr>
      <w:r>
        <w:rPr>
          <w:rFonts w:hint="eastAsia"/>
        </w:rPr>
        <w:t>环境维护不得影响正式生产系统正常运行；确需影响生产的，应履行通知和审批程序。</w:t>
      </w:r>
    </w:p>
    <w:p w14:paraId="34A397BB">
      <w:pPr>
        <w:pStyle w:val="65"/>
        <w:spacing w:before="120" w:after="120" w:line="360" w:lineRule="auto"/>
      </w:pPr>
      <w:r>
        <w:rPr>
          <w:rFonts w:hint="eastAsia"/>
        </w:rPr>
        <w:t>任务维护要求</w:t>
      </w:r>
    </w:p>
    <w:p w14:paraId="4C832130">
      <w:pPr>
        <w:pStyle w:val="164"/>
        <w:spacing w:line="360" w:lineRule="auto"/>
      </w:pPr>
      <w:r>
        <w:rPr>
          <w:rFonts w:hint="eastAsia"/>
        </w:rPr>
        <w:t>对定时采集任务、同步任务、分析任务和报表任务，应实施任务状态检查和执行结果检查。</w:t>
      </w:r>
    </w:p>
    <w:p w14:paraId="6FC30CE4">
      <w:pPr>
        <w:pStyle w:val="164"/>
        <w:spacing w:line="360" w:lineRule="auto"/>
      </w:pPr>
      <w:r>
        <w:rPr>
          <w:rFonts w:hint="eastAsia"/>
        </w:rPr>
        <w:t>任务失败、重复执行、长时间挂起或者执行时长明显异常的，应及时处理。</w:t>
      </w:r>
    </w:p>
    <w:p w14:paraId="2EE3B79E">
      <w:pPr>
        <w:pStyle w:val="65"/>
        <w:spacing w:before="120" w:after="120" w:line="360" w:lineRule="auto"/>
      </w:pPr>
      <w:r>
        <w:rPr>
          <w:rFonts w:hint="eastAsia"/>
        </w:rPr>
        <w:t>账号维护要求</w:t>
      </w:r>
    </w:p>
    <w:p w14:paraId="5ABDD62B">
      <w:pPr>
        <w:pStyle w:val="164"/>
        <w:spacing w:line="360" w:lineRule="auto"/>
      </w:pPr>
      <w:r>
        <w:rPr>
          <w:rFonts w:hint="eastAsia"/>
        </w:rPr>
        <w:t>系统用户账号、服务账号和接口账号应定期核查。</w:t>
      </w:r>
    </w:p>
    <w:p w14:paraId="5FC374BA">
      <w:pPr>
        <w:pStyle w:val="164"/>
        <w:spacing w:line="360" w:lineRule="auto"/>
      </w:pPr>
      <w:r>
        <w:rPr>
          <w:rFonts w:hint="eastAsia"/>
        </w:rPr>
        <w:t>长期未使用账号、离岗人员账号和临时账号应按规定停用或者回收。</w:t>
      </w:r>
    </w:p>
    <w:p w14:paraId="4620AB9A">
      <w:pPr>
        <w:pStyle w:val="105"/>
        <w:spacing w:before="120" w:after="120" w:line="360" w:lineRule="auto"/>
      </w:pPr>
      <w:r>
        <w:rPr>
          <w:rFonts w:hint="eastAsia"/>
        </w:rPr>
        <w:t>故障管理要求</w:t>
      </w:r>
    </w:p>
    <w:p w14:paraId="0D9A5545">
      <w:pPr>
        <w:pStyle w:val="65"/>
        <w:spacing w:before="120" w:after="120" w:line="360" w:lineRule="auto"/>
      </w:pPr>
      <w:r>
        <w:rPr>
          <w:rFonts w:hint="eastAsia"/>
        </w:rPr>
        <w:t>一般要求</w:t>
      </w:r>
    </w:p>
    <w:p w14:paraId="662F5915">
      <w:pPr>
        <w:pStyle w:val="164"/>
        <w:spacing w:line="360" w:lineRule="auto"/>
      </w:pPr>
      <w:r>
        <w:rPr>
          <w:rFonts w:hint="eastAsia"/>
        </w:rPr>
        <w:t>系统应建立故障管理机制。</w:t>
      </w:r>
    </w:p>
    <w:p w14:paraId="69B82E16">
      <w:pPr>
        <w:pStyle w:val="164"/>
        <w:spacing w:line="360" w:lineRule="auto"/>
      </w:pPr>
      <w:r>
        <w:rPr>
          <w:rFonts w:hint="eastAsia"/>
        </w:rPr>
        <w:t>故障管理应包括故障发现、故障登记、故障分级、故障处置、恢复验证和复盘改进等内容。</w:t>
      </w:r>
    </w:p>
    <w:p w14:paraId="2786D919">
      <w:pPr>
        <w:pStyle w:val="164"/>
        <w:spacing w:line="360" w:lineRule="auto"/>
      </w:pPr>
      <w:r>
        <w:rPr>
          <w:rFonts w:hint="eastAsia"/>
        </w:rPr>
        <w:t>故障处置应坚持“先控影响、后查原因、再稳恢复”的原则。</w:t>
      </w:r>
    </w:p>
    <w:p w14:paraId="48DAF87E">
      <w:pPr>
        <w:pStyle w:val="164"/>
        <w:numPr>
          <w:ilvl w:val="0"/>
          <w:numId w:val="0"/>
        </w:numPr>
        <w:spacing w:line="360" w:lineRule="auto"/>
        <w:rPr>
          <w:rFonts w:hint="eastAsia"/>
        </w:rPr>
      </w:pPr>
    </w:p>
    <w:p w14:paraId="62EE5EA6">
      <w:pPr>
        <w:pStyle w:val="65"/>
        <w:spacing w:before="120" w:after="120" w:line="360" w:lineRule="auto"/>
      </w:pPr>
      <w:r>
        <w:rPr>
          <w:rFonts w:hint="eastAsia"/>
        </w:rPr>
        <w:t>故障分类</w:t>
      </w:r>
    </w:p>
    <w:p w14:paraId="5EA29E13">
      <w:pPr>
        <w:pStyle w:val="164"/>
        <w:spacing w:line="360" w:lineRule="auto"/>
      </w:pPr>
      <w:r>
        <w:rPr>
          <w:rFonts w:hint="eastAsia"/>
        </w:rPr>
        <w:t>故障宜分为一般故障、严重故障和紧急故障。</w:t>
      </w:r>
    </w:p>
    <w:p w14:paraId="03D374BB">
      <w:pPr>
        <w:pStyle w:val="164"/>
        <w:spacing w:line="360" w:lineRule="auto"/>
      </w:pPr>
      <w:r>
        <w:rPr>
          <w:rFonts w:hint="eastAsia"/>
        </w:rPr>
        <w:t>一般故障是指影响局部功能但不影响主要业务连续性的故障。</w:t>
      </w:r>
    </w:p>
    <w:p w14:paraId="3040FD36">
      <w:pPr>
        <w:pStyle w:val="164"/>
        <w:spacing w:line="360" w:lineRule="auto"/>
      </w:pPr>
      <w:r>
        <w:rPr>
          <w:rFonts w:hint="eastAsia"/>
        </w:rPr>
        <w:t>严重故障是指影响主要功能、关键任务或者核心用户使用的故障。</w:t>
      </w:r>
    </w:p>
    <w:p w14:paraId="2CB19ECD">
      <w:pPr>
        <w:pStyle w:val="164"/>
        <w:spacing w:line="360" w:lineRule="auto"/>
      </w:pPr>
      <w:r>
        <w:rPr>
          <w:rFonts w:hint="eastAsia"/>
        </w:rPr>
        <w:t>紧急故障是指造成系统整体中断、关键数据失效、重要结果失真或者重大安全风险的故障。</w:t>
      </w:r>
    </w:p>
    <w:p w14:paraId="0994CAB1">
      <w:pPr>
        <w:pStyle w:val="65"/>
        <w:spacing w:before="120" w:after="120" w:line="360" w:lineRule="auto"/>
      </w:pPr>
      <w:r>
        <w:rPr>
          <w:rFonts w:hint="eastAsia"/>
        </w:rPr>
        <w:t>故障发现与报告</w:t>
      </w:r>
    </w:p>
    <w:p w14:paraId="5EFA7CCB">
      <w:pPr>
        <w:pStyle w:val="164"/>
        <w:spacing w:line="360" w:lineRule="auto"/>
      </w:pPr>
      <w:r>
        <w:rPr>
          <w:rFonts w:hint="eastAsia"/>
        </w:rPr>
        <w:t>故障可通过自动监测、人工巡检、用户反馈、日志分析和专项检查等方式发现。</w:t>
      </w:r>
    </w:p>
    <w:p w14:paraId="6B30EF13">
      <w:pPr>
        <w:pStyle w:val="164"/>
        <w:spacing w:line="360" w:lineRule="auto"/>
      </w:pPr>
      <w:r>
        <w:rPr>
          <w:rFonts w:hint="eastAsia"/>
        </w:rPr>
        <w:t>发现故障后，应及时报告相关责任岗位和责任部门。</w:t>
      </w:r>
    </w:p>
    <w:p w14:paraId="62A8736B">
      <w:pPr>
        <w:pStyle w:val="164"/>
        <w:spacing w:line="360" w:lineRule="auto"/>
      </w:pPr>
      <w:r>
        <w:rPr>
          <w:rFonts w:hint="eastAsia"/>
        </w:rPr>
        <w:t>故障报告应至少包括故障时间、故障现象、影响范围、初步判断和已采取措施。</w:t>
      </w:r>
    </w:p>
    <w:p w14:paraId="20620749">
      <w:pPr>
        <w:pStyle w:val="105"/>
        <w:spacing w:before="120" w:after="120" w:line="360" w:lineRule="auto"/>
      </w:pPr>
      <w:r>
        <w:rPr>
          <w:rFonts w:hint="eastAsia"/>
        </w:rPr>
        <w:t>故障处置要求</w:t>
      </w:r>
    </w:p>
    <w:p w14:paraId="621E7177">
      <w:pPr>
        <w:pStyle w:val="65"/>
        <w:spacing w:before="120" w:after="120" w:line="360" w:lineRule="auto"/>
      </w:pPr>
      <w:r>
        <w:rPr>
          <w:rFonts w:hint="eastAsia"/>
        </w:rPr>
        <w:t>一般要求</w:t>
      </w:r>
    </w:p>
    <w:p w14:paraId="55888FF4">
      <w:pPr>
        <w:pStyle w:val="164"/>
        <w:spacing w:line="360" w:lineRule="auto"/>
      </w:pPr>
      <w:r>
        <w:rPr>
          <w:rFonts w:hint="eastAsia"/>
        </w:rPr>
        <w:t>故障处置前，应先识别影响范围和风险等级。</w:t>
      </w:r>
    </w:p>
    <w:p w14:paraId="7B4C985B">
      <w:pPr>
        <w:pStyle w:val="164"/>
        <w:spacing w:line="360" w:lineRule="auto"/>
      </w:pPr>
      <w:r>
        <w:rPr>
          <w:rFonts w:hint="eastAsia"/>
        </w:rPr>
        <w:t>故障处置过程中，应避免因处置操作扩大影响范围。</w:t>
      </w:r>
    </w:p>
    <w:p w14:paraId="282C8F4D">
      <w:pPr>
        <w:pStyle w:val="164"/>
        <w:spacing w:line="360" w:lineRule="auto"/>
      </w:pPr>
      <w:r>
        <w:rPr>
          <w:rFonts w:hint="eastAsia"/>
        </w:rPr>
        <w:t>未确认故障原因和恢复条件前，不得盲目重启、重跑任务或者替换模型。</w:t>
      </w:r>
    </w:p>
    <w:p w14:paraId="2EF68D07">
      <w:pPr>
        <w:pStyle w:val="65"/>
        <w:spacing w:before="120" w:after="120" w:line="360" w:lineRule="auto"/>
      </w:pPr>
      <w:r>
        <w:rPr>
          <w:rFonts w:hint="eastAsia"/>
        </w:rPr>
        <w:t>处置程序</w:t>
      </w:r>
    </w:p>
    <w:p w14:paraId="1436CF9A">
      <w:pPr>
        <w:pStyle w:val="164"/>
        <w:spacing w:line="360" w:lineRule="auto"/>
      </w:pPr>
      <w:r>
        <w:rPr>
          <w:rFonts w:hint="eastAsia"/>
        </w:rPr>
        <w:t>故障处置宜按下列程序实施：</w:t>
      </w:r>
    </w:p>
    <w:p w14:paraId="52A9DE5B">
      <w:pPr>
        <w:pStyle w:val="56"/>
        <w:spacing w:line="360" w:lineRule="auto"/>
        <w:ind w:firstLine="420"/>
      </w:pPr>
      <w:r>
        <w:rPr>
          <w:rFonts w:hint="eastAsia"/>
        </w:rPr>
        <w:t>a）故障发现；</w:t>
      </w:r>
    </w:p>
    <w:p w14:paraId="59C41FAD">
      <w:pPr>
        <w:pStyle w:val="56"/>
        <w:spacing w:line="360" w:lineRule="auto"/>
        <w:ind w:firstLine="420"/>
      </w:pPr>
      <w:r>
        <w:rPr>
          <w:rFonts w:hint="eastAsia"/>
        </w:rPr>
        <w:t>b）故障确认；</w:t>
      </w:r>
    </w:p>
    <w:p w14:paraId="540008C9">
      <w:pPr>
        <w:pStyle w:val="56"/>
        <w:spacing w:line="360" w:lineRule="auto"/>
        <w:ind w:firstLine="420"/>
      </w:pPr>
      <w:r>
        <w:rPr>
          <w:rFonts w:hint="eastAsia"/>
        </w:rPr>
        <w:t>c）影响评估；</w:t>
      </w:r>
    </w:p>
    <w:p w14:paraId="205DF82A">
      <w:pPr>
        <w:pStyle w:val="56"/>
        <w:spacing w:line="360" w:lineRule="auto"/>
        <w:ind w:firstLine="420"/>
      </w:pPr>
      <w:r>
        <w:rPr>
          <w:rFonts w:hint="eastAsia"/>
        </w:rPr>
        <w:t>d）临时控制；</w:t>
      </w:r>
    </w:p>
    <w:p w14:paraId="5006215F">
      <w:pPr>
        <w:pStyle w:val="56"/>
        <w:spacing w:line="360" w:lineRule="auto"/>
        <w:ind w:firstLine="420"/>
      </w:pPr>
      <w:r>
        <w:rPr>
          <w:rFonts w:hint="eastAsia"/>
        </w:rPr>
        <w:t>e）原因分析；</w:t>
      </w:r>
    </w:p>
    <w:p w14:paraId="163B299B">
      <w:pPr>
        <w:pStyle w:val="56"/>
        <w:spacing w:line="360" w:lineRule="auto"/>
        <w:ind w:firstLine="420"/>
      </w:pPr>
      <w:r>
        <w:rPr>
          <w:rFonts w:hint="eastAsia"/>
        </w:rPr>
        <w:t>f）修复处理；</w:t>
      </w:r>
    </w:p>
    <w:p w14:paraId="76B7EEF4">
      <w:pPr>
        <w:pStyle w:val="56"/>
        <w:spacing w:line="360" w:lineRule="auto"/>
        <w:ind w:firstLine="420"/>
      </w:pPr>
      <w:r>
        <w:rPr>
          <w:rFonts w:hint="eastAsia"/>
        </w:rPr>
        <w:t>g）恢复验证；</w:t>
      </w:r>
    </w:p>
    <w:p w14:paraId="09570A12">
      <w:pPr>
        <w:pStyle w:val="56"/>
        <w:spacing w:line="360" w:lineRule="auto"/>
        <w:ind w:firstLine="420"/>
      </w:pPr>
      <w:r>
        <w:rPr>
          <w:rFonts w:hint="eastAsia"/>
        </w:rPr>
        <w:t>h）结果确认；</w:t>
      </w:r>
    </w:p>
    <w:p w14:paraId="0D5C7497">
      <w:pPr>
        <w:pStyle w:val="56"/>
        <w:spacing w:line="360" w:lineRule="auto"/>
        <w:ind w:firstLine="420"/>
      </w:pPr>
      <w:r>
        <w:rPr>
          <w:rFonts w:hint="eastAsia"/>
        </w:rPr>
        <w:t>i）记录归档。</w:t>
      </w:r>
    </w:p>
    <w:p w14:paraId="02D86D14">
      <w:pPr>
        <w:pStyle w:val="164"/>
        <w:spacing w:line="360" w:lineRule="auto"/>
      </w:pPr>
      <w:r>
        <w:rPr>
          <w:rFonts w:hint="eastAsia"/>
        </w:rPr>
        <w:t>对数据错误、模型异常或者结果异常导致的故障，应同步评估历史结果影响范围。</w:t>
      </w:r>
    </w:p>
    <w:p w14:paraId="1AAFB536">
      <w:pPr>
        <w:pStyle w:val="65"/>
        <w:spacing w:before="120" w:after="120" w:line="360" w:lineRule="auto"/>
      </w:pPr>
      <w:r>
        <w:rPr>
          <w:rFonts w:hint="eastAsia"/>
        </w:rPr>
        <w:t>常见故障处置要求</w:t>
      </w:r>
    </w:p>
    <w:p w14:paraId="4030BC90">
      <w:pPr>
        <w:pStyle w:val="164"/>
        <w:spacing w:line="360" w:lineRule="auto"/>
      </w:pPr>
      <w:r>
        <w:rPr>
          <w:rFonts w:hint="eastAsia"/>
        </w:rPr>
        <w:t>接口中断故障，应优先排查接口服务状态、认证状态、网络状态和字段变更情况。</w:t>
      </w:r>
    </w:p>
    <w:p w14:paraId="36F5877B">
      <w:pPr>
        <w:pStyle w:val="164"/>
        <w:spacing w:line="360" w:lineRule="auto"/>
      </w:pPr>
      <w:r>
        <w:rPr>
          <w:rFonts w:hint="eastAsia"/>
        </w:rPr>
        <w:t>数据同步故障，应优先排查数据源状态、任务调度状态、字段映射规则和时间窗口设置。</w:t>
      </w:r>
    </w:p>
    <w:p w14:paraId="3CA6241D">
      <w:pPr>
        <w:pStyle w:val="164"/>
        <w:spacing w:line="360" w:lineRule="auto"/>
      </w:pPr>
      <w:r>
        <w:rPr>
          <w:rFonts w:hint="eastAsia"/>
        </w:rPr>
        <w:t>模型运行故障，应优先排查输入数据状态、模型配置状态、资源占用状态和版本状态。</w:t>
      </w:r>
    </w:p>
    <w:p w14:paraId="20316988">
      <w:pPr>
        <w:pStyle w:val="164"/>
        <w:spacing w:line="360" w:lineRule="auto"/>
      </w:pPr>
      <w:r>
        <w:rPr>
          <w:rFonts w:hint="eastAsia"/>
        </w:rPr>
        <w:t>结果异常故障，应优先排查数据口径变化、模型参数变化、规则阈值变化和异常样本输入情况。</w:t>
      </w:r>
    </w:p>
    <w:p w14:paraId="0AF996AE">
      <w:pPr>
        <w:pStyle w:val="105"/>
        <w:spacing w:before="120" w:after="120" w:line="360" w:lineRule="auto"/>
      </w:pPr>
      <w:r>
        <w:rPr>
          <w:rFonts w:hint="eastAsia"/>
        </w:rPr>
        <w:t>故障恢复与验证要求</w:t>
      </w:r>
    </w:p>
    <w:p w14:paraId="7C04B086">
      <w:pPr>
        <w:pStyle w:val="65"/>
        <w:spacing w:before="120" w:after="120" w:line="360" w:lineRule="auto"/>
      </w:pPr>
      <w:r>
        <w:rPr>
          <w:rFonts w:hint="eastAsia"/>
        </w:rPr>
        <w:t>一般要求</w:t>
      </w:r>
    </w:p>
    <w:p w14:paraId="026D7F03">
      <w:pPr>
        <w:pStyle w:val="164"/>
        <w:spacing w:line="360" w:lineRule="auto"/>
      </w:pPr>
      <w:r>
        <w:rPr>
          <w:rFonts w:hint="eastAsia"/>
        </w:rPr>
        <w:t>故障修复后，应进行恢复验证。</w:t>
      </w:r>
    </w:p>
    <w:p w14:paraId="60B98353">
      <w:pPr>
        <w:pStyle w:val="164"/>
        <w:spacing w:line="360" w:lineRule="auto"/>
      </w:pPr>
      <w:r>
        <w:rPr>
          <w:rFonts w:hint="eastAsia"/>
        </w:rPr>
        <w:t>恢复验证应覆盖功能恢复、数据恢复、接口恢复、模型恢复和结果恢复等方面。</w:t>
      </w:r>
    </w:p>
    <w:p w14:paraId="5B93DF8B">
      <w:pPr>
        <w:pStyle w:val="164"/>
        <w:spacing w:line="360" w:lineRule="auto"/>
      </w:pPr>
      <w:r>
        <w:rPr>
          <w:rFonts w:hint="eastAsia"/>
        </w:rPr>
        <w:t>未完成恢复验证的，不得视为故障处置完成。</w:t>
      </w:r>
    </w:p>
    <w:p w14:paraId="6C48667F">
      <w:pPr>
        <w:pStyle w:val="65"/>
        <w:spacing w:before="120" w:after="120" w:line="360" w:lineRule="auto"/>
      </w:pPr>
      <w:r>
        <w:rPr>
          <w:rFonts w:hint="eastAsia"/>
        </w:rPr>
        <w:t>验证内容</w:t>
      </w:r>
    </w:p>
    <w:p w14:paraId="448F4D57">
      <w:pPr>
        <w:pStyle w:val="164"/>
        <w:spacing w:line="360" w:lineRule="auto"/>
      </w:pPr>
      <w:r>
        <w:rPr>
          <w:rFonts w:hint="eastAsia"/>
        </w:rPr>
        <w:t>恢复验证宜至少包括下列内容：</w:t>
      </w:r>
    </w:p>
    <w:p w14:paraId="2A6FD946">
      <w:pPr>
        <w:pStyle w:val="56"/>
        <w:spacing w:line="360" w:lineRule="auto"/>
        <w:ind w:firstLine="420"/>
      </w:pPr>
      <w:r>
        <w:rPr>
          <w:rFonts w:hint="eastAsia"/>
        </w:rPr>
        <w:t>a）核心功能是否恢复；</w:t>
      </w:r>
    </w:p>
    <w:p w14:paraId="1FEF0C5A">
      <w:pPr>
        <w:pStyle w:val="56"/>
        <w:spacing w:line="360" w:lineRule="auto"/>
        <w:ind w:firstLine="420"/>
      </w:pPr>
      <w:r>
        <w:rPr>
          <w:rFonts w:hint="eastAsia"/>
        </w:rPr>
        <w:t>b）关键接口是否恢复；</w:t>
      </w:r>
    </w:p>
    <w:p w14:paraId="30B99BD5">
      <w:pPr>
        <w:pStyle w:val="56"/>
        <w:spacing w:line="360" w:lineRule="auto"/>
        <w:ind w:firstLine="420"/>
      </w:pPr>
      <w:r>
        <w:rPr>
          <w:rFonts w:hint="eastAsia"/>
        </w:rPr>
        <w:t>c）关键数据任务是否恢复；</w:t>
      </w:r>
    </w:p>
    <w:p w14:paraId="5B9C0AA0">
      <w:pPr>
        <w:pStyle w:val="56"/>
        <w:spacing w:line="360" w:lineRule="auto"/>
        <w:ind w:firstLine="420"/>
      </w:pPr>
      <w:r>
        <w:rPr>
          <w:rFonts w:hint="eastAsia"/>
        </w:rPr>
        <w:t>d）关键模型输出是否恢复正常；</w:t>
      </w:r>
    </w:p>
    <w:p w14:paraId="0C508A93">
      <w:pPr>
        <w:pStyle w:val="56"/>
        <w:spacing w:line="360" w:lineRule="auto"/>
        <w:ind w:firstLine="420"/>
      </w:pPr>
      <w:r>
        <w:rPr>
          <w:rFonts w:hint="eastAsia"/>
        </w:rPr>
        <w:t>e）告警是否解除；</w:t>
      </w:r>
    </w:p>
    <w:p w14:paraId="08E0D2D7">
      <w:pPr>
        <w:pStyle w:val="56"/>
        <w:spacing w:line="360" w:lineRule="auto"/>
        <w:ind w:firstLine="420"/>
      </w:pPr>
      <w:r>
        <w:rPr>
          <w:rFonts w:hint="eastAsia"/>
        </w:rPr>
        <w:t>f）运行日志是否恢复正常；</w:t>
      </w:r>
    </w:p>
    <w:p w14:paraId="609C1BAD">
      <w:pPr>
        <w:pStyle w:val="56"/>
        <w:spacing w:line="360" w:lineRule="auto"/>
        <w:ind w:firstLine="420"/>
      </w:pPr>
      <w:r>
        <w:rPr>
          <w:rFonts w:hint="eastAsia"/>
        </w:rPr>
        <w:t>g）历史任务补偿是否完成。</w:t>
      </w:r>
    </w:p>
    <w:p w14:paraId="7C434E86">
      <w:pPr>
        <w:pStyle w:val="164"/>
        <w:spacing w:line="360" w:lineRule="auto"/>
      </w:pPr>
      <w:r>
        <w:rPr>
          <w:rFonts w:hint="eastAsia"/>
        </w:rPr>
        <w:t>对影响历史结果的故障，应补充开展结果复核和必要纠正。</w:t>
      </w:r>
    </w:p>
    <w:p w14:paraId="1424A7D8">
      <w:pPr>
        <w:pStyle w:val="105"/>
        <w:spacing w:before="120" w:after="120" w:line="360" w:lineRule="auto"/>
      </w:pPr>
      <w:r>
        <w:rPr>
          <w:rFonts w:hint="eastAsia"/>
        </w:rPr>
        <w:t>用户支持要求</w:t>
      </w:r>
    </w:p>
    <w:p w14:paraId="52B3109C">
      <w:pPr>
        <w:pStyle w:val="65"/>
        <w:spacing w:before="120" w:after="120" w:line="360" w:lineRule="auto"/>
      </w:pPr>
      <w:r>
        <w:rPr>
          <w:rFonts w:hint="eastAsia"/>
        </w:rPr>
        <w:t>一般要求</w:t>
      </w:r>
    </w:p>
    <w:p w14:paraId="696CB3D6">
      <w:pPr>
        <w:pStyle w:val="164"/>
        <w:spacing w:line="360" w:lineRule="auto"/>
      </w:pPr>
      <w:r>
        <w:rPr>
          <w:rFonts w:hint="eastAsia"/>
        </w:rPr>
        <w:t>系统应建立用户支持机制。</w:t>
      </w:r>
    </w:p>
    <w:p w14:paraId="3D793A64">
      <w:pPr>
        <w:pStyle w:val="164"/>
        <w:spacing w:line="360" w:lineRule="auto"/>
      </w:pPr>
      <w:r>
        <w:rPr>
          <w:rFonts w:hint="eastAsia"/>
        </w:rPr>
        <w:t>用户支持应包括问题受理、使用指导、结果解释、权限申请支持和故障反馈支持。</w:t>
      </w:r>
    </w:p>
    <w:p w14:paraId="1DC9C441">
      <w:pPr>
        <w:pStyle w:val="164"/>
        <w:spacing w:line="360" w:lineRule="auto"/>
      </w:pPr>
      <w:r>
        <w:rPr>
          <w:rFonts w:hint="eastAsia"/>
        </w:rPr>
        <w:t>对关键用户、核心业务岗位和首次使用部门，应加强上线初期支持。</w:t>
      </w:r>
    </w:p>
    <w:p w14:paraId="6043C52D">
      <w:pPr>
        <w:pStyle w:val="65"/>
        <w:spacing w:before="120" w:after="120" w:line="360" w:lineRule="auto"/>
      </w:pPr>
      <w:r>
        <w:rPr>
          <w:rFonts w:hint="eastAsia"/>
        </w:rPr>
        <w:t>反馈处理要求</w:t>
      </w:r>
    </w:p>
    <w:p w14:paraId="73CD5812">
      <w:pPr>
        <w:pStyle w:val="164"/>
        <w:spacing w:line="360" w:lineRule="auto"/>
      </w:pPr>
      <w:r>
        <w:rPr>
          <w:rFonts w:hint="eastAsia"/>
        </w:rPr>
        <w:t>用户反馈的问题应分类登记。</w:t>
      </w:r>
    </w:p>
    <w:p w14:paraId="709262C1">
      <w:pPr>
        <w:pStyle w:val="164"/>
        <w:spacing w:line="360" w:lineRule="auto"/>
      </w:pPr>
      <w:r>
        <w:rPr>
          <w:rFonts w:hint="eastAsia"/>
        </w:rPr>
        <w:t>对涉及结果错误、权限异常、系统中断和关键功能失效的反馈，应优先处理。</w:t>
      </w:r>
    </w:p>
    <w:p w14:paraId="426028BB">
      <w:pPr>
        <w:pStyle w:val="164"/>
        <w:spacing w:line="360" w:lineRule="auto"/>
      </w:pPr>
      <w:r>
        <w:rPr>
          <w:rFonts w:hint="eastAsia"/>
        </w:rPr>
        <w:t>用户反馈处理结果应及时反馈相关用户。</w:t>
      </w:r>
    </w:p>
    <w:p w14:paraId="7E91F82C">
      <w:pPr>
        <w:pStyle w:val="105"/>
        <w:spacing w:before="120" w:after="120" w:line="360" w:lineRule="auto"/>
      </w:pPr>
      <w:r>
        <w:rPr>
          <w:rFonts w:hint="eastAsia"/>
        </w:rPr>
        <w:t>运维与故障处置要点</w:t>
      </w:r>
    </w:p>
    <w:p w14:paraId="08759C2B">
      <w:pPr>
        <w:pStyle w:val="56"/>
        <w:spacing w:line="360" w:lineRule="auto"/>
        <w:ind w:firstLine="420"/>
      </w:pPr>
      <w:r>
        <w:rPr>
          <w:rFonts w:hint="eastAsia"/>
        </w:rPr>
        <w:t>运行维护与故障处置的主要控制内容见表4。表4给出了运行维护与故障处置的主要控制内容及控制要点。</w:t>
      </w:r>
    </w:p>
    <w:p w14:paraId="3F1630C4">
      <w:pPr>
        <w:pStyle w:val="112"/>
        <w:spacing w:before="120" w:after="120" w:line="360" w:lineRule="auto"/>
      </w:pPr>
      <w:r>
        <w:rPr>
          <w:rFonts w:hint="eastAsia"/>
        </w:rPr>
        <w:t>运行维护与故障处置要点表</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833"/>
        <w:gridCol w:w="4389"/>
        <w:gridCol w:w="3112"/>
      </w:tblGrid>
      <w:tr w14:paraId="5AA8354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833" w:type="dxa"/>
            <w:tcBorders>
              <w:top w:val="single" w:color="auto" w:sz="8" w:space="0"/>
              <w:bottom w:val="single" w:color="auto" w:sz="8" w:space="0"/>
            </w:tcBorders>
          </w:tcPr>
          <w:p w14:paraId="23C7B627">
            <w:pPr>
              <w:pStyle w:val="178"/>
            </w:pPr>
            <w:r>
              <w:rPr>
                <w:rFonts w:hint="eastAsia"/>
              </w:rPr>
              <w:t>工作类别</w:t>
            </w:r>
          </w:p>
        </w:tc>
        <w:tc>
          <w:tcPr>
            <w:tcW w:w="4389" w:type="dxa"/>
            <w:tcBorders>
              <w:top w:val="single" w:color="auto" w:sz="8" w:space="0"/>
              <w:bottom w:val="single" w:color="auto" w:sz="8" w:space="0"/>
            </w:tcBorders>
          </w:tcPr>
          <w:p w14:paraId="3FA3ABE5">
            <w:pPr>
              <w:pStyle w:val="178"/>
            </w:pPr>
            <w:r>
              <w:rPr>
                <w:rFonts w:hint="eastAsia"/>
              </w:rPr>
              <w:t>主要内容</w:t>
            </w:r>
          </w:p>
        </w:tc>
        <w:tc>
          <w:tcPr>
            <w:tcW w:w="3112" w:type="dxa"/>
            <w:tcBorders>
              <w:top w:val="single" w:color="auto" w:sz="8" w:space="0"/>
              <w:bottom w:val="single" w:color="auto" w:sz="8" w:space="0"/>
            </w:tcBorders>
          </w:tcPr>
          <w:p w14:paraId="0506383D">
            <w:pPr>
              <w:pStyle w:val="178"/>
            </w:pPr>
            <w:r>
              <w:rPr>
                <w:rFonts w:hint="eastAsia"/>
              </w:rPr>
              <w:t>控制要点</w:t>
            </w:r>
          </w:p>
        </w:tc>
      </w:tr>
      <w:tr w14:paraId="4DCCF77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33" w:type="dxa"/>
            <w:tcBorders>
              <w:top w:val="single" w:color="auto" w:sz="8" w:space="0"/>
            </w:tcBorders>
          </w:tcPr>
          <w:p w14:paraId="020FE831">
            <w:pPr>
              <w:pStyle w:val="178"/>
            </w:pPr>
            <w:r>
              <w:rPr>
                <w:rFonts w:hint="eastAsia"/>
              </w:rPr>
              <w:t>运行监测</w:t>
            </w:r>
          </w:p>
        </w:tc>
        <w:tc>
          <w:tcPr>
            <w:tcW w:w="4389" w:type="dxa"/>
            <w:tcBorders>
              <w:top w:val="single" w:color="auto" w:sz="8" w:space="0"/>
            </w:tcBorders>
          </w:tcPr>
          <w:p w14:paraId="374B50A8">
            <w:pPr>
              <w:pStyle w:val="178"/>
            </w:pPr>
            <w:r>
              <w:rPr>
                <w:rFonts w:hint="eastAsia"/>
              </w:rPr>
              <w:t>资源、服务、接口、数据、模型</w:t>
            </w:r>
          </w:p>
        </w:tc>
        <w:tc>
          <w:tcPr>
            <w:tcW w:w="3112" w:type="dxa"/>
            <w:tcBorders>
              <w:top w:val="single" w:color="auto" w:sz="8" w:space="0"/>
            </w:tcBorders>
          </w:tcPr>
          <w:p w14:paraId="5F6200FE">
            <w:pPr>
              <w:pStyle w:val="178"/>
            </w:pPr>
            <w:r>
              <w:rPr>
                <w:rFonts w:hint="eastAsia"/>
              </w:rPr>
              <w:t>关键系统应持续监测</w:t>
            </w:r>
          </w:p>
        </w:tc>
      </w:tr>
      <w:tr w14:paraId="3CC6DB0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33" w:type="dxa"/>
          </w:tcPr>
          <w:p w14:paraId="4B3DD530">
            <w:pPr>
              <w:pStyle w:val="178"/>
            </w:pPr>
            <w:r>
              <w:rPr>
                <w:rFonts w:hint="eastAsia"/>
              </w:rPr>
              <w:t>巡检管理</w:t>
            </w:r>
          </w:p>
        </w:tc>
        <w:tc>
          <w:tcPr>
            <w:tcW w:w="4389" w:type="dxa"/>
          </w:tcPr>
          <w:p w14:paraId="1E28672F">
            <w:pPr>
              <w:pStyle w:val="178"/>
            </w:pPr>
            <w:r>
              <w:rPr>
                <w:rFonts w:hint="eastAsia"/>
              </w:rPr>
              <w:t>日常巡检、专项巡检</w:t>
            </w:r>
          </w:p>
        </w:tc>
        <w:tc>
          <w:tcPr>
            <w:tcW w:w="3112" w:type="dxa"/>
          </w:tcPr>
          <w:p w14:paraId="0F0B3A43">
            <w:pPr>
              <w:pStyle w:val="178"/>
            </w:pPr>
            <w:r>
              <w:rPr>
                <w:rFonts w:hint="eastAsia"/>
              </w:rPr>
              <w:t>发现异常应及时闭环</w:t>
            </w:r>
          </w:p>
        </w:tc>
      </w:tr>
      <w:tr w14:paraId="191F40A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33" w:type="dxa"/>
          </w:tcPr>
          <w:p w14:paraId="33CE8333">
            <w:pPr>
              <w:pStyle w:val="178"/>
            </w:pPr>
            <w:r>
              <w:rPr>
                <w:rFonts w:hint="eastAsia"/>
              </w:rPr>
              <w:t>告警管理</w:t>
            </w:r>
          </w:p>
        </w:tc>
        <w:tc>
          <w:tcPr>
            <w:tcW w:w="4389" w:type="dxa"/>
          </w:tcPr>
          <w:p w14:paraId="148C1093">
            <w:pPr>
              <w:pStyle w:val="178"/>
            </w:pPr>
            <w:r>
              <w:rPr>
                <w:rFonts w:hint="eastAsia"/>
              </w:rPr>
              <w:t>告警分级、响应、处置</w:t>
            </w:r>
          </w:p>
        </w:tc>
        <w:tc>
          <w:tcPr>
            <w:tcW w:w="3112" w:type="dxa"/>
          </w:tcPr>
          <w:p w14:paraId="5C649119">
            <w:pPr>
              <w:pStyle w:val="178"/>
            </w:pPr>
            <w:r>
              <w:rPr>
                <w:rFonts w:hint="eastAsia"/>
              </w:rPr>
              <w:t>告警不得只关不查</w:t>
            </w:r>
          </w:p>
        </w:tc>
      </w:tr>
      <w:tr w14:paraId="3B83748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33" w:type="dxa"/>
          </w:tcPr>
          <w:p w14:paraId="5F010975">
            <w:pPr>
              <w:pStyle w:val="178"/>
            </w:pPr>
            <w:r>
              <w:rPr>
                <w:rFonts w:hint="eastAsia"/>
              </w:rPr>
              <w:t>日常维护</w:t>
            </w:r>
          </w:p>
        </w:tc>
        <w:tc>
          <w:tcPr>
            <w:tcW w:w="4389" w:type="dxa"/>
          </w:tcPr>
          <w:p w14:paraId="45D4BAD3">
            <w:pPr>
              <w:pStyle w:val="178"/>
            </w:pPr>
            <w:r>
              <w:rPr>
                <w:rFonts w:hint="eastAsia"/>
              </w:rPr>
              <w:t>环境、任务、接口、账号维护</w:t>
            </w:r>
          </w:p>
        </w:tc>
        <w:tc>
          <w:tcPr>
            <w:tcW w:w="3112" w:type="dxa"/>
          </w:tcPr>
          <w:p w14:paraId="0D100B05">
            <w:pPr>
              <w:pStyle w:val="178"/>
            </w:pPr>
            <w:r>
              <w:rPr>
                <w:rFonts w:hint="eastAsia"/>
              </w:rPr>
              <w:t>不得无计划随意操作生产环境</w:t>
            </w:r>
          </w:p>
        </w:tc>
      </w:tr>
      <w:tr w14:paraId="575A07F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33" w:type="dxa"/>
          </w:tcPr>
          <w:p w14:paraId="3D1AB50A">
            <w:pPr>
              <w:pStyle w:val="178"/>
            </w:pPr>
            <w:r>
              <w:rPr>
                <w:rFonts w:hint="eastAsia"/>
              </w:rPr>
              <w:t>故障管理</w:t>
            </w:r>
          </w:p>
        </w:tc>
        <w:tc>
          <w:tcPr>
            <w:tcW w:w="4389" w:type="dxa"/>
          </w:tcPr>
          <w:p w14:paraId="44A0117B">
            <w:pPr>
              <w:pStyle w:val="178"/>
            </w:pPr>
            <w:r>
              <w:rPr>
                <w:rFonts w:hint="eastAsia"/>
              </w:rPr>
              <w:t>发现、分级、处置、验证</w:t>
            </w:r>
          </w:p>
        </w:tc>
        <w:tc>
          <w:tcPr>
            <w:tcW w:w="3112" w:type="dxa"/>
          </w:tcPr>
          <w:p w14:paraId="4BCB7526">
            <w:pPr>
              <w:pStyle w:val="178"/>
            </w:pPr>
            <w:r>
              <w:rPr>
                <w:rFonts w:hint="eastAsia"/>
              </w:rPr>
              <w:t>先控影响，再查原因</w:t>
            </w:r>
          </w:p>
        </w:tc>
      </w:tr>
      <w:tr w14:paraId="701ADB8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33" w:type="dxa"/>
          </w:tcPr>
          <w:p w14:paraId="33F1AFA2">
            <w:pPr>
              <w:pStyle w:val="178"/>
            </w:pPr>
            <w:r>
              <w:rPr>
                <w:rFonts w:hint="eastAsia"/>
              </w:rPr>
              <w:t>恢复验证</w:t>
            </w:r>
          </w:p>
        </w:tc>
        <w:tc>
          <w:tcPr>
            <w:tcW w:w="4389" w:type="dxa"/>
          </w:tcPr>
          <w:p w14:paraId="59EBA634">
            <w:pPr>
              <w:pStyle w:val="178"/>
            </w:pPr>
            <w:r>
              <w:rPr>
                <w:rFonts w:hint="eastAsia"/>
              </w:rPr>
              <w:t>功能、数据、接口、结果恢复</w:t>
            </w:r>
          </w:p>
        </w:tc>
        <w:tc>
          <w:tcPr>
            <w:tcW w:w="3112" w:type="dxa"/>
          </w:tcPr>
          <w:p w14:paraId="4053F640">
            <w:pPr>
              <w:pStyle w:val="178"/>
            </w:pPr>
            <w:r>
              <w:rPr>
                <w:rFonts w:hint="eastAsia"/>
              </w:rPr>
              <w:t>未验证不得算恢复完成</w:t>
            </w:r>
          </w:p>
        </w:tc>
      </w:tr>
      <w:tr w14:paraId="523548B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33" w:type="dxa"/>
          </w:tcPr>
          <w:p w14:paraId="5164A18F">
            <w:pPr>
              <w:pStyle w:val="178"/>
            </w:pPr>
            <w:r>
              <w:rPr>
                <w:rFonts w:hint="eastAsia"/>
              </w:rPr>
              <w:t>用户支持</w:t>
            </w:r>
          </w:p>
        </w:tc>
        <w:tc>
          <w:tcPr>
            <w:tcW w:w="4389" w:type="dxa"/>
          </w:tcPr>
          <w:p w14:paraId="1C96CAC9">
            <w:pPr>
              <w:pStyle w:val="178"/>
            </w:pPr>
            <w:r>
              <w:rPr>
                <w:rFonts w:hint="eastAsia"/>
              </w:rPr>
              <w:t>问题受理、培训、反馈</w:t>
            </w:r>
          </w:p>
        </w:tc>
        <w:tc>
          <w:tcPr>
            <w:tcW w:w="3112" w:type="dxa"/>
          </w:tcPr>
          <w:p w14:paraId="5FEE40B5">
            <w:pPr>
              <w:pStyle w:val="178"/>
            </w:pPr>
            <w:r>
              <w:rPr>
                <w:rFonts w:hint="eastAsia"/>
              </w:rPr>
              <w:t>关键用户问题应优先处理</w:t>
            </w:r>
          </w:p>
        </w:tc>
      </w:tr>
    </w:tbl>
    <w:p w14:paraId="254E5A86">
      <w:pPr>
        <w:pStyle w:val="105"/>
        <w:spacing w:before="120" w:after="120" w:line="360" w:lineRule="auto"/>
      </w:pPr>
      <w:r>
        <w:rPr>
          <w:rFonts w:hint="eastAsia"/>
        </w:rPr>
        <w:t>禁止性要求</w:t>
      </w:r>
    </w:p>
    <w:p w14:paraId="1E5FAE29">
      <w:pPr>
        <w:pStyle w:val="165"/>
        <w:spacing w:line="360" w:lineRule="auto"/>
      </w:pPr>
      <w:r>
        <w:rPr>
          <w:rFonts w:hint="eastAsia"/>
        </w:rPr>
        <w:t>不得系统上线后长期无人监测、无人巡检和无人维护。</w:t>
      </w:r>
    </w:p>
    <w:p w14:paraId="0D8A6DD0">
      <w:pPr>
        <w:pStyle w:val="165"/>
        <w:spacing w:line="360" w:lineRule="auto"/>
      </w:pPr>
      <w:r>
        <w:rPr>
          <w:rFonts w:hint="eastAsia"/>
        </w:rPr>
        <w:t>不得对紧急告警和严重故障仅作表面恢复而不查明根因。</w:t>
      </w:r>
    </w:p>
    <w:p w14:paraId="2693EE89">
      <w:pPr>
        <w:pStyle w:val="165"/>
        <w:spacing w:line="360" w:lineRule="auto"/>
      </w:pPr>
      <w:r>
        <w:rPr>
          <w:rFonts w:hint="eastAsia"/>
        </w:rPr>
        <w:t>不得在未验证恢复效果的情况下认定系统已恢复正常。</w:t>
      </w:r>
    </w:p>
    <w:p w14:paraId="7C193DC4">
      <w:pPr>
        <w:pStyle w:val="165"/>
        <w:spacing w:line="360" w:lineRule="auto"/>
      </w:pPr>
      <w:r>
        <w:rPr>
          <w:rFonts w:hint="eastAsia"/>
        </w:rPr>
        <w:t>不得对用户反映的结果异常长期不响应、不解释和不处理。</w:t>
      </w:r>
    </w:p>
    <w:p w14:paraId="5655880B">
      <w:pPr>
        <w:pStyle w:val="165"/>
        <w:spacing w:line="360" w:lineRule="auto"/>
      </w:pPr>
      <w:r>
        <w:rPr>
          <w:rFonts w:hint="eastAsia"/>
        </w:rPr>
        <w:t>不得以频繁重启、频繁清库、频繁手工补数替代规范运维和根因整改。</w:t>
      </w:r>
    </w:p>
    <w:p w14:paraId="4278E128">
      <w:pPr>
        <w:pStyle w:val="104"/>
        <w:spacing w:before="240" w:after="240" w:line="360" w:lineRule="auto"/>
      </w:pPr>
      <w:bookmarkStart w:id="56" w:name="_Toc228604504"/>
      <w:r>
        <w:rPr>
          <w:rFonts w:hint="eastAsia"/>
        </w:rPr>
        <w:t>安全、变更与资料管理</w:t>
      </w:r>
      <w:bookmarkEnd w:id="56"/>
    </w:p>
    <w:p w14:paraId="00A0A2F7">
      <w:pPr>
        <w:pStyle w:val="105"/>
        <w:spacing w:before="120" w:after="120" w:line="360" w:lineRule="auto"/>
      </w:pPr>
      <w:r>
        <w:rPr>
          <w:rFonts w:hint="eastAsia"/>
        </w:rPr>
        <w:t>一般要求</w:t>
      </w:r>
    </w:p>
    <w:p w14:paraId="506C36E9">
      <w:pPr>
        <w:pStyle w:val="165"/>
        <w:spacing w:line="360" w:lineRule="auto"/>
      </w:pPr>
      <w:r>
        <w:rPr>
          <w:rFonts w:hint="eastAsia"/>
        </w:rPr>
        <w:t>中小企业人工智能数据分析系统应建立安全管理、变更管理和资料管理机制。</w:t>
      </w:r>
    </w:p>
    <w:p w14:paraId="65E8CADF">
      <w:pPr>
        <w:pStyle w:val="165"/>
        <w:spacing w:line="360" w:lineRule="auto"/>
      </w:pPr>
      <w:r>
        <w:rPr>
          <w:rFonts w:hint="eastAsia"/>
        </w:rPr>
        <w:t>安全管理、变更管理和资料管理应贯穿系统建设、上线、运行、升级、停用和退出全过程。</w:t>
      </w:r>
    </w:p>
    <w:p w14:paraId="71167E31">
      <w:pPr>
        <w:pStyle w:val="165"/>
        <w:spacing w:line="360" w:lineRule="auto"/>
      </w:pPr>
      <w:r>
        <w:rPr>
          <w:rFonts w:hint="eastAsia"/>
        </w:rPr>
        <w:t>上述管理活动应做到职责明确、流程清晰、审批受控、记录完整和结果可追溯。</w:t>
      </w:r>
    </w:p>
    <w:p w14:paraId="5B1681CD">
      <w:pPr>
        <w:pStyle w:val="165"/>
        <w:spacing w:line="360" w:lineRule="auto"/>
      </w:pPr>
      <w:r>
        <w:rPr>
          <w:rFonts w:hint="eastAsia"/>
        </w:rPr>
        <w:t>未建立相应机制的，不得视为系统已具备规范运行条件。</w:t>
      </w:r>
    </w:p>
    <w:p w14:paraId="52246212">
      <w:pPr>
        <w:pStyle w:val="105"/>
        <w:spacing w:before="120" w:after="120" w:line="360" w:lineRule="auto"/>
      </w:pPr>
      <w:r>
        <w:rPr>
          <w:rFonts w:hint="eastAsia"/>
        </w:rPr>
        <w:t>安全管理要求</w:t>
      </w:r>
    </w:p>
    <w:p w14:paraId="57358B8C">
      <w:pPr>
        <w:pStyle w:val="65"/>
        <w:spacing w:before="120" w:after="120" w:line="360" w:lineRule="auto"/>
      </w:pPr>
      <w:r>
        <w:rPr>
          <w:rFonts w:hint="eastAsia"/>
        </w:rPr>
        <w:t>一般要求</w:t>
      </w:r>
    </w:p>
    <w:p w14:paraId="31732D1F">
      <w:pPr>
        <w:pStyle w:val="164"/>
        <w:spacing w:line="360" w:lineRule="auto"/>
      </w:pPr>
      <w:r>
        <w:rPr>
          <w:rFonts w:hint="eastAsia"/>
        </w:rPr>
        <w:t>系统应建立与业务风险和数据敏感程度相适应的安全管理机制。</w:t>
      </w:r>
    </w:p>
    <w:p w14:paraId="78E743DD">
      <w:pPr>
        <w:pStyle w:val="164"/>
        <w:spacing w:line="360" w:lineRule="auto"/>
      </w:pPr>
      <w:r>
        <w:rPr>
          <w:rFonts w:hint="eastAsia"/>
        </w:rPr>
        <w:t>安全管理应覆盖身份认证、权限控制、数据保护、接口安全、日志审计、备份恢复和异常事件处置。</w:t>
      </w:r>
    </w:p>
    <w:p w14:paraId="785105BF">
      <w:pPr>
        <w:pStyle w:val="164"/>
        <w:spacing w:line="360" w:lineRule="auto"/>
      </w:pPr>
      <w:r>
        <w:rPr>
          <w:rFonts w:hint="eastAsia"/>
        </w:rPr>
        <w:t>对涉及客户信息、财务信息、交易信息、员工信息和核心经营数据的系统，应实施重点安全管理。</w:t>
      </w:r>
    </w:p>
    <w:p w14:paraId="2821DA16">
      <w:pPr>
        <w:pStyle w:val="65"/>
        <w:spacing w:before="120" w:after="120" w:line="360" w:lineRule="auto"/>
      </w:pPr>
      <w:r>
        <w:rPr>
          <w:rFonts w:hint="eastAsia"/>
        </w:rPr>
        <w:t>账号与权限管理</w:t>
      </w:r>
    </w:p>
    <w:p w14:paraId="7AE085A0">
      <w:pPr>
        <w:pStyle w:val="164"/>
        <w:spacing w:line="360" w:lineRule="auto"/>
      </w:pPr>
      <w:r>
        <w:rPr>
          <w:rFonts w:hint="eastAsia"/>
        </w:rPr>
        <w:t>用户账号、管理员账号、接口账号和服务账号应分类管理。</w:t>
      </w:r>
    </w:p>
    <w:p w14:paraId="6DA77578">
      <w:pPr>
        <w:pStyle w:val="164"/>
        <w:spacing w:line="360" w:lineRule="auto"/>
      </w:pPr>
      <w:r>
        <w:rPr>
          <w:rFonts w:hint="eastAsia"/>
        </w:rPr>
        <w:t>不同角色应按照最小必要原则配置权限。</w:t>
      </w:r>
    </w:p>
    <w:p w14:paraId="0F5A402C">
      <w:pPr>
        <w:pStyle w:val="164"/>
        <w:spacing w:line="360" w:lineRule="auto"/>
      </w:pPr>
      <w:r>
        <w:rPr>
          <w:rFonts w:hint="eastAsia"/>
        </w:rPr>
        <w:t>权限授予、变更和回收应有记录。</w:t>
      </w:r>
    </w:p>
    <w:p w14:paraId="3FC903BC">
      <w:pPr>
        <w:pStyle w:val="164"/>
        <w:spacing w:line="360" w:lineRule="auto"/>
      </w:pPr>
      <w:r>
        <w:rPr>
          <w:rFonts w:hint="eastAsia"/>
        </w:rPr>
        <w:t>不得长期使用共用账号、默认密码和无审批的高权限账号。</w:t>
      </w:r>
    </w:p>
    <w:p w14:paraId="48498080">
      <w:pPr>
        <w:pStyle w:val="65"/>
        <w:spacing w:before="120" w:after="120" w:line="360" w:lineRule="auto"/>
      </w:pPr>
      <w:r>
        <w:rPr>
          <w:rFonts w:hint="eastAsia"/>
        </w:rPr>
        <w:t>数据与接口安全</w:t>
      </w:r>
    </w:p>
    <w:p w14:paraId="3B89EA22">
      <w:pPr>
        <w:pStyle w:val="164"/>
        <w:spacing w:line="360" w:lineRule="auto"/>
      </w:pPr>
      <w:r>
        <w:rPr>
          <w:rFonts w:hint="eastAsia"/>
        </w:rPr>
        <w:t>敏感数据应按规定控制访问、导出、下载和共享。</w:t>
      </w:r>
    </w:p>
    <w:p w14:paraId="3FBB428E">
      <w:pPr>
        <w:pStyle w:val="164"/>
        <w:spacing w:line="360" w:lineRule="auto"/>
      </w:pPr>
      <w:r>
        <w:rPr>
          <w:rFonts w:hint="eastAsia"/>
        </w:rPr>
        <w:t>正式接口应设置访问控制、调用限制和日志留痕。</w:t>
      </w:r>
    </w:p>
    <w:p w14:paraId="0C473782">
      <w:pPr>
        <w:pStyle w:val="164"/>
        <w:spacing w:line="360" w:lineRule="auto"/>
      </w:pPr>
      <w:r>
        <w:rPr>
          <w:rFonts w:hint="eastAsia"/>
        </w:rPr>
        <w:t>未经批准，不得向外部系统开放正式数据接口或者导出关键业务数据。</w:t>
      </w:r>
    </w:p>
    <w:p w14:paraId="009E689F">
      <w:pPr>
        <w:pStyle w:val="164"/>
        <w:spacing w:line="360" w:lineRule="auto"/>
      </w:pPr>
      <w:r>
        <w:rPr>
          <w:rFonts w:hint="eastAsia"/>
        </w:rPr>
        <w:t>日志与审计要求</w:t>
      </w:r>
    </w:p>
    <w:p w14:paraId="6BD739F5">
      <w:pPr>
        <w:pStyle w:val="164"/>
        <w:spacing w:line="360" w:lineRule="auto"/>
      </w:pPr>
      <w:r>
        <w:rPr>
          <w:rFonts w:hint="eastAsia"/>
        </w:rPr>
        <w:t>系统应对登录、权限变更、数据导出、模型变更、关键配置变更和异常访问等行为进行日志记录。</w:t>
      </w:r>
    </w:p>
    <w:p w14:paraId="74FD4365">
      <w:pPr>
        <w:pStyle w:val="164"/>
        <w:spacing w:line="360" w:lineRule="auto"/>
      </w:pPr>
      <w:r>
        <w:rPr>
          <w:rFonts w:hint="eastAsia"/>
        </w:rPr>
        <w:t>日志应具备时间标记、用户标记、对象标记和结果标记。</w:t>
      </w:r>
    </w:p>
    <w:p w14:paraId="72BE83A1">
      <w:pPr>
        <w:pStyle w:val="164"/>
        <w:spacing w:line="360" w:lineRule="auto"/>
      </w:pPr>
      <w:r>
        <w:rPr>
          <w:rFonts w:hint="eastAsia"/>
        </w:rPr>
        <w:t>日志不得随意关闭、删除或者篡改。</w:t>
      </w:r>
    </w:p>
    <w:p w14:paraId="150E0C2B">
      <w:pPr>
        <w:pStyle w:val="105"/>
        <w:spacing w:before="120" w:after="120" w:line="360" w:lineRule="auto"/>
      </w:pPr>
      <w:r>
        <w:rPr>
          <w:rFonts w:hint="eastAsia"/>
        </w:rPr>
        <w:t>变更管理要求</w:t>
      </w:r>
    </w:p>
    <w:p w14:paraId="745402C5">
      <w:pPr>
        <w:pStyle w:val="65"/>
        <w:spacing w:before="120" w:after="120" w:line="360" w:lineRule="auto"/>
      </w:pPr>
      <w:r>
        <w:rPr>
          <w:rFonts w:hint="eastAsia"/>
        </w:rPr>
        <w:t>一般要求</w:t>
      </w:r>
    </w:p>
    <w:p w14:paraId="1F0D0575">
      <w:pPr>
        <w:pStyle w:val="164"/>
        <w:spacing w:line="360" w:lineRule="auto"/>
      </w:pPr>
      <w:r>
        <w:rPr>
          <w:rFonts w:hint="eastAsia"/>
        </w:rPr>
        <w:t>系统配置、功能模块、数据结构、接口规则、模型版本、权限规则和部署环境发生变化时，应纳入变更管理。</w:t>
      </w:r>
    </w:p>
    <w:p w14:paraId="2B8EE2B6">
      <w:pPr>
        <w:pStyle w:val="164"/>
        <w:spacing w:line="360" w:lineRule="auto"/>
      </w:pPr>
      <w:r>
        <w:rPr>
          <w:rFonts w:hint="eastAsia"/>
        </w:rPr>
        <w:t>变更管理应覆盖变更申请、影响评估、审批确认、实施控制、上线验证和记录归档等环节。</w:t>
      </w:r>
    </w:p>
    <w:p w14:paraId="36ED5147">
      <w:pPr>
        <w:pStyle w:val="164"/>
        <w:spacing w:line="360" w:lineRule="auto"/>
      </w:pPr>
      <w:r>
        <w:rPr>
          <w:rFonts w:hint="eastAsia"/>
        </w:rPr>
        <w:t>未履行变更程序的，不得在正式生产环境直接实施重要变更。</w:t>
      </w:r>
    </w:p>
    <w:p w14:paraId="327FC47C">
      <w:pPr>
        <w:pStyle w:val="65"/>
        <w:spacing w:before="120" w:after="120" w:line="360" w:lineRule="auto"/>
      </w:pPr>
      <w:r>
        <w:rPr>
          <w:rFonts w:hint="eastAsia"/>
        </w:rPr>
        <w:t>变更分类</w:t>
      </w:r>
    </w:p>
    <w:p w14:paraId="51B14127">
      <w:pPr>
        <w:pStyle w:val="164"/>
        <w:spacing w:line="360" w:lineRule="auto"/>
      </w:pPr>
      <w:r>
        <w:rPr>
          <w:rFonts w:hint="eastAsia"/>
        </w:rPr>
        <w:t>变更宜分为一般变更、重要变更和紧急变更。</w:t>
      </w:r>
    </w:p>
    <w:p w14:paraId="35B50530">
      <w:pPr>
        <w:pStyle w:val="164"/>
        <w:spacing w:line="360" w:lineRule="auto"/>
      </w:pPr>
      <w:r>
        <w:rPr>
          <w:rFonts w:hint="eastAsia"/>
        </w:rPr>
        <w:t>一般变更包括对业务影响较小、可快速回退的局部调整。</w:t>
      </w:r>
    </w:p>
    <w:p w14:paraId="7283679D">
      <w:pPr>
        <w:pStyle w:val="164"/>
        <w:spacing w:line="360" w:lineRule="auto"/>
      </w:pPr>
      <w:r>
        <w:rPr>
          <w:rFonts w:hint="eastAsia"/>
        </w:rPr>
        <w:t>重要变更包括影响核心功能、关键接口、关键数据结构或者正式模型规则的调整。</w:t>
      </w:r>
    </w:p>
    <w:p w14:paraId="26C4751E">
      <w:pPr>
        <w:pStyle w:val="164"/>
        <w:spacing w:line="360" w:lineRule="auto"/>
      </w:pPr>
      <w:r>
        <w:rPr>
          <w:rFonts w:hint="eastAsia"/>
        </w:rPr>
        <w:t>紧急变更包括为处置重大故障、安全事件和关键业务中断而实施的紧急调整。</w:t>
      </w:r>
    </w:p>
    <w:p w14:paraId="47EDA76E">
      <w:pPr>
        <w:pStyle w:val="65"/>
        <w:spacing w:before="120" w:after="120" w:line="360" w:lineRule="auto"/>
      </w:pPr>
      <w:r>
        <w:rPr>
          <w:rFonts w:hint="eastAsia"/>
        </w:rPr>
        <w:t>变更实施要求</w:t>
      </w:r>
    </w:p>
    <w:p w14:paraId="5496FE30">
      <w:pPr>
        <w:pStyle w:val="164"/>
        <w:spacing w:line="360" w:lineRule="auto"/>
      </w:pPr>
      <w:r>
        <w:rPr>
          <w:rFonts w:hint="eastAsia"/>
        </w:rPr>
        <w:t>变更前应明确变更内容、影响范围、实施步骤、回退方案和责任人。</w:t>
      </w:r>
    </w:p>
    <w:p w14:paraId="54C0EF2D">
      <w:pPr>
        <w:pStyle w:val="164"/>
        <w:spacing w:line="360" w:lineRule="auto"/>
      </w:pPr>
      <w:r>
        <w:rPr>
          <w:rFonts w:hint="eastAsia"/>
        </w:rPr>
        <w:t>重要变更应先在测试环境验证，再进入正式环境。</w:t>
      </w:r>
    </w:p>
    <w:p w14:paraId="2A48B8BA">
      <w:pPr>
        <w:pStyle w:val="164"/>
        <w:spacing w:line="360" w:lineRule="auto"/>
      </w:pPr>
      <w:r>
        <w:rPr>
          <w:rFonts w:hint="eastAsia"/>
        </w:rPr>
        <w:t>变更完成后，应进行验证并更新相关文档和台账。</w:t>
      </w:r>
    </w:p>
    <w:p w14:paraId="2D15146D">
      <w:pPr>
        <w:pStyle w:val="164"/>
        <w:spacing w:line="360" w:lineRule="auto"/>
      </w:pPr>
      <w:r>
        <w:rPr>
          <w:rFonts w:hint="eastAsia"/>
        </w:rPr>
        <w:t>紧急变更完成后，应补办记录和复核手续。</w:t>
      </w:r>
    </w:p>
    <w:p w14:paraId="7F896864">
      <w:pPr>
        <w:pStyle w:val="105"/>
        <w:spacing w:before="120" w:after="120" w:line="360" w:lineRule="auto"/>
      </w:pPr>
      <w:r>
        <w:rPr>
          <w:rFonts w:hint="eastAsia"/>
        </w:rPr>
        <w:t>备份与恢复管理要求</w:t>
      </w:r>
    </w:p>
    <w:p w14:paraId="26BE1281">
      <w:pPr>
        <w:pStyle w:val="65"/>
        <w:spacing w:before="120" w:after="120" w:line="360" w:lineRule="auto"/>
      </w:pPr>
      <w:r>
        <w:rPr>
          <w:rFonts w:hint="eastAsia"/>
        </w:rPr>
        <w:t>一般要求</w:t>
      </w:r>
    </w:p>
    <w:p w14:paraId="6818EFBC">
      <w:pPr>
        <w:pStyle w:val="164"/>
        <w:spacing w:line="360" w:lineRule="auto"/>
      </w:pPr>
      <w:r>
        <w:rPr>
          <w:rFonts w:hint="eastAsia"/>
        </w:rPr>
        <w:t>系统应建立备份与恢复机制。</w:t>
      </w:r>
    </w:p>
    <w:p w14:paraId="07DAC340">
      <w:pPr>
        <w:pStyle w:val="164"/>
        <w:spacing w:line="360" w:lineRule="auto"/>
      </w:pPr>
      <w:r>
        <w:rPr>
          <w:rFonts w:hint="eastAsia"/>
        </w:rPr>
        <w:t>备份范围应至少包括核心业务数据、关键分析结果、系统配置、模型文件、接口配置和日志文件。</w:t>
      </w:r>
    </w:p>
    <w:p w14:paraId="68D586D0">
      <w:pPr>
        <w:pStyle w:val="164"/>
        <w:spacing w:line="360" w:lineRule="auto"/>
      </w:pPr>
      <w:r>
        <w:rPr>
          <w:rFonts w:hint="eastAsia"/>
        </w:rPr>
        <w:t>备份应明确频率、保留周期、责任人和恢复要求。</w:t>
      </w:r>
    </w:p>
    <w:p w14:paraId="72B6ADB4">
      <w:pPr>
        <w:pStyle w:val="65"/>
        <w:spacing w:before="120" w:after="120" w:line="360" w:lineRule="auto"/>
      </w:pPr>
      <w:r>
        <w:rPr>
          <w:rFonts w:hint="eastAsia"/>
        </w:rPr>
        <w:t>恢复要求</w:t>
      </w:r>
    </w:p>
    <w:p w14:paraId="6A331E0D">
      <w:pPr>
        <w:pStyle w:val="164"/>
        <w:spacing w:line="360" w:lineRule="auto"/>
      </w:pPr>
      <w:r>
        <w:rPr>
          <w:rFonts w:hint="eastAsia"/>
        </w:rPr>
        <w:t>应定期验证恢复能力。</w:t>
      </w:r>
    </w:p>
    <w:p w14:paraId="23946A2B">
      <w:pPr>
        <w:pStyle w:val="164"/>
        <w:spacing w:line="360" w:lineRule="auto"/>
      </w:pPr>
      <w:r>
        <w:rPr>
          <w:rFonts w:hint="eastAsia"/>
        </w:rPr>
        <w:t>发生数据丢失、系统损坏或者重大故障时，应按规定启动恢复流程。</w:t>
      </w:r>
    </w:p>
    <w:p w14:paraId="612F5189">
      <w:pPr>
        <w:pStyle w:val="164"/>
        <w:spacing w:line="360" w:lineRule="auto"/>
      </w:pPr>
      <w:r>
        <w:rPr>
          <w:rFonts w:hint="eastAsia"/>
        </w:rPr>
        <w:t>恢复完成后，应验证数据完整性和功能完整性。</w:t>
      </w:r>
    </w:p>
    <w:p w14:paraId="13D253A0">
      <w:pPr>
        <w:pStyle w:val="105"/>
        <w:spacing w:before="120" w:after="120" w:line="360" w:lineRule="auto"/>
      </w:pPr>
      <w:r>
        <w:rPr>
          <w:rFonts w:hint="eastAsia"/>
        </w:rPr>
        <w:t>资料管理要求</w:t>
      </w:r>
    </w:p>
    <w:p w14:paraId="1980C71C">
      <w:pPr>
        <w:pStyle w:val="65"/>
        <w:spacing w:before="120" w:after="120" w:line="360" w:lineRule="auto"/>
      </w:pPr>
      <w:r>
        <w:rPr>
          <w:rFonts w:hint="eastAsia"/>
        </w:rPr>
        <w:t>一般要求</w:t>
      </w:r>
    </w:p>
    <w:p w14:paraId="068188A2">
      <w:pPr>
        <w:pStyle w:val="164"/>
        <w:spacing w:line="360" w:lineRule="auto"/>
      </w:pPr>
      <w:r>
        <w:rPr>
          <w:rFonts w:hint="eastAsia"/>
        </w:rPr>
        <w:t>系统应建立资料管理制度。</w:t>
      </w:r>
    </w:p>
    <w:p w14:paraId="29640654">
      <w:pPr>
        <w:pStyle w:val="164"/>
        <w:spacing w:line="360" w:lineRule="auto"/>
      </w:pPr>
      <w:r>
        <w:rPr>
          <w:rFonts w:hint="eastAsia"/>
        </w:rPr>
        <w:t>资料管理应覆盖建设资料、运行资料、维护资料、变更资料、安全资料和培训资料。</w:t>
      </w:r>
    </w:p>
    <w:p w14:paraId="08A1C0C2">
      <w:pPr>
        <w:pStyle w:val="164"/>
        <w:spacing w:line="360" w:lineRule="auto"/>
      </w:pPr>
      <w:r>
        <w:rPr>
          <w:rFonts w:hint="eastAsia"/>
        </w:rPr>
        <w:t>资料应分类编号、统一归档、便于检索和持续更新。</w:t>
      </w:r>
    </w:p>
    <w:p w14:paraId="1BE34FC4">
      <w:pPr>
        <w:pStyle w:val="65"/>
        <w:spacing w:before="120" w:after="120" w:line="360" w:lineRule="auto"/>
      </w:pPr>
      <w:r>
        <w:rPr>
          <w:rFonts w:hint="eastAsia"/>
        </w:rPr>
        <w:t>资料内容</w:t>
      </w:r>
    </w:p>
    <w:p w14:paraId="63798CC1">
      <w:pPr>
        <w:pStyle w:val="164"/>
        <w:spacing w:line="360" w:lineRule="auto"/>
      </w:pPr>
      <w:r>
        <w:rPr>
          <w:rFonts w:hint="eastAsia"/>
        </w:rPr>
        <w:t>资料宜至少包括下列内容：</w:t>
      </w:r>
    </w:p>
    <w:p w14:paraId="38AE6DE1">
      <w:pPr>
        <w:pStyle w:val="56"/>
        <w:spacing w:line="360" w:lineRule="auto"/>
        <w:ind w:firstLine="420"/>
      </w:pPr>
      <w:r>
        <w:rPr>
          <w:rFonts w:hint="eastAsia"/>
        </w:rPr>
        <w:t>a）立项和需求分析资料；</w:t>
      </w:r>
    </w:p>
    <w:p w14:paraId="16BA287B">
      <w:pPr>
        <w:pStyle w:val="56"/>
        <w:spacing w:line="360" w:lineRule="auto"/>
        <w:ind w:firstLine="420"/>
      </w:pPr>
      <w:r>
        <w:rPr>
          <w:rFonts w:hint="eastAsia"/>
        </w:rPr>
        <w:t>b）设计文档和接口文档；</w:t>
      </w:r>
    </w:p>
    <w:p w14:paraId="7EAFC50E">
      <w:pPr>
        <w:pStyle w:val="56"/>
        <w:spacing w:line="360" w:lineRule="auto"/>
        <w:ind w:firstLine="420"/>
      </w:pPr>
      <w:r>
        <w:rPr>
          <w:rFonts w:hint="eastAsia"/>
        </w:rPr>
        <w:t>c）测试记录和上线记录；</w:t>
      </w:r>
    </w:p>
    <w:p w14:paraId="3827AA24">
      <w:pPr>
        <w:pStyle w:val="56"/>
        <w:spacing w:line="360" w:lineRule="auto"/>
        <w:ind w:firstLine="420"/>
      </w:pPr>
      <w:r>
        <w:rPr>
          <w:rFonts w:hint="eastAsia"/>
        </w:rPr>
        <w:t>d）运行监测记录；</w:t>
      </w:r>
    </w:p>
    <w:p w14:paraId="64B6EAE3">
      <w:pPr>
        <w:pStyle w:val="56"/>
        <w:spacing w:line="360" w:lineRule="auto"/>
        <w:ind w:firstLine="420"/>
      </w:pPr>
      <w:r>
        <w:rPr>
          <w:rFonts w:hint="eastAsia"/>
        </w:rPr>
        <w:t>e）故障处置记录；</w:t>
      </w:r>
    </w:p>
    <w:p w14:paraId="585DEF10">
      <w:pPr>
        <w:pStyle w:val="56"/>
        <w:spacing w:line="360" w:lineRule="auto"/>
        <w:ind w:firstLine="420"/>
      </w:pPr>
      <w:r>
        <w:rPr>
          <w:rFonts w:hint="eastAsia"/>
        </w:rPr>
        <w:t>f）变更记录；</w:t>
      </w:r>
    </w:p>
    <w:p w14:paraId="26A92888">
      <w:pPr>
        <w:pStyle w:val="56"/>
        <w:spacing w:line="360" w:lineRule="auto"/>
        <w:ind w:firstLine="420"/>
      </w:pPr>
      <w:r>
        <w:rPr>
          <w:rFonts w:hint="eastAsia"/>
        </w:rPr>
        <w:t>g）权限管理记录；</w:t>
      </w:r>
    </w:p>
    <w:p w14:paraId="4284BC94">
      <w:pPr>
        <w:pStyle w:val="56"/>
        <w:spacing w:line="360" w:lineRule="auto"/>
        <w:ind w:firstLine="420"/>
      </w:pPr>
      <w:r>
        <w:rPr>
          <w:rFonts w:hint="eastAsia"/>
        </w:rPr>
        <w:t>h）备份恢复记录；</w:t>
      </w:r>
    </w:p>
    <w:p w14:paraId="79434511">
      <w:pPr>
        <w:pStyle w:val="56"/>
        <w:spacing w:line="360" w:lineRule="auto"/>
        <w:ind w:firstLine="420"/>
      </w:pPr>
      <w:r>
        <w:rPr>
          <w:rFonts w:hint="eastAsia"/>
        </w:rPr>
        <w:t>i）模型版本记录；</w:t>
      </w:r>
    </w:p>
    <w:p w14:paraId="24BD8C12">
      <w:pPr>
        <w:pStyle w:val="56"/>
        <w:spacing w:line="360" w:lineRule="auto"/>
        <w:ind w:firstLine="420"/>
      </w:pPr>
      <w:r>
        <w:rPr>
          <w:rFonts w:hint="eastAsia"/>
        </w:rPr>
        <w:t>j）培训记录；</w:t>
      </w:r>
    </w:p>
    <w:p w14:paraId="7C29A87A">
      <w:pPr>
        <w:pStyle w:val="56"/>
        <w:spacing w:line="360" w:lineRule="auto"/>
        <w:ind w:firstLine="420"/>
      </w:pPr>
      <w:r>
        <w:rPr>
          <w:rFonts w:hint="eastAsia"/>
        </w:rPr>
        <w:t>k）用户手册和运维手册。</w:t>
      </w:r>
    </w:p>
    <w:p w14:paraId="2CB4DB6A">
      <w:pPr>
        <w:pStyle w:val="164"/>
        <w:spacing w:line="360" w:lineRule="auto"/>
      </w:pPr>
      <w:r>
        <w:rPr>
          <w:rFonts w:hint="eastAsia"/>
        </w:rPr>
        <w:t>资料与实际系统不一致时，应及时修订。</w:t>
      </w:r>
    </w:p>
    <w:p w14:paraId="3C834E1E">
      <w:pPr>
        <w:pStyle w:val="65"/>
        <w:spacing w:before="120" w:after="120" w:line="360" w:lineRule="auto"/>
      </w:pPr>
      <w:r>
        <w:rPr>
          <w:rFonts w:hint="eastAsia"/>
        </w:rPr>
        <w:t>台账管理要求</w:t>
      </w:r>
    </w:p>
    <w:p w14:paraId="289C0130">
      <w:pPr>
        <w:pStyle w:val="164"/>
        <w:spacing w:line="360" w:lineRule="auto"/>
      </w:pPr>
      <w:r>
        <w:rPr>
          <w:rFonts w:hint="eastAsia"/>
        </w:rPr>
        <w:t>企业应建立运维台账和变更台账。</w:t>
      </w:r>
    </w:p>
    <w:p w14:paraId="3766B28C">
      <w:pPr>
        <w:pStyle w:val="164"/>
        <w:spacing w:line="360" w:lineRule="auto"/>
      </w:pPr>
      <w:r>
        <w:rPr>
          <w:rFonts w:hint="eastAsia"/>
        </w:rPr>
        <w:t>台账应至少包括系统名称、模块信息、版本信息、责任人、运行状态、故障情况和变更情况。</w:t>
      </w:r>
    </w:p>
    <w:p w14:paraId="1812ABF0">
      <w:pPr>
        <w:pStyle w:val="164"/>
        <w:spacing w:line="360" w:lineRule="auto"/>
      </w:pPr>
      <w:r>
        <w:rPr>
          <w:rFonts w:hint="eastAsia"/>
        </w:rPr>
        <w:t>台账应动态更新，不得长期停留在初建状态。</w:t>
      </w:r>
    </w:p>
    <w:p w14:paraId="21F18D61">
      <w:pPr>
        <w:pStyle w:val="105"/>
        <w:spacing w:before="120" w:after="120" w:line="360" w:lineRule="auto"/>
      </w:pPr>
      <w:r>
        <w:rPr>
          <w:rFonts w:hint="eastAsia"/>
        </w:rPr>
        <w:t>安全事件与异常变更处置</w:t>
      </w:r>
    </w:p>
    <w:p w14:paraId="7C66E8DA">
      <w:pPr>
        <w:pStyle w:val="65"/>
        <w:spacing w:before="120" w:after="120" w:line="360" w:lineRule="auto"/>
      </w:pPr>
      <w:r>
        <w:rPr>
          <w:rFonts w:hint="eastAsia"/>
        </w:rPr>
        <w:t>安全事件处置</w:t>
      </w:r>
    </w:p>
    <w:p w14:paraId="00D5DA0C">
      <w:pPr>
        <w:pStyle w:val="164"/>
        <w:spacing w:line="360" w:lineRule="auto"/>
      </w:pPr>
      <w:r>
        <w:rPr>
          <w:rFonts w:hint="eastAsia"/>
        </w:rPr>
        <w:t>发生账号异常、数据泄露、异常导出、接口滥用、恶意访问或者其他安全事件时，应立即启动应急处置。</w:t>
      </w:r>
    </w:p>
    <w:p w14:paraId="448FE2A6">
      <w:pPr>
        <w:pStyle w:val="164"/>
        <w:spacing w:line="360" w:lineRule="auto"/>
      </w:pPr>
      <w:r>
        <w:rPr>
          <w:rFonts w:hint="eastAsia"/>
        </w:rPr>
        <w:t>安全事件处置应包括事件发现、影响评估、临时控制、问题排查、恢复验证和整改复盘。</w:t>
      </w:r>
    </w:p>
    <w:p w14:paraId="40B4F44D">
      <w:pPr>
        <w:pStyle w:val="164"/>
        <w:spacing w:line="360" w:lineRule="auto"/>
      </w:pPr>
      <w:r>
        <w:rPr>
          <w:rFonts w:hint="eastAsia"/>
        </w:rPr>
        <w:t>安全事件处置完成前，不得擅自认定风险已消除。</w:t>
      </w:r>
    </w:p>
    <w:p w14:paraId="03EBC87F">
      <w:pPr>
        <w:pStyle w:val="65"/>
        <w:spacing w:before="120" w:after="120" w:line="360" w:lineRule="auto"/>
      </w:pPr>
      <w:r>
        <w:rPr>
          <w:rFonts w:hint="eastAsia"/>
        </w:rPr>
        <w:t>异常变更处置</w:t>
      </w:r>
    </w:p>
    <w:p w14:paraId="0B604243">
      <w:pPr>
        <w:pStyle w:val="164"/>
        <w:spacing w:line="360" w:lineRule="auto"/>
      </w:pPr>
      <w:r>
        <w:rPr>
          <w:rFonts w:hint="eastAsia"/>
        </w:rPr>
        <w:t>变更实施中出现功能异常、接口异常、结果异常或者性能异常时，应及时启动回退或者补救措施。</w:t>
      </w:r>
    </w:p>
    <w:p w14:paraId="0EBC6AC2">
      <w:pPr>
        <w:pStyle w:val="164"/>
        <w:spacing w:line="360" w:lineRule="auto"/>
      </w:pPr>
      <w:r>
        <w:rPr>
          <w:rFonts w:hint="eastAsia"/>
        </w:rPr>
        <w:t>异常变更处置应形成专门记录，并明确后续处理安排。</w:t>
      </w:r>
    </w:p>
    <w:p w14:paraId="6F4BA79F">
      <w:pPr>
        <w:pStyle w:val="105"/>
        <w:spacing w:before="120" w:after="120" w:line="360" w:lineRule="auto"/>
      </w:pPr>
      <w:r>
        <w:rPr>
          <w:rFonts w:hint="eastAsia"/>
        </w:rPr>
        <w:t>资料归档与保存要求</w:t>
      </w:r>
    </w:p>
    <w:p w14:paraId="405CCC1B">
      <w:pPr>
        <w:pStyle w:val="165"/>
        <w:spacing w:line="360" w:lineRule="auto"/>
      </w:pPr>
      <w:r>
        <w:rPr>
          <w:rFonts w:hint="eastAsia"/>
        </w:rPr>
        <w:t>系统资料应按规定周期归档。</w:t>
      </w:r>
    </w:p>
    <w:p w14:paraId="2F384C14">
      <w:pPr>
        <w:pStyle w:val="165"/>
        <w:spacing w:line="360" w:lineRule="auto"/>
      </w:pPr>
      <w:r>
        <w:rPr>
          <w:rFonts w:hint="eastAsia"/>
        </w:rPr>
        <w:t>关键资料、关键记录和关键日志应按要求长期保存。</w:t>
      </w:r>
    </w:p>
    <w:p w14:paraId="1C817639">
      <w:pPr>
        <w:pStyle w:val="165"/>
        <w:spacing w:line="360" w:lineRule="auto"/>
      </w:pPr>
      <w:r>
        <w:rPr>
          <w:rFonts w:hint="eastAsia"/>
        </w:rPr>
        <w:t>已归档资料不得随意删除、覆盖或者擅自外传。</w:t>
      </w:r>
    </w:p>
    <w:p w14:paraId="1A6995BD">
      <w:pPr>
        <w:pStyle w:val="165"/>
        <w:spacing w:line="360" w:lineRule="auto"/>
      </w:pPr>
      <w:r>
        <w:rPr>
          <w:rFonts w:hint="eastAsia"/>
        </w:rPr>
        <w:t>资料调用应履行相应审批和登记程序。</w:t>
      </w:r>
    </w:p>
    <w:p w14:paraId="6BE68E53">
      <w:pPr>
        <w:pStyle w:val="105"/>
        <w:spacing w:before="120" w:after="120" w:line="360" w:lineRule="auto"/>
      </w:pPr>
      <w:r>
        <w:rPr>
          <w:rFonts w:hint="eastAsia"/>
        </w:rPr>
        <w:t>考核与持续改进要求</w:t>
      </w:r>
    </w:p>
    <w:p w14:paraId="15DFFBEA">
      <w:pPr>
        <w:pStyle w:val="165"/>
        <w:spacing w:line="360" w:lineRule="auto"/>
      </w:pPr>
      <w:r>
        <w:rPr>
          <w:rFonts w:hint="eastAsia"/>
        </w:rPr>
        <w:t>企业宜建立与系统建设和运维相关的考核与持续改进机制。</w:t>
      </w:r>
    </w:p>
    <w:p w14:paraId="64E71DBD">
      <w:pPr>
        <w:pStyle w:val="165"/>
        <w:spacing w:line="360" w:lineRule="auto"/>
      </w:pPr>
      <w:r>
        <w:rPr>
          <w:rFonts w:hint="eastAsia"/>
        </w:rPr>
        <w:t>考核内容宜包括系统可用性、故障响应时效、问题闭环率、数据质量状态、模型稳定性、资料完整性和用户满意度等内容。</w:t>
      </w:r>
    </w:p>
    <w:p w14:paraId="13421840">
      <w:pPr>
        <w:pStyle w:val="165"/>
        <w:spacing w:line="360" w:lineRule="auto"/>
      </w:pPr>
      <w:r>
        <w:rPr>
          <w:rFonts w:hint="eastAsia"/>
        </w:rPr>
        <w:t>对发现的问题，应及时纳入整改和优化范围。</w:t>
      </w:r>
    </w:p>
    <w:p w14:paraId="172A6518">
      <w:pPr>
        <w:pStyle w:val="165"/>
        <w:spacing w:line="360" w:lineRule="auto"/>
      </w:pPr>
      <w:r>
        <w:rPr>
          <w:rFonts w:hint="eastAsia"/>
        </w:rPr>
        <w:t>对成熟有效的管理做法，应及时固化为制度、模板、流程或者系统规则。</w:t>
      </w:r>
    </w:p>
    <w:p w14:paraId="34DA050D">
      <w:pPr>
        <w:pStyle w:val="105"/>
        <w:spacing w:before="120" w:after="120" w:line="360" w:lineRule="auto"/>
      </w:pPr>
      <w:r>
        <w:rPr>
          <w:rFonts w:hint="eastAsia"/>
        </w:rPr>
        <w:t>安全、变更与资料管理要点</w:t>
      </w:r>
    </w:p>
    <w:p w14:paraId="4F172C99">
      <w:pPr>
        <w:pStyle w:val="56"/>
        <w:spacing w:line="360" w:lineRule="auto"/>
        <w:ind w:firstLine="420"/>
      </w:pPr>
      <w:r>
        <w:rPr>
          <w:rFonts w:hint="eastAsia"/>
        </w:rPr>
        <w:t>安全、变更与资料管理的主要控制内容见表5。表5给出了安全、变更与资料管理的主要控制内容及控制要点。</w:t>
      </w:r>
    </w:p>
    <w:p w14:paraId="30E584A1">
      <w:pPr>
        <w:pStyle w:val="112"/>
        <w:spacing w:before="120" w:after="120" w:line="360" w:lineRule="auto"/>
      </w:pPr>
      <w:r>
        <w:rPr>
          <w:rFonts w:hint="eastAsia"/>
        </w:rPr>
        <w:t>安全、变更与资料管理要点表</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833"/>
        <w:gridCol w:w="3827"/>
        <w:gridCol w:w="3674"/>
      </w:tblGrid>
      <w:tr w14:paraId="130776D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833" w:type="dxa"/>
            <w:tcBorders>
              <w:top w:val="single" w:color="auto" w:sz="8" w:space="0"/>
              <w:bottom w:val="single" w:color="auto" w:sz="8" w:space="0"/>
            </w:tcBorders>
          </w:tcPr>
          <w:p w14:paraId="09719380">
            <w:pPr>
              <w:pStyle w:val="178"/>
            </w:pPr>
            <w:r>
              <w:rPr>
                <w:rFonts w:hint="eastAsia"/>
              </w:rPr>
              <w:t>工作类别</w:t>
            </w:r>
          </w:p>
        </w:tc>
        <w:tc>
          <w:tcPr>
            <w:tcW w:w="3827" w:type="dxa"/>
            <w:tcBorders>
              <w:top w:val="single" w:color="auto" w:sz="8" w:space="0"/>
              <w:bottom w:val="single" w:color="auto" w:sz="8" w:space="0"/>
            </w:tcBorders>
          </w:tcPr>
          <w:p w14:paraId="653443BB">
            <w:pPr>
              <w:pStyle w:val="178"/>
            </w:pPr>
            <w:r>
              <w:rPr>
                <w:rFonts w:hint="eastAsia"/>
              </w:rPr>
              <w:t>主要内容</w:t>
            </w:r>
          </w:p>
        </w:tc>
        <w:tc>
          <w:tcPr>
            <w:tcW w:w="3674" w:type="dxa"/>
            <w:tcBorders>
              <w:top w:val="single" w:color="auto" w:sz="8" w:space="0"/>
              <w:bottom w:val="single" w:color="auto" w:sz="8" w:space="0"/>
            </w:tcBorders>
          </w:tcPr>
          <w:p w14:paraId="2117398C">
            <w:pPr>
              <w:pStyle w:val="178"/>
            </w:pPr>
            <w:r>
              <w:rPr>
                <w:rFonts w:hint="eastAsia"/>
              </w:rPr>
              <w:t>控制要点</w:t>
            </w:r>
          </w:p>
        </w:tc>
      </w:tr>
      <w:tr w14:paraId="036EBDD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33" w:type="dxa"/>
            <w:tcBorders>
              <w:top w:val="single" w:color="auto" w:sz="8" w:space="0"/>
            </w:tcBorders>
          </w:tcPr>
          <w:p w14:paraId="20660A4B">
            <w:pPr>
              <w:pStyle w:val="178"/>
            </w:pPr>
            <w:r>
              <w:rPr>
                <w:rFonts w:hint="eastAsia"/>
              </w:rPr>
              <w:t>安全管理</w:t>
            </w:r>
          </w:p>
        </w:tc>
        <w:tc>
          <w:tcPr>
            <w:tcW w:w="3827" w:type="dxa"/>
            <w:tcBorders>
              <w:top w:val="single" w:color="auto" w:sz="8" w:space="0"/>
            </w:tcBorders>
          </w:tcPr>
          <w:p w14:paraId="05A594F9">
            <w:pPr>
              <w:pStyle w:val="178"/>
            </w:pPr>
            <w:r>
              <w:rPr>
                <w:rFonts w:hint="eastAsia"/>
              </w:rPr>
              <w:t>账号、权限、数据、接口、日志</w:t>
            </w:r>
          </w:p>
        </w:tc>
        <w:tc>
          <w:tcPr>
            <w:tcW w:w="3674" w:type="dxa"/>
            <w:tcBorders>
              <w:top w:val="single" w:color="auto" w:sz="8" w:space="0"/>
            </w:tcBorders>
          </w:tcPr>
          <w:p w14:paraId="3C50D100">
            <w:pPr>
              <w:pStyle w:val="178"/>
            </w:pPr>
            <w:r>
              <w:rPr>
                <w:rFonts w:hint="eastAsia"/>
              </w:rPr>
              <w:t>最小权限、日志留痕、敏感数据受控</w:t>
            </w:r>
          </w:p>
        </w:tc>
      </w:tr>
      <w:tr w14:paraId="52C030F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33" w:type="dxa"/>
          </w:tcPr>
          <w:p w14:paraId="4A76074C">
            <w:pPr>
              <w:pStyle w:val="178"/>
            </w:pPr>
            <w:r>
              <w:rPr>
                <w:rFonts w:hint="eastAsia"/>
              </w:rPr>
              <w:t>变更管理</w:t>
            </w:r>
          </w:p>
        </w:tc>
        <w:tc>
          <w:tcPr>
            <w:tcW w:w="3827" w:type="dxa"/>
          </w:tcPr>
          <w:p w14:paraId="2D02C3CE">
            <w:pPr>
              <w:pStyle w:val="178"/>
            </w:pPr>
            <w:r>
              <w:rPr>
                <w:rFonts w:hint="eastAsia"/>
              </w:rPr>
              <w:t>申请、评估、审批、实施、验证</w:t>
            </w:r>
          </w:p>
        </w:tc>
        <w:tc>
          <w:tcPr>
            <w:tcW w:w="3674" w:type="dxa"/>
          </w:tcPr>
          <w:p w14:paraId="5E1E7D77">
            <w:pPr>
              <w:pStyle w:val="178"/>
            </w:pPr>
            <w:r>
              <w:rPr>
                <w:rFonts w:hint="eastAsia"/>
              </w:rPr>
              <w:t>重要变更先测试后上线</w:t>
            </w:r>
          </w:p>
        </w:tc>
      </w:tr>
      <w:tr w14:paraId="4CAE81E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33" w:type="dxa"/>
          </w:tcPr>
          <w:p w14:paraId="32229147">
            <w:pPr>
              <w:pStyle w:val="178"/>
            </w:pPr>
            <w:r>
              <w:rPr>
                <w:rFonts w:hint="eastAsia"/>
              </w:rPr>
              <w:t>备份恢复</w:t>
            </w:r>
          </w:p>
        </w:tc>
        <w:tc>
          <w:tcPr>
            <w:tcW w:w="3827" w:type="dxa"/>
          </w:tcPr>
          <w:p w14:paraId="732C10B4">
            <w:pPr>
              <w:pStyle w:val="178"/>
            </w:pPr>
            <w:r>
              <w:rPr>
                <w:rFonts w:hint="eastAsia"/>
              </w:rPr>
              <w:t>数据备份、配置备份、恢复验证</w:t>
            </w:r>
          </w:p>
        </w:tc>
        <w:tc>
          <w:tcPr>
            <w:tcW w:w="3674" w:type="dxa"/>
          </w:tcPr>
          <w:p w14:paraId="7C89C744">
            <w:pPr>
              <w:pStyle w:val="178"/>
            </w:pPr>
            <w:r>
              <w:rPr>
                <w:rFonts w:hint="eastAsia"/>
              </w:rPr>
              <w:t>未验证恢复能力不算有效备份</w:t>
            </w:r>
          </w:p>
        </w:tc>
      </w:tr>
      <w:tr w14:paraId="35316CD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33" w:type="dxa"/>
          </w:tcPr>
          <w:p w14:paraId="5DBA3AAE">
            <w:pPr>
              <w:pStyle w:val="178"/>
            </w:pPr>
            <w:r>
              <w:rPr>
                <w:rFonts w:hint="eastAsia"/>
              </w:rPr>
              <w:t>资料管理</w:t>
            </w:r>
          </w:p>
        </w:tc>
        <w:tc>
          <w:tcPr>
            <w:tcW w:w="3827" w:type="dxa"/>
          </w:tcPr>
          <w:p w14:paraId="4C6A1527">
            <w:pPr>
              <w:pStyle w:val="178"/>
            </w:pPr>
            <w:r>
              <w:rPr>
                <w:rFonts w:hint="eastAsia"/>
              </w:rPr>
              <w:t>文档、记录、台账、手册</w:t>
            </w:r>
          </w:p>
        </w:tc>
        <w:tc>
          <w:tcPr>
            <w:tcW w:w="3674" w:type="dxa"/>
          </w:tcPr>
          <w:p w14:paraId="1CBA613F">
            <w:pPr>
              <w:pStyle w:val="178"/>
            </w:pPr>
            <w:r>
              <w:rPr>
                <w:rFonts w:hint="eastAsia"/>
              </w:rPr>
              <w:t>分类归档、动态更新、便于追溯</w:t>
            </w:r>
          </w:p>
        </w:tc>
      </w:tr>
      <w:tr w14:paraId="7411EE2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33" w:type="dxa"/>
          </w:tcPr>
          <w:p w14:paraId="4428CAAC">
            <w:pPr>
              <w:pStyle w:val="178"/>
            </w:pPr>
            <w:r>
              <w:rPr>
                <w:rFonts w:hint="eastAsia"/>
              </w:rPr>
              <w:t>安全事件处置</w:t>
            </w:r>
          </w:p>
        </w:tc>
        <w:tc>
          <w:tcPr>
            <w:tcW w:w="3827" w:type="dxa"/>
          </w:tcPr>
          <w:p w14:paraId="6BF3F12A">
            <w:pPr>
              <w:pStyle w:val="178"/>
            </w:pPr>
            <w:r>
              <w:rPr>
                <w:rFonts w:hint="eastAsia"/>
              </w:rPr>
              <w:t>发现、控制、排查、恢复</w:t>
            </w:r>
          </w:p>
        </w:tc>
        <w:tc>
          <w:tcPr>
            <w:tcW w:w="3674" w:type="dxa"/>
          </w:tcPr>
          <w:p w14:paraId="0877B972">
            <w:pPr>
              <w:pStyle w:val="178"/>
            </w:pPr>
            <w:r>
              <w:rPr>
                <w:rFonts w:hint="eastAsia"/>
              </w:rPr>
              <w:t>先控风险，再复盘整改</w:t>
            </w:r>
          </w:p>
        </w:tc>
      </w:tr>
      <w:tr w14:paraId="3EBD863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33" w:type="dxa"/>
          </w:tcPr>
          <w:p w14:paraId="6EEA40A8">
            <w:pPr>
              <w:pStyle w:val="178"/>
            </w:pPr>
            <w:r>
              <w:rPr>
                <w:rFonts w:hint="eastAsia"/>
              </w:rPr>
              <w:t>异常变更处置</w:t>
            </w:r>
          </w:p>
        </w:tc>
        <w:tc>
          <w:tcPr>
            <w:tcW w:w="3827" w:type="dxa"/>
          </w:tcPr>
          <w:p w14:paraId="2BBF5BDA">
            <w:pPr>
              <w:pStyle w:val="178"/>
            </w:pPr>
            <w:r>
              <w:rPr>
                <w:rFonts w:hint="eastAsia"/>
              </w:rPr>
              <w:t>回退、补救、复核</w:t>
            </w:r>
          </w:p>
        </w:tc>
        <w:tc>
          <w:tcPr>
            <w:tcW w:w="3674" w:type="dxa"/>
          </w:tcPr>
          <w:p w14:paraId="6733868C">
            <w:pPr>
              <w:pStyle w:val="178"/>
            </w:pPr>
            <w:r>
              <w:rPr>
                <w:rFonts w:hint="eastAsia"/>
              </w:rPr>
              <w:t>变更异常不得放任上线</w:t>
            </w:r>
          </w:p>
        </w:tc>
      </w:tr>
    </w:tbl>
    <w:p w14:paraId="386D9BBF">
      <w:pPr>
        <w:pStyle w:val="56"/>
        <w:spacing w:before="120" w:beforeLines="50" w:after="120" w:afterLines="50"/>
        <w:ind w:firstLine="0" w:firstLineChars="0"/>
        <w:jc w:val="center"/>
        <w:rPr>
          <w:rFonts w:hint="eastAsia" w:ascii="黑体" w:hAnsi="黑体" w:eastAsia="黑体"/>
        </w:rPr>
      </w:pPr>
      <w:r>
        <w:rPr>
          <w:rFonts w:hint="eastAsia" w:ascii="黑体" w:hAnsi="黑体" w:eastAsia="黑体"/>
        </w:rPr>
        <w:t>表5  安全、变更与资料管理要点表</w:t>
      </w:r>
      <w:r>
        <w:rPr>
          <w:rFonts w:hint="eastAsia" w:hAnsi="宋体"/>
        </w:rPr>
        <w:t>（续）</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833"/>
        <w:gridCol w:w="3827"/>
        <w:gridCol w:w="3674"/>
      </w:tblGrid>
      <w:tr w14:paraId="3ED3E14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833" w:type="dxa"/>
            <w:tcBorders>
              <w:top w:val="single" w:color="auto" w:sz="8" w:space="0"/>
              <w:bottom w:val="single" w:color="auto" w:sz="8" w:space="0"/>
            </w:tcBorders>
          </w:tcPr>
          <w:p w14:paraId="5FFCCCDF">
            <w:pPr>
              <w:pStyle w:val="178"/>
            </w:pPr>
            <w:r>
              <w:rPr>
                <w:rFonts w:hint="eastAsia"/>
              </w:rPr>
              <w:t>工作类别</w:t>
            </w:r>
          </w:p>
        </w:tc>
        <w:tc>
          <w:tcPr>
            <w:tcW w:w="3827" w:type="dxa"/>
            <w:tcBorders>
              <w:top w:val="single" w:color="auto" w:sz="8" w:space="0"/>
              <w:bottom w:val="single" w:color="auto" w:sz="8" w:space="0"/>
            </w:tcBorders>
          </w:tcPr>
          <w:p w14:paraId="004C62BA">
            <w:pPr>
              <w:pStyle w:val="178"/>
            </w:pPr>
            <w:r>
              <w:rPr>
                <w:rFonts w:hint="eastAsia"/>
              </w:rPr>
              <w:t>主要内容</w:t>
            </w:r>
          </w:p>
        </w:tc>
        <w:tc>
          <w:tcPr>
            <w:tcW w:w="3674" w:type="dxa"/>
            <w:tcBorders>
              <w:top w:val="single" w:color="auto" w:sz="8" w:space="0"/>
              <w:bottom w:val="single" w:color="auto" w:sz="8" w:space="0"/>
            </w:tcBorders>
          </w:tcPr>
          <w:p w14:paraId="0D7439A3">
            <w:pPr>
              <w:pStyle w:val="178"/>
            </w:pPr>
            <w:r>
              <w:rPr>
                <w:rFonts w:hint="eastAsia"/>
              </w:rPr>
              <w:t>控制要点</w:t>
            </w:r>
          </w:p>
        </w:tc>
      </w:tr>
      <w:tr w14:paraId="393EBE7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33" w:type="dxa"/>
          </w:tcPr>
          <w:p w14:paraId="4DC5E545">
            <w:pPr>
              <w:pStyle w:val="178"/>
            </w:pPr>
            <w:r>
              <w:rPr>
                <w:rFonts w:hint="eastAsia"/>
              </w:rPr>
              <w:t>持续改进</w:t>
            </w:r>
          </w:p>
        </w:tc>
        <w:tc>
          <w:tcPr>
            <w:tcW w:w="3827" w:type="dxa"/>
          </w:tcPr>
          <w:p w14:paraId="3BF96F51">
            <w:pPr>
              <w:pStyle w:val="178"/>
            </w:pPr>
            <w:r>
              <w:rPr>
                <w:rFonts w:hint="eastAsia"/>
              </w:rPr>
              <w:t>考核、整改、制度固化</w:t>
            </w:r>
          </w:p>
        </w:tc>
        <w:tc>
          <w:tcPr>
            <w:tcW w:w="3674" w:type="dxa"/>
          </w:tcPr>
          <w:p w14:paraId="6B305BCD">
            <w:pPr>
              <w:pStyle w:val="178"/>
            </w:pPr>
            <w:r>
              <w:rPr>
                <w:rFonts w:hint="eastAsia"/>
              </w:rPr>
              <w:t>问题应闭环，经验应固化</w:t>
            </w:r>
          </w:p>
        </w:tc>
      </w:tr>
    </w:tbl>
    <w:p w14:paraId="52B510FA">
      <w:pPr>
        <w:pStyle w:val="105"/>
        <w:spacing w:before="120" w:after="120" w:line="360" w:lineRule="auto"/>
      </w:pPr>
      <w:r>
        <w:rPr>
          <w:rFonts w:hint="eastAsia"/>
        </w:rPr>
        <w:t>禁止性要求</w:t>
      </w:r>
    </w:p>
    <w:p w14:paraId="0509B9BF">
      <w:pPr>
        <w:pStyle w:val="165"/>
        <w:spacing w:line="360" w:lineRule="auto"/>
      </w:pPr>
      <w:r>
        <w:rPr>
          <w:rFonts w:hint="eastAsia"/>
        </w:rPr>
        <w:t>不得在未履行审批程序的情况下直接实施重要变更。</w:t>
      </w:r>
    </w:p>
    <w:p w14:paraId="4496DAD4">
      <w:pPr>
        <w:pStyle w:val="165"/>
        <w:spacing w:line="360" w:lineRule="auto"/>
      </w:pPr>
      <w:r>
        <w:rPr>
          <w:rFonts w:hint="eastAsia"/>
        </w:rPr>
        <w:t>不得长期使用无权限控制、无日志留痕或者无备份机制的正式生产系统。</w:t>
      </w:r>
    </w:p>
    <w:p w14:paraId="788ADB1E">
      <w:pPr>
        <w:pStyle w:val="165"/>
        <w:spacing w:line="360" w:lineRule="auto"/>
      </w:pPr>
      <w:r>
        <w:rPr>
          <w:rFonts w:hint="eastAsia"/>
        </w:rPr>
        <w:t>不得对安全事件、异常变更和资料缺失问题只登记不整改。</w:t>
      </w:r>
    </w:p>
    <w:p w14:paraId="14574B83">
      <w:pPr>
        <w:pStyle w:val="165"/>
        <w:spacing w:line="360" w:lineRule="auto"/>
      </w:pPr>
      <w:r>
        <w:rPr>
          <w:rFonts w:hint="eastAsia"/>
        </w:rPr>
        <w:t>不得将与实际系统不一致的过期资料继续作为正式运维依据。</w:t>
      </w:r>
    </w:p>
    <w:p w14:paraId="1331722F">
      <w:pPr>
        <w:pStyle w:val="165"/>
        <w:spacing w:line="360" w:lineRule="auto"/>
      </w:pPr>
      <w:r>
        <w:rPr>
          <w:rFonts w:hint="eastAsia"/>
        </w:rPr>
        <w:t>不得在资料无法追溯、版本无法确认和责任无法落实的情况下认定系统运行规范。</w:t>
      </w:r>
    </w:p>
    <w:bookmarkEnd w:id="26"/>
    <w:p w14:paraId="74284B70">
      <w:pPr>
        <w:pStyle w:val="56"/>
        <w:ind w:firstLine="0" w:firstLineChars="0"/>
        <w:jc w:val="center"/>
      </w:pPr>
      <w:bookmarkStart w:id="57" w:name="BookMark8"/>
      <w:r>
        <w:rPr>
          <w:rFonts w:hint="eastAsia"/>
        </w:rPr>
        <w:drawing>
          <wp:inline distT="0" distB="0" distL="0" distR="0">
            <wp:extent cx="1485900" cy="317500"/>
            <wp:effectExtent l="0" t="0" r="0" b="6350"/>
            <wp:docPr id="1387800581" name="图片 3"/>
            <wp:cNvGraphicFramePr/>
            <a:graphic xmlns:a="http://schemas.openxmlformats.org/drawingml/2006/main">
              <a:graphicData uri="http://schemas.openxmlformats.org/drawingml/2006/picture">
                <pic:pic xmlns:pic="http://schemas.openxmlformats.org/drawingml/2006/picture">
                  <pic:nvPicPr>
                    <pic:cNvPr id="1387800581" name="图片 3"/>
                    <pic:cNvPicPr/>
                  </pic:nvPicPr>
                  <pic:blipFill>
                    <a:blip r:embed="rId28">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57"/>
    </w:p>
    <w:sectPr>
      <w:headerReference r:id="rId21" w:type="default"/>
      <w:footerReference r:id="rId23" w:type="default"/>
      <w:headerReference r:id="rId22" w:type="even"/>
      <w:footerReference r:id="rId24" w:type="even"/>
      <w:pgSz w:w="11906" w:h="16838"/>
      <w:pgMar w:top="1928" w:right="1134" w:bottom="1134" w:left="1134" w:header="1418" w:footer="1134" w:gutter="284"/>
      <w:pgNumType w:start="1"/>
      <w:cols w:space="425" w:num="1"/>
      <w:formProt w:val="0"/>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82C22D">
    <w:pPr>
      <w:pStyle w:val="17"/>
    </w:pPr>
    <w:r>
      <w:fldChar w:fldCharType="begin"/>
    </w:r>
    <w:r>
      <w:instrText xml:space="preserve">PAGE   \* MERGEFORMAT</w:instrText>
    </w:r>
    <w:r>
      <w:fldChar w:fldCharType="separate"/>
    </w:r>
    <w:r>
      <w:rPr>
        <w:lang w:val="zh-CN"/>
      </w:rPr>
      <w:t>2</w:t>
    </w:r>
    <w:r>
      <w:fldChar w:fldCharType="end"/>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A94BBC">
    <w:pPr>
      <w:pStyle w:val="51"/>
    </w:pPr>
    <w:r>
      <w:fldChar w:fldCharType="begin"/>
    </w:r>
    <w:r>
      <w:instrText xml:space="preserve"> PAGE   \* MERGEFORMAT \* MERGEFORMAT </w:instrText>
    </w:r>
    <w:r>
      <w:fldChar w:fldCharType="separate"/>
    </w:r>
    <w:r>
      <w:t>10</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849337">
    <w:pPr>
      <w:pStyle w:val="17"/>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65C18A">
    <w:pPr>
      <w:pStyle w:val="52"/>
    </w:pPr>
    <w:r>
      <w:fldChar w:fldCharType="begin"/>
    </w:r>
    <w:r>
      <w:instrText xml:space="preserve">PAGE   \* MERGEFORMAT</w:instrText>
    </w:r>
    <w:r>
      <w:fldChar w:fldCharType="separate"/>
    </w:r>
    <w:r>
      <w:rPr>
        <w:lang w:val="zh-CN"/>
      </w:rPr>
      <w:t>1</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9846EC">
    <w:pPr>
      <w:pStyle w:val="51"/>
    </w:pPr>
    <w:r>
      <w:fldChar w:fldCharType="begin"/>
    </w:r>
    <w:r>
      <w:instrText xml:space="preserve"> PAGE   \* MERGEFORMAT \* MERGEFORMAT </w:instrText>
    </w:r>
    <w:r>
      <w:fldChar w:fldCharType="separate"/>
    </w:r>
    <w:r>
      <w:t>II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D6C6B7">
    <w:pPr>
      <w:pStyle w:val="52"/>
    </w:pPr>
    <w:r>
      <w:fldChar w:fldCharType="begin"/>
    </w:r>
    <w:r>
      <w:instrText xml:space="preserve">PAGE   \* MERGEFORMAT</w:instrText>
    </w:r>
    <w:r>
      <w:fldChar w:fldCharType="separate"/>
    </w:r>
    <w:r>
      <w:rPr>
        <w:lang w:val="zh-CN"/>
      </w:rPr>
      <w:t>1</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D6D374">
    <w:pPr>
      <w:pStyle w:val="51"/>
    </w:pPr>
    <w:r>
      <w:fldChar w:fldCharType="begin"/>
    </w:r>
    <w:r>
      <w:instrText xml:space="preserve"> PAGE   \* MERGEFORMAT \* MERGEFORMAT </w:instrText>
    </w:r>
    <w:r>
      <w:fldChar w:fldCharType="separate"/>
    </w:r>
    <w:r>
      <w:t>I</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DDA474">
    <w:pPr>
      <w:pStyle w:val="52"/>
    </w:pPr>
    <w:r>
      <w:fldChar w:fldCharType="begin"/>
    </w:r>
    <w:r>
      <w:instrText xml:space="preserve">PAGE   \* MERGEFORMAT</w:instrText>
    </w:r>
    <w:r>
      <w:fldChar w:fldCharType="separate"/>
    </w:r>
    <w:r>
      <w:rPr>
        <w:lang w:val="zh-CN"/>
      </w:rPr>
      <w:t>1</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B2F09C">
    <w:pPr>
      <w:pStyle w:val="51"/>
    </w:pPr>
    <w:r>
      <w:fldChar w:fldCharType="begin"/>
    </w:r>
    <w:r>
      <w:instrText xml:space="preserve"> PAGE   \* MERGEFORMAT \* MERGEFORMAT </w:instrText>
    </w:r>
    <w:r>
      <w:fldChar w:fldCharType="separate"/>
    </w:r>
    <w:r>
      <w:t>1</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45FB89">
    <w:pPr>
      <w:pStyle w:val="52"/>
    </w:pPr>
    <w:r>
      <w:fldChar w:fldCharType="begin"/>
    </w:r>
    <w:r>
      <w:instrText xml:space="preserve">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B02859">
    <w:pPr>
      <w:pStyle w:val="18"/>
      <w:wordWrap w:val="0"/>
      <w:jc w:val="right"/>
      <w:rPr>
        <w:rFonts w:hint="eastAsia"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863A54">
    <w:pPr>
      <w:pStyle w:val="62"/>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rPr>
      <w:t>T/XZBX 0261—2026</w:t>
    </w:r>
    <w:r>
      <w:rPr>
        <w:rFonts w:hint="eastAsia"/>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FDBA31">
    <w:pPr>
      <w:pStyle w:val="18"/>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1C7098">
    <w:pPr>
      <w:pStyle w:val="61"/>
      <w:rPr>
        <w:rFonts w:hint="eastAsia"/>
      </w:rPr>
    </w:pPr>
    <w:r>
      <w:fldChar w:fldCharType="begin"/>
    </w:r>
    <w:r>
      <w:instrText xml:space="preserve"> STYLEREF  标准文件_文件编号  \* MERGEFORMAT </w:instrText>
    </w:r>
    <w:r>
      <w:fldChar w:fldCharType="separate"/>
    </w:r>
    <w:r>
      <w:t>T/XZBX 0261—2026</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D007A2">
    <w:pPr>
      <w:pStyle w:val="62"/>
      <w:rPr>
        <w:rFonts w:hint="eastAsia"/>
      </w:rPr>
    </w:pPr>
    <w:r>
      <w:rPr>
        <w:rFonts w:hint="eastAsia"/>
      </w:rPr>
      <w:fldChar w:fldCharType="begin"/>
    </w:r>
    <w:r>
      <w:rPr>
        <w:rFonts w:hint="eastAsia"/>
      </w:rPr>
      <w:instrText xml:space="preserve"> </w:instrText>
    </w:r>
    <w:r>
      <w:instrText xml:space="preserve">STYLEREF  标准文件_文件编号 \* MERGEFORMAT</w:instrText>
    </w:r>
    <w:r>
      <w:rPr>
        <w:rFonts w:hint="eastAsia"/>
      </w:rPr>
      <w:instrText xml:space="preserve"> </w:instrText>
    </w:r>
    <w:r>
      <w:rPr>
        <w:rFonts w:hint="eastAsia"/>
      </w:rPr>
      <w:fldChar w:fldCharType="separate"/>
    </w:r>
    <w:r>
      <w:rPr>
        <w:rFonts w:hint="eastAsia"/>
      </w:rPr>
      <w:t>T/XZBX 0261—2026</w:t>
    </w:r>
    <w:r>
      <w:rPr>
        <w:rFonts w:hint="eastAsia"/>
      </w:rP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B54FEE">
    <w:pPr>
      <w:pStyle w:val="61"/>
      <w:rPr>
        <w:rFonts w:hint="eastAsia"/>
      </w:rPr>
    </w:pPr>
    <w:r>
      <w:fldChar w:fldCharType="begin"/>
    </w:r>
    <w:r>
      <w:instrText xml:space="preserve"> STYLEREF  标准文件_文件编号  \* MERGEFORMAT </w:instrText>
    </w:r>
    <w:r>
      <w:fldChar w:fldCharType="separate"/>
    </w:r>
    <w:r>
      <w:t>T/XZBX 0261—2026</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78EEF0">
    <w:pPr>
      <w:pStyle w:val="62"/>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rPr>
      <w:t>T/XZBX 0261—2026</w:t>
    </w:r>
    <w:r>
      <w:rPr>
        <w:rFonts w:hint="eastAsia"/>
      </w:rP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7EAF36">
    <w:pPr>
      <w:pStyle w:val="61"/>
      <w:rPr>
        <w:rFonts w:hint="eastAsia"/>
      </w:rPr>
    </w:pPr>
    <w:r>
      <w:fldChar w:fldCharType="begin"/>
    </w:r>
    <w:r>
      <w:instrText xml:space="preserve"> STYLEREF  标准文件_文件编号  \* MERGEFORMAT </w:instrText>
    </w:r>
    <w:r>
      <w:fldChar w:fldCharType="separate"/>
    </w:r>
    <w:r>
      <w:t>T/XZBX 0261—2026</w:t>
    </w:r>
    <w: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BA6B57">
    <w:pPr>
      <w:pStyle w:val="62"/>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rPr>
      <w:t>T/XZBX 0261—2026</w:t>
    </w:r>
    <w:r>
      <w:rPr>
        <w:rFonts w:hint="eastAsia"/>
      </w:rP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D7ED11">
    <w:pPr>
      <w:pStyle w:val="61"/>
      <w:rPr>
        <w:rFonts w:hint="eastAsia"/>
      </w:rPr>
    </w:pPr>
    <w:r>
      <w:fldChar w:fldCharType="begin"/>
    </w:r>
    <w:r>
      <w:instrText xml:space="preserve"> STYLEREF  标准文件_文件编号  \* MERGEFORMAT </w:instrText>
    </w:r>
    <w:r>
      <w:fldChar w:fldCharType="separate"/>
    </w:r>
    <w:r>
      <w:t>T/XZBX 0261—2026</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14:cntxtalts w14:val="0"/>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attachedTemplate r:id="rId1"/>
  <w:documentProtection w:edit="forms" w:enforcement="0"/>
  <w:defaultTabStop w:val="420"/>
  <w:evenAndOddHeaders w:val="1"/>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2tDSwNLYwMrIwtjS2NDNT0lEKTi0uzszPAykwrAUASC/mvywAAAA="/>
  </w:docVars>
  <w:rsids>
    <w:rsidRoot w:val="00EB4D3D"/>
    <w:rsid w:val="0000040A"/>
    <w:rsid w:val="00000A94"/>
    <w:rsid w:val="00000B3B"/>
    <w:rsid w:val="00001972"/>
    <w:rsid w:val="00001D9A"/>
    <w:rsid w:val="00007B3A"/>
    <w:rsid w:val="000107E0"/>
    <w:rsid w:val="00011FDE"/>
    <w:rsid w:val="00012FFD"/>
    <w:rsid w:val="00014162"/>
    <w:rsid w:val="00014340"/>
    <w:rsid w:val="00016A9C"/>
    <w:rsid w:val="00016F8D"/>
    <w:rsid w:val="00022184"/>
    <w:rsid w:val="00022762"/>
    <w:rsid w:val="000238E0"/>
    <w:rsid w:val="000249DB"/>
    <w:rsid w:val="0002595E"/>
    <w:rsid w:val="000303C3"/>
    <w:rsid w:val="000331D3"/>
    <w:rsid w:val="000346A5"/>
    <w:rsid w:val="000359C3"/>
    <w:rsid w:val="00035A7D"/>
    <w:rsid w:val="000365ED"/>
    <w:rsid w:val="0004249A"/>
    <w:rsid w:val="00043282"/>
    <w:rsid w:val="000437A4"/>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E7144"/>
    <w:rsid w:val="000F06E1"/>
    <w:rsid w:val="000F0E3C"/>
    <w:rsid w:val="000F19D5"/>
    <w:rsid w:val="000F4050"/>
    <w:rsid w:val="000F4AEA"/>
    <w:rsid w:val="000F67E9"/>
    <w:rsid w:val="00104926"/>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4295A"/>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5347"/>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1562"/>
    <w:rsid w:val="002D42B5"/>
    <w:rsid w:val="002D4F1A"/>
    <w:rsid w:val="002D6EC6"/>
    <w:rsid w:val="002D79AC"/>
    <w:rsid w:val="002E039D"/>
    <w:rsid w:val="002E4D5A"/>
    <w:rsid w:val="002E6326"/>
    <w:rsid w:val="002E6AD9"/>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107C"/>
    <w:rsid w:val="003615D2"/>
    <w:rsid w:val="0036429C"/>
    <w:rsid w:val="003646F4"/>
    <w:rsid w:val="00364A53"/>
    <w:rsid w:val="003654CB"/>
    <w:rsid w:val="00365AA9"/>
    <w:rsid w:val="00365F86"/>
    <w:rsid w:val="00365F87"/>
    <w:rsid w:val="00366E89"/>
    <w:rsid w:val="003705F4"/>
    <w:rsid w:val="00370D58"/>
    <w:rsid w:val="00371316"/>
    <w:rsid w:val="00371849"/>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677B"/>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0A62"/>
    <w:rsid w:val="0041477A"/>
    <w:rsid w:val="004167A3"/>
    <w:rsid w:val="00432DAA"/>
    <w:rsid w:val="00434305"/>
    <w:rsid w:val="00435DF7"/>
    <w:rsid w:val="0043741A"/>
    <w:rsid w:val="0044083F"/>
    <w:rsid w:val="00441AE7"/>
    <w:rsid w:val="00445574"/>
    <w:rsid w:val="004467FB"/>
    <w:rsid w:val="00452D6B"/>
    <w:rsid w:val="00454484"/>
    <w:rsid w:val="0045517B"/>
    <w:rsid w:val="0046301D"/>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E754D"/>
    <w:rsid w:val="004F3690"/>
    <w:rsid w:val="004F391A"/>
    <w:rsid w:val="004F3CFB"/>
    <w:rsid w:val="004F6456"/>
    <w:rsid w:val="004F696E"/>
    <w:rsid w:val="004F6C71"/>
    <w:rsid w:val="00501139"/>
    <w:rsid w:val="0050363E"/>
    <w:rsid w:val="005039BC"/>
    <w:rsid w:val="005043BB"/>
    <w:rsid w:val="00504A3D"/>
    <w:rsid w:val="00505767"/>
    <w:rsid w:val="005073F0"/>
    <w:rsid w:val="00510A7B"/>
    <w:rsid w:val="00511367"/>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554A5"/>
    <w:rsid w:val="00561475"/>
    <w:rsid w:val="00562308"/>
    <w:rsid w:val="0056487B"/>
    <w:rsid w:val="00564FB9"/>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8DA"/>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0439"/>
    <w:rsid w:val="006015CE"/>
    <w:rsid w:val="00604784"/>
    <w:rsid w:val="00606419"/>
    <w:rsid w:val="00607D29"/>
    <w:rsid w:val="00612952"/>
    <w:rsid w:val="00614CC1"/>
    <w:rsid w:val="00615A9D"/>
    <w:rsid w:val="00617387"/>
    <w:rsid w:val="006205D6"/>
    <w:rsid w:val="0062320A"/>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396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5D3A"/>
    <w:rsid w:val="007A6FD9"/>
    <w:rsid w:val="007A7FFA"/>
    <w:rsid w:val="007B04EB"/>
    <w:rsid w:val="007B0D4F"/>
    <w:rsid w:val="007B25B2"/>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40617"/>
    <w:rsid w:val="00840F84"/>
    <w:rsid w:val="00842A47"/>
    <w:rsid w:val="00843C13"/>
    <w:rsid w:val="00843DEF"/>
    <w:rsid w:val="008454F8"/>
    <w:rsid w:val="0085173A"/>
    <w:rsid w:val="00855379"/>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6D9"/>
    <w:rsid w:val="008A173B"/>
    <w:rsid w:val="008A1893"/>
    <w:rsid w:val="008A57E6"/>
    <w:rsid w:val="008A6F81"/>
    <w:rsid w:val="008A769A"/>
    <w:rsid w:val="008B0C9C"/>
    <w:rsid w:val="008B166D"/>
    <w:rsid w:val="008B17F4"/>
    <w:rsid w:val="008B3615"/>
    <w:rsid w:val="008B4AC4"/>
    <w:rsid w:val="008B50C8"/>
    <w:rsid w:val="008B5281"/>
    <w:rsid w:val="008B7E05"/>
    <w:rsid w:val="008C0337"/>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77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496B"/>
    <w:rsid w:val="009B6029"/>
    <w:rsid w:val="009B6971"/>
    <w:rsid w:val="009C27F1"/>
    <w:rsid w:val="009C3152"/>
    <w:rsid w:val="009C3257"/>
    <w:rsid w:val="009C4CFA"/>
    <w:rsid w:val="009C5070"/>
    <w:rsid w:val="009D0F92"/>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57BFB"/>
    <w:rsid w:val="00A648CD"/>
    <w:rsid w:val="00A6537A"/>
    <w:rsid w:val="00A67866"/>
    <w:rsid w:val="00A70B07"/>
    <w:rsid w:val="00A723F8"/>
    <w:rsid w:val="00A72C56"/>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819"/>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0B"/>
    <w:rsid w:val="00AE101C"/>
    <w:rsid w:val="00AE2A69"/>
    <w:rsid w:val="00AE37E5"/>
    <w:rsid w:val="00AE5EB4"/>
    <w:rsid w:val="00AF0C18"/>
    <w:rsid w:val="00AF47B8"/>
    <w:rsid w:val="00AF47C5"/>
    <w:rsid w:val="00AF5398"/>
    <w:rsid w:val="00B049AF"/>
    <w:rsid w:val="00B07242"/>
    <w:rsid w:val="00B10534"/>
    <w:rsid w:val="00B113DB"/>
    <w:rsid w:val="00B11D8A"/>
    <w:rsid w:val="00B12981"/>
    <w:rsid w:val="00B12BD0"/>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018"/>
    <w:rsid w:val="00C643F9"/>
    <w:rsid w:val="00C64E95"/>
    <w:rsid w:val="00C71372"/>
    <w:rsid w:val="00C72410"/>
    <w:rsid w:val="00C7287F"/>
    <w:rsid w:val="00C747AC"/>
    <w:rsid w:val="00C80CB8"/>
    <w:rsid w:val="00C819F8"/>
    <w:rsid w:val="00C8248C"/>
    <w:rsid w:val="00C84E33"/>
    <w:rsid w:val="00C86D6F"/>
    <w:rsid w:val="00C905FC"/>
    <w:rsid w:val="00C90A55"/>
    <w:rsid w:val="00C92D03"/>
    <w:rsid w:val="00C9319C"/>
    <w:rsid w:val="00C9435D"/>
    <w:rsid w:val="00C94DF2"/>
    <w:rsid w:val="00C96741"/>
    <w:rsid w:val="00CA0EED"/>
    <w:rsid w:val="00CA2D1B"/>
    <w:rsid w:val="00CA375D"/>
    <w:rsid w:val="00CA662A"/>
    <w:rsid w:val="00CA7AFD"/>
    <w:rsid w:val="00CA7C3C"/>
    <w:rsid w:val="00CB0189"/>
    <w:rsid w:val="00CB0BA2"/>
    <w:rsid w:val="00CB1A42"/>
    <w:rsid w:val="00CB1B0C"/>
    <w:rsid w:val="00CB2C0B"/>
    <w:rsid w:val="00CB517D"/>
    <w:rsid w:val="00CC038D"/>
    <w:rsid w:val="00CC03B4"/>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CE"/>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4647"/>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07149"/>
    <w:rsid w:val="00E11A85"/>
    <w:rsid w:val="00E12495"/>
    <w:rsid w:val="00E15CCD"/>
    <w:rsid w:val="00E202EF"/>
    <w:rsid w:val="00E21088"/>
    <w:rsid w:val="00E210B5"/>
    <w:rsid w:val="00E2552F"/>
    <w:rsid w:val="00E27DF1"/>
    <w:rsid w:val="00E3137A"/>
    <w:rsid w:val="00E32CCF"/>
    <w:rsid w:val="00E34A98"/>
    <w:rsid w:val="00E35D1E"/>
    <w:rsid w:val="00E364F9"/>
    <w:rsid w:val="00E365FA"/>
    <w:rsid w:val="00E36789"/>
    <w:rsid w:val="00E37188"/>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77B66"/>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4D3D"/>
    <w:rsid w:val="00EB5A1D"/>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6F00"/>
    <w:rsid w:val="00F25BB6"/>
    <w:rsid w:val="00F26B7E"/>
    <w:rsid w:val="00F27A3B"/>
    <w:rsid w:val="00F32780"/>
    <w:rsid w:val="00F33817"/>
    <w:rsid w:val="00F420D5"/>
    <w:rsid w:val="00F44653"/>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4A43"/>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156929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uiPriority="39" w:semiHidden="0" w:name="toc 6"/>
    <w:lsdException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nhideWhenUsed="0" w:uiPriority="0" w:name="table of figures"/>
    <w:lsdException w:uiPriority="99" w:name="envelope address"/>
    <w:lsdException w:uiPriority="99" w:name="envelope return"/>
    <w:lsdException w:unhideWhenUsed="0" w:uiPriority="0" w:name="footnote reference"/>
    <w:lsdException w:uiPriority="99"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qFormat/>
    <w:uiPriority w:val="1"/>
  </w:style>
  <w:style w:type="table" w:default="1" w:styleId="26">
    <w:name w:val="Normal Table"/>
    <w:semiHidden/>
    <w:unhideWhenUsed/>
    <w:uiPriority w:val="99"/>
    <w:tblPr>
      <w:tblCellMar>
        <w:top w:w="0" w:type="dxa"/>
        <w:left w:w="108" w:type="dxa"/>
        <w:bottom w:w="0" w:type="dxa"/>
        <w:right w:w="108" w:type="dxa"/>
      </w:tblCellMar>
    </w:tblPr>
  </w:style>
  <w:style w:type="paragraph" w:styleId="11">
    <w:name w:val="toc 7"/>
    <w:basedOn w:val="1"/>
    <w:next w:val="1"/>
    <w:autoRedefine/>
    <w:unhideWhenUsed/>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6"/>
    <w:uiPriority w:val="0"/>
    <w:pPr>
      <w:spacing w:after="120"/>
    </w:pPr>
  </w:style>
  <w:style w:type="paragraph" w:styleId="14">
    <w:name w:val="toc 5"/>
    <w:basedOn w:val="1"/>
    <w:next w:val="1"/>
    <w:autoRedefine/>
    <w:unhideWhenUsed/>
    <w:qFormat/>
    <w:uiPriority w:val="39"/>
    <w:pPr>
      <w:ind w:left="839"/>
    </w:pPr>
    <w:rPr>
      <w:rFonts w:ascii="宋体"/>
    </w:rPr>
  </w:style>
  <w:style w:type="paragraph" w:styleId="15">
    <w:name w:val="toc 3"/>
    <w:basedOn w:val="1"/>
    <w:next w:val="1"/>
    <w:autoRedefine/>
    <w:unhideWhenUsed/>
    <w:qFormat/>
    <w:uiPriority w:val="39"/>
    <w:pPr>
      <w:spacing w:line="300" w:lineRule="exact"/>
      <w:ind w:left="420"/>
    </w:pPr>
    <w:rPr>
      <w:rFonts w:ascii="宋体"/>
    </w:rPr>
  </w:style>
  <w:style w:type="paragraph" w:styleId="16">
    <w:name w:val="Balloon Text"/>
    <w:basedOn w:val="1"/>
    <w:link w:val="45"/>
    <w:semiHidden/>
    <w:unhideWhenUsed/>
    <w:qFormat/>
    <w:uiPriority w:val="99"/>
    <w:rPr>
      <w:sz w:val="18"/>
      <w:szCs w:val="18"/>
    </w:rPr>
  </w:style>
  <w:style w:type="paragraph" w:styleId="17">
    <w:name w:val="footer"/>
    <w:basedOn w:val="1"/>
    <w:link w:val="44"/>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qFormat/>
    <w:uiPriority w:val="99"/>
    <w:pPr>
      <w:tabs>
        <w:tab w:val="center" w:pos="4153"/>
        <w:tab w:val="right" w:pos="8306"/>
      </w:tabs>
      <w:adjustRightInd/>
      <w:snapToGrid w:val="0"/>
      <w:jc w:val="center"/>
    </w:pPr>
    <w:rPr>
      <w:sz w:val="18"/>
      <w:szCs w:val="18"/>
    </w:rPr>
  </w:style>
  <w:style w:type="paragraph" w:styleId="19">
    <w:name w:val="toc 1"/>
    <w:basedOn w:val="1"/>
    <w:next w:val="1"/>
    <w:autoRedefine/>
    <w:unhideWhenUsed/>
    <w:qFormat/>
    <w:uiPriority w:val="39"/>
    <w:rPr>
      <w:rFonts w:ascii="宋体"/>
    </w:rPr>
  </w:style>
  <w:style w:type="paragraph" w:styleId="20">
    <w:name w:val="toc 4"/>
    <w:basedOn w:val="1"/>
    <w:next w:val="1"/>
    <w:autoRedefine/>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uiPriority w:val="39"/>
    <w:pPr>
      <w:spacing w:line="300" w:lineRule="exact"/>
      <w:ind w:left="1049"/>
    </w:pPr>
    <w:rPr>
      <w:rFonts w:ascii="宋体"/>
    </w:rPr>
  </w:style>
  <w:style w:type="paragraph" w:styleId="23">
    <w:name w:val="table of figures"/>
    <w:basedOn w:val="1"/>
    <w:next w:val="1"/>
    <w:semiHidden/>
    <w:uiPriority w:val="0"/>
    <w:pPr>
      <w:adjustRightInd/>
      <w:spacing w:line="240" w:lineRule="auto"/>
      <w:jc w:val="left"/>
    </w:pPr>
    <w:rPr>
      <w:szCs w:val="24"/>
    </w:rPr>
  </w:style>
  <w:style w:type="paragraph" w:styleId="24">
    <w:name w:val="toc 2"/>
    <w:basedOn w:val="1"/>
    <w:next w:val="1"/>
    <w:autoRedefine/>
    <w:unhideWhenUsed/>
    <w:qFormat/>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22"/>
    <w:rPr>
      <w:b/>
      <w:bCs/>
    </w:rPr>
  </w:style>
  <w:style w:type="character" w:styleId="30">
    <w:name w:val="page number"/>
    <w:uiPriority w:val="0"/>
    <w:rPr>
      <w:rFonts w:ascii="宋体" w:hAnsi="Times New Roman" w:eastAsia="宋体"/>
      <w:sz w:val="18"/>
    </w:rPr>
  </w:style>
  <w:style w:type="character" w:styleId="31">
    <w:name w:val="Emphasis"/>
    <w:qFormat/>
    <w:uiPriority w:val="20"/>
    <w:rPr>
      <w:i/>
      <w:iCs/>
    </w:rPr>
  </w:style>
  <w:style w:type="character" w:styleId="32">
    <w:name w:val="Hyperlink"/>
    <w:uiPriority w:val="99"/>
    <w:rPr>
      <w:rFonts w:ascii="宋体" w:hAnsi="Times New Roman" w:eastAsia="宋体"/>
      <w:color w:val="auto"/>
      <w:spacing w:val="0"/>
      <w:w w:val="100"/>
      <w:position w:val="0"/>
      <w:sz w:val="21"/>
      <w:u w:val="none"/>
      <w:vertAlign w:val="baseline"/>
    </w:rPr>
  </w:style>
  <w:style w:type="character" w:styleId="33">
    <w:name w:val="footnote reference"/>
    <w:semiHidden/>
    <w:uiPriority w:val="0"/>
    <w:rPr>
      <w:rFonts w:ascii="宋体" w:hAnsi="宋体" w:eastAsia="宋体" w:cs="Times New Roman"/>
      <w:spacing w:val="0"/>
      <w:sz w:val="18"/>
      <w:vertAlign w:val="superscript"/>
    </w:rPr>
  </w:style>
  <w:style w:type="character" w:customStyle="1" w:styleId="34">
    <w:name w:val="标题 1 字符"/>
    <w:link w:val="2"/>
    <w:uiPriority w:val="0"/>
    <w:rPr>
      <w:b/>
      <w:bCs/>
      <w:kern w:val="44"/>
      <w:sz w:val="44"/>
      <w:szCs w:val="44"/>
    </w:rPr>
  </w:style>
  <w:style w:type="character" w:customStyle="1" w:styleId="35">
    <w:name w:val="标题 2 字符"/>
    <w:link w:val="3"/>
    <w:qFormat/>
    <w:uiPriority w:val="0"/>
    <w:rPr>
      <w:rFonts w:ascii="Arial" w:hAnsi="Arial" w:eastAsia="黑体"/>
      <w:b/>
      <w:bCs/>
      <w:kern w:val="2"/>
      <w:sz w:val="32"/>
      <w:szCs w:val="32"/>
    </w:rPr>
  </w:style>
  <w:style w:type="character" w:customStyle="1" w:styleId="36">
    <w:name w:val="标题 3 字符"/>
    <w:link w:val="4"/>
    <w:qFormat/>
    <w:uiPriority w:val="0"/>
    <w:rPr>
      <w:b/>
      <w:bCs/>
      <w:kern w:val="2"/>
      <w:sz w:val="32"/>
      <w:szCs w:val="32"/>
    </w:rPr>
  </w:style>
  <w:style w:type="character" w:customStyle="1" w:styleId="37">
    <w:name w:val="标题 4 字符"/>
    <w:link w:val="5"/>
    <w:qFormat/>
    <w:uiPriority w:val="0"/>
    <w:rPr>
      <w:rFonts w:ascii="Arial" w:hAnsi="Arial" w:eastAsia="黑体"/>
      <w:b/>
      <w:bCs/>
      <w:kern w:val="2"/>
      <w:sz w:val="28"/>
      <w:szCs w:val="28"/>
    </w:rPr>
  </w:style>
  <w:style w:type="character" w:customStyle="1" w:styleId="38">
    <w:name w:val="标题 5 字符"/>
    <w:link w:val="6"/>
    <w:qFormat/>
    <w:uiPriority w:val="0"/>
    <w:rPr>
      <w:b/>
      <w:bCs/>
      <w:kern w:val="2"/>
      <w:sz w:val="28"/>
      <w:szCs w:val="28"/>
    </w:rPr>
  </w:style>
  <w:style w:type="character" w:customStyle="1" w:styleId="39">
    <w:name w:val="标题 6 字符"/>
    <w:link w:val="7"/>
    <w:qFormat/>
    <w:uiPriority w:val="0"/>
    <w:rPr>
      <w:rFonts w:ascii="Arial" w:hAnsi="Arial" w:eastAsia="黑体"/>
      <w:b/>
      <w:bCs/>
      <w:kern w:val="2"/>
      <w:sz w:val="24"/>
      <w:szCs w:val="24"/>
    </w:rPr>
  </w:style>
  <w:style w:type="character" w:customStyle="1" w:styleId="40">
    <w:name w:val="标题 7 字符"/>
    <w:link w:val="8"/>
    <w:qFormat/>
    <w:uiPriority w:val="0"/>
    <w:rPr>
      <w:b/>
      <w:bCs/>
      <w:kern w:val="2"/>
      <w:sz w:val="24"/>
      <w:szCs w:val="24"/>
    </w:rPr>
  </w:style>
  <w:style w:type="character" w:customStyle="1" w:styleId="41">
    <w:name w:val="标题 8 字符"/>
    <w:link w:val="9"/>
    <w:qFormat/>
    <w:uiPriority w:val="0"/>
    <w:rPr>
      <w:rFonts w:ascii="Arial" w:hAnsi="Arial" w:eastAsia="黑体"/>
      <w:kern w:val="2"/>
      <w:sz w:val="24"/>
      <w:szCs w:val="24"/>
    </w:rPr>
  </w:style>
  <w:style w:type="character" w:customStyle="1" w:styleId="42">
    <w:name w:val="标题 9 字符"/>
    <w:link w:val="10"/>
    <w:qFormat/>
    <w:uiPriority w:val="0"/>
    <w:rPr>
      <w:rFonts w:ascii="Arial" w:hAnsi="Arial" w:eastAsia="黑体"/>
      <w:kern w:val="2"/>
      <w:sz w:val="21"/>
      <w:szCs w:val="21"/>
    </w:rPr>
  </w:style>
  <w:style w:type="character" w:customStyle="1" w:styleId="43">
    <w:name w:val="页眉 字符"/>
    <w:link w:val="18"/>
    <w:qFormat/>
    <w:uiPriority w:val="99"/>
    <w:rPr>
      <w:kern w:val="2"/>
      <w:sz w:val="18"/>
      <w:szCs w:val="18"/>
    </w:rPr>
  </w:style>
  <w:style w:type="character" w:customStyle="1" w:styleId="44">
    <w:name w:val="页脚 字符"/>
    <w:link w:val="17"/>
    <w:qFormat/>
    <w:uiPriority w:val="99"/>
    <w:rPr>
      <w:rFonts w:ascii="宋体"/>
      <w:kern w:val="2"/>
      <w:sz w:val="18"/>
      <w:szCs w:val="18"/>
    </w:rPr>
  </w:style>
  <w:style w:type="character" w:customStyle="1" w:styleId="45">
    <w:name w:val="批注框文本 字符"/>
    <w:link w:val="16"/>
    <w:semiHidden/>
    <w:qFormat/>
    <w:uiPriority w:val="99"/>
    <w:rPr>
      <w:kern w:val="2"/>
      <w:sz w:val="18"/>
      <w:szCs w:val="18"/>
    </w:rPr>
  </w:style>
  <w:style w:type="paragraph" w:styleId="46">
    <w:name w:val="Quote"/>
    <w:basedOn w:val="1"/>
    <w:next w:val="1"/>
    <w:link w:val="47"/>
    <w:qFormat/>
    <w:uiPriority w:val="29"/>
    <w:rPr>
      <w:i/>
      <w:iCs/>
      <w:color w:val="000000"/>
    </w:rPr>
  </w:style>
  <w:style w:type="character" w:customStyle="1" w:styleId="47">
    <w:name w:val="引用 字符"/>
    <w:link w:val="46"/>
    <w:qFormat/>
    <w:uiPriority w:val="29"/>
    <w:rPr>
      <w:i/>
      <w:iCs/>
      <w:color w:val="000000"/>
      <w:kern w:val="2"/>
      <w:sz w:val="21"/>
      <w:szCs w:val="21"/>
    </w:rPr>
  </w:style>
  <w:style w:type="character" w:customStyle="1" w:styleId="48">
    <w:name w:val="标题 字符"/>
    <w:link w:val="25"/>
    <w:qFormat/>
    <w:uiPriority w:val="0"/>
    <w:rPr>
      <w:rFonts w:ascii="Arial" w:hAnsi="Arial" w:cs="Arial"/>
      <w:b/>
      <w:bCs/>
      <w:kern w:val="2"/>
      <w:sz w:val="32"/>
      <w:szCs w:val="32"/>
    </w:rPr>
  </w:style>
  <w:style w:type="paragraph" w:customStyle="1" w:styleId="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uiPriority w:val="0"/>
    <w:pPr>
      <w:spacing w:line="0" w:lineRule="atLeast"/>
    </w:pPr>
    <w:rPr>
      <w:rFonts w:ascii="黑体" w:hAnsi="宋体" w:eastAsia="黑体"/>
    </w:rPr>
  </w:style>
  <w:style w:type="paragraph" w:customStyle="1" w:styleId="55">
    <w:name w:val="标准文件_标准正文"/>
    <w:basedOn w:val="1"/>
    <w:next w:val="56"/>
    <w:qFormat/>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qFormat/>
    <w:uiPriority w:val="0"/>
    <w:pPr>
      <w:adjustRightInd/>
      <w:snapToGrid/>
      <w:ind w:firstLine="0" w:firstLineChars="0"/>
    </w:pPr>
    <w:rPr>
      <w:rFonts w:ascii="宋体" w:hAnsi="宋体"/>
      <w:kern w:val="2"/>
    </w:rPr>
  </w:style>
  <w:style w:type="paragraph" w:customStyle="1" w:styleId="58">
    <w:name w:val="标准文件_标准部门"/>
    <w:basedOn w:val="1"/>
    <w:qFormat/>
    <w:uiPriority w:val="0"/>
    <w:pPr>
      <w:jc w:val="center"/>
    </w:pPr>
    <w:rPr>
      <w:rFonts w:ascii="黑体" w:eastAsia="黑体"/>
      <w:kern w:val="0"/>
      <w:sz w:val="44"/>
    </w:rPr>
  </w:style>
  <w:style w:type="paragraph" w:customStyle="1" w:styleId="59">
    <w:name w:val="标准文件_标准代替"/>
    <w:basedOn w:val="1"/>
    <w:next w:val="1"/>
    <w:qFormat/>
    <w:uiPriority w:val="0"/>
    <w:pPr>
      <w:spacing w:line="310" w:lineRule="exact"/>
      <w:jc w:val="right"/>
    </w:pPr>
    <w:rPr>
      <w:rFonts w:ascii="宋体" w:hAnsi="宋体"/>
      <w:kern w:val="0"/>
    </w:rPr>
  </w:style>
  <w:style w:type="paragraph" w:customStyle="1" w:styleId="60">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qFormat/>
    <w:uiPriority w:val="0"/>
    <w:pPr>
      <w:jc w:val="left"/>
    </w:pPr>
  </w:style>
  <w:style w:type="paragraph" w:customStyle="1" w:styleId="63">
    <w:name w:val="标准文件_参考文献标题"/>
    <w:basedOn w:val="1"/>
    <w:next w:val="1"/>
    <w:qFormat/>
    <w:uiPriority w:val="0"/>
    <w:pPr>
      <w:widowControl/>
      <w:shd w:val="clear" w:color="FFFFFF" w:fill="FFFFFF"/>
      <w:adjustRightInd/>
      <w:spacing w:before="560" w:after="50" w:afterLines="50" w:line="240" w:lineRule="auto"/>
      <w:jc w:val="center"/>
      <w:outlineLvl w:val="0"/>
    </w:pPr>
    <w:rPr>
      <w:rFonts w:ascii="黑体" w:eastAsia="黑体"/>
      <w:kern w:val="0"/>
    </w:rPr>
  </w:style>
  <w:style w:type="paragraph" w:customStyle="1" w:styleId="64">
    <w:name w:val="标准文件_参考文献条目"/>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qFormat/>
    <w:uiPriority w:val="0"/>
    <w:rPr>
      <w:rFonts w:ascii="黑体" w:eastAsia="黑体"/>
      <w:spacing w:val="0"/>
      <w:w w:val="100"/>
      <w:position w:val="3"/>
      <w:sz w:val="28"/>
    </w:rPr>
  </w:style>
  <w:style w:type="paragraph" w:customStyle="1" w:styleId="67">
    <w:name w:val="标准文件_方框数字列项"/>
    <w:basedOn w:val="56"/>
    <w:qFormat/>
    <w:uiPriority w:val="0"/>
    <w:pPr>
      <w:numPr>
        <w:ilvl w:val="0"/>
        <w:numId w:val="3"/>
      </w:numPr>
      <w:ind w:firstLine="0" w:firstLineChars="0"/>
    </w:pPr>
  </w:style>
  <w:style w:type="paragraph" w:customStyle="1" w:styleId="68">
    <w:name w:val="标准文件_封面标准编号"/>
    <w:basedOn w:val="1"/>
    <w:next w:val="59"/>
    <w:qFormat/>
    <w:uiPriority w:val="0"/>
    <w:pPr>
      <w:spacing w:line="310" w:lineRule="exact"/>
      <w:jc w:val="right"/>
    </w:pPr>
    <w:rPr>
      <w:rFonts w:ascii="黑体" w:eastAsia="黑体"/>
      <w:kern w:val="0"/>
      <w:sz w:val="28"/>
    </w:rPr>
  </w:style>
  <w:style w:type="paragraph" w:customStyle="1" w:styleId="69">
    <w:name w:val="标准文件_封面标准分类号"/>
    <w:basedOn w:val="1"/>
    <w:qFormat/>
    <w:uiPriority w:val="0"/>
    <w:rPr>
      <w:rFonts w:ascii="黑体" w:eastAsia="黑体"/>
      <w:b/>
      <w:kern w:val="0"/>
      <w:sz w:val="28"/>
    </w:rPr>
  </w:style>
  <w:style w:type="paragraph" w:customStyle="1" w:styleId="70">
    <w:name w:val="标准文件_封面标准名称"/>
    <w:basedOn w:val="1"/>
    <w:qFormat/>
    <w:uiPriority w:val="0"/>
    <w:pPr>
      <w:spacing w:line="240" w:lineRule="auto"/>
      <w:jc w:val="center"/>
    </w:pPr>
    <w:rPr>
      <w:rFonts w:ascii="黑体" w:eastAsia="黑体"/>
      <w:kern w:val="0"/>
      <w:sz w:val="52"/>
    </w:rPr>
  </w:style>
  <w:style w:type="paragraph" w:customStyle="1" w:styleId="71">
    <w:name w:val="标准文件_封面标准英文名称"/>
    <w:basedOn w:val="1"/>
    <w:uiPriority w:val="0"/>
    <w:pPr>
      <w:spacing w:line="240" w:lineRule="auto"/>
      <w:jc w:val="center"/>
    </w:pPr>
    <w:rPr>
      <w:rFonts w:ascii="黑体" w:eastAsia="黑体"/>
      <w:b/>
      <w:sz w:val="28"/>
    </w:rPr>
  </w:style>
  <w:style w:type="paragraph" w:customStyle="1" w:styleId="72">
    <w:name w:val="标准文件_封面发布日期"/>
    <w:basedOn w:val="1"/>
    <w:qFormat/>
    <w:uiPriority w:val="0"/>
    <w:pPr>
      <w:spacing w:line="310" w:lineRule="exact"/>
    </w:pPr>
    <w:rPr>
      <w:rFonts w:ascii="黑体" w:eastAsia="黑体"/>
      <w:kern w:val="0"/>
      <w:sz w:val="28"/>
    </w:rPr>
  </w:style>
  <w:style w:type="paragraph" w:customStyle="1" w:styleId="73">
    <w:name w:val="标准文件_封面密级"/>
    <w:basedOn w:val="1"/>
    <w:qFormat/>
    <w:uiPriority w:val="0"/>
    <w:rPr>
      <w:rFonts w:eastAsia="黑体"/>
      <w:sz w:val="32"/>
    </w:rPr>
  </w:style>
  <w:style w:type="paragraph" w:customStyle="1" w:styleId="74">
    <w:name w:val="标准文件_封面实施日期"/>
    <w:basedOn w:val="1"/>
    <w:qFormat/>
    <w:uiPriority w:val="0"/>
    <w:pPr>
      <w:spacing w:line="310" w:lineRule="exact"/>
      <w:jc w:val="right"/>
    </w:pPr>
    <w:rPr>
      <w:rFonts w:ascii="黑体" w:eastAsia="黑体"/>
      <w:sz w:val="28"/>
    </w:rPr>
  </w:style>
  <w:style w:type="paragraph" w:customStyle="1" w:styleId="75">
    <w:name w:val="标准文件_封面抬头"/>
    <w:basedOn w:val="56"/>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字符"/>
    <w:link w:val="13"/>
    <w:uiPriority w:val="0"/>
    <w:rPr>
      <w:kern w:val="2"/>
      <w:sz w:val="21"/>
      <w:szCs w:val="21"/>
    </w:rPr>
  </w:style>
  <w:style w:type="paragraph" w:customStyle="1" w:styleId="87">
    <w:name w:val="标准文件_附录章标题"/>
    <w:next w:val="56"/>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qFormat/>
    <w:uiPriority w:val="0"/>
    <w:pPr>
      <w:ind w:left="488" w:leftChars="200" w:hanging="289" w:hangingChars="290"/>
    </w:pPr>
  </w:style>
  <w:style w:type="paragraph" w:customStyle="1" w:styleId="89">
    <w:name w:val="标准文件_前言、引言标题"/>
    <w:next w:val="1"/>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uiPriority w:val="0"/>
    <w:pPr>
      <w:spacing w:line="460" w:lineRule="exact"/>
      <w:ind w:left="0" w:firstLine="0"/>
    </w:pPr>
  </w:style>
  <w:style w:type="paragraph" w:customStyle="1" w:styleId="91">
    <w:name w:val="标准文件_目录标题"/>
    <w:basedOn w:val="1"/>
    <w:uiPriority w:val="0"/>
    <w:pPr>
      <w:spacing w:before="480" w:after="150" w:afterLines="150" w:line="240" w:lineRule="auto"/>
      <w:jc w:val="center"/>
    </w:pPr>
    <w:rPr>
      <w:rFonts w:ascii="黑体" w:eastAsia="黑体"/>
      <w:sz w:val="32"/>
    </w:rPr>
  </w:style>
  <w:style w:type="paragraph" w:customStyle="1" w:styleId="92">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uiPriority w:val="0"/>
    <w:pPr>
      <w:numPr>
        <w:numId w:val="10"/>
      </w:numPr>
    </w:pPr>
  </w:style>
  <w:style w:type="paragraph" w:customStyle="1" w:styleId="94">
    <w:name w:val="标准文件_三级条标题"/>
    <w:basedOn w:val="65"/>
    <w:next w:val="56"/>
    <w:uiPriority w:val="0"/>
    <w:pPr>
      <w:widowControl/>
      <w:numPr>
        <w:ilvl w:val="4"/>
      </w:numPr>
      <w:outlineLvl w:val="3"/>
    </w:pPr>
  </w:style>
  <w:style w:type="character" w:customStyle="1" w:styleId="95">
    <w:name w:val="Subtle Reference"/>
    <w:qFormat/>
    <w:uiPriority w:val="31"/>
    <w:rPr>
      <w:smallCaps/>
      <w:color w:val="C0504D"/>
      <w:u w:val="single"/>
    </w:rPr>
  </w:style>
  <w:style w:type="paragraph" w:customStyle="1" w:styleId="96">
    <w:name w:val="标准文件_示例后续"/>
    <w:basedOn w:val="1"/>
    <w:uiPriority w:val="0"/>
    <w:pPr>
      <w:adjustRightInd/>
      <w:spacing w:line="240" w:lineRule="auto"/>
      <w:ind w:firstLine="200" w:firstLineChars="200"/>
    </w:pPr>
    <w:rPr>
      <w:sz w:val="18"/>
      <w:szCs w:val="24"/>
    </w:rPr>
  </w:style>
  <w:style w:type="paragraph" w:customStyle="1" w:styleId="97">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字符"/>
    <w:link w:val="21"/>
    <w:semiHidden/>
    <w:qFormat/>
    <w:uiPriority w:val="0"/>
    <w:rPr>
      <w:rFonts w:ascii="宋体"/>
      <w:kern w:val="2"/>
      <w:sz w:val="18"/>
      <w:szCs w:val="18"/>
    </w:rPr>
  </w:style>
  <w:style w:type="paragraph" w:customStyle="1" w:styleId="100">
    <w:name w:val="标准文件_条文脚注"/>
    <w:basedOn w:val="21"/>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qFormat/>
    <w:uiPriority w:val="0"/>
    <w:pPr>
      <w:numPr>
        <w:ilvl w:val="0"/>
        <w:numId w:val="12"/>
      </w:numPr>
      <w:spacing w:line="240" w:lineRule="auto"/>
      <w:jc w:val="left"/>
    </w:pPr>
    <w:rPr>
      <w:rFonts w:ascii="宋体" w:hAnsi="宋体"/>
      <w:sz w:val="18"/>
    </w:rPr>
  </w:style>
  <w:style w:type="character" w:customStyle="1" w:styleId="102">
    <w:name w:val="标准文件_图表脚注内容"/>
    <w:qFormat/>
    <w:uiPriority w:val="0"/>
    <w:rPr>
      <w:rFonts w:ascii="宋体" w:hAnsi="宋体" w:eastAsia="宋体" w:cs="Times New Roman"/>
      <w:spacing w:val="0"/>
      <w:sz w:val="18"/>
      <w:vertAlign w:val="superscript"/>
    </w:rPr>
  </w:style>
  <w:style w:type="paragraph" w:customStyle="1" w:styleId="103">
    <w:name w:val="标准文件_五级条标题"/>
    <w:next w:val="56"/>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qFormat/>
    <w:uiPriority w:val="0"/>
    <w:pPr>
      <w:numPr>
        <w:ilvl w:val="2"/>
      </w:numPr>
      <w:spacing w:before="50" w:beforeLines="50" w:after="50" w:afterLines="50"/>
      <w:outlineLvl w:val="1"/>
    </w:pPr>
  </w:style>
  <w:style w:type="paragraph" w:customStyle="1" w:styleId="106">
    <w:name w:val="标准文件_一致程度"/>
    <w:basedOn w:val="1"/>
    <w:uiPriority w:val="0"/>
    <w:pPr>
      <w:spacing w:line="440" w:lineRule="exact"/>
      <w:jc w:val="center"/>
    </w:pPr>
    <w:rPr>
      <w:sz w:val="28"/>
    </w:rPr>
  </w:style>
  <w:style w:type="paragraph" w:customStyle="1" w:styleId="107">
    <w:name w:val="标准文件_引言标题"/>
    <w:next w:val="1"/>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qFormat/>
    <w:uiPriority w:val="0"/>
    <w:pPr>
      <w:numPr>
        <w:ilvl w:val="3"/>
        <w:numId w:val="20"/>
      </w:numPr>
      <w:adjustRightInd/>
      <w:spacing w:line="240" w:lineRule="auto"/>
    </w:pPr>
    <w:rPr>
      <w:rFonts w:ascii="宋体" w:hAnsi="宋体"/>
      <w:szCs w:val="24"/>
    </w:rPr>
  </w:style>
  <w:style w:type="paragraph" w:customStyle="1" w:styleId="119">
    <w:name w:val="发布部门"/>
    <w:next w:val="56"/>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qFormat/>
    <w:uiPriority w:val="0"/>
    <w:pPr>
      <w:outlineLvl w:val="4"/>
    </w:pPr>
  </w:style>
  <w:style w:type="paragraph" w:customStyle="1" w:styleId="130">
    <w:name w:val="附录四级无标题条"/>
    <w:basedOn w:val="129"/>
    <w:next w:val="56"/>
    <w:uiPriority w:val="0"/>
    <w:pPr>
      <w:outlineLvl w:val="5"/>
    </w:pPr>
  </w:style>
  <w:style w:type="paragraph" w:customStyle="1" w:styleId="131">
    <w:name w:val="附录图"/>
    <w:next w:val="56"/>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qFormat/>
    <w:uiPriority w:val="0"/>
    <w:pPr>
      <w:outlineLvl w:val="6"/>
    </w:pPr>
  </w:style>
  <w:style w:type="paragraph" w:customStyle="1" w:styleId="134">
    <w:name w:val="附录性质"/>
    <w:basedOn w:val="1"/>
    <w:uiPriority w:val="0"/>
    <w:pPr>
      <w:widowControl/>
      <w:adjustRightInd/>
      <w:jc w:val="center"/>
    </w:pPr>
    <w:rPr>
      <w:rFonts w:ascii="黑体" w:eastAsia="黑体"/>
    </w:rPr>
  </w:style>
  <w:style w:type="paragraph" w:customStyle="1" w:styleId="135">
    <w:name w:val="附录一级无标题条"/>
    <w:basedOn w:val="87"/>
    <w:next w:val="56"/>
    <w:qFormat/>
    <w:uiPriority w:val="0"/>
    <w:pPr>
      <w:autoSpaceDN w:val="0"/>
      <w:outlineLvl w:val="2"/>
    </w:pPr>
    <w:rPr>
      <w:rFonts w:ascii="宋体" w:hAnsi="宋体" w:eastAsia="宋体"/>
    </w:rPr>
  </w:style>
  <w:style w:type="character" w:customStyle="1" w:styleId="136">
    <w:name w:val="个人答复风格"/>
    <w:uiPriority w:val="0"/>
    <w:rPr>
      <w:rFonts w:ascii="Arial" w:hAnsi="Arial" w:eastAsia="宋体" w:cs="Arial"/>
      <w:color w:val="auto"/>
      <w:spacing w:val="0"/>
      <w:sz w:val="20"/>
    </w:rPr>
  </w:style>
  <w:style w:type="character" w:customStyle="1" w:styleId="137">
    <w:name w:val="个人撰写风格"/>
    <w:uiPriority w:val="0"/>
    <w:rPr>
      <w:rFonts w:ascii="Arial" w:hAnsi="Arial" w:eastAsia="宋体" w:cs="Arial"/>
      <w:color w:val="auto"/>
      <w:spacing w:val="0"/>
      <w:sz w:val="20"/>
    </w:rPr>
  </w:style>
  <w:style w:type="paragraph" w:customStyle="1" w:styleId="138">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uiPriority w:val="0"/>
    <w:pPr>
      <w:tabs>
        <w:tab w:val="left" w:pos="840"/>
      </w:tabs>
    </w:pPr>
  </w:style>
  <w:style w:type="paragraph" w:customStyle="1" w:styleId="141">
    <w:name w:val="目次、索引正文"/>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autoRedefine/>
    <w:semiHidden/>
    <w:qFormat/>
    <w:uiPriority w:val="0"/>
    <w:pPr>
      <w:adjustRightInd/>
      <w:spacing w:line="240" w:lineRule="auto"/>
      <w:jc w:val="left"/>
    </w:pPr>
    <w:rPr>
      <w:bCs/>
      <w:iCs/>
    </w:rPr>
  </w:style>
  <w:style w:type="paragraph" w:customStyle="1" w:styleId="143">
    <w:name w:val="目录 31"/>
    <w:basedOn w:val="1"/>
    <w:next w:val="1"/>
    <w:autoRedefine/>
    <w:semiHidden/>
    <w:qFormat/>
    <w:uiPriority w:val="0"/>
    <w:pPr>
      <w:spacing w:line="240" w:lineRule="auto"/>
    </w:pPr>
    <w:rPr>
      <w:rFonts w:ascii="宋体" w:hAnsi="宋体"/>
      <w:iCs/>
    </w:rPr>
  </w:style>
  <w:style w:type="paragraph" w:customStyle="1" w:styleId="144">
    <w:name w:val="目录 41"/>
    <w:basedOn w:val="1"/>
    <w:next w:val="1"/>
    <w:autoRedefine/>
    <w:semiHidden/>
    <w:qFormat/>
    <w:uiPriority w:val="0"/>
    <w:pPr>
      <w:adjustRightInd/>
      <w:spacing w:line="240" w:lineRule="auto"/>
      <w:jc w:val="left"/>
    </w:pPr>
  </w:style>
  <w:style w:type="paragraph" w:customStyle="1" w:styleId="145">
    <w:name w:val="目录 51"/>
    <w:basedOn w:val="1"/>
    <w:next w:val="1"/>
    <w:autoRedefine/>
    <w:semiHidden/>
    <w:qFormat/>
    <w:uiPriority w:val="0"/>
    <w:pPr>
      <w:spacing w:line="240" w:lineRule="auto"/>
    </w:pPr>
    <w:rPr>
      <w:rFonts w:ascii="宋体" w:hAnsi="宋体"/>
    </w:rPr>
  </w:style>
  <w:style w:type="paragraph" w:customStyle="1" w:styleId="146">
    <w:name w:val="目录 61"/>
    <w:basedOn w:val="1"/>
    <w:next w:val="1"/>
    <w:autoRedefine/>
    <w:semiHidden/>
    <w:qFormat/>
    <w:uiPriority w:val="0"/>
    <w:pPr>
      <w:adjustRightInd/>
      <w:spacing w:line="240" w:lineRule="auto"/>
      <w:jc w:val="left"/>
    </w:pPr>
  </w:style>
  <w:style w:type="paragraph" w:customStyle="1" w:styleId="147">
    <w:name w:val="目录 71"/>
    <w:basedOn w:val="146"/>
    <w:autoRedefine/>
    <w:semiHidden/>
    <w:uiPriority w:val="0"/>
    <w:pPr>
      <w:ind w:left="1260"/>
    </w:pPr>
  </w:style>
  <w:style w:type="paragraph" w:customStyle="1" w:styleId="148">
    <w:name w:val="目录 81"/>
    <w:basedOn w:val="147"/>
    <w:autoRedefine/>
    <w:semiHidden/>
    <w:qFormat/>
    <w:uiPriority w:val="0"/>
    <w:pPr>
      <w:ind w:left="1470"/>
    </w:pPr>
  </w:style>
  <w:style w:type="paragraph" w:customStyle="1" w:styleId="149">
    <w:name w:val="目录 91"/>
    <w:basedOn w:val="148"/>
    <w:autoRedefine/>
    <w:semiHidden/>
    <w:qFormat/>
    <w:uiPriority w:val="0"/>
    <w:pPr>
      <w:ind w:left="1680"/>
    </w:pPr>
  </w:style>
  <w:style w:type="paragraph" w:customStyle="1" w:styleId="15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uiPriority w:val="0"/>
    <w:pPr>
      <w:framePr w:wrap="around"/>
      <w:spacing w:line="0" w:lineRule="atLeast"/>
    </w:pPr>
    <w:rPr>
      <w:rFonts w:ascii="黑体" w:eastAsia="黑体"/>
      <w:b w:val="0"/>
    </w:rPr>
  </w:style>
  <w:style w:type="paragraph" w:customStyle="1" w:styleId="152">
    <w:name w:val="前言标题"/>
    <w:next w:val="1"/>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uiPriority w:val="0"/>
    <w:pPr>
      <w:numPr>
        <w:ilvl w:val="4"/>
        <w:numId w:val="20"/>
      </w:numPr>
      <w:adjustRightInd/>
      <w:spacing w:line="240" w:lineRule="auto"/>
    </w:pPr>
    <w:rPr>
      <w:rFonts w:ascii="宋体" w:hAnsi="宋体"/>
      <w:szCs w:val="24"/>
    </w:rPr>
  </w:style>
  <w:style w:type="paragraph" w:customStyle="1" w:styleId="154">
    <w:name w:val="实施日期"/>
    <w:basedOn w:val="120"/>
    <w:uiPriority w:val="0"/>
    <w:pPr>
      <w:framePr w:hSpace="0" w:wrap="around" w:xAlign="right"/>
      <w:jc w:val="right"/>
    </w:pPr>
  </w:style>
  <w:style w:type="paragraph" w:customStyle="1" w:styleId="155">
    <w:name w:val="四级无标题条"/>
    <w:basedOn w:val="1"/>
    <w:uiPriority w:val="0"/>
    <w:pPr>
      <w:numPr>
        <w:ilvl w:val="5"/>
        <w:numId w:val="20"/>
      </w:numPr>
      <w:adjustRightInd/>
      <w:spacing w:line="240" w:lineRule="auto"/>
    </w:pPr>
    <w:rPr>
      <w:rFonts w:ascii="宋体" w:hAnsi="宋体"/>
      <w:szCs w:val="24"/>
    </w:rPr>
  </w:style>
  <w:style w:type="paragraph" w:customStyle="1" w:styleId="156">
    <w:name w:val="文献分类号"/>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qFormat/>
    <w:uiPriority w:val="0"/>
    <w:pPr>
      <w:numPr>
        <w:ilvl w:val="6"/>
        <w:numId w:val="20"/>
      </w:numPr>
      <w:adjustRightInd/>
    </w:pPr>
    <w:rPr>
      <w:szCs w:val="24"/>
    </w:rPr>
  </w:style>
  <w:style w:type="paragraph" w:customStyle="1" w:styleId="159">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0">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qFormat/>
    <w:uiPriority w:val="0"/>
    <w:rPr>
      <w:rFonts w:ascii="宋体" w:hAnsi="Times New Roman" w:eastAsia="宋体" w:cs="Times New Roman"/>
      <w:sz w:val="21"/>
      <w:lang w:val="en-US" w:eastAsia="zh-CN" w:bidi="ar-SA"/>
    </w:rPr>
  </w:style>
  <w:style w:type="paragraph" w:customStyle="1" w:styleId="172">
    <w:name w:val="标准文件_三级项"/>
    <w:basedOn w:val="1"/>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uiPriority w:val="99"/>
    <w:rPr>
      <w:color w:val="808080"/>
    </w:rPr>
  </w:style>
  <w:style w:type="paragraph" w:customStyle="1" w:styleId="187">
    <w:name w:val="标准文件_二级项2"/>
    <w:basedOn w:val="56"/>
    <w:qFormat/>
    <w:uiPriority w:val="0"/>
    <w:pPr>
      <w:numPr>
        <w:ilvl w:val="1"/>
        <w:numId w:val="21"/>
      </w:numPr>
      <w:ind w:firstLine="0" w:firstLineChars="0"/>
    </w:pPr>
  </w:style>
  <w:style w:type="paragraph" w:customStyle="1" w:styleId="188">
    <w:name w:val="标准文件_三级项2"/>
    <w:basedOn w:val="56"/>
    <w:qFormat/>
    <w:uiPriority w:val="0"/>
    <w:pPr>
      <w:numPr>
        <w:ilvl w:val="0"/>
        <w:numId w:val="30"/>
      </w:numPr>
      <w:spacing w:line="300" w:lineRule="exact"/>
      <w:ind w:firstLineChars="0"/>
    </w:pPr>
    <w:rPr>
      <w:rFonts w:ascii="Times New Roman"/>
    </w:rPr>
  </w:style>
  <w:style w:type="paragraph" w:customStyle="1" w:styleId="189">
    <w:name w:val="标准文件_一级项2"/>
    <w:basedOn w:val="56"/>
    <w:qFormat/>
    <w:uiPriority w:val="0"/>
    <w:pPr>
      <w:numPr>
        <w:ilvl w:val="0"/>
        <w:numId w:val="31"/>
      </w:numPr>
      <w:spacing w:line="300" w:lineRule="exact"/>
      <w:ind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qFormat/>
    <w:uiPriority w:val="0"/>
    <w:pPr>
      <w:framePr w:w="3997" w:h="471" w:hRule="exact" w:hSpace="0" w:vSpace="181" w:wrap="around" w:vAnchor="page" w:hAnchor="page" w:x="1419" w:y="14097"/>
    </w:pPr>
  </w:style>
  <w:style w:type="paragraph" w:customStyle="1" w:styleId="194">
    <w:name w:val="其他实施日期"/>
    <w:basedOn w:val="154"/>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frame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qFormat/>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qFormat/>
    <w:uiPriority w:val="0"/>
    <w:rPr>
      <w:rFonts w:ascii="黑体" w:eastAsia="黑体"/>
      <w:spacing w:val="85"/>
      <w:w w:val="100"/>
      <w:position w:val="3"/>
      <w:sz w:val="28"/>
      <w:szCs w:val="28"/>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3" Type="http://schemas.openxmlformats.org/officeDocument/2006/relationships/glossaryDocument" Target="glossary/document.xml"/><Relationship Id="rId32" Type="http://schemas.openxmlformats.org/officeDocument/2006/relationships/fontTable" Target="fontTable.xml"/><Relationship Id="rId31" Type="http://schemas.openxmlformats.org/officeDocument/2006/relationships/customXml" Target="../customXml/item2.xml"/><Relationship Id="rId30" Type="http://schemas.openxmlformats.org/officeDocument/2006/relationships/numbering" Target="numbering.xml"/><Relationship Id="rId3" Type="http://schemas.openxmlformats.org/officeDocument/2006/relationships/footnotes" Target="footnotes.xml"/><Relationship Id="rId29" Type="http://schemas.openxmlformats.org/officeDocument/2006/relationships/customXml" Target="../customXml/item1.xml"/><Relationship Id="rId28" Type="http://schemas.openxmlformats.org/officeDocument/2006/relationships/image" Target="media/image3.jpeg"/><Relationship Id="rId27" Type="http://schemas.openxmlformats.org/officeDocument/2006/relationships/image" Target="media/image2.png"/><Relationship Id="rId26" Type="http://schemas.openxmlformats.org/officeDocument/2006/relationships/image" Target="media/image1.png"/><Relationship Id="rId25" Type="http://schemas.openxmlformats.org/officeDocument/2006/relationships/theme" Target="theme/theme1.xml"/><Relationship Id="rId24" Type="http://schemas.openxmlformats.org/officeDocument/2006/relationships/footer" Target="footer10.xml"/><Relationship Id="rId23" Type="http://schemas.openxmlformats.org/officeDocument/2006/relationships/footer" Target="footer9.xml"/><Relationship Id="rId22" Type="http://schemas.openxmlformats.org/officeDocument/2006/relationships/header" Target="header10.xml"/><Relationship Id="rId21" Type="http://schemas.openxmlformats.org/officeDocument/2006/relationships/header" Target="header9.xml"/><Relationship Id="rId20" Type="http://schemas.openxmlformats.org/officeDocument/2006/relationships/footer" Target="footer8.xml"/><Relationship Id="rId2" Type="http://schemas.openxmlformats.org/officeDocument/2006/relationships/settings" Target="settings.xml"/><Relationship Id="rId19" Type="http://schemas.openxmlformats.org/officeDocument/2006/relationships/footer" Target="footer7.xml"/><Relationship Id="rId18" Type="http://schemas.openxmlformats.org/officeDocument/2006/relationships/header" Target="header8.xml"/><Relationship Id="rId17" Type="http://schemas.openxmlformats.org/officeDocument/2006/relationships/header" Target="header7.xml"/><Relationship Id="rId16" Type="http://schemas.openxmlformats.org/officeDocument/2006/relationships/footer" Target="footer6.xml"/><Relationship Id="rId15" Type="http://schemas.openxmlformats.org/officeDocument/2006/relationships/footer" Target="footer5.xml"/><Relationship Id="rId14" Type="http://schemas.openxmlformats.org/officeDocument/2006/relationships/header" Target="header6.xml"/><Relationship Id="rId13" Type="http://schemas.openxmlformats.org/officeDocument/2006/relationships/header" Target="header5.xml"/><Relationship Id="rId12" Type="http://schemas.openxmlformats.org/officeDocument/2006/relationships/footer" Target="footer4.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012FB321F5A4443D9AFC61825E0F0C38"/>
        <w:style w:val=""/>
        <w:category>
          <w:name w:val="常规"/>
          <w:gallery w:val="placeholder"/>
        </w:category>
        <w:types>
          <w:type w:val="bbPlcHdr"/>
        </w:types>
        <w:behaviors>
          <w:behavior w:val="content"/>
        </w:behaviors>
        <w:description w:val=""/>
        <w:guid w:val="{6BC8AE12-FCBB-459F-AF45-E50AEA0241F1}"/>
      </w:docPartPr>
      <w:docPartBody>
        <w:p w14:paraId="1C551411">
          <w:pPr>
            <w:pStyle w:val="5"/>
            <w:rPr>
              <w:rFonts w:hint="eastAsia"/>
            </w:rPr>
          </w:pPr>
          <w:r>
            <w:rPr>
              <w:rStyle w:val="4"/>
              <w:rFonts w:hint="eastAsia"/>
            </w:rPr>
            <w:t>单击或点击此处输入文字。</w:t>
          </w:r>
        </w:p>
      </w:docPartBody>
    </w:docPart>
    <w:docPart>
      <w:docPartPr>
        <w:name w:val="06591A60496146309C06F8B2E11B4B09"/>
        <w:style w:val=""/>
        <w:category>
          <w:name w:val="常规"/>
          <w:gallery w:val="placeholder"/>
        </w:category>
        <w:types>
          <w:type w:val="bbPlcHdr"/>
        </w:types>
        <w:behaviors>
          <w:behavior w:val="content"/>
        </w:behaviors>
        <w:description w:val=""/>
        <w:guid w:val="{9CA1BFD8-86DC-49E7-8A17-8C8D6D52C131}"/>
      </w:docPartPr>
      <w:docPartBody>
        <w:p w14:paraId="30B8D3D1">
          <w:pPr>
            <w:pStyle w:val="6"/>
            <w:rPr>
              <w:rFonts w:hint="eastAsia"/>
            </w:rPr>
          </w:pPr>
          <w:r>
            <w:rPr>
              <w:rStyle w:val="4"/>
              <w:rFonts w:hint="eastAsia"/>
            </w:rPr>
            <w:t>选择一项。</w:t>
          </w:r>
        </w:p>
      </w:docPartBody>
    </w:docPart>
    <w:docPart>
      <w:docPartPr>
        <w:name w:val="301A11BD743F4400A8B304744630EFE7"/>
        <w:style w:val=""/>
        <w:category>
          <w:name w:val="常规"/>
          <w:gallery w:val="placeholder"/>
        </w:category>
        <w:types>
          <w:type w:val="bbPlcHdr"/>
        </w:types>
        <w:behaviors>
          <w:behavior w:val="content"/>
        </w:behaviors>
        <w:description w:val=""/>
        <w:guid w:val="{E52AB75A-1AE2-48D1-8CE3-EC37C4964B3D}"/>
      </w:docPartPr>
      <w:docPartBody>
        <w:p w14:paraId="3997592F">
          <w:pPr>
            <w:pStyle w:val="7"/>
            <w:rPr>
              <w:rFonts w:hint="eastAsia"/>
            </w:rPr>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1DC6"/>
    <w:rsid w:val="00000B3B"/>
    <w:rsid w:val="0007358F"/>
    <w:rsid w:val="002E6AD9"/>
    <w:rsid w:val="003646F4"/>
    <w:rsid w:val="003F62CE"/>
    <w:rsid w:val="004A6324"/>
    <w:rsid w:val="00511367"/>
    <w:rsid w:val="005B18DA"/>
    <w:rsid w:val="005E4B5C"/>
    <w:rsid w:val="006141C6"/>
    <w:rsid w:val="00652769"/>
    <w:rsid w:val="00796662"/>
    <w:rsid w:val="008C0337"/>
    <w:rsid w:val="008E6778"/>
    <w:rsid w:val="00A72C56"/>
    <w:rsid w:val="00AA2819"/>
    <w:rsid w:val="00AC1914"/>
    <w:rsid w:val="00AE100B"/>
    <w:rsid w:val="00AE1DC6"/>
    <w:rsid w:val="00B04D86"/>
    <w:rsid w:val="00CA0EED"/>
    <w:rsid w:val="00CC03B4"/>
    <w:rsid w:val="00E13720"/>
    <w:rsid w:val="00E76885"/>
    <w:rsid w:val="00F52AFB"/>
    <w:rsid w:val="00FD4A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012FB321F5A4443D9AFC61825E0F0C38"/>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06591A60496146309C06F8B2E11B4B09"/>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301A11BD743F4400A8B304744630EFE7"/>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3E0F809-F1B0-47A2-BF3F-77BC97C7211C}">
  <ds:schemaRefs/>
</ds:datastoreItem>
</file>

<file path=docProps/app.xml><?xml version="1.0" encoding="utf-8"?>
<Properties xmlns="http://schemas.openxmlformats.org/officeDocument/2006/extended-properties" xmlns:vt="http://schemas.openxmlformats.org/officeDocument/2006/docPropsVTypes">
  <Template>团体标准</Template>
  <Company>PCMI</Company>
  <Pages>41</Pages>
  <Words>7640</Words>
  <Characters>8001</Characters>
  <Lines>155</Lines>
  <Paragraphs>43</Paragraphs>
  <TotalTime>186</TotalTime>
  <ScaleCrop>false</ScaleCrop>
  <LinksUpToDate>false</LinksUpToDate>
  <CharactersWithSpaces>8106</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2025-08-08T02:30:00Z</dcterms:created>
  <dc:creator>Jianyi Huang</dc:creator>
  <dc:description>&lt;config cover="true" show_menu="true" version="1.0.0" doctype="SDKXY"&gt;_x000d_
&lt;/config&gt;</dc:description>
  <cp:lastModifiedBy>殇璃</cp:lastModifiedBy>
  <cp:lastPrinted>2021-02-02T08:22:00Z</cp:lastPrinted>
  <dcterms:modified xsi:type="dcterms:W3CDTF">2026-05-19T06:09:39Z</dcterms:modified>
  <dc:title>团体标准</dc:title>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TemplateDocerSaveRecord">
    <vt:lpwstr>eyJoZGlkIjoiZTA3OGNhMDk1YTk4YTUwNGQ2YTRlNGMxNGM3YzZmNTUiLCJ1c2VySWQiOiIxMTM5ODQ3NjAzIn0=</vt:lpwstr>
  </property>
  <property fmtid="{D5CDD505-2E9C-101B-9397-08002B2CF9AE}" pid="16" name="KSOProductBuildVer">
    <vt:lpwstr>2052-12.1.0.25865</vt:lpwstr>
  </property>
  <property fmtid="{D5CDD505-2E9C-101B-9397-08002B2CF9AE}" pid="17" name="ICV">
    <vt:lpwstr>AEC687456E7242718A9F92BDFD76E27F_12</vt:lpwstr>
  </property>
</Properties>
</file>