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17.02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17.020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N 04"/>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N 04</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60"/>
            </w:textInput>
          </w:ffData>
        </w:fldChar>
      </w:r>
      <w:bookmarkStart w:id="6" w:name="NSTD_CODE_F"/>
      <w:r>
        <w:instrText xml:space="preserve"> FORMTEXT </w:instrText>
      </w:r>
      <w:r>
        <w:fldChar w:fldCharType="separate"/>
      </w:r>
      <w:r>
        <w:t>0260</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智能计量器具远程校准技术规范"/>
            </w:textInput>
          </w:ffData>
        </w:fldChar>
      </w:r>
      <w:bookmarkStart w:id="9" w:name="CSTD_NAME"/>
      <w:r>
        <w:rPr>
          <w:rFonts w:hint="eastAsia"/>
        </w:rPr>
        <w:instrText xml:space="preserve"> FORMTEXT </w:instrText>
      </w:r>
      <w:r>
        <w:rPr>
          <w:rFonts w:hint="eastAsia"/>
        </w:rPr>
        <w:fldChar w:fldCharType="separate"/>
      </w:r>
      <w:r>
        <w:rPr>
          <w:rFonts w:hint="eastAsia"/>
        </w:rPr>
        <w:t>智能计量器具远程校准技术规范</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pecification for remote calibration technology of intelligent measuring instruments"/>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Specification for remote calibration technology of intelligent measuring instruments</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5A39557D">
      <w:pPr>
        <w:pStyle w:val="91"/>
        <w:spacing w:after="360"/>
      </w:pPr>
      <w:bookmarkStart w:id="21" w:name="BookMark1"/>
      <w:r>
        <w:rPr>
          <w:rFonts w:hint="eastAsia"/>
          <w:spacing w:val="320"/>
        </w:rPr>
        <w:t>目</w:t>
      </w:r>
      <w:r>
        <w:rPr>
          <w:rFonts w:hint="eastAsia"/>
        </w:rPr>
        <w:t>次</w:t>
      </w:r>
    </w:p>
    <w:p w14:paraId="4A4E1E9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"_Toc228601771"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_Toc228601771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31F7F28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"_Toc228601772"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_Toc228601772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1020DC7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"_Toc228601773"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_Toc228601773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7B5D75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"_Toc228601774"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_Toc228601774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613A50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"_Toc228601775"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_Toc228601775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AAE2D9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"_Toc228601776"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_Toc228601776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718016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"_Toc228601777" </w:instrText>
      </w:r>
      <w:r>
        <w:fldChar w:fldCharType="separate"/>
      </w:r>
      <w:r>
        <w:rPr>
          <w:rStyle w:val="32"/>
        </w:rPr>
        <w:t>5  远程校准系统与实施条件要求</w:t>
      </w:r>
      <w:r>
        <w:rPr>
          <w:rFonts w:hint="eastAsia"/>
        </w:rPr>
        <w:tab/>
      </w:r>
      <w:r>
        <w:rPr>
          <w:rFonts w:hint="eastAsia"/>
        </w:rPr>
        <w:fldChar w:fldCharType="begin"/>
      </w:r>
      <w:r>
        <w:rPr>
          <w:rFonts w:hint="eastAsia"/>
        </w:rPr>
        <w:instrText xml:space="preserve"> </w:instrText>
      </w:r>
      <w:r>
        <w:instrText xml:space="preserve">PAGEREF _Toc228601777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EFA967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"_Toc228601778" </w:instrText>
      </w:r>
      <w:r>
        <w:fldChar w:fldCharType="separate"/>
      </w:r>
      <w:r>
        <w:rPr>
          <w:rStyle w:val="32"/>
        </w:rPr>
        <w:t>6  远程校准准备与实施要求</w:t>
      </w:r>
      <w:r>
        <w:rPr>
          <w:rFonts w:hint="eastAsia"/>
        </w:rPr>
        <w:tab/>
      </w:r>
      <w:r>
        <w:rPr>
          <w:rFonts w:hint="eastAsia"/>
        </w:rPr>
        <w:fldChar w:fldCharType="begin"/>
      </w:r>
      <w:r>
        <w:rPr>
          <w:rFonts w:hint="eastAsia"/>
        </w:rPr>
        <w:instrText xml:space="preserve"> </w:instrText>
      </w:r>
      <w:r>
        <w:instrText xml:space="preserve">PAGEREF _Toc228601778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E6A7EE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"_Toc228601779" </w:instrText>
      </w:r>
      <w:r>
        <w:fldChar w:fldCharType="separate"/>
      </w:r>
      <w:r>
        <w:rPr>
          <w:rStyle w:val="32"/>
        </w:rPr>
        <w:t>7  数据采集、结果处理与异常处置要求</w:t>
      </w:r>
      <w:r>
        <w:rPr>
          <w:rFonts w:hint="eastAsia"/>
        </w:rPr>
        <w:tab/>
      </w:r>
      <w:r>
        <w:rPr>
          <w:rFonts w:hint="eastAsia"/>
        </w:rPr>
        <w:fldChar w:fldCharType="begin"/>
      </w:r>
      <w:r>
        <w:rPr>
          <w:rFonts w:hint="eastAsia"/>
        </w:rPr>
        <w:instrText xml:space="preserve"> </w:instrText>
      </w:r>
      <w:r>
        <w:instrText xml:space="preserve">PAGEREF _Toc228601779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369489C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"_Toc228601780" </w:instrText>
      </w:r>
      <w:r>
        <w:fldChar w:fldCharType="separate"/>
      </w:r>
      <w:r>
        <w:rPr>
          <w:rStyle w:val="32"/>
        </w:rPr>
        <w:t>8  信息安全、结果确认与证书管理</w:t>
      </w:r>
      <w:r>
        <w:rPr>
          <w:rFonts w:hint="eastAsia"/>
        </w:rPr>
        <w:tab/>
      </w:r>
      <w:r>
        <w:rPr>
          <w:rFonts w:hint="eastAsia"/>
        </w:rPr>
        <w:fldChar w:fldCharType="begin"/>
      </w:r>
      <w:r>
        <w:rPr>
          <w:rFonts w:hint="eastAsia"/>
        </w:rPr>
        <w:instrText xml:space="preserve"> </w:instrText>
      </w:r>
      <w:r>
        <w:instrText xml:space="preserve">PAGEREF _Toc228601780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7B75F01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"_Toc228601781" </w:instrText>
      </w:r>
      <w:r>
        <w:fldChar w:fldCharType="separate"/>
      </w:r>
      <w:r>
        <w:rPr>
          <w:rStyle w:val="32"/>
        </w:rPr>
        <w:t>9  资料归档、质量控制与持续改进</w:t>
      </w:r>
      <w:r>
        <w:rPr>
          <w:rFonts w:hint="eastAsia"/>
        </w:rPr>
        <w:tab/>
      </w:r>
      <w:r>
        <w:rPr>
          <w:rFonts w:hint="eastAsia"/>
        </w:rPr>
        <w:fldChar w:fldCharType="begin"/>
      </w:r>
      <w:r>
        <w:rPr>
          <w:rFonts w:hint="eastAsia"/>
        </w:rPr>
        <w:instrText xml:space="preserve"> </w:instrText>
      </w:r>
      <w:r>
        <w:instrText xml:space="preserve">PAGEREF _Toc228601781 \h</w:instrText>
      </w:r>
      <w:r>
        <w:rPr>
          <w:rFonts w:hint="eastAsia"/>
        </w:rPr>
        <w:instrText xml:space="preserve"> </w:instrText>
      </w:r>
      <w:r>
        <w:rPr>
          <w:rFonts w:hint="eastAsia"/>
        </w:rPr>
        <w:fldChar w:fldCharType="separate"/>
      </w:r>
      <w:r>
        <w:t>26</w:t>
      </w:r>
      <w:r>
        <w:rPr>
          <w:rFonts w:hint="eastAsia"/>
        </w:rPr>
        <w:fldChar w:fldCharType="end"/>
      </w:r>
      <w:r>
        <w:rPr>
          <w:rFonts w:hint="eastAsia"/>
        </w:rPr>
        <w:fldChar w:fldCharType="end"/>
      </w:r>
    </w:p>
    <w:p w14:paraId="78DA5B8C">
      <w:pPr>
        <w:pStyle w:val="91"/>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01771"/>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本文件起草单位：北海市公共检验检测中心（北海市食品药品检验所）</w:t>
      </w:r>
      <w:r>
        <w:t>。</w:t>
      </w:r>
    </w:p>
    <w:p w14:paraId="42E67620">
      <w:pPr>
        <w:pStyle w:val="56"/>
        <w:spacing w:line="360" w:lineRule="auto"/>
        <w:ind w:firstLine="420"/>
      </w:pPr>
      <w:r>
        <w:rPr>
          <w:rFonts w:hint="eastAsia"/>
        </w:rPr>
        <w:t>本文件主要起草人：</w:t>
      </w:r>
      <w:r>
        <w:t>姚世芳</w:t>
      </w:r>
      <w:bookmarkStart w:id="58" w:name="_GoBack"/>
      <w:bookmarkEnd w:id="58"/>
      <w:r>
        <w:t>。</w:t>
      </w:r>
    </w:p>
    <w:p w14:paraId="349D86B7">
      <w:pPr>
        <w:rPr>
          <w:rFonts w:ascii="宋体" w:hAnsi="Times New Roman"/>
          <w:kern w:val="0"/>
          <w:szCs w:val="20"/>
        </w:rPr>
      </w:pPr>
    </w:p>
    <w:p w14:paraId="784B3C9B">
      <w:pPr>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start="3"/>
          <w:cols w:space="425" w:num="1"/>
          <w:formProt w:val="0"/>
          <w:docGrid w:linePitch="312" w:charSpace="0"/>
        </w:sectPr>
      </w:pPr>
    </w:p>
    <w:bookmarkEnd w:id="23"/>
    <w:p w14:paraId="66D0A2F3">
      <w:pPr>
        <w:pStyle w:val="89"/>
        <w:spacing w:after="360"/>
      </w:pPr>
      <w:bookmarkStart w:id="24" w:name="_Toc228601772"/>
      <w:bookmarkStart w:id="25" w:name="BookMark3"/>
      <w:r>
        <w:rPr>
          <w:spacing w:val="320"/>
        </w:rPr>
        <w:t>引</w:t>
      </w:r>
      <w:r>
        <w:t>言</w:t>
      </w:r>
      <w:bookmarkEnd w:id="24"/>
    </w:p>
    <w:p w14:paraId="6F912909">
      <w:pPr>
        <w:pStyle w:val="56"/>
        <w:spacing w:line="360" w:lineRule="auto"/>
        <w:ind w:firstLine="420"/>
      </w:pPr>
      <w:r>
        <w:rPr>
          <w:rFonts w:hint="eastAsia"/>
        </w:rPr>
        <w:t>随着物联网、边缘计算、工业互联网、数字孪生、可信传输和在线监测等技术在计量领域持续应用，计量器具正由单机型、现场型设备逐步向网络化、智能化、可感知、可通信和可追溯方向发展。尤其是在电能、水务、燃气、热量、环境监测、工业过程控制和实验室仪器等应用场景中，智能计量器具数量持续增加，数据采集、状态识别、远程诊断、远程运维和在线质量管理需求不断增强。国际法制计量领域近年也已将数字化转型作为重要方向，强调通过数字技术推动检定、测试、证书、数据传输和服务模式变革。</w:t>
      </w:r>
    </w:p>
    <w:p w14:paraId="5F1E8B20">
      <w:pPr>
        <w:pStyle w:val="56"/>
        <w:spacing w:line="360" w:lineRule="auto"/>
        <w:ind w:firstLine="420"/>
      </w:pPr>
      <w:r>
        <w:rPr>
          <w:rFonts w:hint="eastAsia"/>
        </w:rPr>
        <w:t>在我国，围绕远程计量和智能计量器具远程校准的技术探索也在持续推进。2025 年发布的《远程计量通用技术要求》提出，远程计量操作终端应实时接收现场环境参数监测数据，并通过音视频监控远程确认现场环境满足校准规范或检定规程要求；北京市公开征求意见的《智能电表远程校准技术规范》也反映出地方层面对远程校准方法、环境控制、设备接入和结果可信性的具体需求。上述实践表明，远程校准活动已由概念探索逐步进入可实施、可验证、可规范阶段。</w:t>
      </w:r>
    </w:p>
    <w:p w14:paraId="011849F7">
      <w:pPr>
        <w:pStyle w:val="56"/>
        <w:spacing w:line="360" w:lineRule="auto"/>
        <w:ind w:firstLine="420"/>
      </w:pPr>
      <w:r>
        <w:rPr>
          <w:rFonts w:hint="eastAsia"/>
        </w:rPr>
        <w:t>但是，智能计量器具远程校准在推广应用过程中，仍面临一系列亟待统一的问题。不同类型计量器具在测量原理、工作状态、通信协议、数据结构、计量特性和环境敏感性方面差异较大；远程校准活动还涉及标准器具配置、时钟同步、现场环境监测、远程身份确认、过程留痕、异常中止、原始数据固化、结果判定和校准证书生成等多个环节。若缺乏统一、明确、可执行的技术规范，容易出现校准对象识别不准、远程链路不稳定、环境条件不可证实、数据采集不完整、标准溯源关系不清晰、过程证据不足和结果难以复核等问题，从而影响校准结果的有效性、公正性和可追溯性。</w:t>
      </w:r>
    </w:p>
    <w:p w14:paraId="70109410">
      <w:pPr>
        <w:pStyle w:val="56"/>
        <w:spacing w:line="360" w:lineRule="auto"/>
        <w:ind w:firstLine="420"/>
      </w:pPr>
      <w:r>
        <w:rPr>
          <w:rFonts w:hint="eastAsia"/>
        </w:rPr>
        <w:t>为规范智能计量器具远程校准活动，统一远程校准系统组成、校准准备、现场条件确认、远程连接、标准器具配置、数据采集、过程控制、异常处置、结果确认和资料归档等要求，有必要结合智能计量器具应用特点和远程计量技术发展实际，制定本文件。本文件立足“远程可实施、数据可核查、过程可追溯、结果可信任”的总体要求，重点解决“哪些器具可远程校准、远程校准如何开展、关键条件如何确认、数据如何传输、异常如何处置、结果如何判定”的实际问题。</w:t>
      </w:r>
    </w:p>
    <w:p w14:paraId="5469B204">
      <w:pPr>
        <w:pStyle w:val="56"/>
        <w:spacing w:line="360" w:lineRule="auto"/>
        <w:ind w:firstLine="420"/>
      </w:pPr>
      <w:r>
        <w:rPr>
          <w:rFonts w:hint="eastAsia"/>
        </w:rPr>
        <w:t>本文件的制定与实施，有助于推动智能计量器具校准模式由传统现场作业向数字化、网络化和协同化方式转变，有助于提升计量技术服务效率、增强校准活动可追溯性和一致性、促进计量数据可信流通与智能计量基础设施建设，为计量数字化转型和智慧计量服务体系建设提供技术支撑。</w:t>
      </w:r>
    </w:p>
    <w:p w14:paraId="41C59179">
      <w:pPr>
        <w:pStyle w:val="56"/>
        <w:ind w:firstLine="420"/>
      </w:pPr>
    </w:p>
    <w:p w14:paraId="3AC90217">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智能计量器具远程校准技术规范</w:t>
          </w:r>
        </w:p>
      </w:sdtContent>
    </w:sdt>
    <w:bookmarkEnd w:id="27"/>
    <w:p w14:paraId="3DB22445">
      <w:pPr>
        <w:pStyle w:val="104"/>
        <w:spacing w:before="240" w:after="240" w:line="360" w:lineRule="auto"/>
      </w:pPr>
      <w:bookmarkStart w:id="28" w:name="_Toc24884218"/>
      <w:bookmarkStart w:id="29" w:name="_Toc17233333"/>
      <w:bookmarkStart w:id="30" w:name="_Toc26986530"/>
      <w:bookmarkStart w:id="31" w:name="_Toc97192964"/>
      <w:bookmarkStart w:id="32" w:name="_Toc228601773"/>
      <w:bookmarkStart w:id="33" w:name="_Toc17233325"/>
      <w:bookmarkStart w:id="34" w:name="_Toc24884211"/>
      <w:bookmarkStart w:id="35" w:name="_Toc26648465"/>
      <w:bookmarkStart w:id="36" w:name="_Toc26986771"/>
      <w:bookmarkStart w:id="37" w:name="_Toc26718930"/>
      <w:r>
        <w:rPr>
          <w:rFonts w:hint="eastAsia"/>
        </w:rPr>
        <w:t>范围</w:t>
      </w:r>
      <w:bookmarkEnd w:id="28"/>
      <w:bookmarkEnd w:id="29"/>
      <w:bookmarkEnd w:id="30"/>
      <w:bookmarkEnd w:id="31"/>
      <w:bookmarkEnd w:id="32"/>
      <w:bookmarkEnd w:id="33"/>
      <w:bookmarkEnd w:id="34"/>
      <w:bookmarkEnd w:id="35"/>
      <w:bookmarkEnd w:id="36"/>
      <w:bookmarkEnd w:id="37"/>
    </w:p>
    <w:p w14:paraId="2BF71B62">
      <w:pPr>
        <w:pStyle w:val="56"/>
        <w:spacing w:line="360" w:lineRule="auto"/>
        <w:ind w:firstLine="420"/>
      </w:pPr>
      <w:bookmarkStart w:id="38" w:name="_Toc17233334"/>
      <w:bookmarkStart w:id="39" w:name="_Toc17233326"/>
      <w:bookmarkStart w:id="40" w:name="_Toc24884212"/>
      <w:bookmarkStart w:id="41" w:name="_Toc24884219"/>
      <w:bookmarkStart w:id="42" w:name="_Toc26648466"/>
      <w:r>
        <w:rPr>
          <w:rFonts w:hint="eastAsia"/>
        </w:rPr>
        <w:t>本文件规定了智能计量器具远程校准的基本规定，远程校准系统与实施条件要求，远程校准准备与实施要求，数据采集、结果处理与异常处置要求，信息安全、结果确认与证书管理以及资料归档、质量控制与持续改进等内容。</w:t>
      </w:r>
    </w:p>
    <w:p w14:paraId="3718669F">
      <w:pPr>
        <w:pStyle w:val="56"/>
        <w:spacing w:line="360" w:lineRule="auto"/>
        <w:ind w:firstLine="420"/>
      </w:pPr>
      <w:r>
        <w:rPr>
          <w:rFonts w:hint="eastAsia"/>
        </w:rPr>
        <w:t>本文件适用于具备数据采集、状态识别、远程通信、参数交互或者远程受控能力的智能计量器具的远程校准活动。</w:t>
      </w:r>
    </w:p>
    <w:p w14:paraId="3733B2AD">
      <w:pPr>
        <w:pStyle w:val="104"/>
        <w:spacing w:before="240" w:after="240" w:line="360" w:lineRule="auto"/>
      </w:pPr>
      <w:bookmarkStart w:id="43" w:name="_Toc26986531"/>
      <w:bookmarkStart w:id="44" w:name="_Toc228601774"/>
      <w:bookmarkStart w:id="45" w:name="_Toc26718931"/>
      <w:bookmarkStart w:id="46" w:name="_Toc26986772"/>
      <w:bookmarkStart w:id="47" w:name="_Toc97192965"/>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E41EB4A">
      <w:pPr>
        <w:pStyle w:val="56"/>
        <w:spacing w:line="360" w:lineRule="auto"/>
        <w:ind w:firstLine="420"/>
      </w:pPr>
      <w:r>
        <w:rPr>
          <w:rFonts w:hint="eastAsia"/>
        </w:rPr>
        <w:t>GB/T 1.1—2020 标准化工作导则  第1部分：标准化文件的结构和起草规则</w:t>
      </w:r>
    </w:p>
    <w:p w14:paraId="728194F4">
      <w:pPr>
        <w:pStyle w:val="56"/>
        <w:spacing w:line="360" w:lineRule="auto"/>
        <w:ind w:firstLine="420"/>
      </w:pPr>
      <w:r>
        <w:rPr>
          <w:rFonts w:hint="eastAsia"/>
        </w:rPr>
        <w:t>GB/T 29871—2013 能源计量仪表通用数据接口技术协议</w:t>
      </w:r>
    </w:p>
    <w:p w14:paraId="5DA91567">
      <w:pPr>
        <w:pStyle w:val="56"/>
        <w:spacing w:line="360" w:lineRule="auto"/>
        <w:ind w:firstLine="420"/>
      </w:pPr>
      <w:r>
        <w:t>DB1303/T 389</w:t>
      </w:r>
      <w:r>
        <w:rPr>
          <w:rFonts w:hint="eastAsia"/>
        </w:rPr>
        <w:t>—</w:t>
      </w:r>
      <w:r>
        <w:t>2025</w:t>
      </w:r>
      <w:r>
        <w:rPr>
          <w:rFonts w:hint="eastAsia"/>
        </w:rPr>
        <w:t xml:space="preserve"> 计量校准服务规范</w:t>
      </w:r>
    </w:p>
    <w:p w14:paraId="71FD9212">
      <w:pPr>
        <w:pStyle w:val="56"/>
        <w:spacing w:line="360" w:lineRule="auto"/>
        <w:ind w:firstLine="420"/>
      </w:pPr>
      <w:r>
        <w:t>JJF 1071</w:t>
      </w:r>
      <w:r>
        <w:rPr>
          <w:rFonts w:hint="eastAsia"/>
        </w:rPr>
        <w:t>—</w:t>
      </w:r>
      <w:r>
        <w:t>2010</w:t>
      </w:r>
      <w:r>
        <w:rPr>
          <w:rFonts w:hint="eastAsia"/>
        </w:rPr>
        <w:t xml:space="preserve"> 国家计量校准规范编写规则</w:t>
      </w:r>
    </w:p>
    <w:p w14:paraId="0F1A993C">
      <w:pPr>
        <w:pStyle w:val="56"/>
        <w:spacing w:line="360" w:lineRule="auto"/>
        <w:ind w:firstLine="420"/>
      </w:pPr>
      <w:r>
        <w:t>JJF 1182</w:t>
      </w:r>
      <w:r>
        <w:rPr>
          <w:rFonts w:hint="eastAsia"/>
        </w:rPr>
        <w:t>—</w:t>
      </w:r>
      <w:r>
        <w:t>2021</w:t>
      </w:r>
      <w:r>
        <w:rPr>
          <w:rFonts w:hint="eastAsia"/>
        </w:rPr>
        <w:t xml:space="preserve"> 计量器具软件测评指南</w:t>
      </w:r>
    </w:p>
    <w:p w14:paraId="51F02A4E">
      <w:pPr>
        <w:pStyle w:val="104"/>
        <w:spacing w:before="240" w:after="240" w:line="360" w:lineRule="auto"/>
      </w:pPr>
      <w:bookmarkStart w:id="48" w:name="_Toc228601775"/>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31FF05A">
          <w:pPr>
            <w:pStyle w:val="56"/>
            <w:spacing w:line="360" w:lineRule="auto"/>
            <w:ind w:firstLine="420"/>
          </w:pPr>
          <w:bookmarkStart w:id="50" w:name="_Toc26986532"/>
          <w:bookmarkEnd w:id="50"/>
          <w:r>
            <w:t>下列术语和定义适用于本文件。</w:t>
          </w:r>
        </w:p>
      </w:sdtContent>
    </w:sdt>
    <w:p w14:paraId="1A88D43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智能计量器具 intelligent measuring instrument</w:t>
      </w:r>
    </w:p>
    <w:p w14:paraId="488B5B78">
      <w:pPr>
        <w:pStyle w:val="56"/>
        <w:spacing w:line="360" w:lineRule="auto"/>
        <w:ind w:firstLine="420"/>
      </w:pPr>
      <w:r>
        <w:rPr>
          <w:rFonts w:hint="eastAsia"/>
        </w:rPr>
        <w:t>具备测量、数据处理、状态存储、通信交互、参数配置或者远程运维等一种或多种智能化功能的计量器具。</w:t>
      </w:r>
    </w:p>
    <w:p w14:paraId="17A1F88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远程校准 remote calibration</w:t>
      </w:r>
    </w:p>
    <w:p w14:paraId="48346937">
      <w:pPr>
        <w:pStyle w:val="56"/>
        <w:spacing w:line="360" w:lineRule="auto"/>
        <w:ind w:firstLine="420"/>
      </w:pPr>
      <w:r>
        <w:rPr>
          <w:rFonts w:hint="eastAsia"/>
        </w:rPr>
        <w:t>在满足计量溯源、环境确认、过程控制和数据可信要求的前提下，由异地校准人员借助远程通信、远程控制、视频确认和数据传输等手段，对计量器具实施校准的活动。</w:t>
      </w:r>
    </w:p>
    <w:p w14:paraId="7E38F866">
      <w:pPr>
        <w:pStyle w:val="56"/>
        <w:spacing w:line="360" w:lineRule="auto"/>
        <w:ind w:firstLine="420"/>
        <w:rPr>
          <w:rFonts w:hint="eastAsia"/>
        </w:rPr>
      </w:pPr>
    </w:p>
    <w:p w14:paraId="4DFEBDE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远程校准系统 remote calibration system</w:t>
      </w:r>
    </w:p>
    <w:p w14:paraId="4F57FA07">
      <w:pPr>
        <w:pStyle w:val="56"/>
        <w:spacing w:line="360" w:lineRule="auto"/>
        <w:ind w:firstLine="420"/>
      </w:pPr>
      <w:r>
        <w:rPr>
          <w:rFonts w:hint="eastAsia"/>
        </w:rPr>
        <w:t>用于实施智能计量器具远程校准的软硬件系统总和，包括标准器具、远程操作终端、现场采集终端、通信链路、视频监控单元、数据处理单元和校准管理平台。</w:t>
      </w:r>
    </w:p>
    <w:p w14:paraId="2022BEC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标准器具 standard instrument</w:t>
      </w:r>
    </w:p>
    <w:p w14:paraId="43B52780">
      <w:pPr>
        <w:pStyle w:val="56"/>
        <w:spacing w:line="360" w:lineRule="auto"/>
        <w:ind w:firstLine="420"/>
      </w:pPr>
      <w:r>
        <w:rPr>
          <w:rFonts w:hint="eastAsia"/>
        </w:rPr>
        <w:t>用于提供量值基准、参考量值或者比较量值，并具有明确计量溯源关系的测量设备或者标准物质。</w:t>
      </w:r>
    </w:p>
    <w:p w14:paraId="74E9E13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远程操作终端 remote operation terminal</w:t>
      </w:r>
    </w:p>
    <w:p w14:paraId="35D3EF36">
      <w:pPr>
        <w:pStyle w:val="56"/>
        <w:spacing w:line="360" w:lineRule="auto"/>
        <w:ind w:firstLine="420"/>
      </w:pPr>
      <w:r>
        <w:rPr>
          <w:rFonts w:hint="eastAsia"/>
        </w:rPr>
        <w:t>由校准人员在异地使用，用于发起远程连接、查看现场状态、控制校准流程、采集数据、记录结果和生成校准信息的终端设备。</w:t>
      </w:r>
    </w:p>
    <w:p w14:paraId="6053916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现场采集终端 field acquisition terminal</w:t>
      </w:r>
    </w:p>
    <w:p w14:paraId="17CCE007">
      <w:pPr>
        <w:pStyle w:val="56"/>
        <w:spacing w:line="360" w:lineRule="auto"/>
        <w:ind w:firstLine="420"/>
      </w:pPr>
      <w:r>
        <w:rPr>
          <w:rFonts w:hint="eastAsia"/>
        </w:rPr>
        <w:t>部署在被校准计量器具现场，用于接入被校器具、采集测量数据、监测环境状态、上传视频音频信息和接收远程指令的终端设备。</w:t>
      </w:r>
    </w:p>
    <w:p w14:paraId="274B256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被校器具 instrument under calibration</w:t>
      </w:r>
    </w:p>
    <w:p w14:paraId="09B43DE8">
      <w:pPr>
        <w:pStyle w:val="56"/>
        <w:spacing w:line="360" w:lineRule="auto"/>
        <w:ind w:firstLine="420"/>
      </w:pPr>
      <w:r>
        <w:rPr>
          <w:rFonts w:hint="eastAsia"/>
        </w:rPr>
        <w:t>接受远程校准的智能计量器具。</w:t>
      </w:r>
    </w:p>
    <w:p w14:paraId="79368DE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现场环境参数 field environmental parameter</w:t>
      </w:r>
    </w:p>
    <w:p w14:paraId="3B59B03C">
      <w:pPr>
        <w:pStyle w:val="56"/>
        <w:spacing w:line="360" w:lineRule="auto"/>
        <w:ind w:firstLine="420"/>
      </w:pPr>
      <w:r>
        <w:rPr>
          <w:rFonts w:hint="eastAsia"/>
        </w:rPr>
        <w:t>对远程校准结果有效性有影响的现场温度、湿度、供电状态、电磁环境、振动状态、压力条件或者其他相关环境因素。</w:t>
      </w:r>
    </w:p>
    <w:p w14:paraId="600B5F0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远程连接链路 remote connection link</w:t>
      </w:r>
    </w:p>
    <w:p w14:paraId="4D292E9D">
      <w:pPr>
        <w:pStyle w:val="56"/>
        <w:spacing w:line="360" w:lineRule="auto"/>
        <w:ind w:firstLine="420"/>
      </w:pPr>
      <w:r>
        <w:rPr>
          <w:rFonts w:hint="eastAsia"/>
        </w:rPr>
        <w:t>用于实现远程操作终端、现场采集终端、被校器具和校准管理平台之间数据传输、控制交互和状态反馈的通信路径。</w:t>
      </w:r>
    </w:p>
    <w:p w14:paraId="5E7F1248">
      <w:pPr>
        <w:pStyle w:val="104"/>
        <w:spacing w:before="240" w:after="240" w:line="360" w:lineRule="auto"/>
      </w:pPr>
      <w:bookmarkStart w:id="51" w:name="_Toc228601776"/>
      <w:r>
        <w:rPr>
          <w:rFonts w:hint="eastAsia"/>
        </w:rPr>
        <w:t>基本规定</w:t>
      </w:r>
      <w:bookmarkEnd w:id="51"/>
    </w:p>
    <w:p w14:paraId="2ED03FF1">
      <w:pPr>
        <w:pStyle w:val="105"/>
        <w:spacing w:before="120" w:after="120" w:line="360" w:lineRule="auto"/>
      </w:pPr>
      <w:r>
        <w:rPr>
          <w:rFonts w:hint="eastAsia"/>
        </w:rPr>
        <w:t>一般要求</w:t>
      </w:r>
    </w:p>
    <w:p w14:paraId="3EA2E1E2">
      <w:pPr>
        <w:pStyle w:val="165"/>
        <w:spacing w:line="360" w:lineRule="auto"/>
      </w:pPr>
      <w:r>
        <w:rPr>
          <w:rFonts w:hint="eastAsia"/>
        </w:rPr>
        <w:t>智能计量器具远程校准活动应坚持量值准确、过程受控、结果可信、证据充分、安全可管和全程可追溯的原则。</w:t>
      </w:r>
    </w:p>
    <w:p w14:paraId="38168A6E">
      <w:pPr>
        <w:pStyle w:val="165"/>
        <w:spacing w:line="360" w:lineRule="auto"/>
      </w:pPr>
      <w:r>
        <w:rPr>
          <w:rFonts w:hint="eastAsia"/>
        </w:rPr>
        <w:t>远程校准应以满足计量溯源要求、校准方法要求、环境控制要求和实验室能力要求为前提，不得以提高效率、减少现场作业或者降低成本为由削弱校准质量控制要求。</w:t>
      </w:r>
    </w:p>
    <w:p w14:paraId="71341A18">
      <w:pPr>
        <w:pStyle w:val="165"/>
        <w:spacing w:line="360" w:lineRule="auto"/>
      </w:pPr>
      <w:r>
        <w:rPr>
          <w:rFonts w:hint="eastAsia"/>
        </w:rPr>
        <w:t>远程校准活动应覆盖校准任务建立、对象确认、系统连接、环境确认、标准器具核查、数据采集、结果处理、异常处置、结果确认和资料归档全过程。</w:t>
      </w:r>
    </w:p>
    <w:p w14:paraId="2260F9D5">
      <w:pPr>
        <w:pStyle w:val="165"/>
        <w:spacing w:line="360" w:lineRule="auto"/>
      </w:pPr>
      <w:r>
        <w:rPr>
          <w:rFonts w:hint="eastAsia"/>
        </w:rPr>
        <w:t>开展远程校准前，应对被校器具的远程可校性进行判定。对不具备远程可校条件的计量器具，不得采用远程方式实施正式校准。</w:t>
      </w:r>
    </w:p>
    <w:p w14:paraId="7AC35CB4">
      <w:pPr>
        <w:pStyle w:val="165"/>
        <w:spacing w:line="360" w:lineRule="auto"/>
      </w:pPr>
      <w:r>
        <w:rPr>
          <w:rFonts w:hint="eastAsia"/>
        </w:rPr>
        <w:t>远程校准活动不得突破现行计量法律法规、计量技术规范、校准方法和实验室管理要求。</w:t>
      </w:r>
    </w:p>
    <w:p w14:paraId="2AF6BE12">
      <w:pPr>
        <w:pStyle w:val="165"/>
        <w:spacing w:line="360" w:lineRule="auto"/>
      </w:pPr>
      <w:r>
        <w:rPr>
          <w:rFonts w:hint="eastAsia"/>
        </w:rPr>
        <w:t>涉及贸易结算、安全防护、能源计量关键节点、公共服务计量或者其他高风险场景的智能计量器具远程校准，应提高确认要求、复核要求和过程留痕要求。</w:t>
      </w:r>
    </w:p>
    <w:p w14:paraId="6271341D">
      <w:pPr>
        <w:pStyle w:val="165"/>
        <w:spacing w:line="360" w:lineRule="auto"/>
      </w:pPr>
      <w:r>
        <w:rPr>
          <w:rFonts w:hint="eastAsia"/>
        </w:rPr>
        <w:t>远程校准结果仅在校准过程、校准条件、数据证据和结果确认均符合要求时，方可作为正式校准结论使用。</w:t>
      </w:r>
    </w:p>
    <w:p w14:paraId="292E857D">
      <w:pPr>
        <w:pStyle w:val="105"/>
        <w:spacing w:before="120" w:after="120" w:line="360" w:lineRule="auto"/>
      </w:pPr>
      <w:r>
        <w:rPr>
          <w:rFonts w:hint="eastAsia"/>
        </w:rPr>
        <w:t>适用原则</w:t>
      </w:r>
    </w:p>
    <w:p w14:paraId="09714FF5">
      <w:pPr>
        <w:pStyle w:val="165"/>
        <w:spacing w:line="360" w:lineRule="auto"/>
      </w:pPr>
      <w:r>
        <w:rPr>
          <w:rFonts w:hint="eastAsia"/>
        </w:rPr>
        <w:t>智能计量器具实施远程校准，应同时满足下列原则：</w:t>
      </w:r>
    </w:p>
    <w:p w14:paraId="1B1D5DDE">
      <w:pPr>
        <w:pStyle w:val="56"/>
        <w:spacing w:line="360" w:lineRule="auto"/>
        <w:ind w:firstLine="420"/>
      </w:pPr>
      <w:r>
        <w:rPr>
          <w:rFonts w:hint="eastAsia"/>
        </w:rPr>
        <w:t>a）校准对象可识别；</w:t>
      </w:r>
    </w:p>
    <w:p w14:paraId="50A6DEB8">
      <w:pPr>
        <w:pStyle w:val="56"/>
        <w:spacing w:line="360" w:lineRule="auto"/>
        <w:ind w:firstLine="420"/>
      </w:pPr>
      <w:r>
        <w:rPr>
          <w:rFonts w:hint="eastAsia"/>
        </w:rPr>
        <w:t>b）标准器具可溯源；</w:t>
      </w:r>
    </w:p>
    <w:p w14:paraId="2CBB2737">
      <w:pPr>
        <w:pStyle w:val="56"/>
        <w:spacing w:line="360" w:lineRule="auto"/>
        <w:ind w:firstLine="420"/>
      </w:pPr>
      <w:r>
        <w:rPr>
          <w:rFonts w:hint="eastAsia"/>
        </w:rPr>
        <w:t>c）现场条件可确认；</w:t>
      </w:r>
    </w:p>
    <w:p w14:paraId="22DC31D0">
      <w:pPr>
        <w:pStyle w:val="56"/>
        <w:spacing w:line="360" w:lineRule="auto"/>
        <w:ind w:firstLine="420"/>
      </w:pPr>
      <w:r>
        <w:rPr>
          <w:rFonts w:hint="eastAsia"/>
        </w:rPr>
        <w:t>d）连接链路可监测；</w:t>
      </w:r>
    </w:p>
    <w:p w14:paraId="746FC151">
      <w:pPr>
        <w:pStyle w:val="56"/>
        <w:spacing w:line="360" w:lineRule="auto"/>
        <w:ind w:firstLine="420"/>
      </w:pPr>
      <w:r>
        <w:rPr>
          <w:rFonts w:hint="eastAsia"/>
        </w:rPr>
        <w:t>e）原始数据可获取；</w:t>
      </w:r>
    </w:p>
    <w:p w14:paraId="7E582893">
      <w:pPr>
        <w:pStyle w:val="56"/>
        <w:spacing w:line="360" w:lineRule="auto"/>
        <w:ind w:firstLine="420"/>
      </w:pPr>
      <w:r>
        <w:rPr>
          <w:rFonts w:hint="eastAsia"/>
        </w:rPr>
        <w:t>f）关键操作可见证；</w:t>
      </w:r>
    </w:p>
    <w:p w14:paraId="17197BD4">
      <w:pPr>
        <w:pStyle w:val="56"/>
        <w:spacing w:line="360" w:lineRule="auto"/>
        <w:ind w:firstLine="420"/>
      </w:pPr>
      <w:r>
        <w:rPr>
          <w:rFonts w:hint="eastAsia"/>
        </w:rPr>
        <w:t>g）校准结果可复核；</w:t>
      </w:r>
    </w:p>
    <w:p w14:paraId="562F714D">
      <w:pPr>
        <w:pStyle w:val="56"/>
        <w:spacing w:line="360" w:lineRule="auto"/>
        <w:ind w:firstLine="420"/>
      </w:pPr>
      <w:r>
        <w:rPr>
          <w:rFonts w:hint="eastAsia"/>
        </w:rPr>
        <w:t>h）全过程可留痕。</w:t>
      </w:r>
    </w:p>
    <w:p w14:paraId="12722CB8">
      <w:pPr>
        <w:pStyle w:val="165"/>
        <w:spacing w:line="360" w:lineRule="auto"/>
      </w:pPr>
      <w:r>
        <w:rPr>
          <w:rFonts w:hint="eastAsia"/>
        </w:rPr>
        <w:t>对仅能实现远程读数、但不能满足关键参数控制、环境确认或者标准比较要求的计量器具，不得认定为具备远程校准能力。</w:t>
      </w:r>
    </w:p>
    <w:p w14:paraId="107AF038">
      <w:pPr>
        <w:pStyle w:val="165"/>
        <w:spacing w:line="360" w:lineRule="auto"/>
      </w:pPr>
      <w:r>
        <w:rPr>
          <w:rFonts w:hint="eastAsia"/>
        </w:rPr>
        <w:t>对仅能通过人工口头反馈现场状态、而不能形成客观可核查证据的，不得作为正式远程校准实施方式。</w:t>
      </w:r>
    </w:p>
    <w:p w14:paraId="5740D199">
      <w:pPr>
        <w:pStyle w:val="105"/>
        <w:spacing w:before="120" w:after="120" w:line="360" w:lineRule="auto"/>
      </w:pPr>
      <w:r>
        <w:rPr>
          <w:rFonts w:hint="eastAsia"/>
        </w:rPr>
        <w:t>管理职责</w:t>
      </w:r>
    </w:p>
    <w:p w14:paraId="12F6D7FA">
      <w:pPr>
        <w:pStyle w:val="165"/>
        <w:spacing w:line="360" w:lineRule="auto"/>
      </w:pPr>
      <w:r>
        <w:rPr>
          <w:rFonts w:hint="eastAsia"/>
        </w:rPr>
        <w:t>开展远程校准的单位应明确校准管理责任、技术实施责任、现场配合责任、系统运维责任、数据安全责任和质量复核责任。</w:t>
      </w:r>
    </w:p>
    <w:p w14:paraId="798735B9">
      <w:pPr>
        <w:pStyle w:val="165"/>
        <w:spacing w:line="360" w:lineRule="auto"/>
      </w:pPr>
      <w:r>
        <w:rPr>
          <w:rFonts w:hint="eastAsia"/>
        </w:rPr>
        <w:t>校准实施单位应明确下列岗位或者角色职责：</w:t>
      </w:r>
    </w:p>
    <w:p w14:paraId="0752F47B">
      <w:pPr>
        <w:pStyle w:val="56"/>
        <w:spacing w:line="360" w:lineRule="auto"/>
        <w:ind w:firstLine="420"/>
      </w:pPr>
      <w:r>
        <w:rPr>
          <w:rFonts w:hint="eastAsia"/>
        </w:rPr>
        <w:t>a）校准任务审批人员；</w:t>
      </w:r>
    </w:p>
    <w:p w14:paraId="1479B634">
      <w:pPr>
        <w:pStyle w:val="56"/>
        <w:spacing w:line="360" w:lineRule="auto"/>
        <w:ind w:firstLine="420"/>
      </w:pPr>
      <w:r>
        <w:rPr>
          <w:rFonts w:hint="eastAsia"/>
        </w:rPr>
        <w:t>b）远程校准操作人员；</w:t>
      </w:r>
    </w:p>
    <w:p w14:paraId="1C4FA01E">
      <w:pPr>
        <w:pStyle w:val="56"/>
        <w:spacing w:line="360" w:lineRule="auto"/>
        <w:ind w:firstLine="420"/>
      </w:pPr>
      <w:r>
        <w:rPr>
          <w:rFonts w:hint="eastAsia"/>
        </w:rPr>
        <w:t>c）现场配合人员；</w:t>
      </w:r>
    </w:p>
    <w:p w14:paraId="35BE4D5B">
      <w:pPr>
        <w:pStyle w:val="56"/>
        <w:spacing w:line="360" w:lineRule="auto"/>
        <w:ind w:firstLine="420"/>
      </w:pPr>
      <w:r>
        <w:rPr>
          <w:rFonts w:hint="eastAsia"/>
        </w:rPr>
        <w:t>d）质量复核人员；</w:t>
      </w:r>
    </w:p>
    <w:p w14:paraId="60AA6736">
      <w:pPr>
        <w:pStyle w:val="56"/>
        <w:spacing w:line="360" w:lineRule="auto"/>
        <w:ind w:firstLine="420"/>
      </w:pPr>
      <w:r>
        <w:rPr>
          <w:rFonts w:hint="eastAsia"/>
        </w:rPr>
        <w:t>e）系统与链路保障人员；</w:t>
      </w:r>
    </w:p>
    <w:p w14:paraId="04466394">
      <w:pPr>
        <w:pStyle w:val="56"/>
        <w:spacing w:line="360" w:lineRule="auto"/>
        <w:ind w:firstLine="420"/>
      </w:pPr>
      <w:r>
        <w:rPr>
          <w:rFonts w:hint="eastAsia"/>
        </w:rPr>
        <w:t>f）信息安全管理人员；</w:t>
      </w:r>
    </w:p>
    <w:p w14:paraId="4E06101D">
      <w:pPr>
        <w:pStyle w:val="56"/>
        <w:spacing w:line="360" w:lineRule="auto"/>
        <w:ind w:firstLine="420"/>
      </w:pPr>
      <w:r>
        <w:rPr>
          <w:rFonts w:hint="eastAsia"/>
        </w:rPr>
        <w:t>g）资料归档管理人员。</w:t>
      </w:r>
    </w:p>
    <w:p w14:paraId="2AB7CA48">
      <w:pPr>
        <w:pStyle w:val="165"/>
        <w:spacing w:line="360" w:lineRule="auto"/>
      </w:pPr>
      <w:r>
        <w:rPr>
          <w:rFonts w:hint="eastAsia"/>
        </w:rPr>
        <w:t>远程校准操作人员应具备相应计量专业能力、设备操作能力和远程系统使用能力。</w:t>
      </w:r>
    </w:p>
    <w:p w14:paraId="62379E2A">
      <w:pPr>
        <w:pStyle w:val="165"/>
        <w:spacing w:line="360" w:lineRule="auto"/>
      </w:pPr>
      <w:r>
        <w:rPr>
          <w:rFonts w:hint="eastAsia"/>
        </w:rPr>
        <w:t>现场配合人员应熟悉现场设备状态、连接方式、环境确认要求和异常应急要求。</w:t>
      </w:r>
    </w:p>
    <w:p w14:paraId="5B4C47CA">
      <w:pPr>
        <w:pStyle w:val="165"/>
        <w:spacing w:line="360" w:lineRule="auto"/>
      </w:pPr>
      <w:r>
        <w:rPr>
          <w:rFonts w:hint="eastAsia"/>
        </w:rPr>
        <w:t>质量复核人员不得与具体实施人员完全混同；涉及高风险校准任务时，应实行复核确认制度。</w:t>
      </w:r>
    </w:p>
    <w:p w14:paraId="5D3A49BE">
      <w:pPr>
        <w:pStyle w:val="165"/>
        <w:spacing w:line="360" w:lineRule="auto"/>
      </w:pPr>
      <w:r>
        <w:rPr>
          <w:rFonts w:hint="eastAsia"/>
        </w:rPr>
        <w:t>任何单位和个人不得擅自更改远程校准原始数据、删减关键过程记录或者规避必要复核程序。</w:t>
      </w:r>
    </w:p>
    <w:p w14:paraId="4E8ED93D">
      <w:pPr>
        <w:pStyle w:val="105"/>
        <w:spacing w:before="120" w:after="120" w:line="360" w:lineRule="auto"/>
      </w:pPr>
      <w:r>
        <w:rPr>
          <w:rFonts w:hint="eastAsia"/>
        </w:rPr>
        <w:t>远程可校性判定</w:t>
      </w:r>
    </w:p>
    <w:p w14:paraId="42AB06B2">
      <w:pPr>
        <w:pStyle w:val="165"/>
        <w:spacing w:line="360" w:lineRule="auto"/>
      </w:pPr>
      <w:r>
        <w:rPr>
          <w:rFonts w:hint="eastAsia"/>
        </w:rPr>
        <w:t>远程校准前，应对被校器具进行远程可校性判定。</w:t>
      </w:r>
    </w:p>
    <w:p w14:paraId="6C68E6C8">
      <w:pPr>
        <w:pStyle w:val="165"/>
        <w:spacing w:line="360" w:lineRule="auto"/>
      </w:pPr>
      <w:r>
        <w:rPr>
          <w:rFonts w:hint="eastAsia"/>
        </w:rPr>
        <w:t>远程可校性判定宜至少包括下列内容：</w:t>
      </w:r>
    </w:p>
    <w:p w14:paraId="4AE3DB75">
      <w:pPr>
        <w:pStyle w:val="56"/>
        <w:spacing w:line="360" w:lineRule="auto"/>
        <w:ind w:firstLine="420"/>
      </w:pPr>
      <w:r>
        <w:rPr>
          <w:rFonts w:hint="eastAsia"/>
        </w:rPr>
        <w:t>a）被校器具是否具备稳定通信能力；</w:t>
      </w:r>
    </w:p>
    <w:p w14:paraId="2266E74E">
      <w:pPr>
        <w:pStyle w:val="56"/>
        <w:spacing w:line="360" w:lineRule="auto"/>
        <w:ind w:firstLine="420"/>
      </w:pPr>
      <w:r>
        <w:rPr>
          <w:rFonts w:hint="eastAsia"/>
        </w:rPr>
        <w:t>b）关键计量参数是否可远程采集或者远程读取；</w:t>
      </w:r>
    </w:p>
    <w:p w14:paraId="60C45FF8">
      <w:pPr>
        <w:pStyle w:val="56"/>
        <w:spacing w:line="360" w:lineRule="auto"/>
        <w:ind w:firstLine="420"/>
      </w:pPr>
      <w:r>
        <w:rPr>
          <w:rFonts w:hint="eastAsia"/>
        </w:rPr>
        <w:t>c）被校器具状态是否可远程确认；</w:t>
      </w:r>
    </w:p>
    <w:p w14:paraId="68A2959E">
      <w:pPr>
        <w:pStyle w:val="56"/>
        <w:spacing w:line="360" w:lineRule="auto"/>
        <w:ind w:firstLine="420"/>
      </w:pPr>
      <w:r>
        <w:rPr>
          <w:rFonts w:hint="eastAsia"/>
        </w:rPr>
        <w:t>d）现场环境条件是否可远程监测和远程见证；</w:t>
      </w:r>
    </w:p>
    <w:p w14:paraId="4052B726">
      <w:pPr>
        <w:pStyle w:val="56"/>
        <w:spacing w:line="360" w:lineRule="auto"/>
        <w:ind w:firstLine="420"/>
      </w:pPr>
      <w:r>
        <w:rPr>
          <w:rFonts w:hint="eastAsia"/>
        </w:rPr>
        <w:t>e）标准器具接入方式是否满足校准方法要求；</w:t>
      </w:r>
    </w:p>
    <w:p w14:paraId="40490419">
      <w:pPr>
        <w:pStyle w:val="56"/>
        <w:spacing w:line="360" w:lineRule="auto"/>
        <w:ind w:firstLine="420"/>
      </w:pPr>
      <w:r>
        <w:rPr>
          <w:rFonts w:hint="eastAsia"/>
        </w:rPr>
        <w:t>f）远程控制或者远程触发是否不会改变计量特性；</w:t>
      </w:r>
    </w:p>
    <w:p w14:paraId="4C2EFE03">
      <w:pPr>
        <w:pStyle w:val="56"/>
        <w:spacing w:line="360" w:lineRule="auto"/>
        <w:ind w:firstLine="420"/>
      </w:pPr>
      <w:r>
        <w:rPr>
          <w:rFonts w:hint="eastAsia"/>
        </w:rPr>
        <w:t>g）原始数据、日志数据和视频证据是否能够同步获取；</w:t>
      </w:r>
    </w:p>
    <w:p w14:paraId="0409A027">
      <w:pPr>
        <w:pStyle w:val="56"/>
        <w:spacing w:line="360" w:lineRule="auto"/>
        <w:ind w:firstLine="420"/>
      </w:pPr>
      <w:r>
        <w:rPr>
          <w:rFonts w:hint="eastAsia"/>
        </w:rPr>
        <w:t>h）异常情况下是否可中止并保持结果边界清晰。</w:t>
      </w:r>
    </w:p>
    <w:p w14:paraId="5A1E347F">
      <w:pPr>
        <w:pStyle w:val="165"/>
        <w:spacing w:line="360" w:lineRule="auto"/>
      </w:pPr>
      <w:r>
        <w:rPr>
          <w:rFonts w:hint="eastAsia"/>
        </w:rPr>
        <w:t>远程可校性判定结果应形成记录，并明确“可远程校准”“经限制条件可远程校准”或者“不可远程校准”结论。</w:t>
      </w:r>
    </w:p>
    <w:p w14:paraId="0ED71EE3">
      <w:pPr>
        <w:pStyle w:val="165"/>
        <w:spacing w:line="360" w:lineRule="auto"/>
      </w:pPr>
      <w:r>
        <w:rPr>
          <w:rFonts w:hint="eastAsia"/>
        </w:rPr>
        <w:t>对经限制条件可远程校准的计量器具，应明确限制条件、补充控制措施和适用范围。</w:t>
      </w:r>
    </w:p>
    <w:p w14:paraId="434924C4">
      <w:pPr>
        <w:pStyle w:val="165"/>
        <w:spacing w:line="360" w:lineRule="auto"/>
      </w:pPr>
      <w:r>
        <w:rPr>
          <w:rFonts w:hint="eastAsia"/>
        </w:rPr>
        <w:t>未完成远程可校性判定的，不得直接进入正式远程校准流程。</w:t>
      </w:r>
    </w:p>
    <w:p w14:paraId="70381582">
      <w:pPr>
        <w:pStyle w:val="105"/>
        <w:spacing w:before="120" w:after="120" w:line="360" w:lineRule="auto"/>
      </w:pPr>
      <w:r>
        <w:rPr>
          <w:rFonts w:hint="eastAsia"/>
        </w:rPr>
        <w:t>校准任务管理</w:t>
      </w:r>
    </w:p>
    <w:p w14:paraId="736E1F78">
      <w:pPr>
        <w:pStyle w:val="165"/>
        <w:spacing w:line="360" w:lineRule="auto"/>
      </w:pPr>
      <w:r>
        <w:rPr>
          <w:rFonts w:hint="eastAsia"/>
        </w:rPr>
        <w:t>远程校准应按任务管理方式实施。</w:t>
      </w:r>
    </w:p>
    <w:p w14:paraId="1B5EA895">
      <w:pPr>
        <w:pStyle w:val="165"/>
        <w:spacing w:line="360" w:lineRule="auto"/>
      </w:pPr>
      <w:r>
        <w:rPr>
          <w:rFonts w:hint="eastAsia"/>
        </w:rPr>
        <w:t>每个校准任务应至少明确下列内容：</w:t>
      </w:r>
    </w:p>
    <w:p w14:paraId="4072FA47">
      <w:pPr>
        <w:pStyle w:val="56"/>
        <w:spacing w:line="360" w:lineRule="auto"/>
        <w:ind w:firstLine="420"/>
      </w:pPr>
      <w:r>
        <w:rPr>
          <w:rFonts w:hint="eastAsia"/>
        </w:rPr>
        <w:t>a）任务编号；</w:t>
      </w:r>
    </w:p>
    <w:p w14:paraId="15F84957">
      <w:pPr>
        <w:pStyle w:val="56"/>
        <w:spacing w:line="360" w:lineRule="auto"/>
        <w:ind w:firstLine="420"/>
      </w:pPr>
      <w:r>
        <w:rPr>
          <w:rFonts w:hint="eastAsia"/>
        </w:rPr>
        <w:t>b）被校器具名称、型号和编号；</w:t>
      </w:r>
    </w:p>
    <w:p w14:paraId="71225662">
      <w:pPr>
        <w:pStyle w:val="56"/>
        <w:spacing w:line="360" w:lineRule="auto"/>
        <w:ind w:firstLine="420"/>
      </w:pPr>
      <w:r>
        <w:rPr>
          <w:rFonts w:hint="eastAsia"/>
        </w:rPr>
        <w:t>c）校准项目；</w:t>
      </w:r>
    </w:p>
    <w:p w14:paraId="4D58EE41">
      <w:pPr>
        <w:pStyle w:val="56"/>
        <w:spacing w:line="360" w:lineRule="auto"/>
        <w:ind w:firstLine="420"/>
      </w:pPr>
      <w:r>
        <w:rPr>
          <w:rFonts w:hint="eastAsia"/>
        </w:rPr>
        <w:t>d）校准依据；</w:t>
      </w:r>
    </w:p>
    <w:p w14:paraId="67B908CE">
      <w:pPr>
        <w:pStyle w:val="56"/>
        <w:spacing w:line="360" w:lineRule="auto"/>
        <w:ind w:firstLine="420"/>
      </w:pPr>
      <w:r>
        <w:rPr>
          <w:rFonts w:hint="eastAsia"/>
        </w:rPr>
        <w:t>e）标准器具配置；</w:t>
      </w:r>
    </w:p>
    <w:p w14:paraId="4093B4D5">
      <w:pPr>
        <w:pStyle w:val="56"/>
        <w:spacing w:line="360" w:lineRule="auto"/>
        <w:ind w:firstLine="420"/>
      </w:pPr>
      <w:r>
        <w:rPr>
          <w:rFonts w:hint="eastAsia"/>
        </w:rPr>
        <w:t>f）现场位置；</w:t>
      </w:r>
    </w:p>
    <w:p w14:paraId="7D8D1BBA">
      <w:pPr>
        <w:pStyle w:val="56"/>
        <w:spacing w:line="360" w:lineRule="auto"/>
        <w:ind w:firstLine="420"/>
      </w:pPr>
      <w:r>
        <w:rPr>
          <w:rFonts w:hint="eastAsia"/>
        </w:rPr>
        <w:t>g）校准时间；</w:t>
      </w:r>
    </w:p>
    <w:p w14:paraId="296DB24C">
      <w:pPr>
        <w:pStyle w:val="56"/>
        <w:spacing w:line="360" w:lineRule="auto"/>
        <w:ind w:firstLine="420"/>
      </w:pPr>
      <w:r>
        <w:rPr>
          <w:rFonts w:hint="eastAsia"/>
        </w:rPr>
        <w:t>h）实施人员和复核人员；</w:t>
      </w:r>
    </w:p>
    <w:p w14:paraId="705DCDAC">
      <w:pPr>
        <w:pStyle w:val="56"/>
        <w:spacing w:line="360" w:lineRule="auto"/>
        <w:ind w:firstLine="420"/>
      </w:pPr>
      <w:r>
        <w:rPr>
          <w:rFonts w:hint="eastAsia"/>
        </w:rPr>
        <w:t>i）环境条件要求；</w:t>
      </w:r>
    </w:p>
    <w:p w14:paraId="59A824F0">
      <w:pPr>
        <w:pStyle w:val="56"/>
        <w:spacing w:line="360" w:lineRule="auto"/>
        <w:ind w:firstLine="420"/>
      </w:pPr>
      <w:r>
        <w:rPr>
          <w:rFonts w:hint="eastAsia"/>
        </w:rPr>
        <w:t>j）安全要求；</w:t>
      </w:r>
    </w:p>
    <w:p w14:paraId="65EA694F">
      <w:pPr>
        <w:pStyle w:val="56"/>
        <w:spacing w:line="360" w:lineRule="auto"/>
        <w:ind w:firstLine="420"/>
      </w:pPr>
      <w:r>
        <w:rPr>
          <w:rFonts w:hint="eastAsia"/>
        </w:rPr>
        <w:t>k）结果确认要求。</w:t>
      </w:r>
    </w:p>
    <w:p w14:paraId="0B23A5C7">
      <w:pPr>
        <w:pStyle w:val="165"/>
        <w:spacing w:line="360" w:lineRule="auto"/>
      </w:pPr>
      <w:r>
        <w:rPr>
          <w:rFonts w:hint="eastAsia"/>
        </w:rPr>
        <w:t>同一任务中存在多个被校器具、多个量程或者多个校准项目的，应分别明确对象范围和实施顺序，不得笼统合并管理。</w:t>
      </w:r>
    </w:p>
    <w:p w14:paraId="7741918B">
      <w:pPr>
        <w:pStyle w:val="165"/>
        <w:spacing w:line="360" w:lineRule="auto"/>
      </w:pPr>
      <w:r>
        <w:rPr>
          <w:rFonts w:hint="eastAsia"/>
        </w:rPr>
        <w:t>校准任务建立后，未经确认不得随意变更关键参数、关键配置和关键边界。</w:t>
      </w:r>
    </w:p>
    <w:p w14:paraId="31ABAD3B">
      <w:pPr>
        <w:pStyle w:val="105"/>
        <w:spacing w:before="120" w:after="120" w:line="360" w:lineRule="auto"/>
      </w:pPr>
      <w:r>
        <w:rPr>
          <w:rFonts w:hint="eastAsia"/>
        </w:rPr>
        <w:t>量值溯源要求</w:t>
      </w:r>
    </w:p>
    <w:p w14:paraId="7786C1DB">
      <w:pPr>
        <w:pStyle w:val="165"/>
        <w:spacing w:line="360" w:lineRule="auto"/>
      </w:pPr>
      <w:r>
        <w:rPr>
          <w:rFonts w:hint="eastAsia"/>
        </w:rPr>
        <w:t>远程校准活动中使用的标准器具、标准装置和辅助设备应满足量值溯源要求。</w:t>
      </w:r>
    </w:p>
    <w:p w14:paraId="192B8287">
      <w:pPr>
        <w:pStyle w:val="165"/>
        <w:spacing w:line="360" w:lineRule="auto"/>
      </w:pPr>
      <w:r>
        <w:rPr>
          <w:rFonts w:hint="eastAsia"/>
        </w:rPr>
        <w:t>纳入溯源管理范围的标准器具应在有效期内使用。</w:t>
      </w:r>
    </w:p>
    <w:p w14:paraId="3AEFD815">
      <w:pPr>
        <w:pStyle w:val="165"/>
        <w:spacing w:line="360" w:lineRule="auto"/>
      </w:pPr>
      <w:r>
        <w:rPr>
          <w:rFonts w:hint="eastAsia"/>
        </w:rPr>
        <w:t>超过有效期、状态异常、标识不清或者无法确认量值状态的标准器具，不得用于正式远程校准。</w:t>
      </w:r>
    </w:p>
    <w:p w14:paraId="4F467723">
      <w:pPr>
        <w:pStyle w:val="165"/>
        <w:spacing w:line="360" w:lineRule="auto"/>
      </w:pPr>
      <w:r>
        <w:rPr>
          <w:rFonts w:hint="eastAsia"/>
        </w:rPr>
        <w:t>远程校准中涉及的软件参数、修正参数、换算参数和控制参数，应有明确来源和版本控制，不得使用来源不明参数参与正式校准结果计算。</w:t>
      </w:r>
    </w:p>
    <w:p w14:paraId="2F6A49A1">
      <w:pPr>
        <w:pStyle w:val="105"/>
        <w:spacing w:before="120" w:after="120" w:line="360" w:lineRule="auto"/>
      </w:pPr>
      <w:r>
        <w:rPr>
          <w:rFonts w:hint="eastAsia"/>
        </w:rPr>
        <w:t>数据真实性与完整性要求</w:t>
      </w:r>
    </w:p>
    <w:p w14:paraId="1953A0DC">
      <w:pPr>
        <w:pStyle w:val="165"/>
        <w:spacing w:line="360" w:lineRule="auto"/>
      </w:pPr>
      <w:r>
        <w:rPr>
          <w:rFonts w:hint="eastAsia"/>
        </w:rPr>
        <w:t>远程校准原始数据应真实、完整、连续和可追溯。</w:t>
      </w:r>
    </w:p>
    <w:p w14:paraId="45225418">
      <w:pPr>
        <w:pStyle w:val="165"/>
        <w:spacing w:line="360" w:lineRule="auto"/>
      </w:pPr>
      <w:r>
        <w:rPr>
          <w:rFonts w:hint="eastAsia"/>
        </w:rPr>
        <w:t>原始校准数据、环境数据、视频记录、系统日志、控制记录和结果记录之间应保持时间一致性和任务对应关系。</w:t>
      </w:r>
    </w:p>
    <w:p w14:paraId="2B700F99">
      <w:pPr>
        <w:pStyle w:val="165"/>
        <w:spacing w:line="360" w:lineRule="auto"/>
      </w:pPr>
      <w:r>
        <w:rPr>
          <w:rFonts w:hint="eastAsia"/>
        </w:rPr>
        <w:t>不得通过离线修改、人工补写、覆盖替换或者截取片段方式伪造完整校准过程。</w:t>
      </w:r>
    </w:p>
    <w:p w14:paraId="4D3F3835">
      <w:pPr>
        <w:pStyle w:val="165"/>
        <w:spacing w:line="360" w:lineRule="auto"/>
      </w:pPr>
      <w:r>
        <w:rPr>
          <w:rFonts w:hint="eastAsia"/>
        </w:rPr>
        <w:t>对关键测量点、关键切换点和关键判定点，应保留能够支撑复核的原始证据。</w:t>
      </w:r>
    </w:p>
    <w:p w14:paraId="24FCE766">
      <w:pPr>
        <w:pStyle w:val="105"/>
        <w:spacing w:before="120" w:after="120" w:line="360" w:lineRule="auto"/>
      </w:pPr>
      <w:r>
        <w:rPr>
          <w:rFonts w:hint="eastAsia"/>
        </w:rPr>
        <w:t>过程控制要求</w:t>
      </w:r>
    </w:p>
    <w:p w14:paraId="3817A3D3">
      <w:pPr>
        <w:pStyle w:val="165"/>
        <w:spacing w:line="360" w:lineRule="auto"/>
      </w:pPr>
      <w:r>
        <w:rPr>
          <w:rFonts w:hint="eastAsia"/>
        </w:rPr>
        <w:t>远程校准活动应实施全过程控制。</w:t>
      </w:r>
    </w:p>
    <w:p w14:paraId="30089A6B">
      <w:pPr>
        <w:pStyle w:val="165"/>
        <w:spacing w:line="360" w:lineRule="auto"/>
      </w:pPr>
      <w:r>
        <w:rPr>
          <w:rFonts w:hint="eastAsia"/>
        </w:rPr>
        <w:t>过程控制应至少覆盖下列环节：</w:t>
      </w:r>
    </w:p>
    <w:p w14:paraId="386A8D10">
      <w:pPr>
        <w:pStyle w:val="56"/>
        <w:spacing w:line="360" w:lineRule="auto"/>
        <w:ind w:firstLine="420"/>
      </w:pPr>
      <w:r>
        <w:rPr>
          <w:rFonts w:hint="eastAsia"/>
        </w:rPr>
        <w:t>a）身份确认；</w:t>
      </w:r>
    </w:p>
    <w:p w14:paraId="6AB27294">
      <w:pPr>
        <w:pStyle w:val="56"/>
        <w:spacing w:line="360" w:lineRule="auto"/>
        <w:ind w:firstLine="420"/>
      </w:pPr>
      <w:r>
        <w:rPr>
          <w:rFonts w:hint="eastAsia"/>
        </w:rPr>
        <w:t>b）连接建立；</w:t>
      </w:r>
    </w:p>
    <w:p w14:paraId="5AE29AD0">
      <w:pPr>
        <w:pStyle w:val="56"/>
        <w:spacing w:line="360" w:lineRule="auto"/>
        <w:ind w:firstLine="420"/>
      </w:pPr>
      <w:r>
        <w:rPr>
          <w:rFonts w:hint="eastAsia"/>
        </w:rPr>
        <w:t>c）环境确认；</w:t>
      </w:r>
    </w:p>
    <w:p w14:paraId="425A11DA">
      <w:pPr>
        <w:pStyle w:val="56"/>
        <w:spacing w:line="360" w:lineRule="auto"/>
        <w:ind w:firstLine="420"/>
      </w:pPr>
      <w:r>
        <w:rPr>
          <w:rFonts w:hint="eastAsia"/>
        </w:rPr>
        <w:t>d）标准器具核查；</w:t>
      </w:r>
    </w:p>
    <w:p w14:paraId="146BAE71">
      <w:pPr>
        <w:pStyle w:val="56"/>
        <w:spacing w:line="360" w:lineRule="auto"/>
        <w:ind w:firstLine="420"/>
      </w:pPr>
      <w:r>
        <w:rPr>
          <w:rFonts w:hint="eastAsia"/>
        </w:rPr>
        <w:t>e）被校器具状态确认；</w:t>
      </w:r>
    </w:p>
    <w:p w14:paraId="020FDB27">
      <w:pPr>
        <w:pStyle w:val="56"/>
        <w:spacing w:line="360" w:lineRule="auto"/>
        <w:ind w:firstLine="420"/>
      </w:pPr>
      <w:r>
        <w:rPr>
          <w:rFonts w:hint="eastAsia"/>
        </w:rPr>
        <w:t>f）参数配置；</w:t>
      </w:r>
    </w:p>
    <w:p w14:paraId="35572030">
      <w:pPr>
        <w:pStyle w:val="56"/>
        <w:spacing w:line="360" w:lineRule="auto"/>
        <w:ind w:firstLine="420"/>
      </w:pPr>
      <w:r>
        <w:rPr>
          <w:rFonts w:hint="eastAsia"/>
        </w:rPr>
        <w:t>g）数据采集；</w:t>
      </w:r>
    </w:p>
    <w:p w14:paraId="6A7AB40B">
      <w:pPr>
        <w:pStyle w:val="56"/>
        <w:spacing w:line="360" w:lineRule="auto"/>
        <w:ind w:firstLine="420"/>
      </w:pPr>
      <w:r>
        <w:rPr>
          <w:rFonts w:hint="eastAsia"/>
        </w:rPr>
        <w:t>h）结果计算；</w:t>
      </w:r>
    </w:p>
    <w:p w14:paraId="0059FC57">
      <w:pPr>
        <w:pStyle w:val="56"/>
        <w:spacing w:line="360" w:lineRule="auto"/>
        <w:ind w:firstLine="420"/>
      </w:pPr>
      <w:r>
        <w:rPr>
          <w:rFonts w:hint="eastAsia"/>
        </w:rPr>
        <w:t>i）结果复核；</w:t>
      </w:r>
    </w:p>
    <w:p w14:paraId="34A51BCA">
      <w:pPr>
        <w:pStyle w:val="56"/>
        <w:spacing w:line="360" w:lineRule="auto"/>
        <w:ind w:firstLine="420"/>
      </w:pPr>
      <w:r>
        <w:rPr>
          <w:rFonts w:hint="eastAsia"/>
        </w:rPr>
        <w:t>j）任务关闭。</w:t>
      </w:r>
    </w:p>
    <w:p w14:paraId="3FD99328">
      <w:pPr>
        <w:pStyle w:val="165"/>
        <w:spacing w:line="360" w:lineRule="auto"/>
      </w:pPr>
      <w:r>
        <w:rPr>
          <w:rFonts w:hint="eastAsia"/>
        </w:rPr>
        <w:t>任一关键环节不满足要求时，应暂停或者中止校准任务。</w:t>
      </w:r>
    </w:p>
    <w:p w14:paraId="2B428980">
      <w:pPr>
        <w:pStyle w:val="165"/>
        <w:spacing w:line="360" w:lineRule="auto"/>
      </w:pPr>
      <w:r>
        <w:rPr>
          <w:rFonts w:hint="eastAsia"/>
        </w:rPr>
        <w:t>过程控制中发现影响结果有效性的异常时，不得继续完成并输出正式结果。</w:t>
      </w:r>
    </w:p>
    <w:p w14:paraId="7F9DCA55">
      <w:pPr>
        <w:pStyle w:val="105"/>
        <w:spacing w:before="120" w:after="120" w:line="360" w:lineRule="auto"/>
      </w:pPr>
      <w:r>
        <w:rPr>
          <w:rFonts w:hint="eastAsia"/>
        </w:rPr>
        <w:t>安全与保密要求</w:t>
      </w:r>
    </w:p>
    <w:p w14:paraId="2BDC419F">
      <w:pPr>
        <w:pStyle w:val="165"/>
        <w:spacing w:line="360" w:lineRule="auto"/>
      </w:pPr>
      <w:r>
        <w:rPr>
          <w:rFonts w:hint="eastAsia"/>
        </w:rPr>
        <w:t>远程校准活动应满足设备安全、网络安全、数据安全和现场作业安全要求。</w:t>
      </w:r>
    </w:p>
    <w:p w14:paraId="6F621D8B">
      <w:pPr>
        <w:pStyle w:val="165"/>
        <w:spacing w:line="360" w:lineRule="auto"/>
      </w:pPr>
      <w:r>
        <w:rPr>
          <w:rFonts w:hint="eastAsia"/>
        </w:rPr>
        <w:t>远程连接链路、远程控制权限和数据传输通道应受控。</w:t>
      </w:r>
    </w:p>
    <w:p w14:paraId="011C5C0F">
      <w:pPr>
        <w:pStyle w:val="165"/>
        <w:spacing w:line="360" w:lineRule="auto"/>
      </w:pPr>
      <w:r>
        <w:rPr>
          <w:rFonts w:hint="eastAsia"/>
        </w:rPr>
        <w:t>远程校准活动中形成的数据、视频、日志和证书文件，应按权限管理要求存储和调用。</w:t>
      </w:r>
    </w:p>
    <w:p w14:paraId="1A392198">
      <w:pPr>
        <w:pStyle w:val="165"/>
        <w:spacing w:line="360" w:lineRule="auto"/>
      </w:pPr>
      <w:r>
        <w:rPr>
          <w:rFonts w:hint="eastAsia"/>
        </w:rPr>
        <w:t>未经授权，不得导出、转发、复制或者公开远程校准数据和相关资料。</w:t>
      </w:r>
    </w:p>
    <w:p w14:paraId="1F10F152">
      <w:pPr>
        <w:pStyle w:val="105"/>
        <w:spacing w:before="120" w:after="120" w:line="360" w:lineRule="auto"/>
      </w:pPr>
      <w:r>
        <w:rPr>
          <w:rFonts w:hint="eastAsia"/>
        </w:rPr>
        <w:t>记录与归档要求</w:t>
      </w:r>
    </w:p>
    <w:p w14:paraId="5FD60EA6">
      <w:pPr>
        <w:pStyle w:val="165"/>
        <w:spacing w:line="360" w:lineRule="auto"/>
      </w:pPr>
      <w:r>
        <w:rPr>
          <w:rFonts w:hint="eastAsia"/>
        </w:rPr>
        <w:t>远程校准活动应做到任务有记录、连接有记录、操作有记录、数据有记录、异常有记录、确认有记录和归档有记录。</w:t>
      </w:r>
    </w:p>
    <w:p w14:paraId="4A73B0FE">
      <w:pPr>
        <w:pStyle w:val="165"/>
        <w:spacing w:line="360" w:lineRule="auto"/>
      </w:pPr>
      <w:r>
        <w:rPr>
          <w:rFonts w:hint="eastAsia"/>
        </w:rPr>
        <w:t>记录应真实、清晰、完整和可查询，不得漏记、补记、篡改或者随意删除。</w:t>
      </w:r>
    </w:p>
    <w:p w14:paraId="3A47CE3E">
      <w:pPr>
        <w:pStyle w:val="165"/>
        <w:spacing w:line="360" w:lineRule="auto"/>
      </w:pPr>
      <w:r>
        <w:rPr>
          <w:rFonts w:hint="eastAsia"/>
        </w:rPr>
        <w:t>电子记录应具备时间标记、身份标记、版本标记和留痕能力。</w:t>
      </w:r>
    </w:p>
    <w:p w14:paraId="2F6DFC11">
      <w:pPr>
        <w:pStyle w:val="165"/>
        <w:spacing w:line="360" w:lineRule="auto"/>
      </w:pPr>
      <w:r>
        <w:rPr>
          <w:rFonts w:hint="eastAsia"/>
        </w:rPr>
        <w:t>远程校准记录与校准证书、原始数据、日志文件和视频证据应相互对应。</w:t>
      </w:r>
    </w:p>
    <w:p w14:paraId="2B9267C0">
      <w:pPr>
        <w:pStyle w:val="105"/>
        <w:spacing w:before="120" w:after="120" w:line="360" w:lineRule="auto"/>
      </w:pPr>
      <w:r>
        <w:rPr>
          <w:rFonts w:hint="eastAsia"/>
        </w:rPr>
        <w:t>禁止性要求</w:t>
      </w:r>
    </w:p>
    <w:p w14:paraId="48BAF87B">
      <w:pPr>
        <w:pStyle w:val="165"/>
        <w:spacing w:line="360" w:lineRule="auto"/>
      </w:pPr>
      <w:r>
        <w:rPr>
          <w:rFonts w:hint="eastAsia"/>
        </w:rPr>
        <w:t>不得在远程可校性未确认的情况下开展正式远程校准。</w:t>
      </w:r>
    </w:p>
    <w:p w14:paraId="4538502E">
      <w:pPr>
        <w:pStyle w:val="165"/>
        <w:spacing w:line="360" w:lineRule="auto"/>
      </w:pPr>
      <w:r>
        <w:rPr>
          <w:rFonts w:hint="eastAsia"/>
        </w:rPr>
        <w:t>不得使用超期、失准、状态不明或者溯源关系不清的标准器具。</w:t>
      </w:r>
    </w:p>
    <w:p w14:paraId="7CA8FECE">
      <w:pPr>
        <w:pStyle w:val="165"/>
        <w:spacing w:line="360" w:lineRule="auto"/>
      </w:pPr>
      <w:r>
        <w:rPr>
          <w:rFonts w:hint="eastAsia"/>
        </w:rPr>
        <w:t>不得在现场环境无法确认、链路不稳定或者关键证据无法获取的情况下继续校准。</w:t>
      </w:r>
    </w:p>
    <w:p w14:paraId="210EDC3F">
      <w:pPr>
        <w:pStyle w:val="165"/>
        <w:spacing w:line="360" w:lineRule="auto"/>
      </w:pPr>
      <w:r>
        <w:rPr>
          <w:rFonts w:hint="eastAsia"/>
        </w:rPr>
        <w:t>不得以事后整理记录替代实时过程留痕。</w:t>
      </w:r>
    </w:p>
    <w:p w14:paraId="505A6601">
      <w:pPr>
        <w:pStyle w:val="165"/>
        <w:spacing w:line="360" w:lineRule="auto"/>
      </w:pPr>
      <w:r>
        <w:rPr>
          <w:rFonts w:hint="eastAsia"/>
        </w:rPr>
        <w:t>不得在原始数据不完整、关键日志缺失或者复核未完成的情况下出具正式校准结果。</w:t>
      </w:r>
    </w:p>
    <w:p w14:paraId="7D1F2FAA">
      <w:pPr>
        <w:pStyle w:val="104"/>
        <w:spacing w:before="240" w:after="240" w:line="360" w:lineRule="auto"/>
      </w:pPr>
      <w:bookmarkStart w:id="52" w:name="_Toc228601777"/>
      <w:r>
        <w:rPr>
          <w:rFonts w:hint="eastAsia"/>
        </w:rPr>
        <w:t>远程校准系统与实施条件要求</w:t>
      </w:r>
      <w:bookmarkEnd w:id="52"/>
    </w:p>
    <w:p w14:paraId="4A7A798C">
      <w:pPr>
        <w:pStyle w:val="105"/>
        <w:spacing w:before="120" w:after="120" w:line="360" w:lineRule="auto"/>
      </w:pPr>
      <w:r>
        <w:rPr>
          <w:rFonts w:hint="eastAsia"/>
        </w:rPr>
        <w:t>一般规定</w:t>
      </w:r>
    </w:p>
    <w:p w14:paraId="273137AB">
      <w:pPr>
        <w:pStyle w:val="165"/>
        <w:spacing w:line="360" w:lineRule="auto"/>
      </w:pPr>
      <w:r>
        <w:rPr>
          <w:rFonts w:hint="eastAsia"/>
        </w:rPr>
        <w:t>智能计量器具远程校准应依托满足技术、管理和安全要求的远程校准系统实施。</w:t>
      </w:r>
    </w:p>
    <w:p w14:paraId="50052E32">
      <w:pPr>
        <w:pStyle w:val="165"/>
        <w:spacing w:line="360" w:lineRule="auto"/>
      </w:pPr>
      <w:r>
        <w:rPr>
          <w:rFonts w:hint="eastAsia"/>
        </w:rPr>
        <w:t>远程校准系统应与被校器具类型、校准方法、通信方式、环境要求和风险等级相适应。</w:t>
      </w:r>
    </w:p>
    <w:p w14:paraId="72ACE9D2">
      <w:pPr>
        <w:pStyle w:val="165"/>
        <w:spacing w:line="360" w:lineRule="auto"/>
      </w:pPr>
      <w:r>
        <w:rPr>
          <w:rFonts w:hint="eastAsia"/>
        </w:rPr>
        <w:t>远程校准系统应覆盖远程操作、现场采集、视频确认、环境监测、标准器具接入、数据处理、结果复核和资料归档等基本功能。</w:t>
      </w:r>
    </w:p>
    <w:p w14:paraId="1C60C237">
      <w:pPr>
        <w:pStyle w:val="165"/>
        <w:spacing w:line="360" w:lineRule="auto"/>
      </w:pPr>
      <w:r>
        <w:rPr>
          <w:rFonts w:hint="eastAsia"/>
        </w:rPr>
        <w:t>系统组成不完整、功能不满足要求或者关键控制环节缺失的，不得用于正式远程校准。</w:t>
      </w:r>
    </w:p>
    <w:p w14:paraId="021CBFE8">
      <w:pPr>
        <w:pStyle w:val="165"/>
        <w:spacing w:line="360" w:lineRule="auto"/>
      </w:pPr>
      <w:r>
        <w:rPr>
          <w:rFonts w:hint="eastAsia"/>
        </w:rPr>
        <w:t>远程校准系统的主要组成及控制要点见表1。表1给出了远程校准系统主要组成及控制要点。</w:t>
      </w:r>
    </w:p>
    <w:p w14:paraId="305AD961">
      <w:pPr>
        <w:pStyle w:val="112"/>
        <w:spacing w:before="120" w:after="120" w:line="360" w:lineRule="auto"/>
      </w:pPr>
      <w:r>
        <w:rPr>
          <w:rFonts w:hint="eastAsia"/>
        </w:rPr>
        <w:t>远程校准系统主要组成及控制要点表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4111"/>
        <w:gridCol w:w="3248"/>
      </w:tblGrid>
      <w:tr w14:paraId="00A8A2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tcPr>
          <w:p w14:paraId="70C7292D">
            <w:pPr>
              <w:pStyle w:val="178"/>
            </w:pPr>
            <w:r>
              <w:rPr>
                <w:rFonts w:hint="eastAsia"/>
              </w:rPr>
              <w:t>系统组成</w:t>
            </w:r>
          </w:p>
        </w:tc>
        <w:tc>
          <w:tcPr>
            <w:tcW w:w="4111" w:type="dxa"/>
            <w:tcBorders>
              <w:top w:val="single" w:color="auto" w:sz="8" w:space="0"/>
              <w:bottom w:val="single" w:color="auto" w:sz="8" w:space="0"/>
            </w:tcBorders>
          </w:tcPr>
          <w:p w14:paraId="238384E8">
            <w:pPr>
              <w:pStyle w:val="178"/>
            </w:pPr>
            <w:r>
              <w:rPr>
                <w:rFonts w:hint="eastAsia"/>
              </w:rPr>
              <w:t>主要功能</w:t>
            </w:r>
          </w:p>
        </w:tc>
        <w:tc>
          <w:tcPr>
            <w:tcW w:w="3248" w:type="dxa"/>
            <w:tcBorders>
              <w:top w:val="single" w:color="auto" w:sz="8" w:space="0"/>
              <w:bottom w:val="single" w:color="auto" w:sz="8" w:space="0"/>
            </w:tcBorders>
          </w:tcPr>
          <w:p w14:paraId="078E7EF1">
            <w:pPr>
              <w:pStyle w:val="178"/>
            </w:pPr>
            <w:r>
              <w:rPr>
                <w:rFonts w:hint="eastAsia"/>
              </w:rPr>
              <w:t>控制要点</w:t>
            </w:r>
          </w:p>
        </w:tc>
      </w:tr>
      <w:tr w14:paraId="5B2EE3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tcBorders>
          </w:tcPr>
          <w:p w14:paraId="605D4634">
            <w:pPr>
              <w:pStyle w:val="178"/>
            </w:pPr>
            <w:r>
              <w:rPr>
                <w:rFonts w:hint="eastAsia"/>
              </w:rPr>
              <w:t>远程操作终端</w:t>
            </w:r>
          </w:p>
        </w:tc>
        <w:tc>
          <w:tcPr>
            <w:tcW w:w="4111" w:type="dxa"/>
            <w:tcBorders>
              <w:top w:val="single" w:color="auto" w:sz="8" w:space="0"/>
            </w:tcBorders>
          </w:tcPr>
          <w:p w14:paraId="755B1A4C">
            <w:pPr>
              <w:pStyle w:val="178"/>
            </w:pPr>
            <w:r>
              <w:rPr>
                <w:rFonts w:hint="eastAsia"/>
              </w:rPr>
              <w:t>发起任务、查看状态、控制流程、处理结果</w:t>
            </w:r>
          </w:p>
        </w:tc>
        <w:tc>
          <w:tcPr>
            <w:tcW w:w="3248" w:type="dxa"/>
            <w:tcBorders>
              <w:top w:val="single" w:color="auto" w:sz="8" w:space="0"/>
            </w:tcBorders>
          </w:tcPr>
          <w:p w14:paraId="430CC002">
            <w:pPr>
              <w:pStyle w:val="178"/>
            </w:pPr>
            <w:r>
              <w:rPr>
                <w:rFonts w:hint="eastAsia"/>
              </w:rPr>
              <w:t>身份可确认、权限可控制、操作可留痕</w:t>
            </w:r>
          </w:p>
        </w:tc>
      </w:tr>
    </w:tbl>
    <w:p w14:paraId="34D4B991">
      <w:pPr>
        <w:pStyle w:val="56"/>
        <w:spacing w:before="120" w:beforeLines="50" w:after="120" w:afterLines="50"/>
        <w:ind w:firstLine="0" w:firstLineChars="0"/>
        <w:jc w:val="center"/>
        <w:rPr>
          <w:rFonts w:hint="eastAsia" w:ascii="黑体" w:hAnsi="黑体" w:eastAsia="黑体"/>
        </w:rPr>
      </w:pPr>
      <w:r>
        <w:rPr>
          <w:rFonts w:hint="eastAsia" w:ascii="黑体" w:hAnsi="黑体" w:eastAsia="黑体"/>
        </w:rPr>
        <w:t>表1  远程校准系统主要组成及控制要点表</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4111"/>
        <w:gridCol w:w="3248"/>
      </w:tblGrid>
      <w:tr w14:paraId="1B562F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tcPr>
          <w:p w14:paraId="5FDFCB29">
            <w:pPr>
              <w:pStyle w:val="178"/>
            </w:pPr>
            <w:r>
              <w:rPr>
                <w:rFonts w:hint="eastAsia"/>
              </w:rPr>
              <w:t>系统组成</w:t>
            </w:r>
          </w:p>
        </w:tc>
        <w:tc>
          <w:tcPr>
            <w:tcW w:w="4111" w:type="dxa"/>
            <w:tcBorders>
              <w:top w:val="single" w:color="auto" w:sz="8" w:space="0"/>
              <w:bottom w:val="single" w:color="auto" w:sz="8" w:space="0"/>
            </w:tcBorders>
          </w:tcPr>
          <w:p w14:paraId="2781DBC8">
            <w:pPr>
              <w:pStyle w:val="178"/>
            </w:pPr>
            <w:r>
              <w:rPr>
                <w:rFonts w:hint="eastAsia"/>
              </w:rPr>
              <w:t>主要功能</w:t>
            </w:r>
          </w:p>
        </w:tc>
        <w:tc>
          <w:tcPr>
            <w:tcW w:w="3248" w:type="dxa"/>
            <w:tcBorders>
              <w:top w:val="single" w:color="auto" w:sz="8" w:space="0"/>
              <w:bottom w:val="single" w:color="auto" w:sz="8" w:space="0"/>
            </w:tcBorders>
          </w:tcPr>
          <w:p w14:paraId="3BD9531C">
            <w:pPr>
              <w:pStyle w:val="178"/>
            </w:pPr>
            <w:r>
              <w:rPr>
                <w:rFonts w:hint="eastAsia"/>
              </w:rPr>
              <w:t>控制要点</w:t>
            </w:r>
          </w:p>
        </w:tc>
      </w:tr>
      <w:tr w14:paraId="2B01FC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2EAF9FFE">
            <w:pPr>
              <w:pStyle w:val="178"/>
            </w:pPr>
            <w:r>
              <w:rPr>
                <w:rFonts w:hint="eastAsia"/>
              </w:rPr>
              <w:t>现场采集终端</w:t>
            </w:r>
          </w:p>
        </w:tc>
        <w:tc>
          <w:tcPr>
            <w:tcW w:w="4111" w:type="dxa"/>
          </w:tcPr>
          <w:p w14:paraId="2299AC97">
            <w:pPr>
              <w:pStyle w:val="178"/>
            </w:pPr>
            <w:r>
              <w:rPr>
                <w:rFonts w:hint="eastAsia"/>
              </w:rPr>
              <w:t>接入被校器具、采集数据、上传状态</w:t>
            </w:r>
          </w:p>
        </w:tc>
        <w:tc>
          <w:tcPr>
            <w:tcW w:w="3248" w:type="dxa"/>
          </w:tcPr>
          <w:p w14:paraId="7C7EE41C">
            <w:pPr>
              <w:pStyle w:val="178"/>
            </w:pPr>
            <w:r>
              <w:rPr>
                <w:rFonts w:hint="eastAsia"/>
              </w:rPr>
              <w:t>接入稳定、采集完整、时间同步</w:t>
            </w:r>
          </w:p>
        </w:tc>
      </w:tr>
      <w:tr w14:paraId="1E94DF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063D13E7">
            <w:pPr>
              <w:pStyle w:val="178"/>
            </w:pPr>
            <w:r>
              <w:rPr>
                <w:rFonts w:hint="eastAsia"/>
              </w:rPr>
              <w:t>标准器具及标准装置</w:t>
            </w:r>
          </w:p>
        </w:tc>
        <w:tc>
          <w:tcPr>
            <w:tcW w:w="4111" w:type="dxa"/>
          </w:tcPr>
          <w:p w14:paraId="70312A88">
            <w:pPr>
              <w:pStyle w:val="178"/>
            </w:pPr>
            <w:r>
              <w:rPr>
                <w:rFonts w:hint="eastAsia"/>
              </w:rPr>
              <w:t>提供标准量值和比较依据</w:t>
            </w:r>
          </w:p>
        </w:tc>
        <w:tc>
          <w:tcPr>
            <w:tcW w:w="3248" w:type="dxa"/>
          </w:tcPr>
          <w:p w14:paraId="2939844A">
            <w:pPr>
              <w:pStyle w:val="178"/>
            </w:pPr>
            <w:r>
              <w:rPr>
                <w:rFonts w:hint="eastAsia"/>
              </w:rPr>
              <w:t>溯源有效、状态明确、接入受控</w:t>
            </w:r>
          </w:p>
        </w:tc>
      </w:tr>
      <w:tr w14:paraId="7B8E94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504E27EE">
            <w:pPr>
              <w:pStyle w:val="178"/>
            </w:pPr>
            <w:r>
              <w:rPr>
                <w:rFonts w:hint="eastAsia"/>
              </w:rPr>
              <w:t>视频监控单元</w:t>
            </w:r>
          </w:p>
        </w:tc>
        <w:tc>
          <w:tcPr>
            <w:tcW w:w="4111" w:type="dxa"/>
          </w:tcPr>
          <w:p w14:paraId="615EC2C8">
            <w:pPr>
              <w:pStyle w:val="178"/>
            </w:pPr>
            <w:r>
              <w:rPr>
                <w:rFonts w:hint="eastAsia"/>
              </w:rPr>
              <w:t>远程见证现场和关键操作</w:t>
            </w:r>
          </w:p>
        </w:tc>
        <w:tc>
          <w:tcPr>
            <w:tcW w:w="3248" w:type="dxa"/>
          </w:tcPr>
          <w:p w14:paraId="0B634D06">
            <w:pPr>
              <w:pStyle w:val="178"/>
            </w:pPr>
            <w:r>
              <w:rPr>
                <w:rFonts w:hint="eastAsia"/>
              </w:rPr>
              <w:t>画面清晰、覆盖关键区域、时间对应</w:t>
            </w:r>
          </w:p>
        </w:tc>
      </w:tr>
      <w:tr w14:paraId="0C94DE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27F344D3">
            <w:pPr>
              <w:pStyle w:val="178"/>
            </w:pPr>
            <w:r>
              <w:rPr>
                <w:rFonts w:hint="eastAsia"/>
              </w:rPr>
              <w:t>环境监测单元</w:t>
            </w:r>
          </w:p>
        </w:tc>
        <w:tc>
          <w:tcPr>
            <w:tcW w:w="4111" w:type="dxa"/>
          </w:tcPr>
          <w:p w14:paraId="3AA42380">
            <w:pPr>
              <w:pStyle w:val="178"/>
            </w:pPr>
            <w:r>
              <w:rPr>
                <w:rFonts w:hint="eastAsia"/>
              </w:rPr>
              <w:t>采集现场环境参数</w:t>
            </w:r>
          </w:p>
        </w:tc>
        <w:tc>
          <w:tcPr>
            <w:tcW w:w="3248" w:type="dxa"/>
          </w:tcPr>
          <w:p w14:paraId="45F2BEF7">
            <w:pPr>
              <w:pStyle w:val="178"/>
            </w:pPr>
            <w:r>
              <w:rPr>
                <w:rFonts w:hint="eastAsia"/>
              </w:rPr>
              <w:t>参数真实、连续记录、异常告警</w:t>
            </w:r>
          </w:p>
        </w:tc>
      </w:tr>
      <w:tr w14:paraId="1DBDAE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4638F1BB">
            <w:pPr>
              <w:pStyle w:val="178"/>
            </w:pPr>
            <w:r>
              <w:rPr>
                <w:rFonts w:hint="eastAsia"/>
              </w:rPr>
              <w:t>通信链路</w:t>
            </w:r>
          </w:p>
        </w:tc>
        <w:tc>
          <w:tcPr>
            <w:tcW w:w="4111" w:type="dxa"/>
          </w:tcPr>
          <w:p w14:paraId="119E5F4A">
            <w:pPr>
              <w:pStyle w:val="178"/>
            </w:pPr>
            <w:r>
              <w:rPr>
                <w:rFonts w:hint="eastAsia"/>
              </w:rPr>
              <w:t>传输控制指令和校准数据</w:t>
            </w:r>
          </w:p>
        </w:tc>
        <w:tc>
          <w:tcPr>
            <w:tcW w:w="3248" w:type="dxa"/>
          </w:tcPr>
          <w:p w14:paraId="03BA50E2">
            <w:pPr>
              <w:pStyle w:val="178"/>
            </w:pPr>
            <w:r>
              <w:rPr>
                <w:rFonts w:hint="eastAsia"/>
              </w:rPr>
              <w:t>稳定可靠、加密保护、断链可告警</w:t>
            </w:r>
          </w:p>
        </w:tc>
      </w:tr>
      <w:tr w14:paraId="5CF36B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10C9A6F9">
            <w:pPr>
              <w:pStyle w:val="178"/>
            </w:pPr>
            <w:r>
              <w:rPr>
                <w:rFonts w:hint="eastAsia"/>
              </w:rPr>
              <w:t>数据处理与管理平台</w:t>
            </w:r>
          </w:p>
        </w:tc>
        <w:tc>
          <w:tcPr>
            <w:tcW w:w="4111" w:type="dxa"/>
          </w:tcPr>
          <w:p w14:paraId="231757EE">
            <w:pPr>
              <w:pStyle w:val="178"/>
            </w:pPr>
            <w:r>
              <w:rPr>
                <w:rFonts w:hint="eastAsia"/>
              </w:rPr>
              <w:t>记录过程、计算结果、生成文档</w:t>
            </w:r>
          </w:p>
        </w:tc>
        <w:tc>
          <w:tcPr>
            <w:tcW w:w="3248" w:type="dxa"/>
          </w:tcPr>
          <w:p w14:paraId="51950526">
            <w:pPr>
              <w:pStyle w:val="178"/>
            </w:pPr>
            <w:r>
              <w:rPr>
                <w:rFonts w:hint="eastAsia"/>
              </w:rPr>
              <w:t>规则固定、版本受控、日志完整</w:t>
            </w:r>
          </w:p>
        </w:tc>
      </w:tr>
      <w:tr w14:paraId="075350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017A9D7E">
            <w:pPr>
              <w:pStyle w:val="178"/>
            </w:pPr>
            <w:r>
              <w:rPr>
                <w:rFonts w:hint="eastAsia"/>
              </w:rPr>
              <w:t>归档与备份单元</w:t>
            </w:r>
          </w:p>
        </w:tc>
        <w:tc>
          <w:tcPr>
            <w:tcW w:w="4111" w:type="dxa"/>
          </w:tcPr>
          <w:p w14:paraId="57F8A956">
            <w:pPr>
              <w:pStyle w:val="178"/>
            </w:pPr>
            <w:r>
              <w:rPr>
                <w:rFonts w:hint="eastAsia"/>
              </w:rPr>
              <w:t>保存证据和记录</w:t>
            </w:r>
          </w:p>
        </w:tc>
        <w:tc>
          <w:tcPr>
            <w:tcW w:w="3248" w:type="dxa"/>
          </w:tcPr>
          <w:p w14:paraId="79853BC8">
            <w:pPr>
              <w:pStyle w:val="178"/>
            </w:pPr>
            <w:r>
              <w:rPr>
                <w:rFonts w:hint="eastAsia"/>
              </w:rPr>
              <w:t>可追溯、可恢复、权限受控</w:t>
            </w:r>
          </w:p>
        </w:tc>
      </w:tr>
    </w:tbl>
    <w:p w14:paraId="015B3688">
      <w:pPr>
        <w:pStyle w:val="105"/>
        <w:spacing w:before="120" w:after="120" w:line="360" w:lineRule="auto"/>
      </w:pPr>
      <w:r>
        <w:rPr>
          <w:rFonts w:hint="eastAsia"/>
        </w:rPr>
        <w:t>系统组成要求</w:t>
      </w:r>
    </w:p>
    <w:p w14:paraId="67347257">
      <w:pPr>
        <w:pStyle w:val="65"/>
        <w:spacing w:before="120" w:after="120" w:line="360" w:lineRule="auto"/>
      </w:pPr>
      <w:r>
        <w:rPr>
          <w:rFonts w:hint="eastAsia"/>
        </w:rPr>
        <w:t>远程操作终端</w:t>
      </w:r>
    </w:p>
    <w:p w14:paraId="1F573D7C">
      <w:pPr>
        <w:pStyle w:val="164"/>
        <w:spacing w:line="360" w:lineRule="auto"/>
      </w:pPr>
      <w:r>
        <w:rPr>
          <w:rFonts w:hint="eastAsia"/>
        </w:rPr>
        <w:t>远程操作终端应满足任务发起、权限认证、视频查看、环境查看、参数配置、数据采集、结果计算和记录留痕要求。</w:t>
      </w:r>
    </w:p>
    <w:p w14:paraId="248A2741">
      <w:pPr>
        <w:pStyle w:val="164"/>
        <w:spacing w:line="360" w:lineRule="auto"/>
      </w:pPr>
      <w:r>
        <w:rPr>
          <w:rFonts w:hint="eastAsia"/>
        </w:rPr>
        <w:t>远程操作终端应具备操作身份识别能力。</w:t>
      </w:r>
    </w:p>
    <w:p w14:paraId="1151D83C">
      <w:pPr>
        <w:pStyle w:val="164"/>
        <w:spacing w:line="360" w:lineRule="auto"/>
      </w:pPr>
      <w:r>
        <w:rPr>
          <w:rFonts w:hint="eastAsia"/>
        </w:rPr>
        <w:t>同一校准任务中，远程操作终端不宜由多个终端无控制切换使用；确需切换的，应保留切换记录。</w:t>
      </w:r>
    </w:p>
    <w:p w14:paraId="5940E55B">
      <w:pPr>
        <w:pStyle w:val="65"/>
        <w:spacing w:before="120" w:after="120" w:line="360" w:lineRule="auto"/>
      </w:pPr>
      <w:r>
        <w:rPr>
          <w:rFonts w:hint="eastAsia"/>
        </w:rPr>
        <w:t>现场采集终端</w:t>
      </w:r>
    </w:p>
    <w:p w14:paraId="3E7F7115">
      <w:pPr>
        <w:pStyle w:val="164"/>
        <w:spacing w:line="360" w:lineRule="auto"/>
      </w:pPr>
      <w:r>
        <w:rPr>
          <w:rFonts w:hint="eastAsia"/>
        </w:rPr>
        <w:t>现场采集终端应能够稳定连接被校器具和相关辅助设备。</w:t>
      </w:r>
    </w:p>
    <w:p w14:paraId="483C5E25">
      <w:pPr>
        <w:pStyle w:val="164"/>
        <w:spacing w:line="360" w:lineRule="auto"/>
      </w:pPr>
      <w:r>
        <w:rPr>
          <w:rFonts w:hint="eastAsia"/>
        </w:rPr>
        <w:t>现场采集终端应能够采集并上传被校器具状态、测量数据和必要的辅助数据。</w:t>
      </w:r>
    </w:p>
    <w:p w14:paraId="15202B62">
      <w:pPr>
        <w:pStyle w:val="164"/>
        <w:spacing w:line="360" w:lineRule="auto"/>
      </w:pPr>
      <w:r>
        <w:rPr>
          <w:rFonts w:hint="eastAsia"/>
        </w:rPr>
        <w:t>现场采集终端应具备断链检测、异常提示和必要的本地缓存能力。</w:t>
      </w:r>
    </w:p>
    <w:p w14:paraId="73F41A0D">
      <w:pPr>
        <w:pStyle w:val="65"/>
        <w:spacing w:before="120" w:after="120" w:line="360" w:lineRule="auto"/>
      </w:pPr>
      <w:r>
        <w:rPr>
          <w:rFonts w:hint="eastAsia"/>
        </w:rPr>
        <w:t>标准器具与辅助设备</w:t>
      </w:r>
    </w:p>
    <w:p w14:paraId="4BD852B6">
      <w:pPr>
        <w:pStyle w:val="164"/>
        <w:spacing w:line="360" w:lineRule="auto"/>
      </w:pPr>
      <w:r>
        <w:rPr>
          <w:rFonts w:hint="eastAsia"/>
        </w:rPr>
        <w:t>标准器具应与被校器具计量特性和校准项目相匹配。</w:t>
      </w:r>
    </w:p>
    <w:p w14:paraId="5D6DA5EA">
      <w:pPr>
        <w:pStyle w:val="164"/>
        <w:spacing w:line="360" w:lineRule="auto"/>
      </w:pPr>
      <w:r>
        <w:rPr>
          <w:rFonts w:hint="eastAsia"/>
        </w:rPr>
        <w:t>辅助设备包括转接设备、供电设备、切换设备、同步设备和接口设备等，应满足稳定性和准确性要求。</w:t>
      </w:r>
    </w:p>
    <w:p w14:paraId="0458018E">
      <w:pPr>
        <w:pStyle w:val="164"/>
        <w:spacing w:line="360" w:lineRule="auto"/>
      </w:pPr>
      <w:r>
        <w:rPr>
          <w:rFonts w:hint="eastAsia"/>
        </w:rPr>
        <w:t>辅助设备故障或者状态不明时，不得继续使用相关链路完成正式校准。</w:t>
      </w:r>
    </w:p>
    <w:p w14:paraId="23372736">
      <w:pPr>
        <w:pStyle w:val="65"/>
        <w:spacing w:before="120" w:after="120" w:line="360" w:lineRule="auto"/>
      </w:pPr>
      <w:r>
        <w:rPr>
          <w:rFonts w:hint="eastAsia"/>
        </w:rPr>
        <w:t>视频与环境监测单元</w:t>
      </w:r>
    </w:p>
    <w:p w14:paraId="7F7F80E3">
      <w:pPr>
        <w:pStyle w:val="164"/>
        <w:spacing w:line="360" w:lineRule="auto"/>
      </w:pPr>
      <w:r>
        <w:rPr>
          <w:rFonts w:hint="eastAsia"/>
        </w:rPr>
        <w:t>视频监控单元应覆盖被校器具、标准器具接入点、关键操作位置和必要的环境区域。</w:t>
      </w:r>
    </w:p>
    <w:p w14:paraId="3109F5E8">
      <w:pPr>
        <w:pStyle w:val="164"/>
        <w:spacing w:line="360" w:lineRule="auto"/>
      </w:pPr>
      <w:r>
        <w:rPr>
          <w:rFonts w:hint="eastAsia"/>
        </w:rPr>
        <w:t>环境监测单元应能实时采集并上传与校准结果相关的环境参数。</w:t>
      </w:r>
    </w:p>
    <w:p w14:paraId="2F95FBB0">
      <w:pPr>
        <w:pStyle w:val="164"/>
        <w:spacing w:line="360" w:lineRule="auto"/>
      </w:pPr>
      <w:r>
        <w:rPr>
          <w:rFonts w:hint="eastAsia"/>
        </w:rPr>
        <w:t>视频单元和环境监测单元应与校准任务时间轴保持一致。</w:t>
      </w:r>
    </w:p>
    <w:p w14:paraId="2716CA49">
      <w:pPr>
        <w:pStyle w:val="65"/>
        <w:spacing w:before="120" w:after="120" w:line="360" w:lineRule="auto"/>
      </w:pPr>
      <w:r>
        <w:rPr>
          <w:rFonts w:hint="eastAsia"/>
        </w:rPr>
        <w:t>数据处理与管理平台</w:t>
      </w:r>
    </w:p>
    <w:p w14:paraId="3268D220">
      <w:pPr>
        <w:pStyle w:val="164"/>
        <w:spacing w:line="360" w:lineRule="auto"/>
      </w:pPr>
      <w:r>
        <w:rPr>
          <w:rFonts w:hint="eastAsia"/>
        </w:rPr>
        <w:t>数据处理与管理平台应具备任务管理、参数管理、数据记录、结果计算、日志记录、结果审核和归档管理功能。</w:t>
      </w:r>
    </w:p>
    <w:p w14:paraId="31237F05">
      <w:pPr>
        <w:pStyle w:val="164"/>
        <w:spacing w:line="360" w:lineRule="auto"/>
      </w:pPr>
      <w:r>
        <w:rPr>
          <w:rFonts w:hint="eastAsia"/>
        </w:rPr>
        <w:t>平台应对模型、算法、计算公式、修正参数和判定逻辑实施版本管理。</w:t>
      </w:r>
    </w:p>
    <w:p w14:paraId="7D65D699">
      <w:pPr>
        <w:pStyle w:val="164"/>
        <w:spacing w:line="360" w:lineRule="auto"/>
      </w:pPr>
      <w:r>
        <w:rPr>
          <w:rFonts w:hint="eastAsia"/>
        </w:rPr>
        <w:t>平台不得允许未经授权直接修改原始校准数据和关键日志。</w:t>
      </w:r>
    </w:p>
    <w:p w14:paraId="72782DB1">
      <w:pPr>
        <w:pStyle w:val="105"/>
        <w:spacing w:before="120" w:after="120" w:line="360" w:lineRule="auto"/>
      </w:pPr>
      <w:r>
        <w:rPr>
          <w:rFonts w:hint="eastAsia"/>
        </w:rPr>
        <w:t>系统功能要求</w:t>
      </w:r>
    </w:p>
    <w:p w14:paraId="199B584E">
      <w:pPr>
        <w:pStyle w:val="65"/>
        <w:spacing w:before="120" w:after="120" w:line="360" w:lineRule="auto"/>
      </w:pPr>
      <w:r>
        <w:rPr>
          <w:rFonts w:hint="eastAsia"/>
        </w:rPr>
        <w:t>基本功能</w:t>
      </w:r>
    </w:p>
    <w:p w14:paraId="06285B0A">
      <w:pPr>
        <w:pStyle w:val="164"/>
        <w:spacing w:line="360" w:lineRule="auto"/>
      </w:pPr>
      <w:r>
        <w:rPr>
          <w:rFonts w:hint="eastAsia"/>
        </w:rPr>
        <w:t>远程校准系统应至少具备下列基本功能：</w:t>
      </w:r>
    </w:p>
    <w:p w14:paraId="3DDFC4A5">
      <w:pPr>
        <w:pStyle w:val="56"/>
        <w:spacing w:line="360" w:lineRule="auto"/>
        <w:ind w:firstLine="420"/>
      </w:pPr>
      <w:r>
        <w:rPr>
          <w:rFonts w:hint="eastAsia"/>
        </w:rPr>
        <w:t>a）任务建立与分配；</w:t>
      </w:r>
    </w:p>
    <w:p w14:paraId="4C87CFB9">
      <w:pPr>
        <w:pStyle w:val="56"/>
        <w:spacing w:line="360" w:lineRule="auto"/>
        <w:ind w:firstLine="420"/>
      </w:pPr>
      <w:r>
        <w:rPr>
          <w:rFonts w:hint="eastAsia"/>
        </w:rPr>
        <w:t>b）身份认证与权限控制；</w:t>
      </w:r>
    </w:p>
    <w:p w14:paraId="1138C79F">
      <w:pPr>
        <w:pStyle w:val="56"/>
        <w:spacing w:line="360" w:lineRule="auto"/>
        <w:ind w:firstLine="420"/>
      </w:pPr>
      <w:r>
        <w:rPr>
          <w:rFonts w:hint="eastAsia"/>
        </w:rPr>
        <w:t>c）远程链路建立与状态监测；</w:t>
      </w:r>
    </w:p>
    <w:p w14:paraId="4A4EE951">
      <w:pPr>
        <w:pStyle w:val="56"/>
        <w:spacing w:line="360" w:lineRule="auto"/>
        <w:ind w:firstLine="420"/>
      </w:pPr>
      <w:r>
        <w:rPr>
          <w:rFonts w:hint="eastAsia"/>
        </w:rPr>
        <w:t>d）视频查看与现场见证；</w:t>
      </w:r>
    </w:p>
    <w:p w14:paraId="50599800">
      <w:pPr>
        <w:pStyle w:val="56"/>
        <w:spacing w:line="360" w:lineRule="auto"/>
        <w:ind w:firstLine="420"/>
      </w:pPr>
      <w:r>
        <w:rPr>
          <w:rFonts w:hint="eastAsia"/>
        </w:rPr>
        <w:t>e）环境参数采集与显示；</w:t>
      </w:r>
    </w:p>
    <w:p w14:paraId="18290E18">
      <w:pPr>
        <w:pStyle w:val="56"/>
        <w:spacing w:line="360" w:lineRule="auto"/>
        <w:ind w:firstLine="420"/>
      </w:pPr>
      <w:r>
        <w:rPr>
          <w:rFonts w:hint="eastAsia"/>
        </w:rPr>
        <w:t>f）原始数据采集与存储；</w:t>
      </w:r>
    </w:p>
    <w:p w14:paraId="7A0E7D3E">
      <w:pPr>
        <w:pStyle w:val="56"/>
        <w:spacing w:line="360" w:lineRule="auto"/>
        <w:ind w:firstLine="420"/>
      </w:pPr>
      <w:r>
        <w:rPr>
          <w:rFonts w:hint="eastAsia"/>
        </w:rPr>
        <w:t>g）结果计算与记录；</w:t>
      </w:r>
    </w:p>
    <w:p w14:paraId="18E79B27">
      <w:pPr>
        <w:pStyle w:val="56"/>
        <w:spacing w:line="360" w:lineRule="auto"/>
        <w:ind w:firstLine="420"/>
      </w:pPr>
      <w:r>
        <w:rPr>
          <w:rFonts w:hint="eastAsia"/>
        </w:rPr>
        <w:t>h）异常告警与异常中止；</w:t>
      </w:r>
    </w:p>
    <w:p w14:paraId="0837E2BD">
      <w:pPr>
        <w:pStyle w:val="56"/>
        <w:spacing w:line="360" w:lineRule="auto"/>
        <w:ind w:firstLine="420"/>
      </w:pPr>
      <w:r>
        <w:rPr>
          <w:rFonts w:hint="eastAsia"/>
        </w:rPr>
        <w:t>i）结果确认与导出；</w:t>
      </w:r>
    </w:p>
    <w:p w14:paraId="0EF51181">
      <w:pPr>
        <w:pStyle w:val="56"/>
        <w:spacing w:line="360" w:lineRule="auto"/>
        <w:ind w:firstLine="420"/>
      </w:pPr>
      <w:r>
        <w:rPr>
          <w:rFonts w:hint="eastAsia"/>
        </w:rPr>
        <w:t>j）资料归档与备份。</w:t>
      </w:r>
    </w:p>
    <w:p w14:paraId="13B5C754">
      <w:pPr>
        <w:pStyle w:val="164"/>
        <w:spacing w:line="360" w:lineRule="auto"/>
      </w:pPr>
      <w:r>
        <w:rPr>
          <w:rFonts w:hint="eastAsia"/>
        </w:rPr>
        <w:t>系统功能不完整时，不得通过临时人工替代方式长期弥补关键功能缺失。</w:t>
      </w:r>
    </w:p>
    <w:p w14:paraId="5E3AFF25">
      <w:pPr>
        <w:pStyle w:val="65"/>
        <w:spacing w:before="120" w:after="120" w:line="360" w:lineRule="auto"/>
      </w:pPr>
      <w:r>
        <w:rPr>
          <w:rFonts w:hint="eastAsia"/>
        </w:rPr>
        <w:t>扩展功能</w:t>
      </w:r>
    </w:p>
    <w:p w14:paraId="7BBA9163">
      <w:pPr>
        <w:pStyle w:val="164"/>
        <w:spacing w:line="360" w:lineRule="auto"/>
      </w:pPr>
      <w:r>
        <w:rPr>
          <w:rFonts w:hint="eastAsia"/>
        </w:rPr>
        <w:t>有条件的系统宜具备下列扩展功能：</w:t>
      </w:r>
    </w:p>
    <w:p w14:paraId="206829F5">
      <w:pPr>
        <w:pStyle w:val="56"/>
        <w:spacing w:line="360" w:lineRule="auto"/>
        <w:ind w:firstLine="420"/>
      </w:pPr>
      <w:r>
        <w:rPr>
          <w:rFonts w:hint="eastAsia"/>
        </w:rPr>
        <w:t>a）自动时间同步；</w:t>
      </w:r>
    </w:p>
    <w:p w14:paraId="571E6715">
      <w:pPr>
        <w:pStyle w:val="56"/>
        <w:spacing w:line="360" w:lineRule="auto"/>
        <w:ind w:firstLine="420"/>
      </w:pPr>
      <w:r>
        <w:rPr>
          <w:rFonts w:hint="eastAsia"/>
        </w:rPr>
        <w:t>b）自动参数校验；</w:t>
      </w:r>
    </w:p>
    <w:p w14:paraId="4465819F">
      <w:pPr>
        <w:pStyle w:val="56"/>
        <w:spacing w:line="360" w:lineRule="auto"/>
        <w:ind w:firstLine="420"/>
      </w:pPr>
      <w:r>
        <w:rPr>
          <w:rFonts w:hint="eastAsia"/>
        </w:rPr>
        <w:t>c）异常值自动识别；</w:t>
      </w:r>
    </w:p>
    <w:p w14:paraId="052A874F">
      <w:pPr>
        <w:pStyle w:val="56"/>
        <w:spacing w:line="360" w:lineRule="auto"/>
        <w:ind w:firstLine="420"/>
      </w:pPr>
      <w:r>
        <w:rPr>
          <w:rFonts w:hint="eastAsia"/>
        </w:rPr>
        <w:t>d）多任务并行管理；</w:t>
      </w:r>
    </w:p>
    <w:p w14:paraId="4B958D4F">
      <w:pPr>
        <w:pStyle w:val="56"/>
        <w:spacing w:line="360" w:lineRule="auto"/>
        <w:ind w:firstLine="420"/>
      </w:pPr>
      <w:r>
        <w:rPr>
          <w:rFonts w:hint="eastAsia"/>
        </w:rPr>
        <w:t>e）自动生成任务报告；</w:t>
      </w:r>
    </w:p>
    <w:p w14:paraId="435ADE99">
      <w:pPr>
        <w:pStyle w:val="56"/>
        <w:spacing w:line="360" w:lineRule="auto"/>
        <w:ind w:firstLine="420"/>
      </w:pPr>
      <w:r>
        <w:rPr>
          <w:rFonts w:hint="eastAsia"/>
        </w:rPr>
        <w:t>f）证书数据自动关联；</w:t>
      </w:r>
    </w:p>
    <w:p w14:paraId="101A77B1">
      <w:pPr>
        <w:pStyle w:val="56"/>
        <w:spacing w:line="360" w:lineRule="auto"/>
        <w:ind w:firstLine="420"/>
      </w:pPr>
      <w:r>
        <w:rPr>
          <w:rFonts w:hint="eastAsia"/>
        </w:rPr>
        <w:t>g）历史记录快速检索；</w:t>
      </w:r>
    </w:p>
    <w:p w14:paraId="2806D429">
      <w:pPr>
        <w:pStyle w:val="56"/>
        <w:spacing w:line="360" w:lineRule="auto"/>
        <w:ind w:firstLine="420"/>
      </w:pPr>
      <w:r>
        <w:rPr>
          <w:rFonts w:hint="eastAsia"/>
        </w:rPr>
        <w:t>h）远程见证回放。</w:t>
      </w:r>
    </w:p>
    <w:p w14:paraId="66B7D710">
      <w:pPr>
        <w:pStyle w:val="164"/>
        <w:spacing w:line="360" w:lineRule="auto"/>
      </w:pPr>
      <w:r>
        <w:rPr>
          <w:rFonts w:hint="eastAsia"/>
        </w:rPr>
        <w:t>扩展功能启用时，不得改变正式校准方法和正式判定规则的基本要求。</w:t>
      </w:r>
    </w:p>
    <w:p w14:paraId="3850602C">
      <w:pPr>
        <w:pStyle w:val="105"/>
        <w:spacing w:before="120" w:after="120" w:line="360" w:lineRule="auto"/>
      </w:pPr>
      <w:r>
        <w:rPr>
          <w:rFonts w:hint="eastAsia"/>
        </w:rPr>
        <w:t>远程连接条件要求</w:t>
      </w:r>
    </w:p>
    <w:p w14:paraId="7D785AB0">
      <w:pPr>
        <w:pStyle w:val="65"/>
        <w:spacing w:before="120" w:after="120" w:line="360" w:lineRule="auto"/>
      </w:pPr>
      <w:r>
        <w:rPr>
          <w:rFonts w:hint="eastAsia"/>
        </w:rPr>
        <w:t>一般要求</w:t>
      </w:r>
    </w:p>
    <w:p w14:paraId="5482618C">
      <w:pPr>
        <w:pStyle w:val="164"/>
        <w:spacing w:line="360" w:lineRule="auto"/>
      </w:pPr>
      <w:r>
        <w:rPr>
          <w:rFonts w:hint="eastAsia"/>
        </w:rPr>
        <w:t>远程校准前，应确认远程连接条件满足要求。</w:t>
      </w:r>
    </w:p>
    <w:p w14:paraId="7640F911">
      <w:pPr>
        <w:pStyle w:val="164"/>
        <w:spacing w:line="360" w:lineRule="auto"/>
      </w:pPr>
      <w:r>
        <w:rPr>
          <w:rFonts w:hint="eastAsia"/>
        </w:rPr>
        <w:t>远程连接条件应包括网络状态、带宽状态、时延状态、身份认证状态、接口状态和数据通道状态。</w:t>
      </w:r>
    </w:p>
    <w:p w14:paraId="5705908A">
      <w:pPr>
        <w:pStyle w:val="164"/>
        <w:spacing w:line="360" w:lineRule="auto"/>
      </w:pPr>
      <w:r>
        <w:rPr>
          <w:rFonts w:hint="eastAsia"/>
        </w:rPr>
        <w:t>远程连接条件不稳定或者不受控的，不得启动正式校准任务。</w:t>
      </w:r>
    </w:p>
    <w:p w14:paraId="4E51E60D">
      <w:pPr>
        <w:pStyle w:val="65"/>
        <w:spacing w:before="120" w:after="120" w:line="360" w:lineRule="auto"/>
      </w:pPr>
      <w:r>
        <w:rPr>
          <w:rFonts w:hint="eastAsia"/>
        </w:rPr>
        <w:t>链路稳定性要求</w:t>
      </w:r>
    </w:p>
    <w:p w14:paraId="33335D79">
      <w:pPr>
        <w:pStyle w:val="164"/>
        <w:spacing w:line="360" w:lineRule="auto"/>
      </w:pPr>
      <w:r>
        <w:rPr>
          <w:rFonts w:hint="eastAsia"/>
        </w:rPr>
        <w:t>远程连接链路应能保证关键数据实时传输和关键控制实时反馈。</w:t>
      </w:r>
    </w:p>
    <w:p w14:paraId="107AB9FC">
      <w:pPr>
        <w:pStyle w:val="164"/>
        <w:spacing w:line="360" w:lineRule="auto"/>
      </w:pPr>
      <w:r>
        <w:rPr>
          <w:rFonts w:hint="eastAsia"/>
        </w:rPr>
        <w:t>对实时性要求高的校准任务，应设置链路质量下限要求。</w:t>
      </w:r>
    </w:p>
    <w:p w14:paraId="0AEC2024">
      <w:pPr>
        <w:pStyle w:val="164"/>
        <w:spacing w:line="360" w:lineRule="auto"/>
      </w:pPr>
      <w:r>
        <w:rPr>
          <w:rFonts w:hint="eastAsia"/>
        </w:rPr>
        <w:t>链路出现断续中断、明显时延或者数据丢失时，应根据影响程度暂停或者中止任务。</w:t>
      </w:r>
    </w:p>
    <w:p w14:paraId="68668474">
      <w:pPr>
        <w:pStyle w:val="65"/>
        <w:spacing w:before="120" w:after="120" w:line="360" w:lineRule="auto"/>
      </w:pPr>
      <w:r>
        <w:rPr>
          <w:rFonts w:hint="eastAsia"/>
        </w:rPr>
        <w:t>连接安全要求</w:t>
      </w:r>
    </w:p>
    <w:p w14:paraId="17E9CA73">
      <w:pPr>
        <w:pStyle w:val="164"/>
        <w:spacing w:line="360" w:lineRule="auto"/>
      </w:pPr>
      <w:r>
        <w:rPr>
          <w:rFonts w:hint="eastAsia"/>
        </w:rPr>
        <w:t>远程连接应具备身份认证和访问控制功能。</w:t>
      </w:r>
    </w:p>
    <w:p w14:paraId="0043F835">
      <w:pPr>
        <w:pStyle w:val="164"/>
        <w:spacing w:line="360" w:lineRule="auto"/>
      </w:pPr>
      <w:r>
        <w:rPr>
          <w:rFonts w:hint="eastAsia"/>
        </w:rPr>
        <w:t>连接建立、连接切换、连接中断和连接恢复均应形成日志。</w:t>
      </w:r>
    </w:p>
    <w:p w14:paraId="6D92E250">
      <w:pPr>
        <w:pStyle w:val="164"/>
        <w:spacing w:line="360" w:lineRule="auto"/>
      </w:pPr>
      <w:r>
        <w:rPr>
          <w:rFonts w:hint="eastAsia"/>
        </w:rPr>
        <w:t>未经授权的终端、未登记的地址或者未验证的接口，不得接入正式远程校准系统。</w:t>
      </w:r>
    </w:p>
    <w:p w14:paraId="550AB817">
      <w:pPr>
        <w:pStyle w:val="105"/>
        <w:spacing w:before="120" w:after="120" w:line="360" w:lineRule="auto"/>
      </w:pPr>
      <w:r>
        <w:rPr>
          <w:rFonts w:hint="eastAsia"/>
        </w:rPr>
        <w:t>现场实施条件要求</w:t>
      </w:r>
    </w:p>
    <w:p w14:paraId="3BD00C86">
      <w:pPr>
        <w:pStyle w:val="65"/>
        <w:spacing w:before="120" w:after="120" w:line="360" w:lineRule="auto"/>
      </w:pPr>
      <w:r>
        <w:rPr>
          <w:rFonts w:hint="eastAsia"/>
        </w:rPr>
        <w:t>一般要求</w:t>
      </w:r>
    </w:p>
    <w:p w14:paraId="5E303003">
      <w:pPr>
        <w:pStyle w:val="164"/>
        <w:spacing w:line="360" w:lineRule="auto"/>
      </w:pPr>
      <w:r>
        <w:rPr>
          <w:rFonts w:hint="eastAsia"/>
        </w:rPr>
        <w:t>被校器具现场应满足校准实施条件。</w:t>
      </w:r>
    </w:p>
    <w:p w14:paraId="3FE62462">
      <w:pPr>
        <w:pStyle w:val="164"/>
        <w:spacing w:line="360" w:lineRule="auto"/>
      </w:pPr>
      <w:r>
        <w:rPr>
          <w:rFonts w:hint="eastAsia"/>
        </w:rPr>
        <w:t>现场实施条件应至少包括安装状态、供电状态、运行状态、接入条件、操作空间和安全条件。</w:t>
      </w:r>
    </w:p>
    <w:p w14:paraId="7A02D1FF">
      <w:pPr>
        <w:pStyle w:val="164"/>
        <w:spacing w:line="360" w:lineRule="auto"/>
      </w:pPr>
      <w:r>
        <w:rPr>
          <w:rFonts w:hint="eastAsia"/>
        </w:rPr>
        <w:t>现场存在明显安全风险、设备异常或者环境失控时，不得开展正式校准。</w:t>
      </w:r>
    </w:p>
    <w:p w14:paraId="658B49A5">
      <w:pPr>
        <w:pStyle w:val="65"/>
        <w:spacing w:before="120" w:after="120" w:line="360" w:lineRule="auto"/>
      </w:pPr>
      <w:r>
        <w:rPr>
          <w:rFonts w:hint="eastAsia"/>
        </w:rPr>
        <w:t>被校器具状态要求</w:t>
      </w:r>
    </w:p>
    <w:p w14:paraId="149F02E8">
      <w:pPr>
        <w:pStyle w:val="164"/>
        <w:spacing w:line="360" w:lineRule="auto"/>
      </w:pPr>
      <w:r>
        <w:rPr>
          <w:rFonts w:hint="eastAsia"/>
        </w:rPr>
        <w:t>被校器具应处于可识别、可接入、可读数、可控或者可比对状态。</w:t>
      </w:r>
    </w:p>
    <w:p w14:paraId="19BB18C8">
      <w:pPr>
        <w:pStyle w:val="164"/>
        <w:spacing w:line="360" w:lineRule="auto"/>
      </w:pPr>
      <w:r>
        <w:rPr>
          <w:rFonts w:hint="eastAsia"/>
        </w:rPr>
        <w:t>被校器具存在故障、报警、参数锁定、非法改装、封印异常或者运行状态明显异常时，应先行处置。</w:t>
      </w:r>
    </w:p>
    <w:p w14:paraId="0D98486E">
      <w:pPr>
        <w:pStyle w:val="164"/>
        <w:spacing w:line="360" w:lineRule="auto"/>
      </w:pPr>
      <w:r>
        <w:rPr>
          <w:rFonts w:hint="eastAsia"/>
        </w:rPr>
        <w:t>对需在带电、在线或者运行工况下完成校准的器具，应明确工况边界和安全控制要求。</w:t>
      </w:r>
    </w:p>
    <w:p w14:paraId="1BB21221">
      <w:pPr>
        <w:pStyle w:val="65"/>
        <w:spacing w:before="120" w:after="120" w:line="360" w:lineRule="auto"/>
      </w:pPr>
      <w:r>
        <w:rPr>
          <w:rFonts w:hint="eastAsia"/>
        </w:rPr>
        <w:t>现场配合要求</w:t>
      </w:r>
    </w:p>
    <w:p w14:paraId="34DD45DC">
      <w:pPr>
        <w:pStyle w:val="164"/>
        <w:spacing w:line="360" w:lineRule="auto"/>
      </w:pPr>
      <w:r>
        <w:rPr>
          <w:rFonts w:hint="eastAsia"/>
        </w:rPr>
        <w:t>现场应有具备相应能力的配合人员。</w:t>
      </w:r>
    </w:p>
    <w:p w14:paraId="1CB2B05B">
      <w:pPr>
        <w:pStyle w:val="164"/>
        <w:spacing w:line="360" w:lineRule="auto"/>
      </w:pPr>
      <w:r>
        <w:rPr>
          <w:rFonts w:hint="eastAsia"/>
        </w:rPr>
        <w:t>现场配合人员应按远程指令完成必要的接线、确认、调整、观察和反馈工作。</w:t>
      </w:r>
    </w:p>
    <w:p w14:paraId="2305CCAC">
      <w:pPr>
        <w:pStyle w:val="164"/>
        <w:spacing w:line="360" w:lineRule="auto"/>
      </w:pPr>
      <w:r>
        <w:rPr>
          <w:rFonts w:hint="eastAsia"/>
        </w:rPr>
        <w:t>现场配合人员不得擅自更改接线方式、切换状态或者跳过确认环节。</w:t>
      </w:r>
    </w:p>
    <w:p w14:paraId="60E959AE">
      <w:pPr>
        <w:pStyle w:val="105"/>
        <w:spacing w:before="120" w:after="120" w:line="360" w:lineRule="auto"/>
      </w:pPr>
      <w:r>
        <w:rPr>
          <w:rFonts w:hint="eastAsia"/>
        </w:rPr>
        <w:t>环境条件要求</w:t>
      </w:r>
    </w:p>
    <w:p w14:paraId="2D9D7E40">
      <w:pPr>
        <w:pStyle w:val="65"/>
        <w:spacing w:before="120" w:after="120" w:line="360" w:lineRule="auto"/>
      </w:pPr>
      <w:r>
        <w:rPr>
          <w:rFonts w:hint="eastAsia"/>
        </w:rPr>
        <w:t>一般要求</w:t>
      </w:r>
    </w:p>
    <w:p w14:paraId="5D8BF778">
      <w:pPr>
        <w:pStyle w:val="164"/>
        <w:spacing w:line="360" w:lineRule="auto"/>
      </w:pPr>
      <w:r>
        <w:rPr>
          <w:rFonts w:hint="eastAsia"/>
        </w:rPr>
        <w:t>远程校准前，应确认现场环境条件符合相应校准规范或者校准方法要求。</w:t>
      </w:r>
    </w:p>
    <w:p w14:paraId="1BDB10BB">
      <w:pPr>
        <w:pStyle w:val="164"/>
        <w:spacing w:line="360" w:lineRule="auto"/>
      </w:pPr>
      <w:r>
        <w:rPr>
          <w:rFonts w:hint="eastAsia"/>
        </w:rPr>
        <w:t>现场环境条件应通过实时监测、视频确认或者其他可核查方式进行确认。</w:t>
      </w:r>
    </w:p>
    <w:p w14:paraId="0E1373FC">
      <w:pPr>
        <w:pStyle w:val="164"/>
        <w:spacing w:line="360" w:lineRule="auto"/>
      </w:pPr>
      <w:r>
        <w:rPr>
          <w:rFonts w:hint="eastAsia"/>
        </w:rPr>
        <w:t>无法证明环境条件符合要求的，不得输出正式校准结论。</w:t>
      </w:r>
    </w:p>
    <w:p w14:paraId="2A203B8D">
      <w:pPr>
        <w:pStyle w:val="164"/>
        <w:numPr>
          <w:ilvl w:val="0"/>
          <w:numId w:val="0"/>
        </w:numPr>
        <w:spacing w:line="360" w:lineRule="auto"/>
        <w:rPr>
          <w:rFonts w:hint="eastAsia"/>
        </w:rPr>
      </w:pPr>
    </w:p>
    <w:p w14:paraId="2FF720D4">
      <w:pPr>
        <w:pStyle w:val="65"/>
        <w:spacing w:before="120" w:after="120" w:line="360" w:lineRule="auto"/>
      </w:pPr>
      <w:r>
        <w:rPr>
          <w:rFonts w:hint="eastAsia"/>
        </w:rPr>
        <w:t>环境参数要求</w:t>
      </w:r>
    </w:p>
    <w:p w14:paraId="1262ED0F">
      <w:pPr>
        <w:pStyle w:val="164"/>
        <w:spacing w:line="360" w:lineRule="auto"/>
      </w:pPr>
      <w:r>
        <w:rPr>
          <w:rFonts w:hint="eastAsia"/>
        </w:rPr>
        <w:t>应根据被校器具类型和校准项目，确定需要确认的环境参数。</w:t>
      </w:r>
    </w:p>
    <w:p w14:paraId="71B6C5B5">
      <w:pPr>
        <w:pStyle w:val="164"/>
        <w:spacing w:line="360" w:lineRule="auto"/>
      </w:pPr>
      <w:r>
        <w:rPr>
          <w:rFonts w:hint="eastAsia"/>
        </w:rPr>
        <w:t>常见环境参数宜包括：</w:t>
      </w:r>
    </w:p>
    <w:p w14:paraId="27D69DA2">
      <w:pPr>
        <w:pStyle w:val="56"/>
        <w:spacing w:line="360" w:lineRule="auto"/>
        <w:ind w:firstLine="420"/>
      </w:pPr>
      <w:r>
        <w:rPr>
          <w:rFonts w:hint="eastAsia"/>
        </w:rPr>
        <w:t>a）温度；</w:t>
      </w:r>
    </w:p>
    <w:p w14:paraId="6F6A1C93">
      <w:pPr>
        <w:pStyle w:val="56"/>
        <w:spacing w:line="360" w:lineRule="auto"/>
        <w:ind w:firstLine="420"/>
      </w:pPr>
      <w:r>
        <w:rPr>
          <w:rFonts w:hint="eastAsia"/>
        </w:rPr>
        <w:t>b）湿度；</w:t>
      </w:r>
    </w:p>
    <w:p w14:paraId="54D7339B">
      <w:pPr>
        <w:pStyle w:val="56"/>
        <w:spacing w:line="360" w:lineRule="auto"/>
        <w:ind w:firstLine="420"/>
      </w:pPr>
      <w:r>
        <w:rPr>
          <w:rFonts w:hint="eastAsia"/>
        </w:rPr>
        <w:t>c）供电状态；</w:t>
      </w:r>
    </w:p>
    <w:p w14:paraId="5EE3930E">
      <w:pPr>
        <w:pStyle w:val="56"/>
        <w:spacing w:line="360" w:lineRule="auto"/>
        <w:ind w:firstLine="420"/>
      </w:pPr>
      <w:r>
        <w:rPr>
          <w:rFonts w:hint="eastAsia"/>
        </w:rPr>
        <w:t>d）电磁环境；</w:t>
      </w:r>
    </w:p>
    <w:p w14:paraId="5B8D6071">
      <w:pPr>
        <w:pStyle w:val="56"/>
        <w:spacing w:line="360" w:lineRule="auto"/>
        <w:ind w:firstLine="420"/>
      </w:pPr>
      <w:r>
        <w:rPr>
          <w:rFonts w:hint="eastAsia"/>
        </w:rPr>
        <w:t>e）振动状态；</w:t>
      </w:r>
    </w:p>
    <w:p w14:paraId="59B9BF84">
      <w:pPr>
        <w:pStyle w:val="56"/>
        <w:spacing w:line="360" w:lineRule="auto"/>
        <w:ind w:firstLine="420"/>
      </w:pPr>
      <w:r>
        <w:rPr>
          <w:rFonts w:hint="eastAsia"/>
        </w:rPr>
        <w:t>f）压力条件；</w:t>
      </w:r>
    </w:p>
    <w:p w14:paraId="20AC749D">
      <w:pPr>
        <w:pStyle w:val="56"/>
        <w:spacing w:line="360" w:lineRule="auto"/>
        <w:ind w:firstLine="420"/>
      </w:pPr>
      <w:r>
        <w:rPr>
          <w:rFonts w:hint="eastAsia"/>
        </w:rPr>
        <w:t>g）其他影响测量结果的参数。</w:t>
      </w:r>
    </w:p>
    <w:p w14:paraId="612688C3">
      <w:pPr>
        <w:pStyle w:val="164"/>
        <w:spacing w:line="360" w:lineRule="auto"/>
      </w:pPr>
      <w:r>
        <w:rPr>
          <w:rFonts w:hint="eastAsia"/>
        </w:rPr>
        <w:t>环境参数超出允许范围时，应暂停校准并采取措施。</w:t>
      </w:r>
    </w:p>
    <w:p w14:paraId="6DD1E832">
      <w:pPr>
        <w:pStyle w:val="65"/>
        <w:spacing w:before="120" w:after="120" w:line="360" w:lineRule="auto"/>
      </w:pPr>
      <w:r>
        <w:rPr>
          <w:rFonts w:hint="eastAsia"/>
        </w:rPr>
        <w:t>环境监测记录要求</w:t>
      </w:r>
    </w:p>
    <w:p w14:paraId="41CBAA59">
      <w:pPr>
        <w:pStyle w:val="164"/>
        <w:spacing w:line="360" w:lineRule="auto"/>
      </w:pPr>
      <w:r>
        <w:rPr>
          <w:rFonts w:hint="eastAsia"/>
        </w:rPr>
        <w:t>环境监测数据应连续记录，并与校准任务编号对应。</w:t>
      </w:r>
    </w:p>
    <w:p w14:paraId="314F7D19">
      <w:pPr>
        <w:pStyle w:val="164"/>
        <w:spacing w:line="360" w:lineRule="auto"/>
      </w:pPr>
      <w:r>
        <w:rPr>
          <w:rFonts w:hint="eastAsia"/>
        </w:rPr>
        <w:t>环境数据缺失、明显失真或者与视频状态不一致时，应视为环境确认不充分。</w:t>
      </w:r>
    </w:p>
    <w:p w14:paraId="7834561E">
      <w:pPr>
        <w:pStyle w:val="105"/>
        <w:spacing w:before="120" w:after="120" w:line="360" w:lineRule="auto"/>
      </w:pPr>
      <w:r>
        <w:rPr>
          <w:rFonts w:hint="eastAsia"/>
        </w:rPr>
        <w:t>时间同步要求</w:t>
      </w:r>
    </w:p>
    <w:p w14:paraId="0F7F77A9">
      <w:pPr>
        <w:pStyle w:val="65"/>
        <w:spacing w:before="120" w:after="120" w:line="360" w:lineRule="auto"/>
      </w:pPr>
      <w:r>
        <w:rPr>
          <w:rFonts w:hint="eastAsia"/>
        </w:rPr>
        <w:t>一般要求</w:t>
      </w:r>
    </w:p>
    <w:p w14:paraId="2DBD6392">
      <w:pPr>
        <w:pStyle w:val="164"/>
        <w:spacing w:line="360" w:lineRule="auto"/>
      </w:pPr>
      <w:r>
        <w:rPr>
          <w:rFonts w:hint="eastAsia"/>
        </w:rPr>
        <w:t>远程校准系统各组成设备应满足时间同步要求。</w:t>
      </w:r>
    </w:p>
    <w:p w14:paraId="35014FA1">
      <w:pPr>
        <w:pStyle w:val="164"/>
        <w:spacing w:line="360" w:lineRule="auto"/>
      </w:pPr>
      <w:r>
        <w:rPr>
          <w:rFonts w:hint="eastAsia"/>
        </w:rPr>
        <w:t>时间同步应至少覆盖远程操作终端、现场采集终端、环境监测单元、视频系统和数据处理平台。</w:t>
      </w:r>
    </w:p>
    <w:p w14:paraId="7A9F6574">
      <w:pPr>
        <w:pStyle w:val="164"/>
        <w:spacing w:line="360" w:lineRule="auto"/>
      </w:pPr>
      <w:r>
        <w:rPr>
          <w:rFonts w:hint="eastAsia"/>
        </w:rPr>
        <w:t>时间不同步且影响过程对应关系判断的，不得开展正式校准。</w:t>
      </w:r>
    </w:p>
    <w:p w14:paraId="44B7E78D">
      <w:pPr>
        <w:pStyle w:val="65"/>
        <w:spacing w:before="120" w:after="120" w:line="360" w:lineRule="auto"/>
      </w:pPr>
      <w:r>
        <w:rPr>
          <w:rFonts w:hint="eastAsia"/>
        </w:rPr>
        <w:t>同步控制要求</w:t>
      </w:r>
    </w:p>
    <w:p w14:paraId="12A77BDC">
      <w:pPr>
        <w:pStyle w:val="164"/>
        <w:spacing w:line="360" w:lineRule="auto"/>
      </w:pPr>
      <w:r>
        <w:rPr>
          <w:rFonts w:hint="eastAsia"/>
        </w:rPr>
        <w:t>时间同步偏差应控制在任务要求允许范围内。</w:t>
      </w:r>
    </w:p>
    <w:p w14:paraId="55AE06D5">
      <w:pPr>
        <w:pStyle w:val="164"/>
        <w:spacing w:line="360" w:lineRule="auto"/>
      </w:pPr>
      <w:r>
        <w:rPr>
          <w:rFonts w:hint="eastAsia"/>
        </w:rPr>
        <w:t>时间同步方式、校准基准和异常修正记录应保留。</w:t>
      </w:r>
    </w:p>
    <w:p w14:paraId="5C9B7B00">
      <w:pPr>
        <w:pStyle w:val="164"/>
        <w:spacing w:line="360" w:lineRule="auto"/>
      </w:pPr>
      <w:r>
        <w:rPr>
          <w:rFonts w:hint="eastAsia"/>
        </w:rPr>
        <w:t>发现时间漂移时，应先校正再继续任务。</w:t>
      </w:r>
    </w:p>
    <w:p w14:paraId="3DA07976">
      <w:pPr>
        <w:pStyle w:val="105"/>
        <w:spacing w:before="120" w:after="120" w:line="360" w:lineRule="auto"/>
      </w:pPr>
      <w:r>
        <w:rPr>
          <w:rFonts w:hint="eastAsia"/>
        </w:rPr>
        <w:t>标准器具接入条件要求</w:t>
      </w:r>
    </w:p>
    <w:p w14:paraId="202C2106">
      <w:pPr>
        <w:pStyle w:val="65"/>
        <w:spacing w:before="120" w:after="120" w:line="360" w:lineRule="auto"/>
      </w:pPr>
      <w:r>
        <w:rPr>
          <w:rFonts w:hint="eastAsia"/>
        </w:rPr>
        <w:t>一般要求</w:t>
      </w:r>
    </w:p>
    <w:p w14:paraId="6CA0FC3D">
      <w:pPr>
        <w:pStyle w:val="164"/>
        <w:spacing w:line="360" w:lineRule="auto"/>
      </w:pPr>
      <w:r>
        <w:rPr>
          <w:rFonts w:hint="eastAsia"/>
        </w:rPr>
        <w:t>标准器具接入方式应满足校准项目要求和远程操作要求。</w:t>
      </w:r>
    </w:p>
    <w:p w14:paraId="64150FC6">
      <w:pPr>
        <w:pStyle w:val="164"/>
        <w:spacing w:line="360" w:lineRule="auto"/>
      </w:pPr>
      <w:r>
        <w:rPr>
          <w:rFonts w:hint="eastAsia"/>
        </w:rPr>
        <w:t>接入后应确认连接可靠、读数正常、通道正确和对应关系清晰。</w:t>
      </w:r>
    </w:p>
    <w:p w14:paraId="1E6047ED">
      <w:pPr>
        <w:pStyle w:val="164"/>
        <w:spacing w:line="360" w:lineRule="auto"/>
      </w:pPr>
      <w:r>
        <w:rPr>
          <w:rFonts w:hint="eastAsia"/>
        </w:rPr>
        <w:t>接入关系不明、接口松动或者通道混乱时，不得继续校准。</w:t>
      </w:r>
    </w:p>
    <w:p w14:paraId="0CBC3D18">
      <w:pPr>
        <w:pStyle w:val="65"/>
        <w:spacing w:before="120" w:after="120" w:line="360" w:lineRule="auto"/>
      </w:pPr>
      <w:r>
        <w:rPr>
          <w:rFonts w:hint="eastAsia"/>
        </w:rPr>
        <w:t>接入确认要求</w:t>
      </w:r>
    </w:p>
    <w:p w14:paraId="558A62F1">
      <w:pPr>
        <w:pStyle w:val="164"/>
        <w:spacing w:line="360" w:lineRule="auto"/>
      </w:pPr>
      <w:r>
        <w:rPr>
          <w:rFonts w:hint="eastAsia"/>
        </w:rPr>
        <w:t>标准器具接入后，应完成如下确认：</w:t>
      </w:r>
    </w:p>
    <w:p w14:paraId="6AC9437C">
      <w:pPr>
        <w:pStyle w:val="56"/>
        <w:spacing w:line="360" w:lineRule="auto"/>
        <w:ind w:firstLine="420"/>
      </w:pPr>
      <w:r>
        <w:rPr>
          <w:rFonts w:hint="eastAsia"/>
        </w:rPr>
        <w:t>a）标准器具身份确认；</w:t>
      </w:r>
    </w:p>
    <w:p w14:paraId="462ECD01">
      <w:pPr>
        <w:pStyle w:val="56"/>
        <w:spacing w:line="360" w:lineRule="auto"/>
        <w:ind w:firstLine="420"/>
      </w:pPr>
      <w:r>
        <w:rPr>
          <w:rFonts w:hint="eastAsia"/>
        </w:rPr>
        <w:t>b）标准器具状态确认；</w:t>
      </w:r>
    </w:p>
    <w:p w14:paraId="0C7B7B01">
      <w:pPr>
        <w:pStyle w:val="56"/>
        <w:spacing w:line="360" w:lineRule="auto"/>
        <w:ind w:firstLine="420"/>
      </w:pPr>
      <w:r>
        <w:rPr>
          <w:rFonts w:hint="eastAsia"/>
        </w:rPr>
        <w:t>c）接线关系确认；</w:t>
      </w:r>
    </w:p>
    <w:p w14:paraId="782A8E75">
      <w:pPr>
        <w:pStyle w:val="56"/>
        <w:spacing w:line="360" w:lineRule="auto"/>
        <w:ind w:firstLine="420"/>
      </w:pPr>
      <w:r>
        <w:rPr>
          <w:rFonts w:hint="eastAsia"/>
        </w:rPr>
        <w:t>d）读数方向确认；</w:t>
      </w:r>
    </w:p>
    <w:p w14:paraId="13A80815">
      <w:pPr>
        <w:pStyle w:val="56"/>
        <w:spacing w:line="360" w:lineRule="auto"/>
        <w:ind w:firstLine="420"/>
      </w:pPr>
      <w:r>
        <w:rPr>
          <w:rFonts w:hint="eastAsia"/>
        </w:rPr>
        <w:t>e）数据上传确认；</w:t>
      </w:r>
    </w:p>
    <w:p w14:paraId="32B8B931">
      <w:pPr>
        <w:pStyle w:val="56"/>
        <w:spacing w:line="360" w:lineRule="auto"/>
        <w:ind w:firstLine="420"/>
      </w:pPr>
      <w:r>
        <w:rPr>
          <w:rFonts w:hint="eastAsia"/>
        </w:rPr>
        <w:t>f）视频可见确认。</w:t>
      </w:r>
    </w:p>
    <w:p w14:paraId="28689565">
      <w:pPr>
        <w:pStyle w:val="164"/>
        <w:spacing w:line="360" w:lineRule="auto"/>
      </w:pPr>
      <w:r>
        <w:rPr>
          <w:rFonts w:hint="eastAsia"/>
        </w:rPr>
        <w:t>接入确认应形成记录。</w:t>
      </w:r>
    </w:p>
    <w:p w14:paraId="78913831">
      <w:pPr>
        <w:pStyle w:val="105"/>
        <w:spacing w:before="120" w:after="120" w:line="360" w:lineRule="auto"/>
      </w:pPr>
      <w:r>
        <w:rPr>
          <w:rFonts w:hint="eastAsia"/>
        </w:rPr>
        <w:t>试运行与预检查要求</w:t>
      </w:r>
    </w:p>
    <w:p w14:paraId="33176704">
      <w:pPr>
        <w:pStyle w:val="65"/>
        <w:spacing w:before="120" w:after="120" w:line="360" w:lineRule="auto"/>
      </w:pPr>
      <w:r>
        <w:rPr>
          <w:rFonts w:hint="eastAsia"/>
        </w:rPr>
        <w:t>一般要求</w:t>
      </w:r>
    </w:p>
    <w:p w14:paraId="29780BF1">
      <w:pPr>
        <w:pStyle w:val="164"/>
        <w:spacing w:line="360" w:lineRule="auto"/>
      </w:pPr>
      <w:r>
        <w:rPr>
          <w:rFonts w:hint="eastAsia"/>
        </w:rPr>
        <w:t>正式远程校准前，应进行系统试运行或者预检查。</w:t>
      </w:r>
    </w:p>
    <w:p w14:paraId="1FD066FA">
      <w:pPr>
        <w:pStyle w:val="164"/>
        <w:spacing w:line="360" w:lineRule="auto"/>
      </w:pPr>
      <w:r>
        <w:rPr>
          <w:rFonts w:hint="eastAsia"/>
        </w:rPr>
        <w:t>试运行或者预检查应验证系统连接、数据采集、视频同步、环境采集、时间同步和记录留痕是否满足要求。</w:t>
      </w:r>
    </w:p>
    <w:p w14:paraId="5E590ED5">
      <w:pPr>
        <w:pStyle w:val="164"/>
        <w:spacing w:line="360" w:lineRule="auto"/>
      </w:pPr>
      <w:r>
        <w:rPr>
          <w:rFonts w:hint="eastAsia"/>
        </w:rPr>
        <w:t>试运行不通过的，不得进入正式校准。</w:t>
      </w:r>
    </w:p>
    <w:p w14:paraId="6670F2A6">
      <w:pPr>
        <w:pStyle w:val="65"/>
        <w:spacing w:before="120" w:after="120" w:line="360" w:lineRule="auto"/>
      </w:pPr>
      <w:r>
        <w:rPr>
          <w:rFonts w:hint="eastAsia"/>
        </w:rPr>
        <w:t>预检查内容</w:t>
      </w:r>
    </w:p>
    <w:p w14:paraId="74F3C07C">
      <w:pPr>
        <w:pStyle w:val="56"/>
        <w:spacing w:line="360" w:lineRule="auto"/>
        <w:ind w:firstLine="420"/>
      </w:pPr>
      <w:r>
        <w:rPr>
          <w:rFonts w:hint="eastAsia"/>
        </w:rPr>
        <w:t>预检查宜至少包括下列内容：</w:t>
      </w:r>
    </w:p>
    <w:p w14:paraId="053B6AC5">
      <w:pPr>
        <w:pStyle w:val="56"/>
        <w:spacing w:line="360" w:lineRule="auto"/>
        <w:ind w:firstLine="420"/>
      </w:pPr>
      <w:r>
        <w:rPr>
          <w:rFonts w:hint="eastAsia"/>
        </w:rPr>
        <w:t>a）任务信息是否完整；</w:t>
      </w:r>
    </w:p>
    <w:p w14:paraId="537BA7B6">
      <w:pPr>
        <w:pStyle w:val="56"/>
        <w:spacing w:line="360" w:lineRule="auto"/>
        <w:ind w:firstLine="420"/>
      </w:pPr>
      <w:r>
        <w:rPr>
          <w:rFonts w:hint="eastAsia"/>
        </w:rPr>
        <w:t>b）被校器具信息是否准确；</w:t>
      </w:r>
    </w:p>
    <w:p w14:paraId="49DDC809">
      <w:pPr>
        <w:pStyle w:val="56"/>
        <w:spacing w:line="360" w:lineRule="auto"/>
        <w:ind w:firstLine="420"/>
      </w:pPr>
      <w:r>
        <w:rPr>
          <w:rFonts w:hint="eastAsia"/>
        </w:rPr>
        <w:t>c）标准器具状态是否正常；</w:t>
      </w:r>
    </w:p>
    <w:p w14:paraId="5C4FCFB8">
      <w:pPr>
        <w:pStyle w:val="56"/>
        <w:spacing w:line="360" w:lineRule="auto"/>
        <w:ind w:firstLine="420"/>
      </w:pPr>
      <w:r>
        <w:rPr>
          <w:rFonts w:hint="eastAsia"/>
        </w:rPr>
        <w:t>d）连接链路是否稳定；</w:t>
      </w:r>
    </w:p>
    <w:p w14:paraId="7CE0A67F">
      <w:pPr>
        <w:pStyle w:val="56"/>
        <w:spacing w:line="360" w:lineRule="auto"/>
        <w:ind w:firstLine="420"/>
      </w:pPr>
      <w:r>
        <w:rPr>
          <w:rFonts w:hint="eastAsia"/>
        </w:rPr>
        <w:t>e）视频画面是否满足见证要求；</w:t>
      </w:r>
    </w:p>
    <w:p w14:paraId="5160627A">
      <w:pPr>
        <w:pStyle w:val="56"/>
        <w:spacing w:line="360" w:lineRule="auto"/>
        <w:ind w:firstLine="420"/>
      </w:pPr>
      <w:r>
        <w:rPr>
          <w:rFonts w:hint="eastAsia"/>
        </w:rPr>
        <w:t>f）环境参数是否可采集；</w:t>
      </w:r>
    </w:p>
    <w:p w14:paraId="79AEC466">
      <w:pPr>
        <w:pStyle w:val="56"/>
        <w:spacing w:line="360" w:lineRule="auto"/>
        <w:ind w:firstLine="420"/>
      </w:pPr>
      <w:r>
        <w:rPr>
          <w:rFonts w:hint="eastAsia"/>
        </w:rPr>
        <w:t>g）时间同步是否有效；</w:t>
      </w:r>
    </w:p>
    <w:p w14:paraId="40B17457">
      <w:pPr>
        <w:pStyle w:val="56"/>
        <w:spacing w:line="360" w:lineRule="auto"/>
        <w:ind w:firstLine="420"/>
      </w:pPr>
      <w:r>
        <w:rPr>
          <w:rFonts w:hint="eastAsia"/>
        </w:rPr>
        <w:t>h）原始数据是否可记录；</w:t>
      </w:r>
    </w:p>
    <w:p w14:paraId="2B7F24A4">
      <w:pPr>
        <w:pStyle w:val="56"/>
        <w:spacing w:line="360" w:lineRule="auto"/>
        <w:ind w:firstLine="420"/>
      </w:pPr>
      <w:r>
        <w:rPr>
          <w:rFonts w:hint="eastAsia"/>
        </w:rPr>
        <w:t>i）异常中止功能是否可用。</w:t>
      </w:r>
    </w:p>
    <w:p w14:paraId="6242C5F8">
      <w:pPr>
        <w:pStyle w:val="105"/>
        <w:spacing w:before="120" w:after="120" w:line="360" w:lineRule="auto"/>
      </w:pPr>
      <w:r>
        <w:rPr>
          <w:rFonts w:hint="eastAsia"/>
        </w:rPr>
        <w:t>实施条件确认要求</w:t>
      </w:r>
    </w:p>
    <w:p w14:paraId="58D8E1E5">
      <w:pPr>
        <w:pStyle w:val="165"/>
        <w:spacing w:line="360" w:lineRule="auto"/>
      </w:pPr>
      <w:r>
        <w:rPr>
          <w:rFonts w:hint="eastAsia"/>
        </w:rPr>
        <w:t>完成系统检查和现场检查后，应进行实施条件最终确认。</w:t>
      </w:r>
    </w:p>
    <w:p w14:paraId="3E5985A7">
      <w:pPr>
        <w:pStyle w:val="165"/>
        <w:spacing w:line="360" w:lineRule="auto"/>
      </w:pPr>
      <w:r>
        <w:rPr>
          <w:rFonts w:hint="eastAsia"/>
        </w:rPr>
        <w:t>实施条件最终确认应至少包括系统、现场、环境、标准器具、连接、安全和记录七项内容。</w:t>
      </w:r>
    </w:p>
    <w:p w14:paraId="5BA050CA">
      <w:pPr>
        <w:pStyle w:val="165"/>
        <w:spacing w:line="360" w:lineRule="auto"/>
      </w:pPr>
      <w:r>
        <w:rPr>
          <w:rFonts w:hint="eastAsia"/>
        </w:rPr>
        <w:t>最终确认结果应由远程操作人员和必要的复核人员确认；需要现场配合确认的，应同步确认。</w:t>
      </w:r>
    </w:p>
    <w:p w14:paraId="5C4B4F40">
      <w:pPr>
        <w:pStyle w:val="165"/>
        <w:spacing w:line="360" w:lineRule="auto"/>
      </w:pPr>
      <w:r>
        <w:rPr>
          <w:rFonts w:hint="eastAsia"/>
        </w:rPr>
        <w:t>实施条件确认后至正式校准开始前，若现场状态、链路状态或者环境状态发生明显变化，应重新确认。</w:t>
      </w:r>
    </w:p>
    <w:p w14:paraId="47C1FFEB">
      <w:pPr>
        <w:pStyle w:val="105"/>
        <w:spacing w:before="120" w:after="120" w:line="360" w:lineRule="auto"/>
      </w:pPr>
      <w:r>
        <w:rPr>
          <w:rFonts w:hint="eastAsia"/>
        </w:rPr>
        <w:t>禁止性要求</w:t>
      </w:r>
    </w:p>
    <w:p w14:paraId="6D01CBAE">
      <w:pPr>
        <w:pStyle w:val="165"/>
        <w:spacing w:line="360" w:lineRule="auto"/>
      </w:pPr>
      <w:r>
        <w:rPr>
          <w:rFonts w:hint="eastAsia"/>
        </w:rPr>
        <w:t>不得在系统组成缺失、功能不全或者关键链路不稳定的情况下开展正式远程校准。</w:t>
      </w:r>
    </w:p>
    <w:p w14:paraId="1F0130F4">
      <w:pPr>
        <w:pStyle w:val="165"/>
        <w:spacing w:line="360" w:lineRule="auto"/>
      </w:pPr>
      <w:r>
        <w:rPr>
          <w:rFonts w:hint="eastAsia"/>
        </w:rPr>
        <w:t>不得在视频不可见、环境不可证实、时间不同步或者标准器具接入不清的情况下继续任务。</w:t>
      </w:r>
    </w:p>
    <w:p w14:paraId="560BA1F2">
      <w:pPr>
        <w:pStyle w:val="165"/>
        <w:spacing w:line="360" w:lineRule="auto"/>
      </w:pPr>
      <w:r>
        <w:rPr>
          <w:rFonts w:hint="eastAsia"/>
        </w:rPr>
        <w:t>不得以现场口头说明替代环境确认、状态确认和接入确认。</w:t>
      </w:r>
    </w:p>
    <w:p w14:paraId="0D4A4D63">
      <w:pPr>
        <w:pStyle w:val="165"/>
        <w:spacing w:line="360" w:lineRule="auto"/>
      </w:pPr>
      <w:r>
        <w:rPr>
          <w:rFonts w:hint="eastAsia"/>
        </w:rPr>
        <w:t>不得在未进行试运行或者预检查的情况下直接启动首次远程校准任务。</w:t>
      </w:r>
    </w:p>
    <w:p w14:paraId="4A055F4E">
      <w:pPr>
        <w:pStyle w:val="165"/>
        <w:spacing w:line="360" w:lineRule="auto"/>
      </w:pPr>
      <w:r>
        <w:rPr>
          <w:rFonts w:hint="eastAsia"/>
        </w:rPr>
        <w:t>不得在实施条件发生变化后继续沿用原确认结论而不重新确认。</w:t>
      </w:r>
    </w:p>
    <w:p w14:paraId="01DDBD92">
      <w:pPr>
        <w:pStyle w:val="104"/>
        <w:spacing w:before="240" w:after="240" w:line="360" w:lineRule="auto"/>
      </w:pPr>
      <w:bookmarkStart w:id="53" w:name="_Toc228601778"/>
      <w:r>
        <w:rPr>
          <w:rFonts w:hint="eastAsia"/>
        </w:rPr>
        <w:t>远程校准准备与实施要求</w:t>
      </w:r>
      <w:bookmarkEnd w:id="53"/>
    </w:p>
    <w:p w14:paraId="0F163A8A">
      <w:pPr>
        <w:pStyle w:val="105"/>
        <w:spacing w:before="120" w:after="120" w:line="360" w:lineRule="auto"/>
      </w:pPr>
      <w:r>
        <w:rPr>
          <w:rFonts w:hint="eastAsia"/>
        </w:rPr>
        <w:t>一般规定</w:t>
      </w:r>
    </w:p>
    <w:p w14:paraId="71B0BC30">
      <w:pPr>
        <w:pStyle w:val="165"/>
        <w:spacing w:line="360" w:lineRule="auto"/>
      </w:pPr>
      <w:r>
        <w:rPr>
          <w:rFonts w:hint="eastAsia"/>
        </w:rPr>
        <w:t>智能计量器具远程校准实施前，应完成任务复核、身份确认、系统联调、标准器具核查、现场条件确认、环境确认和安全确认等准备工作。</w:t>
      </w:r>
    </w:p>
    <w:p w14:paraId="6F967942">
      <w:pPr>
        <w:pStyle w:val="165"/>
        <w:spacing w:line="360" w:lineRule="auto"/>
      </w:pPr>
      <w:r>
        <w:rPr>
          <w:rFonts w:hint="eastAsia"/>
        </w:rPr>
        <w:t>远程校准准备工作未完成，或者准备结果不满足实施条件的，不得启动正式远程校准。</w:t>
      </w:r>
    </w:p>
    <w:p w14:paraId="52C23686">
      <w:pPr>
        <w:pStyle w:val="165"/>
        <w:spacing w:line="360" w:lineRule="auto"/>
      </w:pPr>
      <w:r>
        <w:rPr>
          <w:rFonts w:hint="eastAsia"/>
        </w:rPr>
        <w:t>远程校准实施应按经确认的校准任务、校准依据、校准配置和操作流程进行，不得擅自简化关键步骤、变更关键参数或者跳过关键确认环节。</w:t>
      </w:r>
    </w:p>
    <w:p w14:paraId="028E7BEB">
      <w:pPr>
        <w:pStyle w:val="165"/>
        <w:spacing w:line="360" w:lineRule="auto"/>
      </w:pPr>
      <w:r>
        <w:rPr>
          <w:rFonts w:hint="eastAsia"/>
        </w:rPr>
        <w:t>对首次实施的器具类型、首次使用的远程校准系统、首次应用的现场场景和高风险校准任务，应提高准备深度和实施复核等级。</w:t>
      </w:r>
    </w:p>
    <w:p w14:paraId="6E297F3C">
      <w:pPr>
        <w:pStyle w:val="105"/>
        <w:spacing w:before="120" w:after="120" w:line="360" w:lineRule="auto"/>
      </w:pPr>
      <w:r>
        <w:rPr>
          <w:rFonts w:hint="eastAsia"/>
        </w:rPr>
        <w:t>校准任务复核</w:t>
      </w:r>
    </w:p>
    <w:p w14:paraId="1204543B">
      <w:pPr>
        <w:pStyle w:val="65"/>
        <w:spacing w:before="120" w:after="120" w:line="360" w:lineRule="auto"/>
      </w:pPr>
      <w:r>
        <w:rPr>
          <w:rFonts w:hint="eastAsia"/>
        </w:rPr>
        <w:t>一般要求</w:t>
      </w:r>
    </w:p>
    <w:p w14:paraId="295BA1A3">
      <w:pPr>
        <w:pStyle w:val="164"/>
        <w:spacing w:line="360" w:lineRule="auto"/>
      </w:pPr>
      <w:r>
        <w:rPr>
          <w:rFonts w:hint="eastAsia"/>
        </w:rPr>
        <w:t>正式实施前，应对校准任务进行复核。</w:t>
      </w:r>
    </w:p>
    <w:p w14:paraId="38F2F84F">
      <w:pPr>
        <w:pStyle w:val="164"/>
        <w:spacing w:line="360" w:lineRule="auto"/>
      </w:pPr>
      <w:r>
        <w:rPr>
          <w:rFonts w:hint="eastAsia"/>
        </w:rPr>
        <w:t>校准任务复核应至少包括下列内容：</w:t>
      </w:r>
    </w:p>
    <w:p w14:paraId="1D586D4B">
      <w:pPr>
        <w:pStyle w:val="56"/>
        <w:spacing w:line="360" w:lineRule="auto"/>
        <w:ind w:firstLine="420"/>
      </w:pPr>
      <w:r>
        <w:rPr>
          <w:rFonts w:hint="eastAsia"/>
        </w:rPr>
        <w:t>a）任务编号是否唯一且有效；</w:t>
      </w:r>
    </w:p>
    <w:p w14:paraId="6465A9F0">
      <w:pPr>
        <w:pStyle w:val="56"/>
        <w:spacing w:line="360" w:lineRule="auto"/>
        <w:ind w:firstLine="420"/>
      </w:pPr>
      <w:r>
        <w:rPr>
          <w:rFonts w:hint="eastAsia"/>
        </w:rPr>
        <w:t>b）被校器具名称、型号、编号和安装位置是否准确；</w:t>
      </w:r>
    </w:p>
    <w:p w14:paraId="2B355845">
      <w:pPr>
        <w:pStyle w:val="56"/>
        <w:spacing w:line="360" w:lineRule="auto"/>
        <w:ind w:firstLine="420"/>
      </w:pPr>
      <w:r>
        <w:rPr>
          <w:rFonts w:hint="eastAsia"/>
        </w:rPr>
        <w:t>c）校准项目、量程范围和技术依据是否明确；</w:t>
      </w:r>
    </w:p>
    <w:p w14:paraId="3888211D">
      <w:pPr>
        <w:pStyle w:val="56"/>
        <w:spacing w:line="360" w:lineRule="auto"/>
        <w:ind w:firstLine="420"/>
      </w:pPr>
      <w:r>
        <w:rPr>
          <w:rFonts w:hint="eastAsia"/>
        </w:rPr>
        <w:t>d）标准器具配置是否与任务匹配；</w:t>
      </w:r>
    </w:p>
    <w:p w14:paraId="596B2B67">
      <w:pPr>
        <w:pStyle w:val="56"/>
        <w:spacing w:line="360" w:lineRule="auto"/>
        <w:ind w:firstLine="420"/>
      </w:pPr>
      <w:r>
        <w:rPr>
          <w:rFonts w:hint="eastAsia"/>
        </w:rPr>
        <w:t>e）远程可校性结论是否有效；</w:t>
      </w:r>
    </w:p>
    <w:p w14:paraId="7F6CEE66">
      <w:pPr>
        <w:pStyle w:val="56"/>
        <w:spacing w:line="360" w:lineRule="auto"/>
        <w:ind w:firstLine="420"/>
      </w:pPr>
      <w:r>
        <w:rPr>
          <w:rFonts w:hint="eastAsia"/>
        </w:rPr>
        <w:t>f）现场配合安排是否落实；</w:t>
      </w:r>
    </w:p>
    <w:p w14:paraId="3BE295A5">
      <w:pPr>
        <w:pStyle w:val="56"/>
        <w:spacing w:line="360" w:lineRule="auto"/>
        <w:ind w:firstLine="420"/>
      </w:pPr>
      <w:r>
        <w:rPr>
          <w:rFonts w:hint="eastAsia"/>
        </w:rPr>
        <w:t>g）质量复核要求是否明确。</w:t>
      </w:r>
    </w:p>
    <w:p w14:paraId="0091709B">
      <w:pPr>
        <w:pStyle w:val="164"/>
        <w:spacing w:line="360" w:lineRule="auto"/>
      </w:pPr>
      <w:r>
        <w:rPr>
          <w:rFonts w:hint="eastAsia"/>
        </w:rPr>
        <w:t>校准任务内容与现场实际不一致的，不得继续实施。</w:t>
      </w:r>
    </w:p>
    <w:p w14:paraId="6FD81DB1">
      <w:pPr>
        <w:pStyle w:val="164"/>
        <w:numPr>
          <w:ilvl w:val="0"/>
          <w:numId w:val="0"/>
        </w:numPr>
        <w:spacing w:line="360" w:lineRule="auto"/>
      </w:pPr>
    </w:p>
    <w:p w14:paraId="62A13388">
      <w:pPr>
        <w:pStyle w:val="164"/>
        <w:numPr>
          <w:ilvl w:val="0"/>
          <w:numId w:val="0"/>
        </w:numPr>
        <w:spacing w:line="360" w:lineRule="auto"/>
        <w:rPr>
          <w:rFonts w:hint="eastAsia"/>
        </w:rPr>
      </w:pPr>
    </w:p>
    <w:p w14:paraId="2B27DDA6">
      <w:pPr>
        <w:pStyle w:val="65"/>
        <w:spacing w:before="120" w:after="120" w:line="360" w:lineRule="auto"/>
      </w:pPr>
      <w:r>
        <w:rPr>
          <w:rFonts w:hint="eastAsia"/>
        </w:rPr>
        <w:t>任务变更要求</w:t>
      </w:r>
    </w:p>
    <w:p w14:paraId="3FF60C5F">
      <w:pPr>
        <w:pStyle w:val="164"/>
        <w:spacing w:line="360" w:lineRule="auto"/>
      </w:pPr>
      <w:r>
        <w:rPr>
          <w:rFonts w:hint="eastAsia"/>
        </w:rPr>
        <w:t>校准任务一经确认，原则上不得临时变更关键内容。</w:t>
      </w:r>
    </w:p>
    <w:p w14:paraId="4A9FEB1E">
      <w:pPr>
        <w:pStyle w:val="164"/>
        <w:spacing w:line="360" w:lineRule="auto"/>
      </w:pPr>
      <w:r>
        <w:rPr>
          <w:rFonts w:hint="eastAsia"/>
        </w:rPr>
        <w:t>因现场情况变化确需调整校准项目、量程范围、标准器具配置、实施时间或者实施方式的，应履行变更确认程序。</w:t>
      </w:r>
    </w:p>
    <w:p w14:paraId="03D359F6">
      <w:pPr>
        <w:pStyle w:val="164"/>
        <w:spacing w:line="360" w:lineRule="auto"/>
      </w:pPr>
      <w:r>
        <w:rPr>
          <w:rFonts w:hint="eastAsia"/>
        </w:rPr>
        <w:t>变更后应重新复核任务边界、实施条件和结果适用范围。</w:t>
      </w:r>
    </w:p>
    <w:p w14:paraId="7044886E">
      <w:pPr>
        <w:pStyle w:val="105"/>
        <w:spacing w:before="120" w:after="120" w:line="360" w:lineRule="auto"/>
      </w:pPr>
      <w:r>
        <w:rPr>
          <w:rFonts w:hint="eastAsia"/>
        </w:rPr>
        <w:t>身份确认与权限控制</w:t>
      </w:r>
    </w:p>
    <w:p w14:paraId="47E3E4C3">
      <w:pPr>
        <w:pStyle w:val="65"/>
        <w:spacing w:before="120" w:after="120" w:line="360" w:lineRule="auto"/>
      </w:pPr>
      <w:r>
        <w:rPr>
          <w:rFonts w:hint="eastAsia"/>
        </w:rPr>
        <w:t>一般要求</w:t>
      </w:r>
    </w:p>
    <w:p w14:paraId="0557B325">
      <w:pPr>
        <w:pStyle w:val="164"/>
        <w:spacing w:line="360" w:lineRule="auto"/>
      </w:pPr>
      <w:r>
        <w:rPr>
          <w:rFonts w:hint="eastAsia"/>
        </w:rPr>
        <w:t>远程校准开始前，应完成远程操作人员、现场配合人员、质量复核人员和系统终端的身份确认。</w:t>
      </w:r>
    </w:p>
    <w:p w14:paraId="25320C98">
      <w:pPr>
        <w:pStyle w:val="164"/>
        <w:spacing w:line="360" w:lineRule="auto"/>
      </w:pPr>
      <w:r>
        <w:rPr>
          <w:rFonts w:hint="eastAsia"/>
        </w:rPr>
        <w:t>身份确认应采用系统认证、账户认证、终端认证、现场见证或者其他可验证方式实施。</w:t>
      </w:r>
    </w:p>
    <w:p w14:paraId="5AFFC647">
      <w:pPr>
        <w:pStyle w:val="164"/>
        <w:spacing w:line="360" w:lineRule="auto"/>
      </w:pPr>
      <w:r>
        <w:rPr>
          <w:rFonts w:hint="eastAsia"/>
        </w:rPr>
        <w:t>未完成身份确认的人员和终端，不得参与正式远程校准任务。</w:t>
      </w:r>
    </w:p>
    <w:p w14:paraId="71BA71D5">
      <w:pPr>
        <w:pStyle w:val="65"/>
        <w:spacing w:before="120" w:after="120" w:line="360" w:lineRule="auto"/>
      </w:pPr>
      <w:r>
        <w:rPr>
          <w:rFonts w:hint="eastAsia"/>
        </w:rPr>
        <w:t>权限控制要求</w:t>
      </w:r>
    </w:p>
    <w:p w14:paraId="60E7AEC2">
      <w:pPr>
        <w:pStyle w:val="164"/>
        <w:spacing w:line="360" w:lineRule="auto"/>
      </w:pPr>
      <w:r>
        <w:rPr>
          <w:rFonts w:hint="eastAsia"/>
        </w:rPr>
        <w:t>不同岗位人员应按职责授予相应权限。</w:t>
      </w:r>
    </w:p>
    <w:p w14:paraId="2A2E7BC2">
      <w:pPr>
        <w:pStyle w:val="164"/>
        <w:spacing w:line="360" w:lineRule="auto"/>
      </w:pPr>
      <w:r>
        <w:rPr>
          <w:rFonts w:hint="eastAsia"/>
        </w:rPr>
        <w:t>参数修改权限、结果确认权限、任务关闭权限和证书生成权限应分别控制，不得全部集中于单一未受监督账户。</w:t>
      </w:r>
    </w:p>
    <w:p w14:paraId="62E08FAE">
      <w:pPr>
        <w:pStyle w:val="164"/>
        <w:spacing w:line="360" w:lineRule="auto"/>
      </w:pPr>
      <w:r>
        <w:rPr>
          <w:rFonts w:hint="eastAsia"/>
        </w:rPr>
        <w:t>临时授权应明确授权范围、授权时限和授权记录；授权到期后应及时收回。</w:t>
      </w:r>
    </w:p>
    <w:p w14:paraId="5438A769">
      <w:pPr>
        <w:pStyle w:val="105"/>
        <w:spacing w:before="120" w:after="120" w:line="360" w:lineRule="auto"/>
      </w:pPr>
      <w:r>
        <w:rPr>
          <w:rFonts w:hint="eastAsia"/>
        </w:rPr>
        <w:t>校准前现场确认</w:t>
      </w:r>
    </w:p>
    <w:p w14:paraId="5D5AF7D9">
      <w:pPr>
        <w:pStyle w:val="65"/>
        <w:spacing w:before="120" w:after="120" w:line="360" w:lineRule="auto"/>
      </w:pPr>
      <w:r>
        <w:rPr>
          <w:rFonts w:hint="eastAsia"/>
        </w:rPr>
        <w:t>一般要求</w:t>
      </w:r>
    </w:p>
    <w:p w14:paraId="77A12785">
      <w:pPr>
        <w:pStyle w:val="164"/>
        <w:spacing w:line="360" w:lineRule="auto"/>
      </w:pPr>
      <w:r>
        <w:rPr>
          <w:rFonts w:hint="eastAsia"/>
        </w:rPr>
        <w:t>正式实施前，应对被校器具现场状态进行确认。</w:t>
      </w:r>
    </w:p>
    <w:p w14:paraId="582E46F7">
      <w:pPr>
        <w:pStyle w:val="164"/>
        <w:spacing w:line="360" w:lineRule="auto"/>
      </w:pPr>
      <w:r>
        <w:rPr>
          <w:rFonts w:hint="eastAsia"/>
        </w:rPr>
        <w:t>现场确认应通过视频见证、现场配合反馈、系统状态反馈和必要的现场图片或者记录共同完成。</w:t>
      </w:r>
    </w:p>
    <w:p w14:paraId="029DF6E3">
      <w:pPr>
        <w:pStyle w:val="65"/>
        <w:spacing w:before="120" w:after="120" w:line="360" w:lineRule="auto"/>
      </w:pPr>
      <w:r>
        <w:rPr>
          <w:rFonts w:hint="eastAsia"/>
        </w:rPr>
        <w:t>确认内容</w:t>
      </w:r>
    </w:p>
    <w:p w14:paraId="229B5457">
      <w:pPr>
        <w:pStyle w:val="164"/>
        <w:spacing w:line="360" w:lineRule="auto"/>
      </w:pPr>
      <w:r>
        <w:rPr>
          <w:rFonts w:hint="eastAsia"/>
        </w:rPr>
        <w:t>现场确认宜至少包括下列内容：</w:t>
      </w:r>
    </w:p>
    <w:p w14:paraId="192BE9F4">
      <w:pPr>
        <w:pStyle w:val="56"/>
        <w:spacing w:line="360" w:lineRule="auto"/>
        <w:ind w:firstLine="420"/>
      </w:pPr>
      <w:r>
        <w:rPr>
          <w:rFonts w:hint="eastAsia"/>
        </w:rPr>
        <w:t>a）被校器具标识是否清晰；</w:t>
      </w:r>
    </w:p>
    <w:p w14:paraId="44BAFDCC">
      <w:pPr>
        <w:pStyle w:val="56"/>
        <w:spacing w:line="360" w:lineRule="auto"/>
        <w:ind w:firstLine="420"/>
      </w:pPr>
      <w:r>
        <w:rPr>
          <w:rFonts w:hint="eastAsia"/>
        </w:rPr>
        <w:t>b）安装位置和接线状态是否与任务一致；</w:t>
      </w:r>
    </w:p>
    <w:p w14:paraId="54A751E0">
      <w:pPr>
        <w:pStyle w:val="56"/>
        <w:spacing w:line="360" w:lineRule="auto"/>
        <w:ind w:firstLine="420"/>
      </w:pPr>
      <w:r>
        <w:rPr>
          <w:rFonts w:hint="eastAsia"/>
        </w:rPr>
        <w:t>c）封印、外观和接口状态是否正常；</w:t>
      </w:r>
    </w:p>
    <w:p w14:paraId="31FCE541">
      <w:pPr>
        <w:pStyle w:val="56"/>
        <w:spacing w:line="360" w:lineRule="auto"/>
        <w:ind w:firstLine="420"/>
      </w:pPr>
      <w:r>
        <w:rPr>
          <w:rFonts w:hint="eastAsia"/>
        </w:rPr>
        <w:t>d）供电或者供能状态是否正常；</w:t>
      </w:r>
    </w:p>
    <w:p w14:paraId="4DF3B126">
      <w:pPr>
        <w:pStyle w:val="56"/>
        <w:spacing w:line="360" w:lineRule="auto"/>
        <w:ind w:firstLine="420"/>
      </w:pPr>
      <w:r>
        <w:rPr>
          <w:rFonts w:hint="eastAsia"/>
        </w:rPr>
        <w:t>e）设备当前运行模式是否满足校准要求；</w:t>
      </w:r>
    </w:p>
    <w:p w14:paraId="18DFE409">
      <w:pPr>
        <w:pStyle w:val="56"/>
        <w:spacing w:line="360" w:lineRule="auto"/>
        <w:ind w:firstLine="420"/>
      </w:pPr>
      <w:r>
        <w:rPr>
          <w:rFonts w:hint="eastAsia"/>
        </w:rPr>
        <w:t>f）现场无无关干扰作业；</w:t>
      </w:r>
    </w:p>
    <w:p w14:paraId="4F70503B">
      <w:pPr>
        <w:pStyle w:val="56"/>
        <w:spacing w:line="360" w:lineRule="auto"/>
        <w:ind w:firstLine="420"/>
      </w:pPr>
      <w:r>
        <w:rPr>
          <w:rFonts w:hint="eastAsia"/>
        </w:rPr>
        <w:t>g）安全警示和隔离措施是否落实。</w:t>
      </w:r>
    </w:p>
    <w:p w14:paraId="27B3871E">
      <w:pPr>
        <w:pStyle w:val="164"/>
        <w:spacing w:line="360" w:lineRule="auto"/>
      </w:pPr>
      <w:r>
        <w:rPr>
          <w:rFonts w:hint="eastAsia"/>
        </w:rPr>
        <w:t>被校器具处于故障、检修、锁定、报警未解除或者运行状态不稳定时，不得开展正式校准。</w:t>
      </w:r>
    </w:p>
    <w:p w14:paraId="698E6B9C">
      <w:pPr>
        <w:pStyle w:val="105"/>
        <w:spacing w:before="120" w:after="120" w:line="360" w:lineRule="auto"/>
      </w:pPr>
      <w:r>
        <w:rPr>
          <w:rFonts w:hint="eastAsia"/>
        </w:rPr>
        <w:t>标准器具与辅助设备核查</w:t>
      </w:r>
    </w:p>
    <w:p w14:paraId="6EED4BF5">
      <w:pPr>
        <w:pStyle w:val="65"/>
        <w:spacing w:before="120" w:after="120" w:line="360" w:lineRule="auto"/>
      </w:pPr>
      <w:r>
        <w:rPr>
          <w:rFonts w:hint="eastAsia"/>
        </w:rPr>
        <w:t>一般要求</w:t>
      </w:r>
    </w:p>
    <w:p w14:paraId="176B0A21">
      <w:pPr>
        <w:pStyle w:val="164"/>
        <w:spacing w:line="360" w:lineRule="auto"/>
      </w:pPr>
      <w:r>
        <w:rPr>
          <w:rFonts w:hint="eastAsia"/>
        </w:rPr>
        <w:t>正式校准前，应对标准器具和辅助设备进行核查。</w:t>
      </w:r>
    </w:p>
    <w:p w14:paraId="70583C0B">
      <w:pPr>
        <w:pStyle w:val="164"/>
        <w:spacing w:line="360" w:lineRule="auto"/>
      </w:pPr>
      <w:r>
        <w:rPr>
          <w:rFonts w:hint="eastAsia"/>
        </w:rPr>
        <w:t>核查内容应至少包括设备身份、量值状态、连接状态、接口状态、运行状态和显示状态。</w:t>
      </w:r>
    </w:p>
    <w:p w14:paraId="38A996BB">
      <w:pPr>
        <w:pStyle w:val="65"/>
        <w:spacing w:before="120" w:after="120" w:line="360" w:lineRule="auto"/>
      </w:pPr>
      <w:r>
        <w:rPr>
          <w:rFonts w:hint="eastAsia"/>
        </w:rPr>
        <w:t>核查要求</w:t>
      </w:r>
    </w:p>
    <w:p w14:paraId="25896086">
      <w:pPr>
        <w:pStyle w:val="164"/>
        <w:spacing w:line="360" w:lineRule="auto"/>
      </w:pPr>
      <w:r>
        <w:rPr>
          <w:rFonts w:hint="eastAsia"/>
        </w:rPr>
        <w:t>标准器具应与任务要求一致，且处于有效状态。</w:t>
      </w:r>
    </w:p>
    <w:p w14:paraId="5DCE79FF">
      <w:pPr>
        <w:pStyle w:val="164"/>
        <w:spacing w:line="360" w:lineRule="auto"/>
      </w:pPr>
      <w:r>
        <w:rPr>
          <w:rFonts w:hint="eastAsia"/>
        </w:rPr>
        <w:t>辅助设备连接应牢固、通道正确、响应正常，不得存在接触不良、通道混接、方向错误或者显示异常等情形。</w:t>
      </w:r>
    </w:p>
    <w:p w14:paraId="705275E9">
      <w:pPr>
        <w:pStyle w:val="164"/>
        <w:spacing w:line="360" w:lineRule="auto"/>
      </w:pPr>
      <w:r>
        <w:rPr>
          <w:rFonts w:hint="eastAsia"/>
        </w:rPr>
        <w:t>核查后应记录标准器具编号、状态结论、接入时间和核查人员信息。</w:t>
      </w:r>
    </w:p>
    <w:p w14:paraId="3CE54B42">
      <w:pPr>
        <w:pStyle w:val="105"/>
        <w:spacing w:before="120" w:after="120" w:line="360" w:lineRule="auto"/>
      </w:pPr>
      <w:r>
        <w:rPr>
          <w:rFonts w:hint="eastAsia"/>
        </w:rPr>
        <w:t>环境确认与时间同步</w:t>
      </w:r>
    </w:p>
    <w:p w14:paraId="7170B808">
      <w:pPr>
        <w:pStyle w:val="65"/>
        <w:spacing w:before="120" w:after="120" w:line="360" w:lineRule="auto"/>
      </w:pPr>
      <w:r>
        <w:rPr>
          <w:rFonts w:hint="eastAsia"/>
        </w:rPr>
        <w:t>环境确认要求</w:t>
      </w:r>
    </w:p>
    <w:p w14:paraId="1A3E38DA">
      <w:pPr>
        <w:pStyle w:val="164"/>
        <w:spacing w:line="360" w:lineRule="auto"/>
      </w:pPr>
      <w:r>
        <w:rPr>
          <w:rFonts w:hint="eastAsia"/>
        </w:rPr>
        <w:t>正式校准前，应确认环境参数满足校准依据规定。</w:t>
      </w:r>
    </w:p>
    <w:p w14:paraId="0BB034AA">
      <w:pPr>
        <w:pStyle w:val="164"/>
        <w:spacing w:line="360" w:lineRule="auto"/>
      </w:pPr>
      <w:r>
        <w:rPr>
          <w:rFonts w:hint="eastAsia"/>
        </w:rPr>
        <w:t>环境确认应同时取得环境监测数据和现场见证证据。</w:t>
      </w:r>
    </w:p>
    <w:p w14:paraId="3353517A">
      <w:pPr>
        <w:pStyle w:val="164"/>
        <w:spacing w:line="360" w:lineRule="auto"/>
      </w:pPr>
      <w:r>
        <w:rPr>
          <w:rFonts w:hint="eastAsia"/>
        </w:rPr>
        <w:t>环境条件在允许范围边界附近波动的，应增加确认频次或者延后校准。</w:t>
      </w:r>
    </w:p>
    <w:p w14:paraId="51D42A02">
      <w:pPr>
        <w:pStyle w:val="164"/>
        <w:spacing w:line="360" w:lineRule="auto"/>
      </w:pPr>
      <w:r>
        <w:rPr>
          <w:rFonts w:hint="eastAsia"/>
        </w:rPr>
        <w:t>环境参数超限或者环境状态明显不稳定的，应暂停任务。</w:t>
      </w:r>
    </w:p>
    <w:p w14:paraId="1E8E2D09">
      <w:pPr>
        <w:pStyle w:val="65"/>
        <w:spacing w:before="120" w:after="120" w:line="360" w:lineRule="auto"/>
      </w:pPr>
      <w:r>
        <w:rPr>
          <w:rFonts w:hint="eastAsia"/>
        </w:rPr>
        <w:t>时间同步要求</w:t>
      </w:r>
    </w:p>
    <w:p w14:paraId="0ECECC14">
      <w:pPr>
        <w:pStyle w:val="164"/>
        <w:spacing w:line="360" w:lineRule="auto"/>
      </w:pPr>
      <w:r>
        <w:rPr>
          <w:rFonts w:hint="eastAsia"/>
        </w:rPr>
        <w:t>正式校准前，应检查远程操作终端、现场采集终端、环境监测单元、视频系统和数据处理平台的时间同步状态。</w:t>
      </w:r>
    </w:p>
    <w:p w14:paraId="43B0B2CD">
      <w:pPr>
        <w:pStyle w:val="164"/>
        <w:spacing w:line="360" w:lineRule="auto"/>
      </w:pPr>
      <w:r>
        <w:rPr>
          <w:rFonts w:hint="eastAsia"/>
        </w:rPr>
        <w:t>时间同步状态不满足任务要求时，应先完成校正后再实施正式校准。</w:t>
      </w:r>
    </w:p>
    <w:p w14:paraId="58E6D8EC">
      <w:pPr>
        <w:pStyle w:val="164"/>
        <w:spacing w:line="360" w:lineRule="auto"/>
      </w:pPr>
      <w:r>
        <w:rPr>
          <w:rFonts w:hint="eastAsia"/>
        </w:rPr>
        <w:t>时间同步校验结果应形成记录。</w:t>
      </w:r>
    </w:p>
    <w:p w14:paraId="556956A9">
      <w:pPr>
        <w:pStyle w:val="105"/>
        <w:spacing w:before="120" w:after="120" w:line="360" w:lineRule="auto"/>
      </w:pPr>
      <w:r>
        <w:rPr>
          <w:rFonts w:hint="eastAsia"/>
        </w:rPr>
        <w:t>远程连接建立与联调</w:t>
      </w:r>
    </w:p>
    <w:p w14:paraId="09514C01">
      <w:pPr>
        <w:pStyle w:val="65"/>
        <w:spacing w:before="120" w:after="120" w:line="360" w:lineRule="auto"/>
      </w:pPr>
      <w:r>
        <w:rPr>
          <w:rFonts w:hint="eastAsia"/>
        </w:rPr>
        <w:t>一般要求</w:t>
      </w:r>
    </w:p>
    <w:p w14:paraId="62FE33C1">
      <w:pPr>
        <w:pStyle w:val="164"/>
        <w:spacing w:line="360" w:lineRule="auto"/>
      </w:pPr>
      <w:r>
        <w:rPr>
          <w:rFonts w:hint="eastAsia"/>
        </w:rPr>
        <w:t>正式校准前，应建立远程连接并完成联调。</w:t>
      </w:r>
    </w:p>
    <w:p w14:paraId="23D544E5">
      <w:pPr>
        <w:pStyle w:val="164"/>
        <w:spacing w:line="360" w:lineRule="auto"/>
      </w:pPr>
      <w:r>
        <w:rPr>
          <w:rFonts w:hint="eastAsia"/>
        </w:rPr>
        <w:t>联调应覆盖控制指令、状态反馈、数据上传、视频回传、环境数据上传和日志记录等功能。</w:t>
      </w:r>
    </w:p>
    <w:p w14:paraId="49287665">
      <w:pPr>
        <w:pStyle w:val="164"/>
        <w:spacing w:line="360" w:lineRule="auto"/>
      </w:pPr>
      <w:r>
        <w:rPr>
          <w:rFonts w:hint="eastAsia"/>
        </w:rPr>
        <w:t>联调不通过的，不得进入正式校准阶段。</w:t>
      </w:r>
    </w:p>
    <w:p w14:paraId="74DE6D5A">
      <w:pPr>
        <w:pStyle w:val="65"/>
        <w:spacing w:before="120" w:after="120" w:line="360" w:lineRule="auto"/>
      </w:pPr>
      <w:r>
        <w:rPr>
          <w:rFonts w:hint="eastAsia"/>
        </w:rPr>
        <w:t>联调内容</w:t>
      </w:r>
    </w:p>
    <w:p w14:paraId="2D89B35B">
      <w:pPr>
        <w:pStyle w:val="164"/>
        <w:spacing w:line="360" w:lineRule="auto"/>
      </w:pPr>
      <w:r>
        <w:rPr>
          <w:rFonts w:hint="eastAsia"/>
        </w:rPr>
        <w:t>联调宜至少包括下列内容：</w:t>
      </w:r>
    </w:p>
    <w:p w14:paraId="1CB282E7">
      <w:pPr>
        <w:pStyle w:val="56"/>
        <w:spacing w:line="360" w:lineRule="auto"/>
        <w:ind w:firstLine="420"/>
      </w:pPr>
      <w:r>
        <w:rPr>
          <w:rFonts w:hint="eastAsia"/>
        </w:rPr>
        <w:t>a）远程登录是否正常；</w:t>
      </w:r>
    </w:p>
    <w:p w14:paraId="07548C85">
      <w:pPr>
        <w:pStyle w:val="56"/>
        <w:spacing w:line="360" w:lineRule="auto"/>
        <w:ind w:firstLine="420"/>
      </w:pPr>
      <w:r>
        <w:rPr>
          <w:rFonts w:hint="eastAsia"/>
        </w:rPr>
        <w:t>b）视频画面是否连续清晰；</w:t>
      </w:r>
    </w:p>
    <w:p w14:paraId="519F916C">
      <w:pPr>
        <w:pStyle w:val="56"/>
        <w:spacing w:line="360" w:lineRule="auto"/>
        <w:ind w:firstLine="420"/>
      </w:pPr>
      <w:r>
        <w:rPr>
          <w:rFonts w:hint="eastAsia"/>
        </w:rPr>
        <w:t>c）环境数据是否实时上传；</w:t>
      </w:r>
    </w:p>
    <w:p w14:paraId="719AC488">
      <w:pPr>
        <w:pStyle w:val="56"/>
        <w:spacing w:line="360" w:lineRule="auto"/>
        <w:ind w:firstLine="420"/>
      </w:pPr>
      <w:r>
        <w:rPr>
          <w:rFonts w:hint="eastAsia"/>
        </w:rPr>
        <w:t>d）标准器具读数通道是否正常；</w:t>
      </w:r>
    </w:p>
    <w:p w14:paraId="59728F9D">
      <w:pPr>
        <w:pStyle w:val="56"/>
        <w:spacing w:line="360" w:lineRule="auto"/>
        <w:ind w:firstLine="420"/>
      </w:pPr>
      <w:r>
        <w:rPr>
          <w:rFonts w:hint="eastAsia"/>
        </w:rPr>
        <w:t>e）被校器具读数通道是否正常；</w:t>
      </w:r>
    </w:p>
    <w:p w14:paraId="1AFC5DC4">
      <w:pPr>
        <w:pStyle w:val="56"/>
        <w:spacing w:line="360" w:lineRule="auto"/>
        <w:ind w:firstLine="420"/>
      </w:pPr>
      <w:r>
        <w:rPr>
          <w:rFonts w:hint="eastAsia"/>
        </w:rPr>
        <w:t>f）时间标签是否一致；</w:t>
      </w:r>
    </w:p>
    <w:p w14:paraId="5EA5F8F9">
      <w:pPr>
        <w:pStyle w:val="56"/>
        <w:spacing w:line="360" w:lineRule="auto"/>
        <w:ind w:firstLine="420"/>
      </w:pPr>
      <w:r>
        <w:rPr>
          <w:rFonts w:hint="eastAsia"/>
        </w:rPr>
        <w:t>g）控制命令是否可达；</w:t>
      </w:r>
    </w:p>
    <w:p w14:paraId="57B1D4CA">
      <w:pPr>
        <w:pStyle w:val="56"/>
        <w:spacing w:line="360" w:lineRule="auto"/>
        <w:ind w:firstLine="420"/>
      </w:pPr>
      <w:r>
        <w:rPr>
          <w:rFonts w:hint="eastAsia"/>
        </w:rPr>
        <w:t>h）日志是否自动生成。</w:t>
      </w:r>
    </w:p>
    <w:p w14:paraId="30E1AEDB">
      <w:pPr>
        <w:pStyle w:val="164"/>
        <w:spacing w:line="360" w:lineRule="auto"/>
      </w:pPr>
      <w:r>
        <w:rPr>
          <w:rFonts w:hint="eastAsia"/>
        </w:rPr>
        <w:t>联调过程中发现的数据丢包、指令延迟、视频断帧、时间漂移和日志缺失等问题，应先整改再继续。</w:t>
      </w:r>
    </w:p>
    <w:p w14:paraId="5CB04D82">
      <w:pPr>
        <w:pStyle w:val="105"/>
        <w:spacing w:before="120" w:after="120" w:line="360" w:lineRule="auto"/>
      </w:pPr>
      <w:r>
        <w:rPr>
          <w:rFonts w:hint="eastAsia"/>
        </w:rPr>
        <w:t>校准配置与实施前确认</w:t>
      </w:r>
    </w:p>
    <w:p w14:paraId="0E4D6AD0">
      <w:pPr>
        <w:pStyle w:val="65"/>
        <w:spacing w:before="120" w:after="120" w:line="360" w:lineRule="auto"/>
      </w:pPr>
      <w:r>
        <w:rPr>
          <w:rFonts w:hint="eastAsia"/>
        </w:rPr>
        <w:t>校准配置要求</w:t>
      </w:r>
    </w:p>
    <w:p w14:paraId="778C927F">
      <w:pPr>
        <w:pStyle w:val="164"/>
        <w:spacing w:line="360" w:lineRule="auto"/>
      </w:pPr>
      <w:r>
        <w:rPr>
          <w:rFonts w:hint="eastAsia"/>
        </w:rPr>
        <w:t>校准前应确认校准配置。</w:t>
      </w:r>
    </w:p>
    <w:p w14:paraId="49774C64">
      <w:pPr>
        <w:pStyle w:val="164"/>
        <w:spacing w:line="360" w:lineRule="auto"/>
      </w:pPr>
      <w:r>
        <w:rPr>
          <w:rFonts w:hint="eastAsia"/>
        </w:rPr>
        <w:t>校准配置应至少包括下列内容：</w:t>
      </w:r>
    </w:p>
    <w:p w14:paraId="2836250E">
      <w:pPr>
        <w:pStyle w:val="56"/>
        <w:spacing w:line="360" w:lineRule="auto"/>
        <w:ind w:firstLine="420"/>
      </w:pPr>
      <w:r>
        <w:rPr>
          <w:rFonts w:hint="eastAsia"/>
        </w:rPr>
        <w:t>a）标准器具配置；</w:t>
      </w:r>
    </w:p>
    <w:p w14:paraId="403854DD">
      <w:pPr>
        <w:pStyle w:val="56"/>
        <w:spacing w:line="360" w:lineRule="auto"/>
        <w:ind w:firstLine="420"/>
      </w:pPr>
      <w:r>
        <w:rPr>
          <w:rFonts w:hint="eastAsia"/>
        </w:rPr>
        <w:t>b）通道配置；</w:t>
      </w:r>
    </w:p>
    <w:p w14:paraId="4C1C86C3">
      <w:pPr>
        <w:pStyle w:val="56"/>
        <w:spacing w:line="360" w:lineRule="auto"/>
        <w:ind w:firstLine="420"/>
      </w:pPr>
      <w:r>
        <w:rPr>
          <w:rFonts w:hint="eastAsia"/>
        </w:rPr>
        <w:t>c）采样配置；</w:t>
      </w:r>
    </w:p>
    <w:p w14:paraId="7D6AD6EE">
      <w:pPr>
        <w:pStyle w:val="56"/>
        <w:spacing w:line="360" w:lineRule="auto"/>
        <w:ind w:firstLine="420"/>
      </w:pPr>
      <w:r>
        <w:rPr>
          <w:rFonts w:hint="eastAsia"/>
        </w:rPr>
        <w:t>d）量程配置；</w:t>
      </w:r>
    </w:p>
    <w:p w14:paraId="06C45E7A">
      <w:pPr>
        <w:pStyle w:val="56"/>
        <w:spacing w:line="360" w:lineRule="auto"/>
        <w:ind w:firstLine="420"/>
      </w:pPr>
      <w:r>
        <w:rPr>
          <w:rFonts w:hint="eastAsia"/>
        </w:rPr>
        <w:t>e）控制参数；</w:t>
      </w:r>
    </w:p>
    <w:p w14:paraId="36692518">
      <w:pPr>
        <w:pStyle w:val="56"/>
        <w:spacing w:line="360" w:lineRule="auto"/>
        <w:ind w:firstLine="420"/>
      </w:pPr>
      <w:r>
        <w:rPr>
          <w:rFonts w:hint="eastAsia"/>
        </w:rPr>
        <w:t>f）计算参数；</w:t>
      </w:r>
    </w:p>
    <w:p w14:paraId="7AC0DB16">
      <w:pPr>
        <w:pStyle w:val="56"/>
        <w:spacing w:line="360" w:lineRule="auto"/>
        <w:ind w:firstLine="420"/>
      </w:pPr>
      <w:r>
        <w:rPr>
          <w:rFonts w:hint="eastAsia"/>
        </w:rPr>
        <w:t>g）判定参数；</w:t>
      </w:r>
    </w:p>
    <w:p w14:paraId="0B225427">
      <w:pPr>
        <w:pStyle w:val="56"/>
        <w:spacing w:line="360" w:lineRule="auto"/>
        <w:ind w:firstLine="420"/>
      </w:pPr>
      <w:r>
        <w:rPr>
          <w:rFonts w:hint="eastAsia"/>
        </w:rPr>
        <w:t>h）记录参数。</w:t>
      </w:r>
    </w:p>
    <w:p w14:paraId="71A77F31">
      <w:pPr>
        <w:pStyle w:val="164"/>
        <w:spacing w:line="360" w:lineRule="auto"/>
      </w:pPr>
      <w:r>
        <w:rPr>
          <w:rFonts w:hint="eastAsia"/>
        </w:rPr>
        <w:t>校准配置应与校准依据一致，不得采用未经授权的临时配置。</w:t>
      </w:r>
    </w:p>
    <w:p w14:paraId="1C174F14">
      <w:pPr>
        <w:pStyle w:val="65"/>
        <w:spacing w:before="120" w:after="120" w:line="360" w:lineRule="auto"/>
      </w:pPr>
      <w:r>
        <w:rPr>
          <w:rFonts w:hint="eastAsia"/>
        </w:rPr>
        <w:t>最终确认要求</w:t>
      </w:r>
    </w:p>
    <w:p w14:paraId="785C2207">
      <w:pPr>
        <w:pStyle w:val="164"/>
        <w:spacing w:line="360" w:lineRule="auto"/>
      </w:pPr>
      <w:r>
        <w:rPr>
          <w:rFonts w:hint="eastAsia"/>
        </w:rPr>
        <w:t>正式实施前，应进行最终确认。</w:t>
      </w:r>
    </w:p>
    <w:p w14:paraId="69EF4E60">
      <w:pPr>
        <w:pStyle w:val="164"/>
        <w:spacing w:line="360" w:lineRule="auto"/>
      </w:pPr>
      <w:r>
        <w:rPr>
          <w:rFonts w:hint="eastAsia"/>
        </w:rPr>
        <w:t>最终确认内容应至少包括任务、人员、标准器具、被校器具、环境、连接、时间同步和安全八项内容。</w:t>
      </w:r>
    </w:p>
    <w:p w14:paraId="0B2FEAF4">
      <w:pPr>
        <w:pStyle w:val="164"/>
        <w:spacing w:line="360" w:lineRule="auto"/>
      </w:pPr>
      <w:r>
        <w:rPr>
          <w:rFonts w:hint="eastAsia"/>
        </w:rPr>
        <w:t>最终确认完成后，方可进入正式校准步骤。</w:t>
      </w:r>
    </w:p>
    <w:p w14:paraId="44FF72D9">
      <w:pPr>
        <w:pStyle w:val="105"/>
        <w:spacing w:before="120" w:after="120" w:line="360" w:lineRule="auto"/>
      </w:pPr>
      <w:r>
        <w:rPr>
          <w:rFonts w:hint="eastAsia"/>
        </w:rPr>
        <w:t>远程校准实施要求</w:t>
      </w:r>
    </w:p>
    <w:p w14:paraId="0DC85809">
      <w:pPr>
        <w:pStyle w:val="65"/>
        <w:spacing w:before="120" w:after="120" w:line="360" w:lineRule="auto"/>
      </w:pPr>
      <w:r>
        <w:rPr>
          <w:rFonts w:hint="eastAsia"/>
        </w:rPr>
        <w:t>一般要求</w:t>
      </w:r>
    </w:p>
    <w:p w14:paraId="682E669C">
      <w:pPr>
        <w:pStyle w:val="164"/>
        <w:spacing w:line="360" w:lineRule="auto"/>
      </w:pPr>
      <w:r>
        <w:rPr>
          <w:rFonts w:hint="eastAsia"/>
        </w:rPr>
        <w:t>远程校准实施应按规定步骤进行。</w:t>
      </w:r>
    </w:p>
    <w:p w14:paraId="0139C8E7">
      <w:pPr>
        <w:pStyle w:val="164"/>
        <w:spacing w:line="360" w:lineRule="auto"/>
      </w:pPr>
      <w:r>
        <w:rPr>
          <w:rFonts w:hint="eastAsia"/>
        </w:rPr>
        <w:t>实施过程中应保持任务编号、数据流、时间轴和视频见证的一致性。</w:t>
      </w:r>
    </w:p>
    <w:p w14:paraId="56D17AF4">
      <w:pPr>
        <w:pStyle w:val="164"/>
        <w:spacing w:line="360" w:lineRule="auto"/>
      </w:pPr>
      <w:r>
        <w:rPr>
          <w:rFonts w:hint="eastAsia"/>
        </w:rPr>
        <w:t>实施过程中不得随意切换终端、改变接线、切断视频、关闭环境监测或者跳过中间记录。</w:t>
      </w:r>
    </w:p>
    <w:p w14:paraId="28C2A32F">
      <w:pPr>
        <w:pStyle w:val="65"/>
        <w:spacing w:before="120" w:after="120" w:line="360" w:lineRule="auto"/>
      </w:pPr>
      <w:r>
        <w:rPr>
          <w:rFonts w:hint="eastAsia"/>
        </w:rPr>
        <w:t>实施步骤</w:t>
      </w:r>
    </w:p>
    <w:p w14:paraId="33CCC44E">
      <w:pPr>
        <w:pStyle w:val="164"/>
        <w:spacing w:line="360" w:lineRule="auto"/>
      </w:pPr>
      <w:r>
        <w:rPr>
          <w:rFonts w:hint="eastAsia"/>
        </w:rPr>
        <w:t>远程校准实施步骤宜包括：</w:t>
      </w:r>
    </w:p>
    <w:p w14:paraId="06D446D7">
      <w:pPr>
        <w:pStyle w:val="56"/>
        <w:spacing w:line="360" w:lineRule="auto"/>
        <w:ind w:firstLine="420"/>
      </w:pPr>
      <w:r>
        <w:rPr>
          <w:rFonts w:hint="eastAsia"/>
        </w:rPr>
        <w:t>a）任务启动；</w:t>
      </w:r>
    </w:p>
    <w:p w14:paraId="18AE6233">
      <w:pPr>
        <w:pStyle w:val="56"/>
        <w:spacing w:line="360" w:lineRule="auto"/>
        <w:ind w:firstLine="420"/>
      </w:pPr>
      <w:r>
        <w:rPr>
          <w:rFonts w:hint="eastAsia"/>
        </w:rPr>
        <w:t>b）现场状态再次确认；</w:t>
      </w:r>
    </w:p>
    <w:p w14:paraId="74FA0BED">
      <w:pPr>
        <w:pStyle w:val="56"/>
        <w:spacing w:line="360" w:lineRule="auto"/>
        <w:ind w:firstLine="420"/>
      </w:pPr>
      <w:r>
        <w:rPr>
          <w:rFonts w:hint="eastAsia"/>
        </w:rPr>
        <w:t>c）标准器具读数稳定确认；</w:t>
      </w:r>
    </w:p>
    <w:p w14:paraId="37A8754A">
      <w:pPr>
        <w:pStyle w:val="56"/>
        <w:spacing w:line="360" w:lineRule="auto"/>
        <w:ind w:firstLine="420"/>
      </w:pPr>
      <w:r>
        <w:rPr>
          <w:rFonts w:hint="eastAsia"/>
        </w:rPr>
        <w:t>d）被校器具响应确认；</w:t>
      </w:r>
    </w:p>
    <w:p w14:paraId="54A86AD4">
      <w:pPr>
        <w:pStyle w:val="56"/>
        <w:spacing w:line="360" w:lineRule="auto"/>
        <w:ind w:firstLine="420"/>
      </w:pPr>
      <w:r>
        <w:rPr>
          <w:rFonts w:hint="eastAsia"/>
        </w:rPr>
        <w:t>e）数据采集；</w:t>
      </w:r>
    </w:p>
    <w:p w14:paraId="5C1723C7">
      <w:pPr>
        <w:pStyle w:val="56"/>
        <w:spacing w:line="360" w:lineRule="auto"/>
        <w:ind w:firstLine="420"/>
      </w:pPr>
      <w:r>
        <w:rPr>
          <w:rFonts w:hint="eastAsia"/>
        </w:rPr>
        <w:t>f）必要的多点重复采集；</w:t>
      </w:r>
    </w:p>
    <w:p w14:paraId="7EC45E2F">
      <w:pPr>
        <w:pStyle w:val="56"/>
        <w:spacing w:line="360" w:lineRule="auto"/>
        <w:ind w:firstLine="420"/>
      </w:pPr>
      <w:r>
        <w:rPr>
          <w:rFonts w:hint="eastAsia"/>
        </w:rPr>
        <w:t>g）关键测点复核；</w:t>
      </w:r>
    </w:p>
    <w:p w14:paraId="4E5E298F">
      <w:pPr>
        <w:pStyle w:val="56"/>
        <w:spacing w:line="360" w:lineRule="auto"/>
        <w:ind w:firstLine="420"/>
      </w:pPr>
      <w:r>
        <w:rPr>
          <w:rFonts w:hint="eastAsia"/>
        </w:rPr>
        <w:t>h）原始数据锁定；</w:t>
      </w:r>
    </w:p>
    <w:p w14:paraId="28D479F9">
      <w:pPr>
        <w:pStyle w:val="56"/>
        <w:spacing w:line="360" w:lineRule="auto"/>
        <w:ind w:firstLine="420"/>
      </w:pPr>
      <w:r>
        <w:rPr>
          <w:rFonts w:hint="eastAsia"/>
        </w:rPr>
        <w:t>i）任务结束确认。</w:t>
      </w:r>
    </w:p>
    <w:p w14:paraId="20DB021D">
      <w:pPr>
        <w:pStyle w:val="164"/>
        <w:spacing w:line="360" w:lineRule="auto"/>
      </w:pPr>
      <w:r>
        <w:rPr>
          <w:rFonts w:hint="eastAsia"/>
        </w:rPr>
        <w:t>不同计量器具类型可根据具体校准方法增加预热、预置、切换、加载、稳态等待和回程检查等步骤。</w:t>
      </w:r>
    </w:p>
    <w:p w14:paraId="735B286A">
      <w:pPr>
        <w:pStyle w:val="65"/>
        <w:spacing w:before="120" w:after="120" w:line="360" w:lineRule="auto"/>
      </w:pPr>
      <w:r>
        <w:rPr>
          <w:rFonts w:hint="eastAsia"/>
        </w:rPr>
        <w:t>关键控制要求</w:t>
      </w:r>
    </w:p>
    <w:p w14:paraId="71D181F4">
      <w:pPr>
        <w:pStyle w:val="164"/>
        <w:spacing w:line="360" w:lineRule="auto"/>
      </w:pPr>
      <w:r>
        <w:rPr>
          <w:rFonts w:hint="eastAsia"/>
        </w:rPr>
        <w:t>对关键测点、关键量程和关键状态切换点，应实施重点控制。</w:t>
      </w:r>
    </w:p>
    <w:p w14:paraId="1D3ECC31">
      <w:pPr>
        <w:pStyle w:val="164"/>
        <w:spacing w:line="360" w:lineRule="auto"/>
      </w:pPr>
      <w:r>
        <w:rPr>
          <w:rFonts w:hint="eastAsia"/>
        </w:rPr>
        <w:t>对关键测点宜进行重复采集或者交叉复核。</w:t>
      </w:r>
    </w:p>
    <w:p w14:paraId="727E39DE">
      <w:pPr>
        <w:pStyle w:val="164"/>
        <w:spacing w:line="360" w:lineRule="auto"/>
      </w:pPr>
      <w:r>
        <w:rPr>
          <w:rFonts w:hint="eastAsia"/>
        </w:rPr>
        <w:t>对带载运行、在线运行或者动态工况下实施校准的，应额外记录工况边界和工况稳定状态。</w:t>
      </w:r>
    </w:p>
    <w:p w14:paraId="230AF206">
      <w:pPr>
        <w:pStyle w:val="105"/>
        <w:spacing w:before="120" w:after="120" w:line="360" w:lineRule="auto"/>
      </w:pPr>
      <w:r>
        <w:rPr>
          <w:rFonts w:hint="eastAsia"/>
        </w:rPr>
        <w:t>现场配合与远程见证要求</w:t>
      </w:r>
    </w:p>
    <w:p w14:paraId="72727253">
      <w:pPr>
        <w:pStyle w:val="65"/>
        <w:spacing w:before="120" w:after="120" w:line="360" w:lineRule="auto"/>
      </w:pPr>
      <w:r>
        <w:rPr>
          <w:rFonts w:hint="eastAsia"/>
        </w:rPr>
        <w:t>现场配合要求</w:t>
      </w:r>
    </w:p>
    <w:p w14:paraId="21B8A9E9">
      <w:pPr>
        <w:pStyle w:val="164"/>
        <w:spacing w:line="360" w:lineRule="auto"/>
      </w:pPr>
      <w:r>
        <w:rPr>
          <w:rFonts w:hint="eastAsia"/>
        </w:rPr>
        <w:t>现场配合人员应按远程指令完成必要操作。</w:t>
      </w:r>
    </w:p>
    <w:p w14:paraId="76E07C66">
      <w:pPr>
        <w:pStyle w:val="164"/>
        <w:spacing w:line="360" w:lineRule="auto"/>
      </w:pPr>
      <w:r>
        <w:rPr>
          <w:rFonts w:hint="eastAsia"/>
        </w:rPr>
        <w:t>现场配合操作完成后，应及时反馈状态变化。</w:t>
      </w:r>
    </w:p>
    <w:p w14:paraId="3C1D80DE">
      <w:pPr>
        <w:pStyle w:val="164"/>
        <w:spacing w:line="360" w:lineRule="auto"/>
      </w:pPr>
      <w:r>
        <w:rPr>
          <w:rFonts w:hint="eastAsia"/>
        </w:rPr>
        <w:t>现场配合人员不得在未收到明确指令情况下擅自操作被校器具、标准器具或者连接装置。</w:t>
      </w:r>
    </w:p>
    <w:p w14:paraId="4AF8B5DF">
      <w:pPr>
        <w:pStyle w:val="65"/>
        <w:spacing w:before="120" w:after="120" w:line="360" w:lineRule="auto"/>
      </w:pPr>
      <w:r>
        <w:rPr>
          <w:rFonts w:hint="eastAsia"/>
        </w:rPr>
        <w:t>远程见证要求</w:t>
      </w:r>
    </w:p>
    <w:p w14:paraId="5E51B57F">
      <w:pPr>
        <w:pStyle w:val="164"/>
        <w:spacing w:line="360" w:lineRule="auto"/>
      </w:pPr>
      <w:r>
        <w:rPr>
          <w:rFonts w:hint="eastAsia"/>
        </w:rPr>
        <w:t>对下列环节应实施远程见证：</w:t>
      </w:r>
    </w:p>
    <w:p w14:paraId="4F9B413B">
      <w:pPr>
        <w:pStyle w:val="56"/>
        <w:spacing w:line="360" w:lineRule="auto"/>
        <w:ind w:firstLine="420"/>
      </w:pPr>
      <w:r>
        <w:rPr>
          <w:rFonts w:hint="eastAsia"/>
        </w:rPr>
        <w:t>a）设备身份确认；</w:t>
      </w:r>
    </w:p>
    <w:p w14:paraId="122257DE">
      <w:pPr>
        <w:pStyle w:val="56"/>
        <w:spacing w:line="360" w:lineRule="auto"/>
        <w:ind w:firstLine="420"/>
      </w:pPr>
      <w:r>
        <w:rPr>
          <w:rFonts w:hint="eastAsia"/>
        </w:rPr>
        <w:t>b）接线确认；</w:t>
      </w:r>
    </w:p>
    <w:p w14:paraId="4A91948C">
      <w:pPr>
        <w:pStyle w:val="56"/>
        <w:spacing w:line="360" w:lineRule="auto"/>
        <w:ind w:firstLine="420"/>
      </w:pPr>
      <w:r>
        <w:rPr>
          <w:rFonts w:hint="eastAsia"/>
        </w:rPr>
        <w:t>c）环境确认；</w:t>
      </w:r>
    </w:p>
    <w:p w14:paraId="4DFCA1D7">
      <w:pPr>
        <w:pStyle w:val="56"/>
        <w:spacing w:line="360" w:lineRule="auto"/>
        <w:ind w:firstLine="420"/>
      </w:pPr>
      <w:r>
        <w:rPr>
          <w:rFonts w:hint="eastAsia"/>
        </w:rPr>
        <w:t>d）标准器具接入确认；</w:t>
      </w:r>
    </w:p>
    <w:p w14:paraId="6FD98CEB">
      <w:pPr>
        <w:pStyle w:val="56"/>
        <w:spacing w:line="360" w:lineRule="auto"/>
        <w:ind w:firstLine="420"/>
      </w:pPr>
      <w:r>
        <w:rPr>
          <w:rFonts w:hint="eastAsia"/>
        </w:rPr>
        <w:t>e）关键测点采集；</w:t>
      </w:r>
    </w:p>
    <w:p w14:paraId="08000F15">
      <w:pPr>
        <w:pStyle w:val="56"/>
        <w:spacing w:line="360" w:lineRule="auto"/>
        <w:ind w:firstLine="420"/>
      </w:pPr>
      <w:r>
        <w:rPr>
          <w:rFonts w:hint="eastAsia"/>
        </w:rPr>
        <w:t>f）异常处置；</w:t>
      </w:r>
    </w:p>
    <w:p w14:paraId="1ED52CE6">
      <w:pPr>
        <w:pStyle w:val="56"/>
        <w:spacing w:line="360" w:lineRule="auto"/>
        <w:ind w:firstLine="420"/>
      </w:pPr>
      <w:r>
        <w:rPr>
          <w:rFonts w:hint="eastAsia"/>
        </w:rPr>
        <w:t>g）结果确认。</w:t>
      </w:r>
    </w:p>
    <w:p w14:paraId="66B8EC37">
      <w:pPr>
        <w:pStyle w:val="164"/>
        <w:spacing w:line="360" w:lineRule="auto"/>
      </w:pPr>
      <w:r>
        <w:rPr>
          <w:rFonts w:hint="eastAsia"/>
        </w:rPr>
        <w:t>远程见证资料应与校准任务对应保存。</w:t>
      </w:r>
    </w:p>
    <w:p w14:paraId="55CC6407">
      <w:pPr>
        <w:pStyle w:val="105"/>
        <w:spacing w:before="120" w:after="120" w:line="360" w:lineRule="auto"/>
      </w:pPr>
      <w:r>
        <w:rPr>
          <w:rFonts w:hint="eastAsia"/>
        </w:rPr>
        <w:t>实施中止条件</w:t>
      </w:r>
    </w:p>
    <w:p w14:paraId="6004C2FA">
      <w:pPr>
        <w:pStyle w:val="165"/>
        <w:spacing w:line="360" w:lineRule="auto"/>
      </w:pPr>
      <w:r>
        <w:rPr>
          <w:rFonts w:hint="eastAsia"/>
        </w:rPr>
        <w:t>正式校准过程中出现下列情形之一时，应中止任务：</w:t>
      </w:r>
    </w:p>
    <w:p w14:paraId="7A2F88CF">
      <w:pPr>
        <w:pStyle w:val="56"/>
        <w:spacing w:line="360" w:lineRule="auto"/>
        <w:ind w:firstLine="420"/>
      </w:pPr>
      <w:r>
        <w:rPr>
          <w:rFonts w:hint="eastAsia"/>
        </w:rPr>
        <w:t>a）远程连接中断且无法在允许范围内恢复；</w:t>
      </w:r>
    </w:p>
    <w:p w14:paraId="0CA06816">
      <w:pPr>
        <w:pStyle w:val="56"/>
        <w:spacing w:line="360" w:lineRule="auto"/>
        <w:ind w:firstLine="420"/>
      </w:pPr>
      <w:r>
        <w:rPr>
          <w:rFonts w:hint="eastAsia"/>
        </w:rPr>
        <w:t>b）视频见证中断且关键环节不可补证；</w:t>
      </w:r>
    </w:p>
    <w:p w14:paraId="00C5C347">
      <w:pPr>
        <w:pStyle w:val="56"/>
        <w:spacing w:line="360" w:lineRule="auto"/>
        <w:ind w:firstLine="420"/>
      </w:pPr>
      <w:r>
        <w:rPr>
          <w:rFonts w:hint="eastAsia"/>
        </w:rPr>
        <w:t>c）环境条件超限；</w:t>
      </w:r>
    </w:p>
    <w:p w14:paraId="3DE11F82">
      <w:pPr>
        <w:pStyle w:val="56"/>
        <w:spacing w:line="360" w:lineRule="auto"/>
        <w:ind w:firstLine="420"/>
      </w:pPr>
      <w:r>
        <w:rPr>
          <w:rFonts w:hint="eastAsia"/>
        </w:rPr>
        <w:t>d）标准器具状态异常；</w:t>
      </w:r>
    </w:p>
    <w:p w14:paraId="00829839">
      <w:pPr>
        <w:pStyle w:val="56"/>
        <w:spacing w:line="360" w:lineRule="auto"/>
        <w:ind w:firstLine="420"/>
      </w:pPr>
      <w:r>
        <w:rPr>
          <w:rFonts w:hint="eastAsia"/>
        </w:rPr>
        <w:t>e）被校器具状态异常；</w:t>
      </w:r>
    </w:p>
    <w:p w14:paraId="2D16610E">
      <w:pPr>
        <w:pStyle w:val="56"/>
        <w:spacing w:line="360" w:lineRule="auto"/>
        <w:ind w:firstLine="420"/>
      </w:pPr>
      <w:r>
        <w:rPr>
          <w:rFonts w:hint="eastAsia"/>
        </w:rPr>
        <w:t>f）原始数据明显异常且无法解释；</w:t>
      </w:r>
    </w:p>
    <w:p w14:paraId="4E961F37">
      <w:pPr>
        <w:pStyle w:val="56"/>
        <w:spacing w:line="360" w:lineRule="auto"/>
        <w:ind w:firstLine="420"/>
      </w:pPr>
      <w:r>
        <w:rPr>
          <w:rFonts w:hint="eastAsia"/>
        </w:rPr>
        <w:t>g）时间同步失效；</w:t>
      </w:r>
    </w:p>
    <w:p w14:paraId="1BDE6911">
      <w:pPr>
        <w:pStyle w:val="56"/>
        <w:spacing w:line="360" w:lineRule="auto"/>
        <w:ind w:firstLine="420"/>
      </w:pPr>
      <w:r>
        <w:rPr>
          <w:rFonts w:hint="eastAsia"/>
        </w:rPr>
        <w:t>h）现场出现安全风险。</w:t>
      </w:r>
    </w:p>
    <w:p w14:paraId="1F90E7F2">
      <w:pPr>
        <w:pStyle w:val="165"/>
        <w:spacing w:line="360" w:lineRule="auto"/>
      </w:pPr>
      <w:r>
        <w:rPr>
          <w:rFonts w:hint="eastAsia"/>
        </w:rPr>
        <w:t>任务中止后，应记录中止时间、中止原因、当前状态和后续处理建议。</w:t>
      </w:r>
    </w:p>
    <w:p w14:paraId="5ECE51C1">
      <w:pPr>
        <w:pStyle w:val="165"/>
        <w:spacing w:line="360" w:lineRule="auto"/>
      </w:pPr>
      <w:r>
        <w:rPr>
          <w:rFonts w:hint="eastAsia"/>
        </w:rPr>
        <w:t>中止任务不得直接生成正式校准结论。</w:t>
      </w:r>
    </w:p>
    <w:p w14:paraId="6057AA6D">
      <w:pPr>
        <w:pStyle w:val="105"/>
        <w:spacing w:before="120" w:after="120" w:line="360" w:lineRule="auto"/>
      </w:pPr>
      <w:r>
        <w:rPr>
          <w:rFonts w:hint="eastAsia"/>
        </w:rPr>
        <w:t>禁止性要求</w:t>
      </w:r>
    </w:p>
    <w:p w14:paraId="01E1EF7F">
      <w:pPr>
        <w:pStyle w:val="165"/>
        <w:spacing w:line="360" w:lineRule="auto"/>
      </w:pPr>
      <w:r>
        <w:rPr>
          <w:rFonts w:hint="eastAsia"/>
        </w:rPr>
        <w:t>不得在校准前准备未完成的情况下启动正式校准。</w:t>
      </w:r>
    </w:p>
    <w:p w14:paraId="41DDCA63">
      <w:pPr>
        <w:pStyle w:val="165"/>
        <w:spacing w:line="360" w:lineRule="auto"/>
      </w:pPr>
      <w:r>
        <w:rPr>
          <w:rFonts w:hint="eastAsia"/>
        </w:rPr>
        <w:t>不得在未完成身份认证和权限校验的情况下开放远程控制。</w:t>
      </w:r>
    </w:p>
    <w:p w14:paraId="390A1992">
      <w:pPr>
        <w:pStyle w:val="165"/>
        <w:spacing w:line="360" w:lineRule="auto"/>
      </w:pPr>
      <w:r>
        <w:rPr>
          <w:rFonts w:hint="eastAsia"/>
        </w:rPr>
        <w:t>不得在联调未通过的情况下进入正式测点采集。</w:t>
      </w:r>
    </w:p>
    <w:p w14:paraId="0485687F">
      <w:pPr>
        <w:pStyle w:val="165"/>
        <w:spacing w:line="360" w:lineRule="auto"/>
      </w:pPr>
      <w:r>
        <w:rPr>
          <w:rFonts w:hint="eastAsia"/>
        </w:rPr>
        <w:t>不得在实施过程中擅自更改关键配置和关键流程。</w:t>
      </w:r>
    </w:p>
    <w:p w14:paraId="50835238">
      <w:pPr>
        <w:pStyle w:val="165"/>
        <w:spacing w:line="360" w:lineRule="auto"/>
      </w:pPr>
      <w:r>
        <w:rPr>
          <w:rFonts w:hint="eastAsia"/>
        </w:rPr>
        <w:t>不得对中止任务补造过程记录后作为完整任务归档。</w:t>
      </w:r>
    </w:p>
    <w:p w14:paraId="1964F9DA">
      <w:pPr>
        <w:pStyle w:val="104"/>
        <w:spacing w:before="240" w:after="240" w:line="360" w:lineRule="auto"/>
      </w:pPr>
      <w:bookmarkStart w:id="54" w:name="_Toc228601779"/>
      <w:r>
        <w:rPr>
          <w:rFonts w:hint="eastAsia"/>
        </w:rPr>
        <w:t>数据采集、结果处理与异常处置要求</w:t>
      </w:r>
      <w:bookmarkEnd w:id="54"/>
    </w:p>
    <w:p w14:paraId="747EE3E5">
      <w:pPr>
        <w:pStyle w:val="105"/>
        <w:spacing w:before="120" w:after="120" w:line="360" w:lineRule="auto"/>
      </w:pPr>
      <w:r>
        <w:rPr>
          <w:rFonts w:hint="eastAsia"/>
        </w:rPr>
        <w:t>一般规定</w:t>
      </w:r>
    </w:p>
    <w:p w14:paraId="01D4B01A">
      <w:pPr>
        <w:pStyle w:val="165"/>
        <w:spacing w:line="360" w:lineRule="auto"/>
      </w:pPr>
      <w:r>
        <w:rPr>
          <w:rFonts w:hint="eastAsia"/>
        </w:rPr>
        <w:t>远程校准活动中的数据采集、结果处理和异常处置应贯穿实施全过程。</w:t>
      </w:r>
    </w:p>
    <w:p w14:paraId="29D2D8A6">
      <w:pPr>
        <w:pStyle w:val="165"/>
        <w:spacing w:line="360" w:lineRule="auto"/>
      </w:pPr>
      <w:r>
        <w:rPr>
          <w:rFonts w:hint="eastAsia"/>
        </w:rPr>
        <w:t>数据采集应坚持原始、完整、同步、准确和可追溯原则。</w:t>
      </w:r>
    </w:p>
    <w:p w14:paraId="34C63C66">
      <w:pPr>
        <w:pStyle w:val="165"/>
        <w:spacing w:line="360" w:lineRule="auto"/>
      </w:pPr>
      <w:r>
        <w:rPr>
          <w:rFonts w:hint="eastAsia"/>
        </w:rPr>
        <w:t>结果处理应依据校准依据、计算规则和判定规则实施，不得使用未经确认的临时算法或者非受控参数。</w:t>
      </w:r>
    </w:p>
    <w:p w14:paraId="2B0F0AC9">
      <w:pPr>
        <w:pStyle w:val="165"/>
        <w:spacing w:line="360" w:lineRule="auto"/>
      </w:pPr>
      <w:r>
        <w:rPr>
          <w:rFonts w:hint="eastAsia"/>
        </w:rPr>
        <w:t>异常处置应坚持先控制、后分析、再决定继续、中止、重测或者作废的原则。</w:t>
      </w:r>
    </w:p>
    <w:p w14:paraId="52248EAB">
      <w:pPr>
        <w:pStyle w:val="165"/>
        <w:numPr>
          <w:ilvl w:val="0"/>
          <w:numId w:val="0"/>
        </w:numPr>
        <w:spacing w:line="360" w:lineRule="auto"/>
      </w:pPr>
    </w:p>
    <w:p w14:paraId="17505FA9">
      <w:pPr>
        <w:pStyle w:val="165"/>
        <w:numPr>
          <w:ilvl w:val="0"/>
          <w:numId w:val="0"/>
        </w:numPr>
        <w:spacing w:line="360" w:lineRule="auto"/>
        <w:rPr>
          <w:rFonts w:hint="eastAsia"/>
        </w:rPr>
      </w:pPr>
    </w:p>
    <w:p w14:paraId="4B413D38">
      <w:pPr>
        <w:pStyle w:val="105"/>
        <w:spacing w:before="120" w:after="120" w:line="360" w:lineRule="auto"/>
      </w:pPr>
      <w:r>
        <w:rPr>
          <w:rFonts w:hint="eastAsia"/>
        </w:rPr>
        <w:t>数据采集要求</w:t>
      </w:r>
    </w:p>
    <w:p w14:paraId="36A5DFCE">
      <w:pPr>
        <w:pStyle w:val="65"/>
        <w:spacing w:before="120" w:after="120" w:line="360" w:lineRule="auto"/>
      </w:pPr>
      <w:r>
        <w:rPr>
          <w:rFonts w:hint="eastAsia"/>
        </w:rPr>
        <w:t>一般要求</w:t>
      </w:r>
    </w:p>
    <w:p w14:paraId="369F28DD">
      <w:pPr>
        <w:pStyle w:val="164"/>
        <w:spacing w:line="360" w:lineRule="auto"/>
      </w:pPr>
      <w:r>
        <w:rPr>
          <w:rFonts w:hint="eastAsia"/>
        </w:rPr>
        <w:t>远程校准应采集下列数据：</w:t>
      </w:r>
    </w:p>
    <w:p w14:paraId="4555F672">
      <w:pPr>
        <w:pStyle w:val="56"/>
        <w:spacing w:line="360" w:lineRule="auto"/>
        <w:ind w:firstLine="420"/>
      </w:pPr>
      <w:r>
        <w:rPr>
          <w:rFonts w:hint="eastAsia"/>
        </w:rPr>
        <w:t>a）标准器具测量数据；</w:t>
      </w:r>
    </w:p>
    <w:p w14:paraId="0DDC5A25">
      <w:pPr>
        <w:pStyle w:val="56"/>
        <w:spacing w:line="360" w:lineRule="auto"/>
        <w:ind w:firstLine="420"/>
      </w:pPr>
      <w:r>
        <w:rPr>
          <w:rFonts w:hint="eastAsia"/>
        </w:rPr>
        <w:t>b）被校器具测量数据；</w:t>
      </w:r>
    </w:p>
    <w:p w14:paraId="597AF20A">
      <w:pPr>
        <w:pStyle w:val="56"/>
        <w:spacing w:line="360" w:lineRule="auto"/>
        <w:ind w:firstLine="420"/>
      </w:pPr>
      <w:r>
        <w:rPr>
          <w:rFonts w:hint="eastAsia"/>
        </w:rPr>
        <w:t>c）环境参数数据；</w:t>
      </w:r>
    </w:p>
    <w:p w14:paraId="5CA4571A">
      <w:pPr>
        <w:pStyle w:val="56"/>
        <w:spacing w:line="360" w:lineRule="auto"/>
        <w:ind w:firstLine="420"/>
      </w:pPr>
      <w:r>
        <w:rPr>
          <w:rFonts w:hint="eastAsia"/>
        </w:rPr>
        <w:t>d）时间数据；</w:t>
      </w:r>
    </w:p>
    <w:p w14:paraId="27AE68BF">
      <w:pPr>
        <w:pStyle w:val="56"/>
        <w:spacing w:line="360" w:lineRule="auto"/>
        <w:ind w:firstLine="420"/>
      </w:pPr>
      <w:r>
        <w:rPr>
          <w:rFonts w:hint="eastAsia"/>
        </w:rPr>
        <w:t>e）状态数据；</w:t>
      </w:r>
    </w:p>
    <w:p w14:paraId="68F53B3B">
      <w:pPr>
        <w:pStyle w:val="56"/>
        <w:spacing w:line="360" w:lineRule="auto"/>
        <w:ind w:firstLine="420"/>
      </w:pPr>
      <w:r>
        <w:rPr>
          <w:rFonts w:hint="eastAsia"/>
        </w:rPr>
        <w:t>f）控制操作数据；</w:t>
      </w:r>
    </w:p>
    <w:p w14:paraId="22EE2A17">
      <w:pPr>
        <w:pStyle w:val="56"/>
        <w:spacing w:line="360" w:lineRule="auto"/>
        <w:ind w:firstLine="420"/>
      </w:pPr>
      <w:r>
        <w:rPr>
          <w:rFonts w:hint="eastAsia"/>
        </w:rPr>
        <w:t>g）视频见证数据；</w:t>
      </w:r>
    </w:p>
    <w:p w14:paraId="09C55548">
      <w:pPr>
        <w:pStyle w:val="56"/>
        <w:spacing w:line="360" w:lineRule="auto"/>
        <w:ind w:firstLine="420"/>
      </w:pPr>
      <w:r>
        <w:rPr>
          <w:rFonts w:hint="eastAsia"/>
        </w:rPr>
        <w:t>h）系统日志数据。</w:t>
      </w:r>
    </w:p>
    <w:p w14:paraId="37CF28CC">
      <w:pPr>
        <w:pStyle w:val="164"/>
        <w:spacing w:line="360" w:lineRule="auto"/>
      </w:pPr>
      <w:r>
        <w:rPr>
          <w:rFonts w:hint="eastAsia"/>
        </w:rPr>
        <w:t>数据采集应与校准任务、测点位置和时间顺序保持一一对应。</w:t>
      </w:r>
    </w:p>
    <w:p w14:paraId="05B70693">
      <w:pPr>
        <w:pStyle w:val="164"/>
        <w:spacing w:line="360" w:lineRule="auto"/>
      </w:pPr>
      <w:r>
        <w:rPr>
          <w:rFonts w:hint="eastAsia"/>
        </w:rPr>
        <w:t>未完成必要数据采集的，不得进入正式结果处理阶段。</w:t>
      </w:r>
    </w:p>
    <w:p w14:paraId="348411AB">
      <w:pPr>
        <w:pStyle w:val="65"/>
        <w:spacing w:before="120" w:after="120" w:line="360" w:lineRule="auto"/>
      </w:pPr>
      <w:r>
        <w:rPr>
          <w:rFonts w:hint="eastAsia"/>
        </w:rPr>
        <w:t>采样要求</w:t>
      </w:r>
    </w:p>
    <w:p w14:paraId="1A8AEF97">
      <w:pPr>
        <w:pStyle w:val="164"/>
        <w:spacing w:line="360" w:lineRule="auto"/>
      </w:pPr>
      <w:r>
        <w:rPr>
          <w:rFonts w:hint="eastAsia"/>
        </w:rPr>
        <w:t>采样频率、采样时间和采样点数量应满足校准方法要求。</w:t>
      </w:r>
    </w:p>
    <w:p w14:paraId="74A1437D">
      <w:pPr>
        <w:pStyle w:val="164"/>
        <w:spacing w:line="360" w:lineRule="auto"/>
      </w:pPr>
      <w:r>
        <w:rPr>
          <w:rFonts w:hint="eastAsia"/>
        </w:rPr>
        <w:t>对稳定性要求高的测点，应在读数稳定后采集。</w:t>
      </w:r>
    </w:p>
    <w:p w14:paraId="4A005D17">
      <w:pPr>
        <w:pStyle w:val="164"/>
        <w:spacing w:line="360" w:lineRule="auto"/>
      </w:pPr>
      <w:r>
        <w:rPr>
          <w:rFonts w:hint="eastAsia"/>
        </w:rPr>
        <w:t>对动态工况测点，应明确采样窗口、触发方式和判定依据。</w:t>
      </w:r>
    </w:p>
    <w:p w14:paraId="1FC6737B">
      <w:pPr>
        <w:pStyle w:val="164"/>
        <w:spacing w:line="360" w:lineRule="auto"/>
      </w:pPr>
      <w:r>
        <w:rPr>
          <w:rFonts w:hint="eastAsia"/>
        </w:rPr>
        <w:t>采样过程中发现明显漂移、跳变、失真或者缺值的，应立即标识并复核。</w:t>
      </w:r>
    </w:p>
    <w:p w14:paraId="5A9DD39A">
      <w:pPr>
        <w:pStyle w:val="65"/>
        <w:spacing w:before="120" w:after="120" w:line="360" w:lineRule="auto"/>
      </w:pPr>
      <w:r>
        <w:rPr>
          <w:rFonts w:hint="eastAsia"/>
        </w:rPr>
        <w:t>多点和重复采集要求</w:t>
      </w:r>
    </w:p>
    <w:p w14:paraId="68A9A00E">
      <w:pPr>
        <w:pStyle w:val="164"/>
        <w:spacing w:line="360" w:lineRule="auto"/>
      </w:pPr>
      <w:r>
        <w:rPr>
          <w:rFonts w:hint="eastAsia"/>
        </w:rPr>
        <w:t>对多个量程、多点分布或者关键点位任务，应按既定顺序逐点采集。</w:t>
      </w:r>
    </w:p>
    <w:p w14:paraId="71658DEB">
      <w:pPr>
        <w:pStyle w:val="164"/>
        <w:spacing w:line="360" w:lineRule="auto"/>
      </w:pPr>
      <w:r>
        <w:rPr>
          <w:rFonts w:hint="eastAsia"/>
        </w:rPr>
        <w:t>对关键点位宜实施重复采集。</w:t>
      </w:r>
    </w:p>
    <w:p w14:paraId="5996FE49">
      <w:pPr>
        <w:pStyle w:val="164"/>
        <w:spacing w:line="360" w:lineRule="auto"/>
      </w:pPr>
      <w:r>
        <w:rPr>
          <w:rFonts w:hint="eastAsia"/>
        </w:rPr>
        <w:t>重复采集结果差异超出允许范围时，应分析原因并决定重测或者中止。</w:t>
      </w:r>
    </w:p>
    <w:p w14:paraId="2AAAAB50">
      <w:pPr>
        <w:pStyle w:val="105"/>
        <w:spacing w:before="120" w:after="120" w:line="360" w:lineRule="auto"/>
      </w:pPr>
      <w:r>
        <w:rPr>
          <w:rFonts w:hint="eastAsia"/>
        </w:rPr>
        <w:t>原始数据管理要求</w:t>
      </w:r>
    </w:p>
    <w:p w14:paraId="4EA60165">
      <w:pPr>
        <w:pStyle w:val="65"/>
        <w:spacing w:before="120" w:after="120" w:line="360" w:lineRule="auto"/>
      </w:pPr>
      <w:r>
        <w:rPr>
          <w:rFonts w:hint="eastAsia"/>
        </w:rPr>
        <w:t>一般要求</w:t>
      </w:r>
    </w:p>
    <w:p w14:paraId="2962EC9B">
      <w:pPr>
        <w:pStyle w:val="164"/>
        <w:spacing w:line="360" w:lineRule="auto"/>
      </w:pPr>
      <w:r>
        <w:rPr>
          <w:rFonts w:hint="eastAsia"/>
        </w:rPr>
        <w:t>原始校准数据应实时记录并固化保存。</w:t>
      </w:r>
    </w:p>
    <w:p w14:paraId="6B9A4428">
      <w:pPr>
        <w:pStyle w:val="164"/>
        <w:spacing w:line="360" w:lineRule="auto"/>
      </w:pPr>
      <w:r>
        <w:rPr>
          <w:rFonts w:hint="eastAsia"/>
        </w:rPr>
        <w:t>原始数据应保留原始时间标签、任务标识、设备标识和状态信息。</w:t>
      </w:r>
    </w:p>
    <w:p w14:paraId="5E33922F">
      <w:pPr>
        <w:pStyle w:val="164"/>
        <w:spacing w:line="360" w:lineRule="auto"/>
      </w:pPr>
      <w:r>
        <w:rPr>
          <w:rFonts w:hint="eastAsia"/>
        </w:rPr>
        <w:t>原始数据应与环境记录、视频记录和日志记录相互关联。</w:t>
      </w:r>
    </w:p>
    <w:p w14:paraId="5F43D940">
      <w:pPr>
        <w:pStyle w:val="65"/>
        <w:spacing w:before="120" w:after="120" w:line="360" w:lineRule="auto"/>
      </w:pPr>
      <w:r>
        <w:rPr>
          <w:rFonts w:hint="eastAsia"/>
        </w:rPr>
        <w:t>固化与保护要求</w:t>
      </w:r>
    </w:p>
    <w:p w14:paraId="1690B751">
      <w:pPr>
        <w:pStyle w:val="164"/>
        <w:spacing w:line="360" w:lineRule="auto"/>
      </w:pPr>
      <w:r>
        <w:rPr>
          <w:rFonts w:hint="eastAsia"/>
        </w:rPr>
        <w:t>原始数据形成后，不得直接覆盖。</w:t>
      </w:r>
    </w:p>
    <w:p w14:paraId="3BF5CE1B">
      <w:pPr>
        <w:pStyle w:val="164"/>
        <w:spacing w:line="360" w:lineRule="auto"/>
      </w:pPr>
      <w:r>
        <w:rPr>
          <w:rFonts w:hint="eastAsia"/>
        </w:rPr>
        <w:t>需要修正、剔除或者标记异常值时，应保留原始值和处理痕迹。</w:t>
      </w:r>
    </w:p>
    <w:p w14:paraId="311C63D3">
      <w:pPr>
        <w:pStyle w:val="164"/>
        <w:spacing w:line="360" w:lineRule="auto"/>
      </w:pPr>
      <w:r>
        <w:rPr>
          <w:rFonts w:hint="eastAsia"/>
        </w:rPr>
        <w:t>原始数据文件应受权限控制，不得任意导出、修改或者删除。</w:t>
      </w:r>
    </w:p>
    <w:p w14:paraId="6FD3D574">
      <w:pPr>
        <w:pStyle w:val="105"/>
        <w:spacing w:before="120" w:after="120" w:line="360" w:lineRule="auto"/>
      </w:pPr>
      <w:r>
        <w:rPr>
          <w:rFonts w:hint="eastAsia"/>
        </w:rPr>
        <w:t>数据校核要求</w:t>
      </w:r>
    </w:p>
    <w:p w14:paraId="71BDB161">
      <w:pPr>
        <w:pStyle w:val="65"/>
        <w:spacing w:before="120" w:after="120" w:line="360" w:lineRule="auto"/>
      </w:pPr>
      <w:r>
        <w:rPr>
          <w:rFonts w:hint="eastAsia"/>
        </w:rPr>
        <w:t>一般要求</w:t>
      </w:r>
    </w:p>
    <w:p w14:paraId="7111D5D1">
      <w:pPr>
        <w:pStyle w:val="164"/>
        <w:spacing w:line="360" w:lineRule="auto"/>
      </w:pPr>
      <w:r>
        <w:rPr>
          <w:rFonts w:hint="eastAsia"/>
        </w:rPr>
        <w:t>正式结果处理前，应对采集数据进行校核。</w:t>
      </w:r>
    </w:p>
    <w:p w14:paraId="6685599A">
      <w:pPr>
        <w:pStyle w:val="164"/>
        <w:spacing w:line="360" w:lineRule="auto"/>
      </w:pPr>
      <w:r>
        <w:rPr>
          <w:rFonts w:hint="eastAsia"/>
        </w:rPr>
        <w:t>数据校核应包括完整性校核、一致性校核、合理性校核和对应性校核。</w:t>
      </w:r>
    </w:p>
    <w:p w14:paraId="2A73C9A4">
      <w:pPr>
        <w:pStyle w:val="65"/>
        <w:spacing w:before="120" w:after="120" w:line="360" w:lineRule="auto"/>
      </w:pPr>
      <w:r>
        <w:rPr>
          <w:rFonts w:hint="eastAsia"/>
        </w:rPr>
        <w:t>校核内容</w:t>
      </w:r>
    </w:p>
    <w:p w14:paraId="4CEF2784">
      <w:pPr>
        <w:pStyle w:val="164"/>
        <w:spacing w:line="360" w:lineRule="auto"/>
      </w:pPr>
      <w:r>
        <w:rPr>
          <w:rFonts w:hint="eastAsia"/>
        </w:rPr>
        <w:t>数据校核宜至少包括下列内容：</w:t>
      </w:r>
    </w:p>
    <w:p w14:paraId="145A31F7">
      <w:pPr>
        <w:pStyle w:val="56"/>
        <w:spacing w:line="360" w:lineRule="auto"/>
        <w:ind w:firstLine="420"/>
      </w:pPr>
      <w:r>
        <w:rPr>
          <w:rFonts w:hint="eastAsia"/>
        </w:rPr>
        <w:t>a）测点数量是否齐全；</w:t>
      </w:r>
    </w:p>
    <w:p w14:paraId="633B93F0">
      <w:pPr>
        <w:pStyle w:val="56"/>
        <w:spacing w:line="360" w:lineRule="auto"/>
        <w:ind w:firstLine="420"/>
      </w:pPr>
      <w:r>
        <w:rPr>
          <w:rFonts w:hint="eastAsia"/>
        </w:rPr>
        <w:t>b）时间顺序是否正确；</w:t>
      </w:r>
    </w:p>
    <w:p w14:paraId="7FA75BC4">
      <w:pPr>
        <w:pStyle w:val="56"/>
        <w:spacing w:line="360" w:lineRule="auto"/>
        <w:ind w:firstLine="420"/>
      </w:pPr>
      <w:r>
        <w:rPr>
          <w:rFonts w:hint="eastAsia"/>
        </w:rPr>
        <w:t>c）标准器具和被校器具数据是否对应；</w:t>
      </w:r>
    </w:p>
    <w:p w14:paraId="52785887">
      <w:pPr>
        <w:pStyle w:val="56"/>
        <w:spacing w:line="360" w:lineRule="auto"/>
        <w:ind w:firstLine="420"/>
      </w:pPr>
      <w:r>
        <w:rPr>
          <w:rFonts w:hint="eastAsia"/>
        </w:rPr>
        <w:t>d）环境数据是否同步；</w:t>
      </w:r>
    </w:p>
    <w:p w14:paraId="6DE9034A">
      <w:pPr>
        <w:pStyle w:val="56"/>
        <w:spacing w:line="360" w:lineRule="auto"/>
        <w:ind w:firstLine="420"/>
      </w:pPr>
      <w:r>
        <w:rPr>
          <w:rFonts w:hint="eastAsia"/>
        </w:rPr>
        <w:t>e）日志是否完整；</w:t>
      </w:r>
    </w:p>
    <w:p w14:paraId="1F301C54">
      <w:pPr>
        <w:pStyle w:val="56"/>
        <w:spacing w:line="360" w:lineRule="auto"/>
        <w:ind w:firstLine="420"/>
      </w:pPr>
      <w:r>
        <w:rPr>
          <w:rFonts w:hint="eastAsia"/>
        </w:rPr>
        <w:t>f）异常标记是否明确；</w:t>
      </w:r>
    </w:p>
    <w:p w14:paraId="611FDB06">
      <w:pPr>
        <w:pStyle w:val="56"/>
        <w:spacing w:line="360" w:lineRule="auto"/>
        <w:ind w:firstLine="420"/>
      </w:pPr>
      <w:r>
        <w:rPr>
          <w:rFonts w:hint="eastAsia"/>
        </w:rPr>
        <w:t>g）数据单位和量程是否一致。</w:t>
      </w:r>
    </w:p>
    <w:p w14:paraId="29857337">
      <w:pPr>
        <w:pStyle w:val="164"/>
        <w:spacing w:line="360" w:lineRule="auto"/>
      </w:pPr>
      <w:r>
        <w:rPr>
          <w:rFonts w:hint="eastAsia"/>
        </w:rPr>
        <w:t>校核不通过的，不得直接计算正式结果。</w:t>
      </w:r>
    </w:p>
    <w:p w14:paraId="0E588549">
      <w:pPr>
        <w:pStyle w:val="105"/>
        <w:spacing w:before="120" w:after="120" w:line="360" w:lineRule="auto"/>
      </w:pPr>
      <w:r>
        <w:rPr>
          <w:rFonts w:hint="eastAsia"/>
        </w:rPr>
        <w:t>结果处理要求</w:t>
      </w:r>
    </w:p>
    <w:p w14:paraId="00470BF5">
      <w:pPr>
        <w:pStyle w:val="65"/>
        <w:spacing w:before="120" w:after="120" w:line="360" w:lineRule="auto"/>
      </w:pPr>
      <w:r>
        <w:rPr>
          <w:rFonts w:hint="eastAsia"/>
        </w:rPr>
        <w:t>一般要求</w:t>
      </w:r>
    </w:p>
    <w:p w14:paraId="2FC13BDC">
      <w:pPr>
        <w:pStyle w:val="164"/>
        <w:spacing w:line="360" w:lineRule="auto"/>
      </w:pPr>
      <w:r>
        <w:rPr>
          <w:rFonts w:hint="eastAsia"/>
        </w:rPr>
        <w:t>结果处理应依据确定的计算方法和判定规则进行。</w:t>
      </w:r>
    </w:p>
    <w:p w14:paraId="746BC6E3">
      <w:pPr>
        <w:pStyle w:val="164"/>
        <w:spacing w:line="360" w:lineRule="auto"/>
      </w:pPr>
      <w:r>
        <w:rPr>
          <w:rFonts w:hint="eastAsia"/>
        </w:rPr>
        <w:t>结果处理过程应可复核、可重现、可追溯。</w:t>
      </w:r>
    </w:p>
    <w:p w14:paraId="29829D2A">
      <w:pPr>
        <w:pStyle w:val="164"/>
        <w:spacing w:line="360" w:lineRule="auto"/>
      </w:pPr>
      <w:r>
        <w:rPr>
          <w:rFonts w:hint="eastAsia"/>
        </w:rPr>
        <w:t>参与结果处理的参数、修正值和判定阈值应来源明确、版本受控。</w:t>
      </w:r>
    </w:p>
    <w:p w14:paraId="6CA0D8CD">
      <w:pPr>
        <w:pStyle w:val="65"/>
        <w:spacing w:before="120" w:after="120" w:line="360" w:lineRule="auto"/>
      </w:pPr>
      <w:r>
        <w:rPr>
          <w:rFonts w:hint="eastAsia"/>
        </w:rPr>
        <w:t>计算要求</w:t>
      </w:r>
    </w:p>
    <w:p w14:paraId="26936BC5">
      <w:pPr>
        <w:pStyle w:val="164"/>
        <w:spacing w:line="360" w:lineRule="auto"/>
      </w:pPr>
      <w:r>
        <w:rPr>
          <w:rFonts w:hint="eastAsia"/>
        </w:rPr>
        <w:t>结果计算宜包括示值误差、重复性、稳定性、偏差、修正值或者校准系数等项目，具体按相应校准依据执行。</w:t>
      </w:r>
    </w:p>
    <w:p w14:paraId="359B8D02">
      <w:pPr>
        <w:pStyle w:val="164"/>
        <w:spacing w:line="360" w:lineRule="auto"/>
      </w:pPr>
      <w:r>
        <w:rPr>
          <w:rFonts w:hint="eastAsia"/>
        </w:rPr>
        <w:t>自动计算结果应经过规则校验。</w:t>
      </w:r>
    </w:p>
    <w:p w14:paraId="04ED4DA0">
      <w:pPr>
        <w:pStyle w:val="164"/>
        <w:spacing w:line="360" w:lineRule="auto"/>
      </w:pPr>
      <w:r>
        <w:rPr>
          <w:rFonts w:hint="eastAsia"/>
        </w:rPr>
        <w:t>对关键项目或者高风险任务，宜实施人工复核计算或者交叉复核。</w:t>
      </w:r>
    </w:p>
    <w:p w14:paraId="6B499F62">
      <w:pPr>
        <w:pStyle w:val="65"/>
        <w:spacing w:before="120" w:after="120" w:line="360" w:lineRule="auto"/>
      </w:pPr>
      <w:r>
        <w:rPr>
          <w:rFonts w:hint="eastAsia"/>
        </w:rPr>
        <w:t>判定要求</w:t>
      </w:r>
    </w:p>
    <w:p w14:paraId="47094A4E">
      <w:pPr>
        <w:pStyle w:val="164"/>
        <w:spacing w:line="360" w:lineRule="auto"/>
      </w:pPr>
      <w:r>
        <w:rPr>
          <w:rFonts w:hint="eastAsia"/>
        </w:rPr>
        <w:t>结果判定应依据相应校准依据或者任务要求实施。</w:t>
      </w:r>
    </w:p>
    <w:p w14:paraId="71696BDF">
      <w:pPr>
        <w:pStyle w:val="164"/>
        <w:spacing w:line="360" w:lineRule="auto"/>
      </w:pPr>
      <w:r>
        <w:rPr>
          <w:rFonts w:hint="eastAsia"/>
        </w:rPr>
        <w:t>判定前应确认数据完整、环境符合、过程有效和异常处置完成。</w:t>
      </w:r>
    </w:p>
    <w:p w14:paraId="10DA9149">
      <w:pPr>
        <w:pStyle w:val="164"/>
        <w:spacing w:line="360" w:lineRule="auto"/>
      </w:pPr>
      <w:r>
        <w:rPr>
          <w:rFonts w:hint="eastAsia"/>
        </w:rPr>
        <w:t>结论边界不清或者证据不充分时，不得强行输出明确合格或者不合格结论。</w:t>
      </w:r>
    </w:p>
    <w:p w14:paraId="13D1518C">
      <w:pPr>
        <w:pStyle w:val="105"/>
        <w:spacing w:before="120" w:after="120" w:line="360" w:lineRule="auto"/>
      </w:pPr>
      <w:r>
        <w:rPr>
          <w:rFonts w:hint="eastAsia"/>
        </w:rPr>
        <w:t>结果确认与输出要求</w:t>
      </w:r>
    </w:p>
    <w:p w14:paraId="3ED77EF6">
      <w:pPr>
        <w:pStyle w:val="65"/>
        <w:spacing w:before="120" w:after="120" w:line="360" w:lineRule="auto"/>
      </w:pPr>
      <w:r>
        <w:rPr>
          <w:rFonts w:hint="eastAsia"/>
        </w:rPr>
        <w:t>一般要求</w:t>
      </w:r>
    </w:p>
    <w:p w14:paraId="4E247053">
      <w:pPr>
        <w:pStyle w:val="164"/>
        <w:spacing w:line="360" w:lineRule="auto"/>
      </w:pPr>
      <w:r>
        <w:rPr>
          <w:rFonts w:hint="eastAsia"/>
        </w:rPr>
        <w:t>结果形成后，应进行结果确认。</w:t>
      </w:r>
    </w:p>
    <w:p w14:paraId="03736EBF">
      <w:pPr>
        <w:pStyle w:val="164"/>
        <w:spacing w:line="360" w:lineRule="auto"/>
      </w:pPr>
      <w:r>
        <w:rPr>
          <w:rFonts w:hint="eastAsia"/>
        </w:rPr>
        <w:t>结果确认应由实施人员和规定的复核人员完成；高风险任务可增加审核环节。</w:t>
      </w:r>
    </w:p>
    <w:p w14:paraId="19C9E841">
      <w:pPr>
        <w:pStyle w:val="164"/>
        <w:spacing w:line="360" w:lineRule="auto"/>
      </w:pPr>
      <w:r>
        <w:rPr>
          <w:rFonts w:hint="eastAsia"/>
        </w:rPr>
        <w:t>结果确认内容应至少包括数据来源、计算过程、判定依据、异常说明和证据完整性。</w:t>
      </w:r>
    </w:p>
    <w:p w14:paraId="31CED65F">
      <w:pPr>
        <w:pStyle w:val="65"/>
        <w:spacing w:before="120" w:after="120" w:line="360" w:lineRule="auto"/>
      </w:pPr>
      <w:r>
        <w:rPr>
          <w:rFonts w:hint="eastAsia"/>
        </w:rPr>
        <w:t>输出要求</w:t>
      </w:r>
    </w:p>
    <w:p w14:paraId="6E048721">
      <w:pPr>
        <w:pStyle w:val="164"/>
        <w:spacing w:line="360" w:lineRule="auto"/>
      </w:pPr>
      <w:r>
        <w:rPr>
          <w:rFonts w:hint="eastAsia"/>
        </w:rPr>
        <w:t>输出结果应明确任务编号、被校器具信息、校准项目、实施时间、环境条件、结果数据和结果结论。</w:t>
      </w:r>
    </w:p>
    <w:p w14:paraId="0BAFDEB5">
      <w:pPr>
        <w:pStyle w:val="164"/>
        <w:spacing w:line="360" w:lineRule="auto"/>
      </w:pPr>
      <w:r>
        <w:rPr>
          <w:rFonts w:hint="eastAsia"/>
        </w:rPr>
        <w:t>输出文件、记录或者证书应与原始数据、日志和视频证据建立关联关系。</w:t>
      </w:r>
    </w:p>
    <w:p w14:paraId="09646C64">
      <w:pPr>
        <w:pStyle w:val="164"/>
        <w:spacing w:line="360" w:lineRule="auto"/>
      </w:pPr>
      <w:r>
        <w:rPr>
          <w:rFonts w:hint="eastAsia"/>
        </w:rPr>
        <w:t>未经确认的中间结果、测试结果和异常中止结果，不得作为正式校准结果对外提供。</w:t>
      </w:r>
    </w:p>
    <w:p w14:paraId="245F665B">
      <w:pPr>
        <w:pStyle w:val="105"/>
        <w:spacing w:before="120" w:after="120" w:line="360" w:lineRule="auto"/>
      </w:pPr>
      <w:r>
        <w:rPr>
          <w:rFonts w:hint="eastAsia"/>
        </w:rPr>
        <w:t>异常识别要求</w:t>
      </w:r>
    </w:p>
    <w:p w14:paraId="295B7D67">
      <w:pPr>
        <w:pStyle w:val="65"/>
        <w:spacing w:before="120" w:after="120" w:line="360" w:lineRule="auto"/>
      </w:pPr>
      <w:r>
        <w:rPr>
          <w:rFonts w:hint="eastAsia"/>
        </w:rPr>
        <w:t>一般要求</w:t>
      </w:r>
    </w:p>
    <w:p w14:paraId="6E0C62C0">
      <w:pPr>
        <w:pStyle w:val="164"/>
        <w:spacing w:line="360" w:lineRule="auto"/>
      </w:pPr>
      <w:r>
        <w:rPr>
          <w:rFonts w:hint="eastAsia"/>
        </w:rPr>
        <w:t>远程校准过程中应对异常进行实时识别。</w:t>
      </w:r>
    </w:p>
    <w:p w14:paraId="5430C219">
      <w:pPr>
        <w:pStyle w:val="164"/>
        <w:spacing w:line="360" w:lineRule="auto"/>
      </w:pPr>
      <w:r>
        <w:rPr>
          <w:rFonts w:hint="eastAsia"/>
        </w:rPr>
        <w:t>异常识别可通过系统告警、人工观察、数据校核和视频见证等方式实施。</w:t>
      </w:r>
    </w:p>
    <w:p w14:paraId="3E66781D">
      <w:pPr>
        <w:pStyle w:val="65"/>
        <w:spacing w:before="120" w:after="120" w:line="360" w:lineRule="auto"/>
      </w:pPr>
      <w:r>
        <w:rPr>
          <w:rFonts w:hint="eastAsia"/>
        </w:rPr>
        <w:t>异常类型</w:t>
      </w:r>
    </w:p>
    <w:p w14:paraId="2A541C3D">
      <w:pPr>
        <w:pStyle w:val="56"/>
        <w:spacing w:line="360" w:lineRule="auto"/>
        <w:ind w:firstLine="420"/>
      </w:pPr>
      <w:r>
        <w:rPr>
          <w:rFonts w:hint="eastAsia"/>
        </w:rPr>
        <w:t>远程校准异常宜包括下列类型：</w:t>
      </w:r>
    </w:p>
    <w:p w14:paraId="5EC4845E">
      <w:pPr>
        <w:pStyle w:val="56"/>
        <w:spacing w:line="360" w:lineRule="auto"/>
        <w:ind w:firstLine="420"/>
      </w:pPr>
      <w:r>
        <w:rPr>
          <w:rFonts w:hint="eastAsia"/>
        </w:rPr>
        <w:t>a）链路异常；</w:t>
      </w:r>
    </w:p>
    <w:p w14:paraId="34170508">
      <w:pPr>
        <w:pStyle w:val="56"/>
        <w:spacing w:line="360" w:lineRule="auto"/>
        <w:ind w:firstLine="420"/>
      </w:pPr>
      <w:r>
        <w:rPr>
          <w:rFonts w:hint="eastAsia"/>
        </w:rPr>
        <w:t>b）设备异常；</w:t>
      </w:r>
    </w:p>
    <w:p w14:paraId="7228D98C">
      <w:pPr>
        <w:pStyle w:val="56"/>
        <w:spacing w:line="360" w:lineRule="auto"/>
        <w:ind w:firstLine="420"/>
      </w:pPr>
      <w:r>
        <w:rPr>
          <w:rFonts w:hint="eastAsia"/>
        </w:rPr>
        <w:t>c）环境异常；</w:t>
      </w:r>
    </w:p>
    <w:p w14:paraId="242EC14E">
      <w:pPr>
        <w:pStyle w:val="56"/>
        <w:spacing w:line="360" w:lineRule="auto"/>
        <w:ind w:firstLine="420"/>
      </w:pPr>
      <w:r>
        <w:rPr>
          <w:rFonts w:hint="eastAsia"/>
        </w:rPr>
        <w:t>d）数据异常；</w:t>
      </w:r>
    </w:p>
    <w:p w14:paraId="30BA811D">
      <w:pPr>
        <w:pStyle w:val="56"/>
        <w:spacing w:line="360" w:lineRule="auto"/>
        <w:ind w:firstLine="420"/>
      </w:pPr>
      <w:r>
        <w:rPr>
          <w:rFonts w:hint="eastAsia"/>
        </w:rPr>
        <w:t>e）时间同步异常；</w:t>
      </w:r>
    </w:p>
    <w:p w14:paraId="7DF7FCB7">
      <w:pPr>
        <w:pStyle w:val="56"/>
        <w:spacing w:line="360" w:lineRule="auto"/>
        <w:ind w:firstLine="420"/>
      </w:pPr>
      <w:r>
        <w:rPr>
          <w:rFonts w:hint="eastAsia"/>
        </w:rPr>
        <w:t>f）权限异常；</w:t>
      </w:r>
    </w:p>
    <w:p w14:paraId="2DA6E7C0">
      <w:pPr>
        <w:pStyle w:val="56"/>
        <w:spacing w:line="360" w:lineRule="auto"/>
        <w:ind w:firstLine="420"/>
      </w:pPr>
      <w:r>
        <w:rPr>
          <w:rFonts w:hint="eastAsia"/>
        </w:rPr>
        <w:t>g）视频见证异常；</w:t>
      </w:r>
    </w:p>
    <w:p w14:paraId="6CD6264B">
      <w:pPr>
        <w:pStyle w:val="56"/>
        <w:spacing w:line="360" w:lineRule="auto"/>
        <w:ind w:firstLine="420"/>
      </w:pPr>
      <w:r>
        <w:rPr>
          <w:rFonts w:hint="eastAsia"/>
        </w:rPr>
        <w:t>h）结果处理异常。</w:t>
      </w:r>
    </w:p>
    <w:p w14:paraId="5DDD6B15">
      <w:pPr>
        <w:pStyle w:val="105"/>
        <w:spacing w:before="120" w:after="120" w:line="360" w:lineRule="auto"/>
      </w:pPr>
      <w:r>
        <w:rPr>
          <w:rFonts w:hint="eastAsia"/>
        </w:rPr>
        <w:t>异常处置要求</w:t>
      </w:r>
    </w:p>
    <w:p w14:paraId="7112B037">
      <w:pPr>
        <w:pStyle w:val="65"/>
        <w:spacing w:before="120" w:after="120" w:line="360" w:lineRule="auto"/>
      </w:pPr>
      <w:r>
        <w:rPr>
          <w:rFonts w:hint="eastAsia"/>
        </w:rPr>
        <w:t>一般要求</w:t>
      </w:r>
    </w:p>
    <w:p w14:paraId="7B931EB7">
      <w:pPr>
        <w:pStyle w:val="164"/>
        <w:spacing w:line="360" w:lineRule="auto"/>
      </w:pPr>
      <w:r>
        <w:rPr>
          <w:rFonts w:hint="eastAsia"/>
        </w:rPr>
        <w:t>发生异常时，应立即判断异常性质、影响范围和对结果有效性的影响程度。</w:t>
      </w:r>
    </w:p>
    <w:p w14:paraId="7ED751B2">
      <w:pPr>
        <w:pStyle w:val="164"/>
        <w:spacing w:line="360" w:lineRule="auto"/>
      </w:pPr>
      <w:r>
        <w:rPr>
          <w:rFonts w:hint="eastAsia"/>
        </w:rPr>
        <w:t>异常处置应根据异常等级采取继续观察、暂停任务、局部重测、整体重测或者中止任务等措施。</w:t>
      </w:r>
    </w:p>
    <w:p w14:paraId="59E9C0BC">
      <w:pPr>
        <w:pStyle w:val="164"/>
        <w:spacing w:line="360" w:lineRule="auto"/>
      </w:pPr>
      <w:r>
        <w:rPr>
          <w:rFonts w:hint="eastAsia"/>
        </w:rPr>
        <w:t>异常处置过程应形成记录。</w:t>
      </w:r>
    </w:p>
    <w:p w14:paraId="7DA6018B">
      <w:pPr>
        <w:pStyle w:val="65"/>
        <w:spacing w:before="120" w:after="120" w:line="360" w:lineRule="auto"/>
      </w:pPr>
      <w:r>
        <w:rPr>
          <w:rFonts w:hint="eastAsia"/>
        </w:rPr>
        <w:t>处置程序</w:t>
      </w:r>
    </w:p>
    <w:p w14:paraId="71312F72">
      <w:pPr>
        <w:pStyle w:val="164"/>
        <w:spacing w:line="360" w:lineRule="auto"/>
      </w:pPr>
      <w:r>
        <w:rPr>
          <w:rFonts w:hint="eastAsia"/>
        </w:rPr>
        <w:t>异常处置宜按下列程序进行：</w:t>
      </w:r>
    </w:p>
    <w:p w14:paraId="4D5C719C">
      <w:pPr>
        <w:pStyle w:val="56"/>
        <w:spacing w:line="360" w:lineRule="auto"/>
        <w:ind w:firstLine="420"/>
      </w:pPr>
      <w:r>
        <w:rPr>
          <w:rFonts w:hint="eastAsia"/>
        </w:rPr>
        <w:t>a）异常发现；</w:t>
      </w:r>
    </w:p>
    <w:p w14:paraId="6E7F403E">
      <w:pPr>
        <w:pStyle w:val="56"/>
        <w:spacing w:line="360" w:lineRule="auto"/>
        <w:ind w:firstLine="420"/>
      </w:pPr>
      <w:r>
        <w:rPr>
          <w:rFonts w:hint="eastAsia"/>
        </w:rPr>
        <w:t>b）异常标记；</w:t>
      </w:r>
    </w:p>
    <w:p w14:paraId="22D06ACF">
      <w:pPr>
        <w:pStyle w:val="56"/>
        <w:spacing w:line="360" w:lineRule="auto"/>
        <w:ind w:firstLine="420"/>
      </w:pPr>
      <w:r>
        <w:rPr>
          <w:rFonts w:hint="eastAsia"/>
        </w:rPr>
        <w:t>c）影响判断；</w:t>
      </w:r>
    </w:p>
    <w:p w14:paraId="309E4A69">
      <w:pPr>
        <w:pStyle w:val="56"/>
        <w:spacing w:line="360" w:lineRule="auto"/>
        <w:ind w:firstLine="420"/>
      </w:pPr>
      <w:r>
        <w:rPr>
          <w:rFonts w:hint="eastAsia"/>
        </w:rPr>
        <w:t>d）临时控制；</w:t>
      </w:r>
    </w:p>
    <w:p w14:paraId="4399755C">
      <w:pPr>
        <w:pStyle w:val="56"/>
        <w:spacing w:line="360" w:lineRule="auto"/>
        <w:ind w:firstLine="420"/>
      </w:pPr>
      <w:r>
        <w:rPr>
          <w:rFonts w:hint="eastAsia"/>
        </w:rPr>
        <w:t>e）原因分析；</w:t>
      </w:r>
    </w:p>
    <w:p w14:paraId="713834BE">
      <w:pPr>
        <w:pStyle w:val="56"/>
        <w:spacing w:line="360" w:lineRule="auto"/>
        <w:ind w:firstLine="420"/>
      </w:pPr>
      <w:r>
        <w:rPr>
          <w:rFonts w:hint="eastAsia"/>
        </w:rPr>
        <w:t>f）处置实施；</w:t>
      </w:r>
    </w:p>
    <w:p w14:paraId="144C5390">
      <w:pPr>
        <w:pStyle w:val="56"/>
        <w:spacing w:line="360" w:lineRule="auto"/>
        <w:ind w:firstLine="420"/>
      </w:pPr>
      <w:r>
        <w:rPr>
          <w:rFonts w:hint="eastAsia"/>
        </w:rPr>
        <w:t>g）结果复核；</w:t>
      </w:r>
    </w:p>
    <w:p w14:paraId="281D19A3">
      <w:pPr>
        <w:pStyle w:val="56"/>
        <w:spacing w:line="360" w:lineRule="auto"/>
        <w:ind w:firstLine="420"/>
      </w:pPr>
      <w:r>
        <w:rPr>
          <w:rFonts w:hint="eastAsia"/>
        </w:rPr>
        <w:t>h）记录归档。</w:t>
      </w:r>
    </w:p>
    <w:p w14:paraId="2162F768">
      <w:pPr>
        <w:pStyle w:val="164"/>
        <w:spacing w:line="360" w:lineRule="auto"/>
      </w:pPr>
      <w:r>
        <w:rPr>
          <w:rFonts w:hint="eastAsia"/>
        </w:rPr>
        <w:t>异常原因未查明前，不得擅自删除异常数据或者继续完成结果确认。</w:t>
      </w:r>
    </w:p>
    <w:p w14:paraId="3A4A46BB">
      <w:pPr>
        <w:pStyle w:val="65"/>
        <w:spacing w:before="120" w:after="120" w:line="360" w:lineRule="auto"/>
      </w:pPr>
      <w:r>
        <w:rPr>
          <w:rFonts w:hint="eastAsia"/>
        </w:rPr>
        <w:t>常见异常处置要求</w:t>
      </w:r>
    </w:p>
    <w:p w14:paraId="5E0577A2">
      <w:pPr>
        <w:pStyle w:val="164"/>
        <w:spacing w:line="360" w:lineRule="auto"/>
      </w:pPr>
      <w:r>
        <w:rPr>
          <w:rFonts w:hint="eastAsia"/>
        </w:rPr>
        <w:t>链路短时中断且关键数据未丢失时，可在满足规则条件下恢复任务，并记录恢复时间和影响范围。</w:t>
      </w:r>
    </w:p>
    <w:p w14:paraId="2368EED9">
      <w:pPr>
        <w:pStyle w:val="164"/>
        <w:spacing w:line="360" w:lineRule="auto"/>
      </w:pPr>
      <w:r>
        <w:rPr>
          <w:rFonts w:hint="eastAsia"/>
        </w:rPr>
        <w:t>链路中断导致关键数据缺失、关键视频缺失或者控制失效时，应中止任务。</w:t>
      </w:r>
    </w:p>
    <w:p w14:paraId="0A0B4610">
      <w:pPr>
        <w:pStyle w:val="164"/>
        <w:spacing w:line="360" w:lineRule="auto"/>
      </w:pPr>
      <w:r>
        <w:rPr>
          <w:rFonts w:hint="eastAsia"/>
        </w:rPr>
        <w:t>环境参数短时波动超限时，应暂停任务并待条件恢复后重新确认。</w:t>
      </w:r>
    </w:p>
    <w:p w14:paraId="1BA14144">
      <w:pPr>
        <w:pStyle w:val="164"/>
        <w:spacing w:line="360" w:lineRule="auto"/>
      </w:pPr>
      <w:r>
        <w:rPr>
          <w:rFonts w:hint="eastAsia"/>
        </w:rPr>
        <w:t>标准器具故障或者被校器具故障时，应立即停止相关采集。</w:t>
      </w:r>
    </w:p>
    <w:p w14:paraId="17FD7A8E">
      <w:pPr>
        <w:pStyle w:val="164"/>
        <w:spacing w:line="360" w:lineRule="auto"/>
      </w:pPr>
      <w:r>
        <w:rPr>
          <w:rFonts w:hint="eastAsia"/>
        </w:rPr>
        <w:t>数据出现明显跳变、逻辑冲突或者重复异常时，应先校核通道、状态和时间同步，再决定是否重测。</w:t>
      </w:r>
    </w:p>
    <w:p w14:paraId="02D6D86F">
      <w:pPr>
        <w:pStyle w:val="105"/>
        <w:spacing w:before="120" w:after="120" w:line="360" w:lineRule="auto"/>
      </w:pPr>
      <w:r>
        <w:rPr>
          <w:rFonts w:hint="eastAsia"/>
        </w:rPr>
        <w:t>常见异常与处置要点</w:t>
      </w:r>
    </w:p>
    <w:p w14:paraId="4FA482A1">
      <w:pPr>
        <w:pStyle w:val="56"/>
        <w:spacing w:line="360" w:lineRule="auto"/>
        <w:ind w:firstLine="420"/>
      </w:pPr>
      <w:r>
        <w:rPr>
          <w:rFonts w:hint="eastAsia"/>
        </w:rPr>
        <w:t>常见异常及其处置要点见表2。表2给出了远程校准常见异常及处置要点。</w:t>
      </w:r>
    </w:p>
    <w:p w14:paraId="74A5360E">
      <w:pPr>
        <w:pStyle w:val="112"/>
        <w:spacing w:before="120" w:after="120" w:line="360" w:lineRule="auto"/>
      </w:pPr>
      <w:r>
        <w:rPr>
          <w:rFonts w:hint="eastAsia"/>
        </w:rPr>
        <w:t>远程校准常见异常及处置要点表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3261"/>
        <w:gridCol w:w="4382"/>
      </w:tblGrid>
      <w:tr w14:paraId="4F110B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691" w:type="dxa"/>
            <w:tcBorders>
              <w:top w:val="single" w:color="auto" w:sz="8" w:space="0"/>
              <w:bottom w:val="single" w:color="auto" w:sz="8" w:space="0"/>
            </w:tcBorders>
          </w:tcPr>
          <w:p w14:paraId="3E5E7141">
            <w:pPr>
              <w:pStyle w:val="178"/>
            </w:pPr>
            <w:r>
              <w:rPr>
                <w:rFonts w:hint="eastAsia"/>
              </w:rPr>
              <w:t>异常类型</w:t>
            </w:r>
          </w:p>
        </w:tc>
        <w:tc>
          <w:tcPr>
            <w:tcW w:w="3261" w:type="dxa"/>
            <w:tcBorders>
              <w:top w:val="single" w:color="auto" w:sz="8" w:space="0"/>
              <w:bottom w:val="single" w:color="auto" w:sz="8" w:space="0"/>
            </w:tcBorders>
          </w:tcPr>
          <w:p w14:paraId="482B904C">
            <w:pPr>
              <w:pStyle w:val="178"/>
            </w:pPr>
            <w:r>
              <w:rPr>
                <w:rFonts w:hint="eastAsia"/>
              </w:rPr>
              <w:t>典型表现</w:t>
            </w:r>
          </w:p>
        </w:tc>
        <w:tc>
          <w:tcPr>
            <w:tcW w:w="4382" w:type="dxa"/>
            <w:tcBorders>
              <w:top w:val="single" w:color="auto" w:sz="8" w:space="0"/>
              <w:bottom w:val="single" w:color="auto" w:sz="8" w:space="0"/>
            </w:tcBorders>
          </w:tcPr>
          <w:p w14:paraId="4A4B8A9A">
            <w:pPr>
              <w:pStyle w:val="178"/>
            </w:pPr>
            <w:r>
              <w:rPr>
                <w:rFonts w:hint="eastAsia"/>
              </w:rPr>
              <w:t>处置要点</w:t>
            </w:r>
          </w:p>
        </w:tc>
      </w:tr>
      <w:tr w14:paraId="392A6E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tcPr>
          <w:p w14:paraId="5BEDCB52">
            <w:pPr>
              <w:pStyle w:val="178"/>
            </w:pPr>
            <w:r>
              <w:rPr>
                <w:rFonts w:hint="eastAsia"/>
              </w:rPr>
              <w:t>链路异常</w:t>
            </w:r>
          </w:p>
        </w:tc>
        <w:tc>
          <w:tcPr>
            <w:tcW w:w="3261" w:type="dxa"/>
            <w:tcBorders>
              <w:top w:val="single" w:color="auto" w:sz="8" w:space="0"/>
            </w:tcBorders>
          </w:tcPr>
          <w:p w14:paraId="4C9DEF24">
            <w:pPr>
              <w:pStyle w:val="178"/>
            </w:pPr>
            <w:r>
              <w:rPr>
                <w:rFonts w:hint="eastAsia"/>
              </w:rPr>
              <w:t>中断、延迟、丢包</w:t>
            </w:r>
          </w:p>
        </w:tc>
        <w:tc>
          <w:tcPr>
            <w:tcW w:w="4382" w:type="dxa"/>
            <w:tcBorders>
              <w:top w:val="single" w:color="auto" w:sz="8" w:space="0"/>
            </w:tcBorders>
          </w:tcPr>
          <w:p w14:paraId="61EC1690">
            <w:pPr>
              <w:pStyle w:val="178"/>
            </w:pPr>
            <w:r>
              <w:rPr>
                <w:rFonts w:hint="eastAsia"/>
              </w:rPr>
              <w:t>先判定影响范围，再决定恢复、重测或中止</w:t>
            </w:r>
          </w:p>
        </w:tc>
      </w:tr>
      <w:tr w14:paraId="438F53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2BCBC29C">
            <w:pPr>
              <w:pStyle w:val="178"/>
            </w:pPr>
            <w:r>
              <w:rPr>
                <w:rFonts w:hint="eastAsia"/>
              </w:rPr>
              <w:t>视频异常</w:t>
            </w:r>
          </w:p>
        </w:tc>
        <w:tc>
          <w:tcPr>
            <w:tcW w:w="3261" w:type="dxa"/>
          </w:tcPr>
          <w:p w14:paraId="42F599C3">
            <w:pPr>
              <w:pStyle w:val="178"/>
            </w:pPr>
            <w:r>
              <w:rPr>
                <w:rFonts w:hint="eastAsia"/>
              </w:rPr>
              <w:t>画面中断、关键区域不可见</w:t>
            </w:r>
          </w:p>
        </w:tc>
        <w:tc>
          <w:tcPr>
            <w:tcW w:w="4382" w:type="dxa"/>
          </w:tcPr>
          <w:p w14:paraId="6318A56E">
            <w:pPr>
              <w:pStyle w:val="178"/>
            </w:pPr>
            <w:r>
              <w:rPr>
                <w:rFonts w:hint="eastAsia"/>
              </w:rPr>
              <w:t>关键环节无法补证时应中止任务</w:t>
            </w:r>
          </w:p>
        </w:tc>
      </w:tr>
      <w:tr w14:paraId="60A0E1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6C8D41C5">
            <w:pPr>
              <w:pStyle w:val="178"/>
            </w:pPr>
            <w:r>
              <w:rPr>
                <w:rFonts w:hint="eastAsia"/>
              </w:rPr>
              <w:t>环境异常</w:t>
            </w:r>
          </w:p>
        </w:tc>
        <w:tc>
          <w:tcPr>
            <w:tcW w:w="3261" w:type="dxa"/>
          </w:tcPr>
          <w:p w14:paraId="02210BEB">
            <w:pPr>
              <w:pStyle w:val="178"/>
            </w:pPr>
            <w:r>
              <w:rPr>
                <w:rFonts w:hint="eastAsia"/>
              </w:rPr>
              <w:t>温湿度超限、供电波动</w:t>
            </w:r>
          </w:p>
        </w:tc>
        <w:tc>
          <w:tcPr>
            <w:tcW w:w="4382" w:type="dxa"/>
          </w:tcPr>
          <w:p w14:paraId="48D2F8D5">
            <w:pPr>
              <w:pStyle w:val="178"/>
            </w:pPr>
            <w:r>
              <w:rPr>
                <w:rFonts w:hint="eastAsia"/>
              </w:rPr>
              <w:t>暂停任务，恢复后重新确认环境</w:t>
            </w:r>
          </w:p>
        </w:tc>
      </w:tr>
      <w:tr w14:paraId="3B4042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16FD2E64">
            <w:pPr>
              <w:pStyle w:val="178"/>
            </w:pPr>
            <w:r>
              <w:rPr>
                <w:rFonts w:hint="eastAsia"/>
              </w:rPr>
              <w:t>标准器具异常</w:t>
            </w:r>
          </w:p>
        </w:tc>
        <w:tc>
          <w:tcPr>
            <w:tcW w:w="3261" w:type="dxa"/>
          </w:tcPr>
          <w:p w14:paraId="09E975B1">
            <w:pPr>
              <w:pStyle w:val="178"/>
            </w:pPr>
            <w:r>
              <w:rPr>
                <w:rFonts w:hint="eastAsia"/>
              </w:rPr>
              <w:t>读数异常、状态报警</w:t>
            </w:r>
          </w:p>
        </w:tc>
        <w:tc>
          <w:tcPr>
            <w:tcW w:w="4382" w:type="dxa"/>
          </w:tcPr>
          <w:p w14:paraId="5C54C617">
            <w:pPr>
              <w:pStyle w:val="178"/>
            </w:pPr>
            <w:r>
              <w:rPr>
                <w:rFonts w:hint="eastAsia"/>
              </w:rPr>
              <w:t>停止采集，更换或排除故障后重启</w:t>
            </w:r>
          </w:p>
        </w:tc>
      </w:tr>
      <w:tr w14:paraId="3F8A7A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2B41939D">
            <w:pPr>
              <w:pStyle w:val="178"/>
            </w:pPr>
            <w:r>
              <w:rPr>
                <w:rFonts w:hint="eastAsia"/>
              </w:rPr>
              <w:t>被校器具异常</w:t>
            </w:r>
          </w:p>
        </w:tc>
        <w:tc>
          <w:tcPr>
            <w:tcW w:w="3261" w:type="dxa"/>
          </w:tcPr>
          <w:p w14:paraId="0DC8A81C">
            <w:pPr>
              <w:pStyle w:val="178"/>
            </w:pPr>
            <w:r>
              <w:rPr>
                <w:rFonts w:hint="eastAsia"/>
              </w:rPr>
              <w:t>无响应、跳变、报警</w:t>
            </w:r>
          </w:p>
        </w:tc>
        <w:tc>
          <w:tcPr>
            <w:tcW w:w="4382" w:type="dxa"/>
          </w:tcPr>
          <w:p w14:paraId="65E5E4E1">
            <w:pPr>
              <w:pStyle w:val="178"/>
            </w:pPr>
            <w:r>
              <w:rPr>
                <w:rFonts w:hint="eastAsia"/>
              </w:rPr>
              <w:t>先确认器具状态，再决定重测或中止</w:t>
            </w:r>
          </w:p>
        </w:tc>
      </w:tr>
      <w:tr w14:paraId="23D64B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3E7B4D01">
            <w:pPr>
              <w:pStyle w:val="178"/>
            </w:pPr>
            <w:r>
              <w:rPr>
                <w:rFonts w:hint="eastAsia"/>
              </w:rPr>
              <w:t>数据异常</w:t>
            </w:r>
          </w:p>
        </w:tc>
        <w:tc>
          <w:tcPr>
            <w:tcW w:w="3261" w:type="dxa"/>
          </w:tcPr>
          <w:p w14:paraId="1B45E81F">
            <w:pPr>
              <w:pStyle w:val="178"/>
            </w:pPr>
            <w:r>
              <w:rPr>
                <w:rFonts w:hint="eastAsia"/>
              </w:rPr>
              <w:t>缺值、错位、重复、冲突</w:t>
            </w:r>
          </w:p>
        </w:tc>
        <w:tc>
          <w:tcPr>
            <w:tcW w:w="4382" w:type="dxa"/>
          </w:tcPr>
          <w:p w14:paraId="63E6AF0C">
            <w:pPr>
              <w:pStyle w:val="178"/>
            </w:pPr>
            <w:r>
              <w:rPr>
                <w:rFonts w:hint="eastAsia"/>
              </w:rPr>
              <w:t>校核时间、通道和日志，必要时重采</w:t>
            </w:r>
          </w:p>
        </w:tc>
      </w:tr>
      <w:tr w14:paraId="79AE5A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6F204B62">
            <w:pPr>
              <w:pStyle w:val="178"/>
            </w:pPr>
            <w:r>
              <w:rPr>
                <w:rFonts w:hint="eastAsia"/>
              </w:rPr>
              <w:t>同步异常</w:t>
            </w:r>
          </w:p>
        </w:tc>
        <w:tc>
          <w:tcPr>
            <w:tcW w:w="3261" w:type="dxa"/>
          </w:tcPr>
          <w:p w14:paraId="44F8DE05">
            <w:pPr>
              <w:pStyle w:val="178"/>
            </w:pPr>
            <w:r>
              <w:rPr>
                <w:rFonts w:hint="eastAsia"/>
              </w:rPr>
              <w:t>时间漂移、记录对不上</w:t>
            </w:r>
          </w:p>
        </w:tc>
        <w:tc>
          <w:tcPr>
            <w:tcW w:w="4382" w:type="dxa"/>
          </w:tcPr>
          <w:p w14:paraId="1A6A438E">
            <w:pPr>
              <w:pStyle w:val="178"/>
            </w:pPr>
            <w:r>
              <w:rPr>
                <w:rFonts w:hint="eastAsia"/>
              </w:rPr>
              <w:t>先校时，校时前数据不得直接用于正式结果</w:t>
            </w:r>
          </w:p>
        </w:tc>
      </w:tr>
      <w:tr w14:paraId="67B444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30E51219">
            <w:pPr>
              <w:pStyle w:val="178"/>
            </w:pPr>
            <w:r>
              <w:rPr>
                <w:rFonts w:hint="eastAsia"/>
              </w:rPr>
              <w:t>权限异常</w:t>
            </w:r>
          </w:p>
        </w:tc>
        <w:tc>
          <w:tcPr>
            <w:tcW w:w="3261" w:type="dxa"/>
          </w:tcPr>
          <w:p w14:paraId="5EF40480">
            <w:pPr>
              <w:pStyle w:val="178"/>
            </w:pPr>
            <w:r>
              <w:rPr>
                <w:rFonts w:hint="eastAsia"/>
              </w:rPr>
              <w:t>未授权登录、异常控制</w:t>
            </w:r>
          </w:p>
        </w:tc>
        <w:tc>
          <w:tcPr>
            <w:tcW w:w="4382" w:type="dxa"/>
          </w:tcPr>
          <w:p w14:paraId="525D7DE9">
            <w:pPr>
              <w:pStyle w:val="178"/>
            </w:pPr>
            <w:r>
              <w:rPr>
                <w:rFonts w:hint="eastAsia"/>
              </w:rPr>
              <w:t>立即停止任务并进行安全处置</w:t>
            </w:r>
          </w:p>
        </w:tc>
      </w:tr>
    </w:tbl>
    <w:p w14:paraId="4EDE282D">
      <w:pPr>
        <w:pStyle w:val="56"/>
        <w:ind w:firstLine="420"/>
      </w:pPr>
    </w:p>
    <w:p w14:paraId="7DEDEA5C">
      <w:pPr>
        <w:pStyle w:val="56"/>
        <w:ind w:firstLine="420"/>
      </w:pPr>
    </w:p>
    <w:p w14:paraId="71F6FB18">
      <w:pPr>
        <w:pStyle w:val="56"/>
        <w:ind w:firstLine="420"/>
        <w:rPr>
          <w:rFonts w:hint="eastAsia"/>
        </w:rPr>
      </w:pPr>
    </w:p>
    <w:p w14:paraId="021AE172">
      <w:pPr>
        <w:pStyle w:val="105"/>
        <w:spacing w:before="120" w:after="120" w:line="360" w:lineRule="auto"/>
      </w:pPr>
      <w:r>
        <w:rPr>
          <w:rFonts w:hint="eastAsia"/>
        </w:rPr>
        <w:t>结果复核与任务关闭要求</w:t>
      </w:r>
    </w:p>
    <w:p w14:paraId="6FB0C5B3">
      <w:pPr>
        <w:pStyle w:val="65"/>
        <w:spacing w:before="120" w:after="120" w:line="360" w:lineRule="auto"/>
      </w:pPr>
      <w:r>
        <w:rPr>
          <w:rFonts w:hint="eastAsia"/>
        </w:rPr>
        <w:t>复核要求</w:t>
      </w:r>
    </w:p>
    <w:p w14:paraId="0BB42FE1">
      <w:pPr>
        <w:pStyle w:val="164"/>
        <w:spacing w:line="360" w:lineRule="auto"/>
      </w:pPr>
      <w:r>
        <w:rPr>
          <w:rFonts w:hint="eastAsia"/>
        </w:rPr>
        <w:t>正式任务完成后，应进行结果复核和任务复盘。</w:t>
      </w:r>
    </w:p>
    <w:p w14:paraId="289DC308">
      <w:pPr>
        <w:pStyle w:val="164"/>
        <w:spacing w:line="360" w:lineRule="auto"/>
      </w:pPr>
      <w:r>
        <w:rPr>
          <w:rFonts w:hint="eastAsia"/>
        </w:rPr>
        <w:t>复核内容应至少包括：</w:t>
      </w:r>
    </w:p>
    <w:p w14:paraId="438CBBBE">
      <w:pPr>
        <w:pStyle w:val="56"/>
        <w:spacing w:line="360" w:lineRule="auto"/>
        <w:ind w:firstLine="420"/>
      </w:pPr>
      <w:r>
        <w:rPr>
          <w:rFonts w:hint="eastAsia"/>
        </w:rPr>
        <w:t>a）任务是否完整执行；</w:t>
      </w:r>
    </w:p>
    <w:p w14:paraId="090B3C79">
      <w:pPr>
        <w:pStyle w:val="56"/>
        <w:spacing w:line="360" w:lineRule="auto"/>
        <w:ind w:firstLine="420"/>
      </w:pPr>
      <w:r>
        <w:rPr>
          <w:rFonts w:hint="eastAsia"/>
        </w:rPr>
        <w:t>b）原始数据是否完整；</w:t>
      </w:r>
    </w:p>
    <w:p w14:paraId="0F1B9646">
      <w:pPr>
        <w:pStyle w:val="56"/>
        <w:spacing w:line="360" w:lineRule="auto"/>
        <w:ind w:firstLine="420"/>
      </w:pPr>
      <w:r>
        <w:rPr>
          <w:rFonts w:hint="eastAsia"/>
        </w:rPr>
        <w:t>c）异常是否已闭环处置；</w:t>
      </w:r>
    </w:p>
    <w:p w14:paraId="3060A444">
      <w:pPr>
        <w:pStyle w:val="56"/>
        <w:spacing w:line="360" w:lineRule="auto"/>
        <w:ind w:firstLine="420"/>
      </w:pPr>
      <w:r>
        <w:rPr>
          <w:rFonts w:hint="eastAsia"/>
        </w:rPr>
        <w:t>d）结果计算是否正确；</w:t>
      </w:r>
    </w:p>
    <w:p w14:paraId="068A9E52">
      <w:pPr>
        <w:pStyle w:val="56"/>
        <w:spacing w:line="360" w:lineRule="auto"/>
        <w:ind w:firstLine="420"/>
      </w:pPr>
      <w:r>
        <w:rPr>
          <w:rFonts w:hint="eastAsia"/>
        </w:rPr>
        <w:t>e）结论是否与依据一致；</w:t>
      </w:r>
    </w:p>
    <w:p w14:paraId="5C1DC7DF">
      <w:pPr>
        <w:pStyle w:val="56"/>
        <w:spacing w:line="360" w:lineRule="auto"/>
        <w:ind w:firstLine="420"/>
      </w:pPr>
      <w:r>
        <w:rPr>
          <w:rFonts w:hint="eastAsia"/>
        </w:rPr>
        <w:t>f）资料是否满足归档要求。</w:t>
      </w:r>
    </w:p>
    <w:p w14:paraId="23C1D474">
      <w:pPr>
        <w:pStyle w:val="65"/>
        <w:spacing w:before="120" w:after="120" w:line="360" w:lineRule="auto"/>
      </w:pPr>
      <w:r>
        <w:rPr>
          <w:rFonts w:hint="eastAsia"/>
        </w:rPr>
        <w:t>任务关闭要求</w:t>
      </w:r>
    </w:p>
    <w:p w14:paraId="46258596">
      <w:pPr>
        <w:pStyle w:val="164"/>
        <w:spacing w:line="360" w:lineRule="auto"/>
      </w:pPr>
      <w:r>
        <w:rPr>
          <w:rFonts w:hint="eastAsia"/>
        </w:rPr>
        <w:t>仅在结果确认、资料齐全、异常闭环和归档准备完成后，方可关闭校准任务。</w:t>
      </w:r>
    </w:p>
    <w:p w14:paraId="36CE4266">
      <w:pPr>
        <w:pStyle w:val="164"/>
        <w:spacing w:line="360" w:lineRule="auto"/>
      </w:pPr>
      <w:r>
        <w:rPr>
          <w:rFonts w:hint="eastAsia"/>
        </w:rPr>
        <w:t>中止任务、作废任务和待补证任务不得按正常完成任务关闭。</w:t>
      </w:r>
    </w:p>
    <w:p w14:paraId="2A64F9CD">
      <w:pPr>
        <w:pStyle w:val="105"/>
        <w:spacing w:before="120" w:after="120" w:line="360" w:lineRule="auto"/>
      </w:pPr>
      <w:r>
        <w:rPr>
          <w:rFonts w:hint="eastAsia"/>
        </w:rPr>
        <w:t>禁止性要求</w:t>
      </w:r>
    </w:p>
    <w:p w14:paraId="0BB5B0C2">
      <w:pPr>
        <w:pStyle w:val="165"/>
        <w:spacing w:line="360" w:lineRule="auto"/>
      </w:pPr>
      <w:r>
        <w:rPr>
          <w:rFonts w:hint="eastAsia"/>
        </w:rPr>
        <w:t>不得在原始数据缺失或者关键证据不完整的情况下进行结果判定。</w:t>
      </w:r>
    </w:p>
    <w:p w14:paraId="51D41C12">
      <w:pPr>
        <w:pStyle w:val="165"/>
        <w:spacing w:line="360" w:lineRule="auto"/>
      </w:pPr>
      <w:r>
        <w:rPr>
          <w:rFonts w:hint="eastAsia"/>
        </w:rPr>
        <w:t>不得在未经数据校核的情况下直接进行正式计算和正式输出。</w:t>
      </w:r>
    </w:p>
    <w:p w14:paraId="7A96F4B8">
      <w:pPr>
        <w:pStyle w:val="165"/>
        <w:spacing w:line="360" w:lineRule="auto"/>
      </w:pPr>
      <w:r>
        <w:rPr>
          <w:rFonts w:hint="eastAsia"/>
        </w:rPr>
        <w:t>不得通过删除异常值、覆盖原始值或者修改日志掩盖校准异常。</w:t>
      </w:r>
    </w:p>
    <w:p w14:paraId="3A5C3ABB">
      <w:pPr>
        <w:pStyle w:val="165"/>
        <w:spacing w:line="360" w:lineRule="auto"/>
      </w:pPr>
      <w:r>
        <w:rPr>
          <w:rFonts w:hint="eastAsia"/>
        </w:rPr>
        <w:t>不得对中止任务或者证据不足任务出具正式校准结论。</w:t>
      </w:r>
    </w:p>
    <w:p w14:paraId="39EBA402">
      <w:pPr>
        <w:pStyle w:val="165"/>
        <w:spacing w:line="360" w:lineRule="auto"/>
      </w:pPr>
      <w:r>
        <w:rPr>
          <w:rFonts w:hint="eastAsia"/>
        </w:rPr>
        <w:t>不得在结果复核未完成前关闭任务和归档。</w:t>
      </w:r>
    </w:p>
    <w:p w14:paraId="463C247A">
      <w:pPr>
        <w:pStyle w:val="104"/>
        <w:spacing w:before="240" w:after="240" w:line="360" w:lineRule="auto"/>
      </w:pPr>
      <w:bookmarkStart w:id="55" w:name="_Toc228601780"/>
      <w:r>
        <w:rPr>
          <w:rFonts w:hint="eastAsia"/>
        </w:rPr>
        <w:t>信息安全、结果确认与证书管理</w:t>
      </w:r>
      <w:bookmarkEnd w:id="55"/>
    </w:p>
    <w:p w14:paraId="2DD67EAE">
      <w:pPr>
        <w:pStyle w:val="105"/>
        <w:spacing w:before="120" w:after="120" w:line="360" w:lineRule="auto"/>
      </w:pPr>
      <w:r>
        <w:rPr>
          <w:rFonts w:hint="eastAsia"/>
        </w:rPr>
        <w:t>一般规定</w:t>
      </w:r>
    </w:p>
    <w:p w14:paraId="18E9D5BE">
      <w:pPr>
        <w:pStyle w:val="165"/>
        <w:spacing w:line="360" w:lineRule="auto"/>
      </w:pPr>
      <w:r>
        <w:rPr>
          <w:rFonts w:hint="eastAsia"/>
        </w:rPr>
        <w:t>智能计量器具远程校准活动应建立信息安全、结果确认和证书管理机制。</w:t>
      </w:r>
    </w:p>
    <w:p w14:paraId="35CED2A2">
      <w:pPr>
        <w:pStyle w:val="165"/>
        <w:spacing w:line="360" w:lineRule="auto"/>
      </w:pPr>
      <w:r>
        <w:rPr>
          <w:rFonts w:hint="eastAsia"/>
        </w:rPr>
        <w:t>信息安全管理应覆盖远程连接、身份认证、权限控制、数据传输、数据存储、日志管理、结果输出和证书发放全过程。</w:t>
      </w:r>
    </w:p>
    <w:p w14:paraId="18AE5B87">
      <w:pPr>
        <w:pStyle w:val="165"/>
        <w:spacing w:line="360" w:lineRule="auto"/>
      </w:pPr>
      <w:r>
        <w:rPr>
          <w:rFonts w:hint="eastAsia"/>
        </w:rPr>
        <w:t>结果确认应以原始数据完整、过程记录完整、异常处置完成和复核结论明确为前提。</w:t>
      </w:r>
    </w:p>
    <w:p w14:paraId="5A17D69F">
      <w:pPr>
        <w:pStyle w:val="165"/>
        <w:spacing w:line="360" w:lineRule="auto"/>
      </w:pPr>
      <w:r>
        <w:rPr>
          <w:rFonts w:hint="eastAsia"/>
        </w:rPr>
        <w:t>证书管理应满足真实性、准确性、完整性、可追溯性和防篡改要求。</w:t>
      </w:r>
    </w:p>
    <w:p w14:paraId="6D1293FD">
      <w:pPr>
        <w:pStyle w:val="165"/>
        <w:spacing w:line="360" w:lineRule="auto"/>
      </w:pPr>
      <w:r>
        <w:rPr>
          <w:rFonts w:hint="eastAsia"/>
        </w:rPr>
        <w:t>未完成信息安全控制、未完成结果确认或者证据链不完整的，不得出具正式校准证书。</w:t>
      </w:r>
    </w:p>
    <w:p w14:paraId="79767083">
      <w:pPr>
        <w:pStyle w:val="165"/>
        <w:numPr>
          <w:ilvl w:val="0"/>
          <w:numId w:val="0"/>
        </w:numPr>
        <w:spacing w:line="360" w:lineRule="auto"/>
      </w:pPr>
    </w:p>
    <w:p w14:paraId="4939B8BA">
      <w:pPr>
        <w:pStyle w:val="165"/>
        <w:numPr>
          <w:ilvl w:val="0"/>
          <w:numId w:val="0"/>
        </w:numPr>
        <w:spacing w:line="360" w:lineRule="auto"/>
        <w:rPr>
          <w:rFonts w:hint="eastAsia"/>
        </w:rPr>
      </w:pPr>
    </w:p>
    <w:p w14:paraId="5FC02F0F">
      <w:pPr>
        <w:pStyle w:val="105"/>
        <w:spacing w:before="120" w:after="120" w:line="360" w:lineRule="auto"/>
      </w:pPr>
      <w:r>
        <w:rPr>
          <w:rFonts w:hint="eastAsia"/>
        </w:rPr>
        <w:t>信息安全管理要求</w:t>
      </w:r>
    </w:p>
    <w:p w14:paraId="101871ED">
      <w:pPr>
        <w:pStyle w:val="65"/>
        <w:spacing w:before="120" w:after="120" w:line="360" w:lineRule="auto"/>
      </w:pPr>
      <w:r>
        <w:rPr>
          <w:rFonts w:hint="eastAsia"/>
        </w:rPr>
        <w:t>一般要求</w:t>
      </w:r>
    </w:p>
    <w:p w14:paraId="23293929">
      <w:pPr>
        <w:pStyle w:val="164"/>
        <w:spacing w:line="360" w:lineRule="auto"/>
      </w:pPr>
      <w:r>
        <w:rPr>
          <w:rFonts w:hint="eastAsia"/>
        </w:rPr>
        <w:t>远程校准系统应建立统一的信息安全控制机制。</w:t>
      </w:r>
    </w:p>
    <w:p w14:paraId="5105A9B2">
      <w:pPr>
        <w:pStyle w:val="164"/>
        <w:spacing w:line="360" w:lineRule="auto"/>
      </w:pPr>
      <w:r>
        <w:rPr>
          <w:rFonts w:hint="eastAsia"/>
        </w:rPr>
        <w:t>信息安全控制应与校准任务重要程度、数据敏感程度和应用场景风险等级相适应。</w:t>
      </w:r>
    </w:p>
    <w:p w14:paraId="3B76646E">
      <w:pPr>
        <w:pStyle w:val="164"/>
        <w:spacing w:line="360" w:lineRule="auto"/>
      </w:pPr>
      <w:r>
        <w:rPr>
          <w:rFonts w:hint="eastAsia"/>
        </w:rPr>
        <w:t>对涉及贸易结算、关键基础设施、公共服务保障和高风险计量场景的远程校准任务，应提高信息安全控制等级。</w:t>
      </w:r>
    </w:p>
    <w:p w14:paraId="0048D108">
      <w:pPr>
        <w:pStyle w:val="65"/>
        <w:spacing w:before="120" w:after="120" w:line="360" w:lineRule="auto"/>
      </w:pPr>
      <w:r>
        <w:rPr>
          <w:rFonts w:hint="eastAsia"/>
        </w:rPr>
        <w:t>身份认证与访问控制</w:t>
      </w:r>
    </w:p>
    <w:p w14:paraId="6A889F7A">
      <w:pPr>
        <w:pStyle w:val="164"/>
        <w:spacing w:line="360" w:lineRule="auto"/>
      </w:pPr>
      <w:r>
        <w:rPr>
          <w:rFonts w:hint="eastAsia"/>
        </w:rPr>
        <w:t>远程校准系统应对人员身份、设备身份和终端身份进行认证。</w:t>
      </w:r>
    </w:p>
    <w:p w14:paraId="3E2B9787">
      <w:pPr>
        <w:pStyle w:val="164"/>
        <w:spacing w:line="360" w:lineRule="auto"/>
      </w:pPr>
      <w:r>
        <w:rPr>
          <w:rFonts w:hint="eastAsia"/>
        </w:rPr>
        <w:t>不同岗位人员应按最小必要原则授予访问权限和操作权限。</w:t>
      </w:r>
    </w:p>
    <w:p w14:paraId="08F90A98">
      <w:pPr>
        <w:pStyle w:val="164"/>
        <w:spacing w:line="360" w:lineRule="auto"/>
      </w:pPr>
      <w:r>
        <w:rPr>
          <w:rFonts w:hint="eastAsia"/>
        </w:rPr>
        <w:t>访问权限应与岗位职责、任务边界和授权期限相匹配。</w:t>
      </w:r>
    </w:p>
    <w:p w14:paraId="187F10EF">
      <w:pPr>
        <w:pStyle w:val="164"/>
        <w:spacing w:line="360" w:lineRule="auto"/>
      </w:pPr>
      <w:r>
        <w:rPr>
          <w:rFonts w:hint="eastAsia"/>
        </w:rPr>
        <w:t>账户共用、口令共用或者长期使用临时账户的，不得用于正式远程校准活动。</w:t>
      </w:r>
    </w:p>
    <w:p w14:paraId="2C92E0BD">
      <w:pPr>
        <w:pStyle w:val="164"/>
        <w:spacing w:line="360" w:lineRule="auto"/>
      </w:pPr>
      <w:r>
        <w:rPr>
          <w:rFonts w:hint="eastAsia"/>
        </w:rPr>
        <w:t>岗位变更、任务结束或者授权到期后，应及时回收相应权限。</w:t>
      </w:r>
    </w:p>
    <w:p w14:paraId="205DE991">
      <w:pPr>
        <w:pStyle w:val="65"/>
        <w:spacing w:before="120" w:after="120" w:line="360" w:lineRule="auto"/>
      </w:pPr>
      <w:r>
        <w:rPr>
          <w:rFonts w:hint="eastAsia"/>
        </w:rPr>
        <w:t>数据传输安全</w:t>
      </w:r>
    </w:p>
    <w:p w14:paraId="2CA602EE">
      <w:pPr>
        <w:pStyle w:val="164"/>
        <w:spacing w:line="360" w:lineRule="auto"/>
      </w:pPr>
      <w:r>
        <w:rPr>
          <w:rFonts w:hint="eastAsia"/>
        </w:rPr>
        <w:t>远程连接链路中的控制指令、校准数据、环境数据、视频数据和日志数据，应采取受控传输方式。</w:t>
      </w:r>
    </w:p>
    <w:p w14:paraId="4A4A4B58">
      <w:pPr>
        <w:pStyle w:val="164"/>
        <w:spacing w:line="360" w:lineRule="auto"/>
      </w:pPr>
      <w:r>
        <w:rPr>
          <w:rFonts w:hint="eastAsia"/>
        </w:rPr>
        <w:t>传输过程中应防止数据被非法截获、篡改、重放或者伪造。</w:t>
      </w:r>
    </w:p>
    <w:p w14:paraId="73EFFBC4">
      <w:pPr>
        <w:pStyle w:val="164"/>
        <w:spacing w:line="360" w:lineRule="auto"/>
      </w:pPr>
      <w:r>
        <w:rPr>
          <w:rFonts w:hint="eastAsia"/>
        </w:rPr>
        <w:t>关键链路的建立、变更、中断和恢复均应留痕。</w:t>
      </w:r>
    </w:p>
    <w:p w14:paraId="38F1E496">
      <w:pPr>
        <w:pStyle w:val="164"/>
        <w:spacing w:line="360" w:lineRule="auto"/>
      </w:pPr>
      <w:r>
        <w:rPr>
          <w:rFonts w:hint="eastAsia"/>
        </w:rPr>
        <w:t>未经授权，不得通过个人邮箱、个人通信工具、移动存储介质或者非受控网络传输正式校准数据。</w:t>
      </w:r>
    </w:p>
    <w:p w14:paraId="1A6B104A">
      <w:pPr>
        <w:pStyle w:val="65"/>
        <w:spacing w:before="120" w:after="120" w:line="360" w:lineRule="auto"/>
      </w:pPr>
      <w:r>
        <w:rPr>
          <w:rFonts w:hint="eastAsia"/>
        </w:rPr>
        <w:t>数据存储安全</w:t>
      </w:r>
    </w:p>
    <w:p w14:paraId="35B414E9">
      <w:pPr>
        <w:pStyle w:val="164"/>
        <w:spacing w:line="360" w:lineRule="auto"/>
      </w:pPr>
      <w:r>
        <w:rPr>
          <w:rFonts w:hint="eastAsia"/>
        </w:rPr>
        <w:t>原始校准数据、环境记录、视频记录、日志记录、结果文件和证书文件应分类存储。</w:t>
      </w:r>
    </w:p>
    <w:p w14:paraId="1B26B551">
      <w:pPr>
        <w:pStyle w:val="164"/>
        <w:spacing w:line="360" w:lineRule="auto"/>
      </w:pPr>
      <w:r>
        <w:rPr>
          <w:rFonts w:hint="eastAsia"/>
        </w:rPr>
        <w:t>不同类别数据的存储位置、访问权限、保留期限和备份要求应明确。</w:t>
      </w:r>
    </w:p>
    <w:p w14:paraId="15AD4BAF">
      <w:pPr>
        <w:pStyle w:val="164"/>
        <w:spacing w:line="360" w:lineRule="auto"/>
      </w:pPr>
      <w:r>
        <w:rPr>
          <w:rFonts w:hint="eastAsia"/>
        </w:rPr>
        <w:t>对高敏感数据和关键证据数据，应实施重点保护。</w:t>
      </w:r>
    </w:p>
    <w:p w14:paraId="2B9E8B93">
      <w:pPr>
        <w:pStyle w:val="164"/>
        <w:spacing w:line="360" w:lineRule="auto"/>
      </w:pPr>
      <w:r>
        <w:rPr>
          <w:rFonts w:hint="eastAsia"/>
        </w:rPr>
        <w:t>未经批准，不得对正式归档数据进行删除、覆盖或者替换。</w:t>
      </w:r>
    </w:p>
    <w:p w14:paraId="237EB080">
      <w:pPr>
        <w:pStyle w:val="65"/>
        <w:spacing w:before="120" w:after="120" w:line="360" w:lineRule="auto"/>
      </w:pPr>
      <w:r>
        <w:rPr>
          <w:rFonts w:hint="eastAsia"/>
        </w:rPr>
        <w:t>日志审计要求</w:t>
      </w:r>
    </w:p>
    <w:p w14:paraId="6C803CD8">
      <w:pPr>
        <w:pStyle w:val="164"/>
        <w:spacing w:line="360" w:lineRule="auto"/>
      </w:pPr>
      <w:r>
        <w:rPr>
          <w:rFonts w:hint="eastAsia"/>
        </w:rPr>
        <w:t>远程校准系统应建立日志审计机制。</w:t>
      </w:r>
    </w:p>
    <w:p w14:paraId="5734DE5E">
      <w:pPr>
        <w:pStyle w:val="164"/>
        <w:spacing w:line="360" w:lineRule="auto"/>
      </w:pPr>
      <w:r>
        <w:rPr>
          <w:rFonts w:hint="eastAsia"/>
        </w:rPr>
        <w:t>日志应至少包括登录、认证、连接、参数变更、数据采集、结果处理、复核确认、证书生成、导出和异常处置等活动记录。</w:t>
      </w:r>
    </w:p>
    <w:p w14:paraId="195BD45D">
      <w:pPr>
        <w:pStyle w:val="164"/>
        <w:spacing w:line="360" w:lineRule="auto"/>
      </w:pPr>
      <w:r>
        <w:rPr>
          <w:rFonts w:hint="eastAsia"/>
        </w:rPr>
        <w:t>日志应具备时间标记、操作者标记、对象标记和结果状态标记。</w:t>
      </w:r>
    </w:p>
    <w:p w14:paraId="4BE9409A">
      <w:pPr>
        <w:pStyle w:val="164"/>
        <w:spacing w:line="360" w:lineRule="auto"/>
      </w:pPr>
      <w:r>
        <w:rPr>
          <w:rFonts w:hint="eastAsia"/>
        </w:rPr>
        <w:t>日志不得随意关闭、删除或者修改。</w:t>
      </w:r>
    </w:p>
    <w:p w14:paraId="5A60859C">
      <w:pPr>
        <w:pStyle w:val="105"/>
        <w:spacing w:before="120" w:after="120" w:line="360" w:lineRule="auto"/>
      </w:pPr>
      <w:r>
        <w:rPr>
          <w:rFonts w:hint="eastAsia"/>
        </w:rPr>
        <w:t>结果确认要求</w:t>
      </w:r>
    </w:p>
    <w:p w14:paraId="5B47C400">
      <w:pPr>
        <w:pStyle w:val="65"/>
        <w:spacing w:before="120" w:after="120" w:line="360" w:lineRule="auto"/>
      </w:pPr>
      <w:r>
        <w:rPr>
          <w:rFonts w:hint="eastAsia"/>
        </w:rPr>
        <w:t>一般要求</w:t>
      </w:r>
    </w:p>
    <w:p w14:paraId="3B9BF173">
      <w:pPr>
        <w:pStyle w:val="164"/>
        <w:spacing w:line="360" w:lineRule="auto"/>
      </w:pPr>
      <w:r>
        <w:rPr>
          <w:rFonts w:hint="eastAsia"/>
        </w:rPr>
        <w:t>远程校准结果形成后，应进行结果确认。</w:t>
      </w:r>
    </w:p>
    <w:p w14:paraId="273773F9">
      <w:pPr>
        <w:pStyle w:val="164"/>
        <w:spacing w:line="360" w:lineRule="auto"/>
      </w:pPr>
      <w:r>
        <w:rPr>
          <w:rFonts w:hint="eastAsia"/>
        </w:rPr>
        <w:t>结果确认应覆盖数据来源、计算过程、判定依据、异常状态、环境符合性和证据完整性。</w:t>
      </w:r>
    </w:p>
    <w:p w14:paraId="7226AE82">
      <w:pPr>
        <w:pStyle w:val="164"/>
        <w:spacing w:line="360" w:lineRule="auto"/>
      </w:pPr>
      <w:r>
        <w:rPr>
          <w:rFonts w:hint="eastAsia"/>
        </w:rPr>
        <w:t>结果确认应由经授权的人员实施，必要时应进行双人复核或者分级审核。</w:t>
      </w:r>
    </w:p>
    <w:p w14:paraId="476E2CD0">
      <w:pPr>
        <w:pStyle w:val="65"/>
        <w:spacing w:before="120" w:after="120" w:line="360" w:lineRule="auto"/>
      </w:pPr>
      <w:r>
        <w:rPr>
          <w:rFonts w:hint="eastAsia"/>
        </w:rPr>
        <w:t>确认内容</w:t>
      </w:r>
    </w:p>
    <w:p w14:paraId="44083041">
      <w:pPr>
        <w:pStyle w:val="164"/>
        <w:spacing w:line="360" w:lineRule="auto"/>
      </w:pPr>
      <w:r>
        <w:rPr>
          <w:rFonts w:hint="eastAsia"/>
        </w:rPr>
        <w:t>结果确认宜至少包括下列内容：</w:t>
      </w:r>
    </w:p>
    <w:p w14:paraId="3D715FD6">
      <w:pPr>
        <w:pStyle w:val="56"/>
        <w:spacing w:line="360" w:lineRule="auto"/>
        <w:ind w:firstLine="420"/>
      </w:pPr>
      <w:r>
        <w:rPr>
          <w:rFonts w:hint="eastAsia"/>
        </w:rPr>
        <w:t>a）被校器具信息是否正确；</w:t>
      </w:r>
    </w:p>
    <w:p w14:paraId="417677CD">
      <w:pPr>
        <w:pStyle w:val="56"/>
        <w:spacing w:line="360" w:lineRule="auto"/>
        <w:ind w:firstLine="420"/>
      </w:pPr>
      <w:r>
        <w:rPr>
          <w:rFonts w:hint="eastAsia"/>
        </w:rPr>
        <w:t>b）标准器具信息是否正确；</w:t>
      </w:r>
    </w:p>
    <w:p w14:paraId="78DEC2E5">
      <w:pPr>
        <w:pStyle w:val="56"/>
        <w:spacing w:line="360" w:lineRule="auto"/>
        <w:ind w:firstLine="420"/>
      </w:pPr>
      <w:r>
        <w:rPr>
          <w:rFonts w:hint="eastAsia"/>
        </w:rPr>
        <w:t>c）校准依据是否正确；</w:t>
      </w:r>
    </w:p>
    <w:p w14:paraId="14E7B9B7">
      <w:pPr>
        <w:pStyle w:val="56"/>
        <w:spacing w:line="360" w:lineRule="auto"/>
        <w:ind w:firstLine="420"/>
      </w:pPr>
      <w:r>
        <w:rPr>
          <w:rFonts w:hint="eastAsia"/>
        </w:rPr>
        <w:t>d）原始数据是否完整；</w:t>
      </w:r>
    </w:p>
    <w:p w14:paraId="18CC51F6">
      <w:pPr>
        <w:pStyle w:val="56"/>
        <w:spacing w:line="360" w:lineRule="auto"/>
        <w:ind w:firstLine="420"/>
      </w:pPr>
      <w:r>
        <w:rPr>
          <w:rFonts w:hint="eastAsia"/>
        </w:rPr>
        <w:t>e）环境条件是否符合要求；</w:t>
      </w:r>
    </w:p>
    <w:p w14:paraId="717111D9">
      <w:pPr>
        <w:pStyle w:val="56"/>
        <w:spacing w:line="360" w:lineRule="auto"/>
        <w:ind w:firstLine="420"/>
      </w:pPr>
      <w:r>
        <w:rPr>
          <w:rFonts w:hint="eastAsia"/>
        </w:rPr>
        <w:t>f）关键日志和视频证据是否完整；</w:t>
      </w:r>
    </w:p>
    <w:p w14:paraId="19C6969D">
      <w:pPr>
        <w:pStyle w:val="56"/>
        <w:spacing w:line="360" w:lineRule="auto"/>
        <w:ind w:firstLine="420"/>
      </w:pPr>
      <w:r>
        <w:rPr>
          <w:rFonts w:hint="eastAsia"/>
        </w:rPr>
        <w:t>g）结果计算是否正确；</w:t>
      </w:r>
    </w:p>
    <w:p w14:paraId="728CC459">
      <w:pPr>
        <w:pStyle w:val="56"/>
        <w:spacing w:line="360" w:lineRule="auto"/>
        <w:ind w:firstLine="420"/>
      </w:pPr>
      <w:r>
        <w:rPr>
          <w:rFonts w:hint="eastAsia"/>
        </w:rPr>
        <w:t>h）判定结论是否一致；</w:t>
      </w:r>
    </w:p>
    <w:p w14:paraId="1D5576D5">
      <w:pPr>
        <w:pStyle w:val="56"/>
        <w:spacing w:line="360" w:lineRule="auto"/>
        <w:ind w:firstLine="420"/>
      </w:pPr>
      <w:r>
        <w:rPr>
          <w:rFonts w:hint="eastAsia"/>
        </w:rPr>
        <w:t>i）异常是否闭环；</w:t>
      </w:r>
    </w:p>
    <w:p w14:paraId="0FB24050">
      <w:pPr>
        <w:pStyle w:val="56"/>
        <w:spacing w:line="360" w:lineRule="auto"/>
        <w:ind w:firstLine="420"/>
      </w:pPr>
      <w:r>
        <w:rPr>
          <w:rFonts w:hint="eastAsia"/>
        </w:rPr>
        <w:t>j）输出文件是否完整。</w:t>
      </w:r>
    </w:p>
    <w:p w14:paraId="4856DC59">
      <w:pPr>
        <w:pStyle w:val="164"/>
        <w:spacing w:line="360" w:lineRule="auto"/>
      </w:pPr>
      <w:r>
        <w:rPr>
          <w:rFonts w:hint="eastAsia"/>
        </w:rPr>
        <w:t>对关键量程、关键测点和关键任务结果，应提高确认强度。</w:t>
      </w:r>
    </w:p>
    <w:p w14:paraId="69AE5AA0">
      <w:pPr>
        <w:pStyle w:val="65"/>
        <w:spacing w:before="120" w:after="120" w:line="360" w:lineRule="auto"/>
      </w:pPr>
      <w:r>
        <w:rPr>
          <w:rFonts w:hint="eastAsia"/>
        </w:rPr>
        <w:t>结果复核要求</w:t>
      </w:r>
    </w:p>
    <w:p w14:paraId="4A51A2D6">
      <w:pPr>
        <w:pStyle w:val="164"/>
        <w:spacing w:line="360" w:lineRule="auto"/>
      </w:pPr>
      <w:r>
        <w:rPr>
          <w:rFonts w:hint="eastAsia"/>
        </w:rPr>
        <w:t>对高风险任务、首次实施任务、异常恢复后任务和关键行业任务，应进行结果复核。</w:t>
      </w:r>
    </w:p>
    <w:p w14:paraId="249AF930">
      <w:pPr>
        <w:pStyle w:val="164"/>
        <w:spacing w:line="360" w:lineRule="auto"/>
      </w:pPr>
      <w:r>
        <w:rPr>
          <w:rFonts w:hint="eastAsia"/>
        </w:rPr>
        <w:t>复核应重点关注数据一致性、计算正确性、过程有效性和证据充分性。</w:t>
      </w:r>
    </w:p>
    <w:p w14:paraId="56003DF1">
      <w:pPr>
        <w:pStyle w:val="164"/>
        <w:spacing w:line="360" w:lineRule="auto"/>
      </w:pPr>
      <w:r>
        <w:rPr>
          <w:rFonts w:hint="eastAsia"/>
        </w:rPr>
        <w:t>复核与实施不得完全由同一人无监督完成。</w:t>
      </w:r>
    </w:p>
    <w:p w14:paraId="7A4C2585">
      <w:pPr>
        <w:pStyle w:val="164"/>
        <w:spacing w:line="360" w:lineRule="auto"/>
      </w:pPr>
      <w:r>
        <w:rPr>
          <w:rFonts w:hint="eastAsia"/>
        </w:rPr>
        <w:t>复核发现问题时，应退回处理，不得直接带问题出证。</w:t>
      </w:r>
    </w:p>
    <w:p w14:paraId="10FC9400">
      <w:pPr>
        <w:pStyle w:val="105"/>
        <w:spacing w:before="120" w:after="120" w:line="360" w:lineRule="auto"/>
      </w:pPr>
      <w:r>
        <w:rPr>
          <w:rFonts w:hint="eastAsia"/>
        </w:rPr>
        <w:t>校准证书管理要求</w:t>
      </w:r>
    </w:p>
    <w:p w14:paraId="2DDF0D2C">
      <w:pPr>
        <w:pStyle w:val="65"/>
        <w:spacing w:before="120" w:after="120" w:line="360" w:lineRule="auto"/>
      </w:pPr>
      <w:r>
        <w:rPr>
          <w:rFonts w:hint="eastAsia"/>
        </w:rPr>
        <w:t>一般要求</w:t>
      </w:r>
    </w:p>
    <w:p w14:paraId="33810315">
      <w:pPr>
        <w:pStyle w:val="164"/>
        <w:spacing w:line="360" w:lineRule="auto"/>
      </w:pPr>
      <w:r>
        <w:rPr>
          <w:rFonts w:hint="eastAsia"/>
        </w:rPr>
        <w:t>校准结果经确认后，方可生成正式校准证书或者正式结果文件。</w:t>
      </w:r>
    </w:p>
    <w:p w14:paraId="3956CD47">
      <w:pPr>
        <w:pStyle w:val="164"/>
        <w:spacing w:line="360" w:lineRule="auto"/>
      </w:pPr>
      <w:r>
        <w:rPr>
          <w:rFonts w:hint="eastAsia"/>
        </w:rPr>
        <w:t>校准证书内容应真实、完整、准确，与原始数据、结果记录和任务记录一致。</w:t>
      </w:r>
    </w:p>
    <w:p w14:paraId="7E1FE67C">
      <w:pPr>
        <w:pStyle w:val="164"/>
        <w:spacing w:line="360" w:lineRule="auto"/>
      </w:pPr>
      <w:r>
        <w:rPr>
          <w:rFonts w:hint="eastAsia"/>
        </w:rPr>
        <w:t>校准证书应明确校准方式、校准对象、校准项目、环境条件、结果结论和必要说明。</w:t>
      </w:r>
    </w:p>
    <w:p w14:paraId="519E75FB">
      <w:pPr>
        <w:pStyle w:val="65"/>
        <w:spacing w:before="120" w:after="120" w:line="360" w:lineRule="auto"/>
      </w:pPr>
      <w:r>
        <w:rPr>
          <w:rFonts w:hint="eastAsia"/>
        </w:rPr>
        <w:t>证书内容要求</w:t>
      </w:r>
    </w:p>
    <w:p w14:paraId="59531345">
      <w:pPr>
        <w:pStyle w:val="164"/>
        <w:spacing w:line="360" w:lineRule="auto"/>
      </w:pPr>
      <w:r>
        <w:rPr>
          <w:rFonts w:hint="eastAsia"/>
        </w:rPr>
        <w:t>校准证书宜至少包括下列内容：</w:t>
      </w:r>
    </w:p>
    <w:p w14:paraId="4816EA64">
      <w:pPr>
        <w:pStyle w:val="56"/>
        <w:spacing w:line="360" w:lineRule="auto"/>
        <w:ind w:firstLine="420"/>
      </w:pPr>
      <w:r>
        <w:rPr>
          <w:rFonts w:hint="eastAsia"/>
        </w:rPr>
        <w:t>a）证书编号；</w:t>
      </w:r>
    </w:p>
    <w:p w14:paraId="322AD2C6">
      <w:pPr>
        <w:pStyle w:val="56"/>
        <w:spacing w:line="360" w:lineRule="auto"/>
        <w:ind w:firstLine="420"/>
      </w:pPr>
      <w:r>
        <w:rPr>
          <w:rFonts w:hint="eastAsia"/>
        </w:rPr>
        <w:t>b）被校器具名称、型号、编号；</w:t>
      </w:r>
    </w:p>
    <w:p w14:paraId="2FE4C49B">
      <w:pPr>
        <w:pStyle w:val="56"/>
        <w:spacing w:line="360" w:lineRule="auto"/>
        <w:ind w:firstLine="420"/>
      </w:pPr>
      <w:r>
        <w:rPr>
          <w:rFonts w:hint="eastAsia"/>
        </w:rPr>
        <w:t>c）委托单位或者使用单位；</w:t>
      </w:r>
    </w:p>
    <w:p w14:paraId="76573D81">
      <w:pPr>
        <w:pStyle w:val="56"/>
        <w:spacing w:line="360" w:lineRule="auto"/>
        <w:ind w:firstLine="420"/>
      </w:pPr>
      <w:r>
        <w:rPr>
          <w:rFonts w:hint="eastAsia"/>
        </w:rPr>
        <w:t>d）校准地点或者现场位置；</w:t>
      </w:r>
    </w:p>
    <w:p w14:paraId="0BDF7DD8">
      <w:pPr>
        <w:pStyle w:val="56"/>
        <w:spacing w:line="360" w:lineRule="auto"/>
        <w:ind w:firstLine="420"/>
      </w:pPr>
      <w:r>
        <w:rPr>
          <w:rFonts w:hint="eastAsia"/>
        </w:rPr>
        <w:t>e）校准依据；</w:t>
      </w:r>
    </w:p>
    <w:p w14:paraId="17EB843D">
      <w:pPr>
        <w:pStyle w:val="56"/>
        <w:spacing w:line="360" w:lineRule="auto"/>
        <w:ind w:firstLine="420"/>
      </w:pPr>
      <w:r>
        <w:rPr>
          <w:rFonts w:hint="eastAsia"/>
        </w:rPr>
        <w:t>f）标准器具信息；</w:t>
      </w:r>
    </w:p>
    <w:p w14:paraId="413CD78D">
      <w:pPr>
        <w:pStyle w:val="56"/>
        <w:spacing w:line="360" w:lineRule="auto"/>
        <w:ind w:firstLine="420"/>
      </w:pPr>
      <w:r>
        <w:rPr>
          <w:rFonts w:hint="eastAsia"/>
        </w:rPr>
        <w:t>g）校准时间；</w:t>
      </w:r>
    </w:p>
    <w:p w14:paraId="56260953">
      <w:pPr>
        <w:pStyle w:val="56"/>
        <w:spacing w:line="360" w:lineRule="auto"/>
        <w:ind w:firstLine="420"/>
      </w:pPr>
      <w:r>
        <w:rPr>
          <w:rFonts w:hint="eastAsia"/>
        </w:rPr>
        <w:t>h）环境条件；</w:t>
      </w:r>
    </w:p>
    <w:p w14:paraId="0C408B79">
      <w:pPr>
        <w:pStyle w:val="56"/>
        <w:spacing w:line="360" w:lineRule="auto"/>
        <w:ind w:firstLine="420"/>
      </w:pPr>
      <w:r>
        <w:rPr>
          <w:rFonts w:hint="eastAsia"/>
        </w:rPr>
        <w:t>i）校准结果；</w:t>
      </w:r>
    </w:p>
    <w:p w14:paraId="23335E07">
      <w:pPr>
        <w:pStyle w:val="56"/>
        <w:spacing w:line="360" w:lineRule="auto"/>
        <w:ind w:firstLine="420"/>
      </w:pPr>
      <w:r>
        <w:rPr>
          <w:rFonts w:hint="eastAsia"/>
        </w:rPr>
        <w:t>j）必要的修正值或者不确定度信息；</w:t>
      </w:r>
    </w:p>
    <w:p w14:paraId="04AAE772">
      <w:pPr>
        <w:pStyle w:val="56"/>
        <w:spacing w:line="360" w:lineRule="auto"/>
        <w:ind w:firstLine="420"/>
      </w:pPr>
      <w:r>
        <w:rPr>
          <w:rFonts w:hint="eastAsia"/>
        </w:rPr>
        <w:t>k）结论说明；</w:t>
      </w:r>
    </w:p>
    <w:p w14:paraId="2B7DBD08">
      <w:pPr>
        <w:pStyle w:val="56"/>
        <w:spacing w:line="360" w:lineRule="auto"/>
        <w:ind w:firstLine="420"/>
      </w:pPr>
      <w:r>
        <w:rPr>
          <w:rFonts w:hint="eastAsia"/>
        </w:rPr>
        <w:t>l）实施人员、复核人员和批准人员信息；</w:t>
      </w:r>
    </w:p>
    <w:p w14:paraId="096A0088">
      <w:pPr>
        <w:pStyle w:val="56"/>
        <w:spacing w:line="360" w:lineRule="auto"/>
        <w:ind w:firstLine="420"/>
      </w:pPr>
      <w:r>
        <w:rPr>
          <w:rFonts w:hint="eastAsia"/>
        </w:rPr>
        <w:t>m）远程校准说明或者标识。</w:t>
      </w:r>
    </w:p>
    <w:p w14:paraId="0761BCE3">
      <w:pPr>
        <w:pStyle w:val="164"/>
        <w:spacing w:line="360" w:lineRule="auto"/>
      </w:pPr>
      <w:r>
        <w:rPr>
          <w:rFonts w:hint="eastAsia"/>
        </w:rPr>
        <w:t>证书内容不得遗漏足以影响结果理解和追溯的关键信息。</w:t>
      </w:r>
    </w:p>
    <w:p w14:paraId="21B6A7E8">
      <w:pPr>
        <w:pStyle w:val="65"/>
        <w:spacing w:before="120" w:after="120" w:line="360" w:lineRule="auto"/>
      </w:pPr>
      <w:r>
        <w:rPr>
          <w:rFonts w:hint="eastAsia"/>
        </w:rPr>
        <w:t>证书生成与发放要求</w:t>
      </w:r>
    </w:p>
    <w:p w14:paraId="73FC84AB">
      <w:pPr>
        <w:pStyle w:val="164"/>
        <w:spacing w:line="360" w:lineRule="auto"/>
      </w:pPr>
      <w:r>
        <w:rPr>
          <w:rFonts w:hint="eastAsia"/>
        </w:rPr>
        <w:t>校准证书生成应使用受控模板和受控规则。</w:t>
      </w:r>
    </w:p>
    <w:p w14:paraId="2D9C1148">
      <w:pPr>
        <w:pStyle w:val="164"/>
        <w:spacing w:line="360" w:lineRule="auto"/>
      </w:pPr>
      <w:r>
        <w:rPr>
          <w:rFonts w:hint="eastAsia"/>
        </w:rPr>
        <w:t>证书发放前应完成最终审核。</w:t>
      </w:r>
    </w:p>
    <w:p w14:paraId="29E6D145">
      <w:pPr>
        <w:pStyle w:val="164"/>
        <w:spacing w:line="360" w:lineRule="auto"/>
      </w:pPr>
      <w:r>
        <w:rPr>
          <w:rFonts w:hint="eastAsia"/>
        </w:rPr>
        <w:t>证书电子版和纸质版内容应保持一致；仅发放电子证书的，应具备真实性验证机制。</w:t>
      </w:r>
    </w:p>
    <w:p w14:paraId="1FA81173">
      <w:pPr>
        <w:pStyle w:val="164"/>
        <w:spacing w:line="360" w:lineRule="auto"/>
      </w:pPr>
      <w:r>
        <w:rPr>
          <w:rFonts w:hint="eastAsia"/>
        </w:rPr>
        <w:t>未经批准，不得重复出具、替换出具或者私自修改已生效证书。</w:t>
      </w:r>
    </w:p>
    <w:p w14:paraId="06F54424">
      <w:pPr>
        <w:pStyle w:val="65"/>
        <w:spacing w:before="120" w:after="120" w:line="360" w:lineRule="auto"/>
      </w:pPr>
      <w:r>
        <w:rPr>
          <w:rFonts w:hint="eastAsia"/>
        </w:rPr>
        <w:t>证书更正与作废要求</w:t>
      </w:r>
    </w:p>
    <w:p w14:paraId="64A9A52A">
      <w:pPr>
        <w:pStyle w:val="164"/>
        <w:spacing w:line="360" w:lineRule="auto"/>
      </w:pPr>
      <w:r>
        <w:rPr>
          <w:rFonts w:hint="eastAsia"/>
        </w:rPr>
        <w:t>已出具证书发现错误时，应按规定办理更正手续。</w:t>
      </w:r>
    </w:p>
    <w:p w14:paraId="2CAEA16F">
      <w:pPr>
        <w:pStyle w:val="164"/>
        <w:spacing w:line="360" w:lineRule="auto"/>
      </w:pPr>
      <w:r>
        <w:rPr>
          <w:rFonts w:hint="eastAsia"/>
        </w:rPr>
        <w:t>更正应保留原证书信息、错误原因、更正内容和审批记录。</w:t>
      </w:r>
    </w:p>
    <w:p w14:paraId="75BA76F8">
      <w:pPr>
        <w:pStyle w:val="164"/>
        <w:spacing w:line="360" w:lineRule="auto"/>
      </w:pPr>
      <w:r>
        <w:rPr>
          <w:rFonts w:hint="eastAsia"/>
        </w:rPr>
        <w:t>需作废证书时，应明确作废原因、作废时间和替代文件关系。</w:t>
      </w:r>
    </w:p>
    <w:p w14:paraId="1217B1AA">
      <w:pPr>
        <w:pStyle w:val="164"/>
        <w:spacing w:line="360" w:lineRule="auto"/>
      </w:pPr>
      <w:r>
        <w:rPr>
          <w:rFonts w:hint="eastAsia"/>
        </w:rPr>
        <w:t>作废证书不得继续作为有效校准结果使用。</w:t>
      </w:r>
    </w:p>
    <w:p w14:paraId="7D28FA1B">
      <w:pPr>
        <w:pStyle w:val="105"/>
        <w:spacing w:before="120" w:after="120" w:line="360" w:lineRule="auto"/>
      </w:pPr>
      <w:r>
        <w:rPr>
          <w:rFonts w:hint="eastAsia"/>
        </w:rPr>
        <w:t>结果发布与使用边界</w:t>
      </w:r>
    </w:p>
    <w:p w14:paraId="67391B51">
      <w:pPr>
        <w:pStyle w:val="65"/>
        <w:spacing w:before="120" w:after="120" w:line="360" w:lineRule="auto"/>
      </w:pPr>
      <w:r>
        <w:rPr>
          <w:rFonts w:hint="eastAsia"/>
        </w:rPr>
        <w:t>一般要求</w:t>
      </w:r>
    </w:p>
    <w:p w14:paraId="0435EA98">
      <w:pPr>
        <w:pStyle w:val="164"/>
        <w:spacing w:line="360" w:lineRule="auto"/>
      </w:pPr>
      <w:r>
        <w:rPr>
          <w:rFonts w:hint="eastAsia"/>
        </w:rPr>
        <w:t>正式校准结果仅在证书出具后方可对外发布或者正式使用。</w:t>
      </w:r>
    </w:p>
    <w:p w14:paraId="6AAB47F3">
      <w:pPr>
        <w:pStyle w:val="164"/>
        <w:spacing w:line="360" w:lineRule="auto"/>
      </w:pPr>
      <w:r>
        <w:rPr>
          <w:rFonts w:hint="eastAsia"/>
        </w:rPr>
        <w:t>中间结果、测试结果、演示结果和异常中止结果不得作为正式校准依据提供给使用方。</w:t>
      </w:r>
    </w:p>
    <w:p w14:paraId="7C55FCA4">
      <w:pPr>
        <w:pStyle w:val="164"/>
        <w:spacing w:line="360" w:lineRule="auto"/>
      </w:pPr>
      <w:r>
        <w:rPr>
          <w:rFonts w:hint="eastAsia"/>
        </w:rPr>
        <w:t>正式结果的使用范围应与校准任务边界一致。</w:t>
      </w:r>
    </w:p>
    <w:p w14:paraId="2AC0CA51">
      <w:pPr>
        <w:pStyle w:val="164"/>
        <w:numPr>
          <w:ilvl w:val="0"/>
          <w:numId w:val="0"/>
        </w:numPr>
        <w:spacing w:line="360" w:lineRule="auto"/>
      </w:pPr>
    </w:p>
    <w:p w14:paraId="575F60A6">
      <w:pPr>
        <w:pStyle w:val="164"/>
        <w:numPr>
          <w:ilvl w:val="0"/>
          <w:numId w:val="0"/>
        </w:numPr>
        <w:spacing w:line="360" w:lineRule="auto"/>
        <w:rPr>
          <w:rFonts w:hint="eastAsia"/>
        </w:rPr>
      </w:pPr>
    </w:p>
    <w:p w14:paraId="2835445F">
      <w:pPr>
        <w:pStyle w:val="65"/>
        <w:spacing w:before="120" w:after="120" w:line="360" w:lineRule="auto"/>
      </w:pPr>
      <w:r>
        <w:rPr>
          <w:rFonts w:hint="eastAsia"/>
        </w:rPr>
        <w:t>使用控制要求</w:t>
      </w:r>
    </w:p>
    <w:p w14:paraId="16957A67">
      <w:pPr>
        <w:pStyle w:val="164"/>
        <w:spacing w:line="360" w:lineRule="auto"/>
      </w:pPr>
      <w:r>
        <w:rPr>
          <w:rFonts w:hint="eastAsia"/>
        </w:rPr>
        <w:t>校准结果不得超出适用量程、适用状态和适用条件使用。</w:t>
      </w:r>
    </w:p>
    <w:p w14:paraId="3D4FAD76">
      <w:pPr>
        <w:pStyle w:val="164"/>
        <w:spacing w:line="360" w:lineRule="auto"/>
      </w:pPr>
      <w:r>
        <w:rPr>
          <w:rFonts w:hint="eastAsia"/>
        </w:rPr>
        <w:t>对附有限制条件的远程校准结果，应在证书或者结果文件中明确限制条件。</w:t>
      </w:r>
    </w:p>
    <w:p w14:paraId="03A9519B">
      <w:pPr>
        <w:pStyle w:val="164"/>
        <w:spacing w:line="360" w:lineRule="auto"/>
      </w:pPr>
      <w:r>
        <w:rPr>
          <w:rFonts w:hint="eastAsia"/>
        </w:rPr>
        <w:t>使用方提出超出证书边界的解释要求时，应按规定重新评估，不得口头扩展解释。</w:t>
      </w:r>
    </w:p>
    <w:p w14:paraId="45B71F3F">
      <w:pPr>
        <w:pStyle w:val="105"/>
        <w:spacing w:before="120" w:after="120" w:line="360" w:lineRule="auto"/>
      </w:pPr>
      <w:r>
        <w:rPr>
          <w:rFonts w:hint="eastAsia"/>
        </w:rPr>
        <w:t>信息安全事件与结果争议处理</w:t>
      </w:r>
    </w:p>
    <w:p w14:paraId="1D5454FC">
      <w:pPr>
        <w:pStyle w:val="65"/>
        <w:spacing w:before="120" w:after="120" w:line="360" w:lineRule="auto"/>
      </w:pPr>
      <w:r>
        <w:rPr>
          <w:rFonts w:hint="eastAsia"/>
        </w:rPr>
        <w:t>信息安全事件处理</w:t>
      </w:r>
    </w:p>
    <w:p w14:paraId="72BC3F04">
      <w:pPr>
        <w:pStyle w:val="164"/>
        <w:spacing w:line="360" w:lineRule="auto"/>
      </w:pPr>
      <w:r>
        <w:rPr>
          <w:rFonts w:hint="eastAsia"/>
        </w:rPr>
        <w:t>出现未授权访问、异常控制、数据泄露、日志异常、证书异常生成或者其他信息安全事件时，应立即启动应急处置。</w:t>
      </w:r>
    </w:p>
    <w:p w14:paraId="048D5140">
      <w:pPr>
        <w:pStyle w:val="164"/>
        <w:spacing w:line="360" w:lineRule="auto"/>
      </w:pPr>
      <w:r>
        <w:rPr>
          <w:rFonts w:hint="eastAsia"/>
        </w:rPr>
        <w:t>信息安全事件应做到及时发现、及时控制、及时上报、及时调查和及时整改。</w:t>
      </w:r>
    </w:p>
    <w:p w14:paraId="155BAAA3">
      <w:pPr>
        <w:pStyle w:val="164"/>
        <w:spacing w:line="360" w:lineRule="auto"/>
      </w:pPr>
      <w:r>
        <w:rPr>
          <w:rFonts w:hint="eastAsia"/>
        </w:rPr>
        <w:t>信息安全事件处理完成前，相关任务结果不得直接对外使用。</w:t>
      </w:r>
    </w:p>
    <w:p w14:paraId="43348295">
      <w:pPr>
        <w:pStyle w:val="65"/>
        <w:spacing w:before="120" w:after="120" w:line="360" w:lineRule="auto"/>
      </w:pPr>
      <w:r>
        <w:rPr>
          <w:rFonts w:hint="eastAsia"/>
        </w:rPr>
        <w:t>结果争议处理</w:t>
      </w:r>
    </w:p>
    <w:p w14:paraId="370C190F">
      <w:pPr>
        <w:pStyle w:val="164"/>
        <w:spacing w:line="360" w:lineRule="auto"/>
      </w:pPr>
      <w:r>
        <w:rPr>
          <w:rFonts w:hint="eastAsia"/>
        </w:rPr>
        <w:t>对校准结果存在异议时，应建立受理、核查、复核和反馈机制。</w:t>
      </w:r>
    </w:p>
    <w:p w14:paraId="78F438EF">
      <w:pPr>
        <w:pStyle w:val="164"/>
        <w:spacing w:line="360" w:lineRule="auto"/>
      </w:pPr>
      <w:r>
        <w:rPr>
          <w:rFonts w:hint="eastAsia"/>
        </w:rPr>
        <w:t>结果争议核查应基于原始数据、环境记录、视频记录、日志记录、结果计算记录和证书记录实施。</w:t>
      </w:r>
    </w:p>
    <w:p w14:paraId="475809C2">
      <w:pPr>
        <w:pStyle w:val="164"/>
        <w:spacing w:line="360" w:lineRule="auto"/>
      </w:pPr>
      <w:r>
        <w:rPr>
          <w:rFonts w:hint="eastAsia"/>
        </w:rPr>
        <w:t>争议处理结论应形成记录，并明确是否维持原结论、修正结论、重新校准或者作废原结果。</w:t>
      </w:r>
    </w:p>
    <w:p w14:paraId="697C407D">
      <w:pPr>
        <w:pStyle w:val="105"/>
        <w:spacing w:before="120" w:after="120" w:line="360" w:lineRule="auto"/>
      </w:pPr>
      <w:r>
        <w:rPr>
          <w:rFonts w:hint="eastAsia"/>
        </w:rPr>
        <w:t>禁止性要求</w:t>
      </w:r>
    </w:p>
    <w:p w14:paraId="74D1DA87">
      <w:pPr>
        <w:pStyle w:val="165"/>
        <w:spacing w:line="360" w:lineRule="auto"/>
      </w:pPr>
      <w:r>
        <w:rPr>
          <w:rFonts w:hint="eastAsia"/>
        </w:rPr>
        <w:t>不得在权限失控、日志缺失或者数据安全状态不明的情况下继续出具校准结果。</w:t>
      </w:r>
    </w:p>
    <w:p w14:paraId="32CEADFB">
      <w:pPr>
        <w:pStyle w:val="165"/>
        <w:spacing w:line="360" w:lineRule="auto"/>
      </w:pPr>
      <w:r>
        <w:rPr>
          <w:rFonts w:hint="eastAsia"/>
        </w:rPr>
        <w:t>不得在结果未确认、证据未闭环的情况下生成正式证书。</w:t>
      </w:r>
    </w:p>
    <w:p w14:paraId="055F7B20">
      <w:pPr>
        <w:pStyle w:val="165"/>
        <w:spacing w:line="360" w:lineRule="auto"/>
      </w:pPr>
      <w:r>
        <w:rPr>
          <w:rFonts w:hint="eastAsia"/>
        </w:rPr>
        <w:t>不得擅自修改、复制、转发或者销毁正式证书和关键证据数据。</w:t>
      </w:r>
    </w:p>
    <w:p w14:paraId="0403CD82">
      <w:pPr>
        <w:pStyle w:val="165"/>
        <w:spacing w:line="360" w:lineRule="auto"/>
      </w:pPr>
      <w:r>
        <w:rPr>
          <w:rFonts w:hint="eastAsia"/>
        </w:rPr>
        <w:t>不得将测试用模板、临时模板或者非受控模板用于正式证书生成。</w:t>
      </w:r>
    </w:p>
    <w:p w14:paraId="26CA8180">
      <w:pPr>
        <w:pStyle w:val="165"/>
        <w:spacing w:line="360" w:lineRule="auto"/>
      </w:pPr>
      <w:r>
        <w:rPr>
          <w:rFonts w:hint="eastAsia"/>
        </w:rPr>
        <w:t>不得对争议结果仅作口头解释而不开展正式核查。</w:t>
      </w:r>
    </w:p>
    <w:p w14:paraId="3744845D">
      <w:pPr>
        <w:pStyle w:val="104"/>
        <w:spacing w:before="240" w:after="240" w:line="360" w:lineRule="auto"/>
      </w:pPr>
      <w:bookmarkStart w:id="56" w:name="_Toc228601781"/>
      <w:r>
        <w:rPr>
          <w:rFonts w:hint="eastAsia"/>
        </w:rPr>
        <w:t>资料归档、质量控制与持续改进</w:t>
      </w:r>
      <w:bookmarkEnd w:id="56"/>
    </w:p>
    <w:p w14:paraId="6BA1F25A">
      <w:pPr>
        <w:pStyle w:val="105"/>
        <w:spacing w:before="120" w:after="120" w:line="360" w:lineRule="auto"/>
      </w:pPr>
      <w:r>
        <w:rPr>
          <w:rFonts w:hint="eastAsia"/>
        </w:rPr>
        <w:t>一般规定</w:t>
      </w:r>
    </w:p>
    <w:p w14:paraId="023DF4EC">
      <w:pPr>
        <w:pStyle w:val="165"/>
        <w:spacing w:line="360" w:lineRule="auto"/>
      </w:pPr>
      <w:r>
        <w:rPr>
          <w:rFonts w:hint="eastAsia"/>
        </w:rPr>
        <w:t>智能计量器具远程校准活动应建立资料归档、质量控制和持续改进机制。</w:t>
      </w:r>
    </w:p>
    <w:p w14:paraId="2BA2B5BB">
      <w:pPr>
        <w:pStyle w:val="165"/>
        <w:spacing w:line="360" w:lineRule="auto"/>
      </w:pPr>
      <w:r>
        <w:rPr>
          <w:rFonts w:hint="eastAsia"/>
        </w:rPr>
        <w:t>资料归档应覆盖任务管理、过程控制、原始数据、结果确认、证书管理和异常处置全过程。</w:t>
      </w:r>
    </w:p>
    <w:p w14:paraId="74AA3E30">
      <w:pPr>
        <w:pStyle w:val="165"/>
        <w:spacing w:line="360" w:lineRule="auto"/>
      </w:pPr>
      <w:r>
        <w:rPr>
          <w:rFonts w:hint="eastAsia"/>
        </w:rPr>
        <w:t>质量控制应贯穿远程校准准备、实施、结果处理、证书发放和归档全流程。</w:t>
      </w:r>
    </w:p>
    <w:p w14:paraId="7C881C71">
      <w:pPr>
        <w:pStyle w:val="165"/>
        <w:spacing w:line="360" w:lineRule="auto"/>
      </w:pPr>
      <w:r>
        <w:rPr>
          <w:rFonts w:hint="eastAsia"/>
        </w:rPr>
        <w:t>持续改进应基于质量监测、问题分析、异常复盘、结果争议和技术发展情况实施。</w:t>
      </w:r>
    </w:p>
    <w:p w14:paraId="6FE2DA50">
      <w:pPr>
        <w:pStyle w:val="165"/>
        <w:numPr>
          <w:ilvl w:val="0"/>
          <w:numId w:val="0"/>
        </w:numPr>
        <w:spacing w:line="360" w:lineRule="auto"/>
      </w:pPr>
    </w:p>
    <w:p w14:paraId="2C9BEB8B">
      <w:pPr>
        <w:pStyle w:val="165"/>
        <w:numPr>
          <w:ilvl w:val="0"/>
          <w:numId w:val="0"/>
        </w:numPr>
        <w:spacing w:line="360" w:lineRule="auto"/>
        <w:rPr>
          <w:rFonts w:hint="eastAsia"/>
        </w:rPr>
      </w:pPr>
    </w:p>
    <w:p w14:paraId="258B3CAB">
      <w:pPr>
        <w:pStyle w:val="105"/>
        <w:spacing w:before="120" w:after="120" w:line="360" w:lineRule="auto"/>
      </w:pPr>
      <w:r>
        <w:rPr>
          <w:rFonts w:hint="eastAsia"/>
        </w:rPr>
        <w:t>资料归档要求</w:t>
      </w:r>
    </w:p>
    <w:p w14:paraId="0DACC1C8">
      <w:pPr>
        <w:pStyle w:val="65"/>
        <w:spacing w:before="120" w:after="120" w:line="360" w:lineRule="auto"/>
      </w:pPr>
      <w:r>
        <w:rPr>
          <w:rFonts w:hint="eastAsia"/>
        </w:rPr>
        <w:t>一般要求</w:t>
      </w:r>
    </w:p>
    <w:p w14:paraId="14971666">
      <w:pPr>
        <w:pStyle w:val="164"/>
        <w:spacing w:line="360" w:lineRule="auto"/>
      </w:pPr>
      <w:r>
        <w:rPr>
          <w:rFonts w:hint="eastAsia"/>
        </w:rPr>
        <w:t>远程校准任务完成后，应及时进行资料整理和归档。</w:t>
      </w:r>
    </w:p>
    <w:p w14:paraId="3C35DDB5">
      <w:pPr>
        <w:pStyle w:val="164"/>
        <w:spacing w:line="360" w:lineRule="auto"/>
      </w:pPr>
      <w:r>
        <w:rPr>
          <w:rFonts w:hint="eastAsia"/>
        </w:rPr>
        <w:t>归档资料应真实、完整、可检索、可追溯和可复核。</w:t>
      </w:r>
    </w:p>
    <w:p w14:paraId="544C52D1">
      <w:pPr>
        <w:pStyle w:val="164"/>
        <w:spacing w:line="360" w:lineRule="auto"/>
      </w:pPr>
      <w:r>
        <w:rPr>
          <w:rFonts w:hint="eastAsia"/>
        </w:rPr>
        <w:t>纸质资料和电子资料并存时，应保持内容一致。</w:t>
      </w:r>
    </w:p>
    <w:p w14:paraId="3FFFA703">
      <w:pPr>
        <w:pStyle w:val="65"/>
        <w:spacing w:before="120" w:after="120" w:line="360" w:lineRule="auto"/>
      </w:pPr>
      <w:r>
        <w:rPr>
          <w:rFonts w:hint="eastAsia"/>
        </w:rPr>
        <w:t>归档内容</w:t>
      </w:r>
    </w:p>
    <w:p w14:paraId="7F1E7975">
      <w:pPr>
        <w:pStyle w:val="164"/>
        <w:spacing w:line="360" w:lineRule="auto"/>
      </w:pPr>
      <w:r>
        <w:rPr>
          <w:rFonts w:hint="eastAsia"/>
        </w:rPr>
        <w:t>归档资料宜至少包括下列内容：</w:t>
      </w:r>
    </w:p>
    <w:p w14:paraId="6E6FDE77">
      <w:pPr>
        <w:pStyle w:val="56"/>
        <w:spacing w:line="360" w:lineRule="auto"/>
        <w:ind w:firstLine="420"/>
      </w:pPr>
      <w:r>
        <w:rPr>
          <w:rFonts w:hint="eastAsia"/>
        </w:rPr>
        <w:t>a）校准任务单；</w:t>
      </w:r>
    </w:p>
    <w:p w14:paraId="54B65CF0">
      <w:pPr>
        <w:pStyle w:val="56"/>
        <w:spacing w:line="360" w:lineRule="auto"/>
        <w:ind w:firstLine="420"/>
      </w:pPr>
      <w:r>
        <w:rPr>
          <w:rFonts w:hint="eastAsia"/>
        </w:rPr>
        <w:t>b）远程可校性判定记录；</w:t>
      </w:r>
    </w:p>
    <w:p w14:paraId="731837A1">
      <w:pPr>
        <w:pStyle w:val="56"/>
        <w:spacing w:line="360" w:lineRule="auto"/>
        <w:ind w:firstLine="420"/>
      </w:pPr>
      <w:r>
        <w:rPr>
          <w:rFonts w:hint="eastAsia"/>
        </w:rPr>
        <w:t>c）身份认证与权限记录；</w:t>
      </w:r>
    </w:p>
    <w:p w14:paraId="031B1088">
      <w:pPr>
        <w:pStyle w:val="56"/>
        <w:spacing w:line="360" w:lineRule="auto"/>
        <w:ind w:firstLine="420"/>
      </w:pPr>
      <w:r>
        <w:rPr>
          <w:rFonts w:hint="eastAsia"/>
        </w:rPr>
        <w:t>d）实施条件确认记录；</w:t>
      </w:r>
    </w:p>
    <w:p w14:paraId="4055DA64">
      <w:pPr>
        <w:pStyle w:val="56"/>
        <w:spacing w:line="360" w:lineRule="auto"/>
        <w:ind w:firstLine="420"/>
      </w:pPr>
      <w:r>
        <w:rPr>
          <w:rFonts w:hint="eastAsia"/>
        </w:rPr>
        <w:t>e）标准器具状态记录；</w:t>
      </w:r>
    </w:p>
    <w:p w14:paraId="38A815E2">
      <w:pPr>
        <w:pStyle w:val="56"/>
        <w:spacing w:line="360" w:lineRule="auto"/>
        <w:ind w:firstLine="420"/>
      </w:pPr>
      <w:r>
        <w:rPr>
          <w:rFonts w:hint="eastAsia"/>
        </w:rPr>
        <w:t>f）原始校准数据；</w:t>
      </w:r>
    </w:p>
    <w:p w14:paraId="235C4AA2">
      <w:pPr>
        <w:pStyle w:val="56"/>
        <w:spacing w:line="360" w:lineRule="auto"/>
        <w:ind w:firstLine="420"/>
      </w:pPr>
      <w:r>
        <w:rPr>
          <w:rFonts w:hint="eastAsia"/>
        </w:rPr>
        <w:t>g）环境监测记录；</w:t>
      </w:r>
    </w:p>
    <w:p w14:paraId="26A7DFED">
      <w:pPr>
        <w:pStyle w:val="56"/>
        <w:spacing w:line="360" w:lineRule="auto"/>
        <w:ind w:firstLine="420"/>
      </w:pPr>
      <w:r>
        <w:rPr>
          <w:rFonts w:hint="eastAsia"/>
        </w:rPr>
        <w:t>h）视频见证记录；</w:t>
      </w:r>
    </w:p>
    <w:p w14:paraId="11464DFC">
      <w:pPr>
        <w:pStyle w:val="56"/>
        <w:spacing w:line="360" w:lineRule="auto"/>
        <w:ind w:firstLine="420"/>
      </w:pPr>
      <w:r>
        <w:rPr>
          <w:rFonts w:hint="eastAsia"/>
        </w:rPr>
        <w:t>i）系统日志记录；</w:t>
      </w:r>
    </w:p>
    <w:p w14:paraId="512A6994">
      <w:pPr>
        <w:pStyle w:val="56"/>
        <w:spacing w:line="360" w:lineRule="auto"/>
        <w:ind w:firstLine="420"/>
      </w:pPr>
      <w:r>
        <w:rPr>
          <w:rFonts w:hint="eastAsia"/>
        </w:rPr>
        <w:t>j）结果计算与确认记录；</w:t>
      </w:r>
    </w:p>
    <w:p w14:paraId="632132F9">
      <w:pPr>
        <w:pStyle w:val="56"/>
        <w:spacing w:line="360" w:lineRule="auto"/>
        <w:ind w:firstLine="420"/>
      </w:pPr>
      <w:r>
        <w:rPr>
          <w:rFonts w:hint="eastAsia"/>
        </w:rPr>
        <w:t>k）校准证书或者结果文件；</w:t>
      </w:r>
    </w:p>
    <w:p w14:paraId="0BAD5CFE">
      <w:pPr>
        <w:pStyle w:val="56"/>
        <w:spacing w:line="360" w:lineRule="auto"/>
        <w:ind w:firstLine="420"/>
      </w:pPr>
      <w:r>
        <w:rPr>
          <w:rFonts w:hint="eastAsia"/>
        </w:rPr>
        <w:t>l）异常处置记录；</w:t>
      </w:r>
    </w:p>
    <w:p w14:paraId="14D52A48">
      <w:pPr>
        <w:pStyle w:val="56"/>
        <w:spacing w:line="360" w:lineRule="auto"/>
        <w:ind w:firstLine="420"/>
      </w:pPr>
      <w:r>
        <w:rPr>
          <w:rFonts w:hint="eastAsia"/>
        </w:rPr>
        <w:t>m）复核记录；</w:t>
      </w:r>
    </w:p>
    <w:p w14:paraId="50C3D3DD">
      <w:pPr>
        <w:pStyle w:val="56"/>
        <w:spacing w:line="360" w:lineRule="auto"/>
        <w:ind w:firstLine="420"/>
      </w:pPr>
      <w:r>
        <w:rPr>
          <w:rFonts w:hint="eastAsia"/>
        </w:rPr>
        <w:t>n）变更记录；</w:t>
      </w:r>
    </w:p>
    <w:p w14:paraId="123E5FAD">
      <w:pPr>
        <w:pStyle w:val="56"/>
        <w:spacing w:line="360" w:lineRule="auto"/>
        <w:ind w:firstLine="420"/>
      </w:pPr>
      <w:r>
        <w:rPr>
          <w:rFonts w:hint="eastAsia"/>
        </w:rPr>
        <w:t>o）归档记录。</w:t>
      </w:r>
    </w:p>
    <w:p w14:paraId="76ABF9EA">
      <w:pPr>
        <w:pStyle w:val="164"/>
        <w:spacing w:line="360" w:lineRule="auto"/>
      </w:pPr>
      <w:r>
        <w:rPr>
          <w:rFonts w:hint="eastAsia"/>
        </w:rPr>
        <w:t>对高风险任务，应增加专项审核记录和专项见证资料。</w:t>
      </w:r>
    </w:p>
    <w:p w14:paraId="04FE84A2">
      <w:pPr>
        <w:pStyle w:val="65"/>
        <w:spacing w:before="120" w:after="120" w:line="360" w:lineRule="auto"/>
      </w:pPr>
      <w:r>
        <w:rPr>
          <w:rFonts w:hint="eastAsia"/>
        </w:rPr>
        <w:t>归档方式</w:t>
      </w:r>
    </w:p>
    <w:p w14:paraId="4297CD94">
      <w:pPr>
        <w:pStyle w:val="164"/>
        <w:spacing w:line="360" w:lineRule="auto"/>
      </w:pPr>
      <w:r>
        <w:rPr>
          <w:rFonts w:hint="eastAsia"/>
        </w:rPr>
        <w:t>资料归档应按任务编号、器具编号、时间顺序或者项目类别分类整理。</w:t>
      </w:r>
    </w:p>
    <w:p w14:paraId="77203B1C">
      <w:pPr>
        <w:pStyle w:val="164"/>
        <w:spacing w:line="360" w:lineRule="auto"/>
      </w:pPr>
      <w:r>
        <w:rPr>
          <w:rFonts w:hint="eastAsia"/>
        </w:rPr>
        <w:t>电子归档应建立统一目录和检索规则。</w:t>
      </w:r>
    </w:p>
    <w:p w14:paraId="54172EE7">
      <w:pPr>
        <w:pStyle w:val="164"/>
        <w:spacing w:line="360" w:lineRule="auto"/>
      </w:pPr>
      <w:r>
        <w:rPr>
          <w:rFonts w:hint="eastAsia"/>
        </w:rPr>
        <w:t>关键证据数据应建立备份机制。</w:t>
      </w:r>
    </w:p>
    <w:p w14:paraId="7E604472">
      <w:pPr>
        <w:pStyle w:val="164"/>
        <w:spacing w:line="360" w:lineRule="auto"/>
      </w:pPr>
      <w:r>
        <w:rPr>
          <w:rFonts w:hint="eastAsia"/>
        </w:rPr>
        <w:t>未完成归档的任务，不得视为正式闭环完成。</w:t>
      </w:r>
    </w:p>
    <w:p w14:paraId="44BE9006">
      <w:pPr>
        <w:pStyle w:val="164"/>
        <w:numPr>
          <w:ilvl w:val="0"/>
          <w:numId w:val="0"/>
        </w:numPr>
        <w:spacing w:line="360" w:lineRule="auto"/>
      </w:pPr>
    </w:p>
    <w:p w14:paraId="4F36C020">
      <w:pPr>
        <w:pStyle w:val="164"/>
        <w:numPr>
          <w:ilvl w:val="0"/>
          <w:numId w:val="0"/>
        </w:numPr>
        <w:spacing w:line="360" w:lineRule="auto"/>
      </w:pPr>
    </w:p>
    <w:p w14:paraId="2F5C660B">
      <w:pPr>
        <w:pStyle w:val="164"/>
        <w:numPr>
          <w:ilvl w:val="0"/>
          <w:numId w:val="0"/>
        </w:numPr>
        <w:spacing w:line="360" w:lineRule="auto"/>
        <w:rPr>
          <w:rFonts w:hint="eastAsia"/>
        </w:rPr>
      </w:pPr>
    </w:p>
    <w:p w14:paraId="7B8FCD80">
      <w:pPr>
        <w:pStyle w:val="105"/>
        <w:spacing w:before="120" w:after="120" w:line="360" w:lineRule="auto"/>
      </w:pPr>
      <w:r>
        <w:rPr>
          <w:rFonts w:hint="eastAsia"/>
        </w:rPr>
        <w:t>质量控制要求</w:t>
      </w:r>
    </w:p>
    <w:p w14:paraId="70EE871D">
      <w:pPr>
        <w:pStyle w:val="65"/>
        <w:spacing w:before="120" w:after="120" w:line="360" w:lineRule="auto"/>
      </w:pPr>
      <w:r>
        <w:rPr>
          <w:rFonts w:hint="eastAsia"/>
        </w:rPr>
        <w:t>一般要求</w:t>
      </w:r>
    </w:p>
    <w:p w14:paraId="020BB4E4">
      <w:pPr>
        <w:pStyle w:val="164"/>
        <w:spacing w:line="360" w:lineRule="auto"/>
      </w:pPr>
      <w:r>
        <w:rPr>
          <w:rFonts w:hint="eastAsia"/>
        </w:rPr>
        <w:t>远程校准活动应建立全过程质量控制机制。</w:t>
      </w:r>
    </w:p>
    <w:p w14:paraId="7A6CA46A">
      <w:pPr>
        <w:pStyle w:val="164"/>
        <w:spacing w:line="360" w:lineRule="auto"/>
      </w:pPr>
      <w:r>
        <w:rPr>
          <w:rFonts w:hint="eastAsia"/>
        </w:rPr>
        <w:t>质量控制应覆盖系统质量、环境质量、数据质量、实施质量、结果质量和证书质量。</w:t>
      </w:r>
    </w:p>
    <w:p w14:paraId="6C1A9250">
      <w:pPr>
        <w:pStyle w:val="164"/>
        <w:spacing w:line="360" w:lineRule="auto"/>
      </w:pPr>
      <w:r>
        <w:rPr>
          <w:rFonts w:hint="eastAsia"/>
        </w:rPr>
        <w:t>质量控制应坚持事前预防、事中监控、事后复核和问题闭环原则。</w:t>
      </w:r>
    </w:p>
    <w:p w14:paraId="143D3A97">
      <w:pPr>
        <w:pStyle w:val="65"/>
        <w:spacing w:before="120" w:after="120" w:line="360" w:lineRule="auto"/>
      </w:pPr>
      <w:r>
        <w:rPr>
          <w:rFonts w:hint="eastAsia"/>
        </w:rPr>
        <w:t>质量控制内容</w:t>
      </w:r>
    </w:p>
    <w:p w14:paraId="1473AF3C">
      <w:pPr>
        <w:pStyle w:val="56"/>
        <w:spacing w:line="360" w:lineRule="auto"/>
        <w:ind w:firstLine="420"/>
      </w:pPr>
      <w:r>
        <w:rPr>
          <w:rFonts w:hint="eastAsia"/>
        </w:rPr>
        <w:t>质量控制宜至少包括下列内容：</w:t>
      </w:r>
    </w:p>
    <w:p w14:paraId="26D7FADF">
      <w:pPr>
        <w:pStyle w:val="56"/>
        <w:spacing w:line="360" w:lineRule="auto"/>
        <w:ind w:firstLine="420"/>
      </w:pPr>
      <w:r>
        <w:rPr>
          <w:rFonts w:hint="eastAsia"/>
        </w:rPr>
        <w:t>a）远程可校性判定是否规范；</w:t>
      </w:r>
    </w:p>
    <w:p w14:paraId="46BFF848">
      <w:pPr>
        <w:pStyle w:val="56"/>
        <w:spacing w:line="360" w:lineRule="auto"/>
        <w:ind w:firstLine="420"/>
      </w:pPr>
      <w:r>
        <w:rPr>
          <w:rFonts w:hint="eastAsia"/>
        </w:rPr>
        <w:t>b）系统联调是否有效；</w:t>
      </w:r>
    </w:p>
    <w:p w14:paraId="4DA4AFA2">
      <w:pPr>
        <w:pStyle w:val="56"/>
        <w:spacing w:line="360" w:lineRule="auto"/>
        <w:ind w:firstLine="420"/>
      </w:pPr>
      <w:r>
        <w:rPr>
          <w:rFonts w:hint="eastAsia"/>
        </w:rPr>
        <w:t>c）标准器具使用是否合规；</w:t>
      </w:r>
    </w:p>
    <w:p w14:paraId="41F2ACA6">
      <w:pPr>
        <w:pStyle w:val="56"/>
        <w:spacing w:line="360" w:lineRule="auto"/>
        <w:ind w:firstLine="420"/>
      </w:pPr>
      <w:r>
        <w:rPr>
          <w:rFonts w:hint="eastAsia"/>
        </w:rPr>
        <w:t>d）环境确认是否充分；</w:t>
      </w:r>
    </w:p>
    <w:p w14:paraId="15D62B22">
      <w:pPr>
        <w:pStyle w:val="56"/>
        <w:spacing w:line="360" w:lineRule="auto"/>
        <w:ind w:firstLine="420"/>
      </w:pPr>
      <w:r>
        <w:rPr>
          <w:rFonts w:hint="eastAsia"/>
        </w:rPr>
        <w:t>e）数据采集是否完整；</w:t>
      </w:r>
    </w:p>
    <w:p w14:paraId="54416E20">
      <w:pPr>
        <w:pStyle w:val="56"/>
        <w:spacing w:line="360" w:lineRule="auto"/>
        <w:ind w:firstLine="420"/>
      </w:pPr>
      <w:r>
        <w:rPr>
          <w:rFonts w:hint="eastAsia"/>
        </w:rPr>
        <w:t>f）关键测点是否复核；</w:t>
      </w:r>
    </w:p>
    <w:p w14:paraId="6D2A92FF">
      <w:pPr>
        <w:pStyle w:val="56"/>
        <w:spacing w:line="360" w:lineRule="auto"/>
        <w:ind w:firstLine="420"/>
      </w:pPr>
      <w:r>
        <w:rPr>
          <w:rFonts w:hint="eastAsia"/>
        </w:rPr>
        <w:t>g）异常处置是否及时；</w:t>
      </w:r>
    </w:p>
    <w:p w14:paraId="15562485">
      <w:pPr>
        <w:pStyle w:val="56"/>
        <w:spacing w:line="360" w:lineRule="auto"/>
        <w:ind w:firstLine="420"/>
      </w:pPr>
      <w:r>
        <w:rPr>
          <w:rFonts w:hint="eastAsia"/>
        </w:rPr>
        <w:t>h）结果确认是否规范；</w:t>
      </w:r>
    </w:p>
    <w:p w14:paraId="24C3BABD">
      <w:pPr>
        <w:pStyle w:val="56"/>
        <w:spacing w:line="360" w:lineRule="auto"/>
        <w:ind w:firstLine="420"/>
      </w:pPr>
      <w:r>
        <w:rPr>
          <w:rFonts w:hint="eastAsia"/>
        </w:rPr>
        <w:t>i）证书内容是否准确；</w:t>
      </w:r>
    </w:p>
    <w:p w14:paraId="31D5E825">
      <w:pPr>
        <w:pStyle w:val="56"/>
        <w:spacing w:line="360" w:lineRule="auto"/>
        <w:ind w:firstLine="420"/>
      </w:pPr>
      <w:r>
        <w:rPr>
          <w:rFonts w:hint="eastAsia"/>
        </w:rPr>
        <w:t>j）资料归档是否完整。</w:t>
      </w:r>
    </w:p>
    <w:p w14:paraId="5205090F">
      <w:pPr>
        <w:pStyle w:val="56"/>
        <w:spacing w:line="360" w:lineRule="auto"/>
        <w:ind w:firstLine="420"/>
      </w:pPr>
      <w:r>
        <w:rPr>
          <w:rFonts w:hint="eastAsia"/>
        </w:rPr>
        <w:t>对重复发生问题、系统性问题和高风险问题，应开展专项质量控制。</w:t>
      </w:r>
    </w:p>
    <w:p w14:paraId="656395C3">
      <w:pPr>
        <w:pStyle w:val="105"/>
        <w:spacing w:before="120" w:after="120" w:line="360" w:lineRule="auto"/>
      </w:pPr>
      <w:r>
        <w:rPr>
          <w:rFonts w:hint="eastAsia"/>
        </w:rPr>
        <w:t>质量监测与抽查</w:t>
      </w:r>
    </w:p>
    <w:p w14:paraId="031F4055">
      <w:pPr>
        <w:pStyle w:val="65"/>
        <w:spacing w:before="120" w:after="120" w:line="360" w:lineRule="auto"/>
      </w:pPr>
      <w:r>
        <w:rPr>
          <w:rFonts w:hint="eastAsia"/>
        </w:rPr>
        <w:t>一般要求</w:t>
      </w:r>
    </w:p>
    <w:p w14:paraId="00BE595B">
      <w:pPr>
        <w:pStyle w:val="164"/>
        <w:spacing w:line="360" w:lineRule="auto"/>
      </w:pPr>
      <w:r>
        <w:rPr>
          <w:rFonts w:hint="eastAsia"/>
        </w:rPr>
        <w:t>开展远程校准的单位应建立质量监测和抽查机制。</w:t>
      </w:r>
    </w:p>
    <w:p w14:paraId="6165CF84">
      <w:pPr>
        <w:pStyle w:val="164"/>
        <w:spacing w:line="360" w:lineRule="auto"/>
      </w:pPr>
      <w:r>
        <w:rPr>
          <w:rFonts w:hint="eastAsia"/>
        </w:rPr>
        <w:t>质量监测可采用系统监测、日志审计、视频抽查、结果复核、任务复盘和现场回查等方式实施。</w:t>
      </w:r>
    </w:p>
    <w:p w14:paraId="66B77760">
      <w:pPr>
        <w:pStyle w:val="65"/>
        <w:spacing w:before="120" w:after="120" w:line="360" w:lineRule="auto"/>
      </w:pPr>
      <w:r>
        <w:rPr>
          <w:rFonts w:hint="eastAsia"/>
        </w:rPr>
        <w:t>抽查要求</w:t>
      </w:r>
    </w:p>
    <w:p w14:paraId="64FE498F">
      <w:pPr>
        <w:pStyle w:val="164"/>
        <w:spacing w:line="360" w:lineRule="auto"/>
      </w:pPr>
      <w:r>
        <w:rPr>
          <w:rFonts w:hint="eastAsia"/>
        </w:rPr>
        <w:t>抽查宜覆盖下列内容：</w:t>
      </w:r>
    </w:p>
    <w:p w14:paraId="6678A547">
      <w:pPr>
        <w:pStyle w:val="56"/>
        <w:spacing w:line="360" w:lineRule="auto"/>
        <w:ind w:firstLine="420"/>
      </w:pPr>
      <w:r>
        <w:rPr>
          <w:rFonts w:hint="eastAsia"/>
        </w:rPr>
        <w:t>a）首次实施任务；</w:t>
      </w:r>
    </w:p>
    <w:p w14:paraId="3D6977D9">
      <w:pPr>
        <w:pStyle w:val="56"/>
        <w:spacing w:line="360" w:lineRule="auto"/>
        <w:ind w:firstLine="420"/>
      </w:pPr>
      <w:r>
        <w:rPr>
          <w:rFonts w:hint="eastAsia"/>
        </w:rPr>
        <w:t>b）关键行业任务；</w:t>
      </w:r>
    </w:p>
    <w:p w14:paraId="12279E9F">
      <w:pPr>
        <w:pStyle w:val="56"/>
        <w:spacing w:line="360" w:lineRule="auto"/>
        <w:ind w:firstLine="420"/>
      </w:pPr>
      <w:r>
        <w:rPr>
          <w:rFonts w:hint="eastAsia"/>
        </w:rPr>
        <w:t>c）高风险任务；</w:t>
      </w:r>
    </w:p>
    <w:p w14:paraId="14FCE4A0">
      <w:pPr>
        <w:pStyle w:val="56"/>
        <w:spacing w:line="360" w:lineRule="auto"/>
        <w:ind w:firstLine="420"/>
      </w:pPr>
      <w:r>
        <w:rPr>
          <w:rFonts w:hint="eastAsia"/>
        </w:rPr>
        <w:t>d）异常中止后恢复任务；</w:t>
      </w:r>
    </w:p>
    <w:p w14:paraId="44DB7DB4">
      <w:pPr>
        <w:pStyle w:val="56"/>
        <w:spacing w:line="360" w:lineRule="auto"/>
        <w:ind w:firstLine="420"/>
      </w:pPr>
      <w:r>
        <w:rPr>
          <w:rFonts w:hint="eastAsia"/>
        </w:rPr>
        <w:t>e）多点多量程复杂任务；</w:t>
      </w:r>
    </w:p>
    <w:p w14:paraId="0E55D4CC">
      <w:pPr>
        <w:pStyle w:val="56"/>
        <w:spacing w:line="360" w:lineRule="auto"/>
        <w:ind w:firstLine="420"/>
      </w:pPr>
      <w:r>
        <w:rPr>
          <w:rFonts w:hint="eastAsia"/>
        </w:rPr>
        <w:t>f）远程控制参与程度高的任务。</w:t>
      </w:r>
    </w:p>
    <w:p w14:paraId="30265AFE">
      <w:pPr>
        <w:pStyle w:val="164"/>
        <w:spacing w:line="360" w:lineRule="auto"/>
      </w:pPr>
      <w:r>
        <w:rPr>
          <w:rFonts w:hint="eastAsia"/>
        </w:rPr>
        <w:t>抽查应形成记录，并明确抽查结论和整改意见。</w:t>
      </w:r>
    </w:p>
    <w:p w14:paraId="4BA67171">
      <w:pPr>
        <w:pStyle w:val="105"/>
        <w:spacing w:before="120" w:after="120" w:line="360" w:lineRule="auto"/>
      </w:pPr>
      <w:r>
        <w:rPr>
          <w:rFonts w:hint="eastAsia"/>
        </w:rPr>
        <w:t>质量问题管理</w:t>
      </w:r>
    </w:p>
    <w:p w14:paraId="50BB0C1E">
      <w:pPr>
        <w:pStyle w:val="65"/>
        <w:spacing w:before="120" w:after="120" w:line="360" w:lineRule="auto"/>
      </w:pPr>
      <w:r>
        <w:rPr>
          <w:rFonts w:hint="eastAsia"/>
        </w:rPr>
        <w:t>一般要求</w:t>
      </w:r>
    </w:p>
    <w:p w14:paraId="75BF5FFB">
      <w:pPr>
        <w:pStyle w:val="164"/>
        <w:spacing w:line="360" w:lineRule="auto"/>
      </w:pPr>
      <w:r>
        <w:rPr>
          <w:rFonts w:hint="eastAsia"/>
        </w:rPr>
        <w:t>远程校准活动中发现的质量问题应统一纳入问题管理。</w:t>
      </w:r>
    </w:p>
    <w:p w14:paraId="1A292AA2">
      <w:pPr>
        <w:pStyle w:val="164"/>
        <w:spacing w:line="360" w:lineRule="auto"/>
      </w:pPr>
      <w:r>
        <w:rPr>
          <w:rFonts w:hint="eastAsia"/>
        </w:rPr>
        <w:t>质量问题可包括记录不完整、数据异常未处置、环境确认不足、证据链断裂、参数错误、证书错误和权限控制失效等情形。</w:t>
      </w:r>
    </w:p>
    <w:p w14:paraId="39F808AE">
      <w:pPr>
        <w:pStyle w:val="65"/>
        <w:spacing w:before="120" w:after="120" w:line="360" w:lineRule="auto"/>
      </w:pPr>
      <w:r>
        <w:rPr>
          <w:rFonts w:hint="eastAsia"/>
        </w:rPr>
        <w:t>问题分级</w:t>
      </w:r>
    </w:p>
    <w:p w14:paraId="55BCEB49">
      <w:pPr>
        <w:pStyle w:val="164"/>
        <w:spacing w:line="360" w:lineRule="auto"/>
      </w:pPr>
      <w:r>
        <w:rPr>
          <w:rFonts w:hint="eastAsia"/>
        </w:rPr>
        <w:t>质量问题宜分为一般问题、重要问题和严重问题。</w:t>
      </w:r>
    </w:p>
    <w:p w14:paraId="1D3AA151">
      <w:pPr>
        <w:pStyle w:val="164"/>
        <w:spacing w:line="360" w:lineRule="auto"/>
      </w:pPr>
      <w:r>
        <w:rPr>
          <w:rFonts w:hint="eastAsia"/>
        </w:rPr>
        <w:t>严重问题包括但不限于下列情形：</w:t>
      </w:r>
    </w:p>
    <w:p w14:paraId="315D407E">
      <w:pPr>
        <w:pStyle w:val="56"/>
        <w:spacing w:line="360" w:lineRule="auto"/>
        <w:ind w:firstLine="420"/>
      </w:pPr>
      <w:r>
        <w:rPr>
          <w:rFonts w:hint="eastAsia"/>
        </w:rPr>
        <w:t>a）影响量值准确性；</w:t>
      </w:r>
    </w:p>
    <w:p w14:paraId="617FF3F8">
      <w:pPr>
        <w:pStyle w:val="56"/>
        <w:spacing w:line="360" w:lineRule="auto"/>
        <w:ind w:firstLine="420"/>
      </w:pPr>
      <w:r>
        <w:rPr>
          <w:rFonts w:hint="eastAsia"/>
        </w:rPr>
        <w:t>b）影响结果有效性；</w:t>
      </w:r>
    </w:p>
    <w:p w14:paraId="04BF54E7">
      <w:pPr>
        <w:pStyle w:val="56"/>
        <w:spacing w:line="360" w:lineRule="auto"/>
        <w:ind w:firstLine="420"/>
      </w:pPr>
      <w:r>
        <w:rPr>
          <w:rFonts w:hint="eastAsia"/>
        </w:rPr>
        <w:t>c）导致证据不可追溯；</w:t>
      </w:r>
    </w:p>
    <w:p w14:paraId="3B28D34C">
      <w:pPr>
        <w:pStyle w:val="56"/>
        <w:spacing w:line="360" w:lineRule="auto"/>
        <w:ind w:firstLine="420"/>
      </w:pPr>
      <w:r>
        <w:rPr>
          <w:rFonts w:hint="eastAsia"/>
        </w:rPr>
        <w:t>d）导致正式证书错误出具；</w:t>
      </w:r>
    </w:p>
    <w:p w14:paraId="283ED8FC">
      <w:pPr>
        <w:pStyle w:val="56"/>
        <w:spacing w:line="360" w:lineRule="auto"/>
        <w:ind w:firstLine="420"/>
      </w:pPr>
      <w:r>
        <w:rPr>
          <w:rFonts w:hint="eastAsia"/>
        </w:rPr>
        <w:t>e）导致信息安全失控；</w:t>
      </w:r>
    </w:p>
    <w:p w14:paraId="004B7AA9">
      <w:pPr>
        <w:pStyle w:val="56"/>
        <w:spacing w:line="360" w:lineRule="auto"/>
        <w:ind w:firstLine="420"/>
      </w:pPr>
      <w:r>
        <w:rPr>
          <w:rFonts w:hint="eastAsia"/>
        </w:rPr>
        <w:t>f）导致高风险任务结论失真。</w:t>
      </w:r>
    </w:p>
    <w:p w14:paraId="1600C2A8">
      <w:pPr>
        <w:pStyle w:val="65"/>
        <w:spacing w:before="120" w:after="120" w:line="360" w:lineRule="auto"/>
      </w:pPr>
      <w:r>
        <w:rPr>
          <w:rFonts w:hint="eastAsia"/>
        </w:rPr>
        <w:t>问题处置</w:t>
      </w:r>
    </w:p>
    <w:p w14:paraId="2AC1413A">
      <w:pPr>
        <w:pStyle w:val="164"/>
        <w:spacing w:line="360" w:lineRule="auto"/>
      </w:pPr>
      <w:r>
        <w:rPr>
          <w:rFonts w:hint="eastAsia"/>
        </w:rPr>
        <w:t>质量问题应按“发现、登记、分析、整改、复核、销项”的程序闭环管理。</w:t>
      </w:r>
    </w:p>
    <w:p w14:paraId="61C4EC7D">
      <w:pPr>
        <w:pStyle w:val="164"/>
        <w:spacing w:line="360" w:lineRule="auto"/>
      </w:pPr>
      <w:r>
        <w:rPr>
          <w:rFonts w:hint="eastAsia"/>
        </w:rPr>
        <w:t>对严重问题，应立即控制影响范围并优先整改。</w:t>
      </w:r>
    </w:p>
    <w:p w14:paraId="612A830A">
      <w:pPr>
        <w:pStyle w:val="164"/>
        <w:spacing w:line="360" w:lineRule="auto"/>
      </w:pPr>
      <w:r>
        <w:rPr>
          <w:rFonts w:hint="eastAsia"/>
        </w:rPr>
        <w:t>对已经影响正式结果有效性的，应启动结果复查、证书更正、证书作废或者重新校准程序。</w:t>
      </w:r>
    </w:p>
    <w:p w14:paraId="303F27F1">
      <w:pPr>
        <w:pStyle w:val="105"/>
        <w:spacing w:before="120" w:after="120" w:line="360" w:lineRule="auto"/>
      </w:pPr>
      <w:r>
        <w:rPr>
          <w:rFonts w:hint="eastAsia"/>
        </w:rPr>
        <w:t>质量评价要求</w:t>
      </w:r>
    </w:p>
    <w:p w14:paraId="7C638F73">
      <w:pPr>
        <w:pStyle w:val="65"/>
        <w:spacing w:before="120" w:after="120" w:line="360" w:lineRule="auto"/>
      </w:pPr>
      <w:r>
        <w:rPr>
          <w:rFonts w:hint="eastAsia"/>
        </w:rPr>
        <w:t>一般要求</w:t>
      </w:r>
    </w:p>
    <w:p w14:paraId="4F0155AB">
      <w:pPr>
        <w:pStyle w:val="164"/>
        <w:spacing w:line="360" w:lineRule="auto"/>
      </w:pPr>
      <w:r>
        <w:rPr>
          <w:rFonts w:hint="eastAsia"/>
        </w:rPr>
        <w:t>开展远程校准的单位宜定期进行质量评价。</w:t>
      </w:r>
    </w:p>
    <w:p w14:paraId="1FC5A052">
      <w:pPr>
        <w:pStyle w:val="164"/>
        <w:spacing w:line="360" w:lineRule="auto"/>
      </w:pPr>
      <w:r>
        <w:rPr>
          <w:rFonts w:hint="eastAsia"/>
        </w:rPr>
        <w:t>质量评价应围绕任务合规性、系统稳定性、数据完整性、结果一致性、证据充分性和用户反馈情况开展。</w:t>
      </w:r>
    </w:p>
    <w:p w14:paraId="66AC8134">
      <w:pPr>
        <w:pStyle w:val="65"/>
        <w:spacing w:before="120" w:after="120" w:line="360" w:lineRule="auto"/>
      </w:pPr>
      <w:r>
        <w:rPr>
          <w:rFonts w:hint="eastAsia"/>
        </w:rPr>
        <w:t>评价内容</w:t>
      </w:r>
    </w:p>
    <w:p w14:paraId="3E3DC019">
      <w:pPr>
        <w:pStyle w:val="164"/>
        <w:spacing w:line="360" w:lineRule="auto"/>
      </w:pPr>
      <w:r>
        <w:rPr>
          <w:rFonts w:hint="eastAsia"/>
        </w:rPr>
        <w:t>质量评价宜包括下列内容：</w:t>
      </w:r>
    </w:p>
    <w:p w14:paraId="364EB13F">
      <w:pPr>
        <w:pStyle w:val="56"/>
        <w:spacing w:line="360" w:lineRule="auto"/>
        <w:ind w:firstLine="420"/>
      </w:pPr>
      <w:r>
        <w:rPr>
          <w:rFonts w:hint="eastAsia"/>
        </w:rPr>
        <w:t>a）远程可校性判定合规率；</w:t>
      </w:r>
    </w:p>
    <w:p w14:paraId="03F28BBE">
      <w:pPr>
        <w:pStyle w:val="56"/>
        <w:spacing w:line="360" w:lineRule="auto"/>
        <w:ind w:firstLine="420"/>
      </w:pPr>
      <w:r>
        <w:rPr>
          <w:rFonts w:hint="eastAsia"/>
        </w:rPr>
        <w:t>b）联调通过率；</w:t>
      </w:r>
    </w:p>
    <w:p w14:paraId="0AE7A0F0">
      <w:pPr>
        <w:pStyle w:val="56"/>
        <w:spacing w:line="360" w:lineRule="auto"/>
        <w:ind w:firstLine="420"/>
      </w:pPr>
      <w:r>
        <w:rPr>
          <w:rFonts w:hint="eastAsia"/>
        </w:rPr>
        <w:t>c）任务中止率；</w:t>
      </w:r>
    </w:p>
    <w:p w14:paraId="7315D167">
      <w:pPr>
        <w:pStyle w:val="56"/>
        <w:spacing w:line="360" w:lineRule="auto"/>
        <w:ind w:firstLine="420"/>
      </w:pPr>
      <w:r>
        <w:rPr>
          <w:rFonts w:hint="eastAsia"/>
        </w:rPr>
        <w:t>d）原始数据完整率；</w:t>
      </w:r>
    </w:p>
    <w:p w14:paraId="270F61CB">
      <w:pPr>
        <w:pStyle w:val="56"/>
        <w:spacing w:line="360" w:lineRule="auto"/>
        <w:ind w:firstLine="420"/>
      </w:pPr>
      <w:r>
        <w:rPr>
          <w:rFonts w:hint="eastAsia"/>
        </w:rPr>
        <w:t>e）环境记录完整率；</w:t>
      </w:r>
    </w:p>
    <w:p w14:paraId="14276883">
      <w:pPr>
        <w:pStyle w:val="56"/>
        <w:spacing w:line="360" w:lineRule="auto"/>
        <w:ind w:firstLine="420"/>
      </w:pPr>
      <w:r>
        <w:rPr>
          <w:rFonts w:hint="eastAsia"/>
        </w:rPr>
        <w:t>f）关键测点复核完成率；</w:t>
      </w:r>
    </w:p>
    <w:p w14:paraId="46E1332B">
      <w:pPr>
        <w:pStyle w:val="56"/>
        <w:spacing w:line="360" w:lineRule="auto"/>
        <w:ind w:firstLine="420"/>
      </w:pPr>
      <w:r>
        <w:rPr>
          <w:rFonts w:hint="eastAsia"/>
        </w:rPr>
        <w:t>g）结果复核完成率；</w:t>
      </w:r>
    </w:p>
    <w:p w14:paraId="4874E0B2">
      <w:pPr>
        <w:pStyle w:val="56"/>
        <w:spacing w:line="360" w:lineRule="auto"/>
        <w:ind w:firstLine="420"/>
      </w:pPr>
      <w:r>
        <w:rPr>
          <w:rFonts w:hint="eastAsia"/>
        </w:rPr>
        <w:t>h）证书差错率；</w:t>
      </w:r>
    </w:p>
    <w:p w14:paraId="46DCF1F8">
      <w:pPr>
        <w:pStyle w:val="56"/>
        <w:spacing w:line="360" w:lineRule="auto"/>
        <w:ind w:firstLine="420"/>
      </w:pPr>
      <w:r>
        <w:rPr>
          <w:rFonts w:hint="eastAsia"/>
        </w:rPr>
        <w:t>i）异常闭环率；</w:t>
      </w:r>
    </w:p>
    <w:p w14:paraId="1E2B2595">
      <w:pPr>
        <w:pStyle w:val="56"/>
        <w:spacing w:line="360" w:lineRule="auto"/>
        <w:ind w:firstLine="420"/>
      </w:pPr>
      <w:r>
        <w:rPr>
          <w:rFonts w:hint="eastAsia"/>
        </w:rPr>
        <w:t>j）归档完整率。</w:t>
      </w:r>
    </w:p>
    <w:p w14:paraId="4FD37B93">
      <w:pPr>
        <w:pStyle w:val="164"/>
        <w:spacing w:line="360" w:lineRule="auto"/>
      </w:pPr>
      <w:r>
        <w:rPr>
          <w:rFonts w:hint="eastAsia"/>
        </w:rPr>
        <w:t>质量评价结果宜形成书面报告，并作为持续改进依据。</w:t>
      </w:r>
    </w:p>
    <w:p w14:paraId="62F2F2FC">
      <w:pPr>
        <w:pStyle w:val="105"/>
        <w:spacing w:before="120" w:after="120" w:line="360" w:lineRule="auto"/>
      </w:pPr>
      <w:r>
        <w:rPr>
          <w:rFonts w:hint="eastAsia"/>
        </w:rPr>
        <w:t>持续改进要求</w:t>
      </w:r>
    </w:p>
    <w:p w14:paraId="380DEBAE">
      <w:pPr>
        <w:pStyle w:val="65"/>
        <w:spacing w:before="120" w:after="120" w:line="360" w:lineRule="auto"/>
      </w:pPr>
      <w:r>
        <w:rPr>
          <w:rFonts w:hint="eastAsia"/>
        </w:rPr>
        <w:t>一般要求</w:t>
      </w:r>
    </w:p>
    <w:p w14:paraId="5B497D5D">
      <w:pPr>
        <w:pStyle w:val="164"/>
        <w:spacing w:line="360" w:lineRule="auto"/>
      </w:pPr>
      <w:r>
        <w:rPr>
          <w:rFonts w:hint="eastAsia"/>
        </w:rPr>
        <w:t>开展远程校准的单位应建立持续改进机制。</w:t>
      </w:r>
    </w:p>
    <w:p w14:paraId="1EFCB270">
      <w:pPr>
        <w:pStyle w:val="164"/>
        <w:spacing w:line="360" w:lineRule="auto"/>
      </w:pPr>
      <w:r>
        <w:rPr>
          <w:rFonts w:hint="eastAsia"/>
        </w:rPr>
        <w:t>持续改进应基于质量评价结果、问题统计分析、异常复盘结果、争议处理结果和技术应用效果实施。</w:t>
      </w:r>
    </w:p>
    <w:p w14:paraId="08225E00">
      <w:pPr>
        <w:pStyle w:val="65"/>
        <w:spacing w:before="120" w:after="120" w:line="360" w:lineRule="auto"/>
      </w:pPr>
      <w:r>
        <w:rPr>
          <w:rFonts w:hint="eastAsia"/>
        </w:rPr>
        <w:t>改进内容</w:t>
      </w:r>
    </w:p>
    <w:p w14:paraId="371A1EB3">
      <w:pPr>
        <w:pStyle w:val="164"/>
        <w:spacing w:line="360" w:lineRule="auto"/>
      </w:pPr>
      <w:r>
        <w:rPr>
          <w:rFonts w:hint="eastAsia"/>
        </w:rPr>
        <w:t>持续改进宜包括下列内容：</w:t>
      </w:r>
    </w:p>
    <w:p w14:paraId="11AF252A">
      <w:pPr>
        <w:pStyle w:val="56"/>
        <w:spacing w:line="360" w:lineRule="auto"/>
        <w:ind w:firstLine="420"/>
      </w:pPr>
      <w:r>
        <w:rPr>
          <w:rFonts w:hint="eastAsia"/>
        </w:rPr>
        <w:t>a）优化远程可校性判定规则；</w:t>
      </w:r>
    </w:p>
    <w:p w14:paraId="07317E93">
      <w:pPr>
        <w:pStyle w:val="56"/>
        <w:spacing w:line="360" w:lineRule="auto"/>
        <w:ind w:firstLine="420"/>
      </w:pPr>
      <w:r>
        <w:rPr>
          <w:rFonts w:hint="eastAsia"/>
        </w:rPr>
        <w:t>b）完善系统功能和界面；</w:t>
      </w:r>
    </w:p>
    <w:p w14:paraId="10D1775E">
      <w:pPr>
        <w:pStyle w:val="56"/>
        <w:spacing w:line="360" w:lineRule="auto"/>
        <w:ind w:firstLine="420"/>
      </w:pPr>
      <w:r>
        <w:rPr>
          <w:rFonts w:hint="eastAsia"/>
        </w:rPr>
        <w:t>c）优化联调流程和任务流程；</w:t>
      </w:r>
    </w:p>
    <w:p w14:paraId="4EDCF9D5">
      <w:pPr>
        <w:pStyle w:val="56"/>
        <w:spacing w:line="360" w:lineRule="auto"/>
        <w:ind w:firstLine="420"/>
      </w:pPr>
      <w:r>
        <w:rPr>
          <w:rFonts w:hint="eastAsia"/>
        </w:rPr>
        <w:t>d）完善标准器具接入方式；</w:t>
      </w:r>
    </w:p>
    <w:p w14:paraId="0E69526C">
      <w:pPr>
        <w:pStyle w:val="56"/>
        <w:spacing w:line="360" w:lineRule="auto"/>
        <w:ind w:firstLine="420"/>
      </w:pPr>
      <w:r>
        <w:rPr>
          <w:rFonts w:hint="eastAsia"/>
        </w:rPr>
        <w:t>e）优化环境确认机制；</w:t>
      </w:r>
    </w:p>
    <w:p w14:paraId="798BBE3D">
      <w:pPr>
        <w:pStyle w:val="56"/>
        <w:spacing w:line="360" w:lineRule="auto"/>
        <w:ind w:firstLine="420"/>
      </w:pPr>
      <w:r>
        <w:rPr>
          <w:rFonts w:hint="eastAsia"/>
        </w:rPr>
        <w:t>f）完善数据校核规则；</w:t>
      </w:r>
    </w:p>
    <w:p w14:paraId="010E3588">
      <w:pPr>
        <w:pStyle w:val="56"/>
        <w:spacing w:line="360" w:lineRule="auto"/>
        <w:ind w:firstLine="420"/>
      </w:pPr>
      <w:r>
        <w:rPr>
          <w:rFonts w:hint="eastAsia"/>
        </w:rPr>
        <w:t>g）优化异常处置机制；</w:t>
      </w:r>
    </w:p>
    <w:p w14:paraId="19285031">
      <w:pPr>
        <w:pStyle w:val="56"/>
        <w:spacing w:line="360" w:lineRule="auto"/>
        <w:ind w:firstLine="420"/>
      </w:pPr>
      <w:r>
        <w:rPr>
          <w:rFonts w:hint="eastAsia"/>
        </w:rPr>
        <w:t>h）提升证书生成与审核能力；</w:t>
      </w:r>
    </w:p>
    <w:p w14:paraId="3A991A9B">
      <w:pPr>
        <w:pStyle w:val="56"/>
        <w:spacing w:line="360" w:lineRule="auto"/>
        <w:ind w:firstLine="420"/>
      </w:pPr>
      <w:r>
        <w:rPr>
          <w:rFonts w:hint="eastAsia"/>
        </w:rPr>
        <w:t>i）强化信息安全控制；</w:t>
      </w:r>
    </w:p>
    <w:p w14:paraId="46A24488">
      <w:pPr>
        <w:pStyle w:val="56"/>
        <w:spacing w:line="360" w:lineRule="auto"/>
        <w:ind w:firstLine="420"/>
      </w:pPr>
      <w:r>
        <w:rPr>
          <w:rFonts w:hint="eastAsia"/>
        </w:rPr>
        <w:t>j）完善培训和考核机制。</w:t>
      </w:r>
    </w:p>
    <w:p w14:paraId="62E7DECC">
      <w:pPr>
        <w:pStyle w:val="164"/>
        <w:spacing w:line="360" w:lineRule="auto"/>
      </w:pPr>
      <w:r>
        <w:rPr>
          <w:rFonts w:hint="eastAsia"/>
        </w:rPr>
        <w:t>对成熟有效的做法，应及时固化为制度、作业指导书、系统配置或者模板规则。</w:t>
      </w:r>
    </w:p>
    <w:p w14:paraId="4DE34AD2">
      <w:pPr>
        <w:pStyle w:val="105"/>
        <w:spacing w:before="120" w:after="120" w:line="360" w:lineRule="auto"/>
      </w:pPr>
      <w:r>
        <w:rPr>
          <w:rFonts w:hint="eastAsia"/>
        </w:rPr>
        <w:t>人员培训与能力保持</w:t>
      </w:r>
    </w:p>
    <w:p w14:paraId="67110ED3">
      <w:pPr>
        <w:pStyle w:val="65"/>
        <w:spacing w:before="120" w:after="120" w:line="360" w:lineRule="auto"/>
      </w:pPr>
      <w:r>
        <w:rPr>
          <w:rFonts w:hint="eastAsia"/>
        </w:rPr>
        <w:t>一般要求</w:t>
      </w:r>
    </w:p>
    <w:p w14:paraId="0B7AB64F">
      <w:pPr>
        <w:pStyle w:val="164"/>
        <w:spacing w:line="360" w:lineRule="auto"/>
      </w:pPr>
      <w:r>
        <w:rPr>
          <w:rFonts w:hint="eastAsia"/>
        </w:rPr>
        <w:t>开展远程校准的单位应建立人员培训和能力保持机制。</w:t>
      </w:r>
    </w:p>
    <w:p w14:paraId="7DB4D211">
      <w:pPr>
        <w:pStyle w:val="164"/>
        <w:spacing w:line="360" w:lineRule="auto"/>
      </w:pPr>
      <w:r>
        <w:rPr>
          <w:rFonts w:hint="eastAsia"/>
        </w:rPr>
        <w:t>培训内容宜包括远程校准原理、系统操作、环境确认、异常处置、信息安全、结果确认和证书管理等内容。</w:t>
      </w:r>
    </w:p>
    <w:p w14:paraId="1ED115E2">
      <w:pPr>
        <w:pStyle w:val="164"/>
        <w:spacing w:line="360" w:lineRule="auto"/>
      </w:pPr>
      <w:r>
        <w:rPr>
          <w:rFonts w:hint="eastAsia"/>
        </w:rPr>
        <w:t>对首次上岗人员、新系统启用人员和高风险任务参与人员，应实施专项培训和能力确认。</w:t>
      </w:r>
    </w:p>
    <w:p w14:paraId="21A52241">
      <w:pPr>
        <w:pStyle w:val="65"/>
        <w:spacing w:before="120" w:after="120" w:line="360" w:lineRule="auto"/>
      </w:pPr>
      <w:r>
        <w:rPr>
          <w:rFonts w:hint="eastAsia"/>
        </w:rPr>
        <w:t>能力保持要求</w:t>
      </w:r>
    </w:p>
    <w:p w14:paraId="7C45C5ED">
      <w:pPr>
        <w:pStyle w:val="164"/>
        <w:spacing w:line="360" w:lineRule="auto"/>
      </w:pPr>
      <w:r>
        <w:rPr>
          <w:rFonts w:hint="eastAsia"/>
        </w:rPr>
        <w:t>对远程操作人员、现场配合人员和复核人员，应定期开展能力复核。</w:t>
      </w:r>
    </w:p>
    <w:p w14:paraId="3E7DA8D2">
      <w:pPr>
        <w:pStyle w:val="164"/>
        <w:spacing w:line="360" w:lineRule="auto"/>
      </w:pPr>
      <w:r>
        <w:rPr>
          <w:rFonts w:hint="eastAsia"/>
        </w:rPr>
        <w:t>能力不满足要求的，不得独立承担相应任务。</w:t>
      </w:r>
    </w:p>
    <w:p w14:paraId="3DFF7F07">
      <w:pPr>
        <w:pStyle w:val="105"/>
        <w:spacing w:before="120" w:after="120" w:line="360" w:lineRule="auto"/>
      </w:pPr>
      <w:r>
        <w:rPr>
          <w:rFonts w:hint="eastAsia"/>
        </w:rPr>
        <w:t>资料保存期限与调用要求</w:t>
      </w:r>
    </w:p>
    <w:p w14:paraId="0FC3799A">
      <w:pPr>
        <w:pStyle w:val="165"/>
        <w:spacing w:line="360" w:lineRule="auto"/>
      </w:pPr>
      <w:r>
        <w:rPr>
          <w:rFonts w:hint="eastAsia"/>
        </w:rPr>
        <w:t>远程校准资料应按规定保存。</w:t>
      </w:r>
    </w:p>
    <w:p w14:paraId="411BAE63">
      <w:pPr>
        <w:pStyle w:val="165"/>
        <w:spacing w:line="360" w:lineRule="auto"/>
      </w:pPr>
      <w:r>
        <w:rPr>
          <w:rFonts w:hint="eastAsia"/>
        </w:rPr>
        <w:t>保存期限应根据任务类别、器具类别、风险等级和相关管理要求确定。</w:t>
      </w:r>
    </w:p>
    <w:p w14:paraId="6E4F398F">
      <w:pPr>
        <w:pStyle w:val="165"/>
        <w:spacing w:line="360" w:lineRule="auto"/>
      </w:pPr>
      <w:r>
        <w:rPr>
          <w:rFonts w:hint="eastAsia"/>
        </w:rPr>
        <w:t>关键证据资料和正式证书资料应在规定期限内可查询、可调取、可复核。</w:t>
      </w:r>
    </w:p>
    <w:p w14:paraId="330362FC">
      <w:pPr>
        <w:pStyle w:val="165"/>
        <w:spacing w:line="360" w:lineRule="auto"/>
      </w:pPr>
      <w:r>
        <w:rPr>
          <w:rFonts w:hint="eastAsia"/>
        </w:rPr>
        <w:t>调用归档资料时，应履行权限审批和调用登记程序。</w:t>
      </w:r>
    </w:p>
    <w:p w14:paraId="2A2DA9E1">
      <w:pPr>
        <w:pStyle w:val="105"/>
        <w:spacing w:before="120" w:after="120" w:line="360" w:lineRule="auto"/>
      </w:pPr>
      <w:r>
        <w:rPr>
          <w:rFonts w:hint="eastAsia"/>
        </w:rPr>
        <w:t>质量控制与持续改进要点</w:t>
      </w:r>
    </w:p>
    <w:p w14:paraId="4F381D2E">
      <w:pPr>
        <w:pStyle w:val="56"/>
        <w:spacing w:line="360" w:lineRule="auto"/>
        <w:ind w:firstLine="420"/>
      </w:pPr>
      <w:r>
        <w:rPr>
          <w:rFonts w:hint="eastAsia"/>
        </w:rPr>
        <w:t>资料归档、质量控制与持续改进的主要控制内容见表3。表3给出了资料归档、质量控制与持续改进的主要控制内容和控制要点。</w:t>
      </w:r>
    </w:p>
    <w:p w14:paraId="7D3B8CF4">
      <w:pPr>
        <w:pStyle w:val="112"/>
        <w:spacing w:before="120" w:after="120" w:line="360" w:lineRule="auto"/>
      </w:pPr>
      <w:r>
        <w:rPr>
          <w:rFonts w:hint="eastAsia"/>
        </w:rPr>
        <w:t>资料归档、质量控制与持续改进要点表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3827"/>
        <w:gridCol w:w="3674"/>
      </w:tblGrid>
      <w:tr w14:paraId="306AC2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3" w:hRule="atLeast"/>
          <w:tblHeader/>
          <w:jc w:val="center"/>
        </w:trPr>
        <w:tc>
          <w:tcPr>
            <w:tcW w:w="1833" w:type="dxa"/>
            <w:tcBorders>
              <w:top w:val="single" w:color="auto" w:sz="8" w:space="0"/>
              <w:bottom w:val="single" w:color="auto" w:sz="8" w:space="0"/>
            </w:tcBorders>
          </w:tcPr>
          <w:p w14:paraId="38DB228A">
            <w:pPr>
              <w:pStyle w:val="178"/>
            </w:pPr>
            <w:r>
              <w:rPr>
                <w:rFonts w:hint="eastAsia"/>
              </w:rPr>
              <w:t>管理环节</w:t>
            </w:r>
          </w:p>
        </w:tc>
        <w:tc>
          <w:tcPr>
            <w:tcW w:w="3827" w:type="dxa"/>
            <w:tcBorders>
              <w:top w:val="single" w:color="auto" w:sz="8" w:space="0"/>
              <w:bottom w:val="single" w:color="auto" w:sz="8" w:space="0"/>
            </w:tcBorders>
          </w:tcPr>
          <w:p w14:paraId="49C8E737">
            <w:pPr>
              <w:pStyle w:val="178"/>
            </w:pPr>
            <w:r>
              <w:rPr>
                <w:rFonts w:hint="eastAsia"/>
              </w:rPr>
              <w:t>主要问题</w:t>
            </w:r>
          </w:p>
        </w:tc>
        <w:tc>
          <w:tcPr>
            <w:tcW w:w="3674" w:type="dxa"/>
            <w:tcBorders>
              <w:top w:val="single" w:color="auto" w:sz="8" w:space="0"/>
              <w:bottom w:val="single" w:color="auto" w:sz="8" w:space="0"/>
            </w:tcBorders>
          </w:tcPr>
          <w:p w14:paraId="3B5B1614">
            <w:pPr>
              <w:pStyle w:val="178"/>
            </w:pPr>
            <w:r>
              <w:rPr>
                <w:rFonts w:hint="eastAsia"/>
              </w:rPr>
              <w:t>控制要点</w:t>
            </w:r>
          </w:p>
        </w:tc>
      </w:tr>
      <w:tr w14:paraId="1214F4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tcPr>
          <w:p w14:paraId="0ABD1BA9">
            <w:pPr>
              <w:pStyle w:val="178"/>
            </w:pPr>
            <w:r>
              <w:rPr>
                <w:rFonts w:hint="eastAsia"/>
              </w:rPr>
              <w:t>资料归档</w:t>
            </w:r>
          </w:p>
        </w:tc>
        <w:tc>
          <w:tcPr>
            <w:tcW w:w="3827" w:type="dxa"/>
            <w:tcBorders>
              <w:top w:val="single" w:color="auto" w:sz="8" w:space="0"/>
            </w:tcBorders>
          </w:tcPr>
          <w:p w14:paraId="13DADDD1">
            <w:pPr>
              <w:pStyle w:val="178"/>
            </w:pPr>
            <w:r>
              <w:rPr>
                <w:rFonts w:hint="eastAsia"/>
              </w:rPr>
              <w:t>资料缺失、证据链断裂</w:t>
            </w:r>
          </w:p>
        </w:tc>
        <w:tc>
          <w:tcPr>
            <w:tcW w:w="3674" w:type="dxa"/>
            <w:tcBorders>
              <w:top w:val="single" w:color="auto" w:sz="8" w:space="0"/>
            </w:tcBorders>
          </w:tcPr>
          <w:p w14:paraId="4E7C4FF9">
            <w:pPr>
              <w:pStyle w:val="178"/>
            </w:pPr>
            <w:r>
              <w:rPr>
                <w:rFonts w:hint="eastAsia"/>
              </w:rPr>
              <w:t>统一目录、完整归档、证据对应</w:t>
            </w:r>
          </w:p>
        </w:tc>
      </w:tr>
      <w:tr w14:paraId="3169AB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8EFD673">
            <w:pPr>
              <w:pStyle w:val="178"/>
            </w:pPr>
            <w:r>
              <w:rPr>
                <w:rFonts w:hint="eastAsia"/>
              </w:rPr>
              <w:t>质量控制</w:t>
            </w:r>
          </w:p>
        </w:tc>
        <w:tc>
          <w:tcPr>
            <w:tcW w:w="3827" w:type="dxa"/>
          </w:tcPr>
          <w:p w14:paraId="3402CFDF">
            <w:pPr>
              <w:pStyle w:val="178"/>
            </w:pPr>
            <w:r>
              <w:rPr>
                <w:rFonts w:hint="eastAsia"/>
              </w:rPr>
              <w:t>只实施不监控</w:t>
            </w:r>
          </w:p>
        </w:tc>
        <w:tc>
          <w:tcPr>
            <w:tcW w:w="3674" w:type="dxa"/>
          </w:tcPr>
          <w:p w14:paraId="6AED6C89">
            <w:pPr>
              <w:pStyle w:val="178"/>
            </w:pPr>
            <w:r>
              <w:rPr>
                <w:rFonts w:hint="eastAsia"/>
              </w:rPr>
              <w:t>事前、事中、事后全过程控制</w:t>
            </w:r>
          </w:p>
        </w:tc>
      </w:tr>
      <w:tr w14:paraId="5E5EDB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3DE123A0">
            <w:pPr>
              <w:pStyle w:val="178"/>
            </w:pPr>
            <w:r>
              <w:rPr>
                <w:rFonts w:hint="eastAsia"/>
              </w:rPr>
              <w:t>抽查复核</w:t>
            </w:r>
          </w:p>
        </w:tc>
        <w:tc>
          <w:tcPr>
            <w:tcW w:w="3827" w:type="dxa"/>
          </w:tcPr>
          <w:p w14:paraId="0120741D">
            <w:pPr>
              <w:pStyle w:val="178"/>
            </w:pPr>
            <w:r>
              <w:rPr>
                <w:rFonts w:hint="eastAsia"/>
              </w:rPr>
              <w:t>高风险任务无人复查</w:t>
            </w:r>
          </w:p>
        </w:tc>
        <w:tc>
          <w:tcPr>
            <w:tcW w:w="3674" w:type="dxa"/>
          </w:tcPr>
          <w:p w14:paraId="55133ED9">
            <w:pPr>
              <w:pStyle w:val="178"/>
            </w:pPr>
            <w:r>
              <w:rPr>
                <w:rFonts w:hint="eastAsia"/>
              </w:rPr>
              <w:t>对重点任务实施抽查和复核</w:t>
            </w:r>
          </w:p>
        </w:tc>
      </w:tr>
      <w:tr w14:paraId="14222A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780A680B">
            <w:pPr>
              <w:pStyle w:val="178"/>
            </w:pPr>
            <w:r>
              <w:rPr>
                <w:rFonts w:hint="eastAsia"/>
              </w:rPr>
              <w:t>问题管理</w:t>
            </w:r>
          </w:p>
        </w:tc>
        <w:tc>
          <w:tcPr>
            <w:tcW w:w="3827" w:type="dxa"/>
          </w:tcPr>
          <w:p w14:paraId="42465805">
            <w:pPr>
              <w:pStyle w:val="178"/>
            </w:pPr>
            <w:r>
              <w:rPr>
                <w:rFonts w:hint="eastAsia"/>
              </w:rPr>
              <w:t>发现问题不闭环</w:t>
            </w:r>
          </w:p>
        </w:tc>
        <w:tc>
          <w:tcPr>
            <w:tcW w:w="3674" w:type="dxa"/>
          </w:tcPr>
          <w:p w14:paraId="1FAB928F">
            <w:pPr>
              <w:pStyle w:val="178"/>
            </w:pPr>
            <w:r>
              <w:rPr>
                <w:rFonts w:hint="eastAsia"/>
              </w:rPr>
              <w:t>登记、整改、复核、销项闭环</w:t>
            </w:r>
          </w:p>
        </w:tc>
      </w:tr>
      <w:tr w14:paraId="3B2450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7DB7E877">
            <w:pPr>
              <w:pStyle w:val="178"/>
            </w:pPr>
            <w:r>
              <w:rPr>
                <w:rFonts w:hint="eastAsia"/>
              </w:rPr>
              <w:t>质量评价</w:t>
            </w:r>
          </w:p>
        </w:tc>
        <w:tc>
          <w:tcPr>
            <w:tcW w:w="3827" w:type="dxa"/>
          </w:tcPr>
          <w:p w14:paraId="135E1651">
            <w:pPr>
              <w:pStyle w:val="178"/>
            </w:pPr>
            <w:r>
              <w:rPr>
                <w:rFonts w:hint="eastAsia"/>
              </w:rPr>
              <w:t>无量化评价依据</w:t>
            </w:r>
          </w:p>
        </w:tc>
        <w:tc>
          <w:tcPr>
            <w:tcW w:w="3674" w:type="dxa"/>
          </w:tcPr>
          <w:p w14:paraId="1B8AE949">
            <w:pPr>
              <w:pStyle w:val="178"/>
            </w:pPr>
            <w:r>
              <w:rPr>
                <w:rFonts w:hint="eastAsia"/>
              </w:rPr>
              <w:t>建立评价指标并形成报告</w:t>
            </w:r>
          </w:p>
        </w:tc>
      </w:tr>
      <w:tr w14:paraId="19E5C9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7B2DC381">
            <w:pPr>
              <w:pStyle w:val="178"/>
            </w:pPr>
            <w:r>
              <w:rPr>
                <w:rFonts w:hint="eastAsia"/>
              </w:rPr>
              <w:t>持续改进</w:t>
            </w:r>
          </w:p>
        </w:tc>
        <w:tc>
          <w:tcPr>
            <w:tcW w:w="3827" w:type="dxa"/>
          </w:tcPr>
          <w:p w14:paraId="25B21344">
            <w:pPr>
              <w:pStyle w:val="178"/>
            </w:pPr>
            <w:r>
              <w:rPr>
                <w:rFonts w:hint="eastAsia"/>
              </w:rPr>
              <w:t>问题反复发生</w:t>
            </w:r>
          </w:p>
        </w:tc>
        <w:tc>
          <w:tcPr>
            <w:tcW w:w="3674" w:type="dxa"/>
          </w:tcPr>
          <w:p w14:paraId="3B99E4A8">
            <w:pPr>
              <w:pStyle w:val="178"/>
            </w:pPr>
            <w:r>
              <w:rPr>
                <w:rFonts w:hint="eastAsia"/>
              </w:rPr>
              <w:t>基于复盘优化规则和流程</w:t>
            </w:r>
          </w:p>
        </w:tc>
      </w:tr>
      <w:tr w14:paraId="6B07B2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1F6CACD2">
            <w:pPr>
              <w:pStyle w:val="178"/>
            </w:pPr>
            <w:r>
              <w:rPr>
                <w:rFonts w:hint="eastAsia"/>
              </w:rPr>
              <w:t>培训管理</w:t>
            </w:r>
          </w:p>
        </w:tc>
        <w:tc>
          <w:tcPr>
            <w:tcW w:w="3827" w:type="dxa"/>
          </w:tcPr>
          <w:p w14:paraId="272EA871">
            <w:pPr>
              <w:pStyle w:val="178"/>
            </w:pPr>
            <w:r>
              <w:rPr>
                <w:rFonts w:hint="eastAsia"/>
              </w:rPr>
              <w:t>人员能力不稳定</w:t>
            </w:r>
          </w:p>
        </w:tc>
        <w:tc>
          <w:tcPr>
            <w:tcW w:w="3674" w:type="dxa"/>
          </w:tcPr>
          <w:p w14:paraId="4400BAB6">
            <w:pPr>
              <w:pStyle w:val="178"/>
            </w:pPr>
            <w:r>
              <w:rPr>
                <w:rFonts w:hint="eastAsia"/>
              </w:rPr>
              <w:t>定期培训、定期复核能力</w:t>
            </w:r>
          </w:p>
        </w:tc>
      </w:tr>
      <w:tr w14:paraId="0285D5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21627441">
            <w:pPr>
              <w:pStyle w:val="178"/>
            </w:pPr>
            <w:r>
              <w:rPr>
                <w:rFonts w:hint="eastAsia"/>
              </w:rPr>
              <w:t>资料保存</w:t>
            </w:r>
          </w:p>
        </w:tc>
        <w:tc>
          <w:tcPr>
            <w:tcW w:w="3827" w:type="dxa"/>
          </w:tcPr>
          <w:p w14:paraId="5912B41C">
            <w:pPr>
              <w:pStyle w:val="178"/>
            </w:pPr>
            <w:r>
              <w:rPr>
                <w:rFonts w:hint="eastAsia"/>
              </w:rPr>
              <w:t>保存混乱、无法追溯</w:t>
            </w:r>
          </w:p>
        </w:tc>
        <w:tc>
          <w:tcPr>
            <w:tcW w:w="3674" w:type="dxa"/>
          </w:tcPr>
          <w:p w14:paraId="3D946F7D">
            <w:pPr>
              <w:pStyle w:val="178"/>
            </w:pPr>
            <w:r>
              <w:rPr>
                <w:rFonts w:hint="eastAsia"/>
              </w:rPr>
              <w:t>明确保留期限和调用规则</w:t>
            </w:r>
          </w:p>
        </w:tc>
      </w:tr>
    </w:tbl>
    <w:p w14:paraId="21AC4CE6">
      <w:pPr>
        <w:pStyle w:val="105"/>
        <w:spacing w:before="120" w:after="120" w:line="360" w:lineRule="auto"/>
      </w:pPr>
      <w:r>
        <w:rPr>
          <w:rFonts w:hint="eastAsia"/>
        </w:rPr>
        <w:t>禁止性要求</w:t>
      </w:r>
    </w:p>
    <w:p w14:paraId="568B71D5">
      <w:pPr>
        <w:pStyle w:val="165"/>
        <w:spacing w:line="360" w:lineRule="auto"/>
      </w:pPr>
      <w:r>
        <w:rPr>
          <w:rFonts w:hint="eastAsia"/>
        </w:rPr>
        <w:t>不得归档不完整任务、异常未闭环任务和证据链不完整任务。</w:t>
      </w:r>
    </w:p>
    <w:p w14:paraId="561D6D64">
      <w:pPr>
        <w:pStyle w:val="165"/>
        <w:spacing w:line="360" w:lineRule="auto"/>
      </w:pPr>
      <w:r>
        <w:rPr>
          <w:rFonts w:hint="eastAsia"/>
        </w:rPr>
        <w:t>不得对已发现的严重质量问题只登记不整改。</w:t>
      </w:r>
    </w:p>
    <w:p w14:paraId="428433E4">
      <w:pPr>
        <w:pStyle w:val="165"/>
        <w:spacing w:line="360" w:lineRule="auto"/>
      </w:pPr>
      <w:r>
        <w:rPr>
          <w:rFonts w:hint="eastAsia"/>
        </w:rPr>
        <w:t>不得在质量评价和抽查中隐瞒异常情况、证书错误和安全事件。</w:t>
      </w:r>
    </w:p>
    <w:p w14:paraId="58A75560">
      <w:pPr>
        <w:pStyle w:val="165"/>
        <w:spacing w:line="360" w:lineRule="auto"/>
      </w:pPr>
      <w:r>
        <w:rPr>
          <w:rFonts w:hint="eastAsia"/>
        </w:rPr>
        <w:t>不得在人员未完成培训和能力确认前安排独立执行高风险任务。</w:t>
      </w:r>
    </w:p>
    <w:p w14:paraId="1053F8EE">
      <w:pPr>
        <w:pStyle w:val="165"/>
        <w:spacing w:line="360" w:lineRule="auto"/>
      </w:pPr>
      <w:r>
        <w:rPr>
          <w:rFonts w:hint="eastAsia"/>
        </w:rPr>
        <w:t>不得在归档资料无法追溯的情况下认定任务已规范完成。</w:t>
      </w:r>
    </w:p>
    <w:bookmarkEnd w:id="26"/>
    <w:p w14:paraId="242A3BF8">
      <w:pPr>
        <w:pStyle w:val="56"/>
        <w:spacing w:line="360" w:lineRule="auto"/>
        <w:ind w:firstLine="0" w:firstLineChars="0"/>
        <w:jc w:val="center"/>
      </w:pPr>
      <w:bookmarkStart w:id="57" w:name="BookMark8"/>
      <w:r>
        <w:rPr>
          <w:rFonts w:hint="eastAsia"/>
        </w:rPr>
        <w:drawing>
          <wp:inline distT="0" distB="0" distL="0" distR="0">
            <wp:extent cx="1485900" cy="317500"/>
            <wp:effectExtent l="0" t="0" r="0" b="6350"/>
            <wp:docPr id="636431233" name="图片 3"/>
            <wp:cNvGraphicFramePr/>
            <a:graphic xmlns:a="http://schemas.openxmlformats.org/drawingml/2006/main">
              <a:graphicData uri="http://schemas.openxmlformats.org/drawingml/2006/picture">
                <pic:pic xmlns:pic="http://schemas.openxmlformats.org/drawingml/2006/picture">
                  <pic:nvPicPr>
                    <pic:cNvPr id="636431233"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headerReference r:id="rId21" w:type="default"/>
      <w:footerReference r:id="rId23" w:type="default"/>
      <w:headerReference r:id="rId22" w:type="even"/>
      <w:footerReference r:id="rId24"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2D277">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2404A">
    <w:pPr>
      <w:pStyle w:val="5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0260—2026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0260—2026</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0260—2026</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21541">
    <w:pPr>
      <w:pStyle w:val="61"/>
      <w:rPr>
        <w:rFonts w:hint="eastAsia"/>
      </w:rPr>
    </w:pPr>
    <w:r>
      <w:fldChar w:fldCharType="begin"/>
    </w:r>
    <w:r>
      <w:instrText xml:space="preserve"> STYLEREF  标准文件_文件编号  \* MERGEFORMAT </w:instrText>
    </w:r>
    <w:r>
      <w:fldChar w:fldCharType="separate"/>
    </w:r>
    <w:r>
      <w:t>T/XZBX 0260—2026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DCAC2">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0260—2026</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0260—2026</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0260—2026</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0260—2026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11F"/>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453D"/>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87ABE"/>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5FC6"/>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5D24"/>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3E5"/>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067"/>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0ACA"/>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1524"/>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3AD0"/>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5084"/>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3F8"/>
    <w:rsid w:val="00752B4D"/>
    <w:rsid w:val="00753F4A"/>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14D1"/>
    <w:rsid w:val="00883F93"/>
    <w:rsid w:val="00884DB3"/>
    <w:rsid w:val="00885A9D"/>
    <w:rsid w:val="008864F6"/>
    <w:rsid w:val="0089049D"/>
    <w:rsid w:val="008928C9"/>
    <w:rsid w:val="008930CB"/>
    <w:rsid w:val="008938DC"/>
    <w:rsid w:val="00893FD1"/>
    <w:rsid w:val="00894836"/>
    <w:rsid w:val="00894EF1"/>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B6D"/>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D75"/>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348"/>
    <w:rsid w:val="00D66846"/>
    <w:rsid w:val="00D675FB"/>
    <w:rsid w:val="00D71F25"/>
    <w:rsid w:val="00D72A9C"/>
    <w:rsid w:val="00D77031"/>
    <w:rsid w:val="00D84941"/>
    <w:rsid w:val="00D84A5B"/>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0836"/>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A6E"/>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77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3.jpe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33C72A5A">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4D0FAFED">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23FA10C9">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2E6AD9"/>
    <w:rsid w:val="003646F4"/>
    <w:rsid w:val="003F62CE"/>
    <w:rsid w:val="004A6324"/>
    <w:rsid w:val="004C0CB9"/>
    <w:rsid w:val="00591F50"/>
    <w:rsid w:val="005B18DA"/>
    <w:rsid w:val="005B5396"/>
    <w:rsid w:val="005E4B5C"/>
    <w:rsid w:val="006141C6"/>
    <w:rsid w:val="00643AD0"/>
    <w:rsid w:val="00652769"/>
    <w:rsid w:val="00753F4A"/>
    <w:rsid w:val="00796662"/>
    <w:rsid w:val="007C564D"/>
    <w:rsid w:val="00894EF1"/>
    <w:rsid w:val="008C0337"/>
    <w:rsid w:val="008E1B6D"/>
    <w:rsid w:val="008E6778"/>
    <w:rsid w:val="00AA2819"/>
    <w:rsid w:val="00AE100B"/>
    <w:rsid w:val="00AE1DC6"/>
    <w:rsid w:val="00D556DC"/>
    <w:rsid w:val="00E76885"/>
    <w:rsid w:val="00F76777"/>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39</Pages>
  <Words>6226</Words>
  <Characters>6582</Characters>
  <Lines>143</Lines>
  <Paragraphs>40</Paragraphs>
  <TotalTime>306</TotalTime>
  <ScaleCrop>false</ScaleCrop>
  <LinksUpToDate>false</LinksUpToDate>
  <CharactersWithSpaces>6678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2026-05-19T06:09:06Z</dcterms:modified>
  <dc:title>团体标准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FB0EB7A3C5764363A4B12DC34EEE6063_12</vt:lpwstr>
  </property>
</Properties>
</file>