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1.02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11.020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C 0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C 05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9"/>
            </w:textInput>
          </w:ffData>
        </w:fldChar>
      </w:r>
      <w:bookmarkStart w:id="6" w:name="NSTD_CODE_F"/>
      <w:r>
        <w:instrText xml:space="preserve"> FORMTEXT </w:instrText>
      </w:r>
      <w:r>
        <w:fldChar w:fldCharType="separate"/>
      </w:r>
      <w:r>
        <w:t>0259</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房颤患者整合式管理临床路径指南"/>
            </w:textInput>
          </w:ffData>
        </w:fldChar>
      </w:r>
      <w:bookmarkStart w:id="9" w:name="CSTD_NAME"/>
      <w:r>
        <w:rPr>
          <w:rFonts w:hint="eastAsia"/>
        </w:rPr>
        <w:instrText xml:space="preserve"> FORMTEXT </w:instrText>
      </w:r>
      <w:r>
        <w:rPr>
          <w:rFonts w:hint="eastAsia"/>
        </w:rPr>
        <w:fldChar w:fldCharType="separate"/>
      </w:r>
      <w:r>
        <w:rPr>
          <w:rFonts w:hint="eastAsia"/>
        </w:rPr>
        <w:t>房颤患者整合式管理临床路径指南</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Guidelines for integrated management clinical pathways for patients with atrial fibrilla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Guidelines for integrated management clinical pathways for patients with atrial fibrillation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0D4D661A">
      <w:pPr>
        <w:pStyle w:val="91"/>
        <w:spacing w:after="360"/>
      </w:pPr>
      <w:bookmarkStart w:id="21" w:name="BookMark1"/>
      <w:r>
        <w:rPr>
          <w:rFonts w:hint="eastAsia"/>
          <w:spacing w:val="320"/>
        </w:rPr>
        <w:t>目</w:t>
      </w:r>
      <w:r>
        <w:rPr>
          <w:rFonts w:hint="eastAsia"/>
        </w:rPr>
        <w:t>次</w:t>
      </w:r>
    </w:p>
    <w:p w14:paraId="0EBD788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"_Toc228563211"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_Toc228563211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15C6721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"_Toc228563212"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_Toc228563212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7913D76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"_Toc228563213"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_Toc228563213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93AD48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"_Toc228563214"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_Toc228563214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0F8C1C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"_Toc228563215"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_Toc228563215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22E844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"_Toc228563216"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_Toc228563216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D9545D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"_Toc228563217" </w:instrText>
      </w:r>
      <w:r>
        <w:fldChar w:fldCharType="separate"/>
      </w:r>
      <w:r>
        <w:rPr>
          <w:rStyle w:val="32"/>
        </w:rPr>
        <w:t>5  房颤患者识别、初始评估与分层管理</w:t>
      </w:r>
      <w:r>
        <w:rPr>
          <w:rFonts w:hint="eastAsia"/>
        </w:rPr>
        <w:tab/>
      </w:r>
      <w:r>
        <w:rPr>
          <w:rFonts w:hint="eastAsia"/>
        </w:rPr>
        <w:fldChar w:fldCharType="begin"/>
      </w:r>
      <w:r>
        <w:rPr>
          <w:rFonts w:hint="eastAsia"/>
        </w:rPr>
        <w:instrText xml:space="preserve"> </w:instrText>
      </w:r>
      <w:r>
        <w:instrText xml:space="preserve">PAGEREF _Toc228563217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2A6710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"_Toc228563218" </w:instrText>
      </w:r>
      <w:r>
        <w:fldChar w:fldCharType="separate"/>
      </w:r>
      <w:r>
        <w:rPr>
          <w:rStyle w:val="32"/>
        </w:rPr>
        <w:t>6  卒中与出血风险评估及抗凝管理路径</w:t>
      </w:r>
      <w:r>
        <w:rPr>
          <w:rFonts w:hint="eastAsia"/>
        </w:rPr>
        <w:tab/>
      </w:r>
      <w:r>
        <w:rPr>
          <w:rFonts w:hint="eastAsia"/>
        </w:rPr>
        <w:fldChar w:fldCharType="begin"/>
      </w:r>
      <w:r>
        <w:rPr>
          <w:rFonts w:hint="eastAsia"/>
        </w:rPr>
        <w:instrText xml:space="preserve"> </w:instrText>
      </w:r>
      <w:r>
        <w:instrText xml:space="preserve">PAGEREF _Toc228563218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64BCEE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"_Toc228563219" </w:instrText>
      </w:r>
      <w:r>
        <w:fldChar w:fldCharType="separate"/>
      </w:r>
      <w:r>
        <w:rPr>
          <w:rStyle w:val="32"/>
        </w:rPr>
        <w:t>7  心率控制、节律控制与合并疾病管理路径</w:t>
      </w:r>
      <w:r>
        <w:rPr>
          <w:rFonts w:hint="eastAsia"/>
        </w:rPr>
        <w:tab/>
      </w:r>
      <w:r>
        <w:rPr>
          <w:rFonts w:hint="eastAsia"/>
        </w:rPr>
        <w:fldChar w:fldCharType="begin"/>
      </w:r>
      <w:r>
        <w:rPr>
          <w:rFonts w:hint="eastAsia"/>
        </w:rPr>
        <w:instrText xml:space="preserve"> </w:instrText>
      </w:r>
      <w:r>
        <w:instrText xml:space="preserve">PAGEREF _Toc228563219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254E0D5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"_Toc228563220" </w:instrText>
      </w:r>
      <w:r>
        <w:fldChar w:fldCharType="separate"/>
      </w:r>
      <w:r>
        <w:rPr>
          <w:rStyle w:val="32"/>
        </w:rPr>
        <w:t>8  围术期与随访管理路径</w:t>
      </w:r>
      <w:r>
        <w:rPr>
          <w:rFonts w:hint="eastAsia"/>
        </w:rPr>
        <w:tab/>
      </w:r>
      <w:r>
        <w:rPr>
          <w:rFonts w:hint="eastAsia"/>
        </w:rPr>
        <w:fldChar w:fldCharType="begin"/>
      </w:r>
      <w:r>
        <w:rPr>
          <w:rFonts w:hint="eastAsia"/>
        </w:rPr>
        <w:instrText xml:space="preserve"> </w:instrText>
      </w:r>
      <w:r>
        <w:instrText xml:space="preserve">PAGEREF _Toc228563220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3E62F27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"_Toc228563221" </w:instrText>
      </w:r>
      <w:r>
        <w:fldChar w:fldCharType="separate"/>
      </w:r>
      <w:r>
        <w:rPr>
          <w:rStyle w:val="32"/>
        </w:rPr>
        <w:t>9  质量控制、路径评估与持续改进</w:t>
      </w:r>
      <w:r>
        <w:rPr>
          <w:rFonts w:hint="eastAsia"/>
        </w:rPr>
        <w:tab/>
      </w:r>
      <w:r>
        <w:rPr>
          <w:rFonts w:hint="eastAsia"/>
        </w:rPr>
        <w:fldChar w:fldCharType="begin"/>
      </w:r>
      <w:r>
        <w:rPr>
          <w:rFonts w:hint="eastAsia"/>
        </w:rPr>
        <w:instrText xml:space="preserve"> </w:instrText>
      </w:r>
      <w:r>
        <w:instrText xml:space="preserve">PAGEREF _Toc228563221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4B8841ED">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63211"/>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本文件起草单位：商洛职业技术学院（市职业技术教育培训中心）</w:t>
      </w:r>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张甲。</w:t>
      </w:r>
      <w:bookmarkStart w:id="58" w:name="_GoBack"/>
      <w:bookmarkEnd w:id="58"/>
    </w:p>
    <w:bookmarkEnd w:id="23"/>
    <w:p w14:paraId="66D0A2F3">
      <w:pPr>
        <w:pStyle w:val="89"/>
        <w:spacing w:after="360"/>
      </w:pPr>
      <w:bookmarkStart w:id="24" w:name="_Toc228563212"/>
      <w:bookmarkStart w:id="25" w:name="BookMark3"/>
      <w:r>
        <w:rPr>
          <w:spacing w:val="320"/>
        </w:rPr>
        <w:t>引</w:t>
      </w:r>
      <w:r>
        <w:t>言</w:t>
      </w:r>
      <w:bookmarkEnd w:id="24"/>
    </w:p>
    <w:p w14:paraId="06AB7332">
      <w:pPr>
        <w:pStyle w:val="56"/>
        <w:spacing w:line="360" w:lineRule="auto"/>
        <w:ind w:firstLine="420"/>
      </w:pPr>
      <w:r>
        <w:rPr>
          <w:rFonts w:hint="eastAsia"/>
        </w:rPr>
        <w:t>房颤是临床最常见的持续性心律失常之一，可显著增加脑卒中、心力衰竭、住院和死亡等不良结局风险，并对患者症状负担、生活质量和长期预后产生持续影响。近年来，国内外房颤管理指南均强调，房颤不应仅被视为单一节律异常，而应作为一个伴随危险因素积累、疾病进展和结局变化的动态疾病连续体进行全程管理。</w:t>
      </w:r>
    </w:p>
    <w:p w14:paraId="22D2F071">
      <w:pPr>
        <w:pStyle w:val="56"/>
        <w:spacing w:line="360" w:lineRule="auto"/>
        <w:ind w:firstLine="420"/>
      </w:pPr>
      <w:r>
        <w:rPr>
          <w:rFonts w:hint="eastAsia"/>
        </w:rPr>
        <w:t>随着人口老龄化加快、心血管危险因素负担增加以及慢病共存情况日益复杂，房颤患者在临床实践中普遍存在高龄、合并高血压、冠心病、心力衰竭、糖尿病、肥胖、睡眠呼吸障碍、肾功能异常等多种情况并存的特点。房颤管理已从传统的“发现房颤后单点处理”逐步转向“危险因素控制、脑卒中预防、症状管理、节律与心率管理、并发症防控和持续再评估”相结合的整合式管理模式。2024 年 ESC 房颤管理指南提出 AF-CARE 框架，将合并症与危险因素管理、卒中与血栓栓塞预防、心率与节律控制以及个体化评估与再评估作为房颤管理的核心组成部分；2023 年 ACC/AHA/ACCP/HRS 指南同样强调房颤分期管理、危险因素干预、卒中风险评估和长期动态管理。</w:t>
      </w:r>
    </w:p>
    <w:p w14:paraId="4FDCCC5B">
      <w:pPr>
        <w:pStyle w:val="56"/>
        <w:spacing w:line="360" w:lineRule="auto"/>
        <w:ind w:firstLine="420"/>
      </w:pPr>
      <w:r>
        <w:rPr>
          <w:rFonts w:hint="eastAsia"/>
        </w:rPr>
        <w:t>房颤患者整合式管理临床路径的建立，目的在于以患者为中心，以循证医学和规范诊疗为基础，以风险分层、节点控制、协同管理和动态评估为主线，对房颤患者从筛查识别、初始评估、卒中与出血风险评估、抗凝决策、心率与节律控制、并发症防控、围手术期管理、出院准备、随访复评到长期管理的全过程进行系统规范。通过统一管理环节、明确诊疗节点、强化多学科协作、规范临床决策和优化质量控制，可提升房颤患者诊疗活动的一致性、连续性和可追溯性。</w:t>
      </w:r>
    </w:p>
    <w:p w14:paraId="7B972D4F">
      <w:pPr>
        <w:pStyle w:val="56"/>
        <w:spacing w:line="360" w:lineRule="auto"/>
        <w:ind w:firstLine="420"/>
      </w:pPr>
      <w:r>
        <w:rPr>
          <w:rFonts w:hint="eastAsia"/>
        </w:rPr>
        <w:t>本文件立足房颤患者临床管理实际，围绕“早识别、准评估、规范抗凝、合理控率、适时控律、协同干预、连续随访、动态优化”的总体要求，对房颤患者整合式管理临床路径的适用对象、路径分层、关键环节、处置流程、随访要求和质量控制内容提出规范要求。其重点不在于替代具体专科指南中的诊疗细节，而在于将现有循证推荐、临床管理要点和医疗服务流程进行路径化整合，解决“谁来管、何时管、按什么顺序管、如何衔接、如何评价”的问题。</w:t>
      </w:r>
    </w:p>
    <w:p w14:paraId="05539862">
      <w:pPr>
        <w:pStyle w:val="56"/>
        <w:spacing w:line="360" w:lineRule="auto"/>
        <w:ind w:firstLine="420"/>
      </w:pPr>
      <w:r>
        <w:t>本文件的制定与实施，有助于推动房颤患者管理由分散诊疗向整合管理转变，由单次干预向连续路径管理转变，由经验主导向规范主导转变，有助于提高卒中预防覆盖率、规范诊疗一致性、长期随访连续性和整体医疗质量，为房颤患者的安全管理、规范治疗和预后改善提供路径依据。</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房颤患者整合式管理临床路径指南</w:t>
          </w:r>
        </w:p>
      </w:sdtContent>
    </w:sdt>
    <w:bookmarkEnd w:id="27"/>
    <w:p w14:paraId="3DB22445">
      <w:pPr>
        <w:pStyle w:val="104"/>
        <w:spacing w:before="240" w:after="240" w:line="360" w:lineRule="auto"/>
      </w:pPr>
      <w:bookmarkStart w:id="28" w:name="_Toc17233333"/>
      <w:bookmarkStart w:id="29" w:name="_Toc26648465"/>
      <w:bookmarkStart w:id="30" w:name="_Toc17233325"/>
      <w:bookmarkStart w:id="31" w:name="_Toc24884218"/>
      <w:bookmarkStart w:id="32" w:name="_Toc24884211"/>
      <w:bookmarkStart w:id="33" w:name="_Toc26718930"/>
      <w:bookmarkStart w:id="34" w:name="_Toc26986530"/>
      <w:bookmarkStart w:id="35" w:name="_Toc26986771"/>
      <w:bookmarkStart w:id="36" w:name="_Toc97192964"/>
      <w:bookmarkStart w:id="37" w:name="_Toc228563213"/>
      <w:r>
        <w:rPr>
          <w:rFonts w:hint="eastAsia"/>
        </w:rPr>
        <w:t>范围</w:t>
      </w:r>
      <w:bookmarkEnd w:id="28"/>
      <w:bookmarkEnd w:id="29"/>
      <w:bookmarkEnd w:id="30"/>
      <w:bookmarkEnd w:id="31"/>
      <w:bookmarkEnd w:id="32"/>
      <w:bookmarkEnd w:id="33"/>
      <w:bookmarkEnd w:id="34"/>
      <w:bookmarkEnd w:id="35"/>
      <w:bookmarkEnd w:id="36"/>
      <w:bookmarkEnd w:id="37"/>
    </w:p>
    <w:p w14:paraId="432CE369">
      <w:pPr>
        <w:pStyle w:val="56"/>
        <w:spacing w:line="360" w:lineRule="auto"/>
        <w:ind w:firstLine="420"/>
      </w:pPr>
      <w:bookmarkStart w:id="38" w:name="_Toc17233326"/>
      <w:bookmarkStart w:id="39" w:name="_Toc24884212"/>
      <w:bookmarkStart w:id="40" w:name="_Toc17233334"/>
      <w:bookmarkStart w:id="41" w:name="_Toc24884219"/>
      <w:bookmarkStart w:id="42" w:name="_Toc26648466"/>
      <w:r>
        <w:rPr>
          <w:rFonts w:hint="eastAsia"/>
        </w:rPr>
        <w:t>本文件规定了房颤患者整合式管理临床路径的基本规定,房颤患者识别、初始评估与分层管理,卒中与出血风险评估及抗凝管理路径,心率控制、节律控制与合并疾病管理路径，围术期与随访管理路径以及质量控制、路径评估与持续改进等内容。</w:t>
      </w:r>
    </w:p>
    <w:p w14:paraId="0DFB4F16">
      <w:pPr>
        <w:pStyle w:val="56"/>
        <w:spacing w:line="360" w:lineRule="auto"/>
        <w:ind w:firstLine="420"/>
      </w:pPr>
      <w:r>
        <w:rPr>
          <w:rFonts w:hint="eastAsia"/>
        </w:rPr>
        <w:t>本文件适用于医疗机构对成人房颤患者开展的整合式管理活动，包括门诊、急诊、住院、日间诊疗、介入治疗前后和长期随访等管理场景。</w:t>
      </w:r>
    </w:p>
    <w:p w14:paraId="3733B2AD">
      <w:pPr>
        <w:pStyle w:val="104"/>
        <w:spacing w:before="240" w:after="240" w:line="360" w:lineRule="auto"/>
      </w:pPr>
      <w:bookmarkStart w:id="43" w:name="_Toc26718931"/>
      <w:bookmarkStart w:id="44" w:name="_Toc26986531"/>
      <w:bookmarkStart w:id="45" w:name="_Toc26986772"/>
      <w:bookmarkStart w:id="46" w:name="_Toc97192965"/>
      <w:bookmarkStart w:id="47" w:name="_Toc228563214"/>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92ACF7A">
      <w:pPr>
        <w:pStyle w:val="56"/>
        <w:spacing w:line="360" w:lineRule="auto"/>
        <w:ind w:firstLine="420"/>
      </w:pPr>
      <w:r>
        <w:rPr>
          <w:rFonts w:hint="eastAsia"/>
        </w:rPr>
        <w:t>GB/T 1.1—2020 标准化工作导则  第1部分：标准化文件的结构和起草规则</w:t>
      </w:r>
    </w:p>
    <w:p w14:paraId="5498C932">
      <w:pPr>
        <w:pStyle w:val="56"/>
        <w:spacing w:line="360" w:lineRule="auto"/>
        <w:ind w:firstLine="420"/>
      </w:pPr>
      <w:r>
        <w:t>GB/T 21715.6</w:t>
      </w:r>
      <w:r>
        <w:rPr>
          <w:rFonts w:hint="eastAsia"/>
        </w:rPr>
        <w:t>—</w:t>
      </w:r>
      <w:r>
        <w:t>2020</w:t>
      </w:r>
      <w:r>
        <w:rPr>
          <w:rFonts w:hint="eastAsia"/>
        </w:rPr>
        <w:t xml:space="preserve"> 健康信息学  患者健康卡数据 第6部分：管理数据</w:t>
      </w:r>
    </w:p>
    <w:p w14:paraId="14DBB40D">
      <w:pPr>
        <w:pStyle w:val="56"/>
        <w:spacing w:line="360" w:lineRule="auto"/>
        <w:ind w:firstLine="420"/>
      </w:pPr>
      <w:r>
        <w:t>DB3212/T 1159</w:t>
      </w:r>
      <w:r>
        <w:rPr>
          <w:rFonts w:hint="eastAsia"/>
        </w:rPr>
        <w:t>—</w:t>
      </w:r>
      <w:r>
        <w:t>2024</w:t>
      </w:r>
      <w:r>
        <w:rPr>
          <w:rFonts w:hint="eastAsia"/>
        </w:rPr>
        <w:t xml:space="preserve"> 基于智慧化村卫生室的老年人心房颤动管理与服务规范</w:t>
      </w:r>
    </w:p>
    <w:p w14:paraId="79C5A0B7">
      <w:pPr>
        <w:pStyle w:val="56"/>
        <w:spacing w:line="360" w:lineRule="auto"/>
        <w:ind w:firstLine="420"/>
        <w:rPr>
          <w:highlight w:val="yellow"/>
        </w:rPr>
      </w:pPr>
      <w:r>
        <w:t>DB4403/T 244</w:t>
      </w:r>
      <w:r>
        <w:rPr>
          <w:rFonts w:hint="eastAsia"/>
        </w:rPr>
        <w:t>—</w:t>
      </w:r>
      <w:r>
        <w:t>2022</w:t>
      </w:r>
      <w:r>
        <w:rPr>
          <w:rFonts w:hint="eastAsia"/>
        </w:rPr>
        <w:t xml:space="preserve"> 急诊患者分级分诊规范</w:t>
      </w:r>
    </w:p>
    <w:p w14:paraId="51F02A4E">
      <w:pPr>
        <w:pStyle w:val="104"/>
        <w:spacing w:before="240" w:after="240" w:line="360" w:lineRule="auto"/>
      </w:pPr>
      <w:bookmarkStart w:id="48" w:name="_Toc97192966"/>
      <w:bookmarkStart w:id="49" w:name="_Toc228563215"/>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9A2F89">
          <w:pPr>
            <w:pStyle w:val="56"/>
            <w:spacing w:line="360" w:lineRule="auto"/>
            <w:ind w:firstLine="420"/>
          </w:pPr>
          <w:bookmarkStart w:id="50" w:name="_Toc26986532"/>
          <w:bookmarkEnd w:id="50"/>
          <w:r>
            <w:t>下列术语和定义适用于本文件。</w:t>
          </w:r>
        </w:p>
      </w:sdtContent>
    </w:sdt>
    <w:p w14:paraId="44DF5A7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房颤 atrial fibrillation</w:t>
      </w:r>
    </w:p>
    <w:p w14:paraId="0842BC27">
      <w:pPr>
        <w:pStyle w:val="56"/>
        <w:spacing w:line="360" w:lineRule="auto"/>
        <w:ind w:firstLine="420"/>
      </w:pPr>
      <w:r>
        <w:rPr>
          <w:rFonts w:hint="eastAsia"/>
        </w:rPr>
        <w:t>心房电活动无序，导致心房机械收缩功能受损，并在心电图上表现为规则 P 波消失、代之以心房颤动波，心室律绝对不规则的心律失常。</w:t>
      </w:r>
    </w:p>
    <w:p w14:paraId="3E185E1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整合式管理 integrated management</w:t>
      </w:r>
    </w:p>
    <w:p w14:paraId="37CC7A12">
      <w:pPr>
        <w:pStyle w:val="56"/>
        <w:spacing w:line="360" w:lineRule="auto"/>
        <w:ind w:firstLine="420"/>
      </w:pPr>
      <w:r>
        <w:rPr>
          <w:rFonts w:hint="eastAsia"/>
        </w:rPr>
        <w:t>以患者为中心，对房颤相关风险评估、卒中预防、症状控制、心率与节律管理、危险因素干预、合并疾病管理和长期随访进行协同组织和连续实施的管理模式。</w:t>
      </w:r>
    </w:p>
    <w:p w14:paraId="15AAADCB">
      <w:pPr>
        <w:pStyle w:val="56"/>
        <w:spacing w:line="360" w:lineRule="auto"/>
        <w:ind w:firstLine="0" w:firstLineChars="0"/>
      </w:pPr>
    </w:p>
    <w:p w14:paraId="68F508AF">
      <w:pPr>
        <w:pStyle w:val="56"/>
        <w:spacing w:line="360" w:lineRule="auto"/>
        <w:ind w:firstLine="0" w:firstLineChars="0"/>
        <w:rPr>
          <w:rFonts w:hint="eastAsia"/>
        </w:rPr>
      </w:pPr>
    </w:p>
    <w:p w14:paraId="6480C02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临床路径 clinical pathway</w:t>
      </w:r>
    </w:p>
    <w:p w14:paraId="07ABD47F">
      <w:pPr>
        <w:pStyle w:val="56"/>
        <w:spacing w:line="360" w:lineRule="auto"/>
        <w:ind w:firstLine="420"/>
      </w:pPr>
      <w:r>
        <w:rPr>
          <w:rFonts w:hint="eastAsia"/>
        </w:rPr>
        <w:t>针对特定疾病或者特定患者群体，在循证依据和规范诊疗基础上，对诊疗节点、管理流程、责任分工、处置顺序和质量控制要求进行统一规定的标准化管理路径。</w:t>
      </w:r>
    </w:p>
    <w:p w14:paraId="655FBAB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卒中风险评估 stroke risk assessment</w:t>
      </w:r>
    </w:p>
    <w:p w14:paraId="3BAF1B1E">
      <w:pPr>
        <w:pStyle w:val="56"/>
        <w:spacing w:line="360" w:lineRule="auto"/>
        <w:ind w:firstLine="420"/>
      </w:pPr>
      <w:r>
        <w:rPr>
          <w:rFonts w:hint="eastAsia"/>
        </w:rPr>
        <w:t>依据房颤患者临床特征和相关危险因素，对缺血性卒中和全身性血栓栓塞发生风险进行分层判断的过程。</w:t>
      </w:r>
    </w:p>
    <w:p w14:paraId="3286BC6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出血风险评估 bleeding risk assessment</w:t>
      </w:r>
    </w:p>
    <w:p w14:paraId="4B7894C3">
      <w:pPr>
        <w:pStyle w:val="56"/>
        <w:spacing w:line="360" w:lineRule="auto"/>
        <w:ind w:firstLine="420"/>
      </w:pPr>
      <w:r>
        <w:rPr>
          <w:rFonts w:hint="eastAsia"/>
        </w:rPr>
        <w:t>对房颤患者抗凝治疗期间或者相关管理过程中发生出血事件可能性的评估过程，用于识别可干预危险因素和支持临床决策。</w:t>
      </w:r>
    </w:p>
    <w:p w14:paraId="24E98C5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抗凝管理 anticoagulation management</w:t>
      </w:r>
    </w:p>
    <w:p w14:paraId="6DEB81C6">
      <w:pPr>
        <w:pStyle w:val="56"/>
        <w:spacing w:line="360" w:lineRule="auto"/>
        <w:ind w:firstLine="420"/>
      </w:pPr>
      <w:r>
        <w:rPr>
          <w:rFonts w:hint="eastAsia"/>
        </w:rPr>
        <w:t>围绕房颤患者血栓栓塞预防，对抗凝适应证判断、药物选择、用药监测、依从性管理、围手术期处理、并发症防控和长期随访实施的系统管理。</w:t>
      </w:r>
    </w:p>
    <w:p w14:paraId="441F41D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心率控制 rate control</w:t>
      </w:r>
    </w:p>
    <w:p w14:paraId="375450B9">
      <w:pPr>
        <w:pStyle w:val="56"/>
        <w:spacing w:line="360" w:lineRule="auto"/>
        <w:ind w:firstLine="420"/>
      </w:pPr>
      <w:r>
        <w:rPr>
          <w:rFonts w:hint="eastAsia"/>
        </w:rPr>
        <w:t>通过药物或者其他干预措施控制房颤患者心室率，以减轻症状、改善血流动力学状态和降低相关并发症风险的治疗策略。</w:t>
      </w:r>
    </w:p>
    <w:p w14:paraId="34443D3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节律控制 rhythm control</w:t>
      </w:r>
    </w:p>
    <w:p w14:paraId="5F764E4E">
      <w:pPr>
        <w:pStyle w:val="56"/>
        <w:spacing w:line="360" w:lineRule="auto"/>
        <w:ind w:firstLine="420"/>
      </w:pPr>
      <w:r>
        <w:rPr>
          <w:rFonts w:hint="eastAsia"/>
        </w:rPr>
        <w:t>通过药物、电复律、导管消融或者其他方式恢复并维持窦性心律，以改善症状、减少房颤负担和优化临床结局的治疗策略。</w:t>
      </w:r>
    </w:p>
    <w:p w14:paraId="2B05883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危险因素管理 risk factor management</w:t>
      </w:r>
    </w:p>
    <w:p w14:paraId="0E46AB54">
      <w:pPr>
        <w:pStyle w:val="56"/>
        <w:spacing w:line="360" w:lineRule="auto"/>
        <w:ind w:firstLine="420"/>
      </w:pPr>
      <w:r>
        <w:rPr>
          <w:rFonts w:hint="eastAsia"/>
        </w:rPr>
        <w:t>针对高血压、肥胖、糖尿病、心力衰竭、睡眠呼吸障碍、饮酒、吸烟和其他可干预因素实施识别、控制和随访的管理活动。</w:t>
      </w:r>
    </w:p>
    <w:p w14:paraId="328F44A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动态复评 dynamic reassessment</w:t>
      </w:r>
    </w:p>
    <w:p w14:paraId="17431562">
      <w:pPr>
        <w:pStyle w:val="56"/>
        <w:spacing w:line="360" w:lineRule="auto"/>
        <w:ind w:firstLine="420"/>
      </w:pPr>
      <w:r>
        <w:rPr>
          <w:rFonts w:hint="eastAsia"/>
        </w:rPr>
        <w:t>在房颤管理过程中，依据病情变化、治疗反应、并发症情况、风险状态和患者需求，对管理策略进行持续再评估和必要调整的过程。</w:t>
      </w:r>
    </w:p>
    <w:p w14:paraId="077C16C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围手术期管理 peri-procedural management</w:t>
      </w:r>
    </w:p>
    <w:p w14:paraId="0F8B6476">
      <w:pPr>
        <w:pStyle w:val="56"/>
        <w:spacing w:line="360" w:lineRule="auto"/>
        <w:ind w:firstLine="420"/>
      </w:pPr>
      <w:r>
        <w:rPr>
          <w:rFonts w:hint="eastAsia"/>
        </w:rPr>
        <w:t>围绕房颤患者接受介入治疗、手术治疗、侵入性检查或者其他需要调整抗凝和节律管理策略的诊疗活动所实施的全过程管理。</w:t>
      </w:r>
    </w:p>
    <w:p w14:paraId="73EC3E85">
      <w:pPr>
        <w:pStyle w:val="104"/>
        <w:spacing w:before="240" w:after="240" w:line="360" w:lineRule="auto"/>
      </w:pPr>
      <w:bookmarkStart w:id="51" w:name="_Toc228563216"/>
      <w:r>
        <w:rPr>
          <w:rFonts w:hint="eastAsia"/>
        </w:rPr>
        <w:t>基本规定</w:t>
      </w:r>
      <w:bookmarkEnd w:id="51"/>
    </w:p>
    <w:p w14:paraId="0A5A6178">
      <w:pPr>
        <w:pStyle w:val="105"/>
        <w:spacing w:before="120" w:after="120" w:line="360" w:lineRule="auto"/>
      </w:pPr>
      <w:r>
        <w:rPr>
          <w:rFonts w:hint="eastAsia"/>
        </w:rPr>
        <w:t>一般要求</w:t>
      </w:r>
    </w:p>
    <w:p w14:paraId="3F320426">
      <w:pPr>
        <w:pStyle w:val="165"/>
        <w:spacing w:line="360" w:lineRule="auto"/>
      </w:pPr>
      <w:r>
        <w:rPr>
          <w:rFonts w:hint="eastAsia"/>
        </w:rPr>
        <w:t>房颤患者整合式管理临床路径应坚持以患者为中心、以循证医学为依据、以风险控制为主线、以连续管理为核心的原则。</w:t>
      </w:r>
    </w:p>
    <w:p w14:paraId="36E2E3F4">
      <w:pPr>
        <w:pStyle w:val="165"/>
        <w:spacing w:line="360" w:lineRule="auto"/>
      </w:pPr>
      <w:r>
        <w:rPr>
          <w:rFonts w:hint="eastAsia"/>
        </w:rPr>
        <w:t>房颤患者整合式管理应覆盖筛查识别、初始评估、风险分层、治疗决策、住院管理、门诊管理、出院准备、随访复评和长期健康管理全过程。</w:t>
      </w:r>
    </w:p>
    <w:p w14:paraId="46E6503D">
      <w:pPr>
        <w:pStyle w:val="165"/>
        <w:spacing w:line="360" w:lineRule="auto"/>
      </w:pPr>
      <w:r>
        <w:rPr>
          <w:rFonts w:hint="eastAsia"/>
        </w:rPr>
        <w:t>房颤患者管理不得仅限于单次诊疗或者单一治疗措施，不得以节律控制、心率控制或者抗凝治疗中的任一单项管理替代整合式管理。</w:t>
      </w:r>
    </w:p>
    <w:p w14:paraId="17BFFD67">
      <w:pPr>
        <w:pStyle w:val="165"/>
        <w:spacing w:line="360" w:lineRule="auto"/>
      </w:pPr>
      <w:r>
        <w:rPr>
          <w:rFonts w:hint="eastAsia"/>
        </w:rPr>
        <w:t>房颤患者整合式管理应与医疗机构分级诊疗、专科协作、慢病管理、康复管理和患者教育机制相衔接。</w:t>
      </w:r>
    </w:p>
    <w:p w14:paraId="482DDF89">
      <w:pPr>
        <w:pStyle w:val="165"/>
        <w:spacing w:line="360" w:lineRule="auto"/>
      </w:pPr>
      <w:r>
        <w:rPr>
          <w:rFonts w:hint="eastAsia"/>
        </w:rPr>
        <w:t>对急性症状明显、血流动力学不稳定、卒中高风险、出血高风险、合并多种基础疾病或者拟接受介入治疗的房颤患者，应实施重点管理。</w:t>
      </w:r>
    </w:p>
    <w:p w14:paraId="55A202B9">
      <w:pPr>
        <w:pStyle w:val="165"/>
        <w:spacing w:line="360" w:lineRule="auto"/>
      </w:pPr>
      <w:r>
        <w:rPr>
          <w:rFonts w:hint="eastAsia"/>
        </w:rPr>
        <w:t>房颤患者整合式管理临床路径应根据患者病情变化、治疗反应、并发症情况和风险状态进行动态调整，不得长期沿用已不适应患者当前状态的路径安排。</w:t>
      </w:r>
    </w:p>
    <w:p w14:paraId="542ED853">
      <w:pPr>
        <w:pStyle w:val="165"/>
        <w:spacing w:line="360" w:lineRule="auto"/>
      </w:pPr>
      <w:r>
        <w:rPr>
          <w:rFonts w:hint="eastAsia"/>
        </w:rPr>
        <w:t>房颤患者整合式管理过程中形成的评估结果、治疗决策、复核记录、用药调整、健康教育和随访信息，应做到全过程留痕和可追溯。</w:t>
      </w:r>
    </w:p>
    <w:p w14:paraId="0AD3FACF">
      <w:pPr>
        <w:pStyle w:val="105"/>
        <w:spacing w:before="120" w:after="120" w:line="360" w:lineRule="auto"/>
      </w:pPr>
      <w:r>
        <w:rPr>
          <w:rFonts w:hint="eastAsia"/>
        </w:rPr>
        <w:t>管理目标</w:t>
      </w:r>
    </w:p>
    <w:p w14:paraId="00847C0E">
      <w:pPr>
        <w:pStyle w:val="165"/>
        <w:spacing w:line="360" w:lineRule="auto"/>
      </w:pPr>
      <w:r>
        <w:rPr>
          <w:rFonts w:hint="eastAsia"/>
        </w:rPr>
        <w:t>房颤患者整合式管理应实现下列目标：</w:t>
      </w:r>
    </w:p>
    <w:p w14:paraId="3B65ECD7">
      <w:pPr>
        <w:pStyle w:val="56"/>
        <w:spacing w:line="360" w:lineRule="auto"/>
        <w:ind w:firstLine="420"/>
      </w:pPr>
      <w:r>
        <w:rPr>
          <w:rFonts w:hint="eastAsia"/>
        </w:rPr>
        <w:t>a）及时识别房颤患者及高风险人群；</w:t>
      </w:r>
    </w:p>
    <w:p w14:paraId="503BCACC">
      <w:pPr>
        <w:pStyle w:val="56"/>
        <w:spacing w:line="360" w:lineRule="auto"/>
        <w:ind w:firstLine="420"/>
      </w:pPr>
      <w:r>
        <w:rPr>
          <w:rFonts w:hint="eastAsia"/>
        </w:rPr>
        <w:t>b）规范评估卒中风险、出血风险、症状负担和并发症风险；</w:t>
      </w:r>
    </w:p>
    <w:p w14:paraId="20DFD405">
      <w:pPr>
        <w:pStyle w:val="56"/>
        <w:spacing w:line="360" w:lineRule="auto"/>
        <w:ind w:firstLine="420"/>
      </w:pPr>
      <w:r>
        <w:rPr>
          <w:rFonts w:hint="eastAsia"/>
        </w:rPr>
        <w:t>c）提高抗凝治疗规范性和连续性；</w:t>
      </w:r>
    </w:p>
    <w:p w14:paraId="45D58A79">
      <w:pPr>
        <w:pStyle w:val="56"/>
        <w:spacing w:line="360" w:lineRule="auto"/>
        <w:ind w:firstLine="420"/>
      </w:pPr>
      <w:r>
        <w:rPr>
          <w:rFonts w:hint="eastAsia"/>
        </w:rPr>
        <w:t>d）改善症状控制和生活质量；</w:t>
      </w:r>
    </w:p>
    <w:p w14:paraId="2C2E28D0">
      <w:pPr>
        <w:pStyle w:val="56"/>
        <w:spacing w:line="360" w:lineRule="auto"/>
        <w:ind w:firstLine="420"/>
      </w:pPr>
      <w:r>
        <w:rPr>
          <w:rFonts w:hint="eastAsia"/>
        </w:rPr>
        <w:t>e）降低脑卒中、全身性栓塞、心力衰竭加重、重复住院和死亡风险；</w:t>
      </w:r>
    </w:p>
    <w:p w14:paraId="01E079C6">
      <w:pPr>
        <w:pStyle w:val="56"/>
        <w:spacing w:line="360" w:lineRule="auto"/>
        <w:ind w:firstLine="420"/>
      </w:pPr>
      <w:r>
        <w:rPr>
          <w:rFonts w:hint="eastAsia"/>
        </w:rPr>
        <w:t>f）加强可干预危险因素和合并疾病管理；</w:t>
      </w:r>
    </w:p>
    <w:p w14:paraId="1BAC5BFA">
      <w:pPr>
        <w:pStyle w:val="56"/>
        <w:spacing w:line="360" w:lineRule="auto"/>
        <w:ind w:firstLine="420"/>
      </w:pPr>
      <w:r>
        <w:rPr>
          <w:rFonts w:hint="eastAsia"/>
        </w:rPr>
        <w:t>g）提高患者依从性和长期随访完成率；</w:t>
      </w:r>
    </w:p>
    <w:p w14:paraId="5B9B7DA8">
      <w:pPr>
        <w:pStyle w:val="56"/>
        <w:spacing w:line="360" w:lineRule="auto"/>
        <w:ind w:firstLine="420"/>
      </w:pPr>
      <w:r>
        <w:rPr>
          <w:rFonts w:hint="eastAsia"/>
        </w:rPr>
        <w:t>h）提升路径执行一致性和医疗质量。</w:t>
      </w:r>
    </w:p>
    <w:p w14:paraId="1B4E6C82">
      <w:pPr>
        <w:pStyle w:val="165"/>
        <w:spacing w:line="360" w:lineRule="auto"/>
      </w:pPr>
      <w:r>
        <w:rPr>
          <w:rFonts w:hint="eastAsia"/>
        </w:rPr>
        <w:t>房颤患者整合式管理目标应根据医疗机构功能定位、患者类型和管理场景分层落实，不得以统一模板替代分层管理要求。</w:t>
      </w:r>
    </w:p>
    <w:p w14:paraId="2B6D99DA">
      <w:pPr>
        <w:pStyle w:val="105"/>
        <w:spacing w:before="120" w:after="120" w:line="360" w:lineRule="auto"/>
      </w:pPr>
      <w:r>
        <w:rPr>
          <w:rFonts w:hint="eastAsia"/>
        </w:rPr>
        <w:t>适用对象与管理边界</w:t>
      </w:r>
    </w:p>
    <w:p w14:paraId="632D0169">
      <w:pPr>
        <w:pStyle w:val="165"/>
        <w:spacing w:line="360" w:lineRule="auto"/>
      </w:pPr>
      <w:r>
        <w:rPr>
          <w:rFonts w:hint="eastAsia"/>
        </w:rPr>
        <w:t>本文件适用于成人房颤患者的整合式管理。</w:t>
      </w:r>
    </w:p>
    <w:p w14:paraId="0B636C99">
      <w:pPr>
        <w:pStyle w:val="165"/>
        <w:spacing w:line="360" w:lineRule="auto"/>
      </w:pPr>
      <w:r>
        <w:rPr>
          <w:rFonts w:hint="eastAsia"/>
        </w:rPr>
        <w:t>对初发房颤、复发房颤、阵发性房颤、持续性房颤、长期持续性房颤和永久性房颤患者，均应纳入相应路径管理范围。</w:t>
      </w:r>
    </w:p>
    <w:p w14:paraId="2FAEF7B9">
      <w:pPr>
        <w:pStyle w:val="165"/>
        <w:spacing w:line="360" w:lineRule="auto"/>
      </w:pPr>
      <w:r>
        <w:rPr>
          <w:rFonts w:hint="eastAsia"/>
        </w:rPr>
        <w:t>对疑似房颤患者，在未完成确诊前，应按疑似病例管理要求进行识别、评估和必要转诊，不得直接按已确诊房颤患者实施全部路径内容。</w:t>
      </w:r>
    </w:p>
    <w:p w14:paraId="60FAA937">
      <w:pPr>
        <w:pStyle w:val="165"/>
        <w:spacing w:line="360" w:lineRule="auto"/>
      </w:pPr>
      <w:r>
        <w:rPr>
          <w:rFonts w:hint="eastAsia"/>
        </w:rPr>
        <w:t>对合并急性冠脉综合征、急性卒中、急性心力衰竭、严重感染、围手术期重大风险、妊娠或者其他特殊情况的患者，应在执行本文件基础上结合相应专科诊疗要求实施加强管理。</w:t>
      </w:r>
    </w:p>
    <w:p w14:paraId="5E579003">
      <w:pPr>
        <w:pStyle w:val="165"/>
        <w:spacing w:line="360" w:lineRule="auto"/>
      </w:pPr>
      <w:r>
        <w:rPr>
          <w:rFonts w:hint="eastAsia"/>
        </w:rPr>
        <w:t>本文件不替代急危重症抢救流程、专科诊疗规范和药品说明书要求；当本文件与紧急救治要求冲突时，应优先保障患者生命安全。</w:t>
      </w:r>
    </w:p>
    <w:p w14:paraId="10A22508">
      <w:pPr>
        <w:pStyle w:val="105"/>
        <w:spacing w:before="120" w:after="120" w:line="360" w:lineRule="auto"/>
      </w:pPr>
      <w:r>
        <w:rPr>
          <w:rFonts w:hint="eastAsia"/>
        </w:rPr>
        <w:t>管理模式要求</w:t>
      </w:r>
    </w:p>
    <w:p w14:paraId="6147C11D">
      <w:pPr>
        <w:pStyle w:val="165"/>
        <w:spacing w:line="360" w:lineRule="auto"/>
      </w:pPr>
      <w:r>
        <w:rPr>
          <w:rFonts w:hint="eastAsia"/>
        </w:rPr>
        <w:t>房颤患者整合式管理宜采用门急诊、住院、介入治疗、出院管理和长期随访相贯通的路径模式。</w:t>
      </w:r>
    </w:p>
    <w:p w14:paraId="5A124B18">
      <w:pPr>
        <w:pStyle w:val="165"/>
        <w:spacing w:line="360" w:lineRule="auto"/>
      </w:pPr>
      <w:r>
        <w:rPr>
          <w:rFonts w:hint="eastAsia"/>
        </w:rPr>
        <w:t>医疗机构应根据自身条件建立房颤整合式管理协同机制，明确门诊、急诊、病房、心电、超声、检验、药学、护理、随访和信息管理等环节的衔接要求。</w:t>
      </w:r>
    </w:p>
    <w:p w14:paraId="11CEB516">
      <w:pPr>
        <w:pStyle w:val="165"/>
        <w:spacing w:line="360" w:lineRule="auto"/>
      </w:pPr>
      <w:r>
        <w:rPr>
          <w:rFonts w:hint="eastAsia"/>
        </w:rPr>
        <w:t>对需要多学科协作的患者，应建立会诊、协同决策和转介机制。</w:t>
      </w:r>
    </w:p>
    <w:p w14:paraId="7439704B">
      <w:pPr>
        <w:pStyle w:val="165"/>
        <w:spacing w:line="360" w:lineRule="auto"/>
      </w:pPr>
      <w:r>
        <w:rPr>
          <w:rFonts w:hint="eastAsia"/>
        </w:rPr>
        <w:t>对基层医疗机构管理的房颤患者，应明确上转条件、下转条件和长期随访职责。</w:t>
      </w:r>
    </w:p>
    <w:p w14:paraId="4455EB70">
      <w:pPr>
        <w:pStyle w:val="165"/>
        <w:spacing w:line="360" w:lineRule="auto"/>
      </w:pPr>
      <w:r>
        <w:rPr>
          <w:rFonts w:hint="eastAsia"/>
        </w:rPr>
        <w:t>房颤患者整合式管理不得因患者就诊科别不同而出现关键评估缺失、抗凝中断、信息失联或者随访脱节。</w:t>
      </w:r>
    </w:p>
    <w:p w14:paraId="47583908">
      <w:pPr>
        <w:pStyle w:val="105"/>
        <w:spacing w:before="120" w:after="120" w:line="360" w:lineRule="auto"/>
      </w:pPr>
      <w:r>
        <w:rPr>
          <w:rFonts w:hint="eastAsia"/>
        </w:rPr>
        <w:t>管理职责</w:t>
      </w:r>
    </w:p>
    <w:p w14:paraId="33262565">
      <w:pPr>
        <w:pStyle w:val="165"/>
        <w:spacing w:line="360" w:lineRule="auto"/>
      </w:pPr>
      <w:r>
        <w:rPr>
          <w:rFonts w:hint="eastAsia"/>
        </w:rPr>
        <w:t>医疗机构应明确房颤患者整合式管理的主管部门和执行部门。</w:t>
      </w:r>
    </w:p>
    <w:p w14:paraId="07C439EB">
      <w:pPr>
        <w:pStyle w:val="165"/>
        <w:spacing w:line="360" w:lineRule="auto"/>
      </w:pPr>
      <w:r>
        <w:rPr>
          <w:rFonts w:hint="eastAsia"/>
        </w:rPr>
        <w:t>临床医师应负责诊断确认、风险评估、治疗决策、路径启动、方案调整和关键节点复评。</w:t>
      </w:r>
    </w:p>
    <w:p w14:paraId="193D1990">
      <w:pPr>
        <w:pStyle w:val="165"/>
        <w:spacing w:line="360" w:lineRule="auto"/>
      </w:pPr>
      <w:r>
        <w:rPr>
          <w:rFonts w:hint="eastAsia"/>
        </w:rPr>
        <w:t>护理人员应负责症状观察、风险提示、健康教育、依从性管理、出院指导和随访配合。</w:t>
      </w:r>
    </w:p>
    <w:p w14:paraId="233444EC">
      <w:pPr>
        <w:pStyle w:val="165"/>
        <w:spacing w:line="360" w:lineRule="auto"/>
      </w:pPr>
      <w:r>
        <w:rPr>
          <w:rFonts w:hint="eastAsia"/>
        </w:rPr>
        <w:t>药师应参与抗凝用药评估、相互作用识别、用药教育和用药安全管理。</w:t>
      </w:r>
    </w:p>
    <w:p w14:paraId="19D1DACB">
      <w:pPr>
        <w:pStyle w:val="165"/>
        <w:spacing w:line="360" w:lineRule="auto"/>
      </w:pPr>
      <w:r>
        <w:rPr>
          <w:rFonts w:hint="eastAsia"/>
        </w:rPr>
        <w:t>相关辅助科室应按照路径要求提供检查、监测和结果支持。</w:t>
      </w:r>
    </w:p>
    <w:p w14:paraId="3B771937">
      <w:pPr>
        <w:pStyle w:val="165"/>
        <w:spacing w:line="360" w:lineRule="auto"/>
      </w:pPr>
      <w:r>
        <w:rPr>
          <w:rFonts w:hint="eastAsia"/>
        </w:rPr>
        <w:t>随访管理人员应负责出院后信息衔接、定期随访、异常反馈和脱落管理。</w:t>
      </w:r>
    </w:p>
    <w:p w14:paraId="55B0830F">
      <w:pPr>
        <w:pStyle w:val="165"/>
        <w:spacing w:line="360" w:lineRule="auto"/>
      </w:pPr>
      <w:r>
        <w:rPr>
          <w:rFonts w:hint="eastAsia"/>
        </w:rPr>
        <w:t>医疗机构不得将房颤患者整合式管理责任仅归于单一岗位或者单一科室。</w:t>
      </w:r>
    </w:p>
    <w:p w14:paraId="0380AE15">
      <w:pPr>
        <w:pStyle w:val="105"/>
        <w:spacing w:before="120" w:after="120" w:line="360" w:lineRule="auto"/>
      </w:pPr>
      <w:r>
        <w:rPr>
          <w:rFonts w:hint="eastAsia"/>
        </w:rPr>
        <w:t>路径启动条件</w:t>
      </w:r>
    </w:p>
    <w:p w14:paraId="5E30BD57">
      <w:pPr>
        <w:pStyle w:val="165"/>
        <w:spacing w:line="360" w:lineRule="auto"/>
      </w:pPr>
      <w:r>
        <w:rPr>
          <w:rFonts w:hint="eastAsia"/>
        </w:rPr>
        <w:t>出现下列情形之一时，应启动房颤患者整合式管理路径：</w:t>
      </w:r>
    </w:p>
    <w:p w14:paraId="4724BA12">
      <w:pPr>
        <w:pStyle w:val="56"/>
        <w:spacing w:line="360" w:lineRule="auto"/>
        <w:ind w:firstLine="420"/>
      </w:pPr>
      <w:r>
        <w:rPr>
          <w:rFonts w:hint="eastAsia"/>
        </w:rPr>
        <w:t>a）首次明确诊断房颤；</w:t>
      </w:r>
    </w:p>
    <w:p w14:paraId="67030EA4">
      <w:pPr>
        <w:pStyle w:val="56"/>
        <w:spacing w:line="360" w:lineRule="auto"/>
        <w:ind w:firstLine="420"/>
      </w:pPr>
      <w:r>
        <w:rPr>
          <w:rFonts w:hint="eastAsia"/>
        </w:rPr>
        <w:t>b）既往已诊断房颤但本次因症状加重、并发症或者治疗调整就诊；</w:t>
      </w:r>
    </w:p>
    <w:p w14:paraId="7B559C11">
      <w:pPr>
        <w:pStyle w:val="56"/>
        <w:spacing w:line="360" w:lineRule="auto"/>
        <w:ind w:firstLine="420"/>
      </w:pPr>
      <w:r>
        <w:rPr>
          <w:rFonts w:hint="eastAsia"/>
        </w:rPr>
        <w:t>c）抗凝方案、控率方案或者控律方案需调整；</w:t>
      </w:r>
    </w:p>
    <w:p w14:paraId="1E5126FF">
      <w:pPr>
        <w:pStyle w:val="56"/>
        <w:spacing w:line="360" w:lineRule="auto"/>
        <w:ind w:firstLine="420"/>
      </w:pPr>
      <w:r>
        <w:rPr>
          <w:rFonts w:hint="eastAsia"/>
        </w:rPr>
        <w:t>d）拟行电复律、导管消融、左心耳封堵或者其他侵入性治疗；</w:t>
      </w:r>
    </w:p>
    <w:p w14:paraId="2A51D0FE">
      <w:pPr>
        <w:pStyle w:val="56"/>
        <w:spacing w:line="360" w:lineRule="auto"/>
        <w:ind w:firstLine="420"/>
      </w:pPr>
      <w:r>
        <w:rPr>
          <w:rFonts w:hint="eastAsia"/>
        </w:rPr>
        <w:t>e）出院后需要纳入长期规范随访管理；</w:t>
      </w:r>
    </w:p>
    <w:p w14:paraId="3E8EBCE1">
      <w:pPr>
        <w:pStyle w:val="56"/>
        <w:spacing w:line="360" w:lineRule="auto"/>
        <w:ind w:firstLine="420"/>
      </w:pPr>
      <w:r>
        <w:rPr>
          <w:rFonts w:hint="eastAsia"/>
        </w:rPr>
        <w:t>f）其他经临床判断需要纳入路径管理的情形。</w:t>
      </w:r>
    </w:p>
    <w:p w14:paraId="267A1390">
      <w:pPr>
        <w:pStyle w:val="165"/>
        <w:spacing w:line="360" w:lineRule="auto"/>
      </w:pPr>
      <w:r>
        <w:rPr>
          <w:rFonts w:hint="eastAsia"/>
        </w:rPr>
        <w:t>对仅有房颤可疑表现但尚未证实者，可先进入识别与评估流程，待诊断明确后转入正式路径管理。</w:t>
      </w:r>
    </w:p>
    <w:p w14:paraId="11563E0E">
      <w:pPr>
        <w:pStyle w:val="105"/>
        <w:spacing w:before="120" w:after="120" w:line="360" w:lineRule="auto"/>
      </w:pPr>
      <w:r>
        <w:rPr>
          <w:rFonts w:hint="eastAsia"/>
        </w:rPr>
        <w:t>风险导向要求</w:t>
      </w:r>
    </w:p>
    <w:p w14:paraId="2F4F4D11">
      <w:pPr>
        <w:pStyle w:val="165"/>
        <w:spacing w:line="360" w:lineRule="auto"/>
      </w:pPr>
      <w:r>
        <w:rPr>
          <w:rFonts w:hint="eastAsia"/>
        </w:rPr>
        <w:t>房颤患者整合式管理应以卒中风险和出血风险评估为重要基础，同时统筹症状负担、节律状态、心功能状态、合并疾病和治疗偏好。</w:t>
      </w:r>
    </w:p>
    <w:p w14:paraId="5CCEEF28">
      <w:pPr>
        <w:pStyle w:val="165"/>
        <w:spacing w:line="360" w:lineRule="auto"/>
      </w:pPr>
      <w:r>
        <w:rPr>
          <w:rFonts w:hint="eastAsia"/>
        </w:rPr>
        <w:t>风险评估结果应作为抗凝策略、控率控律策略、随访频率和管理强度的重要依据。</w:t>
      </w:r>
    </w:p>
    <w:p w14:paraId="37CFB50F">
      <w:pPr>
        <w:pStyle w:val="165"/>
        <w:spacing w:line="360" w:lineRule="auto"/>
      </w:pPr>
      <w:r>
        <w:rPr>
          <w:rFonts w:hint="eastAsia"/>
        </w:rPr>
        <w:t>风险评估不得一次完成后长期不变，应根据患者年龄变化、并发症变化、治疗变化和事件发生情况动态复评。</w:t>
      </w:r>
    </w:p>
    <w:p w14:paraId="5F5CC474">
      <w:pPr>
        <w:pStyle w:val="165"/>
        <w:spacing w:line="360" w:lineRule="auto"/>
      </w:pPr>
      <w:r>
        <w:rPr>
          <w:rFonts w:hint="eastAsia"/>
        </w:rPr>
        <w:t>对高风险患者，应提高路径管理频次、复评频次和随访强度。</w:t>
      </w:r>
    </w:p>
    <w:p w14:paraId="0F08CD5A">
      <w:pPr>
        <w:pStyle w:val="105"/>
        <w:spacing w:before="120" w:after="120" w:line="360" w:lineRule="auto"/>
      </w:pPr>
      <w:r>
        <w:rPr>
          <w:rFonts w:hint="eastAsia"/>
        </w:rPr>
        <w:t>治疗决策要求</w:t>
      </w:r>
    </w:p>
    <w:p w14:paraId="1920B5D4">
      <w:pPr>
        <w:pStyle w:val="165"/>
        <w:spacing w:line="360" w:lineRule="auto"/>
      </w:pPr>
      <w:r>
        <w:rPr>
          <w:rFonts w:hint="eastAsia"/>
        </w:rPr>
        <w:t>房颤患者治疗决策应建立在明确诊断、完成必要评估和综合判断基础上。</w:t>
      </w:r>
    </w:p>
    <w:p w14:paraId="017D1065">
      <w:pPr>
        <w:pStyle w:val="165"/>
        <w:spacing w:line="360" w:lineRule="auto"/>
      </w:pPr>
      <w:r>
        <w:rPr>
          <w:rFonts w:hint="eastAsia"/>
        </w:rPr>
        <w:t>治疗决策应综合考虑卒中预防、症状控制、节律管理、心率管理、基础疾病控制和患者个体情况。</w:t>
      </w:r>
    </w:p>
    <w:p w14:paraId="060110C8">
      <w:pPr>
        <w:pStyle w:val="165"/>
        <w:spacing w:line="360" w:lineRule="auto"/>
      </w:pPr>
      <w:r>
        <w:rPr>
          <w:rFonts w:hint="eastAsia"/>
        </w:rPr>
        <w:t>治疗决策不得仅依据单项评分、单次心电结果或者单次症状报告作出最终判断。</w:t>
      </w:r>
    </w:p>
    <w:p w14:paraId="3DEE1F77">
      <w:pPr>
        <w:pStyle w:val="165"/>
        <w:spacing w:line="360" w:lineRule="auto"/>
      </w:pPr>
      <w:r>
        <w:rPr>
          <w:rFonts w:hint="eastAsia"/>
        </w:rPr>
        <w:t>对重大治疗决策，包括长期抗凝启动或者停用、侵入性治疗启动、围手术期抗凝调整和高风险出院安排等，应进行重点确认和记录。</w:t>
      </w:r>
    </w:p>
    <w:p w14:paraId="10113956">
      <w:pPr>
        <w:pStyle w:val="105"/>
        <w:spacing w:before="120" w:after="120" w:line="360" w:lineRule="auto"/>
      </w:pPr>
      <w:r>
        <w:rPr>
          <w:rFonts w:hint="eastAsia"/>
        </w:rPr>
        <w:t>患者教育与共同决策要求</w:t>
      </w:r>
    </w:p>
    <w:p w14:paraId="1CA01484">
      <w:pPr>
        <w:pStyle w:val="165"/>
        <w:spacing w:line="360" w:lineRule="auto"/>
      </w:pPr>
      <w:r>
        <w:rPr>
          <w:rFonts w:hint="eastAsia"/>
        </w:rPr>
        <w:t>房颤患者整合式管理应纳入患者教育内容。</w:t>
      </w:r>
    </w:p>
    <w:p w14:paraId="5FAD8D74">
      <w:pPr>
        <w:pStyle w:val="165"/>
        <w:spacing w:line="360" w:lineRule="auto"/>
      </w:pPr>
      <w:r>
        <w:rPr>
          <w:rFonts w:hint="eastAsia"/>
        </w:rPr>
        <w:t>患者教育应包括疾病认知、卒中风险、抗凝重要性、出血警示、药物依从性、症状识别、生活方式干预和随访要求等内容。</w:t>
      </w:r>
    </w:p>
    <w:p w14:paraId="69B91FE6">
      <w:pPr>
        <w:pStyle w:val="165"/>
        <w:spacing w:line="360" w:lineRule="auto"/>
      </w:pPr>
      <w:r>
        <w:rPr>
          <w:rFonts w:hint="eastAsia"/>
        </w:rPr>
        <w:t>对长期治疗方案、侵入性治疗方案和高风险治疗方案，宜开展共同决策。</w:t>
      </w:r>
    </w:p>
    <w:p w14:paraId="54600C64">
      <w:pPr>
        <w:pStyle w:val="165"/>
        <w:spacing w:line="360" w:lineRule="auto"/>
      </w:pPr>
      <w:r>
        <w:rPr>
          <w:rFonts w:hint="eastAsia"/>
        </w:rPr>
        <w:t>患者或者照护者未充分理解关键管理要求前，不得简单结束路径宣教环节。</w:t>
      </w:r>
    </w:p>
    <w:p w14:paraId="34EB4E41">
      <w:pPr>
        <w:pStyle w:val="105"/>
        <w:spacing w:before="120" w:after="120" w:line="360" w:lineRule="auto"/>
      </w:pPr>
      <w:r>
        <w:rPr>
          <w:rFonts w:hint="eastAsia"/>
        </w:rPr>
        <w:t>记录与信息管理要求</w:t>
      </w:r>
    </w:p>
    <w:p w14:paraId="4543FF1B">
      <w:pPr>
        <w:pStyle w:val="165"/>
        <w:spacing w:line="360" w:lineRule="auto"/>
      </w:pPr>
      <w:r>
        <w:rPr>
          <w:rFonts w:hint="eastAsia"/>
        </w:rPr>
        <w:t>房颤患者整合式管理应形成规范记录。</w:t>
      </w:r>
    </w:p>
    <w:p w14:paraId="46A2B45C">
      <w:pPr>
        <w:pStyle w:val="165"/>
        <w:spacing w:line="360" w:lineRule="auto"/>
      </w:pPr>
      <w:r>
        <w:rPr>
          <w:rFonts w:hint="eastAsia"/>
        </w:rPr>
        <w:t>记录内容应至少包括诊断信息、分型信息、风险评估结果、治疗策略、药物使用情况、复评结论、教育记录和随访计划。</w:t>
      </w:r>
    </w:p>
    <w:p w14:paraId="4809AD7A">
      <w:pPr>
        <w:pStyle w:val="165"/>
        <w:spacing w:line="360" w:lineRule="auto"/>
      </w:pPr>
      <w:r>
        <w:rPr>
          <w:rFonts w:hint="eastAsia"/>
        </w:rPr>
        <w:t>住院、门诊、急诊和随访环节之间应建立信息衔接机制。</w:t>
      </w:r>
    </w:p>
    <w:p w14:paraId="5DD10DC5">
      <w:pPr>
        <w:pStyle w:val="165"/>
        <w:spacing w:line="360" w:lineRule="auto"/>
      </w:pPr>
      <w:r>
        <w:rPr>
          <w:rFonts w:hint="eastAsia"/>
        </w:rPr>
        <w:t>关键评估和关键治疗节点缺乏记录的，不得视为该路径环节已完成。</w:t>
      </w:r>
    </w:p>
    <w:p w14:paraId="779ED0B5">
      <w:pPr>
        <w:pStyle w:val="105"/>
        <w:spacing w:before="120" w:after="120" w:line="360" w:lineRule="auto"/>
      </w:pPr>
      <w:r>
        <w:rPr>
          <w:rFonts w:hint="eastAsia"/>
        </w:rPr>
        <w:t>禁止性要求</w:t>
      </w:r>
    </w:p>
    <w:p w14:paraId="4724ACD2">
      <w:pPr>
        <w:pStyle w:val="165"/>
        <w:spacing w:line="360" w:lineRule="auto"/>
      </w:pPr>
      <w:r>
        <w:rPr>
          <w:rFonts w:hint="eastAsia"/>
        </w:rPr>
        <w:t>不得在未完成基本诊断和风险评估的情况下直接启动长期治疗方案。</w:t>
      </w:r>
    </w:p>
    <w:p w14:paraId="53212283">
      <w:pPr>
        <w:pStyle w:val="165"/>
        <w:spacing w:line="360" w:lineRule="auto"/>
      </w:pPr>
      <w:r>
        <w:rPr>
          <w:rFonts w:hint="eastAsia"/>
        </w:rPr>
        <w:t>不得将抗凝管理与房颤整体管理割裂实施。</w:t>
      </w:r>
    </w:p>
    <w:p w14:paraId="5FE81E8A">
      <w:pPr>
        <w:pStyle w:val="165"/>
        <w:spacing w:line="360" w:lineRule="auto"/>
      </w:pPr>
      <w:r>
        <w:rPr>
          <w:rFonts w:hint="eastAsia"/>
        </w:rPr>
        <w:t>不得以症状轻微为由忽视卒中风险评估和长期管理要求。</w:t>
      </w:r>
    </w:p>
    <w:p w14:paraId="7EF7CDCE">
      <w:pPr>
        <w:pStyle w:val="165"/>
        <w:spacing w:line="360" w:lineRule="auto"/>
      </w:pPr>
      <w:r>
        <w:rPr>
          <w:rFonts w:hint="eastAsia"/>
        </w:rPr>
        <w:t>不得以一次评估结果代替长期动态复评。</w:t>
      </w:r>
    </w:p>
    <w:p w14:paraId="12912E5A">
      <w:pPr>
        <w:pStyle w:val="165"/>
        <w:spacing w:line="360" w:lineRule="auto"/>
      </w:pPr>
      <w:r>
        <w:rPr>
          <w:rFonts w:hint="eastAsia"/>
        </w:rPr>
        <w:t>不得在出院时未明确随访安排、未完成患者教育或者未交接重点信息即结束路径管理。</w:t>
      </w:r>
    </w:p>
    <w:p w14:paraId="6D720887">
      <w:pPr>
        <w:pStyle w:val="104"/>
        <w:spacing w:before="240" w:after="240" w:line="360" w:lineRule="auto"/>
      </w:pPr>
      <w:bookmarkStart w:id="52" w:name="_Toc228563217"/>
      <w:r>
        <w:rPr>
          <w:rFonts w:hint="eastAsia"/>
        </w:rPr>
        <w:t>房颤患者识别、初始评估与分层管理</w:t>
      </w:r>
      <w:bookmarkEnd w:id="52"/>
    </w:p>
    <w:p w14:paraId="6CAF8BE3">
      <w:pPr>
        <w:pStyle w:val="105"/>
        <w:spacing w:before="120" w:after="120" w:line="360" w:lineRule="auto"/>
      </w:pPr>
      <w:r>
        <w:rPr>
          <w:rFonts w:hint="eastAsia"/>
        </w:rPr>
        <w:t>一般要求</w:t>
      </w:r>
    </w:p>
    <w:p w14:paraId="15BF9CEA">
      <w:pPr>
        <w:pStyle w:val="165"/>
        <w:spacing w:line="360" w:lineRule="auto"/>
      </w:pPr>
      <w:r>
        <w:rPr>
          <w:rFonts w:hint="eastAsia"/>
        </w:rPr>
        <w:t>房颤患者进入整合式管理路径前，应完成识别、初始评估和分层管理。</w:t>
      </w:r>
    </w:p>
    <w:p w14:paraId="01CA243B">
      <w:pPr>
        <w:pStyle w:val="165"/>
        <w:spacing w:line="360" w:lineRule="auto"/>
      </w:pPr>
      <w:r>
        <w:rPr>
          <w:rFonts w:hint="eastAsia"/>
        </w:rPr>
        <w:t>识别、初始评估与分层管理应覆盖疑似房颤筛查、诊断确认、临床状态判断、危险分层和路径分流等环节。</w:t>
      </w:r>
    </w:p>
    <w:p w14:paraId="22A6FAE5">
      <w:pPr>
        <w:pStyle w:val="165"/>
        <w:spacing w:line="360" w:lineRule="auto"/>
      </w:pPr>
      <w:r>
        <w:rPr>
          <w:rFonts w:hint="eastAsia"/>
        </w:rPr>
        <w:t>对不同就诊场景的患者，应根据急诊、门诊、住院、术前评估或者体检发现等不同情况设置相应识别路径。</w:t>
      </w:r>
    </w:p>
    <w:p w14:paraId="777C4FEB">
      <w:pPr>
        <w:pStyle w:val="165"/>
        <w:spacing w:line="360" w:lineRule="auto"/>
      </w:pPr>
      <w:r>
        <w:rPr>
          <w:rFonts w:hint="eastAsia"/>
        </w:rPr>
        <w:t>对存在高危表现者，应优先识别并及时进入快速评估流程。</w:t>
      </w:r>
    </w:p>
    <w:p w14:paraId="76BDE2B6">
      <w:pPr>
        <w:pStyle w:val="105"/>
        <w:spacing w:before="120" w:after="120" w:line="360" w:lineRule="auto"/>
      </w:pPr>
      <w:r>
        <w:rPr>
          <w:rFonts w:hint="eastAsia"/>
        </w:rPr>
        <w:t>患者识别</w:t>
      </w:r>
    </w:p>
    <w:p w14:paraId="2C4D94AF">
      <w:pPr>
        <w:pStyle w:val="65"/>
        <w:spacing w:before="120" w:after="120" w:line="360" w:lineRule="auto"/>
      </w:pPr>
      <w:r>
        <w:rPr>
          <w:rFonts w:hint="eastAsia"/>
        </w:rPr>
        <w:t>一般识别要求</w:t>
      </w:r>
    </w:p>
    <w:p w14:paraId="3F289C5F">
      <w:pPr>
        <w:pStyle w:val="164"/>
        <w:spacing w:line="360" w:lineRule="auto"/>
      </w:pPr>
      <w:r>
        <w:rPr>
          <w:rFonts w:hint="eastAsia"/>
        </w:rPr>
        <w:t>对出现心悸、胸闷、气短、乏力、运动耐量下降、头晕、晕厥前状态、卒中相关症状或者不明原因心率不齐的患者，应考虑房颤识别。</w:t>
      </w:r>
    </w:p>
    <w:p w14:paraId="6EF34BFC">
      <w:pPr>
        <w:pStyle w:val="164"/>
        <w:spacing w:line="360" w:lineRule="auto"/>
      </w:pPr>
      <w:r>
        <w:rPr>
          <w:rFonts w:hint="eastAsia"/>
        </w:rPr>
        <w:t>对体检、门诊、住院监测、可穿戴设备提示或者其他检查中发现心律不齐者，应进行进一步核实。</w:t>
      </w:r>
    </w:p>
    <w:p w14:paraId="35EB91C2">
      <w:pPr>
        <w:pStyle w:val="164"/>
        <w:spacing w:line="360" w:lineRule="auto"/>
      </w:pPr>
      <w:r>
        <w:rPr>
          <w:rFonts w:hint="eastAsia"/>
        </w:rPr>
        <w:t>对老年患者、卒中高危患者、合并高血压、心力衰竭、冠心病、糖尿病、肥胖、睡眠呼吸障碍或者甲状腺功能异常患者，应提高房颤识别敏感性。</w:t>
      </w:r>
    </w:p>
    <w:p w14:paraId="1DD412D6">
      <w:pPr>
        <w:pStyle w:val="65"/>
        <w:spacing w:before="120" w:after="120" w:line="360" w:lineRule="auto"/>
      </w:pPr>
      <w:r>
        <w:rPr>
          <w:rFonts w:hint="eastAsia"/>
        </w:rPr>
        <w:t>高危人群识别</w:t>
      </w:r>
    </w:p>
    <w:p w14:paraId="0F22D250">
      <w:pPr>
        <w:pStyle w:val="164"/>
        <w:spacing w:line="360" w:lineRule="auto"/>
      </w:pPr>
      <w:r>
        <w:rPr>
          <w:rFonts w:hint="eastAsia"/>
        </w:rPr>
        <w:t>下列人群宜纳入重点识别范围：</w:t>
      </w:r>
    </w:p>
    <w:p w14:paraId="14C78AF5">
      <w:pPr>
        <w:pStyle w:val="56"/>
        <w:spacing w:line="360" w:lineRule="auto"/>
        <w:ind w:firstLine="420"/>
      </w:pPr>
      <w:r>
        <w:rPr>
          <w:rFonts w:hint="eastAsia"/>
        </w:rPr>
        <w:t>a）年龄较大者；</w:t>
      </w:r>
    </w:p>
    <w:p w14:paraId="462A82F7">
      <w:pPr>
        <w:pStyle w:val="56"/>
        <w:spacing w:line="360" w:lineRule="auto"/>
        <w:ind w:firstLine="420"/>
      </w:pPr>
      <w:r>
        <w:rPr>
          <w:rFonts w:hint="eastAsia"/>
        </w:rPr>
        <w:t>b）既往卒中、短暂性脑缺血发作或者系统性栓塞病史者；</w:t>
      </w:r>
    </w:p>
    <w:p w14:paraId="67EF0CC7">
      <w:pPr>
        <w:pStyle w:val="56"/>
        <w:spacing w:line="360" w:lineRule="auto"/>
        <w:ind w:firstLine="420"/>
      </w:pPr>
      <w:r>
        <w:rPr>
          <w:rFonts w:hint="eastAsia"/>
        </w:rPr>
        <w:t>c）高血压患者；</w:t>
      </w:r>
    </w:p>
    <w:p w14:paraId="58CA2055">
      <w:pPr>
        <w:pStyle w:val="56"/>
        <w:spacing w:line="360" w:lineRule="auto"/>
        <w:ind w:firstLine="420"/>
      </w:pPr>
      <w:r>
        <w:rPr>
          <w:rFonts w:hint="eastAsia"/>
        </w:rPr>
        <w:t>d）心力衰竭患者；</w:t>
      </w:r>
    </w:p>
    <w:p w14:paraId="5D474840">
      <w:pPr>
        <w:pStyle w:val="56"/>
        <w:spacing w:line="360" w:lineRule="auto"/>
        <w:ind w:firstLine="420"/>
      </w:pPr>
      <w:r>
        <w:rPr>
          <w:rFonts w:hint="eastAsia"/>
        </w:rPr>
        <w:t>e）冠心病或者结构性心脏病患者；</w:t>
      </w:r>
    </w:p>
    <w:p w14:paraId="12ABA442">
      <w:pPr>
        <w:pStyle w:val="56"/>
        <w:spacing w:line="360" w:lineRule="auto"/>
        <w:ind w:firstLine="420"/>
      </w:pPr>
      <w:r>
        <w:rPr>
          <w:rFonts w:hint="eastAsia"/>
        </w:rPr>
        <w:t>f）糖尿病患者；</w:t>
      </w:r>
    </w:p>
    <w:p w14:paraId="5DC925C2">
      <w:pPr>
        <w:pStyle w:val="56"/>
        <w:spacing w:line="360" w:lineRule="auto"/>
        <w:ind w:firstLine="420"/>
      </w:pPr>
      <w:r>
        <w:rPr>
          <w:rFonts w:hint="eastAsia"/>
        </w:rPr>
        <w:t>g）肥胖患者；</w:t>
      </w:r>
    </w:p>
    <w:p w14:paraId="08BA5CA5">
      <w:pPr>
        <w:pStyle w:val="56"/>
        <w:spacing w:line="360" w:lineRule="auto"/>
        <w:ind w:firstLine="420"/>
      </w:pPr>
      <w:r>
        <w:rPr>
          <w:rFonts w:hint="eastAsia"/>
        </w:rPr>
        <w:t>h）睡眠呼吸障碍患者；</w:t>
      </w:r>
    </w:p>
    <w:p w14:paraId="7080DF42">
      <w:pPr>
        <w:pStyle w:val="56"/>
        <w:spacing w:line="360" w:lineRule="auto"/>
        <w:ind w:firstLine="420"/>
      </w:pPr>
      <w:r>
        <w:rPr>
          <w:rFonts w:hint="eastAsia"/>
        </w:rPr>
        <w:t>i）有房颤家族史或者既往房性心律失常史者；</w:t>
      </w:r>
    </w:p>
    <w:p w14:paraId="65C4ED55">
      <w:pPr>
        <w:pStyle w:val="56"/>
        <w:spacing w:line="360" w:lineRule="auto"/>
        <w:ind w:firstLine="420"/>
      </w:pPr>
      <w:r>
        <w:rPr>
          <w:rFonts w:hint="eastAsia"/>
        </w:rPr>
        <w:t>j）接受相关心血管手术或者介入治疗后的患者。</w:t>
      </w:r>
    </w:p>
    <w:p w14:paraId="614E4979">
      <w:pPr>
        <w:pStyle w:val="164"/>
        <w:spacing w:line="360" w:lineRule="auto"/>
      </w:pPr>
      <w:r>
        <w:rPr>
          <w:rFonts w:hint="eastAsia"/>
        </w:rPr>
        <w:t>对重点识别对象，宜结合临床条件开展心电图、动态心电监测或者其他适宜方式进行筛查。</w:t>
      </w:r>
    </w:p>
    <w:p w14:paraId="3C54F261">
      <w:pPr>
        <w:pStyle w:val="65"/>
        <w:spacing w:before="120" w:after="120" w:line="360" w:lineRule="auto"/>
      </w:pPr>
      <w:r>
        <w:rPr>
          <w:rFonts w:hint="eastAsia"/>
        </w:rPr>
        <w:t>急危重症识别</w:t>
      </w:r>
    </w:p>
    <w:p w14:paraId="27CBCD0B">
      <w:pPr>
        <w:pStyle w:val="164"/>
        <w:spacing w:line="360" w:lineRule="auto"/>
      </w:pPr>
      <w:r>
        <w:rPr>
          <w:rFonts w:hint="eastAsia"/>
        </w:rPr>
        <w:t>房颤患者出现下列情形之一时，应作为急危重症优先识别对象：</w:t>
      </w:r>
    </w:p>
    <w:p w14:paraId="4C922A86">
      <w:pPr>
        <w:pStyle w:val="56"/>
        <w:spacing w:line="360" w:lineRule="auto"/>
        <w:ind w:firstLine="420"/>
      </w:pPr>
      <w:r>
        <w:rPr>
          <w:rFonts w:hint="eastAsia"/>
        </w:rPr>
        <w:t>a）血流动力学不稳定；</w:t>
      </w:r>
    </w:p>
    <w:p w14:paraId="1E7629DA">
      <w:pPr>
        <w:pStyle w:val="56"/>
        <w:spacing w:line="360" w:lineRule="auto"/>
        <w:ind w:firstLine="420"/>
      </w:pPr>
      <w:r>
        <w:rPr>
          <w:rFonts w:hint="eastAsia"/>
        </w:rPr>
        <w:t>b）急性胸痛或者疑似急性冠脉综合征；</w:t>
      </w:r>
    </w:p>
    <w:p w14:paraId="36305B80">
      <w:pPr>
        <w:pStyle w:val="56"/>
        <w:spacing w:line="360" w:lineRule="auto"/>
        <w:ind w:firstLine="420"/>
      </w:pPr>
      <w:r>
        <w:rPr>
          <w:rFonts w:hint="eastAsia"/>
        </w:rPr>
        <w:t>c）急性心力衰竭或者肺水肿；</w:t>
      </w:r>
    </w:p>
    <w:p w14:paraId="78330607">
      <w:pPr>
        <w:pStyle w:val="56"/>
        <w:spacing w:line="360" w:lineRule="auto"/>
        <w:ind w:firstLine="420"/>
      </w:pPr>
      <w:r>
        <w:rPr>
          <w:rFonts w:hint="eastAsia"/>
        </w:rPr>
        <w:t>d）严重低血压；</w:t>
      </w:r>
    </w:p>
    <w:p w14:paraId="587B3427">
      <w:pPr>
        <w:pStyle w:val="56"/>
        <w:spacing w:line="360" w:lineRule="auto"/>
        <w:ind w:firstLine="420"/>
      </w:pPr>
      <w:r>
        <w:rPr>
          <w:rFonts w:hint="eastAsia"/>
        </w:rPr>
        <w:t>e）意识障碍；</w:t>
      </w:r>
    </w:p>
    <w:p w14:paraId="098C8E85">
      <w:pPr>
        <w:pStyle w:val="56"/>
        <w:spacing w:line="360" w:lineRule="auto"/>
        <w:ind w:firstLine="420"/>
      </w:pPr>
      <w:r>
        <w:rPr>
          <w:rFonts w:hint="eastAsia"/>
        </w:rPr>
        <w:t>f）急性卒中或者短暂性脑缺血发作表现；</w:t>
      </w:r>
    </w:p>
    <w:p w14:paraId="70442954">
      <w:pPr>
        <w:pStyle w:val="56"/>
        <w:spacing w:line="360" w:lineRule="auto"/>
        <w:ind w:firstLine="420"/>
      </w:pPr>
      <w:r>
        <w:rPr>
          <w:rFonts w:hint="eastAsia"/>
        </w:rPr>
        <w:t>g）持续快速心室率伴明显症状；</w:t>
      </w:r>
    </w:p>
    <w:p w14:paraId="3C29D820">
      <w:pPr>
        <w:pStyle w:val="56"/>
        <w:spacing w:line="360" w:lineRule="auto"/>
        <w:ind w:firstLine="420"/>
      </w:pPr>
      <w:r>
        <w:rPr>
          <w:rFonts w:hint="eastAsia"/>
        </w:rPr>
        <w:t>h）其他需要紧急处置的情况。</w:t>
      </w:r>
    </w:p>
    <w:p w14:paraId="5766BAC4">
      <w:pPr>
        <w:pStyle w:val="164"/>
        <w:spacing w:line="360" w:lineRule="auto"/>
      </w:pPr>
      <w:r>
        <w:rPr>
          <w:rFonts w:hint="eastAsia"/>
        </w:rPr>
        <w:t>对急危重症患者，应先进行急诊处置和生命支持，再衔接整合式管理路径。</w:t>
      </w:r>
    </w:p>
    <w:p w14:paraId="4E1D077F">
      <w:pPr>
        <w:pStyle w:val="105"/>
        <w:spacing w:before="120" w:after="120" w:line="360" w:lineRule="auto"/>
      </w:pPr>
      <w:r>
        <w:rPr>
          <w:rFonts w:hint="eastAsia"/>
        </w:rPr>
        <w:t>诊断确认</w:t>
      </w:r>
    </w:p>
    <w:p w14:paraId="7AE675E4">
      <w:pPr>
        <w:pStyle w:val="65"/>
        <w:spacing w:before="120" w:after="120" w:line="360" w:lineRule="auto"/>
      </w:pPr>
      <w:r>
        <w:rPr>
          <w:rFonts w:hint="eastAsia"/>
        </w:rPr>
        <w:t>一般要求</w:t>
      </w:r>
    </w:p>
    <w:p w14:paraId="661FAC1B">
      <w:pPr>
        <w:pStyle w:val="164"/>
        <w:spacing w:line="360" w:lineRule="auto"/>
      </w:pPr>
      <w:r>
        <w:rPr>
          <w:rFonts w:hint="eastAsia"/>
        </w:rPr>
        <w:t>房颤诊断应依据规范的心电学证据确认。</w:t>
      </w:r>
    </w:p>
    <w:p w14:paraId="58A7DD63">
      <w:pPr>
        <w:pStyle w:val="164"/>
        <w:spacing w:line="360" w:lineRule="auto"/>
      </w:pPr>
      <w:r>
        <w:rPr>
          <w:rFonts w:hint="eastAsia"/>
        </w:rPr>
        <w:t>对疑似房颤患者，应完成必要的心电图或者节律监测检查，不得仅凭主诉或者非正式设备提示作出正式诊断。</w:t>
      </w:r>
    </w:p>
    <w:p w14:paraId="7F576F6A">
      <w:pPr>
        <w:pStyle w:val="164"/>
        <w:spacing w:line="360" w:lineRule="auto"/>
      </w:pPr>
      <w:r>
        <w:rPr>
          <w:rFonts w:hint="eastAsia"/>
        </w:rPr>
        <w:t>对反复发作但当次未捕捉到异常节律的患者，可根据病情需要安排动态监测或者延长节律监测。</w:t>
      </w:r>
    </w:p>
    <w:p w14:paraId="18A5CF0A">
      <w:pPr>
        <w:pStyle w:val="65"/>
        <w:spacing w:before="120" w:after="120" w:line="360" w:lineRule="auto"/>
      </w:pPr>
      <w:r>
        <w:rPr>
          <w:rFonts w:hint="eastAsia"/>
        </w:rPr>
        <w:t>诊断记录要求</w:t>
      </w:r>
    </w:p>
    <w:p w14:paraId="3FD6B175">
      <w:pPr>
        <w:pStyle w:val="164"/>
        <w:spacing w:line="360" w:lineRule="auto"/>
      </w:pPr>
      <w:r>
        <w:rPr>
          <w:rFonts w:hint="eastAsia"/>
        </w:rPr>
        <w:t>房颤诊断确认后，应记录下列内容：</w:t>
      </w:r>
    </w:p>
    <w:p w14:paraId="1C728D43">
      <w:pPr>
        <w:pStyle w:val="56"/>
        <w:spacing w:line="360" w:lineRule="auto"/>
        <w:ind w:firstLine="420"/>
      </w:pPr>
      <w:r>
        <w:rPr>
          <w:rFonts w:hint="eastAsia"/>
        </w:rPr>
        <w:t>a）诊断时间；</w:t>
      </w:r>
    </w:p>
    <w:p w14:paraId="71A1FDB5">
      <w:pPr>
        <w:pStyle w:val="56"/>
        <w:spacing w:line="360" w:lineRule="auto"/>
        <w:ind w:firstLine="420"/>
      </w:pPr>
      <w:r>
        <w:rPr>
          <w:rFonts w:hint="eastAsia"/>
        </w:rPr>
        <w:t>b）诊断依据；</w:t>
      </w:r>
    </w:p>
    <w:p w14:paraId="6E8EF5B2">
      <w:pPr>
        <w:pStyle w:val="56"/>
        <w:spacing w:line="360" w:lineRule="auto"/>
        <w:ind w:firstLine="420"/>
      </w:pPr>
      <w:r>
        <w:rPr>
          <w:rFonts w:hint="eastAsia"/>
        </w:rPr>
        <w:t>c）首次发现或者既往已知状态；</w:t>
      </w:r>
    </w:p>
    <w:p w14:paraId="7D74B20F">
      <w:pPr>
        <w:pStyle w:val="56"/>
        <w:spacing w:line="360" w:lineRule="auto"/>
        <w:ind w:firstLine="420"/>
      </w:pPr>
      <w:r>
        <w:rPr>
          <w:rFonts w:hint="eastAsia"/>
        </w:rPr>
        <w:t>d）当前发作状态；</w:t>
      </w:r>
    </w:p>
    <w:p w14:paraId="00DFE828">
      <w:pPr>
        <w:pStyle w:val="56"/>
        <w:spacing w:line="360" w:lineRule="auto"/>
        <w:ind w:firstLine="420"/>
      </w:pPr>
      <w:r>
        <w:rPr>
          <w:rFonts w:hint="eastAsia"/>
        </w:rPr>
        <w:t>e）心室率情况；</w:t>
      </w:r>
    </w:p>
    <w:p w14:paraId="28DA0001">
      <w:pPr>
        <w:pStyle w:val="56"/>
        <w:spacing w:line="360" w:lineRule="auto"/>
        <w:ind w:firstLine="420"/>
      </w:pPr>
      <w:r>
        <w:rPr>
          <w:rFonts w:hint="eastAsia"/>
        </w:rPr>
        <w:t>f）伴随症状；</w:t>
      </w:r>
    </w:p>
    <w:p w14:paraId="25020AC2">
      <w:pPr>
        <w:pStyle w:val="56"/>
        <w:spacing w:line="360" w:lineRule="auto"/>
        <w:ind w:firstLine="420"/>
      </w:pPr>
      <w:r>
        <w:rPr>
          <w:rFonts w:hint="eastAsia"/>
        </w:rPr>
        <w:t>g）是否存在血流动力学不稳定表现。</w:t>
      </w:r>
    </w:p>
    <w:p w14:paraId="34A5D5A6">
      <w:pPr>
        <w:pStyle w:val="164"/>
        <w:spacing w:line="360" w:lineRule="auto"/>
      </w:pPr>
      <w:r>
        <w:rPr>
          <w:rFonts w:hint="eastAsia"/>
        </w:rPr>
        <w:t>房颤诊断记录应与后续分型、风险评估和治疗决策记录相对应。</w:t>
      </w:r>
    </w:p>
    <w:p w14:paraId="43781571">
      <w:pPr>
        <w:pStyle w:val="105"/>
        <w:spacing w:before="120" w:after="120" w:line="360" w:lineRule="auto"/>
      </w:pPr>
      <w:r>
        <w:rPr>
          <w:rFonts w:hint="eastAsia"/>
        </w:rPr>
        <w:t>初始评估</w:t>
      </w:r>
    </w:p>
    <w:p w14:paraId="3CFE3879">
      <w:pPr>
        <w:pStyle w:val="65"/>
        <w:spacing w:before="120" w:after="120" w:line="360" w:lineRule="auto"/>
      </w:pPr>
      <w:r>
        <w:rPr>
          <w:rFonts w:hint="eastAsia"/>
        </w:rPr>
        <w:t>一般要求</w:t>
      </w:r>
    </w:p>
    <w:p w14:paraId="68AC35C6">
      <w:pPr>
        <w:pStyle w:val="164"/>
        <w:spacing w:line="360" w:lineRule="auto"/>
      </w:pPr>
      <w:r>
        <w:rPr>
          <w:rFonts w:hint="eastAsia"/>
        </w:rPr>
        <w:t>房颤患者确诊后，应尽快完成初始评估。</w:t>
      </w:r>
    </w:p>
    <w:p w14:paraId="27637D39">
      <w:pPr>
        <w:pStyle w:val="164"/>
        <w:spacing w:line="360" w:lineRule="auto"/>
      </w:pPr>
      <w:r>
        <w:rPr>
          <w:rFonts w:hint="eastAsia"/>
        </w:rPr>
        <w:t>初始评估应覆盖症状、病史、诱因、合并疾病、用药情况、体格检查、基础辅助检查和风险状态。</w:t>
      </w:r>
    </w:p>
    <w:p w14:paraId="3E487205">
      <w:pPr>
        <w:pStyle w:val="164"/>
        <w:spacing w:line="360" w:lineRule="auto"/>
      </w:pPr>
      <w:r>
        <w:rPr>
          <w:rFonts w:hint="eastAsia"/>
        </w:rPr>
        <w:t>初始评估未完成前，不得形成长期管理结论。</w:t>
      </w:r>
    </w:p>
    <w:p w14:paraId="6481D995">
      <w:pPr>
        <w:pStyle w:val="65"/>
        <w:spacing w:before="120" w:after="120" w:line="360" w:lineRule="auto"/>
      </w:pPr>
      <w:r>
        <w:rPr>
          <w:rFonts w:hint="eastAsia"/>
        </w:rPr>
        <w:t>病史评估</w:t>
      </w:r>
    </w:p>
    <w:p w14:paraId="5F0627CC">
      <w:pPr>
        <w:pStyle w:val="164"/>
        <w:spacing w:line="360" w:lineRule="auto"/>
      </w:pPr>
      <w:r>
        <w:rPr>
          <w:rFonts w:hint="eastAsia"/>
        </w:rPr>
        <w:t>病史评估应至少包括下列内容：</w:t>
      </w:r>
    </w:p>
    <w:p w14:paraId="775E5930">
      <w:pPr>
        <w:pStyle w:val="56"/>
        <w:spacing w:line="360" w:lineRule="auto"/>
        <w:ind w:firstLine="420"/>
      </w:pPr>
      <w:r>
        <w:rPr>
          <w:rFonts w:hint="eastAsia"/>
        </w:rPr>
        <w:t>a）房颤首次出现时间和复发情况；</w:t>
      </w:r>
    </w:p>
    <w:p w14:paraId="799089C9">
      <w:pPr>
        <w:pStyle w:val="56"/>
        <w:spacing w:line="360" w:lineRule="auto"/>
        <w:ind w:firstLine="420"/>
      </w:pPr>
      <w:r>
        <w:rPr>
          <w:rFonts w:hint="eastAsia"/>
        </w:rPr>
        <w:t>b）症状性质、频率、持续时间和加重因素；</w:t>
      </w:r>
    </w:p>
    <w:p w14:paraId="3902CDE5">
      <w:pPr>
        <w:pStyle w:val="56"/>
        <w:spacing w:line="360" w:lineRule="auto"/>
        <w:ind w:firstLine="420"/>
      </w:pPr>
      <w:r>
        <w:rPr>
          <w:rFonts w:hint="eastAsia"/>
        </w:rPr>
        <w:t>c）既往卒中、短暂性脑缺血发作、出血和住院史；</w:t>
      </w:r>
    </w:p>
    <w:p w14:paraId="3BA196FE">
      <w:pPr>
        <w:pStyle w:val="56"/>
        <w:spacing w:line="360" w:lineRule="auto"/>
        <w:ind w:firstLine="420"/>
      </w:pPr>
      <w:r>
        <w:rPr>
          <w:rFonts w:hint="eastAsia"/>
        </w:rPr>
        <w:t>d）高血压、糖尿病、冠心病、心力衰竭、瓣膜病、肾功能异常和其他基础疾病史；</w:t>
      </w:r>
    </w:p>
    <w:p w14:paraId="412A6F15">
      <w:pPr>
        <w:pStyle w:val="56"/>
        <w:spacing w:line="360" w:lineRule="auto"/>
        <w:ind w:firstLine="420"/>
      </w:pPr>
      <w:r>
        <w:rPr>
          <w:rFonts w:hint="eastAsia"/>
        </w:rPr>
        <w:t>e）既往抗凝、抗心律失常、控率药物和相关治疗史；</w:t>
      </w:r>
    </w:p>
    <w:p w14:paraId="13F4462F">
      <w:pPr>
        <w:pStyle w:val="56"/>
        <w:spacing w:line="360" w:lineRule="auto"/>
        <w:ind w:firstLine="420"/>
      </w:pPr>
      <w:r>
        <w:rPr>
          <w:rFonts w:hint="eastAsia"/>
        </w:rPr>
        <w:t>f）吸烟、饮酒、体重变化、睡眠情况和生活方式情况；</w:t>
      </w:r>
    </w:p>
    <w:p w14:paraId="2DB1E058">
      <w:pPr>
        <w:pStyle w:val="56"/>
        <w:spacing w:line="360" w:lineRule="auto"/>
        <w:ind w:firstLine="420"/>
      </w:pPr>
      <w:r>
        <w:rPr>
          <w:rFonts w:hint="eastAsia"/>
        </w:rPr>
        <w:t>g）家族史和既往手术介入史。</w:t>
      </w:r>
    </w:p>
    <w:p w14:paraId="22620E7F">
      <w:pPr>
        <w:pStyle w:val="65"/>
        <w:spacing w:before="120" w:after="120" w:line="360" w:lineRule="auto"/>
      </w:pPr>
      <w:r>
        <w:rPr>
          <w:rFonts w:hint="eastAsia"/>
        </w:rPr>
        <w:t>体格检查与基础检查</w:t>
      </w:r>
    </w:p>
    <w:p w14:paraId="0360E773">
      <w:pPr>
        <w:pStyle w:val="164"/>
        <w:spacing w:line="360" w:lineRule="auto"/>
      </w:pPr>
      <w:r>
        <w:rPr>
          <w:rFonts w:hint="eastAsia"/>
        </w:rPr>
        <w:t>初始评估宜完成生命体征、心率、血压、意识状态、心功能相关体征和出血相关体征检查。</w:t>
      </w:r>
    </w:p>
    <w:p w14:paraId="70364B1C">
      <w:pPr>
        <w:pStyle w:val="164"/>
        <w:spacing w:line="360" w:lineRule="auto"/>
      </w:pPr>
      <w:r>
        <w:rPr>
          <w:rFonts w:hint="eastAsia"/>
        </w:rPr>
        <w:t>初始评估宜根据临床需要完成心电图、超声心动图、实验室检查和其他必要辅助检查。</w:t>
      </w:r>
    </w:p>
    <w:p w14:paraId="23A67789">
      <w:pPr>
        <w:pStyle w:val="164"/>
        <w:spacing w:line="360" w:lineRule="auto"/>
      </w:pPr>
      <w:r>
        <w:rPr>
          <w:rFonts w:hint="eastAsia"/>
        </w:rPr>
        <w:t>对拟接受抗凝、抗心律失常或者侵入性治疗的患者，应补充完成相应治疗前所需评估。</w:t>
      </w:r>
    </w:p>
    <w:p w14:paraId="16082C0E">
      <w:pPr>
        <w:pStyle w:val="65"/>
        <w:spacing w:before="120" w:after="120" w:line="360" w:lineRule="auto"/>
      </w:pPr>
      <w:r>
        <w:rPr>
          <w:rFonts w:hint="eastAsia"/>
        </w:rPr>
        <w:t>症状负担评估</w:t>
      </w:r>
    </w:p>
    <w:p w14:paraId="4CD8F527">
      <w:pPr>
        <w:pStyle w:val="164"/>
        <w:spacing w:line="360" w:lineRule="auto"/>
      </w:pPr>
      <w:r>
        <w:rPr>
          <w:rFonts w:hint="eastAsia"/>
        </w:rPr>
        <w:t>初始评估应判断患者症状负担及其对生活质量的影响。</w:t>
      </w:r>
    </w:p>
    <w:p w14:paraId="0793CD59">
      <w:pPr>
        <w:pStyle w:val="164"/>
        <w:spacing w:line="360" w:lineRule="auto"/>
      </w:pPr>
      <w:r>
        <w:rPr>
          <w:rFonts w:hint="eastAsia"/>
        </w:rPr>
        <w:t>对症状明显者，应优先评估心率控制需要、节律控制适应证和急性处置必要性。</w:t>
      </w:r>
    </w:p>
    <w:p w14:paraId="5567905A">
      <w:pPr>
        <w:pStyle w:val="164"/>
        <w:spacing w:line="360" w:lineRule="auto"/>
      </w:pPr>
      <w:r>
        <w:rPr>
          <w:rFonts w:hint="eastAsia"/>
        </w:rPr>
        <w:t>对无明显症状者，不得因此省略卒中风险评估和抗凝评估。</w:t>
      </w:r>
    </w:p>
    <w:p w14:paraId="6676C14B">
      <w:pPr>
        <w:pStyle w:val="164"/>
        <w:numPr>
          <w:ilvl w:val="0"/>
          <w:numId w:val="0"/>
        </w:numPr>
        <w:spacing w:line="360" w:lineRule="auto"/>
      </w:pPr>
    </w:p>
    <w:p w14:paraId="6ADFEB1F">
      <w:pPr>
        <w:pStyle w:val="164"/>
        <w:numPr>
          <w:ilvl w:val="0"/>
          <w:numId w:val="0"/>
        </w:numPr>
        <w:spacing w:line="360" w:lineRule="auto"/>
      </w:pPr>
    </w:p>
    <w:p w14:paraId="28F9C21B">
      <w:pPr>
        <w:pStyle w:val="164"/>
        <w:numPr>
          <w:ilvl w:val="0"/>
          <w:numId w:val="0"/>
        </w:numPr>
        <w:spacing w:line="360" w:lineRule="auto"/>
        <w:rPr>
          <w:rFonts w:hint="eastAsia"/>
        </w:rPr>
      </w:pPr>
    </w:p>
    <w:p w14:paraId="3981FE16">
      <w:pPr>
        <w:pStyle w:val="105"/>
        <w:spacing w:before="120" w:after="120" w:line="360" w:lineRule="auto"/>
      </w:pPr>
      <w:r>
        <w:rPr>
          <w:rFonts w:hint="eastAsia"/>
        </w:rPr>
        <w:t>房颤分型与临床状态判断</w:t>
      </w:r>
    </w:p>
    <w:p w14:paraId="534CC274">
      <w:pPr>
        <w:pStyle w:val="65"/>
        <w:spacing w:before="120" w:after="120" w:line="360" w:lineRule="auto"/>
      </w:pPr>
      <w:r>
        <w:rPr>
          <w:rFonts w:hint="eastAsia"/>
        </w:rPr>
        <w:t>分型要求</w:t>
      </w:r>
    </w:p>
    <w:p w14:paraId="43F529BB">
      <w:pPr>
        <w:pStyle w:val="164"/>
        <w:spacing w:line="360" w:lineRule="auto"/>
      </w:pPr>
      <w:r>
        <w:rPr>
          <w:rFonts w:hint="eastAsia"/>
        </w:rPr>
        <w:t>房颤患者应根据病程特点和当前状态进行分型记录。</w:t>
      </w:r>
    </w:p>
    <w:p w14:paraId="7CD9C659">
      <w:pPr>
        <w:pStyle w:val="164"/>
        <w:spacing w:line="360" w:lineRule="auto"/>
      </w:pPr>
      <w:r>
        <w:rPr>
          <w:rFonts w:hint="eastAsia"/>
        </w:rPr>
        <w:t>分型宜包括初发房颤、阵发性房颤、持续性房颤、长期持续性房颤和永久性房颤等类型。</w:t>
      </w:r>
    </w:p>
    <w:p w14:paraId="6293051B">
      <w:pPr>
        <w:pStyle w:val="164"/>
        <w:spacing w:line="360" w:lineRule="auto"/>
      </w:pPr>
      <w:r>
        <w:rPr>
          <w:rFonts w:hint="eastAsia"/>
        </w:rPr>
        <w:t>分型应作为路径分层、治疗策略和随访策略的重要依据。</w:t>
      </w:r>
    </w:p>
    <w:p w14:paraId="211E452C">
      <w:pPr>
        <w:pStyle w:val="65"/>
        <w:spacing w:before="120" w:after="120" w:line="360" w:lineRule="auto"/>
      </w:pPr>
      <w:r>
        <w:rPr>
          <w:rFonts w:hint="eastAsia"/>
        </w:rPr>
        <w:t>临床状态判断</w:t>
      </w:r>
    </w:p>
    <w:p w14:paraId="25732FF6">
      <w:pPr>
        <w:pStyle w:val="164"/>
        <w:spacing w:line="360" w:lineRule="auto"/>
      </w:pPr>
      <w:r>
        <w:rPr>
          <w:rFonts w:hint="eastAsia"/>
        </w:rPr>
        <w:t>初始评估后，应判断患者属于稳定状态或者不稳定状态。</w:t>
      </w:r>
    </w:p>
    <w:p w14:paraId="5B1E76B7">
      <w:pPr>
        <w:pStyle w:val="164"/>
        <w:spacing w:line="360" w:lineRule="auto"/>
      </w:pPr>
      <w:r>
        <w:rPr>
          <w:rFonts w:hint="eastAsia"/>
        </w:rPr>
        <w:t>对不稳定状态患者，应优先进入急性处置路径。</w:t>
      </w:r>
    </w:p>
    <w:p w14:paraId="0723F893">
      <w:pPr>
        <w:pStyle w:val="164"/>
        <w:spacing w:line="360" w:lineRule="auto"/>
      </w:pPr>
      <w:r>
        <w:rPr>
          <w:rFonts w:hint="eastAsia"/>
        </w:rPr>
        <w:t>对稳定状态患者，应进入规范风险评估和长期管理路径。</w:t>
      </w:r>
    </w:p>
    <w:p w14:paraId="0AFFEF4F">
      <w:pPr>
        <w:pStyle w:val="105"/>
        <w:spacing w:before="120" w:after="120" w:line="360" w:lineRule="auto"/>
      </w:pPr>
      <w:r>
        <w:rPr>
          <w:rFonts w:hint="eastAsia"/>
        </w:rPr>
        <w:t>风险分层</w:t>
      </w:r>
    </w:p>
    <w:p w14:paraId="4F987517">
      <w:pPr>
        <w:pStyle w:val="65"/>
        <w:spacing w:before="120" w:after="120" w:line="360" w:lineRule="auto"/>
      </w:pPr>
      <w:r>
        <w:rPr>
          <w:rFonts w:hint="eastAsia"/>
        </w:rPr>
        <w:t>一般要求</w:t>
      </w:r>
    </w:p>
    <w:p w14:paraId="35930F5C">
      <w:pPr>
        <w:pStyle w:val="164"/>
        <w:spacing w:line="360" w:lineRule="auto"/>
      </w:pPr>
      <w:r>
        <w:rPr>
          <w:rFonts w:hint="eastAsia"/>
        </w:rPr>
        <w:t>房颤患者初始评估后，应进行卒中风险、出血风险和综合临床风险分层。</w:t>
      </w:r>
    </w:p>
    <w:p w14:paraId="3A800586">
      <w:pPr>
        <w:pStyle w:val="164"/>
        <w:spacing w:line="360" w:lineRule="auto"/>
      </w:pPr>
      <w:r>
        <w:rPr>
          <w:rFonts w:hint="eastAsia"/>
        </w:rPr>
        <w:t>风险分层结果应作为抗凝策略、住院与门诊分流、随访频率和教育强度的重要依据。</w:t>
      </w:r>
    </w:p>
    <w:p w14:paraId="454529CF">
      <w:pPr>
        <w:pStyle w:val="164"/>
        <w:spacing w:line="360" w:lineRule="auto"/>
      </w:pPr>
      <w:r>
        <w:rPr>
          <w:rFonts w:hint="eastAsia"/>
        </w:rPr>
        <w:t>风险分层不得仅评估一次后长期不更新。</w:t>
      </w:r>
    </w:p>
    <w:p w14:paraId="040820DE">
      <w:pPr>
        <w:pStyle w:val="65"/>
        <w:spacing w:before="120" w:after="120" w:line="360" w:lineRule="auto"/>
      </w:pPr>
      <w:r>
        <w:rPr>
          <w:rFonts w:hint="eastAsia"/>
        </w:rPr>
        <w:t>卒中风险分层</w:t>
      </w:r>
    </w:p>
    <w:p w14:paraId="5673825C">
      <w:pPr>
        <w:pStyle w:val="164"/>
        <w:spacing w:line="360" w:lineRule="auto"/>
      </w:pPr>
      <w:r>
        <w:rPr>
          <w:rFonts w:hint="eastAsia"/>
        </w:rPr>
        <w:t>卒中风险分层应依据现行指南和临床要求进行。</w:t>
      </w:r>
    </w:p>
    <w:p w14:paraId="0CB28FC0">
      <w:pPr>
        <w:pStyle w:val="164"/>
        <w:spacing w:line="360" w:lineRule="auto"/>
      </w:pPr>
      <w:r>
        <w:rPr>
          <w:rFonts w:hint="eastAsia"/>
        </w:rPr>
        <w:t>卒中风险评估后，应记录风险等级和后续抗凝管理建议。</w:t>
      </w:r>
    </w:p>
    <w:p w14:paraId="1D54E515">
      <w:pPr>
        <w:pStyle w:val="164"/>
        <w:spacing w:line="360" w:lineRule="auto"/>
      </w:pPr>
      <w:r>
        <w:rPr>
          <w:rFonts w:hint="eastAsia"/>
        </w:rPr>
        <w:t>对卒中高风险患者，应优先完善抗凝适应证评估和用药可行性评估。</w:t>
      </w:r>
    </w:p>
    <w:p w14:paraId="5B344ECC">
      <w:pPr>
        <w:pStyle w:val="65"/>
        <w:spacing w:before="120" w:after="120" w:line="360" w:lineRule="auto"/>
      </w:pPr>
      <w:r>
        <w:rPr>
          <w:rFonts w:hint="eastAsia"/>
        </w:rPr>
        <w:t>出血风险分层</w:t>
      </w:r>
    </w:p>
    <w:p w14:paraId="5840F048">
      <w:pPr>
        <w:pStyle w:val="164"/>
        <w:spacing w:line="360" w:lineRule="auto"/>
      </w:pPr>
      <w:r>
        <w:rPr>
          <w:rFonts w:hint="eastAsia"/>
        </w:rPr>
        <w:t>出血风险分层应以识别可干预危险因素和优化抗凝安全性为主要目的。</w:t>
      </w:r>
    </w:p>
    <w:p w14:paraId="45B3E665">
      <w:pPr>
        <w:pStyle w:val="164"/>
        <w:spacing w:line="360" w:lineRule="auto"/>
      </w:pPr>
      <w:r>
        <w:rPr>
          <w:rFonts w:hint="eastAsia"/>
        </w:rPr>
        <w:t>出血风险高并不当然构成长期放弃卒中预防的理由；对存在可纠正因素者，应优先干预相关因素。</w:t>
      </w:r>
    </w:p>
    <w:p w14:paraId="4253C2F9">
      <w:pPr>
        <w:pStyle w:val="164"/>
        <w:spacing w:line="360" w:lineRule="auto"/>
      </w:pPr>
      <w:r>
        <w:rPr>
          <w:rFonts w:hint="eastAsia"/>
        </w:rPr>
        <w:t>出血风险评估后，应记录风险来源、可干预因素和管理措施。</w:t>
      </w:r>
    </w:p>
    <w:p w14:paraId="16400CA6">
      <w:pPr>
        <w:pStyle w:val="65"/>
        <w:spacing w:before="120" w:after="120" w:line="360" w:lineRule="auto"/>
      </w:pPr>
      <w:r>
        <w:rPr>
          <w:rFonts w:hint="eastAsia"/>
        </w:rPr>
        <w:t>综合风险分层</w:t>
      </w:r>
    </w:p>
    <w:p w14:paraId="3F86ABD0">
      <w:pPr>
        <w:pStyle w:val="164"/>
        <w:spacing w:line="360" w:lineRule="auto"/>
      </w:pPr>
      <w:r>
        <w:rPr>
          <w:rFonts w:hint="eastAsia"/>
        </w:rPr>
        <w:t>综合风险分层应同时考虑症状负担、心功能状态、合并疾病、再入院风险和治疗复杂程度。</w:t>
      </w:r>
    </w:p>
    <w:p w14:paraId="64F013CB">
      <w:pPr>
        <w:pStyle w:val="164"/>
        <w:spacing w:line="360" w:lineRule="auto"/>
      </w:pPr>
      <w:r>
        <w:rPr>
          <w:rFonts w:hint="eastAsia"/>
        </w:rPr>
        <w:t>对综合风险较高者，应提高管理等级、增加复评频次并强化多学科协作。</w:t>
      </w:r>
    </w:p>
    <w:p w14:paraId="2017CEB1">
      <w:pPr>
        <w:pStyle w:val="164"/>
        <w:numPr>
          <w:ilvl w:val="0"/>
          <w:numId w:val="0"/>
        </w:numPr>
        <w:spacing w:line="360" w:lineRule="auto"/>
      </w:pPr>
    </w:p>
    <w:p w14:paraId="76D988FF">
      <w:pPr>
        <w:pStyle w:val="164"/>
        <w:numPr>
          <w:ilvl w:val="0"/>
          <w:numId w:val="0"/>
        </w:numPr>
        <w:spacing w:line="360" w:lineRule="auto"/>
      </w:pPr>
    </w:p>
    <w:p w14:paraId="5F41A515">
      <w:pPr>
        <w:pStyle w:val="164"/>
        <w:numPr>
          <w:ilvl w:val="0"/>
          <w:numId w:val="0"/>
        </w:numPr>
        <w:spacing w:line="360" w:lineRule="auto"/>
        <w:rPr>
          <w:rFonts w:hint="eastAsia"/>
        </w:rPr>
      </w:pPr>
    </w:p>
    <w:p w14:paraId="06E4EBE3">
      <w:pPr>
        <w:pStyle w:val="105"/>
        <w:spacing w:before="120" w:after="120" w:line="360" w:lineRule="auto"/>
      </w:pPr>
      <w:r>
        <w:rPr>
          <w:rFonts w:hint="eastAsia"/>
        </w:rPr>
        <w:t>路径分流管理</w:t>
      </w:r>
    </w:p>
    <w:p w14:paraId="16E08BA4">
      <w:pPr>
        <w:pStyle w:val="65"/>
        <w:spacing w:before="120" w:after="120" w:line="360" w:lineRule="auto"/>
      </w:pPr>
      <w:r>
        <w:rPr>
          <w:rFonts w:hint="eastAsia"/>
        </w:rPr>
        <w:t>一般要求</w:t>
      </w:r>
    </w:p>
    <w:p w14:paraId="762BE96C">
      <w:pPr>
        <w:pStyle w:val="164"/>
        <w:spacing w:line="360" w:lineRule="auto"/>
      </w:pPr>
      <w:r>
        <w:rPr>
          <w:rFonts w:hint="eastAsia"/>
        </w:rPr>
        <w:t>房颤患者完成初始评估和风险分层后，应进入相应路径分流管理。</w:t>
      </w:r>
    </w:p>
    <w:p w14:paraId="524DB429">
      <w:pPr>
        <w:pStyle w:val="164"/>
        <w:spacing w:line="360" w:lineRule="auto"/>
      </w:pPr>
      <w:r>
        <w:rPr>
          <w:rFonts w:hint="eastAsia"/>
        </w:rPr>
        <w:t>路径分流应根据病情轻重、风险等级、治疗需求和管理场景实施。</w:t>
      </w:r>
    </w:p>
    <w:p w14:paraId="0CE8A99E">
      <w:pPr>
        <w:pStyle w:val="65"/>
        <w:spacing w:before="120" w:after="120" w:line="360" w:lineRule="auto"/>
      </w:pPr>
      <w:r>
        <w:rPr>
          <w:rFonts w:hint="eastAsia"/>
        </w:rPr>
        <w:t>分流原则</w:t>
      </w:r>
    </w:p>
    <w:p w14:paraId="5C75CFC7">
      <w:pPr>
        <w:pStyle w:val="164"/>
        <w:spacing w:line="360" w:lineRule="auto"/>
      </w:pPr>
      <w:r>
        <w:rPr>
          <w:rFonts w:hint="eastAsia"/>
        </w:rPr>
        <w:t>对急危重症患者，应进入急诊或者监护路径。</w:t>
      </w:r>
    </w:p>
    <w:p w14:paraId="54F96FAA">
      <w:pPr>
        <w:pStyle w:val="164"/>
        <w:spacing w:line="360" w:lineRule="auto"/>
      </w:pPr>
      <w:r>
        <w:rPr>
          <w:rFonts w:hint="eastAsia"/>
        </w:rPr>
        <w:t>对需要完善评估、治疗调整、抗凝启动监测或者侵入性治疗准备的患者，应进入住院或者日间治疗路径。</w:t>
      </w:r>
    </w:p>
    <w:p w14:paraId="5BA5454A">
      <w:pPr>
        <w:pStyle w:val="164"/>
        <w:spacing w:line="360" w:lineRule="auto"/>
      </w:pPr>
      <w:r>
        <w:rPr>
          <w:rFonts w:hint="eastAsia"/>
        </w:rPr>
        <w:t>对病情相对稳定、治疗方案明确且具备随访条件的患者，可进入门诊长期管理路径。</w:t>
      </w:r>
    </w:p>
    <w:p w14:paraId="78C0E1A0">
      <w:pPr>
        <w:pStyle w:val="164"/>
        <w:spacing w:line="360" w:lineRule="auto"/>
      </w:pPr>
      <w:r>
        <w:rPr>
          <w:rFonts w:hint="eastAsia"/>
        </w:rPr>
        <w:t>对长期稳定患者，应纳入规范随访与慢病管理路径。</w:t>
      </w:r>
    </w:p>
    <w:p w14:paraId="0A0699B2">
      <w:pPr>
        <w:pStyle w:val="105"/>
        <w:spacing w:before="120" w:after="120" w:line="360" w:lineRule="auto"/>
      </w:pPr>
      <w:r>
        <w:rPr>
          <w:rFonts w:hint="eastAsia"/>
        </w:rPr>
        <w:t>首次路径管理要求</w:t>
      </w:r>
    </w:p>
    <w:p w14:paraId="37080923">
      <w:pPr>
        <w:pStyle w:val="165"/>
        <w:spacing w:line="360" w:lineRule="auto"/>
      </w:pPr>
      <w:r>
        <w:rPr>
          <w:rFonts w:hint="eastAsia"/>
        </w:rPr>
        <w:t>首次纳入路径管理的房颤患者，应完成首诊节点管理。</w:t>
      </w:r>
    </w:p>
    <w:p w14:paraId="7A5B8C36">
      <w:pPr>
        <w:pStyle w:val="165"/>
        <w:spacing w:line="360" w:lineRule="auto"/>
      </w:pPr>
      <w:r>
        <w:rPr>
          <w:rFonts w:hint="eastAsia"/>
        </w:rPr>
        <w:t>首诊节点管理宜至少包括下列内容：</w:t>
      </w:r>
    </w:p>
    <w:p w14:paraId="41FF04B7">
      <w:pPr>
        <w:pStyle w:val="56"/>
        <w:spacing w:line="360" w:lineRule="auto"/>
        <w:ind w:firstLine="420"/>
      </w:pPr>
      <w:r>
        <w:rPr>
          <w:rFonts w:hint="eastAsia"/>
        </w:rPr>
        <w:t>a）确诊与分型；</w:t>
      </w:r>
    </w:p>
    <w:p w14:paraId="6F64BFA3">
      <w:pPr>
        <w:pStyle w:val="56"/>
        <w:spacing w:line="360" w:lineRule="auto"/>
        <w:ind w:firstLine="420"/>
      </w:pPr>
      <w:r>
        <w:rPr>
          <w:rFonts w:hint="eastAsia"/>
        </w:rPr>
        <w:t>b）症状和体征评估；</w:t>
      </w:r>
    </w:p>
    <w:p w14:paraId="0718C448">
      <w:pPr>
        <w:pStyle w:val="56"/>
        <w:spacing w:line="360" w:lineRule="auto"/>
        <w:ind w:firstLine="420"/>
      </w:pPr>
      <w:r>
        <w:rPr>
          <w:rFonts w:hint="eastAsia"/>
        </w:rPr>
        <w:t>c）卒中风险评估；</w:t>
      </w:r>
    </w:p>
    <w:p w14:paraId="5C2EBF91">
      <w:pPr>
        <w:pStyle w:val="56"/>
        <w:spacing w:line="360" w:lineRule="auto"/>
        <w:ind w:firstLine="420"/>
      </w:pPr>
      <w:r>
        <w:rPr>
          <w:rFonts w:hint="eastAsia"/>
        </w:rPr>
        <w:t>d）出血风险评估；</w:t>
      </w:r>
    </w:p>
    <w:p w14:paraId="08780D79">
      <w:pPr>
        <w:pStyle w:val="56"/>
        <w:spacing w:line="360" w:lineRule="auto"/>
        <w:ind w:firstLine="420"/>
      </w:pPr>
      <w:r>
        <w:rPr>
          <w:rFonts w:hint="eastAsia"/>
        </w:rPr>
        <w:t>e）抗凝治疗初步决策；</w:t>
      </w:r>
    </w:p>
    <w:p w14:paraId="00A98EBD">
      <w:pPr>
        <w:pStyle w:val="56"/>
        <w:spacing w:line="360" w:lineRule="auto"/>
        <w:ind w:firstLine="420"/>
      </w:pPr>
      <w:r>
        <w:rPr>
          <w:rFonts w:hint="eastAsia"/>
        </w:rPr>
        <w:t>f）控率控律初步策略；</w:t>
      </w:r>
    </w:p>
    <w:p w14:paraId="03D5897C">
      <w:pPr>
        <w:pStyle w:val="56"/>
        <w:spacing w:line="360" w:lineRule="auto"/>
        <w:ind w:firstLine="420"/>
      </w:pPr>
      <w:r>
        <w:rPr>
          <w:rFonts w:hint="eastAsia"/>
        </w:rPr>
        <w:t>g）合并疾病和危险因素初步评估；</w:t>
      </w:r>
    </w:p>
    <w:p w14:paraId="3207FC97">
      <w:pPr>
        <w:pStyle w:val="56"/>
        <w:spacing w:line="360" w:lineRule="auto"/>
        <w:ind w:firstLine="420"/>
      </w:pPr>
      <w:r>
        <w:rPr>
          <w:rFonts w:hint="eastAsia"/>
        </w:rPr>
        <w:t>h）健康教育；</w:t>
      </w:r>
    </w:p>
    <w:p w14:paraId="30FADFC3">
      <w:pPr>
        <w:pStyle w:val="56"/>
        <w:spacing w:line="360" w:lineRule="auto"/>
        <w:ind w:firstLine="420"/>
      </w:pPr>
      <w:r>
        <w:rPr>
          <w:rFonts w:hint="eastAsia"/>
        </w:rPr>
        <w:t>i）随访计划制定。</w:t>
      </w:r>
    </w:p>
    <w:p w14:paraId="42FFB9AB">
      <w:pPr>
        <w:pStyle w:val="165"/>
        <w:spacing w:line="360" w:lineRule="auto"/>
      </w:pPr>
      <w:r>
        <w:rPr>
          <w:rFonts w:hint="eastAsia"/>
        </w:rPr>
        <w:t>首诊节点完成后，应明确患者去向、责任医师和下一节点时间。</w:t>
      </w:r>
    </w:p>
    <w:p w14:paraId="1DEEA8FA">
      <w:pPr>
        <w:pStyle w:val="105"/>
        <w:spacing w:before="120" w:after="120" w:line="360" w:lineRule="auto"/>
      </w:pPr>
      <w:r>
        <w:rPr>
          <w:rFonts w:hint="eastAsia"/>
        </w:rPr>
        <w:t>记录与交接要求</w:t>
      </w:r>
    </w:p>
    <w:p w14:paraId="7CDCD267">
      <w:pPr>
        <w:pStyle w:val="165"/>
        <w:spacing w:line="360" w:lineRule="auto"/>
      </w:pPr>
      <w:r>
        <w:rPr>
          <w:rFonts w:hint="eastAsia"/>
        </w:rPr>
        <w:t>识别、初始评估和分层管理过程应形成完整记录。</w:t>
      </w:r>
    </w:p>
    <w:p w14:paraId="69B74D71">
      <w:pPr>
        <w:pStyle w:val="165"/>
        <w:spacing w:line="360" w:lineRule="auto"/>
      </w:pPr>
      <w:r>
        <w:rPr>
          <w:rFonts w:hint="eastAsia"/>
        </w:rPr>
        <w:t>记录内容应至少包括识别来源、诊断依据、分型结果、风险分层结果、分流去向和初步管理建议。</w:t>
      </w:r>
    </w:p>
    <w:p w14:paraId="2CF005E7">
      <w:pPr>
        <w:pStyle w:val="165"/>
        <w:spacing w:line="360" w:lineRule="auto"/>
      </w:pPr>
      <w:r>
        <w:rPr>
          <w:rFonts w:hint="eastAsia"/>
        </w:rPr>
        <w:t>急诊转入住院、门诊转入住院、住院转门诊或者专科间转诊时，应进行重点信息交接。</w:t>
      </w:r>
    </w:p>
    <w:p w14:paraId="393225F5">
      <w:pPr>
        <w:pStyle w:val="165"/>
        <w:spacing w:line="360" w:lineRule="auto"/>
      </w:pPr>
      <w:r>
        <w:rPr>
          <w:rFonts w:hint="eastAsia"/>
        </w:rPr>
        <w:t>未完成关键交接的，不得视为初始路径管理结束。</w:t>
      </w:r>
    </w:p>
    <w:p w14:paraId="1896D9D0">
      <w:pPr>
        <w:pStyle w:val="165"/>
        <w:numPr>
          <w:ilvl w:val="0"/>
          <w:numId w:val="0"/>
        </w:numPr>
        <w:spacing w:line="360" w:lineRule="auto"/>
        <w:rPr>
          <w:rFonts w:hint="eastAsia"/>
        </w:rPr>
      </w:pPr>
    </w:p>
    <w:p w14:paraId="60472CC0">
      <w:pPr>
        <w:pStyle w:val="105"/>
        <w:spacing w:before="120" w:after="120" w:line="360" w:lineRule="auto"/>
      </w:pPr>
      <w:r>
        <w:rPr>
          <w:rFonts w:hint="eastAsia"/>
        </w:rPr>
        <w:t>禁止性要求</w:t>
      </w:r>
    </w:p>
    <w:p w14:paraId="220DF56E">
      <w:pPr>
        <w:pStyle w:val="165"/>
        <w:spacing w:line="360" w:lineRule="auto"/>
      </w:pPr>
      <w:r>
        <w:rPr>
          <w:rFonts w:hint="eastAsia"/>
        </w:rPr>
        <w:t>不得在未确认诊断的情况下直接进行长期房颤专病路径管理。</w:t>
      </w:r>
    </w:p>
    <w:p w14:paraId="219612B2">
      <w:pPr>
        <w:pStyle w:val="165"/>
        <w:spacing w:line="360" w:lineRule="auto"/>
      </w:pPr>
      <w:r>
        <w:rPr>
          <w:rFonts w:hint="eastAsia"/>
        </w:rPr>
        <w:t>不得以患者无明显症状为由省略卒中风险评估和抗凝评估。</w:t>
      </w:r>
    </w:p>
    <w:p w14:paraId="6AA402E4">
      <w:pPr>
        <w:pStyle w:val="165"/>
        <w:spacing w:line="360" w:lineRule="auto"/>
      </w:pPr>
      <w:r>
        <w:rPr>
          <w:rFonts w:hint="eastAsia"/>
        </w:rPr>
        <w:t>不得在未进行基础病史和基础检查评估的情况下直接决定侵入性治疗路径。</w:t>
      </w:r>
    </w:p>
    <w:p w14:paraId="48DDE092">
      <w:pPr>
        <w:pStyle w:val="165"/>
        <w:spacing w:line="360" w:lineRule="auto"/>
      </w:pPr>
      <w:r>
        <w:rPr>
          <w:rFonts w:hint="eastAsia"/>
        </w:rPr>
        <w:t>不得将出血风险评估简单等同于抗凝禁忌判断。</w:t>
      </w:r>
    </w:p>
    <w:p w14:paraId="43AC5385">
      <w:pPr>
        <w:pStyle w:val="165"/>
        <w:spacing w:line="360" w:lineRule="auto"/>
      </w:pPr>
      <w:r>
        <w:rPr>
          <w:rFonts w:hint="eastAsia"/>
        </w:rPr>
        <w:t>不得在风险分层未明确、去向未明确和随访计划未明确的情况下结束首诊管理。</w:t>
      </w:r>
    </w:p>
    <w:p w14:paraId="566FAC82">
      <w:pPr>
        <w:pStyle w:val="104"/>
        <w:spacing w:before="240" w:after="240" w:line="360" w:lineRule="auto"/>
      </w:pPr>
      <w:bookmarkStart w:id="53" w:name="_Toc228563218"/>
      <w:r>
        <w:rPr>
          <w:rFonts w:hint="eastAsia"/>
        </w:rPr>
        <w:t>卒中与出血风险评估及抗凝管理路径</w:t>
      </w:r>
      <w:bookmarkEnd w:id="53"/>
    </w:p>
    <w:p w14:paraId="1EC0BD5E">
      <w:pPr>
        <w:pStyle w:val="105"/>
        <w:spacing w:before="120" w:after="120" w:line="360" w:lineRule="auto"/>
      </w:pPr>
      <w:r>
        <w:rPr>
          <w:rFonts w:hint="eastAsia"/>
        </w:rPr>
        <w:t>一般要求</w:t>
      </w:r>
    </w:p>
    <w:p w14:paraId="66280108">
      <w:pPr>
        <w:pStyle w:val="165"/>
        <w:spacing w:line="360" w:lineRule="auto"/>
      </w:pPr>
      <w:r>
        <w:rPr>
          <w:rFonts w:hint="eastAsia"/>
        </w:rPr>
        <w:t>房颤患者确诊后，应尽快进入卒中与出血风险评估路径。</w:t>
      </w:r>
    </w:p>
    <w:p w14:paraId="031D4B75">
      <w:pPr>
        <w:pStyle w:val="165"/>
        <w:spacing w:line="360" w:lineRule="auto"/>
      </w:pPr>
      <w:r>
        <w:rPr>
          <w:rFonts w:hint="eastAsia"/>
        </w:rPr>
        <w:t>卒中风险评估应作为抗凝管理决策的重要基础；出血风险评估应作为识别可干预危险因素、优化治疗安全性和完善随访管理的重要依据，不得简单作为放弃卒中预防的唯一理由。该路径设置与近年房颤管理指南强调的“卒中预防优先”和“动态再评估”原则一致。</w:t>
      </w:r>
    </w:p>
    <w:p w14:paraId="7A5734F5">
      <w:pPr>
        <w:pStyle w:val="165"/>
        <w:spacing w:line="360" w:lineRule="auto"/>
      </w:pPr>
      <w:r>
        <w:rPr>
          <w:rFonts w:hint="eastAsia"/>
        </w:rPr>
        <w:t>卒中与出血风险评估结果应与患者年龄、症状负担、合并疾病、肾功能状态、既往卒中史、既往出血史、药物使用情况和治疗偏好综合判断。</w:t>
      </w:r>
    </w:p>
    <w:p w14:paraId="17780575">
      <w:pPr>
        <w:pStyle w:val="165"/>
        <w:spacing w:line="360" w:lineRule="auto"/>
      </w:pPr>
      <w:r>
        <w:rPr>
          <w:rFonts w:hint="eastAsia"/>
        </w:rPr>
        <w:t>抗凝管理应覆盖适应证评估、禁忌证识别、药物选择、起始用药、剂量管理、依从性管理、并发症监测、围手术期调整和长期复评全过程。</w:t>
      </w:r>
    </w:p>
    <w:p w14:paraId="37133CE4">
      <w:pPr>
        <w:pStyle w:val="165"/>
        <w:spacing w:line="360" w:lineRule="auto"/>
      </w:pPr>
      <w:r>
        <w:rPr>
          <w:rFonts w:hint="eastAsia"/>
        </w:rPr>
        <w:t>房颤患者整合式管理中，抗凝路径不得与心率控制、节律控制、介入治疗和出院随访相互脱节。</w:t>
      </w:r>
    </w:p>
    <w:p w14:paraId="544AEB5E">
      <w:pPr>
        <w:pStyle w:val="105"/>
        <w:spacing w:before="120" w:after="120" w:line="360" w:lineRule="auto"/>
      </w:pPr>
      <w:r>
        <w:rPr>
          <w:rFonts w:hint="eastAsia"/>
        </w:rPr>
        <w:t>卒中风险评估</w:t>
      </w:r>
    </w:p>
    <w:p w14:paraId="27B82A25">
      <w:pPr>
        <w:pStyle w:val="65"/>
        <w:spacing w:before="120" w:after="120" w:line="360" w:lineRule="auto"/>
      </w:pPr>
      <w:r>
        <w:rPr>
          <w:rFonts w:hint="eastAsia"/>
        </w:rPr>
        <w:t>一般要求</w:t>
      </w:r>
    </w:p>
    <w:p w14:paraId="258AE76C">
      <w:pPr>
        <w:pStyle w:val="164"/>
        <w:spacing w:line="360" w:lineRule="auto"/>
      </w:pPr>
      <w:r>
        <w:rPr>
          <w:rFonts w:hint="eastAsia"/>
        </w:rPr>
        <w:t>房颤患者初始评估完成后，应按照现行指南推荐的卒中风险评估工具进行风险分层。</w:t>
      </w:r>
    </w:p>
    <w:p w14:paraId="1E22CCE9">
      <w:pPr>
        <w:pStyle w:val="164"/>
        <w:spacing w:line="360" w:lineRule="auto"/>
      </w:pPr>
      <w:r>
        <w:rPr>
          <w:rFonts w:hint="eastAsia"/>
        </w:rPr>
        <w:t>卒中风险评估应在首次纳入路径管理时完成，并在病情变化、年龄变化、合并症变化、治疗变化和事件发生后动态复评。</w:t>
      </w:r>
    </w:p>
    <w:p w14:paraId="1F26D63D">
      <w:pPr>
        <w:pStyle w:val="164"/>
        <w:spacing w:line="360" w:lineRule="auto"/>
      </w:pPr>
      <w:r>
        <w:rPr>
          <w:rFonts w:hint="eastAsia"/>
        </w:rPr>
        <w:t>对阵发性房颤、持续性房颤、长期持续性房颤和永久性房颤患者，卒中风险评估要求应一致，不得因房颤类型不同而忽视卒中预防。房颤指南强调，卒中预防不应因房颤类型不同而降低重视程度。</w:t>
      </w:r>
    </w:p>
    <w:p w14:paraId="0087E5B2">
      <w:pPr>
        <w:pStyle w:val="65"/>
        <w:spacing w:before="120" w:after="120" w:line="360" w:lineRule="auto"/>
      </w:pPr>
      <w:r>
        <w:rPr>
          <w:rFonts w:hint="eastAsia"/>
        </w:rPr>
        <w:t>评估内容</w:t>
      </w:r>
    </w:p>
    <w:p w14:paraId="685E7B07">
      <w:pPr>
        <w:pStyle w:val="164"/>
        <w:spacing w:line="360" w:lineRule="auto"/>
      </w:pPr>
      <w:r>
        <w:rPr>
          <w:rFonts w:hint="eastAsia"/>
        </w:rPr>
        <w:t>卒中风险评估应至少包括下列内容：</w:t>
      </w:r>
    </w:p>
    <w:p w14:paraId="08FD219C">
      <w:pPr>
        <w:pStyle w:val="56"/>
        <w:spacing w:line="360" w:lineRule="auto"/>
        <w:ind w:firstLine="420"/>
      </w:pPr>
      <w:r>
        <w:rPr>
          <w:rFonts w:hint="eastAsia"/>
        </w:rPr>
        <w:t>a）年龄因素；</w:t>
      </w:r>
    </w:p>
    <w:p w14:paraId="71FF1497">
      <w:pPr>
        <w:pStyle w:val="56"/>
        <w:spacing w:line="360" w:lineRule="auto"/>
        <w:ind w:firstLine="420"/>
      </w:pPr>
      <w:r>
        <w:rPr>
          <w:rFonts w:hint="eastAsia"/>
        </w:rPr>
        <w:t>b）既往卒中、短暂性脑缺血发作或者系统性栓塞病史；</w:t>
      </w:r>
    </w:p>
    <w:p w14:paraId="61C5EA87">
      <w:pPr>
        <w:pStyle w:val="56"/>
        <w:spacing w:line="360" w:lineRule="auto"/>
        <w:ind w:firstLine="420"/>
      </w:pPr>
      <w:r>
        <w:rPr>
          <w:rFonts w:hint="eastAsia"/>
        </w:rPr>
        <w:t>c）高血压情况；</w:t>
      </w:r>
    </w:p>
    <w:p w14:paraId="00C318AF">
      <w:pPr>
        <w:pStyle w:val="56"/>
        <w:spacing w:line="360" w:lineRule="auto"/>
        <w:ind w:firstLine="420"/>
      </w:pPr>
      <w:r>
        <w:rPr>
          <w:rFonts w:hint="eastAsia"/>
        </w:rPr>
        <w:t>d）糖尿病情况；</w:t>
      </w:r>
    </w:p>
    <w:p w14:paraId="5796AAAB">
      <w:pPr>
        <w:pStyle w:val="56"/>
        <w:spacing w:line="360" w:lineRule="auto"/>
        <w:ind w:firstLine="420"/>
      </w:pPr>
      <w:r>
        <w:rPr>
          <w:rFonts w:hint="eastAsia"/>
        </w:rPr>
        <w:t>e）心力衰竭情况；</w:t>
      </w:r>
    </w:p>
    <w:p w14:paraId="4A1E4BB2">
      <w:pPr>
        <w:pStyle w:val="56"/>
        <w:spacing w:line="360" w:lineRule="auto"/>
        <w:ind w:firstLine="420"/>
      </w:pPr>
      <w:r>
        <w:rPr>
          <w:rFonts w:hint="eastAsia"/>
        </w:rPr>
        <w:t>f）血管疾病情况；</w:t>
      </w:r>
    </w:p>
    <w:p w14:paraId="7AE178E3">
      <w:pPr>
        <w:pStyle w:val="56"/>
        <w:spacing w:line="360" w:lineRule="auto"/>
        <w:ind w:firstLine="420"/>
      </w:pPr>
      <w:r>
        <w:rPr>
          <w:rFonts w:hint="eastAsia"/>
        </w:rPr>
        <w:t>g）其他现行指南要求纳入的风险因素。</w:t>
      </w:r>
    </w:p>
    <w:p w14:paraId="6C38F779">
      <w:pPr>
        <w:pStyle w:val="164"/>
        <w:spacing w:line="360" w:lineRule="auto"/>
      </w:pPr>
      <w:r>
        <w:rPr>
          <w:rFonts w:hint="eastAsia"/>
        </w:rPr>
        <w:t>卒中风险评估完成后，应记录评估工具名称、评分结果、风险等级和初步抗凝建议。</w:t>
      </w:r>
    </w:p>
    <w:p w14:paraId="614A44AE">
      <w:pPr>
        <w:pStyle w:val="65"/>
        <w:spacing w:before="120" w:after="120" w:line="360" w:lineRule="auto"/>
      </w:pPr>
      <w:r>
        <w:rPr>
          <w:rFonts w:hint="eastAsia"/>
        </w:rPr>
        <w:t>特殊情况</w:t>
      </w:r>
    </w:p>
    <w:p w14:paraId="3798AB35">
      <w:pPr>
        <w:pStyle w:val="164"/>
        <w:spacing w:line="360" w:lineRule="auto"/>
      </w:pPr>
      <w:r>
        <w:rPr>
          <w:rFonts w:hint="eastAsia"/>
        </w:rPr>
        <w:t>对既往发生缺血性卒中、短暂性脑缺血发作或者系统性栓塞的患者，应作为重点卒中预防对象管理。</w:t>
      </w:r>
    </w:p>
    <w:p w14:paraId="79C0ADAE">
      <w:pPr>
        <w:pStyle w:val="164"/>
        <w:spacing w:line="360" w:lineRule="auto"/>
      </w:pPr>
      <w:r>
        <w:rPr>
          <w:rFonts w:hint="eastAsia"/>
        </w:rPr>
        <w:t>对高龄患者、合并多种危险因素患者和反复住院患者，应提高复评频次。</w:t>
      </w:r>
    </w:p>
    <w:p w14:paraId="307D6C1E">
      <w:pPr>
        <w:pStyle w:val="164"/>
        <w:spacing w:line="360" w:lineRule="auto"/>
      </w:pPr>
      <w:r>
        <w:rPr>
          <w:rFonts w:hint="eastAsia"/>
        </w:rPr>
        <w:t>对存在不典型表现、无症状房颤或者偶发性房颤记录的患者，不得因此省略卒中风险评估。</w:t>
      </w:r>
    </w:p>
    <w:p w14:paraId="1D3189B8">
      <w:pPr>
        <w:pStyle w:val="105"/>
        <w:spacing w:before="120" w:after="120" w:line="360" w:lineRule="auto"/>
      </w:pPr>
      <w:r>
        <w:rPr>
          <w:rFonts w:hint="eastAsia"/>
        </w:rPr>
        <w:t>出血风险评估</w:t>
      </w:r>
    </w:p>
    <w:p w14:paraId="4134F9EC">
      <w:pPr>
        <w:pStyle w:val="65"/>
        <w:spacing w:before="120" w:after="120" w:line="360" w:lineRule="auto"/>
      </w:pPr>
      <w:r>
        <w:rPr>
          <w:rFonts w:hint="eastAsia"/>
        </w:rPr>
        <w:t>一般要求</w:t>
      </w:r>
    </w:p>
    <w:p w14:paraId="36ED2FB7">
      <w:pPr>
        <w:pStyle w:val="164"/>
        <w:spacing w:line="360" w:lineRule="auto"/>
      </w:pPr>
      <w:r>
        <w:rPr>
          <w:rFonts w:hint="eastAsia"/>
        </w:rPr>
        <w:t>房颤患者在拟启动或者已接受抗凝治疗前，应进行出血风险评估。</w:t>
      </w:r>
    </w:p>
    <w:p w14:paraId="40B7E8B4">
      <w:pPr>
        <w:pStyle w:val="164"/>
        <w:spacing w:line="360" w:lineRule="auto"/>
      </w:pPr>
      <w:r>
        <w:rPr>
          <w:rFonts w:hint="eastAsia"/>
        </w:rPr>
        <w:t>出血风险评估主要用于识别可干预危险因素、优化治疗安全性和制定监测计划，不得机械地将高出血风险等同于抗凝禁忌。</w:t>
      </w:r>
    </w:p>
    <w:p w14:paraId="0DEBD65F">
      <w:pPr>
        <w:pStyle w:val="164"/>
        <w:spacing w:line="360" w:lineRule="auto"/>
      </w:pPr>
      <w:r>
        <w:rPr>
          <w:rFonts w:hint="eastAsia"/>
        </w:rPr>
        <w:t>出血风险评估应动态进行，不得仅在首次评估时完成一次后长期不再更新。</w:t>
      </w:r>
    </w:p>
    <w:p w14:paraId="29568C4F">
      <w:pPr>
        <w:pStyle w:val="65"/>
        <w:spacing w:before="120" w:after="120" w:line="360" w:lineRule="auto"/>
      </w:pPr>
      <w:r>
        <w:rPr>
          <w:rFonts w:hint="eastAsia"/>
        </w:rPr>
        <w:t>评估内容</w:t>
      </w:r>
    </w:p>
    <w:p w14:paraId="66705684">
      <w:pPr>
        <w:pStyle w:val="164"/>
        <w:spacing w:line="360" w:lineRule="auto"/>
      </w:pPr>
      <w:r>
        <w:rPr>
          <w:rFonts w:hint="eastAsia"/>
        </w:rPr>
        <w:t>出血风险评估宜至少包括下列内容：</w:t>
      </w:r>
    </w:p>
    <w:p w14:paraId="49F185E0">
      <w:pPr>
        <w:pStyle w:val="56"/>
        <w:spacing w:line="360" w:lineRule="auto"/>
        <w:ind w:firstLine="420"/>
      </w:pPr>
      <w:r>
        <w:rPr>
          <w:rFonts w:hint="eastAsia"/>
        </w:rPr>
        <w:t>a）既往重大出血病史；</w:t>
      </w:r>
    </w:p>
    <w:p w14:paraId="51A9B625">
      <w:pPr>
        <w:pStyle w:val="56"/>
        <w:spacing w:line="360" w:lineRule="auto"/>
        <w:ind w:firstLine="420"/>
      </w:pPr>
      <w:r>
        <w:rPr>
          <w:rFonts w:hint="eastAsia"/>
        </w:rPr>
        <w:t>b）近期出血事件；</w:t>
      </w:r>
    </w:p>
    <w:p w14:paraId="76BD8620">
      <w:pPr>
        <w:pStyle w:val="56"/>
        <w:spacing w:line="360" w:lineRule="auto"/>
        <w:ind w:firstLine="420"/>
      </w:pPr>
      <w:r>
        <w:rPr>
          <w:rFonts w:hint="eastAsia"/>
        </w:rPr>
        <w:t>c）血压控制情况；</w:t>
      </w:r>
    </w:p>
    <w:p w14:paraId="5FCF6DE9">
      <w:pPr>
        <w:pStyle w:val="56"/>
        <w:spacing w:line="360" w:lineRule="auto"/>
        <w:ind w:firstLine="420"/>
      </w:pPr>
      <w:r>
        <w:rPr>
          <w:rFonts w:hint="eastAsia"/>
        </w:rPr>
        <w:t>d）肝肾功能状态；</w:t>
      </w:r>
    </w:p>
    <w:p w14:paraId="33B88040">
      <w:pPr>
        <w:pStyle w:val="56"/>
        <w:spacing w:line="360" w:lineRule="auto"/>
        <w:ind w:firstLine="420"/>
      </w:pPr>
      <w:r>
        <w:rPr>
          <w:rFonts w:hint="eastAsia"/>
        </w:rPr>
        <w:t>e）血液系统异常情况；</w:t>
      </w:r>
    </w:p>
    <w:p w14:paraId="481CF3B6">
      <w:pPr>
        <w:pStyle w:val="56"/>
        <w:spacing w:line="360" w:lineRule="auto"/>
        <w:ind w:firstLine="420"/>
      </w:pPr>
      <w:r>
        <w:rPr>
          <w:rFonts w:hint="eastAsia"/>
        </w:rPr>
        <w:t>f）高龄状态；</w:t>
      </w:r>
    </w:p>
    <w:p w14:paraId="19BE6C81">
      <w:pPr>
        <w:pStyle w:val="56"/>
        <w:spacing w:line="360" w:lineRule="auto"/>
        <w:ind w:firstLine="420"/>
      </w:pPr>
      <w:r>
        <w:rPr>
          <w:rFonts w:hint="eastAsia"/>
        </w:rPr>
        <w:t>g）跌倒风险；</w:t>
      </w:r>
    </w:p>
    <w:p w14:paraId="39554D1B">
      <w:pPr>
        <w:pStyle w:val="56"/>
        <w:spacing w:line="360" w:lineRule="auto"/>
        <w:ind w:firstLine="420"/>
      </w:pPr>
      <w:r>
        <w:rPr>
          <w:rFonts w:hint="eastAsia"/>
        </w:rPr>
        <w:t>h）同时使用增加出血风险药物情况；</w:t>
      </w:r>
    </w:p>
    <w:p w14:paraId="187BE026">
      <w:pPr>
        <w:pStyle w:val="56"/>
        <w:spacing w:line="360" w:lineRule="auto"/>
        <w:ind w:firstLine="420"/>
      </w:pPr>
      <w:r>
        <w:rPr>
          <w:rFonts w:hint="eastAsia"/>
        </w:rPr>
        <w:t>i）饮酒情况；</w:t>
      </w:r>
    </w:p>
    <w:p w14:paraId="59F88E3D">
      <w:pPr>
        <w:pStyle w:val="56"/>
        <w:spacing w:line="360" w:lineRule="auto"/>
        <w:ind w:firstLine="420"/>
      </w:pPr>
      <w:r>
        <w:rPr>
          <w:rFonts w:hint="eastAsia"/>
        </w:rPr>
        <w:t>j）其他现行指南要求关注的出血相关因素。</w:t>
      </w:r>
    </w:p>
    <w:p w14:paraId="4E8780FB">
      <w:pPr>
        <w:pStyle w:val="164"/>
        <w:spacing w:line="360" w:lineRule="auto"/>
      </w:pPr>
      <w:r>
        <w:rPr>
          <w:rFonts w:hint="eastAsia"/>
        </w:rPr>
        <w:t>出血风险评估完成后，应记录风险因素构成、可干预项目和相应管理措施。</w:t>
      </w:r>
    </w:p>
    <w:p w14:paraId="2ACB400B">
      <w:pPr>
        <w:pStyle w:val="65"/>
        <w:spacing w:before="120" w:after="120" w:line="360" w:lineRule="auto"/>
      </w:pPr>
      <w:r>
        <w:rPr>
          <w:rFonts w:hint="eastAsia"/>
        </w:rPr>
        <w:t>可干预危险因素管理</w:t>
      </w:r>
    </w:p>
    <w:p w14:paraId="7DCFCA08">
      <w:pPr>
        <w:pStyle w:val="164"/>
        <w:spacing w:line="360" w:lineRule="auto"/>
      </w:pPr>
      <w:r>
        <w:rPr>
          <w:rFonts w:hint="eastAsia"/>
        </w:rPr>
        <w:t>对可干预出血危险因素，应优先纠正或者优化。</w:t>
      </w:r>
    </w:p>
    <w:p w14:paraId="710D652D">
      <w:pPr>
        <w:pStyle w:val="164"/>
        <w:spacing w:line="360" w:lineRule="auto"/>
      </w:pPr>
      <w:r>
        <w:rPr>
          <w:rFonts w:hint="eastAsia"/>
        </w:rPr>
        <w:t>宜重点干预下列因素：</w:t>
      </w:r>
    </w:p>
    <w:p w14:paraId="31B94DC4">
      <w:pPr>
        <w:pStyle w:val="56"/>
        <w:spacing w:line="360" w:lineRule="auto"/>
        <w:ind w:firstLine="420"/>
      </w:pPr>
      <w:r>
        <w:rPr>
          <w:rFonts w:hint="eastAsia"/>
        </w:rPr>
        <w:t>a）未控制高血压；</w:t>
      </w:r>
    </w:p>
    <w:p w14:paraId="2CE919D8">
      <w:pPr>
        <w:pStyle w:val="56"/>
        <w:spacing w:line="360" w:lineRule="auto"/>
        <w:ind w:firstLine="420"/>
      </w:pPr>
      <w:r>
        <w:rPr>
          <w:rFonts w:hint="eastAsia"/>
        </w:rPr>
        <w:t>b）不合理联合用药；</w:t>
      </w:r>
    </w:p>
    <w:p w14:paraId="05912B72">
      <w:pPr>
        <w:pStyle w:val="56"/>
        <w:spacing w:line="360" w:lineRule="auto"/>
        <w:ind w:firstLine="420"/>
      </w:pPr>
      <w:r>
        <w:rPr>
          <w:rFonts w:hint="eastAsia"/>
        </w:rPr>
        <w:t>c）过量饮酒；</w:t>
      </w:r>
    </w:p>
    <w:p w14:paraId="2D3C5BD4">
      <w:pPr>
        <w:pStyle w:val="56"/>
        <w:spacing w:line="360" w:lineRule="auto"/>
        <w:ind w:firstLine="420"/>
      </w:pPr>
      <w:r>
        <w:rPr>
          <w:rFonts w:hint="eastAsia"/>
        </w:rPr>
        <w:t>d）肾功能监测不足；</w:t>
      </w:r>
    </w:p>
    <w:p w14:paraId="7F9B9C51">
      <w:pPr>
        <w:pStyle w:val="56"/>
        <w:spacing w:line="360" w:lineRule="auto"/>
        <w:ind w:firstLine="420"/>
      </w:pPr>
      <w:r>
        <w:rPr>
          <w:rFonts w:hint="eastAsia"/>
        </w:rPr>
        <w:t>e）抗凝依从性差；</w:t>
      </w:r>
    </w:p>
    <w:p w14:paraId="0FC8DA7F">
      <w:pPr>
        <w:pStyle w:val="56"/>
        <w:spacing w:line="360" w:lineRule="auto"/>
        <w:ind w:firstLine="420"/>
      </w:pPr>
      <w:r>
        <w:rPr>
          <w:rFonts w:hint="eastAsia"/>
        </w:rPr>
        <w:t>f）不规范随访；</w:t>
      </w:r>
    </w:p>
    <w:p w14:paraId="2772F269">
      <w:pPr>
        <w:pStyle w:val="56"/>
        <w:spacing w:line="360" w:lineRule="auto"/>
        <w:ind w:firstLine="420"/>
      </w:pPr>
      <w:r>
        <w:rPr>
          <w:rFonts w:hint="eastAsia"/>
        </w:rPr>
        <w:t>g）跌倒和外伤高风险情形；</w:t>
      </w:r>
    </w:p>
    <w:p w14:paraId="5E0DCEA1">
      <w:pPr>
        <w:pStyle w:val="56"/>
        <w:spacing w:line="360" w:lineRule="auto"/>
        <w:ind w:firstLine="420"/>
      </w:pPr>
      <w:r>
        <w:rPr>
          <w:rFonts w:hint="eastAsia"/>
        </w:rPr>
        <w:t>h）可逆性出血诱因未控制。</w:t>
      </w:r>
    </w:p>
    <w:p w14:paraId="6C8994B7">
      <w:pPr>
        <w:pStyle w:val="105"/>
        <w:spacing w:before="120" w:after="120" w:line="360" w:lineRule="auto"/>
      </w:pPr>
      <w:r>
        <w:rPr>
          <w:rFonts w:hint="eastAsia"/>
        </w:rPr>
        <w:t>抗凝适应证判断</w:t>
      </w:r>
    </w:p>
    <w:p w14:paraId="3550E17C">
      <w:pPr>
        <w:pStyle w:val="65"/>
        <w:spacing w:before="120" w:after="120" w:line="360" w:lineRule="auto"/>
      </w:pPr>
      <w:r>
        <w:rPr>
          <w:rFonts w:hint="eastAsia"/>
        </w:rPr>
        <w:t>一般要求</w:t>
      </w:r>
    </w:p>
    <w:p w14:paraId="0EF37304">
      <w:pPr>
        <w:pStyle w:val="164"/>
        <w:spacing w:line="360" w:lineRule="auto"/>
      </w:pPr>
      <w:r>
        <w:rPr>
          <w:rFonts w:hint="eastAsia"/>
        </w:rPr>
        <w:t>抗凝适应证判断应以卒中风险评估结果为基础，结合出血风险、禁忌证、患者意愿和临床场景综合决定。</w:t>
      </w:r>
    </w:p>
    <w:p w14:paraId="2D39F011">
      <w:pPr>
        <w:pStyle w:val="164"/>
        <w:spacing w:line="360" w:lineRule="auto"/>
      </w:pPr>
      <w:r>
        <w:rPr>
          <w:rFonts w:hint="eastAsia"/>
        </w:rPr>
        <w:t>抗凝决策应在明确获益与风险基础上实施，不得仅依据单一因素作出绝对性判断。</w:t>
      </w:r>
    </w:p>
    <w:p w14:paraId="0FEA3AFA">
      <w:pPr>
        <w:pStyle w:val="164"/>
        <w:spacing w:line="360" w:lineRule="auto"/>
      </w:pPr>
      <w:r>
        <w:rPr>
          <w:rFonts w:hint="eastAsia"/>
        </w:rPr>
        <w:t>对具备抗凝适应证的患者，应尽快完成抗凝方案评估与启动准备。</w:t>
      </w:r>
    </w:p>
    <w:p w14:paraId="1F330DB3">
      <w:pPr>
        <w:pStyle w:val="65"/>
        <w:spacing w:before="120" w:after="120" w:line="360" w:lineRule="auto"/>
      </w:pPr>
      <w:r>
        <w:rPr>
          <w:rFonts w:hint="eastAsia"/>
        </w:rPr>
        <w:t>抗凝禁忌证识别</w:t>
      </w:r>
    </w:p>
    <w:p w14:paraId="3AC8B59F">
      <w:pPr>
        <w:pStyle w:val="164"/>
        <w:spacing w:line="360" w:lineRule="auto"/>
      </w:pPr>
      <w:r>
        <w:rPr>
          <w:rFonts w:hint="eastAsia"/>
        </w:rPr>
        <w:t>在拟启动抗凝治疗前，应识别明确禁忌证和相对禁忌证。</w:t>
      </w:r>
    </w:p>
    <w:p w14:paraId="462B8058">
      <w:pPr>
        <w:pStyle w:val="164"/>
        <w:spacing w:line="360" w:lineRule="auto"/>
      </w:pPr>
      <w:r>
        <w:rPr>
          <w:rFonts w:hint="eastAsia"/>
        </w:rPr>
        <w:t>存在活动性重大出血、无法控制的严重出血风险或者其他明确禁忌情况时，应先处理禁忌问题，再评估卒中预防替代路径。</w:t>
      </w:r>
    </w:p>
    <w:p w14:paraId="0978BB07">
      <w:pPr>
        <w:pStyle w:val="164"/>
        <w:spacing w:line="360" w:lineRule="auto"/>
      </w:pPr>
      <w:r>
        <w:rPr>
          <w:rFonts w:hint="eastAsia"/>
        </w:rPr>
        <w:t>对暂时不能抗凝的患者，应明确原因、临时管理措施、再评估时点和责任医师。</w:t>
      </w:r>
    </w:p>
    <w:p w14:paraId="4625E62D">
      <w:pPr>
        <w:pStyle w:val="105"/>
        <w:spacing w:before="120" w:after="120" w:line="360" w:lineRule="auto"/>
      </w:pPr>
      <w:r>
        <w:rPr>
          <w:rFonts w:hint="eastAsia"/>
        </w:rPr>
        <w:t>抗凝治疗路径</w:t>
      </w:r>
    </w:p>
    <w:p w14:paraId="0EB13826">
      <w:pPr>
        <w:pStyle w:val="65"/>
        <w:spacing w:before="120" w:after="120" w:line="360" w:lineRule="auto"/>
      </w:pPr>
      <w:r>
        <w:rPr>
          <w:rFonts w:hint="eastAsia"/>
        </w:rPr>
        <w:t>一般要求</w:t>
      </w:r>
    </w:p>
    <w:p w14:paraId="5518AF9E">
      <w:pPr>
        <w:pStyle w:val="164"/>
        <w:spacing w:line="360" w:lineRule="auto"/>
      </w:pPr>
      <w:r>
        <w:rPr>
          <w:rFonts w:hint="eastAsia"/>
        </w:rPr>
        <w:t>启动抗凝治疗前，应完成下列准备：</w:t>
      </w:r>
    </w:p>
    <w:p w14:paraId="3FECD7EA">
      <w:pPr>
        <w:pStyle w:val="56"/>
        <w:spacing w:line="360" w:lineRule="auto"/>
        <w:ind w:firstLine="420"/>
      </w:pPr>
      <w:r>
        <w:rPr>
          <w:rFonts w:hint="eastAsia"/>
        </w:rPr>
        <w:t>a）卒中风险评估；</w:t>
      </w:r>
    </w:p>
    <w:p w14:paraId="7C23F835">
      <w:pPr>
        <w:pStyle w:val="56"/>
        <w:spacing w:line="360" w:lineRule="auto"/>
        <w:ind w:firstLine="420"/>
      </w:pPr>
      <w:r>
        <w:rPr>
          <w:rFonts w:hint="eastAsia"/>
        </w:rPr>
        <w:t>b）出血风险评估；</w:t>
      </w:r>
    </w:p>
    <w:p w14:paraId="0AF5FF0B">
      <w:pPr>
        <w:pStyle w:val="56"/>
        <w:spacing w:line="360" w:lineRule="auto"/>
        <w:ind w:firstLine="420"/>
      </w:pPr>
      <w:r>
        <w:rPr>
          <w:rFonts w:hint="eastAsia"/>
        </w:rPr>
        <w:t>c）肝肾功能和相关基础检查评估；</w:t>
      </w:r>
    </w:p>
    <w:p w14:paraId="1A461128">
      <w:pPr>
        <w:pStyle w:val="56"/>
        <w:spacing w:line="360" w:lineRule="auto"/>
        <w:ind w:firstLine="420"/>
      </w:pPr>
      <w:r>
        <w:rPr>
          <w:rFonts w:hint="eastAsia"/>
        </w:rPr>
        <w:t>d）用药禁忌证核查；</w:t>
      </w:r>
    </w:p>
    <w:p w14:paraId="0D0CDBF0">
      <w:pPr>
        <w:pStyle w:val="56"/>
        <w:spacing w:line="360" w:lineRule="auto"/>
        <w:ind w:firstLine="420"/>
      </w:pPr>
      <w:r>
        <w:rPr>
          <w:rFonts w:hint="eastAsia"/>
        </w:rPr>
        <w:t>e）药物相互作用评估；</w:t>
      </w:r>
    </w:p>
    <w:p w14:paraId="415E46B3">
      <w:pPr>
        <w:pStyle w:val="56"/>
        <w:spacing w:line="360" w:lineRule="auto"/>
        <w:ind w:firstLine="420"/>
      </w:pPr>
      <w:r>
        <w:rPr>
          <w:rFonts w:hint="eastAsia"/>
        </w:rPr>
        <w:t>f）患者教育与依从性评估；</w:t>
      </w:r>
    </w:p>
    <w:p w14:paraId="001B8F44">
      <w:pPr>
        <w:pStyle w:val="56"/>
        <w:spacing w:line="360" w:lineRule="auto"/>
        <w:ind w:firstLine="420"/>
      </w:pPr>
      <w:r>
        <w:rPr>
          <w:rFonts w:hint="eastAsia"/>
        </w:rPr>
        <w:t>g）随访安排确认。</w:t>
      </w:r>
    </w:p>
    <w:p w14:paraId="7505ED51">
      <w:pPr>
        <w:pStyle w:val="164"/>
        <w:spacing w:line="360" w:lineRule="auto"/>
      </w:pPr>
      <w:r>
        <w:rPr>
          <w:rFonts w:hint="eastAsia"/>
        </w:rPr>
        <w:t>抗凝治疗启动后，应明确起始时间、药物名称、剂量、调整条件和复评计划。</w:t>
      </w:r>
    </w:p>
    <w:p w14:paraId="409A9AF2">
      <w:pPr>
        <w:pStyle w:val="65"/>
        <w:spacing w:before="120" w:after="120" w:line="360" w:lineRule="auto"/>
      </w:pPr>
      <w:r>
        <w:rPr>
          <w:rFonts w:hint="eastAsia"/>
        </w:rPr>
        <w:t>药物选择要求</w:t>
      </w:r>
    </w:p>
    <w:p w14:paraId="0980EF7F">
      <w:pPr>
        <w:pStyle w:val="164"/>
        <w:spacing w:line="360" w:lineRule="auto"/>
      </w:pPr>
      <w:r>
        <w:rPr>
          <w:rFonts w:hint="eastAsia"/>
        </w:rPr>
        <w:t>抗凝药物选择应依据现行指南、适应证、禁忌证、肾功能状态、年龄、体重、合并用药情况、依从性和医疗可及性综合确定。现行 ESC 和 ACC/AHA/HRS 指南均将卒中预防和个体化抗凝决策置于房颤管理核心位置。</w:t>
      </w:r>
    </w:p>
    <w:p w14:paraId="229D7466">
      <w:pPr>
        <w:pStyle w:val="164"/>
        <w:spacing w:line="360" w:lineRule="auto"/>
      </w:pPr>
      <w:r>
        <w:rPr>
          <w:rFonts w:hint="eastAsia"/>
        </w:rPr>
        <w:t>药物选择后，应向患者或者照护者说明用药目的、出血警示、漏服处理和复诊要求。</w:t>
      </w:r>
    </w:p>
    <w:p w14:paraId="1813E3BF">
      <w:pPr>
        <w:pStyle w:val="164"/>
        <w:spacing w:line="360" w:lineRule="auto"/>
      </w:pPr>
      <w:r>
        <w:rPr>
          <w:rFonts w:hint="eastAsia"/>
        </w:rPr>
        <w:t>不得在未完成基本教育和风险告知情况下直接长期处方抗凝药物。</w:t>
      </w:r>
    </w:p>
    <w:p w14:paraId="126DC879">
      <w:pPr>
        <w:pStyle w:val="65"/>
        <w:spacing w:before="120" w:after="120" w:line="360" w:lineRule="auto"/>
      </w:pPr>
      <w:r>
        <w:rPr>
          <w:rFonts w:hint="eastAsia"/>
        </w:rPr>
        <w:t>起始与随访要求</w:t>
      </w:r>
    </w:p>
    <w:p w14:paraId="45FC9AAB">
      <w:pPr>
        <w:pStyle w:val="164"/>
        <w:spacing w:line="360" w:lineRule="auto"/>
      </w:pPr>
      <w:r>
        <w:rPr>
          <w:rFonts w:hint="eastAsia"/>
        </w:rPr>
        <w:t>启动抗凝后，应在规定时点复核患者症状、出血情况、依从性和实验室指标。</w:t>
      </w:r>
    </w:p>
    <w:p w14:paraId="05790A6C">
      <w:pPr>
        <w:pStyle w:val="164"/>
        <w:spacing w:line="360" w:lineRule="auto"/>
      </w:pPr>
      <w:r>
        <w:rPr>
          <w:rFonts w:hint="eastAsia"/>
        </w:rPr>
        <w:t>对高龄、肾功能波动、合并多病、既往出血史或者依从性风险高的患者，应增加随访频次。</w:t>
      </w:r>
    </w:p>
    <w:p w14:paraId="5C804D15">
      <w:pPr>
        <w:pStyle w:val="164"/>
        <w:spacing w:line="360" w:lineRule="auto"/>
      </w:pPr>
      <w:r>
        <w:rPr>
          <w:rFonts w:hint="eastAsia"/>
        </w:rPr>
        <w:t>抗凝治疗过程中出现出血、即将手术、妊娠计划、跌倒高风险或者药物相互作用变化时，应及时重新评估。</w:t>
      </w:r>
    </w:p>
    <w:p w14:paraId="3C8256D9">
      <w:pPr>
        <w:pStyle w:val="105"/>
        <w:spacing w:before="120" w:after="120" w:line="360" w:lineRule="auto"/>
      </w:pPr>
      <w:r>
        <w:rPr>
          <w:rFonts w:hint="eastAsia"/>
        </w:rPr>
        <w:t>抗凝治疗监测与安全管理</w:t>
      </w:r>
    </w:p>
    <w:p w14:paraId="1CB9E121">
      <w:pPr>
        <w:pStyle w:val="65"/>
        <w:spacing w:before="120" w:after="120" w:line="360" w:lineRule="auto"/>
      </w:pPr>
      <w:r>
        <w:rPr>
          <w:rFonts w:hint="eastAsia"/>
        </w:rPr>
        <w:t>一般要求</w:t>
      </w:r>
    </w:p>
    <w:p w14:paraId="3A3EDC6F">
      <w:pPr>
        <w:pStyle w:val="164"/>
        <w:spacing w:line="360" w:lineRule="auto"/>
      </w:pPr>
      <w:r>
        <w:rPr>
          <w:rFonts w:hint="eastAsia"/>
        </w:rPr>
        <w:t>抗凝治疗期间应开展规范监测和安全管理。</w:t>
      </w:r>
    </w:p>
    <w:p w14:paraId="1B37791B">
      <w:pPr>
        <w:pStyle w:val="164"/>
        <w:spacing w:line="360" w:lineRule="auto"/>
      </w:pPr>
      <w:r>
        <w:rPr>
          <w:rFonts w:hint="eastAsia"/>
        </w:rPr>
        <w:t>监测内容应包括依从性、出血表现、卒中事件、实验室检查、肝肾功能变化和合并用药变化。</w:t>
      </w:r>
    </w:p>
    <w:p w14:paraId="0AB434CB">
      <w:pPr>
        <w:pStyle w:val="164"/>
        <w:spacing w:line="360" w:lineRule="auto"/>
      </w:pPr>
      <w:r>
        <w:rPr>
          <w:rFonts w:hint="eastAsia"/>
        </w:rPr>
        <w:t>抗凝安全管理不得仅依赖患者自述，应结合门诊复诊、检验结果、病历记录和必要随访信息综合判断。</w:t>
      </w:r>
    </w:p>
    <w:p w14:paraId="1DF5767C">
      <w:pPr>
        <w:pStyle w:val="65"/>
        <w:spacing w:before="120" w:after="120" w:line="360" w:lineRule="auto"/>
      </w:pPr>
      <w:r>
        <w:rPr>
          <w:rFonts w:hint="eastAsia"/>
        </w:rPr>
        <w:t>出血监测</w:t>
      </w:r>
    </w:p>
    <w:p w14:paraId="65474ED8">
      <w:pPr>
        <w:pStyle w:val="164"/>
        <w:spacing w:line="360" w:lineRule="auto"/>
      </w:pPr>
      <w:r>
        <w:rPr>
          <w:rFonts w:hint="eastAsia"/>
        </w:rPr>
        <w:t>对接受抗凝治疗的患者，应开展出血警示教育和症状监测。</w:t>
      </w:r>
    </w:p>
    <w:p w14:paraId="11368706">
      <w:pPr>
        <w:pStyle w:val="164"/>
        <w:spacing w:line="360" w:lineRule="auto"/>
      </w:pPr>
      <w:r>
        <w:rPr>
          <w:rFonts w:hint="eastAsia"/>
        </w:rPr>
        <w:t>发现黑便、肉眼血尿、呕血、咯血、皮下大面积瘀斑、不明原因贫血、头部外伤后异常表现或者其他疑似出血表现时，应及时复诊或者急诊处理。</w:t>
      </w:r>
    </w:p>
    <w:p w14:paraId="725E91AA">
      <w:pPr>
        <w:pStyle w:val="164"/>
        <w:spacing w:line="360" w:lineRule="auto"/>
      </w:pPr>
      <w:r>
        <w:rPr>
          <w:rFonts w:hint="eastAsia"/>
        </w:rPr>
        <w:t>对发生出血事件的患者，应记录出血类型、严重程度、处置措施和后续抗凝再决策依据。</w:t>
      </w:r>
    </w:p>
    <w:p w14:paraId="7B31F451">
      <w:pPr>
        <w:pStyle w:val="65"/>
        <w:spacing w:before="120" w:after="120" w:line="360" w:lineRule="auto"/>
      </w:pPr>
      <w:r>
        <w:rPr>
          <w:rFonts w:hint="eastAsia"/>
        </w:rPr>
        <w:t>依从性管理</w:t>
      </w:r>
    </w:p>
    <w:p w14:paraId="550EE63C">
      <w:pPr>
        <w:pStyle w:val="164"/>
        <w:spacing w:line="360" w:lineRule="auto"/>
      </w:pPr>
      <w:r>
        <w:rPr>
          <w:rFonts w:hint="eastAsia"/>
        </w:rPr>
        <w:t>抗凝依从性应纳入重点管理内容。</w:t>
      </w:r>
    </w:p>
    <w:p w14:paraId="11231F8A">
      <w:pPr>
        <w:pStyle w:val="164"/>
        <w:spacing w:line="360" w:lineRule="auto"/>
      </w:pPr>
      <w:r>
        <w:rPr>
          <w:rFonts w:hint="eastAsia"/>
        </w:rPr>
        <w:t>对漏服、停药、自行减量、自行换药或者长期不复诊者，应及时干预。</w:t>
      </w:r>
    </w:p>
    <w:p w14:paraId="6E0CA73F">
      <w:pPr>
        <w:pStyle w:val="164"/>
        <w:spacing w:line="360" w:lineRule="auto"/>
      </w:pPr>
      <w:r>
        <w:rPr>
          <w:rFonts w:hint="eastAsia"/>
        </w:rPr>
        <w:t>抗凝依从性差的患者，不得仅以简单口头提醒替代系统随访和教育措施。</w:t>
      </w:r>
    </w:p>
    <w:p w14:paraId="6A196467">
      <w:pPr>
        <w:pStyle w:val="164"/>
        <w:numPr>
          <w:ilvl w:val="0"/>
          <w:numId w:val="0"/>
        </w:numPr>
        <w:spacing w:line="360" w:lineRule="auto"/>
      </w:pPr>
    </w:p>
    <w:p w14:paraId="3F31B16B">
      <w:pPr>
        <w:pStyle w:val="164"/>
        <w:numPr>
          <w:ilvl w:val="0"/>
          <w:numId w:val="0"/>
        </w:numPr>
        <w:spacing w:line="360" w:lineRule="auto"/>
      </w:pPr>
    </w:p>
    <w:p w14:paraId="70CEF349">
      <w:pPr>
        <w:pStyle w:val="164"/>
        <w:numPr>
          <w:ilvl w:val="0"/>
          <w:numId w:val="0"/>
        </w:numPr>
        <w:spacing w:line="360" w:lineRule="auto"/>
      </w:pPr>
    </w:p>
    <w:p w14:paraId="25291A88">
      <w:pPr>
        <w:pStyle w:val="164"/>
        <w:numPr>
          <w:ilvl w:val="0"/>
          <w:numId w:val="0"/>
        </w:numPr>
        <w:spacing w:line="360" w:lineRule="auto"/>
        <w:rPr>
          <w:rFonts w:hint="eastAsia"/>
        </w:rPr>
      </w:pPr>
    </w:p>
    <w:p w14:paraId="5EEF23D9">
      <w:pPr>
        <w:pStyle w:val="105"/>
        <w:spacing w:before="120" w:after="120" w:line="360" w:lineRule="auto"/>
      </w:pPr>
      <w:r>
        <w:rPr>
          <w:rFonts w:hint="eastAsia"/>
        </w:rPr>
        <w:t>围手术期和特殊情形抗凝管理</w:t>
      </w:r>
    </w:p>
    <w:p w14:paraId="1DB92161">
      <w:pPr>
        <w:pStyle w:val="65"/>
        <w:spacing w:before="120" w:after="120" w:line="360" w:lineRule="auto"/>
      </w:pPr>
      <w:r>
        <w:rPr>
          <w:rFonts w:hint="eastAsia"/>
        </w:rPr>
        <w:t>一般要求</w:t>
      </w:r>
    </w:p>
    <w:p w14:paraId="255BC8BC">
      <w:pPr>
        <w:pStyle w:val="164"/>
        <w:spacing w:line="360" w:lineRule="auto"/>
      </w:pPr>
      <w:r>
        <w:rPr>
          <w:rFonts w:hint="eastAsia"/>
        </w:rPr>
        <w:t>房颤患者拟接受手术、介入操作、侵入性检查或者牙科操作时，应进行围手术期抗凝管理评估。</w:t>
      </w:r>
    </w:p>
    <w:p w14:paraId="5E2B16AE">
      <w:pPr>
        <w:pStyle w:val="164"/>
        <w:spacing w:line="360" w:lineRule="auto"/>
      </w:pPr>
      <w:r>
        <w:rPr>
          <w:rFonts w:hint="eastAsia"/>
        </w:rPr>
        <w:t>围手术期抗凝管理应结合手术出血风险、患者卒中风险、抗凝药物特征和操作时间安排综合制定方案。</w:t>
      </w:r>
    </w:p>
    <w:p w14:paraId="6B7580BC">
      <w:pPr>
        <w:pStyle w:val="164"/>
        <w:spacing w:line="360" w:lineRule="auto"/>
      </w:pPr>
      <w:r>
        <w:rPr>
          <w:rFonts w:hint="eastAsia"/>
        </w:rPr>
        <w:t>围手术期抗凝调整应形成书面记录，不得口头临时决定后不留痕。</w:t>
      </w:r>
    </w:p>
    <w:p w14:paraId="2FC3F146">
      <w:pPr>
        <w:pStyle w:val="65"/>
        <w:spacing w:before="120" w:after="120" w:line="360" w:lineRule="auto"/>
      </w:pPr>
      <w:r>
        <w:rPr>
          <w:rFonts w:hint="eastAsia"/>
        </w:rPr>
        <w:t>特殊情形</w:t>
      </w:r>
    </w:p>
    <w:p w14:paraId="5DBA90DB">
      <w:pPr>
        <w:pStyle w:val="56"/>
        <w:spacing w:line="360" w:lineRule="auto"/>
        <w:ind w:firstLine="420"/>
      </w:pPr>
      <w:r>
        <w:rPr>
          <w:rFonts w:hint="eastAsia"/>
        </w:rPr>
        <w:t>下列情形应实施重点抗凝管理：</w:t>
      </w:r>
    </w:p>
    <w:p w14:paraId="59D0B6A7">
      <w:pPr>
        <w:pStyle w:val="56"/>
        <w:spacing w:line="360" w:lineRule="auto"/>
        <w:ind w:firstLine="420"/>
      </w:pPr>
      <w:r>
        <w:rPr>
          <w:rFonts w:hint="eastAsia"/>
        </w:rPr>
        <w:t>a）既往卒中或者系统性栓塞病史；</w:t>
      </w:r>
    </w:p>
    <w:p w14:paraId="36FC0733">
      <w:pPr>
        <w:pStyle w:val="56"/>
        <w:spacing w:line="360" w:lineRule="auto"/>
        <w:ind w:firstLine="420"/>
      </w:pPr>
      <w:r>
        <w:rPr>
          <w:rFonts w:hint="eastAsia"/>
        </w:rPr>
        <w:t>b）近期重大出血病史；</w:t>
      </w:r>
    </w:p>
    <w:p w14:paraId="7DAD03E5">
      <w:pPr>
        <w:pStyle w:val="56"/>
        <w:spacing w:line="360" w:lineRule="auto"/>
        <w:ind w:firstLine="420"/>
      </w:pPr>
      <w:r>
        <w:rPr>
          <w:rFonts w:hint="eastAsia"/>
        </w:rPr>
        <w:t>c）肾功能明显异常；</w:t>
      </w:r>
    </w:p>
    <w:p w14:paraId="717B5642">
      <w:pPr>
        <w:pStyle w:val="56"/>
        <w:spacing w:line="360" w:lineRule="auto"/>
        <w:ind w:firstLine="420"/>
      </w:pPr>
      <w:r>
        <w:rPr>
          <w:rFonts w:hint="eastAsia"/>
        </w:rPr>
        <w:t>d）合并急性冠脉综合征；</w:t>
      </w:r>
    </w:p>
    <w:p w14:paraId="23A91BBD">
      <w:pPr>
        <w:pStyle w:val="56"/>
        <w:spacing w:line="360" w:lineRule="auto"/>
        <w:ind w:firstLine="420"/>
      </w:pPr>
      <w:r>
        <w:rPr>
          <w:rFonts w:hint="eastAsia"/>
        </w:rPr>
        <w:t>e）拟行导管消融或者左心耳封堵；</w:t>
      </w:r>
    </w:p>
    <w:p w14:paraId="2999DB95">
      <w:pPr>
        <w:pStyle w:val="56"/>
        <w:spacing w:line="360" w:lineRule="auto"/>
        <w:ind w:firstLine="420"/>
      </w:pPr>
      <w:r>
        <w:rPr>
          <w:rFonts w:hint="eastAsia"/>
        </w:rPr>
        <w:t>f）围手术期需暂停抗凝；</w:t>
      </w:r>
    </w:p>
    <w:p w14:paraId="0E89A645">
      <w:pPr>
        <w:pStyle w:val="56"/>
        <w:spacing w:line="360" w:lineRule="auto"/>
        <w:ind w:firstLine="420"/>
      </w:pPr>
      <w:r>
        <w:rPr>
          <w:rFonts w:hint="eastAsia"/>
        </w:rPr>
        <w:t>g）老年衰弱患者；</w:t>
      </w:r>
    </w:p>
    <w:p w14:paraId="077B573D">
      <w:pPr>
        <w:pStyle w:val="56"/>
        <w:spacing w:line="360" w:lineRule="auto"/>
        <w:ind w:firstLine="420"/>
      </w:pPr>
      <w:r>
        <w:rPr>
          <w:rFonts w:hint="eastAsia"/>
        </w:rPr>
        <w:t>h）长期卧床或者跌倒高风险患者。</w:t>
      </w:r>
    </w:p>
    <w:p w14:paraId="05EBA197">
      <w:pPr>
        <w:pStyle w:val="164"/>
        <w:spacing w:line="360" w:lineRule="auto"/>
      </w:pPr>
      <w:r>
        <w:rPr>
          <w:rFonts w:hint="eastAsia"/>
        </w:rPr>
        <w:t>特殊情形下的抗凝管理，应明确专科责任医师和复评节点。</w:t>
      </w:r>
    </w:p>
    <w:p w14:paraId="732DFA0D">
      <w:pPr>
        <w:pStyle w:val="105"/>
        <w:spacing w:before="120" w:after="120" w:line="360" w:lineRule="auto"/>
      </w:pPr>
      <w:r>
        <w:rPr>
          <w:rFonts w:hint="eastAsia"/>
        </w:rPr>
        <w:t>卒中预防路径节点控制</w:t>
      </w:r>
    </w:p>
    <w:p w14:paraId="0F29DEC8">
      <w:pPr>
        <w:pStyle w:val="165"/>
        <w:spacing w:line="360" w:lineRule="auto"/>
      </w:pPr>
      <w:r>
        <w:rPr>
          <w:rFonts w:hint="eastAsia"/>
        </w:rPr>
        <w:t>房颤患者卒中预防与抗凝管理关键节点控制要点见表1。</w:t>
      </w:r>
    </w:p>
    <w:p w14:paraId="3FC82019">
      <w:pPr>
        <w:pStyle w:val="112"/>
        <w:spacing w:before="120" w:after="120" w:line="360" w:lineRule="auto"/>
      </w:pPr>
      <w:r>
        <w:rPr>
          <w:rFonts w:hint="eastAsia"/>
        </w:rPr>
        <w:t>房颤患者卒中预防与抗凝管理关键节点控制要点表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3969"/>
        <w:gridCol w:w="3674"/>
      </w:tblGrid>
      <w:tr w14:paraId="2C4B7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020C3188">
            <w:pPr>
              <w:pStyle w:val="178"/>
            </w:pPr>
            <w:r>
              <w:rPr>
                <w:rFonts w:hint="eastAsia"/>
              </w:rPr>
              <w:t>路径节点</w:t>
            </w:r>
          </w:p>
        </w:tc>
        <w:tc>
          <w:tcPr>
            <w:tcW w:w="3969" w:type="dxa"/>
            <w:tcBorders>
              <w:top w:val="single" w:color="auto" w:sz="8" w:space="0"/>
              <w:bottom w:val="single" w:color="auto" w:sz="8" w:space="0"/>
            </w:tcBorders>
          </w:tcPr>
          <w:p w14:paraId="28D4F165">
            <w:pPr>
              <w:pStyle w:val="178"/>
            </w:pPr>
            <w:r>
              <w:rPr>
                <w:rFonts w:hint="eastAsia"/>
              </w:rPr>
              <w:t>主要任务</w:t>
            </w:r>
          </w:p>
        </w:tc>
        <w:tc>
          <w:tcPr>
            <w:tcW w:w="3674" w:type="dxa"/>
            <w:tcBorders>
              <w:top w:val="single" w:color="auto" w:sz="8" w:space="0"/>
              <w:bottom w:val="single" w:color="auto" w:sz="8" w:space="0"/>
            </w:tcBorders>
          </w:tcPr>
          <w:p w14:paraId="0C3D7202">
            <w:pPr>
              <w:pStyle w:val="178"/>
            </w:pPr>
            <w:r>
              <w:rPr>
                <w:rFonts w:hint="eastAsia"/>
              </w:rPr>
              <w:t>控制要点</w:t>
            </w:r>
          </w:p>
        </w:tc>
      </w:tr>
      <w:tr w14:paraId="0B385D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663B8748">
            <w:pPr>
              <w:pStyle w:val="178"/>
            </w:pPr>
            <w:r>
              <w:rPr>
                <w:rFonts w:hint="eastAsia"/>
              </w:rPr>
              <w:t>首次确诊</w:t>
            </w:r>
          </w:p>
        </w:tc>
        <w:tc>
          <w:tcPr>
            <w:tcW w:w="3969" w:type="dxa"/>
            <w:tcBorders>
              <w:top w:val="single" w:color="auto" w:sz="8" w:space="0"/>
            </w:tcBorders>
          </w:tcPr>
          <w:p w14:paraId="14C1C806">
            <w:pPr>
              <w:pStyle w:val="178"/>
            </w:pPr>
            <w:r>
              <w:rPr>
                <w:rFonts w:hint="eastAsia"/>
              </w:rPr>
              <w:t>完成卒中风险和出血风险评估</w:t>
            </w:r>
          </w:p>
        </w:tc>
        <w:tc>
          <w:tcPr>
            <w:tcW w:w="3674" w:type="dxa"/>
            <w:tcBorders>
              <w:top w:val="single" w:color="auto" w:sz="8" w:space="0"/>
            </w:tcBorders>
          </w:tcPr>
          <w:p w14:paraId="6923531D">
            <w:pPr>
              <w:pStyle w:val="178"/>
            </w:pPr>
            <w:r>
              <w:rPr>
                <w:rFonts w:hint="eastAsia"/>
              </w:rPr>
              <w:t>不得漏评，不得仅因症状轻微而省略</w:t>
            </w:r>
          </w:p>
        </w:tc>
      </w:tr>
      <w:tr w14:paraId="447A02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C6A824F">
            <w:pPr>
              <w:pStyle w:val="178"/>
            </w:pPr>
            <w:r>
              <w:rPr>
                <w:rFonts w:hint="eastAsia"/>
              </w:rPr>
              <w:t>抗凝决策</w:t>
            </w:r>
          </w:p>
        </w:tc>
        <w:tc>
          <w:tcPr>
            <w:tcW w:w="3969" w:type="dxa"/>
          </w:tcPr>
          <w:p w14:paraId="6D15C320">
            <w:pPr>
              <w:pStyle w:val="178"/>
            </w:pPr>
            <w:r>
              <w:rPr>
                <w:rFonts w:hint="eastAsia"/>
              </w:rPr>
              <w:t>判断适应证、禁忌证和药物可行性</w:t>
            </w:r>
          </w:p>
        </w:tc>
        <w:tc>
          <w:tcPr>
            <w:tcW w:w="3674" w:type="dxa"/>
          </w:tcPr>
          <w:p w14:paraId="76EB85D4">
            <w:pPr>
              <w:pStyle w:val="178"/>
            </w:pPr>
            <w:r>
              <w:rPr>
                <w:rFonts w:hint="eastAsia"/>
              </w:rPr>
              <w:t>应综合卒中风险、出血风险和患者情况</w:t>
            </w:r>
          </w:p>
        </w:tc>
      </w:tr>
      <w:tr w14:paraId="11E28E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17C7D5B8">
            <w:pPr>
              <w:pStyle w:val="178"/>
            </w:pPr>
            <w:r>
              <w:rPr>
                <w:rFonts w:hint="eastAsia"/>
              </w:rPr>
              <w:t>启动治疗</w:t>
            </w:r>
          </w:p>
        </w:tc>
        <w:tc>
          <w:tcPr>
            <w:tcW w:w="3969" w:type="dxa"/>
          </w:tcPr>
          <w:p w14:paraId="685EAB24">
            <w:pPr>
              <w:pStyle w:val="178"/>
            </w:pPr>
            <w:r>
              <w:rPr>
                <w:rFonts w:hint="eastAsia"/>
              </w:rPr>
              <w:t>确定药物、剂量、教育和复诊时间</w:t>
            </w:r>
          </w:p>
        </w:tc>
        <w:tc>
          <w:tcPr>
            <w:tcW w:w="3674" w:type="dxa"/>
          </w:tcPr>
          <w:p w14:paraId="12D85FDE">
            <w:pPr>
              <w:pStyle w:val="178"/>
            </w:pPr>
            <w:r>
              <w:rPr>
                <w:rFonts w:hint="eastAsia"/>
              </w:rPr>
              <w:t>应完成告知、记录和随访安排</w:t>
            </w:r>
          </w:p>
        </w:tc>
      </w:tr>
      <w:tr w14:paraId="0FC047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B888A8B">
            <w:pPr>
              <w:pStyle w:val="178"/>
            </w:pPr>
            <w:r>
              <w:rPr>
                <w:rFonts w:hint="eastAsia"/>
              </w:rPr>
              <w:t>随访复评</w:t>
            </w:r>
          </w:p>
        </w:tc>
        <w:tc>
          <w:tcPr>
            <w:tcW w:w="3969" w:type="dxa"/>
          </w:tcPr>
          <w:p w14:paraId="0037CE77">
            <w:pPr>
              <w:pStyle w:val="178"/>
            </w:pPr>
            <w:r>
              <w:rPr>
                <w:rFonts w:hint="eastAsia"/>
              </w:rPr>
              <w:t>监测依从性、出血、卒中事件和肝肾功能</w:t>
            </w:r>
          </w:p>
        </w:tc>
        <w:tc>
          <w:tcPr>
            <w:tcW w:w="3674" w:type="dxa"/>
          </w:tcPr>
          <w:p w14:paraId="77F86825">
            <w:pPr>
              <w:pStyle w:val="178"/>
            </w:pPr>
            <w:r>
              <w:rPr>
                <w:rFonts w:hint="eastAsia"/>
              </w:rPr>
              <w:t>应动态复评，不得长期不调整</w:t>
            </w:r>
          </w:p>
        </w:tc>
      </w:tr>
      <w:tr w14:paraId="436FA3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5E75B698">
            <w:pPr>
              <w:pStyle w:val="178"/>
            </w:pPr>
            <w:r>
              <w:rPr>
                <w:rFonts w:hint="eastAsia"/>
              </w:rPr>
              <w:t>围手术期</w:t>
            </w:r>
          </w:p>
        </w:tc>
        <w:tc>
          <w:tcPr>
            <w:tcW w:w="3969" w:type="dxa"/>
          </w:tcPr>
          <w:p w14:paraId="64EADDDA">
            <w:pPr>
              <w:pStyle w:val="178"/>
            </w:pPr>
            <w:r>
              <w:rPr>
                <w:rFonts w:hint="eastAsia"/>
              </w:rPr>
              <w:t>调整停药、恢复用药和安全监测</w:t>
            </w:r>
          </w:p>
        </w:tc>
        <w:tc>
          <w:tcPr>
            <w:tcW w:w="3674" w:type="dxa"/>
          </w:tcPr>
          <w:p w14:paraId="214DDEF8">
            <w:pPr>
              <w:pStyle w:val="178"/>
            </w:pPr>
            <w:r>
              <w:rPr>
                <w:rFonts w:hint="eastAsia"/>
              </w:rPr>
              <w:t>应书面记录，明确时间节点</w:t>
            </w:r>
          </w:p>
        </w:tc>
      </w:tr>
      <w:tr w14:paraId="13176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CE8723B">
            <w:pPr>
              <w:pStyle w:val="178"/>
            </w:pPr>
            <w:r>
              <w:rPr>
                <w:rFonts w:hint="eastAsia"/>
              </w:rPr>
              <w:t>出现事件后</w:t>
            </w:r>
          </w:p>
        </w:tc>
        <w:tc>
          <w:tcPr>
            <w:tcW w:w="3969" w:type="dxa"/>
          </w:tcPr>
          <w:p w14:paraId="6C731799">
            <w:pPr>
              <w:pStyle w:val="178"/>
            </w:pPr>
            <w:r>
              <w:rPr>
                <w:rFonts w:hint="eastAsia"/>
              </w:rPr>
              <w:t>出血、卒中、住院或者治疗调整后复评</w:t>
            </w:r>
          </w:p>
        </w:tc>
        <w:tc>
          <w:tcPr>
            <w:tcW w:w="3674" w:type="dxa"/>
          </w:tcPr>
          <w:p w14:paraId="165D4471">
            <w:pPr>
              <w:pStyle w:val="178"/>
            </w:pPr>
            <w:r>
              <w:rPr>
                <w:rFonts w:hint="eastAsia"/>
              </w:rPr>
              <w:t>应重新判断抗凝策略和管理强度</w:t>
            </w:r>
          </w:p>
        </w:tc>
      </w:tr>
    </w:tbl>
    <w:p w14:paraId="410DDD77">
      <w:pPr>
        <w:pStyle w:val="105"/>
        <w:spacing w:before="120" w:after="120" w:line="360" w:lineRule="auto"/>
      </w:pPr>
      <w:r>
        <w:rPr>
          <w:rFonts w:hint="eastAsia"/>
        </w:rPr>
        <w:t>记录与交接要求</w:t>
      </w:r>
    </w:p>
    <w:p w14:paraId="35408777">
      <w:pPr>
        <w:pStyle w:val="165"/>
        <w:spacing w:line="360" w:lineRule="auto"/>
      </w:pPr>
      <w:r>
        <w:rPr>
          <w:rFonts w:hint="eastAsia"/>
        </w:rPr>
        <w:t>卒中与出血风险评估、抗凝决策、抗凝启动、调整和中断均应形成记录。</w:t>
      </w:r>
    </w:p>
    <w:p w14:paraId="2BAFE250">
      <w:pPr>
        <w:pStyle w:val="165"/>
        <w:spacing w:line="360" w:lineRule="auto"/>
      </w:pPr>
      <w:r>
        <w:rPr>
          <w:rFonts w:hint="eastAsia"/>
        </w:rPr>
        <w:t>记录内容应至少包括评估工具、评分结果、管理结论、药物方案、随访安排和患者教育情况。</w:t>
      </w:r>
    </w:p>
    <w:p w14:paraId="65BB18CE">
      <w:pPr>
        <w:pStyle w:val="165"/>
        <w:spacing w:line="360" w:lineRule="auto"/>
      </w:pPr>
      <w:r>
        <w:rPr>
          <w:rFonts w:hint="eastAsia"/>
        </w:rPr>
        <w:t>门诊、住院、介入治疗和出院随访之间应重点交接抗凝状态、最近一次评估结果、当前剂量和注意事项。</w:t>
      </w:r>
    </w:p>
    <w:p w14:paraId="65575092">
      <w:pPr>
        <w:pStyle w:val="165"/>
        <w:spacing w:line="360" w:lineRule="auto"/>
      </w:pPr>
      <w:r>
        <w:rPr>
          <w:rFonts w:hint="eastAsia"/>
        </w:rPr>
        <w:t>抗凝管理信息交接缺失的，不得视为该节点管理完成。</w:t>
      </w:r>
    </w:p>
    <w:p w14:paraId="5916A81A">
      <w:pPr>
        <w:pStyle w:val="105"/>
        <w:spacing w:before="120" w:after="120" w:line="360" w:lineRule="auto"/>
      </w:pPr>
      <w:r>
        <w:rPr>
          <w:rFonts w:hint="eastAsia"/>
        </w:rPr>
        <w:t>禁止性要求</w:t>
      </w:r>
    </w:p>
    <w:p w14:paraId="75278159">
      <w:pPr>
        <w:pStyle w:val="165"/>
        <w:spacing w:line="360" w:lineRule="auto"/>
      </w:pPr>
      <w:r>
        <w:rPr>
          <w:rFonts w:hint="eastAsia"/>
        </w:rPr>
        <w:t>不得在未进行卒中风险评估的情况下直接长期不抗凝或者启动长期抗凝。</w:t>
      </w:r>
    </w:p>
    <w:p w14:paraId="3F425CC4">
      <w:pPr>
        <w:pStyle w:val="165"/>
        <w:spacing w:line="360" w:lineRule="auto"/>
      </w:pPr>
      <w:r>
        <w:rPr>
          <w:rFonts w:hint="eastAsia"/>
        </w:rPr>
        <w:t>不得将高出血风险简单作为永久放弃卒中预防的理由而不分析可干预因素。</w:t>
      </w:r>
    </w:p>
    <w:p w14:paraId="0815A8E0">
      <w:pPr>
        <w:pStyle w:val="165"/>
        <w:spacing w:line="360" w:lineRule="auto"/>
      </w:pPr>
      <w:r>
        <w:rPr>
          <w:rFonts w:hint="eastAsia"/>
        </w:rPr>
        <w:t>不得在未完成肝肾功能和基础安全评估的情况下启动长期抗凝治疗。</w:t>
      </w:r>
    </w:p>
    <w:p w14:paraId="059BEA33">
      <w:pPr>
        <w:pStyle w:val="165"/>
        <w:spacing w:line="360" w:lineRule="auto"/>
      </w:pPr>
      <w:r>
        <w:rPr>
          <w:rFonts w:hint="eastAsia"/>
        </w:rPr>
        <w:t>不得对抗凝治疗中的漏服、停药、出血和复诊中断不作记录、不作处理。</w:t>
      </w:r>
    </w:p>
    <w:p w14:paraId="11E110B1">
      <w:pPr>
        <w:pStyle w:val="165"/>
        <w:spacing w:line="360" w:lineRule="auto"/>
      </w:pPr>
      <w:r>
        <w:rPr>
          <w:rFonts w:hint="eastAsia"/>
        </w:rPr>
        <w:t>不得在围手术期随意停用或者恢复抗凝而无评估、无记录、无交接。</w:t>
      </w:r>
    </w:p>
    <w:p w14:paraId="67F7E9CE">
      <w:pPr>
        <w:pStyle w:val="104"/>
        <w:spacing w:before="240" w:after="240" w:line="360" w:lineRule="auto"/>
      </w:pPr>
      <w:bookmarkStart w:id="54" w:name="_Toc228563219"/>
      <w:r>
        <w:rPr>
          <w:rFonts w:hint="eastAsia"/>
        </w:rPr>
        <w:t>心率控制、节律控制与合并疾病管理路径</w:t>
      </w:r>
      <w:bookmarkEnd w:id="54"/>
    </w:p>
    <w:p w14:paraId="6D042D5C">
      <w:pPr>
        <w:pStyle w:val="105"/>
        <w:spacing w:before="120" w:after="120" w:line="360" w:lineRule="auto"/>
      </w:pPr>
      <w:r>
        <w:rPr>
          <w:rFonts w:hint="eastAsia"/>
        </w:rPr>
        <w:t>一般要求</w:t>
      </w:r>
    </w:p>
    <w:p w14:paraId="2C255499">
      <w:pPr>
        <w:pStyle w:val="165"/>
        <w:spacing w:line="360" w:lineRule="auto"/>
      </w:pPr>
      <w:r>
        <w:rPr>
          <w:rFonts w:hint="eastAsia"/>
        </w:rPr>
        <w:t>房颤患者在完成基础风险评估后，应根据症状负担、心率状态、房颤持续情况、合并疾病和治疗目标进入心率控制、节律控制和合并疾病管理路径。</w:t>
      </w:r>
    </w:p>
    <w:p w14:paraId="28333FDA">
      <w:pPr>
        <w:pStyle w:val="165"/>
        <w:spacing w:line="360" w:lineRule="auto"/>
      </w:pPr>
      <w:r>
        <w:rPr>
          <w:rFonts w:hint="eastAsia"/>
        </w:rPr>
        <w:t>心率控制与节律控制路径应与卒中预防路径并行实施，不得相互替代。</w:t>
      </w:r>
    </w:p>
    <w:p w14:paraId="2054B2A1">
      <w:pPr>
        <w:pStyle w:val="165"/>
        <w:spacing w:line="360" w:lineRule="auto"/>
      </w:pPr>
      <w:r>
        <w:rPr>
          <w:rFonts w:hint="eastAsia"/>
        </w:rPr>
        <w:t>合并疾病与危险因素管理应纳入房颤整合式管理核心内容，不得视为附属性管理环节。近年 ESC 房颤指南已将合并症与危险因素管理纳入 AF-CARE 框架核心组成。</w:t>
      </w:r>
    </w:p>
    <w:p w14:paraId="28918A1A">
      <w:pPr>
        <w:pStyle w:val="165"/>
        <w:spacing w:line="360" w:lineRule="auto"/>
      </w:pPr>
      <w:r>
        <w:rPr>
          <w:rFonts w:hint="eastAsia"/>
        </w:rPr>
        <w:t>对症状明显、生活质量受损、心功能受影响、房颤负担较高或者存在节律控制获益可能的患者，应尽早评估节律控制策略。</w:t>
      </w:r>
    </w:p>
    <w:p w14:paraId="38FCB09C">
      <w:pPr>
        <w:pStyle w:val="105"/>
        <w:spacing w:before="120" w:after="120" w:line="360" w:lineRule="auto"/>
      </w:pPr>
      <w:r>
        <w:rPr>
          <w:rFonts w:hint="eastAsia"/>
        </w:rPr>
        <w:t>心率控制路径</w:t>
      </w:r>
    </w:p>
    <w:p w14:paraId="2AA6B922">
      <w:pPr>
        <w:pStyle w:val="65"/>
        <w:spacing w:before="120" w:after="120" w:line="360" w:lineRule="auto"/>
      </w:pPr>
      <w:r>
        <w:rPr>
          <w:rFonts w:hint="eastAsia"/>
        </w:rPr>
        <w:t>一般要求</w:t>
      </w:r>
    </w:p>
    <w:p w14:paraId="2FEE0EEE">
      <w:pPr>
        <w:pStyle w:val="164"/>
        <w:spacing w:line="360" w:lineRule="auto"/>
      </w:pPr>
      <w:r>
        <w:rPr>
          <w:rFonts w:hint="eastAsia"/>
        </w:rPr>
        <w:t>心率控制路径适用于以控制心室率、减轻症状、改善血流动力学和降低心动过速相关风险为主要目标的患者。</w:t>
      </w:r>
    </w:p>
    <w:p w14:paraId="00EEABE9">
      <w:pPr>
        <w:pStyle w:val="164"/>
        <w:spacing w:line="360" w:lineRule="auto"/>
      </w:pPr>
      <w:r>
        <w:rPr>
          <w:rFonts w:hint="eastAsia"/>
        </w:rPr>
        <w:t>心率控制策略应根据静息状态、活动状态、症状负担、心功能状态和合并疾病个体化制定。</w:t>
      </w:r>
    </w:p>
    <w:p w14:paraId="122D17A9">
      <w:pPr>
        <w:pStyle w:val="164"/>
        <w:spacing w:line="360" w:lineRule="auto"/>
      </w:pPr>
      <w:r>
        <w:rPr>
          <w:rFonts w:hint="eastAsia"/>
        </w:rPr>
        <w:t>心率控制效果评估不得仅依据单次门诊心率，应结合症状改善、动态监测和整体临床状态综合判断。</w:t>
      </w:r>
    </w:p>
    <w:p w14:paraId="57A2FE65">
      <w:pPr>
        <w:pStyle w:val="65"/>
        <w:spacing w:before="120" w:after="120" w:line="360" w:lineRule="auto"/>
      </w:pPr>
      <w:r>
        <w:rPr>
          <w:rFonts w:hint="eastAsia"/>
        </w:rPr>
        <w:t>路径启动条件</w:t>
      </w:r>
    </w:p>
    <w:p w14:paraId="440D77BD">
      <w:pPr>
        <w:pStyle w:val="56"/>
        <w:spacing w:line="360" w:lineRule="auto"/>
        <w:ind w:firstLine="420"/>
      </w:pPr>
      <w:r>
        <w:rPr>
          <w:rFonts w:hint="eastAsia"/>
        </w:rPr>
        <w:t>下列情形可优先进入心率控制路径：</w:t>
      </w:r>
    </w:p>
    <w:p w14:paraId="55A0DC89">
      <w:pPr>
        <w:pStyle w:val="56"/>
        <w:spacing w:line="360" w:lineRule="auto"/>
        <w:ind w:firstLine="420"/>
      </w:pPr>
      <w:r>
        <w:rPr>
          <w:rFonts w:hint="eastAsia"/>
        </w:rPr>
        <w:t>a）症状主要与快速心室率相关；</w:t>
      </w:r>
    </w:p>
    <w:p w14:paraId="17395B53">
      <w:pPr>
        <w:pStyle w:val="56"/>
        <w:spacing w:line="360" w:lineRule="auto"/>
        <w:ind w:firstLine="420"/>
      </w:pPr>
      <w:r>
        <w:rPr>
          <w:rFonts w:hint="eastAsia"/>
        </w:rPr>
        <w:t>b）暂不适合节律控制或者暂未决定节律控制；</w:t>
      </w:r>
    </w:p>
    <w:p w14:paraId="0E7133AE">
      <w:pPr>
        <w:pStyle w:val="56"/>
        <w:spacing w:line="360" w:lineRule="auto"/>
        <w:ind w:firstLine="420"/>
      </w:pPr>
      <w:r>
        <w:rPr>
          <w:rFonts w:hint="eastAsia"/>
        </w:rPr>
        <w:t>c）持续性或者长期持续性房颤且以症状控制为主要目标；</w:t>
      </w:r>
    </w:p>
    <w:p w14:paraId="27D85A5A">
      <w:pPr>
        <w:pStyle w:val="56"/>
        <w:spacing w:line="360" w:lineRule="auto"/>
        <w:ind w:firstLine="420"/>
      </w:pPr>
      <w:r>
        <w:rPr>
          <w:rFonts w:hint="eastAsia"/>
        </w:rPr>
        <w:t>d）存在节律控制禁忌或者短期内不宜节律控制；</w:t>
      </w:r>
    </w:p>
    <w:p w14:paraId="3F8E79B7">
      <w:pPr>
        <w:pStyle w:val="56"/>
        <w:spacing w:line="360" w:lineRule="auto"/>
        <w:ind w:firstLine="420"/>
      </w:pPr>
      <w:r>
        <w:rPr>
          <w:rFonts w:hint="eastAsia"/>
        </w:rPr>
        <w:t>e）永久性房颤管理阶段。</w:t>
      </w:r>
    </w:p>
    <w:p w14:paraId="4D5C8C79">
      <w:pPr>
        <w:pStyle w:val="65"/>
        <w:spacing w:before="120" w:after="120" w:line="360" w:lineRule="auto"/>
      </w:pPr>
      <w:r>
        <w:rPr>
          <w:rFonts w:hint="eastAsia"/>
        </w:rPr>
        <w:t>评估内容</w:t>
      </w:r>
    </w:p>
    <w:p w14:paraId="15160EE1">
      <w:pPr>
        <w:pStyle w:val="56"/>
        <w:spacing w:line="360" w:lineRule="auto"/>
        <w:ind w:firstLine="420"/>
      </w:pPr>
      <w:r>
        <w:rPr>
          <w:rFonts w:hint="eastAsia"/>
        </w:rPr>
        <w:t>心率控制路径评估应至少包括：</w:t>
      </w:r>
    </w:p>
    <w:p w14:paraId="32720148">
      <w:pPr>
        <w:pStyle w:val="56"/>
        <w:spacing w:line="360" w:lineRule="auto"/>
        <w:ind w:firstLine="420"/>
      </w:pPr>
      <w:r>
        <w:rPr>
          <w:rFonts w:hint="eastAsia"/>
        </w:rPr>
        <w:t>a）静息心率；</w:t>
      </w:r>
    </w:p>
    <w:p w14:paraId="5AA80231">
      <w:pPr>
        <w:pStyle w:val="56"/>
        <w:spacing w:line="360" w:lineRule="auto"/>
        <w:ind w:firstLine="420"/>
      </w:pPr>
      <w:r>
        <w:rPr>
          <w:rFonts w:hint="eastAsia"/>
        </w:rPr>
        <w:t>b）活动后心率；</w:t>
      </w:r>
    </w:p>
    <w:p w14:paraId="7A69063C">
      <w:pPr>
        <w:pStyle w:val="56"/>
        <w:spacing w:line="360" w:lineRule="auto"/>
        <w:ind w:firstLine="420"/>
      </w:pPr>
      <w:r>
        <w:rPr>
          <w:rFonts w:hint="eastAsia"/>
        </w:rPr>
        <w:t>c）心悸、胸闷、气短、乏力等症状；</w:t>
      </w:r>
    </w:p>
    <w:p w14:paraId="2A213657">
      <w:pPr>
        <w:pStyle w:val="56"/>
        <w:spacing w:line="360" w:lineRule="auto"/>
        <w:ind w:firstLine="420"/>
      </w:pPr>
      <w:r>
        <w:rPr>
          <w:rFonts w:hint="eastAsia"/>
        </w:rPr>
        <w:t>d）心功能状态；</w:t>
      </w:r>
    </w:p>
    <w:p w14:paraId="572E7BE6">
      <w:pPr>
        <w:pStyle w:val="56"/>
        <w:spacing w:line="360" w:lineRule="auto"/>
        <w:ind w:firstLine="420"/>
      </w:pPr>
      <w:r>
        <w:rPr>
          <w:rFonts w:hint="eastAsia"/>
        </w:rPr>
        <w:t>e）血压情况；</w:t>
      </w:r>
    </w:p>
    <w:p w14:paraId="2D540DA8">
      <w:pPr>
        <w:pStyle w:val="56"/>
        <w:spacing w:line="360" w:lineRule="auto"/>
        <w:ind w:firstLine="420"/>
      </w:pPr>
      <w:r>
        <w:rPr>
          <w:rFonts w:hint="eastAsia"/>
        </w:rPr>
        <w:t>f）药物耐受性；</w:t>
      </w:r>
    </w:p>
    <w:p w14:paraId="26333B66">
      <w:pPr>
        <w:pStyle w:val="56"/>
        <w:spacing w:line="360" w:lineRule="auto"/>
        <w:ind w:firstLine="420"/>
      </w:pPr>
      <w:r>
        <w:rPr>
          <w:rFonts w:hint="eastAsia"/>
        </w:rPr>
        <w:t>g）心动过缓风险。</w:t>
      </w:r>
    </w:p>
    <w:p w14:paraId="72D5028E">
      <w:pPr>
        <w:pStyle w:val="65"/>
        <w:spacing w:before="120" w:after="120" w:line="360" w:lineRule="auto"/>
      </w:pPr>
      <w:r>
        <w:rPr>
          <w:rFonts w:hint="eastAsia"/>
        </w:rPr>
        <w:t>管理要求</w:t>
      </w:r>
    </w:p>
    <w:p w14:paraId="77712DA9">
      <w:pPr>
        <w:pStyle w:val="164"/>
        <w:spacing w:line="360" w:lineRule="auto"/>
      </w:pPr>
      <w:r>
        <w:rPr>
          <w:rFonts w:hint="eastAsia"/>
        </w:rPr>
        <w:t>心率控制目标应按现行指南和患者个体情况确定。</w:t>
      </w:r>
    </w:p>
    <w:p w14:paraId="10520886">
      <w:pPr>
        <w:pStyle w:val="164"/>
        <w:spacing w:line="360" w:lineRule="auto"/>
      </w:pPr>
      <w:r>
        <w:rPr>
          <w:rFonts w:hint="eastAsia"/>
        </w:rPr>
        <w:t>心率控制治疗开始后，应在规定时间内复评控制效果、药物不良反应和患者症状变化。</w:t>
      </w:r>
    </w:p>
    <w:p w14:paraId="2CB697CC">
      <w:pPr>
        <w:pStyle w:val="164"/>
        <w:spacing w:line="360" w:lineRule="auto"/>
      </w:pPr>
      <w:r>
        <w:rPr>
          <w:rFonts w:hint="eastAsia"/>
        </w:rPr>
        <w:t>心率控制不达标、症状仍明显或者出现心功能恶化时，应重新评估节律控制策略和其他干预策略。</w:t>
      </w:r>
    </w:p>
    <w:p w14:paraId="13BC0E66">
      <w:pPr>
        <w:pStyle w:val="105"/>
        <w:spacing w:before="120" w:after="120" w:line="360" w:lineRule="auto"/>
      </w:pPr>
      <w:r>
        <w:rPr>
          <w:rFonts w:hint="eastAsia"/>
        </w:rPr>
        <w:t>节律控制路径</w:t>
      </w:r>
    </w:p>
    <w:p w14:paraId="7DB9498F">
      <w:pPr>
        <w:pStyle w:val="65"/>
        <w:spacing w:before="120" w:after="120" w:line="360" w:lineRule="auto"/>
      </w:pPr>
      <w:r>
        <w:rPr>
          <w:rFonts w:hint="eastAsia"/>
        </w:rPr>
        <w:t>一般要求</w:t>
      </w:r>
    </w:p>
    <w:p w14:paraId="095F46E7">
      <w:pPr>
        <w:pStyle w:val="164"/>
        <w:spacing w:line="360" w:lineRule="auto"/>
      </w:pPr>
      <w:r>
        <w:rPr>
          <w:rFonts w:hint="eastAsia"/>
        </w:rPr>
        <w:t>节律控制路径适用于以恢复和维持窦性心律、减轻症状、降低房颤负担和改善临床结局为主要目标的患者。近年指南均强调在合适患者中可更积极考虑节律控制。</w:t>
      </w:r>
    </w:p>
    <w:p w14:paraId="70499AC8">
      <w:pPr>
        <w:pStyle w:val="164"/>
        <w:spacing w:line="360" w:lineRule="auto"/>
      </w:pPr>
      <w:r>
        <w:rPr>
          <w:rFonts w:hint="eastAsia"/>
        </w:rPr>
        <w:t>节律控制策略可包括药物节律控制、电复律、导管消融或者其他适宜治疗。</w:t>
      </w:r>
    </w:p>
    <w:p w14:paraId="3CC31D89">
      <w:pPr>
        <w:pStyle w:val="164"/>
        <w:spacing w:line="360" w:lineRule="auto"/>
      </w:pPr>
      <w:r>
        <w:rPr>
          <w:rFonts w:hint="eastAsia"/>
        </w:rPr>
        <w:t>节律控制决策应综合患者症状、房颤病程、结构性心脏病情况、合并疾病、既往治疗效果和患者意愿确定。</w:t>
      </w:r>
    </w:p>
    <w:p w14:paraId="4D98E79D">
      <w:pPr>
        <w:pStyle w:val="65"/>
        <w:spacing w:before="120" w:after="120" w:line="360" w:lineRule="auto"/>
      </w:pPr>
      <w:r>
        <w:rPr>
          <w:rFonts w:hint="eastAsia"/>
        </w:rPr>
        <w:t>路径启动条件</w:t>
      </w:r>
    </w:p>
    <w:p w14:paraId="06350270">
      <w:pPr>
        <w:pStyle w:val="56"/>
        <w:spacing w:line="360" w:lineRule="auto"/>
        <w:ind w:firstLine="420"/>
      </w:pPr>
      <w:r>
        <w:rPr>
          <w:rFonts w:hint="eastAsia"/>
        </w:rPr>
        <w:t>下列情形宜重点评估节律控制路径：</w:t>
      </w:r>
    </w:p>
    <w:p w14:paraId="7E4E1410">
      <w:pPr>
        <w:pStyle w:val="56"/>
        <w:spacing w:line="360" w:lineRule="auto"/>
        <w:ind w:firstLine="420"/>
      </w:pPr>
      <w:r>
        <w:rPr>
          <w:rFonts w:hint="eastAsia"/>
        </w:rPr>
        <w:t>a）症状明显影响生活质量；</w:t>
      </w:r>
    </w:p>
    <w:p w14:paraId="1464B243">
      <w:pPr>
        <w:pStyle w:val="56"/>
        <w:spacing w:line="360" w:lineRule="auto"/>
        <w:ind w:firstLine="420"/>
      </w:pPr>
      <w:r>
        <w:rPr>
          <w:rFonts w:hint="eastAsia"/>
        </w:rPr>
        <w:t>b）首次确诊且具备早期节律控制获益可能；</w:t>
      </w:r>
    </w:p>
    <w:p w14:paraId="76175EF9">
      <w:pPr>
        <w:pStyle w:val="56"/>
        <w:spacing w:line="360" w:lineRule="auto"/>
        <w:ind w:firstLine="420"/>
      </w:pPr>
      <w:r>
        <w:rPr>
          <w:rFonts w:hint="eastAsia"/>
        </w:rPr>
        <w:t>c）心率控制效果不佳；</w:t>
      </w:r>
    </w:p>
    <w:p w14:paraId="79A35DDB">
      <w:pPr>
        <w:pStyle w:val="56"/>
        <w:spacing w:line="360" w:lineRule="auto"/>
        <w:ind w:firstLine="420"/>
      </w:pPr>
      <w:r>
        <w:rPr>
          <w:rFonts w:hint="eastAsia"/>
        </w:rPr>
        <w:t>d）房颤导致心功能恶化或者疑似心动过速性心肌病；</w:t>
      </w:r>
    </w:p>
    <w:p w14:paraId="0B548DE0">
      <w:pPr>
        <w:pStyle w:val="56"/>
        <w:spacing w:line="360" w:lineRule="auto"/>
        <w:ind w:firstLine="420"/>
      </w:pPr>
      <w:r>
        <w:rPr>
          <w:rFonts w:hint="eastAsia"/>
        </w:rPr>
        <w:t>e）患者有明确恢复窦律意愿且条件允许；</w:t>
      </w:r>
    </w:p>
    <w:p w14:paraId="5715A63D">
      <w:pPr>
        <w:pStyle w:val="56"/>
        <w:spacing w:line="360" w:lineRule="auto"/>
        <w:ind w:firstLine="420"/>
      </w:pPr>
      <w:r>
        <w:rPr>
          <w:rFonts w:hint="eastAsia"/>
        </w:rPr>
        <w:t>f）存在适合导管消融评估的情况。</w:t>
      </w:r>
    </w:p>
    <w:p w14:paraId="6A263ADC">
      <w:pPr>
        <w:pStyle w:val="65"/>
        <w:spacing w:before="120" w:after="120" w:line="360" w:lineRule="auto"/>
      </w:pPr>
      <w:r>
        <w:rPr>
          <w:rFonts w:hint="eastAsia"/>
        </w:rPr>
        <w:t>节律控制前评估</w:t>
      </w:r>
    </w:p>
    <w:p w14:paraId="2419C2EC">
      <w:pPr>
        <w:pStyle w:val="56"/>
        <w:spacing w:line="360" w:lineRule="auto"/>
        <w:ind w:firstLine="420"/>
      </w:pPr>
      <w:r>
        <w:rPr>
          <w:rFonts w:hint="eastAsia"/>
        </w:rPr>
        <w:t>节律控制前应评估下列内容：</w:t>
      </w:r>
    </w:p>
    <w:p w14:paraId="0CB27DA8">
      <w:pPr>
        <w:pStyle w:val="56"/>
        <w:spacing w:line="360" w:lineRule="auto"/>
        <w:ind w:firstLine="420"/>
      </w:pPr>
      <w:r>
        <w:rPr>
          <w:rFonts w:hint="eastAsia"/>
        </w:rPr>
        <w:t>a）房颤持续时间和发作频率；</w:t>
      </w:r>
    </w:p>
    <w:p w14:paraId="368B52A6">
      <w:pPr>
        <w:pStyle w:val="56"/>
        <w:spacing w:line="360" w:lineRule="auto"/>
        <w:ind w:firstLine="420"/>
      </w:pPr>
      <w:r>
        <w:rPr>
          <w:rFonts w:hint="eastAsia"/>
        </w:rPr>
        <w:t>b）症状负担和功能影响；</w:t>
      </w:r>
    </w:p>
    <w:p w14:paraId="19EE8220">
      <w:pPr>
        <w:pStyle w:val="56"/>
        <w:spacing w:line="360" w:lineRule="auto"/>
        <w:ind w:firstLine="420"/>
      </w:pPr>
      <w:r>
        <w:rPr>
          <w:rFonts w:hint="eastAsia"/>
        </w:rPr>
        <w:t>c）抗凝状态；</w:t>
      </w:r>
    </w:p>
    <w:p w14:paraId="6E02B49A">
      <w:pPr>
        <w:pStyle w:val="56"/>
        <w:spacing w:line="360" w:lineRule="auto"/>
        <w:ind w:firstLine="420"/>
      </w:pPr>
      <w:r>
        <w:rPr>
          <w:rFonts w:hint="eastAsia"/>
        </w:rPr>
        <w:t>d）左心房和心脏结构情况；</w:t>
      </w:r>
    </w:p>
    <w:p w14:paraId="78D773E0">
      <w:pPr>
        <w:pStyle w:val="56"/>
        <w:spacing w:line="360" w:lineRule="auto"/>
        <w:ind w:firstLine="420"/>
      </w:pPr>
      <w:r>
        <w:rPr>
          <w:rFonts w:hint="eastAsia"/>
        </w:rPr>
        <w:t>e）心功能状态；</w:t>
      </w:r>
    </w:p>
    <w:p w14:paraId="7C8542FF">
      <w:pPr>
        <w:pStyle w:val="56"/>
        <w:spacing w:line="360" w:lineRule="auto"/>
        <w:ind w:firstLine="420"/>
      </w:pPr>
      <w:r>
        <w:rPr>
          <w:rFonts w:hint="eastAsia"/>
        </w:rPr>
        <w:t>f）既往复律或者抗心律失常治疗史；</w:t>
      </w:r>
    </w:p>
    <w:p w14:paraId="1F681CC3">
      <w:pPr>
        <w:pStyle w:val="56"/>
        <w:spacing w:line="360" w:lineRule="auto"/>
        <w:ind w:firstLine="420"/>
      </w:pPr>
      <w:r>
        <w:rPr>
          <w:rFonts w:hint="eastAsia"/>
        </w:rPr>
        <w:t>g）药物禁忌证和介入禁忌证；</w:t>
      </w:r>
    </w:p>
    <w:p w14:paraId="387EA88C">
      <w:pPr>
        <w:pStyle w:val="56"/>
        <w:spacing w:line="360" w:lineRule="auto"/>
        <w:ind w:firstLine="420"/>
      </w:pPr>
      <w:r>
        <w:rPr>
          <w:rFonts w:hint="eastAsia"/>
        </w:rPr>
        <w:t>h）围复律和围消融管理需求。</w:t>
      </w:r>
    </w:p>
    <w:p w14:paraId="328E8340">
      <w:pPr>
        <w:pStyle w:val="65"/>
        <w:spacing w:before="120" w:after="120" w:line="360" w:lineRule="auto"/>
      </w:pPr>
      <w:r>
        <w:rPr>
          <w:rFonts w:hint="eastAsia"/>
        </w:rPr>
        <w:t>管理要求</w:t>
      </w:r>
    </w:p>
    <w:p w14:paraId="6B90B7EC">
      <w:pPr>
        <w:pStyle w:val="164"/>
        <w:spacing w:line="360" w:lineRule="auto"/>
      </w:pPr>
      <w:r>
        <w:rPr>
          <w:rFonts w:hint="eastAsia"/>
        </w:rPr>
        <w:t>采用节律控制策略后，应明确成功标准、失败判定标准和复评节点。</w:t>
      </w:r>
    </w:p>
    <w:p w14:paraId="7D8D8977">
      <w:pPr>
        <w:pStyle w:val="164"/>
        <w:spacing w:line="360" w:lineRule="auto"/>
      </w:pPr>
      <w:r>
        <w:rPr>
          <w:rFonts w:hint="eastAsia"/>
        </w:rPr>
        <w:t>节律控制成功后，仍应继续进行卒中风险评估和抗凝管理，不得因恢复窦律即自动终止卒中预防路径。</w:t>
      </w:r>
    </w:p>
    <w:p w14:paraId="53B2B4CB">
      <w:pPr>
        <w:pStyle w:val="164"/>
        <w:spacing w:line="360" w:lineRule="auto"/>
      </w:pPr>
      <w:r>
        <w:rPr>
          <w:rFonts w:hint="eastAsia"/>
        </w:rPr>
        <w:t>节律控制失败、复发频繁或者不耐受时，应及时重新评估控率与控律综合策略。</w:t>
      </w:r>
    </w:p>
    <w:p w14:paraId="49F9ADE8">
      <w:pPr>
        <w:pStyle w:val="105"/>
        <w:spacing w:before="120" w:after="120" w:line="360" w:lineRule="auto"/>
      </w:pPr>
      <w:r>
        <w:rPr>
          <w:rFonts w:hint="eastAsia"/>
        </w:rPr>
        <w:t>心率与节律综合决策</w:t>
      </w:r>
    </w:p>
    <w:p w14:paraId="5C54A2BC">
      <w:pPr>
        <w:pStyle w:val="56"/>
        <w:spacing w:line="360" w:lineRule="auto"/>
        <w:ind w:firstLine="420"/>
      </w:pPr>
      <w:r>
        <w:rPr>
          <w:rFonts w:hint="eastAsia"/>
        </w:rPr>
        <w:t>一般要求</w:t>
      </w:r>
    </w:p>
    <w:p w14:paraId="6A5A3452">
      <w:pPr>
        <w:pStyle w:val="56"/>
        <w:spacing w:line="360" w:lineRule="auto"/>
        <w:ind w:firstLine="420"/>
      </w:pPr>
      <w:r>
        <w:rPr>
          <w:rFonts w:hint="eastAsia"/>
        </w:rPr>
        <w:t>心率控制和节律控制不是相互排斥的孤立策略，应根据患者病情动态切换或者联合实施。</w:t>
      </w:r>
    </w:p>
    <w:p w14:paraId="1794F049">
      <w:pPr>
        <w:pStyle w:val="164"/>
        <w:spacing w:line="360" w:lineRule="auto"/>
      </w:pPr>
      <w:r>
        <w:rPr>
          <w:rFonts w:hint="eastAsia"/>
        </w:rPr>
        <w:t>综合决策应基于症状控制、心功能改善、并发症防控和长期获益最大化原则。</w:t>
      </w:r>
    </w:p>
    <w:p w14:paraId="0234E01C">
      <w:pPr>
        <w:pStyle w:val="65"/>
        <w:spacing w:before="120" w:after="120" w:line="360" w:lineRule="auto"/>
      </w:pPr>
      <w:r>
        <w:rPr>
          <w:rFonts w:hint="eastAsia"/>
        </w:rPr>
        <w:t>决策要点</w:t>
      </w:r>
    </w:p>
    <w:p w14:paraId="55E5F197">
      <w:pPr>
        <w:pStyle w:val="164"/>
        <w:spacing w:line="360" w:lineRule="auto"/>
      </w:pPr>
      <w:r>
        <w:rPr>
          <w:rFonts w:hint="eastAsia"/>
        </w:rPr>
        <w:t>综合决策时宜重点关注：</w:t>
      </w:r>
    </w:p>
    <w:p w14:paraId="56BB2FCC">
      <w:pPr>
        <w:pStyle w:val="56"/>
        <w:spacing w:line="360" w:lineRule="auto"/>
        <w:ind w:firstLine="420"/>
      </w:pPr>
      <w:r>
        <w:rPr>
          <w:rFonts w:hint="eastAsia"/>
        </w:rPr>
        <w:t>a）患者当前症状负担；</w:t>
      </w:r>
    </w:p>
    <w:p w14:paraId="6625858A">
      <w:pPr>
        <w:pStyle w:val="56"/>
        <w:spacing w:line="360" w:lineRule="auto"/>
        <w:ind w:firstLine="420"/>
      </w:pPr>
      <w:r>
        <w:rPr>
          <w:rFonts w:hint="eastAsia"/>
        </w:rPr>
        <w:t>b）房颤持续时间和负担；</w:t>
      </w:r>
    </w:p>
    <w:p w14:paraId="4880F691">
      <w:pPr>
        <w:pStyle w:val="56"/>
        <w:spacing w:line="360" w:lineRule="auto"/>
        <w:ind w:firstLine="420"/>
      </w:pPr>
      <w:r>
        <w:rPr>
          <w:rFonts w:hint="eastAsia"/>
        </w:rPr>
        <w:t>c）心功能状态；</w:t>
      </w:r>
    </w:p>
    <w:p w14:paraId="1680070C">
      <w:pPr>
        <w:pStyle w:val="56"/>
        <w:spacing w:line="360" w:lineRule="auto"/>
        <w:ind w:firstLine="420"/>
      </w:pPr>
      <w:r>
        <w:rPr>
          <w:rFonts w:hint="eastAsia"/>
        </w:rPr>
        <w:t>d）房颤复发风险；</w:t>
      </w:r>
    </w:p>
    <w:p w14:paraId="489B2031">
      <w:pPr>
        <w:pStyle w:val="56"/>
        <w:spacing w:line="360" w:lineRule="auto"/>
        <w:ind w:firstLine="420"/>
      </w:pPr>
      <w:r>
        <w:rPr>
          <w:rFonts w:hint="eastAsia"/>
        </w:rPr>
        <w:t>e）治疗可及性和患者依从性；</w:t>
      </w:r>
    </w:p>
    <w:p w14:paraId="022EC08F">
      <w:pPr>
        <w:pStyle w:val="56"/>
        <w:spacing w:line="360" w:lineRule="auto"/>
        <w:ind w:firstLine="420"/>
      </w:pPr>
      <w:r>
        <w:rPr>
          <w:rFonts w:hint="eastAsia"/>
        </w:rPr>
        <w:t>f）侵入性治疗可行性；</w:t>
      </w:r>
    </w:p>
    <w:p w14:paraId="42CB593A">
      <w:pPr>
        <w:pStyle w:val="56"/>
        <w:spacing w:line="360" w:lineRule="auto"/>
        <w:ind w:firstLine="420"/>
      </w:pPr>
      <w:r>
        <w:rPr>
          <w:rFonts w:hint="eastAsia"/>
        </w:rPr>
        <w:t>g）患者意愿和预期目标。</w:t>
      </w:r>
    </w:p>
    <w:p w14:paraId="1E0ABD40">
      <w:pPr>
        <w:pStyle w:val="164"/>
        <w:spacing w:line="360" w:lineRule="auto"/>
      </w:pPr>
      <w:r>
        <w:rPr>
          <w:rFonts w:hint="eastAsia"/>
        </w:rPr>
        <w:t>决策结论应形成记录，并明确复评时间。</w:t>
      </w:r>
    </w:p>
    <w:p w14:paraId="1444DF03">
      <w:pPr>
        <w:pStyle w:val="164"/>
        <w:numPr>
          <w:ilvl w:val="0"/>
          <w:numId w:val="0"/>
        </w:numPr>
        <w:spacing w:line="360" w:lineRule="auto"/>
      </w:pPr>
    </w:p>
    <w:p w14:paraId="14BFDAE6">
      <w:pPr>
        <w:pStyle w:val="164"/>
        <w:numPr>
          <w:ilvl w:val="0"/>
          <w:numId w:val="0"/>
        </w:numPr>
        <w:spacing w:line="360" w:lineRule="auto"/>
        <w:rPr>
          <w:rFonts w:hint="eastAsia"/>
        </w:rPr>
      </w:pPr>
    </w:p>
    <w:p w14:paraId="297DDFC0">
      <w:pPr>
        <w:pStyle w:val="105"/>
        <w:spacing w:before="120" w:after="120" w:line="360" w:lineRule="auto"/>
      </w:pPr>
      <w:r>
        <w:rPr>
          <w:rFonts w:hint="eastAsia"/>
        </w:rPr>
        <w:t>合并疾病管理路径</w:t>
      </w:r>
    </w:p>
    <w:p w14:paraId="49C1A665">
      <w:pPr>
        <w:pStyle w:val="65"/>
        <w:spacing w:before="120" w:after="120" w:line="360" w:lineRule="auto"/>
      </w:pPr>
      <w:r>
        <w:rPr>
          <w:rFonts w:hint="eastAsia"/>
        </w:rPr>
        <w:t>一般要求</w:t>
      </w:r>
    </w:p>
    <w:p w14:paraId="573E8A37">
      <w:pPr>
        <w:pStyle w:val="164"/>
        <w:spacing w:line="360" w:lineRule="auto"/>
      </w:pPr>
      <w:r>
        <w:rPr>
          <w:rFonts w:hint="eastAsia"/>
        </w:rPr>
        <w:t>房颤患者应进行合并疾病和可干预危险因素管理。</w:t>
      </w:r>
    </w:p>
    <w:p w14:paraId="3508414A">
      <w:pPr>
        <w:pStyle w:val="164"/>
        <w:spacing w:line="360" w:lineRule="auto"/>
      </w:pPr>
      <w:r>
        <w:rPr>
          <w:rFonts w:hint="eastAsia"/>
        </w:rPr>
        <w:t>合并疾病管理应与卒中预防、心率控制和节律控制路径协同实施。</w:t>
      </w:r>
    </w:p>
    <w:p w14:paraId="3A7FC90D">
      <w:pPr>
        <w:pStyle w:val="164"/>
        <w:spacing w:line="360" w:lineRule="auto"/>
      </w:pPr>
      <w:r>
        <w:rPr>
          <w:rFonts w:hint="eastAsia"/>
        </w:rPr>
        <w:t>对影响房颤发生、复发、进展或者预后的危险因素，应实施持续干预。</w:t>
      </w:r>
    </w:p>
    <w:p w14:paraId="6028001A">
      <w:pPr>
        <w:pStyle w:val="65"/>
        <w:spacing w:before="120" w:after="120" w:line="360" w:lineRule="auto"/>
      </w:pPr>
      <w:r>
        <w:rPr>
          <w:rFonts w:hint="eastAsia"/>
        </w:rPr>
        <w:t>重点管理对象</w:t>
      </w:r>
    </w:p>
    <w:p w14:paraId="75AF9103">
      <w:pPr>
        <w:pStyle w:val="164"/>
        <w:spacing w:line="360" w:lineRule="auto"/>
      </w:pPr>
      <w:r>
        <w:rPr>
          <w:rFonts w:hint="eastAsia"/>
        </w:rPr>
        <w:t>下列情况应作为重点管理对象：</w:t>
      </w:r>
    </w:p>
    <w:p w14:paraId="6BE7E334">
      <w:pPr>
        <w:pStyle w:val="56"/>
        <w:spacing w:line="360" w:lineRule="auto"/>
        <w:ind w:firstLine="420"/>
      </w:pPr>
      <w:r>
        <w:rPr>
          <w:rFonts w:hint="eastAsia"/>
        </w:rPr>
        <w:t>a）高血压；</w:t>
      </w:r>
    </w:p>
    <w:p w14:paraId="3A042AB7">
      <w:pPr>
        <w:pStyle w:val="56"/>
        <w:spacing w:line="360" w:lineRule="auto"/>
        <w:ind w:firstLine="420"/>
      </w:pPr>
      <w:r>
        <w:rPr>
          <w:rFonts w:hint="eastAsia"/>
        </w:rPr>
        <w:t>b）心力衰竭；</w:t>
      </w:r>
    </w:p>
    <w:p w14:paraId="4CE78CD1">
      <w:pPr>
        <w:pStyle w:val="56"/>
        <w:spacing w:line="360" w:lineRule="auto"/>
        <w:ind w:firstLine="420"/>
      </w:pPr>
      <w:r>
        <w:rPr>
          <w:rFonts w:hint="eastAsia"/>
        </w:rPr>
        <w:t>c）冠心病；</w:t>
      </w:r>
    </w:p>
    <w:p w14:paraId="6A11FBB3">
      <w:pPr>
        <w:pStyle w:val="56"/>
        <w:spacing w:line="360" w:lineRule="auto"/>
        <w:ind w:firstLine="420"/>
      </w:pPr>
      <w:r>
        <w:rPr>
          <w:rFonts w:hint="eastAsia"/>
        </w:rPr>
        <w:t>d）糖尿病；</w:t>
      </w:r>
    </w:p>
    <w:p w14:paraId="4EF1F0B2">
      <w:pPr>
        <w:pStyle w:val="56"/>
        <w:spacing w:line="360" w:lineRule="auto"/>
        <w:ind w:firstLine="420"/>
      </w:pPr>
      <w:r>
        <w:rPr>
          <w:rFonts w:hint="eastAsia"/>
        </w:rPr>
        <w:t>e）肥胖；</w:t>
      </w:r>
    </w:p>
    <w:p w14:paraId="32ABC15E">
      <w:pPr>
        <w:pStyle w:val="56"/>
        <w:spacing w:line="360" w:lineRule="auto"/>
        <w:ind w:firstLine="420"/>
      </w:pPr>
      <w:r>
        <w:rPr>
          <w:rFonts w:hint="eastAsia"/>
        </w:rPr>
        <w:t>f）睡眠呼吸障碍；</w:t>
      </w:r>
    </w:p>
    <w:p w14:paraId="022611C9">
      <w:pPr>
        <w:pStyle w:val="56"/>
        <w:spacing w:line="360" w:lineRule="auto"/>
        <w:ind w:firstLine="420"/>
      </w:pPr>
      <w:r>
        <w:rPr>
          <w:rFonts w:hint="eastAsia"/>
        </w:rPr>
        <w:t>g）慢性肾病；</w:t>
      </w:r>
    </w:p>
    <w:p w14:paraId="09850F4F">
      <w:pPr>
        <w:pStyle w:val="56"/>
        <w:spacing w:line="360" w:lineRule="auto"/>
        <w:ind w:firstLine="420"/>
      </w:pPr>
      <w:r>
        <w:rPr>
          <w:rFonts w:hint="eastAsia"/>
        </w:rPr>
        <w:t>h）甲状腺功能异常；</w:t>
      </w:r>
    </w:p>
    <w:p w14:paraId="50A90186">
      <w:pPr>
        <w:pStyle w:val="56"/>
        <w:spacing w:line="360" w:lineRule="auto"/>
        <w:ind w:firstLine="420"/>
      </w:pPr>
      <w:r>
        <w:rPr>
          <w:rFonts w:hint="eastAsia"/>
        </w:rPr>
        <w:t>i）吸烟、饮酒和其他不良生活方式；</w:t>
      </w:r>
    </w:p>
    <w:p w14:paraId="234B9F7A">
      <w:pPr>
        <w:pStyle w:val="56"/>
        <w:spacing w:line="360" w:lineRule="auto"/>
        <w:ind w:firstLine="420"/>
      </w:pPr>
      <w:r>
        <w:rPr>
          <w:rFonts w:hint="eastAsia"/>
        </w:rPr>
        <w:t>j）活动不足和心理负担明显等情况。</w:t>
      </w:r>
    </w:p>
    <w:p w14:paraId="3C0F5729">
      <w:pPr>
        <w:pStyle w:val="65"/>
        <w:spacing w:before="120" w:after="120" w:line="360" w:lineRule="auto"/>
      </w:pPr>
      <w:r>
        <w:rPr>
          <w:rFonts w:hint="eastAsia"/>
        </w:rPr>
        <w:t>管理要求</w:t>
      </w:r>
    </w:p>
    <w:p w14:paraId="244672C9">
      <w:pPr>
        <w:pStyle w:val="164"/>
        <w:spacing w:line="360" w:lineRule="auto"/>
      </w:pPr>
      <w:r>
        <w:rPr>
          <w:rFonts w:hint="eastAsia"/>
        </w:rPr>
        <w:t>合并疾病管理应至少包括识别、记录、干预、复评和转诊衔接。</w:t>
      </w:r>
    </w:p>
    <w:p w14:paraId="62B50A64">
      <w:pPr>
        <w:pStyle w:val="164"/>
        <w:spacing w:line="360" w:lineRule="auto"/>
      </w:pPr>
      <w:r>
        <w:rPr>
          <w:rFonts w:hint="eastAsia"/>
        </w:rPr>
        <w:t>对高血压、糖尿病、肥胖和睡眠呼吸障碍等可干预危险因素，应纳入长期随访计划。</w:t>
      </w:r>
    </w:p>
    <w:p w14:paraId="35B70D11">
      <w:pPr>
        <w:pStyle w:val="164"/>
        <w:spacing w:line="360" w:lineRule="auto"/>
      </w:pPr>
      <w:r>
        <w:rPr>
          <w:rFonts w:hint="eastAsia"/>
        </w:rPr>
        <w:t>危险因素管理不得停留在宣教层面，应形成可执行的干预安排和复评安排。</w:t>
      </w:r>
    </w:p>
    <w:p w14:paraId="55508EEF">
      <w:pPr>
        <w:pStyle w:val="105"/>
        <w:spacing w:before="120" w:after="120" w:line="360" w:lineRule="auto"/>
      </w:pPr>
      <w:r>
        <w:rPr>
          <w:rFonts w:hint="eastAsia"/>
        </w:rPr>
        <w:t>特殊临床场景管理</w:t>
      </w:r>
    </w:p>
    <w:p w14:paraId="3E18A2BF">
      <w:pPr>
        <w:pStyle w:val="65"/>
        <w:spacing w:before="120" w:after="120" w:line="360" w:lineRule="auto"/>
      </w:pPr>
      <w:r>
        <w:rPr>
          <w:rFonts w:hint="eastAsia"/>
        </w:rPr>
        <w:t>急性发作场景</w:t>
      </w:r>
    </w:p>
    <w:p w14:paraId="6D618885">
      <w:pPr>
        <w:pStyle w:val="164"/>
        <w:spacing w:line="360" w:lineRule="auto"/>
      </w:pPr>
      <w:r>
        <w:rPr>
          <w:rFonts w:hint="eastAsia"/>
        </w:rPr>
        <w:t>对快速房颤伴明显症状、急性心衰、低血压或者缺血表现者，应优先稳定生命体征和血流动力学状态。</w:t>
      </w:r>
    </w:p>
    <w:p w14:paraId="31D79B8D">
      <w:pPr>
        <w:pStyle w:val="164"/>
        <w:spacing w:line="360" w:lineRule="auto"/>
      </w:pPr>
      <w:r>
        <w:rPr>
          <w:rFonts w:hint="eastAsia"/>
        </w:rPr>
        <w:t>急性发作处置后，应尽快衔接后续长期管理路径。</w:t>
      </w:r>
    </w:p>
    <w:p w14:paraId="746FCFDB">
      <w:pPr>
        <w:pStyle w:val="65"/>
        <w:spacing w:before="120" w:after="120" w:line="360" w:lineRule="auto"/>
      </w:pPr>
      <w:r>
        <w:rPr>
          <w:rFonts w:hint="eastAsia"/>
        </w:rPr>
        <w:t>住院场景</w:t>
      </w:r>
    </w:p>
    <w:p w14:paraId="2DFBFAD6">
      <w:pPr>
        <w:pStyle w:val="164"/>
        <w:spacing w:line="360" w:lineRule="auto"/>
      </w:pPr>
      <w:r>
        <w:rPr>
          <w:rFonts w:hint="eastAsia"/>
        </w:rPr>
        <w:t>住院房颤患者应在住院期间完成抗凝评估、控率控律策略评估、合并疾病评估和出院路径准备。</w:t>
      </w:r>
    </w:p>
    <w:p w14:paraId="4AF41A81">
      <w:pPr>
        <w:pStyle w:val="164"/>
        <w:spacing w:line="360" w:lineRule="auto"/>
      </w:pPr>
      <w:r>
        <w:rPr>
          <w:rFonts w:hint="eastAsia"/>
        </w:rPr>
        <w:t>不得将关键评估推迟至出院后而不作记录说明。</w:t>
      </w:r>
    </w:p>
    <w:p w14:paraId="3436432D">
      <w:pPr>
        <w:pStyle w:val="65"/>
        <w:spacing w:before="120" w:after="120" w:line="360" w:lineRule="auto"/>
      </w:pPr>
      <w:r>
        <w:rPr>
          <w:rFonts w:hint="eastAsia"/>
        </w:rPr>
        <w:t>介入治疗场景</w:t>
      </w:r>
    </w:p>
    <w:p w14:paraId="61951B7C">
      <w:pPr>
        <w:pStyle w:val="164"/>
        <w:spacing w:line="360" w:lineRule="auto"/>
      </w:pPr>
      <w:r>
        <w:rPr>
          <w:rFonts w:hint="eastAsia"/>
        </w:rPr>
        <w:t>拟行电复律、导管消融或者左心耳封堵的患者，应进行专门路径评估。</w:t>
      </w:r>
    </w:p>
    <w:p w14:paraId="781FDCEF">
      <w:pPr>
        <w:pStyle w:val="164"/>
        <w:spacing w:line="360" w:lineRule="auto"/>
      </w:pPr>
      <w:r>
        <w:rPr>
          <w:rFonts w:hint="eastAsia"/>
        </w:rPr>
        <w:t>介入治疗前后应重点管理抗凝状态、并发症风险、复发风险和随访衔接。</w:t>
      </w:r>
    </w:p>
    <w:p w14:paraId="362E1CA2">
      <w:pPr>
        <w:pStyle w:val="65"/>
        <w:spacing w:before="120" w:after="120" w:line="360" w:lineRule="auto"/>
      </w:pPr>
      <w:r>
        <w:rPr>
          <w:rFonts w:hint="eastAsia"/>
        </w:rPr>
        <w:t>老年与衰弱患者场景</w:t>
      </w:r>
    </w:p>
    <w:p w14:paraId="70081937">
      <w:pPr>
        <w:pStyle w:val="164"/>
        <w:spacing w:line="360" w:lineRule="auto"/>
      </w:pPr>
      <w:r>
        <w:rPr>
          <w:rFonts w:hint="eastAsia"/>
        </w:rPr>
        <w:t>对老年、衰弱、跌倒高风险或者多病共存患者，应实施个体化路径管理。</w:t>
      </w:r>
    </w:p>
    <w:p w14:paraId="3062C8BD">
      <w:pPr>
        <w:pStyle w:val="164"/>
        <w:spacing w:line="360" w:lineRule="auto"/>
      </w:pPr>
      <w:r>
        <w:rPr>
          <w:rFonts w:hint="eastAsia"/>
        </w:rPr>
        <w:t>个体化管理不应削弱卒中预防要求，而应加强风险平衡和多学科协作。</w:t>
      </w:r>
    </w:p>
    <w:p w14:paraId="082DF3F0">
      <w:pPr>
        <w:pStyle w:val="105"/>
        <w:spacing w:before="120" w:after="120" w:line="360" w:lineRule="auto"/>
      </w:pPr>
      <w:r>
        <w:rPr>
          <w:rFonts w:hint="eastAsia"/>
        </w:rPr>
        <w:t>患者教育与生活方式干预</w:t>
      </w:r>
    </w:p>
    <w:p w14:paraId="34872CB5">
      <w:pPr>
        <w:pStyle w:val="65"/>
        <w:spacing w:before="120" w:after="120" w:line="360" w:lineRule="auto"/>
      </w:pPr>
      <w:r>
        <w:rPr>
          <w:rFonts w:hint="eastAsia"/>
        </w:rPr>
        <w:t>一般要求</w:t>
      </w:r>
    </w:p>
    <w:p w14:paraId="44A160E0">
      <w:pPr>
        <w:pStyle w:val="164"/>
        <w:spacing w:line="360" w:lineRule="auto"/>
      </w:pPr>
      <w:r>
        <w:rPr>
          <w:rFonts w:hint="eastAsia"/>
        </w:rPr>
        <w:t>心率控制、节律控制和合并疾病管理路径中，应同步实施患者教育和生活方式干预。</w:t>
      </w:r>
    </w:p>
    <w:p w14:paraId="0431DCA0">
      <w:pPr>
        <w:pStyle w:val="164"/>
        <w:spacing w:line="360" w:lineRule="auto"/>
      </w:pPr>
      <w:r>
        <w:rPr>
          <w:rFonts w:hint="eastAsia"/>
        </w:rPr>
        <w:t>教育内容宜包括症状识别、药物依从性、复发识别、危险信号、体重管理、血压管理、戒烟限酒、规律运动和睡眠管理等。</w:t>
      </w:r>
    </w:p>
    <w:p w14:paraId="25609585">
      <w:pPr>
        <w:pStyle w:val="65"/>
        <w:spacing w:before="120" w:after="120" w:line="360" w:lineRule="auto"/>
      </w:pPr>
      <w:r>
        <w:rPr>
          <w:rFonts w:hint="eastAsia"/>
        </w:rPr>
        <w:t>干预要求</w:t>
      </w:r>
    </w:p>
    <w:p w14:paraId="21AA616F">
      <w:pPr>
        <w:pStyle w:val="164"/>
        <w:spacing w:line="360" w:lineRule="auto"/>
      </w:pPr>
      <w:r>
        <w:rPr>
          <w:rFonts w:hint="eastAsia"/>
        </w:rPr>
        <w:t>对存在不良生活方式的患者，应形成个体化干预建议。</w:t>
      </w:r>
    </w:p>
    <w:p w14:paraId="6B01E408">
      <w:pPr>
        <w:pStyle w:val="164"/>
        <w:spacing w:line="360" w:lineRule="auto"/>
      </w:pPr>
      <w:r>
        <w:rPr>
          <w:rFonts w:hint="eastAsia"/>
        </w:rPr>
        <w:t>对长期管理患者，应在随访中持续评估生活方式干预执行情况。</w:t>
      </w:r>
    </w:p>
    <w:p w14:paraId="4785D10A">
      <w:pPr>
        <w:pStyle w:val="105"/>
        <w:spacing w:before="120" w:after="120" w:line="360" w:lineRule="auto"/>
      </w:pPr>
      <w:r>
        <w:rPr>
          <w:rFonts w:hint="eastAsia"/>
        </w:rPr>
        <w:t>复评与路径调整</w:t>
      </w:r>
    </w:p>
    <w:p w14:paraId="10C3CD1C">
      <w:pPr>
        <w:pStyle w:val="65"/>
        <w:spacing w:before="120" w:after="120" w:line="360" w:lineRule="auto"/>
      </w:pPr>
      <w:r>
        <w:rPr>
          <w:rFonts w:hint="eastAsia"/>
        </w:rPr>
        <w:t>一般要求</w:t>
      </w:r>
    </w:p>
    <w:p w14:paraId="21300BE1">
      <w:pPr>
        <w:pStyle w:val="164"/>
        <w:spacing w:line="360" w:lineRule="auto"/>
      </w:pPr>
      <w:r>
        <w:rPr>
          <w:rFonts w:hint="eastAsia"/>
        </w:rPr>
        <w:t>房颤患者在心率控制、节律控制和合并疾病管理过程中，应定期复评。</w:t>
      </w:r>
    </w:p>
    <w:p w14:paraId="1CB999FD">
      <w:pPr>
        <w:pStyle w:val="164"/>
        <w:spacing w:line="360" w:lineRule="auto"/>
      </w:pPr>
      <w:r>
        <w:rPr>
          <w:rFonts w:hint="eastAsia"/>
        </w:rPr>
        <w:t>复评内容宜包括症状变化、心率状态、节律状态、药物耐受性、事件发生情况、危险因素控制情况和患者满意度。</w:t>
      </w:r>
    </w:p>
    <w:p w14:paraId="3C609BC8">
      <w:pPr>
        <w:pStyle w:val="65"/>
        <w:spacing w:before="120" w:after="120" w:line="360" w:lineRule="auto"/>
      </w:pPr>
      <w:r>
        <w:rPr>
          <w:rFonts w:hint="eastAsia"/>
        </w:rPr>
        <w:t>调整要求</w:t>
      </w:r>
    </w:p>
    <w:p w14:paraId="332E81CD">
      <w:pPr>
        <w:pStyle w:val="164"/>
        <w:spacing w:line="360" w:lineRule="auto"/>
      </w:pPr>
      <w:r>
        <w:rPr>
          <w:rFonts w:hint="eastAsia"/>
        </w:rPr>
        <w:t>复评后应根据结果调整管理路径。</w:t>
      </w:r>
    </w:p>
    <w:p w14:paraId="360879D9">
      <w:pPr>
        <w:pStyle w:val="164"/>
        <w:spacing w:line="360" w:lineRule="auto"/>
      </w:pPr>
      <w:r>
        <w:rPr>
          <w:rFonts w:hint="eastAsia"/>
        </w:rPr>
        <w:t>对疗效不佳、不耐受、复发增加或者并发症增多的患者，应及时调整治疗策略。</w:t>
      </w:r>
    </w:p>
    <w:p w14:paraId="28530488">
      <w:pPr>
        <w:pStyle w:val="164"/>
        <w:spacing w:line="360" w:lineRule="auto"/>
      </w:pPr>
      <w:r>
        <w:rPr>
          <w:rFonts w:hint="eastAsia"/>
        </w:rPr>
        <w:t>重大策略调整应形成记录，并明确下一次复评时间。</w:t>
      </w:r>
    </w:p>
    <w:p w14:paraId="5440933B">
      <w:pPr>
        <w:pStyle w:val="105"/>
        <w:spacing w:before="120" w:after="120" w:line="360" w:lineRule="auto"/>
      </w:pPr>
      <w:r>
        <w:rPr>
          <w:rFonts w:hint="eastAsia"/>
        </w:rPr>
        <w:t>记录与交接要求</w:t>
      </w:r>
    </w:p>
    <w:p w14:paraId="2AC9837B">
      <w:pPr>
        <w:pStyle w:val="165"/>
        <w:spacing w:line="360" w:lineRule="auto"/>
      </w:pPr>
      <w:r>
        <w:rPr>
          <w:rFonts w:hint="eastAsia"/>
        </w:rPr>
        <w:t>心率控制、节律控制和合并疾病管理相关评估、决策、调整和复评应形成完整记录。</w:t>
      </w:r>
    </w:p>
    <w:p w14:paraId="35002AA5">
      <w:pPr>
        <w:pStyle w:val="165"/>
        <w:spacing w:line="360" w:lineRule="auto"/>
      </w:pPr>
      <w:r>
        <w:rPr>
          <w:rFonts w:hint="eastAsia"/>
        </w:rPr>
        <w:t>住院、门诊、介入治疗和随访之间应重点交接下列内容：</w:t>
      </w:r>
    </w:p>
    <w:p w14:paraId="250067B5">
      <w:pPr>
        <w:pStyle w:val="56"/>
        <w:spacing w:line="360" w:lineRule="auto"/>
        <w:ind w:firstLine="420"/>
      </w:pPr>
      <w:r>
        <w:rPr>
          <w:rFonts w:hint="eastAsia"/>
        </w:rPr>
        <w:t>a）当前节律状态；</w:t>
      </w:r>
    </w:p>
    <w:p w14:paraId="1B975622">
      <w:pPr>
        <w:pStyle w:val="56"/>
        <w:spacing w:line="360" w:lineRule="auto"/>
        <w:ind w:firstLine="420"/>
      </w:pPr>
      <w:r>
        <w:rPr>
          <w:rFonts w:hint="eastAsia"/>
        </w:rPr>
        <w:t>b）当前心率控制状态；</w:t>
      </w:r>
    </w:p>
    <w:p w14:paraId="17D025DA">
      <w:pPr>
        <w:pStyle w:val="56"/>
        <w:spacing w:line="360" w:lineRule="auto"/>
        <w:ind w:firstLine="420"/>
      </w:pPr>
      <w:r>
        <w:rPr>
          <w:rFonts w:hint="eastAsia"/>
        </w:rPr>
        <w:t>c）当前药物方案；</w:t>
      </w:r>
    </w:p>
    <w:p w14:paraId="2748EB52">
      <w:pPr>
        <w:pStyle w:val="56"/>
        <w:spacing w:line="360" w:lineRule="auto"/>
        <w:ind w:firstLine="420"/>
      </w:pPr>
      <w:r>
        <w:rPr>
          <w:rFonts w:hint="eastAsia"/>
        </w:rPr>
        <w:t>d）既往复律或者消融史；</w:t>
      </w:r>
    </w:p>
    <w:p w14:paraId="33787B70">
      <w:pPr>
        <w:pStyle w:val="56"/>
        <w:spacing w:line="360" w:lineRule="auto"/>
        <w:ind w:firstLine="420"/>
      </w:pPr>
      <w:r>
        <w:rPr>
          <w:rFonts w:hint="eastAsia"/>
        </w:rPr>
        <w:t>e）当前抗凝状态；</w:t>
      </w:r>
    </w:p>
    <w:p w14:paraId="30243894">
      <w:pPr>
        <w:pStyle w:val="56"/>
        <w:spacing w:line="360" w:lineRule="auto"/>
        <w:ind w:firstLine="420"/>
      </w:pPr>
      <w:r>
        <w:rPr>
          <w:rFonts w:hint="eastAsia"/>
        </w:rPr>
        <w:t>f）合并疾病控制情况；</w:t>
      </w:r>
    </w:p>
    <w:p w14:paraId="1E222731">
      <w:pPr>
        <w:pStyle w:val="56"/>
        <w:spacing w:line="360" w:lineRule="auto"/>
        <w:ind w:firstLine="420"/>
      </w:pPr>
      <w:r>
        <w:rPr>
          <w:rFonts w:hint="eastAsia"/>
        </w:rPr>
        <w:t>g）下次复评时间。</w:t>
      </w:r>
    </w:p>
    <w:p w14:paraId="66C7AEFE">
      <w:pPr>
        <w:pStyle w:val="165"/>
        <w:spacing w:line="360" w:lineRule="auto"/>
      </w:pPr>
      <w:r>
        <w:rPr>
          <w:rFonts w:hint="eastAsia"/>
        </w:rPr>
        <w:t>交接信息缺失的，应及时补充，不得视为路径闭环完成。</w:t>
      </w:r>
    </w:p>
    <w:p w14:paraId="7F891C2A">
      <w:pPr>
        <w:pStyle w:val="105"/>
        <w:spacing w:before="120" w:after="120" w:line="360" w:lineRule="auto"/>
      </w:pPr>
      <w:r>
        <w:rPr>
          <w:rFonts w:hint="eastAsia"/>
        </w:rPr>
        <w:t>禁止性要求</w:t>
      </w:r>
    </w:p>
    <w:p w14:paraId="0D200C6E">
      <w:pPr>
        <w:pStyle w:val="165"/>
        <w:spacing w:line="360" w:lineRule="auto"/>
      </w:pPr>
      <w:r>
        <w:rPr>
          <w:rFonts w:hint="eastAsia"/>
        </w:rPr>
        <w:t>不得将心率控制路径和节律控制路径割裂理解为只能二选一的固定方案。</w:t>
      </w:r>
    </w:p>
    <w:p w14:paraId="357D7070">
      <w:pPr>
        <w:pStyle w:val="165"/>
        <w:spacing w:line="360" w:lineRule="auto"/>
      </w:pPr>
      <w:r>
        <w:rPr>
          <w:rFonts w:hint="eastAsia"/>
        </w:rPr>
        <w:t>不得在未完成抗凝评估的情况下仅围绕控率或者控律安排长期管理。</w:t>
      </w:r>
    </w:p>
    <w:p w14:paraId="03AE12C8">
      <w:pPr>
        <w:pStyle w:val="165"/>
        <w:spacing w:line="360" w:lineRule="auto"/>
      </w:pPr>
      <w:r>
        <w:rPr>
          <w:rFonts w:hint="eastAsia"/>
        </w:rPr>
        <w:t>不得因症状暂时改善而忽视长期复发风险和危险因素控制。</w:t>
      </w:r>
    </w:p>
    <w:p w14:paraId="25C8543D">
      <w:pPr>
        <w:pStyle w:val="165"/>
        <w:spacing w:line="360" w:lineRule="auto"/>
      </w:pPr>
      <w:r>
        <w:rPr>
          <w:rFonts w:hint="eastAsia"/>
        </w:rPr>
        <w:t>不得对心率控制不佳、节律反复复发或者心功能恶化患者长期不调整路径。</w:t>
      </w:r>
    </w:p>
    <w:p w14:paraId="6F79C949">
      <w:pPr>
        <w:pStyle w:val="165"/>
        <w:spacing w:line="360" w:lineRule="auto"/>
      </w:pPr>
      <w:r>
        <w:rPr>
          <w:rFonts w:hint="eastAsia"/>
        </w:rPr>
        <w:t>不得将合并疾病管理简单附属于宣教，而无实际干预措施和复评安排。</w:t>
      </w:r>
    </w:p>
    <w:p w14:paraId="22ADD5AF">
      <w:pPr>
        <w:pStyle w:val="104"/>
        <w:spacing w:before="240" w:after="240" w:line="360" w:lineRule="auto"/>
      </w:pPr>
      <w:bookmarkStart w:id="55" w:name="_Toc228563220"/>
      <w:r>
        <w:rPr>
          <w:rFonts w:hint="eastAsia"/>
        </w:rPr>
        <w:t>围术期与随访管理路径</w:t>
      </w:r>
      <w:bookmarkEnd w:id="55"/>
    </w:p>
    <w:p w14:paraId="6520072A">
      <w:pPr>
        <w:pStyle w:val="105"/>
        <w:spacing w:before="120" w:after="120"/>
      </w:pPr>
      <w:r>
        <w:rPr>
          <w:rFonts w:hint="eastAsia"/>
        </w:rPr>
        <w:t>一般要求</w:t>
      </w:r>
    </w:p>
    <w:p w14:paraId="1096756F">
      <w:pPr>
        <w:pStyle w:val="165"/>
        <w:spacing w:line="360" w:lineRule="auto"/>
      </w:pPr>
      <w:r>
        <w:rPr>
          <w:rFonts w:hint="eastAsia"/>
        </w:rPr>
        <w:t>房颤患者接受手术、介入治疗、侵入性检查或者进入出院后长期管理阶段时，应纳入围术期与随访管理路径。</w:t>
      </w:r>
    </w:p>
    <w:p w14:paraId="34F72804">
      <w:pPr>
        <w:pStyle w:val="165"/>
        <w:spacing w:line="360" w:lineRule="auto"/>
      </w:pPr>
      <w:r>
        <w:rPr>
          <w:rFonts w:hint="eastAsia"/>
        </w:rPr>
        <w:t>围术期与随访管理应与卒中预防路径、抗凝管理路径、心率控制路径、节律控制路径和合并疾病管理路径相衔接。</w:t>
      </w:r>
    </w:p>
    <w:p w14:paraId="53F6C5AD">
      <w:pPr>
        <w:pStyle w:val="165"/>
        <w:spacing w:line="360" w:lineRule="auto"/>
      </w:pPr>
      <w:r>
        <w:rPr>
          <w:rFonts w:hint="eastAsia"/>
        </w:rPr>
        <w:t>围术期与随访管理应坚持风险连续评估、信息连续交接、治疗连续实施和问题连续追踪的原则。</w:t>
      </w:r>
    </w:p>
    <w:p w14:paraId="5350EFE6">
      <w:pPr>
        <w:pStyle w:val="165"/>
        <w:spacing w:line="360" w:lineRule="auto"/>
      </w:pPr>
      <w:r>
        <w:rPr>
          <w:rFonts w:hint="eastAsia"/>
        </w:rPr>
        <w:t>对围术期抗凝调整、节律控制策略变化、住院—出院衔接和长期复评等关键节点，应实施重点管理。</w:t>
      </w:r>
    </w:p>
    <w:p w14:paraId="7E1FFF0C">
      <w:pPr>
        <w:pStyle w:val="165"/>
        <w:spacing w:line="360" w:lineRule="auto"/>
      </w:pPr>
      <w:r>
        <w:rPr>
          <w:rFonts w:hint="eastAsia"/>
        </w:rPr>
        <w:t>未完成关键交接、未明确复评计划或者未完成患者教育的，不得视为本路径节点管理完成。</w:t>
      </w:r>
    </w:p>
    <w:p w14:paraId="6C90CD91">
      <w:pPr>
        <w:pStyle w:val="105"/>
        <w:spacing w:before="120" w:after="120" w:line="360" w:lineRule="auto"/>
      </w:pPr>
      <w:r>
        <w:rPr>
          <w:rFonts w:hint="eastAsia"/>
        </w:rPr>
        <w:t>围术期管理</w:t>
      </w:r>
    </w:p>
    <w:p w14:paraId="0AA26840">
      <w:pPr>
        <w:pStyle w:val="65"/>
        <w:spacing w:before="120" w:after="120" w:line="360" w:lineRule="auto"/>
      </w:pPr>
      <w:r>
        <w:rPr>
          <w:rFonts w:hint="eastAsia"/>
        </w:rPr>
        <w:t>一般要求</w:t>
      </w:r>
    </w:p>
    <w:p w14:paraId="1AB70DAA">
      <w:pPr>
        <w:pStyle w:val="164"/>
        <w:spacing w:line="360" w:lineRule="auto"/>
      </w:pPr>
      <w:r>
        <w:rPr>
          <w:rFonts w:hint="eastAsia"/>
        </w:rPr>
        <w:t>房颤患者拟接受手术、介入治疗或者侵入性检查前，应开展围术期专项评估。</w:t>
      </w:r>
    </w:p>
    <w:p w14:paraId="7807CE85">
      <w:pPr>
        <w:pStyle w:val="164"/>
        <w:spacing w:line="360" w:lineRule="auto"/>
      </w:pPr>
      <w:r>
        <w:rPr>
          <w:rFonts w:hint="eastAsia"/>
        </w:rPr>
        <w:t>围术期专项评估应至少包括下列内容：</w:t>
      </w:r>
    </w:p>
    <w:p w14:paraId="35B571B6">
      <w:pPr>
        <w:pStyle w:val="56"/>
        <w:spacing w:line="360" w:lineRule="auto"/>
        <w:ind w:firstLine="420"/>
      </w:pPr>
      <w:r>
        <w:rPr>
          <w:rFonts w:hint="eastAsia"/>
        </w:rPr>
        <w:t>a）当前房颤状态；</w:t>
      </w:r>
    </w:p>
    <w:p w14:paraId="0CD833B4">
      <w:pPr>
        <w:pStyle w:val="56"/>
        <w:spacing w:line="360" w:lineRule="auto"/>
        <w:ind w:firstLine="420"/>
      </w:pPr>
      <w:r>
        <w:rPr>
          <w:rFonts w:hint="eastAsia"/>
        </w:rPr>
        <w:t>b）卒中风险状态；</w:t>
      </w:r>
    </w:p>
    <w:p w14:paraId="5D443909">
      <w:pPr>
        <w:pStyle w:val="56"/>
        <w:spacing w:line="360" w:lineRule="auto"/>
        <w:ind w:firstLine="420"/>
      </w:pPr>
      <w:r>
        <w:rPr>
          <w:rFonts w:hint="eastAsia"/>
        </w:rPr>
        <w:t>c）出血风险状态；</w:t>
      </w:r>
    </w:p>
    <w:p w14:paraId="1D4CF466">
      <w:pPr>
        <w:pStyle w:val="56"/>
        <w:spacing w:line="360" w:lineRule="auto"/>
        <w:ind w:firstLine="420"/>
      </w:pPr>
      <w:r>
        <w:rPr>
          <w:rFonts w:hint="eastAsia"/>
        </w:rPr>
        <w:t>d）当前抗凝状态；</w:t>
      </w:r>
    </w:p>
    <w:p w14:paraId="2C48B6A3">
      <w:pPr>
        <w:pStyle w:val="56"/>
        <w:spacing w:line="360" w:lineRule="auto"/>
        <w:ind w:firstLine="420"/>
      </w:pPr>
      <w:r>
        <w:rPr>
          <w:rFonts w:hint="eastAsia"/>
        </w:rPr>
        <w:t>e）当前控率、控律药物使用情况；</w:t>
      </w:r>
    </w:p>
    <w:p w14:paraId="7C934CEC">
      <w:pPr>
        <w:pStyle w:val="56"/>
        <w:spacing w:line="360" w:lineRule="auto"/>
        <w:ind w:firstLine="420"/>
      </w:pPr>
      <w:r>
        <w:rPr>
          <w:rFonts w:hint="eastAsia"/>
        </w:rPr>
        <w:t>f）拟实施操作的出血风险和时机要求；</w:t>
      </w:r>
    </w:p>
    <w:p w14:paraId="39FB0567">
      <w:pPr>
        <w:pStyle w:val="56"/>
        <w:spacing w:line="360" w:lineRule="auto"/>
        <w:ind w:firstLine="420"/>
      </w:pPr>
      <w:r>
        <w:rPr>
          <w:rFonts w:hint="eastAsia"/>
        </w:rPr>
        <w:t>g）围术期药物调整方案；</w:t>
      </w:r>
    </w:p>
    <w:p w14:paraId="0C9C3453">
      <w:pPr>
        <w:pStyle w:val="56"/>
        <w:spacing w:line="360" w:lineRule="auto"/>
        <w:ind w:firstLine="420"/>
      </w:pPr>
      <w:r>
        <w:rPr>
          <w:rFonts w:hint="eastAsia"/>
        </w:rPr>
        <w:t>h）术后恢复路径和随访安排。</w:t>
      </w:r>
    </w:p>
    <w:p w14:paraId="35B7C3AF">
      <w:pPr>
        <w:pStyle w:val="164"/>
        <w:spacing w:line="360" w:lineRule="auto"/>
      </w:pPr>
      <w:r>
        <w:rPr>
          <w:rFonts w:hint="eastAsia"/>
        </w:rPr>
        <w:t>围术期管理方案应形成记录，不得仅以口头交代代替正式管理。</w:t>
      </w:r>
    </w:p>
    <w:p w14:paraId="195FE1B1">
      <w:pPr>
        <w:pStyle w:val="65"/>
        <w:spacing w:before="120" w:after="120" w:line="360" w:lineRule="auto"/>
      </w:pPr>
      <w:r>
        <w:rPr>
          <w:rFonts w:hint="eastAsia"/>
        </w:rPr>
        <w:t>围术期抗凝管理</w:t>
      </w:r>
    </w:p>
    <w:p w14:paraId="626CBD9F">
      <w:pPr>
        <w:pStyle w:val="164"/>
        <w:spacing w:line="360" w:lineRule="auto"/>
      </w:pPr>
      <w:r>
        <w:rPr>
          <w:rFonts w:hint="eastAsia"/>
        </w:rPr>
        <w:t>围术期抗凝管理应根据患者卒中风险、出血风险、药物类型和拟实施操作的风险等级综合确定。</w:t>
      </w:r>
    </w:p>
    <w:p w14:paraId="7FAB8E76">
      <w:pPr>
        <w:pStyle w:val="164"/>
        <w:spacing w:line="360" w:lineRule="auto"/>
      </w:pPr>
      <w:r>
        <w:rPr>
          <w:rFonts w:hint="eastAsia"/>
        </w:rPr>
        <w:t>围术期暂停抗凝、恢复抗凝或者转换抗凝方案前，应由责任医师进行确认。</w:t>
      </w:r>
    </w:p>
    <w:p w14:paraId="59C90B7C">
      <w:pPr>
        <w:pStyle w:val="164"/>
        <w:spacing w:line="360" w:lineRule="auto"/>
      </w:pPr>
      <w:r>
        <w:rPr>
          <w:rFonts w:hint="eastAsia"/>
        </w:rPr>
        <w:t>围术期抗凝调整应明确停药时间、恢复时间、观察要求和异常处置要求。</w:t>
      </w:r>
    </w:p>
    <w:p w14:paraId="40343728">
      <w:pPr>
        <w:pStyle w:val="164"/>
        <w:spacing w:line="360" w:lineRule="auto"/>
      </w:pPr>
      <w:r>
        <w:rPr>
          <w:rFonts w:hint="eastAsia"/>
        </w:rPr>
        <w:t>抗凝暂停期间，应评估血栓栓塞风险变化和临时保护需求。</w:t>
      </w:r>
    </w:p>
    <w:p w14:paraId="39984C77">
      <w:pPr>
        <w:pStyle w:val="164"/>
        <w:spacing w:line="360" w:lineRule="auto"/>
      </w:pPr>
      <w:r>
        <w:rPr>
          <w:rFonts w:hint="eastAsia"/>
        </w:rPr>
        <w:t>术后恢复抗凝前，应确认止血情况、出血风险变化和患者整体稳定状态。</w:t>
      </w:r>
    </w:p>
    <w:p w14:paraId="5BFC2FF5">
      <w:pPr>
        <w:pStyle w:val="164"/>
        <w:spacing w:line="360" w:lineRule="auto"/>
      </w:pPr>
      <w:r>
        <w:rPr>
          <w:rFonts w:hint="eastAsia"/>
        </w:rPr>
        <w:t>不得无评估、无记录、无交接随意暂停或者恢复抗凝治疗。</w:t>
      </w:r>
    </w:p>
    <w:p w14:paraId="51285CCB">
      <w:pPr>
        <w:pStyle w:val="65"/>
        <w:spacing w:before="120" w:after="120" w:line="360" w:lineRule="auto"/>
      </w:pPr>
      <w:r>
        <w:rPr>
          <w:rFonts w:hint="eastAsia"/>
        </w:rPr>
        <w:t>围术期控率与控律管理</w:t>
      </w:r>
    </w:p>
    <w:p w14:paraId="10FFFEC9">
      <w:pPr>
        <w:pStyle w:val="164"/>
        <w:spacing w:line="360" w:lineRule="auto"/>
      </w:pPr>
      <w:r>
        <w:rPr>
          <w:rFonts w:hint="eastAsia"/>
        </w:rPr>
        <w:t>围术期应根据血流动力学状态、症状负担、麻醉与手术要求以及基础心功能状态，合理安排控率与控律策略。</w:t>
      </w:r>
    </w:p>
    <w:p w14:paraId="2ECBCCE5">
      <w:pPr>
        <w:pStyle w:val="164"/>
        <w:spacing w:line="360" w:lineRule="auto"/>
      </w:pPr>
      <w:r>
        <w:rPr>
          <w:rFonts w:hint="eastAsia"/>
        </w:rPr>
        <w:t>对拟行电复律、导管消融或者左心耳封堵的患者，应实施专门路径管理。</w:t>
      </w:r>
    </w:p>
    <w:p w14:paraId="62A7D5C9">
      <w:pPr>
        <w:pStyle w:val="164"/>
        <w:spacing w:line="360" w:lineRule="auto"/>
      </w:pPr>
      <w:r>
        <w:rPr>
          <w:rFonts w:hint="eastAsia"/>
        </w:rPr>
        <w:t>围术期发生房颤加重、快速心室率、复发或者新发并发症时，应及时调整管理策略。</w:t>
      </w:r>
    </w:p>
    <w:p w14:paraId="2475D507">
      <w:pPr>
        <w:pStyle w:val="164"/>
        <w:spacing w:line="360" w:lineRule="auto"/>
      </w:pPr>
      <w:r>
        <w:rPr>
          <w:rFonts w:hint="eastAsia"/>
        </w:rPr>
        <w:t>围术期心率控制、节律控制药物调整后，应复评药物耐受性、症状变化和节律状态。</w:t>
      </w:r>
    </w:p>
    <w:p w14:paraId="038B0BE8">
      <w:pPr>
        <w:pStyle w:val="65"/>
        <w:spacing w:before="120" w:after="120" w:line="360" w:lineRule="auto"/>
      </w:pPr>
      <w:r>
        <w:rPr>
          <w:rFonts w:hint="eastAsia"/>
        </w:rPr>
        <w:t>围术期重点监测</w:t>
      </w:r>
    </w:p>
    <w:p w14:paraId="2A710CC1">
      <w:pPr>
        <w:pStyle w:val="164"/>
        <w:spacing w:line="360" w:lineRule="auto"/>
      </w:pPr>
      <w:r>
        <w:rPr>
          <w:rFonts w:hint="eastAsia"/>
        </w:rPr>
        <w:t>围术期应重点监测下列内容：</w:t>
      </w:r>
    </w:p>
    <w:p w14:paraId="095EE8A4">
      <w:pPr>
        <w:pStyle w:val="56"/>
        <w:spacing w:line="360" w:lineRule="auto"/>
        <w:ind w:firstLine="420"/>
      </w:pPr>
      <w:r>
        <w:rPr>
          <w:rFonts w:hint="eastAsia"/>
        </w:rPr>
        <w:t>a）心率和节律变化；</w:t>
      </w:r>
    </w:p>
    <w:p w14:paraId="190F9DD1">
      <w:pPr>
        <w:pStyle w:val="56"/>
        <w:spacing w:line="360" w:lineRule="auto"/>
        <w:ind w:firstLine="420"/>
      </w:pPr>
      <w:r>
        <w:rPr>
          <w:rFonts w:hint="eastAsia"/>
        </w:rPr>
        <w:t>b）血压和血流动力学状态；</w:t>
      </w:r>
    </w:p>
    <w:p w14:paraId="07262449">
      <w:pPr>
        <w:pStyle w:val="56"/>
        <w:spacing w:line="360" w:lineRule="auto"/>
        <w:ind w:firstLine="420"/>
      </w:pPr>
      <w:r>
        <w:rPr>
          <w:rFonts w:hint="eastAsia"/>
        </w:rPr>
        <w:t>c）出血表现；</w:t>
      </w:r>
    </w:p>
    <w:p w14:paraId="5D4AB153">
      <w:pPr>
        <w:pStyle w:val="56"/>
        <w:spacing w:line="360" w:lineRule="auto"/>
        <w:ind w:firstLine="420"/>
      </w:pPr>
      <w:r>
        <w:rPr>
          <w:rFonts w:hint="eastAsia"/>
        </w:rPr>
        <w:t>d）卒中或者栓塞相关表现；</w:t>
      </w:r>
    </w:p>
    <w:p w14:paraId="1581AED2">
      <w:pPr>
        <w:pStyle w:val="56"/>
        <w:spacing w:line="360" w:lineRule="auto"/>
        <w:ind w:firstLine="420"/>
      </w:pPr>
      <w:r>
        <w:rPr>
          <w:rFonts w:hint="eastAsia"/>
        </w:rPr>
        <w:t>e）心力衰竭加重表现；</w:t>
      </w:r>
    </w:p>
    <w:p w14:paraId="2B1C76D2">
      <w:pPr>
        <w:pStyle w:val="56"/>
        <w:spacing w:line="360" w:lineRule="auto"/>
        <w:ind w:firstLine="420"/>
      </w:pPr>
      <w:r>
        <w:rPr>
          <w:rFonts w:hint="eastAsia"/>
        </w:rPr>
        <w:t>f）药物不良反应；</w:t>
      </w:r>
    </w:p>
    <w:p w14:paraId="680F6CC3">
      <w:pPr>
        <w:pStyle w:val="56"/>
        <w:spacing w:line="360" w:lineRule="auto"/>
        <w:ind w:firstLine="420"/>
      </w:pPr>
      <w:r>
        <w:rPr>
          <w:rFonts w:hint="eastAsia"/>
        </w:rPr>
        <w:t>g）术后恢复情况。</w:t>
      </w:r>
    </w:p>
    <w:p w14:paraId="63DEF047">
      <w:pPr>
        <w:pStyle w:val="164"/>
        <w:spacing w:line="360" w:lineRule="auto"/>
      </w:pPr>
      <w:r>
        <w:rPr>
          <w:rFonts w:hint="eastAsia"/>
        </w:rPr>
        <w:t>对高龄、衰弱、肾功能异常、既往卒中或者既往重大出血患者，应提高监测频次。</w:t>
      </w:r>
    </w:p>
    <w:p w14:paraId="611C910B">
      <w:pPr>
        <w:pStyle w:val="164"/>
        <w:numPr>
          <w:ilvl w:val="0"/>
          <w:numId w:val="0"/>
        </w:numPr>
        <w:spacing w:line="360" w:lineRule="auto"/>
      </w:pPr>
    </w:p>
    <w:p w14:paraId="18FDBB14">
      <w:pPr>
        <w:pStyle w:val="164"/>
        <w:numPr>
          <w:ilvl w:val="0"/>
          <w:numId w:val="0"/>
        </w:numPr>
        <w:spacing w:line="360" w:lineRule="auto"/>
      </w:pPr>
    </w:p>
    <w:p w14:paraId="1A179108">
      <w:pPr>
        <w:pStyle w:val="164"/>
        <w:numPr>
          <w:ilvl w:val="0"/>
          <w:numId w:val="0"/>
        </w:numPr>
        <w:spacing w:line="360" w:lineRule="auto"/>
        <w:rPr>
          <w:rFonts w:hint="eastAsia"/>
        </w:rPr>
      </w:pPr>
    </w:p>
    <w:p w14:paraId="2A758BD2">
      <w:pPr>
        <w:pStyle w:val="105"/>
        <w:spacing w:before="120" w:after="120" w:line="360" w:lineRule="auto"/>
      </w:pPr>
      <w:r>
        <w:rPr>
          <w:rFonts w:hint="eastAsia"/>
        </w:rPr>
        <w:t>住院管理衔接</w:t>
      </w:r>
    </w:p>
    <w:p w14:paraId="017E65A1">
      <w:pPr>
        <w:pStyle w:val="65"/>
        <w:spacing w:before="120" w:after="120" w:line="360" w:lineRule="auto"/>
      </w:pPr>
      <w:r>
        <w:rPr>
          <w:rFonts w:hint="eastAsia"/>
        </w:rPr>
        <w:t>一般要求</w:t>
      </w:r>
    </w:p>
    <w:p w14:paraId="4753C229">
      <w:pPr>
        <w:pStyle w:val="164"/>
        <w:spacing w:line="360" w:lineRule="auto"/>
      </w:pPr>
      <w:r>
        <w:rPr>
          <w:rFonts w:hint="eastAsia"/>
        </w:rPr>
        <w:t>房颤患者住院期间，应将诊断评估、风险分层、治疗决策、用药管理、患者教育和出院准备纳入统一路径管理。</w:t>
      </w:r>
    </w:p>
    <w:p w14:paraId="595023FE">
      <w:pPr>
        <w:pStyle w:val="164"/>
        <w:spacing w:line="360" w:lineRule="auto"/>
      </w:pPr>
      <w:r>
        <w:rPr>
          <w:rFonts w:hint="eastAsia"/>
        </w:rPr>
        <w:t>住院管理应与门诊初始评估、急诊处置和后续随访路径衔接。</w:t>
      </w:r>
    </w:p>
    <w:p w14:paraId="7264E353">
      <w:pPr>
        <w:pStyle w:val="164"/>
        <w:spacing w:line="360" w:lineRule="auto"/>
      </w:pPr>
      <w:r>
        <w:rPr>
          <w:rFonts w:hint="eastAsia"/>
        </w:rPr>
        <w:t>对住院中发生路径调整的患者，应及时更新路径记录和交接信息。</w:t>
      </w:r>
    </w:p>
    <w:p w14:paraId="626C6F53">
      <w:pPr>
        <w:pStyle w:val="65"/>
        <w:spacing w:before="120" w:after="120" w:line="360" w:lineRule="auto"/>
      </w:pPr>
      <w:r>
        <w:rPr>
          <w:rFonts w:hint="eastAsia"/>
        </w:rPr>
        <w:t>住院期间管理重点</w:t>
      </w:r>
    </w:p>
    <w:p w14:paraId="5AA7A9EF">
      <w:pPr>
        <w:pStyle w:val="164"/>
        <w:spacing w:line="360" w:lineRule="auto"/>
      </w:pPr>
      <w:r>
        <w:rPr>
          <w:rFonts w:hint="eastAsia"/>
        </w:rPr>
        <w:t>住院期间宜完成下列管理内容：</w:t>
      </w:r>
    </w:p>
    <w:p w14:paraId="09C8C62B">
      <w:pPr>
        <w:pStyle w:val="56"/>
        <w:spacing w:line="360" w:lineRule="auto"/>
        <w:ind w:firstLine="420"/>
      </w:pPr>
      <w:r>
        <w:rPr>
          <w:rFonts w:hint="eastAsia"/>
        </w:rPr>
        <w:t>a）房颤诊断确认和分型完善；</w:t>
      </w:r>
    </w:p>
    <w:p w14:paraId="76672321">
      <w:pPr>
        <w:pStyle w:val="56"/>
        <w:spacing w:line="360" w:lineRule="auto"/>
        <w:ind w:firstLine="420"/>
      </w:pPr>
      <w:r>
        <w:rPr>
          <w:rFonts w:hint="eastAsia"/>
        </w:rPr>
        <w:t>b）卒中风险和出血风险复评；</w:t>
      </w:r>
    </w:p>
    <w:p w14:paraId="6DBB9C13">
      <w:pPr>
        <w:pStyle w:val="56"/>
        <w:spacing w:line="360" w:lineRule="auto"/>
        <w:ind w:firstLine="420"/>
      </w:pPr>
      <w:r>
        <w:rPr>
          <w:rFonts w:hint="eastAsia"/>
        </w:rPr>
        <w:t>c）抗凝治疗启动、调整或者再评估；</w:t>
      </w:r>
    </w:p>
    <w:p w14:paraId="515F851B">
      <w:pPr>
        <w:pStyle w:val="56"/>
        <w:spacing w:line="360" w:lineRule="auto"/>
        <w:ind w:firstLine="420"/>
      </w:pPr>
      <w:r>
        <w:rPr>
          <w:rFonts w:hint="eastAsia"/>
        </w:rPr>
        <w:t>d）控率或者控律策略明确；</w:t>
      </w:r>
    </w:p>
    <w:p w14:paraId="58822E8E">
      <w:pPr>
        <w:pStyle w:val="56"/>
        <w:spacing w:line="360" w:lineRule="auto"/>
        <w:ind w:firstLine="420"/>
      </w:pPr>
      <w:r>
        <w:rPr>
          <w:rFonts w:hint="eastAsia"/>
        </w:rPr>
        <w:t>e）合并疾病和危险因素评估；</w:t>
      </w:r>
    </w:p>
    <w:p w14:paraId="1540DDF2">
      <w:pPr>
        <w:pStyle w:val="56"/>
        <w:spacing w:line="360" w:lineRule="auto"/>
        <w:ind w:firstLine="420"/>
      </w:pPr>
      <w:r>
        <w:rPr>
          <w:rFonts w:hint="eastAsia"/>
        </w:rPr>
        <w:t>f）围术期或者介入治疗管理；</w:t>
      </w:r>
    </w:p>
    <w:p w14:paraId="748F5704">
      <w:pPr>
        <w:pStyle w:val="56"/>
        <w:spacing w:line="360" w:lineRule="auto"/>
        <w:ind w:firstLine="420"/>
      </w:pPr>
      <w:r>
        <w:rPr>
          <w:rFonts w:hint="eastAsia"/>
        </w:rPr>
        <w:t>g）患者教育和用药指导；</w:t>
      </w:r>
    </w:p>
    <w:p w14:paraId="454452B8">
      <w:pPr>
        <w:pStyle w:val="56"/>
        <w:spacing w:line="360" w:lineRule="auto"/>
        <w:ind w:firstLine="420"/>
      </w:pPr>
      <w:r>
        <w:rPr>
          <w:rFonts w:hint="eastAsia"/>
        </w:rPr>
        <w:t>h）出院后随访计划制定。</w:t>
      </w:r>
    </w:p>
    <w:p w14:paraId="78353E74">
      <w:pPr>
        <w:pStyle w:val="164"/>
        <w:spacing w:line="360" w:lineRule="auto"/>
      </w:pPr>
      <w:r>
        <w:rPr>
          <w:rFonts w:hint="eastAsia"/>
        </w:rPr>
        <w:t>住院期间未完成的关键评估内容，应在出院前明确补充计划和责任人。</w:t>
      </w:r>
    </w:p>
    <w:p w14:paraId="09DEEF55">
      <w:pPr>
        <w:pStyle w:val="105"/>
        <w:spacing w:before="120" w:after="120" w:line="360" w:lineRule="auto"/>
      </w:pPr>
      <w:r>
        <w:rPr>
          <w:rFonts w:hint="eastAsia"/>
        </w:rPr>
        <w:t>出院准备与出院管理</w:t>
      </w:r>
    </w:p>
    <w:p w14:paraId="67FEA3D6">
      <w:pPr>
        <w:pStyle w:val="65"/>
        <w:spacing w:before="120" w:after="120" w:line="360" w:lineRule="auto"/>
      </w:pPr>
      <w:r>
        <w:rPr>
          <w:rFonts w:hint="eastAsia"/>
        </w:rPr>
        <w:t>一般要求</w:t>
      </w:r>
    </w:p>
    <w:p w14:paraId="6C9AA640">
      <w:pPr>
        <w:pStyle w:val="164"/>
        <w:spacing w:line="360" w:lineRule="auto"/>
      </w:pPr>
      <w:r>
        <w:rPr>
          <w:rFonts w:hint="eastAsia"/>
        </w:rPr>
        <w:t>房颤患者出院前，应完成出院准备管理。</w:t>
      </w:r>
    </w:p>
    <w:p w14:paraId="1408BAE5">
      <w:pPr>
        <w:pStyle w:val="164"/>
        <w:spacing w:line="360" w:lineRule="auto"/>
      </w:pPr>
      <w:r>
        <w:rPr>
          <w:rFonts w:hint="eastAsia"/>
        </w:rPr>
        <w:t>出院准备应以治疗连续性、风险连续性和管理连续性为核心。</w:t>
      </w:r>
    </w:p>
    <w:p w14:paraId="68D68617">
      <w:pPr>
        <w:pStyle w:val="164"/>
        <w:spacing w:line="360" w:lineRule="auto"/>
      </w:pPr>
      <w:r>
        <w:rPr>
          <w:rFonts w:hint="eastAsia"/>
        </w:rPr>
        <w:t>未完成关键出院准备内容的，不得简单出院而不作书面安排。</w:t>
      </w:r>
    </w:p>
    <w:p w14:paraId="0C004427">
      <w:pPr>
        <w:pStyle w:val="65"/>
        <w:spacing w:before="120" w:after="120" w:line="360" w:lineRule="auto"/>
      </w:pPr>
      <w:r>
        <w:rPr>
          <w:rFonts w:hint="eastAsia"/>
        </w:rPr>
        <w:t>出院前评估</w:t>
      </w:r>
    </w:p>
    <w:p w14:paraId="0A7A9F4D">
      <w:pPr>
        <w:pStyle w:val="56"/>
        <w:spacing w:line="360" w:lineRule="auto"/>
        <w:ind w:firstLine="420"/>
      </w:pPr>
      <w:r>
        <w:rPr>
          <w:rFonts w:hint="eastAsia"/>
        </w:rPr>
        <w:t>出院前应评估下列内容：</w:t>
      </w:r>
    </w:p>
    <w:p w14:paraId="6133C5DF">
      <w:pPr>
        <w:pStyle w:val="56"/>
        <w:spacing w:line="360" w:lineRule="auto"/>
        <w:ind w:firstLine="420"/>
      </w:pPr>
      <w:r>
        <w:rPr>
          <w:rFonts w:hint="eastAsia"/>
        </w:rPr>
        <w:t>a）当前节律状态；</w:t>
      </w:r>
    </w:p>
    <w:p w14:paraId="1A3AF4A6">
      <w:pPr>
        <w:pStyle w:val="56"/>
        <w:spacing w:line="360" w:lineRule="auto"/>
        <w:ind w:firstLine="420"/>
      </w:pPr>
      <w:r>
        <w:rPr>
          <w:rFonts w:hint="eastAsia"/>
        </w:rPr>
        <w:t>b）当前心率控制状态；</w:t>
      </w:r>
    </w:p>
    <w:p w14:paraId="62C848B6">
      <w:pPr>
        <w:pStyle w:val="56"/>
        <w:spacing w:line="360" w:lineRule="auto"/>
        <w:ind w:firstLine="420"/>
      </w:pPr>
      <w:r>
        <w:rPr>
          <w:rFonts w:hint="eastAsia"/>
        </w:rPr>
        <w:t>c）抗凝方案是否明确；</w:t>
      </w:r>
    </w:p>
    <w:p w14:paraId="389A681A">
      <w:pPr>
        <w:pStyle w:val="56"/>
        <w:spacing w:line="360" w:lineRule="auto"/>
        <w:ind w:firstLine="420"/>
      </w:pPr>
      <w:r>
        <w:rPr>
          <w:rFonts w:hint="eastAsia"/>
        </w:rPr>
        <w:t>d）用药耐受性和依从性风险；</w:t>
      </w:r>
    </w:p>
    <w:p w14:paraId="16987C33">
      <w:pPr>
        <w:pStyle w:val="56"/>
        <w:spacing w:line="360" w:lineRule="auto"/>
        <w:ind w:firstLine="420"/>
      </w:pPr>
      <w:r>
        <w:rPr>
          <w:rFonts w:hint="eastAsia"/>
        </w:rPr>
        <w:t>e）近期出血或者栓塞风险；</w:t>
      </w:r>
    </w:p>
    <w:p w14:paraId="72E16054">
      <w:pPr>
        <w:pStyle w:val="56"/>
        <w:spacing w:line="360" w:lineRule="auto"/>
        <w:ind w:firstLine="420"/>
      </w:pPr>
      <w:r>
        <w:rPr>
          <w:rFonts w:hint="eastAsia"/>
        </w:rPr>
        <w:t>f）合并疾病控制状态；</w:t>
      </w:r>
    </w:p>
    <w:p w14:paraId="4B39725F">
      <w:pPr>
        <w:pStyle w:val="56"/>
        <w:spacing w:line="360" w:lineRule="auto"/>
        <w:ind w:firstLine="420"/>
      </w:pPr>
      <w:r>
        <w:rPr>
          <w:rFonts w:hint="eastAsia"/>
        </w:rPr>
        <w:t>g）患者及照护者对管理要求的理解程度；</w:t>
      </w:r>
    </w:p>
    <w:p w14:paraId="6DC1032A">
      <w:pPr>
        <w:pStyle w:val="56"/>
        <w:spacing w:line="360" w:lineRule="auto"/>
        <w:ind w:firstLine="420"/>
      </w:pPr>
      <w:r>
        <w:rPr>
          <w:rFonts w:hint="eastAsia"/>
        </w:rPr>
        <w:t>h）复诊与随访条件。</w:t>
      </w:r>
    </w:p>
    <w:p w14:paraId="3631D415">
      <w:pPr>
        <w:pStyle w:val="65"/>
        <w:spacing w:before="120" w:after="120" w:line="360" w:lineRule="auto"/>
      </w:pPr>
      <w:r>
        <w:rPr>
          <w:rFonts w:hint="eastAsia"/>
        </w:rPr>
        <w:t>出院医嘱与交接要求</w:t>
      </w:r>
    </w:p>
    <w:p w14:paraId="524685F2">
      <w:pPr>
        <w:pStyle w:val="164"/>
        <w:spacing w:line="360" w:lineRule="auto"/>
      </w:pPr>
      <w:r>
        <w:rPr>
          <w:rFonts w:hint="eastAsia"/>
        </w:rPr>
        <w:t>出院医嘱应明确下列内容：</w:t>
      </w:r>
    </w:p>
    <w:p w14:paraId="4D42418C">
      <w:pPr>
        <w:pStyle w:val="56"/>
        <w:spacing w:line="360" w:lineRule="auto"/>
        <w:ind w:firstLine="420"/>
      </w:pPr>
      <w:r>
        <w:rPr>
          <w:rFonts w:hint="eastAsia"/>
        </w:rPr>
        <w:t>a）诊断和分型；</w:t>
      </w:r>
    </w:p>
    <w:p w14:paraId="01D97932">
      <w:pPr>
        <w:pStyle w:val="56"/>
        <w:spacing w:line="360" w:lineRule="auto"/>
        <w:ind w:firstLine="420"/>
      </w:pPr>
      <w:r>
        <w:rPr>
          <w:rFonts w:hint="eastAsia"/>
        </w:rPr>
        <w:t>b）抗凝药物名称、剂量和注意事项；</w:t>
      </w:r>
    </w:p>
    <w:p w14:paraId="0F0B24C5">
      <w:pPr>
        <w:pStyle w:val="56"/>
        <w:spacing w:line="360" w:lineRule="auto"/>
        <w:ind w:firstLine="420"/>
      </w:pPr>
      <w:r>
        <w:rPr>
          <w:rFonts w:hint="eastAsia"/>
        </w:rPr>
        <w:t>c）控率或者控律药物方案；</w:t>
      </w:r>
    </w:p>
    <w:p w14:paraId="398E567C">
      <w:pPr>
        <w:pStyle w:val="56"/>
        <w:spacing w:line="360" w:lineRule="auto"/>
        <w:ind w:firstLine="420"/>
      </w:pPr>
      <w:r>
        <w:rPr>
          <w:rFonts w:hint="eastAsia"/>
        </w:rPr>
        <w:t>d）是否需继续观察复发风险；</w:t>
      </w:r>
    </w:p>
    <w:p w14:paraId="2498B761">
      <w:pPr>
        <w:pStyle w:val="56"/>
        <w:spacing w:line="360" w:lineRule="auto"/>
        <w:ind w:firstLine="420"/>
      </w:pPr>
      <w:r>
        <w:rPr>
          <w:rFonts w:hint="eastAsia"/>
        </w:rPr>
        <w:t>e）合并疾病管理要求；</w:t>
      </w:r>
    </w:p>
    <w:p w14:paraId="11BFC009">
      <w:pPr>
        <w:pStyle w:val="56"/>
        <w:spacing w:line="360" w:lineRule="auto"/>
        <w:ind w:firstLine="420"/>
      </w:pPr>
      <w:r>
        <w:rPr>
          <w:rFonts w:hint="eastAsia"/>
        </w:rPr>
        <w:t>f）复诊时间和复查项目；</w:t>
      </w:r>
    </w:p>
    <w:p w14:paraId="0436CACD">
      <w:pPr>
        <w:pStyle w:val="56"/>
        <w:spacing w:line="360" w:lineRule="auto"/>
        <w:ind w:firstLine="420"/>
      </w:pPr>
      <w:r>
        <w:rPr>
          <w:rFonts w:hint="eastAsia"/>
        </w:rPr>
        <w:t>g）紧急就诊提示；</w:t>
      </w:r>
    </w:p>
    <w:p w14:paraId="2D14FA4F">
      <w:pPr>
        <w:pStyle w:val="56"/>
        <w:spacing w:line="360" w:lineRule="auto"/>
        <w:ind w:firstLine="420"/>
      </w:pPr>
      <w:r>
        <w:rPr>
          <w:rFonts w:hint="eastAsia"/>
        </w:rPr>
        <w:t>h）生活方式干预要求。</w:t>
      </w:r>
    </w:p>
    <w:p w14:paraId="0446C530">
      <w:pPr>
        <w:pStyle w:val="164"/>
        <w:spacing w:line="360" w:lineRule="auto"/>
      </w:pPr>
      <w:r>
        <w:rPr>
          <w:rFonts w:hint="eastAsia"/>
        </w:rPr>
        <w:t>出院交接应重点明确抗凝状态、最近一次风险评估结果、近期治疗调整情况和下次复评时间。</w:t>
      </w:r>
    </w:p>
    <w:p w14:paraId="7DCD0673">
      <w:pPr>
        <w:pStyle w:val="164"/>
        <w:spacing w:line="360" w:lineRule="auto"/>
      </w:pPr>
      <w:r>
        <w:rPr>
          <w:rFonts w:hint="eastAsia"/>
        </w:rPr>
        <w:t>对转入基层管理、康复管理或者长期慢病管理的患者，应进行书面交接或者信息化交接。</w:t>
      </w:r>
    </w:p>
    <w:p w14:paraId="72865A12">
      <w:pPr>
        <w:pStyle w:val="105"/>
        <w:spacing w:before="120" w:after="120" w:line="360" w:lineRule="auto"/>
      </w:pPr>
      <w:r>
        <w:rPr>
          <w:rFonts w:hint="eastAsia"/>
        </w:rPr>
        <w:t>随访管理</w:t>
      </w:r>
    </w:p>
    <w:p w14:paraId="0DAE2713">
      <w:pPr>
        <w:pStyle w:val="65"/>
        <w:spacing w:before="120" w:after="120" w:line="360" w:lineRule="auto"/>
      </w:pPr>
      <w:r>
        <w:rPr>
          <w:rFonts w:hint="eastAsia"/>
        </w:rPr>
        <w:t>一般要求</w:t>
      </w:r>
    </w:p>
    <w:p w14:paraId="28757163">
      <w:pPr>
        <w:pStyle w:val="164"/>
        <w:spacing w:line="360" w:lineRule="auto"/>
      </w:pPr>
      <w:r>
        <w:rPr>
          <w:rFonts w:hint="eastAsia"/>
        </w:rPr>
        <w:t>房颤患者出院后或者门诊长期管理期间，应纳入规范随访路径。</w:t>
      </w:r>
    </w:p>
    <w:p w14:paraId="536A6F76">
      <w:pPr>
        <w:pStyle w:val="164"/>
        <w:spacing w:line="360" w:lineRule="auto"/>
      </w:pPr>
      <w:r>
        <w:rPr>
          <w:rFonts w:hint="eastAsia"/>
        </w:rPr>
        <w:t>随访管理应根据卒中风险、出血风险、症状负担、治疗方式、复发风险和依从性状况分层实施。</w:t>
      </w:r>
    </w:p>
    <w:p w14:paraId="62BF6BBB">
      <w:pPr>
        <w:pStyle w:val="164"/>
        <w:spacing w:line="360" w:lineRule="auto"/>
      </w:pPr>
      <w:r>
        <w:rPr>
          <w:rFonts w:hint="eastAsia"/>
        </w:rPr>
        <w:t>随访可采用门诊随访、电话随访、信息化随访或者多种方式结合实施，但不得以远程随访完全替代必要的线下复评。</w:t>
      </w:r>
    </w:p>
    <w:p w14:paraId="3E020E94">
      <w:pPr>
        <w:pStyle w:val="65"/>
        <w:spacing w:before="120" w:after="120" w:line="360" w:lineRule="auto"/>
      </w:pPr>
      <w:r>
        <w:rPr>
          <w:rFonts w:hint="eastAsia"/>
        </w:rPr>
        <w:t>随访内容</w:t>
      </w:r>
    </w:p>
    <w:p w14:paraId="4F8A189A">
      <w:pPr>
        <w:pStyle w:val="164"/>
        <w:spacing w:line="360" w:lineRule="auto"/>
      </w:pPr>
      <w:r>
        <w:rPr>
          <w:rFonts w:hint="eastAsia"/>
        </w:rPr>
        <w:t>随访宜至少包括下列内容：</w:t>
      </w:r>
    </w:p>
    <w:p w14:paraId="29A187B3">
      <w:pPr>
        <w:pStyle w:val="56"/>
        <w:spacing w:line="360" w:lineRule="auto"/>
        <w:ind w:firstLine="420"/>
      </w:pPr>
      <w:r>
        <w:rPr>
          <w:rFonts w:hint="eastAsia"/>
        </w:rPr>
        <w:t>a）症状变化；</w:t>
      </w:r>
    </w:p>
    <w:p w14:paraId="34DF9A58">
      <w:pPr>
        <w:pStyle w:val="56"/>
        <w:spacing w:line="360" w:lineRule="auto"/>
        <w:ind w:firstLine="420"/>
      </w:pPr>
      <w:r>
        <w:rPr>
          <w:rFonts w:hint="eastAsia"/>
        </w:rPr>
        <w:t>b）心率或者节律变化；</w:t>
      </w:r>
    </w:p>
    <w:p w14:paraId="01310447">
      <w:pPr>
        <w:pStyle w:val="56"/>
        <w:spacing w:line="360" w:lineRule="auto"/>
        <w:ind w:firstLine="420"/>
      </w:pPr>
      <w:r>
        <w:rPr>
          <w:rFonts w:hint="eastAsia"/>
        </w:rPr>
        <w:t>c）抗凝依从性；</w:t>
      </w:r>
    </w:p>
    <w:p w14:paraId="507DD742">
      <w:pPr>
        <w:pStyle w:val="56"/>
        <w:spacing w:line="360" w:lineRule="auto"/>
        <w:ind w:firstLine="420"/>
      </w:pPr>
      <w:r>
        <w:rPr>
          <w:rFonts w:hint="eastAsia"/>
        </w:rPr>
        <w:t>d）出血事件和栓塞事件；</w:t>
      </w:r>
    </w:p>
    <w:p w14:paraId="06B7D30D">
      <w:pPr>
        <w:pStyle w:val="56"/>
        <w:spacing w:line="360" w:lineRule="auto"/>
        <w:ind w:firstLine="420"/>
      </w:pPr>
      <w:r>
        <w:rPr>
          <w:rFonts w:hint="eastAsia"/>
        </w:rPr>
        <w:t>e）药物不良反应；</w:t>
      </w:r>
    </w:p>
    <w:p w14:paraId="55285105">
      <w:pPr>
        <w:pStyle w:val="56"/>
        <w:spacing w:line="360" w:lineRule="auto"/>
        <w:ind w:firstLine="420"/>
      </w:pPr>
      <w:r>
        <w:rPr>
          <w:rFonts w:hint="eastAsia"/>
        </w:rPr>
        <w:t>f）合并疾病控制情况；</w:t>
      </w:r>
    </w:p>
    <w:p w14:paraId="06B9089B">
      <w:pPr>
        <w:pStyle w:val="56"/>
        <w:spacing w:line="360" w:lineRule="auto"/>
        <w:ind w:firstLine="420"/>
      </w:pPr>
      <w:r>
        <w:rPr>
          <w:rFonts w:hint="eastAsia"/>
        </w:rPr>
        <w:t>g）体重、血压和生活方式变化；</w:t>
      </w:r>
    </w:p>
    <w:p w14:paraId="038BE958">
      <w:pPr>
        <w:pStyle w:val="56"/>
        <w:spacing w:line="360" w:lineRule="auto"/>
        <w:ind w:firstLine="420"/>
      </w:pPr>
      <w:r>
        <w:rPr>
          <w:rFonts w:hint="eastAsia"/>
        </w:rPr>
        <w:t>h）复发情况和住院情况；</w:t>
      </w:r>
    </w:p>
    <w:p w14:paraId="1B8AE1B2">
      <w:pPr>
        <w:pStyle w:val="56"/>
        <w:spacing w:line="360" w:lineRule="auto"/>
        <w:ind w:firstLine="420"/>
      </w:pPr>
      <w:r>
        <w:rPr>
          <w:rFonts w:hint="eastAsia"/>
        </w:rPr>
        <w:t>i）患者疑问和教育需求。</w:t>
      </w:r>
    </w:p>
    <w:p w14:paraId="57BC4044">
      <w:pPr>
        <w:pStyle w:val="164"/>
        <w:spacing w:line="360" w:lineRule="auto"/>
      </w:pPr>
      <w:r>
        <w:rPr>
          <w:rFonts w:hint="eastAsia"/>
        </w:rPr>
        <w:t>对接受导管消融、电复律、左心耳封堵或者其他侵入性治疗的患者，应增加专项随访内容。</w:t>
      </w:r>
    </w:p>
    <w:p w14:paraId="7E71AC7D">
      <w:pPr>
        <w:pStyle w:val="65"/>
        <w:spacing w:before="120" w:after="120" w:line="360" w:lineRule="auto"/>
      </w:pPr>
      <w:r>
        <w:rPr>
          <w:rFonts w:hint="eastAsia"/>
        </w:rPr>
        <w:t>随访频率</w:t>
      </w:r>
    </w:p>
    <w:p w14:paraId="32A953C8">
      <w:pPr>
        <w:pStyle w:val="164"/>
        <w:spacing w:line="360" w:lineRule="auto"/>
      </w:pPr>
      <w:r>
        <w:rPr>
          <w:rFonts w:hint="eastAsia"/>
        </w:rPr>
        <w:t>随访频率应根据风险等级和管理场景确定。</w:t>
      </w:r>
    </w:p>
    <w:p w14:paraId="0C0D6390">
      <w:pPr>
        <w:pStyle w:val="164"/>
        <w:spacing w:line="360" w:lineRule="auto"/>
      </w:pPr>
      <w:r>
        <w:rPr>
          <w:rFonts w:hint="eastAsia"/>
        </w:rPr>
        <w:t>下列患者宜增加随访频率：</w:t>
      </w:r>
    </w:p>
    <w:p w14:paraId="087AC336">
      <w:pPr>
        <w:pStyle w:val="56"/>
        <w:spacing w:line="360" w:lineRule="auto"/>
        <w:ind w:firstLine="420"/>
      </w:pPr>
      <w:r>
        <w:rPr>
          <w:rFonts w:hint="eastAsia"/>
        </w:rPr>
        <w:t>a）新近启动抗凝治疗者；</w:t>
      </w:r>
    </w:p>
    <w:p w14:paraId="689F9354">
      <w:pPr>
        <w:pStyle w:val="56"/>
        <w:spacing w:line="360" w:lineRule="auto"/>
        <w:ind w:firstLine="420"/>
      </w:pPr>
      <w:r>
        <w:rPr>
          <w:rFonts w:hint="eastAsia"/>
        </w:rPr>
        <w:t>b）近期发生出血或者栓塞事件者；</w:t>
      </w:r>
    </w:p>
    <w:p w14:paraId="4CE3FDDE">
      <w:pPr>
        <w:pStyle w:val="56"/>
        <w:spacing w:line="360" w:lineRule="auto"/>
        <w:ind w:firstLine="420"/>
      </w:pPr>
      <w:r>
        <w:rPr>
          <w:rFonts w:hint="eastAsia"/>
        </w:rPr>
        <w:t>c）近期调整控率或者控律方案者；</w:t>
      </w:r>
    </w:p>
    <w:p w14:paraId="618F0D41">
      <w:pPr>
        <w:pStyle w:val="56"/>
        <w:spacing w:line="360" w:lineRule="auto"/>
        <w:ind w:firstLine="420"/>
      </w:pPr>
      <w:r>
        <w:rPr>
          <w:rFonts w:hint="eastAsia"/>
        </w:rPr>
        <w:t>d）近期接受介入治疗者；</w:t>
      </w:r>
    </w:p>
    <w:p w14:paraId="47FC6E20">
      <w:pPr>
        <w:pStyle w:val="56"/>
        <w:spacing w:line="360" w:lineRule="auto"/>
        <w:ind w:firstLine="420"/>
      </w:pPr>
      <w:r>
        <w:rPr>
          <w:rFonts w:hint="eastAsia"/>
        </w:rPr>
        <w:t>e）高龄、衰弱或者依从性差者；</w:t>
      </w:r>
    </w:p>
    <w:p w14:paraId="40B494B9">
      <w:pPr>
        <w:pStyle w:val="56"/>
        <w:spacing w:line="360" w:lineRule="auto"/>
        <w:ind w:firstLine="420"/>
      </w:pPr>
      <w:r>
        <w:rPr>
          <w:rFonts w:hint="eastAsia"/>
        </w:rPr>
        <w:t>f）合并多病且病情波动明显者。</w:t>
      </w:r>
    </w:p>
    <w:p w14:paraId="07A4D050">
      <w:pPr>
        <w:pStyle w:val="164"/>
        <w:spacing w:line="360" w:lineRule="auto"/>
      </w:pPr>
      <w:r>
        <w:rPr>
          <w:rFonts w:hint="eastAsia"/>
        </w:rPr>
        <w:t>长期稳定患者可按规定适当延长复评间隔，但不得取消动态复评。</w:t>
      </w:r>
    </w:p>
    <w:p w14:paraId="6E0F3659">
      <w:pPr>
        <w:pStyle w:val="105"/>
        <w:spacing w:before="120" w:after="120" w:line="360" w:lineRule="auto"/>
      </w:pPr>
      <w:r>
        <w:rPr>
          <w:rFonts w:hint="eastAsia"/>
        </w:rPr>
        <w:t>动态复评</w:t>
      </w:r>
    </w:p>
    <w:p w14:paraId="7D0DEA55">
      <w:pPr>
        <w:pStyle w:val="65"/>
        <w:spacing w:before="120" w:after="120" w:line="360" w:lineRule="auto"/>
      </w:pPr>
      <w:r>
        <w:rPr>
          <w:rFonts w:hint="eastAsia"/>
        </w:rPr>
        <w:t>一般要求</w:t>
      </w:r>
    </w:p>
    <w:p w14:paraId="520C5007">
      <w:pPr>
        <w:pStyle w:val="164"/>
        <w:spacing w:line="360" w:lineRule="auto"/>
      </w:pPr>
      <w:r>
        <w:rPr>
          <w:rFonts w:hint="eastAsia"/>
        </w:rPr>
        <w:t>房颤患者在随访过程中应进行动态复评。</w:t>
      </w:r>
    </w:p>
    <w:p w14:paraId="3556D920">
      <w:pPr>
        <w:pStyle w:val="164"/>
        <w:spacing w:line="360" w:lineRule="auto"/>
      </w:pPr>
      <w:r>
        <w:rPr>
          <w:rFonts w:hint="eastAsia"/>
        </w:rPr>
        <w:t>动态复评应重点关注卒中风险变化、出血风险变化、房颤负担变化、症状变化、心功能变化和治疗目标变化。</w:t>
      </w:r>
    </w:p>
    <w:p w14:paraId="71630754">
      <w:pPr>
        <w:pStyle w:val="164"/>
        <w:spacing w:line="360" w:lineRule="auto"/>
      </w:pPr>
      <w:r>
        <w:rPr>
          <w:rFonts w:hint="eastAsia"/>
        </w:rPr>
        <w:t>动态复评结果应作为路径调整、治疗调整和管理强度调整的重要依据。</w:t>
      </w:r>
    </w:p>
    <w:p w14:paraId="19111F49">
      <w:pPr>
        <w:pStyle w:val="65"/>
        <w:spacing w:before="120" w:after="120" w:line="360" w:lineRule="auto"/>
      </w:pPr>
      <w:r>
        <w:rPr>
          <w:rFonts w:hint="eastAsia"/>
        </w:rPr>
        <w:t>复评触发条件</w:t>
      </w:r>
    </w:p>
    <w:p w14:paraId="680A9969">
      <w:pPr>
        <w:pStyle w:val="164"/>
        <w:spacing w:line="360" w:lineRule="auto"/>
      </w:pPr>
      <w:r>
        <w:rPr>
          <w:rFonts w:hint="eastAsia"/>
        </w:rPr>
        <w:t>下列情形之一应触发路径复评：</w:t>
      </w:r>
    </w:p>
    <w:p w14:paraId="4013A7B4">
      <w:pPr>
        <w:pStyle w:val="56"/>
        <w:spacing w:line="360" w:lineRule="auto"/>
        <w:ind w:firstLine="420"/>
      </w:pPr>
      <w:r>
        <w:rPr>
          <w:rFonts w:hint="eastAsia"/>
        </w:rPr>
        <w:t>a）发生卒中、短暂性脑缺血发作或者系统性栓塞；</w:t>
      </w:r>
    </w:p>
    <w:p w14:paraId="4D157A55">
      <w:pPr>
        <w:pStyle w:val="56"/>
        <w:spacing w:line="360" w:lineRule="auto"/>
        <w:ind w:firstLine="420"/>
      </w:pPr>
      <w:r>
        <w:rPr>
          <w:rFonts w:hint="eastAsia"/>
        </w:rPr>
        <w:t>b）发生出血事件；</w:t>
      </w:r>
    </w:p>
    <w:p w14:paraId="4C02F5D4">
      <w:pPr>
        <w:pStyle w:val="56"/>
        <w:spacing w:line="360" w:lineRule="auto"/>
        <w:ind w:firstLine="420"/>
      </w:pPr>
      <w:r>
        <w:rPr>
          <w:rFonts w:hint="eastAsia"/>
        </w:rPr>
        <w:t>c）房颤症状明显加重；</w:t>
      </w:r>
    </w:p>
    <w:p w14:paraId="289DB5E3">
      <w:pPr>
        <w:pStyle w:val="56"/>
        <w:spacing w:line="360" w:lineRule="auto"/>
        <w:ind w:firstLine="420"/>
      </w:pPr>
      <w:r>
        <w:rPr>
          <w:rFonts w:hint="eastAsia"/>
        </w:rPr>
        <w:t>d）心功能恶化；</w:t>
      </w:r>
    </w:p>
    <w:p w14:paraId="45578035">
      <w:pPr>
        <w:pStyle w:val="56"/>
        <w:spacing w:line="360" w:lineRule="auto"/>
        <w:ind w:firstLine="420"/>
      </w:pPr>
      <w:r>
        <w:rPr>
          <w:rFonts w:hint="eastAsia"/>
        </w:rPr>
        <w:t>e）药物调整或者停药；</w:t>
      </w:r>
    </w:p>
    <w:p w14:paraId="48DE5AAE">
      <w:pPr>
        <w:pStyle w:val="56"/>
        <w:spacing w:line="360" w:lineRule="auto"/>
        <w:ind w:firstLine="420"/>
      </w:pPr>
      <w:r>
        <w:rPr>
          <w:rFonts w:hint="eastAsia"/>
        </w:rPr>
        <w:t>f）介入治疗后状态变化；</w:t>
      </w:r>
    </w:p>
    <w:p w14:paraId="15498E7E">
      <w:pPr>
        <w:pStyle w:val="56"/>
        <w:spacing w:line="360" w:lineRule="auto"/>
        <w:ind w:firstLine="420"/>
      </w:pPr>
      <w:r>
        <w:rPr>
          <w:rFonts w:hint="eastAsia"/>
        </w:rPr>
        <w:t>g）合并疾病明显变化；</w:t>
      </w:r>
    </w:p>
    <w:p w14:paraId="41EC43FA">
      <w:pPr>
        <w:pStyle w:val="56"/>
        <w:spacing w:line="360" w:lineRule="auto"/>
        <w:ind w:firstLine="420"/>
      </w:pPr>
      <w:r>
        <w:rPr>
          <w:rFonts w:hint="eastAsia"/>
        </w:rPr>
        <w:t>h）患者依从性显著下降；</w:t>
      </w:r>
    </w:p>
    <w:p w14:paraId="603B71B6">
      <w:pPr>
        <w:pStyle w:val="56"/>
        <w:spacing w:line="360" w:lineRule="auto"/>
        <w:ind w:firstLine="420"/>
      </w:pPr>
      <w:r>
        <w:rPr>
          <w:rFonts w:hint="eastAsia"/>
        </w:rPr>
        <w:t>i）反复急诊或者住院。</w:t>
      </w:r>
    </w:p>
    <w:p w14:paraId="3245CD53">
      <w:pPr>
        <w:pStyle w:val="164"/>
        <w:spacing w:line="360" w:lineRule="auto"/>
      </w:pPr>
      <w:r>
        <w:rPr>
          <w:rFonts w:hint="eastAsia"/>
        </w:rPr>
        <w:t>复评后应明确是否调整抗凝策略、控率控律策略、随访频率和协作模式。</w:t>
      </w:r>
    </w:p>
    <w:p w14:paraId="0798A779">
      <w:pPr>
        <w:pStyle w:val="164"/>
        <w:numPr>
          <w:ilvl w:val="0"/>
          <w:numId w:val="0"/>
        </w:numPr>
        <w:spacing w:line="360" w:lineRule="auto"/>
        <w:rPr>
          <w:rFonts w:hint="eastAsia"/>
        </w:rPr>
      </w:pPr>
    </w:p>
    <w:p w14:paraId="4E153E61">
      <w:pPr>
        <w:pStyle w:val="105"/>
        <w:spacing w:before="120" w:after="120" w:line="360" w:lineRule="auto"/>
      </w:pPr>
      <w:r>
        <w:rPr>
          <w:rFonts w:hint="eastAsia"/>
        </w:rPr>
        <w:t>患者教育与依从性管理</w:t>
      </w:r>
    </w:p>
    <w:p w14:paraId="28709B2C">
      <w:pPr>
        <w:pStyle w:val="65"/>
        <w:spacing w:before="120" w:after="120" w:line="360" w:lineRule="auto"/>
      </w:pPr>
      <w:r>
        <w:rPr>
          <w:rFonts w:hint="eastAsia"/>
        </w:rPr>
        <w:t>一般要求</w:t>
      </w:r>
    </w:p>
    <w:p w14:paraId="58155BC7">
      <w:pPr>
        <w:pStyle w:val="164"/>
        <w:spacing w:line="360" w:lineRule="auto"/>
      </w:pPr>
      <w:r>
        <w:rPr>
          <w:rFonts w:hint="eastAsia"/>
        </w:rPr>
        <w:t>围术期与随访路径中应持续实施患者教育。</w:t>
      </w:r>
    </w:p>
    <w:p w14:paraId="2186AA99">
      <w:pPr>
        <w:pStyle w:val="164"/>
        <w:spacing w:line="360" w:lineRule="auto"/>
      </w:pPr>
      <w:r>
        <w:rPr>
          <w:rFonts w:hint="eastAsia"/>
        </w:rPr>
        <w:t>教育内容应根据治疗阶段和路径节点动态调整。</w:t>
      </w:r>
    </w:p>
    <w:p w14:paraId="56859837">
      <w:pPr>
        <w:pStyle w:val="65"/>
        <w:spacing w:before="120" w:after="120" w:line="360" w:lineRule="auto"/>
      </w:pPr>
      <w:r>
        <w:rPr>
          <w:rFonts w:hint="eastAsia"/>
        </w:rPr>
        <w:t>重点教育内容</w:t>
      </w:r>
    </w:p>
    <w:p w14:paraId="0A116BD6">
      <w:pPr>
        <w:pStyle w:val="164"/>
        <w:spacing w:line="360" w:lineRule="auto"/>
      </w:pPr>
      <w:r>
        <w:rPr>
          <w:rFonts w:hint="eastAsia"/>
        </w:rPr>
        <w:t>宜重点开展下列教育：</w:t>
      </w:r>
    </w:p>
    <w:p w14:paraId="051698D9">
      <w:pPr>
        <w:pStyle w:val="56"/>
        <w:spacing w:line="360" w:lineRule="auto"/>
        <w:ind w:firstLine="420"/>
      </w:pPr>
      <w:r>
        <w:rPr>
          <w:rFonts w:hint="eastAsia"/>
        </w:rPr>
        <w:t>a）抗凝药物规范使用；</w:t>
      </w:r>
    </w:p>
    <w:p w14:paraId="4EF27182">
      <w:pPr>
        <w:pStyle w:val="56"/>
        <w:spacing w:line="360" w:lineRule="auto"/>
        <w:ind w:firstLine="420"/>
      </w:pPr>
      <w:r>
        <w:rPr>
          <w:rFonts w:hint="eastAsia"/>
        </w:rPr>
        <w:t>b）出血警示信号识别；</w:t>
      </w:r>
    </w:p>
    <w:p w14:paraId="45F9564D">
      <w:pPr>
        <w:pStyle w:val="56"/>
        <w:spacing w:line="360" w:lineRule="auto"/>
        <w:ind w:firstLine="420"/>
      </w:pPr>
      <w:r>
        <w:rPr>
          <w:rFonts w:hint="eastAsia"/>
        </w:rPr>
        <w:t>c）卒中警示信号识别；</w:t>
      </w:r>
    </w:p>
    <w:p w14:paraId="0970AC28">
      <w:pPr>
        <w:pStyle w:val="56"/>
        <w:spacing w:line="360" w:lineRule="auto"/>
        <w:ind w:firstLine="420"/>
      </w:pPr>
      <w:r>
        <w:rPr>
          <w:rFonts w:hint="eastAsia"/>
        </w:rPr>
        <w:t>d）复发症状识别；</w:t>
      </w:r>
    </w:p>
    <w:p w14:paraId="42892863">
      <w:pPr>
        <w:pStyle w:val="56"/>
        <w:spacing w:line="360" w:lineRule="auto"/>
        <w:ind w:firstLine="420"/>
      </w:pPr>
      <w:r>
        <w:rPr>
          <w:rFonts w:hint="eastAsia"/>
        </w:rPr>
        <w:t>e）复诊复查要求；</w:t>
      </w:r>
    </w:p>
    <w:p w14:paraId="22DF3E1A">
      <w:pPr>
        <w:pStyle w:val="56"/>
        <w:spacing w:line="360" w:lineRule="auto"/>
        <w:ind w:firstLine="420"/>
      </w:pPr>
      <w:r>
        <w:rPr>
          <w:rFonts w:hint="eastAsia"/>
        </w:rPr>
        <w:t>f）戒烟限酒、控制体重、规律运动和睡眠管理；</w:t>
      </w:r>
    </w:p>
    <w:p w14:paraId="3A39D362">
      <w:pPr>
        <w:pStyle w:val="56"/>
        <w:spacing w:line="360" w:lineRule="auto"/>
        <w:ind w:firstLine="420"/>
      </w:pPr>
      <w:r>
        <w:rPr>
          <w:rFonts w:hint="eastAsia"/>
        </w:rPr>
        <w:t>g）围术期停药和恢复用药注意事项。</w:t>
      </w:r>
    </w:p>
    <w:p w14:paraId="60B9042D">
      <w:pPr>
        <w:pStyle w:val="164"/>
        <w:spacing w:line="360" w:lineRule="auto"/>
      </w:pPr>
      <w:r>
        <w:rPr>
          <w:rFonts w:hint="eastAsia"/>
        </w:rPr>
        <w:t>对依从性差或者理解能力受限患者，应增加照护者教育和重复教育。</w:t>
      </w:r>
    </w:p>
    <w:p w14:paraId="623ED979">
      <w:pPr>
        <w:pStyle w:val="105"/>
        <w:spacing w:before="120" w:after="120" w:line="360" w:lineRule="auto"/>
      </w:pPr>
      <w:r>
        <w:rPr>
          <w:rFonts w:hint="eastAsia"/>
        </w:rPr>
        <w:t>记录与交接要求</w:t>
      </w:r>
    </w:p>
    <w:p w14:paraId="036C238C">
      <w:pPr>
        <w:pStyle w:val="165"/>
        <w:spacing w:line="360" w:lineRule="auto"/>
      </w:pPr>
      <w:r>
        <w:rPr>
          <w:rFonts w:hint="eastAsia"/>
        </w:rPr>
        <w:t>围术期管理、出院准备、出院交接、随访实施和动态复评均应形成记录。</w:t>
      </w:r>
    </w:p>
    <w:p w14:paraId="18728B38">
      <w:pPr>
        <w:pStyle w:val="165"/>
        <w:spacing w:line="360" w:lineRule="auto"/>
      </w:pPr>
      <w:r>
        <w:rPr>
          <w:rFonts w:hint="eastAsia"/>
        </w:rPr>
        <w:t>记录应至少包括当前状态、关键决策、药物方案、复评结论、随访安排和教育内容。</w:t>
      </w:r>
    </w:p>
    <w:p w14:paraId="0D0F8DF8">
      <w:pPr>
        <w:pStyle w:val="165"/>
        <w:spacing w:line="360" w:lineRule="auto"/>
      </w:pPr>
      <w:r>
        <w:rPr>
          <w:rFonts w:hint="eastAsia"/>
        </w:rPr>
        <w:t>不同路径节点之间应做到信息衔接不断裂、关键决策不遗漏、后续责任不模糊。</w:t>
      </w:r>
    </w:p>
    <w:p w14:paraId="54A71654">
      <w:pPr>
        <w:pStyle w:val="105"/>
        <w:spacing w:before="120" w:after="120" w:line="360" w:lineRule="auto"/>
      </w:pPr>
      <w:r>
        <w:rPr>
          <w:rFonts w:hint="eastAsia"/>
        </w:rPr>
        <w:t>禁止性要求</w:t>
      </w:r>
    </w:p>
    <w:p w14:paraId="76D3A5D0">
      <w:pPr>
        <w:pStyle w:val="165"/>
        <w:spacing w:line="360" w:lineRule="auto"/>
      </w:pPr>
      <w:r>
        <w:rPr>
          <w:rFonts w:hint="eastAsia"/>
        </w:rPr>
        <w:t>不得在围术期无评估、无记录、无交接地调整抗凝方案。</w:t>
      </w:r>
    </w:p>
    <w:p w14:paraId="300B6329">
      <w:pPr>
        <w:pStyle w:val="165"/>
        <w:spacing w:line="360" w:lineRule="auto"/>
      </w:pPr>
      <w:r>
        <w:rPr>
          <w:rFonts w:hint="eastAsia"/>
        </w:rPr>
        <w:t>不得在出院时仅开具药物而不明确随访安排和教育要求。</w:t>
      </w:r>
    </w:p>
    <w:p w14:paraId="3CEB4B96">
      <w:pPr>
        <w:pStyle w:val="165"/>
        <w:spacing w:line="360" w:lineRule="auto"/>
      </w:pPr>
      <w:r>
        <w:rPr>
          <w:rFonts w:hint="eastAsia"/>
        </w:rPr>
        <w:t>不得对长期稳定患者简单视为“治愈”而停止动态复评。</w:t>
      </w:r>
    </w:p>
    <w:p w14:paraId="35CBD252">
      <w:pPr>
        <w:pStyle w:val="165"/>
        <w:spacing w:line="360" w:lineRule="auto"/>
      </w:pPr>
      <w:r>
        <w:rPr>
          <w:rFonts w:hint="eastAsia"/>
        </w:rPr>
        <w:t>不得对复诊中断、抗凝中断和症状复发患者长期失访而不作追踪。</w:t>
      </w:r>
    </w:p>
    <w:p w14:paraId="0F885955">
      <w:pPr>
        <w:pStyle w:val="165"/>
        <w:spacing w:line="360" w:lineRule="auto"/>
      </w:pPr>
      <w:r>
        <w:rPr>
          <w:rFonts w:hint="eastAsia"/>
        </w:rPr>
        <w:t>不得将住院路径、介入路径和随访路径彼此割裂而缺乏连续管理。</w:t>
      </w:r>
    </w:p>
    <w:p w14:paraId="5D1F529A">
      <w:pPr>
        <w:pStyle w:val="104"/>
        <w:spacing w:before="240" w:after="240" w:line="360" w:lineRule="auto"/>
      </w:pPr>
      <w:bookmarkStart w:id="56" w:name="_Toc228563221"/>
      <w:r>
        <w:rPr>
          <w:rFonts w:hint="eastAsia"/>
        </w:rPr>
        <w:t>质量控制、路径评估与持续改进</w:t>
      </w:r>
      <w:bookmarkEnd w:id="56"/>
    </w:p>
    <w:p w14:paraId="7EAC4F5B">
      <w:pPr>
        <w:pStyle w:val="105"/>
        <w:spacing w:before="120" w:after="120" w:line="360" w:lineRule="auto"/>
      </w:pPr>
      <w:r>
        <w:rPr>
          <w:rFonts w:hint="eastAsia"/>
        </w:rPr>
        <w:t>一般要求</w:t>
      </w:r>
    </w:p>
    <w:p w14:paraId="01294168">
      <w:pPr>
        <w:pStyle w:val="165"/>
        <w:spacing w:line="360" w:lineRule="auto"/>
      </w:pPr>
      <w:r>
        <w:rPr>
          <w:rFonts w:hint="eastAsia"/>
        </w:rPr>
        <w:t>房颤患者整合式管理临床路径应建立质量控制机制。</w:t>
      </w:r>
    </w:p>
    <w:p w14:paraId="03946F2A">
      <w:pPr>
        <w:pStyle w:val="165"/>
        <w:spacing w:line="360" w:lineRule="auto"/>
      </w:pPr>
      <w:r>
        <w:rPr>
          <w:rFonts w:hint="eastAsia"/>
        </w:rPr>
        <w:t>质量控制应覆盖路径启动、风险评估、抗凝管理、控率控律管理、围术期管理、出院交接和随访管理全过程。</w:t>
      </w:r>
    </w:p>
    <w:p w14:paraId="7862A4FD">
      <w:pPr>
        <w:pStyle w:val="165"/>
        <w:spacing w:line="360" w:lineRule="auto"/>
      </w:pPr>
      <w:r>
        <w:rPr>
          <w:rFonts w:hint="eastAsia"/>
        </w:rPr>
        <w:t>质量控制应坚持全过程监测、关键节点抽查、问题闭环整改和持续改进的原则。</w:t>
      </w:r>
    </w:p>
    <w:p w14:paraId="3EC4BC70">
      <w:pPr>
        <w:pStyle w:val="165"/>
        <w:spacing w:line="360" w:lineRule="auto"/>
      </w:pPr>
      <w:r>
        <w:rPr>
          <w:rFonts w:hint="eastAsia"/>
        </w:rPr>
        <w:t>对高风险患者、重点节点和关键决策，应提高质量控制要求。</w:t>
      </w:r>
    </w:p>
    <w:p w14:paraId="1359AF39">
      <w:pPr>
        <w:pStyle w:val="105"/>
        <w:spacing w:before="120" w:after="120" w:line="360" w:lineRule="auto"/>
      </w:pPr>
      <w:r>
        <w:rPr>
          <w:rFonts w:hint="eastAsia"/>
        </w:rPr>
        <w:t>质量控制指标</w:t>
      </w:r>
    </w:p>
    <w:p w14:paraId="27C130DF">
      <w:pPr>
        <w:pStyle w:val="65"/>
        <w:spacing w:before="120" w:after="120" w:line="360" w:lineRule="auto"/>
      </w:pPr>
      <w:r>
        <w:rPr>
          <w:rFonts w:hint="eastAsia"/>
        </w:rPr>
        <w:t>一般要求</w:t>
      </w:r>
    </w:p>
    <w:p w14:paraId="7B649837">
      <w:pPr>
        <w:pStyle w:val="164"/>
        <w:spacing w:line="360" w:lineRule="auto"/>
      </w:pPr>
      <w:r>
        <w:rPr>
          <w:rFonts w:hint="eastAsia"/>
        </w:rPr>
        <w:t>医疗机构宜建立房颤路径质量控制指标体系。</w:t>
      </w:r>
    </w:p>
    <w:p w14:paraId="26FEFD27">
      <w:pPr>
        <w:pStyle w:val="164"/>
        <w:spacing w:line="360" w:lineRule="auto"/>
      </w:pPr>
      <w:r>
        <w:rPr>
          <w:rFonts w:hint="eastAsia"/>
        </w:rPr>
        <w:t>质量控制指标应与路径执行情况、患者结局和管理连续性相结合。</w:t>
      </w:r>
    </w:p>
    <w:p w14:paraId="541A08C2">
      <w:pPr>
        <w:pStyle w:val="65"/>
        <w:spacing w:before="120" w:after="120" w:line="360" w:lineRule="auto"/>
      </w:pPr>
      <w:r>
        <w:rPr>
          <w:rFonts w:hint="eastAsia"/>
        </w:rPr>
        <w:t>指标内容</w:t>
      </w:r>
    </w:p>
    <w:p w14:paraId="6C660591">
      <w:pPr>
        <w:pStyle w:val="164"/>
        <w:spacing w:line="360" w:lineRule="auto"/>
      </w:pPr>
      <w:r>
        <w:rPr>
          <w:rFonts w:hint="eastAsia"/>
        </w:rPr>
        <w:t>质量控制指标宜包括下列内容：</w:t>
      </w:r>
    </w:p>
    <w:p w14:paraId="5F1D20B1">
      <w:pPr>
        <w:pStyle w:val="56"/>
        <w:spacing w:line="360" w:lineRule="auto"/>
        <w:ind w:firstLine="420"/>
      </w:pPr>
      <w:r>
        <w:rPr>
          <w:rFonts w:hint="eastAsia"/>
        </w:rPr>
        <w:t>a）房颤患者卒中风险评估完成率；</w:t>
      </w:r>
    </w:p>
    <w:p w14:paraId="7B7C07DB">
      <w:pPr>
        <w:pStyle w:val="56"/>
        <w:spacing w:line="360" w:lineRule="auto"/>
        <w:ind w:firstLine="420"/>
      </w:pPr>
      <w:r>
        <w:rPr>
          <w:rFonts w:hint="eastAsia"/>
        </w:rPr>
        <w:t>b）房颤患者出血风险评估完成率；</w:t>
      </w:r>
    </w:p>
    <w:p w14:paraId="6046496E">
      <w:pPr>
        <w:pStyle w:val="56"/>
        <w:spacing w:line="360" w:lineRule="auto"/>
        <w:ind w:firstLine="420"/>
      </w:pPr>
      <w:r>
        <w:rPr>
          <w:rFonts w:hint="eastAsia"/>
        </w:rPr>
        <w:t>c）具备抗凝适应证患者抗凝治疗覆盖率；</w:t>
      </w:r>
    </w:p>
    <w:p w14:paraId="037BD7F5">
      <w:pPr>
        <w:pStyle w:val="56"/>
        <w:spacing w:line="360" w:lineRule="auto"/>
        <w:ind w:firstLine="420"/>
      </w:pPr>
      <w:r>
        <w:rPr>
          <w:rFonts w:hint="eastAsia"/>
        </w:rPr>
        <w:t>d）抗凝随访完成率；</w:t>
      </w:r>
    </w:p>
    <w:p w14:paraId="4118810F">
      <w:pPr>
        <w:pStyle w:val="56"/>
        <w:spacing w:line="360" w:lineRule="auto"/>
        <w:ind w:firstLine="420"/>
      </w:pPr>
      <w:r>
        <w:rPr>
          <w:rFonts w:hint="eastAsia"/>
        </w:rPr>
        <w:t>e）控率或者控律策略记录完整率；</w:t>
      </w:r>
    </w:p>
    <w:p w14:paraId="641BF8FC">
      <w:pPr>
        <w:pStyle w:val="56"/>
        <w:spacing w:line="360" w:lineRule="auto"/>
        <w:ind w:firstLine="420"/>
      </w:pPr>
      <w:r>
        <w:rPr>
          <w:rFonts w:hint="eastAsia"/>
        </w:rPr>
        <w:t>f）出院带药和出院教育完成率；</w:t>
      </w:r>
    </w:p>
    <w:p w14:paraId="202BC1E7">
      <w:pPr>
        <w:pStyle w:val="56"/>
        <w:spacing w:line="360" w:lineRule="auto"/>
        <w:ind w:firstLine="420"/>
      </w:pPr>
      <w:r>
        <w:rPr>
          <w:rFonts w:hint="eastAsia"/>
        </w:rPr>
        <w:t>g）出院后首次随访完成率；</w:t>
      </w:r>
    </w:p>
    <w:p w14:paraId="49BA730A">
      <w:pPr>
        <w:pStyle w:val="56"/>
        <w:spacing w:line="360" w:lineRule="auto"/>
        <w:ind w:firstLine="420"/>
      </w:pPr>
      <w:r>
        <w:rPr>
          <w:rFonts w:hint="eastAsia"/>
        </w:rPr>
        <w:t>h）动态复评完成率；</w:t>
      </w:r>
    </w:p>
    <w:p w14:paraId="10DC2259">
      <w:pPr>
        <w:pStyle w:val="56"/>
        <w:spacing w:line="360" w:lineRule="auto"/>
        <w:ind w:firstLine="420"/>
      </w:pPr>
      <w:r>
        <w:rPr>
          <w:rFonts w:hint="eastAsia"/>
        </w:rPr>
        <w:t>i）路径偏离率；</w:t>
      </w:r>
    </w:p>
    <w:p w14:paraId="45DCF7CD">
      <w:pPr>
        <w:pStyle w:val="56"/>
        <w:spacing w:line="360" w:lineRule="auto"/>
        <w:ind w:firstLine="420"/>
      </w:pPr>
      <w:r>
        <w:rPr>
          <w:rFonts w:hint="eastAsia"/>
        </w:rPr>
        <w:t>j）再入院率和不良事件发生率。</w:t>
      </w:r>
    </w:p>
    <w:p w14:paraId="362176DE">
      <w:pPr>
        <w:pStyle w:val="164"/>
        <w:spacing w:line="360" w:lineRule="auto"/>
      </w:pPr>
      <w:r>
        <w:rPr>
          <w:rFonts w:hint="eastAsia"/>
        </w:rPr>
        <w:t>医疗机构可根据实际情况增加介入治疗后随访率、抗凝依从性达标率和患者教育达标率等指标。</w:t>
      </w:r>
    </w:p>
    <w:p w14:paraId="7E3C498D">
      <w:pPr>
        <w:pStyle w:val="105"/>
        <w:spacing w:before="120" w:after="120" w:line="360" w:lineRule="auto"/>
      </w:pPr>
      <w:r>
        <w:rPr>
          <w:rFonts w:hint="eastAsia"/>
        </w:rPr>
        <w:t>路径执行监测</w:t>
      </w:r>
    </w:p>
    <w:p w14:paraId="0F2B9671">
      <w:pPr>
        <w:pStyle w:val="65"/>
        <w:spacing w:before="120" w:after="120" w:line="360" w:lineRule="auto"/>
      </w:pPr>
      <w:r>
        <w:rPr>
          <w:rFonts w:hint="eastAsia"/>
        </w:rPr>
        <w:t>一般要求</w:t>
      </w:r>
    </w:p>
    <w:p w14:paraId="5E0CB403">
      <w:pPr>
        <w:pStyle w:val="164"/>
        <w:spacing w:line="360" w:lineRule="auto"/>
      </w:pPr>
      <w:r>
        <w:rPr>
          <w:rFonts w:hint="eastAsia"/>
        </w:rPr>
        <w:t>应定期对路径执行情况进行监测。</w:t>
      </w:r>
    </w:p>
    <w:p w14:paraId="6FDF2CF6">
      <w:pPr>
        <w:pStyle w:val="164"/>
        <w:spacing w:line="360" w:lineRule="auto"/>
      </w:pPr>
      <w:r>
        <w:rPr>
          <w:rFonts w:hint="eastAsia"/>
        </w:rPr>
        <w:t>路径执行监测应重点关注关键节点是否完成、关键记录是否完整和关键决策是否符合规范。</w:t>
      </w:r>
    </w:p>
    <w:p w14:paraId="51562144">
      <w:pPr>
        <w:pStyle w:val="65"/>
        <w:spacing w:before="120" w:after="120" w:line="360" w:lineRule="auto"/>
      </w:pPr>
      <w:r>
        <w:rPr>
          <w:rFonts w:hint="eastAsia"/>
        </w:rPr>
        <w:t>监测重点</w:t>
      </w:r>
    </w:p>
    <w:p w14:paraId="6F3E5992">
      <w:pPr>
        <w:pStyle w:val="164"/>
        <w:spacing w:line="360" w:lineRule="auto"/>
      </w:pPr>
      <w:r>
        <w:rPr>
          <w:rFonts w:hint="eastAsia"/>
        </w:rPr>
        <w:t>下列内容应作为重点监测内容：</w:t>
      </w:r>
    </w:p>
    <w:p w14:paraId="46FFA9F4">
      <w:pPr>
        <w:pStyle w:val="56"/>
        <w:spacing w:line="360" w:lineRule="auto"/>
        <w:ind w:firstLine="420"/>
      </w:pPr>
      <w:r>
        <w:rPr>
          <w:rFonts w:hint="eastAsia"/>
        </w:rPr>
        <w:t>a）首次确诊后是否完成卒中和出血风险评估；</w:t>
      </w:r>
    </w:p>
    <w:p w14:paraId="5927C956">
      <w:pPr>
        <w:pStyle w:val="56"/>
        <w:spacing w:line="360" w:lineRule="auto"/>
        <w:ind w:firstLine="420"/>
      </w:pPr>
      <w:r>
        <w:rPr>
          <w:rFonts w:hint="eastAsia"/>
        </w:rPr>
        <w:t>b）具备抗凝适应证者是否及时进入抗凝路径；</w:t>
      </w:r>
    </w:p>
    <w:p w14:paraId="6663BDF5">
      <w:pPr>
        <w:pStyle w:val="56"/>
        <w:spacing w:line="360" w:lineRule="auto"/>
        <w:ind w:firstLine="420"/>
      </w:pPr>
      <w:r>
        <w:rPr>
          <w:rFonts w:hint="eastAsia"/>
        </w:rPr>
        <w:t>c）控率控律路径是否根据症状和病情动态调整；</w:t>
      </w:r>
    </w:p>
    <w:p w14:paraId="1B7B586B">
      <w:pPr>
        <w:pStyle w:val="56"/>
        <w:spacing w:line="360" w:lineRule="auto"/>
        <w:ind w:firstLine="420"/>
      </w:pPr>
      <w:r>
        <w:rPr>
          <w:rFonts w:hint="eastAsia"/>
        </w:rPr>
        <w:t>d）围术期管理是否有专项记录；</w:t>
      </w:r>
    </w:p>
    <w:p w14:paraId="65FBB060">
      <w:pPr>
        <w:pStyle w:val="56"/>
        <w:spacing w:line="360" w:lineRule="auto"/>
        <w:ind w:firstLine="420"/>
      </w:pPr>
      <w:r>
        <w:rPr>
          <w:rFonts w:hint="eastAsia"/>
        </w:rPr>
        <w:t>e）出院前是否完成教育和交接；</w:t>
      </w:r>
    </w:p>
    <w:p w14:paraId="03AA32DD">
      <w:pPr>
        <w:pStyle w:val="56"/>
        <w:spacing w:line="360" w:lineRule="auto"/>
        <w:ind w:firstLine="420"/>
      </w:pPr>
      <w:r>
        <w:rPr>
          <w:rFonts w:hint="eastAsia"/>
        </w:rPr>
        <w:t>f）随访是否按时实施；</w:t>
      </w:r>
    </w:p>
    <w:p w14:paraId="6AA87C14">
      <w:pPr>
        <w:pStyle w:val="56"/>
        <w:spacing w:line="360" w:lineRule="auto"/>
        <w:ind w:firstLine="420"/>
      </w:pPr>
      <w:r>
        <w:rPr>
          <w:rFonts w:hint="eastAsia"/>
        </w:rPr>
        <w:t>g）复发、出血和卒中事件后是否及时复评。</w:t>
      </w:r>
    </w:p>
    <w:p w14:paraId="73BDC1DC">
      <w:pPr>
        <w:pStyle w:val="164"/>
        <w:spacing w:line="360" w:lineRule="auto"/>
      </w:pPr>
      <w:r>
        <w:rPr>
          <w:rFonts w:hint="eastAsia"/>
        </w:rPr>
        <w:t>监测发现的问题应及时反馈责任科室和责任人员。</w:t>
      </w:r>
    </w:p>
    <w:p w14:paraId="46E12CC0">
      <w:pPr>
        <w:pStyle w:val="105"/>
        <w:spacing w:before="120" w:after="120" w:line="360" w:lineRule="auto"/>
      </w:pPr>
      <w:r>
        <w:rPr>
          <w:rFonts w:hint="eastAsia"/>
        </w:rPr>
        <w:t>路径偏离管理</w:t>
      </w:r>
    </w:p>
    <w:p w14:paraId="43A3E33B">
      <w:pPr>
        <w:pStyle w:val="65"/>
        <w:spacing w:before="120" w:after="120" w:line="360" w:lineRule="auto"/>
      </w:pPr>
      <w:r>
        <w:rPr>
          <w:rFonts w:hint="eastAsia"/>
        </w:rPr>
        <w:t>一般要求</w:t>
      </w:r>
    </w:p>
    <w:p w14:paraId="2362E182">
      <w:pPr>
        <w:pStyle w:val="164"/>
        <w:spacing w:line="360" w:lineRule="auto"/>
      </w:pPr>
      <w:r>
        <w:rPr>
          <w:rFonts w:hint="eastAsia"/>
        </w:rPr>
        <w:t>房颤患者管理过程中发生与既定路径不一致的情况时，应纳入路径偏离管理。</w:t>
      </w:r>
    </w:p>
    <w:p w14:paraId="64B41254">
      <w:pPr>
        <w:pStyle w:val="164"/>
        <w:spacing w:line="360" w:lineRule="auto"/>
      </w:pPr>
      <w:r>
        <w:rPr>
          <w:rFonts w:hint="eastAsia"/>
        </w:rPr>
        <w:t>路径偏离可分为合理偏离和不合理偏离。</w:t>
      </w:r>
    </w:p>
    <w:p w14:paraId="2E93C95E">
      <w:pPr>
        <w:pStyle w:val="65"/>
        <w:spacing w:before="120" w:after="120" w:line="360" w:lineRule="auto"/>
      </w:pPr>
      <w:r>
        <w:rPr>
          <w:rFonts w:hint="eastAsia"/>
        </w:rPr>
        <w:t>偏离判定</w:t>
      </w:r>
    </w:p>
    <w:p w14:paraId="1393913F">
      <w:pPr>
        <w:pStyle w:val="164"/>
        <w:spacing w:line="360" w:lineRule="auto"/>
      </w:pPr>
      <w:r>
        <w:rPr>
          <w:rFonts w:hint="eastAsia"/>
        </w:rPr>
        <w:t>因患者特殊病情、并发症、禁忌证、急诊抢救需要或者患者明确拒绝等导致的路径调整，可判定为合理偏离，但应完整记录依据。</w:t>
      </w:r>
    </w:p>
    <w:p w14:paraId="3CCC1E6C">
      <w:pPr>
        <w:pStyle w:val="164"/>
        <w:spacing w:line="360" w:lineRule="auto"/>
      </w:pPr>
      <w:r>
        <w:rPr>
          <w:rFonts w:hint="eastAsia"/>
        </w:rPr>
        <w:t>因评估缺失、记录缺失、交接缺失、管理脱节或者未按路径要求执行导致的偏离，应判定为不合理偏离。</w:t>
      </w:r>
    </w:p>
    <w:p w14:paraId="1272D390">
      <w:pPr>
        <w:pStyle w:val="65"/>
        <w:spacing w:before="120" w:after="120" w:line="360" w:lineRule="auto"/>
      </w:pPr>
      <w:r>
        <w:rPr>
          <w:rFonts w:hint="eastAsia"/>
        </w:rPr>
        <w:t>处理要求</w:t>
      </w:r>
    </w:p>
    <w:p w14:paraId="3D877C80">
      <w:pPr>
        <w:pStyle w:val="164"/>
        <w:spacing w:line="360" w:lineRule="auto"/>
      </w:pPr>
      <w:r>
        <w:rPr>
          <w:rFonts w:hint="eastAsia"/>
        </w:rPr>
        <w:t>路径偏离后，应记录偏离原因、处理措施和后续管理安排。</w:t>
      </w:r>
    </w:p>
    <w:p w14:paraId="1237CF81">
      <w:pPr>
        <w:pStyle w:val="164"/>
        <w:spacing w:line="360" w:lineRule="auto"/>
      </w:pPr>
      <w:r>
        <w:rPr>
          <w:rFonts w:hint="eastAsia"/>
        </w:rPr>
        <w:t>对重复发生的不合理偏离，应开展专项分析和整改。</w:t>
      </w:r>
    </w:p>
    <w:p w14:paraId="5006F8C1">
      <w:pPr>
        <w:pStyle w:val="105"/>
        <w:spacing w:before="120" w:after="120" w:line="360" w:lineRule="auto"/>
      </w:pPr>
      <w:r>
        <w:rPr>
          <w:rFonts w:hint="eastAsia"/>
        </w:rPr>
        <w:t>不良事件管理</w:t>
      </w:r>
    </w:p>
    <w:p w14:paraId="28E4D20A">
      <w:pPr>
        <w:pStyle w:val="65"/>
        <w:spacing w:before="120" w:after="120" w:line="360" w:lineRule="auto"/>
      </w:pPr>
      <w:r>
        <w:rPr>
          <w:rFonts w:hint="eastAsia"/>
        </w:rPr>
        <w:t>一般要求</w:t>
      </w:r>
    </w:p>
    <w:p w14:paraId="45FCA723">
      <w:pPr>
        <w:pStyle w:val="164"/>
        <w:spacing w:line="360" w:lineRule="auto"/>
      </w:pPr>
      <w:r>
        <w:rPr>
          <w:rFonts w:hint="eastAsia"/>
        </w:rPr>
        <w:t>房颤患者整合式管理过程中发生卒中、系统性栓塞、重大出血、严重心衰加重、急诊再入院或者治疗相关严重不良事件时，应纳入不良事件管理。</w:t>
      </w:r>
    </w:p>
    <w:p w14:paraId="3364F677">
      <w:pPr>
        <w:pStyle w:val="164"/>
        <w:spacing w:line="360" w:lineRule="auto"/>
      </w:pPr>
      <w:r>
        <w:rPr>
          <w:rFonts w:hint="eastAsia"/>
        </w:rPr>
        <w:t>不良事件管理应包括事件识别、上报、分析、整改和复盘。</w:t>
      </w:r>
    </w:p>
    <w:p w14:paraId="71E6F3A3">
      <w:pPr>
        <w:pStyle w:val="65"/>
        <w:spacing w:before="120" w:after="120" w:line="360" w:lineRule="auto"/>
      </w:pPr>
      <w:r>
        <w:rPr>
          <w:rFonts w:hint="eastAsia"/>
        </w:rPr>
        <w:t>分析要求</w:t>
      </w:r>
    </w:p>
    <w:p w14:paraId="42D8BC08">
      <w:pPr>
        <w:pStyle w:val="164"/>
        <w:spacing w:line="360" w:lineRule="auto"/>
      </w:pPr>
      <w:r>
        <w:rPr>
          <w:rFonts w:hint="eastAsia"/>
        </w:rPr>
        <w:t>不良事件分析应重点评估下列内容：</w:t>
      </w:r>
    </w:p>
    <w:p w14:paraId="5C218FE5">
      <w:pPr>
        <w:pStyle w:val="56"/>
        <w:spacing w:line="360" w:lineRule="auto"/>
        <w:ind w:firstLine="420"/>
      </w:pPr>
      <w:r>
        <w:rPr>
          <w:rFonts w:hint="eastAsia"/>
        </w:rPr>
        <w:t>a）是否存在风险评估缺失；</w:t>
      </w:r>
    </w:p>
    <w:p w14:paraId="0E9A3BB5">
      <w:pPr>
        <w:pStyle w:val="56"/>
        <w:spacing w:line="360" w:lineRule="auto"/>
        <w:ind w:firstLine="420"/>
      </w:pPr>
      <w:r>
        <w:rPr>
          <w:rFonts w:hint="eastAsia"/>
        </w:rPr>
        <w:t>b）是否存在抗凝管理不规范；</w:t>
      </w:r>
    </w:p>
    <w:p w14:paraId="4DF1375D">
      <w:pPr>
        <w:pStyle w:val="56"/>
        <w:spacing w:line="360" w:lineRule="auto"/>
        <w:ind w:firstLine="420"/>
      </w:pPr>
      <w:r>
        <w:rPr>
          <w:rFonts w:hint="eastAsia"/>
        </w:rPr>
        <w:t>c）是否存在控率控律策略不当；</w:t>
      </w:r>
    </w:p>
    <w:p w14:paraId="39E5D5DC">
      <w:pPr>
        <w:pStyle w:val="56"/>
        <w:spacing w:line="360" w:lineRule="auto"/>
        <w:ind w:firstLine="420"/>
      </w:pPr>
      <w:r>
        <w:rPr>
          <w:rFonts w:hint="eastAsia"/>
        </w:rPr>
        <w:t>d）是否存在围术期管理缺陷；</w:t>
      </w:r>
    </w:p>
    <w:p w14:paraId="414A220D">
      <w:pPr>
        <w:pStyle w:val="56"/>
        <w:spacing w:line="360" w:lineRule="auto"/>
        <w:ind w:firstLine="420"/>
      </w:pPr>
      <w:r>
        <w:rPr>
          <w:rFonts w:hint="eastAsia"/>
        </w:rPr>
        <w:t>e）是否存在出院交接和随访中断；</w:t>
      </w:r>
    </w:p>
    <w:p w14:paraId="482307A3">
      <w:pPr>
        <w:pStyle w:val="56"/>
        <w:spacing w:line="360" w:lineRule="auto"/>
        <w:ind w:firstLine="420"/>
      </w:pPr>
      <w:r>
        <w:rPr>
          <w:rFonts w:hint="eastAsia"/>
        </w:rPr>
        <w:t>f）是否存在患者依从性问题未被识别。</w:t>
      </w:r>
    </w:p>
    <w:p w14:paraId="37B2A190">
      <w:pPr>
        <w:pStyle w:val="164"/>
        <w:spacing w:line="360" w:lineRule="auto"/>
      </w:pPr>
      <w:r>
        <w:rPr>
          <w:rFonts w:hint="eastAsia"/>
        </w:rPr>
        <w:t>分析结论应作为路径优化和质量改进依据。</w:t>
      </w:r>
    </w:p>
    <w:p w14:paraId="3ECCBF44">
      <w:pPr>
        <w:pStyle w:val="105"/>
        <w:spacing w:before="120" w:after="120" w:line="360" w:lineRule="auto"/>
      </w:pPr>
      <w:r>
        <w:rPr>
          <w:rFonts w:hint="eastAsia"/>
        </w:rPr>
        <w:t>路径评估</w:t>
      </w:r>
    </w:p>
    <w:p w14:paraId="4BDB58CD">
      <w:pPr>
        <w:pStyle w:val="65"/>
        <w:spacing w:before="120" w:after="120" w:line="360" w:lineRule="auto"/>
      </w:pPr>
      <w:r>
        <w:rPr>
          <w:rFonts w:hint="eastAsia"/>
        </w:rPr>
        <w:t>一般要求</w:t>
      </w:r>
    </w:p>
    <w:p w14:paraId="1B91D0AA">
      <w:pPr>
        <w:pStyle w:val="164"/>
        <w:spacing w:line="360" w:lineRule="auto"/>
      </w:pPr>
      <w:r>
        <w:rPr>
          <w:rFonts w:hint="eastAsia"/>
        </w:rPr>
        <w:t>医疗机构应定期对房颤整合式管理临床路径实施效果进行评估。</w:t>
      </w:r>
    </w:p>
    <w:p w14:paraId="20AE2173">
      <w:pPr>
        <w:pStyle w:val="164"/>
        <w:spacing w:line="360" w:lineRule="auto"/>
      </w:pPr>
      <w:r>
        <w:rPr>
          <w:rFonts w:hint="eastAsia"/>
        </w:rPr>
        <w:t>路径评估应围绕路径完整性、执行一致性、管理连续性、患者结局和患者体验开展。</w:t>
      </w:r>
    </w:p>
    <w:p w14:paraId="418191DD">
      <w:pPr>
        <w:pStyle w:val="65"/>
        <w:spacing w:before="120" w:after="120" w:line="360" w:lineRule="auto"/>
      </w:pPr>
      <w:r>
        <w:rPr>
          <w:rFonts w:hint="eastAsia"/>
        </w:rPr>
        <w:t>评估内容</w:t>
      </w:r>
    </w:p>
    <w:p w14:paraId="150BBAE7">
      <w:pPr>
        <w:pStyle w:val="164"/>
        <w:spacing w:line="360" w:lineRule="auto"/>
      </w:pPr>
      <w:r>
        <w:rPr>
          <w:rFonts w:hint="eastAsia"/>
        </w:rPr>
        <w:t>路径评估宜包括下列内容：</w:t>
      </w:r>
    </w:p>
    <w:p w14:paraId="7FF8392C">
      <w:pPr>
        <w:pStyle w:val="56"/>
        <w:spacing w:line="360" w:lineRule="auto"/>
        <w:ind w:firstLine="420"/>
      </w:pPr>
      <w:r>
        <w:rPr>
          <w:rFonts w:hint="eastAsia"/>
        </w:rPr>
        <w:t>a）路径节点设置是否合理；</w:t>
      </w:r>
    </w:p>
    <w:p w14:paraId="70B64DB5">
      <w:pPr>
        <w:pStyle w:val="56"/>
        <w:spacing w:line="360" w:lineRule="auto"/>
        <w:ind w:firstLine="420"/>
      </w:pPr>
      <w:r>
        <w:rPr>
          <w:rFonts w:hint="eastAsia"/>
        </w:rPr>
        <w:t>b）路径执行率是否稳定；</w:t>
      </w:r>
    </w:p>
    <w:p w14:paraId="1CD01B5B">
      <w:pPr>
        <w:pStyle w:val="56"/>
        <w:spacing w:line="360" w:lineRule="auto"/>
        <w:ind w:firstLine="420"/>
      </w:pPr>
      <w:r>
        <w:rPr>
          <w:rFonts w:hint="eastAsia"/>
        </w:rPr>
        <w:t>c）抗凝管理是否规范；</w:t>
      </w:r>
    </w:p>
    <w:p w14:paraId="76B63C9C">
      <w:pPr>
        <w:pStyle w:val="56"/>
        <w:spacing w:line="360" w:lineRule="auto"/>
        <w:ind w:firstLine="420"/>
      </w:pPr>
      <w:r>
        <w:rPr>
          <w:rFonts w:hint="eastAsia"/>
        </w:rPr>
        <w:t>d）卒中和出血事件控制情况；</w:t>
      </w:r>
    </w:p>
    <w:p w14:paraId="4840229C">
      <w:pPr>
        <w:pStyle w:val="56"/>
        <w:spacing w:line="360" w:lineRule="auto"/>
        <w:ind w:firstLine="420"/>
      </w:pPr>
      <w:r>
        <w:rPr>
          <w:rFonts w:hint="eastAsia"/>
        </w:rPr>
        <w:t>e）住院—出院—随访衔接是否顺畅；</w:t>
      </w:r>
    </w:p>
    <w:p w14:paraId="5F7C90EA">
      <w:pPr>
        <w:pStyle w:val="56"/>
        <w:spacing w:line="360" w:lineRule="auto"/>
        <w:ind w:firstLine="420"/>
      </w:pPr>
      <w:r>
        <w:rPr>
          <w:rFonts w:hint="eastAsia"/>
        </w:rPr>
        <w:t>f）患者依从性和教育效果是否改善；</w:t>
      </w:r>
    </w:p>
    <w:p w14:paraId="48D03D78">
      <w:pPr>
        <w:pStyle w:val="56"/>
        <w:spacing w:line="360" w:lineRule="auto"/>
        <w:ind w:firstLine="420"/>
      </w:pPr>
      <w:r>
        <w:rPr>
          <w:rFonts w:hint="eastAsia"/>
        </w:rPr>
        <w:t>g）多学科协作是否有效；</w:t>
      </w:r>
    </w:p>
    <w:p w14:paraId="752173A3">
      <w:pPr>
        <w:pStyle w:val="56"/>
        <w:spacing w:line="360" w:lineRule="auto"/>
        <w:ind w:firstLine="420"/>
      </w:pPr>
      <w:r>
        <w:rPr>
          <w:rFonts w:hint="eastAsia"/>
        </w:rPr>
        <w:t>h）信息记录和信息共享是否完整。</w:t>
      </w:r>
    </w:p>
    <w:p w14:paraId="7B4A4769">
      <w:pPr>
        <w:pStyle w:val="164"/>
        <w:spacing w:line="360" w:lineRule="auto"/>
      </w:pPr>
      <w:r>
        <w:rPr>
          <w:rFonts w:hint="eastAsia"/>
        </w:rPr>
        <w:t>评估结果宜形成书面报告。</w:t>
      </w:r>
    </w:p>
    <w:p w14:paraId="2FD5D17F">
      <w:pPr>
        <w:pStyle w:val="105"/>
        <w:spacing w:before="120" w:after="120" w:line="360" w:lineRule="auto"/>
      </w:pPr>
      <w:r>
        <w:rPr>
          <w:rFonts w:hint="eastAsia"/>
        </w:rPr>
        <w:t>持续改进</w:t>
      </w:r>
    </w:p>
    <w:p w14:paraId="5229F5F1">
      <w:pPr>
        <w:pStyle w:val="65"/>
        <w:spacing w:before="120" w:after="120" w:line="360" w:lineRule="auto"/>
      </w:pPr>
      <w:r>
        <w:rPr>
          <w:rFonts w:hint="eastAsia"/>
        </w:rPr>
        <w:t>一般要求</w:t>
      </w:r>
    </w:p>
    <w:p w14:paraId="09D1D573">
      <w:pPr>
        <w:pStyle w:val="164"/>
        <w:spacing w:line="360" w:lineRule="auto"/>
      </w:pPr>
      <w:r>
        <w:rPr>
          <w:rFonts w:hint="eastAsia"/>
        </w:rPr>
        <w:t>房颤患者整合式管理临床路径应建立持续改进机制。</w:t>
      </w:r>
    </w:p>
    <w:p w14:paraId="72D04F81">
      <w:pPr>
        <w:pStyle w:val="164"/>
        <w:spacing w:line="360" w:lineRule="auto"/>
      </w:pPr>
      <w:r>
        <w:rPr>
          <w:rFonts w:hint="eastAsia"/>
        </w:rPr>
        <w:t>持续改进应以质量监测结果、路径偏离分析结果、不良事件分析结果、患者反馈和最新循证依据为基础。</w:t>
      </w:r>
    </w:p>
    <w:p w14:paraId="22A0CDAF">
      <w:pPr>
        <w:pStyle w:val="65"/>
        <w:spacing w:before="120" w:after="120" w:line="360" w:lineRule="auto"/>
      </w:pPr>
      <w:r>
        <w:rPr>
          <w:rFonts w:hint="eastAsia"/>
        </w:rPr>
        <w:t>改进内容</w:t>
      </w:r>
    </w:p>
    <w:p w14:paraId="1D8449A9">
      <w:pPr>
        <w:pStyle w:val="164"/>
        <w:spacing w:line="360" w:lineRule="auto"/>
      </w:pPr>
      <w:r>
        <w:rPr>
          <w:rFonts w:hint="eastAsia"/>
        </w:rPr>
        <w:t>持续改进宜包括下列内容：</w:t>
      </w:r>
    </w:p>
    <w:p w14:paraId="0F0A61DB">
      <w:pPr>
        <w:pStyle w:val="56"/>
        <w:spacing w:line="360" w:lineRule="auto"/>
        <w:ind w:firstLine="420"/>
      </w:pPr>
      <w:r>
        <w:rPr>
          <w:rFonts w:hint="eastAsia"/>
        </w:rPr>
        <w:t>a）优化风险评估流程；</w:t>
      </w:r>
    </w:p>
    <w:p w14:paraId="1C58B8E5">
      <w:pPr>
        <w:pStyle w:val="56"/>
        <w:spacing w:line="360" w:lineRule="auto"/>
        <w:ind w:firstLine="420"/>
      </w:pPr>
      <w:r>
        <w:rPr>
          <w:rFonts w:hint="eastAsia"/>
        </w:rPr>
        <w:t>b）优化抗凝启动和随访机制；</w:t>
      </w:r>
    </w:p>
    <w:p w14:paraId="12B9F4B9">
      <w:pPr>
        <w:pStyle w:val="56"/>
        <w:spacing w:line="360" w:lineRule="auto"/>
        <w:ind w:firstLine="420"/>
      </w:pPr>
      <w:r>
        <w:rPr>
          <w:rFonts w:hint="eastAsia"/>
        </w:rPr>
        <w:t>c）优化控率控律决策节点；</w:t>
      </w:r>
    </w:p>
    <w:p w14:paraId="02EE1449">
      <w:pPr>
        <w:pStyle w:val="56"/>
        <w:spacing w:line="360" w:lineRule="auto"/>
        <w:ind w:firstLine="420"/>
      </w:pPr>
      <w:r>
        <w:rPr>
          <w:rFonts w:hint="eastAsia"/>
        </w:rPr>
        <w:t>d）优化围术期交接和恢复流程；</w:t>
      </w:r>
    </w:p>
    <w:p w14:paraId="028CD50B">
      <w:pPr>
        <w:pStyle w:val="56"/>
        <w:spacing w:line="360" w:lineRule="auto"/>
        <w:ind w:firstLine="420"/>
      </w:pPr>
      <w:r>
        <w:rPr>
          <w:rFonts w:hint="eastAsia"/>
        </w:rPr>
        <w:t>e）优化出院教育和长期随访安排；</w:t>
      </w:r>
    </w:p>
    <w:p w14:paraId="6FD5B407">
      <w:pPr>
        <w:pStyle w:val="56"/>
        <w:spacing w:line="360" w:lineRule="auto"/>
        <w:ind w:firstLine="420"/>
      </w:pPr>
      <w:r>
        <w:rPr>
          <w:rFonts w:hint="eastAsia"/>
        </w:rPr>
        <w:t>f）完善多学科协作机制；</w:t>
      </w:r>
    </w:p>
    <w:p w14:paraId="746867BF">
      <w:pPr>
        <w:pStyle w:val="56"/>
        <w:spacing w:line="360" w:lineRule="auto"/>
        <w:ind w:firstLine="420"/>
      </w:pPr>
      <w:r>
        <w:rPr>
          <w:rFonts w:hint="eastAsia"/>
        </w:rPr>
        <w:t>g）完善信息化记录和提示功能；</w:t>
      </w:r>
    </w:p>
    <w:p w14:paraId="6B8211B9">
      <w:pPr>
        <w:pStyle w:val="56"/>
        <w:spacing w:line="360" w:lineRule="auto"/>
        <w:ind w:firstLine="420"/>
      </w:pPr>
      <w:r>
        <w:rPr>
          <w:rFonts w:hint="eastAsia"/>
        </w:rPr>
        <w:t>h）加强患者依从性干预。</w:t>
      </w:r>
    </w:p>
    <w:p w14:paraId="216C2E84">
      <w:pPr>
        <w:pStyle w:val="164"/>
        <w:spacing w:line="360" w:lineRule="auto"/>
      </w:pPr>
      <w:r>
        <w:rPr>
          <w:rFonts w:hint="eastAsia"/>
        </w:rPr>
        <w:t>对已识别的高风险薄弱环节，应优先整改。</w:t>
      </w:r>
    </w:p>
    <w:p w14:paraId="39C0F037">
      <w:pPr>
        <w:pStyle w:val="105"/>
        <w:spacing w:before="120" w:after="120" w:line="360" w:lineRule="auto"/>
      </w:pPr>
      <w:r>
        <w:rPr>
          <w:rFonts w:hint="eastAsia"/>
        </w:rPr>
        <w:t>记录与归档要求</w:t>
      </w:r>
    </w:p>
    <w:p w14:paraId="6B81E541">
      <w:pPr>
        <w:pStyle w:val="165"/>
        <w:spacing w:line="360" w:lineRule="auto"/>
      </w:pPr>
      <w:r>
        <w:rPr>
          <w:rFonts w:hint="eastAsia"/>
        </w:rPr>
        <w:t>路径质量监测、偏离分析、不良事件分析、路径评估和持续改进均应形成记录。</w:t>
      </w:r>
    </w:p>
    <w:p w14:paraId="79CD393A">
      <w:pPr>
        <w:pStyle w:val="165"/>
        <w:spacing w:line="360" w:lineRule="auto"/>
      </w:pPr>
      <w:r>
        <w:rPr>
          <w:rFonts w:hint="eastAsia"/>
        </w:rPr>
        <w:t>相关记录应分类归档、便于追溯和便于质量管理使用。</w:t>
      </w:r>
    </w:p>
    <w:p w14:paraId="52E9060B">
      <w:pPr>
        <w:pStyle w:val="165"/>
        <w:spacing w:line="360" w:lineRule="auto"/>
      </w:pPr>
      <w:r>
        <w:rPr>
          <w:rFonts w:hint="eastAsia"/>
        </w:rPr>
        <w:t>未形成书面记录或者电子记录的，不得视为质量管理工作已完成。</w:t>
      </w:r>
    </w:p>
    <w:p w14:paraId="335854C9">
      <w:pPr>
        <w:pStyle w:val="105"/>
        <w:spacing w:before="120" w:after="120" w:line="360" w:lineRule="auto"/>
      </w:pPr>
      <w:r>
        <w:rPr>
          <w:rFonts w:hint="eastAsia"/>
        </w:rPr>
        <w:t>禁止性要求</w:t>
      </w:r>
    </w:p>
    <w:p w14:paraId="0AF54CBF">
      <w:pPr>
        <w:pStyle w:val="165"/>
        <w:spacing w:line="360" w:lineRule="auto"/>
      </w:pPr>
      <w:r>
        <w:rPr>
          <w:rFonts w:hint="eastAsia"/>
        </w:rPr>
        <w:t>不得仅制定路径文本而不实施路径监测和质量控制。</w:t>
      </w:r>
    </w:p>
    <w:p w14:paraId="0450779B">
      <w:pPr>
        <w:pStyle w:val="165"/>
        <w:spacing w:line="360" w:lineRule="auto"/>
      </w:pPr>
      <w:r>
        <w:rPr>
          <w:rFonts w:hint="eastAsia"/>
        </w:rPr>
        <w:t>不得对路径偏离、不良事件和管理脱节问题只记录不整改。</w:t>
      </w:r>
    </w:p>
    <w:p w14:paraId="60D0344B">
      <w:pPr>
        <w:pStyle w:val="165"/>
        <w:spacing w:line="360" w:lineRule="auto"/>
      </w:pPr>
      <w:r>
        <w:rPr>
          <w:rFonts w:hint="eastAsia"/>
        </w:rPr>
        <w:t>不得在抗凝管理明显不足、随访明显脱节的情况下仍认定路径执行合格。</w:t>
      </w:r>
    </w:p>
    <w:p w14:paraId="0E05B66C">
      <w:pPr>
        <w:pStyle w:val="165"/>
        <w:spacing w:line="360" w:lineRule="auto"/>
      </w:pPr>
      <w:r>
        <w:rPr>
          <w:rFonts w:hint="eastAsia"/>
        </w:rPr>
        <w:t>不得忽视患者反馈、复发情况和再入院情况对路径优化的提示作用。</w:t>
      </w:r>
    </w:p>
    <w:p w14:paraId="1E0DB6D0">
      <w:pPr>
        <w:pStyle w:val="165"/>
        <w:spacing w:line="360" w:lineRule="auto"/>
      </w:pPr>
      <w:r>
        <w:rPr>
          <w:rFonts w:hint="eastAsia"/>
        </w:rPr>
        <w:t>不得长期使用与最新循证证据明显不一致的路径要求而不进行修订。</w:t>
      </w:r>
    </w:p>
    <w:bookmarkEnd w:id="26"/>
    <w:p w14:paraId="66A5E546">
      <w:pPr>
        <w:pStyle w:val="56"/>
        <w:ind w:firstLine="0" w:firstLineChars="0"/>
        <w:jc w:val="center"/>
      </w:pPr>
      <w:bookmarkStart w:id="57" w:name="BookMark8"/>
      <w:r>
        <w:rPr>
          <w:rFonts w:hint="eastAsia"/>
        </w:rPr>
        <w:drawing>
          <wp:inline distT="0" distB="0" distL="0" distR="0">
            <wp:extent cx="1485900" cy="317500"/>
            <wp:effectExtent l="0" t="0" r="0" b="6350"/>
            <wp:docPr id="1151858254" name="图片 3"/>
            <wp:cNvGraphicFramePr/>
            <a:graphic xmlns:a="http://schemas.openxmlformats.org/drawingml/2006/main">
              <a:graphicData uri="http://schemas.openxmlformats.org/drawingml/2006/picture">
                <pic:pic xmlns:pic="http://schemas.openxmlformats.org/drawingml/2006/picture">
                  <pic:nvPicPr>
                    <pic:cNvPr id="1151858254"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0A51A">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218CC">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D63F3">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0259—2026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0259—2026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83D1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0259—2026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0259—2026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9EDFE">
    <w:pPr>
      <w:pStyle w:val="61"/>
      <w:rPr>
        <w:rFonts w:hint="eastAsia"/>
      </w:rPr>
    </w:pPr>
    <w:r>
      <w:fldChar w:fldCharType="begin"/>
    </w:r>
    <w:r>
      <w:instrText xml:space="preserve"> STYLEREF  标准文件_文件编号  \* MERGEFORMAT </w:instrText>
    </w:r>
    <w:r>
      <w:fldChar w:fldCharType="separate"/>
    </w:r>
    <w:r>
      <w:t>T/XZBX 0259—2026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47B3">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0259—2026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0259—2026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0259—2026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53D"/>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0C"/>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B39"/>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33FD"/>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A4C"/>
    <w:rsid w:val="00607D29"/>
    <w:rsid w:val="00612952"/>
    <w:rsid w:val="00614CC1"/>
    <w:rsid w:val="00615A9D"/>
    <w:rsid w:val="0061619B"/>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B63"/>
    <w:rsid w:val="00714F58"/>
    <w:rsid w:val="00722FBF"/>
    <w:rsid w:val="00722FC2"/>
    <w:rsid w:val="00724E1B"/>
    <w:rsid w:val="00725949"/>
    <w:rsid w:val="00727FA2"/>
    <w:rsid w:val="007322D9"/>
    <w:rsid w:val="00732BC0"/>
    <w:rsid w:val="0073720F"/>
    <w:rsid w:val="00737796"/>
    <w:rsid w:val="00740F5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75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BD2"/>
    <w:rsid w:val="008F0CDC"/>
    <w:rsid w:val="008F17A3"/>
    <w:rsid w:val="008F1ED3"/>
    <w:rsid w:val="008F4920"/>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CE3"/>
    <w:rsid w:val="00BA42B2"/>
    <w:rsid w:val="00BA58D4"/>
    <w:rsid w:val="00BA5B9E"/>
    <w:rsid w:val="00BA7C9A"/>
    <w:rsid w:val="00BB5F8F"/>
    <w:rsid w:val="00BB657A"/>
    <w:rsid w:val="00BC1A4E"/>
    <w:rsid w:val="00BC3DD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403"/>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32F3"/>
    <w:rsid w:val="00E15CCD"/>
    <w:rsid w:val="00E202EF"/>
    <w:rsid w:val="00E21088"/>
    <w:rsid w:val="00E210B5"/>
    <w:rsid w:val="00E2552F"/>
    <w:rsid w:val="00E27DF1"/>
    <w:rsid w:val="00E3137A"/>
    <w:rsid w:val="00E32CCF"/>
    <w:rsid w:val="00E34A98"/>
    <w:rsid w:val="00E35D1E"/>
    <w:rsid w:val="00E364F9"/>
    <w:rsid w:val="00E365FA"/>
    <w:rsid w:val="00E36789"/>
    <w:rsid w:val="00E4043D"/>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1F87"/>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CE81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1333C252">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0803A2EE">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1B3545D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A2BF9"/>
    <w:rsid w:val="002E6AD9"/>
    <w:rsid w:val="003646F4"/>
    <w:rsid w:val="003F62CE"/>
    <w:rsid w:val="004A0B39"/>
    <w:rsid w:val="004A6324"/>
    <w:rsid w:val="004A6DF2"/>
    <w:rsid w:val="005B18DA"/>
    <w:rsid w:val="005E4B5C"/>
    <w:rsid w:val="005E77CF"/>
    <w:rsid w:val="006141C6"/>
    <w:rsid w:val="00652769"/>
    <w:rsid w:val="00740F59"/>
    <w:rsid w:val="00796662"/>
    <w:rsid w:val="008C0337"/>
    <w:rsid w:val="008E6778"/>
    <w:rsid w:val="00AA2819"/>
    <w:rsid w:val="00AE100B"/>
    <w:rsid w:val="00AE1DC6"/>
    <w:rsid w:val="00AF2815"/>
    <w:rsid w:val="00D97403"/>
    <w:rsid w:val="00E4043D"/>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38</Pages>
  <Words>8949</Words>
  <Characters>9334</Characters>
  <Lines>141</Lines>
  <Paragraphs>39</Paragraphs>
  <TotalTime>160</TotalTime>
  <ScaleCrop>false</ScaleCrop>
  <LinksUpToDate>false</LinksUpToDate>
  <CharactersWithSpaces>9441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2026-05-19T06:08:33Z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BD26742E79924F278C227D4F20A4FD46_12</vt:lpwstr>
  </property>
</Properties>
</file>