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35.240.99"/>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35.240.99</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L 67"/>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L 67</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8"/>
            </w:textInput>
          </w:ffData>
        </w:fldChar>
      </w:r>
      <w:bookmarkStart w:id="6" w:name="NSTD_CODE_F"/>
      <w:r>
        <w:instrText xml:space="preserve"> FORMTEXT </w:instrText>
      </w:r>
      <w:r>
        <w:fldChar w:fldCharType="separate"/>
      </w:r>
      <w:r>
        <w:t>0258</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180C4B00">
      <w:pPr>
        <w:pStyle w:val="197"/>
        <w:framePr w:h="6974" w:hRule="exact" w:wrap="around" w:x="1419" w:anchorLock="1"/>
        <w:rPr>
          <w:rFonts w:hint="eastAsia"/>
        </w:rPr>
      </w:pPr>
      <w:r>
        <w:rPr>
          <w:rFonts w:hint="eastAsia"/>
        </w:rPr>
        <w:fldChar w:fldCharType="begin">
          <w:ffData>
            <w:name w:val="CSTD_NAME"/>
            <w:enabled/>
            <w:calcOnExit w:val="0"/>
            <w:textInput>
              <w:default w:val="多模态人工智能教育测评动态优化与质量管控规范"/>
            </w:textInput>
          </w:ffData>
        </w:fldChar>
      </w:r>
      <w:bookmarkStart w:id="9" w:name="CSTD_NAME"/>
      <w:r>
        <w:rPr>
          <w:rFonts w:hint="eastAsia"/>
        </w:rPr>
        <w:instrText xml:space="preserve"> FORMTEXT </w:instrText>
      </w:r>
      <w:r>
        <w:rPr>
          <w:rFonts w:hint="eastAsia"/>
        </w:rPr>
        <w:fldChar w:fldCharType="separate"/>
      </w:r>
      <w:r>
        <w:rPr>
          <w:rFonts w:hint="eastAsia"/>
        </w:rPr>
        <w:t>多模态人工智能教育测评动态优化</w:t>
      </w:r>
    </w:p>
    <w:p w14:paraId="73594FE6">
      <w:pPr>
        <w:pStyle w:val="197"/>
        <w:framePr w:h="6974" w:hRule="exact" w:wrap="around" w:x="1419" w:anchorLock="1"/>
        <w:rPr>
          <w:rFonts w:hint="eastAsia"/>
        </w:rPr>
      </w:pPr>
      <w:r>
        <w:rPr>
          <w:rFonts w:hint="eastAsia"/>
        </w:rPr>
        <w:t>与质量管控规范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dynamic optimization and quality control of multimodal artificial intelligence education evalua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dynamic optimization and quality control of multimodal artificial intelligence education evaluation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668E2257">
      <w:pPr>
        <w:pStyle w:val="91"/>
        <w:spacing w:after="360"/>
      </w:pPr>
      <w:bookmarkStart w:id="21" w:name="BookMark1"/>
      <w:r>
        <w:rPr>
          <w:rFonts w:hint="eastAsia"/>
          <w:spacing w:val="320"/>
        </w:rPr>
        <w:t>目</w:t>
      </w:r>
      <w:r>
        <w:rPr>
          <w:rFonts w:hint="eastAsia"/>
        </w:rPr>
        <w:t>次</w:t>
      </w:r>
    </w:p>
    <w:p w14:paraId="6C10E51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"_Toc228564641"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_Toc228564641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5F3084A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_Toc228564642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635E05F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_Toc228564643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9177B8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_Toc228564644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4EB60C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_Toc228564645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4ECB7F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_Toc228564646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85A5A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"_Toc228564647" </w:instrText>
      </w:r>
      <w:r>
        <w:fldChar w:fldCharType="separate"/>
      </w:r>
      <w:r>
        <w:rPr>
          <w:rStyle w:val="32"/>
        </w:rPr>
        <w:t>5  测评目标与应用场景设计要求</w:t>
      </w:r>
      <w:r>
        <w:rPr>
          <w:rFonts w:hint="eastAsia"/>
        </w:rPr>
        <w:tab/>
      </w:r>
      <w:r>
        <w:rPr>
          <w:rFonts w:hint="eastAsia"/>
        </w:rPr>
        <w:fldChar w:fldCharType="begin"/>
      </w:r>
      <w:r>
        <w:rPr>
          <w:rFonts w:hint="eastAsia"/>
        </w:rPr>
        <w:instrText xml:space="preserve"> </w:instrText>
      </w:r>
      <w:r>
        <w:instrText xml:space="preserve">PAGEREF _Toc228564647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D49A79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"_Toc228564648" </w:instrText>
      </w:r>
      <w:r>
        <w:fldChar w:fldCharType="separate"/>
      </w:r>
      <w:r>
        <w:rPr>
          <w:rStyle w:val="32"/>
        </w:rPr>
        <w:t>6  模态数据采集与治理要求</w:t>
      </w:r>
      <w:r>
        <w:rPr>
          <w:rFonts w:hint="eastAsia"/>
        </w:rPr>
        <w:tab/>
      </w:r>
      <w:r>
        <w:rPr>
          <w:rFonts w:hint="eastAsia"/>
        </w:rPr>
        <w:fldChar w:fldCharType="begin"/>
      </w:r>
      <w:r>
        <w:rPr>
          <w:rFonts w:hint="eastAsia"/>
        </w:rPr>
        <w:instrText xml:space="preserve"> </w:instrText>
      </w:r>
      <w:r>
        <w:instrText xml:space="preserve">PAGEREF _Toc228564648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6DAFCEE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"_Toc228564649" </w:instrText>
      </w:r>
      <w:r>
        <w:fldChar w:fldCharType="separate"/>
      </w:r>
      <w:r>
        <w:rPr>
          <w:rStyle w:val="32"/>
        </w:rPr>
        <w:t>7  模型构建、验证与测评实施要求</w:t>
      </w:r>
      <w:r>
        <w:rPr>
          <w:rFonts w:hint="eastAsia"/>
        </w:rPr>
        <w:tab/>
      </w:r>
      <w:r>
        <w:rPr>
          <w:rFonts w:hint="eastAsia"/>
        </w:rPr>
        <w:fldChar w:fldCharType="begin"/>
      </w:r>
      <w:r>
        <w:rPr>
          <w:rFonts w:hint="eastAsia"/>
        </w:rPr>
        <w:instrText xml:space="preserve"> </w:instrText>
      </w:r>
      <w:r>
        <w:instrText xml:space="preserve">PAGEREF _Toc228564649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0CA08B5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"_Toc228564650" </w:instrText>
      </w:r>
      <w:r>
        <w:fldChar w:fldCharType="separate"/>
      </w:r>
      <w:r>
        <w:rPr>
          <w:rStyle w:val="32"/>
        </w:rPr>
        <w:t>8  动态优化机制要求</w:t>
      </w:r>
      <w:r>
        <w:rPr>
          <w:rFonts w:hint="eastAsia"/>
        </w:rPr>
        <w:tab/>
      </w:r>
      <w:r>
        <w:rPr>
          <w:rFonts w:hint="eastAsia"/>
        </w:rPr>
        <w:fldChar w:fldCharType="begin"/>
      </w:r>
      <w:r>
        <w:rPr>
          <w:rFonts w:hint="eastAsia"/>
        </w:rPr>
        <w:instrText xml:space="preserve"> </w:instrText>
      </w:r>
      <w:r>
        <w:instrText xml:space="preserve">PAGEREF _Toc228564650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060D8CC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"_Toc228564651" </w:instrText>
      </w:r>
      <w:r>
        <w:fldChar w:fldCharType="separate"/>
      </w:r>
      <w:r>
        <w:rPr>
          <w:rStyle w:val="32"/>
        </w:rPr>
        <w:t>9  质量管控、结果复核与持续改进</w:t>
      </w:r>
      <w:r>
        <w:rPr>
          <w:rFonts w:hint="eastAsia"/>
        </w:rPr>
        <w:tab/>
      </w:r>
      <w:r>
        <w:rPr>
          <w:rFonts w:hint="eastAsia"/>
        </w:rPr>
        <w:fldChar w:fldCharType="begin"/>
      </w:r>
      <w:r>
        <w:rPr>
          <w:rFonts w:hint="eastAsia"/>
        </w:rPr>
        <w:instrText xml:space="preserve"> </w:instrText>
      </w:r>
      <w:r>
        <w:instrText xml:space="preserve">PAGEREF _Toc228564651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173E8B61">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6464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桂林理工大学南宁分校。</w:t>
      </w:r>
    </w:p>
    <w:p w14:paraId="784B3C9B">
      <w:pPr>
        <w:pStyle w:val="56"/>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马晓璐。</w:t>
      </w:r>
      <w:bookmarkStart w:id="58" w:name="_GoBack"/>
      <w:bookmarkEnd w:id="58"/>
    </w:p>
    <w:bookmarkEnd w:id="23"/>
    <w:p w14:paraId="66D0A2F3">
      <w:pPr>
        <w:pStyle w:val="89"/>
        <w:spacing w:after="360"/>
      </w:pPr>
      <w:bookmarkStart w:id="24" w:name="_Toc228564642"/>
      <w:bookmarkStart w:id="25" w:name="BookMark3"/>
      <w:r>
        <w:rPr>
          <w:spacing w:val="320"/>
        </w:rPr>
        <w:t>引</w:t>
      </w:r>
      <w:r>
        <w:t>言</w:t>
      </w:r>
      <w:bookmarkEnd w:id="24"/>
    </w:p>
    <w:p w14:paraId="539D8430">
      <w:pPr>
        <w:pStyle w:val="56"/>
        <w:spacing w:line="360" w:lineRule="auto"/>
        <w:ind w:firstLine="420"/>
      </w:pPr>
      <w:r>
        <w:rPr>
          <w:rFonts w:hint="eastAsia"/>
        </w:rPr>
        <w:t>当前，多模态人工智能教育测评在课堂教学评价、作业诊断、考试辅助评阅、口语能力测评、实验操作评价、职业技能考核、综合素养评价和个性化学习支持等场景中已开始应用，并显示出较强的数据整合能力、过程分析能力和反馈支持能力。通过对学习者文本表达、语音表现、图像作答、视频行为、操作过程和交互轨迹等信息进行综合识别与分析，可以在一定程度上突破传统测评对单一结果数据的依赖，提高测评的时效性、过程性和针对性。同时，借助模型迭代、规则修正、参数调优和反馈闭环机制，多模态人工智能系统还能够根据应用效果不断优化测评任务配置、评分逻辑、结果解释和干预建议，从而提升教育测评的适配性和支持性。</w:t>
      </w:r>
    </w:p>
    <w:p w14:paraId="7E124953">
      <w:pPr>
        <w:pStyle w:val="56"/>
        <w:spacing w:line="360" w:lineRule="auto"/>
        <w:ind w:firstLine="420"/>
      </w:pPr>
      <w:r>
        <w:rPr>
          <w:rFonts w:hint="eastAsia"/>
        </w:rPr>
        <w:t>但是，多模态人工智能教育测评在推广应用过程中，也面临一系列需要规范的问题。不同教育场景、不同学段、不同学科和不同测评目标对数据类型、评价逻辑、模型能力和质量要求存在明显差异，若缺乏统一规范，容易出现测评目标不清、采集边界不明、模态选取不当、算法偏差难控、评分规则不透明、动态优化无依据、质量监测不到位和结果使用失当等问题。部分应用中存在以技术能力替代教育规律、以数据数量替代测评质量、以模型输出替代专业判断、以自动化结论替代人工复核的倾向，可能影响测评结果的科学性、公平性和可解释性。特别是在涉及高风险评价、学业结果认定、升学选拔、职业资格评价和未成年人教育场景时，若缺乏全过程质量管控和动态优化约束，可能带来较大的管理风险、伦理风险和应用风险。</w:t>
      </w:r>
    </w:p>
    <w:p w14:paraId="017938E6">
      <w:pPr>
        <w:pStyle w:val="56"/>
        <w:spacing w:line="360" w:lineRule="auto"/>
        <w:ind w:firstLine="420"/>
      </w:pPr>
      <w:r>
        <w:rPr>
          <w:rFonts w:hint="eastAsia"/>
        </w:rPr>
        <w:t>本文件立足教育测评业务属性和多模态人工智能技术应用特点，围绕测评目标设定、应用场景划分、数据采集与治理、模型构建与验证、动态优化机制、质量管控要求、结果应用边界、风险控制和持续改进等关键内容，提出规范要求。其目的在于统一多模态人工智能教育测评的基本原则、实施流程和质量控制要点，减少因技术路径不当、数据基础薄弱、规则设置不合理和管理衔接不足导致的测评偏差，促进多模态人工智能教育测评应用规范、有序、可持续发展。</w:t>
      </w:r>
    </w:p>
    <w:p w14:paraId="101A0A99">
      <w:pPr>
        <w:pStyle w:val="56"/>
        <w:spacing w:line="360" w:lineRule="auto"/>
        <w:ind w:firstLine="420"/>
      </w:pPr>
      <w:r>
        <w:rPr>
          <w:rFonts w:hint="eastAsia"/>
        </w:rPr>
        <w:t>本文件的制定与实施，有助于推动多模态人工智能教育测评由分散探索向规范应用转变，由技术驱动向教育与技术协同驱动转变，由单点试用向全过程质量治理转变；有助于提升教育测评活动的客观性、适切性、稳定性和可解释性；有助于促进教育测评质量提升、教育数据合理利用和人工智能教育应用健康发展，为教育数字化和智能化背景下的测评改革提供支撑。</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29FBCBFC">
          <w:pPr>
            <w:pStyle w:val="177"/>
            <w:spacing w:after="0"/>
            <w:rPr>
              <w:rFonts w:hint="eastAsia"/>
            </w:rPr>
          </w:pPr>
          <w:bookmarkStart w:id="27" w:name="NEW_STAND_NAME"/>
          <w:r>
            <w:rPr>
              <w:rFonts w:hint="eastAsia"/>
            </w:rPr>
            <w:t>多模态人工智能教育测评动态优化</w:t>
          </w:r>
        </w:p>
        <w:p w14:paraId="7D4E3E1F">
          <w:pPr>
            <w:pStyle w:val="177"/>
            <w:spacing w:before="0" w:after="0"/>
            <w:rPr>
              <w:rFonts w:hint="eastAsia"/>
            </w:rPr>
          </w:pPr>
          <w:r>
            <w:rPr>
              <w:rFonts w:hint="eastAsia"/>
            </w:rPr>
            <w:t>与质量管控规范</w:t>
          </w:r>
        </w:p>
      </w:sdtContent>
    </w:sdt>
    <w:bookmarkEnd w:id="27"/>
    <w:p w14:paraId="3DB22445">
      <w:pPr>
        <w:pStyle w:val="104"/>
        <w:spacing w:before="240" w:after="240" w:line="360" w:lineRule="auto"/>
      </w:pPr>
      <w:bookmarkStart w:id="28" w:name="_Toc17233325"/>
      <w:bookmarkStart w:id="29" w:name="_Toc24884211"/>
      <w:bookmarkStart w:id="30" w:name="_Toc24884218"/>
      <w:bookmarkStart w:id="31" w:name="_Toc26648465"/>
      <w:bookmarkStart w:id="32" w:name="_Toc17233333"/>
      <w:bookmarkStart w:id="33" w:name="_Toc97192964"/>
      <w:bookmarkStart w:id="34" w:name="_Toc26986530"/>
      <w:bookmarkStart w:id="35" w:name="_Toc228564643"/>
      <w:bookmarkStart w:id="36" w:name="_Toc26986771"/>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441F6051">
      <w:pPr>
        <w:pStyle w:val="56"/>
        <w:spacing w:line="360" w:lineRule="auto"/>
        <w:ind w:firstLine="420"/>
      </w:pPr>
      <w:bookmarkStart w:id="38" w:name="_Toc24884219"/>
      <w:bookmarkStart w:id="39" w:name="_Toc17233326"/>
      <w:bookmarkStart w:id="40" w:name="_Toc17233334"/>
      <w:bookmarkStart w:id="41" w:name="_Toc24884212"/>
      <w:bookmarkStart w:id="42" w:name="_Toc26648466"/>
      <w:r>
        <w:rPr>
          <w:rFonts w:hint="eastAsia"/>
        </w:rPr>
        <w:t>本文件规定了多模态人工智能教育测评动态优化与质量管控的基本规定，测评目标与应用场景设计要求，模态数据采集与治理要求，模型构建、验证与测评实施要求，动态优化机制要求以及质量管控、结果复核与持续改进等内容。</w:t>
      </w:r>
    </w:p>
    <w:p w14:paraId="38DA674B">
      <w:pPr>
        <w:pStyle w:val="56"/>
        <w:spacing w:line="360" w:lineRule="auto"/>
        <w:ind w:firstLine="420"/>
      </w:pPr>
      <w:r>
        <w:rPr>
          <w:rFonts w:hint="eastAsia"/>
        </w:rPr>
        <w:t>本文件适用于教育领域中采用多模态人工智能技术开展的形成性评价、诊断性评价、终结性评价、过程性评价、能力评价、技能评价和综合素养评价等活动。</w:t>
      </w:r>
    </w:p>
    <w:p w14:paraId="3733B2AD">
      <w:pPr>
        <w:pStyle w:val="104"/>
        <w:spacing w:before="240" w:after="240" w:line="360" w:lineRule="auto"/>
      </w:pPr>
      <w:bookmarkStart w:id="43" w:name="_Toc26718931"/>
      <w:bookmarkStart w:id="44" w:name="_Toc26986531"/>
      <w:bookmarkStart w:id="45" w:name="_Toc26986772"/>
      <w:bookmarkStart w:id="46" w:name="_Toc228564644"/>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3E6466">
      <w:pPr>
        <w:pStyle w:val="56"/>
        <w:spacing w:line="360" w:lineRule="auto"/>
        <w:ind w:firstLine="420"/>
      </w:pPr>
      <w:r>
        <w:rPr>
          <w:rFonts w:hint="eastAsia"/>
        </w:rPr>
        <w:t>GB/T 1.1—2020 标准化工作导则  第1部分：标准化文件的结构和起草规则</w:t>
      </w:r>
    </w:p>
    <w:p w14:paraId="2B3E6CA2">
      <w:pPr>
        <w:pStyle w:val="56"/>
        <w:spacing w:line="360" w:lineRule="auto"/>
        <w:ind w:firstLine="420"/>
      </w:pPr>
      <w:r>
        <w:rPr>
          <w:rFonts w:hint="eastAsia"/>
        </w:rPr>
        <w:t>GB/T 19000—2016 质量管理体系  基础和术语</w:t>
      </w:r>
    </w:p>
    <w:p w14:paraId="16C9D37F">
      <w:pPr>
        <w:pStyle w:val="56"/>
        <w:spacing w:line="360" w:lineRule="auto"/>
        <w:ind w:firstLine="420"/>
      </w:pPr>
      <w:r>
        <w:rPr>
          <w:rFonts w:hint="eastAsia"/>
        </w:rPr>
        <w:t>GB/T 19001—2016 质量管理体系  要求</w:t>
      </w:r>
    </w:p>
    <w:p w14:paraId="07A7F860">
      <w:pPr>
        <w:pStyle w:val="56"/>
        <w:spacing w:line="360" w:lineRule="auto"/>
        <w:ind w:firstLine="420"/>
      </w:pPr>
      <w:r>
        <w:rPr>
          <w:rFonts w:hint="eastAsia"/>
        </w:rPr>
        <w:t>GB/T 22239—2019 信息安全技术  网络安全等级保护基本要求</w:t>
      </w:r>
    </w:p>
    <w:p w14:paraId="51F02A4E">
      <w:pPr>
        <w:pStyle w:val="104"/>
        <w:spacing w:before="240" w:after="240" w:line="360" w:lineRule="auto"/>
      </w:pPr>
      <w:bookmarkStart w:id="48" w:name="_Toc228564645"/>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F8BAB9">
          <w:pPr>
            <w:pStyle w:val="56"/>
            <w:spacing w:line="360" w:lineRule="auto"/>
            <w:ind w:firstLine="420"/>
          </w:pPr>
          <w:bookmarkStart w:id="50" w:name="_Toc26986532"/>
          <w:bookmarkEnd w:id="50"/>
          <w:r>
            <w:t>下列术语和定义适用于本文件。</w:t>
          </w:r>
        </w:p>
      </w:sdtContent>
    </w:sdt>
    <w:p w14:paraId="2FAD19B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多模态人工智能教育测评 multimodal artificial intelligence educational assessment</w:t>
      </w:r>
    </w:p>
    <w:p w14:paraId="08F4642C">
      <w:pPr>
        <w:pStyle w:val="56"/>
        <w:spacing w:line="360" w:lineRule="auto"/>
        <w:ind w:firstLine="420"/>
      </w:pPr>
      <w:r>
        <w:rPr>
          <w:rFonts w:hint="eastAsia"/>
        </w:rPr>
        <w:t>在教育评价活动中，综合利用文本、语音、图像、视频、行为轨迹和其他相关数据，通过人工智能技术进行识别、分析、推断和反馈的测评活动。</w:t>
      </w:r>
    </w:p>
    <w:p w14:paraId="79D3E1A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多模态数据 multimodal data</w:t>
      </w:r>
    </w:p>
    <w:p w14:paraId="62E4A1EA">
      <w:pPr>
        <w:pStyle w:val="56"/>
        <w:spacing w:line="360" w:lineRule="auto"/>
        <w:ind w:firstLine="420"/>
      </w:pPr>
      <w:r>
        <w:rPr>
          <w:rFonts w:hint="eastAsia"/>
        </w:rPr>
        <w:t>来源于两种及以上感知或表达方式，能够共同反映学习者状态、行为过程、作答表现或者能力特征的数据。</w:t>
      </w:r>
    </w:p>
    <w:p w14:paraId="660B004E">
      <w:pPr>
        <w:pStyle w:val="56"/>
        <w:spacing w:line="360" w:lineRule="auto"/>
        <w:ind w:firstLine="420"/>
        <w:rPr>
          <w:rFonts w:hint="eastAsia"/>
        </w:rPr>
      </w:pPr>
    </w:p>
    <w:p w14:paraId="2949E96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教育测评目标 educational assessment objective</w:t>
      </w:r>
    </w:p>
    <w:p w14:paraId="2806FDA0">
      <w:pPr>
        <w:pStyle w:val="56"/>
        <w:spacing w:line="360" w:lineRule="auto"/>
        <w:ind w:firstLine="420"/>
      </w:pPr>
      <w:r>
        <w:rPr>
          <w:rFonts w:hint="eastAsia"/>
        </w:rPr>
        <w:t>教育测评活动中对学习结果、学习过程、能力发展、技能表现、行为特征或者综合素养所设定的评价指向和预期要求。</w:t>
      </w:r>
    </w:p>
    <w:p w14:paraId="70DD3D9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测评场景 assessment scenario</w:t>
      </w:r>
    </w:p>
    <w:p w14:paraId="46D130EC">
      <w:pPr>
        <w:pStyle w:val="56"/>
        <w:spacing w:line="360" w:lineRule="auto"/>
        <w:ind w:firstLine="420"/>
      </w:pPr>
      <w:r>
        <w:rPr>
          <w:rFonts w:hint="eastAsia"/>
        </w:rPr>
        <w:t>多模态人工智能教育测评实施的具体业务环境和应用情形，包括课堂、作业、考试、实训、实验、讨论、口语表达和在线学习等情形。</w:t>
      </w:r>
    </w:p>
    <w:p w14:paraId="66203F5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测评任务 assessment task</w:t>
      </w:r>
    </w:p>
    <w:p w14:paraId="7DCD4C17">
      <w:pPr>
        <w:pStyle w:val="56"/>
        <w:spacing w:line="360" w:lineRule="auto"/>
        <w:ind w:firstLine="420"/>
      </w:pPr>
      <w:r>
        <w:rPr>
          <w:rFonts w:hint="eastAsia"/>
        </w:rPr>
        <w:t>为实现特定教育测评目标而设置的评价活动单元，包括任务内容、作答方式、采集要求、评分规则和反馈要求等要素。</w:t>
      </w:r>
    </w:p>
    <w:p w14:paraId="627D428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模态特征 modal feature</w:t>
      </w:r>
    </w:p>
    <w:p w14:paraId="6A4EECF9">
      <w:pPr>
        <w:pStyle w:val="56"/>
        <w:spacing w:line="360" w:lineRule="auto"/>
        <w:ind w:firstLine="420"/>
      </w:pPr>
      <w:r>
        <w:rPr>
          <w:rFonts w:hint="eastAsia"/>
        </w:rPr>
        <w:t>从文本、语音、图像、视频、动作轨迹或者其他模态数据中提取的、能够反映学习行为、作答状态、表达质量或者能力表现的结构化信息。</w:t>
      </w:r>
    </w:p>
    <w:p w14:paraId="25DE37F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模态融合 multimodal fusion</w:t>
      </w:r>
    </w:p>
    <w:p w14:paraId="41A941C9">
      <w:pPr>
        <w:pStyle w:val="56"/>
        <w:spacing w:line="360" w:lineRule="auto"/>
        <w:ind w:firstLine="420"/>
      </w:pPr>
      <w:r>
        <w:rPr>
          <w:rFonts w:hint="eastAsia"/>
        </w:rPr>
        <w:t>对来自不同模态的数据或者特征进行对齐、组合、关联和综合分析，以形成统一测评依据的处理过程。</w:t>
      </w:r>
    </w:p>
    <w:p w14:paraId="36316BF9">
      <w:pPr>
        <w:pStyle w:val="104"/>
        <w:spacing w:before="240" w:after="240" w:line="360" w:lineRule="auto"/>
      </w:pPr>
      <w:bookmarkStart w:id="51" w:name="_Toc228564646"/>
      <w:r>
        <w:rPr>
          <w:rFonts w:hint="eastAsia"/>
        </w:rPr>
        <w:t>基本规定</w:t>
      </w:r>
      <w:bookmarkEnd w:id="51"/>
    </w:p>
    <w:p w14:paraId="5D721F78">
      <w:pPr>
        <w:pStyle w:val="105"/>
        <w:spacing w:before="120" w:after="120" w:line="360" w:lineRule="auto"/>
      </w:pPr>
      <w:r>
        <w:rPr>
          <w:rFonts w:hint="eastAsia"/>
        </w:rPr>
        <w:t>一般要求</w:t>
      </w:r>
    </w:p>
    <w:p w14:paraId="4DBBFA56">
      <w:pPr>
        <w:pStyle w:val="165"/>
        <w:spacing w:line="360" w:lineRule="auto"/>
      </w:pPr>
      <w:r>
        <w:rPr>
          <w:rFonts w:hint="eastAsia"/>
        </w:rPr>
        <w:t>多模态人工智能教育测评活动应坚持教育导向、科学导向、质量导向和安全导向相统一的原则。</w:t>
      </w:r>
    </w:p>
    <w:p w14:paraId="1A257B60">
      <w:pPr>
        <w:pStyle w:val="165"/>
        <w:spacing w:line="360" w:lineRule="auto"/>
      </w:pPr>
      <w:r>
        <w:rPr>
          <w:rFonts w:hint="eastAsia"/>
        </w:rPr>
        <w:t>多模态人工智能教育测评应以课程目标、培养目标、能力要求、评价标准和实际教学场景为依据组织实施，不得脱离教育目标单独追求技术应用效果。</w:t>
      </w:r>
    </w:p>
    <w:p w14:paraId="7269143E">
      <w:pPr>
        <w:pStyle w:val="165"/>
        <w:spacing w:line="360" w:lineRule="auto"/>
      </w:pPr>
      <w:r>
        <w:rPr>
          <w:rFonts w:hint="eastAsia"/>
        </w:rPr>
        <w:t>多模态人工智能教育测评的设计、实施、优化和质量管控，应贯穿测评方案制定、数据采集、数据处理、模型运行、结果输出、人工复核、反馈应用和持续改进全过程。</w:t>
      </w:r>
    </w:p>
    <w:p w14:paraId="141257E0">
      <w:pPr>
        <w:pStyle w:val="165"/>
        <w:spacing w:line="360" w:lineRule="auto"/>
      </w:pPr>
      <w:r>
        <w:rPr>
          <w:rFonts w:hint="eastAsia"/>
        </w:rPr>
        <w:t>多模态人工智能教育测评不得以模型输出直接替代全部教育判断；对涉及高风险教育决策、重要结果认定和重大权益影响的测评活动，应保留必要的人工审核、人工复核或者专家论证环节。</w:t>
      </w:r>
    </w:p>
    <w:p w14:paraId="0E3FA52C">
      <w:pPr>
        <w:pStyle w:val="165"/>
        <w:spacing w:line="360" w:lineRule="auto"/>
      </w:pPr>
      <w:r>
        <w:rPr>
          <w:rFonts w:hint="eastAsia"/>
        </w:rPr>
        <w:t>多模态人工智能教育测评应遵循适度采集、最小必要、目标匹配、结果可解释、过程可追溯和风险可控制的要求。</w:t>
      </w:r>
    </w:p>
    <w:p w14:paraId="184E128C">
      <w:pPr>
        <w:pStyle w:val="165"/>
        <w:spacing w:line="360" w:lineRule="auto"/>
      </w:pPr>
      <w:r>
        <w:rPr>
          <w:rFonts w:hint="eastAsia"/>
        </w:rPr>
        <w:t>测评实施单位应建立相应的管理制度、技术规范、责任机制和质量保障机制，并明确测评实施、系统运维、结果复核、数据管理和风险控制等职责分工。</w:t>
      </w:r>
    </w:p>
    <w:p w14:paraId="1F0792AA">
      <w:pPr>
        <w:pStyle w:val="165"/>
        <w:spacing w:line="360" w:lineRule="auto"/>
      </w:pPr>
      <w:r>
        <w:rPr>
          <w:rFonts w:hint="eastAsia"/>
        </w:rPr>
        <w:t>多模态人工智能教育测评活动不得因提升自动化程度而削弱评价标准、质量要求、伦理边界和安全边界。</w:t>
      </w:r>
    </w:p>
    <w:p w14:paraId="05691E72">
      <w:pPr>
        <w:pStyle w:val="105"/>
        <w:spacing w:before="120" w:after="120" w:line="360" w:lineRule="auto"/>
      </w:pPr>
      <w:r>
        <w:rPr>
          <w:rFonts w:hint="eastAsia"/>
        </w:rPr>
        <w:t>基本原则</w:t>
      </w:r>
    </w:p>
    <w:p w14:paraId="1D5C5E21">
      <w:pPr>
        <w:pStyle w:val="165"/>
        <w:spacing w:line="360" w:lineRule="auto"/>
      </w:pPr>
      <w:r>
        <w:rPr>
          <w:rFonts w:hint="eastAsia"/>
        </w:rPr>
        <w:t>多模态人工智能教育测评应遵循目标明确原则。测评目标、评价对象、应用场景、结果用途和优化边界应在测评实施前予以明确。</w:t>
      </w:r>
    </w:p>
    <w:p w14:paraId="718B0378">
      <w:pPr>
        <w:pStyle w:val="165"/>
        <w:spacing w:line="360" w:lineRule="auto"/>
      </w:pPr>
      <w:r>
        <w:rPr>
          <w:rFonts w:hint="eastAsia"/>
        </w:rPr>
        <w:t>多模态人工智能教育测评应遵循模态适配原则。模态数据选择应与测评目标、学科特点、任务类型、学习阶段和对象特征相匹配，不得盲目增加模态种类或者扩大采集范围。</w:t>
      </w:r>
    </w:p>
    <w:p w14:paraId="141921B4">
      <w:pPr>
        <w:pStyle w:val="165"/>
        <w:spacing w:line="360" w:lineRule="auto"/>
      </w:pPr>
      <w:r>
        <w:rPr>
          <w:rFonts w:hint="eastAsia"/>
        </w:rPr>
        <w:t>多模态人工智能教育测评应遵循过程可控原则。测评任务配置、数据处理、模型调用、评分逻辑、动态优化和结果应用均应具备明确规则和控制要求。</w:t>
      </w:r>
    </w:p>
    <w:p w14:paraId="50A4B668">
      <w:pPr>
        <w:pStyle w:val="165"/>
        <w:spacing w:line="360" w:lineRule="auto"/>
      </w:pPr>
      <w:r>
        <w:rPr>
          <w:rFonts w:hint="eastAsia"/>
        </w:rPr>
        <w:t>多模态人工智能教育测评应遵循结果可信原则。测评结果应具备合理性、一致性、稳定性和必要的解释能力。</w:t>
      </w:r>
    </w:p>
    <w:p w14:paraId="6219E4A4">
      <w:pPr>
        <w:pStyle w:val="165"/>
        <w:spacing w:line="360" w:lineRule="auto"/>
      </w:pPr>
      <w:r>
        <w:rPr>
          <w:rFonts w:hint="eastAsia"/>
        </w:rPr>
        <w:t>多模态人工智能教育测评应遵循公平审慎原则。不得因算法偏差、样本偏差、场景偏差、设备差异或者环境差异对受测对象造成不合理影响。</w:t>
      </w:r>
    </w:p>
    <w:p w14:paraId="46602DF9">
      <w:pPr>
        <w:pStyle w:val="165"/>
        <w:spacing w:line="360" w:lineRule="auto"/>
      </w:pPr>
      <w:r>
        <w:rPr>
          <w:rFonts w:hint="eastAsia"/>
        </w:rPr>
        <w:t>多模态人工智能教育测评应遵循优化有据原则。动态优化应基于质量监测、误差分析、应用反馈和效果验证结果实施，不得无依据频繁调整。</w:t>
      </w:r>
    </w:p>
    <w:p w14:paraId="448349B2">
      <w:pPr>
        <w:pStyle w:val="165"/>
        <w:spacing w:line="360" w:lineRule="auto"/>
      </w:pPr>
      <w:r>
        <w:rPr>
          <w:rFonts w:hint="eastAsia"/>
        </w:rPr>
        <w:t>多模态人工智能教育测评应遵循安全合规原则。涉及未成年人、敏感身份信息、行为数据、图像音视频数据和高风险决策数据时，应依法依规实施严格管理。</w:t>
      </w:r>
    </w:p>
    <w:p w14:paraId="04732FE3">
      <w:pPr>
        <w:pStyle w:val="105"/>
        <w:spacing w:before="120" w:after="120" w:line="360" w:lineRule="auto"/>
      </w:pPr>
      <w:r>
        <w:rPr>
          <w:rFonts w:hint="eastAsia"/>
        </w:rPr>
        <w:t>适用边界</w:t>
      </w:r>
    </w:p>
    <w:p w14:paraId="0114ECA5">
      <w:pPr>
        <w:pStyle w:val="165"/>
        <w:spacing w:line="360" w:lineRule="auto"/>
      </w:pPr>
      <w:r>
        <w:rPr>
          <w:rFonts w:hint="eastAsia"/>
        </w:rPr>
        <w:t>多模态人工智能教育测评适用于能够通过多源数据更准确、更全面反映学习结果、学习过程、能力表现或者技能水平的评价活动。</w:t>
      </w:r>
    </w:p>
    <w:p w14:paraId="642E0F52">
      <w:pPr>
        <w:pStyle w:val="165"/>
        <w:spacing w:line="360" w:lineRule="auto"/>
      </w:pPr>
      <w:r>
        <w:rPr>
          <w:rFonts w:hint="eastAsia"/>
        </w:rPr>
        <w:t>下列情形宜优先采用多模态人工智能教育测评：</w:t>
      </w:r>
    </w:p>
    <w:p w14:paraId="319AE454">
      <w:pPr>
        <w:pStyle w:val="56"/>
        <w:spacing w:line="360" w:lineRule="auto"/>
        <w:ind w:firstLine="420"/>
      </w:pPr>
      <w:r>
        <w:rPr>
          <w:rFonts w:hint="eastAsia"/>
        </w:rPr>
        <w:t>a）需要综合评价口语表达、实验操作、技能实训、课堂互动、项目过程和综合表现的场景；</w:t>
      </w:r>
    </w:p>
    <w:p w14:paraId="1E364897">
      <w:pPr>
        <w:pStyle w:val="56"/>
        <w:spacing w:line="360" w:lineRule="auto"/>
        <w:ind w:firstLine="420"/>
      </w:pPr>
      <w:r>
        <w:rPr>
          <w:rFonts w:hint="eastAsia"/>
        </w:rPr>
        <w:t>b）需要对学习行为、作答过程和阶段变化进行持续性分析的场景；</w:t>
      </w:r>
    </w:p>
    <w:p w14:paraId="238B916D">
      <w:pPr>
        <w:pStyle w:val="56"/>
        <w:spacing w:line="360" w:lineRule="auto"/>
        <w:ind w:firstLine="420"/>
      </w:pPr>
      <w:r>
        <w:rPr>
          <w:rFonts w:hint="eastAsia"/>
        </w:rPr>
        <w:t>c）需要形成过程反馈、个性化建议或者分层干预支持的场景；</w:t>
      </w:r>
    </w:p>
    <w:p w14:paraId="0AF8A624">
      <w:pPr>
        <w:pStyle w:val="56"/>
        <w:spacing w:line="360" w:lineRule="auto"/>
        <w:ind w:firstLine="420"/>
      </w:pPr>
      <w:r>
        <w:rPr>
          <w:rFonts w:hint="eastAsia"/>
        </w:rPr>
        <w:t>d）需要提升大规模重复性评价效率，但仍可保留人工把关机制的场景。</w:t>
      </w:r>
    </w:p>
    <w:p w14:paraId="2C8B4A8D">
      <w:pPr>
        <w:pStyle w:val="165"/>
        <w:spacing w:line="360" w:lineRule="auto"/>
      </w:pPr>
      <w:r>
        <w:rPr>
          <w:rFonts w:hint="eastAsia"/>
        </w:rPr>
        <w:t>下列情形不宜仅依赖多模态人工智能测评结果直接作出最终结论：</w:t>
      </w:r>
    </w:p>
    <w:p w14:paraId="1F2842CF">
      <w:pPr>
        <w:pStyle w:val="56"/>
        <w:spacing w:line="360" w:lineRule="auto"/>
        <w:ind w:firstLine="420"/>
      </w:pPr>
      <w:r>
        <w:rPr>
          <w:rFonts w:hint="eastAsia"/>
        </w:rPr>
        <w:t>a）升学选拔、分流安置、资格授予等高风险决策场景；</w:t>
      </w:r>
    </w:p>
    <w:p w14:paraId="6697B020">
      <w:pPr>
        <w:pStyle w:val="56"/>
        <w:spacing w:line="360" w:lineRule="auto"/>
        <w:ind w:firstLine="420"/>
      </w:pPr>
      <w:r>
        <w:rPr>
          <w:rFonts w:hint="eastAsia"/>
        </w:rPr>
        <w:t>b）关系重大教育权益且人工复核条件不足的场景；</w:t>
      </w:r>
    </w:p>
    <w:p w14:paraId="644CACEA">
      <w:pPr>
        <w:pStyle w:val="56"/>
        <w:spacing w:line="360" w:lineRule="auto"/>
        <w:ind w:firstLine="420"/>
      </w:pPr>
      <w:r>
        <w:rPr>
          <w:rFonts w:hint="eastAsia"/>
        </w:rPr>
        <w:t>c）数据采集条件不稳定、模态严重缺失或者样本代表性明显不足的场景；</w:t>
      </w:r>
    </w:p>
    <w:p w14:paraId="01B7C707">
      <w:pPr>
        <w:pStyle w:val="56"/>
        <w:spacing w:line="360" w:lineRule="auto"/>
        <w:ind w:firstLine="420"/>
      </w:pPr>
      <w:r>
        <w:rPr>
          <w:rFonts w:hint="eastAsia"/>
        </w:rPr>
        <w:t>d）评价标准尚不成熟、评分规则尚未验证或者结果解释机制不明确的场景。</w:t>
      </w:r>
    </w:p>
    <w:p w14:paraId="7B8E7BCC">
      <w:pPr>
        <w:pStyle w:val="165"/>
        <w:spacing w:line="360" w:lineRule="auto"/>
      </w:pPr>
      <w:r>
        <w:rPr>
          <w:rFonts w:hint="eastAsia"/>
        </w:rPr>
        <w:t>测评实施单位应根据学段、学科、课程类型、评价目的和应用风险，明确适用边界、限制条件和禁止性边界。</w:t>
      </w:r>
    </w:p>
    <w:p w14:paraId="66D3C594">
      <w:pPr>
        <w:pStyle w:val="105"/>
        <w:spacing w:before="120" w:after="120" w:line="360" w:lineRule="auto"/>
      </w:pPr>
      <w:r>
        <w:rPr>
          <w:rFonts w:hint="eastAsia"/>
        </w:rPr>
        <w:t>管理职责</w:t>
      </w:r>
    </w:p>
    <w:p w14:paraId="3E3BAED4">
      <w:pPr>
        <w:pStyle w:val="165"/>
        <w:spacing w:line="360" w:lineRule="auto"/>
      </w:pPr>
      <w:r>
        <w:rPr>
          <w:rFonts w:hint="eastAsia"/>
        </w:rPr>
        <w:t>采用多模态人工智能教育测评的实施单位应明确主管部门、业务部门、技术支撑部门、数据管理部门和质量管理部门的职责。</w:t>
      </w:r>
    </w:p>
    <w:p w14:paraId="573A11F7">
      <w:pPr>
        <w:pStyle w:val="165"/>
        <w:spacing w:line="360" w:lineRule="auto"/>
      </w:pPr>
      <w:r>
        <w:rPr>
          <w:rFonts w:hint="eastAsia"/>
        </w:rPr>
        <w:t>教育教学业务部门应负责测评目标设定、评价标准制定、任务设计、结果解释和教育应用边界把控。</w:t>
      </w:r>
    </w:p>
    <w:p w14:paraId="6CA57B0C">
      <w:pPr>
        <w:pStyle w:val="165"/>
        <w:spacing w:line="360" w:lineRule="auto"/>
      </w:pPr>
      <w:r>
        <w:rPr>
          <w:rFonts w:hint="eastAsia"/>
        </w:rPr>
        <w:t>技术支撑部门应负责系统建设、模型部署、接口维护、运行保障和技术问题处置。</w:t>
      </w:r>
    </w:p>
    <w:p w14:paraId="5C3A2684">
      <w:pPr>
        <w:pStyle w:val="165"/>
        <w:spacing w:line="360" w:lineRule="auto"/>
      </w:pPr>
      <w:r>
        <w:rPr>
          <w:rFonts w:hint="eastAsia"/>
        </w:rPr>
        <w:t>数据管理部门应负责数据采集规则、数据治理、数据权限、数据存储、数据留痕和数据安全管理。</w:t>
      </w:r>
    </w:p>
    <w:p w14:paraId="006227C2">
      <w:pPr>
        <w:pStyle w:val="165"/>
        <w:spacing w:line="360" w:lineRule="auto"/>
      </w:pPr>
      <w:r>
        <w:rPr>
          <w:rFonts w:hint="eastAsia"/>
        </w:rPr>
        <w:t>质量管理部门应负责质量规则制定、质量监测、异常抽检、偏差分析、优化审核和质量评价。</w:t>
      </w:r>
    </w:p>
    <w:p w14:paraId="08440028">
      <w:pPr>
        <w:pStyle w:val="165"/>
        <w:spacing w:line="360" w:lineRule="auto"/>
      </w:pPr>
      <w:r>
        <w:rPr>
          <w:rFonts w:hint="eastAsia"/>
        </w:rPr>
        <w:t>人工复核人员、任课教师、测评专家和管理人员应根据分工承担复核、确认、解释、纠偏和监督职责。</w:t>
      </w:r>
    </w:p>
    <w:p w14:paraId="67D5F1D6">
      <w:pPr>
        <w:pStyle w:val="165"/>
        <w:spacing w:line="360" w:lineRule="auto"/>
      </w:pPr>
      <w:r>
        <w:rPr>
          <w:rFonts w:hint="eastAsia"/>
        </w:rPr>
        <w:t>各责任主体之间应建立信息沟通、异常反馈、结果复核和问题整改的协同机制，不得出现责任缺失、边界不清或者互相替代。</w:t>
      </w:r>
    </w:p>
    <w:p w14:paraId="730366D6">
      <w:pPr>
        <w:pStyle w:val="105"/>
        <w:spacing w:before="120" w:after="120" w:line="360" w:lineRule="auto"/>
      </w:pPr>
      <w:r>
        <w:rPr>
          <w:rFonts w:hint="eastAsia"/>
        </w:rPr>
        <w:t>测评实施前提</w:t>
      </w:r>
    </w:p>
    <w:p w14:paraId="113B24D7">
      <w:pPr>
        <w:pStyle w:val="165"/>
        <w:spacing w:line="360" w:lineRule="auto"/>
      </w:pPr>
      <w:r>
        <w:rPr>
          <w:rFonts w:hint="eastAsia"/>
        </w:rPr>
        <w:t>开展多模态人工智能教育测评前，应具备下列基本条件：</w:t>
      </w:r>
    </w:p>
    <w:p w14:paraId="2809F6D5">
      <w:pPr>
        <w:pStyle w:val="56"/>
        <w:spacing w:line="360" w:lineRule="auto"/>
        <w:ind w:firstLine="420"/>
      </w:pPr>
      <w:r>
        <w:rPr>
          <w:rFonts w:hint="eastAsia"/>
        </w:rPr>
        <w:t>a）测评目标明确；</w:t>
      </w:r>
    </w:p>
    <w:p w14:paraId="214F1522">
      <w:pPr>
        <w:pStyle w:val="56"/>
        <w:spacing w:line="360" w:lineRule="auto"/>
        <w:ind w:firstLine="420"/>
      </w:pPr>
      <w:r>
        <w:rPr>
          <w:rFonts w:hint="eastAsia"/>
        </w:rPr>
        <w:t>b）评价标准明确；</w:t>
      </w:r>
    </w:p>
    <w:p w14:paraId="71EA8553">
      <w:pPr>
        <w:pStyle w:val="56"/>
        <w:spacing w:line="360" w:lineRule="auto"/>
        <w:ind w:firstLine="420"/>
      </w:pPr>
      <w:r>
        <w:rPr>
          <w:rFonts w:hint="eastAsia"/>
        </w:rPr>
        <w:t>c）模态数据采集规则明确；</w:t>
      </w:r>
    </w:p>
    <w:p w14:paraId="4D09C866">
      <w:pPr>
        <w:pStyle w:val="56"/>
        <w:spacing w:line="360" w:lineRule="auto"/>
        <w:ind w:firstLine="420"/>
      </w:pPr>
      <w:r>
        <w:rPr>
          <w:rFonts w:hint="eastAsia"/>
        </w:rPr>
        <w:t>d）模型或者规则工具经过验证；</w:t>
      </w:r>
    </w:p>
    <w:p w14:paraId="0B59C5A7">
      <w:pPr>
        <w:pStyle w:val="56"/>
        <w:spacing w:line="360" w:lineRule="auto"/>
        <w:ind w:firstLine="420"/>
      </w:pPr>
      <w:r>
        <w:rPr>
          <w:rFonts w:hint="eastAsia"/>
        </w:rPr>
        <w:t>e）人工复核机制明确；</w:t>
      </w:r>
    </w:p>
    <w:p w14:paraId="0E004DEB">
      <w:pPr>
        <w:pStyle w:val="56"/>
        <w:spacing w:line="360" w:lineRule="auto"/>
        <w:ind w:firstLine="420"/>
      </w:pPr>
      <w:r>
        <w:rPr>
          <w:rFonts w:hint="eastAsia"/>
        </w:rPr>
        <w:t>f）质量监测机制明确；</w:t>
      </w:r>
    </w:p>
    <w:p w14:paraId="3CB9F754">
      <w:pPr>
        <w:pStyle w:val="56"/>
        <w:spacing w:line="360" w:lineRule="auto"/>
        <w:ind w:firstLine="420"/>
      </w:pPr>
      <w:r>
        <w:rPr>
          <w:rFonts w:hint="eastAsia"/>
        </w:rPr>
        <w:t>g）数据安全和使用授权机制明确；</w:t>
      </w:r>
    </w:p>
    <w:p w14:paraId="323FE9F7">
      <w:pPr>
        <w:pStyle w:val="56"/>
        <w:spacing w:line="360" w:lineRule="auto"/>
        <w:ind w:firstLine="420"/>
      </w:pPr>
      <w:r>
        <w:rPr>
          <w:rFonts w:hint="eastAsia"/>
        </w:rPr>
        <w:t>h）结果应用边界明确。</w:t>
      </w:r>
    </w:p>
    <w:p w14:paraId="5CFECFAF">
      <w:pPr>
        <w:pStyle w:val="165"/>
        <w:spacing w:line="360" w:lineRule="auto"/>
      </w:pPr>
      <w:r>
        <w:rPr>
          <w:rFonts w:hint="eastAsia"/>
        </w:rPr>
        <w:t>未满足前款条件的，不得将多模态人工智能系统直接投入正式测评活动。</w:t>
      </w:r>
    </w:p>
    <w:p w14:paraId="5BA7A3C9">
      <w:pPr>
        <w:pStyle w:val="165"/>
        <w:spacing w:line="360" w:lineRule="auto"/>
      </w:pPr>
      <w:r>
        <w:rPr>
          <w:rFonts w:hint="eastAsia"/>
        </w:rPr>
        <w:t>首次应用于某一学段、某一学科、某一课程类型或者某一高风险场景的，应先开展试点评估或者小范围验证。</w:t>
      </w:r>
    </w:p>
    <w:p w14:paraId="35D70B52">
      <w:pPr>
        <w:pStyle w:val="165"/>
        <w:spacing w:line="360" w:lineRule="auto"/>
      </w:pPr>
      <w:r>
        <w:rPr>
          <w:rFonts w:hint="eastAsia"/>
        </w:rPr>
        <w:t>试点评估应覆盖目标适配性、数据完整性、模型稳定性、评分一致性、人工复核需求和结果可接受性等内容。</w:t>
      </w:r>
    </w:p>
    <w:p w14:paraId="6CC86826">
      <w:pPr>
        <w:pStyle w:val="105"/>
        <w:spacing w:before="120" w:after="120" w:line="360" w:lineRule="auto"/>
      </w:pPr>
      <w:r>
        <w:rPr>
          <w:rFonts w:hint="eastAsia"/>
        </w:rPr>
        <w:t>数据与模型基本要求</w:t>
      </w:r>
    </w:p>
    <w:p w14:paraId="2B6E6708">
      <w:pPr>
        <w:pStyle w:val="165"/>
        <w:spacing w:line="360" w:lineRule="auto"/>
      </w:pPr>
      <w:r>
        <w:rPr>
          <w:rFonts w:hint="eastAsia"/>
        </w:rPr>
        <w:t>用于教育测评的多模态数据应来源明确、采集合规、质量可控、结构清晰并与测评目标存在合理关联。</w:t>
      </w:r>
    </w:p>
    <w:p w14:paraId="788C5A27">
      <w:pPr>
        <w:pStyle w:val="165"/>
        <w:spacing w:line="360" w:lineRule="auto"/>
      </w:pPr>
      <w:r>
        <w:rPr>
          <w:rFonts w:hint="eastAsia"/>
        </w:rPr>
        <w:t>用于教育测评的模型、规则引擎或者推理系统，应经过训练、测试、验证和必要复核，方可投入应用。</w:t>
      </w:r>
    </w:p>
    <w:p w14:paraId="25EAA43B">
      <w:pPr>
        <w:pStyle w:val="165"/>
        <w:spacing w:line="360" w:lineRule="auto"/>
      </w:pPr>
      <w:r>
        <w:rPr>
          <w:rFonts w:hint="eastAsia"/>
        </w:rPr>
        <w:t>不得使用来源不明、标注不清、质量失控或者与评价对象明显不匹配的数据训练或者验证测评模型。</w:t>
      </w:r>
    </w:p>
    <w:p w14:paraId="04799808">
      <w:pPr>
        <w:pStyle w:val="165"/>
        <w:spacing w:line="360" w:lineRule="auto"/>
      </w:pPr>
      <w:r>
        <w:rPr>
          <w:rFonts w:hint="eastAsia"/>
        </w:rPr>
        <w:t>不得将未经教育场景验证的通用模型输出直接作为正式测评依据。</w:t>
      </w:r>
    </w:p>
    <w:p w14:paraId="2F305075">
      <w:pPr>
        <w:pStyle w:val="165"/>
        <w:spacing w:line="360" w:lineRule="auto"/>
      </w:pPr>
      <w:r>
        <w:rPr>
          <w:rFonts w:hint="eastAsia"/>
        </w:rPr>
        <w:t>对不同群体、不同学段、不同地区、不同语言表达习惯或者不同设备条件下的测评活动，应关注模型适配性和偏差风险。</w:t>
      </w:r>
    </w:p>
    <w:p w14:paraId="5D78251E">
      <w:pPr>
        <w:pStyle w:val="105"/>
        <w:spacing w:before="120" w:after="120" w:line="360" w:lineRule="auto"/>
      </w:pPr>
      <w:r>
        <w:rPr>
          <w:rFonts w:hint="eastAsia"/>
        </w:rPr>
        <w:t>质量控制基本要求</w:t>
      </w:r>
    </w:p>
    <w:p w14:paraId="360C5F3F">
      <w:pPr>
        <w:pStyle w:val="165"/>
        <w:spacing w:line="360" w:lineRule="auto"/>
      </w:pPr>
      <w:r>
        <w:rPr>
          <w:rFonts w:hint="eastAsia"/>
        </w:rPr>
        <w:t>多模态人工智能教育测评应建立覆盖方案质量、数据质量、模型质量、实施质量、结果质量和应用质量的全过程质量管控机制。</w:t>
      </w:r>
    </w:p>
    <w:p w14:paraId="31D8441C">
      <w:pPr>
        <w:pStyle w:val="165"/>
        <w:spacing w:line="360" w:lineRule="auto"/>
      </w:pPr>
      <w:r>
        <w:rPr>
          <w:rFonts w:hint="eastAsia"/>
        </w:rPr>
        <w:t>对关键测评任务、重点评价对象和高风险应用场景，应提高质量控制要求和复核频次。</w:t>
      </w:r>
    </w:p>
    <w:p w14:paraId="7DFFE7AD">
      <w:pPr>
        <w:pStyle w:val="165"/>
        <w:spacing w:line="360" w:lineRule="auto"/>
      </w:pPr>
      <w:r>
        <w:rPr>
          <w:rFonts w:hint="eastAsia"/>
        </w:rPr>
        <w:t>发现结果偏差、模态缺失、评分异常、输出波动、场景不适配或者投诉争议集中等情形时，应立即启动质量核查和纠偏程序。</w:t>
      </w:r>
    </w:p>
    <w:p w14:paraId="73CCBCFC">
      <w:pPr>
        <w:pStyle w:val="165"/>
        <w:spacing w:line="360" w:lineRule="auto"/>
      </w:pPr>
      <w:r>
        <w:rPr>
          <w:rFonts w:hint="eastAsia"/>
        </w:rPr>
        <w:t>在质量问题未查明前，不得将可疑结果直接用于正式认定、排名或者重大决策。</w:t>
      </w:r>
    </w:p>
    <w:p w14:paraId="59CAC515">
      <w:pPr>
        <w:pStyle w:val="105"/>
        <w:spacing w:before="120" w:after="120" w:line="360" w:lineRule="auto"/>
      </w:pPr>
      <w:r>
        <w:rPr>
          <w:rFonts w:hint="eastAsia"/>
        </w:rPr>
        <w:t>动态优化基本要求</w:t>
      </w:r>
    </w:p>
    <w:p w14:paraId="00932492">
      <w:pPr>
        <w:pStyle w:val="165"/>
        <w:spacing w:line="360" w:lineRule="auto"/>
      </w:pPr>
      <w:r>
        <w:rPr>
          <w:rFonts w:hint="eastAsia"/>
        </w:rPr>
        <w:t>动态优化应在不改变测评核心目标和评价基本原则的前提下实施。</w:t>
      </w:r>
    </w:p>
    <w:p w14:paraId="06B8A4AD">
      <w:pPr>
        <w:pStyle w:val="165"/>
        <w:spacing w:line="360" w:lineRule="auto"/>
      </w:pPr>
      <w:r>
        <w:rPr>
          <w:rFonts w:hint="eastAsia"/>
        </w:rPr>
        <w:t>动态优化对象可包括测评任务配置、数据预处理规则、模态权重、评分参数、反馈方式和质量控制策略。</w:t>
      </w:r>
    </w:p>
    <w:p w14:paraId="2A39FB61">
      <w:pPr>
        <w:pStyle w:val="165"/>
        <w:spacing w:line="360" w:lineRule="auto"/>
      </w:pPr>
      <w:r>
        <w:rPr>
          <w:rFonts w:hint="eastAsia"/>
        </w:rPr>
        <w:t>动态优化应有明确触发条件、优化依据、审批流程、实施记录和效果验证要求。</w:t>
      </w:r>
    </w:p>
    <w:p w14:paraId="3CCC7A7E">
      <w:pPr>
        <w:pStyle w:val="165"/>
        <w:spacing w:line="360" w:lineRule="auto"/>
      </w:pPr>
      <w:r>
        <w:rPr>
          <w:rFonts w:hint="eastAsia"/>
        </w:rPr>
        <w:t>未经验证的优化结果，不得直接全面替换原有正式测评规则。</w:t>
      </w:r>
    </w:p>
    <w:p w14:paraId="65304484">
      <w:pPr>
        <w:pStyle w:val="165"/>
        <w:spacing w:line="360" w:lineRule="auto"/>
      </w:pPr>
      <w:r>
        <w:rPr>
          <w:rFonts w:hint="eastAsia"/>
        </w:rPr>
        <w:t>对影响评分结果、分级结果、结论解释和应用边界的重要优化，应经业务负责方和质量管理方共同确认。</w:t>
      </w:r>
    </w:p>
    <w:p w14:paraId="1F331C5A">
      <w:pPr>
        <w:pStyle w:val="105"/>
        <w:spacing w:before="120" w:after="120" w:line="360" w:lineRule="auto"/>
      </w:pPr>
      <w:r>
        <w:rPr>
          <w:rFonts w:hint="eastAsia"/>
        </w:rPr>
        <w:t>结果使用基本要求</w:t>
      </w:r>
    </w:p>
    <w:p w14:paraId="771083CE">
      <w:pPr>
        <w:pStyle w:val="165"/>
        <w:spacing w:line="360" w:lineRule="auto"/>
      </w:pPr>
      <w:r>
        <w:rPr>
          <w:rFonts w:hint="eastAsia"/>
        </w:rPr>
        <w:t>多模态人工智能教育测评结果应根据测评目标和使用边界合理应用。</w:t>
      </w:r>
    </w:p>
    <w:p w14:paraId="67B7A484">
      <w:pPr>
        <w:pStyle w:val="165"/>
        <w:spacing w:line="360" w:lineRule="auto"/>
      </w:pPr>
      <w:r>
        <w:rPr>
          <w:rFonts w:hint="eastAsia"/>
        </w:rPr>
        <w:t>测评结果可用于教学诊断、学习反馈、过程支持、质量改进和辅助决策。</w:t>
      </w:r>
    </w:p>
    <w:p w14:paraId="2E0714B8">
      <w:pPr>
        <w:pStyle w:val="165"/>
        <w:spacing w:line="360" w:lineRule="auto"/>
      </w:pPr>
      <w:r>
        <w:rPr>
          <w:rFonts w:hint="eastAsia"/>
        </w:rPr>
        <w:t>测评结果用于重要认定、等级划分、资格判定或者高风险管理时，应结合人工复核、综合证据和制度要求使用。</w:t>
      </w:r>
    </w:p>
    <w:p w14:paraId="41CC5FC6">
      <w:pPr>
        <w:pStyle w:val="165"/>
        <w:spacing w:line="360" w:lineRule="auto"/>
      </w:pPr>
      <w:r>
        <w:rPr>
          <w:rFonts w:hint="eastAsia"/>
        </w:rPr>
        <w:t>不得将系统生成的中间结果、试验性结果、未复核结果或者超出适用边界的结果直接作为正式依据。</w:t>
      </w:r>
    </w:p>
    <w:p w14:paraId="3738579F">
      <w:pPr>
        <w:pStyle w:val="165"/>
        <w:numPr>
          <w:ilvl w:val="0"/>
          <w:numId w:val="0"/>
        </w:numPr>
        <w:spacing w:line="360" w:lineRule="auto"/>
        <w:rPr>
          <w:rFonts w:hint="eastAsia"/>
        </w:rPr>
      </w:pPr>
    </w:p>
    <w:p w14:paraId="34816FEC">
      <w:pPr>
        <w:pStyle w:val="105"/>
        <w:spacing w:before="120" w:after="120" w:line="360" w:lineRule="auto"/>
      </w:pPr>
      <w:r>
        <w:rPr>
          <w:rFonts w:hint="eastAsia"/>
        </w:rPr>
        <w:t>留痕与追溯要求</w:t>
      </w:r>
    </w:p>
    <w:p w14:paraId="3C80E54B">
      <w:pPr>
        <w:pStyle w:val="165"/>
        <w:spacing w:line="360" w:lineRule="auto"/>
      </w:pPr>
      <w:r>
        <w:rPr>
          <w:rFonts w:hint="eastAsia"/>
        </w:rPr>
        <w:t>多模态人工智能教育测评全过程应形成可追溯记录。</w:t>
      </w:r>
    </w:p>
    <w:p w14:paraId="087A0875">
      <w:pPr>
        <w:pStyle w:val="165"/>
        <w:spacing w:line="360" w:lineRule="auto"/>
      </w:pPr>
      <w:r>
        <w:rPr>
          <w:rFonts w:hint="eastAsia"/>
        </w:rPr>
        <w:t>记录内容宜包括测评任务配置、数据采集状态、模型版本、评分规则版本、人工复核记录、异常处置记录、优化记录和结果发布记录。</w:t>
      </w:r>
    </w:p>
    <w:p w14:paraId="28FE8D7D">
      <w:pPr>
        <w:pStyle w:val="165"/>
        <w:spacing w:line="360" w:lineRule="auto"/>
      </w:pPr>
      <w:r>
        <w:rPr>
          <w:rFonts w:hint="eastAsia"/>
        </w:rPr>
        <w:t>测评日志、系统日志、质量监测记录和优化记录之间应相互对应。</w:t>
      </w:r>
    </w:p>
    <w:p w14:paraId="72C38B89">
      <w:pPr>
        <w:pStyle w:val="165"/>
        <w:spacing w:line="360" w:lineRule="auto"/>
      </w:pPr>
      <w:r>
        <w:rPr>
          <w:rFonts w:hint="eastAsia"/>
        </w:rPr>
        <w:t>未形成留痕记录的关键测评活动，不得视为已规范完成。</w:t>
      </w:r>
    </w:p>
    <w:p w14:paraId="1ED92CE6">
      <w:pPr>
        <w:pStyle w:val="105"/>
        <w:spacing w:before="120" w:after="120" w:line="360" w:lineRule="auto"/>
      </w:pPr>
      <w:r>
        <w:rPr>
          <w:rFonts w:hint="eastAsia"/>
        </w:rPr>
        <w:t>禁止性要求</w:t>
      </w:r>
    </w:p>
    <w:p w14:paraId="5F4FBB88">
      <w:pPr>
        <w:pStyle w:val="165"/>
        <w:spacing w:line="360" w:lineRule="auto"/>
      </w:pPr>
      <w:r>
        <w:rPr>
          <w:rFonts w:hint="eastAsia"/>
        </w:rPr>
        <w:t>不得以技术便利为由超范围采集与测评目标无关的数据。</w:t>
      </w:r>
    </w:p>
    <w:p w14:paraId="1E84CE30">
      <w:pPr>
        <w:pStyle w:val="165"/>
        <w:spacing w:line="360" w:lineRule="auto"/>
      </w:pPr>
      <w:r>
        <w:rPr>
          <w:rFonts w:hint="eastAsia"/>
        </w:rPr>
        <w:t>不得以模型自动输出替代教师、专家或者管理人员在高风险场景中的必要判断。</w:t>
      </w:r>
    </w:p>
    <w:p w14:paraId="1BF079E9">
      <w:pPr>
        <w:pStyle w:val="165"/>
        <w:spacing w:line="360" w:lineRule="auto"/>
      </w:pPr>
      <w:r>
        <w:rPr>
          <w:rFonts w:hint="eastAsia"/>
        </w:rPr>
        <w:t>不得在未明确边界和风险控制措施的情况下，将多模态人工智能测评结果用于升学选拔、资格授予或者其他重大权益判定。</w:t>
      </w:r>
    </w:p>
    <w:p w14:paraId="51488C24">
      <w:pPr>
        <w:pStyle w:val="165"/>
        <w:spacing w:line="360" w:lineRule="auto"/>
      </w:pPr>
      <w:r>
        <w:rPr>
          <w:rFonts w:hint="eastAsia"/>
        </w:rPr>
        <w:t>不得在未完成验证、未完成质量评估或者未完成权限控制的情况下部署正式测评系统。</w:t>
      </w:r>
    </w:p>
    <w:p w14:paraId="7EF9D123">
      <w:pPr>
        <w:pStyle w:val="165"/>
        <w:spacing w:line="360" w:lineRule="auto"/>
      </w:pPr>
      <w:r>
        <w:rPr>
          <w:rFonts w:hint="eastAsia"/>
        </w:rPr>
        <w:t>不得通过隐藏偏差、删除异常或者限制人工复核等方式掩盖测评质量问题。</w:t>
      </w:r>
    </w:p>
    <w:p w14:paraId="67E5A70B">
      <w:pPr>
        <w:pStyle w:val="104"/>
        <w:spacing w:before="240" w:after="240" w:line="360" w:lineRule="auto"/>
      </w:pPr>
      <w:bookmarkStart w:id="52" w:name="_Toc228564647"/>
      <w:r>
        <w:rPr>
          <w:rFonts w:hint="eastAsia"/>
        </w:rPr>
        <w:t>测评目标与应用场景设计要求</w:t>
      </w:r>
      <w:bookmarkEnd w:id="52"/>
    </w:p>
    <w:p w14:paraId="3784DBF6">
      <w:pPr>
        <w:pStyle w:val="105"/>
        <w:spacing w:before="120" w:after="120" w:line="360" w:lineRule="auto"/>
      </w:pPr>
      <w:r>
        <w:rPr>
          <w:rFonts w:hint="eastAsia"/>
        </w:rPr>
        <w:t>一般要求</w:t>
      </w:r>
    </w:p>
    <w:p w14:paraId="6FB78C23">
      <w:pPr>
        <w:pStyle w:val="165"/>
        <w:spacing w:line="360" w:lineRule="auto"/>
      </w:pPr>
      <w:r>
        <w:rPr>
          <w:rFonts w:hint="eastAsia"/>
        </w:rPr>
        <w:t>多模态人工智能教育测评应先明确测评目标，再确定应用场景、模态类型、任务形式、评分规则和优化机制。</w:t>
      </w:r>
    </w:p>
    <w:p w14:paraId="53947A15">
      <w:pPr>
        <w:pStyle w:val="165"/>
        <w:spacing w:line="360" w:lineRule="auto"/>
      </w:pPr>
      <w:r>
        <w:rPr>
          <w:rFonts w:hint="eastAsia"/>
        </w:rPr>
        <w:t>测评目标与应用场景设计应坚持教育适切、任务合理、模态必要、过程清晰和结果可解释的原则。</w:t>
      </w:r>
    </w:p>
    <w:p w14:paraId="153A2594">
      <w:pPr>
        <w:pStyle w:val="165"/>
        <w:spacing w:line="360" w:lineRule="auto"/>
      </w:pPr>
      <w:r>
        <w:rPr>
          <w:rFonts w:hint="eastAsia"/>
        </w:rPr>
        <w:t>测评目标不清、应用场景不明、评价标准不全或者模态选取缺乏依据的，不得进入正式系统配置和实施阶段。</w:t>
      </w:r>
    </w:p>
    <w:p w14:paraId="55FACA63">
      <w:pPr>
        <w:pStyle w:val="165"/>
        <w:spacing w:line="360" w:lineRule="auto"/>
      </w:pPr>
      <w:r>
        <w:rPr>
          <w:rFonts w:hint="eastAsia"/>
        </w:rPr>
        <w:t>测评目标与场景设计应与课程标准、培养要求、能力框架、评价规范和教学组织方式保持一致。</w:t>
      </w:r>
    </w:p>
    <w:p w14:paraId="3D3F6BEE">
      <w:pPr>
        <w:pStyle w:val="105"/>
        <w:spacing w:before="120" w:after="120" w:line="360" w:lineRule="auto"/>
      </w:pPr>
      <w:r>
        <w:rPr>
          <w:rFonts w:hint="eastAsia"/>
        </w:rPr>
        <w:t>测评目标设计</w:t>
      </w:r>
    </w:p>
    <w:p w14:paraId="73552E6E">
      <w:pPr>
        <w:pStyle w:val="65"/>
        <w:spacing w:before="120" w:after="120" w:line="360" w:lineRule="auto"/>
      </w:pPr>
      <w:r>
        <w:rPr>
          <w:rFonts w:hint="eastAsia"/>
        </w:rPr>
        <w:t>一般要求</w:t>
      </w:r>
    </w:p>
    <w:p w14:paraId="17618E82">
      <w:pPr>
        <w:pStyle w:val="164"/>
        <w:spacing w:line="360" w:lineRule="auto"/>
      </w:pPr>
      <w:r>
        <w:rPr>
          <w:rFonts w:hint="eastAsia"/>
        </w:rPr>
        <w:t>测评目标设计应明确评价对象、评价内容、评价重点、评价层级和结果用途。</w:t>
      </w:r>
    </w:p>
    <w:p w14:paraId="1268448E">
      <w:pPr>
        <w:pStyle w:val="164"/>
        <w:spacing w:line="360" w:lineRule="auto"/>
      </w:pPr>
      <w:r>
        <w:rPr>
          <w:rFonts w:hint="eastAsia"/>
        </w:rPr>
        <w:t>测评目标应具体、可识别、可操作、可观察并能够转化为可执行的测评任务。</w:t>
      </w:r>
    </w:p>
    <w:p w14:paraId="2B89ECAF">
      <w:pPr>
        <w:pStyle w:val="164"/>
        <w:spacing w:line="360" w:lineRule="auto"/>
      </w:pPr>
      <w:r>
        <w:rPr>
          <w:rFonts w:hint="eastAsia"/>
        </w:rPr>
        <w:t>测评目标设计不得使用含义模糊、无法验证或者难以量化与描述的表述直接替代评价要求。</w:t>
      </w:r>
    </w:p>
    <w:p w14:paraId="5A95D377">
      <w:pPr>
        <w:pStyle w:val="65"/>
        <w:spacing w:before="120" w:after="120" w:line="360" w:lineRule="auto"/>
      </w:pPr>
      <w:r>
        <w:rPr>
          <w:rFonts w:hint="eastAsia"/>
        </w:rPr>
        <w:t>目标分类</w:t>
      </w:r>
    </w:p>
    <w:p w14:paraId="2DB55569">
      <w:pPr>
        <w:pStyle w:val="164"/>
        <w:spacing w:line="360" w:lineRule="auto"/>
      </w:pPr>
      <w:r>
        <w:rPr>
          <w:rFonts w:hint="eastAsia"/>
        </w:rPr>
        <w:t>测评目标可按评价功能分为形成性目标、诊断性目标、终结性目标和综合改进目标。</w:t>
      </w:r>
    </w:p>
    <w:p w14:paraId="5D1BFE06">
      <w:pPr>
        <w:pStyle w:val="164"/>
        <w:spacing w:line="360" w:lineRule="auto"/>
      </w:pPr>
      <w:r>
        <w:rPr>
          <w:rFonts w:hint="eastAsia"/>
        </w:rPr>
        <w:t>测评目标可按评价内容分为知识掌握目标、能力表现目标、技能操作目标、学习行为目标和综合素养目标。</w:t>
      </w:r>
    </w:p>
    <w:p w14:paraId="442EBB68">
      <w:pPr>
        <w:pStyle w:val="164"/>
        <w:spacing w:line="360" w:lineRule="auto"/>
      </w:pPr>
      <w:r>
        <w:rPr>
          <w:rFonts w:hint="eastAsia"/>
        </w:rPr>
        <w:t>不同类别目标应采用与其特征相适配的任务设计方式和模态采集方式。</w:t>
      </w:r>
    </w:p>
    <w:p w14:paraId="3ACCAA45">
      <w:pPr>
        <w:pStyle w:val="65"/>
        <w:spacing w:before="120" w:after="120" w:line="360" w:lineRule="auto"/>
      </w:pPr>
      <w:r>
        <w:rPr>
          <w:rFonts w:hint="eastAsia"/>
        </w:rPr>
        <w:t>目标描述要求</w:t>
      </w:r>
    </w:p>
    <w:p w14:paraId="7E0F1E87">
      <w:pPr>
        <w:pStyle w:val="164"/>
        <w:spacing w:line="360" w:lineRule="auto"/>
      </w:pPr>
      <w:r>
        <w:rPr>
          <w:rFonts w:hint="eastAsia"/>
        </w:rPr>
        <w:t>测评目标描述宜至少包括下列内容：</w:t>
      </w:r>
    </w:p>
    <w:p w14:paraId="2EC6C444">
      <w:pPr>
        <w:pStyle w:val="56"/>
        <w:spacing w:line="360" w:lineRule="auto"/>
        <w:ind w:firstLine="420"/>
      </w:pPr>
      <w:r>
        <w:rPr>
          <w:rFonts w:hint="eastAsia"/>
        </w:rPr>
        <w:t>a）目标名称；</w:t>
      </w:r>
    </w:p>
    <w:p w14:paraId="1A64237F">
      <w:pPr>
        <w:pStyle w:val="56"/>
        <w:spacing w:line="360" w:lineRule="auto"/>
        <w:ind w:firstLine="420"/>
      </w:pPr>
      <w:r>
        <w:rPr>
          <w:rFonts w:hint="eastAsia"/>
        </w:rPr>
        <w:t>b）评价对象；</w:t>
      </w:r>
    </w:p>
    <w:p w14:paraId="0EB27ADC">
      <w:pPr>
        <w:pStyle w:val="56"/>
        <w:spacing w:line="360" w:lineRule="auto"/>
        <w:ind w:firstLine="420"/>
      </w:pPr>
      <w:r>
        <w:rPr>
          <w:rFonts w:hint="eastAsia"/>
        </w:rPr>
        <w:t>c）评价内容；</w:t>
      </w:r>
    </w:p>
    <w:p w14:paraId="701FF47B">
      <w:pPr>
        <w:pStyle w:val="56"/>
        <w:spacing w:line="360" w:lineRule="auto"/>
        <w:ind w:firstLine="420"/>
      </w:pPr>
      <w:r>
        <w:rPr>
          <w:rFonts w:hint="eastAsia"/>
        </w:rPr>
        <w:t>d）能力指向；</w:t>
      </w:r>
    </w:p>
    <w:p w14:paraId="14F2F31F">
      <w:pPr>
        <w:pStyle w:val="56"/>
        <w:spacing w:line="360" w:lineRule="auto"/>
        <w:ind w:firstLine="420"/>
      </w:pPr>
      <w:r>
        <w:rPr>
          <w:rFonts w:hint="eastAsia"/>
        </w:rPr>
        <w:t>e）观察证据；</w:t>
      </w:r>
    </w:p>
    <w:p w14:paraId="4765970C">
      <w:pPr>
        <w:pStyle w:val="56"/>
        <w:spacing w:line="360" w:lineRule="auto"/>
        <w:ind w:firstLine="420"/>
      </w:pPr>
      <w:r>
        <w:rPr>
          <w:rFonts w:hint="eastAsia"/>
        </w:rPr>
        <w:t>f）评价标准；</w:t>
      </w:r>
    </w:p>
    <w:p w14:paraId="1F607656">
      <w:pPr>
        <w:pStyle w:val="56"/>
        <w:spacing w:line="360" w:lineRule="auto"/>
        <w:ind w:firstLine="420"/>
      </w:pPr>
      <w:r>
        <w:rPr>
          <w:rFonts w:hint="eastAsia"/>
        </w:rPr>
        <w:t>g）结果用途；</w:t>
      </w:r>
    </w:p>
    <w:p w14:paraId="68D2AC5C">
      <w:pPr>
        <w:pStyle w:val="56"/>
        <w:spacing w:line="360" w:lineRule="auto"/>
        <w:ind w:firstLine="420"/>
      </w:pPr>
      <w:r>
        <w:rPr>
          <w:rFonts w:hint="eastAsia"/>
        </w:rPr>
        <w:t>h）风险等级。</w:t>
      </w:r>
    </w:p>
    <w:p w14:paraId="15F015C2">
      <w:pPr>
        <w:pStyle w:val="164"/>
        <w:spacing w:line="360" w:lineRule="auto"/>
      </w:pPr>
      <w:r>
        <w:rPr>
          <w:rFonts w:hint="eastAsia"/>
        </w:rPr>
        <w:t>同一测评活动包含多个目标时，应明确主目标和辅目标，不得目标混杂、权重失衡或者逻辑冲突。</w:t>
      </w:r>
    </w:p>
    <w:p w14:paraId="0A531FCA">
      <w:pPr>
        <w:pStyle w:val="105"/>
        <w:spacing w:before="120" w:after="120" w:line="360" w:lineRule="auto"/>
      </w:pPr>
      <w:r>
        <w:rPr>
          <w:rFonts w:hint="eastAsia"/>
        </w:rPr>
        <w:t>应用场景设计</w:t>
      </w:r>
    </w:p>
    <w:p w14:paraId="54C50076">
      <w:pPr>
        <w:pStyle w:val="65"/>
        <w:spacing w:before="120" w:after="120" w:line="360" w:lineRule="auto"/>
      </w:pPr>
      <w:r>
        <w:rPr>
          <w:rFonts w:hint="eastAsia"/>
        </w:rPr>
        <w:t>一般要求</w:t>
      </w:r>
    </w:p>
    <w:p w14:paraId="7E80C963">
      <w:pPr>
        <w:pStyle w:val="164"/>
        <w:spacing w:line="360" w:lineRule="auto"/>
      </w:pPr>
      <w:r>
        <w:rPr>
          <w:rFonts w:hint="eastAsia"/>
        </w:rPr>
        <w:t>应用场景设计应与教育活动真实过程相匹配。</w:t>
      </w:r>
    </w:p>
    <w:p w14:paraId="728E285A">
      <w:pPr>
        <w:pStyle w:val="164"/>
        <w:spacing w:line="360" w:lineRule="auto"/>
      </w:pPr>
      <w:r>
        <w:rPr>
          <w:rFonts w:hint="eastAsia"/>
        </w:rPr>
        <w:t>应用场景设计应明确实施环境、参与主体、任务流程、模态来源、评价时点、输出形式和干预方式。</w:t>
      </w:r>
    </w:p>
    <w:p w14:paraId="1C1742DD">
      <w:pPr>
        <w:pStyle w:val="164"/>
        <w:spacing w:line="360" w:lineRule="auto"/>
      </w:pPr>
      <w:r>
        <w:rPr>
          <w:rFonts w:hint="eastAsia"/>
        </w:rPr>
        <w:t>对同一测评目标，不同场景可采用不同模态组合和不同质量控制策略。</w:t>
      </w:r>
    </w:p>
    <w:p w14:paraId="413ED916">
      <w:pPr>
        <w:pStyle w:val="65"/>
        <w:spacing w:before="120" w:after="120" w:line="360" w:lineRule="auto"/>
      </w:pPr>
      <w:r>
        <w:rPr>
          <w:rFonts w:hint="eastAsia"/>
        </w:rPr>
        <w:t>场景分类</w:t>
      </w:r>
    </w:p>
    <w:p w14:paraId="5F125829">
      <w:pPr>
        <w:pStyle w:val="164"/>
        <w:spacing w:line="360" w:lineRule="auto"/>
      </w:pPr>
      <w:r>
        <w:rPr>
          <w:rFonts w:hint="eastAsia"/>
        </w:rPr>
        <w:t>多模态人工智能教育测评应用场景宜包括下列类型：</w:t>
      </w:r>
    </w:p>
    <w:p w14:paraId="5A68924F">
      <w:pPr>
        <w:pStyle w:val="56"/>
        <w:spacing w:line="360" w:lineRule="auto"/>
        <w:ind w:firstLine="420"/>
      </w:pPr>
      <w:r>
        <w:rPr>
          <w:rFonts w:hint="eastAsia"/>
        </w:rPr>
        <w:t>a）课堂互动评价场景；</w:t>
      </w:r>
    </w:p>
    <w:p w14:paraId="78C1D1FD">
      <w:pPr>
        <w:pStyle w:val="56"/>
        <w:spacing w:line="360" w:lineRule="auto"/>
        <w:ind w:firstLine="420"/>
      </w:pPr>
      <w:r>
        <w:rPr>
          <w:rFonts w:hint="eastAsia"/>
        </w:rPr>
        <w:t>b）作业与练习诊断场景；</w:t>
      </w:r>
    </w:p>
    <w:p w14:paraId="3EA1C953">
      <w:pPr>
        <w:pStyle w:val="56"/>
        <w:spacing w:line="360" w:lineRule="auto"/>
        <w:ind w:firstLine="420"/>
      </w:pPr>
      <w:r>
        <w:rPr>
          <w:rFonts w:hint="eastAsia"/>
        </w:rPr>
        <w:t>c）口语表达与语言交互评价场景；</w:t>
      </w:r>
    </w:p>
    <w:p w14:paraId="5FB55D14">
      <w:pPr>
        <w:pStyle w:val="56"/>
        <w:spacing w:line="360" w:lineRule="auto"/>
        <w:ind w:firstLine="420"/>
      </w:pPr>
      <w:r>
        <w:rPr>
          <w:rFonts w:hint="eastAsia"/>
        </w:rPr>
        <w:t>d）实验实训与技能操作评价场景；</w:t>
      </w:r>
    </w:p>
    <w:p w14:paraId="4BC09FA2">
      <w:pPr>
        <w:pStyle w:val="56"/>
        <w:spacing w:line="360" w:lineRule="auto"/>
        <w:ind w:firstLine="420"/>
      </w:pPr>
      <w:r>
        <w:rPr>
          <w:rFonts w:hint="eastAsia"/>
        </w:rPr>
        <w:t>e）在线学习行为评价场景；</w:t>
      </w:r>
    </w:p>
    <w:p w14:paraId="37B8DBC0">
      <w:pPr>
        <w:pStyle w:val="56"/>
        <w:spacing w:line="360" w:lineRule="auto"/>
        <w:ind w:firstLine="420"/>
      </w:pPr>
      <w:r>
        <w:rPr>
          <w:rFonts w:hint="eastAsia"/>
        </w:rPr>
        <w:t>f）考试辅助评价场景；</w:t>
      </w:r>
    </w:p>
    <w:p w14:paraId="49D31CAE">
      <w:pPr>
        <w:pStyle w:val="56"/>
        <w:spacing w:line="360" w:lineRule="auto"/>
        <w:ind w:firstLine="420"/>
      </w:pPr>
      <w:r>
        <w:rPr>
          <w:rFonts w:hint="eastAsia"/>
        </w:rPr>
        <w:t>g）综合实践与项目学习评价场景；</w:t>
      </w:r>
    </w:p>
    <w:p w14:paraId="1AFCFDA7">
      <w:pPr>
        <w:pStyle w:val="56"/>
        <w:spacing w:line="360" w:lineRule="auto"/>
        <w:ind w:firstLine="420"/>
      </w:pPr>
      <w:r>
        <w:rPr>
          <w:rFonts w:hint="eastAsia"/>
        </w:rPr>
        <w:t>h）综合素养支持评价场景。</w:t>
      </w:r>
    </w:p>
    <w:p w14:paraId="4E04DAA3">
      <w:pPr>
        <w:pStyle w:val="164"/>
        <w:spacing w:line="360" w:lineRule="auto"/>
      </w:pPr>
      <w:r>
        <w:rPr>
          <w:rFonts w:hint="eastAsia"/>
        </w:rPr>
        <w:t>不同应用场景应分别明确评价重点、数据边界、优化策略和质量风险点。</w:t>
      </w:r>
    </w:p>
    <w:p w14:paraId="7BE7EB23">
      <w:pPr>
        <w:pStyle w:val="65"/>
        <w:spacing w:before="120" w:after="120" w:line="360" w:lineRule="auto"/>
      </w:pPr>
      <w:r>
        <w:rPr>
          <w:rFonts w:hint="eastAsia"/>
        </w:rPr>
        <w:t>场景适配要求</w:t>
      </w:r>
    </w:p>
    <w:p w14:paraId="7964F71A">
      <w:pPr>
        <w:pStyle w:val="164"/>
        <w:spacing w:line="360" w:lineRule="auto"/>
      </w:pPr>
      <w:r>
        <w:rPr>
          <w:rFonts w:hint="eastAsia"/>
        </w:rPr>
        <w:t>课堂互动评价场景宜重点支持参与度、表达质量、互动表现和过程反馈分析，不得简单以行为频次替代学习质量判断。</w:t>
      </w:r>
    </w:p>
    <w:p w14:paraId="1549B918">
      <w:pPr>
        <w:pStyle w:val="164"/>
        <w:spacing w:line="360" w:lineRule="auto"/>
      </w:pPr>
      <w:r>
        <w:rPr>
          <w:rFonts w:hint="eastAsia"/>
        </w:rPr>
        <w:t>作业与练习诊断场景宜重点支持作答过程、错误类型、知识薄弱点和改进建议分析，不得仅依据单一结果分值进行机械性反馈。</w:t>
      </w:r>
    </w:p>
    <w:p w14:paraId="0626D3B2">
      <w:pPr>
        <w:pStyle w:val="164"/>
        <w:spacing w:line="360" w:lineRule="auto"/>
      </w:pPr>
      <w:r>
        <w:rPr>
          <w:rFonts w:hint="eastAsia"/>
        </w:rPr>
        <w:t>口语表达与语言交互评价场景宜重点支持语音识别、语义理解、表达流畅度和交互适应性分析，应充分考虑语言环境、口音差异和设备条件影响。</w:t>
      </w:r>
    </w:p>
    <w:p w14:paraId="3A0E36D5">
      <w:pPr>
        <w:pStyle w:val="164"/>
        <w:spacing w:line="360" w:lineRule="auto"/>
      </w:pPr>
      <w:r>
        <w:rPr>
          <w:rFonts w:hint="eastAsia"/>
        </w:rPr>
        <w:t>实验实训与技能操作评价场景宜重点支持操作步骤、过程规范、动作要点、协作过程和结果质量评价，不得仅依据最终成品或者最终结果进行片面判断。</w:t>
      </w:r>
    </w:p>
    <w:p w14:paraId="79BA6E40">
      <w:pPr>
        <w:pStyle w:val="164"/>
        <w:spacing w:line="360" w:lineRule="auto"/>
      </w:pPr>
      <w:r>
        <w:rPr>
          <w:rFonts w:hint="eastAsia"/>
        </w:rPr>
        <w:t>在线学习行为评价场景宜重点支持学习进度、投入状态、交互行为和学习困难识别，不得将停留时长、点击次数等单一行为数据直接等同于学习成效。</w:t>
      </w:r>
    </w:p>
    <w:p w14:paraId="13006796">
      <w:pPr>
        <w:pStyle w:val="164"/>
        <w:spacing w:line="360" w:lineRule="auto"/>
      </w:pPr>
      <w:r>
        <w:rPr>
          <w:rFonts w:hint="eastAsia"/>
        </w:rPr>
        <w:t>考试辅助评价场景宜重点支持辅助评分、异常识别、过程核查和质量抽检；对正式成绩认定，应明确人工复核边界。</w:t>
      </w:r>
    </w:p>
    <w:p w14:paraId="414DD343">
      <w:pPr>
        <w:pStyle w:val="164"/>
        <w:spacing w:line="360" w:lineRule="auto"/>
      </w:pPr>
      <w:r>
        <w:rPr>
          <w:rFonts w:hint="eastAsia"/>
        </w:rPr>
        <w:t>综合实践与项目学习评价场景宜重点支持任务参与、问题解决、资料整合、表达展示和团队协作等维度综合评价。</w:t>
      </w:r>
    </w:p>
    <w:p w14:paraId="46D571F6">
      <w:pPr>
        <w:pStyle w:val="105"/>
        <w:spacing w:before="120" w:after="120" w:line="360" w:lineRule="auto"/>
      </w:pPr>
      <w:r>
        <w:rPr>
          <w:rFonts w:hint="eastAsia"/>
        </w:rPr>
        <w:t>测评任务设计</w:t>
      </w:r>
    </w:p>
    <w:p w14:paraId="7E79D050">
      <w:pPr>
        <w:pStyle w:val="65"/>
        <w:spacing w:before="120" w:after="120" w:line="360" w:lineRule="auto"/>
      </w:pPr>
      <w:r>
        <w:rPr>
          <w:rFonts w:hint="eastAsia"/>
        </w:rPr>
        <w:t>一般要求</w:t>
      </w:r>
    </w:p>
    <w:p w14:paraId="1374AC52">
      <w:pPr>
        <w:pStyle w:val="164"/>
        <w:spacing w:line="360" w:lineRule="auto"/>
      </w:pPr>
      <w:r>
        <w:rPr>
          <w:rFonts w:hint="eastAsia"/>
        </w:rPr>
        <w:t>测评任务应依据测评目标和应用场景进行设计。</w:t>
      </w:r>
    </w:p>
    <w:p w14:paraId="66A9135D">
      <w:pPr>
        <w:pStyle w:val="164"/>
        <w:spacing w:line="360" w:lineRule="auto"/>
      </w:pPr>
      <w:r>
        <w:rPr>
          <w:rFonts w:hint="eastAsia"/>
        </w:rPr>
        <w:t>测评任务应明确输入、过程、输出和评价证据。</w:t>
      </w:r>
    </w:p>
    <w:p w14:paraId="0C485017">
      <w:pPr>
        <w:pStyle w:val="164"/>
        <w:spacing w:line="360" w:lineRule="auto"/>
      </w:pPr>
      <w:r>
        <w:rPr>
          <w:rFonts w:hint="eastAsia"/>
        </w:rPr>
        <w:t>测评任务难度、复杂度、时间安排和模态要求应与受测对象学段、认知水平和活动条件相适应。</w:t>
      </w:r>
    </w:p>
    <w:p w14:paraId="0B879344">
      <w:pPr>
        <w:pStyle w:val="65"/>
        <w:spacing w:before="120" w:after="120" w:line="360" w:lineRule="auto"/>
      </w:pPr>
      <w:r>
        <w:rPr>
          <w:rFonts w:hint="eastAsia"/>
        </w:rPr>
        <w:t>任务设计要求</w:t>
      </w:r>
    </w:p>
    <w:p w14:paraId="27F14F82">
      <w:pPr>
        <w:pStyle w:val="164"/>
        <w:spacing w:line="360" w:lineRule="auto"/>
      </w:pPr>
      <w:r>
        <w:rPr>
          <w:rFonts w:hint="eastAsia"/>
        </w:rPr>
        <w:t>测评任务设计应至少包括下列内容：</w:t>
      </w:r>
    </w:p>
    <w:p w14:paraId="70CECE3E">
      <w:pPr>
        <w:pStyle w:val="56"/>
        <w:spacing w:line="360" w:lineRule="auto"/>
        <w:ind w:firstLine="420"/>
      </w:pPr>
      <w:r>
        <w:rPr>
          <w:rFonts w:hint="eastAsia"/>
        </w:rPr>
        <w:t>a）任务名称；</w:t>
      </w:r>
    </w:p>
    <w:p w14:paraId="48CB0B12">
      <w:pPr>
        <w:pStyle w:val="56"/>
        <w:spacing w:line="360" w:lineRule="auto"/>
        <w:ind w:firstLine="420"/>
      </w:pPr>
      <w:r>
        <w:rPr>
          <w:rFonts w:hint="eastAsia"/>
        </w:rPr>
        <w:t>b）任务目标；</w:t>
      </w:r>
    </w:p>
    <w:p w14:paraId="307496C5">
      <w:pPr>
        <w:pStyle w:val="56"/>
        <w:spacing w:line="360" w:lineRule="auto"/>
        <w:ind w:firstLine="420"/>
      </w:pPr>
      <w:r>
        <w:rPr>
          <w:rFonts w:hint="eastAsia"/>
        </w:rPr>
        <w:t>c）任务流程；</w:t>
      </w:r>
    </w:p>
    <w:p w14:paraId="03C8C642">
      <w:pPr>
        <w:pStyle w:val="56"/>
        <w:spacing w:line="360" w:lineRule="auto"/>
        <w:ind w:firstLine="420"/>
      </w:pPr>
      <w:r>
        <w:rPr>
          <w:rFonts w:hint="eastAsia"/>
        </w:rPr>
        <w:t>d）模态要求；</w:t>
      </w:r>
    </w:p>
    <w:p w14:paraId="486A786A">
      <w:pPr>
        <w:pStyle w:val="56"/>
        <w:spacing w:line="360" w:lineRule="auto"/>
        <w:ind w:firstLine="420"/>
      </w:pPr>
      <w:r>
        <w:rPr>
          <w:rFonts w:hint="eastAsia"/>
        </w:rPr>
        <w:t>e）数据采集要求；</w:t>
      </w:r>
    </w:p>
    <w:p w14:paraId="379A5B51">
      <w:pPr>
        <w:pStyle w:val="56"/>
        <w:spacing w:line="360" w:lineRule="auto"/>
        <w:ind w:firstLine="420"/>
      </w:pPr>
      <w:r>
        <w:rPr>
          <w:rFonts w:hint="eastAsia"/>
        </w:rPr>
        <w:t>f）评价指标；</w:t>
      </w:r>
    </w:p>
    <w:p w14:paraId="37ADFFFA">
      <w:pPr>
        <w:pStyle w:val="56"/>
        <w:spacing w:line="360" w:lineRule="auto"/>
        <w:ind w:firstLine="420"/>
      </w:pPr>
      <w:r>
        <w:rPr>
          <w:rFonts w:hint="eastAsia"/>
        </w:rPr>
        <w:t>g）评分或者分级规则；</w:t>
      </w:r>
    </w:p>
    <w:p w14:paraId="2941F396">
      <w:pPr>
        <w:pStyle w:val="56"/>
        <w:spacing w:line="360" w:lineRule="auto"/>
        <w:ind w:firstLine="420"/>
      </w:pPr>
      <w:r>
        <w:rPr>
          <w:rFonts w:hint="eastAsia"/>
        </w:rPr>
        <w:t>h）结果输出形式；</w:t>
      </w:r>
    </w:p>
    <w:p w14:paraId="356A5A8A">
      <w:pPr>
        <w:pStyle w:val="56"/>
        <w:spacing w:line="360" w:lineRule="auto"/>
        <w:ind w:firstLine="420"/>
      </w:pPr>
      <w:r>
        <w:rPr>
          <w:rFonts w:hint="eastAsia"/>
        </w:rPr>
        <w:t>i）人工复核要求。</w:t>
      </w:r>
    </w:p>
    <w:p w14:paraId="0C654B3C">
      <w:pPr>
        <w:pStyle w:val="164"/>
        <w:spacing w:line="360" w:lineRule="auto"/>
      </w:pPr>
      <w:r>
        <w:rPr>
          <w:rFonts w:hint="eastAsia"/>
        </w:rPr>
        <w:t>同一场景内多个任务并行时，应明确各任务之间的关系和权重分配。</w:t>
      </w:r>
    </w:p>
    <w:p w14:paraId="23C0B81F">
      <w:pPr>
        <w:pStyle w:val="164"/>
        <w:spacing w:line="360" w:lineRule="auto"/>
      </w:pPr>
      <w:r>
        <w:rPr>
          <w:rFonts w:hint="eastAsia"/>
        </w:rPr>
        <w:t>任务设计不得因便于技术识别而削弱教育活动的真实性和教育价值。</w:t>
      </w:r>
    </w:p>
    <w:p w14:paraId="30FD8438">
      <w:pPr>
        <w:pStyle w:val="105"/>
        <w:spacing w:before="120" w:after="120" w:line="360" w:lineRule="auto"/>
      </w:pPr>
      <w:r>
        <w:rPr>
          <w:rFonts w:hint="eastAsia"/>
        </w:rPr>
        <w:t>模态选择与配置要求</w:t>
      </w:r>
    </w:p>
    <w:p w14:paraId="26C287EB">
      <w:pPr>
        <w:pStyle w:val="65"/>
        <w:spacing w:before="120" w:after="120" w:line="360" w:lineRule="auto"/>
      </w:pPr>
      <w:r>
        <w:rPr>
          <w:rFonts w:hint="eastAsia"/>
        </w:rPr>
        <w:t>一般要求</w:t>
      </w:r>
    </w:p>
    <w:p w14:paraId="619AEAC1">
      <w:pPr>
        <w:pStyle w:val="164"/>
        <w:spacing w:line="360" w:lineRule="auto"/>
      </w:pPr>
      <w:r>
        <w:rPr>
          <w:rFonts w:hint="eastAsia"/>
        </w:rPr>
        <w:t>模态选择应以满足测评目标为前提，不得为追求“多模态”而机械叠加模态种类。</w:t>
      </w:r>
    </w:p>
    <w:p w14:paraId="48B6F6FF">
      <w:pPr>
        <w:pStyle w:val="164"/>
        <w:spacing w:line="360" w:lineRule="auto"/>
      </w:pPr>
      <w:r>
        <w:rPr>
          <w:rFonts w:hint="eastAsia"/>
        </w:rPr>
        <w:t>选取的模态应能够提供与评价内容相关的有效证据。</w:t>
      </w:r>
    </w:p>
    <w:p w14:paraId="45935887">
      <w:pPr>
        <w:pStyle w:val="164"/>
        <w:spacing w:line="360" w:lineRule="auto"/>
      </w:pPr>
      <w:r>
        <w:rPr>
          <w:rFonts w:hint="eastAsia"/>
        </w:rPr>
        <w:t>对无法显著提升评价质量、但会明显增加采集负担、风险负担或者管理成本的模态，不宜纳入正式测评配置。</w:t>
      </w:r>
    </w:p>
    <w:p w14:paraId="70460699">
      <w:pPr>
        <w:pStyle w:val="65"/>
        <w:spacing w:before="120" w:after="120" w:line="360" w:lineRule="auto"/>
      </w:pPr>
      <w:r>
        <w:rPr>
          <w:rFonts w:hint="eastAsia"/>
        </w:rPr>
        <w:t>选择原则</w:t>
      </w:r>
    </w:p>
    <w:p w14:paraId="1E089434">
      <w:pPr>
        <w:pStyle w:val="164"/>
        <w:spacing w:line="360" w:lineRule="auto"/>
      </w:pPr>
      <w:r>
        <w:rPr>
          <w:rFonts w:hint="eastAsia"/>
        </w:rPr>
        <w:t>模态选择应遵循相关性、必要性、稳定性、可采性和可解释性原则。</w:t>
      </w:r>
    </w:p>
    <w:p w14:paraId="5312B861">
      <w:pPr>
        <w:pStyle w:val="164"/>
        <w:spacing w:line="360" w:lineRule="auto"/>
      </w:pPr>
      <w:r>
        <w:rPr>
          <w:rFonts w:hint="eastAsia"/>
        </w:rPr>
        <w:t>文字表达类任务宜优先配置文本模态；语言表达类任务宜优先配置语音模态；实验实训和技能操作类任务宜优先配置图像、视频和过程行为模态。</w:t>
      </w:r>
    </w:p>
    <w:p w14:paraId="5916D63D">
      <w:pPr>
        <w:pStyle w:val="164"/>
        <w:spacing w:line="360" w:lineRule="auto"/>
      </w:pPr>
      <w:r>
        <w:rPr>
          <w:rFonts w:hint="eastAsia"/>
        </w:rPr>
        <w:t>对涉及情绪、专注、姿态和行为轨迹等高敏感模态的，应从必要性、风险性和教育合理性角度严格论证。</w:t>
      </w:r>
    </w:p>
    <w:p w14:paraId="2E458233">
      <w:pPr>
        <w:pStyle w:val="65"/>
        <w:spacing w:before="120" w:after="120" w:line="360" w:lineRule="auto"/>
      </w:pPr>
      <w:r>
        <w:rPr>
          <w:rFonts w:hint="eastAsia"/>
        </w:rPr>
        <w:t>模态组合要求</w:t>
      </w:r>
    </w:p>
    <w:p w14:paraId="1E5AF081">
      <w:pPr>
        <w:pStyle w:val="164"/>
        <w:spacing w:line="360" w:lineRule="auto"/>
      </w:pPr>
      <w:r>
        <w:rPr>
          <w:rFonts w:hint="eastAsia"/>
        </w:rPr>
        <w:t>模态组合应与任务目标和评分逻辑保持一致。</w:t>
      </w:r>
    </w:p>
    <w:p w14:paraId="445FDB47">
      <w:pPr>
        <w:pStyle w:val="164"/>
        <w:spacing w:line="360" w:lineRule="auto"/>
      </w:pPr>
      <w:r>
        <w:rPr>
          <w:rFonts w:hint="eastAsia"/>
        </w:rPr>
        <w:t>多模态组合时，应明确各模态在证据体系中的作用、权重和优先级。</w:t>
      </w:r>
    </w:p>
    <w:p w14:paraId="4AE7F519">
      <w:pPr>
        <w:pStyle w:val="164"/>
        <w:spacing w:line="360" w:lineRule="auto"/>
      </w:pPr>
      <w:r>
        <w:rPr>
          <w:rFonts w:hint="eastAsia"/>
        </w:rPr>
        <w:t>模态缺失或者单一模态质量不足时，应设定降级处理、补充采集或者人工复核机制。</w:t>
      </w:r>
    </w:p>
    <w:p w14:paraId="6E4B6B88">
      <w:pPr>
        <w:pStyle w:val="105"/>
        <w:spacing w:before="120" w:after="120" w:line="360" w:lineRule="auto"/>
      </w:pPr>
      <w:r>
        <w:rPr>
          <w:rFonts w:hint="eastAsia"/>
        </w:rPr>
        <w:t>评价指标与评分依据设计</w:t>
      </w:r>
    </w:p>
    <w:p w14:paraId="411E2C09">
      <w:pPr>
        <w:pStyle w:val="65"/>
        <w:spacing w:before="120" w:after="120" w:line="360" w:lineRule="auto"/>
      </w:pPr>
      <w:r>
        <w:rPr>
          <w:rFonts w:hint="eastAsia"/>
        </w:rPr>
        <w:t>一般要求</w:t>
      </w:r>
    </w:p>
    <w:p w14:paraId="47D8213F">
      <w:pPr>
        <w:pStyle w:val="164"/>
        <w:spacing w:line="360" w:lineRule="auto"/>
      </w:pPr>
      <w:r>
        <w:rPr>
          <w:rFonts w:hint="eastAsia"/>
        </w:rPr>
        <w:t>测评目标和任务确定后，应设计相应的评价指标和评分依据。</w:t>
      </w:r>
    </w:p>
    <w:p w14:paraId="59945902">
      <w:pPr>
        <w:pStyle w:val="164"/>
        <w:spacing w:line="360" w:lineRule="auto"/>
      </w:pPr>
      <w:r>
        <w:rPr>
          <w:rFonts w:hint="eastAsia"/>
        </w:rPr>
        <w:t>评价指标应体现测评目标，不得脱离教学内容、课程要求和能力要求另行设置无关指标。</w:t>
      </w:r>
    </w:p>
    <w:p w14:paraId="2679C74E">
      <w:pPr>
        <w:pStyle w:val="164"/>
        <w:spacing w:line="360" w:lineRule="auto"/>
      </w:pPr>
      <w:r>
        <w:rPr>
          <w:rFonts w:hint="eastAsia"/>
        </w:rPr>
        <w:t>评分依据应明确证据来源、判定条件、赋分逻辑、等级描述和异常处理原则。</w:t>
      </w:r>
    </w:p>
    <w:p w14:paraId="2A337CDD">
      <w:pPr>
        <w:pStyle w:val="65"/>
        <w:spacing w:before="120" w:after="120" w:line="360" w:lineRule="auto"/>
      </w:pPr>
      <w:r>
        <w:rPr>
          <w:rFonts w:hint="eastAsia"/>
        </w:rPr>
        <w:t>指标设计要求</w:t>
      </w:r>
    </w:p>
    <w:p w14:paraId="732058BD">
      <w:pPr>
        <w:pStyle w:val="164"/>
        <w:spacing w:line="360" w:lineRule="auto"/>
      </w:pPr>
      <w:r>
        <w:rPr>
          <w:rFonts w:hint="eastAsia"/>
        </w:rPr>
        <w:t>指标设计宜坚持少而精、层级清晰、可解释和可验证原则。</w:t>
      </w:r>
    </w:p>
    <w:p w14:paraId="074CC263">
      <w:pPr>
        <w:pStyle w:val="164"/>
        <w:spacing w:line="360" w:lineRule="auto"/>
      </w:pPr>
      <w:r>
        <w:rPr>
          <w:rFonts w:hint="eastAsia"/>
        </w:rPr>
        <w:t>指标可分为结果类指标、过程类指标、行为类指标和综合判断类指标。</w:t>
      </w:r>
    </w:p>
    <w:p w14:paraId="2CD3902B">
      <w:pPr>
        <w:pStyle w:val="164"/>
        <w:spacing w:line="360" w:lineRule="auto"/>
      </w:pPr>
      <w:r>
        <w:rPr>
          <w:rFonts w:hint="eastAsia"/>
        </w:rPr>
        <w:t>指标之间应避免重复评价、交叉冲突和权重失衡。</w:t>
      </w:r>
    </w:p>
    <w:p w14:paraId="1D9B5E7D">
      <w:pPr>
        <w:pStyle w:val="65"/>
        <w:spacing w:before="120" w:after="120" w:line="360" w:lineRule="auto"/>
      </w:pPr>
      <w:r>
        <w:rPr>
          <w:rFonts w:hint="eastAsia"/>
        </w:rPr>
        <w:t>评分依据要求</w:t>
      </w:r>
    </w:p>
    <w:p w14:paraId="3536BB4D">
      <w:pPr>
        <w:pStyle w:val="164"/>
        <w:spacing w:line="360" w:lineRule="auto"/>
      </w:pPr>
      <w:r>
        <w:rPr>
          <w:rFonts w:hint="eastAsia"/>
        </w:rPr>
        <w:t>评分依据应与任务要求、模态证据和评价标准一一对应。</w:t>
      </w:r>
    </w:p>
    <w:p w14:paraId="46828A14">
      <w:pPr>
        <w:pStyle w:val="164"/>
        <w:spacing w:line="360" w:lineRule="auto"/>
      </w:pPr>
      <w:r>
        <w:rPr>
          <w:rFonts w:hint="eastAsia"/>
        </w:rPr>
        <w:t>对自动评分结果影响较大的关键指标，应设置人工抽检或者人工复核条件。</w:t>
      </w:r>
    </w:p>
    <w:p w14:paraId="7E6E7533">
      <w:pPr>
        <w:pStyle w:val="164"/>
        <w:spacing w:line="360" w:lineRule="auto"/>
      </w:pPr>
      <w:r>
        <w:rPr>
          <w:rFonts w:hint="eastAsia"/>
        </w:rPr>
        <w:t>评分依据发生调整时，应同步开展版本管理和效果验证。</w:t>
      </w:r>
    </w:p>
    <w:p w14:paraId="1C1B9FB4">
      <w:pPr>
        <w:pStyle w:val="105"/>
        <w:spacing w:before="120" w:after="120" w:line="360" w:lineRule="auto"/>
      </w:pPr>
      <w:r>
        <w:rPr>
          <w:rFonts w:hint="eastAsia"/>
        </w:rPr>
        <w:t>应用场景与模态配置要点</w:t>
      </w:r>
    </w:p>
    <w:p w14:paraId="74E195EB">
      <w:pPr>
        <w:pStyle w:val="56"/>
        <w:spacing w:line="360" w:lineRule="auto"/>
        <w:ind w:firstLine="420"/>
      </w:pPr>
      <w:r>
        <w:rPr>
          <w:rFonts w:hint="eastAsia"/>
        </w:rPr>
        <w:t>常见应用场景的测评目标与模态配置要点见表1。表1给出了常见多模态人工智能教育测评应用场景的目标与模态配置要点。</w:t>
      </w:r>
    </w:p>
    <w:p w14:paraId="6C649AC3">
      <w:pPr>
        <w:pStyle w:val="112"/>
        <w:spacing w:before="120" w:after="120" w:line="360" w:lineRule="auto"/>
      </w:pPr>
      <w:r>
        <w:rPr>
          <w:rFonts w:hint="eastAsia"/>
        </w:rPr>
        <w:t>常见应用场景、测评目标与模态配置要点表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2694"/>
        <w:gridCol w:w="2409"/>
        <w:gridCol w:w="3107"/>
      </w:tblGrid>
      <w:tr w14:paraId="1311A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vAlign w:val="center"/>
          </w:tcPr>
          <w:p w14:paraId="0BB820BA">
            <w:pPr>
              <w:pStyle w:val="178"/>
            </w:pPr>
            <w:r>
              <w:rPr>
                <w:rFonts w:hint="eastAsia"/>
              </w:rPr>
              <w:t>应用场景</w:t>
            </w:r>
          </w:p>
        </w:tc>
        <w:tc>
          <w:tcPr>
            <w:tcW w:w="2694" w:type="dxa"/>
            <w:tcBorders>
              <w:top w:val="single" w:color="auto" w:sz="8" w:space="0"/>
              <w:bottom w:val="single" w:color="auto" w:sz="8" w:space="0"/>
            </w:tcBorders>
            <w:vAlign w:val="center"/>
          </w:tcPr>
          <w:p w14:paraId="31CC2DCD">
            <w:pPr>
              <w:pStyle w:val="178"/>
            </w:pPr>
            <w:r>
              <w:rPr>
                <w:rFonts w:hint="eastAsia"/>
              </w:rPr>
              <w:t>主要测评目标</w:t>
            </w:r>
          </w:p>
        </w:tc>
        <w:tc>
          <w:tcPr>
            <w:tcW w:w="2409" w:type="dxa"/>
            <w:tcBorders>
              <w:top w:val="single" w:color="auto" w:sz="8" w:space="0"/>
              <w:bottom w:val="single" w:color="auto" w:sz="8" w:space="0"/>
            </w:tcBorders>
            <w:vAlign w:val="center"/>
          </w:tcPr>
          <w:p w14:paraId="0105EE17">
            <w:pPr>
              <w:pStyle w:val="178"/>
            </w:pPr>
            <w:r>
              <w:rPr>
                <w:rFonts w:hint="eastAsia"/>
              </w:rPr>
              <w:t>宜采用的主要模态</w:t>
            </w:r>
          </w:p>
        </w:tc>
        <w:tc>
          <w:tcPr>
            <w:tcW w:w="3107" w:type="dxa"/>
            <w:tcBorders>
              <w:top w:val="single" w:color="auto" w:sz="8" w:space="0"/>
              <w:bottom w:val="single" w:color="auto" w:sz="8" w:space="0"/>
            </w:tcBorders>
            <w:vAlign w:val="center"/>
          </w:tcPr>
          <w:p w14:paraId="5B8B88F3">
            <w:pPr>
              <w:pStyle w:val="178"/>
            </w:pPr>
            <w:r>
              <w:rPr>
                <w:rFonts w:hint="eastAsia"/>
              </w:rPr>
              <w:t>设计控制要点</w:t>
            </w:r>
          </w:p>
        </w:tc>
      </w:tr>
      <w:tr w14:paraId="0A6EE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vAlign w:val="center"/>
          </w:tcPr>
          <w:p w14:paraId="2818F721">
            <w:pPr>
              <w:pStyle w:val="178"/>
            </w:pPr>
            <w:r>
              <w:rPr>
                <w:rFonts w:hint="eastAsia"/>
              </w:rPr>
              <w:t>课堂互动评价</w:t>
            </w:r>
          </w:p>
        </w:tc>
        <w:tc>
          <w:tcPr>
            <w:tcW w:w="2694" w:type="dxa"/>
            <w:tcBorders>
              <w:top w:val="single" w:color="auto" w:sz="8" w:space="0"/>
            </w:tcBorders>
            <w:vAlign w:val="center"/>
          </w:tcPr>
          <w:p w14:paraId="60CD87E0">
            <w:pPr>
              <w:pStyle w:val="178"/>
            </w:pPr>
            <w:r>
              <w:rPr>
                <w:rFonts w:hint="eastAsia"/>
              </w:rPr>
              <w:t>参与表现、表达质量、互动过程</w:t>
            </w:r>
          </w:p>
        </w:tc>
        <w:tc>
          <w:tcPr>
            <w:tcW w:w="2409" w:type="dxa"/>
            <w:tcBorders>
              <w:top w:val="single" w:color="auto" w:sz="8" w:space="0"/>
            </w:tcBorders>
            <w:vAlign w:val="center"/>
          </w:tcPr>
          <w:p w14:paraId="47E282E0">
            <w:pPr>
              <w:pStyle w:val="178"/>
            </w:pPr>
            <w:r>
              <w:rPr>
                <w:rFonts w:hint="eastAsia"/>
              </w:rPr>
              <w:t>文本、语音、视频、行为轨迹</w:t>
            </w:r>
          </w:p>
        </w:tc>
        <w:tc>
          <w:tcPr>
            <w:tcW w:w="3107" w:type="dxa"/>
            <w:tcBorders>
              <w:top w:val="single" w:color="auto" w:sz="8" w:space="0"/>
            </w:tcBorders>
            <w:vAlign w:val="center"/>
          </w:tcPr>
          <w:p w14:paraId="57C3B7CC">
            <w:pPr>
              <w:pStyle w:val="178"/>
            </w:pPr>
            <w:r>
              <w:rPr>
                <w:rFonts w:hint="eastAsia"/>
              </w:rPr>
              <w:t>不得以单一行为频次替代学习质量判断</w:t>
            </w:r>
          </w:p>
        </w:tc>
      </w:tr>
      <w:tr w14:paraId="19D800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5AAA74F1">
            <w:pPr>
              <w:pStyle w:val="178"/>
            </w:pPr>
            <w:r>
              <w:rPr>
                <w:rFonts w:hint="eastAsia"/>
              </w:rPr>
              <w:t>作业诊断反馈</w:t>
            </w:r>
          </w:p>
        </w:tc>
        <w:tc>
          <w:tcPr>
            <w:tcW w:w="2694" w:type="dxa"/>
            <w:vAlign w:val="center"/>
          </w:tcPr>
          <w:p w14:paraId="441AE809">
            <w:pPr>
              <w:pStyle w:val="178"/>
            </w:pPr>
            <w:r>
              <w:rPr>
                <w:rFonts w:hint="eastAsia"/>
              </w:rPr>
              <w:t>错误识别、知识薄弱点分析、</w:t>
            </w:r>
          </w:p>
          <w:p w14:paraId="58551FF6">
            <w:pPr>
              <w:pStyle w:val="178"/>
            </w:pPr>
            <w:r>
              <w:rPr>
                <w:rFonts w:hint="eastAsia"/>
              </w:rPr>
              <w:t>改进建议</w:t>
            </w:r>
          </w:p>
        </w:tc>
        <w:tc>
          <w:tcPr>
            <w:tcW w:w="2409" w:type="dxa"/>
            <w:vAlign w:val="center"/>
          </w:tcPr>
          <w:p w14:paraId="54B7F51C">
            <w:pPr>
              <w:pStyle w:val="178"/>
            </w:pPr>
            <w:r>
              <w:rPr>
                <w:rFonts w:hint="eastAsia"/>
              </w:rPr>
              <w:t>文本、图像、作答轨迹</w:t>
            </w:r>
          </w:p>
        </w:tc>
        <w:tc>
          <w:tcPr>
            <w:tcW w:w="3107" w:type="dxa"/>
            <w:vAlign w:val="center"/>
          </w:tcPr>
          <w:p w14:paraId="30431DB9">
            <w:pPr>
              <w:pStyle w:val="178"/>
            </w:pPr>
            <w:r>
              <w:rPr>
                <w:rFonts w:hint="eastAsia"/>
              </w:rPr>
              <w:t>应突出诊断功能，不得只输出分数</w:t>
            </w:r>
          </w:p>
        </w:tc>
      </w:tr>
      <w:tr w14:paraId="3A941F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0EA838DA">
            <w:pPr>
              <w:pStyle w:val="178"/>
            </w:pPr>
            <w:r>
              <w:rPr>
                <w:rFonts w:hint="eastAsia"/>
              </w:rPr>
              <w:t>口语表达测评</w:t>
            </w:r>
          </w:p>
        </w:tc>
        <w:tc>
          <w:tcPr>
            <w:tcW w:w="2694" w:type="dxa"/>
            <w:vAlign w:val="center"/>
          </w:tcPr>
          <w:p w14:paraId="6B6377F4">
            <w:pPr>
              <w:pStyle w:val="178"/>
            </w:pPr>
            <w:r>
              <w:rPr>
                <w:rFonts w:hint="eastAsia"/>
              </w:rPr>
              <w:t>发音、流畅度、语义表达、</w:t>
            </w:r>
          </w:p>
          <w:p w14:paraId="6699B1E0">
            <w:pPr>
              <w:pStyle w:val="178"/>
            </w:pPr>
            <w:r>
              <w:rPr>
                <w:rFonts w:hint="eastAsia"/>
              </w:rPr>
              <w:t>交互能力</w:t>
            </w:r>
          </w:p>
        </w:tc>
        <w:tc>
          <w:tcPr>
            <w:tcW w:w="2409" w:type="dxa"/>
            <w:vAlign w:val="center"/>
          </w:tcPr>
          <w:p w14:paraId="3149BE6F">
            <w:pPr>
              <w:pStyle w:val="178"/>
            </w:pPr>
            <w:r>
              <w:rPr>
                <w:rFonts w:hint="eastAsia"/>
              </w:rPr>
              <w:t>语音、文本、视频</w:t>
            </w:r>
          </w:p>
        </w:tc>
        <w:tc>
          <w:tcPr>
            <w:tcW w:w="3107" w:type="dxa"/>
            <w:vAlign w:val="center"/>
          </w:tcPr>
          <w:p w14:paraId="751B7CEA">
            <w:pPr>
              <w:pStyle w:val="178"/>
            </w:pPr>
            <w:r>
              <w:rPr>
                <w:rFonts w:hint="eastAsia"/>
              </w:rPr>
              <w:t>应考虑口音差异、设备差异和场景噪声</w:t>
            </w:r>
          </w:p>
        </w:tc>
      </w:tr>
      <w:tr w14:paraId="656D3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5F9BCD81">
            <w:pPr>
              <w:pStyle w:val="178"/>
            </w:pPr>
            <w:r>
              <w:rPr>
                <w:rFonts w:hint="eastAsia"/>
              </w:rPr>
              <w:t>实验实训评价</w:t>
            </w:r>
          </w:p>
        </w:tc>
        <w:tc>
          <w:tcPr>
            <w:tcW w:w="2694" w:type="dxa"/>
            <w:vAlign w:val="center"/>
          </w:tcPr>
          <w:p w14:paraId="7727A839">
            <w:pPr>
              <w:pStyle w:val="178"/>
            </w:pPr>
            <w:r>
              <w:rPr>
                <w:rFonts w:hint="eastAsia"/>
              </w:rPr>
              <w:t>操作规范、过程表现、结果质量</w:t>
            </w:r>
          </w:p>
        </w:tc>
        <w:tc>
          <w:tcPr>
            <w:tcW w:w="2409" w:type="dxa"/>
            <w:vAlign w:val="center"/>
          </w:tcPr>
          <w:p w14:paraId="476D9528">
            <w:pPr>
              <w:pStyle w:val="178"/>
            </w:pPr>
            <w:r>
              <w:rPr>
                <w:rFonts w:hint="eastAsia"/>
              </w:rPr>
              <w:t>视频、图像、行为轨迹、文本</w:t>
            </w:r>
          </w:p>
        </w:tc>
        <w:tc>
          <w:tcPr>
            <w:tcW w:w="3107" w:type="dxa"/>
            <w:vAlign w:val="center"/>
          </w:tcPr>
          <w:p w14:paraId="52000283">
            <w:pPr>
              <w:pStyle w:val="178"/>
            </w:pPr>
            <w:r>
              <w:rPr>
                <w:rFonts w:hint="eastAsia"/>
              </w:rPr>
              <w:t>应重过程证据，不得只看最终结果</w:t>
            </w:r>
          </w:p>
        </w:tc>
      </w:tr>
      <w:tr w14:paraId="12B105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2959F220">
            <w:pPr>
              <w:pStyle w:val="178"/>
            </w:pPr>
            <w:r>
              <w:rPr>
                <w:rFonts w:hint="eastAsia"/>
              </w:rPr>
              <w:t>在线学习评价</w:t>
            </w:r>
          </w:p>
        </w:tc>
        <w:tc>
          <w:tcPr>
            <w:tcW w:w="2694" w:type="dxa"/>
            <w:vAlign w:val="center"/>
          </w:tcPr>
          <w:p w14:paraId="7AAA8B31">
            <w:pPr>
              <w:pStyle w:val="178"/>
            </w:pPr>
            <w:r>
              <w:rPr>
                <w:rFonts w:hint="eastAsia"/>
              </w:rPr>
              <w:t>学习投入、过程表现、阶段变化</w:t>
            </w:r>
          </w:p>
        </w:tc>
        <w:tc>
          <w:tcPr>
            <w:tcW w:w="2409" w:type="dxa"/>
            <w:vAlign w:val="center"/>
          </w:tcPr>
          <w:p w14:paraId="7BAAC145">
            <w:pPr>
              <w:pStyle w:val="178"/>
            </w:pPr>
            <w:r>
              <w:rPr>
                <w:rFonts w:hint="eastAsia"/>
              </w:rPr>
              <w:t>行为日志、文本、语音</w:t>
            </w:r>
          </w:p>
        </w:tc>
        <w:tc>
          <w:tcPr>
            <w:tcW w:w="3107" w:type="dxa"/>
            <w:vAlign w:val="center"/>
          </w:tcPr>
          <w:p w14:paraId="60C5789D">
            <w:pPr>
              <w:pStyle w:val="178"/>
            </w:pPr>
            <w:r>
              <w:rPr>
                <w:rFonts w:hint="eastAsia"/>
              </w:rPr>
              <w:t>不得以停留时长直接等同学习效果</w:t>
            </w:r>
          </w:p>
        </w:tc>
      </w:tr>
      <w:tr w14:paraId="1C863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2C25A595">
            <w:pPr>
              <w:pStyle w:val="178"/>
            </w:pPr>
            <w:r>
              <w:rPr>
                <w:rFonts w:hint="eastAsia"/>
              </w:rPr>
              <w:t>考试辅助评价</w:t>
            </w:r>
          </w:p>
        </w:tc>
        <w:tc>
          <w:tcPr>
            <w:tcW w:w="2694" w:type="dxa"/>
            <w:vAlign w:val="center"/>
          </w:tcPr>
          <w:p w14:paraId="3B4DFE99">
            <w:pPr>
              <w:pStyle w:val="178"/>
            </w:pPr>
            <w:r>
              <w:rPr>
                <w:rFonts w:hint="eastAsia"/>
              </w:rPr>
              <w:t>辅助评分、异常识别、质量抽检</w:t>
            </w:r>
          </w:p>
        </w:tc>
        <w:tc>
          <w:tcPr>
            <w:tcW w:w="2409" w:type="dxa"/>
            <w:vAlign w:val="center"/>
          </w:tcPr>
          <w:p w14:paraId="3A2D19A3">
            <w:pPr>
              <w:pStyle w:val="178"/>
            </w:pPr>
            <w:r>
              <w:rPr>
                <w:rFonts w:hint="eastAsia"/>
              </w:rPr>
              <w:t>文本、图像、语音、日志</w:t>
            </w:r>
          </w:p>
        </w:tc>
        <w:tc>
          <w:tcPr>
            <w:tcW w:w="3107" w:type="dxa"/>
            <w:vAlign w:val="center"/>
          </w:tcPr>
          <w:p w14:paraId="6F3D44D3">
            <w:pPr>
              <w:pStyle w:val="178"/>
            </w:pPr>
            <w:r>
              <w:rPr>
                <w:rFonts w:hint="eastAsia"/>
              </w:rPr>
              <w:t>应明确人工复核边界和正式认定条件</w:t>
            </w:r>
          </w:p>
        </w:tc>
      </w:tr>
      <w:tr w14:paraId="53C495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Align w:val="center"/>
          </w:tcPr>
          <w:p w14:paraId="6525EFC2">
            <w:pPr>
              <w:pStyle w:val="178"/>
            </w:pPr>
            <w:r>
              <w:rPr>
                <w:rFonts w:hint="eastAsia"/>
              </w:rPr>
              <w:t>项目学习评价</w:t>
            </w:r>
          </w:p>
        </w:tc>
        <w:tc>
          <w:tcPr>
            <w:tcW w:w="2694" w:type="dxa"/>
            <w:vAlign w:val="center"/>
          </w:tcPr>
          <w:p w14:paraId="7B6BD903">
            <w:pPr>
              <w:pStyle w:val="178"/>
            </w:pPr>
            <w:r>
              <w:rPr>
                <w:rFonts w:hint="eastAsia"/>
              </w:rPr>
              <w:t>协作过程、表达展示、问题解决</w:t>
            </w:r>
          </w:p>
        </w:tc>
        <w:tc>
          <w:tcPr>
            <w:tcW w:w="2409" w:type="dxa"/>
            <w:vAlign w:val="center"/>
          </w:tcPr>
          <w:p w14:paraId="73714BBC">
            <w:pPr>
              <w:pStyle w:val="178"/>
            </w:pPr>
            <w:r>
              <w:rPr>
                <w:rFonts w:hint="eastAsia"/>
              </w:rPr>
              <w:t>文本、语音、视频、提交记录</w:t>
            </w:r>
          </w:p>
        </w:tc>
        <w:tc>
          <w:tcPr>
            <w:tcW w:w="3107" w:type="dxa"/>
            <w:vAlign w:val="center"/>
          </w:tcPr>
          <w:p w14:paraId="5C73710B">
            <w:pPr>
              <w:pStyle w:val="178"/>
            </w:pPr>
            <w:r>
              <w:rPr>
                <w:rFonts w:hint="eastAsia"/>
              </w:rPr>
              <w:t>应体现综合性，不得过度碎片化评分</w:t>
            </w:r>
          </w:p>
        </w:tc>
      </w:tr>
    </w:tbl>
    <w:p w14:paraId="1E37D96E">
      <w:pPr>
        <w:pStyle w:val="105"/>
        <w:spacing w:before="120" w:after="120" w:line="360" w:lineRule="auto"/>
      </w:pPr>
      <w:r>
        <w:rPr>
          <w:rFonts w:hint="eastAsia"/>
        </w:rPr>
        <w:t>结果用途与应用边界设计</w:t>
      </w:r>
    </w:p>
    <w:p w14:paraId="26022B63">
      <w:pPr>
        <w:pStyle w:val="165"/>
        <w:spacing w:line="360" w:lineRule="auto"/>
      </w:pPr>
      <w:r>
        <w:rPr>
          <w:rFonts w:hint="eastAsia"/>
        </w:rPr>
        <w:t>在场景设计阶段，应同步明确测评结果的用途和边界。</w:t>
      </w:r>
    </w:p>
    <w:p w14:paraId="13E10674">
      <w:pPr>
        <w:pStyle w:val="165"/>
        <w:spacing w:line="360" w:lineRule="auto"/>
      </w:pPr>
      <w:r>
        <w:rPr>
          <w:rFonts w:hint="eastAsia"/>
        </w:rPr>
        <w:t>结果用途可包括教学诊断、学习反馈、过程支持、教学改进、阶段评价和辅助决策等。</w:t>
      </w:r>
    </w:p>
    <w:p w14:paraId="264B538B">
      <w:pPr>
        <w:pStyle w:val="165"/>
        <w:spacing w:line="360" w:lineRule="auto"/>
      </w:pPr>
      <w:r>
        <w:rPr>
          <w:rFonts w:hint="eastAsia"/>
        </w:rPr>
        <w:t>结果用途属于高风险决策或者正式认定时，应提高复核等级和质量要求。</w:t>
      </w:r>
    </w:p>
    <w:p w14:paraId="0C98A3D4">
      <w:pPr>
        <w:pStyle w:val="165"/>
        <w:spacing w:line="360" w:lineRule="auto"/>
      </w:pPr>
      <w:r>
        <w:rPr>
          <w:rFonts w:hint="eastAsia"/>
        </w:rPr>
        <w:t>应用边界设计应明确哪些结果可直接反馈、哪些结果仅作辅助参考、哪些结果必须经人工确认后方可使用。</w:t>
      </w:r>
    </w:p>
    <w:p w14:paraId="45FB5E4C">
      <w:pPr>
        <w:pStyle w:val="105"/>
        <w:spacing w:before="120" w:after="120" w:line="360" w:lineRule="auto"/>
      </w:pPr>
      <w:r>
        <w:rPr>
          <w:rFonts w:hint="eastAsia"/>
        </w:rPr>
        <w:t>场景试用与上线前验证</w:t>
      </w:r>
    </w:p>
    <w:p w14:paraId="3601D5D6">
      <w:pPr>
        <w:pStyle w:val="165"/>
        <w:spacing w:line="360" w:lineRule="auto"/>
      </w:pPr>
      <w:r>
        <w:rPr>
          <w:rFonts w:hint="eastAsia"/>
        </w:rPr>
        <w:t>新场景上线前，应开展试用验证。</w:t>
      </w:r>
    </w:p>
    <w:p w14:paraId="512A6BC2">
      <w:pPr>
        <w:pStyle w:val="165"/>
        <w:spacing w:line="360" w:lineRule="auto"/>
      </w:pPr>
      <w:r>
        <w:rPr>
          <w:rFonts w:hint="eastAsia"/>
        </w:rPr>
        <w:t>试用验证宜包括目标适配性验证、模态有效性验证、评分一致性验证、输出稳定性验证和用户可接受性验证。</w:t>
      </w:r>
    </w:p>
    <w:p w14:paraId="1429E2C5">
      <w:pPr>
        <w:pStyle w:val="165"/>
        <w:spacing w:line="360" w:lineRule="auto"/>
      </w:pPr>
      <w:r>
        <w:rPr>
          <w:rFonts w:hint="eastAsia"/>
        </w:rPr>
        <w:t>试用验证中发现目标偏移、模态无效、结果偏差明显或者复核负担过重时，应先调整设计后再上线。</w:t>
      </w:r>
    </w:p>
    <w:p w14:paraId="2001775B">
      <w:pPr>
        <w:pStyle w:val="165"/>
        <w:spacing w:line="360" w:lineRule="auto"/>
      </w:pPr>
      <w:r>
        <w:rPr>
          <w:rFonts w:hint="eastAsia"/>
        </w:rPr>
        <w:t>未完成验证的场景，不得直接用于正式高风险测评活动。</w:t>
      </w:r>
    </w:p>
    <w:p w14:paraId="5D60B074">
      <w:pPr>
        <w:pStyle w:val="105"/>
        <w:spacing w:before="120" w:after="120" w:line="360" w:lineRule="auto"/>
      </w:pPr>
      <w:r>
        <w:rPr>
          <w:rFonts w:hint="eastAsia"/>
        </w:rPr>
        <w:t>禁止性要求</w:t>
      </w:r>
    </w:p>
    <w:p w14:paraId="78F75DBE">
      <w:pPr>
        <w:pStyle w:val="165"/>
        <w:spacing w:line="360" w:lineRule="auto"/>
      </w:pPr>
      <w:r>
        <w:rPr>
          <w:rFonts w:hint="eastAsia"/>
        </w:rPr>
        <w:t>不得在测评目标不清的情况下直接组织多模态数据采集和模型配置。</w:t>
      </w:r>
    </w:p>
    <w:p w14:paraId="1E25BB02">
      <w:pPr>
        <w:pStyle w:val="165"/>
        <w:spacing w:line="360" w:lineRule="auto"/>
      </w:pPr>
      <w:r>
        <w:rPr>
          <w:rFonts w:hint="eastAsia"/>
        </w:rPr>
        <w:t>不得将技术上可采集的全部模态都纳入正式测评范围。</w:t>
      </w:r>
    </w:p>
    <w:p w14:paraId="6C50A376">
      <w:pPr>
        <w:pStyle w:val="165"/>
        <w:spacing w:line="360" w:lineRule="auto"/>
      </w:pPr>
      <w:r>
        <w:rPr>
          <w:rFonts w:hint="eastAsia"/>
        </w:rPr>
        <w:t>不得在评价指标与教学目标不一致的情况下输出正式结果。</w:t>
      </w:r>
    </w:p>
    <w:p w14:paraId="30245CE9">
      <w:pPr>
        <w:pStyle w:val="165"/>
        <w:spacing w:line="360" w:lineRule="auto"/>
      </w:pPr>
      <w:r>
        <w:rPr>
          <w:rFonts w:hint="eastAsia"/>
        </w:rPr>
        <w:t>不得在场景边界不明、结果用途不清或者复核机制缺失的情况下开展高风险应用。</w:t>
      </w:r>
    </w:p>
    <w:p w14:paraId="59496AE4">
      <w:pPr>
        <w:pStyle w:val="165"/>
        <w:spacing w:line="360" w:lineRule="auto"/>
      </w:pPr>
      <w:r>
        <w:rPr>
          <w:rFonts w:hint="eastAsia"/>
        </w:rPr>
        <w:t>不得以单一模态、单一行为或者单一模型结果对学习者作出片面结论。</w:t>
      </w:r>
    </w:p>
    <w:p w14:paraId="4D3246C5">
      <w:pPr>
        <w:pStyle w:val="104"/>
        <w:spacing w:before="240" w:after="240" w:line="360" w:lineRule="auto"/>
      </w:pPr>
      <w:bookmarkStart w:id="53" w:name="_Toc228564648"/>
      <w:r>
        <w:rPr>
          <w:rFonts w:hint="eastAsia"/>
        </w:rPr>
        <w:t>模态数据采集与治理要求</w:t>
      </w:r>
      <w:bookmarkEnd w:id="53"/>
    </w:p>
    <w:p w14:paraId="5E08EE21">
      <w:pPr>
        <w:pStyle w:val="105"/>
        <w:spacing w:before="120" w:after="120" w:line="360" w:lineRule="auto"/>
      </w:pPr>
      <w:r>
        <w:rPr>
          <w:rFonts w:hint="eastAsia"/>
        </w:rPr>
        <w:t>一般规定</w:t>
      </w:r>
    </w:p>
    <w:p w14:paraId="17C2828C">
      <w:pPr>
        <w:pStyle w:val="165"/>
        <w:spacing w:line="360" w:lineRule="auto"/>
      </w:pPr>
      <w:r>
        <w:rPr>
          <w:rFonts w:hint="eastAsia"/>
        </w:rPr>
        <w:t>多模态人工智能教育测评的数据采集与治理应围绕测评目标、应用场景、任务要求和质量控制要求组织实施。</w:t>
      </w:r>
    </w:p>
    <w:p w14:paraId="36D331CB">
      <w:pPr>
        <w:pStyle w:val="165"/>
        <w:spacing w:line="360" w:lineRule="auto"/>
      </w:pPr>
      <w:r>
        <w:rPr>
          <w:rFonts w:hint="eastAsia"/>
        </w:rPr>
        <w:t>模态数据采集应遵循合法、正当、必要、适度、可控和可追溯的原则。</w:t>
      </w:r>
    </w:p>
    <w:p w14:paraId="6AA7E6B7">
      <w:pPr>
        <w:pStyle w:val="165"/>
        <w:spacing w:line="360" w:lineRule="auto"/>
      </w:pPr>
      <w:r>
        <w:rPr>
          <w:rFonts w:hint="eastAsia"/>
        </w:rPr>
        <w:t>模态数据治理应贯穿数据产生、采集、传输、存储、清洗、标注、加工、使用、归档和退出全过程。</w:t>
      </w:r>
    </w:p>
    <w:p w14:paraId="43FEAE93">
      <w:pPr>
        <w:pStyle w:val="165"/>
        <w:spacing w:line="360" w:lineRule="auto"/>
      </w:pPr>
      <w:r>
        <w:rPr>
          <w:rFonts w:hint="eastAsia"/>
        </w:rPr>
        <w:t>数据采集范围、采集方式、采集频率、使用边界和保留期限应与教育测评目标相匹配，不得超范围采集、长期留存与测评目标无关的数据。</w:t>
      </w:r>
    </w:p>
    <w:p w14:paraId="61C7DDD8">
      <w:pPr>
        <w:pStyle w:val="165"/>
        <w:spacing w:line="360" w:lineRule="auto"/>
      </w:pPr>
      <w:r>
        <w:rPr>
          <w:rFonts w:hint="eastAsia"/>
        </w:rPr>
        <w:t>对涉及未成年人图像、音视频、行为轨迹、生物特征或者其他敏感性较高的数据，应实施更严格的采集控制、权限控制和安全保护。</w:t>
      </w:r>
    </w:p>
    <w:p w14:paraId="6D49878D">
      <w:pPr>
        <w:pStyle w:val="165"/>
        <w:spacing w:line="360" w:lineRule="auto"/>
      </w:pPr>
      <w:r>
        <w:rPr>
          <w:rFonts w:hint="eastAsia"/>
        </w:rPr>
        <w:t>数据采集与治理不得影响正常教学秩序、考试秩序、课堂体验和受测对象的基本权益。</w:t>
      </w:r>
    </w:p>
    <w:p w14:paraId="489965E4">
      <w:pPr>
        <w:pStyle w:val="105"/>
        <w:spacing w:before="120" w:after="120" w:line="360" w:lineRule="auto"/>
      </w:pPr>
      <w:r>
        <w:rPr>
          <w:rFonts w:hint="eastAsia"/>
        </w:rPr>
        <w:t>数据采集方案设计</w:t>
      </w:r>
    </w:p>
    <w:p w14:paraId="55BE3B24">
      <w:pPr>
        <w:pStyle w:val="65"/>
        <w:spacing w:before="120" w:after="120" w:line="360" w:lineRule="auto"/>
      </w:pPr>
      <w:r>
        <w:rPr>
          <w:rFonts w:hint="eastAsia"/>
        </w:rPr>
        <w:t>一般要求</w:t>
      </w:r>
    </w:p>
    <w:p w14:paraId="6E91064F">
      <w:pPr>
        <w:pStyle w:val="165"/>
        <w:spacing w:line="360" w:lineRule="auto"/>
      </w:pPr>
      <w:r>
        <w:rPr>
          <w:rFonts w:hint="eastAsia"/>
        </w:rPr>
        <w:t>开展多模态人工智能教育测评前，应制定数据采集方案。</w:t>
      </w:r>
    </w:p>
    <w:p w14:paraId="7B98C271">
      <w:pPr>
        <w:pStyle w:val="165"/>
        <w:spacing w:line="360" w:lineRule="auto"/>
      </w:pPr>
      <w:r>
        <w:rPr>
          <w:rFonts w:hint="eastAsia"/>
        </w:rPr>
        <w:t>数据采集方案应与测评目标、应用场景、模态配置、评分规则和质量要求相衔接。</w:t>
      </w:r>
    </w:p>
    <w:p w14:paraId="7516A5BE">
      <w:pPr>
        <w:pStyle w:val="165"/>
        <w:spacing w:line="360" w:lineRule="auto"/>
      </w:pPr>
      <w:r>
        <w:rPr>
          <w:rFonts w:hint="eastAsia"/>
        </w:rPr>
        <w:t>数据采集方案未经确认，不得进入正式采集环节。</w:t>
      </w:r>
    </w:p>
    <w:p w14:paraId="5FC6C6A5">
      <w:pPr>
        <w:pStyle w:val="65"/>
        <w:spacing w:before="120" w:after="120" w:line="360" w:lineRule="auto"/>
      </w:pPr>
      <w:r>
        <w:rPr>
          <w:rFonts w:hint="eastAsia"/>
        </w:rPr>
        <w:t>方案内容</w:t>
      </w:r>
    </w:p>
    <w:p w14:paraId="3B1EB90F">
      <w:pPr>
        <w:pStyle w:val="164"/>
        <w:spacing w:line="360" w:lineRule="auto"/>
      </w:pPr>
      <w:r>
        <w:rPr>
          <w:rFonts w:hint="eastAsia"/>
        </w:rPr>
        <w:t>数据采集方案宜至少包括下列内容：</w:t>
      </w:r>
    </w:p>
    <w:p w14:paraId="505DBC1B">
      <w:pPr>
        <w:pStyle w:val="56"/>
        <w:spacing w:line="360" w:lineRule="auto"/>
        <w:ind w:firstLine="420"/>
      </w:pPr>
      <w:r>
        <w:rPr>
          <w:rFonts w:hint="eastAsia"/>
        </w:rPr>
        <w:t>a）采集目标；</w:t>
      </w:r>
    </w:p>
    <w:p w14:paraId="370643EE">
      <w:pPr>
        <w:pStyle w:val="56"/>
        <w:spacing w:line="360" w:lineRule="auto"/>
        <w:ind w:firstLine="420"/>
      </w:pPr>
      <w:r>
        <w:rPr>
          <w:rFonts w:hint="eastAsia"/>
        </w:rPr>
        <w:t>b）采集对象；</w:t>
      </w:r>
    </w:p>
    <w:p w14:paraId="0668DF6D">
      <w:pPr>
        <w:pStyle w:val="56"/>
        <w:spacing w:line="360" w:lineRule="auto"/>
        <w:ind w:firstLine="420"/>
      </w:pPr>
      <w:r>
        <w:rPr>
          <w:rFonts w:hint="eastAsia"/>
        </w:rPr>
        <w:t>c）采集场景；</w:t>
      </w:r>
    </w:p>
    <w:p w14:paraId="00500389">
      <w:pPr>
        <w:pStyle w:val="56"/>
        <w:spacing w:line="360" w:lineRule="auto"/>
        <w:ind w:firstLine="420"/>
      </w:pPr>
      <w:r>
        <w:rPr>
          <w:rFonts w:hint="eastAsia"/>
        </w:rPr>
        <w:t>d）采集模态；</w:t>
      </w:r>
    </w:p>
    <w:p w14:paraId="18A45552">
      <w:pPr>
        <w:pStyle w:val="56"/>
        <w:spacing w:line="360" w:lineRule="auto"/>
        <w:ind w:firstLine="420"/>
      </w:pPr>
      <w:r>
        <w:rPr>
          <w:rFonts w:hint="eastAsia"/>
        </w:rPr>
        <w:t>e）采集设备与环境要求；</w:t>
      </w:r>
    </w:p>
    <w:p w14:paraId="7369E741">
      <w:pPr>
        <w:pStyle w:val="56"/>
        <w:spacing w:line="360" w:lineRule="auto"/>
        <w:ind w:firstLine="420"/>
      </w:pPr>
      <w:r>
        <w:rPr>
          <w:rFonts w:hint="eastAsia"/>
        </w:rPr>
        <w:t>f）采集时间与频率；</w:t>
      </w:r>
    </w:p>
    <w:p w14:paraId="40D9A739">
      <w:pPr>
        <w:pStyle w:val="56"/>
        <w:spacing w:line="360" w:lineRule="auto"/>
        <w:ind w:firstLine="420"/>
      </w:pPr>
      <w:r>
        <w:rPr>
          <w:rFonts w:hint="eastAsia"/>
        </w:rPr>
        <w:t>g）采集内容边界；</w:t>
      </w:r>
    </w:p>
    <w:p w14:paraId="78F11670">
      <w:pPr>
        <w:pStyle w:val="56"/>
        <w:spacing w:line="360" w:lineRule="auto"/>
        <w:ind w:firstLine="420"/>
      </w:pPr>
      <w:r>
        <w:rPr>
          <w:rFonts w:hint="eastAsia"/>
        </w:rPr>
        <w:t>h）数据质量要求；</w:t>
      </w:r>
    </w:p>
    <w:p w14:paraId="53F6B3A2">
      <w:pPr>
        <w:pStyle w:val="56"/>
        <w:spacing w:line="360" w:lineRule="auto"/>
        <w:ind w:firstLine="420"/>
      </w:pPr>
      <w:r>
        <w:rPr>
          <w:rFonts w:hint="eastAsia"/>
        </w:rPr>
        <w:t>i）权限与授权要求；</w:t>
      </w:r>
    </w:p>
    <w:p w14:paraId="3A562BE3">
      <w:pPr>
        <w:pStyle w:val="56"/>
        <w:spacing w:line="360" w:lineRule="auto"/>
        <w:ind w:firstLine="420"/>
      </w:pPr>
      <w:r>
        <w:rPr>
          <w:rFonts w:hint="eastAsia"/>
        </w:rPr>
        <w:t>j）异常处置要求；</w:t>
      </w:r>
    </w:p>
    <w:p w14:paraId="16DE7BBC">
      <w:pPr>
        <w:pStyle w:val="56"/>
        <w:spacing w:line="360" w:lineRule="auto"/>
        <w:ind w:firstLine="420"/>
      </w:pPr>
      <w:r>
        <w:rPr>
          <w:rFonts w:hint="eastAsia"/>
        </w:rPr>
        <w:t>k）存储与保留要求；</w:t>
      </w:r>
    </w:p>
    <w:p w14:paraId="4A8EA621">
      <w:pPr>
        <w:pStyle w:val="56"/>
        <w:spacing w:line="360" w:lineRule="auto"/>
        <w:ind w:firstLine="420"/>
      </w:pPr>
      <w:r>
        <w:rPr>
          <w:rFonts w:hint="eastAsia"/>
        </w:rPr>
        <w:t>l）安全保护要求。</w:t>
      </w:r>
    </w:p>
    <w:p w14:paraId="4884B500">
      <w:pPr>
        <w:pStyle w:val="164"/>
        <w:spacing w:line="360" w:lineRule="auto"/>
      </w:pPr>
      <w:r>
        <w:rPr>
          <w:rFonts w:hint="eastAsia"/>
        </w:rPr>
        <w:t>同一测评项目包含多个场景时，应分别明确各场景的数据采集要求。</w:t>
      </w:r>
    </w:p>
    <w:p w14:paraId="4A48CE24">
      <w:pPr>
        <w:pStyle w:val="65"/>
        <w:spacing w:before="120" w:after="120" w:line="360" w:lineRule="auto"/>
      </w:pPr>
      <w:r>
        <w:rPr>
          <w:rFonts w:hint="eastAsia"/>
        </w:rPr>
        <w:t>采集边界要求</w:t>
      </w:r>
    </w:p>
    <w:p w14:paraId="6CA8BD01">
      <w:pPr>
        <w:pStyle w:val="164"/>
        <w:spacing w:line="360" w:lineRule="auto"/>
      </w:pPr>
      <w:r>
        <w:rPr>
          <w:rFonts w:hint="eastAsia"/>
        </w:rPr>
        <w:t>数据采集边界应明确到数据项、模态种类、采集时点和使用范围。</w:t>
      </w:r>
    </w:p>
    <w:p w14:paraId="47AA1568">
      <w:pPr>
        <w:pStyle w:val="164"/>
        <w:spacing w:line="360" w:lineRule="auto"/>
      </w:pPr>
      <w:r>
        <w:rPr>
          <w:rFonts w:hint="eastAsia"/>
        </w:rPr>
        <w:t>对与测评目标无直接关联的数据，不得纳入正式采集范围。</w:t>
      </w:r>
    </w:p>
    <w:p w14:paraId="3079B8DB">
      <w:pPr>
        <w:pStyle w:val="164"/>
        <w:spacing w:line="360" w:lineRule="auto"/>
      </w:pPr>
      <w:r>
        <w:rPr>
          <w:rFonts w:hint="eastAsia"/>
        </w:rPr>
        <w:t>对可能引发较大隐私敏感性、伦理争议或者歧视风险的数据，应从严控制采集，必要时不予采集。</w:t>
      </w:r>
    </w:p>
    <w:p w14:paraId="7CFE69E4">
      <w:pPr>
        <w:pStyle w:val="105"/>
        <w:spacing w:before="120" w:after="120" w:line="360" w:lineRule="auto"/>
      </w:pPr>
      <w:r>
        <w:rPr>
          <w:rFonts w:hint="eastAsia"/>
        </w:rPr>
        <w:t>模态数据采集要求</w:t>
      </w:r>
    </w:p>
    <w:p w14:paraId="722C0384">
      <w:pPr>
        <w:pStyle w:val="65"/>
        <w:spacing w:before="120" w:after="120" w:line="360" w:lineRule="auto"/>
      </w:pPr>
      <w:r>
        <w:rPr>
          <w:rFonts w:hint="eastAsia"/>
        </w:rPr>
        <w:t>文本数据采集</w:t>
      </w:r>
    </w:p>
    <w:p w14:paraId="2FADDE87">
      <w:pPr>
        <w:pStyle w:val="164"/>
        <w:spacing w:line="360" w:lineRule="auto"/>
      </w:pPr>
      <w:r>
        <w:rPr>
          <w:rFonts w:hint="eastAsia"/>
        </w:rPr>
        <w:t>文本数据采集应与阅读、写作、问答、作业、讨论、反思、评价说明和其他文字表达任务相适配。</w:t>
      </w:r>
    </w:p>
    <w:p w14:paraId="4D6EE374">
      <w:pPr>
        <w:pStyle w:val="164"/>
        <w:spacing w:line="360" w:lineRule="auto"/>
      </w:pPr>
      <w:r>
        <w:rPr>
          <w:rFonts w:hint="eastAsia"/>
        </w:rPr>
        <w:t>文本采集应保持内容完整、时间明确、来源可追溯和版本可识别。</w:t>
      </w:r>
    </w:p>
    <w:p w14:paraId="7ACD5F60">
      <w:pPr>
        <w:pStyle w:val="164"/>
        <w:spacing w:line="360" w:lineRule="auto"/>
      </w:pPr>
      <w:r>
        <w:rPr>
          <w:rFonts w:hint="eastAsia"/>
        </w:rPr>
        <w:t>对输入法自动纠错、平台自动补全和系统模板生成的内容，应能够识别人与系统生成的边界。</w:t>
      </w:r>
    </w:p>
    <w:p w14:paraId="6F178A98">
      <w:pPr>
        <w:pStyle w:val="65"/>
        <w:spacing w:before="120" w:after="120" w:line="360" w:lineRule="auto"/>
      </w:pPr>
      <w:r>
        <w:rPr>
          <w:rFonts w:hint="eastAsia"/>
        </w:rPr>
        <w:t>语音数据采集</w:t>
      </w:r>
    </w:p>
    <w:p w14:paraId="56824BE0">
      <w:pPr>
        <w:pStyle w:val="164"/>
        <w:spacing w:line="360" w:lineRule="auto"/>
      </w:pPr>
      <w:r>
        <w:rPr>
          <w:rFonts w:hint="eastAsia"/>
        </w:rPr>
        <w:t>语音数据采集应与口语表达、语言互动、朗读、问答、汇报和语音操作类任务相适配。</w:t>
      </w:r>
    </w:p>
    <w:p w14:paraId="7293C53C">
      <w:pPr>
        <w:pStyle w:val="164"/>
        <w:spacing w:line="360" w:lineRule="auto"/>
      </w:pPr>
      <w:r>
        <w:rPr>
          <w:rFonts w:hint="eastAsia"/>
        </w:rPr>
        <w:t>语音采集应控制背景噪声、回声干扰、设备失真和信号中断。</w:t>
      </w:r>
    </w:p>
    <w:p w14:paraId="3D579A37">
      <w:pPr>
        <w:pStyle w:val="164"/>
        <w:spacing w:line="360" w:lineRule="auto"/>
      </w:pPr>
      <w:r>
        <w:rPr>
          <w:rFonts w:hint="eastAsia"/>
        </w:rPr>
        <w:t>语音采集应保留必要的时间信息、采样信息和任务对应关系。</w:t>
      </w:r>
    </w:p>
    <w:p w14:paraId="4FBC6ED5">
      <w:pPr>
        <w:pStyle w:val="164"/>
        <w:spacing w:line="360" w:lineRule="auto"/>
      </w:pPr>
      <w:r>
        <w:rPr>
          <w:rFonts w:hint="eastAsia"/>
        </w:rPr>
        <w:t>对口音差异、方言影响、语速差异和设备条件差异，应在采集方案和后续治理中予以考虑。</w:t>
      </w:r>
    </w:p>
    <w:p w14:paraId="690FCCE7">
      <w:pPr>
        <w:pStyle w:val="65"/>
        <w:spacing w:before="120" w:after="120" w:line="360" w:lineRule="auto"/>
      </w:pPr>
      <w:r>
        <w:rPr>
          <w:rFonts w:hint="eastAsia"/>
        </w:rPr>
        <w:t>图像数据采集</w:t>
      </w:r>
    </w:p>
    <w:p w14:paraId="65318753">
      <w:pPr>
        <w:pStyle w:val="164"/>
        <w:spacing w:line="360" w:lineRule="auto"/>
      </w:pPr>
      <w:r>
        <w:rPr>
          <w:rFonts w:hint="eastAsia"/>
        </w:rPr>
        <w:t>图像数据采集应与图示作答、书写内容识别、实验结果呈现、作品展示和视觉状态判断等任务相适配。</w:t>
      </w:r>
    </w:p>
    <w:p w14:paraId="731C768D">
      <w:pPr>
        <w:pStyle w:val="164"/>
        <w:spacing w:line="360" w:lineRule="auto"/>
      </w:pPr>
      <w:r>
        <w:rPr>
          <w:rFonts w:hint="eastAsia"/>
        </w:rPr>
        <w:t>图像采集应保证清晰度、角度合理性、内容完整性和时间对应性。</w:t>
      </w:r>
    </w:p>
    <w:p w14:paraId="770D9CB0">
      <w:pPr>
        <w:pStyle w:val="164"/>
        <w:spacing w:line="360" w:lineRule="auto"/>
      </w:pPr>
      <w:r>
        <w:rPr>
          <w:rFonts w:hint="eastAsia"/>
        </w:rPr>
        <w:t>图像采集不得因采集视角不当、遮挡严重或者分辨率不足影响后续识别与判定。</w:t>
      </w:r>
    </w:p>
    <w:p w14:paraId="38CF462C">
      <w:pPr>
        <w:pStyle w:val="65"/>
        <w:spacing w:before="120" w:after="120" w:line="360" w:lineRule="auto"/>
      </w:pPr>
      <w:r>
        <w:rPr>
          <w:rFonts w:hint="eastAsia"/>
        </w:rPr>
        <w:t>视频数据采集</w:t>
      </w:r>
    </w:p>
    <w:p w14:paraId="2BBCBDE0">
      <w:pPr>
        <w:pStyle w:val="164"/>
        <w:spacing w:line="360" w:lineRule="auto"/>
      </w:pPr>
      <w:r>
        <w:rPr>
          <w:rFonts w:hint="eastAsia"/>
        </w:rPr>
        <w:t>视频数据采集应与实验操作、技能实训、课堂互动、项目展示、行为过程记录和综合表现评价等任务相适配。</w:t>
      </w:r>
    </w:p>
    <w:p w14:paraId="0CB37704">
      <w:pPr>
        <w:pStyle w:val="164"/>
        <w:spacing w:line="360" w:lineRule="auto"/>
      </w:pPr>
      <w:r>
        <w:rPr>
          <w:rFonts w:hint="eastAsia"/>
        </w:rPr>
        <w:t>视频采集应保证画面连续、关键动作可见、时间同步和场景边界清楚。</w:t>
      </w:r>
    </w:p>
    <w:p w14:paraId="2C80368E">
      <w:pPr>
        <w:pStyle w:val="164"/>
        <w:spacing w:line="360" w:lineRule="auto"/>
      </w:pPr>
      <w:r>
        <w:rPr>
          <w:rFonts w:hint="eastAsia"/>
        </w:rPr>
        <w:t>对仅需捕捉操作过程证据的场景，不得无必要扩大视频采集范围。</w:t>
      </w:r>
    </w:p>
    <w:p w14:paraId="66F7CC8A">
      <w:pPr>
        <w:pStyle w:val="65"/>
        <w:spacing w:before="120" w:after="120" w:line="360" w:lineRule="auto"/>
      </w:pPr>
      <w:r>
        <w:rPr>
          <w:rFonts w:hint="eastAsia"/>
        </w:rPr>
        <w:t>行为轨迹和日志数据采集</w:t>
      </w:r>
    </w:p>
    <w:p w14:paraId="71331AFE">
      <w:pPr>
        <w:pStyle w:val="164"/>
        <w:spacing w:line="360" w:lineRule="auto"/>
      </w:pPr>
      <w:r>
        <w:rPr>
          <w:rFonts w:hint="eastAsia"/>
        </w:rPr>
        <w:t>行为轨迹和日志数据采集应服务于学习过程分析、操作路径分析、作答过程分析和交互状态分析。</w:t>
      </w:r>
    </w:p>
    <w:p w14:paraId="1220F6DC">
      <w:pPr>
        <w:pStyle w:val="164"/>
        <w:spacing w:line="360" w:lineRule="auto"/>
      </w:pPr>
      <w:r>
        <w:rPr>
          <w:rFonts w:hint="eastAsia"/>
        </w:rPr>
        <w:t>日志采集应记录关键操作、时间节点、系统反馈和任务状态变化。</w:t>
      </w:r>
    </w:p>
    <w:p w14:paraId="61125781">
      <w:pPr>
        <w:pStyle w:val="164"/>
        <w:spacing w:line="360" w:lineRule="auto"/>
      </w:pPr>
      <w:r>
        <w:rPr>
          <w:rFonts w:hint="eastAsia"/>
        </w:rPr>
        <w:t>不得以简单点击次数、停留时长或者页面切换次数直接替代学习质量和能力表现判断。</w:t>
      </w:r>
    </w:p>
    <w:p w14:paraId="6AA389A7">
      <w:pPr>
        <w:pStyle w:val="65"/>
        <w:spacing w:before="120" w:after="120" w:line="360" w:lineRule="auto"/>
      </w:pPr>
      <w:r>
        <w:rPr>
          <w:rFonts w:hint="eastAsia"/>
        </w:rPr>
        <w:t>复合模态采集</w:t>
      </w:r>
    </w:p>
    <w:p w14:paraId="4529D856">
      <w:pPr>
        <w:pStyle w:val="164"/>
        <w:spacing w:line="360" w:lineRule="auto"/>
      </w:pPr>
      <w:r>
        <w:rPr>
          <w:rFonts w:hint="eastAsia"/>
        </w:rPr>
        <w:t>同一任务采用两种及以上模态采集时，应明确各模态之间的时间同步关系、任务对应关系和证据补充关系。</w:t>
      </w:r>
    </w:p>
    <w:p w14:paraId="21E97FDC">
      <w:pPr>
        <w:pStyle w:val="164"/>
        <w:spacing w:line="360" w:lineRule="auto"/>
      </w:pPr>
      <w:r>
        <w:rPr>
          <w:rFonts w:hint="eastAsia"/>
        </w:rPr>
        <w:t>多模态同步采集应控制设备冲突、采样冲突、格式冲突和时间漂移问题。</w:t>
      </w:r>
    </w:p>
    <w:p w14:paraId="0A20C335">
      <w:pPr>
        <w:pStyle w:val="164"/>
        <w:spacing w:line="360" w:lineRule="auto"/>
      </w:pPr>
      <w:r>
        <w:rPr>
          <w:rFonts w:hint="eastAsia"/>
        </w:rPr>
        <w:t>模态之间不能建立有效对应关系的，不宜直接进入融合评价环节。</w:t>
      </w:r>
    </w:p>
    <w:p w14:paraId="0C08D02E">
      <w:pPr>
        <w:pStyle w:val="105"/>
        <w:spacing w:before="120" w:after="120" w:line="360" w:lineRule="auto"/>
      </w:pPr>
      <w:r>
        <w:rPr>
          <w:rFonts w:hint="eastAsia"/>
        </w:rPr>
        <w:t>数据采集环境与设备要求</w:t>
      </w:r>
    </w:p>
    <w:p w14:paraId="23B33AF8">
      <w:pPr>
        <w:pStyle w:val="65"/>
        <w:spacing w:before="120" w:after="120" w:line="360" w:lineRule="auto"/>
      </w:pPr>
      <w:r>
        <w:rPr>
          <w:rFonts w:hint="eastAsia"/>
        </w:rPr>
        <w:t>一般要求</w:t>
      </w:r>
    </w:p>
    <w:p w14:paraId="046FF081">
      <w:pPr>
        <w:pStyle w:val="164"/>
        <w:spacing w:line="360" w:lineRule="auto"/>
      </w:pPr>
      <w:r>
        <w:rPr>
          <w:rFonts w:hint="eastAsia"/>
        </w:rPr>
        <w:t>数据采集环境应满足测评任务实施和数据质量控制要求。</w:t>
      </w:r>
    </w:p>
    <w:p w14:paraId="69225AB4">
      <w:pPr>
        <w:pStyle w:val="164"/>
        <w:spacing w:line="360" w:lineRule="auto"/>
      </w:pPr>
      <w:r>
        <w:rPr>
          <w:rFonts w:hint="eastAsia"/>
        </w:rPr>
        <w:t>数据采集设备应满足稳定性、清晰度、兼容性和可维护性要求。</w:t>
      </w:r>
    </w:p>
    <w:p w14:paraId="739CD3D2">
      <w:pPr>
        <w:pStyle w:val="164"/>
        <w:spacing w:line="360" w:lineRule="auto"/>
      </w:pPr>
      <w:r>
        <w:rPr>
          <w:rFonts w:hint="eastAsia"/>
        </w:rPr>
        <w:t>采集环境和设备配置不满足要求时，不得开展正式测评采集。</w:t>
      </w:r>
    </w:p>
    <w:p w14:paraId="1019A9D9">
      <w:pPr>
        <w:pStyle w:val="65"/>
        <w:spacing w:before="120" w:after="120" w:line="360" w:lineRule="auto"/>
      </w:pPr>
      <w:r>
        <w:rPr>
          <w:rFonts w:hint="eastAsia"/>
        </w:rPr>
        <w:t>环境控制要求</w:t>
      </w:r>
    </w:p>
    <w:p w14:paraId="617266D2">
      <w:pPr>
        <w:pStyle w:val="164"/>
        <w:spacing w:line="360" w:lineRule="auto"/>
      </w:pPr>
      <w:r>
        <w:rPr>
          <w:rFonts w:hint="eastAsia"/>
        </w:rPr>
        <w:t>语音采集环境应控制噪声干扰、混响干扰和多人串音。</w:t>
      </w:r>
    </w:p>
    <w:p w14:paraId="242F18DB">
      <w:pPr>
        <w:pStyle w:val="164"/>
        <w:spacing w:line="360" w:lineRule="auto"/>
      </w:pPr>
      <w:r>
        <w:rPr>
          <w:rFonts w:hint="eastAsia"/>
        </w:rPr>
        <w:t>图像和视频采集环境应控制光照、遮挡、背景干扰和空间布局影响。</w:t>
      </w:r>
    </w:p>
    <w:p w14:paraId="5485773B">
      <w:pPr>
        <w:pStyle w:val="164"/>
        <w:spacing w:line="360" w:lineRule="auto"/>
      </w:pPr>
      <w:r>
        <w:rPr>
          <w:rFonts w:hint="eastAsia"/>
        </w:rPr>
        <w:t>在线场景采集应控制网络中断、终端不兼容、系统延迟和界面失真等问题。</w:t>
      </w:r>
    </w:p>
    <w:p w14:paraId="59B301CA">
      <w:pPr>
        <w:pStyle w:val="65"/>
        <w:spacing w:before="120" w:after="120" w:line="360" w:lineRule="auto"/>
      </w:pPr>
      <w:r>
        <w:rPr>
          <w:rFonts w:hint="eastAsia"/>
        </w:rPr>
        <w:t>设备校验要求</w:t>
      </w:r>
    </w:p>
    <w:p w14:paraId="36181791">
      <w:pPr>
        <w:pStyle w:val="164"/>
        <w:spacing w:line="360" w:lineRule="auto"/>
      </w:pPr>
      <w:r>
        <w:rPr>
          <w:rFonts w:hint="eastAsia"/>
        </w:rPr>
        <w:t>正式采集前，应对采集设备状态进行检查。</w:t>
      </w:r>
    </w:p>
    <w:p w14:paraId="03AFEB14">
      <w:pPr>
        <w:pStyle w:val="164"/>
        <w:spacing w:line="360" w:lineRule="auto"/>
      </w:pPr>
      <w:r>
        <w:rPr>
          <w:rFonts w:hint="eastAsia"/>
        </w:rPr>
        <w:t>检查内容宜包括设备连接状态、采集权限、时间同步、存储空间、采样质量和兼容状态。</w:t>
      </w:r>
    </w:p>
    <w:p w14:paraId="5D2CCB9C">
      <w:pPr>
        <w:pStyle w:val="164"/>
        <w:spacing w:line="360" w:lineRule="auto"/>
      </w:pPr>
      <w:r>
        <w:rPr>
          <w:rFonts w:hint="eastAsia"/>
        </w:rPr>
        <w:t>发现设备故障、采样异常、录制失败或者时间不同步时，应先排除问题后再采集。</w:t>
      </w:r>
    </w:p>
    <w:p w14:paraId="7B80BCDB">
      <w:pPr>
        <w:pStyle w:val="105"/>
        <w:spacing w:before="120" w:after="120" w:line="360" w:lineRule="auto"/>
      </w:pPr>
      <w:r>
        <w:rPr>
          <w:rFonts w:hint="eastAsia"/>
        </w:rPr>
        <w:t>数据质量要求</w:t>
      </w:r>
    </w:p>
    <w:p w14:paraId="09FDC517">
      <w:pPr>
        <w:pStyle w:val="65"/>
        <w:spacing w:before="120" w:after="120" w:line="360" w:lineRule="auto"/>
      </w:pPr>
      <w:r>
        <w:rPr>
          <w:rFonts w:hint="eastAsia"/>
        </w:rPr>
        <w:t>一般要求</w:t>
      </w:r>
    </w:p>
    <w:p w14:paraId="01E5AA51">
      <w:pPr>
        <w:pStyle w:val="164"/>
        <w:spacing w:line="360" w:lineRule="auto"/>
      </w:pPr>
      <w:r>
        <w:rPr>
          <w:rFonts w:hint="eastAsia"/>
        </w:rPr>
        <w:t>模态数据应具备完整性、准确性、一致性、及时性、可用性和可追溯性。</w:t>
      </w:r>
    </w:p>
    <w:p w14:paraId="02DF3DD7">
      <w:pPr>
        <w:pStyle w:val="164"/>
        <w:spacing w:line="360" w:lineRule="auto"/>
      </w:pPr>
      <w:r>
        <w:rPr>
          <w:rFonts w:hint="eastAsia"/>
        </w:rPr>
        <w:t>不同模态数据应分别建立质量要求，并根据融合需要建立跨模态一致性要求。</w:t>
      </w:r>
    </w:p>
    <w:p w14:paraId="6D033EA5">
      <w:pPr>
        <w:pStyle w:val="164"/>
        <w:numPr>
          <w:ilvl w:val="0"/>
          <w:numId w:val="0"/>
        </w:numPr>
        <w:spacing w:line="360" w:lineRule="auto"/>
        <w:rPr>
          <w:rFonts w:hint="eastAsia"/>
        </w:rPr>
      </w:pPr>
    </w:p>
    <w:p w14:paraId="3A054589">
      <w:pPr>
        <w:pStyle w:val="65"/>
        <w:spacing w:before="120" w:after="120" w:line="360" w:lineRule="auto"/>
      </w:pPr>
      <w:r>
        <w:rPr>
          <w:rFonts w:hint="eastAsia"/>
        </w:rPr>
        <w:t>质量控制内容</w:t>
      </w:r>
    </w:p>
    <w:p w14:paraId="57FDD97F">
      <w:pPr>
        <w:pStyle w:val="164"/>
        <w:spacing w:line="360" w:lineRule="auto"/>
      </w:pPr>
      <w:r>
        <w:rPr>
          <w:rFonts w:hint="eastAsia"/>
        </w:rPr>
        <w:t>数据质量控制宜包括下列内容：</w:t>
      </w:r>
    </w:p>
    <w:p w14:paraId="33F61143">
      <w:pPr>
        <w:pStyle w:val="56"/>
        <w:spacing w:line="360" w:lineRule="auto"/>
        <w:ind w:firstLine="420"/>
      </w:pPr>
      <w:r>
        <w:rPr>
          <w:rFonts w:hint="eastAsia"/>
        </w:rPr>
        <w:t>a）数据是否完整；</w:t>
      </w:r>
    </w:p>
    <w:p w14:paraId="020100EC">
      <w:pPr>
        <w:pStyle w:val="56"/>
        <w:spacing w:line="360" w:lineRule="auto"/>
        <w:ind w:firstLine="420"/>
      </w:pPr>
      <w:r>
        <w:rPr>
          <w:rFonts w:hint="eastAsia"/>
        </w:rPr>
        <w:t>b）时间是否准确；</w:t>
      </w:r>
    </w:p>
    <w:p w14:paraId="7B8D1F71">
      <w:pPr>
        <w:pStyle w:val="56"/>
        <w:spacing w:line="360" w:lineRule="auto"/>
        <w:ind w:firstLine="420"/>
      </w:pPr>
      <w:r>
        <w:rPr>
          <w:rFonts w:hint="eastAsia"/>
        </w:rPr>
        <w:t>c）内容是否清晰；</w:t>
      </w:r>
    </w:p>
    <w:p w14:paraId="6FFC3DB8">
      <w:pPr>
        <w:pStyle w:val="56"/>
        <w:spacing w:line="360" w:lineRule="auto"/>
        <w:ind w:firstLine="420"/>
      </w:pPr>
      <w:r>
        <w:rPr>
          <w:rFonts w:hint="eastAsia"/>
        </w:rPr>
        <w:t>d）格式是否符合要求；</w:t>
      </w:r>
    </w:p>
    <w:p w14:paraId="3AD89C94">
      <w:pPr>
        <w:pStyle w:val="56"/>
        <w:spacing w:line="360" w:lineRule="auto"/>
        <w:ind w:firstLine="420"/>
      </w:pPr>
      <w:r>
        <w:rPr>
          <w:rFonts w:hint="eastAsia"/>
        </w:rPr>
        <w:t>e）模态对应是否正确；</w:t>
      </w:r>
    </w:p>
    <w:p w14:paraId="22FBA06D">
      <w:pPr>
        <w:pStyle w:val="56"/>
        <w:spacing w:line="360" w:lineRule="auto"/>
        <w:ind w:firstLine="420"/>
      </w:pPr>
      <w:r>
        <w:rPr>
          <w:rFonts w:hint="eastAsia"/>
        </w:rPr>
        <w:t>f）任务关联是否明确；</w:t>
      </w:r>
    </w:p>
    <w:p w14:paraId="2A463417">
      <w:pPr>
        <w:pStyle w:val="56"/>
        <w:spacing w:line="360" w:lineRule="auto"/>
        <w:ind w:firstLine="420"/>
      </w:pPr>
      <w:r>
        <w:rPr>
          <w:rFonts w:hint="eastAsia"/>
        </w:rPr>
        <w:t>g）采集记录是否完整；</w:t>
      </w:r>
    </w:p>
    <w:p w14:paraId="1B493D1C">
      <w:pPr>
        <w:pStyle w:val="56"/>
        <w:spacing w:line="360" w:lineRule="auto"/>
        <w:ind w:firstLine="420"/>
      </w:pPr>
      <w:r>
        <w:rPr>
          <w:rFonts w:hint="eastAsia"/>
        </w:rPr>
        <w:t>h）异常样本是否识别。</w:t>
      </w:r>
    </w:p>
    <w:p w14:paraId="77575F5D">
      <w:pPr>
        <w:pStyle w:val="164"/>
        <w:spacing w:line="360" w:lineRule="auto"/>
      </w:pPr>
      <w:r>
        <w:rPr>
          <w:rFonts w:hint="eastAsia"/>
        </w:rPr>
        <w:t>对关键样本、边界样本和高风险场景样本，应提高质量核查要求。</w:t>
      </w:r>
    </w:p>
    <w:p w14:paraId="571C5AD7">
      <w:pPr>
        <w:pStyle w:val="105"/>
        <w:spacing w:before="120" w:after="120" w:line="360" w:lineRule="auto"/>
      </w:pPr>
      <w:r>
        <w:rPr>
          <w:rFonts w:hint="eastAsia"/>
        </w:rPr>
        <w:t>数据清洗与预处理</w:t>
      </w:r>
    </w:p>
    <w:p w14:paraId="0AAD9497">
      <w:pPr>
        <w:pStyle w:val="65"/>
        <w:spacing w:before="120" w:after="120" w:line="360" w:lineRule="auto"/>
      </w:pPr>
      <w:r>
        <w:rPr>
          <w:rFonts w:hint="eastAsia"/>
        </w:rPr>
        <w:t>一般要求</w:t>
      </w:r>
    </w:p>
    <w:p w14:paraId="29E8C712">
      <w:pPr>
        <w:pStyle w:val="164"/>
        <w:spacing w:line="360" w:lineRule="auto"/>
      </w:pPr>
      <w:r>
        <w:rPr>
          <w:rFonts w:hint="eastAsia"/>
        </w:rPr>
        <w:t>模态数据进入模型训练、验证或者正式测评前，应进行清洗与预处理。</w:t>
      </w:r>
    </w:p>
    <w:p w14:paraId="76DFDC72">
      <w:pPr>
        <w:pStyle w:val="164"/>
        <w:spacing w:line="360" w:lineRule="auto"/>
      </w:pPr>
      <w:r>
        <w:rPr>
          <w:rFonts w:hint="eastAsia"/>
        </w:rPr>
        <w:t>清洗与预处理应保持原始数据含义不被实质性改变，不得通过处理操作人为制造有利结果。</w:t>
      </w:r>
    </w:p>
    <w:p w14:paraId="2B5FDC26">
      <w:pPr>
        <w:pStyle w:val="164"/>
        <w:spacing w:line="360" w:lineRule="auto"/>
      </w:pPr>
      <w:r>
        <w:rPr>
          <w:rFonts w:hint="eastAsia"/>
        </w:rPr>
        <w:t>清洗与预处理规则应统一、稳定、可复核、可追溯。</w:t>
      </w:r>
    </w:p>
    <w:p w14:paraId="246E1D94">
      <w:pPr>
        <w:pStyle w:val="65"/>
        <w:spacing w:before="120" w:after="120" w:line="360" w:lineRule="auto"/>
      </w:pPr>
      <w:r>
        <w:rPr>
          <w:rFonts w:hint="eastAsia"/>
        </w:rPr>
        <w:t>处理要求</w:t>
      </w:r>
    </w:p>
    <w:p w14:paraId="30B753A6">
      <w:pPr>
        <w:pStyle w:val="164"/>
        <w:spacing w:line="360" w:lineRule="auto"/>
      </w:pPr>
      <w:r>
        <w:rPr>
          <w:rFonts w:hint="eastAsia"/>
        </w:rPr>
        <w:t>文本数据预处理宜控制乱码、重复内容、无效字符和格式异常。</w:t>
      </w:r>
    </w:p>
    <w:p w14:paraId="1491D186">
      <w:pPr>
        <w:pStyle w:val="164"/>
        <w:spacing w:line="360" w:lineRule="auto"/>
      </w:pPr>
      <w:r>
        <w:rPr>
          <w:rFonts w:hint="eastAsia"/>
        </w:rPr>
        <w:t>语音数据预处理宜控制静音段异常、杂音过高、截断、失真和采样不一致问题。</w:t>
      </w:r>
    </w:p>
    <w:p w14:paraId="12F0D4A0">
      <w:pPr>
        <w:pStyle w:val="164"/>
        <w:spacing w:line="360" w:lineRule="auto"/>
      </w:pPr>
      <w:r>
        <w:rPr>
          <w:rFonts w:hint="eastAsia"/>
        </w:rPr>
        <w:t>图像和视频数据预处理宜控制模糊、遮挡、裁切失真、帧缺失和时间错位问题。</w:t>
      </w:r>
    </w:p>
    <w:p w14:paraId="422C4231">
      <w:pPr>
        <w:pStyle w:val="164"/>
        <w:spacing w:line="360" w:lineRule="auto"/>
      </w:pPr>
      <w:r>
        <w:rPr>
          <w:rFonts w:hint="eastAsia"/>
        </w:rPr>
        <w:t>行为日志预处理宜控制时间戳缺失、操作顺序紊乱、重复记录和异常中断问题。</w:t>
      </w:r>
    </w:p>
    <w:p w14:paraId="5237CD5C">
      <w:pPr>
        <w:pStyle w:val="164"/>
        <w:spacing w:line="360" w:lineRule="auto"/>
      </w:pPr>
      <w:r>
        <w:rPr>
          <w:rFonts w:hint="eastAsia"/>
        </w:rPr>
        <w:t>预处理过程中删除、修正、补齐或者合并数据时，应保留处理记录。</w:t>
      </w:r>
    </w:p>
    <w:p w14:paraId="33E2247E">
      <w:pPr>
        <w:pStyle w:val="105"/>
        <w:spacing w:before="120" w:after="120" w:line="360" w:lineRule="auto"/>
      </w:pPr>
      <w:r>
        <w:rPr>
          <w:rFonts w:hint="eastAsia"/>
        </w:rPr>
        <w:t>数据标注与样本管理</w:t>
      </w:r>
    </w:p>
    <w:p w14:paraId="1AF9A9B2">
      <w:pPr>
        <w:pStyle w:val="65"/>
        <w:spacing w:before="120" w:after="120" w:line="360" w:lineRule="auto"/>
      </w:pPr>
      <w:r>
        <w:rPr>
          <w:rFonts w:hint="eastAsia"/>
        </w:rPr>
        <w:t>一般要求</w:t>
      </w:r>
    </w:p>
    <w:p w14:paraId="69A10E45">
      <w:pPr>
        <w:pStyle w:val="164"/>
        <w:spacing w:line="360" w:lineRule="auto"/>
      </w:pPr>
      <w:r>
        <w:rPr>
          <w:rFonts w:hint="eastAsia"/>
        </w:rPr>
        <w:t>用于模型训练、验证、抽检和质量评价的样本数据，应实施规范标注和统一管理。</w:t>
      </w:r>
    </w:p>
    <w:p w14:paraId="3148CD1F">
      <w:pPr>
        <w:pStyle w:val="164"/>
        <w:spacing w:line="360" w:lineRule="auto"/>
      </w:pPr>
      <w:r>
        <w:rPr>
          <w:rFonts w:hint="eastAsia"/>
        </w:rPr>
        <w:t>数据标注应与评价标准、任务要求和评分规则一致。</w:t>
      </w:r>
    </w:p>
    <w:p w14:paraId="6A91B41A">
      <w:pPr>
        <w:pStyle w:val="164"/>
        <w:spacing w:line="360" w:lineRule="auto"/>
      </w:pPr>
      <w:r>
        <w:rPr>
          <w:rFonts w:hint="eastAsia"/>
        </w:rPr>
        <w:t>数据标注人员应具备相应教育理解能力和标注能力。</w:t>
      </w:r>
    </w:p>
    <w:p w14:paraId="7AE7CA1D">
      <w:pPr>
        <w:pStyle w:val="65"/>
        <w:spacing w:before="120" w:after="120" w:line="360" w:lineRule="auto"/>
      </w:pPr>
      <w:r>
        <w:rPr>
          <w:rFonts w:hint="eastAsia"/>
        </w:rPr>
        <w:t>标注要求</w:t>
      </w:r>
    </w:p>
    <w:p w14:paraId="5904BDA6">
      <w:pPr>
        <w:pStyle w:val="164"/>
        <w:spacing w:line="360" w:lineRule="auto"/>
      </w:pPr>
      <w:r>
        <w:rPr>
          <w:rFonts w:hint="eastAsia"/>
        </w:rPr>
        <w:t>标注规则应明确标注对象、标注口径、标注单位、标注层级、异常标注处理和复核方式。</w:t>
      </w:r>
    </w:p>
    <w:p w14:paraId="79B567D3">
      <w:pPr>
        <w:pStyle w:val="164"/>
        <w:spacing w:line="360" w:lineRule="auto"/>
      </w:pPr>
      <w:r>
        <w:rPr>
          <w:rFonts w:hint="eastAsia"/>
        </w:rPr>
        <w:t>同一类样本应按统一规则标注，不得前后口径不一致。</w:t>
      </w:r>
    </w:p>
    <w:p w14:paraId="6E10D695">
      <w:pPr>
        <w:pStyle w:val="164"/>
        <w:spacing w:line="360" w:lineRule="auto"/>
      </w:pPr>
      <w:r>
        <w:rPr>
          <w:rFonts w:hint="eastAsia"/>
        </w:rPr>
        <w:t>对分歧较大的标注内容，应设置复核机制和仲裁机制。</w:t>
      </w:r>
    </w:p>
    <w:p w14:paraId="381BBE85">
      <w:pPr>
        <w:pStyle w:val="164"/>
        <w:spacing w:line="360" w:lineRule="auto"/>
      </w:pPr>
      <w:r>
        <w:rPr>
          <w:rFonts w:hint="eastAsia"/>
        </w:rPr>
        <w:t>标注结果应与原始样本、任务信息和评分依据保持可追溯对应关系。</w:t>
      </w:r>
    </w:p>
    <w:p w14:paraId="1FCAB9EB">
      <w:pPr>
        <w:pStyle w:val="65"/>
        <w:spacing w:before="120" w:after="120" w:line="360" w:lineRule="auto"/>
      </w:pPr>
      <w:r>
        <w:rPr>
          <w:rFonts w:hint="eastAsia"/>
        </w:rPr>
        <w:t>样本管理要求</w:t>
      </w:r>
    </w:p>
    <w:p w14:paraId="449245A5">
      <w:pPr>
        <w:pStyle w:val="164"/>
        <w:spacing w:line="360" w:lineRule="auto"/>
      </w:pPr>
      <w:r>
        <w:rPr>
          <w:rFonts w:hint="eastAsia"/>
        </w:rPr>
        <w:t>样本库应按用途、来源、场景、学段、学科和模态类型分类管理。</w:t>
      </w:r>
    </w:p>
    <w:p w14:paraId="59EB0426">
      <w:pPr>
        <w:pStyle w:val="164"/>
        <w:spacing w:line="360" w:lineRule="auto"/>
      </w:pPr>
      <w:r>
        <w:rPr>
          <w:rFonts w:hint="eastAsia"/>
        </w:rPr>
        <w:t>训练样本、验证样本、测试样本和抽检样本应合理区分，不得无控制混用。</w:t>
      </w:r>
    </w:p>
    <w:p w14:paraId="47F89A62">
      <w:pPr>
        <w:pStyle w:val="164"/>
        <w:spacing w:line="360" w:lineRule="auto"/>
      </w:pPr>
      <w:r>
        <w:rPr>
          <w:rFonts w:hint="eastAsia"/>
        </w:rPr>
        <w:t>样本更新、补充、剔除和失效处理应保留记录。</w:t>
      </w:r>
    </w:p>
    <w:p w14:paraId="72014D92">
      <w:pPr>
        <w:pStyle w:val="105"/>
        <w:spacing w:before="120" w:after="120" w:line="360" w:lineRule="auto"/>
      </w:pPr>
      <w:r>
        <w:rPr>
          <w:rFonts w:hint="eastAsia"/>
        </w:rPr>
        <w:t>数据治理要求</w:t>
      </w:r>
    </w:p>
    <w:p w14:paraId="7AFB9F5E">
      <w:pPr>
        <w:pStyle w:val="65"/>
        <w:spacing w:before="120" w:after="120" w:line="360" w:lineRule="auto"/>
      </w:pPr>
      <w:r>
        <w:rPr>
          <w:rFonts w:hint="eastAsia"/>
        </w:rPr>
        <w:t>一般要求</w:t>
      </w:r>
    </w:p>
    <w:p w14:paraId="6E140445">
      <w:pPr>
        <w:pStyle w:val="164"/>
        <w:spacing w:line="360" w:lineRule="auto"/>
      </w:pPr>
      <w:r>
        <w:rPr>
          <w:rFonts w:hint="eastAsia"/>
        </w:rPr>
        <w:t>数据治理应覆盖数据标准、数据目录、数据质量、数据标签、数据权限和数据留痕管理等内容。</w:t>
      </w:r>
    </w:p>
    <w:p w14:paraId="18A89917">
      <w:pPr>
        <w:pStyle w:val="164"/>
        <w:spacing w:line="360" w:lineRule="auto"/>
      </w:pPr>
      <w:r>
        <w:rPr>
          <w:rFonts w:hint="eastAsia"/>
        </w:rPr>
        <w:t>数据治理应根据场景变化、任务变化和模型变化持续调整，但不得无依据频繁变动基础规则。</w:t>
      </w:r>
    </w:p>
    <w:p w14:paraId="558944C3">
      <w:pPr>
        <w:pStyle w:val="65"/>
        <w:spacing w:before="120" w:after="120" w:line="360" w:lineRule="auto"/>
      </w:pPr>
      <w:r>
        <w:rPr>
          <w:rFonts w:hint="eastAsia"/>
        </w:rPr>
        <w:t>标准化要求</w:t>
      </w:r>
    </w:p>
    <w:p w14:paraId="7349BC10">
      <w:pPr>
        <w:pStyle w:val="164"/>
        <w:spacing w:line="360" w:lineRule="auto"/>
      </w:pPr>
      <w:r>
        <w:rPr>
          <w:rFonts w:hint="eastAsia"/>
        </w:rPr>
        <w:t>多模态测评数据应统一命名规则、字段规则、时间规则、任务编号规则和样本编号规则。</w:t>
      </w:r>
    </w:p>
    <w:p w14:paraId="6F43CEC0">
      <w:pPr>
        <w:pStyle w:val="164"/>
        <w:spacing w:line="360" w:lineRule="auto"/>
      </w:pPr>
      <w:r>
        <w:rPr>
          <w:rFonts w:hint="eastAsia"/>
        </w:rPr>
        <w:t>同一项目、同一场景和同一测评周期内的数据规则应保持一致。</w:t>
      </w:r>
    </w:p>
    <w:p w14:paraId="4725D176">
      <w:pPr>
        <w:pStyle w:val="65"/>
        <w:spacing w:before="120" w:after="120" w:line="360" w:lineRule="auto"/>
      </w:pPr>
      <w:r>
        <w:rPr>
          <w:rFonts w:hint="eastAsia"/>
        </w:rPr>
        <w:t>目录与台账要求</w:t>
      </w:r>
    </w:p>
    <w:p w14:paraId="33569EF9">
      <w:pPr>
        <w:pStyle w:val="164"/>
        <w:spacing w:line="360" w:lineRule="auto"/>
      </w:pPr>
      <w:r>
        <w:rPr>
          <w:rFonts w:hint="eastAsia"/>
        </w:rPr>
        <w:t>模态数据应建立数据目录和样本台账。</w:t>
      </w:r>
    </w:p>
    <w:p w14:paraId="0ECE8C78">
      <w:pPr>
        <w:pStyle w:val="164"/>
        <w:spacing w:line="360" w:lineRule="auto"/>
      </w:pPr>
      <w:r>
        <w:rPr>
          <w:rFonts w:hint="eastAsia"/>
        </w:rPr>
        <w:t>目录和台账宜至少包括数据名称、数据来源、模态类型、采集时间、任务编号、责任主体、使用范围和状态信息。</w:t>
      </w:r>
    </w:p>
    <w:p w14:paraId="17CD7FA6">
      <w:pPr>
        <w:pStyle w:val="164"/>
        <w:spacing w:line="360" w:lineRule="auto"/>
      </w:pPr>
      <w:r>
        <w:rPr>
          <w:rFonts w:hint="eastAsia"/>
        </w:rPr>
        <w:t>数据目录与样本台账应动态更新。</w:t>
      </w:r>
    </w:p>
    <w:p w14:paraId="73358B46">
      <w:pPr>
        <w:pStyle w:val="105"/>
        <w:spacing w:before="120" w:after="120" w:line="360" w:lineRule="auto"/>
      </w:pPr>
      <w:r>
        <w:rPr>
          <w:rFonts w:hint="eastAsia"/>
        </w:rPr>
        <w:t>数据存储、保留与退出</w:t>
      </w:r>
    </w:p>
    <w:p w14:paraId="36512AB7">
      <w:pPr>
        <w:pStyle w:val="65"/>
        <w:spacing w:before="120" w:after="120" w:line="360" w:lineRule="auto"/>
      </w:pPr>
      <w:r>
        <w:rPr>
          <w:rFonts w:hint="eastAsia"/>
        </w:rPr>
        <w:t>存储要求</w:t>
      </w:r>
    </w:p>
    <w:p w14:paraId="5756CBF0">
      <w:pPr>
        <w:pStyle w:val="164"/>
        <w:spacing w:line="360" w:lineRule="auto"/>
      </w:pPr>
      <w:r>
        <w:rPr>
          <w:rFonts w:hint="eastAsia"/>
        </w:rPr>
        <w:t>多模态数据应按分类分级要求分类存储。</w:t>
      </w:r>
    </w:p>
    <w:p w14:paraId="5A57E5BC">
      <w:pPr>
        <w:pStyle w:val="164"/>
        <w:spacing w:line="360" w:lineRule="auto"/>
      </w:pPr>
      <w:r>
        <w:rPr>
          <w:rFonts w:hint="eastAsia"/>
        </w:rPr>
        <w:t>原始数据、预处理数据、标注数据和结果数据宜分层管理。</w:t>
      </w:r>
    </w:p>
    <w:p w14:paraId="400A9334">
      <w:pPr>
        <w:pStyle w:val="164"/>
        <w:spacing w:line="360" w:lineRule="auto"/>
      </w:pPr>
      <w:r>
        <w:rPr>
          <w:rFonts w:hint="eastAsia"/>
        </w:rPr>
        <w:t>存储方式应满足可恢复、可核查和可追溯要求。</w:t>
      </w:r>
    </w:p>
    <w:p w14:paraId="45451D12">
      <w:pPr>
        <w:pStyle w:val="65"/>
        <w:spacing w:before="120" w:after="120" w:line="360" w:lineRule="auto"/>
      </w:pPr>
      <w:r>
        <w:rPr>
          <w:rFonts w:hint="eastAsia"/>
        </w:rPr>
        <w:t>保留要求</w:t>
      </w:r>
    </w:p>
    <w:p w14:paraId="4D46E41D">
      <w:pPr>
        <w:pStyle w:val="164"/>
        <w:spacing w:line="360" w:lineRule="auto"/>
      </w:pPr>
      <w:r>
        <w:rPr>
          <w:rFonts w:hint="eastAsia"/>
        </w:rPr>
        <w:t>数据保留期限应与测评目的、复核要求、纠偏要求和制度要求相适应。</w:t>
      </w:r>
    </w:p>
    <w:p w14:paraId="1E0B13CE">
      <w:pPr>
        <w:pStyle w:val="164"/>
        <w:spacing w:line="360" w:lineRule="auto"/>
      </w:pPr>
      <w:r>
        <w:rPr>
          <w:rFonts w:hint="eastAsia"/>
        </w:rPr>
        <w:t>超出必要期限的数据，不宜无期限保留。</w:t>
      </w:r>
    </w:p>
    <w:p w14:paraId="1A3E67C0">
      <w:pPr>
        <w:pStyle w:val="164"/>
        <w:numPr>
          <w:ilvl w:val="0"/>
          <w:numId w:val="0"/>
        </w:numPr>
        <w:spacing w:line="360" w:lineRule="auto"/>
      </w:pPr>
    </w:p>
    <w:p w14:paraId="1EBD8601">
      <w:pPr>
        <w:pStyle w:val="164"/>
        <w:numPr>
          <w:ilvl w:val="0"/>
          <w:numId w:val="0"/>
        </w:numPr>
        <w:spacing w:line="360" w:lineRule="auto"/>
        <w:rPr>
          <w:rFonts w:hint="eastAsia"/>
        </w:rPr>
      </w:pPr>
    </w:p>
    <w:p w14:paraId="66961297">
      <w:pPr>
        <w:pStyle w:val="65"/>
        <w:spacing w:before="120" w:after="120" w:line="360" w:lineRule="auto"/>
      </w:pPr>
      <w:r>
        <w:rPr>
          <w:rFonts w:hint="eastAsia"/>
        </w:rPr>
        <w:t>退出要求</w:t>
      </w:r>
    </w:p>
    <w:p w14:paraId="013C2738">
      <w:pPr>
        <w:pStyle w:val="164"/>
        <w:spacing w:line="360" w:lineRule="auto"/>
      </w:pPr>
      <w:r>
        <w:rPr>
          <w:rFonts w:hint="eastAsia"/>
        </w:rPr>
        <w:t>数据退出应按规定程序实施。</w:t>
      </w:r>
    </w:p>
    <w:p w14:paraId="0BD55485">
      <w:pPr>
        <w:pStyle w:val="164"/>
        <w:spacing w:line="360" w:lineRule="auto"/>
      </w:pPr>
      <w:r>
        <w:rPr>
          <w:rFonts w:hint="eastAsia"/>
        </w:rPr>
        <w:t>数据退出前，应明确退出范围、退出原因、保留记录和责任主体。</w:t>
      </w:r>
    </w:p>
    <w:p w14:paraId="43A82BD5">
      <w:pPr>
        <w:pStyle w:val="164"/>
        <w:spacing w:line="360" w:lineRule="auto"/>
      </w:pPr>
      <w:r>
        <w:rPr>
          <w:rFonts w:hint="eastAsia"/>
        </w:rPr>
        <w:t>数据退出不得破坏已形成的测评结论追溯关系和必要的审计关系。</w:t>
      </w:r>
    </w:p>
    <w:p w14:paraId="7A73D49E">
      <w:pPr>
        <w:pStyle w:val="105"/>
        <w:spacing w:before="120" w:after="120" w:line="360" w:lineRule="auto"/>
      </w:pPr>
      <w:r>
        <w:rPr>
          <w:rFonts w:hint="eastAsia"/>
        </w:rPr>
        <w:t>数据采集与治理要点</w:t>
      </w:r>
    </w:p>
    <w:p w14:paraId="3C6F4024">
      <w:pPr>
        <w:pStyle w:val="56"/>
        <w:spacing w:line="360" w:lineRule="auto"/>
        <w:ind w:firstLine="420"/>
      </w:pPr>
      <w:r>
        <w:rPr>
          <w:rFonts w:hint="eastAsia"/>
        </w:rPr>
        <w:t>模态数据采集与治理的主要控制内容见表2。表2给出了模态数据采集与治理的主要控制内容和控制要点。</w:t>
      </w:r>
    </w:p>
    <w:p w14:paraId="068595E4">
      <w:pPr>
        <w:pStyle w:val="112"/>
        <w:spacing w:before="120" w:after="120" w:line="360" w:lineRule="auto"/>
      </w:pPr>
      <w:r>
        <w:rPr>
          <w:rFonts w:hint="eastAsia"/>
        </w:rPr>
        <w:t>模态数据采集与治理要点表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402"/>
        <w:gridCol w:w="4099"/>
      </w:tblGrid>
      <w:tr w14:paraId="75E0F7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73216623">
            <w:pPr>
              <w:pStyle w:val="178"/>
            </w:pPr>
            <w:r>
              <w:rPr>
                <w:rFonts w:hint="eastAsia"/>
              </w:rPr>
              <w:t>管理环节</w:t>
            </w:r>
          </w:p>
        </w:tc>
        <w:tc>
          <w:tcPr>
            <w:tcW w:w="3402" w:type="dxa"/>
            <w:tcBorders>
              <w:top w:val="single" w:color="auto" w:sz="8" w:space="0"/>
              <w:bottom w:val="single" w:color="auto" w:sz="8" w:space="0"/>
            </w:tcBorders>
          </w:tcPr>
          <w:p w14:paraId="63583CBB">
            <w:pPr>
              <w:pStyle w:val="178"/>
            </w:pPr>
            <w:r>
              <w:rPr>
                <w:rFonts w:hint="eastAsia"/>
              </w:rPr>
              <w:t>主要问题</w:t>
            </w:r>
          </w:p>
        </w:tc>
        <w:tc>
          <w:tcPr>
            <w:tcW w:w="4099" w:type="dxa"/>
            <w:tcBorders>
              <w:top w:val="single" w:color="auto" w:sz="8" w:space="0"/>
              <w:bottom w:val="single" w:color="auto" w:sz="8" w:space="0"/>
            </w:tcBorders>
          </w:tcPr>
          <w:p w14:paraId="4B1EC10D">
            <w:pPr>
              <w:pStyle w:val="178"/>
            </w:pPr>
            <w:r>
              <w:rPr>
                <w:rFonts w:hint="eastAsia"/>
              </w:rPr>
              <w:t>控制要点</w:t>
            </w:r>
          </w:p>
        </w:tc>
      </w:tr>
      <w:tr w14:paraId="353306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33" w:type="dxa"/>
            <w:tcBorders>
              <w:top w:val="single" w:color="auto" w:sz="8" w:space="0"/>
            </w:tcBorders>
          </w:tcPr>
          <w:p w14:paraId="52921248">
            <w:pPr>
              <w:pStyle w:val="178"/>
            </w:pPr>
            <w:r>
              <w:rPr>
                <w:rFonts w:hint="eastAsia"/>
              </w:rPr>
              <w:t>采集方案</w:t>
            </w:r>
          </w:p>
        </w:tc>
        <w:tc>
          <w:tcPr>
            <w:tcW w:w="3402" w:type="dxa"/>
            <w:tcBorders>
              <w:top w:val="single" w:color="auto" w:sz="8" w:space="0"/>
            </w:tcBorders>
          </w:tcPr>
          <w:p w14:paraId="48D44021">
            <w:pPr>
              <w:pStyle w:val="178"/>
            </w:pPr>
            <w:r>
              <w:rPr>
                <w:rFonts w:hint="eastAsia"/>
              </w:rPr>
              <w:t>目标不清、边界不明</w:t>
            </w:r>
          </w:p>
        </w:tc>
        <w:tc>
          <w:tcPr>
            <w:tcW w:w="4099" w:type="dxa"/>
            <w:tcBorders>
              <w:top w:val="single" w:color="auto" w:sz="8" w:space="0"/>
            </w:tcBorders>
          </w:tcPr>
          <w:p w14:paraId="11AD0204">
            <w:pPr>
              <w:pStyle w:val="178"/>
            </w:pPr>
            <w:r>
              <w:rPr>
                <w:rFonts w:hint="eastAsia"/>
              </w:rPr>
              <w:t>先定目标和边界，再定模态和方式</w:t>
            </w:r>
          </w:p>
        </w:tc>
      </w:tr>
      <w:tr w14:paraId="210366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01922AA7">
            <w:pPr>
              <w:pStyle w:val="178"/>
            </w:pPr>
            <w:r>
              <w:rPr>
                <w:rFonts w:hint="eastAsia"/>
              </w:rPr>
              <w:t>文本采集</w:t>
            </w:r>
          </w:p>
        </w:tc>
        <w:tc>
          <w:tcPr>
            <w:tcW w:w="3402" w:type="dxa"/>
          </w:tcPr>
          <w:p w14:paraId="5F7B0C2D">
            <w:pPr>
              <w:pStyle w:val="178"/>
            </w:pPr>
            <w:r>
              <w:rPr>
                <w:rFonts w:hint="eastAsia"/>
              </w:rPr>
              <w:t>来源混杂、版本不清</w:t>
            </w:r>
          </w:p>
        </w:tc>
        <w:tc>
          <w:tcPr>
            <w:tcW w:w="4099" w:type="dxa"/>
          </w:tcPr>
          <w:p w14:paraId="0E8F0D71">
            <w:pPr>
              <w:pStyle w:val="178"/>
            </w:pPr>
            <w:r>
              <w:rPr>
                <w:rFonts w:hint="eastAsia"/>
              </w:rPr>
              <w:t>明确来源、保留时间和版本信息</w:t>
            </w:r>
          </w:p>
        </w:tc>
      </w:tr>
      <w:tr w14:paraId="40661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A92E7EE">
            <w:pPr>
              <w:pStyle w:val="178"/>
            </w:pPr>
            <w:r>
              <w:rPr>
                <w:rFonts w:hint="eastAsia"/>
              </w:rPr>
              <w:t>语音采集</w:t>
            </w:r>
          </w:p>
        </w:tc>
        <w:tc>
          <w:tcPr>
            <w:tcW w:w="3402" w:type="dxa"/>
          </w:tcPr>
          <w:p w14:paraId="10D85E25">
            <w:pPr>
              <w:pStyle w:val="178"/>
            </w:pPr>
            <w:r>
              <w:rPr>
                <w:rFonts w:hint="eastAsia"/>
              </w:rPr>
              <w:t>噪声大、串音、失真</w:t>
            </w:r>
          </w:p>
        </w:tc>
        <w:tc>
          <w:tcPr>
            <w:tcW w:w="4099" w:type="dxa"/>
          </w:tcPr>
          <w:p w14:paraId="57A06C42">
            <w:pPr>
              <w:pStyle w:val="178"/>
            </w:pPr>
            <w:r>
              <w:rPr>
                <w:rFonts w:hint="eastAsia"/>
              </w:rPr>
              <w:t>控制环境噪声，校验采样质量</w:t>
            </w:r>
          </w:p>
        </w:tc>
      </w:tr>
      <w:tr w14:paraId="40D59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833" w:type="dxa"/>
          </w:tcPr>
          <w:p w14:paraId="268ED1AC">
            <w:pPr>
              <w:pStyle w:val="178"/>
            </w:pPr>
            <w:r>
              <w:rPr>
                <w:rFonts w:hint="eastAsia"/>
              </w:rPr>
              <w:t>图像视频采集</w:t>
            </w:r>
          </w:p>
        </w:tc>
        <w:tc>
          <w:tcPr>
            <w:tcW w:w="3402" w:type="dxa"/>
          </w:tcPr>
          <w:p w14:paraId="500E800F">
            <w:pPr>
              <w:pStyle w:val="178"/>
            </w:pPr>
            <w:r>
              <w:rPr>
                <w:rFonts w:hint="eastAsia"/>
              </w:rPr>
              <w:t>模糊、遮挡、角度不当</w:t>
            </w:r>
          </w:p>
        </w:tc>
        <w:tc>
          <w:tcPr>
            <w:tcW w:w="4099" w:type="dxa"/>
          </w:tcPr>
          <w:p w14:paraId="5753B1B7">
            <w:pPr>
              <w:pStyle w:val="178"/>
            </w:pPr>
            <w:r>
              <w:rPr>
                <w:rFonts w:hint="eastAsia"/>
              </w:rPr>
              <w:t>保证清晰度、完整性和任务对应性</w:t>
            </w:r>
          </w:p>
        </w:tc>
      </w:tr>
      <w:tr w14:paraId="46D86A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C846255">
            <w:pPr>
              <w:pStyle w:val="178"/>
            </w:pPr>
            <w:r>
              <w:rPr>
                <w:rFonts w:hint="eastAsia"/>
              </w:rPr>
              <w:t>行为日志采集</w:t>
            </w:r>
          </w:p>
        </w:tc>
        <w:tc>
          <w:tcPr>
            <w:tcW w:w="3402" w:type="dxa"/>
          </w:tcPr>
          <w:p w14:paraId="5DBD2C25">
            <w:pPr>
              <w:pStyle w:val="178"/>
            </w:pPr>
            <w:r>
              <w:rPr>
                <w:rFonts w:hint="eastAsia"/>
              </w:rPr>
              <w:t>时间错位、日志缺失</w:t>
            </w:r>
          </w:p>
        </w:tc>
        <w:tc>
          <w:tcPr>
            <w:tcW w:w="4099" w:type="dxa"/>
          </w:tcPr>
          <w:p w14:paraId="3D537C68">
            <w:pPr>
              <w:pStyle w:val="178"/>
            </w:pPr>
            <w:r>
              <w:rPr>
                <w:rFonts w:hint="eastAsia"/>
              </w:rPr>
              <w:t>统一时间基准，保留关键操作记录</w:t>
            </w:r>
          </w:p>
        </w:tc>
      </w:tr>
      <w:tr w14:paraId="268E40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767D2D2">
            <w:pPr>
              <w:pStyle w:val="178"/>
            </w:pPr>
            <w:r>
              <w:rPr>
                <w:rFonts w:hint="eastAsia"/>
              </w:rPr>
              <w:t>数据清洗</w:t>
            </w:r>
          </w:p>
        </w:tc>
        <w:tc>
          <w:tcPr>
            <w:tcW w:w="3402" w:type="dxa"/>
          </w:tcPr>
          <w:p w14:paraId="650FCB68">
            <w:pPr>
              <w:pStyle w:val="178"/>
            </w:pPr>
            <w:r>
              <w:rPr>
                <w:rFonts w:hint="eastAsia"/>
              </w:rPr>
              <w:t>规则混乱、过度处理</w:t>
            </w:r>
          </w:p>
        </w:tc>
        <w:tc>
          <w:tcPr>
            <w:tcW w:w="4099" w:type="dxa"/>
          </w:tcPr>
          <w:p w14:paraId="29FB3E35">
            <w:pPr>
              <w:pStyle w:val="178"/>
            </w:pPr>
            <w:r>
              <w:rPr>
                <w:rFonts w:hint="eastAsia"/>
              </w:rPr>
              <w:t>统一规则、保留处理记录</w:t>
            </w:r>
          </w:p>
        </w:tc>
      </w:tr>
      <w:tr w14:paraId="134B3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A4E93F9">
            <w:pPr>
              <w:pStyle w:val="178"/>
            </w:pPr>
            <w:r>
              <w:rPr>
                <w:rFonts w:hint="eastAsia"/>
              </w:rPr>
              <w:t>标注管理</w:t>
            </w:r>
          </w:p>
        </w:tc>
        <w:tc>
          <w:tcPr>
            <w:tcW w:w="3402" w:type="dxa"/>
          </w:tcPr>
          <w:p w14:paraId="738F86E1">
            <w:pPr>
              <w:pStyle w:val="178"/>
            </w:pPr>
            <w:r>
              <w:rPr>
                <w:rFonts w:hint="eastAsia"/>
              </w:rPr>
              <w:t>标注口径不一、分歧大</w:t>
            </w:r>
          </w:p>
        </w:tc>
        <w:tc>
          <w:tcPr>
            <w:tcW w:w="4099" w:type="dxa"/>
          </w:tcPr>
          <w:p w14:paraId="64365441">
            <w:pPr>
              <w:pStyle w:val="178"/>
            </w:pPr>
            <w:r>
              <w:rPr>
                <w:rFonts w:hint="eastAsia"/>
              </w:rPr>
              <w:t>统一标注规则，设置复核机制</w:t>
            </w:r>
          </w:p>
        </w:tc>
      </w:tr>
      <w:tr w14:paraId="59BE7A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8B5C5C5">
            <w:pPr>
              <w:pStyle w:val="178"/>
            </w:pPr>
            <w:r>
              <w:rPr>
                <w:rFonts w:hint="eastAsia"/>
              </w:rPr>
              <w:t>数据治理</w:t>
            </w:r>
          </w:p>
        </w:tc>
        <w:tc>
          <w:tcPr>
            <w:tcW w:w="3402" w:type="dxa"/>
          </w:tcPr>
          <w:p w14:paraId="0070FB59">
            <w:pPr>
              <w:pStyle w:val="178"/>
            </w:pPr>
            <w:r>
              <w:rPr>
                <w:rFonts w:hint="eastAsia"/>
              </w:rPr>
              <w:t>编号混乱、目录缺失</w:t>
            </w:r>
          </w:p>
        </w:tc>
        <w:tc>
          <w:tcPr>
            <w:tcW w:w="4099" w:type="dxa"/>
          </w:tcPr>
          <w:p w14:paraId="09674493">
            <w:pPr>
              <w:pStyle w:val="178"/>
            </w:pPr>
            <w:r>
              <w:rPr>
                <w:rFonts w:hint="eastAsia"/>
              </w:rPr>
              <w:t>建立目录、台账和状态管理</w:t>
            </w:r>
          </w:p>
        </w:tc>
      </w:tr>
      <w:tr w14:paraId="752B7B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B70F6BC">
            <w:pPr>
              <w:pStyle w:val="178"/>
            </w:pPr>
            <w:r>
              <w:rPr>
                <w:rFonts w:hint="eastAsia"/>
              </w:rPr>
              <w:t>存储退出</w:t>
            </w:r>
          </w:p>
        </w:tc>
        <w:tc>
          <w:tcPr>
            <w:tcW w:w="3402" w:type="dxa"/>
          </w:tcPr>
          <w:p w14:paraId="37B67B97">
            <w:pPr>
              <w:pStyle w:val="178"/>
            </w:pPr>
            <w:r>
              <w:rPr>
                <w:rFonts w:hint="eastAsia"/>
              </w:rPr>
              <w:t>长期无序留存</w:t>
            </w:r>
          </w:p>
        </w:tc>
        <w:tc>
          <w:tcPr>
            <w:tcW w:w="4099" w:type="dxa"/>
          </w:tcPr>
          <w:p w14:paraId="6EB01BE8">
            <w:pPr>
              <w:pStyle w:val="178"/>
            </w:pPr>
            <w:r>
              <w:rPr>
                <w:rFonts w:hint="eastAsia"/>
              </w:rPr>
              <w:t>分层存储、合理保留、规范退出</w:t>
            </w:r>
          </w:p>
        </w:tc>
      </w:tr>
    </w:tbl>
    <w:p w14:paraId="7D94D868">
      <w:pPr>
        <w:pStyle w:val="105"/>
        <w:spacing w:before="120" w:after="120" w:line="360" w:lineRule="auto"/>
      </w:pPr>
      <w:r>
        <w:rPr>
          <w:rFonts w:hint="eastAsia"/>
        </w:rPr>
        <w:t>禁止性要求</w:t>
      </w:r>
    </w:p>
    <w:p w14:paraId="591F21AC">
      <w:pPr>
        <w:pStyle w:val="165"/>
        <w:spacing w:line="360" w:lineRule="auto"/>
      </w:pPr>
      <w:r>
        <w:rPr>
          <w:rFonts w:hint="eastAsia"/>
        </w:rPr>
        <w:t>不得采集与测评目标无关的敏感数据和冗余数据。</w:t>
      </w:r>
    </w:p>
    <w:p w14:paraId="4AF3C531">
      <w:pPr>
        <w:pStyle w:val="165"/>
        <w:spacing w:line="360" w:lineRule="auto"/>
      </w:pPr>
      <w:r>
        <w:rPr>
          <w:rFonts w:hint="eastAsia"/>
        </w:rPr>
        <w:t>不得在采集环境明显不符合要求的情况下继续正式采集。</w:t>
      </w:r>
    </w:p>
    <w:p w14:paraId="3C08513A">
      <w:pPr>
        <w:pStyle w:val="165"/>
        <w:spacing w:line="360" w:lineRule="auto"/>
      </w:pPr>
      <w:r>
        <w:rPr>
          <w:rFonts w:hint="eastAsia"/>
        </w:rPr>
        <w:t>不得以技术预处理名义改变原始作答含义、行为含义或者表达含义。</w:t>
      </w:r>
    </w:p>
    <w:p w14:paraId="595D9C9E">
      <w:pPr>
        <w:pStyle w:val="165"/>
        <w:spacing w:line="360" w:lineRule="auto"/>
      </w:pPr>
      <w:r>
        <w:rPr>
          <w:rFonts w:hint="eastAsia"/>
        </w:rPr>
        <w:t>不得将标注规则不一致、来源不清或者质量不可控的数据直接用于模型训练和正式测评。</w:t>
      </w:r>
    </w:p>
    <w:p w14:paraId="105242D7">
      <w:pPr>
        <w:pStyle w:val="165"/>
        <w:spacing w:line="360" w:lineRule="auto"/>
      </w:pPr>
      <w:r>
        <w:rPr>
          <w:rFonts w:hint="eastAsia"/>
        </w:rPr>
        <w:t>不得长期保存超出必要范围的高敏感模态数据而不进行清理、归档或者退出。</w:t>
      </w:r>
    </w:p>
    <w:p w14:paraId="24D5AE50">
      <w:pPr>
        <w:pStyle w:val="104"/>
        <w:spacing w:before="240" w:after="240" w:line="360" w:lineRule="auto"/>
      </w:pPr>
      <w:bookmarkStart w:id="54" w:name="_Toc228564649"/>
      <w:r>
        <w:rPr>
          <w:rFonts w:hint="eastAsia"/>
        </w:rPr>
        <w:t>模型构建、验证与测评实施要求</w:t>
      </w:r>
      <w:bookmarkEnd w:id="54"/>
    </w:p>
    <w:p w14:paraId="70F0BC6A">
      <w:pPr>
        <w:pStyle w:val="105"/>
        <w:spacing w:before="120" w:after="120" w:line="360" w:lineRule="auto"/>
      </w:pPr>
      <w:r>
        <w:rPr>
          <w:rFonts w:hint="eastAsia"/>
        </w:rPr>
        <w:t>一般规定</w:t>
      </w:r>
    </w:p>
    <w:p w14:paraId="6A6F08F3">
      <w:pPr>
        <w:pStyle w:val="165"/>
        <w:spacing w:line="360" w:lineRule="auto"/>
      </w:pPr>
      <w:r>
        <w:rPr>
          <w:rFonts w:hint="eastAsia"/>
        </w:rPr>
        <w:t>多模态人工智能教育测评所使用的模型、规则引擎和推理系统，应与测评目标、应用场景和模态配置相适配。</w:t>
      </w:r>
    </w:p>
    <w:p w14:paraId="4EA5A6C0">
      <w:pPr>
        <w:pStyle w:val="165"/>
        <w:spacing w:line="360" w:lineRule="auto"/>
      </w:pPr>
      <w:r>
        <w:rPr>
          <w:rFonts w:hint="eastAsia"/>
        </w:rPr>
        <w:t>模型构建、验证和测评实施应坚持教育适配、规则明确、验证充分、上线审慎和运行可控的原则。</w:t>
      </w:r>
    </w:p>
    <w:p w14:paraId="0D5CA150">
      <w:pPr>
        <w:pStyle w:val="165"/>
        <w:spacing w:line="360" w:lineRule="auto"/>
      </w:pPr>
      <w:r>
        <w:rPr>
          <w:rFonts w:hint="eastAsia"/>
        </w:rPr>
        <w:t>未经验证或者验证结论不能证明满足应用要求的模型，不得用于正式教育测评活动。</w:t>
      </w:r>
    </w:p>
    <w:p w14:paraId="1FB39792">
      <w:pPr>
        <w:pStyle w:val="165"/>
        <w:spacing w:line="360" w:lineRule="auto"/>
      </w:pPr>
      <w:r>
        <w:rPr>
          <w:rFonts w:hint="eastAsia"/>
        </w:rPr>
        <w:t>对高风险教育测评场景，应提高模型验证要求、人工复核要求和上线审批要求。</w:t>
      </w:r>
    </w:p>
    <w:p w14:paraId="2D8FCA88">
      <w:pPr>
        <w:pStyle w:val="165"/>
        <w:numPr>
          <w:ilvl w:val="0"/>
          <w:numId w:val="0"/>
        </w:numPr>
        <w:spacing w:line="360" w:lineRule="auto"/>
        <w:rPr>
          <w:rFonts w:hint="eastAsia"/>
        </w:rPr>
      </w:pPr>
    </w:p>
    <w:p w14:paraId="626ECDFF">
      <w:pPr>
        <w:pStyle w:val="105"/>
        <w:spacing w:before="120" w:after="120" w:line="360" w:lineRule="auto"/>
      </w:pPr>
      <w:r>
        <w:rPr>
          <w:rFonts w:hint="eastAsia"/>
        </w:rPr>
        <w:t>模型构建要求</w:t>
      </w:r>
    </w:p>
    <w:p w14:paraId="3E557368">
      <w:pPr>
        <w:pStyle w:val="65"/>
        <w:spacing w:before="120" w:after="120" w:line="360" w:lineRule="auto"/>
      </w:pPr>
      <w:r>
        <w:rPr>
          <w:rFonts w:hint="eastAsia"/>
        </w:rPr>
        <w:t>一般要求</w:t>
      </w:r>
    </w:p>
    <w:p w14:paraId="012DA0B9">
      <w:pPr>
        <w:pStyle w:val="164"/>
        <w:spacing w:line="360" w:lineRule="auto"/>
      </w:pPr>
      <w:r>
        <w:rPr>
          <w:rFonts w:hint="eastAsia"/>
        </w:rPr>
        <w:t>模型构建应基于明确的测评目标、评价指标、任务边界和数据基础开展。</w:t>
      </w:r>
    </w:p>
    <w:p w14:paraId="7349F8D5">
      <w:pPr>
        <w:pStyle w:val="164"/>
        <w:spacing w:line="360" w:lineRule="auto"/>
      </w:pPr>
      <w:r>
        <w:rPr>
          <w:rFonts w:hint="eastAsia"/>
        </w:rPr>
        <w:t>模型构建不得脱离教育评价标准和任务逻辑单独追求技术指标。</w:t>
      </w:r>
    </w:p>
    <w:p w14:paraId="4DE9E3CE">
      <w:pPr>
        <w:pStyle w:val="164"/>
        <w:spacing w:line="360" w:lineRule="auto"/>
      </w:pPr>
      <w:r>
        <w:rPr>
          <w:rFonts w:hint="eastAsia"/>
        </w:rPr>
        <w:t>同一测评任务采用多模型协同的，应明确各模型分工、融合逻辑和责任边界。</w:t>
      </w:r>
    </w:p>
    <w:p w14:paraId="2DD7CE6B">
      <w:pPr>
        <w:pStyle w:val="65"/>
        <w:spacing w:before="120" w:after="120" w:line="360" w:lineRule="auto"/>
      </w:pPr>
      <w:r>
        <w:rPr>
          <w:rFonts w:hint="eastAsia"/>
        </w:rPr>
        <w:t>构建依据</w:t>
      </w:r>
    </w:p>
    <w:p w14:paraId="3E54D6D9">
      <w:pPr>
        <w:pStyle w:val="164"/>
        <w:spacing w:line="360" w:lineRule="auto"/>
      </w:pPr>
      <w:r>
        <w:rPr>
          <w:rFonts w:hint="eastAsia"/>
        </w:rPr>
        <w:t>模型构建宜至少依据下列内容：</w:t>
      </w:r>
    </w:p>
    <w:p w14:paraId="6CFAEA76">
      <w:pPr>
        <w:pStyle w:val="56"/>
        <w:spacing w:line="360" w:lineRule="auto"/>
        <w:ind w:firstLine="420"/>
      </w:pPr>
      <w:r>
        <w:rPr>
          <w:rFonts w:hint="eastAsia"/>
        </w:rPr>
        <w:t>a）测评目标与任务要求；</w:t>
      </w:r>
    </w:p>
    <w:p w14:paraId="7101B44A">
      <w:pPr>
        <w:pStyle w:val="56"/>
        <w:spacing w:line="360" w:lineRule="auto"/>
        <w:ind w:firstLine="420"/>
      </w:pPr>
      <w:r>
        <w:rPr>
          <w:rFonts w:hint="eastAsia"/>
        </w:rPr>
        <w:t>b）评价指标体系；</w:t>
      </w:r>
    </w:p>
    <w:p w14:paraId="696E6BCC">
      <w:pPr>
        <w:pStyle w:val="56"/>
        <w:spacing w:line="360" w:lineRule="auto"/>
        <w:ind w:firstLine="420"/>
      </w:pPr>
      <w:r>
        <w:rPr>
          <w:rFonts w:hint="eastAsia"/>
        </w:rPr>
        <w:t>c）评分规则；</w:t>
      </w:r>
    </w:p>
    <w:p w14:paraId="4C2A671F">
      <w:pPr>
        <w:pStyle w:val="56"/>
        <w:spacing w:line="360" w:lineRule="auto"/>
        <w:ind w:firstLine="420"/>
      </w:pPr>
      <w:r>
        <w:rPr>
          <w:rFonts w:hint="eastAsia"/>
        </w:rPr>
        <w:t>d）样本数据与标注数据；</w:t>
      </w:r>
    </w:p>
    <w:p w14:paraId="11C2ED53">
      <w:pPr>
        <w:pStyle w:val="56"/>
        <w:spacing w:line="360" w:lineRule="auto"/>
        <w:ind w:firstLine="420"/>
      </w:pPr>
      <w:r>
        <w:rPr>
          <w:rFonts w:hint="eastAsia"/>
        </w:rPr>
        <w:t>e）质量要求；</w:t>
      </w:r>
    </w:p>
    <w:p w14:paraId="7E17538D">
      <w:pPr>
        <w:pStyle w:val="56"/>
        <w:spacing w:line="360" w:lineRule="auto"/>
        <w:ind w:firstLine="420"/>
      </w:pPr>
      <w:r>
        <w:rPr>
          <w:rFonts w:hint="eastAsia"/>
        </w:rPr>
        <w:t>f）场景约束条件；</w:t>
      </w:r>
    </w:p>
    <w:p w14:paraId="6FE869EB">
      <w:pPr>
        <w:pStyle w:val="56"/>
        <w:spacing w:line="360" w:lineRule="auto"/>
        <w:ind w:firstLine="420"/>
      </w:pPr>
      <w:r>
        <w:rPr>
          <w:rFonts w:hint="eastAsia"/>
        </w:rPr>
        <w:t>g）风险控制要求。</w:t>
      </w:r>
    </w:p>
    <w:p w14:paraId="6A1BAFD3">
      <w:pPr>
        <w:pStyle w:val="164"/>
        <w:spacing w:line="360" w:lineRule="auto"/>
      </w:pPr>
      <w:r>
        <w:rPr>
          <w:rFonts w:hint="eastAsia"/>
        </w:rPr>
        <w:t>模型构建过程中形成的假设、参数选择、规则配置和融合方式应保留记录。</w:t>
      </w:r>
    </w:p>
    <w:p w14:paraId="6895E972">
      <w:pPr>
        <w:pStyle w:val="65"/>
        <w:spacing w:before="120" w:after="120" w:line="360" w:lineRule="auto"/>
      </w:pPr>
      <w:r>
        <w:rPr>
          <w:rFonts w:hint="eastAsia"/>
        </w:rPr>
        <w:t>构建控制要求</w:t>
      </w:r>
    </w:p>
    <w:p w14:paraId="0D8A3557">
      <w:pPr>
        <w:pStyle w:val="164"/>
        <w:spacing w:line="360" w:lineRule="auto"/>
      </w:pPr>
      <w:r>
        <w:rPr>
          <w:rFonts w:hint="eastAsia"/>
        </w:rPr>
        <w:t>模型应明确输入范围、输出范围、适用对象和适用场景。</w:t>
      </w:r>
    </w:p>
    <w:p w14:paraId="7E2CF9FE">
      <w:pPr>
        <w:pStyle w:val="164"/>
        <w:spacing w:line="360" w:lineRule="auto"/>
      </w:pPr>
      <w:r>
        <w:rPr>
          <w:rFonts w:hint="eastAsia"/>
        </w:rPr>
        <w:t>模型应能够识别异常输入、模态缺失、样本越界和低置信度情形。</w:t>
      </w:r>
    </w:p>
    <w:p w14:paraId="1B3F2185">
      <w:pPr>
        <w:pStyle w:val="164"/>
        <w:spacing w:line="360" w:lineRule="auto"/>
      </w:pPr>
      <w:r>
        <w:rPr>
          <w:rFonts w:hint="eastAsia"/>
        </w:rPr>
        <w:t>模型输出不确定性较高时，应进入人工复核或者降级处理流程。</w:t>
      </w:r>
    </w:p>
    <w:p w14:paraId="0ECA07AD">
      <w:pPr>
        <w:pStyle w:val="105"/>
        <w:spacing w:before="120" w:after="120" w:line="360" w:lineRule="auto"/>
      </w:pPr>
      <w:r>
        <w:rPr>
          <w:rFonts w:hint="eastAsia"/>
        </w:rPr>
        <w:t>模型训练与调优要求</w:t>
      </w:r>
    </w:p>
    <w:p w14:paraId="6C7AC7AF">
      <w:pPr>
        <w:pStyle w:val="65"/>
        <w:spacing w:before="120" w:after="120" w:line="360" w:lineRule="auto"/>
      </w:pPr>
      <w:r>
        <w:rPr>
          <w:rFonts w:hint="eastAsia"/>
        </w:rPr>
        <w:t>一般要求</w:t>
      </w:r>
    </w:p>
    <w:p w14:paraId="128296E0">
      <w:pPr>
        <w:pStyle w:val="164"/>
        <w:spacing w:line="360" w:lineRule="auto"/>
      </w:pPr>
      <w:r>
        <w:rPr>
          <w:rFonts w:hint="eastAsia"/>
        </w:rPr>
        <w:t>模型训练应基于治理后的合规样本和统一标注样本进行。</w:t>
      </w:r>
    </w:p>
    <w:p w14:paraId="38286B07">
      <w:pPr>
        <w:pStyle w:val="164"/>
        <w:spacing w:line="360" w:lineRule="auto"/>
      </w:pPr>
      <w:r>
        <w:rPr>
          <w:rFonts w:hint="eastAsia"/>
        </w:rPr>
        <w:t>模型调优应以提升测评质量、场景适配性和结果稳定性为目标，不得以单一技术指标最大化替代综合测评质量判断。</w:t>
      </w:r>
    </w:p>
    <w:p w14:paraId="40918E99">
      <w:pPr>
        <w:pStyle w:val="65"/>
        <w:spacing w:before="120" w:after="120" w:line="360" w:lineRule="auto"/>
      </w:pPr>
      <w:r>
        <w:rPr>
          <w:rFonts w:hint="eastAsia"/>
        </w:rPr>
        <w:t>训练要求</w:t>
      </w:r>
    </w:p>
    <w:p w14:paraId="5DF91592">
      <w:pPr>
        <w:pStyle w:val="164"/>
        <w:spacing w:line="360" w:lineRule="auto"/>
      </w:pPr>
      <w:r>
        <w:rPr>
          <w:rFonts w:hint="eastAsia"/>
        </w:rPr>
        <w:t>训练样本应具有代表性、完整性和场景适配性。</w:t>
      </w:r>
    </w:p>
    <w:p w14:paraId="7982B57D">
      <w:pPr>
        <w:pStyle w:val="164"/>
        <w:spacing w:line="360" w:lineRule="auto"/>
      </w:pPr>
      <w:r>
        <w:rPr>
          <w:rFonts w:hint="eastAsia"/>
        </w:rPr>
        <w:t>对不同学段、不同学科、不同任务类型和不同表达风格的样本，应保持合理覆盖。</w:t>
      </w:r>
    </w:p>
    <w:p w14:paraId="1D9765D2">
      <w:pPr>
        <w:pStyle w:val="164"/>
        <w:spacing w:line="360" w:lineRule="auto"/>
      </w:pPr>
      <w:r>
        <w:rPr>
          <w:rFonts w:hint="eastAsia"/>
        </w:rPr>
        <w:t>训练过程中应关注样本失衡、类别偏斜、场景缺失和设备差异导致的偏差风险。</w:t>
      </w:r>
    </w:p>
    <w:p w14:paraId="5505F132">
      <w:pPr>
        <w:pStyle w:val="164"/>
        <w:numPr>
          <w:ilvl w:val="0"/>
          <w:numId w:val="0"/>
        </w:numPr>
        <w:spacing w:line="360" w:lineRule="auto"/>
        <w:rPr>
          <w:rFonts w:hint="eastAsia"/>
        </w:rPr>
      </w:pPr>
    </w:p>
    <w:p w14:paraId="65323AEF">
      <w:pPr>
        <w:pStyle w:val="65"/>
        <w:spacing w:before="120" w:after="120" w:line="360" w:lineRule="auto"/>
      </w:pPr>
      <w:r>
        <w:rPr>
          <w:rFonts w:hint="eastAsia"/>
        </w:rPr>
        <w:t>调优要求</w:t>
      </w:r>
    </w:p>
    <w:p w14:paraId="067C5E79">
      <w:pPr>
        <w:pStyle w:val="164"/>
        <w:spacing w:line="360" w:lineRule="auto"/>
      </w:pPr>
      <w:r>
        <w:rPr>
          <w:rFonts w:hint="eastAsia"/>
        </w:rPr>
        <w:t>模型调优可包括特征优化、参数优化、模态权重优化、规则优化和阈值优化。</w:t>
      </w:r>
    </w:p>
    <w:p w14:paraId="1573320F">
      <w:pPr>
        <w:pStyle w:val="164"/>
        <w:spacing w:line="360" w:lineRule="auto"/>
      </w:pPr>
      <w:r>
        <w:rPr>
          <w:rFonts w:hint="eastAsia"/>
        </w:rPr>
        <w:t>模型调优不得突破测评目标和评分原则边界。</w:t>
      </w:r>
    </w:p>
    <w:p w14:paraId="586DC733">
      <w:pPr>
        <w:pStyle w:val="164"/>
        <w:spacing w:line="360" w:lineRule="auto"/>
      </w:pPr>
      <w:r>
        <w:rPr>
          <w:rFonts w:hint="eastAsia"/>
        </w:rPr>
        <w:t>对影响评分结果的重要参数调整，应进行专项评估和记录。</w:t>
      </w:r>
    </w:p>
    <w:p w14:paraId="3285F071">
      <w:pPr>
        <w:pStyle w:val="105"/>
        <w:spacing w:before="120" w:after="120" w:line="360" w:lineRule="auto"/>
      </w:pPr>
      <w:r>
        <w:rPr>
          <w:rFonts w:hint="eastAsia"/>
        </w:rPr>
        <w:t>模型验证要求</w:t>
      </w:r>
    </w:p>
    <w:p w14:paraId="723CCBB6">
      <w:pPr>
        <w:pStyle w:val="65"/>
        <w:spacing w:before="120" w:after="120" w:line="360" w:lineRule="auto"/>
      </w:pPr>
      <w:r>
        <w:rPr>
          <w:rFonts w:hint="eastAsia"/>
        </w:rPr>
        <w:t>一般要求</w:t>
      </w:r>
    </w:p>
    <w:p w14:paraId="78C7CE6B">
      <w:pPr>
        <w:pStyle w:val="164"/>
        <w:spacing w:line="360" w:lineRule="auto"/>
      </w:pPr>
      <w:r>
        <w:rPr>
          <w:rFonts w:hint="eastAsia"/>
        </w:rPr>
        <w:t>模型上线前应进行验证。</w:t>
      </w:r>
    </w:p>
    <w:p w14:paraId="49F7BAF8">
      <w:pPr>
        <w:pStyle w:val="164"/>
        <w:spacing w:line="360" w:lineRule="auto"/>
      </w:pPr>
      <w:r>
        <w:rPr>
          <w:rFonts w:hint="eastAsia"/>
        </w:rPr>
        <w:t>验证应覆盖准确性、一致性、稳定性、鲁棒性、场景适配性和结果可解释性等方面。</w:t>
      </w:r>
    </w:p>
    <w:p w14:paraId="24DD77CD">
      <w:pPr>
        <w:pStyle w:val="164"/>
        <w:spacing w:line="360" w:lineRule="auto"/>
      </w:pPr>
      <w:r>
        <w:rPr>
          <w:rFonts w:hint="eastAsia"/>
        </w:rPr>
        <w:t>验证应与目标场景一致或者高度相似，不得仅以脱离真实场景的实验结果替代正式验证。</w:t>
      </w:r>
    </w:p>
    <w:p w14:paraId="2C7EB16F">
      <w:pPr>
        <w:pStyle w:val="65"/>
        <w:spacing w:before="120" w:after="120" w:line="360" w:lineRule="auto"/>
      </w:pPr>
      <w:r>
        <w:rPr>
          <w:rFonts w:hint="eastAsia"/>
        </w:rPr>
        <w:t>验证内容</w:t>
      </w:r>
    </w:p>
    <w:p w14:paraId="5C993EF4">
      <w:pPr>
        <w:pStyle w:val="164"/>
        <w:spacing w:line="360" w:lineRule="auto"/>
      </w:pPr>
      <w:r>
        <w:rPr>
          <w:rFonts w:hint="eastAsia"/>
        </w:rPr>
        <w:t>模型验证宜至少包括下列内容：</w:t>
      </w:r>
    </w:p>
    <w:p w14:paraId="77E85CA6">
      <w:pPr>
        <w:pStyle w:val="56"/>
        <w:spacing w:line="360" w:lineRule="auto"/>
        <w:ind w:firstLine="420"/>
      </w:pPr>
      <w:r>
        <w:rPr>
          <w:rFonts w:hint="eastAsia"/>
        </w:rPr>
        <w:t>a）输入有效性验证；</w:t>
      </w:r>
    </w:p>
    <w:p w14:paraId="28374ED5">
      <w:pPr>
        <w:pStyle w:val="56"/>
        <w:spacing w:line="360" w:lineRule="auto"/>
        <w:ind w:firstLine="420"/>
      </w:pPr>
      <w:r>
        <w:rPr>
          <w:rFonts w:hint="eastAsia"/>
        </w:rPr>
        <w:t>b）模态融合有效性验证；</w:t>
      </w:r>
    </w:p>
    <w:p w14:paraId="6CD81BF7">
      <w:pPr>
        <w:pStyle w:val="56"/>
        <w:spacing w:line="360" w:lineRule="auto"/>
        <w:ind w:firstLine="420"/>
      </w:pPr>
      <w:r>
        <w:rPr>
          <w:rFonts w:hint="eastAsia"/>
        </w:rPr>
        <w:t>c）评分输出一致性验证；</w:t>
      </w:r>
    </w:p>
    <w:p w14:paraId="39B5C3B9">
      <w:pPr>
        <w:pStyle w:val="56"/>
        <w:spacing w:line="360" w:lineRule="auto"/>
        <w:ind w:firstLine="420"/>
      </w:pPr>
      <w:r>
        <w:rPr>
          <w:rFonts w:hint="eastAsia"/>
        </w:rPr>
        <w:t>d）人工对照验证；</w:t>
      </w:r>
    </w:p>
    <w:p w14:paraId="0D2266C1">
      <w:pPr>
        <w:pStyle w:val="56"/>
        <w:spacing w:line="360" w:lineRule="auto"/>
        <w:ind w:firstLine="420"/>
      </w:pPr>
      <w:r>
        <w:rPr>
          <w:rFonts w:hint="eastAsia"/>
        </w:rPr>
        <w:t>e）异常样本处理验证；</w:t>
      </w:r>
    </w:p>
    <w:p w14:paraId="7BCCA5B8">
      <w:pPr>
        <w:pStyle w:val="56"/>
        <w:spacing w:line="360" w:lineRule="auto"/>
        <w:ind w:firstLine="420"/>
      </w:pPr>
      <w:r>
        <w:rPr>
          <w:rFonts w:hint="eastAsia"/>
        </w:rPr>
        <w:t>f）模态缺失情形验证；</w:t>
      </w:r>
    </w:p>
    <w:p w14:paraId="74FE791B">
      <w:pPr>
        <w:pStyle w:val="56"/>
        <w:spacing w:line="360" w:lineRule="auto"/>
        <w:ind w:firstLine="420"/>
      </w:pPr>
      <w:r>
        <w:rPr>
          <w:rFonts w:hint="eastAsia"/>
        </w:rPr>
        <w:t>g）结果波动验证；</w:t>
      </w:r>
    </w:p>
    <w:p w14:paraId="6178E4FC">
      <w:pPr>
        <w:pStyle w:val="56"/>
        <w:spacing w:line="360" w:lineRule="auto"/>
        <w:ind w:firstLine="420"/>
      </w:pPr>
      <w:r>
        <w:rPr>
          <w:rFonts w:hint="eastAsia"/>
        </w:rPr>
        <w:t>h）边界场景验证；</w:t>
      </w:r>
    </w:p>
    <w:p w14:paraId="6DE02E15">
      <w:pPr>
        <w:pStyle w:val="56"/>
        <w:spacing w:line="360" w:lineRule="auto"/>
        <w:ind w:firstLine="420"/>
      </w:pPr>
      <w:r>
        <w:rPr>
          <w:rFonts w:hint="eastAsia"/>
        </w:rPr>
        <w:t>i）解释能力验证。</w:t>
      </w:r>
    </w:p>
    <w:p w14:paraId="6BC4EBAE">
      <w:pPr>
        <w:pStyle w:val="164"/>
        <w:spacing w:line="360" w:lineRule="auto"/>
      </w:pPr>
      <w:r>
        <w:rPr>
          <w:rFonts w:hint="eastAsia"/>
        </w:rPr>
        <w:t>对用于高风险场景的模型，应增加人工复核一致性验证和争议样本专项验证。</w:t>
      </w:r>
    </w:p>
    <w:p w14:paraId="15ACE754">
      <w:pPr>
        <w:pStyle w:val="65"/>
        <w:spacing w:before="120" w:after="120" w:line="360" w:lineRule="auto"/>
      </w:pPr>
      <w:r>
        <w:rPr>
          <w:rFonts w:hint="eastAsia"/>
        </w:rPr>
        <w:t>验证结论要求</w:t>
      </w:r>
    </w:p>
    <w:p w14:paraId="3ADAAB0C">
      <w:pPr>
        <w:pStyle w:val="164"/>
        <w:spacing w:line="360" w:lineRule="auto"/>
      </w:pPr>
      <w:r>
        <w:rPr>
          <w:rFonts w:hint="eastAsia"/>
        </w:rPr>
        <w:t>模型验证后应形成验证结论。</w:t>
      </w:r>
    </w:p>
    <w:p w14:paraId="54EEDEBC">
      <w:pPr>
        <w:pStyle w:val="164"/>
        <w:spacing w:line="360" w:lineRule="auto"/>
      </w:pPr>
      <w:r>
        <w:rPr>
          <w:rFonts w:hint="eastAsia"/>
        </w:rPr>
        <w:t>验证结论宜包括适用范围、限制条件、风险提示、上线条件和复核要求。</w:t>
      </w:r>
    </w:p>
    <w:p w14:paraId="3E68E8B1">
      <w:pPr>
        <w:pStyle w:val="164"/>
        <w:spacing w:line="360" w:lineRule="auto"/>
      </w:pPr>
      <w:r>
        <w:rPr>
          <w:rFonts w:hint="eastAsia"/>
        </w:rPr>
        <w:t>验证不通过或者验证结论存在重大限制的，不得直接上线。</w:t>
      </w:r>
    </w:p>
    <w:p w14:paraId="51A76D46">
      <w:pPr>
        <w:pStyle w:val="105"/>
        <w:spacing w:before="120" w:after="120" w:line="360" w:lineRule="auto"/>
      </w:pPr>
      <w:r>
        <w:rPr>
          <w:rFonts w:hint="eastAsia"/>
        </w:rPr>
        <w:t>评分规则与结果生成要求</w:t>
      </w:r>
    </w:p>
    <w:p w14:paraId="5E4027FD">
      <w:pPr>
        <w:pStyle w:val="65"/>
        <w:spacing w:before="120" w:after="120" w:line="360" w:lineRule="auto"/>
      </w:pPr>
      <w:r>
        <w:rPr>
          <w:rFonts w:hint="eastAsia"/>
        </w:rPr>
        <w:t>一般要求</w:t>
      </w:r>
    </w:p>
    <w:p w14:paraId="7C2EC7FD">
      <w:pPr>
        <w:pStyle w:val="164"/>
        <w:spacing w:line="360" w:lineRule="auto"/>
      </w:pPr>
      <w:r>
        <w:rPr>
          <w:rFonts w:hint="eastAsia"/>
        </w:rPr>
        <w:t>模型输出应与评分规则、评价指标和任务要求一致。</w:t>
      </w:r>
    </w:p>
    <w:p w14:paraId="0AEF0DF2">
      <w:pPr>
        <w:pStyle w:val="164"/>
        <w:spacing w:line="360" w:lineRule="auto"/>
      </w:pPr>
      <w:r>
        <w:rPr>
          <w:rFonts w:hint="eastAsia"/>
        </w:rPr>
        <w:t>评分规则应明确输入证据、赋分逻辑、等级标准、异常处理和人工复核触发条件。</w:t>
      </w:r>
    </w:p>
    <w:p w14:paraId="059D60B8">
      <w:pPr>
        <w:pStyle w:val="164"/>
        <w:spacing w:line="360" w:lineRule="auto"/>
      </w:pPr>
      <w:r>
        <w:rPr>
          <w:rFonts w:hint="eastAsia"/>
        </w:rPr>
        <w:t>评分规则不得随意变化；发生调整时，应同步开展版本控制和效果验证。</w:t>
      </w:r>
    </w:p>
    <w:p w14:paraId="2CF6394C">
      <w:pPr>
        <w:pStyle w:val="65"/>
        <w:spacing w:before="120" w:after="120" w:line="360" w:lineRule="auto"/>
      </w:pPr>
      <w:r>
        <w:rPr>
          <w:rFonts w:hint="eastAsia"/>
        </w:rPr>
        <w:t>输出要求</w:t>
      </w:r>
    </w:p>
    <w:p w14:paraId="25DB400D">
      <w:pPr>
        <w:pStyle w:val="164"/>
        <w:spacing w:line="360" w:lineRule="auto"/>
      </w:pPr>
      <w:r>
        <w:rPr>
          <w:rFonts w:hint="eastAsia"/>
        </w:rPr>
        <w:t>测评输出可包括分值、等级、标签、描述性反馈和风险提示等。</w:t>
      </w:r>
    </w:p>
    <w:p w14:paraId="768F203E">
      <w:pPr>
        <w:pStyle w:val="164"/>
        <w:spacing w:line="360" w:lineRule="auto"/>
      </w:pPr>
      <w:r>
        <w:rPr>
          <w:rFonts w:hint="eastAsia"/>
        </w:rPr>
        <w:t>输出内容应与场景用途相适应，不得输出超出评价边界的判断结论。</w:t>
      </w:r>
    </w:p>
    <w:p w14:paraId="62F5AB0A">
      <w:pPr>
        <w:pStyle w:val="164"/>
        <w:spacing w:line="360" w:lineRule="auto"/>
      </w:pPr>
      <w:r>
        <w:rPr>
          <w:rFonts w:hint="eastAsia"/>
        </w:rPr>
        <w:t>对不确定性较高、置信不足或者证据不充分的输出，应标识为待复核或者限制使用状态。</w:t>
      </w:r>
    </w:p>
    <w:p w14:paraId="66F8D0FD">
      <w:pPr>
        <w:pStyle w:val="105"/>
        <w:spacing w:before="120" w:after="120" w:line="360" w:lineRule="auto"/>
      </w:pPr>
      <w:r>
        <w:rPr>
          <w:rFonts w:hint="eastAsia"/>
        </w:rPr>
        <w:t>测评实施要求</w:t>
      </w:r>
    </w:p>
    <w:p w14:paraId="396277F9">
      <w:pPr>
        <w:pStyle w:val="65"/>
        <w:spacing w:before="120" w:after="120" w:line="360" w:lineRule="auto"/>
      </w:pPr>
      <w:r>
        <w:rPr>
          <w:rFonts w:hint="eastAsia"/>
        </w:rPr>
        <w:t>一般要求</w:t>
      </w:r>
    </w:p>
    <w:p w14:paraId="75C3BCC8">
      <w:pPr>
        <w:pStyle w:val="164"/>
        <w:spacing w:line="360" w:lineRule="auto"/>
      </w:pPr>
      <w:r>
        <w:rPr>
          <w:rFonts w:hint="eastAsia"/>
        </w:rPr>
        <w:t>正式测评实施前，应完成系统配置确认、任务配置确认、设备状态确认、权限确认和应急准备。</w:t>
      </w:r>
    </w:p>
    <w:p w14:paraId="153D12E2">
      <w:pPr>
        <w:pStyle w:val="164"/>
        <w:spacing w:line="360" w:lineRule="auto"/>
      </w:pPr>
      <w:r>
        <w:rPr>
          <w:rFonts w:hint="eastAsia"/>
        </w:rPr>
        <w:t>测评实施应按既定流程、既定规则和既定权限进行。</w:t>
      </w:r>
    </w:p>
    <w:p w14:paraId="149A5C68">
      <w:pPr>
        <w:pStyle w:val="164"/>
        <w:spacing w:line="360" w:lineRule="auto"/>
      </w:pPr>
      <w:r>
        <w:rPr>
          <w:rFonts w:hint="eastAsia"/>
        </w:rPr>
        <w:t>测评实施过程中不得擅自更改任务、参数、规则和输出方式。</w:t>
      </w:r>
    </w:p>
    <w:p w14:paraId="71B58F97">
      <w:pPr>
        <w:pStyle w:val="65"/>
        <w:spacing w:before="120" w:after="120" w:line="360" w:lineRule="auto"/>
      </w:pPr>
      <w:r>
        <w:rPr>
          <w:rFonts w:hint="eastAsia"/>
        </w:rPr>
        <w:t>实施控制</w:t>
      </w:r>
    </w:p>
    <w:p w14:paraId="416BFEBD">
      <w:pPr>
        <w:pStyle w:val="164"/>
        <w:spacing w:line="360" w:lineRule="auto"/>
      </w:pPr>
      <w:r>
        <w:rPr>
          <w:rFonts w:hint="eastAsia"/>
        </w:rPr>
        <w:t>测评实施应重点控制下列内容：</w:t>
      </w:r>
    </w:p>
    <w:p w14:paraId="224C89F6">
      <w:pPr>
        <w:pStyle w:val="56"/>
        <w:spacing w:line="360" w:lineRule="auto"/>
        <w:ind w:firstLine="420"/>
      </w:pPr>
      <w:r>
        <w:rPr>
          <w:rFonts w:hint="eastAsia"/>
        </w:rPr>
        <w:t>a）任务是否按规定启动；</w:t>
      </w:r>
    </w:p>
    <w:p w14:paraId="6D55747C">
      <w:pPr>
        <w:pStyle w:val="56"/>
        <w:spacing w:line="360" w:lineRule="auto"/>
        <w:ind w:firstLine="420"/>
      </w:pPr>
      <w:r>
        <w:rPr>
          <w:rFonts w:hint="eastAsia"/>
        </w:rPr>
        <w:t>b）模态采集是否正常；</w:t>
      </w:r>
    </w:p>
    <w:p w14:paraId="0262BC40">
      <w:pPr>
        <w:pStyle w:val="56"/>
        <w:spacing w:line="360" w:lineRule="auto"/>
        <w:ind w:firstLine="420"/>
      </w:pPr>
      <w:r>
        <w:rPr>
          <w:rFonts w:hint="eastAsia"/>
        </w:rPr>
        <w:t>c）系统运行是否稳定；</w:t>
      </w:r>
    </w:p>
    <w:p w14:paraId="20DC98D3">
      <w:pPr>
        <w:pStyle w:val="56"/>
        <w:spacing w:line="360" w:lineRule="auto"/>
        <w:ind w:firstLine="420"/>
      </w:pPr>
      <w:r>
        <w:rPr>
          <w:rFonts w:hint="eastAsia"/>
        </w:rPr>
        <w:t>d）评分规则版本是否正确；</w:t>
      </w:r>
    </w:p>
    <w:p w14:paraId="49DFABA0">
      <w:pPr>
        <w:pStyle w:val="56"/>
        <w:spacing w:line="360" w:lineRule="auto"/>
        <w:ind w:firstLine="420"/>
      </w:pPr>
      <w:r>
        <w:rPr>
          <w:rFonts w:hint="eastAsia"/>
        </w:rPr>
        <w:t>e）日志记录是否完整；</w:t>
      </w:r>
    </w:p>
    <w:p w14:paraId="24C7E2DB">
      <w:pPr>
        <w:pStyle w:val="56"/>
        <w:spacing w:line="360" w:lineRule="auto"/>
        <w:ind w:firstLine="420"/>
      </w:pPr>
      <w:r>
        <w:rPr>
          <w:rFonts w:hint="eastAsia"/>
        </w:rPr>
        <w:t>f）异常样本是否识别；</w:t>
      </w:r>
    </w:p>
    <w:p w14:paraId="304C45E8">
      <w:pPr>
        <w:pStyle w:val="56"/>
        <w:spacing w:line="360" w:lineRule="auto"/>
        <w:ind w:firstLine="420"/>
      </w:pPr>
      <w:r>
        <w:rPr>
          <w:rFonts w:hint="eastAsia"/>
        </w:rPr>
        <w:t>g）人工复核入口是否可用。</w:t>
      </w:r>
    </w:p>
    <w:p w14:paraId="3F71CECB">
      <w:pPr>
        <w:pStyle w:val="164"/>
        <w:spacing w:line="360" w:lineRule="auto"/>
      </w:pPr>
      <w:r>
        <w:rPr>
          <w:rFonts w:hint="eastAsia"/>
        </w:rPr>
        <w:t>实施中发生系统中断、数据缺失、模态失配、模型异常或者评分异常时，应及时中止、隔离或者转入应急处理流程。</w:t>
      </w:r>
    </w:p>
    <w:p w14:paraId="6B457549">
      <w:pPr>
        <w:pStyle w:val="65"/>
        <w:spacing w:before="120" w:after="120" w:line="360" w:lineRule="auto"/>
      </w:pPr>
      <w:r>
        <w:rPr>
          <w:rFonts w:hint="eastAsia"/>
        </w:rPr>
        <w:t>特殊场景实施要求</w:t>
      </w:r>
    </w:p>
    <w:p w14:paraId="4A98ACA5">
      <w:pPr>
        <w:pStyle w:val="164"/>
        <w:spacing w:line="360" w:lineRule="auto"/>
      </w:pPr>
      <w:r>
        <w:rPr>
          <w:rFonts w:hint="eastAsia"/>
        </w:rPr>
        <w:t>对在线大规模测评场景，应重点控制终端差异、网络波动和并发负载风险。</w:t>
      </w:r>
    </w:p>
    <w:p w14:paraId="2A8C45AA">
      <w:pPr>
        <w:pStyle w:val="164"/>
        <w:spacing w:line="360" w:lineRule="auto"/>
      </w:pPr>
      <w:r>
        <w:rPr>
          <w:rFonts w:hint="eastAsia"/>
        </w:rPr>
        <w:t>对课堂实时评价场景，应重点控制对正常教学活动的影响，不得因系统采集和分析造成过度干扰。</w:t>
      </w:r>
    </w:p>
    <w:p w14:paraId="169B1F9E">
      <w:pPr>
        <w:pStyle w:val="164"/>
        <w:spacing w:line="360" w:lineRule="auto"/>
      </w:pPr>
      <w:r>
        <w:rPr>
          <w:rFonts w:hint="eastAsia"/>
        </w:rPr>
        <w:t>对实验实训场景，应重点控制关键动作采集完整性和过程证据保留完整性。</w:t>
      </w:r>
    </w:p>
    <w:p w14:paraId="59636976">
      <w:pPr>
        <w:pStyle w:val="105"/>
        <w:spacing w:before="120" w:after="120" w:line="360" w:lineRule="auto"/>
      </w:pPr>
      <w:r>
        <w:rPr>
          <w:rFonts w:hint="eastAsia"/>
        </w:rPr>
        <w:t>人工复核要求</w:t>
      </w:r>
    </w:p>
    <w:p w14:paraId="435F450A">
      <w:pPr>
        <w:pStyle w:val="65"/>
        <w:spacing w:before="120" w:after="120" w:line="360" w:lineRule="auto"/>
      </w:pPr>
      <w:r>
        <w:rPr>
          <w:rFonts w:hint="eastAsia"/>
        </w:rPr>
        <w:t>一般要求</w:t>
      </w:r>
    </w:p>
    <w:p w14:paraId="47F8CDBD">
      <w:pPr>
        <w:pStyle w:val="164"/>
        <w:spacing w:line="360" w:lineRule="auto"/>
      </w:pPr>
      <w:r>
        <w:rPr>
          <w:rFonts w:hint="eastAsia"/>
        </w:rPr>
        <w:t>多模态人工智能教育测评应建立人工复核机制。</w:t>
      </w:r>
    </w:p>
    <w:p w14:paraId="3CCFF455">
      <w:pPr>
        <w:pStyle w:val="164"/>
        <w:spacing w:line="360" w:lineRule="auto"/>
      </w:pPr>
      <w:r>
        <w:rPr>
          <w:rFonts w:hint="eastAsia"/>
        </w:rPr>
        <w:t>人工复核应覆盖异常结果、边界结果、争议结果、低置信度结果和高风险场景结果。</w:t>
      </w:r>
    </w:p>
    <w:p w14:paraId="12535452">
      <w:pPr>
        <w:pStyle w:val="164"/>
        <w:spacing w:line="360" w:lineRule="auto"/>
      </w:pPr>
      <w:r>
        <w:rPr>
          <w:rFonts w:hint="eastAsia"/>
        </w:rPr>
        <w:t>人工复核人员应熟悉评价标准、任务要求和系统输出逻辑。</w:t>
      </w:r>
    </w:p>
    <w:p w14:paraId="3E1874A4">
      <w:pPr>
        <w:pStyle w:val="65"/>
        <w:spacing w:before="120" w:after="120" w:line="360" w:lineRule="auto"/>
      </w:pPr>
      <w:r>
        <w:rPr>
          <w:rFonts w:hint="eastAsia"/>
        </w:rPr>
        <w:t>复核触发条件</w:t>
      </w:r>
    </w:p>
    <w:p w14:paraId="6124E2C2">
      <w:pPr>
        <w:pStyle w:val="56"/>
        <w:spacing w:line="360" w:lineRule="auto"/>
        <w:ind w:firstLine="420"/>
      </w:pPr>
      <w:r>
        <w:rPr>
          <w:rFonts w:hint="eastAsia"/>
        </w:rPr>
        <w:t>下列情形之一应触发人工复核：</w:t>
      </w:r>
    </w:p>
    <w:p w14:paraId="5730F623">
      <w:pPr>
        <w:pStyle w:val="56"/>
        <w:spacing w:line="360" w:lineRule="auto"/>
        <w:ind w:firstLine="420"/>
      </w:pPr>
      <w:r>
        <w:rPr>
          <w:rFonts w:hint="eastAsia"/>
        </w:rPr>
        <w:t>a）模型置信度不足；</w:t>
      </w:r>
    </w:p>
    <w:p w14:paraId="0C5F8FA9">
      <w:pPr>
        <w:pStyle w:val="56"/>
        <w:spacing w:line="360" w:lineRule="auto"/>
        <w:ind w:firstLine="420"/>
      </w:pPr>
      <w:r>
        <w:rPr>
          <w:rFonts w:hint="eastAsia"/>
        </w:rPr>
        <w:t>b）模态缺失或者质量显著不足；</w:t>
      </w:r>
    </w:p>
    <w:p w14:paraId="4916EBEF">
      <w:pPr>
        <w:pStyle w:val="56"/>
        <w:spacing w:line="360" w:lineRule="auto"/>
        <w:ind w:firstLine="420"/>
      </w:pPr>
      <w:r>
        <w:rPr>
          <w:rFonts w:hint="eastAsia"/>
        </w:rPr>
        <w:t>c）结果与人工常识判断明显冲突；</w:t>
      </w:r>
    </w:p>
    <w:p w14:paraId="0F6609BE">
      <w:pPr>
        <w:pStyle w:val="56"/>
        <w:spacing w:line="360" w:lineRule="auto"/>
        <w:ind w:firstLine="420"/>
      </w:pPr>
      <w:r>
        <w:rPr>
          <w:rFonts w:hint="eastAsia"/>
        </w:rPr>
        <w:t>d）评分结果接近关键边界；</w:t>
      </w:r>
    </w:p>
    <w:p w14:paraId="5890704D">
      <w:pPr>
        <w:pStyle w:val="56"/>
        <w:spacing w:line="360" w:lineRule="auto"/>
        <w:ind w:firstLine="420"/>
      </w:pPr>
      <w:r>
        <w:rPr>
          <w:rFonts w:hint="eastAsia"/>
        </w:rPr>
        <w:t>e）系统提示异常；</w:t>
      </w:r>
    </w:p>
    <w:p w14:paraId="38310F3E">
      <w:pPr>
        <w:pStyle w:val="56"/>
        <w:spacing w:line="360" w:lineRule="auto"/>
        <w:ind w:firstLine="420"/>
      </w:pPr>
      <w:r>
        <w:rPr>
          <w:rFonts w:hint="eastAsia"/>
        </w:rPr>
        <w:t>f）学习者、教师或者管理者提出合理异议；</w:t>
      </w:r>
    </w:p>
    <w:p w14:paraId="513F4231">
      <w:pPr>
        <w:pStyle w:val="56"/>
        <w:spacing w:line="360" w:lineRule="auto"/>
        <w:ind w:firstLine="420"/>
      </w:pPr>
      <w:r>
        <w:rPr>
          <w:rFonts w:hint="eastAsia"/>
        </w:rPr>
        <w:t>g）属于高风险应用场景。</w:t>
      </w:r>
    </w:p>
    <w:p w14:paraId="2E81D49A">
      <w:pPr>
        <w:pStyle w:val="65"/>
        <w:spacing w:before="120" w:after="120" w:line="360" w:lineRule="auto"/>
      </w:pPr>
      <w:r>
        <w:rPr>
          <w:rFonts w:hint="eastAsia"/>
        </w:rPr>
        <w:t>复核要求</w:t>
      </w:r>
    </w:p>
    <w:p w14:paraId="55CB3557">
      <w:pPr>
        <w:pStyle w:val="164"/>
        <w:spacing w:line="360" w:lineRule="auto"/>
      </w:pPr>
      <w:r>
        <w:rPr>
          <w:rFonts w:hint="eastAsia"/>
        </w:rPr>
        <w:t>人工复核应基于原始证据、评分规则、任务背景和模型输出综合判断。</w:t>
      </w:r>
    </w:p>
    <w:p w14:paraId="3A8E67F2">
      <w:pPr>
        <w:pStyle w:val="164"/>
        <w:spacing w:line="360" w:lineRule="auto"/>
      </w:pPr>
      <w:r>
        <w:rPr>
          <w:rFonts w:hint="eastAsia"/>
        </w:rPr>
        <w:t>人工复核过程应形成记录，并明确复核意见和处理结论。</w:t>
      </w:r>
    </w:p>
    <w:p w14:paraId="3BB31F94">
      <w:pPr>
        <w:pStyle w:val="164"/>
        <w:spacing w:line="360" w:lineRule="auto"/>
      </w:pPr>
      <w:r>
        <w:rPr>
          <w:rFonts w:hint="eastAsia"/>
        </w:rPr>
        <w:t>人工复核结果与模型结果不一致时，应按规定处理，并纳入后续质量分析和优化依据。</w:t>
      </w:r>
    </w:p>
    <w:p w14:paraId="143233B7">
      <w:pPr>
        <w:pStyle w:val="105"/>
        <w:spacing w:before="120" w:after="120" w:line="360" w:lineRule="auto"/>
      </w:pPr>
      <w:r>
        <w:rPr>
          <w:rFonts w:hint="eastAsia"/>
        </w:rPr>
        <w:t>测评日志与版本管理</w:t>
      </w:r>
    </w:p>
    <w:p w14:paraId="6776B91A">
      <w:pPr>
        <w:pStyle w:val="65"/>
        <w:spacing w:before="120" w:after="120" w:line="360" w:lineRule="auto"/>
      </w:pPr>
      <w:r>
        <w:rPr>
          <w:rFonts w:hint="eastAsia"/>
        </w:rPr>
        <w:t>日志管理</w:t>
      </w:r>
    </w:p>
    <w:p w14:paraId="57A0D730">
      <w:pPr>
        <w:pStyle w:val="164"/>
        <w:spacing w:line="360" w:lineRule="auto"/>
      </w:pPr>
      <w:r>
        <w:rPr>
          <w:rFonts w:hint="eastAsia"/>
        </w:rPr>
        <w:t>模型调用、数据处理、评分输出、人工复核和异常处置等环节应形成日志。</w:t>
      </w:r>
    </w:p>
    <w:p w14:paraId="630D608C">
      <w:pPr>
        <w:pStyle w:val="164"/>
        <w:spacing w:line="360" w:lineRule="auto"/>
      </w:pPr>
      <w:r>
        <w:rPr>
          <w:rFonts w:hint="eastAsia"/>
        </w:rPr>
        <w:t>日志应至少包括时间、任务编号、数据状态、模型版本、规则版本、处理结果和责任主体。</w:t>
      </w:r>
    </w:p>
    <w:p w14:paraId="413309BC">
      <w:pPr>
        <w:pStyle w:val="65"/>
        <w:spacing w:before="120" w:after="120" w:line="360" w:lineRule="auto"/>
      </w:pPr>
      <w:r>
        <w:rPr>
          <w:rFonts w:hint="eastAsia"/>
        </w:rPr>
        <w:t>版本管理</w:t>
      </w:r>
    </w:p>
    <w:p w14:paraId="24B4197A">
      <w:pPr>
        <w:pStyle w:val="164"/>
        <w:spacing w:line="360" w:lineRule="auto"/>
      </w:pPr>
      <w:r>
        <w:rPr>
          <w:rFonts w:hint="eastAsia"/>
        </w:rPr>
        <w:t>模型版本、规则版本、样本版本和任务配置版本应实施统一管理。</w:t>
      </w:r>
    </w:p>
    <w:p w14:paraId="7FA79B77">
      <w:pPr>
        <w:pStyle w:val="164"/>
        <w:spacing w:line="360" w:lineRule="auto"/>
      </w:pPr>
      <w:r>
        <w:rPr>
          <w:rFonts w:hint="eastAsia"/>
        </w:rPr>
        <w:t>同一测评周期内原则上不得频繁切换正式使用版本。</w:t>
      </w:r>
    </w:p>
    <w:p w14:paraId="24C5D5C8">
      <w:pPr>
        <w:pStyle w:val="164"/>
        <w:spacing w:line="360" w:lineRule="auto"/>
      </w:pPr>
      <w:r>
        <w:rPr>
          <w:rFonts w:hint="eastAsia"/>
        </w:rPr>
        <w:t>版本更新后，应明确更新时间、更新内容、更新原因和验证结果。</w:t>
      </w:r>
    </w:p>
    <w:p w14:paraId="2AE2DE2B">
      <w:pPr>
        <w:pStyle w:val="105"/>
        <w:spacing w:before="120" w:after="120" w:line="360" w:lineRule="auto"/>
      </w:pPr>
      <w:r>
        <w:rPr>
          <w:rFonts w:hint="eastAsia"/>
        </w:rPr>
        <w:t>模型构建、验证与实施要点</w:t>
      </w:r>
    </w:p>
    <w:p w14:paraId="16AE570E">
      <w:pPr>
        <w:pStyle w:val="56"/>
        <w:spacing w:line="360" w:lineRule="auto"/>
        <w:ind w:firstLine="420"/>
      </w:pPr>
      <w:r>
        <w:rPr>
          <w:rFonts w:hint="eastAsia"/>
        </w:rPr>
        <w:t>模型构建、验证与测评实施的主要控制内容见表3。表3给出了模型构建、验证与测评实施的主要控制内容和控制要点。</w:t>
      </w:r>
    </w:p>
    <w:p w14:paraId="5E4ED3D4">
      <w:pPr>
        <w:pStyle w:val="112"/>
        <w:spacing w:before="120" w:after="120" w:line="360" w:lineRule="auto"/>
      </w:pPr>
      <w:r>
        <w:rPr>
          <w:rFonts w:hint="eastAsia"/>
        </w:rPr>
        <w:t>模型构建、验证与测评实施要点表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3119"/>
        <w:gridCol w:w="4949"/>
      </w:tblGrid>
      <w:tr w14:paraId="71733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tcPr>
          <w:p w14:paraId="4D8DCC3A">
            <w:pPr>
              <w:pStyle w:val="178"/>
            </w:pPr>
            <w:r>
              <w:rPr>
                <w:rFonts w:hint="eastAsia"/>
              </w:rPr>
              <w:t>管理环节</w:t>
            </w:r>
          </w:p>
        </w:tc>
        <w:tc>
          <w:tcPr>
            <w:tcW w:w="3119" w:type="dxa"/>
            <w:tcBorders>
              <w:top w:val="single" w:color="auto" w:sz="8" w:space="0"/>
              <w:bottom w:val="single" w:color="auto" w:sz="8" w:space="0"/>
            </w:tcBorders>
          </w:tcPr>
          <w:p w14:paraId="53E0BDD6">
            <w:pPr>
              <w:pStyle w:val="178"/>
            </w:pPr>
            <w:r>
              <w:rPr>
                <w:rFonts w:hint="eastAsia"/>
              </w:rPr>
              <w:t>主要问题</w:t>
            </w:r>
          </w:p>
        </w:tc>
        <w:tc>
          <w:tcPr>
            <w:tcW w:w="4949" w:type="dxa"/>
            <w:tcBorders>
              <w:top w:val="single" w:color="auto" w:sz="8" w:space="0"/>
              <w:bottom w:val="single" w:color="auto" w:sz="8" w:space="0"/>
            </w:tcBorders>
          </w:tcPr>
          <w:p w14:paraId="6FDFA2BD">
            <w:pPr>
              <w:pStyle w:val="178"/>
            </w:pPr>
            <w:r>
              <w:rPr>
                <w:rFonts w:hint="eastAsia"/>
              </w:rPr>
              <w:t>控制要点</w:t>
            </w:r>
          </w:p>
        </w:tc>
      </w:tr>
      <w:tr w14:paraId="57D0EE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top w:val="single" w:color="auto" w:sz="8" w:space="0"/>
            </w:tcBorders>
          </w:tcPr>
          <w:p w14:paraId="6B396445">
            <w:pPr>
              <w:pStyle w:val="178"/>
            </w:pPr>
            <w:r>
              <w:rPr>
                <w:rFonts w:hint="eastAsia"/>
              </w:rPr>
              <w:t>模型构建</w:t>
            </w:r>
          </w:p>
        </w:tc>
        <w:tc>
          <w:tcPr>
            <w:tcW w:w="3119" w:type="dxa"/>
            <w:tcBorders>
              <w:top w:val="single" w:color="auto" w:sz="8" w:space="0"/>
            </w:tcBorders>
          </w:tcPr>
          <w:p w14:paraId="13C8A0C8">
            <w:pPr>
              <w:pStyle w:val="178"/>
            </w:pPr>
            <w:r>
              <w:rPr>
                <w:rFonts w:hint="eastAsia"/>
              </w:rPr>
              <w:t>脱离教育目标、边界不清</w:t>
            </w:r>
          </w:p>
        </w:tc>
        <w:tc>
          <w:tcPr>
            <w:tcW w:w="4949" w:type="dxa"/>
            <w:tcBorders>
              <w:top w:val="single" w:color="auto" w:sz="8" w:space="0"/>
            </w:tcBorders>
          </w:tcPr>
          <w:p w14:paraId="12CCD9EC">
            <w:pPr>
              <w:pStyle w:val="178"/>
            </w:pPr>
            <w:r>
              <w:rPr>
                <w:rFonts w:hint="eastAsia"/>
              </w:rPr>
              <w:t>以任务和评价标准为依据，明确输入输出边界</w:t>
            </w:r>
          </w:p>
        </w:tc>
      </w:tr>
      <w:tr w14:paraId="1579FF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Pr>
          <w:p w14:paraId="05500974">
            <w:pPr>
              <w:pStyle w:val="178"/>
            </w:pPr>
            <w:r>
              <w:rPr>
                <w:rFonts w:hint="eastAsia"/>
              </w:rPr>
              <w:t>模型训练</w:t>
            </w:r>
          </w:p>
        </w:tc>
        <w:tc>
          <w:tcPr>
            <w:tcW w:w="3119" w:type="dxa"/>
          </w:tcPr>
          <w:p w14:paraId="6A876D92">
            <w:pPr>
              <w:pStyle w:val="178"/>
            </w:pPr>
            <w:r>
              <w:rPr>
                <w:rFonts w:hint="eastAsia"/>
              </w:rPr>
              <w:t>样本失衡、场景不匹配</w:t>
            </w:r>
          </w:p>
        </w:tc>
        <w:tc>
          <w:tcPr>
            <w:tcW w:w="4949" w:type="dxa"/>
          </w:tcPr>
          <w:p w14:paraId="68837059">
            <w:pPr>
              <w:pStyle w:val="178"/>
            </w:pPr>
            <w:r>
              <w:rPr>
                <w:rFonts w:hint="eastAsia"/>
              </w:rPr>
              <w:t>保证代表性，关注学段、学科和场景覆盖</w:t>
            </w:r>
          </w:p>
        </w:tc>
      </w:tr>
      <w:tr w14:paraId="2C432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Pr>
          <w:p w14:paraId="0442B3FD">
            <w:pPr>
              <w:pStyle w:val="178"/>
            </w:pPr>
            <w:r>
              <w:rPr>
                <w:rFonts w:hint="eastAsia"/>
              </w:rPr>
              <w:t>模型调优</w:t>
            </w:r>
          </w:p>
        </w:tc>
        <w:tc>
          <w:tcPr>
            <w:tcW w:w="3119" w:type="dxa"/>
          </w:tcPr>
          <w:p w14:paraId="0DFFB40D">
            <w:pPr>
              <w:pStyle w:val="178"/>
            </w:pPr>
            <w:r>
              <w:rPr>
                <w:rFonts w:hint="eastAsia"/>
              </w:rPr>
              <w:t>只追求技术指标</w:t>
            </w:r>
          </w:p>
        </w:tc>
        <w:tc>
          <w:tcPr>
            <w:tcW w:w="4949" w:type="dxa"/>
          </w:tcPr>
          <w:p w14:paraId="25AB009C">
            <w:pPr>
              <w:pStyle w:val="178"/>
            </w:pPr>
            <w:r>
              <w:rPr>
                <w:rFonts w:hint="eastAsia"/>
              </w:rPr>
              <w:t>兼顾教育适配性、稳定性和可解释性</w:t>
            </w:r>
          </w:p>
        </w:tc>
      </w:tr>
      <w:tr w14:paraId="06BA66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Pr>
          <w:p w14:paraId="277F43EA">
            <w:pPr>
              <w:pStyle w:val="178"/>
            </w:pPr>
            <w:r>
              <w:rPr>
                <w:rFonts w:hint="eastAsia"/>
              </w:rPr>
              <w:t>模型验证</w:t>
            </w:r>
          </w:p>
        </w:tc>
        <w:tc>
          <w:tcPr>
            <w:tcW w:w="3119" w:type="dxa"/>
          </w:tcPr>
          <w:p w14:paraId="585D2CA4">
            <w:pPr>
              <w:pStyle w:val="178"/>
            </w:pPr>
            <w:r>
              <w:rPr>
                <w:rFonts w:hint="eastAsia"/>
              </w:rPr>
              <w:t>验证不足、只做实验室验证</w:t>
            </w:r>
          </w:p>
        </w:tc>
        <w:tc>
          <w:tcPr>
            <w:tcW w:w="4949" w:type="dxa"/>
          </w:tcPr>
          <w:p w14:paraId="0986781B">
            <w:pPr>
              <w:pStyle w:val="178"/>
            </w:pPr>
            <w:r>
              <w:rPr>
                <w:rFonts w:hint="eastAsia"/>
              </w:rPr>
              <w:t>覆盖真实场景、边界样本和人工对照验证</w:t>
            </w:r>
          </w:p>
        </w:tc>
      </w:tr>
    </w:tbl>
    <w:p w14:paraId="679A8591">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表3  模型构建、验证与测评实施要点表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3119"/>
        <w:gridCol w:w="4949"/>
      </w:tblGrid>
      <w:tr w14:paraId="0E59C0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266" w:type="dxa"/>
            <w:tcBorders>
              <w:top w:val="single" w:color="auto" w:sz="8" w:space="0"/>
              <w:bottom w:val="single" w:color="auto" w:sz="8" w:space="0"/>
            </w:tcBorders>
          </w:tcPr>
          <w:p w14:paraId="2E030C7B">
            <w:pPr>
              <w:pStyle w:val="178"/>
            </w:pPr>
            <w:r>
              <w:rPr>
                <w:rFonts w:hint="eastAsia"/>
              </w:rPr>
              <w:t>管理环节</w:t>
            </w:r>
          </w:p>
        </w:tc>
        <w:tc>
          <w:tcPr>
            <w:tcW w:w="3119" w:type="dxa"/>
            <w:tcBorders>
              <w:top w:val="single" w:color="auto" w:sz="8" w:space="0"/>
              <w:bottom w:val="single" w:color="auto" w:sz="8" w:space="0"/>
            </w:tcBorders>
          </w:tcPr>
          <w:p w14:paraId="46028760">
            <w:pPr>
              <w:pStyle w:val="178"/>
            </w:pPr>
            <w:r>
              <w:rPr>
                <w:rFonts w:hint="eastAsia"/>
              </w:rPr>
              <w:t>主要问题</w:t>
            </w:r>
          </w:p>
        </w:tc>
        <w:tc>
          <w:tcPr>
            <w:tcW w:w="4949" w:type="dxa"/>
            <w:tcBorders>
              <w:top w:val="single" w:color="auto" w:sz="8" w:space="0"/>
              <w:bottom w:val="single" w:color="auto" w:sz="8" w:space="0"/>
            </w:tcBorders>
          </w:tcPr>
          <w:p w14:paraId="6A104CA8">
            <w:pPr>
              <w:pStyle w:val="178"/>
            </w:pPr>
            <w:r>
              <w:rPr>
                <w:rFonts w:hint="eastAsia"/>
              </w:rPr>
              <w:t>控制要点</w:t>
            </w:r>
          </w:p>
        </w:tc>
      </w:tr>
      <w:tr w14:paraId="29660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Pr>
          <w:p w14:paraId="606C648B">
            <w:pPr>
              <w:pStyle w:val="178"/>
            </w:pPr>
            <w:r>
              <w:rPr>
                <w:rFonts w:hint="eastAsia"/>
              </w:rPr>
              <w:t>评分输出</w:t>
            </w:r>
          </w:p>
        </w:tc>
        <w:tc>
          <w:tcPr>
            <w:tcW w:w="3119" w:type="dxa"/>
          </w:tcPr>
          <w:p w14:paraId="395A0E53">
            <w:pPr>
              <w:pStyle w:val="178"/>
            </w:pPr>
            <w:r>
              <w:rPr>
                <w:rFonts w:hint="eastAsia"/>
              </w:rPr>
              <w:t>结果不可解释、置信不足</w:t>
            </w:r>
          </w:p>
        </w:tc>
        <w:tc>
          <w:tcPr>
            <w:tcW w:w="4949" w:type="dxa"/>
          </w:tcPr>
          <w:p w14:paraId="4EE45A39">
            <w:pPr>
              <w:pStyle w:val="178"/>
            </w:pPr>
            <w:r>
              <w:rPr>
                <w:rFonts w:hint="eastAsia"/>
              </w:rPr>
              <w:t>明确规则、标识低置信结果、保留复核入口</w:t>
            </w:r>
          </w:p>
        </w:tc>
      </w:tr>
      <w:tr w14:paraId="13293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Pr>
          <w:p w14:paraId="4B5697B9">
            <w:pPr>
              <w:pStyle w:val="178"/>
            </w:pPr>
            <w:r>
              <w:rPr>
                <w:rFonts w:hint="eastAsia"/>
              </w:rPr>
              <w:t>正式实施</w:t>
            </w:r>
          </w:p>
        </w:tc>
        <w:tc>
          <w:tcPr>
            <w:tcW w:w="3119" w:type="dxa"/>
          </w:tcPr>
          <w:p w14:paraId="54076BF2">
            <w:pPr>
              <w:pStyle w:val="178"/>
            </w:pPr>
            <w:r>
              <w:rPr>
                <w:rFonts w:hint="eastAsia"/>
              </w:rPr>
              <w:t>临时改规则、系统不稳定</w:t>
            </w:r>
          </w:p>
        </w:tc>
        <w:tc>
          <w:tcPr>
            <w:tcW w:w="4949" w:type="dxa"/>
          </w:tcPr>
          <w:p w14:paraId="3BC517A7">
            <w:pPr>
              <w:pStyle w:val="178"/>
            </w:pPr>
            <w:r>
              <w:rPr>
                <w:rFonts w:hint="eastAsia"/>
              </w:rPr>
              <w:t>实施前确认版本、权限和设备状态</w:t>
            </w:r>
          </w:p>
        </w:tc>
      </w:tr>
      <w:tr w14:paraId="2FED8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Pr>
          <w:p w14:paraId="2FD6FC29">
            <w:pPr>
              <w:pStyle w:val="178"/>
            </w:pPr>
            <w:r>
              <w:rPr>
                <w:rFonts w:hint="eastAsia"/>
              </w:rPr>
              <w:t>人工复核</w:t>
            </w:r>
          </w:p>
        </w:tc>
        <w:tc>
          <w:tcPr>
            <w:tcW w:w="3119" w:type="dxa"/>
          </w:tcPr>
          <w:p w14:paraId="65946C29">
            <w:pPr>
              <w:pStyle w:val="178"/>
            </w:pPr>
            <w:r>
              <w:rPr>
                <w:rFonts w:hint="eastAsia"/>
              </w:rPr>
              <w:t>边界结果无人把关</w:t>
            </w:r>
          </w:p>
        </w:tc>
        <w:tc>
          <w:tcPr>
            <w:tcW w:w="4949" w:type="dxa"/>
          </w:tcPr>
          <w:p w14:paraId="0A0654BD">
            <w:pPr>
              <w:pStyle w:val="178"/>
            </w:pPr>
            <w:r>
              <w:rPr>
                <w:rFonts w:hint="eastAsia"/>
              </w:rPr>
              <w:t>明确触发条件、复核流程和记录要求</w:t>
            </w:r>
          </w:p>
        </w:tc>
      </w:tr>
      <w:tr w14:paraId="02A715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Pr>
          <w:p w14:paraId="45CAFE8B">
            <w:pPr>
              <w:pStyle w:val="178"/>
            </w:pPr>
            <w:r>
              <w:rPr>
                <w:rFonts w:hint="eastAsia"/>
              </w:rPr>
              <w:t>日志版本</w:t>
            </w:r>
          </w:p>
        </w:tc>
        <w:tc>
          <w:tcPr>
            <w:tcW w:w="3119" w:type="dxa"/>
          </w:tcPr>
          <w:p w14:paraId="1793F7A2">
            <w:pPr>
              <w:pStyle w:val="178"/>
            </w:pPr>
            <w:r>
              <w:rPr>
                <w:rFonts w:hint="eastAsia"/>
              </w:rPr>
              <w:t>无留痕、版本混乱</w:t>
            </w:r>
          </w:p>
        </w:tc>
        <w:tc>
          <w:tcPr>
            <w:tcW w:w="4949" w:type="dxa"/>
          </w:tcPr>
          <w:p w14:paraId="228FD33A">
            <w:pPr>
              <w:pStyle w:val="178"/>
            </w:pPr>
            <w:r>
              <w:rPr>
                <w:rFonts w:hint="eastAsia"/>
              </w:rPr>
              <w:t>统一日志管理和版本管理</w:t>
            </w:r>
          </w:p>
        </w:tc>
      </w:tr>
    </w:tbl>
    <w:p w14:paraId="129C91D2">
      <w:pPr>
        <w:pStyle w:val="105"/>
        <w:spacing w:before="120" w:after="120" w:line="360" w:lineRule="auto"/>
      </w:pPr>
      <w:r>
        <w:rPr>
          <w:rFonts w:hint="eastAsia"/>
        </w:rPr>
        <w:t>禁止性要求</w:t>
      </w:r>
    </w:p>
    <w:p w14:paraId="6C254247">
      <w:pPr>
        <w:pStyle w:val="165"/>
        <w:spacing w:line="360" w:lineRule="auto"/>
      </w:pPr>
      <w:r>
        <w:rPr>
          <w:rFonts w:hint="eastAsia"/>
        </w:rPr>
        <w:t>不得将未经教育场景验证的模型直接用于正式测评。</w:t>
      </w:r>
    </w:p>
    <w:p w14:paraId="1B2491C6">
      <w:pPr>
        <w:pStyle w:val="165"/>
        <w:spacing w:line="360" w:lineRule="auto"/>
      </w:pPr>
      <w:r>
        <w:rPr>
          <w:rFonts w:hint="eastAsia"/>
        </w:rPr>
        <w:t>不得在正式测评实施过程中擅自修改模型参数、评分规则和任务配置。</w:t>
      </w:r>
    </w:p>
    <w:p w14:paraId="4118C68F">
      <w:pPr>
        <w:pStyle w:val="165"/>
        <w:spacing w:line="360" w:lineRule="auto"/>
      </w:pPr>
      <w:r>
        <w:rPr>
          <w:rFonts w:hint="eastAsia"/>
        </w:rPr>
        <w:t>不得对低置信度、异常结果和高风险场景结果省略人工复核。</w:t>
      </w:r>
    </w:p>
    <w:p w14:paraId="2B4C34C4">
      <w:pPr>
        <w:pStyle w:val="165"/>
        <w:spacing w:line="360" w:lineRule="auto"/>
      </w:pPr>
      <w:r>
        <w:rPr>
          <w:rFonts w:hint="eastAsia"/>
        </w:rPr>
        <w:t>不得以单次验证结果替代持续监测和周期性复核。</w:t>
      </w:r>
    </w:p>
    <w:p w14:paraId="4A228B88">
      <w:pPr>
        <w:pStyle w:val="165"/>
        <w:spacing w:line="360" w:lineRule="auto"/>
      </w:pPr>
      <w:r>
        <w:rPr>
          <w:rFonts w:hint="eastAsia"/>
        </w:rPr>
        <w:t>不得在缺乏日志、缺乏版本记录和缺乏异常记录的情况下认定测评过程合规有效。</w:t>
      </w:r>
    </w:p>
    <w:p w14:paraId="4CB3DEBD">
      <w:pPr>
        <w:pStyle w:val="104"/>
        <w:spacing w:before="240" w:after="240" w:line="360" w:lineRule="auto"/>
      </w:pPr>
      <w:bookmarkStart w:id="55" w:name="_Toc228564650"/>
      <w:r>
        <w:rPr>
          <w:rFonts w:hint="eastAsia"/>
        </w:rPr>
        <w:t>动态优化机制要求</w:t>
      </w:r>
      <w:bookmarkEnd w:id="55"/>
    </w:p>
    <w:p w14:paraId="4FBA13C8">
      <w:pPr>
        <w:pStyle w:val="105"/>
        <w:spacing w:before="120" w:after="120" w:line="360" w:lineRule="auto"/>
      </w:pPr>
      <w:r>
        <w:rPr>
          <w:rFonts w:hint="eastAsia"/>
        </w:rPr>
        <w:t>一般规定</w:t>
      </w:r>
    </w:p>
    <w:p w14:paraId="7CF3F80B">
      <w:pPr>
        <w:pStyle w:val="165"/>
        <w:spacing w:line="360" w:lineRule="auto"/>
      </w:pPr>
      <w:r>
        <w:rPr>
          <w:rFonts w:hint="eastAsia"/>
        </w:rPr>
        <w:t>多模态人工智能教育测评应建立动态优化机制。</w:t>
      </w:r>
    </w:p>
    <w:p w14:paraId="5E2936D7">
      <w:pPr>
        <w:pStyle w:val="165"/>
        <w:spacing w:line="360" w:lineRule="auto"/>
      </w:pPr>
      <w:r>
        <w:rPr>
          <w:rFonts w:hint="eastAsia"/>
        </w:rPr>
        <w:t>动态优化应以提升测评目标适配性、结果稳定性、评分一致性、反馈有效性和应用质量为目的。</w:t>
      </w:r>
    </w:p>
    <w:p w14:paraId="54185D01">
      <w:pPr>
        <w:pStyle w:val="165"/>
        <w:spacing w:line="360" w:lineRule="auto"/>
      </w:pPr>
      <w:r>
        <w:rPr>
          <w:rFonts w:hint="eastAsia"/>
        </w:rPr>
        <w:t>动态优化应坚持目标不变、依据明确、过程受控、风险可管、结果可验证的原则。</w:t>
      </w:r>
    </w:p>
    <w:p w14:paraId="42612F88">
      <w:pPr>
        <w:pStyle w:val="165"/>
        <w:spacing w:line="360" w:lineRule="auto"/>
      </w:pPr>
      <w:r>
        <w:rPr>
          <w:rFonts w:hint="eastAsia"/>
        </w:rPr>
        <w:t>动态优化不得突破课程目标、评价标准、使用边界和安全要求，不得以频繁调整替代基础治理和质量控制。</w:t>
      </w:r>
    </w:p>
    <w:p w14:paraId="518FF3B7">
      <w:pPr>
        <w:pStyle w:val="165"/>
        <w:spacing w:line="360" w:lineRule="auto"/>
      </w:pPr>
      <w:r>
        <w:rPr>
          <w:rFonts w:hint="eastAsia"/>
        </w:rPr>
        <w:t>动态优化应覆盖测评任务配置、模态组合、数据处理规则、模型参数、评分逻辑、反馈策略和质量阈值等内容。</w:t>
      </w:r>
    </w:p>
    <w:p w14:paraId="13B03041">
      <w:pPr>
        <w:pStyle w:val="165"/>
        <w:spacing w:line="360" w:lineRule="auto"/>
      </w:pPr>
      <w:r>
        <w:rPr>
          <w:rFonts w:hint="eastAsia"/>
        </w:rPr>
        <w:t>对高风险教育测评场景，动态优化应从严控制；涉及正式认定结果的重要优化，不得直接在正式场景中无验证实施。</w:t>
      </w:r>
    </w:p>
    <w:p w14:paraId="7400FDAD">
      <w:pPr>
        <w:pStyle w:val="105"/>
        <w:spacing w:before="120" w:after="120" w:line="360" w:lineRule="auto"/>
      </w:pPr>
      <w:r>
        <w:rPr>
          <w:rFonts w:hint="eastAsia"/>
        </w:rPr>
        <w:t>动态优化触发条件</w:t>
      </w:r>
    </w:p>
    <w:p w14:paraId="1F3EC6FB">
      <w:pPr>
        <w:pStyle w:val="65"/>
        <w:spacing w:before="120" w:after="120" w:line="360" w:lineRule="auto"/>
      </w:pPr>
      <w:r>
        <w:rPr>
          <w:rFonts w:hint="eastAsia"/>
        </w:rPr>
        <w:t>一般要求</w:t>
      </w:r>
    </w:p>
    <w:p w14:paraId="0E5D2FBA">
      <w:pPr>
        <w:pStyle w:val="164"/>
        <w:spacing w:line="360" w:lineRule="auto"/>
      </w:pPr>
      <w:r>
        <w:rPr>
          <w:rFonts w:hint="eastAsia"/>
        </w:rPr>
        <w:t>动态优化应基于明确触发条件启动。</w:t>
      </w:r>
    </w:p>
    <w:p w14:paraId="21A6359A">
      <w:pPr>
        <w:pStyle w:val="164"/>
        <w:spacing w:line="360" w:lineRule="auto"/>
      </w:pPr>
      <w:r>
        <w:rPr>
          <w:rFonts w:hint="eastAsia"/>
        </w:rPr>
        <w:t>未达到触发条件的，不宜随意启动重要优化。</w:t>
      </w:r>
    </w:p>
    <w:p w14:paraId="77AAAAD4">
      <w:pPr>
        <w:pStyle w:val="164"/>
        <w:spacing w:line="360" w:lineRule="auto"/>
      </w:pPr>
      <w:r>
        <w:rPr>
          <w:rFonts w:hint="eastAsia"/>
        </w:rPr>
        <w:t>触发条件应形成制度化规则，并纳入质量管理和运行管理机制。</w:t>
      </w:r>
    </w:p>
    <w:p w14:paraId="66CB357F">
      <w:pPr>
        <w:pStyle w:val="65"/>
        <w:spacing w:before="120" w:after="120" w:line="360" w:lineRule="auto"/>
      </w:pPr>
      <w:r>
        <w:rPr>
          <w:rFonts w:hint="eastAsia"/>
        </w:rPr>
        <w:t>触发情形</w:t>
      </w:r>
    </w:p>
    <w:p w14:paraId="7B7558FA">
      <w:pPr>
        <w:pStyle w:val="164"/>
        <w:spacing w:line="360" w:lineRule="auto"/>
      </w:pPr>
      <w:r>
        <w:rPr>
          <w:rFonts w:hint="eastAsia"/>
        </w:rPr>
        <w:t>下列情形之一可触发动态优化：</w:t>
      </w:r>
    </w:p>
    <w:p w14:paraId="61EAD788">
      <w:pPr>
        <w:pStyle w:val="56"/>
        <w:spacing w:line="360" w:lineRule="auto"/>
        <w:ind w:firstLine="420"/>
      </w:pPr>
      <w:r>
        <w:rPr>
          <w:rFonts w:hint="eastAsia"/>
        </w:rPr>
        <w:t>a）测评结果与评价标准匹配度下降；</w:t>
      </w:r>
    </w:p>
    <w:p w14:paraId="095B7186">
      <w:pPr>
        <w:pStyle w:val="56"/>
        <w:spacing w:line="360" w:lineRule="auto"/>
        <w:ind w:firstLine="420"/>
      </w:pPr>
      <w:r>
        <w:rPr>
          <w:rFonts w:hint="eastAsia"/>
        </w:rPr>
        <w:t>b）模型输出稳定性明显下降；</w:t>
      </w:r>
    </w:p>
    <w:p w14:paraId="141ED17D">
      <w:pPr>
        <w:pStyle w:val="56"/>
        <w:spacing w:line="360" w:lineRule="auto"/>
        <w:ind w:firstLine="420"/>
      </w:pPr>
      <w:r>
        <w:rPr>
          <w:rFonts w:hint="eastAsia"/>
        </w:rPr>
        <w:t>c）人工复核不一致率升高；</w:t>
      </w:r>
    </w:p>
    <w:p w14:paraId="7D575789">
      <w:pPr>
        <w:pStyle w:val="56"/>
        <w:spacing w:line="360" w:lineRule="auto"/>
        <w:ind w:firstLine="420"/>
      </w:pPr>
      <w:r>
        <w:rPr>
          <w:rFonts w:hint="eastAsia"/>
        </w:rPr>
        <w:t>d）异常样本比例明显增加；</w:t>
      </w:r>
    </w:p>
    <w:p w14:paraId="1AC62CA4">
      <w:pPr>
        <w:pStyle w:val="56"/>
        <w:spacing w:line="360" w:lineRule="auto"/>
        <w:ind w:firstLine="420"/>
      </w:pPr>
      <w:r>
        <w:rPr>
          <w:rFonts w:hint="eastAsia"/>
        </w:rPr>
        <w:t>e）模态缺失率、采集失败率或者低质量数据比例明显升高；</w:t>
      </w:r>
    </w:p>
    <w:p w14:paraId="3FAB4B72">
      <w:pPr>
        <w:pStyle w:val="56"/>
        <w:spacing w:line="360" w:lineRule="auto"/>
        <w:ind w:firstLine="420"/>
      </w:pPr>
      <w:r>
        <w:rPr>
          <w:rFonts w:hint="eastAsia"/>
        </w:rPr>
        <w:t>f）场景条件发生明显变化；</w:t>
      </w:r>
    </w:p>
    <w:p w14:paraId="297A3346">
      <w:pPr>
        <w:pStyle w:val="56"/>
        <w:spacing w:line="360" w:lineRule="auto"/>
        <w:ind w:firstLine="420"/>
      </w:pPr>
      <w:r>
        <w:rPr>
          <w:rFonts w:hint="eastAsia"/>
        </w:rPr>
        <w:t>g）课程目标、评价标准或者任务形式发生调整；</w:t>
      </w:r>
    </w:p>
    <w:p w14:paraId="500DDC9F">
      <w:pPr>
        <w:pStyle w:val="56"/>
        <w:spacing w:line="360" w:lineRule="auto"/>
        <w:ind w:firstLine="420"/>
      </w:pPr>
      <w:r>
        <w:rPr>
          <w:rFonts w:hint="eastAsia"/>
        </w:rPr>
        <w:t>h）使用反馈集中反映结果解释困难或者反馈无效；</w:t>
      </w:r>
    </w:p>
    <w:p w14:paraId="3ED59195">
      <w:pPr>
        <w:pStyle w:val="56"/>
        <w:spacing w:line="360" w:lineRule="auto"/>
        <w:ind w:firstLine="420"/>
      </w:pPr>
      <w:r>
        <w:rPr>
          <w:rFonts w:hint="eastAsia"/>
        </w:rPr>
        <w:t>i）出现系统性偏差、群体性偏差或者重复性误判；</w:t>
      </w:r>
    </w:p>
    <w:p w14:paraId="304FCBB9">
      <w:pPr>
        <w:pStyle w:val="56"/>
        <w:spacing w:line="360" w:lineRule="auto"/>
        <w:ind w:firstLine="420"/>
      </w:pPr>
      <w:r>
        <w:rPr>
          <w:rFonts w:hint="eastAsia"/>
        </w:rPr>
        <w:t>j）质量监测结果连续触发预警阈值。</w:t>
      </w:r>
    </w:p>
    <w:p w14:paraId="486EA733">
      <w:pPr>
        <w:pStyle w:val="164"/>
        <w:spacing w:line="360" w:lineRule="auto"/>
      </w:pPr>
      <w:r>
        <w:rPr>
          <w:rFonts w:hint="eastAsia"/>
        </w:rPr>
        <w:t>对关键任务、重点学科和高风险场景，应设置更严格的触发阈值和预警阈值。</w:t>
      </w:r>
    </w:p>
    <w:p w14:paraId="23D64996">
      <w:pPr>
        <w:pStyle w:val="105"/>
        <w:spacing w:before="120" w:after="120" w:line="360" w:lineRule="auto"/>
      </w:pPr>
      <w:r>
        <w:rPr>
          <w:rFonts w:hint="eastAsia"/>
        </w:rPr>
        <w:t>动态优化对象</w:t>
      </w:r>
    </w:p>
    <w:p w14:paraId="24B7C35B">
      <w:pPr>
        <w:pStyle w:val="65"/>
        <w:spacing w:before="120" w:after="120" w:line="360" w:lineRule="auto"/>
      </w:pPr>
      <w:r>
        <w:rPr>
          <w:rFonts w:hint="eastAsia"/>
        </w:rPr>
        <w:t>一般要求</w:t>
      </w:r>
    </w:p>
    <w:p w14:paraId="5C5628AB">
      <w:pPr>
        <w:pStyle w:val="164"/>
        <w:spacing w:line="360" w:lineRule="auto"/>
      </w:pPr>
      <w:r>
        <w:rPr>
          <w:rFonts w:hint="eastAsia"/>
        </w:rPr>
        <w:t>动态优化对象应与问题来源和改进目标相对应。</w:t>
      </w:r>
    </w:p>
    <w:p w14:paraId="22FB58C6">
      <w:pPr>
        <w:pStyle w:val="164"/>
        <w:spacing w:line="360" w:lineRule="auto"/>
      </w:pPr>
      <w:r>
        <w:rPr>
          <w:rFonts w:hint="eastAsia"/>
        </w:rPr>
        <w:t>优化对象范围应明确，不得因局部问题盲目调整全局规则。</w:t>
      </w:r>
    </w:p>
    <w:p w14:paraId="72D4037C">
      <w:pPr>
        <w:pStyle w:val="65"/>
        <w:spacing w:before="120" w:after="120" w:line="360" w:lineRule="auto"/>
      </w:pPr>
      <w:r>
        <w:rPr>
          <w:rFonts w:hint="eastAsia"/>
        </w:rPr>
        <w:t>可优化内容</w:t>
      </w:r>
    </w:p>
    <w:p w14:paraId="107AAF16">
      <w:pPr>
        <w:pStyle w:val="164"/>
        <w:spacing w:line="360" w:lineRule="auto"/>
      </w:pPr>
      <w:r>
        <w:rPr>
          <w:rFonts w:hint="eastAsia"/>
        </w:rPr>
        <w:t>动态优化对象可包括下列内容：</w:t>
      </w:r>
    </w:p>
    <w:p w14:paraId="7FF934AD">
      <w:pPr>
        <w:pStyle w:val="56"/>
        <w:spacing w:line="360" w:lineRule="auto"/>
        <w:ind w:firstLine="420"/>
      </w:pPr>
      <w:r>
        <w:rPr>
          <w:rFonts w:hint="eastAsia"/>
        </w:rPr>
        <w:t>a）测评任务流程和任务配置；</w:t>
      </w:r>
    </w:p>
    <w:p w14:paraId="1666BE2C">
      <w:pPr>
        <w:pStyle w:val="56"/>
        <w:spacing w:line="360" w:lineRule="auto"/>
        <w:ind w:firstLine="420"/>
      </w:pPr>
      <w:r>
        <w:rPr>
          <w:rFonts w:hint="eastAsia"/>
        </w:rPr>
        <w:t>b）模态选择与模态权重；</w:t>
      </w:r>
    </w:p>
    <w:p w14:paraId="7E9A520E">
      <w:pPr>
        <w:pStyle w:val="56"/>
        <w:spacing w:line="360" w:lineRule="auto"/>
        <w:ind w:firstLine="420"/>
      </w:pPr>
      <w:r>
        <w:rPr>
          <w:rFonts w:hint="eastAsia"/>
        </w:rPr>
        <w:t>c）数据预处理规则；</w:t>
      </w:r>
    </w:p>
    <w:p w14:paraId="014AEC82">
      <w:pPr>
        <w:pStyle w:val="56"/>
        <w:spacing w:line="360" w:lineRule="auto"/>
        <w:ind w:firstLine="420"/>
      </w:pPr>
      <w:r>
        <w:rPr>
          <w:rFonts w:hint="eastAsia"/>
        </w:rPr>
        <w:t>d）异常样本识别规则；</w:t>
      </w:r>
    </w:p>
    <w:p w14:paraId="325FEFCC">
      <w:pPr>
        <w:pStyle w:val="56"/>
        <w:spacing w:line="360" w:lineRule="auto"/>
        <w:ind w:firstLine="420"/>
      </w:pPr>
      <w:r>
        <w:rPr>
          <w:rFonts w:hint="eastAsia"/>
        </w:rPr>
        <w:t>e）特征提取规则；</w:t>
      </w:r>
    </w:p>
    <w:p w14:paraId="257F4445">
      <w:pPr>
        <w:pStyle w:val="56"/>
        <w:spacing w:line="360" w:lineRule="auto"/>
        <w:ind w:firstLine="420"/>
      </w:pPr>
      <w:r>
        <w:rPr>
          <w:rFonts w:hint="eastAsia"/>
        </w:rPr>
        <w:t>f）模型参数或者模型组合方式；</w:t>
      </w:r>
    </w:p>
    <w:p w14:paraId="1E6AE445">
      <w:pPr>
        <w:pStyle w:val="56"/>
        <w:spacing w:line="360" w:lineRule="auto"/>
        <w:ind w:firstLine="420"/>
      </w:pPr>
      <w:r>
        <w:rPr>
          <w:rFonts w:hint="eastAsia"/>
        </w:rPr>
        <w:t>g）评分阈值和等级边界；</w:t>
      </w:r>
    </w:p>
    <w:p w14:paraId="05C3FB0E">
      <w:pPr>
        <w:pStyle w:val="56"/>
        <w:spacing w:line="360" w:lineRule="auto"/>
        <w:ind w:firstLine="420"/>
      </w:pPr>
      <w:r>
        <w:rPr>
          <w:rFonts w:hint="eastAsia"/>
        </w:rPr>
        <w:t>h）人工复核触发条件；</w:t>
      </w:r>
    </w:p>
    <w:p w14:paraId="4A830AF6">
      <w:pPr>
        <w:pStyle w:val="56"/>
        <w:spacing w:line="360" w:lineRule="auto"/>
        <w:ind w:firstLine="420"/>
      </w:pPr>
      <w:r>
        <w:rPr>
          <w:rFonts w:hint="eastAsia"/>
        </w:rPr>
        <w:t>i）反馈内容、反馈方式和反馈层级；</w:t>
      </w:r>
    </w:p>
    <w:p w14:paraId="677692EC">
      <w:pPr>
        <w:pStyle w:val="56"/>
        <w:spacing w:line="360" w:lineRule="auto"/>
        <w:ind w:firstLine="420"/>
      </w:pPr>
      <w:r>
        <w:rPr>
          <w:rFonts w:hint="eastAsia"/>
        </w:rPr>
        <w:t>j）质量监测指标和预警规则。</w:t>
      </w:r>
    </w:p>
    <w:p w14:paraId="5C50E0EB">
      <w:pPr>
        <w:pStyle w:val="164"/>
        <w:spacing w:line="360" w:lineRule="auto"/>
      </w:pPr>
      <w:r>
        <w:rPr>
          <w:rFonts w:hint="eastAsia"/>
        </w:rPr>
        <w:t>下列内容原则上不得在正式动态优化中擅自改变：</w:t>
      </w:r>
    </w:p>
    <w:p w14:paraId="71AD267D">
      <w:pPr>
        <w:pStyle w:val="56"/>
        <w:spacing w:line="360" w:lineRule="auto"/>
        <w:ind w:firstLine="420"/>
      </w:pPr>
      <w:r>
        <w:rPr>
          <w:rFonts w:hint="eastAsia"/>
        </w:rPr>
        <w:t>a）测评核心目标；</w:t>
      </w:r>
    </w:p>
    <w:p w14:paraId="1AAA6D71">
      <w:pPr>
        <w:pStyle w:val="56"/>
        <w:spacing w:line="360" w:lineRule="auto"/>
        <w:ind w:firstLine="420"/>
      </w:pPr>
      <w:r>
        <w:rPr>
          <w:rFonts w:hint="eastAsia"/>
        </w:rPr>
        <w:t>b）课程评价基本标准；</w:t>
      </w:r>
    </w:p>
    <w:p w14:paraId="17354E69">
      <w:pPr>
        <w:pStyle w:val="56"/>
        <w:spacing w:line="360" w:lineRule="auto"/>
        <w:ind w:firstLine="420"/>
      </w:pPr>
      <w:r>
        <w:rPr>
          <w:rFonts w:hint="eastAsia"/>
        </w:rPr>
        <w:t>c）正式认定结果的制度性边界；</w:t>
      </w:r>
    </w:p>
    <w:p w14:paraId="730DDB1F">
      <w:pPr>
        <w:pStyle w:val="56"/>
        <w:spacing w:line="360" w:lineRule="auto"/>
        <w:ind w:firstLine="420"/>
      </w:pPr>
      <w:r>
        <w:rPr>
          <w:rFonts w:hint="eastAsia"/>
        </w:rPr>
        <w:t>d）已公开告知的关键评价规则；</w:t>
      </w:r>
    </w:p>
    <w:p w14:paraId="73C21ECE">
      <w:pPr>
        <w:pStyle w:val="56"/>
        <w:spacing w:line="360" w:lineRule="auto"/>
        <w:ind w:firstLine="420"/>
      </w:pPr>
      <w:r>
        <w:rPr>
          <w:rFonts w:hint="eastAsia"/>
        </w:rPr>
        <w:t>e）涉及公平性和权益边界的基本控制要求。</w:t>
      </w:r>
    </w:p>
    <w:p w14:paraId="607419D8">
      <w:pPr>
        <w:pStyle w:val="105"/>
        <w:spacing w:before="120" w:after="120" w:line="360" w:lineRule="auto"/>
      </w:pPr>
      <w:r>
        <w:rPr>
          <w:rFonts w:hint="eastAsia"/>
        </w:rPr>
        <w:t>动态优化依据</w:t>
      </w:r>
    </w:p>
    <w:p w14:paraId="121B08CB">
      <w:pPr>
        <w:pStyle w:val="65"/>
        <w:spacing w:before="120" w:after="120" w:line="360" w:lineRule="auto"/>
      </w:pPr>
      <w:r>
        <w:rPr>
          <w:rFonts w:hint="eastAsia"/>
        </w:rPr>
        <w:t>一般要求</w:t>
      </w:r>
    </w:p>
    <w:p w14:paraId="08073E84">
      <w:pPr>
        <w:pStyle w:val="164"/>
        <w:spacing w:line="360" w:lineRule="auto"/>
      </w:pPr>
      <w:r>
        <w:rPr>
          <w:rFonts w:hint="eastAsia"/>
        </w:rPr>
        <w:t>动态优化应建立证据基础。</w:t>
      </w:r>
    </w:p>
    <w:p w14:paraId="30E0E7CA">
      <w:pPr>
        <w:pStyle w:val="164"/>
        <w:spacing w:line="360" w:lineRule="auto"/>
      </w:pPr>
      <w:r>
        <w:rPr>
          <w:rFonts w:hint="eastAsia"/>
        </w:rPr>
        <w:t>优化依据应真实、完整、可分析和可追溯。</w:t>
      </w:r>
    </w:p>
    <w:p w14:paraId="22521736">
      <w:pPr>
        <w:pStyle w:val="65"/>
        <w:spacing w:before="120" w:after="120" w:line="360" w:lineRule="auto"/>
      </w:pPr>
      <w:r>
        <w:rPr>
          <w:rFonts w:hint="eastAsia"/>
        </w:rPr>
        <w:t>依据来源</w:t>
      </w:r>
    </w:p>
    <w:p w14:paraId="41B5CFC8">
      <w:pPr>
        <w:pStyle w:val="164"/>
        <w:spacing w:line="360" w:lineRule="auto"/>
      </w:pPr>
      <w:r>
        <w:rPr>
          <w:rFonts w:hint="eastAsia"/>
        </w:rPr>
        <w:t>动态优化宜以以下依据为基础：</w:t>
      </w:r>
    </w:p>
    <w:p w14:paraId="54CD0F87">
      <w:pPr>
        <w:pStyle w:val="56"/>
        <w:spacing w:line="360" w:lineRule="auto"/>
        <w:ind w:firstLine="420"/>
      </w:pPr>
      <w:r>
        <w:rPr>
          <w:rFonts w:hint="eastAsia"/>
        </w:rPr>
        <w:t>a）质量监测结果；</w:t>
      </w:r>
    </w:p>
    <w:p w14:paraId="59D99D63">
      <w:pPr>
        <w:pStyle w:val="56"/>
        <w:spacing w:line="360" w:lineRule="auto"/>
        <w:ind w:firstLine="420"/>
      </w:pPr>
      <w:r>
        <w:rPr>
          <w:rFonts w:hint="eastAsia"/>
        </w:rPr>
        <w:t>b）人工复核统计结果；</w:t>
      </w:r>
    </w:p>
    <w:p w14:paraId="0C77B5A9">
      <w:pPr>
        <w:pStyle w:val="56"/>
        <w:spacing w:line="360" w:lineRule="auto"/>
        <w:ind w:firstLine="420"/>
      </w:pPr>
      <w:r>
        <w:rPr>
          <w:rFonts w:hint="eastAsia"/>
        </w:rPr>
        <w:t>c）结果偏差分析结果；</w:t>
      </w:r>
    </w:p>
    <w:p w14:paraId="6780CDF0">
      <w:pPr>
        <w:pStyle w:val="56"/>
        <w:spacing w:line="360" w:lineRule="auto"/>
        <w:ind w:firstLine="420"/>
      </w:pPr>
      <w:r>
        <w:rPr>
          <w:rFonts w:hint="eastAsia"/>
        </w:rPr>
        <w:t>d）异常样本分析结果；</w:t>
      </w:r>
    </w:p>
    <w:p w14:paraId="53695D35">
      <w:pPr>
        <w:pStyle w:val="56"/>
        <w:spacing w:line="360" w:lineRule="auto"/>
        <w:ind w:firstLine="420"/>
      </w:pPr>
      <w:r>
        <w:rPr>
          <w:rFonts w:hint="eastAsia"/>
        </w:rPr>
        <w:t>e）教师反馈和专家意见；</w:t>
      </w:r>
    </w:p>
    <w:p w14:paraId="0C299F1C">
      <w:pPr>
        <w:pStyle w:val="56"/>
        <w:spacing w:line="360" w:lineRule="auto"/>
        <w:ind w:firstLine="420"/>
      </w:pPr>
      <w:r>
        <w:rPr>
          <w:rFonts w:hint="eastAsia"/>
        </w:rPr>
        <w:t>f）学习者反馈；</w:t>
      </w:r>
    </w:p>
    <w:p w14:paraId="33C9BB61">
      <w:pPr>
        <w:pStyle w:val="56"/>
        <w:spacing w:line="360" w:lineRule="auto"/>
        <w:ind w:firstLine="420"/>
      </w:pPr>
      <w:r>
        <w:rPr>
          <w:rFonts w:hint="eastAsia"/>
        </w:rPr>
        <w:t>g）场景运行记录和测评日志；</w:t>
      </w:r>
    </w:p>
    <w:p w14:paraId="5D2659A5">
      <w:pPr>
        <w:pStyle w:val="56"/>
        <w:spacing w:line="360" w:lineRule="auto"/>
        <w:ind w:firstLine="420"/>
      </w:pPr>
      <w:r>
        <w:rPr>
          <w:rFonts w:hint="eastAsia"/>
        </w:rPr>
        <w:t>h）模型验证结果；</w:t>
      </w:r>
    </w:p>
    <w:p w14:paraId="2349EDE1">
      <w:pPr>
        <w:pStyle w:val="56"/>
        <w:spacing w:line="360" w:lineRule="auto"/>
        <w:ind w:firstLine="420"/>
      </w:pPr>
      <w:r>
        <w:rPr>
          <w:rFonts w:hint="eastAsia"/>
        </w:rPr>
        <w:t>i）阶段性应用效果评估结果；</w:t>
      </w:r>
    </w:p>
    <w:p w14:paraId="18E819BE">
      <w:pPr>
        <w:pStyle w:val="56"/>
        <w:spacing w:line="360" w:lineRule="auto"/>
        <w:ind w:firstLine="420"/>
      </w:pPr>
      <w:r>
        <w:rPr>
          <w:rFonts w:hint="eastAsia"/>
        </w:rPr>
        <w:t>j）投诉、争议和申诉处理结果。</w:t>
      </w:r>
    </w:p>
    <w:p w14:paraId="2439A997">
      <w:pPr>
        <w:pStyle w:val="164"/>
        <w:spacing w:line="360" w:lineRule="auto"/>
      </w:pPr>
      <w:r>
        <w:rPr>
          <w:rFonts w:hint="eastAsia"/>
        </w:rPr>
        <w:t>仅凭单一案例、单次反馈或者局部异常，不得直接对正式测评系统实施重大优化。</w:t>
      </w:r>
    </w:p>
    <w:p w14:paraId="0AD51BCD">
      <w:pPr>
        <w:pStyle w:val="105"/>
        <w:spacing w:before="120" w:after="120" w:line="360" w:lineRule="auto"/>
      </w:pPr>
      <w:r>
        <w:rPr>
          <w:rFonts w:hint="eastAsia"/>
        </w:rPr>
        <w:t>动态优化流程</w:t>
      </w:r>
    </w:p>
    <w:p w14:paraId="512C6FA2">
      <w:pPr>
        <w:pStyle w:val="65"/>
        <w:spacing w:before="120" w:after="120" w:line="360" w:lineRule="auto"/>
      </w:pPr>
      <w:r>
        <w:rPr>
          <w:rFonts w:hint="eastAsia"/>
        </w:rPr>
        <w:t>一般要求</w:t>
      </w:r>
    </w:p>
    <w:p w14:paraId="57C9817C">
      <w:pPr>
        <w:pStyle w:val="164"/>
        <w:spacing w:line="360" w:lineRule="auto"/>
      </w:pPr>
      <w:r>
        <w:rPr>
          <w:rFonts w:hint="eastAsia"/>
        </w:rPr>
        <w:t>动态优化应按规定流程实施。</w:t>
      </w:r>
    </w:p>
    <w:p w14:paraId="133B344A">
      <w:pPr>
        <w:pStyle w:val="164"/>
        <w:spacing w:line="360" w:lineRule="auto"/>
      </w:pPr>
      <w:r>
        <w:rPr>
          <w:rFonts w:hint="eastAsia"/>
        </w:rPr>
        <w:t>动态优化流程宜包括问题识别、原因分析、优化设计、验证测试、审批确认、上线实施、效果跟踪和归档留痕等环节。</w:t>
      </w:r>
    </w:p>
    <w:p w14:paraId="19A5A28A">
      <w:pPr>
        <w:pStyle w:val="65"/>
        <w:spacing w:before="120" w:after="120" w:line="360" w:lineRule="auto"/>
      </w:pPr>
      <w:r>
        <w:rPr>
          <w:rFonts w:hint="eastAsia"/>
        </w:rPr>
        <w:t>问题识别与分析</w:t>
      </w:r>
    </w:p>
    <w:p w14:paraId="36224C65">
      <w:pPr>
        <w:pStyle w:val="164"/>
        <w:spacing w:line="360" w:lineRule="auto"/>
      </w:pPr>
      <w:r>
        <w:rPr>
          <w:rFonts w:hint="eastAsia"/>
        </w:rPr>
        <w:t>发现需要优化的问题后，应先识别问题范围、影响对象、影响程度和风险等级。</w:t>
      </w:r>
    </w:p>
    <w:p w14:paraId="205C1D80">
      <w:pPr>
        <w:pStyle w:val="164"/>
        <w:spacing w:line="360" w:lineRule="auto"/>
      </w:pPr>
      <w:r>
        <w:rPr>
          <w:rFonts w:hint="eastAsia"/>
        </w:rPr>
        <w:t>原因分析应区分为数据原因、场景原因、规则原因、模型原因、实施原因和使用原因。</w:t>
      </w:r>
    </w:p>
    <w:p w14:paraId="40EE07B4">
      <w:pPr>
        <w:pStyle w:val="164"/>
        <w:spacing w:line="360" w:lineRule="auto"/>
      </w:pPr>
      <w:r>
        <w:rPr>
          <w:rFonts w:hint="eastAsia"/>
        </w:rPr>
        <w:t>原因未查明前，不得直接通过大范围参数调整替代问题处置。</w:t>
      </w:r>
    </w:p>
    <w:p w14:paraId="5174E907">
      <w:pPr>
        <w:pStyle w:val="65"/>
        <w:spacing w:before="120" w:after="120" w:line="360" w:lineRule="auto"/>
      </w:pPr>
      <w:r>
        <w:rPr>
          <w:rFonts w:hint="eastAsia"/>
        </w:rPr>
        <w:t>优化设计</w:t>
      </w:r>
    </w:p>
    <w:p w14:paraId="1AC2E449">
      <w:pPr>
        <w:pStyle w:val="164"/>
        <w:spacing w:line="360" w:lineRule="auto"/>
      </w:pPr>
      <w:r>
        <w:rPr>
          <w:rFonts w:hint="eastAsia"/>
        </w:rPr>
        <w:t>优化设计应明确优化目标、优化内容、影响范围、验证方式和回退条件。</w:t>
      </w:r>
    </w:p>
    <w:p w14:paraId="7828CE3A">
      <w:pPr>
        <w:pStyle w:val="164"/>
        <w:spacing w:line="360" w:lineRule="auto"/>
      </w:pPr>
      <w:r>
        <w:rPr>
          <w:rFonts w:hint="eastAsia"/>
        </w:rPr>
        <w:t>重要优化应形成书面方案。</w:t>
      </w:r>
    </w:p>
    <w:p w14:paraId="515EDCA1">
      <w:pPr>
        <w:pStyle w:val="164"/>
        <w:spacing w:line="360" w:lineRule="auto"/>
      </w:pPr>
      <w:r>
        <w:rPr>
          <w:rFonts w:hint="eastAsia"/>
        </w:rPr>
        <w:t>优化方案应说明是否影响评分边界、等级边界、人工复核比例和结果解释方式。</w:t>
      </w:r>
    </w:p>
    <w:p w14:paraId="0864E9D5">
      <w:pPr>
        <w:pStyle w:val="65"/>
        <w:spacing w:before="120" w:after="120" w:line="360" w:lineRule="auto"/>
      </w:pPr>
      <w:r>
        <w:rPr>
          <w:rFonts w:hint="eastAsia"/>
        </w:rPr>
        <w:t>验证与测试</w:t>
      </w:r>
    </w:p>
    <w:p w14:paraId="08E8D0CB">
      <w:pPr>
        <w:pStyle w:val="164"/>
        <w:spacing w:line="360" w:lineRule="auto"/>
      </w:pPr>
      <w:r>
        <w:rPr>
          <w:rFonts w:hint="eastAsia"/>
        </w:rPr>
        <w:t>优化方案实施前，应进行验证或者测试。</w:t>
      </w:r>
    </w:p>
    <w:p w14:paraId="718C85AD">
      <w:pPr>
        <w:pStyle w:val="164"/>
        <w:spacing w:line="360" w:lineRule="auto"/>
      </w:pPr>
      <w:r>
        <w:rPr>
          <w:rFonts w:hint="eastAsia"/>
        </w:rPr>
        <w:t>验证宜包括样本回放验证、对照验证、边界样本验证、异常样本验证和人工一致性验证。</w:t>
      </w:r>
    </w:p>
    <w:p w14:paraId="5F81AEEB">
      <w:pPr>
        <w:pStyle w:val="164"/>
        <w:spacing w:line="360" w:lineRule="auto"/>
      </w:pPr>
      <w:r>
        <w:rPr>
          <w:rFonts w:hint="eastAsia"/>
        </w:rPr>
        <w:t>验证未通过的，不得进入正式上线环节。</w:t>
      </w:r>
    </w:p>
    <w:p w14:paraId="2EA5A2C2">
      <w:pPr>
        <w:pStyle w:val="65"/>
        <w:spacing w:before="120" w:after="120" w:line="360" w:lineRule="auto"/>
      </w:pPr>
      <w:r>
        <w:rPr>
          <w:rFonts w:hint="eastAsia"/>
        </w:rPr>
        <w:t>审批与上线</w:t>
      </w:r>
    </w:p>
    <w:p w14:paraId="781ECD50">
      <w:pPr>
        <w:pStyle w:val="164"/>
        <w:spacing w:line="360" w:lineRule="auto"/>
      </w:pPr>
      <w:r>
        <w:rPr>
          <w:rFonts w:hint="eastAsia"/>
        </w:rPr>
        <w:t>重要优化应经业务负责方、质量管理方和技术负责方共同确认。</w:t>
      </w:r>
    </w:p>
    <w:p w14:paraId="263BA351">
      <w:pPr>
        <w:pStyle w:val="164"/>
        <w:spacing w:line="360" w:lineRule="auto"/>
      </w:pPr>
      <w:r>
        <w:rPr>
          <w:rFonts w:hint="eastAsia"/>
        </w:rPr>
        <w:t>高风险场景优化应增加专家审核或者专项论证程序。</w:t>
      </w:r>
    </w:p>
    <w:p w14:paraId="4D90382A">
      <w:pPr>
        <w:pStyle w:val="164"/>
        <w:spacing w:line="360" w:lineRule="auto"/>
      </w:pPr>
      <w:r>
        <w:rPr>
          <w:rFonts w:hint="eastAsia"/>
        </w:rPr>
        <w:t>上线前应明确版本编号、上线时间、生效范围和回退方案。</w:t>
      </w:r>
    </w:p>
    <w:p w14:paraId="5ADA33CA">
      <w:pPr>
        <w:pStyle w:val="105"/>
        <w:spacing w:before="120" w:after="120" w:line="360" w:lineRule="auto"/>
      </w:pPr>
      <w:r>
        <w:rPr>
          <w:rFonts w:hint="eastAsia"/>
        </w:rPr>
        <w:t>动态优化分级管理</w:t>
      </w:r>
    </w:p>
    <w:p w14:paraId="7213C2DC">
      <w:pPr>
        <w:pStyle w:val="65"/>
        <w:spacing w:before="120" w:after="120" w:line="360" w:lineRule="auto"/>
      </w:pPr>
      <w:r>
        <w:rPr>
          <w:rFonts w:hint="eastAsia"/>
        </w:rPr>
        <w:t>一般要求</w:t>
      </w:r>
    </w:p>
    <w:p w14:paraId="332CA921">
      <w:pPr>
        <w:pStyle w:val="164"/>
        <w:spacing w:line="360" w:lineRule="auto"/>
      </w:pPr>
      <w:r>
        <w:rPr>
          <w:rFonts w:hint="eastAsia"/>
        </w:rPr>
        <w:t>动态优化应按影响范围和风险程度实施分级管理。</w:t>
      </w:r>
    </w:p>
    <w:p w14:paraId="512B173E">
      <w:pPr>
        <w:pStyle w:val="164"/>
        <w:spacing w:line="360" w:lineRule="auto"/>
      </w:pPr>
      <w:r>
        <w:rPr>
          <w:rFonts w:hint="eastAsia"/>
        </w:rPr>
        <w:t>动态优化可分为一般优化、重要优化和重大优化。</w:t>
      </w:r>
    </w:p>
    <w:p w14:paraId="6DCCB5C9">
      <w:pPr>
        <w:pStyle w:val="65"/>
        <w:spacing w:before="120" w:after="120" w:line="360" w:lineRule="auto"/>
      </w:pPr>
      <w:r>
        <w:rPr>
          <w:rFonts w:hint="eastAsia"/>
        </w:rPr>
        <w:t>一般优化</w:t>
      </w:r>
    </w:p>
    <w:p w14:paraId="3F286552">
      <w:pPr>
        <w:pStyle w:val="164"/>
        <w:spacing w:line="360" w:lineRule="auto"/>
      </w:pPr>
      <w:r>
        <w:rPr>
          <w:rFonts w:hint="eastAsia"/>
        </w:rPr>
        <w:t>不改变测评结果边界、仅影响内部运行效率或者局部辅助反馈的优化，可作为一般优化管理。</w:t>
      </w:r>
    </w:p>
    <w:p w14:paraId="736A8E87">
      <w:pPr>
        <w:pStyle w:val="164"/>
        <w:spacing w:line="360" w:lineRule="auto"/>
      </w:pPr>
      <w:r>
        <w:rPr>
          <w:rFonts w:hint="eastAsia"/>
        </w:rPr>
        <w:t>一般优化应履行记录和验证程序。</w:t>
      </w:r>
    </w:p>
    <w:p w14:paraId="1E67A6B6">
      <w:pPr>
        <w:pStyle w:val="65"/>
        <w:spacing w:before="120" w:after="120" w:line="360" w:lineRule="auto"/>
      </w:pPr>
      <w:r>
        <w:rPr>
          <w:rFonts w:hint="eastAsia"/>
        </w:rPr>
        <w:t>重要优化</w:t>
      </w:r>
    </w:p>
    <w:p w14:paraId="27CD758A">
      <w:pPr>
        <w:pStyle w:val="164"/>
        <w:spacing w:line="360" w:lineRule="auto"/>
      </w:pPr>
      <w:r>
        <w:rPr>
          <w:rFonts w:hint="eastAsia"/>
        </w:rPr>
        <w:t>涉及评分规则细化、模态权重调整、异常识别规则调整和人工复核阈值调整的，可作为重要优化管理。</w:t>
      </w:r>
    </w:p>
    <w:p w14:paraId="25BB2814">
      <w:pPr>
        <w:pStyle w:val="164"/>
        <w:spacing w:line="360" w:lineRule="auto"/>
      </w:pPr>
      <w:r>
        <w:rPr>
          <w:rFonts w:hint="eastAsia"/>
        </w:rPr>
        <w:t>重要优化应履行专项验证、审批确认和版本管理程序。</w:t>
      </w:r>
    </w:p>
    <w:p w14:paraId="6B4FDF56">
      <w:pPr>
        <w:pStyle w:val="65"/>
        <w:spacing w:before="120" w:after="120" w:line="360" w:lineRule="auto"/>
      </w:pPr>
      <w:r>
        <w:rPr>
          <w:rFonts w:hint="eastAsia"/>
        </w:rPr>
        <w:t>重大优化</w:t>
      </w:r>
    </w:p>
    <w:p w14:paraId="6348EF56">
      <w:pPr>
        <w:pStyle w:val="164"/>
        <w:spacing w:line="360" w:lineRule="auto"/>
      </w:pPr>
      <w:r>
        <w:rPr>
          <w:rFonts w:hint="eastAsia"/>
        </w:rPr>
        <w:t>涉及模型替换、评分逻辑重大变更、结果分级边界调整、场景适用范围调整或者高风险场景正式规则调整的，应作为重大优化管理。</w:t>
      </w:r>
    </w:p>
    <w:p w14:paraId="67C31289">
      <w:pPr>
        <w:pStyle w:val="164"/>
        <w:spacing w:line="360" w:lineRule="auto"/>
      </w:pPr>
      <w:r>
        <w:rPr>
          <w:rFonts w:hint="eastAsia"/>
        </w:rPr>
        <w:t>重大优化应进行专项论证、对照试验、风险评估和审慎上线。</w:t>
      </w:r>
    </w:p>
    <w:p w14:paraId="56095460">
      <w:pPr>
        <w:pStyle w:val="164"/>
        <w:spacing w:line="360" w:lineRule="auto"/>
      </w:pPr>
      <w:r>
        <w:rPr>
          <w:rFonts w:hint="eastAsia"/>
        </w:rPr>
        <w:t>未经批准，不得实施重大优化。</w:t>
      </w:r>
    </w:p>
    <w:p w14:paraId="7CFAD333">
      <w:pPr>
        <w:pStyle w:val="105"/>
        <w:spacing w:before="120" w:after="120" w:line="360" w:lineRule="auto"/>
      </w:pPr>
      <w:r>
        <w:rPr>
          <w:rFonts w:hint="eastAsia"/>
        </w:rPr>
        <w:t>优化效果验证</w:t>
      </w:r>
    </w:p>
    <w:p w14:paraId="1CAAAE61">
      <w:pPr>
        <w:pStyle w:val="65"/>
        <w:spacing w:before="120" w:after="120" w:line="360" w:lineRule="auto"/>
      </w:pPr>
      <w:r>
        <w:rPr>
          <w:rFonts w:hint="eastAsia"/>
        </w:rPr>
        <w:t>一般要求</w:t>
      </w:r>
    </w:p>
    <w:p w14:paraId="54C12FE9">
      <w:pPr>
        <w:pStyle w:val="164"/>
        <w:spacing w:line="360" w:lineRule="auto"/>
      </w:pPr>
      <w:r>
        <w:rPr>
          <w:rFonts w:hint="eastAsia"/>
        </w:rPr>
        <w:t>动态优化实施后，应验证优化效果。</w:t>
      </w:r>
    </w:p>
    <w:p w14:paraId="5170A502">
      <w:pPr>
        <w:pStyle w:val="164"/>
        <w:spacing w:line="360" w:lineRule="auto"/>
      </w:pPr>
      <w:r>
        <w:rPr>
          <w:rFonts w:hint="eastAsia"/>
        </w:rPr>
        <w:t>效果验证应以是否达到预期目标、是否降低偏差风险、是否提升结果稳定性和是否未引入新的问题为重点。</w:t>
      </w:r>
    </w:p>
    <w:p w14:paraId="199EDE0A">
      <w:pPr>
        <w:pStyle w:val="65"/>
        <w:spacing w:before="120" w:after="120" w:line="360" w:lineRule="auto"/>
      </w:pPr>
      <w:r>
        <w:rPr>
          <w:rFonts w:hint="eastAsia"/>
        </w:rPr>
        <w:t>验证内容</w:t>
      </w:r>
    </w:p>
    <w:p w14:paraId="15E38809">
      <w:pPr>
        <w:pStyle w:val="164"/>
        <w:spacing w:line="360" w:lineRule="auto"/>
      </w:pPr>
      <w:r>
        <w:rPr>
          <w:rFonts w:hint="eastAsia"/>
        </w:rPr>
        <w:t>动态优化效果验证宜包括下列内容：</w:t>
      </w:r>
    </w:p>
    <w:p w14:paraId="66DEFEB8">
      <w:pPr>
        <w:pStyle w:val="56"/>
        <w:spacing w:line="360" w:lineRule="auto"/>
        <w:ind w:firstLine="420"/>
      </w:pPr>
      <w:r>
        <w:rPr>
          <w:rFonts w:hint="eastAsia"/>
        </w:rPr>
        <w:t>a）结果一致性变化；</w:t>
      </w:r>
    </w:p>
    <w:p w14:paraId="13DEB3BC">
      <w:pPr>
        <w:pStyle w:val="56"/>
        <w:spacing w:line="360" w:lineRule="auto"/>
        <w:ind w:firstLine="420"/>
      </w:pPr>
      <w:r>
        <w:rPr>
          <w:rFonts w:hint="eastAsia"/>
        </w:rPr>
        <w:t>b）异常率变化；</w:t>
      </w:r>
    </w:p>
    <w:p w14:paraId="61A1F36F">
      <w:pPr>
        <w:pStyle w:val="56"/>
        <w:spacing w:line="360" w:lineRule="auto"/>
        <w:ind w:firstLine="420"/>
      </w:pPr>
      <w:r>
        <w:rPr>
          <w:rFonts w:hint="eastAsia"/>
        </w:rPr>
        <w:t>c）人工复核工作量变化；</w:t>
      </w:r>
    </w:p>
    <w:p w14:paraId="1D04D5BF">
      <w:pPr>
        <w:pStyle w:val="56"/>
        <w:spacing w:line="360" w:lineRule="auto"/>
        <w:ind w:firstLine="420"/>
      </w:pPr>
      <w:r>
        <w:rPr>
          <w:rFonts w:hint="eastAsia"/>
        </w:rPr>
        <w:t>d）误判率变化；</w:t>
      </w:r>
    </w:p>
    <w:p w14:paraId="5D88D3DB">
      <w:pPr>
        <w:pStyle w:val="56"/>
        <w:spacing w:line="360" w:lineRule="auto"/>
        <w:ind w:firstLine="420"/>
      </w:pPr>
      <w:r>
        <w:rPr>
          <w:rFonts w:hint="eastAsia"/>
        </w:rPr>
        <w:t>e）反馈接受度变化；</w:t>
      </w:r>
    </w:p>
    <w:p w14:paraId="65345FBC">
      <w:pPr>
        <w:pStyle w:val="56"/>
        <w:spacing w:line="360" w:lineRule="auto"/>
        <w:ind w:firstLine="420"/>
      </w:pPr>
      <w:r>
        <w:rPr>
          <w:rFonts w:hint="eastAsia"/>
        </w:rPr>
        <w:t>f）场景适配性变化；</w:t>
      </w:r>
    </w:p>
    <w:p w14:paraId="25498DB5">
      <w:pPr>
        <w:pStyle w:val="56"/>
        <w:spacing w:line="360" w:lineRule="auto"/>
        <w:ind w:firstLine="420"/>
      </w:pPr>
      <w:r>
        <w:rPr>
          <w:rFonts w:hint="eastAsia"/>
        </w:rPr>
        <w:t>g）系统负载与稳定性变化；</w:t>
      </w:r>
    </w:p>
    <w:p w14:paraId="283C1382">
      <w:pPr>
        <w:pStyle w:val="56"/>
        <w:spacing w:line="360" w:lineRule="auto"/>
        <w:ind w:firstLine="420"/>
      </w:pPr>
      <w:r>
        <w:rPr>
          <w:rFonts w:hint="eastAsia"/>
        </w:rPr>
        <w:t>h）用户争议数量变化。</w:t>
      </w:r>
    </w:p>
    <w:p w14:paraId="5EE37DC3">
      <w:pPr>
        <w:pStyle w:val="164"/>
        <w:spacing w:line="360" w:lineRule="auto"/>
      </w:pPr>
      <w:r>
        <w:rPr>
          <w:rFonts w:hint="eastAsia"/>
        </w:rPr>
        <w:t>优化后若出现新的重大偏差、结果波动明显增大或者公平性风险上升，应立即启动回退或者再调整机制。</w:t>
      </w:r>
    </w:p>
    <w:p w14:paraId="3C4D8FB3">
      <w:pPr>
        <w:pStyle w:val="105"/>
        <w:spacing w:before="120" w:after="120" w:line="360" w:lineRule="auto"/>
      </w:pPr>
      <w:r>
        <w:rPr>
          <w:rFonts w:hint="eastAsia"/>
        </w:rPr>
        <w:t>版本与回退管理</w:t>
      </w:r>
    </w:p>
    <w:p w14:paraId="720F70B4">
      <w:pPr>
        <w:pStyle w:val="65"/>
        <w:spacing w:before="120" w:after="120" w:line="360" w:lineRule="auto"/>
      </w:pPr>
      <w:r>
        <w:rPr>
          <w:rFonts w:hint="eastAsia"/>
        </w:rPr>
        <w:t>版本管理</w:t>
      </w:r>
    </w:p>
    <w:p w14:paraId="6A1ACD39">
      <w:pPr>
        <w:pStyle w:val="164"/>
        <w:spacing w:line="360" w:lineRule="auto"/>
      </w:pPr>
      <w:r>
        <w:rPr>
          <w:rFonts w:hint="eastAsia"/>
        </w:rPr>
        <w:t>动态优化应实施版本管理。</w:t>
      </w:r>
    </w:p>
    <w:p w14:paraId="2EFFBD89">
      <w:pPr>
        <w:pStyle w:val="164"/>
        <w:spacing w:line="360" w:lineRule="auto"/>
      </w:pPr>
      <w:r>
        <w:rPr>
          <w:rFonts w:hint="eastAsia"/>
        </w:rPr>
        <w:t>版本信息应至少包括版本编号、更新时间、更新内容、更新原因、适用范围和验证结论。</w:t>
      </w:r>
    </w:p>
    <w:p w14:paraId="1FF99722">
      <w:pPr>
        <w:pStyle w:val="164"/>
        <w:spacing w:line="360" w:lineRule="auto"/>
      </w:pPr>
      <w:r>
        <w:rPr>
          <w:rFonts w:hint="eastAsia"/>
        </w:rPr>
        <w:t>同一正式测评周期内，不得无控制频繁切换正式版本。</w:t>
      </w:r>
    </w:p>
    <w:p w14:paraId="224E0A1B">
      <w:pPr>
        <w:pStyle w:val="65"/>
        <w:spacing w:before="120" w:after="120" w:line="360" w:lineRule="auto"/>
      </w:pPr>
      <w:r>
        <w:rPr>
          <w:rFonts w:hint="eastAsia"/>
        </w:rPr>
        <w:t>回退管理</w:t>
      </w:r>
    </w:p>
    <w:p w14:paraId="710F0997">
      <w:pPr>
        <w:pStyle w:val="164"/>
        <w:spacing w:line="360" w:lineRule="auto"/>
      </w:pPr>
      <w:r>
        <w:rPr>
          <w:rFonts w:hint="eastAsia"/>
        </w:rPr>
        <w:t>动态优化上线前，应设定回退条件和回退流程。</w:t>
      </w:r>
    </w:p>
    <w:p w14:paraId="56A17BE3">
      <w:pPr>
        <w:pStyle w:val="164"/>
        <w:spacing w:line="360" w:lineRule="auto"/>
      </w:pPr>
      <w:r>
        <w:rPr>
          <w:rFonts w:hint="eastAsia"/>
        </w:rPr>
        <w:t>出现下列情形之一时，应启动回退机制：</w:t>
      </w:r>
    </w:p>
    <w:p w14:paraId="1EC6E765">
      <w:pPr>
        <w:pStyle w:val="56"/>
        <w:spacing w:line="360" w:lineRule="auto"/>
        <w:ind w:firstLine="420"/>
      </w:pPr>
      <w:r>
        <w:rPr>
          <w:rFonts w:hint="eastAsia"/>
        </w:rPr>
        <w:t>a）优化后结果明显失稳；</w:t>
      </w:r>
    </w:p>
    <w:p w14:paraId="4FA7C729">
      <w:pPr>
        <w:pStyle w:val="56"/>
        <w:spacing w:line="360" w:lineRule="auto"/>
        <w:ind w:firstLine="420"/>
      </w:pPr>
      <w:r>
        <w:rPr>
          <w:rFonts w:hint="eastAsia"/>
        </w:rPr>
        <w:t>b）异常率显著升高；</w:t>
      </w:r>
    </w:p>
    <w:p w14:paraId="729055F2">
      <w:pPr>
        <w:pStyle w:val="56"/>
        <w:spacing w:line="360" w:lineRule="auto"/>
        <w:ind w:firstLine="420"/>
      </w:pPr>
      <w:r>
        <w:rPr>
          <w:rFonts w:hint="eastAsia"/>
        </w:rPr>
        <w:t>c）争议和投诉明显增加；</w:t>
      </w:r>
    </w:p>
    <w:p w14:paraId="263E0DE4">
      <w:pPr>
        <w:pStyle w:val="56"/>
        <w:spacing w:line="360" w:lineRule="auto"/>
        <w:ind w:firstLine="420"/>
      </w:pPr>
      <w:r>
        <w:rPr>
          <w:rFonts w:hint="eastAsia"/>
        </w:rPr>
        <w:t>d）高风险结果误判增加；</w:t>
      </w:r>
    </w:p>
    <w:p w14:paraId="35A7A9BD">
      <w:pPr>
        <w:pStyle w:val="56"/>
        <w:spacing w:line="360" w:lineRule="auto"/>
        <w:ind w:firstLine="420"/>
      </w:pPr>
      <w:r>
        <w:rPr>
          <w:rFonts w:hint="eastAsia"/>
        </w:rPr>
        <w:t>e）系统运行明显异常；</w:t>
      </w:r>
    </w:p>
    <w:p w14:paraId="736946F6">
      <w:pPr>
        <w:pStyle w:val="56"/>
        <w:spacing w:line="360" w:lineRule="auto"/>
        <w:ind w:firstLine="420"/>
      </w:pPr>
      <w:r>
        <w:rPr>
          <w:rFonts w:hint="eastAsia"/>
        </w:rPr>
        <w:t>f）验证目标未实现。</w:t>
      </w:r>
    </w:p>
    <w:p w14:paraId="6F957D8D">
      <w:pPr>
        <w:pStyle w:val="164"/>
        <w:spacing w:line="360" w:lineRule="auto"/>
      </w:pPr>
      <w:r>
        <w:rPr>
          <w:rFonts w:hint="eastAsia"/>
        </w:rPr>
        <w:t>回退操作应形成记录，并说明回退原因和后续整改要求。</w:t>
      </w:r>
    </w:p>
    <w:p w14:paraId="40A490DD">
      <w:pPr>
        <w:pStyle w:val="105"/>
        <w:spacing w:before="120" w:after="120" w:line="360" w:lineRule="auto"/>
      </w:pPr>
      <w:r>
        <w:rPr>
          <w:rFonts w:hint="eastAsia"/>
        </w:rPr>
        <w:t>动态优化记录要求</w:t>
      </w:r>
    </w:p>
    <w:p w14:paraId="7DC35DAA">
      <w:pPr>
        <w:pStyle w:val="165"/>
        <w:spacing w:line="360" w:lineRule="auto"/>
      </w:pPr>
      <w:r>
        <w:rPr>
          <w:rFonts w:hint="eastAsia"/>
        </w:rPr>
        <w:t>动态优化全过程应形成记录。</w:t>
      </w:r>
    </w:p>
    <w:p w14:paraId="092C2031">
      <w:pPr>
        <w:pStyle w:val="165"/>
        <w:spacing w:line="360" w:lineRule="auto"/>
      </w:pPr>
      <w:r>
        <w:rPr>
          <w:rFonts w:hint="eastAsia"/>
        </w:rPr>
        <w:t>记录内容宜至少包括：</w:t>
      </w:r>
    </w:p>
    <w:p w14:paraId="54FC2578">
      <w:pPr>
        <w:pStyle w:val="56"/>
        <w:spacing w:line="360" w:lineRule="auto"/>
        <w:ind w:firstLine="420"/>
      </w:pPr>
      <w:r>
        <w:rPr>
          <w:rFonts w:hint="eastAsia"/>
        </w:rPr>
        <w:t>a）触发原因；</w:t>
      </w:r>
    </w:p>
    <w:p w14:paraId="68365259">
      <w:pPr>
        <w:pStyle w:val="56"/>
        <w:spacing w:line="360" w:lineRule="auto"/>
        <w:ind w:firstLine="420"/>
      </w:pPr>
      <w:r>
        <w:rPr>
          <w:rFonts w:hint="eastAsia"/>
        </w:rPr>
        <w:t>b）问题分析结果；</w:t>
      </w:r>
    </w:p>
    <w:p w14:paraId="07020471">
      <w:pPr>
        <w:pStyle w:val="56"/>
        <w:spacing w:line="360" w:lineRule="auto"/>
        <w:ind w:firstLine="420"/>
      </w:pPr>
      <w:r>
        <w:rPr>
          <w:rFonts w:hint="eastAsia"/>
        </w:rPr>
        <w:t>c）优化内容；</w:t>
      </w:r>
    </w:p>
    <w:p w14:paraId="737109F0">
      <w:pPr>
        <w:pStyle w:val="56"/>
        <w:spacing w:line="360" w:lineRule="auto"/>
        <w:ind w:firstLine="420"/>
      </w:pPr>
      <w:r>
        <w:rPr>
          <w:rFonts w:hint="eastAsia"/>
        </w:rPr>
        <w:t>d）验证方案；</w:t>
      </w:r>
    </w:p>
    <w:p w14:paraId="52972071">
      <w:pPr>
        <w:pStyle w:val="56"/>
        <w:spacing w:line="360" w:lineRule="auto"/>
        <w:ind w:firstLine="420"/>
      </w:pPr>
      <w:r>
        <w:rPr>
          <w:rFonts w:hint="eastAsia"/>
        </w:rPr>
        <w:t>e）验证结果；</w:t>
      </w:r>
    </w:p>
    <w:p w14:paraId="0AC46A64">
      <w:pPr>
        <w:pStyle w:val="56"/>
        <w:spacing w:line="360" w:lineRule="auto"/>
        <w:ind w:firstLine="420"/>
      </w:pPr>
      <w:r>
        <w:rPr>
          <w:rFonts w:hint="eastAsia"/>
        </w:rPr>
        <w:t>f）审批结果；</w:t>
      </w:r>
    </w:p>
    <w:p w14:paraId="2C3241EA">
      <w:pPr>
        <w:pStyle w:val="56"/>
        <w:spacing w:line="360" w:lineRule="auto"/>
        <w:ind w:firstLine="420"/>
      </w:pPr>
      <w:r>
        <w:rPr>
          <w:rFonts w:hint="eastAsia"/>
        </w:rPr>
        <w:t>g）上线时间；</w:t>
      </w:r>
    </w:p>
    <w:p w14:paraId="1F1781B4">
      <w:pPr>
        <w:pStyle w:val="56"/>
        <w:spacing w:line="360" w:lineRule="auto"/>
        <w:ind w:firstLine="420"/>
      </w:pPr>
      <w:r>
        <w:rPr>
          <w:rFonts w:hint="eastAsia"/>
        </w:rPr>
        <w:t>h）版本信息；</w:t>
      </w:r>
    </w:p>
    <w:p w14:paraId="63D7AC1B">
      <w:pPr>
        <w:pStyle w:val="56"/>
        <w:spacing w:line="360" w:lineRule="auto"/>
        <w:ind w:firstLine="420"/>
      </w:pPr>
      <w:r>
        <w:rPr>
          <w:rFonts w:hint="eastAsia"/>
        </w:rPr>
        <w:t>i）效果跟踪结果；</w:t>
      </w:r>
    </w:p>
    <w:p w14:paraId="1385A61D">
      <w:pPr>
        <w:pStyle w:val="56"/>
        <w:spacing w:line="360" w:lineRule="auto"/>
        <w:ind w:firstLine="420"/>
      </w:pPr>
      <w:r>
        <w:rPr>
          <w:rFonts w:hint="eastAsia"/>
        </w:rPr>
        <w:t>j）回退情况。</w:t>
      </w:r>
    </w:p>
    <w:p w14:paraId="51E5B25D">
      <w:pPr>
        <w:pStyle w:val="165"/>
        <w:spacing w:line="360" w:lineRule="auto"/>
      </w:pPr>
      <w:r>
        <w:rPr>
          <w:rFonts w:hint="eastAsia"/>
        </w:rPr>
        <w:t>动态优化记录应与测评日志、质量监测记录和结果复核记录相互对应。</w:t>
      </w:r>
    </w:p>
    <w:p w14:paraId="1F66FC8E">
      <w:pPr>
        <w:pStyle w:val="105"/>
        <w:spacing w:before="120" w:after="120" w:line="360" w:lineRule="auto"/>
      </w:pPr>
      <w:r>
        <w:rPr>
          <w:rFonts w:hint="eastAsia"/>
        </w:rPr>
        <w:t>动态优化工作要点</w:t>
      </w:r>
    </w:p>
    <w:p w14:paraId="38882058">
      <w:pPr>
        <w:pStyle w:val="56"/>
        <w:spacing w:line="360" w:lineRule="auto"/>
        <w:ind w:firstLine="420"/>
      </w:pPr>
      <w:r>
        <w:rPr>
          <w:rFonts w:hint="eastAsia"/>
        </w:rPr>
        <w:t>动态优化的主要控制内容见表4。表4给出了动态优化机制的主要控制内容和控制要点。</w:t>
      </w:r>
    </w:p>
    <w:p w14:paraId="1E3E6FC4">
      <w:pPr>
        <w:pStyle w:val="112"/>
        <w:spacing w:before="120" w:after="120" w:line="360" w:lineRule="auto"/>
      </w:pPr>
      <w:r>
        <w:rPr>
          <w:rFonts w:hint="eastAsia"/>
        </w:rPr>
        <w:t>动态优化机制要点表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7E44A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tcPr>
          <w:p w14:paraId="78FEB96F">
            <w:pPr>
              <w:pStyle w:val="178"/>
            </w:pPr>
            <w:r>
              <w:rPr>
                <w:rFonts w:hint="eastAsia"/>
              </w:rPr>
              <w:t>管理环节</w:t>
            </w:r>
          </w:p>
        </w:tc>
        <w:tc>
          <w:tcPr>
            <w:tcW w:w="3112" w:type="dxa"/>
            <w:tcBorders>
              <w:top w:val="single" w:color="auto" w:sz="8" w:space="0"/>
              <w:bottom w:val="single" w:color="auto" w:sz="8" w:space="0"/>
            </w:tcBorders>
          </w:tcPr>
          <w:p w14:paraId="5F1CDB0C">
            <w:pPr>
              <w:pStyle w:val="178"/>
            </w:pPr>
            <w:r>
              <w:rPr>
                <w:rFonts w:hint="eastAsia"/>
              </w:rPr>
              <w:t>主要问题</w:t>
            </w:r>
          </w:p>
        </w:tc>
        <w:tc>
          <w:tcPr>
            <w:tcW w:w="3112" w:type="dxa"/>
            <w:tcBorders>
              <w:top w:val="single" w:color="auto" w:sz="8" w:space="0"/>
              <w:bottom w:val="single" w:color="auto" w:sz="8" w:space="0"/>
            </w:tcBorders>
          </w:tcPr>
          <w:p w14:paraId="710C41C9">
            <w:pPr>
              <w:pStyle w:val="178"/>
            </w:pPr>
            <w:r>
              <w:rPr>
                <w:rFonts w:hint="eastAsia"/>
              </w:rPr>
              <w:t>控制要点</w:t>
            </w:r>
          </w:p>
        </w:tc>
      </w:tr>
      <w:tr w14:paraId="105F9B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tcPr>
          <w:p w14:paraId="29F376B3">
            <w:pPr>
              <w:pStyle w:val="178"/>
            </w:pPr>
            <w:r>
              <w:rPr>
                <w:rFonts w:hint="eastAsia"/>
              </w:rPr>
              <w:t>触发管理</w:t>
            </w:r>
          </w:p>
        </w:tc>
        <w:tc>
          <w:tcPr>
            <w:tcW w:w="3112" w:type="dxa"/>
            <w:tcBorders>
              <w:top w:val="single" w:color="auto" w:sz="8" w:space="0"/>
            </w:tcBorders>
          </w:tcPr>
          <w:p w14:paraId="7C1D7F79">
            <w:pPr>
              <w:pStyle w:val="178"/>
            </w:pPr>
            <w:r>
              <w:rPr>
                <w:rFonts w:hint="eastAsia"/>
              </w:rPr>
              <w:t>无依据频繁优化</w:t>
            </w:r>
          </w:p>
        </w:tc>
        <w:tc>
          <w:tcPr>
            <w:tcW w:w="3112" w:type="dxa"/>
            <w:tcBorders>
              <w:top w:val="single" w:color="auto" w:sz="8" w:space="0"/>
            </w:tcBorders>
          </w:tcPr>
          <w:p w14:paraId="12B04BFB">
            <w:pPr>
              <w:pStyle w:val="178"/>
            </w:pPr>
            <w:r>
              <w:rPr>
                <w:rFonts w:hint="eastAsia"/>
              </w:rPr>
              <w:t>设定明确触发条件和阈值</w:t>
            </w:r>
          </w:p>
        </w:tc>
      </w:tr>
      <w:tr w14:paraId="51CF8F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EEE82DB">
            <w:pPr>
              <w:pStyle w:val="178"/>
            </w:pPr>
            <w:r>
              <w:rPr>
                <w:rFonts w:hint="eastAsia"/>
              </w:rPr>
              <w:t>优化对象</w:t>
            </w:r>
          </w:p>
        </w:tc>
        <w:tc>
          <w:tcPr>
            <w:tcW w:w="3112" w:type="dxa"/>
          </w:tcPr>
          <w:p w14:paraId="5F1EF3A2">
            <w:pPr>
              <w:pStyle w:val="178"/>
            </w:pPr>
            <w:r>
              <w:rPr>
                <w:rFonts w:hint="eastAsia"/>
              </w:rPr>
              <w:t>局部问题全局调整</w:t>
            </w:r>
          </w:p>
        </w:tc>
        <w:tc>
          <w:tcPr>
            <w:tcW w:w="3112" w:type="dxa"/>
          </w:tcPr>
          <w:p w14:paraId="41757328">
            <w:pPr>
              <w:pStyle w:val="178"/>
            </w:pPr>
            <w:r>
              <w:rPr>
                <w:rFonts w:hint="eastAsia"/>
              </w:rPr>
              <w:t>先定范围，再定对象</w:t>
            </w:r>
          </w:p>
        </w:tc>
      </w:tr>
      <w:tr w14:paraId="5F9EEC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2B4ED1F">
            <w:pPr>
              <w:pStyle w:val="178"/>
            </w:pPr>
            <w:r>
              <w:rPr>
                <w:rFonts w:hint="eastAsia"/>
              </w:rPr>
              <w:t>依据分析</w:t>
            </w:r>
          </w:p>
        </w:tc>
        <w:tc>
          <w:tcPr>
            <w:tcW w:w="3112" w:type="dxa"/>
          </w:tcPr>
          <w:p w14:paraId="11F97915">
            <w:pPr>
              <w:pStyle w:val="178"/>
            </w:pPr>
            <w:r>
              <w:rPr>
                <w:rFonts w:hint="eastAsia"/>
              </w:rPr>
              <w:t>仅凭个别案例调整</w:t>
            </w:r>
          </w:p>
        </w:tc>
        <w:tc>
          <w:tcPr>
            <w:tcW w:w="3112" w:type="dxa"/>
          </w:tcPr>
          <w:p w14:paraId="2AA6E4A9">
            <w:pPr>
              <w:pStyle w:val="178"/>
            </w:pPr>
            <w:r>
              <w:rPr>
                <w:rFonts w:hint="eastAsia"/>
              </w:rPr>
              <w:t>综合质量监测、复核和反馈证据</w:t>
            </w:r>
          </w:p>
        </w:tc>
      </w:tr>
      <w:tr w14:paraId="6ABE22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6EE5D029">
            <w:pPr>
              <w:pStyle w:val="178"/>
            </w:pPr>
            <w:r>
              <w:rPr>
                <w:rFonts w:hint="eastAsia"/>
              </w:rPr>
              <w:t>验证测试</w:t>
            </w:r>
          </w:p>
        </w:tc>
        <w:tc>
          <w:tcPr>
            <w:tcW w:w="3112" w:type="dxa"/>
          </w:tcPr>
          <w:p w14:paraId="016FA72A">
            <w:pPr>
              <w:pStyle w:val="178"/>
            </w:pPr>
            <w:r>
              <w:rPr>
                <w:rFonts w:hint="eastAsia"/>
              </w:rPr>
              <w:t>未验证直接上线</w:t>
            </w:r>
          </w:p>
        </w:tc>
        <w:tc>
          <w:tcPr>
            <w:tcW w:w="3112" w:type="dxa"/>
          </w:tcPr>
          <w:p w14:paraId="336CA9E2">
            <w:pPr>
              <w:pStyle w:val="178"/>
            </w:pPr>
            <w:r>
              <w:rPr>
                <w:rFonts w:hint="eastAsia"/>
              </w:rPr>
              <w:t>先验证后上线，重点验证边界样本</w:t>
            </w:r>
          </w:p>
        </w:tc>
      </w:tr>
      <w:tr w14:paraId="6194F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3110" w:type="dxa"/>
          </w:tcPr>
          <w:p w14:paraId="1B467CC5">
            <w:pPr>
              <w:pStyle w:val="178"/>
            </w:pPr>
            <w:r>
              <w:rPr>
                <w:rFonts w:hint="eastAsia"/>
              </w:rPr>
              <w:t>分级管理</w:t>
            </w:r>
          </w:p>
        </w:tc>
        <w:tc>
          <w:tcPr>
            <w:tcW w:w="3112" w:type="dxa"/>
          </w:tcPr>
          <w:p w14:paraId="7A2D48DC">
            <w:pPr>
              <w:pStyle w:val="178"/>
            </w:pPr>
            <w:r>
              <w:rPr>
                <w:rFonts w:hint="eastAsia"/>
              </w:rPr>
              <w:t>重要优化与一般优化混同</w:t>
            </w:r>
          </w:p>
        </w:tc>
        <w:tc>
          <w:tcPr>
            <w:tcW w:w="3112" w:type="dxa"/>
          </w:tcPr>
          <w:p w14:paraId="36512213">
            <w:pPr>
              <w:pStyle w:val="178"/>
            </w:pPr>
            <w:r>
              <w:rPr>
                <w:rFonts w:hint="eastAsia"/>
              </w:rPr>
              <w:t>按风险和影响分级审批</w:t>
            </w:r>
          </w:p>
        </w:tc>
      </w:tr>
      <w:tr w14:paraId="10D1D5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B480707">
            <w:pPr>
              <w:pStyle w:val="178"/>
            </w:pPr>
            <w:r>
              <w:rPr>
                <w:rFonts w:hint="eastAsia"/>
              </w:rPr>
              <w:t>效果评估</w:t>
            </w:r>
          </w:p>
        </w:tc>
        <w:tc>
          <w:tcPr>
            <w:tcW w:w="3112" w:type="dxa"/>
          </w:tcPr>
          <w:p w14:paraId="05426B64">
            <w:pPr>
              <w:pStyle w:val="178"/>
            </w:pPr>
            <w:r>
              <w:rPr>
                <w:rFonts w:hint="eastAsia"/>
              </w:rPr>
              <w:t>优化后不跟踪结果</w:t>
            </w:r>
          </w:p>
        </w:tc>
        <w:tc>
          <w:tcPr>
            <w:tcW w:w="3112" w:type="dxa"/>
          </w:tcPr>
          <w:p w14:paraId="601E989E">
            <w:pPr>
              <w:pStyle w:val="178"/>
            </w:pPr>
            <w:r>
              <w:rPr>
                <w:rFonts w:hint="eastAsia"/>
              </w:rPr>
              <w:t>设置效果指标并持续跟踪</w:t>
            </w:r>
          </w:p>
        </w:tc>
      </w:tr>
      <w:tr w14:paraId="34DDA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5CFAF24B">
            <w:pPr>
              <w:pStyle w:val="178"/>
            </w:pPr>
            <w:r>
              <w:rPr>
                <w:rFonts w:hint="eastAsia"/>
              </w:rPr>
              <w:t>版本控制</w:t>
            </w:r>
          </w:p>
        </w:tc>
        <w:tc>
          <w:tcPr>
            <w:tcW w:w="3112" w:type="dxa"/>
          </w:tcPr>
          <w:p w14:paraId="222E0030">
            <w:pPr>
              <w:pStyle w:val="178"/>
            </w:pPr>
            <w:r>
              <w:rPr>
                <w:rFonts w:hint="eastAsia"/>
              </w:rPr>
              <w:t>规则频繁变动</w:t>
            </w:r>
          </w:p>
        </w:tc>
        <w:tc>
          <w:tcPr>
            <w:tcW w:w="3112" w:type="dxa"/>
          </w:tcPr>
          <w:p w14:paraId="59C9FC37">
            <w:pPr>
              <w:pStyle w:val="178"/>
            </w:pPr>
            <w:r>
              <w:rPr>
                <w:rFonts w:hint="eastAsia"/>
              </w:rPr>
              <w:t>统一版本管理，明确生效范围</w:t>
            </w:r>
          </w:p>
        </w:tc>
      </w:tr>
      <w:tr w14:paraId="36A801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77AAE99">
            <w:pPr>
              <w:pStyle w:val="178"/>
            </w:pPr>
            <w:r>
              <w:rPr>
                <w:rFonts w:hint="eastAsia"/>
              </w:rPr>
              <w:t>回退管理</w:t>
            </w:r>
          </w:p>
        </w:tc>
        <w:tc>
          <w:tcPr>
            <w:tcW w:w="3112" w:type="dxa"/>
          </w:tcPr>
          <w:p w14:paraId="7888F33A">
            <w:pPr>
              <w:pStyle w:val="178"/>
            </w:pPr>
            <w:r>
              <w:rPr>
                <w:rFonts w:hint="eastAsia"/>
              </w:rPr>
              <w:t>出现问题无法恢复</w:t>
            </w:r>
          </w:p>
        </w:tc>
        <w:tc>
          <w:tcPr>
            <w:tcW w:w="3112" w:type="dxa"/>
          </w:tcPr>
          <w:p w14:paraId="38E7FB7F">
            <w:pPr>
              <w:pStyle w:val="178"/>
            </w:pPr>
            <w:r>
              <w:rPr>
                <w:rFonts w:hint="eastAsia"/>
              </w:rPr>
              <w:t>预设回退条件和流程</w:t>
            </w:r>
          </w:p>
        </w:tc>
      </w:tr>
    </w:tbl>
    <w:p w14:paraId="11561472">
      <w:pPr>
        <w:pStyle w:val="105"/>
        <w:spacing w:before="120" w:after="120" w:line="360" w:lineRule="auto"/>
      </w:pPr>
      <w:r>
        <w:rPr>
          <w:rFonts w:hint="eastAsia"/>
        </w:rPr>
        <w:t>禁止性要求</w:t>
      </w:r>
    </w:p>
    <w:p w14:paraId="7854BE1D">
      <w:pPr>
        <w:pStyle w:val="165"/>
        <w:spacing w:line="360" w:lineRule="auto"/>
      </w:pPr>
      <w:r>
        <w:rPr>
          <w:rFonts w:hint="eastAsia"/>
        </w:rPr>
        <w:t>不得在未分析问题原因的情况下盲目调整模型和规则。</w:t>
      </w:r>
    </w:p>
    <w:p w14:paraId="50C2857E">
      <w:pPr>
        <w:pStyle w:val="165"/>
        <w:spacing w:line="360" w:lineRule="auto"/>
      </w:pPr>
      <w:r>
        <w:rPr>
          <w:rFonts w:hint="eastAsia"/>
        </w:rPr>
        <w:t>不得将重要优化直接在正式高风险测评中无验证上线。</w:t>
      </w:r>
    </w:p>
    <w:p w14:paraId="6BDA0EE3">
      <w:pPr>
        <w:pStyle w:val="165"/>
        <w:spacing w:line="360" w:lineRule="auto"/>
      </w:pPr>
      <w:r>
        <w:rPr>
          <w:rFonts w:hint="eastAsia"/>
        </w:rPr>
        <w:t>不得以动态优化名义随意改变评价标准和结果边界。</w:t>
      </w:r>
    </w:p>
    <w:p w14:paraId="0D813BF2">
      <w:pPr>
        <w:pStyle w:val="165"/>
        <w:spacing w:line="360" w:lineRule="auto"/>
      </w:pPr>
      <w:r>
        <w:rPr>
          <w:rFonts w:hint="eastAsia"/>
        </w:rPr>
        <w:t>不得隐瞒优化失败、版本缺陷和回退情况。</w:t>
      </w:r>
    </w:p>
    <w:p w14:paraId="47CF84EC">
      <w:pPr>
        <w:pStyle w:val="165"/>
        <w:spacing w:line="360" w:lineRule="auto"/>
      </w:pPr>
      <w:r>
        <w:rPr>
          <w:rFonts w:hint="eastAsia"/>
        </w:rPr>
        <w:t>不得删除优化前后对比数据和关键过程记录。</w:t>
      </w:r>
    </w:p>
    <w:p w14:paraId="1038B172">
      <w:pPr>
        <w:pStyle w:val="104"/>
        <w:spacing w:before="240" w:after="240" w:line="360" w:lineRule="auto"/>
      </w:pPr>
      <w:bookmarkStart w:id="56" w:name="_Toc228564651"/>
      <w:r>
        <w:rPr>
          <w:rFonts w:hint="eastAsia"/>
        </w:rPr>
        <w:t>质量管控、结果复核与持续改进</w:t>
      </w:r>
      <w:bookmarkEnd w:id="56"/>
    </w:p>
    <w:p w14:paraId="3880BD90">
      <w:pPr>
        <w:pStyle w:val="105"/>
        <w:spacing w:before="120" w:after="120" w:line="360" w:lineRule="auto"/>
      </w:pPr>
      <w:r>
        <w:rPr>
          <w:rFonts w:hint="eastAsia"/>
        </w:rPr>
        <w:t>一般规定</w:t>
      </w:r>
    </w:p>
    <w:p w14:paraId="7E5806E8">
      <w:pPr>
        <w:pStyle w:val="165"/>
        <w:spacing w:line="360" w:lineRule="auto"/>
      </w:pPr>
      <w:r>
        <w:rPr>
          <w:rFonts w:hint="eastAsia"/>
        </w:rPr>
        <w:t>多模态人工智能教育测评应建立全过程质量管控机制。</w:t>
      </w:r>
    </w:p>
    <w:p w14:paraId="3A6D2431">
      <w:pPr>
        <w:pStyle w:val="165"/>
        <w:spacing w:line="360" w:lineRule="auto"/>
      </w:pPr>
      <w:r>
        <w:rPr>
          <w:rFonts w:hint="eastAsia"/>
        </w:rPr>
        <w:t>质量管控应覆盖测评方案质量、数据质量、模型质量、实施质量、结果质量和应用质量。</w:t>
      </w:r>
    </w:p>
    <w:p w14:paraId="41A7437F">
      <w:pPr>
        <w:pStyle w:val="165"/>
        <w:spacing w:line="360" w:lineRule="auto"/>
      </w:pPr>
      <w:r>
        <w:rPr>
          <w:rFonts w:hint="eastAsia"/>
        </w:rPr>
        <w:t>质量管控应坚持预防为主、过程监测、结果复核、问题闭环和持续改进的原则。</w:t>
      </w:r>
    </w:p>
    <w:p w14:paraId="39562535">
      <w:pPr>
        <w:pStyle w:val="165"/>
        <w:spacing w:line="360" w:lineRule="auto"/>
      </w:pPr>
      <w:r>
        <w:rPr>
          <w:rFonts w:hint="eastAsia"/>
        </w:rPr>
        <w:t>对高风险应用场景、关键测评任务和正式认定结果，应实施更严格的质量控制和复核要求。</w:t>
      </w:r>
    </w:p>
    <w:p w14:paraId="65E3D926">
      <w:pPr>
        <w:pStyle w:val="105"/>
        <w:spacing w:before="120" w:after="120" w:line="360" w:lineRule="auto"/>
      </w:pPr>
      <w:r>
        <w:rPr>
          <w:rFonts w:hint="eastAsia"/>
        </w:rPr>
        <w:t>质量管控体系要求</w:t>
      </w:r>
    </w:p>
    <w:p w14:paraId="3CCEC344">
      <w:pPr>
        <w:pStyle w:val="65"/>
        <w:spacing w:before="120" w:after="120" w:line="360" w:lineRule="auto"/>
      </w:pPr>
      <w:r>
        <w:rPr>
          <w:rFonts w:hint="eastAsia"/>
        </w:rPr>
        <w:t>一般要求</w:t>
      </w:r>
    </w:p>
    <w:p w14:paraId="40CE71B6">
      <w:pPr>
        <w:pStyle w:val="164"/>
        <w:spacing w:line="360" w:lineRule="auto"/>
      </w:pPr>
      <w:r>
        <w:rPr>
          <w:rFonts w:hint="eastAsia"/>
        </w:rPr>
        <w:t>测评实施单位应建立质量管控体系。</w:t>
      </w:r>
    </w:p>
    <w:p w14:paraId="04EE86B1">
      <w:pPr>
        <w:pStyle w:val="164"/>
        <w:spacing w:line="360" w:lineRule="auto"/>
      </w:pPr>
      <w:r>
        <w:rPr>
          <w:rFonts w:hint="eastAsia"/>
        </w:rPr>
        <w:t>质量管控体系应包括质量目标、质量规则、监测机制、抽检机制、复核机制、异常处置机制和改进机制。</w:t>
      </w:r>
    </w:p>
    <w:p w14:paraId="3E771F0F">
      <w:pPr>
        <w:pStyle w:val="164"/>
        <w:spacing w:line="360" w:lineRule="auto"/>
      </w:pPr>
      <w:r>
        <w:rPr>
          <w:rFonts w:hint="eastAsia"/>
        </w:rPr>
        <w:t>质量管控职责应明确到岗位和环节。</w:t>
      </w:r>
    </w:p>
    <w:p w14:paraId="4A69C36D">
      <w:pPr>
        <w:pStyle w:val="65"/>
        <w:spacing w:before="120" w:after="120" w:line="360" w:lineRule="auto"/>
      </w:pPr>
      <w:r>
        <w:rPr>
          <w:rFonts w:hint="eastAsia"/>
        </w:rPr>
        <w:t>质量目标</w:t>
      </w:r>
    </w:p>
    <w:p w14:paraId="4AACB199">
      <w:pPr>
        <w:pStyle w:val="164"/>
        <w:spacing w:line="360" w:lineRule="auto"/>
      </w:pPr>
      <w:r>
        <w:rPr>
          <w:rFonts w:hint="eastAsia"/>
        </w:rPr>
        <w:t>质量目标应与测评目标、应用场景和风险等级相一致。</w:t>
      </w:r>
    </w:p>
    <w:p w14:paraId="7662FF79">
      <w:pPr>
        <w:pStyle w:val="164"/>
        <w:spacing w:line="360" w:lineRule="auto"/>
      </w:pPr>
      <w:r>
        <w:rPr>
          <w:rFonts w:hint="eastAsia"/>
        </w:rPr>
        <w:t>质量目标宜包括一致性目标、稳定性目标、准确性目标、完整性目标、可解释性目标和时效性目标。</w:t>
      </w:r>
    </w:p>
    <w:p w14:paraId="5C692A4D">
      <w:pPr>
        <w:pStyle w:val="164"/>
        <w:spacing w:line="360" w:lineRule="auto"/>
      </w:pPr>
      <w:r>
        <w:rPr>
          <w:rFonts w:hint="eastAsia"/>
        </w:rPr>
        <w:t>质量目标应可监测、可评价、可追踪。</w:t>
      </w:r>
    </w:p>
    <w:p w14:paraId="1D7ACBC9">
      <w:pPr>
        <w:pStyle w:val="105"/>
        <w:spacing w:before="120" w:after="120" w:line="360" w:lineRule="auto"/>
      </w:pPr>
      <w:r>
        <w:rPr>
          <w:rFonts w:hint="eastAsia"/>
        </w:rPr>
        <w:t>质量监测要求</w:t>
      </w:r>
    </w:p>
    <w:p w14:paraId="1A1190F4">
      <w:pPr>
        <w:pStyle w:val="65"/>
        <w:spacing w:before="120" w:after="120" w:line="360" w:lineRule="auto"/>
      </w:pPr>
      <w:r>
        <w:rPr>
          <w:rFonts w:hint="eastAsia"/>
        </w:rPr>
        <w:t>一般要求</w:t>
      </w:r>
    </w:p>
    <w:p w14:paraId="2C906468">
      <w:pPr>
        <w:pStyle w:val="164"/>
        <w:spacing w:line="360" w:lineRule="auto"/>
      </w:pPr>
      <w:r>
        <w:rPr>
          <w:rFonts w:hint="eastAsia"/>
        </w:rPr>
        <w:t>测评实施期间应开展质量监测。</w:t>
      </w:r>
    </w:p>
    <w:p w14:paraId="5D9EB988">
      <w:pPr>
        <w:pStyle w:val="164"/>
        <w:spacing w:line="360" w:lineRule="auto"/>
      </w:pPr>
      <w:r>
        <w:rPr>
          <w:rFonts w:hint="eastAsia"/>
        </w:rPr>
        <w:t>质量监测可采用自动监测、人工抽查、对照分析、趋势分析和专项核查等方式实施。</w:t>
      </w:r>
    </w:p>
    <w:p w14:paraId="1D07C816">
      <w:pPr>
        <w:pStyle w:val="164"/>
        <w:spacing w:line="360" w:lineRule="auto"/>
      </w:pPr>
      <w:r>
        <w:rPr>
          <w:rFonts w:hint="eastAsia"/>
        </w:rPr>
        <w:t>质量监测应覆盖测评前、测评中和测评后各阶段。</w:t>
      </w:r>
    </w:p>
    <w:p w14:paraId="13330542">
      <w:pPr>
        <w:pStyle w:val="65"/>
        <w:spacing w:before="120" w:after="120" w:line="360" w:lineRule="auto"/>
      </w:pPr>
      <w:r>
        <w:rPr>
          <w:rFonts w:hint="eastAsia"/>
        </w:rPr>
        <w:t>监测内容</w:t>
      </w:r>
    </w:p>
    <w:p w14:paraId="469F4EC0">
      <w:pPr>
        <w:pStyle w:val="164"/>
        <w:spacing w:line="360" w:lineRule="auto"/>
      </w:pPr>
      <w:r>
        <w:rPr>
          <w:rFonts w:hint="eastAsia"/>
        </w:rPr>
        <w:t>质量监测宜包括下列内容：</w:t>
      </w:r>
    </w:p>
    <w:p w14:paraId="2C6B41FA">
      <w:pPr>
        <w:pStyle w:val="56"/>
        <w:spacing w:line="360" w:lineRule="auto"/>
        <w:ind w:firstLine="420"/>
      </w:pPr>
      <w:r>
        <w:rPr>
          <w:rFonts w:hint="eastAsia"/>
        </w:rPr>
        <w:t>a）任务配置是否正确；</w:t>
      </w:r>
    </w:p>
    <w:p w14:paraId="29CEE139">
      <w:pPr>
        <w:pStyle w:val="56"/>
        <w:spacing w:line="360" w:lineRule="auto"/>
        <w:ind w:firstLine="420"/>
      </w:pPr>
      <w:r>
        <w:rPr>
          <w:rFonts w:hint="eastAsia"/>
        </w:rPr>
        <w:t>b）模态采集是否完整；</w:t>
      </w:r>
    </w:p>
    <w:p w14:paraId="00A3138A">
      <w:pPr>
        <w:pStyle w:val="56"/>
        <w:spacing w:line="360" w:lineRule="auto"/>
        <w:ind w:firstLine="420"/>
      </w:pPr>
      <w:r>
        <w:rPr>
          <w:rFonts w:hint="eastAsia"/>
        </w:rPr>
        <w:t>c）设备和系统运行是否稳定；</w:t>
      </w:r>
    </w:p>
    <w:p w14:paraId="0B3141B8">
      <w:pPr>
        <w:pStyle w:val="56"/>
        <w:spacing w:line="360" w:lineRule="auto"/>
        <w:ind w:firstLine="420"/>
      </w:pPr>
      <w:r>
        <w:rPr>
          <w:rFonts w:hint="eastAsia"/>
        </w:rPr>
        <w:t>d）评分结果是否异常集中或者异常离散；</w:t>
      </w:r>
    </w:p>
    <w:p w14:paraId="7BB2E63D">
      <w:pPr>
        <w:pStyle w:val="56"/>
        <w:spacing w:line="360" w:lineRule="auto"/>
        <w:ind w:firstLine="420"/>
      </w:pPr>
      <w:r>
        <w:rPr>
          <w:rFonts w:hint="eastAsia"/>
        </w:rPr>
        <w:t>e）人工复核一致率是否变化；</w:t>
      </w:r>
    </w:p>
    <w:p w14:paraId="1937B8EC">
      <w:pPr>
        <w:pStyle w:val="56"/>
        <w:spacing w:line="360" w:lineRule="auto"/>
        <w:ind w:firstLine="420"/>
      </w:pPr>
      <w:r>
        <w:rPr>
          <w:rFonts w:hint="eastAsia"/>
        </w:rPr>
        <w:t>f）低置信度结果比例是否异常；</w:t>
      </w:r>
    </w:p>
    <w:p w14:paraId="09BDF042">
      <w:pPr>
        <w:pStyle w:val="56"/>
        <w:spacing w:line="360" w:lineRule="auto"/>
        <w:ind w:firstLine="420"/>
      </w:pPr>
      <w:r>
        <w:rPr>
          <w:rFonts w:hint="eastAsia"/>
        </w:rPr>
        <w:t>g）模态缺失率是否升高；</w:t>
      </w:r>
    </w:p>
    <w:p w14:paraId="56B6C222">
      <w:pPr>
        <w:pStyle w:val="56"/>
        <w:spacing w:line="360" w:lineRule="auto"/>
        <w:ind w:firstLine="420"/>
      </w:pPr>
      <w:r>
        <w:rPr>
          <w:rFonts w:hint="eastAsia"/>
        </w:rPr>
        <w:t>h）用户反馈和争议是否集中出现；</w:t>
      </w:r>
    </w:p>
    <w:p w14:paraId="69528A58">
      <w:pPr>
        <w:pStyle w:val="56"/>
        <w:spacing w:line="360" w:lineRule="auto"/>
        <w:ind w:firstLine="420"/>
      </w:pPr>
      <w:r>
        <w:rPr>
          <w:rFonts w:hint="eastAsia"/>
        </w:rPr>
        <w:t>i）优化后结果是否稳定。</w:t>
      </w:r>
    </w:p>
    <w:p w14:paraId="6ABB3DF2">
      <w:pPr>
        <w:pStyle w:val="164"/>
        <w:spacing w:line="360" w:lineRule="auto"/>
      </w:pPr>
      <w:r>
        <w:rPr>
          <w:rFonts w:hint="eastAsia"/>
        </w:rPr>
        <w:t>对重点场景和高风险结果，应建立专门监测指标和预警阈值。</w:t>
      </w:r>
    </w:p>
    <w:p w14:paraId="28BC2B0A">
      <w:pPr>
        <w:pStyle w:val="164"/>
        <w:numPr>
          <w:ilvl w:val="0"/>
          <w:numId w:val="0"/>
        </w:numPr>
        <w:spacing w:line="360" w:lineRule="auto"/>
        <w:rPr>
          <w:rFonts w:hint="eastAsia"/>
        </w:rPr>
      </w:pPr>
    </w:p>
    <w:p w14:paraId="4F873D0A">
      <w:pPr>
        <w:pStyle w:val="105"/>
        <w:spacing w:before="120" w:after="120" w:line="360" w:lineRule="auto"/>
      </w:pPr>
      <w:r>
        <w:rPr>
          <w:rFonts w:hint="eastAsia"/>
        </w:rPr>
        <w:t>结果复核要求</w:t>
      </w:r>
    </w:p>
    <w:p w14:paraId="5304C427">
      <w:pPr>
        <w:pStyle w:val="65"/>
        <w:spacing w:before="120" w:after="120" w:line="360" w:lineRule="auto"/>
      </w:pPr>
      <w:r>
        <w:rPr>
          <w:rFonts w:hint="eastAsia"/>
        </w:rPr>
        <w:t>一般要求</w:t>
      </w:r>
    </w:p>
    <w:p w14:paraId="2A72E156">
      <w:pPr>
        <w:pStyle w:val="164"/>
        <w:spacing w:line="360" w:lineRule="auto"/>
      </w:pPr>
      <w:r>
        <w:rPr>
          <w:rFonts w:hint="eastAsia"/>
        </w:rPr>
        <w:t>测评结果应建立复核机制。</w:t>
      </w:r>
    </w:p>
    <w:p w14:paraId="44497D08">
      <w:pPr>
        <w:pStyle w:val="164"/>
        <w:spacing w:line="360" w:lineRule="auto"/>
      </w:pPr>
      <w:r>
        <w:rPr>
          <w:rFonts w:hint="eastAsia"/>
        </w:rPr>
        <w:t>结果复核应覆盖自动输出结果、边界结果、争议结果和抽检样本结果。</w:t>
      </w:r>
    </w:p>
    <w:p w14:paraId="26C8B4E8">
      <w:pPr>
        <w:pStyle w:val="164"/>
        <w:spacing w:line="360" w:lineRule="auto"/>
      </w:pPr>
      <w:r>
        <w:rPr>
          <w:rFonts w:hint="eastAsia"/>
        </w:rPr>
        <w:t>复核方式可包括自动复核、人工复核、专家复核和多轮复核。</w:t>
      </w:r>
    </w:p>
    <w:p w14:paraId="7590DBDE">
      <w:pPr>
        <w:pStyle w:val="65"/>
        <w:spacing w:before="120" w:after="120" w:line="360" w:lineRule="auto"/>
      </w:pPr>
      <w:r>
        <w:rPr>
          <w:rFonts w:hint="eastAsia"/>
        </w:rPr>
        <w:t>复核内容</w:t>
      </w:r>
    </w:p>
    <w:p w14:paraId="7C853AB3">
      <w:pPr>
        <w:pStyle w:val="164"/>
        <w:spacing w:line="360" w:lineRule="auto"/>
      </w:pPr>
      <w:r>
        <w:rPr>
          <w:rFonts w:hint="eastAsia"/>
        </w:rPr>
        <w:t>结果复核宜包括下列内容：</w:t>
      </w:r>
    </w:p>
    <w:p w14:paraId="3B39E4AF">
      <w:pPr>
        <w:pStyle w:val="56"/>
        <w:spacing w:line="360" w:lineRule="auto"/>
        <w:ind w:firstLine="420"/>
      </w:pPr>
      <w:r>
        <w:rPr>
          <w:rFonts w:hint="eastAsia"/>
        </w:rPr>
        <w:t>a）结果是否与任务要求一致；</w:t>
      </w:r>
    </w:p>
    <w:p w14:paraId="3706E4A4">
      <w:pPr>
        <w:pStyle w:val="56"/>
        <w:spacing w:line="360" w:lineRule="auto"/>
        <w:ind w:firstLine="420"/>
      </w:pPr>
      <w:r>
        <w:rPr>
          <w:rFonts w:hint="eastAsia"/>
        </w:rPr>
        <w:t>b）结果是否与评分规则一致；</w:t>
      </w:r>
    </w:p>
    <w:p w14:paraId="1E7E43F8">
      <w:pPr>
        <w:pStyle w:val="56"/>
        <w:spacing w:line="360" w:lineRule="auto"/>
        <w:ind w:firstLine="420"/>
      </w:pPr>
      <w:r>
        <w:rPr>
          <w:rFonts w:hint="eastAsia"/>
        </w:rPr>
        <w:t>c）结果是否与模态证据相符；</w:t>
      </w:r>
    </w:p>
    <w:p w14:paraId="6D023325">
      <w:pPr>
        <w:pStyle w:val="56"/>
        <w:spacing w:line="360" w:lineRule="auto"/>
        <w:ind w:firstLine="420"/>
      </w:pPr>
      <w:r>
        <w:rPr>
          <w:rFonts w:hint="eastAsia"/>
        </w:rPr>
        <w:t>d）结果是否存在明显偏差；</w:t>
      </w:r>
    </w:p>
    <w:p w14:paraId="0870F92C">
      <w:pPr>
        <w:pStyle w:val="56"/>
        <w:spacing w:line="360" w:lineRule="auto"/>
        <w:ind w:firstLine="420"/>
      </w:pPr>
      <w:r>
        <w:rPr>
          <w:rFonts w:hint="eastAsia"/>
        </w:rPr>
        <w:t>e）结果解释是否合理；</w:t>
      </w:r>
    </w:p>
    <w:p w14:paraId="48BBF536">
      <w:pPr>
        <w:pStyle w:val="56"/>
        <w:spacing w:line="360" w:lineRule="auto"/>
        <w:ind w:firstLine="420"/>
      </w:pPr>
      <w:r>
        <w:rPr>
          <w:rFonts w:hint="eastAsia"/>
        </w:rPr>
        <w:t>f）结果适用范围是否正确。</w:t>
      </w:r>
    </w:p>
    <w:p w14:paraId="38E2D971">
      <w:pPr>
        <w:pStyle w:val="164"/>
        <w:spacing w:line="360" w:lineRule="auto"/>
      </w:pPr>
      <w:r>
        <w:rPr>
          <w:rFonts w:hint="eastAsia"/>
        </w:rPr>
        <w:t>对高风险场景结果，复核不得仅依据最终分值，应综合原始证据、过程记录和人工判断。</w:t>
      </w:r>
    </w:p>
    <w:p w14:paraId="6C6F4095">
      <w:pPr>
        <w:pStyle w:val="65"/>
        <w:spacing w:before="120" w:after="120" w:line="360" w:lineRule="auto"/>
      </w:pPr>
      <w:r>
        <w:rPr>
          <w:rFonts w:hint="eastAsia"/>
        </w:rPr>
        <w:t>抽检复核</w:t>
      </w:r>
    </w:p>
    <w:p w14:paraId="3A7658D5">
      <w:pPr>
        <w:pStyle w:val="164"/>
        <w:spacing w:line="360" w:lineRule="auto"/>
      </w:pPr>
      <w:r>
        <w:rPr>
          <w:rFonts w:hint="eastAsia"/>
        </w:rPr>
        <w:t>正式测评活动宜设置抽检复核比例。</w:t>
      </w:r>
    </w:p>
    <w:p w14:paraId="0F5A006D">
      <w:pPr>
        <w:pStyle w:val="164"/>
        <w:spacing w:line="360" w:lineRule="auto"/>
      </w:pPr>
      <w:r>
        <w:rPr>
          <w:rFonts w:hint="eastAsia"/>
        </w:rPr>
        <w:t>抽检复核应覆盖正常样本、边界样本、异常样本和低置信度样本。</w:t>
      </w:r>
    </w:p>
    <w:p w14:paraId="4287FBFD">
      <w:pPr>
        <w:pStyle w:val="164"/>
        <w:spacing w:line="360" w:lineRule="auto"/>
      </w:pPr>
      <w:r>
        <w:rPr>
          <w:rFonts w:hint="eastAsia"/>
        </w:rPr>
        <w:t>抽检复核结果应作为质量评价和动态优化的重要依据。</w:t>
      </w:r>
    </w:p>
    <w:p w14:paraId="2DE4749A">
      <w:pPr>
        <w:pStyle w:val="105"/>
        <w:spacing w:before="120" w:after="120" w:line="360" w:lineRule="auto"/>
      </w:pPr>
      <w:r>
        <w:rPr>
          <w:rFonts w:hint="eastAsia"/>
        </w:rPr>
        <w:t>异常结果与争议处理</w:t>
      </w:r>
    </w:p>
    <w:p w14:paraId="6D5A2D81">
      <w:pPr>
        <w:pStyle w:val="65"/>
        <w:spacing w:before="120" w:after="120" w:line="360" w:lineRule="auto"/>
      </w:pPr>
      <w:r>
        <w:rPr>
          <w:rFonts w:hint="eastAsia"/>
        </w:rPr>
        <w:t>异常结果处理</w:t>
      </w:r>
    </w:p>
    <w:p w14:paraId="414238A7">
      <w:pPr>
        <w:pStyle w:val="164"/>
        <w:spacing w:line="360" w:lineRule="auto"/>
      </w:pPr>
      <w:r>
        <w:rPr>
          <w:rFonts w:hint="eastAsia"/>
        </w:rPr>
        <w:t>发现异常结果后，应及时识别异常类型、影响范围和风险等级。</w:t>
      </w:r>
    </w:p>
    <w:p w14:paraId="7D9E5A3C">
      <w:pPr>
        <w:pStyle w:val="164"/>
        <w:spacing w:line="360" w:lineRule="auto"/>
      </w:pPr>
      <w:r>
        <w:rPr>
          <w:rFonts w:hint="eastAsia"/>
        </w:rPr>
        <w:t>异常结果可包括明显误判结果、波动异常结果、逻辑冲突结果、证据不足结果和系统输出异常结果。</w:t>
      </w:r>
    </w:p>
    <w:p w14:paraId="63DE34AE">
      <w:pPr>
        <w:pStyle w:val="164"/>
        <w:spacing w:line="360" w:lineRule="auto"/>
      </w:pPr>
      <w:r>
        <w:rPr>
          <w:rFonts w:hint="eastAsia"/>
        </w:rPr>
        <w:t>对异常结果应先控制使用范围，再组织分析和复核。</w:t>
      </w:r>
    </w:p>
    <w:p w14:paraId="05B69DCC">
      <w:pPr>
        <w:pStyle w:val="65"/>
        <w:spacing w:before="120" w:after="120" w:line="360" w:lineRule="auto"/>
      </w:pPr>
      <w:r>
        <w:rPr>
          <w:rFonts w:hint="eastAsia"/>
        </w:rPr>
        <w:t>争议处理</w:t>
      </w:r>
    </w:p>
    <w:p w14:paraId="581E79C2">
      <w:pPr>
        <w:pStyle w:val="164"/>
        <w:spacing w:line="360" w:lineRule="auto"/>
      </w:pPr>
      <w:r>
        <w:rPr>
          <w:rFonts w:hint="eastAsia"/>
        </w:rPr>
        <w:t>对受测对象、教师或者管理人员提出的合理异议，应建立受理、核查、复核和反馈机制。</w:t>
      </w:r>
    </w:p>
    <w:p w14:paraId="28A651B6">
      <w:pPr>
        <w:pStyle w:val="164"/>
        <w:spacing w:line="360" w:lineRule="auto"/>
      </w:pPr>
      <w:r>
        <w:rPr>
          <w:rFonts w:hint="eastAsia"/>
        </w:rPr>
        <w:t>争议处理应以事实证据、评分规则、原始记录和复核结论为依据。</w:t>
      </w:r>
    </w:p>
    <w:p w14:paraId="0ED5DACB">
      <w:pPr>
        <w:pStyle w:val="164"/>
        <w:spacing w:line="360" w:lineRule="auto"/>
      </w:pPr>
      <w:r>
        <w:rPr>
          <w:rFonts w:hint="eastAsia"/>
        </w:rPr>
        <w:t>争议处理结果应形成记录，并反馈相关方。</w:t>
      </w:r>
    </w:p>
    <w:p w14:paraId="2BC1624B">
      <w:pPr>
        <w:pStyle w:val="164"/>
        <w:numPr>
          <w:ilvl w:val="0"/>
          <w:numId w:val="0"/>
        </w:numPr>
        <w:spacing w:line="360" w:lineRule="auto"/>
        <w:rPr>
          <w:rFonts w:hint="eastAsia"/>
        </w:rPr>
      </w:pPr>
    </w:p>
    <w:p w14:paraId="1041D1B7">
      <w:pPr>
        <w:pStyle w:val="65"/>
        <w:spacing w:before="120" w:after="120" w:line="360" w:lineRule="auto"/>
      </w:pPr>
      <w:r>
        <w:rPr>
          <w:rFonts w:hint="eastAsia"/>
        </w:rPr>
        <w:t>处置要求</w:t>
      </w:r>
    </w:p>
    <w:p w14:paraId="393EAED2">
      <w:pPr>
        <w:pStyle w:val="164"/>
        <w:spacing w:line="360" w:lineRule="auto"/>
      </w:pPr>
      <w:r>
        <w:rPr>
          <w:rFonts w:hint="eastAsia"/>
        </w:rPr>
        <w:t>异常结果和争议结果经确认存在问题的，应及时纠正。</w:t>
      </w:r>
    </w:p>
    <w:p w14:paraId="180FD6A8">
      <w:pPr>
        <w:pStyle w:val="164"/>
        <w:spacing w:line="360" w:lineRule="auto"/>
      </w:pPr>
      <w:r>
        <w:rPr>
          <w:rFonts w:hint="eastAsia"/>
        </w:rPr>
        <w:t>纠正处理应同步分析问题根因，并纳入质量整改和动态优化范围。</w:t>
      </w:r>
    </w:p>
    <w:p w14:paraId="2B9F581B">
      <w:pPr>
        <w:pStyle w:val="105"/>
        <w:spacing w:before="120" w:after="120" w:line="360" w:lineRule="auto"/>
      </w:pPr>
      <w:r>
        <w:rPr>
          <w:rFonts w:hint="eastAsia"/>
        </w:rPr>
        <w:t>结果发布与应用质量控制</w:t>
      </w:r>
    </w:p>
    <w:p w14:paraId="573F0B02">
      <w:pPr>
        <w:pStyle w:val="65"/>
        <w:spacing w:before="120" w:after="120" w:line="360" w:lineRule="auto"/>
      </w:pPr>
      <w:r>
        <w:rPr>
          <w:rFonts w:hint="eastAsia"/>
        </w:rPr>
        <w:t>一般要求</w:t>
      </w:r>
    </w:p>
    <w:p w14:paraId="25AD0083">
      <w:pPr>
        <w:pStyle w:val="164"/>
        <w:spacing w:line="360" w:lineRule="auto"/>
      </w:pPr>
      <w:r>
        <w:rPr>
          <w:rFonts w:hint="eastAsia"/>
        </w:rPr>
        <w:t>测评结果发布前，应完成必要的核查、复核和确认程序。</w:t>
      </w:r>
    </w:p>
    <w:p w14:paraId="10721CA7">
      <w:pPr>
        <w:pStyle w:val="164"/>
        <w:spacing w:line="360" w:lineRule="auto"/>
      </w:pPr>
      <w:r>
        <w:rPr>
          <w:rFonts w:hint="eastAsia"/>
        </w:rPr>
        <w:t>结果发布应明确发布对象、发布范围、结果类型和解释要求。</w:t>
      </w:r>
    </w:p>
    <w:p w14:paraId="1E986041">
      <w:pPr>
        <w:pStyle w:val="164"/>
        <w:spacing w:line="360" w:lineRule="auto"/>
      </w:pPr>
      <w:r>
        <w:rPr>
          <w:rFonts w:hint="eastAsia"/>
        </w:rPr>
        <w:t>未完成规定复核程序的结果，不得作为正式发布结果。</w:t>
      </w:r>
    </w:p>
    <w:p w14:paraId="6B4CF35A">
      <w:pPr>
        <w:pStyle w:val="65"/>
        <w:spacing w:before="120" w:after="120" w:line="360" w:lineRule="auto"/>
      </w:pPr>
      <w:r>
        <w:rPr>
          <w:rFonts w:hint="eastAsia"/>
        </w:rPr>
        <w:t>发布要求</w:t>
      </w:r>
    </w:p>
    <w:p w14:paraId="3D95257A">
      <w:pPr>
        <w:pStyle w:val="164"/>
        <w:spacing w:line="360" w:lineRule="auto"/>
      </w:pPr>
      <w:r>
        <w:rPr>
          <w:rFonts w:hint="eastAsia"/>
        </w:rPr>
        <w:t>发布结果应与用途相适应。</w:t>
      </w:r>
    </w:p>
    <w:p w14:paraId="22C8B7E1">
      <w:pPr>
        <w:pStyle w:val="164"/>
        <w:spacing w:line="360" w:lineRule="auto"/>
      </w:pPr>
      <w:r>
        <w:rPr>
          <w:rFonts w:hint="eastAsia"/>
        </w:rPr>
        <w:t>面向学习者的结果反馈应突出改进建议、学习支持和合理解释。</w:t>
      </w:r>
    </w:p>
    <w:p w14:paraId="66F9987A">
      <w:pPr>
        <w:pStyle w:val="164"/>
        <w:spacing w:line="360" w:lineRule="auto"/>
      </w:pPr>
      <w:r>
        <w:rPr>
          <w:rFonts w:hint="eastAsia"/>
        </w:rPr>
        <w:t>面向教师和管理者的结果输出应说明结果适用边界、解释限制和复核要求。</w:t>
      </w:r>
    </w:p>
    <w:p w14:paraId="1F983ACA">
      <w:pPr>
        <w:pStyle w:val="164"/>
        <w:spacing w:line="360" w:lineRule="auto"/>
      </w:pPr>
      <w:r>
        <w:rPr>
          <w:rFonts w:hint="eastAsia"/>
        </w:rPr>
        <w:t>对高风险应用结果，应明确“辅助参考”“需复核”或者“正式确认”状态，不得混同发布。</w:t>
      </w:r>
    </w:p>
    <w:p w14:paraId="228ABD3B">
      <w:pPr>
        <w:pStyle w:val="105"/>
        <w:spacing w:before="120" w:after="120" w:line="360" w:lineRule="auto"/>
      </w:pPr>
      <w:r>
        <w:rPr>
          <w:rFonts w:hint="eastAsia"/>
        </w:rPr>
        <w:t>质量评价要求</w:t>
      </w:r>
    </w:p>
    <w:p w14:paraId="51B7EE2E">
      <w:pPr>
        <w:pStyle w:val="65"/>
        <w:spacing w:before="120" w:after="120" w:line="360" w:lineRule="auto"/>
      </w:pPr>
      <w:r>
        <w:rPr>
          <w:rFonts w:hint="eastAsia"/>
        </w:rPr>
        <w:t>一般要求</w:t>
      </w:r>
    </w:p>
    <w:p w14:paraId="666B0DD7">
      <w:pPr>
        <w:pStyle w:val="164"/>
        <w:spacing w:line="360" w:lineRule="auto"/>
      </w:pPr>
      <w:r>
        <w:rPr>
          <w:rFonts w:hint="eastAsia"/>
        </w:rPr>
        <w:t>测评实施单位应定期开展质量评价。</w:t>
      </w:r>
    </w:p>
    <w:p w14:paraId="536E588C">
      <w:pPr>
        <w:pStyle w:val="164"/>
        <w:spacing w:line="360" w:lineRule="auto"/>
      </w:pPr>
      <w:r>
        <w:rPr>
          <w:rFonts w:hint="eastAsia"/>
        </w:rPr>
        <w:t>质量评价应围绕方案质量、数据质量、模型质量、结果质量和应用质量实施。</w:t>
      </w:r>
    </w:p>
    <w:p w14:paraId="1DB572FE">
      <w:pPr>
        <w:pStyle w:val="65"/>
        <w:spacing w:before="120" w:after="120" w:line="360" w:lineRule="auto"/>
      </w:pPr>
      <w:r>
        <w:rPr>
          <w:rFonts w:hint="eastAsia"/>
        </w:rPr>
        <w:t>评价内容</w:t>
      </w:r>
    </w:p>
    <w:p w14:paraId="5FA24896">
      <w:pPr>
        <w:pStyle w:val="164"/>
        <w:spacing w:line="360" w:lineRule="auto"/>
      </w:pPr>
      <w:r>
        <w:rPr>
          <w:rFonts w:hint="eastAsia"/>
        </w:rPr>
        <w:t>质量评价宜包括下列内容：</w:t>
      </w:r>
    </w:p>
    <w:p w14:paraId="0E57331F">
      <w:pPr>
        <w:pStyle w:val="56"/>
        <w:spacing w:line="360" w:lineRule="auto"/>
        <w:ind w:firstLine="420"/>
      </w:pPr>
      <w:r>
        <w:rPr>
          <w:rFonts w:hint="eastAsia"/>
        </w:rPr>
        <w:t>a）测评目标适配性；</w:t>
      </w:r>
    </w:p>
    <w:p w14:paraId="4250DFD0">
      <w:pPr>
        <w:pStyle w:val="56"/>
        <w:spacing w:line="360" w:lineRule="auto"/>
        <w:ind w:firstLine="420"/>
      </w:pPr>
      <w:r>
        <w:rPr>
          <w:rFonts w:hint="eastAsia"/>
        </w:rPr>
        <w:t>b）模态配置合理性；</w:t>
      </w:r>
    </w:p>
    <w:p w14:paraId="33A70734">
      <w:pPr>
        <w:pStyle w:val="56"/>
        <w:spacing w:line="360" w:lineRule="auto"/>
        <w:ind w:firstLine="420"/>
      </w:pPr>
      <w:r>
        <w:rPr>
          <w:rFonts w:hint="eastAsia"/>
        </w:rPr>
        <w:t>c）数据完整性与可用性；</w:t>
      </w:r>
    </w:p>
    <w:p w14:paraId="29CC2B29">
      <w:pPr>
        <w:pStyle w:val="56"/>
        <w:spacing w:line="360" w:lineRule="auto"/>
        <w:ind w:firstLine="420"/>
      </w:pPr>
      <w:r>
        <w:rPr>
          <w:rFonts w:hint="eastAsia"/>
        </w:rPr>
        <w:t>d）模型验证充分性；</w:t>
      </w:r>
    </w:p>
    <w:p w14:paraId="18A0927F">
      <w:pPr>
        <w:pStyle w:val="56"/>
        <w:spacing w:line="360" w:lineRule="auto"/>
        <w:ind w:firstLine="420"/>
      </w:pPr>
      <w:r>
        <w:rPr>
          <w:rFonts w:hint="eastAsia"/>
        </w:rPr>
        <w:t>e）评分一致性与稳定性；</w:t>
      </w:r>
    </w:p>
    <w:p w14:paraId="6320DA5E">
      <w:pPr>
        <w:pStyle w:val="56"/>
        <w:spacing w:line="360" w:lineRule="auto"/>
        <w:ind w:firstLine="420"/>
      </w:pPr>
      <w:r>
        <w:rPr>
          <w:rFonts w:hint="eastAsia"/>
        </w:rPr>
        <w:t>f）人工复核有效性；</w:t>
      </w:r>
    </w:p>
    <w:p w14:paraId="7E6625E1">
      <w:pPr>
        <w:pStyle w:val="56"/>
        <w:spacing w:line="360" w:lineRule="auto"/>
        <w:ind w:firstLine="420"/>
      </w:pPr>
      <w:r>
        <w:rPr>
          <w:rFonts w:hint="eastAsia"/>
        </w:rPr>
        <w:t>g）动态优化有效性；</w:t>
      </w:r>
    </w:p>
    <w:p w14:paraId="2FC831DC">
      <w:pPr>
        <w:pStyle w:val="56"/>
        <w:spacing w:line="360" w:lineRule="auto"/>
        <w:ind w:firstLine="420"/>
      </w:pPr>
      <w:r>
        <w:rPr>
          <w:rFonts w:hint="eastAsia"/>
        </w:rPr>
        <w:t>h）结果解释可接受性；</w:t>
      </w:r>
    </w:p>
    <w:p w14:paraId="2E2D87FC">
      <w:pPr>
        <w:pStyle w:val="56"/>
        <w:spacing w:line="360" w:lineRule="auto"/>
        <w:ind w:firstLine="420"/>
      </w:pPr>
      <w:r>
        <w:rPr>
          <w:rFonts w:hint="eastAsia"/>
        </w:rPr>
        <w:t>i）异常处置及时性；</w:t>
      </w:r>
    </w:p>
    <w:p w14:paraId="58299ECD">
      <w:pPr>
        <w:pStyle w:val="56"/>
        <w:spacing w:line="360" w:lineRule="auto"/>
        <w:ind w:firstLine="420"/>
      </w:pPr>
      <w:r>
        <w:rPr>
          <w:rFonts w:hint="eastAsia"/>
        </w:rPr>
        <w:t>j）应用效果和风险控制效果。</w:t>
      </w:r>
    </w:p>
    <w:p w14:paraId="47FCCEF0">
      <w:pPr>
        <w:pStyle w:val="164"/>
        <w:spacing w:line="360" w:lineRule="auto"/>
      </w:pPr>
      <w:r>
        <w:rPr>
          <w:rFonts w:hint="eastAsia"/>
        </w:rPr>
        <w:t>质量评价结果宜分级表示，并形成评价报告。</w:t>
      </w:r>
    </w:p>
    <w:p w14:paraId="1049B00D">
      <w:pPr>
        <w:pStyle w:val="105"/>
        <w:spacing w:before="120" w:after="120" w:line="360" w:lineRule="auto"/>
      </w:pPr>
      <w:r>
        <w:rPr>
          <w:rFonts w:hint="eastAsia"/>
        </w:rPr>
        <w:t>质量问题整改</w:t>
      </w:r>
    </w:p>
    <w:p w14:paraId="17AB3A79">
      <w:pPr>
        <w:pStyle w:val="65"/>
        <w:spacing w:before="120" w:after="120" w:line="360" w:lineRule="auto"/>
      </w:pPr>
      <w:r>
        <w:rPr>
          <w:rFonts w:hint="eastAsia"/>
        </w:rPr>
        <w:t>一般要求</w:t>
      </w:r>
    </w:p>
    <w:p w14:paraId="5275ADDA">
      <w:pPr>
        <w:pStyle w:val="164"/>
        <w:spacing w:line="360" w:lineRule="auto"/>
      </w:pPr>
      <w:r>
        <w:rPr>
          <w:rFonts w:hint="eastAsia"/>
        </w:rPr>
        <w:t>质量监测、结果复核、争议处理和评价考核中发现的问题，应纳入整改管理。</w:t>
      </w:r>
    </w:p>
    <w:p w14:paraId="6F6A85D1">
      <w:pPr>
        <w:pStyle w:val="164"/>
        <w:spacing w:line="360" w:lineRule="auto"/>
      </w:pPr>
      <w:r>
        <w:rPr>
          <w:rFonts w:hint="eastAsia"/>
        </w:rPr>
        <w:t>质量问题整改应按“发现、登记、分析、整改、复核、销项”的程序闭环管理。</w:t>
      </w:r>
    </w:p>
    <w:p w14:paraId="66BB0B49">
      <w:pPr>
        <w:pStyle w:val="65"/>
        <w:spacing w:before="120" w:after="120" w:line="360" w:lineRule="auto"/>
      </w:pPr>
      <w:r>
        <w:rPr>
          <w:rFonts w:hint="eastAsia"/>
        </w:rPr>
        <w:t>整改要求</w:t>
      </w:r>
    </w:p>
    <w:p w14:paraId="74FF832E">
      <w:pPr>
        <w:pStyle w:val="164"/>
        <w:spacing w:line="360" w:lineRule="auto"/>
      </w:pPr>
      <w:r>
        <w:rPr>
          <w:rFonts w:hint="eastAsia"/>
        </w:rPr>
        <w:t>质量问题整改应明确责任主体、整改措施、完成时限和复核要求。</w:t>
      </w:r>
    </w:p>
    <w:p w14:paraId="1F1899E7">
      <w:pPr>
        <w:pStyle w:val="164"/>
        <w:spacing w:line="360" w:lineRule="auto"/>
      </w:pPr>
      <w:r>
        <w:rPr>
          <w:rFonts w:hint="eastAsia"/>
        </w:rPr>
        <w:t>对重复性问题、系统性问题和高风险问题，应开展专项整改。</w:t>
      </w:r>
    </w:p>
    <w:p w14:paraId="3DDF081C">
      <w:pPr>
        <w:pStyle w:val="164"/>
        <w:spacing w:line="360" w:lineRule="auto"/>
      </w:pPr>
      <w:r>
        <w:rPr>
          <w:rFonts w:hint="eastAsia"/>
        </w:rPr>
        <w:t>未完成整改或者整改未验证有效的，不得将问题视为消除。</w:t>
      </w:r>
    </w:p>
    <w:p w14:paraId="48D44B7C">
      <w:pPr>
        <w:pStyle w:val="105"/>
        <w:spacing w:before="120" w:after="120" w:line="360" w:lineRule="auto"/>
      </w:pPr>
      <w:r>
        <w:rPr>
          <w:rFonts w:hint="eastAsia"/>
        </w:rPr>
        <w:t>持续改进要求</w:t>
      </w:r>
    </w:p>
    <w:p w14:paraId="2E173CBC">
      <w:pPr>
        <w:pStyle w:val="65"/>
        <w:spacing w:before="120" w:after="120" w:line="360" w:lineRule="auto"/>
      </w:pPr>
      <w:r>
        <w:rPr>
          <w:rFonts w:hint="eastAsia"/>
        </w:rPr>
        <w:t>一般要求</w:t>
      </w:r>
    </w:p>
    <w:p w14:paraId="2B647A85">
      <w:pPr>
        <w:pStyle w:val="164"/>
        <w:spacing w:line="360" w:lineRule="auto"/>
      </w:pPr>
      <w:r>
        <w:rPr>
          <w:rFonts w:hint="eastAsia"/>
        </w:rPr>
        <w:t>多模态人工智能教育测评应建立持续改进机制。</w:t>
      </w:r>
    </w:p>
    <w:p w14:paraId="146E5E15">
      <w:pPr>
        <w:pStyle w:val="164"/>
        <w:spacing w:line="360" w:lineRule="auto"/>
      </w:pPr>
      <w:r>
        <w:rPr>
          <w:rFonts w:hint="eastAsia"/>
        </w:rPr>
        <w:t>持续改进应以质量监测结果、复核结果、应用反馈、争议处理结果和阶段评估结果为依据。</w:t>
      </w:r>
    </w:p>
    <w:p w14:paraId="7640F07F">
      <w:pPr>
        <w:pStyle w:val="164"/>
        <w:spacing w:line="360" w:lineRule="auto"/>
      </w:pPr>
      <w:r>
        <w:rPr>
          <w:rFonts w:hint="eastAsia"/>
        </w:rPr>
        <w:t>持续改进应兼顾教育目标、应用效率和风险控制要求。</w:t>
      </w:r>
    </w:p>
    <w:p w14:paraId="11DF8A5B">
      <w:pPr>
        <w:pStyle w:val="65"/>
        <w:spacing w:before="120" w:after="120" w:line="360" w:lineRule="auto"/>
      </w:pPr>
      <w:r>
        <w:rPr>
          <w:rFonts w:hint="eastAsia"/>
        </w:rPr>
        <w:t>改进内容</w:t>
      </w:r>
    </w:p>
    <w:p w14:paraId="672BEB4A">
      <w:pPr>
        <w:pStyle w:val="164"/>
        <w:spacing w:line="360" w:lineRule="auto"/>
      </w:pPr>
      <w:r>
        <w:rPr>
          <w:rFonts w:hint="eastAsia"/>
        </w:rPr>
        <w:t>持续改进宜包括下列内容：</w:t>
      </w:r>
    </w:p>
    <w:p w14:paraId="232C8841">
      <w:pPr>
        <w:pStyle w:val="56"/>
        <w:spacing w:line="360" w:lineRule="auto"/>
        <w:ind w:firstLine="420"/>
      </w:pPr>
      <w:r>
        <w:rPr>
          <w:rFonts w:hint="eastAsia"/>
        </w:rPr>
        <w:t>a）优化测评目标与任务设计；</w:t>
      </w:r>
    </w:p>
    <w:p w14:paraId="7E73E41A">
      <w:pPr>
        <w:pStyle w:val="56"/>
        <w:spacing w:line="360" w:lineRule="auto"/>
        <w:ind w:firstLine="420"/>
      </w:pPr>
      <w:r>
        <w:rPr>
          <w:rFonts w:hint="eastAsia"/>
        </w:rPr>
        <w:t>b）优化模态配置和采集方案；</w:t>
      </w:r>
    </w:p>
    <w:p w14:paraId="3F02A604">
      <w:pPr>
        <w:pStyle w:val="56"/>
        <w:spacing w:line="360" w:lineRule="auto"/>
        <w:ind w:firstLine="420"/>
      </w:pPr>
      <w:r>
        <w:rPr>
          <w:rFonts w:hint="eastAsia"/>
        </w:rPr>
        <w:t>c）完善数据治理规则；</w:t>
      </w:r>
    </w:p>
    <w:p w14:paraId="63A7C8EF">
      <w:pPr>
        <w:pStyle w:val="56"/>
        <w:spacing w:line="360" w:lineRule="auto"/>
        <w:ind w:firstLine="420"/>
      </w:pPr>
      <w:r>
        <w:rPr>
          <w:rFonts w:hint="eastAsia"/>
        </w:rPr>
        <w:t>d）提升模型验证和复核机制；</w:t>
      </w:r>
    </w:p>
    <w:p w14:paraId="36D45EBA">
      <w:pPr>
        <w:pStyle w:val="56"/>
        <w:spacing w:line="360" w:lineRule="auto"/>
        <w:ind w:firstLine="420"/>
      </w:pPr>
      <w:r>
        <w:rPr>
          <w:rFonts w:hint="eastAsia"/>
        </w:rPr>
        <w:t>e）完善动态优化机制；</w:t>
      </w:r>
    </w:p>
    <w:p w14:paraId="0C42E09D">
      <w:pPr>
        <w:pStyle w:val="56"/>
        <w:spacing w:line="360" w:lineRule="auto"/>
        <w:ind w:firstLine="420"/>
      </w:pPr>
      <w:r>
        <w:rPr>
          <w:rFonts w:hint="eastAsia"/>
        </w:rPr>
        <w:t>f）改进反馈内容和结果解释方式；</w:t>
      </w:r>
    </w:p>
    <w:p w14:paraId="7CAF8EBE">
      <w:pPr>
        <w:pStyle w:val="56"/>
        <w:spacing w:line="360" w:lineRule="auto"/>
        <w:ind w:firstLine="420"/>
      </w:pPr>
      <w:r>
        <w:rPr>
          <w:rFonts w:hint="eastAsia"/>
        </w:rPr>
        <w:t>g）提升质量监测与抽检能力；</w:t>
      </w:r>
    </w:p>
    <w:p w14:paraId="452D0A18">
      <w:pPr>
        <w:pStyle w:val="56"/>
        <w:spacing w:line="360" w:lineRule="auto"/>
        <w:ind w:firstLine="420"/>
      </w:pPr>
      <w:r>
        <w:rPr>
          <w:rFonts w:hint="eastAsia"/>
        </w:rPr>
        <w:t>h）完善争议处理和问责机制。</w:t>
      </w:r>
    </w:p>
    <w:p w14:paraId="6534413C">
      <w:pPr>
        <w:pStyle w:val="164"/>
        <w:spacing w:line="360" w:lineRule="auto"/>
      </w:pPr>
      <w:r>
        <w:rPr>
          <w:rFonts w:hint="eastAsia"/>
        </w:rPr>
        <w:t>对成熟有效的做法，应及时固化为制度、模板、规则或者技术配置。</w:t>
      </w:r>
    </w:p>
    <w:p w14:paraId="3C667BD5">
      <w:pPr>
        <w:pStyle w:val="105"/>
        <w:spacing w:before="120" w:after="120" w:line="360" w:lineRule="auto"/>
      </w:pPr>
      <w:r>
        <w:rPr>
          <w:rFonts w:hint="eastAsia"/>
        </w:rPr>
        <w:t>质量管控与持续改进要点</w:t>
      </w:r>
    </w:p>
    <w:p w14:paraId="77417804">
      <w:pPr>
        <w:pStyle w:val="56"/>
        <w:spacing w:line="360" w:lineRule="auto"/>
        <w:ind w:firstLine="420"/>
      </w:pPr>
      <w:r>
        <w:rPr>
          <w:rFonts w:hint="eastAsia"/>
        </w:rPr>
        <w:t>质量管控、结果复核与持续改进的主要控制内容见表5。表5给出了质量管控、结果复核与持续改进的主要控制内容和控制要点。</w:t>
      </w:r>
    </w:p>
    <w:p w14:paraId="22F5F213">
      <w:pPr>
        <w:pStyle w:val="112"/>
        <w:spacing w:before="120" w:after="120" w:line="360" w:lineRule="auto"/>
      </w:pPr>
      <w:r>
        <w:rPr>
          <w:rFonts w:hint="eastAsia"/>
        </w:rPr>
        <w:t>质量管控、结果复核与持续改进要点表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3260"/>
        <w:gridCol w:w="3957"/>
      </w:tblGrid>
      <w:tr w14:paraId="110DE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0F1992C6">
            <w:pPr>
              <w:pStyle w:val="178"/>
            </w:pPr>
            <w:r>
              <w:rPr>
                <w:rFonts w:hint="eastAsia"/>
              </w:rPr>
              <w:t>管理环节</w:t>
            </w:r>
          </w:p>
        </w:tc>
        <w:tc>
          <w:tcPr>
            <w:tcW w:w="3260" w:type="dxa"/>
            <w:tcBorders>
              <w:top w:val="single" w:color="auto" w:sz="8" w:space="0"/>
              <w:bottom w:val="single" w:color="auto" w:sz="8" w:space="0"/>
            </w:tcBorders>
          </w:tcPr>
          <w:p w14:paraId="63207AF0">
            <w:pPr>
              <w:pStyle w:val="178"/>
            </w:pPr>
            <w:r>
              <w:rPr>
                <w:rFonts w:hint="eastAsia"/>
              </w:rPr>
              <w:t>主要问题</w:t>
            </w:r>
          </w:p>
        </w:tc>
        <w:tc>
          <w:tcPr>
            <w:tcW w:w="3957" w:type="dxa"/>
            <w:tcBorders>
              <w:top w:val="single" w:color="auto" w:sz="8" w:space="0"/>
              <w:bottom w:val="single" w:color="auto" w:sz="8" w:space="0"/>
            </w:tcBorders>
          </w:tcPr>
          <w:p w14:paraId="70192E30">
            <w:pPr>
              <w:pStyle w:val="178"/>
            </w:pPr>
            <w:r>
              <w:rPr>
                <w:rFonts w:hint="eastAsia"/>
              </w:rPr>
              <w:t>控制要点</w:t>
            </w:r>
          </w:p>
        </w:tc>
      </w:tr>
      <w:tr w14:paraId="56EDC7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5CA1DA27">
            <w:pPr>
              <w:pStyle w:val="178"/>
            </w:pPr>
            <w:r>
              <w:rPr>
                <w:rFonts w:hint="eastAsia"/>
              </w:rPr>
              <w:t>质量监测</w:t>
            </w:r>
          </w:p>
        </w:tc>
        <w:tc>
          <w:tcPr>
            <w:tcW w:w="3260" w:type="dxa"/>
            <w:tcBorders>
              <w:top w:val="single" w:color="auto" w:sz="8" w:space="0"/>
            </w:tcBorders>
          </w:tcPr>
          <w:p w14:paraId="483AF0D2">
            <w:pPr>
              <w:pStyle w:val="178"/>
            </w:pPr>
            <w:r>
              <w:rPr>
                <w:rFonts w:hint="eastAsia"/>
              </w:rPr>
              <w:t>只上线不监测</w:t>
            </w:r>
          </w:p>
        </w:tc>
        <w:tc>
          <w:tcPr>
            <w:tcW w:w="3957" w:type="dxa"/>
            <w:tcBorders>
              <w:top w:val="single" w:color="auto" w:sz="8" w:space="0"/>
            </w:tcBorders>
          </w:tcPr>
          <w:p w14:paraId="18357C49">
            <w:pPr>
              <w:pStyle w:val="178"/>
            </w:pPr>
            <w:r>
              <w:rPr>
                <w:rFonts w:hint="eastAsia"/>
              </w:rPr>
              <w:t>建立全过程监测和预警机制</w:t>
            </w:r>
          </w:p>
        </w:tc>
      </w:tr>
    </w:tbl>
    <w:p w14:paraId="70EE76A9">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表5  质量管控、结果复核与持续改进要点表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3260"/>
        <w:gridCol w:w="3957"/>
      </w:tblGrid>
      <w:tr w14:paraId="229325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117" w:type="dxa"/>
            <w:tcBorders>
              <w:top w:val="single" w:color="auto" w:sz="8" w:space="0"/>
              <w:bottom w:val="single" w:color="auto" w:sz="8" w:space="0"/>
            </w:tcBorders>
          </w:tcPr>
          <w:p w14:paraId="074B19EC">
            <w:pPr>
              <w:pStyle w:val="178"/>
            </w:pPr>
            <w:r>
              <w:rPr>
                <w:rFonts w:hint="eastAsia"/>
              </w:rPr>
              <w:t>管理环节</w:t>
            </w:r>
          </w:p>
        </w:tc>
        <w:tc>
          <w:tcPr>
            <w:tcW w:w="3260" w:type="dxa"/>
            <w:tcBorders>
              <w:top w:val="single" w:color="auto" w:sz="8" w:space="0"/>
              <w:bottom w:val="single" w:color="auto" w:sz="8" w:space="0"/>
            </w:tcBorders>
          </w:tcPr>
          <w:p w14:paraId="672E3532">
            <w:pPr>
              <w:pStyle w:val="178"/>
            </w:pPr>
            <w:r>
              <w:rPr>
                <w:rFonts w:hint="eastAsia"/>
              </w:rPr>
              <w:t>主要问题</w:t>
            </w:r>
          </w:p>
        </w:tc>
        <w:tc>
          <w:tcPr>
            <w:tcW w:w="3957" w:type="dxa"/>
            <w:tcBorders>
              <w:top w:val="single" w:color="auto" w:sz="8" w:space="0"/>
              <w:bottom w:val="single" w:color="auto" w:sz="8" w:space="0"/>
            </w:tcBorders>
          </w:tcPr>
          <w:p w14:paraId="72BB9D6C">
            <w:pPr>
              <w:pStyle w:val="178"/>
            </w:pPr>
            <w:r>
              <w:rPr>
                <w:rFonts w:hint="eastAsia"/>
              </w:rPr>
              <w:t>控制要点</w:t>
            </w:r>
          </w:p>
        </w:tc>
      </w:tr>
      <w:tr w14:paraId="28420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7DD66232">
            <w:pPr>
              <w:pStyle w:val="178"/>
            </w:pPr>
            <w:r>
              <w:rPr>
                <w:rFonts w:hint="eastAsia"/>
              </w:rPr>
              <w:t>结果复核</w:t>
            </w:r>
          </w:p>
        </w:tc>
        <w:tc>
          <w:tcPr>
            <w:tcW w:w="3260" w:type="dxa"/>
          </w:tcPr>
          <w:p w14:paraId="2482032A">
            <w:pPr>
              <w:pStyle w:val="178"/>
            </w:pPr>
            <w:r>
              <w:rPr>
                <w:rFonts w:hint="eastAsia"/>
              </w:rPr>
              <w:t>边界结果无人复核</w:t>
            </w:r>
          </w:p>
        </w:tc>
        <w:tc>
          <w:tcPr>
            <w:tcW w:w="3957" w:type="dxa"/>
          </w:tcPr>
          <w:p w14:paraId="2AC0246C">
            <w:pPr>
              <w:pStyle w:val="178"/>
            </w:pPr>
            <w:r>
              <w:rPr>
                <w:rFonts w:hint="eastAsia"/>
              </w:rPr>
              <w:t>明确复核对象、比例和流程</w:t>
            </w:r>
          </w:p>
        </w:tc>
      </w:tr>
      <w:tr w14:paraId="71395D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07DE7C0F">
            <w:pPr>
              <w:pStyle w:val="178"/>
            </w:pPr>
            <w:r>
              <w:rPr>
                <w:rFonts w:hint="eastAsia"/>
              </w:rPr>
              <w:t>异常处理</w:t>
            </w:r>
          </w:p>
        </w:tc>
        <w:tc>
          <w:tcPr>
            <w:tcW w:w="3260" w:type="dxa"/>
          </w:tcPr>
          <w:p w14:paraId="7D49F003">
            <w:pPr>
              <w:pStyle w:val="178"/>
            </w:pPr>
            <w:r>
              <w:rPr>
                <w:rFonts w:hint="eastAsia"/>
              </w:rPr>
              <w:t>异常结果直接使用</w:t>
            </w:r>
          </w:p>
        </w:tc>
        <w:tc>
          <w:tcPr>
            <w:tcW w:w="3957" w:type="dxa"/>
          </w:tcPr>
          <w:p w14:paraId="18899582">
            <w:pPr>
              <w:pStyle w:val="178"/>
            </w:pPr>
            <w:r>
              <w:rPr>
                <w:rFonts w:hint="eastAsia"/>
              </w:rPr>
              <w:t>先控制使用，再分析复核</w:t>
            </w:r>
          </w:p>
        </w:tc>
      </w:tr>
      <w:tr w14:paraId="0A5AC9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0CFE5C0">
            <w:pPr>
              <w:pStyle w:val="178"/>
            </w:pPr>
            <w:r>
              <w:rPr>
                <w:rFonts w:hint="eastAsia"/>
              </w:rPr>
              <w:t>争议处理</w:t>
            </w:r>
          </w:p>
        </w:tc>
        <w:tc>
          <w:tcPr>
            <w:tcW w:w="3260" w:type="dxa"/>
          </w:tcPr>
          <w:p w14:paraId="02ADC8CD">
            <w:pPr>
              <w:pStyle w:val="178"/>
            </w:pPr>
            <w:r>
              <w:rPr>
                <w:rFonts w:hint="eastAsia"/>
              </w:rPr>
              <w:t>有异议无机制</w:t>
            </w:r>
          </w:p>
        </w:tc>
        <w:tc>
          <w:tcPr>
            <w:tcW w:w="3957" w:type="dxa"/>
          </w:tcPr>
          <w:p w14:paraId="5FFD0FFA">
            <w:pPr>
              <w:pStyle w:val="178"/>
            </w:pPr>
            <w:r>
              <w:rPr>
                <w:rFonts w:hint="eastAsia"/>
              </w:rPr>
              <w:t>建立受理、核查、反馈闭环</w:t>
            </w:r>
          </w:p>
        </w:tc>
      </w:tr>
      <w:tr w14:paraId="4ED035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7FCC877">
            <w:pPr>
              <w:pStyle w:val="178"/>
            </w:pPr>
            <w:r>
              <w:rPr>
                <w:rFonts w:hint="eastAsia"/>
              </w:rPr>
              <w:t>结果发布</w:t>
            </w:r>
          </w:p>
        </w:tc>
        <w:tc>
          <w:tcPr>
            <w:tcW w:w="3260" w:type="dxa"/>
          </w:tcPr>
          <w:p w14:paraId="17A354E6">
            <w:pPr>
              <w:pStyle w:val="178"/>
            </w:pPr>
            <w:r>
              <w:rPr>
                <w:rFonts w:hint="eastAsia"/>
              </w:rPr>
              <w:t>未复核先发布</w:t>
            </w:r>
          </w:p>
        </w:tc>
        <w:tc>
          <w:tcPr>
            <w:tcW w:w="3957" w:type="dxa"/>
          </w:tcPr>
          <w:p w14:paraId="6FFCC2F5">
            <w:pPr>
              <w:pStyle w:val="178"/>
            </w:pPr>
            <w:r>
              <w:rPr>
                <w:rFonts w:hint="eastAsia"/>
              </w:rPr>
              <w:t>先核查再发布，明确结果状态</w:t>
            </w:r>
          </w:p>
        </w:tc>
      </w:tr>
      <w:tr w14:paraId="548564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2494E913">
            <w:pPr>
              <w:pStyle w:val="178"/>
            </w:pPr>
            <w:r>
              <w:rPr>
                <w:rFonts w:hint="eastAsia"/>
              </w:rPr>
              <w:t>质量评价</w:t>
            </w:r>
          </w:p>
        </w:tc>
        <w:tc>
          <w:tcPr>
            <w:tcW w:w="3260" w:type="dxa"/>
          </w:tcPr>
          <w:p w14:paraId="7FBE3CB0">
            <w:pPr>
              <w:pStyle w:val="178"/>
            </w:pPr>
            <w:r>
              <w:rPr>
                <w:rFonts w:hint="eastAsia"/>
              </w:rPr>
              <w:t>只看技术指标</w:t>
            </w:r>
          </w:p>
        </w:tc>
        <w:tc>
          <w:tcPr>
            <w:tcW w:w="3957" w:type="dxa"/>
          </w:tcPr>
          <w:p w14:paraId="402B3462">
            <w:pPr>
              <w:pStyle w:val="178"/>
            </w:pPr>
            <w:r>
              <w:rPr>
                <w:rFonts w:hint="eastAsia"/>
              </w:rPr>
              <w:t>综合评价目标适配、稳定性和应用效果</w:t>
            </w:r>
          </w:p>
        </w:tc>
      </w:tr>
      <w:tr w14:paraId="40C7D9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1C7128FC">
            <w:pPr>
              <w:pStyle w:val="178"/>
            </w:pPr>
            <w:r>
              <w:rPr>
                <w:rFonts w:hint="eastAsia"/>
              </w:rPr>
              <w:t>问题整改</w:t>
            </w:r>
          </w:p>
        </w:tc>
        <w:tc>
          <w:tcPr>
            <w:tcW w:w="3260" w:type="dxa"/>
          </w:tcPr>
          <w:p w14:paraId="3C3E1880">
            <w:pPr>
              <w:pStyle w:val="178"/>
            </w:pPr>
            <w:r>
              <w:rPr>
                <w:rFonts w:hint="eastAsia"/>
              </w:rPr>
              <w:t>问题发现后不闭环</w:t>
            </w:r>
          </w:p>
        </w:tc>
        <w:tc>
          <w:tcPr>
            <w:tcW w:w="3957" w:type="dxa"/>
          </w:tcPr>
          <w:p w14:paraId="353EAEE2">
            <w:pPr>
              <w:pStyle w:val="178"/>
            </w:pPr>
            <w:r>
              <w:rPr>
                <w:rFonts w:hint="eastAsia"/>
              </w:rPr>
              <w:t>明确责任、时限和销项要求</w:t>
            </w:r>
          </w:p>
        </w:tc>
      </w:tr>
      <w:tr w14:paraId="2AC304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DEC6BA8">
            <w:pPr>
              <w:pStyle w:val="178"/>
            </w:pPr>
            <w:r>
              <w:rPr>
                <w:rFonts w:hint="eastAsia"/>
              </w:rPr>
              <w:t>持续改进</w:t>
            </w:r>
          </w:p>
        </w:tc>
        <w:tc>
          <w:tcPr>
            <w:tcW w:w="3260" w:type="dxa"/>
          </w:tcPr>
          <w:p w14:paraId="01EAF60F">
            <w:pPr>
              <w:pStyle w:val="178"/>
            </w:pPr>
            <w:r>
              <w:rPr>
                <w:rFonts w:hint="eastAsia"/>
              </w:rPr>
              <w:t>改进无依据</w:t>
            </w:r>
          </w:p>
        </w:tc>
        <w:tc>
          <w:tcPr>
            <w:tcW w:w="3957" w:type="dxa"/>
          </w:tcPr>
          <w:p w14:paraId="2DEE51C0">
            <w:pPr>
              <w:pStyle w:val="178"/>
            </w:pPr>
            <w:r>
              <w:rPr>
                <w:rFonts w:hint="eastAsia"/>
              </w:rPr>
              <w:t>基于监测、复核和反馈持续优化</w:t>
            </w:r>
          </w:p>
        </w:tc>
      </w:tr>
    </w:tbl>
    <w:p w14:paraId="734791B9">
      <w:pPr>
        <w:pStyle w:val="105"/>
        <w:spacing w:before="120" w:after="120" w:line="360" w:lineRule="auto"/>
      </w:pPr>
      <w:r>
        <w:rPr>
          <w:rFonts w:hint="eastAsia"/>
        </w:rPr>
        <w:t>禁止性要求</w:t>
      </w:r>
    </w:p>
    <w:p w14:paraId="0D3F7473">
      <w:pPr>
        <w:pStyle w:val="165"/>
        <w:spacing w:line="360" w:lineRule="auto"/>
      </w:pPr>
      <w:r>
        <w:rPr>
          <w:rFonts w:hint="eastAsia"/>
        </w:rPr>
        <w:t>不得将未经复核的异常结果直接用于正式认定。</w:t>
      </w:r>
    </w:p>
    <w:p w14:paraId="31201F36">
      <w:pPr>
        <w:pStyle w:val="165"/>
        <w:spacing w:line="360" w:lineRule="auto"/>
      </w:pPr>
      <w:r>
        <w:rPr>
          <w:rFonts w:hint="eastAsia"/>
        </w:rPr>
        <w:t>不得对反复出现的质量问题仅作局部修补而不进行系统整改。</w:t>
      </w:r>
    </w:p>
    <w:p w14:paraId="7428C5E0">
      <w:pPr>
        <w:pStyle w:val="165"/>
        <w:spacing w:line="360" w:lineRule="auto"/>
      </w:pPr>
      <w:r>
        <w:rPr>
          <w:rFonts w:hint="eastAsia"/>
        </w:rPr>
        <w:t>不得隐瞒测评争议、复核差异和质量异常情况。</w:t>
      </w:r>
    </w:p>
    <w:p w14:paraId="2CD67BCA">
      <w:pPr>
        <w:pStyle w:val="165"/>
        <w:spacing w:line="360" w:lineRule="auto"/>
      </w:pPr>
      <w:r>
        <w:rPr>
          <w:rFonts w:hint="eastAsia"/>
        </w:rPr>
        <w:t>不得在未完成质量核查和风险评估的情况下扩大应用范围。</w:t>
      </w:r>
    </w:p>
    <w:p w14:paraId="0E77716B">
      <w:pPr>
        <w:pStyle w:val="165"/>
      </w:pPr>
      <w:r>
        <w:rPr>
          <w:rFonts w:hint="eastAsia"/>
        </w:rPr>
        <w:t>9.11.5 不得以追求效率为由省略必要的复核、抽检和整改程序。</w:t>
      </w:r>
    </w:p>
    <w:bookmarkEnd w:id="26"/>
    <w:p w14:paraId="6036DBD4">
      <w:pPr>
        <w:pStyle w:val="56"/>
        <w:ind w:firstLine="0" w:firstLineChars="0"/>
        <w:jc w:val="center"/>
      </w:pPr>
      <w:bookmarkStart w:id="57" w:name="BookMark8"/>
      <w:r>
        <w:rPr>
          <w:rFonts w:hint="eastAsia"/>
        </w:rPr>
        <w:drawing>
          <wp:inline distT="0" distB="0" distL="0" distR="0">
            <wp:extent cx="1485900" cy="317500"/>
            <wp:effectExtent l="0" t="0" r="0" b="6350"/>
            <wp:docPr id="1424531709" name="图片 3"/>
            <wp:cNvGraphicFramePr/>
            <a:graphic xmlns:a="http://schemas.openxmlformats.org/drawingml/2006/main">
              <a:graphicData uri="http://schemas.openxmlformats.org/drawingml/2006/picture">
                <pic:pic xmlns:pic="http://schemas.openxmlformats.org/drawingml/2006/picture">
                  <pic:nvPicPr>
                    <pic:cNvPr id="1424531709"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FC6D9">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A7FEE">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0258—2026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0258—2026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0258—2026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D102D">
    <w:pPr>
      <w:pStyle w:val="61"/>
      <w:rPr>
        <w:rFonts w:hint="eastAsia"/>
      </w:rPr>
    </w:pPr>
    <w:r>
      <w:fldChar w:fldCharType="begin"/>
    </w:r>
    <w:r>
      <w:instrText xml:space="preserve"> STYLEREF  标准文件_文件编号  \* MERGEFORMAT </w:instrText>
    </w:r>
    <w:r>
      <w:fldChar w:fldCharType="separate"/>
    </w:r>
    <w:r>
      <w:t>T/XZBX 0258—2026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4531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0258—2026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0258—2026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0258—2026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0258—2026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A15"/>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04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78A"/>
    <w:rsid w:val="0021231F"/>
    <w:rsid w:val="002142EA"/>
    <w:rsid w:val="00215ADD"/>
    <w:rsid w:val="002204BB"/>
    <w:rsid w:val="00221B79"/>
    <w:rsid w:val="00221C6B"/>
    <w:rsid w:val="002253A1"/>
    <w:rsid w:val="00225CF8"/>
    <w:rsid w:val="0022794E"/>
    <w:rsid w:val="00233D64"/>
    <w:rsid w:val="0023482A"/>
    <w:rsid w:val="002359CB"/>
    <w:rsid w:val="0024295A"/>
    <w:rsid w:val="00243540"/>
    <w:rsid w:val="00243C05"/>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1E2"/>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0D29"/>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CF7"/>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2034"/>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6F3"/>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79F5"/>
    <w:rsid w:val="009F03B3"/>
    <w:rsid w:val="009F306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28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7EE"/>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72C"/>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AC"/>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352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0B490F09">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74141778">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9EA516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1231F"/>
    <w:rsid w:val="002E6AD9"/>
    <w:rsid w:val="003646F4"/>
    <w:rsid w:val="003F62CE"/>
    <w:rsid w:val="00483A41"/>
    <w:rsid w:val="004A5072"/>
    <w:rsid w:val="004A6324"/>
    <w:rsid w:val="005B18DA"/>
    <w:rsid w:val="005E4B5C"/>
    <w:rsid w:val="006141C6"/>
    <w:rsid w:val="00652769"/>
    <w:rsid w:val="00731D98"/>
    <w:rsid w:val="00796662"/>
    <w:rsid w:val="00832034"/>
    <w:rsid w:val="008C0337"/>
    <w:rsid w:val="008E6778"/>
    <w:rsid w:val="009E79F5"/>
    <w:rsid w:val="00AA2819"/>
    <w:rsid w:val="00AE100B"/>
    <w:rsid w:val="00AE1DC6"/>
    <w:rsid w:val="00E76885"/>
    <w:rsid w:val="00ED2043"/>
    <w:rsid w:val="00FD07AC"/>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39</Pages>
  <Words>7491</Words>
  <Characters>7820</Characters>
  <Lines>155</Lines>
  <Paragraphs>43</Paragraphs>
  <TotalTime>158</TotalTime>
  <ScaleCrop>false</ScaleCrop>
  <LinksUpToDate>false</LinksUpToDate>
  <CharactersWithSpaces>7917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2026-05-19T06:07:50Z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EA7EBBD3CB8C4C41AFA5E773F7BA56D8_12</vt:lpwstr>
  </property>
</Properties>
</file>