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990461">
      <w:pPr>
        <w:widowControl/>
        <w:spacing w:line="360" w:lineRule="auto"/>
        <w:ind w:firstLine="420" w:firstLineChars="200"/>
        <w:rPr>
          <w:rFonts w:ascii="Times New Roman" w:hAnsi="Times New Roman" w:eastAsia="宋体" w:cs="Times New Roman"/>
          <w:szCs w:val="32"/>
        </w:rPr>
      </w:pPr>
    </w:p>
    <w:p w14:paraId="0049DF06">
      <w:pPr>
        <w:widowControl/>
        <w:spacing w:line="360" w:lineRule="auto"/>
        <w:ind w:firstLine="420" w:firstLineChars="200"/>
        <w:rPr>
          <w:rFonts w:ascii="Times New Roman" w:hAnsi="Times New Roman" w:eastAsia="宋体" w:cs="Times New Roman"/>
          <w:szCs w:val="32"/>
        </w:rPr>
      </w:pPr>
    </w:p>
    <w:p w14:paraId="2CFD9E3B">
      <w:pPr>
        <w:widowControl/>
        <w:spacing w:line="360" w:lineRule="auto"/>
        <w:jc w:val="center"/>
        <w:rPr>
          <w:rFonts w:ascii="Times New Roman" w:hAnsi="Times New Roman" w:eastAsia="方正黑体_GBK" w:cs="Times New Roman"/>
          <w:sz w:val="44"/>
          <w:szCs w:val="44"/>
        </w:rPr>
      </w:pPr>
      <w:r>
        <w:rPr>
          <w:rFonts w:hint="eastAsia" w:ascii="Times New Roman" w:hAnsi="Times New Roman" w:eastAsia="方正黑体_GBK" w:cs="Times New Roman"/>
          <w:sz w:val="44"/>
          <w:szCs w:val="44"/>
        </w:rPr>
        <w:t>《</w:t>
      </w:r>
      <w:r>
        <w:rPr>
          <w:rFonts w:ascii="Times New Roman" w:hAnsi="Times New Roman" w:eastAsia="黑体" w:cs="Times New Roman"/>
          <w:sz w:val="52"/>
          <w:szCs w:val="52"/>
        </w:rPr>
        <w:t>酿酒发酵液制备污（废）水处理用液体生物质碳源</w:t>
      </w:r>
      <w:r>
        <w:rPr>
          <w:rFonts w:hint="eastAsia" w:ascii="Times New Roman" w:hAnsi="Times New Roman" w:eastAsia="方正黑体_GBK" w:cs="Times New Roman"/>
          <w:sz w:val="44"/>
          <w:szCs w:val="44"/>
        </w:rPr>
        <w:t>》</w:t>
      </w:r>
    </w:p>
    <w:p w14:paraId="18AC07FE">
      <w:pPr>
        <w:widowControl/>
        <w:jc w:val="center"/>
        <w:rPr>
          <w:rFonts w:ascii="Times New Roman" w:hAnsi="Times New Roman" w:eastAsia="方正楷体_GBK" w:cs="Times New Roman"/>
          <w:sz w:val="44"/>
          <w:szCs w:val="44"/>
        </w:rPr>
      </w:pPr>
      <w:r>
        <w:rPr>
          <w:rFonts w:hint="eastAsia" w:ascii="Times New Roman" w:hAnsi="Times New Roman" w:eastAsia="方正楷体_GBK" w:cs="Times New Roman"/>
          <w:sz w:val="44"/>
          <w:szCs w:val="44"/>
        </w:rPr>
        <w:t>（编制说明）</w:t>
      </w:r>
    </w:p>
    <w:p w14:paraId="1ABB52DF">
      <w:pPr>
        <w:widowControl/>
        <w:spacing w:line="360" w:lineRule="auto"/>
        <w:jc w:val="center"/>
        <w:rPr>
          <w:rFonts w:ascii="Times New Roman" w:hAnsi="Times New Roman" w:eastAsia="黑体" w:cs="Times New Roman"/>
          <w:sz w:val="32"/>
          <w:szCs w:val="32"/>
        </w:rPr>
      </w:pPr>
    </w:p>
    <w:p w14:paraId="1F670650">
      <w:pPr>
        <w:widowControl/>
        <w:spacing w:line="360" w:lineRule="auto"/>
        <w:jc w:val="center"/>
        <w:rPr>
          <w:rFonts w:ascii="Times New Roman" w:hAnsi="Times New Roman" w:eastAsia="黑体" w:cs="Times New Roman"/>
          <w:sz w:val="32"/>
          <w:szCs w:val="32"/>
        </w:rPr>
      </w:pPr>
    </w:p>
    <w:p w14:paraId="4E69E19C">
      <w:pPr>
        <w:widowControl/>
        <w:spacing w:line="360" w:lineRule="auto"/>
        <w:jc w:val="center"/>
        <w:rPr>
          <w:rFonts w:ascii="Times New Roman" w:hAnsi="Times New Roman" w:eastAsia="黑体" w:cs="Times New Roman"/>
          <w:sz w:val="32"/>
          <w:szCs w:val="32"/>
        </w:rPr>
      </w:pPr>
    </w:p>
    <w:p w14:paraId="4F010080">
      <w:pPr>
        <w:widowControl/>
        <w:spacing w:line="360" w:lineRule="auto"/>
        <w:jc w:val="center"/>
        <w:rPr>
          <w:rFonts w:ascii="Times New Roman" w:hAnsi="Times New Roman" w:eastAsia="黑体" w:cs="Times New Roman"/>
          <w:sz w:val="32"/>
          <w:szCs w:val="32"/>
        </w:rPr>
      </w:pPr>
    </w:p>
    <w:p w14:paraId="747D1EBD">
      <w:pPr>
        <w:widowControl/>
        <w:spacing w:line="360" w:lineRule="auto"/>
        <w:jc w:val="center"/>
        <w:rPr>
          <w:rFonts w:ascii="Times New Roman" w:hAnsi="Times New Roman" w:eastAsia="黑体" w:cs="Times New Roman"/>
          <w:sz w:val="32"/>
          <w:szCs w:val="32"/>
        </w:rPr>
      </w:pPr>
    </w:p>
    <w:p w14:paraId="7F113C9B">
      <w:pPr>
        <w:widowControl/>
        <w:spacing w:line="360" w:lineRule="auto"/>
        <w:jc w:val="center"/>
        <w:rPr>
          <w:rFonts w:ascii="Times New Roman" w:hAnsi="Times New Roman" w:eastAsia="黑体" w:cs="Times New Roman"/>
          <w:sz w:val="32"/>
          <w:szCs w:val="32"/>
        </w:rPr>
      </w:pPr>
    </w:p>
    <w:p w14:paraId="534F0191">
      <w:pPr>
        <w:widowControl/>
        <w:spacing w:line="360" w:lineRule="auto"/>
        <w:jc w:val="center"/>
        <w:rPr>
          <w:rFonts w:ascii="Times New Roman" w:hAnsi="Times New Roman" w:eastAsia="黑体" w:cs="Times New Roman"/>
          <w:sz w:val="32"/>
          <w:szCs w:val="32"/>
        </w:rPr>
      </w:pPr>
    </w:p>
    <w:p w14:paraId="18FBE9E0">
      <w:pPr>
        <w:widowControl/>
        <w:spacing w:line="360" w:lineRule="auto"/>
        <w:jc w:val="center"/>
        <w:rPr>
          <w:rFonts w:ascii="Times New Roman" w:hAnsi="Times New Roman" w:eastAsia="黑体" w:cs="Times New Roman"/>
          <w:sz w:val="32"/>
          <w:szCs w:val="32"/>
        </w:rPr>
      </w:pPr>
    </w:p>
    <w:p w14:paraId="1347F3D2">
      <w:pPr>
        <w:widowControl/>
        <w:spacing w:line="360" w:lineRule="auto"/>
        <w:jc w:val="center"/>
        <w:rPr>
          <w:rFonts w:ascii="Times New Roman" w:hAnsi="Times New Roman" w:eastAsia="黑体" w:cs="Times New Roman"/>
          <w:sz w:val="32"/>
          <w:szCs w:val="32"/>
        </w:rPr>
      </w:pPr>
    </w:p>
    <w:p w14:paraId="4A6170AB">
      <w:pPr>
        <w:widowControl/>
        <w:spacing w:line="360" w:lineRule="auto"/>
        <w:jc w:val="center"/>
        <w:rPr>
          <w:rFonts w:ascii="Times New Roman" w:hAnsi="Times New Roman" w:eastAsia="黑体" w:cs="Times New Roman"/>
          <w:sz w:val="32"/>
          <w:szCs w:val="32"/>
        </w:rPr>
      </w:pPr>
    </w:p>
    <w:p w14:paraId="172C1E80">
      <w:pPr>
        <w:widowControl/>
        <w:spacing w:line="360" w:lineRule="auto"/>
        <w:jc w:val="center"/>
        <w:rPr>
          <w:rFonts w:ascii="Times New Roman" w:hAnsi="Times New Roman" w:eastAsia="黑体" w:cs="Times New Roman"/>
          <w:sz w:val="32"/>
          <w:szCs w:val="32"/>
        </w:rPr>
      </w:pPr>
    </w:p>
    <w:p w14:paraId="129AC7D4">
      <w:pPr>
        <w:widowControl/>
        <w:spacing w:line="360" w:lineRule="auto"/>
        <w:jc w:val="center"/>
        <w:rPr>
          <w:rFonts w:ascii="Times New Roman" w:hAnsi="Times New Roman" w:eastAsia="黑体" w:cs="Times New Roman"/>
          <w:sz w:val="32"/>
          <w:szCs w:val="32"/>
        </w:rPr>
      </w:pPr>
    </w:p>
    <w:p w14:paraId="56F0D3C0">
      <w:pPr>
        <w:widowControl/>
        <w:spacing w:line="360" w:lineRule="auto"/>
        <w:jc w:val="center"/>
        <w:rPr>
          <w:rFonts w:ascii="Times New Roman" w:hAnsi="Times New Roman" w:eastAsia="黑体" w:cs="Times New Roman"/>
          <w:sz w:val="28"/>
          <w:szCs w:val="28"/>
        </w:rPr>
      </w:pPr>
      <w:r>
        <w:rPr>
          <w:rFonts w:hint="eastAsia" w:ascii="Times New Roman" w:hAnsi="Times New Roman" w:eastAsia="黑体" w:cs="Times New Roman"/>
          <w:sz w:val="28"/>
          <w:szCs w:val="28"/>
        </w:rPr>
        <w:t>《酿酒发酵液制备污（废）水处理用液体生物质碳源》标准编制组</w:t>
      </w:r>
    </w:p>
    <w:p w14:paraId="6FF84E61">
      <w:pPr>
        <w:widowControl/>
        <w:spacing w:line="360" w:lineRule="auto"/>
        <w:jc w:val="center"/>
        <w:rPr>
          <w:rFonts w:ascii="Times New Roman" w:hAnsi="Times New Roman" w:eastAsia="黑体" w:cs="Times New Roman"/>
          <w:sz w:val="32"/>
          <w:szCs w:val="32"/>
        </w:rPr>
      </w:pPr>
      <w:r>
        <w:rPr>
          <w:rFonts w:hint="eastAsia" w:ascii="Times New Roman" w:hAnsi="Times New Roman" w:eastAsia="黑体" w:cs="Times New Roman"/>
          <w:sz w:val="32"/>
          <w:szCs w:val="32"/>
        </w:rPr>
        <w:t>2026年5月</w:t>
      </w:r>
    </w:p>
    <w:p w14:paraId="23E3D314">
      <w:pPr>
        <w:widowControl/>
        <w:spacing w:line="360" w:lineRule="auto"/>
        <w:jc w:val="center"/>
        <w:rPr>
          <w:rFonts w:ascii="Times New Roman" w:hAnsi="Times New Roman" w:eastAsia="黑体" w:cs="Times New Roman"/>
          <w:sz w:val="32"/>
          <w:szCs w:val="32"/>
        </w:rPr>
      </w:pPr>
    </w:p>
    <w:sdt>
      <w:sdtPr>
        <w:rPr>
          <w:rFonts w:ascii="宋体" w:hAnsi="宋体" w:eastAsia="宋体"/>
        </w:rPr>
        <w:id w:val="147465093"/>
        <w15:color w:val="DBDBDB"/>
        <w:docPartObj>
          <w:docPartGallery w:val="Table of Contents"/>
          <w:docPartUnique/>
        </w:docPartObj>
      </w:sdtPr>
      <w:sdtEndPr>
        <w:rPr>
          <w:rFonts w:hint="eastAsia" w:ascii="Times New Roman" w:hAnsi="Times New Roman" w:eastAsia="黑体" w:cs="Times New Roman"/>
          <w:szCs w:val="32"/>
        </w:rPr>
      </w:sdtEndPr>
      <w:sdtContent>
        <w:p w14:paraId="76257935">
          <w:pPr>
            <w:jc w:val="center"/>
            <w:rPr>
              <w:rFonts w:hint="eastAsia" w:ascii="宋体" w:hAnsi="宋体" w:eastAsia="宋体"/>
            </w:rPr>
          </w:pPr>
        </w:p>
        <w:p w14:paraId="16A7E962">
          <w:pPr>
            <w:jc w:val="center"/>
            <w:rPr>
              <w:sz w:val="24"/>
              <w:szCs w:val="24"/>
            </w:rPr>
          </w:pPr>
          <w:r>
            <w:rPr>
              <w:rFonts w:ascii="宋体" w:hAnsi="宋体" w:eastAsia="宋体"/>
              <w:sz w:val="24"/>
              <w:szCs w:val="24"/>
            </w:rPr>
            <w:t>目录</w:t>
          </w:r>
        </w:p>
        <w:p w14:paraId="42B10348">
          <w:pPr>
            <w:pStyle w:val="16"/>
            <w:tabs>
              <w:tab w:val="right" w:leader="dot" w:pos="8845"/>
            </w:tabs>
            <w:spacing w:line="360" w:lineRule="auto"/>
            <w:rPr>
              <w:rFonts w:ascii="Times New Roman" w:hAnsi="Times New Roman" w:eastAsia="宋体" w:cs="Times New Roman"/>
              <w:sz w:val="24"/>
              <w:szCs w:val="24"/>
            </w:rPr>
          </w:pP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TOC \o "1-1" \h \u </w:instrText>
          </w:r>
          <w:r>
            <w:rPr>
              <w:rFonts w:ascii="Times New Roman" w:hAnsi="Times New Roman" w:eastAsia="宋体" w:cs="Times New Roman"/>
              <w:sz w:val="24"/>
              <w:szCs w:val="24"/>
            </w:rPr>
            <w:fldChar w:fldCharType="separate"/>
          </w:r>
          <w:r>
            <w:fldChar w:fldCharType="begin"/>
          </w:r>
          <w:r>
            <w:instrText xml:space="preserve"> HYPERLINK \l "_Toc31218" </w:instrText>
          </w:r>
          <w:r>
            <w:fldChar w:fldCharType="separate"/>
          </w:r>
          <w:r>
            <w:rPr>
              <w:rFonts w:ascii="Times New Roman" w:hAnsi="Times New Roman" w:eastAsia="宋体" w:cs="Times New Roman"/>
              <w:sz w:val="24"/>
              <w:szCs w:val="24"/>
            </w:rPr>
            <w:t>一、概述</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_Toc31218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1</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1BD7C138">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"_Toc12561" </w:instrText>
          </w:r>
          <w:r>
            <w:fldChar w:fldCharType="separate"/>
          </w:r>
          <w:r>
            <w:rPr>
              <w:rFonts w:ascii="Times New Roman" w:hAnsi="Times New Roman" w:eastAsia="宋体" w:cs="Times New Roman"/>
              <w:sz w:val="24"/>
              <w:szCs w:val="24"/>
            </w:rPr>
            <w:t>二、编制组简况</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_Toc12561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2</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3F1C2F93">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"_Toc8753" </w:instrText>
          </w:r>
          <w:r>
            <w:fldChar w:fldCharType="separate"/>
          </w:r>
          <w:r>
            <w:rPr>
              <w:rFonts w:ascii="Times New Roman" w:hAnsi="Times New Roman" w:eastAsia="宋体" w:cs="Times New Roman"/>
              <w:sz w:val="24"/>
              <w:szCs w:val="24"/>
            </w:rPr>
            <w:t>三、标准编制原则及依据</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_Toc8753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4</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3759F704">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"_Toc26950" </w:instrText>
          </w:r>
          <w:r>
            <w:fldChar w:fldCharType="separate"/>
          </w:r>
          <w:r>
            <w:rPr>
              <w:rFonts w:ascii="Times New Roman" w:hAnsi="Times New Roman" w:eastAsia="宋体" w:cs="Times New Roman"/>
              <w:sz w:val="24"/>
              <w:szCs w:val="24"/>
            </w:rPr>
            <w:t>四、标准的适用范围</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_Toc26950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7</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11661B6A">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"_Toc27355" </w:instrText>
          </w:r>
          <w:r>
            <w:fldChar w:fldCharType="separate"/>
          </w:r>
          <w:r>
            <w:rPr>
              <w:rFonts w:ascii="Times New Roman" w:hAnsi="Times New Roman" w:eastAsia="宋体" w:cs="Times New Roman"/>
              <w:sz w:val="24"/>
              <w:szCs w:val="24"/>
            </w:rPr>
            <w:t>五、国内外现状</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_Toc27355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7</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15366583">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"_Toc12045" </w:instrText>
          </w:r>
          <w:r>
            <w:fldChar w:fldCharType="separate"/>
          </w:r>
          <w:r>
            <w:rPr>
              <w:rFonts w:ascii="Times New Roman" w:hAnsi="Times New Roman" w:eastAsia="宋体" w:cs="Times New Roman"/>
              <w:sz w:val="24"/>
              <w:szCs w:val="24"/>
            </w:rPr>
            <w:t>六、贯彻CQSES标准的要求和措施</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_Toc12045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8</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62E10850">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"_Toc24401" </w:instrText>
          </w:r>
          <w:r>
            <w:fldChar w:fldCharType="separate"/>
          </w:r>
          <w:r>
            <w:rPr>
              <w:rFonts w:ascii="Times New Roman" w:hAnsi="Times New Roman" w:eastAsia="宋体" w:cs="Times New Roman"/>
              <w:sz w:val="24"/>
              <w:szCs w:val="24"/>
            </w:rPr>
            <w:t>七、与现行有关法律法规、强制性标准和其他有关标准的关系</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_Toc24401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8</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6E08C7F7">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"_Toc4330" </w:instrText>
          </w:r>
          <w:r>
            <w:fldChar w:fldCharType="separate"/>
          </w:r>
          <w:r>
            <w:rPr>
              <w:rFonts w:ascii="Times New Roman" w:hAnsi="Times New Roman" w:eastAsia="宋体" w:cs="Times New Roman"/>
              <w:sz w:val="24"/>
              <w:szCs w:val="24"/>
            </w:rPr>
            <w:t>八、重大分歧意见的处理经过和依据</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_Toc4330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8</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61EC45F1">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"_Toc18979" </w:instrText>
          </w:r>
          <w:r>
            <w:fldChar w:fldCharType="separate"/>
          </w:r>
          <w:r>
            <w:rPr>
              <w:rFonts w:ascii="Times New Roman" w:hAnsi="Times New Roman" w:eastAsia="宋体" w:cs="Times New Roman"/>
              <w:sz w:val="24"/>
              <w:szCs w:val="24"/>
            </w:rPr>
            <w:t>九、标准实施的环境效益和经济技术分析以及相关建议</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_Toc18979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9</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40440817">
          <w:pPr>
            <w:pStyle w:val="16"/>
            <w:tabs>
              <w:tab w:val="right" w:leader="dot" w:pos="8845"/>
            </w:tabs>
            <w:spacing w:line="360" w:lineRule="auto"/>
            <w:rPr>
              <w:rFonts w:ascii="Times New Roman" w:hAnsi="Times New Roman" w:eastAsia="宋体" w:cs="Times New Roman"/>
              <w:sz w:val="24"/>
              <w:szCs w:val="24"/>
            </w:rPr>
          </w:pPr>
          <w:r>
            <w:fldChar w:fldCharType="begin"/>
          </w:r>
          <w:r>
            <w:instrText xml:space="preserve"> HYPERLINK \l "_Toc13530" </w:instrText>
          </w:r>
          <w:r>
            <w:fldChar w:fldCharType="separate"/>
          </w:r>
          <w:r>
            <w:rPr>
              <w:rFonts w:ascii="Times New Roman" w:hAnsi="Times New Roman" w:eastAsia="宋体" w:cs="Times New Roman"/>
              <w:sz w:val="24"/>
              <w:szCs w:val="24"/>
            </w:rPr>
            <w:t>十、其他应予说明的事项</w:t>
          </w:r>
          <w:r>
            <w:rPr>
              <w:rFonts w:ascii="Times New Roman" w:hAnsi="Times New Roman" w:eastAsia="宋体" w:cs="Times New Roman"/>
              <w:sz w:val="24"/>
              <w:szCs w:val="24"/>
            </w:rPr>
            <w:tab/>
          </w:r>
          <w:r>
            <w:rPr>
              <w:rFonts w:ascii="Times New Roman" w:hAnsi="Times New Roman" w:eastAsia="宋体" w:cs="Times New Roman"/>
              <w:sz w:val="24"/>
              <w:szCs w:val="24"/>
            </w:rPr>
            <w:fldChar w:fldCharType="begin"/>
          </w:r>
          <w:r>
            <w:rPr>
              <w:rFonts w:ascii="Times New Roman" w:hAnsi="Times New Roman" w:eastAsia="宋体" w:cs="Times New Roman"/>
              <w:sz w:val="24"/>
              <w:szCs w:val="24"/>
            </w:rPr>
            <w:instrText xml:space="preserve"> PAGEREF _Toc13530 \h </w:instrText>
          </w:r>
          <w:r>
            <w:rPr>
              <w:rFonts w:ascii="Times New Roman" w:hAnsi="Times New Roman" w:eastAsia="宋体" w:cs="Times New Roman"/>
              <w:sz w:val="24"/>
              <w:szCs w:val="24"/>
            </w:rPr>
            <w:fldChar w:fldCharType="separate"/>
          </w:r>
          <w:r>
            <w:rPr>
              <w:rFonts w:ascii="Times New Roman" w:hAnsi="Times New Roman" w:eastAsia="宋体" w:cs="Times New Roman"/>
              <w:sz w:val="24"/>
              <w:szCs w:val="24"/>
            </w:rPr>
            <w:t>9</w:t>
          </w:r>
          <w:r>
            <w:rPr>
              <w:rFonts w:ascii="Times New Roman" w:hAnsi="Times New Roman" w:eastAsia="宋体" w:cs="Times New Roman"/>
              <w:sz w:val="24"/>
              <w:szCs w:val="24"/>
            </w:rPr>
            <w:fldChar w:fldCharType="end"/>
          </w:r>
          <w:r>
            <w:rPr>
              <w:rFonts w:ascii="Times New Roman" w:hAnsi="Times New Roman" w:eastAsia="宋体" w:cs="Times New Roman"/>
              <w:sz w:val="24"/>
              <w:szCs w:val="24"/>
            </w:rPr>
            <w:fldChar w:fldCharType="end"/>
          </w:r>
        </w:p>
        <w:p w14:paraId="0CF73685">
          <w:pPr>
            <w:widowControl/>
            <w:spacing w:line="360" w:lineRule="auto"/>
            <w:jc w:val="center"/>
            <w:rPr>
              <w:rFonts w:ascii="Times New Roman" w:hAnsi="Times New Roman" w:eastAsia="黑体" w:cs="Times New Roman"/>
              <w:szCs w:val="32"/>
            </w:rPr>
          </w:pPr>
          <w:r>
            <w:rPr>
              <w:rFonts w:ascii="Times New Roman" w:hAnsi="Times New Roman" w:eastAsia="宋体" w:cs="Times New Roman"/>
              <w:sz w:val="24"/>
              <w:szCs w:val="24"/>
            </w:rPr>
            <w:fldChar w:fldCharType="end"/>
          </w:r>
        </w:p>
      </w:sdtContent>
    </w:sdt>
    <w:p w14:paraId="02F34FD5">
      <w:pPr>
        <w:widowControl/>
        <w:spacing w:line="360" w:lineRule="auto"/>
        <w:jc w:val="center"/>
        <w:rPr>
          <w:rFonts w:ascii="Times New Roman" w:hAnsi="Times New Roman" w:eastAsia="黑体" w:cs="Times New Roman"/>
          <w:szCs w:val="32"/>
        </w:rPr>
        <w:sectPr>
          <w:headerReference r:id="rId4" w:type="first"/>
          <w:footerReference r:id="rId6" w:type="first"/>
          <w:headerReference r:id="rId3" w:type="even"/>
          <w:footerReference r:id="rId5" w:type="even"/>
          <w:pgSz w:w="11906" w:h="16838"/>
          <w:pgMar w:top="2098" w:right="1474" w:bottom="1984" w:left="1587" w:header="851" w:footer="992" w:gutter="0"/>
          <w:cols w:space="720" w:num="1"/>
          <w:docGrid w:type="lines" w:linePitch="312" w:charSpace="0"/>
        </w:sectPr>
      </w:pPr>
    </w:p>
    <w:p w14:paraId="4B4A44BE">
      <w:pPr>
        <w:numPr>
          <w:ilvl w:val="255"/>
          <w:numId w:val="0"/>
        </w:numPr>
        <w:spacing w:before="240" w:after="240" w:line="360" w:lineRule="auto"/>
        <w:jc w:val="left"/>
        <w:outlineLvl w:val="0"/>
        <w:rPr>
          <w:rFonts w:ascii="Times New Roman" w:hAnsi="Times New Roman" w:eastAsia="黑体" w:cs="Times New Roman"/>
        </w:rPr>
      </w:pPr>
      <w:bookmarkStart w:id="0" w:name="_Toc18960"/>
      <w:bookmarkStart w:id="1" w:name="_Toc31218"/>
      <w:r>
        <w:rPr>
          <w:rFonts w:ascii="Times New Roman" w:hAnsi="Times New Roman" w:eastAsia="黑体" w:cs="Times New Roman"/>
        </w:rPr>
        <w:t>一、概述</w:t>
      </w:r>
      <w:bookmarkEnd w:id="0"/>
      <w:bookmarkEnd w:id="1"/>
    </w:p>
    <w:p w14:paraId="7B3C06DD">
      <w:pPr>
        <w:spacing w:before="240" w:after="240" w:line="360" w:lineRule="auto"/>
        <w:outlineLvl w:val="1"/>
        <w:rPr>
          <w:rFonts w:ascii="Times New Roman" w:hAnsi="Times New Roman" w:eastAsia="黑体" w:cs="Times New Roman"/>
        </w:rPr>
      </w:pPr>
      <w:r>
        <w:rPr>
          <w:rFonts w:ascii="Times New Roman" w:hAnsi="Times New Roman" w:eastAsia="黑体" w:cs="Times New Roman"/>
        </w:rPr>
        <w:t>1.1 项目背景</w:t>
      </w:r>
    </w:p>
    <w:p w14:paraId="48E034F6">
      <w:pPr>
        <w:spacing w:line="360" w:lineRule="auto"/>
        <w:ind w:firstLine="420" w:firstLineChars="200"/>
        <w:rPr>
          <w:rFonts w:ascii="Times New Roman" w:hAnsi="Times New Roman" w:cs="Times New Roman"/>
        </w:rPr>
      </w:pPr>
      <w:r>
        <w:rPr>
          <w:rFonts w:ascii="Times New Roman" w:hAnsi="Times New Roman" w:cs="Times New Roman"/>
        </w:rPr>
        <w:t>酿酒发酵液制备生物质碳源作为酿酒发酵液废弃物新兴资源化路径，当前行业存在技术参数不统一、产品质量波动大、安全管控缺失、使用单位担心水质达不了标等问题。通过制定该标准，明确产品技术与质量要求、检测方法等，可以为碳源使用单位提供能全量替代传统碳源的产品指标评判依据。推动酿酒发酵液制备生物质碳源进入标准化、规范化的发展轨道。</w:t>
      </w:r>
    </w:p>
    <w:p w14:paraId="5C5C91C4">
      <w:pPr>
        <w:spacing w:line="360" w:lineRule="auto"/>
        <w:ind w:firstLine="420" w:firstLineChars="200"/>
        <w:rPr>
          <w:rFonts w:ascii="Times New Roman" w:hAnsi="Times New Roman" w:cs="Times New Roman"/>
        </w:rPr>
      </w:pPr>
      <w:r>
        <w:rPr>
          <w:rFonts w:ascii="Times New Roman" w:hAnsi="Times New Roman" w:cs="Times New Roman"/>
        </w:rPr>
        <w:t>1.制生物质碳源背景</w:t>
      </w:r>
    </w:p>
    <w:p w14:paraId="6650E238">
      <w:pPr>
        <w:spacing w:line="360" w:lineRule="auto"/>
        <w:ind w:firstLine="420" w:firstLineChars="200"/>
        <w:rPr>
          <w:rFonts w:ascii="Times New Roman" w:hAnsi="Times New Roman" w:cs="Times New Roman"/>
        </w:rPr>
      </w:pPr>
      <w:r>
        <w:rPr>
          <w:rFonts w:ascii="Times New Roman" w:hAnsi="Times New Roman" w:cs="Times New Roman"/>
        </w:rPr>
        <w:t>采用生化法的污水处理厂其工艺一般都具有去除COD、BOD、氨氮、总氮、正磷酸盐、SS等污染物的能力，但须营养比例均衡才能在生化反应段具有良好的同步去除效果。一般污水进水中碳氮比普遍偏低，故而常需要投加外来碳源。未经处理的酿酒发酵液中虽含丰富的碳素物质，但也含有污水处理厂难以去除的难降解慢降解COD、高含量的氮、磷等污染物，过高的SS也对污水厂产泥有显性影响，故利用酿酒发酵液制备生物质碳源应把这些带来的副作用的物质通过特定的处理单元尽可能消除、削减或转化。酿酒发酵液制备生物质碳源产品，必须具有全量替代传统碳源的能力，以避免非全量或部分替代</w:t>
      </w:r>
      <w:r>
        <w:rPr>
          <w:rFonts w:ascii="Times New Roman" w:hAnsi="Times New Roman" w:cs="Times New Roman"/>
          <w:color w:val="000000" w:themeColor="text1"/>
          <w14:textFill>
            <w14:solidFill>
              <w14:schemeClr w14:val="tx1"/>
            </w14:solidFill>
          </w14:textFill>
        </w:rPr>
        <w:t>导致产品出路受阻；若制备的生物质碳源产品须使用单位配备2套碳源投加系统，会给使用单位造成不便，亦存在水质超标风险，因此产品宜通过使用单位</w:t>
      </w:r>
      <w:r>
        <w:rPr>
          <w:rFonts w:hint="eastAsia" w:ascii="Times New Roman" w:hAnsi="Times New Roman" w:cs="Times New Roman"/>
          <w:color w:val="000000" w:themeColor="text1"/>
          <w14:textFill>
            <w14:solidFill>
              <w14:schemeClr w14:val="tx1"/>
            </w14:solidFill>
          </w14:textFill>
        </w:rPr>
        <w:t>本身</w:t>
      </w:r>
      <w:r>
        <w:rPr>
          <w:rFonts w:ascii="Times New Roman" w:hAnsi="Times New Roman" w:cs="Times New Roman"/>
          <w:color w:val="000000" w:themeColor="text1"/>
          <w14:textFill>
            <w14:solidFill>
              <w14:schemeClr w14:val="tx1"/>
            </w14:solidFill>
          </w14:textFill>
        </w:rPr>
        <w:t>已具备的碳源投加系统进行投加。</w:t>
      </w:r>
    </w:p>
    <w:p w14:paraId="48036C43">
      <w:pPr>
        <w:pStyle w:val="28"/>
        <w:widowControl w:val="0"/>
        <w:spacing w:line="360" w:lineRule="auto"/>
        <w:rPr>
          <w:rFonts w:ascii="Times New Roman"/>
        </w:rPr>
      </w:pPr>
      <w:r>
        <w:rPr>
          <w:rFonts w:ascii="Times New Roman"/>
        </w:rPr>
        <w:t>2.制生物质碳源思路</w:t>
      </w:r>
    </w:p>
    <w:p w14:paraId="465D3216">
      <w:pPr>
        <w:pStyle w:val="28"/>
        <w:widowControl w:val="0"/>
        <w:spacing w:line="360" w:lineRule="auto"/>
        <w:rPr>
          <w:rFonts w:ascii="Times New Roman"/>
        </w:rPr>
      </w:pPr>
      <w:r>
        <w:rPr>
          <w:rFonts w:ascii="Times New Roman"/>
        </w:rPr>
        <w:t>酿酒发酵液中含有丰富的有机物及少量的胶体、砂粒、金属等不可降解物，不可降解物不具备碳源资源化利用价值，故酿酒发酵液制备碳源产品，应分离去除不可降解物；酿酒发酵液中的淀粉、蛋白质等难降解慢降解的大分子有机物可通过微生物降解与转化利用，不进行发酵处理会影响酿酒发酵液中有机物的利用率，其降解与转化产物具备资源化价值，工艺技术、停留时间与菌种等因素均会影响降解与转化率。从经济性与实用性角度出发，木质素、纤维素、塑料等难降解有机物的降解与转化速率慢、不经济。氮、磷、悬浮物等物质若不能充分转化或去除，会增加污水处理过程污染物负荷，也会增加污水处理厂二次产物再处理的负担。</w:t>
      </w:r>
    </w:p>
    <w:p w14:paraId="0057577A">
      <w:pPr>
        <w:pStyle w:val="28"/>
        <w:widowControl w:val="0"/>
        <w:spacing w:line="360" w:lineRule="auto"/>
        <w:rPr>
          <w:rFonts w:ascii="Times New Roman"/>
        </w:rPr>
      </w:pPr>
      <w:r>
        <w:rPr>
          <w:rFonts w:ascii="Times New Roman"/>
        </w:rPr>
        <w:t>3.制生物质碳源工艺</w:t>
      </w:r>
    </w:p>
    <w:p w14:paraId="31C3A2DC">
      <w:pPr>
        <w:spacing w:line="360" w:lineRule="auto"/>
        <w:ind w:firstLine="420" w:firstLineChars="200"/>
        <w:rPr>
          <w:rFonts w:ascii="Times New Roman" w:hAnsi="Times New Roman" w:cs="Times New Roman"/>
        </w:rPr>
      </w:pPr>
      <w:r>
        <w:rPr>
          <w:rFonts w:ascii="Times New Roman" w:hAnsi="Times New Roman" w:cs="Times New Roman"/>
        </w:rPr>
        <w:t>利用酿酒发酵液制备碳源工艺须提高碳源的资源属性，如C/N、B/C等，亦要把酿酒发酵液带来的副作用尽可能消除、削减或转化，保证使用单位的水质稳定达标、电耗、产泥率无显性影响，达到与传统碳源使用的同等功能。</w:t>
      </w:r>
    </w:p>
    <w:p w14:paraId="394BACF6">
      <w:pPr>
        <w:pStyle w:val="28"/>
        <w:widowControl w:val="0"/>
        <w:spacing w:line="360" w:lineRule="auto"/>
        <w:rPr>
          <w:rFonts w:ascii="Times New Roman"/>
        </w:rPr>
      </w:pPr>
      <w:r>
        <w:rPr>
          <w:rFonts w:ascii="Times New Roman"/>
        </w:rPr>
        <w:t>4.制生物质碳源意义</w:t>
      </w:r>
    </w:p>
    <w:p w14:paraId="273735D5">
      <w:pPr>
        <w:pStyle w:val="28"/>
        <w:widowControl w:val="0"/>
        <w:spacing w:line="360" w:lineRule="auto"/>
        <w:rPr>
          <w:rFonts w:ascii="Times New Roman"/>
        </w:rPr>
      </w:pPr>
      <w:r>
        <w:rPr>
          <w:rFonts w:ascii="Times New Roman"/>
        </w:rPr>
        <w:t>本标准制备的生物质碳源具有经济性与实用性，能确保产品具体指标达到规定限值，不仅把不具备碳源资源化价值的物质去除，还能把其难降解慢降解的生物大分子类物质通过发酵技术、氮磷去除技术转化为污水厂能利用的碳源，同步酿酒发酵液的经济价值与资源属性，酿酒发酵液制备生物质碳源的创新性在于循环协同、低碳性与经济性，让酿酒发酵与污水处理具备可持续协调发展的基础。</w:t>
      </w:r>
    </w:p>
    <w:p w14:paraId="0C18E567">
      <w:pPr>
        <w:spacing w:before="240" w:after="240" w:line="360" w:lineRule="auto"/>
        <w:outlineLvl w:val="1"/>
        <w:rPr>
          <w:rFonts w:ascii="Times New Roman" w:hAnsi="Times New Roman" w:eastAsia="黑体" w:cs="Times New Roman"/>
        </w:rPr>
      </w:pPr>
      <w:r>
        <w:rPr>
          <w:rFonts w:ascii="Times New Roman" w:hAnsi="Times New Roman" w:eastAsia="黑体" w:cs="Times New Roman"/>
        </w:rPr>
        <w:t>1.2 标准编制意义</w:t>
      </w:r>
    </w:p>
    <w:p w14:paraId="32255CA9">
      <w:pPr>
        <w:pStyle w:val="28"/>
        <w:widowControl w:val="0"/>
        <w:spacing w:line="360" w:lineRule="auto"/>
        <w:rPr>
          <w:rFonts w:ascii="Times New Roman"/>
        </w:rPr>
      </w:pPr>
      <w:r>
        <w:rPr>
          <w:rFonts w:ascii="Times New Roman"/>
        </w:rPr>
        <w:t>1.标准编制为规范酿酒发酵液制备的生物质碳源产品要求提供了明确指导</w:t>
      </w:r>
    </w:p>
    <w:p w14:paraId="5E609ABB">
      <w:pPr>
        <w:pStyle w:val="28"/>
        <w:widowControl w:val="0"/>
        <w:spacing w:line="360" w:lineRule="auto"/>
        <w:rPr>
          <w:rFonts w:ascii="Times New Roman"/>
        </w:rPr>
      </w:pPr>
      <w:r>
        <w:rPr>
          <w:rFonts w:ascii="Times New Roman"/>
        </w:rPr>
        <w:t>标准的制定对于规范酿酒发酵液制备生物质碳源产品至关重要。酿酒发酵液制备生物质碳源能有效降低污水处理厂的运营成本。由于酿酒原料与工艺不同，酿酒发酵液品质差异特别大，尽管酿酒发酵液可以直接用于污水处理使用，未经加工处理的酿酒发酵液仅能起到替代部分碳源的作用，无法达到全量替代的要求。产品使用单位需要配备2套碳源投加系统，给使用单位带来了不便，亦存在水质超标的风险。制定能全量替代传统碳源的酿酒发酵液生物质碳源产品标准能为碳源使用单位提供指标评判依据。</w:t>
      </w:r>
    </w:p>
    <w:p w14:paraId="3B1CE1E2">
      <w:pPr>
        <w:pStyle w:val="28"/>
        <w:widowControl w:val="0"/>
        <w:spacing w:line="360" w:lineRule="auto"/>
        <w:rPr>
          <w:rFonts w:ascii="Times New Roman"/>
        </w:rPr>
      </w:pPr>
      <w:r>
        <w:rPr>
          <w:rFonts w:ascii="Times New Roman"/>
        </w:rPr>
        <w:t>2.标准编制是为酿酒发酵液制备生物质碳源的全量替代使用提供重要依据</w:t>
      </w:r>
    </w:p>
    <w:p w14:paraId="5E126ECC">
      <w:pPr>
        <w:pStyle w:val="28"/>
        <w:widowControl w:val="0"/>
        <w:spacing w:line="360" w:lineRule="auto"/>
        <w:rPr>
          <w:rFonts w:ascii="Times New Roman"/>
        </w:rPr>
      </w:pPr>
      <w:r>
        <w:rPr>
          <w:rFonts w:ascii="Times New Roman"/>
        </w:rPr>
        <w:t>现有的传统碳源标准，实际可操作性不强，无法量化指导酿酒发酵液制备的生物质碳源的使用。按现有的传统碳源标准还需要去除总氮、总磷等污染物，造成成本上升，全链条碳排放高。标准的制定为酿酒发酵液制备的生物质碳源产品替代传统化石碳源使用提供可实操、可量化的重要依据。</w:t>
      </w:r>
    </w:p>
    <w:p w14:paraId="04315DD5">
      <w:pPr>
        <w:numPr>
          <w:ilvl w:val="255"/>
          <w:numId w:val="0"/>
        </w:numPr>
        <w:spacing w:before="240" w:after="240" w:line="360" w:lineRule="auto"/>
        <w:jc w:val="left"/>
        <w:outlineLvl w:val="0"/>
        <w:rPr>
          <w:rFonts w:ascii="Times New Roman" w:hAnsi="Times New Roman" w:eastAsia="黑体" w:cs="Times New Roman"/>
        </w:rPr>
      </w:pPr>
      <w:bookmarkStart w:id="2" w:name="_Toc12561"/>
      <w:bookmarkStart w:id="3" w:name="_Toc2938"/>
      <w:r>
        <w:rPr>
          <w:rFonts w:ascii="Times New Roman" w:hAnsi="Times New Roman" w:eastAsia="黑体" w:cs="Times New Roman"/>
        </w:rPr>
        <w:t>二、编制组简况</w:t>
      </w:r>
      <w:bookmarkEnd w:id="2"/>
      <w:bookmarkEnd w:id="3"/>
    </w:p>
    <w:p w14:paraId="74E9600F">
      <w:pPr>
        <w:spacing w:before="240" w:after="240" w:line="360" w:lineRule="auto"/>
        <w:outlineLvl w:val="1"/>
        <w:rPr>
          <w:rFonts w:ascii="Times New Roman" w:hAnsi="Times New Roman" w:eastAsia="黑体" w:cs="Times New Roman"/>
        </w:rPr>
      </w:pPr>
      <w:r>
        <w:rPr>
          <w:rFonts w:ascii="Times New Roman" w:hAnsi="Times New Roman" w:eastAsia="黑体" w:cs="Times New Roman"/>
        </w:rPr>
        <w:t xml:space="preserve">2.1 </w:t>
      </w:r>
      <w:r>
        <w:rPr>
          <w:rFonts w:ascii="Times New Roman" w:hAnsi="Times New Roman" w:eastAsia="宋体" w:cs="Times New Roman"/>
          <w:b/>
          <w:bCs/>
          <w:kern w:val="0"/>
          <w:szCs w:val="20"/>
        </w:rPr>
        <w:t>标准主要起草单位和起草人员工作任务分工</w:t>
      </w:r>
    </w:p>
    <w:p w14:paraId="38171BAE">
      <w:pPr>
        <w:spacing w:line="360" w:lineRule="auto"/>
        <w:ind w:firstLine="420" w:firstLineChars="200"/>
        <w:rPr>
          <w:rFonts w:ascii="Times New Roman" w:hAnsi="Times New Roman" w:cs="Times New Roman"/>
          <w:sz w:val="28"/>
          <w:szCs w:val="28"/>
        </w:rPr>
      </w:pPr>
      <w:r>
        <w:rPr>
          <w:rFonts w:ascii="Times New Roman" w:hAnsi="Times New Roman" w:cs="Times New Roman"/>
        </w:rPr>
        <w:t>本标准起草单位：</w:t>
      </w:r>
      <w:r>
        <w:rPr>
          <w:rFonts w:ascii="Times New Roman" w:hAnsi="Times New Roman" w:cs="Times New Roman"/>
          <w:kern w:val="0"/>
          <w:szCs w:val="20"/>
        </w:rPr>
        <w:t>重庆蓝洁环境技术集团有限公司、重庆水务集团股份有限公司、重庆市排水有限公司、西南大学、重庆大学、重庆市生态环境监测中心、重庆环保投资集团有限公司、重庆蓝洁生物技术有限公司、泸州市兴泸污水处理有限公司、昆明滇池水务股份有限公司、重庆市科学技术研究院、重庆工商大学、重庆理工大学、重庆科技大学、宁夏水务集团清水源水处理科技有限公司、重庆交通大学、广西北部湾锋华环保科技有限公司、广西平果锋华科技有限公司、德阳市杰阳排水有限公司、重庆渝西水务有限公司、重庆豪洋水务有限公司、成都汇锦水务发展有限公司、中铁水务集团有限公司、重庆化工职业学院、内江市污水处理有限责任公司、重庆惠源检测技术有限公司</w:t>
      </w:r>
      <w:r>
        <w:rPr>
          <w:rFonts w:hint="eastAsia" w:ascii="Times New Roman" w:hAnsi="Times New Roman" w:cs="Times New Roman"/>
          <w:kern w:val="0"/>
          <w:szCs w:val="20"/>
        </w:rPr>
        <w:t>。</w:t>
      </w:r>
    </w:p>
    <w:p w14:paraId="698DC257">
      <w:pPr>
        <w:spacing w:line="360" w:lineRule="auto"/>
        <w:ind w:firstLine="420" w:firstLineChars="200"/>
        <w:rPr>
          <w:rFonts w:ascii="Times New Roman" w:hAnsi="Times New Roman" w:eastAsia="宋体" w:cs="Times New Roman"/>
          <w:kern w:val="0"/>
          <w:szCs w:val="20"/>
        </w:rPr>
      </w:pPr>
      <w:r>
        <w:rPr>
          <w:rFonts w:ascii="Times New Roman" w:hAnsi="Times New Roman" w:eastAsia="宋体" w:cs="Times New Roman"/>
          <w:kern w:val="0"/>
          <w:szCs w:val="20"/>
        </w:rPr>
        <w:t>本标准工作任务分工：重庆蓝洁环境技术集团有限公司主要负责标准制定工作总体协调，组织起草单位开展文献及方法调研、资料收集，组织召开 标准工作会议，组织开展技术论证，技术内容分析、编写修改标准各阶段草案、编制说明及相关附件等工作。重庆水务集团股份有限公司、重庆市排水有限公司</w:t>
      </w:r>
      <w:r>
        <w:rPr>
          <w:rFonts w:hint="eastAsia" w:ascii="Times New Roman" w:hAnsi="Times New Roman" w:eastAsia="宋体" w:cs="Times New Roman"/>
          <w:kern w:val="0"/>
          <w:szCs w:val="20"/>
        </w:rPr>
        <w:t>主要负责</w:t>
      </w:r>
      <w:r>
        <w:rPr>
          <w:rFonts w:ascii="Times New Roman" w:hAnsi="Times New Roman" w:eastAsia="宋体" w:cs="Times New Roman"/>
          <w:kern w:val="0"/>
          <w:szCs w:val="20"/>
        </w:rPr>
        <w:t>提供技术方案验证、数据统计、提供工程及应用实例等关键技术指标、对标准过程草案及附件提出修改意见和审查。其他单位主要负责提供技术方案验证、数据分析、参加工作会议讨论等、对标准过程草案及附件提出修改意见和审查等。</w:t>
      </w:r>
    </w:p>
    <w:p w14:paraId="7E658587">
      <w:pPr>
        <w:spacing w:line="360" w:lineRule="auto"/>
        <w:ind w:firstLine="420" w:firstLineChars="200"/>
        <w:rPr>
          <w:rFonts w:ascii="Times New Roman" w:hAnsi="Times New Roman" w:eastAsia="宋体" w:cs="Times New Roman"/>
          <w:kern w:val="0"/>
          <w:szCs w:val="20"/>
        </w:rPr>
      </w:pPr>
      <w:r>
        <w:rPr>
          <w:rFonts w:ascii="Times New Roman" w:hAnsi="Times New Roman" w:eastAsia="宋体" w:cs="Times New Roman"/>
          <w:kern w:val="0"/>
          <w:szCs w:val="20"/>
        </w:rPr>
        <w:t>本标准由重庆蓝洁环境技术集团有限公司委托，由重庆市环境科学学会归口管理。该标准旨在规范酿酒发酵液制备生物质碳源产品，推动酿酒发酵液生物质碳源产品的科学化生产与使用。</w:t>
      </w:r>
    </w:p>
    <w:p w14:paraId="17C08AE6">
      <w:pPr>
        <w:spacing w:before="240" w:after="240" w:line="360" w:lineRule="auto"/>
        <w:outlineLvl w:val="1"/>
        <w:rPr>
          <w:rFonts w:ascii="Times New Roman" w:hAnsi="Times New Roman" w:eastAsia="黑体" w:cs="Times New Roman"/>
        </w:rPr>
      </w:pPr>
      <w:r>
        <w:rPr>
          <w:rFonts w:ascii="Times New Roman" w:hAnsi="Times New Roman" w:eastAsia="黑体" w:cs="Times New Roman"/>
        </w:rPr>
        <w:t>2.2 主要工作过程</w:t>
      </w:r>
    </w:p>
    <w:p w14:paraId="509D60F6">
      <w:pPr>
        <w:pStyle w:val="28"/>
        <w:widowControl w:val="0"/>
        <w:spacing w:line="360" w:lineRule="auto"/>
        <w:rPr>
          <w:rFonts w:ascii="Times New Roman"/>
        </w:rPr>
      </w:pPr>
      <w:r>
        <w:rPr>
          <w:rFonts w:ascii="Times New Roman"/>
        </w:rPr>
        <w:t>本标准的编制工作自2025年1月启动，经过前期调研、草案编制、内部讨论、修改完善等阶段，最终形成标准征求意见稿，于2026年5月1</w:t>
      </w:r>
      <w:r>
        <w:rPr>
          <w:rFonts w:hint="eastAsia" w:ascii="Times New Roman"/>
          <w:lang w:val="en-US" w:eastAsia="zh-CN"/>
        </w:rPr>
        <w:t>5</w:t>
      </w:r>
      <w:r>
        <w:rPr>
          <w:rFonts w:ascii="Times New Roman"/>
        </w:rPr>
        <w:t>日挂网征求意见。在编制过程中，起草小组广泛收集国内外相关标准和文献资料，深入调研酿酒发酵液制备生物质碳源产品的实际应用情况，结合市场需求和行业发展趋势，确定了标准的框架和主要内容。同时，多次组织专家研讨，对标准草案进行了反复修改和完善，确保标准的规范性、实用性和严谨性。</w:t>
      </w:r>
    </w:p>
    <w:p w14:paraId="409D9B2D">
      <w:pPr>
        <w:pStyle w:val="28"/>
        <w:widowControl w:val="0"/>
        <w:spacing w:line="360" w:lineRule="auto"/>
        <w:rPr>
          <w:rFonts w:ascii="Times New Roman"/>
        </w:rPr>
      </w:pPr>
      <w:r>
        <w:rPr>
          <w:rFonts w:ascii="Times New Roman"/>
        </w:rPr>
        <w:t>本标准于2026年4月29日由重庆市环境科学学会团体标准技术审查委员会组织3名专家进行了立项论证，获得一致通过，立项名称为《酿酒发酵液制备污（废）水处理用液体生物质碳源》，2026年5月13日组织5位专家进行第一次团体标准初审会，形成征求意见稿，进行30天公示并收集意见</w:t>
      </w:r>
      <w:r>
        <w:rPr>
          <w:rFonts w:hint="eastAsia" w:ascii="Times New Roman"/>
        </w:rPr>
        <w:t>。</w:t>
      </w:r>
    </w:p>
    <w:p w14:paraId="7956F711">
      <w:pPr>
        <w:pStyle w:val="28"/>
        <w:widowControl w:val="0"/>
        <w:spacing w:line="360" w:lineRule="auto"/>
        <w:rPr>
          <w:rFonts w:ascii="Times New Roman"/>
        </w:rPr>
      </w:pPr>
      <w:r>
        <w:rPr>
          <w:rFonts w:ascii="Times New Roman"/>
        </w:rPr>
        <w:t>1.前期调研</w:t>
      </w:r>
    </w:p>
    <w:p w14:paraId="185152B2">
      <w:pPr>
        <w:pStyle w:val="28"/>
        <w:widowControl w:val="0"/>
        <w:spacing w:line="360" w:lineRule="auto"/>
        <w:rPr>
          <w:rFonts w:ascii="Times New Roman"/>
        </w:rPr>
      </w:pPr>
      <w:r>
        <w:rPr>
          <w:rFonts w:ascii="Times New Roman"/>
        </w:rPr>
        <w:t>在标准编制的前期，起草小组广泛收集了相关标准和文献资料，包括《废弃物框架指令》（2008/98/EC）、GB 7466-87 水质 总铬的测定、《固态发酵白酒制造业废水碳源利用技术规程》（TSDEPI 037-2023）等。同时，深入调研了酿酒发酵液制备生物质碳源的实际应用情况，了解酿酒发酵液生物质碳源在使用中的需求和痛点，为标准的编制提供了丰富的实践依据。</w:t>
      </w:r>
    </w:p>
    <w:p w14:paraId="02DE3289">
      <w:pPr>
        <w:pStyle w:val="28"/>
        <w:widowControl w:val="0"/>
        <w:spacing w:line="360" w:lineRule="auto"/>
        <w:rPr>
          <w:rFonts w:ascii="Times New Roman"/>
        </w:rPr>
      </w:pPr>
      <w:r>
        <w:rPr>
          <w:rFonts w:ascii="Times New Roman"/>
        </w:rPr>
        <w:t>2.草案编制</w:t>
      </w:r>
    </w:p>
    <w:p w14:paraId="21456A45">
      <w:pPr>
        <w:pStyle w:val="28"/>
        <w:widowControl w:val="0"/>
        <w:spacing w:line="360" w:lineRule="auto"/>
        <w:rPr>
          <w:rFonts w:ascii="Times New Roman"/>
        </w:rPr>
      </w:pPr>
      <w:r>
        <w:rPr>
          <w:rFonts w:ascii="Times New Roman"/>
        </w:rPr>
        <w:t>在前期调研的基础上，起草小组结合市场需求和行业发展趋势，确定了标准的框架和主要内容。标准草案包括范围、规范性引用文件、术语和定义、产品制备技术与质量要求、检测方法等部分，涵盖了以</w:t>
      </w:r>
      <w:r>
        <w:rPr>
          <w:rFonts w:hint="eastAsia" w:ascii="Times New Roman"/>
        </w:rPr>
        <w:t>酿酒发酵液</w:t>
      </w:r>
      <w:r>
        <w:rPr>
          <w:rFonts w:ascii="Times New Roman"/>
        </w:rPr>
        <w:t>为原料生产制备</w:t>
      </w:r>
      <w:r>
        <w:rPr>
          <w:rFonts w:hint="eastAsia" w:ascii="Times New Roman"/>
        </w:rPr>
        <w:t>生物质</w:t>
      </w:r>
      <w:r>
        <w:rPr>
          <w:rFonts w:ascii="Times New Roman"/>
        </w:rPr>
        <w:t>碳源产品的各个方面。起草小组对每一部分进行了详细编写，确保标准内容的科学性和实用性。</w:t>
      </w:r>
    </w:p>
    <w:p w14:paraId="7F0A8AE4">
      <w:pPr>
        <w:pStyle w:val="28"/>
        <w:widowControl w:val="0"/>
        <w:spacing w:line="360" w:lineRule="auto"/>
        <w:rPr>
          <w:rFonts w:ascii="Times New Roman"/>
        </w:rPr>
      </w:pPr>
      <w:r>
        <w:rPr>
          <w:rFonts w:ascii="Times New Roman"/>
        </w:rPr>
        <w:t>3.内部研讨</w:t>
      </w:r>
    </w:p>
    <w:p w14:paraId="527F5C04">
      <w:pPr>
        <w:pStyle w:val="28"/>
        <w:widowControl w:val="0"/>
        <w:spacing w:line="360" w:lineRule="auto"/>
        <w:rPr>
          <w:rFonts w:ascii="Times New Roman"/>
        </w:rPr>
      </w:pPr>
      <w:r>
        <w:rPr>
          <w:rFonts w:ascii="Times New Roman"/>
        </w:rPr>
        <w:t>标准草案完成后，起草小组通过组织专家咨询、内部研讨会，收集了多方面的反馈意见。起草小组对这些意见进行了认真梳理和分析，对标准草案进行了进一步修改和完善。</w:t>
      </w:r>
    </w:p>
    <w:p w14:paraId="7AF9E3C9">
      <w:pPr>
        <w:pStyle w:val="28"/>
        <w:widowControl w:val="0"/>
        <w:spacing w:line="360" w:lineRule="auto"/>
        <w:rPr>
          <w:rFonts w:ascii="Times New Roman"/>
        </w:rPr>
      </w:pPr>
      <w:r>
        <w:rPr>
          <w:rFonts w:ascii="Times New Roman"/>
        </w:rPr>
        <w:t>4.修改完善</w:t>
      </w:r>
    </w:p>
    <w:p w14:paraId="5FA48A28">
      <w:pPr>
        <w:pStyle w:val="28"/>
        <w:widowControl w:val="0"/>
        <w:spacing w:line="360" w:lineRule="auto"/>
        <w:rPr>
          <w:rFonts w:ascii="Times New Roman"/>
        </w:rPr>
      </w:pPr>
      <w:r>
        <w:rPr>
          <w:rFonts w:ascii="Times New Roman"/>
        </w:rPr>
        <w:t>在征求意见的基础上，起草小组对标准草案进行了多次修改和完善。特别在产品制备技术与质量要求方面进行了细化和优化，确保标准的可操作性和实用性。同时，结合行业内代表性企业的反馈，对标准中的部分条款进行了调整，使其更符合市场和行业的实际应用需求，最终形成征求意见稿。</w:t>
      </w:r>
    </w:p>
    <w:p w14:paraId="46550F5A">
      <w:pPr>
        <w:numPr>
          <w:ilvl w:val="255"/>
          <w:numId w:val="0"/>
        </w:numPr>
        <w:spacing w:before="240" w:after="240" w:line="360" w:lineRule="auto"/>
        <w:jc w:val="left"/>
        <w:outlineLvl w:val="0"/>
        <w:rPr>
          <w:rFonts w:ascii="Times New Roman" w:hAnsi="Times New Roman" w:eastAsia="黑体" w:cs="Times New Roman"/>
        </w:rPr>
      </w:pPr>
      <w:bookmarkStart w:id="4" w:name="_Toc14380"/>
      <w:bookmarkStart w:id="5" w:name="_Toc8753"/>
      <w:r>
        <w:rPr>
          <w:rFonts w:ascii="Times New Roman" w:hAnsi="Times New Roman" w:eastAsia="黑体" w:cs="Times New Roman"/>
        </w:rPr>
        <w:t>三、标准编制原则及依据</w:t>
      </w:r>
      <w:bookmarkEnd w:id="4"/>
      <w:bookmarkEnd w:id="5"/>
    </w:p>
    <w:p w14:paraId="483ABBF9">
      <w:pPr>
        <w:spacing w:line="360" w:lineRule="auto"/>
        <w:ind w:firstLine="422" w:firstLineChars="200"/>
        <w:rPr>
          <w:rFonts w:ascii="Times New Roman" w:hAnsi="Times New Roman" w:cs="Times New Roman"/>
          <w:b/>
          <w:bCs/>
        </w:rPr>
      </w:pPr>
      <w:r>
        <w:rPr>
          <w:rFonts w:ascii="Times New Roman" w:hAnsi="Times New Roman" w:cs="Times New Roman"/>
          <w:b/>
          <w:bCs/>
        </w:rPr>
        <w:t>3.1编制原则</w:t>
      </w:r>
    </w:p>
    <w:p w14:paraId="53E6EE89">
      <w:pPr>
        <w:pStyle w:val="28"/>
        <w:widowControl w:val="0"/>
        <w:spacing w:line="360" w:lineRule="auto"/>
        <w:rPr>
          <w:rFonts w:ascii="Times New Roman"/>
        </w:rPr>
      </w:pPr>
      <w:r>
        <w:rPr>
          <w:rFonts w:ascii="Times New Roman"/>
        </w:rPr>
        <w:t>本标准在制定过程中，起草单位遵循规范性、科学性、适用性原则，对标准的技术内容进行确认和验证，</w:t>
      </w:r>
      <w:r>
        <w:rPr>
          <w:rFonts w:hint="eastAsia" w:ascii="Times New Roman"/>
          <w:lang w:eastAsia="zh-CN"/>
        </w:rPr>
        <w:t>旨在</w:t>
      </w:r>
      <w:r>
        <w:rPr>
          <w:rFonts w:ascii="Times New Roman"/>
        </w:rPr>
        <w:t>提供更为科学准确的试验方法，确保技术要求符合行业发展的要求</w:t>
      </w:r>
      <w:r>
        <w:rPr>
          <w:rFonts w:hint="eastAsia" w:ascii="Times New Roman"/>
        </w:rPr>
        <w:t>。</w:t>
      </w:r>
    </w:p>
    <w:p w14:paraId="104A15DA">
      <w:pPr>
        <w:pStyle w:val="28"/>
        <w:widowControl w:val="0"/>
        <w:spacing w:line="360" w:lineRule="auto"/>
        <w:rPr>
          <w:rFonts w:ascii="Times New Roman"/>
        </w:rPr>
      </w:pPr>
      <w:r>
        <w:rPr>
          <w:rFonts w:ascii="Times New Roman"/>
        </w:rPr>
        <w:t>本文件按照GB/T1.1—2020《标准化工作导则第1部分：标准化文件的结构和起草规则》的规定进行编写和表述。本文件的编制主要符合以下原则：</w:t>
      </w:r>
    </w:p>
    <w:p w14:paraId="522AA657">
      <w:pPr>
        <w:pStyle w:val="28"/>
        <w:widowControl w:val="0"/>
        <w:spacing w:line="360" w:lineRule="auto"/>
        <w:rPr>
          <w:rFonts w:ascii="Times New Roman"/>
        </w:rPr>
      </w:pPr>
      <w:r>
        <w:rPr>
          <w:rFonts w:ascii="Times New Roman"/>
        </w:rPr>
        <w:t xml:space="preserve">（1）规范性原则 </w:t>
      </w:r>
    </w:p>
    <w:p w14:paraId="5FBC7E93">
      <w:pPr>
        <w:pStyle w:val="28"/>
        <w:widowControl w:val="0"/>
        <w:spacing w:line="360" w:lineRule="auto"/>
        <w:rPr>
          <w:rFonts w:ascii="Times New Roman"/>
        </w:rPr>
      </w:pPr>
      <w:r>
        <w:rPr>
          <w:rFonts w:ascii="Times New Roman"/>
        </w:rPr>
        <w:t>标准内容严格按照《标准化工作导则第1部分：标准化文件的结构和起草规则》（GB/T1.1-2020）的规定进行编写和表述，力争在标准框架、结构和内容方面符合标准要求。</w:t>
      </w:r>
      <w:r>
        <w:rPr>
          <w:rFonts w:hint="eastAsia" w:ascii="Times New Roman"/>
        </w:rPr>
        <w:t>同时</w:t>
      </w:r>
      <w:r>
        <w:rPr>
          <w:rFonts w:ascii="Times New Roman"/>
        </w:rPr>
        <w:t xml:space="preserve">确保标准内容与现行国家有关法律法规及标准规定协调统一，并尽可能与国内通行标准接轨，使本标准成为有关法律法规及标准规定的有力支撑。 </w:t>
      </w:r>
    </w:p>
    <w:p w14:paraId="5D50B0C1">
      <w:pPr>
        <w:pStyle w:val="28"/>
        <w:widowControl w:val="0"/>
        <w:spacing w:line="360" w:lineRule="auto"/>
        <w:rPr>
          <w:rFonts w:ascii="Times New Roman"/>
        </w:rPr>
      </w:pPr>
      <w:r>
        <w:rPr>
          <w:rFonts w:ascii="Times New Roman"/>
        </w:rPr>
        <w:t xml:space="preserve">（2）科学性原则 </w:t>
      </w:r>
    </w:p>
    <w:p w14:paraId="7B99D6C5">
      <w:pPr>
        <w:pStyle w:val="28"/>
        <w:widowControl w:val="0"/>
        <w:spacing w:line="360" w:lineRule="auto"/>
        <w:rPr>
          <w:rFonts w:ascii="Times New Roman"/>
        </w:rPr>
      </w:pPr>
      <w:r>
        <w:rPr>
          <w:rFonts w:ascii="Times New Roman"/>
        </w:rPr>
        <w:t>归口单位联合起草单位查阅了相关的国内外资料并充分调研了国内外生产企业。由此确定了合理的技术指标和科学准确的测定方法，并进行了相关验证试验，确保标准试验方法的可行性和可靠性，保障了标准的科学性要求。以国内外公认的主流和应用较广的污水处理用碳源技术为基础，充分考虑技术成熟程度和可行性，符合国家产业政策和行业污染防治政策，确保标准内容与当前我国污（废）水处理</w:t>
      </w:r>
      <w:r>
        <w:rPr>
          <w:rFonts w:hint="eastAsia" w:ascii="Times New Roman"/>
        </w:rPr>
        <w:t>行业的</w:t>
      </w:r>
      <w:r>
        <w:rPr>
          <w:rFonts w:ascii="Times New Roman"/>
        </w:rPr>
        <w:t>技术发展水平相适应。</w:t>
      </w:r>
    </w:p>
    <w:p w14:paraId="57D12AAB">
      <w:pPr>
        <w:pStyle w:val="28"/>
        <w:widowControl w:val="0"/>
        <w:spacing w:line="360" w:lineRule="auto"/>
        <w:rPr>
          <w:rFonts w:ascii="Times New Roman"/>
        </w:rPr>
      </w:pPr>
      <w:r>
        <w:rPr>
          <w:rFonts w:ascii="Times New Roman"/>
        </w:rPr>
        <w:t xml:space="preserve">（3）适应性原则 </w:t>
      </w:r>
    </w:p>
    <w:p w14:paraId="0E5EB991">
      <w:pPr>
        <w:pStyle w:val="28"/>
        <w:widowControl w:val="0"/>
        <w:spacing w:line="360" w:lineRule="auto"/>
        <w:rPr>
          <w:rFonts w:ascii="Times New Roman"/>
        </w:rPr>
      </w:pPr>
      <w:r>
        <w:rPr>
          <w:rFonts w:ascii="Times New Roman"/>
        </w:rPr>
        <w:t>归口单位、起草单位以及相关检测单位多次相互交换意见及建议，探讨标准内容的可行性和对行业的适用性，确保标准可以有效适用于我国</w:t>
      </w:r>
      <w:r>
        <w:rPr>
          <w:rFonts w:hint="eastAsia" w:ascii="Times New Roman"/>
        </w:rPr>
        <w:t>污水处理</w:t>
      </w:r>
      <w:r>
        <w:rPr>
          <w:rFonts w:ascii="Times New Roman"/>
        </w:rPr>
        <w:t>行业的生产</w:t>
      </w:r>
      <w:r>
        <w:rPr>
          <w:rFonts w:hint="eastAsia" w:ascii="Times New Roman"/>
        </w:rPr>
        <w:t>、</w:t>
      </w:r>
      <w:r>
        <w:rPr>
          <w:rFonts w:ascii="Times New Roman"/>
        </w:rPr>
        <w:t>检测</w:t>
      </w:r>
      <w:r>
        <w:rPr>
          <w:rFonts w:hint="eastAsia" w:ascii="Times New Roman"/>
        </w:rPr>
        <w:t>和使用</w:t>
      </w:r>
      <w:r>
        <w:rPr>
          <w:rFonts w:ascii="Times New Roman"/>
        </w:rPr>
        <w:t>。结合产品生产企业</w:t>
      </w:r>
      <w:r>
        <w:rPr>
          <w:rFonts w:hint="eastAsia" w:ascii="Times New Roman"/>
        </w:rPr>
        <w:t>、使用单位</w:t>
      </w:r>
      <w:r>
        <w:rPr>
          <w:rFonts w:ascii="Times New Roman"/>
        </w:rPr>
        <w:t>管理实践和产品的主要环境影响，提出对企业产品的具体质量要求和生产经营规范，同时充分考虑污（废）水治理行业所涉及技术和管理要求，力争形成对酿酒发酵液生物质碳源的生产及应用的适应性指导。</w:t>
      </w:r>
    </w:p>
    <w:p w14:paraId="2B1710EB">
      <w:pPr>
        <w:pStyle w:val="33"/>
        <w:spacing w:line="360" w:lineRule="auto"/>
        <w:ind w:firstLine="422"/>
        <w:rPr>
          <w:b/>
          <w:bCs/>
        </w:rPr>
      </w:pPr>
      <w:r>
        <w:rPr>
          <w:b/>
          <w:bCs/>
        </w:rPr>
        <w:t>3.2编制依据</w:t>
      </w:r>
    </w:p>
    <w:p w14:paraId="6A580A0C">
      <w:pPr>
        <w:pStyle w:val="33"/>
        <w:spacing w:line="360" w:lineRule="auto"/>
        <w:ind w:firstLine="420"/>
      </w:pPr>
      <w:r>
        <w:t>本标准的编制以国家环境保护现有法律、法规、标准为主要依据，结合酿酒发酵液的排放现状、 污（废）水处理行业所需碳源的特点，参考水处理行业相关的技术规范和设计手册，充分考虑现有碳源生产及应用技术的发展水平、成熟程度、应用范围和覆盖度，确定本标准的指标要求，总结编制了本标准。</w:t>
      </w:r>
    </w:p>
    <w:p w14:paraId="146FC9DF">
      <w:pPr>
        <w:pStyle w:val="33"/>
        <w:spacing w:line="360" w:lineRule="auto"/>
        <w:ind w:firstLine="420"/>
        <w:rPr>
          <w:rFonts w:hint="default" w:eastAsia="宋体"/>
          <w:b/>
          <w:bCs/>
          <w:lang w:val="en-US" w:eastAsia="zh-CN"/>
        </w:rPr>
      </w:pPr>
      <w:r>
        <w:rPr>
          <w:rFonts w:hint="eastAsia"/>
          <w:b/>
          <w:bCs/>
        </w:rPr>
        <w:t>3.2.1</w:t>
      </w:r>
      <w:r>
        <w:rPr>
          <w:rFonts w:hint="eastAsia"/>
          <w:b/>
          <w:bCs/>
          <w:lang w:val="en-US" w:eastAsia="zh-CN"/>
        </w:rPr>
        <w:t>标准的依据</w:t>
      </w:r>
    </w:p>
    <w:p w14:paraId="2EF0D0BA">
      <w:pPr>
        <w:pStyle w:val="28"/>
        <w:widowControl w:val="0"/>
        <w:spacing w:line="360" w:lineRule="auto"/>
        <w:rPr>
          <w:rFonts w:hint="eastAsia" w:ascii="Times New Roman"/>
        </w:rPr>
      </w:pPr>
      <w:r>
        <w:rPr>
          <w:rFonts w:hint="eastAsia" w:ascii="Times New Roman"/>
        </w:rPr>
        <w:t>本标准依据标准主要有：</w:t>
      </w:r>
    </w:p>
    <w:p w14:paraId="7025C1EE">
      <w:pPr>
        <w:pStyle w:val="28"/>
        <w:widowControl w:val="0"/>
        <w:spacing w:line="360" w:lineRule="auto"/>
        <w:rPr>
          <w:rFonts w:hint="eastAsia" w:ascii="Times New Roman"/>
        </w:rPr>
      </w:pPr>
      <w:r>
        <w:rPr>
          <w:rFonts w:hint="eastAsia" w:ascii="Times New Roman"/>
        </w:rPr>
        <w:t>GB 190      危险货物包装标志</w:t>
      </w:r>
    </w:p>
    <w:p w14:paraId="7041B8B4">
      <w:pPr>
        <w:pStyle w:val="28"/>
        <w:widowControl w:val="0"/>
        <w:spacing w:line="360" w:lineRule="auto"/>
        <w:rPr>
          <w:rFonts w:hint="eastAsia" w:ascii="Times New Roman"/>
        </w:rPr>
      </w:pPr>
      <w:r>
        <w:rPr>
          <w:rFonts w:hint="eastAsia" w:ascii="Times New Roman"/>
        </w:rPr>
        <w:t>GB 12268    危险货物品名表</w:t>
      </w:r>
    </w:p>
    <w:p w14:paraId="17991D4C">
      <w:pPr>
        <w:pStyle w:val="28"/>
        <w:widowControl w:val="0"/>
        <w:spacing w:line="360" w:lineRule="auto"/>
        <w:rPr>
          <w:rFonts w:hint="eastAsia" w:ascii="Times New Roman"/>
        </w:rPr>
      </w:pPr>
      <w:r>
        <w:rPr>
          <w:rFonts w:hint="eastAsia" w:ascii="Times New Roman"/>
        </w:rPr>
        <w:t>GB 6944     危险货物分类和品名编号</w:t>
      </w:r>
    </w:p>
    <w:p w14:paraId="3E06E41D">
      <w:pPr>
        <w:pStyle w:val="28"/>
        <w:widowControl w:val="0"/>
        <w:spacing w:line="360" w:lineRule="auto"/>
        <w:rPr>
          <w:rFonts w:hint="eastAsia" w:ascii="Times New Roman"/>
        </w:rPr>
      </w:pPr>
      <w:r>
        <w:rPr>
          <w:rFonts w:hint="eastAsia" w:ascii="Times New Roman"/>
        </w:rPr>
        <w:t>GB 11893    水质 总磷的测定 钼酸铵分光光度法</w:t>
      </w:r>
    </w:p>
    <w:p w14:paraId="738DAA2D">
      <w:pPr>
        <w:pStyle w:val="28"/>
        <w:widowControl w:val="0"/>
        <w:spacing w:line="360" w:lineRule="auto"/>
        <w:rPr>
          <w:rFonts w:hint="eastAsia" w:ascii="Times New Roman"/>
        </w:rPr>
      </w:pPr>
      <w:r>
        <w:rPr>
          <w:rFonts w:hint="eastAsia" w:ascii="Times New Roman"/>
        </w:rPr>
        <w:t>GB/T 191    包装储运图示标志</w:t>
      </w:r>
    </w:p>
    <w:p w14:paraId="1CC6795C">
      <w:pPr>
        <w:pStyle w:val="28"/>
        <w:widowControl w:val="0"/>
        <w:spacing w:line="360" w:lineRule="auto"/>
        <w:rPr>
          <w:rFonts w:hint="eastAsia" w:ascii="Times New Roman"/>
        </w:rPr>
      </w:pPr>
      <w:r>
        <w:rPr>
          <w:rFonts w:hint="eastAsia" w:ascii="Times New Roman"/>
        </w:rPr>
        <w:t>GB/T 601    化学试剂 标准滴定溶液的制备</w:t>
      </w:r>
    </w:p>
    <w:p w14:paraId="052A7F63">
      <w:pPr>
        <w:pStyle w:val="28"/>
        <w:widowControl w:val="0"/>
        <w:spacing w:line="360" w:lineRule="auto"/>
        <w:rPr>
          <w:rFonts w:hint="eastAsia" w:ascii="Times New Roman"/>
        </w:rPr>
      </w:pPr>
      <w:r>
        <w:rPr>
          <w:rFonts w:hint="eastAsia" w:ascii="Times New Roman"/>
        </w:rPr>
        <w:t>GB/T 602    化学试剂 杂质测定用标准溶液的制备</w:t>
      </w:r>
    </w:p>
    <w:p w14:paraId="4A65BEF3">
      <w:pPr>
        <w:pStyle w:val="28"/>
        <w:widowControl w:val="0"/>
        <w:spacing w:line="360" w:lineRule="auto"/>
        <w:rPr>
          <w:rFonts w:hint="eastAsia" w:ascii="Times New Roman"/>
        </w:rPr>
      </w:pPr>
      <w:r>
        <w:rPr>
          <w:rFonts w:hint="eastAsia" w:ascii="Times New Roman"/>
        </w:rPr>
        <w:t>GB/T 603    化学试剂 试验方法中所用制剂及制品的制备</w:t>
      </w:r>
    </w:p>
    <w:p w14:paraId="3C5B3CC8">
      <w:pPr>
        <w:pStyle w:val="28"/>
        <w:widowControl w:val="0"/>
        <w:spacing w:line="360" w:lineRule="auto"/>
        <w:rPr>
          <w:rFonts w:hint="eastAsia" w:ascii="Times New Roman"/>
        </w:rPr>
      </w:pPr>
      <w:r>
        <w:rPr>
          <w:rFonts w:hint="eastAsia" w:ascii="Times New Roman"/>
        </w:rPr>
        <w:t>GB/T 6680   液体化工产品采样通则</w:t>
      </w:r>
    </w:p>
    <w:p w14:paraId="13378998">
      <w:pPr>
        <w:pStyle w:val="28"/>
        <w:widowControl w:val="0"/>
        <w:spacing w:line="360" w:lineRule="auto"/>
        <w:rPr>
          <w:rFonts w:hint="eastAsia" w:ascii="Times New Roman"/>
        </w:rPr>
      </w:pPr>
      <w:r>
        <w:rPr>
          <w:rFonts w:hint="eastAsia" w:ascii="Times New Roman"/>
        </w:rPr>
        <w:t>GB/T 6682   分析实验室用水规格和试验方案</w:t>
      </w:r>
    </w:p>
    <w:p w14:paraId="54A643E4">
      <w:pPr>
        <w:pStyle w:val="28"/>
        <w:widowControl w:val="0"/>
        <w:spacing w:line="360" w:lineRule="auto"/>
        <w:rPr>
          <w:rFonts w:hint="eastAsia" w:ascii="Times New Roman"/>
        </w:rPr>
      </w:pPr>
      <w:r>
        <w:rPr>
          <w:rFonts w:hint="eastAsia" w:ascii="Times New Roman"/>
        </w:rPr>
        <w:t>GB/T 8170   数值修约规则与极限数值的表示和判定</w:t>
      </w:r>
    </w:p>
    <w:p w14:paraId="09875A19">
      <w:pPr>
        <w:pStyle w:val="28"/>
        <w:widowControl w:val="0"/>
        <w:spacing w:line="360" w:lineRule="auto"/>
        <w:rPr>
          <w:rFonts w:hint="eastAsia" w:ascii="Times New Roman"/>
        </w:rPr>
      </w:pPr>
      <w:r>
        <w:rPr>
          <w:rFonts w:hint="eastAsia" w:ascii="Times New Roman"/>
        </w:rPr>
        <w:t>GB/T 9738   化学试剂 水不溶物测定通用方法</w:t>
      </w:r>
    </w:p>
    <w:p w14:paraId="28982383">
      <w:pPr>
        <w:pStyle w:val="28"/>
        <w:widowControl w:val="0"/>
        <w:spacing w:line="360" w:lineRule="auto"/>
        <w:rPr>
          <w:rFonts w:hint="eastAsia" w:ascii="Times New Roman"/>
        </w:rPr>
      </w:pPr>
      <w:r>
        <w:rPr>
          <w:rFonts w:hint="eastAsia" w:ascii="Times New Roman"/>
        </w:rPr>
        <w:t>GB/T 22592  水处理剂 pH值测定方法通则</w:t>
      </w:r>
    </w:p>
    <w:p w14:paraId="6F97156E">
      <w:pPr>
        <w:pStyle w:val="28"/>
        <w:widowControl w:val="0"/>
        <w:spacing w:line="360" w:lineRule="auto"/>
        <w:rPr>
          <w:rFonts w:hint="eastAsia" w:ascii="Times New Roman"/>
        </w:rPr>
      </w:pPr>
      <w:r>
        <w:rPr>
          <w:rFonts w:hint="eastAsia" w:ascii="Times New Roman"/>
        </w:rPr>
        <w:t>GB/T 22594  水处理剂 密度的测定方法通则</w:t>
      </w:r>
    </w:p>
    <w:p w14:paraId="121E09AF">
      <w:pPr>
        <w:pStyle w:val="28"/>
        <w:widowControl w:val="0"/>
        <w:spacing w:line="360" w:lineRule="auto"/>
        <w:rPr>
          <w:rFonts w:hint="eastAsia" w:ascii="Times New Roman"/>
        </w:rPr>
      </w:pPr>
      <w:r>
        <w:rPr>
          <w:rFonts w:hint="eastAsia" w:ascii="Times New Roman"/>
        </w:rPr>
        <w:t>GB/T 33086  水处理剂 砷和汞含量的测定 原子荧光光谱法</w:t>
      </w:r>
    </w:p>
    <w:p w14:paraId="256647A2">
      <w:pPr>
        <w:pStyle w:val="28"/>
        <w:widowControl w:val="0"/>
        <w:spacing w:line="360" w:lineRule="auto"/>
        <w:rPr>
          <w:rFonts w:hint="eastAsia" w:ascii="Times New Roman"/>
        </w:rPr>
      </w:pPr>
      <w:r>
        <w:rPr>
          <w:rFonts w:hint="eastAsia" w:ascii="Times New Roman"/>
        </w:rPr>
        <w:t>GB/T 37883  水处理剂中铬、镉、铅、砷含量的测定 电感耦合等离子体发射光谱（ICP-OES）法</w:t>
      </w:r>
    </w:p>
    <w:p w14:paraId="4DEF9297">
      <w:pPr>
        <w:pStyle w:val="28"/>
        <w:widowControl w:val="0"/>
        <w:spacing w:line="360" w:lineRule="auto"/>
        <w:rPr>
          <w:rFonts w:hint="eastAsia" w:ascii="Times New Roman"/>
        </w:rPr>
      </w:pPr>
      <w:r>
        <w:rPr>
          <w:rFonts w:hint="eastAsia" w:ascii="Times New Roman"/>
        </w:rPr>
        <w:t>GB/T 23877  饲料酸化剂中柠檬酸、富马酸和乳酸的测定 高效液相色谱法</w:t>
      </w:r>
    </w:p>
    <w:p w14:paraId="4E9B1C2B">
      <w:pPr>
        <w:pStyle w:val="28"/>
        <w:widowControl w:val="0"/>
        <w:spacing w:line="360" w:lineRule="auto"/>
        <w:rPr>
          <w:rFonts w:hint="eastAsia" w:ascii="Times New Roman"/>
        </w:rPr>
      </w:pPr>
      <w:r>
        <w:rPr>
          <w:rFonts w:hint="eastAsia" w:ascii="Times New Roman"/>
        </w:rPr>
        <w:t>GB/T 21621  危险品 金属腐蚀性试验方法</w:t>
      </w:r>
    </w:p>
    <w:p w14:paraId="2F9487DF">
      <w:pPr>
        <w:pStyle w:val="28"/>
        <w:widowControl w:val="0"/>
        <w:spacing w:line="360" w:lineRule="auto"/>
        <w:rPr>
          <w:rFonts w:hint="eastAsia" w:ascii="Times New Roman"/>
        </w:rPr>
      </w:pPr>
      <w:r>
        <w:rPr>
          <w:rFonts w:hint="eastAsia" w:ascii="Times New Roman"/>
        </w:rPr>
        <w:t>GB/T 5208   闪点的测定 快速平衡闭杯法</w:t>
      </w:r>
    </w:p>
    <w:p w14:paraId="702D3F37">
      <w:pPr>
        <w:pStyle w:val="28"/>
        <w:widowControl w:val="0"/>
        <w:spacing w:line="360" w:lineRule="auto"/>
        <w:rPr>
          <w:rFonts w:hint="eastAsia" w:ascii="Times New Roman"/>
        </w:rPr>
      </w:pPr>
      <w:bookmarkStart w:id="6" w:name="OLE_LINK1"/>
      <w:r>
        <w:rPr>
          <w:rFonts w:hint="eastAsia" w:ascii="Times New Roman"/>
        </w:rPr>
        <w:t>HJ 636-2012</w:t>
      </w:r>
      <w:bookmarkEnd w:id="6"/>
      <w:r>
        <w:rPr>
          <w:rFonts w:hint="eastAsia" w:ascii="Times New Roman"/>
        </w:rPr>
        <w:t xml:space="preserve">  水质 总氮的测定 碱性过硫酸钾消解紫外分光光度法</w:t>
      </w:r>
    </w:p>
    <w:p w14:paraId="12DF0C95">
      <w:pPr>
        <w:pStyle w:val="28"/>
        <w:widowControl w:val="0"/>
        <w:spacing w:line="360" w:lineRule="auto"/>
        <w:rPr>
          <w:rFonts w:hint="eastAsia" w:ascii="Times New Roman"/>
        </w:rPr>
      </w:pPr>
      <w:r>
        <w:rPr>
          <w:rFonts w:hint="eastAsia" w:ascii="Times New Roman"/>
        </w:rPr>
        <w:t>HJ 505-2009  水质 五日生化需氧量（BOD5）的测定 稀释与接种法</w:t>
      </w:r>
    </w:p>
    <w:p w14:paraId="11F25D50">
      <w:pPr>
        <w:pStyle w:val="28"/>
        <w:widowControl w:val="0"/>
        <w:spacing w:line="360" w:lineRule="auto"/>
        <w:rPr>
          <w:rFonts w:hint="eastAsia" w:ascii="Times New Roman"/>
        </w:rPr>
      </w:pPr>
      <w:r>
        <w:rPr>
          <w:rFonts w:hint="eastAsia" w:ascii="Times New Roman"/>
        </w:rPr>
        <w:t>HJ 828-2017  水质 化学需氧量的测定 重铬酸盐法</w:t>
      </w:r>
    </w:p>
    <w:p w14:paraId="19F28DD9">
      <w:pPr>
        <w:pStyle w:val="28"/>
        <w:widowControl w:val="0"/>
        <w:spacing w:line="360" w:lineRule="auto"/>
        <w:rPr>
          <w:rFonts w:hint="eastAsia" w:ascii="Times New Roman"/>
        </w:rPr>
      </w:pPr>
      <w:r>
        <w:rPr>
          <w:rFonts w:hint="eastAsia" w:ascii="Times New Roman"/>
        </w:rPr>
        <w:t>HG/T 5960-2021 废（污）水处理用复合碳源</w:t>
      </w:r>
    </w:p>
    <w:p w14:paraId="373B1CCD">
      <w:pPr>
        <w:pStyle w:val="33"/>
        <w:spacing w:line="360" w:lineRule="auto"/>
        <w:ind w:firstLine="420"/>
        <w:rPr>
          <w:rFonts w:hint="eastAsia"/>
          <w:b/>
          <w:bCs/>
        </w:rPr>
      </w:pPr>
      <w:r>
        <w:rPr>
          <w:rFonts w:hint="eastAsia"/>
          <w:b/>
          <w:bCs/>
          <w:lang w:val="en-US" w:eastAsia="zh-CN"/>
        </w:rPr>
        <w:t>3.2.2</w:t>
      </w:r>
      <w:r>
        <w:rPr>
          <w:rFonts w:hint="eastAsia"/>
          <w:b/>
          <w:bCs/>
        </w:rPr>
        <w:t>标准的要求</w:t>
      </w:r>
    </w:p>
    <w:p w14:paraId="591AD22B">
      <w:pPr>
        <w:pStyle w:val="28"/>
        <w:widowControl w:val="0"/>
        <w:spacing w:line="360" w:lineRule="auto"/>
        <w:rPr>
          <w:rFonts w:ascii="Times New Roman"/>
        </w:rPr>
      </w:pPr>
      <w:r>
        <w:rPr>
          <w:rFonts w:hint="eastAsia" w:ascii="Times New Roman"/>
        </w:rPr>
        <w:t>本标准要求</w:t>
      </w:r>
      <w:r>
        <w:rPr>
          <w:rFonts w:hint="eastAsia" w:ascii="Times New Roman"/>
          <w:lang w:val="en-US" w:eastAsia="zh-CN"/>
        </w:rPr>
        <w:t>主要为：</w:t>
      </w:r>
      <w:r>
        <w:rPr>
          <w:rFonts w:ascii="Times New Roman"/>
        </w:rPr>
        <w:fldChar w:fldCharType="begin"/>
      </w:r>
      <w:r>
        <w:rPr>
          <w:rFonts w:ascii="Times New Roman"/>
        </w:rPr>
        <w:instrText xml:space="preserve"> </w:instrText>
      </w:r>
      <w:r>
        <w:rPr>
          <w:rFonts w:hint="eastAsia" w:ascii="Times New Roman"/>
        </w:rPr>
        <w:instrText xml:space="preserve">= 1 \* GB3</w:instrText>
      </w:r>
      <w:r>
        <w:rPr>
          <w:rFonts w:ascii="Times New Roman"/>
        </w:rPr>
        <w:instrText xml:space="preserve"> </w:instrText>
      </w:r>
      <w:r>
        <w:rPr>
          <w:rFonts w:ascii="Times New Roman"/>
        </w:rPr>
        <w:fldChar w:fldCharType="separate"/>
      </w:r>
      <w:r>
        <w:rPr>
          <w:rFonts w:hint="eastAsia" w:ascii="Times New Roman"/>
        </w:rPr>
        <w:t>①</w:t>
      </w:r>
      <w:r>
        <w:rPr>
          <w:rFonts w:ascii="Times New Roman"/>
        </w:rPr>
        <w:fldChar w:fldCharType="end"/>
      </w:r>
      <w:r>
        <w:rPr>
          <w:rFonts w:ascii="Times New Roman"/>
        </w:rPr>
        <w:t>生物质碳源生产原料应</w:t>
      </w:r>
      <w:r>
        <w:rPr>
          <w:rFonts w:hint="eastAsia" w:ascii="Times New Roman"/>
        </w:rPr>
        <w:t>为白酒、啤酒、葡萄酒、米酒、黄酒等酿酒过程中产生的发酵液。</w:t>
      </w:r>
      <w:r>
        <w:rPr>
          <w:rFonts w:ascii="Times New Roman"/>
        </w:rPr>
        <w:fldChar w:fldCharType="begin"/>
      </w:r>
      <w:r>
        <w:rPr>
          <w:rFonts w:ascii="Times New Roman"/>
        </w:rPr>
        <w:instrText xml:space="preserve"> </w:instrText>
      </w:r>
      <w:r>
        <w:rPr>
          <w:rFonts w:hint="eastAsia" w:ascii="Times New Roman"/>
        </w:rPr>
        <w:instrText xml:space="preserve">= 2 \* GB3</w:instrText>
      </w:r>
      <w:r>
        <w:rPr>
          <w:rFonts w:ascii="Times New Roman"/>
        </w:rPr>
        <w:instrText xml:space="preserve"> </w:instrText>
      </w:r>
      <w:r>
        <w:rPr>
          <w:rFonts w:ascii="Times New Roman"/>
        </w:rPr>
        <w:fldChar w:fldCharType="separate"/>
      </w:r>
      <w:r>
        <w:rPr>
          <w:rFonts w:hint="eastAsia" w:ascii="Times New Roman"/>
        </w:rPr>
        <w:t>②</w:t>
      </w:r>
      <w:r>
        <w:rPr>
          <w:rFonts w:ascii="Times New Roman"/>
        </w:rPr>
        <w:fldChar w:fldCharType="end"/>
      </w:r>
      <w:r>
        <w:rPr>
          <w:rFonts w:ascii="Times New Roman"/>
        </w:rPr>
        <w:t>生物质碳源生产工艺不应使用国家或有关部门已发布的淘汰或禁止的技术、工艺或材料，且不得采用超期或过期的原辅材料和生产设备。</w:t>
      </w:r>
      <w:r>
        <w:rPr>
          <w:rFonts w:ascii="Times New Roman"/>
        </w:rPr>
        <w:fldChar w:fldCharType="begin"/>
      </w:r>
      <w:r>
        <w:rPr>
          <w:rFonts w:ascii="Times New Roman"/>
        </w:rPr>
        <w:instrText xml:space="preserve"> </w:instrText>
      </w:r>
      <w:r>
        <w:rPr>
          <w:rFonts w:hint="eastAsia" w:ascii="Times New Roman"/>
        </w:rPr>
        <w:instrText xml:space="preserve">= 3 \* GB3</w:instrText>
      </w:r>
      <w:r>
        <w:rPr>
          <w:rFonts w:ascii="Times New Roman"/>
        </w:rPr>
        <w:instrText xml:space="preserve"> </w:instrText>
      </w:r>
      <w:r>
        <w:rPr>
          <w:rFonts w:ascii="Times New Roman"/>
        </w:rPr>
        <w:fldChar w:fldCharType="separate"/>
      </w:r>
      <w:r>
        <w:rPr>
          <w:rFonts w:hint="eastAsia" w:ascii="Times New Roman"/>
        </w:rPr>
        <w:t>③</w:t>
      </w:r>
      <w:r>
        <w:rPr>
          <w:rFonts w:ascii="Times New Roman"/>
        </w:rPr>
        <w:fldChar w:fldCharType="end"/>
      </w:r>
      <w:r>
        <w:rPr>
          <w:rFonts w:hint="eastAsia" w:ascii="Times New Roman"/>
        </w:rPr>
        <w:t>生物质碳源生产过</w:t>
      </w:r>
      <w:r>
        <w:rPr>
          <w:rFonts w:ascii="Times New Roman"/>
        </w:rPr>
        <w:t>程应采取有效措施，确保操作人员及环境的安全与健康，防止发生危及人身或</w:t>
      </w:r>
      <w:r>
        <w:rPr>
          <w:rFonts w:hint="eastAsia" w:ascii="Times New Roman"/>
        </w:rPr>
        <w:t>环境</w:t>
      </w:r>
      <w:r>
        <w:rPr>
          <w:rFonts w:ascii="Times New Roman"/>
        </w:rPr>
        <w:t>的安全</w:t>
      </w:r>
      <w:r>
        <w:rPr>
          <w:rFonts w:hint="eastAsia" w:ascii="Times New Roman"/>
        </w:rPr>
        <w:t>与健康</w:t>
      </w:r>
      <w:r>
        <w:rPr>
          <w:rFonts w:ascii="Times New Roman"/>
        </w:rPr>
        <w:t>风险。</w:t>
      </w:r>
    </w:p>
    <w:p w14:paraId="74FDA112">
      <w:pPr>
        <w:pStyle w:val="28"/>
        <w:widowControl w:val="0"/>
        <w:spacing w:line="360" w:lineRule="auto"/>
        <w:rPr>
          <w:rFonts w:hint="eastAsia" w:ascii="Times New Roman"/>
        </w:rPr>
      </w:pPr>
      <w:r>
        <w:rPr>
          <w:rFonts w:hint="eastAsia" w:ascii="Times New Roman"/>
        </w:rPr>
        <w:t>本标准采用的技术路线为：</w:t>
      </w:r>
    </w:p>
    <w:p w14:paraId="284C6DF6">
      <w:pPr>
        <w:pStyle w:val="28"/>
        <w:widowControl w:val="0"/>
        <w:spacing w:line="360" w:lineRule="auto"/>
        <w:rPr>
          <w:rFonts w:hint="eastAsia" w:ascii="Times New Roman"/>
        </w:rPr>
      </w:pPr>
      <w:r>
        <w:rPr>
          <w:rFonts w:hint="eastAsia" w:ascii="Times New Roman"/>
        </w:rPr>
        <w:t>原料预处理 → 发酵 → 固液分离 → 脱氮除磷 → 浓缩 → 灭菌 → 生物质碳源</w:t>
      </w:r>
    </w:p>
    <w:p w14:paraId="15E69E1F">
      <w:pPr>
        <w:pStyle w:val="28"/>
        <w:widowControl w:val="0"/>
        <w:spacing w:line="360" w:lineRule="auto"/>
        <w:rPr>
          <w:rFonts w:hint="eastAsia" w:ascii="Times New Roman"/>
        </w:rPr>
      </w:pPr>
      <w:r>
        <w:rPr>
          <w:rFonts w:hint="eastAsia" w:ascii="Times New Roman"/>
        </w:rPr>
        <w:t>本标准产品的外观与气味为浅黄色液体，具有轻微的发酵味，无不正常异味，无肉眼可见的异物。</w:t>
      </w:r>
    </w:p>
    <w:p w14:paraId="512D98BE">
      <w:pPr>
        <w:pStyle w:val="33"/>
        <w:numPr>
          <w:numId w:val="0"/>
        </w:numPr>
        <w:ind w:left="420" w:leftChars="0"/>
        <w:rPr>
          <w:rFonts w:hint="eastAsia"/>
          <w:b/>
          <w:bCs/>
          <w:lang w:val="en-US" w:eastAsia="zh-CN"/>
        </w:rPr>
      </w:pPr>
      <w:r>
        <w:rPr>
          <w:rFonts w:hint="eastAsia"/>
          <w:b/>
          <w:bCs/>
          <w:lang w:val="en-US" w:eastAsia="zh-CN"/>
        </w:rPr>
        <w:t>3.2.3标准的技术指标</w:t>
      </w:r>
    </w:p>
    <w:p w14:paraId="7D3EED91">
      <w:pPr>
        <w:pStyle w:val="28"/>
        <w:widowControl w:val="0"/>
        <w:spacing w:line="360" w:lineRule="auto"/>
        <w:rPr>
          <w:rFonts w:hint="eastAsia" w:ascii="Times New Roman"/>
        </w:rPr>
      </w:pPr>
      <w:r>
        <w:rPr>
          <w:rFonts w:hint="eastAsia" w:ascii="Times New Roman"/>
        </w:rPr>
        <w:t>本标准设置了化学需氧量、B/C值、pH值、密度、水不溶物、氨基酸、有机酸（以乳酸计）、氯化物（Cl⁻）、总磷、总氮、汞、镉、铬、砷、铅等指标。见表1。</w:t>
      </w:r>
    </w:p>
    <w:p w14:paraId="3298DB1B">
      <w:pPr>
        <w:pStyle w:val="44"/>
        <w:numPr>
          <w:ilvl w:val="0"/>
          <w:numId w:val="0"/>
        </w:numPr>
        <w:spacing w:before="156" w:after="156"/>
        <w:ind w:left="430" w:firstLine="3150" w:firstLineChars="1500"/>
        <w:jc w:val="both"/>
        <w:rPr>
          <w:rFonts w:ascii="Times New Roman"/>
        </w:rPr>
      </w:pPr>
      <w:r>
        <w:rPr>
          <w:rFonts w:hint="eastAsia" w:ascii="Times New Roman"/>
        </w:rPr>
        <w:t xml:space="preserve">表1 </w:t>
      </w:r>
      <w:r>
        <w:rPr>
          <w:rFonts w:ascii="Times New Roman"/>
        </w:rPr>
        <w:t>生物质碳源技术指标要求</w:t>
      </w:r>
    </w:p>
    <w:tbl>
      <w:tblPr>
        <w:tblStyle w:val="19"/>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5474"/>
        <w:gridCol w:w="4077"/>
      </w:tblGrid>
      <w:tr w14:paraId="6EC718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2865" w:type="pct"/>
            <w:tcBorders>
              <w:bottom w:val="single" w:color="auto" w:sz="8" w:space="0"/>
            </w:tcBorders>
            <w:vAlign w:val="center"/>
          </w:tcPr>
          <w:p w14:paraId="2D1A581A">
            <w:pPr>
              <w:jc w:val="center"/>
              <w:rPr>
                <w:rFonts w:ascii="Times New Roman" w:hAnsi="Times New Roman"/>
                <w:b/>
                <w:bCs/>
                <w:sz w:val="18"/>
              </w:rPr>
            </w:pPr>
            <w:r>
              <w:rPr>
                <w:rFonts w:ascii="Times New Roman" w:hAnsi="Times New Roman"/>
                <w:b/>
                <w:bCs/>
                <w:sz w:val="18"/>
              </w:rPr>
              <w:t>项目</w:t>
            </w:r>
          </w:p>
        </w:tc>
        <w:tc>
          <w:tcPr>
            <w:tcW w:w="2134" w:type="pct"/>
            <w:tcBorders>
              <w:bottom w:val="single" w:color="auto" w:sz="8" w:space="0"/>
            </w:tcBorders>
            <w:vAlign w:val="center"/>
          </w:tcPr>
          <w:p w14:paraId="66B2A73F">
            <w:pPr>
              <w:jc w:val="center"/>
              <w:rPr>
                <w:rFonts w:ascii="Times New Roman" w:hAnsi="Times New Roman"/>
                <w:b/>
                <w:bCs/>
                <w:sz w:val="18"/>
              </w:rPr>
            </w:pPr>
            <w:r>
              <w:rPr>
                <w:rFonts w:ascii="Times New Roman" w:hAnsi="Times New Roman"/>
                <w:b/>
                <w:bCs/>
                <w:sz w:val="18"/>
              </w:rPr>
              <w:t>指标</w:t>
            </w:r>
          </w:p>
        </w:tc>
      </w:tr>
      <w:tr w14:paraId="3B292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tcBorders>
              <w:top w:val="single" w:color="auto" w:sz="8" w:space="0"/>
            </w:tcBorders>
            <w:vAlign w:val="center"/>
          </w:tcPr>
          <w:p w14:paraId="6711D596">
            <w:pPr>
              <w:jc w:val="center"/>
              <w:rPr>
                <w:rFonts w:ascii="Times New Roman" w:hAnsi="Times New Roman"/>
                <w:sz w:val="18"/>
              </w:rPr>
            </w:pPr>
            <w:r>
              <w:rPr>
                <w:rFonts w:ascii="Times New Roman" w:hAnsi="Times New Roman"/>
                <w:sz w:val="18"/>
              </w:rPr>
              <w:t>化学需氧量（COD</w:t>
            </w:r>
            <w:r>
              <w:rPr>
                <w:rFonts w:ascii="Times New Roman" w:hAnsi="Times New Roman"/>
                <w:sz w:val="18"/>
                <w:vertAlign w:val="subscript"/>
              </w:rPr>
              <w:t>cr</w:t>
            </w:r>
            <w:r>
              <w:rPr>
                <w:rFonts w:ascii="Times New Roman" w:hAnsi="Times New Roman"/>
                <w:sz w:val="18"/>
              </w:rPr>
              <w:t>）/（mg/L）</w:t>
            </w:r>
          </w:p>
        </w:tc>
        <w:tc>
          <w:tcPr>
            <w:tcW w:w="2134" w:type="pct"/>
            <w:tcBorders>
              <w:top w:val="single" w:color="auto" w:sz="8" w:space="0"/>
            </w:tcBorders>
            <w:vAlign w:val="center"/>
          </w:tcPr>
          <w:p w14:paraId="323BCCB6">
            <w:pPr>
              <w:jc w:val="center"/>
              <w:rPr>
                <w:rFonts w:ascii="Times New Roman" w:hAnsi="Times New Roman"/>
                <w:sz w:val="18"/>
              </w:rPr>
            </w:pPr>
            <w:r>
              <w:rPr>
                <w:rFonts w:ascii="Times New Roman" w:hAnsi="Times New Roman"/>
                <w:sz w:val="18"/>
              </w:rPr>
              <w:t>≥1.5×10⁵</w:t>
            </w:r>
          </w:p>
        </w:tc>
      </w:tr>
      <w:tr w14:paraId="0A2F07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34D1BB80">
            <w:pPr>
              <w:jc w:val="center"/>
              <w:rPr>
                <w:rFonts w:ascii="Times New Roman" w:hAnsi="Times New Roman"/>
                <w:sz w:val="18"/>
              </w:rPr>
            </w:pPr>
            <w:r>
              <w:rPr>
                <w:rFonts w:ascii="Times New Roman" w:hAnsi="Times New Roman"/>
                <w:sz w:val="18"/>
              </w:rPr>
              <w:t>BOD₅/COD</w:t>
            </w:r>
            <w:r>
              <w:rPr>
                <w:rFonts w:ascii="Times New Roman" w:hAnsi="Times New Roman"/>
                <w:sz w:val="18"/>
                <w:vertAlign w:val="subscript"/>
              </w:rPr>
              <w:t>cr</w:t>
            </w:r>
          </w:p>
        </w:tc>
        <w:tc>
          <w:tcPr>
            <w:tcW w:w="2134" w:type="pct"/>
            <w:vAlign w:val="center"/>
          </w:tcPr>
          <w:p w14:paraId="6D12ED85">
            <w:pPr>
              <w:jc w:val="center"/>
              <w:rPr>
                <w:rFonts w:ascii="Times New Roman" w:hAnsi="Times New Roman"/>
                <w:sz w:val="18"/>
              </w:rPr>
            </w:pPr>
            <w:r>
              <w:rPr>
                <w:rFonts w:ascii="Times New Roman" w:hAnsi="Times New Roman"/>
                <w:sz w:val="18"/>
              </w:rPr>
              <w:t>≥0.6</w:t>
            </w:r>
          </w:p>
        </w:tc>
      </w:tr>
      <w:tr w14:paraId="16AC72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2865" w:type="pct"/>
            <w:vAlign w:val="center"/>
          </w:tcPr>
          <w:p w14:paraId="4934CB95">
            <w:pPr>
              <w:jc w:val="center"/>
              <w:rPr>
                <w:rFonts w:ascii="Times New Roman" w:hAnsi="Times New Roman"/>
                <w:sz w:val="18"/>
              </w:rPr>
            </w:pPr>
            <w:r>
              <w:rPr>
                <w:rFonts w:ascii="Times New Roman" w:hAnsi="Times New Roman"/>
                <w:sz w:val="18"/>
              </w:rPr>
              <w:t>pH 值</w:t>
            </w:r>
          </w:p>
        </w:tc>
        <w:tc>
          <w:tcPr>
            <w:tcW w:w="2134" w:type="pct"/>
            <w:vAlign w:val="center"/>
          </w:tcPr>
          <w:p w14:paraId="0972DD9C">
            <w:pPr>
              <w:jc w:val="center"/>
              <w:rPr>
                <w:rFonts w:ascii="Times New Roman" w:hAnsi="Times New Roman"/>
                <w:sz w:val="18"/>
              </w:rPr>
            </w:pPr>
            <w:r>
              <w:rPr>
                <w:rFonts w:ascii="Times New Roman" w:hAnsi="Times New Roman"/>
                <w:sz w:val="18"/>
              </w:rPr>
              <w:t>3.0</w:t>
            </w:r>
            <w:r>
              <w:rPr>
                <w:rFonts w:hint="eastAsia" w:ascii="Times New Roman" w:hAnsi="Times New Roman"/>
                <w:sz w:val="18"/>
              </w:rPr>
              <w:t>~9</w:t>
            </w:r>
            <w:r>
              <w:rPr>
                <w:rFonts w:ascii="Times New Roman" w:hAnsi="Times New Roman"/>
                <w:sz w:val="18"/>
              </w:rPr>
              <w:t>.0</w:t>
            </w:r>
          </w:p>
        </w:tc>
      </w:tr>
      <w:tr w14:paraId="20B316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70A8E801">
            <w:pPr>
              <w:jc w:val="center"/>
              <w:rPr>
                <w:rFonts w:ascii="Times New Roman" w:hAnsi="Times New Roman"/>
                <w:sz w:val="18"/>
              </w:rPr>
            </w:pPr>
            <w:r>
              <w:rPr>
                <w:rFonts w:ascii="Times New Roman" w:hAnsi="Times New Roman"/>
                <w:sz w:val="18"/>
              </w:rPr>
              <w:t>密度（20℃）/（g/cm</w:t>
            </w:r>
            <w:r>
              <w:rPr>
                <w:rFonts w:ascii="Times New Roman" w:hAnsi="Times New Roman"/>
                <w:sz w:val="18"/>
                <w:vertAlign w:val="superscript"/>
              </w:rPr>
              <w:t>3</w:t>
            </w:r>
            <w:r>
              <w:rPr>
                <w:rFonts w:ascii="Times New Roman" w:hAnsi="Times New Roman"/>
                <w:sz w:val="18"/>
              </w:rPr>
              <w:t>）</w:t>
            </w:r>
          </w:p>
        </w:tc>
        <w:tc>
          <w:tcPr>
            <w:tcW w:w="2134" w:type="pct"/>
            <w:vAlign w:val="center"/>
          </w:tcPr>
          <w:p w14:paraId="1AD962E1">
            <w:pPr>
              <w:jc w:val="center"/>
              <w:rPr>
                <w:rFonts w:ascii="Times New Roman" w:hAnsi="Times New Roman"/>
                <w:sz w:val="18"/>
              </w:rPr>
            </w:pPr>
            <w:r>
              <w:rPr>
                <w:rFonts w:ascii="Times New Roman" w:hAnsi="Times New Roman"/>
                <w:sz w:val="18"/>
              </w:rPr>
              <w:t>1.00</w:t>
            </w:r>
            <w:r>
              <w:rPr>
                <w:rFonts w:hint="eastAsia" w:ascii="Times New Roman" w:hAnsi="Times New Roman"/>
                <w:sz w:val="18"/>
              </w:rPr>
              <w:t>~</w:t>
            </w:r>
            <w:r>
              <w:rPr>
                <w:rFonts w:ascii="Times New Roman" w:hAnsi="Times New Roman"/>
                <w:sz w:val="18"/>
              </w:rPr>
              <w:t>1.</w:t>
            </w:r>
            <w:r>
              <w:rPr>
                <w:rFonts w:hint="eastAsia" w:ascii="Times New Roman" w:hAnsi="Times New Roman"/>
                <w:sz w:val="18"/>
              </w:rPr>
              <w:t>30</w:t>
            </w:r>
          </w:p>
        </w:tc>
      </w:tr>
      <w:tr w14:paraId="333CFC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1176C2A7">
            <w:pPr>
              <w:jc w:val="center"/>
              <w:rPr>
                <w:rFonts w:ascii="Times New Roman" w:hAnsi="Times New Roman"/>
                <w:sz w:val="18"/>
              </w:rPr>
            </w:pPr>
            <w:r>
              <w:rPr>
                <w:rFonts w:ascii="Times New Roman" w:hAnsi="Times New Roman"/>
                <w:sz w:val="18"/>
              </w:rPr>
              <w:t>水不溶物的质量分数 /%</w:t>
            </w:r>
          </w:p>
        </w:tc>
        <w:tc>
          <w:tcPr>
            <w:tcW w:w="2134" w:type="pct"/>
            <w:vAlign w:val="center"/>
          </w:tcPr>
          <w:p w14:paraId="141636B2">
            <w:pPr>
              <w:jc w:val="center"/>
              <w:rPr>
                <w:rFonts w:ascii="Times New Roman" w:hAnsi="Times New Roman"/>
                <w:sz w:val="18"/>
              </w:rPr>
            </w:pPr>
            <w:r>
              <w:rPr>
                <w:rFonts w:ascii="Times New Roman" w:hAnsi="Times New Roman"/>
                <w:sz w:val="18"/>
              </w:rPr>
              <w:t>≤0.2</w:t>
            </w:r>
          </w:p>
        </w:tc>
      </w:tr>
      <w:tr w14:paraId="65EC5E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45B7DF35">
            <w:pPr>
              <w:jc w:val="center"/>
              <w:rPr>
                <w:rFonts w:ascii="Times New Roman" w:hAnsi="Times New Roman"/>
                <w:sz w:val="18"/>
              </w:rPr>
            </w:pPr>
            <w:r>
              <w:rPr>
                <w:rFonts w:ascii="Times New Roman" w:hAnsi="Times New Roman"/>
                <w:sz w:val="18"/>
              </w:rPr>
              <w:t>氨基酸 /%</w:t>
            </w:r>
          </w:p>
        </w:tc>
        <w:tc>
          <w:tcPr>
            <w:tcW w:w="2134" w:type="pct"/>
            <w:vAlign w:val="center"/>
          </w:tcPr>
          <w:p w14:paraId="39FACF38">
            <w:pPr>
              <w:jc w:val="center"/>
              <w:rPr>
                <w:rFonts w:ascii="Times New Roman" w:hAnsi="Times New Roman"/>
                <w:sz w:val="18"/>
              </w:rPr>
            </w:pPr>
            <w:r>
              <w:rPr>
                <w:rFonts w:ascii="Times New Roman" w:hAnsi="Times New Roman"/>
                <w:sz w:val="18"/>
              </w:rPr>
              <w:t>≥0.2</w:t>
            </w:r>
          </w:p>
        </w:tc>
      </w:tr>
      <w:tr w14:paraId="516ED6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37F04A14">
            <w:pPr>
              <w:jc w:val="center"/>
              <w:rPr>
                <w:rFonts w:ascii="Times New Roman" w:hAnsi="Times New Roman"/>
                <w:sz w:val="18"/>
              </w:rPr>
            </w:pPr>
            <w:r>
              <w:rPr>
                <w:rFonts w:ascii="Times New Roman" w:hAnsi="Times New Roman"/>
                <w:sz w:val="18"/>
              </w:rPr>
              <w:t xml:space="preserve">有机酸 </w:t>
            </w:r>
            <w:r>
              <w:rPr>
                <w:rFonts w:hint="eastAsia" w:ascii="Times New Roman" w:hAnsi="Times New Roman"/>
                <w:sz w:val="18"/>
                <w:lang w:eastAsia="zh-CN"/>
              </w:rPr>
              <w:t>（</w:t>
            </w:r>
            <w:r>
              <w:rPr>
                <w:rFonts w:hint="eastAsia" w:ascii="Times New Roman" w:hAnsi="Times New Roman"/>
                <w:sz w:val="18"/>
              </w:rPr>
              <w:t>以乳酸计</w:t>
            </w:r>
            <w:r>
              <w:rPr>
                <w:rFonts w:hint="eastAsia" w:ascii="Times New Roman" w:hAnsi="Times New Roman"/>
                <w:sz w:val="18"/>
                <w:lang w:eastAsia="zh-CN"/>
              </w:rPr>
              <w:t>）</w:t>
            </w:r>
            <w:r>
              <w:rPr>
                <w:rFonts w:ascii="Times New Roman" w:hAnsi="Times New Roman"/>
                <w:sz w:val="18"/>
              </w:rPr>
              <w:t>/%</w:t>
            </w:r>
          </w:p>
        </w:tc>
        <w:tc>
          <w:tcPr>
            <w:tcW w:w="2134" w:type="pct"/>
            <w:vAlign w:val="center"/>
          </w:tcPr>
          <w:p w14:paraId="1856B51D">
            <w:pPr>
              <w:jc w:val="center"/>
              <w:rPr>
                <w:rFonts w:ascii="Times New Roman" w:hAnsi="Times New Roman"/>
                <w:sz w:val="18"/>
              </w:rPr>
            </w:pPr>
            <w:r>
              <w:rPr>
                <w:rFonts w:ascii="Times New Roman" w:hAnsi="Times New Roman"/>
                <w:sz w:val="18"/>
              </w:rPr>
              <w:t>≥2</w:t>
            </w:r>
          </w:p>
        </w:tc>
      </w:tr>
      <w:tr w14:paraId="4B079F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24344CD2">
            <w:pPr>
              <w:jc w:val="center"/>
              <w:rPr>
                <w:rFonts w:ascii="Times New Roman" w:hAnsi="Times New Roman"/>
                <w:sz w:val="18"/>
              </w:rPr>
            </w:pPr>
            <w:r>
              <w:rPr>
                <w:rFonts w:ascii="Times New Roman" w:hAnsi="Times New Roman"/>
                <w:sz w:val="18"/>
              </w:rPr>
              <w:t>氯化物（Cl⁻）的质量分数 /%</w:t>
            </w:r>
          </w:p>
        </w:tc>
        <w:tc>
          <w:tcPr>
            <w:tcW w:w="2134" w:type="pct"/>
            <w:vAlign w:val="center"/>
          </w:tcPr>
          <w:p w14:paraId="0573EAE9">
            <w:pPr>
              <w:jc w:val="center"/>
              <w:rPr>
                <w:rFonts w:ascii="Times New Roman" w:hAnsi="Times New Roman"/>
                <w:sz w:val="18"/>
              </w:rPr>
            </w:pPr>
            <w:r>
              <w:rPr>
                <w:rFonts w:ascii="Times New Roman" w:hAnsi="Times New Roman"/>
                <w:sz w:val="18"/>
              </w:rPr>
              <w:t>≤0.6</w:t>
            </w:r>
          </w:p>
        </w:tc>
      </w:tr>
      <w:tr w14:paraId="0864D1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7E74187B">
            <w:pPr>
              <w:jc w:val="center"/>
              <w:rPr>
                <w:rFonts w:ascii="Times New Roman" w:hAnsi="Times New Roman"/>
                <w:sz w:val="18"/>
              </w:rPr>
            </w:pPr>
            <w:r>
              <w:rPr>
                <w:rFonts w:ascii="Times New Roman" w:hAnsi="Times New Roman"/>
                <w:sz w:val="18"/>
              </w:rPr>
              <w:t>总磷（以 P 计）的质量分数 /%</w:t>
            </w:r>
          </w:p>
        </w:tc>
        <w:tc>
          <w:tcPr>
            <w:tcW w:w="2134" w:type="pct"/>
            <w:vAlign w:val="center"/>
          </w:tcPr>
          <w:p w14:paraId="46DC3187">
            <w:pPr>
              <w:jc w:val="center"/>
              <w:rPr>
                <w:rFonts w:ascii="Times New Roman" w:hAnsi="Times New Roman"/>
                <w:sz w:val="18"/>
              </w:rPr>
            </w:pPr>
            <w:r>
              <w:rPr>
                <w:rFonts w:ascii="Times New Roman" w:hAnsi="Times New Roman"/>
                <w:sz w:val="18"/>
              </w:rPr>
              <w:t>≤0.06</w:t>
            </w:r>
          </w:p>
        </w:tc>
      </w:tr>
      <w:tr w14:paraId="541929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1ED34874">
            <w:pPr>
              <w:jc w:val="center"/>
              <w:rPr>
                <w:rFonts w:ascii="Times New Roman" w:hAnsi="Times New Roman"/>
                <w:sz w:val="18"/>
              </w:rPr>
            </w:pPr>
            <w:r>
              <w:rPr>
                <w:rFonts w:ascii="Times New Roman" w:hAnsi="Times New Roman"/>
                <w:sz w:val="18"/>
              </w:rPr>
              <w:t>总氮（以 N 计）的质量分数 /%</w:t>
            </w:r>
          </w:p>
        </w:tc>
        <w:tc>
          <w:tcPr>
            <w:tcW w:w="2134" w:type="pct"/>
            <w:vAlign w:val="center"/>
          </w:tcPr>
          <w:p w14:paraId="2A8F3CB8">
            <w:pPr>
              <w:jc w:val="center"/>
              <w:rPr>
                <w:rFonts w:ascii="Times New Roman" w:hAnsi="Times New Roman"/>
                <w:sz w:val="18"/>
              </w:rPr>
            </w:pPr>
            <w:r>
              <w:rPr>
                <w:rFonts w:ascii="Times New Roman" w:hAnsi="Times New Roman"/>
                <w:sz w:val="18"/>
              </w:rPr>
              <w:t>≤0.6</w:t>
            </w:r>
          </w:p>
        </w:tc>
      </w:tr>
      <w:tr w14:paraId="044616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645E9D3D">
            <w:pPr>
              <w:jc w:val="center"/>
              <w:rPr>
                <w:rFonts w:ascii="Times New Roman" w:hAnsi="Times New Roman"/>
                <w:sz w:val="18"/>
              </w:rPr>
            </w:pPr>
            <w:r>
              <w:rPr>
                <w:rFonts w:ascii="Times New Roman" w:hAnsi="Times New Roman"/>
                <w:sz w:val="18"/>
              </w:rPr>
              <w:t>汞（Hg）含量 mg/L</w:t>
            </w:r>
          </w:p>
        </w:tc>
        <w:tc>
          <w:tcPr>
            <w:tcW w:w="2134" w:type="pct"/>
            <w:vAlign w:val="center"/>
          </w:tcPr>
          <w:p w14:paraId="1CC31D41">
            <w:pPr>
              <w:jc w:val="center"/>
              <w:rPr>
                <w:rFonts w:ascii="Times New Roman" w:hAnsi="Times New Roman"/>
                <w:sz w:val="18"/>
              </w:rPr>
            </w:pPr>
            <w:r>
              <w:rPr>
                <w:rFonts w:ascii="Times New Roman" w:hAnsi="Times New Roman"/>
                <w:sz w:val="18"/>
              </w:rPr>
              <w:t>≤0.2</w:t>
            </w:r>
          </w:p>
        </w:tc>
      </w:tr>
      <w:tr w14:paraId="23F7E2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0FD0E567">
            <w:pPr>
              <w:jc w:val="center"/>
              <w:rPr>
                <w:rFonts w:ascii="Times New Roman" w:hAnsi="Times New Roman"/>
                <w:sz w:val="18"/>
              </w:rPr>
            </w:pPr>
            <w:r>
              <w:rPr>
                <w:rFonts w:ascii="Times New Roman" w:hAnsi="Times New Roman"/>
                <w:sz w:val="18"/>
              </w:rPr>
              <w:t>镉（Cd）含量 mg/L</w:t>
            </w:r>
          </w:p>
        </w:tc>
        <w:tc>
          <w:tcPr>
            <w:tcW w:w="2134" w:type="pct"/>
            <w:vAlign w:val="center"/>
          </w:tcPr>
          <w:p w14:paraId="5BFD6AD2">
            <w:pPr>
              <w:jc w:val="center"/>
              <w:rPr>
                <w:rFonts w:ascii="Times New Roman" w:hAnsi="Times New Roman"/>
                <w:sz w:val="18"/>
              </w:rPr>
            </w:pPr>
            <w:r>
              <w:rPr>
                <w:rFonts w:ascii="Times New Roman" w:hAnsi="Times New Roman"/>
                <w:sz w:val="18"/>
              </w:rPr>
              <w:t>≤</w:t>
            </w:r>
            <w:r>
              <w:rPr>
                <w:rFonts w:hint="eastAsia" w:ascii="Times New Roman" w:hAnsi="Times New Roman"/>
                <w:sz w:val="18"/>
              </w:rPr>
              <w:t>1</w:t>
            </w:r>
          </w:p>
        </w:tc>
      </w:tr>
      <w:tr w14:paraId="7A485E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77B10F37">
            <w:pPr>
              <w:jc w:val="center"/>
              <w:rPr>
                <w:rFonts w:ascii="Times New Roman" w:hAnsi="Times New Roman"/>
                <w:sz w:val="18"/>
              </w:rPr>
            </w:pPr>
            <w:r>
              <w:rPr>
                <w:rFonts w:ascii="Times New Roman" w:hAnsi="Times New Roman"/>
                <w:sz w:val="18"/>
              </w:rPr>
              <w:t>铬（Cr）含量 mg/L</w:t>
            </w:r>
          </w:p>
        </w:tc>
        <w:tc>
          <w:tcPr>
            <w:tcW w:w="2134" w:type="pct"/>
            <w:vAlign w:val="center"/>
          </w:tcPr>
          <w:p w14:paraId="5EA1A51E">
            <w:pPr>
              <w:jc w:val="center"/>
              <w:rPr>
                <w:rFonts w:ascii="Times New Roman" w:hAnsi="Times New Roman"/>
                <w:sz w:val="18"/>
              </w:rPr>
            </w:pPr>
            <w:r>
              <w:rPr>
                <w:rFonts w:ascii="Times New Roman" w:hAnsi="Times New Roman"/>
                <w:sz w:val="18"/>
              </w:rPr>
              <w:t>≤</w:t>
            </w:r>
            <w:r>
              <w:rPr>
                <w:rFonts w:hint="eastAsia" w:ascii="Times New Roman" w:hAnsi="Times New Roman"/>
                <w:sz w:val="18"/>
              </w:rPr>
              <w:t>2</w:t>
            </w:r>
          </w:p>
        </w:tc>
      </w:tr>
      <w:tr w14:paraId="7176CC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4566851F">
            <w:pPr>
              <w:jc w:val="center"/>
              <w:rPr>
                <w:rFonts w:ascii="Times New Roman" w:hAnsi="Times New Roman"/>
                <w:sz w:val="18"/>
              </w:rPr>
            </w:pPr>
            <w:r>
              <w:rPr>
                <w:rFonts w:ascii="Times New Roman" w:hAnsi="Times New Roman"/>
                <w:sz w:val="18"/>
              </w:rPr>
              <w:t>砷（As）含量 mg/L</w:t>
            </w:r>
          </w:p>
        </w:tc>
        <w:tc>
          <w:tcPr>
            <w:tcW w:w="2134" w:type="pct"/>
            <w:vAlign w:val="center"/>
          </w:tcPr>
          <w:p w14:paraId="090DCCCF">
            <w:pPr>
              <w:jc w:val="center"/>
              <w:rPr>
                <w:rFonts w:ascii="Times New Roman" w:hAnsi="Times New Roman"/>
                <w:sz w:val="18"/>
              </w:rPr>
            </w:pPr>
            <w:r>
              <w:rPr>
                <w:rFonts w:ascii="Times New Roman" w:hAnsi="Times New Roman"/>
                <w:sz w:val="18"/>
              </w:rPr>
              <w:t>≤</w:t>
            </w:r>
            <w:r>
              <w:rPr>
                <w:rFonts w:hint="eastAsia" w:ascii="Times New Roman" w:hAnsi="Times New Roman"/>
                <w:sz w:val="18"/>
              </w:rPr>
              <w:t>2</w:t>
            </w:r>
          </w:p>
        </w:tc>
      </w:tr>
      <w:tr w14:paraId="6FF385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865" w:type="pct"/>
            <w:vAlign w:val="center"/>
          </w:tcPr>
          <w:p w14:paraId="759BF019">
            <w:pPr>
              <w:jc w:val="center"/>
              <w:rPr>
                <w:rFonts w:ascii="Times New Roman" w:hAnsi="Times New Roman"/>
                <w:sz w:val="18"/>
              </w:rPr>
            </w:pPr>
            <w:r>
              <w:rPr>
                <w:rFonts w:ascii="Times New Roman" w:hAnsi="Times New Roman"/>
                <w:sz w:val="18"/>
              </w:rPr>
              <w:t>铅（Pb）含量 mg/L</w:t>
            </w:r>
          </w:p>
        </w:tc>
        <w:tc>
          <w:tcPr>
            <w:tcW w:w="2134" w:type="pct"/>
            <w:vAlign w:val="center"/>
          </w:tcPr>
          <w:p w14:paraId="7A56D342">
            <w:pPr>
              <w:jc w:val="center"/>
              <w:rPr>
                <w:rFonts w:ascii="Times New Roman" w:hAnsi="Times New Roman"/>
                <w:sz w:val="18"/>
              </w:rPr>
            </w:pPr>
            <w:r>
              <w:rPr>
                <w:rFonts w:ascii="Times New Roman" w:hAnsi="Times New Roman"/>
                <w:sz w:val="18"/>
              </w:rPr>
              <w:t>≤</w:t>
            </w:r>
            <w:r>
              <w:rPr>
                <w:rFonts w:hint="eastAsia" w:ascii="Times New Roman" w:hAnsi="Times New Roman"/>
                <w:sz w:val="18"/>
              </w:rPr>
              <w:t>2</w:t>
            </w:r>
          </w:p>
        </w:tc>
      </w:tr>
    </w:tbl>
    <w:p w14:paraId="55544D1F">
      <w:pPr>
        <w:pStyle w:val="33"/>
        <w:ind w:firstLine="420"/>
      </w:pPr>
      <w:r>
        <w:rPr>
          <w:rFonts w:hint="eastAsia"/>
        </w:rPr>
        <w:t>本标准</w:t>
      </w:r>
      <w:r>
        <w:rPr>
          <w:rFonts w:hint="eastAsia"/>
          <w:lang w:eastAsia="zh-CN"/>
        </w:rPr>
        <w:t>设置了</w:t>
      </w:r>
      <w:r>
        <w:t>安全性能</w:t>
      </w:r>
      <w:r>
        <w:rPr>
          <w:rFonts w:hint="eastAsia"/>
        </w:rPr>
        <w:t>控制</w:t>
      </w:r>
      <w:r>
        <w:t>指标</w:t>
      </w:r>
      <w:r>
        <w:rPr>
          <w:rFonts w:hint="eastAsia"/>
        </w:rPr>
        <w:t>，见</w:t>
      </w:r>
      <w:r>
        <w:t>表2。</w:t>
      </w:r>
    </w:p>
    <w:p w14:paraId="1E1F72EF">
      <w:pPr>
        <w:pStyle w:val="44"/>
        <w:numPr>
          <w:ilvl w:val="0"/>
          <w:numId w:val="0"/>
        </w:numPr>
        <w:spacing w:before="156" w:after="156"/>
        <w:rPr>
          <w:rFonts w:ascii="Times New Roman"/>
        </w:rPr>
      </w:pPr>
      <w:r>
        <w:rPr>
          <w:rFonts w:hint="eastAsia" w:ascii="Times New Roman"/>
        </w:rPr>
        <w:t xml:space="preserve">表2 </w:t>
      </w:r>
      <w:r>
        <w:rPr>
          <w:rFonts w:ascii="Times New Roman"/>
        </w:rPr>
        <w:t>生物质碳源产品安全指标要求</w:t>
      </w:r>
    </w:p>
    <w:tbl>
      <w:tblPr>
        <w:tblStyle w:val="1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667"/>
        <w:gridCol w:w="4667"/>
      </w:tblGrid>
      <w:tr w14:paraId="547B46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667" w:type="dxa"/>
            <w:tcBorders>
              <w:bottom w:val="single" w:color="auto" w:sz="8" w:space="0"/>
            </w:tcBorders>
            <w:vAlign w:val="center"/>
          </w:tcPr>
          <w:p w14:paraId="3788F80B">
            <w:pPr>
              <w:jc w:val="center"/>
              <w:rPr>
                <w:rFonts w:ascii="Times New Roman" w:hAnsi="Times New Roman"/>
                <w:b/>
                <w:bCs/>
                <w:sz w:val="18"/>
              </w:rPr>
            </w:pPr>
            <w:r>
              <w:rPr>
                <w:rFonts w:ascii="Times New Roman" w:hAnsi="Times New Roman"/>
                <w:b/>
                <w:bCs/>
                <w:sz w:val="18"/>
              </w:rPr>
              <w:t>环境安全控制指标</w:t>
            </w:r>
          </w:p>
        </w:tc>
        <w:tc>
          <w:tcPr>
            <w:tcW w:w="4667" w:type="dxa"/>
            <w:tcBorders>
              <w:bottom w:val="single" w:color="auto" w:sz="8" w:space="0"/>
            </w:tcBorders>
            <w:vAlign w:val="center"/>
          </w:tcPr>
          <w:p w14:paraId="1CA080D6">
            <w:pPr>
              <w:jc w:val="center"/>
              <w:rPr>
                <w:rFonts w:ascii="Times New Roman" w:hAnsi="Times New Roman"/>
                <w:b/>
                <w:bCs/>
                <w:sz w:val="18"/>
              </w:rPr>
            </w:pPr>
            <w:r>
              <w:rPr>
                <w:rFonts w:ascii="Times New Roman" w:hAnsi="Times New Roman"/>
                <w:b/>
                <w:bCs/>
                <w:sz w:val="18"/>
              </w:rPr>
              <w:t>指标</w:t>
            </w:r>
          </w:p>
        </w:tc>
      </w:tr>
      <w:tr w14:paraId="1F6518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67" w:type="dxa"/>
            <w:tcBorders>
              <w:top w:val="single" w:color="auto" w:sz="8" w:space="0"/>
              <w:bottom w:val="single" w:color="auto" w:sz="8" w:space="0"/>
            </w:tcBorders>
            <w:vAlign w:val="center"/>
          </w:tcPr>
          <w:p w14:paraId="183DC577">
            <w:pPr>
              <w:jc w:val="center"/>
              <w:rPr>
                <w:rFonts w:ascii="Times New Roman" w:hAnsi="Times New Roman"/>
                <w:sz w:val="18"/>
              </w:rPr>
            </w:pPr>
            <w:r>
              <w:rPr>
                <w:rFonts w:ascii="Times New Roman" w:hAnsi="Times New Roman"/>
                <w:sz w:val="18"/>
              </w:rPr>
              <w:t>易燃易爆危险性，闪点 /℃</w:t>
            </w:r>
          </w:p>
        </w:tc>
        <w:tc>
          <w:tcPr>
            <w:tcW w:w="4667" w:type="dxa"/>
            <w:tcBorders>
              <w:top w:val="single" w:color="auto" w:sz="8" w:space="0"/>
              <w:bottom w:val="single" w:color="auto" w:sz="8" w:space="0"/>
            </w:tcBorders>
            <w:vAlign w:val="center"/>
          </w:tcPr>
          <w:p w14:paraId="14CD3489">
            <w:pPr>
              <w:jc w:val="center"/>
              <w:rPr>
                <w:rFonts w:ascii="Times New Roman" w:hAnsi="Times New Roman"/>
                <w:sz w:val="18"/>
              </w:rPr>
            </w:pPr>
            <w:r>
              <w:rPr>
                <w:rFonts w:hint="eastAsia" w:ascii="Times New Roman" w:hAnsi="Times New Roman"/>
                <w:sz w:val="18"/>
              </w:rPr>
              <w:t>&gt;60</w:t>
            </w:r>
            <w:r>
              <w:rPr>
                <w:rFonts w:ascii="Times New Roman" w:hAnsi="Times New Roman"/>
                <w:sz w:val="18"/>
              </w:rPr>
              <w:t>.0</w:t>
            </w:r>
          </w:p>
        </w:tc>
      </w:tr>
      <w:tr w14:paraId="6F2B4C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67" w:type="dxa"/>
            <w:tcBorders>
              <w:top w:val="single" w:color="auto" w:sz="8" w:space="0"/>
            </w:tcBorders>
            <w:vAlign w:val="center"/>
          </w:tcPr>
          <w:p w14:paraId="045B71D9">
            <w:pPr>
              <w:jc w:val="center"/>
              <w:rPr>
                <w:rFonts w:ascii="Times New Roman" w:hAnsi="Times New Roman"/>
                <w:sz w:val="18"/>
              </w:rPr>
            </w:pPr>
            <w:bookmarkStart w:id="7" w:name="OLE_LINK2"/>
            <w:r>
              <w:t>金属腐蚀速率 /（mm/a）</w:t>
            </w:r>
            <w:bookmarkEnd w:id="7"/>
          </w:p>
        </w:tc>
        <w:tc>
          <w:tcPr>
            <w:tcW w:w="4667" w:type="dxa"/>
            <w:tcBorders>
              <w:top w:val="single" w:color="auto" w:sz="8" w:space="0"/>
            </w:tcBorders>
            <w:vAlign w:val="center"/>
          </w:tcPr>
          <w:p w14:paraId="432B4CBA">
            <w:pPr>
              <w:jc w:val="center"/>
              <w:rPr>
                <w:rFonts w:ascii="Times New Roman" w:hAnsi="Times New Roman"/>
                <w:sz w:val="18"/>
              </w:rPr>
            </w:pPr>
            <w:r>
              <w:t>≤6.</w:t>
            </w:r>
            <w:r>
              <w:rPr>
                <w:rFonts w:hint="eastAsia"/>
              </w:rPr>
              <w:t>2</w:t>
            </w:r>
            <w:r>
              <w:t>5</w:t>
            </w:r>
          </w:p>
        </w:tc>
      </w:tr>
    </w:tbl>
    <w:p w14:paraId="1DBC2140">
      <w:pPr>
        <w:pStyle w:val="33"/>
        <w:keepNext w:val="0"/>
        <w:keepLines w:val="0"/>
        <w:pageBreakBefore w:val="0"/>
        <w:widowControl/>
        <w:numPr>
          <w:ilvl w:val="0"/>
          <w:numId w:val="0"/>
        </w:numPr>
        <w:kinsoku/>
        <w:wordWrap/>
        <w:overflowPunct/>
        <w:topLinePunct w:val="0"/>
        <w:autoSpaceDE w:val="0"/>
        <w:autoSpaceDN w:val="0"/>
        <w:bidi w:val="0"/>
        <w:adjustRightInd/>
        <w:snapToGrid/>
        <w:ind w:left="0" w:leftChars="0" w:firstLine="422" w:firstLineChars="200"/>
        <w:textAlignment w:val="auto"/>
        <w:rPr>
          <w:rFonts w:hint="eastAsia"/>
          <w:b/>
          <w:bCs/>
          <w:lang w:val="en-US" w:eastAsia="zh-CN"/>
        </w:rPr>
      </w:pPr>
      <w:r>
        <w:rPr>
          <w:rFonts w:hint="default"/>
          <w:b/>
          <w:bCs/>
          <w:lang w:val="en-US" w:eastAsia="zh-CN"/>
        </w:rPr>
        <w:t>3.2.</w:t>
      </w:r>
      <w:r>
        <w:rPr>
          <w:rFonts w:hint="eastAsia"/>
          <w:b/>
          <w:bCs/>
          <w:lang w:val="en-US" w:eastAsia="zh-CN"/>
        </w:rPr>
        <w:t>4主要指标参数的确定</w:t>
      </w:r>
    </w:p>
    <w:p w14:paraId="34CFF8A2">
      <w:pPr>
        <w:pStyle w:val="28"/>
        <w:widowControl w:val="0"/>
        <w:spacing w:line="360" w:lineRule="auto"/>
        <w:rPr>
          <w:rFonts w:hint="eastAsia" w:ascii="Times New Roman"/>
          <w:b/>
          <w:bCs/>
        </w:rPr>
      </w:pPr>
      <w:r>
        <w:rPr>
          <w:rFonts w:hint="eastAsia" w:ascii="Times New Roman"/>
          <w:b/>
          <w:bCs/>
        </w:rPr>
        <w:t>化学需氧量</w:t>
      </w:r>
    </w:p>
    <w:p w14:paraId="75021AC9">
      <w:pPr>
        <w:pStyle w:val="28"/>
        <w:widowControl w:val="0"/>
        <w:spacing w:line="360" w:lineRule="auto"/>
        <w:rPr>
          <w:rFonts w:hint="eastAsia" w:ascii="Times New Roman"/>
        </w:rPr>
      </w:pPr>
      <w:r>
        <w:rPr>
          <w:rFonts w:hint="eastAsia" w:ascii="Times New Roman"/>
        </w:rPr>
        <w:t>化学需氧量是本标准的主要指标之一，通过对酿酒企业的调研、统计、分析，综合运输成本、使用单位的要求考虑，将该指标值设定为CODcr≥1.5×10⁵ mg/L。既可以涵盖酿酒企业大部分的发酵液的资源化利用，又能兼顾运输的性价比和客户的使用习惯。</w:t>
      </w:r>
    </w:p>
    <w:p w14:paraId="200F9CAA">
      <w:pPr>
        <w:pStyle w:val="28"/>
        <w:widowControl w:val="0"/>
        <w:spacing w:line="360" w:lineRule="auto"/>
        <w:rPr>
          <w:rFonts w:hint="eastAsia" w:ascii="Times New Roman"/>
          <w:b/>
          <w:bCs/>
        </w:rPr>
      </w:pPr>
      <w:r>
        <w:rPr>
          <w:rFonts w:hint="eastAsia" w:ascii="Times New Roman"/>
          <w:b/>
          <w:bCs/>
        </w:rPr>
        <w:t>B/C值</w:t>
      </w:r>
    </w:p>
    <w:p w14:paraId="6994C5D6">
      <w:pPr>
        <w:pStyle w:val="28"/>
        <w:widowControl w:val="0"/>
        <w:spacing w:line="360" w:lineRule="auto"/>
        <w:rPr>
          <w:rFonts w:hint="eastAsia" w:ascii="Times New Roman"/>
        </w:rPr>
      </w:pPr>
      <w:r>
        <w:rPr>
          <w:rFonts w:hint="eastAsia" w:ascii="Times New Roman"/>
        </w:rPr>
        <w:t>BOD₅/CODcr值是本标准的主要指标之一，其设定值来自于分析、检测统计，都能达到0.6以上。</w:t>
      </w:r>
    </w:p>
    <w:p w14:paraId="26C00A6D">
      <w:pPr>
        <w:pStyle w:val="28"/>
        <w:widowControl w:val="0"/>
        <w:spacing w:line="360" w:lineRule="auto"/>
        <w:rPr>
          <w:rFonts w:hint="eastAsia" w:ascii="Times New Roman"/>
          <w:b/>
          <w:bCs/>
        </w:rPr>
      </w:pPr>
      <w:r>
        <w:rPr>
          <w:rFonts w:hint="eastAsia" w:ascii="Times New Roman"/>
          <w:b/>
          <w:bCs/>
        </w:rPr>
        <w:t>pH值</w:t>
      </w:r>
    </w:p>
    <w:p w14:paraId="15B6FD71">
      <w:pPr>
        <w:pStyle w:val="28"/>
        <w:widowControl w:val="0"/>
        <w:spacing w:line="360" w:lineRule="auto"/>
        <w:rPr>
          <w:rFonts w:hint="eastAsia" w:ascii="Times New Roman"/>
        </w:rPr>
      </w:pPr>
      <w:r>
        <w:rPr>
          <w:rFonts w:hint="eastAsia" w:ascii="Times New Roman"/>
        </w:rPr>
        <w:t>pH值的确定主要是根据发酵液的组成、处理及使用企业要求进行确定。相比于复合碳源标准，将下限降低到了3.0。</w:t>
      </w:r>
    </w:p>
    <w:p w14:paraId="69B157F4">
      <w:pPr>
        <w:pStyle w:val="28"/>
        <w:widowControl w:val="0"/>
        <w:spacing w:line="360" w:lineRule="auto"/>
        <w:rPr>
          <w:rFonts w:hint="eastAsia" w:ascii="Times New Roman"/>
          <w:b/>
          <w:bCs/>
        </w:rPr>
      </w:pPr>
      <w:r>
        <w:rPr>
          <w:rFonts w:hint="eastAsia" w:ascii="Times New Roman"/>
          <w:b/>
          <w:bCs/>
        </w:rPr>
        <w:t>氨基酸</w:t>
      </w:r>
    </w:p>
    <w:p w14:paraId="64522746">
      <w:pPr>
        <w:pStyle w:val="28"/>
        <w:widowControl w:val="0"/>
        <w:spacing w:line="360" w:lineRule="auto"/>
        <w:rPr>
          <w:rFonts w:hint="eastAsia" w:ascii="Times New Roman"/>
        </w:rPr>
      </w:pPr>
      <w:r>
        <w:rPr>
          <w:rFonts w:hint="eastAsia" w:ascii="Times New Roman"/>
        </w:rPr>
        <w:t>氨基酸含量是本标准的主要指标之一，通过对酿酒企业发酵液的分析、检测得来，也是本</w:t>
      </w:r>
      <w:r>
        <w:rPr>
          <w:rFonts w:hint="eastAsia" w:ascii="Times New Roman"/>
          <w:lang w:eastAsia="zh-CN"/>
        </w:rPr>
        <w:t>标准</w:t>
      </w:r>
      <w:r>
        <w:rPr>
          <w:rFonts w:hint="eastAsia" w:ascii="Times New Roman"/>
        </w:rPr>
        <w:t>有别于复合碳源标准的指标之一。</w:t>
      </w:r>
    </w:p>
    <w:p w14:paraId="10E11F41">
      <w:pPr>
        <w:pStyle w:val="28"/>
        <w:widowControl w:val="0"/>
        <w:spacing w:line="360" w:lineRule="auto"/>
        <w:rPr>
          <w:rFonts w:hint="eastAsia" w:ascii="Times New Roman"/>
          <w:b/>
          <w:bCs/>
        </w:rPr>
      </w:pPr>
      <w:r>
        <w:rPr>
          <w:rFonts w:hint="eastAsia" w:ascii="Times New Roman"/>
          <w:b/>
          <w:bCs/>
        </w:rPr>
        <w:t>有机酸</w:t>
      </w:r>
      <w:r>
        <w:rPr>
          <w:rFonts w:hint="eastAsia" w:ascii="Times New Roman"/>
          <w:b/>
          <w:bCs/>
          <w:lang w:eastAsia="zh-CN"/>
        </w:rPr>
        <w:t>（</w:t>
      </w:r>
      <w:r>
        <w:rPr>
          <w:rFonts w:hint="eastAsia" w:ascii="Times New Roman"/>
          <w:b/>
          <w:bCs/>
        </w:rPr>
        <w:t>以乳酸计</w:t>
      </w:r>
      <w:r>
        <w:rPr>
          <w:rFonts w:hint="eastAsia" w:ascii="Times New Roman"/>
          <w:b/>
          <w:bCs/>
          <w:lang w:eastAsia="zh-CN"/>
        </w:rPr>
        <w:t>）</w:t>
      </w:r>
    </w:p>
    <w:p w14:paraId="4FEF0E71">
      <w:pPr>
        <w:pStyle w:val="28"/>
        <w:widowControl w:val="0"/>
        <w:spacing w:line="360" w:lineRule="auto"/>
        <w:rPr>
          <w:rFonts w:hint="eastAsia" w:ascii="Times New Roman"/>
        </w:rPr>
      </w:pPr>
      <w:r>
        <w:rPr>
          <w:rFonts w:hint="eastAsia" w:ascii="Times New Roman"/>
        </w:rPr>
        <w:t>有机酸（以乳酸计）含量也是本标准的主要指标之一，综合考虑不同酿酒工艺的差异确定本指标值。不同发酵工艺产生的有机酸种类和含量差别巨大，故统一以乳酸折算。</w:t>
      </w:r>
    </w:p>
    <w:p w14:paraId="4374575A">
      <w:pPr>
        <w:pStyle w:val="28"/>
        <w:widowControl w:val="0"/>
        <w:spacing w:line="360" w:lineRule="auto"/>
        <w:rPr>
          <w:rFonts w:hint="eastAsia" w:ascii="Times New Roman"/>
          <w:b/>
          <w:bCs/>
        </w:rPr>
      </w:pPr>
      <w:r>
        <w:rPr>
          <w:rFonts w:hint="eastAsia" w:ascii="Times New Roman"/>
          <w:b/>
          <w:bCs/>
        </w:rPr>
        <w:t>氯化物（Cl⁻）、总磷、总氮</w:t>
      </w:r>
    </w:p>
    <w:p w14:paraId="3AF8655C">
      <w:pPr>
        <w:pStyle w:val="28"/>
        <w:widowControl w:val="0"/>
        <w:spacing w:line="360" w:lineRule="auto"/>
        <w:rPr>
          <w:rFonts w:hint="eastAsia" w:ascii="Times New Roman"/>
        </w:rPr>
      </w:pPr>
      <w:r>
        <w:rPr>
          <w:rFonts w:hint="eastAsia" w:ascii="Times New Roman"/>
        </w:rPr>
        <w:t>这三个指标值的设定主要来自使用企业的要求和生产产品的检测分析。</w:t>
      </w:r>
    </w:p>
    <w:p w14:paraId="59708118">
      <w:pPr>
        <w:pStyle w:val="28"/>
        <w:widowControl w:val="0"/>
        <w:spacing w:line="360" w:lineRule="auto"/>
        <w:rPr>
          <w:rFonts w:hint="eastAsia" w:ascii="Times New Roman"/>
          <w:b/>
          <w:bCs/>
        </w:rPr>
      </w:pPr>
      <w:r>
        <w:rPr>
          <w:rFonts w:hint="eastAsia" w:ascii="Times New Roman"/>
          <w:b/>
          <w:bCs/>
        </w:rPr>
        <w:t>重金属指标</w:t>
      </w:r>
    </w:p>
    <w:p w14:paraId="7A3E5142">
      <w:pPr>
        <w:pStyle w:val="28"/>
        <w:widowControl w:val="0"/>
        <w:spacing w:line="360" w:lineRule="auto"/>
        <w:rPr>
          <w:rFonts w:hint="eastAsia" w:ascii="Times New Roman"/>
        </w:rPr>
      </w:pPr>
      <w:r>
        <w:rPr>
          <w:rFonts w:hint="eastAsia" w:ascii="Times New Roman"/>
        </w:rPr>
        <w:t>本标准的重金属指标，全面优于HG/T 5960-2021 《废（污）水处理用复合碳源》中对重金属指标的要求。</w:t>
      </w:r>
    </w:p>
    <w:p w14:paraId="4EC7183A">
      <w:pPr>
        <w:pStyle w:val="28"/>
        <w:widowControl w:val="0"/>
        <w:spacing w:line="360" w:lineRule="auto"/>
        <w:rPr>
          <w:rFonts w:hint="eastAsia" w:ascii="Times New Roman"/>
          <w:b/>
          <w:bCs/>
        </w:rPr>
      </w:pPr>
      <w:r>
        <w:rPr>
          <w:rFonts w:hint="eastAsia" w:ascii="Times New Roman"/>
          <w:b/>
          <w:bCs/>
        </w:rPr>
        <w:t>安全性指标</w:t>
      </w:r>
    </w:p>
    <w:p w14:paraId="488C0B01">
      <w:pPr>
        <w:pStyle w:val="28"/>
        <w:widowControl w:val="0"/>
        <w:spacing w:line="360" w:lineRule="auto"/>
        <w:rPr>
          <w:rFonts w:hint="eastAsia" w:ascii="Times New Roman"/>
        </w:rPr>
      </w:pPr>
      <w:r>
        <w:rPr>
          <w:rFonts w:hint="eastAsia" w:ascii="Times New Roman"/>
        </w:rPr>
        <w:t>闪点和金属腐蚀速率 /（mm/a）的设定值主要是为了控制产品的易燃易爆危险性，使其不成为GB6944中规定的危险货物，满足安全包装、运输及使用的要求。</w:t>
      </w:r>
    </w:p>
    <w:p w14:paraId="1C54CE60">
      <w:pPr>
        <w:numPr>
          <w:ilvl w:val="255"/>
          <w:numId w:val="0"/>
        </w:numPr>
        <w:spacing w:before="240" w:after="240" w:line="360" w:lineRule="auto"/>
        <w:jc w:val="left"/>
        <w:outlineLvl w:val="0"/>
        <w:rPr>
          <w:rFonts w:ascii="Times New Roman" w:hAnsi="Times New Roman" w:eastAsia="黑体" w:cs="Times New Roman"/>
        </w:rPr>
      </w:pPr>
      <w:bookmarkStart w:id="8" w:name="_Toc10036"/>
      <w:bookmarkStart w:id="9" w:name="_Toc26950"/>
      <w:r>
        <w:rPr>
          <w:rFonts w:ascii="Times New Roman" w:hAnsi="Times New Roman" w:eastAsia="黑体" w:cs="Times New Roman"/>
        </w:rPr>
        <w:t>四、标准的适用范围</w:t>
      </w:r>
      <w:bookmarkEnd w:id="8"/>
      <w:bookmarkEnd w:id="9"/>
    </w:p>
    <w:p w14:paraId="7C7E0BF8">
      <w:pPr>
        <w:pStyle w:val="28"/>
        <w:widowControl w:val="0"/>
        <w:spacing w:line="360" w:lineRule="auto"/>
        <w:rPr>
          <w:rFonts w:hint="eastAsia" w:ascii="Times New Roman"/>
        </w:rPr>
      </w:pPr>
      <w:r>
        <w:rPr>
          <w:rFonts w:hint="eastAsia" w:ascii="Times New Roman"/>
        </w:rPr>
        <w:t>本标准规定了酿酒发酵液制备污（废）水处理用液体生物质碳源产品的技术指标要求、检测方</w:t>
      </w:r>
      <w:r>
        <w:rPr>
          <w:rFonts w:hint="eastAsia" w:ascii="Times New Roman"/>
        </w:rPr>
        <w:t>法、检验规则、标志、包装、运输、储存及使用要求。</w:t>
      </w:r>
    </w:p>
    <w:p w14:paraId="0A9E13CC">
      <w:pPr>
        <w:pStyle w:val="28"/>
        <w:widowControl w:val="0"/>
        <w:spacing w:line="360" w:lineRule="auto"/>
        <w:rPr>
          <w:rFonts w:hint="eastAsia" w:ascii="Times New Roman"/>
        </w:rPr>
      </w:pPr>
      <w:r>
        <w:rPr>
          <w:rFonts w:hint="eastAsia" w:ascii="Times New Roman"/>
        </w:rPr>
        <w:t>该产品适用于废水、污水的生物处理及强化脱氮除磷过程，本文件适用于使用酿酒发酵液制备的液体生物质碳源。</w:t>
      </w:r>
      <w:bookmarkStart w:id="22" w:name="_GoBack"/>
      <w:bookmarkEnd w:id="22"/>
    </w:p>
    <w:p w14:paraId="6D6A1F65">
      <w:pPr>
        <w:numPr>
          <w:ilvl w:val="255"/>
          <w:numId w:val="0"/>
        </w:numPr>
        <w:spacing w:before="240" w:after="240" w:line="360" w:lineRule="auto"/>
        <w:jc w:val="left"/>
        <w:outlineLvl w:val="0"/>
        <w:rPr>
          <w:rFonts w:ascii="Times New Roman" w:hAnsi="Times New Roman" w:eastAsia="黑体" w:cs="Times New Roman"/>
        </w:rPr>
      </w:pPr>
      <w:bookmarkStart w:id="10" w:name="_Toc25333"/>
      <w:bookmarkStart w:id="11" w:name="_Toc27355"/>
      <w:r>
        <w:rPr>
          <w:rFonts w:ascii="Times New Roman" w:hAnsi="Times New Roman" w:eastAsia="黑体" w:cs="Times New Roman"/>
        </w:rPr>
        <w:t>五、国内外现状</w:t>
      </w:r>
      <w:bookmarkEnd w:id="10"/>
      <w:bookmarkEnd w:id="11"/>
    </w:p>
    <w:p w14:paraId="1B435EEE">
      <w:pPr>
        <w:pStyle w:val="28"/>
        <w:widowControl w:val="0"/>
        <w:spacing w:line="360" w:lineRule="auto"/>
        <w:rPr>
          <w:rFonts w:hint="eastAsia" w:ascii="Times New Roman"/>
        </w:rPr>
      </w:pPr>
      <w:r>
        <w:rPr>
          <w:rFonts w:hint="eastAsia" w:ascii="Times New Roman"/>
        </w:rPr>
        <w:t>随着我国城镇污水处理由“达标排放”向“提质增效与低碳运行”阶段转变，碳源已成为关键瓶颈之一。目前工程上普遍依赖乙酸钠、甲醇等化石来源的碳源，不仅运行成本高，而且在生产与投加过程中伴随显著碳排放，难以满足“双碳”目标下污水处理行业绿色低碳转型的迫切需求，亟需开发高效、低碳且可持续的新型替代碳源体系。</w:t>
      </w:r>
    </w:p>
    <w:p w14:paraId="029D800B">
      <w:pPr>
        <w:pStyle w:val="28"/>
        <w:widowControl w:val="0"/>
        <w:spacing w:line="360" w:lineRule="auto"/>
        <w:rPr>
          <w:rFonts w:hint="eastAsia" w:ascii="Times New Roman"/>
        </w:rPr>
      </w:pPr>
      <w:r>
        <w:rPr>
          <w:rFonts w:hint="eastAsia" w:ascii="Times New Roman"/>
        </w:rPr>
        <w:t>与此同时，酿酒行业在生产过程中产生大量高浓度发酵液废弃物，具有有机质含量高、可生化性好的特点，是制备绿色生物质碳源的优质原料。通过定向发酵将其转化为富含短链脂肪酸（SCFAs）绿色生物质碳源，不仅能够实现废弃物资源化利用，还可替代传统化石碳源用于污水处理过程中的脱氮除磷，从而构建“以废治废”的资源循环利用模式。</w:t>
      </w:r>
    </w:p>
    <w:p w14:paraId="6F45E695">
      <w:pPr>
        <w:pStyle w:val="28"/>
        <w:widowControl w:val="0"/>
        <w:spacing w:line="360" w:lineRule="auto"/>
        <w:rPr>
          <w:rFonts w:hint="eastAsia" w:ascii="Times New Roman"/>
        </w:rPr>
      </w:pPr>
      <w:r>
        <w:rPr>
          <w:rFonts w:hint="eastAsia" w:ascii="Times New Roman"/>
        </w:rPr>
        <w:t>在政策层面，国家“十五五”规划、《城镇污水处理及资源化利用发展规划》以及“双碳”战略均明确提出推动污水处理行业减污降碳协同增效，鼓励开发低碳型污水处理技术与资源循环利用模式。同时，多地政策积极推进工业废水资源化利用与区域物质循环体系构建，支持以有机废弃物为原料生产绿色替代产品，减少对化石资源的依赖。在此背景下，开发高效低碳型生物质碳源，不仅符合国家绿色低碳发展导向，也契合污水处理行业降本增效与资源化转型的现实需求。</w:t>
      </w:r>
    </w:p>
    <w:p w14:paraId="67ABD1FF">
      <w:pPr>
        <w:pStyle w:val="28"/>
        <w:widowControl w:val="0"/>
        <w:spacing w:line="360" w:lineRule="auto"/>
        <w:rPr>
          <w:rFonts w:hint="eastAsia" w:ascii="Times New Roman"/>
        </w:rPr>
      </w:pPr>
      <w:r>
        <w:rPr>
          <w:rFonts w:hint="eastAsia" w:ascii="Times New Roman"/>
        </w:rPr>
        <w:t>当前，围绕污水处理碳源强化脱氮除磷的关键技术，国内外研究已从“外加单一碳源”逐步向“多源化、资源化与功能化碳源”方向演进。传统技术体系中，以甲醇、乙酸钠为代表的外加碳源已在国内外得到广泛应用，具有反应速率快、运行调控简便等优势。然而，该类碳源高度依赖化石资源，存在运行成本高、碳排放强度大等突出问题，难以契合当前低碳绿色发展要求。因此，开发可再生、低成本的替代碳源已成为国际污水处理领域的开发热点。</w:t>
      </w:r>
    </w:p>
    <w:p w14:paraId="45A41BBF">
      <w:pPr>
        <w:pStyle w:val="28"/>
        <w:widowControl w:val="0"/>
        <w:spacing w:line="360" w:lineRule="auto"/>
        <w:rPr>
          <w:rFonts w:hint="eastAsia" w:ascii="Times New Roman"/>
        </w:rPr>
      </w:pPr>
      <w:r>
        <w:rPr>
          <w:rFonts w:hint="eastAsia" w:ascii="Times New Roman"/>
        </w:rPr>
        <w:t>在国外研究中，近年来重点聚焦于利用有机废弃物制备生物碳源，如污泥发酵液、餐厨垃圾等，通过发酵生成SCFAs等。国外逐步从“碳源供给”转向“碳源结构调控”，强调不同SCFAs组分比例（如乙酸、丙酸、丁酸）对脱氮除磷路径及微生物群落结构的差异性影响，呈现出由经验驱动向机理驱动转变的发展趋势。国内在该领域起步稍晚，但近年来发展迅速，研究重点亦主要集中在污泥和餐厨垃圾发酵碳源。已有研究证明，酿酒发酵液等高浓度有机废水具有良好的碳源利用潜力，可作为制备生物质碳源的重要原料。本标准在制定过程中通过对碳源品质控制、功能组分识别及其与脱氮除磷性能之间的耦合机制的深度研究及在工程应用层面针对全规模污水处理厂运行条件的系统性验证，达成了酿酒发酵液制备生物质碳源产品品质波动性控制、生化系统承载边界条件及长期运行稳定性评估。</w:t>
      </w:r>
    </w:p>
    <w:p w14:paraId="43C94EBF">
      <w:pPr>
        <w:pStyle w:val="28"/>
        <w:widowControl w:val="0"/>
        <w:spacing w:line="360" w:lineRule="auto"/>
        <w:rPr>
          <w:rFonts w:hint="eastAsia" w:ascii="Times New Roman"/>
        </w:rPr>
      </w:pPr>
      <w:r>
        <w:rPr>
          <w:rFonts w:hint="eastAsia" w:ascii="Times New Roman"/>
        </w:rPr>
        <w:t>因此，本标准的制定与实施将有助于突破对传统化石碳源的依赖，降低污（废）水处理运行成本与碳排放强度，对于实现污（废）水处理行业绿色低碳转型及资源循环利用具有重要的意义与价值。</w:t>
      </w:r>
    </w:p>
    <w:p w14:paraId="1CDEBF7E">
      <w:pPr>
        <w:numPr>
          <w:ilvl w:val="255"/>
          <w:numId w:val="0"/>
        </w:numPr>
        <w:spacing w:before="240" w:after="240" w:line="360" w:lineRule="auto"/>
        <w:jc w:val="left"/>
        <w:outlineLvl w:val="0"/>
        <w:rPr>
          <w:rFonts w:ascii="Times New Roman" w:hAnsi="Times New Roman" w:eastAsia="黑体" w:cs="Times New Roman"/>
        </w:rPr>
      </w:pPr>
      <w:bookmarkStart w:id="12" w:name="_Toc7314"/>
      <w:bookmarkStart w:id="13" w:name="_Toc12045"/>
      <w:r>
        <w:rPr>
          <w:rFonts w:ascii="Times New Roman" w:hAnsi="Times New Roman" w:eastAsia="黑体" w:cs="Times New Roman"/>
        </w:rPr>
        <w:t>六、贯彻CQSES标准的要求和措施</w:t>
      </w:r>
      <w:bookmarkEnd w:id="12"/>
      <w:bookmarkEnd w:id="13"/>
    </w:p>
    <w:p w14:paraId="286510E7">
      <w:pPr>
        <w:pStyle w:val="28"/>
        <w:widowControl w:val="0"/>
        <w:spacing w:line="360" w:lineRule="auto"/>
        <w:rPr>
          <w:rFonts w:hint="eastAsia" w:ascii="Times New Roman"/>
        </w:rPr>
      </w:pPr>
      <w:r>
        <w:rPr>
          <w:rFonts w:hint="eastAsia" w:ascii="Times New Roman"/>
        </w:rPr>
        <w:t>本标准实施后，起草小组将继续组织推动标准的宣贯工作，并组织标准实施后推广应用和跟踪调研工作，记录和收集本标准推广应用的各方面的技术资料，加强与行业单位交流探讨，总结行业发展信息，为后续的完善工作积累连续的、科学的技术研究资料。</w:t>
      </w:r>
    </w:p>
    <w:p w14:paraId="48463660">
      <w:pPr>
        <w:numPr>
          <w:ilvl w:val="255"/>
          <w:numId w:val="0"/>
        </w:numPr>
        <w:spacing w:before="240" w:after="240" w:line="360" w:lineRule="auto"/>
        <w:jc w:val="left"/>
        <w:outlineLvl w:val="0"/>
        <w:rPr>
          <w:rFonts w:ascii="Times New Roman" w:hAnsi="Times New Roman" w:eastAsia="黑体" w:cs="Times New Roman"/>
        </w:rPr>
      </w:pPr>
      <w:bookmarkStart w:id="14" w:name="_Toc24401"/>
      <w:bookmarkStart w:id="15" w:name="_Toc21198"/>
      <w:r>
        <w:rPr>
          <w:rFonts w:ascii="Times New Roman" w:hAnsi="Times New Roman" w:eastAsia="黑体" w:cs="Times New Roman"/>
        </w:rPr>
        <w:t>七、与现行有关法律法规、强制性标准和其他有关标准的关系</w:t>
      </w:r>
      <w:bookmarkEnd w:id="14"/>
      <w:bookmarkEnd w:id="15"/>
    </w:p>
    <w:p w14:paraId="48A0CD27">
      <w:pPr>
        <w:pStyle w:val="28"/>
        <w:widowControl w:val="0"/>
        <w:spacing w:line="360" w:lineRule="auto"/>
        <w:rPr>
          <w:rFonts w:hint="eastAsia" w:ascii="Times New Roman"/>
        </w:rPr>
      </w:pPr>
      <w:r>
        <w:rPr>
          <w:rFonts w:hint="eastAsia" w:ascii="Times New Roman"/>
        </w:rPr>
        <w:t>本标准遵循相关的法律、法规和强制性国家标准的要求，与我国现行相关法律、法规、规章及相关 标准无冲突。</w:t>
      </w:r>
    </w:p>
    <w:p w14:paraId="5BEB278F">
      <w:pPr>
        <w:numPr>
          <w:ilvl w:val="255"/>
          <w:numId w:val="0"/>
        </w:numPr>
        <w:spacing w:before="240" w:after="240" w:line="360" w:lineRule="auto"/>
        <w:jc w:val="left"/>
        <w:outlineLvl w:val="0"/>
        <w:rPr>
          <w:rFonts w:ascii="Times New Roman" w:hAnsi="Times New Roman" w:eastAsia="黑体" w:cs="Times New Roman"/>
        </w:rPr>
      </w:pPr>
      <w:bookmarkStart w:id="16" w:name="_Toc18894"/>
      <w:bookmarkStart w:id="17" w:name="_Toc4330"/>
      <w:r>
        <w:rPr>
          <w:rFonts w:ascii="Times New Roman" w:hAnsi="Times New Roman" w:eastAsia="黑体" w:cs="Times New Roman"/>
        </w:rPr>
        <w:t>八、重大分歧意见的处理经过和依据</w:t>
      </w:r>
      <w:bookmarkEnd w:id="16"/>
      <w:bookmarkEnd w:id="17"/>
    </w:p>
    <w:p w14:paraId="67598358">
      <w:pPr>
        <w:pStyle w:val="28"/>
        <w:widowControl w:val="0"/>
        <w:spacing w:line="360" w:lineRule="auto"/>
        <w:rPr>
          <w:rFonts w:hint="eastAsia" w:ascii="Times New Roman"/>
        </w:rPr>
      </w:pPr>
      <w:r>
        <w:rPr>
          <w:rFonts w:hint="eastAsia" w:ascii="Times New Roman"/>
        </w:rPr>
        <w:t>标准编制过程中无重大分歧意见。</w:t>
      </w:r>
    </w:p>
    <w:p w14:paraId="7010C479">
      <w:pPr>
        <w:numPr>
          <w:ilvl w:val="255"/>
          <w:numId w:val="0"/>
        </w:numPr>
        <w:spacing w:before="240" w:after="240" w:line="360" w:lineRule="auto"/>
        <w:jc w:val="left"/>
        <w:outlineLvl w:val="0"/>
        <w:rPr>
          <w:rFonts w:ascii="Times New Roman" w:hAnsi="Times New Roman" w:eastAsia="黑体" w:cs="Times New Roman"/>
        </w:rPr>
      </w:pPr>
      <w:bookmarkStart w:id="18" w:name="_Toc18979"/>
      <w:bookmarkStart w:id="19" w:name="_Toc3809"/>
      <w:r>
        <w:rPr>
          <w:rFonts w:ascii="Times New Roman" w:hAnsi="Times New Roman" w:eastAsia="黑体" w:cs="Times New Roman"/>
        </w:rPr>
        <w:t>九、标准实施的环境效益和经济技术分析以及相关建议</w:t>
      </w:r>
      <w:bookmarkEnd w:id="18"/>
      <w:bookmarkEnd w:id="19"/>
    </w:p>
    <w:p w14:paraId="4E4E3950">
      <w:pPr>
        <w:pStyle w:val="28"/>
        <w:widowControl w:val="0"/>
        <w:spacing w:line="360" w:lineRule="auto"/>
        <w:rPr>
          <w:rFonts w:hint="eastAsia" w:ascii="Times New Roman"/>
        </w:rPr>
      </w:pPr>
      <w:r>
        <w:rPr>
          <w:rFonts w:hint="eastAsia" w:ascii="Times New Roman"/>
        </w:rPr>
        <w:t>在生态环境效益方面，本标准制备的生物质碳源通过替代化石碳源，减少其生产与运输过程中的碳排放，预计可显著降低污水处理系统整体碳</w:t>
      </w:r>
      <w:r>
        <w:rPr>
          <w:rFonts w:hint="eastAsia" w:ascii="Times New Roman"/>
        </w:rPr>
        <w:t>排放强度。据初步测算，每</w:t>
      </w:r>
      <w:r>
        <w:rPr>
          <w:rFonts w:hint="eastAsia" w:ascii="Times New Roman"/>
        </w:rPr>
        <w:t>十万吨复合碳源（浓度为30万mg/L）替代可削减碳排放约4</w:t>
      </w:r>
      <w:r>
        <w:rPr>
          <w:rFonts w:hint="eastAsia" w:ascii="Times New Roman"/>
        </w:rPr>
        <w:t>0000吨。同时，酿酒发酵液转化为高附加值生物质碳源，将减少高浓度有机废水直接排放带来的环境压力，促进有机废弃物资源化利用与污染减排协同实现。此外，碳源品质优化有助于提高脱氮除磷效率，减少氮磷污染物排放，对改善水环境质量具有重要意义。本标准契合国家“双碳”战略及污水处理减污降碳协同增效的发展方向，推动污水处理行业向绿色低碳转型升级。通过构建“酿酒发酵液资源化-碳源产品化</w:t>
      </w:r>
      <w:r>
        <w:rPr>
          <w:rFonts w:hint="eastAsia" w:ascii="Times New Roman"/>
          <w:lang w:eastAsia="zh-CN"/>
        </w:rPr>
        <w:t>－</w:t>
      </w:r>
      <w:r>
        <w:rPr>
          <w:rFonts w:hint="eastAsia" w:ascii="Times New Roman"/>
        </w:rPr>
        <w:t>污水处理低碳化”的闭环利用模式，为区域资源循环利用提供示范案例，提升行业技术水平与可持续发展能力。</w:t>
      </w:r>
    </w:p>
    <w:p w14:paraId="29F98682">
      <w:pPr>
        <w:pStyle w:val="28"/>
        <w:widowControl w:val="0"/>
        <w:spacing w:line="360" w:lineRule="auto"/>
        <w:rPr>
          <w:rFonts w:hint="eastAsia" w:ascii="Times New Roman"/>
        </w:rPr>
      </w:pPr>
      <w:r>
        <w:rPr>
          <w:rFonts w:hint="eastAsia" w:ascii="Times New Roman"/>
        </w:rPr>
        <w:t>在经济技术性方面，生物质碳源是性价比优于现有化石碳源的高效低碳型绿色碳源产品，在重庆市排水有限公司所属典型污水厂完成应用示范，相比传统乙酸钠或甲醇碳源，外加生物质碳源运行成本降低不低于15%，并同步显著提升脱氮除磷性能及具备碳减排盈利潜力。</w:t>
      </w:r>
    </w:p>
    <w:p w14:paraId="64A9F7E6">
      <w:pPr>
        <w:pStyle w:val="28"/>
        <w:widowControl w:val="0"/>
        <w:spacing w:line="360" w:lineRule="auto"/>
        <w:rPr>
          <w:rFonts w:hint="eastAsia" w:ascii="Times New Roman"/>
        </w:rPr>
      </w:pPr>
      <w:r>
        <w:rPr>
          <w:rFonts w:hint="eastAsia" w:ascii="Times New Roman"/>
        </w:rPr>
        <w:t>建议多批次组织环保、污水领域行业专家及科技人员进行宣贯，并征集身处第一线科技人员的意见建议，为在</w:t>
      </w:r>
      <w:r>
        <w:rPr>
          <w:rFonts w:hint="eastAsia" w:ascii="Times New Roman"/>
        </w:rPr>
        <w:t>标准修编及升</w:t>
      </w:r>
      <w:r>
        <w:rPr>
          <w:rFonts w:hint="eastAsia" w:ascii="Times New Roman"/>
        </w:rPr>
        <w:t>级为行标时提供参考借鉴。</w:t>
      </w:r>
    </w:p>
    <w:p w14:paraId="6798281D">
      <w:pPr>
        <w:pStyle w:val="28"/>
        <w:widowControl w:val="0"/>
        <w:spacing w:line="360" w:lineRule="auto"/>
        <w:rPr>
          <w:rFonts w:hint="eastAsia" w:ascii="Times New Roman"/>
        </w:rPr>
      </w:pPr>
      <w:r>
        <w:rPr>
          <w:rFonts w:hint="eastAsia" w:ascii="Times New Roman"/>
        </w:rPr>
        <w:t>编制组持续开展标准相关条文的优化，利于在标准修编及升为行标时予以完善。</w:t>
      </w:r>
    </w:p>
    <w:p w14:paraId="5347E083">
      <w:pPr>
        <w:pStyle w:val="28"/>
        <w:widowControl w:val="0"/>
        <w:spacing w:line="360" w:lineRule="auto"/>
        <w:rPr>
          <w:rFonts w:hint="eastAsia" w:ascii="Times New Roman"/>
        </w:rPr>
      </w:pPr>
      <w:r>
        <w:rPr>
          <w:rFonts w:hint="eastAsia" w:ascii="Times New Roman"/>
        </w:rPr>
        <w:t>建议尽快发布实施本标准。</w:t>
      </w:r>
    </w:p>
    <w:p w14:paraId="077CE4B9">
      <w:pPr>
        <w:numPr>
          <w:ilvl w:val="255"/>
          <w:numId w:val="0"/>
        </w:numPr>
        <w:spacing w:before="240" w:after="240" w:line="360" w:lineRule="auto"/>
        <w:jc w:val="left"/>
        <w:outlineLvl w:val="0"/>
        <w:rPr>
          <w:rFonts w:ascii="Times New Roman" w:hAnsi="Times New Roman" w:eastAsia="黑体" w:cs="Times New Roman"/>
        </w:rPr>
      </w:pPr>
      <w:bookmarkStart w:id="20" w:name="_Toc13530"/>
      <w:bookmarkStart w:id="21" w:name="_Toc7133"/>
      <w:r>
        <w:rPr>
          <w:rFonts w:ascii="Times New Roman" w:hAnsi="Times New Roman" w:eastAsia="黑体" w:cs="Times New Roman"/>
        </w:rPr>
        <w:t>十、其他应予说明的事项</w:t>
      </w:r>
      <w:bookmarkEnd w:id="20"/>
      <w:bookmarkEnd w:id="21"/>
    </w:p>
    <w:p w14:paraId="5D5F4C98">
      <w:pPr>
        <w:pStyle w:val="28"/>
        <w:widowControl w:val="0"/>
        <w:spacing w:line="360" w:lineRule="auto"/>
        <w:rPr>
          <w:rFonts w:ascii="Times New Roman"/>
        </w:rPr>
      </w:pPr>
      <w:r>
        <w:rPr>
          <w:rFonts w:ascii="Times New Roman"/>
        </w:rPr>
        <w:t>无。</w:t>
      </w:r>
    </w:p>
    <w:p w14:paraId="2C0A56AF">
      <w:pPr>
        <w:spacing w:line="360" w:lineRule="auto"/>
        <w:ind w:firstLine="480" w:firstLineChars="200"/>
        <w:rPr>
          <w:rFonts w:ascii="Times New Roman" w:hAnsi="Times New Roman" w:cs="Times New Roman"/>
          <w:sz w:val="24"/>
          <w:szCs w:val="24"/>
        </w:rPr>
      </w:pPr>
    </w:p>
    <w:sectPr>
      <w:footerReference r:id="rId7" w:type="default"/>
      <w:pgSz w:w="11906" w:h="16838"/>
      <w:pgMar w:top="1417" w:right="1134" w:bottom="1134" w:left="1417" w:header="1417" w:footer="850"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51B3DE5-F066-494A-984D-83E0F09A13C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Arial">
    <w:panose1 w:val="020B0604020202020204"/>
    <w:charset w:val="00"/>
    <w:family w:val="swiss"/>
    <w:pitch w:val="default"/>
    <w:sig w:usb0="E0002EFF" w:usb1="C000785B" w:usb2="00000009" w:usb3="00000000" w:csb0="400001FF" w:csb1="FFFF0000"/>
  </w:font>
  <w:font w:name="方正黑体_GBK">
    <w:panose1 w:val="03000509000000000000"/>
    <w:charset w:val="86"/>
    <w:family w:val="auto"/>
    <w:pitch w:val="default"/>
    <w:sig w:usb0="00000001" w:usb1="080E0000" w:usb2="00000000" w:usb3="00000000" w:csb0="00040000" w:csb1="00000000"/>
    <w:embedRegular r:id="rId2" w:fontKey="{84937A14-8EDE-4D97-90A8-C7930A2922B0}"/>
  </w:font>
  <w:font w:name="方正楷体_GBK">
    <w:panose1 w:val="03000509000000000000"/>
    <w:charset w:val="86"/>
    <w:family w:val="auto"/>
    <w:pitch w:val="default"/>
    <w:sig w:usb0="00000001" w:usb1="080E0000" w:usb2="00000000" w:usb3="00000000" w:csb0="00040000" w:csb1="00000000"/>
    <w:embedRegular r:id="rId3" w:fontKey="{CF2C38FE-F5AB-4C83-BF65-06E3BE25677D}"/>
  </w:font>
  <w:font w:name="仿宋">
    <w:panose1 w:val="02010609060101010101"/>
    <w:charset w:val="86"/>
    <w:family w:val="modern"/>
    <w:pitch w:val="default"/>
    <w:sig w:usb0="800002BF" w:usb1="38CF7CFA" w:usb2="00000016" w:usb3="00000000" w:csb0="00040001" w:csb1="00000000"/>
    <w:embedRegular r:id="rId4" w:fontKey="{A4A33BC7-DE95-48BD-B41B-9E14C3CF8A1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6007B4">
    <w:pPr>
      <w:tabs>
        <w:tab w:val="center" w:pos="4153"/>
        <w:tab w:val="right" w:pos="8306"/>
      </w:tabs>
      <w:snapToGrid w:val="0"/>
      <w:spacing w:line="360" w:lineRule="auto"/>
      <w:ind w:firstLine="360" w:firstLineChars="200"/>
      <w:jc w:val="left"/>
      <w:rPr>
        <w:rFonts w:hint="eastAsia" w:ascii="仿宋" w:hAnsi="仿宋" w:eastAsia="宋体" w:cs="Times New Roman"/>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5061E">
    <w:pPr>
      <w:tabs>
        <w:tab w:val="center" w:pos="4153"/>
        <w:tab w:val="right" w:pos="8306"/>
      </w:tabs>
      <w:snapToGrid w:val="0"/>
      <w:spacing w:line="360" w:lineRule="auto"/>
      <w:ind w:firstLine="360" w:firstLineChars="200"/>
      <w:jc w:val="left"/>
      <w:rPr>
        <w:rFonts w:hint="eastAsia" w:ascii="仿宋" w:hAnsi="仿宋" w:eastAsia="宋体" w:cs="Times New Roman"/>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D222B">
    <w:pPr>
      <w:pStyle w:val="1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751F1C">
                          <w:pPr>
                            <w:pStyle w:val="14"/>
                            <w:rPr>
                              <w:rFonts w:ascii="Times New Roman" w:hAnsi="Times New Roman" w:eastAsia="宋体" w:cs="Times New Roman"/>
                              <w:sz w:val="21"/>
                            </w:rPr>
                          </w:pPr>
                          <w:r>
                            <w:rPr>
                              <w:rFonts w:ascii="Times New Roman" w:hAnsi="Times New Roman" w:eastAsia="宋体" w:cs="Times New Roman"/>
                              <w:sz w:val="21"/>
                            </w:rPr>
                            <w:t xml:space="preserve">— </w:t>
                          </w:r>
                          <w:r>
                            <w:rPr>
                              <w:rFonts w:ascii="Times New Roman" w:hAnsi="Times New Roman" w:eastAsia="宋体" w:cs="Times New Roman"/>
                              <w:sz w:val="21"/>
                            </w:rPr>
                            <w:fldChar w:fldCharType="begin"/>
                          </w:r>
                          <w:r>
                            <w:rPr>
                              <w:rFonts w:ascii="Times New Roman" w:hAnsi="Times New Roman" w:eastAsia="宋体" w:cs="Times New Roman"/>
                              <w:sz w:val="21"/>
                            </w:rPr>
                            <w:instrText xml:space="preserve"> PAGE  \* MERGEFORMAT </w:instrText>
                          </w:r>
                          <w:r>
                            <w:rPr>
                              <w:rFonts w:ascii="Times New Roman" w:hAnsi="Times New Roman" w:eastAsia="宋体" w:cs="Times New Roman"/>
                              <w:sz w:val="21"/>
                            </w:rPr>
                            <w:fldChar w:fldCharType="separate"/>
                          </w:r>
                          <w:r>
                            <w:rPr>
                              <w:rFonts w:ascii="Times New Roman" w:hAnsi="Times New Roman" w:eastAsia="宋体" w:cs="Times New Roman"/>
                              <w:sz w:val="21"/>
                            </w:rPr>
                            <w:t>1</w:t>
                          </w:r>
                          <w:r>
                            <w:rPr>
                              <w:rFonts w:ascii="Times New Roman" w:hAnsi="Times New Roman" w:eastAsia="宋体" w:cs="Times New Roman"/>
                              <w:sz w:val="21"/>
                            </w:rPr>
                            <w:fldChar w:fldCharType="end"/>
                          </w:r>
                          <w:r>
                            <w:rPr>
                              <w:rFonts w:ascii="Times New Roman" w:hAnsi="Times New Roman" w:eastAsia="宋体" w:cs="Times New Roman"/>
                              <w:sz w:val="21"/>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8751F1C">
                    <w:pPr>
                      <w:pStyle w:val="14"/>
                      <w:rPr>
                        <w:rFonts w:ascii="Times New Roman" w:hAnsi="Times New Roman" w:eastAsia="宋体" w:cs="Times New Roman"/>
                        <w:sz w:val="21"/>
                      </w:rPr>
                    </w:pPr>
                    <w:r>
                      <w:rPr>
                        <w:rFonts w:ascii="Times New Roman" w:hAnsi="Times New Roman" w:eastAsia="宋体" w:cs="Times New Roman"/>
                        <w:sz w:val="21"/>
                      </w:rPr>
                      <w:t xml:space="preserve">— </w:t>
                    </w:r>
                    <w:r>
                      <w:rPr>
                        <w:rFonts w:ascii="Times New Roman" w:hAnsi="Times New Roman" w:eastAsia="宋体" w:cs="Times New Roman"/>
                        <w:sz w:val="21"/>
                      </w:rPr>
                      <w:fldChar w:fldCharType="begin"/>
                    </w:r>
                    <w:r>
                      <w:rPr>
                        <w:rFonts w:ascii="Times New Roman" w:hAnsi="Times New Roman" w:eastAsia="宋体" w:cs="Times New Roman"/>
                        <w:sz w:val="21"/>
                      </w:rPr>
                      <w:instrText xml:space="preserve"> PAGE  \* MERGEFORMAT </w:instrText>
                    </w:r>
                    <w:r>
                      <w:rPr>
                        <w:rFonts w:ascii="Times New Roman" w:hAnsi="Times New Roman" w:eastAsia="宋体" w:cs="Times New Roman"/>
                        <w:sz w:val="21"/>
                      </w:rPr>
                      <w:fldChar w:fldCharType="separate"/>
                    </w:r>
                    <w:r>
                      <w:rPr>
                        <w:rFonts w:ascii="Times New Roman" w:hAnsi="Times New Roman" w:eastAsia="宋体" w:cs="Times New Roman"/>
                        <w:sz w:val="21"/>
                      </w:rPr>
                      <w:t>1</w:t>
                    </w:r>
                    <w:r>
                      <w:rPr>
                        <w:rFonts w:ascii="Times New Roman" w:hAnsi="Times New Roman" w:eastAsia="宋体" w:cs="Times New Roman"/>
                        <w:sz w:val="21"/>
                      </w:rPr>
                      <w:fldChar w:fldCharType="end"/>
                    </w:r>
                    <w:r>
                      <w:rPr>
                        <w:rFonts w:ascii="Times New Roman" w:hAnsi="Times New Roman" w:eastAsia="宋体" w:cs="Times New Roman"/>
                        <w:sz w:val="21"/>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4C7B16">
    <w:pPr>
      <w:tabs>
        <w:tab w:val="center" w:pos="4153"/>
        <w:tab w:val="right" w:pos="8306"/>
      </w:tabs>
      <w:snapToGrid w:val="0"/>
      <w:spacing w:line="360" w:lineRule="auto"/>
      <w:ind w:firstLine="360" w:firstLineChars="200"/>
      <w:jc w:val="center"/>
      <w:rPr>
        <w:rFonts w:hint="eastAsia" w:ascii="仿宋" w:hAnsi="仿宋" w:eastAsia="宋体" w:cs="Times New Roman"/>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D2FA0">
    <w:pPr>
      <w:tabs>
        <w:tab w:val="center" w:pos="4153"/>
        <w:tab w:val="right" w:pos="8306"/>
      </w:tabs>
      <w:snapToGrid w:val="0"/>
      <w:spacing w:line="360" w:lineRule="auto"/>
      <w:ind w:firstLine="360" w:firstLineChars="200"/>
      <w:jc w:val="center"/>
      <w:rPr>
        <w:rFonts w:hint="eastAsia" w:ascii="仿宋" w:hAnsi="仿宋" w:eastAsia="宋体" w:cs="Times New Roman"/>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92AFEB"/>
    <w:multiLevelType w:val="singleLevel"/>
    <w:tmpl w:val="BB92AFEB"/>
    <w:lvl w:ilvl="0" w:tentative="0">
      <w:start w:val="1"/>
      <w:numFmt w:val="chineseCounting"/>
      <w:pStyle w:val="3"/>
      <w:suff w:val="nothing"/>
      <w:lvlText w:val="（%1）"/>
      <w:lvlJc w:val="left"/>
      <w:pPr>
        <w:ind w:left="0" w:firstLine="420"/>
      </w:pPr>
      <w:rPr>
        <w:rFonts w:hint="eastAsia"/>
      </w:rPr>
    </w:lvl>
  </w:abstractNum>
  <w:abstractNum w:abstractNumId="1">
    <w:nsid w:val="CD1AF9BF"/>
    <w:multiLevelType w:val="singleLevel"/>
    <w:tmpl w:val="CD1AF9BF"/>
    <w:lvl w:ilvl="0" w:tentative="0">
      <w:start w:val="1"/>
      <w:numFmt w:val="chineseCounting"/>
      <w:pStyle w:val="2"/>
      <w:suff w:val="nothing"/>
      <w:lvlText w:val="%1、"/>
      <w:lvlJc w:val="left"/>
      <w:pPr>
        <w:ind w:left="0" w:firstLine="420"/>
      </w:pPr>
      <w:rPr>
        <w:rFonts w:hint="eastAsia"/>
      </w:rPr>
    </w:lvl>
  </w:abstractNum>
  <w:abstractNum w:abstractNumId="2">
    <w:nsid w:val="0436BE4E"/>
    <w:multiLevelType w:val="multilevel"/>
    <w:tmpl w:val="0436BE4E"/>
    <w:lvl w:ilvl="0" w:tentative="0">
      <w:start w:val="1"/>
      <w:numFmt w:val="chineseCounting"/>
      <w:suff w:val="nothing"/>
      <w:lvlText w:val="%1、"/>
      <w:lvlJc w:val="left"/>
      <w:pPr>
        <w:ind w:left="0" w:firstLine="400"/>
      </w:pPr>
      <w:rPr>
        <w:rFonts w:hint="eastAsia"/>
      </w:rPr>
    </w:lvl>
    <w:lvl w:ilvl="1" w:tentative="0">
      <w:start w:val="1"/>
      <w:numFmt w:val="decimal"/>
      <w:suff w:val="nothing"/>
      <w:lvlText w:val="%2．"/>
      <w:lvlJc w:val="left"/>
      <w:pPr>
        <w:ind w:left="0" w:firstLine="400"/>
      </w:pPr>
      <w:rPr>
        <w:rFonts w:hint="eastAsia"/>
      </w:rPr>
    </w:lvl>
    <w:lvl w:ilvl="2" w:tentative="0">
      <w:start w:val="1"/>
      <w:numFmt w:val="decimal"/>
      <w:pStyle w:val="5"/>
      <w:suff w:val="nothing"/>
      <w:lvlText w:val="（%3）"/>
      <w:lvlJc w:val="left"/>
      <w:pPr>
        <w:ind w:left="0" w:firstLine="402"/>
      </w:pPr>
      <w:rPr>
        <w:rFonts w:hint="eastAsia"/>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3">
    <w:nsid w:val="1435B944"/>
    <w:multiLevelType w:val="singleLevel"/>
    <w:tmpl w:val="1435B944"/>
    <w:lvl w:ilvl="0" w:tentative="0">
      <w:start w:val="1"/>
      <w:numFmt w:val="decimal"/>
      <w:pStyle w:val="12"/>
      <w:lvlText w:val="图 %1."/>
      <w:lvlJc w:val="left"/>
      <w:pPr>
        <w:ind w:left="425" w:hanging="425"/>
      </w:pPr>
      <w:rPr>
        <w:rFonts w:hint="default" w:eastAsia="宋体"/>
        <w:sz w:val="28"/>
        <w:szCs w:val="28"/>
      </w:rPr>
    </w:lvl>
  </w:abstractNum>
  <w:abstractNum w:abstractNumId="4">
    <w:nsid w:val="1B60B375"/>
    <w:multiLevelType w:val="multilevel"/>
    <w:tmpl w:val="1B60B375"/>
    <w:lvl w:ilvl="0" w:tentative="0">
      <w:start w:val="1"/>
      <w:numFmt w:val="decimal"/>
      <w:lvlText w:val="%1"/>
      <w:lvlJc w:val="left"/>
      <w:pPr>
        <w:tabs>
          <w:tab w:val="left" w:pos="574"/>
        </w:tabs>
        <w:ind w:left="574" w:hanging="432"/>
      </w:pPr>
      <w:rPr>
        <w:rFonts w:hint="default" w:ascii="Arial" w:hAnsi="Arial"/>
        <w:b/>
        <w:i w:val="0"/>
        <w:sz w:val="24"/>
      </w:rPr>
    </w:lvl>
    <w:lvl w:ilvl="1" w:tentative="0">
      <w:start w:val="1"/>
      <w:numFmt w:val="decimal"/>
      <w:lvlText w:val="%1.%2"/>
      <w:lvlJc w:val="left"/>
      <w:pPr>
        <w:tabs>
          <w:tab w:val="left" w:pos="576"/>
        </w:tabs>
        <w:ind w:left="576" w:hanging="576"/>
      </w:pPr>
      <w:rPr>
        <w:rFonts w:hint="default" w:ascii="Arial" w:hAnsi="Arial"/>
        <w:b w:val="0"/>
        <w:bCs/>
        <w:i w:val="0"/>
        <w:sz w:val="24"/>
      </w:rPr>
    </w:lvl>
    <w:lvl w:ilvl="2" w:tentative="0">
      <w:start w:val="1"/>
      <w:numFmt w:val="decimal"/>
      <w:lvlText w:val="%1.%2.%3"/>
      <w:lvlJc w:val="left"/>
      <w:pPr>
        <w:tabs>
          <w:tab w:val="left" w:pos="720"/>
        </w:tabs>
        <w:ind w:left="720" w:hanging="720"/>
      </w:pPr>
      <w:rPr>
        <w:rFonts w:hint="default" w:ascii="Arial" w:hAnsi="Arial" w:cs="Arial"/>
        <w:sz w:val="24"/>
      </w:rPr>
    </w:lvl>
    <w:lvl w:ilvl="3" w:tentative="0">
      <w:start w:val="1"/>
      <w:numFmt w:val="decimal"/>
      <w:pStyle w:val="6"/>
      <w:lvlText w:val="%1.%2.%3.%4"/>
      <w:lvlJc w:val="left"/>
      <w:pPr>
        <w:tabs>
          <w:tab w:val="left" w:pos="864"/>
        </w:tabs>
        <w:ind w:left="864" w:hanging="864"/>
      </w:pPr>
      <w:rPr>
        <w:rFonts w:hint="eastAsia"/>
      </w:rPr>
    </w:lvl>
    <w:lvl w:ilvl="4" w:tentative="0">
      <w:start w:val="1"/>
      <w:numFmt w:val="decimal"/>
      <w:pStyle w:val="7"/>
      <w:lvlText w:val="%1.%2.%3.%4.%5"/>
      <w:lvlJc w:val="left"/>
      <w:pPr>
        <w:tabs>
          <w:tab w:val="left" w:pos="1008"/>
        </w:tabs>
        <w:ind w:left="1008" w:hanging="1008"/>
      </w:pPr>
      <w:rPr>
        <w:rFonts w:hint="eastAsia"/>
      </w:rPr>
    </w:lvl>
    <w:lvl w:ilvl="5" w:tentative="0">
      <w:start w:val="1"/>
      <w:numFmt w:val="decimal"/>
      <w:pStyle w:val="8"/>
      <w:lvlText w:val="%1.%2.%3.%4.%5.%6"/>
      <w:lvlJc w:val="left"/>
      <w:pPr>
        <w:tabs>
          <w:tab w:val="left" w:pos="1152"/>
        </w:tabs>
        <w:ind w:left="1152" w:hanging="1152"/>
      </w:pPr>
      <w:rPr>
        <w:rFonts w:hint="eastAsia"/>
      </w:rPr>
    </w:lvl>
    <w:lvl w:ilvl="6" w:tentative="0">
      <w:start w:val="1"/>
      <w:numFmt w:val="decimal"/>
      <w:pStyle w:val="9"/>
      <w:lvlText w:val="%1.%2.%3.%4.%5.%6.%7"/>
      <w:lvlJc w:val="left"/>
      <w:pPr>
        <w:tabs>
          <w:tab w:val="left" w:pos="1296"/>
        </w:tabs>
        <w:ind w:left="1296" w:hanging="1296"/>
      </w:pPr>
      <w:rPr>
        <w:rFonts w:hint="eastAsia"/>
      </w:rPr>
    </w:lvl>
    <w:lvl w:ilvl="7" w:tentative="0">
      <w:start w:val="1"/>
      <w:numFmt w:val="decimal"/>
      <w:pStyle w:val="10"/>
      <w:lvlText w:val="%1.%2.%3.%4.%5.%6.%7.%8"/>
      <w:lvlJc w:val="left"/>
      <w:pPr>
        <w:tabs>
          <w:tab w:val="left" w:pos="1440"/>
        </w:tabs>
        <w:ind w:left="1440" w:hanging="1440"/>
      </w:pPr>
      <w:rPr>
        <w:rFonts w:hint="eastAsia"/>
      </w:rPr>
    </w:lvl>
    <w:lvl w:ilvl="8" w:tentative="0">
      <w:start w:val="1"/>
      <w:numFmt w:val="decimal"/>
      <w:pStyle w:val="11"/>
      <w:lvlText w:val="%1.%2.%3.%4.%5.%6.%7.%8.%9"/>
      <w:lvlJc w:val="left"/>
      <w:pPr>
        <w:tabs>
          <w:tab w:val="left" w:pos="1584"/>
        </w:tabs>
        <w:ind w:left="1584" w:hanging="1584"/>
      </w:pPr>
      <w:rPr>
        <w:rFonts w:hint="eastAsia"/>
      </w:rPr>
    </w:lvl>
  </w:abstractNum>
  <w:abstractNum w:abstractNumId="5">
    <w:nsid w:val="1FC91163"/>
    <w:multiLevelType w:val="multilevel"/>
    <w:tmpl w:val="1FC91163"/>
    <w:lvl w:ilvl="0" w:tentative="0">
      <w:start w:val="1"/>
      <w:numFmt w:val="decimal"/>
      <w:pStyle w:val="27"/>
      <w:suff w:val="nothing"/>
      <w:lvlText w:val="%1　"/>
      <w:lvlJc w:val="left"/>
      <w:pPr>
        <w:ind w:left="142" w:firstLine="0"/>
      </w:pPr>
      <w:rPr>
        <w:rFonts w:hint="eastAsia" w:ascii="黑体" w:hAnsi="Times New Roman" w:eastAsia="黑体"/>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6">
    <w:nsid w:val="646260FA"/>
    <w:multiLevelType w:val="multilevel"/>
    <w:tmpl w:val="646260FA"/>
    <w:lvl w:ilvl="0" w:tentative="0">
      <w:start w:val="1"/>
      <w:numFmt w:val="decimal"/>
      <w:pStyle w:val="44"/>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7">
    <w:nsid w:val="6CEA2025"/>
    <w:multiLevelType w:val="multilevel"/>
    <w:tmpl w:val="6CEA2025"/>
    <w:lvl w:ilvl="0" w:tentative="0">
      <w:start w:val="1"/>
      <w:numFmt w:val="none"/>
      <w:pStyle w:val="42"/>
      <w:suff w:val="nothing"/>
      <w:lvlText w:val="%1"/>
      <w:lvlJc w:val="left"/>
      <w:pPr>
        <w:ind w:left="0" w:firstLine="0"/>
      </w:pPr>
      <w:rPr>
        <w:rFonts w:hint="eastAsia"/>
      </w:rPr>
    </w:lvl>
    <w:lvl w:ilvl="1" w:tentative="0">
      <w:start w:val="1"/>
      <w:numFmt w:val="decimal"/>
      <w:pStyle w:val="40"/>
      <w:suff w:val="nothing"/>
      <w:lvlText w:val="%1%2　"/>
      <w:lvlJc w:val="left"/>
      <w:pPr>
        <w:ind w:left="1276" w:firstLine="0"/>
      </w:pPr>
      <w:rPr>
        <w:rFonts w:hint="eastAsia" w:ascii="黑体" w:eastAsia="黑体"/>
        <w:b w:val="0"/>
        <w:i w:val="0"/>
        <w:sz w:val="21"/>
      </w:rPr>
    </w:lvl>
    <w:lvl w:ilvl="2" w:tentative="0">
      <w:start w:val="1"/>
      <w:numFmt w:val="decimal"/>
      <w:pStyle w:val="41"/>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36"/>
      <w:suff w:val="nothing"/>
      <w:lvlText w:val="%1%2.%3.%4　"/>
      <w:lvlJc w:val="left"/>
      <w:pPr>
        <w:ind w:left="0" w:firstLine="0"/>
      </w:pPr>
      <w:rPr>
        <w:rFonts w:hint="eastAsia" w:ascii="黑体" w:eastAsia="黑体"/>
        <w:b w:val="0"/>
        <w:i w:val="0"/>
        <w:sz w:val="21"/>
      </w:rPr>
    </w:lvl>
    <w:lvl w:ilvl="4" w:tentative="0">
      <w:start w:val="1"/>
      <w:numFmt w:val="decimal"/>
      <w:pStyle w:val="37"/>
      <w:suff w:val="nothing"/>
      <w:lvlText w:val="%1%2.%3.%4.%5　"/>
      <w:lvlJc w:val="left"/>
      <w:pPr>
        <w:ind w:left="0" w:firstLine="0"/>
      </w:pPr>
      <w:rPr>
        <w:rFonts w:hint="eastAsia" w:ascii="黑体" w:eastAsia="黑体"/>
        <w:b w:val="0"/>
        <w:i w:val="0"/>
        <w:sz w:val="21"/>
      </w:rPr>
    </w:lvl>
    <w:lvl w:ilvl="5" w:tentative="0">
      <w:start w:val="1"/>
      <w:numFmt w:val="decimal"/>
      <w:pStyle w:val="38"/>
      <w:suff w:val="nothing"/>
      <w:lvlText w:val="%1%2.%3.%4.%5.%6　"/>
      <w:lvlJc w:val="left"/>
      <w:pPr>
        <w:ind w:left="568" w:firstLine="0"/>
      </w:pPr>
      <w:rPr>
        <w:rFonts w:hint="eastAsia" w:ascii="黑体" w:eastAsia="黑体"/>
        <w:b w:val="0"/>
        <w:i w:val="0"/>
        <w:sz w:val="21"/>
      </w:rPr>
    </w:lvl>
    <w:lvl w:ilvl="6" w:tentative="0">
      <w:start w:val="1"/>
      <w:numFmt w:val="decimal"/>
      <w:pStyle w:val="39"/>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1"/>
  </w:num>
  <w:num w:numId="2">
    <w:abstractNumId w:val="0"/>
  </w:num>
  <w:num w:numId="3">
    <w:abstractNumId w:val="2"/>
  </w:num>
  <w:num w:numId="4">
    <w:abstractNumId w:val="4"/>
  </w:num>
  <w:num w:numId="5">
    <w:abstractNumId w:val="3"/>
  </w:num>
  <w:num w:numId="6">
    <w:abstractNumId w:val="5"/>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60F5"/>
    <w:rsid w:val="00010435"/>
    <w:rsid w:val="0004208E"/>
    <w:rsid w:val="000511E6"/>
    <w:rsid w:val="000518BC"/>
    <w:rsid w:val="000707E8"/>
    <w:rsid w:val="00071366"/>
    <w:rsid w:val="00087C0F"/>
    <w:rsid w:val="00091774"/>
    <w:rsid w:val="00093CAF"/>
    <w:rsid w:val="00097DAC"/>
    <w:rsid w:val="000A1A20"/>
    <w:rsid w:val="000B3267"/>
    <w:rsid w:val="000B6E66"/>
    <w:rsid w:val="000C13BD"/>
    <w:rsid w:val="000C2C19"/>
    <w:rsid w:val="000C7D51"/>
    <w:rsid w:val="000F41B5"/>
    <w:rsid w:val="000F5198"/>
    <w:rsid w:val="001107E9"/>
    <w:rsid w:val="001230F8"/>
    <w:rsid w:val="001411EF"/>
    <w:rsid w:val="0015016F"/>
    <w:rsid w:val="001527CC"/>
    <w:rsid w:val="00165377"/>
    <w:rsid w:val="001655BC"/>
    <w:rsid w:val="00185543"/>
    <w:rsid w:val="00196FF8"/>
    <w:rsid w:val="001A3CD1"/>
    <w:rsid w:val="001B0880"/>
    <w:rsid w:val="001B35C1"/>
    <w:rsid w:val="001B372E"/>
    <w:rsid w:val="001C4D74"/>
    <w:rsid w:val="001D1D32"/>
    <w:rsid w:val="001D7F07"/>
    <w:rsid w:val="001E3652"/>
    <w:rsid w:val="001F006F"/>
    <w:rsid w:val="001F6277"/>
    <w:rsid w:val="002005C6"/>
    <w:rsid w:val="00243CFC"/>
    <w:rsid w:val="00247524"/>
    <w:rsid w:val="002478AA"/>
    <w:rsid w:val="00256DBC"/>
    <w:rsid w:val="002632AB"/>
    <w:rsid w:val="002679E1"/>
    <w:rsid w:val="00272B1C"/>
    <w:rsid w:val="00285C9A"/>
    <w:rsid w:val="0029039E"/>
    <w:rsid w:val="002A46A6"/>
    <w:rsid w:val="002A6836"/>
    <w:rsid w:val="002B3F80"/>
    <w:rsid w:val="002B4043"/>
    <w:rsid w:val="002D1D84"/>
    <w:rsid w:val="002D45FE"/>
    <w:rsid w:val="002F6EA1"/>
    <w:rsid w:val="00312686"/>
    <w:rsid w:val="00325353"/>
    <w:rsid w:val="00340199"/>
    <w:rsid w:val="003420D5"/>
    <w:rsid w:val="00346DC7"/>
    <w:rsid w:val="003651C1"/>
    <w:rsid w:val="003833C5"/>
    <w:rsid w:val="00384B2D"/>
    <w:rsid w:val="0038591D"/>
    <w:rsid w:val="003928E5"/>
    <w:rsid w:val="00397D07"/>
    <w:rsid w:val="003A09BD"/>
    <w:rsid w:val="003B2D2B"/>
    <w:rsid w:val="003D31C7"/>
    <w:rsid w:val="003D4B7B"/>
    <w:rsid w:val="003D4D22"/>
    <w:rsid w:val="003E1465"/>
    <w:rsid w:val="003E5B16"/>
    <w:rsid w:val="003F2FE4"/>
    <w:rsid w:val="003F37B7"/>
    <w:rsid w:val="003F5741"/>
    <w:rsid w:val="003F6489"/>
    <w:rsid w:val="003F6CED"/>
    <w:rsid w:val="004022F1"/>
    <w:rsid w:val="0041079F"/>
    <w:rsid w:val="00425531"/>
    <w:rsid w:val="00441249"/>
    <w:rsid w:val="00442E9F"/>
    <w:rsid w:val="004542B3"/>
    <w:rsid w:val="004718B9"/>
    <w:rsid w:val="00486548"/>
    <w:rsid w:val="004870E1"/>
    <w:rsid w:val="00495437"/>
    <w:rsid w:val="0049734A"/>
    <w:rsid w:val="004A339D"/>
    <w:rsid w:val="004B0FF8"/>
    <w:rsid w:val="004B4D7A"/>
    <w:rsid w:val="004B5F08"/>
    <w:rsid w:val="004D515A"/>
    <w:rsid w:val="004D5F00"/>
    <w:rsid w:val="004E371B"/>
    <w:rsid w:val="004E664B"/>
    <w:rsid w:val="004E7A03"/>
    <w:rsid w:val="004F3AB0"/>
    <w:rsid w:val="00517BCC"/>
    <w:rsid w:val="00525AB2"/>
    <w:rsid w:val="00532702"/>
    <w:rsid w:val="00540C4B"/>
    <w:rsid w:val="00550E7B"/>
    <w:rsid w:val="00557EFD"/>
    <w:rsid w:val="00560DC6"/>
    <w:rsid w:val="005713F1"/>
    <w:rsid w:val="00571400"/>
    <w:rsid w:val="005723F5"/>
    <w:rsid w:val="00572484"/>
    <w:rsid w:val="00577027"/>
    <w:rsid w:val="00577BBE"/>
    <w:rsid w:val="0058379E"/>
    <w:rsid w:val="0058775B"/>
    <w:rsid w:val="005A12C1"/>
    <w:rsid w:val="005A1E05"/>
    <w:rsid w:val="005A58F2"/>
    <w:rsid w:val="005D0BE8"/>
    <w:rsid w:val="005D58EB"/>
    <w:rsid w:val="005D6A25"/>
    <w:rsid w:val="005E474E"/>
    <w:rsid w:val="005E73D8"/>
    <w:rsid w:val="005F1ABB"/>
    <w:rsid w:val="00604684"/>
    <w:rsid w:val="00612C37"/>
    <w:rsid w:val="006164D5"/>
    <w:rsid w:val="00620213"/>
    <w:rsid w:val="0062083B"/>
    <w:rsid w:val="00630605"/>
    <w:rsid w:val="0063334B"/>
    <w:rsid w:val="006744B8"/>
    <w:rsid w:val="006847D3"/>
    <w:rsid w:val="006860EF"/>
    <w:rsid w:val="00687D5E"/>
    <w:rsid w:val="00691507"/>
    <w:rsid w:val="006952A1"/>
    <w:rsid w:val="006A0363"/>
    <w:rsid w:val="006A47FD"/>
    <w:rsid w:val="006D058F"/>
    <w:rsid w:val="006E21EF"/>
    <w:rsid w:val="00710372"/>
    <w:rsid w:val="0071595F"/>
    <w:rsid w:val="00732760"/>
    <w:rsid w:val="00736155"/>
    <w:rsid w:val="00741975"/>
    <w:rsid w:val="007450AB"/>
    <w:rsid w:val="00745F11"/>
    <w:rsid w:val="007A1F4E"/>
    <w:rsid w:val="007A3D6A"/>
    <w:rsid w:val="007B2F82"/>
    <w:rsid w:val="007D245C"/>
    <w:rsid w:val="007D7142"/>
    <w:rsid w:val="007E1A1C"/>
    <w:rsid w:val="007E26B4"/>
    <w:rsid w:val="007F35C1"/>
    <w:rsid w:val="00817232"/>
    <w:rsid w:val="008270DF"/>
    <w:rsid w:val="0083073D"/>
    <w:rsid w:val="00842DB7"/>
    <w:rsid w:val="00845E94"/>
    <w:rsid w:val="00847495"/>
    <w:rsid w:val="008522FA"/>
    <w:rsid w:val="00857A2B"/>
    <w:rsid w:val="0086153F"/>
    <w:rsid w:val="00870315"/>
    <w:rsid w:val="00877C57"/>
    <w:rsid w:val="00884134"/>
    <w:rsid w:val="008874F5"/>
    <w:rsid w:val="00890C29"/>
    <w:rsid w:val="008928DC"/>
    <w:rsid w:val="008A7266"/>
    <w:rsid w:val="008B1FB5"/>
    <w:rsid w:val="008C09A8"/>
    <w:rsid w:val="008C3A00"/>
    <w:rsid w:val="008C7F3F"/>
    <w:rsid w:val="008F2ADF"/>
    <w:rsid w:val="008F2CF5"/>
    <w:rsid w:val="00903151"/>
    <w:rsid w:val="009033A6"/>
    <w:rsid w:val="00911A8D"/>
    <w:rsid w:val="0091624E"/>
    <w:rsid w:val="00916328"/>
    <w:rsid w:val="00924297"/>
    <w:rsid w:val="00926366"/>
    <w:rsid w:val="00931106"/>
    <w:rsid w:val="0095152C"/>
    <w:rsid w:val="00972DAC"/>
    <w:rsid w:val="00976F5B"/>
    <w:rsid w:val="009810ED"/>
    <w:rsid w:val="00981BD0"/>
    <w:rsid w:val="009947AE"/>
    <w:rsid w:val="00997F59"/>
    <w:rsid w:val="009B1E6C"/>
    <w:rsid w:val="009C381B"/>
    <w:rsid w:val="009C5731"/>
    <w:rsid w:val="009D3321"/>
    <w:rsid w:val="009D39B5"/>
    <w:rsid w:val="009D75E1"/>
    <w:rsid w:val="009F585C"/>
    <w:rsid w:val="009F6B53"/>
    <w:rsid w:val="00A01B73"/>
    <w:rsid w:val="00A11120"/>
    <w:rsid w:val="00A14317"/>
    <w:rsid w:val="00A16612"/>
    <w:rsid w:val="00A16CE7"/>
    <w:rsid w:val="00A2202C"/>
    <w:rsid w:val="00A52C2F"/>
    <w:rsid w:val="00A56729"/>
    <w:rsid w:val="00A66347"/>
    <w:rsid w:val="00A77EED"/>
    <w:rsid w:val="00A879A1"/>
    <w:rsid w:val="00A942FC"/>
    <w:rsid w:val="00AA1A81"/>
    <w:rsid w:val="00AA25E6"/>
    <w:rsid w:val="00AA377C"/>
    <w:rsid w:val="00AB3277"/>
    <w:rsid w:val="00AC75E0"/>
    <w:rsid w:val="00AE3374"/>
    <w:rsid w:val="00AF3C8A"/>
    <w:rsid w:val="00AF680D"/>
    <w:rsid w:val="00B03E99"/>
    <w:rsid w:val="00B07D6C"/>
    <w:rsid w:val="00B16F6D"/>
    <w:rsid w:val="00B460F5"/>
    <w:rsid w:val="00B4709E"/>
    <w:rsid w:val="00B47F00"/>
    <w:rsid w:val="00B55E17"/>
    <w:rsid w:val="00B5647C"/>
    <w:rsid w:val="00B67ADB"/>
    <w:rsid w:val="00B821B7"/>
    <w:rsid w:val="00B943B8"/>
    <w:rsid w:val="00BA1FB0"/>
    <w:rsid w:val="00BA6CBB"/>
    <w:rsid w:val="00BB324C"/>
    <w:rsid w:val="00BE081C"/>
    <w:rsid w:val="00BE4C39"/>
    <w:rsid w:val="00BF562A"/>
    <w:rsid w:val="00BF5E12"/>
    <w:rsid w:val="00C11A35"/>
    <w:rsid w:val="00C165FE"/>
    <w:rsid w:val="00C21F4F"/>
    <w:rsid w:val="00C2278C"/>
    <w:rsid w:val="00C318F6"/>
    <w:rsid w:val="00C33E41"/>
    <w:rsid w:val="00C37A42"/>
    <w:rsid w:val="00C4355B"/>
    <w:rsid w:val="00C468E3"/>
    <w:rsid w:val="00C650B7"/>
    <w:rsid w:val="00C74392"/>
    <w:rsid w:val="00C84663"/>
    <w:rsid w:val="00C86AC9"/>
    <w:rsid w:val="00C87449"/>
    <w:rsid w:val="00CA08FA"/>
    <w:rsid w:val="00CA719B"/>
    <w:rsid w:val="00CB04E4"/>
    <w:rsid w:val="00CC4FD3"/>
    <w:rsid w:val="00CD1074"/>
    <w:rsid w:val="00CD444F"/>
    <w:rsid w:val="00CD6DA4"/>
    <w:rsid w:val="00CE19FA"/>
    <w:rsid w:val="00CE20EF"/>
    <w:rsid w:val="00CE5C96"/>
    <w:rsid w:val="00CE69F4"/>
    <w:rsid w:val="00CF22AE"/>
    <w:rsid w:val="00D02A49"/>
    <w:rsid w:val="00D04BAF"/>
    <w:rsid w:val="00D21AC1"/>
    <w:rsid w:val="00D22F86"/>
    <w:rsid w:val="00D2412D"/>
    <w:rsid w:val="00D30001"/>
    <w:rsid w:val="00D4070B"/>
    <w:rsid w:val="00D43640"/>
    <w:rsid w:val="00D4384D"/>
    <w:rsid w:val="00D44516"/>
    <w:rsid w:val="00D479BD"/>
    <w:rsid w:val="00D525A2"/>
    <w:rsid w:val="00D5789E"/>
    <w:rsid w:val="00D87E01"/>
    <w:rsid w:val="00DA3E03"/>
    <w:rsid w:val="00DA5089"/>
    <w:rsid w:val="00DC322A"/>
    <w:rsid w:val="00DC72BC"/>
    <w:rsid w:val="00DD4D10"/>
    <w:rsid w:val="00DE198A"/>
    <w:rsid w:val="00DF0B3A"/>
    <w:rsid w:val="00DF2B17"/>
    <w:rsid w:val="00E06678"/>
    <w:rsid w:val="00E07A15"/>
    <w:rsid w:val="00E11350"/>
    <w:rsid w:val="00E16DE6"/>
    <w:rsid w:val="00E20E50"/>
    <w:rsid w:val="00E26D5A"/>
    <w:rsid w:val="00E542CB"/>
    <w:rsid w:val="00E5712C"/>
    <w:rsid w:val="00E67EA9"/>
    <w:rsid w:val="00E731D7"/>
    <w:rsid w:val="00E74B8E"/>
    <w:rsid w:val="00E83B6E"/>
    <w:rsid w:val="00E85A1C"/>
    <w:rsid w:val="00E93D8B"/>
    <w:rsid w:val="00EA6A77"/>
    <w:rsid w:val="00EF3A55"/>
    <w:rsid w:val="00EF67EA"/>
    <w:rsid w:val="00F157C5"/>
    <w:rsid w:val="00F231EE"/>
    <w:rsid w:val="00F56213"/>
    <w:rsid w:val="00F82930"/>
    <w:rsid w:val="00F86AE5"/>
    <w:rsid w:val="00F925E4"/>
    <w:rsid w:val="00F93332"/>
    <w:rsid w:val="00FA462C"/>
    <w:rsid w:val="00FB28B0"/>
    <w:rsid w:val="00FB7D61"/>
    <w:rsid w:val="00FC37A0"/>
    <w:rsid w:val="00FE1C72"/>
    <w:rsid w:val="01366FDF"/>
    <w:rsid w:val="03D5747C"/>
    <w:rsid w:val="0781507A"/>
    <w:rsid w:val="07DA65FD"/>
    <w:rsid w:val="0915377C"/>
    <w:rsid w:val="09306B25"/>
    <w:rsid w:val="0B397A56"/>
    <w:rsid w:val="0B8761AE"/>
    <w:rsid w:val="12123FE6"/>
    <w:rsid w:val="13174FE6"/>
    <w:rsid w:val="14D27867"/>
    <w:rsid w:val="153E207D"/>
    <w:rsid w:val="16414226"/>
    <w:rsid w:val="179A7B98"/>
    <w:rsid w:val="1C3715D7"/>
    <w:rsid w:val="1DC07338"/>
    <w:rsid w:val="2056688E"/>
    <w:rsid w:val="233C22FF"/>
    <w:rsid w:val="27D24693"/>
    <w:rsid w:val="2AD851D1"/>
    <w:rsid w:val="2BC7131D"/>
    <w:rsid w:val="2E0D4D76"/>
    <w:rsid w:val="2F3C2E7D"/>
    <w:rsid w:val="30216816"/>
    <w:rsid w:val="32D90B27"/>
    <w:rsid w:val="36C063A7"/>
    <w:rsid w:val="382B051E"/>
    <w:rsid w:val="39481B09"/>
    <w:rsid w:val="3BFA2EDC"/>
    <w:rsid w:val="446F7270"/>
    <w:rsid w:val="44DD564F"/>
    <w:rsid w:val="458375AC"/>
    <w:rsid w:val="461C74E0"/>
    <w:rsid w:val="472F40C9"/>
    <w:rsid w:val="4CA02ACA"/>
    <w:rsid w:val="4CBF672F"/>
    <w:rsid w:val="4F242E08"/>
    <w:rsid w:val="4F702AB6"/>
    <w:rsid w:val="51B73637"/>
    <w:rsid w:val="53C7104F"/>
    <w:rsid w:val="54766A31"/>
    <w:rsid w:val="55A63474"/>
    <w:rsid w:val="57897453"/>
    <w:rsid w:val="57DB745C"/>
    <w:rsid w:val="5A205E72"/>
    <w:rsid w:val="5B9047FE"/>
    <w:rsid w:val="5CAF425D"/>
    <w:rsid w:val="5D294A7F"/>
    <w:rsid w:val="60FE1013"/>
    <w:rsid w:val="63DB0867"/>
    <w:rsid w:val="651214A4"/>
    <w:rsid w:val="6599684B"/>
    <w:rsid w:val="662A52E5"/>
    <w:rsid w:val="66E1014C"/>
    <w:rsid w:val="6B1D1F48"/>
    <w:rsid w:val="6B3B6A6A"/>
    <w:rsid w:val="6B6F1F3D"/>
    <w:rsid w:val="731564EE"/>
    <w:rsid w:val="75E23DD4"/>
    <w:rsid w:val="75E9472C"/>
    <w:rsid w:val="7670455E"/>
    <w:rsid w:val="7B2A40D3"/>
    <w:rsid w:val="7D3E7A94"/>
    <w:rsid w:val="7D500889"/>
    <w:rsid w:val="7DD8131B"/>
    <w:rsid w:val="7E090F5A"/>
    <w:rsid w:val="7FE473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iPriority="99"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qFormat="1" w:uiPriority="99"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1"/>
      <w:lang w:val="en-US" w:eastAsia="zh-CN" w:bidi="ar-SA"/>
    </w:rPr>
  </w:style>
  <w:style w:type="paragraph" w:styleId="2">
    <w:name w:val="heading 1"/>
    <w:basedOn w:val="1"/>
    <w:next w:val="1"/>
    <w:link w:val="23"/>
    <w:qFormat/>
    <w:uiPriority w:val="0"/>
    <w:pPr>
      <w:keepNext/>
      <w:keepLines/>
      <w:numPr>
        <w:ilvl w:val="0"/>
        <w:numId w:val="1"/>
      </w:numPr>
      <w:spacing w:before="80" w:beforeLines="80" w:line="360" w:lineRule="auto"/>
      <w:jc w:val="left"/>
      <w:outlineLvl w:val="0"/>
    </w:pPr>
    <w:rPr>
      <w:rFonts w:ascii="Times New Roman" w:hAnsi="Times New Roman" w:eastAsia="微软雅黑" w:cs="Times New Roman"/>
      <w:b/>
      <w:kern w:val="44"/>
      <w:sz w:val="30"/>
      <w:szCs w:val="22"/>
    </w:rPr>
  </w:style>
  <w:style w:type="paragraph" w:styleId="3">
    <w:name w:val="heading 2"/>
    <w:basedOn w:val="1"/>
    <w:next w:val="4"/>
    <w:link w:val="24"/>
    <w:semiHidden/>
    <w:unhideWhenUsed/>
    <w:qFormat/>
    <w:uiPriority w:val="0"/>
    <w:pPr>
      <w:keepNext/>
      <w:keepLines/>
      <w:numPr>
        <w:ilvl w:val="0"/>
        <w:numId w:val="2"/>
      </w:numPr>
      <w:spacing w:line="360" w:lineRule="auto"/>
      <w:outlineLvl w:val="1"/>
    </w:pPr>
    <w:rPr>
      <w:rFonts w:ascii="Arial" w:hAnsi="Arial" w:eastAsia="宋体"/>
      <w:b/>
      <w:sz w:val="28"/>
    </w:rPr>
  </w:style>
  <w:style w:type="paragraph" w:styleId="5">
    <w:name w:val="heading 3"/>
    <w:basedOn w:val="1"/>
    <w:next w:val="1"/>
    <w:semiHidden/>
    <w:unhideWhenUsed/>
    <w:qFormat/>
    <w:uiPriority w:val="0"/>
    <w:pPr>
      <w:keepNext/>
      <w:keepLines/>
      <w:numPr>
        <w:ilvl w:val="2"/>
        <w:numId w:val="3"/>
      </w:numPr>
      <w:tabs>
        <w:tab w:val="left" w:pos="720"/>
      </w:tabs>
      <w:spacing w:line="360" w:lineRule="auto"/>
      <w:ind w:left="720" w:hanging="720"/>
      <w:outlineLvl w:val="2"/>
    </w:pPr>
    <w:rPr>
      <w:b/>
      <w:sz w:val="28"/>
    </w:rPr>
  </w:style>
  <w:style w:type="paragraph" w:styleId="6">
    <w:name w:val="heading 4"/>
    <w:basedOn w:val="1"/>
    <w:next w:val="1"/>
    <w:semiHidden/>
    <w:unhideWhenUsed/>
    <w:qFormat/>
    <w:uiPriority w:val="0"/>
    <w:pPr>
      <w:keepNext/>
      <w:keepLines/>
      <w:numPr>
        <w:ilvl w:val="3"/>
        <w:numId w:val="4"/>
      </w:numPr>
      <w:spacing w:before="280" w:after="290" w:line="372" w:lineRule="auto"/>
      <w:outlineLvl w:val="3"/>
    </w:pPr>
    <w:rPr>
      <w:rFonts w:ascii="Arial" w:hAnsi="Arial" w:eastAsia="黑体"/>
      <w:b/>
      <w:sz w:val="28"/>
    </w:rPr>
  </w:style>
  <w:style w:type="paragraph" w:styleId="7">
    <w:name w:val="heading 5"/>
    <w:basedOn w:val="1"/>
    <w:next w:val="1"/>
    <w:semiHidden/>
    <w:unhideWhenUsed/>
    <w:qFormat/>
    <w:uiPriority w:val="0"/>
    <w:pPr>
      <w:keepNext/>
      <w:keepLines/>
      <w:numPr>
        <w:ilvl w:val="4"/>
        <w:numId w:val="4"/>
      </w:numPr>
      <w:spacing w:before="280" w:after="290" w:line="372" w:lineRule="auto"/>
      <w:outlineLvl w:val="4"/>
    </w:pPr>
    <w:rPr>
      <w:b/>
      <w:sz w:val="28"/>
    </w:rPr>
  </w:style>
  <w:style w:type="paragraph" w:styleId="8">
    <w:name w:val="heading 6"/>
    <w:basedOn w:val="1"/>
    <w:next w:val="1"/>
    <w:semiHidden/>
    <w:unhideWhenUsed/>
    <w:qFormat/>
    <w:uiPriority w:val="0"/>
    <w:pPr>
      <w:keepNext/>
      <w:keepLines/>
      <w:numPr>
        <w:ilvl w:val="5"/>
        <w:numId w:val="4"/>
      </w:numPr>
      <w:spacing w:before="240" w:after="64" w:line="317" w:lineRule="auto"/>
      <w:outlineLvl w:val="5"/>
    </w:pPr>
    <w:rPr>
      <w:rFonts w:ascii="Arial" w:hAnsi="Arial" w:eastAsia="黑体"/>
      <w:b/>
      <w:sz w:val="24"/>
    </w:rPr>
  </w:style>
  <w:style w:type="paragraph" w:styleId="9">
    <w:name w:val="heading 7"/>
    <w:basedOn w:val="1"/>
    <w:next w:val="1"/>
    <w:semiHidden/>
    <w:unhideWhenUsed/>
    <w:qFormat/>
    <w:uiPriority w:val="0"/>
    <w:pPr>
      <w:keepNext/>
      <w:keepLines/>
      <w:numPr>
        <w:ilvl w:val="6"/>
        <w:numId w:val="4"/>
      </w:numPr>
      <w:spacing w:before="240" w:after="64" w:line="317" w:lineRule="auto"/>
      <w:outlineLvl w:val="6"/>
    </w:pPr>
    <w:rPr>
      <w:b/>
      <w:sz w:val="24"/>
    </w:rPr>
  </w:style>
  <w:style w:type="paragraph" w:styleId="10">
    <w:name w:val="heading 8"/>
    <w:basedOn w:val="1"/>
    <w:next w:val="1"/>
    <w:semiHidden/>
    <w:unhideWhenUsed/>
    <w:qFormat/>
    <w:uiPriority w:val="0"/>
    <w:pPr>
      <w:keepNext/>
      <w:keepLines/>
      <w:numPr>
        <w:ilvl w:val="7"/>
        <w:numId w:val="4"/>
      </w:numPr>
      <w:spacing w:before="240" w:after="64" w:line="317" w:lineRule="auto"/>
      <w:outlineLvl w:val="7"/>
    </w:pPr>
    <w:rPr>
      <w:rFonts w:ascii="Arial" w:hAnsi="Arial" w:eastAsia="黑体"/>
      <w:sz w:val="24"/>
    </w:rPr>
  </w:style>
  <w:style w:type="paragraph" w:styleId="11">
    <w:name w:val="heading 9"/>
    <w:basedOn w:val="1"/>
    <w:next w:val="1"/>
    <w:semiHidden/>
    <w:unhideWhenUsed/>
    <w:qFormat/>
    <w:uiPriority w:val="0"/>
    <w:pPr>
      <w:keepNext/>
      <w:keepLines/>
      <w:numPr>
        <w:ilvl w:val="8"/>
        <w:numId w:val="4"/>
      </w:numPr>
      <w:spacing w:before="240" w:after="64" w:line="317" w:lineRule="auto"/>
      <w:outlineLvl w:val="8"/>
    </w:pPr>
    <w:rPr>
      <w:rFonts w:ascii="Arial" w:hAnsi="Arial" w:eastAsia="黑体"/>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4">
    <w:name w:val="Normal Indent"/>
    <w:basedOn w:val="1"/>
    <w:qFormat/>
    <w:uiPriority w:val="0"/>
    <w:pPr>
      <w:spacing w:before="156" w:beforeLines="50"/>
      <w:jc w:val="center"/>
    </w:pPr>
    <w:rPr>
      <w:b/>
      <w:sz w:val="30"/>
    </w:rPr>
  </w:style>
  <w:style w:type="paragraph" w:styleId="12">
    <w:name w:val="caption"/>
    <w:basedOn w:val="1"/>
    <w:next w:val="1"/>
    <w:link w:val="25"/>
    <w:semiHidden/>
    <w:unhideWhenUsed/>
    <w:qFormat/>
    <w:uiPriority w:val="0"/>
    <w:pPr>
      <w:numPr>
        <w:ilvl w:val="0"/>
        <w:numId w:val="5"/>
      </w:numPr>
      <w:ind w:firstLine="0"/>
      <w:jc w:val="center"/>
    </w:pPr>
    <w:rPr>
      <w:rFonts w:ascii="Times New Roman" w:hAnsi="Times New Roman" w:eastAsia="宋体"/>
      <w:b/>
      <w:bCs/>
      <w:szCs w:val="28"/>
    </w:rPr>
  </w:style>
  <w:style w:type="paragraph" w:styleId="13">
    <w:name w:val="annotation text"/>
    <w:basedOn w:val="1"/>
    <w:link w:val="30"/>
    <w:semiHidden/>
    <w:unhideWhenUsed/>
    <w:qFormat/>
    <w:uiPriority w:val="99"/>
    <w:pPr>
      <w:jc w:val="left"/>
    </w:pPr>
  </w:style>
  <w:style w:type="paragraph" w:styleId="14">
    <w:name w:val="footer"/>
    <w:basedOn w:val="1"/>
    <w:qFormat/>
    <w:uiPriority w:val="0"/>
    <w:pPr>
      <w:tabs>
        <w:tab w:val="center" w:pos="4153"/>
        <w:tab w:val="right" w:pos="8306"/>
      </w:tabs>
      <w:snapToGrid w:val="0"/>
      <w:jc w:val="left"/>
    </w:pPr>
    <w:rPr>
      <w:sz w:val="18"/>
    </w:rPr>
  </w:style>
  <w:style w:type="paragraph" w:styleId="1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6">
    <w:name w:val="toc 1"/>
    <w:basedOn w:val="1"/>
    <w:next w:val="1"/>
    <w:qFormat/>
    <w:uiPriority w:val="0"/>
  </w:style>
  <w:style w:type="paragraph" w:styleId="17">
    <w:name w:val="annotation subject"/>
    <w:basedOn w:val="13"/>
    <w:next w:val="13"/>
    <w:link w:val="31"/>
    <w:qFormat/>
    <w:uiPriority w:val="0"/>
    <w:rPr>
      <w:b/>
      <w:bCs/>
    </w:rPr>
  </w:style>
  <w:style w:type="table" w:styleId="19">
    <w:name w:val="Table Grid"/>
    <w:basedOn w:val="18"/>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HTML Definition"/>
    <w:unhideWhenUsed/>
    <w:qFormat/>
    <w:uiPriority w:val="99"/>
  </w:style>
  <w:style w:type="character" w:styleId="22">
    <w:name w:val="annotation reference"/>
    <w:basedOn w:val="20"/>
    <w:qFormat/>
    <w:uiPriority w:val="0"/>
    <w:rPr>
      <w:sz w:val="21"/>
      <w:szCs w:val="21"/>
    </w:rPr>
  </w:style>
  <w:style w:type="character" w:customStyle="1" w:styleId="23">
    <w:name w:val="标题 1 字符"/>
    <w:link w:val="2"/>
    <w:qFormat/>
    <w:uiPriority w:val="9"/>
    <w:rPr>
      <w:rFonts w:ascii="Times New Roman" w:hAnsi="Times New Roman" w:eastAsia="微软雅黑" w:cs="Times New Roman"/>
      <w:b/>
      <w:kern w:val="44"/>
      <w:sz w:val="30"/>
      <w:szCs w:val="22"/>
    </w:rPr>
  </w:style>
  <w:style w:type="character" w:customStyle="1" w:styleId="24">
    <w:name w:val="标题 2 字符"/>
    <w:link w:val="3"/>
    <w:qFormat/>
    <w:uiPriority w:val="0"/>
    <w:rPr>
      <w:rFonts w:ascii="Arial" w:hAnsi="Arial" w:eastAsia="宋体"/>
      <w:b/>
      <w:smallCaps/>
      <w:kern w:val="32"/>
      <w:sz w:val="24"/>
      <w:szCs w:val="20"/>
      <w:lang w:val="en-GB"/>
    </w:rPr>
  </w:style>
  <w:style w:type="character" w:customStyle="1" w:styleId="25">
    <w:name w:val="题注 字符"/>
    <w:link w:val="12"/>
    <w:qFormat/>
    <w:uiPriority w:val="0"/>
    <w:rPr>
      <w:rFonts w:ascii="Times New Roman" w:hAnsi="Times New Roman" w:eastAsia="宋体"/>
      <w:b/>
      <w:bCs/>
      <w:szCs w:val="28"/>
    </w:rPr>
  </w:style>
  <w:style w:type="paragraph" w:customStyle="1" w:styleId="26">
    <w:name w:val="目次、标准名称标题"/>
    <w:basedOn w:val="1"/>
    <w:next w:val="1"/>
    <w:qFormat/>
    <w:uiPriority w:val="99"/>
    <w:pPr>
      <w:keepNext/>
      <w:pageBreakBefore/>
      <w:widowControl/>
      <w:shd w:val="clear" w:color="FFFFFF" w:fill="FFFFFF"/>
      <w:spacing w:before="640" w:after="560" w:line="460" w:lineRule="exact"/>
      <w:jc w:val="center"/>
      <w:outlineLvl w:val="0"/>
    </w:pPr>
    <w:rPr>
      <w:rFonts w:ascii="黑体" w:hAnsi="Times New Roman" w:eastAsia="黑体" w:cs="Times New Roman"/>
      <w:kern w:val="0"/>
      <w:sz w:val="32"/>
      <w:szCs w:val="20"/>
    </w:rPr>
  </w:style>
  <w:style w:type="paragraph" w:customStyle="1" w:styleId="27">
    <w:name w:val="章标题"/>
    <w:next w:val="28"/>
    <w:qFormat/>
    <w:uiPriority w:val="0"/>
    <w:pPr>
      <w:numPr>
        <w:ilvl w:val="0"/>
        <w:numId w:val="6"/>
      </w:numPr>
      <w:spacing w:beforeLines="100" w:afterLines="100"/>
      <w:jc w:val="both"/>
      <w:outlineLvl w:val="1"/>
    </w:pPr>
    <w:rPr>
      <w:rFonts w:ascii="黑体" w:hAnsi="Times New Roman" w:eastAsia="黑体" w:cs="Times New Roman"/>
      <w:sz w:val="21"/>
      <w:lang w:val="en-US" w:eastAsia="zh-CN" w:bidi="ar-SA"/>
    </w:rPr>
  </w:style>
  <w:style w:type="paragraph" w:customStyle="1" w:styleId="28">
    <w:name w:val="段"/>
    <w:qFormat/>
    <w:uiPriority w:val="99"/>
    <w:pPr>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9">
    <w:name w:val="修订1"/>
    <w:hidden/>
    <w:unhideWhenUsed/>
    <w:qFormat/>
    <w:uiPriority w:val="99"/>
    <w:rPr>
      <w:rFonts w:asciiTheme="minorHAnsi" w:hAnsiTheme="minorHAnsi" w:eastAsiaTheme="minorEastAsia" w:cstheme="minorBidi"/>
      <w:kern w:val="2"/>
      <w:sz w:val="21"/>
      <w:szCs w:val="21"/>
      <w:lang w:val="en-US" w:eastAsia="zh-CN" w:bidi="ar-SA"/>
    </w:rPr>
  </w:style>
  <w:style w:type="character" w:customStyle="1" w:styleId="30">
    <w:name w:val="批注文字 字符"/>
    <w:basedOn w:val="20"/>
    <w:link w:val="13"/>
    <w:semiHidden/>
    <w:qFormat/>
    <w:uiPriority w:val="99"/>
    <w:rPr>
      <w:rFonts w:asciiTheme="minorHAnsi" w:hAnsiTheme="minorHAnsi" w:eastAsiaTheme="minorEastAsia" w:cstheme="minorBidi"/>
      <w:kern w:val="2"/>
      <w:sz w:val="21"/>
      <w:szCs w:val="21"/>
    </w:rPr>
  </w:style>
  <w:style w:type="character" w:customStyle="1" w:styleId="31">
    <w:name w:val="批注主题 字符"/>
    <w:basedOn w:val="30"/>
    <w:link w:val="17"/>
    <w:qFormat/>
    <w:uiPriority w:val="0"/>
    <w:rPr>
      <w:rFonts w:asciiTheme="minorHAnsi" w:hAnsiTheme="minorHAnsi" w:eastAsiaTheme="minorEastAsia" w:cstheme="minorBidi"/>
      <w:b/>
      <w:bCs/>
      <w:kern w:val="2"/>
      <w:sz w:val="21"/>
      <w:szCs w:val="21"/>
    </w:rPr>
  </w:style>
  <w:style w:type="paragraph" w:customStyle="1" w:styleId="32">
    <w:name w:val="0text"/>
    <w:basedOn w:val="1"/>
    <w:autoRedefine/>
    <w:qFormat/>
    <w:uiPriority w:val="0"/>
    <w:pPr>
      <w:topLinePunct/>
      <w:spacing w:line="400" w:lineRule="atLeast"/>
    </w:pPr>
  </w:style>
  <w:style w:type="paragraph" w:customStyle="1" w:styleId="33">
    <w:name w:val="标准文件_段"/>
    <w:link w:val="34"/>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character" w:customStyle="1" w:styleId="34">
    <w:name w:val="标准文件_段 Char"/>
    <w:link w:val="33"/>
    <w:qFormat/>
    <w:uiPriority w:val="0"/>
    <w:rPr>
      <w:sz w:val="21"/>
    </w:rPr>
  </w:style>
  <w:style w:type="paragraph" w:styleId="35">
    <w:name w:val="List Paragraph"/>
    <w:basedOn w:val="1"/>
    <w:unhideWhenUsed/>
    <w:qFormat/>
    <w:uiPriority w:val="99"/>
    <w:pPr>
      <w:ind w:firstLine="420" w:firstLineChars="200"/>
    </w:pPr>
  </w:style>
  <w:style w:type="paragraph" w:customStyle="1" w:styleId="36">
    <w:name w:val="标准文件_二级条标题"/>
    <w:next w:val="33"/>
    <w:qFormat/>
    <w:uiPriority w:val="0"/>
    <w:pPr>
      <w:widowControl w:val="0"/>
      <w:numPr>
        <w:ilvl w:val="3"/>
        <w:numId w:val="7"/>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37">
    <w:name w:val="标准文件_三级条标题"/>
    <w:basedOn w:val="36"/>
    <w:next w:val="33"/>
    <w:qFormat/>
    <w:uiPriority w:val="0"/>
    <w:pPr>
      <w:widowControl/>
      <w:numPr>
        <w:ilvl w:val="4"/>
      </w:numPr>
      <w:outlineLvl w:val="3"/>
    </w:pPr>
  </w:style>
  <w:style w:type="paragraph" w:customStyle="1" w:styleId="38">
    <w:name w:val="标准文件_四级条标题"/>
    <w:next w:val="33"/>
    <w:qFormat/>
    <w:uiPriority w:val="0"/>
    <w:pPr>
      <w:widowControl w:val="0"/>
      <w:numPr>
        <w:ilvl w:val="5"/>
        <w:numId w:val="7"/>
      </w:numPr>
      <w:spacing w:before="50" w:beforeLines="50" w:after="50" w:afterLines="50"/>
      <w:ind w:left="0"/>
      <w:jc w:val="both"/>
      <w:outlineLvl w:val="4"/>
    </w:pPr>
    <w:rPr>
      <w:rFonts w:ascii="黑体" w:hAnsi="Times New Roman" w:eastAsia="黑体" w:cs="Times New Roman"/>
      <w:sz w:val="21"/>
      <w:lang w:val="en-US" w:eastAsia="zh-CN" w:bidi="ar-SA"/>
    </w:rPr>
  </w:style>
  <w:style w:type="paragraph" w:customStyle="1" w:styleId="39">
    <w:name w:val="标准文件_五级条标题"/>
    <w:next w:val="33"/>
    <w:qFormat/>
    <w:uiPriority w:val="0"/>
    <w:pPr>
      <w:widowControl w:val="0"/>
      <w:numPr>
        <w:ilvl w:val="6"/>
        <w:numId w:val="7"/>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40">
    <w:name w:val="标准文件_章标题"/>
    <w:next w:val="33"/>
    <w:qFormat/>
    <w:uiPriority w:val="0"/>
    <w:pPr>
      <w:numPr>
        <w:ilvl w:val="1"/>
        <w:numId w:val="7"/>
      </w:numPr>
      <w:spacing w:before="100" w:beforeLines="100" w:after="100" w:afterLines="100"/>
      <w:ind w:left="0"/>
      <w:jc w:val="both"/>
      <w:outlineLvl w:val="0"/>
    </w:pPr>
    <w:rPr>
      <w:rFonts w:ascii="黑体" w:hAnsi="Times New Roman" w:eastAsia="黑体" w:cs="Times New Roman"/>
      <w:sz w:val="21"/>
      <w:lang w:val="en-US" w:eastAsia="zh-CN" w:bidi="ar-SA"/>
    </w:rPr>
  </w:style>
  <w:style w:type="paragraph" w:customStyle="1" w:styleId="41">
    <w:name w:val="标准文件_一级条标题"/>
    <w:basedOn w:val="40"/>
    <w:next w:val="33"/>
    <w:qFormat/>
    <w:uiPriority w:val="0"/>
    <w:pPr>
      <w:numPr>
        <w:ilvl w:val="2"/>
      </w:numPr>
      <w:spacing w:before="50" w:beforeLines="50" w:after="50" w:afterLines="50"/>
      <w:outlineLvl w:val="1"/>
    </w:pPr>
  </w:style>
  <w:style w:type="paragraph" w:customStyle="1" w:styleId="42">
    <w:name w:val="前言标题"/>
    <w:next w:val="1"/>
    <w:qFormat/>
    <w:uiPriority w:val="0"/>
    <w:pPr>
      <w:numPr>
        <w:ilvl w:val="0"/>
        <w:numId w:val="7"/>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43">
    <w:name w:val="标准文件_二级无标题"/>
    <w:basedOn w:val="36"/>
    <w:qFormat/>
    <w:uiPriority w:val="0"/>
    <w:pPr>
      <w:spacing w:before="0" w:beforeLines="0" w:after="0" w:afterLines="0"/>
      <w:outlineLvl w:val="9"/>
    </w:pPr>
    <w:rPr>
      <w:rFonts w:ascii="宋体" w:eastAsia="宋体"/>
    </w:rPr>
  </w:style>
  <w:style w:type="paragraph" w:customStyle="1" w:styleId="44">
    <w:name w:val="标准文件_正文表标题"/>
    <w:next w:val="33"/>
    <w:qFormat/>
    <w:uiPriority w:val="0"/>
    <w:pPr>
      <w:numPr>
        <w:ilvl w:val="0"/>
        <w:numId w:val="8"/>
      </w:numPr>
      <w:tabs>
        <w:tab w:val="left" w:pos="0"/>
      </w:tabs>
      <w:spacing w:before="50" w:beforeLines="50" w:after="50" w:afterLines="50"/>
      <w:jc w:val="center"/>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49e58f09-cc68-477b-bf0a-80e920a49eab</errorID>
      <errorWord>污水厂</errorWord>
      <group>L1_Word</group>
      <groupName>字词问题</groupName>
      <ability>L2_Typo</ability>
      <abilityName>字词错误</abilityName>
      <candidateList>
        <item>污水处理厂</item>
      </candidateList>
      <explain/>
      <paraID>6650E238</paraID>
      <start>169</start>
      <end>172</end>
      <status>unmodified</status>
      <modifiedWord/>
      <trackRevisions>false</trackRevisions>
    </reviewItem>
    <reviewItem>
      <errorID>69f4d6b9-839c-45a9-b112-7e3c5aac6d5b</errorID>
      <errorWord>污水厂</errorWord>
      <group>L1_Word</group>
      <groupName>字词问题</groupName>
      <ability>L2_Typo</ability>
      <abilityName>字词错误</abilityName>
      <candidateList>
        <item>污水处理厂</item>
      </candidateList>
      <explain/>
      <paraID>273735D5</paraID>
      <start>91</start>
      <end>94</end>
      <status>unmodified</status>
      <modifiedWord/>
      <trackRevisions>false</trackRevisions>
    </reviewItem>
    <reviewItem>
      <errorID>c43e2ff6-5246-4673-bb7e-b4d39a640520</errorID>
      <errorWord>，</errorWord>
      <group>L1_Word</group>
      <groupName>字词问题</groupName>
      <ability>L2_Typo</ability>
      <abilityName>字词错误</abilityName>
      <candidateList>
        <item>，但</item>
      </candidateList>
      <explain/>
      <paraID>5E609ABB</paraID>
      <start>100</start>
      <end>101</end>
      <status>unmodified</status>
      <modifiedWord/>
      <trackRevisions>false</trackRevisions>
    </reviewItem>
    <reviewItem>
      <errorID>a3241372-f0e3-4a4c-9312-b479aa9d9779</errorID>
      <errorWord>法律、法规</errorWord>
      <group>L1_Word</group>
      <groupName>字词问题</groupName>
      <ability>L2_Typo</ability>
      <abilityName>字词错误</abilityName>
      <candidateList>
        <item>法律法规</item>
      </candidateList>
      <explain/>
      <paraID>6A580A0C</paraID>
      <start>15</start>
      <end>20</end>
      <status>unmodified</status>
      <modifiedWord/>
      <trackRevisions>false</trackRevisions>
    </reviewItem>
    <reviewItem>
      <errorID>f5c72614-4222-46de-b60a-ce0e12da912c</errorID>
      <errorWord>(</errorWord>
      <group>L1_Format</group>
      <groupName>格式问题</groupName>
      <ability>L2_HalfPunc</ability>
      <abilityName>全半角检查</abilityName>
      <candidateList>
        <item>（</item>
      </candidateList>
      <explain>文本全半角错误。</explain>
      <paraID>37F04A14</paraID>
      <start>4</start>
      <end>5</end>
      <status>modified</status>
      <modifiedWord>（</modifiedWord>
      <trackRevisions>false</trackRevisions>
    </reviewItem>
    <reviewItem>
      <errorID>8d90e1b9-00c2-4287-b20d-728826471205</errorID>
      <errorWord>)</errorWord>
      <group>L1_Format</group>
      <groupName>格式问题</groupName>
      <ability>L2_HalfPunc</ability>
      <abilityName>全半角检查</abilityName>
      <candidateList>
        <item>）</item>
      </candidateList>
      <explain>文本全半角错误。</explain>
      <paraID>37F04A14</paraID>
      <start>9</start>
      <end>10</end>
      <status>modified</status>
      <modifiedWord>）</modifiedWord>
      <trackRevisions>false</trackRevisions>
    </reviewItem>
    <reviewItem>
      <errorID>dcc65544-da84-4e66-8090-bd4307820523</errorID>
      <errorWord>设置了设置了</errorWord>
      <group>L1_Word</group>
      <groupName>字词问题</groupName>
      <ability>L2_Typo</ability>
      <abilityName>字词错误</abilityName>
      <candidateList>
        <item>设置了</item>
      </candidateList>
      <explain/>
      <paraID>55544D1F</paraID>
      <start>3</start>
      <end>6</end>
      <status>modified</status>
      <modifiedWord>设置了</modifiedWord>
      <trackRevisions>false</trackRevisions>
    </reviewItem>
    <reviewItem>
      <errorID>8c8c34ed-b0a2-4ffa-8386-3ac7a671d5dd</errorID>
      <errorWord>&gt;</errorWord>
      <group>L1_Punc</group>
      <groupName>标点问题</groupName>
      <ability>L2_Punc</ability>
      <abilityName>标点符号检查</abilityName>
      <candidateList/>
      <explain/>
      <paraID>14CD3489</paraID>
      <start>0</start>
      <end>1</end>
      <status>unmodified</status>
      <modifiedWord/>
      <trackRevisions>false</trackRevisions>
    </reviewItem>
    <reviewItem>
      <errorID>5593ba6b-5bd8-4e63-a0e3-240463498ffc</errorID>
      <errorWord>来自于</errorWord>
      <group>L1_Grammar</group>
      <groupName>语法问题</groupName>
      <ability>L2_Grammar</ability>
      <abilityName>语法错误</abilityName>
      <candidateList>
        <item>来自</item>
      </candidateList>
      <explain/>
      <paraID>6994C5D6</paraID>
      <start>27</start>
      <end>30</end>
      <status>unmodified</status>
      <modifiedWord/>
      <trackRevisions>false</trackRevisions>
    </reviewItem>
    <reviewItem>
      <errorID>cd056619-1429-4851-b92b-24c325927083</errorID>
      <errorWord>标准的</errorWord>
      <group>L1_Word</group>
      <groupName>字词问题</groupName>
      <ability>L2_Typo</ability>
      <abilityName>字词错误</abilityName>
      <candidateList>
        <item>标准</item>
      </candidateList>
      <explain>❶〈名〉衡量事物的准则：技术～｜实践是检验真理的唯一～。❷〈形〉本身合于准则，可供同类事物比较核对的：～音｜～时｜她的发音很～。</explain>
      <paraID>64522746</paraID>
      <start>39</start>
      <end>41</end>
      <status>modified</status>
      <modifiedWord>标准</modifiedWord>
      <trackRevisions>false</trackRevisions>
    </reviewItem>
    <reviewItem>
      <errorID>bd83b65a-80ad-40cf-8b9e-9970bddd84d7</errorID>
      <errorWord>)</errorWord>
      <group>L1_Format</group>
      <groupName>格式问题</groupName>
      <ability>L2_HalfPunc</ability>
      <abilityName>全半角检查</abilityName>
      <candidateList>
        <item>）</item>
      </candidateList>
      <explain>文本全半角错误。</explain>
      <paraID>10E11F41</paraID>
      <start>8</start>
      <end>9</end>
      <status>modified</status>
      <modifiedWord>）</modifiedWord>
      <trackRevisions>false</trackRevisions>
    </reviewItem>
    <reviewItem>
      <errorID>3e601c60-45ef-4b3b-9b51-5565fb5146e0</errorID>
      <errorWord>亟需</errorWord>
      <group>L1_Word</group>
      <groupName>字词问题</groupName>
      <ability>L2_Typo</ability>
      <abilityName>字词错误</abilityName>
      <candidateList>
        <item>亟须</item>
      </candidateList>
      <explain/>
      <paraID>1B435EEE</paraID>
      <start>126</start>
      <end>128</end>
      <status>unmodified</status>
      <modifiedWord/>
      <trackRevisions>false</trackRevisions>
    </reviewItem>
    <reviewItem>
      <errorID>17f6115b-2fcf-4d7b-88a3-e6fa2c444be7</errorID>
      <errorWord>“双碳”战略</errorWord>
      <group>L1_Word</group>
      <groupName>字词问题</groupName>
      <ability>L2_Typo</ability>
      <abilityName>字词错误</abilityName>
      <candidateList>
        <item>“双碳”目标</item>
      </candidateList>
      <explain/>
      <paraID>6F45E695</paraID>
      <start>36</start>
      <end>42</end>
      <status>unmodified</status>
      <modifiedWord/>
      <trackRevisions>false</trackRevisions>
    </reviewItem>
    <reviewItem>
      <errorID>ae753fa0-6dcf-489e-86b6-2280e85ecba3</errorID>
      <errorWord>碳</errorWord>
      <group>L1_Word</group>
      <groupName>字词问题</groupName>
      <ability>L2_Typo</ability>
      <abilityName>字词错误</abilityName>
      <candidateList>
        <item>碳资</item>
      </candidateList>
      <explain/>
      <paraID>67ABD1FF</paraID>
      <start>119</start>
      <end>120</end>
      <status>unmodified</status>
      <modifiedWord/>
      <trackRevisions>false</trackRevisions>
    </reviewItem>
    <reviewItem>
      <errorID>81a64446-8d00-4e81-b055-31a8812af501</errorID>
      <errorWord>针对</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45A41BBF</paraID>
      <start>288</start>
      <end>290</end>
      <status>unmodified</status>
      <modifiedWord/>
      <trackRevisions>false</trackRevisions>
    </reviewItem>
    <reviewItem>
      <errorID>5ac4c1db-d5fb-4c82-b891-83959e4bf0c8</errorID>
      <errorWord>法律、法规</errorWord>
      <group>L1_Word</group>
      <groupName>字词问题</groupName>
      <ability>L2_Typo</ability>
      <abilityName>字词错误</abilityName>
      <candidateList>
        <item>法律法规</item>
      </candidateList>
      <explain/>
      <paraID>48A0CD27</paraID>
      <start>8</start>
      <end>13</end>
      <status>unmodified</status>
      <modifiedWord/>
      <trackRevisions>false</trackRevisions>
    </reviewItem>
    <reviewItem>
      <errorID>1815e193-0bd6-44e6-b289-4f3695528876</errorID>
      <errorWord>法律、法规</errorWord>
      <group>L1_Word</group>
      <groupName>字词问题</groupName>
      <ability>L2_Typo</ability>
      <abilityName>字词错误</abilityName>
      <candidateList>
        <item>法律法规</item>
      </candidateList>
      <explain/>
      <paraID>48A0CD27</paraID>
      <start>32</start>
      <end>37</end>
      <status>unmodified</status>
      <modifiedWord/>
      <trackRevisions>false</trackRevisions>
    </reviewItem>
    <reviewItem>
      <errorID>e1c940ab-e13c-4930-98b9-2b8640de2119</errorID>
      <errorWord>“双碳”战略</errorWord>
      <group>L1_Word</group>
      <groupName>字词问题</groupName>
      <ability>L2_Typo</ability>
      <abilityName>字词错误</abilityName>
      <candidateList>
        <item>“双碳”目标</item>
      </candidateList>
      <explain/>
      <paraID>4E4E3950</paraID>
      <start>227</start>
      <end>233</end>
      <status>unmodified</status>
      <modifiedWord/>
      <trackRevisions>false</trackRevisions>
    </reviewItem>
    <reviewItem>
      <errorID>619bb455-484d-4845-888f-c26bccf54709</errorID>
      <errorWord>-</errorWord>
      <group>L1_Format</group>
      <groupName>格式问题</groupName>
      <ability>L2_HalfPunc</ability>
      <abilityName>全半角检查</abilityName>
      <candidateList>
        <item>－</item>
      </candidateList>
      <explain>文本全半角错误。</explain>
      <paraID>4E4E3950</paraID>
      <start>283</start>
      <end>284</end>
      <status>unmodified</status>
      <modifiedWord/>
      <trackRevisions>false</trackRevisions>
    </reviewItem>
    <reviewItem>
      <errorID>5964faab-5f32-4612-b2a9-c41a3d4dd923</errorID>
      <errorWord>-</errorWord>
      <group>L1_Format</group>
      <groupName>格式问题</groupName>
      <ability>L2_HalfPunc</ability>
      <abilityName>全半角检查</abilityName>
      <candidateList>
        <item>－</item>
      </candidateList>
      <explain>文本全半角错误。</explain>
      <paraID>4E4E3950</paraID>
      <start>289</start>
      <end>290</end>
      <status>modified</status>
      <modifiedWord>－</modifiedWord>
      <trackRevisions>false</trackRevisions>
    </reviewItem>
    <reviewItem>
      <errorID>f55502f8-cbcd-495f-8e64-022e7763940b</errorID>
      <errorWord>污水厂</errorWord>
      <group>L1_Word</group>
      <groupName>字词问题</groupName>
      <ability>L2_Typo</ability>
      <abilityName>字词错误</abilityName>
      <candidateList>
        <item>污水处理厂</item>
      </candidateList>
      <explain/>
      <paraID>29F98682</paraID>
      <start>53</start>
      <end>56</end>
      <status>unmodified</status>
      <modifiedWord/>
      <trackRevisions>false</trackRevisions>
    </reviewItem>
    <reviewItem>
      <errorID>24101dd0-3eaa-4cc7-94bd-586e5e60ee08</errorID>
      <errorWord>，</errorWord>
      <group>L1_Word</group>
      <groupName>字词问题</groupName>
      <ability>L2_Typo</ability>
      <abilityName>字词错误</abilityName>
      <candidateList>
        <item>，有</item>
      </candidateList>
      <explain/>
      <paraID>6798281D</paraID>
      <start>16</start>
      <end>17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F94BA1F-F08F-41DB-963F-251BCE90A0CB}">
  <ds:schemaRefs/>
</ds:datastoreItem>
</file>

<file path=customXml/itemProps3.xml><?xml version="1.0" encoding="utf-8"?>
<ds:datastoreItem xmlns:ds="http://schemas.openxmlformats.org/officeDocument/2006/customXml" ds:itemID="{228bde6c-84d5-4337-8264-56b8809c63f9}">
  <ds:schemaRefs/>
</ds:datastoreItem>
</file>

<file path=docProps/app.xml><?xml version="1.0" encoding="utf-8"?>
<Properties xmlns="http://schemas.openxmlformats.org/officeDocument/2006/extended-properties" xmlns:vt="http://schemas.openxmlformats.org/officeDocument/2006/docPropsVTypes">
  <Template>Normal.dotm</Template>
  <Pages>11</Pages>
  <Words>7626</Words>
  <Characters>8087</Characters>
  <Lines>64</Lines>
  <Paragraphs>18</Paragraphs>
  <TotalTime>9</TotalTime>
  <ScaleCrop>false</ScaleCrop>
  <LinksUpToDate>false</LinksUpToDate>
  <CharactersWithSpaces>8351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2024-04-07T01:35:00Z</dcterms:created>
  <dc:creator>admin</dc:creator>
  <cp:lastModifiedBy>若不为</cp:lastModifiedBy>
  <dcterms:modified xsi:type="dcterms:W3CDTF">2026-05-15T07:06:45Z</dcterms:modified>
  <cp:revision>132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39E66751FE014A789390FC9C1A1865FB_13</vt:lpwstr>
  </property>
  <property fmtid="{D5CDD505-2E9C-101B-9397-08002B2CF9AE}" pid="4" name="KSOTemplateDocerSaveRecord">
    <vt:lpwstr>eyJoZGlkIjoiMDBhNzJiNGJkNTE2MmM3ZDRhNmRhN2Q5OGNhNzc0M2EiLCJ1c2VySWQiOiIyMzY4OTc3MTUifQ==</vt:lpwstr>
  </property>
</Properties>
</file>