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endnotes.xml" ContentType="application/vnd.openxmlformats-officedocument.wordprocessingml.endnotes+xml"/>
  <Override PartName="/word/glossary/fontTable.xml" ContentType="application/vnd.openxmlformats-officedocument.wordprocessingml.fontTable+xml"/>
  <Override PartName="/word/glossary/footnotes.xml" ContentType="application/vnd.openxmlformats-officedocument.wordprocessingml.footnotes+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7"/>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4199C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2FF15214">
            <w:pPr>
              <w:pStyle w:val="18"/>
              <w:framePr w:wrap="notBeside" w:vAnchor="page" w:hAnchor="page" w:x="1372" w:y="568"/>
              <w:tabs>
                <w:tab w:val="clear" w:pos="4153"/>
                <w:tab w:val="clear" w:pos="8306"/>
              </w:tabs>
              <w:spacing w:line="240" w:lineRule="auto"/>
              <w:jc w:val="left"/>
              <w:rPr>
                <w:rFonts w:hint="eastAsia"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57E6856F">
            <w:pPr>
              <w:pStyle w:val="18"/>
              <w:framePr w:wrap="notBeside" w:vAnchor="page" w:hAnchor="page" w:x="1372" w:y="568"/>
              <w:tabs>
                <w:tab w:val="clear" w:pos="4153"/>
                <w:tab w:val="clear" w:pos="8306"/>
              </w:tabs>
              <w:spacing w:line="240" w:lineRule="auto"/>
              <w:jc w:val="both"/>
              <w:rPr>
                <w:rFonts w:hint="eastAsia" w:ascii="黑体" w:hAnsi="黑体" w:eastAsia="黑体"/>
                <w:sz w:val="21"/>
                <w:szCs w:val="21"/>
              </w:rPr>
            </w:pPr>
            <w:r>
              <w:rPr>
                <w:rFonts w:hint="eastAsia" w:ascii="黑体" w:hAnsi="黑体" w:eastAsia="黑体"/>
                <w:sz w:val="21"/>
                <w:szCs w:val="21"/>
              </w:rPr>
              <w:fldChar w:fldCharType="begin">
                <w:ffData>
                  <w:name w:val="ICS"/>
                  <w:enabled/>
                  <w:calcOnExit w:val="0"/>
                  <w:textInput>
                    <w:default w:val="13 030 20"/>
                  </w:textInput>
                </w:ffData>
              </w:fldChar>
            </w:r>
            <w:bookmarkStart w:id="0" w:name="ICS"/>
            <w:r>
              <w:rPr>
                <w:rFonts w:hint="eastAsia" w:ascii="黑体" w:hAnsi="黑体" w:eastAsia="黑体"/>
                <w:sz w:val="21"/>
                <w:szCs w:val="21"/>
              </w:rPr>
              <w:instrText xml:space="preserve"> FORMTEXT </w:instrText>
            </w:r>
            <w:r>
              <w:rPr>
                <w:rFonts w:hint="eastAsia" w:ascii="黑体" w:hAnsi="黑体" w:eastAsia="黑体"/>
                <w:sz w:val="21"/>
                <w:szCs w:val="21"/>
              </w:rPr>
              <w:fldChar w:fldCharType="separate"/>
            </w:r>
            <w:r>
              <w:rPr>
                <w:rFonts w:hint="eastAsia" w:ascii="黑体" w:hAnsi="黑体" w:eastAsia="黑体"/>
                <w:sz w:val="21"/>
                <w:szCs w:val="21"/>
              </w:rPr>
              <w:t>13 030 20</w:t>
            </w:r>
            <w:r>
              <w:rPr>
                <w:rFonts w:hint="eastAsia" w:ascii="黑体" w:hAnsi="黑体" w:eastAsia="黑体"/>
                <w:sz w:val="21"/>
                <w:szCs w:val="21"/>
              </w:rPr>
              <w:fldChar w:fldCharType="end"/>
            </w:r>
            <w:bookmarkEnd w:id="0"/>
          </w:p>
        </w:tc>
      </w:tr>
      <w:tr w14:paraId="02CCA8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438EBF5F">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7"/>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67522E9E">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PrEx>
              <w:trPr>
                <w:trHeight w:val="1021" w:hRule="exact"/>
              </w:trPr>
              <w:tc>
                <w:tcPr>
                  <w:tcW w:w="9242" w:type="dxa"/>
                  <w:vAlign w:val="center"/>
                </w:tcPr>
                <w:p w14:paraId="565072D5">
                  <w:pPr>
                    <w:pStyle w:val="49"/>
                    <w:framePr w:wrap="notBeside" w:vAnchor="page" w:hAnchor="page" w:x="1372" w:y="568"/>
                    <w:ind w:left="420" w:right="624"/>
                    <w:rPr>
                      <w:rFonts w:hint="eastAsia"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rPr>
                      <w:rFonts w:hint="eastAsia"/>
                    </w:rPr>
                    <w:t>CQSES</w:t>
                  </w:r>
                  <w:r>
                    <w:fldChar w:fldCharType="end"/>
                  </w:r>
                  <w:bookmarkEnd w:id="1"/>
                </w:p>
              </w:tc>
            </w:tr>
          </w:tbl>
          <w:p w14:paraId="56D34A0D">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hint="eastAsia" w:ascii="黑体" w:hAnsi="黑体" w:eastAsia="黑体"/>
                <w:sz w:val="21"/>
                <w:szCs w:val="21"/>
              </w:rPr>
              <w:fldChar w:fldCharType="begin">
                <w:ffData>
                  <w:name w:val="CSDN"/>
                  <w:enabled/>
                  <w:calcOnExit w:val="0"/>
                  <w:textInput>
                    <w:default w:val="G77"/>
                  </w:textInput>
                </w:ffData>
              </w:fldChar>
            </w:r>
            <w:bookmarkStart w:id="2" w:name="CSDN"/>
            <w:r>
              <w:rPr>
                <w:rFonts w:hint="eastAsia" w:ascii="黑体" w:hAnsi="黑体" w:eastAsia="黑体"/>
                <w:sz w:val="21"/>
                <w:szCs w:val="21"/>
              </w:rPr>
              <w:instrText xml:space="preserve"> </w:instrText>
            </w:r>
            <w:r>
              <w:rPr>
                <w:rFonts w:ascii="黑体" w:hAnsi="黑体" w:eastAsia="黑体"/>
                <w:sz w:val="21"/>
                <w:szCs w:val="21"/>
              </w:rPr>
              <w:instrText xml:space="preserve">FORMTEXT</w:instrText>
            </w:r>
            <w:r>
              <w:rPr>
                <w:rFonts w:hint="eastAsia" w:ascii="黑体" w:hAnsi="黑体" w:eastAsia="黑体"/>
                <w:sz w:val="21"/>
                <w:szCs w:val="21"/>
              </w:rPr>
              <w:instrText xml:space="preserve"> </w:instrText>
            </w:r>
            <w:r>
              <w:rPr>
                <w:rFonts w:hint="eastAsia" w:ascii="黑体" w:hAnsi="黑体" w:eastAsia="黑体"/>
                <w:sz w:val="21"/>
                <w:szCs w:val="21"/>
              </w:rPr>
              <w:fldChar w:fldCharType="separate"/>
            </w:r>
            <w:r>
              <w:rPr>
                <w:rFonts w:hint="eastAsia" w:ascii="黑体" w:hAnsi="黑体" w:eastAsia="黑体"/>
                <w:sz w:val="21"/>
                <w:szCs w:val="21"/>
              </w:rPr>
              <w:t>G77</w:t>
            </w:r>
            <w:r>
              <w:rPr>
                <w:rFonts w:hint="eastAsia" w:ascii="黑体" w:hAnsi="黑体" w:eastAsia="黑体"/>
                <w:sz w:val="21"/>
                <w:szCs w:val="21"/>
              </w:rPr>
              <w:fldChar w:fldCharType="end"/>
            </w:r>
            <w:bookmarkEnd w:id="2"/>
          </w:p>
        </w:tc>
      </w:tr>
    </w:tbl>
    <w:p w14:paraId="00716613">
      <w:pPr>
        <w:pStyle w:val="50"/>
        <w:framePr w:w="9639" w:h="624" w:hRule="exact" w:hSpace="181" w:vSpace="181" w:wrap="around" w:hAnchor="page" w:x="1305" w:y="2269"/>
        <w:rPr>
          <w:rFonts w:hint="eastAsia" w:ascii="黑体" w:hAnsi="黑体" w:eastAsia="黑体"/>
          <w:b w:val="0"/>
          <w:bCs w:val="0"/>
          <w:w w:val="100"/>
          <w:sz w:val="48"/>
          <w:szCs w:val="48"/>
        </w:rPr>
      </w:pPr>
      <w:bookmarkStart w:id="3" w:name="_Hlk26473981"/>
      <w:r>
        <w:rPr>
          <w:rFonts w:ascii="黑体" w:eastAsia="黑体"/>
          <w:b w:val="0"/>
          <w:w w:val="100"/>
          <w:sz w:val="48"/>
        </w:rPr>
        <w:fldChar w:fldCharType="begin">
          <w:ffData>
            <w:name w:val="c2"/>
            <w:enabled/>
            <w:calcOnExit w:val="0"/>
            <w:textInput/>
          </w:ffData>
        </w:fldChar>
      </w:r>
      <w:bookmarkStart w:id="4" w:name="c2"/>
      <w:r>
        <w:rPr>
          <w:rFonts w:ascii="黑体" w:eastAsia="黑体"/>
          <w:b w:val="0"/>
          <w:w w:val="100"/>
          <w:sz w:val="48"/>
        </w:rPr>
        <w:instrText xml:space="preserve"> FORMTEXT </w:instrText>
      </w:r>
      <w:r>
        <w:rPr>
          <w:rFonts w:ascii="黑体" w:eastAsia="黑体"/>
          <w:b w:val="0"/>
          <w:w w:val="100"/>
          <w:sz w:val="48"/>
        </w:rPr>
        <w:fldChar w:fldCharType="separate"/>
      </w:r>
      <w:r>
        <w:rPr>
          <w:rFonts w:hint="eastAsia" w:ascii="黑体" w:eastAsia="黑体"/>
          <w:b w:val="0"/>
          <w:w w:val="100"/>
          <w:sz w:val="48"/>
        </w:rPr>
        <w:t>重庆市环境科学学会</w:t>
      </w:r>
      <w:r>
        <w:rPr>
          <w:rFonts w:ascii="黑体" w:eastAsia="黑体"/>
          <w:b w:val="0"/>
          <w:w w:val="100"/>
          <w:sz w:val="48"/>
        </w:rPr>
        <w:fldChar w:fldCharType="end"/>
      </w:r>
      <w:bookmarkEnd w:id="4"/>
      <w:r>
        <w:rPr>
          <w:rFonts w:hint="eastAsia" w:ascii="黑体" w:eastAsia="黑体"/>
          <w:b w:val="0"/>
          <w:w w:val="100"/>
          <w:sz w:val="48"/>
        </w:rPr>
        <w:t>团体</w:t>
      </w:r>
      <w:r>
        <w:rPr>
          <w:rFonts w:hint="eastAsia" w:ascii="黑体" w:hAnsi="黑体" w:eastAsia="黑体"/>
          <w:b w:val="0"/>
          <w:bCs w:val="0"/>
          <w:w w:val="100"/>
          <w:sz w:val="48"/>
          <w:szCs w:val="48"/>
        </w:rPr>
        <w:t>标准</w:t>
      </w:r>
    </w:p>
    <w:bookmarkEnd w:id="3"/>
    <w:p w14:paraId="1965A878">
      <w:pPr>
        <w:pStyle w:val="195"/>
        <w:framePr/>
      </w:pPr>
      <w:r>
        <w:t>T/</w:t>
      </w:r>
      <w:r>
        <w:fldChar w:fldCharType="begin">
          <w:ffData>
            <w:name w:val="文字1"/>
            <w:enabled/>
            <w:calcOnExit w:val="0"/>
            <w:textInput>
              <w:default w:val="XXX"/>
            </w:textInput>
          </w:ffData>
        </w:fldChar>
      </w:r>
      <w:bookmarkStart w:id="5" w:name="文字1"/>
      <w:r>
        <w:instrText xml:space="preserve"> FORMTEXT </w:instrText>
      </w:r>
      <w:r>
        <w:fldChar w:fldCharType="separate"/>
      </w:r>
      <w:r>
        <w:rPr>
          <w:rFonts w:hint="eastAsia"/>
        </w:rPr>
        <w:t>CQSES</w:t>
      </w:r>
      <w:r>
        <w:fldChar w:fldCharType="end"/>
      </w:r>
      <w:bookmarkEnd w:id="5"/>
      <w:r>
        <w:t xml:space="preserve"> </w:t>
      </w:r>
      <w:r>
        <w:fldChar w:fldCharType="begin">
          <w:ffData>
            <w:name w:val="NSTD_CODE_F"/>
            <w:enabled/>
            <w:calcOnExit w:val="0"/>
            <w:textInput>
              <w:default w:val="XXXX"/>
            </w:textInput>
          </w:ffData>
        </w:fldChar>
      </w:r>
      <w:bookmarkStart w:id="6" w:name="NSTD_CODE_F"/>
      <w:r>
        <w:instrText xml:space="preserve"> FORMTEXT </w:instrText>
      </w:r>
      <w:r>
        <w:fldChar w:fldCharType="separate"/>
      </w:r>
      <w:r>
        <w:t>XXXX</w:t>
      </w:r>
      <w:r>
        <w:fldChar w:fldCharType="end"/>
      </w:r>
      <w:bookmarkEnd w:id="6"/>
      <w:r>
        <w:rPr>
          <w:rFonts w:hAnsi="黑体"/>
        </w:rPr>
        <w:t>—</w:t>
      </w:r>
      <w:r>
        <w:fldChar w:fldCharType="begin">
          <w:ffData>
            <w:name w:val="NSTD_CODE_B"/>
            <w:enabled/>
            <w:calcOnExit w:val="0"/>
            <w:textInput>
              <w:default w:val="XXXX"/>
            </w:textInput>
          </w:ffData>
        </w:fldChar>
      </w:r>
      <w:bookmarkStart w:id="7" w:name="NSTD_CODE_B"/>
      <w:r>
        <w:instrText xml:space="preserve"> FORMTEXT </w:instrText>
      </w:r>
      <w:r>
        <w:fldChar w:fldCharType="separate"/>
      </w:r>
      <w:r>
        <w:rPr>
          <w:rFonts w:hint="eastAsia"/>
        </w:rPr>
        <w:t>2026</w:t>
      </w:r>
      <w:r>
        <w:fldChar w:fldCharType="end"/>
      </w:r>
      <w:bookmarkEnd w:id="7"/>
    </w:p>
    <w:p w14:paraId="6BFCCB97">
      <w:pPr>
        <w:pStyle w:val="196"/>
        <w:framePr/>
        <w:rPr>
          <w:rFonts w:hint="eastAsia" w:hAnsi="黑体"/>
        </w:rPr>
      </w:pPr>
      <w:r>
        <w:rPr>
          <w:rFonts w:hAnsi="黑体"/>
        </w:rPr>
        <w:fldChar w:fldCharType="begin">
          <w:ffData>
            <w:name w:val="OSTD_CODE"/>
            <w:enabled/>
            <w:calcOnExit w:val="0"/>
            <w:textInput/>
          </w:ffData>
        </w:fldChar>
      </w:r>
      <w:bookmarkStart w:id="8"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8"/>
    </w:p>
    <w:p w14:paraId="5C1B6249">
      <w:pPr>
        <w:spacing w:line="240" w:lineRule="auto"/>
        <w:rPr>
          <w:rFonts w:hint="eastAsia"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2196754B">
      <w:pPr>
        <w:pStyle w:val="50"/>
        <w:framePr w:w="9639" w:h="6976" w:hRule="exact" w:hSpace="0" w:vSpace="0" w:wrap="around" w:hAnchor="page" w:y="6408"/>
        <w:jc w:val="center"/>
        <w:rPr>
          <w:rFonts w:hint="eastAsia" w:ascii="黑体" w:hAnsi="黑体" w:eastAsia="黑体"/>
          <w:b w:val="0"/>
          <w:bCs w:val="0"/>
          <w:w w:val="100"/>
        </w:rPr>
      </w:pPr>
    </w:p>
    <w:p w14:paraId="1A99889C">
      <w:pPr>
        <w:pStyle w:val="197"/>
        <w:framePr w:h="6974" w:hRule="exact" w:wrap="around" w:x="1419" w:anchorLock="1"/>
        <w:rPr>
          <w:rFonts w:hint="eastAsia"/>
        </w:rPr>
      </w:pPr>
      <w:r>
        <w:rPr>
          <w:rFonts w:hint="eastAsia"/>
        </w:rPr>
        <w:fldChar w:fldCharType="begin">
          <w:ffData>
            <w:name w:val="CSTD_NAME"/>
            <w:enabled/>
            <w:calcOnExit w:val="0"/>
            <w:textInput>
              <w:default w:val="酿酒发酵液制备污（废）水处理用液体生物质碳源"/>
            </w:textInput>
          </w:ffData>
        </w:fldChar>
      </w:r>
      <w:bookmarkStart w:id="9" w:name="CSTD_NAME"/>
      <w:r>
        <w:rPr>
          <w:rFonts w:hint="eastAsia"/>
        </w:rPr>
        <w:instrText xml:space="preserve"> FORMTEXT </w:instrText>
      </w:r>
      <w:r>
        <w:rPr>
          <w:rFonts w:hint="eastAsia"/>
        </w:rPr>
        <w:fldChar w:fldCharType="separate"/>
      </w:r>
      <w:r>
        <w:rPr>
          <w:rFonts w:hint="eastAsia"/>
        </w:rPr>
        <w:t>酿酒发酵液制备污（废）水处理用</w:t>
      </w:r>
    </w:p>
    <w:p w14:paraId="241E91DE">
      <w:pPr>
        <w:pStyle w:val="197"/>
        <w:framePr w:h="6974" w:hRule="exact" w:wrap="around" w:x="1419" w:anchorLock="1"/>
        <w:rPr>
          <w:rFonts w:hint="eastAsia"/>
        </w:rPr>
      </w:pPr>
      <w:r>
        <w:rPr>
          <w:rFonts w:hint="eastAsia"/>
        </w:rPr>
        <w:t>液体生物质碳源</w:t>
      </w:r>
      <w:r>
        <w:rPr>
          <w:rFonts w:hint="eastAsia"/>
        </w:rPr>
        <w:fldChar w:fldCharType="end"/>
      </w:r>
      <w:bookmarkEnd w:id="9"/>
    </w:p>
    <w:p w14:paraId="43CEC066">
      <w:pPr>
        <w:framePr w:w="9639" w:h="6974" w:hRule="exact" w:wrap="around" w:vAnchor="page" w:hAnchor="page" w:x="1419" w:y="6408" w:anchorLock="1"/>
        <w:ind w:left="-1418"/>
      </w:pPr>
    </w:p>
    <w:p w14:paraId="6DB7DF38">
      <w:pPr>
        <w:pStyle w:val="125"/>
        <w:framePr w:w="9639" w:h="6974" w:hRule="exact" w:wrap="around" w:vAnchor="page" w:hAnchor="page" w:x="1419" w:y="6408" w:anchorLock="1"/>
        <w:textAlignment w:val="bottom"/>
        <w:rPr>
          <w:rFonts w:eastAsia="黑体"/>
          <w:szCs w:val="28"/>
        </w:rPr>
      </w:pPr>
      <w:r>
        <w:rPr>
          <w:rFonts w:eastAsia="黑体"/>
          <w:szCs w:val="28"/>
        </w:rPr>
        <w:fldChar w:fldCharType="begin">
          <w:ffData>
            <w:name w:val="ESTD_NAME"/>
            <w:enabled/>
            <w:calcOnExit w:val="0"/>
            <w:textInput>
              <w:default w:val="Liquid Biomass Carbon Source for Sewage (Wastewater) Treatment Prepared from Brewing Fermentation Broth"/>
            </w:textInput>
          </w:ffData>
        </w:fldChar>
      </w:r>
      <w:bookmarkStart w:id="10" w:name="ESTD_NAME"/>
      <w:r>
        <w:rPr>
          <w:rFonts w:eastAsia="黑体"/>
          <w:szCs w:val="28"/>
        </w:rPr>
        <w:instrText xml:space="preserve"> FORMTEXT </w:instrText>
      </w:r>
      <w:r>
        <w:rPr>
          <w:rFonts w:eastAsia="黑体"/>
          <w:szCs w:val="28"/>
        </w:rPr>
        <w:fldChar w:fldCharType="separate"/>
      </w:r>
      <w:r>
        <w:rPr>
          <w:rFonts w:eastAsia="黑体"/>
          <w:szCs w:val="28"/>
        </w:rPr>
        <w:t>Liquid Biomass Carbon Source for Sewage (Wastewater) Treatment Prepared from Brewing Fermentation Broth</w:t>
      </w:r>
      <w:r>
        <w:rPr>
          <w:rFonts w:eastAsia="黑体"/>
          <w:szCs w:val="28"/>
        </w:rPr>
        <w:fldChar w:fldCharType="end"/>
      </w:r>
      <w:bookmarkEnd w:id="10"/>
    </w:p>
    <w:p w14:paraId="41FB6333">
      <w:pPr>
        <w:framePr w:w="9639" w:h="6974" w:hRule="exact" w:wrap="around" w:vAnchor="page" w:hAnchor="page" w:x="1419" w:y="6408" w:anchorLock="1"/>
        <w:spacing w:line="760" w:lineRule="exact"/>
        <w:ind w:left="-1418"/>
      </w:pPr>
    </w:p>
    <w:p w14:paraId="64197F1B">
      <w:pPr>
        <w:pStyle w:val="125"/>
        <w:framePr w:w="9639" w:h="6974" w:hRule="exact" w:wrap="around" w:vAnchor="page" w:hAnchor="page" w:x="1419" w:y="6408" w:anchorLock="1"/>
        <w:textAlignment w:val="bottom"/>
        <w:rPr>
          <w:rFonts w:eastAsia="黑体"/>
          <w:szCs w:val="28"/>
        </w:rPr>
      </w:pPr>
    </w:p>
    <w:p w14:paraId="412E1802">
      <w:pPr>
        <w:pStyle w:val="125"/>
        <w:framePr w:w="9639" w:h="6974" w:hRule="exact" w:wrap="around" w:vAnchor="page" w:hAnchor="page" w:x="1419" w:y="6408" w:anchorLock="1"/>
        <w:spacing w:before="440" w:after="160"/>
        <w:textAlignment w:val="bottom"/>
        <w:rPr>
          <w:sz w:val="24"/>
          <w:szCs w:val="28"/>
        </w:rPr>
      </w:pPr>
      <w:r>
        <w:rPr>
          <w:rFonts w:hint="eastAsia"/>
          <w:sz w:val="24"/>
          <w:szCs w:val="28"/>
          <w:lang w:eastAsia="zh-CN"/>
        </w:rPr>
        <w:t>（</w:t>
      </w:r>
      <w:r>
        <w:rPr>
          <w:rFonts w:hint="eastAsia"/>
          <w:sz w:val="24"/>
          <w:szCs w:val="28"/>
          <w:lang w:val="en-US" w:eastAsia="zh-CN"/>
        </w:rPr>
        <w:t>征求意见稿</w:t>
      </w:r>
      <w:r>
        <w:rPr>
          <w:rFonts w:hint="eastAsia"/>
          <w:sz w:val="24"/>
          <w:szCs w:val="28"/>
          <w:lang w:eastAsia="zh-CN"/>
        </w:rPr>
        <w:t>）</w:t>
      </w:r>
    </w:p>
    <w:p w14:paraId="205BDF78">
      <w:pPr>
        <w:pStyle w:val="125"/>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1" w:name="CMPLSH_DATE"/>
      <w:r>
        <w:rPr>
          <w:sz w:val="21"/>
          <w:szCs w:val="28"/>
        </w:rPr>
        <w:instrText xml:space="preserve"> FORMTEXT </w:instrText>
      </w:r>
      <w:r>
        <w:rPr>
          <w:sz w:val="21"/>
          <w:szCs w:val="28"/>
        </w:rPr>
        <w:fldChar w:fldCharType="separate"/>
      </w:r>
      <w:r>
        <w:rPr>
          <w:sz w:val="21"/>
          <w:szCs w:val="28"/>
        </w:rPr>
        <w:t>     </w:t>
      </w:r>
      <w:r>
        <w:rPr>
          <w:sz w:val="21"/>
          <w:szCs w:val="28"/>
        </w:rPr>
        <w:fldChar w:fldCharType="end"/>
      </w:r>
      <w:bookmarkEnd w:id="11"/>
    </w:p>
    <w:p w14:paraId="7F98B0CB">
      <w:pPr>
        <w:pStyle w:val="125"/>
        <w:framePr w:w="9639" w:h="6974" w:hRule="exact" w:wrap="around" w:vAnchor="page" w:hAnchor="page" w:x="1419" w:y="6408" w:anchorLock="1"/>
        <w:spacing w:before="720" w:beforeLines="300" w:after="72" w:afterLines="30" w:line="240" w:lineRule="auto"/>
        <w:textAlignment w:val="bottom"/>
        <w:rPr>
          <w:b/>
          <w:sz w:val="21"/>
          <w:szCs w:val="28"/>
        </w:rPr>
      </w:pPr>
      <w:r>
        <w:rPr>
          <w:b/>
          <w:sz w:val="21"/>
          <w:szCs w:val="28"/>
        </w:rPr>
        <w:fldChar w:fldCharType="begin">
          <w:ffData>
            <w:name w:val="下拉2"/>
            <w:enabled/>
            <w:calcOnExit w:val="0"/>
            <w:ddList>
              <w:listEntry w:val=" "/>
              <w:listEntry w:val="在提交反馈意见时，请将您知道的相关专利连同支持性文件一并附上。"/>
            </w:ddList>
          </w:ffData>
        </w:fldChar>
      </w:r>
      <w:bookmarkStart w:id="12" w:name="下拉2"/>
      <w:r>
        <w:rPr>
          <w:b/>
          <w:sz w:val="21"/>
          <w:szCs w:val="28"/>
        </w:rPr>
        <w:instrText xml:space="preserve"> FORMDROPDOWN </w:instrText>
      </w:r>
      <w:r>
        <w:rPr>
          <w:b/>
          <w:sz w:val="21"/>
          <w:szCs w:val="28"/>
        </w:rPr>
        <w:fldChar w:fldCharType="separate"/>
      </w:r>
      <w:r>
        <w:rPr>
          <w:b/>
          <w:sz w:val="21"/>
          <w:szCs w:val="28"/>
        </w:rPr>
        <w:fldChar w:fldCharType="end"/>
      </w:r>
      <w:bookmarkEnd w:id="12"/>
    </w:p>
    <w:p w14:paraId="1FC35069">
      <w:pPr>
        <w:pStyle w:val="193"/>
        <w:framePr w:wrap="around" w:y="14176"/>
      </w:pPr>
      <w:r>
        <w:rPr>
          <w:rFonts w:ascii="黑体"/>
        </w:rPr>
        <w:fldChar w:fldCharType="begin">
          <w:ffData>
            <w:name w:val="PLSH_DATE_Y"/>
            <w:enabled/>
            <w:calcOnExit w:val="0"/>
            <w:textInput>
              <w:default w:val="XXXX"/>
              <w:maxLength w:val="4"/>
            </w:textInput>
          </w:ffData>
        </w:fldChar>
      </w:r>
      <w:bookmarkStart w:id="13" w:name="PLSH_DATE_Y"/>
      <w:r>
        <w:rPr>
          <w:rFonts w:ascii="黑体"/>
        </w:rPr>
        <w:instrText xml:space="preserve"> FORMTEXT </w:instrText>
      </w:r>
      <w:r>
        <w:rPr>
          <w:rFonts w:ascii="黑体"/>
        </w:rPr>
        <w:fldChar w:fldCharType="separate"/>
      </w:r>
      <w:r>
        <w:rPr>
          <w:rFonts w:hint="eastAsia" w:ascii="黑体"/>
        </w:rPr>
        <w:t>2026</w:t>
      </w:r>
      <w:r>
        <w:rPr>
          <w:rFonts w:ascii="黑体"/>
        </w:rPr>
        <w:fldChar w:fldCharType="end"/>
      </w:r>
      <w:bookmarkEnd w:id="13"/>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4" w:name="PLSH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4"/>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5" w:name="PLSH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5"/>
      <w:r>
        <w:rPr>
          <w:rFonts w:hint="eastAsia"/>
        </w:rPr>
        <w:t>发布</w:t>
      </w:r>
    </w:p>
    <w:p w14:paraId="22F09EF1">
      <w:pPr>
        <w:pStyle w:val="194"/>
        <w:framePr w:wrap="around" w:y="14176"/>
      </w:pPr>
      <w:r>
        <w:rPr>
          <w:rFonts w:ascii="黑体"/>
        </w:rPr>
        <w:fldChar w:fldCharType="begin">
          <w:ffData>
            <w:name w:val="CROT_DATE_Y"/>
            <w:enabled/>
            <w:calcOnExit w:val="0"/>
            <w:textInput>
              <w:default w:val="XXXX"/>
              <w:maxLength w:val="4"/>
            </w:textInput>
          </w:ffData>
        </w:fldChar>
      </w:r>
      <w:bookmarkStart w:id="16" w:name="CROT_DATE_Y"/>
      <w:r>
        <w:rPr>
          <w:rFonts w:ascii="黑体"/>
        </w:rPr>
        <w:instrText xml:space="preserve"> FORMTEXT </w:instrText>
      </w:r>
      <w:r>
        <w:rPr>
          <w:rFonts w:ascii="黑体"/>
        </w:rPr>
        <w:fldChar w:fldCharType="separate"/>
      </w:r>
      <w:r>
        <w:rPr>
          <w:rFonts w:hint="eastAsia" w:ascii="黑体"/>
        </w:rPr>
        <w:t>2026</w:t>
      </w:r>
      <w:r>
        <w:rPr>
          <w:rFonts w:ascii="黑体"/>
        </w:rPr>
        <w:fldChar w:fldCharType="end"/>
      </w:r>
      <w:bookmarkEnd w:id="16"/>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7" w:name="CROT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7"/>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8" w:name="CROT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8"/>
      <w:r>
        <w:rPr>
          <w:rFonts w:hint="eastAsia"/>
        </w:rPr>
        <w:t>实施</w:t>
      </w:r>
    </w:p>
    <w:p w14:paraId="040E5261">
      <w:pPr>
        <w:pStyle w:val="151"/>
        <w:framePr w:h="584" w:hRule="exact" w:hSpace="181" w:vSpace="181" w:wrap="around" w:y="14800"/>
        <w:rPr>
          <w:rFonts w:hint="eastAsia" w:hAnsi="黑体"/>
        </w:rPr>
      </w:pPr>
      <w:r>
        <w:rPr>
          <w:rFonts w:hAnsi="黑体"/>
          <w:w w:val="100"/>
          <w:sz w:val="28"/>
        </w:rPr>
        <w:fldChar w:fldCharType="begin">
          <w:ffData>
            <w:name w:val="fm"/>
            <w:enabled/>
            <w:calcOnExit w:val="0"/>
            <w:textInput/>
          </w:ffData>
        </w:fldChar>
      </w:r>
      <w:bookmarkStart w:id="19" w:name="fm"/>
      <w:r>
        <w:rPr>
          <w:rFonts w:hAnsi="黑体"/>
          <w:w w:val="100"/>
          <w:sz w:val="28"/>
        </w:rPr>
        <w:instrText xml:space="preserve"> FORMTEXT </w:instrText>
      </w:r>
      <w:r>
        <w:rPr>
          <w:rFonts w:hAnsi="黑体"/>
          <w:w w:val="100"/>
          <w:sz w:val="28"/>
        </w:rPr>
        <w:fldChar w:fldCharType="separate"/>
      </w:r>
      <w:r>
        <w:rPr>
          <w:rFonts w:hint="eastAsia" w:hAnsi="黑体"/>
          <w:w w:val="100"/>
          <w:sz w:val="28"/>
        </w:rPr>
        <w:t>重庆市环境科学学会</w:t>
      </w:r>
      <w:r>
        <w:rPr>
          <w:rFonts w:hAnsi="黑体"/>
          <w:w w:val="100"/>
          <w:sz w:val="28"/>
        </w:rPr>
        <w:fldChar w:fldCharType="end"/>
      </w:r>
      <w:bookmarkEnd w:id="19"/>
      <w:r>
        <w:rPr>
          <w:rFonts w:ascii="Times New Roman"/>
          <w:w w:val="100"/>
          <w:sz w:val="28"/>
        </w:rPr>
        <w:t>  </w:t>
      </w:r>
      <w:r>
        <w:rPr>
          <w:rStyle w:val="229"/>
          <w:rFonts w:hint="eastAsia" w:hAnsi="黑体"/>
          <w:position w:val="0"/>
        </w:rPr>
        <w:t>发</w:t>
      </w:r>
      <w:r>
        <w:rPr>
          <w:rStyle w:val="229"/>
          <w:rFonts w:hint="eastAsia" w:hAnsi="黑体"/>
          <w:spacing w:val="0"/>
          <w:position w:val="0"/>
        </w:rPr>
        <w:t>布</w:t>
      </w:r>
    </w:p>
    <w:p w14:paraId="347B0A03">
      <w:pPr>
        <w:rPr>
          <w:rFonts w:hint="eastAsia" w:ascii="宋体" w:hAnsi="宋体"/>
          <w:sz w:val="28"/>
          <w:szCs w:val="28"/>
        </w:rPr>
        <w:sectPr>
          <w:headerReference r:id="rId6" w:type="first"/>
          <w:footerReference r:id="rId8" w:type="first"/>
          <w:headerReference r:id="rId5" w:type="default"/>
          <w:footerReference r:id="rId7"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6F3BE676">
      <w:pPr>
        <w:pStyle w:val="91"/>
        <w:spacing w:after="360"/>
      </w:pPr>
      <w:bookmarkStart w:id="20" w:name="BookMark1"/>
      <w:r>
        <w:rPr>
          <w:rFonts w:hint="eastAsia"/>
          <w:spacing w:val="320"/>
        </w:rPr>
        <w:t>目</w:t>
      </w:r>
      <w:r>
        <w:rPr>
          <w:rFonts w:hint="eastAsia"/>
        </w:rPr>
        <w:t>次</w:t>
      </w:r>
    </w:p>
    <w:p w14:paraId="680520BF">
      <w:pPr>
        <w:pStyle w:val="19"/>
        <w:tabs>
          <w:tab w:val="right" w:leader="dot" w:pos="9354"/>
        </w:tabs>
      </w:pPr>
      <w:r>
        <w:rPr>
          <w:rFonts w:hint="eastAsia"/>
        </w:rPr>
        <w:fldChar w:fldCharType="begin"/>
      </w:r>
      <w:r>
        <w:rPr>
          <w:rFonts w:hint="eastAsia"/>
        </w:rPr>
        <w:instrText xml:space="preserve">TOC \o "1-1" \t "标准文件_一级条标题,2,标准文件_附录一级条标题,2," \h</w:instrText>
      </w:r>
      <w:r>
        <w:rPr>
          <w:rFonts w:hint="eastAsia"/>
        </w:rPr>
        <w:fldChar w:fldCharType="separate"/>
      </w:r>
      <w:r>
        <w:fldChar w:fldCharType="begin"/>
      </w:r>
      <w:r>
        <w:instrText xml:space="preserve"> HYPERLINK \l "_Toc25461" </w:instrText>
      </w:r>
      <w:r>
        <w:fldChar w:fldCharType="separate"/>
      </w:r>
      <w:r>
        <w:rPr>
          <w:rFonts w:hint="eastAsia"/>
        </w:rPr>
        <w:t>前言</w:t>
      </w:r>
      <w:r>
        <w:tab/>
      </w:r>
      <w:r>
        <w:fldChar w:fldCharType="begin"/>
      </w:r>
      <w:r>
        <w:instrText xml:space="preserve"> PAGEREF _Toc25461 \h </w:instrText>
      </w:r>
      <w:r>
        <w:fldChar w:fldCharType="separate"/>
      </w:r>
      <w:r>
        <w:t>II</w:t>
      </w:r>
      <w:r>
        <w:fldChar w:fldCharType="end"/>
      </w:r>
      <w:r>
        <w:fldChar w:fldCharType="end"/>
      </w:r>
    </w:p>
    <w:p w14:paraId="27C61E2C">
      <w:pPr>
        <w:pStyle w:val="19"/>
        <w:tabs>
          <w:tab w:val="right" w:leader="dot" w:pos="9354"/>
        </w:tabs>
      </w:pPr>
      <w:r>
        <w:fldChar w:fldCharType="begin"/>
      </w:r>
      <w:r>
        <w:instrText xml:space="preserve"> HYPERLINK \l "_Toc1823" </w:instrText>
      </w:r>
      <w:r>
        <w:fldChar w:fldCharType="separate"/>
      </w:r>
      <w:r>
        <w:rPr>
          <w:rFonts w:hint="eastAsia" w:ascii="黑体" w:hAnsi="Times New Roman" w:eastAsia="黑体"/>
        </w:rPr>
        <w:t xml:space="preserve">1  </w:t>
      </w:r>
      <w:r>
        <w:rPr>
          <w:rFonts w:ascii="Times New Roman" w:hAnsi="Times New Roman"/>
        </w:rPr>
        <w:t>范围</w:t>
      </w:r>
      <w:r>
        <w:tab/>
      </w:r>
      <w:r>
        <w:fldChar w:fldCharType="begin"/>
      </w:r>
      <w:r>
        <w:instrText xml:space="preserve"> PAGEREF _Toc1823 \h </w:instrText>
      </w:r>
      <w:r>
        <w:fldChar w:fldCharType="separate"/>
      </w:r>
      <w:r>
        <w:t>1</w:t>
      </w:r>
      <w:r>
        <w:fldChar w:fldCharType="end"/>
      </w:r>
      <w:r>
        <w:fldChar w:fldCharType="end"/>
      </w:r>
    </w:p>
    <w:p w14:paraId="76804F34">
      <w:pPr>
        <w:pStyle w:val="19"/>
        <w:tabs>
          <w:tab w:val="right" w:leader="dot" w:pos="9354"/>
        </w:tabs>
      </w:pPr>
      <w:r>
        <w:fldChar w:fldCharType="begin"/>
      </w:r>
      <w:r>
        <w:instrText xml:space="preserve"> HYPERLINK \l "_Toc29872" </w:instrText>
      </w:r>
      <w:r>
        <w:fldChar w:fldCharType="separate"/>
      </w:r>
      <w:r>
        <w:rPr>
          <w:rFonts w:hint="eastAsia" w:ascii="黑体" w:hAnsi="Times New Roman" w:eastAsia="黑体"/>
        </w:rPr>
        <w:t xml:space="preserve">2  </w:t>
      </w:r>
      <w:r>
        <w:rPr>
          <w:rFonts w:ascii="Times New Roman" w:hAnsi="Times New Roman"/>
        </w:rPr>
        <w:t>规范性引用文件</w:t>
      </w:r>
      <w:r>
        <w:tab/>
      </w:r>
      <w:r>
        <w:fldChar w:fldCharType="begin"/>
      </w:r>
      <w:r>
        <w:instrText xml:space="preserve"> PAGEREF _Toc29872 \h </w:instrText>
      </w:r>
      <w:r>
        <w:fldChar w:fldCharType="separate"/>
      </w:r>
      <w:r>
        <w:t>1</w:t>
      </w:r>
      <w:r>
        <w:fldChar w:fldCharType="end"/>
      </w:r>
      <w:r>
        <w:fldChar w:fldCharType="end"/>
      </w:r>
    </w:p>
    <w:p w14:paraId="336B7A33">
      <w:pPr>
        <w:pStyle w:val="19"/>
        <w:tabs>
          <w:tab w:val="right" w:leader="dot" w:pos="9354"/>
        </w:tabs>
      </w:pPr>
      <w:r>
        <w:fldChar w:fldCharType="begin"/>
      </w:r>
      <w:r>
        <w:instrText xml:space="preserve"> HYPERLINK \l "_Toc3716" </w:instrText>
      </w:r>
      <w:r>
        <w:fldChar w:fldCharType="separate"/>
      </w:r>
      <w:r>
        <w:rPr>
          <w:rFonts w:hint="eastAsia" w:ascii="黑体" w:hAnsi="Times New Roman" w:eastAsia="黑体"/>
        </w:rPr>
        <w:t xml:space="preserve">3  </w:t>
      </w:r>
      <w:r>
        <w:rPr>
          <w:rFonts w:ascii="Times New Roman" w:hAnsi="Times New Roman"/>
        </w:rPr>
        <w:t>术语和定义</w:t>
      </w:r>
      <w:r>
        <w:tab/>
      </w:r>
      <w:r>
        <w:fldChar w:fldCharType="begin"/>
      </w:r>
      <w:r>
        <w:instrText xml:space="preserve"> PAGEREF _Toc3716 \h </w:instrText>
      </w:r>
      <w:r>
        <w:fldChar w:fldCharType="separate"/>
      </w:r>
      <w:r>
        <w:t>1</w:t>
      </w:r>
      <w:r>
        <w:fldChar w:fldCharType="end"/>
      </w:r>
      <w:r>
        <w:fldChar w:fldCharType="end"/>
      </w:r>
    </w:p>
    <w:p w14:paraId="3D3BB731">
      <w:pPr>
        <w:pStyle w:val="19"/>
        <w:tabs>
          <w:tab w:val="right" w:leader="dot" w:pos="9354"/>
        </w:tabs>
      </w:pPr>
      <w:r>
        <w:fldChar w:fldCharType="begin"/>
      </w:r>
      <w:r>
        <w:instrText xml:space="preserve"> HYPERLINK \l "_Toc5344" </w:instrText>
      </w:r>
      <w:r>
        <w:fldChar w:fldCharType="separate"/>
      </w:r>
      <w:r>
        <w:rPr>
          <w:rFonts w:hint="eastAsia" w:ascii="黑体" w:hAnsi="Times New Roman" w:eastAsia="黑体"/>
        </w:rPr>
        <w:t xml:space="preserve">4  </w:t>
      </w:r>
      <w:r>
        <w:rPr>
          <w:rFonts w:ascii="Times New Roman" w:hAnsi="Times New Roman"/>
        </w:rPr>
        <w:t>要求</w:t>
      </w:r>
      <w:r>
        <w:tab/>
      </w:r>
      <w:r>
        <w:fldChar w:fldCharType="begin"/>
      </w:r>
      <w:r>
        <w:instrText xml:space="preserve"> PAGEREF _Toc5344 \h </w:instrText>
      </w:r>
      <w:r>
        <w:fldChar w:fldCharType="separate"/>
      </w:r>
      <w:r>
        <w:t>2</w:t>
      </w:r>
      <w:r>
        <w:fldChar w:fldCharType="end"/>
      </w:r>
      <w:r>
        <w:fldChar w:fldCharType="end"/>
      </w:r>
    </w:p>
    <w:p w14:paraId="36EFA346">
      <w:pPr>
        <w:pStyle w:val="19"/>
        <w:tabs>
          <w:tab w:val="right" w:leader="dot" w:pos="9354"/>
        </w:tabs>
      </w:pPr>
      <w:r>
        <w:fldChar w:fldCharType="begin"/>
      </w:r>
      <w:r>
        <w:instrText xml:space="preserve"> HYPERLINK \l "_Toc22482" </w:instrText>
      </w:r>
      <w:r>
        <w:fldChar w:fldCharType="separate"/>
      </w:r>
      <w:r>
        <w:rPr>
          <w:rFonts w:hint="eastAsia" w:ascii="黑体" w:hAnsi="Times New Roman" w:eastAsia="黑体"/>
        </w:rPr>
        <w:t xml:space="preserve">5  </w:t>
      </w:r>
      <w:r>
        <w:rPr>
          <w:rFonts w:ascii="Times New Roman" w:hAnsi="Times New Roman"/>
        </w:rPr>
        <w:t>采样</w:t>
      </w:r>
      <w:r>
        <w:tab/>
      </w:r>
      <w:r>
        <w:fldChar w:fldCharType="begin"/>
      </w:r>
      <w:r>
        <w:instrText xml:space="preserve"> PAGEREF _Toc22482 \h </w:instrText>
      </w:r>
      <w:r>
        <w:fldChar w:fldCharType="separate"/>
      </w:r>
      <w:r>
        <w:t>3</w:t>
      </w:r>
      <w:r>
        <w:fldChar w:fldCharType="end"/>
      </w:r>
      <w:r>
        <w:fldChar w:fldCharType="end"/>
      </w:r>
    </w:p>
    <w:p w14:paraId="2257916B">
      <w:pPr>
        <w:pStyle w:val="19"/>
        <w:tabs>
          <w:tab w:val="right" w:leader="dot" w:pos="9354"/>
        </w:tabs>
      </w:pPr>
      <w:r>
        <w:fldChar w:fldCharType="begin"/>
      </w:r>
      <w:r>
        <w:instrText xml:space="preserve"> HYPERLINK \l "_Toc23065" </w:instrText>
      </w:r>
      <w:r>
        <w:fldChar w:fldCharType="separate"/>
      </w:r>
      <w:r>
        <w:rPr>
          <w:rFonts w:hint="eastAsia" w:ascii="黑体" w:hAnsi="Times New Roman" w:eastAsia="黑体"/>
        </w:rPr>
        <w:t xml:space="preserve">6  </w:t>
      </w:r>
      <w:r>
        <w:rPr>
          <w:rFonts w:ascii="Times New Roman" w:hAnsi="Times New Roman"/>
        </w:rPr>
        <w:t>检测方法</w:t>
      </w:r>
      <w:r>
        <w:tab/>
      </w:r>
      <w:r>
        <w:fldChar w:fldCharType="begin"/>
      </w:r>
      <w:r>
        <w:instrText xml:space="preserve"> PAGEREF _Toc23065 \h </w:instrText>
      </w:r>
      <w:r>
        <w:fldChar w:fldCharType="separate"/>
      </w:r>
      <w:r>
        <w:t>3</w:t>
      </w:r>
      <w:r>
        <w:fldChar w:fldCharType="end"/>
      </w:r>
      <w:r>
        <w:fldChar w:fldCharType="end"/>
      </w:r>
    </w:p>
    <w:p w14:paraId="1472794F">
      <w:pPr>
        <w:pStyle w:val="19"/>
        <w:tabs>
          <w:tab w:val="right" w:leader="dot" w:pos="9354"/>
        </w:tabs>
      </w:pPr>
      <w:r>
        <w:fldChar w:fldCharType="begin"/>
      </w:r>
      <w:r>
        <w:instrText xml:space="preserve"> HYPERLINK \l "_Toc30098" </w:instrText>
      </w:r>
      <w:r>
        <w:fldChar w:fldCharType="separate"/>
      </w:r>
      <w:r>
        <w:rPr>
          <w:rFonts w:hint="eastAsia" w:ascii="黑体" w:hAnsi="Times New Roman" w:eastAsia="黑体"/>
        </w:rPr>
        <w:t xml:space="preserve">7  </w:t>
      </w:r>
      <w:r>
        <w:rPr>
          <w:rFonts w:ascii="Times New Roman" w:hAnsi="Times New Roman"/>
        </w:rPr>
        <w:t>检验</w:t>
      </w:r>
      <w:r>
        <w:tab/>
      </w:r>
      <w:r>
        <w:fldChar w:fldCharType="begin"/>
      </w:r>
      <w:r>
        <w:instrText xml:space="preserve"> PAGEREF _Toc30098 \h </w:instrText>
      </w:r>
      <w:r>
        <w:fldChar w:fldCharType="separate"/>
      </w:r>
      <w:r>
        <w:t>6</w:t>
      </w:r>
      <w:r>
        <w:fldChar w:fldCharType="end"/>
      </w:r>
      <w:r>
        <w:fldChar w:fldCharType="end"/>
      </w:r>
    </w:p>
    <w:p w14:paraId="06A49176">
      <w:pPr>
        <w:pStyle w:val="19"/>
        <w:tabs>
          <w:tab w:val="right" w:leader="dot" w:pos="9354"/>
        </w:tabs>
      </w:pPr>
      <w:r>
        <w:fldChar w:fldCharType="begin"/>
      </w:r>
      <w:r>
        <w:instrText xml:space="preserve"> HYPERLINK \l "_Toc19018" </w:instrText>
      </w:r>
      <w:r>
        <w:fldChar w:fldCharType="separate"/>
      </w:r>
      <w:r>
        <w:rPr>
          <w:rFonts w:hint="eastAsia" w:ascii="黑体" w:hAnsi="Times New Roman" w:eastAsia="黑体"/>
        </w:rPr>
        <w:t xml:space="preserve">8  </w:t>
      </w:r>
      <w:r>
        <w:rPr>
          <w:rFonts w:ascii="Times New Roman" w:hAnsi="Times New Roman"/>
        </w:rPr>
        <w:t>标志</w:t>
      </w:r>
      <w:r>
        <w:tab/>
      </w:r>
      <w:r>
        <w:fldChar w:fldCharType="begin"/>
      </w:r>
      <w:r>
        <w:instrText xml:space="preserve"> PAGEREF _Toc19018 \h </w:instrText>
      </w:r>
      <w:r>
        <w:fldChar w:fldCharType="separate"/>
      </w:r>
      <w:r>
        <w:t>7</w:t>
      </w:r>
      <w:r>
        <w:fldChar w:fldCharType="end"/>
      </w:r>
      <w:r>
        <w:fldChar w:fldCharType="end"/>
      </w:r>
    </w:p>
    <w:p w14:paraId="726D1376">
      <w:pPr>
        <w:pStyle w:val="19"/>
        <w:tabs>
          <w:tab w:val="right" w:leader="dot" w:pos="9354"/>
        </w:tabs>
      </w:pPr>
      <w:r>
        <w:fldChar w:fldCharType="begin"/>
      </w:r>
      <w:r>
        <w:instrText xml:space="preserve"> HYPERLINK \l "_Toc25464" </w:instrText>
      </w:r>
      <w:r>
        <w:fldChar w:fldCharType="separate"/>
      </w:r>
      <w:r>
        <w:rPr>
          <w:rFonts w:hint="eastAsia" w:ascii="黑体" w:hAnsi="Times New Roman" w:eastAsia="黑体"/>
        </w:rPr>
        <w:t xml:space="preserve">9  </w:t>
      </w:r>
      <w:r>
        <w:rPr>
          <w:rFonts w:ascii="Times New Roman" w:hAnsi="Times New Roman"/>
        </w:rPr>
        <w:t>包装与运输</w:t>
      </w:r>
      <w:r>
        <w:tab/>
      </w:r>
      <w:r>
        <w:fldChar w:fldCharType="begin"/>
      </w:r>
      <w:r>
        <w:instrText xml:space="preserve"> PAGEREF _Toc25464 \h </w:instrText>
      </w:r>
      <w:r>
        <w:fldChar w:fldCharType="separate"/>
      </w:r>
      <w:r>
        <w:t>7</w:t>
      </w:r>
      <w:r>
        <w:fldChar w:fldCharType="end"/>
      </w:r>
      <w:r>
        <w:fldChar w:fldCharType="end"/>
      </w:r>
    </w:p>
    <w:p w14:paraId="5D908D87">
      <w:pPr>
        <w:pStyle w:val="19"/>
        <w:tabs>
          <w:tab w:val="right" w:leader="dot" w:pos="9354"/>
        </w:tabs>
      </w:pPr>
      <w:r>
        <w:fldChar w:fldCharType="begin"/>
      </w:r>
      <w:r>
        <w:instrText xml:space="preserve"> HYPERLINK \l "_Toc11426" </w:instrText>
      </w:r>
      <w:r>
        <w:fldChar w:fldCharType="separate"/>
      </w:r>
      <w:r>
        <w:rPr>
          <w:rFonts w:hint="eastAsia" w:ascii="黑体" w:hAnsi="Times New Roman" w:eastAsia="黑体"/>
        </w:rPr>
        <w:t xml:space="preserve">10  </w:t>
      </w:r>
      <w:r>
        <w:rPr>
          <w:rFonts w:ascii="Times New Roman" w:hAnsi="Times New Roman"/>
        </w:rPr>
        <w:t>储存与使用</w:t>
      </w:r>
      <w:r>
        <w:tab/>
      </w:r>
      <w:r>
        <w:fldChar w:fldCharType="begin"/>
      </w:r>
      <w:r>
        <w:instrText xml:space="preserve"> PAGEREF _Toc11426 \h </w:instrText>
      </w:r>
      <w:r>
        <w:fldChar w:fldCharType="separate"/>
      </w:r>
      <w:r>
        <w:t>7</w:t>
      </w:r>
      <w:r>
        <w:fldChar w:fldCharType="end"/>
      </w:r>
      <w:r>
        <w:fldChar w:fldCharType="end"/>
      </w:r>
    </w:p>
    <w:p w14:paraId="0D925108">
      <w:pPr>
        <w:pStyle w:val="19"/>
        <w:tabs>
          <w:tab w:val="right" w:leader="dot" w:pos="9354"/>
        </w:tabs>
      </w:pPr>
      <w:r>
        <w:fldChar w:fldCharType="begin"/>
      </w:r>
      <w:r>
        <w:instrText xml:space="preserve"> HYPERLINK \l "_Toc25298" </w:instrText>
      </w:r>
      <w:r>
        <w:fldChar w:fldCharType="separate"/>
      </w:r>
      <w:r>
        <w:rPr>
          <w:rFonts w:hint="eastAsia"/>
        </w:rPr>
        <w:t>附录A（资料性）检验记录表</w:t>
      </w:r>
      <w:r>
        <w:tab/>
      </w:r>
      <w:r>
        <w:fldChar w:fldCharType="begin"/>
      </w:r>
      <w:r>
        <w:instrText xml:space="preserve"> PAGEREF _Toc25298 \h </w:instrText>
      </w:r>
      <w:r>
        <w:fldChar w:fldCharType="separate"/>
      </w:r>
      <w:r>
        <w:t>8</w:t>
      </w:r>
      <w:r>
        <w:fldChar w:fldCharType="end"/>
      </w:r>
      <w:r>
        <w:fldChar w:fldCharType="end"/>
      </w:r>
    </w:p>
    <w:p w14:paraId="413B6358">
      <w:pPr>
        <w:pStyle w:val="91"/>
        <w:spacing w:after="360"/>
        <w:sectPr>
          <w:headerReference r:id="rId9" w:type="default"/>
          <w:footerReference r:id="rId11" w:type="default"/>
          <w:headerReference r:id="rId10" w:type="even"/>
          <w:footerReference r:id="rId12" w:type="even"/>
          <w:pgSz w:w="11906" w:h="16838"/>
          <w:pgMar w:top="1928" w:right="1134" w:bottom="1134" w:left="1134" w:header="1418" w:footer="1134" w:gutter="284"/>
          <w:pgNumType w:fmt="upperRoman" w:start="1"/>
          <w:cols w:space="425" w:num="1"/>
          <w:formProt w:val="0"/>
          <w:docGrid w:linePitch="312" w:charSpace="0"/>
        </w:sectPr>
      </w:pPr>
      <w:r>
        <w:rPr>
          <w:rFonts w:hint="eastAsia"/>
        </w:rPr>
        <w:fldChar w:fldCharType="end"/>
      </w:r>
    </w:p>
    <w:bookmarkEnd w:id="20"/>
    <w:p w14:paraId="1E5EECBB">
      <w:pPr>
        <w:pStyle w:val="89"/>
        <w:spacing w:before="560" w:after="360"/>
      </w:pPr>
      <w:bookmarkStart w:id="21" w:name="_Toc25461"/>
      <w:bookmarkStart w:id="22" w:name="BookMark2"/>
      <w:r>
        <w:rPr>
          <w:rFonts w:hint="eastAsia"/>
          <w:spacing w:val="320"/>
        </w:rPr>
        <w:t>前</w:t>
      </w:r>
      <w:r>
        <w:rPr>
          <w:rFonts w:hint="eastAsia"/>
        </w:rPr>
        <w:t>言</w:t>
      </w:r>
      <w:bookmarkEnd w:id="21"/>
    </w:p>
    <w:p w14:paraId="3AAC7988">
      <w:pPr>
        <w:pStyle w:val="56"/>
        <w:bidi w:val="0"/>
      </w:pPr>
      <w:r>
        <w:rPr>
          <w:rFonts w:hint="eastAsia"/>
        </w:rPr>
        <w:t>本文件按照GB/T 1.1—2020《标准化工作导则  第1部分：标准化文件的结构和起草规则》的规定起草。</w:t>
      </w:r>
    </w:p>
    <w:p w14:paraId="05BF27B5">
      <w:pPr>
        <w:pStyle w:val="56"/>
        <w:bidi w:val="0"/>
      </w:pPr>
      <w:r>
        <w:rPr>
          <w:rFonts w:hint="eastAsia"/>
        </w:rPr>
        <w:t>请注意本文件的某些内容可能涉及专利。本文件的发布机构不承担识别专利的责任。</w:t>
      </w:r>
    </w:p>
    <w:p w14:paraId="1163014E">
      <w:pPr>
        <w:pStyle w:val="56"/>
        <w:bidi w:val="0"/>
      </w:pPr>
      <w:r>
        <w:rPr>
          <w:rFonts w:hint="eastAsia"/>
        </w:rPr>
        <w:t>本文件由重庆蓝洁环境技术集团有限公司提出。</w:t>
      </w:r>
    </w:p>
    <w:p w14:paraId="1E35C9CE">
      <w:pPr>
        <w:pStyle w:val="56"/>
        <w:bidi w:val="0"/>
      </w:pPr>
      <w:r>
        <w:rPr>
          <w:rFonts w:hint="eastAsia"/>
        </w:rPr>
        <w:t>本文件由重庆市环境科学学会归口。</w:t>
      </w:r>
    </w:p>
    <w:p w14:paraId="108BADB8">
      <w:pPr>
        <w:pStyle w:val="56"/>
        <w:bidi w:val="0"/>
      </w:pPr>
      <w:r>
        <w:rPr>
          <w:rFonts w:hint="eastAsia"/>
        </w:rPr>
        <w:t>本文件起草单位：重庆蓝洁环境技术集团有限公司、重庆水务集团股份有限公司、重庆市排水有限公司、西南大学、重庆大学、重庆市生态环境监测中心、重庆环保投资集团有限公司、重庆蓝洁生物技术有限公司、泸州市兴泸污水处理有限公司、昆明滇池水务股份有限公司、重庆市科学技术研究院、重庆工商大学、重庆理工大学、重庆科技大学、宁夏水务集团清水源水处理科技有限公司、重庆交通大学、广西北部湾锋华环保科技有限公司、广西平果锋华科技有限公司、德阳市杰阳排水有限公司、重庆渝西水务有限公司、重庆豪洋水务有限公司、成都汇锦水务发展有限公司、</w:t>
      </w:r>
      <w:r>
        <w:t>中铁水务集团有限公司</w:t>
      </w:r>
      <w:r>
        <w:rPr>
          <w:rFonts w:hint="eastAsia"/>
        </w:rPr>
        <w:t>、重庆化工职业学院、</w:t>
      </w:r>
      <w:r>
        <w:t>内江市污水处理有限责任公司</w:t>
      </w:r>
      <w:r>
        <w:rPr>
          <w:rFonts w:hint="eastAsia"/>
        </w:rPr>
        <w:t>、</w:t>
      </w:r>
      <w:r>
        <w:t>重庆惠源检测技术有限公司</w:t>
      </w:r>
      <w:r>
        <w:rPr>
          <w:rFonts w:hint="eastAsia"/>
        </w:rPr>
        <w:t>。</w:t>
      </w:r>
    </w:p>
    <w:p w14:paraId="45E6F886">
      <w:pPr>
        <w:pStyle w:val="56"/>
        <w:bidi w:val="0"/>
      </w:pPr>
      <w:r>
        <w:rPr>
          <w:rFonts w:hint="eastAsia"/>
        </w:rPr>
        <w:t>本文件主要起草人：魏小兵、王明冬、罗伟、邹鹏、</w:t>
      </w:r>
      <w:r>
        <w:t>毛明英</w:t>
      </w:r>
      <w:r>
        <w:rPr>
          <w:rFonts w:hint="eastAsia"/>
        </w:rPr>
        <w:t>、李航、杨勇、刘元、李蕾、龚玲、肖婷、程文忠、李莉、张继、李松、邹杨欣、程霜、赵杰、穆勇、张亚宁、史宇东、陈涛、石戈、牛佳伟、唐晓旻、程治良、冯建、杜鹏、张世欣、黄海林、农成龙、王胜、谢孝军、邓佳凤、陈贵生、赵正刚、宋南川、徐中浚、余波、李萧宁、张永江、黄勇、江海洁、黄启航、杨婷、武强、孔德平、谷泓志。</w:t>
      </w:r>
    </w:p>
    <w:p w14:paraId="231217FF">
      <w:pPr>
        <w:pStyle w:val="56"/>
        <w:ind w:firstLine="420"/>
      </w:pPr>
    </w:p>
    <w:p w14:paraId="082F5CCB">
      <w:pPr>
        <w:pStyle w:val="56"/>
        <w:ind w:firstLine="420"/>
        <w:sectPr>
          <w:headerReference r:id="rId13" w:type="default"/>
          <w:footerReference r:id="rId15" w:type="default"/>
          <w:headerReference r:id="rId14" w:type="even"/>
          <w:footerReference r:id="rId16" w:type="even"/>
          <w:pgSz w:w="11906" w:h="16838"/>
          <w:pgMar w:top="1928" w:right="1134" w:bottom="1134" w:left="1134" w:header="1418" w:footer="1134" w:gutter="284"/>
          <w:pgNumType w:fmt="upperRoman"/>
          <w:cols w:space="425" w:num="1"/>
          <w:formProt w:val="0"/>
          <w:docGrid w:linePitch="312" w:charSpace="0"/>
        </w:sectPr>
      </w:pPr>
    </w:p>
    <w:bookmarkEnd w:id="22"/>
    <w:p w14:paraId="1C079258">
      <w:pPr>
        <w:spacing w:line="20" w:lineRule="exact"/>
        <w:jc w:val="center"/>
        <w:rPr>
          <w:rFonts w:hint="eastAsia" w:ascii="黑体" w:hAnsi="黑体" w:eastAsia="黑体"/>
          <w:sz w:val="32"/>
          <w:szCs w:val="32"/>
        </w:rPr>
      </w:pPr>
      <w:bookmarkStart w:id="23" w:name="BookMark4"/>
    </w:p>
    <w:p w14:paraId="6985EF17">
      <w:pPr>
        <w:spacing w:line="20" w:lineRule="exact"/>
        <w:jc w:val="center"/>
        <w:rPr>
          <w:rFonts w:hint="eastAsia" w:ascii="黑体" w:hAnsi="黑体" w:eastAsia="黑体"/>
          <w:sz w:val="32"/>
          <w:szCs w:val="32"/>
        </w:rPr>
      </w:pPr>
    </w:p>
    <w:sdt>
      <w:sdtPr>
        <w:tag w:val="NEW_STAND_NAME"/>
        <w:id w:val="595910757"/>
        <w:lock w:val="sdtLocked"/>
        <w:placeholder>
          <w:docPart w:val="9B3BEDB4F2724F9D81F4444A5CCE266D"/>
        </w:placeholder>
      </w:sdtPr>
      <w:sdtEndPr>
        <w:rPr>
          <w:rFonts w:ascii="Times New Roman" w:hAnsi="Times New Roman"/>
        </w:rPr>
      </w:sdtEndPr>
      <w:sdtContent>
        <w:p w14:paraId="52323D3D">
          <w:pPr>
            <w:pStyle w:val="177"/>
            <w:spacing w:before="2" w:beforeLines="1" w:after="528" w:afterLines="220"/>
            <w:rPr>
              <w:rFonts w:ascii="Times New Roman" w:hAnsi="Times New Roman"/>
            </w:rPr>
          </w:pPr>
          <w:bookmarkStart w:id="24" w:name="NEW_STAND_NAME"/>
          <w:r>
            <w:rPr>
              <w:rFonts w:ascii="Times New Roman" w:hAnsi="Times New Roman"/>
            </w:rPr>
            <w:t>酿酒发酵液制备污（废）水处理用液体生物质碳源</w:t>
          </w:r>
        </w:p>
      </w:sdtContent>
    </w:sdt>
    <w:bookmarkEnd w:id="24"/>
    <w:p w14:paraId="6C643EF9">
      <w:pPr>
        <w:pStyle w:val="104"/>
        <w:spacing w:before="240" w:after="240"/>
        <w:rPr>
          <w:rFonts w:ascii="Times New Roman"/>
        </w:rPr>
      </w:pPr>
      <w:bookmarkStart w:id="25" w:name="_Toc17233325"/>
      <w:bookmarkStart w:id="26" w:name="_Toc12042"/>
      <w:bookmarkStart w:id="27" w:name="_Toc26648465"/>
      <w:bookmarkStart w:id="28" w:name="_Toc17233333"/>
      <w:bookmarkStart w:id="29" w:name="_Toc24884211"/>
      <w:bookmarkStart w:id="30" w:name="_Toc97192964"/>
      <w:bookmarkStart w:id="31" w:name="_Toc26986530"/>
      <w:bookmarkStart w:id="32" w:name="_Toc26986771"/>
      <w:bookmarkStart w:id="33" w:name="_Toc26718930"/>
      <w:bookmarkStart w:id="34" w:name="_Toc1823"/>
      <w:bookmarkStart w:id="35" w:name="_Toc24884218"/>
      <w:r>
        <w:rPr>
          <w:rFonts w:ascii="Times New Roman"/>
        </w:rPr>
        <w:t>范围</w:t>
      </w:r>
      <w:bookmarkEnd w:id="25"/>
      <w:bookmarkEnd w:id="26"/>
      <w:bookmarkEnd w:id="27"/>
      <w:bookmarkEnd w:id="28"/>
      <w:bookmarkEnd w:id="29"/>
      <w:bookmarkEnd w:id="30"/>
      <w:bookmarkEnd w:id="31"/>
      <w:bookmarkEnd w:id="32"/>
      <w:bookmarkEnd w:id="33"/>
      <w:bookmarkEnd w:id="34"/>
      <w:bookmarkEnd w:id="35"/>
    </w:p>
    <w:p w14:paraId="5CD0D349">
      <w:pPr>
        <w:pStyle w:val="56"/>
        <w:bidi w:val="0"/>
      </w:pPr>
      <w:bookmarkStart w:id="36" w:name="_Toc17233334"/>
      <w:bookmarkStart w:id="37" w:name="_Toc17233326"/>
      <w:bookmarkStart w:id="38" w:name="_Toc24884219"/>
      <w:bookmarkStart w:id="39" w:name="_Toc24884212"/>
      <w:bookmarkStart w:id="40" w:name="_Toc26648466"/>
      <w:r>
        <w:t>本文件规定了</w:t>
      </w:r>
      <w:r>
        <w:rPr>
          <w:rFonts w:hint="eastAsia"/>
        </w:rPr>
        <w:t>酿酒发酵液制备</w:t>
      </w:r>
      <w:r>
        <w:t>污（废）水处理用液体生物质碳源产品的技术指标要求、检测方法、检验规则、标志、包装、运输、储存</w:t>
      </w:r>
      <w:r>
        <w:rPr>
          <w:rFonts w:hint="eastAsia"/>
        </w:rPr>
        <w:t>及</w:t>
      </w:r>
      <w:r>
        <w:t>使用</w:t>
      </w:r>
      <w:r>
        <w:rPr>
          <w:rFonts w:hint="eastAsia"/>
        </w:rPr>
        <w:t>要求</w:t>
      </w:r>
      <w:r>
        <w:t>。</w:t>
      </w:r>
    </w:p>
    <w:p w14:paraId="52468909">
      <w:pPr>
        <w:pStyle w:val="56"/>
        <w:bidi w:val="0"/>
      </w:pPr>
      <w:r>
        <w:t>该产品适用于污水</w:t>
      </w:r>
      <w:r>
        <w:rPr>
          <w:rFonts w:hint="eastAsia"/>
        </w:rPr>
        <w:t>、</w:t>
      </w:r>
      <w:r>
        <w:t>废水的生物处理及强化脱氮除磷过程，本文件适用于使</w:t>
      </w:r>
      <w:r>
        <w:rPr>
          <w:rFonts w:hint="eastAsia"/>
        </w:rPr>
        <w:t>用酿酒发酵液</w:t>
      </w:r>
      <w:r>
        <w:t>制备的液体生物质碳源。</w:t>
      </w:r>
    </w:p>
    <w:p w14:paraId="7703FF39">
      <w:pPr>
        <w:pStyle w:val="104"/>
        <w:spacing w:before="240" w:after="240"/>
        <w:rPr>
          <w:rFonts w:ascii="Times New Roman"/>
        </w:rPr>
      </w:pPr>
      <w:bookmarkStart w:id="41" w:name="_Toc19731"/>
      <w:bookmarkStart w:id="42" w:name="_Toc26718931"/>
      <w:bookmarkStart w:id="43" w:name="_Toc97192965"/>
      <w:bookmarkStart w:id="44" w:name="_Toc29872"/>
      <w:bookmarkStart w:id="45" w:name="_Toc26986531"/>
      <w:bookmarkStart w:id="46" w:name="_Toc26986772"/>
      <w:r>
        <w:rPr>
          <w:rFonts w:ascii="Times New Roman"/>
        </w:rPr>
        <w:t>规范性引用文件</w:t>
      </w:r>
      <w:bookmarkEnd w:id="36"/>
      <w:bookmarkEnd w:id="37"/>
      <w:bookmarkEnd w:id="38"/>
      <w:bookmarkEnd w:id="39"/>
      <w:bookmarkEnd w:id="40"/>
      <w:bookmarkEnd w:id="41"/>
      <w:bookmarkEnd w:id="42"/>
      <w:bookmarkEnd w:id="43"/>
      <w:bookmarkEnd w:id="44"/>
      <w:bookmarkEnd w:id="45"/>
      <w:bookmarkEnd w:id="46"/>
    </w:p>
    <w:sdt>
      <w:sdtPr>
        <w:id w:val="715848253"/>
        <w:placeholder>
          <w:docPart w:val="78956B8278AF41489B4C226600D2E8C4"/>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Content>
        <w:p w14:paraId="6F632F8E">
          <w:pPr>
            <w:pStyle w:val="56"/>
            <w:ind w:firstLine="420"/>
          </w:pPr>
          <w: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787D6D1A">
      <w:pPr>
        <w:pStyle w:val="56"/>
        <w:ind w:left="420" w:leftChars="200" w:firstLine="0" w:firstLineChars="0"/>
      </w:pPr>
      <w:r>
        <w:t>GB 190</w:t>
      </w:r>
      <w:r>
        <w:rPr>
          <w:rFonts w:hint="eastAsia"/>
        </w:rPr>
        <w:t xml:space="preserve">      </w:t>
      </w:r>
      <w:r>
        <w:t>危险货物包装标志</w:t>
      </w:r>
    </w:p>
    <w:p w14:paraId="1D412CF1">
      <w:pPr>
        <w:pStyle w:val="56"/>
        <w:ind w:firstLine="420"/>
      </w:pPr>
      <w:r>
        <w:t>GB 11893</w:t>
      </w:r>
      <w:r>
        <w:rPr>
          <w:rFonts w:hint="eastAsia"/>
        </w:rPr>
        <w:t xml:space="preserve">   </w:t>
      </w:r>
      <w:r>
        <w:t xml:space="preserve"> 水质 总磷的测定 钼酸铵分光光度法</w:t>
      </w:r>
    </w:p>
    <w:p w14:paraId="482C0E8D">
      <w:pPr>
        <w:pStyle w:val="56"/>
        <w:ind w:firstLine="420"/>
      </w:pPr>
      <w:r>
        <w:t>GB 12268</w:t>
      </w:r>
      <w:r>
        <w:rPr>
          <w:rFonts w:hint="eastAsia"/>
        </w:rPr>
        <w:t xml:space="preserve">   </w:t>
      </w:r>
      <w:r>
        <w:t xml:space="preserve"> 危险货物品名表</w:t>
      </w:r>
    </w:p>
    <w:p w14:paraId="1EE6B388">
      <w:pPr>
        <w:pStyle w:val="56"/>
        <w:ind w:firstLine="420"/>
      </w:pPr>
      <w:r>
        <w:t xml:space="preserve">GB </w:t>
      </w:r>
      <w:r>
        <w:rPr>
          <w:rFonts w:hint="eastAsia"/>
        </w:rPr>
        <w:t xml:space="preserve">6944    </w:t>
      </w:r>
      <w:r>
        <w:t xml:space="preserve"> 危险货物</w:t>
      </w:r>
      <w:r>
        <w:rPr>
          <w:rFonts w:hint="eastAsia"/>
        </w:rPr>
        <w:t>分类和品名编号</w:t>
      </w:r>
    </w:p>
    <w:p w14:paraId="4B24528C">
      <w:pPr>
        <w:pStyle w:val="56"/>
        <w:ind w:firstLine="420"/>
      </w:pPr>
      <w:r>
        <w:t xml:space="preserve">GB/T 191 </w:t>
      </w:r>
      <w:r>
        <w:rPr>
          <w:rFonts w:hint="eastAsia"/>
        </w:rPr>
        <w:t xml:space="preserve">   </w:t>
      </w:r>
      <w:r>
        <w:t>包装储运图示标志</w:t>
      </w:r>
    </w:p>
    <w:p w14:paraId="4B7F975B">
      <w:pPr>
        <w:pStyle w:val="56"/>
        <w:ind w:firstLine="420"/>
      </w:pPr>
      <w:r>
        <w:t xml:space="preserve">GB/T 601 </w:t>
      </w:r>
      <w:r>
        <w:rPr>
          <w:rFonts w:hint="eastAsia"/>
        </w:rPr>
        <w:t xml:space="preserve">   </w:t>
      </w:r>
      <w:r>
        <w:t>化学试剂 标准滴定溶液的制备</w:t>
      </w:r>
    </w:p>
    <w:p w14:paraId="78DE575F">
      <w:pPr>
        <w:pStyle w:val="56"/>
        <w:ind w:firstLine="420"/>
      </w:pPr>
      <w:r>
        <w:t>GB/T 602</w:t>
      </w:r>
      <w:r>
        <w:rPr>
          <w:rFonts w:hint="eastAsia"/>
        </w:rPr>
        <w:t xml:space="preserve">    </w:t>
      </w:r>
      <w:r>
        <w:t>化学试剂 杂质测定用标准溶液的制备</w:t>
      </w:r>
    </w:p>
    <w:p w14:paraId="04CAC523">
      <w:pPr>
        <w:pStyle w:val="56"/>
        <w:ind w:firstLine="420"/>
      </w:pPr>
      <w:r>
        <w:t>GB/T 603</w:t>
      </w:r>
      <w:r>
        <w:rPr>
          <w:rFonts w:hint="eastAsia"/>
        </w:rPr>
        <w:t xml:space="preserve">    </w:t>
      </w:r>
      <w:r>
        <w:t>化学试剂 试验方法中所用制剂及制品的制备</w:t>
      </w:r>
    </w:p>
    <w:p w14:paraId="71F9794C">
      <w:pPr>
        <w:pStyle w:val="56"/>
        <w:ind w:firstLine="420"/>
      </w:pPr>
      <w:r>
        <w:t>GB/T 6680</w:t>
      </w:r>
      <w:r>
        <w:rPr>
          <w:rFonts w:hint="eastAsia"/>
        </w:rPr>
        <w:t xml:space="preserve">   </w:t>
      </w:r>
      <w:r>
        <w:t>液体化工产品采样通则</w:t>
      </w:r>
    </w:p>
    <w:p w14:paraId="0AAF518C">
      <w:pPr>
        <w:pStyle w:val="56"/>
        <w:ind w:firstLine="420"/>
      </w:pPr>
      <w:r>
        <w:t>GB/T 6682</w:t>
      </w:r>
      <w:r>
        <w:rPr>
          <w:rFonts w:hint="eastAsia"/>
        </w:rPr>
        <w:t xml:space="preserve">   </w:t>
      </w:r>
      <w:r>
        <w:t>分析实验室用水规格和试验方案</w:t>
      </w:r>
    </w:p>
    <w:p w14:paraId="02D821EF">
      <w:pPr>
        <w:pStyle w:val="56"/>
        <w:ind w:firstLine="420"/>
      </w:pPr>
      <w:r>
        <w:t>GB/T 8170</w:t>
      </w:r>
      <w:r>
        <w:rPr>
          <w:rFonts w:hint="eastAsia"/>
        </w:rPr>
        <w:t xml:space="preserve">   </w:t>
      </w:r>
      <w:r>
        <w:t>数值修约规则与极限数值的表示和判定</w:t>
      </w:r>
    </w:p>
    <w:p w14:paraId="389A7889">
      <w:pPr>
        <w:pStyle w:val="56"/>
        <w:ind w:firstLine="420"/>
      </w:pPr>
      <w:r>
        <w:t>GB/T 9738</w:t>
      </w:r>
      <w:r>
        <w:rPr>
          <w:rFonts w:hint="eastAsia"/>
        </w:rPr>
        <w:t xml:space="preserve">   </w:t>
      </w:r>
      <w:r>
        <w:t>化学试剂 水不溶物测定通用方法</w:t>
      </w:r>
    </w:p>
    <w:p w14:paraId="190EE7C8">
      <w:pPr>
        <w:pStyle w:val="56"/>
        <w:ind w:firstLine="420"/>
      </w:pPr>
      <w:r>
        <w:t>GB/T 22592</w:t>
      </w:r>
      <w:r>
        <w:rPr>
          <w:rFonts w:hint="eastAsia"/>
        </w:rPr>
        <w:t xml:space="preserve"> </w:t>
      </w:r>
      <w:r>
        <w:t xml:space="preserve"> 水处理剂 pH值测定方法通则</w:t>
      </w:r>
    </w:p>
    <w:p w14:paraId="6BDE9D20">
      <w:pPr>
        <w:pStyle w:val="56"/>
        <w:ind w:firstLine="420"/>
      </w:pPr>
      <w:r>
        <w:t>GB/T 22594</w:t>
      </w:r>
      <w:r>
        <w:rPr>
          <w:rFonts w:hint="eastAsia"/>
        </w:rPr>
        <w:t xml:space="preserve"> </w:t>
      </w:r>
      <w:r>
        <w:t xml:space="preserve"> 水处理剂 密度的测定方法通则</w:t>
      </w:r>
    </w:p>
    <w:p w14:paraId="563EBAAD">
      <w:pPr>
        <w:pStyle w:val="56"/>
        <w:ind w:firstLine="420"/>
      </w:pPr>
      <w:r>
        <w:t>GB/T 33086</w:t>
      </w:r>
      <w:r>
        <w:rPr>
          <w:rFonts w:hint="eastAsia"/>
        </w:rPr>
        <w:t xml:space="preserve"> </w:t>
      </w:r>
      <w:r>
        <w:t xml:space="preserve"> 水处理剂 砷和汞含量的测定 原子荧光光谱法</w:t>
      </w:r>
    </w:p>
    <w:p w14:paraId="3F8C67F9">
      <w:pPr>
        <w:pStyle w:val="56"/>
        <w:ind w:firstLine="420"/>
      </w:pPr>
      <w:r>
        <w:t>GB/T 37883</w:t>
      </w:r>
      <w:r>
        <w:rPr>
          <w:rFonts w:hint="eastAsia"/>
        </w:rPr>
        <w:t xml:space="preserve">  </w:t>
      </w:r>
      <w:r>
        <w:t>水处理剂中铬、镉、铅、砷含量的测定 电感耦合等离子体发射光谱</w:t>
      </w:r>
      <w:r>
        <w:rPr>
          <w:rFonts w:hint="eastAsia"/>
        </w:rPr>
        <w:t>（</w:t>
      </w:r>
      <w:r>
        <w:t>ICP-OES</w:t>
      </w:r>
      <w:r>
        <w:rPr>
          <w:rFonts w:hint="eastAsia"/>
        </w:rPr>
        <w:t>）</w:t>
      </w:r>
      <w:r>
        <w:t>法</w:t>
      </w:r>
    </w:p>
    <w:p w14:paraId="009778B9">
      <w:pPr>
        <w:pStyle w:val="56"/>
        <w:ind w:firstLine="420"/>
      </w:pPr>
      <w:r>
        <w:t>GB/T 23877</w:t>
      </w:r>
      <w:r>
        <w:rPr>
          <w:rFonts w:hint="eastAsia"/>
        </w:rPr>
        <w:t xml:space="preserve">  </w:t>
      </w:r>
      <w:r>
        <w:t>饲料酸化剂中柠檬酸、富马酸和乳酸的测定 高效液相色谱法</w:t>
      </w:r>
    </w:p>
    <w:p w14:paraId="72EAD227">
      <w:pPr>
        <w:pStyle w:val="56"/>
        <w:ind w:firstLine="420"/>
      </w:pPr>
      <w:r>
        <w:t>GB/T 21621</w:t>
      </w:r>
      <w:r>
        <w:rPr>
          <w:rFonts w:hint="eastAsia"/>
        </w:rPr>
        <w:t xml:space="preserve">  </w:t>
      </w:r>
      <w:r>
        <w:t>危险品 金属腐蚀性试验方法</w:t>
      </w:r>
    </w:p>
    <w:p w14:paraId="17CD9C1A">
      <w:pPr>
        <w:pStyle w:val="56"/>
        <w:ind w:firstLine="420"/>
      </w:pPr>
      <w:r>
        <w:t>GB/T 5208</w:t>
      </w:r>
      <w:r>
        <w:rPr>
          <w:rFonts w:hint="eastAsia"/>
        </w:rPr>
        <w:t xml:space="preserve">   </w:t>
      </w:r>
      <w:r>
        <w:t>闪点的测定 快速平衡闭杯法</w:t>
      </w:r>
    </w:p>
    <w:p w14:paraId="33146067">
      <w:pPr>
        <w:pStyle w:val="56"/>
        <w:ind w:firstLine="420"/>
      </w:pPr>
      <w:bookmarkStart w:id="47" w:name="OLE_LINK1"/>
      <w:r>
        <w:t>HJ 636-2012</w:t>
      </w:r>
      <w:bookmarkEnd w:id="47"/>
      <w:r>
        <w:t xml:space="preserve"> </w:t>
      </w:r>
      <w:r>
        <w:rPr>
          <w:rFonts w:hint="eastAsia"/>
        </w:rPr>
        <w:t xml:space="preserve"> </w:t>
      </w:r>
      <w:r>
        <w:t>水质 总氮的测定 碱性过硫酸钾消解紫外分光光度法</w:t>
      </w:r>
    </w:p>
    <w:p w14:paraId="2FC325A9">
      <w:pPr>
        <w:pStyle w:val="56"/>
        <w:ind w:firstLine="420"/>
      </w:pPr>
      <w:r>
        <w:t xml:space="preserve">HJ 505-2009 </w:t>
      </w:r>
      <w:r>
        <w:rPr>
          <w:rFonts w:hint="eastAsia"/>
        </w:rPr>
        <w:t xml:space="preserve"> </w:t>
      </w:r>
      <w:r>
        <w:t>水质 五日生化需氧量（BOD</w:t>
      </w:r>
      <w:r>
        <w:rPr>
          <w:vertAlign w:val="subscript"/>
        </w:rPr>
        <w:t>5</w:t>
      </w:r>
      <w:r>
        <w:t>）的测定 稀释与接种法</w:t>
      </w:r>
    </w:p>
    <w:p w14:paraId="6C88A0DB">
      <w:pPr>
        <w:pStyle w:val="56"/>
        <w:ind w:firstLine="420"/>
      </w:pPr>
      <w:r>
        <w:t xml:space="preserve">HJ 828-2017 </w:t>
      </w:r>
      <w:r>
        <w:rPr>
          <w:rFonts w:hint="eastAsia"/>
        </w:rPr>
        <w:t xml:space="preserve"> </w:t>
      </w:r>
      <w:r>
        <w:t>水质 化学需氧量的测定 重铬酸盐法</w:t>
      </w:r>
    </w:p>
    <w:p w14:paraId="508FD0F1">
      <w:pPr>
        <w:pStyle w:val="56"/>
        <w:ind w:firstLine="420"/>
      </w:pPr>
      <w:r>
        <w:t xml:space="preserve">HG/T 5960-2021 </w:t>
      </w:r>
      <w:r>
        <w:rPr>
          <w:rFonts w:hint="eastAsia"/>
          <w:lang w:val="en-US" w:eastAsia="zh-CN"/>
        </w:rPr>
        <w:t xml:space="preserve"> </w:t>
      </w:r>
      <w:r>
        <w:t>废（污）水处理用复合碳源</w:t>
      </w:r>
    </w:p>
    <w:p w14:paraId="384F903B">
      <w:pPr>
        <w:pStyle w:val="104"/>
        <w:spacing w:before="240" w:after="240"/>
        <w:rPr>
          <w:rFonts w:ascii="Times New Roman"/>
        </w:rPr>
      </w:pPr>
      <w:bookmarkStart w:id="48" w:name="_Toc97192966"/>
      <w:bookmarkStart w:id="49" w:name="_Toc3716"/>
      <w:bookmarkStart w:id="50" w:name="_Toc23517"/>
      <w:r>
        <w:rPr>
          <w:rFonts w:ascii="Times New Roman"/>
          <w:szCs w:val="21"/>
        </w:rPr>
        <w:t>术语和定义</w:t>
      </w:r>
      <w:bookmarkEnd w:id="48"/>
      <w:bookmarkEnd w:id="49"/>
      <w:bookmarkEnd w:id="50"/>
    </w:p>
    <w:sdt>
      <w:sdtPr>
        <w:id w:val="-1909835108"/>
        <w:placeholder>
          <w:docPart w:val="DD487E154D8B46B1811108614A11313A"/>
        </w:placeholder>
        <w:comboBox>
          <w:listItem w:displayText="点击并选择适当的引导语" w:value="点击并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5F5D09BD">
          <w:pPr>
            <w:pStyle w:val="56"/>
            <w:ind w:firstLine="420"/>
          </w:pPr>
          <w:bookmarkStart w:id="51" w:name="_Toc26986532"/>
          <w:bookmarkEnd w:id="51"/>
          <w:r>
            <w:t>下列术语和定义适用于本文件。</w:t>
          </w:r>
        </w:p>
      </w:sdtContent>
    </w:sdt>
    <w:p w14:paraId="0F4B7D7E">
      <w:pPr>
        <w:pStyle w:val="223"/>
        <w:ind w:left="420" w:hanging="420" w:hangingChars="200"/>
        <w:rPr>
          <w:rFonts w:ascii="Times New Roman" w:eastAsia="黑体"/>
        </w:rPr>
      </w:pPr>
      <w:r>
        <w:rPr>
          <w:rFonts w:ascii="Times New Roman" w:eastAsia="黑体"/>
        </w:rPr>
        <w:br w:type="textWrapping"/>
      </w:r>
      <w:r>
        <w:rPr>
          <w:rFonts w:ascii="Times New Roman" w:eastAsia="黑体"/>
        </w:rPr>
        <w:t>碳源  carbon source</w:t>
      </w:r>
    </w:p>
    <w:p w14:paraId="5E19F87A">
      <w:pPr>
        <w:pStyle w:val="56"/>
        <w:ind w:firstLine="420"/>
      </w:pPr>
      <w:r>
        <w:t>可为污水生化处理系统的微生物生长代谢提供营养物的含碳化合物。</w:t>
      </w:r>
    </w:p>
    <w:p w14:paraId="255E58E2">
      <w:pPr>
        <w:pStyle w:val="223"/>
        <w:ind w:left="420" w:hanging="420" w:hangingChars="200"/>
        <w:rPr>
          <w:rFonts w:ascii="Times New Roman" w:eastAsia="黑体"/>
        </w:rPr>
      </w:pPr>
      <w:r>
        <w:rPr>
          <w:rFonts w:ascii="Times New Roman" w:eastAsia="黑体"/>
        </w:rPr>
        <w:br w:type="textWrapping"/>
      </w:r>
      <w:r>
        <w:rPr>
          <w:rFonts w:ascii="Times New Roman" w:eastAsia="黑体"/>
        </w:rPr>
        <w:t>生物质碳源  biomass carbon source</w:t>
      </w:r>
    </w:p>
    <w:p w14:paraId="2F84938B">
      <w:pPr>
        <w:pStyle w:val="56"/>
        <w:ind w:firstLine="420"/>
      </w:pPr>
      <w:r>
        <w:t>天然有机</w:t>
      </w:r>
      <w:r>
        <w:rPr>
          <w:rFonts w:hint="eastAsia"/>
        </w:rPr>
        <w:t>物</w:t>
      </w:r>
      <w:r>
        <w:t>发酵后生产的</w:t>
      </w:r>
      <w:r>
        <w:rPr>
          <w:rFonts w:hint="eastAsia"/>
        </w:rPr>
        <w:t>作为碳源使用的生物质产品</w:t>
      </w:r>
      <w:r>
        <w:t>，主要成分为小分子有机酸、醇类、糖类</w:t>
      </w:r>
      <w:r>
        <w:rPr>
          <w:rFonts w:hint="eastAsia"/>
        </w:rPr>
        <w:t>，</w:t>
      </w:r>
      <w:r>
        <w:t>不包括</w:t>
      </w:r>
      <w:r>
        <w:rPr>
          <w:rFonts w:hint="eastAsia"/>
        </w:rPr>
        <w:t>化石源</w:t>
      </w:r>
      <w:r>
        <w:t>或</w:t>
      </w:r>
      <w:r>
        <w:rPr>
          <w:rFonts w:hint="eastAsia"/>
        </w:rPr>
        <w:t>石化</w:t>
      </w:r>
      <w:r>
        <w:t>产品。</w:t>
      </w:r>
    </w:p>
    <w:p w14:paraId="0C1D133E">
      <w:pPr>
        <w:pStyle w:val="104"/>
        <w:spacing w:before="240" w:after="240"/>
        <w:rPr>
          <w:rFonts w:ascii="Times New Roman"/>
        </w:rPr>
      </w:pPr>
      <w:bookmarkStart w:id="52" w:name="_Toc5250"/>
      <w:bookmarkStart w:id="53" w:name="_Toc5344"/>
      <w:r>
        <w:rPr>
          <w:rFonts w:ascii="Times New Roman"/>
        </w:rPr>
        <w:t>要求</w:t>
      </w:r>
      <w:bookmarkEnd w:id="52"/>
      <w:bookmarkEnd w:id="53"/>
    </w:p>
    <w:p w14:paraId="5277D989">
      <w:pPr>
        <w:pStyle w:val="105"/>
        <w:spacing w:before="120" w:after="120"/>
        <w:rPr>
          <w:rFonts w:ascii="Times New Roman"/>
        </w:rPr>
      </w:pPr>
      <w:bookmarkStart w:id="54" w:name="_Toc7288"/>
      <w:bookmarkStart w:id="55" w:name="_Toc21493"/>
      <w:r>
        <w:rPr>
          <w:rFonts w:ascii="Times New Roman"/>
        </w:rPr>
        <w:t>基本要求</w:t>
      </w:r>
      <w:bookmarkEnd w:id="54"/>
      <w:bookmarkEnd w:id="55"/>
    </w:p>
    <w:p w14:paraId="5AE13675">
      <w:pPr>
        <w:pStyle w:val="165"/>
        <w:rPr>
          <w:rFonts w:ascii="Times New Roman"/>
        </w:rPr>
      </w:pPr>
      <w:r>
        <w:rPr>
          <w:rFonts w:hint="eastAsia" w:ascii="Times New Roman"/>
        </w:rPr>
        <w:t>本</w:t>
      </w:r>
      <w:r>
        <w:rPr>
          <w:rFonts w:ascii="Times New Roman"/>
        </w:rPr>
        <w:t>生物质碳源生产原料应</w:t>
      </w:r>
      <w:r>
        <w:rPr>
          <w:rFonts w:hint="eastAsia" w:ascii="Times New Roman"/>
        </w:rPr>
        <w:t>为白酒、啤酒、葡萄酒、米酒、黄酒等酿酒过程中产生的发酵液</w:t>
      </w:r>
      <w:r>
        <w:rPr>
          <w:rFonts w:ascii="Times New Roman"/>
        </w:rPr>
        <w:t>。</w:t>
      </w:r>
    </w:p>
    <w:p w14:paraId="0CF3109B">
      <w:pPr>
        <w:pStyle w:val="165"/>
        <w:rPr>
          <w:rFonts w:ascii="Times New Roman"/>
        </w:rPr>
      </w:pPr>
      <w:r>
        <w:rPr>
          <w:rFonts w:hint="eastAsia" w:ascii="Times New Roman"/>
        </w:rPr>
        <w:t>本</w:t>
      </w:r>
      <w:r>
        <w:rPr>
          <w:rFonts w:ascii="Times New Roman"/>
        </w:rPr>
        <w:t>生物质碳源生产工艺不应使用国家或有关部门已发布的淘汰或禁止的技术、工艺或材料，且不得采用超期或过期的原辅材料和生产设备。</w:t>
      </w:r>
    </w:p>
    <w:p w14:paraId="63D0C593">
      <w:pPr>
        <w:pStyle w:val="165"/>
        <w:rPr>
          <w:rFonts w:ascii="Times New Roman"/>
        </w:rPr>
      </w:pPr>
      <w:r>
        <w:rPr>
          <w:rFonts w:hint="eastAsia" w:ascii="Times New Roman"/>
        </w:rPr>
        <w:t>本生物质碳源生产过</w:t>
      </w:r>
      <w:r>
        <w:rPr>
          <w:rFonts w:ascii="Times New Roman"/>
        </w:rPr>
        <w:t>程应采取有效措施，确保操作人员及环境的安全与健康，防止发生危及人身或</w:t>
      </w:r>
      <w:r>
        <w:rPr>
          <w:rFonts w:hint="eastAsia" w:ascii="Times New Roman"/>
        </w:rPr>
        <w:t>环境</w:t>
      </w:r>
      <w:r>
        <w:rPr>
          <w:rFonts w:ascii="Times New Roman"/>
        </w:rPr>
        <w:t>的安全</w:t>
      </w:r>
      <w:r>
        <w:rPr>
          <w:rFonts w:hint="eastAsia" w:ascii="Times New Roman"/>
        </w:rPr>
        <w:t>与健康</w:t>
      </w:r>
      <w:r>
        <w:rPr>
          <w:rFonts w:ascii="Times New Roman"/>
        </w:rPr>
        <w:t>风险。</w:t>
      </w:r>
    </w:p>
    <w:p w14:paraId="5B388C3D">
      <w:pPr>
        <w:pStyle w:val="105"/>
        <w:spacing w:before="120" w:after="120"/>
        <w:rPr>
          <w:rFonts w:ascii="Times New Roman"/>
        </w:rPr>
      </w:pPr>
      <w:bookmarkStart w:id="56" w:name="_Toc30508"/>
      <w:bookmarkStart w:id="57" w:name="_Toc3094"/>
      <w:r>
        <w:rPr>
          <w:rFonts w:ascii="Times New Roman"/>
        </w:rPr>
        <w:t>工艺要求</w:t>
      </w:r>
      <w:bookmarkEnd w:id="56"/>
      <w:bookmarkEnd w:id="57"/>
    </w:p>
    <w:p w14:paraId="2368F952">
      <w:pPr>
        <w:pStyle w:val="65"/>
        <w:spacing w:before="120" w:after="120"/>
        <w:rPr>
          <w:rFonts w:ascii="Times New Roman"/>
        </w:rPr>
      </w:pPr>
      <w:r>
        <w:rPr>
          <w:rFonts w:ascii="Times New Roman"/>
        </w:rPr>
        <w:t>工艺原料</w:t>
      </w:r>
    </w:p>
    <w:p w14:paraId="0D318D9E">
      <w:pPr>
        <w:pStyle w:val="56"/>
        <w:ind w:firstLine="420"/>
      </w:pPr>
      <w:r>
        <w:rPr>
          <w:rFonts w:hint="eastAsia"/>
        </w:rPr>
        <w:t>酿酒发酵液</w:t>
      </w:r>
      <w:r>
        <w:t>。</w:t>
      </w:r>
    </w:p>
    <w:p w14:paraId="41129D2C">
      <w:pPr>
        <w:pStyle w:val="65"/>
        <w:spacing w:before="120" w:after="120"/>
        <w:rPr>
          <w:rFonts w:ascii="Times New Roman"/>
        </w:rPr>
      </w:pPr>
      <w:r>
        <w:rPr>
          <w:rFonts w:ascii="Times New Roman"/>
        </w:rPr>
        <w:t>工艺</w:t>
      </w:r>
    </w:p>
    <w:p w14:paraId="0224725C">
      <w:pPr>
        <w:pStyle w:val="56"/>
        <w:ind w:firstLine="420"/>
      </w:pPr>
      <w:r>
        <w:t>采用发酵定向降解技术，技术路线为：</w:t>
      </w:r>
    </w:p>
    <w:p w14:paraId="4B43F0F0">
      <w:pPr>
        <w:pStyle w:val="56"/>
        <w:ind w:firstLine="420"/>
      </w:pPr>
      <w:r>
        <w:t xml:space="preserve">原料预处理 → 发酵 → 固液分离 → </w:t>
      </w:r>
      <w:r>
        <w:rPr>
          <w:rFonts w:hint="eastAsia"/>
        </w:rPr>
        <w:t>脱氮除磷</w:t>
      </w:r>
      <w:r>
        <w:t xml:space="preserve"> → 浓缩 → 灭菌 → 生物质碳源</w:t>
      </w:r>
    </w:p>
    <w:p w14:paraId="087F05E7">
      <w:pPr>
        <w:pStyle w:val="105"/>
        <w:spacing w:before="120" w:after="120"/>
        <w:rPr>
          <w:rFonts w:ascii="Times New Roman"/>
        </w:rPr>
      </w:pPr>
      <w:bookmarkStart w:id="58" w:name="_Toc3886"/>
      <w:bookmarkStart w:id="59" w:name="_Toc10071"/>
      <w:r>
        <w:rPr>
          <w:rFonts w:ascii="Times New Roman"/>
        </w:rPr>
        <w:t>产品要求</w:t>
      </w:r>
      <w:bookmarkEnd w:id="58"/>
      <w:bookmarkEnd w:id="59"/>
    </w:p>
    <w:p w14:paraId="0C1229D1">
      <w:pPr>
        <w:pStyle w:val="65"/>
        <w:spacing w:before="120" w:after="120"/>
        <w:rPr>
          <w:rFonts w:ascii="Times New Roman"/>
        </w:rPr>
      </w:pPr>
      <w:r>
        <w:rPr>
          <w:rFonts w:ascii="Times New Roman"/>
        </w:rPr>
        <w:t>外观与气味</w:t>
      </w:r>
    </w:p>
    <w:p w14:paraId="2FDAE190">
      <w:pPr>
        <w:pStyle w:val="56"/>
        <w:ind w:firstLine="420"/>
      </w:pPr>
      <w:r>
        <w:t>浅黄色液体，具有轻微的发酵味，无不正常异味，无肉眼可见的异物。</w:t>
      </w:r>
    </w:p>
    <w:p w14:paraId="7B0C1259">
      <w:pPr>
        <w:pStyle w:val="65"/>
        <w:spacing w:before="120" w:after="120"/>
        <w:rPr>
          <w:rFonts w:ascii="Times New Roman"/>
        </w:rPr>
      </w:pPr>
      <w:r>
        <w:rPr>
          <w:rFonts w:ascii="Times New Roman"/>
        </w:rPr>
        <w:t>技术指标</w:t>
      </w:r>
    </w:p>
    <w:p w14:paraId="70EAA569">
      <w:pPr>
        <w:pStyle w:val="56"/>
        <w:ind w:firstLine="420"/>
      </w:pPr>
      <w:r>
        <w:t>应符合表1的技术指标要求。</w:t>
      </w:r>
    </w:p>
    <w:p w14:paraId="754B53AC">
      <w:pPr>
        <w:pStyle w:val="112"/>
        <w:spacing w:before="120" w:after="120"/>
        <w:rPr>
          <w:rFonts w:ascii="Times New Roman"/>
        </w:rPr>
      </w:pPr>
      <w:r>
        <w:rPr>
          <w:rFonts w:ascii="Times New Roman"/>
        </w:rPr>
        <w:t>生物质碳源技术指标要求</w:t>
      </w:r>
    </w:p>
    <w:tbl>
      <w:tblPr>
        <w:tblStyle w:val="27"/>
        <w:tblW w:w="4955"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0" w:type="dxa"/>
          <w:bottom w:w="0" w:type="dxa"/>
          <w:right w:w="100" w:type="dxa"/>
        </w:tblCellMar>
      </w:tblPr>
      <w:tblGrid>
        <w:gridCol w:w="4645"/>
        <w:gridCol w:w="4605"/>
      </w:tblGrid>
      <w:tr w14:paraId="17A0AE7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blHeader/>
          <w:jc w:val="center"/>
        </w:trPr>
        <w:tc>
          <w:tcPr>
            <w:tcW w:w="2511" w:type="pct"/>
            <w:tcBorders>
              <w:bottom w:val="single" w:color="auto" w:sz="8" w:space="0"/>
            </w:tcBorders>
            <w:vAlign w:val="center"/>
          </w:tcPr>
          <w:p w14:paraId="65D5DF86">
            <w:pPr>
              <w:spacing w:line="240" w:lineRule="auto"/>
              <w:jc w:val="center"/>
              <w:rPr>
                <w:rFonts w:ascii="Times New Roman" w:hAnsi="Times New Roman"/>
                <w:b/>
                <w:bCs/>
                <w:sz w:val="18"/>
              </w:rPr>
            </w:pPr>
            <w:r>
              <w:rPr>
                <w:rFonts w:ascii="Times New Roman" w:hAnsi="Times New Roman"/>
                <w:b/>
                <w:bCs/>
                <w:sz w:val="18"/>
              </w:rPr>
              <w:t>项目</w:t>
            </w:r>
          </w:p>
        </w:tc>
        <w:tc>
          <w:tcPr>
            <w:tcW w:w="2489" w:type="pct"/>
            <w:tcBorders>
              <w:bottom w:val="single" w:color="auto" w:sz="8" w:space="0"/>
            </w:tcBorders>
            <w:vAlign w:val="center"/>
          </w:tcPr>
          <w:p w14:paraId="58ED0333">
            <w:pPr>
              <w:spacing w:line="240" w:lineRule="auto"/>
              <w:jc w:val="center"/>
              <w:rPr>
                <w:rFonts w:ascii="Times New Roman" w:hAnsi="Times New Roman"/>
                <w:b/>
                <w:bCs/>
                <w:sz w:val="18"/>
              </w:rPr>
            </w:pPr>
            <w:r>
              <w:rPr>
                <w:rFonts w:ascii="Times New Roman" w:hAnsi="Times New Roman"/>
                <w:b/>
                <w:bCs/>
                <w:sz w:val="18"/>
              </w:rPr>
              <w:t>指标</w:t>
            </w:r>
          </w:p>
        </w:tc>
      </w:tr>
      <w:tr w14:paraId="16588A5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511" w:type="pct"/>
            <w:tcBorders>
              <w:top w:val="single" w:color="auto" w:sz="8" w:space="0"/>
            </w:tcBorders>
            <w:vAlign w:val="center"/>
          </w:tcPr>
          <w:p w14:paraId="0A51FD80">
            <w:pPr>
              <w:spacing w:line="240" w:lineRule="auto"/>
              <w:jc w:val="center"/>
              <w:rPr>
                <w:rFonts w:ascii="Times New Roman" w:hAnsi="Times New Roman"/>
                <w:sz w:val="18"/>
              </w:rPr>
            </w:pPr>
            <w:r>
              <w:rPr>
                <w:rFonts w:ascii="Times New Roman" w:hAnsi="Times New Roman"/>
                <w:sz w:val="18"/>
              </w:rPr>
              <w:t>化学需氧量（COD</w:t>
            </w:r>
            <w:r>
              <w:rPr>
                <w:rFonts w:ascii="Times New Roman" w:hAnsi="Times New Roman"/>
                <w:sz w:val="18"/>
                <w:vertAlign w:val="subscript"/>
              </w:rPr>
              <w:t>cr</w:t>
            </w:r>
            <w:r>
              <w:rPr>
                <w:rFonts w:ascii="Times New Roman" w:hAnsi="Times New Roman"/>
                <w:sz w:val="18"/>
              </w:rPr>
              <w:t>）/（mg/L）</w:t>
            </w:r>
          </w:p>
        </w:tc>
        <w:tc>
          <w:tcPr>
            <w:tcW w:w="2489" w:type="pct"/>
            <w:tcBorders>
              <w:top w:val="single" w:color="auto" w:sz="8" w:space="0"/>
            </w:tcBorders>
            <w:vAlign w:val="center"/>
          </w:tcPr>
          <w:p w14:paraId="0676CB0E">
            <w:pPr>
              <w:spacing w:line="240" w:lineRule="auto"/>
              <w:jc w:val="center"/>
              <w:rPr>
                <w:rFonts w:ascii="Times New Roman" w:hAnsi="Times New Roman"/>
                <w:sz w:val="18"/>
              </w:rPr>
            </w:pPr>
            <w:r>
              <w:rPr>
                <w:rFonts w:ascii="Times New Roman" w:hAnsi="Times New Roman"/>
                <w:sz w:val="18"/>
              </w:rPr>
              <w:t>≥1.5×10⁵</w:t>
            </w:r>
          </w:p>
        </w:tc>
      </w:tr>
      <w:tr w14:paraId="05DB722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511" w:type="pct"/>
            <w:vAlign w:val="center"/>
          </w:tcPr>
          <w:p w14:paraId="5DC0E70D">
            <w:pPr>
              <w:spacing w:line="240" w:lineRule="auto"/>
              <w:jc w:val="center"/>
              <w:rPr>
                <w:rFonts w:ascii="Times New Roman" w:hAnsi="Times New Roman"/>
                <w:sz w:val="18"/>
              </w:rPr>
            </w:pPr>
            <w:r>
              <w:rPr>
                <w:rFonts w:ascii="Times New Roman" w:hAnsi="Times New Roman"/>
                <w:sz w:val="18"/>
              </w:rPr>
              <w:t>BOD₅/COD</w:t>
            </w:r>
            <w:r>
              <w:rPr>
                <w:rFonts w:ascii="Times New Roman" w:hAnsi="Times New Roman"/>
                <w:sz w:val="18"/>
                <w:vertAlign w:val="subscript"/>
              </w:rPr>
              <w:t>cr</w:t>
            </w:r>
          </w:p>
        </w:tc>
        <w:tc>
          <w:tcPr>
            <w:tcW w:w="2489" w:type="pct"/>
            <w:vAlign w:val="center"/>
          </w:tcPr>
          <w:p w14:paraId="4C6CD2AF">
            <w:pPr>
              <w:spacing w:line="240" w:lineRule="auto"/>
              <w:jc w:val="center"/>
              <w:rPr>
                <w:rFonts w:ascii="Times New Roman" w:hAnsi="Times New Roman"/>
                <w:sz w:val="18"/>
              </w:rPr>
            </w:pPr>
            <w:r>
              <w:rPr>
                <w:rFonts w:ascii="Times New Roman" w:hAnsi="Times New Roman"/>
                <w:sz w:val="18"/>
              </w:rPr>
              <w:t>≥0.6</w:t>
            </w:r>
          </w:p>
        </w:tc>
      </w:tr>
      <w:tr w14:paraId="5C61A6D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511" w:type="pct"/>
            <w:vAlign w:val="center"/>
          </w:tcPr>
          <w:p w14:paraId="4EB7B95B">
            <w:pPr>
              <w:spacing w:line="240" w:lineRule="auto"/>
              <w:jc w:val="center"/>
              <w:rPr>
                <w:rFonts w:ascii="Times New Roman" w:hAnsi="Times New Roman"/>
                <w:sz w:val="18"/>
              </w:rPr>
            </w:pPr>
            <w:r>
              <w:rPr>
                <w:rFonts w:ascii="Times New Roman" w:hAnsi="Times New Roman"/>
                <w:sz w:val="18"/>
              </w:rPr>
              <w:t>pH 值</w:t>
            </w:r>
          </w:p>
        </w:tc>
        <w:tc>
          <w:tcPr>
            <w:tcW w:w="2489" w:type="pct"/>
            <w:vAlign w:val="center"/>
          </w:tcPr>
          <w:p w14:paraId="794EBAD0">
            <w:pPr>
              <w:spacing w:line="240" w:lineRule="auto"/>
              <w:jc w:val="center"/>
              <w:rPr>
                <w:rFonts w:ascii="Times New Roman" w:hAnsi="Times New Roman"/>
                <w:sz w:val="18"/>
              </w:rPr>
            </w:pPr>
            <w:r>
              <w:rPr>
                <w:rFonts w:ascii="Times New Roman" w:hAnsi="Times New Roman"/>
                <w:sz w:val="18"/>
              </w:rPr>
              <w:t>3.0</w:t>
            </w:r>
            <w:r>
              <w:rPr>
                <w:rFonts w:hint="eastAsia" w:ascii="Times New Roman" w:hAnsi="Times New Roman"/>
                <w:sz w:val="18"/>
              </w:rPr>
              <w:t>~9</w:t>
            </w:r>
            <w:r>
              <w:rPr>
                <w:rFonts w:ascii="Times New Roman" w:hAnsi="Times New Roman"/>
                <w:sz w:val="18"/>
              </w:rPr>
              <w:t>.0</w:t>
            </w:r>
          </w:p>
        </w:tc>
      </w:tr>
      <w:tr w14:paraId="15F19C4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511" w:type="pct"/>
            <w:vAlign w:val="center"/>
          </w:tcPr>
          <w:p w14:paraId="294A4186">
            <w:pPr>
              <w:spacing w:line="240" w:lineRule="auto"/>
              <w:jc w:val="center"/>
              <w:rPr>
                <w:rFonts w:ascii="Times New Roman" w:hAnsi="Times New Roman"/>
                <w:sz w:val="18"/>
              </w:rPr>
            </w:pPr>
            <w:r>
              <w:rPr>
                <w:rFonts w:ascii="Times New Roman" w:hAnsi="Times New Roman"/>
                <w:sz w:val="18"/>
              </w:rPr>
              <w:t>密度（20℃）/（g/cm</w:t>
            </w:r>
            <w:r>
              <w:rPr>
                <w:rFonts w:ascii="Times New Roman" w:hAnsi="Times New Roman"/>
                <w:sz w:val="18"/>
                <w:vertAlign w:val="superscript"/>
              </w:rPr>
              <w:t>3</w:t>
            </w:r>
            <w:r>
              <w:rPr>
                <w:rFonts w:ascii="Times New Roman" w:hAnsi="Times New Roman"/>
                <w:sz w:val="18"/>
              </w:rPr>
              <w:t>）</w:t>
            </w:r>
          </w:p>
        </w:tc>
        <w:tc>
          <w:tcPr>
            <w:tcW w:w="2489" w:type="pct"/>
            <w:vAlign w:val="center"/>
          </w:tcPr>
          <w:p w14:paraId="20C08D18">
            <w:pPr>
              <w:spacing w:line="240" w:lineRule="auto"/>
              <w:jc w:val="center"/>
              <w:rPr>
                <w:rFonts w:ascii="Times New Roman" w:hAnsi="Times New Roman"/>
                <w:sz w:val="18"/>
              </w:rPr>
            </w:pPr>
            <w:r>
              <w:rPr>
                <w:rFonts w:ascii="Times New Roman" w:hAnsi="Times New Roman"/>
                <w:sz w:val="18"/>
              </w:rPr>
              <w:t>1.00</w:t>
            </w:r>
            <w:r>
              <w:rPr>
                <w:rFonts w:hint="eastAsia" w:ascii="Times New Roman" w:hAnsi="Times New Roman"/>
                <w:sz w:val="18"/>
              </w:rPr>
              <w:t>~</w:t>
            </w:r>
            <w:r>
              <w:rPr>
                <w:rFonts w:ascii="Times New Roman" w:hAnsi="Times New Roman"/>
                <w:sz w:val="18"/>
              </w:rPr>
              <w:t>1.</w:t>
            </w:r>
            <w:r>
              <w:rPr>
                <w:rFonts w:hint="eastAsia" w:ascii="Times New Roman" w:hAnsi="Times New Roman"/>
                <w:sz w:val="18"/>
              </w:rPr>
              <w:t>30</w:t>
            </w:r>
          </w:p>
        </w:tc>
      </w:tr>
      <w:tr w14:paraId="0BFA641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511" w:type="pct"/>
            <w:vAlign w:val="center"/>
          </w:tcPr>
          <w:p w14:paraId="7104F900">
            <w:pPr>
              <w:spacing w:line="240" w:lineRule="auto"/>
              <w:jc w:val="center"/>
              <w:rPr>
                <w:rFonts w:ascii="Times New Roman" w:hAnsi="Times New Roman"/>
                <w:sz w:val="18"/>
              </w:rPr>
            </w:pPr>
            <w:r>
              <w:rPr>
                <w:rFonts w:ascii="Times New Roman" w:hAnsi="Times New Roman"/>
                <w:sz w:val="18"/>
              </w:rPr>
              <w:t>水不溶物的质量分数 /%</w:t>
            </w:r>
          </w:p>
        </w:tc>
        <w:tc>
          <w:tcPr>
            <w:tcW w:w="2489" w:type="pct"/>
            <w:vAlign w:val="center"/>
          </w:tcPr>
          <w:p w14:paraId="66D17174">
            <w:pPr>
              <w:spacing w:line="240" w:lineRule="auto"/>
              <w:jc w:val="center"/>
              <w:rPr>
                <w:rFonts w:ascii="Times New Roman" w:hAnsi="Times New Roman"/>
                <w:sz w:val="18"/>
              </w:rPr>
            </w:pPr>
            <w:r>
              <w:rPr>
                <w:rFonts w:ascii="Times New Roman" w:hAnsi="Times New Roman"/>
                <w:sz w:val="18"/>
              </w:rPr>
              <w:t>≤0.2</w:t>
            </w:r>
          </w:p>
        </w:tc>
      </w:tr>
      <w:tr w14:paraId="2FDF29E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511" w:type="pct"/>
            <w:vAlign w:val="center"/>
          </w:tcPr>
          <w:p w14:paraId="1FDF280B">
            <w:pPr>
              <w:spacing w:line="240" w:lineRule="auto"/>
              <w:jc w:val="center"/>
              <w:rPr>
                <w:rFonts w:ascii="Times New Roman" w:hAnsi="Times New Roman"/>
                <w:sz w:val="18"/>
              </w:rPr>
            </w:pPr>
            <w:r>
              <w:rPr>
                <w:rFonts w:ascii="Times New Roman" w:hAnsi="Times New Roman"/>
                <w:sz w:val="18"/>
              </w:rPr>
              <w:t>氨基酸 /%</w:t>
            </w:r>
          </w:p>
        </w:tc>
        <w:tc>
          <w:tcPr>
            <w:tcW w:w="2489" w:type="pct"/>
            <w:vAlign w:val="center"/>
          </w:tcPr>
          <w:p w14:paraId="4F0FE55E">
            <w:pPr>
              <w:spacing w:line="240" w:lineRule="auto"/>
              <w:jc w:val="center"/>
              <w:rPr>
                <w:rFonts w:ascii="Times New Roman" w:hAnsi="Times New Roman"/>
                <w:sz w:val="18"/>
              </w:rPr>
            </w:pPr>
            <w:r>
              <w:rPr>
                <w:rFonts w:ascii="Times New Roman" w:hAnsi="Times New Roman"/>
                <w:sz w:val="18"/>
              </w:rPr>
              <w:t>≥0.2</w:t>
            </w:r>
          </w:p>
        </w:tc>
      </w:tr>
      <w:tr w14:paraId="2C4ED0A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511" w:type="pct"/>
            <w:vAlign w:val="center"/>
          </w:tcPr>
          <w:p w14:paraId="1F576C32">
            <w:pPr>
              <w:spacing w:line="240" w:lineRule="auto"/>
              <w:jc w:val="center"/>
              <w:rPr>
                <w:rFonts w:ascii="Times New Roman" w:hAnsi="Times New Roman"/>
                <w:sz w:val="18"/>
              </w:rPr>
            </w:pPr>
            <w:r>
              <w:rPr>
                <w:rFonts w:ascii="Times New Roman" w:hAnsi="Times New Roman"/>
                <w:sz w:val="18"/>
              </w:rPr>
              <w:t>有机酸</w:t>
            </w:r>
            <w:r>
              <w:rPr>
                <w:rFonts w:hint="eastAsia" w:ascii="Times New Roman" w:hAnsi="Times New Roman"/>
                <w:sz w:val="18"/>
                <w:lang w:eastAsia="zh-CN"/>
              </w:rPr>
              <w:t>（</w:t>
            </w:r>
            <w:r>
              <w:rPr>
                <w:rFonts w:hint="eastAsia" w:ascii="Times New Roman" w:hAnsi="Times New Roman"/>
                <w:sz w:val="18"/>
              </w:rPr>
              <w:t>以乳酸计</w:t>
            </w:r>
            <w:r>
              <w:rPr>
                <w:rFonts w:hint="eastAsia" w:ascii="Times New Roman" w:hAnsi="Times New Roman"/>
                <w:sz w:val="18"/>
                <w:lang w:eastAsia="zh-CN"/>
              </w:rPr>
              <w:t>）</w:t>
            </w:r>
            <w:r>
              <w:rPr>
                <w:rFonts w:ascii="Times New Roman" w:hAnsi="Times New Roman"/>
                <w:sz w:val="18"/>
              </w:rPr>
              <w:t>/%</w:t>
            </w:r>
          </w:p>
        </w:tc>
        <w:tc>
          <w:tcPr>
            <w:tcW w:w="2489" w:type="pct"/>
            <w:vAlign w:val="center"/>
          </w:tcPr>
          <w:p w14:paraId="77DE7581">
            <w:pPr>
              <w:spacing w:line="240" w:lineRule="auto"/>
              <w:jc w:val="center"/>
              <w:rPr>
                <w:rFonts w:ascii="Times New Roman" w:hAnsi="Times New Roman"/>
                <w:sz w:val="18"/>
              </w:rPr>
            </w:pPr>
            <w:r>
              <w:rPr>
                <w:rFonts w:ascii="Times New Roman" w:hAnsi="Times New Roman"/>
                <w:sz w:val="18"/>
              </w:rPr>
              <w:t>≥2</w:t>
            </w:r>
          </w:p>
        </w:tc>
      </w:tr>
      <w:tr w14:paraId="07C78D3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511" w:type="pct"/>
            <w:vAlign w:val="center"/>
          </w:tcPr>
          <w:p w14:paraId="66A8253B">
            <w:pPr>
              <w:spacing w:line="240" w:lineRule="auto"/>
              <w:jc w:val="center"/>
              <w:rPr>
                <w:rFonts w:ascii="Times New Roman" w:hAnsi="Times New Roman"/>
                <w:sz w:val="18"/>
              </w:rPr>
            </w:pPr>
            <w:r>
              <w:rPr>
                <w:rFonts w:ascii="Times New Roman" w:hAnsi="Times New Roman"/>
                <w:sz w:val="18"/>
              </w:rPr>
              <w:t>氯化物（Cl⁻）的质量分数 /%</w:t>
            </w:r>
          </w:p>
        </w:tc>
        <w:tc>
          <w:tcPr>
            <w:tcW w:w="2489" w:type="pct"/>
            <w:vAlign w:val="center"/>
          </w:tcPr>
          <w:p w14:paraId="5BA944F7">
            <w:pPr>
              <w:spacing w:line="240" w:lineRule="auto"/>
              <w:jc w:val="center"/>
              <w:rPr>
                <w:rFonts w:ascii="Times New Roman" w:hAnsi="Times New Roman"/>
                <w:sz w:val="18"/>
              </w:rPr>
            </w:pPr>
            <w:r>
              <w:rPr>
                <w:rFonts w:ascii="Times New Roman" w:hAnsi="Times New Roman"/>
                <w:sz w:val="18"/>
              </w:rPr>
              <w:t>≤0.6</w:t>
            </w:r>
          </w:p>
        </w:tc>
      </w:tr>
      <w:tr w14:paraId="7AD8F7B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511" w:type="pct"/>
            <w:vAlign w:val="center"/>
          </w:tcPr>
          <w:p w14:paraId="0D81A737">
            <w:pPr>
              <w:spacing w:line="240" w:lineRule="auto"/>
              <w:jc w:val="center"/>
              <w:rPr>
                <w:rFonts w:ascii="Times New Roman" w:hAnsi="Times New Roman"/>
                <w:sz w:val="18"/>
              </w:rPr>
            </w:pPr>
            <w:r>
              <w:rPr>
                <w:rFonts w:ascii="Times New Roman" w:hAnsi="Times New Roman"/>
                <w:sz w:val="18"/>
              </w:rPr>
              <w:t>总磷（以 P 计）的质量分数 /%</w:t>
            </w:r>
          </w:p>
        </w:tc>
        <w:tc>
          <w:tcPr>
            <w:tcW w:w="2489" w:type="pct"/>
            <w:vAlign w:val="center"/>
          </w:tcPr>
          <w:p w14:paraId="41F8A4D9">
            <w:pPr>
              <w:spacing w:line="240" w:lineRule="auto"/>
              <w:jc w:val="center"/>
              <w:rPr>
                <w:rFonts w:ascii="Times New Roman" w:hAnsi="Times New Roman"/>
                <w:sz w:val="18"/>
              </w:rPr>
            </w:pPr>
            <w:r>
              <w:rPr>
                <w:rFonts w:ascii="Times New Roman" w:hAnsi="Times New Roman"/>
                <w:sz w:val="18"/>
              </w:rPr>
              <w:t>≤0.06</w:t>
            </w:r>
          </w:p>
        </w:tc>
      </w:tr>
      <w:tr w14:paraId="2AC0367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511" w:type="pct"/>
            <w:vAlign w:val="center"/>
          </w:tcPr>
          <w:p w14:paraId="70A3197D">
            <w:pPr>
              <w:spacing w:line="240" w:lineRule="auto"/>
              <w:jc w:val="center"/>
              <w:rPr>
                <w:rFonts w:ascii="Times New Roman" w:hAnsi="Times New Roman"/>
                <w:sz w:val="18"/>
              </w:rPr>
            </w:pPr>
            <w:r>
              <w:rPr>
                <w:rFonts w:ascii="Times New Roman" w:hAnsi="Times New Roman"/>
                <w:sz w:val="18"/>
              </w:rPr>
              <w:t>总氮（以 N 计）的质量分数 /%</w:t>
            </w:r>
          </w:p>
        </w:tc>
        <w:tc>
          <w:tcPr>
            <w:tcW w:w="2489" w:type="pct"/>
            <w:vAlign w:val="center"/>
          </w:tcPr>
          <w:p w14:paraId="3C15C8AC">
            <w:pPr>
              <w:spacing w:line="240" w:lineRule="auto"/>
              <w:jc w:val="center"/>
              <w:rPr>
                <w:rFonts w:ascii="Times New Roman" w:hAnsi="Times New Roman"/>
                <w:sz w:val="18"/>
              </w:rPr>
            </w:pPr>
            <w:r>
              <w:rPr>
                <w:rFonts w:ascii="Times New Roman" w:hAnsi="Times New Roman"/>
                <w:sz w:val="18"/>
              </w:rPr>
              <w:t>≤0.6</w:t>
            </w:r>
          </w:p>
        </w:tc>
      </w:tr>
      <w:tr w14:paraId="53E5ECF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511" w:type="pct"/>
            <w:vAlign w:val="center"/>
          </w:tcPr>
          <w:p w14:paraId="2AF7489B">
            <w:pPr>
              <w:spacing w:line="240" w:lineRule="auto"/>
              <w:jc w:val="center"/>
              <w:rPr>
                <w:rFonts w:ascii="Times New Roman" w:hAnsi="Times New Roman"/>
                <w:sz w:val="18"/>
              </w:rPr>
            </w:pPr>
            <w:r>
              <w:rPr>
                <w:rFonts w:ascii="Times New Roman" w:hAnsi="Times New Roman"/>
                <w:sz w:val="18"/>
              </w:rPr>
              <w:t>汞（Hg）含量 mg/L</w:t>
            </w:r>
          </w:p>
        </w:tc>
        <w:tc>
          <w:tcPr>
            <w:tcW w:w="2489" w:type="pct"/>
            <w:vAlign w:val="center"/>
          </w:tcPr>
          <w:p w14:paraId="6BA92B10">
            <w:pPr>
              <w:spacing w:line="240" w:lineRule="auto"/>
              <w:jc w:val="center"/>
              <w:rPr>
                <w:rFonts w:ascii="Times New Roman" w:hAnsi="Times New Roman"/>
                <w:sz w:val="18"/>
              </w:rPr>
            </w:pPr>
            <w:r>
              <w:rPr>
                <w:rFonts w:ascii="Times New Roman" w:hAnsi="Times New Roman"/>
                <w:sz w:val="18"/>
              </w:rPr>
              <w:t>≤0.2</w:t>
            </w:r>
          </w:p>
        </w:tc>
      </w:tr>
      <w:tr w14:paraId="39BEB75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511" w:type="pct"/>
            <w:vAlign w:val="center"/>
          </w:tcPr>
          <w:p w14:paraId="36C085CA">
            <w:pPr>
              <w:spacing w:line="240" w:lineRule="auto"/>
              <w:jc w:val="center"/>
              <w:rPr>
                <w:rFonts w:ascii="Times New Roman" w:hAnsi="Times New Roman"/>
                <w:sz w:val="18"/>
              </w:rPr>
            </w:pPr>
            <w:r>
              <w:rPr>
                <w:rFonts w:ascii="Times New Roman" w:hAnsi="Times New Roman"/>
                <w:sz w:val="18"/>
              </w:rPr>
              <w:t>镉（Cd）含量 mg/L</w:t>
            </w:r>
          </w:p>
        </w:tc>
        <w:tc>
          <w:tcPr>
            <w:tcW w:w="2489" w:type="pct"/>
            <w:vAlign w:val="center"/>
          </w:tcPr>
          <w:p w14:paraId="12D969DB">
            <w:pPr>
              <w:spacing w:line="240" w:lineRule="auto"/>
              <w:jc w:val="center"/>
              <w:rPr>
                <w:rFonts w:ascii="Times New Roman" w:hAnsi="Times New Roman"/>
                <w:sz w:val="18"/>
              </w:rPr>
            </w:pPr>
            <w:r>
              <w:rPr>
                <w:rFonts w:ascii="Times New Roman" w:hAnsi="Times New Roman"/>
                <w:sz w:val="18"/>
              </w:rPr>
              <w:t>≤</w:t>
            </w:r>
            <w:r>
              <w:rPr>
                <w:rFonts w:hint="eastAsia" w:ascii="Times New Roman" w:hAnsi="Times New Roman"/>
                <w:sz w:val="18"/>
              </w:rPr>
              <w:t>1</w:t>
            </w:r>
          </w:p>
        </w:tc>
      </w:tr>
      <w:tr w14:paraId="483859D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511" w:type="pct"/>
            <w:vAlign w:val="center"/>
          </w:tcPr>
          <w:p w14:paraId="648D95EB">
            <w:pPr>
              <w:spacing w:line="240" w:lineRule="auto"/>
              <w:jc w:val="center"/>
              <w:rPr>
                <w:rFonts w:ascii="Times New Roman" w:hAnsi="Times New Roman"/>
                <w:sz w:val="18"/>
              </w:rPr>
            </w:pPr>
            <w:r>
              <w:rPr>
                <w:rFonts w:ascii="Times New Roman" w:hAnsi="Times New Roman"/>
                <w:sz w:val="18"/>
              </w:rPr>
              <w:t>铬（Cr）含量 mg/L</w:t>
            </w:r>
          </w:p>
        </w:tc>
        <w:tc>
          <w:tcPr>
            <w:tcW w:w="2489" w:type="pct"/>
            <w:vAlign w:val="center"/>
          </w:tcPr>
          <w:p w14:paraId="26BD537B">
            <w:pPr>
              <w:spacing w:line="240" w:lineRule="auto"/>
              <w:jc w:val="center"/>
              <w:rPr>
                <w:rFonts w:ascii="Times New Roman" w:hAnsi="Times New Roman"/>
                <w:sz w:val="18"/>
              </w:rPr>
            </w:pPr>
            <w:r>
              <w:rPr>
                <w:rFonts w:ascii="Times New Roman" w:hAnsi="Times New Roman"/>
                <w:sz w:val="18"/>
              </w:rPr>
              <w:t>≤</w:t>
            </w:r>
            <w:r>
              <w:rPr>
                <w:rFonts w:hint="eastAsia" w:ascii="Times New Roman" w:hAnsi="Times New Roman"/>
                <w:sz w:val="18"/>
              </w:rPr>
              <w:t>2</w:t>
            </w:r>
          </w:p>
        </w:tc>
      </w:tr>
      <w:tr w14:paraId="50B38E9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511" w:type="pct"/>
            <w:vAlign w:val="center"/>
          </w:tcPr>
          <w:p w14:paraId="34DC7EBA">
            <w:pPr>
              <w:spacing w:line="240" w:lineRule="auto"/>
              <w:jc w:val="center"/>
              <w:rPr>
                <w:rFonts w:ascii="Times New Roman" w:hAnsi="Times New Roman"/>
                <w:sz w:val="18"/>
              </w:rPr>
            </w:pPr>
            <w:r>
              <w:rPr>
                <w:rFonts w:ascii="Times New Roman" w:hAnsi="Times New Roman"/>
                <w:sz w:val="18"/>
              </w:rPr>
              <w:t>砷（As）含量 mg/L</w:t>
            </w:r>
          </w:p>
        </w:tc>
        <w:tc>
          <w:tcPr>
            <w:tcW w:w="2489" w:type="pct"/>
            <w:vAlign w:val="center"/>
          </w:tcPr>
          <w:p w14:paraId="09F680B0">
            <w:pPr>
              <w:spacing w:line="240" w:lineRule="auto"/>
              <w:jc w:val="center"/>
              <w:rPr>
                <w:rFonts w:ascii="Times New Roman" w:hAnsi="Times New Roman"/>
                <w:sz w:val="18"/>
              </w:rPr>
            </w:pPr>
            <w:r>
              <w:rPr>
                <w:rFonts w:ascii="Times New Roman" w:hAnsi="Times New Roman"/>
                <w:sz w:val="18"/>
              </w:rPr>
              <w:t>≤</w:t>
            </w:r>
            <w:r>
              <w:rPr>
                <w:rFonts w:hint="eastAsia" w:ascii="Times New Roman" w:hAnsi="Times New Roman"/>
                <w:sz w:val="18"/>
              </w:rPr>
              <w:t>2</w:t>
            </w:r>
          </w:p>
        </w:tc>
      </w:tr>
      <w:tr w14:paraId="5A23DFB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511" w:type="pct"/>
            <w:vAlign w:val="center"/>
          </w:tcPr>
          <w:p w14:paraId="13732376">
            <w:pPr>
              <w:spacing w:line="240" w:lineRule="auto"/>
              <w:jc w:val="center"/>
              <w:rPr>
                <w:rFonts w:ascii="Times New Roman" w:hAnsi="Times New Roman"/>
                <w:sz w:val="18"/>
              </w:rPr>
            </w:pPr>
            <w:r>
              <w:rPr>
                <w:rFonts w:ascii="Times New Roman" w:hAnsi="Times New Roman"/>
                <w:sz w:val="18"/>
              </w:rPr>
              <w:t>铅（Pb）含量 mg/L</w:t>
            </w:r>
          </w:p>
        </w:tc>
        <w:tc>
          <w:tcPr>
            <w:tcW w:w="2489" w:type="pct"/>
            <w:vAlign w:val="center"/>
          </w:tcPr>
          <w:p w14:paraId="43241419">
            <w:pPr>
              <w:spacing w:line="240" w:lineRule="auto"/>
              <w:jc w:val="center"/>
              <w:rPr>
                <w:rFonts w:ascii="Times New Roman" w:hAnsi="Times New Roman"/>
                <w:sz w:val="18"/>
              </w:rPr>
            </w:pPr>
            <w:r>
              <w:rPr>
                <w:rFonts w:ascii="Times New Roman" w:hAnsi="Times New Roman"/>
                <w:sz w:val="18"/>
              </w:rPr>
              <w:t>≤</w:t>
            </w:r>
            <w:r>
              <w:rPr>
                <w:rFonts w:hint="eastAsia" w:ascii="Times New Roman" w:hAnsi="Times New Roman"/>
                <w:sz w:val="18"/>
              </w:rPr>
              <w:t>2</w:t>
            </w:r>
          </w:p>
        </w:tc>
      </w:tr>
      <w:tr w14:paraId="172C2DC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rHeight w:val="613" w:hRule="atLeast"/>
          <w:jc w:val="center"/>
        </w:trPr>
        <w:tc>
          <w:tcPr>
            <w:tcW w:w="5000" w:type="pct"/>
            <w:gridSpan w:val="2"/>
            <w:vAlign w:val="center"/>
          </w:tcPr>
          <w:p w14:paraId="081B377B">
            <w:pPr>
              <w:spacing w:line="240" w:lineRule="auto"/>
              <w:ind w:firstLine="360" w:firstLineChars="200"/>
              <w:jc w:val="left"/>
              <w:rPr>
                <w:rFonts w:ascii="Times New Roman" w:hAnsi="Times New Roman"/>
                <w:sz w:val="18"/>
              </w:rPr>
            </w:pPr>
            <w:r>
              <w:rPr>
                <w:rFonts w:hint="eastAsia" w:ascii="Times New Roman" w:hAnsi="Times New Roman"/>
                <w:sz w:val="18"/>
              </w:rPr>
              <w:t>表中产品的总磷、总氮、氯化物、重金属均按化学需氧量（CODcr）为</w:t>
            </w:r>
            <w:r>
              <w:rPr>
                <w:rFonts w:ascii="Times New Roman" w:hAnsi="Times New Roman"/>
                <w:sz w:val="18"/>
              </w:rPr>
              <w:t>1.5×10⁵</w:t>
            </w:r>
            <w:r>
              <w:rPr>
                <w:rFonts w:hint="eastAsia" w:ascii="Times New Roman" w:hAnsi="Times New Roman"/>
                <w:sz w:val="18"/>
              </w:rPr>
              <w:t>mg/L计，CODcr&gt;</w:t>
            </w:r>
            <w:r>
              <w:rPr>
                <w:rFonts w:ascii="Times New Roman" w:hAnsi="Times New Roman"/>
                <w:sz w:val="18"/>
              </w:rPr>
              <w:t>1.5×10⁵</w:t>
            </w:r>
            <w:r>
              <w:rPr>
                <w:rFonts w:hint="eastAsia" w:ascii="Times New Roman" w:hAnsi="Times New Roman"/>
                <w:sz w:val="18"/>
              </w:rPr>
              <w:t>mg/L时按实际化学需氧量折算成CODcr为</w:t>
            </w:r>
            <w:r>
              <w:rPr>
                <w:rFonts w:ascii="Times New Roman" w:hAnsi="Times New Roman"/>
                <w:sz w:val="18"/>
              </w:rPr>
              <w:t>1.5×10⁵</w:t>
            </w:r>
            <w:r>
              <w:rPr>
                <w:rFonts w:hint="eastAsia" w:ascii="Times New Roman" w:hAnsi="Times New Roman"/>
                <w:sz w:val="18"/>
              </w:rPr>
              <w:t>mg/L产品比例计算出相应的质量分数。</w:t>
            </w:r>
          </w:p>
        </w:tc>
      </w:tr>
    </w:tbl>
    <w:p w14:paraId="202F6B9E">
      <w:pPr>
        <w:pStyle w:val="56"/>
        <w:ind w:firstLine="199" w:firstLineChars="95"/>
      </w:pPr>
    </w:p>
    <w:p w14:paraId="7598DBB1">
      <w:pPr>
        <w:pStyle w:val="65"/>
        <w:spacing w:before="120" w:after="120"/>
        <w:rPr>
          <w:rFonts w:ascii="Times New Roman"/>
        </w:rPr>
      </w:pPr>
      <w:r>
        <w:rPr>
          <w:rFonts w:hint="eastAsia" w:ascii="Times New Roman"/>
          <w:lang w:val="en-US" w:eastAsia="zh-CN"/>
        </w:rPr>
        <w:t>安全指标</w:t>
      </w:r>
    </w:p>
    <w:p w14:paraId="337B9E69">
      <w:pPr>
        <w:pStyle w:val="56"/>
        <w:ind w:firstLine="420"/>
      </w:pPr>
      <w:r>
        <w:t>生物质碳源的安全性能指标应符合表2的要求。</w:t>
      </w:r>
    </w:p>
    <w:p w14:paraId="3200F6A6">
      <w:pPr>
        <w:pStyle w:val="56"/>
        <w:ind w:firstLine="420"/>
      </w:pPr>
    </w:p>
    <w:p w14:paraId="3778A7DA">
      <w:pPr>
        <w:pStyle w:val="56"/>
        <w:ind w:firstLine="420"/>
      </w:pPr>
    </w:p>
    <w:p w14:paraId="65D870CD">
      <w:pPr>
        <w:pStyle w:val="56"/>
        <w:ind w:firstLine="420"/>
      </w:pPr>
    </w:p>
    <w:p w14:paraId="2878DF10">
      <w:pPr>
        <w:pStyle w:val="112"/>
        <w:spacing w:before="120" w:after="120"/>
        <w:rPr>
          <w:rFonts w:ascii="Times New Roman"/>
        </w:rPr>
      </w:pPr>
      <w:r>
        <w:rPr>
          <w:rFonts w:ascii="Times New Roman"/>
        </w:rPr>
        <w:t>生物质碳源产品安全指标要求</w:t>
      </w:r>
    </w:p>
    <w:tbl>
      <w:tblPr>
        <w:tblStyle w:val="2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0" w:type="dxa"/>
          <w:bottom w:w="0" w:type="dxa"/>
          <w:right w:w="100" w:type="dxa"/>
        </w:tblCellMar>
      </w:tblPr>
      <w:tblGrid>
        <w:gridCol w:w="4667"/>
        <w:gridCol w:w="4667"/>
      </w:tblGrid>
      <w:tr w14:paraId="2D0A194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blHeader/>
          <w:jc w:val="center"/>
        </w:trPr>
        <w:tc>
          <w:tcPr>
            <w:tcW w:w="4667" w:type="dxa"/>
            <w:tcBorders>
              <w:bottom w:val="single" w:color="auto" w:sz="8" w:space="0"/>
            </w:tcBorders>
            <w:vAlign w:val="center"/>
          </w:tcPr>
          <w:p w14:paraId="40123624">
            <w:pPr>
              <w:spacing w:line="240" w:lineRule="auto"/>
              <w:jc w:val="center"/>
              <w:rPr>
                <w:rFonts w:ascii="Times New Roman" w:hAnsi="Times New Roman"/>
                <w:b/>
                <w:bCs/>
                <w:sz w:val="18"/>
              </w:rPr>
            </w:pPr>
            <w:r>
              <w:rPr>
                <w:rFonts w:ascii="Times New Roman" w:hAnsi="Times New Roman"/>
                <w:b/>
                <w:bCs/>
                <w:sz w:val="18"/>
              </w:rPr>
              <w:t>环境安全控制指标</w:t>
            </w:r>
          </w:p>
        </w:tc>
        <w:tc>
          <w:tcPr>
            <w:tcW w:w="4667" w:type="dxa"/>
            <w:tcBorders>
              <w:bottom w:val="single" w:color="auto" w:sz="8" w:space="0"/>
            </w:tcBorders>
            <w:vAlign w:val="center"/>
          </w:tcPr>
          <w:p w14:paraId="15B3C7F1">
            <w:pPr>
              <w:spacing w:line="240" w:lineRule="auto"/>
              <w:jc w:val="center"/>
              <w:rPr>
                <w:rFonts w:ascii="Times New Roman" w:hAnsi="Times New Roman"/>
                <w:b/>
                <w:bCs/>
                <w:sz w:val="18"/>
              </w:rPr>
            </w:pPr>
            <w:r>
              <w:rPr>
                <w:rFonts w:ascii="Times New Roman" w:hAnsi="Times New Roman"/>
                <w:b/>
                <w:bCs/>
                <w:sz w:val="18"/>
              </w:rPr>
              <w:t>指标</w:t>
            </w:r>
          </w:p>
        </w:tc>
      </w:tr>
      <w:tr w14:paraId="1102A83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4667" w:type="dxa"/>
            <w:tcBorders>
              <w:top w:val="single" w:color="auto" w:sz="8" w:space="0"/>
              <w:bottom w:val="single" w:color="auto" w:sz="8" w:space="0"/>
            </w:tcBorders>
            <w:vAlign w:val="center"/>
          </w:tcPr>
          <w:p w14:paraId="7777AEFF">
            <w:pPr>
              <w:spacing w:line="240" w:lineRule="auto"/>
              <w:jc w:val="center"/>
              <w:rPr>
                <w:rFonts w:ascii="Times New Roman" w:hAnsi="Times New Roman"/>
                <w:sz w:val="18"/>
              </w:rPr>
            </w:pPr>
            <w:r>
              <w:rPr>
                <w:rFonts w:ascii="Times New Roman" w:hAnsi="Times New Roman"/>
                <w:sz w:val="18"/>
              </w:rPr>
              <w:t>易燃易爆危险性，闪点 /℃</w:t>
            </w:r>
          </w:p>
        </w:tc>
        <w:tc>
          <w:tcPr>
            <w:tcW w:w="4667" w:type="dxa"/>
            <w:tcBorders>
              <w:top w:val="single" w:color="auto" w:sz="8" w:space="0"/>
              <w:bottom w:val="single" w:color="auto" w:sz="8" w:space="0"/>
            </w:tcBorders>
            <w:vAlign w:val="center"/>
          </w:tcPr>
          <w:p w14:paraId="45816B6A">
            <w:pPr>
              <w:spacing w:line="240" w:lineRule="auto"/>
              <w:jc w:val="center"/>
              <w:rPr>
                <w:rFonts w:ascii="Times New Roman" w:hAnsi="Times New Roman"/>
                <w:sz w:val="18"/>
              </w:rPr>
            </w:pPr>
            <w:r>
              <w:rPr>
                <w:rFonts w:hint="eastAsia" w:ascii="Times New Roman" w:hAnsi="Times New Roman"/>
                <w:sz w:val="18"/>
              </w:rPr>
              <w:t>&gt;60</w:t>
            </w:r>
            <w:r>
              <w:rPr>
                <w:rFonts w:ascii="Times New Roman" w:hAnsi="Times New Roman"/>
                <w:sz w:val="18"/>
              </w:rPr>
              <w:t>.0</w:t>
            </w:r>
          </w:p>
        </w:tc>
      </w:tr>
      <w:tr w14:paraId="7CE67C7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4667" w:type="dxa"/>
            <w:tcBorders>
              <w:top w:val="single" w:color="auto" w:sz="8" w:space="0"/>
            </w:tcBorders>
            <w:vAlign w:val="center"/>
          </w:tcPr>
          <w:p w14:paraId="57929D43">
            <w:pPr>
              <w:spacing w:line="240" w:lineRule="auto"/>
              <w:jc w:val="center"/>
              <w:rPr>
                <w:rFonts w:ascii="Times New Roman" w:hAnsi="Times New Roman"/>
                <w:sz w:val="18"/>
              </w:rPr>
            </w:pPr>
            <w:r>
              <w:rPr>
                <w:sz w:val="18"/>
              </w:rPr>
              <w:t>金属腐蚀速率 /（mm/a）</w:t>
            </w:r>
          </w:p>
        </w:tc>
        <w:tc>
          <w:tcPr>
            <w:tcW w:w="4667" w:type="dxa"/>
            <w:tcBorders>
              <w:top w:val="single" w:color="auto" w:sz="8" w:space="0"/>
            </w:tcBorders>
            <w:vAlign w:val="center"/>
          </w:tcPr>
          <w:p w14:paraId="2EA7F81F">
            <w:pPr>
              <w:spacing w:line="240" w:lineRule="auto"/>
              <w:jc w:val="center"/>
              <w:rPr>
                <w:rFonts w:ascii="Times New Roman" w:hAnsi="Times New Roman"/>
                <w:sz w:val="18"/>
              </w:rPr>
            </w:pPr>
            <w:r>
              <w:rPr>
                <w:sz w:val="18"/>
              </w:rPr>
              <w:t>≤6.</w:t>
            </w:r>
            <w:r>
              <w:rPr>
                <w:rFonts w:hint="eastAsia"/>
                <w:sz w:val="18"/>
              </w:rPr>
              <w:t>2</w:t>
            </w:r>
            <w:r>
              <w:rPr>
                <w:sz w:val="18"/>
              </w:rPr>
              <w:t>5</w:t>
            </w:r>
          </w:p>
        </w:tc>
      </w:tr>
    </w:tbl>
    <w:p w14:paraId="0B537AA4">
      <w:pPr>
        <w:pStyle w:val="56"/>
        <w:ind w:firstLine="420"/>
      </w:pPr>
    </w:p>
    <w:p w14:paraId="2E21D079">
      <w:pPr>
        <w:pStyle w:val="104"/>
        <w:spacing w:before="240" w:after="240"/>
        <w:rPr>
          <w:rFonts w:ascii="Times New Roman"/>
        </w:rPr>
      </w:pPr>
      <w:bookmarkStart w:id="60" w:name="_Toc5825"/>
      <w:bookmarkStart w:id="61" w:name="_Toc22482"/>
      <w:r>
        <w:rPr>
          <w:rFonts w:ascii="Times New Roman"/>
        </w:rPr>
        <w:t>采样</w:t>
      </w:r>
      <w:bookmarkEnd w:id="60"/>
      <w:bookmarkEnd w:id="61"/>
    </w:p>
    <w:p w14:paraId="62478CA8">
      <w:pPr>
        <w:pStyle w:val="105"/>
        <w:spacing w:before="120" w:after="120"/>
        <w:rPr>
          <w:rFonts w:ascii="Times New Roman"/>
        </w:rPr>
      </w:pPr>
      <w:bookmarkStart w:id="62" w:name="_Toc31080"/>
      <w:bookmarkStart w:id="63" w:name="_Toc6169"/>
      <w:r>
        <w:rPr>
          <w:rFonts w:ascii="Times New Roman"/>
        </w:rPr>
        <w:t>采样单元</w:t>
      </w:r>
      <w:bookmarkEnd w:id="62"/>
      <w:bookmarkEnd w:id="63"/>
    </w:p>
    <w:p w14:paraId="6DEBF14B">
      <w:pPr>
        <w:pStyle w:val="56"/>
        <w:ind w:firstLine="420"/>
      </w:pPr>
      <w:r>
        <w:t>产品按GB/T 6678规定确定采样单位，以同配方、同工艺、同班次所生产的产品为一批次。每批次产品应不超过50 t。</w:t>
      </w:r>
    </w:p>
    <w:p w14:paraId="0F94ADC1">
      <w:pPr>
        <w:pStyle w:val="105"/>
        <w:spacing w:before="120" w:after="120"/>
        <w:rPr>
          <w:rFonts w:ascii="Times New Roman"/>
        </w:rPr>
      </w:pPr>
      <w:bookmarkStart w:id="64" w:name="_Toc25615"/>
      <w:bookmarkStart w:id="65" w:name="_Toc8575"/>
      <w:r>
        <w:rPr>
          <w:rFonts w:ascii="Times New Roman"/>
        </w:rPr>
        <w:t>采样</w:t>
      </w:r>
      <w:bookmarkEnd w:id="64"/>
      <w:bookmarkEnd w:id="65"/>
    </w:p>
    <w:p w14:paraId="55DA80FB">
      <w:pPr>
        <w:pStyle w:val="56"/>
        <w:ind w:firstLine="420"/>
      </w:pPr>
      <w:r>
        <w:t>对所采样的产品，从产品中取出不少于300 mL的样品，分装于两只清洁、干燥的玻璃瓶中，密封。</w:t>
      </w:r>
    </w:p>
    <w:p w14:paraId="3A92FC0B">
      <w:pPr>
        <w:pStyle w:val="105"/>
        <w:spacing w:before="120" w:after="120"/>
        <w:rPr>
          <w:rFonts w:ascii="Times New Roman"/>
        </w:rPr>
      </w:pPr>
      <w:bookmarkStart w:id="66" w:name="_Toc5121"/>
      <w:bookmarkStart w:id="67" w:name="_Toc17541"/>
      <w:r>
        <w:rPr>
          <w:rFonts w:ascii="Times New Roman"/>
        </w:rPr>
        <w:t>样品保存</w:t>
      </w:r>
      <w:bookmarkEnd w:id="66"/>
      <w:bookmarkEnd w:id="67"/>
    </w:p>
    <w:p w14:paraId="33DC0A30">
      <w:pPr>
        <w:pStyle w:val="56"/>
        <w:ind w:firstLine="420"/>
      </w:pPr>
      <w:r>
        <w:t>在密封的样品瓶上粘上标签，注明：生产厂名、产品名称、批号、采样日期和采样者姓名。一瓶供检验用，另一瓶保存三个月备用。</w:t>
      </w:r>
    </w:p>
    <w:p w14:paraId="1B7FA543">
      <w:pPr>
        <w:pStyle w:val="104"/>
        <w:spacing w:before="240" w:after="240"/>
        <w:rPr>
          <w:rFonts w:ascii="Times New Roman"/>
        </w:rPr>
      </w:pPr>
      <w:bookmarkStart w:id="68" w:name="_Toc23065"/>
      <w:bookmarkStart w:id="69" w:name="_Toc10048"/>
      <w:r>
        <w:rPr>
          <w:rFonts w:ascii="Times New Roman"/>
        </w:rPr>
        <w:t>检测方法</w:t>
      </w:r>
      <w:bookmarkEnd w:id="68"/>
      <w:bookmarkEnd w:id="69"/>
    </w:p>
    <w:p w14:paraId="0AF3BC4E">
      <w:pPr>
        <w:pStyle w:val="105"/>
        <w:spacing w:before="120" w:after="120"/>
        <w:rPr>
          <w:rFonts w:ascii="Times New Roman"/>
        </w:rPr>
      </w:pPr>
      <w:bookmarkStart w:id="70" w:name="_Toc4532"/>
      <w:bookmarkStart w:id="71" w:name="_Toc666"/>
      <w:r>
        <w:rPr>
          <w:rFonts w:ascii="Times New Roman"/>
        </w:rPr>
        <w:t>基本要求</w:t>
      </w:r>
      <w:bookmarkEnd w:id="70"/>
      <w:bookmarkEnd w:id="71"/>
    </w:p>
    <w:p w14:paraId="438BC252">
      <w:pPr>
        <w:pStyle w:val="56"/>
        <w:ind w:firstLine="420"/>
      </w:pPr>
      <w:r>
        <w:t>本标准中所用试剂和水，在没有注明其他要求时，均指分析纯试剂和GB/T 6682中规定的三级水。试验中所用标准滴定溶液、杂质测定用标准溶液、制剂及制品，在没有注明其他要求时，均按GB/T、GB/T、GB/T 603</w:t>
      </w:r>
      <w:r>
        <w:rPr>
          <w:rFonts w:hint="eastAsia"/>
        </w:rPr>
        <w:t xml:space="preserve"> </w:t>
      </w:r>
      <w:r>
        <w:t>的规定制备。所用溶液在未注明用何种溶剂配制时，均指水溶液。</w:t>
      </w:r>
    </w:p>
    <w:p w14:paraId="63AA904A">
      <w:pPr>
        <w:pStyle w:val="105"/>
        <w:spacing w:before="120" w:after="120"/>
        <w:rPr>
          <w:rFonts w:ascii="Times New Roman"/>
        </w:rPr>
      </w:pPr>
      <w:bookmarkStart w:id="72" w:name="_Toc27179"/>
      <w:bookmarkStart w:id="73" w:name="_Toc28960"/>
      <w:r>
        <w:rPr>
          <w:rFonts w:ascii="Times New Roman"/>
        </w:rPr>
        <w:t>外观和气味</w:t>
      </w:r>
      <w:bookmarkEnd w:id="72"/>
      <w:bookmarkEnd w:id="73"/>
    </w:p>
    <w:p w14:paraId="216E522F">
      <w:pPr>
        <w:pStyle w:val="56"/>
        <w:ind w:firstLine="420"/>
      </w:pPr>
      <w:r>
        <w:t>在自然光下于白色背景的表面上观察，应有浅黄色，有轻微的发酵酸味。</w:t>
      </w:r>
    </w:p>
    <w:p w14:paraId="20538CC0">
      <w:pPr>
        <w:pStyle w:val="105"/>
        <w:spacing w:before="120" w:after="120"/>
        <w:rPr>
          <w:rFonts w:ascii="Times New Roman"/>
        </w:rPr>
      </w:pPr>
      <w:bookmarkStart w:id="74" w:name="_Toc16958"/>
      <w:bookmarkStart w:id="75" w:name="_Toc19485"/>
      <w:r>
        <w:rPr>
          <w:rFonts w:ascii="Times New Roman"/>
        </w:rPr>
        <w:t>化学需氧量（CODcr）的测定</w:t>
      </w:r>
      <w:bookmarkEnd w:id="74"/>
      <w:bookmarkEnd w:id="75"/>
    </w:p>
    <w:p w14:paraId="404B53A7">
      <w:pPr>
        <w:pStyle w:val="56"/>
        <w:ind w:firstLine="420"/>
      </w:pPr>
      <w:r>
        <w:t>按照HJ 828-2017规定的方法进行测定。</w:t>
      </w:r>
    </w:p>
    <w:p w14:paraId="24D50676">
      <w:pPr>
        <w:pStyle w:val="105"/>
        <w:spacing w:before="120" w:after="120"/>
        <w:rPr>
          <w:rFonts w:ascii="Times New Roman"/>
        </w:rPr>
      </w:pPr>
      <w:bookmarkStart w:id="76" w:name="_Toc23938"/>
      <w:bookmarkStart w:id="77" w:name="_Toc26804"/>
      <w:r>
        <w:rPr>
          <w:rFonts w:ascii="Times New Roman"/>
        </w:rPr>
        <w:t>BOD₅/CODcr的测定</w:t>
      </w:r>
      <w:bookmarkEnd w:id="76"/>
      <w:bookmarkEnd w:id="77"/>
    </w:p>
    <w:p w14:paraId="1B6599B6">
      <w:pPr>
        <w:pStyle w:val="56"/>
        <w:ind w:firstLine="420"/>
      </w:pPr>
      <w:r>
        <w:t>BOD₅按照HG/T 5960-2021规定的方法进行测定，CODcr按照HJ 828-2017规定的方法进行测定，计算BOD₅与CODcr的质量浓度比。</w:t>
      </w:r>
    </w:p>
    <w:p w14:paraId="23C6A17A">
      <w:pPr>
        <w:pStyle w:val="105"/>
        <w:spacing w:before="120" w:after="120"/>
        <w:rPr>
          <w:rFonts w:ascii="Times New Roman"/>
        </w:rPr>
      </w:pPr>
      <w:bookmarkStart w:id="78" w:name="_Toc32344"/>
      <w:bookmarkStart w:id="79" w:name="_Toc29138"/>
      <w:r>
        <w:rPr>
          <w:rFonts w:ascii="Times New Roman"/>
        </w:rPr>
        <w:t>pH的测定</w:t>
      </w:r>
      <w:bookmarkEnd w:id="78"/>
      <w:bookmarkEnd w:id="79"/>
    </w:p>
    <w:p w14:paraId="162D8E4E">
      <w:pPr>
        <w:pStyle w:val="56"/>
        <w:ind w:firstLine="420"/>
      </w:pPr>
      <w:r>
        <w:t>按照GB/T 22592规定的方法进行测定。</w:t>
      </w:r>
    </w:p>
    <w:p w14:paraId="6CB8F6AA">
      <w:pPr>
        <w:pStyle w:val="105"/>
        <w:spacing w:before="120" w:after="120"/>
        <w:rPr>
          <w:rFonts w:ascii="Times New Roman"/>
        </w:rPr>
      </w:pPr>
      <w:bookmarkStart w:id="80" w:name="_Toc8992"/>
      <w:bookmarkStart w:id="81" w:name="_Toc3260"/>
      <w:r>
        <w:rPr>
          <w:rFonts w:ascii="Times New Roman"/>
        </w:rPr>
        <w:t>密度的测定</w:t>
      </w:r>
      <w:bookmarkEnd w:id="80"/>
      <w:bookmarkEnd w:id="81"/>
    </w:p>
    <w:p w14:paraId="0EDBB7AB">
      <w:pPr>
        <w:pStyle w:val="56"/>
        <w:ind w:firstLine="420"/>
      </w:pPr>
      <w:r>
        <w:t>按照GB/T 22594规定的方法进行测定。</w:t>
      </w:r>
    </w:p>
    <w:p w14:paraId="1E21E1C8">
      <w:pPr>
        <w:pStyle w:val="105"/>
        <w:spacing w:before="120" w:after="120"/>
        <w:rPr>
          <w:rFonts w:ascii="Times New Roman"/>
        </w:rPr>
      </w:pPr>
      <w:bookmarkStart w:id="82" w:name="_Toc21983"/>
      <w:bookmarkStart w:id="83" w:name="_Toc19421"/>
      <w:r>
        <w:rPr>
          <w:rFonts w:ascii="Times New Roman"/>
        </w:rPr>
        <w:t>水不溶物的测定</w:t>
      </w:r>
      <w:bookmarkEnd w:id="82"/>
      <w:bookmarkEnd w:id="83"/>
    </w:p>
    <w:p w14:paraId="14DF7426">
      <w:pPr>
        <w:pStyle w:val="56"/>
        <w:ind w:firstLine="420"/>
      </w:pPr>
      <w:r>
        <w:t>按照GB/T 9738规定的方法进行测定。</w:t>
      </w:r>
    </w:p>
    <w:p w14:paraId="5B779C03">
      <w:pPr>
        <w:pStyle w:val="105"/>
        <w:spacing w:before="120" w:after="120"/>
        <w:rPr>
          <w:rFonts w:ascii="Times New Roman"/>
        </w:rPr>
      </w:pPr>
      <w:bookmarkStart w:id="84" w:name="_Toc29658"/>
      <w:bookmarkStart w:id="85" w:name="_Toc2174"/>
      <w:r>
        <w:rPr>
          <w:rFonts w:ascii="Times New Roman"/>
        </w:rPr>
        <w:t>氨基酸的测定</w:t>
      </w:r>
      <w:bookmarkEnd w:id="84"/>
      <w:bookmarkEnd w:id="85"/>
    </w:p>
    <w:p w14:paraId="16A90080">
      <w:pPr>
        <w:pStyle w:val="65"/>
        <w:spacing w:before="120" w:after="120"/>
        <w:rPr>
          <w:rFonts w:ascii="Times New Roman"/>
        </w:rPr>
      </w:pPr>
      <w:r>
        <w:rPr>
          <w:rFonts w:ascii="Times New Roman"/>
        </w:rPr>
        <w:t>氨基酸分析仪法</w:t>
      </w:r>
      <w:r>
        <w:rPr>
          <w:rFonts w:hint="eastAsia" w:ascii="Times New Roman"/>
        </w:rPr>
        <w:t>（仲裁法）</w:t>
      </w:r>
    </w:p>
    <w:p w14:paraId="6C84E712">
      <w:pPr>
        <w:pStyle w:val="94"/>
        <w:spacing w:before="120" w:after="120"/>
        <w:rPr>
          <w:rFonts w:ascii="Times New Roman"/>
        </w:rPr>
      </w:pPr>
      <w:r>
        <w:rPr>
          <w:rFonts w:ascii="Times New Roman"/>
        </w:rPr>
        <w:t>方法提要</w:t>
      </w:r>
    </w:p>
    <w:p w14:paraId="41A17CB3">
      <w:pPr>
        <w:pStyle w:val="56"/>
        <w:ind w:firstLine="420"/>
      </w:pPr>
      <w:r>
        <w:t>试样中的蛋白质被酸水解后成为游离氨基酸，经离子交换柱分离后，与茚三酮溶液产生颜色反应，生成紫色络合物，再通过可见光分光光度检测器在合适的波长测定氨基酸含量。</w:t>
      </w:r>
    </w:p>
    <w:p w14:paraId="6B39ACE0">
      <w:pPr>
        <w:pStyle w:val="94"/>
        <w:spacing w:before="120" w:after="120"/>
        <w:rPr>
          <w:rFonts w:ascii="Times New Roman"/>
        </w:rPr>
      </w:pPr>
      <w:r>
        <w:rPr>
          <w:rFonts w:ascii="Times New Roman"/>
        </w:rPr>
        <w:t>试样溶液的制备</w:t>
      </w:r>
    </w:p>
    <w:p w14:paraId="1EAA0304">
      <w:pPr>
        <w:pStyle w:val="167"/>
        <w:rPr>
          <w:rFonts w:ascii="Times New Roman" w:hAnsi="Times New Roman"/>
        </w:rPr>
      </w:pPr>
      <w:r>
        <w:rPr>
          <w:rFonts w:ascii="Times New Roman" w:hAnsi="Times New Roman"/>
        </w:rPr>
        <w:t>盐酸溶液：6 mol/L。</w:t>
      </w:r>
    </w:p>
    <w:p w14:paraId="7B426AD2">
      <w:pPr>
        <w:pStyle w:val="167"/>
        <w:rPr>
          <w:rFonts w:ascii="Times New Roman" w:hAnsi="Times New Roman"/>
        </w:rPr>
      </w:pPr>
      <w:r>
        <w:rPr>
          <w:rFonts w:ascii="Times New Roman" w:hAnsi="Times New Roman"/>
        </w:rPr>
        <w:t>氢氧化钠溶液：500 g/L。</w:t>
      </w:r>
    </w:p>
    <w:p w14:paraId="3E08E73C">
      <w:pPr>
        <w:pStyle w:val="167"/>
        <w:rPr>
          <w:rFonts w:ascii="Times New Roman" w:hAnsi="Times New Roman"/>
        </w:rPr>
      </w:pPr>
      <w:r>
        <w:rPr>
          <w:rFonts w:ascii="Times New Roman" w:hAnsi="Times New Roman"/>
        </w:rPr>
        <w:t>柠檬酸钠缓冲溶液：c（Na+）=0.2 mol/L。</w:t>
      </w:r>
    </w:p>
    <w:p w14:paraId="769BC6D4">
      <w:pPr>
        <w:pStyle w:val="167"/>
        <w:rPr>
          <w:rFonts w:ascii="Times New Roman" w:hAnsi="Times New Roman"/>
        </w:rPr>
      </w:pPr>
      <w:r>
        <w:rPr>
          <w:rFonts w:ascii="Times New Roman" w:hAnsi="Times New Roman"/>
        </w:rPr>
        <w:t>不同pH和离子强度的洗脱用缓冲溶液：参照仪器说明书配制或购买。</w:t>
      </w:r>
    </w:p>
    <w:p w14:paraId="5127B1A5">
      <w:pPr>
        <w:pStyle w:val="167"/>
        <w:rPr>
          <w:rFonts w:ascii="Times New Roman" w:hAnsi="Times New Roman"/>
        </w:rPr>
      </w:pPr>
      <w:r>
        <w:rPr>
          <w:rFonts w:ascii="Times New Roman" w:hAnsi="Times New Roman"/>
        </w:rPr>
        <w:t>茚三酮溶液：参照仪器说明书配制或购买。</w:t>
      </w:r>
    </w:p>
    <w:p w14:paraId="7AD6DFE1">
      <w:pPr>
        <w:pStyle w:val="167"/>
        <w:rPr>
          <w:rFonts w:ascii="Times New Roman" w:hAnsi="Times New Roman"/>
        </w:rPr>
      </w:pPr>
      <w:r>
        <w:rPr>
          <w:rFonts w:ascii="Times New Roman" w:hAnsi="Times New Roman"/>
        </w:rPr>
        <w:t>混合氨基酸标准溶液：经国家认证并授予标准物质证书的标准溶液。</w:t>
      </w:r>
    </w:p>
    <w:p w14:paraId="2057ABE2">
      <w:pPr>
        <w:pStyle w:val="167"/>
        <w:rPr>
          <w:rFonts w:ascii="Times New Roman" w:hAnsi="Times New Roman"/>
        </w:rPr>
      </w:pPr>
      <w:r>
        <w:rPr>
          <w:rFonts w:ascii="Times New Roman" w:hAnsi="Times New Roman"/>
        </w:rPr>
        <w:t>16种单个氨基酸标准品：固体，纯度≥98%。</w:t>
      </w:r>
    </w:p>
    <w:p w14:paraId="5E69BB5E">
      <w:pPr>
        <w:pStyle w:val="94"/>
        <w:spacing w:before="120" w:after="120"/>
        <w:rPr>
          <w:rFonts w:ascii="Times New Roman"/>
        </w:rPr>
      </w:pPr>
      <w:r>
        <w:rPr>
          <w:rFonts w:ascii="Times New Roman"/>
        </w:rPr>
        <w:t>测定</w:t>
      </w:r>
    </w:p>
    <w:p w14:paraId="1945DCD1">
      <w:pPr>
        <w:pStyle w:val="167"/>
        <w:rPr>
          <w:rFonts w:ascii="Times New Roman" w:hAnsi="Times New Roman"/>
        </w:rPr>
      </w:pPr>
      <w:r>
        <w:rPr>
          <w:rFonts w:ascii="Times New Roman" w:hAnsi="Times New Roman"/>
        </w:rPr>
        <w:t>混合氨基酸标准储备液：1 μmol/mL。</w:t>
      </w:r>
    </w:p>
    <w:p w14:paraId="28350556">
      <w:pPr>
        <w:pStyle w:val="167"/>
        <w:rPr>
          <w:rFonts w:ascii="Times New Roman" w:hAnsi="Times New Roman"/>
        </w:rPr>
      </w:pPr>
      <w:r>
        <w:rPr>
          <w:rFonts w:ascii="Times New Roman" w:hAnsi="Times New Roman"/>
        </w:rPr>
        <w:t>试样水解：根据试样的蛋白质含量，在水解管内加入约相同体积的盐酸混匀后，再用盐酸溶液补充至大约10 mL。继续向水解管内加入3滴～4滴苯酚。将水解管冷冻3 min～5 min，抽真空，然后充入氮气，重复抽真空</w:t>
      </w:r>
      <w:r>
        <w:rPr>
          <w:rFonts w:hint="eastAsia" w:ascii="Times New Roman" w:hAnsi="Times New Roman"/>
        </w:rPr>
        <w:t>－</w:t>
      </w:r>
      <w:r>
        <w:rPr>
          <w:rFonts w:ascii="Times New Roman" w:hAnsi="Times New Roman"/>
        </w:rPr>
        <w:t xml:space="preserve">充入氮气3次后，在充氮气状态下封口或拧紧螺丝盖。将已封口的水解管放在110℃±1℃的电热鼓风恒温箱或水解炉内，水解22h后，取出冷却至室温。用少量水冲洗水解管，并将其移入50 mL容量瓶中，并用水定容。准确吸取1.0 mL滤液移入到15 mL或25 mL试管内，用试管浓缩仪或平行蒸发仪在40 ℃~50 ℃加热环境下减压干燥，干燥后残留物用1 mL~2 mL水溶解，再减压干燥，最后蒸干。用1.0 mL～2.0 mL pH 2.2柠檬酸钠缓冲溶液加入到干燥后试管内溶解，振荡混匀后，吸取溶液通过0.22 </w:t>
      </w:r>
      <w:r>
        <w:rPr>
          <w:rFonts w:ascii="Times New Roman" w:hAnsi="Times New Roman"/>
        </w:rPr>
        <w:sym w:font="Symbol" w:char="F06D"/>
      </w:r>
      <w:r>
        <w:rPr>
          <w:rFonts w:ascii="Times New Roman" w:hAnsi="Times New Roman"/>
        </w:rPr>
        <w:t>m滤膜后，收集待用。</w:t>
      </w:r>
    </w:p>
    <w:p w14:paraId="151A6BB1">
      <w:pPr>
        <w:pStyle w:val="167"/>
        <w:rPr>
          <w:rFonts w:ascii="Times New Roman" w:hAnsi="Times New Roman"/>
        </w:rPr>
      </w:pPr>
      <w:r>
        <w:rPr>
          <w:rFonts w:ascii="Times New Roman" w:hAnsi="Times New Roman"/>
        </w:rPr>
        <w:t>设备参数调节：适当调整仪器操作程序及参数和洗脱用缓冲溶液试剂配比，确认仪器操作条件。采用磺酸型阳离子树脂色谱柱，并且设定检测波长为570 nm和440 nm。</w:t>
      </w:r>
    </w:p>
    <w:p w14:paraId="31A228AA">
      <w:pPr>
        <w:pStyle w:val="167"/>
        <w:rPr>
          <w:rFonts w:ascii="Times New Roman" w:hAnsi="Times New Roman"/>
        </w:rPr>
      </w:pPr>
      <w:r>
        <w:rPr>
          <w:rFonts w:ascii="Times New Roman" w:hAnsi="Times New Roman"/>
        </w:rPr>
        <w:t>试样测定：将混合氨基酸标准工作液和样品测定液分别以相同体积注入氨基酸分析仪，以外标法通过峰面积计算样品测定液中氨基酸的浓度。</w:t>
      </w:r>
    </w:p>
    <w:p w14:paraId="34FEC08C">
      <w:pPr>
        <w:pStyle w:val="94"/>
        <w:spacing w:before="120" w:after="120"/>
        <w:rPr>
          <w:rFonts w:ascii="Times New Roman"/>
        </w:rPr>
      </w:pPr>
      <w:r>
        <w:rPr>
          <w:rFonts w:ascii="Times New Roman"/>
        </w:rPr>
        <w:t>结果计算</w:t>
      </w:r>
    </w:p>
    <w:p w14:paraId="2C2D9CF1">
      <w:pPr>
        <w:pStyle w:val="56"/>
        <w:ind w:firstLine="420"/>
      </w:pPr>
      <w:r>
        <w:t>样品测定液氨基酸的含量按式（1）计算：</w:t>
      </w:r>
    </w:p>
    <w:p w14:paraId="6CEA9A79">
      <w:pPr>
        <w:pStyle w:val="113"/>
        <w:rPr>
          <w:rFonts w:ascii="Times New Roman" w:hAnsi="Times New Roman"/>
        </w:rPr>
      </w:pPr>
      <w:r>
        <w:rPr>
          <w:rFonts w:ascii="Times New Roman" w:hAnsi="Times New Roman"/>
        </w:rPr>
        <w:tab/>
      </w:r>
      <m:oMath>
        <m:sSub>
          <m:sSubPr>
            <m:ctrlPr>
              <w:rPr>
                <w:rFonts w:ascii="Cambria Math" w:hAnsi="Cambria Math"/>
              </w:rPr>
            </m:ctrlPr>
          </m:sSubPr>
          <m:e>
            <m:r>
              <m:rPr>
                <m:nor/>
                <m:sty m:val="p"/>
              </m:rPr>
              <w:rPr>
                <w:rFonts w:ascii="Times New Roman" w:hAnsi="Times New Roman"/>
              </w:rPr>
              <m:t>C</m:t>
            </m:r>
            <m:ctrlPr>
              <w:rPr>
                <w:rFonts w:ascii="Cambria Math" w:hAnsi="Cambria Math"/>
              </w:rPr>
            </m:ctrlPr>
          </m:e>
          <m:sub>
            <m:r>
              <m:rPr>
                <m:nor/>
                <m:sty m:val="p"/>
              </m:rPr>
              <w:rPr>
                <w:rFonts w:ascii="Times New Roman" w:hAnsi="Times New Roman"/>
              </w:rPr>
              <m:t>i</m:t>
            </m:r>
            <m:ctrlPr>
              <w:rPr>
                <w:rFonts w:ascii="Cambria Math" w:hAnsi="Cambria Math"/>
              </w:rPr>
            </m:ctrlPr>
          </m:sub>
        </m:sSub>
        <m:r>
          <m:rPr>
            <m:nor/>
            <m:sty m:val="p"/>
          </m:rPr>
          <w:rPr>
            <w:rFonts w:ascii="Times New Roman" w:hAnsi="Times New Roman"/>
          </w:rPr>
          <m:t>=</m:t>
        </m:r>
        <m:f>
          <m:fPr>
            <m:ctrlPr>
              <w:rPr>
                <w:rFonts w:ascii="Cambria Math" w:hAnsi="Cambria Math"/>
              </w:rPr>
            </m:ctrlPr>
          </m:fPr>
          <m:num>
            <m:sSub>
              <m:sSubPr>
                <m:ctrlPr>
                  <w:rPr>
                    <w:rFonts w:ascii="Cambria Math" w:hAnsi="Cambria Math"/>
                  </w:rPr>
                </m:ctrlPr>
              </m:sSubPr>
              <m:e>
                <m:r>
                  <m:rPr>
                    <m:nor/>
                    <m:sty m:val="p"/>
                  </m:rPr>
                  <w:rPr>
                    <w:rFonts w:ascii="Times New Roman" w:hAnsi="Times New Roman"/>
                  </w:rPr>
                  <m:t>C</m:t>
                </m:r>
                <m:ctrlPr>
                  <w:rPr>
                    <w:rFonts w:ascii="Cambria Math" w:hAnsi="Cambria Math"/>
                  </w:rPr>
                </m:ctrlPr>
              </m:e>
              <m:sub>
                <m:r>
                  <m:rPr>
                    <m:nor/>
                    <m:sty m:val="p"/>
                  </m:rPr>
                  <w:rPr>
                    <w:rFonts w:ascii="Times New Roman" w:hAnsi="Times New Roman"/>
                  </w:rPr>
                  <m:t>s</m:t>
                </m:r>
                <m:ctrlPr>
                  <w:rPr>
                    <w:rFonts w:ascii="Cambria Math" w:hAnsi="Cambria Math"/>
                  </w:rPr>
                </m:ctrlPr>
              </m:sub>
            </m:sSub>
            <m:ctrlPr>
              <w:rPr>
                <w:rFonts w:ascii="Cambria Math" w:hAnsi="Cambria Math"/>
              </w:rPr>
            </m:ctrlPr>
          </m:num>
          <m:den>
            <m:sSub>
              <m:sSubPr>
                <m:ctrlPr>
                  <w:rPr>
                    <w:rFonts w:ascii="Cambria Math" w:hAnsi="Cambria Math"/>
                  </w:rPr>
                </m:ctrlPr>
              </m:sSubPr>
              <m:e>
                <m:r>
                  <m:rPr>
                    <m:nor/>
                    <m:sty m:val="p"/>
                  </m:rPr>
                  <w:rPr>
                    <w:rFonts w:ascii="Times New Roman" w:hAnsi="Times New Roman"/>
                  </w:rPr>
                  <m:t>A</m:t>
                </m:r>
                <m:ctrlPr>
                  <w:rPr>
                    <w:rFonts w:ascii="Cambria Math" w:hAnsi="Cambria Math"/>
                  </w:rPr>
                </m:ctrlPr>
              </m:e>
              <m:sub>
                <m:r>
                  <m:rPr>
                    <m:nor/>
                    <m:sty m:val="p"/>
                  </m:rPr>
                  <w:rPr>
                    <w:rFonts w:ascii="Times New Roman" w:hAnsi="Times New Roman"/>
                  </w:rPr>
                  <m:t>s</m:t>
                </m:r>
                <m:ctrlPr>
                  <w:rPr>
                    <w:rFonts w:ascii="Cambria Math" w:hAnsi="Cambria Math"/>
                  </w:rPr>
                </m:ctrlPr>
              </m:sub>
            </m:sSub>
            <m:ctrlPr>
              <w:rPr>
                <w:rFonts w:ascii="Cambria Math" w:hAnsi="Cambria Math"/>
              </w:rPr>
            </m:ctrlPr>
          </m:den>
        </m:f>
        <m:r>
          <m:rPr>
            <m:nor/>
            <m:sty m:val="p"/>
          </m:rPr>
          <w:rPr>
            <w:rFonts w:ascii="Times New Roman" w:hAnsi="Times New Roman"/>
          </w:rPr>
          <w:sym w:font="Symbol" w:char="F0B4"/>
        </m:r>
        <m:sSub>
          <m:sSubPr>
            <m:ctrlPr>
              <w:rPr>
                <w:rFonts w:ascii="Cambria Math" w:hAnsi="Cambria Math"/>
              </w:rPr>
            </m:ctrlPr>
          </m:sSubPr>
          <m:e>
            <m:r>
              <m:rPr>
                <m:nor/>
                <m:sty m:val="p"/>
              </m:rPr>
              <w:rPr>
                <w:rFonts w:ascii="Times New Roman" w:hAnsi="Times New Roman"/>
              </w:rPr>
              <m:t>A</m:t>
            </m:r>
            <m:ctrlPr>
              <w:rPr>
                <w:rFonts w:ascii="Cambria Math" w:hAnsi="Cambria Math"/>
              </w:rPr>
            </m:ctrlPr>
          </m:e>
          <m:sub>
            <m:r>
              <m:rPr>
                <m:nor/>
                <m:sty m:val="p"/>
              </m:rPr>
              <w:rPr>
                <w:rFonts w:ascii="Times New Roman" w:hAnsi="Times New Roman"/>
              </w:rPr>
              <m:t>i</m:t>
            </m:r>
            <m:ctrlPr>
              <w:rPr>
                <w:rFonts w:ascii="Cambria Math" w:hAnsi="Cambria Math"/>
              </w:rPr>
            </m:ctrlPr>
          </m:sub>
        </m:sSub>
      </m:oMath>
      <w:r>
        <w:rPr>
          <w:rFonts w:ascii="Times New Roman" w:hAnsi="Times New Roman" w:eastAsia="微软雅黑"/>
        </w:rPr>
        <w:tab/>
      </w:r>
      <w:r>
        <w:rPr>
          <w:rFonts w:ascii="Times New Roman" w:hAnsi="Times New Roman"/>
        </w:rPr>
        <w:t>(</w:t>
      </w:r>
      <w:r>
        <w:rPr>
          <w:rFonts w:ascii="Times New Roman" w:hAnsi="Times New Roman"/>
        </w:rPr>
        <w:fldChar w:fldCharType="begin"/>
      </w:r>
      <w:r>
        <w:rPr>
          <w:rFonts w:ascii="Times New Roman" w:hAnsi="Times New Roman"/>
        </w:rPr>
        <w:instrText xml:space="preserve"> SEQ 公式 \* ARABIC </w:instrText>
      </w:r>
      <w:r>
        <w:rPr>
          <w:rFonts w:ascii="Times New Roman" w:hAnsi="Times New Roman"/>
        </w:rPr>
        <w:fldChar w:fldCharType="separate"/>
      </w:r>
      <w:r>
        <w:rPr>
          <w:rFonts w:ascii="Times New Roman" w:hAnsi="Times New Roman"/>
        </w:rPr>
        <w:t>1</w:t>
      </w:r>
      <w:r>
        <w:rPr>
          <w:rFonts w:ascii="Times New Roman" w:hAnsi="Times New Roman"/>
        </w:rPr>
        <w:fldChar w:fldCharType="end"/>
      </w:r>
      <w:r>
        <w:rPr>
          <w:rFonts w:ascii="Times New Roman" w:hAnsi="Times New Roman"/>
        </w:rPr>
        <w:t>)</w:t>
      </w:r>
    </w:p>
    <w:p w14:paraId="7F34F463">
      <w:pPr>
        <w:pStyle w:val="55"/>
        <w:ind w:firstLine="420"/>
        <w:rPr>
          <w:rFonts w:ascii="Times New Roman" w:hAnsi="Times New Roman"/>
        </w:rPr>
      </w:pPr>
      <w:r>
        <w:rPr>
          <w:rFonts w:ascii="Times New Roman" w:hAnsi="Times New Roman"/>
        </w:rPr>
        <w:t>式中：</w:t>
      </w:r>
    </w:p>
    <w:p w14:paraId="2D90717A">
      <w:pPr>
        <w:pStyle w:val="56"/>
        <w:ind w:firstLine="420"/>
      </w:pPr>
      <w:r>
        <w:t>C</w:t>
      </w:r>
      <w:r>
        <w:rPr>
          <w:vertAlign w:val="subscript"/>
        </w:rPr>
        <w:t>i</w:t>
      </w:r>
      <w:r>
        <w:t>——样品测定液氨基酸i的含量，单位为纳摩尔每毫升（nmol/mL</w:t>
      </w:r>
      <w:r>
        <w:rPr>
          <w:rFonts w:hint="eastAsia"/>
        </w:rPr>
        <w:t>）</w:t>
      </w:r>
      <w:r>
        <w:t>；</w:t>
      </w:r>
    </w:p>
    <w:p w14:paraId="195E245F">
      <w:pPr>
        <w:pStyle w:val="56"/>
        <w:ind w:firstLine="420"/>
      </w:pPr>
      <w:r>
        <w:t>A</w:t>
      </w:r>
      <w:r>
        <w:rPr>
          <w:vertAlign w:val="subscript"/>
        </w:rPr>
        <w:t>i</w:t>
      </w:r>
      <w:r>
        <w:t>——试样测定液氨基酸i的峰面积；</w:t>
      </w:r>
    </w:p>
    <w:p w14:paraId="4BA61C30">
      <w:pPr>
        <w:pStyle w:val="56"/>
        <w:ind w:firstLine="420"/>
      </w:pPr>
      <w:r>
        <w:t>A</w:t>
      </w:r>
      <w:r>
        <w:rPr>
          <w:vertAlign w:val="subscript"/>
        </w:rPr>
        <w:t>s</w:t>
      </w:r>
      <w:r>
        <w:t>——氨基酸标准工作液氨基酸s的峰面积；</w:t>
      </w:r>
    </w:p>
    <w:p w14:paraId="3E9448CF">
      <w:pPr>
        <w:pStyle w:val="56"/>
        <w:ind w:firstLine="420"/>
      </w:pPr>
      <w:bookmarkStart w:id="86" w:name="OLE_LINK3"/>
      <w:r>
        <w:t>C</w:t>
      </w:r>
      <w:r>
        <w:rPr>
          <w:vertAlign w:val="subscript"/>
        </w:rPr>
        <w:t>s</w:t>
      </w:r>
      <w:bookmarkEnd w:id="86"/>
      <w:r>
        <w:t>——氨基酸标准工作液氨基酸s的含量，单位为纳摩尔每毫升（nmol/mL</w:t>
      </w:r>
      <w:r>
        <w:rPr>
          <w:rFonts w:hint="eastAsia"/>
        </w:rPr>
        <w:t>）</w:t>
      </w:r>
      <w:r>
        <w:t>。</w:t>
      </w:r>
    </w:p>
    <w:p w14:paraId="59BA1234">
      <w:pPr>
        <w:pStyle w:val="56"/>
        <w:ind w:firstLine="420"/>
      </w:pPr>
      <w:r>
        <w:t>试样中各氨基酸的含量按式（2）计算：</w:t>
      </w:r>
    </w:p>
    <w:p w14:paraId="52592909">
      <w:pPr>
        <w:pStyle w:val="113"/>
        <w:rPr>
          <w:rFonts w:ascii="Times New Roman" w:hAnsi="Times New Roman"/>
        </w:rPr>
      </w:pPr>
      <w:r>
        <w:rPr>
          <w:rFonts w:ascii="Times New Roman" w:hAnsi="Times New Roman"/>
        </w:rPr>
        <w:tab/>
      </w:r>
      <m:oMath>
        <m:r>
          <m:rPr>
            <m:nor/>
            <m:sty m:val="p"/>
          </m:rPr>
          <w:rPr>
            <w:rFonts w:ascii="Times New Roman" w:hAnsi="Times New Roman"/>
          </w:rPr>
          <m:t>Xi=</m:t>
        </m:r>
        <m:f>
          <m:fPr>
            <m:ctrlPr>
              <w:rPr>
                <w:rFonts w:ascii="Cambria Math" w:hAnsi="Cambria Math"/>
              </w:rPr>
            </m:ctrlPr>
          </m:fPr>
          <m:num>
            <m:sSub>
              <m:sSubPr>
                <m:ctrlPr>
                  <w:rPr>
                    <w:rFonts w:ascii="Cambria Math" w:hAnsi="Cambria Math"/>
                  </w:rPr>
                </m:ctrlPr>
              </m:sSubPr>
              <m:e>
                <m:r>
                  <m:rPr>
                    <m:nor/>
                    <m:sty m:val="p"/>
                  </m:rPr>
                  <w:rPr>
                    <w:rFonts w:ascii="Times New Roman" w:hAnsi="Times New Roman"/>
                  </w:rPr>
                  <m:t>C</m:t>
                </m:r>
                <m:ctrlPr>
                  <w:rPr>
                    <w:rFonts w:ascii="Cambria Math" w:hAnsi="Cambria Math"/>
                  </w:rPr>
                </m:ctrlPr>
              </m:e>
              <m:sub>
                <m:r>
                  <m:rPr>
                    <m:nor/>
                    <m:sty m:val="p"/>
                  </m:rPr>
                  <w:rPr>
                    <w:rFonts w:ascii="Times New Roman" w:hAnsi="Times New Roman"/>
                  </w:rPr>
                  <m:t>i</m:t>
                </m:r>
                <m:ctrlPr>
                  <w:rPr>
                    <w:rFonts w:ascii="Cambria Math" w:hAnsi="Cambria Math"/>
                  </w:rPr>
                </m:ctrlPr>
              </m:sub>
            </m:sSub>
            <m:r>
              <m:rPr>
                <m:nor/>
                <m:sty m:val="p"/>
              </m:rPr>
              <w:rPr>
                <w:rFonts w:ascii="Times New Roman" w:hAnsi="Times New Roman"/>
              </w:rPr>
              <w:sym w:font="Symbol" w:char="F0B4"/>
            </m:r>
            <m:r>
              <m:rPr>
                <m:nor/>
                <m:sty m:val="p"/>
              </m:rPr>
              <w:rPr>
                <w:rFonts w:ascii="Times New Roman" w:hAnsi="Times New Roman"/>
              </w:rPr>
              <m:t>F</m:t>
            </m:r>
            <m:r>
              <m:rPr>
                <m:nor/>
                <m:sty m:val="p"/>
              </m:rPr>
              <w:rPr>
                <w:rFonts w:ascii="Times New Roman" w:hAnsi="Times New Roman"/>
              </w:rPr>
              <w:sym w:font="Symbol" w:char="F0B4"/>
            </m:r>
            <m:r>
              <m:rPr>
                <m:nor/>
                <m:sty m:val="p"/>
              </m:rPr>
              <w:rPr>
                <w:rFonts w:ascii="Times New Roman" w:hAnsi="Times New Roman"/>
              </w:rPr>
              <m:t>V</m:t>
            </m:r>
            <m:r>
              <m:rPr>
                <m:nor/>
                <m:sty m:val="p"/>
              </m:rPr>
              <w:rPr>
                <w:rFonts w:ascii="Times New Roman" w:hAnsi="Times New Roman"/>
              </w:rPr>
              <w:sym w:font="Symbol" w:char="F0B4"/>
            </m:r>
            <m:r>
              <m:rPr>
                <m:nor/>
                <m:sty m:val="p"/>
              </m:rPr>
              <w:rPr>
                <w:rFonts w:ascii="Times New Roman" w:hAnsi="Times New Roman"/>
              </w:rPr>
              <m:t>M</m:t>
            </m:r>
            <m:ctrlPr>
              <w:rPr>
                <w:rFonts w:ascii="Cambria Math" w:hAnsi="Cambria Math"/>
              </w:rPr>
            </m:ctrlPr>
          </m:num>
          <m:den>
            <m:r>
              <m:rPr>
                <m:nor/>
                <m:sty m:val="p"/>
              </m:rPr>
              <w:rPr>
                <w:rFonts w:ascii="Times New Roman" w:hAnsi="Times New Roman"/>
              </w:rPr>
              <m:t>m</m:t>
            </m:r>
            <m:r>
              <m:rPr>
                <m:nor/>
                <m:sty m:val="p"/>
              </m:rPr>
              <w:rPr>
                <w:rFonts w:ascii="Times New Roman" w:hAnsi="Times New Roman"/>
              </w:rPr>
              <w:sym w:font="Symbol" w:char="F0B4"/>
            </m:r>
            <m:sSup>
              <m:sSupPr>
                <m:ctrlPr>
                  <w:rPr>
                    <w:rFonts w:ascii="Cambria Math" w:hAnsi="Cambria Math"/>
                  </w:rPr>
                </m:ctrlPr>
              </m:sSupPr>
              <m:e>
                <m:r>
                  <m:rPr>
                    <m:nor/>
                    <m:sty m:val="p"/>
                  </m:rPr>
                  <w:rPr>
                    <w:rFonts w:ascii="Times New Roman" w:hAnsi="Times New Roman"/>
                  </w:rPr>
                  <m:t>10</m:t>
                </m:r>
                <m:ctrlPr>
                  <w:rPr>
                    <w:rFonts w:ascii="Cambria Math" w:hAnsi="Cambria Math"/>
                  </w:rPr>
                </m:ctrlPr>
              </m:e>
              <m:sup>
                <m:r>
                  <m:rPr>
                    <m:nor/>
                    <m:sty m:val="p"/>
                  </m:rPr>
                  <w:rPr>
                    <w:rFonts w:ascii="Times New Roman" w:hAnsi="Times New Roman"/>
                  </w:rPr>
                  <m:t>9</m:t>
                </m:r>
                <m:ctrlPr>
                  <w:rPr>
                    <w:rFonts w:ascii="Cambria Math" w:hAnsi="Cambria Math"/>
                  </w:rPr>
                </m:ctrlPr>
              </m:sup>
            </m:sSup>
            <m:ctrlPr>
              <w:rPr>
                <w:rFonts w:ascii="Cambria Math" w:hAnsi="Cambria Math"/>
              </w:rPr>
            </m:ctrlPr>
          </m:den>
        </m:f>
        <m:r>
          <m:rPr>
            <m:nor/>
            <m:sty m:val="p"/>
          </m:rPr>
          <w:rPr>
            <w:rFonts w:ascii="Times New Roman" w:hAnsi="Times New Roman"/>
          </w:rPr>
          <w:sym w:font="Symbol" w:char="F0B4"/>
        </m:r>
        <m:r>
          <m:rPr>
            <m:nor/>
            <m:sty m:val="p"/>
          </m:rPr>
          <w:rPr>
            <w:rFonts w:ascii="Times New Roman" w:hAnsi="Times New Roman"/>
          </w:rPr>
          <m:t>100</m:t>
        </m:r>
      </m:oMath>
      <w:r>
        <w:rPr>
          <w:rFonts w:ascii="Times New Roman" w:hAnsi="Times New Roman" w:eastAsia="微软雅黑"/>
        </w:rPr>
        <w:tab/>
      </w:r>
      <w:r>
        <w:rPr>
          <w:rFonts w:ascii="Times New Roman" w:hAnsi="Times New Roman"/>
        </w:rPr>
        <w:t>(</w:t>
      </w:r>
      <w:r>
        <w:rPr>
          <w:rFonts w:ascii="Times New Roman" w:hAnsi="Times New Roman"/>
        </w:rPr>
        <w:fldChar w:fldCharType="begin"/>
      </w:r>
      <w:r>
        <w:rPr>
          <w:rFonts w:ascii="Times New Roman" w:hAnsi="Times New Roman"/>
        </w:rPr>
        <w:instrText xml:space="preserve"> SEQ 公式 \* ARABIC </w:instrText>
      </w:r>
      <w:r>
        <w:rPr>
          <w:rFonts w:ascii="Times New Roman" w:hAnsi="Times New Roman"/>
        </w:rPr>
        <w:fldChar w:fldCharType="separate"/>
      </w:r>
      <w:r>
        <w:rPr>
          <w:rFonts w:ascii="Times New Roman" w:hAnsi="Times New Roman"/>
        </w:rPr>
        <w:t>2</w:t>
      </w:r>
      <w:r>
        <w:rPr>
          <w:rFonts w:ascii="Times New Roman" w:hAnsi="Times New Roman"/>
        </w:rPr>
        <w:fldChar w:fldCharType="end"/>
      </w:r>
      <w:r>
        <w:rPr>
          <w:rFonts w:ascii="Times New Roman" w:hAnsi="Times New Roman"/>
        </w:rPr>
        <w:t>)</w:t>
      </w:r>
    </w:p>
    <w:p w14:paraId="4188176F">
      <w:pPr>
        <w:pStyle w:val="56"/>
        <w:ind w:firstLine="420"/>
      </w:pPr>
      <w:r>
        <w:t>式中：</w:t>
      </w:r>
    </w:p>
    <w:p w14:paraId="1CF7DD03">
      <w:pPr>
        <w:pStyle w:val="56"/>
        <w:ind w:firstLine="420"/>
      </w:pPr>
      <w:r>
        <w:t>X</w:t>
      </w:r>
      <w:r>
        <w:rPr>
          <w:vertAlign w:val="subscript"/>
        </w:rPr>
        <w:t>i</w:t>
      </w:r>
      <w:r>
        <w:t>——试样中氨基酸i的含量，单位为克每百克（g/100g）；</w:t>
      </w:r>
    </w:p>
    <w:p w14:paraId="6BE66DD7">
      <w:pPr>
        <w:pStyle w:val="56"/>
        <w:ind w:firstLine="420"/>
      </w:pPr>
      <w:r>
        <w:t>C</w:t>
      </w:r>
      <w:r>
        <w:rPr>
          <w:vertAlign w:val="subscript"/>
        </w:rPr>
        <w:t>i</w:t>
      </w:r>
      <w:r>
        <w:t>——试样测定液中氨基酸i的含量，单位为纳摩尔每毫升（nmol/mL</w:t>
      </w:r>
      <w:r>
        <w:rPr>
          <w:rFonts w:hint="eastAsia"/>
        </w:rPr>
        <w:t>）</w:t>
      </w:r>
      <w:r>
        <w:t>；</w:t>
      </w:r>
    </w:p>
    <w:p w14:paraId="0210C254">
      <w:pPr>
        <w:pStyle w:val="56"/>
        <w:ind w:firstLine="420"/>
      </w:pPr>
      <w:r>
        <w:t xml:space="preserve">F——稀释倍数； </w:t>
      </w:r>
    </w:p>
    <w:p w14:paraId="57FBAF4F">
      <w:pPr>
        <w:pStyle w:val="56"/>
        <w:ind w:firstLine="420"/>
      </w:pPr>
      <w:r>
        <w:t>V——试样水解液转移定容的体积</w:t>
      </w:r>
      <w:r>
        <w:rPr>
          <w:rFonts w:hint="eastAsia"/>
        </w:rPr>
        <w:t>，</w:t>
      </w:r>
      <w:r>
        <w:t>单位为毫升（mL）；</w:t>
      </w:r>
    </w:p>
    <w:p w14:paraId="6D815CA4">
      <w:pPr>
        <w:pStyle w:val="56"/>
        <w:ind w:firstLine="420"/>
      </w:pPr>
      <w:r>
        <w:t>M——氨基酸i的摩尔质量</w:t>
      </w:r>
      <w:r>
        <w:rPr>
          <w:rFonts w:hint="eastAsia"/>
        </w:rPr>
        <w:t>，</w:t>
      </w:r>
      <w:r>
        <w:t>单位为克每摩尔（g/mol</w:t>
      </w:r>
      <w:r>
        <w:rPr>
          <w:rFonts w:hint="eastAsia"/>
        </w:rPr>
        <w:t>）</w:t>
      </w:r>
      <w:r>
        <w:t>；</w:t>
      </w:r>
    </w:p>
    <w:p w14:paraId="16CBE27C">
      <w:pPr>
        <w:pStyle w:val="56"/>
        <w:ind w:firstLine="420"/>
      </w:pPr>
      <w:r>
        <w:t>m——称样量，单位为克（g）；</w:t>
      </w:r>
    </w:p>
    <w:p w14:paraId="26BC7FE5">
      <w:pPr>
        <w:pStyle w:val="56"/>
        <w:ind w:firstLine="420"/>
      </w:pPr>
      <w:r>
        <w:t>10</w:t>
      </w:r>
      <w:r>
        <w:rPr>
          <w:vertAlign w:val="superscript"/>
        </w:rPr>
        <w:t>9</w:t>
      </w:r>
      <w:r>
        <w:t>——将试样含量由纳克（ng）折算成克（g）的系数；</w:t>
      </w:r>
    </w:p>
    <w:p w14:paraId="28834DA8">
      <w:pPr>
        <w:pStyle w:val="56"/>
        <w:ind w:firstLine="420"/>
      </w:pPr>
      <w:r>
        <w:t>100——换算系数。</w:t>
      </w:r>
    </w:p>
    <w:p w14:paraId="5046FB39">
      <w:pPr>
        <w:pStyle w:val="56"/>
        <w:ind w:firstLine="420"/>
      </w:pPr>
      <w:r>
        <w:t>试样氨基酸含量在1.00 g/100 g以下，保留2位有效数字；含量在1.00 g/100 g以上，保留3位有效数字。</w:t>
      </w:r>
    </w:p>
    <w:p w14:paraId="4E20A7B4">
      <w:pPr>
        <w:pStyle w:val="65"/>
        <w:spacing w:before="120" w:after="120"/>
        <w:rPr>
          <w:rFonts w:ascii="Times New Roman"/>
        </w:rPr>
      </w:pPr>
      <w:r>
        <w:rPr>
          <w:rFonts w:ascii="Times New Roman"/>
        </w:rPr>
        <w:t>分光光度法</w:t>
      </w:r>
    </w:p>
    <w:p w14:paraId="55CE70BE">
      <w:pPr>
        <w:pStyle w:val="94"/>
        <w:spacing w:before="120" w:after="120"/>
        <w:rPr>
          <w:rFonts w:ascii="Times New Roman"/>
        </w:rPr>
      </w:pPr>
      <w:r>
        <w:rPr>
          <w:rFonts w:ascii="Times New Roman"/>
        </w:rPr>
        <w:t>方法提要</w:t>
      </w:r>
    </w:p>
    <w:p w14:paraId="6BC80662">
      <w:pPr>
        <w:pStyle w:val="56"/>
        <w:ind w:firstLine="420"/>
      </w:pPr>
      <w:r>
        <w:t>氨基酸在pH 8.0的条件下与茚三酮反应，形成紫色络合物，用分光光度法在570 nm的波长下测定其含量。</w:t>
      </w:r>
    </w:p>
    <w:p w14:paraId="73A9C3E0">
      <w:pPr>
        <w:pStyle w:val="94"/>
        <w:spacing w:before="120" w:after="120"/>
        <w:rPr>
          <w:rFonts w:ascii="Times New Roman"/>
        </w:rPr>
      </w:pPr>
      <w:bookmarkStart w:id="87" w:name="OLE_LINK5"/>
      <w:r>
        <w:rPr>
          <w:rFonts w:ascii="Times New Roman"/>
        </w:rPr>
        <w:t>试剂及试样溶液的制备</w:t>
      </w:r>
    </w:p>
    <w:bookmarkEnd w:id="87"/>
    <w:p w14:paraId="52CC6654">
      <w:pPr>
        <w:pStyle w:val="167"/>
        <w:rPr>
          <w:rFonts w:ascii="Times New Roman" w:hAnsi="Times New Roman"/>
        </w:rPr>
      </w:pPr>
      <w:r>
        <w:rPr>
          <w:rFonts w:ascii="Times New Roman" w:hAnsi="Times New Roman"/>
        </w:rPr>
        <w:t>盐酸溶液：6 mol/L。</w:t>
      </w:r>
    </w:p>
    <w:p w14:paraId="067E8B65">
      <w:pPr>
        <w:pStyle w:val="167"/>
        <w:rPr>
          <w:rFonts w:ascii="Times New Roman" w:hAnsi="Times New Roman"/>
        </w:rPr>
      </w:pPr>
      <w:r>
        <w:rPr>
          <w:rFonts w:ascii="Times New Roman" w:hAnsi="Times New Roman"/>
        </w:rPr>
        <w:t>磷酸盐缓冲液：pH 8.0。</w:t>
      </w:r>
    </w:p>
    <w:p w14:paraId="3FB6643A">
      <w:pPr>
        <w:pStyle w:val="167"/>
        <w:rPr>
          <w:rFonts w:ascii="Times New Roman" w:hAnsi="Times New Roman"/>
        </w:rPr>
      </w:pPr>
      <w:r>
        <w:rPr>
          <w:rFonts w:ascii="Times New Roman" w:hAnsi="Times New Roman"/>
        </w:rPr>
        <w:t>茚三酮溶液：2%。</w:t>
      </w:r>
    </w:p>
    <w:p w14:paraId="532FEA4C">
      <w:pPr>
        <w:pStyle w:val="167"/>
        <w:rPr>
          <w:rFonts w:ascii="Times New Roman" w:hAnsi="Times New Roman"/>
        </w:rPr>
      </w:pPr>
      <w:r>
        <w:rPr>
          <w:rFonts w:ascii="Times New Roman" w:hAnsi="Times New Roman"/>
        </w:rPr>
        <w:t>10 mg/mL 亮氨酸标准储备液。</w:t>
      </w:r>
    </w:p>
    <w:p w14:paraId="703C4EA8">
      <w:pPr>
        <w:pStyle w:val="167"/>
        <w:rPr>
          <w:rFonts w:ascii="Times New Roman" w:hAnsi="Times New Roman"/>
        </w:rPr>
      </w:pPr>
      <w:r>
        <w:rPr>
          <w:rFonts w:ascii="Times New Roman" w:hAnsi="Times New Roman"/>
        </w:rPr>
        <w:t>亮氨酸标准系列工作溶液</w:t>
      </w:r>
    </w:p>
    <w:p w14:paraId="54A27632">
      <w:pPr>
        <w:pStyle w:val="56"/>
        <w:ind w:firstLine="420"/>
      </w:pPr>
      <w:r>
        <w:t>精确移取0.50 mL、1.00 mL、1.50 mL、2.00 mL、2.50 mL、3.00 mL标准储备液，分别加水定容至50 mL容量瓶中，摇匀。该系列标准工作液1 mL分别含有0.10 mg、0.20 mg、0.30 mg、0.40 mg、0.50 mg、0.60 mg亮氨酸。</w:t>
      </w:r>
    </w:p>
    <w:p w14:paraId="779D3D0B">
      <w:pPr>
        <w:pStyle w:val="167"/>
        <w:rPr>
          <w:rFonts w:ascii="Times New Roman" w:hAnsi="Times New Roman"/>
        </w:rPr>
      </w:pPr>
      <w:r>
        <w:rPr>
          <w:rFonts w:ascii="Times New Roman" w:hAnsi="Times New Roman"/>
        </w:rPr>
        <w:t>试样溶液的制备：量取适量的试样，采用逐级稀释法，用水稀释至刻度，摇匀，备用。</w:t>
      </w:r>
    </w:p>
    <w:p w14:paraId="663BC9E0">
      <w:pPr>
        <w:pStyle w:val="94"/>
        <w:spacing w:before="120" w:after="120"/>
        <w:rPr>
          <w:rFonts w:ascii="Times New Roman"/>
        </w:rPr>
      </w:pPr>
      <w:r>
        <w:rPr>
          <w:rFonts w:ascii="Times New Roman"/>
        </w:rPr>
        <w:t>测定</w:t>
      </w:r>
    </w:p>
    <w:p w14:paraId="1EBC9262">
      <w:pPr>
        <w:pStyle w:val="167"/>
        <w:rPr>
          <w:rFonts w:ascii="Times New Roman" w:hAnsi="Times New Roman"/>
        </w:rPr>
      </w:pPr>
      <w:r>
        <w:rPr>
          <w:rFonts w:ascii="Times New Roman" w:hAnsi="Times New Roman"/>
        </w:rPr>
        <w:t>亮氨酸标准曲线的制作：分别准确吸取1 mL亮氨酸系列标准工作液于一组25 mL比色管中，加1 mL 磷酸缓冲液和1 mL 茚三酮溶液，混合均匀，在沸水浴中加热15 min，立即冷却后加水定容至25 mL。放置10 min后，1 cm比色杯，在570 nm处，以试剂空白溶液作参比，测定吸光度。空白试验除不加试样外，均按上述测定步骤进行。按上述的操作测定吸光度。将测得的吸光度作为y坐标，对应的亮氨酸含量作为x坐标，绘制标准曲线。</w:t>
      </w:r>
    </w:p>
    <w:p w14:paraId="434884AE">
      <w:pPr>
        <w:pStyle w:val="167"/>
        <w:rPr>
          <w:rFonts w:ascii="Times New Roman" w:hAnsi="Times New Roman"/>
        </w:rPr>
      </w:pPr>
      <w:r>
        <w:rPr>
          <w:rFonts w:ascii="Times New Roman" w:hAnsi="Times New Roman"/>
        </w:rPr>
        <w:t xml:space="preserve">试样测定：准确吸取试样溶液1 mL，加入25 mL比色管中，加1 mL 磷酸缓冲液和1 mL 茚三酮溶液，混合均匀，在沸水浴中加热15 min，立即冷却后加水定容至25 mL。放置10 min后，1 cm比色杯，在570 nm处，以试剂空白溶液作参比，测定吸光度。 </w:t>
      </w:r>
    </w:p>
    <w:p w14:paraId="5016E133">
      <w:pPr>
        <w:pStyle w:val="94"/>
        <w:spacing w:before="120" w:after="120"/>
        <w:rPr>
          <w:rFonts w:ascii="Times New Roman"/>
        </w:rPr>
      </w:pPr>
      <w:r>
        <w:rPr>
          <w:rFonts w:ascii="Times New Roman"/>
        </w:rPr>
        <w:t>结果计算</w:t>
      </w:r>
    </w:p>
    <w:p w14:paraId="18CA4123">
      <w:pPr>
        <w:pStyle w:val="56"/>
        <w:ind w:firstLine="420"/>
      </w:pPr>
      <w:r>
        <w:t>试样中游离氨基酸含量按式（3）计算：</w:t>
      </w:r>
    </w:p>
    <w:p w14:paraId="2231ACDD">
      <w:pPr>
        <w:pStyle w:val="113"/>
        <w:rPr>
          <w:rFonts w:ascii="Times New Roman" w:hAnsi="Times New Roman"/>
        </w:rPr>
      </w:pPr>
      <w:r>
        <w:rPr>
          <w:rFonts w:ascii="Times New Roman" w:hAnsi="Times New Roman"/>
        </w:rPr>
        <w:tab/>
      </w:r>
      <m:oMath>
        <m:r>
          <m:rPr>
            <m:nor/>
            <m:sty m:val="p"/>
          </m:rPr>
          <w:rPr>
            <w:rFonts w:ascii="Times New Roman" w:hAnsi="Times New Roman"/>
          </w:rPr>
          <m:t>X=N×C</m:t>
        </m:r>
      </m:oMath>
      <w:r>
        <w:rPr>
          <w:rFonts w:ascii="Times New Roman" w:hAnsi="Times New Roman" w:eastAsia="微软雅黑"/>
        </w:rPr>
        <w:tab/>
      </w:r>
      <w:r>
        <w:rPr>
          <w:rFonts w:ascii="Times New Roman" w:hAnsi="Times New Roman"/>
        </w:rPr>
        <w:t>(</w:t>
      </w:r>
      <w:r>
        <w:rPr>
          <w:rFonts w:ascii="Times New Roman" w:hAnsi="Times New Roman"/>
        </w:rPr>
        <w:fldChar w:fldCharType="begin"/>
      </w:r>
      <w:r>
        <w:rPr>
          <w:rFonts w:ascii="Times New Roman" w:hAnsi="Times New Roman"/>
        </w:rPr>
        <w:instrText xml:space="preserve"> SEQ 公式 \* ARABIC </w:instrText>
      </w:r>
      <w:r>
        <w:rPr>
          <w:rFonts w:ascii="Times New Roman" w:hAnsi="Times New Roman"/>
        </w:rPr>
        <w:fldChar w:fldCharType="separate"/>
      </w:r>
      <w:r>
        <w:rPr>
          <w:rFonts w:ascii="Times New Roman" w:hAnsi="Times New Roman"/>
        </w:rPr>
        <w:t>3</w:t>
      </w:r>
      <w:r>
        <w:rPr>
          <w:rFonts w:ascii="Times New Roman" w:hAnsi="Times New Roman"/>
        </w:rPr>
        <w:fldChar w:fldCharType="end"/>
      </w:r>
      <w:r>
        <w:rPr>
          <w:rFonts w:ascii="Times New Roman" w:hAnsi="Times New Roman"/>
        </w:rPr>
        <w:t>)</w:t>
      </w:r>
    </w:p>
    <w:p w14:paraId="66C16942">
      <w:pPr>
        <w:pStyle w:val="56"/>
        <w:ind w:firstLine="420"/>
      </w:pPr>
      <w:r>
        <w:t>式中：</w:t>
      </w:r>
    </w:p>
    <w:p w14:paraId="24EFF40D">
      <w:pPr>
        <w:pStyle w:val="56"/>
        <w:ind w:firstLine="420"/>
      </w:pPr>
      <w:r>
        <w:t>X——氨基酸含量，单位为毫升（mg/L）；</w:t>
      </w:r>
    </w:p>
    <w:p w14:paraId="24725FDB">
      <w:pPr>
        <w:pStyle w:val="56"/>
        <w:ind w:firstLine="420"/>
      </w:pPr>
      <w:r>
        <w:t>C——根据测定的吸光度从标准曲线上查得的亮氨酸的毫克数；</w:t>
      </w:r>
    </w:p>
    <w:p w14:paraId="52D412D3">
      <w:pPr>
        <w:pStyle w:val="56"/>
        <w:ind w:firstLine="420"/>
      </w:pPr>
      <w:r>
        <w:t>N——试液稀释倍数。</w:t>
      </w:r>
    </w:p>
    <w:p w14:paraId="2CE30052">
      <w:pPr>
        <w:pStyle w:val="56"/>
        <w:ind w:firstLine="420"/>
      </w:pPr>
      <w:r>
        <w:t>取两次测定的</w:t>
      </w:r>
      <w:r>
        <w:rPr>
          <w:rFonts w:hint="eastAsia"/>
        </w:rPr>
        <w:t>算术</w:t>
      </w:r>
      <w:r>
        <w:t>平均值作为结果，保留小数点后2位。</w:t>
      </w:r>
    </w:p>
    <w:p w14:paraId="1B901133">
      <w:pPr>
        <w:pStyle w:val="105"/>
        <w:spacing w:before="120" w:after="120"/>
        <w:rPr>
          <w:rFonts w:ascii="Times New Roman"/>
        </w:rPr>
      </w:pPr>
      <w:bookmarkStart w:id="88" w:name="_Toc7919"/>
      <w:bookmarkStart w:id="89" w:name="_Toc29565"/>
      <w:r>
        <w:rPr>
          <w:rFonts w:ascii="Times New Roman"/>
        </w:rPr>
        <w:t>有机酸</w:t>
      </w:r>
      <w:r>
        <w:rPr>
          <w:rFonts w:hint="eastAsia" w:ascii="Times New Roman"/>
        </w:rPr>
        <w:t>（以乳酸计）</w:t>
      </w:r>
      <w:r>
        <w:rPr>
          <w:rFonts w:ascii="Times New Roman"/>
        </w:rPr>
        <w:t>的测定</w:t>
      </w:r>
      <w:bookmarkEnd w:id="88"/>
      <w:bookmarkEnd w:id="89"/>
    </w:p>
    <w:p w14:paraId="4DCE23BF">
      <w:pPr>
        <w:pStyle w:val="65"/>
        <w:spacing w:before="120" w:after="120"/>
        <w:rPr>
          <w:rFonts w:ascii="Times New Roman"/>
        </w:rPr>
      </w:pPr>
      <w:r>
        <w:rPr>
          <w:rFonts w:hint="eastAsia" w:ascii="Times New Roman"/>
        </w:rPr>
        <w:t>酸碱滴定法</w:t>
      </w:r>
    </w:p>
    <w:p w14:paraId="783E2B21">
      <w:pPr>
        <w:pStyle w:val="56"/>
        <w:ind w:firstLine="420"/>
      </w:pPr>
      <w:r>
        <w:rPr>
          <w:rFonts w:hint="eastAsia"/>
        </w:rPr>
        <w:t>本方法适用于未经碱性物质处理的产品。</w:t>
      </w:r>
      <w:r>
        <w:t>试样中的有机酸，以酚酞为指示剂，采用氢氧化钠溶液进行中和滴定，以消耗氢氧化钠标准滴定溶液的量计算试样的酸度。</w:t>
      </w:r>
    </w:p>
    <w:p w14:paraId="04097B8A">
      <w:pPr>
        <w:pStyle w:val="94"/>
        <w:spacing w:before="120" w:after="120"/>
        <w:rPr>
          <w:rFonts w:ascii="Times New Roman"/>
        </w:rPr>
      </w:pPr>
      <w:r>
        <w:rPr>
          <w:rFonts w:ascii="Times New Roman"/>
        </w:rPr>
        <w:t>试剂及试样溶液的制备</w:t>
      </w:r>
    </w:p>
    <w:p w14:paraId="7AD51BFF">
      <w:pPr>
        <w:pStyle w:val="166"/>
        <w:spacing w:before="120" w:after="120"/>
        <w:rPr>
          <w:rFonts w:ascii="Times New Roman"/>
        </w:rPr>
      </w:pPr>
      <w:bookmarkStart w:id="90" w:name="OLE_LINK4"/>
      <w:r>
        <w:rPr>
          <w:rFonts w:ascii="Times New Roman"/>
        </w:rPr>
        <w:t>试样溶液制备：称取10.00 g黄水，用蒸馏水定容至100 mL，摇匀备用。如果样品中有机酸含量太高可以进行适当的稀释。</w:t>
      </w:r>
    </w:p>
    <w:p w14:paraId="5C9FEEAF">
      <w:pPr>
        <w:pStyle w:val="166"/>
        <w:spacing w:before="120" w:after="120"/>
      </w:pPr>
      <w:r>
        <w:t>氢氧化钠标准滴定溶液：</w:t>
      </w:r>
      <w:r>
        <w:rPr>
          <w:rFonts w:ascii="Times New Roman"/>
        </w:rPr>
        <w:t>0.1000 mol/L。</w:t>
      </w:r>
      <w:bookmarkEnd w:id="90"/>
    </w:p>
    <w:p w14:paraId="7E94A2E3">
      <w:pPr>
        <w:pStyle w:val="166"/>
        <w:spacing w:before="120" w:after="120"/>
      </w:pPr>
      <w:r>
        <w:t>酚酞指示液</w:t>
      </w:r>
      <w:r>
        <w:rPr>
          <w:rFonts w:ascii="Times New Roman"/>
        </w:rPr>
        <w:t>：10 g/L。</w:t>
      </w:r>
    </w:p>
    <w:p w14:paraId="2739CD36">
      <w:pPr>
        <w:pStyle w:val="94"/>
        <w:spacing w:before="120" w:after="120"/>
      </w:pPr>
      <w:r>
        <w:t>测定</w:t>
      </w:r>
    </w:p>
    <w:p w14:paraId="6F825613">
      <w:pPr>
        <w:pStyle w:val="56"/>
        <w:ind w:firstLine="420"/>
      </w:pPr>
      <w:r>
        <w:rPr>
          <w:rFonts w:hint="eastAsia"/>
        </w:rPr>
        <w:t>准确吸取20.0 mL溶液于150 mL三角瓶中，加入2</w:t>
      </w:r>
      <w:r>
        <w:rPr>
          <w:rFonts w:hint="eastAsia" w:ascii="宋体" w:hAnsi="宋体"/>
        </w:rPr>
        <w:t>～</w:t>
      </w:r>
      <w:r>
        <w:rPr>
          <w:rFonts w:hint="eastAsia"/>
        </w:rPr>
        <w:t>4滴酚酞指示液，用0.1000 mol/L氢氧化钠标准滴定溶液滴定</w:t>
      </w:r>
      <w:bookmarkStart w:id="126" w:name="_GoBack"/>
      <w:r>
        <w:rPr>
          <w:rFonts w:hint="eastAsia"/>
        </w:rPr>
        <w:t>至为</w:t>
      </w:r>
      <w:bookmarkEnd w:id="126"/>
      <w:r>
        <w:rPr>
          <w:rFonts w:hint="eastAsia"/>
        </w:rPr>
        <w:t>微红色30 s不褪色。记录消耗的氢氧化钠标准滴定溶液体积数值。</w:t>
      </w:r>
    </w:p>
    <w:p w14:paraId="762CFF59">
      <w:pPr>
        <w:pStyle w:val="94"/>
        <w:spacing w:before="120" w:after="120"/>
      </w:pPr>
      <w:r>
        <w:t>结果计算</w:t>
      </w:r>
    </w:p>
    <w:p w14:paraId="374D01A1">
      <w:pPr>
        <w:pStyle w:val="56"/>
        <w:ind w:firstLine="420"/>
      </w:pPr>
      <w:r>
        <w:t>试样中</w:t>
      </w:r>
      <w:r>
        <w:rPr>
          <w:rFonts w:hint="eastAsia"/>
        </w:rPr>
        <w:t>总</w:t>
      </w:r>
      <w:r>
        <w:t>有机酸</w:t>
      </w:r>
      <w:r>
        <w:rPr>
          <w:rFonts w:hint="eastAsia"/>
        </w:rPr>
        <w:t>（以乳酸计）</w:t>
      </w:r>
      <w:r>
        <w:t>的含量按式（</w:t>
      </w:r>
      <w:r>
        <w:rPr>
          <w:rFonts w:hint="eastAsia"/>
        </w:rPr>
        <w:t>5</w:t>
      </w:r>
      <w:r>
        <w:t>）计算：</w:t>
      </w:r>
    </w:p>
    <w:p w14:paraId="2044408D">
      <w:pPr>
        <w:pStyle w:val="113"/>
        <w:rPr>
          <w:rFonts w:ascii="Times New Roman" w:hAnsi="Times New Roman"/>
        </w:rPr>
      </w:pPr>
      <w:r>
        <w:rPr>
          <w:rFonts w:ascii="Times New Roman" w:hAnsi="Times New Roman"/>
        </w:rPr>
        <w:tab/>
      </w:r>
      <m:oMath>
        <m:r>
          <m:rPr>
            <m:nor/>
            <m:sty m:val="p"/>
          </m:rPr>
          <w:rPr>
            <w:rFonts w:ascii="Times New Roman" w:hAnsi="Times New Roman"/>
          </w:rPr>
          <m:t>X=</m:t>
        </m:r>
        <m:f>
          <m:fPr>
            <m:ctrlPr>
              <w:rPr>
                <w:rFonts w:ascii="Cambria Math" w:hAnsi="Cambria Math"/>
              </w:rPr>
            </m:ctrlPr>
          </m:fPr>
          <m:num>
            <m:r>
              <m:rPr>
                <m:nor/>
                <m:sty m:val="p"/>
              </m:rPr>
              <w:rPr>
                <w:rFonts w:ascii="Times New Roman" w:hAnsi="Times New Roman"/>
              </w:rPr>
              <m:t>[C×(</m:t>
            </m:r>
            <m:sSub>
              <m:sSubPr>
                <m:ctrlPr>
                  <w:rPr>
                    <w:rFonts w:ascii="Cambria Math" w:hAnsi="Cambria Math"/>
                    <w:iCs/>
                  </w:rPr>
                </m:ctrlPr>
              </m:sSubPr>
              <m:e>
                <m:r>
                  <m:rPr>
                    <m:sty m:val="p"/>
                  </m:rPr>
                  <w:rPr>
                    <w:rFonts w:ascii="Cambria Math" w:hAnsi="Cambria Math"/>
                  </w:rPr>
                  <m:t>V</m:t>
                </m:r>
                <m:ctrlPr>
                  <w:rPr>
                    <w:rFonts w:ascii="Cambria Math" w:hAnsi="Cambria Math"/>
                    <w:iCs/>
                  </w:rPr>
                </m:ctrlPr>
              </m:e>
              <m:sub>
                <m:r>
                  <m:rPr>
                    <m:sty m:val="p"/>
                  </m:rPr>
                  <w:rPr>
                    <w:rFonts w:hint="eastAsia" w:ascii="Cambria Math" w:hAnsi="Cambria Math"/>
                  </w:rPr>
                  <m:t>1</m:t>
                </m:r>
                <m:ctrlPr>
                  <w:rPr>
                    <w:rFonts w:ascii="Cambria Math" w:hAnsi="Cambria Math"/>
                    <w:iCs/>
                  </w:rPr>
                </m:ctrlPr>
              </m:sub>
            </m:sSub>
            <m:r>
              <m:rPr>
                <m:nor/>
                <m:sty m:val="p"/>
              </m:rPr>
              <w:rPr>
                <w:rFonts w:ascii="Times New Roman" w:hAnsi="Times New Roman"/>
                <w:iCs/>
              </w:rPr>
              <m:t>-</m:t>
            </m:r>
            <m:sSub>
              <m:sSubPr>
                <m:ctrlPr>
                  <w:rPr>
                    <w:rFonts w:ascii="Cambria Math" w:hAnsi="Cambria Math"/>
                    <w:iCs/>
                  </w:rPr>
                </m:ctrlPr>
              </m:sSubPr>
              <m:e>
                <m:r>
                  <m:rPr>
                    <m:sty m:val="p"/>
                  </m:rPr>
                  <w:rPr>
                    <w:rFonts w:ascii="Cambria Math" w:hAnsi="Cambria Math"/>
                  </w:rPr>
                  <m:t>V</m:t>
                </m:r>
                <m:ctrlPr>
                  <w:rPr>
                    <w:rFonts w:ascii="Cambria Math" w:hAnsi="Cambria Math"/>
                    <w:iCs/>
                  </w:rPr>
                </m:ctrlPr>
              </m:e>
              <m:sub>
                <m:r>
                  <m:rPr>
                    <m:sty m:val="p"/>
                  </m:rPr>
                  <w:rPr>
                    <w:rFonts w:ascii="Cambria Math" w:hAnsi="Cambria Math"/>
                  </w:rPr>
                  <m:t>2</m:t>
                </m:r>
                <m:ctrlPr>
                  <w:rPr>
                    <w:rFonts w:ascii="Cambria Math" w:hAnsi="Cambria Math"/>
                    <w:iCs/>
                  </w:rPr>
                </m:ctrlPr>
              </m:sub>
            </m:sSub>
            <m:r>
              <m:rPr>
                <m:nor/>
                <m:sty m:val="p"/>
              </m:rPr>
              <w:rPr>
                <w:rFonts w:ascii="Times New Roman" w:hAnsi="Times New Roman"/>
              </w:rPr>
              <m:t>)0.09×D]×1000</m:t>
            </m:r>
            <m:ctrlPr>
              <w:rPr>
                <w:rFonts w:ascii="Cambria Math" w:hAnsi="Cambria Math"/>
              </w:rPr>
            </m:ctrlPr>
          </m:num>
          <m:den>
            <m:r>
              <m:rPr>
                <m:nor/>
                <m:sty m:val="p"/>
              </m:rPr>
              <w:rPr>
                <w:rFonts w:ascii="Times New Roman" w:hAnsi="Times New Roman"/>
              </w:rPr>
              <m:t>V</m:t>
            </m:r>
            <m:ctrlPr>
              <w:rPr>
                <w:rFonts w:ascii="Cambria Math" w:hAnsi="Cambria Math"/>
              </w:rPr>
            </m:ctrlPr>
          </m:den>
        </m:f>
      </m:oMath>
      <w:r>
        <w:rPr>
          <w:rFonts w:ascii="Times New Roman" w:hAnsi="Times New Roman" w:eastAsia="微软雅黑"/>
        </w:rPr>
        <w:tab/>
      </w:r>
      <w:r>
        <w:rPr>
          <w:rFonts w:ascii="Times New Roman" w:hAnsi="Times New Roman"/>
        </w:rPr>
        <w:t>(</w:t>
      </w:r>
      <w:r>
        <w:rPr>
          <w:rFonts w:hint="eastAsia" w:ascii="Times New Roman" w:hAnsi="Times New Roman"/>
        </w:rPr>
        <w:t>5</w:t>
      </w:r>
      <w:r>
        <w:rPr>
          <w:rFonts w:ascii="Times New Roman" w:hAnsi="Times New Roman"/>
        </w:rPr>
        <w:t>)</w:t>
      </w:r>
    </w:p>
    <w:p w14:paraId="756D2A80">
      <w:pPr>
        <w:pStyle w:val="56"/>
        <w:ind w:firstLine="420"/>
      </w:pPr>
      <w:r>
        <w:t>式中：</w:t>
      </w:r>
    </w:p>
    <w:p w14:paraId="78046310">
      <w:pPr>
        <w:pStyle w:val="56"/>
        <w:ind w:firstLine="420"/>
      </w:pPr>
      <w:r>
        <w:t>X ——试样中有机酸的含量，单位为克每</w:t>
      </w:r>
      <w:r>
        <w:rPr>
          <w:rFonts w:hint="eastAsia"/>
        </w:rPr>
        <w:t>升</w:t>
      </w:r>
      <w:r>
        <w:t>（g/L）；</w:t>
      </w:r>
    </w:p>
    <w:p w14:paraId="5B5952AC">
      <w:pPr>
        <w:pStyle w:val="56"/>
        <w:ind w:firstLine="420"/>
      </w:pPr>
      <w:r>
        <w:t>C ——氢氧化钠标准</w:t>
      </w:r>
      <w:r>
        <w:rPr>
          <w:rFonts w:hint="eastAsia"/>
        </w:rPr>
        <w:t>滴定</w:t>
      </w:r>
      <w:r>
        <w:t>溶液的浓度，单位为摩尔每升（mol/L）；</w:t>
      </w:r>
    </w:p>
    <w:p w14:paraId="0CC5860D">
      <w:pPr>
        <w:pStyle w:val="56"/>
        <w:ind w:firstLine="420"/>
      </w:pPr>
      <w:r>
        <w:t>V</w:t>
      </w:r>
      <w:r>
        <w:rPr>
          <w:vertAlign w:val="subscript"/>
        </w:rPr>
        <w:t xml:space="preserve">1 </w:t>
      </w:r>
      <w:r>
        <w:t>——滴定试样溶液时消耗氢氧化钠标准滴定溶液的体积，单位为（mL）；</w:t>
      </w:r>
    </w:p>
    <w:p w14:paraId="10B453FA">
      <w:pPr>
        <w:pStyle w:val="56"/>
        <w:ind w:firstLine="420"/>
      </w:pPr>
      <w:r>
        <w:t>V</w:t>
      </w:r>
      <w:r>
        <w:rPr>
          <w:vertAlign w:val="subscript"/>
        </w:rPr>
        <w:t xml:space="preserve">2 </w:t>
      </w:r>
      <w:r>
        <w:t>——滴定空白时消耗氢氧化钠标准滴定溶液的体积，单位为（mL）；</w:t>
      </w:r>
    </w:p>
    <w:p w14:paraId="71065A96">
      <w:pPr>
        <w:pStyle w:val="56"/>
        <w:ind w:firstLine="420"/>
      </w:pPr>
      <w:r>
        <w:t>0.00</w:t>
      </w:r>
      <w:r>
        <w:rPr>
          <w:rFonts w:hint="eastAsia"/>
        </w:rPr>
        <w:t>9</w:t>
      </w:r>
      <w:r>
        <w:t>——换算单位，以</w:t>
      </w:r>
      <w:r>
        <w:rPr>
          <w:rFonts w:hint="eastAsia"/>
        </w:rPr>
        <w:t>乳</w:t>
      </w:r>
      <w:r>
        <w:t>酸计；</w:t>
      </w:r>
    </w:p>
    <w:p w14:paraId="1BCE123F">
      <w:pPr>
        <w:pStyle w:val="56"/>
        <w:ind w:firstLine="420"/>
      </w:pPr>
      <w:r>
        <w:t>D——试液的稀释倍数；</w:t>
      </w:r>
    </w:p>
    <w:p w14:paraId="4B9EC823">
      <w:pPr>
        <w:pStyle w:val="56"/>
        <w:ind w:firstLine="420"/>
      </w:pPr>
      <w:r>
        <w:rPr>
          <w:rFonts w:hint="eastAsia"/>
        </w:rPr>
        <w:t>V</w:t>
      </w:r>
      <w:r>
        <w:t>——试样</w:t>
      </w:r>
      <w:r>
        <w:rPr>
          <w:rFonts w:hint="eastAsia"/>
        </w:rPr>
        <w:t>体积</w:t>
      </w:r>
      <w:r>
        <w:t>，单位为</w:t>
      </w:r>
      <w:r>
        <w:rPr>
          <w:rFonts w:hint="eastAsia"/>
        </w:rPr>
        <w:t>毫升</w:t>
      </w:r>
      <w:r>
        <w:t>（</w:t>
      </w:r>
      <w:r>
        <w:rPr>
          <w:rFonts w:hint="eastAsia"/>
        </w:rPr>
        <w:t>mL</w:t>
      </w:r>
      <w:r>
        <w:t>）；</w:t>
      </w:r>
    </w:p>
    <w:p w14:paraId="2570CAF9">
      <w:pPr>
        <w:pStyle w:val="56"/>
        <w:ind w:firstLine="420"/>
      </w:pPr>
      <w:r>
        <w:t>1000——换算系数。</w:t>
      </w:r>
    </w:p>
    <w:p w14:paraId="73276747">
      <w:pPr>
        <w:pStyle w:val="56"/>
        <w:ind w:firstLine="420"/>
      </w:pPr>
      <w:r>
        <w:t>计算结果以重复性条件下获得的两次独立测定结果的算术平均值表示，结果保留两位有效数字。</w:t>
      </w:r>
    </w:p>
    <w:p w14:paraId="49B2112B">
      <w:pPr>
        <w:pStyle w:val="65"/>
        <w:spacing w:before="120" w:after="120"/>
        <w:rPr>
          <w:rFonts w:ascii="Times New Roman"/>
        </w:rPr>
      </w:pPr>
      <w:r>
        <w:rPr>
          <w:rFonts w:hint="eastAsia" w:ascii="Times New Roman"/>
        </w:rPr>
        <w:t>乳酸含量测定（仲裁法）</w:t>
      </w:r>
    </w:p>
    <w:p w14:paraId="2F8CE186">
      <w:pPr>
        <w:pStyle w:val="56"/>
        <w:ind w:firstLine="420"/>
      </w:pPr>
      <w:r>
        <w:rPr>
          <w:rFonts w:hint="eastAsia"/>
        </w:rPr>
        <w:t>按照</w:t>
      </w:r>
      <w:r>
        <w:t>GB/T 23877</w:t>
      </w:r>
      <w:r>
        <w:rPr>
          <w:rFonts w:hint="eastAsia"/>
        </w:rPr>
        <w:t>规定的方法进行测定。</w:t>
      </w:r>
    </w:p>
    <w:p w14:paraId="4AB4A6DF">
      <w:pPr>
        <w:pStyle w:val="105"/>
        <w:spacing w:before="120" w:after="120"/>
        <w:rPr>
          <w:rFonts w:ascii="Times New Roman"/>
        </w:rPr>
      </w:pPr>
      <w:bookmarkStart w:id="91" w:name="_Toc25370"/>
      <w:bookmarkStart w:id="92" w:name="_Toc22396"/>
      <w:r>
        <w:rPr>
          <w:rFonts w:ascii="Times New Roman"/>
        </w:rPr>
        <w:t>氯化物的测定</w:t>
      </w:r>
      <w:bookmarkEnd w:id="91"/>
      <w:bookmarkEnd w:id="92"/>
    </w:p>
    <w:p w14:paraId="0F72A702">
      <w:pPr>
        <w:pStyle w:val="56"/>
        <w:ind w:firstLine="420"/>
      </w:pPr>
      <w:r>
        <w:t>按照</w:t>
      </w:r>
      <w:bookmarkStart w:id="93" w:name="OLE_LINK12"/>
      <w:r>
        <w:t>HG/T 5960-2021</w:t>
      </w:r>
      <w:bookmarkEnd w:id="93"/>
      <w:r>
        <w:t xml:space="preserve"> 规定的方法进行测定。</w:t>
      </w:r>
    </w:p>
    <w:p w14:paraId="3C7DC414">
      <w:pPr>
        <w:pStyle w:val="105"/>
        <w:spacing w:before="120" w:after="120"/>
        <w:rPr>
          <w:rFonts w:ascii="Times New Roman"/>
        </w:rPr>
      </w:pPr>
      <w:bookmarkStart w:id="94" w:name="_Toc22434"/>
      <w:bookmarkStart w:id="95" w:name="_Toc5861"/>
      <w:r>
        <w:rPr>
          <w:rFonts w:ascii="Times New Roman"/>
        </w:rPr>
        <w:t>总磷（TP）的测定</w:t>
      </w:r>
      <w:bookmarkEnd w:id="94"/>
      <w:bookmarkEnd w:id="95"/>
    </w:p>
    <w:p w14:paraId="3FD810A0">
      <w:pPr>
        <w:pStyle w:val="56"/>
        <w:ind w:firstLine="420"/>
      </w:pPr>
      <w:r>
        <w:t>按照GB 11893 规定的方法进行测定。</w:t>
      </w:r>
    </w:p>
    <w:p w14:paraId="5F02B067">
      <w:pPr>
        <w:pStyle w:val="105"/>
        <w:spacing w:before="120" w:after="120"/>
        <w:rPr>
          <w:rFonts w:ascii="Times New Roman"/>
        </w:rPr>
      </w:pPr>
      <w:bookmarkStart w:id="96" w:name="_Toc30288"/>
      <w:bookmarkStart w:id="97" w:name="_Toc5183"/>
      <w:r>
        <w:rPr>
          <w:rFonts w:ascii="Times New Roman"/>
        </w:rPr>
        <w:t>总氮（TN）的测定</w:t>
      </w:r>
      <w:bookmarkEnd w:id="96"/>
      <w:bookmarkEnd w:id="97"/>
    </w:p>
    <w:p w14:paraId="053636F0">
      <w:pPr>
        <w:pStyle w:val="56"/>
        <w:ind w:firstLine="420"/>
      </w:pPr>
      <w:r>
        <w:t>按照HJ 636—2012 规定的方法进行测定。</w:t>
      </w:r>
    </w:p>
    <w:p w14:paraId="0BE64EA9">
      <w:pPr>
        <w:pStyle w:val="105"/>
        <w:spacing w:before="120" w:after="120"/>
        <w:rPr>
          <w:rFonts w:ascii="Times New Roman"/>
        </w:rPr>
      </w:pPr>
      <w:bookmarkStart w:id="98" w:name="_Toc14322"/>
      <w:bookmarkStart w:id="99" w:name="_Toc8088"/>
      <w:r>
        <w:rPr>
          <w:rFonts w:ascii="Times New Roman"/>
        </w:rPr>
        <w:t>铬、镉、汞的测定</w:t>
      </w:r>
      <w:bookmarkEnd w:id="98"/>
      <w:bookmarkEnd w:id="99"/>
    </w:p>
    <w:p w14:paraId="1D646916">
      <w:pPr>
        <w:pStyle w:val="56"/>
        <w:ind w:firstLine="420"/>
      </w:pPr>
      <w:r>
        <w:t>按照GB/T 37883-2019 规定的方法进行测定。</w:t>
      </w:r>
    </w:p>
    <w:p w14:paraId="3020339B">
      <w:pPr>
        <w:pStyle w:val="105"/>
        <w:spacing w:before="120" w:after="120"/>
        <w:rPr>
          <w:rFonts w:ascii="Times New Roman"/>
        </w:rPr>
      </w:pPr>
      <w:bookmarkStart w:id="100" w:name="_Toc25943"/>
      <w:bookmarkStart w:id="101" w:name="_Toc20007"/>
      <w:r>
        <w:rPr>
          <w:rFonts w:ascii="Times New Roman"/>
        </w:rPr>
        <w:t>砷、铅的测定</w:t>
      </w:r>
      <w:bookmarkEnd w:id="100"/>
      <w:bookmarkEnd w:id="101"/>
    </w:p>
    <w:p w14:paraId="5E688724">
      <w:pPr>
        <w:pStyle w:val="56"/>
        <w:ind w:firstLine="420"/>
      </w:pPr>
      <w:bookmarkStart w:id="102" w:name="OLE_LINK6"/>
      <w:r>
        <w:t>按照GB/T 33086-2016 规定的方法进行测定。</w:t>
      </w:r>
    </w:p>
    <w:bookmarkEnd w:id="102"/>
    <w:p w14:paraId="048ABE58">
      <w:pPr>
        <w:pStyle w:val="105"/>
        <w:spacing w:before="120" w:after="120"/>
        <w:rPr>
          <w:rFonts w:ascii="Times New Roman"/>
        </w:rPr>
      </w:pPr>
      <w:r>
        <w:rPr>
          <w:rFonts w:ascii="Times New Roman"/>
        </w:rPr>
        <w:t>闪点的测定</w:t>
      </w:r>
    </w:p>
    <w:p w14:paraId="61E38825">
      <w:pPr>
        <w:ind w:firstLine="420" w:firstLineChars="200"/>
      </w:pPr>
      <w:r>
        <w:t>按照 GB/T 5208规定的方法进行测定。</w:t>
      </w:r>
    </w:p>
    <w:p w14:paraId="3E6E36B8">
      <w:pPr>
        <w:pStyle w:val="105"/>
        <w:spacing w:before="120" w:after="120"/>
        <w:rPr>
          <w:rFonts w:ascii="Times New Roman"/>
        </w:rPr>
      </w:pPr>
      <w:r>
        <w:rPr>
          <w:rFonts w:ascii="Times New Roman"/>
        </w:rPr>
        <w:t>金属腐蚀速率的测定</w:t>
      </w:r>
    </w:p>
    <w:p w14:paraId="6E0C40A4">
      <w:pPr>
        <w:ind w:firstLine="420" w:firstLineChars="200"/>
      </w:pPr>
      <w:r>
        <w:t>按照 GB/T 21621规定的方法进行测定。</w:t>
      </w:r>
    </w:p>
    <w:p w14:paraId="6B155501">
      <w:pPr>
        <w:pStyle w:val="104"/>
        <w:spacing w:before="240" w:after="240"/>
        <w:rPr>
          <w:rFonts w:ascii="Times New Roman"/>
        </w:rPr>
      </w:pPr>
      <w:bookmarkStart w:id="103" w:name="_Toc30098"/>
      <w:bookmarkStart w:id="104" w:name="_Toc25647"/>
      <w:r>
        <w:rPr>
          <w:rFonts w:ascii="Times New Roman"/>
        </w:rPr>
        <w:t>检验</w:t>
      </w:r>
      <w:bookmarkEnd w:id="103"/>
      <w:bookmarkEnd w:id="104"/>
    </w:p>
    <w:p w14:paraId="2C6AFAE7">
      <w:pPr>
        <w:pStyle w:val="105"/>
        <w:spacing w:before="120" w:after="120"/>
        <w:rPr>
          <w:rFonts w:ascii="Times New Roman"/>
        </w:rPr>
      </w:pPr>
      <w:bookmarkStart w:id="105" w:name="_Toc31182"/>
      <w:bookmarkStart w:id="106" w:name="_Toc25052"/>
      <w:r>
        <w:rPr>
          <w:rFonts w:ascii="Times New Roman"/>
        </w:rPr>
        <w:t>检验规则</w:t>
      </w:r>
      <w:bookmarkEnd w:id="105"/>
      <w:bookmarkEnd w:id="106"/>
    </w:p>
    <w:p w14:paraId="1F284D5B">
      <w:pPr>
        <w:pStyle w:val="65"/>
        <w:spacing w:before="120" w:after="120"/>
        <w:rPr>
          <w:rFonts w:ascii="Times New Roman"/>
        </w:rPr>
      </w:pPr>
      <w:r>
        <w:rPr>
          <w:rFonts w:ascii="Times New Roman"/>
        </w:rPr>
        <w:t>出厂检验</w:t>
      </w:r>
    </w:p>
    <w:p w14:paraId="682C62F0">
      <w:pPr>
        <w:pStyle w:val="56"/>
        <w:ind w:firstLine="420"/>
      </w:pPr>
      <w:r>
        <w:t>本文件中第4章规定的外观、气味、表1中的CODcr、总氮、总磷均为出厂检验项目，每批次必检。具体出厂检测模板详见附录A表A.1。</w:t>
      </w:r>
    </w:p>
    <w:p w14:paraId="20A91C13">
      <w:pPr>
        <w:pStyle w:val="56"/>
        <w:ind w:firstLine="420"/>
      </w:pPr>
    </w:p>
    <w:p w14:paraId="09DC8AF3">
      <w:pPr>
        <w:pStyle w:val="65"/>
        <w:spacing w:before="120" w:after="120"/>
        <w:rPr>
          <w:rFonts w:ascii="Times New Roman"/>
        </w:rPr>
      </w:pPr>
      <w:r>
        <w:rPr>
          <w:rFonts w:ascii="Times New Roman"/>
        </w:rPr>
        <w:t>型式检验</w:t>
      </w:r>
    </w:p>
    <w:p w14:paraId="6CCB461F">
      <w:pPr>
        <w:pStyle w:val="56"/>
        <w:ind w:firstLine="420"/>
      </w:pPr>
      <w:r>
        <w:t>本文件中第4章规定的全部项目为型式检验项目，在正常生产情况下每6个月至少进行一次型式检验。有下列情况之一时也应进行型式检验：</w:t>
      </w:r>
    </w:p>
    <w:p w14:paraId="4D4DF5CB">
      <w:pPr>
        <w:pStyle w:val="56"/>
        <w:ind w:firstLine="420"/>
      </w:pPr>
      <w:r>
        <w:t>a）新产品试产或老产品转产时；</w:t>
      </w:r>
    </w:p>
    <w:p w14:paraId="42DB4131">
      <w:pPr>
        <w:pStyle w:val="56"/>
        <w:ind w:firstLine="420"/>
      </w:pPr>
      <w:r>
        <w:t>b）原料、工艺或生产设备发生较大差异时；</w:t>
      </w:r>
    </w:p>
    <w:p w14:paraId="7060C379">
      <w:pPr>
        <w:pStyle w:val="56"/>
        <w:ind w:firstLine="420"/>
      </w:pPr>
      <w:r>
        <w:t>c）停产3个月后恢复生产时；</w:t>
      </w:r>
    </w:p>
    <w:p w14:paraId="4B37EE85">
      <w:pPr>
        <w:pStyle w:val="56"/>
        <w:ind w:firstLine="420"/>
      </w:pPr>
      <w:r>
        <w:t>d）出厂检验结果与上次型式检验有较大差异时。</w:t>
      </w:r>
    </w:p>
    <w:p w14:paraId="3BC63E02">
      <w:pPr>
        <w:pStyle w:val="105"/>
        <w:spacing w:before="120" w:after="120"/>
        <w:rPr>
          <w:rFonts w:ascii="Times New Roman"/>
        </w:rPr>
      </w:pPr>
      <w:bookmarkStart w:id="107" w:name="_Toc11007"/>
      <w:bookmarkStart w:id="108" w:name="_Toc5760"/>
      <w:r>
        <w:rPr>
          <w:rFonts w:ascii="Times New Roman"/>
        </w:rPr>
        <w:t>检验数据处理</w:t>
      </w:r>
      <w:bookmarkEnd w:id="107"/>
      <w:bookmarkEnd w:id="108"/>
    </w:p>
    <w:p w14:paraId="3F459676">
      <w:pPr>
        <w:pStyle w:val="56"/>
        <w:ind w:firstLine="420"/>
      </w:pPr>
      <w:r>
        <w:t>按照</w:t>
      </w:r>
      <w:bookmarkStart w:id="109" w:name="OLE_LINK14"/>
      <w:r>
        <w:t>GB 8170</w:t>
      </w:r>
      <w:bookmarkEnd w:id="109"/>
      <w:r>
        <w:t>中4.3.3规定执行。</w:t>
      </w:r>
    </w:p>
    <w:p w14:paraId="6BAA0E7F">
      <w:pPr>
        <w:pStyle w:val="105"/>
        <w:spacing w:before="120" w:after="120"/>
        <w:rPr>
          <w:rFonts w:ascii="Times New Roman"/>
        </w:rPr>
      </w:pPr>
      <w:bookmarkStart w:id="110" w:name="_Toc29225"/>
      <w:bookmarkStart w:id="111" w:name="_Toc10951"/>
      <w:r>
        <w:rPr>
          <w:rFonts w:ascii="Times New Roman"/>
        </w:rPr>
        <w:t>检验判定规则</w:t>
      </w:r>
      <w:bookmarkEnd w:id="110"/>
      <w:bookmarkEnd w:id="111"/>
    </w:p>
    <w:p w14:paraId="75FB11F9">
      <w:pPr>
        <w:pStyle w:val="56"/>
        <w:ind w:firstLine="420"/>
      </w:pPr>
      <w:r>
        <w:t>抽取样品检验中，所有项目全部合格，则判该批产品为合格品。若有一项不合格，则在原包装中采取复检，复检结果中仍有一项不合格时，则判该批产品为不合格品。</w:t>
      </w:r>
    </w:p>
    <w:p w14:paraId="3BED76C4">
      <w:pPr>
        <w:pStyle w:val="104"/>
        <w:spacing w:before="240" w:after="240"/>
        <w:rPr>
          <w:rFonts w:ascii="Times New Roman"/>
        </w:rPr>
      </w:pPr>
      <w:bookmarkStart w:id="112" w:name="_Toc19018"/>
      <w:bookmarkStart w:id="113" w:name="_Toc10911"/>
      <w:r>
        <w:rPr>
          <w:rFonts w:ascii="Times New Roman"/>
        </w:rPr>
        <w:t>标志</w:t>
      </w:r>
      <w:bookmarkEnd w:id="112"/>
      <w:bookmarkEnd w:id="113"/>
    </w:p>
    <w:p w14:paraId="1FF21A0B">
      <w:pPr>
        <w:pStyle w:val="105"/>
        <w:spacing w:before="120" w:after="120"/>
        <w:rPr>
          <w:rFonts w:ascii="Times New Roman"/>
        </w:rPr>
      </w:pPr>
      <w:bookmarkStart w:id="114" w:name="_Toc15837"/>
      <w:bookmarkStart w:id="115" w:name="_Toc15584"/>
      <w:r>
        <w:rPr>
          <w:rFonts w:ascii="Times New Roman"/>
        </w:rPr>
        <w:t>非电子标志</w:t>
      </w:r>
      <w:bookmarkEnd w:id="114"/>
      <w:bookmarkEnd w:id="115"/>
    </w:p>
    <w:p w14:paraId="25DDCD7F">
      <w:pPr>
        <w:pStyle w:val="56"/>
        <w:ind w:firstLine="420"/>
      </w:pPr>
      <w:r>
        <w:t>应有牢固、完整、清晰符合GB/T 191规定的标志，同时标明以下内容：</w:t>
      </w:r>
    </w:p>
    <w:p w14:paraId="49214F23">
      <w:pPr>
        <w:pStyle w:val="56"/>
        <w:ind w:firstLine="420"/>
      </w:pPr>
      <w:r>
        <w:t>a）产品名称；</w:t>
      </w:r>
    </w:p>
    <w:p w14:paraId="1DE5CEEE">
      <w:pPr>
        <w:pStyle w:val="56"/>
        <w:ind w:firstLine="420"/>
      </w:pPr>
      <w:r>
        <w:t>b）生产厂名或商标、地址、联系电话；</w:t>
      </w:r>
    </w:p>
    <w:p w14:paraId="14403271">
      <w:pPr>
        <w:pStyle w:val="56"/>
        <w:ind w:firstLine="420"/>
      </w:pPr>
      <w:r>
        <w:t>c）生产日期或批号；</w:t>
      </w:r>
    </w:p>
    <w:p w14:paraId="7DDBD271">
      <w:pPr>
        <w:pStyle w:val="56"/>
        <w:ind w:firstLine="420"/>
      </w:pPr>
      <w:r>
        <w:t>d）规格、数量、批号。</w:t>
      </w:r>
    </w:p>
    <w:p w14:paraId="75253E7F">
      <w:pPr>
        <w:pStyle w:val="105"/>
        <w:spacing w:before="120" w:after="120"/>
        <w:rPr>
          <w:rFonts w:ascii="Times New Roman"/>
        </w:rPr>
      </w:pPr>
      <w:bookmarkStart w:id="116" w:name="_Toc8383"/>
      <w:bookmarkStart w:id="117" w:name="_Toc14689"/>
      <w:r>
        <w:rPr>
          <w:rFonts w:ascii="Times New Roman"/>
        </w:rPr>
        <w:t>电子标志</w:t>
      </w:r>
      <w:bookmarkEnd w:id="116"/>
      <w:bookmarkEnd w:id="117"/>
    </w:p>
    <w:p w14:paraId="30DB7B4F">
      <w:pPr>
        <w:pStyle w:val="56"/>
        <w:ind w:firstLine="420"/>
      </w:pPr>
      <w:r>
        <w:t>电子标志应符合</w:t>
      </w:r>
      <w:r>
        <w:rPr>
          <w:rFonts w:hint="eastAsia"/>
        </w:rPr>
        <w:t>以下</w:t>
      </w:r>
      <w:r>
        <w:t>要求：</w:t>
      </w:r>
    </w:p>
    <w:p w14:paraId="6F165233">
      <w:pPr>
        <w:pStyle w:val="56"/>
        <w:ind w:firstLine="420"/>
      </w:pPr>
      <w:r>
        <w:t>a）产品名称、批号、生产批号及日期的信息，应可通过电子信息查询；</w:t>
      </w:r>
    </w:p>
    <w:p w14:paraId="465C59D3">
      <w:pPr>
        <w:pStyle w:val="56"/>
        <w:ind w:firstLine="420"/>
      </w:pPr>
      <w:r>
        <w:t>b）使用二维码时，其内容应包含产品名称、执行标准号、生产批号及生产日期、检验通过、产品质量检验报告和合格证。</w:t>
      </w:r>
    </w:p>
    <w:p w14:paraId="5FEED1B0">
      <w:pPr>
        <w:pStyle w:val="56"/>
        <w:ind w:firstLine="420"/>
      </w:pPr>
      <w:r>
        <w:t>每批产品应附有质量检验报告和合格证。</w:t>
      </w:r>
    </w:p>
    <w:p w14:paraId="67EF2533">
      <w:pPr>
        <w:pStyle w:val="104"/>
        <w:spacing w:before="240" w:after="240"/>
        <w:rPr>
          <w:rFonts w:ascii="Times New Roman"/>
        </w:rPr>
      </w:pPr>
      <w:bookmarkStart w:id="118" w:name="_Toc25464"/>
      <w:bookmarkStart w:id="119" w:name="_Toc14210"/>
      <w:r>
        <w:rPr>
          <w:rFonts w:ascii="Times New Roman"/>
        </w:rPr>
        <w:t>包装与运输</w:t>
      </w:r>
      <w:bookmarkEnd w:id="118"/>
      <w:bookmarkEnd w:id="119"/>
    </w:p>
    <w:p w14:paraId="5C7314AE">
      <w:pPr>
        <w:pStyle w:val="56"/>
        <w:ind w:firstLine="420"/>
      </w:pPr>
      <w:r>
        <w:t>应采用</w:t>
      </w:r>
      <w:r>
        <w:rPr>
          <w:rFonts w:hint="eastAsia"/>
        </w:rPr>
        <w:t>专用槽罐车或吨桶，相关</w:t>
      </w:r>
      <w:r>
        <w:t>包装外标志应符合GB/T 191包装储运图示标志的规定，应具有通风孔，防止气体积聚。</w:t>
      </w:r>
    </w:p>
    <w:p w14:paraId="45ED3A6A">
      <w:pPr>
        <w:pStyle w:val="56"/>
        <w:ind w:firstLine="420"/>
      </w:pPr>
      <w:r>
        <w:t>运输过程中不应暴晒，不应与有毒、有害、有腐蚀性及强氧化性的物品混装、混运。</w:t>
      </w:r>
    </w:p>
    <w:p w14:paraId="38E6E13B">
      <w:pPr>
        <w:pStyle w:val="104"/>
        <w:spacing w:before="240" w:after="240"/>
        <w:rPr>
          <w:rFonts w:ascii="Times New Roman"/>
        </w:rPr>
      </w:pPr>
      <w:bookmarkStart w:id="120" w:name="_Toc31207"/>
      <w:bookmarkStart w:id="121" w:name="_Toc11426"/>
      <w:r>
        <w:rPr>
          <w:rFonts w:ascii="Times New Roman"/>
        </w:rPr>
        <w:t>储存与使用</w:t>
      </w:r>
      <w:bookmarkEnd w:id="120"/>
      <w:bookmarkEnd w:id="121"/>
    </w:p>
    <w:p w14:paraId="0C5B5D6B">
      <w:pPr>
        <w:pStyle w:val="56"/>
        <w:ind w:firstLine="420"/>
      </w:pPr>
      <w:r>
        <w:t>产品应在通风、阴凉、干燥的环境下储存，不应与有毒、有害、有腐蚀性及强氧化性的物品</w:t>
      </w:r>
      <w:r>
        <w:rPr>
          <w:rFonts w:hint="eastAsia"/>
        </w:rPr>
        <w:t>混合储存与使用</w:t>
      </w:r>
      <w:r>
        <w:t>。</w:t>
      </w:r>
    </w:p>
    <w:p w14:paraId="02433EFF">
      <w:pPr>
        <w:pStyle w:val="56"/>
        <w:ind w:firstLine="420"/>
      </w:pPr>
      <w:r>
        <w:t>产品</w:t>
      </w:r>
      <w:r>
        <w:rPr>
          <w:rFonts w:hint="eastAsia"/>
        </w:rPr>
        <w:t>保质期为</w:t>
      </w:r>
      <w:r>
        <w:t>1个月。</w:t>
      </w:r>
    </w:p>
    <w:p w14:paraId="3955607A">
      <w:pPr>
        <w:pStyle w:val="104"/>
        <w:bidi w:val="0"/>
      </w:pPr>
      <w:r>
        <w:rPr>
          <w:rFonts w:hint="eastAsia"/>
        </w:rPr>
        <w:t>安全要求</w:t>
      </w:r>
    </w:p>
    <w:p w14:paraId="6C2AB17E">
      <w:pPr>
        <w:pStyle w:val="56"/>
        <w:bidi w:val="0"/>
        <w:rPr>
          <w:rFonts w:hint="eastAsia"/>
        </w:rPr>
      </w:pPr>
      <w:r>
        <w:rPr>
          <w:rFonts w:hint="eastAsia"/>
        </w:rPr>
        <w:t>部分产品按GB6944判定其是否属于第8类腐蚀性物质。如属于第8类腐蚀性物质，应按GB190 规定的“腐蚀性物质”要求标识。</w:t>
      </w:r>
    </w:p>
    <w:p w14:paraId="57D342DC">
      <w:pPr>
        <w:pStyle w:val="56"/>
        <w:ind w:firstLine="0" w:firstLineChars="0"/>
        <w:rPr>
          <w:rFonts w:hint="eastAsia"/>
          <w:b/>
          <w:bCs/>
        </w:rPr>
      </w:pPr>
    </w:p>
    <w:p w14:paraId="47BC9558">
      <w:pPr>
        <w:pStyle w:val="56"/>
        <w:ind w:firstLine="0" w:firstLineChars="0"/>
        <w:sectPr>
          <w:headerReference r:id="rId17" w:type="default"/>
          <w:footerReference r:id="rId19" w:type="default"/>
          <w:headerReference r:id="rId18" w:type="even"/>
          <w:footerReference r:id="rId20" w:type="even"/>
          <w:pgSz w:w="11906" w:h="16838"/>
          <w:pgMar w:top="1928" w:right="1134" w:bottom="1134" w:left="1134" w:header="1418" w:footer="1134" w:gutter="284"/>
          <w:pgNumType w:start="1"/>
          <w:cols w:space="425" w:num="1"/>
          <w:formProt w:val="0"/>
          <w:docGrid w:linePitch="312" w:charSpace="0"/>
        </w:sectPr>
      </w:pPr>
    </w:p>
    <w:bookmarkEnd w:id="23"/>
    <w:p w14:paraId="28BA35D3">
      <w:pPr>
        <w:pStyle w:val="198"/>
        <w:rPr>
          <w:rFonts w:hint="eastAsia"/>
        </w:rPr>
      </w:pPr>
      <w:bookmarkStart w:id="122" w:name="BookMark5"/>
    </w:p>
    <w:p w14:paraId="0AAFA5DD">
      <w:pPr>
        <w:pStyle w:val="199"/>
      </w:pPr>
    </w:p>
    <w:p w14:paraId="0F7ACA55">
      <w:pPr>
        <w:pStyle w:val="76"/>
        <w:spacing w:after="120"/>
      </w:pPr>
      <w:bookmarkStart w:id="123" w:name="_Toc30026"/>
      <w:bookmarkStart w:id="124" w:name="_Toc25298"/>
      <w:r>
        <w:br w:type="textWrapping"/>
      </w:r>
      <w:r>
        <w:rPr>
          <w:rFonts w:hint="eastAsia"/>
        </w:rPr>
        <w:t>（资料性）</w:t>
      </w:r>
      <w:r>
        <w:rPr>
          <w:rFonts w:hint="eastAsia"/>
        </w:rPr>
        <w:br w:type="textWrapping"/>
      </w:r>
      <w:r>
        <w:rPr>
          <w:rFonts w:hint="eastAsia"/>
        </w:rPr>
        <w:t>检验记录表</w:t>
      </w:r>
      <w:bookmarkEnd w:id="123"/>
      <w:bookmarkEnd w:id="124"/>
    </w:p>
    <w:p w14:paraId="74B0D772">
      <w:pPr>
        <w:pStyle w:val="77"/>
        <w:spacing w:before="120" w:after="120"/>
      </w:pPr>
      <w:r>
        <w:rPr>
          <w:rFonts w:hint="eastAsia"/>
        </w:rPr>
        <w:t>出厂检验记录表</w:t>
      </w:r>
    </w:p>
    <w:tbl>
      <w:tblPr>
        <w:tblStyle w:val="2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0" w:type="dxa"/>
          <w:bottom w:w="0" w:type="dxa"/>
          <w:right w:w="100" w:type="dxa"/>
        </w:tblCellMar>
      </w:tblPr>
      <w:tblGrid>
        <w:gridCol w:w="1702"/>
        <w:gridCol w:w="1495"/>
        <w:gridCol w:w="1475"/>
        <w:gridCol w:w="1516"/>
        <w:gridCol w:w="1280"/>
        <w:gridCol w:w="1866"/>
      </w:tblGrid>
      <w:tr w14:paraId="1625ED4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blHeader/>
          <w:jc w:val="center"/>
        </w:trPr>
        <w:tc>
          <w:tcPr>
            <w:tcW w:w="1702" w:type="dxa"/>
            <w:tcBorders>
              <w:bottom w:val="single" w:color="auto" w:sz="8" w:space="0"/>
            </w:tcBorders>
            <w:vAlign w:val="center"/>
          </w:tcPr>
          <w:p w14:paraId="3F4635F0">
            <w:pPr>
              <w:pStyle w:val="178"/>
              <w:rPr>
                <w:b/>
                <w:bCs/>
              </w:rPr>
            </w:pPr>
            <w:r>
              <w:rPr>
                <w:b/>
                <w:bCs/>
              </w:rPr>
              <w:t>产品名称</w:t>
            </w:r>
          </w:p>
        </w:tc>
        <w:tc>
          <w:tcPr>
            <w:tcW w:w="1495" w:type="dxa"/>
            <w:tcBorders>
              <w:bottom w:val="single" w:color="auto" w:sz="8" w:space="0"/>
            </w:tcBorders>
            <w:vAlign w:val="center"/>
          </w:tcPr>
          <w:p w14:paraId="0390060B">
            <w:pPr>
              <w:pStyle w:val="178"/>
              <w:rPr>
                <w:b/>
                <w:bCs/>
              </w:rPr>
            </w:pPr>
          </w:p>
        </w:tc>
        <w:tc>
          <w:tcPr>
            <w:tcW w:w="1475" w:type="dxa"/>
            <w:tcBorders>
              <w:bottom w:val="single" w:color="auto" w:sz="8" w:space="0"/>
            </w:tcBorders>
            <w:vAlign w:val="center"/>
          </w:tcPr>
          <w:p w14:paraId="47447CE8">
            <w:pPr>
              <w:pStyle w:val="178"/>
              <w:rPr>
                <w:b/>
                <w:bCs/>
              </w:rPr>
            </w:pPr>
            <w:r>
              <w:rPr>
                <w:b/>
                <w:bCs/>
              </w:rPr>
              <w:t>生产厂家</w:t>
            </w:r>
          </w:p>
        </w:tc>
        <w:tc>
          <w:tcPr>
            <w:tcW w:w="4662" w:type="dxa"/>
            <w:gridSpan w:val="3"/>
            <w:tcBorders>
              <w:bottom w:val="single" w:color="auto" w:sz="8" w:space="0"/>
            </w:tcBorders>
            <w:vAlign w:val="center"/>
          </w:tcPr>
          <w:p w14:paraId="2978B0DE">
            <w:pPr>
              <w:pStyle w:val="178"/>
              <w:rPr>
                <w:b/>
                <w:bCs/>
              </w:rPr>
            </w:pPr>
          </w:p>
        </w:tc>
      </w:tr>
      <w:tr w14:paraId="1E3B632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702" w:type="dxa"/>
            <w:tcBorders>
              <w:top w:val="single" w:color="auto" w:sz="8" w:space="0"/>
            </w:tcBorders>
            <w:vAlign w:val="center"/>
          </w:tcPr>
          <w:p w14:paraId="480D3C60">
            <w:pPr>
              <w:pStyle w:val="178"/>
            </w:pPr>
            <w:r>
              <w:t>生产日期</w:t>
            </w:r>
          </w:p>
        </w:tc>
        <w:tc>
          <w:tcPr>
            <w:tcW w:w="1495" w:type="dxa"/>
            <w:tcBorders>
              <w:top w:val="single" w:color="auto" w:sz="8" w:space="0"/>
            </w:tcBorders>
            <w:vAlign w:val="center"/>
          </w:tcPr>
          <w:p w14:paraId="3ED1F874">
            <w:pPr>
              <w:pStyle w:val="178"/>
            </w:pPr>
          </w:p>
        </w:tc>
        <w:tc>
          <w:tcPr>
            <w:tcW w:w="1475" w:type="dxa"/>
            <w:tcBorders>
              <w:top w:val="single" w:color="auto" w:sz="8" w:space="0"/>
            </w:tcBorders>
            <w:vAlign w:val="center"/>
          </w:tcPr>
          <w:p w14:paraId="18356238">
            <w:pPr>
              <w:pStyle w:val="178"/>
            </w:pPr>
            <w:r>
              <w:t>产品批号</w:t>
            </w:r>
          </w:p>
        </w:tc>
        <w:tc>
          <w:tcPr>
            <w:tcW w:w="4662" w:type="dxa"/>
            <w:gridSpan w:val="3"/>
            <w:tcBorders>
              <w:top w:val="single" w:color="auto" w:sz="8" w:space="0"/>
            </w:tcBorders>
            <w:vAlign w:val="center"/>
          </w:tcPr>
          <w:p w14:paraId="5305BD48">
            <w:pPr>
              <w:pStyle w:val="178"/>
            </w:pPr>
          </w:p>
        </w:tc>
      </w:tr>
      <w:tr w14:paraId="315CDD7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rHeight w:val="205" w:hRule="atLeast"/>
          <w:jc w:val="center"/>
        </w:trPr>
        <w:tc>
          <w:tcPr>
            <w:tcW w:w="1702" w:type="dxa"/>
            <w:vAlign w:val="center"/>
          </w:tcPr>
          <w:p w14:paraId="67587E07">
            <w:pPr>
              <w:pStyle w:val="178"/>
            </w:pPr>
            <w:r>
              <w:t>生产地址</w:t>
            </w:r>
          </w:p>
        </w:tc>
        <w:tc>
          <w:tcPr>
            <w:tcW w:w="1495" w:type="dxa"/>
            <w:vAlign w:val="center"/>
          </w:tcPr>
          <w:p w14:paraId="48E7B3BA">
            <w:pPr>
              <w:pStyle w:val="178"/>
            </w:pPr>
          </w:p>
        </w:tc>
        <w:tc>
          <w:tcPr>
            <w:tcW w:w="1475" w:type="dxa"/>
            <w:vAlign w:val="center"/>
          </w:tcPr>
          <w:p w14:paraId="7BE6B099">
            <w:pPr>
              <w:pStyle w:val="178"/>
            </w:pPr>
            <w:r>
              <w:t>联系方式</w:t>
            </w:r>
          </w:p>
        </w:tc>
        <w:tc>
          <w:tcPr>
            <w:tcW w:w="4662" w:type="dxa"/>
            <w:gridSpan w:val="3"/>
            <w:vAlign w:val="center"/>
          </w:tcPr>
          <w:p w14:paraId="5C11C91A">
            <w:pPr>
              <w:pStyle w:val="178"/>
            </w:pPr>
          </w:p>
        </w:tc>
      </w:tr>
      <w:tr w14:paraId="2939192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702" w:type="dxa"/>
            <w:vAlign w:val="center"/>
          </w:tcPr>
          <w:p w14:paraId="52A8CABD">
            <w:pPr>
              <w:pStyle w:val="178"/>
            </w:pPr>
            <w:r>
              <w:t>检验日期</w:t>
            </w:r>
          </w:p>
        </w:tc>
        <w:tc>
          <w:tcPr>
            <w:tcW w:w="1495" w:type="dxa"/>
            <w:vAlign w:val="center"/>
          </w:tcPr>
          <w:p w14:paraId="30768A74">
            <w:pPr>
              <w:pStyle w:val="178"/>
            </w:pPr>
          </w:p>
        </w:tc>
        <w:tc>
          <w:tcPr>
            <w:tcW w:w="1475" w:type="dxa"/>
            <w:vAlign w:val="center"/>
          </w:tcPr>
          <w:p w14:paraId="4EAA5D28">
            <w:pPr>
              <w:pStyle w:val="178"/>
            </w:pPr>
            <w:r>
              <w:t>检验依据</w:t>
            </w:r>
          </w:p>
        </w:tc>
        <w:tc>
          <w:tcPr>
            <w:tcW w:w="4662" w:type="dxa"/>
            <w:gridSpan w:val="3"/>
            <w:vAlign w:val="center"/>
          </w:tcPr>
          <w:p w14:paraId="78C49946">
            <w:pPr>
              <w:pStyle w:val="178"/>
            </w:pPr>
          </w:p>
        </w:tc>
      </w:tr>
      <w:tr w14:paraId="3C8D4D5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702" w:type="dxa"/>
            <w:vAlign w:val="center"/>
          </w:tcPr>
          <w:p w14:paraId="0E86B76D">
            <w:pPr>
              <w:pStyle w:val="178"/>
            </w:pPr>
            <w:r>
              <w:t>序号</w:t>
            </w:r>
          </w:p>
        </w:tc>
        <w:tc>
          <w:tcPr>
            <w:tcW w:w="1495" w:type="dxa"/>
            <w:vAlign w:val="center"/>
          </w:tcPr>
          <w:p w14:paraId="6137844C">
            <w:pPr>
              <w:pStyle w:val="178"/>
            </w:pPr>
            <w:r>
              <w:t>检验项目</w:t>
            </w:r>
          </w:p>
        </w:tc>
        <w:tc>
          <w:tcPr>
            <w:tcW w:w="1475" w:type="dxa"/>
            <w:vAlign w:val="center"/>
          </w:tcPr>
          <w:p w14:paraId="29DB3E30">
            <w:pPr>
              <w:pStyle w:val="178"/>
            </w:pPr>
            <w:r>
              <w:t>技术要求</w:t>
            </w:r>
          </w:p>
        </w:tc>
        <w:tc>
          <w:tcPr>
            <w:tcW w:w="2796" w:type="dxa"/>
            <w:gridSpan w:val="2"/>
            <w:vAlign w:val="center"/>
          </w:tcPr>
          <w:p w14:paraId="5AED8476">
            <w:pPr>
              <w:pStyle w:val="178"/>
            </w:pPr>
            <w:r>
              <w:rPr>
                <w:rFonts w:hint="eastAsia"/>
              </w:rPr>
              <w:t>检验结果</w:t>
            </w:r>
          </w:p>
        </w:tc>
        <w:tc>
          <w:tcPr>
            <w:tcW w:w="1866" w:type="dxa"/>
            <w:vAlign w:val="center"/>
          </w:tcPr>
          <w:p w14:paraId="64FF9894">
            <w:pPr>
              <w:pStyle w:val="178"/>
            </w:pPr>
            <w:r>
              <w:rPr>
                <w:rFonts w:hint="eastAsia"/>
              </w:rPr>
              <w:t>检验员</w:t>
            </w:r>
          </w:p>
        </w:tc>
      </w:tr>
      <w:tr w14:paraId="52F1D46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702" w:type="dxa"/>
            <w:vAlign w:val="center"/>
          </w:tcPr>
          <w:p w14:paraId="13DBF751">
            <w:pPr>
              <w:pStyle w:val="178"/>
            </w:pPr>
            <w:r>
              <w:t>1</w:t>
            </w:r>
          </w:p>
        </w:tc>
        <w:tc>
          <w:tcPr>
            <w:tcW w:w="1495" w:type="dxa"/>
            <w:vAlign w:val="center"/>
          </w:tcPr>
          <w:p w14:paraId="78AB9E90">
            <w:pPr>
              <w:pStyle w:val="178"/>
            </w:pPr>
            <w:r>
              <w:t>外观</w:t>
            </w:r>
          </w:p>
        </w:tc>
        <w:tc>
          <w:tcPr>
            <w:tcW w:w="1475" w:type="dxa"/>
            <w:vAlign w:val="center"/>
          </w:tcPr>
          <w:p w14:paraId="6AEEE6BB">
            <w:pPr>
              <w:pStyle w:val="178"/>
            </w:pPr>
            <w:r>
              <w:t>浅黄色液体</w:t>
            </w:r>
          </w:p>
        </w:tc>
        <w:tc>
          <w:tcPr>
            <w:tcW w:w="2796" w:type="dxa"/>
            <w:gridSpan w:val="2"/>
            <w:vAlign w:val="center"/>
          </w:tcPr>
          <w:p w14:paraId="6A168DD7">
            <w:pPr>
              <w:pStyle w:val="178"/>
            </w:pPr>
            <w:r>
              <w:t>□合格 □不合格</w:t>
            </w:r>
          </w:p>
        </w:tc>
        <w:tc>
          <w:tcPr>
            <w:tcW w:w="1866" w:type="dxa"/>
            <w:vAlign w:val="center"/>
          </w:tcPr>
          <w:p w14:paraId="7E4C5F52">
            <w:pPr>
              <w:pStyle w:val="178"/>
            </w:pPr>
          </w:p>
        </w:tc>
      </w:tr>
      <w:tr w14:paraId="4DC7422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702" w:type="dxa"/>
            <w:vAlign w:val="center"/>
          </w:tcPr>
          <w:p w14:paraId="226E914B">
            <w:pPr>
              <w:pStyle w:val="178"/>
            </w:pPr>
            <w:r>
              <w:t>2</w:t>
            </w:r>
          </w:p>
        </w:tc>
        <w:tc>
          <w:tcPr>
            <w:tcW w:w="1495" w:type="dxa"/>
            <w:vAlign w:val="center"/>
          </w:tcPr>
          <w:p w14:paraId="06C8B939">
            <w:pPr>
              <w:pStyle w:val="178"/>
            </w:pPr>
            <w:r>
              <w:t>气味</w:t>
            </w:r>
          </w:p>
        </w:tc>
        <w:tc>
          <w:tcPr>
            <w:tcW w:w="1475" w:type="dxa"/>
            <w:vAlign w:val="center"/>
          </w:tcPr>
          <w:p w14:paraId="5D76846A">
            <w:pPr>
              <w:pStyle w:val="178"/>
            </w:pPr>
            <w:r>
              <w:t>轻微发酵酸味</w:t>
            </w:r>
          </w:p>
        </w:tc>
        <w:tc>
          <w:tcPr>
            <w:tcW w:w="2796" w:type="dxa"/>
            <w:gridSpan w:val="2"/>
            <w:vAlign w:val="center"/>
          </w:tcPr>
          <w:p w14:paraId="26C2C601">
            <w:pPr>
              <w:pStyle w:val="178"/>
            </w:pPr>
            <w:r>
              <w:t>□合格 □不合格</w:t>
            </w:r>
          </w:p>
        </w:tc>
        <w:tc>
          <w:tcPr>
            <w:tcW w:w="1866" w:type="dxa"/>
            <w:vAlign w:val="center"/>
          </w:tcPr>
          <w:p w14:paraId="1932D2A2">
            <w:pPr>
              <w:pStyle w:val="178"/>
            </w:pPr>
          </w:p>
        </w:tc>
      </w:tr>
      <w:tr w14:paraId="2A172FF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702" w:type="dxa"/>
            <w:vAlign w:val="center"/>
          </w:tcPr>
          <w:p w14:paraId="7041BFEF">
            <w:pPr>
              <w:pStyle w:val="178"/>
            </w:pPr>
            <w:r>
              <w:t>3</w:t>
            </w:r>
          </w:p>
        </w:tc>
        <w:tc>
          <w:tcPr>
            <w:tcW w:w="1495" w:type="dxa"/>
            <w:vAlign w:val="center"/>
          </w:tcPr>
          <w:p w14:paraId="256D3800">
            <w:pPr>
              <w:pStyle w:val="178"/>
            </w:pPr>
            <w:r>
              <w:t>CODcr</w:t>
            </w:r>
          </w:p>
        </w:tc>
        <w:tc>
          <w:tcPr>
            <w:tcW w:w="1475" w:type="dxa"/>
            <w:vAlign w:val="center"/>
          </w:tcPr>
          <w:p w14:paraId="6A0A1B5C">
            <w:pPr>
              <w:pStyle w:val="178"/>
            </w:pPr>
            <w:r>
              <w:t>≥1.5×10⁵mg/L</w:t>
            </w:r>
          </w:p>
        </w:tc>
        <w:tc>
          <w:tcPr>
            <w:tcW w:w="2796" w:type="dxa"/>
            <w:gridSpan w:val="2"/>
            <w:vAlign w:val="center"/>
          </w:tcPr>
          <w:p w14:paraId="20C87D94">
            <w:pPr>
              <w:pStyle w:val="178"/>
            </w:pPr>
            <w:r>
              <w:t>□合格 □不合格</w:t>
            </w:r>
          </w:p>
        </w:tc>
        <w:tc>
          <w:tcPr>
            <w:tcW w:w="1866" w:type="dxa"/>
            <w:vAlign w:val="center"/>
          </w:tcPr>
          <w:p w14:paraId="4686527C">
            <w:pPr>
              <w:pStyle w:val="178"/>
            </w:pPr>
          </w:p>
        </w:tc>
      </w:tr>
      <w:tr w14:paraId="6199B40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702" w:type="dxa"/>
            <w:vAlign w:val="center"/>
          </w:tcPr>
          <w:p w14:paraId="56981D87">
            <w:pPr>
              <w:pStyle w:val="178"/>
            </w:pPr>
            <w:r>
              <w:t>4</w:t>
            </w:r>
          </w:p>
        </w:tc>
        <w:tc>
          <w:tcPr>
            <w:tcW w:w="1495" w:type="dxa"/>
            <w:vAlign w:val="center"/>
          </w:tcPr>
          <w:p w14:paraId="24B1951E">
            <w:pPr>
              <w:pStyle w:val="178"/>
            </w:pPr>
            <w:r>
              <w:t>pH</w:t>
            </w:r>
          </w:p>
        </w:tc>
        <w:tc>
          <w:tcPr>
            <w:tcW w:w="1475" w:type="dxa"/>
            <w:vAlign w:val="center"/>
          </w:tcPr>
          <w:p w14:paraId="4BB267E7">
            <w:pPr>
              <w:pStyle w:val="178"/>
            </w:pPr>
            <w:r>
              <w:t>3.0</w:t>
            </w:r>
            <w:r>
              <w:rPr>
                <w:rFonts w:hint="eastAsia"/>
              </w:rPr>
              <w:t>~</w:t>
            </w:r>
            <w:r>
              <w:t>9.0</w:t>
            </w:r>
          </w:p>
        </w:tc>
        <w:tc>
          <w:tcPr>
            <w:tcW w:w="2796" w:type="dxa"/>
            <w:gridSpan w:val="2"/>
            <w:vAlign w:val="center"/>
          </w:tcPr>
          <w:p w14:paraId="1648F81D">
            <w:pPr>
              <w:pStyle w:val="178"/>
            </w:pPr>
            <w:r>
              <w:t>□合格 □不合格</w:t>
            </w:r>
          </w:p>
        </w:tc>
        <w:tc>
          <w:tcPr>
            <w:tcW w:w="1866" w:type="dxa"/>
            <w:vAlign w:val="center"/>
          </w:tcPr>
          <w:p w14:paraId="0863394B">
            <w:pPr>
              <w:pStyle w:val="178"/>
            </w:pPr>
          </w:p>
        </w:tc>
      </w:tr>
      <w:tr w14:paraId="52595A3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702" w:type="dxa"/>
            <w:vAlign w:val="center"/>
          </w:tcPr>
          <w:p w14:paraId="609C832D">
            <w:pPr>
              <w:pStyle w:val="178"/>
            </w:pPr>
            <w:r>
              <w:t>5</w:t>
            </w:r>
          </w:p>
        </w:tc>
        <w:tc>
          <w:tcPr>
            <w:tcW w:w="1495" w:type="dxa"/>
            <w:vAlign w:val="center"/>
          </w:tcPr>
          <w:p w14:paraId="6F61413E">
            <w:pPr>
              <w:pStyle w:val="178"/>
            </w:pPr>
            <w:r>
              <w:t>总氮（TN）</w:t>
            </w:r>
          </w:p>
        </w:tc>
        <w:tc>
          <w:tcPr>
            <w:tcW w:w="1475" w:type="dxa"/>
            <w:vAlign w:val="center"/>
          </w:tcPr>
          <w:p w14:paraId="0110D6F2">
            <w:pPr>
              <w:pStyle w:val="178"/>
            </w:pPr>
            <w:r>
              <w:t>≤0.6%</w:t>
            </w:r>
          </w:p>
        </w:tc>
        <w:tc>
          <w:tcPr>
            <w:tcW w:w="2796" w:type="dxa"/>
            <w:gridSpan w:val="2"/>
            <w:vAlign w:val="center"/>
          </w:tcPr>
          <w:p w14:paraId="7E12B948">
            <w:pPr>
              <w:pStyle w:val="178"/>
            </w:pPr>
            <w:r>
              <w:t>□合格 □不合格</w:t>
            </w:r>
          </w:p>
        </w:tc>
        <w:tc>
          <w:tcPr>
            <w:tcW w:w="1866" w:type="dxa"/>
            <w:vAlign w:val="center"/>
          </w:tcPr>
          <w:p w14:paraId="2F5B0847">
            <w:pPr>
              <w:pStyle w:val="178"/>
            </w:pPr>
          </w:p>
        </w:tc>
      </w:tr>
      <w:tr w14:paraId="2D6BF5E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702" w:type="dxa"/>
            <w:vAlign w:val="center"/>
          </w:tcPr>
          <w:p w14:paraId="48E7DD2E">
            <w:pPr>
              <w:pStyle w:val="178"/>
            </w:pPr>
            <w:r>
              <w:t>6</w:t>
            </w:r>
          </w:p>
        </w:tc>
        <w:tc>
          <w:tcPr>
            <w:tcW w:w="1495" w:type="dxa"/>
            <w:vAlign w:val="center"/>
          </w:tcPr>
          <w:p w14:paraId="021D13B1">
            <w:pPr>
              <w:pStyle w:val="178"/>
            </w:pPr>
            <w:r>
              <w:t>总磷（TP）</w:t>
            </w:r>
          </w:p>
        </w:tc>
        <w:tc>
          <w:tcPr>
            <w:tcW w:w="1475" w:type="dxa"/>
            <w:vAlign w:val="center"/>
          </w:tcPr>
          <w:p w14:paraId="308928F2">
            <w:pPr>
              <w:pStyle w:val="178"/>
            </w:pPr>
            <w:r>
              <w:t>≤0.06%</w:t>
            </w:r>
          </w:p>
        </w:tc>
        <w:tc>
          <w:tcPr>
            <w:tcW w:w="2796" w:type="dxa"/>
            <w:gridSpan w:val="2"/>
            <w:vAlign w:val="center"/>
          </w:tcPr>
          <w:p w14:paraId="18F495E0">
            <w:pPr>
              <w:pStyle w:val="178"/>
            </w:pPr>
            <w:r>
              <w:t>□合格 □不合格</w:t>
            </w:r>
          </w:p>
        </w:tc>
        <w:tc>
          <w:tcPr>
            <w:tcW w:w="1866" w:type="dxa"/>
            <w:vAlign w:val="center"/>
          </w:tcPr>
          <w:p w14:paraId="7A266134">
            <w:pPr>
              <w:pStyle w:val="178"/>
            </w:pPr>
          </w:p>
        </w:tc>
      </w:tr>
      <w:tr w14:paraId="49F402C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702" w:type="dxa"/>
            <w:vAlign w:val="center"/>
          </w:tcPr>
          <w:p w14:paraId="21C4D1D2">
            <w:pPr>
              <w:pStyle w:val="178"/>
            </w:pPr>
            <w:r>
              <w:rPr>
                <w:b/>
                <w:bCs/>
              </w:rPr>
              <w:t>出厂检验综合判定</w:t>
            </w:r>
          </w:p>
        </w:tc>
        <w:tc>
          <w:tcPr>
            <w:tcW w:w="7632" w:type="dxa"/>
            <w:gridSpan w:val="5"/>
            <w:vAlign w:val="center"/>
          </w:tcPr>
          <w:p w14:paraId="16B21C4A">
            <w:pPr>
              <w:pStyle w:val="178"/>
            </w:pPr>
          </w:p>
        </w:tc>
      </w:tr>
      <w:tr w14:paraId="61B8ED0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rHeight w:val="121" w:hRule="atLeast"/>
          <w:jc w:val="center"/>
        </w:trPr>
        <w:tc>
          <w:tcPr>
            <w:tcW w:w="1702" w:type="dxa"/>
            <w:vAlign w:val="center"/>
          </w:tcPr>
          <w:p w14:paraId="311C23A0">
            <w:pPr>
              <w:pStyle w:val="178"/>
            </w:pPr>
            <w:r>
              <w:rPr>
                <w:b/>
                <w:bCs/>
              </w:rPr>
              <w:t>备注</w:t>
            </w:r>
          </w:p>
        </w:tc>
        <w:tc>
          <w:tcPr>
            <w:tcW w:w="7632" w:type="dxa"/>
            <w:gridSpan w:val="5"/>
            <w:vAlign w:val="center"/>
          </w:tcPr>
          <w:p w14:paraId="1F8F90F6">
            <w:pPr>
              <w:pStyle w:val="178"/>
            </w:pPr>
          </w:p>
        </w:tc>
      </w:tr>
      <w:tr w14:paraId="4A23E83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rHeight w:val="214" w:hRule="atLeast"/>
          <w:jc w:val="center"/>
        </w:trPr>
        <w:tc>
          <w:tcPr>
            <w:tcW w:w="1702" w:type="dxa"/>
            <w:vAlign w:val="center"/>
          </w:tcPr>
          <w:p w14:paraId="0E6B1B10">
            <w:pPr>
              <w:pStyle w:val="178"/>
            </w:pPr>
            <w:r>
              <w:rPr>
                <w:b/>
                <w:bCs/>
              </w:rPr>
              <w:t>检验说明</w:t>
            </w:r>
          </w:p>
        </w:tc>
        <w:tc>
          <w:tcPr>
            <w:tcW w:w="7632" w:type="dxa"/>
            <w:gridSpan w:val="5"/>
            <w:vAlign w:val="center"/>
          </w:tcPr>
          <w:p w14:paraId="3DF9FAA5">
            <w:pPr>
              <w:pStyle w:val="178"/>
            </w:pPr>
            <w:r>
              <w:t>本表适用于每批次产品的出厂检验。</w:t>
            </w:r>
          </w:p>
          <w:p w14:paraId="3A1170DF">
            <w:pPr>
              <w:pStyle w:val="178"/>
            </w:pPr>
            <w:r>
              <w:t>所有项目必须检验，任何一项不合格则判定该批次产品不合格。</w:t>
            </w:r>
          </w:p>
        </w:tc>
      </w:tr>
      <w:tr w14:paraId="5119614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702" w:type="dxa"/>
            <w:vAlign w:val="center"/>
          </w:tcPr>
          <w:p w14:paraId="5E8F56B9">
            <w:pPr>
              <w:pStyle w:val="178"/>
            </w:pPr>
            <w:r>
              <w:t>检验日期</w:t>
            </w:r>
          </w:p>
        </w:tc>
        <w:tc>
          <w:tcPr>
            <w:tcW w:w="1495" w:type="dxa"/>
            <w:vAlign w:val="center"/>
          </w:tcPr>
          <w:p w14:paraId="3BFED684">
            <w:pPr>
              <w:pStyle w:val="178"/>
            </w:pPr>
          </w:p>
        </w:tc>
        <w:tc>
          <w:tcPr>
            <w:tcW w:w="1475" w:type="dxa"/>
            <w:vAlign w:val="center"/>
          </w:tcPr>
          <w:p w14:paraId="3A786197">
            <w:pPr>
              <w:pStyle w:val="178"/>
            </w:pPr>
            <w:r>
              <w:rPr>
                <w:rFonts w:hint="eastAsia"/>
              </w:rPr>
              <w:t>审核人</w:t>
            </w:r>
          </w:p>
        </w:tc>
        <w:tc>
          <w:tcPr>
            <w:tcW w:w="1516" w:type="dxa"/>
            <w:vAlign w:val="center"/>
          </w:tcPr>
          <w:p w14:paraId="3744BD51">
            <w:pPr>
              <w:pStyle w:val="178"/>
            </w:pPr>
          </w:p>
        </w:tc>
        <w:tc>
          <w:tcPr>
            <w:tcW w:w="1280" w:type="dxa"/>
            <w:vAlign w:val="center"/>
          </w:tcPr>
          <w:p w14:paraId="631F8FA2">
            <w:pPr>
              <w:pStyle w:val="178"/>
            </w:pPr>
            <w:r>
              <w:rPr>
                <w:rFonts w:hint="eastAsia"/>
              </w:rPr>
              <w:t>批准人</w:t>
            </w:r>
          </w:p>
        </w:tc>
        <w:tc>
          <w:tcPr>
            <w:tcW w:w="1866" w:type="dxa"/>
            <w:vAlign w:val="center"/>
          </w:tcPr>
          <w:p w14:paraId="4CD6376E">
            <w:pPr>
              <w:pStyle w:val="178"/>
            </w:pPr>
          </w:p>
        </w:tc>
      </w:tr>
    </w:tbl>
    <w:p w14:paraId="55B5FDB1">
      <w:pPr>
        <w:pStyle w:val="77"/>
        <w:spacing w:before="120" w:after="120"/>
      </w:pPr>
      <w:r>
        <w:rPr>
          <w:rFonts w:hint="eastAsia"/>
        </w:rPr>
        <w:t>型式检验记录表</w:t>
      </w:r>
    </w:p>
    <w:tbl>
      <w:tblPr>
        <w:tblStyle w:val="2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0" w:type="dxa"/>
          <w:bottom w:w="0" w:type="dxa"/>
          <w:right w:w="100" w:type="dxa"/>
        </w:tblCellMar>
      </w:tblPr>
      <w:tblGrid>
        <w:gridCol w:w="1686"/>
        <w:gridCol w:w="1493"/>
        <w:gridCol w:w="1560"/>
        <w:gridCol w:w="1467"/>
        <w:gridCol w:w="1261"/>
        <w:gridCol w:w="1867"/>
      </w:tblGrid>
      <w:tr w14:paraId="45489E6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blHeader/>
          <w:jc w:val="center"/>
        </w:trPr>
        <w:tc>
          <w:tcPr>
            <w:tcW w:w="1686" w:type="dxa"/>
            <w:tcBorders>
              <w:bottom w:val="single" w:color="auto" w:sz="8" w:space="0"/>
            </w:tcBorders>
            <w:vAlign w:val="center"/>
          </w:tcPr>
          <w:p w14:paraId="41D256C7">
            <w:pPr>
              <w:pStyle w:val="178"/>
              <w:spacing w:line="240" w:lineRule="auto"/>
              <w:rPr>
                <w:b/>
                <w:bCs/>
                <w:sz w:val="18"/>
              </w:rPr>
            </w:pPr>
            <w:r>
              <w:rPr>
                <w:rFonts w:hint="eastAsia"/>
                <w:b/>
                <w:bCs/>
                <w:sz w:val="18"/>
              </w:rPr>
              <w:t>产品名称</w:t>
            </w:r>
          </w:p>
        </w:tc>
        <w:tc>
          <w:tcPr>
            <w:tcW w:w="1493" w:type="dxa"/>
            <w:tcBorders>
              <w:bottom w:val="single" w:color="auto" w:sz="8" w:space="0"/>
            </w:tcBorders>
            <w:vAlign w:val="center"/>
          </w:tcPr>
          <w:p w14:paraId="3D57E437">
            <w:pPr>
              <w:pStyle w:val="178"/>
              <w:spacing w:line="240" w:lineRule="auto"/>
              <w:rPr>
                <w:b/>
                <w:bCs/>
                <w:sz w:val="18"/>
              </w:rPr>
            </w:pPr>
          </w:p>
        </w:tc>
        <w:tc>
          <w:tcPr>
            <w:tcW w:w="1560" w:type="dxa"/>
            <w:tcBorders>
              <w:bottom w:val="single" w:color="auto" w:sz="8" w:space="0"/>
            </w:tcBorders>
            <w:vAlign w:val="center"/>
          </w:tcPr>
          <w:p w14:paraId="6FDAD63D">
            <w:pPr>
              <w:pStyle w:val="178"/>
              <w:spacing w:line="240" w:lineRule="auto"/>
              <w:rPr>
                <w:b/>
                <w:bCs/>
                <w:sz w:val="18"/>
              </w:rPr>
            </w:pPr>
            <w:r>
              <w:rPr>
                <w:rFonts w:hint="eastAsia"/>
                <w:b/>
                <w:bCs/>
                <w:sz w:val="18"/>
              </w:rPr>
              <w:t>生产厂家</w:t>
            </w:r>
          </w:p>
        </w:tc>
        <w:tc>
          <w:tcPr>
            <w:tcW w:w="4595" w:type="dxa"/>
            <w:gridSpan w:val="3"/>
            <w:tcBorders>
              <w:bottom w:val="single" w:color="auto" w:sz="8" w:space="0"/>
            </w:tcBorders>
            <w:vAlign w:val="center"/>
          </w:tcPr>
          <w:p w14:paraId="3959CE35">
            <w:pPr>
              <w:pStyle w:val="178"/>
              <w:spacing w:line="240" w:lineRule="auto"/>
              <w:rPr>
                <w:b/>
                <w:bCs/>
                <w:sz w:val="18"/>
              </w:rPr>
            </w:pPr>
          </w:p>
        </w:tc>
      </w:tr>
      <w:tr w14:paraId="3FD5669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686" w:type="dxa"/>
            <w:tcBorders>
              <w:top w:val="single" w:color="auto" w:sz="8" w:space="0"/>
            </w:tcBorders>
            <w:vAlign w:val="center"/>
          </w:tcPr>
          <w:p w14:paraId="0DF16C0D">
            <w:pPr>
              <w:pStyle w:val="178"/>
              <w:spacing w:line="240" w:lineRule="auto"/>
              <w:rPr>
                <w:sz w:val="18"/>
              </w:rPr>
            </w:pPr>
            <w:r>
              <w:rPr>
                <w:rFonts w:hint="eastAsia"/>
                <w:sz w:val="18"/>
              </w:rPr>
              <w:t>生产日期</w:t>
            </w:r>
          </w:p>
        </w:tc>
        <w:tc>
          <w:tcPr>
            <w:tcW w:w="1493" w:type="dxa"/>
            <w:tcBorders>
              <w:top w:val="single" w:color="auto" w:sz="8" w:space="0"/>
            </w:tcBorders>
            <w:vAlign w:val="center"/>
          </w:tcPr>
          <w:p w14:paraId="01CADCA8">
            <w:pPr>
              <w:pStyle w:val="178"/>
              <w:spacing w:line="240" w:lineRule="auto"/>
              <w:rPr>
                <w:sz w:val="18"/>
              </w:rPr>
            </w:pPr>
          </w:p>
        </w:tc>
        <w:tc>
          <w:tcPr>
            <w:tcW w:w="1560" w:type="dxa"/>
            <w:tcBorders>
              <w:top w:val="single" w:color="auto" w:sz="8" w:space="0"/>
            </w:tcBorders>
            <w:vAlign w:val="center"/>
          </w:tcPr>
          <w:p w14:paraId="5E7FD9C5">
            <w:pPr>
              <w:pStyle w:val="178"/>
              <w:spacing w:line="240" w:lineRule="auto"/>
              <w:rPr>
                <w:sz w:val="18"/>
              </w:rPr>
            </w:pPr>
            <w:r>
              <w:rPr>
                <w:rFonts w:hint="eastAsia"/>
                <w:sz w:val="18"/>
              </w:rPr>
              <w:t>产品批号</w:t>
            </w:r>
          </w:p>
        </w:tc>
        <w:tc>
          <w:tcPr>
            <w:tcW w:w="4595" w:type="dxa"/>
            <w:gridSpan w:val="3"/>
            <w:tcBorders>
              <w:top w:val="single" w:color="auto" w:sz="8" w:space="0"/>
            </w:tcBorders>
            <w:vAlign w:val="center"/>
          </w:tcPr>
          <w:p w14:paraId="69D23202">
            <w:pPr>
              <w:pStyle w:val="178"/>
              <w:spacing w:line="240" w:lineRule="auto"/>
              <w:rPr>
                <w:sz w:val="18"/>
              </w:rPr>
            </w:pPr>
          </w:p>
        </w:tc>
      </w:tr>
      <w:tr w14:paraId="444747A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686" w:type="dxa"/>
            <w:vAlign w:val="center"/>
          </w:tcPr>
          <w:p w14:paraId="78CDB653">
            <w:pPr>
              <w:pStyle w:val="178"/>
              <w:spacing w:line="240" w:lineRule="auto"/>
              <w:rPr>
                <w:sz w:val="18"/>
              </w:rPr>
            </w:pPr>
            <w:r>
              <w:rPr>
                <w:rFonts w:hint="eastAsia"/>
                <w:sz w:val="18"/>
              </w:rPr>
              <w:t>生产地址</w:t>
            </w:r>
          </w:p>
        </w:tc>
        <w:tc>
          <w:tcPr>
            <w:tcW w:w="1493" w:type="dxa"/>
            <w:vAlign w:val="center"/>
          </w:tcPr>
          <w:p w14:paraId="06D87795">
            <w:pPr>
              <w:pStyle w:val="178"/>
              <w:spacing w:line="240" w:lineRule="auto"/>
              <w:rPr>
                <w:sz w:val="18"/>
              </w:rPr>
            </w:pPr>
          </w:p>
        </w:tc>
        <w:tc>
          <w:tcPr>
            <w:tcW w:w="1560" w:type="dxa"/>
            <w:vAlign w:val="center"/>
          </w:tcPr>
          <w:p w14:paraId="3970321F">
            <w:pPr>
              <w:pStyle w:val="178"/>
              <w:spacing w:line="240" w:lineRule="auto"/>
              <w:rPr>
                <w:sz w:val="18"/>
              </w:rPr>
            </w:pPr>
            <w:r>
              <w:rPr>
                <w:rFonts w:hint="eastAsia"/>
                <w:sz w:val="18"/>
              </w:rPr>
              <w:t>联系方式</w:t>
            </w:r>
          </w:p>
        </w:tc>
        <w:tc>
          <w:tcPr>
            <w:tcW w:w="4595" w:type="dxa"/>
            <w:gridSpan w:val="3"/>
            <w:vAlign w:val="center"/>
          </w:tcPr>
          <w:p w14:paraId="203FA26F">
            <w:pPr>
              <w:pStyle w:val="178"/>
              <w:spacing w:line="240" w:lineRule="auto"/>
              <w:rPr>
                <w:sz w:val="18"/>
              </w:rPr>
            </w:pPr>
          </w:p>
        </w:tc>
      </w:tr>
      <w:tr w14:paraId="420147E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686" w:type="dxa"/>
            <w:vAlign w:val="center"/>
          </w:tcPr>
          <w:p w14:paraId="7D93B404">
            <w:pPr>
              <w:pStyle w:val="178"/>
              <w:spacing w:line="240" w:lineRule="auto"/>
              <w:rPr>
                <w:sz w:val="18"/>
              </w:rPr>
            </w:pPr>
            <w:r>
              <w:rPr>
                <w:rFonts w:hint="eastAsia"/>
                <w:sz w:val="18"/>
              </w:rPr>
              <w:t>检验日期</w:t>
            </w:r>
          </w:p>
        </w:tc>
        <w:tc>
          <w:tcPr>
            <w:tcW w:w="1493" w:type="dxa"/>
            <w:vAlign w:val="center"/>
          </w:tcPr>
          <w:p w14:paraId="266DF710">
            <w:pPr>
              <w:pStyle w:val="178"/>
              <w:spacing w:line="240" w:lineRule="auto"/>
              <w:rPr>
                <w:sz w:val="18"/>
              </w:rPr>
            </w:pPr>
          </w:p>
        </w:tc>
        <w:tc>
          <w:tcPr>
            <w:tcW w:w="1560" w:type="dxa"/>
            <w:vAlign w:val="center"/>
          </w:tcPr>
          <w:p w14:paraId="63ABF328">
            <w:pPr>
              <w:pStyle w:val="178"/>
              <w:spacing w:line="240" w:lineRule="auto"/>
              <w:rPr>
                <w:sz w:val="18"/>
              </w:rPr>
            </w:pPr>
            <w:r>
              <w:rPr>
                <w:rFonts w:hint="eastAsia"/>
                <w:sz w:val="18"/>
              </w:rPr>
              <w:t>检验依据</w:t>
            </w:r>
          </w:p>
        </w:tc>
        <w:tc>
          <w:tcPr>
            <w:tcW w:w="4595" w:type="dxa"/>
            <w:gridSpan w:val="3"/>
            <w:vAlign w:val="center"/>
          </w:tcPr>
          <w:p w14:paraId="569C3745">
            <w:pPr>
              <w:pStyle w:val="178"/>
              <w:spacing w:line="240" w:lineRule="auto"/>
              <w:rPr>
                <w:sz w:val="18"/>
              </w:rPr>
            </w:pPr>
          </w:p>
        </w:tc>
      </w:tr>
      <w:tr w14:paraId="5BEE234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686" w:type="dxa"/>
            <w:vAlign w:val="center"/>
          </w:tcPr>
          <w:p w14:paraId="46314496">
            <w:pPr>
              <w:pStyle w:val="178"/>
              <w:spacing w:line="240" w:lineRule="auto"/>
              <w:rPr>
                <w:sz w:val="18"/>
              </w:rPr>
            </w:pPr>
            <w:r>
              <w:rPr>
                <w:rFonts w:hint="eastAsia"/>
                <w:sz w:val="18"/>
              </w:rPr>
              <w:t>检验类型</w:t>
            </w:r>
          </w:p>
        </w:tc>
        <w:tc>
          <w:tcPr>
            <w:tcW w:w="7648" w:type="dxa"/>
            <w:gridSpan w:val="5"/>
            <w:vAlign w:val="center"/>
          </w:tcPr>
          <w:p w14:paraId="6B210123">
            <w:pPr>
              <w:pStyle w:val="178"/>
              <w:spacing w:line="240" w:lineRule="auto"/>
              <w:ind w:firstLine="360" w:firstLineChars="200"/>
              <w:jc w:val="both"/>
              <w:rPr>
                <w:sz w:val="18"/>
              </w:rPr>
            </w:pPr>
            <w:r>
              <w:rPr>
                <w:sz w:val="18"/>
              </w:rPr>
              <w:t>□周期检验（每6个月）</w:t>
            </w:r>
          </w:p>
          <w:p w14:paraId="6C3582F7">
            <w:pPr>
              <w:pStyle w:val="178"/>
              <w:spacing w:line="240" w:lineRule="auto"/>
              <w:ind w:firstLine="360" w:firstLineChars="200"/>
              <w:jc w:val="both"/>
              <w:rPr>
                <w:sz w:val="18"/>
              </w:rPr>
            </w:pPr>
            <w:r>
              <w:rPr>
                <w:sz w:val="18"/>
              </w:rPr>
              <w:t>□特殊情况检验（a.产品定型 b.停产复工 c.工艺/原料/人员重大变化 d.监督部门要求）</w:t>
            </w:r>
          </w:p>
        </w:tc>
      </w:tr>
      <w:tr w14:paraId="6765BA6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rHeight w:val="90" w:hRule="atLeast"/>
          <w:jc w:val="center"/>
        </w:trPr>
        <w:tc>
          <w:tcPr>
            <w:tcW w:w="1686" w:type="dxa"/>
            <w:vAlign w:val="center"/>
          </w:tcPr>
          <w:p w14:paraId="59CB799C">
            <w:pPr>
              <w:pStyle w:val="178"/>
              <w:spacing w:line="240" w:lineRule="auto"/>
              <w:rPr>
                <w:sz w:val="18"/>
              </w:rPr>
            </w:pPr>
            <w:r>
              <w:rPr>
                <w:rFonts w:hint="eastAsia"/>
                <w:sz w:val="18"/>
              </w:rPr>
              <w:t>序号</w:t>
            </w:r>
          </w:p>
        </w:tc>
        <w:tc>
          <w:tcPr>
            <w:tcW w:w="1493" w:type="dxa"/>
            <w:vAlign w:val="center"/>
          </w:tcPr>
          <w:p w14:paraId="6E053F51">
            <w:pPr>
              <w:pStyle w:val="178"/>
              <w:spacing w:line="240" w:lineRule="auto"/>
              <w:rPr>
                <w:sz w:val="18"/>
              </w:rPr>
            </w:pPr>
            <w:r>
              <w:rPr>
                <w:rFonts w:hint="eastAsia"/>
                <w:sz w:val="18"/>
              </w:rPr>
              <w:t>检验项目</w:t>
            </w:r>
          </w:p>
        </w:tc>
        <w:tc>
          <w:tcPr>
            <w:tcW w:w="1560" w:type="dxa"/>
            <w:vAlign w:val="center"/>
          </w:tcPr>
          <w:p w14:paraId="5A5B0AF9">
            <w:pPr>
              <w:pStyle w:val="178"/>
              <w:spacing w:line="240" w:lineRule="auto"/>
              <w:rPr>
                <w:sz w:val="18"/>
              </w:rPr>
            </w:pPr>
            <w:r>
              <w:rPr>
                <w:rFonts w:hint="eastAsia"/>
                <w:sz w:val="18"/>
              </w:rPr>
              <w:t>技术要求</w:t>
            </w:r>
          </w:p>
        </w:tc>
        <w:tc>
          <w:tcPr>
            <w:tcW w:w="2728" w:type="dxa"/>
            <w:gridSpan w:val="2"/>
            <w:vAlign w:val="center"/>
          </w:tcPr>
          <w:p w14:paraId="71C0D8BB">
            <w:pPr>
              <w:pStyle w:val="178"/>
              <w:spacing w:line="240" w:lineRule="auto"/>
              <w:rPr>
                <w:sz w:val="18"/>
              </w:rPr>
            </w:pPr>
            <w:r>
              <w:rPr>
                <w:rFonts w:hint="eastAsia"/>
                <w:sz w:val="18"/>
              </w:rPr>
              <w:t>检验结果</w:t>
            </w:r>
          </w:p>
        </w:tc>
        <w:tc>
          <w:tcPr>
            <w:tcW w:w="1867" w:type="dxa"/>
            <w:vAlign w:val="center"/>
          </w:tcPr>
          <w:p w14:paraId="0E477BD1">
            <w:pPr>
              <w:pStyle w:val="178"/>
              <w:spacing w:line="240" w:lineRule="auto"/>
              <w:rPr>
                <w:sz w:val="18"/>
              </w:rPr>
            </w:pPr>
            <w:r>
              <w:rPr>
                <w:rFonts w:hint="eastAsia"/>
                <w:sz w:val="18"/>
              </w:rPr>
              <w:t>检验员</w:t>
            </w:r>
          </w:p>
        </w:tc>
      </w:tr>
      <w:tr w14:paraId="2B5462D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rHeight w:val="90" w:hRule="atLeast"/>
          <w:jc w:val="center"/>
        </w:trPr>
        <w:tc>
          <w:tcPr>
            <w:tcW w:w="1686" w:type="dxa"/>
            <w:vAlign w:val="center"/>
          </w:tcPr>
          <w:p w14:paraId="44AC9ABE">
            <w:pPr>
              <w:pStyle w:val="178"/>
              <w:spacing w:line="240" w:lineRule="auto"/>
              <w:rPr>
                <w:sz w:val="18"/>
              </w:rPr>
            </w:pPr>
            <w:r>
              <w:rPr>
                <w:rFonts w:hint="eastAsia"/>
                <w:sz w:val="18"/>
              </w:rPr>
              <w:t>1</w:t>
            </w:r>
          </w:p>
        </w:tc>
        <w:tc>
          <w:tcPr>
            <w:tcW w:w="1493" w:type="dxa"/>
            <w:vAlign w:val="center"/>
          </w:tcPr>
          <w:p w14:paraId="2CB95400">
            <w:pPr>
              <w:pStyle w:val="178"/>
              <w:spacing w:line="240" w:lineRule="auto"/>
              <w:rPr>
                <w:sz w:val="18"/>
              </w:rPr>
            </w:pPr>
            <w:r>
              <w:rPr>
                <w:rFonts w:hint="eastAsia"/>
                <w:sz w:val="18"/>
              </w:rPr>
              <w:t>外观</w:t>
            </w:r>
          </w:p>
        </w:tc>
        <w:tc>
          <w:tcPr>
            <w:tcW w:w="1560" w:type="dxa"/>
            <w:vAlign w:val="center"/>
          </w:tcPr>
          <w:p w14:paraId="5CD849D5">
            <w:pPr>
              <w:pStyle w:val="178"/>
              <w:spacing w:line="240" w:lineRule="auto"/>
              <w:rPr>
                <w:sz w:val="18"/>
              </w:rPr>
            </w:pPr>
            <w:r>
              <w:rPr>
                <w:rFonts w:hint="eastAsia"/>
                <w:sz w:val="18"/>
              </w:rPr>
              <w:t>浅黄色液体</w:t>
            </w:r>
          </w:p>
        </w:tc>
        <w:tc>
          <w:tcPr>
            <w:tcW w:w="2728" w:type="dxa"/>
            <w:gridSpan w:val="2"/>
            <w:vAlign w:val="center"/>
          </w:tcPr>
          <w:p w14:paraId="7095554E">
            <w:pPr>
              <w:pStyle w:val="178"/>
              <w:spacing w:line="240" w:lineRule="auto"/>
              <w:rPr>
                <w:sz w:val="18"/>
              </w:rPr>
            </w:pPr>
            <w:r>
              <w:rPr>
                <w:rFonts w:hint="eastAsia"/>
                <w:sz w:val="18"/>
              </w:rPr>
              <w:t>□合格 □不合格</w:t>
            </w:r>
          </w:p>
        </w:tc>
        <w:tc>
          <w:tcPr>
            <w:tcW w:w="1867" w:type="dxa"/>
            <w:vAlign w:val="center"/>
          </w:tcPr>
          <w:p w14:paraId="2BF684E0">
            <w:pPr>
              <w:pStyle w:val="178"/>
              <w:spacing w:line="240" w:lineRule="auto"/>
              <w:rPr>
                <w:sz w:val="18"/>
              </w:rPr>
            </w:pPr>
          </w:p>
        </w:tc>
      </w:tr>
      <w:tr w14:paraId="53E40C0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686" w:type="dxa"/>
            <w:vAlign w:val="center"/>
          </w:tcPr>
          <w:p w14:paraId="5F5F8C71">
            <w:pPr>
              <w:pStyle w:val="178"/>
              <w:spacing w:line="240" w:lineRule="auto"/>
              <w:rPr>
                <w:sz w:val="18"/>
              </w:rPr>
            </w:pPr>
            <w:r>
              <w:rPr>
                <w:rFonts w:hint="eastAsia"/>
                <w:sz w:val="18"/>
              </w:rPr>
              <w:t>2</w:t>
            </w:r>
          </w:p>
        </w:tc>
        <w:tc>
          <w:tcPr>
            <w:tcW w:w="1493" w:type="dxa"/>
            <w:vAlign w:val="center"/>
          </w:tcPr>
          <w:p w14:paraId="6F9BC4CF">
            <w:pPr>
              <w:pStyle w:val="178"/>
              <w:spacing w:line="240" w:lineRule="auto"/>
              <w:rPr>
                <w:sz w:val="18"/>
              </w:rPr>
            </w:pPr>
            <w:r>
              <w:rPr>
                <w:rFonts w:hint="eastAsia"/>
                <w:sz w:val="18"/>
              </w:rPr>
              <w:t>气味</w:t>
            </w:r>
          </w:p>
        </w:tc>
        <w:tc>
          <w:tcPr>
            <w:tcW w:w="1560" w:type="dxa"/>
            <w:vAlign w:val="center"/>
          </w:tcPr>
          <w:p w14:paraId="45DA1968">
            <w:pPr>
              <w:pStyle w:val="178"/>
              <w:spacing w:line="240" w:lineRule="auto"/>
              <w:rPr>
                <w:sz w:val="18"/>
              </w:rPr>
            </w:pPr>
            <w:r>
              <w:rPr>
                <w:rFonts w:hint="eastAsia"/>
                <w:sz w:val="18"/>
              </w:rPr>
              <w:t>轻微发酵酸味</w:t>
            </w:r>
          </w:p>
        </w:tc>
        <w:tc>
          <w:tcPr>
            <w:tcW w:w="2728" w:type="dxa"/>
            <w:gridSpan w:val="2"/>
            <w:vAlign w:val="center"/>
          </w:tcPr>
          <w:p w14:paraId="5B0D8D50">
            <w:pPr>
              <w:pStyle w:val="178"/>
              <w:spacing w:line="240" w:lineRule="auto"/>
              <w:rPr>
                <w:sz w:val="18"/>
              </w:rPr>
            </w:pPr>
            <w:r>
              <w:rPr>
                <w:rFonts w:hint="eastAsia"/>
                <w:sz w:val="18"/>
              </w:rPr>
              <w:t>□合格 □不合格</w:t>
            </w:r>
          </w:p>
        </w:tc>
        <w:tc>
          <w:tcPr>
            <w:tcW w:w="1867" w:type="dxa"/>
            <w:vAlign w:val="center"/>
          </w:tcPr>
          <w:p w14:paraId="31F30A6F">
            <w:pPr>
              <w:pStyle w:val="178"/>
              <w:spacing w:line="240" w:lineRule="auto"/>
              <w:rPr>
                <w:sz w:val="18"/>
              </w:rPr>
            </w:pPr>
          </w:p>
        </w:tc>
      </w:tr>
      <w:tr w14:paraId="031CC54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686" w:type="dxa"/>
            <w:vAlign w:val="center"/>
          </w:tcPr>
          <w:p w14:paraId="6EAE6239">
            <w:pPr>
              <w:pStyle w:val="178"/>
              <w:spacing w:line="240" w:lineRule="auto"/>
              <w:rPr>
                <w:sz w:val="18"/>
              </w:rPr>
            </w:pPr>
            <w:r>
              <w:rPr>
                <w:rFonts w:hint="eastAsia"/>
                <w:sz w:val="18"/>
              </w:rPr>
              <w:t>3</w:t>
            </w:r>
          </w:p>
        </w:tc>
        <w:tc>
          <w:tcPr>
            <w:tcW w:w="1493" w:type="dxa"/>
            <w:vAlign w:val="center"/>
          </w:tcPr>
          <w:p w14:paraId="32FB2450">
            <w:pPr>
              <w:pStyle w:val="178"/>
              <w:spacing w:line="240" w:lineRule="auto"/>
              <w:rPr>
                <w:sz w:val="18"/>
              </w:rPr>
            </w:pPr>
            <w:r>
              <w:rPr>
                <w:rFonts w:hint="eastAsia"/>
                <w:sz w:val="18"/>
              </w:rPr>
              <w:t>CODcr</w:t>
            </w:r>
          </w:p>
        </w:tc>
        <w:tc>
          <w:tcPr>
            <w:tcW w:w="1560" w:type="dxa"/>
            <w:vAlign w:val="center"/>
          </w:tcPr>
          <w:p w14:paraId="67ACD16C">
            <w:pPr>
              <w:pStyle w:val="178"/>
              <w:spacing w:line="240" w:lineRule="auto"/>
              <w:rPr>
                <w:sz w:val="18"/>
              </w:rPr>
            </w:pPr>
            <w:r>
              <w:rPr>
                <w:rFonts w:hint="eastAsia"/>
                <w:sz w:val="18"/>
              </w:rPr>
              <w:t>≥1.5×10⁵ mg/L</w:t>
            </w:r>
          </w:p>
        </w:tc>
        <w:tc>
          <w:tcPr>
            <w:tcW w:w="2728" w:type="dxa"/>
            <w:gridSpan w:val="2"/>
            <w:vAlign w:val="center"/>
          </w:tcPr>
          <w:p w14:paraId="6BEB1D8F">
            <w:pPr>
              <w:pStyle w:val="178"/>
              <w:spacing w:line="240" w:lineRule="auto"/>
              <w:rPr>
                <w:sz w:val="18"/>
              </w:rPr>
            </w:pPr>
            <w:r>
              <w:rPr>
                <w:rFonts w:hint="eastAsia"/>
                <w:sz w:val="18"/>
              </w:rPr>
              <w:t>□合格 □不合格</w:t>
            </w:r>
          </w:p>
        </w:tc>
        <w:tc>
          <w:tcPr>
            <w:tcW w:w="1867" w:type="dxa"/>
            <w:vAlign w:val="center"/>
          </w:tcPr>
          <w:p w14:paraId="35D9E46C">
            <w:pPr>
              <w:pStyle w:val="178"/>
              <w:spacing w:line="240" w:lineRule="auto"/>
              <w:rPr>
                <w:sz w:val="18"/>
              </w:rPr>
            </w:pPr>
          </w:p>
        </w:tc>
      </w:tr>
      <w:tr w14:paraId="6E47DD2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686" w:type="dxa"/>
            <w:vAlign w:val="center"/>
          </w:tcPr>
          <w:p w14:paraId="01C7DCB4">
            <w:pPr>
              <w:pStyle w:val="178"/>
              <w:spacing w:line="240" w:lineRule="auto"/>
              <w:rPr>
                <w:sz w:val="18"/>
              </w:rPr>
            </w:pPr>
            <w:r>
              <w:rPr>
                <w:rFonts w:hint="eastAsia"/>
                <w:sz w:val="18"/>
              </w:rPr>
              <w:t>4</w:t>
            </w:r>
          </w:p>
        </w:tc>
        <w:tc>
          <w:tcPr>
            <w:tcW w:w="1493" w:type="dxa"/>
            <w:vAlign w:val="center"/>
          </w:tcPr>
          <w:p w14:paraId="6B6A9E90">
            <w:pPr>
              <w:pStyle w:val="178"/>
              <w:spacing w:line="240" w:lineRule="auto"/>
              <w:rPr>
                <w:sz w:val="18"/>
              </w:rPr>
            </w:pPr>
            <w:r>
              <w:rPr>
                <w:rFonts w:hint="eastAsia"/>
                <w:sz w:val="18"/>
              </w:rPr>
              <w:t>BOD₅/CODcr</w:t>
            </w:r>
          </w:p>
        </w:tc>
        <w:tc>
          <w:tcPr>
            <w:tcW w:w="1560" w:type="dxa"/>
            <w:vAlign w:val="center"/>
          </w:tcPr>
          <w:p w14:paraId="7451DB7D">
            <w:pPr>
              <w:pStyle w:val="178"/>
              <w:spacing w:line="240" w:lineRule="auto"/>
              <w:rPr>
                <w:sz w:val="18"/>
              </w:rPr>
            </w:pPr>
            <w:r>
              <w:rPr>
                <w:rFonts w:hint="eastAsia"/>
                <w:sz w:val="18"/>
              </w:rPr>
              <w:t>≥0.6</w:t>
            </w:r>
          </w:p>
        </w:tc>
        <w:tc>
          <w:tcPr>
            <w:tcW w:w="2728" w:type="dxa"/>
            <w:gridSpan w:val="2"/>
            <w:vAlign w:val="center"/>
          </w:tcPr>
          <w:p w14:paraId="035E333D">
            <w:pPr>
              <w:pStyle w:val="178"/>
              <w:spacing w:line="240" w:lineRule="auto"/>
              <w:rPr>
                <w:sz w:val="18"/>
              </w:rPr>
            </w:pPr>
            <w:r>
              <w:rPr>
                <w:rFonts w:hint="eastAsia"/>
                <w:sz w:val="18"/>
              </w:rPr>
              <w:t>□合格 □不合格</w:t>
            </w:r>
          </w:p>
        </w:tc>
        <w:tc>
          <w:tcPr>
            <w:tcW w:w="1867" w:type="dxa"/>
            <w:vAlign w:val="center"/>
          </w:tcPr>
          <w:p w14:paraId="4FE06322">
            <w:pPr>
              <w:pStyle w:val="178"/>
              <w:spacing w:line="240" w:lineRule="auto"/>
              <w:rPr>
                <w:sz w:val="18"/>
              </w:rPr>
            </w:pPr>
          </w:p>
        </w:tc>
      </w:tr>
      <w:tr w14:paraId="2F599C8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686" w:type="dxa"/>
            <w:vAlign w:val="center"/>
          </w:tcPr>
          <w:p w14:paraId="55FB034B">
            <w:pPr>
              <w:pStyle w:val="178"/>
              <w:spacing w:line="240" w:lineRule="auto"/>
              <w:rPr>
                <w:sz w:val="18"/>
              </w:rPr>
            </w:pPr>
            <w:r>
              <w:rPr>
                <w:rFonts w:hint="eastAsia"/>
                <w:sz w:val="18"/>
              </w:rPr>
              <w:t>5</w:t>
            </w:r>
          </w:p>
        </w:tc>
        <w:tc>
          <w:tcPr>
            <w:tcW w:w="1493" w:type="dxa"/>
            <w:vAlign w:val="center"/>
          </w:tcPr>
          <w:p w14:paraId="19BA3907">
            <w:pPr>
              <w:pStyle w:val="178"/>
              <w:spacing w:line="240" w:lineRule="auto"/>
              <w:rPr>
                <w:sz w:val="18"/>
              </w:rPr>
            </w:pPr>
            <w:r>
              <w:rPr>
                <w:rFonts w:hint="eastAsia"/>
                <w:sz w:val="18"/>
              </w:rPr>
              <w:t>pH</w:t>
            </w:r>
          </w:p>
        </w:tc>
        <w:tc>
          <w:tcPr>
            <w:tcW w:w="1560" w:type="dxa"/>
            <w:vAlign w:val="center"/>
          </w:tcPr>
          <w:p w14:paraId="182A80C9">
            <w:pPr>
              <w:pStyle w:val="178"/>
              <w:spacing w:line="240" w:lineRule="auto"/>
              <w:rPr>
                <w:sz w:val="18"/>
              </w:rPr>
            </w:pPr>
            <w:r>
              <w:rPr>
                <w:rFonts w:hint="eastAsia"/>
                <w:sz w:val="18"/>
              </w:rPr>
              <w:t>3.0~9.0</w:t>
            </w:r>
          </w:p>
        </w:tc>
        <w:tc>
          <w:tcPr>
            <w:tcW w:w="2728" w:type="dxa"/>
            <w:gridSpan w:val="2"/>
            <w:vAlign w:val="center"/>
          </w:tcPr>
          <w:p w14:paraId="319B5E2F">
            <w:pPr>
              <w:pStyle w:val="178"/>
              <w:spacing w:line="240" w:lineRule="auto"/>
              <w:rPr>
                <w:sz w:val="18"/>
              </w:rPr>
            </w:pPr>
            <w:r>
              <w:rPr>
                <w:rFonts w:hint="eastAsia"/>
                <w:sz w:val="18"/>
              </w:rPr>
              <w:t>□合格 □不合格</w:t>
            </w:r>
          </w:p>
        </w:tc>
        <w:tc>
          <w:tcPr>
            <w:tcW w:w="1867" w:type="dxa"/>
            <w:vAlign w:val="center"/>
          </w:tcPr>
          <w:p w14:paraId="30790FA3">
            <w:pPr>
              <w:pStyle w:val="178"/>
              <w:spacing w:line="240" w:lineRule="auto"/>
              <w:rPr>
                <w:sz w:val="18"/>
              </w:rPr>
            </w:pPr>
          </w:p>
        </w:tc>
      </w:tr>
      <w:tr w14:paraId="1617D6C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686" w:type="dxa"/>
            <w:vAlign w:val="center"/>
          </w:tcPr>
          <w:p w14:paraId="1BD6EFB7">
            <w:pPr>
              <w:pStyle w:val="178"/>
              <w:spacing w:line="240" w:lineRule="auto"/>
              <w:rPr>
                <w:sz w:val="18"/>
              </w:rPr>
            </w:pPr>
            <w:r>
              <w:rPr>
                <w:rFonts w:hint="eastAsia"/>
                <w:sz w:val="18"/>
              </w:rPr>
              <w:t>6</w:t>
            </w:r>
          </w:p>
        </w:tc>
        <w:tc>
          <w:tcPr>
            <w:tcW w:w="1493" w:type="dxa"/>
            <w:vAlign w:val="center"/>
          </w:tcPr>
          <w:p w14:paraId="1FB6FEF2">
            <w:pPr>
              <w:pStyle w:val="178"/>
              <w:spacing w:line="240" w:lineRule="auto"/>
              <w:rPr>
                <w:sz w:val="18"/>
              </w:rPr>
            </w:pPr>
            <w:r>
              <w:rPr>
                <w:rFonts w:hint="eastAsia"/>
                <w:sz w:val="18"/>
              </w:rPr>
              <w:t>密度</w:t>
            </w:r>
          </w:p>
        </w:tc>
        <w:tc>
          <w:tcPr>
            <w:tcW w:w="1560" w:type="dxa"/>
            <w:vAlign w:val="center"/>
          </w:tcPr>
          <w:p w14:paraId="4A5F5DFC">
            <w:pPr>
              <w:pStyle w:val="178"/>
              <w:spacing w:line="240" w:lineRule="auto"/>
              <w:rPr>
                <w:sz w:val="18"/>
              </w:rPr>
            </w:pPr>
            <w:r>
              <w:rPr>
                <w:rFonts w:hint="eastAsia"/>
                <w:sz w:val="18"/>
              </w:rPr>
              <w:t>1.00~1.26 g/cm3</w:t>
            </w:r>
          </w:p>
        </w:tc>
        <w:tc>
          <w:tcPr>
            <w:tcW w:w="2728" w:type="dxa"/>
            <w:gridSpan w:val="2"/>
            <w:vAlign w:val="center"/>
          </w:tcPr>
          <w:p w14:paraId="47A55EBE">
            <w:pPr>
              <w:pStyle w:val="178"/>
              <w:spacing w:line="240" w:lineRule="auto"/>
              <w:rPr>
                <w:sz w:val="18"/>
              </w:rPr>
            </w:pPr>
            <w:r>
              <w:rPr>
                <w:rFonts w:hint="eastAsia"/>
                <w:sz w:val="18"/>
              </w:rPr>
              <w:t>□合格 □不合格</w:t>
            </w:r>
          </w:p>
        </w:tc>
        <w:tc>
          <w:tcPr>
            <w:tcW w:w="1867" w:type="dxa"/>
            <w:vAlign w:val="center"/>
          </w:tcPr>
          <w:p w14:paraId="2E3082D4">
            <w:pPr>
              <w:pStyle w:val="178"/>
              <w:spacing w:line="240" w:lineRule="auto"/>
              <w:rPr>
                <w:sz w:val="18"/>
              </w:rPr>
            </w:pPr>
          </w:p>
        </w:tc>
      </w:tr>
      <w:tr w14:paraId="6BDB214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686" w:type="dxa"/>
            <w:vAlign w:val="center"/>
          </w:tcPr>
          <w:p w14:paraId="2B969EDA">
            <w:pPr>
              <w:pStyle w:val="178"/>
              <w:spacing w:line="240" w:lineRule="auto"/>
              <w:rPr>
                <w:sz w:val="18"/>
              </w:rPr>
            </w:pPr>
            <w:r>
              <w:rPr>
                <w:rFonts w:hint="eastAsia"/>
                <w:sz w:val="18"/>
              </w:rPr>
              <w:t>7</w:t>
            </w:r>
          </w:p>
        </w:tc>
        <w:tc>
          <w:tcPr>
            <w:tcW w:w="1493" w:type="dxa"/>
            <w:vAlign w:val="center"/>
          </w:tcPr>
          <w:p w14:paraId="4C58EAE2">
            <w:pPr>
              <w:pStyle w:val="178"/>
              <w:spacing w:line="240" w:lineRule="auto"/>
              <w:rPr>
                <w:sz w:val="18"/>
              </w:rPr>
            </w:pPr>
            <w:r>
              <w:rPr>
                <w:rFonts w:hint="eastAsia"/>
                <w:sz w:val="18"/>
              </w:rPr>
              <w:t>水不溶物</w:t>
            </w:r>
          </w:p>
        </w:tc>
        <w:tc>
          <w:tcPr>
            <w:tcW w:w="1560" w:type="dxa"/>
            <w:vAlign w:val="center"/>
          </w:tcPr>
          <w:p w14:paraId="0A37CA34">
            <w:pPr>
              <w:pStyle w:val="178"/>
              <w:spacing w:line="240" w:lineRule="auto"/>
              <w:rPr>
                <w:sz w:val="18"/>
              </w:rPr>
            </w:pPr>
            <w:r>
              <w:rPr>
                <w:rFonts w:hint="eastAsia"/>
                <w:sz w:val="18"/>
              </w:rPr>
              <w:t>≤0.2%</w:t>
            </w:r>
          </w:p>
        </w:tc>
        <w:tc>
          <w:tcPr>
            <w:tcW w:w="2728" w:type="dxa"/>
            <w:gridSpan w:val="2"/>
            <w:vAlign w:val="center"/>
          </w:tcPr>
          <w:p w14:paraId="1954E829">
            <w:pPr>
              <w:pStyle w:val="178"/>
              <w:spacing w:line="240" w:lineRule="auto"/>
              <w:rPr>
                <w:sz w:val="18"/>
              </w:rPr>
            </w:pPr>
            <w:r>
              <w:rPr>
                <w:rFonts w:hint="eastAsia"/>
                <w:sz w:val="18"/>
              </w:rPr>
              <w:t>□合格 □不合格</w:t>
            </w:r>
          </w:p>
        </w:tc>
        <w:tc>
          <w:tcPr>
            <w:tcW w:w="1867" w:type="dxa"/>
            <w:vAlign w:val="center"/>
          </w:tcPr>
          <w:p w14:paraId="695B3A5E">
            <w:pPr>
              <w:pStyle w:val="178"/>
              <w:spacing w:line="240" w:lineRule="auto"/>
              <w:rPr>
                <w:sz w:val="18"/>
              </w:rPr>
            </w:pPr>
          </w:p>
        </w:tc>
      </w:tr>
      <w:tr w14:paraId="42296A6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jc w:val="center"/>
        </w:trPr>
        <w:tc>
          <w:tcPr>
            <w:tcW w:w="1686" w:type="dxa"/>
            <w:vAlign w:val="center"/>
          </w:tcPr>
          <w:p w14:paraId="5099A286">
            <w:pPr>
              <w:pStyle w:val="178"/>
              <w:spacing w:line="240" w:lineRule="auto"/>
              <w:rPr>
                <w:sz w:val="18"/>
              </w:rPr>
            </w:pPr>
            <w:r>
              <w:rPr>
                <w:rFonts w:hint="eastAsia"/>
                <w:sz w:val="18"/>
              </w:rPr>
              <w:t>8</w:t>
            </w:r>
          </w:p>
        </w:tc>
        <w:tc>
          <w:tcPr>
            <w:tcW w:w="1493" w:type="dxa"/>
            <w:vAlign w:val="center"/>
          </w:tcPr>
          <w:p w14:paraId="30FCCBD1">
            <w:pPr>
              <w:pStyle w:val="178"/>
              <w:spacing w:line="240" w:lineRule="auto"/>
              <w:rPr>
                <w:sz w:val="18"/>
              </w:rPr>
            </w:pPr>
            <w:r>
              <w:rPr>
                <w:rFonts w:hint="eastAsia"/>
                <w:sz w:val="18"/>
              </w:rPr>
              <w:t>氨基酸</w:t>
            </w:r>
          </w:p>
        </w:tc>
        <w:tc>
          <w:tcPr>
            <w:tcW w:w="1560" w:type="dxa"/>
            <w:vAlign w:val="center"/>
          </w:tcPr>
          <w:p w14:paraId="6D23E24C">
            <w:pPr>
              <w:pStyle w:val="178"/>
              <w:spacing w:line="240" w:lineRule="auto"/>
              <w:rPr>
                <w:sz w:val="18"/>
              </w:rPr>
            </w:pPr>
            <w:r>
              <w:rPr>
                <w:rFonts w:hint="eastAsia"/>
                <w:sz w:val="18"/>
              </w:rPr>
              <w:t>≥0.2%</w:t>
            </w:r>
          </w:p>
        </w:tc>
        <w:tc>
          <w:tcPr>
            <w:tcW w:w="2728" w:type="dxa"/>
            <w:gridSpan w:val="2"/>
            <w:vAlign w:val="center"/>
          </w:tcPr>
          <w:p w14:paraId="14AD617E">
            <w:pPr>
              <w:pStyle w:val="178"/>
              <w:spacing w:line="240" w:lineRule="auto"/>
              <w:rPr>
                <w:sz w:val="18"/>
              </w:rPr>
            </w:pPr>
            <w:r>
              <w:rPr>
                <w:rFonts w:hint="eastAsia"/>
                <w:sz w:val="18"/>
              </w:rPr>
              <w:t>□合格 □不合格</w:t>
            </w:r>
          </w:p>
        </w:tc>
        <w:tc>
          <w:tcPr>
            <w:tcW w:w="1867" w:type="dxa"/>
            <w:vAlign w:val="center"/>
          </w:tcPr>
          <w:p w14:paraId="5A81D731">
            <w:pPr>
              <w:pStyle w:val="178"/>
              <w:spacing w:line="240" w:lineRule="auto"/>
              <w:rPr>
                <w:sz w:val="18"/>
              </w:rPr>
            </w:pPr>
          </w:p>
        </w:tc>
      </w:tr>
      <w:tr w14:paraId="1082C19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686" w:type="dxa"/>
            <w:vAlign w:val="center"/>
          </w:tcPr>
          <w:p w14:paraId="49E32DE8">
            <w:pPr>
              <w:pStyle w:val="178"/>
              <w:spacing w:line="240" w:lineRule="auto"/>
              <w:rPr>
                <w:sz w:val="18"/>
              </w:rPr>
            </w:pPr>
            <w:r>
              <w:rPr>
                <w:rFonts w:hint="eastAsia"/>
                <w:sz w:val="18"/>
              </w:rPr>
              <w:t>9</w:t>
            </w:r>
          </w:p>
        </w:tc>
        <w:tc>
          <w:tcPr>
            <w:tcW w:w="1493" w:type="dxa"/>
            <w:vAlign w:val="center"/>
          </w:tcPr>
          <w:p w14:paraId="2B65043C">
            <w:pPr>
              <w:pStyle w:val="178"/>
              <w:spacing w:line="240" w:lineRule="auto"/>
              <w:rPr>
                <w:sz w:val="18"/>
              </w:rPr>
            </w:pPr>
            <w:r>
              <w:rPr>
                <w:rFonts w:hint="eastAsia"/>
                <w:sz w:val="18"/>
              </w:rPr>
              <w:t>有机酸（乳酸）</w:t>
            </w:r>
          </w:p>
        </w:tc>
        <w:tc>
          <w:tcPr>
            <w:tcW w:w="1560" w:type="dxa"/>
            <w:vAlign w:val="center"/>
          </w:tcPr>
          <w:p w14:paraId="5D603B4D">
            <w:pPr>
              <w:pStyle w:val="178"/>
              <w:spacing w:line="240" w:lineRule="auto"/>
              <w:rPr>
                <w:sz w:val="18"/>
              </w:rPr>
            </w:pPr>
            <w:r>
              <w:rPr>
                <w:rFonts w:hint="eastAsia"/>
                <w:sz w:val="18"/>
              </w:rPr>
              <w:t>≥2%</w:t>
            </w:r>
          </w:p>
        </w:tc>
        <w:tc>
          <w:tcPr>
            <w:tcW w:w="2728" w:type="dxa"/>
            <w:gridSpan w:val="2"/>
            <w:vAlign w:val="center"/>
          </w:tcPr>
          <w:p w14:paraId="4FCFDA14">
            <w:pPr>
              <w:pStyle w:val="178"/>
              <w:spacing w:line="240" w:lineRule="auto"/>
              <w:rPr>
                <w:sz w:val="18"/>
              </w:rPr>
            </w:pPr>
            <w:r>
              <w:rPr>
                <w:rFonts w:hint="eastAsia"/>
                <w:sz w:val="18"/>
              </w:rPr>
              <w:t>□合格 □不合格</w:t>
            </w:r>
          </w:p>
        </w:tc>
        <w:tc>
          <w:tcPr>
            <w:tcW w:w="1867" w:type="dxa"/>
            <w:vAlign w:val="center"/>
          </w:tcPr>
          <w:p w14:paraId="73EE1AB0">
            <w:pPr>
              <w:pStyle w:val="178"/>
              <w:spacing w:line="240" w:lineRule="auto"/>
              <w:rPr>
                <w:sz w:val="18"/>
              </w:rPr>
            </w:pPr>
          </w:p>
        </w:tc>
      </w:tr>
      <w:tr w14:paraId="7E5E6DD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jc w:val="center"/>
        </w:trPr>
        <w:tc>
          <w:tcPr>
            <w:tcW w:w="1686" w:type="dxa"/>
            <w:vAlign w:val="center"/>
          </w:tcPr>
          <w:p w14:paraId="03493D7C">
            <w:pPr>
              <w:pStyle w:val="178"/>
              <w:spacing w:line="240" w:lineRule="auto"/>
              <w:rPr>
                <w:sz w:val="18"/>
              </w:rPr>
            </w:pPr>
            <w:r>
              <w:rPr>
                <w:rFonts w:hint="eastAsia"/>
                <w:sz w:val="18"/>
              </w:rPr>
              <w:t>10</w:t>
            </w:r>
          </w:p>
        </w:tc>
        <w:tc>
          <w:tcPr>
            <w:tcW w:w="1493" w:type="dxa"/>
            <w:vAlign w:val="center"/>
          </w:tcPr>
          <w:p w14:paraId="2BC8750C">
            <w:pPr>
              <w:pStyle w:val="178"/>
              <w:spacing w:line="240" w:lineRule="auto"/>
              <w:rPr>
                <w:sz w:val="18"/>
              </w:rPr>
            </w:pPr>
            <w:r>
              <w:rPr>
                <w:rFonts w:hint="eastAsia"/>
                <w:sz w:val="18"/>
              </w:rPr>
              <w:t>氯化物（Cl）</w:t>
            </w:r>
          </w:p>
        </w:tc>
        <w:tc>
          <w:tcPr>
            <w:tcW w:w="1560" w:type="dxa"/>
            <w:vAlign w:val="center"/>
          </w:tcPr>
          <w:p w14:paraId="443F0D47">
            <w:pPr>
              <w:pStyle w:val="178"/>
              <w:spacing w:line="240" w:lineRule="auto"/>
              <w:rPr>
                <w:sz w:val="18"/>
              </w:rPr>
            </w:pPr>
            <w:r>
              <w:rPr>
                <w:rFonts w:hint="eastAsia"/>
                <w:sz w:val="18"/>
              </w:rPr>
              <w:t>≤0.6%</w:t>
            </w:r>
          </w:p>
        </w:tc>
        <w:tc>
          <w:tcPr>
            <w:tcW w:w="2728" w:type="dxa"/>
            <w:gridSpan w:val="2"/>
            <w:vAlign w:val="center"/>
          </w:tcPr>
          <w:p w14:paraId="41ED24F3">
            <w:pPr>
              <w:pStyle w:val="178"/>
              <w:spacing w:line="240" w:lineRule="auto"/>
              <w:rPr>
                <w:sz w:val="18"/>
              </w:rPr>
            </w:pPr>
            <w:r>
              <w:rPr>
                <w:rFonts w:hint="eastAsia"/>
                <w:sz w:val="18"/>
              </w:rPr>
              <w:t>□合格 □不合格</w:t>
            </w:r>
          </w:p>
        </w:tc>
        <w:tc>
          <w:tcPr>
            <w:tcW w:w="1867" w:type="dxa"/>
            <w:vAlign w:val="center"/>
          </w:tcPr>
          <w:p w14:paraId="41AF550B">
            <w:pPr>
              <w:pStyle w:val="178"/>
              <w:spacing w:line="240" w:lineRule="auto"/>
              <w:rPr>
                <w:sz w:val="18"/>
              </w:rPr>
            </w:pPr>
          </w:p>
        </w:tc>
      </w:tr>
      <w:tr w14:paraId="3100F80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686" w:type="dxa"/>
            <w:vAlign w:val="center"/>
          </w:tcPr>
          <w:p w14:paraId="07A9ECEA">
            <w:pPr>
              <w:pStyle w:val="178"/>
              <w:spacing w:line="240" w:lineRule="auto"/>
              <w:rPr>
                <w:sz w:val="18"/>
              </w:rPr>
            </w:pPr>
            <w:r>
              <w:rPr>
                <w:rFonts w:hint="eastAsia"/>
                <w:sz w:val="18"/>
              </w:rPr>
              <w:t>11</w:t>
            </w:r>
          </w:p>
        </w:tc>
        <w:tc>
          <w:tcPr>
            <w:tcW w:w="1493" w:type="dxa"/>
            <w:vAlign w:val="center"/>
          </w:tcPr>
          <w:p w14:paraId="1CF28BE0">
            <w:pPr>
              <w:pStyle w:val="178"/>
              <w:spacing w:line="240" w:lineRule="auto"/>
              <w:rPr>
                <w:sz w:val="18"/>
              </w:rPr>
            </w:pPr>
            <w:r>
              <w:rPr>
                <w:rFonts w:hint="eastAsia"/>
                <w:sz w:val="18"/>
              </w:rPr>
              <w:t>总磷（TP）</w:t>
            </w:r>
          </w:p>
        </w:tc>
        <w:tc>
          <w:tcPr>
            <w:tcW w:w="1560" w:type="dxa"/>
            <w:vAlign w:val="center"/>
          </w:tcPr>
          <w:p w14:paraId="1FECD310">
            <w:pPr>
              <w:pStyle w:val="178"/>
              <w:spacing w:line="240" w:lineRule="auto"/>
              <w:rPr>
                <w:sz w:val="18"/>
              </w:rPr>
            </w:pPr>
            <w:r>
              <w:rPr>
                <w:rFonts w:hint="eastAsia"/>
                <w:sz w:val="18"/>
              </w:rPr>
              <w:t>≤0.06%</w:t>
            </w:r>
          </w:p>
        </w:tc>
        <w:tc>
          <w:tcPr>
            <w:tcW w:w="2728" w:type="dxa"/>
            <w:gridSpan w:val="2"/>
            <w:vAlign w:val="center"/>
          </w:tcPr>
          <w:p w14:paraId="5B69D99D">
            <w:pPr>
              <w:pStyle w:val="178"/>
              <w:spacing w:line="240" w:lineRule="auto"/>
              <w:rPr>
                <w:sz w:val="18"/>
              </w:rPr>
            </w:pPr>
            <w:r>
              <w:rPr>
                <w:rFonts w:hint="eastAsia"/>
                <w:sz w:val="18"/>
              </w:rPr>
              <w:t>□合格 □不合格</w:t>
            </w:r>
          </w:p>
        </w:tc>
        <w:tc>
          <w:tcPr>
            <w:tcW w:w="1867" w:type="dxa"/>
            <w:vAlign w:val="center"/>
          </w:tcPr>
          <w:p w14:paraId="06CE3CD9">
            <w:pPr>
              <w:pStyle w:val="178"/>
              <w:spacing w:line="240" w:lineRule="auto"/>
              <w:rPr>
                <w:sz w:val="18"/>
              </w:rPr>
            </w:pPr>
          </w:p>
        </w:tc>
      </w:tr>
      <w:tr w14:paraId="202C8AA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686" w:type="dxa"/>
            <w:vAlign w:val="center"/>
          </w:tcPr>
          <w:p w14:paraId="0D37B195">
            <w:pPr>
              <w:pStyle w:val="178"/>
              <w:spacing w:line="240" w:lineRule="auto"/>
              <w:rPr>
                <w:sz w:val="18"/>
              </w:rPr>
            </w:pPr>
            <w:r>
              <w:rPr>
                <w:rFonts w:hint="eastAsia"/>
                <w:sz w:val="18"/>
              </w:rPr>
              <w:t>12</w:t>
            </w:r>
          </w:p>
        </w:tc>
        <w:tc>
          <w:tcPr>
            <w:tcW w:w="1493" w:type="dxa"/>
            <w:vAlign w:val="center"/>
          </w:tcPr>
          <w:p w14:paraId="2CA46BD5">
            <w:pPr>
              <w:pStyle w:val="178"/>
              <w:spacing w:line="240" w:lineRule="auto"/>
              <w:rPr>
                <w:sz w:val="18"/>
              </w:rPr>
            </w:pPr>
            <w:r>
              <w:rPr>
                <w:rFonts w:hint="eastAsia"/>
                <w:sz w:val="18"/>
              </w:rPr>
              <w:t>总氮（TN）</w:t>
            </w:r>
          </w:p>
        </w:tc>
        <w:tc>
          <w:tcPr>
            <w:tcW w:w="1560" w:type="dxa"/>
            <w:vAlign w:val="center"/>
          </w:tcPr>
          <w:p w14:paraId="3AC9A7E4">
            <w:pPr>
              <w:pStyle w:val="178"/>
              <w:spacing w:line="240" w:lineRule="auto"/>
              <w:rPr>
                <w:sz w:val="18"/>
              </w:rPr>
            </w:pPr>
            <w:r>
              <w:rPr>
                <w:rFonts w:hint="eastAsia"/>
                <w:sz w:val="18"/>
              </w:rPr>
              <w:t>≤0.6%</w:t>
            </w:r>
          </w:p>
        </w:tc>
        <w:tc>
          <w:tcPr>
            <w:tcW w:w="2728" w:type="dxa"/>
            <w:gridSpan w:val="2"/>
            <w:vAlign w:val="center"/>
          </w:tcPr>
          <w:p w14:paraId="653AA3AD">
            <w:pPr>
              <w:pStyle w:val="178"/>
              <w:spacing w:line="240" w:lineRule="auto"/>
              <w:rPr>
                <w:sz w:val="18"/>
              </w:rPr>
            </w:pPr>
            <w:r>
              <w:rPr>
                <w:rFonts w:hint="eastAsia"/>
                <w:sz w:val="18"/>
              </w:rPr>
              <w:t>□合格 □不合格</w:t>
            </w:r>
          </w:p>
        </w:tc>
        <w:tc>
          <w:tcPr>
            <w:tcW w:w="1867" w:type="dxa"/>
            <w:vAlign w:val="center"/>
          </w:tcPr>
          <w:p w14:paraId="15A6197D">
            <w:pPr>
              <w:pStyle w:val="178"/>
              <w:spacing w:line="240" w:lineRule="auto"/>
              <w:rPr>
                <w:sz w:val="18"/>
              </w:rPr>
            </w:pPr>
          </w:p>
        </w:tc>
      </w:tr>
      <w:tr w14:paraId="298EE75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686" w:type="dxa"/>
            <w:vAlign w:val="center"/>
          </w:tcPr>
          <w:p w14:paraId="67CF217F">
            <w:pPr>
              <w:pStyle w:val="178"/>
              <w:spacing w:line="240" w:lineRule="auto"/>
              <w:rPr>
                <w:sz w:val="18"/>
              </w:rPr>
            </w:pPr>
            <w:r>
              <w:rPr>
                <w:rFonts w:hint="eastAsia"/>
                <w:sz w:val="18"/>
              </w:rPr>
              <w:t>13</w:t>
            </w:r>
          </w:p>
        </w:tc>
        <w:tc>
          <w:tcPr>
            <w:tcW w:w="1493" w:type="dxa"/>
            <w:vAlign w:val="center"/>
          </w:tcPr>
          <w:p w14:paraId="1044EB44">
            <w:pPr>
              <w:pStyle w:val="178"/>
              <w:spacing w:line="240" w:lineRule="auto"/>
              <w:rPr>
                <w:sz w:val="18"/>
              </w:rPr>
            </w:pPr>
            <w:r>
              <w:rPr>
                <w:rFonts w:hint="eastAsia"/>
                <w:sz w:val="18"/>
              </w:rPr>
              <w:t>汞（Hg）含量</w:t>
            </w:r>
          </w:p>
        </w:tc>
        <w:tc>
          <w:tcPr>
            <w:tcW w:w="1560" w:type="dxa"/>
            <w:vAlign w:val="center"/>
          </w:tcPr>
          <w:p w14:paraId="3F025948">
            <w:pPr>
              <w:pStyle w:val="178"/>
              <w:spacing w:line="240" w:lineRule="auto"/>
              <w:rPr>
                <w:sz w:val="18"/>
              </w:rPr>
            </w:pPr>
            <w:r>
              <w:rPr>
                <w:rFonts w:hint="eastAsia"/>
                <w:sz w:val="18"/>
              </w:rPr>
              <w:t>≤0.2 mg/L</w:t>
            </w:r>
          </w:p>
        </w:tc>
        <w:tc>
          <w:tcPr>
            <w:tcW w:w="2728" w:type="dxa"/>
            <w:gridSpan w:val="2"/>
            <w:vAlign w:val="center"/>
          </w:tcPr>
          <w:p w14:paraId="5828073B">
            <w:pPr>
              <w:pStyle w:val="178"/>
              <w:spacing w:line="240" w:lineRule="auto"/>
              <w:rPr>
                <w:sz w:val="18"/>
              </w:rPr>
            </w:pPr>
            <w:r>
              <w:rPr>
                <w:rFonts w:hint="eastAsia"/>
                <w:sz w:val="18"/>
              </w:rPr>
              <w:t>□合格 □不合格</w:t>
            </w:r>
          </w:p>
        </w:tc>
        <w:tc>
          <w:tcPr>
            <w:tcW w:w="1867" w:type="dxa"/>
            <w:vAlign w:val="center"/>
          </w:tcPr>
          <w:p w14:paraId="12AA47BD">
            <w:pPr>
              <w:pStyle w:val="178"/>
              <w:spacing w:line="240" w:lineRule="auto"/>
              <w:rPr>
                <w:sz w:val="18"/>
              </w:rPr>
            </w:pPr>
          </w:p>
        </w:tc>
      </w:tr>
      <w:tr w14:paraId="1FDF126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jc w:val="center"/>
        </w:trPr>
        <w:tc>
          <w:tcPr>
            <w:tcW w:w="1686" w:type="dxa"/>
            <w:vAlign w:val="center"/>
          </w:tcPr>
          <w:p w14:paraId="6A4CD71B">
            <w:pPr>
              <w:pStyle w:val="178"/>
              <w:spacing w:line="240" w:lineRule="auto"/>
              <w:rPr>
                <w:sz w:val="18"/>
              </w:rPr>
            </w:pPr>
            <w:r>
              <w:rPr>
                <w:rFonts w:hint="eastAsia"/>
                <w:sz w:val="18"/>
              </w:rPr>
              <w:t>14</w:t>
            </w:r>
          </w:p>
        </w:tc>
        <w:tc>
          <w:tcPr>
            <w:tcW w:w="1493" w:type="dxa"/>
            <w:vAlign w:val="center"/>
          </w:tcPr>
          <w:p w14:paraId="20E507FE">
            <w:pPr>
              <w:pStyle w:val="178"/>
              <w:spacing w:line="240" w:lineRule="auto"/>
              <w:rPr>
                <w:sz w:val="18"/>
              </w:rPr>
            </w:pPr>
            <w:r>
              <w:rPr>
                <w:rFonts w:hint="eastAsia"/>
                <w:sz w:val="18"/>
              </w:rPr>
              <w:t>镉（Cd）含量</w:t>
            </w:r>
          </w:p>
        </w:tc>
        <w:tc>
          <w:tcPr>
            <w:tcW w:w="1560" w:type="dxa"/>
            <w:vAlign w:val="center"/>
          </w:tcPr>
          <w:p w14:paraId="0D70654E">
            <w:pPr>
              <w:pStyle w:val="178"/>
              <w:spacing w:line="240" w:lineRule="auto"/>
              <w:rPr>
                <w:sz w:val="18"/>
              </w:rPr>
            </w:pPr>
            <w:r>
              <w:rPr>
                <w:rFonts w:hint="eastAsia"/>
                <w:sz w:val="18"/>
              </w:rPr>
              <w:t>≤2 mg/L</w:t>
            </w:r>
          </w:p>
        </w:tc>
        <w:tc>
          <w:tcPr>
            <w:tcW w:w="2728" w:type="dxa"/>
            <w:gridSpan w:val="2"/>
            <w:vAlign w:val="center"/>
          </w:tcPr>
          <w:p w14:paraId="2BEB267F">
            <w:pPr>
              <w:pStyle w:val="178"/>
              <w:spacing w:line="240" w:lineRule="auto"/>
              <w:rPr>
                <w:sz w:val="18"/>
              </w:rPr>
            </w:pPr>
            <w:r>
              <w:rPr>
                <w:rFonts w:hint="eastAsia"/>
                <w:sz w:val="18"/>
              </w:rPr>
              <w:t>□合格 □不合格</w:t>
            </w:r>
          </w:p>
        </w:tc>
        <w:tc>
          <w:tcPr>
            <w:tcW w:w="1867" w:type="dxa"/>
            <w:vAlign w:val="center"/>
          </w:tcPr>
          <w:p w14:paraId="7730A2B6">
            <w:pPr>
              <w:pStyle w:val="178"/>
              <w:spacing w:line="240" w:lineRule="auto"/>
              <w:rPr>
                <w:sz w:val="18"/>
              </w:rPr>
            </w:pPr>
          </w:p>
        </w:tc>
      </w:tr>
      <w:tr w14:paraId="10CC766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686" w:type="dxa"/>
            <w:vAlign w:val="center"/>
          </w:tcPr>
          <w:p w14:paraId="4BD11397">
            <w:pPr>
              <w:pStyle w:val="178"/>
              <w:spacing w:line="240" w:lineRule="auto"/>
              <w:rPr>
                <w:sz w:val="18"/>
              </w:rPr>
            </w:pPr>
            <w:r>
              <w:rPr>
                <w:rFonts w:hint="eastAsia"/>
                <w:sz w:val="18"/>
              </w:rPr>
              <w:t>15</w:t>
            </w:r>
          </w:p>
        </w:tc>
        <w:tc>
          <w:tcPr>
            <w:tcW w:w="1493" w:type="dxa"/>
            <w:vAlign w:val="center"/>
          </w:tcPr>
          <w:p w14:paraId="2EE96777">
            <w:pPr>
              <w:pStyle w:val="178"/>
              <w:spacing w:line="240" w:lineRule="auto"/>
              <w:rPr>
                <w:sz w:val="18"/>
              </w:rPr>
            </w:pPr>
            <w:r>
              <w:rPr>
                <w:rFonts w:hint="eastAsia"/>
                <w:sz w:val="18"/>
              </w:rPr>
              <w:t>铬（Cr）含量</w:t>
            </w:r>
          </w:p>
        </w:tc>
        <w:tc>
          <w:tcPr>
            <w:tcW w:w="1560" w:type="dxa"/>
            <w:vAlign w:val="center"/>
          </w:tcPr>
          <w:p w14:paraId="4B331161">
            <w:pPr>
              <w:pStyle w:val="178"/>
              <w:spacing w:line="240" w:lineRule="auto"/>
              <w:rPr>
                <w:sz w:val="18"/>
              </w:rPr>
            </w:pPr>
            <w:r>
              <w:rPr>
                <w:rFonts w:hint="eastAsia"/>
                <w:sz w:val="18"/>
              </w:rPr>
              <w:t>≤5 mg/L</w:t>
            </w:r>
          </w:p>
        </w:tc>
        <w:tc>
          <w:tcPr>
            <w:tcW w:w="2728" w:type="dxa"/>
            <w:gridSpan w:val="2"/>
            <w:vAlign w:val="center"/>
          </w:tcPr>
          <w:p w14:paraId="012E8538">
            <w:pPr>
              <w:pStyle w:val="178"/>
              <w:spacing w:line="240" w:lineRule="auto"/>
              <w:rPr>
                <w:sz w:val="18"/>
              </w:rPr>
            </w:pPr>
            <w:r>
              <w:rPr>
                <w:rFonts w:hint="eastAsia"/>
                <w:sz w:val="18"/>
              </w:rPr>
              <w:t>□合格 □不合格</w:t>
            </w:r>
          </w:p>
        </w:tc>
        <w:tc>
          <w:tcPr>
            <w:tcW w:w="1867" w:type="dxa"/>
            <w:vAlign w:val="center"/>
          </w:tcPr>
          <w:p w14:paraId="70B953B0">
            <w:pPr>
              <w:pStyle w:val="178"/>
              <w:spacing w:line="240" w:lineRule="auto"/>
              <w:rPr>
                <w:sz w:val="18"/>
              </w:rPr>
            </w:pPr>
          </w:p>
        </w:tc>
      </w:tr>
      <w:tr w14:paraId="3B7903F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jc w:val="center"/>
        </w:trPr>
        <w:tc>
          <w:tcPr>
            <w:tcW w:w="1686" w:type="dxa"/>
            <w:vAlign w:val="center"/>
          </w:tcPr>
          <w:p w14:paraId="0EE84A22">
            <w:pPr>
              <w:pStyle w:val="178"/>
              <w:spacing w:line="240" w:lineRule="auto"/>
              <w:rPr>
                <w:sz w:val="18"/>
              </w:rPr>
            </w:pPr>
            <w:r>
              <w:rPr>
                <w:rFonts w:hint="eastAsia"/>
                <w:sz w:val="18"/>
              </w:rPr>
              <w:t>16</w:t>
            </w:r>
          </w:p>
        </w:tc>
        <w:tc>
          <w:tcPr>
            <w:tcW w:w="1493" w:type="dxa"/>
            <w:vAlign w:val="center"/>
          </w:tcPr>
          <w:p w14:paraId="0070AA9C">
            <w:pPr>
              <w:pStyle w:val="178"/>
              <w:spacing w:line="240" w:lineRule="auto"/>
              <w:rPr>
                <w:sz w:val="18"/>
              </w:rPr>
            </w:pPr>
            <w:r>
              <w:rPr>
                <w:rFonts w:hint="eastAsia"/>
                <w:sz w:val="18"/>
              </w:rPr>
              <w:t>砷（As）含量</w:t>
            </w:r>
          </w:p>
        </w:tc>
        <w:tc>
          <w:tcPr>
            <w:tcW w:w="1560" w:type="dxa"/>
            <w:vAlign w:val="center"/>
          </w:tcPr>
          <w:p w14:paraId="7D4DD53F">
            <w:pPr>
              <w:pStyle w:val="178"/>
              <w:spacing w:line="240" w:lineRule="auto"/>
              <w:rPr>
                <w:sz w:val="18"/>
              </w:rPr>
            </w:pPr>
            <w:r>
              <w:rPr>
                <w:rFonts w:hint="eastAsia"/>
                <w:sz w:val="18"/>
              </w:rPr>
              <w:t>≤5 mg/L</w:t>
            </w:r>
          </w:p>
        </w:tc>
        <w:tc>
          <w:tcPr>
            <w:tcW w:w="2728" w:type="dxa"/>
            <w:gridSpan w:val="2"/>
            <w:vAlign w:val="center"/>
          </w:tcPr>
          <w:p w14:paraId="2DFAC308">
            <w:pPr>
              <w:pStyle w:val="178"/>
              <w:spacing w:line="240" w:lineRule="auto"/>
              <w:rPr>
                <w:sz w:val="18"/>
              </w:rPr>
            </w:pPr>
            <w:r>
              <w:rPr>
                <w:rFonts w:hint="eastAsia"/>
                <w:sz w:val="18"/>
              </w:rPr>
              <w:t>□合格 □不合格</w:t>
            </w:r>
          </w:p>
        </w:tc>
        <w:tc>
          <w:tcPr>
            <w:tcW w:w="1867" w:type="dxa"/>
            <w:vAlign w:val="center"/>
          </w:tcPr>
          <w:p w14:paraId="0818D391">
            <w:pPr>
              <w:pStyle w:val="178"/>
              <w:spacing w:line="240" w:lineRule="auto"/>
              <w:rPr>
                <w:sz w:val="18"/>
              </w:rPr>
            </w:pPr>
          </w:p>
        </w:tc>
      </w:tr>
      <w:tr w14:paraId="5388E5A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686" w:type="dxa"/>
            <w:vAlign w:val="center"/>
          </w:tcPr>
          <w:p w14:paraId="2C9B0875">
            <w:pPr>
              <w:pStyle w:val="178"/>
              <w:spacing w:line="240" w:lineRule="auto"/>
              <w:rPr>
                <w:sz w:val="18"/>
              </w:rPr>
            </w:pPr>
            <w:r>
              <w:rPr>
                <w:rFonts w:hint="eastAsia"/>
                <w:sz w:val="18"/>
              </w:rPr>
              <w:t>17</w:t>
            </w:r>
          </w:p>
        </w:tc>
        <w:tc>
          <w:tcPr>
            <w:tcW w:w="1493" w:type="dxa"/>
            <w:vAlign w:val="center"/>
          </w:tcPr>
          <w:p w14:paraId="52A03A88">
            <w:pPr>
              <w:pStyle w:val="178"/>
              <w:spacing w:line="240" w:lineRule="auto"/>
              <w:rPr>
                <w:sz w:val="18"/>
              </w:rPr>
            </w:pPr>
            <w:r>
              <w:rPr>
                <w:rFonts w:hint="eastAsia"/>
                <w:sz w:val="18"/>
              </w:rPr>
              <w:t>铅（Pb）含量</w:t>
            </w:r>
          </w:p>
        </w:tc>
        <w:tc>
          <w:tcPr>
            <w:tcW w:w="1560" w:type="dxa"/>
            <w:vAlign w:val="center"/>
          </w:tcPr>
          <w:p w14:paraId="67F25EED">
            <w:pPr>
              <w:pStyle w:val="178"/>
              <w:spacing w:line="240" w:lineRule="auto"/>
              <w:rPr>
                <w:sz w:val="18"/>
              </w:rPr>
            </w:pPr>
            <w:r>
              <w:rPr>
                <w:rFonts w:hint="eastAsia"/>
                <w:sz w:val="18"/>
              </w:rPr>
              <w:t>≤5 mg/L</w:t>
            </w:r>
          </w:p>
        </w:tc>
        <w:tc>
          <w:tcPr>
            <w:tcW w:w="2728" w:type="dxa"/>
            <w:gridSpan w:val="2"/>
            <w:vAlign w:val="center"/>
          </w:tcPr>
          <w:p w14:paraId="58309D09">
            <w:pPr>
              <w:pStyle w:val="178"/>
              <w:spacing w:line="240" w:lineRule="auto"/>
              <w:rPr>
                <w:sz w:val="18"/>
              </w:rPr>
            </w:pPr>
            <w:r>
              <w:rPr>
                <w:rFonts w:hint="eastAsia"/>
                <w:sz w:val="18"/>
              </w:rPr>
              <w:t>□合格 □不合格</w:t>
            </w:r>
          </w:p>
        </w:tc>
        <w:tc>
          <w:tcPr>
            <w:tcW w:w="1867" w:type="dxa"/>
            <w:vAlign w:val="center"/>
          </w:tcPr>
          <w:p w14:paraId="5C055489">
            <w:pPr>
              <w:pStyle w:val="178"/>
              <w:spacing w:line="240" w:lineRule="auto"/>
              <w:rPr>
                <w:sz w:val="18"/>
              </w:rPr>
            </w:pPr>
          </w:p>
        </w:tc>
      </w:tr>
      <w:tr w14:paraId="7E1BE7D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686" w:type="dxa"/>
            <w:vAlign w:val="center"/>
          </w:tcPr>
          <w:p w14:paraId="45E04337">
            <w:pPr>
              <w:pStyle w:val="178"/>
              <w:spacing w:line="240" w:lineRule="auto"/>
              <w:rPr>
                <w:b/>
                <w:bCs/>
                <w:sz w:val="18"/>
              </w:rPr>
            </w:pPr>
            <w:r>
              <w:rPr>
                <w:rFonts w:hint="eastAsia"/>
                <w:b/>
                <w:bCs/>
                <w:sz w:val="18"/>
              </w:rPr>
              <w:t>出厂检验综合判定</w:t>
            </w:r>
          </w:p>
        </w:tc>
        <w:tc>
          <w:tcPr>
            <w:tcW w:w="7648" w:type="dxa"/>
            <w:gridSpan w:val="5"/>
            <w:vAlign w:val="center"/>
          </w:tcPr>
          <w:p w14:paraId="477F6A40">
            <w:pPr>
              <w:pStyle w:val="178"/>
              <w:spacing w:line="240" w:lineRule="auto"/>
              <w:rPr>
                <w:sz w:val="18"/>
              </w:rPr>
            </w:pPr>
          </w:p>
        </w:tc>
      </w:tr>
      <w:tr w14:paraId="23E0F4A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686" w:type="dxa"/>
            <w:vAlign w:val="center"/>
          </w:tcPr>
          <w:p w14:paraId="0F9A5E6E">
            <w:pPr>
              <w:pStyle w:val="178"/>
              <w:spacing w:line="240" w:lineRule="auto"/>
              <w:rPr>
                <w:b/>
                <w:bCs/>
                <w:sz w:val="18"/>
              </w:rPr>
            </w:pPr>
            <w:r>
              <w:rPr>
                <w:rFonts w:hint="eastAsia"/>
                <w:b/>
                <w:bCs/>
                <w:sz w:val="18"/>
              </w:rPr>
              <w:t>备注</w:t>
            </w:r>
          </w:p>
        </w:tc>
        <w:tc>
          <w:tcPr>
            <w:tcW w:w="7648" w:type="dxa"/>
            <w:gridSpan w:val="5"/>
          </w:tcPr>
          <w:p w14:paraId="30255956">
            <w:pPr>
              <w:pStyle w:val="178"/>
              <w:spacing w:line="240" w:lineRule="auto"/>
              <w:rPr>
                <w:sz w:val="18"/>
              </w:rPr>
            </w:pPr>
          </w:p>
        </w:tc>
      </w:tr>
      <w:tr w14:paraId="6C6AAD5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686" w:type="dxa"/>
            <w:vAlign w:val="center"/>
          </w:tcPr>
          <w:p w14:paraId="0815D421">
            <w:pPr>
              <w:pStyle w:val="178"/>
              <w:spacing w:line="240" w:lineRule="auto"/>
              <w:rPr>
                <w:sz w:val="18"/>
              </w:rPr>
            </w:pPr>
            <w:r>
              <w:rPr>
                <w:rFonts w:hint="eastAsia"/>
                <w:sz w:val="18"/>
              </w:rPr>
              <w:t>检验日期</w:t>
            </w:r>
          </w:p>
        </w:tc>
        <w:tc>
          <w:tcPr>
            <w:tcW w:w="1493" w:type="dxa"/>
          </w:tcPr>
          <w:p w14:paraId="4877B155">
            <w:pPr>
              <w:pStyle w:val="178"/>
              <w:spacing w:line="240" w:lineRule="auto"/>
              <w:rPr>
                <w:sz w:val="18"/>
              </w:rPr>
            </w:pPr>
          </w:p>
        </w:tc>
        <w:tc>
          <w:tcPr>
            <w:tcW w:w="1560" w:type="dxa"/>
          </w:tcPr>
          <w:p w14:paraId="32DADE53">
            <w:pPr>
              <w:pStyle w:val="178"/>
              <w:spacing w:line="240" w:lineRule="auto"/>
              <w:rPr>
                <w:sz w:val="18"/>
              </w:rPr>
            </w:pPr>
            <w:r>
              <w:rPr>
                <w:rFonts w:hint="eastAsia"/>
                <w:sz w:val="18"/>
              </w:rPr>
              <w:t>审核人</w:t>
            </w:r>
          </w:p>
        </w:tc>
        <w:tc>
          <w:tcPr>
            <w:tcW w:w="1467" w:type="dxa"/>
          </w:tcPr>
          <w:p w14:paraId="118FE4D5">
            <w:pPr>
              <w:pStyle w:val="178"/>
              <w:spacing w:line="240" w:lineRule="auto"/>
              <w:rPr>
                <w:sz w:val="18"/>
              </w:rPr>
            </w:pPr>
          </w:p>
        </w:tc>
        <w:tc>
          <w:tcPr>
            <w:tcW w:w="1261" w:type="dxa"/>
          </w:tcPr>
          <w:p w14:paraId="584A6837">
            <w:pPr>
              <w:pStyle w:val="178"/>
              <w:spacing w:line="240" w:lineRule="auto"/>
              <w:rPr>
                <w:sz w:val="18"/>
              </w:rPr>
            </w:pPr>
            <w:r>
              <w:rPr>
                <w:rFonts w:hint="eastAsia"/>
                <w:sz w:val="18"/>
              </w:rPr>
              <w:t>批准人</w:t>
            </w:r>
          </w:p>
        </w:tc>
        <w:tc>
          <w:tcPr>
            <w:tcW w:w="1867" w:type="dxa"/>
          </w:tcPr>
          <w:p w14:paraId="398CDF98">
            <w:pPr>
              <w:pStyle w:val="178"/>
              <w:spacing w:line="240" w:lineRule="auto"/>
              <w:rPr>
                <w:sz w:val="18"/>
              </w:rPr>
            </w:pPr>
          </w:p>
        </w:tc>
      </w:tr>
      <w:bookmarkEnd w:id="122"/>
    </w:tbl>
    <w:p w14:paraId="36D2F7C0">
      <w:pPr>
        <w:pStyle w:val="56"/>
        <w:ind w:firstLine="0" w:firstLineChars="0"/>
        <w:jc w:val="center"/>
        <w:rPr>
          <w:rFonts w:hint="eastAsia"/>
        </w:rPr>
      </w:pPr>
      <w:bookmarkStart w:id="125" w:name="BookMark8"/>
    </w:p>
    <w:p w14:paraId="53891515">
      <w:pPr>
        <w:pStyle w:val="56"/>
        <w:ind w:firstLine="0" w:firstLineChars="0"/>
        <w:jc w:val="center"/>
      </w:pPr>
      <w:r>
        <w:rPr>
          <w:rFonts w:hint="eastAsia"/>
        </w:rPr>
        <w:drawing>
          <wp:inline distT="0" distB="0" distL="114300" distR="114300">
            <wp:extent cx="1485900" cy="209550"/>
            <wp:effectExtent l="0" t="0" r="0" b="0"/>
            <wp:docPr id="3" name="图片 3" descr="1"/>
            <wp:cNvGraphicFramePr/>
            <a:graphic xmlns:a="http://schemas.openxmlformats.org/drawingml/2006/main">
              <a:graphicData uri="http://schemas.openxmlformats.org/drawingml/2006/picture">
                <pic:pic xmlns:pic="http://schemas.openxmlformats.org/drawingml/2006/picture">
                  <pic:nvPicPr>
                    <pic:cNvPr id="3" name="图片 3" descr="1"/>
                    <pic:cNvPicPr/>
                  </pic:nvPicPr>
                  <pic:blipFill>
                    <a:blip r:embed="rId28"/>
                    <a:srcRect t="34000"/>
                    <a:stretch>
                      <a:fillRect/>
                    </a:stretch>
                  </pic:blipFill>
                  <pic:spPr>
                    <a:xfrm>
                      <a:off x="0" y="0"/>
                      <a:ext cx="1485900" cy="209550"/>
                    </a:xfrm>
                    <a:prstGeom prst="rect">
                      <a:avLst/>
                    </a:prstGeom>
                  </pic:spPr>
                </pic:pic>
              </a:graphicData>
            </a:graphic>
          </wp:inline>
        </w:drawing>
      </w:r>
      <w:bookmarkEnd w:id="125"/>
    </w:p>
    <w:sectPr>
      <w:headerReference r:id="rId21" w:type="default"/>
      <w:footerReference r:id="rId23" w:type="default"/>
      <w:headerReference r:id="rId22" w:type="even"/>
      <w:footerReference r:id="rId24" w:type="even"/>
      <w:pgSz w:w="11906" w:h="16838"/>
      <w:pgMar w:top="1928" w:right="1134" w:bottom="1134" w:left="1134" w:header="1418" w:footer="1134" w:gutter="284"/>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Arial">
    <w:panose1 w:val="020B0604020202020204"/>
    <w:charset w:val="00"/>
    <w:family w:val="swiss"/>
    <w:pitch w:val="default"/>
    <w:sig w:usb0="E0002EFF" w:usb1="C000785B" w:usb2="00000009" w:usb3="00000000" w:csb0="400001FF" w:csb1="FFFF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Cambria Math">
    <w:panose1 w:val="02040503050406030204"/>
    <w:charset w:val="00"/>
    <w:family w:val="roman"/>
    <w:pitch w:val="default"/>
    <w:sig w:usb0="E00006FF" w:usb1="420024FF" w:usb2="02000000" w:usb3="00000000" w:csb0="2000019F" w:csb1="00000000"/>
  </w:font>
  <w:font w:name="微软雅黑">
    <w:panose1 w:val="020B0503020204020204"/>
    <w:charset w:val="86"/>
    <w:family w:val="swiss"/>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9EC1E0">
    <w:pPr>
      <w:pStyle w:val="17"/>
    </w:pPr>
    <w:r>
      <w:fldChar w:fldCharType="begin"/>
    </w:r>
    <w:r>
      <w:instrText xml:space="preserve">PAGE   \* MERGEFORMAT</w:instrText>
    </w:r>
    <w:r>
      <w:fldChar w:fldCharType="separate"/>
    </w:r>
    <w:r>
      <w:rPr>
        <w:lang w:val="zh-CN"/>
      </w:rPr>
      <w:t>2</w:t>
    </w:r>
    <w:r>
      <w:fldChar w:fldCharType="end"/>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107F23">
    <w:pPr>
      <w:pStyle w:val="51"/>
    </w:pPr>
    <w:r>
      <w:fldChar w:fldCharType="begin"/>
    </w:r>
    <w:r>
      <w:instrText xml:space="preserve"> PAGE   \* MERGEFORMAT \* MERGEFORMAT </w:instrText>
    </w:r>
    <w:r>
      <w:fldChar w:fldCharType="separate"/>
    </w:r>
    <w:r>
      <w:t>8</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59EEED">
    <w:pPr>
      <w:pStyle w:val="17"/>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3581BB">
    <w:pPr>
      <w:pStyle w:val="52"/>
    </w:pPr>
    <w:r>
      <w:fldChar w:fldCharType="begin"/>
    </w:r>
    <w:r>
      <w:instrText xml:space="preserve">PAGE   \* MERGEFORMAT</w:instrText>
    </w:r>
    <w:r>
      <w:fldChar w:fldCharType="separate"/>
    </w:r>
    <w:r>
      <w:rPr>
        <w:lang w:val="zh-CN"/>
      </w:rP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82238A">
    <w:pPr>
      <w:pStyle w:val="51"/>
    </w:pPr>
    <w:r>
      <w:fldChar w:fldCharType="begin"/>
    </w:r>
    <w:r>
      <w:instrText xml:space="preserve"> PAGE   \* MERGEFORMAT \* MERGEFORMAT </w:instrText>
    </w:r>
    <w:r>
      <w:fldChar w:fldCharType="separate"/>
    </w:r>
    <w:r>
      <w:t>2</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5A866F">
    <w:pPr>
      <w:pStyle w:val="52"/>
    </w:pPr>
    <w:r>
      <w:fldChar w:fldCharType="begin"/>
    </w:r>
    <w:r>
      <w:instrText xml:space="preserve">PAGE   \* MERGEFORMAT</w:instrText>
    </w:r>
    <w:r>
      <w:fldChar w:fldCharType="separate"/>
    </w:r>
    <w:r>
      <w:rPr>
        <w:lang w:val="zh-CN"/>
      </w:rPr>
      <w:t>1</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07476C">
    <w:pPr>
      <w:pStyle w:val="51"/>
    </w:pPr>
    <w:r>
      <w:fldChar w:fldCharType="begin"/>
    </w:r>
    <w:r>
      <w:instrText xml:space="preserve"> PAGE   \* MERGEFORMAT \* MERGEFORMAT </w:instrText>
    </w:r>
    <w:r>
      <w:fldChar w:fldCharType="separate"/>
    </w:r>
    <w:r>
      <w:t>3</w:t>
    </w:r>
    <w: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7EF798">
    <w:pPr>
      <w:pStyle w:val="52"/>
    </w:pPr>
    <w:r>
      <w:fldChar w:fldCharType="begin"/>
    </w:r>
    <w:r>
      <w:instrText xml:space="preserve">PAGE   \* MERGEFORMAT</w:instrText>
    </w:r>
    <w:r>
      <w:fldChar w:fldCharType="separate"/>
    </w:r>
    <w:r>
      <w:rPr>
        <w:lang w:val="zh-CN"/>
      </w:rPr>
      <w:t>1</w:t>
    </w:r>
    <w: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2B3515">
    <w:pPr>
      <w:pStyle w:val="51"/>
    </w:pPr>
    <w:r>
      <w:fldChar w:fldCharType="begin"/>
    </w:r>
    <w:r>
      <w:instrText xml:space="preserve"> PAGE   \* MERGEFORMAT \* MERGEFORMAT </w:instrText>
    </w:r>
    <w:r>
      <w:fldChar w:fldCharType="separate"/>
    </w:r>
    <w:r>
      <w:t>2</w:t>
    </w:r>
    <w:r>
      <w:fldChar w:fldCharType="end"/>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D0ECBB">
    <w:pPr>
      <w:pStyle w:val="52"/>
    </w:pPr>
    <w:r>
      <w:fldChar w:fldCharType="begin"/>
    </w:r>
    <w:r>
      <w:instrText xml:space="preserve">PAGE   \* MERGEFORMAT</w:instrText>
    </w:r>
    <w:r>
      <w:fldChar w:fldCharType="separate"/>
    </w:r>
    <w:r>
      <w:rPr>
        <w:lang w:val="zh-CN"/>
      </w:rP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348D54">
    <w:pPr>
      <w:pStyle w:val="18"/>
      <w:wordWrap w:val="0"/>
      <w:jc w:val="right"/>
      <w:rPr>
        <w:rFonts w:hint="eastAsia"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4D21F6">
    <w:pPr>
      <w:pStyle w:val="62"/>
      <w:rPr>
        <w:rFonts w:hint="eastAsia"/>
      </w:rPr>
    </w:pPr>
    <w:r>
      <w:fldChar w:fldCharType="begin"/>
    </w:r>
    <w:r>
      <w:instrText xml:space="preserve"> STYLEREF  标准文件_文件编号 \* MERGEFORMAT </w:instrText>
    </w:r>
    <w:r>
      <w:fldChar w:fldCharType="separate"/>
    </w:r>
    <w:r>
      <w:t>T/CQSES XXXX—2026</w:t>
    </w:r>
    <w: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4EE5C2">
    <w:pPr>
      <w:pStyle w:val="18"/>
      <w:jc w:val="both"/>
      <w:rPr>
        <w:sz w:val="2"/>
        <w:szCs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7C2B7D">
    <w:pPr>
      <w:pStyle w:val="61"/>
      <w:rPr>
        <w:rFonts w:hint="eastAsia"/>
      </w:rPr>
    </w:pPr>
    <w:r>
      <w:fldChar w:fldCharType="begin"/>
    </w:r>
    <w:r>
      <w:instrText xml:space="preserve"> STYLEREF  标准文件_文件编号  \* MERGEFORMAT </w:instrText>
    </w:r>
    <w:r>
      <w:fldChar w:fldCharType="separate"/>
    </w:r>
    <w:r>
      <w:t>T/CQSES XXXX—2026</w:t>
    </w:r>
    <w: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5513AB">
    <w:pPr>
      <w:pStyle w:val="62"/>
      <w:rPr>
        <w:rFonts w:hint="eastAsia"/>
      </w:rPr>
    </w:pPr>
    <w:r>
      <w:fldChar w:fldCharType="begin"/>
    </w:r>
    <w:r>
      <w:instrText xml:space="preserve"> STYLEREF  标准文件_文件编号 \* MERGEFORMAT </w:instrText>
    </w:r>
    <w:r>
      <w:fldChar w:fldCharType="separate"/>
    </w:r>
    <w:r>
      <w:t>T/CQSES XXXX—2026</w:t>
    </w:r>
    <w: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D3C7F1">
    <w:pPr>
      <w:pStyle w:val="61"/>
      <w:rPr>
        <w:rFonts w:hint="eastAsia"/>
      </w:rPr>
    </w:pPr>
    <w:r>
      <w:fldChar w:fldCharType="begin"/>
    </w:r>
    <w:r>
      <w:instrText xml:space="preserve"> STYLEREF  标准文件_文件编号  \* MERGEFORMAT </w:instrText>
    </w:r>
    <w:r>
      <w:fldChar w:fldCharType="separate"/>
    </w:r>
    <w:r>
      <w:t>T/CQSES XXXX—2026</w:t>
    </w:r>
    <w:r>
      <w:fldChar w:fldCharType="end"/>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97F664">
    <w:pPr>
      <w:pStyle w:val="62"/>
      <w:rPr>
        <w:rFonts w:hint="eastAsia"/>
      </w:rPr>
    </w:pPr>
    <w:r>
      <w:fldChar w:fldCharType="begin"/>
    </w:r>
    <w:r>
      <w:instrText xml:space="preserve"> STYLEREF  标准文件_文件编号 \* MERGEFORMAT </w:instrText>
    </w:r>
    <w:r>
      <w:fldChar w:fldCharType="separate"/>
    </w:r>
    <w:r>
      <w:t>T/CQSES XXXX—2026</w:t>
    </w:r>
    <w:r>
      <w:fldChar w:fldCharType="end"/>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11564F">
    <w:pPr>
      <w:pStyle w:val="61"/>
      <w:rPr>
        <w:rFonts w:hint="eastAsia"/>
      </w:rPr>
    </w:pPr>
    <w:r>
      <w:fldChar w:fldCharType="begin"/>
    </w:r>
    <w:r>
      <w:instrText xml:space="preserve"> STYLEREF  标准文件_文件编号  \* MERGEFORMAT </w:instrText>
    </w:r>
    <w:r>
      <w:fldChar w:fldCharType="separate"/>
    </w:r>
    <w:r>
      <w:t>T/CQSES XXXX—2026</w:t>
    </w:r>
    <w:r>
      <w:fldChar w:fldCharType="end"/>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330CF7">
    <w:pPr>
      <w:pStyle w:val="62"/>
      <w:rPr>
        <w:rFonts w:hint="eastAsia"/>
      </w:rPr>
    </w:pPr>
    <w:r>
      <w:fldChar w:fldCharType="begin"/>
    </w:r>
    <w:r>
      <w:instrText xml:space="preserve"> STYLEREF  标准文件_文件编号 \* MERGEFORMAT </w:instrText>
    </w:r>
    <w:r>
      <w:fldChar w:fldCharType="separate"/>
    </w:r>
    <w:r>
      <w:t>T/CQSES XXXX—2026</w:t>
    </w:r>
    <w:r>
      <w:fldChar w:fldCharType="end"/>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B28A8D">
    <w:pPr>
      <w:pStyle w:val="61"/>
      <w:rPr>
        <w:rFonts w:hint="eastAsia"/>
      </w:rPr>
    </w:pPr>
    <w:r>
      <w:fldChar w:fldCharType="begin"/>
    </w:r>
    <w:r>
      <w:instrText xml:space="preserve"> STYLEREF  标准文件_文件编号  \* MERGEFORMAT </w:instrText>
    </w:r>
    <w:r>
      <w:fldChar w:fldCharType="separate"/>
    </w:r>
    <w:r>
      <w:t>T/CQSES XXXX—2026</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4"/>
      <w:lvlText w:val="[%1]"/>
      <w:lvlJc w:val="left"/>
      <w:pPr>
        <w:tabs>
          <w:tab w:val="left" w:pos="13554"/>
        </w:tabs>
        <w:ind w:left="13554" w:hanging="648"/>
      </w:pPr>
    </w:lvl>
    <w:lvl w:ilvl="1" w:tentative="0">
      <w:start w:val="1"/>
      <w:numFmt w:val="lowerLetter"/>
      <w:lvlText w:val="%2)"/>
      <w:lvlJc w:val="left"/>
      <w:pPr>
        <w:tabs>
          <w:tab w:val="left" w:pos="13746"/>
        </w:tabs>
        <w:ind w:left="13746" w:hanging="420"/>
      </w:pPr>
    </w:lvl>
    <w:lvl w:ilvl="2" w:tentative="0">
      <w:start w:val="1"/>
      <w:numFmt w:val="lowerRoman"/>
      <w:lvlText w:val="%3."/>
      <w:lvlJc w:val="right"/>
      <w:pPr>
        <w:tabs>
          <w:tab w:val="left" w:pos="14166"/>
        </w:tabs>
        <w:ind w:left="14166" w:hanging="420"/>
      </w:pPr>
    </w:lvl>
    <w:lvl w:ilvl="3" w:tentative="0">
      <w:start w:val="1"/>
      <w:numFmt w:val="decimal"/>
      <w:lvlText w:val="%4."/>
      <w:lvlJc w:val="left"/>
      <w:pPr>
        <w:tabs>
          <w:tab w:val="left" w:pos="14586"/>
        </w:tabs>
        <w:ind w:left="14586" w:hanging="420"/>
      </w:pPr>
    </w:lvl>
    <w:lvl w:ilvl="4" w:tentative="0">
      <w:start w:val="1"/>
      <w:numFmt w:val="lowerLetter"/>
      <w:lvlText w:val="%5)"/>
      <w:lvlJc w:val="left"/>
      <w:pPr>
        <w:tabs>
          <w:tab w:val="left" w:pos="15006"/>
        </w:tabs>
        <w:ind w:left="15006" w:hanging="420"/>
      </w:pPr>
    </w:lvl>
    <w:lvl w:ilvl="5" w:tentative="0">
      <w:start w:val="1"/>
      <w:numFmt w:val="lowerRoman"/>
      <w:lvlText w:val="%6."/>
      <w:lvlJc w:val="right"/>
      <w:pPr>
        <w:tabs>
          <w:tab w:val="left" w:pos="15426"/>
        </w:tabs>
        <w:ind w:left="15426" w:hanging="420"/>
      </w:pPr>
    </w:lvl>
    <w:lvl w:ilvl="6" w:tentative="0">
      <w:start w:val="1"/>
      <w:numFmt w:val="decimal"/>
      <w:lvlText w:val="%7."/>
      <w:lvlJc w:val="left"/>
      <w:pPr>
        <w:tabs>
          <w:tab w:val="left" w:pos="15846"/>
        </w:tabs>
        <w:ind w:left="15846" w:hanging="420"/>
      </w:pPr>
    </w:lvl>
    <w:lvl w:ilvl="7" w:tentative="0">
      <w:start w:val="1"/>
      <w:numFmt w:val="lowerLetter"/>
      <w:lvlText w:val="%8)"/>
      <w:lvlJc w:val="left"/>
      <w:pPr>
        <w:tabs>
          <w:tab w:val="left" w:pos="16266"/>
        </w:tabs>
        <w:ind w:left="16266" w:hanging="420"/>
      </w:pPr>
    </w:lvl>
    <w:lvl w:ilvl="8" w:tentative="0">
      <w:start w:val="1"/>
      <w:numFmt w:val="lowerRoman"/>
      <w:lvlText w:val="%9."/>
      <w:lvlJc w:val="right"/>
      <w:pPr>
        <w:tabs>
          <w:tab w:val="left" w:pos="16686"/>
        </w:tabs>
        <w:ind w:left="16686"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59"/>
      <w:suff w:val="nothing"/>
      <w:lvlText w:val="%1%2.%3　"/>
      <w:lvlJc w:val="left"/>
      <w:pPr>
        <w:ind w:left="0" w:firstLine="0"/>
      </w:pPr>
    </w:lvl>
    <w:lvl w:ilvl="3" w:tentative="0">
      <w:start w:val="1"/>
      <w:numFmt w:val="decimal"/>
      <w:pStyle w:val="118"/>
      <w:suff w:val="nothing"/>
      <w:lvlText w:val="%1%2.%3.%4　"/>
      <w:lvlJc w:val="left"/>
      <w:pPr>
        <w:ind w:left="0" w:firstLine="0"/>
      </w:pPr>
    </w:lvl>
    <w:lvl w:ilvl="4" w:tentative="0">
      <w:start w:val="1"/>
      <w:numFmt w:val="decimal"/>
      <w:pStyle w:val="153"/>
      <w:suff w:val="nothing"/>
      <w:lvlText w:val="%1%2.%3.%4.%5　"/>
      <w:lvlJc w:val="left"/>
      <w:pPr>
        <w:ind w:left="0" w:firstLine="0"/>
      </w:pPr>
    </w:lvl>
    <w:lvl w:ilvl="5" w:tentative="0">
      <w:start w:val="1"/>
      <w:numFmt w:val="decimal"/>
      <w:pStyle w:val="155"/>
      <w:suff w:val="nothing"/>
      <w:lvlText w:val="%1%2.%3.%4.%5.%6　"/>
      <w:lvlJc w:val="left"/>
      <w:pPr>
        <w:ind w:left="0" w:firstLine="0"/>
      </w:pPr>
    </w:lvl>
    <w:lvl w:ilvl="6" w:tentative="0">
      <w:start w:val="1"/>
      <w:numFmt w:val="decimal"/>
      <w:pStyle w:val="158"/>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0"/>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89"/>
      <w:lvlText w:val="%1"/>
      <w:lvlJc w:val="left"/>
      <w:pPr>
        <w:ind w:left="425" w:hanging="425"/>
      </w:pPr>
      <w:rPr>
        <w:rFonts w:hint="eastAsia"/>
      </w:rPr>
    </w:lvl>
    <w:lvl w:ilvl="1" w:tentative="0">
      <w:start w:val="1"/>
      <w:numFmt w:val="decimal"/>
      <w:pStyle w:val="200"/>
      <w:suff w:val="nothing"/>
      <w:lvlText w:val="%10.%2 "/>
      <w:lvlJc w:val="left"/>
      <w:pPr>
        <w:ind w:left="0" w:firstLine="0"/>
      </w:pPr>
      <w:rPr>
        <w:rFonts w:hint="eastAsia" w:ascii="黑体" w:eastAsia="黑体" w:hAnsiTheme="minorHAnsi"/>
        <w:b w:val="0"/>
        <w:i w:val="0"/>
        <w:sz w:val="21"/>
      </w:rPr>
    </w:lvl>
    <w:lvl w:ilvl="2" w:tentative="0">
      <w:start w:val="1"/>
      <w:numFmt w:val="decimal"/>
      <w:pStyle w:val="201"/>
      <w:suff w:val="nothing"/>
      <w:lvlText w:val="%10.%2.%3 "/>
      <w:lvlJc w:val="left"/>
      <w:pPr>
        <w:ind w:left="0" w:firstLine="0"/>
      </w:pPr>
      <w:rPr>
        <w:rFonts w:hint="eastAsia" w:ascii="黑体" w:eastAsia="黑体" w:hAnsiTheme="minorHAnsi"/>
        <w:b w:val="0"/>
        <w:i w:val="0"/>
        <w:sz w:val="21"/>
      </w:rPr>
    </w:lvl>
    <w:lvl w:ilvl="3" w:tentative="0">
      <w:start w:val="1"/>
      <w:numFmt w:val="decimal"/>
      <w:pStyle w:val="202"/>
      <w:suff w:val="nothing"/>
      <w:lvlText w:val="%10.%2.%3.%4 "/>
      <w:lvlJc w:val="left"/>
      <w:pPr>
        <w:ind w:left="0" w:firstLine="0"/>
      </w:pPr>
      <w:rPr>
        <w:rFonts w:hint="eastAsia" w:ascii="黑体" w:eastAsia="黑体" w:hAnsiTheme="minorHAnsi"/>
        <w:b w:val="0"/>
        <w:i w:val="0"/>
        <w:sz w:val="21"/>
      </w:rPr>
    </w:lvl>
    <w:lvl w:ilvl="4" w:tentative="0">
      <w:start w:val="1"/>
      <w:numFmt w:val="decimal"/>
      <w:pStyle w:val="203"/>
      <w:suff w:val="nothing"/>
      <w:lvlText w:val="%10.%2.%3.%4.%5 "/>
      <w:lvlJc w:val="left"/>
      <w:pPr>
        <w:ind w:left="0" w:firstLine="0"/>
      </w:pPr>
      <w:rPr>
        <w:rFonts w:hint="eastAsia" w:ascii="黑体" w:eastAsia="黑体" w:hAnsiTheme="minorHAnsi"/>
        <w:b w:val="0"/>
        <w:i w:val="0"/>
        <w:sz w:val="21"/>
      </w:rPr>
    </w:lvl>
    <w:lvl w:ilvl="5" w:tentative="0">
      <w:start w:val="1"/>
      <w:numFmt w:val="decimal"/>
      <w:pStyle w:val="204"/>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1"/>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67"/>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0"/>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5"/>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2"/>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C5917C3"/>
    <w:multiLevelType w:val="multilevel"/>
    <w:tmpl w:val="2C5917C3"/>
    <w:lvl w:ilvl="0" w:tentative="0">
      <w:start w:val="1"/>
      <w:numFmt w:val="none"/>
      <w:pStyle w:val="132"/>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7"/>
      <w:lvlText w:val=""/>
      <w:lvlJc w:val="left"/>
      <w:pPr>
        <w:ind w:left="851" w:hanging="431"/>
      </w:pPr>
      <w:rPr>
        <w:rFonts w:hint="default" w:ascii="Symbol" w:hAnsi="Symbol"/>
        <w:sz w:val="21"/>
      </w:rPr>
    </w:lvl>
    <w:lvl w:ilvl="2" w:tentative="0">
      <w:start w:val="1"/>
      <w:numFmt w:val="bullet"/>
      <w:pStyle w:val="172"/>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tentative="0">
      <w:start w:val="1"/>
      <w:numFmt w:val="lowerLetter"/>
      <w:pStyle w:val="101"/>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2">
    <w:nsid w:val="44C50F90"/>
    <w:multiLevelType w:val="multilevel"/>
    <w:tmpl w:val="44C50F90"/>
    <w:lvl w:ilvl="0" w:tentative="0">
      <w:start w:val="1"/>
      <w:numFmt w:val="lowerLetter"/>
      <w:pStyle w:val="174"/>
      <w:lvlText w:val="%1)"/>
      <w:lvlJc w:val="left"/>
      <w:pPr>
        <w:tabs>
          <w:tab w:val="left" w:pos="851"/>
        </w:tabs>
        <w:ind w:left="851" w:hanging="426"/>
      </w:pPr>
      <w:rPr>
        <w:rFonts w:hint="eastAsia" w:ascii="宋体" w:hAnsi="Times New Roman" w:eastAsia="宋体"/>
        <w:sz w:val="21"/>
      </w:rPr>
    </w:lvl>
    <w:lvl w:ilvl="1" w:tentative="0">
      <w:start w:val="1"/>
      <w:numFmt w:val="decimal"/>
      <w:pStyle w:val="109"/>
      <w:lvlText w:val="%2)"/>
      <w:lvlJc w:val="left"/>
      <w:pPr>
        <w:tabs>
          <w:tab w:val="left" w:pos="1276"/>
        </w:tabs>
        <w:ind w:left="1276" w:hanging="425"/>
      </w:pPr>
      <w:rPr>
        <w:rFonts w:hint="eastAsia" w:ascii="宋体" w:hAnsi="Times New Roman" w:eastAsia="宋体"/>
        <w:sz w:val="21"/>
      </w:rPr>
    </w:lvl>
    <w:lvl w:ilvl="2" w:tentative="0">
      <w:start w:val="1"/>
      <w:numFmt w:val="decimal"/>
      <w:pStyle w:val="117"/>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3">
    <w:nsid w:val="48802D1C"/>
    <w:multiLevelType w:val="multilevel"/>
    <w:tmpl w:val="48802D1C"/>
    <w:lvl w:ilvl="0" w:tentative="0">
      <w:start w:val="1"/>
      <w:numFmt w:val="upperLetter"/>
      <w:pStyle w:val="198"/>
      <w:lvlText w:val="%1"/>
      <w:lvlJc w:val="left"/>
      <w:pPr>
        <w:ind w:left="420" w:hanging="420"/>
      </w:pPr>
      <w:rPr>
        <w:rFonts w:hint="eastAsia"/>
      </w:rPr>
    </w:lvl>
    <w:lvl w:ilvl="1" w:tentative="0">
      <w:start w:val="1"/>
      <w:numFmt w:val="decimal"/>
      <w:pStyle w:val="83"/>
      <w:suff w:val="space"/>
      <w:lvlText w:val="图%1.%2 "/>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4B733A5F"/>
    <w:multiLevelType w:val="multilevel"/>
    <w:tmpl w:val="4B733A5F"/>
    <w:lvl w:ilvl="0" w:tentative="0">
      <w:start w:val="1"/>
      <w:numFmt w:val="decimal"/>
      <w:pStyle w:val="183"/>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5">
    <w:nsid w:val="4E5D0534"/>
    <w:multiLevelType w:val="multilevel"/>
    <w:tmpl w:val="4E5D0534"/>
    <w:lvl w:ilvl="0" w:tentative="0">
      <w:start w:val="1"/>
      <w:numFmt w:val="decimal"/>
      <w:pStyle w:val="116"/>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6">
    <w:nsid w:val="54632751"/>
    <w:multiLevelType w:val="multilevel"/>
    <w:tmpl w:val="54632751"/>
    <w:lvl w:ilvl="0" w:tentative="0">
      <w:start w:val="1"/>
      <w:numFmt w:val="none"/>
      <w:pStyle w:val="93"/>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7">
    <w:nsid w:val="557C2AF5"/>
    <w:multiLevelType w:val="multilevel"/>
    <w:tmpl w:val="557C2AF5"/>
    <w:lvl w:ilvl="0" w:tentative="0">
      <w:start w:val="1"/>
      <w:numFmt w:val="decimal"/>
      <w:pStyle w:val="114"/>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603797C"/>
    <w:multiLevelType w:val="multilevel"/>
    <w:tmpl w:val="5603797C"/>
    <w:lvl w:ilvl="0" w:tentative="0">
      <w:start w:val="1"/>
      <w:numFmt w:val="upperLetter"/>
      <w:pStyle w:val="199"/>
      <w:suff w:val="space"/>
      <w:lvlText w:val="%1"/>
      <w:lvlJc w:val="left"/>
      <w:pPr>
        <w:ind w:left="425" w:hanging="425"/>
      </w:pPr>
      <w:rPr>
        <w:rFonts w:hint="eastAsia"/>
      </w:rPr>
    </w:lvl>
    <w:lvl w:ilvl="1" w:tentative="0">
      <w:start w:val="1"/>
      <w:numFmt w:val="decimal"/>
      <w:pStyle w:val="77"/>
      <w:suff w:val="space"/>
      <w:lvlText w:val="表%1.%2 "/>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564D2089"/>
    <w:multiLevelType w:val="multilevel"/>
    <w:tmpl w:val="564D2089"/>
    <w:lvl w:ilvl="0" w:tentative="0">
      <w:start w:val="1"/>
      <w:numFmt w:val="none"/>
      <w:pStyle w:val="111"/>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644622F9"/>
    <w:multiLevelType w:val="multilevel"/>
    <w:tmpl w:val="644622F9"/>
    <w:lvl w:ilvl="0" w:tentative="0">
      <w:start w:val="1"/>
      <w:numFmt w:val="upperRoman"/>
      <w:pStyle w:val="168"/>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1">
    <w:nsid w:val="646260FA"/>
    <w:multiLevelType w:val="multilevel"/>
    <w:tmpl w:val="646260FA"/>
    <w:lvl w:ilvl="0" w:tentative="0">
      <w:start w:val="1"/>
      <w:numFmt w:val="decimal"/>
      <w:pStyle w:val="112"/>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2">
    <w:nsid w:val="654A26C9"/>
    <w:multiLevelType w:val="multilevel"/>
    <w:tmpl w:val="654A26C9"/>
    <w:lvl w:ilvl="0" w:tentative="0">
      <w:start w:val="1"/>
      <w:numFmt w:val="none"/>
      <w:pStyle w:val="189"/>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3">
    <w:nsid w:val="657D3FBC"/>
    <w:multiLevelType w:val="multilevel"/>
    <w:tmpl w:val="657D3FBC"/>
    <w:lvl w:ilvl="0" w:tentative="0">
      <w:start w:val="1"/>
      <w:numFmt w:val="upperLetter"/>
      <w:pStyle w:val="76"/>
      <w:suff w:val="nothing"/>
      <w:lvlText w:val="附录%1"/>
      <w:lvlJc w:val="left"/>
      <w:pPr>
        <w:ind w:left="0" w:firstLine="0"/>
      </w:pPr>
      <w:rPr>
        <w:rFonts w:hint="eastAsia"/>
        <w:spacing w:val="100"/>
      </w:rPr>
    </w:lvl>
    <w:lvl w:ilvl="1" w:tentative="0">
      <w:start w:val="1"/>
      <w:numFmt w:val="decimal"/>
      <w:pStyle w:val="78"/>
      <w:suff w:val="nothing"/>
      <w:lvlText w:val="%1.%2　"/>
      <w:lvlJc w:val="left"/>
      <w:pPr>
        <w:ind w:left="0" w:firstLine="0"/>
      </w:pPr>
      <w:rPr>
        <w:rFonts w:hint="eastAsia" w:ascii="黑体" w:eastAsia="黑体"/>
        <w:b w:val="0"/>
        <w:i w:val="0"/>
        <w:sz w:val="21"/>
      </w:rPr>
    </w:lvl>
    <w:lvl w:ilvl="2" w:tentative="0">
      <w:start w:val="1"/>
      <w:numFmt w:val="decimal"/>
      <w:pStyle w:val="79"/>
      <w:suff w:val="nothing"/>
      <w:lvlText w:val="%1.%2.%3　"/>
      <w:lvlJc w:val="left"/>
      <w:pPr>
        <w:ind w:left="0" w:firstLine="0"/>
      </w:pPr>
      <w:rPr>
        <w:rFonts w:hint="eastAsia" w:ascii="黑体" w:eastAsia="黑体"/>
        <w:b w:val="0"/>
        <w:i w:val="0"/>
        <w:sz w:val="21"/>
      </w:rPr>
    </w:lvl>
    <w:lvl w:ilvl="3" w:tentative="0">
      <w:start w:val="1"/>
      <w:numFmt w:val="decimal"/>
      <w:pStyle w:val="81"/>
      <w:suff w:val="nothing"/>
      <w:lvlText w:val="%1.%2.%3.%4　"/>
      <w:lvlJc w:val="left"/>
      <w:pPr>
        <w:ind w:left="0" w:firstLine="0"/>
      </w:pPr>
      <w:rPr>
        <w:rFonts w:hint="eastAsia" w:ascii="黑体" w:eastAsia="黑体"/>
        <w:b w:val="0"/>
        <w:i w:val="0"/>
        <w:sz w:val="21"/>
      </w:rPr>
    </w:lvl>
    <w:lvl w:ilvl="4" w:tentative="0">
      <w:start w:val="1"/>
      <w:numFmt w:val="decimal"/>
      <w:pStyle w:val="82"/>
      <w:suff w:val="nothing"/>
      <w:lvlText w:val="%1.%2.%3.%4.%5　"/>
      <w:lvlJc w:val="left"/>
      <w:pPr>
        <w:ind w:left="0" w:firstLine="0"/>
      </w:pPr>
      <w:rPr>
        <w:rFonts w:hint="eastAsia" w:ascii="黑体" w:eastAsia="黑体"/>
        <w:b w:val="0"/>
        <w:i w:val="0"/>
        <w:sz w:val="21"/>
      </w:rPr>
    </w:lvl>
    <w:lvl w:ilvl="5" w:tentative="0">
      <w:start w:val="1"/>
      <w:numFmt w:val="decimal"/>
      <w:pStyle w:val="84"/>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4">
    <w:nsid w:val="69506ABF"/>
    <w:multiLevelType w:val="multilevel"/>
    <w:tmpl w:val="69506ABF"/>
    <w:lvl w:ilvl="0" w:tentative="0">
      <w:start w:val="1"/>
      <w:numFmt w:val="bullet"/>
      <w:pStyle w:val="188"/>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5">
    <w:nsid w:val="6CA41985"/>
    <w:multiLevelType w:val="multilevel"/>
    <w:tmpl w:val="6CA41985"/>
    <w:lvl w:ilvl="0" w:tentative="0">
      <w:start w:val="1"/>
      <w:numFmt w:val="decimal"/>
      <w:pStyle w:val="97"/>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CE42AC1"/>
    <w:multiLevelType w:val="multilevel"/>
    <w:tmpl w:val="6CE42AC1"/>
    <w:lvl w:ilvl="0" w:tentative="0">
      <w:start w:val="1"/>
      <w:numFmt w:val="lowerLetter"/>
      <w:pStyle w:val="173"/>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6CEA2025"/>
    <w:multiLevelType w:val="multilevel"/>
    <w:tmpl w:val="6CEA2025"/>
    <w:lvl w:ilvl="0" w:tentative="0">
      <w:start w:val="1"/>
      <w:numFmt w:val="none"/>
      <w:pStyle w:val="152"/>
      <w:suff w:val="nothing"/>
      <w:lvlText w:val="%1"/>
      <w:lvlJc w:val="left"/>
      <w:pPr>
        <w:ind w:left="0" w:firstLine="0"/>
      </w:pPr>
      <w:rPr>
        <w:rFonts w:hint="eastAsia"/>
      </w:rPr>
    </w:lvl>
    <w:lvl w:ilvl="1" w:tentative="0">
      <w:start w:val="1"/>
      <w:numFmt w:val="decimal"/>
      <w:pStyle w:val="104"/>
      <w:suff w:val="nothing"/>
      <w:lvlText w:val="%1%2　"/>
      <w:lvlJc w:val="left"/>
      <w:pPr>
        <w:ind w:left="1276" w:firstLine="0"/>
      </w:pPr>
      <w:rPr>
        <w:rFonts w:hint="eastAsia" w:ascii="黑体" w:eastAsia="黑体"/>
        <w:b w:val="0"/>
        <w:i w:val="0"/>
        <w:sz w:val="21"/>
      </w:rPr>
    </w:lvl>
    <w:lvl w:ilvl="2" w:tentative="0">
      <w:start w:val="1"/>
      <w:numFmt w:val="decimal"/>
      <w:pStyle w:val="105"/>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rPr>
    </w:lvl>
    <w:lvl w:ilvl="3" w:tentative="0">
      <w:start w:val="1"/>
      <w:numFmt w:val="decimal"/>
      <w:pStyle w:val="65"/>
      <w:suff w:val="nothing"/>
      <w:lvlText w:val="%1%2.%3.%4　"/>
      <w:lvlJc w:val="left"/>
      <w:pPr>
        <w:ind w:left="0" w:firstLine="0"/>
      </w:pPr>
      <w:rPr>
        <w:rFonts w:hint="eastAsia" w:ascii="黑体" w:eastAsia="黑体"/>
        <w:b w:val="0"/>
        <w:i w:val="0"/>
        <w:sz w:val="21"/>
      </w:rPr>
    </w:lvl>
    <w:lvl w:ilvl="4" w:tentative="0">
      <w:start w:val="1"/>
      <w:numFmt w:val="decimal"/>
      <w:pStyle w:val="94"/>
      <w:suff w:val="nothing"/>
      <w:lvlText w:val="%1%2.%3.%4.%5　"/>
      <w:lvlJc w:val="left"/>
      <w:pPr>
        <w:ind w:left="0" w:firstLine="0"/>
      </w:pPr>
      <w:rPr>
        <w:rFonts w:hint="eastAsia" w:ascii="黑体" w:eastAsia="黑体"/>
        <w:b w:val="0"/>
        <w:i w:val="0"/>
        <w:sz w:val="21"/>
      </w:rPr>
    </w:lvl>
    <w:lvl w:ilvl="5" w:tentative="0">
      <w:start w:val="1"/>
      <w:numFmt w:val="decimal"/>
      <w:pStyle w:val="98"/>
      <w:suff w:val="nothing"/>
      <w:lvlText w:val="%1%2.%3.%4.%5.%6　"/>
      <w:lvlJc w:val="left"/>
      <w:pPr>
        <w:ind w:left="568" w:firstLine="0"/>
      </w:pPr>
      <w:rPr>
        <w:rFonts w:hint="eastAsia" w:ascii="黑体" w:eastAsia="黑体"/>
        <w:b w:val="0"/>
        <w:i w:val="0"/>
        <w:sz w:val="21"/>
      </w:rPr>
    </w:lvl>
    <w:lvl w:ilvl="6" w:tentative="0">
      <w:start w:val="1"/>
      <w:numFmt w:val="decimal"/>
      <w:pStyle w:val="103"/>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8">
    <w:nsid w:val="6DBF04F4"/>
    <w:multiLevelType w:val="multilevel"/>
    <w:tmpl w:val="6DBF04F4"/>
    <w:lvl w:ilvl="0" w:tentative="0">
      <w:start w:val="1"/>
      <w:numFmt w:val="none"/>
      <w:pStyle w:val="179"/>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29">
    <w:nsid w:val="6DF35F19"/>
    <w:multiLevelType w:val="multilevel"/>
    <w:tmpl w:val="6DF35F19"/>
    <w:lvl w:ilvl="0" w:tentative="0">
      <w:start w:val="1"/>
      <w:numFmt w:val="decimal"/>
      <w:pStyle w:val="115"/>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0">
    <w:nsid w:val="76933334"/>
    <w:multiLevelType w:val="multilevel"/>
    <w:tmpl w:val="76933334"/>
    <w:lvl w:ilvl="0" w:tentative="0">
      <w:start w:val="1"/>
      <w:numFmt w:val="none"/>
      <w:pStyle w:val="139"/>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7"/>
  </w:num>
  <w:num w:numId="3">
    <w:abstractNumId w:val="5"/>
  </w:num>
  <w:num w:numId="4">
    <w:abstractNumId w:val="23"/>
  </w:num>
  <w:num w:numId="5">
    <w:abstractNumId w:val="18"/>
  </w:num>
  <w:num w:numId="6">
    <w:abstractNumId w:val="13"/>
  </w:num>
  <w:num w:numId="7">
    <w:abstractNumId w:val="8"/>
  </w:num>
  <w:num w:numId="8">
    <w:abstractNumId w:val="3"/>
  </w:num>
  <w:num w:numId="9">
    <w:abstractNumId w:val="9"/>
  </w:num>
  <w:num w:numId="10">
    <w:abstractNumId w:val="16"/>
  </w:num>
  <w:num w:numId="11">
    <w:abstractNumId w:val="25"/>
  </w:num>
  <w:num w:numId="12">
    <w:abstractNumId w:val="11"/>
  </w:num>
  <w:num w:numId="13">
    <w:abstractNumId w:val="12"/>
  </w:num>
  <w:num w:numId="14">
    <w:abstractNumId w:val="7"/>
  </w:num>
  <w:num w:numId="15">
    <w:abstractNumId w:val="19"/>
  </w:num>
  <w:num w:numId="16">
    <w:abstractNumId w:val="21"/>
  </w:num>
  <w:num w:numId="17">
    <w:abstractNumId w:val="17"/>
  </w:num>
  <w:num w:numId="18">
    <w:abstractNumId w:val="29"/>
  </w:num>
  <w:num w:numId="19">
    <w:abstractNumId w:val="15"/>
  </w:num>
  <w:num w:numId="20">
    <w:abstractNumId w:val="1"/>
  </w:num>
  <w:num w:numId="21">
    <w:abstractNumId w:val="10"/>
  </w:num>
  <w:num w:numId="22">
    <w:abstractNumId w:val="30"/>
  </w:num>
  <w:num w:numId="23">
    <w:abstractNumId w:val="20"/>
  </w:num>
  <w:num w:numId="24">
    <w:abstractNumId w:val="6"/>
  </w:num>
  <w:num w:numId="25">
    <w:abstractNumId w:val="26"/>
  </w:num>
  <w:num w:numId="26">
    <w:abstractNumId w:val="28"/>
  </w:num>
  <w:num w:numId="27">
    <w:abstractNumId w:val="2"/>
  </w:num>
  <w:num w:numId="28">
    <w:abstractNumId w:val="4"/>
  </w:num>
  <w:num w:numId="29">
    <w:abstractNumId w:val="14"/>
  </w:num>
  <w:num w:numId="30">
    <w:abstractNumId w:val="24"/>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attachedTemplate r:id="rId1"/>
  <w:documentProtection w:edit="forms" w:enforcement="0"/>
  <w:defaultTabStop w:val="420"/>
  <w:evenAndOddHeaders w:val="1"/>
  <w:drawingGridHorizontalSpacing w:val="105"/>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12034F5B"/>
    <w:rsid w:val="0000040A"/>
    <w:rsid w:val="00000A94"/>
    <w:rsid w:val="00001972"/>
    <w:rsid w:val="00001D9A"/>
    <w:rsid w:val="00002D44"/>
    <w:rsid w:val="00004DB2"/>
    <w:rsid w:val="00007B3A"/>
    <w:rsid w:val="00007F6E"/>
    <w:rsid w:val="00010435"/>
    <w:rsid w:val="000107E0"/>
    <w:rsid w:val="00011A98"/>
    <w:rsid w:val="00011FDE"/>
    <w:rsid w:val="00012FFD"/>
    <w:rsid w:val="00014162"/>
    <w:rsid w:val="00014340"/>
    <w:rsid w:val="00016A9C"/>
    <w:rsid w:val="00022184"/>
    <w:rsid w:val="00022762"/>
    <w:rsid w:val="000238E0"/>
    <w:rsid w:val="000249DB"/>
    <w:rsid w:val="0002595E"/>
    <w:rsid w:val="000303C3"/>
    <w:rsid w:val="000331D3"/>
    <w:rsid w:val="000346A5"/>
    <w:rsid w:val="000359C3"/>
    <w:rsid w:val="00035A7D"/>
    <w:rsid w:val="000365ED"/>
    <w:rsid w:val="00036EF5"/>
    <w:rsid w:val="000373DB"/>
    <w:rsid w:val="00042363"/>
    <w:rsid w:val="0004249A"/>
    <w:rsid w:val="00043282"/>
    <w:rsid w:val="00044286"/>
    <w:rsid w:val="00047F28"/>
    <w:rsid w:val="000503AA"/>
    <w:rsid w:val="000506A1"/>
    <w:rsid w:val="000515DD"/>
    <w:rsid w:val="0005265A"/>
    <w:rsid w:val="000539DD"/>
    <w:rsid w:val="00053A28"/>
    <w:rsid w:val="00053BD3"/>
    <w:rsid w:val="000556ED"/>
    <w:rsid w:val="00055FE2"/>
    <w:rsid w:val="0005616F"/>
    <w:rsid w:val="00060C2E"/>
    <w:rsid w:val="00061033"/>
    <w:rsid w:val="000619E9"/>
    <w:rsid w:val="000622D4"/>
    <w:rsid w:val="0006357D"/>
    <w:rsid w:val="00065262"/>
    <w:rsid w:val="00067F1E"/>
    <w:rsid w:val="00071CC0"/>
    <w:rsid w:val="00071CFC"/>
    <w:rsid w:val="00073C8C"/>
    <w:rsid w:val="00077B64"/>
    <w:rsid w:val="00080A1C"/>
    <w:rsid w:val="00082317"/>
    <w:rsid w:val="00083D2C"/>
    <w:rsid w:val="00086044"/>
    <w:rsid w:val="00086AA1"/>
    <w:rsid w:val="00087A77"/>
    <w:rsid w:val="00090CA6"/>
    <w:rsid w:val="00092B8A"/>
    <w:rsid w:val="00092FB0"/>
    <w:rsid w:val="000934C5"/>
    <w:rsid w:val="00093D25"/>
    <w:rsid w:val="00093DAB"/>
    <w:rsid w:val="00094D73"/>
    <w:rsid w:val="000952E2"/>
    <w:rsid w:val="00096D63"/>
    <w:rsid w:val="000A0B60"/>
    <w:rsid w:val="000A0EB8"/>
    <w:rsid w:val="000A19FC"/>
    <w:rsid w:val="000A296B"/>
    <w:rsid w:val="000A7311"/>
    <w:rsid w:val="000B060F"/>
    <w:rsid w:val="000B1592"/>
    <w:rsid w:val="000B1FF2"/>
    <w:rsid w:val="000B3CDA"/>
    <w:rsid w:val="000B5257"/>
    <w:rsid w:val="000B6A0B"/>
    <w:rsid w:val="000C0F6C"/>
    <w:rsid w:val="000C11DB"/>
    <w:rsid w:val="000C1492"/>
    <w:rsid w:val="000C2FBD"/>
    <w:rsid w:val="000C4B41"/>
    <w:rsid w:val="000C57D6"/>
    <w:rsid w:val="000C6362"/>
    <w:rsid w:val="000C7666"/>
    <w:rsid w:val="000D02E6"/>
    <w:rsid w:val="000D0A9C"/>
    <w:rsid w:val="000D1795"/>
    <w:rsid w:val="000D329A"/>
    <w:rsid w:val="000D4B9C"/>
    <w:rsid w:val="000D4EB6"/>
    <w:rsid w:val="000D69D3"/>
    <w:rsid w:val="000D753B"/>
    <w:rsid w:val="000E4C9E"/>
    <w:rsid w:val="000E5F76"/>
    <w:rsid w:val="000E6FD7"/>
    <w:rsid w:val="000E7144"/>
    <w:rsid w:val="000F06E1"/>
    <w:rsid w:val="000F0E3C"/>
    <w:rsid w:val="000F19D5"/>
    <w:rsid w:val="000F1A5F"/>
    <w:rsid w:val="000F4050"/>
    <w:rsid w:val="000F4AEA"/>
    <w:rsid w:val="000F67E9"/>
    <w:rsid w:val="00104926"/>
    <w:rsid w:val="00110A0D"/>
    <w:rsid w:val="00113B1E"/>
    <w:rsid w:val="0011711C"/>
    <w:rsid w:val="00124E4F"/>
    <w:rsid w:val="001260B7"/>
    <w:rsid w:val="001265CB"/>
    <w:rsid w:val="001321C6"/>
    <w:rsid w:val="001325C4"/>
    <w:rsid w:val="00133010"/>
    <w:rsid w:val="001338EE"/>
    <w:rsid w:val="00133AAE"/>
    <w:rsid w:val="00134B21"/>
    <w:rsid w:val="00135323"/>
    <w:rsid w:val="001356C4"/>
    <w:rsid w:val="00137565"/>
    <w:rsid w:val="001407B2"/>
    <w:rsid w:val="00141114"/>
    <w:rsid w:val="00142969"/>
    <w:rsid w:val="001446C2"/>
    <w:rsid w:val="001457E7"/>
    <w:rsid w:val="00145D9D"/>
    <w:rsid w:val="00146388"/>
    <w:rsid w:val="001518C6"/>
    <w:rsid w:val="001529E5"/>
    <w:rsid w:val="00152FB3"/>
    <w:rsid w:val="00153C7E"/>
    <w:rsid w:val="00156B25"/>
    <w:rsid w:val="00156E1A"/>
    <w:rsid w:val="00157894"/>
    <w:rsid w:val="00157B55"/>
    <w:rsid w:val="001602CF"/>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97961"/>
    <w:rsid w:val="001A1A53"/>
    <w:rsid w:val="001A234A"/>
    <w:rsid w:val="001A4CF3"/>
    <w:rsid w:val="001A6696"/>
    <w:rsid w:val="001B06E8"/>
    <w:rsid w:val="001B43AA"/>
    <w:rsid w:val="001B71D0"/>
    <w:rsid w:val="001B71EE"/>
    <w:rsid w:val="001C04A8"/>
    <w:rsid w:val="001C17AA"/>
    <w:rsid w:val="001C214A"/>
    <w:rsid w:val="001C2C03"/>
    <w:rsid w:val="001C42F7"/>
    <w:rsid w:val="001C49E5"/>
    <w:rsid w:val="001C66EA"/>
    <w:rsid w:val="001C680C"/>
    <w:rsid w:val="001C7B12"/>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49EE"/>
    <w:rsid w:val="001F69B4"/>
    <w:rsid w:val="001F77C7"/>
    <w:rsid w:val="00200183"/>
    <w:rsid w:val="00200333"/>
    <w:rsid w:val="0020107D"/>
    <w:rsid w:val="00202AA4"/>
    <w:rsid w:val="002031ED"/>
    <w:rsid w:val="002031F7"/>
    <w:rsid w:val="002040E6"/>
    <w:rsid w:val="0020527B"/>
    <w:rsid w:val="00205F2C"/>
    <w:rsid w:val="00210B15"/>
    <w:rsid w:val="00213441"/>
    <w:rsid w:val="002142EA"/>
    <w:rsid w:val="00215ADD"/>
    <w:rsid w:val="002204BB"/>
    <w:rsid w:val="00221B79"/>
    <w:rsid w:val="00221C6B"/>
    <w:rsid w:val="002253A1"/>
    <w:rsid w:val="00225CF8"/>
    <w:rsid w:val="00226D9E"/>
    <w:rsid w:val="0022794E"/>
    <w:rsid w:val="00233D64"/>
    <w:rsid w:val="0023482A"/>
    <w:rsid w:val="002359CB"/>
    <w:rsid w:val="00243540"/>
    <w:rsid w:val="00243713"/>
    <w:rsid w:val="0024497B"/>
    <w:rsid w:val="0024515B"/>
    <w:rsid w:val="00246021"/>
    <w:rsid w:val="0024666E"/>
    <w:rsid w:val="00247F52"/>
    <w:rsid w:val="00250B25"/>
    <w:rsid w:val="00250BBE"/>
    <w:rsid w:val="002515C2"/>
    <w:rsid w:val="0025194F"/>
    <w:rsid w:val="00256478"/>
    <w:rsid w:val="0026148A"/>
    <w:rsid w:val="00262696"/>
    <w:rsid w:val="00263D25"/>
    <w:rsid w:val="002643C3"/>
    <w:rsid w:val="00264A0C"/>
    <w:rsid w:val="00266EEB"/>
    <w:rsid w:val="00267EF4"/>
    <w:rsid w:val="002707B3"/>
    <w:rsid w:val="00270CB8"/>
    <w:rsid w:val="00271F06"/>
    <w:rsid w:val="00272B08"/>
    <w:rsid w:val="002744CC"/>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4ED"/>
    <w:rsid w:val="002B4508"/>
    <w:rsid w:val="002B5779"/>
    <w:rsid w:val="002B7332"/>
    <w:rsid w:val="002B7F51"/>
    <w:rsid w:val="002C09E7"/>
    <w:rsid w:val="002C1E06"/>
    <w:rsid w:val="002C3F07"/>
    <w:rsid w:val="002C5278"/>
    <w:rsid w:val="002C5519"/>
    <w:rsid w:val="002C7EBB"/>
    <w:rsid w:val="002D06C1"/>
    <w:rsid w:val="002D1119"/>
    <w:rsid w:val="002D42B5"/>
    <w:rsid w:val="002D4F1A"/>
    <w:rsid w:val="002D6EC6"/>
    <w:rsid w:val="002D79AC"/>
    <w:rsid w:val="002E039D"/>
    <w:rsid w:val="002E2C7C"/>
    <w:rsid w:val="002E3F69"/>
    <w:rsid w:val="002E4D5A"/>
    <w:rsid w:val="002E6326"/>
    <w:rsid w:val="002F30E0"/>
    <w:rsid w:val="002F35E4"/>
    <w:rsid w:val="002F3730"/>
    <w:rsid w:val="002F38E1"/>
    <w:rsid w:val="002F6AF9"/>
    <w:rsid w:val="002F71C9"/>
    <w:rsid w:val="002F7AF6"/>
    <w:rsid w:val="00300E63"/>
    <w:rsid w:val="003024C5"/>
    <w:rsid w:val="00302A6F"/>
    <w:rsid w:val="00302F5F"/>
    <w:rsid w:val="0030441D"/>
    <w:rsid w:val="003044FD"/>
    <w:rsid w:val="00306063"/>
    <w:rsid w:val="00313B85"/>
    <w:rsid w:val="00317081"/>
    <w:rsid w:val="00317988"/>
    <w:rsid w:val="003221B4"/>
    <w:rsid w:val="0032258D"/>
    <w:rsid w:val="00322E62"/>
    <w:rsid w:val="00324D13"/>
    <w:rsid w:val="00324EDD"/>
    <w:rsid w:val="003331E4"/>
    <w:rsid w:val="00336C64"/>
    <w:rsid w:val="00337162"/>
    <w:rsid w:val="0034194F"/>
    <w:rsid w:val="00343929"/>
    <w:rsid w:val="00344605"/>
    <w:rsid w:val="003456DF"/>
    <w:rsid w:val="003474AA"/>
    <w:rsid w:val="00347C92"/>
    <w:rsid w:val="00350D1D"/>
    <w:rsid w:val="00352C83"/>
    <w:rsid w:val="00352F1A"/>
    <w:rsid w:val="0036107C"/>
    <w:rsid w:val="003615D2"/>
    <w:rsid w:val="0036165F"/>
    <w:rsid w:val="0036429C"/>
    <w:rsid w:val="00364A53"/>
    <w:rsid w:val="003654CB"/>
    <w:rsid w:val="00365AA9"/>
    <w:rsid w:val="00365F86"/>
    <w:rsid w:val="00365F87"/>
    <w:rsid w:val="0036626D"/>
    <w:rsid w:val="00366E89"/>
    <w:rsid w:val="003705F4"/>
    <w:rsid w:val="00370D58"/>
    <w:rsid w:val="00371316"/>
    <w:rsid w:val="00376713"/>
    <w:rsid w:val="003812BE"/>
    <w:rsid w:val="00381815"/>
    <w:rsid w:val="003819AF"/>
    <w:rsid w:val="003820E9"/>
    <w:rsid w:val="00382DE7"/>
    <w:rsid w:val="003833C5"/>
    <w:rsid w:val="00384FFC"/>
    <w:rsid w:val="003872FC"/>
    <w:rsid w:val="00387ADC"/>
    <w:rsid w:val="00390020"/>
    <w:rsid w:val="003903D6"/>
    <w:rsid w:val="00390EE6"/>
    <w:rsid w:val="0039118F"/>
    <w:rsid w:val="0039172D"/>
    <w:rsid w:val="00392AD7"/>
    <w:rsid w:val="00393661"/>
    <w:rsid w:val="003938D9"/>
    <w:rsid w:val="00394376"/>
    <w:rsid w:val="003943FF"/>
    <w:rsid w:val="003974EB"/>
    <w:rsid w:val="00397CC5"/>
    <w:rsid w:val="003A0797"/>
    <w:rsid w:val="003A11D1"/>
    <w:rsid w:val="003A1582"/>
    <w:rsid w:val="003A3D9C"/>
    <w:rsid w:val="003A4077"/>
    <w:rsid w:val="003A4AA7"/>
    <w:rsid w:val="003B09AD"/>
    <w:rsid w:val="003B1F18"/>
    <w:rsid w:val="003B39AF"/>
    <w:rsid w:val="003B5BF0"/>
    <w:rsid w:val="003B60BF"/>
    <w:rsid w:val="003B6BE3"/>
    <w:rsid w:val="003C010C"/>
    <w:rsid w:val="003C0A6C"/>
    <w:rsid w:val="003C14F8"/>
    <w:rsid w:val="003C5A43"/>
    <w:rsid w:val="003D0519"/>
    <w:rsid w:val="003D0FF6"/>
    <w:rsid w:val="003D262C"/>
    <w:rsid w:val="003D5B64"/>
    <w:rsid w:val="003D6D61"/>
    <w:rsid w:val="003D75F3"/>
    <w:rsid w:val="003E019F"/>
    <w:rsid w:val="003E091D"/>
    <w:rsid w:val="003E1C53"/>
    <w:rsid w:val="003E2A69"/>
    <w:rsid w:val="003E2D49"/>
    <w:rsid w:val="003E2FD4"/>
    <w:rsid w:val="003E49F6"/>
    <w:rsid w:val="003E660F"/>
    <w:rsid w:val="003E7A9C"/>
    <w:rsid w:val="003F0841"/>
    <w:rsid w:val="003F23D3"/>
    <w:rsid w:val="003F3F08"/>
    <w:rsid w:val="003F49F1"/>
    <w:rsid w:val="003F6272"/>
    <w:rsid w:val="00400E72"/>
    <w:rsid w:val="00401400"/>
    <w:rsid w:val="00404869"/>
    <w:rsid w:val="00404EED"/>
    <w:rsid w:val="00405884"/>
    <w:rsid w:val="00407D39"/>
    <w:rsid w:val="0041477A"/>
    <w:rsid w:val="00414D9E"/>
    <w:rsid w:val="004167A3"/>
    <w:rsid w:val="00430B1F"/>
    <w:rsid w:val="00432DAA"/>
    <w:rsid w:val="00434305"/>
    <w:rsid w:val="00435DF7"/>
    <w:rsid w:val="0043741A"/>
    <w:rsid w:val="0044083F"/>
    <w:rsid w:val="00441AE7"/>
    <w:rsid w:val="00445574"/>
    <w:rsid w:val="004467FB"/>
    <w:rsid w:val="00452D6B"/>
    <w:rsid w:val="004542B3"/>
    <w:rsid w:val="00454484"/>
    <w:rsid w:val="0045517B"/>
    <w:rsid w:val="00463B77"/>
    <w:rsid w:val="00463C7B"/>
    <w:rsid w:val="004644A6"/>
    <w:rsid w:val="004659BD"/>
    <w:rsid w:val="004705B6"/>
    <w:rsid w:val="00470775"/>
    <w:rsid w:val="00471B78"/>
    <w:rsid w:val="004746B1"/>
    <w:rsid w:val="0047583F"/>
    <w:rsid w:val="00475DE8"/>
    <w:rsid w:val="0047693D"/>
    <w:rsid w:val="00480A11"/>
    <w:rsid w:val="00481C44"/>
    <w:rsid w:val="00484936"/>
    <w:rsid w:val="00485C89"/>
    <w:rsid w:val="00486BE3"/>
    <w:rsid w:val="004905E4"/>
    <w:rsid w:val="00490A89"/>
    <w:rsid w:val="00490AB4"/>
    <w:rsid w:val="00492F02"/>
    <w:rsid w:val="004939AE"/>
    <w:rsid w:val="00496C28"/>
    <w:rsid w:val="004A12DF"/>
    <w:rsid w:val="004A1BA8"/>
    <w:rsid w:val="004A4B57"/>
    <w:rsid w:val="004A63FA"/>
    <w:rsid w:val="004A6A3D"/>
    <w:rsid w:val="004B0272"/>
    <w:rsid w:val="004B2701"/>
    <w:rsid w:val="004B2E1B"/>
    <w:rsid w:val="004B3958"/>
    <w:rsid w:val="004B3AA8"/>
    <w:rsid w:val="004B3ADF"/>
    <w:rsid w:val="004B3E93"/>
    <w:rsid w:val="004C1FBC"/>
    <w:rsid w:val="004C25A2"/>
    <w:rsid w:val="004C34F3"/>
    <w:rsid w:val="004C3F1D"/>
    <w:rsid w:val="004C458D"/>
    <w:rsid w:val="004C7556"/>
    <w:rsid w:val="004C7E8B"/>
    <w:rsid w:val="004C7E9D"/>
    <w:rsid w:val="004C7F67"/>
    <w:rsid w:val="004D076D"/>
    <w:rsid w:val="004D0EF1"/>
    <w:rsid w:val="004D2253"/>
    <w:rsid w:val="004D277C"/>
    <w:rsid w:val="004D4406"/>
    <w:rsid w:val="004D4A5D"/>
    <w:rsid w:val="004D6C94"/>
    <w:rsid w:val="004D7C42"/>
    <w:rsid w:val="004E0465"/>
    <w:rsid w:val="004E127B"/>
    <w:rsid w:val="004E1C0A"/>
    <w:rsid w:val="004E30C5"/>
    <w:rsid w:val="004E3E32"/>
    <w:rsid w:val="004E4AA5"/>
    <w:rsid w:val="004E4AEE"/>
    <w:rsid w:val="004E5159"/>
    <w:rsid w:val="004E59E3"/>
    <w:rsid w:val="004E67C0"/>
    <w:rsid w:val="004F391A"/>
    <w:rsid w:val="004F3CFB"/>
    <w:rsid w:val="004F4B7E"/>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ECF"/>
    <w:rsid w:val="00523F95"/>
    <w:rsid w:val="00524D65"/>
    <w:rsid w:val="00525B16"/>
    <w:rsid w:val="00532232"/>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5044"/>
    <w:rsid w:val="00561475"/>
    <w:rsid w:val="00562308"/>
    <w:rsid w:val="0056487B"/>
    <w:rsid w:val="00564FB9"/>
    <w:rsid w:val="00570B1F"/>
    <w:rsid w:val="00573D9E"/>
    <w:rsid w:val="005801E3"/>
    <w:rsid w:val="00581802"/>
    <w:rsid w:val="005836A8"/>
    <w:rsid w:val="0058409C"/>
    <w:rsid w:val="00584262"/>
    <w:rsid w:val="00586630"/>
    <w:rsid w:val="00587ADD"/>
    <w:rsid w:val="005931CB"/>
    <w:rsid w:val="00593A49"/>
    <w:rsid w:val="00596160"/>
    <w:rsid w:val="005966E2"/>
    <w:rsid w:val="00597007"/>
    <w:rsid w:val="005A0966"/>
    <w:rsid w:val="005A11B7"/>
    <w:rsid w:val="005A260B"/>
    <w:rsid w:val="005A4A1B"/>
    <w:rsid w:val="005A7830"/>
    <w:rsid w:val="005A7FCE"/>
    <w:rsid w:val="005B0F3F"/>
    <w:rsid w:val="005B191C"/>
    <w:rsid w:val="005B2D95"/>
    <w:rsid w:val="005B4903"/>
    <w:rsid w:val="005B51CE"/>
    <w:rsid w:val="005B5885"/>
    <w:rsid w:val="005B5CD7"/>
    <w:rsid w:val="005B6CF6"/>
    <w:rsid w:val="005B7422"/>
    <w:rsid w:val="005C29B8"/>
    <w:rsid w:val="005C5F21"/>
    <w:rsid w:val="005C7156"/>
    <w:rsid w:val="005D0878"/>
    <w:rsid w:val="005D0C75"/>
    <w:rsid w:val="005D4171"/>
    <w:rsid w:val="005D6A95"/>
    <w:rsid w:val="005D6B2C"/>
    <w:rsid w:val="005D6D9C"/>
    <w:rsid w:val="005E2335"/>
    <w:rsid w:val="005E34CA"/>
    <w:rsid w:val="005E3C18"/>
    <w:rsid w:val="005E4250"/>
    <w:rsid w:val="005E6812"/>
    <w:rsid w:val="005E7881"/>
    <w:rsid w:val="005E78E0"/>
    <w:rsid w:val="005F0D9C"/>
    <w:rsid w:val="005F284E"/>
    <w:rsid w:val="005F783D"/>
    <w:rsid w:val="006015CE"/>
    <w:rsid w:val="00603DAC"/>
    <w:rsid w:val="00604784"/>
    <w:rsid w:val="00606419"/>
    <w:rsid w:val="00607D29"/>
    <w:rsid w:val="00612952"/>
    <w:rsid w:val="00612C20"/>
    <w:rsid w:val="00614CC1"/>
    <w:rsid w:val="00615A9D"/>
    <w:rsid w:val="00617387"/>
    <w:rsid w:val="006205D6"/>
    <w:rsid w:val="00622009"/>
    <w:rsid w:val="006252D8"/>
    <w:rsid w:val="006259BC"/>
    <w:rsid w:val="0062636B"/>
    <w:rsid w:val="00632182"/>
    <w:rsid w:val="00632AE0"/>
    <w:rsid w:val="0063383B"/>
    <w:rsid w:val="00633B2F"/>
    <w:rsid w:val="00633C17"/>
    <w:rsid w:val="00634D9E"/>
    <w:rsid w:val="00636386"/>
    <w:rsid w:val="00636E3E"/>
    <w:rsid w:val="006379F7"/>
    <w:rsid w:val="00637E4D"/>
    <w:rsid w:val="00640620"/>
    <w:rsid w:val="00640692"/>
    <w:rsid w:val="00641A1F"/>
    <w:rsid w:val="00645904"/>
    <w:rsid w:val="00651154"/>
    <w:rsid w:val="00651ACB"/>
    <w:rsid w:val="00651C47"/>
    <w:rsid w:val="00652AB2"/>
    <w:rsid w:val="00653FED"/>
    <w:rsid w:val="006543F6"/>
    <w:rsid w:val="00654EC0"/>
    <w:rsid w:val="0065525B"/>
    <w:rsid w:val="00655D4F"/>
    <w:rsid w:val="00656D29"/>
    <w:rsid w:val="006602F8"/>
    <w:rsid w:val="006640E5"/>
    <w:rsid w:val="006646F1"/>
    <w:rsid w:val="00664929"/>
    <w:rsid w:val="00664F62"/>
    <w:rsid w:val="006655E1"/>
    <w:rsid w:val="006718BC"/>
    <w:rsid w:val="00672060"/>
    <w:rsid w:val="00672BFD"/>
    <w:rsid w:val="006756B0"/>
    <w:rsid w:val="006770F4"/>
    <w:rsid w:val="00677A84"/>
    <w:rsid w:val="0068026D"/>
    <w:rsid w:val="00680A27"/>
    <w:rsid w:val="006816A4"/>
    <w:rsid w:val="006819B8"/>
    <w:rsid w:val="00683957"/>
    <w:rsid w:val="006840A6"/>
    <w:rsid w:val="006850CD"/>
    <w:rsid w:val="00685AAB"/>
    <w:rsid w:val="00693962"/>
    <w:rsid w:val="006A07AA"/>
    <w:rsid w:val="006A25E5"/>
    <w:rsid w:val="006A2B46"/>
    <w:rsid w:val="006A336D"/>
    <w:rsid w:val="006A37B9"/>
    <w:rsid w:val="006A3D27"/>
    <w:rsid w:val="006B08A3"/>
    <w:rsid w:val="006B2672"/>
    <w:rsid w:val="006B2D72"/>
    <w:rsid w:val="006B4E64"/>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D7D7D"/>
    <w:rsid w:val="006E28E0"/>
    <w:rsid w:val="006F03A8"/>
    <w:rsid w:val="006F2ACA"/>
    <w:rsid w:val="006F2ADC"/>
    <w:rsid w:val="006F2BFE"/>
    <w:rsid w:val="006F31E9"/>
    <w:rsid w:val="006F6284"/>
    <w:rsid w:val="007002C5"/>
    <w:rsid w:val="00704387"/>
    <w:rsid w:val="00707669"/>
    <w:rsid w:val="00711CBA"/>
    <w:rsid w:val="00711FB5"/>
    <w:rsid w:val="00712A01"/>
    <w:rsid w:val="00714F58"/>
    <w:rsid w:val="00722FBF"/>
    <w:rsid w:val="00722FC2"/>
    <w:rsid w:val="00724428"/>
    <w:rsid w:val="00724DF5"/>
    <w:rsid w:val="00724E1B"/>
    <w:rsid w:val="00725949"/>
    <w:rsid w:val="00727FA2"/>
    <w:rsid w:val="007322D9"/>
    <w:rsid w:val="00732BC0"/>
    <w:rsid w:val="00733B9B"/>
    <w:rsid w:val="007360B6"/>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1F8D"/>
    <w:rsid w:val="0075229F"/>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84810"/>
    <w:rsid w:val="00794C56"/>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E1330"/>
    <w:rsid w:val="007F0ED8"/>
    <w:rsid w:val="007F0F63"/>
    <w:rsid w:val="007F40C9"/>
    <w:rsid w:val="007F5C71"/>
    <w:rsid w:val="007F75CE"/>
    <w:rsid w:val="008013A4"/>
    <w:rsid w:val="0080142A"/>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1742"/>
    <w:rsid w:val="0083348C"/>
    <w:rsid w:val="008373D3"/>
    <w:rsid w:val="00840617"/>
    <w:rsid w:val="00840C29"/>
    <w:rsid w:val="00840F84"/>
    <w:rsid w:val="00842A47"/>
    <w:rsid w:val="00843C13"/>
    <w:rsid w:val="00843DEF"/>
    <w:rsid w:val="008454F8"/>
    <w:rsid w:val="00846027"/>
    <w:rsid w:val="00851483"/>
    <w:rsid w:val="0085173A"/>
    <w:rsid w:val="008603CE"/>
    <w:rsid w:val="008607BF"/>
    <w:rsid w:val="008620FC"/>
    <w:rsid w:val="008627A5"/>
    <w:rsid w:val="00863E05"/>
    <w:rsid w:val="00865ACA"/>
    <w:rsid w:val="00865D28"/>
    <w:rsid w:val="00865F85"/>
    <w:rsid w:val="00867C10"/>
    <w:rsid w:val="00870439"/>
    <w:rsid w:val="00870DA1"/>
    <w:rsid w:val="008728A3"/>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3B29"/>
    <w:rsid w:val="008B3FEE"/>
    <w:rsid w:val="008B49C4"/>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5A7E"/>
    <w:rsid w:val="008E6A84"/>
    <w:rsid w:val="008F0CDC"/>
    <w:rsid w:val="008F17A3"/>
    <w:rsid w:val="008F1ED3"/>
    <w:rsid w:val="008F4C29"/>
    <w:rsid w:val="008F70BD"/>
    <w:rsid w:val="008F7235"/>
    <w:rsid w:val="008F788F"/>
    <w:rsid w:val="008F7EA2"/>
    <w:rsid w:val="009023F6"/>
    <w:rsid w:val="00902722"/>
    <w:rsid w:val="009027BC"/>
    <w:rsid w:val="00902CDA"/>
    <w:rsid w:val="009062E6"/>
    <w:rsid w:val="00911BE5"/>
    <w:rsid w:val="00913CA9"/>
    <w:rsid w:val="009145AE"/>
    <w:rsid w:val="009146CE"/>
    <w:rsid w:val="00914CA7"/>
    <w:rsid w:val="00915C3E"/>
    <w:rsid w:val="009161A8"/>
    <w:rsid w:val="00920434"/>
    <w:rsid w:val="009245AE"/>
    <w:rsid w:val="009245F5"/>
    <w:rsid w:val="009249EC"/>
    <w:rsid w:val="009273B3"/>
    <w:rsid w:val="0093047D"/>
    <w:rsid w:val="009305B5"/>
    <w:rsid w:val="00933C44"/>
    <w:rsid w:val="009378DD"/>
    <w:rsid w:val="00941987"/>
    <w:rsid w:val="009429D5"/>
    <w:rsid w:val="00942BF1"/>
    <w:rsid w:val="0094405A"/>
    <w:rsid w:val="00945180"/>
    <w:rsid w:val="00945428"/>
    <w:rsid w:val="0094607B"/>
    <w:rsid w:val="00952B6A"/>
    <w:rsid w:val="00953604"/>
    <w:rsid w:val="0095496B"/>
    <w:rsid w:val="0095609D"/>
    <w:rsid w:val="00960F1E"/>
    <w:rsid w:val="009610DC"/>
    <w:rsid w:val="00961490"/>
    <w:rsid w:val="0096219E"/>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2FA3"/>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1DE1"/>
    <w:rsid w:val="009C27F1"/>
    <w:rsid w:val="009C3152"/>
    <w:rsid w:val="009C3257"/>
    <w:rsid w:val="009C4CFA"/>
    <w:rsid w:val="009C5070"/>
    <w:rsid w:val="009D112C"/>
    <w:rsid w:val="009D1385"/>
    <w:rsid w:val="009D47FA"/>
    <w:rsid w:val="009D4C5B"/>
    <w:rsid w:val="009D50D2"/>
    <w:rsid w:val="009D6BCA"/>
    <w:rsid w:val="009E0F62"/>
    <w:rsid w:val="009E4A58"/>
    <w:rsid w:val="009E5A2D"/>
    <w:rsid w:val="009E5AB2"/>
    <w:rsid w:val="009E6219"/>
    <w:rsid w:val="009F03B3"/>
    <w:rsid w:val="009F704D"/>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3AE"/>
    <w:rsid w:val="00A4452E"/>
    <w:rsid w:val="00A4472C"/>
    <w:rsid w:val="00A44E69"/>
    <w:rsid w:val="00A4661E"/>
    <w:rsid w:val="00A55BD6"/>
    <w:rsid w:val="00A55D50"/>
    <w:rsid w:val="00A57142"/>
    <w:rsid w:val="00A648CD"/>
    <w:rsid w:val="00A6537A"/>
    <w:rsid w:val="00A67866"/>
    <w:rsid w:val="00A70B07"/>
    <w:rsid w:val="00A723F8"/>
    <w:rsid w:val="00A74A62"/>
    <w:rsid w:val="00A779FD"/>
    <w:rsid w:val="00A77CCB"/>
    <w:rsid w:val="00A82AEE"/>
    <w:rsid w:val="00A83D8D"/>
    <w:rsid w:val="00A8446B"/>
    <w:rsid w:val="00A8473F"/>
    <w:rsid w:val="00A862D6"/>
    <w:rsid w:val="00A8715E"/>
    <w:rsid w:val="00A9042F"/>
    <w:rsid w:val="00A90C93"/>
    <w:rsid w:val="00A9295B"/>
    <w:rsid w:val="00A9332F"/>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C5E35"/>
    <w:rsid w:val="00AD0AEF"/>
    <w:rsid w:val="00AD11B7"/>
    <w:rsid w:val="00AD1A94"/>
    <w:rsid w:val="00AD1C05"/>
    <w:rsid w:val="00AD4126"/>
    <w:rsid w:val="00AD421C"/>
    <w:rsid w:val="00AD44FA"/>
    <w:rsid w:val="00AE070A"/>
    <w:rsid w:val="00AE101C"/>
    <w:rsid w:val="00AE17DE"/>
    <w:rsid w:val="00AE2A69"/>
    <w:rsid w:val="00AE37E5"/>
    <w:rsid w:val="00AE436D"/>
    <w:rsid w:val="00AE49A5"/>
    <w:rsid w:val="00AE5E75"/>
    <w:rsid w:val="00AE5EB4"/>
    <w:rsid w:val="00AE7962"/>
    <w:rsid w:val="00AF0C18"/>
    <w:rsid w:val="00AF2399"/>
    <w:rsid w:val="00AF47C5"/>
    <w:rsid w:val="00AF5398"/>
    <w:rsid w:val="00AF754E"/>
    <w:rsid w:val="00B02C46"/>
    <w:rsid w:val="00B049AF"/>
    <w:rsid w:val="00B07242"/>
    <w:rsid w:val="00B10534"/>
    <w:rsid w:val="00B113DB"/>
    <w:rsid w:val="00B11D8A"/>
    <w:rsid w:val="00B12981"/>
    <w:rsid w:val="00B14516"/>
    <w:rsid w:val="00B147DD"/>
    <w:rsid w:val="00B156FD"/>
    <w:rsid w:val="00B21F61"/>
    <w:rsid w:val="00B25F5F"/>
    <w:rsid w:val="00B261AB"/>
    <w:rsid w:val="00B261F1"/>
    <w:rsid w:val="00B265BC"/>
    <w:rsid w:val="00B31310"/>
    <w:rsid w:val="00B31FB1"/>
    <w:rsid w:val="00B33952"/>
    <w:rsid w:val="00B33C5E"/>
    <w:rsid w:val="00B342F4"/>
    <w:rsid w:val="00B34369"/>
    <w:rsid w:val="00B34DC2"/>
    <w:rsid w:val="00B369DB"/>
    <w:rsid w:val="00B378E5"/>
    <w:rsid w:val="00B4346D"/>
    <w:rsid w:val="00B438B1"/>
    <w:rsid w:val="00B440F4"/>
    <w:rsid w:val="00B447A5"/>
    <w:rsid w:val="00B4654C"/>
    <w:rsid w:val="00B47293"/>
    <w:rsid w:val="00B50E50"/>
    <w:rsid w:val="00B52120"/>
    <w:rsid w:val="00B54ABC"/>
    <w:rsid w:val="00B56FBE"/>
    <w:rsid w:val="00B60ACF"/>
    <w:rsid w:val="00B62AE7"/>
    <w:rsid w:val="00B62B58"/>
    <w:rsid w:val="00B65149"/>
    <w:rsid w:val="00B66567"/>
    <w:rsid w:val="00B66F52"/>
    <w:rsid w:val="00B66FE5"/>
    <w:rsid w:val="00B71504"/>
    <w:rsid w:val="00B72880"/>
    <w:rsid w:val="00B758BF"/>
    <w:rsid w:val="00B76980"/>
    <w:rsid w:val="00B77EC8"/>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1A4E"/>
    <w:rsid w:val="00BC5DC7"/>
    <w:rsid w:val="00BC6B8B"/>
    <w:rsid w:val="00BC73D8"/>
    <w:rsid w:val="00BD1E1E"/>
    <w:rsid w:val="00BD52D7"/>
    <w:rsid w:val="00BD5AD2"/>
    <w:rsid w:val="00BE05E2"/>
    <w:rsid w:val="00BE22F3"/>
    <w:rsid w:val="00BE4DF6"/>
    <w:rsid w:val="00BE5B52"/>
    <w:rsid w:val="00BE5DBE"/>
    <w:rsid w:val="00BE7B8D"/>
    <w:rsid w:val="00BF0993"/>
    <w:rsid w:val="00BF10A9"/>
    <w:rsid w:val="00BF1703"/>
    <w:rsid w:val="00BF231C"/>
    <w:rsid w:val="00BF51E5"/>
    <w:rsid w:val="00BF74A6"/>
    <w:rsid w:val="00C013AD"/>
    <w:rsid w:val="00C02663"/>
    <w:rsid w:val="00C039AB"/>
    <w:rsid w:val="00C04904"/>
    <w:rsid w:val="00C056B3"/>
    <w:rsid w:val="00C103E5"/>
    <w:rsid w:val="00C13319"/>
    <w:rsid w:val="00C13EE9"/>
    <w:rsid w:val="00C155AF"/>
    <w:rsid w:val="00C21540"/>
    <w:rsid w:val="00C21906"/>
    <w:rsid w:val="00C21BFA"/>
    <w:rsid w:val="00C227B9"/>
    <w:rsid w:val="00C24C8D"/>
    <w:rsid w:val="00C25FE2"/>
    <w:rsid w:val="00C26B53"/>
    <w:rsid w:val="00C279B2"/>
    <w:rsid w:val="00C305BB"/>
    <w:rsid w:val="00C33E50"/>
    <w:rsid w:val="00C34C20"/>
    <w:rsid w:val="00C35A3E"/>
    <w:rsid w:val="00C41013"/>
    <w:rsid w:val="00C42130"/>
    <w:rsid w:val="00C423A4"/>
    <w:rsid w:val="00C423E3"/>
    <w:rsid w:val="00C44BF5"/>
    <w:rsid w:val="00C46150"/>
    <w:rsid w:val="00C50478"/>
    <w:rsid w:val="00C521D6"/>
    <w:rsid w:val="00C55232"/>
    <w:rsid w:val="00C553A4"/>
    <w:rsid w:val="00C55A06"/>
    <w:rsid w:val="00C55D03"/>
    <w:rsid w:val="00C601BC"/>
    <w:rsid w:val="00C63229"/>
    <w:rsid w:val="00C6329F"/>
    <w:rsid w:val="00C63340"/>
    <w:rsid w:val="00C643F9"/>
    <w:rsid w:val="00C64E95"/>
    <w:rsid w:val="00C662DB"/>
    <w:rsid w:val="00C71372"/>
    <w:rsid w:val="00C72410"/>
    <w:rsid w:val="00C7287F"/>
    <w:rsid w:val="00C80CB8"/>
    <w:rsid w:val="00C819F8"/>
    <w:rsid w:val="00C81AB7"/>
    <w:rsid w:val="00C8248C"/>
    <w:rsid w:val="00C84E33"/>
    <w:rsid w:val="00C86D6F"/>
    <w:rsid w:val="00C905FC"/>
    <w:rsid w:val="00C92D03"/>
    <w:rsid w:val="00C9319C"/>
    <w:rsid w:val="00C9435D"/>
    <w:rsid w:val="00C94DF2"/>
    <w:rsid w:val="00C96741"/>
    <w:rsid w:val="00CA09EB"/>
    <w:rsid w:val="00CA2D1B"/>
    <w:rsid w:val="00CA375D"/>
    <w:rsid w:val="00CA662A"/>
    <w:rsid w:val="00CA6B6C"/>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D6707"/>
    <w:rsid w:val="00CE0C4F"/>
    <w:rsid w:val="00CE30EA"/>
    <w:rsid w:val="00CF048A"/>
    <w:rsid w:val="00CF155A"/>
    <w:rsid w:val="00CF2947"/>
    <w:rsid w:val="00CF2985"/>
    <w:rsid w:val="00CF686F"/>
    <w:rsid w:val="00CF6E60"/>
    <w:rsid w:val="00CF7BCA"/>
    <w:rsid w:val="00D008FD"/>
    <w:rsid w:val="00D02871"/>
    <w:rsid w:val="00D0321C"/>
    <w:rsid w:val="00D035EC"/>
    <w:rsid w:val="00D06AB1"/>
    <w:rsid w:val="00D06FC1"/>
    <w:rsid w:val="00D072ED"/>
    <w:rsid w:val="00D07A16"/>
    <w:rsid w:val="00D1067E"/>
    <w:rsid w:val="00D10F50"/>
    <w:rsid w:val="00D11272"/>
    <w:rsid w:val="00D126F5"/>
    <w:rsid w:val="00D1489E"/>
    <w:rsid w:val="00D15377"/>
    <w:rsid w:val="00D15B19"/>
    <w:rsid w:val="00D201AC"/>
    <w:rsid w:val="00D20737"/>
    <w:rsid w:val="00D21E81"/>
    <w:rsid w:val="00D223DE"/>
    <w:rsid w:val="00D25E37"/>
    <w:rsid w:val="00D2661A"/>
    <w:rsid w:val="00D27582"/>
    <w:rsid w:val="00D27EC4"/>
    <w:rsid w:val="00D32719"/>
    <w:rsid w:val="00D33333"/>
    <w:rsid w:val="00D352A2"/>
    <w:rsid w:val="00D37DF6"/>
    <w:rsid w:val="00D4162B"/>
    <w:rsid w:val="00D4514F"/>
    <w:rsid w:val="00D451E2"/>
    <w:rsid w:val="00D45E89"/>
    <w:rsid w:val="00D45E8D"/>
    <w:rsid w:val="00D466AE"/>
    <w:rsid w:val="00D4734F"/>
    <w:rsid w:val="00D51BF3"/>
    <w:rsid w:val="00D52E69"/>
    <w:rsid w:val="00D647BF"/>
    <w:rsid w:val="00D66846"/>
    <w:rsid w:val="00D675FB"/>
    <w:rsid w:val="00D71F25"/>
    <w:rsid w:val="00D72A9C"/>
    <w:rsid w:val="00D73E0A"/>
    <w:rsid w:val="00D76718"/>
    <w:rsid w:val="00D77031"/>
    <w:rsid w:val="00D807FE"/>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286E"/>
    <w:rsid w:val="00DB38EE"/>
    <w:rsid w:val="00DB498B"/>
    <w:rsid w:val="00DB66CA"/>
    <w:rsid w:val="00DB6BCA"/>
    <w:rsid w:val="00DB6F54"/>
    <w:rsid w:val="00DB73F7"/>
    <w:rsid w:val="00DC0321"/>
    <w:rsid w:val="00DC0485"/>
    <w:rsid w:val="00DC3067"/>
    <w:rsid w:val="00DC370B"/>
    <w:rsid w:val="00DC5B90"/>
    <w:rsid w:val="00DD00FF"/>
    <w:rsid w:val="00DD0619"/>
    <w:rsid w:val="00DD07FB"/>
    <w:rsid w:val="00DD212F"/>
    <w:rsid w:val="00DD25C6"/>
    <w:rsid w:val="00DD4751"/>
    <w:rsid w:val="00DD4FE5"/>
    <w:rsid w:val="00DD54B0"/>
    <w:rsid w:val="00DD57EE"/>
    <w:rsid w:val="00DD6BCC"/>
    <w:rsid w:val="00DE0A4B"/>
    <w:rsid w:val="00DE10B5"/>
    <w:rsid w:val="00DE2410"/>
    <w:rsid w:val="00DE2544"/>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35AD"/>
    <w:rsid w:val="00E15CCD"/>
    <w:rsid w:val="00E202EF"/>
    <w:rsid w:val="00E210B5"/>
    <w:rsid w:val="00E22F82"/>
    <w:rsid w:val="00E2552F"/>
    <w:rsid w:val="00E3137A"/>
    <w:rsid w:val="00E32CCF"/>
    <w:rsid w:val="00E34A98"/>
    <w:rsid w:val="00E35D1E"/>
    <w:rsid w:val="00E364F9"/>
    <w:rsid w:val="00E365FA"/>
    <w:rsid w:val="00E36789"/>
    <w:rsid w:val="00E44A83"/>
    <w:rsid w:val="00E45883"/>
    <w:rsid w:val="00E502C1"/>
    <w:rsid w:val="00E502DD"/>
    <w:rsid w:val="00E50D3A"/>
    <w:rsid w:val="00E51387"/>
    <w:rsid w:val="00E51E68"/>
    <w:rsid w:val="00E52EFD"/>
    <w:rsid w:val="00E5408A"/>
    <w:rsid w:val="00E55624"/>
    <w:rsid w:val="00E56800"/>
    <w:rsid w:val="00E57A12"/>
    <w:rsid w:val="00E60C63"/>
    <w:rsid w:val="00E62FF9"/>
    <w:rsid w:val="00E635D6"/>
    <w:rsid w:val="00E639BC"/>
    <w:rsid w:val="00E651D6"/>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974A8"/>
    <w:rsid w:val="00EA03CA"/>
    <w:rsid w:val="00EA58D1"/>
    <w:rsid w:val="00EA61BC"/>
    <w:rsid w:val="00EA681A"/>
    <w:rsid w:val="00EA735B"/>
    <w:rsid w:val="00EA7F5B"/>
    <w:rsid w:val="00EB1E69"/>
    <w:rsid w:val="00EB2086"/>
    <w:rsid w:val="00EB2DE9"/>
    <w:rsid w:val="00EB31ED"/>
    <w:rsid w:val="00EB5EDF"/>
    <w:rsid w:val="00EB60FE"/>
    <w:rsid w:val="00EB6B65"/>
    <w:rsid w:val="00EB74DB"/>
    <w:rsid w:val="00EC2836"/>
    <w:rsid w:val="00EC5359"/>
    <w:rsid w:val="00EC562A"/>
    <w:rsid w:val="00EC63EC"/>
    <w:rsid w:val="00ED067A"/>
    <w:rsid w:val="00ED1766"/>
    <w:rsid w:val="00ED2B50"/>
    <w:rsid w:val="00ED75C2"/>
    <w:rsid w:val="00EE0350"/>
    <w:rsid w:val="00EE070C"/>
    <w:rsid w:val="00EE0719"/>
    <w:rsid w:val="00EE0E80"/>
    <w:rsid w:val="00EE613F"/>
    <w:rsid w:val="00EE7295"/>
    <w:rsid w:val="00EE7869"/>
    <w:rsid w:val="00EF054A"/>
    <w:rsid w:val="00EF3235"/>
    <w:rsid w:val="00EF40F3"/>
    <w:rsid w:val="00EF498C"/>
    <w:rsid w:val="00EF7076"/>
    <w:rsid w:val="00EF7E72"/>
    <w:rsid w:val="00F031B0"/>
    <w:rsid w:val="00F06D37"/>
    <w:rsid w:val="00F07B9D"/>
    <w:rsid w:val="00F10CF6"/>
    <w:rsid w:val="00F11586"/>
    <w:rsid w:val="00F1183B"/>
    <w:rsid w:val="00F11C9F"/>
    <w:rsid w:val="00F12263"/>
    <w:rsid w:val="00F1409D"/>
    <w:rsid w:val="00F14214"/>
    <w:rsid w:val="00F157A9"/>
    <w:rsid w:val="00F16F00"/>
    <w:rsid w:val="00F244DB"/>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6511"/>
    <w:rsid w:val="00F6194E"/>
    <w:rsid w:val="00F62205"/>
    <w:rsid w:val="00F623AC"/>
    <w:rsid w:val="00F6322C"/>
    <w:rsid w:val="00F6412A"/>
    <w:rsid w:val="00F65893"/>
    <w:rsid w:val="00F66A4A"/>
    <w:rsid w:val="00F71E22"/>
    <w:rsid w:val="00F72142"/>
    <w:rsid w:val="00F72AE7"/>
    <w:rsid w:val="00F833BA"/>
    <w:rsid w:val="00F84FD0"/>
    <w:rsid w:val="00F859A8"/>
    <w:rsid w:val="00F85C56"/>
    <w:rsid w:val="00F86D87"/>
    <w:rsid w:val="00F9108B"/>
    <w:rsid w:val="00F91349"/>
    <w:rsid w:val="00F93A8A"/>
    <w:rsid w:val="00F95248"/>
    <w:rsid w:val="00F956A9"/>
    <w:rsid w:val="00F963ED"/>
    <w:rsid w:val="00F966CF"/>
    <w:rsid w:val="00F96CAE"/>
    <w:rsid w:val="00F97C99"/>
    <w:rsid w:val="00FA662D"/>
    <w:rsid w:val="00FA70D6"/>
    <w:rsid w:val="00FA73B1"/>
    <w:rsid w:val="00FB0CB9"/>
    <w:rsid w:val="00FB231D"/>
    <w:rsid w:val="00FB45F1"/>
    <w:rsid w:val="00FB4A72"/>
    <w:rsid w:val="00FB54E8"/>
    <w:rsid w:val="00FB7054"/>
    <w:rsid w:val="00FC17B7"/>
    <w:rsid w:val="00FC2CB7"/>
    <w:rsid w:val="00FC4090"/>
    <w:rsid w:val="00FC55B4"/>
    <w:rsid w:val="00FC7C70"/>
    <w:rsid w:val="00FD00E6"/>
    <w:rsid w:val="00FD09A1"/>
    <w:rsid w:val="00FD2A7C"/>
    <w:rsid w:val="00FD59EB"/>
    <w:rsid w:val="00FD7299"/>
    <w:rsid w:val="00FE1FBE"/>
    <w:rsid w:val="00FE3901"/>
    <w:rsid w:val="00FE39D3"/>
    <w:rsid w:val="00FE4BCE"/>
    <w:rsid w:val="00FE54AE"/>
    <w:rsid w:val="00FE576A"/>
    <w:rsid w:val="00FE7E79"/>
    <w:rsid w:val="00FF3E7D"/>
    <w:rsid w:val="00FF4577"/>
    <w:rsid w:val="00FF5B99"/>
    <w:rsid w:val="00FF730C"/>
    <w:rsid w:val="00FF73F4"/>
    <w:rsid w:val="00FF7CE4"/>
    <w:rsid w:val="00FF7E39"/>
    <w:rsid w:val="12034F5B"/>
    <w:rsid w:val="18A947DA"/>
    <w:rsid w:val="23C01A36"/>
    <w:rsid w:val="2A9339AC"/>
    <w:rsid w:val="32231B77"/>
    <w:rsid w:val="37FD2868"/>
    <w:rsid w:val="414078EF"/>
    <w:rsid w:val="522668C5"/>
    <w:rsid w:val="57C63ACC"/>
    <w:rsid w:val="59805CB4"/>
    <w:rsid w:val="7D2F4EE5"/>
    <w:rsid w:val="7DAB57C1"/>
    <w:rsid w:val="7DF019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4"/>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5"/>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6"/>
    <w:qFormat/>
    <w:uiPriority w:val="0"/>
    <w:pPr>
      <w:keepNext/>
      <w:keepLines/>
      <w:spacing w:before="260" w:after="260" w:line="416" w:lineRule="auto"/>
      <w:outlineLvl w:val="2"/>
    </w:pPr>
    <w:rPr>
      <w:b/>
      <w:bCs/>
      <w:sz w:val="32"/>
      <w:szCs w:val="32"/>
    </w:rPr>
  </w:style>
  <w:style w:type="paragraph" w:styleId="5">
    <w:name w:val="heading 4"/>
    <w:basedOn w:val="1"/>
    <w:next w:val="1"/>
    <w:link w:val="37"/>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8"/>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39"/>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0"/>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1"/>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2"/>
    <w:qFormat/>
    <w:uiPriority w:val="0"/>
    <w:pPr>
      <w:keepNext/>
      <w:keepLines/>
      <w:adjustRightInd/>
      <w:spacing w:before="240" w:after="64" w:line="320" w:lineRule="auto"/>
      <w:outlineLvl w:val="8"/>
    </w:pPr>
    <w:rPr>
      <w:rFonts w:ascii="Arial" w:hAnsi="Arial" w:eastAsia="黑体"/>
    </w:rPr>
  </w:style>
  <w:style w:type="character" w:default="1" w:styleId="28">
    <w:name w:val="Default Paragraph Font"/>
    <w:semiHidden/>
    <w:unhideWhenUsed/>
    <w:qFormat/>
    <w:uiPriority w:val="1"/>
  </w:style>
  <w:style w:type="table" w:default="1" w:styleId="26">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Body Text"/>
    <w:basedOn w:val="1"/>
    <w:link w:val="86"/>
    <w:qFormat/>
    <w:uiPriority w:val="0"/>
    <w:pPr>
      <w:spacing w:after="120"/>
    </w:pPr>
  </w:style>
  <w:style w:type="paragraph" w:styleId="14">
    <w:name w:val="toc 5"/>
    <w:basedOn w:val="1"/>
    <w:next w:val="1"/>
    <w:autoRedefine/>
    <w:unhideWhenUsed/>
    <w:qFormat/>
    <w:uiPriority w:val="39"/>
    <w:pPr>
      <w:ind w:left="839"/>
    </w:pPr>
    <w:rPr>
      <w:rFonts w:ascii="宋体"/>
    </w:rPr>
  </w:style>
  <w:style w:type="paragraph" w:styleId="15">
    <w:name w:val="toc 3"/>
    <w:basedOn w:val="1"/>
    <w:next w:val="1"/>
    <w:autoRedefine/>
    <w:unhideWhenUsed/>
    <w:qFormat/>
    <w:uiPriority w:val="39"/>
    <w:pPr>
      <w:spacing w:line="300" w:lineRule="exact"/>
      <w:ind w:left="420"/>
    </w:pPr>
    <w:rPr>
      <w:rFonts w:ascii="宋体"/>
    </w:rPr>
  </w:style>
  <w:style w:type="paragraph" w:styleId="16">
    <w:name w:val="Balloon Text"/>
    <w:basedOn w:val="1"/>
    <w:link w:val="45"/>
    <w:semiHidden/>
    <w:unhideWhenUsed/>
    <w:qFormat/>
    <w:uiPriority w:val="99"/>
    <w:rPr>
      <w:sz w:val="18"/>
      <w:szCs w:val="18"/>
    </w:rPr>
  </w:style>
  <w:style w:type="paragraph" w:styleId="17">
    <w:name w:val="footer"/>
    <w:basedOn w:val="1"/>
    <w:link w:val="44"/>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3"/>
    <w:qFormat/>
    <w:uiPriority w:val="99"/>
    <w:pPr>
      <w:tabs>
        <w:tab w:val="center" w:pos="4153"/>
        <w:tab w:val="right" w:pos="8306"/>
      </w:tabs>
      <w:adjustRightInd/>
      <w:snapToGrid w:val="0"/>
      <w:jc w:val="center"/>
    </w:pPr>
    <w:rPr>
      <w:sz w:val="18"/>
      <w:szCs w:val="18"/>
    </w:rPr>
  </w:style>
  <w:style w:type="paragraph" w:styleId="19">
    <w:name w:val="toc 1"/>
    <w:basedOn w:val="1"/>
    <w:next w:val="1"/>
    <w:autoRedefine/>
    <w:unhideWhenUsed/>
    <w:qFormat/>
    <w:uiPriority w:val="39"/>
    <w:rPr>
      <w:rFonts w:ascii="宋体"/>
    </w:rPr>
  </w:style>
  <w:style w:type="paragraph" w:styleId="20">
    <w:name w:val="toc 4"/>
    <w:basedOn w:val="1"/>
    <w:next w:val="1"/>
    <w:autoRedefine/>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99"/>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autoRedefine/>
    <w:unhideWhenUsed/>
    <w:qFormat/>
    <w:uiPriority w:val="39"/>
    <w:pPr>
      <w:spacing w:line="300" w:lineRule="exact"/>
      <w:ind w:left="1049"/>
    </w:pPr>
    <w:rPr>
      <w:rFonts w:ascii="宋体"/>
    </w:rPr>
  </w:style>
  <w:style w:type="paragraph" w:styleId="23">
    <w:name w:val="table of figures"/>
    <w:basedOn w:val="1"/>
    <w:next w:val="1"/>
    <w:semiHidden/>
    <w:qFormat/>
    <w:uiPriority w:val="0"/>
    <w:pPr>
      <w:adjustRightInd/>
      <w:spacing w:line="240" w:lineRule="auto"/>
      <w:jc w:val="left"/>
    </w:pPr>
    <w:rPr>
      <w:szCs w:val="24"/>
    </w:rPr>
  </w:style>
  <w:style w:type="paragraph" w:styleId="24">
    <w:name w:val="toc 2"/>
    <w:basedOn w:val="1"/>
    <w:next w:val="1"/>
    <w:autoRedefine/>
    <w:unhideWhenUsed/>
    <w:qFormat/>
    <w:uiPriority w:val="39"/>
    <w:pPr>
      <w:tabs>
        <w:tab w:val="right" w:leader="dot" w:pos="9344"/>
      </w:tabs>
      <w:spacing w:line="300" w:lineRule="exact"/>
      <w:ind w:left="210"/>
    </w:pPr>
    <w:rPr>
      <w:rFonts w:ascii="宋体"/>
    </w:rPr>
  </w:style>
  <w:style w:type="paragraph" w:styleId="25">
    <w:name w:val="Title"/>
    <w:basedOn w:val="1"/>
    <w:link w:val="48"/>
    <w:qFormat/>
    <w:uiPriority w:val="0"/>
    <w:pPr>
      <w:spacing w:before="240" w:after="60"/>
      <w:jc w:val="center"/>
      <w:outlineLvl w:val="0"/>
    </w:pPr>
    <w:rPr>
      <w:rFonts w:ascii="Arial" w:hAnsi="Arial" w:cs="Arial"/>
      <w:b/>
      <w:bCs/>
      <w:sz w:val="32"/>
      <w:szCs w:val="32"/>
    </w:rPr>
  </w:style>
  <w:style w:type="table" w:styleId="27">
    <w:name w:val="Table Grid"/>
    <w:basedOn w:val="2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9">
    <w:name w:val="Strong"/>
    <w:qFormat/>
    <w:uiPriority w:val="22"/>
    <w:rPr>
      <w:b/>
      <w:bCs/>
    </w:rPr>
  </w:style>
  <w:style w:type="character" w:styleId="30">
    <w:name w:val="page number"/>
    <w:qFormat/>
    <w:uiPriority w:val="0"/>
    <w:rPr>
      <w:rFonts w:ascii="宋体" w:hAnsi="Times New Roman" w:eastAsia="宋体"/>
      <w:sz w:val="18"/>
    </w:rPr>
  </w:style>
  <w:style w:type="character" w:styleId="31">
    <w:name w:val="Emphasis"/>
    <w:qFormat/>
    <w:uiPriority w:val="20"/>
    <w:rPr>
      <w:i/>
      <w:iCs/>
    </w:rPr>
  </w:style>
  <w:style w:type="character" w:styleId="32">
    <w:name w:val="Hyperlink"/>
    <w:qFormat/>
    <w:uiPriority w:val="99"/>
    <w:rPr>
      <w:rFonts w:ascii="宋体" w:hAnsi="Times New Roman" w:eastAsia="宋体"/>
      <w:color w:val="auto"/>
      <w:spacing w:val="0"/>
      <w:w w:val="100"/>
      <w:position w:val="0"/>
      <w:sz w:val="21"/>
      <w:u w:val="none"/>
      <w:vertAlign w:val="baseline"/>
    </w:rPr>
  </w:style>
  <w:style w:type="character" w:styleId="33">
    <w:name w:val="footnote reference"/>
    <w:semiHidden/>
    <w:qFormat/>
    <w:uiPriority w:val="0"/>
    <w:rPr>
      <w:rFonts w:ascii="宋体" w:hAnsi="宋体" w:eastAsia="宋体" w:cs="Times New Roman"/>
      <w:spacing w:val="0"/>
      <w:sz w:val="18"/>
      <w:vertAlign w:val="superscript"/>
    </w:rPr>
  </w:style>
  <w:style w:type="character" w:customStyle="1" w:styleId="34">
    <w:name w:val="标题 1 字符"/>
    <w:link w:val="2"/>
    <w:qFormat/>
    <w:uiPriority w:val="0"/>
    <w:rPr>
      <w:b/>
      <w:bCs/>
      <w:kern w:val="44"/>
      <w:sz w:val="44"/>
      <w:szCs w:val="44"/>
    </w:rPr>
  </w:style>
  <w:style w:type="character" w:customStyle="1" w:styleId="35">
    <w:name w:val="标题 2 字符"/>
    <w:link w:val="3"/>
    <w:qFormat/>
    <w:uiPriority w:val="0"/>
    <w:rPr>
      <w:rFonts w:ascii="Arial" w:hAnsi="Arial" w:eastAsia="黑体"/>
      <w:b/>
      <w:bCs/>
      <w:kern w:val="2"/>
      <w:sz w:val="32"/>
      <w:szCs w:val="32"/>
    </w:rPr>
  </w:style>
  <w:style w:type="character" w:customStyle="1" w:styleId="36">
    <w:name w:val="标题 3 字符"/>
    <w:link w:val="4"/>
    <w:qFormat/>
    <w:uiPriority w:val="0"/>
    <w:rPr>
      <w:b/>
      <w:bCs/>
      <w:kern w:val="2"/>
      <w:sz w:val="32"/>
      <w:szCs w:val="32"/>
    </w:rPr>
  </w:style>
  <w:style w:type="character" w:customStyle="1" w:styleId="37">
    <w:name w:val="标题 4 字符"/>
    <w:link w:val="5"/>
    <w:qFormat/>
    <w:uiPriority w:val="0"/>
    <w:rPr>
      <w:rFonts w:ascii="Arial" w:hAnsi="Arial" w:eastAsia="黑体"/>
      <w:b/>
      <w:bCs/>
      <w:kern w:val="2"/>
      <w:sz w:val="28"/>
      <w:szCs w:val="28"/>
    </w:rPr>
  </w:style>
  <w:style w:type="character" w:customStyle="1" w:styleId="38">
    <w:name w:val="标题 5 字符"/>
    <w:link w:val="6"/>
    <w:qFormat/>
    <w:uiPriority w:val="0"/>
    <w:rPr>
      <w:b/>
      <w:bCs/>
      <w:kern w:val="2"/>
      <w:sz w:val="28"/>
      <w:szCs w:val="28"/>
    </w:rPr>
  </w:style>
  <w:style w:type="character" w:customStyle="1" w:styleId="39">
    <w:name w:val="标题 6 字符"/>
    <w:link w:val="7"/>
    <w:qFormat/>
    <w:uiPriority w:val="0"/>
    <w:rPr>
      <w:rFonts w:ascii="Arial" w:hAnsi="Arial" w:eastAsia="黑体"/>
      <w:b/>
      <w:bCs/>
      <w:kern w:val="2"/>
      <w:sz w:val="24"/>
      <w:szCs w:val="24"/>
    </w:rPr>
  </w:style>
  <w:style w:type="character" w:customStyle="1" w:styleId="40">
    <w:name w:val="标题 7 字符"/>
    <w:link w:val="8"/>
    <w:qFormat/>
    <w:uiPriority w:val="0"/>
    <w:rPr>
      <w:b/>
      <w:bCs/>
      <w:kern w:val="2"/>
      <w:sz w:val="24"/>
      <w:szCs w:val="24"/>
    </w:rPr>
  </w:style>
  <w:style w:type="character" w:customStyle="1" w:styleId="41">
    <w:name w:val="标题 8 字符"/>
    <w:link w:val="9"/>
    <w:qFormat/>
    <w:uiPriority w:val="0"/>
    <w:rPr>
      <w:rFonts w:ascii="Arial" w:hAnsi="Arial" w:eastAsia="黑体"/>
      <w:kern w:val="2"/>
      <w:sz w:val="24"/>
      <w:szCs w:val="24"/>
    </w:rPr>
  </w:style>
  <w:style w:type="character" w:customStyle="1" w:styleId="42">
    <w:name w:val="标题 9 字符"/>
    <w:link w:val="10"/>
    <w:qFormat/>
    <w:uiPriority w:val="0"/>
    <w:rPr>
      <w:rFonts w:ascii="Arial" w:hAnsi="Arial" w:eastAsia="黑体"/>
      <w:kern w:val="2"/>
      <w:sz w:val="21"/>
      <w:szCs w:val="21"/>
    </w:rPr>
  </w:style>
  <w:style w:type="character" w:customStyle="1" w:styleId="43">
    <w:name w:val="页眉 字符"/>
    <w:link w:val="18"/>
    <w:qFormat/>
    <w:uiPriority w:val="99"/>
    <w:rPr>
      <w:kern w:val="2"/>
      <w:sz w:val="18"/>
      <w:szCs w:val="18"/>
    </w:rPr>
  </w:style>
  <w:style w:type="character" w:customStyle="1" w:styleId="44">
    <w:name w:val="页脚 字符"/>
    <w:link w:val="17"/>
    <w:qFormat/>
    <w:uiPriority w:val="99"/>
    <w:rPr>
      <w:rFonts w:ascii="宋体"/>
      <w:kern w:val="2"/>
      <w:sz w:val="18"/>
      <w:szCs w:val="18"/>
    </w:rPr>
  </w:style>
  <w:style w:type="character" w:customStyle="1" w:styleId="45">
    <w:name w:val="批注框文本 字符"/>
    <w:link w:val="16"/>
    <w:semiHidden/>
    <w:qFormat/>
    <w:uiPriority w:val="99"/>
    <w:rPr>
      <w:kern w:val="2"/>
      <w:sz w:val="18"/>
      <w:szCs w:val="18"/>
    </w:rPr>
  </w:style>
  <w:style w:type="paragraph" w:styleId="46">
    <w:name w:val="Quote"/>
    <w:basedOn w:val="1"/>
    <w:next w:val="1"/>
    <w:link w:val="47"/>
    <w:qFormat/>
    <w:uiPriority w:val="29"/>
    <w:rPr>
      <w:i/>
      <w:iCs/>
      <w:color w:val="000000"/>
    </w:rPr>
  </w:style>
  <w:style w:type="character" w:customStyle="1" w:styleId="47">
    <w:name w:val="引用 字符"/>
    <w:link w:val="46"/>
    <w:qFormat/>
    <w:uiPriority w:val="29"/>
    <w:rPr>
      <w:i/>
      <w:iCs/>
      <w:color w:val="000000"/>
      <w:kern w:val="2"/>
      <w:sz w:val="21"/>
      <w:szCs w:val="21"/>
    </w:rPr>
  </w:style>
  <w:style w:type="character" w:customStyle="1" w:styleId="48">
    <w:name w:val="标题 字符"/>
    <w:link w:val="25"/>
    <w:qFormat/>
    <w:uiPriority w:val="0"/>
    <w:rPr>
      <w:rFonts w:ascii="Arial" w:hAnsi="Arial" w:cs="Arial"/>
      <w:b/>
      <w:bCs/>
      <w:kern w:val="2"/>
      <w:sz w:val="32"/>
      <w:szCs w:val="32"/>
    </w:rPr>
  </w:style>
  <w:style w:type="paragraph" w:customStyle="1" w:styleId="49">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0">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1">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2">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3">
    <w:name w:val="标准书眉一"/>
    <w:qFormat/>
    <w:uiPriority w:val="0"/>
    <w:pPr>
      <w:jc w:val="both"/>
    </w:pPr>
    <w:rPr>
      <w:rFonts w:ascii="Times New Roman" w:hAnsi="Times New Roman" w:eastAsia="宋体" w:cs="Times New Roman"/>
      <w:lang w:val="en-US" w:eastAsia="zh-CN" w:bidi="ar-SA"/>
    </w:rPr>
  </w:style>
  <w:style w:type="paragraph" w:customStyle="1" w:styleId="54">
    <w:name w:val="标准文件_ICS"/>
    <w:basedOn w:val="1"/>
    <w:qFormat/>
    <w:uiPriority w:val="0"/>
    <w:pPr>
      <w:spacing w:line="0" w:lineRule="atLeast"/>
    </w:pPr>
    <w:rPr>
      <w:rFonts w:ascii="黑体" w:hAnsi="宋体" w:eastAsia="黑体"/>
    </w:rPr>
  </w:style>
  <w:style w:type="paragraph" w:customStyle="1" w:styleId="55">
    <w:name w:val="标准文件_标准正文"/>
    <w:basedOn w:val="1"/>
    <w:next w:val="56"/>
    <w:qFormat/>
    <w:uiPriority w:val="0"/>
    <w:pPr>
      <w:snapToGrid w:val="0"/>
      <w:ind w:firstLine="200" w:firstLineChars="200"/>
    </w:pPr>
    <w:rPr>
      <w:kern w:val="0"/>
    </w:rPr>
  </w:style>
  <w:style w:type="paragraph" w:customStyle="1" w:styleId="56">
    <w:name w:val="标准文件_段"/>
    <w:link w:val="184"/>
    <w:qFormat/>
    <w:uiPriority w:val="0"/>
    <w:pPr>
      <w:autoSpaceDE w:val="0"/>
      <w:autoSpaceDN w:val="0"/>
      <w:ind w:firstLine="200" w:firstLineChars="200"/>
      <w:jc w:val="both"/>
    </w:pPr>
    <w:rPr>
      <w:rFonts w:ascii="Times New Roman" w:hAnsi="Times New Roman" w:eastAsia="宋体" w:cs="Times New Roman"/>
      <w:sz w:val="21"/>
      <w:lang w:val="en-US" w:eastAsia="zh-CN" w:bidi="ar-SA"/>
    </w:rPr>
  </w:style>
  <w:style w:type="paragraph" w:customStyle="1" w:styleId="57">
    <w:name w:val="标准文件_版本"/>
    <w:basedOn w:val="55"/>
    <w:qFormat/>
    <w:uiPriority w:val="0"/>
    <w:pPr>
      <w:adjustRightInd/>
      <w:snapToGrid/>
      <w:ind w:firstLine="0" w:firstLineChars="0"/>
    </w:pPr>
    <w:rPr>
      <w:rFonts w:ascii="宋体" w:hAnsi="宋体"/>
      <w:kern w:val="2"/>
    </w:rPr>
  </w:style>
  <w:style w:type="paragraph" w:customStyle="1" w:styleId="58">
    <w:name w:val="标准文件_标准部门"/>
    <w:basedOn w:val="1"/>
    <w:qFormat/>
    <w:uiPriority w:val="0"/>
    <w:pPr>
      <w:jc w:val="center"/>
    </w:pPr>
    <w:rPr>
      <w:rFonts w:ascii="黑体" w:eastAsia="黑体"/>
      <w:kern w:val="0"/>
      <w:sz w:val="44"/>
    </w:rPr>
  </w:style>
  <w:style w:type="paragraph" w:customStyle="1" w:styleId="59">
    <w:name w:val="标准文件_标准代替"/>
    <w:basedOn w:val="1"/>
    <w:next w:val="1"/>
    <w:qFormat/>
    <w:uiPriority w:val="0"/>
    <w:pPr>
      <w:spacing w:line="310" w:lineRule="exact"/>
      <w:jc w:val="right"/>
    </w:pPr>
    <w:rPr>
      <w:rFonts w:ascii="宋体" w:hAnsi="宋体"/>
      <w:kern w:val="0"/>
    </w:rPr>
  </w:style>
  <w:style w:type="paragraph" w:customStyle="1" w:styleId="60">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1">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2">
    <w:name w:val="标准文件_页眉偶数页"/>
    <w:basedOn w:val="61"/>
    <w:next w:val="1"/>
    <w:qFormat/>
    <w:uiPriority w:val="0"/>
    <w:pPr>
      <w:jc w:val="left"/>
    </w:pPr>
  </w:style>
  <w:style w:type="paragraph" w:customStyle="1" w:styleId="63">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4">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5">
    <w:name w:val="标准文件_二级条标题"/>
    <w:next w:val="56"/>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6">
    <w:name w:val="标准文件_发布"/>
    <w:qFormat/>
    <w:uiPriority w:val="0"/>
    <w:rPr>
      <w:rFonts w:ascii="黑体" w:eastAsia="黑体"/>
      <w:spacing w:val="0"/>
      <w:w w:val="100"/>
      <w:position w:val="3"/>
      <w:sz w:val="28"/>
    </w:rPr>
  </w:style>
  <w:style w:type="paragraph" w:customStyle="1" w:styleId="67">
    <w:name w:val="标准文件_方框数字列项"/>
    <w:basedOn w:val="56"/>
    <w:qFormat/>
    <w:uiPriority w:val="0"/>
    <w:pPr>
      <w:numPr>
        <w:ilvl w:val="0"/>
        <w:numId w:val="3"/>
      </w:numPr>
      <w:ind w:firstLine="0" w:firstLineChars="0"/>
    </w:pPr>
  </w:style>
  <w:style w:type="paragraph" w:customStyle="1" w:styleId="68">
    <w:name w:val="标准文件_封面标准编号"/>
    <w:basedOn w:val="1"/>
    <w:next w:val="59"/>
    <w:qFormat/>
    <w:uiPriority w:val="0"/>
    <w:pPr>
      <w:spacing w:line="310" w:lineRule="exact"/>
      <w:jc w:val="right"/>
    </w:pPr>
    <w:rPr>
      <w:rFonts w:ascii="黑体" w:eastAsia="黑体"/>
      <w:kern w:val="0"/>
      <w:sz w:val="28"/>
    </w:rPr>
  </w:style>
  <w:style w:type="paragraph" w:customStyle="1" w:styleId="69">
    <w:name w:val="标准文件_封面标准分类号"/>
    <w:basedOn w:val="1"/>
    <w:qFormat/>
    <w:uiPriority w:val="0"/>
    <w:rPr>
      <w:rFonts w:ascii="黑体" w:eastAsia="黑体"/>
      <w:b/>
      <w:kern w:val="0"/>
      <w:sz w:val="28"/>
    </w:rPr>
  </w:style>
  <w:style w:type="paragraph" w:customStyle="1" w:styleId="70">
    <w:name w:val="标准文件_封面标准名称"/>
    <w:basedOn w:val="1"/>
    <w:qFormat/>
    <w:uiPriority w:val="0"/>
    <w:pPr>
      <w:spacing w:line="240" w:lineRule="auto"/>
      <w:jc w:val="center"/>
    </w:pPr>
    <w:rPr>
      <w:rFonts w:ascii="黑体" w:eastAsia="黑体"/>
      <w:kern w:val="0"/>
      <w:sz w:val="52"/>
    </w:rPr>
  </w:style>
  <w:style w:type="paragraph" w:customStyle="1" w:styleId="71">
    <w:name w:val="标准文件_封面标准英文名称"/>
    <w:basedOn w:val="1"/>
    <w:qFormat/>
    <w:uiPriority w:val="0"/>
    <w:pPr>
      <w:spacing w:line="240" w:lineRule="auto"/>
      <w:jc w:val="center"/>
    </w:pPr>
    <w:rPr>
      <w:rFonts w:ascii="黑体" w:eastAsia="黑体"/>
      <w:b/>
      <w:sz w:val="28"/>
    </w:rPr>
  </w:style>
  <w:style w:type="paragraph" w:customStyle="1" w:styleId="72">
    <w:name w:val="标准文件_封面发布日期"/>
    <w:basedOn w:val="1"/>
    <w:qFormat/>
    <w:uiPriority w:val="0"/>
    <w:pPr>
      <w:spacing w:line="310" w:lineRule="exact"/>
    </w:pPr>
    <w:rPr>
      <w:rFonts w:ascii="黑体" w:eastAsia="黑体"/>
      <w:kern w:val="0"/>
      <w:sz w:val="28"/>
    </w:rPr>
  </w:style>
  <w:style w:type="paragraph" w:customStyle="1" w:styleId="73">
    <w:name w:val="标准文件_封面密级"/>
    <w:basedOn w:val="1"/>
    <w:qFormat/>
    <w:uiPriority w:val="0"/>
    <w:rPr>
      <w:rFonts w:eastAsia="黑体"/>
      <w:sz w:val="32"/>
    </w:rPr>
  </w:style>
  <w:style w:type="paragraph" w:customStyle="1" w:styleId="74">
    <w:name w:val="标准文件_封面实施日期"/>
    <w:basedOn w:val="1"/>
    <w:qFormat/>
    <w:uiPriority w:val="0"/>
    <w:pPr>
      <w:spacing w:line="310" w:lineRule="exact"/>
      <w:jc w:val="right"/>
    </w:pPr>
    <w:rPr>
      <w:rFonts w:ascii="黑体" w:eastAsia="黑体"/>
      <w:sz w:val="28"/>
    </w:rPr>
  </w:style>
  <w:style w:type="paragraph" w:customStyle="1" w:styleId="75">
    <w:name w:val="标准文件_封面抬头"/>
    <w:basedOn w:val="56"/>
    <w:qFormat/>
    <w:uiPriority w:val="0"/>
    <w:pPr>
      <w:adjustRightInd w:val="0"/>
      <w:spacing w:line="800" w:lineRule="exact"/>
      <w:ind w:firstLine="0" w:firstLineChars="0"/>
      <w:jc w:val="distribute"/>
    </w:pPr>
    <w:rPr>
      <w:rFonts w:ascii="黑体" w:eastAsia="黑体"/>
      <w:b/>
      <w:sz w:val="64"/>
    </w:rPr>
  </w:style>
  <w:style w:type="paragraph" w:customStyle="1" w:styleId="76">
    <w:name w:val="标准文件_附录标识"/>
    <w:next w:val="56"/>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77">
    <w:name w:val="标准文件_附录表标题"/>
    <w:next w:val="56"/>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78">
    <w:name w:val="标准文件_附录一级条标题"/>
    <w:next w:val="56"/>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79">
    <w:name w:val="标准文件_附录二级条标题"/>
    <w:basedOn w:val="78"/>
    <w:next w:val="56"/>
    <w:qFormat/>
    <w:uiPriority w:val="0"/>
    <w:pPr>
      <w:widowControl/>
      <w:numPr>
        <w:ilvl w:val="2"/>
      </w:numPr>
      <w:wordWrap w:val="0"/>
      <w:overflowPunct w:val="0"/>
      <w:autoSpaceDE w:val="0"/>
      <w:autoSpaceDN w:val="0"/>
      <w:textAlignment w:val="baseline"/>
      <w:outlineLvl w:val="3"/>
    </w:pPr>
  </w:style>
  <w:style w:type="paragraph" w:customStyle="1" w:styleId="80">
    <w:name w:val="标准文件_附录公式"/>
    <w:basedOn w:val="55"/>
    <w:next w:val="55"/>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1">
    <w:name w:val="标准文件_附录三级条标题"/>
    <w:next w:val="56"/>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2">
    <w:name w:val="标准文件_附录四级条标题"/>
    <w:next w:val="56"/>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3">
    <w:name w:val="标准文件_附录图标题"/>
    <w:next w:val="56"/>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4">
    <w:name w:val="标准文件_附录五级条标题"/>
    <w:next w:val="56"/>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5">
    <w:name w:val="标准文件_附录英文标识"/>
    <w:next w:val="13"/>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6">
    <w:name w:val="正文文本 字符"/>
    <w:link w:val="13"/>
    <w:qFormat/>
    <w:uiPriority w:val="0"/>
    <w:rPr>
      <w:kern w:val="2"/>
      <w:sz w:val="21"/>
      <w:szCs w:val="21"/>
    </w:rPr>
  </w:style>
  <w:style w:type="paragraph" w:customStyle="1" w:styleId="87">
    <w:name w:val="标准文件_附录章标题"/>
    <w:next w:val="56"/>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8">
    <w:name w:val="标准文件_公式后的破折号"/>
    <w:basedOn w:val="56"/>
    <w:next w:val="56"/>
    <w:qFormat/>
    <w:uiPriority w:val="0"/>
    <w:pPr>
      <w:ind w:left="488" w:leftChars="200" w:hanging="289" w:hangingChars="290"/>
    </w:pPr>
  </w:style>
  <w:style w:type="paragraph" w:customStyle="1" w:styleId="89">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0">
    <w:name w:val="标准文件_目次、标准名称标题"/>
    <w:basedOn w:val="89"/>
    <w:next w:val="56"/>
    <w:qFormat/>
    <w:uiPriority w:val="0"/>
    <w:pPr>
      <w:spacing w:line="460" w:lineRule="exact"/>
      <w:ind w:left="0" w:firstLine="0"/>
    </w:pPr>
  </w:style>
  <w:style w:type="paragraph" w:customStyle="1" w:styleId="91">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2">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3">
    <w:name w:val="标准文件_破折号列项（二级）"/>
    <w:basedOn w:val="92"/>
    <w:qFormat/>
    <w:uiPriority w:val="0"/>
    <w:pPr>
      <w:numPr>
        <w:numId w:val="10"/>
      </w:numPr>
    </w:pPr>
  </w:style>
  <w:style w:type="paragraph" w:customStyle="1" w:styleId="94">
    <w:name w:val="标准文件_三级条标题"/>
    <w:basedOn w:val="65"/>
    <w:next w:val="56"/>
    <w:qFormat/>
    <w:uiPriority w:val="0"/>
    <w:pPr>
      <w:widowControl/>
      <w:numPr>
        <w:ilvl w:val="4"/>
      </w:numPr>
      <w:outlineLvl w:val="3"/>
    </w:pPr>
  </w:style>
  <w:style w:type="character" w:customStyle="1" w:styleId="95">
    <w:name w:val="不明显参考1"/>
    <w:qFormat/>
    <w:uiPriority w:val="31"/>
    <w:rPr>
      <w:smallCaps/>
      <w:color w:val="C0504D"/>
      <w:u w:val="single"/>
    </w:rPr>
  </w:style>
  <w:style w:type="paragraph" w:customStyle="1" w:styleId="96">
    <w:name w:val="标准文件_示例后续"/>
    <w:basedOn w:val="1"/>
    <w:qFormat/>
    <w:uiPriority w:val="0"/>
    <w:pPr>
      <w:adjustRightInd/>
      <w:spacing w:line="240" w:lineRule="auto"/>
      <w:ind w:firstLine="200" w:firstLineChars="200"/>
    </w:pPr>
    <w:rPr>
      <w:sz w:val="18"/>
      <w:szCs w:val="24"/>
    </w:rPr>
  </w:style>
  <w:style w:type="paragraph" w:customStyle="1" w:styleId="97">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98">
    <w:name w:val="标准文件_四级条标题"/>
    <w:next w:val="56"/>
    <w:qFormat/>
    <w:uiPriority w:val="0"/>
    <w:pPr>
      <w:widowControl w:val="0"/>
      <w:numPr>
        <w:ilvl w:val="5"/>
        <w:numId w:val="2"/>
      </w:numPr>
      <w:spacing w:before="50" w:beforeLines="50" w:after="50" w:afterLines="50"/>
      <w:ind w:left="0"/>
      <w:jc w:val="both"/>
      <w:outlineLvl w:val="4"/>
    </w:pPr>
    <w:rPr>
      <w:rFonts w:ascii="黑体" w:hAnsi="Times New Roman" w:eastAsia="黑体" w:cs="Times New Roman"/>
      <w:sz w:val="21"/>
      <w:lang w:val="en-US" w:eastAsia="zh-CN" w:bidi="ar-SA"/>
    </w:rPr>
  </w:style>
  <w:style w:type="character" w:customStyle="1" w:styleId="99">
    <w:name w:val="脚注文本 字符"/>
    <w:link w:val="21"/>
    <w:semiHidden/>
    <w:qFormat/>
    <w:uiPriority w:val="0"/>
    <w:rPr>
      <w:rFonts w:ascii="宋体"/>
      <w:kern w:val="2"/>
      <w:sz w:val="18"/>
      <w:szCs w:val="18"/>
    </w:rPr>
  </w:style>
  <w:style w:type="paragraph" w:customStyle="1" w:styleId="100">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101">
    <w:name w:val="标准文件_图表脚注"/>
    <w:basedOn w:val="1"/>
    <w:next w:val="56"/>
    <w:qFormat/>
    <w:uiPriority w:val="0"/>
    <w:pPr>
      <w:numPr>
        <w:ilvl w:val="0"/>
        <w:numId w:val="12"/>
      </w:numPr>
      <w:spacing w:line="240" w:lineRule="auto"/>
      <w:jc w:val="left"/>
    </w:pPr>
    <w:rPr>
      <w:rFonts w:ascii="宋体" w:hAnsi="宋体"/>
      <w:sz w:val="18"/>
    </w:rPr>
  </w:style>
  <w:style w:type="character" w:customStyle="1" w:styleId="102">
    <w:name w:val="标准文件_图表脚注内容"/>
    <w:qFormat/>
    <w:uiPriority w:val="0"/>
    <w:rPr>
      <w:rFonts w:ascii="宋体" w:hAnsi="宋体" w:eastAsia="宋体" w:cs="Times New Roman"/>
      <w:spacing w:val="0"/>
      <w:sz w:val="18"/>
      <w:vertAlign w:val="superscript"/>
    </w:rPr>
  </w:style>
  <w:style w:type="paragraph" w:customStyle="1" w:styleId="103">
    <w:name w:val="标准文件_五级条标题"/>
    <w:next w:val="56"/>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4">
    <w:name w:val="标准文件_章标题"/>
    <w:next w:val="56"/>
    <w:qFormat/>
    <w:uiPriority w:val="0"/>
    <w:pPr>
      <w:numPr>
        <w:ilvl w:val="1"/>
        <w:numId w:val="2"/>
      </w:numPr>
      <w:spacing w:before="100" w:beforeLines="100" w:after="100" w:afterLines="100"/>
      <w:ind w:left="0"/>
      <w:jc w:val="both"/>
      <w:outlineLvl w:val="0"/>
    </w:pPr>
    <w:rPr>
      <w:rFonts w:ascii="黑体" w:hAnsi="Times New Roman" w:eastAsia="黑体" w:cs="Times New Roman"/>
      <w:sz w:val="21"/>
      <w:lang w:val="en-US" w:eastAsia="zh-CN" w:bidi="ar-SA"/>
    </w:rPr>
  </w:style>
  <w:style w:type="paragraph" w:customStyle="1" w:styleId="105">
    <w:name w:val="标准文件_一级条标题"/>
    <w:basedOn w:val="104"/>
    <w:next w:val="56"/>
    <w:qFormat/>
    <w:uiPriority w:val="0"/>
    <w:pPr>
      <w:numPr>
        <w:ilvl w:val="2"/>
      </w:numPr>
      <w:spacing w:before="50" w:beforeLines="50" w:after="50" w:afterLines="50"/>
      <w:outlineLvl w:val="1"/>
    </w:pPr>
  </w:style>
  <w:style w:type="paragraph" w:customStyle="1" w:styleId="106">
    <w:name w:val="标准文件_一致程度"/>
    <w:basedOn w:val="1"/>
    <w:qFormat/>
    <w:uiPriority w:val="0"/>
    <w:pPr>
      <w:spacing w:line="440" w:lineRule="exact"/>
      <w:jc w:val="center"/>
    </w:pPr>
    <w:rPr>
      <w:sz w:val="28"/>
    </w:rPr>
  </w:style>
  <w:style w:type="paragraph" w:customStyle="1" w:styleId="107">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8">
    <w:name w:val="标准文件_英文图表脚注"/>
    <w:basedOn w:val="55"/>
    <w:qFormat/>
    <w:uiPriority w:val="0"/>
    <w:pPr>
      <w:widowControl/>
      <w:adjustRightInd/>
      <w:snapToGrid/>
      <w:spacing w:line="240" w:lineRule="auto"/>
      <w:ind w:left="79" w:hanging="79" w:hangingChars="80"/>
    </w:pPr>
    <w:rPr>
      <w:rFonts w:ascii="宋体" w:hAnsi="宋体"/>
    </w:rPr>
  </w:style>
  <w:style w:type="paragraph" w:customStyle="1" w:styleId="109">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0">
    <w:name w:val="标准文件_英文注："/>
    <w:basedOn w:val="1"/>
    <w:next w:val="56"/>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1">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2">
    <w:name w:val="标准文件_正文表标题"/>
    <w:next w:val="56"/>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3">
    <w:name w:val="标准文件_正文公式"/>
    <w:basedOn w:val="1"/>
    <w:next w:val="55"/>
    <w:qFormat/>
    <w:uiPriority w:val="0"/>
    <w:pPr>
      <w:tabs>
        <w:tab w:val="center" w:pos="4678"/>
        <w:tab w:val="right" w:leader="middleDot" w:pos="9356"/>
      </w:tabs>
      <w:spacing w:line="240" w:lineRule="auto"/>
    </w:pPr>
    <w:rPr>
      <w:rFonts w:ascii="宋体" w:hAnsi="宋体"/>
    </w:rPr>
  </w:style>
  <w:style w:type="paragraph" w:customStyle="1" w:styleId="114">
    <w:name w:val="标准文件_正文图标题"/>
    <w:next w:val="56"/>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5">
    <w:name w:val="标准文件_正文英文表标题"/>
    <w:next w:val="56"/>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6">
    <w:name w:val="标准文件_正文英文图标题"/>
    <w:next w:val="56"/>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7">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18">
    <w:name w:val="二级无标题条"/>
    <w:basedOn w:val="1"/>
    <w:qFormat/>
    <w:uiPriority w:val="0"/>
    <w:pPr>
      <w:numPr>
        <w:ilvl w:val="3"/>
        <w:numId w:val="20"/>
      </w:numPr>
      <w:adjustRightInd/>
      <w:spacing w:line="240" w:lineRule="auto"/>
    </w:pPr>
    <w:rPr>
      <w:rFonts w:ascii="宋体" w:hAnsi="宋体"/>
      <w:szCs w:val="24"/>
    </w:rPr>
  </w:style>
  <w:style w:type="paragraph" w:customStyle="1" w:styleId="119">
    <w:name w:val="发布部门"/>
    <w:next w:val="56"/>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0">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1">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2">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3">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4">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5">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6">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7">
    <w:name w:val="封面正文"/>
    <w:qFormat/>
    <w:uiPriority w:val="0"/>
    <w:pPr>
      <w:jc w:val="both"/>
    </w:pPr>
    <w:rPr>
      <w:rFonts w:ascii="Times New Roman" w:hAnsi="Times New Roman" w:eastAsia="宋体" w:cs="Times New Roman"/>
      <w:lang w:val="en-US" w:eastAsia="zh-CN" w:bidi="ar-SA"/>
    </w:rPr>
  </w:style>
  <w:style w:type="paragraph" w:customStyle="1" w:styleId="128">
    <w:name w:val="附录二级无标题条"/>
    <w:basedOn w:val="1"/>
    <w:next w:val="56"/>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29">
    <w:name w:val="附录三级无标题条"/>
    <w:basedOn w:val="128"/>
    <w:next w:val="56"/>
    <w:qFormat/>
    <w:uiPriority w:val="0"/>
    <w:pPr>
      <w:outlineLvl w:val="4"/>
    </w:pPr>
  </w:style>
  <w:style w:type="paragraph" w:customStyle="1" w:styleId="130">
    <w:name w:val="附录四级无标题条"/>
    <w:basedOn w:val="129"/>
    <w:next w:val="56"/>
    <w:qFormat/>
    <w:uiPriority w:val="0"/>
    <w:pPr>
      <w:outlineLvl w:val="5"/>
    </w:pPr>
  </w:style>
  <w:style w:type="paragraph" w:customStyle="1" w:styleId="131">
    <w:name w:val="附录图"/>
    <w:next w:val="56"/>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2">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3">
    <w:name w:val="附录五级无标题条"/>
    <w:basedOn w:val="130"/>
    <w:next w:val="56"/>
    <w:qFormat/>
    <w:uiPriority w:val="0"/>
    <w:pPr>
      <w:outlineLvl w:val="6"/>
    </w:pPr>
  </w:style>
  <w:style w:type="paragraph" w:customStyle="1" w:styleId="134">
    <w:name w:val="附录性质"/>
    <w:basedOn w:val="1"/>
    <w:qFormat/>
    <w:uiPriority w:val="0"/>
    <w:pPr>
      <w:widowControl/>
      <w:adjustRightInd/>
      <w:jc w:val="center"/>
    </w:pPr>
    <w:rPr>
      <w:rFonts w:ascii="黑体" w:eastAsia="黑体"/>
    </w:rPr>
  </w:style>
  <w:style w:type="paragraph" w:customStyle="1" w:styleId="135">
    <w:name w:val="附录一级无标题条"/>
    <w:basedOn w:val="87"/>
    <w:next w:val="56"/>
    <w:qFormat/>
    <w:uiPriority w:val="0"/>
    <w:pPr>
      <w:autoSpaceDN w:val="0"/>
      <w:outlineLvl w:val="2"/>
    </w:pPr>
    <w:rPr>
      <w:rFonts w:ascii="宋体" w:hAnsi="宋体" w:eastAsia="宋体"/>
    </w:rPr>
  </w:style>
  <w:style w:type="character" w:customStyle="1" w:styleId="136">
    <w:name w:val="个人答复风格"/>
    <w:qFormat/>
    <w:uiPriority w:val="0"/>
    <w:rPr>
      <w:rFonts w:ascii="Arial" w:hAnsi="Arial" w:eastAsia="宋体" w:cs="Arial"/>
      <w:color w:val="auto"/>
      <w:spacing w:val="0"/>
      <w:sz w:val="20"/>
    </w:rPr>
  </w:style>
  <w:style w:type="character" w:customStyle="1" w:styleId="137">
    <w:name w:val="个人撰写风格"/>
    <w:qFormat/>
    <w:uiPriority w:val="0"/>
    <w:rPr>
      <w:rFonts w:ascii="Arial" w:hAnsi="Arial" w:eastAsia="宋体" w:cs="Arial"/>
      <w:color w:val="auto"/>
      <w:spacing w:val="0"/>
      <w:sz w:val="20"/>
    </w:rPr>
  </w:style>
  <w:style w:type="paragraph" w:customStyle="1" w:styleId="138">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39">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0">
    <w:name w:val="列项·"/>
    <w:basedOn w:val="56"/>
    <w:qFormat/>
    <w:uiPriority w:val="0"/>
    <w:pPr>
      <w:tabs>
        <w:tab w:val="left" w:pos="840"/>
      </w:tabs>
    </w:pPr>
  </w:style>
  <w:style w:type="paragraph" w:customStyle="1" w:styleId="141">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2">
    <w:name w:val="目录 21"/>
    <w:basedOn w:val="1"/>
    <w:next w:val="1"/>
    <w:autoRedefine/>
    <w:semiHidden/>
    <w:qFormat/>
    <w:uiPriority w:val="0"/>
    <w:pPr>
      <w:adjustRightInd/>
      <w:spacing w:line="240" w:lineRule="auto"/>
      <w:jc w:val="left"/>
    </w:pPr>
    <w:rPr>
      <w:bCs/>
      <w:iCs/>
    </w:rPr>
  </w:style>
  <w:style w:type="paragraph" w:customStyle="1" w:styleId="143">
    <w:name w:val="目录 31"/>
    <w:basedOn w:val="1"/>
    <w:next w:val="1"/>
    <w:autoRedefine/>
    <w:semiHidden/>
    <w:qFormat/>
    <w:uiPriority w:val="0"/>
    <w:pPr>
      <w:spacing w:line="240" w:lineRule="auto"/>
    </w:pPr>
    <w:rPr>
      <w:rFonts w:ascii="宋体" w:hAnsi="宋体"/>
      <w:iCs/>
    </w:rPr>
  </w:style>
  <w:style w:type="paragraph" w:customStyle="1" w:styleId="144">
    <w:name w:val="目录 41"/>
    <w:basedOn w:val="1"/>
    <w:next w:val="1"/>
    <w:autoRedefine/>
    <w:semiHidden/>
    <w:qFormat/>
    <w:uiPriority w:val="0"/>
    <w:pPr>
      <w:adjustRightInd/>
      <w:spacing w:line="240" w:lineRule="auto"/>
      <w:jc w:val="left"/>
    </w:pPr>
  </w:style>
  <w:style w:type="paragraph" w:customStyle="1" w:styleId="145">
    <w:name w:val="目录 51"/>
    <w:basedOn w:val="1"/>
    <w:next w:val="1"/>
    <w:autoRedefine/>
    <w:semiHidden/>
    <w:qFormat/>
    <w:uiPriority w:val="0"/>
    <w:pPr>
      <w:spacing w:line="240" w:lineRule="auto"/>
    </w:pPr>
    <w:rPr>
      <w:rFonts w:ascii="宋体" w:hAnsi="宋体"/>
    </w:rPr>
  </w:style>
  <w:style w:type="paragraph" w:customStyle="1" w:styleId="146">
    <w:name w:val="目录 61"/>
    <w:basedOn w:val="1"/>
    <w:next w:val="1"/>
    <w:autoRedefine/>
    <w:semiHidden/>
    <w:qFormat/>
    <w:uiPriority w:val="0"/>
    <w:pPr>
      <w:adjustRightInd/>
      <w:spacing w:line="240" w:lineRule="auto"/>
      <w:jc w:val="left"/>
    </w:pPr>
  </w:style>
  <w:style w:type="paragraph" w:customStyle="1" w:styleId="147">
    <w:name w:val="目录 71"/>
    <w:basedOn w:val="146"/>
    <w:autoRedefine/>
    <w:semiHidden/>
    <w:qFormat/>
    <w:uiPriority w:val="0"/>
    <w:pPr>
      <w:ind w:left="1260"/>
    </w:pPr>
  </w:style>
  <w:style w:type="paragraph" w:customStyle="1" w:styleId="148">
    <w:name w:val="目录 81"/>
    <w:basedOn w:val="147"/>
    <w:autoRedefine/>
    <w:semiHidden/>
    <w:qFormat/>
    <w:uiPriority w:val="0"/>
    <w:pPr>
      <w:ind w:left="1470"/>
    </w:pPr>
  </w:style>
  <w:style w:type="paragraph" w:customStyle="1" w:styleId="149">
    <w:name w:val="目录 91"/>
    <w:basedOn w:val="148"/>
    <w:autoRedefine/>
    <w:semiHidden/>
    <w:qFormat/>
    <w:uiPriority w:val="0"/>
    <w:pPr>
      <w:ind w:left="1680"/>
    </w:pPr>
  </w:style>
  <w:style w:type="paragraph" w:customStyle="1" w:styleId="150">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1">
    <w:name w:val="其他发布部门"/>
    <w:basedOn w:val="119"/>
    <w:qFormat/>
    <w:uiPriority w:val="0"/>
    <w:pPr>
      <w:framePr w:wrap="around"/>
      <w:spacing w:line="0" w:lineRule="atLeast"/>
    </w:pPr>
    <w:rPr>
      <w:rFonts w:ascii="黑体" w:eastAsia="黑体"/>
      <w:b w:val="0"/>
    </w:rPr>
  </w:style>
  <w:style w:type="paragraph" w:customStyle="1" w:styleId="152">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3">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4">
    <w:name w:val="实施日期"/>
    <w:basedOn w:val="120"/>
    <w:qFormat/>
    <w:uiPriority w:val="0"/>
    <w:pPr>
      <w:framePr w:hSpace="0" w:wrap="around" w:xAlign="right"/>
      <w:jc w:val="right"/>
    </w:pPr>
  </w:style>
  <w:style w:type="paragraph" w:customStyle="1" w:styleId="155">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6">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7">
    <w:name w:val="无标题条"/>
    <w:next w:val="56"/>
    <w:qFormat/>
    <w:uiPriority w:val="0"/>
    <w:pPr>
      <w:jc w:val="both"/>
    </w:pPr>
    <w:rPr>
      <w:rFonts w:ascii="宋体" w:hAnsi="宋体" w:eastAsia="宋体" w:cs="Times New Roman"/>
      <w:sz w:val="21"/>
      <w:lang w:val="en-US" w:eastAsia="zh-CN" w:bidi="ar-SA"/>
    </w:rPr>
  </w:style>
  <w:style w:type="paragraph" w:customStyle="1" w:styleId="158">
    <w:name w:val="五级无标题条"/>
    <w:basedOn w:val="1"/>
    <w:qFormat/>
    <w:uiPriority w:val="0"/>
    <w:pPr>
      <w:numPr>
        <w:ilvl w:val="6"/>
        <w:numId w:val="20"/>
      </w:numPr>
      <w:adjustRightInd/>
    </w:pPr>
    <w:rPr>
      <w:szCs w:val="24"/>
    </w:rPr>
  </w:style>
  <w:style w:type="paragraph" w:customStyle="1" w:styleId="159">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0">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1">
    <w:name w:val="注×:后续"/>
    <w:basedOn w:val="160"/>
    <w:qFormat/>
    <w:uiPriority w:val="0"/>
    <w:pPr>
      <w:ind w:left="1406" w:leftChars="0" w:hanging="499" w:firstLineChars="0"/>
    </w:pPr>
  </w:style>
  <w:style w:type="paragraph" w:customStyle="1" w:styleId="162">
    <w:name w:val="标准文件_一级无标题"/>
    <w:basedOn w:val="105"/>
    <w:qFormat/>
    <w:uiPriority w:val="0"/>
    <w:pPr>
      <w:spacing w:before="0" w:beforeLines="0" w:after="0" w:afterLines="0"/>
      <w:outlineLvl w:val="9"/>
    </w:pPr>
    <w:rPr>
      <w:rFonts w:ascii="宋体" w:eastAsia="宋体"/>
    </w:rPr>
  </w:style>
  <w:style w:type="paragraph" w:customStyle="1" w:styleId="163">
    <w:name w:val="标准文件_五级无标题"/>
    <w:basedOn w:val="103"/>
    <w:qFormat/>
    <w:uiPriority w:val="0"/>
    <w:pPr>
      <w:spacing w:before="0" w:beforeLines="0" w:after="0" w:afterLines="0"/>
      <w:outlineLvl w:val="9"/>
    </w:pPr>
    <w:rPr>
      <w:rFonts w:ascii="宋体" w:eastAsia="宋体"/>
    </w:rPr>
  </w:style>
  <w:style w:type="paragraph" w:customStyle="1" w:styleId="164">
    <w:name w:val="标准文件_三级无标题"/>
    <w:basedOn w:val="94"/>
    <w:qFormat/>
    <w:uiPriority w:val="0"/>
    <w:pPr>
      <w:spacing w:before="0" w:beforeLines="0" w:after="0" w:afterLines="0"/>
      <w:outlineLvl w:val="9"/>
    </w:pPr>
    <w:rPr>
      <w:rFonts w:ascii="宋体" w:eastAsia="宋体"/>
    </w:rPr>
  </w:style>
  <w:style w:type="paragraph" w:customStyle="1" w:styleId="165">
    <w:name w:val="标准文件_二级无标题"/>
    <w:basedOn w:val="65"/>
    <w:qFormat/>
    <w:uiPriority w:val="0"/>
    <w:pPr>
      <w:spacing w:before="0" w:beforeLines="0" w:after="0" w:afterLines="0"/>
      <w:outlineLvl w:val="9"/>
    </w:pPr>
    <w:rPr>
      <w:rFonts w:ascii="宋体" w:eastAsia="宋体"/>
    </w:rPr>
  </w:style>
  <w:style w:type="paragraph" w:customStyle="1" w:styleId="166">
    <w:name w:val="标准_四级无标题"/>
    <w:basedOn w:val="98"/>
    <w:next w:val="56"/>
    <w:qFormat/>
    <w:uiPriority w:val="0"/>
    <w:rPr>
      <w:rFonts w:eastAsia="宋体"/>
    </w:rPr>
  </w:style>
  <w:style w:type="paragraph" w:customStyle="1" w:styleId="167">
    <w:name w:val="标准文件_四级无标题"/>
    <w:basedOn w:val="98"/>
    <w:qFormat/>
    <w:uiPriority w:val="0"/>
    <w:pPr>
      <w:spacing w:before="0" w:beforeLines="0" w:after="0" w:afterLines="0"/>
      <w:outlineLvl w:val="9"/>
    </w:pPr>
    <w:rPr>
      <w:rFonts w:ascii="宋体" w:hAnsi="黑体" w:eastAsia="宋体"/>
      <w:szCs w:val="52"/>
    </w:rPr>
  </w:style>
  <w:style w:type="paragraph" w:customStyle="1" w:styleId="168">
    <w:name w:val="标准文件_大写罗马数字编号列项"/>
    <w:basedOn w:val="56"/>
    <w:qFormat/>
    <w:uiPriority w:val="0"/>
    <w:pPr>
      <w:numPr>
        <w:ilvl w:val="0"/>
        <w:numId w:val="23"/>
      </w:numPr>
      <w:ind w:firstLine="0" w:firstLineChars="0"/>
    </w:pPr>
    <w:rPr>
      <w:rFonts w:cs="Arial"/>
      <w:szCs w:val="28"/>
    </w:rPr>
  </w:style>
  <w:style w:type="paragraph" w:customStyle="1" w:styleId="169">
    <w:name w:val="标准文件_小写罗马数字编号列项"/>
    <w:basedOn w:val="56"/>
    <w:qFormat/>
    <w:uiPriority w:val="0"/>
    <w:pPr>
      <w:numPr>
        <w:ilvl w:val="0"/>
        <w:numId w:val="24"/>
      </w:numPr>
      <w:ind w:firstLine="0" w:firstLineChars="0"/>
    </w:pPr>
    <w:rPr>
      <w:rFonts w:cs="Arial"/>
      <w:szCs w:val="28"/>
    </w:rPr>
  </w:style>
  <w:style w:type="paragraph" w:customStyle="1" w:styleId="170">
    <w:name w:val="标准文件_附录标题"/>
    <w:basedOn w:val="76"/>
    <w:qFormat/>
    <w:uiPriority w:val="0"/>
    <w:pPr>
      <w:numPr>
        <w:numId w:val="0"/>
      </w:numPr>
      <w:spacing w:after="280"/>
      <w:outlineLvl w:val="9"/>
    </w:pPr>
  </w:style>
  <w:style w:type="paragraph" w:customStyle="1" w:styleId="171">
    <w:name w:val="标准文件_二级项"/>
    <w:qFormat/>
    <w:uiPriority w:val="0"/>
    <w:rPr>
      <w:rFonts w:ascii="宋体" w:hAnsi="Times New Roman" w:eastAsia="宋体" w:cs="Times New Roman"/>
      <w:sz w:val="21"/>
      <w:lang w:val="en-US" w:eastAsia="zh-CN" w:bidi="ar-SA"/>
    </w:rPr>
  </w:style>
  <w:style w:type="paragraph" w:customStyle="1" w:styleId="172">
    <w:name w:val="标准文件_三级项"/>
    <w:basedOn w:val="1"/>
    <w:qFormat/>
    <w:uiPriority w:val="0"/>
    <w:pPr>
      <w:numPr>
        <w:ilvl w:val="2"/>
        <w:numId w:val="21"/>
      </w:numPr>
      <w:spacing w:line="536870612" w:lineRule="auto"/>
    </w:pPr>
    <w:rPr>
      <w:rFonts w:ascii="Times New Roman" w:hAnsi="Times New Roman"/>
    </w:rPr>
  </w:style>
  <w:style w:type="paragraph" w:customStyle="1" w:styleId="173">
    <w:name w:val="图表脚注说明"/>
    <w:basedOn w:val="1"/>
    <w:next w:val="56"/>
    <w:qFormat/>
    <w:uiPriority w:val="0"/>
    <w:pPr>
      <w:numPr>
        <w:ilvl w:val="0"/>
        <w:numId w:val="25"/>
      </w:numPr>
      <w:adjustRightInd/>
      <w:spacing w:line="240" w:lineRule="auto"/>
    </w:pPr>
    <w:rPr>
      <w:rFonts w:ascii="宋体" w:hAnsi="Times New Roman"/>
      <w:sz w:val="18"/>
      <w:szCs w:val="18"/>
    </w:rPr>
  </w:style>
  <w:style w:type="paragraph" w:customStyle="1" w:styleId="174">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5">
    <w:name w:val="标准文件_索引字母"/>
    <w:next w:val="56"/>
    <w:qFormat/>
    <w:uiPriority w:val="0"/>
    <w:pPr>
      <w:jc w:val="center"/>
    </w:pPr>
    <w:rPr>
      <w:rFonts w:ascii="宋体" w:hAnsi="宋体" w:eastAsia="Times New Roman" w:cs="Times New Roman"/>
      <w:b/>
      <w:kern w:val="2"/>
      <w:sz w:val="21"/>
      <w:lang w:val="en-US" w:eastAsia="zh-CN" w:bidi="ar-SA"/>
    </w:rPr>
  </w:style>
  <w:style w:type="paragraph" w:customStyle="1" w:styleId="176">
    <w:name w:val="标准文件_附录前"/>
    <w:next w:val="56"/>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7">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78">
    <w:name w:val="标准文件_表格"/>
    <w:basedOn w:val="56"/>
    <w:qFormat/>
    <w:uiPriority w:val="0"/>
    <w:pPr>
      <w:ind w:firstLine="0" w:firstLineChars="0"/>
      <w:jc w:val="center"/>
    </w:pPr>
    <w:rPr>
      <w:sz w:val="18"/>
    </w:rPr>
  </w:style>
  <w:style w:type="paragraph" w:customStyle="1" w:styleId="179">
    <w:name w:val="标准文件_注："/>
    <w:next w:val="56"/>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0">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示例："/>
    <w:next w:val="182"/>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2">
    <w:name w:val="标准文件_示例内容"/>
    <w:basedOn w:val="56"/>
    <w:qFormat/>
    <w:uiPriority w:val="0"/>
    <w:pPr>
      <w:ind w:firstLine="420"/>
    </w:pPr>
    <w:rPr>
      <w:sz w:val="18"/>
    </w:rPr>
  </w:style>
  <w:style w:type="paragraph" w:customStyle="1" w:styleId="183">
    <w:name w:val="标准文件_示例×："/>
    <w:basedOn w:val="1"/>
    <w:next w:val="182"/>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4">
    <w:name w:val="标准文件_段 Char"/>
    <w:link w:val="56"/>
    <w:qFormat/>
    <w:uiPriority w:val="0"/>
    <w:rPr>
      <w:rFonts w:ascii="Times New Roman" w:hAnsi="Times New Roman"/>
      <w:sz w:val="21"/>
    </w:rPr>
  </w:style>
  <w:style w:type="paragraph" w:customStyle="1" w:styleId="185">
    <w:name w:val="标准文件_表格续"/>
    <w:basedOn w:val="56"/>
    <w:next w:val="56"/>
    <w:qFormat/>
    <w:uiPriority w:val="0"/>
    <w:pPr>
      <w:jc w:val="center"/>
    </w:pPr>
    <w:rPr>
      <w:rFonts w:ascii="黑体" w:hAnsi="黑体" w:eastAsia="黑体"/>
    </w:rPr>
  </w:style>
  <w:style w:type="character" w:styleId="186">
    <w:name w:val="Placeholder Text"/>
    <w:basedOn w:val="28"/>
    <w:semiHidden/>
    <w:qFormat/>
    <w:uiPriority w:val="99"/>
    <w:rPr>
      <w:color w:val="808080"/>
    </w:rPr>
  </w:style>
  <w:style w:type="paragraph" w:customStyle="1" w:styleId="187">
    <w:name w:val="标准文件_二级项2"/>
    <w:basedOn w:val="56"/>
    <w:qFormat/>
    <w:uiPriority w:val="0"/>
    <w:pPr>
      <w:numPr>
        <w:ilvl w:val="1"/>
        <w:numId w:val="21"/>
      </w:numPr>
      <w:ind w:firstLine="0" w:firstLineChars="0"/>
    </w:pPr>
  </w:style>
  <w:style w:type="paragraph" w:customStyle="1" w:styleId="188">
    <w:name w:val="标准文件_三级项2"/>
    <w:basedOn w:val="56"/>
    <w:qFormat/>
    <w:uiPriority w:val="0"/>
    <w:pPr>
      <w:numPr>
        <w:ilvl w:val="0"/>
        <w:numId w:val="30"/>
      </w:numPr>
      <w:spacing w:line="300" w:lineRule="exact"/>
      <w:ind w:firstLineChars="0"/>
    </w:pPr>
  </w:style>
  <w:style w:type="paragraph" w:customStyle="1" w:styleId="189">
    <w:name w:val="标准文件_一级项2"/>
    <w:basedOn w:val="56"/>
    <w:qFormat/>
    <w:uiPriority w:val="0"/>
    <w:pPr>
      <w:numPr>
        <w:ilvl w:val="0"/>
        <w:numId w:val="31"/>
      </w:numPr>
      <w:spacing w:line="300" w:lineRule="exact"/>
      <w:ind w:firstLineChars="0"/>
    </w:pPr>
  </w:style>
  <w:style w:type="paragraph" w:customStyle="1" w:styleId="190">
    <w:name w:val="标准文件_提示"/>
    <w:basedOn w:val="56"/>
    <w:next w:val="56"/>
    <w:qFormat/>
    <w:uiPriority w:val="0"/>
    <w:pPr>
      <w:ind w:firstLine="420"/>
    </w:pPr>
    <w:rPr>
      <w:rFonts w:ascii="黑体" w:eastAsia="黑体"/>
    </w:rPr>
  </w:style>
  <w:style w:type="character" w:customStyle="1" w:styleId="191">
    <w:name w:val="标准文件_来源"/>
    <w:basedOn w:val="28"/>
    <w:qFormat/>
    <w:uiPriority w:val="1"/>
    <w:rPr>
      <w:rFonts w:eastAsia="宋体"/>
      <w:sz w:val="21"/>
    </w:rPr>
  </w:style>
  <w:style w:type="paragraph" w:customStyle="1" w:styleId="192">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3">
    <w:name w:val="其他发布日期"/>
    <w:basedOn w:val="120"/>
    <w:qFormat/>
    <w:uiPriority w:val="0"/>
    <w:pPr>
      <w:framePr w:w="3997" w:h="471" w:hRule="exact" w:hSpace="0" w:vSpace="181" w:wrap="around" w:vAnchor="page" w:hAnchor="page" w:x="1419" w:y="14097"/>
    </w:pPr>
  </w:style>
  <w:style w:type="paragraph" w:customStyle="1" w:styleId="194">
    <w:name w:val="其他实施日期"/>
    <w:basedOn w:val="154"/>
    <w:qFormat/>
    <w:uiPriority w:val="0"/>
    <w:pPr>
      <w:framePr w:w="3997" w:h="471" w:hRule="exact" w:vSpace="181" w:wrap="around" w:vAnchor="page" w:hAnchor="page" w:x="7089" w:y="14097"/>
    </w:pPr>
  </w:style>
  <w:style w:type="paragraph" w:customStyle="1" w:styleId="195">
    <w:name w:val="标准文件_文件编号"/>
    <w:basedOn w:val="56"/>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6">
    <w:name w:val="标准文件_替换文件编号"/>
    <w:basedOn w:val="195"/>
    <w:qFormat/>
    <w:uiPriority w:val="0"/>
    <w:pPr>
      <w:framePr/>
      <w:spacing w:before="57"/>
    </w:pPr>
    <w:rPr>
      <w:sz w:val="21"/>
    </w:rPr>
  </w:style>
  <w:style w:type="paragraph" w:customStyle="1" w:styleId="197">
    <w:name w:val="标准文件_文件名称"/>
    <w:basedOn w:val="56"/>
    <w:next w:val="56"/>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8">
    <w:name w:val="标准文件_附录图标号"/>
    <w:basedOn w:val="56"/>
    <w:next w:val="56"/>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199">
    <w:name w:val="标准文件_附录表标号"/>
    <w:basedOn w:val="56"/>
    <w:next w:val="56"/>
    <w:qFormat/>
    <w:uiPriority w:val="0"/>
    <w:pPr>
      <w:numPr>
        <w:ilvl w:val="0"/>
        <w:numId w:val="5"/>
      </w:numPr>
      <w:spacing w:line="14" w:lineRule="exact"/>
      <w:ind w:firstLine="0" w:firstLineChars="0"/>
      <w:jc w:val="center"/>
    </w:pPr>
    <w:rPr>
      <w:rFonts w:eastAsia="黑体"/>
      <w:vanish/>
      <w:sz w:val="2"/>
    </w:rPr>
  </w:style>
  <w:style w:type="paragraph" w:customStyle="1" w:styleId="200">
    <w:name w:val="标准文件_引言一级条标题"/>
    <w:basedOn w:val="56"/>
    <w:next w:val="56"/>
    <w:qFormat/>
    <w:uiPriority w:val="0"/>
    <w:pPr>
      <w:numPr>
        <w:ilvl w:val="1"/>
        <w:numId w:val="8"/>
      </w:numPr>
      <w:spacing w:before="50" w:beforeLines="50" w:after="50" w:afterLines="50"/>
      <w:ind w:firstLineChars="0"/>
    </w:pPr>
    <w:rPr>
      <w:rFonts w:ascii="黑体" w:eastAsia="黑体"/>
    </w:rPr>
  </w:style>
  <w:style w:type="paragraph" w:customStyle="1" w:styleId="201">
    <w:name w:val="标准文件_引言二级条标题"/>
    <w:basedOn w:val="56"/>
    <w:next w:val="56"/>
    <w:qFormat/>
    <w:uiPriority w:val="0"/>
    <w:pPr>
      <w:numPr>
        <w:ilvl w:val="2"/>
        <w:numId w:val="8"/>
      </w:numPr>
      <w:spacing w:before="50" w:beforeLines="50" w:after="50" w:afterLines="50"/>
      <w:ind w:firstLineChars="0"/>
    </w:pPr>
    <w:rPr>
      <w:rFonts w:ascii="黑体" w:eastAsia="黑体"/>
    </w:rPr>
  </w:style>
  <w:style w:type="paragraph" w:customStyle="1" w:styleId="202">
    <w:name w:val="标准文件_引言三级条标题"/>
    <w:basedOn w:val="56"/>
    <w:next w:val="56"/>
    <w:qFormat/>
    <w:uiPriority w:val="0"/>
    <w:pPr>
      <w:numPr>
        <w:ilvl w:val="3"/>
        <w:numId w:val="8"/>
      </w:numPr>
      <w:spacing w:before="50" w:beforeLines="50" w:after="50" w:afterLines="50"/>
      <w:ind w:firstLineChars="0"/>
    </w:pPr>
    <w:rPr>
      <w:rFonts w:ascii="黑体" w:eastAsia="黑体"/>
    </w:rPr>
  </w:style>
  <w:style w:type="paragraph" w:customStyle="1" w:styleId="203">
    <w:name w:val="标准文件_引言四级条标题"/>
    <w:basedOn w:val="56"/>
    <w:next w:val="56"/>
    <w:qFormat/>
    <w:uiPriority w:val="0"/>
    <w:pPr>
      <w:numPr>
        <w:ilvl w:val="4"/>
        <w:numId w:val="8"/>
      </w:numPr>
      <w:spacing w:before="50" w:beforeLines="50" w:after="50" w:afterLines="50"/>
      <w:ind w:firstLineChars="0"/>
    </w:pPr>
    <w:rPr>
      <w:rFonts w:ascii="黑体" w:eastAsia="黑体"/>
    </w:rPr>
  </w:style>
  <w:style w:type="paragraph" w:customStyle="1" w:styleId="204">
    <w:name w:val="标准文件_引言五级条标题"/>
    <w:basedOn w:val="56"/>
    <w:next w:val="56"/>
    <w:qFormat/>
    <w:uiPriority w:val="0"/>
    <w:pPr>
      <w:numPr>
        <w:ilvl w:val="5"/>
        <w:numId w:val="8"/>
      </w:numPr>
      <w:spacing w:before="50" w:beforeLines="50" w:after="50" w:afterLines="50"/>
      <w:ind w:firstLineChars="0"/>
    </w:pPr>
    <w:rPr>
      <w:rFonts w:ascii="黑体" w:eastAsia="黑体"/>
    </w:rPr>
  </w:style>
  <w:style w:type="paragraph" w:customStyle="1" w:styleId="205">
    <w:name w:val="标准文件_注后"/>
    <w:basedOn w:val="56"/>
    <w:qFormat/>
    <w:uiPriority w:val="0"/>
    <w:pPr>
      <w:ind w:left="811" w:firstLine="0" w:firstLineChars="0"/>
    </w:pPr>
    <w:rPr>
      <w:sz w:val="18"/>
    </w:rPr>
  </w:style>
  <w:style w:type="paragraph" w:customStyle="1" w:styleId="206">
    <w:name w:val="标准文件_注X后"/>
    <w:basedOn w:val="56"/>
    <w:qFormat/>
    <w:uiPriority w:val="0"/>
    <w:pPr>
      <w:ind w:left="811" w:firstLine="0" w:firstLineChars="0"/>
    </w:pPr>
    <w:rPr>
      <w:sz w:val="18"/>
    </w:rPr>
  </w:style>
  <w:style w:type="paragraph" w:customStyle="1" w:styleId="207">
    <w:name w:val="标准文件_示例后"/>
    <w:basedOn w:val="56"/>
    <w:qFormat/>
    <w:uiPriority w:val="0"/>
    <w:pPr>
      <w:ind w:left="964" w:firstLine="0" w:firstLineChars="0"/>
    </w:pPr>
    <w:rPr>
      <w:sz w:val="18"/>
    </w:rPr>
  </w:style>
  <w:style w:type="paragraph" w:customStyle="1" w:styleId="208">
    <w:name w:val="标准文件_示例X后"/>
    <w:basedOn w:val="56"/>
    <w:link w:val="209"/>
    <w:qFormat/>
    <w:uiPriority w:val="0"/>
    <w:pPr>
      <w:ind w:left="1049" w:firstLine="0" w:firstLineChars="0"/>
    </w:pPr>
    <w:rPr>
      <w:sz w:val="18"/>
    </w:rPr>
  </w:style>
  <w:style w:type="character" w:customStyle="1" w:styleId="209">
    <w:name w:val="标准文件_示例X后 字符"/>
    <w:basedOn w:val="184"/>
    <w:link w:val="208"/>
    <w:qFormat/>
    <w:uiPriority w:val="0"/>
    <w:rPr>
      <w:rFonts w:ascii="宋体" w:hAnsi="Times New Roman"/>
      <w:sz w:val="18"/>
    </w:rPr>
  </w:style>
  <w:style w:type="paragraph" w:customStyle="1" w:styleId="210">
    <w:name w:val="标准文件_索引项"/>
    <w:basedOn w:val="56"/>
    <w:next w:val="56"/>
    <w:qFormat/>
    <w:uiPriority w:val="0"/>
    <w:pPr>
      <w:tabs>
        <w:tab w:val="right" w:leader="dot" w:pos="9356"/>
      </w:tabs>
      <w:ind w:left="210" w:hanging="210" w:firstLineChars="0"/>
      <w:jc w:val="left"/>
    </w:pPr>
  </w:style>
  <w:style w:type="paragraph" w:customStyle="1" w:styleId="211">
    <w:name w:val="标准文件_附录一级无标题"/>
    <w:basedOn w:val="78"/>
    <w:qFormat/>
    <w:uiPriority w:val="0"/>
    <w:pPr>
      <w:spacing w:before="0" w:beforeLines="0" w:after="0" w:afterLines="0" w:line="276" w:lineRule="auto"/>
      <w:outlineLvl w:val="9"/>
    </w:pPr>
    <w:rPr>
      <w:rFonts w:ascii="宋体" w:eastAsia="宋体"/>
    </w:rPr>
  </w:style>
  <w:style w:type="paragraph" w:customStyle="1" w:styleId="212">
    <w:name w:val="标准文件_附录二级无标题"/>
    <w:basedOn w:val="79"/>
    <w:qFormat/>
    <w:uiPriority w:val="0"/>
    <w:pPr>
      <w:spacing w:before="0" w:beforeLines="0" w:after="0" w:afterLines="0" w:line="276" w:lineRule="auto"/>
      <w:outlineLvl w:val="9"/>
    </w:pPr>
    <w:rPr>
      <w:rFonts w:ascii="宋体" w:eastAsia="宋体"/>
    </w:rPr>
  </w:style>
  <w:style w:type="paragraph" w:customStyle="1" w:styleId="213">
    <w:name w:val="标准文件_附录三级无标题"/>
    <w:basedOn w:val="81"/>
    <w:qFormat/>
    <w:uiPriority w:val="0"/>
    <w:pPr>
      <w:spacing w:before="0" w:beforeLines="0" w:after="0" w:afterLines="0" w:line="276" w:lineRule="auto"/>
      <w:outlineLvl w:val="9"/>
    </w:pPr>
    <w:rPr>
      <w:rFonts w:ascii="宋体" w:eastAsia="宋体"/>
    </w:rPr>
  </w:style>
  <w:style w:type="paragraph" w:customStyle="1" w:styleId="214">
    <w:name w:val="标准文件_附录四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五级无标题"/>
    <w:basedOn w:val="84"/>
    <w:qFormat/>
    <w:uiPriority w:val="0"/>
    <w:pPr>
      <w:spacing w:before="0" w:beforeLines="0" w:after="0" w:afterLines="0" w:line="276" w:lineRule="auto"/>
      <w:outlineLvl w:val="9"/>
    </w:pPr>
    <w:rPr>
      <w:rFonts w:ascii="宋体" w:eastAsia="宋体"/>
    </w:rPr>
  </w:style>
  <w:style w:type="paragraph" w:customStyle="1" w:styleId="216">
    <w:name w:val="标准文件_引言一级无标题"/>
    <w:basedOn w:val="200"/>
    <w:next w:val="56"/>
    <w:qFormat/>
    <w:uiPriority w:val="0"/>
    <w:pPr>
      <w:spacing w:before="0" w:beforeLines="0" w:after="0" w:afterLines="0" w:line="276" w:lineRule="auto"/>
    </w:pPr>
    <w:rPr>
      <w:rFonts w:ascii="宋体" w:eastAsia="宋体"/>
    </w:rPr>
  </w:style>
  <w:style w:type="paragraph" w:customStyle="1" w:styleId="217">
    <w:name w:val="标准文件_引言二级无标题"/>
    <w:basedOn w:val="201"/>
    <w:next w:val="56"/>
    <w:qFormat/>
    <w:uiPriority w:val="0"/>
    <w:pPr>
      <w:spacing w:before="0" w:beforeLines="0" w:after="0" w:afterLines="0" w:line="276" w:lineRule="auto"/>
    </w:pPr>
    <w:rPr>
      <w:rFonts w:ascii="宋体" w:eastAsia="宋体"/>
    </w:rPr>
  </w:style>
  <w:style w:type="paragraph" w:customStyle="1" w:styleId="218">
    <w:name w:val="标准文件_引言三级无标题"/>
    <w:basedOn w:val="202"/>
    <w:qFormat/>
    <w:uiPriority w:val="0"/>
    <w:pPr>
      <w:spacing w:before="0" w:beforeLines="0" w:after="0" w:afterLines="0" w:line="276" w:lineRule="auto"/>
    </w:pPr>
    <w:rPr>
      <w:rFonts w:ascii="宋体" w:eastAsia="宋体"/>
    </w:rPr>
  </w:style>
  <w:style w:type="paragraph" w:customStyle="1" w:styleId="219">
    <w:name w:val="标准文件_引言四级无标题"/>
    <w:basedOn w:val="203"/>
    <w:next w:val="56"/>
    <w:qFormat/>
    <w:uiPriority w:val="0"/>
    <w:pPr>
      <w:spacing w:before="0" w:beforeLines="0" w:after="0" w:afterLines="0" w:line="276" w:lineRule="auto"/>
    </w:pPr>
    <w:rPr>
      <w:rFonts w:ascii="宋体" w:eastAsia="宋体"/>
    </w:rPr>
  </w:style>
  <w:style w:type="paragraph" w:customStyle="1" w:styleId="220">
    <w:name w:val="标准文件_引言五级无标题"/>
    <w:basedOn w:val="204"/>
    <w:next w:val="56"/>
    <w:qFormat/>
    <w:uiPriority w:val="0"/>
    <w:pPr>
      <w:spacing w:before="0" w:beforeLines="0" w:after="0" w:afterLines="0" w:line="276" w:lineRule="auto"/>
    </w:pPr>
    <w:rPr>
      <w:rFonts w:ascii="宋体" w:eastAsia="宋体"/>
    </w:rPr>
  </w:style>
  <w:style w:type="paragraph" w:customStyle="1" w:styleId="221">
    <w:name w:val="标准文件_索引标题"/>
    <w:basedOn w:val="63"/>
    <w:next w:val="56"/>
    <w:qFormat/>
    <w:uiPriority w:val="0"/>
    <w:rPr>
      <w:rFonts w:hAnsi="黑体"/>
    </w:rPr>
  </w:style>
  <w:style w:type="paragraph" w:customStyle="1" w:styleId="222">
    <w:name w:val="标准文件_脚注内容"/>
    <w:basedOn w:val="56"/>
    <w:qFormat/>
    <w:uiPriority w:val="0"/>
    <w:pPr>
      <w:ind w:left="400" w:leftChars="200" w:hanging="200" w:hangingChars="200"/>
    </w:pPr>
    <w:rPr>
      <w:sz w:val="15"/>
    </w:rPr>
  </w:style>
  <w:style w:type="paragraph" w:customStyle="1" w:styleId="223">
    <w:name w:val="标准文件_术语条一"/>
    <w:basedOn w:val="162"/>
    <w:next w:val="56"/>
    <w:qFormat/>
    <w:uiPriority w:val="0"/>
  </w:style>
  <w:style w:type="paragraph" w:customStyle="1" w:styleId="224">
    <w:name w:val="标准文件_术语条二"/>
    <w:basedOn w:val="165"/>
    <w:next w:val="56"/>
    <w:qFormat/>
    <w:uiPriority w:val="0"/>
  </w:style>
  <w:style w:type="paragraph" w:customStyle="1" w:styleId="225">
    <w:name w:val="标准文件_术语条三"/>
    <w:basedOn w:val="164"/>
    <w:next w:val="56"/>
    <w:qFormat/>
    <w:uiPriority w:val="0"/>
  </w:style>
  <w:style w:type="paragraph" w:customStyle="1" w:styleId="226">
    <w:name w:val="标准文件_术语条四"/>
    <w:basedOn w:val="167"/>
    <w:next w:val="56"/>
    <w:qFormat/>
    <w:uiPriority w:val="0"/>
  </w:style>
  <w:style w:type="paragraph" w:customStyle="1" w:styleId="227">
    <w:name w:val="标准文件_术语条五"/>
    <w:basedOn w:val="163"/>
    <w:next w:val="56"/>
    <w:qFormat/>
    <w:uiPriority w:val="0"/>
  </w:style>
  <w:style w:type="paragraph" w:customStyle="1" w:styleId="228">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29">
    <w:name w:val="发布"/>
    <w:basedOn w:val="28"/>
    <w:qFormat/>
    <w:uiPriority w:val="0"/>
    <w:rPr>
      <w:rFonts w:ascii="黑体" w:eastAsia="黑体"/>
      <w:spacing w:val="85"/>
      <w:w w:val="100"/>
      <w:position w:val="3"/>
      <w:sz w:val="28"/>
      <w:szCs w:val="28"/>
    </w:rPr>
  </w:style>
  <w:style w:type="paragraph" w:customStyle="1" w:styleId="230">
    <w:name w:val="修订1"/>
    <w:hidden/>
    <w:unhideWhenUsed/>
    <w:qFormat/>
    <w:uiPriority w:val="99"/>
    <w:rPr>
      <w:rFonts w:ascii="Calibri" w:hAnsi="Calibri" w:eastAsia="宋体" w:cs="Times New Roman"/>
      <w:kern w:val="2"/>
      <w:sz w:val="21"/>
      <w:szCs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4" Type="http://schemas.openxmlformats.org/officeDocument/2006/relationships/glossaryDocument" Target="glossary/document.xml"/><Relationship Id="rId33" Type="http://schemas.openxmlformats.org/officeDocument/2006/relationships/fontTable" Target="fontTable.xml"/><Relationship Id="rId32" Type="http://schemas.openxmlformats.org/officeDocument/2006/relationships/customXml" Target="../customXml/item3.xml"/><Relationship Id="rId31" Type="http://schemas.openxmlformats.org/officeDocument/2006/relationships/customXml" Target="../customXml/item2.xml"/><Relationship Id="rId30" Type="http://schemas.openxmlformats.org/officeDocument/2006/relationships/numbering" Target="numbering.xml"/><Relationship Id="rId3" Type="http://schemas.openxmlformats.org/officeDocument/2006/relationships/footnotes" Target="footnotes.xml"/><Relationship Id="rId29" Type="http://schemas.openxmlformats.org/officeDocument/2006/relationships/customXml" Target="../customXml/item1.xml"/><Relationship Id="rId28" Type="http://schemas.openxmlformats.org/officeDocument/2006/relationships/image" Target="media/image3.jpeg"/><Relationship Id="rId27" Type="http://schemas.openxmlformats.org/officeDocument/2006/relationships/image" Target="media/image2.png"/><Relationship Id="rId26" Type="http://schemas.openxmlformats.org/officeDocument/2006/relationships/image" Target="media/image1.png"/><Relationship Id="rId25" Type="http://schemas.openxmlformats.org/officeDocument/2006/relationships/theme" Target="theme/theme1.xml"/><Relationship Id="rId24" Type="http://schemas.openxmlformats.org/officeDocument/2006/relationships/footer" Target="footer10.xml"/><Relationship Id="rId23" Type="http://schemas.openxmlformats.org/officeDocument/2006/relationships/footer" Target="footer9.xml"/><Relationship Id="rId22" Type="http://schemas.openxmlformats.org/officeDocument/2006/relationships/header" Target="header10.xml"/><Relationship Id="rId21" Type="http://schemas.openxmlformats.org/officeDocument/2006/relationships/header" Target="header9.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8.xml"/><Relationship Id="rId17" Type="http://schemas.openxmlformats.org/officeDocument/2006/relationships/header" Target="header7.xml"/><Relationship Id="rId16" Type="http://schemas.openxmlformats.org/officeDocument/2006/relationships/footer" Target="footer6.xml"/><Relationship Id="rId15" Type="http://schemas.openxmlformats.org/officeDocument/2006/relationships/footer" Target="footer5.xml"/><Relationship Id="rId14" Type="http://schemas.openxmlformats.org/officeDocument/2006/relationships/header" Target="header6.xml"/><Relationship Id="rId13" Type="http://schemas.openxmlformats.org/officeDocument/2006/relationships/header" Target="header5.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4.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9B3BEDB4F2724F9D81F4444A5CCE266D"/>
        <w:style w:val=""/>
        <w:category>
          <w:name w:val="常规"/>
          <w:gallery w:val="placeholder"/>
        </w:category>
        <w:types>
          <w:type w:val="bbPlcHdr"/>
        </w:types>
        <w:behaviors>
          <w:behavior w:val="content"/>
        </w:behaviors>
        <w:description w:val=""/>
        <w:guid w:val="{9A791DFB-56F6-4B85-997E-8EF3CEE1C2DA}"/>
      </w:docPartPr>
      <w:docPartBody>
        <w:p w14:paraId="4754F949">
          <w:pPr>
            <w:pStyle w:val="5"/>
            <w:rPr>
              <w:rFonts w:hint="eastAsia"/>
            </w:rPr>
          </w:pPr>
          <w:r>
            <w:rPr>
              <w:rStyle w:val="4"/>
              <w:rFonts w:hint="eastAsia"/>
            </w:rPr>
            <w:t>单击或点击此处输入文字。</w:t>
          </w:r>
        </w:p>
      </w:docPartBody>
    </w:docPart>
    <w:docPart>
      <w:docPartPr>
        <w:name w:val="78956B8278AF41489B4C226600D2E8C4"/>
        <w:style w:val=""/>
        <w:category>
          <w:name w:val="常规"/>
          <w:gallery w:val="placeholder"/>
        </w:category>
        <w:types>
          <w:type w:val="bbPlcHdr"/>
        </w:types>
        <w:behaviors>
          <w:behavior w:val="content"/>
        </w:behaviors>
        <w:description w:val=""/>
        <w:guid w:val="{35D7B9DB-82B3-43EC-9478-2F4253E62990}"/>
      </w:docPartPr>
      <w:docPartBody>
        <w:p w14:paraId="27E78269">
          <w:pPr>
            <w:pStyle w:val="6"/>
            <w:rPr>
              <w:rFonts w:hint="eastAsia"/>
            </w:rPr>
          </w:pPr>
          <w:r>
            <w:rPr>
              <w:rStyle w:val="4"/>
              <w:rFonts w:hint="eastAsia"/>
            </w:rPr>
            <w:t>选择一项。</w:t>
          </w:r>
        </w:p>
      </w:docPartBody>
    </w:docPart>
    <w:docPart>
      <w:docPartPr>
        <w:name w:val="DD487E154D8B46B1811108614A11313A"/>
        <w:style w:val=""/>
        <w:category>
          <w:name w:val="常规"/>
          <w:gallery w:val="placeholder"/>
        </w:category>
        <w:types>
          <w:type w:val="bbPlcHdr"/>
        </w:types>
        <w:behaviors>
          <w:behavior w:val="content"/>
        </w:behaviors>
        <w:description w:val=""/>
        <w:guid w:val="{BDA84726-025B-4CC9-AFA0-B8C5A34685AA}"/>
      </w:docPartPr>
      <w:docPartBody>
        <w:p w14:paraId="0D87B1EA">
          <w:pPr>
            <w:pStyle w:val="7"/>
            <w:rPr>
              <w:rFonts w:hint="eastAsia"/>
            </w:rPr>
          </w:pPr>
          <w:r>
            <w:rPr>
              <w:rStyle w:val="4"/>
              <w:rFonts w:hint="eastAsia"/>
            </w:rPr>
            <w:t>选择一项。</w:t>
          </w:r>
        </w:p>
      </w:docPartBody>
    </w:docPart>
  </w:docParts>
</w:glossaryDocument>
</file>

<file path=word/glossary/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s>
</file>

<file path=word/glossary/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70EA"/>
    <w:rsid w:val="00010435"/>
    <w:rsid w:val="00023C8F"/>
    <w:rsid w:val="000A0453"/>
    <w:rsid w:val="00154629"/>
    <w:rsid w:val="00213FE7"/>
    <w:rsid w:val="002668AF"/>
    <w:rsid w:val="00317081"/>
    <w:rsid w:val="0033048F"/>
    <w:rsid w:val="00331A5F"/>
    <w:rsid w:val="003833C5"/>
    <w:rsid w:val="003A0797"/>
    <w:rsid w:val="004542B3"/>
    <w:rsid w:val="00563507"/>
    <w:rsid w:val="005931CB"/>
    <w:rsid w:val="005D70EA"/>
    <w:rsid w:val="00603DAC"/>
    <w:rsid w:val="006E28E0"/>
    <w:rsid w:val="0096460C"/>
    <w:rsid w:val="00995DE1"/>
    <w:rsid w:val="009A21BB"/>
    <w:rsid w:val="009E7CF6"/>
    <w:rsid w:val="00B02C46"/>
    <w:rsid w:val="00B14516"/>
    <w:rsid w:val="00B62AE7"/>
    <w:rsid w:val="00C457E8"/>
    <w:rsid w:val="00CA63C2"/>
    <w:rsid w:val="00D37DF6"/>
    <w:rsid w:val="00D64828"/>
    <w:rsid w:val="00D85872"/>
    <w:rsid w:val="00DB67E2"/>
    <w:rsid w:val="00E15882"/>
    <w:rsid w:val="00E651D6"/>
    <w:rsid w:val="00ED0186"/>
    <w:rsid w:val="00FD1DC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uiPriority="99" w:name="Normal Table"/>
    <w:lsdException w:qFormat="1" w:unhideWhenUsed="0" w:uiPriority="99" w:name="Placeholder Text"/>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character" w:default="1" w:styleId="2">
    <w:name w:val="Default Paragraph Font"/>
    <w:semiHidden/>
    <w:unhideWhenUsed/>
    <w:qFormat/>
    <w:uiPriority w:val="1"/>
  </w:style>
  <w:style w:type="table" w:default="1" w:styleId="3">
    <w:name w:val="Normal Table"/>
    <w:semiHidden/>
    <w:unhideWhenUsed/>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9B3BEDB4F2724F9D81F4444A5CCE266D"/>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6">
    <w:name w:val="78956B8278AF41489B4C226600D2E8C4"/>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7">
    <w:name w:val="DD487E154D8B46B1811108614A11313A"/>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ontractReview xmlns="http://schemas.wps.cn/vas-ai-hub/contract-review">
  <reviewItems>
    <reviewItem>
      <errorID>cd420001-b3d3-4615-82b3-5faec282c970</errorID>
      <errorWord>泓志</errorWord>
      <group>L1_Political</group>
      <groupName>政治性问题</groupName>
      <ability>L2_Unpolitical</ability>
      <abilityName>政治敏感错误</abilityName>
      <candidateList/>
      <explain>民生</explain>
      <paraID>45E6F886</paraID>
      <start>175</start>
      <end>177</end>
      <status>unmodified</status>
      <modifiedWord/>
      <trackRevisions>false</trackRevisions>
    </reviewItem>
    <reviewItem>
      <errorID>6e1dc0cd-5945-46fb-a9e2-3a2aee50557e</errorID>
      <errorWord>(</errorWord>
      <group>L1_Format</group>
      <groupName>格式问题</groupName>
      <ability>L2_HalfPunc</ability>
      <abilityName>全半角检查</abilityName>
      <candidateList>
        <item>（</item>
      </candidateList>
      <explain>文本全半角错误。</explain>
      <paraID>1F576C32</paraID>
      <start>3</start>
      <end>4</end>
      <status>modified</status>
      <modifiedWord>（</modifiedWord>
      <trackRevisions>false</trackRevisions>
    </reviewItem>
    <reviewItem>
      <errorID>7c80ad2e-6493-4f3a-96bf-1ea760b03dd3</errorID>
      <errorWord>)</errorWord>
      <group>L1_Format</group>
      <groupName>格式问题</groupName>
      <ability>L2_HalfPunc</ability>
      <abilityName>全半角检查</abilityName>
      <candidateList>
        <item>）</item>
      </candidateList>
      <explain>文本全半角错误。</explain>
      <paraID>1F576C32</paraID>
      <start>8</start>
      <end>9</end>
      <status>modified</status>
      <modifiedWord>）</modifiedWord>
      <trackRevisions>false</trackRevisions>
    </reviewItem>
    <reviewItem>
      <errorID>fafe4ae8-ab55-4560-9b3f-65cace103989</errorID>
      <errorWord>计</errorWord>
      <group>L1_Word</group>
      <groupName>字词问题</groupName>
      <ability>L2_Typo</ability>
      <abilityName>字词错误</abilityName>
      <candidateList>
        <item>计算</item>
      </candidateList>
      <explain/>
      <paraID> 81B377B</paraID>
      <start>44</start>
      <end>45</end>
      <status>unmodified</status>
      <modifiedWord/>
      <trackRevisions>false</trackRevisions>
    </reviewItem>
    <reviewItem>
      <errorID>e7e7989e-c929-466c-bbce-776683f36541</errorID>
      <errorWord>&gt;</errorWord>
      <group>L1_Punc</group>
      <groupName>标点问题</groupName>
      <ability>L2_Punc</ability>
      <abilityName>标点符号检查</abilityName>
      <candidateList/>
      <explain/>
      <paraID>45816B6A</paraID>
      <start>0</start>
      <end>1</end>
      <status>unmodified</status>
      <modifiedWord/>
      <trackRevisions>false</trackRevisions>
    </reviewItem>
    <reviewItem>
      <errorID>c6fb3aa0-08f6-4591-81be-9589fa33da6b</errorID>
      <errorWord>移入到</errorWord>
      <group>L1_Word</group>
      <groupName>字词问题</groupName>
      <ability>L2_Typo</ability>
      <abilityName>字词错误</abilityName>
      <candidateList>
        <item>移入</item>
      </candidateList>
      <explain/>
      <paraID>28350556</paraID>
      <start>217</start>
      <end>220</end>
      <status>unmodified</status>
      <modifiedWord/>
      <trackRevisions>false</trackRevisions>
    </reviewItem>
    <reviewItem>
      <errorID>e91afb9e-0afe-4f38-bad9-6c8cce65525f</errorID>
      <errorWord>加入到</errorWord>
      <group>L1_Word</group>
      <groupName>字词问题</groupName>
      <ability>L2_Typo</ability>
      <abilityName>字词错误</abilityName>
      <candidateList>
        <item>加入</item>
      </candidateList>
      <explain>〈动〉❶加上；掺进去：～食糖少许。❷参加进去：～工会｜～足球队。</explain>
      <paraID>28350556</paraID>
      <start>327</start>
      <end>330</end>
      <status>unmodified</status>
      <modifiedWord/>
      <trackRevisions>false</trackRevisions>
    </reviewItem>
    <reviewItem>
      <errorID>7558cb38-70c3-4a10-b0a7-c91df0e46e1b</errorID>
      <errorWord>上述的</errorWord>
      <group>L1_Word</group>
      <groupName>字词问题</groupName>
      <ability>L2_Typo</ability>
      <abilityName>字词错误</abilityName>
      <candidateList>
        <item>上述</item>
      </candidateList>
      <explain>〈形〉属性词。上面所说的：～各条，望切实执行。</explain>
      <paraID>1EBC9262</paraID>
      <start>169</start>
      <end>172</end>
      <status>unmodified</status>
      <modifiedWord/>
      <trackRevisions>false</trackRevisions>
    </reviewItem>
    <reviewItem>
      <errorID>129ce144-a35b-40f2-b534-78bc73676f12</errorID>
      <errorWord>至为</errorWord>
      <group>L1_Word</group>
      <groupName>字词问题</groupName>
      <ability>L2_Typo</ability>
      <abilityName>字词错误</abilityName>
      <candidateList>
        <item>至</item>
      </candidateList>
      <explain>❶〈动〉到：～今｜自始～终｜～死不屈。❷至于：甚～。❸〈副〉极；最：为感谢～｜你要早来，～迟下星期内一定赶到。</explain>
      <paraID>6F825613</paraID>
      <start>62</start>
      <end>64</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3E0F809-F1B0-47A2-BF3F-77BC97C7211C}">
  <ds:schemaRefs/>
</ds:datastoreItem>
</file>

<file path=customXml/itemProps3.xml><?xml version="1.0" encoding="utf-8"?>
<ds:datastoreItem xmlns:ds="http://schemas.openxmlformats.org/officeDocument/2006/customXml" ds:itemID="{2c64395e-99ca-4869-affc-db37330f3962}">
  <ds:schemaRefs/>
</ds:datastoreItem>
</file>

<file path=docProps/app.xml><?xml version="1.0" encoding="utf-8"?>
<Properties xmlns="http://schemas.openxmlformats.org/officeDocument/2006/extended-properties" xmlns:vt="http://schemas.openxmlformats.org/officeDocument/2006/docPropsVTypes">
  <Template>团体标准.dotx</Template>
  <Pages>12</Pages>
  <Words>5658</Words>
  <Characters>6758</Characters>
  <Lines>66</Lines>
  <Paragraphs>18</Paragraphs>
  <TotalTime>4</TotalTime>
  <ScaleCrop>false</ScaleCrop>
  <LinksUpToDate>false</LinksUpToDate>
  <CharactersWithSpaces>7107</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2026-05-12T06:54:00Z</dcterms:created>
  <dc:creator>若不为</dc:creator>
  <cp:lastModifiedBy>若不为</cp:lastModifiedBy>
  <dcterms:modified xsi:type="dcterms:W3CDTF">2026-05-15T06:55:48Z</dcterms:modified>
  <cp:revision>103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ICV">
    <vt:lpwstr>F3080936FF1349CE8062476338F6310D_11</vt:lpwstr>
  </property>
  <property fmtid="{D5CDD505-2E9C-101B-9397-08002B2CF9AE}" pid="15" name="DoublePage">
    <vt:lpwstr>true</vt:lpwstr>
  </property>
  <property fmtid="{D5CDD505-2E9C-101B-9397-08002B2CF9AE}" pid="16" name="KSOTemplateDocerSaveRecord">
    <vt:lpwstr>eyJoZGlkIjoiMDBhNzJiNGJkNTE2MmM3ZDRhNmRhN2Q5OGNhNzc0M2EiLCJ1c2VySWQiOiIyMzY4OTc3MTUifQ==</vt:lpwstr>
  </property>
  <property fmtid="{D5CDD505-2E9C-101B-9397-08002B2CF9AE}" pid="17" name="KSOProductBuildVer">
    <vt:lpwstr>2052-12.1.0.26375</vt:lpwstr>
  </property>
  <property fmtid="{D5CDD505-2E9C-101B-9397-08002B2CF9AE}" pid="18" name="GrammarlyDocumentId">
    <vt:lpwstr>ff351635-7652-40c8-a0b9-0fbd936c82f4</vt:lpwstr>
  </property>
</Properties>
</file>