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Mark1"/>
    <w:bookmarkStart w:id="1" w:name="_Toc8971"/>
    <w:bookmarkStart w:id="2" w:name="_Toc9918"/>
    <w:bookmarkStart w:id="3" w:name="_Toc18885"/>
    <w:bookmarkStart w:id="4" w:name="_Toc11802"/>
    <w:bookmarkStart w:id="5" w:name="_Toc19600"/>
    <w:bookmarkStart w:id="6" w:name="_Toc5207"/>
    <w:bookmarkStart w:id="7" w:name="_Toc17329"/>
    <w:p w14:paraId="73CAC177" w14:textId="77777777" w:rsidR="00C52926" w:rsidRDefault="00000000">
      <w:pPr>
        <w:pStyle w:val="3"/>
        <w:framePr w:wrap="around"/>
        <w:jc w:val="center"/>
        <w:rPr>
          <w:rFonts w:hint="default"/>
        </w:rPr>
      </w:pPr>
      <w:r>
        <w:fldChar w:fldCharType="begin">
          <w:ffData>
            <w:name w:val="TMark1"/>
            <w:enabled/>
            <w:calcOnExit w:val="0"/>
            <w:textInput>
              <w:default w:val="江西省食品科学技术学会团体标准"/>
            </w:textInput>
          </w:ffData>
        </w:fldChar>
      </w:r>
      <w:r>
        <w:instrText>FORMTEXT</w:instrText>
      </w:r>
      <w:r>
        <w:fldChar w:fldCharType="separate"/>
      </w:r>
      <w:r>
        <w:t>江西省食品科学技术学会团体标准</w:t>
      </w:r>
      <w:r>
        <w:fldChar w:fldCharType="end"/>
      </w:r>
      <w:bookmarkEnd w:id="0"/>
    </w:p>
    <w:p w14:paraId="446CEEC3" w14:textId="5B4D28E0" w:rsidR="00C52926" w:rsidRDefault="00EF794D">
      <w:pPr>
        <w:pStyle w:val="20"/>
        <w:framePr w:h="368" w:hRule="exact" w:wrap="around" w:x="1434" w:y="3348"/>
        <w:rPr>
          <w:rFonts w:hint="default"/>
        </w:rPr>
      </w:pPr>
      <w:r>
        <w:rPr>
          <w:rFonts w:hint="default"/>
          <w:color w:val="000000" w:themeColor="text1"/>
        </w:rPr>
        <w:fldChar w:fldCharType="begin">
          <w:ffData>
            <w:name w:val="StandNo"/>
            <w:enabled/>
            <w:calcOnExit w:val="0"/>
            <w:textInput>
              <w:default w:val="T/JXIFST 004—2026"/>
            </w:textInput>
          </w:ffData>
        </w:fldChar>
      </w:r>
      <w:r>
        <w:rPr>
          <w:rFonts w:hint="default"/>
          <w:color w:val="000000" w:themeColor="text1"/>
        </w:rPr>
        <w:instrText xml:space="preserve"> </w:instrText>
      </w:r>
      <w:bookmarkStart w:id="8" w:name="StandNo"/>
      <w:r>
        <w:rPr>
          <w:color w:val="000000" w:themeColor="text1"/>
        </w:rPr>
        <w:instrText>FORMTEXT</w:instrText>
      </w:r>
      <w:r>
        <w:rPr>
          <w:rFonts w:hint="default"/>
          <w:color w:val="000000" w:themeColor="text1"/>
        </w:rPr>
        <w:instrText xml:space="preserve"> </w:instrText>
      </w:r>
      <w:r>
        <w:rPr>
          <w:color w:val="000000" w:themeColor="text1"/>
        </w:rPr>
      </w:r>
      <w:r>
        <w:rPr>
          <w:rFonts w:hint="default"/>
          <w:color w:val="000000" w:themeColor="text1"/>
        </w:rPr>
        <w:fldChar w:fldCharType="separate"/>
      </w:r>
      <w:r>
        <w:rPr>
          <w:rFonts w:hint="default"/>
          <w:noProof/>
          <w:color w:val="000000" w:themeColor="text1"/>
        </w:rPr>
        <w:t>T/JXIFST 004</w:t>
      </w:r>
      <w:r>
        <w:rPr>
          <w:rFonts w:hint="default"/>
          <w:noProof/>
          <w:color w:val="000000" w:themeColor="text1"/>
        </w:rPr>
        <w:t>—</w:t>
      </w:r>
      <w:r>
        <w:rPr>
          <w:rFonts w:hint="default"/>
          <w:noProof/>
          <w:color w:val="000000" w:themeColor="text1"/>
        </w:rPr>
        <w:t>2026</w:t>
      </w:r>
      <w:r>
        <w:rPr>
          <w:rFonts w:hint="default"/>
          <w:color w:val="000000" w:themeColor="text1"/>
        </w:rPr>
        <w:fldChar w:fldCharType="end"/>
      </w:r>
      <w:bookmarkEnd w:id="8"/>
    </w:p>
    <w:p w14:paraId="2210847C" w14:textId="77777777" w:rsidR="00C52926" w:rsidRDefault="00C52926">
      <w:pPr>
        <w:pStyle w:val="af3"/>
        <w:framePr w:h="368" w:hRule="exact" w:wrap="around" w:x="1434" w:y="3348"/>
        <w:rPr>
          <w:rFonts w:hint="default"/>
        </w:rPr>
      </w:pPr>
    </w:p>
    <w:tbl>
      <w:tblPr>
        <w:tblStyle w:val="af1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40"/>
      </w:tblGrid>
      <w:tr w:rsidR="00C52926" w14:paraId="0A23299E" w14:textId="77777777">
        <w:trPr>
          <w:trHeight w:val="90"/>
        </w:trPr>
        <w:tc>
          <w:tcPr>
            <w:tcW w:w="9740" w:type="dxa"/>
            <w:tcBorders>
              <w:top w:val="single" w:sz="8" w:space="0" w:color="auto"/>
            </w:tcBorders>
          </w:tcPr>
          <w:p w14:paraId="6EB7541F" w14:textId="77777777" w:rsidR="00C52926" w:rsidRDefault="00C52926">
            <w:pPr>
              <w:pStyle w:val="af4"/>
              <w:framePr w:wrap="around"/>
              <w:rPr>
                <w:rFonts w:hint="default"/>
                <w:sz w:val="10"/>
              </w:rPr>
            </w:pPr>
          </w:p>
        </w:tc>
      </w:tr>
    </w:tbl>
    <w:p w14:paraId="02004BB9" w14:textId="77777777" w:rsidR="00C52926" w:rsidRDefault="00000000">
      <w:pPr>
        <w:pStyle w:val="af2"/>
        <w:framePr w:wrap="around"/>
        <w:rPr>
          <w:rFonts w:hint="default"/>
        </w:rPr>
      </w:pPr>
      <w:r>
        <w:t>贵溪肉串加工技术规范</w:t>
      </w:r>
    </w:p>
    <w:p w14:paraId="6065A9F5" w14:textId="77777777" w:rsidR="00C52926" w:rsidRDefault="00000000">
      <w:pPr>
        <w:pStyle w:val="af5"/>
        <w:framePr w:wrap="around"/>
        <w:rPr>
          <w:rFonts w:hint="default"/>
        </w:rPr>
      </w:pPr>
      <w:r>
        <w:rPr>
          <w:rFonts w:hint="default"/>
          <w:lang w:val="en-GB"/>
        </w:rPr>
        <w:t>S</w:t>
      </w:r>
      <w:r>
        <w:t xml:space="preserve">pecification </w:t>
      </w:r>
      <w:r>
        <w:rPr>
          <w:rFonts w:hint="default"/>
          <w:lang w:val="en-GB"/>
        </w:rPr>
        <w:t>of</w:t>
      </w:r>
      <w:r>
        <w:t xml:space="preserve"> processing technology </w:t>
      </w:r>
      <w:r>
        <w:rPr>
          <w:rFonts w:hint="default"/>
          <w:lang w:val="en-GB"/>
        </w:rPr>
        <w:t>for</w:t>
      </w:r>
      <w:r>
        <w:t xml:space="preserve"> Guixi meat skewer</w:t>
      </w:r>
    </w:p>
    <w:p w14:paraId="37360D39" w14:textId="77777777" w:rsidR="00C52926" w:rsidRDefault="00C52926">
      <w:pPr>
        <w:pStyle w:val="af7"/>
        <w:framePr w:wrap="around"/>
        <w:spacing w:after="0"/>
      </w:pPr>
    </w:p>
    <w:p w14:paraId="2FA61FCC" w14:textId="77777777" w:rsidR="00C52926" w:rsidRDefault="00C52926">
      <w:pPr>
        <w:pStyle w:val="af8"/>
        <w:framePr w:wrap="around"/>
        <w:spacing w:before="100"/>
      </w:pPr>
    </w:p>
    <w:p w14:paraId="131E91A8" w14:textId="77777777" w:rsidR="00C52926" w:rsidRDefault="00C52926">
      <w:pPr>
        <w:pStyle w:val="af9"/>
        <w:framePr w:wrap="around"/>
        <w:spacing w:beforeLines="220" w:before="686" w:after="93"/>
        <w:rPr>
          <w:rFonts w:hint="default"/>
        </w:rPr>
      </w:pPr>
    </w:p>
    <w:tbl>
      <w:tblPr>
        <w:tblStyle w:val="af1"/>
        <w:tblW w:w="97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0"/>
        <w:gridCol w:w="4871"/>
      </w:tblGrid>
      <w:tr w:rsidR="00C52926" w14:paraId="3B2EFF11" w14:textId="77777777">
        <w:trPr>
          <w:trHeight w:hRule="exact" w:val="363"/>
        </w:trPr>
        <w:tc>
          <w:tcPr>
            <w:tcW w:w="4944" w:type="dxa"/>
            <w:tcBorders>
              <w:bottom w:val="single" w:sz="8" w:space="0" w:color="auto"/>
            </w:tcBorders>
            <w:tcMar>
              <w:left w:w="57" w:type="dxa"/>
              <w:bottom w:w="28" w:type="dxa"/>
            </w:tcMar>
          </w:tcPr>
          <w:p w14:paraId="16C68485" w14:textId="77777777" w:rsidR="00C52926" w:rsidRDefault="00000000">
            <w:pPr>
              <w:pStyle w:val="afa"/>
              <w:framePr w:wrap="around"/>
              <w:rPr>
                <w:rFonts w:hint="default"/>
              </w:rPr>
            </w:pPr>
            <w:r>
              <w:t>2026 - 5 - 25 发布</w:t>
            </w:r>
          </w:p>
        </w:tc>
        <w:tc>
          <w:tcPr>
            <w:tcW w:w="4945" w:type="dxa"/>
            <w:tcBorders>
              <w:bottom w:val="single" w:sz="8" w:space="0" w:color="auto"/>
            </w:tcBorders>
            <w:tcMar>
              <w:right w:w="57" w:type="dxa"/>
            </w:tcMar>
          </w:tcPr>
          <w:p w14:paraId="58D6956B" w14:textId="77777777" w:rsidR="00C52926" w:rsidRDefault="00000000">
            <w:pPr>
              <w:pStyle w:val="afa"/>
              <w:framePr w:wrap="around"/>
              <w:jc w:val="right"/>
              <w:rPr>
                <w:rFonts w:hint="default"/>
              </w:rPr>
            </w:pPr>
            <w:r>
              <w:t>2026 - 5 - 25 实施</w:t>
            </w:r>
          </w:p>
        </w:tc>
      </w:tr>
    </w:tbl>
    <w:p w14:paraId="14FBF6CF" w14:textId="77777777" w:rsidR="00C52926" w:rsidRDefault="00000000">
      <w:pPr>
        <w:pStyle w:val="21"/>
        <w:framePr w:wrap="around"/>
      </w:pPr>
      <w:r>
        <w:fldChar w:fldCharType="begin">
          <w:ffData>
            <w:name w:val="FM2"/>
            <w:enabled/>
            <w:calcOnExit w:val="0"/>
            <w:textInput/>
          </w:ffData>
        </w:fldChar>
      </w:r>
      <w:bookmarkStart w:id="9" w:name="FM2"/>
      <w:r>
        <w:instrText>FORMTEXT</w:instrText>
      </w:r>
      <w:r>
        <w:fldChar w:fldCharType="separate"/>
      </w:r>
      <w:r>
        <w:rPr>
          <w:rFonts w:hint="default"/>
        </w:rPr>
        <w:t>  </w:t>
      </w:r>
      <w:r>
        <w:t>江西省食品科学技术学会</w:t>
      </w:r>
      <w:r>
        <w:rPr>
          <w:rFonts w:hint="default"/>
        </w:rPr>
        <w:t>   </w:t>
      </w:r>
      <w:r>
        <w:fldChar w:fldCharType="end"/>
      </w:r>
      <w:bookmarkEnd w:id="9"/>
      <w:r>
        <w:t>  </w:t>
      </w:r>
      <w:r>
        <w:rPr>
          <w:spacing w:val="85"/>
        </w:rPr>
        <w:t>发</w:t>
      </w:r>
      <w:r>
        <w:t>布</w:t>
      </w:r>
    </w:p>
    <w:tbl>
      <w:tblPr>
        <w:tblStyle w:val="af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3"/>
        <w:gridCol w:w="9107"/>
      </w:tblGrid>
      <w:tr w:rsidR="00C52926" w14:paraId="23006768" w14:textId="77777777">
        <w:tc>
          <w:tcPr>
            <w:tcW w:w="463" w:type="dxa"/>
          </w:tcPr>
          <w:p w14:paraId="21382F8E" w14:textId="77777777" w:rsidR="00C52926" w:rsidRDefault="00000000">
            <w:pPr>
              <w:pStyle w:val="afd"/>
              <w:framePr w:w="9639" w:wrap="around"/>
              <w:rPr>
                <w:rFonts w:hint="default"/>
              </w:rPr>
            </w:pPr>
            <w:r>
              <w:t>ICS</w:t>
            </w:r>
          </w:p>
        </w:tc>
        <w:tc>
          <w:tcPr>
            <w:tcW w:w="9107" w:type="dxa"/>
          </w:tcPr>
          <w:p w14:paraId="03851196" w14:textId="77777777" w:rsidR="00C52926" w:rsidRDefault="00000000">
            <w:pPr>
              <w:pStyle w:val="afd"/>
              <w:framePr w:w="9639" w:wrap="around"/>
              <w:rPr>
                <w:rFonts w:hint="default"/>
                <w:lang w:val="en-GB"/>
              </w:rPr>
            </w:pPr>
            <w:r>
              <w:rPr>
                <w:rFonts w:hint="default"/>
                <w:lang w:val="en-GB"/>
              </w:rPr>
              <w:t>67.120</w:t>
            </w:r>
          </w:p>
        </w:tc>
      </w:tr>
      <w:tr w:rsidR="00C52926" w14:paraId="1312041B" w14:textId="77777777">
        <w:tc>
          <w:tcPr>
            <w:tcW w:w="463" w:type="dxa"/>
          </w:tcPr>
          <w:p w14:paraId="618BD84C" w14:textId="77777777" w:rsidR="00C52926" w:rsidRDefault="00000000">
            <w:pPr>
              <w:pStyle w:val="afd"/>
              <w:framePr w:w="9639" w:wrap="around"/>
              <w:rPr>
                <w:rFonts w:hint="default"/>
              </w:rPr>
            </w:pPr>
            <w:r>
              <w:t>CCS</w:t>
            </w:r>
          </w:p>
        </w:tc>
        <w:tc>
          <w:tcPr>
            <w:tcW w:w="9107" w:type="dxa"/>
          </w:tcPr>
          <w:p w14:paraId="4CF5BB71" w14:textId="77777777" w:rsidR="00C52926" w:rsidRDefault="00000000">
            <w:pPr>
              <w:pStyle w:val="afd"/>
              <w:framePr w:w="9639" w:wrap="around"/>
              <w:rPr>
                <w:rFonts w:hint="default"/>
                <w:lang w:val="en-GB"/>
              </w:rPr>
            </w:pPr>
            <w:r>
              <w:rPr>
                <w:rFonts w:hint="default"/>
                <w:lang w:val="en-GB"/>
              </w:rPr>
              <w:t>X.22</w:t>
            </w:r>
          </w:p>
          <w:tbl>
            <w:tblPr>
              <w:tblStyle w:val="af1"/>
              <w:tblpPr w:vertAnchor="page" w:horzAnchor="margin" w:tblpXSpec="right" w:tblpY="114"/>
              <w:tblOverlap w:val="never"/>
              <w:tblW w:w="666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2"/>
            </w:tblGrid>
            <w:tr w:rsidR="00C52926" w14:paraId="3F84026C" w14:textId="77777777">
              <w:trPr>
                <w:trHeight w:val="1281"/>
              </w:trPr>
              <w:tc>
                <w:tcPr>
                  <w:tcW w:w="9107" w:type="dxa"/>
                  <w:vAlign w:val="center"/>
                </w:tcPr>
                <w:p w14:paraId="0A24C41B" w14:textId="77777777" w:rsidR="00C52926" w:rsidRDefault="00000000">
                  <w:pPr>
                    <w:pStyle w:val="afd"/>
                    <w:framePr w:wrap="auto" w:vAnchor="margin" w:hAnchor="text" w:xAlign="left" w:yAlign="inline"/>
                    <w:jc w:val="right"/>
                    <w:rPr>
                      <w:rFonts w:ascii="Times New Roman" w:eastAsia="宋体" w:hint="default"/>
                      <w:b/>
                      <w:w w:val="130"/>
                      <w:kern w:val="0"/>
                    </w:rPr>
                  </w:pPr>
                  <w:r>
                    <w:rPr>
                      <w:rFonts w:hAnsi="黑体" w:cs="黑体"/>
                      <w:sz w:val="72"/>
                      <w:szCs w:val="72"/>
                    </w:rPr>
                    <w:t xml:space="preserve"> T/JXIFST</w:t>
                  </w:r>
                </w:p>
              </w:tc>
            </w:tr>
          </w:tbl>
          <w:p w14:paraId="465DAF11" w14:textId="77777777" w:rsidR="00C52926" w:rsidRDefault="00C52926">
            <w:pPr>
              <w:pStyle w:val="afd"/>
              <w:framePr w:w="9639" w:wrap="around"/>
              <w:rPr>
                <w:rFonts w:hint="default"/>
              </w:rPr>
            </w:pPr>
          </w:p>
        </w:tc>
      </w:tr>
    </w:tbl>
    <w:p w14:paraId="35344CFC" w14:textId="77777777" w:rsidR="00C52926" w:rsidRDefault="00C52926">
      <w:pPr>
        <w:pStyle w:val="afd"/>
        <w:framePr w:w="9639" w:wrap="around"/>
        <w:rPr>
          <w:rFonts w:hint="default"/>
        </w:rPr>
        <w:sectPr w:rsidR="00C5292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-340" w:right="1134" w:bottom="1021" w:left="1134" w:header="0" w:footer="0" w:gutter="284"/>
          <w:pgNumType w:fmt="upperRoman" w:start="1"/>
          <w:cols w:space="425"/>
          <w:titlePg/>
          <w:docGrid w:type="lines" w:linePitch="312"/>
        </w:sectPr>
      </w:pPr>
    </w:p>
    <w:p w14:paraId="327A3CD5" w14:textId="77777777" w:rsidR="00C52926" w:rsidRDefault="00000000">
      <w:pPr>
        <w:pStyle w:val="affa"/>
        <w:outlineLvl w:val="9"/>
      </w:pPr>
      <w:bookmarkStart w:id="10" w:name="_Toc25620"/>
      <w:bookmarkStart w:id="11" w:name="_Toc23787"/>
      <w:bookmarkStart w:id="12" w:name="_Toc31708"/>
      <w:bookmarkStart w:id="13" w:name="_Toc19265"/>
      <w:bookmarkStart w:id="14" w:name="_Toc16641"/>
      <w:bookmarkStart w:id="15" w:name="_Toc526946704"/>
      <w:bookmarkStart w:id="16" w:name="_Toc526945991"/>
      <w:bookmarkEnd w:id="1"/>
      <w:bookmarkEnd w:id="2"/>
      <w:bookmarkEnd w:id="3"/>
      <w:bookmarkEnd w:id="4"/>
      <w:bookmarkEnd w:id="5"/>
      <w:bookmarkEnd w:id="6"/>
      <w:bookmarkEnd w:id="7"/>
      <w:r>
        <w:rPr>
          <w:rFonts w:hint="eastAsia"/>
        </w:rPr>
        <w:lastRenderedPageBreak/>
        <w:t>目</w:t>
      </w:r>
      <w:bookmarkStart w:id="17" w:name="BKML"/>
      <w:r>
        <w:rPr>
          <w:rFonts w:hAnsi="黑体"/>
        </w:rPr>
        <w:t>  </w:t>
      </w:r>
      <w:r>
        <w:rPr>
          <w:rFonts w:hint="eastAsia"/>
        </w:rPr>
        <w:t>次</w:t>
      </w:r>
      <w:bookmarkEnd w:id="10"/>
      <w:bookmarkEnd w:id="11"/>
      <w:bookmarkEnd w:id="12"/>
      <w:bookmarkEnd w:id="13"/>
      <w:bookmarkEnd w:id="14"/>
      <w:bookmarkEnd w:id="17"/>
    </w:p>
    <w:p w14:paraId="167C96B1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r>
        <w:rPr>
          <w:rFonts w:hint="eastAsia"/>
        </w:rPr>
        <w:fldChar w:fldCharType="begin"/>
      </w:r>
      <w:r>
        <w:rPr>
          <w:rFonts w:hint="eastAsia"/>
        </w:rPr>
        <w:instrText xml:space="preserve">TOC \o "1-1" \h \u </w:instrText>
      </w:r>
      <w:r>
        <w:rPr>
          <w:rFonts w:hint="eastAsia"/>
        </w:rPr>
        <w:fldChar w:fldCharType="separate"/>
      </w:r>
      <w:hyperlink w:anchor="_Toc8" w:history="1">
        <w:r>
          <w:rPr>
            <w:rFonts w:ascii="宋体" w:eastAsia="宋体" w:hAnsi="Times New Roman" w:hint="eastAsia"/>
            <w:sz w:val="21"/>
            <w:szCs w:val="21"/>
          </w:rPr>
          <w:t>前  言</w:t>
        </w:r>
        <w:r>
          <w:rPr>
            <w:rFonts w:ascii="宋体" w:eastAsia="宋体" w:hAnsi="Times New Roman" w:hint="eastAsia"/>
            <w:sz w:val="21"/>
            <w:szCs w:val="21"/>
          </w:rPr>
          <w:tab/>
        </w:r>
        <w:r>
          <w:rPr>
            <w:rFonts w:ascii="宋体" w:eastAsia="宋体" w:hAnsi="Times New Roman" w:hint="eastAsia"/>
            <w:sz w:val="21"/>
            <w:szCs w:val="21"/>
          </w:rPr>
          <w:fldChar w:fldCharType="begin"/>
        </w:r>
        <w:r>
          <w:rPr>
            <w:rFonts w:ascii="宋体" w:eastAsia="宋体" w:hAnsi="Times New Roman" w:hint="eastAsia"/>
            <w:sz w:val="21"/>
            <w:szCs w:val="21"/>
          </w:rPr>
          <w:instrText xml:space="preserve"> PAGEREF _Toc8 </w:instrText>
        </w:r>
        <w:r>
          <w:rPr>
            <w:rFonts w:ascii="宋体" w:eastAsia="宋体" w:hAnsi="Times New Roman" w:hint="eastAsia"/>
            <w:sz w:val="21"/>
            <w:szCs w:val="21"/>
          </w:rPr>
          <w:fldChar w:fldCharType="separate"/>
        </w:r>
        <w:r>
          <w:rPr>
            <w:rFonts w:ascii="宋体" w:eastAsia="宋体" w:hAnsi="Times New Roman" w:hint="eastAsia"/>
            <w:sz w:val="21"/>
            <w:szCs w:val="21"/>
          </w:rPr>
          <w:t>II</w:t>
        </w:r>
        <w:r>
          <w:rPr>
            <w:rFonts w:ascii="宋体" w:eastAsia="宋体" w:hAnsi="Times New Roman" w:hint="eastAsia"/>
            <w:sz w:val="21"/>
            <w:szCs w:val="21"/>
          </w:rPr>
          <w:fldChar w:fldCharType="end"/>
        </w:r>
      </w:hyperlink>
    </w:p>
    <w:p w14:paraId="44ADB993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1989" w:history="1">
        <w:r>
          <w:rPr>
            <w:rFonts w:ascii="宋体" w:eastAsia="宋体" w:hAnsi="Times New Roman" w:hint="eastAsia"/>
            <w:sz w:val="21"/>
            <w:szCs w:val="21"/>
          </w:rPr>
          <w:t>1  范围</w:t>
        </w:r>
        <w:r>
          <w:rPr>
            <w:rFonts w:ascii="宋体" w:eastAsia="宋体" w:hAnsi="Times New Roman" w:hint="eastAsia"/>
            <w:sz w:val="21"/>
            <w:szCs w:val="21"/>
          </w:rPr>
          <w:tab/>
        </w:r>
        <w:r>
          <w:rPr>
            <w:rFonts w:ascii="宋体" w:eastAsia="宋体" w:hAnsi="Times New Roman" w:hint="eastAsia"/>
            <w:sz w:val="21"/>
            <w:szCs w:val="21"/>
          </w:rPr>
          <w:fldChar w:fldCharType="begin"/>
        </w:r>
        <w:r>
          <w:rPr>
            <w:rFonts w:ascii="宋体" w:eastAsia="宋体" w:hAnsi="Times New Roman" w:hint="eastAsia"/>
            <w:sz w:val="21"/>
            <w:szCs w:val="21"/>
          </w:rPr>
          <w:instrText xml:space="preserve"> PAGEREF _Toc1989 </w:instrText>
        </w:r>
        <w:r>
          <w:rPr>
            <w:rFonts w:ascii="宋体" w:eastAsia="宋体" w:hAnsi="Times New Roman" w:hint="eastAsia"/>
            <w:sz w:val="21"/>
            <w:szCs w:val="21"/>
          </w:rPr>
          <w:fldChar w:fldCharType="separate"/>
        </w:r>
        <w:r>
          <w:rPr>
            <w:rFonts w:ascii="宋体" w:eastAsia="宋体" w:hAnsi="Times New Roman" w:hint="eastAsia"/>
            <w:sz w:val="21"/>
            <w:szCs w:val="21"/>
          </w:rPr>
          <w:t>1</w:t>
        </w:r>
        <w:r>
          <w:rPr>
            <w:rFonts w:ascii="宋体" w:eastAsia="宋体" w:hAnsi="Times New Roman" w:hint="eastAsia"/>
            <w:sz w:val="21"/>
            <w:szCs w:val="21"/>
          </w:rPr>
          <w:fldChar w:fldCharType="end"/>
        </w:r>
      </w:hyperlink>
    </w:p>
    <w:p w14:paraId="57B51BDC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4465" w:history="1">
        <w:r>
          <w:rPr>
            <w:rFonts w:ascii="宋体" w:eastAsia="宋体" w:hAnsi="Times New Roman" w:hint="eastAsia"/>
            <w:sz w:val="21"/>
            <w:szCs w:val="21"/>
          </w:rPr>
          <w:t>2  规范性引用文件</w:t>
        </w:r>
        <w:r>
          <w:rPr>
            <w:rFonts w:ascii="宋体" w:eastAsia="宋体" w:hAnsi="Times New Roman" w:hint="eastAsia"/>
            <w:sz w:val="21"/>
            <w:szCs w:val="21"/>
          </w:rPr>
          <w:tab/>
        </w:r>
        <w:r>
          <w:rPr>
            <w:rFonts w:ascii="宋体" w:eastAsia="宋体" w:hAnsi="Times New Roman" w:hint="eastAsia"/>
            <w:sz w:val="21"/>
            <w:szCs w:val="21"/>
          </w:rPr>
          <w:fldChar w:fldCharType="begin"/>
        </w:r>
        <w:r>
          <w:rPr>
            <w:rFonts w:ascii="宋体" w:eastAsia="宋体" w:hAnsi="Times New Roman" w:hint="eastAsia"/>
            <w:sz w:val="21"/>
            <w:szCs w:val="21"/>
          </w:rPr>
          <w:instrText xml:space="preserve"> PAGEREF _Toc4465 </w:instrText>
        </w:r>
        <w:r>
          <w:rPr>
            <w:rFonts w:ascii="宋体" w:eastAsia="宋体" w:hAnsi="Times New Roman" w:hint="eastAsia"/>
            <w:sz w:val="21"/>
            <w:szCs w:val="21"/>
          </w:rPr>
          <w:fldChar w:fldCharType="separate"/>
        </w:r>
        <w:r>
          <w:rPr>
            <w:rFonts w:ascii="宋体" w:eastAsia="宋体" w:hAnsi="Times New Roman" w:hint="eastAsia"/>
            <w:sz w:val="21"/>
            <w:szCs w:val="21"/>
          </w:rPr>
          <w:t>1</w:t>
        </w:r>
        <w:r>
          <w:rPr>
            <w:rFonts w:ascii="宋体" w:eastAsia="宋体" w:hAnsi="Times New Roman" w:hint="eastAsia"/>
            <w:sz w:val="21"/>
            <w:szCs w:val="21"/>
          </w:rPr>
          <w:fldChar w:fldCharType="end"/>
        </w:r>
      </w:hyperlink>
    </w:p>
    <w:p w14:paraId="59FAB07F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14000" w:history="1">
        <w:r>
          <w:rPr>
            <w:rFonts w:ascii="宋体" w:eastAsia="宋体" w:hAnsi="Times New Roman" w:hint="eastAsia"/>
            <w:sz w:val="21"/>
            <w:szCs w:val="21"/>
          </w:rPr>
          <w:t>3  术语和定义</w:t>
        </w:r>
        <w:r>
          <w:rPr>
            <w:rFonts w:ascii="宋体" w:eastAsia="宋体" w:hAnsi="Times New Roman" w:hint="eastAsia"/>
            <w:sz w:val="21"/>
            <w:szCs w:val="21"/>
          </w:rPr>
          <w:tab/>
          <w:t>1</w:t>
        </w:r>
      </w:hyperlink>
    </w:p>
    <w:p w14:paraId="0151CF5B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0827" w:history="1">
        <w:r>
          <w:rPr>
            <w:rFonts w:ascii="宋体" w:eastAsia="宋体" w:hAnsi="Times New Roman" w:hint="eastAsia"/>
            <w:sz w:val="21"/>
            <w:szCs w:val="21"/>
          </w:rPr>
          <w:t>4  选址及厂区环境</w:t>
        </w:r>
        <w:r>
          <w:rPr>
            <w:rFonts w:ascii="宋体" w:eastAsia="宋体" w:hAnsi="Times New Roman" w:hint="eastAsia"/>
            <w:sz w:val="21"/>
            <w:szCs w:val="21"/>
          </w:rPr>
          <w:tab/>
          <w:t>2</w:t>
        </w:r>
      </w:hyperlink>
    </w:p>
    <w:p w14:paraId="3A8C9A05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11923" w:history="1">
        <w:r>
          <w:rPr>
            <w:rFonts w:ascii="宋体" w:eastAsia="宋体" w:hAnsi="Times New Roman" w:hint="eastAsia"/>
            <w:sz w:val="21"/>
            <w:szCs w:val="21"/>
          </w:rPr>
          <w:t>5  厂房和车间</w:t>
        </w:r>
        <w:r>
          <w:rPr>
            <w:rFonts w:ascii="宋体" w:eastAsia="宋体" w:hAnsi="Times New Roman" w:hint="eastAsia"/>
            <w:sz w:val="21"/>
            <w:szCs w:val="21"/>
          </w:rPr>
          <w:tab/>
          <w:t>2</w:t>
        </w:r>
      </w:hyperlink>
    </w:p>
    <w:p w14:paraId="3EFD81FE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7125" w:history="1">
        <w:r>
          <w:rPr>
            <w:rFonts w:ascii="宋体" w:eastAsia="宋体" w:hAnsi="Times New Roman" w:hint="eastAsia"/>
            <w:sz w:val="21"/>
            <w:szCs w:val="21"/>
          </w:rPr>
          <w:t>6  设施与设备</w:t>
        </w:r>
        <w:r>
          <w:rPr>
            <w:rFonts w:ascii="宋体" w:eastAsia="宋体" w:hAnsi="Times New Roman" w:hint="eastAsia"/>
            <w:sz w:val="21"/>
            <w:szCs w:val="21"/>
          </w:rPr>
          <w:tab/>
          <w:t>2</w:t>
        </w:r>
      </w:hyperlink>
    </w:p>
    <w:p w14:paraId="1E70B9DA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7  原料肉、辅料、食品添加剂和包装</w:t>
        </w:r>
        <w:r>
          <w:rPr>
            <w:rFonts w:ascii="宋体" w:eastAsia="宋体" w:hAnsi="Times New Roman" w:hint="eastAsia"/>
            <w:sz w:val="21"/>
            <w:szCs w:val="21"/>
          </w:rPr>
          <w:tab/>
          <w:t>2</w:t>
        </w:r>
      </w:hyperlink>
    </w:p>
    <w:p w14:paraId="6596AC19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8  产品加工</w:t>
        </w:r>
        <w:r>
          <w:rPr>
            <w:rFonts w:ascii="宋体" w:eastAsia="宋体" w:hAnsi="Times New Roman" w:hint="eastAsia"/>
            <w:sz w:val="21"/>
            <w:szCs w:val="21"/>
          </w:rPr>
          <w:tab/>
          <w:t>2</w:t>
        </w:r>
      </w:hyperlink>
    </w:p>
    <w:p w14:paraId="605514FF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9  卫生管理和微生物污染控制</w:t>
        </w:r>
        <w:r>
          <w:rPr>
            <w:rFonts w:ascii="宋体" w:eastAsia="宋体" w:hAnsi="Times New Roman" w:hint="eastAsia"/>
            <w:sz w:val="21"/>
            <w:szCs w:val="21"/>
          </w:rPr>
          <w:tab/>
          <w:t>3</w:t>
        </w:r>
      </w:hyperlink>
    </w:p>
    <w:p w14:paraId="3B135347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10 产品质量</w:t>
        </w:r>
        <w:r>
          <w:rPr>
            <w:rFonts w:ascii="宋体" w:eastAsia="宋体" w:hAnsi="Times New Roman" w:hint="eastAsia"/>
            <w:sz w:val="21"/>
            <w:szCs w:val="21"/>
          </w:rPr>
          <w:tab/>
          <w:t>4</w:t>
        </w:r>
      </w:hyperlink>
    </w:p>
    <w:p w14:paraId="6F6EA00F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11 标签标识</w:t>
        </w:r>
        <w:r>
          <w:rPr>
            <w:rFonts w:ascii="宋体" w:eastAsia="宋体" w:hAnsi="Times New Roman" w:hint="eastAsia"/>
            <w:sz w:val="21"/>
            <w:szCs w:val="21"/>
          </w:rPr>
          <w:tab/>
          <w:t>5</w:t>
        </w:r>
      </w:hyperlink>
    </w:p>
    <w:p w14:paraId="01FF546B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12 储存和运输</w:t>
        </w:r>
        <w:r>
          <w:rPr>
            <w:rFonts w:ascii="宋体" w:eastAsia="宋体" w:hAnsi="Times New Roman" w:hint="eastAsia"/>
            <w:sz w:val="21"/>
            <w:szCs w:val="21"/>
          </w:rPr>
          <w:tab/>
          <w:t>5</w:t>
        </w:r>
      </w:hyperlink>
    </w:p>
    <w:p w14:paraId="3B562ED0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13 追溯、投诉和召回</w:t>
        </w:r>
        <w:r>
          <w:rPr>
            <w:rFonts w:ascii="宋体" w:eastAsia="宋体" w:hAnsi="Times New Roman" w:hint="eastAsia"/>
            <w:sz w:val="21"/>
            <w:szCs w:val="21"/>
          </w:rPr>
          <w:tab/>
          <w:t>5</w:t>
        </w:r>
      </w:hyperlink>
    </w:p>
    <w:p w14:paraId="744EC644" w14:textId="77777777" w:rsidR="00C52926" w:rsidRDefault="00000000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  <w:hyperlink w:anchor="_Toc28318" w:history="1">
        <w:r>
          <w:rPr>
            <w:rFonts w:ascii="宋体" w:eastAsia="宋体" w:hAnsi="Times New Roman" w:hint="eastAsia"/>
            <w:sz w:val="21"/>
            <w:szCs w:val="21"/>
          </w:rPr>
          <w:t>14 记录管理</w:t>
        </w:r>
        <w:r>
          <w:rPr>
            <w:rFonts w:ascii="宋体" w:eastAsia="宋体" w:hAnsi="Times New Roman" w:hint="eastAsia"/>
            <w:sz w:val="21"/>
            <w:szCs w:val="21"/>
          </w:rPr>
          <w:tab/>
          <w:t>6</w:t>
        </w:r>
      </w:hyperlink>
    </w:p>
    <w:p w14:paraId="0D191458" w14:textId="77777777" w:rsidR="00C52926" w:rsidRDefault="00C52926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</w:p>
    <w:p w14:paraId="162E2E57" w14:textId="77777777" w:rsidR="00C52926" w:rsidRDefault="00C52926">
      <w:pPr>
        <w:pStyle w:val="TOC1"/>
        <w:tabs>
          <w:tab w:val="right" w:leader="dot" w:pos="9354"/>
        </w:tabs>
        <w:spacing w:beforeLines="25" w:before="78" w:afterLines="25" w:after="78" w:line="240" w:lineRule="auto"/>
        <w:ind w:firstLineChars="0" w:firstLine="0"/>
        <w:jc w:val="left"/>
        <w:rPr>
          <w:rFonts w:ascii="宋体" w:eastAsia="宋体" w:hAnsi="Times New Roman"/>
          <w:sz w:val="21"/>
          <w:szCs w:val="21"/>
        </w:rPr>
      </w:pPr>
    </w:p>
    <w:p w14:paraId="04B48631" w14:textId="77777777" w:rsidR="00C52926" w:rsidRDefault="00C52926">
      <w:pPr>
        <w:pStyle w:val="TOC1"/>
        <w:tabs>
          <w:tab w:val="right" w:leader="dot" w:pos="9354"/>
        </w:tabs>
        <w:ind w:firstLine="560"/>
        <w:rPr>
          <w:rFonts w:hint="eastAsia"/>
        </w:rPr>
      </w:pPr>
    </w:p>
    <w:p w14:paraId="1C8CBD53" w14:textId="77777777" w:rsidR="00C52926" w:rsidRDefault="00000000">
      <w:pPr>
        <w:pStyle w:val="aff3"/>
      </w:pPr>
      <w:r>
        <w:rPr>
          <w:rFonts w:hint="eastAsia"/>
        </w:rPr>
        <w:fldChar w:fldCharType="end"/>
      </w:r>
    </w:p>
    <w:p w14:paraId="5E47E37B" w14:textId="77777777" w:rsidR="00C52926" w:rsidRDefault="00000000">
      <w:pPr>
        <w:pStyle w:val="affb"/>
      </w:pPr>
      <w:bookmarkStart w:id="18" w:name="_Toc8"/>
      <w:bookmarkStart w:id="19" w:name="_Toc869"/>
      <w:bookmarkStart w:id="20" w:name="_Toc527704460"/>
      <w:r>
        <w:rPr>
          <w:rFonts w:hint="eastAsia"/>
        </w:rPr>
        <w:lastRenderedPageBreak/>
        <w:t>前</w:t>
      </w:r>
      <w:bookmarkStart w:id="21" w:name="BKQY"/>
      <w:r>
        <w:rPr>
          <w:rFonts w:hAnsi="黑体"/>
        </w:rPr>
        <w:t>  </w:t>
      </w:r>
      <w:r>
        <w:rPr>
          <w:rFonts w:hint="eastAsia"/>
        </w:rPr>
        <w:t>言</w:t>
      </w:r>
      <w:bookmarkEnd w:id="15"/>
      <w:bookmarkEnd w:id="16"/>
      <w:bookmarkEnd w:id="18"/>
      <w:bookmarkEnd w:id="19"/>
      <w:bookmarkEnd w:id="20"/>
      <w:bookmarkEnd w:id="21"/>
    </w:p>
    <w:p w14:paraId="06EEC6B8" w14:textId="77777777" w:rsidR="00C52926" w:rsidRDefault="00000000">
      <w:pPr>
        <w:adjustRightInd w:val="0"/>
        <w:spacing w:line="360" w:lineRule="auto"/>
        <w:ind w:firstLine="420"/>
        <w:jc w:val="left"/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</w:pPr>
      <w:r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  <w:t>本文件按照GB/T 1.1</w:t>
      </w:r>
      <w:r>
        <w:rPr>
          <w:rFonts w:ascii="宋体" w:eastAsia="宋体" w:hAnsi="宋体" w:hint="eastAsia"/>
          <w:color w:val="0000FF"/>
          <w:kern w:val="0"/>
          <w:sz w:val="21"/>
          <w:szCs w:val="21"/>
        </w:rPr>
        <w:t>—</w:t>
      </w:r>
      <w:r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  <w:t>2020《标准化工作导则 第1部分：标准化文件的结构和起草规则》的规定起草。</w:t>
      </w:r>
    </w:p>
    <w:p w14:paraId="114A3CF0" w14:textId="77777777" w:rsidR="00C52926" w:rsidRDefault="00000000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="420"/>
        <w:rPr>
          <w:rFonts w:ascii="宋体" w:eastAsia="宋体" w:hAnsi="宋体" w:hint="eastAsia"/>
          <w:kern w:val="0"/>
          <w:sz w:val="21"/>
          <w:szCs w:val="21"/>
        </w:rPr>
      </w:pPr>
      <w:r>
        <w:rPr>
          <w:rFonts w:ascii="宋体" w:eastAsia="宋体" w:hAnsi="宋体" w:hint="eastAsia"/>
          <w:kern w:val="0"/>
          <w:sz w:val="21"/>
          <w:szCs w:val="21"/>
        </w:rPr>
        <w:t>请注意本文件的某些内容可能涉及专利。本文件的发布机构不承担识别专利的责任。</w:t>
      </w:r>
    </w:p>
    <w:p w14:paraId="68109096" w14:textId="77777777" w:rsidR="00C52926" w:rsidRDefault="00000000">
      <w:pPr>
        <w:adjustRightInd w:val="0"/>
        <w:spacing w:line="360" w:lineRule="auto"/>
        <w:ind w:firstLine="420"/>
        <w:jc w:val="left"/>
        <w:rPr>
          <w:rFonts w:ascii="宋体" w:eastAsia="宋体" w:hAnsi="宋体" w:cs="宋体" w:hint="eastAsia"/>
          <w:bCs/>
          <w:color w:val="000000"/>
          <w:kern w:val="0"/>
          <w:sz w:val="21"/>
          <w:szCs w:val="21"/>
          <w:highlight w:val="yellow"/>
        </w:rPr>
      </w:pPr>
      <w:r>
        <w:rPr>
          <w:rFonts w:ascii="宋体" w:eastAsia="宋体" w:hAnsi="宋体" w:hint="eastAsia"/>
          <w:kern w:val="0"/>
          <w:sz w:val="21"/>
          <w:szCs w:val="21"/>
        </w:rPr>
        <w:t>本文件由</w:t>
      </w:r>
      <w:r>
        <w:rPr>
          <w:rFonts w:ascii="宋体" w:eastAsia="宋体" w:hAnsi="宋体"/>
          <w:kern w:val="0"/>
          <w:sz w:val="21"/>
          <w:szCs w:val="21"/>
          <w:lang w:val="en-GB"/>
        </w:rPr>
        <w:t>江西省食品科学技术学会</w:t>
      </w:r>
      <w:r>
        <w:rPr>
          <w:rFonts w:ascii="宋体" w:eastAsia="宋体" w:hAnsi="宋体" w:hint="eastAsia"/>
          <w:kern w:val="0"/>
          <w:sz w:val="21"/>
          <w:szCs w:val="21"/>
        </w:rPr>
        <w:t>提出并归口。</w:t>
      </w:r>
    </w:p>
    <w:p w14:paraId="5E87BCAE" w14:textId="77777777" w:rsidR="00C52926" w:rsidRDefault="00000000">
      <w:pPr>
        <w:adjustRightInd w:val="0"/>
        <w:spacing w:line="360" w:lineRule="auto"/>
        <w:ind w:firstLine="420"/>
        <w:jc w:val="left"/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</w:pPr>
      <w:r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  <w:t>本文件起草单位：江西省农业科学院农产品质量安全与标准研究所、贵溪市农业农村粮食局、贵溪市串串产业协会、江西绿兴正创食品有限公司、江西国明食品有限公司、江西羽农实业有限公司。</w:t>
      </w:r>
    </w:p>
    <w:p w14:paraId="185E5886" w14:textId="77777777" w:rsidR="00C52926" w:rsidRDefault="00000000">
      <w:pPr>
        <w:adjustRightInd w:val="0"/>
        <w:spacing w:line="360" w:lineRule="auto"/>
        <w:ind w:firstLine="420"/>
        <w:jc w:val="left"/>
        <w:rPr>
          <w:rFonts w:ascii="宋体" w:eastAsia="宋体" w:hAnsi="宋体" w:cs="宋体" w:hint="eastAsia"/>
          <w:sz w:val="21"/>
          <w:szCs w:val="21"/>
          <w:lang w:val="en-GB"/>
        </w:rPr>
      </w:pPr>
      <w:r>
        <w:rPr>
          <w:rFonts w:ascii="宋体" w:eastAsia="宋体" w:hAnsi="宋体" w:cs="宋体" w:hint="eastAsia"/>
          <w:sz w:val="21"/>
          <w:szCs w:val="21"/>
        </w:rPr>
        <w:t>本</w:t>
      </w:r>
      <w:r>
        <w:rPr>
          <w:rFonts w:hAnsi="宋体" w:cs="宋体" w:hint="eastAsia"/>
          <w:sz w:val="21"/>
          <w:szCs w:val="21"/>
        </w:rPr>
        <w:t>文件</w:t>
      </w:r>
      <w:r>
        <w:rPr>
          <w:rFonts w:ascii="宋体" w:eastAsia="宋体" w:hAnsi="宋体" w:cs="宋体" w:hint="eastAsia"/>
          <w:sz w:val="21"/>
          <w:szCs w:val="21"/>
        </w:rPr>
        <w:t>主要起草人：廖且根、吴敏、张大文、张莉、袁丽娟、程金娟、</w:t>
      </w:r>
      <w:r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  <w:t>陈良优、</w:t>
      </w:r>
      <w:r>
        <w:rPr>
          <w:rFonts w:ascii="宋体" w:eastAsia="宋体" w:hAnsi="宋体" w:cs="宋体" w:hint="eastAsia"/>
          <w:sz w:val="21"/>
          <w:szCs w:val="21"/>
        </w:rPr>
        <w:t>江国</w:t>
      </w:r>
      <w:r>
        <w:rPr>
          <w:rFonts w:ascii="宋体" w:eastAsia="宋体" w:hAnsi="宋体" w:cs="宋体" w:hint="eastAsia"/>
          <w:bCs/>
          <w:color w:val="000000"/>
          <w:kern w:val="0"/>
          <w:sz w:val="21"/>
          <w:szCs w:val="21"/>
        </w:rPr>
        <w:t>庆、孔忠化</w:t>
      </w:r>
      <w:r>
        <w:rPr>
          <w:rFonts w:ascii="宋体" w:eastAsia="宋体" w:hAnsi="宋体" w:cs="宋体" w:hint="eastAsia"/>
          <w:sz w:val="21"/>
          <w:szCs w:val="21"/>
          <w:lang w:val="en-GB"/>
        </w:rPr>
        <w:t>。</w:t>
      </w:r>
    </w:p>
    <w:p w14:paraId="7676C313" w14:textId="77777777" w:rsidR="00C52926" w:rsidRDefault="00C52926">
      <w:pPr>
        <w:pStyle w:val="aff3"/>
      </w:pPr>
    </w:p>
    <w:p w14:paraId="4526AB29" w14:textId="77777777" w:rsidR="00C52926" w:rsidRDefault="00C52926">
      <w:pPr>
        <w:pStyle w:val="aff3"/>
        <w:sectPr w:rsidR="00C52926">
          <w:headerReference w:type="default" r:id="rId14"/>
          <w:footerReference w:type="default" r:id="rId15"/>
          <w:pgSz w:w="11906" w:h="16838"/>
          <w:pgMar w:top="567" w:right="1134" w:bottom="1134" w:left="1418" w:header="1418" w:footer="1134" w:gutter="0"/>
          <w:pgNumType w:fmt="upperRoman" w:start="1"/>
          <w:cols w:space="720"/>
          <w:formProt w:val="0"/>
          <w:docGrid w:type="lines" w:linePitch="312"/>
        </w:sectPr>
      </w:pPr>
    </w:p>
    <w:p w14:paraId="77811616" w14:textId="77777777" w:rsidR="00C52926" w:rsidRDefault="00000000">
      <w:pPr>
        <w:spacing w:beforeLines="50" w:before="156" w:afterLines="50" w:after="156"/>
        <w:ind w:firstLineChars="0" w:firstLine="0"/>
        <w:jc w:val="center"/>
        <w:outlineLvl w:val="0"/>
        <w:rPr>
          <w:rFonts w:ascii="黑体" w:eastAsia="黑体" w:hAnsi="黑体" w:cs="黑体" w:hint="eastAsia"/>
          <w:sz w:val="32"/>
          <w:szCs w:val="32"/>
        </w:rPr>
      </w:pPr>
      <w:bookmarkStart w:id="22" w:name="_Toc1989"/>
      <w:r>
        <w:rPr>
          <w:rFonts w:ascii="黑体" w:eastAsia="黑体" w:hAnsi="黑体" w:cs="黑体" w:hint="eastAsia"/>
          <w:sz w:val="32"/>
          <w:szCs w:val="32"/>
        </w:rPr>
        <w:lastRenderedPageBreak/>
        <w:t>贵溪肉串加工技术规范</w:t>
      </w:r>
    </w:p>
    <w:p w14:paraId="2E395429" w14:textId="77777777" w:rsidR="00C52926" w:rsidRDefault="00000000">
      <w:pPr>
        <w:pStyle w:val="a6"/>
        <w:rPr>
          <w:rFonts w:ascii="Times New Roman"/>
        </w:rPr>
      </w:pPr>
      <w:r>
        <w:rPr>
          <w:rFonts w:ascii="Times New Roman"/>
        </w:rPr>
        <w:t>范围</w:t>
      </w:r>
      <w:bookmarkEnd w:id="22"/>
    </w:p>
    <w:p w14:paraId="685E80A2" w14:textId="77777777" w:rsidR="00C52926" w:rsidRDefault="00000000">
      <w:pPr>
        <w:spacing w:line="360" w:lineRule="exact"/>
        <w:ind w:firstLine="420"/>
        <w:rPr>
          <w:rFonts w:ascii="宋体" w:eastAsia="宋体" w:hAnsi="宋体" w:hint="eastAsia"/>
          <w:sz w:val="21"/>
          <w:szCs w:val="22"/>
        </w:rPr>
      </w:pPr>
      <w:r>
        <w:rPr>
          <w:rFonts w:eastAsia="宋体" w:hint="eastAsia"/>
          <w:sz w:val="21"/>
          <w:szCs w:val="22"/>
        </w:rPr>
        <w:t>本文件</w:t>
      </w:r>
      <w:r>
        <w:rPr>
          <w:rFonts w:ascii="宋体" w:eastAsia="宋体" w:hAnsi="宋体" w:hint="eastAsia"/>
          <w:sz w:val="21"/>
          <w:szCs w:val="22"/>
        </w:rPr>
        <w:t>规定</w:t>
      </w:r>
      <w:r>
        <w:rPr>
          <w:rFonts w:eastAsia="宋体" w:hint="eastAsia"/>
          <w:sz w:val="21"/>
          <w:szCs w:val="22"/>
        </w:rPr>
        <w:t>了贵溪肉串的术语与定义，加工选址及厂区环境，厂房和车间，设施与设备，原料肉、辅料、食品添加剂和包装材料，产品加工，卫生管理与微生物污染控制，产品质量，包装与标识，储存和运输，追溯、投诉和召回，记录管理的</w:t>
      </w:r>
      <w:r>
        <w:rPr>
          <w:rFonts w:ascii="宋体" w:eastAsia="宋体" w:hAnsi="宋体" w:hint="eastAsia"/>
          <w:sz w:val="21"/>
          <w:szCs w:val="22"/>
        </w:rPr>
        <w:t>要求。</w:t>
      </w:r>
    </w:p>
    <w:p w14:paraId="0C79BB98" w14:textId="77777777" w:rsidR="00C52926" w:rsidRDefault="00000000">
      <w:pPr>
        <w:spacing w:line="360" w:lineRule="exact"/>
        <w:ind w:firstLine="420"/>
        <w:rPr>
          <w:rFonts w:ascii="宋体" w:eastAsia="宋体" w:hAnsi="宋体" w:hint="eastAsia"/>
          <w:sz w:val="21"/>
          <w:szCs w:val="22"/>
        </w:rPr>
      </w:pPr>
      <w:bookmarkStart w:id="23" w:name="_Toc376863534"/>
      <w:r>
        <w:rPr>
          <w:rFonts w:ascii="宋体" w:eastAsia="宋体" w:hAnsi="宋体" w:hint="eastAsia"/>
          <w:sz w:val="21"/>
          <w:szCs w:val="22"/>
        </w:rPr>
        <w:t>本文件适用于贵溪肉串的加工。</w:t>
      </w:r>
      <w:bookmarkEnd w:id="23"/>
    </w:p>
    <w:p w14:paraId="351E698C" w14:textId="77777777" w:rsidR="00C52926" w:rsidRDefault="00000000">
      <w:pPr>
        <w:pStyle w:val="a6"/>
        <w:rPr>
          <w:rFonts w:ascii="Times New Roman"/>
        </w:rPr>
      </w:pPr>
      <w:bookmarkStart w:id="24" w:name="_Toc4465"/>
      <w:r>
        <w:rPr>
          <w:rFonts w:ascii="Times New Roman"/>
        </w:rPr>
        <w:t>规范性引用文件</w:t>
      </w:r>
      <w:bookmarkEnd w:id="24"/>
    </w:p>
    <w:p w14:paraId="6AC3E398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</w:rPr>
      </w:pPr>
      <w:r>
        <w:rPr>
          <w:rFonts w:eastAsia="宋体" w:hint="eastAsia"/>
          <w:color w:val="000000"/>
          <w:sz w:val="21"/>
        </w:rPr>
        <w:t>下列文件对于本文件的应用是必不可少的。凡是注日期的引用文件，仅注日期的版本适用于本文件。凡是不注日期的引用文件，其最新版本（包括所有的修改单）适用于本文件。</w:t>
      </w:r>
    </w:p>
    <w:p w14:paraId="77FF1FD9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GB/T 191 </w:t>
      </w:r>
      <w:r>
        <w:rPr>
          <w:rFonts w:eastAsia="宋体"/>
          <w:color w:val="000000"/>
          <w:sz w:val="21"/>
          <w:szCs w:val="21"/>
        </w:rPr>
        <w:t>包装储运图形符号标志</w:t>
      </w:r>
    </w:p>
    <w:p w14:paraId="1175BBAD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2707 </w:t>
      </w:r>
      <w:r>
        <w:rPr>
          <w:rFonts w:eastAsia="宋体"/>
          <w:color w:val="000000"/>
          <w:sz w:val="21"/>
          <w:szCs w:val="21"/>
        </w:rPr>
        <w:t>鲜（冻）畜、禽产品</w:t>
      </w:r>
    </w:p>
    <w:p w14:paraId="6CAD886D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2721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食用盐</w:t>
      </w:r>
    </w:p>
    <w:p w14:paraId="5857C0B9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2760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食品添加剂使用标准</w:t>
      </w:r>
    </w:p>
    <w:p w14:paraId="39894E40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2762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食品中污染物限量</w:t>
      </w:r>
    </w:p>
    <w:p w14:paraId="638BCD4E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4789.1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总则</w:t>
      </w:r>
    </w:p>
    <w:p w14:paraId="0550244C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4789.2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菌落总数测定</w:t>
      </w:r>
    </w:p>
    <w:p w14:paraId="6E8D2DDB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4789.3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大肠菌群计数</w:t>
      </w:r>
    </w:p>
    <w:p w14:paraId="392517E1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4789.4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沙门氏菌检验</w:t>
      </w:r>
    </w:p>
    <w:p w14:paraId="5F11ED2D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4789.6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致泻大肠埃希氏菌检验</w:t>
      </w:r>
    </w:p>
    <w:p w14:paraId="4DC4BA67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4789.10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金黄色葡萄球菌检验</w:t>
      </w:r>
    </w:p>
    <w:p w14:paraId="0F2FE035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4789.30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食品微生物学检验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单核细胞增生李斯特氏菌检验</w:t>
      </w:r>
    </w:p>
    <w:p w14:paraId="3AB8FC1D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4806.7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食品接触用塑料材料及制品</w:t>
      </w:r>
    </w:p>
    <w:p w14:paraId="65ACBA7A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4806.12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食品接触用竹木材料及制品</w:t>
      </w:r>
    </w:p>
    <w:p w14:paraId="2E7AC146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5009.227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食品中过氧化值的测定</w:t>
      </w:r>
    </w:p>
    <w:p w14:paraId="365563EF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5009.228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食品中挥发性盐基氮的测定</w:t>
      </w:r>
    </w:p>
    <w:p w14:paraId="04E7A8EF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7718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预包装食品标签通则</w:t>
      </w:r>
    </w:p>
    <w:p w14:paraId="46489BE3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13104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食糖</w:t>
      </w:r>
    </w:p>
    <w:p w14:paraId="6A911CBE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14881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食品生产通用卫生规范</w:t>
      </w:r>
    </w:p>
    <w:p w14:paraId="5C089796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GB/T 15691 </w:t>
      </w:r>
      <w:r>
        <w:rPr>
          <w:rFonts w:eastAsia="宋体"/>
          <w:color w:val="000000"/>
          <w:sz w:val="21"/>
          <w:szCs w:val="21"/>
        </w:rPr>
        <w:t>香辛料调味品通用技术条件</w:t>
      </w:r>
    </w:p>
    <w:p w14:paraId="50AC4B47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19295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速冻面米与调制食品</w:t>
      </w:r>
    </w:p>
    <w:p w14:paraId="7CD0D14F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GB/T 22210 </w:t>
      </w:r>
      <w:r>
        <w:rPr>
          <w:rFonts w:eastAsia="宋体"/>
          <w:color w:val="000000"/>
          <w:sz w:val="21"/>
          <w:szCs w:val="21"/>
        </w:rPr>
        <w:t>肉与肉制品感官评定规范</w:t>
      </w:r>
    </w:p>
    <w:p w14:paraId="71FAC0D4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GBT 24616 </w:t>
      </w:r>
      <w:r>
        <w:rPr>
          <w:rFonts w:eastAsia="宋体"/>
          <w:color w:val="000000"/>
          <w:sz w:val="21"/>
          <w:szCs w:val="21"/>
        </w:rPr>
        <w:t>冷藏、冷冻食品物流包装、标志、运输和储存</w:t>
      </w:r>
    </w:p>
    <w:p w14:paraId="3BC46C0B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>GB</w:t>
      </w:r>
      <w:r>
        <w:rPr>
          <w:rFonts w:eastAsia="宋体"/>
          <w:color w:val="000000"/>
          <w:sz w:val="21"/>
          <w:szCs w:val="21"/>
          <w:lang w:val="en-GB"/>
        </w:rPr>
        <w:t>/</w:t>
      </w:r>
      <w:r>
        <w:rPr>
          <w:rFonts w:eastAsia="宋体"/>
          <w:color w:val="000000"/>
          <w:sz w:val="21"/>
          <w:szCs w:val="21"/>
        </w:rPr>
        <w:t>T 25007</w:t>
      </w:r>
      <w:r>
        <w:rPr>
          <w:rFonts w:eastAsia="宋体"/>
          <w:color w:val="000000"/>
          <w:sz w:val="21"/>
          <w:szCs w:val="21"/>
          <w:lang w:val="en-GB"/>
        </w:rPr>
        <w:t xml:space="preserve"> </w:t>
      </w:r>
      <w:r>
        <w:rPr>
          <w:rFonts w:eastAsia="宋体"/>
          <w:color w:val="000000"/>
          <w:sz w:val="21"/>
          <w:szCs w:val="21"/>
        </w:rPr>
        <w:t>速冻食品生产</w:t>
      </w:r>
      <w:r>
        <w:rPr>
          <w:rFonts w:eastAsia="宋体"/>
          <w:color w:val="000000"/>
          <w:sz w:val="21"/>
          <w:szCs w:val="21"/>
        </w:rPr>
        <w:t>HACCP</w:t>
      </w:r>
      <w:r>
        <w:rPr>
          <w:rFonts w:eastAsia="宋体"/>
          <w:color w:val="000000"/>
          <w:sz w:val="21"/>
          <w:szCs w:val="21"/>
        </w:rPr>
        <w:t>应用准则</w:t>
      </w:r>
    </w:p>
    <w:p w14:paraId="7971B28A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28050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预包装食品营养标签通则</w:t>
      </w:r>
    </w:p>
    <w:p w14:paraId="19DB6274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>GB 31605</w:t>
      </w:r>
      <w:r>
        <w:rPr>
          <w:rFonts w:eastAsia="宋体"/>
          <w:color w:val="000000"/>
          <w:sz w:val="21"/>
          <w:szCs w:val="21"/>
          <w:lang w:val="en-GB"/>
        </w:rPr>
        <w:t xml:space="preserve">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食品冷链物流卫生规范</w:t>
      </w:r>
    </w:p>
    <w:p w14:paraId="105CBB9C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 31637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食用淀粉</w:t>
      </w:r>
    </w:p>
    <w:p w14:paraId="5095FD61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lastRenderedPageBreak/>
        <w:t xml:space="preserve">GB 31661 </w:t>
      </w:r>
      <w:r>
        <w:rPr>
          <w:rFonts w:eastAsia="宋体"/>
          <w:color w:val="000000"/>
          <w:sz w:val="21"/>
          <w:szCs w:val="21"/>
        </w:rPr>
        <w:t>食品安全国家标准</w:t>
      </w:r>
      <w:r>
        <w:rPr>
          <w:rFonts w:eastAsia="宋体"/>
          <w:color w:val="000000"/>
          <w:sz w:val="21"/>
          <w:szCs w:val="21"/>
        </w:rPr>
        <w:t xml:space="preserve"> </w:t>
      </w:r>
      <w:r>
        <w:rPr>
          <w:rFonts w:eastAsia="宋体"/>
          <w:color w:val="000000"/>
          <w:sz w:val="21"/>
          <w:szCs w:val="21"/>
        </w:rPr>
        <w:t>调制肉制品生产卫生规范</w:t>
      </w:r>
    </w:p>
    <w:p w14:paraId="25264470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GB/T 45547 </w:t>
      </w:r>
      <w:r>
        <w:rPr>
          <w:rFonts w:eastAsia="宋体"/>
          <w:color w:val="000000"/>
          <w:sz w:val="21"/>
          <w:szCs w:val="21"/>
        </w:rPr>
        <w:t>食品生产追溯体系通用技术规范</w:t>
      </w:r>
    </w:p>
    <w:p w14:paraId="481C3A21" w14:textId="77777777" w:rsidR="00C52926" w:rsidRDefault="00000000">
      <w:pPr>
        <w:autoSpaceDE w:val="0"/>
        <w:autoSpaceDN w:val="0"/>
        <w:spacing w:line="340" w:lineRule="exact"/>
        <w:ind w:firstLine="420"/>
        <w:rPr>
          <w:rFonts w:eastAsia="宋体"/>
          <w:color w:val="000000"/>
          <w:sz w:val="21"/>
          <w:szCs w:val="21"/>
        </w:rPr>
      </w:pPr>
      <w:r>
        <w:rPr>
          <w:rFonts w:eastAsia="宋体"/>
          <w:color w:val="000000"/>
          <w:sz w:val="21"/>
          <w:szCs w:val="21"/>
        </w:rPr>
        <w:t xml:space="preserve">JJF 1070 </w:t>
      </w:r>
      <w:r>
        <w:rPr>
          <w:rFonts w:eastAsia="宋体"/>
          <w:color w:val="000000"/>
          <w:sz w:val="21"/>
          <w:szCs w:val="21"/>
        </w:rPr>
        <w:t>定量包装商品净含量计量检验规则（含第</w:t>
      </w:r>
      <w:r>
        <w:rPr>
          <w:rFonts w:eastAsia="宋体"/>
          <w:color w:val="000000"/>
          <w:sz w:val="21"/>
          <w:szCs w:val="21"/>
        </w:rPr>
        <w:t>1</w:t>
      </w:r>
      <w:r>
        <w:rPr>
          <w:rFonts w:eastAsia="宋体"/>
          <w:color w:val="000000"/>
          <w:sz w:val="21"/>
          <w:szCs w:val="21"/>
        </w:rPr>
        <w:t>号修改单）</w:t>
      </w:r>
    </w:p>
    <w:p w14:paraId="7DEEDBBA" w14:textId="77777777" w:rsidR="00C52926" w:rsidRDefault="00000000">
      <w:pPr>
        <w:pStyle w:val="a6"/>
        <w:rPr>
          <w:rFonts w:ascii="Times New Roman"/>
        </w:rPr>
      </w:pPr>
      <w:bookmarkStart w:id="25" w:name="_Toc14000"/>
      <w:r>
        <w:rPr>
          <w:rFonts w:ascii="Times New Roman"/>
        </w:rPr>
        <w:t>术语和定义</w:t>
      </w:r>
      <w:bookmarkEnd w:id="25"/>
    </w:p>
    <w:p w14:paraId="4F70634F" w14:textId="77777777" w:rsidR="00C52926" w:rsidRDefault="00000000">
      <w:pPr>
        <w:spacing w:line="360" w:lineRule="auto"/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GB 14881</w:t>
      </w:r>
      <w:r>
        <w:rPr>
          <w:rFonts w:eastAsia="宋体" w:hint="eastAsia"/>
          <w:sz w:val="21"/>
          <w:szCs w:val="24"/>
        </w:rPr>
        <w:t>和</w:t>
      </w:r>
      <w:r>
        <w:rPr>
          <w:rFonts w:eastAsia="宋体" w:hint="eastAsia"/>
          <w:sz w:val="21"/>
          <w:szCs w:val="24"/>
        </w:rPr>
        <w:t>GB 31661</w:t>
      </w:r>
      <w:r>
        <w:rPr>
          <w:rFonts w:eastAsia="宋体" w:hint="eastAsia"/>
          <w:sz w:val="21"/>
          <w:szCs w:val="24"/>
        </w:rPr>
        <w:t>界定的以及下列术语和定义适用于本文件。</w:t>
      </w:r>
    </w:p>
    <w:p w14:paraId="259EA78A" w14:textId="77777777" w:rsidR="00C52926" w:rsidRDefault="00C52926">
      <w:pPr>
        <w:pStyle w:val="a7"/>
        <w:numPr>
          <w:ilvl w:val="1"/>
          <w:numId w:val="8"/>
        </w:numPr>
        <w:spacing w:beforeLines="0" w:before="0" w:afterLines="0" w:after="0" w:line="360" w:lineRule="auto"/>
        <w:ind w:left="285" w:hangingChars="135" w:hanging="285"/>
        <w:rPr>
          <w:rFonts w:hAnsi="黑体" w:cs="黑体" w:hint="eastAsia"/>
          <w:b/>
        </w:rPr>
      </w:pPr>
      <w:bookmarkStart w:id="26" w:name="_Toc8725"/>
    </w:p>
    <w:p w14:paraId="528E2ACE" w14:textId="77777777" w:rsidR="00C52926" w:rsidRDefault="00000000">
      <w:pPr>
        <w:pStyle w:val="a7"/>
        <w:numPr>
          <w:ilvl w:val="255"/>
          <w:numId w:val="0"/>
        </w:numPr>
        <w:spacing w:beforeLines="0" w:before="0" w:afterLines="0" w:after="0" w:line="360" w:lineRule="auto"/>
        <w:ind w:leftChars="-135" w:left="-378" w:firstLineChars="400" w:firstLine="840"/>
        <w:rPr>
          <w:rFonts w:hAnsi="黑体" w:cs="黑体" w:hint="eastAsia"/>
          <w:b/>
        </w:rPr>
      </w:pPr>
      <w:r>
        <w:rPr>
          <w:rFonts w:hAnsi="黑体" w:cs="黑体" w:hint="eastAsia"/>
        </w:rPr>
        <w:t>肉串 M</w:t>
      </w:r>
      <w:r>
        <w:rPr>
          <w:rFonts w:hAnsi="黑体" w:cs="黑体" w:hint="eastAsia"/>
          <w:lang w:val="en-GB"/>
        </w:rPr>
        <w:t>eat skewer</w:t>
      </w:r>
      <w:bookmarkEnd w:id="26"/>
    </w:p>
    <w:p w14:paraId="330CFA3A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以畜禽肉或其可食副产品为主要原料，配以调味料（含食品添加剂），经滚揉、腌制、穿制、速冻等工艺制成，使用前需经二次加工的非即食类调制肉制品。</w:t>
      </w:r>
    </w:p>
    <w:p w14:paraId="13E8514C" w14:textId="77777777" w:rsidR="00C52926" w:rsidRDefault="00C52926">
      <w:pPr>
        <w:ind w:right="28" w:firstLineChars="202" w:firstLine="424"/>
        <w:rPr>
          <w:rFonts w:eastAsia="宋体"/>
          <w:sz w:val="21"/>
          <w:szCs w:val="24"/>
        </w:rPr>
      </w:pPr>
    </w:p>
    <w:p w14:paraId="52839C5C" w14:textId="77777777" w:rsidR="00C52926" w:rsidRDefault="00C52926">
      <w:pPr>
        <w:pStyle w:val="a7"/>
        <w:numPr>
          <w:ilvl w:val="1"/>
          <w:numId w:val="8"/>
        </w:numPr>
        <w:spacing w:beforeLines="0" w:before="0" w:afterLines="0" w:after="0" w:line="360" w:lineRule="auto"/>
        <w:ind w:left="285" w:hangingChars="135" w:hanging="285"/>
        <w:rPr>
          <w:rFonts w:hAnsi="黑体" w:cs="黑体" w:hint="eastAsia"/>
          <w:b/>
        </w:rPr>
      </w:pPr>
      <w:bookmarkStart w:id="27" w:name="_Toc20827"/>
    </w:p>
    <w:p w14:paraId="1E1267C4" w14:textId="77777777" w:rsidR="00C52926" w:rsidRDefault="00000000">
      <w:pPr>
        <w:pStyle w:val="a7"/>
        <w:numPr>
          <w:ilvl w:val="255"/>
          <w:numId w:val="0"/>
        </w:numPr>
        <w:spacing w:beforeLines="0" w:before="0" w:afterLines="0" w:after="0" w:line="360" w:lineRule="auto"/>
        <w:ind w:leftChars="-135" w:left="-378" w:firstLineChars="400" w:firstLine="840"/>
        <w:rPr>
          <w:rFonts w:hAnsi="黑体" w:cs="黑体" w:hint="eastAsia"/>
          <w:b/>
        </w:rPr>
      </w:pPr>
      <w:r>
        <w:rPr>
          <w:rFonts w:hAnsi="黑体" w:cs="黑体" w:hint="eastAsia"/>
        </w:rPr>
        <w:t xml:space="preserve">贵溪肉串 </w:t>
      </w:r>
      <w:r>
        <w:rPr>
          <w:rFonts w:hAnsi="黑体" w:cs="黑体" w:hint="eastAsia"/>
          <w:lang w:val="en-GB"/>
        </w:rPr>
        <w:t>Guixi meat skewer</w:t>
      </w:r>
    </w:p>
    <w:p w14:paraId="432384B9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江西省贵溪市境内生产的符合本文件要求的肉串。</w:t>
      </w:r>
    </w:p>
    <w:p w14:paraId="44A781BA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  <w:lang w:val="en-GB"/>
        </w:rPr>
      </w:pPr>
      <w:r>
        <w:rPr>
          <w:rFonts w:ascii="Times New Roman"/>
          <w:lang w:val="en-GB"/>
        </w:rPr>
        <w:t>选址及厂区环境</w:t>
      </w:r>
    </w:p>
    <w:p w14:paraId="69289236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  <w:lang w:val="en-GB"/>
        </w:rPr>
      </w:pPr>
      <w:r>
        <w:rPr>
          <w:rFonts w:eastAsia="宋体"/>
          <w:sz w:val="21"/>
          <w:szCs w:val="24"/>
          <w:lang w:val="en-GB"/>
        </w:rPr>
        <w:t>应符合</w:t>
      </w:r>
      <w:r>
        <w:rPr>
          <w:rFonts w:eastAsia="宋体"/>
          <w:sz w:val="21"/>
          <w:szCs w:val="24"/>
          <w:lang w:val="en-GB"/>
        </w:rPr>
        <w:t>GB</w:t>
      </w:r>
      <w:r>
        <w:rPr>
          <w:rFonts w:eastAsia="宋体" w:hint="eastAsia"/>
          <w:sz w:val="21"/>
          <w:szCs w:val="24"/>
        </w:rPr>
        <w:t xml:space="preserve"> </w:t>
      </w:r>
      <w:r>
        <w:rPr>
          <w:rFonts w:eastAsia="宋体"/>
          <w:sz w:val="21"/>
          <w:szCs w:val="24"/>
          <w:lang w:val="en-GB"/>
        </w:rPr>
        <w:t>14881</w:t>
      </w:r>
      <w:r>
        <w:rPr>
          <w:rFonts w:eastAsia="宋体"/>
          <w:sz w:val="21"/>
          <w:szCs w:val="24"/>
          <w:lang w:val="en-GB"/>
        </w:rPr>
        <w:t>的相关规定。</w:t>
      </w:r>
    </w:p>
    <w:p w14:paraId="547E130F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  <w:lang w:val="en-GB"/>
        </w:rPr>
      </w:pPr>
      <w:r>
        <w:rPr>
          <w:rFonts w:ascii="Times New Roman"/>
          <w:lang w:val="en-GB"/>
        </w:rPr>
        <w:t>厂房和车间</w:t>
      </w:r>
    </w:p>
    <w:p w14:paraId="03AE0071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宋体" w:eastAsia="宋体" w:hAnsi="宋体" w:cs="宋体" w:hint="eastAsia"/>
          <w:lang w:val="en-GB"/>
        </w:rPr>
      </w:pPr>
      <w:r>
        <w:rPr>
          <w:rFonts w:ascii="宋体" w:eastAsia="宋体" w:hAnsi="宋体" w:cs="宋体" w:hint="eastAsia"/>
          <w:lang w:val="en-GB"/>
        </w:rPr>
        <w:t>应符合GB 14881和GB 31661的相关规定。</w:t>
      </w:r>
    </w:p>
    <w:p w14:paraId="4553A84C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lang w:val="en-GB"/>
        </w:rPr>
      </w:pPr>
      <w:r>
        <w:rPr>
          <w:rFonts w:ascii="宋体" w:eastAsia="宋体" w:hAnsi="宋体" w:cs="宋体" w:hint="eastAsia"/>
          <w:lang w:val="en-GB"/>
        </w:rPr>
        <w:t>根据工艺要求，宜依序设置解冻间、分割间、滚揉间、腌制间、穿制间、速冻间，内包装间和外包装间等加工车间，以及原辅料的常温、冷藏、冷冻储存库，成品冷冻库。不同加工车间应相对隔离。</w:t>
      </w:r>
    </w:p>
    <w:p w14:paraId="356C3CC2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  <w:lang w:val="en-GB"/>
        </w:rPr>
      </w:pPr>
      <w:r>
        <w:rPr>
          <w:rFonts w:ascii="Times New Roman"/>
          <w:lang w:val="en-GB"/>
        </w:rPr>
        <w:t>设施与设备</w:t>
      </w:r>
    </w:p>
    <w:p w14:paraId="1463AD74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 w:hanging="6"/>
        <w:jc w:val="both"/>
        <w:rPr>
          <w:lang w:val="en-GB"/>
        </w:rPr>
      </w:pPr>
      <w:r>
        <w:rPr>
          <w:rFonts w:ascii="宋体" w:eastAsia="宋体" w:hAnsi="宋体" w:cs="宋体" w:hint="eastAsia"/>
          <w:lang w:val="en-GB"/>
        </w:rPr>
        <w:t>应符合</w:t>
      </w:r>
      <w:r>
        <w:rPr>
          <w:rFonts w:ascii="Times New Roman" w:eastAsia="宋体"/>
          <w:lang w:val="en-GB"/>
        </w:rPr>
        <w:t>GB</w:t>
      </w:r>
      <w:r>
        <w:rPr>
          <w:rFonts w:ascii="Times New Roman" w:eastAsia="宋体"/>
        </w:rPr>
        <w:t xml:space="preserve"> </w:t>
      </w:r>
      <w:r>
        <w:rPr>
          <w:rFonts w:ascii="Times New Roman" w:eastAsia="宋体"/>
          <w:lang w:val="en-GB"/>
        </w:rPr>
        <w:t>14881</w:t>
      </w:r>
      <w:r>
        <w:rPr>
          <w:rFonts w:ascii="Times New Roman" w:eastAsia="宋体"/>
          <w:lang w:val="en-GB"/>
        </w:rPr>
        <w:t>和</w:t>
      </w:r>
      <w:r>
        <w:rPr>
          <w:rFonts w:ascii="Times New Roman" w:eastAsia="宋体"/>
          <w:lang w:val="en-GB"/>
        </w:rPr>
        <w:t>GB</w:t>
      </w:r>
      <w:r>
        <w:rPr>
          <w:rFonts w:ascii="Times New Roman" w:eastAsia="宋体"/>
        </w:rPr>
        <w:t xml:space="preserve"> </w:t>
      </w:r>
      <w:r>
        <w:rPr>
          <w:rFonts w:ascii="Times New Roman" w:eastAsia="宋体"/>
          <w:lang w:val="en-GB"/>
        </w:rPr>
        <w:t>31661</w:t>
      </w:r>
      <w:r>
        <w:rPr>
          <w:rFonts w:ascii="宋体" w:eastAsia="宋体" w:hAnsi="宋体" w:cs="宋体" w:hint="eastAsia"/>
          <w:lang w:val="en-GB"/>
        </w:rPr>
        <w:t>的相关规定。</w:t>
      </w:r>
    </w:p>
    <w:p w14:paraId="4F01FFD9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 w:hanging="6"/>
        <w:jc w:val="both"/>
        <w:rPr>
          <w:rFonts w:ascii="宋体" w:eastAsia="宋体" w:hAnsi="宋体" w:cs="宋体" w:hint="eastAsia"/>
          <w:lang w:val="en-GB"/>
        </w:rPr>
      </w:pPr>
      <w:r>
        <w:rPr>
          <w:rFonts w:ascii="宋体" w:eastAsia="宋体" w:hAnsi="宋体" w:cs="宋体" w:hint="eastAsia"/>
          <w:lang w:val="en-GB"/>
        </w:rPr>
        <w:t>应在所有加工区域配备温度控制、显示及记录装置，并定期校准维护。</w:t>
      </w:r>
    </w:p>
    <w:p w14:paraId="1AC11754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 w:hint="eastAsia"/>
        </w:rPr>
        <w:t>原料肉、辅料、食品添加剂和包装材料</w:t>
      </w:r>
    </w:p>
    <w:p w14:paraId="7CA8AFC7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原料肉</w:t>
      </w:r>
    </w:p>
    <w:p w14:paraId="6E6C6352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原料肉应来自非疫区，应符合</w:t>
      </w:r>
      <w:r>
        <w:rPr>
          <w:rFonts w:eastAsia="宋体" w:hint="eastAsia"/>
          <w:sz w:val="21"/>
          <w:szCs w:val="24"/>
        </w:rPr>
        <w:t>GB 2707</w:t>
      </w:r>
      <w:r>
        <w:rPr>
          <w:rFonts w:eastAsia="宋体" w:hint="eastAsia"/>
          <w:sz w:val="21"/>
          <w:szCs w:val="24"/>
        </w:rPr>
        <w:t>的规定，并经检疫检验合格。冷冻原料肉</w:t>
      </w:r>
      <w:r>
        <w:rPr>
          <w:rFonts w:eastAsia="宋体" w:hint="eastAsia"/>
          <w:sz w:val="21"/>
          <w:szCs w:val="21"/>
        </w:rPr>
        <w:t>应在</w:t>
      </w:r>
      <w:r>
        <w:rPr>
          <w:rFonts w:ascii="宋体" w:eastAsia="宋体" w:hAnsi="宋体" w:cs="宋体" w:hint="eastAsia"/>
          <w:sz w:val="21"/>
          <w:szCs w:val="21"/>
        </w:rPr>
        <w:t>-18</w:t>
      </w:r>
      <w:r>
        <w:rPr>
          <w:rFonts w:eastAsia="宋体"/>
          <w:sz w:val="21"/>
          <w:szCs w:val="21"/>
        </w:rPr>
        <w:t>℃</w:t>
      </w:r>
      <w:r>
        <w:rPr>
          <w:rFonts w:eastAsia="宋体" w:hint="eastAsia"/>
          <w:sz w:val="21"/>
          <w:szCs w:val="21"/>
        </w:rPr>
        <w:t>及以下储存，不超过</w:t>
      </w:r>
      <w:r>
        <w:rPr>
          <w:rFonts w:eastAsia="宋体" w:hint="eastAsia"/>
          <w:sz w:val="21"/>
          <w:szCs w:val="21"/>
        </w:rPr>
        <w:t>12</w:t>
      </w:r>
      <w:r>
        <w:rPr>
          <w:rFonts w:eastAsia="宋体" w:hint="eastAsia"/>
          <w:sz w:val="21"/>
          <w:szCs w:val="21"/>
        </w:rPr>
        <w:t>个月。冷藏原料肉在</w:t>
      </w:r>
      <w:r>
        <w:rPr>
          <w:rFonts w:eastAsia="宋体" w:hint="eastAsia"/>
          <w:sz w:val="21"/>
          <w:szCs w:val="21"/>
        </w:rPr>
        <w:t>0</w:t>
      </w:r>
      <w:r>
        <w:rPr>
          <w:rFonts w:eastAsia="宋体"/>
          <w:sz w:val="21"/>
          <w:szCs w:val="21"/>
        </w:rPr>
        <w:t>℃</w:t>
      </w:r>
      <w:r>
        <w:rPr>
          <w:rFonts w:eastAsia="宋体" w:hint="eastAsia"/>
          <w:sz w:val="21"/>
          <w:szCs w:val="21"/>
        </w:rPr>
        <w:t>~4</w:t>
      </w:r>
      <w:r>
        <w:rPr>
          <w:rFonts w:eastAsia="宋体"/>
          <w:sz w:val="21"/>
          <w:szCs w:val="21"/>
        </w:rPr>
        <w:t>℃</w:t>
      </w:r>
      <w:r>
        <w:rPr>
          <w:rFonts w:eastAsia="宋体" w:hint="eastAsia"/>
          <w:sz w:val="21"/>
          <w:szCs w:val="21"/>
        </w:rPr>
        <w:t>储存，不超过</w:t>
      </w:r>
      <w:r>
        <w:rPr>
          <w:rFonts w:eastAsia="宋体" w:hint="eastAsia"/>
          <w:sz w:val="21"/>
          <w:szCs w:val="21"/>
        </w:rPr>
        <w:t xml:space="preserve">48 </w:t>
      </w:r>
      <w:r>
        <w:rPr>
          <w:rFonts w:eastAsia="宋体"/>
          <w:sz w:val="21"/>
          <w:szCs w:val="21"/>
          <w:lang w:val="en-GB"/>
        </w:rPr>
        <w:t>h</w:t>
      </w:r>
      <w:r>
        <w:rPr>
          <w:rFonts w:eastAsia="宋体" w:hint="eastAsia"/>
          <w:sz w:val="21"/>
          <w:szCs w:val="21"/>
          <w:lang w:val="en-GB"/>
        </w:rPr>
        <w:t>。</w:t>
      </w:r>
      <w:r>
        <w:rPr>
          <w:rFonts w:eastAsia="宋体" w:hint="eastAsia"/>
          <w:sz w:val="21"/>
          <w:szCs w:val="21"/>
        </w:rPr>
        <w:t>不应反复冻融</w:t>
      </w:r>
      <w:r>
        <w:rPr>
          <w:rFonts w:eastAsia="宋体" w:hint="eastAsia"/>
          <w:sz w:val="21"/>
          <w:szCs w:val="24"/>
        </w:rPr>
        <w:t>。</w:t>
      </w:r>
    </w:p>
    <w:p w14:paraId="4F2B2EB5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辅料和食品添加剂</w:t>
      </w:r>
    </w:p>
    <w:p w14:paraId="46ABC193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</w:pPr>
      <w:r>
        <w:rPr>
          <w:rFonts w:ascii="Times New Roman" w:eastAsia="宋体" w:hint="eastAsia"/>
        </w:rPr>
        <w:lastRenderedPageBreak/>
        <w:t>食用淀粉应符合</w:t>
      </w:r>
      <w:r>
        <w:rPr>
          <w:rFonts w:ascii="Times New Roman" w:eastAsia="宋体" w:hint="eastAsia"/>
        </w:rPr>
        <w:t>GB 31637</w:t>
      </w:r>
      <w:r>
        <w:rPr>
          <w:rFonts w:ascii="Times New Roman" w:eastAsia="宋体" w:hint="eastAsia"/>
        </w:rPr>
        <w:t>规定，食用盐应符合</w:t>
      </w:r>
      <w:r>
        <w:rPr>
          <w:rFonts w:ascii="Times New Roman" w:eastAsia="宋体" w:hint="eastAsia"/>
        </w:rPr>
        <w:t>GB 2721</w:t>
      </w:r>
      <w:r>
        <w:rPr>
          <w:rFonts w:ascii="Times New Roman" w:eastAsia="宋体" w:hint="eastAsia"/>
        </w:rPr>
        <w:t>规定，白砂糖应符合</w:t>
      </w:r>
      <w:r>
        <w:rPr>
          <w:rFonts w:ascii="Times New Roman" w:eastAsia="宋体" w:hint="eastAsia"/>
        </w:rPr>
        <w:t>GB 13104</w:t>
      </w:r>
      <w:r>
        <w:rPr>
          <w:rFonts w:ascii="Times New Roman" w:eastAsia="宋体" w:hint="eastAsia"/>
        </w:rPr>
        <w:t>规定，香辛料调味品应符合</w:t>
      </w:r>
      <w:r>
        <w:rPr>
          <w:rFonts w:ascii="Times New Roman" w:eastAsia="宋体" w:hint="eastAsia"/>
        </w:rPr>
        <w:t>GB/T 15691</w:t>
      </w:r>
      <w:r>
        <w:rPr>
          <w:rFonts w:ascii="Times New Roman" w:eastAsia="宋体" w:hint="eastAsia"/>
        </w:rPr>
        <w:t>规定。</w:t>
      </w:r>
    </w:p>
    <w:p w14:paraId="462E0CDA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食品添加剂使用范围和用量应符合</w:t>
      </w:r>
      <w:r>
        <w:rPr>
          <w:rFonts w:ascii="Times New Roman" w:eastAsia="宋体" w:hint="eastAsia"/>
        </w:rPr>
        <w:t>GB 2760</w:t>
      </w:r>
      <w:r>
        <w:rPr>
          <w:rFonts w:ascii="Times New Roman" w:eastAsia="宋体" w:hint="eastAsia"/>
        </w:rPr>
        <w:t>的规定。</w:t>
      </w:r>
    </w:p>
    <w:p w14:paraId="6FAFE8F9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包装材料</w:t>
      </w:r>
    </w:p>
    <w:p w14:paraId="4A899A3C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内包装材料应符合</w:t>
      </w:r>
      <w:r>
        <w:rPr>
          <w:rFonts w:eastAsia="宋体" w:hint="eastAsia"/>
          <w:sz w:val="21"/>
          <w:szCs w:val="24"/>
        </w:rPr>
        <w:t>GB 4806.7</w:t>
      </w:r>
      <w:r>
        <w:rPr>
          <w:rFonts w:eastAsia="宋体" w:hint="eastAsia"/>
          <w:sz w:val="21"/>
          <w:szCs w:val="24"/>
        </w:rPr>
        <w:t>的规定，其他应符合相应的食品安全标准及相关规定。</w:t>
      </w:r>
    </w:p>
    <w:p w14:paraId="1BEEBA5A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/>
        </w:rPr>
        <w:t xml:space="preserve"> </w:t>
      </w:r>
      <w:bookmarkEnd w:id="27"/>
      <w:r>
        <w:rPr>
          <w:rFonts w:ascii="Times New Roman"/>
        </w:rPr>
        <w:t>产品加工</w:t>
      </w:r>
    </w:p>
    <w:p w14:paraId="306FDE45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t>原料</w:t>
      </w:r>
      <w:r>
        <w:rPr>
          <w:rFonts w:eastAsia="黑体" w:hint="eastAsia"/>
          <w:kern w:val="0"/>
          <w:sz w:val="21"/>
          <w:szCs w:val="21"/>
        </w:rPr>
        <w:t>处理</w:t>
      </w:r>
    </w:p>
    <w:p w14:paraId="4EAED329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/>
        </w:rPr>
        <w:t>生鲜原料肉温度应控制在</w:t>
      </w:r>
      <w:r>
        <w:rPr>
          <w:rFonts w:ascii="Times New Roman" w:eastAsia="宋体"/>
        </w:rPr>
        <w:t>4℃</w:t>
      </w:r>
      <w:r>
        <w:rPr>
          <w:rFonts w:ascii="Times New Roman" w:eastAsia="宋体"/>
        </w:rPr>
        <w:t>以下</w:t>
      </w:r>
      <w:r>
        <w:rPr>
          <w:rFonts w:ascii="Times New Roman" w:eastAsia="宋体" w:hint="eastAsia"/>
        </w:rPr>
        <w:t>。</w:t>
      </w:r>
    </w:p>
    <w:p w14:paraId="23E79A6C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/>
        </w:rPr>
        <w:t>冷冻原料需要解冻后使用</w:t>
      </w:r>
      <w:r>
        <w:rPr>
          <w:rFonts w:ascii="Times New Roman" w:eastAsia="宋体" w:hint="eastAsia"/>
        </w:rPr>
        <w:t>。</w:t>
      </w:r>
      <w:r>
        <w:rPr>
          <w:rFonts w:eastAsia="宋体" w:hint="eastAsia"/>
          <w:color w:val="000000"/>
        </w:rPr>
        <w:t>采用静水解冻，</w:t>
      </w:r>
      <w:r>
        <w:rPr>
          <w:rFonts w:ascii="Times New Roman" w:eastAsia="宋体"/>
        </w:rPr>
        <w:t>解冻间</w:t>
      </w:r>
      <w:r>
        <w:rPr>
          <w:rFonts w:ascii="Times New Roman" w:eastAsia="宋体"/>
        </w:rPr>
        <w:t>(</w:t>
      </w:r>
      <w:r>
        <w:rPr>
          <w:rFonts w:ascii="Times New Roman" w:eastAsia="宋体"/>
        </w:rPr>
        <w:t>或解冻设备</w:t>
      </w:r>
      <w:r>
        <w:rPr>
          <w:rFonts w:ascii="Times New Roman" w:eastAsia="宋体"/>
        </w:rPr>
        <w:t>)</w:t>
      </w:r>
      <w:r>
        <w:rPr>
          <w:rFonts w:ascii="Times New Roman" w:eastAsia="宋体"/>
        </w:rPr>
        <w:t>的温度</w:t>
      </w:r>
      <w:r>
        <w:rPr>
          <w:rFonts w:ascii="Times New Roman" w:eastAsia="宋体" w:hint="eastAsia"/>
        </w:rPr>
        <w:t>不高于</w:t>
      </w:r>
      <w:r>
        <w:rPr>
          <w:rFonts w:ascii="Times New Roman" w:eastAsia="宋体" w:hint="eastAsia"/>
        </w:rPr>
        <w:t>20</w:t>
      </w:r>
      <w:r>
        <w:rPr>
          <w:rFonts w:ascii="Times New Roman" w:eastAsia="宋体" w:hint="eastAsia"/>
        </w:rPr>
        <w:t>℃，</w:t>
      </w:r>
      <w:r>
        <w:rPr>
          <w:rFonts w:ascii="Times New Roman" w:eastAsia="宋体"/>
        </w:rPr>
        <w:t>解冻后的原料肉中心温度应控制在</w:t>
      </w:r>
      <w:r>
        <w:rPr>
          <w:rFonts w:ascii="Times New Roman" w:eastAsia="宋体"/>
        </w:rPr>
        <w:t>4℃</w:t>
      </w:r>
      <w:r>
        <w:rPr>
          <w:rFonts w:ascii="Times New Roman" w:eastAsia="宋体"/>
        </w:rPr>
        <w:t>以下</w:t>
      </w:r>
      <w:r>
        <w:rPr>
          <w:rFonts w:ascii="Times New Roman" w:eastAsia="宋体" w:hint="eastAsia"/>
        </w:rPr>
        <w:t>，</w:t>
      </w:r>
      <w:r>
        <w:rPr>
          <w:rFonts w:eastAsia="宋体" w:hint="eastAsia"/>
          <w:color w:val="000000"/>
          <w:lang w:val="en-GB"/>
        </w:rPr>
        <w:t>不应在同一设备同时解冻不同畜禽品种的冷冻肉。</w:t>
      </w:r>
      <w:r>
        <w:rPr>
          <w:rFonts w:ascii="Times New Roman" w:eastAsia="宋体" w:hint="eastAsia"/>
        </w:rPr>
        <w:t>采用空气自然解冻，解冻间的温度控制在</w:t>
      </w:r>
      <w:r>
        <w:rPr>
          <w:rFonts w:ascii="Times New Roman" w:eastAsia="宋体" w:hint="eastAsia"/>
        </w:rPr>
        <w:t>0</w:t>
      </w:r>
      <w:r>
        <w:rPr>
          <w:rFonts w:ascii="Times New Roman" w:eastAsia="宋体"/>
        </w:rPr>
        <w:t>℃~</w:t>
      </w:r>
      <w:r>
        <w:rPr>
          <w:rFonts w:ascii="Times New Roman" w:eastAsia="宋体" w:hint="eastAsia"/>
        </w:rPr>
        <w:t>4</w:t>
      </w:r>
      <w:r>
        <w:rPr>
          <w:rFonts w:ascii="Times New Roman" w:eastAsia="宋体"/>
        </w:rPr>
        <w:t>℃</w:t>
      </w:r>
      <w:r>
        <w:rPr>
          <w:rFonts w:ascii="Times New Roman" w:eastAsia="宋体" w:hint="eastAsia"/>
        </w:rPr>
        <w:t>。原料肉解冻应根据切割工人工作量分批解冻。</w:t>
      </w:r>
    </w:p>
    <w:p w14:paraId="071BE280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/>
        </w:rPr>
        <w:t>对原料进行必要的修整或分割</w:t>
      </w:r>
      <w:r>
        <w:rPr>
          <w:rFonts w:ascii="Times New Roman" w:eastAsia="宋体" w:hint="eastAsia"/>
        </w:rPr>
        <w:t>，单粒</w:t>
      </w:r>
      <w:r>
        <w:rPr>
          <w:rFonts w:ascii="Times New Roman" w:eastAsia="宋体"/>
        </w:rPr>
        <w:t>肉粒质量的</w:t>
      </w:r>
      <w:r>
        <w:rPr>
          <w:rFonts w:ascii="Times New Roman" w:eastAsia="宋体" w:hint="eastAsia"/>
        </w:rPr>
        <w:t>允许</w:t>
      </w:r>
      <w:r>
        <w:rPr>
          <w:rFonts w:ascii="Times New Roman" w:eastAsia="宋体"/>
        </w:rPr>
        <w:t>偏差</w:t>
      </w:r>
      <w:r>
        <w:rPr>
          <w:rFonts w:ascii="Times New Roman" w:eastAsia="宋体" w:hint="eastAsia"/>
        </w:rPr>
        <w:t>宜</w:t>
      </w:r>
      <w:r>
        <w:rPr>
          <w:rFonts w:ascii="Times New Roman" w:eastAsia="宋体"/>
        </w:rPr>
        <w:t>低于</w:t>
      </w:r>
      <w:r>
        <w:rPr>
          <w:rFonts w:ascii="Times New Roman" w:eastAsia="宋体" w:hint="eastAsia"/>
        </w:rPr>
        <w:t>1</w:t>
      </w:r>
      <w:r>
        <w:rPr>
          <w:rFonts w:ascii="Times New Roman" w:eastAsia="宋体"/>
        </w:rPr>
        <w:t>0%</w:t>
      </w:r>
      <w:r>
        <w:rPr>
          <w:rFonts w:ascii="Times New Roman" w:eastAsia="宋体"/>
        </w:rPr>
        <w:t>。对原料肉进行修整或分割时</w:t>
      </w:r>
      <w:r>
        <w:rPr>
          <w:rFonts w:ascii="Times New Roman" w:eastAsia="宋体" w:hint="eastAsia"/>
        </w:rPr>
        <w:t>，</w:t>
      </w:r>
      <w:r>
        <w:rPr>
          <w:rFonts w:ascii="Times New Roman" w:eastAsia="宋体"/>
        </w:rPr>
        <w:t>环境温度不应高于</w:t>
      </w:r>
      <w:r>
        <w:rPr>
          <w:rFonts w:ascii="Times New Roman" w:eastAsia="宋体"/>
        </w:rPr>
        <w:t>20℃</w:t>
      </w:r>
      <w:r>
        <w:rPr>
          <w:rFonts w:ascii="Times New Roman" w:eastAsia="宋体"/>
        </w:rPr>
        <w:t>，</w:t>
      </w:r>
      <w:r>
        <w:rPr>
          <w:rFonts w:ascii="Times New Roman" w:eastAsia="宋体" w:hint="eastAsia"/>
        </w:rPr>
        <w:t>每批原料肉</w:t>
      </w:r>
      <w:r>
        <w:rPr>
          <w:rFonts w:ascii="Times New Roman" w:eastAsia="宋体"/>
        </w:rPr>
        <w:t>修整或分割操作应</w:t>
      </w:r>
      <w:r>
        <w:rPr>
          <w:rFonts w:ascii="Times New Roman" w:eastAsia="宋体" w:hint="eastAsia"/>
        </w:rPr>
        <w:t>在</w:t>
      </w:r>
      <w:r>
        <w:rPr>
          <w:rFonts w:ascii="Times New Roman" w:eastAsia="宋体" w:hint="eastAsia"/>
        </w:rPr>
        <w:t xml:space="preserve">1 </w:t>
      </w:r>
      <w:r>
        <w:rPr>
          <w:rFonts w:ascii="Times New Roman" w:eastAsia="宋体"/>
          <w:lang w:val="en-GB"/>
        </w:rPr>
        <w:t>h</w:t>
      </w:r>
      <w:r>
        <w:rPr>
          <w:rFonts w:ascii="Times New Roman" w:eastAsia="宋体" w:hint="eastAsia"/>
          <w:lang w:val="en-GB"/>
        </w:rPr>
        <w:t>以内</w:t>
      </w:r>
      <w:r>
        <w:rPr>
          <w:rFonts w:ascii="Times New Roman" w:eastAsia="宋体"/>
        </w:rPr>
        <w:t>。解冻后原料肉应及时完成后续加工，不</w:t>
      </w:r>
      <w:r>
        <w:rPr>
          <w:rFonts w:ascii="Times New Roman" w:eastAsia="宋体" w:hint="eastAsia"/>
        </w:rPr>
        <w:t>应</w:t>
      </w:r>
      <w:r>
        <w:rPr>
          <w:rFonts w:ascii="Times New Roman" w:eastAsia="宋体"/>
        </w:rPr>
        <w:t>二次冷冻</w:t>
      </w:r>
      <w:r>
        <w:rPr>
          <w:rFonts w:ascii="Times New Roman" w:eastAsia="宋体" w:hint="eastAsia"/>
        </w:rPr>
        <w:t>。</w:t>
      </w:r>
    </w:p>
    <w:p w14:paraId="53CD03FE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滚揉和</w:t>
      </w:r>
      <w:r>
        <w:rPr>
          <w:rFonts w:eastAsia="黑体"/>
          <w:kern w:val="0"/>
          <w:sz w:val="21"/>
          <w:szCs w:val="21"/>
        </w:rPr>
        <w:t>腌制</w:t>
      </w:r>
    </w:p>
    <w:p w14:paraId="7B1F09A7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outlineLvl w:val="2"/>
        <w:rPr>
          <w:rFonts w:ascii="Times New Roman"/>
        </w:rPr>
      </w:pPr>
      <w:r>
        <w:rPr>
          <w:rFonts w:ascii="Times New Roman" w:eastAsia="宋体"/>
        </w:rPr>
        <w:t>滚揉环境温度应控制在</w:t>
      </w:r>
      <w:r>
        <w:rPr>
          <w:rFonts w:ascii="Times New Roman" w:eastAsia="宋体"/>
        </w:rPr>
        <w:t>0℃~4℃</w:t>
      </w:r>
      <w:r>
        <w:rPr>
          <w:rFonts w:ascii="Times New Roman" w:eastAsia="宋体"/>
        </w:rPr>
        <w:t>，滚揉过程宜用冰水降温。鸭肉和猪肉滚揉时间宜在</w:t>
      </w:r>
      <w:r>
        <w:rPr>
          <w:rFonts w:ascii="Times New Roman" w:eastAsia="宋体"/>
        </w:rPr>
        <w:t>30 min±2 min</w:t>
      </w:r>
      <w:r>
        <w:rPr>
          <w:rFonts w:ascii="Times New Roman" w:eastAsia="宋体"/>
        </w:rPr>
        <w:t>，鸡肉滚揉时间宜在</w:t>
      </w:r>
      <w:r>
        <w:rPr>
          <w:rFonts w:ascii="Times New Roman" w:eastAsia="宋体"/>
        </w:rPr>
        <w:t>10 min~15 min</w:t>
      </w:r>
      <w:r>
        <w:rPr>
          <w:rFonts w:ascii="Times New Roman" w:eastAsia="宋体"/>
        </w:rPr>
        <w:t>，带骨鸡肉滚揉时间宜在</w:t>
      </w:r>
      <w:r>
        <w:rPr>
          <w:rFonts w:ascii="Times New Roman" w:eastAsia="宋体"/>
        </w:rPr>
        <w:t>15 min±2 min</w:t>
      </w:r>
      <w:r>
        <w:rPr>
          <w:rFonts w:ascii="Times New Roman" w:eastAsia="宋体"/>
        </w:rPr>
        <w:t>。</w:t>
      </w:r>
    </w:p>
    <w:p w14:paraId="70C23876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outlineLvl w:val="2"/>
        <w:rPr>
          <w:rFonts w:ascii="Times New Roman"/>
        </w:rPr>
      </w:pPr>
      <w:r>
        <w:rPr>
          <w:rFonts w:ascii="Times New Roman" w:eastAsia="宋体"/>
        </w:rPr>
        <w:t>腌制环境温度应控制低于</w:t>
      </w:r>
      <w:r>
        <w:rPr>
          <w:rFonts w:ascii="Times New Roman" w:eastAsia="宋体"/>
        </w:rPr>
        <w:t>4℃</w:t>
      </w:r>
      <w:r>
        <w:rPr>
          <w:rFonts w:ascii="Times New Roman" w:eastAsia="宋体"/>
        </w:rPr>
        <w:t>。腌制时间宜不低于</w:t>
      </w:r>
      <w:r>
        <w:rPr>
          <w:rFonts w:ascii="Times New Roman" w:eastAsia="宋体"/>
        </w:rPr>
        <w:t>4 h</w:t>
      </w:r>
      <w:r>
        <w:rPr>
          <w:rFonts w:ascii="Times New Roman" w:eastAsia="宋体"/>
        </w:rPr>
        <w:t>。原</w:t>
      </w:r>
      <w:r>
        <w:rPr>
          <w:rFonts w:ascii="Times New Roman" w:eastAsia="宋体" w:hint="eastAsia"/>
        </w:rPr>
        <w:t>味</w:t>
      </w:r>
      <w:r>
        <w:rPr>
          <w:rFonts w:ascii="Times New Roman" w:eastAsia="宋体"/>
        </w:rPr>
        <w:t>肉串的原料不需要腌制。</w:t>
      </w:r>
    </w:p>
    <w:p w14:paraId="65FCFD2D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穿制</w:t>
      </w:r>
    </w:p>
    <w:p w14:paraId="3589A05C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竹签应符合</w:t>
      </w:r>
      <w:r>
        <w:rPr>
          <w:rFonts w:ascii="Times New Roman" w:eastAsia="宋体"/>
          <w:lang w:val="en-GB"/>
        </w:rPr>
        <w:t>GB 4806.12</w:t>
      </w:r>
      <w:r>
        <w:rPr>
          <w:rFonts w:ascii="Times New Roman" w:eastAsia="宋体" w:hint="eastAsia"/>
        </w:rPr>
        <w:t>规定。</w:t>
      </w:r>
    </w:p>
    <w:p w14:paraId="7BD9AA4E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串制前，竹签应在消毒柜内</w:t>
      </w:r>
      <w:r>
        <w:rPr>
          <w:rFonts w:ascii="Times New Roman" w:eastAsia="宋体" w:hint="eastAsia"/>
        </w:rPr>
        <w:t>100</w:t>
      </w:r>
      <w:r>
        <w:rPr>
          <w:rFonts w:ascii="Times New Roman" w:eastAsia="宋体"/>
        </w:rPr>
        <w:t>℃</w:t>
      </w:r>
      <w:r>
        <w:rPr>
          <w:rFonts w:ascii="Times New Roman" w:eastAsia="宋体" w:hint="eastAsia"/>
        </w:rPr>
        <w:t>消毒</w:t>
      </w:r>
      <w:r>
        <w:rPr>
          <w:rFonts w:ascii="Times New Roman" w:eastAsia="宋体" w:hint="eastAsia"/>
        </w:rPr>
        <w:t xml:space="preserve">10 </w:t>
      </w:r>
      <w:r>
        <w:rPr>
          <w:rFonts w:ascii="Times New Roman" w:eastAsia="宋体"/>
          <w:lang w:val="en-GB"/>
        </w:rPr>
        <w:t>min</w:t>
      </w:r>
      <w:r>
        <w:rPr>
          <w:rFonts w:ascii="Times New Roman" w:eastAsia="宋体"/>
        </w:rPr>
        <w:t>~</w:t>
      </w:r>
      <w:r>
        <w:rPr>
          <w:rFonts w:ascii="Times New Roman" w:eastAsia="宋体" w:hint="eastAsia"/>
        </w:rPr>
        <w:t xml:space="preserve">20 </w:t>
      </w:r>
      <w:r>
        <w:rPr>
          <w:rFonts w:ascii="Times New Roman" w:eastAsia="宋体"/>
          <w:lang w:val="en-GB"/>
        </w:rPr>
        <w:t>min</w:t>
      </w:r>
      <w:r>
        <w:rPr>
          <w:rFonts w:ascii="Times New Roman" w:eastAsia="宋体" w:hint="eastAsia"/>
        </w:rPr>
        <w:t>。</w:t>
      </w:r>
    </w:p>
    <w:p w14:paraId="68677E13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每串穿的数量一致，不挂残渣。</w:t>
      </w:r>
    </w:p>
    <w:p w14:paraId="655C95F6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lang w:val="en-GB"/>
        </w:rPr>
      </w:pPr>
      <w:r>
        <w:rPr>
          <w:rFonts w:ascii="Times New Roman" w:eastAsia="宋体" w:hint="eastAsia"/>
        </w:rPr>
        <w:t>穿制过程中，加工车间温度应在不高于</w:t>
      </w:r>
      <w:r>
        <w:rPr>
          <w:rFonts w:ascii="Times New Roman" w:eastAsia="宋体"/>
          <w:lang w:val="en-GB"/>
        </w:rPr>
        <w:t>20</w:t>
      </w:r>
      <w:r>
        <w:rPr>
          <w:rFonts w:ascii="Times New Roman" w:eastAsia="宋体"/>
        </w:rPr>
        <w:t>℃</w:t>
      </w:r>
      <w:r>
        <w:rPr>
          <w:rFonts w:ascii="Times New Roman" w:eastAsia="宋体" w:hint="eastAsia"/>
        </w:rPr>
        <w:t>，同一批次台面上穿制原料应在</w:t>
      </w:r>
      <w:r>
        <w:rPr>
          <w:rFonts w:ascii="Times New Roman" w:eastAsia="宋体" w:hint="eastAsia"/>
        </w:rPr>
        <w:t xml:space="preserve">40 </w:t>
      </w:r>
      <w:r>
        <w:rPr>
          <w:rFonts w:ascii="Times New Roman" w:eastAsia="宋体"/>
          <w:lang w:val="en-GB"/>
        </w:rPr>
        <w:t>min</w:t>
      </w:r>
      <w:r>
        <w:rPr>
          <w:rFonts w:ascii="Times New Roman" w:eastAsia="宋体" w:hint="eastAsia"/>
          <w:lang w:val="en-GB"/>
        </w:rPr>
        <w:t>内完成。</w:t>
      </w:r>
    </w:p>
    <w:p w14:paraId="2BF1F042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lang w:val="en-GB"/>
        </w:rPr>
      </w:pPr>
      <w:r>
        <w:rPr>
          <w:rFonts w:ascii="Times New Roman" w:eastAsia="宋体" w:hint="eastAsia"/>
        </w:rPr>
        <w:t>同一批次的竹签质量和规格的允许偏差应在</w:t>
      </w:r>
      <w:r>
        <w:rPr>
          <w:rFonts w:ascii="Times New Roman" w:eastAsia="宋体" w:hint="eastAsia"/>
        </w:rPr>
        <w:t>10%</w:t>
      </w:r>
      <w:r>
        <w:rPr>
          <w:rFonts w:ascii="Times New Roman" w:eastAsia="宋体" w:hint="eastAsia"/>
        </w:rPr>
        <w:t>以内，同一批次的肉串质量应在标示值的</w:t>
      </w:r>
      <w:r>
        <w:rPr>
          <w:rFonts w:ascii="Times New Roman" w:eastAsia="宋体" w:hint="eastAsia"/>
        </w:rPr>
        <w:t>100%~110%</w:t>
      </w:r>
      <w:r>
        <w:rPr>
          <w:rFonts w:ascii="Times New Roman" w:eastAsia="宋体" w:hint="eastAsia"/>
        </w:rPr>
        <w:t>范围。</w:t>
      </w:r>
    </w:p>
    <w:p w14:paraId="7B9AF169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摆盘</w:t>
      </w:r>
    </w:p>
    <w:p w14:paraId="022C3665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串好的肉串摆盘，摆放整齐，顺序一致，串与串之间保持</w:t>
      </w:r>
      <w:r>
        <w:rPr>
          <w:rFonts w:eastAsia="宋体" w:hint="eastAsia"/>
          <w:sz w:val="21"/>
          <w:szCs w:val="24"/>
        </w:rPr>
        <w:t>1 cm</w:t>
      </w:r>
      <w:r>
        <w:rPr>
          <w:rFonts w:eastAsia="宋体" w:hint="eastAsia"/>
          <w:sz w:val="21"/>
          <w:szCs w:val="24"/>
        </w:rPr>
        <w:t>以上间隙。</w:t>
      </w:r>
    </w:p>
    <w:p w14:paraId="752F6DDF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速冻</w:t>
      </w:r>
    </w:p>
    <w:p w14:paraId="3796F229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摆好的盘按顺序送入隧道鼓风冷冻或速冻库进行速冻。肉粒较薄的肉串，采用隧道鼓风冷冻方式速冻，在</w:t>
      </w:r>
      <w:r>
        <w:rPr>
          <w:rFonts w:eastAsia="宋体" w:hint="eastAsia"/>
          <w:sz w:val="21"/>
          <w:szCs w:val="24"/>
        </w:rPr>
        <w:t>-30</w:t>
      </w:r>
      <w:r>
        <w:rPr>
          <w:rFonts w:eastAsia="宋体"/>
          <w:sz w:val="21"/>
          <w:szCs w:val="24"/>
        </w:rPr>
        <w:t>℃~</w:t>
      </w:r>
      <w:r>
        <w:rPr>
          <w:rFonts w:eastAsia="宋体"/>
          <w:sz w:val="21"/>
          <w:szCs w:val="24"/>
          <w:lang w:val="en-GB"/>
        </w:rPr>
        <w:t>-</w:t>
      </w:r>
      <w:r>
        <w:rPr>
          <w:rFonts w:eastAsia="宋体" w:hint="eastAsia"/>
          <w:sz w:val="21"/>
          <w:szCs w:val="24"/>
        </w:rPr>
        <w:t>40</w:t>
      </w:r>
      <w:r>
        <w:rPr>
          <w:rFonts w:eastAsia="宋体"/>
          <w:sz w:val="21"/>
          <w:szCs w:val="24"/>
        </w:rPr>
        <w:t>℃</w:t>
      </w:r>
      <w:r>
        <w:rPr>
          <w:rFonts w:eastAsia="宋体" w:hint="eastAsia"/>
          <w:sz w:val="21"/>
          <w:szCs w:val="24"/>
        </w:rPr>
        <w:t>的速冻隧道时间宜为</w:t>
      </w:r>
      <w:r>
        <w:rPr>
          <w:rFonts w:eastAsia="宋体" w:hint="eastAsia"/>
          <w:sz w:val="21"/>
          <w:szCs w:val="24"/>
        </w:rPr>
        <w:t>10</w:t>
      </w:r>
      <w:r>
        <w:rPr>
          <w:rFonts w:eastAsia="宋体"/>
          <w:sz w:val="21"/>
          <w:szCs w:val="24"/>
          <w:lang w:val="en-GB"/>
        </w:rPr>
        <w:t xml:space="preserve"> min</w:t>
      </w:r>
      <w:r>
        <w:rPr>
          <w:rFonts w:eastAsia="宋体"/>
          <w:sz w:val="21"/>
          <w:szCs w:val="24"/>
        </w:rPr>
        <w:t>~</w:t>
      </w:r>
      <w:r>
        <w:rPr>
          <w:rFonts w:eastAsia="宋体" w:hint="eastAsia"/>
          <w:sz w:val="21"/>
          <w:szCs w:val="24"/>
        </w:rPr>
        <w:t>25</w:t>
      </w:r>
      <w:r>
        <w:rPr>
          <w:rFonts w:eastAsia="宋体"/>
          <w:sz w:val="21"/>
          <w:szCs w:val="24"/>
          <w:lang w:val="en-GB"/>
        </w:rPr>
        <w:t xml:space="preserve"> min</w:t>
      </w:r>
      <w:r>
        <w:rPr>
          <w:rFonts w:eastAsia="宋体" w:hint="eastAsia"/>
          <w:sz w:val="21"/>
          <w:szCs w:val="24"/>
          <w:lang w:val="en-GB"/>
        </w:rPr>
        <w:t>；</w:t>
      </w:r>
      <w:r>
        <w:rPr>
          <w:rFonts w:eastAsia="宋体" w:hint="eastAsia"/>
          <w:sz w:val="21"/>
          <w:szCs w:val="24"/>
        </w:rPr>
        <w:t>肉粒较厚的肉串，宜</w:t>
      </w:r>
      <w:r>
        <w:rPr>
          <w:rFonts w:eastAsia="宋体" w:hint="eastAsia"/>
          <w:sz w:val="21"/>
          <w:szCs w:val="24"/>
          <w:lang w:val="en-GB"/>
        </w:rPr>
        <w:t>采用</w:t>
      </w:r>
      <w:r>
        <w:rPr>
          <w:rFonts w:eastAsia="宋体" w:hint="eastAsia"/>
          <w:sz w:val="21"/>
          <w:szCs w:val="24"/>
        </w:rPr>
        <w:t>速冻库</w:t>
      </w:r>
      <w:r>
        <w:rPr>
          <w:rFonts w:eastAsia="宋体" w:hint="eastAsia"/>
          <w:sz w:val="21"/>
          <w:szCs w:val="24"/>
        </w:rPr>
        <w:t>-30</w:t>
      </w:r>
      <w:r>
        <w:rPr>
          <w:rFonts w:eastAsia="宋体"/>
          <w:sz w:val="21"/>
          <w:szCs w:val="24"/>
        </w:rPr>
        <w:t>℃~</w:t>
      </w:r>
      <w:r>
        <w:rPr>
          <w:rFonts w:eastAsia="宋体"/>
          <w:sz w:val="21"/>
          <w:szCs w:val="24"/>
          <w:lang w:val="en-GB"/>
        </w:rPr>
        <w:t>-</w:t>
      </w:r>
      <w:r>
        <w:rPr>
          <w:rFonts w:eastAsia="宋体" w:hint="eastAsia"/>
          <w:sz w:val="21"/>
          <w:szCs w:val="24"/>
        </w:rPr>
        <w:t>40</w:t>
      </w:r>
      <w:r>
        <w:rPr>
          <w:rFonts w:eastAsia="宋体"/>
          <w:sz w:val="21"/>
          <w:szCs w:val="24"/>
        </w:rPr>
        <w:t>℃</w:t>
      </w:r>
      <w:r>
        <w:rPr>
          <w:rFonts w:eastAsia="宋体" w:hint="eastAsia"/>
          <w:sz w:val="21"/>
          <w:szCs w:val="24"/>
        </w:rPr>
        <w:t>进行速冻时间在</w:t>
      </w:r>
      <w:r>
        <w:rPr>
          <w:rFonts w:eastAsia="宋体" w:hint="eastAsia"/>
          <w:sz w:val="21"/>
          <w:szCs w:val="24"/>
        </w:rPr>
        <w:t>4</w:t>
      </w:r>
      <w:r>
        <w:rPr>
          <w:rFonts w:eastAsia="宋体"/>
          <w:sz w:val="21"/>
          <w:szCs w:val="24"/>
          <w:lang w:val="en-GB"/>
        </w:rPr>
        <w:t xml:space="preserve"> h</w:t>
      </w:r>
      <w:r>
        <w:rPr>
          <w:rFonts w:eastAsia="宋体" w:hint="eastAsia"/>
          <w:sz w:val="21"/>
          <w:szCs w:val="24"/>
        </w:rPr>
        <w:t>以上。</w:t>
      </w:r>
    </w:p>
    <w:p w14:paraId="34D4D9E6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包装</w:t>
      </w:r>
    </w:p>
    <w:p w14:paraId="64B81F93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速冻好的串串脱盘后，肉串竹签尖端露头的宜放置在托盘中包装，肉串竹签尖端不露头可放置在塑料袋密封。在</w:t>
      </w:r>
      <w:r>
        <w:rPr>
          <w:rFonts w:eastAsia="宋体" w:hint="eastAsia"/>
          <w:sz w:val="21"/>
          <w:szCs w:val="24"/>
          <w:lang w:val="en-GB"/>
        </w:rPr>
        <w:t>不高于</w:t>
      </w:r>
      <w:r>
        <w:rPr>
          <w:rFonts w:eastAsia="宋体" w:hint="eastAsia"/>
          <w:sz w:val="21"/>
          <w:szCs w:val="24"/>
        </w:rPr>
        <w:t>2</w:t>
      </w:r>
      <w:r>
        <w:rPr>
          <w:rFonts w:eastAsia="宋体"/>
          <w:sz w:val="21"/>
          <w:szCs w:val="24"/>
          <w:lang w:val="en-GB"/>
        </w:rPr>
        <w:t>0℃</w:t>
      </w:r>
      <w:r>
        <w:rPr>
          <w:rFonts w:eastAsia="宋体" w:hint="eastAsia"/>
          <w:sz w:val="21"/>
          <w:szCs w:val="24"/>
        </w:rPr>
        <w:t>包装封口，包装装箱时间不超过</w:t>
      </w:r>
      <w:r>
        <w:rPr>
          <w:rFonts w:eastAsia="宋体" w:hint="eastAsia"/>
          <w:sz w:val="21"/>
          <w:szCs w:val="24"/>
        </w:rPr>
        <w:t>20</w:t>
      </w:r>
      <w:r>
        <w:rPr>
          <w:rFonts w:eastAsia="宋体"/>
          <w:sz w:val="21"/>
          <w:szCs w:val="24"/>
          <w:lang w:val="en-GB"/>
        </w:rPr>
        <w:t xml:space="preserve"> min</w:t>
      </w:r>
      <w:r>
        <w:rPr>
          <w:rFonts w:eastAsia="宋体" w:hint="eastAsia"/>
          <w:sz w:val="21"/>
          <w:szCs w:val="24"/>
        </w:rPr>
        <w:t>。包装好的</w:t>
      </w:r>
      <w:r>
        <w:rPr>
          <w:rFonts w:eastAsia="宋体" w:hint="eastAsia"/>
          <w:sz w:val="21"/>
          <w:szCs w:val="24"/>
        </w:rPr>
        <w:lastRenderedPageBreak/>
        <w:t>产品，逐袋过金属探测仪，检测合格的产品方可入库。</w:t>
      </w:r>
    </w:p>
    <w:p w14:paraId="06A02E23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/>
        </w:rPr>
        <w:t>卫生管理</w:t>
      </w:r>
      <w:r>
        <w:rPr>
          <w:rFonts w:ascii="Times New Roman" w:hint="eastAsia"/>
        </w:rPr>
        <w:t>与微生物污染控制</w:t>
      </w:r>
    </w:p>
    <w:p w14:paraId="4A169F20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lang w:val="en-GB"/>
        </w:rPr>
      </w:pPr>
      <w:r>
        <w:rPr>
          <w:rFonts w:ascii="Times New Roman" w:eastAsia="宋体"/>
          <w:lang w:val="en-GB"/>
        </w:rPr>
        <w:t>应符合</w:t>
      </w:r>
      <w:r>
        <w:rPr>
          <w:rFonts w:ascii="Times New Roman" w:eastAsia="宋体"/>
          <w:lang w:val="en-GB"/>
        </w:rPr>
        <w:t>GB14881</w:t>
      </w:r>
      <w:r>
        <w:rPr>
          <w:rFonts w:ascii="Times New Roman" w:eastAsia="宋体"/>
          <w:lang w:val="en-GB"/>
        </w:rPr>
        <w:t>和</w:t>
      </w:r>
      <w:r>
        <w:rPr>
          <w:rFonts w:ascii="Times New Roman" w:eastAsia="宋体"/>
          <w:lang w:val="en-GB"/>
        </w:rPr>
        <w:t>GB 31661</w:t>
      </w:r>
      <w:r>
        <w:rPr>
          <w:rFonts w:ascii="Times New Roman" w:eastAsia="宋体"/>
          <w:lang w:val="en-GB"/>
        </w:rPr>
        <w:t>的相关规定。</w:t>
      </w:r>
    </w:p>
    <w:p w14:paraId="60E3611F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lang w:val="en-GB"/>
        </w:rPr>
      </w:pPr>
      <w:r>
        <w:rPr>
          <w:rFonts w:ascii="Times New Roman" w:eastAsia="宋体"/>
          <w:lang w:val="en-GB"/>
        </w:rPr>
        <w:t>食品安全管理员和食品生产人员在上岗前应进行食品安全知识培训，食品生产人员进入生产操作间按要求更衣、洗手消毒，工作时应穿清洁工作服、戴手套、口罩和工作帽。</w:t>
      </w:r>
    </w:p>
    <w:p w14:paraId="0E11BB94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lang w:val="en-GB"/>
        </w:rPr>
      </w:pPr>
      <w:r>
        <w:rPr>
          <w:rFonts w:ascii="Times New Roman" w:eastAsia="宋体"/>
          <w:lang w:val="en-GB"/>
        </w:rPr>
        <w:t>每批次的解冻、原料处理、滚揉、腌制和穿制的加工处理后应及时清洗消毒台面、工具、容器及设备，每天工作完成后，</w:t>
      </w:r>
      <w:r>
        <w:rPr>
          <w:rFonts w:ascii="Times New Roman" w:eastAsia="宋体" w:hint="eastAsia"/>
          <w:lang w:val="en-GB"/>
        </w:rPr>
        <w:t>应</w:t>
      </w:r>
      <w:r>
        <w:rPr>
          <w:rFonts w:ascii="Times New Roman" w:eastAsia="宋体"/>
          <w:lang w:val="en-GB"/>
        </w:rPr>
        <w:t>采用臭氧消毒整个加工车间。</w:t>
      </w:r>
    </w:p>
    <w:p w14:paraId="5955E405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lang w:val="en-GB"/>
        </w:rPr>
      </w:pPr>
      <w:r>
        <w:rPr>
          <w:rFonts w:ascii="Times New Roman" w:eastAsia="宋体"/>
          <w:lang w:val="en-GB"/>
        </w:rPr>
        <w:t>工作人员操作过程中，应有专业人员定期清洗地面，对加工过程中产生的废弃物及不能回收的产品要在</w:t>
      </w:r>
      <w:r>
        <w:rPr>
          <w:rFonts w:ascii="Times New Roman" w:eastAsia="宋体"/>
          <w:lang w:val="en-GB"/>
        </w:rPr>
        <w:t>1 h</w:t>
      </w:r>
      <w:r>
        <w:rPr>
          <w:rFonts w:ascii="Times New Roman" w:eastAsia="宋体"/>
          <w:lang w:val="en-GB"/>
        </w:rPr>
        <w:t>内清理出加工区域。存放废弃物的容器应密闭并定期清洁消毒，防止交叉污染。</w:t>
      </w:r>
    </w:p>
    <w:p w14:paraId="4F198A0D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</w:pPr>
      <w:r>
        <w:rPr>
          <w:rFonts w:ascii="Times New Roman" w:eastAsia="宋体"/>
          <w:lang w:val="en-GB"/>
        </w:rPr>
        <w:t>每年</w:t>
      </w:r>
      <w:r>
        <w:rPr>
          <w:rFonts w:ascii="Times New Roman" w:eastAsia="宋体"/>
          <w:lang w:val="en-GB"/>
        </w:rPr>
        <w:t>5</w:t>
      </w:r>
      <w:r>
        <w:rPr>
          <w:rFonts w:ascii="Times New Roman" w:eastAsia="宋体"/>
          <w:lang w:val="en-GB"/>
        </w:rPr>
        <w:t>月</w:t>
      </w:r>
      <w:r>
        <w:rPr>
          <w:rFonts w:ascii="Times New Roman" w:eastAsia="宋体"/>
          <w:lang w:val="en-GB"/>
        </w:rPr>
        <w:t>~10</w:t>
      </w:r>
      <w:r>
        <w:rPr>
          <w:rFonts w:ascii="Times New Roman" w:eastAsia="宋体"/>
          <w:lang w:val="en-GB"/>
        </w:rPr>
        <w:t>月至少开展</w:t>
      </w:r>
      <w:r>
        <w:rPr>
          <w:rFonts w:ascii="Times New Roman" w:eastAsia="宋体"/>
          <w:lang w:val="en-GB"/>
        </w:rPr>
        <w:t>1</w:t>
      </w:r>
      <w:r>
        <w:rPr>
          <w:rFonts w:ascii="Times New Roman" w:eastAsia="宋体"/>
          <w:lang w:val="en-GB"/>
        </w:rPr>
        <w:t>次对本企业生产的肉串进行微生物监控，其监控指标及限量应符合表</w:t>
      </w:r>
      <w:r>
        <w:rPr>
          <w:rFonts w:ascii="Times New Roman" w:eastAsia="宋体"/>
          <w:lang w:val="en-GB"/>
        </w:rPr>
        <w:t>1</w:t>
      </w:r>
      <w:r>
        <w:rPr>
          <w:rFonts w:ascii="Times New Roman" w:eastAsia="宋体"/>
          <w:lang w:val="en-GB"/>
        </w:rPr>
        <w:t>的规定。肉串微生物指标在出现不合格时，</w:t>
      </w:r>
      <w:r>
        <w:rPr>
          <w:rFonts w:ascii="Times New Roman" w:eastAsia="宋体" w:hint="eastAsia"/>
          <w:lang w:val="en-GB"/>
        </w:rPr>
        <w:t>应</w:t>
      </w:r>
      <w:r>
        <w:rPr>
          <w:rFonts w:ascii="Times New Roman" w:eastAsia="宋体"/>
          <w:lang w:val="en-GB"/>
        </w:rPr>
        <w:t>参照</w:t>
      </w:r>
      <w:r>
        <w:rPr>
          <w:rFonts w:ascii="Times New Roman" w:eastAsia="宋体"/>
          <w:lang w:val="en-GB"/>
        </w:rPr>
        <w:t>GB/T 25007</w:t>
      </w:r>
      <w:r>
        <w:rPr>
          <w:rFonts w:ascii="Times New Roman" w:eastAsia="宋体"/>
          <w:lang w:val="en-GB"/>
        </w:rPr>
        <w:t>规定，通过危害分析与关键控制点（</w:t>
      </w:r>
      <w:r>
        <w:rPr>
          <w:rFonts w:ascii="Times New Roman" w:eastAsia="宋体"/>
          <w:lang w:val="en-GB"/>
        </w:rPr>
        <w:t>HACCP</w:t>
      </w:r>
      <w:r>
        <w:rPr>
          <w:rFonts w:ascii="Times New Roman" w:eastAsia="宋体"/>
          <w:lang w:val="en-GB"/>
        </w:rPr>
        <w:t>）确定生产过程、生产环境中可能存在的微生物污染风险，并进行有效控制。</w:t>
      </w:r>
    </w:p>
    <w:p w14:paraId="21D206B1" w14:textId="77777777" w:rsidR="00C52926" w:rsidRDefault="00000000">
      <w:pPr>
        <w:widowControl/>
        <w:ind w:firstLineChars="0" w:firstLine="0"/>
        <w:jc w:val="center"/>
        <w:rPr>
          <w:rFonts w:eastAsia="宋体"/>
          <w:b/>
          <w:bCs/>
          <w:sz w:val="18"/>
          <w:szCs w:val="18"/>
        </w:rPr>
      </w:pPr>
      <w:r>
        <w:rPr>
          <w:rFonts w:eastAsia="宋体" w:hint="eastAsia"/>
          <w:b/>
          <w:bCs/>
          <w:sz w:val="18"/>
          <w:szCs w:val="18"/>
        </w:rPr>
        <w:t>表</w:t>
      </w:r>
      <w:r>
        <w:rPr>
          <w:rFonts w:eastAsia="宋体" w:hint="eastAsia"/>
          <w:b/>
          <w:bCs/>
          <w:sz w:val="18"/>
          <w:szCs w:val="18"/>
        </w:rPr>
        <w:t>1</w:t>
      </w:r>
      <w:r>
        <w:rPr>
          <w:rFonts w:eastAsia="宋体" w:hint="eastAsia"/>
          <w:b/>
          <w:bCs/>
          <w:sz w:val="18"/>
          <w:szCs w:val="18"/>
        </w:rPr>
        <w:t>微生物限量</w:t>
      </w:r>
    </w:p>
    <w:tbl>
      <w:tblPr>
        <w:tblStyle w:val="af1"/>
        <w:tblW w:w="8598" w:type="dxa"/>
        <w:jc w:val="center"/>
        <w:tblLook w:val="04A0" w:firstRow="1" w:lastRow="0" w:firstColumn="1" w:lastColumn="0" w:noHBand="0" w:noVBand="1"/>
      </w:tblPr>
      <w:tblGrid>
        <w:gridCol w:w="2634"/>
        <w:gridCol w:w="1044"/>
        <w:gridCol w:w="1132"/>
        <w:gridCol w:w="1172"/>
        <w:gridCol w:w="1246"/>
        <w:gridCol w:w="1370"/>
      </w:tblGrid>
      <w:tr w:rsidR="00C52926" w14:paraId="2402E714" w14:textId="77777777">
        <w:trPr>
          <w:trHeight w:val="272"/>
          <w:jc w:val="center"/>
        </w:trPr>
        <w:tc>
          <w:tcPr>
            <w:tcW w:w="2634" w:type="dxa"/>
            <w:vMerge w:val="restart"/>
            <w:vAlign w:val="center"/>
          </w:tcPr>
          <w:p w14:paraId="11577258" w14:textId="77777777" w:rsidR="00C52926" w:rsidRDefault="00000000">
            <w:pPr>
              <w:widowControl/>
              <w:ind w:firstLine="420"/>
              <w:jc w:val="center"/>
              <w:rPr>
                <w:rFonts w:eastAsia="宋体"/>
                <w:b/>
                <w:bCs/>
                <w:sz w:val="18"/>
                <w:szCs w:val="18"/>
              </w:rPr>
            </w:pPr>
            <w:r>
              <w:rPr>
                <w:rFonts w:eastAsia="宋体" w:hint="eastAsia"/>
                <w:sz w:val="21"/>
                <w:lang w:val="en-GB"/>
              </w:rPr>
              <w:t>项目</w:t>
            </w:r>
          </w:p>
        </w:tc>
        <w:tc>
          <w:tcPr>
            <w:tcW w:w="4594" w:type="dxa"/>
            <w:gridSpan w:val="4"/>
            <w:vAlign w:val="center"/>
          </w:tcPr>
          <w:p w14:paraId="62CA5CBA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b/>
                <w:bCs/>
                <w:sz w:val="18"/>
                <w:szCs w:val="18"/>
              </w:rPr>
            </w:pPr>
            <w:r>
              <w:rPr>
                <w:rFonts w:eastAsia="宋体" w:hint="eastAsia"/>
                <w:sz w:val="21"/>
                <w:lang w:val="en-GB"/>
              </w:rPr>
              <w:t>采样方案及限量（若非指定，均以</w:t>
            </w:r>
            <w:r>
              <w:rPr>
                <w:rFonts w:eastAsia="宋体" w:hint="eastAsia"/>
                <w:sz w:val="21"/>
                <w:lang w:val="en-GB"/>
              </w:rPr>
              <w:t>/25g</w:t>
            </w:r>
            <w:r>
              <w:rPr>
                <w:rFonts w:eastAsia="宋体" w:hint="eastAsia"/>
                <w:sz w:val="21"/>
                <w:lang w:val="en-GB"/>
              </w:rPr>
              <w:t>表示）</w:t>
            </w:r>
          </w:p>
        </w:tc>
        <w:tc>
          <w:tcPr>
            <w:tcW w:w="1370" w:type="dxa"/>
            <w:vMerge w:val="restart"/>
            <w:vAlign w:val="center"/>
          </w:tcPr>
          <w:p w14:paraId="085445B5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b/>
                <w:bCs/>
                <w:sz w:val="18"/>
                <w:szCs w:val="18"/>
              </w:rPr>
            </w:pPr>
            <w:r>
              <w:rPr>
                <w:rFonts w:eastAsia="宋体" w:hint="eastAsia"/>
                <w:sz w:val="21"/>
              </w:rPr>
              <w:t>检验方法</w:t>
            </w:r>
          </w:p>
        </w:tc>
      </w:tr>
      <w:tr w:rsidR="00C52926" w14:paraId="676EC652" w14:textId="77777777">
        <w:trPr>
          <w:trHeight w:val="295"/>
          <w:jc w:val="center"/>
        </w:trPr>
        <w:tc>
          <w:tcPr>
            <w:tcW w:w="2634" w:type="dxa"/>
            <w:vMerge/>
            <w:vAlign w:val="center"/>
          </w:tcPr>
          <w:p w14:paraId="1E67B832" w14:textId="77777777" w:rsidR="00C52926" w:rsidRDefault="00C52926">
            <w:pPr>
              <w:widowControl/>
              <w:ind w:firstLine="361"/>
              <w:jc w:val="center"/>
              <w:rPr>
                <w:rFonts w:eastAsia="宋体"/>
                <w:b/>
                <w:bCs/>
                <w:sz w:val="18"/>
                <w:szCs w:val="18"/>
              </w:rPr>
            </w:pPr>
          </w:p>
        </w:tc>
        <w:tc>
          <w:tcPr>
            <w:tcW w:w="1044" w:type="dxa"/>
            <w:vAlign w:val="center"/>
          </w:tcPr>
          <w:p w14:paraId="0C12060C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eastAsia="宋体" w:hint="eastAsia"/>
                <w:i/>
                <w:iCs/>
                <w:sz w:val="21"/>
                <w:lang w:val="en-GB"/>
              </w:rPr>
              <w:t>n</w:t>
            </w:r>
          </w:p>
        </w:tc>
        <w:tc>
          <w:tcPr>
            <w:tcW w:w="1132" w:type="dxa"/>
            <w:vAlign w:val="center"/>
          </w:tcPr>
          <w:p w14:paraId="2A7EB076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eastAsia="宋体" w:hint="eastAsia"/>
                <w:i/>
                <w:iCs/>
                <w:sz w:val="21"/>
                <w:lang w:val="en-GB"/>
              </w:rPr>
              <w:t>c</w:t>
            </w:r>
          </w:p>
        </w:tc>
        <w:tc>
          <w:tcPr>
            <w:tcW w:w="1172" w:type="dxa"/>
            <w:vAlign w:val="center"/>
          </w:tcPr>
          <w:p w14:paraId="594457E3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eastAsia="宋体" w:hint="eastAsia"/>
                <w:i/>
                <w:iCs/>
                <w:sz w:val="21"/>
                <w:lang w:val="en-GB"/>
              </w:rPr>
              <w:t>m</w:t>
            </w:r>
          </w:p>
        </w:tc>
        <w:tc>
          <w:tcPr>
            <w:tcW w:w="1246" w:type="dxa"/>
            <w:vAlign w:val="center"/>
          </w:tcPr>
          <w:p w14:paraId="2DEC8212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eastAsia="宋体" w:hint="eastAsia"/>
                <w:i/>
                <w:iCs/>
                <w:sz w:val="21"/>
                <w:lang w:val="en-GB"/>
              </w:rPr>
              <w:t>M</w:t>
            </w:r>
          </w:p>
        </w:tc>
        <w:tc>
          <w:tcPr>
            <w:tcW w:w="1370" w:type="dxa"/>
            <w:vMerge/>
            <w:vAlign w:val="center"/>
          </w:tcPr>
          <w:p w14:paraId="6546C7E0" w14:textId="77777777" w:rsidR="00C52926" w:rsidRDefault="00C52926">
            <w:pPr>
              <w:widowControl/>
              <w:ind w:firstLine="361"/>
              <w:jc w:val="center"/>
              <w:rPr>
                <w:rFonts w:eastAsia="宋体"/>
                <w:b/>
                <w:bCs/>
                <w:sz w:val="18"/>
                <w:szCs w:val="18"/>
              </w:rPr>
            </w:pPr>
          </w:p>
        </w:tc>
      </w:tr>
      <w:tr w:rsidR="00C52926" w14:paraId="7836A396" w14:textId="77777777">
        <w:trPr>
          <w:trHeight w:val="295"/>
          <w:jc w:val="center"/>
        </w:trPr>
        <w:tc>
          <w:tcPr>
            <w:tcW w:w="2634" w:type="dxa"/>
            <w:vAlign w:val="center"/>
          </w:tcPr>
          <w:p w14:paraId="1FBB31D9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菌落总数</w:t>
            </w:r>
            <w:r>
              <w:rPr>
                <w:rFonts w:eastAsia="宋体" w:hint="eastAsia"/>
                <w:sz w:val="21"/>
              </w:rPr>
              <w:t>/</w:t>
            </w:r>
            <w:r>
              <w:rPr>
                <w:rFonts w:eastAsia="宋体"/>
                <w:sz w:val="21"/>
                <w:lang w:val="en-GB"/>
              </w:rPr>
              <w:t>(CFU/g)</w:t>
            </w:r>
          </w:p>
        </w:tc>
        <w:tc>
          <w:tcPr>
            <w:tcW w:w="1044" w:type="dxa"/>
            <w:vAlign w:val="center"/>
          </w:tcPr>
          <w:p w14:paraId="6B74278C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5</w:t>
            </w:r>
          </w:p>
        </w:tc>
        <w:tc>
          <w:tcPr>
            <w:tcW w:w="1132" w:type="dxa"/>
            <w:vAlign w:val="center"/>
          </w:tcPr>
          <w:p w14:paraId="621E1E44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</w:t>
            </w:r>
          </w:p>
        </w:tc>
        <w:tc>
          <w:tcPr>
            <w:tcW w:w="1172" w:type="dxa"/>
            <w:vAlign w:val="center"/>
          </w:tcPr>
          <w:p w14:paraId="387C1303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10</w:t>
            </w:r>
            <w:r>
              <w:rPr>
                <w:rFonts w:eastAsia="宋体" w:hint="eastAsia"/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1246" w:type="dxa"/>
            <w:vAlign w:val="center"/>
          </w:tcPr>
          <w:p w14:paraId="0AF21AAE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10</w:t>
            </w:r>
            <w:r>
              <w:rPr>
                <w:rFonts w:eastAsia="宋体" w:hint="eastAsia"/>
                <w:sz w:val="18"/>
                <w:szCs w:val="18"/>
                <w:vertAlign w:val="superscript"/>
              </w:rPr>
              <w:t>5</w:t>
            </w:r>
          </w:p>
        </w:tc>
        <w:tc>
          <w:tcPr>
            <w:tcW w:w="1370" w:type="dxa"/>
            <w:vAlign w:val="center"/>
          </w:tcPr>
          <w:p w14:paraId="04F64EB8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GB 4789.2</w:t>
            </w:r>
          </w:p>
        </w:tc>
      </w:tr>
      <w:tr w:rsidR="00C52926" w14:paraId="14FF1695" w14:textId="77777777">
        <w:trPr>
          <w:trHeight w:val="295"/>
          <w:jc w:val="center"/>
        </w:trPr>
        <w:tc>
          <w:tcPr>
            <w:tcW w:w="2634" w:type="dxa"/>
            <w:vAlign w:val="center"/>
          </w:tcPr>
          <w:p w14:paraId="632E9AEA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大肠菌群</w:t>
            </w:r>
            <w:r>
              <w:rPr>
                <w:rFonts w:eastAsia="宋体" w:hint="eastAsia"/>
                <w:sz w:val="21"/>
              </w:rPr>
              <w:t>/</w:t>
            </w:r>
            <w:r>
              <w:rPr>
                <w:rFonts w:eastAsia="宋体"/>
                <w:sz w:val="21"/>
                <w:lang w:val="en-GB"/>
              </w:rPr>
              <w:t>(CFU/g)</w:t>
            </w:r>
          </w:p>
        </w:tc>
        <w:tc>
          <w:tcPr>
            <w:tcW w:w="1044" w:type="dxa"/>
            <w:vAlign w:val="center"/>
          </w:tcPr>
          <w:p w14:paraId="0DF9F2BB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5</w:t>
            </w:r>
          </w:p>
        </w:tc>
        <w:tc>
          <w:tcPr>
            <w:tcW w:w="1132" w:type="dxa"/>
            <w:vAlign w:val="center"/>
          </w:tcPr>
          <w:p w14:paraId="48E19CBE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2</w:t>
            </w:r>
          </w:p>
        </w:tc>
        <w:tc>
          <w:tcPr>
            <w:tcW w:w="1172" w:type="dxa"/>
            <w:vAlign w:val="center"/>
          </w:tcPr>
          <w:p w14:paraId="1246F054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10</w:t>
            </w:r>
          </w:p>
        </w:tc>
        <w:tc>
          <w:tcPr>
            <w:tcW w:w="1246" w:type="dxa"/>
            <w:vAlign w:val="center"/>
          </w:tcPr>
          <w:p w14:paraId="467E8F0C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10</w:t>
            </w:r>
            <w:r>
              <w:rPr>
                <w:rFonts w:eastAsia="宋体" w:hint="eastAsia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370" w:type="dxa"/>
            <w:vAlign w:val="center"/>
          </w:tcPr>
          <w:p w14:paraId="0042929C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GB 4789.3</w:t>
            </w:r>
          </w:p>
        </w:tc>
      </w:tr>
      <w:tr w:rsidR="00C52926" w14:paraId="7467D8A6" w14:textId="77777777">
        <w:trPr>
          <w:trHeight w:val="295"/>
          <w:jc w:val="center"/>
        </w:trPr>
        <w:tc>
          <w:tcPr>
            <w:tcW w:w="2634" w:type="dxa"/>
            <w:vAlign w:val="center"/>
          </w:tcPr>
          <w:p w14:paraId="1912168B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沙门氏菌</w:t>
            </w:r>
          </w:p>
        </w:tc>
        <w:tc>
          <w:tcPr>
            <w:tcW w:w="1044" w:type="dxa"/>
            <w:vAlign w:val="center"/>
          </w:tcPr>
          <w:p w14:paraId="65F78E1E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5</w:t>
            </w:r>
          </w:p>
        </w:tc>
        <w:tc>
          <w:tcPr>
            <w:tcW w:w="1132" w:type="dxa"/>
            <w:vAlign w:val="center"/>
          </w:tcPr>
          <w:p w14:paraId="65140D10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0</w:t>
            </w:r>
          </w:p>
        </w:tc>
        <w:tc>
          <w:tcPr>
            <w:tcW w:w="1172" w:type="dxa"/>
            <w:vAlign w:val="center"/>
          </w:tcPr>
          <w:p w14:paraId="4D460E01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center"/>
          </w:tcPr>
          <w:p w14:paraId="13942B7C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—</w:t>
            </w:r>
          </w:p>
        </w:tc>
        <w:tc>
          <w:tcPr>
            <w:tcW w:w="1370" w:type="dxa"/>
            <w:vAlign w:val="center"/>
          </w:tcPr>
          <w:p w14:paraId="3654F5D6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GB 4789.4</w:t>
            </w:r>
          </w:p>
        </w:tc>
      </w:tr>
      <w:tr w:rsidR="00C52926" w14:paraId="21AEE316" w14:textId="77777777">
        <w:trPr>
          <w:trHeight w:val="295"/>
          <w:jc w:val="center"/>
        </w:trPr>
        <w:tc>
          <w:tcPr>
            <w:tcW w:w="2634" w:type="dxa"/>
            <w:vAlign w:val="center"/>
          </w:tcPr>
          <w:p w14:paraId="4EEF4433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单核细胞增生李斯特氏菌</w:t>
            </w:r>
          </w:p>
        </w:tc>
        <w:tc>
          <w:tcPr>
            <w:tcW w:w="1044" w:type="dxa"/>
            <w:vAlign w:val="center"/>
          </w:tcPr>
          <w:p w14:paraId="4C1847F2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5</w:t>
            </w:r>
          </w:p>
        </w:tc>
        <w:tc>
          <w:tcPr>
            <w:tcW w:w="1132" w:type="dxa"/>
            <w:vAlign w:val="center"/>
          </w:tcPr>
          <w:p w14:paraId="5A8CEC93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0</w:t>
            </w:r>
          </w:p>
        </w:tc>
        <w:tc>
          <w:tcPr>
            <w:tcW w:w="1172" w:type="dxa"/>
            <w:vAlign w:val="center"/>
          </w:tcPr>
          <w:p w14:paraId="6B5C9F30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center"/>
          </w:tcPr>
          <w:p w14:paraId="5B53E1D5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—</w:t>
            </w:r>
          </w:p>
        </w:tc>
        <w:tc>
          <w:tcPr>
            <w:tcW w:w="1370" w:type="dxa"/>
            <w:vAlign w:val="center"/>
          </w:tcPr>
          <w:p w14:paraId="3C0B89B6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GB 4789.30</w:t>
            </w:r>
          </w:p>
        </w:tc>
      </w:tr>
      <w:tr w:rsidR="00C52926" w14:paraId="7AA079A3" w14:textId="77777777">
        <w:trPr>
          <w:trHeight w:val="295"/>
          <w:jc w:val="center"/>
        </w:trPr>
        <w:tc>
          <w:tcPr>
            <w:tcW w:w="2634" w:type="dxa"/>
            <w:vAlign w:val="center"/>
          </w:tcPr>
          <w:p w14:paraId="4D4A7FE9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金黄色葡萄球菌</w:t>
            </w:r>
            <w:r>
              <w:rPr>
                <w:rFonts w:eastAsia="宋体" w:hint="eastAsia"/>
                <w:sz w:val="21"/>
              </w:rPr>
              <w:t>/</w:t>
            </w:r>
            <w:r>
              <w:rPr>
                <w:rFonts w:eastAsia="宋体"/>
                <w:sz w:val="21"/>
                <w:lang w:val="en-GB"/>
              </w:rPr>
              <w:t>(CFU/g)</w:t>
            </w:r>
          </w:p>
        </w:tc>
        <w:tc>
          <w:tcPr>
            <w:tcW w:w="1044" w:type="dxa"/>
            <w:vAlign w:val="center"/>
          </w:tcPr>
          <w:p w14:paraId="3E19DAF9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5</w:t>
            </w:r>
          </w:p>
        </w:tc>
        <w:tc>
          <w:tcPr>
            <w:tcW w:w="1132" w:type="dxa"/>
            <w:vAlign w:val="center"/>
          </w:tcPr>
          <w:p w14:paraId="00F24752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</w:t>
            </w:r>
          </w:p>
        </w:tc>
        <w:tc>
          <w:tcPr>
            <w:tcW w:w="1172" w:type="dxa"/>
            <w:vAlign w:val="center"/>
          </w:tcPr>
          <w:p w14:paraId="69A6C57E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10</w:t>
            </w:r>
            <w:r>
              <w:rPr>
                <w:rFonts w:eastAsia="宋体" w:hint="eastAsia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246" w:type="dxa"/>
            <w:vAlign w:val="center"/>
          </w:tcPr>
          <w:p w14:paraId="3DF34F29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10</w:t>
            </w:r>
            <w:r>
              <w:rPr>
                <w:rFonts w:eastAsia="宋体" w:hint="eastAsia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370" w:type="dxa"/>
            <w:vAlign w:val="center"/>
          </w:tcPr>
          <w:p w14:paraId="3A30BBC6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GB 4789.10</w:t>
            </w:r>
          </w:p>
        </w:tc>
      </w:tr>
      <w:tr w:rsidR="00C52926" w14:paraId="3AA48ED8" w14:textId="77777777">
        <w:trPr>
          <w:trHeight w:val="295"/>
          <w:jc w:val="center"/>
        </w:trPr>
        <w:tc>
          <w:tcPr>
            <w:tcW w:w="2634" w:type="dxa"/>
            <w:vAlign w:val="center"/>
          </w:tcPr>
          <w:p w14:paraId="796752D4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致泻大肠埃希氏菌</w:t>
            </w:r>
          </w:p>
        </w:tc>
        <w:tc>
          <w:tcPr>
            <w:tcW w:w="1044" w:type="dxa"/>
            <w:vAlign w:val="center"/>
          </w:tcPr>
          <w:p w14:paraId="0BE18F85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5</w:t>
            </w:r>
          </w:p>
        </w:tc>
        <w:tc>
          <w:tcPr>
            <w:tcW w:w="1132" w:type="dxa"/>
            <w:vAlign w:val="center"/>
          </w:tcPr>
          <w:p w14:paraId="674BA892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0</w:t>
            </w:r>
          </w:p>
        </w:tc>
        <w:tc>
          <w:tcPr>
            <w:tcW w:w="1172" w:type="dxa"/>
            <w:vAlign w:val="center"/>
          </w:tcPr>
          <w:p w14:paraId="5C8EDF46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center"/>
          </w:tcPr>
          <w:p w14:paraId="70187265" w14:textId="77777777" w:rsidR="00C52926" w:rsidRDefault="00000000">
            <w:pPr>
              <w:widowControl/>
              <w:ind w:firstLine="36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—</w:t>
            </w:r>
          </w:p>
        </w:tc>
        <w:tc>
          <w:tcPr>
            <w:tcW w:w="1370" w:type="dxa"/>
            <w:vAlign w:val="center"/>
          </w:tcPr>
          <w:p w14:paraId="74E97118" w14:textId="77777777" w:rsidR="00C52926" w:rsidRDefault="00000000">
            <w:pPr>
              <w:widowControl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eastAsia="宋体" w:hint="eastAsia"/>
                <w:sz w:val="18"/>
                <w:szCs w:val="18"/>
              </w:rPr>
              <w:t>GB 4789.6</w:t>
            </w:r>
          </w:p>
        </w:tc>
      </w:tr>
      <w:tr w:rsidR="00C52926" w14:paraId="29F988B8" w14:textId="77777777">
        <w:trPr>
          <w:trHeight w:val="543"/>
          <w:jc w:val="center"/>
        </w:trPr>
        <w:tc>
          <w:tcPr>
            <w:tcW w:w="8598" w:type="dxa"/>
            <w:gridSpan w:val="6"/>
            <w:vAlign w:val="center"/>
          </w:tcPr>
          <w:p w14:paraId="5608C850" w14:textId="77777777" w:rsidR="00C52926" w:rsidRDefault="00000000">
            <w:pPr>
              <w:widowControl/>
              <w:spacing w:after="100" w:afterAutospacing="1"/>
              <w:ind w:left="361" w:hangingChars="200" w:hanging="361"/>
              <w:jc w:val="center"/>
              <w:rPr>
                <w:rFonts w:eastAsia="宋体"/>
                <w:b/>
                <w:bCs/>
                <w:sz w:val="18"/>
                <w:szCs w:val="18"/>
              </w:rPr>
            </w:pPr>
            <w:r>
              <w:rPr>
                <w:rFonts w:eastAsia="宋体" w:hint="eastAsia"/>
                <w:b/>
                <w:bCs/>
                <w:sz w:val="18"/>
                <w:szCs w:val="18"/>
              </w:rPr>
              <w:t>注：</w:t>
            </w:r>
            <w:r>
              <w:rPr>
                <w:rFonts w:eastAsia="宋体" w:hint="eastAsia"/>
                <w:sz w:val="18"/>
                <w:szCs w:val="18"/>
              </w:rPr>
              <w:t>样品的采集和处理按</w:t>
            </w:r>
            <w:r>
              <w:rPr>
                <w:rFonts w:eastAsia="宋体" w:hint="eastAsia"/>
                <w:sz w:val="18"/>
                <w:szCs w:val="18"/>
              </w:rPr>
              <w:t>GB 4789.1</w:t>
            </w:r>
            <w:r>
              <w:rPr>
                <w:rFonts w:eastAsia="宋体" w:hint="eastAsia"/>
                <w:sz w:val="18"/>
                <w:szCs w:val="18"/>
              </w:rPr>
              <w:t>执行，</w:t>
            </w:r>
            <w:r>
              <w:rPr>
                <w:rFonts w:eastAsia="宋体" w:hint="eastAsia"/>
                <w:i/>
                <w:iCs/>
                <w:sz w:val="18"/>
                <w:szCs w:val="18"/>
              </w:rPr>
              <w:t>n</w:t>
            </w:r>
            <w:r>
              <w:rPr>
                <w:rFonts w:eastAsia="宋体" w:hint="eastAsia"/>
                <w:sz w:val="18"/>
                <w:szCs w:val="18"/>
              </w:rPr>
              <w:t>为同一批次产品应采集的样品件数；</w:t>
            </w:r>
            <w:r>
              <w:rPr>
                <w:rFonts w:eastAsia="宋体" w:hint="eastAsia"/>
                <w:i/>
                <w:iCs/>
                <w:sz w:val="18"/>
                <w:szCs w:val="18"/>
              </w:rPr>
              <w:t>c</w:t>
            </w:r>
            <w:r>
              <w:rPr>
                <w:rFonts w:eastAsia="宋体" w:hint="eastAsia"/>
                <w:sz w:val="18"/>
                <w:szCs w:val="18"/>
              </w:rPr>
              <w:t>为最大可允许超出</w:t>
            </w:r>
            <w:r>
              <w:rPr>
                <w:rFonts w:eastAsia="宋体" w:hint="eastAsia"/>
                <w:i/>
                <w:iCs/>
                <w:sz w:val="18"/>
                <w:szCs w:val="18"/>
              </w:rPr>
              <w:t>m</w:t>
            </w:r>
            <w:r>
              <w:rPr>
                <w:rFonts w:eastAsia="宋体" w:hint="eastAsia"/>
                <w:sz w:val="18"/>
                <w:szCs w:val="18"/>
              </w:rPr>
              <w:t>值的样品数；</w:t>
            </w:r>
            <w:r>
              <w:rPr>
                <w:rFonts w:eastAsia="宋体" w:hint="eastAsia"/>
                <w:i/>
                <w:iCs/>
                <w:sz w:val="18"/>
                <w:szCs w:val="18"/>
              </w:rPr>
              <w:t>m</w:t>
            </w:r>
            <w:r>
              <w:rPr>
                <w:rFonts w:eastAsia="宋体" w:hint="eastAsia"/>
                <w:sz w:val="18"/>
                <w:szCs w:val="18"/>
              </w:rPr>
              <w:t>为微生物指标可接受水平的限量值；</w:t>
            </w:r>
            <w:r>
              <w:rPr>
                <w:rFonts w:eastAsia="宋体" w:hint="eastAsia"/>
                <w:i/>
                <w:iCs/>
                <w:sz w:val="18"/>
                <w:szCs w:val="18"/>
              </w:rPr>
              <w:t>M</w:t>
            </w:r>
            <w:r>
              <w:rPr>
                <w:rFonts w:eastAsia="宋体" w:hint="eastAsia"/>
                <w:sz w:val="18"/>
                <w:szCs w:val="18"/>
              </w:rPr>
              <w:t>为微生物指标的最高安全限量值。</w:t>
            </w:r>
          </w:p>
        </w:tc>
      </w:tr>
    </w:tbl>
    <w:p w14:paraId="64FEC4A5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/>
        </w:rPr>
        <w:t>产品质量</w:t>
      </w:r>
    </w:p>
    <w:p w14:paraId="1CCAEAED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t>感官要求</w:t>
      </w:r>
    </w:p>
    <w:p w14:paraId="2FA338AD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感官要求应符合表</w:t>
      </w:r>
      <w:r>
        <w:rPr>
          <w:rFonts w:eastAsia="宋体" w:hint="eastAsia"/>
          <w:sz w:val="21"/>
          <w:szCs w:val="24"/>
        </w:rPr>
        <w:t>2</w:t>
      </w:r>
      <w:r>
        <w:rPr>
          <w:rFonts w:eastAsia="宋体" w:hint="eastAsia"/>
          <w:sz w:val="21"/>
          <w:szCs w:val="24"/>
        </w:rPr>
        <w:t>的规定。</w:t>
      </w:r>
    </w:p>
    <w:p w14:paraId="23C20FA1" w14:textId="77777777" w:rsidR="00C52926" w:rsidRDefault="00000000">
      <w:pPr>
        <w:widowControl/>
        <w:ind w:firstLineChars="0" w:firstLine="0"/>
        <w:jc w:val="center"/>
        <w:rPr>
          <w:rFonts w:eastAsia="宋体"/>
          <w:b/>
          <w:bCs/>
          <w:sz w:val="18"/>
          <w:szCs w:val="18"/>
        </w:rPr>
      </w:pPr>
      <w:r>
        <w:rPr>
          <w:rFonts w:eastAsia="宋体" w:hint="eastAsia"/>
          <w:b/>
          <w:bCs/>
          <w:sz w:val="18"/>
          <w:szCs w:val="18"/>
        </w:rPr>
        <w:t>表</w:t>
      </w:r>
      <w:r>
        <w:rPr>
          <w:rFonts w:eastAsia="宋体" w:hint="eastAsia"/>
          <w:b/>
          <w:bCs/>
          <w:sz w:val="18"/>
          <w:szCs w:val="18"/>
        </w:rPr>
        <w:t>2</w:t>
      </w:r>
      <w:r>
        <w:rPr>
          <w:rFonts w:eastAsia="宋体" w:hint="eastAsia"/>
          <w:b/>
          <w:bCs/>
          <w:sz w:val="18"/>
          <w:szCs w:val="18"/>
        </w:rPr>
        <w:t>感官指标及要求</w:t>
      </w:r>
    </w:p>
    <w:tbl>
      <w:tblPr>
        <w:tblStyle w:val="af1"/>
        <w:tblW w:w="0" w:type="auto"/>
        <w:jc w:val="center"/>
        <w:tblLook w:val="04A0" w:firstRow="1" w:lastRow="0" w:firstColumn="1" w:lastColumn="0" w:noHBand="0" w:noVBand="1"/>
      </w:tblPr>
      <w:tblGrid>
        <w:gridCol w:w="1453"/>
        <w:gridCol w:w="4207"/>
        <w:gridCol w:w="1678"/>
      </w:tblGrid>
      <w:tr w:rsidR="00C52926" w14:paraId="65DF134A" w14:textId="77777777">
        <w:trPr>
          <w:trHeight w:val="494"/>
          <w:jc w:val="center"/>
        </w:trPr>
        <w:tc>
          <w:tcPr>
            <w:tcW w:w="1453" w:type="dxa"/>
            <w:vAlign w:val="center"/>
          </w:tcPr>
          <w:p w14:paraId="66DE519A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项目</w:t>
            </w:r>
          </w:p>
        </w:tc>
        <w:tc>
          <w:tcPr>
            <w:tcW w:w="4207" w:type="dxa"/>
            <w:vAlign w:val="center"/>
          </w:tcPr>
          <w:p w14:paraId="79ED7109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要求</w:t>
            </w:r>
          </w:p>
        </w:tc>
        <w:tc>
          <w:tcPr>
            <w:tcW w:w="1678" w:type="dxa"/>
            <w:vAlign w:val="center"/>
          </w:tcPr>
          <w:p w14:paraId="25165C49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检验方法</w:t>
            </w:r>
          </w:p>
        </w:tc>
      </w:tr>
      <w:tr w:rsidR="00C52926" w14:paraId="15E4FB1F" w14:textId="77777777">
        <w:trPr>
          <w:trHeight w:val="974"/>
          <w:jc w:val="center"/>
        </w:trPr>
        <w:tc>
          <w:tcPr>
            <w:tcW w:w="1453" w:type="dxa"/>
            <w:vAlign w:val="center"/>
          </w:tcPr>
          <w:p w14:paraId="39F3F59E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色泽</w:t>
            </w:r>
          </w:p>
        </w:tc>
        <w:tc>
          <w:tcPr>
            <w:tcW w:w="4207" w:type="dxa"/>
            <w:vAlign w:val="center"/>
          </w:tcPr>
          <w:p w14:paraId="5F229247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具有对应原料肉滚揉和腌制后均匀色泽，无发灰、发黑、霉点等异常</w:t>
            </w:r>
          </w:p>
        </w:tc>
        <w:tc>
          <w:tcPr>
            <w:tcW w:w="1678" w:type="dxa"/>
            <w:vMerge w:val="restart"/>
            <w:vAlign w:val="center"/>
          </w:tcPr>
          <w:p w14:paraId="4C528C80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  <w:szCs w:val="24"/>
              </w:rPr>
              <w:t>GB/T 22210</w:t>
            </w:r>
          </w:p>
        </w:tc>
      </w:tr>
      <w:tr w:rsidR="00C52926" w14:paraId="55717AE6" w14:textId="77777777">
        <w:trPr>
          <w:trHeight w:val="494"/>
          <w:jc w:val="center"/>
        </w:trPr>
        <w:tc>
          <w:tcPr>
            <w:tcW w:w="1453" w:type="dxa"/>
            <w:vAlign w:val="center"/>
          </w:tcPr>
          <w:p w14:paraId="0C8287F7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气味</w:t>
            </w:r>
          </w:p>
        </w:tc>
        <w:tc>
          <w:tcPr>
            <w:tcW w:w="4207" w:type="dxa"/>
            <w:vAlign w:val="center"/>
          </w:tcPr>
          <w:p w14:paraId="06A6CEF3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具有该产品应有的气味，无异味</w:t>
            </w:r>
          </w:p>
        </w:tc>
        <w:tc>
          <w:tcPr>
            <w:tcW w:w="1678" w:type="dxa"/>
            <w:vMerge/>
            <w:vAlign w:val="center"/>
          </w:tcPr>
          <w:p w14:paraId="485DE6F1" w14:textId="77777777" w:rsidR="00C52926" w:rsidRDefault="00C52926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  <w:szCs w:val="24"/>
              </w:rPr>
            </w:pPr>
          </w:p>
        </w:tc>
      </w:tr>
      <w:tr w:rsidR="00C52926" w14:paraId="2D3A898D" w14:textId="77777777">
        <w:trPr>
          <w:trHeight w:val="494"/>
          <w:jc w:val="center"/>
        </w:trPr>
        <w:tc>
          <w:tcPr>
            <w:tcW w:w="1453" w:type="dxa"/>
            <w:vAlign w:val="center"/>
          </w:tcPr>
          <w:p w14:paraId="7D84B11A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滋味</w:t>
            </w:r>
          </w:p>
        </w:tc>
        <w:tc>
          <w:tcPr>
            <w:tcW w:w="4207" w:type="dxa"/>
            <w:vAlign w:val="center"/>
          </w:tcPr>
          <w:p w14:paraId="668B33B2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具有该产品应有的滋味</w:t>
            </w:r>
          </w:p>
        </w:tc>
        <w:tc>
          <w:tcPr>
            <w:tcW w:w="1678" w:type="dxa"/>
            <w:vMerge/>
            <w:vAlign w:val="center"/>
          </w:tcPr>
          <w:p w14:paraId="054B1A3F" w14:textId="77777777" w:rsidR="00C52926" w:rsidRDefault="00C52926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</w:p>
        </w:tc>
      </w:tr>
      <w:tr w:rsidR="00C52926" w14:paraId="64589F99" w14:textId="77777777">
        <w:trPr>
          <w:trHeight w:val="494"/>
          <w:jc w:val="center"/>
        </w:trPr>
        <w:tc>
          <w:tcPr>
            <w:tcW w:w="1453" w:type="dxa"/>
            <w:vAlign w:val="center"/>
          </w:tcPr>
          <w:p w14:paraId="39BBB593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组织状态</w:t>
            </w:r>
          </w:p>
        </w:tc>
        <w:tc>
          <w:tcPr>
            <w:tcW w:w="4207" w:type="dxa"/>
            <w:vAlign w:val="center"/>
          </w:tcPr>
          <w:p w14:paraId="71318996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质紧密有弹性，穿制牢固，无松散脱落</w:t>
            </w:r>
          </w:p>
        </w:tc>
        <w:tc>
          <w:tcPr>
            <w:tcW w:w="1678" w:type="dxa"/>
            <w:vMerge/>
            <w:vAlign w:val="center"/>
          </w:tcPr>
          <w:p w14:paraId="147840BF" w14:textId="77777777" w:rsidR="00C52926" w:rsidRDefault="00C52926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</w:p>
        </w:tc>
      </w:tr>
      <w:tr w:rsidR="00C52926" w14:paraId="18AA24DB" w14:textId="77777777">
        <w:trPr>
          <w:trHeight w:val="508"/>
          <w:jc w:val="center"/>
        </w:trPr>
        <w:tc>
          <w:tcPr>
            <w:tcW w:w="1453" w:type="dxa"/>
            <w:vAlign w:val="center"/>
          </w:tcPr>
          <w:p w14:paraId="36EFA3F9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lastRenderedPageBreak/>
              <w:t>杂质</w:t>
            </w:r>
          </w:p>
        </w:tc>
        <w:tc>
          <w:tcPr>
            <w:tcW w:w="4207" w:type="dxa"/>
            <w:vAlign w:val="center"/>
          </w:tcPr>
          <w:p w14:paraId="227256CF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无正常视力可见外来异物</w:t>
            </w:r>
          </w:p>
        </w:tc>
        <w:tc>
          <w:tcPr>
            <w:tcW w:w="1678" w:type="dxa"/>
            <w:vMerge/>
            <w:vAlign w:val="center"/>
          </w:tcPr>
          <w:p w14:paraId="17790464" w14:textId="77777777" w:rsidR="00C52926" w:rsidRDefault="00C52926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</w:p>
        </w:tc>
      </w:tr>
    </w:tbl>
    <w:p w14:paraId="5254A5B2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t>理化指标</w:t>
      </w:r>
    </w:p>
    <w:p w14:paraId="14658A17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理化指标应符合表</w:t>
      </w:r>
      <w:r>
        <w:rPr>
          <w:rFonts w:eastAsia="宋体" w:hint="eastAsia"/>
          <w:sz w:val="21"/>
          <w:szCs w:val="24"/>
        </w:rPr>
        <w:t>3</w:t>
      </w:r>
      <w:r>
        <w:rPr>
          <w:rFonts w:eastAsia="宋体" w:hint="eastAsia"/>
          <w:sz w:val="21"/>
          <w:szCs w:val="24"/>
        </w:rPr>
        <w:t>的规定。</w:t>
      </w:r>
    </w:p>
    <w:p w14:paraId="166F4177" w14:textId="77777777" w:rsidR="00C52926" w:rsidRDefault="00000000">
      <w:pPr>
        <w:widowControl/>
        <w:ind w:firstLineChars="0" w:firstLine="0"/>
        <w:jc w:val="center"/>
        <w:rPr>
          <w:rFonts w:eastAsia="宋体"/>
          <w:b/>
          <w:bCs/>
          <w:sz w:val="18"/>
          <w:szCs w:val="18"/>
        </w:rPr>
      </w:pPr>
      <w:r>
        <w:rPr>
          <w:rFonts w:eastAsia="宋体" w:hint="eastAsia"/>
          <w:b/>
          <w:bCs/>
          <w:sz w:val="18"/>
          <w:szCs w:val="18"/>
        </w:rPr>
        <w:t>表</w:t>
      </w:r>
      <w:r>
        <w:rPr>
          <w:rFonts w:eastAsia="宋体" w:hint="eastAsia"/>
          <w:b/>
          <w:bCs/>
          <w:sz w:val="18"/>
          <w:szCs w:val="18"/>
        </w:rPr>
        <w:t>3</w:t>
      </w:r>
      <w:r>
        <w:rPr>
          <w:rFonts w:eastAsia="宋体" w:hint="eastAsia"/>
          <w:b/>
          <w:bCs/>
          <w:sz w:val="18"/>
          <w:szCs w:val="18"/>
        </w:rPr>
        <w:t>理化指标</w:t>
      </w:r>
    </w:p>
    <w:tbl>
      <w:tblPr>
        <w:tblStyle w:val="af1"/>
        <w:tblW w:w="0" w:type="auto"/>
        <w:jc w:val="center"/>
        <w:tblLook w:val="04A0" w:firstRow="1" w:lastRow="0" w:firstColumn="1" w:lastColumn="0" w:noHBand="0" w:noVBand="1"/>
      </w:tblPr>
      <w:tblGrid>
        <w:gridCol w:w="4169"/>
        <w:gridCol w:w="1375"/>
        <w:gridCol w:w="1871"/>
      </w:tblGrid>
      <w:tr w:rsidR="00C52926" w14:paraId="60CD243A" w14:textId="77777777">
        <w:trPr>
          <w:trHeight w:val="352"/>
          <w:jc w:val="center"/>
        </w:trPr>
        <w:tc>
          <w:tcPr>
            <w:tcW w:w="4169" w:type="dxa"/>
          </w:tcPr>
          <w:p w14:paraId="452F330B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  <w:lang w:val="en-GB"/>
              </w:rPr>
            </w:pPr>
            <w:r>
              <w:rPr>
                <w:rFonts w:eastAsia="宋体" w:hint="eastAsia"/>
                <w:sz w:val="21"/>
                <w:lang w:val="en-GB"/>
              </w:rPr>
              <w:t>项目</w:t>
            </w:r>
          </w:p>
        </w:tc>
        <w:tc>
          <w:tcPr>
            <w:tcW w:w="1375" w:type="dxa"/>
          </w:tcPr>
          <w:p w14:paraId="3EC60B68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指标</w:t>
            </w:r>
          </w:p>
        </w:tc>
        <w:tc>
          <w:tcPr>
            <w:tcW w:w="1871" w:type="dxa"/>
          </w:tcPr>
          <w:p w14:paraId="4EB06986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检验方法</w:t>
            </w:r>
          </w:p>
        </w:tc>
      </w:tr>
      <w:tr w:rsidR="00C52926" w14:paraId="1BD75CA5" w14:textId="77777777">
        <w:trPr>
          <w:jc w:val="center"/>
        </w:trPr>
        <w:tc>
          <w:tcPr>
            <w:tcW w:w="4169" w:type="dxa"/>
          </w:tcPr>
          <w:p w14:paraId="38F3AA26" w14:textId="77777777" w:rsidR="00C52926" w:rsidRDefault="00000000">
            <w:pPr>
              <w:autoSpaceDE w:val="0"/>
              <w:autoSpaceDN w:val="0"/>
              <w:spacing w:line="340" w:lineRule="exact"/>
              <w:ind w:left="1890" w:hangingChars="900" w:hanging="1890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过氧化值（以脂肪计）</w:t>
            </w:r>
            <w:r>
              <w:rPr>
                <w:rFonts w:eastAsia="宋体" w:hint="eastAsia"/>
                <w:sz w:val="21"/>
              </w:rPr>
              <w:t>/</w:t>
            </w:r>
            <w:r>
              <w:rPr>
                <w:rFonts w:eastAsia="宋体" w:hint="eastAsia"/>
                <w:sz w:val="21"/>
              </w:rPr>
              <w:t>（</w:t>
            </w:r>
            <w:r>
              <w:rPr>
                <w:rFonts w:eastAsia="宋体"/>
                <w:sz w:val="21"/>
                <w:lang w:val="en-GB"/>
              </w:rPr>
              <w:t>g/100</w:t>
            </w:r>
            <w:r>
              <w:rPr>
                <w:rFonts w:eastAsia="宋体" w:hint="eastAsia"/>
                <w:sz w:val="21"/>
              </w:rPr>
              <w:t xml:space="preserve"> </w:t>
            </w:r>
            <w:r>
              <w:rPr>
                <w:rFonts w:eastAsia="宋体"/>
                <w:sz w:val="21"/>
                <w:lang w:val="en-GB"/>
              </w:rPr>
              <w:t>g</w:t>
            </w:r>
            <w:r>
              <w:rPr>
                <w:rFonts w:eastAsia="宋体" w:hint="eastAsia"/>
                <w:sz w:val="21"/>
              </w:rPr>
              <w:t>）</w:t>
            </w:r>
            <w:r>
              <w:rPr>
                <w:rFonts w:eastAsia="宋体" w:hint="eastAsia"/>
                <w:sz w:val="21"/>
              </w:rPr>
              <w:t xml:space="preserve">  </w:t>
            </w:r>
            <w:r>
              <w:rPr>
                <w:rFonts w:eastAsia="宋体"/>
                <w:sz w:val="21"/>
                <w:lang w:val="en-GB"/>
              </w:rPr>
              <w:t xml:space="preserve">    ≤</w:t>
            </w:r>
          </w:p>
        </w:tc>
        <w:tc>
          <w:tcPr>
            <w:tcW w:w="1375" w:type="dxa"/>
          </w:tcPr>
          <w:p w14:paraId="76D34EEA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0.25</w:t>
            </w:r>
          </w:p>
        </w:tc>
        <w:tc>
          <w:tcPr>
            <w:tcW w:w="1871" w:type="dxa"/>
          </w:tcPr>
          <w:p w14:paraId="2387626B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GB 5009.227</w:t>
            </w:r>
          </w:p>
        </w:tc>
      </w:tr>
      <w:tr w:rsidR="00C52926" w14:paraId="7B46475A" w14:textId="77777777">
        <w:trPr>
          <w:jc w:val="center"/>
        </w:trPr>
        <w:tc>
          <w:tcPr>
            <w:tcW w:w="4169" w:type="dxa"/>
          </w:tcPr>
          <w:p w14:paraId="3009DB24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挥发性盐基氮</w:t>
            </w:r>
            <w:r>
              <w:rPr>
                <w:rFonts w:eastAsia="宋体" w:hint="eastAsia"/>
                <w:sz w:val="21"/>
              </w:rPr>
              <w:t>/</w:t>
            </w:r>
            <w:r>
              <w:rPr>
                <w:rFonts w:eastAsia="宋体" w:hint="eastAsia"/>
                <w:sz w:val="21"/>
              </w:rPr>
              <w:t>（</w:t>
            </w:r>
            <w:r>
              <w:rPr>
                <w:rFonts w:eastAsia="宋体" w:hint="eastAsia"/>
                <w:sz w:val="21"/>
              </w:rPr>
              <w:t>m</w:t>
            </w:r>
            <w:r>
              <w:rPr>
                <w:rFonts w:eastAsia="宋体"/>
                <w:sz w:val="21"/>
                <w:lang w:val="en-GB"/>
              </w:rPr>
              <w:t>g/100</w:t>
            </w:r>
            <w:r>
              <w:rPr>
                <w:rFonts w:eastAsia="宋体" w:hint="eastAsia"/>
                <w:sz w:val="21"/>
              </w:rPr>
              <w:t xml:space="preserve"> </w:t>
            </w:r>
            <w:r>
              <w:rPr>
                <w:rFonts w:eastAsia="宋体"/>
                <w:sz w:val="21"/>
                <w:lang w:val="en-GB"/>
              </w:rPr>
              <w:t>g</w:t>
            </w:r>
            <w:r>
              <w:rPr>
                <w:rFonts w:eastAsia="宋体" w:hint="eastAsia"/>
                <w:sz w:val="21"/>
              </w:rPr>
              <w:t xml:space="preserve"> </w:t>
            </w:r>
            <w:r>
              <w:rPr>
                <w:rFonts w:eastAsia="宋体" w:hint="eastAsia"/>
                <w:sz w:val="21"/>
              </w:rPr>
              <w:t>）</w:t>
            </w:r>
            <w:r>
              <w:rPr>
                <w:rFonts w:eastAsia="宋体" w:hint="eastAsia"/>
                <w:sz w:val="21"/>
              </w:rPr>
              <w:t xml:space="preserve"> </w:t>
            </w:r>
            <w:r>
              <w:rPr>
                <w:rFonts w:eastAsia="宋体"/>
                <w:sz w:val="21"/>
                <w:lang w:val="en-GB"/>
              </w:rPr>
              <w:t xml:space="preserve">          ≤</w:t>
            </w:r>
          </w:p>
        </w:tc>
        <w:tc>
          <w:tcPr>
            <w:tcW w:w="1375" w:type="dxa"/>
          </w:tcPr>
          <w:p w14:paraId="0528CC93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  <w:lang w:val="en-GB"/>
              </w:rPr>
            </w:pPr>
            <w:r>
              <w:rPr>
                <w:rFonts w:eastAsia="宋体"/>
                <w:sz w:val="21"/>
                <w:lang w:val="en-GB"/>
              </w:rPr>
              <w:t>15</w:t>
            </w:r>
          </w:p>
        </w:tc>
        <w:tc>
          <w:tcPr>
            <w:tcW w:w="1871" w:type="dxa"/>
          </w:tcPr>
          <w:p w14:paraId="093CC460" w14:textId="77777777" w:rsidR="00C52926" w:rsidRDefault="00000000">
            <w:pPr>
              <w:autoSpaceDE w:val="0"/>
              <w:autoSpaceDN w:val="0"/>
              <w:spacing w:line="340" w:lineRule="exact"/>
              <w:ind w:firstLineChars="0" w:firstLine="0"/>
              <w:jc w:val="center"/>
              <w:rPr>
                <w:rFonts w:eastAsia="宋体"/>
                <w:sz w:val="21"/>
              </w:rPr>
            </w:pPr>
            <w:r>
              <w:rPr>
                <w:rFonts w:eastAsia="宋体" w:hint="eastAsia"/>
                <w:sz w:val="21"/>
              </w:rPr>
              <w:t>GB 5009.228</w:t>
            </w:r>
          </w:p>
        </w:tc>
      </w:tr>
    </w:tbl>
    <w:p w14:paraId="522C358A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t>微生物限量</w:t>
      </w:r>
    </w:p>
    <w:p w14:paraId="050ED411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微生物限量应符合</w:t>
      </w:r>
      <w:r>
        <w:rPr>
          <w:rFonts w:eastAsia="宋体" w:hint="eastAsia"/>
          <w:sz w:val="21"/>
          <w:szCs w:val="24"/>
        </w:rPr>
        <w:t>GB 19295</w:t>
      </w:r>
      <w:r>
        <w:rPr>
          <w:rFonts w:eastAsia="宋体" w:hint="eastAsia"/>
          <w:sz w:val="21"/>
          <w:szCs w:val="24"/>
        </w:rPr>
        <w:t>的规定。</w:t>
      </w:r>
    </w:p>
    <w:p w14:paraId="24EA36FE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t>污染物限量</w:t>
      </w:r>
    </w:p>
    <w:p w14:paraId="484C6532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污染物限量应符合</w:t>
      </w:r>
      <w:r>
        <w:rPr>
          <w:rFonts w:eastAsia="宋体" w:hint="eastAsia"/>
          <w:sz w:val="21"/>
          <w:szCs w:val="24"/>
        </w:rPr>
        <w:t>GB 2762</w:t>
      </w:r>
      <w:r>
        <w:rPr>
          <w:rFonts w:eastAsia="宋体" w:hint="eastAsia"/>
          <w:sz w:val="21"/>
          <w:szCs w:val="24"/>
        </w:rPr>
        <w:t>相应食品类别项下的规定。</w:t>
      </w:r>
    </w:p>
    <w:p w14:paraId="35D30E79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t>净含量</w:t>
      </w:r>
    </w:p>
    <w:p w14:paraId="7CDF1397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净含量应符合《定量包装商品计量监督管理办法》的规定，检验方法按</w:t>
      </w:r>
      <w:r>
        <w:rPr>
          <w:rFonts w:eastAsia="宋体" w:hint="eastAsia"/>
          <w:sz w:val="21"/>
          <w:szCs w:val="24"/>
        </w:rPr>
        <w:t>JJF 1070</w:t>
      </w:r>
      <w:r>
        <w:rPr>
          <w:rFonts w:eastAsia="宋体" w:hint="eastAsia"/>
          <w:sz w:val="21"/>
          <w:szCs w:val="24"/>
        </w:rPr>
        <w:t>执行。</w:t>
      </w:r>
    </w:p>
    <w:p w14:paraId="14FF8DAE" w14:textId="77777777" w:rsidR="00C52926" w:rsidRDefault="00000000">
      <w:pPr>
        <w:pStyle w:val="a6"/>
        <w:numPr>
          <w:ilvl w:val="0"/>
          <w:numId w:val="8"/>
        </w:numPr>
      </w:pPr>
      <w:r>
        <w:rPr>
          <w:rFonts w:ascii="Times New Roman" w:hint="eastAsia"/>
        </w:rPr>
        <w:t>标签</w:t>
      </w:r>
      <w:r>
        <w:rPr>
          <w:rFonts w:ascii="Times New Roman"/>
        </w:rPr>
        <w:t>标识</w:t>
      </w:r>
    </w:p>
    <w:p w14:paraId="2AEB0F93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 w:hanging="6"/>
        <w:jc w:val="both"/>
        <w:rPr>
          <w:rFonts w:ascii="Times New Roman" w:eastAsia="宋体"/>
          <w:lang w:val="en-GB"/>
        </w:rPr>
      </w:pPr>
      <w:r>
        <w:rPr>
          <w:rFonts w:ascii="宋体" w:eastAsia="宋体" w:hAnsi="宋体" w:cs="宋体" w:hint="eastAsia"/>
          <w:lang w:val="en-GB"/>
        </w:rPr>
        <w:t>预包装产品标签应</w:t>
      </w:r>
      <w:r>
        <w:rPr>
          <w:rFonts w:ascii="Times New Roman" w:eastAsia="宋体"/>
          <w:lang w:val="en-GB"/>
        </w:rPr>
        <w:t>符合</w:t>
      </w:r>
      <w:r>
        <w:rPr>
          <w:rFonts w:ascii="Times New Roman" w:eastAsia="宋体"/>
          <w:lang w:val="en-GB"/>
        </w:rPr>
        <w:t>GB 7718</w:t>
      </w:r>
      <w:r>
        <w:rPr>
          <w:rFonts w:ascii="Times New Roman" w:eastAsia="宋体"/>
          <w:lang w:val="en-GB"/>
        </w:rPr>
        <w:t>、</w:t>
      </w:r>
      <w:r>
        <w:rPr>
          <w:rFonts w:ascii="Times New Roman" w:eastAsia="宋体"/>
          <w:lang w:val="en-GB"/>
        </w:rPr>
        <w:t>GB 28050</w:t>
      </w:r>
      <w:r>
        <w:rPr>
          <w:rFonts w:ascii="Times New Roman" w:eastAsia="宋体"/>
          <w:lang w:val="en-GB"/>
        </w:rPr>
        <w:t>的规定，包括食品名称、配料表、营养成分表、净含量和规格</w:t>
      </w:r>
      <w:r>
        <w:rPr>
          <w:rFonts w:ascii="Times New Roman" w:eastAsia="宋体"/>
          <w:lang w:val="en-GB"/>
        </w:rPr>
        <w:t>(</w:t>
      </w:r>
      <w:r>
        <w:rPr>
          <w:rFonts w:ascii="Times New Roman" w:eastAsia="宋体"/>
          <w:lang w:val="en-GB"/>
        </w:rPr>
        <w:t>以计量方式销售的除外</w:t>
      </w:r>
      <w:r>
        <w:rPr>
          <w:rFonts w:ascii="Times New Roman" w:eastAsia="宋体"/>
          <w:lang w:val="en-GB"/>
        </w:rPr>
        <w:t>)</w:t>
      </w:r>
      <w:r>
        <w:rPr>
          <w:rFonts w:ascii="Times New Roman" w:eastAsia="宋体"/>
          <w:lang w:val="en-GB"/>
        </w:rPr>
        <w:t>、生产者和</w:t>
      </w:r>
      <w:r>
        <w:rPr>
          <w:rFonts w:ascii="Times New Roman" w:eastAsia="宋体"/>
          <w:lang w:val="en-GB"/>
        </w:rPr>
        <w:t>(</w:t>
      </w:r>
      <w:r>
        <w:rPr>
          <w:rFonts w:ascii="Times New Roman" w:eastAsia="宋体"/>
          <w:lang w:val="en-GB"/>
        </w:rPr>
        <w:t>或</w:t>
      </w:r>
      <w:r>
        <w:rPr>
          <w:rFonts w:ascii="Times New Roman" w:eastAsia="宋体"/>
          <w:lang w:val="en-GB"/>
        </w:rPr>
        <w:t>)</w:t>
      </w:r>
      <w:r>
        <w:rPr>
          <w:rFonts w:ascii="Times New Roman" w:eastAsia="宋体"/>
          <w:lang w:val="en-GB"/>
        </w:rPr>
        <w:t>经营者的名称、地址和联系方式、生产日期和保质期到期日、贮存条件、食品生产许可证编号、产品标准代号，以及食用方法和</w:t>
      </w:r>
      <w:r>
        <w:rPr>
          <w:rFonts w:ascii="Times New Roman" w:eastAsia="宋体" w:hint="eastAsia"/>
          <w:lang w:val="en-GB"/>
        </w:rPr>
        <w:t>“</w:t>
      </w:r>
      <w:r>
        <w:rPr>
          <w:rFonts w:ascii="Times New Roman" w:eastAsia="宋体"/>
          <w:lang w:val="en-GB"/>
        </w:rPr>
        <w:t>非即食</w:t>
      </w:r>
      <w:r>
        <w:rPr>
          <w:rFonts w:ascii="Times New Roman" w:eastAsia="宋体" w:hint="eastAsia"/>
          <w:lang w:val="en-GB"/>
        </w:rPr>
        <w:t>”</w:t>
      </w:r>
      <w:r>
        <w:rPr>
          <w:rFonts w:ascii="Times New Roman" w:eastAsia="宋体"/>
          <w:lang w:val="en-GB"/>
        </w:rPr>
        <w:t>。</w:t>
      </w:r>
      <w:r>
        <w:rPr>
          <w:rFonts w:ascii="Times New Roman" w:eastAsia="宋体" w:hint="eastAsia"/>
          <w:lang w:val="en-GB"/>
        </w:rPr>
        <w:t>鼓励使用数字标签，数字标签应符合</w:t>
      </w:r>
      <w:r>
        <w:rPr>
          <w:rFonts w:ascii="Times New Roman" w:eastAsia="宋体"/>
          <w:lang w:val="en-GB"/>
        </w:rPr>
        <w:t>GB 7718</w:t>
      </w:r>
      <w:r>
        <w:rPr>
          <w:rFonts w:ascii="Times New Roman" w:eastAsia="宋体"/>
          <w:lang w:val="en-GB"/>
        </w:rPr>
        <w:t>的规定</w:t>
      </w:r>
      <w:r>
        <w:rPr>
          <w:rFonts w:ascii="Times New Roman" w:eastAsia="宋体" w:hint="eastAsia"/>
          <w:lang w:val="en-GB"/>
        </w:rPr>
        <w:t>。</w:t>
      </w:r>
    </w:p>
    <w:p w14:paraId="16C13932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 w:hanging="6"/>
        <w:jc w:val="both"/>
        <w:rPr>
          <w:rFonts w:ascii="Times New Roman" w:eastAsia="宋体"/>
          <w:lang w:val="en-GB"/>
        </w:rPr>
      </w:pPr>
      <w:r>
        <w:rPr>
          <w:rFonts w:ascii="Times New Roman" w:eastAsia="宋体"/>
          <w:lang w:val="en-GB"/>
        </w:rPr>
        <w:t>运输包装标志应符合</w:t>
      </w:r>
      <w:r>
        <w:rPr>
          <w:rFonts w:ascii="Times New Roman" w:eastAsia="宋体"/>
          <w:lang w:val="en-GB"/>
        </w:rPr>
        <w:t>GB/T 191</w:t>
      </w:r>
      <w:r>
        <w:rPr>
          <w:rFonts w:ascii="Times New Roman" w:eastAsia="宋体"/>
          <w:lang w:val="en-GB"/>
        </w:rPr>
        <w:t>的规定。</w:t>
      </w:r>
    </w:p>
    <w:p w14:paraId="0DBBEEE3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</w:pPr>
      <w:r>
        <w:rPr>
          <w:rFonts w:ascii="宋体" w:eastAsia="宋体" w:hAnsi="宋体" w:cs="宋体" w:hint="eastAsia"/>
          <w:lang w:val="en-GB"/>
        </w:rPr>
        <w:t>符合本文件的产品</w:t>
      </w:r>
      <w:r>
        <w:rPr>
          <w:rFonts w:ascii="宋体" w:eastAsia="宋体" w:hAnsi="宋体" w:cs="宋体" w:hint="eastAsia"/>
        </w:rPr>
        <w:t>鼓励</w:t>
      </w:r>
      <w:r>
        <w:rPr>
          <w:rFonts w:ascii="宋体" w:eastAsia="宋体" w:hAnsi="宋体" w:cs="宋体" w:hint="eastAsia"/>
          <w:lang w:val="en-GB"/>
        </w:rPr>
        <w:t>在包装上体现贵溪市串串产业协会认证的品牌标识。</w:t>
      </w:r>
    </w:p>
    <w:p w14:paraId="7DC82505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 w:hint="eastAsia"/>
        </w:rPr>
        <w:t>储存和运输</w:t>
      </w:r>
    </w:p>
    <w:p w14:paraId="0241379E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>产品的储存和运输应符合</w:t>
      </w:r>
      <w:r>
        <w:rPr>
          <w:rFonts w:ascii="Times New Roman" w:eastAsia="宋体"/>
        </w:rPr>
        <w:t>GB</w:t>
      </w:r>
      <w:r>
        <w:rPr>
          <w:rFonts w:ascii="Times New Roman" w:eastAsia="宋体"/>
          <w:lang w:val="en-GB"/>
        </w:rPr>
        <w:t>/</w:t>
      </w:r>
      <w:r>
        <w:rPr>
          <w:rFonts w:ascii="Times New Roman" w:eastAsia="宋体"/>
        </w:rPr>
        <w:t>T 24616</w:t>
      </w:r>
      <w:r>
        <w:rPr>
          <w:rFonts w:ascii="Times New Roman" w:eastAsia="宋体" w:hint="eastAsia"/>
        </w:rPr>
        <w:t>和</w:t>
      </w:r>
      <w:r>
        <w:rPr>
          <w:rFonts w:ascii="Times New Roman" w:eastAsia="宋体"/>
        </w:rPr>
        <w:t>GB 31605</w:t>
      </w:r>
      <w:r>
        <w:rPr>
          <w:rFonts w:ascii="宋体" w:eastAsia="宋体" w:hAnsi="宋体" w:cs="宋体" w:hint="eastAsia"/>
        </w:rPr>
        <w:t>规定。</w:t>
      </w:r>
      <w:r>
        <w:rPr>
          <w:rFonts w:ascii="Times New Roman" w:eastAsia="宋体" w:hint="eastAsia"/>
          <w:szCs w:val="24"/>
          <w:lang w:val="en-GB"/>
        </w:rPr>
        <w:t>运输和</w:t>
      </w:r>
      <w:r>
        <w:rPr>
          <w:rFonts w:ascii="宋体" w:eastAsia="宋体" w:hAnsi="宋体" w:cs="宋体" w:hint="eastAsia"/>
        </w:rPr>
        <w:t>储存时温度应不高于-18</w:t>
      </w:r>
      <w:r>
        <w:rPr>
          <w:rFonts w:ascii="Times New Roman" w:eastAsia="宋体"/>
          <w:szCs w:val="24"/>
          <w:lang w:val="en-GB"/>
        </w:rPr>
        <w:t>℃</w:t>
      </w:r>
      <w:r>
        <w:rPr>
          <w:rFonts w:ascii="宋体" w:eastAsia="宋体" w:hAnsi="宋体" w:cs="宋体" w:hint="eastAsia"/>
        </w:rPr>
        <w:t>。</w:t>
      </w:r>
    </w:p>
    <w:p w14:paraId="1AFF532F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</w:pPr>
      <w:r>
        <w:rPr>
          <w:rFonts w:ascii="宋体" w:eastAsia="宋体" w:hAnsi="宋体" w:cs="宋体" w:hint="eastAsia"/>
        </w:rPr>
        <w:t>产品的储存应按照产品类别、批次、规格、分别堆垛，堆垛应与墙壁、地面保持适当距离。</w:t>
      </w:r>
    </w:p>
    <w:p w14:paraId="5027010D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 w:hanging="3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>产品运输应使用冷链运输工具。应严格控制装载作业时间，装卸货期间食品温度升高幅度不应超过</w:t>
      </w:r>
      <w:r>
        <w:rPr>
          <w:rFonts w:ascii="Times New Roman" w:eastAsia="宋体"/>
        </w:rPr>
        <w:t>3</w:t>
      </w:r>
      <w:r>
        <w:rPr>
          <w:rFonts w:ascii="Times New Roman" w:eastAsia="宋体"/>
          <w:szCs w:val="24"/>
          <w:lang w:val="en-GB"/>
        </w:rPr>
        <w:t>℃</w:t>
      </w:r>
      <w:r>
        <w:rPr>
          <w:rFonts w:ascii="宋体" w:eastAsia="宋体" w:hAnsi="宋体" w:cs="宋体" w:hint="eastAsia"/>
        </w:rPr>
        <w:t>。</w:t>
      </w:r>
    </w:p>
    <w:p w14:paraId="03602B70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 w:hanging="3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>运输过程中应对车厢内温度进行监测，测温仪应定期校准，以确保其准确性。</w:t>
      </w:r>
    </w:p>
    <w:p w14:paraId="1B6F27C1" w14:textId="77777777" w:rsidR="00C52926" w:rsidRDefault="00000000">
      <w:pPr>
        <w:pStyle w:val="a7"/>
        <w:numPr>
          <w:ilvl w:val="1"/>
          <w:numId w:val="8"/>
        </w:numPr>
        <w:spacing w:beforeLines="0" w:before="0" w:afterLines="0" w:after="0" w:line="240" w:lineRule="auto"/>
        <w:ind w:left="0"/>
      </w:pPr>
      <w:r>
        <w:rPr>
          <w:rFonts w:ascii="宋体" w:eastAsia="宋体" w:hAnsi="宋体" w:cs="宋体" w:hint="eastAsia"/>
        </w:rPr>
        <w:t>运输车辆需专用，不得与有毒、有害、有异味，易污染的物品同时运输。</w:t>
      </w:r>
    </w:p>
    <w:p w14:paraId="1254D635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/>
        </w:rPr>
        <w:t>追溯</w:t>
      </w:r>
      <w:r>
        <w:rPr>
          <w:rFonts w:ascii="Times New Roman" w:hint="eastAsia"/>
        </w:rPr>
        <w:t>、</w:t>
      </w:r>
      <w:r>
        <w:rPr>
          <w:rFonts w:ascii="Times New Roman"/>
        </w:rPr>
        <w:t>投诉</w:t>
      </w:r>
      <w:r>
        <w:rPr>
          <w:rFonts w:ascii="Times New Roman" w:hint="eastAsia"/>
        </w:rPr>
        <w:t>和召回</w:t>
      </w:r>
    </w:p>
    <w:p w14:paraId="5BAA607B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 w:hint="eastAsia"/>
          <w:kern w:val="0"/>
          <w:sz w:val="21"/>
          <w:szCs w:val="21"/>
        </w:rPr>
        <w:t>产品追溯</w:t>
      </w:r>
    </w:p>
    <w:p w14:paraId="3244357D" w14:textId="77777777" w:rsidR="00C52926" w:rsidRDefault="00000000">
      <w:pPr>
        <w:ind w:right="28" w:firstLineChars="202" w:firstLine="424"/>
        <w:rPr>
          <w:rFonts w:eastAsia="宋体"/>
          <w:sz w:val="21"/>
          <w:szCs w:val="24"/>
        </w:rPr>
      </w:pPr>
      <w:r>
        <w:rPr>
          <w:rFonts w:eastAsia="宋体" w:hint="eastAsia"/>
          <w:sz w:val="21"/>
          <w:szCs w:val="24"/>
        </w:rPr>
        <w:t>追溯体系建立应符合</w:t>
      </w:r>
      <w:r>
        <w:rPr>
          <w:rFonts w:eastAsia="宋体" w:hint="eastAsia"/>
          <w:sz w:val="21"/>
          <w:szCs w:val="24"/>
        </w:rPr>
        <w:t>GB/T 45547</w:t>
      </w:r>
      <w:r>
        <w:rPr>
          <w:rFonts w:eastAsia="宋体" w:hint="eastAsia"/>
          <w:sz w:val="21"/>
          <w:szCs w:val="24"/>
        </w:rPr>
        <w:t>的规定。</w:t>
      </w:r>
    </w:p>
    <w:p w14:paraId="7DC4B7FA" w14:textId="77777777" w:rsidR="00C52926" w:rsidRDefault="00000000">
      <w:pPr>
        <w:widowControl/>
        <w:numPr>
          <w:ilvl w:val="1"/>
          <w:numId w:val="8"/>
        </w:numPr>
        <w:tabs>
          <w:tab w:val="left" w:pos="360"/>
        </w:tabs>
        <w:spacing w:beforeLines="50" w:before="156" w:afterLines="50" w:after="156"/>
        <w:ind w:left="0" w:firstLineChars="0"/>
        <w:jc w:val="left"/>
        <w:outlineLvl w:val="2"/>
        <w:rPr>
          <w:rFonts w:eastAsia="黑体"/>
          <w:kern w:val="0"/>
          <w:sz w:val="21"/>
          <w:szCs w:val="21"/>
        </w:rPr>
      </w:pPr>
      <w:r>
        <w:rPr>
          <w:rFonts w:eastAsia="黑体"/>
          <w:kern w:val="0"/>
          <w:sz w:val="21"/>
          <w:szCs w:val="21"/>
        </w:rPr>
        <w:lastRenderedPageBreak/>
        <w:t>投诉与</w:t>
      </w:r>
      <w:r>
        <w:rPr>
          <w:rFonts w:eastAsia="黑体" w:hint="eastAsia"/>
          <w:kern w:val="0"/>
          <w:sz w:val="21"/>
          <w:szCs w:val="21"/>
        </w:rPr>
        <w:t>召回</w:t>
      </w:r>
    </w:p>
    <w:p w14:paraId="7ED2DB2A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应建立产品投诉处理制度。</w:t>
      </w:r>
    </w:p>
    <w:p w14:paraId="7A2EE971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对产品的意见反馈及有效投诉，应立即追查原因，采取相应纠正措施。</w:t>
      </w:r>
    </w:p>
    <w:p w14:paraId="74BE98BF" w14:textId="77777777" w:rsidR="00C52926" w:rsidRDefault="00000000">
      <w:pPr>
        <w:pStyle w:val="a8"/>
        <w:numPr>
          <w:ilvl w:val="2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</w:rPr>
        <w:t>问题食品应按照《食品召回管理办法》执行。</w:t>
      </w:r>
    </w:p>
    <w:p w14:paraId="4EF6CB9A" w14:textId="77777777" w:rsidR="00C52926" w:rsidRDefault="00000000">
      <w:pPr>
        <w:pStyle w:val="a6"/>
        <w:numPr>
          <w:ilvl w:val="0"/>
          <w:numId w:val="8"/>
        </w:numPr>
        <w:rPr>
          <w:rFonts w:ascii="Times New Roman"/>
        </w:rPr>
      </w:pPr>
      <w:r>
        <w:rPr>
          <w:rFonts w:ascii="Times New Roman"/>
        </w:rPr>
        <w:t>记录</w:t>
      </w:r>
      <w:r>
        <w:rPr>
          <w:rFonts w:ascii="Times New Roman" w:hint="eastAsia"/>
        </w:rPr>
        <w:t>管理</w:t>
      </w:r>
    </w:p>
    <w:p w14:paraId="6CEDA24B" w14:textId="77777777" w:rsidR="00C52926" w:rsidRDefault="00000000">
      <w:pPr>
        <w:pStyle w:val="a8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  <w:szCs w:val="24"/>
        </w:rPr>
        <w:t>原辅料进货查验记录，主要记录供方单位名称、原料名称、规格、数量、生产日期、保质期、进货日期、供货者名称、地址、联系方式等内容，并保存相关凭证。</w:t>
      </w:r>
    </w:p>
    <w:p w14:paraId="7377FECB" w14:textId="77777777" w:rsidR="00C52926" w:rsidRDefault="00000000">
      <w:pPr>
        <w:pStyle w:val="a8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  <w:szCs w:val="24"/>
        </w:rPr>
        <w:t>应做好肉串加工、储存、运输等环节详细记录，记录内容应完整、真实。</w:t>
      </w:r>
    </w:p>
    <w:p w14:paraId="5D76B325" w14:textId="77777777" w:rsidR="00C52926" w:rsidRDefault="00000000">
      <w:pPr>
        <w:pStyle w:val="a8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</w:rPr>
      </w:pPr>
      <w:r>
        <w:rPr>
          <w:rFonts w:ascii="Times New Roman" w:eastAsia="宋体" w:hint="eastAsia"/>
          <w:szCs w:val="24"/>
        </w:rPr>
        <w:t>应做好产品销售、投诉和召回记录，主要记录所生产产品名称、规格、生产时间、生产数量、购买者名称、地址、联系方式、等内容，以及投诉和召回的原因、处理方案和后续整改措施，并保存相关凭证。</w:t>
      </w:r>
    </w:p>
    <w:p w14:paraId="2DC386F5" w14:textId="77777777" w:rsidR="00C52926" w:rsidRDefault="00000000">
      <w:pPr>
        <w:pStyle w:val="a8"/>
        <w:numPr>
          <w:ilvl w:val="1"/>
          <w:numId w:val="8"/>
        </w:numPr>
        <w:spacing w:beforeLines="0" w:before="0" w:afterLines="0" w:after="0" w:line="240" w:lineRule="auto"/>
        <w:ind w:left="0"/>
        <w:jc w:val="both"/>
        <w:rPr>
          <w:rFonts w:ascii="Times New Roman" w:eastAsia="宋体"/>
          <w:szCs w:val="24"/>
        </w:rPr>
      </w:pPr>
      <w:r>
        <w:rPr>
          <w:rFonts w:ascii="Times New Roman" w:eastAsia="宋体" w:hint="eastAsia"/>
          <w:szCs w:val="24"/>
        </w:rPr>
        <w:t>所有记录应准确、规范并具有可追溯性，记录保存期限不得少于产品保质期满后六个月；没有明确保质期的，保存期限不得少于两年。</w:t>
      </w:r>
    </w:p>
    <w:p w14:paraId="411D29CA" w14:textId="77777777" w:rsidR="00C52926" w:rsidRDefault="00000000">
      <w:pPr>
        <w:ind w:firstLine="560"/>
      </w:pPr>
      <w:r>
        <w:br w:type="page"/>
      </w:r>
    </w:p>
    <w:p w14:paraId="16D8FA7C" w14:textId="77777777" w:rsidR="00C52926" w:rsidRDefault="00000000">
      <w:pPr>
        <w:pStyle w:val="2"/>
        <w:ind w:leftChars="0" w:left="0" w:firstLineChars="0" w:firstLine="0"/>
      </w:pPr>
      <w:r>
        <w:rPr>
          <w:rFonts w:eastAsia="黑体" w:hint="eastAsia"/>
          <w:sz w:val="21"/>
          <w:szCs w:val="21"/>
        </w:rPr>
        <w:lastRenderedPageBreak/>
        <w:t>参考文献</w:t>
      </w:r>
    </w:p>
    <w:p w14:paraId="1D0E2132" w14:textId="77777777" w:rsidR="00C52926" w:rsidRDefault="00000000">
      <w:pPr>
        <w:numPr>
          <w:ilvl w:val="0"/>
          <w:numId w:val="9"/>
        </w:numPr>
        <w:adjustRightInd w:val="0"/>
        <w:snapToGrid w:val="0"/>
        <w:spacing w:line="360" w:lineRule="auto"/>
        <w:ind w:firstLineChars="0" w:firstLine="0"/>
        <w:rPr>
          <w:rFonts w:eastAsia="宋体"/>
          <w:kern w:val="0"/>
          <w:sz w:val="21"/>
          <w:szCs w:val="21"/>
        </w:rPr>
      </w:pPr>
      <w:r>
        <w:rPr>
          <w:rFonts w:eastAsia="宋体" w:hint="eastAsia"/>
          <w:kern w:val="0"/>
          <w:sz w:val="21"/>
          <w:szCs w:val="21"/>
        </w:rPr>
        <w:t>《定量包装商品计量监督管理办法》国家市场监督管理总局令第</w:t>
      </w:r>
      <w:r>
        <w:rPr>
          <w:rFonts w:eastAsia="宋体" w:hint="eastAsia"/>
          <w:kern w:val="0"/>
          <w:sz w:val="21"/>
          <w:szCs w:val="21"/>
        </w:rPr>
        <w:t>70</w:t>
      </w:r>
      <w:r>
        <w:rPr>
          <w:rFonts w:eastAsia="宋体" w:hint="eastAsia"/>
          <w:kern w:val="0"/>
          <w:sz w:val="21"/>
          <w:szCs w:val="21"/>
        </w:rPr>
        <w:t>号</w:t>
      </w:r>
    </w:p>
    <w:p w14:paraId="421C2CD7" w14:textId="77777777" w:rsidR="00C52926" w:rsidRDefault="00000000">
      <w:pPr>
        <w:numPr>
          <w:ilvl w:val="0"/>
          <w:numId w:val="9"/>
        </w:numPr>
        <w:adjustRightInd w:val="0"/>
        <w:snapToGrid w:val="0"/>
        <w:spacing w:line="360" w:lineRule="auto"/>
        <w:ind w:firstLineChars="0" w:firstLine="0"/>
        <w:rPr>
          <w:rFonts w:eastAsia="宋体"/>
          <w:kern w:val="0"/>
          <w:sz w:val="21"/>
          <w:szCs w:val="21"/>
        </w:rPr>
      </w:pPr>
      <w:r>
        <w:rPr>
          <w:rFonts w:eastAsia="宋体" w:hint="eastAsia"/>
          <w:kern w:val="0"/>
          <w:sz w:val="21"/>
          <w:szCs w:val="21"/>
        </w:rPr>
        <w:t>《中华人民共和国食品安全法》</w:t>
      </w:r>
    </w:p>
    <w:p w14:paraId="4DF11E5A" w14:textId="77777777" w:rsidR="00C52926" w:rsidRDefault="00000000">
      <w:pPr>
        <w:numPr>
          <w:ilvl w:val="0"/>
          <w:numId w:val="9"/>
        </w:numPr>
        <w:adjustRightInd w:val="0"/>
        <w:snapToGrid w:val="0"/>
        <w:spacing w:line="360" w:lineRule="auto"/>
        <w:ind w:firstLineChars="0" w:firstLine="0"/>
        <w:rPr>
          <w:rFonts w:eastAsia="宋体"/>
          <w:kern w:val="0"/>
          <w:sz w:val="21"/>
          <w:szCs w:val="21"/>
        </w:rPr>
      </w:pPr>
      <w:r>
        <w:rPr>
          <w:rFonts w:eastAsia="宋体" w:hint="eastAsia"/>
          <w:kern w:val="0"/>
          <w:sz w:val="21"/>
          <w:szCs w:val="21"/>
        </w:rPr>
        <w:t>《食品生产经营监督管理办法》国家市场监督管理总局令第</w:t>
      </w:r>
      <w:r>
        <w:rPr>
          <w:rFonts w:eastAsia="宋体" w:hint="eastAsia"/>
          <w:kern w:val="0"/>
          <w:sz w:val="21"/>
          <w:szCs w:val="21"/>
        </w:rPr>
        <w:t>49</w:t>
      </w:r>
      <w:r>
        <w:rPr>
          <w:rFonts w:eastAsia="宋体" w:hint="eastAsia"/>
          <w:kern w:val="0"/>
          <w:sz w:val="21"/>
          <w:szCs w:val="21"/>
        </w:rPr>
        <w:t>号</w:t>
      </w:r>
    </w:p>
    <w:p w14:paraId="36265244" w14:textId="77777777" w:rsidR="00C52926" w:rsidRDefault="00000000">
      <w:pPr>
        <w:numPr>
          <w:ilvl w:val="0"/>
          <w:numId w:val="9"/>
        </w:numPr>
        <w:adjustRightInd w:val="0"/>
        <w:snapToGrid w:val="0"/>
        <w:spacing w:line="360" w:lineRule="auto"/>
        <w:ind w:firstLineChars="0" w:firstLine="0"/>
        <w:rPr>
          <w:rFonts w:eastAsia="宋体"/>
          <w:kern w:val="0"/>
          <w:sz w:val="21"/>
          <w:szCs w:val="21"/>
        </w:rPr>
      </w:pPr>
      <w:r>
        <w:rPr>
          <w:rFonts w:eastAsia="宋体" w:hint="eastAsia"/>
          <w:kern w:val="0"/>
          <w:sz w:val="21"/>
          <w:szCs w:val="21"/>
        </w:rPr>
        <w:t>《食品召回管理办法》国家市场监督管理总局令第</w:t>
      </w:r>
      <w:r>
        <w:rPr>
          <w:rFonts w:eastAsia="宋体" w:hint="eastAsia"/>
          <w:kern w:val="0"/>
          <w:sz w:val="21"/>
          <w:szCs w:val="21"/>
        </w:rPr>
        <w:t>31</w:t>
      </w:r>
      <w:r>
        <w:rPr>
          <w:rFonts w:eastAsia="宋体" w:hint="eastAsia"/>
          <w:kern w:val="0"/>
          <w:sz w:val="21"/>
          <w:szCs w:val="21"/>
        </w:rPr>
        <w:t>号</w:t>
      </w:r>
    </w:p>
    <w:p w14:paraId="772EBFEF" w14:textId="77777777" w:rsidR="00C52926" w:rsidRDefault="00000000">
      <w:pPr>
        <w:pStyle w:val="aff7"/>
        <w:framePr w:w="4650" w:h="522" w:hRule="exact" w:wrap="around"/>
        <w:ind w:firstLine="683"/>
        <w:rPr>
          <w:b w:val="0"/>
          <w:bCs/>
          <w:u w:val="single"/>
        </w:rPr>
      </w:pPr>
      <w:r>
        <w:t xml:space="preserve"> </w:t>
      </w:r>
      <w:r>
        <w:rPr>
          <w:b w:val="0"/>
          <w:bCs/>
          <w:sz w:val="28"/>
          <w:szCs w:val="16"/>
        </w:rPr>
        <w:t xml:space="preserve"> </w:t>
      </w:r>
      <w:r>
        <w:rPr>
          <w:b w:val="0"/>
          <w:bCs/>
          <w:sz w:val="22"/>
          <w:szCs w:val="13"/>
          <w:u w:val="single"/>
        </w:rPr>
        <w:t xml:space="preserve">      </w:t>
      </w:r>
      <w:r>
        <w:rPr>
          <w:rFonts w:hint="eastAsia"/>
          <w:b w:val="0"/>
          <w:bCs/>
          <w:sz w:val="22"/>
          <w:szCs w:val="13"/>
          <w:u w:val="single"/>
        </w:rPr>
        <w:t xml:space="preserve">  </w:t>
      </w:r>
      <w:r>
        <w:rPr>
          <w:b w:val="0"/>
          <w:bCs/>
          <w:sz w:val="22"/>
          <w:szCs w:val="13"/>
          <w:u w:val="single"/>
        </w:rPr>
        <w:t xml:space="preserve">      </w:t>
      </w:r>
      <w:r>
        <w:rPr>
          <w:b w:val="0"/>
          <w:bCs/>
          <w:sz w:val="28"/>
          <w:szCs w:val="16"/>
          <w:u w:val="single"/>
        </w:rPr>
        <w:t xml:space="preserve">           </w:t>
      </w:r>
    </w:p>
    <w:p w14:paraId="57862DBB" w14:textId="77777777" w:rsidR="00C52926" w:rsidRDefault="00000000">
      <w:pPr>
        <w:autoSpaceDE w:val="0"/>
        <w:autoSpaceDN w:val="0"/>
        <w:spacing w:line="340" w:lineRule="exact"/>
        <w:ind w:firstLineChars="0" w:firstLine="0"/>
        <w:rPr>
          <w:rFonts w:ascii="仿宋" w:eastAsia="仿宋" w:hAnsi="仿宋" w:cs="仿宋" w:hint="eastAsia"/>
          <w:bCs/>
          <w:sz w:val="32"/>
          <w:szCs w:val="32"/>
          <w:lang w:val="en-GB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 xml:space="preserve">   </w:t>
      </w:r>
    </w:p>
    <w:sectPr w:rsidR="00C52926">
      <w:headerReference w:type="default" r:id="rId16"/>
      <w:footerReference w:type="default" r:id="rId17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EC2EA" w14:textId="77777777" w:rsidR="00F47020" w:rsidRDefault="00F47020">
      <w:pPr>
        <w:ind w:firstLine="560"/>
      </w:pPr>
      <w:r>
        <w:separator/>
      </w:r>
    </w:p>
  </w:endnote>
  <w:endnote w:type="continuationSeparator" w:id="0">
    <w:p w14:paraId="4231A01A" w14:textId="77777777" w:rsidR="00F47020" w:rsidRDefault="00F47020">
      <w:pPr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6DD0CF00-4C9A-4FA8-AC32-602DD60B317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  <w:embedRegular r:id="rId2" w:fontKey="{7709046A-617B-4DC2-81A5-CC8B3FBA0E3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subsetted="1" w:fontKey="{AB5AD33F-F393-49BF-A9F5-FEB4AF5A83B5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7B053714-26EF-4733-87B7-22922E165242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B77EE" w14:textId="77777777" w:rsidR="00EF794D" w:rsidRDefault="00EF794D">
    <w:pPr>
      <w:pStyle w:val="af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B5725" w14:textId="77777777" w:rsidR="00EF794D" w:rsidRDefault="00EF794D">
    <w:pPr>
      <w:pStyle w:val="af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06C08" w14:textId="77777777" w:rsidR="00EF794D" w:rsidRDefault="00EF794D">
    <w:pPr>
      <w:pStyle w:val="af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51340" w14:textId="77777777" w:rsidR="00C52926" w:rsidRDefault="00000000">
    <w:pPr>
      <w:pStyle w:val="aff9"/>
      <w:rPr>
        <w:rFonts w:hint="default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6A9A7E" wp14:editId="63B58A3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0F67F7" w14:textId="77777777" w:rsidR="00C52926" w:rsidRDefault="00000000">
                          <w:pPr>
                            <w:pStyle w:val="aff9"/>
                            <w:rPr>
                              <w:rFonts w:hint="default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6A9A7E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" filled="f" stroked="f">
              <v:textbox style="mso-fit-shape-to-text:t" inset="0,0,0,0">
                <w:txbxContent>
                  <w:p w14:paraId="180F67F7" w14:textId="77777777" w:rsidR="00C52926" w:rsidRDefault="00000000">
                    <w:pPr>
                      <w:pStyle w:val="aff9"/>
                      <w:rPr>
                        <w:rFonts w:hint="default"/>
                      </w:rPr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I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06CA1" w14:textId="77777777" w:rsidR="00C52926" w:rsidRDefault="00000000">
    <w:pPr>
      <w:pStyle w:val="af"/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6856EC0" wp14:editId="07F689C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379F82" w14:textId="77777777" w:rsidR="00C52926" w:rsidRDefault="00000000">
                          <w:pPr>
                            <w:pStyle w:val="af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856EC0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" filled="f" stroked="f">
              <v:textbox style="mso-fit-shape-to-text:t" inset="0,0,0,0">
                <w:txbxContent>
                  <w:p w14:paraId="79379F82" w14:textId="77777777" w:rsidR="00C52926" w:rsidRDefault="00000000">
                    <w:pPr>
                      <w:pStyle w:val="af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A5A27F" w14:textId="77777777" w:rsidR="00F47020" w:rsidRDefault="00F47020">
      <w:pPr>
        <w:ind w:firstLine="560"/>
      </w:pPr>
      <w:r>
        <w:separator/>
      </w:r>
    </w:p>
  </w:footnote>
  <w:footnote w:type="continuationSeparator" w:id="0">
    <w:p w14:paraId="7474303F" w14:textId="77777777" w:rsidR="00F47020" w:rsidRDefault="00F47020">
      <w:pPr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43DA7" w14:textId="77777777" w:rsidR="00EF794D" w:rsidRDefault="00EF794D">
    <w:pPr>
      <w:pStyle w:val="af0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7BF89" w14:textId="77777777" w:rsidR="00EF794D" w:rsidRDefault="00EF794D">
    <w:pPr>
      <w:pStyle w:val="af0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E680A" w14:textId="77777777" w:rsidR="00EF794D" w:rsidRDefault="00EF794D">
    <w:pPr>
      <w:pStyle w:val="af0"/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CF796" w14:textId="6023A8CC" w:rsidR="00C52926" w:rsidRDefault="00000000">
    <w:pPr>
      <w:pStyle w:val="af0"/>
      <w:ind w:firstLine="360"/>
      <w:jc w:val="right"/>
    </w:pPr>
    <w:r>
      <w:t>T/</w:t>
    </w:r>
    <w:r>
      <w:rPr>
        <w:rFonts w:hint="eastAsia"/>
      </w:rPr>
      <w:t xml:space="preserve">JXIFST </w:t>
    </w:r>
    <w:r w:rsidR="00EF794D">
      <w:rPr>
        <w:rFonts w:hint="eastAsia"/>
      </w:rPr>
      <w:t>00</w:t>
    </w:r>
    <w:r w:rsidR="00EF794D">
      <w:rPr>
        <w:rFonts w:ascii="Cambria" w:hAnsi="Cambria" w:hint="eastAsia"/>
      </w:rPr>
      <w:t>4</w:t>
    </w:r>
    <w:r>
      <w:rPr>
        <w:rFonts w:hint="eastAsia"/>
      </w:rPr>
      <w:t>—</w:t>
    </w:r>
    <w:r>
      <w:t>20</w:t>
    </w:r>
    <w:r>
      <w:rPr>
        <w:rFonts w:hint="eastAsia"/>
      </w:rPr>
      <w:t>26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E2450" w14:textId="13A939E6" w:rsidR="00C52926" w:rsidRDefault="00000000">
    <w:pPr>
      <w:pStyle w:val="af0"/>
      <w:pBdr>
        <w:bottom w:val="none" w:sz="0" w:space="1" w:color="auto"/>
      </w:pBdr>
      <w:ind w:firstLine="360"/>
      <w:jc w:val="right"/>
    </w:pPr>
    <w:r>
      <w:t>T/</w:t>
    </w:r>
    <w:r>
      <w:rPr>
        <w:rFonts w:hint="eastAsia"/>
      </w:rPr>
      <w:t>JXIFST00</w:t>
    </w:r>
    <w:r w:rsidR="00EF794D">
      <w:rPr>
        <w:rFonts w:ascii="Cambria" w:hAnsi="Cambria" w:hint="eastAsia"/>
      </w:rPr>
      <w:t>4</w:t>
    </w:r>
    <w:r>
      <w:rPr>
        <w:rFonts w:hint="eastAsia"/>
      </w:rPr>
      <w:t>—</w:t>
    </w:r>
    <w:r>
      <w:t>20</w:t>
    </w:r>
    <w:r>
      <w:rPr>
        <w:rFonts w:hint="eastAsia"/>
      </w:rPr>
      <w:t>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BCAA85F"/>
    <w:multiLevelType w:val="multilevel"/>
    <w:tmpl w:val="ABCAA85F"/>
    <w:lvl w:ilvl="0">
      <w:start w:val="1"/>
      <w:numFmt w:val="decimal"/>
      <w:pStyle w:val="a"/>
      <w:suff w:val="nothing"/>
      <w:lvlText w:val="%1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1">
      <w:start w:val="1"/>
      <w:numFmt w:val="decimal"/>
      <w:pStyle w:val="a0"/>
      <w:suff w:val="nothing"/>
      <w:lvlText w:val="%1.%2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2">
      <w:start w:val="1"/>
      <w:numFmt w:val="decimal"/>
      <w:pStyle w:val="a1"/>
      <w:suff w:val="nothing"/>
      <w:lvlText w:val="%1.%2.%3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6">
      <w:start w:val="1"/>
      <w:numFmt w:val="lowerLetter"/>
      <w:suff w:val="nothing"/>
      <w:lvlText w:val="%7）"/>
      <w:lvlJc w:val="left"/>
      <w:pPr>
        <w:ind w:left="0" w:firstLine="402"/>
      </w:pPr>
      <w:rPr>
        <w:rFonts w:hint="eastAsia"/>
      </w:rPr>
    </w:lvl>
    <w:lvl w:ilvl="7">
      <w:start w:val="1"/>
      <w:numFmt w:val="lowerRoman"/>
      <w:suff w:val="nothing"/>
      <w:lvlText w:val="%8. 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）"/>
      <w:lvlJc w:val="left"/>
      <w:pPr>
        <w:ind w:left="0" w:firstLine="402"/>
      </w:pPr>
      <w:rPr>
        <w:rFonts w:hint="eastAsia"/>
      </w:rPr>
    </w:lvl>
  </w:abstractNum>
  <w:abstractNum w:abstractNumId="1" w15:restartNumberingAfterBreak="0">
    <w:nsid w:val="BD0B66F8"/>
    <w:multiLevelType w:val="multilevel"/>
    <w:tmpl w:val="BD0B66F8"/>
    <w:lvl w:ilvl="0">
      <w:start w:val="1"/>
      <w:numFmt w:val="decimal"/>
      <w:pStyle w:val="a2"/>
      <w:suff w:val="nothing"/>
      <w:lvlText w:val="表%1  "/>
      <w:lvlJc w:val="left"/>
      <w:pPr>
        <w:tabs>
          <w:tab w:val="left" w:pos="539"/>
        </w:tabs>
        <w:ind w:left="0" w:firstLine="0"/>
      </w:pPr>
      <w:rPr>
        <w:rFonts w:ascii="黑体" w:eastAsia="黑体" w:hAnsi="黑体" w:cs="黑体" w:hint="eastAsia"/>
        <w:sz w:val="21"/>
        <w:vertAlign w:val="baseline"/>
      </w:rPr>
    </w:lvl>
    <w:lvl w:ilvl="1">
      <w:start w:val="1"/>
      <w:numFmt w:val="chineseCounting"/>
      <w:suff w:val="nothing"/>
      <w:lvlText w:val="%2、"/>
      <w:lvlJc w:val="left"/>
      <w:pPr>
        <w:ind w:left="0" w:firstLine="402"/>
      </w:pPr>
      <w:rPr>
        <w:rFonts w:hint="eastAsia"/>
      </w:rPr>
    </w:lvl>
    <w:lvl w:ilvl="2">
      <w:start w:val="1"/>
      <w:numFmt w:val="decimal"/>
      <w:suff w:val="nothing"/>
      <w:lvlText w:val="%3．"/>
      <w:lvlJc w:val="left"/>
      <w:pPr>
        <w:ind w:left="0" w:firstLine="402"/>
      </w:pPr>
      <w:rPr>
        <w:rFonts w:hint="eastAsia"/>
      </w:rPr>
    </w:lvl>
    <w:lvl w:ilvl="3">
      <w:start w:val="1"/>
      <w:numFmt w:val="decimal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suff w:val="nothing"/>
      <w:lvlText w:val="%5 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. "/>
      <w:lvlJc w:val="left"/>
      <w:pPr>
        <w:ind w:left="0" w:firstLine="402"/>
      </w:pPr>
      <w:rPr>
        <w:rFonts w:hint="eastAsia"/>
      </w:rPr>
    </w:lvl>
  </w:abstractNum>
  <w:abstractNum w:abstractNumId="2" w15:restartNumberingAfterBreak="0">
    <w:nsid w:val="D1E0386A"/>
    <w:multiLevelType w:val="multilevel"/>
    <w:tmpl w:val="D1E0386A"/>
    <w:lvl w:ilvl="0">
      <w:start w:val="1"/>
      <w:numFmt w:val="upperLetter"/>
      <w:pStyle w:val="a3"/>
      <w:suff w:val="nothing"/>
      <w:lvlText w:val="附录%1"/>
      <w:lvlJc w:val="left"/>
      <w:pPr>
        <w:ind w:left="0" w:firstLine="0"/>
      </w:pPr>
      <w:rPr>
        <w:rFonts w:hint="default"/>
        <w:spacing w:val="102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6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3" w15:restartNumberingAfterBreak="0">
    <w:nsid w:val="E4135A00"/>
    <w:multiLevelType w:val="multilevel"/>
    <w:tmpl w:val="E4135A00"/>
    <w:lvl w:ilvl="0">
      <w:start w:val="1"/>
      <w:numFmt w:val="none"/>
      <w:pStyle w:val="a4"/>
      <w:suff w:val="nothing"/>
      <w:lvlText w:val="%1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suff w:val="nothing"/>
      <w:lvlText w:val="%10.%2 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2">
      <w:start w:val="1"/>
      <w:numFmt w:val="decimal"/>
      <w:suff w:val="nothing"/>
      <w:lvlText w:val="%10.%2.%3 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3">
      <w:start w:val="1"/>
      <w:numFmt w:val="decimal"/>
      <w:suff w:val="nothing"/>
      <w:lvlText w:val="%10.%2.%3.%4 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4">
      <w:start w:val="1"/>
      <w:numFmt w:val="decimal"/>
      <w:suff w:val="nothing"/>
      <w:lvlText w:val="%10.%2.%3.%4.%5 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5">
      <w:start w:val="1"/>
      <w:numFmt w:val="decimal"/>
      <w:suff w:val="nothing"/>
      <w:lvlText w:val="%10.%2.%3.%4.%5.%6 "/>
      <w:lvlJc w:val="left"/>
      <w:pPr>
        <w:ind w:left="0" w:firstLine="0"/>
      </w:pPr>
      <w:rPr>
        <w:rFonts w:ascii="黑体" w:eastAsia="黑体" w:hAnsi="黑体" w:cs="黑体" w:hint="default"/>
        <w:sz w:val="20"/>
      </w:rPr>
    </w:lvl>
    <w:lvl w:ilvl="6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4" w15:restartNumberingAfterBreak="0">
    <w:nsid w:val="F240A558"/>
    <w:multiLevelType w:val="multilevel"/>
    <w:tmpl w:val="F240A558"/>
    <w:lvl w:ilvl="0">
      <w:start w:val="1"/>
      <w:numFmt w:val="lowerLetter"/>
      <w:pStyle w:val="a5"/>
      <w:lvlText w:val="%1)"/>
      <w:lvlJc w:val="left"/>
      <w:pPr>
        <w:tabs>
          <w:tab w:val="left" w:pos="851"/>
        </w:tabs>
        <w:ind w:left="851" w:hanging="426"/>
      </w:pPr>
      <w:rPr>
        <w:rFonts w:ascii="宋体" w:eastAsia="宋体" w:hAnsi="宋体" w:cs="宋体" w:hint="default"/>
        <w:sz w:val="20"/>
      </w:rPr>
    </w:lvl>
    <w:lvl w:ilvl="1">
      <w:start w:val="1"/>
      <w:numFmt w:val="decimal"/>
      <w:lvlText w:val="%2)"/>
      <w:lvlJc w:val="left"/>
      <w:pPr>
        <w:tabs>
          <w:tab w:val="left" w:pos="1276"/>
        </w:tabs>
        <w:ind w:left="1276" w:hanging="425"/>
      </w:pPr>
      <w:rPr>
        <w:rFonts w:ascii="宋体" w:eastAsia="宋体" w:hAnsi="Times New Roman" w:cs="Times New Roman" w:hint="default"/>
        <w:sz w:val="21"/>
      </w:rPr>
    </w:lvl>
    <w:lvl w:ilvl="2">
      <w:start w:val="1"/>
      <w:numFmt w:val="bullet"/>
      <w:lvlText w:val=""/>
      <w:lvlJc w:val="left"/>
      <w:pPr>
        <w:tabs>
          <w:tab w:val="left" w:pos="1678"/>
        </w:tabs>
        <w:ind w:left="1678" w:hanging="414"/>
      </w:pPr>
      <w:rPr>
        <w:rFonts w:ascii="Symbol" w:hAnsi="Symbol" w:cs="Symbol" w:hint="default"/>
      </w:rPr>
    </w:lvl>
    <w:lvl w:ilvl="3">
      <w:start w:val="1"/>
      <w:numFmt w:val="decimalEnclosedCircleChinese"/>
      <w:suff w:val="nothing"/>
      <w:lvlText w:val="%4 "/>
      <w:lvlJc w:val="left"/>
      <w:pPr>
        <w:ind w:left="0" w:firstLine="402"/>
      </w:pPr>
      <w:rPr>
        <w:rFonts w:hint="eastAsia"/>
      </w:rPr>
    </w:lvl>
    <w:lvl w:ilvl="4">
      <w:start w:val="1"/>
      <w:numFmt w:val="decimal"/>
      <w:suff w:val="nothing"/>
      <w:lvlText w:val="%5）"/>
      <w:lvlJc w:val="left"/>
      <w:pPr>
        <w:ind w:left="0" w:firstLine="402"/>
      </w:pPr>
      <w:rPr>
        <w:rFonts w:hint="eastAsia"/>
      </w:rPr>
    </w:lvl>
    <w:lvl w:ilvl="5">
      <w:start w:val="1"/>
      <w:numFmt w:val="upperLetter"/>
      <w:suff w:val="nothing"/>
      <w:lvlText w:val="%6．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．"/>
      <w:lvlJc w:val="left"/>
      <w:pPr>
        <w:ind w:left="0" w:firstLine="402"/>
      </w:pPr>
      <w:rPr>
        <w:rFonts w:hint="eastAsia"/>
      </w:rPr>
    </w:lvl>
  </w:abstractNum>
  <w:abstractNum w:abstractNumId="5" w15:restartNumberingAfterBreak="0">
    <w:nsid w:val="1FC91163"/>
    <w:multiLevelType w:val="multilevel"/>
    <w:tmpl w:val="1FC91163"/>
    <w:lvl w:ilvl="0">
      <w:start w:val="1"/>
      <w:numFmt w:val="decimal"/>
      <w:pStyle w:val="a6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7"/>
      <w:suff w:val="nothing"/>
      <w:lvlText w:val="%1.%2　"/>
      <w:lvlJc w:val="left"/>
      <w:pPr>
        <w:ind w:left="284" w:firstLine="0"/>
      </w:pPr>
      <w:rPr>
        <w:rFonts w:ascii="黑体" w:eastAsia="黑体" w:hAnsi="黑体" w:cs="黑体" w:hint="default"/>
        <w:b w:val="0"/>
        <w:bCs w:val="0"/>
        <w:sz w:val="20"/>
      </w:rPr>
    </w:lvl>
    <w:lvl w:ilvl="2">
      <w:start w:val="1"/>
      <w:numFmt w:val="decimal"/>
      <w:pStyle w:val="a8"/>
      <w:suff w:val="nothing"/>
      <w:lvlText w:val="%1.%2.%3　"/>
      <w:lvlJc w:val="left"/>
      <w:pPr>
        <w:ind w:left="63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6" w15:restartNumberingAfterBreak="0">
    <w:nsid w:val="32220A53"/>
    <w:multiLevelType w:val="multilevel"/>
    <w:tmpl w:val="32220A53"/>
    <w:lvl w:ilvl="0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7BBEE5B8"/>
    <w:multiLevelType w:val="multilevel"/>
    <w:tmpl w:val="7BBEE5B8"/>
    <w:lvl w:ilvl="0">
      <w:start w:val="1"/>
      <w:numFmt w:val="none"/>
      <w:pStyle w:val="a9"/>
      <w:suff w:val="nothing"/>
      <w:lvlText w:val="注："/>
      <w:lvlJc w:val="left"/>
      <w:pPr>
        <w:tabs>
          <w:tab w:val="left" w:pos="539"/>
        </w:tabs>
        <w:ind w:left="737" w:hanging="374"/>
      </w:pPr>
      <w:rPr>
        <w:rFonts w:ascii="黑体" w:eastAsia="黑体" w:hAnsi="黑体" w:cs="黑体" w:hint="eastAsia"/>
        <w:sz w:val="18"/>
        <w:vertAlign w:val="baseline"/>
      </w:rPr>
    </w:lvl>
    <w:lvl w:ilvl="1">
      <w:start w:val="1"/>
      <w:numFmt w:val="chineseCounting"/>
      <w:suff w:val="nothing"/>
      <w:lvlText w:val="%2、"/>
      <w:lvlJc w:val="left"/>
      <w:pPr>
        <w:ind w:left="0" w:firstLine="402"/>
      </w:pPr>
      <w:rPr>
        <w:rFonts w:hint="eastAsia"/>
      </w:rPr>
    </w:lvl>
    <w:lvl w:ilvl="2">
      <w:start w:val="1"/>
      <w:numFmt w:val="decimal"/>
      <w:suff w:val="nothing"/>
      <w:lvlText w:val="%3．"/>
      <w:lvlJc w:val="left"/>
      <w:pPr>
        <w:ind w:left="0" w:firstLine="402"/>
      </w:pPr>
      <w:rPr>
        <w:rFonts w:hint="eastAsia"/>
      </w:rPr>
    </w:lvl>
    <w:lvl w:ilvl="3">
      <w:start w:val="1"/>
      <w:numFmt w:val="decimal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suff w:val="nothing"/>
      <w:lvlText w:val="%5 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. "/>
      <w:lvlJc w:val="left"/>
      <w:pPr>
        <w:ind w:left="0" w:firstLine="402"/>
      </w:pPr>
      <w:rPr>
        <w:rFonts w:hint="eastAsia"/>
      </w:rPr>
    </w:lvl>
  </w:abstractNum>
  <w:num w:numId="1" w16cid:durableId="777137695">
    <w:abstractNumId w:val="3"/>
  </w:num>
  <w:num w:numId="2" w16cid:durableId="2017880038">
    <w:abstractNumId w:val="0"/>
  </w:num>
  <w:num w:numId="3" w16cid:durableId="623460561">
    <w:abstractNumId w:val="5"/>
  </w:num>
  <w:num w:numId="4" w16cid:durableId="2052069922">
    <w:abstractNumId w:val="1"/>
  </w:num>
  <w:num w:numId="5" w16cid:durableId="1526747362">
    <w:abstractNumId w:val="4"/>
  </w:num>
  <w:num w:numId="6" w16cid:durableId="1187210946">
    <w:abstractNumId w:val="2"/>
  </w:num>
  <w:num w:numId="7" w16cid:durableId="1446079014">
    <w:abstractNumId w:val="7"/>
  </w:num>
  <w:num w:numId="8" w16cid:durableId="18943481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36788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mIxODRjY2YwNTgzNTFlOWUyNDlkZWRlYjhjM2FhNzUifQ=="/>
  </w:docVars>
  <w:rsids>
    <w:rsidRoot w:val="389B00A3"/>
    <w:rsid w:val="007A57CA"/>
    <w:rsid w:val="00C52926"/>
    <w:rsid w:val="00E16FE2"/>
    <w:rsid w:val="00EF794D"/>
    <w:rsid w:val="00F47020"/>
    <w:rsid w:val="023512AC"/>
    <w:rsid w:val="027D0FA4"/>
    <w:rsid w:val="043E7D92"/>
    <w:rsid w:val="04907800"/>
    <w:rsid w:val="05981C01"/>
    <w:rsid w:val="06865FC2"/>
    <w:rsid w:val="07391AF7"/>
    <w:rsid w:val="07936324"/>
    <w:rsid w:val="07AA45E5"/>
    <w:rsid w:val="09400109"/>
    <w:rsid w:val="09E36F47"/>
    <w:rsid w:val="0A8F7AAE"/>
    <w:rsid w:val="0AC939B9"/>
    <w:rsid w:val="0B5036E2"/>
    <w:rsid w:val="0C41127C"/>
    <w:rsid w:val="0C820715"/>
    <w:rsid w:val="0DA16476"/>
    <w:rsid w:val="0E6A2D0C"/>
    <w:rsid w:val="0F2E7896"/>
    <w:rsid w:val="0FDC047D"/>
    <w:rsid w:val="10187F30"/>
    <w:rsid w:val="102A2753"/>
    <w:rsid w:val="103F3D25"/>
    <w:rsid w:val="12C33D55"/>
    <w:rsid w:val="13770F3A"/>
    <w:rsid w:val="13ED176B"/>
    <w:rsid w:val="14496F20"/>
    <w:rsid w:val="146145B3"/>
    <w:rsid w:val="1498679B"/>
    <w:rsid w:val="15CC22D2"/>
    <w:rsid w:val="16B9038D"/>
    <w:rsid w:val="16FB4A77"/>
    <w:rsid w:val="17AC6144"/>
    <w:rsid w:val="17B943BD"/>
    <w:rsid w:val="18245CDA"/>
    <w:rsid w:val="183517EE"/>
    <w:rsid w:val="189C3090"/>
    <w:rsid w:val="1A0366F7"/>
    <w:rsid w:val="1A2D17B4"/>
    <w:rsid w:val="1A8E38DF"/>
    <w:rsid w:val="1C4704B6"/>
    <w:rsid w:val="1D500CE1"/>
    <w:rsid w:val="1E3E561C"/>
    <w:rsid w:val="1E77404F"/>
    <w:rsid w:val="1E887014"/>
    <w:rsid w:val="1EC12F75"/>
    <w:rsid w:val="1EFA1543"/>
    <w:rsid w:val="202A39A5"/>
    <w:rsid w:val="20770BA3"/>
    <w:rsid w:val="20CB6D45"/>
    <w:rsid w:val="214370BF"/>
    <w:rsid w:val="222C1B79"/>
    <w:rsid w:val="22E03145"/>
    <w:rsid w:val="23137077"/>
    <w:rsid w:val="24B6415E"/>
    <w:rsid w:val="25203BC9"/>
    <w:rsid w:val="25270BB7"/>
    <w:rsid w:val="26445799"/>
    <w:rsid w:val="26EF7DFB"/>
    <w:rsid w:val="27D11816"/>
    <w:rsid w:val="2AEE4E87"/>
    <w:rsid w:val="2B6E0DD0"/>
    <w:rsid w:val="2B8F5708"/>
    <w:rsid w:val="2BBD04C8"/>
    <w:rsid w:val="2BC7343E"/>
    <w:rsid w:val="2BD870AF"/>
    <w:rsid w:val="2C084BE8"/>
    <w:rsid w:val="2C2B1C74"/>
    <w:rsid w:val="2C6B1CD2"/>
    <w:rsid w:val="2C7F577D"/>
    <w:rsid w:val="2C8307DF"/>
    <w:rsid w:val="2C83526D"/>
    <w:rsid w:val="2CDC2283"/>
    <w:rsid w:val="2D3C33FD"/>
    <w:rsid w:val="2D3C541C"/>
    <w:rsid w:val="2D734225"/>
    <w:rsid w:val="2EA414CB"/>
    <w:rsid w:val="30E038CF"/>
    <w:rsid w:val="30E67B79"/>
    <w:rsid w:val="31795948"/>
    <w:rsid w:val="32953D1F"/>
    <w:rsid w:val="330560CA"/>
    <w:rsid w:val="336B4281"/>
    <w:rsid w:val="336F02F9"/>
    <w:rsid w:val="33B10912"/>
    <w:rsid w:val="33E660E2"/>
    <w:rsid w:val="34C401D1"/>
    <w:rsid w:val="34D874BA"/>
    <w:rsid w:val="34E268A9"/>
    <w:rsid w:val="3550415A"/>
    <w:rsid w:val="35696FCA"/>
    <w:rsid w:val="357065AB"/>
    <w:rsid w:val="35D47D1A"/>
    <w:rsid w:val="35D54660"/>
    <w:rsid w:val="364F7F6E"/>
    <w:rsid w:val="36B6424C"/>
    <w:rsid w:val="36F40202"/>
    <w:rsid w:val="37D050DF"/>
    <w:rsid w:val="389B00A3"/>
    <w:rsid w:val="38E2776A"/>
    <w:rsid w:val="3A922B1F"/>
    <w:rsid w:val="3C0637C5"/>
    <w:rsid w:val="3CE05DC4"/>
    <w:rsid w:val="3D2F1462"/>
    <w:rsid w:val="3D7658CC"/>
    <w:rsid w:val="3DA02290"/>
    <w:rsid w:val="3DE4421C"/>
    <w:rsid w:val="3E34138B"/>
    <w:rsid w:val="3E5C147A"/>
    <w:rsid w:val="3EDD20ED"/>
    <w:rsid w:val="3F130677"/>
    <w:rsid w:val="3F4C7741"/>
    <w:rsid w:val="3F684F93"/>
    <w:rsid w:val="3FA255B3"/>
    <w:rsid w:val="3FC70780"/>
    <w:rsid w:val="3FD54927"/>
    <w:rsid w:val="40505291"/>
    <w:rsid w:val="41D72F41"/>
    <w:rsid w:val="421554F2"/>
    <w:rsid w:val="42764A3E"/>
    <w:rsid w:val="4286740D"/>
    <w:rsid w:val="429D02B3"/>
    <w:rsid w:val="42F36F43"/>
    <w:rsid w:val="436138F5"/>
    <w:rsid w:val="43F839F3"/>
    <w:rsid w:val="447C2876"/>
    <w:rsid w:val="44D22496"/>
    <w:rsid w:val="46582E6F"/>
    <w:rsid w:val="46DE790A"/>
    <w:rsid w:val="472051BC"/>
    <w:rsid w:val="472218F0"/>
    <w:rsid w:val="47881532"/>
    <w:rsid w:val="47A179E9"/>
    <w:rsid w:val="48B75801"/>
    <w:rsid w:val="48C46F6E"/>
    <w:rsid w:val="491A440C"/>
    <w:rsid w:val="4A0F1A96"/>
    <w:rsid w:val="4A0F5F3A"/>
    <w:rsid w:val="4A3B288C"/>
    <w:rsid w:val="4AA0245F"/>
    <w:rsid w:val="4AA4283F"/>
    <w:rsid w:val="4B044C48"/>
    <w:rsid w:val="4BEC23CF"/>
    <w:rsid w:val="4C106544"/>
    <w:rsid w:val="4CBD5E07"/>
    <w:rsid w:val="4CC27AF2"/>
    <w:rsid w:val="4D1F46E6"/>
    <w:rsid w:val="4E241889"/>
    <w:rsid w:val="4E516B22"/>
    <w:rsid w:val="4EE94FAC"/>
    <w:rsid w:val="4F0E4337"/>
    <w:rsid w:val="4F103D94"/>
    <w:rsid w:val="506444A8"/>
    <w:rsid w:val="50C07F8E"/>
    <w:rsid w:val="51801F69"/>
    <w:rsid w:val="51AC0513"/>
    <w:rsid w:val="5203381C"/>
    <w:rsid w:val="520B6FE7"/>
    <w:rsid w:val="528D3EA0"/>
    <w:rsid w:val="52CB49C9"/>
    <w:rsid w:val="52D7511B"/>
    <w:rsid w:val="53406D2A"/>
    <w:rsid w:val="53CC09F8"/>
    <w:rsid w:val="54744EAF"/>
    <w:rsid w:val="548E213A"/>
    <w:rsid w:val="54C73BA5"/>
    <w:rsid w:val="54D41884"/>
    <w:rsid w:val="54DB601C"/>
    <w:rsid w:val="55254864"/>
    <w:rsid w:val="55314FB7"/>
    <w:rsid w:val="55514913"/>
    <w:rsid w:val="556B5C9E"/>
    <w:rsid w:val="55D65B5E"/>
    <w:rsid w:val="56AE5BF6"/>
    <w:rsid w:val="57016C0B"/>
    <w:rsid w:val="57101FE7"/>
    <w:rsid w:val="5794182D"/>
    <w:rsid w:val="57B35D72"/>
    <w:rsid w:val="57E722A5"/>
    <w:rsid w:val="57F81DBC"/>
    <w:rsid w:val="593E7CA2"/>
    <w:rsid w:val="5AA205F5"/>
    <w:rsid w:val="5B0C00DC"/>
    <w:rsid w:val="5BEE7EDC"/>
    <w:rsid w:val="5C3F0EDF"/>
    <w:rsid w:val="5D635372"/>
    <w:rsid w:val="5D796F08"/>
    <w:rsid w:val="5DC40154"/>
    <w:rsid w:val="5EEB61F9"/>
    <w:rsid w:val="5EEB7586"/>
    <w:rsid w:val="5FB7255D"/>
    <w:rsid w:val="5FDB26EF"/>
    <w:rsid w:val="605B3830"/>
    <w:rsid w:val="605C779B"/>
    <w:rsid w:val="624B55DE"/>
    <w:rsid w:val="624F5057"/>
    <w:rsid w:val="63E81AB7"/>
    <w:rsid w:val="6558033E"/>
    <w:rsid w:val="65730D5C"/>
    <w:rsid w:val="6610573A"/>
    <w:rsid w:val="66CA27DA"/>
    <w:rsid w:val="67760A3A"/>
    <w:rsid w:val="67EA5495"/>
    <w:rsid w:val="68B57855"/>
    <w:rsid w:val="68CE35BD"/>
    <w:rsid w:val="690305C1"/>
    <w:rsid w:val="69623E9E"/>
    <w:rsid w:val="698A791D"/>
    <w:rsid w:val="69AE677E"/>
    <w:rsid w:val="6A6E10FB"/>
    <w:rsid w:val="6AB204F0"/>
    <w:rsid w:val="6AF77442"/>
    <w:rsid w:val="6B0E2C24"/>
    <w:rsid w:val="6BD149A6"/>
    <w:rsid w:val="6C6972D4"/>
    <w:rsid w:val="6CFC73C8"/>
    <w:rsid w:val="6D013069"/>
    <w:rsid w:val="6DBB3B60"/>
    <w:rsid w:val="6DF826BE"/>
    <w:rsid w:val="6E005A16"/>
    <w:rsid w:val="6EB5235D"/>
    <w:rsid w:val="6EC922AC"/>
    <w:rsid w:val="6F5C0A2B"/>
    <w:rsid w:val="6F800BBD"/>
    <w:rsid w:val="6FA56875"/>
    <w:rsid w:val="71202F46"/>
    <w:rsid w:val="71A861A9"/>
    <w:rsid w:val="71B71A33"/>
    <w:rsid w:val="72976A9F"/>
    <w:rsid w:val="73DD13DF"/>
    <w:rsid w:val="73EB6821"/>
    <w:rsid w:val="74211199"/>
    <w:rsid w:val="74744A68"/>
    <w:rsid w:val="74824D6C"/>
    <w:rsid w:val="74EF555B"/>
    <w:rsid w:val="764F753B"/>
    <w:rsid w:val="76592168"/>
    <w:rsid w:val="773E0DD9"/>
    <w:rsid w:val="778C6EB0"/>
    <w:rsid w:val="786170B2"/>
    <w:rsid w:val="79235D22"/>
    <w:rsid w:val="7A1A1C0E"/>
    <w:rsid w:val="7A2111EE"/>
    <w:rsid w:val="7B113011"/>
    <w:rsid w:val="7B62561B"/>
    <w:rsid w:val="7B683207"/>
    <w:rsid w:val="7BBA1FEC"/>
    <w:rsid w:val="7C1728A9"/>
    <w:rsid w:val="7C9F25F3"/>
    <w:rsid w:val="7CCF4F32"/>
    <w:rsid w:val="7D110243"/>
    <w:rsid w:val="7D230EAE"/>
    <w:rsid w:val="7DD65A11"/>
    <w:rsid w:val="7E1D3A7B"/>
    <w:rsid w:val="7F1C5172"/>
    <w:rsid w:val="7FCB5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1D0CABAA"/>
  <w15:docId w15:val="{A88B7521-2D3D-4161-94ED-0552AD7CB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a">
    <w:name w:val="Normal"/>
    <w:qFormat/>
    <w:pPr>
      <w:widowControl w:val="0"/>
      <w:ind w:firstLineChars="200" w:firstLine="881"/>
      <w:jc w:val="both"/>
    </w:pPr>
    <w:rPr>
      <w:rFonts w:eastAsia="仿宋_GB2312"/>
      <w:kern w:val="2"/>
      <w:sz w:val="2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paragraph" w:styleId="ae">
    <w:name w:val="Body Text Indent"/>
    <w:basedOn w:val="aa"/>
    <w:autoRedefine/>
    <w:qFormat/>
    <w:pPr>
      <w:ind w:leftChars="200" w:left="420"/>
    </w:pPr>
  </w:style>
  <w:style w:type="paragraph" w:styleId="af">
    <w:name w:val="footer"/>
    <w:basedOn w:val="aa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f0">
    <w:name w:val="header"/>
    <w:basedOn w:val="aa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a"/>
    <w:next w:val="aa"/>
    <w:autoRedefine/>
    <w:qFormat/>
    <w:pPr>
      <w:spacing w:line="400" w:lineRule="exact"/>
    </w:pPr>
    <w:rPr>
      <w:rFonts w:hAnsi="宋体"/>
    </w:rPr>
  </w:style>
  <w:style w:type="paragraph" w:styleId="2">
    <w:name w:val="Body Text First Indent 2"/>
    <w:basedOn w:val="ae"/>
    <w:autoRedefine/>
    <w:qFormat/>
  </w:style>
  <w:style w:type="table" w:styleId="af1">
    <w:name w:val="Table Grid"/>
    <w:basedOn w:val="ac"/>
    <w:autoRedefine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name w:val="封面标准名称"/>
    <w:autoRedefine/>
    <w:qFormat/>
    <w:pPr>
      <w:framePr w:w="9639" w:h="6974" w:hRule="exact" w:wrap="around" w:vAnchor="page" w:hAnchor="page" w:x="1419" w:y="6408"/>
      <w:spacing w:line="700" w:lineRule="exact"/>
      <w:jc w:val="center"/>
    </w:pPr>
    <w:rPr>
      <w:rFonts w:ascii="黑体" w:eastAsia="黑体" w:hint="eastAsia"/>
      <w:sz w:val="52"/>
    </w:rPr>
  </w:style>
  <w:style w:type="paragraph" w:customStyle="1" w:styleId="3">
    <w:name w:val="标准称谓3"/>
    <w:next w:val="aa"/>
    <w:autoRedefine/>
    <w:qFormat/>
    <w:pPr>
      <w:framePr w:w="9639" w:h="624" w:hRule="exact" w:hSpace="181" w:vSpace="181" w:wrap="around" w:vAnchor="page" w:hAnchor="page" w:x="1305" w:y="2269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黑体" w:eastAsia="黑体" w:hint="eastAsia"/>
      <w:sz w:val="48"/>
    </w:rPr>
  </w:style>
  <w:style w:type="paragraph" w:customStyle="1" w:styleId="20">
    <w:name w:val="封面标准号2"/>
    <w:autoRedefine/>
    <w:qFormat/>
    <w:pPr>
      <w:framePr w:w="9355" w:h="624" w:hRule="exact" w:hSpace="181" w:vSpace="181" w:wrap="around" w:vAnchor="page" w:hAnchor="page" w:x="1419" w:y="3284"/>
      <w:spacing w:line="280" w:lineRule="exact"/>
      <w:jc w:val="right"/>
    </w:pPr>
    <w:rPr>
      <w:rFonts w:ascii="黑体" w:eastAsia="黑体" w:hint="eastAsia"/>
      <w:sz w:val="28"/>
    </w:rPr>
  </w:style>
  <w:style w:type="paragraph" w:customStyle="1" w:styleId="af3">
    <w:name w:val="封面标准代替信息"/>
    <w:autoRedefine/>
    <w:qFormat/>
    <w:pPr>
      <w:framePr w:w="9355" w:h="624" w:hRule="exact" w:hSpace="181" w:vSpace="181" w:wrap="around" w:vAnchor="page" w:hAnchor="page" w:x="1419" w:y="3284"/>
      <w:spacing w:before="57" w:line="280" w:lineRule="exact"/>
      <w:jc w:val="right"/>
    </w:pPr>
    <w:rPr>
      <w:rFonts w:ascii="黑体" w:eastAsia="黑体" w:hint="eastAsia"/>
      <w:sz w:val="21"/>
    </w:rPr>
  </w:style>
  <w:style w:type="paragraph" w:customStyle="1" w:styleId="af4">
    <w:name w:val="封面标准顶部线"/>
    <w:autoRedefine/>
    <w:qFormat/>
    <w:pPr>
      <w:framePr w:w="9673" w:hSpace="181" w:wrap="around" w:vAnchor="page" w:hAnchor="page" w:x="1390" w:y="4242"/>
      <w:spacing w:line="0" w:lineRule="atLeast"/>
    </w:pPr>
    <w:rPr>
      <w:rFonts w:ascii="宋体" w:hint="eastAsia"/>
      <w:sz w:val="21"/>
    </w:rPr>
  </w:style>
  <w:style w:type="paragraph" w:customStyle="1" w:styleId="af5">
    <w:name w:val="封面标准英文名称"/>
    <w:basedOn w:val="af2"/>
    <w:autoRedefine/>
    <w:qFormat/>
    <w:pPr>
      <w:framePr w:wrap="around"/>
      <w:widowControl w:val="0"/>
      <w:spacing w:before="410" w:line="360" w:lineRule="exact"/>
      <w:textAlignment w:val="bottom"/>
    </w:pPr>
    <w:rPr>
      <w:rFonts w:ascii="Times New Roman"/>
      <w:sz w:val="28"/>
    </w:rPr>
  </w:style>
  <w:style w:type="paragraph" w:customStyle="1" w:styleId="af6">
    <w:name w:val="封面一致性程度标识"/>
    <w:basedOn w:val="af5"/>
    <w:autoRedefine/>
    <w:qFormat/>
    <w:pPr>
      <w:framePr w:wrap="around"/>
      <w:spacing w:before="760"/>
    </w:pPr>
  </w:style>
  <w:style w:type="paragraph" w:customStyle="1" w:styleId="af7">
    <w:name w:val="封面标准文稿类别"/>
    <w:basedOn w:val="af6"/>
    <w:autoRedefine/>
    <w:qFormat/>
    <w:pPr>
      <w:framePr w:wrap="around"/>
      <w:spacing w:before="440" w:after="160"/>
    </w:pPr>
    <w:rPr>
      <w:rFonts w:ascii="黑体" w:hAnsi="黑体" w:cs="黑体"/>
      <w:sz w:val="24"/>
    </w:rPr>
  </w:style>
  <w:style w:type="paragraph" w:customStyle="1" w:styleId="af8">
    <w:name w:val="封面标准文稿编辑信息"/>
    <w:basedOn w:val="af7"/>
    <w:autoRedefine/>
    <w:qFormat/>
    <w:pPr>
      <w:framePr w:wrap="around"/>
      <w:spacing w:before="180" w:after="0" w:line="240" w:lineRule="atLeast"/>
    </w:pPr>
    <w:rPr>
      <w:sz w:val="21"/>
    </w:rPr>
  </w:style>
  <w:style w:type="paragraph" w:customStyle="1" w:styleId="af9">
    <w:name w:val="封面标准文稿附件"/>
    <w:basedOn w:val="af7"/>
    <w:autoRedefine/>
    <w:qFormat/>
    <w:pPr>
      <w:framePr w:wrap="around"/>
      <w:spacing w:beforeLines="300" w:before="937" w:afterLines="30" w:line="240" w:lineRule="auto"/>
    </w:pPr>
    <w:rPr>
      <w:rFonts w:ascii="Times New Roman" w:hAnsi="Times New Roman" w:cs="Times New Roman"/>
      <w:b/>
      <w:sz w:val="21"/>
    </w:rPr>
  </w:style>
  <w:style w:type="paragraph" w:customStyle="1" w:styleId="afa">
    <w:name w:val="封面日期"/>
    <w:autoRedefine/>
    <w:qFormat/>
    <w:pPr>
      <w:framePr w:w="9673" w:vSpace="181" w:wrap="around" w:vAnchor="page" w:hAnchor="page" w:x="1419" w:y="14176" w:anchorLock="1"/>
      <w:spacing w:line="360" w:lineRule="exact"/>
    </w:pPr>
    <w:rPr>
      <w:rFonts w:ascii="黑体" w:eastAsia="黑体" w:hint="eastAsia"/>
      <w:sz w:val="28"/>
    </w:rPr>
  </w:style>
  <w:style w:type="paragraph" w:customStyle="1" w:styleId="21">
    <w:name w:val="其他发布部门2"/>
    <w:basedOn w:val="afb"/>
    <w:autoRedefine/>
    <w:qFormat/>
    <w:pPr>
      <w:framePr w:w="7433" w:h="584" w:hRule="exact" w:hSpace="181" w:wrap="around" w:vAnchor="margin" w:hAnchor="margin" w:xAlign="center" w:y="15027"/>
      <w:spacing w:before="0" w:line="0" w:lineRule="atLeast"/>
    </w:pPr>
    <w:rPr>
      <w:rFonts w:ascii="黑体" w:eastAsia="黑体" w:hAnsi="黑体"/>
      <w:spacing w:val="0"/>
      <w:w w:val="100"/>
    </w:rPr>
  </w:style>
  <w:style w:type="paragraph" w:customStyle="1" w:styleId="afb">
    <w:name w:val="发布部门"/>
    <w:next w:val="afc"/>
    <w:autoRedefine/>
    <w:qFormat/>
    <w:pPr>
      <w:framePr w:w="7938" w:h="1134" w:hRule="exact" w:hSpace="125" w:vSpace="181" w:wrap="around" w:vAnchor="page" w:hAnchor="page" w:x="2150" w:y="14630" w:anchorLock="1"/>
      <w:spacing w:before="100"/>
      <w:jc w:val="center"/>
    </w:pPr>
    <w:rPr>
      <w:rFonts w:ascii="宋体" w:hint="eastAsia"/>
      <w:spacing w:val="20"/>
      <w:w w:val="135"/>
      <w:sz w:val="28"/>
    </w:rPr>
  </w:style>
  <w:style w:type="paragraph" w:customStyle="1" w:styleId="afc">
    <w:name w:val="标准文件_段"/>
    <w:autoRedefine/>
    <w:qFormat/>
    <w:pPr>
      <w:ind w:firstLineChars="200" w:firstLine="960"/>
      <w:jc w:val="both"/>
    </w:pPr>
    <w:rPr>
      <w:rFonts w:ascii="宋体" w:cs="宋体" w:hint="eastAsia"/>
      <w:sz w:val="21"/>
    </w:rPr>
  </w:style>
  <w:style w:type="paragraph" w:customStyle="1" w:styleId="afd">
    <w:name w:val="文献分类号"/>
    <w:autoRedefine/>
    <w:qFormat/>
    <w:pPr>
      <w:framePr w:wrap="around" w:vAnchor="page" w:hAnchor="page" w:x="1373" w:y="568"/>
      <w:widowControl w:val="0"/>
      <w:textAlignment w:val="center"/>
    </w:pPr>
    <w:rPr>
      <w:rFonts w:ascii="黑体" w:eastAsia="黑体" w:hint="eastAsia"/>
      <w:kern w:val="21"/>
      <w:sz w:val="21"/>
    </w:rPr>
  </w:style>
  <w:style w:type="paragraph" w:customStyle="1" w:styleId="afe">
    <w:name w:val="标准文件_目录标题"/>
    <w:basedOn w:val="aa"/>
    <w:autoRedefine/>
    <w:qFormat/>
    <w:pPr>
      <w:shd w:val="clear" w:color="auto" w:fill="FFFFFF"/>
      <w:spacing w:afterLines="150" w:after="469"/>
      <w:jc w:val="center"/>
    </w:pPr>
    <w:rPr>
      <w:rFonts w:ascii="黑体" w:eastAsia="黑体" w:cs="黑体"/>
      <w:kern w:val="0"/>
      <w:sz w:val="32"/>
    </w:rPr>
  </w:style>
  <w:style w:type="paragraph" w:customStyle="1" w:styleId="a4">
    <w:name w:val="标准文件_前言、引言标题"/>
    <w:next w:val="aa"/>
    <w:autoRedefine/>
    <w:qFormat/>
    <w:pPr>
      <w:numPr>
        <w:numId w:val="1"/>
      </w:numPr>
      <w:spacing w:afterLines="150" w:after="469"/>
      <w:jc w:val="center"/>
      <w:outlineLvl w:val="0"/>
    </w:pPr>
    <w:rPr>
      <w:rFonts w:ascii="黑体" w:eastAsia="黑体" w:cs="黑体" w:hint="eastAsia"/>
      <w:sz w:val="32"/>
    </w:rPr>
  </w:style>
  <w:style w:type="paragraph" w:customStyle="1" w:styleId="aff">
    <w:name w:val="标准文件_正文标准名称"/>
    <w:basedOn w:val="aa"/>
    <w:link w:val="Char"/>
    <w:autoRedefine/>
    <w:qFormat/>
    <w:pPr>
      <w:widowControl/>
      <w:spacing w:after="640" w:line="400" w:lineRule="exact"/>
      <w:jc w:val="center"/>
    </w:pPr>
    <w:rPr>
      <w:rFonts w:ascii="黑体" w:eastAsia="黑体" w:hAnsi="黑体" w:cs="黑体"/>
      <w:sz w:val="32"/>
    </w:rPr>
  </w:style>
  <w:style w:type="character" w:customStyle="1" w:styleId="Char">
    <w:name w:val="标准文件_正文标准名称 Char"/>
    <w:link w:val="aff"/>
    <w:autoRedefine/>
    <w:qFormat/>
    <w:rPr>
      <w:rFonts w:ascii="黑体" w:eastAsia="黑体" w:hAnsi="黑体" w:cs="黑体"/>
      <w:sz w:val="32"/>
    </w:rPr>
  </w:style>
  <w:style w:type="paragraph" w:customStyle="1" w:styleId="a">
    <w:name w:val="标准文件_章标题"/>
    <w:next w:val="afc"/>
    <w:autoRedefine/>
    <w:qFormat/>
    <w:pPr>
      <w:numPr>
        <w:numId w:val="2"/>
      </w:numPr>
      <w:spacing w:beforeLines="100" w:before="313" w:afterLines="100" w:after="313"/>
      <w:jc w:val="both"/>
      <w:outlineLvl w:val="0"/>
    </w:pPr>
    <w:rPr>
      <w:rFonts w:ascii="黑体" w:eastAsia="黑体" w:cs="黑体" w:hint="eastAsia"/>
      <w:sz w:val="21"/>
    </w:rPr>
  </w:style>
  <w:style w:type="paragraph" w:customStyle="1" w:styleId="aff0">
    <w:name w:val="标准文件_术语条一"/>
    <w:basedOn w:val="aff1"/>
    <w:next w:val="afc"/>
    <w:autoRedefine/>
    <w:qFormat/>
    <w:pPr>
      <w:ind w:left="960" w:hangingChars="200" w:hanging="960"/>
    </w:pPr>
    <w:rPr>
      <w:rFonts w:ascii="黑体" w:eastAsia="黑体" w:hAnsi="黑体" w:cs="黑体"/>
    </w:rPr>
  </w:style>
  <w:style w:type="paragraph" w:customStyle="1" w:styleId="aff1">
    <w:name w:val="标准文件_一级无标题"/>
    <w:basedOn w:val="a0"/>
    <w:autoRedefine/>
    <w:qFormat/>
    <w:pPr>
      <w:spacing w:beforeLines="1" w:before="4" w:afterLines="1" w:after="4"/>
      <w:outlineLvl w:val="9"/>
    </w:pPr>
    <w:rPr>
      <w:rFonts w:ascii="宋体" w:eastAsia="宋体" w:hAnsi="宋体" w:cs="宋体"/>
    </w:rPr>
  </w:style>
  <w:style w:type="paragraph" w:customStyle="1" w:styleId="a0">
    <w:name w:val="标准文件_一级条标题"/>
    <w:basedOn w:val="a"/>
    <w:next w:val="afc"/>
    <w:autoRedefine/>
    <w:qFormat/>
    <w:pPr>
      <w:numPr>
        <w:ilvl w:val="1"/>
      </w:numPr>
      <w:spacing w:beforeLines="50" w:before="157" w:afterLines="50" w:after="157"/>
      <w:outlineLvl w:val="1"/>
    </w:pPr>
  </w:style>
  <w:style w:type="paragraph" w:customStyle="1" w:styleId="aff2">
    <w:name w:val="一级无"/>
    <w:basedOn w:val="a7"/>
    <w:autoRedefine/>
    <w:qFormat/>
    <w:pPr>
      <w:spacing w:beforeLines="0" w:before="0" w:afterLines="0" w:after="0"/>
    </w:pPr>
    <w:rPr>
      <w:rFonts w:ascii="宋体" w:eastAsia="宋体"/>
    </w:rPr>
  </w:style>
  <w:style w:type="paragraph" w:customStyle="1" w:styleId="a7">
    <w:name w:val="一级条标题"/>
    <w:next w:val="aff3"/>
    <w:autoRedefine/>
    <w:qFormat/>
    <w:pPr>
      <w:numPr>
        <w:ilvl w:val="1"/>
        <w:numId w:val="3"/>
      </w:numPr>
      <w:spacing w:beforeLines="50" w:before="156" w:afterLines="50" w:after="156" w:line="400" w:lineRule="exact"/>
      <w:outlineLvl w:val="2"/>
    </w:pPr>
    <w:rPr>
      <w:rFonts w:ascii="黑体" w:eastAsia="黑体"/>
      <w:sz w:val="21"/>
      <w:szCs w:val="21"/>
    </w:rPr>
  </w:style>
  <w:style w:type="paragraph" w:customStyle="1" w:styleId="aff3">
    <w:name w:val="段"/>
    <w:autoRedefine/>
    <w:qFormat/>
    <w:pPr>
      <w:tabs>
        <w:tab w:val="center" w:pos="4201"/>
        <w:tab w:val="right" w:leader="dot" w:pos="9298"/>
      </w:tabs>
      <w:autoSpaceDE w:val="0"/>
      <w:autoSpaceDN w:val="0"/>
      <w:spacing w:line="400" w:lineRule="exact"/>
      <w:ind w:left="57" w:firstLineChars="200" w:firstLine="420"/>
      <w:jc w:val="both"/>
    </w:pPr>
    <w:rPr>
      <w:rFonts w:ascii="宋体"/>
      <w:sz w:val="21"/>
    </w:rPr>
  </w:style>
  <w:style w:type="paragraph" w:customStyle="1" w:styleId="a2">
    <w:name w:val="标准文件_正文表标题"/>
    <w:next w:val="afc"/>
    <w:autoRedefine/>
    <w:qFormat/>
    <w:pPr>
      <w:numPr>
        <w:numId w:val="4"/>
      </w:numPr>
      <w:spacing w:beforeLines="50" w:before="157" w:afterLines="50" w:after="157"/>
      <w:jc w:val="center"/>
    </w:pPr>
    <w:rPr>
      <w:rFonts w:ascii="黑体" w:eastAsia="黑体" w:hAnsi="黑体" w:cs="黑体" w:hint="eastAsia"/>
      <w:sz w:val="21"/>
    </w:rPr>
  </w:style>
  <w:style w:type="paragraph" w:customStyle="1" w:styleId="a5">
    <w:name w:val="标准文件_字母编号列项（一级）"/>
    <w:next w:val="afc"/>
    <w:autoRedefine/>
    <w:qFormat/>
    <w:pPr>
      <w:numPr>
        <w:numId w:val="5"/>
      </w:numPr>
      <w:tabs>
        <w:tab w:val="clear" w:pos="851"/>
        <w:tab w:val="left" w:pos="839"/>
      </w:tabs>
      <w:jc w:val="both"/>
    </w:pPr>
    <w:rPr>
      <w:rFonts w:ascii="宋体" w:cs="宋体" w:hint="eastAsia"/>
      <w:sz w:val="21"/>
    </w:rPr>
  </w:style>
  <w:style w:type="paragraph" w:customStyle="1" w:styleId="aff4">
    <w:name w:val="标准文件_二级无标题"/>
    <w:basedOn w:val="a1"/>
    <w:autoRedefine/>
    <w:qFormat/>
    <w:pPr>
      <w:spacing w:beforeLines="1" w:before="4" w:afterLines="1" w:after="4"/>
      <w:outlineLvl w:val="9"/>
    </w:pPr>
    <w:rPr>
      <w:rFonts w:ascii="宋体" w:eastAsia="宋体" w:hAnsi="宋体" w:cs="宋体"/>
    </w:rPr>
  </w:style>
  <w:style w:type="paragraph" w:customStyle="1" w:styleId="a1">
    <w:name w:val="标准文件_二级条标题"/>
    <w:next w:val="afc"/>
    <w:autoRedefine/>
    <w:qFormat/>
    <w:pPr>
      <w:numPr>
        <w:ilvl w:val="2"/>
        <w:numId w:val="2"/>
      </w:numPr>
      <w:spacing w:beforeLines="50" w:before="157" w:afterLines="50" w:after="157"/>
      <w:jc w:val="both"/>
      <w:outlineLvl w:val="2"/>
    </w:pPr>
    <w:rPr>
      <w:rFonts w:ascii="黑体" w:eastAsia="黑体" w:hAnsi="黑体" w:cs="黑体" w:hint="eastAsia"/>
      <w:sz w:val="21"/>
    </w:rPr>
  </w:style>
  <w:style w:type="paragraph" w:customStyle="1" w:styleId="a3">
    <w:name w:val="标准文件_附录标识"/>
    <w:basedOn w:val="aa"/>
    <w:next w:val="afc"/>
    <w:autoRedefine/>
    <w:qFormat/>
    <w:pPr>
      <w:widowControl/>
      <w:numPr>
        <w:numId w:val="6"/>
      </w:numPr>
      <w:spacing w:beforeLines="25" w:before="79" w:afterLines="50" w:after="157"/>
      <w:jc w:val="center"/>
      <w:outlineLvl w:val="0"/>
    </w:pPr>
    <w:rPr>
      <w:rFonts w:ascii="黑体" w:eastAsia="黑体" w:hAnsi="黑体" w:cs="黑体"/>
    </w:rPr>
  </w:style>
  <w:style w:type="paragraph" w:customStyle="1" w:styleId="aff5">
    <w:name w:val="标准文件_表格"/>
    <w:basedOn w:val="afc"/>
    <w:autoRedefine/>
    <w:qFormat/>
    <w:pPr>
      <w:jc w:val="center"/>
    </w:pPr>
    <w:rPr>
      <w:sz w:val="18"/>
    </w:rPr>
  </w:style>
  <w:style w:type="paragraph" w:customStyle="1" w:styleId="a9">
    <w:name w:val="标准文件_注"/>
    <w:next w:val="afc"/>
    <w:autoRedefine/>
    <w:qFormat/>
    <w:pPr>
      <w:numPr>
        <w:numId w:val="7"/>
      </w:numPr>
      <w:autoSpaceDE w:val="0"/>
      <w:autoSpaceDN w:val="0"/>
      <w:jc w:val="both"/>
    </w:pPr>
    <w:rPr>
      <w:rFonts w:ascii="宋体" w:hAnsi="宋体" w:cs="宋体" w:hint="eastAsia"/>
      <w:sz w:val="18"/>
    </w:rPr>
  </w:style>
  <w:style w:type="paragraph" w:customStyle="1" w:styleId="aff6">
    <w:name w:val="标准文件_参考文献标题"/>
    <w:basedOn w:val="aa"/>
    <w:next w:val="aa"/>
    <w:autoRedefine/>
    <w:qFormat/>
    <w:pPr>
      <w:widowControl/>
      <w:spacing w:beforeLines="40" w:before="126" w:afterLines="50" w:after="157"/>
      <w:jc w:val="center"/>
      <w:outlineLvl w:val="0"/>
    </w:pPr>
    <w:rPr>
      <w:rFonts w:ascii="黑体" w:eastAsia="黑体" w:cs="黑体"/>
      <w:kern w:val="0"/>
    </w:rPr>
  </w:style>
  <w:style w:type="paragraph" w:customStyle="1" w:styleId="aff7">
    <w:name w:val="终结线"/>
    <w:basedOn w:val="aa"/>
    <w:autoRedefine/>
    <w:qFormat/>
    <w:pPr>
      <w:framePr w:hSpace="181" w:vSpace="181" w:wrap="around" w:vAnchor="text" w:hAnchor="margin" w:xAlign="center" w:y="285"/>
    </w:pPr>
    <w:rPr>
      <w:b/>
      <w:sz w:val="34"/>
    </w:rPr>
  </w:style>
  <w:style w:type="paragraph" w:customStyle="1" w:styleId="aff8">
    <w:name w:val="标准书眉_奇数页"/>
    <w:next w:val="aa"/>
    <w:autoRedefine/>
    <w:qFormat/>
    <w:pPr>
      <w:tabs>
        <w:tab w:val="center" w:pos="4153"/>
        <w:tab w:val="right" w:pos="8306"/>
      </w:tabs>
      <w:spacing w:after="120"/>
      <w:jc w:val="right"/>
    </w:pPr>
    <w:rPr>
      <w:rFonts w:ascii="黑体" w:eastAsia="黑体" w:cs="黑体" w:hint="eastAsia"/>
      <w:sz w:val="21"/>
    </w:rPr>
  </w:style>
  <w:style w:type="paragraph" w:customStyle="1" w:styleId="aff9">
    <w:name w:val="标准书脚_奇数页"/>
    <w:autoRedefine/>
    <w:qFormat/>
    <w:pPr>
      <w:ind w:right="227"/>
      <w:jc w:val="right"/>
    </w:pPr>
    <w:rPr>
      <w:rFonts w:ascii="宋体" w:cs="宋体" w:hint="eastAsia"/>
      <w:sz w:val="18"/>
    </w:rPr>
  </w:style>
  <w:style w:type="paragraph" w:customStyle="1" w:styleId="affa">
    <w:name w:val="目次、标准名称标题"/>
    <w:basedOn w:val="aa"/>
    <w:next w:val="aff3"/>
    <w:autoRedefine/>
    <w:qFormat/>
    <w:pPr>
      <w:keepNext/>
      <w:pageBreakBefore/>
      <w:widowControl/>
      <w:shd w:val="clear" w:color="FFFFFF" w:fill="FFFFFF"/>
      <w:spacing w:before="640" w:after="560" w:line="460" w:lineRule="exact"/>
      <w:ind w:firstLineChars="0" w:firstLine="0"/>
      <w:jc w:val="center"/>
      <w:outlineLvl w:val="0"/>
    </w:pPr>
    <w:rPr>
      <w:rFonts w:ascii="黑体" w:eastAsia="黑体"/>
      <w:kern w:val="0"/>
      <w:sz w:val="32"/>
    </w:rPr>
  </w:style>
  <w:style w:type="paragraph" w:customStyle="1" w:styleId="affb">
    <w:name w:val="前言、引言标题"/>
    <w:next w:val="aff3"/>
    <w:autoRedefine/>
    <w:qFormat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6">
    <w:name w:val="章标题"/>
    <w:next w:val="aff3"/>
    <w:autoRedefine/>
    <w:qFormat/>
    <w:pPr>
      <w:numPr>
        <w:numId w:val="3"/>
      </w:numPr>
      <w:spacing w:beforeLines="100" w:before="312" w:afterLines="100" w:after="312"/>
      <w:jc w:val="both"/>
      <w:outlineLvl w:val="1"/>
    </w:pPr>
    <w:rPr>
      <w:rFonts w:ascii="黑体" w:eastAsia="黑体"/>
      <w:sz w:val="21"/>
    </w:rPr>
  </w:style>
  <w:style w:type="paragraph" w:customStyle="1" w:styleId="a8">
    <w:name w:val="二级条标题"/>
    <w:basedOn w:val="a7"/>
    <w:next w:val="aa"/>
    <w:autoRedefine/>
    <w:qFormat/>
    <w:pPr>
      <w:numPr>
        <w:ilvl w:val="2"/>
      </w:numPr>
      <w:spacing w:before="50" w:after="50"/>
      <w:outlineLvl w:val="3"/>
    </w:pPr>
  </w:style>
  <w:style w:type="paragraph" w:styleId="affc">
    <w:name w:val="Revision"/>
    <w:hidden/>
    <w:uiPriority w:val="99"/>
    <w:unhideWhenUsed/>
    <w:rsid w:val="00EF794D"/>
    <w:rPr>
      <w:rFonts w:eastAsia="仿宋_GB2312"/>
      <w:kern w:val="2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875</Words>
  <Characters>4991</Characters>
  <Application>Microsoft Office Word</Application>
  <DocSecurity>0</DocSecurity>
  <Lines>41</Lines>
  <Paragraphs>11</Paragraphs>
  <ScaleCrop>false</ScaleCrop>
  <Company/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转瞬之间</dc:creator>
  <cp:lastModifiedBy>晓 陈</cp:lastModifiedBy>
  <cp:revision>2</cp:revision>
  <cp:lastPrinted>2025-08-22T08:17:00Z</cp:lastPrinted>
  <dcterms:created xsi:type="dcterms:W3CDTF">2025-08-22T07:54:00Z</dcterms:created>
  <dcterms:modified xsi:type="dcterms:W3CDTF">2026-05-18T02:56:00Z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EB134320601943D2B56077BBCB9367C1_13</vt:lpwstr>
  </property>
  <property fmtid="{D5CDD505-2E9C-101B-9397-08002B2CF9AE}" pid="4" name="KSOTemplateDocerSaveRecord">
    <vt:lpwstr>eyJoZGlkIjoiMjE2MDc3Y2E0Y2JiNjY1NTJjYmFmMWJjZTljOTJhOTciLCJ1c2VySWQiOiI0NDg1MTQ5OTgifQ==</vt:lpwstr>
  </property>
</Properties>
</file>