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attachedToolbars.bin" ContentType="application/vnd.ms-word.attachedToolbars"/>
  <Override PartName="/word/customizations.xml" ContentType="application/vnd.ms-word.keyMapCustomization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1732FC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7411D5F6">
            <w:pPr>
              <w:pStyle w:val="18"/>
              <w:framePr w:wrap="notBeside" w:vAnchor="page" w:hAnchor="page" w:x="1372" w:y="568"/>
              <w:tabs>
                <w:tab w:val="clear" w:pos="4153"/>
                <w:tab w:val="clear" w:pos="8306"/>
              </w:tabs>
              <w:spacing w:line="240" w:lineRule="auto"/>
              <w:jc w:val="left"/>
              <w:rPr>
                <w:rFonts w:ascii="Times New Roman" w:hAnsi="Times New Roman" w:eastAsia="黑体"/>
                <w:sz w:val="21"/>
                <w:szCs w:val="21"/>
              </w:rPr>
            </w:pPr>
            <w:r>
              <w:rPr>
                <w:rFonts w:ascii="Times New Roman" w:hAnsi="Times New Roman" w:eastAsia="黑体"/>
                <w:sz w:val="21"/>
                <w:szCs w:val="21"/>
              </w:rPr>
              <w:t xml:space="preserve">ICS  </w:t>
            </w:r>
          </w:p>
        </w:tc>
        <w:tc>
          <w:tcPr>
            <w:tcW w:w="8855" w:type="dxa"/>
          </w:tcPr>
          <w:p w14:paraId="6B4A29D0">
            <w:pPr>
              <w:pStyle w:val="18"/>
              <w:framePr w:wrap="notBeside" w:vAnchor="page" w:hAnchor="page" w:x="1372" w:y="568"/>
              <w:tabs>
                <w:tab w:val="clear" w:pos="4153"/>
                <w:tab w:val="clear" w:pos="8306"/>
              </w:tabs>
              <w:spacing w:line="240" w:lineRule="auto"/>
              <w:jc w:val="both"/>
              <w:rPr>
                <w:rFonts w:ascii="Times New Roman" w:hAnsi="Times New Roman" w:eastAsia="黑体"/>
                <w:sz w:val="21"/>
                <w:szCs w:val="21"/>
              </w:rPr>
            </w:pPr>
            <w:r>
              <w:rPr>
                <w:rFonts w:ascii="Times New Roman" w:hAnsi="Times New Roman" w:eastAsia="黑体"/>
                <w:sz w:val="21"/>
                <w:szCs w:val="21"/>
              </w:rPr>
              <w:fldChar w:fldCharType="begin">
                <w:ffData>
                  <w:name w:val="ICS"/>
                  <w:enabled/>
                  <w:calcOnExit w:val="0"/>
                  <w:textInput>
                    <w:default w:val="点击此处添加ICS号"/>
                  </w:textInput>
                </w:ffData>
              </w:fldChar>
            </w:r>
            <w:bookmarkStart w:id="0" w:name="ICS"/>
            <w:r>
              <w:rPr>
                <w:rFonts w:ascii="Times New Roman" w:hAnsi="Times New Roman" w:eastAsia="黑体"/>
                <w:sz w:val="21"/>
                <w:szCs w:val="21"/>
              </w:rPr>
              <w:instrText xml:space="preserve"> FORMTEXT </w:instrText>
            </w:r>
            <w:r>
              <w:rPr>
                <w:rFonts w:ascii="Times New Roman" w:hAnsi="Times New Roman" w:eastAsia="黑体"/>
                <w:sz w:val="21"/>
                <w:szCs w:val="21"/>
              </w:rPr>
              <w:fldChar w:fldCharType="separate"/>
            </w:r>
            <w:r>
              <w:rPr>
                <w:rFonts w:ascii="Times New Roman" w:hAnsi="Times New Roman" w:eastAsia="黑体"/>
                <w:sz w:val="21"/>
                <w:szCs w:val="21"/>
              </w:rPr>
              <w:t>62.020.30</w:t>
            </w:r>
            <w:r>
              <w:rPr>
                <w:rFonts w:ascii="Times New Roman" w:hAnsi="Times New Roman" w:eastAsia="黑体"/>
                <w:sz w:val="21"/>
                <w:szCs w:val="21"/>
              </w:rPr>
              <w:fldChar w:fldCharType="end"/>
            </w:r>
            <w:bookmarkEnd w:id="0"/>
          </w:p>
        </w:tc>
      </w:tr>
      <w:tr w14:paraId="3CBD36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1A14A39D">
            <w:pPr>
              <w:pStyle w:val="18"/>
              <w:framePr w:wrap="notBeside" w:vAnchor="page" w:hAnchor="page" w:x="1372" w:y="568"/>
              <w:tabs>
                <w:tab w:val="clear" w:pos="4153"/>
                <w:tab w:val="clear" w:pos="8306"/>
              </w:tabs>
              <w:spacing w:before="40" w:line="240" w:lineRule="auto"/>
              <w:jc w:val="left"/>
              <w:rPr>
                <w:rFonts w:ascii="Times New Roman" w:hAnsi="Times New Roman" w:eastAsia="黑体"/>
                <w:sz w:val="21"/>
                <w:szCs w:val="21"/>
              </w:rPr>
            </w:pPr>
            <w:r>
              <w:rPr>
                <w:rFonts w:ascii="Times New Roman" w:hAnsi="Times New Roman" w:eastAsia="黑体"/>
                <w:sz w:val="21"/>
                <w:szCs w:val="21"/>
              </w:rPr>
              <w:t xml:space="preserve">CCS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2B3422FB">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24D56FF0">
                  <w:pPr>
                    <w:pStyle w:val="49"/>
                    <w:framePr w:wrap="notBeside" w:vAnchor="page" w:hAnchor="page" w:x="1372" w:y="568"/>
                    <w:ind w:left="420" w:right="624"/>
                    <w:rPr>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t>GSQA</w:t>
                  </w:r>
                  <w:r>
                    <w:fldChar w:fldCharType="end"/>
                  </w:r>
                  <w:bookmarkEnd w:id="1"/>
                </w:p>
              </w:tc>
            </w:tr>
          </w:tbl>
          <w:p w14:paraId="0A2EB407">
            <w:pPr>
              <w:pStyle w:val="18"/>
              <w:framePr w:wrap="notBeside" w:vAnchor="page" w:hAnchor="page" w:x="1372" w:y="568"/>
              <w:tabs>
                <w:tab w:val="clear" w:pos="4153"/>
                <w:tab w:val="clear" w:pos="8306"/>
              </w:tabs>
              <w:spacing w:before="40" w:line="240" w:lineRule="auto"/>
              <w:jc w:val="left"/>
              <w:rPr>
                <w:rFonts w:ascii="Times New Roman" w:hAnsi="Times New Roman" w:eastAsia="黑体"/>
                <w:sz w:val="21"/>
                <w:szCs w:val="21"/>
              </w:rPr>
            </w:pPr>
            <w:r>
              <w:rPr>
                <w:rFonts w:ascii="Times New Roman" w:hAnsi="Times New Roman" w:eastAsia="黑体"/>
                <w:sz w:val="21"/>
                <w:szCs w:val="21"/>
              </w:rPr>
              <w:t>B43</w:t>
            </w:r>
          </w:p>
        </w:tc>
      </w:tr>
    </w:tbl>
    <w:p w14:paraId="41F004E6">
      <w:pPr>
        <w:pStyle w:val="50"/>
        <w:framePr w:w="9639" w:h="624" w:hRule="exact" w:hSpace="181" w:vSpace="181" w:wrap="around" w:hAnchor="page" w:x="1305" w:y="2269"/>
        <w:jc w:val="center"/>
        <w:rPr>
          <w:rFonts w:ascii="Times New Roman" w:eastAsia="黑体"/>
          <w:b w:val="0"/>
          <w:bCs w:val="0"/>
          <w:w w:val="100"/>
          <w:sz w:val="48"/>
          <w:szCs w:val="48"/>
        </w:rPr>
      </w:pPr>
      <w:bookmarkStart w:id="2" w:name="_Hlk26473981"/>
      <w:r>
        <w:rPr>
          <w:rFonts w:ascii="Times New Roman" w:eastAsia="黑体"/>
          <w:b w:val="0"/>
          <w:w w:val="100"/>
          <w:sz w:val="48"/>
        </w:rPr>
        <w:t>团</w:t>
      </w:r>
      <w:r>
        <w:rPr>
          <w:rFonts w:hint="eastAsia" w:ascii="Times New Roman" w:eastAsia="黑体"/>
          <w:b w:val="0"/>
          <w:w w:val="100"/>
          <w:sz w:val="48"/>
          <w:lang w:val="en-US" w:eastAsia="zh-CN"/>
        </w:rPr>
        <w:t xml:space="preserve">          </w:t>
      </w:r>
      <w:r>
        <w:rPr>
          <w:rFonts w:ascii="Times New Roman" w:eastAsia="黑体"/>
          <w:b w:val="0"/>
          <w:w w:val="100"/>
          <w:sz w:val="48"/>
        </w:rPr>
        <w:t>体</w:t>
      </w:r>
      <w:r>
        <w:rPr>
          <w:rFonts w:hint="eastAsia" w:ascii="Times New Roman" w:eastAsia="黑体"/>
          <w:b w:val="0"/>
          <w:w w:val="100"/>
          <w:sz w:val="48"/>
          <w:lang w:val="en-US" w:eastAsia="zh-CN"/>
        </w:rPr>
        <w:t xml:space="preserve">          </w:t>
      </w:r>
      <w:r>
        <w:rPr>
          <w:rFonts w:ascii="Times New Roman" w:eastAsia="黑体"/>
          <w:b w:val="0"/>
          <w:bCs w:val="0"/>
          <w:w w:val="100"/>
          <w:sz w:val="48"/>
          <w:szCs w:val="48"/>
        </w:rPr>
        <w:t>标</w:t>
      </w:r>
      <w:r>
        <w:rPr>
          <w:rFonts w:hint="eastAsia" w:ascii="Times New Roman" w:eastAsia="黑体"/>
          <w:b w:val="0"/>
          <w:bCs w:val="0"/>
          <w:w w:val="100"/>
          <w:sz w:val="48"/>
          <w:szCs w:val="48"/>
          <w:lang w:val="en-US" w:eastAsia="zh-CN"/>
        </w:rPr>
        <w:t xml:space="preserve">          </w:t>
      </w:r>
      <w:r>
        <w:rPr>
          <w:rFonts w:ascii="Times New Roman" w:eastAsia="黑体"/>
          <w:b w:val="0"/>
          <w:bCs w:val="0"/>
          <w:w w:val="100"/>
          <w:sz w:val="48"/>
          <w:szCs w:val="48"/>
        </w:rPr>
        <w:t>准</w:t>
      </w:r>
    </w:p>
    <w:bookmarkEnd w:id="2"/>
    <w:p w14:paraId="2FF8C23F">
      <w:pPr>
        <w:pStyle w:val="195"/>
        <w:framePr/>
        <w:rPr>
          <w:rFonts w:ascii="Times New Roman"/>
        </w:rPr>
      </w:pPr>
      <w:r>
        <w:rPr>
          <w:rFonts w:ascii="Times New Roman"/>
        </w:rPr>
        <w:t>T/</w:t>
      </w:r>
      <w:r>
        <w:rPr>
          <w:rFonts w:ascii="Times New Roman"/>
        </w:rPr>
        <w:fldChar w:fldCharType="begin">
          <w:ffData>
            <w:name w:val="文字1"/>
            <w:enabled/>
            <w:calcOnExit w:val="0"/>
            <w:textInput>
              <w:default w:val="XXX"/>
            </w:textInput>
          </w:ffData>
        </w:fldChar>
      </w:r>
      <w:bookmarkStart w:id="3" w:name="文字1"/>
      <w:r>
        <w:rPr>
          <w:rFonts w:ascii="Times New Roman"/>
        </w:rPr>
        <w:instrText xml:space="preserve"> FORMTEXT </w:instrText>
      </w:r>
      <w:r>
        <w:rPr>
          <w:rFonts w:ascii="Times New Roman"/>
        </w:rPr>
        <w:fldChar w:fldCharType="separate"/>
      </w:r>
      <w:r>
        <w:rPr>
          <w:rFonts w:ascii="Times New Roman"/>
        </w:rPr>
        <w:t>GSQA</w:t>
      </w:r>
      <w:r>
        <w:rPr>
          <w:rFonts w:ascii="Times New Roman"/>
        </w:rPr>
        <w:fldChar w:fldCharType="end"/>
      </w:r>
      <w:bookmarkEnd w:id="3"/>
      <w:r>
        <w:rPr>
          <w:rFonts w:ascii="Times New Roman"/>
        </w:rPr>
        <w:t xml:space="preserve"> </w:t>
      </w:r>
      <w:r>
        <w:rPr>
          <w:rFonts w:ascii="Times New Roman"/>
        </w:rPr>
        <w:fldChar w:fldCharType="begin">
          <w:ffData>
            <w:name w:val="NSTD_CODE_F"/>
            <w:enabled/>
            <w:calcOnExit w:val="0"/>
            <w:textInput>
              <w:default w:val="XXXX"/>
            </w:textInput>
          </w:ffData>
        </w:fldChar>
      </w:r>
      <w:bookmarkStart w:id="4" w:name="NSTD_CODE_F"/>
      <w:r>
        <w:rPr>
          <w:rFonts w:ascii="Times New Roman"/>
        </w:rPr>
        <w:instrText xml:space="preserve"> FORMTEXT </w:instrText>
      </w:r>
      <w:r>
        <w:rPr>
          <w:rFonts w:ascii="Times New Roman"/>
        </w:rPr>
        <w:fldChar w:fldCharType="separate"/>
      </w:r>
      <w:r>
        <w:rPr>
          <w:rFonts w:ascii="Times New Roman"/>
        </w:rPr>
        <w:t>001</w:t>
      </w:r>
      <w:r>
        <w:rPr>
          <w:rFonts w:ascii="Times New Roman"/>
        </w:rPr>
        <w:fldChar w:fldCharType="end"/>
      </w:r>
      <w:bookmarkEnd w:id="4"/>
      <w:r>
        <w:rPr>
          <w:rFonts w:ascii="Times New Roman"/>
        </w:rPr>
        <w:t>—</w:t>
      </w:r>
      <w:r>
        <w:rPr>
          <w:rFonts w:ascii="Times New Roman"/>
        </w:rPr>
        <w:fldChar w:fldCharType="begin">
          <w:ffData>
            <w:name w:val="NSTD_CODE_B"/>
            <w:enabled/>
            <w:calcOnExit w:val="0"/>
            <w:textInput>
              <w:default w:val="XXXX"/>
            </w:textInput>
          </w:ffData>
        </w:fldChar>
      </w:r>
      <w:bookmarkStart w:id="5" w:name="NSTD_CODE_B"/>
      <w:r>
        <w:rPr>
          <w:rFonts w:ascii="Times New Roman"/>
        </w:rPr>
        <w:instrText xml:space="preserve"> FORMTEXT </w:instrText>
      </w:r>
      <w:r>
        <w:rPr>
          <w:rFonts w:ascii="Times New Roman"/>
        </w:rPr>
        <w:fldChar w:fldCharType="separate"/>
      </w:r>
      <w:r>
        <w:rPr>
          <w:rFonts w:ascii="Times New Roman"/>
        </w:rPr>
        <w:t>2026</w:t>
      </w:r>
      <w:r>
        <w:rPr>
          <w:rFonts w:ascii="Times New Roman"/>
        </w:rPr>
        <w:fldChar w:fldCharType="end"/>
      </w:r>
      <w:bookmarkEnd w:id="5"/>
    </w:p>
    <w:p w14:paraId="7540CACB">
      <w:pPr>
        <w:pStyle w:val="196"/>
        <w:framePr/>
        <w:jc w:val="center"/>
        <w:rPr>
          <w:rFonts w:ascii="Times New Roman"/>
        </w:rPr>
      </w:pPr>
    </w:p>
    <w:p w14:paraId="51B0BAC4">
      <w:pPr>
        <w:spacing w:line="240" w:lineRule="auto"/>
        <w:rPr>
          <w:rFonts w:ascii="Times New Roman" w:hAnsi="Times New Roman" w:eastAsia="黑体"/>
          <w:kern w:val="0"/>
          <w:sz w:val="10"/>
          <w:szCs w:val="10"/>
        </w:rPr>
      </w:pPr>
      <w:r>
        <w:rPr>
          <w:rFonts w:ascii="Times New Roman" w:hAnsi="Times New Roman"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03F9D623">
      <w:pPr>
        <w:pStyle w:val="50"/>
        <w:framePr w:w="9639" w:h="6976" w:hRule="exact" w:hSpace="0" w:vSpace="0" w:wrap="around" w:hAnchor="page" w:y="6408"/>
        <w:jc w:val="center"/>
        <w:rPr>
          <w:rFonts w:ascii="Times New Roman" w:eastAsia="黑体"/>
          <w:b w:val="0"/>
          <w:bCs w:val="0"/>
          <w:w w:val="100"/>
        </w:rPr>
      </w:pPr>
    </w:p>
    <w:p w14:paraId="2298A388">
      <w:pPr>
        <w:framePr w:w="9639" w:h="6974" w:hRule="exact" w:wrap="around" w:vAnchor="page" w:hAnchor="page" w:x="1419" w:y="6408" w:anchorLock="1"/>
        <w:adjustRightInd/>
        <w:spacing w:before="240" w:beforeLines="100" w:after="240" w:afterLines="100" w:line="700" w:lineRule="exact"/>
        <w:jc w:val="center"/>
        <w:rPr>
          <w:rFonts w:ascii="Times New Roman" w:hAnsi="Times New Roman" w:eastAsia="黑体"/>
          <w:sz w:val="52"/>
          <w:szCs w:val="52"/>
        </w:rPr>
      </w:pPr>
      <w:bookmarkStart w:id="6" w:name="OLE_LINK1"/>
      <w:r>
        <w:rPr>
          <w:rFonts w:ascii="Times New Roman" w:hAnsi="Times New Roman" w:eastAsia="黑体"/>
          <w:sz w:val="52"/>
          <w:szCs w:val="52"/>
        </w:rPr>
        <w:t>张家川红花牛</w:t>
      </w:r>
      <w:bookmarkStart w:id="7" w:name="OLE_LINK44"/>
      <w:bookmarkStart w:id="8" w:name="OLE_LINK49"/>
      <w:r>
        <w:rPr>
          <w:rFonts w:ascii="Times New Roman" w:hAnsi="Times New Roman" w:eastAsia="黑体"/>
          <w:sz w:val="52"/>
          <w:szCs w:val="52"/>
        </w:rPr>
        <w:t>卫生管理与疫病</w:t>
      </w:r>
    </w:p>
    <w:p w14:paraId="54C64F54">
      <w:pPr>
        <w:framePr w:w="9639" w:h="6974" w:hRule="exact" w:wrap="around" w:vAnchor="page" w:hAnchor="page" w:x="1419" w:y="6408" w:anchorLock="1"/>
        <w:adjustRightInd/>
        <w:spacing w:before="240" w:beforeLines="100" w:after="240" w:afterLines="100" w:line="700" w:lineRule="exact"/>
        <w:jc w:val="center"/>
        <w:rPr>
          <w:rFonts w:ascii="Times New Roman" w:hAnsi="Times New Roman" w:eastAsia="黑体"/>
          <w:sz w:val="52"/>
          <w:szCs w:val="52"/>
        </w:rPr>
      </w:pPr>
      <w:r>
        <w:rPr>
          <w:rFonts w:ascii="Times New Roman" w:hAnsi="Times New Roman" w:eastAsia="黑体"/>
          <w:sz w:val="52"/>
          <w:szCs w:val="52"/>
        </w:rPr>
        <w:t>预防技术规程</w:t>
      </w:r>
      <w:bookmarkEnd w:id="7"/>
      <w:bookmarkEnd w:id="8"/>
    </w:p>
    <w:bookmarkEnd w:id="6"/>
    <w:p w14:paraId="56DE28D3">
      <w:pPr>
        <w:framePr w:w="9639" w:h="6974" w:hRule="exact" w:wrap="around" w:vAnchor="page" w:hAnchor="page" w:x="1419" w:y="6408" w:anchorLock="1"/>
        <w:ind w:left="-1418"/>
        <w:rPr>
          <w:rFonts w:ascii="Times New Roman" w:hAnsi="Times New Roman"/>
        </w:rPr>
      </w:pPr>
    </w:p>
    <w:p w14:paraId="23D1024B">
      <w:pPr>
        <w:pStyle w:val="125"/>
        <w:framePr w:w="9639" w:h="6974" w:hRule="exact" w:wrap="around" w:vAnchor="page" w:hAnchor="page" w:x="1419" w:y="6408" w:anchorLock="1"/>
        <w:textAlignment w:val="bottom"/>
        <w:rPr>
          <w:rFonts w:eastAsia="黑体"/>
          <w:b/>
          <w:bCs/>
          <w:szCs w:val="28"/>
        </w:rPr>
      </w:pPr>
      <w:bookmarkStart w:id="9" w:name="OLE_LINK58"/>
      <w:bookmarkStart w:id="10" w:name="OLE_LINK59"/>
      <w:bookmarkStart w:id="11" w:name="OLE_LINK3"/>
      <w:r>
        <w:rPr>
          <w:rFonts w:eastAsia="黑体"/>
          <w:b/>
          <w:bCs/>
          <w:szCs w:val="28"/>
        </w:rPr>
        <w:t>Technical code of practice for health management and epidemic diseases prevention of Zhangjiachuan honghua cattle</w:t>
      </w:r>
      <w:bookmarkEnd w:id="9"/>
      <w:bookmarkEnd w:id="10"/>
      <w:r>
        <w:rPr>
          <w:rFonts w:eastAsia="黑体"/>
          <w:b/>
          <w:bCs/>
          <w:szCs w:val="28"/>
        </w:rPr>
        <w:t xml:space="preserve"> </w:t>
      </w:r>
    </w:p>
    <w:bookmarkEnd w:id="11"/>
    <w:p w14:paraId="2451B058">
      <w:pPr>
        <w:pStyle w:val="125"/>
        <w:framePr w:w="9639" w:h="6974" w:hRule="exact" w:wrap="around" w:vAnchor="page" w:hAnchor="page" w:x="1419" w:y="6408" w:anchorLock="1"/>
        <w:textAlignment w:val="bottom"/>
        <w:rPr>
          <w:rFonts w:eastAsia="黑体"/>
          <w:szCs w:val="28"/>
        </w:rPr>
      </w:pPr>
    </w:p>
    <w:p w14:paraId="6CE6E32D">
      <w:pPr>
        <w:pStyle w:val="125"/>
        <w:framePr w:w="9639" w:h="6974" w:hRule="exact" w:wrap="around" w:vAnchor="page" w:hAnchor="page" w:x="1419" w:y="6408" w:anchorLock="1"/>
        <w:textAlignment w:val="bottom"/>
        <w:rPr>
          <w:sz w:val="24"/>
          <w:szCs w:val="28"/>
        </w:rPr>
      </w:pPr>
      <w:r>
        <w:rPr>
          <w:b/>
          <w:bCs/>
          <w:sz w:val="24"/>
          <w:szCs w:val="28"/>
        </w:rPr>
        <w:t>（征求意见稿）</w:t>
      </w:r>
    </w:p>
    <w:p w14:paraId="70A632ED">
      <w:pPr>
        <w:pStyle w:val="125"/>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2"/>
    </w:p>
    <w:p w14:paraId="32FC986C">
      <w:pPr>
        <w:pStyle w:val="125"/>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1F70377C">
      <w:pPr>
        <w:pStyle w:val="193"/>
        <w:framePr w:wrap="around" w:y="14176"/>
      </w:pPr>
      <w:r>
        <w:t xml:space="preserve">2026 - </w:t>
      </w:r>
      <w:r>
        <w:fldChar w:fldCharType="begin">
          <w:ffData>
            <w:name w:val="PLSH_DATE_M"/>
            <w:enabled/>
            <w:calcOnExit w:val="0"/>
            <w:textInput>
              <w:default w:val="XX"/>
              <w:maxLength w:val="2"/>
            </w:textInput>
          </w:ffData>
        </w:fldChar>
      </w:r>
      <w:bookmarkStart w:id="14" w:name="PLSH_DATE_M"/>
      <w:r>
        <w:instrText xml:space="preserve"> FORMTEXT </w:instrText>
      </w:r>
      <w:r>
        <w:fldChar w:fldCharType="separate"/>
      </w:r>
      <w:r>
        <w:t>XX</w:t>
      </w:r>
      <w:r>
        <w:fldChar w:fldCharType="end"/>
      </w:r>
      <w:bookmarkEnd w:id="14"/>
      <w:r>
        <w:t xml:space="preserve"> - </w:t>
      </w:r>
      <w:r>
        <w:fldChar w:fldCharType="begin">
          <w:ffData>
            <w:name w:val="PLSH_DATE_D"/>
            <w:enabled/>
            <w:calcOnExit w:val="0"/>
            <w:textInput>
              <w:default w:val="XX"/>
              <w:maxLength w:val="2"/>
            </w:textInput>
          </w:ffData>
        </w:fldChar>
      </w:r>
      <w:bookmarkStart w:id="15" w:name="PLSH_DATE_D"/>
      <w:r>
        <w:instrText xml:space="preserve"> FORMTEXT </w:instrText>
      </w:r>
      <w:r>
        <w:fldChar w:fldCharType="separate"/>
      </w:r>
      <w:r>
        <w:t>XX</w:t>
      </w:r>
      <w:r>
        <w:fldChar w:fldCharType="end"/>
      </w:r>
      <w:bookmarkEnd w:id="15"/>
      <w:r>
        <w:t>发布</w:t>
      </w:r>
    </w:p>
    <w:p w14:paraId="2F0D5821">
      <w:pPr>
        <w:pStyle w:val="194"/>
        <w:framePr w:wrap="around" w:y="14176"/>
      </w:pPr>
      <w:r>
        <w:t xml:space="preserve">2026 - </w:t>
      </w:r>
      <w:r>
        <w:fldChar w:fldCharType="begin">
          <w:ffData>
            <w:name w:val="CROT_DATE_M"/>
            <w:enabled/>
            <w:calcOnExit w:val="0"/>
            <w:textInput>
              <w:default w:val="XX"/>
              <w:maxLength w:val="2"/>
            </w:textInput>
          </w:ffData>
        </w:fldChar>
      </w:r>
      <w:bookmarkStart w:id="16" w:name="CROT_DATE_M"/>
      <w:r>
        <w:instrText xml:space="preserve"> FORMTEXT </w:instrText>
      </w:r>
      <w:r>
        <w:fldChar w:fldCharType="separate"/>
      </w:r>
      <w:r>
        <w:t>XX</w:t>
      </w:r>
      <w:r>
        <w:fldChar w:fldCharType="end"/>
      </w:r>
      <w:bookmarkEnd w:id="16"/>
      <w:r>
        <w:t xml:space="preserve"> - </w:t>
      </w:r>
      <w:r>
        <w:fldChar w:fldCharType="begin">
          <w:ffData>
            <w:name w:val="CROT_DATE_D"/>
            <w:enabled/>
            <w:calcOnExit w:val="0"/>
            <w:textInput>
              <w:default w:val="XX"/>
              <w:maxLength w:val="2"/>
            </w:textInput>
          </w:ffData>
        </w:fldChar>
      </w:r>
      <w:bookmarkStart w:id="17" w:name="CROT_DATE_D"/>
      <w:r>
        <w:instrText xml:space="preserve"> FORMTEXT </w:instrText>
      </w:r>
      <w:r>
        <w:fldChar w:fldCharType="separate"/>
      </w:r>
      <w:r>
        <w:t>XX</w:t>
      </w:r>
      <w:r>
        <w:fldChar w:fldCharType="end"/>
      </w:r>
      <w:bookmarkEnd w:id="17"/>
      <w:r>
        <w:t>实施</w:t>
      </w:r>
    </w:p>
    <w:p w14:paraId="2DFAB9CA">
      <w:pPr>
        <w:pStyle w:val="151"/>
        <w:framePr w:h="584" w:hRule="exact" w:hSpace="181" w:vSpace="181" w:wrap="around" w:y="14800"/>
        <w:rPr>
          <w:rFonts w:ascii="Times New Roman"/>
        </w:rPr>
      </w:pPr>
      <w:r>
        <w:rPr>
          <w:rFonts w:hint="eastAsia" w:hAnsi="黑体" w:cs="黑体"/>
          <w:w w:val="100"/>
          <w:sz w:val="28"/>
        </w:rPr>
        <w:fldChar w:fldCharType="begin">
          <w:ffData>
            <w:name w:val="fm"/>
            <w:enabled/>
            <w:calcOnExit w:val="0"/>
            <w:textInput/>
          </w:ffData>
        </w:fldChar>
      </w:r>
      <w:bookmarkStart w:id="18" w:name="fm"/>
      <w:r>
        <w:rPr>
          <w:rFonts w:hint="eastAsia" w:hAnsi="黑体" w:cs="黑体"/>
          <w:w w:val="100"/>
          <w:sz w:val="28"/>
        </w:rPr>
        <w:instrText xml:space="preserve"> FORMTEXT </w:instrText>
      </w:r>
      <w:r>
        <w:rPr>
          <w:rFonts w:hint="eastAsia" w:hAnsi="黑体" w:cs="黑体"/>
          <w:w w:val="100"/>
          <w:sz w:val="28"/>
        </w:rPr>
        <w:fldChar w:fldCharType="separate"/>
      </w:r>
      <w:r>
        <w:rPr>
          <w:rFonts w:hint="eastAsia" w:hAnsi="黑体" w:cs="黑体"/>
          <w:w w:val="100"/>
          <w:sz w:val="28"/>
        </w:rPr>
        <w:t>甘肃省质量协会</w:t>
      </w:r>
      <w:r>
        <w:rPr>
          <w:rFonts w:hint="eastAsia" w:hAnsi="黑体" w:cs="黑体"/>
          <w:w w:val="100"/>
          <w:sz w:val="28"/>
        </w:rPr>
        <w:fldChar w:fldCharType="end"/>
      </w:r>
      <w:bookmarkEnd w:id="18"/>
      <w:r>
        <w:rPr>
          <w:rFonts w:ascii="Times New Roman"/>
          <w:w w:val="100"/>
          <w:sz w:val="28"/>
        </w:rPr>
        <w:t>  </w:t>
      </w:r>
      <w:r>
        <w:rPr>
          <w:rStyle w:val="229"/>
          <w:rFonts w:ascii="Times New Roman"/>
          <w:position w:val="0"/>
        </w:rPr>
        <w:t>发</w:t>
      </w:r>
      <w:r>
        <w:rPr>
          <w:rStyle w:val="229"/>
          <w:rFonts w:ascii="Times New Roman"/>
          <w:spacing w:val="0"/>
          <w:position w:val="0"/>
        </w:rPr>
        <w:t>布</w:t>
      </w:r>
    </w:p>
    <w:p w14:paraId="06B63F05">
      <w:pPr>
        <w:rPr>
          <w:rFonts w:ascii="Times New Roman" w:hAnsi="Times New Roman"/>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ascii="Times New Roman" w:hAnsi="Times New Roman"/>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189C64FB">
      <w:pPr>
        <w:pStyle w:val="91"/>
        <w:spacing w:after="360"/>
        <w:rPr>
          <w:rFonts w:ascii="Times New Roman" w:hAnsi="Times New Roman"/>
        </w:rPr>
      </w:pPr>
      <w:bookmarkStart w:id="19" w:name="BookMark1"/>
      <w:bookmarkStart w:id="20" w:name="_Toc150014764"/>
      <w:r>
        <w:rPr>
          <w:rFonts w:ascii="Times New Roman" w:hAnsi="Times New Roman"/>
          <w:spacing w:val="320"/>
        </w:rPr>
        <w:t>目</w:t>
      </w:r>
      <w:r>
        <w:rPr>
          <w:rFonts w:ascii="Times New Roman" w:hAnsi="Times New Roman"/>
        </w:rPr>
        <w:t>次</w:t>
      </w:r>
    </w:p>
    <w:p w14:paraId="42DAB392">
      <w:pPr>
        <w:pStyle w:val="19"/>
        <w:tabs>
          <w:tab w:val="right" w:leader="dot" w:pos="9344"/>
        </w:tabs>
        <w:rPr>
          <w:rFonts w:ascii="Times New Roman" w:hAnsi="Times New Roman" w:eastAsiaTheme="minorEastAsia"/>
          <w:sz w:val="22"/>
          <w:szCs w:val="24"/>
          <w14:ligatures w14:val="standardContextual"/>
        </w:rPr>
      </w:pPr>
      <w:r>
        <w:rPr>
          <w:rFonts w:ascii="Times New Roman" w:hAnsi="Times New Roman"/>
        </w:rPr>
        <w:fldChar w:fldCharType="begin"/>
      </w:r>
      <w:r>
        <w:rPr>
          <w:rFonts w:ascii="Times New Roman" w:hAnsi="Times New Roman"/>
        </w:rPr>
        <w:instrText xml:space="preserve"> TOC \o "1-1" \h \t "标准文件_一级条标题,2,标准文件_附录一级条标题,2," </w:instrText>
      </w:r>
      <w:r>
        <w:rPr>
          <w:rFonts w:ascii="Times New Roman" w:hAnsi="Times New Roman"/>
        </w:rPr>
        <w:fldChar w:fldCharType="separate"/>
      </w:r>
      <w:r>
        <w:fldChar w:fldCharType="begin"/>
      </w:r>
      <w:r>
        <w:instrText xml:space="preserve"> HYPERLINK \l "_Toc228364114" </w:instrText>
      </w:r>
      <w:r>
        <w:fldChar w:fldCharType="separate"/>
      </w:r>
      <w:r>
        <w:rPr>
          <w:rStyle w:val="32"/>
          <w:rFonts w:ascii="Times New Roman"/>
          <w:snapToGrid w:val="0"/>
          <w:kern w:val="0"/>
        </w:rPr>
        <w:t>前言</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_Toc228364114 \h </w:instrText>
      </w:r>
      <w:r>
        <w:rPr>
          <w:rFonts w:ascii="Times New Roman" w:hAnsi="Times New Roman"/>
        </w:rPr>
        <w:fldChar w:fldCharType="separate"/>
      </w:r>
      <w:r>
        <w:rPr>
          <w:rFonts w:ascii="Times New Roman" w:hAnsi="Times New Roman"/>
        </w:rPr>
        <w:t>II</w:t>
      </w:r>
      <w:r>
        <w:rPr>
          <w:rFonts w:ascii="Times New Roman" w:hAnsi="Times New Roman"/>
        </w:rPr>
        <w:fldChar w:fldCharType="end"/>
      </w:r>
      <w:r>
        <w:rPr>
          <w:rFonts w:ascii="Times New Roman" w:hAnsi="Times New Roman"/>
        </w:rPr>
        <w:fldChar w:fldCharType="end"/>
      </w:r>
    </w:p>
    <w:p w14:paraId="5B27BF54">
      <w:pPr>
        <w:pStyle w:val="19"/>
        <w:tabs>
          <w:tab w:val="right" w:leader="dot" w:pos="9344"/>
        </w:tabs>
        <w:rPr>
          <w:rFonts w:ascii="Times New Roman" w:hAnsi="Times New Roman" w:eastAsiaTheme="minorEastAsia"/>
          <w:sz w:val="22"/>
          <w:szCs w:val="24"/>
          <w14:ligatures w14:val="standardContextual"/>
        </w:rPr>
      </w:pPr>
      <w:r>
        <w:fldChar w:fldCharType="begin"/>
      </w:r>
      <w:r>
        <w:instrText xml:space="preserve"> HYPERLINK \l "_Toc228364115" </w:instrText>
      </w:r>
      <w:r>
        <w:fldChar w:fldCharType="separate"/>
      </w:r>
      <w:r>
        <w:rPr>
          <w:rStyle w:val="32"/>
          <w:rFonts w:ascii="Times New Roman"/>
        </w:rPr>
        <w:t>1 范围</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_Toc228364115 \h </w:instrText>
      </w:r>
      <w:r>
        <w:rPr>
          <w:rFonts w:ascii="Times New Roman" w:hAnsi="Times New Roman"/>
        </w:rPr>
        <w:fldChar w:fldCharType="separate"/>
      </w:r>
      <w:r>
        <w:rPr>
          <w:rFonts w:ascii="Times New Roman" w:hAnsi="Times New Roman"/>
        </w:rPr>
        <w:t>1</w:t>
      </w:r>
      <w:r>
        <w:rPr>
          <w:rFonts w:ascii="Times New Roman" w:hAnsi="Times New Roman"/>
        </w:rPr>
        <w:fldChar w:fldCharType="end"/>
      </w:r>
      <w:r>
        <w:rPr>
          <w:rFonts w:ascii="Times New Roman" w:hAnsi="Times New Roman"/>
        </w:rPr>
        <w:fldChar w:fldCharType="end"/>
      </w:r>
    </w:p>
    <w:p w14:paraId="1EE3EACF">
      <w:pPr>
        <w:pStyle w:val="19"/>
        <w:tabs>
          <w:tab w:val="right" w:leader="dot" w:pos="9344"/>
        </w:tabs>
        <w:rPr>
          <w:rFonts w:ascii="Times New Roman" w:hAnsi="Times New Roman" w:eastAsiaTheme="minorEastAsia"/>
          <w:sz w:val="22"/>
          <w:szCs w:val="24"/>
          <w14:ligatures w14:val="standardContextual"/>
        </w:rPr>
      </w:pPr>
      <w:r>
        <w:fldChar w:fldCharType="begin"/>
      </w:r>
      <w:r>
        <w:instrText xml:space="preserve"> HYPERLINK \l "_Toc228364116" </w:instrText>
      </w:r>
      <w:r>
        <w:fldChar w:fldCharType="separate"/>
      </w:r>
      <w:r>
        <w:rPr>
          <w:rStyle w:val="32"/>
          <w:rFonts w:ascii="Times New Roman"/>
        </w:rPr>
        <w:t>2 规范性引用文件</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_Toc228364116 \h </w:instrText>
      </w:r>
      <w:r>
        <w:rPr>
          <w:rFonts w:ascii="Times New Roman" w:hAnsi="Times New Roman"/>
        </w:rPr>
        <w:fldChar w:fldCharType="separate"/>
      </w:r>
      <w:r>
        <w:rPr>
          <w:rFonts w:ascii="Times New Roman" w:hAnsi="Times New Roman"/>
        </w:rPr>
        <w:t>1</w:t>
      </w:r>
      <w:r>
        <w:rPr>
          <w:rFonts w:ascii="Times New Roman" w:hAnsi="Times New Roman"/>
        </w:rPr>
        <w:fldChar w:fldCharType="end"/>
      </w:r>
      <w:r>
        <w:rPr>
          <w:rFonts w:ascii="Times New Roman" w:hAnsi="Times New Roman"/>
        </w:rPr>
        <w:fldChar w:fldCharType="end"/>
      </w:r>
    </w:p>
    <w:p w14:paraId="28B3D341">
      <w:pPr>
        <w:pStyle w:val="19"/>
        <w:tabs>
          <w:tab w:val="right" w:leader="dot" w:pos="9344"/>
        </w:tabs>
        <w:rPr>
          <w:rFonts w:ascii="Times New Roman" w:hAnsi="Times New Roman" w:eastAsiaTheme="minorEastAsia"/>
          <w:sz w:val="22"/>
          <w:szCs w:val="24"/>
          <w14:ligatures w14:val="standardContextual"/>
        </w:rPr>
      </w:pPr>
      <w:r>
        <w:fldChar w:fldCharType="begin"/>
      </w:r>
      <w:r>
        <w:instrText xml:space="preserve"> HYPERLINK \l "_Toc228364117" </w:instrText>
      </w:r>
      <w:r>
        <w:fldChar w:fldCharType="separate"/>
      </w:r>
      <w:r>
        <w:rPr>
          <w:rStyle w:val="32"/>
          <w:rFonts w:ascii="Times New Roman"/>
        </w:rPr>
        <w:t>3 术语和定义</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_Toc228364117 \h </w:instrText>
      </w:r>
      <w:r>
        <w:rPr>
          <w:rFonts w:ascii="Times New Roman" w:hAnsi="Times New Roman"/>
        </w:rPr>
        <w:fldChar w:fldCharType="separate"/>
      </w:r>
      <w:r>
        <w:rPr>
          <w:rFonts w:ascii="Times New Roman" w:hAnsi="Times New Roman"/>
        </w:rPr>
        <w:t>1</w:t>
      </w:r>
      <w:r>
        <w:rPr>
          <w:rFonts w:ascii="Times New Roman" w:hAnsi="Times New Roman"/>
        </w:rPr>
        <w:fldChar w:fldCharType="end"/>
      </w:r>
      <w:r>
        <w:rPr>
          <w:rFonts w:ascii="Times New Roman" w:hAnsi="Times New Roman"/>
        </w:rPr>
        <w:fldChar w:fldCharType="end"/>
      </w:r>
    </w:p>
    <w:p w14:paraId="15BC261B">
      <w:pPr>
        <w:pStyle w:val="19"/>
        <w:tabs>
          <w:tab w:val="right" w:leader="dot" w:pos="9344"/>
        </w:tabs>
        <w:rPr>
          <w:rFonts w:ascii="Times New Roman" w:hAnsi="Times New Roman" w:eastAsiaTheme="minorEastAsia"/>
          <w:sz w:val="22"/>
          <w:szCs w:val="24"/>
          <w14:ligatures w14:val="standardContextual"/>
        </w:rPr>
      </w:pPr>
      <w:r>
        <w:fldChar w:fldCharType="begin"/>
      </w:r>
      <w:r>
        <w:instrText xml:space="preserve"> HYPERLINK \l "_Toc228364118" </w:instrText>
      </w:r>
      <w:r>
        <w:fldChar w:fldCharType="separate"/>
      </w:r>
      <w:r>
        <w:rPr>
          <w:rStyle w:val="32"/>
          <w:rFonts w:ascii="Times New Roman"/>
        </w:rPr>
        <w:t>下列术语和定义适用于本文件。</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_Toc228364118 \h </w:instrText>
      </w:r>
      <w:r>
        <w:rPr>
          <w:rFonts w:ascii="Times New Roman" w:hAnsi="Times New Roman"/>
        </w:rPr>
        <w:fldChar w:fldCharType="separate"/>
      </w:r>
      <w:r>
        <w:rPr>
          <w:rFonts w:ascii="Times New Roman" w:hAnsi="Times New Roman"/>
        </w:rPr>
        <w:t>1</w:t>
      </w:r>
      <w:r>
        <w:rPr>
          <w:rFonts w:ascii="Times New Roman" w:hAnsi="Times New Roman"/>
        </w:rPr>
        <w:fldChar w:fldCharType="end"/>
      </w:r>
      <w:r>
        <w:rPr>
          <w:rFonts w:ascii="Times New Roman" w:hAnsi="Times New Roman"/>
        </w:rPr>
        <w:fldChar w:fldCharType="end"/>
      </w:r>
    </w:p>
    <w:p w14:paraId="6E0E83D7">
      <w:pPr>
        <w:pStyle w:val="19"/>
        <w:tabs>
          <w:tab w:val="right" w:leader="dot" w:pos="9344"/>
        </w:tabs>
        <w:rPr>
          <w:rFonts w:ascii="Times New Roman" w:hAnsi="Times New Roman" w:eastAsiaTheme="minorEastAsia"/>
          <w:sz w:val="22"/>
          <w:szCs w:val="24"/>
          <w14:ligatures w14:val="standardContextual"/>
        </w:rPr>
      </w:pPr>
      <w:r>
        <w:fldChar w:fldCharType="begin"/>
      </w:r>
      <w:r>
        <w:instrText xml:space="preserve"> HYPERLINK \l "_Toc228364119" </w:instrText>
      </w:r>
      <w:r>
        <w:fldChar w:fldCharType="separate"/>
      </w:r>
      <w:r>
        <w:rPr>
          <w:rStyle w:val="32"/>
          <w:rFonts w:ascii="Times New Roman"/>
        </w:rPr>
        <w:t>4 养殖场基本要求</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_Toc228364119 \h </w:instrText>
      </w:r>
      <w:r>
        <w:rPr>
          <w:rFonts w:ascii="Times New Roman" w:hAnsi="Times New Roman"/>
        </w:rPr>
        <w:fldChar w:fldCharType="separate"/>
      </w:r>
      <w:r>
        <w:rPr>
          <w:rFonts w:ascii="Times New Roman" w:hAnsi="Times New Roman"/>
        </w:rPr>
        <w:t>1</w:t>
      </w:r>
      <w:r>
        <w:rPr>
          <w:rFonts w:ascii="Times New Roman" w:hAnsi="Times New Roman"/>
        </w:rPr>
        <w:fldChar w:fldCharType="end"/>
      </w:r>
      <w:r>
        <w:rPr>
          <w:rFonts w:ascii="Times New Roman" w:hAnsi="Times New Roman"/>
        </w:rPr>
        <w:fldChar w:fldCharType="end"/>
      </w:r>
    </w:p>
    <w:p w14:paraId="3DE4CB7D">
      <w:pPr>
        <w:pStyle w:val="24"/>
        <w:rPr>
          <w:rFonts w:ascii="Times New Roman" w:hAnsi="Times New Roman" w:eastAsiaTheme="minorEastAsia"/>
          <w:sz w:val="22"/>
          <w:szCs w:val="24"/>
          <w14:ligatures w14:val="standardContextual"/>
        </w:rPr>
      </w:pPr>
      <w:r>
        <w:fldChar w:fldCharType="begin"/>
      </w:r>
      <w:r>
        <w:instrText xml:space="preserve"> HYPERLINK \l "_Toc228364120" </w:instrText>
      </w:r>
      <w:r>
        <w:fldChar w:fldCharType="separate"/>
      </w:r>
      <w:r>
        <w:rPr>
          <w:rStyle w:val="32"/>
          <w:rFonts w:ascii="Times New Roman"/>
          <w14:scene3d w14:prst="orthographicFront">
            <w14:lightRig w14:rig="threePt" w14:dir="t">
              <w14:rot w14:lat="0" w14:lon="0" w14:rev="0"/>
            </w14:lightRig>
          </w14:scene3d>
        </w:rPr>
        <w:t>4.1</w:t>
      </w:r>
      <w:r>
        <w:rPr>
          <w:rStyle w:val="32"/>
          <w:rFonts w:ascii="Times New Roman"/>
        </w:rPr>
        <w:t xml:space="preserve"> 资质要求</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_Toc228364120 \h </w:instrText>
      </w:r>
      <w:r>
        <w:rPr>
          <w:rFonts w:ascii="Times New Roman" w:hAnsi="Times New Roman"/>
        </w:rPr>
        <w:fldChar w:fldCharType="separate"/>
      </w:r>
      <w:r>
        <w:rPr>
          <w:rFonts w:ascii="Times New Roman" w:hAnsi="Times New Roman"/>
        </w:rPr>
        <w:t>1</w:t>
      </w:r>
      <w:r>
        <w:rPr>
          <w:rFonts w:ascii="Times New Roman" w:hAnsi="Times New Roman"/>
        </w:rPr>
        <w:fldChar w:fldCharType="end"/>
      </w:r>
      <w:r>
        <w:rPr>
          <w:rFonts w:ascii="Times New Roman" w:hAnsi="Times New Roman"/>
        </w:rPr>
        <w:fldChar w:fldCharType="end"/>
      </w:r>
    </w:p>
    <w:p w14:paraId="0D5F41F8">
      <w:pPr>
        <w:pStyle w:val="24"/>
        <w:rPr>
          <w:rFonts w:ascii="Times New Roman" w:hAnsi="Times New Roman" w:eastAsiaTheme="minorEastAsia"/>
          <w:sz w:val="22"/>
          <w:szCs w:val="24"/>
          <w14:ligatures w14:val="standardContextual"/>
        </w:rPr>
      </w:pPr>
      <w:r>
        <w:fldChar w:fldCharType="begin"/>
      </w:r>
      <w:r>
        <w:instrText xml:space="preserve"> HYPERLINK \l "_Toc228364121" </w:instrText>
      </w:r>
      <w:r>
        <w:fldChar w:fldCharType="separate"/>
      </w:r>
      <w:r>
        <w:rPr>
          <w:rStyle w:val="32"/>
          <w:rFonts w:ascii="Times New Roman"/>
          <w14:scene3d w14:prst="orthographicFront">
            <w14:lightRig w14:rig="threePt" w14:dir="t">
              <w14:rot w14:lat="0" w14:lon="0" w14:rev="0"/>
            </w14:lightRig>
          </w14:scene3d>
        </w:rPr>
        <w:t>4.2</w:t>
      </w:r>
      <w:r>
        <w:rPr>
          <w:rStyle w:val="32"/>
          <w:rFonts w:ascii="Times New Roman"/>
        </w:rPr>
        <w:t xml:space="preserve"> 选址布局要求</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_Toc228364121 \h </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r>
        <w:rPr>
          <w:rFonts w:ascii="Times New Roman" w:hAnsi="Times New Roman"/>
        </w:rPr>
        <w:fldChar w:fldCharType="end"/>
      </w:r>
    </w:p>
    <w:p w14:paraId="1A728C7B">
      <w:pPr>
        <w:pStyle w:val="19"/>
        <w:tabs>
          <w:tab w:val="right" w:leader="dot" w:pos="9344"/>
        </w:tabs>
        <w:rPr>
          <w:rFonts w:ascii="Times New Roman" w:hAnsi="Times New Roman" w:eastAsiaTheme="minorEastAsia"/>
          <w:sz w:val="22"/>
          <w:szCs w:val="24"/>
          <w14:ligatures w14:val="standardContextual"/>
        </w:rPr>
      </w:pPr>
      <w:r>
        <w:fldChar w:fldCharType="begin"/>
      </w:r>
      <w:r>
        <w:instrText xml:space="preserve"> HYPERLINK \l "_Toc228364122" </w:instrText>
      </w:r>
      <w:r>
        <w:fldChar w:fldCharType="separate"/>
      </w:r>
      <w:r>
        <w:rPr>
          <w:rStyle w:val="32"/>
          <w:rFonts w:ascii="Times New Roman"/>
        </w:rPr>
        <w:t>5 日常卫生管理</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_Toc228364122 \h </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r>
        <w:rPr>
          <w:rFonts w:ascii="Times New Roman" w:hAnsi="Times New Roman"/>
        </w:rPr>
        <w:fldChar w:fldCharType="end"/>
      </w:r>
    </w:p>
    <w:p w14:paraId="378405CE">
      <w:pPr>
        <w:pStyle w:val="24"/>
        <w:rPr>
          <w:rFonts w:ascii="Times New Roman" w:hAnsi="Times New Roman" w:eastAsiaTheme="minorEastAsia"/>
          <w:sz w:val="22"/>
          <w:szCs w:val="24"/>
          <w14:ligatures w14:val="standardContextual"/>
        </w:rPr>
      </w:pPr>
      <w:r>
        <w:fldChar w:fldCharType="begin"/>
      </w:r>
      <w:r>
        <w:instrText xml:space="preserve"> HYPERLINK \l "_Toc228364123" </w:instrText>
      </w:r>
      <w:r>
        <w:fldChar w:fldCharType="separate"/>
      </w:r>
      <w:r>
        <w:rPr>
          <w:rStyle w:val="32"/>
          <w:rFonts w:ascii="Times New Roman"/>
          <w14:scene3d w14:prst="orthographicFront">
            <w14:lightRig w14:rig="threePt" w14:dir="t">
              <w14:rot w14:lat="0" w14:lon="0" w14:rev="0"/>
            </w14:lightRig>
          </w14:scene3d>
        </w:rPr>
        <w:t>5.1</w:t>
      </w:r>
      <w:r>
        <w:rPr>
          <w:rStyle w:val="32"/>
          <w:rFonts w:ascii="Times New Roman"/>
        </w:rPr>
        <w:t xml:space="preserve"> 人员管理</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_Toc228364123 \h </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r>
        <w:rPr>
          <w:rFonts w:ascii="Times New Roman" w:hAnsi="Times New Roman"/>
        </w:rPr>
        <w:fldChar w:fldCharType="end"/>
      </w:r>
    </w:p>
    <w:p w14:paraId="5EDF6F60">
      <w:pPr>
        <w:pStyle w:val="24"/>
        <w:rPr>
          <w:rFonts w:ascii="Times New Roman" w:hAnsi="Times New Roman" w:eastAsiaTheme="minorEastAsia"/>
          <w:sz w:val="22"/>
          <w:szCs w:val="24"/>
          <w14:ligatures w14:val="standardContextual"/>
        </w:rPr>
      </w:pPr>
      <w:r>
        <w:fldChar w:fldCharType="begin"/>
      </w:r>
      <w:r>
        <w:instrText xml:space="preserve"> HYPERLINK \l "_Toc228364124" </w:instrText>
      </w:r>
      <w:r>
        <w:fldChar w:fldCharType="separate"/>
      </w:r>
      <w:r>
        <w:rPr>
          <w:rStyle w:val="32"/>
          <w:rFonts w:ascii="Times New Roman"/>
          <w14:scene3d w14:prst="orthographicFront">
            <w14:lightRig w14:rig="threePt" w14:dir="t">
              <w14:rot w14:lat="0" w14:lon="0" w14:rev="0"/>
            </w14:lightRig>
          </w14:scene3d>
        </w:rPr>
        <w:t>5.2</w:t>
      </w:r>
      <w:r>
        <w:rPr>
          <w:rStyle w:val="32"/>
          <w:rFonts w:ascii="Times New Roman"/>
        </w:rPr>
        <w:t xml:space="preserve"> 车辆管理</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_Toc228364124 \h </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r>
        <w:rPr>
          <w:rFonts w:ascii="Times New Roman" w:hAnsi="Times New Roman"/>
        </w:rPr>
        <w:fldChar w:fldCharType="end"/>
      </w:r>
    </w:p>
    <w:p w14:paraId="3CC090EA">
      <w:pPr>
        <w:pStyle w:val="24"/>
        <w:rPr>
          <w:rFonts w:ascii="Times New Roman" w:hAnsi="Times New Roman" w:eastAsiaTheme="minorEastAsia"/>
          <w:sz w:val="22"/>
          <w:szCs w:val="24"/>
          <w14:ligatures w14:val="standardContextual"/>
        </w:rPr>
      </w:pPr>
      <w:r>
        <w:fldChar w:fldCharType="begin"/>
      </w:r>
      <w:r>
        <w:instrText xml:space="preserve"> HYPERLINK \l "_Toc228364125" </w:instrText>
      </w:r>
      <w:r>
        <w:fldChar w:fldCharType="separate"/>
      </w:r>
      <w:r>
        <w:rPr>
          <w:rStyle w:val="32"/>
          <w:rFonts w:ascii="Times New Roman"/>
          <w14:scene3d w14:prst="orthographicFront">
            <w14:lightRig w14:rig="threePt" w14:dir="t">
              <w14:rot w14:lat="0" w14:lon="0" w14:rev="0"/>
            </w14:lightRig>
          </w14:scene3d>
        </w:rPr>
        <w:t>5.3</w:t>
      </w:r>
      <w:r>
        <w:rPr>
          <w:rStyle w:val="32"/>
          <w:rFonts w:ascii="Times New Roman"/>
        </w:rPr>
        <w:t xml:space="preserve"> 饲养卫生管理</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_Toc228364125 \h </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r>
        <w:rPr>
          <w:rFonts w:ascii="Times New Roman" w:hAnsi="Times New Roman"/>
        </w:rPr>
        <w:fldChar w:fldCharType="end"/>
      </w:r>
    </w:p>
    <w:p w14:paraId="42842F15">
      <w:pPr>
        <w:pStyle w:val="24"/>
        <w:rPr>
          <w:rFonts w:ascii="Times New Roman" w:hAnsi="Times New Roman" w:eastAsiaTheme="minorEastAsia"/>
          <w:sz w:val="22"/>
          <w:szCs w:val="24"/>
          <w14:ligatures w14:val="standardContextual"/>
        </w:rPr>
      </w:pPr>
      <w:r>
        <w:fldChar w:fldCharType="begin"/>
      </w:r>
      <w:r>
        <w:instrText xml:space="preserve"> HYPERLINK \l "_Toc228364126" </w:instrText>
      </w:r>
      <w:r>
        <w:fldChar w:fldCharType="separate"/>
      </w:r>
      <w:r>
        <w:rPr>
          <w:rStyle w:val="32"/>
          <w:rFonts w:ascii="Times New Roman"/>
          <w14:scene3d w14:prst="orthographicFront">
            <w14:lightRig w14:rig="threePt" w14:dir="t">
              <w14:rot w14:lat="0" w14:lon="0" w14:rev="0"/>
            </w14:lightRig>
          </w14:scene3d>
        </w:rPr>
        <w:t>5.4</w:t>
      </w:r>
      <w:r>
        <w:rPr>
          <w:rStyle w:val="32"/>
          <w:rFonts w:ascii="Times New Roman"/>
        </w:rPr>
        <w:t xml:space="preserve"> 物资卫生管理</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_Toc228364126 \h </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r>
        <w:rPr>
          <w:rFonts w:ascii="Times New Roman" w:hAnsi="Times New Roman"/>
        </w:rPr>
        <w:fldChar w:fldCharType="end"/>
      </w:r>
    </w:p>
    <w:p w14:paraId="640F1CCE">
      <w:pPr>
        <w:pStyle w:val="19"/>
        <w:tabs>
          <w:tab w:val="right" w:leader="dot" w:pos="9344"/>
        </w:tabs>
        <w:rPr>
          <w:rFonts w:ascii="Times New Roman" w:hAnsi="Times New Roman" w:eastAsiaTheme="minorEastAsia"/>
          <w:sz w:val="22"/>
          <w:szCs w:val="24"/>
          <w14:ligatures w14:val="standardContextual"/>
        </w:rPr>
      </w:pPr>
      <w:r>
        <w:fldChar w:fldCharType="begin"/>
      </w:r>
      <w:r>
        <w:instrText xml:space="preserve"> HYPERLINK \l "_Toc228364127" </w:instrText>
      </w:r>
      <w:r>
        <w:fldChar w:fldCharType="separate"/>
      </w:r>
      <w:r>
        <w:rPr>
          <w:rStyle w:val="32"/>
          <w:rFonts w:ascii="Times New Roman"/>
        </w:rPr>
        <w:t>6 消毒管理</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_Toc228364127 \h </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r>
        <w:rPr>
          <w:rFonts w:ascii="Times New Roman" w:hAnsi="Times New Roman"/>
        </w:rPr>
        <w:fldChar w:fldCharType="end"/>
      </w:r>
    </w:p>
    <w:p w14:paraId="32D1056B">
      <w:pPr>
        <w:pStyle w:val="24"/>
        <w:rPr>
          <w:rFonts w:ascii="Times New Roman" w:hAnsi="Times New Roman" w:eastAsiaTheme="minorEastAsia"/>
          <w:sz w:val="22"/>
          <w:szCs w:val="24"/>
          <w14:ligatures w14:val="standardContextual"/>
        </w:rPr>
      </w:pPr>
      <w:r>
        <w:fldChar w:fldCharType="begin"/>
      </w:r>
      <w:r>
        <w:instrText xml:space="preserve"> HYPERLINK \l "_Toc228364128" </w:instrText>
      </w:r>
      <w:r>
        <w:fldChar w:fldCharType="separate"/>
      </w:r>
      <w:r>
        <w:rPr>
          <w:rStyle w:val="32"/>
          <w:rFonts w:ascii="Times New Roman"/>
          <w14:scene3d w14:prst="orthographicFront">
            <w14:lightRig w14:rig="threePt" w14:dir="t">
              <w14:rot w14:lat="0" w14:lon="0" w14:rev="0"/>
            </w14:lightRig>
          </w14:scene3d>
        </w:rPr>
        <w:t>6.1</w:t>
      </w:r>
      <w:r>
        <w:rPr>
          <w:rStyle w:val="32"/>
          <w:rFonts w:ascii="Times New Roman"/>
        </w:rPr>
        <w:t xml:space="preserve"> 消毒方法</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_Toc228364128 \h </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r>
        <w:rPr>
          <w:rFonts w:ascii="Times New Roman" w:hAnsi="Times New Roman"/>
        </w:rPr>
        <w:fldChar w:fldCharType="end"/>
      </w:r>
    </w:p>
    <w:p w14:paraId="17C9BA02">
      <w:pPr>
        <w:pStyle w:val="24"/>
        <w:rPr>
          <w:rFonts w:ascii="Times New Roman" w:hAnsi="Times New Roman" w:eastAsiaTheme="minorEastAsia"/>
          <w:sz w:val="22"/>
          <w:szCs w:val="24"/>
          <w14:ligatures w14:val="standardContextual"/>
        </w:rPr>
      </w:pPr>
      <w:r>
        <w:fldChar w:fldCharType="begin"/>
      </w:r>
      <w:r>
        <w:instrText xml:space="preserve"> HYPERLINK \l "_Toc228364129" </w:instrText>
      </w:r>
      <w:r>
        <w:fldChar w:fldCharType="separate"/>
      </w:r>
      <w:r>
        <w:rPr>
          <w:rStyle w:val="32"/>
          <w:rFonts w:ascii="Times New Roman"/>
          <w14:scene3d w14:prst="orthographicFront">
            <w14:lightRig w14:rig="threePt" w14:dir="t">
              <w14:rot w14:lat="0" w14:lon="0" w14:rev="0"/>
            </w14:lightRig>
          </w14:scene3d>
        </w:rPr>
        <w:t>6.2</w:t>
      </w:r>
      <w:r>
        <w:rPr>
          <w:rStyle w:val="32"/>
          <w:rFonts w:ascii="Times New Roman"/>
        </w:rPr>
        <w:t xml:space="preserve"> 药物消毒程序</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_Toc228364129 \h </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r>
        <w:rPr>
          <w:rFonts w:ascii="Times New Roman" w:hAnsi="Times New Roman"/>
        </w:rPr>
        <w:fldChar w:fldCharType="end"/>
      </w:r>
    </w:p>
    <w:p w14:paraId="30F193ED">
      <w:pPr>
        <w:pStyle w:val="19"/>
        <w:tabs>
          <w:tab w:val="right" w:leader="dot" w:pos="9344"/>
        </w:tabs>
        <w:rPr>
          <w:rFonts w:ascii="Times New Roman" w:hAnsi="Times New Roman" w:eastAsiaTheme="minorEastAsia"/>
          <w:sz w:val="22"/>
          <w:szCs w:val="24"/>
          <w14:ligatures w14:val="standardContextual"/>
        </w:rPr>
      </w:pPr>
      <w:r>
        <w:fldChar w:fldCharType="begin"/>
      </w:r>
      <w:r>
        <w:instrText xml:space="preserve"> HYPERLINK \l "_Toc228364130" </w:instrText>
      </w:r>
      <w:r>
        <w:fldChar w:fldCharType="separate"/>
      </w:r>
      <w:r>
        <w:rPr>
          <w:rStyle w:val="32"/>
          <w:rFonts w:ascii="Times New Roman"/>
        </w:rPr>
        <w:t>7 疫病预防与监测</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_Toc228364130 \h </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r>
        <w:rPr>
          <w:rFonts w:ascii="Times New Roman" w:hAnsi="Times New Roman"/>
        </w:rPr>
        <w:fldChar w:fldCharType="end"/>
      </w:r>
    </w:p>
    <w:p w14:paraId="3EC4C397">
      <w:pPr>
        <w:pStyle w:val="24"/>
        <w:rPr>
          <w:rFonts w:ascii="Times New Roman" w:hAnsi="Times New Roman" w:eastAsiaTheme="minorEastAsia"/>
          <w:sz w:val="22"/>
          <w:szCs w:val="24"/>
          <w14:ligatures w14:val="standardContextual"/>
        </w:rPr>
      </w:pPr>
      <w:r>
        <w:fldChar w:fldCharType="begin"/>
      </w:r>
      <w:r>
        <w:instrText xml:space="preserve"> HYPERLINK \l "_Toc228364131" </w:instrText>
      </w:r>
      <w:r>
        <w:fldChar w:fldCharType="separate"/>
      </w:r>
      <w:r>
        <w:rPr>
          <w:rStyle w:val="32"/>
          <w:rFonts w:ascii="Times New Roman"/>
          <w14:scene3d w14:prst="orthographicFront">
            <w14:lightRig w14:rig="threePt" w14:dir="t">
              <w14:rot w14:lat="0" w14:lon="0" w14:rev="0"/>
            </w14:lightRig>
          </w14:scene3d>
        </w:rPr>
        <w:t>7.1</w:t>
      </w:r>
      <w:r>
        <w:rPr>
          <w:rStyle w:val="32"/>
          <w:rFonts w:ascii="Times New Roman"/>
        </w:rPr>
        <w:t xml:space="preserve"> 肉牛引进和种用产品管理</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_Toc228364131 \h </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r>
        <w:rPr>
          <w:rFonts w:ascii="Times New Roman" w:hAnsi="Times New Roman"/>
        </w:rPr>
        <w:fldChar w:fldCharType="end"/>
      </w:r>
    </w:p>
    <w:p w14:paraId="1D903F31">
      <w:pPr>
        <w:pStyle w:val="24"/>
        <w:rPr>
          <w:rFonts w:ascii="Times New Roman" w:hAnsi="Times New Roman" w:eastAsiaTheme="minorEastAsia"/>
          <w:sz w:val="22"/>
          <w:szCs w:val="24"/>
          <w14:ligatures w14:val="standardContextual"/>
        </w:rPr>
      </w:pPr>
      <w:r>
        <w:fldChar w:fldCharType="begin"/>
      </w:r>
      <w:r>
        <w:instrText xml:space="preserve"> HYPERLINK \l "_Toc228364132" </w:instrText>
      </w:r>
      <w:r>
        <w:fldChar w:fldCharType="separate"/>
      </w:r>
      <w:r>
        <w:rPr>
          <w:rStyle w:val="32"/>
          <w:rFonts w:ascii="Times New Roman"/>
          <w14:scene3d w14:prst="orthographicFront">
            <w14:lightRig w14:rig="threePt" w14:dir="t">
              <w14:rot w14:lat="0" w14:lon="0" w14:rev="0"/>
            </w14:lightRig>
          </w14:scene3d>
        </w:rPr>
        <w:t>7.2</w:t>
      </w:r>
      <w:r>
        <w:rPr>
          <w:rStyle w:val="32"/>
          <w:rFonts w:ascii="Times New Roman"/>
        </w:rPr>
        <w:t xml:space="preserve"> 重大疫病防控</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_Toc228364132 \h </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r>
        <w:rPr>
          <w:rFonts w:ascii="Times New Roman" w:hAnsi="Times New Roman"/>
        </w:rPr>
        <w:fldChar w:fldCharType="end"/>
      </w:r>
    </w:p>
    <w:p w14:paraId="41D4EB48">
      <w:pPr>
        <w:pStyle w:val="24"/>
        <w:rPr>
          <w:rFonts w:ascii="Times New Roman" w:hAnsi="Times New Roman" w:eastAsiaTheme="minorEastAsia"/>
          <w:sz w:val="22"/>
          <w:szCs w:val="24"/>
          <w14:ligatures w14:val="standardContextual"/>
        </w:rPr>
      </w:pPr>
      <w:r>
        <w:fldChar w:fldCharType="begin"/>
      </w:r>
      <w:r>
        <w:instrText xml:space="preserve"> HYPERLINK \l "_Toc228364133" </w:instrText>
      </w:r>
      <w:r>
        <w:fldChar w:fldCharType="separate"/>
      </w:r>
      <w:r>
        <w:rPr>
          <w:rStyle w:val="32"/>
          <w:rFonts w:ascii="Times New Roman"/>
          <w14:scene3d w14:prst="orthographicFront">
            <w14:lightRig w14:rig="threePt" w14:dir="t">
              <w14:rot w14:lat="0" w14:lon="0" w14:rev="0"/>
            </w14:lightRig>
          </w14:scene3d>
        </w:rPr>
        <w:t>7.3</w:t>
      </w:r>
      <w:r>
        <w:rPr>
          <w:rStyle w:val="32"/>
          <w:rFonts w:ascii="Times New Roman"/>
        </w:rPr>
        <w:t xml:space="preserve"> 疫病预警</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_Toc228364133 \h </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r>
        <w:rPr>
          <w:rFonts w:ascii="Times New Roman" w:hAnsi="Times New Roman"/>
        </w:rPr>
        <w:fldChar w:fldCharType="end"/>
      </w:r>
    </w:p>
    <w:p w14:paraId="2052F0A4">
      <w:pPr>
        <w:pStyle w:val="24"/>
        <w:rPr>
          <w:rFonts w:ascii="Times New Roman" w:hAnsi="Times New Roman" w:eastAsiaTheme="minorEastAsia"/>
          <w:sz w:val="22"/>
          <w:szCs w:val="24"/>
          <w14:ligatures w14:val="standardContextual"/>
        </w:rPr>
      </w:pPr>
      <w:r>
        <w:fldChar w:fldCharType="begin"/>
      </w:r>
      <w:r>
        <w:instrText xml:space="preserve"> HYPERLINK \l "_Toc228364134" </w:instrText>
      </w:r>
      <w:r>
        <w:fldChar w:fldCharType="separate"/>
      </w:r>
      <w:r>
        <w:rPr>
          <w:rStyle w:val="32"/>
          <w:rFonts w:ascii="Times New Roman"/>
          <w14:scene3d w14:prst="orthographicFront">
            <w14:lightRig w14:rig="threePt" w14:dir="t">
              <w14:rot w14:lat="0" w14:lon="0" w14:rev="0"/>
            </w14:lightRig>
          </w14:scene3d>
        </w:rPr>
        <w:t>7.4</w:t>
      </w:r>
      <w:r>
        <w:rPr>
          <w:rStyle w:val="32"/>
          <w:rFonts w:ascii="Times New Roman"/>
        </w:rPr>
        <w:t xml:space="preserve"> 寄生虫病防治</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_Toc228364134 \h </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r>
        <w:rPr>
          <w:rFonts w:ascii="Times New Roman" w:hAnsi="Times New Roman"/>
        </w:rPr>
        <w:fldChar w:fldCharType="end"/>
      </w:r>
    </w:p>
    <w:p w14:paraId="28E681FF">
      <w:pPr>
        <w:pStyle w:val="19"/>
        <w:tabs>
          <w:tab w:val="right" w:leader="dot" w:pos="9344"/>
        </w:tabs>
        <w:rPr>
          <w:rFonts w:ascii="Times New Roman" w:hAnsi="Times New Roman" w:eastAsiaTheme="minorEastAsia"/>
          <w:sz w:val="22"/>
          <w:szCs w:val="24"/>
          <w14:ligatures w14:val="standardContextual"/>
        </w:rPr>
      </w:pPr>
      <w:r>
        <w:fldChar w:fldCharType="begin"/>
      </w:r>
      <w:r>
        <w:instrText xml:space="preserve"> HYPERLINK \l "_Toc228364135" </w:instrText>
      </w:r>
      <w:r>
        <w:fldChar w:fldCharType="separate"/>
      </w:r>
      <w:r>
        <w:rPr>
          <w:rStyle w:val="32"/>
          <w:rFonts w:ascii="Times New Roman"/>
        </w:rPr>
        <w:t>8 疫病处置与应急管理</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_Toc228364135 \h </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r>
        <w:rPr>
          <w:rFonts w:ascii="Times New Roman" w:hAnsi="Times New Roman"/>
        </w:rPr>
        <w:fldChar w:fldCharType="end"/>
      </w:r>
    </w:p>
    <w:p w14:paraId="2E15D2E1">
      <w:pPr>
        <w:pStyle w:val="24"/>
        <w:rPr>
          <w:rFonts w:ascii="Times New Roman" w:hAnsi="Times New Roman" w:eastAsiaTheme="minorEastAsia"/>
          <w:sz w:val="22"/>
          <w:szCs w:val="24"/>
          <w14:ligatures w14:val="standardContextual"/>
        </w:rPr>
      </w:pPr>
      <w:r>
        <w:fldChar w:fldCharType="begin"/>
      </w:r>
      <w:r>
        <w:instrText xml:space="preserve"> HYPERLINK \l "_Toc228364136" </w:instrText>
      </w:r>
      <w:r>
        <w:fldChar w:fldCharType="separate"/>
      </w:r>
      <w:r>
        <w:rPr>
          <w:rStyle w:val="32"/>
          <w:rFonts w:ascii="Times New Roman"/>
          <w14:scene3d w14:prst="orthographicFront">
            <w14:lightRig w14:rig="threePt" w14:dir="t">
              <w14:rot w14:lat="0" w14:lon="0" w14:rev="0"/>
            </w14:lightRig>
          </w14:scene3d>
        </w:rPr>
        <w:t>8.1</w:t>
      </w:r>
      <w:r>
        <w:rPr>
          <w:rStyle w:val="32"/>
          <w:rFonts w:ascii="Times New Roman"/>
        </w:rPr>
        <w:t xml:space="preserve"> 疑似疫病处置</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_Toc228364136 \h </w:instrText>
      </w:r>
      <w:r>
        <w:rPr>
          <w:rFonts w:ascii="Times New Roman" w:hAnsi="Times New Roman"/>
        </w:rPr>
        <w:fldChar w:fldCharType="separate"/>
      </w:r>
      <w:r>
        <w:rPr>
          <w:rFonts w:ascii="Times New Roman" w:hAnsi="Times New Roman"/>
        </w:rPr>
        <w:t>4</w:t>
      </w:r>
      <w:r>
        <w:rPr>
          <w:rFonts w:ascii="Times New Roman" w:hAnsi="Times New Roman"/>
        </w:rPr>
        <w:fldChar w:fldCharType="end"/>
      </w:r>
      <w:r>
        <w:rPr>
          <w:rFonts w:ascii="Times New Roman" w:hAnsi="Times New Roman"/>
        </w:rPr>
        <w:fldChar w:fldCharType="end"/>
      </w:r>
    </w:p>
    <w:p w14:paraId="1647C0E8">
      <w:pPr>
        <w:pStyle w:val="24"/>
        <w:rPr>
          <w:rFonts w:ascii="Times New Roman" w:hAnsi="Times New Roman" w:eastAsiaTheme="minorEastAsia"/>
          <w:sz w:val="22"/>
          <w:szCs w:val="24"/>
          <w14:ligatures w14:val="standardContextual"/>
        </w:rPr>
      </w:pPr>
      <w:r>
        <w:fldChar w:fldCharType="begin"/>
      </w:r>
      <w:r>
        <w:instrText xml:space="preserve"> HYPERLINK \l "_Toc228364137" </w:instrText>
      </w:r>
      <w:r>
        <w:fldChar w:fldCharType="separate"/>
      </w:r>
      <w:r>
        <w:rPr>
          <w:rStyle w:val="32"/>
          <w:rFonts w:ascii="Times New Roman"/>
          <w14:scene3d w14:prst="orthographicFront">
            <w14:lightRig w14:rig="threePt" w14:dir="t">
              <w14:rot w14:lat="0" w14:lon="0" w14:rev="0"/>
            </w14:lightRig>
          </w14:scene3d>
        </w:rPr>
        <w:t>8.2</w:t>
      </w:r>
      <w:r>
        <w:rPr>
          <w:rStyle w:val="32"/>
          <w:rFonts w:ascii="Times New Roman"/>
        </w:rPr>
        <w:t xml:space="preserve"> 确诊疫病处置</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_Toc228364137 \h </w:instrText>
      </w:r>
      <w:r>
        <w:rPr>
          <w:rFonts w:ascii="Times New Roman" w:hAnsi="Times New Roman"/>
        </w:rPr>
        <w:fldChar w:fldCharType="separate"/>
      </w:r>
      <w:r>
        <w:rPr>
          <w:rFonts w:ascii="Times New Roman" w:hAnsi="Times New Roman"/>
        </w:rPr>
        <w:t>4</w:t>
      </w:r>
      <w:r>
        <w:rPr>
          <w:rFonts w:ascii="Times New Roman" w:hAnsi="Times New Roman"/>
        </w:rPr>
        <w:fldChar w:fldCharType="end"/>
      </w:r>
      <w:r>
        <w:rPr>
          <w:rFonts w:ascii="Times New Roman" w:hAnsi="Times New Roman"/>
        </w:rPr>
        <w:fldChar w:fldCharType="end"/>
      </w:r>
    </w:p>
    <w:p w14:paraId="59C03C7A">
      <w:pPr>
        <w:pStyle w:val="24"/>
        <w:rPr>
          <w:rFonts w:ascii="Times New Roman" w:hAnsi="Times New Roman" w:eastAsiaTheme="minorEastAsia"/>
          <w:sz w:val="22"/>
          <w:szCs w:val="24"/>
          <w14:ligatures w14:val="standardContextual"/>
        </w:rPr>
      </w:pPr>
      <w:r>
        <w:fldChar w:fldCharType="begin"/>
      </w:r>
      <w:r>
        <w:instrText xml:space="preserve"> HYPERLINK \l "_Toc228364138" </w:instrText>
      </w:r>
      <w:r>
        <w:fldChar w:fldCharType="separate"/>
      </w:r>
      <w:r>
        <w:rPr>
          <w:rStyle w:val="32"/>
          <w:rFonts w:ascii="Times New Roman"/>
          <w14:scene3d w14:prst="orthographicFront">
            <w14:lightRig w14:rig="threePt" w14:dir="t">
              <w14:rot w14:lat="0" w14:lon="0" w14:rev="0"/>
            </w14:lightRig>
          </w14:scene3d>
        </w:rPr>
        <w:t>8.3</w:t>
      </w:r>
      <w:r>
        <w:rPr>
          <w:rStyle w:val="32"/>
          <w:rFonts w:ascii="Times New Roman"/>
        </w:rPr>
        <w:t xml:space="preserve"> 应急准备</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_Toc228364138 \h </w:instrText>
      </w:r>
      <w:r>
        <w:rPr>
          <w:rFonts w:ascii="Times New Roman" w:hAnsi="Times New Roman"/>
        </w:rPr>
        <w:fldChar w:fldCharType="separate"/>
      </w:r>
      <w:r>
        <w:rPr>
          <w:rFonts w:ascii="Times New Roman" w:hAnsi="Times New Roman"/>
        </w:rPr>
        <w:t>4</w:t>
      </w:r>
      <w:r>
        <w:rPr>
          <w:rFonts w:ascii="Times New Roman" w:hAnsi="Times New Roman"/>
        </w:rPr>
        <w:fldChar w:fldCharType="end"/>
      </w:r>
      <w:r>
        <w:rPr>
          <w:rFonts w:ascii="Times New Roman" w:hAnsi="Times New Roman"/>
        </w:rPr>
        <w:fldChar w:fldCharType="end"/>
      </w:r>
    </w:p>
    <w:p w14:paraId="3EDCF700">
      <w:pPr>
        <w:pStyle w:val="19"/>
        <w:tabs>
          <w:tab w:val="right" w:leader="dot" w:pos="9344"/>
        </w:tabs>
        <w:rPr>
          <w:rFonts w:ascii="Times New Roman" w:hAnsi="Times New Roman" w:eastAsiaTheme="minorEastAsia"/>
          <w:sz w:val="22"/>
          <w:szCs w:val="24"/>
          <w14:ligatures w14:val="standardContextual"/>
        </w:rPr>
      </w:pPr>
      <w:r>
        <w:fldChar w:fldCharType="begin"/>
      </w:r>
      <w:r>
        <w:instrText xml:space="preserve"> HYPERLINK \l "_Toc228364139" </w:instrText>
      </w:r>
      <w:r>
        <w:fldChar w:fldCharType="separate"/>
      </w:r>
      <w:r>
        <w:rPr>
          <w:rStyle w:val="32"/>
          <w:rFonts w:ascii="Times New Roman"/>
        </w:rPr>
        <w:t>9 无害化处理</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_Toc228364139 \h </w:instrText>
      </w:r>
      <w:r>
        <w:rPr>
          <w:rFonts w:ascii="Times New Roman" w:hAnsi="Times New Roman"/>
        </w:rPr>
        <w:fldChar w:fldCharType="separate"/>
      </w:r>
      <w:r>
        <w:rPr>
          <w:rFonts w:ascii="Times New Roman" w:hAnsi="Times New Roman"/>
        </w:rPr>
        <w:t>4</w:t>
      </w:r>
      <w:r>
        <w:rPr>
          <w:rFonts w:ascii="Times New Roman" w:hAnsi="Times New Roman"/>
        </w:rPr>
        <w:fldChar w:fldCharType="end"/>
      </w:r>
      <w:r>
        <w:rPr>
          <w:rFonts w:ascii="Times New Roman" w:hAnsi="Times New Roman"/>
        </w:rPr>
        <w:fldChar w:fldCharType="end"/>
      </w:r>
    </w:p>
    <w:p w14:paraId="3DFC9D4E">
      <w:pPr>
        <w:pStyle w:val="19"/>
        <w:tabs>
          <w:tab w:val="right" w:leader="dot" w:pos="9344"/>
        </w:tabs>
        <w:rPr>
          <w:rFonts w:ascii="Times New Roman" w:hAnsi="Times New Roman" w:eastAsiaTheme="minorEastAsia"/>
          <w:sz w:val="22"/>
          <w:szCs w:val="24"/>
          <w14:ligatures w14:val="standardContextual"/>
        </w:rPr>
      </w:pPr>
      <w:r>
        <w:fldChar w:fldCharType="begin"/>
      </w:r>
      <w:r>
        <w:instrText xml:space="preserve"> HYPERLINK \l "_Toc228364143" </w:instrText>
      </w:r>
      <w:r>
        <w:fldChar w:fldCharType="separate"/>
      </w:r>
      <w:r>
        <w:rPr>
          <w:rStyle w:val="32"/>
          <w:rFonts w:ascii="Times New Roman"/>
        </w:rPr>
        <w:t>10 档案管理</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_Toc228364143 \h </w:instrText>
      </w:r>
      <w:r>
        <w:rPr>
          <w:rFonts w:ascii="Times New Roman" w:hAnsi="Times New Roman"/>
        </w:rPr>
        <w:fldChar w:fldCharType="separate"/>
      </w:r>
      <w:r>
        <w:rPr>
          <w:rFonts w:ascii="Times New Roman" w:hAnsi="Times New Roman"/>
        </w:rPr>
        <w:t>4</w:t>
      </w:r>
      <w:r>
        <w:rPr>
          <w:rFonts w:ascii="Times New Roman" w:hAnsi="Times New Roman"/>
        </w:rPr>
        <w:fldChar w:fldCharType="end"/>
      </w:r>
      <w:r>
        <w:rPr>
          <w:rFonts w:ascii="Times New Roman" w:hAnsi="Times New Roman"/>
        </w:rPr>
        <w:fldChar w:fldCharType="end"/>
      </w:r>
    </w:p>
    <w:p w14:paraId="1F2B9F2A">
      <w:pPr>
        <w:pStyle w:val="19"/>
        <w:tabs>
          <w:tab w:val="right" w:leader="dot" w:pos="9344"/>
        </w:tabs>
        <w:rPr>
          <w:rFonts w:ascii="Times New Roman" w:hAnsi="Times New Roman" w:eastAsiaTheme="minorEastAsia"/>
          <w:sz w:val="22"/>
          <w:szCs w:val="24"/>
          <w14:ligatures w14:val="standardContextual"/>
        </w:rPr>
      </w:pPr>
      <w:r>
        <w:fldChar w:fldCharType="begin"/>
      </w:r>
      <w:r>
        <w:instrText xml:space="preserve"> HYPERLINK \l "_Toc228364147" </w:instrText>
      </w:r>
      <w:r>
        <w:fldChar w:fldCharType="separate"/>
      </w:r>
      <w:r>
        <w:rPr>
          <w:rStyle w:val="32"/>
          <w:rFonts w:ascii="Times New Roman"/>
        </w:rPr>
        <w:t>附录A</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_Toc228364147 \h </w:instrText>
      </w:r>
      <w:r>
        <w:rPr>
          <w:rFonts w:ascii="Times New Roman" w:hAnsi="Times New Roman"/>
        </w:rPr>
        <w:fldChar w:fldCharType="separate"/>
      </w:r>
      <w:r>
        <w:rPr>
          <w:rFonts w:ascii="Times New Roman" w:hAnsi="Times New Roman"/>
        </w:rPr>
        <w:t>5</w:t>
      </w:r>
      <w:r>
        <w:rPr>
          <w:rFonts w:ascii="Times New Roman" w:hAnsi="Times New Roman"/>
        </w:rPr>
        <w:fldChar w:fldCharType="end"/>
      </w:r>
      <w:r>
        <w:rPr>
          <w:rFonts w:ascii="Times New Roman" w:hAnsi="Times New Roman"/>
        </w:rPr>
        <w:fldChar w:fldCharType="end"/>
      </w:r>
    </w:p>
    <w:p w14:paraId="6785E253">
      <w:pPr>
        <w:pStyle w:val="19"/>
        <w:tabs>
          <w:tab w:val="right" w:leader="dot" w:pos="9344"/>
        </w:tabs>
        <w:rPr>
          <w:rFonts w:ascii="Times New Roman" w:hAnsi="Times New Roman" w:eastAsiaTheme="minorEastAsia"/>
          <w:sz w:val="22"/>
          <w:szCs w:val="24"/>
          <w14:ligatures w14:val="standardContextual"/>
        </w:rPr>
      </w:pPr>
      <w:r>
        <w:fldChar w:fldCharType="begin"/>
      </w:r>
      <w:r>
        <w:instrText xml:space="preserve"> HYPERLINK \l "_Toc228364148" </w:instrText>
      </w:r>
      <w:r>
        <w:fldChar w:fldCharType="separate"/>
      </w:r>
      <w:r>
        <w:rPr>
          <w:rStyle w:val="32"/>
          <w:rFonts w:ascii="Times New Roman"/>
        </w:rPr>
        <w:t>附录B</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_Toc228364148 \h </w:instrText>
      </w:r>
      <w:r>
        <w:rPr>
          <w:rFonts w:ascii="Times New Roman" w:hAnsi="Times New Roman"/>
        </w:rPr>
        <w:fldChar w:fldCharType="separate"/>
      </w:r>
      <w:r>
        <w:rPr>
          <w:rFonts w:ascii="Times New Roman" w:hAnsi="Times New Roman"/>
        </w:rPr>
        <w:t>6</w:t>
      </w:r>
      <w:r>
        <w:rPr>
          <w:rFonts w:ascii="Times New Roman" w:hAnsi="Times New Roman"/>
        </w:rPr>
        <w:fldChar w:fldCharType="end"/>
      </w:r>
      <w:r>
        <w:rPr>
          <w:rFonts w:ascii="Times New Roman" w:hAnsi="Times New Roman"/>
        </w:rPr>
        <w:fldChar w:fldCharType="end"/>
      </w:r>
    </w:p>
    <w:p w14:paraId="164882B7">
      <w:pPr>
        <w:pStyle w:val="91"/>
        <w:spacing w:after="360"/>
        <w:rPr>
          <w:rFonts w:ascii="Times New Roman" w:hAnsi="Times New Roman"/>
        </w:rPr>
        <w:sectPr>
          <w:headerReference r:id="rId9" w:type="default"/>
          <w:footerReference r:id="rId11" w:type="default"/>
          <w:headerReference r:id="rId10" w:type="even"/>
          <w:footerReference r:id="rId12" w:type="even"/>
          <w:pgSz w:w="11906" w:h="16838"/>
          <w:pgMar w:top="1928" w:right="1134" w:bottom="1134" w:left="1134" w:header="1418" w:footer="1134" w:gutter="284"/>
          <w:pgNumType w:fmt="upperRoman" w:start="1"/>
          <w:cols w:space="425" w:num="1"/>
          <w:formProt w:val="0"/>
          <w:docGrid w:linePitch="312" w:charSpace="0"/>
        </w:sectPr>
      </w:pPr>
      <w:r>
        <w:rPr>
          <w:rFonts w:ascii="Times New Roman" w:hAnsi="Times New Roman"/>
        </w:rPr>
        <w:fldChar w:fldCharType="end"/>
      </w:r>
    </w:p>
    <w:bookmarkEnd w:id="19"/>
    <w:p w14:paraId="76CB63EB">
      <w:pPr>
        <w:pStyle w:val="89"/>
        <w:spacing w:before="900" w:after="360"/>
        <w:rPr>
          <w:rFonts w:ascii="Times New Roman"/>
        </w:rPr>
      </w:pPr>
      <w:bookmarkStart w:id="21" w:name="_Toc228364114"/>
      <w:bookmarkStart w:id="22" w:name="BookMark2"/>
      <w:r>
        <w:rPr>
          <w:rFonts w:ascii="Times New Roman"/>
          <w:spacing w:val="320"/>
        </w:rPr>
        <w:t>前</w:t>
      </w:r>
      <w:r>
        <w:rPr>
          <w:rFonts w:ascii="Times New Roman"/>
        </w:rPr>
        <w:t>言</w:t>
      </w:r>
      <w:bookmarkEnd w:id="20"/>
      <w:bookmarkEnd w:id="21"/>
    </w:p>
    <w:p w14:paraId="73C52C79">
      <w:pPr>
        <w:pStyle w:val="56"/>
        <w:ind w:firstLine="420"/>
        <w:rPr>
          <w:rFonts w:ascii="Times New Roman"/>
        </w:rPr>
      </w:pPr>
      <w:r>
        <w:rPr>
          <w:rFonts w:ascii="Times New Roman"/>
        </w:rPr>
        <w:t>本文件按照GB/T 1.1—2020《标准化工作导则  第1部分：标准化文件的结构和起草规则》的规定起草。</w:t>
      </w:r>
    </w:p>
    <w:p w14:paraId="7E8380A0">
      <w:pPr>
        <w:pStyle w:val="56"/>
        <w:ind w:firstLine="420"/>
        <w:rPr>
          <w:rFonts w:ascii="Times New Roman"/>
        </w:rPr>
      </w:pPr>
      <w:r>
        <w:rPr>
          <w:rFonts w:ascii="Times New Roman"/>
        </w:rPr>
        <w:t>请注意本文件的某些内容可能涉及专利。本文件的发布机构不承担识别专利的责任。</w:t>
      </w:r>
    </w:p>
    <w:p w14:paraId="15EA8558">
      <w:pPr>
        <w:pStyle w:val="56"/>
        <w:ind w:firstLine="420"/>
        <w:rPr>
          <w:rFonts w:ascii="Times New Roman"/>
        </w:rPr>
      </w:pPr>
      <w:r>
        <w:rPr>
          <w:rFonts w:ascii="Times New Roman"/>
        </w:rPr>
        <w:t>本文件由</w:t>
      </w:r>
      <w:r>
        <w:rPr>
          <w:rFonts w:ascii="Times New Roman"/>
          <w:szCs w:val="21"/>
        </w:rPr>
        <w:t>中国农业科学院兰州兽医研究所</w:t>
      </w:r>
      <w:r>
        <w:rPr>
          <w:rFonts w:ascii="Times New Roman"/>
        </w:rPr>
        <w:t>提出。</w:t>
      </w:r>
    </w:p>
    <w:p w14:paraId="610A4753">
      <w:pPr>
        <w:pStyle w:val="56"/>
        <w:ind w:firstLine="420"/>
        <w:rPr>
          <w:rFonts w:ascii="Times New Roman"/>
        </w:rPr>
      </w:pPr>
      <w:r>
        <w:rPr>
          <w:rFonts w:ascii="Times New Roman"/>
        </w:rPr>
        <w:t>本文件由</w:t>
      </w:r>
      <w:r>
        <w:rPr>
          <w:rFonts w:ascii="Times New Roman"/>
          <w:color w:val="000000"/>
          <w:sz w:val="22"/>
          <w:szCs w:val="24"/>
        </w:rPr>
        <w:t>甘肃省质量标准协会</w:t>
      </w:r>
      <w:r>
        <w:rPr>
          <w:rFonts w:hint="eastAsia" w:ascii="Times New Roman"/>
          <w:color w:val="000000"/>
          <w:sz w:val="22"/>
          <w:szCs w:val="24"/>
        </w:rPr>
        <w:t>（</w:t>
      </w:r>
      <w:r>
        <w:rPr>
          <w:rFonts w:ascii="Times New Roman"/>
        </w:rPr>
        <w:t>GSQA</w:t>
      </w:r>
      <w:r>
        <w:rPr>
          <w:rFonts w:hint="eastAsia" w:ascii="Times New Roman"/>
          <w:color w:val="000000"/>
          <w:sz w:val="22"/>
          <w:szCs w:val="24"/>
        </w:rPr>
        <w:t>）</w:t>
      </w:r>
      <w:r>
        <w:rPr>
          <w:rFonts w:ascii="Times New Roman"/>
        </w:rPr>
        <w:t>归口。</w:t>
      </w:r>
    </w:p>
    <w:p w14:paraId="625F2A7E">
      <w:pPr>
        <w:pStyle w:val="56"/>
        <w:ind w:firstLine="420"/>
        <w:rPr>
          <w:rFonts w:ascii="Times New Roman"/>
        </w:rPr>
      </w:pPr>
      <w:r>
        <w:rPr>
          <w:rFonts w:ascii="Times New Roman"/>
        </w:rPr>
        <w:t>本文件起草单位：</w:t>
      </w:r>
      <w:bookmarkStart w:id="23" w:name="OLE_LINK34"/>
      <w:r>
        <w:rPr>
          <w:rFonts w:ascii="Times New Roman"/>
          <w:szCs w:val="21"/>
        </w:rPr>
        <w:t>中国农业科学院兰州兽医研究所</w:t>
      </w:r>
      <w:bookmarkEnd w:id="23"/>
      <w:r>
        <w:rPr>
          <w:rFonts w:ascii="Times New Roman"/>
          <w:szCs w:val="21"/>
        </w:rPr>
        <w:t>、中国农业科学院兰州畜牧与兽药研究所、张家川回族自治县畜牧兽医事务服务中心，张家川畜牧技术推广站。</w:t>
      </w:r>
    </w:p>
    <w:p w14:paraId="77EE20D3">
      <w:pPr>
        <w:pStyle w:val="56"/>
        <w:ind w:firstLine="420"/>
        <w:rPr>
          <w:rFonts w:ascii="Times New Roman"/>
        </w:rPr>
      </w:pPr>
      <w:r>
        <w:rPr>
          <w:rFonts w:ascii="Times New Roman"/>
        </w:rPr>
        <w:t>本文件主要起草人：</w:t>
      </w:r>
      <w:bookmarkStart w:id="24" w:name="OLE_LINK2"/>
      <w:r>
        <w:rPr>
          <w:rFonts w:ascii="Times New Roman"/>
          <w:szCs w:val="21"/>
        </w:rPr>
        <w:t>张少华、杨来康、王帅、梁春年、杨孝君、贠秀君、喇永福、马晓明、马利军、马艳萍。</w:t>
      </w:r>
      <w:bookmarkEnd w:id="24"/>
    </w:p>
    <w:p w14:paraId="7256FEC1">
      <w:pPr>
        <w:widowControl/>
        <w:adjustRightInd/>
        <w:spacing w:line="240" w:lineRule="auto"/>
        <w:jc w:val="left"/>
        <w:rPr>
          <w:rFonts w:ascii="Times New Roman" w:hAnsi="Times New Roman"/>
          <w:kern w:val="0"/>
          <w:szCs w:val="20"/>
        </w:rPr>
      </w:pPr>
      <w:r>
        <w:rPr>
          <w:rFonts w:ascii="Times New Roman"/>
        </w:rPr>
        <w:br w:type="page"/>
      </w:r>
    </w:p>
    <w:p w14:paraId="5138B3CB">
      <w:pPr>
        <w:pStyle w:val="56"/>
        <w:ind w:firstLine="420"/>
        <w:rPr>
          <w:rFonts w:ascii="Times New Roman"/>
        </w:rPr>
        <w:sectPr>
          <w:headerReference r:id="rId13" w:type="default"/>
          <w:footerReference r:id="rId15" w:type="default"/>
          <w:headerReference r:id="rId14" w:type="even"/>
          <w:footerReference r:id="rId16" w:type="even"/>
          <w:pgSz w:w="11906" w:h="16838"/>
          <w:pgMar w:top="1928" w:right="1134" w:bottom="1134" w:left="1134" w:header="1418" w:footer="1134" w:gutter="284"/>
          <w:pgNumType w:fmt="upperRoman"/>
          <w:cols w:space="425" w:num="1"/>
          <w:formProt w:val="0"/>
          <w:docGrid w:linePitch="312" w:charSpace="0"/>
        </w:sectPr>
      </w:pPr>
    </w:p>
    <w:bookmarkEnd w:id="22"/>
    <w:p w14:paraId="0E7816F8">
      <w:pPr>
        <w:spacing w:line="20" w:lineRule="exact"/>
        <w:jc w:val="center"/>
        <w:rPr>
          <w:rFonts w:ascii="Times New Roman" w:hAnsi="Times New Roman" w:eastAsia="黑体"/>
          <w:sz w:val="32"/>
          <w:szCs w:val="32"/>
        </w:rPr>
      </w:pPr>
      <w:bookmarkStart w:id="25" w:name="BookMark4"/>
    </w:p>
    <w:p w14:paraId="3015EE74">
      <w:pPr>
        <w:spacing w:line="20" w:lineRule="exact"/>
        <w:jc w:val="center"/>
        <w:rPr>
          <w:rFonts w:ascii="Times New Roman" w:hAnsi="Times New Roman" w:eastAsia="黑体"/>
          <w:sz w:val="32"/>
          <w:szCs w:val="32"/>
        </w:rPr>
      </w:pPr>
    </w:p>
    <w:sdt>
      <w:sdtPr>
        <w:rPr>
          <w:rFonts w:ascii="Times New Roman" w:hAnsi="Times New Roman"/>
        </w:rPr>
        <w:tag w:val="NEW_STAND_NAME"/>
        <w:id w:val="595910757"/>
        <w:lock w:val="sdtLocked"/>
        <w:placeholder>
          <w:docPart w:val="40BAD1D096DA435C958A3CC3CE42E1DA"/>
        </w:placeholder>
      </w:sdtPr>
      <w:sdtEndPr>
        <w:rPr>
          <w:rFonts w:ascii="Times New Roman" w:hAnsi="Times New Roman"/>
        </w:rPr>
      </w:sdtEndPr>
      <w:sdtContent>
        <w:sdt>
          <w:sdtPr>
            <w:rPr>
              <w:rFonts w:ascii="Times New Roman" w:hAnsi="Times New Roman"/>
            </w:rPr>
            <w:tag w:val="NEW_STAND_NAME"/>
            <w:id w:val="147481699"/>
            <w:placeholder>
              <w:docPart w:val="{05406fd7-7886-449a-ae4e-1367aeab00b4}"/>
            </w:placeholder>
          </w:sdtPr>
          <w:sdtEndPr>
            <w:rPr>
              <w:rFonts w:ascii="Times New Roman" w:hAnsi="Times New Roman"/>
            </w:rPr>
          </w:sdtEndPr>
          <w:sdtContent>
            <w:sdt>
              <w:sdtPr>
                <w:rPr>
                  <w:rFonts w:ascii="Times New Roman" w:hAnsi="Times New Roman"/>
                </w:rPr>
                <w:tag w:val="NEW_STAND_NAME"/>
                <w:id w:val="-1339842834"/>
                <w:placeholder>
                  <w:docPart w:val="A28390A900F84577BD470EFEC13C9B7D"/>
                </w:placeholder>
              </w:sdtPr>
              <w:sdtEndPr>
                <w:rPr>
                  <w:rFonts w:ascii="Times New Roman" w:hAnsi="Times New Roman"/>
                </w:rPr>
              </w:sdtEndPr>
              <w:sdtContent>
                <w:p w14:paraId="5469A11F">
                  <w:pPr>
                    <w:pStyle w:val="177"/>
                    <w:rPr>
                      <w:rFonts w:ascii="Times New Roman" w:hAnsi="Times New Roman"/>
                    </w:rPr>
                  </w:pPr>
                  <w:bookmarkStart w:id="26" w:name="NEW_STAND_NAME"/>
                  <w:r>
                    <w:rPr>
                      <w:rFonts w:ascii="Times New Roman" w:hAnsi="Times New Roman"/>
                    </w:rPr>
                    <w:t>张家川红花</w:t>
                  </w:r>
                  <w:bookmarkStart w:id="27" w:name="OLE_LINK52"/>
                  <w:bookmarkStart w:id="28" w:name="OLE_LINK57"/>
                  <w:r>
                    <w:rPr>
                      <w:rFonts w:ascii="Times New Roman" w:hAnsi="Times New Roman"/>
                    </w:rPr>
                    <w:t>牛卫生管理与疫病预防技术规程</w:t>
                  </w:r>
                </w:p>
              </w:sdtContent>
            </w:sdt>
          </w:sdtContent>
        </w:sdt>
      </w:sdtContent>
    </w:sdt>
    <w:bookmarkEnd w:id="26"/>
    <w:bookmarkEnd w:id="27"/>
    <w:bookmarkEnd w:id="28"/>
    <w:p w14:paraId="7356F8F3">
      <w:pPr>
        <w:pStyle w:val="104"/>
        <w:spacing w:before="240" w:after="240"/>
        <w:rPr>
          <w:rFonts w:ascii="Times New Roman"/>
        </w:rPr>
      </w:pPr>
      <w:bookmarkStart w:id="29" w:name="_Toc26718930"/>
      <w:bookmarkStart w:id="30" w:name="_Toc24884218"/>
      <w:bookmarkStart w:id="31" w:name="_Toc26986771"/>
      <w:bookmarkStart w:id="32" w:name="_Toc97192964"/>
      <w:bookmarkStart w:id="33" w:name="_Toc228364115"/>
      <w:bookmarkStart w:id="34" w:name="_Toc17233325"/>
      <w:bookmarkStart w:id="35" w:name="_Toc26986530"/>
      <w:bookmarkStart w:id="36" w:name="_Toc17233333"/>
      <w:bookmarkStart w:id="37" w:name="_Toc150014766"/>
      <w:bookmarkStart w:id="38" w:name="_Toc26648465"/>
      <w:bookmarkStart w:id="39" w:name="_Toc24884211"/>
      <w:r>
        <w:rPr>
          <w:rFonts w:ascii="Times New Roman"/>
        </w:rPr>
        <w:t>范围</w:t>
      </w:r>
      <w:bookmarkEnd w:id="29"/>
      <w:bookmarkEnd w:id="30"/>
      <w:bookmarkEnd w:id="31"/>
      <w:bookmarkEnd w:id="32"/>
      <w:bookmarkEnd w:id="33"/>
      <w:bookmarkEnd w:id="34"/>
      <w:bookmarkEnd w:id="35"/>
      <w:bookmarkEnd w:id="36"/>
      <w:bookmarkEnd w:id="37"/>
      <w:bookmarkEnd w:id="38"/>
      <w:bookmarkEnd w:id="39"/>
    </w:p>
    <w:p w14:paraId="6A99888C">
      <w:pPr>
        <w:pStyle w:val="56"/>
        <w:ind w:firstLine="420"/>
        <w:rPr>
          <w:rFonts w:ascii="Times New Roman"/>
        </w:rPr>
      </w:pPr>
      <w:bookmarkStart w:id="40" w:name="_Toc17233334"/>
      <w:bookmarkStart w:id="41" w:name="_Toc24884219"/>
      <w:bookmarkStart w:id="42" w:name="_Toc17233326"/>
      <w:bookmarkStart w:id="43" w:name="_Toc24884212"/>
      <w:bookmarkStart w:id="44" w:name="_Toc26648466"/>
      <w:r>
        <w:rPr>
          <w:rFonts w:ascii="Times New Roman"/>
        </w:rPr>
        <w:t>本文件规定了张家川红花牛的养殖环境、日常卫生管理、消毒管理、疫病免疫与监测、疫病处置与应急管理、无害化处理、档案管理等技术要求。</w:t>
      </w:r>
    </w:p>
    <w:p w14:paraId="1F184FE2">
      <w:pPr>
        <w:pStyle w:val="56"/>
        <w:ind w:firstLine="420"/>
        <w:rPr>
          <w:rFonts w:ascii="Times New Roman"/>
        </w:rPr>
      </w:pPr>
      <w:r>
        <w:rPr>
          <w:rFonts w:ascii="Times New Roman"/>
        </w:rPr>
        <w:t>本文件适用于张家川县域内红花牛养殖主体的卫生及疫病管控工作。</w:t>
      </w:r>
    </w:p>
    <w:p w14:paraId="02BD4F99">
      <w:pPr>
        <w:pStyle w:val="104"/>
        <w:spacing w:before="240" w:after="240"/>
        <w:rPr>
          <w:rFonts w:ascii="Times New Roman"/>
        </w:rPr>
      </w:pPr>
      <w:bookmarkStart w:id="45" w:name="_Toc26986531"/>
      <w:bookmarkStart w:id="46" w:name="_Toc150014767"/>
      <w:bookmarkStart w:id="47" w:name="_Toc97192965"/>
      <w:bookmarkStart w:id="48" w:name="_Toc228364116"/>
      <w:bookmarkStart w:id="49" w:name="_Toc26718931"/>
      <w:bookmarkStart w:id="50" w:name="_Toc26986772"/>
      <w:r>
        <w:rPr>
          <w:rFonts w:ascii="Times New Roman"/>
        </w:rPr>
        <w:t>规范性引用文件</w:t>
      </w:r>
      <w:bookmarkEnd w:id="40"/>
      <w:bookmarkEnd w:id="41"/>
      <w:bookmarkEnd w:id="42"/>
      <w:bookmarkEnd w:id="43"/>
      <w:bookmarkEnd w:id="44"/>
      <w:bookmarkEnd w:id="45"/>
      <w:bookmarkEnd w:id="46"/>
      <w:bookmarkEnd w:id="47"/>
      <w:bookmarkEnd w:id="48"/>
      <w:bookmarkEnd w:id="49"/>
      <w:bookmarkEnd w:id="50"/>
    </w:p>
    <w:sdt>
      <w:sdtPr>
        <w:rPr>
          <w:rFonts w:ascii="Times New Roman"/>
        </w:rPr>
        <w:id w:val="715848253"/>
        <w:placeholder>
          <w:docPart w:val="5FE49046297C4A68A6C5EFDE3F027740"/>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ascii="Times New Roman"/>
        </w:rPr>
      </w:sdtEndPr>
      <w:sdtContent>
        <w:p w14:paraId="33A3406D">
          <w:pPr>
            <w:pStyle w:val="56"/>
            <w:ind w:firstLine="420"/>
            <w:rPr>
              <w:rFonts w:ascii="Times New Roman"/>
            </w:rPr>
          </w:pPr>
          <w:r>
            <w:rPr>
              <w:rFonts w:ascii="Times New Roman"/>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18EB7702">
      <w:pPr>
        <w:pStyle w:val="230"/>
        <w:rPr>
          <w:rFonts w:ascii="Times New Roman"/>
        </w:rPr>
      </w:pPr>
      <w:bookmarkStart w:id="51" w:name="_Toc97192966"/>
      <w:bookmarkStart w:id="52" w:name="_Toc150014768"/>
      <w:r>
        <w:rPr>
          <w:rFonts w:ascii="Times New Roman"/>
        </w:rPr>
        <w:t>GB 5749生活饮用水卫生标准</w:t>
      </w:r>
    </w:p>
    <w:p w14:paraId="1C41574E">
      <w:pPr>
        <w:pStyle w:val="230"/>
        <w:rPr>
          <w:rFonts w:ascii="Times New Roman"/>
        </w:rPr>
      </w:pPr>
      <w:r>
        <w:rPr>
          <w:rFonts w:ascii="Times New Roman"/>
        </w:rPr>
        <w:t>GB 13078饲料卫生标准</w:t>
      </w:r>
      <w:bookmarkStart w:id="138" w:name="_GoBack"/>
      <w:bookmarkEnd w:id="138"/>
    </w:p>
    <w:p w14:paraId="11BEFB12">
      <w:pPr>
        <w:pStyle w:val="230"/>
        <w:rPr>
          <w:rFonts w:ascii="Times New Roman"/>
        </w:rPr>
      </w:pPr>
      <w:r>
        <w:rPr>
          <w:rFonts w:ascii="Times New Roman"/>
        </w:rPr>
        <w:t>GB/T 36195畜禽粪便无害化处理技术规范</w:t>
      </w:r>
    </w:p>
    <w:p w14:paraId="66B289B3">
      <w:pPr>
        <w:pStyle w:val="230"/>
        <w:rPr>
          <w:rFonts w:ascii="Times New Roman"/>
        </w:rPr>
      </w:pPr>
      <w:r>
        <w:rPr>
          <w:rFonts w:ascii="Times New Roman"/>
        </w:rPr>
        <w:t>NY/T 388畜禽场环境质量标准</w:t>
      </w:r>
      <w:r>
        <w:rPr>
          <w:rFonts w:ascii="Times New Roman"/>
        </w:rPr>
        <w:tab/>
      </w:r>
    </w:p>
    <w:p w14:paraId="6A597FA7">
      <w:pPr>
        <w:pStyle w:val="230"/>
        <w:rPr>
          <w:rFonts w:ascii="Times New Roman"/>
        </w:rPr>
      </w:pPr>
      <w:r>
        <w:rPr>
          <w:rFonts w:ascii="Times New Roman"/>
        </w:rPr>
        <w:t>NY/T 1168畜禽粪便</w:t>
      </w:r>
      <w:bookmarkStart w:id="53" w:name="OLE_LINK63"/>
      <w:bookmarkStart w:id="54" w:name="OLE_LINK64"/>
      <w:r>
        <w:rPr>
          <w:rFonts w:ascii="Times New Roman"/>
        </w:rPr>
        <w:t>无害化处理</w:t>
      </w:r>
      <w:bookmarkEnd w:id="53"/>
      <w:bookmarkEnd w:id="54"/>
      <w:r>
        <w:rPr>
          <w:rFonts w:ascii="Times New Roman"/>
        </w:rPr>
        <w:t>技术规范</w:t>
      </w:r>
    </w:p>
    <w:p w14:paraId="06830B87">
      <w:pPr>
        <w:pStyle w:val="230"/>
        <w:rPr>
          <w:rFonts w:ascii="Times New Roman"/>
        </w:rPr>
      </w:pPr>
      <w:r>
        <w:rPr>
          <w:rFonts w:ascii="Times New Roman"/>
        </w:rPr>
        <w:t>NY/T 2663标准化养殖场肉牛</w:t>
      </w:r>
    </w:p>
    <w:p w14:paraId="6C5DF60F">
      <w:pPr>
        <w:pStyle w:val="230"/>
        <w:rPr>
          <w:rFonts w:ascii="Times New Roman"/>
        </w:rPr>
      </w:pPr>
      <w:r>
        <w:rPr>
          <w:rFonts w:ascii="Times New Roman"/>
        </w:rPr>
        <w:t>NY/T 3075畜禽养殖场消毒技术</w:t>
      </w:r>
    </w:p>
    <w:p w14:paraId="6BB58A3E">
      <w:pPr>
        <w:pStyle w:val="230"/>
        <w:rPr>
          <w:rFonts w:ascii="Times New Roman"/>
        </w:rPr>
      </w:pPr>
      <w:r>
        <w:rPr>
          <w:rFonts w:ascii="Times New Roman"/>
        </w:rPr>
        <w:t>NY/T 5030无公害农产品兽药使用准则</w:t>
      </w:r>
    </w:p>
    <w:p w14:paraId="2E8562D6">
      <w:pPr>
        <w:pStyle w:val="230"/>
        <w:rPr>
          <w:rFonts w:ascii="Times New Roman"/>
        </w:rPr>
      </w:pPr>
      <w:bookmarkStart w:id="55" w:name="OLE_LINK56"/>
      <w:bookmarkStart w:id="56" w:name="OLE_LINK39"/>
      <w:r>
        <w:rPr>
          <w:rFonts w:ascii="Times New Roman"/>
        </w:rPr>
        <w:t>DB62/T 4424</w:t>
      </w:r>
      <w:bookmarkEnd w:id="55"/>
      <w:bookmarkEnd w:id="56"/>
      <w:r>
        <w:rPr>
          <w:rFonts w:ascii="Times New Roman"/>
        </w:rPr>
        <w:t>绿色食品  肉牛饲养技术规程</w:t>
      </w:r>
    </w:p>
    <w:p w14:paraId="4E2D7E63">
      <w:pPr>
        <w:pStyle w:val="230"/>
        <w:rPr>
          <w:rFonts w:ascii="Times New Roman"/>
        </w:rPr>
      </w:pPr>
      <w:r>
        <w:rPr>
          <w:rFonts w:ascii="Times New Roman"/>
        </w:rPr>
        <w:t>《中华人民共和国动物防疫法》</w:t>
      </w:r>
    </w:p>
    <w:p w14:paraId="42568337">
      <w:pPr>
        <w:pStyle w:val="230"/>
        <w:rPr>
          <w:rFonts w:ascii="Times New Roman"/>
        </w:rPr>
      </w:pPr>
      <w:r>
        <w:rPr>
          <w:rFonts w:ascii="Times New Roman"/>
        </w:rPr>
        <w:t>《</w:t>
      </w:r>
      <w:bookmarkStart w:id="57" w:name="OLE_LINK88"/>
      <w:bookmarkStart w:id="58" w:name="OLE_LINK89"/>
      <w:r>
        <w:rPr>
          <w:rFonts w:ascii="Times New Roman"/>
        </w:rPr>
        <w:t>病死及病害动物无害化处理技术规范</w:t>
      </w:r>
      <w:bookmarkEnd w:id="57"/>
      <w:bookmarkEnd w:id="58"/>
      <w:r>
        <w:rPr>
          <w:rFonts w:ascii="Times New Roman"/>
        </w:rPr>
        <w:t>》</w:t>
      </w:r>
    </w:p>
    <w:p w14:paraId="0BF4BA5D">
      <w:pPr>
        <w:pStyle w:val="230"/>
        <w:rPr>
          <w:rFonts w:ascii="Times New Roman"/>
        </w:rPr>
      </w:pPr>
      <w:bookmarkStart w:id="59" w:name="OLE_LINK60"/>
      <w:bookmarkStart w:id="60" w:name="OLE_LINK115"/>
      <w:bookmarkStart w:id="61" w:name="OLE_LINK61"/>
      <w:r>
        <w:rPr>
          <w:rFonts w:ascii="Times New Roman"/>
        </w:rPr>
        <w:t>《口蹄疫防治技术规范》</w:t>
      </w:r>
    </w:p>
    <w:bookmarkEnd w:id="59"/>
    <w:bookmarkEnd w:id="60"/>
    <w:bookmarkEnd w:id="61"/>
    <w:p w14:paraId="469E2C0B">
      <w:pPr>
        <w:pStyle w:val="104"/>
        <w:spacing w:before="240" w:after="240"/>
        <w:rPr>
          <w:rFonts w:ascii="Times New Roman"/>
        </w:rPr>
      </w:pPr>
      <w:bookmarkStart w:id="62" w:name="_Toc228364117"/>
      <w:r>
        <w:rPr>
          <w:rFonts w:ascii="Times New Roman"/>
        </w:rPr>
        <w:t>术语和定义</w:t>
      </w:r>
      <w:bookmarkEnd w:id="51"/>
      <w:bookmarkEnd w:id="52"/>
      <w:bookmarkEnd w:id="62"/>
    </w:p>
    <w:sdt>
      <w:sdtPr>
        <w:rPr>
          <w:rFonts w:ascii="Times New Roman" w:eastAsia="宋体"/>
          <w:sz w:val="21"/>
        </w:rPr>
        <w:id w:val="-1909835108"/>
        <w:placeholder>
          <w:docPart w:val="5255B3974976434385378247D896D7C3"/>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ascii="Times New Roman" w:eastAsia="宋体"/>
          <w:sz w:val="21"/>
        </w:rPr>
      </w:sdtEndPr>
      <w:sdtContent>
        <w:p w14:paraId="3D0C8CEB">
          <w:pPr>
            <w:pStyle w:val="152"/>
            <w:spacing w:before="240" w:beforeLines="100" w:after="240" w:afterLines="100"/>
            <w:ind w:firstLine="420" w:firstLineChars="200"/>
            <w:jc w:val="left"/>
            <w:rPr>
              <w:rFonts w:ascii="Times New Roman" w:eastAsia="宋体"/>
              <w:sz w:val="21"/>
            </w:rPr>
          </w:pPr>
          <w:bookmarkStart w:id="63" w:name="_Toc228364118"/>
          <w:bookmarkStart w:id="64" w:name="_Toc228362608"/>
          <w:r>
            <w:rPr>
              <w:rFonts w:ascii="Times New Roman" w:eastAsia="宋体"/>
              <w:sz w:val="21"/>
            </w:rPr>
            <w:t>下列术语和定义适用于本文件。</w:t>
          </w:r>
        </w:p>
      </w:sdtContent>
    </w:sdt>
    <w:bookmarkEnd w:id="63"/>
    <w:bookmarkEnd w:id="64"/>
    <w:p w14:paraId="2586F4EE">
      <w:pPr>
        <w:pStyle w:val="105"/>
        <w:numPr>
          <w:ilvl w:val="2"/>
          <w:numId w:val="0"/>
        </w:numPr>
        <w:spacing w:before="120" w:after="120"/>
        <w:rPr>
          <w:rFonts w:hAnsi="黑体"/>
        </w:rPr>
      </w:pPr>
      <w:r>
        <w:rPr>
          <w:rFonts w:hAnsi="黑体"/>
        </w:rPr>
        <w:t>3.1　</w:t>
      </w:r>
    </w:p>
    <w:p w14:paraId="456F14F8">
      <w:pPr>
        <w:pStyle w:val="105"/>
        <w:numPr>
          <w:ilvl w:val="2"/>
          <w:numId w:val="0"/>
        </w:numPr>
        <w:spacing w:before="120" w:after="120"/>
        <w:ind w:firstLine="420" w:firstLineChars="200"/>
        <w:rPr>
          <w:rFonts w:ascii="Times New Roman"/>
        </w:rPr>
      </w:pPr>
      <w:r>
        <w:rPr>
          <w:rFonts w:ascii="Times New Roman"/>
        </w:rPr>
        <w:t>强制免疫mandatory vaccination</w:t>
      </w:r>
    </w:p>
    <w:p w14:paraId="51844503">
      <w:pPr>
        <w:pStyle w:val="56"/>
        <w:ind w:firstLine="420"/>
        <w:rPr>
          <w:rFonts w:ascii="Times New Roman"/>
        </w:rPr>
      </w:pPr>
      <w:r>
        <w:rPr>
          <w:rFonts w:ascii="Times New Roman"/>
        </w:rPr>
        <w:t>指按照国家及地方动物疫病防控要求，对规定的肉牛重大疫病必须实施的预防性疫苗接种，免疫密度需达到100%。</w:t>
      </w:r>
    </w:p>
    <w:p w14:paraId="5A58528A">
      <w:pPr>
        <w:pStyle w:val="105"/>
        <w:numPr>
          <w:ilvl w:val="2"/>
          <w:numId w:val="0"/>
        </w:numPr>
        <w:spacing w:before="120" w:after="120"/>
        <w:rPr>
          <w:rFonts w:hAnsi="黑体"/>
        </w:rPr>
      </w:pPr>
      <w:r>
        <w:rPr>
          <w:rFonts w:hAnsi="黑体"/>
        </w:rPr>
        <w:t>3.2　</w:t>
      </w:r>
    </w:p>
    <w:p w14:paraId="096358CB">
      <w:pPr>
        <w:pStyle w:val="105"/>
        <w:numPr>
          <w:ilvl w:val="2"/>
          <w:numId w:val="0"/>
        </w:numPr>
        <w:spacing w:before="120" w:after="120"/>
        <w:ind w:firstLine="420" w:firstLineChars="200"/>
        <w:rPr>
          <w:rFonts w:ascii="Times New Roman"/>
        </w:rPr>
      </w:pPr>
      <w:r>
        <w:rPr>
          <w:rFonts w:ascii="Times New Roman"/>
        </w:rPr>
        <w:t xml:space="preserve">无害化处理harmless disposal </w:t>
      </w:r>
    </w:p>
    <w:p w14:paraId="4352235C">
      <w:pPr>
        <w:pStyle w:val="56"/>
        <w:ind w:firstLine="420"/>
        <w:rPr>
          <w:rFonts w:ascii="Times New Roman"/>
        </w:rPr>
      </w:pPr>
      <w:r>
        <w:rPr>
          <w:rFonts w:ascii="Times New Roman"/>
        </w:rPr>
        <w:t>指采取物理、化学或生物学方法，如焚化、化制、掩埋等，对病害动物及其附属产品进行安全处理，以彻底杀灭病原体的过程。</w:t>
      </w:r>
    </w:p>
    <w:p w14:paraId="4123626E">
      <w:pPr>
        <w:pStyle w:val="235"/>
        <w:widowControl/>
        <w:numPr>
          <w:ilvl w:val="1"/>
          <w:numId w:val="32"/>
        </w:numPr>
        <w:adjustRightInd/>
        <w:spacing w:before="240" w:beforeLines="100" w:after="240" w:afterLines="100" w:line="240" w:lineRule="auto"/>
        <w:ind w:firstLineChars="0"/>
        <w:outlineLvl w:val="0"/>
        <w:rPr>
          <w:rFonts w:ascii="Times New Roman" w:hAnsi="Times New Roman" w:eastAsia="黑体"/>
          <w:vanish/>
          <w:kern w:val="0"/>
          <w:szCs w:val="20"/>
        </w:rPr>
      </w:pPr>
      <w:bookmarkStart w:id="65" w:name="_Toc26986532"/>
      <w:bookmarkEnd w:id="65"/>
      <w:bookmarkStart w:id="66" w:name="_Toc149582223"/>
      <w:bookmarkStart w:id="67" w:name="_Toc150014769"/>
      <w:bookmarkStart w:id="68" w:name="_Toc149581287"/>
    </w:p>
    <w:p w14:paraId="0583DFEB">
      <w:pPr>
        <w:pStyle w:val="235"/>
        <w:widowControl/>
        <w:numPr>
          <w:ilvl w:val="1"/>
          <w:numId w:val="32"/>
        </w:numPr>
        <w:adjustRightInd/>
        <w:spacing w:before="240" w:beforeLines="100" w:after="240" w:afterLines="100" w:line="240" w:lineRule="auto"/>
        <w:ind w:firstLineChars="0"/>
        <w:outlineLvl w:val="0"/>
        <w:rPr>
          <w:rFonts w:ascii="Times New Roman" w:hAnsi="Times New Roman" w:eastAsia="黑体"/>
          <w:vanish/>
          <w:kern w:val="0"/>
          <w:szCs w:val="20"/>
        </w:rPr>
      </w:pPr>
    </w:p>
    <w:p w14:paraId="2F31F890">
      <w:pPr>
        <w:pStyle w:val="235"/>
        <w:widowControl/>
        <w:numPr>
          <w:ilvl w:val="1"/>
          <w:numId w:val="32"/>
        </w:numPr>
        <w:adjustRightInd/>
        <w:spacing w:before="240" w:beforeLines="100" w:after="240" w:afterLines="100" w:line="240" w:lineRule="auto"/>
        <w:ind w:firstLineChars="0"/>
        <w:outlineLvl w:val="0"/>
        <w:rPr>
          <w:rFonts w:ascii="Times New Roman" w:hAnsi="Times New Roman" w:eastAsia="黑体"/>
          <w:vanish/>
          <w:kern w:val="0"/>
          <w:szCs w:val="20"/>
        </w:rPr>
      </w:pPr>
    </w:p>
    <w:bookmarkEnd w:id="25"/>
    <w:bookmarkEnd w:id="66"/>
    <w:bookmarkEnd w:id="67"/>
    <w:bookmarkEnd w:id="68"/>
    <w:p w14:paraId="2B197D03">
      <w:pPr>
        <w:pStyle w:val="235"/>
        <w:widowControl/>
        <w:numPr>
          <w:ilvl w:val="1"/>
          <w:numId w:val="2"/>
        </w:numPr>
        <w:adjustRightInd/>
        <w:spacing w:before="240" w:beforeLines="100" w:after="240" w:afterLines="100" w:line="240" w:lineRule="auto"/>
        <w:ind w:firstLineChars="0"/>
        <w:outlineLvl w:val="0"/>
        <w:rPr>
          <w:rFonts w:ascii="Times New Roman" w:hAnsi="Times New Roman" w:eastAsia="黑体"/>
          <w:vanish/>
          <w:kern w:val="0"/>
          <w:szCs w:val="20"/>
        </w:rPr>
      </w:pPr>
      <w:bookmarkStart w:id="69" w:name="BookMark5"/>
    </w:p>
    <w:p w14:paraId="0BDDA79F">
      <w:pPr>
        <w:pStyle w:val="235"/>
        <w:widowControl/>
        <w:numPr>
          <w:ilvl w:val="1"/>
          <w:numId w:val="2"/>
        </w:numPr>
        <w:adjustRightInd/>
        <w:spacing w:before="240" w:beforeLines="100" w:after="240" w:afterLines="100" w:line="240" w:lineRule="auto"/>
        <w:ind w:firstLineChars="0"/>
        <w:outlineLvl w:val="0"/>
        <w:rPr>
          <w:rFonts w:ascii="Times New Roman" w:hAnsi="Times New Roman" w:eastAsia="黑体"/>
          <w:vanish/>
          <w:kern w:val="0"/>
          <w:szCs w:val="20"/>
        </w:rPr>
      </w:pPr>
    </w:p>
    <w:p w14:paraId="517435D5">
      <w:pPr>
        <w:pStyle w:val="235"/>
        <w:widowControl/>
        <w:numPr>
          <w:ilvl w:val="1"/>
          <w:numId w:val="2"/>
        </w:numPr>
        <w:adjustRightInd/>
        <w:spacing w:before="240" w:beforeLines="100" w:after="240" w:afterLines="100" w:line="240" w:lineRule="auto"/>
        <w:ind w:firstLineChars="0"/>
        <w:outlineLvl w:val="0"/>
        <w:rPr>
          <w:rFonts w:ascii="Times New Roman" w:hAnsi="Times New Roman" w:eastAsia="黑体"/>
          <w:vanish/>
          <w:kern w:val="0"/>
          <w:szCs w:val="20"/>
        </w:rPr>
      </w:pPr>
    </w:p>
    <w:p w14:paraId="7242199F">
      <w:pPr>
        <w:pStyle w:val="104"/>
        <w:spacing w:before="240" w:after="240"/>
        <w:rPr>
          <w:rFonts w:ascii="Times New Roman"/>
        </w:rPr>
      </w:pPr>
      <w:bookmarkStart w:id="70" w:name="_Toc228364119"/>
      <w:r>
        <w:rPr>
          <w:rFonts w:ascii="Times New Roman"/>
        </w:rPr>
        <w:t>养殖场基本要求</w:t>
      </w:r>
      <w:bookmarkEnd w:id="70"/>
    </w:p>
    <w:p w14:paraId="6CDDE285">
      <w:pPr>
        <w:pStyle w:val="105"/>
        <w:spacing w:before="120" w:after="120"/>
      </w:pPr>
      <w:bookmarkStart w:id="71" w:name="_Toc228364120"/>
      <w:r>
        <w:rPr>
          <w:rFonts w:hint="eastAsia"/>
        </w:rPr>
        <w:t>资质要求</w:t>
      </w:r>
      <w:bookmarkEnd w:id="71"/>
    </w:p>
    <w:p w14:paraId="1747E89A">
      <w:pPr>
        <w:pStyle w:val="65"/>
        <w:spacing w:before="120" w:after="120"/>
        <w:ind w:left="0"/>
        <w:rPr>
          <w:rFonts w:ascii="Times New Roman"/>
        </w:rPr>
      </w:pPr>
      <w:r>
        <w:rPr>
          <w:rFonts w:ascii="宋体" w:hAnsi="宋体" w:eastAsia="宋体"/>
        </w:rPr>
        <w:t>牛场应依法申领《动物防疫条件合格证》</w:t>
      </w:r>
      <w:r>
        <w:rPr>
          <w:rFonts w:ascii="Times New Roman"/>
        </w:rPr>
        <w:t>。</w:t>
      </w:r>
    </w:p>
    <w:p w14:paraId="3CB31F28">
      <w:pPr>
        <w:pStyle w:val="65"/>
        <w:spacing w:before="120" w:after="120"/>
        <w:ind w:left="0"/>
        <w:rPr>
          <w:rFonts w:ascii="Times New Roman"/>
        </w:rPr>
      </w:pPr>
      <w:r>
        <w:rPr>
          <w:rFonts w:ascii="宋体" w:hAnsi="宋体" w:eastAsia="宋体"/>
        </w:rPr>
        <w:t>按照《中华人民共和国动物防疫法》要求配备与其养殖规模相适应的专业兽医人员</w:t>
      </w:r>
      <w:r>
        <w:rPr>
          <w:rFonts w:ascii="Times New Roman"/>
        </w:rPr>
        <w:t>。</w:t>
      </w:r>
    </w:p>
    <w:p w14:paraId="3EBF18C0">
      <w:pPr>
        <w:pStyle w:val="105"/>
        <w:spacing w:before="120" w:after="120"/>
      </w:pPr>
      <w:bookmarkStart w:id="72" w:name="_Toc228364121"/>
      <w:r>
        <w:rPr>
          <w:rFonts w:hint="eastAsia"/>
        </w:rPr>
        <w:t>选址布局要求</w:t>
      </w:r>
      <w:bookmarkEnd w:id="72"/>
    </w:p>
    <w:p w14:paraId="442541B6">
      <w:pPr>
        <w:pStyle w:val="65"/>
        <w:spacing w:before="120" w:after="120"/>
        <w:ind w:left="0"/>
        <w:rPr>
          <w:rFonts w:ascii="Times New Roman" w:eastAsia="宋体"/>
        </w:rPr>
      </w:pPr>
      <w:r>
        <w:rPr>
          <w:rFonts w:ascii="Times New Roman" w:eastAsia="宋体"/>
        </w:rPr>
        <w:t>肉牛场选址布局应符合NY/T 2663相关规定。</w:t>
      </w:r>
    </w:p>
    <w:p w14:paraId="6456B34A">
      <w:pPr>
        <w:pStyle w:val="65"/>
        <w:spacing w:before="120" w:after="120"/>
        <w:ind w:left="0"/>
        <w:rPr>
          <w:rFonts w:ascii="Times New Roman" w:eastAsia="宋体"/>
        </w:rPr>
      </w:pPr>
      <w:r>
        <w:rPr>
          <w:rFonts w:ascii="Times New Roman" w:eastAsia="宋体"/>
        </w:rPr>
        <w:t>合理划分生产区、生活区、隔离区、无害化处理区、粪污处理区，各区之间设置隔离带，隔离间距不少于50米。</w:t>
      </w:r>
    </w:p>
    <w:p w14:paraId="6D29055B">
      <w:pPr>
        <w:pStyle w:val="65"/>
        <w:spacing w:before="120" w:after="120"/>
        <w:ind w:left="0"/>
        <w:rPr>
          <w:rFonts w:ascii="Times New Roman" w:eastAsia="宋体"/>
        </w:rPr>
      </w:pPr>
      <w:r>
        <w:rPr>
          <w:rFonts w:ascii="Times New Roman" w:eastAsia="宋体"/>
        </w:rPr>
        <w:t>隔离区应配备专用排污和独立通风系统；与居民区、学校、饮用水源地、屠宰场等间距不少于500米；与生产区距离不少于3000米。</w:t>
      </w:r>
    </w:p>
    <w:p w14:paraId="59BF6E57">
      <w:pPr>
        <w:pStyle w:val="104"/>
        <w:spacing w:before="240" w:after="240"/>
        <w:rPr>
          <w:rFonts w:ascii="Times New Roman"/>
        </w:rPr>
      </w:pPr>
      <w:bookmarkStart w:id="73" w:name="_Toc228364122"/>
      <w:r>
        <w:rPr>
          <w:rFonts w:ascii="Times New Roman"/>
        </w:rPr>
        <w:t>日常卫生管理</w:t>
      </w:r>
      <w:bookmarkEnd w:id="73"/>
    </w:p>
    <w:p w14:paraId="1FF8EA3B">
      <w:pPr>
        <w:pStyle w:val="105"/>
        <w:spacing w:before="120" w:after="120"/>
      </w:pPr>
      <w:bookmarkStart w:id="74" w:name="_Toc228364123"/>
      <w:r>
        <w:rPr>
          <w:rFonts w:hint="eastAsia"/>
        </w:rPr>
        <w:t>人员管理</w:t>
      </w:r>
      <w:bookmarkEnd w:id="74"/>
    </w:p>
    <w:p w14:paraId="2B3E9F1E">
      <w:pPr>
        <w:pStyle w:val="65"/>
        <w:spacing w:before="120" w:after="120"/>
        <w:ind w:left="0"/>
        <w:rPr>
          <w:rFonts w:ascii="Times New Roman" w:eastAsia="宋体"/>
        </w:rPr>
      </w:pPr>
      <w:r>
        <w:rPr>
          <w:rFonts w:ascii="Times New Roman" w:eastAsia="宋体"/>
        </w:rPr>
        <w:t>建立工作人员健康档案，每年定期体检，持有效健康证明方可上岗。</w:t>
      </w:r>
    </w:p>
    <w:p w14:paraId="1C6B18E5">
      <w:pPr>
        <w:pStyle w:val="65"/>
        <w:spacing w:before="120" w:after="120"/>
        <w:ind w:left="0"/>
        <w:rPr>
          <w:rFonts w:ascii="Times New Roman" w:eastAsia="宋体"/>
        </w:rPr>
      </w:pPr>
      <w:r>
        <w:rPr>
          <w:rFonts w:ascii="Times New Roman" w:eastAsia="宋体"/>
        </w:rPr>
        <w:t>工作人员出入生产区，均需严格执行消毒和防疫规定；外来人员不应进入生产区，确需进入的，经申请批准后，严格执行消毒、更衣流程，由专人引导，按指定路线活动，禁止接触牛群及养殖设施。</w:t>
      </w:r>
    </w:p>
    <w:p w14:paraId="53A6B83F">
      <w:pPr>
        <w:pStyle w:val="65"/>
        <w:spacing w:before="120" w:after="120"/>
        <w:ind w:left="0"/>
        <w:rPr>
          <w:rFonts w:ascii="Times New Roman"/>
        </w:rPr>
      </w:pPr>
      <w:r>
        <w:rPr>
          <w:rFonts w:ascii="Times New Roman" w:eastAsia="宋体"/>
        </w:rPr>
        <w:t>饲养管理和技术人员应接受专业培训并掌握相关知识，严格执行防疫规定；工作人员不应在场外从事相关动物生产活动</w:t>
      </w:r>
      <w:r>
        <w:rPr>
          <w:rFonts w:ascii="Times New Roman"/>
        </w:rPr>
        <w:t>。</w:t>
      </w:r>
    </w:p>
    <w:p w14:paraId="3DF7256C">
      <w:pPr>
        <w:pStyle w:val="105"/>
        <w:spacing w:before="120" w:after="120"/>
      </w:pPr>
      <w:bookmarkStart w:id="75" w:name="_Toc228364124"/>
      <w:r>
        <w:rPr>
          <w:rFonts w:hint="eastAsia"/>
        </w:rPr>
        <w:t>车辆管理</w:t>
      </w:r>
      <w:bookmarkEnd w:id="75"/>
    </w:p>
    <w:p w14:paraId="4D638696">
      <w:pPr>
        <w:pStyle w:val="65"/>
        <w:spacing w:before="120" w:after="120"/>
        <w:ind w:left="0"/>
        <w:rPr>
          <w:rFonts w:ascii="Times New Roman" w:eastAsia="宋体"/>
        </w:rPr>
      </w:pPr>
      <w:r>
        <w:rPr>
          <w:rFonts w:ascii="Times New Roman" w:eastAsia="宋体"/>
        </w:rPr>
        <w:t>外来车辆严禁进入生产区，确需进</w:t>
      </w:r>
      <w:r>
        <w:rPr>
          <w:rFonts w:ascii="Times New Roman" w:eastAsia="微软雅黑"/>
        </w:rPr>
        <w:t>⼊</w:t>
      </w:r>
      <w:r>
        <w:rPr>
          <w:rFonts w:ascii="Times New Roman" w:eastAsia="宋体"/>
        </w:rPr>
        <w:t>的运输车辆，必须彻底清洗、全面消毒，静置30分钟以上方可入场。</w:t>
      </w:r>
    </w:p>
    <w:p w14:paraId="7E2F06F9">
      <w:pPr>
        <w:pStyle w:val="65"/>
        <w:spacing w:before="120" w:after="120"/>
        <w:ind w:left="0"/>
        <w:rPr>
          <w:rFonts w:ascii="Times New Roman" w:eastAsia="宋体"/>
        </w:rPr>
      </w:pPr>
      <w:r>
        <w:rPr>
          <w:rFonts w:ascii="Times New Roman" w:eastAsia="宋体"/>
        </w:rPr>
        <w:t>场内肉牛转运、饲料及粪污运输等车辆，应专车专用，严禁交叉使用；用后及时清洗消毒。</w:t>
      </w:r>
    </w:p>
    <w:p w14:paraId="6D2B8088">
      <w:pPr>
        <w:pStyle w:val="65"/>
        <w:spacing w:before="120" w:after="120"/>
        <w:ind w:left="0"/>
        <w:rPr>
          <w:rFonts w:ascii="Times New Roman" w:eastAsia="宋体"/>
        </w:rPr>
      </w:pPr>
      <w:r>
        <w:rPr>
          <w:rFonts w:ascii="Times New Roman" w:eastAsia="宋体"/>
        </w:rPr>
        <w:t>肉牛出栏转运车辆应提前彻底清洗消毒，运输过程做好封闭防护，运输后再次全面清洗消毒。</w:t>
      </w:r>
    </w:p>
    <w:p w14:paraId="38EEC7D6">
      <w:pPr>
        <w:pStyle w:val="105"/>
        <w:spacing w:before="120" w:after="120"/>
      </w:pPr>
      <w:bookmarkStart w:id="76" w:name="_Toc228364125"/>
      <w:r>
        <w:rPr>
          <w:rFonts w:hint="eastAsia"/>
        </w:rPr>
        <w:t>饲养卫生管理</w:t>
      </w:r>
      <w:bookmarkEnd w:id="76"/>
    </w:p>
    <w:p w14:paraId="3B751BE8">
      <w:pPr>
        <w:pStyle w:val="65"/>
        <w:spacing w:before="120" w:after="120"/>
        <w:ind w:left="0"/>
        <w:rPr>
          <w:rFonts w:ascii="Times New Roman" w:eastAsia="宋体"/>
        </w:rPr>
      </w:pPr>
      <w:r>
        <w:rPr>
          <w:rFonts w:ascii="Times New Roman" w:eastAsia="宋体"/>
        </w:rPr>
        <w:t>场区环境卫生应符合NY/T 388要求；定期清理场区周边杂草、垃圾等，保持环境整洁。</w:t>
      </w:r>
    </w:p>
    <w:p w14:paraId="16BC71D8">
      <w:pPr>
        <w:pStyle w:val="65"/>
        <w:spacing w:before="120" w:after="120"/>
        <w:ind w:left="0"/>
        <w:rPr>
          <w:rFonts w:ascii="Times New Roman" w:eastAsia="宋体"/>
        </w:rPr>
      </w:pPr>
      <w:r>
        <w:rPr>
          <w:rFonts w:ascii="Times New Roman" w:eastAsia="宋体"/>
        </w:rPr>
        <w:t>饮用水水质应符合GB 5749标准；发现污染立即停用，并彻底清洗消毒，更换清洁水源。</w:t>
      </w:r>
    </w:p>
    <w:p w14:paraId="566827C9">
      <w:pPr>
        <w:pStyle w:val="65"/>
        <w:spacing w:before="120" w:after="120"/>
        <w:ind w:left="0"/>
        <w:rPr>
          <w:rFonts w:ascii="Times New Roman" w:eastAsia="宋体"/>
        </w:rPr>
      </w:pPr>
      <w:r>
        <w:rPr>
          <w:rFonts w:ascii="Times New Roman" w:eastAsia="宋体"/>
        </w:rPr>
        <w:t>保持圈舍干燥卫生，每日定时清理圈舍内粪便、残料及杂物，无粪便堆积、无污水滞留。</w:t>
      </w:r>
    </w:p>
    <w:p w14:paraId="74CB2C53">
      <w:pPr>
        <w:pStyle w:val="65"/>
        <w:spacing w:before="120" w:after="120"/>
        <w:ind w:left="0"/>
        <w:rPr>
          <w:rFonts w:ascii="Times New Roman" w:eastAsia="宋体"/>
        </w:rPr>
      </w:pPr>
      <w:r>
        <w:rPr>
          <w:rFonts w:ascii="Times New Roman" w:eastAsia="宋体"/>
        </w:rPr>
        <w:t>牛场粪污处理应符合GB/T 36195的规定；及时转运至粪污处理区，不得在生产区内随意堆放。</w:t>
      </w:r>
    </w:p>
    <w:p w14:paraId="317051FB">
      <w:pPr>
        <w:pStyle w:val="65"/>
        <w:spacing w:before="120" w:after="120"/>
        <w:ind w:left="0"/>
        <w:rPr>
          <w:rFonts w:ascii="Times New Roman" w:eastAsia="宋体"/>
        </w:rPr>
      </w:pPr>
      <w:r>
        <w:rPr>
          <w:rFonts w:ascii="Times New Roman" w:eastAsia="宋体"/>
        </w:rPr>
        <w:t>定期开展防鼠、防虫、防蚊蝇等工作，消除疫病传播媒介。</w:t>
      </w:r>
    </w:p>
    <w:p w14:paraId="3D05DE54">
      <w:pPr>
        <w:pStyle w:val="105"/>
        <w:spacing w:before="120" w:after="120"/>
      </w:pPr>
      <w:bookmarkStart w:id="77" w:name="_Toc228364126"/>
      <w:r>
        <w:rPr>
          <w:rFonts w:hint="eastAsia"/>
        </w:rPr>
        <w:t>物资卫生管理</w:t>
      </w:r>
      <w:bookmarkEnd w:id="77"/>
    </w:p>
    <w:p w14:paraId="252F15AF">
      <w:pPr>
        <w:pStyle w:val="65"/>
        <w:spacing w:before="120" w:after="120"/>
        <w:ind w:left="0"/>
        <w:rPr>
          <w:rFonts w:ascii="Times New Roman" w:eastAsia="宋体"/>
        </w:rPr>
      </w:pPr>
      <w:r>
        <w:rPr>
          <w:rFonts w:ascii="Times New Roman" w:eastAsia="宋体"/>
        </w:rPr>
        <w:t>饲料、兽药、消毒剂、工具等物资入场前均需进行消毒，确认无污染后方可</w:t>
      </w:r>
      <w:r>
        <w:rPr>
          <w:rFonts w:ascii="Times New Roman" w:eastAsia="微软雅黑"/>
        </w:rPr>
        <w:t>⼊</w:t>
      </w:r>
      <w:r>
        <w:rPr>
          <w:rFonts w:ascii="Times New Roman" w:eastAsia="宋体"/>
        </w:rPr>
        <w:t>库；入库后实行分类存放和专人管理；饲喂工具必须专舍专用，及时清洗消毒。</w:t>
      </w:r>
    </w:p>
    <w:p w14:paraId="1A5F93E6">
      <w:pPr>
        <w:pStyle w:val="65"/>
        <w:spacing w:before="120" w:after="120"/>
        <w:ind w:left="0"/>
        <w:rPr>
          <w:rFonts w:ascii="Times New Roman" w:eastAsia="宋体"/>
        </w:rPr>
      </w:pPr>
      <w:r>
        <w:rPr>
          <w:rFonts w:ascii="Times New Roman" w:eastAsia="宋体"/>
        </w:rPr>
        <w:t>饲料与饲料添加剂应符合GB 13078标准规定；杜绝添加违禁物质，严禁饲喂过期、变质饲料。</w:t>
      </w:r>
    </w:p>
    <w:p w14:paraId="5FB9904E">
      <w:pPr>
        <w:pStyle w:val="65"/>
        <w:spacing w:before="120" w:after="120"/>
        <w:ind w:left="0"/>
        <w:rPr>
          <w:rFonts w:ascii="Times New Roman" w:eastAsia="宋体"/>
        </w:rPr>
      </w:pPr>
      <w:r>
        <w:rPr>
          <w:rFonts w:ascii="Times New Roman" w:eastAsia="宋体"/>
        </w:rPr>
        <w:t>兽药应符合NY/T 5030及国家兽药管理相关规定；做好采购源头管控，严格执行休药期规定。</w:t>
      </w:r>
    </w:p>
    <w:p w14:paraId="6CE1F18D">
      <w:pPr>
        <w:pStyle w:val="104"/>
        <w:spacing w:before="240" w:after="240"/>
        <w:rPr>
          <w:rFonts w:ascii="Times New Roman"/>
        </w:rPr>
      </w:pPr>
      <w:bookmarkStart w:id="78" w:name="_Toc228364127"/>
      <w:r>
        <w:rPr>
          <w:rFonts w:ascii="Times New Roman"/>
        </w:rPr>
        <w:t>消毒管理</w:t>
      </w:r>
      <w:bookmarkEnd w:id="78"/>
    </w:p>
    <w:p w14:paraId="32FC99AC">
      <w:pPr>
        <w:pStyle w:val="105"/>
        <w:spacing w:before="120" w:after="120"/>
      </w:pPr>
      <w:bookmarkStart w:id="79" w:name="_Toc228364128"/>
      <w:r>
        <w:rPr>
          <w:rFonts w:hint="eastAsia"/>
        </w:rPr>
        <w:t>消毒方法</w:t>
      </w:r>
      <w:bookmarkEnd w:id="79"/>
    </w:p>
    <w:p w14:paraId="1FA0213F">
      <w:pPr>
        <w:pStyle w:val="65"/>
        <w:spacing w:before="120" w:after="120"/>
        <w:ind w:left="0"/>
        <w:rPr>
          <w:rFonts w:ascii="Times New Roman" w:eastAsia="宋体"/>
        </w:rPr>
      </w:pPr>
      <w:r>
        <w:rPr>
          <w:rFonts w:ascii="Times New Roman" w:eastAsia="宋体"/>
        </w:rPr>
        <w:t>物理消毒法：采用紫外灯照射进行室内消毒；安装紫外灯距离地面约2米；衣服、用具等消毒时间不少于30分钟。</w:t>
      </w:r>
    </w:p>
    <w:p w14:paraId="5D28257B">
      <w:pPr>
        <w:pStyle w:val="65"/>
        <w:spacing w:before="120" w:after="120"/>
        <w:ind w:left="0"/>
        <w:rPr>
          <w:rFonts w:ascii="Times New Roman" w:eastAsia="宋体"/>
        </w:rPr>
      </w:pPr>
      <w:r>
        <w:rPr>
          <w:rFonts w:ascii="Times New Roman" w:eastAsia="宋体"/>
        </w:rPr>
        <w:t>化学消毒法：按照NY/T 5030的规定合理选择消毒剂；使用方法及注意事项见附录A。常用消毒剂须高效、低毒、无残留、无腐蚀、对</w:t>
      </w:r>
      <w:r>
        <w:rPr>
          <w:rFonts w:ascii="Times New Roman" w:eastAsia="微软雅黑"/>
        </w:rPr>
        <w:t>⼈</w:t>
      </w:r>
      <w:r>
        <w:rPr>
          <w:rFonts w:ascii="Times New Roman" w:eastAsia="宋体"/>
        </w:rPr>
        <w:t>畜安全，交替使用。</w:t>
      </w:r>
    </w:p>
    <w:p w14:paraId="6832D758">
      <w:pPr>
        <w:pStyle w:val="65"/>
        <w:spacing w:before="120" w:after="120"/>
        <w:ind w:left="0"/>
        <w:rPr>
          <w:rFonts w:ascii="Times New Roman" w:eastAsia="宋体"/>
        </w:rPr>
      </w:pPr>
      <w:r>
        <w:rPr>
          <w:rFonts w:ascii="Times New Roman" w:eastAsia="宋体"/>
        </w:rPr>
        <w:t>生物消毒法：粪便堆积发酵1~2个月可杀死病毒、细菌、寄生虫及虫卵等病原体；但有炭疽等芽孢病原体的粪便应焚烧或深埋。</w:t>
      </w:r>
    </w:p>
    <w:p w14:paraId="017C27E2">
      <w:pPr>
        <w:pStyle w:val="105"/>
        <w:spacing w:before="120" w:after="120"/>
      </w:pPr>
      <w:bookmarkStart w:id="80" w:name="_Toc228364129"/>
      <w:r>
        <w:rPr>
          <w:rFonts w:hint="eastAsia"/>
        </w:rPr>
        <w:t>药物消毒程序</w:t>
      </w:r>
      <w:bookmarkEnd w:id="80"/>
    </w:p>
    <w:p w14:paraId="1312C592">
      <w:pPr>
        <w:pStyle w:val="65"/>
        <w:spacing w:before="120" w:after="120"/>
        <w:ind w:left="0"/>
        <w:rPr>
          <w:rFonts w:ascii="Times New Roman" w:eastAsia="宋体"/>
        </w:rPr>
      </w:pPr>
      <w:r>
        <w:rPr>
          <w:rFonts w:ascii="Times New Roman" w:eastAsia="宋体"/>
        </w:rPr>
        <w:t>按照NY/T 3075的规定进行消毒并记录。</w:t>
      </w:r>
    </w:p>
    <w:p w14:paraId="52323BEB">
      <w:pPr>
        <w:pStyle w:val="65"/>
        <w:spacing w:before="120" w:after="120"/>
        <w:ind w:left="0"/>
        <w:rPr>
          <w:rFonts w:ascii="Times New Roman" w:eastAsia="宋体"/>
        </w:rPr>
      </w:pPr>
      <w:r>
        <w:rPr>
          <w:rFonts w:ascii="Times New Roman" w:eastAsia="宋体"/>
        </w:rPr>
        <w:t>场区出入口消毒池应每日更换有效浓度的消毒剂；生产区每周全面消毒1次。</w:t>
      </w:r>
    </w:p>
    <w:p w14:paraId="6C318F75">
      <w:pPr>
        <w:pStyle w:val="65"/>
        <w:spacing w:before="120" w:after="120"/>
        <w:ind w:left="0"/>
        <w:rPr>
          <w:rFonts w:ascii="Times New Roman" w:eastAsia="宋体"/>
        </w:rPr>
      </w:pPr>
      <w:r>
        <w:rPr>
          <w:rFonts w:ascii="Times New Roman" w:eastAsia="宋体"/>
        </w:rPr>
        <w:t>圈舍每日清扫后喷洒消毒；带牛消毒选用温和型消毒剂，避免刺激肉牛呼吸道及污染饲草和饮水；空舍彻底清理后进行密闭熏蒸消毒24小时以上，通风干燥后方可进牛。</w:t>
      </w:r>
    </w:p>
    <w:p w14:paraId="44595F02">
      <w:pPr>
        <w:pStyle w:val="65"/>
        <w:spacing w:before="120" w:after="120"/>
        <w:ind w:left="0"/>
        <w:rPr>
          <w:rFonts w:ascii="Times New Roman" w:eastAsia="宋体"/>
        </w:rPr>
      </w:pPr>
      <w:r>
        <w:rPr>
          <w:rFonts w:ascii="Times New Roman" w:eastAsia="宋体"/>
        </w:rPr>
        <w:t>饲喂用具、饮水设备、车辆每次使用后彻底清洗消毒；诊疗器械使用前后均应进行彻底消毒和清洗。</w:t>
      </w:r>
    </w:p>
    <w:p w14:paraId="339EB1F5">
      <w:pPr>
        <w:pStyle w:val="65"/>
        <w:spacing w:before="120" w:after="120"/>
        <w:ind w:left="0"/>
        <w:rPr>
          <w:rFonts w:ascii="Times New Roman" w:eastAsia="宋体"/>
        </w:rPr>
      </w:pPr>
      <w:r>
        <w:rPr>
          <w:rFonts w:ascii="Times New Roman" w:eastAsia="宋体"/>
        </w:rPr>
        <w:t>隔离舍、粪污及无害化处理区为重点消毒区，每日至少消毒1次；若发生疫病，需增加消毒频次，严格进行全方位、无死角消毒。</w:t>
      </w:r>
    </w:p>
    <w:p w14:paraId="6A1DE2DC">
      <w:pPr>
        <w:pStyle w:val="65"/>
        <w:spacing w:before="120" w:after="120"/>
        <w:ind w:left="0"/>
        <w:rPr>
          <w:rFonts w:ascii="Times New Roman" w:eastAsia="宋体"/>
        </w:rPr>
      </w:pPr>
      <w:r>
        <w:rPr>
          <w:rFonts w:ascii="Times New Roman" w:eastAsia="宋体"/>
        </w:rPr>
        <w:t>定期开展全场环境大消毒，春秋疫病高发季节适当增加消毒频次。</w:t>
      </w:r>
    </w:p>
    <w:p w14:paraId="1795107B">
      <w:pPr>
        <w:pStyle w:val="104"/>
        <w:spacing w:before="240" w:after="240"/>
        <w:rPr>
          <w:rFonts w:ascii="Times New Roman"/>
        </w:rPr>
      </w:pPr>
      <w:bookmarkStart w:id="81" w:name="_Toc228364130"/>
      <w:r>
        <w:rPr>
          <w:rFonts w:ascii="Times New Roman"/>
        </w:rPr>
        <w:t>疫病预防与监测</w:t>
      </w:r>
      <w:bookmarkEnd w:id="81"/>
    </w:p>
    <w:p w14:paraId="4CA5EA24">
      <w:pPr>
        <w:pStyle w:val="105"/>
        <w:spacing w:before="120" w:after="120"/>
      </w:pPr>
      <w:bookmarkStart w:id="82" w:name="_Toc228364131"/>
      <w:r>
        <w:rPr>
          <w:rFonts w:hint="eastAsia"/>
        </w:rPr>
        <w:t>肉牛引进和种用产品管理</w:t>
      </w:r>
      <w:bookmarkEnd w:id="82"/>
    </w:p>
    <w:p w14:paraId="14144E68">
      <w:pPr>
        <w:pStyle w:val="65"/>
        <w:spacing w:before="120" w:after="120"/>
        <w:ind w:left="0"/>
        <w:rPr>
          <w:rFonts w:ascii="Times New Roman" w:eastAsia="宋体"/>
        </w:rPr>
      </w:pPr>
      <w:r>
        <w:rPr>
          <w:rFonts w:ascii="Times New Roman" w:eastAsia="宋体"/>
        </w:rPr>
        <w:t>引进肉牛应选择具有《动物防疫条件合格证》资质、无疫病发生的正规养殖场；引入后隔离观察期不少于15天；隔离期间检测口蹄疫、结核病、布鲁氏菌病等重点疫病，确认健康后方可混群饲养。</w:t>
      </w:r>
    </w:p>
    <w:p w14:paraId="6A10B1C3">
      <w:pPr>
        <w:pStyle w:val="65"/>
        <w:spacing w:before="120" w:after="120"/>
        <w:ind w:left="0"/>
        <w:rPr>
          <w:rFonts w:ascii="Times New Roman" w:eastAsia="宋体"/>
        </w:rPr>
      </w:pPr>
      <w:r>
        <w:rPr>
          <w:rFonts w:ascii="Times New Roman" w:eastAsia="宋体"/>
        </w:rPr>
        <w:t>冷冻精液和胚胎应符合动物产品检疫有关规定，禁止调入未经检疫合格的肉牛冷冻精液和胚胎等产品。</w:t>
      </w:r>
    </w:p>
    <w:p w14:paraId="1D8078B5">
      <w:pPr>
        <w:pStyle w:val="105"/>
        <w:spacing w:before="120" w:after="120"/>
      </w:pPr>
      <w:bookmarkStart w:id="83" w:name="_Toc228364132"/>
      <w:r>
        <w:rPr>
          <w:rFonts w:hint="eastAsia"/>
        </w:rPr>
        <w:t>重大疫病防控</w:t>
      </w:r>
      <w:bookmarkEnd w:id="83"/>
    </w:p>
    <w:p w14:paraId="64A37CB0">
      <w:pPr>
        <w:pStyle w:val="65"/>
        <w:spacing w:before="120" w:after="120"/>
        <w:ind w:left="0"/>
        <w:rPr>
          <w:rFonts w:ascii="Times New Roman" w:eastAsia="宋体"/>
        </w:rPr>
      </w:pPr>
      <w:r>
        <w:rPr>
          <w:rFonts w:ascii="Times New Roman" w:eastAsia="宋体"/>
        </w:rPr>
        <w:t>严格按照国家及地方免疫要求，制订科学的免疫程序，对口蹄疫、炭疽等重大动物疫病实施强制免疫，免疫密度达到100%；免疫程序见附录B。</w:t>
      </w:r>
    </w:p>
    <w:p w14:paraId="6EF349F8">
      <w:pPr>
        <w:pStyle w:val="65"/>
        <w:spacing w:before="120" w:after="120"/>
        <w:ind w:left="0"/>
        <w:rPr>
          <w:rFonts w:ascii="Times New Roman" w:eastAsia="宋体"/>
        </w:rPr>
      </w:pPr>
      <w:r>
        <w:rPr>
          <w:rFonts w:ascii="Times New Roman" w:eastAsia="宋体"/>
        </w:rPr>
        <w:t>定期开展免疫抗体检测和监测，免疫抗体不合格的应及时加强免疫并继续监测，确保牛群处于有效免疫保护状态。</w:t>
      </w:r>
    </w:p>
    <w:p w14:paraId="0669ADBA">
      <w:pPr>
        <w:pStyle w:val="105"/>
        <w:spacing w:before="120" w:after="120"/>
        <w:rPr>
          <w:rFonts w:ascii="Times New Roman"/>
        </w:rPr>
      </w:pPr>
      <w:bookmarkStart w:id="84" w:name="_Toc228364133"/>
      <w:r>
        <w:rPr>
          <w:rFonts w:ascii="Times New Roman"/>
        </w:rPr>
        <w:t>疫病预警</w:t>
      </w:r>
      <w:bookmarkEnd w:id="84"/>
    </w:p>
    <w:p w14:paraId="1F3A6B26">
      <w:pPr>
        <w:pStyle w:val="65"/>
        <w:spacing w:before="120" w:after="120"/>
        <w:ind w:left="0"/>
        <w:rPr>
          <w:rFonts w:ascii="Times New Roman" w:eastAsia="宋体"/>
        </w:rPr>
      </w:pPr>
      <w:r>
        <w:rPr>
          <w:rFonts w:ascii="Times New Roman" w:eastAsia="宋体"/>
        </w:rPr>
        <w:t>建立常态化疫病监测制度，定期开展口蹄疫、布鲁氏菌病、结核病等重要疫病监测，配合当地动物疫病预防控制机构完成疫病普查、抽检工作。</w:t>
      </w:r>
    </w:p>
    <w:p w14:paraId="1F2D5B96">
      <w:pPr>
        <w:pStyle w:val="65"/>
        <w:spacing w:before="120" w:after="120"/>
        <w:ind w:left="0"/>
        <w:rPr>
          <w:rFonts w:ascii="Times New Roman" w:eastAsia="宋体"/>
        </w:rPr>
      </w:pPr>
      <w:r>
        <w:rPr>
          <w:rFonts w:ascii="Times New Roman" w:eastAsia="宋体"/>
        </w:rPr>
        <w:t>每日巡检，观察肉牛采食、粪便、体温等情况，发现异常及时隔离、诊断，做好监测记录。</w:t>
      </w:r>
    </w:p>
    <w:p w14:paraId="2A1F479C">
      <w:pPr>
        <w:pStyle w:val="65"/>
        <w:spacing w:before="120" w:after="120"/>
        <w:ind w:left="0"/>
        <w:rPr>
          <w:rFonts w:ascii="Times New Roman" w:eastAsia="宋体"/>
        </w:rPr>
      </w:pPr>
      <w:r>
        <w:rPr>
          <w:rFonts w:ascii="Times New Roman" w:eastAsia="宋体"/>
        </w:rPr>
        <w:t>建立疫病预警机制，及时掌握周边地区疫病流行情况，提前做好防控措施，严防疫病传</w:t>
      </w:r>
      <w:r>
        <w:rPr>
          <w:rFonts w:ascii="Times New Roman" w:eastAsia="微软雅黑"/>
        </w:rPr>
        <w:t>⼊</w:t>
      </w:r>
      <w:r>
        <w:rPr>
          <w:rFonts w:ascii="Times New Roman" w:eastAsia="宋体"/>
        </w:rPr>
        <w:t>。</w:t>
      </w:r>
    </w:p>
    <w:p w14:paraId="0D0AF568">
      <w:pPr>
        <w:pStyle w:val="105"/>
        <w:spacing w:before="120" w:after="120"/>
        <w:rPr>
          <w:rFonts w:ascii="Times New Roman"/>
        </w:rPr>
      </w:pPr>
      <w:bookmarkStart w:id="85" w:name="_Toc228364134"/>
      <w:r>
        <w:rPr>
          <w:rFonts w:ascii="Times New Roman"/>
        </w:rPr>
        <w:t>寄生虫病防治</w:t>
      </w:r>
      <w:bookmarkEnd w:id="85"/>
    </w:p>
    <w:p w14:paraId="78754010">
      <w:pPr>
        <w:pStyle w:val="65"/>
        <w:spacing w:before="120" w:after="120"/>
        <w:ind w:left="0"/>
        <w:rPr>
          <w:rFonts w:ascii="Times New Roman" w:eastAsia="宋体"/>
        </w:rPr>
      </w:pPr>
      <w:r>
        <w:rPr>
          <w:rFonts w:ascii="Times New Roman" w:eastAsia="宋体"/>
        </w:rPr>
        <w:t>驱虫药物的选择参照DB62/T 4424的规定执行。</w:t>
      </w:r>
    </w:p>
    <w:p w14:paraId="4527A93D">
      <w:pPr>
        <w:pStyle w:val="65"/>
        <w:spacing w:before="120" w:after="120"/>
        <w:ind w:left="0"/>
        <w:rPr>
          <w:rFonts w:ascii="Times New Roman" w:eastAsia="宋体"/>
        </w:rPr>
      </w:pPr>
      <w:r>
        <w:rPr>
          <w:rFonts w:ascii="Times New Roman" w:eastAsia="宋体"/>
        </w:rPr>
        <w:t>定期开展肉牛体内外寄生虫驱虫工作，春秋两季各集中驱虫1次，驱虫药物应轮换使用。</w:t>
      </w:r>
    </w:p>
    <w:p w14:paraId="1D9453B7">
      <w:pPr>
        <w:pStyle w:val="65"/>
        <w:spacing w:before="120" w:after="120"/>
        <w:ind w:left="0"/>
        <w:rPr>
          <w:rFonts w:ascii="Times New Roman" w:eastAsia="宋体"/>
        </w:rPr>
      </w:pPr>
      <w:r>
        <w:rPr>
          <w:rFonts w:ascii="Times New Roman" w:eastAsia="宋体"/>
        </w:rPr>
        <w:t xml:space="preserve">新引进肉牛、犊牛断奶后应进行及时驱虫，严格按剂量使用。 </w:t>
      </w:r>
    </w:p>
    <w:p w14:paraId="5E5C630E">
      <w:pPr>
        <w:pStyle w:val="104"/>
        <w:spacing w:before="240" w:after="240"/>
        <w:rPr>
          <w:rFonts w:ascii="Times New Roman"/>
        </w:rPr>
      </w:pPr>
      <w:bookmarkStart w:id="86" w:name="_Toc228364135"/>
      <w:r>
        <w:rPr>
          <w:rFonts w:ascii="Times New Roman"/>
        </w:rPr>
        <w:t>疫病处置与应急管理</w:t>
      </w:r>
      <w:bookmarkEnd w:id="86"/>
    </w:p>
    <w:p w14:paraId="1950E62E">
      <w:pPr>
        <w:pStyle w:val="105"/>
        <w:spacing w:before="120" w:after="120"/>
        <w:rPr>
          <w:rFonts w:ascii="Times New Roman"/>
        </w:rPr>
      </w:pPr>
      <w:bookmarkStart w:id="87" w:name="_Toc228364136"/>
      <w:r>
        <w:rPr>
          <w:rFonts w:ascii="Times New Roman"/>
        </w:rPr>
        <w:t>疑似疫病处置</w:t>
      </w:r>
      <w:bookmarkEnd w:id="87"/>
    </w:p>
    <w:p w14:paraId="4F9B413C">
      <w:pPr>
        <w:pStyle w:val="65"/>
        <w:spacing w:before="120" w:after="120"/>
        <w:ind w:left="0"/>
        <w:rPr>
          <w:rFonts w:ascii="Times New Roman" w:eastAsia="宋体"/>
        </w:rPr>
      </w:pPr>
      <w:r>
        <w:rPr>
          <w:rFonts w:ascii="Times New Roman" w:eastAsia="宋体"/>
        </w:rPr>
        <w:t>发现肉牛出现疑似疫病症状，立即隔离处理。</w:t>
      </w:r>
    </w:p>
    <w:p w14:paraId="1222826D">
      <w:pPr>
        <w:pStyle w:val="65"/>
        <w:spacing w:before="120" w:after="120"/>
        <w:ind w:left="0"/>
        <w:rPr>
          <w:rFonts w:ascii="Times New Roman" w:eastAsia="宋体"/>
        </w:rPr>
      </w:pPr>
      <w:r>
        <w:rPr>
          <w:rFonts w:ascii="Times New Roman" w:eastAsia="宋体"/>
        </w:rPr>
        <w:t>限制</w:t>
      </w:r>
      <w:r>
        <w:rPr>
          <w:rFonts w:ascii="Times New Roman" w:eastAsia="微软雅黑"/>
        </w:rPr>
        <w:t>⼈</w:t>
      </w:r>
      <w:r>
        <w:rPr>
          <w:rFonts w:ascii="Times New Roman" w:eastAsia="宋体"/>
        </w:rPr>
        <w:t>员、车辆流动，不得瞒报、谎报、迟报、漏报疫情。</w:t>
      </w:r>
    </w:p>
    <w:p w14:paraId="50F24B17">
      <w:pPr>
        <w:pStyle w:val="65"/>
        <w:spacing w:before="120" w:after="120"/>
        <w:ind w:left="0"/>
        <w:rPr>
          <w:rFonts w:ascii="Times New Roman" w:eastAsia="宋体"/>
        </w:rPr>
      </w:pPr>
      <w:r>
        <w:rPr>
          <w:rFonts w:ascii="Times New Roman" w:eastAsia="宋体"/>
        </w:rPr>
        <w:t>配合专业技术</w:t>
      </w:r>
      <w:r>
        <w:rPr>
          <w:rFonts w:ascii="Times New Roman" w:eastAsia="微软雅黑"/>
        </w:rPr>
        <w:t>⼈</w:t>
      </w:r>
      <w:r>
        <w:rPr>
          <w:rFonts w:ascii="Times New Roman" w:eastAsia="宋体"/>
        </w:rPr>
        <w:t>员开展疫病确诊工作，严禁擅自处置病牛及其污染物。</w:t>
      </w:r>
    </w:p>
    <w:p w14:paraId="7A3793BC">
      <w:pPr>
        <w:pStyle w:val="105"/>
        <w:spacing w:before="120" w:after="120"/>
        <w:rPr>
          <w:rFonts w:ascii="Times New Roman"/>
        </w:rPr>
      </w:pPr>
      <w:bookmarkStart w:id="88" w:name="_Toc228364137"/>
      <w:r>
        <w:rPr>
          <w:rFonts w:ascii="Times New Roman"/>
        </w:rPr>
        <w:t>确诊疫病处置</w:t>
      </w:r>
      <w:bookmarkEnd w:id="88"/>
    </w:p>
    <w:p w14:paraId="412B8018">
      <w:pPr>
        <w:pStyle w:val="65"/>
        <w:spacing w:before="120" w:after="120"/>
        <w:ind w:left="0"/>
        <w:rPr>
          <w:rFonts w:ascii="Times New Roman" w:eastAsia="宋体"/>
        </w:rPr>
      </w:pPr>
      <w:r>
        <w:rPr>
          <w:rFonts w:ascii="Times New Roman" w:eastAsia="宋体"/>
        </w:rPr>
        <w:t>发生一般疫病且有治疗价值的病牛，及时进行隔离和治疗，严格执行用药及休药期规定。</w:t>
      </w:r>
    </w:p>
    <w:p w14:paraId="3CDDE8AB">
      <w:pPr>
        <w:pStyle w:val="65"/>
        <w:spacing w:before="120" w:after="120"/>
        <w:ind w:left="0"/>
        <w:rPr>
          <w:rFonts w:ascii="Times New Roman" w:eastAsia="宋体"/>
        </w:rPr>
      </w:pPr>
      <w:r>
        <w:rPr>
          <w:rFonts w:ascii="Times New Roman" w:eastAsia="宋体"/>
        </w:rPr>
        <w:t>确诊发生重大动物疫病的，严格按照《中华中华人民共和国动物防疫法》、《口蹄疫防治技术规范》及应急处置预案等要求，执行封锁、隔离、扑杀、无害化处理、消毒等疫情处置工作。</w:t>
      </w:r>
    </w:p>
    <w:p w14:paraId="2833BAB2">
      <w:pPr>
        <w:pStyle w:val="105"/>
        <w:spacing w:before="120" w:after="120"/>
        <w:rPr>
          <w:rFonts w:ascii="Times New Roman"/>
        </w:rPr>
      </w:pPr>
      <w:bookmarkStart w:id="89" w:name="_Toc228364138"/>
      <w:r>
        <w:rPr>
          <w:rFonts w:ascii="Times New Roman"/>
        </w:rPr>
        <w:t>应急准备</w:t>
      </w:r>
      <w:bookmarkEnd w:id="89"/>
    </w:p>
    <w:p w14:paraId="638DF895">
      <w:pPr>
        <w:pStyle w:val="65"/>
        <w:spacing w:before="120" w:after="120"/>
        <w:ind w:left="0"/>
        <w:rPr>
          <w:rFonts w:ascii="Times New Roman" w:eastAsia="宋体"/>
        </w:rPr>
      </w:pPr>
      <w:r>
        <w:rPr>
          <w:rFonts w:ascii="Times New Roman" w:eastAsia="宋体"/>
        </w:rPr>
        <w:t>制定重大动物疫情应急处置预案，明确责任人，配备充足的消毒药品、防疫物资、隔离设施等，确保快速响应、规范处置疫情。</w:t>
      </w:r>
    </w:p>
    <w:p w14:paraId="588655A0">
      <w:pPr>
        <w:pStyle w:val="65"/>
        <w:spacing w:before="120" w:after="120"/>
        <w:ind w:left="0"/>
        <w:rPr>
          <w:rFonts w:ascii="Times New Roman" w:eastAsia="宋体"/>
        </w:rPr>
      </w:pPr>
      <w:r>
        <w:rPr>
          <w:rFonts w:ascii="Times New Roman" w:eastAsia="宋体"/>
        </w:rPr>
        <w:t>定期开展应急演练，提升应急处置能力。</w:t>
      </w:r>
    </w:p>
    <w:p w14:paraId="348FD1BD">
      <w:pPr>
        <w:pStyle w:val="104"/>
        <w:spacing w:before="240" w:after="240"/>
        <w:rPr>
          <w:rFonts w:ascii="Times New Roman"/>
        </w:rPr>
      </w:pPr>
      <w:bookmarkStart w:id="90" w:name="_Toc228364139"/>
      <w:r>
        <w:rPr>
          <w:rFonts w:ascii="Times New Roman"/>
        </w:rPr>
        <w:t>无害化处理</w:t>
      </w:r>
      <w:bookmarkEnd w:id="90"/>
    </w:p>
    <w:p w14:paraId="0C6E07BF">
      <w:pPr>
        <w:pStyle w:val="105"/>
        <w:spacing w:before="120" w:after="120"/>
        <w:outlineLvl w:val="9"/>
        <w:rPr>
          <w:rFonts w:ascii="Times New Roman" w:eastAsia="宋体"/>
        </w:rPr>
      </w:pPr>
      <w:bookmarkStart w:id="91" w:name="_Toc228364140"/>
      <w:bookmarkStart w:id="92" w:name="_Toc228362630"/>
      <w:r>
        <w:rPr>
          <w:rFonts w:ascii="Times New Roman" w:eastAsia="宋体"/>
        </w:rPr>
        <w:t>病死牛及病害肉牛、流产胎</w:t>
      </w:r>
      <w:r>
        <w:rPr>
          <w:rFonts w:ascii="Times New Roman" w:eastAsia="微软雅黑"/>
        </w:rPr>
        <w:t>⼉</w:t>
      </w:r>
      <w:r>
        <w:rPr>
          <w:rFonts w:ascii="Times New Roman" w:eastAsia="宋体"/>
        </w:rPr>
        <w:t>、胎衣、污染物等，严格按照《病死及病害动物无害化处理技术规范》处置。</w:t>
      </w:r>
      <w:bookmarkEnd w:id="91"/>
      <w:bookmarkEnd w:id="92"/>
    </w:p>
    <w:p w14:paraId="742BD3D2">
      <w:pPr>
        <w:pStyle w:val="105"/>
        <w:spacing w:before="120" w:after="120"/>
        <w:outlineLvl w:val="9"/>
        <w:rPr>
          <w:rFonts w:ascii="Times New Roman" w:eastAsia="宋体"/>
        </w:rPr>
      </w:pPr>
      <w:bookmarkStart w:id="93" w:name="_Toc228364141"/>
      <w:bookmarkStart w:id="94" w:name="_Toc228362631"/>
      <w:r>
        <w:rPr>
          <w:rFonts w:ascii="Times New Roman" w:eastAsia="宋体"/>
        </w:rPr>
        <w:t>规模化养殖场应配备专用无害化处理设施，或委托具备资质的专业机构统一处理。</w:t>
      </w:r>
      <w:bookmarkEnd w:id="93"/>
      <w:bookmarkEnd w:id="94"/>
    </w:p>
    <w:p w14:paraId="506A0A49">
      <w:pPr>
        <w:pStyle w:val="105"/>
        <w:spacing w:before="120" w:after="120"/>
        <w:outlineLvl w:val="9"/>
        <w:rPr>
          <w:rFonts w:ascii="Times New Roman" w:eastAsia="宋体"/>
        </w:rPr>
      </w:pPr>
      <w:bookmarkStart w:id="95" w:name="_Toc228364142"/>
      <w:bookmarkStart w:id="96" w:name="_Toc228362632"/>
      <w:r>
        <w:rPr>
          <w:rFonts w:ascii="Times New Roman" w:eastAsia="宋体"/>
        </w:rPr>
        <w:t>无害化处理区域定期消毒，做好生物防护，防</w:t>
      </w:r>
      <w:r>
        <w:rPr>
          <w:rFonts w:ascii="Times New Roman" w:eastAsia="微软雅黑"/>
        </w:rPr>
        <w:t>⽌</w:t>
      </w:r>
      <w:r>
        <w:rPr>
          <w:rFonts w:ascii="Times New Roman" w:eastAsia="宋体"/>
        </w:rPr>
        <w:t>病原扩散。</w:t>
      </w:r>
      <w:bookmarkEnd w:id="95"/>
      <w:bookmarkEnd w:id="96"/>
    </w:p>
    <w:p w14:paraId="0F197B0C">
      <w:pPr>
        <w:pStyle w:val="104"/>
        <w:spacing w:before="240" w:after="240"/>
        <w:rPr>
          <w:rFonts w:ascii="Times New Roman"/>
        </w:rPr>
      </w:pPr>
      <w:bookmarkStart w:id="97" w:name="_Toc228364143"/>
      <w:r>
        <w:rPr>
          <w:rFonts w:ascii="Times New Roman"/>
        </w:rPr>
        <w:t>档案管理</w:t>
      </w:r>
      <w:bookmarkEnd w:id="97"/>
    </w:p>
    <w:p w14:paraId="5F923DBF">
      <w:pPr>
        <w:pStyle w:val="105"/>
        <w:spacing w:before="120" w:after="120"/>
        <w:outlineLvl w:val="9"/>
        <w:rPr>
          <w:rFonts w:ascii="Times New Roman" w:eastAsia="宋体"/>
        </w:rPr>
      </w:pPr>
      <w:bookmarkStart w:id="98" w:name="_Toc228364144"/>
      <w:bookmarkStart w:id="99" w:name="_Toc228362634"/>
      <w:r>
        <w:rPr>
          <w:rFonts w:ascii="Times New Roman" w:eastAsia="宋体"/>
        </w:rPr>
        <w:t>建立完整的卫生防疫档案，实行专人管理，记录应真实、完整、清晰，严禁涂改、伪造档案。</w:t>
      </w:r>
      <w:bookmarkEnd w:id="98"/>
      <w:bookmarkEnd w:id="99"/>
    </w:p>
    <w:p w14:paraId="08579FAF">
      <w:pPr>
        <w:pStyle w:val="105"/>
        <w:spacing w:before="120" w:after="120"/>
        <w:outlineLvl w:val="9"/>
        <w:rPr>
          <w:rFonts w:ascii="Times New Roman" w:eastAsia="宋体"/>
        </w:rPr>
      </w:pPr>
      <w:bookmarkStart w:id="100" w:name="_Toc228362635"/>
      <w:bookmarkStart w:id="101" w:name="_Toc228364145"/>
      <w:r>
        <w:rPr>
          <w:rFonts w:ascii="Times New Roman" w:eastAsia="宋体"/>
        </w:rPr>
        <w:t>档案内容完整，应包括</w:t>
      </w:r>
      <w:r>
        <w:rPr>
          <w:rFonts w:ascii="Times New Roman" w:eastAsia="微软雅黑"/>
        </w:rPr>
        <w:t>⼈</w:t>
      </w:r>
      <w:r>
        <w:rPr>
          <w:rFonts w:ascii="Times New Roman" w:eastAsia="宋体"/>
        </w:rPr>
        <w:t>员及车辆出入记录、饲料使用记录、兽药使用记录、消毒记录、肉牛引种记录、驱虫记录、免疫记录、疫病监测记录、无害化处理记录、疫病处置记录等。</w:t>
      </w:r>
      <w:bookmarkEnd w:id="100"/>
      <w:bookmarkEnd w:id="101"/>
    </w:p>
    <w:p w14:paraId="2495A124">
      <w:pPr>
        <w:pStyle w:val="105"/>
        <w:spacing w:before="120" w:after="120"/>
        <w:outlineLvl w:val="9"/>
        <w:rPr>
          <w:rFonts w:ascii="Times New Roman" w:eastAsia="宋体"/>
        </w:rPr>
      </w:pPr>
      <w:bookmarkStart w:id="102" w:name="_Toc228364146"/>
      <w:bookmarkStart w:id="103" w:name="_Toc228362636"/>
      <w:r>
        <w:rPr>
          <w:rFonts w:ascii="Times New Roman" w:eastAsia="宋体"/>
        </w:rPr>
        <w:t>档案资料保存期限不少于2年，确保全程可追溯。</w:t>
      </w:r>
      <w:bookmarkEnd w:id="102"/>
      <w:bookmarkEnd w:id="103"/>
    </w:p>
    <w:p w14:paraId="1B53AE22">
      <w:pPr>
        <w:snapToGrid w:val="0"/>
        <w:spacing w:before="240" w:after="240" w:line="360" w:lineRule="auto"/>
        <w:ind w:left="8" w:hanging="8" w:hangingChars="4"/>
        <w:rPr>
          <w:rFonts w:ascii="Times New Roman" w:hAnsi="Times New Roman"/>
        </w:rPr>
      </w:pPr>
    </w:p>
    <w:p w14:paraId="744C0FD6">
      <w:pPr>
        <w:snapToGrid w:val="0"/>
        <w:spacing w:before="240" w:after="240" w:line="360" w:lineRule="auto"/>
        <w:ind w:left="8" w:hanging="8" w:hangingChars="4"/>
        <w:rPr>
          <w:rFonts w:ascii="Times New Roman" w:hAnsi="Times New Roman"/>
        </w:rPr>
      </w:pPr>
    </w:p>
    <w:p w14:paraId="25087B81">
      <w:pPr>
        <w:snapToGrid w:val="0"/>
        <w:spacing w:before="240" w:after="240" w:line="360" w:lineRule="auto"/>
        <w:ind w:left="8" w:hanging="8" w:hangingChars="4"/>
        <w:rPr>
          <w:rFonts w:ascii="Times New Roman" w:hAnsi="Times New Roman"/>
        </w:rPr>
      </w:pPr>
    </w:p>
    <w:p w14:paraId="5176D9F5">
      <w:pPr>
        <w:rPr>
          <w:rFonts w:ascii="Times New Roman" w:hAnsi="Times New Roman"/>
        </w:rPr>
      </w:pPr>
      <w:r>
        <w:rPr>
          <w:rFonts w:ascii="Times New Roman" w:hAnsi="Times New Roman"/>
        </w:rPr>
        <w:br w:type="page"/>
      </w:r>
    </w:p>
    <w:p w14:paraId="57945A87">
      <w:pPr>
        <w:pStyle w:val="78"/>
        <w:numPr>
          <w:ilvl w:val="0"/>
          <w:numId w:val="0"/>
        </w:numPr>
        <w:spacing w:before="120" w:after="120"/>
        <w:rPr>
          <w:rFonts w:ascii="Times New Roman"/>
        </w:rPr>
        <w:sectPr>
          <w:headerReference r:id="rId17" w:type="default"/>
          <w:footerReference r:id="rId19" w:type="default"/>
          <w:headerReference r:id="rId18" w:type="even"/>
          <w:footerReference r:id="rId20" w:type="even"/>
          <w:pgSz w:w="11906" w:h="16838"/>
          <w:pgMar w:top="1928" w:right="1134" w:bottom="1134" w:left="1134" w:header="1418" w:footer="1134" w:gutter="284"/>
          <w:pgNumType w:start="1"/>
          <w:cols w:space="425" w:num="1"/>
          <w:formProt w:val="0"/>
          <w:docGrid w:linePitch="312" w:charSpace="0"/>
        </w:sectPr>
      </w:pPr>
    </w:p>
    <w:p w14:paraId="7161D4AB">
      <w:pPr>
        <w:pStyle w:val="198"/>
        <w:rPr>
          <w:rFonts w:ascii="Times New Roman" w:hAnsi="Times New Roman"/>
          <w:vanish w:val="0"/>
        </w:rPr>
      </w:pPr>
    </w:p>
    <w:p w14:paraId="512885FA">
      <w:pPr>
        <w:pStyle w:val="199"/>
        <w:rPr>
          <w:rFonts w:ascii="Times New Roman"/>
          <w:vanish w:val="0"/>
        </w:rPr>
      </w:pPr>
    </w:p>
    <w:p w14:paraId="1AA8AA5B">
      <w:pPr>
        <w:pStyle w:val="2"/>
        <w:spacing w:before="240" w:beforeLines="100" w:after="240" w:afterLines="100" w:line="240" w:lineRule="auto"/>
        <w:jc w:val="center"/>
        <w:rPr>
          <w:rFonts w:ascii="Times New Roman" w:hAnsi="Times New Roman" w:eastAsia="黑体"/>
          <w:b w:val="0"/>
          <w:bCs w:val="0"/>
          <w:sz w:val="21"/>
          <w:szCs w:val="21"/>
        </w:rPr>
      </w:pPr>
      <w:bookmarkStart w:id="104" w:name="_Toc228364147"/>
      <w:bookmarkStart w:id="105" w:name="_Hlk228362026"/>
      <w:r>
        <w:rPr>
          <w:rFonts w:ascii="Times New Roman" w:hAnsi="Times New Roman" w:eastAsia="黑体"/>
          <w:b w:val="0"/>
          <w:bCs w:val="0"/>
          <w:sz w:val="21"/>
          <w:szCs w:val="21"/>
        </w:rPr>
        <w:t>附录A</w:t>
      </w:r>
      <w:bookmarkEnd w:id="104"/>
    </w:p>
    <w:p w14:paraId="539C1310">
      <w:pPr>
        <w:snapToGrid w:val="0"/>
        <w:spacing w:before="100" w:after="100" w:line="240" w:lineRule="auto"/>
        <w:jc w:val="center"/>
        <w:rPr>
          <w:rFonts w:ascii="Times New Roman" w:hAnsi="Times New Roman" w:eastAsia="黑体"/>
          <w:bCs/>
        </w:rPr>
      </w:pPr>
      <w:r>
        <w:rPr>
          <w:rFonts w:ascii="Times New Roman" w:hAnsi="Times New Roman" w:eastAsia="黑体"/>
          <w:bCs/>
        </w:rPr>
        <w:t>（规范性附录）</w:t>
      </w:r>
    </w:p>
    <w:p w14:paraId="25943AE2">
      <w:pPr>
        <w:snapToGrid w:val="0"/>
        <w:spacing w:before="100" w:after="100" w:line="240" w:lineRule="auto"/>
        <w:jc w:val="center"/>
        <w:rPr>
          <w:rFonts w:ascii="Times New Roman" w:hAnsi="Times New Roman" w:eastAsia="黑体"/>
          <w:bCs/>
        </w:rPr>
      </w:pPr>
      <w:r>
        <w:rPr>
          <w:rFonts w:ascii="Times New Roman" w:hAnsi="Times New Roman" w:eastAsia="黑体"/>
          <w:bCs/>
        </w:rPr>
        <w:t>常用消毒剂</w:t>
      </w:r>
      <w:bookmarkStart w:id="106" w:name="OLE_LINK25"/>
      <w:bookmarkStart w:id="107" w:name="OLE_LINK30"/>
      <w:r>
        <w:rPr>
          <w:rFonts w:ascii="Times New Roman" w:hAnsi="Times New Roman" w:eastAsia="黑体"/>
          <w:bCs/>
        </w:rPr>
        <w:t>使用方法</w:t>
      </w:r>
      <w:bookmarkEnd w:id="106"/>
      <w:bookmarkEnd w:id="107"/>
      <w:r>
        <w:rPr>
          <w:rFonts w:ascii="Times New Roman" w:hAnsi="Times New Roman" w:eastAsia="黑体"/>
          <w:bCs/>
        </w:rPr>
        <w:t>及注意事项</w:t>
      </w:r>
    </w:p>
    <w:p w14:paraId="42A3C36C">
      <w:pPr>
        <w:snapToGrid w:val="0"/>
        <w:spacing w:before="240" w:after="240" w:line="360" w:lineRule="auto"/>
        <w:ind w:left="17" w:firstLine="420" w:firstLineChars="200"/>
        <w:rPr>
          <w:rFonts w:ascii="Times New Roman" w:hAnsi="Times New Roman"/>
        </w:rPr>
      </w:pPr>
      <w:r>
        <w:rPr>
          <w:rFonts w:ascii="Times New Roman" w:hAnsi="Times New Roman"/>
        </w:rPr>
        <w:t>常用消毒剂及适用</w:t>
      </w:r>
      <w:r>
        <w:rPr>
          <w:rFonts w:ascii="宋体" w:hAnsi="宋体"/>
          <w:bCs/>
        </w:rPr>
        <w:t>范围</w:t>
      </w:r>
      <w:r>
        <w:rPr>
          <w:rFonts w:ascii="Times New Roman" w:hAnsi="Times New Roman"/>
        </w:rPr>
        <w:t>如表A.1所示。</w:t>
      </w:r>
    </w:p>
    <w:p w14:paraId="1F8CDF7A">
      <w:pPr>
        <w:snapToGrid w:val="0"/>
        <w:spacing w:before="240" w:after="240" w:line="360" w:lineRule="auto"/>
        <w:ind w:left="15"/>
        <w:jc w:val="center"/>
        <w:rPr>
          <w:rFonts w:ascii="Times New Roman" w:hAnsi="Times New Roman" w:eastAsia="黑体"/>
          <w:bCs/>
        </w:rPr>
      </w:pPr>
      <w:r>
        <w:rPr>
          <w:rFonts w:ascii="Times New Roman" w:hAnsi="Times New Roman" w:eastAsia="黑体"/>
          <w:bCs/>
        </w:rPr>
        <w:t>表A.1  常用消毒剂使用方法及注意事项</w:t>
      </w:r>
    </w:p>
    <w:tbl>
      <w:tblPr>
        <w:tblStyle w:val="237"/>
        <w:tblW w:w="880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89"/>
        <w:gridCol w:w="1316"/>
        <w:gridCol w:w="1559"/>
        <w:gridCol w:w="1151"/>
        <w:gridCol w:w="1843"/>
        <w:gridCol w:w="1843"/>
      </w:tblGrid>
      <w:tr w14:paraId="2C47DB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5" w:hRule="atLeast"/>
          <w:jc w:val="center"/>
        </w:trPr>
        <w:tc>
          <w:tcPr>
            <w:tcW w:w="1089" w:type="dxa"/>
            <w:vAlign w:val="center"/>
          </w:tcPr>
          <w:p w14:paraId="7A660B9B">
            <w:pPr>
              <w:widowControl/>
              <w:snapToGrid w:val="0"/>
              <w:spacing w:after="0" w:line="240" w:lineRule="auto"/>
              <w:ind w:left="15"/>
              <w:jc w:val="center"/>
              <w:rPr>
                <w:rFonts w:ascii="Times New Roman" w:hAnsi="Times New Roman" w:eastAsia="宋体" w:cs="Times New Roman"/>
                <w:b/>
                <w:snapToGrid/>
                <w:color w:val="1F2329"/>
                <w:kern w:val="0"/>
                <w:lang w:eastAsia="en-US"/>
              </w:rPr>
            </w:pPr>
            <w:r>
              <w:rPr>
                <w:rFonts w:ascii="Times New Roman" w:hAnsi="Times New Roman" w:eastAsia="宋体" w:cs="Times New Roman"/>
                <w:b/>
                <w:snapToGrid/>
                <w:color w:val="1F2329"/>
                <w:kern w:val="0"/>
                <w:lang w:eastAsia="en-US"/>
              </w:rPr>
              <w:t>种类</w:t>
            </w:r>
          </w:p>
        </w:tc>
        <w:tc>
          <w:tcPr>
            <w:tcW w:w="1316" w:type="dxa"/>
            <w:vAlign w:val="center"/>
          </w:tcPr>
          <w:p w14:paraId="37D833AB">
            <w:pPr>
              <w:widowControl/>
              <w:snapToGrid w:val="0"/>
              <w:spacing w:after="0" w:line="240" w:lineRule="auto"/>
              <w:ind w:left="15"/>
              <w:jc w:val="center"/>
              <w:rPr>
                <w:rFonts w:ascii="Times New Roman" w:hAnsi="Times New Roman" w:eastAsia="宋体" w:cs="Times New Roman"/>
                <w:b/>
                <w:snapToGrid/>
                <w:color w:val="1F2329"/>
                <w:kern w:val="0"/>
                <w:lang w:eastAsia="en-US"/>
              </w:rPr>
            </w:pPr>
            <w:r>
              <w:rPr>
                <w:rFonts w:ascii="Times New Roman" w:hAnsi="Times New Roman" w:eastAsia="宋体" w:cs="Times New Roman"/>
                <w:b/>
                <w:snapToGrid/>
                <w:color w:val="1F2329"/>
                <w:kern w:val="0"/>
                <w:lang w:eastAsia="en-US"/>
              </w:rPr>
              <w:t>名称</w:t>
            </w:r>
          </w:p>
        </w:tc>
        <w:tc>
          <w:tcPr>
            <w:tcW w:w="1559" w:type="dxa"/>
            <w:vAlign w:val="center"/>
          </w:tcPr>
          <w:p w14:paraId="7C42F26C">
            <w:pPr>
              <w:widowControl/>
              <w:snapToGrid w:val="0"/>
              <w:spacing w:after="0" w:line="240" w:lineRule="auto"/>
              <w:ind w:left="15"/>
              <w:jc w:val="center"/>
              <w:rPr>
                <w:rFonts w:ascii="Times New Roman" w:hAnsi="Times New Roman" w:eastAsia="宋体" w:cs="Times New Roman"/>
                <w:b/>
                <w:snapToGrid/>
                <w:color w:val="1F2329"/>
                <w:kern w:val="0"/>
                <w:lang w:eastAsia="en-US"/>
              </w:rPr>
            </w:pPr>
            <w:r>
              <w:rPr>
                <w:rFonts w:ascii="Times New Roman" w:hAnsi="Times New Roman" w:eastAsia="宋体" w:cs="Times New Roman"/>
                <w:b/>
                <w:snapToGrid/>
                <w:color w:val="1F2329"/>
                <w:kern w:val="0"/>
                <w:lang w:eastAsia="en-US"/>
              </w:rPr>
              <w:t>工作浓度</w:t>
            </w:r>
          </w:p>
        </w:tc>
        <w:tc>
          <w:tcPr>
            <w:tcW w:w="1151" w:type="dxa"/>
            <w:vAlign w:val="center"/>
          </w:tcPr>
          <w:p w14:paraId="2F5B0821">
            <w:pPr>
              <w:widowControl/>
              <w:snapToGrid w:val="0"/>
              <w:spacing w:after="0" w:line="240" w:lineRule="auto"/>
              <w:ind w:left="15"/>
              <w:jc w:val="center"/>
              <w:rPr>
                <w:rFonts w:ascii="Times New Roman" w:hAnsi="Times New Roman" w:eastAsia="宋体" w:cs="Times New Roman"/>
                <w:b/>
                <w:snapToGrid/>
                <w:color w:val="1F2329"/>
                <w:kern w:val="0"/>
                <w:lang w:eastAsia="en-US"/>
              </w:rPr>
            </w:pPr>
            <w:r>
              <w:rPr>
                <w:rFonts w:ascii="Times New Roman" w:hAnsi="Times New Roman" w:eastAsia="宋体" w:cs="Times New Roman"/>
                <w:b/>
                <w:snapToGrid/>
                <w:color w:val="1F2329"/>
                <w:kern w:val="0"/>
                <w:lang w:eastAsia="en-US"/>
              </w:rPr>
              <w:t>消毒方法</w:t>
            </w:r>
          </w:p>
        </w:tc>
        <w:tc>
          <w:tcPr>
            <w:tcW w:w="1843" w:type="dxa"/>
            <w:vAlign w:val="center"/>
          </w:tcPr>
          <w:p w14:paraId="5253AD3C">
            <w:pPr>
              <w:widowControl/>
              <w:snapToGrid w:val="0"/>
              <w:spacing w:after="0" w:line="240" w:lineRule="auto"/>
              <w:ind w:left="15"/>
              <w:jc w:val="center"/>
              <w:rPr>
                <w:rFonts w:ascii="Times New Roman" w:hAnsi="Times New Roman" w:eastAsia="宋体" w:cs="Times New Roman"/>
                <w:b/>
                <w:snapToGrid/>
                <w:color w:val="1F2329"/>
                <w:kern w:val="0"/>
                <w:lang w:eastAsia="en-US"/>
              </w:rPr>
            </w:pPr>
            <w:r>
              <w:rPr>
                <w:rFonts w:ascii="Times New Roman" w:hAnsi="Times New Roman" w:eastAsia="宋体" w:cs="Times New Roman"/>
                <w:b/>
                <w:snapToGrid/>
                <w:color w:val="1F2329"/>
                <w:kern w:val="0"/>
                <w:lang w:eastAsia="en-US"/>
              </w:rPr>
              <w:t>用途</w:t>
            </w:r>
          </w:p>
        </w:tc>
        <w:tc>
          <w:tcPr>
            <w:tcW w:w="1843" w:type="dxa"/>
            <w:vAlign w:val="center"/>
          </w:tcPr>
          <w:p w14:paraId="6F29A911">
            <w:pPr>
              <w:widowControl/>
              <w:snapToGrid w:val="0"/>
              <w:spacing w:after="0" w:line="240" w:lineRule="auto"/>
              <w:ind w:left="15"/>
              <w:jc w:val="center"/>
              <w:rPr>
                <w:rFonts w:ascii="Times New Roman" w:hAnsi="Times New Roman" w:eastAsia="宋体" w:cs="Times New Roman"/>
                <w:b/>
                <w:snapToGrid/>
                <w:color w:val="1F2329"/>
                <w:kern w:val="0"/>
                <w:lang w:eastAsia="en-US"/>
              </w:rPr>
            </w:pPr>
            <w:r>
              <w:rPr>
                <w:rFonts w:ascii="Times New Roman" w:hAnsi="Times New Roman" w:eastAsia="宋体" w:cs="Times New Roman"/>
                <w:b/>
                <w:snapToGrid/>
                <w:color w:val="1F2329"/>
                <w:kern w:val="0"/>
                <w:lang w:eastAsia="en-US"/>
              </w:rPr>
              <w:t>注意事项</w:t>
            </w:r>
          </w:p>
        </w:tc>
      </w:tr>
      <w:tr w14:paraId="10E075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5" w:hRule="atLeast"/>
          <w:jc w:val="center"/>
        </w:trPr>
        <w:tc>
          <w:tcPr>
            <w:tcW w:w="1089" w:type="dxa"/>
            <w:vAlign w:val="center"/>
          </w:tcPr>
          <w:p w14:paraId="1752AD12">
            <w:pPr>
              <w:widowControl/>
              <w:snapToGrid w:val="0"/>
              <w:spacing w:after="0" w:line="240" w:lineRule="auto"/>
              <w:ind w:left="15"/>
              <w:jc w:val="center"/>
              <w:rPr>
                <w:rFonts w:ascii="宋体" w:hAnsi="宋体" w:eastAsia="宋体" w:cs="Arial"/>
                <w:snapToGrid w:val="0"/>
                <w:color w:val="1F2329"/>
                <w:kern w:val="0"/>
                <w:lang w:eastAsia="en-US"/>
              </w:rPr>
            </w:pPr>
            <w:r>
              <w:rPr>
                <w:rFonts w:hint="eastAsia" w:ascii="宋体" w:hAnsi="宋体" w:eastAsia="宋体" w:cs="Arial"/>
                <w:snapToGrid w:val="0"/>
                <w:color w:val="1F2329"/>
                <w:kern w:val="0"/>
                <w:lang w:eastAsia="en-US"/>
              </w:rPr>
              <w:t>碘类</w:t>
            </w:r>
          </w:p>
        </w:tc>
        <w:tc>
          <w:tcPr>
            <w:tcW w:w="1316" w:type="dxa"/>
            <w:vAlign w:val="center"/>
          </w:tcPr>
          <w:p w14:paraId="59C64083">
            <w:pPr>
              <w:widowControl/>
              <w:snapToGrid w:val="0"/>
              <w:spacing w:after="0" w:line="240" w:lineRule="auto"/>
              <w:ind w:left="15"/>
              <w:jc w:val="center"/>
              <w:rPr>
                <w:rFonts w:ascii="宋体" w:hAnsi="宋体" w:eastAsia="宋体" w:cs="Arial"/>
                <w:snapToGrid w:val="0"/>
                <w:color w:val="1F2329"/>
                <w:kern w:val="0"/>
                <w:lang w:eastAsia="en-US"/>
              </w:rPr>
            </w:pPr>
            <w:bookmarkStart w:id="108" w:name="OLE_LINK14"/>
            <w:bookmarkStart w:id="109" w:name="OLE_LINK13"/>
            <w:r>
              <w:rPr>
                <w:rFonts w:hint="eastAsia" w:ascii="宋体" w:hAnsi="宋体" w:eastAsia="宋体" w:cs="Arial"/>
                <w:snapToGrid w:val="0"/>
                <w:color w:val="1F2329"/>
                <w:kern w:val="0"/>
                <w:lang w:eastAsia="en-US"/>
              </w:rPr>
              <w:t>碘伏</w:t>
            </w:r>
            <w:bookmarkEnd w:id="108"/>
            <w:bookmarkEnd w:id="109"/>
          </w:p>
        </w:tc>
        <w:tc>
          <w:tcPr>
            <w:tcW w:w="1559" w:type="dxa"/>
            <w:vAlign w:val="center"/>
          </w:tcPr>
          <w:p w14:paraId="25A5CB8A">
            <w:pPr>
              <w:widowControl/>
              <w:snapToGrid w:val="0"/>
              <w:spacing w:after="0" w:line="240" w:lineRule="auto"/>
              <w:ind w:left="15" w:firstLine="210" w:firstLineChars="100"/>
              <w:rPr>
                <w:rFonts w:ascii="宋体" w:hAnsi="宋体" w:eastAsia="宋体" w:cs="Arial"/>
                <w:snapToGrid w:val="0"/>
                <w:color w:val="1F2329"/>
                <w:kern w:val="0"/>
                <w:lang w:eastAsia="en-US"/>
              </w:rPr>
            </w:pPr>
            <w:r>
              <w:rPr>
                <w:rFonts w:ascii="Times New Roman" w:hAnsi="Times New Roman" w:eastAsia="宋体" w:cs="Times New Roman"/>
                <w:bCs/>
                <w:snapToGrid/>
                <w:color w:val="1F2329"/>
                <w:kern w:val="0"/>
                <w:lang w:eastAsia="en-US"/>
              </w:rPr>
              <w:t>0.5%～</w:t>
            </w:r>
            <w:r>
              <w:rPr>
                <w:rFonts w:hint="eastAsia" w:ascii="Times New Roman" w:hAnsi="Times New Roman" w:eastAsia="宋体" w:cs="Times New Roman"/>
                <w:bCs/>
                <w:snapToGrid/>
                <w:color w:val="1F2329"/>
                <w:kern w:val="0"/>
                <w:lang w:eastAsia="zh-CN"/>
              </w:rPr>
              <w:t>1</w:t>
            </w:r>
            <w:r>
              <w:rPr>
                <w:rFonts w:ascii="Times New Roman" w:hAnsi="Times New Roman" w:eastAsia="宋体" w:cs="Times New Roman"/>
                <w:bCs/>
                <w:snapToGrid/>
                <w:color w:val="1F2329"/>
                <w:kern w:val="0"/>
                <w:lang w:eastAsia="en-US"/>
              </w:rPr>
              <w:t>%</w:t>
            </w:r>
          </w:p>
        </w:tc>
        <w:tc>
          <w:tcPr>
            <w:tcW w:w="1151" w:type="dxa"/>
            <w:vAlign w:val="center"/>
          </w:tcPr>
          <w:p w14:paraId="2D88A3CC">
            <w:pPr>
              <w:widowControl/>
              <w:snapToGrid w:val="0"/>
              <w:spacing w:after="0" w:line="240" w:lineRule="auto"/>
              <w:ind w:left="15"/>
              <w:jc w:val="center"/>
              <w:rPr>
                <w:rFonts w:ascii="Times New Roman" w:hAnsi="Times New Roman" w:eastAsia="宋体" w:cs="Times New Roman"/>
                <w:bCs/>
                <w:snapToGrid/>
                <w:color w:val="1F2329"/>
                <w:kern w:val="0"/>
                <w:lang w:eastAsia="zh-CN"/>
              </w:rPr>
            </w:pPr>
            <w:r>
              <w:rPr>
                <w:rFonts w:hint="eastAsia" w:ascii="Times New Roman" w:hAnsi="Times New Roman" w:eastAsia="宋体" w:cs="Times New Roman"/>
                <w:bCs/>
                <w:snapToGrid/>
                <w:color w:val="1F2329"/>
                <w:kern w:val="0"/>
                <w:lang w:eastAsia="zh-CN"/>
              </w:rPr>
              <w:t>涂抹</w:t>
            </w:r>
          </w:p>
          <w:p w14:paraId="647E40D3">
            <w:pPr>
              <w:widowControl/>
              <w:snapToGrid w:val="0"/>
              <w:spacing w:after="0" w:line="240" w:lineRule="auto"/>
              <w:ind w:left="15"/>
              <w:jc w:val="center"/>
              <w:rPr>
                <w:rFonts w:ascii="Times New Roman" w:hAnsi="Times New Roman" w:cs="Arial" w:eastAsiaTheme="minorEastAsia"/>
                <w:b/>
                <w:snapToGrid w:val="0"/>
                <w:color w:val="1F2329"/>
                <w:kern w:val="0"/>
                <w:lang w:eastAsia="en-US"/>
              </w:rPr>
            </w:pPr>
            <w:r>
              <w:rPr>
                <w:rFonts w:hint="eastAsia" w:ascii="Times New Roman" w:hAnsi="Times New Roman" w:eastAsia="宋体" w:cs="Times New Roman"/>
                <w:bCs/>
                <w:snapToGrid/>
                <w:color w:val="1F2329"/>
                <w:kern w:val="0"/>
                <w:lang w:eastAsia="zh-CN"/>
              </w:rPr>
              <w:t>浸泡</w:t>
            </w:r>
          </w:p>
        </w:tc>
        <w:tc>
          <w:tcPr>
            <w:tcW w:w="1843" w:type="dxa"/>
            <w:vAlign w:val="center"/>
          </w:tcPr>
          <w:p w14:paraId="50EE3A56">
            <w:pPr>
              <w:widowControl/>
              <w:snapToGrid w:val="0"/>
              <w:spacing w:after="0" w:line="240" w:lineRule="auto"/>
              <w:ind w:left="17"/>
              <w:jc w:val="center"/>
              <w:rPr>
                <w:rFonts w:ascii="Times New Roman" w:hAnsi="Times New Roman" w:eastAsia="宋体" w:cs="Times New Roman"/>
                <w:bCs/>
                <w:snapToGrid/>
                <w:color w:val="1F2329"/>
                <w:kern w:val="0"/>
                <w:lang w:eastAsia="zh-CN"/>
              </w:rPr>
            </w:pPr>
            <w:r>
              <w:rPr>
                <w:rFonts w:hint="eastAsia" w:ascii="Times New Roman" w:hAnsi="Times New Roman" w:eastAsia="宋体" w:cs="Times New Roman"/>
                <w:bCs/>
                <w:snapToGrid/>
                <w:color w:val="1F2329"/>
                <w:kern w:val="0"/>
                <w:lang w:eastAsia="zh-CN"/>
              </w:rPr>
              <w:t>皮肤、粘膜、</w:t>
            </w:r>
          </w:p>
          <w:p w14:paraId="5A89DABB">
            <w:pPr>
              <w:widowControl/>
              <w:snapToGrid w:val="0"/>
              <w:spacing w:after="0" w:line="240" w:lineRule="auto"/>
              <w:ind w:left="17"/>
              <w:jc w:val="center"/>
              <w:rPr>
                <w:rFonts w:ascii="Times New Roman" w:hAnsi="Times New Roman" w:eastAsia="宋体" w:cs="Times New Roman"/>
                <w:bCs/>
                <w:snapToGrid/>
                <w:color w:val="1F2329"/>
                <w:kern w:val="0"/>
                <w:lang w:eastAsia="zh-CN"/>
              </w:rPr>
            </w:pPr>
            <w:r>
              <w:rPr>
                <w:rFonts w:hint="eastAsia" w:ascii="Times New Roman" w:hAnsi="Times New Roman" w:eastAsia="宋体" w:cs="Times New Roman"/>
                <w:bCs/>
                <w:snapToGrid/>
                <w:color w:val="1F2329"/>
                <w:kern w:val="0"/>
                <w:lang w:eastAsia="zh-CN"/>
              </w:rPr>
              <w:t>诊疗器械等物体表面的消毒</w:t>
            </w:r>
          </w:p>
        </w:tc>
        <w:tc>
          <w:tcPr>
            <w:tcW w:w="1843" w:type="dxa"/>
            <w:vAlign w:val="center"/>
          </w:tcPr>
          <w:p w14:paraId="344A49DB">
            <w:pPr>
              <w:widowControl/>
              <w:snapToGrid w:val="0"/>
              <w:spacing w:after="0" w:line="240" w:lineRule="auto"/>
              <w:ind w:left="15"/>
              <w:jc w:val="center"/>
              <w:rPr>
                <w:rFonts w:ascii="Times New Roman" w:hAnsi="Times New Roman" w:eastAsia="宋体" w:cs="Times New Roman"/>
                <w:bCs/>
                <w:snapToGrid/>
                <w:color w:val="1F2329"/>
                <w:kern w:val="0"/>
                <w:lang w:eastAsia="zh-CN"/>
              </w:rPr>
            </w:pPr>
            <w:r>
              <w:rPr>
                <w:rFonts w:hint="eastAsia" w:ascii="Times New Roman" w:hAnsi="Times New Roman" w:eastAsia="宋体" w:cs="Times New Roman"/>
                <w:bCs/>
                <w:snapToGrid/>
                <w:color w:val="1F2329"/>
                <w:kern w:val="0"/>
                <w:lang w:eastAsia="zh-CN"/>
              </w:rPr>
              <w:t>单独使用</w:t>
            </w:r>
          </w:p>
          <w:p w14:paraId="75993057">
            <w:pPr>
              <w:widowControl/>
              <w:snapToGrid w:val="0"/>
              <w:spacing w:after="0" w:line="240" w:lineRule="auto"/>
              <w:ind w:left="15"/>
              <w:jc w:val="center"/>
              <w:rPr>
                <w:rFonts w:ascii="Times New Roman" w:hAnsi="Times New Roman" w:eastAsia="宋体" w:cs="Times New Roman"/>
                <w:bCs/>
                <w:snapToGrid/>
                <w:color w:val="1F2329"/>
                <w:kern w:val="0"/>
                <w:lang w:eastAsia="zh-CN"/>
              </w:rPr>
            </w:pPr>
            <w:r>
              <w:rPr>
                <w:rFonts w:hint="eastAsia" w:ascii="Times New Roman" w:hAnsi="Times New Roman" w:eastAsia="宋体" w:cs="Times New Roman"/>
                <w:bCs/>
                <w:snapToGrid/>
                <w:color w:val="1F2329"/>
                <w:kern w:val="0"/>
                <w:lang w:eastAsia="zh-CN"/>
              </w:rPr>
              <w:t>避光、密封保存</w:t>
            </w:r>
          </w:p>
        </w:tc>
      </w:tr>
      <w:tr w14:paraId="2958A9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5" w:hRule="atLeast"/>
          <w:jc w:val="center"/>
        </w:trPr>
        <w:tc>
          <w:tcPr>
            <w:tcW w:w="1089" w:type="dxa"/>
            <w:vMerge w:val="restart"/>
            <w:vAlign w:val="center"/>
          </w:tcPr>
          <w:p w14:paraId="5BCDCCF9">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碱类</w:t>
            </w:r>
          </w:p>
        </w:tc>
        <w:tc>
          <w:tcPr>
            <w:tcW w:w="1316" w:type="dxa"/>
            <w:vAlign w:val="center"/>
          </w:tcPr>
          <w:p w14:paraId="013D422E">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烧碱</w:t>
            </w:r>
          </w:p>
          <w:p w14:paraId="26208A65">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（氢氧化钠）</w:t>
            </w:r>
          </w:p>
        </w:tc>
        <w:tc>
          <w:tcPr>
            <w:tcW w:w="1559" w:type="dxa"/>
            <w:vAlign w:val="center"/>
          </w:tcPr>
          <w:p w14:paraId="496A1A8F">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1%～3%</w:t>
            </w:r>
          </w:p>
        </w:tc>
        <w:tc>
          <w:tcPr>
            <w:tcW w:w="1151" w:type="dxa"/>
            <w:vMerge w:val="restart"/>
            <w:vAlign w:val="center"/>
          </w:tcPr>
          <w:p w14:paraId="0689CB70">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喷洒</w:t>
            </w:r>
          </w:p>
        </w:tc>
        <w:tc>
          <w:tcPr>
            <w:tcW w:w="1843" w:type="dxa"/>
            <w:vMerge w:val="restart"/>
            <w:vAlign w:val="center"/>
          </w:tcPr>
          <w:p w14:paraId="6F4E3DA2">
            <w:pPr>
              <w:widowControl/>
              <w:snapToGrid w:val="0"/>
              <w:spacing w:after="0" w:line="240" w:lineRule="auto"/>
              <w:ind w:left="17"/>
              <w:jc w:val="center"/>
              <w:rPr>
                <w:rFonts w:ascii="Times New Roman" w:hAnsi="Times New Roman" w:eastAsia="宋体" w:cs="Times New Roman"/>
                <w:bCs/>
                <w:snapToGrid/>
                <w:color w:val="1F2329"/>
                <w:kern w:val="0"/>
                <w:lang w:eastAsia="zh-CN"/>
              </w:rPr>
            </w:pPr>
            <w:r>
              <w:rPr>
                <w:rFonts w:ascii="Times New Roman" w:hAnsi="Times New Roman" w:eastAsia="宋体" w:cs="Times New Roman"/>
                <w:bCs/>
                <w:snapToGrid/>
                <w:color w:val="1F2329"/>
                <w:kern w:val="0"/>
                <w:lang w:eastAsia="zh-CN"/>
              </w:rPr>
              <w:t>圈舍、运动场、饲槽、污水池、粪便发酵池等的环境消毒</w:t>
            </w:r>
          </w:p>
        </w:tc>
        <w:tc>
          <w:tcPr>
            <w:tcW w:w="1843" w:type="dxa"/>
            <w:vMerge w:val="restart"/>
            <w:vAlign w:val="center"/>
          </w:tcPr>
          <w:p w14:paraId="279F67AA">
            <w:pPr>
              <w:widowControl/>
              <w:snapToGrid w:val="0"/>
              <w:spacing w:after="0" w:line="240" w:lineRule="auto"/>
              <w:ind w:left="15"/>
              <w:jc w:val="center"/>
              <w:rPr>
                <w:rFonts w:ascii="Times New Roman" w:hAnsi="Times New Roman" w:eastAsia="宋体" w:cs="Times New Roman"/>
                <w:bCs/>
                <w:snapToGrid/>
                <w:color w:val="1F2329"/>
                <w:kern w:val="0"/>
                <w:lang w:eastAsia="zh-CN"/>
              </w:rPr>
            </w:pPr>
            <w:r>
              <w:rPr>
                <w:rFonts w:ascii="Times New Roman" w:hAnsi="Times New Roman" w:eastAsia="宋体" w:cs="Times New Roman"/>
                <w:bCs/>
                <w:snapToGrid/>
                <w:color w:val="1F2329"/>
                <w:kern w:val="0"/>
                <w:lang w:eastAsia="zh-CN"/>
              </w:rPr>
              <w:t>有腐蚀作用，注意自身防护；消毒约6小时；饲槽等使用前需用清水冲洗</w:t>
            </w:r>
          </w:p>
        </w:tc>
      </w:tr>
      <w:tr w14:paraId="12CDCC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0" w:hRule="atLeast"/>
          <w:jc w:val="center"/>
        </w:trPr>
        <w:tc>
          <w:tcPr>
            <w:tcW w:w="1089" w:type="dxa"/>
            <w:vMerge w:val="continue"/>
            <w:vAlign w:val="center"/>
          </w:tcPr>
          <w:p w14:paraId="496469FB">
            <w:pPr>
              <w:widowControl/>
              <w:snapToGrid w:val="0"/>
              <w:spacing w:after="0" w:line="240" w:lineRule="auto"/>
              <w:ind w:left="15"/>
              <w:jc w:val="center"/>
              <w:rPr>
                <w:rFonts w:ascii="Times New Roman" w:hAnsi="Times New Roman" w:eastAsia="宋体" w:cs="Times New Roman"/>
                <w:bCs/>
                <w:snapToGrid/>
                <w:color w:val="1F2329"/>
                <w:kern w:val="0"/>
                <w:lang w:eastAsia="zh-CN"/>
              </w:rPr>
            </w:pPr>
          </w:p>
        </w:tc>
        <w:tc>
          <w:tcPr>
            <w:tcW w:w="1316" w:type="dxa"/>
            <w:vAlign w:val="center"/>
          </w:tcPr>
          <w:p w14:paraId="2C42AF0E">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生石灰</w:t>
            </w:r>
          </w:p>
          <w:p w14:paraId="15428301">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（氧化钙）</w:t>
            </w:r>
          </w:p>
        </w:tc>
        <w:tc>
          <w:tcPr>
            <w:tcW w:w="1559" w:type="dxa"/>
            <w:vAlign w:val="center"/>
          </w:tcPr>
          <w:p w14:paraId="33A88BD0">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20%</w:t>
            </w:r>
          </w:p>
        </w:tc>
        <w:tc>
          <w:tcPr>
            <w:tcW w:w="1151" w:type="dxa"/>
            <w:vMerge w:val="continue"/>
            <w:vAlign w:val="center"/>
          </w:tcPr>
          <w:p w14:paraId="64088B38">
            <w:pPr>
              <w:widowControl/>
              <w:snapToGrid w:val="0"/>
              <w:spacing w:after="0" w:line="240" w:lineRule="auto"/>
              <w:ind w:left="15"/>
              <w:jc w:val="center"/>
              <w:rPr>
                <w:rFonts w:ascii="Times New Roman" w:hAnsi="Times New Roman" w:eastAsia="宋体" w:cs="Times New Roman"/>
                <w:bCs/>
                <w:snapToGrid/>
                <w:color w:val="1F2329"/>
                <w:kern w:val="0"/>
                <w:lang w:eastAsia="en-US"/>
              </w:rPr>
            </w:pPr>
          </w:p>
        </w:tc>
        <w:tc>
          <w:tcPr>
            <w:tcW w:w="1843" w:type="dxa"/>
            <w:vMerge w:val="continue"/>
            <w:vAlign w:val="center"/>
          </w:tcPr>
          <w:p w14:paraId="36D1C952">
            <w:pPr>
              <w:widowControl/>
              <w:snapToGrid w:val="0"/>
              <w:spacing w:after="0" w:line="240" w:lineRule="auto"/>
              <w:ind w:left="15"/>
              <w:jc w:val="center"/>
              <w:rPr>
                <w:rFonts w:ascii="Times New Roman" w:hAnsi="Times New Roman" w:eastAsia="宋体" w:cs="Times New Roman"/>
                <w:bCs/>
                <w:snapToGrid/>
                <w:color w:val="1F2329"/>
                <w:kern w:val="0"/>
                <w:lang w:eastAsia="en-US"/>
              </w:rPr>
            </w:pPr>
          </w:p>
        </w:tc>
        <w:tc>
          <w:tcPr>
            <w:tcW w:w="1843" w:type="dxa"/>
            <w:vMerge w:val="continue"/>
            <w:vAlign w:val="center"/>
          </w:tcPr>
          <w:p w14:paraId="292530CC">
            <w:pPr>
              <w:widowControl/>
              <w:snapToGrid w:val="0"/>
              <w:spacing w:after="0" w:line="240" w:lineRule="auto"/>
              <w:ind w:left="15"/>
              <w:jc w:val="center"/>
              <w:rPr>
                <w:rFonts w:ascii="Times New Roman" w:hAnsi="Times New Roman" w:eastAsia="宋体" w:cs="Times New Roman"/>
                <w:bCs/>
                <w:snapToGrid/>
                <w:color w:val="1F2329"/>
                <w:kern w:val="0"/>
                <w:lang w:eastAsia="en-US"/>
              </w:rPr>
            </w:pPr>
          </w:p>
        </w:tc>
      </w:tr>
      <w:tr w14:paraId="64FB6D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9" w:hRule="atLeast"/>
          <w:jc w:val="center"/>
        </w:trPr>
        <w:tc>
          <w:tcPr>
            <w:tcW w:w="1089" w:type="dxa"/>
            <w:vMerge w:val="restart"/>
            <w:vAlign w:val="center"/>
          </w:tcPr>
          <w:p w14:paraId="7C1A665D">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卤素类</w:t>
            </w:r>
          </w:p>
        </w:tc>
        <w:tc>
          <w:tcPr>
            <w:tcW w:w="1316" w:type="dxa"/>
            <w:vAlign w:val="center"/>
          </w:tcPr>
          <w:p w14:paraId="1BD5F4D9">
            <w:pPr>
              <w:widowControl/>
              <w:snapToGrid w:val="0"/>
              <w:spacing w:after="0" w:line="240" w:lineRule="auto"/>
              <w:ind w:left="15"/>
              <w:jc w:val="center"/>
              <w:rPr>
                <w:rFonts w:ascii="Times New Roman" w:hAnsi="Times New Roman" w:eastAsia="宋体" w:cs="Times New Roman"/>
                <w:bCs/>
                <w:snapToGrid/>
                <w:color w:val="1F2329"/>
                <w:kern w:val="0"/>
                <w:lang w:eastAsia="en-US"/>
              </w:rPr>
            </w:pPr>
            <w:bookmarkStart w:id="110" w:name="OLE_LINK42"/>
            <w:bookmarkStart w:id="111" w:name="OLE_LINK41"/>
            <w:r>
              <w:rPr>
                <w:rFonts w:ascii="Times New Roman" w:hAnsi="Times New Roman" w:eastAsia="宋体" w:cs="Times New Roman"/>
                <w:bCs/>
                <w:snapToGrid/>
                <w:color w:val="1F2329"/>
                <w:kern w:val="0"/>
                <w:lang w:eastAsia="en-US"/>
              </w:rPr>
              <w:t>漂白粉</w:t>
            </w:r>
            <w:bookmarkEnd w:id="110"/>
            <w:bookmarkEnd w:id="111"/>
          </w:p>
        </w:tc>
        <w:tc>
          <w:tcPr>
            <w:tcW w:w="1559" w:type="dxa"/>
            <w:vAlign w:val="center"/>
          </w:tcPr>
          <w:p w14:paraId="7A1EF46E">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2%～20%</w:t>
            </w:r>
          </w:p>
        </w:tc>
        <w:tc>
          <w:tcPr>
            <w:tcW w:w="1151" w:type="dxa"/>
            <w:vMerge w:val="restart"/>
            <w:tcBorders>
              <w:bottom w:val="nil"/>
            </w:tcBorders>
            <w:vAlign w:val="center"/>
          </w:tcPr>
          <w:p w14:paraId="10942ABB">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喷洒</w:t>
            </w:r>
          </w:p>
          <w:p w14:paraId="1F380AB2">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喷雾</w:t>
            </w:r>
          </w:p>
          <w:p w14:paraId="43FF226F">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浸泡</w:t>
            </w:r>
          </w:p>
        </w:tc>
        <w:tc>
          <w:tcPr>
            <w:tcW w:w="1843" w:type="dxa"/>
            <w:vMerge w:val="restart"/>
            <w:vAlign w:val="center"/>
          </w:tcPr>
          <w:p w14:paraId="2DD8D903">
            <w:pPr>
              <w:widowControl/>
              <w:snapToGrid w:val="0"/>
              <w:spacing w:after="0" w:line="240" w:lineRule="auto"/>
              <w:ind w:left="15"/>
              <w:jc w:val="center"/>
              <w:rPr>
                <w:rFonts w:ascii="Times New Roman" w:hAnsi="Times New Roman" w:eastAsia="宋体" w:cs="Times New Roman"/>
                <w:bCs/>
                <w:snapToGrid/>
                <w:color w:val="1F2329"/>
                <w:kern w:val="0"/>
                <w:lang w:eastAsia="zh-CN"/>
              </w:rPr>
            </w:pPr>
            <w:r>
              <w:rPr>
                <w:rFonts w:ascii="Times New Roman" w:hAnsi="Times New Roman" w:eastAsia="宋体" w:cs="Times New Roman"/>
                <w:bCs/>
                <w:snapToGrid/>
                <w:color w:val="1F2329"/>
                <w:kern w:val="0"/>
                <w:lang w:eastAsia="zh-CN"/>
              </w:rPr>
              <w:t>污水池、污水出口等处的水源消毒</w:t>
            </w:r>
          </w:p>
        </w:tc>
        <w:tc>
          <w:tcPr>
            <w:tcW w:w="1843" w:type="dxa"/>
            <w:vMerge w:val="restart"/>
            <w:vAlign w:val="center"/>
          </w:tcPr>
          <w:p w14:paraId="730A1603">
            <w:pPr>
              <w:widowControl/>
              <w:snapToGrid w:val="0"/>
              <w:spacing w:after="0" w:line="240" w:lineRule="auto"/>
              <w:ind w:left="15"/>
              <w:jc w:val="center"/>
              <w:rPr>
                <w:rFonts w:ascii="Times New Roman" w:hAnsi="Times New Roman" w:eastAsia="宋体" w:cs="Times New Roman"/>
                <w:bCs/>
                <w:snapToGrid/>
                <w:color w:val="1F2329"/>
                <w:kern w:val="0"/>
                <w:lang w:eastAsia="zh-CN"/>
              </w:rPr>
            </w:pPr>
            <w:r>
              <w:rPr>
                <w:rFonts w:ascii="Times New Roman" w:hAnsi="Times New Roman" w:eastAsia="宋体" w:cs="Times New Roman"/>
                <w:bCs/>
                <w:snapToGrid/>
                <w:color w:val="1F2329"/>
                <w:kern w:val="0"/>
                <w:lang w:eastAsia="zh-CN"/>
              </w:rPr>
              <w:t>单独储存于阴凉通风处，具腐蚀性，有刺激性气味，操作注意防护</w:t>
            </w:r>
          </w:p>
        </w:tc>
      </w:tr>
      <w:tr w14:paraId="4B2AF1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42" w:hRule="atLeast"/>
          <w:jc w:val="center"/>
        </w:trPr>
        <w:tc>
          <w:tcPr>
            <w:tcW w:w="1089" w:type="dxa"/>
            <w:vMerge w:val="continue"/>
            <w:vAlign w:val="center"/>
          </w:tcPr>
          <w:p w14:paraId="1CAC2234">
            <w:pPr>
              <w:widowControl/>
              <w:snapToGrid w:val="0"/>
              <w:spacing w:after="0" w:line="240" w:lineRule="auto"/>
              <w:ind w:left="15"/>
              <w:jc w:val="center"/>
              <w:rPr>
                <w:rFonts w:ascii="Times New Roman" w:hAnsi="Times New Roman" w:eastAsia="宋体" w:cs="Times New Roman"/>
                <w:bCs/>
                <w:snapToGrid/>
                <w:color w:val="1F2329"/>
                <w:kern w:val="0"/>
                <w:lang w:eastAsia="zh-CN"/>
              </w:rPr>
            </w:pPr>
          </w:p>
        </w:tc>
        <w:tc>
          <w:tcPr>
            <w:tcW w:w="1316" w:type="dxa"/>
            <w:vAlign w:val="center"/>
          </w:tcPr>
          <w:p w14:paraId="12A8E4E2">
            <w:pPr>
              <w:widowControl/>
              <w:snapToGrid w:val="0"/>
              <w:spacing w:after="0" w:line="240" w:lineRule="auto"/>
              <w:ind w:left="15"/>
              <w:jc w:val="center"/>
              <w:rPr>
                <w:rFonts w:ascii="Times New Roman" w:hAnsi="Times New Roman" w:eastAsia="宋体" w:cs="Times New Roman"/>
                <w:bCs/>
                <w:snapToGrid/>
                <w:color w:val="1F2329"/>
                <w:kern w:val="0"/>
                <w:lang w:eastAsia="en-US"/>
              </w:rPr>
            </w:pPr>
            <w:bookmarkStart w:id="112" w:name="OLE_LINK40"/>
            <w:bookmarkStart w:id="113" w:name="OLE_LINK37"/>
            <w:r>
              <w:rPr>
                <w:rFonts w:ascii="Times New Roman" w:hAnsi="Times New Roman" w:eastAsia="宋体" w:cs="Times New Roman"/>
                <w:bCs/>
                <w:snapToGrid/>
                <w:color w:val="1F2329"/>
                <w:kern w:val="0"/>
                <w:lang w:eastAsia="en-US"/>
              </w:rPr>
              <w:t>次氯酸钙</w:t>
            </w:r>
            <w:bookmarkEnd w:id="112"/>
            <w:bookmarkEnd w:id="113"/>
          </w:p>
        </w:tc>
        <w:tc>
          <w:tcPr>
            <w:tcW w:w="1559" w:type="dxa"/>
            <w:vAlign w:val="center"/>
          </w:tcPr>
          <w:p w14:paraId="74616A38">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0.3%～6%</w:t>
            </w:r>
          </w:p>
        </w:tc>
        <w:tc>
          <w:tcPr>
            <w:tcW w:w="1151" w:type="dxa"/>
            <w:vMerge w:val="continue"/>
            <w:tcBorders>
              <w:top w:val="nil"/>
              <w:bottom w:val="nil"/>
            </w:tcBorders>
            <w:vAlign w:val="center"/>
          </w:tcPr>
          <w:p w14:paraId="5834E86B">
            <w:pPr>
              <w:widowControl/>
              <w:snapToGrid w:val="0"/>
              <w:spacing w:after="0" w:line="240" w:lineRule="auto"/>
              <w:ind w:left="15"/>
              <w:jc w:val="center"/>
              <w:rPr>
                <w:rFonts w:ascii="Times New Roman" w:hAnsi="Times New Roman" w:eastAsia="宋体" w:cs="Times New Roman"/>
                <w:bCs/>
                <w:snapToGrid/>
                <w:color w:val="1F2329"/>
                <w:kern w:val="0"/>
                <w:lang w:eastAsia="en-US"/>
              </w:rPr>
            </w:pPr>
          </w:p>
        </w:tc>
        <w:tc>
          <w:tcPr>
            <w:tcW w:w="1843" w:type="dxa"/>
            <w:vMerge w:val="continue"/>
            <w:vAlign w:val="center"/>
          </w:tcPr>
          <w:p w14:paraId="00C5374D">
            <w:pPr>
              <w:widowControl/>
              <w:snapToGrid w:val="0"/>
              <w:spacing w:after="0" w:line="240" w:lineRule="auto"/>
              <w:ind w:left="15"/>
              <w:jc w:val="center"/>
              <w:rPr>
                <w:rFonts w:ascii="Times New Roman" w:hAnsi="Times New Roman" w:eastAsia="宋体" w:cs="Times New Roman"/>
                <w:bCs/>
                <w:snapToGrid/>
                <w:color w:val="1F2329"/>
                <w:kern w:val="0"/>
                <w:lang w:eastAsia="en-US"/>
              </w:rPr>
            </w:pPr>
          </w:p>
        </w:tc>
        <w:tc>
          <w:tcPr>
            <w:tcW w:w="1843" w:type="dxa"/>
            <w:vMerge w:val="continue"/>
            <w:vAlign w:val="center"/>
          </w:tcPr>
          <w:p w14:paraId="28E74410">
            <w:pPr>
              <w:widowControl/>
              <w:snapToGrid w:val="0"/>
              <w:spacing w:after="0" w:line="240" w:lineRule="auto"/>
              <w:ind w:left="15"/>
              <w:jc w:val="center"/>
              <w:rPr>
                <w:rFonts w:ascii="Times New Roman" w:hAnsi="Times New Roman" w:eastAsia="宋体" w:cs="Times New Roman"/>
                <w:bCs/>
                <w:snapToGrid/>
                <w:color w:val="1F2329"/>
                <w:kern w:val="0"/>
                <w:lang w:eastAsia="en-US"/>
              </w:rPr>
            </w:pPr>
          </w:p>
        </w:tc>
      </w:tr>
      <w:tr w14:paraId="351165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jc w:val="center"/>
        </w:trPr>
        <w:tc>
          <w:tcPr>
            <w:tcW w:w="1089" w:type="dxa"/>
            <w:vMerge w:val="continue"/>
            <w:vAlign w:val="center"/>
          </w:tcPr>
          <w:p w14:paraId="497BEEB9">
            <w:pPr>
              <w:widowControl/>
              <w:snapToGrid w:val="0"/>
              <w:spacing w:after="0" w:line="240" w:lineRule="auto"/>
              <w:ind w:left="15"/>
              <w:jc w:val="center"/>
              <w:rPr>
                <w:rFonts w:ascii="Times New Roman" w:hAnsi="Times New Roman" w:eastAsia="宋体" w:cs="Times New Roman"/>
                <w:bCs/>
                <w:snapToGrid/>
                <w:color w:val="1F2329"/>
                <w:kern w:val="0"/>
                <w:lang w:eastAsia="en-US"/>
              </w:rPr>
            </w:pPr>
          </w:p>
        </w:tc>
        <w:tc>
          <w:tcPr>
            <w:tcW w:w="1316" w:type="dxa"/>
            <w:vAlign w:val="center"/>
          </w:tcPr>
          <w:p w14:paraId="3281F963">
            <w:pPr>
              <w:widowControl/>
              <w:snapToGrid w:val="0"/>
              <w:spacing w:after="0" w:line="240" w:lineRule="auto"/>
              <w:ind w:left="15"/>
              <w:jc w:val="center"/>
              <w:rPr>
                <w:rFonts w:ascii="Times New Roman" w:hAnsi="Times New Roman" w:eastAsia="宋体" w:cs="Times New Roman"/>
                <w:bCs/>
                <w:snapToGrid/>
                <w:color w:val="1F2329"/>
                <w:kern w:val="0"/>
                <w:lang w:eastAsia="en-US"/>
              </w:rPr>
            </w:pPr>
            <w:bookmarkStart w:id="114" w:name="OLE_LINK53"/>
            <w:bookmarkStart w:id="115" w:name="OLE_LINK43"/>
            <w:r>
              <w:rPr>
                <w:rFonts w:ascii="Times New Roman" w:hAnsi="Times New Roman" w:eastAsia="宋体" w:cs="Times New Roman"/>
                <w:bCs/>
                <w:snapToGrid/>
                <w:color w:val="1F2329"/>
                <w:kern w:val="0"/>
                <w:lang w:eastAsia="en-US"/>
              </w:rPr>
              <w:t>优氯净</w:t>
            </w:r>
            <w:bookmarkEnd w:id="114"/>
            <w:bookmarkEnd w:id="115"/>
          </w:p>
        </w:tc>
        <w:tc>
          <w:tcPr>
            <w:tcW w:w="1559" w:type="dxa"/>
            <w:vAlign w:val="center"/>
          </w:tcPr>
          <w:p w14:paraId="3F491E10">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1:500</w:t>
            </w:r>
          </w:p>
        </w:tc>
        <w:tc>
          <w:tcPr>
            <w:tcW w:w="1151" w:type="dxa"/>
            <w:vMerge w:val="continue"/>
            <w:tcBorders>
              <w:top w:val="nil"/>
              <w:bottom w:val="nil"/>
            </w:tcBorders>
            <w:vAlign w:val="center"/>
          </w:tcPr>
          <w:p w14:paraId="73131025">
            <w:pPr>
              <w:widowControl/>
              <w:snapToGrid w:val="0"/>
              <w:spacing w:after="0" w:line="240" w:lineRule="auto"/>
              <w:ind w:left="15"/>
              <w:jc w:val="center"/>
              <w:rPr>
                <w:rFonts w:ascii="Times New Roman" w:hAnsi="Times New Roman" w:eastAsia="宋体" w:cs="Times New Roman"/>
                <w:bCs/>
                <w:snapToGrid/>
                <w:color w:val="1F2329"/>
                <w:kern w:val="0"/>
                <w:lang w:eastAsia="en-US"/>
              </w:rPr>
            </w:pPr>
          </w:p>
        </w:tc>
        <w:tc>
          <w:tcPr>
            <w:tcW w:w="1843" w:type="dxa"/>
            <w:vMerge w:val="restart"/>
            <w:tcBorders>
              <w:bottom w:val="nil"/>
            </w:tcBorders>
            <w:vAlign w:val="center"/>
          </w:tcPr>
          <w:p w14:paraId="3D5F4E75">
            <w:pPr>
              <w:widowControl/>
              <w:snapToGrid w:val="0"/>
              <w:spacing w:after="0" w:line="240" w:lineRule="auto"/>
              <w:ind w:left="15"/>
              <w:jc w:val="center"/>
              <w:rPr>
                <w:rFonts w:ascii="Times New Roman" w:hAnsi="Times New Roman" w:eastAsia="宋体" w:cs="Times New Roman"/>
                <w:bCs/>
                <w:snapToGrid/>
                <w:color w:val="1F2329"/>
                <w:kern w:val="0"/>
                <w:lang w:eastAsia="zh-CN"/>
              </w:rPr>
            </w:pPr>
            <w:r>
              <w:rPr>
                <w:rFonts w:ascii="Times New Roman" w:hAnsi="Times New Roman" w:eastAsia="宋体" w:cs="Times New Roman"/>
                <w:bCs/>
                <w:snapToGrid/>
                <w:color w:val="1F2329"/>
                <w:kern w:val="0"/>
                <w:lang w:eastAsia="zh-CN"/>
              </w:rPr>
              <w:t>鞋靴、车辆、圈舍、用具、水线、 污水、粪便等消毒</w:t>
            </w:r>
          </w:p>
        </w:tc>
        <w:tc>
          <w:tcPr>
            <w:tcW w:w="1843" w:type="dxa"/>
            <w:vMerge w:val="continue"/>
            <w:vAlign w:val="center"/>
          </w:tcPr>
          <w:p w14:paraId="0C51B174">
            <w:pPr>
              <w:widowControl/>
              <w:snapToGrid w:val="0"/>
              <w:spacing w:after="0" w:line="240" w:lineRule="auto"/>
              <w:ind w:left="15"/>
              <w:jc w:val="center"/>
              <w:rPr>
                <w:rFonts w:ascii="Times New Roman" w:hAnsi="Times New Roman" w:eastAsia="宋体" w:cs="Times New Roman"/>
                <w:bCs/>
                <w:snapToGrid/>
                <w:color w:val="1F2329"/>
                <w:kern w:val="0"/>
                <w:lang w:eastAsia="zh-CN"/>
              </w:rPr>
            </w:pPr>
          </w:p>
        </w:tc>
      </w:tr>
      <w:tr w14:paraId="1E2F5E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jc w:val="center"/>
        </w:trPr>
        <w:tc>
          <w:tcPr>
            <w:tcW w:w="1089" w:type="dxa"/>
            <w:vMerge w:val="continue"/>
            <w:vAlign w:val="center"/>
          </w:tcPr>
          <w:p w14:paraId="77713406">
            <w:pPr>
              <w:widowControl/>
              <w:snapToGrid w:val="0"/>
              <w:spacing w:after="0" w:line="240" w:lineRule="auto"/>
              <w:ind w:left="15"/>
              <w:jc w:val="center"/>
              <w:rPr>
                <w:rFonts w:ascii="Times New Roman" w:hAnsi="Times New Roman" w:eastAsia="宋体" w:cs="Times New Roman"/>
                <w:bCs/>
                <w:snapToGrid/>
                <w:color w:val="1F2329"/>
                <w:kern w:val="0"/>
                <w:lang w:eastAsia="zh-CN"/>
              </w:rPr>
            </w:pPr>
          </w:p>
        </w:tc>
        <w:tc>
          <w:tcPr>
            <w:tcW w:w="1316" w:type="dxa"/>
            <w:vAlign w:val="center"/>
          </w:tcPr>
          <w:p w14:paraId="4CE5C2AA">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溴氯海因</w:t>
            </w:r>
          </w:p>
        </w:tc>
        <w:tc>
          <w:tcPr>
            <w:tcW w:w="1559" w:type="dxa"/>
            <w:vAlign w:val="center"/>
          </w:tcPr>
          <w:p w14:paraId="2569D099">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1:1000</w:t>
            </w:r>
          </w:p>
        </w:tc>
        <w:tc>
          <w:tcPr>
            <w:tcW w:w="1151" w:type="dxa"/>
            <w:vMerge w:val="continue"/>
            <w:tcBorders>
              <w:top w:val="nil"/>
            </w:tcBorders>
            <w:vAlign w:val="center"/>
          </w:tcPr>
          <w:p w14:paraId="67743314">
            <w:pPr>
              <w:widowControl/>
              <w:snapToGrid w:val="0"/>
              <w:spacing w:after="0" w:line="240" w:lineRule="auto"/>
              <w:ind w:left="15"/>
              <w:jc w:val="center"/>
              <w:rPr>
                <w:rFonts w:ascii="Times New Roman" w:hAnsi="Times New Roman" w:eastAsia="宋体" w:cs="Times New Roman"/>
                <w:bCs/>
                <w:snapToGrid/>
                <w:color w:val="1F2329"/>
                <w:kern w:val="0"/>
                <w:lang w:eastAsia="en-US"/>
              </w:rPr>
            </w:pPr>
          </w:p>
        </w:tc>
        <w:tc>
          <w:tcPr>
            <w:tcW w:w="1843" w:type="dxa"/>
            <w:vMerge w:val="continue"/>
            <w:tcBorders>
              <w:top w:val="nil"/>
            </w:tcBorders>
            <w:vAlign w:val="center"/>
          </w:tcPr>
          <w:p w14:paraId="6FD87AA0">
            <w:pPr>
              <w:widowControl/>
              <w:snapToGrid w:val="0"/>
              <w:spacing w:after="0" w:line="240" w:lineRule="auto"/>
              <w:ind w:left="15"/>
              <w:jc w:val="center"/>
              <w:rPr>
                <w:rFonts w:ascii="Times New Roman" w:hAnsi="Times New Roman" w:eastAsia="宋体" w:cs="Times New Roman"/>
                <w:bCs/>
                <w:snapToGrid/>
                <w:color w:val="1F2329"/>
                <w:kern w:val="0"/>
                <w:lang w:eastAsia="en-US"/>
              </w:rPr>
            </w:pPr>
          </w:p>
        </w:tc>
        <w:tc>
          <w:tcPr>
            <w:tcW w:w="1843" w:type="dxa"/>
            <w:vMerge w:val="continue"/>
            <w:vAlign w:val="center"/>
          </w:tcPr>
          <w:p w14:paraId="5EE54FB3">
            <w:pPr>
              <w:widowControl/>
              <w:snapToGrid w:val="0"/>
              <w:spacing w:after="0" w:line="240" w:lineRule="auto"/>
              <w:ind w:left="15"/>
              <w:jc w:val="center"/>
              <w:rPr>
                <w:rFonts w:ascii="Times New Roman" w:hAnsi="Times New Roman" w:eastAsia="宋体" w:cs="Times New Roman"/>
                <w:bCs/>
                <w:snapToGrid/>
                <w:color w:val="1F2329"/>
                <w:kern w:val="0"/>
                <w:lang w:eastAsia="en-US"/>
              </w:rPr>
            </w:pPr>
          </w:p>
        </w:tc>
      </w:tr>
      <w:tr w14:paraId="122F0A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9" w:hRule="atLeast"/>
          <w:jc w:val="center"/>
        </w:trPr>
        <w:tc>
          <w:tcPr>
            <w:tcW w:w="1089" w:type="dxa"/>
            <w:vMerge w:val="restart"/>
            <w:vAlign w:val="center"/>
          </w:tcPr>
          <w:p w14:paraId="1A441BE9">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季铵盐类</w:t>
            </w:r>
          </w:p>
        </w:tc>
        <w:tc>
          <w:tcPr>
            <w:tcW w:w="1316" w:type="dxa"/>
            <w:vAlign w:val="center"/>
          </w:tcPr>
          <w:p w14:paraId="41EF725E">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新洁尔灭</w:t>
            </w:r>
          </w:p>
        </w:tc>
        <w:tc>
          <w:tcPr>
            <w:tcW w:w="1559" w:type="dxa"/>
            <w:vAlign w:val="center"/>
          </w:tcPr>
          <w:p w14:paraId="1A0346E2">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0.05%～0.10%</w:t>
            </w:r>
          </w:p>
        </w:tc>
        <w:tc>
          <w:tcPr>
            <w:tcW w:w="1151" w:type="dxa"/>
            <w:tcBorders>
              <w:top w:val="nil"/>
            </w:tcBorders>
            <w:vAlign w:val="center"/>
          </w:tcPr>
          <w:p w14:paraId="0AC31190">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浸泡</w:t>
            </w:r>
          </w:p>
        </w:tc>
        <w:tc>
          <w:tcPr>
            <w:tcW w:w="1843" w:type="dxa"/>
            <w:tcBorders>
              <w:top w:val="nil"/>
            </w:tcBorders>
            <w:vAlign w:val="center"/>
          </w:tcPr>
          <w:p w14:paraId="78858365">
            <w:pPr>
              <w:widowControl/>
              <w:snapToGrid w:val="0"/>
              <w:spacing w:after="0" w:line="240" w:lineRule="auto"/>
              <w:ind w:left="15"/>
              <w:jc w:val="center"/>
              <w:rPr>
                <w:rFonts w:ascii="Times New Roman" w:hAnsi="Times New Roman" w:eastAsia="宋体" w:cs="Times New Roman"/>
                <w:bCs/>
                <w:snapToGrid/>
                <w:color w:val="1F2329"/>
                <w:kern w:val="0"/>
                <w:lang w:eastAsia="zh-CN"/>
              </w:rPr>
            </w:pPr>
            <w:bookmarkStart w:id="116" w:name="OLE_LINK55"/>
            <w:bookmarkStart w:id="117" w:name="OLE_LINK54"/>
            <w:r>
              <w:rPr>
                <w:rFonts w:ascii="Times New Roman" w:hAnsi="Times New Roman" w:eastAsia="宋体" w:cs="Times New Roman"/>
                <w:bCs/>
                <w:snapToGrid/>
                <w:color w:val="1F2329"/>
                <w:kern w:val="0"/>
                <w:lang w:eastAsia="zh-CN"/>
              </w:rPr>
              <w:t>环境、人员、空舍、 用具、衣物等</w:t>
            </w:r>
            <w:bookmarkEnd w:id="116"/>
            <w:bookmarkEnd w:id="117"/>
            <w:r>
              <w:rPr>
                <w:rFonts w:ascii="Times New Roman" w:hAnsi="Times New Roman" w:eastAsia="宋体" w:cs="Times New Roman"/>
                <w:bCs/>
                <w:snapToGrid/>
                <w:color w:val="1F2329"/>
                <w:kern w:val="0"/>
                <w:lang w:eastAsia="zh-CN"/>
              </w:rPr>
              <w:t>消毒及带牛消毒</w:t>
            </w:r>
          </w:p>
        </w:tc>
        <w:tc>
          <w:tcPr>
            <w:tcW w:w="1843" w:type="dxa"/>
            <w:vAlign w:val="center"/>
          </w:tcPr>
          <w:p w14:paraId="350EC1D6">
            <w:pPr>
              <w:widowControl/>
              <w:snapToGrid w:val="0"/>
              <w:spacing w:after="0" w:line="240" w:lineRule="auto"/>
              <w:ind w:left="15"/>
              <w:jc w:val="center"/>
              <w:rPr>
                <w:rFonts w:ascii="Times New Roman" w:hAnsi="Times New Roman" w:eastAsia="宋体" w:cs="Times New Roman"/>
                <w:bCs/>
                <w:snapToGrid/>
                <w:color w:val="1F2329"/>
                <w:kern w:val="0"/>
                <w:lang w:eastAsia="zh-CN"/>
              </w:rPr>
            </w:pPr>
            <w:r>
              <w:rPr>
                <w:rFonts w:ascii="Times New Roman" w:hAnsi="Times New Roman" w:eastAsia="宋体" w:cs="Times New Roman"/>
                <w:bCs/>
                <w:snapToGrid/>
                <w:color w:val="1F2329"/>
                <w:kern w:val="0"/>
                <w:lang w:eastAsia="zh-CN"/>
              </w:rPr>
              <w:t>避免消毒剂污染饲料及饮水</w:t>
            </w:r>
          </w:p>
        </w:tc>
      </w:tr>
      <w:tr w14:paraId="0C3E4F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9" w:hRule="atLeast"/>
          <w:jc w:val="center"/>
        </w:trPr>
        <w:tc>
          <w:tcPr>
            <w:tcW w:w="1089" w:type="dxa"/>
            <w:vMerge w:val="continue"/>
            <w:vAlign w:val="center"/>
          </w:tcPr>
          <w:p w14:paraId="31A84AF5">
            <w:pPr>
              <w:widowControl/>
              <w:snapToGrid w:val="0"/>
              <w:spacing w:after="0" w:line="240" w:lineRule="auto"/>
              <w:ind w:left="15"/>
              <w:jc w:val="center"/>
              <w:rPr>
                <w:rFonts w:ascii="Times New Roman" w:hAnsi="Times New Roman" w:eastAsia="宋体" w:cs="Times New Roman"/>
                <w:bCs/>
                <w:snapToGrid/>
                <w:color w:val="1F2329"/>
                <w:kern w:val="0"/>
                <w:lang w:eastAsia="zh-CN"/>
              </w:rPr>
            </w:pPr>
          </w:p>
        </w:tc>
        <w:tc>
          <w:tcPr>
            <w:tcW w:w="1316" w:type="dxa"/>
            <w:vAlign w:val="center"/>
          </w:tcPr>
          <w:p w14:paraId="20506475">
            <w:pPr>
              <w:widowControl/>
              <w:snapToGrid w:val="0"/>
              <w:spacing w:after="0" w:line="240" w:lineRule="auto"/>
              <w:ind w:left="15"/>
              <w:jc w:val="center"/>
              <w:rPr>
                <w:rFonts w:ascii="Times New Roman" w:hAnsi="Times New Roman" w:eastAsia="宋体" w:cs="Times New Roman"/>
                <w:bCs/>
                <w:snapToGrid/>
                <w:color w:val="1F2329"/>
                <w:kern w:val="0"/>
                <w:lang w:eastAsia="en-US"/>
              </w:rPr>
            </w:pPr>
            <w:bookmarkStart w:id="118" w:name="OLE_LINK36"/>
            <w:r>
              <w:rPr>
                <w:rFonts w:ascii="Times New Roman" w:hAnsi="Times New Roman" w:eastAsia="宋体" w:cs="Times New Roman"/>
                <w:bCs/>
                <w:snapToGrid/>
                <w:color w:val="1F2329"/>
                <w:kern w:val="0"/>
                <w:lang w:eastAsia="en-US"/>
              </w:rPr>
              <w:t>百毒杀</w:t>
            </w:r>
            <w:bookmarkEnd w:id="118"/>
          </w:p>
        </w:tc>
        <w:tc>
          <w:tcPr>
            <w:tcW w:w="1559" w:type="dxa"/>
            <w:vAlign w:val="center"/>
          </w:tcPr>
          <w:p w14:paraId="472AB2F9">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1:200~ 1:600</w:t>
            </w:r>
          </w:p>
        </w:tc>
        <w:tc>
          <w:tcPr>
            <w:tcW w:w="1151" w:type="dxa"/>
            <w:tcBorders>
              <w:top w:val="nil"/>
            </w:tcBorders>
            <w:vAlign w:val="center"/>
          </w:tcPr>
          <w:p w14:paraId="4C20C576">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喷洒</w:t>
            </w:r>
          </w:p>
          <w:p w14:paraId="204412E4">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喷雾</w:t>
            </w:r>
          </w:p>
          <w:p w14:paraId="6E957231">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浸泡</w:t>
            </w:r>
          </w:p>
        </w:tc>
        <w:tc>
          <w:tcPr>
            <w:tcW w:w="1843" w:type="dxa"/>
            <w:tcBorders>
              <w:top w:val="nil"/>
            </w:tcBorders>
            <w:vAlign w:val="center"/>
          </w:tcPr>
          <w:p w14:paraId="764AB8EF">
            <w:pPr>
              <w:widowControl/>
              <w:snapToGrid w:val="0"/>
              <w:spacing w:after="0" w:line="240" w:lineRule="auto"/>
              <w:ind w:left="15"/>
              <w:jc w:val="center"/>
              <w:rPr>
                <w:rFonts w:ascii="Times New Roman" w:hAnsi="Times New Roman" w:eastAsia="宋体" w:cs="Times New Roman"/>
                <w:bCs/>
                <w:snapToGrid/>
                <w:color w:val="1F2329"/>
                <w:kern w:val="0"/>
                <w:lang w:eastAsia="zh-CN"/>
              </w:rPr>
            </w:pPr>
            <w:r>
              <w:rPr>
                <w:rFonts w:ascii="Times New Roman" w:hAnsi="Times New Roman" w:eastAsia="宋体" w:cs="Times New Roman"/>
                <w:bCs/>
                <w:snapToGrid/>
                <w:color w:val="1F2329"/>
                <w:kern w:val="0"/>
                <w:lang w:eastAsia="zh-CN"/>
              </w:rPr>
              <w:t>环境、空舍、用具、设备等</w:t>
            </w:r>
          </w:p>
        </w:tc>
        <w:tc>
          <w:tcPr>
            <w:tcW w:w="1843" w:type="dxa"/>
            <w:vAlign w:val="center"/>
          </w:tcPr>
          <w:p w14:paraId="2BA5A1D6">
            <w:pPr>
              <w:widowControl/>
              <w:snapToGrid w:val="0"/>
              <w:spacing w:after="0" w:line="240" w:lineRule="auto"/>
              <w:ind w:left="15"/>
              <w:jc w:val="center"/>
              <w:rPr>
                <w:rFonts w:ascii="Times New Roman" w:hAnsi="Times New Roman" w:eastAsia="宋体" w:cs="Times New Roman"/>
                <w:bCs/>
                <w:snapToGrid/>
                <w:color w:val="1F2329"/>
                <w:kern w:val="0"/>
                <w:lang w:eastAsia="zh-CN"/>
              </w:rPr>
            </w:pPr>
            <w:r>
              <w:rPr>
                <w:rFonts w:ascii="Times New Roman" w:hAnsi="Times New Roman" w:eastAsia="宋体" w:cs="Times New Roman"/>
                <w:bCs/>
                <w:snapToGrid/>
                <w:color w:val="1F2329"/>
                <w:kern w:val="0"/>
                <w:lang w:eastAsia="zh-CN"/>
              </w:rPr>
              <w:t>避免与其他化学物品混合使用</w:t>
            </w:r>
          </w:p>
        </w:tc>
      </w:tr>
      <w:tr w14:paraId="71A6BF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8" w:hRule="atLeast"/>
          <w:jc w:val="center"/>
        </w:trPr>
        <w:tc>
          <w:tcPr>
            <w:tcW w:w="1089" w:type="dxa"/>
            <w:vMerge w:val="restart"/>
            <w:vAlign w:val="center"/>
          </w:tcPr>
          <w:p w14:paraId="4D8498BD">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过氧化物类</w:t>
            </w:r>
          </w:p>
        </w:tc>
        <w:tc>
          <w:tcPr>
            <w:tcW w:w="1316" w:type="dxa"/>
            <w:vMerge w:val="restart"/>
            <w:tcBorders>
              <w:bottom w:val="nil"/>
            </w:tcBorders>
            <w:vAlign w:val="center"/>
          </w:tcPr>
          <w:p w14:paraId="72E45729">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过氧乙酸</w:t>
            </w:r>
          </w:p>
        </w:tc>
        <w:tc>
          <w:tcPr>
            <w:tcW w:w="1559" w:type="dxa"/>
            <w:vAlign w:val="center"/>
          </w:tcPr>
          <w:p w14:paraId="3CF0AB31">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0.2%～0.5%</w:t>
            </w:r>
          </w:p>
        </w:tc>
        <w:tc>
          <w:tcPr>
            <w:tcW w:w="1151" w:type="dxa"/>
            <w:vAlign w:val="center"/>
          </w:tcPr>
          <w:p w14:paraId="77E454D5">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喷洒</w:t>
            </w:r>
          </w:p>
          <w:p w14:paraId="0D976E03">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喷雾</w:t>
            </w:r>
          </w:p>
          <w:p w14:paraId="05641BAC">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浸泡</w:t>
            </w:r>
          </w:p>
        </w:tc>
        <w:tc>
          <w:tcPr>
            <w:tcW w:w="1843" w:type="dxa"/>
            <w:vMerge w:val="restart"/>
            <w:tcBorders>
              <w:bottom w:val="nil"/>
            </w:tcBorders>
            <w:vAlign w:val="center"/>
          </w:tcPr>
          <w:p w14:paraId="74681108">
            <w:pPr>
              <w:widowControl/>
              <w:snapToGrid w:val="0"/>
              <w:spacing w:after="0" w:line="240" w:lineRule="auto"/>
              <w:ind w:left="15"/>
              <w:jc w:val="center"/>
              <w:rPr>
                <w:rFonts w:ascii="Times New Roman" w:hAnsi="Times New Roman" w:eastAsia="宋体" w:cs="Times New Roman"/>
                <w:bCs/>
                <w:snapToGrid/>
                <w:color w:val="1F2329"/>
                <w:kern w:val="0"/>
                <w:lang w:eastAsia="zh-CN"/>
              </w:rPr>
            </w:pPr>
            <w:r>
              <w:rPr>
                <w:rFonts w:ascii="Times New Roman" w:hAnsi="Times New Roman" w:eastAsia="宋体" w:cs="Times New Roman"/>
                <w:bCs/>
                <w:snapToGrid/>
                <w:color w:val="1F2329"/>
                <w:kern w:val="0"/>
                <w:lang w:eastAsia="zh-CN"/>
              </w:rPr>
              <w:t>环境、人员、车辆、 用具、污染区域等及带牛消毒</w:t>
            </w:r>
          </w:p>
        </w:tc>
        <w:tc>
          <w:tcPr>
            <w:tcW w:w="1843" w:type="dxa"/>
            <w:vMerge w:val="restart"/>
            <w:vAlign w:val="center"/>
          </w:tcPr>
          <w:p w14:paraId="57625013">
            <w:pPr>
              <w:widowControl/>
              <w:snapToGrid w:val="0"/>
              <w:spacing w:after="0" w:line="240" w:lineRule="auto"/>
              <w:ind w:left="15"/>
              <w:jc w:val="center"/>
              <w:rPr>
                <w:rFonts w:ascii="Times New Roman" w:hAnsi="Times New Roman" w:eastAsia="宋体" w:cs="Times New Roman"/>
                <w:bCs/>
                <w:snapToGrid/>
                <w:color w:val="1F2329"/>
                <w:kern w:val="0"/>
                <w:lang w:eastAsia="zh-CN"/>
              </w:rPr>
            </w:pPr>
            <w:bookmarkStart w:id="119" w:name="OLE_LINK35"/>
            <w:r>
              <w:rPr>
                <w:rFonts w:ascii="Times New Roman" w:hAnsi="Times New Roman" w:eastAsia="宋体" w:cs="Times New Roman"/>
                <w:bCs/>
                <w:snapToGrid/>
                <w:color w:val="1F2329"/>
                <w:kern w:val="0"/>
                <w:lang w:eastAsia="zh-CN"/>
              </w:rPr>
              <w:t>避免消毒剂污染饲料及饮水</w:t>
            </w:r>
            <w:bookmarkEnd w:id="119"/>
          </w:p>
        </w:tc>
      </w:tr>
      <w:tr w14:paraId="1F246A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4" w:hRule="atLeast"/>
          <w:jc w:val="center"/>
        </w:trPr>
        <w:tc>
          <w:tcPr>
            <w:tcW w:w="1089" w:type="dxa"/>
            <w:vMerge w:val="continue"/>
            <w:vAlign w:val="center"/>
          </w:tcPr>
          <w:p w14:paraId="25110A21">
            <w:pPr>
              <w:widowControl/>
              <w:snapToGrid w:val="0"/>
              <w:spacing w:after="0" w:line="240" w:lineRule="auto"/>
              <w:ind w:left="15"/>
              <w:jc w:val="center"/>
              <w:rPr>
                <w:rFonts w:ascii="Times New Roman" w:hAnsi="Times New Roman" w:eastAsia="宋体" w:cs="Times New Roman"/>
                <w:bCs/>
                <w:snapToGrid/>
                <w:color w:val="1F2329"/>
                <w:kern w:val="0"/>
                <w:lang w:eastAsia="zh-CN"/>
              </w:rPr>
            </w:pPr>
          </w:p>
        </w:tc>
        <w:tc>
          <w:tcPr>
            <w:tcW w:w="1316" w:type="dxa"/>
            <w:vMerge w:val="continue"/>
            <w:tcBorders>
              <w:top w:val="nil"/>
            </w:tcBorders>
            <w:vAlign w:val="center"/>
          </w:tcPr>
          <w:p w14:paraId="19BE5AA6">
            <w:pPr>
              <w:widowControl/>
              <w:snapToGrid w:val="0"/>
              <w:spacing w:after="0" w:line="240" w:lineRule="auto"/>
              <w:ind w:left="15"/>
              <w:jc w:val="center"/>
              <w:rPr>
                <w:rFonts w:ascii="Times New Roman" w:hAnsi="Times New Roman" w:eastAsia="宋体" w:cs="Times New Roman"/>
                <w:bCs/>
                <w:snapToGrid/>
                <w:color w:val="1F2329"/>
                <w:kern w:val="0"/>
                <w:lang w:eastAsia="zh-CN"/>
              </w:rPr>
            </w:pPr>
          </w:p>
        </w:tc>
        <w:tc>
          <w:tcPr>
            <w:tcW w:w="1559" w:type="dxa"/>
            <w:vAlign w:val="center"/>
          </w:tcPr>
          <w:p w14:paraId="36A850CC">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20%</w:t>
            </w:r>
          </w:p>
        </w:tc>
        <w:tc>
          <w:tcPr>
            <w:tcW w:w="1151" w:type="dxa"/>
            <w:vAlign w:val="center"/>
          </w:tcPr>
          <w:p w14:paraId="72306850">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熏蒸</w:t>
            </w:r>
          </w:p>
        </w:tc>
        <w:tc>
          <w:tcPr>
            <w:tcW w:w="1843" w:type="dxa"/>
            <w:vMerge w:val="continue"/>
            <w:tcBorders>
              <w:top w:val="nil"/>
            </w:tcBorders>
            <w:vAlign w:val="center"/>
          </w:tcPr>
          <w:p w14:paraId="461ECCD5">
            <w:pPr>
              <w:widowControl/>
              <w:snapToGrid w:val="0"/>
              <w:spacing w:after="0" w:line="240" w:lineRule="auto"/>
              <w:ind w:left="15"/>
              <w:jc w:val="center"/>
              <w:rPr>
                <w:rFonts w:ascii="Times New Roman" w:hAnsi="Times New Roman" w:eastAsia="宋体" w:cs="Times New Roman"/>
                <w:bCs/>
                <w:snapToGrid/>
                <w:color w:val="1F2329"/>
                <w:kern w:val="0"/>
                <w:lang w:eastAsia="en-US"/>
              </w:rPr>
            </w:pPr>
          </w:p>
        </w:tc>
        <w:tc>
          <w:tcPr>
            <w:tcW w:w="1843" w:type="dxa"/>
            <w:vMerge w:val="continue"/>
            <w:vAlign w:val="center"/>
          </w:tcPr>
          <w:p w14:paraId="26A4E651">
            <w:pPr>
              <w:widowControl/>
              <w:snapToGrid w:val="0"/>
              <w:spacing w:after="0" w:line="240" w:lineRule="auto"/>
              <w:ind w:left="15"/>
              <w:jc w:val="center"/>
              <w:rPr>
                <w:rFonts w:ascii="Times New Roman" w:hAnsi="Times New Roman" w:eastAsia="宋体" w:cs="Times New Roman"/>
                <w:bCs/>
                <w:snapToGrid/>
                <w:color w:val="1F2329"/>
                <w:kern w:val="0"/>
                <w:lang w:eastAsia="en-US"/>
              </w:rPr>
            </w:pPr>
          </w:p>
        </w:tc>
      </w:tr>
      <w:tr w14:paraId="0823DD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0" w:hRule="atLeast"/>
          <w:jc w:val="center"/>
        </w:trPr>
        <w:tc>
          <w:tcPr>
            <w:tcW w:w="1089" w:type="dxa"/>
            <w:vMerge w:val="continue"/>
            <w:vAlign w:val="center"/>
          </w:tcPr>
          <w:p w14:paraId="530BDA68">
            <w:pPr>
              <w:widowControl/>
              <w:snapToGrid w:val="0"/>
              <w:spacing w:after="0" w:line="240" w:lineRule="auto"/>
              <w:ind w:left="15"/>
              <w:jc w:val="center"/>
              <w:rPr>
                <w:rFonts w:ascii="Times New Roman" w:hAnsi="Times New Roman" w:eastAsia="宋体" w:cs="Times New Roman"/>
                <w:bCs/>
                <w:snapToGrid/>
                <w:color w:val="1F2329"/>
                <w:kern w:val="0"/>
                <w:lang w:eastAsia="en-US"/>
              </w:rPr>
            </w:pPr>
          </w:p>
        </w:tc>
        <w:tc>
          <w:tcPr>
            <w:tcW w:w="1316" w:type="dxa"/>
            <w:vAlign w:val="center"/>
          </w:tcPr>
          <w:p w14:paraId="08C6AF7C">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二氧化氯</w:t>
            </w:r>
          </w:p>
        </w:tc>
        <w:tc>
          <w:tcPr>
            <w:tcW w:w="1559" w:type="dxa"/>
            <w:vAlign w:val="center"/>
          </w:tcPr>
          <w:p w14:paraId="4946EA82">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0.2 g/L～0.3 g/L</w:t>
            </w:r>
          </w:p>
        </w:tc>
        <w:tc>
          <w:tcPr>
            <w:tcW w:w="1151" w:type="dxa"/>
            <w:vAlign w:val="center"/>
          </w:tcPr>
          <w:p w14:paraId="409F5B7D">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喷洒</w:t>
            </w:r>
          </w:p>
          <w:p w14:paraId="3C859138">
            <w:pPr>
              <w:widowControl/>
              <w:snapToGrid w:val="0"/>
              <w:spacing w:after="0" w:line="240" w:lineRule="auto"/>
              <w:ind w:left="15"/>
              <w:jc w:val="center"/>
              <w:rPr>
                <w:rFonts w:ascii="Times New Roman" w:hAnsi="Times New Roman" w:eastAsia="宋体" w:cs="Times New Roman"/>
                <w:bCs/>
                <w:snapToGrid/>
                <w:color w:val="1F2329"/>
                <w:kern w:val="0"/>
                <w:lang w:eastAsia="en-US"/>
              </w:rPr>
            </w:pPr>
            <w:r>
              <w:rPr>
                <w:rFonts w:ascii="Times New Roman" w:hAnsi="Times New Roman" w:eastAsia="宋体" w:cs="Times New Roman"/>
                <w:bCs/>
                <w:snapToGrid/>
                <w:color w:val="1F2329"/>
                <w:kern w:val="0"/>
                <w:lang w:eastAsia="en-US"/>
              </w:rPr>
              <w:t>浸泡</w:t>
            </w:r>
          </w:p>
        </w:tc>
        <w:tc>
          <w:tcPr>
            <w:tcW w:w="1843" w:type="dxa"/>
            <w:vAlign w:val="center"/>
          </w:tcPr>
          <w:p w14:paraId="6B20DDC5">
            <w:pPr>
              <w:widowControl/>
              <w:snapToGrid w:val="0"/>
              <w:spacing w:after="0" w:line="240" w:lineRule="auto"/>
              <w:ind w:left="15"/>
              <w:jc w:val="center"/>
              <w:rPr>
                <w:rFonts w:ascii="Times New Roman" w:hAnsi="Times New Roman" w:eastAsia="宋体" w:cs="Times New Roman"/>
                <w:bCs/>
                <w:snapToGrid/>
                <w:color w:val="1F2329"/>
                <w:kern w:val="0"/>
                <w:lang w:eastAsia="zh-CN"/>
              </w:rPr>
            </w:pPr>
            <w:r>
              <w:rPr>
                <w:rFonts w:ascii="Times New Roman" w:hAnsi="Times New Roman" w:eastAsia="宋体" w:cs="Times New Roman"/>
                <w:bCs/>
                <w:snapToGrid/>
                <w:color w:val="1F2329"/>
                <w:kern w:val="0"/>
                <w:lang w:eastAsia="zh-CN"/>
              </w:rPr>
              <w:t>环境、牛舍、设施、饮水等及带牛消毒</w:t>
            </w:r>
          </w:p>
        </w:tc>
        <w:tc>
          <w:tcPr>
            <w:tcW w:w="1843" w:type="dxa"/>
            <w:vMerge w:val="continue"/>
            <w:vAlign w:val="center"/>
          </w:tcPr>
          <w:p w14:paraId="66E8B2E5">
            <w:pPr>
              <w:widowControl/>
              <w:snapToGrid w:val="0"/>
              <w:spacing w:after="0" w:line="240" w:lineRule="auto"/>
              <w:ind w:left="15"/>
              <w:jc w:val="center"/>
              <w:rPr>
                <w:rFonts w:ascii="Times New Roman" w:hAnsi="Times New Roman" w:eastAsia="宋体" w:cs="Times New Roman"/>
                <w:bCs/>
                <w:snapToGrid/>
                <w:color w:val="1F2329"/>
                <w:kern w:val="0"/>
                <w:lang w:eastAsia="zh-CN"/>
              </w:rPr>
            </w:pPr>
          </w:p>
        </w:tc>
      </w:tr>
    </w:tbl>
    <w:p w14:paraId="62F25717">
      <w:pPr>
        <w:widowControl/>
        <w:snapToGrid w:val="0"/>
        <w:spacing w:line="240" w:lineRule="auto"/>
        <w:ind w:left="15"/>
        <w:jc w:val="center"/>
        <w:rPr>
          <w:rFonts w:ascii="Times New Roman" w:hAnsi="Times New Roman"/>
          <w:b/>
          <w:snapToGrid w:val="0"/>
          <w:color w:val="1F2329"/>
          <w:kern w:val="0"/>
          <w:szCs w:val="18"/>
        </w:rPr>
      </w:pPr>
    </w:p>
    <w:p w14:paraId="06040BEA">
      <w:pPr>
        <w:widowControl/>
        <w:adjustRightInd/>
        <w:spacing w:line="240" w:lineRule="auto"/>
        <w:jc w:val="left"/>
        <w:rPr>
          <w:rFonts w:ascii="Times New Roman" w:hAnsi="Times New Roman"/>
          <w:b/>
          <w:snapToGrid w:val="0"/>
          <w:color w:val="1F2329"/>
          <w:kern w:val="0"/>
          <w:szCs w:val="18"/>
        </w:rPr>
      </w:pPr>
      <w:r>
        <w:rPr>
          <w:rFonts w:ascii="Times New Roman" w:hAnsi="Times New Roman"/>
          <w:b/>
          <w:snapToGrid w:val="0"/>
          <w:color w:val="1F2329"/>
          <w:kern w:val="0"/>
          <w:szCs w:val="18"/>
        </w:rPr>
        <w:br w:type="page"/>
      </w:r>
    </w:p>
    <w:p w14:paraId="6449BB77">
      <w:pPr>
        <w:pStyle w:val="2"/>
        <w:spacing w:before="240" w:beforeLines="100" w:after="240" w:afterLines="100" w:line="240" w:lineRule="auto"/>
        <w:jc w:val="center"/>
        <w:rPr>
          <w:rFonts w:ascii="Times New Roman" w:hAnsi="Times New Roman" w:eastAsia="黑体"/>
          <w:b w:val="0"/>
          <w:bCs w:val="0"/>
          <w:sz w:val="21"/>
          <w:szCs w:val="21"/>
        </w:rPr>
      </w:pPr>
      <w:bookmarkStart w:id="120" w:name="_Toc228364148"/>
      <w:bookmarkStart w:id="121" w:name="OLE_LINK4"/>
      <w:r>
        <w:rPr>
          <w:rFonts w:ascii="Times New Roman" w:hAnsi="Times New Roman" w:eastAsia="黑体"/>
          <w:b w:val="0"/>
          <w:bCs w:val="0"/>
          <w:sz w:val="21"/>
          <w:szCs w:val="21"/>
        </w:rPr>
        <w:t>附录B</w:t>
      </w:r>
      <w:bookmarkEnd w:id="120"/>
    </w:p>
    <w:p w14:paraId="7BA9AB8E">
      <w:pPr>
        <w:jc w:val="center"/>
        <w:rPr>
          <w:rFonts w:ascii="Times New Roman" w:hAnsi="Times New Roman" w:eastAsia="黑体"/>
        </w:rPr>
      </w:pPr>
      <w:r>
        <w:rPr>
          <w:rFonts w:ascii="Times New Roman" w:hAnsi="Times New Roman" w:eastAsia="黑体"/>
        </w:rPr>
        <w:t>（资料性附录）</w:t>
      </w:r>
    </w:p>
    <w:p w14:paraId="372752EF">
      <w:pPr>
        <w:jc w:val="center"/>
        <w:rPr>
          <w:rFonts w:ascii="Times New Roman" w:hAnsi="Times New Roman" w:eastAsia="黑体"/>
        </w:rPr>
      </w:pPr>
      <w:r>
        <w:rPr>
          <w:rFonts w:ascii="Times New Roman" w:hAnsi="Times New Roman" w:eastAsia="黑体"/>
        </w:rPr>
        <w:t>常规疫苗免疫程序</w:t>
      </w:r>
    </w:p>
    <w:bookmarkEnd w:id="121"/>
    <w:p w14:paraId="7AA56779">
      <w:pPr>
        <w:snapToGrid w:val="0"/>
        <w:spacing w:before="240" w:after="240" w:line="360" w:lineRule="auto"/>
        <w:ind w:left="17" w:firstLine="630" w:firstLineChars="300"/>
        <w:rPr>
          <w:rFonts w:ascii="Times New Roman" w:hAnsi="Times New Roman"/>
        </w:rPr>
      </w:pPr>
      <w:r>
        <w:rPr>
          <w:rFonts w:ascii="Times New Roman" w:hAnsi="Times New Roman"/>
        </w:rPr>
        <w:t>张家川红花牛免疫程序如表B.1所示。</w:t>
      </w:r>
    </w:p>
    <w:p w14:paraId="367F8631">
      <w:pPr>
        <w:snapToGrid w:val="0"/>
        <w:spacing w:before="240" w:after="240" w:line="360" w:lineRule="auto"/>
        <w:ind w:left="17"/>
        <w:jc w:val="center"/>
        <w:rPr>
          <w:rFonts w:ascii="Times New Roman" w:hAnsi="Times New Roman" w:eastAsia="黑体"/>
        </w:rPr>
      </w:pPr>
      <w:r>
        <w:rPr>
          <w:rFonts w:ascii="Times New Roman" w:hAnsi="Times New Roman" w:eastAsia="黑体"/>
        </w:rPr>
        <w:t>表B.1  张家川红花牛免疫程序</w:t>
      </w:r>
    </w:p>
    <w:tbl>
      <w:tblPr>
        <w:tblStyle w:val="26"/>
        <w:tblW w:w="864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277"/>
        <w:gridCol w:w="1694"/>
        <w:gridCol w:w="1282"/>
        <w:gridCol w:w="2127"/>
        <w:gridCol w:w="992"/>
        <w:gridCol w:w="1270"/>
      </w:tblGrid>
      <w:tr w14:paraId="61A0C8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19" w:hRule="atLeast"/>
          <w:jc w:val="center"/>
        </w:trPr>
        <w:tc>
          <w:tcPr>
            <w:tcW w:w="1277" w:type="dxa"/>
            <w:vAlign w:val="center"/>
          </w:tcPr>
          <w:p w14:paraId="554BDBBE">
            <w:pPr>
              <w:snapToGrid w:val="0"/>
              <w:ind w:left="17"/>
              <w:jc w:val="center"/>
              <w:rPr>
                <w:rFonts w:ascii="Times New Roman" w:hAnsi="Times New Roman"/>
                <w:b/>
              </w:rPr>
            </w:pPr>
            <w:r>
              <w:rPr>
                <w:rFonts w:ascii="Times New Roman" w:hAnsi="Times New Roman"/>
                <w:b/>
              </w:rPr>
              <w:t>疫病</w:t>
            </w:r>
            <w:bookmarkStart w:id="122" w:name="OLE_LINK70"/>
            <w:bookmarkStart w:id="123" w:name="OLE_LINK71"/>
          </w:p>
          <w:p w14:paraId="5A39EEF9">
            <w:pPr>
              <w:snapToGrid w:val="0"/>
              <w:ind w:left="17"/>
              <w:jc w:val="center"/>
              <w:rPr>
                <w:rFonts w:ascii="Times New Roman" w:hAnsi="Times New Roman"/>
                <w:b/>
              </w:rPr>
            </w:pPr>
            <w:r>
              <w:rPr>
                <w:rFonts w:ascii="Times New Roman" w:hAnsi="Times New Roman"/>
                <w:b/>
              </w:rPr>
              <w:t>名称</w:t>
            </w:r>
            <w:bookmarkEnd w:id="122"/>
            <w:bookmarkEnd w:id="123"/>
          </w:p>
        </w:tc>
        <w:tc>
          <w:tcPr>
            <w:tcW w:w="1694" w:type="dxa"/>
            <w:vAlign w:val="center"/>
          </w:tcPr>
          <w:p w14:paraId="7B91B652">
            <w:pPr>
              <w:snapToGrid w:val="0"/>
              <w:ind w:left="17"/>
              <w:jc w:val="center"/>
              <w:rPr>
                <w:rFonts w:ascii="Times New Roman" w:hAnsi="Times New Roman"/>
                <w:b/>
              </w:rPr>
            </w:pPr>
            <w:r>
              <w:rPr>
                <w:rFonts w:ascii="Times New Roman" w:hAnsi="Times New Roman"/>
                <w:b/>
              </w:rPr>
              <w:t>疫苗/菌苗</w:t>
            </w:r>
          </w:p>
          <w:p w14:paraId="200C6F43">
            <w:pPr>
              <w:snapToGrid w:val="0"/>
              <w:ind w:left="17"/>
              <w:jc w:val="center"/>
              <w:rPr>
                <w:rFonts w:ascii="Times New Roman" w:hAnsi="Times New Roman"/>
                <w:b/>
              </w:rPr>
            </w:pPr>
            <w:r>
              <w:rPr>
                <w:rFonts w:ascii="Times New Roman" w:hAnsi="Times New Roman"/>
                <w:b/>
              </w:rPr>
              <w:t>名称</w:t>
            </w:r>
          </w:p>
        </w:tc>
        <w:tc>
          <w:tcPr>
            <w:tcW w:w="1282" w:type="dxa"/>
            <w:vAlign w:val="center"/>
          </w:tcPr>
          <w:p w14:paraId="18152067">
            <w:pPr>
              <w:snapToGrid w:val="0"/>
              <w:ind w:left="17"/>
              <w:jc w:val="center"/>
              <w:rPr>
                <w:rFonts w:ascii="Times New Roman" w:hAnsi="Times New Roman"/>
                <w:b/>
              </w:rPr>
            </w:pPr>
            <w:r>
              <w:rPr>
                <w:rFonts w:ascii="Times New Roman" w:hAnsi="Times New Roman"/>
                <w:b/>
              </w:rPr>
              <w:t>免疫</w:t>
            </w:r>
          </w:p>
          <w:p w14:paraId="7D88D8B2">
            <w:pPr>
              <w:snapToGrid w:val="0"/>
              <w:ind w:left="17"/>
              <w:jc w:val="center"/>
              <w:rPr>
                <w:rFonts w:ascii="Times New Roman" w:hAnsi="Times New Roman"/>
                <w:b/>
              </w:rPr>
            </w:pPr>
            <w:r>
              <w:rPr>
                <w:rFonts w:ascii="Times New Roman" w:hAnsi="Times New Roman"/>
                <w:b/>
              </w:rPr>
              <w:t>年龄</w:t>
            </w:r>
          </w:p>
        </w:tc>
        <w:tc>
          <w:tcPr>
            <w:tcW w:w="2127" w:type="dxa"/>
            <w:vAlign w:val="center"/>
          </w:tcPr>
          <w:p w14:paraId="05EE173C">
            <w:pPr>
              <w:snapToGrid w:val="0"/>
              <w:ind w:left="17"/>
              <w:jc w:val="center"/>
              <w:rPr>
                <w:rFonts w:ascii="Times New Roman" w:hAnsi="Times New Roman"/>
                <w:b/>
              </w:rPr>
            </w:pPr>
            <w:r>
              <w:rPr>
                <w:rFonts w:ascii="Times New Roman" w:hAnsi="Times New Roman"/>
                <w:b/>
              </w:rPr>
              <w:t>接种方法和剂量</w:t>
            </w:r>
          </w:p>
        </w:tc>
        <w:tc>
          <w:tcPr>
            <w:tcW w:w="992" w:type="dxa"/>
            <w:vAlign w:val="center"/>
          </w:tcPr>
          <w:p w14:paraId="19FE01EF">
            <w:pPr>
              <w:snapToGrid w:val="0"/>
              <w:ind w:left="17"/>
              <w:jc w:val="center"/>
              <w:rPr>
                <w:rFonts w:ascii="Times New Roman" w:hAnsi="Times New Roman"/>
                <w:b/>
              </w:rPr>
            </w:pPr>
            <w:r>
              <w:rPr>
                <w:rFonts w:ascii="Times New Roman" w:hAnsi="Times New Roman"/>
                <w:b/>
              </w:rPr>
              <w:t>免疫期</w:t>
            </w:r>
          </w:p>
        </w:tc>
        <w:tc>
          <w:tcPr>
            <w:tcW w:w="1270" w:type="dxa"/>
            <w:vAlign w:val="center"/>
          </w:tcPr>
          <w:p w14:paraId="409CFCF3">
            <w:pPr>
              <w:snapToGrid w:val="0"/>
              <w:ind w:left="17"/>
              <w:jc w:val="center"/>
              <w:rPr>
                <w:rFonts w:ascii="Times New Roman" w:hAnsi="Times New Roman"/>
                <w:b/>
              </w:rPr>
            </w:pPr>
            <w:r>
              <w:rPr>
                <w:rFonts w:ascii="Times New Roman" w:hAnsi="Times New Roman"/>
                <w:b/>
              </w:rPr>
              <w:t>备注</w:t>
            </w:r>
          </w:p>
        </w:tc>
      </w:tr>
      <w:tr w14:paraId="2F6444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62" w:hRule="atLeast"/>
          <w:jc w:val="center"/>
        </w:trPr>
        <w:tc>
          <w:tcPr>
            <w:tcW w:w="1277" w:type="dxa"/>
            <w:vMerge w:val="restart"/>
            <w:vAlign w:val="center"/>
          </w:tcPr>
          <w:p w14:paraId="7048ECFC">
            <w:pPr>
              <w:snapToGrid w:val="0"/>
              <w:ind w:left="17"/>
              <w:jc w:val="center"/>
              <w:rPr>
                <w:rFonts w:ascii="Times New Roman" w:hAnsi="Times New Roman"/>
              </w:rPr>
            </w:pPr>
            <w:r>
              <w:rPr>
                <w:rFonts w:ascii="Times New Roman" w:hAnsi="Times New Roman"/>
              </w:rPr>
              <w:t>口蹄疫</w:t>
            </w:r>
          </w:p>
        </w:tc>
        <w:tc>
          <w:tcPr>
            <w:tcW w:w="1694" w:type="dxa"/>
            <w:vMerge w:val="restart"/>
            <w:vAlign w:val="center"/>
          </w:tcPr>
          <w:p w14:paraId="38B864ED">
            <w:pPr>
              <w:snapToGrid w:val="0"/>
              <w:ind w:left="17"/>
              <w:jc w:val="center"/>
              <w:rPr>
                <w:rFonts w:ascii="Times New Roman" w:hAnsi="Times New Roman"/>
              </w:rPr>
            </w:pPr>
            <w:r>
              <w:rPr>
                <w:rFonts w:ascii="Times New Roman" w:hAnsi="Times New Roman"/>
              </w:rPr>
              <w:t>口蹄疫O型、</w:t>
            </w:r>
          </w:p>
          <w:p w14:paraId="1504A8CC">
            <w:pPr>
              <w:snapToGrid w:val="0"/>
              <w:ind w:left="17"/>
              <w:jc w:val="center"/>
              <w:rPr>
                <w:rFonts w:ascii="Times New Roman" w:hAnsi="Times New Roman"/>
              </w:rPr>
            </w:pPr>
            <w:r>
              <w:rPr>
                <w:rFonts w:ascii="Times New Roman" w:hAnsi="Times New Roman"/>
              </w:rPr>
              <w:t>A型</w:t>
            </w:r>
          </w:p>
          <w:p w14:paraId="6ECC65A2">
            <w:pPr>
              <w:snapToGrid w:val="0"/>
              <w:ind w:left="17"/>
              <w:jc w:val="center"/>
              <w:rPr>
                <w:rFonts w:ascii="Times New Roman" w:hAnsi="Times New Roman"/>
              </w:rPr>
            </w:pPr>
            <w:r>
              <w:rPr>
                <w:rFonts w:ascii="Times New Roman" w:hAnsi="Times New Roman"/>
              </w:rPr>
              <w:t>二价灭活疫苗</w:t>
            </w:r>
          </w:p>
        </w:tc>
        <w:tc>
          <w:tcPr>
            <w:tcW w:w="1282" w:type="dxa"/>
            <w:vAlign w:val="center"/>
          </w:tcPr>
          <w:p w14:paraId="3263FBA7">
            <w:pPr>
              <w:snapToGrid w:val="0"/>
              <w:ind w:left="17"/>
              <w:jc w:val="center"/>
              <w:rPr>
                <w:rFonts w:ascii="Times New Roman" w:hAnsi="Times New Roman"/>
              </w:rPr>
            </w:pPr>
            <w:r>
              <w:rPr>
                <w:rFonts w:ascii="Times New Roman" w:hAnsi="Times New Roman"/>
              </w:rPr>
              <w:t>6月龄</w:t>
            </w:r>
          </w:p>
        </w:tc>
        <w:tc>
          <w:tcPr>
            <w:tcW w:w="2127" w:type="dxa"/>
            <w:vAlign w:val="center"/>
          </w:tcPr>
          <w:p w14:paraId="40B9FCA0">
            <w:pPr>
              <w:snapToGrid w:val="0"/>
              <w:ind w:left="17"/>
              <w:jc w:val="center"/>
              <w:rPr>
                <w:rFonts w:ascii="Times New Roman" w:hAnsi="Times New Roman"/>
              </w:rPr>
            </w:pPr>
            <w:r>
              <w:rPr>
                <w:rFonts w:ascii="Times New Roman" w:hAnsi="Times New Roman"/>
              </w:rPr>
              <w:t>皮下或肌肉注射</w:t>
            </w:r>
          </w:p>
          <w:p w14:paraId="3A1D607D">
            <w:pPr>
              <w:snapToGrid w:val="0"/>
              <w:ind w:left="17"/>
              <w:jc w:val="center"/>
              <w:rPr>
                <w:rFonts w:ascii="Times New Roman" w:hAnsi="Times New Roman"/>
              </w:rPr>
            </w:pPr>
            <w:r>
              <w:rPr>
                <w:rFonts w:ascii="Times New Roman" w:hAnsi="Times New Roman"/>
              </w:rPr>
              <w:t>1 mL</w:t>
            </w:r>
          </w:p>
        </w:tc>
        <w:tc>
          <w:tcPr>
            <w:tcW w:w="992" w:type="dxa"/>
            <w:vAlign w:val="center"/>
          </w:tcPr>
          <w:p w14:paraId="140B7780">
            <w:pPr>
              <w:snapToGrid w:val="0"/>
              <w:ind w:left="17"/>
              <w:jc w:val="center"/>
              <w:rPr>
                <w:rFonts w:ascii="Times New Roman" w:hAnsi="Times New Roman"/>
              </w:rPr>
            </w:pPr>
            <w:r>
              <w:rPr>
                <w:rFonts w:ascii="Times New Roman" w:hAnsi="Times New Roman"/>
              </w:rPr>
              <w:t>6个月</w:t>
            </w:r>
          </w:p>
        </w:tc>
        <w:tc>
          <w:tcPr>
            <w:tcW w:w="1270" w:type="dxa"/>
            <w:vAlign w:val="center"/>
          </w:tcPr>
          <w:p w14:paraId="16F4260B">
            <w:pPr>
              <w:snapToGrid w:val="0"/>
              <w:ind w:left="17"/>
              <w:jc w:val="center"/>
              <w:rPr>
                <w:rFonts w:ascii="Times New Roman" w:hAnsi="Times New Roman"/>
              </w:rPr>
            </w:pPr>
            <w:r>
              <w:rPr>
                <w:rFonts w:ascii="Times New Roman" w:hAnsi="Times New Roman"/>
              </w:rPr>
              <w:t>强制免疫</w:t>
            </w:r>
          </w:p>
        </w:tc>
      </w:tr>
      <w:tr w14:paraId="6BA690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9" w:hRule="atLeast"/>
          <w:jc w:val="center"/>
        </w:trPr>
        <w:tc>
          <w:tcPr>
            <w:tcW w:w="1277" w:type="dxa"/>
            <w:vMerge w:val="continue"/>
            <w:vAlign w:val="center"/>
          </w:tcPr>
          <w:p w14:paraId="34B1EBEF">
            <w:pPr>
              <w:snapToGrid w:val="0"/>
              <w:ind w:left="17"/>
              <w:jc w:val="center"/>
              <w:rPr>
                <w:rFonts w:ascii="Times New Roman" w:hAnsi="Times New Roman"/>
              </w:rPr>
            </w:pPr>
          </w:p>
        </w:tc>
        <w:tc>
          <w:tcPr>
            <w:tcW w:w="1694" w:type="dxa"/>
            <w:vMerge w:val="continue"/>
            <w:vAlign w:val="center"/>
          </w:tcPr>
          <w:p w14:paraId="28B50505">
            <w:pPr>
              <w:snapToGrid w:val="0"/>
              <w:ind w:left="17"/>
              <w:jc w:val="center"/>
              <w:rPr>
                <w:rFonts w:ascii="Times New Roman" w:hAnsi="Times New Roman"/>
              </w:rPr>
            </w:pPr>
          </w:p>
        </w:tc>
        <w:tc>
          <w:tcPr>
            <w:tcW w:w="1282" w:type="dxa"/>
            <w:vAlign w:val="center"/>
          </w:tcPr>
          <w:p w14:paraId="438E5873">
            <w:pPr>
              <w:snapToGrid w:val="0"/>
              <w:ind w:left="17"/>
              <w:jc w:val="center"/>
              <w:rPr>
                <w:rFonts w:ascii="Times New Roman" w:hAnsi="Times New Roman"/>
              </w:rPr>
            </w:pPr>
            <w:bookmarkStart w:id="124" w:name="OLE_LINK80"/>
            <w:bookmarkStart w:id="125" w:name="OLE_LINK81"/>
            <w:r>
              <w:rPr>
                <w:rFonts w:ascii="宋体" w:hAnsi="宋体"/>
              </w:rPr>
              <w:t>≥</w:t>
            </w:r>
            <w:r>
              <w:rPr>
                <w:rFonts w:ascii="Times New Roman" w:hAnsi="Times New Roman"/>
              </w:rPr>
              <w:t>12月龄</w:t>
            </w:r>
            <w:bookmarkEnd w:id="124"/>
            <w:bookmarkEnd w:id="125"/>
          </w:p>
        </w:tc>
        <w:tc>
          <w:tcPr>
            <w:tcW w:w="2127" w:type="dxa"/>
            <w:vAlign w:val="center"/>
          </w:tcPr>
          <w:p w14:paraId="46E40021">
            <w:pPr>
              <w:snapToGrid w:val="0"/>
              <w:ind w:left="17"/>
              <w:jc w:val="center"/>
              <w:rPr>
                <w:rFonts w:ascii="Times New Roman" w:hAnsi="Times New Roman"/>
              </w:rPr>
            </w:pPr>
            <w:r>
              <w:rPr>
                <w:rFonts w:ascii="Times New Roman" w:hAnsi="Times New Roman"/>
              </w:rPr>
              <w:t>皮下或肌肉注射</w:t>
            </w:r>
          </w:p>
          <w:p w14:paraId="33E5CF5A">
            <w:pPr>
              <w:snapToGrid w:val="0"/>
              <w:ind w:left="17"/>
              <w:jc w:val="center"/>
              <w:rPr>
                <w:rFonts w:ascii="Times New Roman" w:hAnsi="Times New Roman"/>
              </w:rPr>
            </w:pPr>
            <w:r>
              <w:rPr>
                <w:rFonts w:ascii="Times New Roman" w:hAnsi="Times New Roman"/>
              </w:rPr>
              <w:t>2 mL</w:t>
            </w:r>
          </w:p>
        </w:tc>
        <w:tc>
          <w:tcPr>
            <w:tcW w:w="992" w:type="dxa"/>
            <w:vAlign w:val="center"/>
          </w:tcPr>
          <w:p w14:paraId="12506F9D">
            <w:pPr>
              <w:snapToGrid w:val="0"/>
              <w:ind w:left="17"/>
              <w:jc w:val="center"/>
              <w:rPr>
                <w:rFonts w:ascii="Times New Roman" w:hAnsi="Times New Roman"/>
              </w:rPr>
            </w:pPr>
            <w:r>
              <w:rPr>
                <w:rFonts w:ascii="Times New Roman" w:hAnsi="Times New Roman"/>
              </w:rPr>
              <w:t>6个月</w:t>
            </w:r>
          </w:p>
        </w:tc>
        <w:tc>
          <w:tcPr>
            <w:tcW w:w="1270" w:type="dxa"/>
            <w:vAlign w:val="center"/>
          </w:tcPr>
          <w:p w14:paraId="32D68B30">
            <w:pPr>
              <w:snapToGrid w:val="0"/>
              <w:ind w:left="17"/>
              <w:jc w:val="center"/>
              <w:rPr>
                <w:rFonts w:ascii="Times New Roman" w:hAnsi="Times New Roman"/>
              </w:rPr>
            </w:pPr>
            <w:r>
              <w:rPr>
                <w:rFonts w:ascii="Times New Roman" w:hAnsi="Times New Roman"/>
              </w:rPr>
              <w:t>强制免疫</w:t>
            </w:r>
          </w:p>
        </w:tc>
      </w:tr>
      <w:tr w14:paraId="5BBDE1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9" w:hRule="atLeast"/>
          <w:jc w:val="center"/>
        </w:trPr>
        <w:tc>
          <w:tcPr>
            <w:tcW w:w="1277" w:type="dxa"/>
            <w:vAlign w:val="center"/>
          </w:tcPr>
          <w:p w14:paraId="6FF98D1E">
            <w:pPr>
              <w:snapToGrid w:val="0"/>
              <w:ind w:left="17"/>
              <w:jc w:val="center"/>
              <w:rPr>
                <w:rFonts w:ascii="Times New Roman" w:hAnsi="Times New Roman"/>
              </w:rPr>
            </w:pPr>
            <w:r>
              <w:rPr>
                <w:rFonts w:ascii="Times New Roman" w:hAnsi="Times New Roman"/>
              </w:rPr>
              <w:t>牛出血性败血病</w:t>
            </w:r>
          </w:p>
        </w:tc>
        <w:tc>
          <w:tcPr>
            <w:tcW w:w="1694" w:type="dxa"/>
            <w:vAlign w:val="center"/>
          </w:tcPr>
          <w:p w14:paraId="53A7A106">
            <w:pPr>
              <w:snapToGrid w:val="0"/>
              <w:ind w:left="17"/>
              <w:jc w:val="center"/>
              <w:rPr>
                <w:rFonts w:ascii="Times New Roman" w:hAnsi="Times New Roman"/>
              </w:rPr>
            </w:pPr>
            <w:bookmarkStart w:id="126" w:name="OLE_LINK75"/>
            <w:bookmarkStart w:id="127" w:name="OLE_LINK74"/>
            <w:r>
              <w:rPr>
                <w:rFonts w:ascii="Times New Roman" w:hAnsi="Times New Roman"/>
              </w:rPr>
              <w:t>多杀性巴氏杆菌病</w:t>
            </w:r>
            <w:bookmarkEnd w:id="126"/>
            <w:bookmarkEnd w:id="127"/>
            <w:r>
              <w:rPr>
                <w:rFonts w:ascii="Times New Roman" w:hAnsi="Times New Roman"/>
              </w:rPr>
              <w:t>灭活疫苗</w:t>
            </w:r>
          </w:p>
        </w:tc>
        <w:tc>
          <w:tcPr>
            <w:tcW w:w="1282" w:type="dxa"/>
            <w:vAlign w:val="center"/>
          </w:tcPr>
          <w:p w14:paraId="60D93706">
            <w:pPr>
              <w:snapToGrid w:val="0"/>
              <w:ind w:left="17"/>
              <w:jc w:val="center"/>
              <w:rPr>
                <w:rFonts w:ascii="Times New Roman" w:hAnsi="Times New Roman"/>
              </w:rPr>
            </w:pPr>
            <w:r>
              <w:rPr>
                <w:rFonts w:ascii="宋体" w:hAnsi="宋体"/>
              </w:rPr>
              <w:t>≥</w:t>
            </w:r>
            <w:r>
              <w:rPr>
                <w:rFonts w:ascii="Times New Roman" w:hAnsi="Times New Roman"/>
              </w:rPr>
              <w:t>12月龄</w:t>
            </w:r>
          </w:p>
        </w:tc>
        <w:tc>
          <w:tcPr>
            <w:tcW w:w="2127" w:type="dxa"/>
            <w:vAlign w:val="center"/>
          </w:tcPr>
          <w:p w14:paraId="0820C4D7">
            <w:pPr>
              <w:snapToGrid w:val="0"/>
              <w:ind w:left="17"/>
              <w:jc w:val="center"/>
              <w:rPr>
                <w:rFonts w:ascii="Times New Roman" w:hAnsi="Times New Roman"/>
              </w:rPr>
            </w:pPr>
            <w:r>
              <w:rPr>
                <w:rFonts w:ascii="Times New Roman" w:hAnsi="Times New Roman"/>
              </w:rPr>
              <w:t>皮下或肌肉注射</w:t>
            </w:r>
          </w:p>
          <w:p w14:paraId="6C2C0F8B">
            <w:pPr>
              <w:snapToGrid w:val="0"/>
              <w:ind w:left="17"/>
              <w:jc w:val="center"/>
              <w:rPr>
                <w:rFonts w:ascii="Times New Roman" w:hAnsi="Times New Roman"/>
              </w:rPr>
            </w:pPr>
            <w:bookmarkStart w:id="128" w:name="OLE_LINK73"/>
            <w:bookmarkStart w:id="129" w:name="OLE_LINK72"/>
            <w:r>
              <w:rPr>
                <w:rFonts w:ascii="Times New Roman" w:hAnsi="Times New Roman"/>
              </w:rPr>
              <w:t>体重</w:t>
            </w:r>
            <w:bookmarkEnd w:id="128"/>
            <w:bookmarkEnd w:id="129"/>
            <w:r>
              <w:rPr>
                <w:rFonts w:ascii="Times New Roman" w:hAnsi="Times New Roman"/>
              </w:rPr>
              <w:t>＜100 kg，4 mL</w:t>
            </w:r>
          </w:p>
          <w:p w14:paraId="715D4479">
            <w:pPr>
              <w:snapToGrid w:val="0"/>
              <w:ind w:left="17"/>
              <w:jc w:val="center"/>
              <w:rPr>
                <w:rFonts w:ascii="Times New Roman" w:hAnsi="Times New Roman"/>
              </w:rPr>
            </w:pPr>
            <w:r>
              <w:rPr>
                <w:rFonts w:ascii="Times New Roman" w:hAnsi="Times New Roman"/>
              </w:rPr>
              <w:t>体重＞100 kg，6 mL</w:t>
            </w:r>
          </w:p>
        </w:tc>
        <w:tc>
          <w:tcPr>
            <w:tcW w:w="992" w:type="dxa"/>
            <w:vAlign w:val="center"/>
          </w:tcPr>
          <w:p w14:paraId="2218D543">
            <w:pPr>
              <w:snapToGrid w:val="0"/>
              <w:ind w:left="17"/>
              <w:jc w:val="center"/>
              <w:rPr>
                <w:rFonts w:ascii="Times New Roman" w:hAnsi="Times New Roman"/>
              </w:rPr>
            </w:pPr>
            <w:r>
              <w:rPr>
                <w:rFonts w:ascii="Times New Roman" w:hAnsi="Times New Roman"/>
              </w:rPr>
              <w:t>9个月</w:t>
            </w:r>
          </w:p>
        </w:tc>
        <w:tc>
          <w:tcPr>
            <w:tcW w:w="1270" w:type="dxa"/>
            <w:vAlign w:val="center"/>
          </w:tcPr>
          <w:p w14:paraId="2DBA3632">
            <w:pPr>
              <w:snapToGrid w:val="0"/>
              <w:ind w:left="17"/>
              <w:jc w:val="center"/>
              <w:rPr>
                <w:rFonts w:ascii="Times New Roman" w:hAnsi="Times New Roman"/>
              </w:rPr>
            </w:pPr>
            <w:bookmarkStart w:id="130" w:name="OLE_LINK31"/>
            <w:bookmarkStart w:id="131" w:name="OLE_LINK29"/>
            <w:r>
              <w:rPr>
                <w:rFonts w:ascii="Times New Roman" w:hAnsi="Times New Roman"/>
              </w:rPr>
              <w:t>因病设防</w:t>
            </w:r>
            <w:bookmarkEnd w:id="130"/>
            <w:bookmarkEnd w:id="131"/>
          </w:p>
        </w:tc>
      </w:tr>
      <w:tr w14:paraId="70F98E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9" w:hRule="atLeast"/>
          <w:jc w:val="center"/>
        </w:trPr>
        <w:tc>
          <w:tcPr>
            <w:tcW w:w="1277" w:type="dxa"/>
            <w:vAlign w:val="center"/>
          </w:tcPr>
          <w:p w14:paraId="1E7719DC">
            <w:pPr>
              <w:snapToGrid w:val="0"/>
              <w:ind w:left="17"/>
              <w:jc w:val="center"/>
              <w:rPr>
                <w:rFonts w:ascii="Times New Roman" w:hAnsi="Times New Roman"/>
              </w:rPr>
            </w:pPr>
            <w:r>
              <w:rPr>
                <w:rFonts w:ascii="Times New Roman" w:hAnsi="Times New Roman"/>
              </w:rPr>
              <w:t>牛炭疽病</w:t>
            </w:r>
          </w:p>
        </w:tc>
        <w:tc>
          <w:tcPr>
            <w:tcW w:w="1694" w:type="dxa"/>
            <w:vAlign w:val="center"/>
          </w:tcPr>
          <w:p w14:paraId="5A27DCF2">
            <w:pPr>
              <w:snapToGrid w:val="0"/>
              <w:ind w:left="17"/>
              <w:jc w:val="center"/>
              <w:rPr>
                <w:rFonts w:ascii="Times New Roman" w:hAnsi="Times New Roman"/>
              </w:rPr>
            </w:pPr>
            <w:r>
              <w:rPr>
                <w:rFonts w:ascii="Times New Roman" w:hAnsi="Times New Roman"/>
              </w:rPr>
              <w:t>炭疽无毒芽胞菌（或无荚膜炭疽芽胞苗）</w:t>
            </w:r>
          </w:p>
        </w:tc>
        <w:tc>
          <w:tcPr>
            <w:tcW w:w="1282" w:type="dxa"/>
            <w:vAlign w:val="center"/>
          </w:tcPr>
          <w:p w14:paraId="46540974">
            <w:pPr>
              <w:snapToGrid w:val="0"/>
              <w:ind w:left="17"/>
              <w:jc w:val="center"/>
              <w:rPr>
                <w:rFonts w:ascii="Times New Roman" w:hAnsi="Times New Roman"/>
              </w:rPr>
            </w:pPr>
            <w:r>
              <w:rPr>
                <w:rFonts w:ascii="宋体" w:hAnsi="宋体"/>
              </w:rPr>
              <w:t>≥</w:t>
            </w:r>
            <w:r>
              <w:rPr>
                <w:rFonts w:ascii="Times New Roman" w:hAnsi="Times New Roman"/>
              </w:rPr>
              <w:t>1月龄</w:t>
            </w:r>
          </w:p>
        </w:tc>
        <w:tc>
          <w:tcPr>
            <w:tcW w:w="2127" w:type="dxa"/>
            <w:vAlign w:val="center"/>
          </w:tcPr>
          <w:p w14:paraId="20FB834E">
            <w:pPr>
              <w:snapToGrid w:val="0"/>
              <w:ind w:left="17"/>
              <w:jc w:val="center"/>
              <w:rPr>
                <w:rFonts w:ascii="Times New Roman" w:hAnsi="Times New Roman"/>
              </w:rPr>
            </w:pPr>
            <w:r>
              <w:rPr>
                <w:rFonts w:ascii="Times New Roman" w:hAnsi="Times New Roman"/>
              </w:rPr>
              <w:t>皮下注射1 mL</w:t>
            </w:r>
          </w:p>
        </w:tc>
        <w:tc>
          <w:tcPr>
            <w:tcW w:w="992" w:type="dxa"/>
            <w:vAlign w:val="center"/>
          </w:tcPr>
          <w:p w14:paraId="6BE90AD8">
            <w:pPr>
              <w:snapToGrid w:val="0"/>
              <w:ind w:left="17"/>
              <w:jc w:val="center"/>
              <w:rPr>
                <w:rFonts w:ascii="Times New Roman" w:hAnsi="Times New Roman"/>
              </w:rPr>
            </w:pPr>
            <w:r>
              <w:rPr>
                <w:rFonts w:ascii="Times New Roman" w:hAnsi="Times New Roman"/>
              </w:rPr>
              <w:t>12个月</w:t>
            </w:r>
          </w:p>
        </w:tc>
        <w:tc>
          <w:tcPr>
            <w:tcW w:w="1270" w:type="dxa"/>
            <w:vAlign w:val="center"/>
          </w:tcPr>
          <w:p w14:paraId="6651F38E">
            <w:pPr>
              <w:snapToGrid w:val="0"/>
              <w:ind w:left="17"/>
              <w:jc w:val="center"/>
              <w:rPr>
                <w:rFonts w:ascii="Times New Roman" w:hAnsi="Times New Roman"/>
              </w:rPr>
            </w:pPr>
            <w:bookmarkStart w:id="132" w:name="OLE_LINK32"/>
            <w:bookmarkStart w:id="133" w:name="OLE_LINK38"/>
            <w:r>
              <w:rPr>
                <w:rFonts w:ascii="Times New Roman" w:hAnsi="Times New Roman"/>
              </w:rPr>
              <w:t>因病设防</w:t>
            </w:r>
            <w:bookmarkEnd w:id="132"/>
            <w:bookmarkEnd w:id="133"/>
          </w:p>
        </w:tc>
      </w:tr>
      <w:tr w14:paraId="7145BF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6" w:hRule="atLeast"/>
          <w:jc w:val="center"/>
        </w:trPr>
        <w:tc>
          <w:tcPr>
            <w:tcW w:w="1277" w:type="dxa"/>
            <w:vMerge w:val="restart"/>
            <w:vAlign w:val="center"/>
          </w:tcPr>
          <w:p w14:paraId="30E7AD0E">
            <w:pPr>
              <w:snapToGrid w:val="0"/>
              <w:ind w:left="17"/>
              <w:jc w:val="center"/>
              <w:rPr>
                <w:rFonts w:ascii="Times New Roman" w:hAnsi="Times New Roman"/>
              </w:rPr>
            </w:pPr>
            <w:r>
              <w:rPr>
                <w:rFonts w:ascii="Times New Roman" w:hAnsi="Times New Roman"/>
              </w:rPr>
              <w:t>牛破伤风</w:t>
            </w:r>
          </w:p>
        </w:tc>
        <w:tc>
          <w:tcPr>
            <w:tcW w:w="1694" w:type="dxa"/>
            <w:vMerge w:val="restart"/>
            <w:vAlign w:val="center"/>
          </w:tcPr>
          <w:p w14:paraId="42E6CBA0">
            <w:pPr>
              <w:snapToGrid w:val="0"/>
              <w:ind w:left="17"/>
              <w:jc w:val="center"/>
              <w:rPr>
                <w:rFonts w:ascii="Times New Roman" w:hAnsi="Times New Roman"/>
              </w:rPr>
            </w:pPr>
            <w:bookmarkStart w:id="134" w:name="OLE_LINK77"/>
            <w:bookmarkStart w:id="135" w:name="OLE_LINK76"/>
            <w:r>
              <w:rPr>
                <w:rFonts w:ascii="Times New Roman" w:hAnsi="Times New Roman"/>
              </w:rPr>
              <w:t>破伤风</w:t>
            </w:r>
            <w:bookmarkEnd w:id="134"/>
            <w:bookmarkEnd w:id="135"/>
            <w:r>
              <w:rPr>
                <w:rFonts w:ascii="Times New Roman" w:hAnsi="Times New Roman"/>
              </w:rPr>
              <w:t>类毒素</w:t>
            </w:r>
          </w:p>
        </w:tc>
        <w:tc>
          <w:tcPr>
            <w:tcW w:w="1282" w:type="dxa"/>
            <w:vAlign w:val="center"/>
          </w:tcPr>
          <w:p w14:paraId="2B1E954A">
            <w:pPr>
              <w:snapToGrid w:val="0"/>
              <w:ind w:left="17"/>
              <w:jc w:val="center"/>
              <w:rPr>
                <w:rFonts w:ascii="Times New Roman" w:hAnsi="Times New Roman"/>
              </w:rPr>
            </w:pPr>
            <w:bookmarkStart w:id="136" w:name="OLE_LINK79"/>
            <w:bookmarkStart w:id="137" w:name="OLE_LINK78"/>
            <w:r>
              <w:rPr>
                <w:rFonts w:ascii="Times New Roman" w:hAnsi="Times New Roman"/>
              </w:rPr>
              <w:t>1月龄</w:t>
            </w:r>
            <w:bookmarkEnd w:id="136"/>
            <w:bookmarkEnd w:id="137"/>
          </w:p>
        </w:tc>
        <w:tc>
          <w:tcPr>
            <w:tcW w:w="2127" w:type="dxa"/>
            <w:vAlign w:val="center"/>
          </w:tcPr>
          <w:p w14:paraId="4F51FB65">
            <w:pPr>
              <w:snapToGrid w:val="0"/>
              <w:ind w:left="17"/>
              <w:jc w:val="center"/>
              <w:rPr>
                <w:rFonts w:ascii="Times New Roman" w:hAnsi="Times New Roman"/>
              </w:rPr>
            </w:pPr>
            <w:r>
              <w:rPr>
                <w:rFonts w:ascii="Times New Roman" w:hAnsi="Times New Roman"/>
              </w:rPr>
              <w:t>皮下注射0.5 mL</w:t>
            </w:r>
          </w:p>
        </w:tc>
        <w:tc>
          <w:tcPr>
            <w:tcW w:w="992" w:type="dxa"/>
            <w:vAlign w:val="center"/>
          </w:tcPr>
          <w:p w14:paraId="17261E6C">
            <w:pPr>
              <w:snapToGrid w:val="0"/>
              <w:ind w:left="17"/>
              <w:jc w:val="center"/>
              <w:rPr>
                <w:rFonts w:ascii="Times New Roman" w:hAnsi="Times New Roman"/>
              </w:rPr>
            </w:pPr>
            <w:r>
              <w:rPr>
                <w:rFonts w:ascii="Times New Roman" w:hAnsi="Times New Roman"/>
              </w:rPr>
              <w:t>12个月</w:t>
            </w:r>
          </w:p>
        </w:tc>
        <w:tc>
          <w:tcPr>
            <w:tcW w:w="1270" w:type="dxa"/>
            <w:vMerge w:val="restart"/>
            <w:vAlign w:val="center"/>
          </w:tcPr>
          <w:p w14:paraId="2C69C8B6">
            <w:pPr>
              <w:snapToGrid w:val="0"/>
              <w:ind w:left="17"/>
              <w:jc w:val="center"/>
              <w:rPr>
                <w:rFonts w:ascii="Times New Roman" w:hAnsi="Times New Roman"/>
              </w:rPr>
            </w:pPr>
            <w:r>
              <w:rPr>
                <w:rFonts w:ascii="Times New Roman" w:hAnsi="Times New Roman"/>
              </w:rPr>
              <w:t>因病设防</w:t>
            </w:r>
          </w:p>
        </w:tc>
      </w:tr>
      <w:tr w14:paraId="25DE3B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9" w:hRule="atLeast"/>
          <w:jc w:val="center"/>
        </w:trPr>
        <w:tc>
          <w:tcPr>
            <w:tcW w:w="1277" w:type="dxa"/>
            <w:vMerge w:val="continue"/>
            <w:vAlign w:val="center"/>
          </w:tcPr>
          <w:p w14:paraId="1BDB81C6">
            <w:pPr>
              <w:snapToGrid w:val="0"/>
              <w:ind w:left="17"/>
              <w:jc w:val="center"/>
              <w:rPr>
                <w:rFonts w:ascii="Times New Roman" w:hAnsi="Times New Roman"/>
              </w:rPr>
            </w:pPr>
          </w:p>
        </w:tc>
        <w:tc>
          <w:tcPr>
            <w:tcW w:w="1694" w:type="dxa"/>
            <w:vMerge w:val="continue"/>
            <w:vAlign w:val="center"/>
          </w:tcPr>
          <w:p w14:paraId="4F0E573B">
            <w:pPr>
              <w:snapToGrid w:val="0"/>
              <w:ind w:left="17"/>
              <w:jc w:val="center"/>
              <w:rPr>
                <w:rFonts w:ascii="Times New Roman" w:hAnsi="Times New Roman"/>
              </w:rPr>
            </w:pPr>
          </w:p>
        </w:tc>
        <w:tc>
          <w:tcPr>
            <w:tcW w:w="1282" w:type="dxa"/>
            <w:vAlign w:val="center"/>
          </w:tcPr>
          <w:p w14:paraId="74354527">
            <w:pPr>
              <w:snapToGrid w:val="0"/>
              <w:ind w:left="17"/>
              <w:jc w:val="center"/>
              <w:rPr>
                <w:rFonts w:ascii="Times New Roman" w:hAnsi="Times New Roman"/>
              </w:rPr>
            </w:pPr>
            <w:r>
              <w:rPr>
                <w:rFonts w:ascii="宋体" w:hAnsi="宋体"/>
              </w:rPr>
              <w:t>≥</w:t>
            </w:r>
            <w:r>
              <w:rPr>
                <w:rFonts w:ascii="Times New Roman" w:hAnsi="Times New Roman"/>
              </w:rPr>
              <w:t>12月龄</w:t>
            </w:r>
          </w:p>
        </w:tc>
        <w:tc>
          <w:tcPr>
            <w:tcW w:w="2127" w:type="dxa"/>
            <w:vAlign w:val="center"/>
          </w:tcPr>
          <w:p w14:paraId="3AAAD763">
            <w:pPr>
              <w:snapToGrid w:val="0"/>
              <w:ind w:left="17"/>
              <w:jc w:val="center"/>
              <w:rPr>
                <w:rFonts w:ascii="Times New Roman" w:hAnsi="Times New Roman"/>
              </w:rPr>
            </w:pPr>
            <w:r>
              <w:rPr>
                <w:rFonts w:ascii="Times New Roman" w:hAnsi="Times New Roman"/>
              </w:rPr>
              <w:t>皮下注射1 mL</w:t>
            </w:r>
          </w:p>
        </w:tc>
        <w:tc>
          <w:tcPr>
            <w:tcW w:w="992" w:type="dxa"/>
            <w:vAlign w:val="center"/>
          </w:tcPr>
          <w:p w14:paraId="4715D24C">
            <w:pPr>
              <w:snapToGrid w:val="0"/>
              <w:ind w:left="17"/>
              <w:jc w:val="center"/>
              <w:rPr>
                <w:rFonts w:ascii="Times New Roman" w:hAnsi="Times New Roman"/>
              </w:rPr>
            </w:pPr>
            <w:r>
              <w:rPr>
                <w:rFonts w:ascii="Times New Roman" w:hAnsi="Times New Roman"/>
              </w:rPr>
              <w:t>12个月</w:t>
            </w:r>
          </w:p>
        </w:tc>
        <w:tc>
          <w:tcPr>
            <w:tcW w:w="1270" w:type="dxa"/>
            <w:vMerge w:val="continue"/>
            <w:vAlign w:val="center"/>
          </w:tcPr>
          <w:p w14:paraId="2B318594">
            <w:pPr>
              <w:snapToGrid w:val="0"/>
              <w:ind w:left="17"/>
              <w:jc w:val="center"/>
              <w:rPr>
                <w:rFonts w:ascii="Times New Roman" w:hAnsi="Times New Roman"/>
              </w:rPr>
            </w:pPr>
          </w:p>
        </w:tc>
      </w:tr>
      <w:tr w14:paraId="154BE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0" w:hRule="atLeast"/>
          <w:jc w:val="center"/>
        </w:trPr>
        <w:tc>
          <w:tcPr>
            <w:tcW w:w="8642" w:type="dxa"/>
            <w:gridSpan w:val="6"/>
            <w:vAlign w:val="center"/>
          </w:tcPr>
          <w:p w14:paraId="59A475E6">
            <w:pPr>
              <w:snapToGrid w:val="0"/>
              <w:ind w:left="17"/>
              <w:jc w:val="center"/>
              <w:rPr>
                <w:rFonts w:ascii="Times New Roman" w:hAnsi="Times New Roman"/>
              </w:rPr>
            </w:pPr>
            <w:r>
              <w:rPr>
                <w:rFonts w:ascii="Times New Roman" w:hAnsi="Times New Roman"/>
              </w:rPr>
              <w:t>注：具体使用参见标签和疫苗说明书；不同种疫苗接种建议间隔期为7~14天。</w:t>
            </w:r>
          </w:p>
        </w:tc>
      </w:tr>
    </w:tbl>
    <w:p w14:paraId="1B6E205D">
      <w:pPr>
        <w:snapToGrid w:val="0"/>
        <w:spacing w:before="240" w:after="240"/>
        <w:ind w:left="15"/>
        <w:jc w:val="center"/>
        <w:rPr>
          <w:rFonts w:ascii="Times New Roman" w:hAnsi="Times New Roman"/>
        </w:rPr>
      </w:pPr>
      <w:r>
        <w:rPr>
          <w:rFonts w:hint="eastAsia" w:ascii="Times New Roman" w:hAnsi="Times New Roman"/>
        </w:rPr>
        <w:t>—————————————————————</w:t>
      </w:r>
    </w:p>
    <w:bookmarkEnd w:id="105"/>
    <w:p w14:paraId="6ADC45CE">
      <w:pPr>
        <w:snapToGrid w:val="0"/>
        <w:spacing w:before="240" w:after="240"/>
        <w:ind w:left="15"/>
        <w:jc w:val="center"/>
        <w:rPr>
          <w:rFonts w:ascii="Times New Roman" w:hAnsi="Times New Roman"/>
        </w:rPr>
      </w:pPr>
    </w:p>
    <w:bookmarkEnd w:id="69"/>
    <w:p w14:paraId="1F6EEE9E">
      <w:pPr>
        <w:pStyle w:val="56"/>
        <w:ind w:firstLine="420"/>
        <w:rPr>
          <w:rFonts w:ascii="Times New Roman"/>
        </w:rPr>
      </w:pPr>
    </w:p>
    <w:sectPr>
      <w:headerReference r:id="rId21" w:type="default"/>
      <w:headerReference r:id="rId22" w:type="even"/>
      <w:footerReference r:id="rId23" w:type="even"/>
      <w:pgSz w:w="11906" w:h="16838"/>
      <w:pgMar w:top="1928" w:right="1134" w:bottom="1134" w:left="1134" w:header="1418" w:footer="1134" w:gutter="284"/>
      <w:cols w:space="425" w:num="1"/>
      <w:formProt w:val="0"/>
      <w:docGrid w:linePitch="312" w:charSpace="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CDB711">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ABFE53">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3DEDFA">
    <w:pPr>
      <w:pStyle w:val="52"/>
    </w:pPr>
    <w:r>
      <w:fldChar w:fldCharType="begin"/>
    </w:r>
    <w:r>
      <w:instrText xml:space="preserve">PAGE   \* MERGEFORMAT</w:instrText>
    </w:r>
    <w:r>
      <w:fldChar w:fldCharType="separate"/>
    </w:r>
    <w:r>
      <w:rPr>
        <w:lang w:val="zh-CN"/>
      </w:rPr>
      <w:t>I</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21935C">
    <w:pPr>
      <w:pStyle w:val="51"/>
    </w:pPr>
    <w:r>
      <w:fldChar w:fldCharType="begin"/>
    </w:r>
    <w:r>
      <w:instrText xml:space="preserve"> PAGE   \* MERGEFORMAT \* MERGEFORMAT </w:instrText>
    </w:r>
    <w:r>
      <w:fldChar w:fldCharType="separate"/>
    </w:r>
    <w:r>
      <w:t>II</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2978FB">
    <w:pPr>
      <w:pStyle w:val="52"/>
    </w:pPr>
    <w:r>
      <w:fldChar w:fldCharType="begin"/>
    </w:r>
    <w:r>
      <w:instrText xml:space="preserve">PAGE   \* MERGEFORMAT</w:instrText>
    </w:r>
    <w:r>
      <w:fldChar w:fldCharType="separate"/>
    </w:r>
    <w:r>
      <w:rPr>
        <w:lang w:val="zh-CN"/>
      </w:rPr>
      <w:t>II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27412669"/>
      <w:docPartObj>
        <w:docPartGallery w:val="AutoText"/>
      </w:docPartObj>
    </w:sdtPr>
    <w:sdtContent>
      <w:p w14:paraId="1004DE43">
        <w:pPr>
          <w:pStyle w:val="17"/>
        </w:pPr>
        <w:r>
          <w:fldChar w:fldCharType="begin"/>
        </w:r>
        <w:r>
          <w:instrText xml:space="preserve">PAGE   \* MERGEFORMAT</w:instrText>
        </w:r>
        <w:r>
          <w:fldChar w:fldCharType="separate"/>
        </w:r>
        <w:r>
          <w:rPr>
            <w:lang w:val="zh-CN"/>
          </w:rPr>
          <w:t>II</w:t>
        </w:r>
        <w:r>
          <w:fldChar w:fldCharType="end"/>
        </w:r>
      </w:p>
    </w:sdtContent>
  </w:sdt>
  <w:p w14:paraId="25CF5FB2">
    <w:pPr>
      <w:pStyle w:val="51"/>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436003"/>
      <w:docPartObj>
        <w:docPartGallery w:val="AutoText"/>
      </w:docPartObj>
    </w:sdtPr>
    <w:sdtContent>
      <w:p w14:paraId="142D3FB4">
        <w:pPr>
          <w:pStyle w:val="17"/>
        </w:pPr>
        <w:r>
          <w:fldChar w:fldCharType="begin"/>
        </w:r>
        <w:r>
          <w:instrText xml:space="preserve">PAGE   \* MERGEFORMAT</w:instrText>
        </w:r>
        <w:r>
          <w:fldChar w:fldCharType="separate"/>
        </w:r>
        <w:r>
          <w:rPr>
            <w:lang w:val="zh-CN"/>
          </w:rPr>
          <w:t>6</w:t>
        </w:r>
        <w:r>
          <w:fldChar w:fldCharType="end"/>
        </w:r>
      </w:p>
    </w:sdtContent>
  </w:sdt>
  <w:p w14:paraId="2CE7EAD6">
    <w:pPr>
      <w:pStyle w:val="52"/>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048524390"/>
      <w:docPartObj>
        <w:docPartGallery w:val="AutoText"/>
      </w:docPartObj>
    </w:sdtPr>
    <w:sdtContent>
      <w:p w14:paraId="70981572">
        <w:pPr>
          <w:pStyle w:val="17"/>
        </w:pPr>
        <w:r>
          <w:t>4</w:t>
        </w:r>
      </w:p>
    </w:sdtContent>
  </w:sdt>
  <w:p w14:paraId="157BA60F">
    <w:pPr>
      <w:pStyle w:val="51"/>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006964315"/>
      <w:docPartObj>
        <w:docPartGallery w:val="AutoText"/>
      </w:docPartObj>
    </w:sdtPr>
    <w:sdtContent>
      <w:p w14:paraId="7FC8E650">
        <w:pPr>
          <w:pStyle w:val="17"/>
        </w:pPr>
        <w:r>
          <w:t>6</w:t>
        </w:r>
      </w:p>
    </w:sdtContent>
  </w:sdt>
  <w:p w14:paraId="5938965A">
    <w:pPr>
      <w:pStyle w:val="5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22C028">
    <w:pPr>
      <w:pStyle w:val="18"/>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4CAB8C">
    <w:pPr>
      <w:pStyle w:val="62"/>
    </w:pPr>
    <w:r>
      <w:fldChar w:fldCharType="begin"/>
    </w:r>
    <w:r>
      <w:instrText xml:space="preserve"> STYLEREF  标准文件_文件编号 \* MERGEFORMAT </w:instrText>
    </w:r>
    <w:r>
      <w:fldChar w:fldCharType="separate"/>
    </w:r>
    <w:r>
      <w:t>T/GSQA 001—2026</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D300D0">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144E5A">
    <w:pPr>
      <w:pStyle w:val="61"/>
    </w:pPr>
    <w:r>
      <w:fldChar w:fldCharType="begin"/>
    </w:r>
    <w:r>
      <w:instrText xml:space="preserve"> STYLEREF  标准文件_文件编号  \* MERGEFORMAT </w:instrText>
    </w:r>
    <w:r>
      <w:fldChar w:fldCharType="separate"/>
    </w:r>
    <w:r>
      <w:t>T/GSQA 001—2026</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76A945">
    <w:pPr>
      <w:pStyle w:val="62"/>
    </w:pPr>
    <w:r>
      <w:fldChar w:fldCharType="begin"/>
    </w:r>
    <w:r>
      <w:instrText xml:space="preserve"> STYLEREF  标准文件_文件编号 \* MERGEFORMAT </w:instrText>
    </w:r>
    <w:r>
      <w:fldChar w:fldCharType="separate"/>
    </w:r>
    <w:r>
      <w:t>T/GSQA 001—2026</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B41182">
    <w:pPr>
      <w:pStyle w:val="61"/>
    </w:pPr>
    <w:r>
      <w:fldChar w:fldCharType="begin"/>
    </w:r>
    <w:r>
      <w:instrText xml:space="preserve"> STYLEREF  标准文件_文件编号  \* MERGEFORMAT </w:instrText>
    </w:r>
    <w:r>
      <w:fldChar w:fldCharType="separate"/>
    </w:r>
    <w:r>
      <w:t>T/GSQA 001—2026</w:t>
    </w:r>
    <w: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FCA00D">
    <w:pPr>
      <w:pStyle w:val="62"/>
    </w:pPr>
    <w:r>
      <w:fldChar w:fldCharType="begin"/>
    </w:r>
    <w:r>
      <w:instrText xml:space="preserve"> STYLEREF  标准文件_文件编号 \* MERGEFORMAT </w:instrText>
    </w:r>
    <w:r>
      <w:fldChar w:fldCharType="separate"/>
    </w:r>
    <w:r>
      <w:t>T/GSQA 001—2026</w:t>
    </w:r>
    <w: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9698FF">
    <w:pPr>
      <w:pStyle w:val="61"/>
    </w:pPr>
    <w:r>
      <w:fldChar w:fldCharType="begin"/>
    </w:r>
    <w:r>
      <w:instrText xml:space="preserve"> STYLEREF  标准文件_文件编号  \* MERGEFORMAT </w:instrText>
    </w:r>
    <w:r>
      <w:fldChar w:fldCharType="separate"/>
    </w:r>
    <w:r>
      <w:t>T/GSQA 001—2026</w:t>
    </w:r>
    <w: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DF9E1A">
    <w:pPr>
      <w:pStyle w:val="62"/>
    </w:pPr>
    <w:r>
      <w:fldChar w:fldCharType="begin"/>
    </w:r>
    <w:r>
      <w:instrText xml:space="preserve"> STYLEREF  标准文件_文件编号 \* MERGEFORMAT </w:instrText>
    </w:r>
    <w:r>
      <w:fldChar w:fldCharType="separate"/>
    </w:r>
    <w:r>
      <w:t>T/GSQA 001—2026</w:t>
    </w:r>
    <w:r>
      <w:fldChar w:fldCharType="end"/>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40E15A">
    <w:pPr>
      <w:pStyle w:val="61"/>
    </w:pPr>
    <w:r>
      <w:fldChar w:fldCharType="begin"/>
    </w:r>
    <w:r>
      <w:instrText xml:space="preserve"> STYLEREF  标准文件_文件编号  \* MERGEFORMAT </w:instrText>
    </w:r>
    <w:r>
      <w:fldChar w:fldCharType="separate"/>
    </w:r>
    <w:r>
      <w:t>T/GSQA 001—2026</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A1F47C7"/>
    <w:multiLevelType w:val="multilevel"/>
    <w:tmpl w:val="4A1F47C7"/>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3" w:tentative="0">
      <w:start w:val="1"/>
      <w:numFmt w:val="decimal"/>
      <w:pStyle w:val="65"/>
      <w:suff w:val="nothing"/>
      <w:lvlText w:val="%1%2.%3.%4　"/>
      <w:lvlJc w:val="left"/>
      <w:pPr>
        <w:ind w:left="1276" w:firstLine="0"/>
      </w:pPr>
      <w:rPr>
        <w:rFonts w:hint="eastAsia" w:ascii="黑体" w:eastAsia="黑体"/>
        <w:b w:val="0"/>
        <w:i w:val="0"/>
        <w:sz w:val="21"/>
      </w:rPr>
    </w:lvl>
    <w:lvl w:ilvl="4" w:tentative="0">
      <w:start w:val="1"/>
      <w:numFmt w:val="decimal"/>
      <w:pStyle w:val="94"/>
      <w:suff w:val="nothing"/>
      <w:lvlText w:val="%1%2.%3.%4.%5　"/>
      <w:lvlJc w:val="left"/>
      <w:pPr>
        <w:ind w:left="0"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5">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6">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7">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8">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9">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0">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2">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3">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4">
    <w:nsid w:val="657D3FBC"/>
    <w:multiLevelType w:val="multilevel"/>
    <w:tmpl w:val="657D3FBC"/>
    <w:lvl w:ilvl="0" w:tentative="0">
      <w:start w:val="1"/>
      <w:numFmt w:val="upperLetter"/>
      <w:pStyle w:val="234"/>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5">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6">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7">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8">
    <w:nsid w:val="6CEA2025"/>
    <w:multiLevelType w:val="multilevel"/>
    <w:tmpl w:val="6CEA2025"/>
    <w:lvl w:ilvl="0" w:tentative="0">
      <w:start w:val="1"/>
      <w:numFmt w:val="none"/>
      <w:suff w:val="nothing"/>
      <w:lvlText w:val="%1"/>
      <w:lvlJc w:val="left"/>
      <w:pPr>
        <w:ind w:left="0" w:firstLine="0"/>
      </w:pPr>
      <w:rPr>
        <w:rFonts w:hint="eastAsia"/>
      </w:rPr>
    </w:lvl>
    <w:lvl w:ilvl="1" w:tentative="0">
      <w:start w:val="1"/>
      <w:numFmt w:val="decimal"/>
      <w:suff w:val="nothing"/>
      <w:lvlText w:val="%1%2　"/>
      <w:lvlJc w:val="left"/>
      <w:pPr>
        <w:ind w:left="0" w:firstLine="0"/>
      </w:pPr>
      <w:rPr>
        <w:rFonts w:hint="eastAsia" w:ascii="黑体" w:eastAsia="黑体"/>
        <w:b w:val="0"/>
        <w:i w:val="0"/>
        <w:sz w:val="21"/>
      </w:rPr>
    </w:lvl>
    <w:lvl w:ilvl="2" w:tentative="0">
      <w:start w:val="1"/>
      <w:numFmt w:val="decimal"/>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3" w:tentative="0">
      <w:start w:val="1"/>
      <w:numFmt w:val="decimal"/>
      <w:suff w:val="nothing"/>
      <w:lvlText w:val="%1%2.%3.%4　"/>
      <w:lvlJc w:val="left"/>
      <w:pPr>
        <w:ind w:left="0" w:firstLine="0"/>
      </w:pPr>
      <w:rPr>
        <w:rFonts w:hint="eastAsia" w:ascii="黑体" w:eastAsia="黑体"/>
        <w:b w:val="0"/>
        <w:i w:val="0"/>
        <w:sz w:val="21"/>
      </w:rPr>
    </w:lvl>
    <w:lvl w:ilvl="4" w:tentative="0">
      <w:start w:val="1"/>
      <w:numFmt w:val="decimal"/>
      <w:suff w:val="nothing"/>
      <w:lvlText w:val="%1%2.%3.%4.%5　"/>
      <w:lvlJc w:val="left"/>
      <w:pPr>
        <w:ind w:left="0" w:firstLine="0"/>
      </w:pPr>
      <w:rPr>
        <w:rFonts w:hint="eastAsia" w:ascii="黑体" w:eastAsia="黑体"/>
        <w:b w:val="0"/>
        <w:i w:val="0"/>
        <w:sz w:val="21"/>
      </w:rPr>
    </w:lvl>
    <w:lvl w:ilvl="5" w:tentative="0">
      <w:start w:val="1"/>
      <w:numFmt w:val="decimal"/>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9">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30">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1">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14"/>
  </w:num>
  <w:num w:numId="3">
    <w:abstractNumId w:val="5"/>
  </w:num>
  <w:num w:numId="4">
    <w:abstractNumId w:val="19"/>
  </w:num>
  <w:num w:numId="5">
    <w:abstractNumId w:val="24"/>
  </w:num>
  <w:num w:numId="6">
    <w:abstractNumId w:val="13"/>
  </w:num>
  <w:num w:numId="7">
    <w:abstractNumId w:val="8"/>
  </w:num>
  <w:num w:numId="8">
    <w:abstractNumId w:val="3"/>
  </w:num>
  <w:num w:numId="9">
    <w:abstractNumId w:val="9"/>
  </w:num>
  <w:num w:numId="10">
    <w:abstractNumId w:val="17"/>
  </w:num>
  <w:num w:numId="11">
    <w:abstractNumId w:val="26"/>
  </w:num>
  <w:num w:numId="12">
    <w:abstractNumId w:val="11"/>
  </w:num>
  <w:num w:numId="13">
    <w:abstractNumId w:val="12"/>
  </w:num>
  <w:num w:numId="14">
    <w:abstractNumId w:val="7"/>
  </w:num>
  <w:num w:numId="15">
    <w:abstractNumId w:val="20"/>
  </w:num>
  <w:num w:numId="16">
    <w:abstractNumId w:val="22"/>
  </w:num>
  <w:num w:numId="17">
    <w:abstractNumId w:val="18"/>
  </w:num>
  <w:num w:numId="18">
    <w:abstractNumId w:val="30"/>
  </w:num>
  <w:num w:numId="19">
    <w:abstractNumId w:val="16"/>
  </w:num>
  <w:num w:numId="20">
    <w:abstractNumId w:val="1"/>
  </w:num>
  <w:num w:numId="21">
    <w:abstractNumId w:val="10"/>
  </w:num>
  <w:num w:numId="22">
    <w:abstractNumId w:val="31"/>
  </w:num>
  <w:num w:numId="23">
    <w:abstractNumId w:val="21"/>
  </w:num>
  <w:num w:numId="24">
    <w:abstractNumId w:val="6"/>
  </w:num>
  <w:num w:numId="25">
    <w:abstractNumId w:val="27"/>
  </w:num>
  <w:num w:numId="26">
    <w:abstractNumId w:val="29"/>
  </w:num>
  <w:num w:numId="27">
    <w:abstractNumId w:val="2"/>
  </w:num>
  <w:num w:numId="28">
    <w:abstractNumId w:val="4"/>
  </w:num>
  <w:num w:numId="29">
    <w:abstractNumId w:val="15"/>
  </w:num>
  <w:num w:numId="30">
    <w:abstractNumId w:val="25"/>
  </w:num>
  <w:num w:numId="31">
    <w:abstractNumId w:val="23"/>
  </w:num>
  <w:num w:numId="32">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attachedTemplate r:id="rId1"/>
  <w:documentProtection w:edit="forms" w:enforcement="0"/>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0936"/>
    <w:rsid w:val="0000040A"/>
    <w:rsid w:val="00000A94"/>
    <w:rsid w:val="00001972"/>
    <w:rsid w:val="00001D9A"/>
    <w:rsid w:val="00007B3A"/>
    <w:rsid w:val="000107E0"/>
    <w:rsid w:val="00011FDE"/>
    <w:rsid w:val="00012FFD"/>
    <w:rsid w:val="000131B5"/>
    <w:rsid w:val="0001346A"/>
    <w:rsid w:val="00014162"/>
    <w:rsid w:val="00014340"/>
    <w:rsid w:val="00016A9C"/>
    <w:rsid w:val="00022184"/>
    <w:rsid w:val="00022762"/>
    <w:rsid w:val="000238E0"/>
    <w:rsid w:val="000249DB"/>
    <w:rsid w:val="0002595E"/>
    <w:rsid w:val="0002768F"/>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3CAF"/>
    <w:rsid w:val="00067F1E"/>
    <w:rsid w:val="00071CC0"/>
    <w:rsid w:val="00071CFC"/>
    <w:rsid w:val="00073C8C"/>
    <w:rsid w:val="00077B64"/>
    <w:rsid w:val="00080A1C"/>
    <w:rsid w:val="00082317"/>
    <w:rsid w:val="00083D2C"/>
    <w:rsid w:val="00086AA1"/>
    <w:rsid w:val="00087A77"/>
    <w:rsid w:val="00090CA6"/>
    <w:rsid w:val="0009226D"/>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1A2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07213"/>
    <w:rsid w:val="00113B1E"/>
    <w:rsid w:val="0011711C"/>
    <w:rsid w:val="00124E4F"/>
    <w:rsid w:val="001260B7"/>
    <w:rsid w:val="001265CB"/>
    <w:rsid w:val="001321C6"/>
    <w:rsid w:val="001325C4"/>
    <w:rsid w:val="001329C1"/>
    <w:rsid w:val="00133010"/>
    <w:rsid w:val="001338EE"/>
    <w:rsid w:val="00133AAE"/>
    <w:rsid w:val="00135323"/>
    <w:rsid w:val="001356C4"/>
    <w:rsid w:val="00137565"/>
    <w:rsid w:val="00141114"/>
    <w:rsid w:val="00142969"/>
    <w:rsid w:val="001446C2"/>
    <w:rsid w:val="001457E7"/>
    <w:rsid w:val="00145D9D"/>
    <w:rsid w:val="00146388"/>
    <w:rsid w:val="00146C06"/>
    <w:rsid w:val="0014770C"/>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5C"/>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6D02"/>
    <w:rsid w:val="001E73AB"/>
    <w:rsid w:val="001F092D"/>
    <w:rsid w:val="001F143A"/>
    <w:rsid w:val="001F1605"/>
    <w:rsid w:val="001F2508"/>
    <w:rsid w:val="001F4816"/>
    <w:rsid w:val="001F69B4"/>
    <w:rsid w:val="001F77C7"/>
    <w:rsid w:val="00200183"/>
    <w:rsid w:val="00200333"/>
    <w:rsid w:val="0020107D"/>
    <w:rsid w:val="0020225F"/>
    <w:rsid w:val="00202AA4"/>
    <w:rsid w:val="002031F7"/>
    <w:rsid w:val="002040E6"/>
    <w:rsid w:val="0020527B"/>
    <w:rsid w:val="00205F2C"/>
    <w:rsid w:val="00210B15"/>
    <w:rsid w:val="002124EE"/>
    <w:rsid w:val="002142EA"/>
    <w:rsid w:val="00215ADD"/>
    <w:rsid w:val="002204BB"/>
    <w:rsid w:val="00221B79"/>
    <w:rsid w:val="00221C6B"/>
    <w:rsid w:val="002253A1"/>
    <w:rsid w:val="00225CF8"/>
    <w:rsid w:val="0022794E"/>
    <w:rsid w:val="00232A2A"/>
    <w:rsid w:val="00233D64"/>
    <w:rsid w:val="0023482A"/>
    <w:rsid w:val="002359CB"/>
    <w:rsid w:val="00243540"/>
    <w:rsid w:val="0024497B"/>
    <w:rsid w:val="0024515B"/>
    <w:rsid w:val="002454B7"/>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5F5"/>
    <w:rsid w:val="002C09E7"/>
    <w:rsid w:val="002C1E06"/>
    <w:rsid w:val="002C3F07"/>
    <w:rsid w:val="002C5278"/>
    <w:rsid w:val="002C7EBB"/>
    <w:rsid w:val="002D06C1"/>
    <w:rsid w:val="002D42B5"/>
    <w:rsid w:val="002D4F1A"/>
    <w:rsid w:val="002D6EC6"/>
    <w:rsid w:val="002D79AC"/>
    <w:rsid w:val="002E039D"/>
    <w:rsid w:val="002E14D6"/>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E6898"/>
    <w:rsid w:val="003F0841"/>
    <w:rsid w:val="003F23D3"/>
    <w:rsid w:val="003F3F08"/>
    <w:rsid w:val="003F49F1"/>
    <w:rsid w:val="003F6272"/>
    <w:rsid w:val="00400E72"/>
    <w:rsid w:val="00401400"/>
    <w:rsid w:val="00403ACE"/>
    <w:rsid w:val="00404869"/>
    <w:rsid w:val="00405884"/>
    <w:rsid w:val="004060CF"/>
    <w:rsid w:val="00407D39"/>
    <w:rsid w:val="0041477A"/>
    <w:rsid w:val="004167A3"/>
    <w:rsid w:val="00417A0A"/>
    <w:rsid w:val="00420DD5"/>
    <w:rsid w:val="00432DAA"/>
    <w:rsid w:val="00434305"/>
    <w:rsid w:val="00435DF7"/>
    <w:rsid w:val="0043741A"/>
    <w:rsid w:val="0044083F"/>
    <w:rsid w:val="00441AE7"/>
    <w:rsid w:val="00445574"/>
    <w:rsid w:val="004467FB"/>
    <w:rsid w:val="00451785"/>
    <w:rsid w:val="00452D6B"/>
    <w:rsid w:val="00454484"/>
    <w:rsid w:val="0045517B"/>
    <w:rsid w:val="00463B77"/>
    <w:rsid w:val="00463C7B"/>
    <w:rsid w:val="004644A6"/>
    <w:rsid w:val="004659BD"/>
    <w:rsid w:val="00470775"/>
    <w:rsid w:val="004746B1"/>
    <w:rsid w:val="0047583F"/>
    <w:rsid w:val="00475DE8"/>
    <w:rsid w:val="00481C44"/>
    <w:rsid w:val="00483AB1"/>
    <w:rsid w:val="00484936"/>
    <w:rsid w:val="00485C89"/>
    <w:rsid w:val="00486BE3"/>
    <w:rsid w:val="0048730F"/>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0936"/>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1738A"/>
    <w:rsid w:val="005220EC"/>
    <w:rsid w:val="00523F95"/>
    <w:rsid w:val="00524D65"/>
    <w:rsid w:val="00525B16"/>
    <w:rsid w:val="00533D04"/>
    <w:rsid w:val="00534804"/>
    <w:rsid w:val="00534BDF"/>
    <w:rsid w:val="005354EA"/>
    <w:rsid w:val="0053585F"/>
    <w:rsid w:val="00535EC4"/>
    <w:rsid w:val="00535ED9"/>
    <w:rsid w:val="0053692B"/>
    <w:rsid w:val="0054132A"/>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2E1"/>
    <w:rsid w:val="005B191C"/>
    <w:rsid w:val="005B4903"/>
    <w:rsid w:val="005B51CE"/>
    <w:rsid w:val="005B5885"/>
    <w:rsid w:val="005B5CD7"/>
    <w:rsid w:val="005B6CF6"/>
    <w:rsid w:val="005B7422"/>
    <w:rsid w:val="005C29B8"/>
    <w:rsid w:val="005C5D30"/>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0EA"/>
    <w:rsid w:val="00614CC1"/>
    <w:rsid w:val="00615A9D"/>
    <w:rsid w:val="00617387"/>
    <w:rsid w:val="006205D6"/>
    <w:rsid w:val="006252D8"/>
    <w:rsid w:val="006259BC"/>
    <w:rsid w:val="0062636B"/>
    <w:rsid w:val="00632182"/>
    <w:rsid w:val="00632AE0"/>
    <w:rsid w:val="00633C17"/>
    <w:rsid w:val="00634231"/>
    <w:rsid w:val="00634D9E"/>
    <w:rsid w:val="00636E3E"/>
    <w:rsid w:val="006379F7"/>
    <w:rsid w:val="00637E4D"/>
    <w:rsid w:val="00640620"/>
    <w:rsid w:val="00641A1F"/>
    <w:rsid w:val="00645904"/>
    <w:rsid w:val="00651ACB"/>
    <w:rsid w:val="00651C47"/>
    <w:rsid w:val="00652AB2"/>
    <w:rsid w:val="00653D9D"/>
    <w:rsid w:val="00653FED"/>
    <w:rsid w:val="00654EC0"/>
    <w:rsid w:val="006551B3"/>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2B1"/>
    <w:rsid w:val="006D6593"/>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176D"/>
    <w:rsid w:val="00752B4D"/>
    <w:rsid w:val="00755402"/>
    <w:rsid w:val="00756B26"/>
    <w:rsid w:val="00756EDF"/>
    <w:rsid w:val="007600E3"/>
    <w:rsid w:val="00762D72"/>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6BB3"/>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0574"/>
    <w:rsid w:val="00811072"/>
    <w:rsid w:val="00811369"/>
    <w:rsid w:val="00815419"/>
    <w:rsid w:val="008163C8"/>
    <w:rsid w:val="008164A1"/>
    <w:rsid w:val="00817325"/>
    <w:rsid w:val="008209E6"/>
    <w:rsid w:val="00821D19"/>
    <w:rsid w:val="00823303"/>
    <w:rsid w:val="008233B2"/>
    <w:rsid w:val="008238CF"/>
    <w:rsid w:val="00823A9F"/>
    <w:rsid w:val="00823C85"/>
    <w:rsid w:val="00825138"/>
    <w:rsid w:val="008269DD"/>
    <w:rsid w:val="00830621"/>
    <w:rsid w:val="0083348C"/>
    <w:rsid w:val="008373D3"/>
    <w:rsid w:val="00840617"/>
    <w:rsid w:val="00840F84"/>
    <w:rsid w:val="00842A47"/>
    <w:rsid w:val="00843C13"/>
    <w:rsid w:val="00843DEF"/>
    <w:rsid w:val="008454F8"/>
    <w:rsid w:val="008513DA"/>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3F2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46A1"/>
    <w:rsid w:val="009062E6"/>
    <w:rsid w:val="00907C5D"/>
    <w:rsid w:val="00911BE5"/>
    <w:rsid w:val="00913CA9"/>
    <w:rsid w:val="009145AE"/>
    <w:rsid w:val="009146CE"/>
    <w:rsid w:val="00914CA7"/>
    <w:rsid w:val="00915C3E"/>
    <w:rsid w:val="009161A8"/>
    <w:rsid w:val="009208C4"/>
    <w:rsid w:val="009245AE"/>
    <w:rsid w:val="009245F5"/>
    <w:rsid w:val="009249EC"/>
    <w:rsid w:val="009273B3"/>
    <w:rsid w:val="009305B5"/>
    <w:rsid w:val="009378DD"/>
    <w:rsid w:val="009429D5"/>
    <w:rsid w:val="00942BF1"/>
    <w:rsid w:val="00945180"/>
    <w:rsid w:val="00945428"/>
    <w:rsid w:val="009455DF"/>
    <w:rsid w:val="0094607B"/>
    <w:rsid w:val="0094670C"/>
    <w:rsid w:val="00953604"/>
    <w:rsid w:val="0095496B"/>
    <w:rsid w:val="00960F1E"/>
    <w:rsid w:val="009610DC"/>
    <w:rsid w:val="00961490"/>
    <w:rsid w:val="0096381A"/>
    <w:rsid w:val="00965E04"/>
    <w:rsid w:val="009674AD"/>
    <w:rsid w:val="00970CDC"/>
    <w:rsid w:val="00971DE0"/>
    <w:rsid w:val="00975727"/>
    <w:rsid w:val="009768F0"/>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E7FCC"/>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7A9"/>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30C9"/>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0ED5"/>
    <w:rsid w:val="00C31A9C"/>
    <w:rsid w:val="00C33E50"/>
    <w:rsid w:val="00C33FA2"/>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73E88"/>
    <w:rsid w:val="00C80CB8"/>
    <w:rsid w:val="00C819F8"/>
    <w:rsid w:val="00C8248C"/>
    <w:rsid w:val="00C84E33"/>
    <w:rsid w:val="00C86D6F"/>
    <w:rsid w:val="00C905FC"/>
    <w:rsid w:val="00C92D03"/>
    <w:rsid w:val="00C9319C"/>
    <w:rsid w:val="00C9435D"/>
    <w:rsid w:val="00C94DF2"/>
    <w:rsid w:val="00C966C4"/>
    <w:rsid w:val="00C96741"/>
    <w:rsid w:val="00CA2D1B"/>
    <w:rsid w:val="00CA375D"/>
    <w:rsid w:val="00CA662A"/>
    <w:rsid w:val="00CA7AFD"/>
    <w:rsid w:val="00CA7C3C"/>
    <w:rsid w:val="00CB0189"/>
    <w:rsid w:val="00CB0BA2"/>
    <w:rsid w:val="00CB1A42"/>
    <w:rsid w:val="00CB1B0C"/>
    <w:rsid w:val="00CB2C0B"/>
    <w:rsid w:val="00CB517D"/>
    <w:rsid w:val="00CB778F"/>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D612B"/>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7"/>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4C93"/>
    <w:rsid w:val="00DE62E1"/>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81B"/>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2E91"/>
    <w:rsid w:val="00F833BA"/>
    <w:rsid w:val="00F84FD0"/>
    <w:rsid w:val="00F859A8"/>
    <w:rsid w:val="00F86D87"/>
    <w:rsid w:val="00F9108B"/>
    <w:rsid w:val="00F91349"/>
    <w:rsid w:val="00F93A8A"/>
    <w:rsid w:val="00F94A2B"/>
    <w:rsid w:val="00F95248"/>
    <w:rsid w:val="00F956A9"/>
    <w:rsid w:val="00F963ED"/>
    <w:rsid w:val="00F966CF"/>
    <w:rsid w:val="00F96CAE"/>
    <w:rsid w:val="00F97C99"/>
    <w:rsid w:val="00FA3392"/>
    <w:rsid w:val="00FA662D"/>
    <w:rsid w:val="00FA73B1"/>
    <w:rsid w:val="00FB0CB9"/>
    <w:rsid w:val="00FB231D"/>
    <w:rsid w:val="00FB45F1"/>
    <w:rsid w:val="00FB4A72"/>
    <w:rsid w:val="00FB54E8"/>
    <w:rsid w:val="00FB6FEE"/>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10BB1320"/>
    <w:rsid w:val="1CB511C5"/>
    <w:rsid w:val="1F9D3F44"/>
    <w:rsid w:val="26FC6E5E"/>
    <w:rsid w:val="703348BF"/>
    <w:rsid w:val="7B2322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9"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34" w:semiHidden="0" w:name="List Paragraph"/>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9"/>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qFormat/>
    <w:uiPriority w:val="1"/>
  </w:style>
  <w:style w:type="table" w:default="1" w:styleId="26">
    <w:name w:val="Normal Table"/>
    <w:semiHidden/>
    <w:unhideWhenUsed/>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6"/>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99"/>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9"/>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qFormat/>
    <w:uiPriority w:val="99"/>
    <w:rPr>
      <w:rFonts w:ascii="宋体"/>
      <w:kern w:val="2"/>
      <w:sz w:val="18"/>
      <w:szCs w:val="18"/>
    </w:rPr>
  </w:style>
  <w:style w:type="character" w:customStyle="1" w:styleId="45">
    <w:name w:val="批注框文本 字符"/>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ind w:left="141"/>
      <w:jc w:val="both"/>
      <w:outlineLvl w:val="2"/>
    </w:pPr>
    <w:rPr>
      <w:rFonts w:ascii="黑体" w:hAnsi="Times New Roman" w:eastAsia="黑体" w:cs="Times New Roman"/>
      <w:sz w:val="21"/>
      <w:lang w:val="en-US" w:eastAsia="zh-CN" w:bidi="ar-SA"/>
    </w:rPr>
  </w:style>
  <w:style w:type="character" w:customStyle="1" w:styleId="66">
    <w:name w:val="标准文件_发布"/>
    <w:qFormat/>
    <w:uiPriority w:val="0"/>
    <w:rPr>
      <w:rFonts w:ascii="黑体" w:eastAsia="黑体"/>
      <w:spacing w:val="0"/>
      <w:w w:val="100"/>
      <w:position w:val="3"/>
      <w:sz w:val="28"/>
    </w:rPr>
  </w:style>
  <w:style w:type="paragraph" w:customStyle="1" w:styleId="67">
    <w:name w:val="标准文件_方框数字列项"/>
    <w:basedOn w:val="56"/>
    <w:qFormat/>
    <w:uiPriority w:val="0"/>
    <w:pPr>
      <w:numPr>
        <w:ilvl w:val="0"/>
        <w:numId w:val="3"/>
      </w:numPr>
      <w:ind w:firstLine="0" w:firstLineChars="0"/>
    </w:pPr>
  </w:style>
  <w:style w:type="paragraph" w:customStyle="1" w:styleId="68">
    <w:name w:val="标准文件_封面标准编号"/>
    <w:basedOn w:val="1"/>
    <w:next w:val="59"/>
    <w:qFormat/>
    <w:uiPriority w:val="0"/>
    <w:pPr>
      <w:spacing w:line="310" w:lineRule="exact"/>
      <w:jc w:val="right"/>
    </w:pPr>
    <w:rPr>
      <w:rFonts w:ascii="黑体" w:eastAsia="黑体"/>
      <w:kern w:val="0"/>
      <w:sz w:val="28"/>
    </w:rPr>
  </w:style>
  <w:style w:type="paragraph" w:customStyle="1" w:styleId="69">
    <w:name w:val="标准文件_封面标准分类号"/>
    <w:basedOn w:val="1"/>
    <w:qFormat/>
    <w:uiPriority w:val="0"/>
    <w:rPr>
      <w:rFonts w:ascii="黑体" w:eastAsia="黑体"/>
      <w:b/>
      <w:kern w:val="0"/>
      <w:sz w:val="28"/>
    </w:rPr>
  </w:style>
  <w:style w:type="paragraph" w:customStyle="1" w:styleId="70">
    <w:name w:val="标准文件_封面标准名称"/>
    <w:basedOn w:val="1"/>
    <w:qFormat/>
    <w:uiPriority w:val="0"/>
    <w:pPr>
      <w:spacing w:line="240" w:lineRule="auto"/>
      <w:jc w:val="center"/>
    </w:pPr>
    <w:rPr>
      <w:rFonts w:ascii="黑体" w:eastAsia="黑体"/>
      <w:kern w:val="0"/>
      <w:sz w:val="52"/>
    </w:rPr>
  </w:style>
  <w:style w:type="paragraph" w:customStyle="1" w:styleId="71">
    <w:name w:val="标准文件_封面标准英文名称"/>
    <w:basedOn w:val="1"/>
    <w:qFormat/>
    <w:uiPriority w:val="0"/>
    <w:pPr>
      <w:spacing w:line="240" w:lineRule="auto"/>
      <w:jc w:val="center"/>
    </w:pPr>
    <w:rPr>
      <w:rFonts w:ascii="黑体" w:eastAsia="黑体"/>
      <w:b/>
      <w:sz w:val="28"/>
    </w:rPr>
  </w:style>
  <w:style w:type="paragraph" w:customStyle="1" w:styleId="72">
    <w:name w:val="标准文件_封面发布日期"/>
    <w:basedOn w:val="1"/>
    <w:qFormat/>
    <w:uiPriority w:val="0"/>
    <w:pPr>
      <w:spacing w:line="310" w:lineRule="exact"/>
    </w:pPr>
    <w:rPr>
      <w:rFonts w:ascii="黑体" w:eastAsia="黑体"/>
      <w:kern w:val="0"/>
      <w:sz w:val="28"/>
    </w:rPr>
  </w:style>
  <w:style w:type="paragraph" w:customStyle="1" w:styleId="73">
    <w:name w:val="标准文件_封面密级"/>
    <w:basedOn w:val="1"/>
    <w:qFormat/>
    <w:uiPriority w:val="0"/>
    <w:rPr>
      <w:rFonts w:eastAsia="黑体"/>
      <w:sz w:val="32"/>
    </w:rPr>
  </w:style>
  <w:style w:type="paragraph" w:customStyle="1" w:styleId="74">
    <w:name w:val="标准文件_封面实施日期"/>
    <w:basedOn w:val="1"/>
    <w:qFormat/>
    <w:uiPriority w:val="0"/>
    <w:pPr>
      <w:spacing w:line="310" w:lineRule="exact"/>
      <w:jc w:val="right"/>
    </w:pPr>
    <w:rPr>
      <w:rFonts w:ascii="黑体" w:eastAsia="黑体"/>
      <w:sz w:val="28"/>
    </w:rPr>
  </w:style>
  <w:style w:type="paragraph" w:customStyle="1" w:styleId="75">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4"/>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5"/>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qFormat/>
    <w:uiPriority w:val="0"/>
    <w:pPr>
      <w:widowControl w:val="0"/>
      <w:numPr>
        <w:ilvl w:val="3"/>
        <w:numId w:val="5"/>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5"/>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5"/>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qFormat/>
    <w:uiPriority w:val="0"/>
    <w:rPr>
      <w:kern w:val="2"/>
      <w:sz w:val="21"/>
      <w:szCs w:val="21"/>
    </w:rPr>
  </w:style>
  <w:style w:type="paragraph" w:customStyle="1" w:styleId="87">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qFormat/>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qFormat/>
    <w:uiPriority w:val="0"/>
    <w:pPr>
      <w:spacing w:line="460" w:lineRule="exact"/>
      <w:ind w:left="0" w:firstLine="0"/>
    </w:pPr>
  </w:style>
  <w:style w:type="paragraph" w:customStyle="1" w:styleId="91">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2">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qFormat/>
    <w:uiPriority w:val="0"/>
    <w:pPr>
      <w:numPr>
        <w:numId w:val="10"/>
      </w:numPr>
    </w:pPr>
  </w:style>
  <w:style w:type="paragraph" w:customStyle="1" w:styleId="94">
    <w:name w:val="标准文件_三级条标题"/>
    <w:basedOn w:val="65"/>
    <w:next w:val="56"/>
    <w:qFormat/>
    <w:uiPriority w:val="0"/>
    <w:pPr>
      <w:widowControl/>
      <w:numPr>
        <w:ilvl w:val="4"/>
      </w:numPr>
      <w:outlineLvl w:val="3"/>
    </w:pPr>
  </w:style>
  <w:style w:type="character" w:customStyle="1" w:styleId="95">
    <w:name w:val="不明显参考1"/>
    <w:qFormat/>
    <w:uiPriority w:val="31"/>
    <w:rPr>
      <w:smallCaps/>
      <w:color w:val="C0504D"/>
      <w:u w:val="single"/>
    </w:rPr>
  </w:style>
  <w:style w:type="paragraph" w:customStyle="1" w:styleId="96">
    <w:name w:val="标准文件_示例后续"/>
    <w:basedOn w:val="1"/>
    <w:qFormat/>
    <w:uiPriority w:val="0"/>
    <w:pPr>
      <w:adjustRightInd/>
      <w:spacing w:line="240" w:lineRule="auto"/>
      <w:ind w:firstLine="200" w:firstLineChars="200"/>
    </w:pPr>
    <w:rPr>
      <w:sz w:val="18"/>
      <w:szCs w:val="24"/>
    </w:rPr>
  </w:style>
  <w:style w:type="paragraph" w:customStyle="1" w:styleId="97">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qFormat/>
    <w:uiPriority w:val="0"/>
    <w:rPr>
      <w:rFonts w:ascii="宋体"/>
      <w:kern w:val="2"/>
      <w:sz w:val="18"/>
      <w:szCs w:val="18"/>
    </w:rPr>
  </w:style>
  <w:style w:type="paragraph" w:customStyle="1" w:styleId="100">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qFormat/>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qFormat/>
    <w:uiPriority w:val="0"/>
    <w:pPr>
      <w:spacing w:line="440" w:lineRule="exact"/>
      <w:jc w:val="center"/>
    </w:pPr>
    <w:rPr>
      <w:sz w:val="28"/>
    </w:rPr>
  </w:style>
  <w:style w:type="paragraph" w:customStyle="1" w:styleId="107">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qFormat/>
    <w:uiPriority w:val="0"/>
    <w:pPr>
      <w:numPr>
        <w:ilvl w:val="3"/>
        <w:numId w:val="20"/>
      </w:numPr>
      <w:adjustRightInd/>
      <w:spacing w:line="240" w:lineRule="auto"/>
    </w:pPr>
    <w:rPr>
      <w:rFonts w:ascii="宋体" w:hAnsi="宋体"/>
      <w:szCs w:val="24"/>
    </w:rPr>
  </w:style>
  <w:style w:type="paragraph" w:customStyle="1" w:styleId="119">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qFormat/>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qFormat/>
    <w:uiPriority w:val="0"/>
    <w:pPr>
      <w:outlineLvl w:val="4"/>
    </w:pPr>
  </w:style>
  <w:style w:type="paragraph" w:customStyle="1" w:styleId="130">
    <w:name w:val="附录四级无标题条"/>
    <w:basedOn w:val="129"/>
    <w:next w:val="56"/>
    <w:qFormat/>
    <w:uiPriority w:val="0"/>
    <w:pPr>
      <w:outlineLvl w:val="5"/>
    </w:pPr>
  </w:style>
  <w:style w:type="paragraph" w:customStyle="1" w:styleId="131">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qFormat/>
    <w:uiPriority w:val="0"/>
    <w:pPr>
      <w:outlineLvl w:val="6"/>
    </w:pPr>
  </w:style>
  <w:style w:type="paragraph" w:customStyle="1" w:styleId="134">
    <w:name w:val="附录性质"/>
    <w:basedOn w:val="1"/>
    <w:qFormat/>
    <w:uiPriority w:val="0"/>
    <w:pPr>
      <w:widowControl/>
      <w:adjustRightInd/>
      <w:jc w:val="center"/>
    </w:pPr>
    <w:rPr>
      <w:rFonts w:ascii="黑体" w:eastAsia="黑体"/>
    </w:rPr>
  </w:style>
  <w:style w:type="paragraph" w:customStyle="1" w:styleId="135">
    <w:name w:val="附录一级无标题条"/>
    <w:basedOn w:val="87"/>
    <w:next w:val="56"/>
    <w:qFormat/>
    <w:uiPriority w:val="0"/>
    <w:pPr>
      <w:autoSpaceDN w:val="0"/>
      <w:outlineLvl w:val="2"/>
    </w:pPr>
    <w:rPr>
      <w:rFonts w:ascii="宋体" w:hAnsi="宋体" w:eastAsia="宋体"/>
    </w:rPr>
  </w:style>
  <w:style w:type="character" w:customStyle="1" w:styleId="136">
    <w:name w:val="个人答复风格"/>
    <w:qFormat/>
    <w:uiPriority w:val="0"/>
    <w:rPr>
      <w:rFonts w:ascii="Arial" w:hAnsi="Arial" w:eastAsia="宋体" w:cs="Arial"/>
      <w:color w:val="auto"/>
      <w:spacing w:val="0"/>
      <w:sz w:val="20"/>
    </w:rPr>
  </w:style>
  <w:style w:type="character" w:customStyle="1" w:styleId="137">
    <w:name w:val="个人撰写风格"/>
    <w:qFormat/>
    <w:uiPriority w:val="0"/>
    <w:rPr>
      <w:rFonts w:ascii="Arial" w:hAnsi="Arial" w:eastAsia="宋体" w:cs="Arial"/>
      <w:color w:val="auto"/>
      <w:spacing w:val="0"/>
      <w:sz w:val="20"/>
    </w:rPr>
  </w:style>
  <w:style w:type="paragraph" w:customStyle="1" w:styleId="138">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qFormat/>
    <w:uiPriority w:val="0"/>
    <w:pPr>
      <w:tabs>
        <w:tab w:val="left" w:pos="840"/>
      </w:tabs>
    </w:pPr>
  </w:style>
  <w:style w:type="paragraph" w:customStyle="1" w:styleId="141">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qFormat/>
    <w:uiPriority w:val="0"/>
    <w:pPr>
      <w:adjustRightInd/>
      <w:spacing w:line="240" w:lineRule="auto"/>
      <w:jc w:val="left"/>
    </w:pPr>
    <w:rPr>
      <w:bCs/>
      <w:iCs/>
    </w:rPr>
  </w:style>
  <w:style w:type="paragraph" w:customStyle="1" w:styleId="143">
    <w:name w:val="目录 31"/>
    <w:basedOn w:val="1"/>
    <w:next w:val="1"/>
    <w:autoRedefine/>
    <w:semiHidden/>
    <w:qFormat/>
    <w:uiPriority w:val="0"/>
    <w:pPr>
      <w:spacing w:line="240" w:lineRule="auto"/>
    </w:pPr>
    <w:rPr>
      <w:rFonts w:ascii="宋体" w:hAnsi="宋体"/>
      <w:iCs/>
    </w:rPr>
  </w:style>
  <w:style w:type="paragraph" w:customStyle="1" w:styleId="144">
    <w:name w:val="目录 41"/>
    <w:basedOn w:val="1"/>
    <w:next w:val="1"/>
    <w:autoRedefine/>
    <w:semiHidden/>
    <w:qFormat/>
    <w:uiPriority w:val="0"/>
    <w:pPr>
      <w:adjustRightInd/>
      <w:spacing w:line="240" w:lineRule="auto"/>
      <w:jc w:val="left"/>
    </w:pPr>
  </w:style>
  <w:style w:type="paragraph" w:customStyle="1" w:styleId="145">
    <w:name w:val="目录 51"/>
    <w:basedOn w:val="1"/>
    <w:next w:val="1"/>
    <w:autoRedefine/>
    <w:semiHidden/>
    <w:qFormat/>
    <w:uiPriority w:val="0"/>
    <w:pPr>
      <w:spacing w:line="240" w:lineRule="auto"/>
    </w:pPr>
    <w:rPr>
      <w:rFonts w:ascii="宋体" w:hAnsi="宋体"/>
    </w:rPr>
  </w:style>
  <w:style w:type="paragraph" w:customStyle="1" w:styleId="146">
    <w:name w:val="目录 61"/>
    <w:basedOn w:val="1"/>
    <w:next w:val="1"/>
    <w:autoRedefine/>
    <w:semiHidden/>
    <w:qFormat/>
    <w:uiPriority w:val="0"/>
    <w:pPr>
      <w:adjustRightInd/>
      <w:spacing w:line="240" w:lineRule="auto"/>
      <w:jc w:val="left"/>
    </w:pPr>
  </w:style>
  <w:style w:type="paragraph" w:customStyle="1" w:styleId="147">
    <w:name w:val="目录 71"/>
    <w:basedOn w:val="146"/>
    <w:autoRedefine/>
    <w:semiHidden/>
    <w:qFormat/>
    <w:uiPriority w:val="0"/>
    <w:pPr>
      <w:ind w:left="1260"/>
    </w:pPr>
  </w:style>
  <w:style w:type="paragraph" w:customStyle="1" w:styleId="148">
    <w:name w:val="目录 81"/>
    <w:basedOn w:val="147"/>
    <w:autoRedefine/>
    <w:semiHidden/>
    <w:qFormat/>
    <w:uiPriority w:val="0"/>
    <w:pPr>
      <w:ind w:left="1470"/>
    </w:pPr>
  </w:style>
  <w:style w:type="paragraph" w:customStyle="1" w:styleId="149">
    <w:name w:val="目录 91"/>
    <w:basedOn w:val="148"/>
    <w:autoRedefine/>
    <w:semiHidden/>
    <w:qFormat/>
    <w:uiPriority w:val="0"/>
    <w:pPr>
      <w:ind w:left="1680"/>
    </w:pPr>
  </w:style>
  <w:style w:type="paragraph" w:customStyle="1" w:styleId="150">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qFormat/>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4">
    <w:name w:val="实施日期"/>
    <w:basedOn w:val="120"/>
    <w:qFormat/>
    <w:uiPriority w:val="0"/>
    <w:pPr>
      <w:framePr w:hSpace="0" w:wrap="around" w:xAlign="right"/>
      <w:jc w:val="right"/>
    </w:pPr>
  </w:style>
  <w:style w:type="paragraph" w:customStyle="1" w:styleId="155">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6">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qFormat/>
    <w:uiPriority w:val="0"/>
    <w:pPr>
      <w:jc w:val="both"/>
    </w:pPr>
    <w:rPr>
      <w:rFonts w:ascii="宋体" w:hAnsi="宋体" w:eastAsia="宋体" w:cs="Times New Roman"/>
      <w:sz w:val="21"/>
      <w:lang w:val="en-US" w:eastAsia="zh-CN" w:bidi="ar-SA"/>
    </w:rPr>
  </w:style>
  <w:style w:type="paragraph" w:customStyle="1" w:styleId="158">
    <w:name w:val="五级无标题条"/>
    <w:basedOn w:val="1"/>
    <w:qFormat/>
    <w:uiPriority w:val="0"/>
    <w:pPr>
      <w:numPr>
        <w:ilvl w:val="6"/>
        <w:numId w:val="20"/>
      </w:numPr>
      <w:adjustRightInd/>
    </w:pPr>
    <w:rPr>
      <w:szCs w:val="24"/>
    </w:rPr>
  </w:style>
  <w:style w:type="paragraph" w:customStyle="1" w:styleId="159">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0">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qFormat/>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qFormat/>
    <w:uiPriority w:val="0"/>
    <w:pPr>
      <w:numPr>
        <w:ilvl w:val="0"/>
        <w:numId w:val="23"/>
      </w:numPr>
      <w:ind w:firstLine="0" w:firstLineChars="0"/>
    </w:pPr>
    <w:rPr>
      <w:rFonts w:ascii="Times New Roman"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spacing w:after="280"/>
      <w:outlineLvl w:val="9"/>
    </w:pPr>
  </w:style>
  <w:style w:type="paragraph" w:customStyle="1" w:styleId="171">
    <w:name w:val="标准文件_二级项"/>
    <w:qFormat/>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宋体"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rPr>
      <w:rFonts w:ascii="Times New Roman"/>
    </w:rPr>
  </w:style>
  <w:style w:type="paragraph" w:customStyle="1" w:styleId="189">
    <w:name w:val="标准文件_一级项2"/>
    <w:basedOn w:val="56"/>
    <w:qFormat/>
    <w:uiPriority w:val="0"/>
    <w:pPr>
      <w:numPr>
        <w:ilvl w:val="0"/>
        <w:numId w:val="31"/>
      </w:numPr>
      <w:spacing w:line="300" w:lineRule="exact"/>
      <w:ind w:firstLineChars="0"/>
    </w:pPr>
    <w:rPr>
      <w:rFonts w:ascii="Times New Roman"/>
    </w:r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qFormat/>
    <w:uiPriority w:val="0"/>
    <w:pPr>
      <w:framePr w:w="3997" w:h="471" w:hRule="exact" w:hSpace="0" w:vSpace="181" w:wrap="around" w:vAnchor="page" w:hAnchor="page" w:x="1419" w:y="14097"/>
    </w:pPr>
  </w:style>
  <w:style w:type="paragraph" w:customStyle="1" w:styleId="194">
    <w:name w:val="其他实施日期"/>
    <w:basedOn w:val="154"/>
    <w:qFormat/>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frame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4"/>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qFormat/>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qFormat/>
    <w:uiPriority w:val="0"/>
    <w:rPr>
      <w:rFonts w:ascii="黑体" w:eastAsia="黑体"/>
      <w:spacing w:val="85"/>
      <w:w w:val="100"/>
      <w:position w:val="3"/>
      <w:sz w:val="28"/>
      <w:szCs w:val="28"/>
    </w:rPr>
  </w:style>
  <w:style w:type="paragraph" w:customStyle="1" w:styleId="230">
    <w:name w:val="段"/>
    <w:autoRedefine/>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customStyle="1" w:styleId="231">
    <w:name w:val="章标题"/>
    <w:next w:val="230"/>
    <w:link w:val="236"/>
    <w:autoRedefine/>
    <w:qFormat/>
    <w:uiPriority w:val="0"/>
    <w:pPr>
      <w:spacing w:beforeLines="100" w:afterLines="100"/>
      <w:jc w:val="both"/>
      <w:outlineLvl w:val="1"/>
    </w:pPr>
    <w:rPr>
      <w:rFonts w:ascii="黑体" w:hAnsi="Times New Roman" w:eastAsia="黑体" w:cs="Times New Roman"/>
      <w:sz w:val="21"/>
      <w:lang w:val="en-US" w:eastAsia="zh-CN" w:bidi="ar-SA"/>
    </w:rPr>
  </w:style>
  <w:style w:type="paragraph" w:customStyle="1" w:styleId="232">
    <w:name w:val="一级条标题"/>
    <w:next w:val="230"/>
    <w:autoRedefine/>
    <w:qFormat/>
    <w:uiPriority w:val="0"/>
    <w:pPr>
      <w:spacing w:beforeLines="50" w:afterLines="50"/>
      <w:outlineLvl w:val="2"/>
    </w:pPr>
    <w:rPr>
      <w:rFonts w:ascii="黑体" w:hAnsi="Times New Roman" w:eastAsia="黑体" w:cs="Times New Roman"/>
      <w:sz w:val="21"/>
      <w:szCs w:val="21"/>
      <w:lang w:val="en-US" w:eastAsia="zh-CN" w:bidi="ar-SA"/>
    </w:rPr>
  </w:style>
  <w:style w:type="paragraph" w:customStyle="1" w:styleId="233">
    <w:name w:val="二级条标题"/>
    <w:basedOn w:val="232"/>
    <w:next w:val="230"/>
    <w:autoRedefine/>
    <w:qFormat/>
    <w:uiPriority w:val="0"/>
    <w:pPr>
      <w:spacing w:before="50" w:after="50"/>
      <w:outlineLvl w:val="3"/>
    </w:pPr>
  </w:style>
  <w:style w:type="paragraph" w:customStyle="1" w:styleId="234">
    <w:name w:val="附录标识"/>
    <w:basedOn w:val="1"/>
    <w:next w:val="230"/>
    <w:autoRedefine/>
    <w:qFormat/>
    <w:uiPriority w:val="0"/>
    <w:pPr>
      <w:keepNext/>
      <w:numPr>
        <w:ilvl w:val="0"/>
        <w:numId w:val="5"/>
      </w:numPr>
      <w:shd w:val="clear" w:color="FFFFFF" w:fill="FFFFFF"/>
      <w:tabs>
        <w:tab w:val="left" w:pos="360"/>
        <w:tab w:val="left" w:pos="6405"/>
      </w:tabs>
      <w:spacing w:before="640" w:after="280"/>
      <w:jc w:val="center"/>
      <w:outlineLvl w:val="0"/>
    </w:pPr>
    <w:rPr>
      <w:rFonts w:ascii="黑体" w:hAnsi="Times New Roman" w:eastAsia="黑体"/>
      <w:szCs w:val="20"/>
    </w:rPr>
  </w:style>
  <w:style w:type="paragraph" w:styleId="235">
    <w:name w:val="List Paragraph"/>
    <w:basedOn w:val="1"/>
    <w:unhideWhenUsed/>
    <w:qFormat/>
    <w:uiPriority w:val="34"/>
    <w:pPr>
      <w:ind w:firstLine="420" w:firstLineChars="200"/>
    </w:pPr>
  </w:style>
  <w:style w:type="character" w:customStyle="1" w:styleId="236">
    <w:name w:val="章标题 Char"/>
    <w:link w:val="231"/>
    <w:autoRedefine/>
    <w:qFormat/>
    <w:uiPriority w:val="0"/>
    <w:rPr>
      <w:rFonts w:ascii="黑体" w:hAnsi="Times New Roman" w:eastAsia="黑体"/>
      <w:sz w:val="21"/>
    </w:rPr>
  </w:style>
  <w:style w:type="table" w:customStyle="1" w:styleId="237">
    <w:name w:val="Table Normal"/>
    <w:semiHidden/>
    <w:unhideWhenUsed/>
    <w:qFormat/>
    <w:uiPriority w:val="0"/>
    <w:pPr>
      <w:spacing w:after="160" w:line="278" w:lineRule="auto"/>
    </w:pPr>
    <w:rPr>
      <w:rFonts w:ascii="Arial" w:hAnsi="Arial" w:cs="Arial" w:eastAsiaTheme="minorEastAsia"/>
      <w:snapToGrid w:val="0"/>
      <w:color w:val="000000"/>
      <w:sz w:val="21"/>
      <w:szCs w:val="21"/>
      <w:lang w:eastAsia="en-US"/>
    </w:rPr>
    <w:tblPr>
      <w:tblCellMar>
        <w:top w:w="0" w:type="dxa"/>
        <w:left w:w="0" w:type="dxa"/>
        <w:bottom w:w="0" w:type="dxa"/>
        <w:right w:w="0" w:type="dxa"/>
      </w:tblCellMar>
    </w:tblPr>
  </w:style>
</w:style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2" Type="http://schemas.openxmlformats.org/officeDocument/2006/relationships/glossaryDocument" Target="glossary/document.xml"/><Relationship Id="rId31" Type="http://schemas.openxmlformats.org/officeDocument/2006/relationships/fontTable" Target="fontTable.xml"/><Relationship Id="rId30" Type="http://schemas.microsoft.com/office/2006/relationships/keyMapCustomizations" Target="customizations.xml"/><Relationship Id="rId3" Type="http://schemas.openxmlformats.org/officeDocument/2006/relationships/footnotes" Target="footnotes.xml"/><Relationship Id="rId29" Type="http://schemas.openxmlformats.org/officeDocument/2006/relationships/customXml" Target="../customXml/item2.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2.png"/><Relationship Id="rId25" Type="http://schemas.openxmlformats.org/officeDocument/2006/relationships/image" Target="media/image1.png"/><Relationship Id="rId24" Type="http://schemas.openxmlformats.org/officeDocument/2006/relationships/theme" Target="theme/theme1.xml"/><Relationship Id="rId23" Type="http://schemas.openxmlformats.org/officeDocument/2006/relationships/footer" Target="footer9.xml"/><Relationship Id="rId22" Type="http://schemas.openxmlformats.org/officeDocument/2006/relationships/header" Target="header10.xml"/><Relationship Id="rId21" Type="http://schemas.openxmlformats.org/officeDocument/2006/relationships/header" Target="header9.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8.xml"/><Relationship Id="rId17" Type="http://schemas.openxmlformats.org/officeDocument/2006/relationships/header" Target="header7.xml"/><Relationship Id="rId16" Type="http://schemas.openxmlformats.org/officeDocument/2006/relationships/footer" Target="footer6.xml"/><Relationship Id="rId15" Type="http://schemas.openxmlformats.org/officeDocument/2006/relationships/footer" Target="footer5.xml"/><Relationship Id="rId14" Type="http://schemas.openxmlformats.org/officeDocument/2006/relationships/header" Target="header6.xml"/><Relationship Id="rId13" Type="http://schemas.openxmlformats.org/officeDocument/2006/relationships/header" Target="header5.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40BAD1D096DA435C958A3CC3CE42E1DA"/>
        <w:style w:val=""/>
        <w:category>
          <w:name w:val="常规"/>
          <w:gallery w:val="placeholder"/>
        </w:category>
        <w:types>
          <w:type w:val="bbPlcHdr"/>
        </w:types>
        <w:behaviors>
          <w:behavior w:val="content"/>
        </w:behaviors>
        <w:description w:val=""/>
        <w:guid w:val="{61934528-37A1-49F9-BF08-2AAB414F29F7}"/>
      </w:docPartPr>
      <w:docPartBody>
        <w:p w14:paraId="2525045A">
          <w:pPr>
            <w:pStyle w:val="5"/>
          </w:pPr>
          <w:r>
            <w:rPr>
              <w:rStyle w:val="4"/>
              <w:rFonts w:hint="eastAsia"/>
            </w:rPr>
            <w:t>单击或点击此处输入文字。</w:t>
          </w:r>
        </w:p>
      </w:docPartBody>
    </w:docPart>
    <w:docPart>
      <w:docPartPr>
        <w:name w:val="5FE49046297C4A68A6C5EFDE3F027740"/>
        <w:style w:val=""/>
        <w:category>
          <w:name w:val="常规"/>
          <w:gallery w:val="placeholder"/>
        </w:category>
        <w:types>
          <w:type w:val="bbPlcHdr"/>
        </w:types>
        <w:behaviors>
          <w:behavior w:val="content"/>
        </w:behaviors>
        <w:description w:val=""/>
        <w:guid w:val="{653A4C1D-7889-4750-B832-B9993DB68657}"/>
      </w:docPartPr>
      <w:docPartBody>
        <w:p w14:paraId="1A869760">
          <w:pPr>
            <w:pStyle w:val="6"/>
          </w:pPr>
          <w:r>
            <w:rPr>
              <w:rStyle w:val="4"/>
              <w:rFonts w:hint="eastAsia"/>
            </w:rPr>
            <w:t>选择一项。</w:t>
          </w:r>
        </w:p>
      </w:docPartBody>
    </w:docPart>
    <w:docPart>
      <w:docPartPr>
        <w:name w:val="{05406fd7-7886-449a-ae4e-1367aeab00b4}"/>
        <w:style w:val=""/>
        <w:category>
          <w:name w:val="常规"/>
          <w:gallery w:val="placeholder"/>
        </w:category>
        <w:types>
          <w:type w:val="bbPlcHdr"/>
        </w:types>
        <w:behaviors>
          <w:behavior w:val="content"/>
        </w:behaviors>
        <w:description w:val=""/>
        <w:guid w:val="{05406FD7-7886-449A-AE4E-1367AEAB00B4}"/>
      </w:docPartPr>
      <w:docPartBody>
        <w:p w14:paraId="72A356BA">
          <w:pPr>
            <w:pStyle w:val="7"/>
          </w:pPr>
          <w:r>
            <w:rPr>
              <w:rStyle w:val="4"/>
              <w:rFonts w:hint="eastAsia"/>
            </w:rPr>
            <w:t>单击或点击此处输入文字。</w:t>
          </w:r>
        </w:p>
      </w:docPartBody>
    </w:docPart>
    <w:docPart>
      <w:docPartPr>
        <w:name w:val="A28390A900F84577BD470EFEC13C9B7D"/>
        <w:style w:val=""/>
        <w:category>
          <w:name w:val="常规"/>
          <w:gallery w:val="placeholder"/>
        </w:category>
        <w:types>
          <w:type w:val="bbPlcHdr"/>
        </w:types>
        <w:behaviors>
          <w:behavior w:val="content"/>
        </w:behaviors>
        <w:description w:val=""/>
        <w:guid w:val="{C2A47040-701A-46B8-A8D7-3D06BC3E1B48}"/>
      </w:docPartPr>
      <w:docPartBody>
        <w:p w14:paraId="4F48CC34">
          <w:pPr>
            <w:pStyle w:val="8"/>
          </w:pPr>
          <w:r>
            <w:rPr>
              <w:rStyle w:val="4"/>
              <w:rFonts w:hint="eastAsia"/>
            </w:rPr>
            <w:t>单击或点击此处输入文字。</w:t>
          </w:r>
        </w:p>
      </w:docPartBody>
    </w:docPart>
    <w:docPart>
      <w:docPartPr>
        <w:name w:val="5255B3974976434385378247D896D7C3"/>
        <w:style w:val=""/>
        <w:category>
          <w:name w:val="常规"/>
          <w:gallery w:val="placeholder"/>
        </w:category>
        <w:types>
          <w:type w:val="bbPlcHdr"/>
        </w:types>
        <w:behaviors>
          <w:behavior w:val="content"/>
        </w:behaviors>
        <w:description w:val=""/>
        <w:guid w:val="{A1F63EFD-991C-4C54-9FF4-5D4EA2D04AE2}"/>
      </w:docPartPr>
      <w:docPartBody>
        <w:p w14:paraId="5EAA0726">
          <w:pPr>
            <w:pStyle w:val="9"/>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7BD0"/>
    <w:rsid w:val="000C1A22"/>
    <w:rsid w:val="00125FC3"/>
    <w:rsid w:val="0014770C"/>
    <w:rsid w:val="002068DF"/>
    <w:rsid w:val="003A5430"/>
    <w:rsid w:val="003E60A8"/>
    <w:rsid w:val="00420DD5"/>
    <w:rsid w:val="00486BD8"/>
    <w:rsid w:val="004E2C37"/>
    <w:rsid w:val="00526C01"/>
    <w:rsid w:val="00541666"/>
    <w:rsid w:val="00607BD0"/>
    <w:rsid w:val="006A754B"/>
    <w:rsid w:val="00752906"/>
    <w:rsid w:val="00880EF2"/>
    <w:rsid w:val="008D1248"/>
    <w:rsid w:val="00957E5D"/>
    <w:rsid w:val="009C3B09"/>
    <w:rsid w:val="009F6CBC"/>
    <w:rsid w:val="00AE48F9"/>
    <w:rsid w:val="00C1100C"/>
    <w:rsid w:val="00DD45EC"/>
    <w:rsid w:val="00E31E86"/>
    <w:rsid w:val="00E774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autoRedefine/>
    <w:semiHidden/>
    <w:qFormat/>
    <w:uiPriority w:val="99"/>
    <w:rPr>
      <w:color w:val="808080"/>
    </w:rPr>
  </w:style>
  <w:style w:type="paragraph" w:customStyle="1" w:styleId="5">
    <w:name w:val="40BAD1D096DA435C958A3CC3CE42E1D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5FE49046297C4A68A6C5EFDE3F02774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822E03F088D50C48B3874DE6B92B8FBF"/>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customStyle="1" w:styleId="8">
    <w:name w:val="A28390A900F84577BD470EFEC13C9B7D"/>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9">
    <w:name w:val="5255B3974976434385378247D896D7C3"/>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A61E061-4E87-4D14-8C92-00A2C0723CA4}">
  <ds:schemaRefs/>
</ds:datastoreItem>
</file>

<file path=docProps/app.xml><?xml version="1.0" encoding="utf-8"?>
<Properties xmlns="http://schemas.openxmlformats.org/officeDocument/2006/extended-properties" xmlns:vt="http://schemas.openxmlformats.org/officeDocument/2006/docPropsVTypes">
  <Template>团体标准</Template>
  <Company>PCMI</Company>
  <Pages>9</Pages>
  <Words>4151</Words>
  <Characters>4577</Characters>
  <Lines>50</Lines>
  <Paragraphs>14</Paragraphs>
  <TotalTime>12</TotalTime>
  <ScaleCrop>false</ScaleCrop>
  <LinksUpToDate>false</LinksUpToDate>
  <CharactersWithSpaces>4709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2026-05-11T01:09:00Z</dcterms:created>
  <dc:creator>起草人</dc:creator>
  <dc:description>&lt;config cover="true" show_menu="true" version="1.0.0" doctype="SDKXY"&gt;_x000d_
&lt;/config&gt;</dc:description>
  <cp:lastModifiedBy>梁春年</cp:lastModifiedBy>
  <cp:lastPrinted>2026-04-29T07:09:00Z</cp:lastPrinted>
  <dcterms:modified xsi:type="dcterms:W3CDTF">2026-05-14T00:52:29Z</dcterms:modified>
  <dc:title>团体标准</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DoublePage">
    <vt:lpwstr>true</vt:lpwstr>
  </property>
  <property fmtid="{D5CDD505-2E9C-101B-9397-08002B2CF9AE}" pid="15" name="KSOTemplateDocerSaveRecord">
    <vt:lpwstr>eyJoZGlkIjoiNzFjZmJhYmY3MDU1NTQwN2I1ZjdiNDg1Mjc0OGE5YTUiLCJ1c2VySWQiOiIzNDQyNDQ2NzUifQ==</vt:lpwstr>
  </property>
  <property fmtid="{D5CDD505-2E9C-101B-9397-08002B2CF9AE}" pid="16" name="KSOProductBuildVer">
    <vt:lpwstr>2052-12.1.0.25865</vt:lpwstr>
  </property>
  <property fmtid="{D5CDD505-2E9C-101B-9397-08002B2CF9AE}" pid="17" name="ICV">
    <vt:lpwstr>C3B28364235B49629BCF4A3C94BA4ECA_13</vt:lpwstr>
  </property>
</Properties>
</file>