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A72D9A">
      <w:pPr>
        <w:spacing w:line="1000" w:lineRule="exact"/>
        <w:jc w:val="center"/>
        <w:rPr>
          <w:rFonts w:hint="default" w:ascii="Times New Roman" w:hAnsi="Times New Roman" w:cs="Times New Roman"/>
          <w:b/>
          <w:sz w:val="44"/>
          <w:szCs w:val="44"/>
        </w:rPr>
      </w:pPr>
    </w:p>
    <w:p w14:paraId="3F555AC8">
      <w:pPr>
        <w:spacing w:line="1000" w:lineRule="exact"/>
        <w:jc w:val="center"/>
        <w:rPr>
          <w:rFonts w:hint="default" w:ascii="Times New Roman" w:hAnsi="Times New Roman" w:cs="Times New Roman"/>
          <w:b/>
          <w:sz w:val="44"/>
          <w:szCs w:val="44"/>
        </w:rPr>
      </w:pPr>
    </w:p>
    <w:p w14:paraId="058753AE">
      <w:pPr>
        <w:spacing w:line="1000" w:lineRule="exact"/>
        <w:jc w:val="both"/>
        <w:rPr>
          <w:rFonts w:hint="default" w:ascii="Times New Roman" w:hAnsi="Times New Roman" w:cs="Times New Roman"/>
          <w:b/>
          <w:sz w:val="56"/>
          <w:szCs w:val="56"/>
        </w:rPr>
      </w:pPr>
    </w:p>
    <w:p w14:paraId="359D56BF">
      <w:pPr>
        <w:spacing w:line="1000" w:lineRule="exact"/>
        <w:jc w:val="center"/>
        <w:rPr>
          <w:rFonts w:hint="default" w:ascii="Times New Roman" w:hAnsi="Times New Roman" w:cs="Times New Roman"/>
          <w:b/>
          <w:sz w:val="56"/>
          <w:szCs w:val="56"/>
        </w:rPr>
      </w:pPr>
    </w:p>
    <w:p w14:paraId="50AC56C4">
      <w:pPr>
        <w:spacing w:line="1000" w:lineRule="exact"/>
        <w:jc w:val="center"/>
        <w:rPr>
          <w:rFonts w:hint="default" w:ascii="Times New Roman" w:hAnsi="Times New Roman" w:cs="Times New Roman"/>
          <w:b/>
          <w:sz w:val="44"/>
          <w:szCs w:val="44"/>
          <w:lang w:val="en-US" w:eastAsia="zh-CN"/>
        </w:rPr>
      </w:pPr>
      <w:r>
        <w:rPr>
          <w:rFonts w:hint="default" w:ascii="Times New Roman" w:hAnsi="Times New Roman" w:cs="Times New Roman"/>
          <w:b/>
          <w:sz w:val="44"/>
          <w:szCs w:val="44"/>
          <w:lang w:val="en-US" w:eastAsia="zh-CN"/>
        </w:rPr>
        <w:t>团体标准</w:t>
      </w:r>
    </w:p>
    <w:p w14:paraId="38A9BE58">
      <w:pPr>
        <w:spacing w:line="240" w:lineRule="auto"/>
        <w:jc w:val="center"/>
        <w:rPr>
          <w:rFonts w:hint="default" w:ascii="Times New Roman" w:hAnsi="Times New Roman" w:cs="Times New Roman"/>
          <w:b/>
          <w:sz w:val="44"/>
          <w:szCs w:val="44"/>
        </w:rPr>
      </w:pPr>
      <w:r>
        <w:rPr>
          <w:rFonts w:hint="default" w:ascii="Times New Roman" w:hAnsi="Times New Roman" w:cs="Times New Roman"/>
          <w:b/>
          <w:sz w:val="44"/>
          <w:szCs w:val="44"/>
          <w:lang w:val="en-US" w:eastAsia="zh-CN"/>
        </w:rPr>
        <w:t>张家川红花牛饲养管理技术规范</w:t>
      </w:r>
    </w:p>
    <w:p w14:paraId="7ACC843E">
      <w:pPr>
        <w:spacing w:line="1000" w:lineRule="exact"/>
        <w:jc w:val="center"/>
        <w:rPr>
          <w:rFonts w:hint="default" w:ascii="Times New Roman" w:hAnsi="Times New Roman" w:cs="Times New Roman"/>
          <w:b/>
          <w:sz w:val="56"/>
          <w:szCs w:val="56"/>
        </w:rPr>
      </w:pPr>
      <w:r>
        <w:rPr>
          <w:rFonts w:hint="default" w:ascii="Times New Roman" w:hAnsi="Times New Roman" w:cs="Times New Roman"/>
          <w:b/>
          <w:sz w:val="44"/>
          <w:szCs w:val="44"/>
        </w:rPr>
        <w:t>编制说明</w:t>
      </w:r>
    </w:p>
    <w:p w14:paraId="0FDC62B2">
      <w:pPr>
        <w:spacing w:line="1000" w:lineRule="exact"/>
        <w:jc w:val="center"/>
        <w:rPr>
          <w:rFonts w:hint="default" w:ascii="Times New Roman" w:hAnsi="Times New Roman" w:cs="Times New Roman"/>
          <w:b/>
          <w:sz w:val="32"/>
          <w:szCs w:val="32"/>
        </w:rPr>
      </w:pPr>
      <w:r>
        <w:rPr>
          <w:rFonts w:hint="default" w:ascii="Times New Roman" w:hAnsi="Times New Roman" w:cs="Times New Roman"/>
          <w:b/>
          <w:sz w:val="32"/>
          <w:szCs w:val="32"/>
        </w:rPr>
        <w:t>（征求意见稿）</w:t>
      </w:r>
    </w:p>
    <w:p w14:paraId="611550D1">
      <w:pPr>
        <w:jc w:val="center"/>
        <w:rPr>
          <w:rFonts w:hint="default" w:ascii="Times New Roman" w:hAnsi="Times New Roman" w:eastAsia="黑体" w:cs="Times New Roman"/>
          <w:b/>
          <w:sz w:val="40"/>
          <w:szCs w:val="40"/>
        </w:rPr>
      </w:pPr>
    </w:p>
    <w:p w14:paraId="25707FF2">
      <w:pPr>
        <w:jc w:val="center"/>
        <w:rPr>
          <w:rFonts w:hint="default" w:ascii="Times New Roman" w:hAnsi="Times New Roman" w:eastAsia="黑体" w:cs="Times New Roman"/>
          <w:b/>
          <w:sz w:val="52"/>
          <w:szCs w:val="52"/>
        </w:rPr>
      </w:pPr>
    </w:p>
    <w:p w14:paraId="61E90AB4">
      <w:pPr>
        <w:jc w:val="both"/>
        <w:rPr>
          <w:rFonts w:hint="default" w:ascii="Times New Roman" w:hAnsi="Times New Roman" w:eastAsia="黑体" w:cs="Times New Roman"/>
          <w:b/>
          <w:sz w:val="52"/>
          <w:szCs w:val="52"/>
        </w:rPr>
      </w:pPr>
    </w:p>
    <w:p w14:paraId="1DBE05AA">
      <w:pPr>
        <w:jc w:val="both"/>
        <w:rPr>
          <w:rFonts w:hint="default" w:ascii="Times New Roman" w:hAnsi="Times New Roman" w:eastAsia="黑体" w:cs="Times New Roman"/>
          <w:b/>
          <w:sz w:val="52"/>
          <w:szCs w:val="52"/>
        </w:rPr>
      </w:pPr>
    </w:p>
    <w:p w14:paraId="5A81B1C8">
      <w:pPr>
        <w:spacing w:line="1000" w:lineRule="exact"/>
        <w:jc w:val="center"/>
        <w:rPr>
          <w:rFonts w:hint="default" w:ascii="Times New Roman" w:hAnsi="Times New Roman" w:cs="Times New Roman"/>
          <w:b/>
          <w:sz w:val="40"/>
          <w:szCs w:val="40"/>
        </w:rPr>
      </w:pPr>
      <w:r>
        <w:rPr>
          <w:rFonts w:hint="default" w:ascii="Times New Roman" w:hAnsi="Times New Roman" w:cs="Times New Roman"/>
          <w:b/>
          <w:sz w:val="40"/>
          <w:szCs w:val="40"/>
        </w:rPr>
        <w:t>中国农业科学院兰州畜牧与兽药研究所</w:t>
      </w:r>
    </w:p>
    <w:p w14:paraId="70E1D8C4">
      <w:pPr>
        <w:spacing w:line="1000" w:lineRule="exact"/>
        <w:jc w:val="center"/>
        <w:rPr>
          <w:rFonts w:hint="default" w:ascii="Times New Roman" w:hAnsi="Times New Roman" w:cs="Times New Roman"/>
          <w:b/>
          <w:sz w:val="40"/>
          <w:szCs w:val="40"/>
        </w:rPr>
      </w:pPr>
      <w:r>
        <w:rPr>
          <w:rFonts w:hint="default" w:ascii="Times New Roman" w:hAnsi="Times New Roman" w:cs="Times New Roman"/>
          <w:b/>
          <w:sz w:val="40"/>
          <w:szCs w:val="40"/>
        </w:rPr>
        <w:t>202</w:t>
      </w:r>
      <w:r>
        <w:rPr>
          <w:rFonts w:hint="default" w:ascii="Times New Roman" w:hAnsi="Times New Roman" w:cs="Times New Roman"/>
          <w:b/>
          <w:sz w:val="40"/>
          <w:szCs w:val="40"/>
          <w:lang w:val="en-US" w:eastAsia="zh-CN"/>
        </w:rPr>
        <w:t>6</w:t>
      </w:r>
      <w:r>
        <w:rPr>
          <w:rFonts w:hint="default" w:ascii="Times New Roman" w:hAnsi="Times New Roman" w:cs="Times New Roman"/>
          <w:b/>
          <w:sz w:val="40"/>
          <w:szCs w:val="40"/>
        </w:rPr>
        <w:t>年</w:t>
      </w:r>
      <w:r>
        <w:rPr>
          <w:rFonts w:hint="eastAsia" w:ascii="Times New Roman" w:hAnsi="Times New Roman" w:cs="Times New Roman"/>
          <w:b/>
          <w:sz w:val="40"/>
          <w:szCs w:val="40"/>
          <w:lang w:val="en-US" w:eastAsia="zh-CN"/>
        </w:rPr>
        <w:t>5</w:t>
      </w:r>
      <w:r>
        <w:rPr>
          <w:rFonts w:hint="default" w:ascii="Times New Roman" w:hAnsi="Times New Roman" w:cs="Times New Roman"/>
          <w:b/>
          <w:sz w:val="40"/>
          <w:szCs w:val="40"/>
        </w:rPr>
        <w:t>月</w:t>
      </w:r>
    </w:p>
    <w:p w14:paraId="24D2A499">
      <w:pPr>
        <w:adjustRightInd w:val="0"/>
        <w:snapToGrid w:val="0"/>
        <w:spacing w:line="360" w:lineRule="auto"/>
        <w:rPr>
          <w:rFonts w:hint="default" w:ascii="Times New Roman" w:hAnsi="Times New Roman" w:cs="Times New Roman"/>
          <w:b/>
          <w:sz w:val="24"/>
          <w:szCs w:val="24"/>
        </w:rPr>
      </w:pPr>
    </w:p>
    <w:p w14:paraId="236A2F02">
      <w:pPr>
        <w:adjustRightInd w:val="0"/>
        <w:snapToGrid w:val="0"/>
        <w:spacing w:line="360" w:lineRule="auto"/>
        <w:rPr>
          <w:rFonts w:hint="default" w:ascii="Times New Roman" w:hAnsi="Times New Roman" w:cs="Times New Roman"/>
          <w:b/>
          <w:sz w:val="24"/>
          <w:szCs w:val="24"/>
        </w:rPr>
      </w:pPr>
    </w:p>
    <w:p w14:paraId="17A9C64D">
      <w:pPr>
        <w:adjustRightInd w:val="0"/>
        <w:snapToGrid w:val="0"/>
        <w:spacing w:line="360" w:lineRule="auto"/>
        <w:rPr>
          <w:rFonts w:hint="default" w:ascii="Times New Roman" w:hAnsi="Times New Roman" w:cs="Times New Roman"/>
          <w:b/>
          <w:sz w:val="24"/>
          <w:szCs w:val="24"/>
        </w:rPr>
      </w:pPr>
    </w:p>
    <w:p w14:paraId="0CF2F149">
      <w:pPr>
        <w:adjustRightInd w:val="0"/>
        <w:snapToGrid w:val="0"/>
        <w:spacing w:line="360" w:lineRule="auto"/>
        <w:rPr>
          <w:rFonts w:hint="default" w:ascii="Times New Roman" w:hAnsi="Times New Roman" w:cs="Times New Roman"/>
          <w:b/>
          <w:sz w:val="24"/>
          <w:szCs w:val="24"/>
        </w:rPr>
      </w:pPr>
    </w:p>
    <w:p w14:paraId="634DCE05">
      <w:pPr>
        <w:adjustRightInd w:val="0"/>
        <w:snapToGrid w:val="0"/>
        <w:spacing w:line="360" w:lineRule="auto"/>
        <w:rPr>
          <w:rFonts w:hint="default" w:ascii="Times New Roman" w:hAnsi="Times New Roman" w:cs="Times New Roman"/>
          <w:b/>
          <w:sz w:val="24"/>
          <w:szCs w:val="24"/>
        </w:rPr>
      </w:pPr>
      <w:r>
        <w:rPr>
          <w:rFonts w:hint="default" w:ascii="Times New Roman" w:hAnsi="Times New Roman" w:cs="Times New Roman"/>
          <w:b/>
          <w:sz w:val="24"/>
          <w:szCs w:val="24"/>
        </w:rPr>
        <w:t>一、 工作简况</w:t>
      </w:r>
    </w:p>
    <w:p w14:paraId="31F36EFF">
      <w:pPr>
        <w:adjustRightInd w:val="0"/>
        <w:snapToGrid w:val="0"/>
        <w:spacing w:line="360" w:lineRule="auto"/>
        <w:ind w:firstLine="482" w:firstLineChars="200"/>
        <w:rPr>
          <w:rFonts w:hint="default" w:ascii="Times New Roman" w:hAnsi="Times New Roman" w:cs="Times New Roman"/>
          <w:b/>
          <w:sz w:val="24"/>
          <w:szCs w:val="24"/>
        </w:rPr>
      </w:pPr>
      <w:r>
        <w:rPr>
          <w:rFonts w:hint="default" w:ascii="Times New Roman" w:hAnsi="Times New Roman" w:cs="Times New Roman"/>
          <w:b/>
          <w:sz w:val="24"/>
          <w:szCs w:val="24"/>
        </w:rPr>
        <w:t>1. 任务来源</w:t>
      </w:r>
    </w:p>
    <w:p w14:paraId="71A45A9F">
      <w:pPr>
        <w:pStyle w:val="14"/>
        <w:spacing w:line="360" w:lineRule="auto"/>
        <w:ind w:firstLine="42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基于张家川红花牛产业高质量发展需求，为规范红花牛饲养管理过程，提升产业标准化水平，由中国农业科学院兰州畜牧与兽药研究所提出制定《张家川红花牛饲养管理技术规范》团体标准的建议，标准起草小组于</w:t>
      </w:r>
      <w:r>
        <w:rPr>
          <w:rFonts w:hint="default" w:ascii="Times New Roman" w:hAnsi="Times New Roman" w:cs="Times New Roman" w:eastAsiaTheme="minorEastAsia"/>
          <w:kern w:val="2"/>
          <w:sz w:val="24"/>
          <w:szCs w:val="24"/>
        </w:rPr>
        <w:t>202</w:t>
      </w:r>
      <w:r>
        <w:rPr>
          <w:rFonts w:hint="eastAsia" w:ascii="Times New Roman" w:cs="Times New Roman" w:eastAsiaTheme="minorEastAsia"/>
          <w:kern w:val="2"/>
          <w:sz w:val="24"/>
          <w:szCs w:val="24"/>
          <w:lang w:val="en-US" w:eastAsia="zh-CN"/>
        </w:rPr>
        <w:t>5</w:t>
      </w:r>
      <w:r>
        <w:rPr>
          <w:rFonts w:hint="default" w:ascii="Times New Roman" w:hAnsi="Times New Roman" w:cs="Times New Roman" w:eastAsiaTheme="minorEastAsia"/>
          <w:kern w:val="2"/>
          <w:sz w:val="24"/>
          <w:szCs w:val="24"/>
        </w:rPr>
        <w:t>年</w:t>
      </w:r>
      <w:r>
        <w:rPr>
          <w:rFonts w:hint="eastAsia" w:ascii="Times New Roman" w:cs="Times New Roman" w:eastAsiaTheme="minorEastAsia"/>
          <w:kern w:val="2"/>
          <w:sz w:val="24"/>
          <w:szCs w:val="24"/>
          <w:lang w:val="en-US" w:eastAsia="zh-CN"/>
        </w:rPr>
        <w:t>12</w:t>
      </w:r>
      <w:r>
        <w:rPr>
          <w:rFonts w:hint="default" w:ascii="Times New Roman" w:hAnsi="Times New Roman" w:cs="Times New Roman" w:eastAsiaTheme="minorEastAsia"/>
          <w:kern w:val="2"/>
          <w:sz w:val="24"/>
          <w:szCs w:val="24"/>
        </w:rPr>
        <w:t>月</w:t>
      </w:r>
      <w:r>
        <w:rPr>
          <w:rFonts w:hint="default" w:ascii="Times New Roman" w:hAnsi="Times New Roman" w:cs="Times New Roman" w:eastAsiaTheme="minorEastAsia"/>
          <w:kern w:val="2"/>
          <w:sz w:val="24"/>
          <w:szCs w:val="24"/>
          <w:lang w:val="en-US" w:eastAsia="zh-CN"/>
        </w:rPr>
        <w:t>完成标准建议书及草案的编制与提交。经甘肃省质量协会论证，于2026年</w:t>
      </w:r>
      <w:r>
        <w:rPr>
          <w:rFonts w:hint="eastAsia" w:ascii="Times New Roman" w:cs="Times New Roman" w:eastAsiaTheme="minorEastAsia"/>
          <w:kern w:val="2"/>
          <w:sz w:val="24"/>
          <w:szCs w:val="24"/>
          <w:lang w:val="en-US" w:eastAsia="zh-CN"/>
        </w:rPr>
        <w:t>4</w:t>
      </w:r>
      <w:r>
        <w:rPr>
          <w:rFonts w:hint="default" w:ascii="Times New Roman" w:hAnsi="Times New Roman" w:cs="Times New Roman" w:eastAsiaTheme="minorEastAsia"/>
          <w:kern w:val="2"/>
          <w:sz w:val="24"/>
          <w:szCs w:val="24"/>
          <w:lang w:val="en-US" w:eastAsia="zh-CN"/>
        </w:rPr>
        <w:t>月2</w:t>
      </w:r>
      <w:r>
        <w:rPr>
          <w:rFonts w:hint="eastAsia" w:ascii="Times New Roman" w:cs="Times New Roman" w:eastAsiaTheme="minorEastAsia"/>
          <w:kern w:val="2"/>
          <w:sz w:val="24"/>
          <w:szCs w:val="24"/>
          <w:lang w:val="en-US" w:eastAsia="zh-CN"/>
        </w:rPr>
        <w:t>7</w:t>
      </w:r>
      <w:r>
        <w:rPr>
          <w:rFonts w:hint="default" w:ascii="Times New Roman" w:hAnsi="Times New Roman" w:cs="Times New Roman" w:eastAsiaTheme="minorEastAsia"/>
          <w:kern w:val="2"/>
          <w:sz w:val="24"/>
          <w:szCs w:val="24"/>
          <w:lang w:val="en-US" w:eastAsia="zh-CN"/>
        </w:rPr>
        <w:t>日正式立项（项目计划号：甘质协[2026]</w:t>
      </w:r>
      <w:r>
        <w:rPr>
          <w:rFonts w:hint="eastAsia" w:ascii="Times New Roman" w:hAnsi="Times New Roman" w:cs="Times New Roman" w:eastAsiaTheme="minorEastAsia"/>
          <w:kern w:val="2"/>
          <w:sz w:val="24"/>
          <w:szCs w:val="24"/>
          <w:lang w:val="en-US" w:eastAsia="zh-CN"/>
        </w:rPr>
        <w:t>21</w:t>
      </w:r>
      <w:r>
        <w:rPr>
          <w:rFonts w:hint="default" w:ascii="Times New Roman" w:hAnsi="Times New Roman" w:cs="Times New Roman" w:eastAsiaTheme="minorEastAsia"/>
          <w:kern w:val="2"/>
          <w:sz w:val="24"/>
          <w:szCs w:val="24"/>
          <w:lang w:val="en-US" w:eastAsia="zh-CN"/>
        </w:rPr>
        <w:t>号）。任务承</w:t>
      </w:r>
      <w:r>
        <w:rPr>
          <w:rFonts w:hint="default" w:ascii="Times New Roman" w:hAnsi="Times New Roman" w:cs="Times New Roman"/>
          <w:sz w:val="24"/>
          <w:szCs w:val="24"/>
          <w:lang w:val="en-US" w:eastAsia="zh-CN"/>
        </w:rPr>
        <w:t>担单位为中国农业科学院兰州畜牧与兽药研究所，标准起草协作单位为张家川回族自治县畜牧工作站、张家川回族自治县畜牧兽医事务服务中心、中国农业科学院兰州兽医研究所。起草小组成员包括褚敏、梁春年、杨来康、杨孝军、张少华、喇永富、马晓明、包鹏甲、贠秀君、马利军、马艳萍。</w:t>
      </w:r>
    </w:p>
    <w:p w14:paraId="471353AA">
      <w:pPr>
        <w:numPr>
          <w:ilvl w:val="0"/>
          <w:numId w:val="4"/>
        </w:numPr>
        <w:adjustRightInd w:val="0"/>
        <w:snapToGrid w:val="0"/>
        <w:spacing w:line="360" w:lineRule="auto"/>
        <w:ind w:firstLine="482" w:firstLineChars="200"/>
        <w:rPr>
          <w:rFonts w:hint="default" w:ascii="Times New Roman" w:hAnsi="Times New Roman" w:cs="Times New Roman"/>
          <w:b/>
          <w:sz w:val="24"/>
          <w:szCs w:val="24"/>
        </w:rPr>
      </w:pPr>
      <w:r>
        <w:rPr>
          <w:rFonts w:hint="default" w:ascii="Times New Roman" w:hAnsi="Times New Roman" w:cs="Times New Roman"/>
          <w:b/>
          <w:sz w:val="24"/>
          <w:szCs w:val="24"/>
        </w:rPr>
        <w:t>制定背景</w:t>
      </w:r>
    </w:p>
    <w:p w14:paraId="540950EC">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bidi="ar-SA"/>
        </w:rPr>
        <w:t>肉牛产业是甘肃省张家川回族自治县特色产业之一，张家川红花牛是由西门塔尔、秦川牛和当地黄牛经过40年改良培育出的具有地方特色的杂交肉牛，具有“红白花色、体格高大、耐粗饲”的特点。虽尚未通过新品种审定，但该杂交牛养殖历史悠久、养殖规模较大，是张家川县农牧民增收的重要支柱产业。张家川红花牛于2012年获批国家农产品地理标志，张家川县委、县政府高度重视红花牛产业，将其作为全县经济社会发展和乡村振兴有效衔接的有力抓手，依托资源优势和产业基础，实施畜牧业扩量提质行动，于2019年成功创建了张家川县省级现代农业产业园（肉牛），系列举措有</w:t>
      </w:r>
      <w:r>
        <w:rPr>
          <w:rFonts w:hint="eastAsia" w:ascii="Times New Roman" w:hAnsi="Times New Roman" w:eastAsia="宋体" w:cs="Times New Roman"/>
          <w:kern w:val="0"/>
          <w:sz w:val="24"/>
          <w:szCs w:val="24"/>
          <w:lang w:val="en-US" w:eastAsia="zh-CN" w:bidi="ar-SA"/>
        </w:rPr>
        <w:t>力地</w:t>
      </w:r>
      <w:r>
        <w:rPr>
          <w:rFonts w:hint="default" w:ascii="Times New Roman" w:hAnsi="Times New Roman" w:eastAsia="宋体" w:cs="Times New Roman"/>
          <w:kern w:val="0"/>
          <w:sz w:val="24"/>
          <w:szCs w:val="24"/>
          <w:lang w:val="en-US" w:eastAsia="zh-CN" w:bidi="ar-SA"/>
        </w:rPr>
        <w:t>促进了张家川红花牛产业的发展。</w:t>
      </w:r>
      <w:r>
        <w:rPr>
          <w:rFonts w:hint="default" w:ascii="Times New Roman" w:hAnsi="Times New Roman" w:eastAsia="宋体" w:cs="Times New Roman"/>
          <w:kern w:val="0"/>
          <w:sz w:val="24"/>
          <w:szCs w:val="24"/>
          <w:lang w:val="en-US" w:eastAsia="zh-CN" w:bidi="ar-SA"/>
        </w:rPr>
        <w:br w:type="textWrapping"/>
      </w:r>
      <w:r>
        <w:rPr>
          <w:rFonts w:hint="default" w:ascii="Times New Roman" w:hAnsi="Times New Roman" w:eastAsia="宋体" w:cs="Times New Roman"/>
          <w:kern w:val="0"/>
          <w:sz w:val="24"/>
          <w:szCs w:val="24"/>
          <w:lang w:val="en-US" w:eastAsia="zh-CN" w:bidi="ar-SA"/>
        </w:rPr>
        <w:t xml:space="preserve">   作为地理标志产品，其核心特征在于“品质可溯源、特征可识别”，而品质和特征的稳定性直接依赖于养殖过程的标准化、一致性程度。目前，张家川红花牛产业呈现良好发展势态，随着产业规模持续扩大，产品逐步进入高端市场，消费者对产品质量的稳定性和安全性提出了更高要求。目前，张家川县已制定《红花牛产业质量标准》，明确28项关键指标，但在饲养环节的技术规范仍较为分散，缺乏系统性的团体标准。因此，制定统一的饲养管理技术规范，可以有效促进不同养殖场（户）在饲喂方式、疫病防控、管理手段等方面的协同一致性，提升产品品质的稳定性。此外，团体标准作为市场自主制定的标准，具有响应速度快、适用性强、技术指标可高于国家标准的特点，能够更好地满足张家川红花牛品牌建设和市场细分需求。</w:t>
      </w:r>
    </w:p>
    <w:p w14:paraId="2450C974">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bidi="ar-SA"/>
        </w:rPr>
        <w:t>综上，本项目</w:t>
      </w:r>
      <w:r>
        <w:rPr>
          <w:rFonts w:hint="eastAsia" w:ascii="Times New Roman" w:hAnsi="Times New Roman" w:eastAsia="宋体" w:cs="Times New Roman"/>
          <w:kern w:val="0"/>
          <w:sz w:val="24"/>
          <w:szCs w:val="24"/>
          <w:lang w:val="en-US" w:eastAsia="zh-CN" w:bidi="ar-SA"/>
        </w:rPr>
        <w:t>旨在</w:t>
      </w:r>
      <w:r>
        <w:rPr>
          <w:rFonts w:hint="default" w:ascii="Times New Roman" w:hAnsi="Times New Roman" w:eastAsia="宋体" w:cs="Times New Roman"/>
          <w:kern w:val="0"/>
          <w:sz w:val="24"/>
          <w:szCs w:val="24"/>
          <w:lang w:val="en-US" w:eastAsia="zh-CN" w:bidi="ar-SA"/>
        </w:rPr>
        <w:t>通过制定《张家川红花牛饲养管理技术规范》团体标准，系统梳理和整合张家川红花牛养殖过程中的关键技术要求，形成覆盖红花牛主要养殖环节的系统的饲养管理技术规范，通过标准制定与实施，规范红花牛养殖管理，助推红花牛产业高质量发展，为地理标志产品向高端化、规模化发展提供技术支撑。</w:t>
      </w:r>
    </w:p>
    <w:p w14:paraId="0831BE71">
      <w:pPr>
        <w:widowControl/>
        <w:adjustRightInd w:val="0"/>
        <w:snapToGrid w:val="0"/>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rPr>
        <w:t>中国农业科学院兰州畜牧与兽药研究所牦牛资源与育种创新团队</w:t>
      </w:r>
      <w:r>
        <w:rPr>
          <w:rFonts w:hint="default" w:ascii="Times New Roman" w:hAnsi="Times New Roman" w:cs="Times New Roman"/>
          <w:sz w:val="24"/>
          <w:szCs w:val="24"/>
          <w:lang w:val="en-US" w:eastAsia="zh-CN"/>
        </w:rPr>
        <w:t>致力于牛新品种培育、牦牛种质资源挖掘利用及牦牛提质增效研究领域几十年，团队近几年致力于红花牛群体选育研究，在执行甘肃省科技科技特派团专项“张家川红花肉牛选育改良及提质增效技术集成示范项目”和张家川县揭榜挂帅科技项目“张家川红花牛选育改良及提质增效技术集成示范项目”项目过程中，积累了大量的数据资料。同时团队成员主持制定《牦牛生产性能测定技术规范》（GB/T 43842）、《甘南牦牛》（</w:t>
      </w:r>
      <w:r>
        <w:rPr>
          <w:rFonts w:hint="default" w:ascii="Times New Roman" w:hAnsi="Times New Roman" w:eastAsia="宋体" w:cs="Times New Roman"/>
          <w:kern w:val="0"/>
          <w:sz w:val="24"/>
          <w:szCs w:val="24"/>
          <w:lang w:val="en-US" w:eastAsia="zh-CN"/>
        </w:rPr>
        <w:t>NY/T 2829</w:t>
      </w:r>
      <w:r>
        <w:rPr>
          <w:rFonts w:hint="default" w:ascii="Times New Roman" w:hAnsi="Times New Roman" w:cs="Times New Roman"/>
          <w:sz w:val="24"/>
          <w:szCs w:val="24"/>
          <w:lang w:val="en-US" w:eastAsia="zh-CN"/>
        </w:rPr>
        <w:t>）、《牦牛人工授精技术规程》（</w:t>
      </w:r>
      <w:r>
        <w:rPr>
          <w:rFonts w:hint="default" w:ascii="Times New Roman" w:hAnsi="Times New Roman" w:eastAsia="宋体" w:cs="Times New Roman"/>
          <w:kern w:val="0"/>
          <w:sz w:val="24"/>
          <w:szCs w:val="24"/>
          <w:lang w:val="en-US" w:eastAsia="zh-CN"/>
        </w:rPr>
        <w:t>NY/T 3797</w:t>
      </w:r>
      <w:r>
        <w:rPr>
          <w:rFonts w:hint="default" w:ascii="Times New Roman" w:hAnsi="Times New Roman" w:cs="Times New Roman"/>
          <w:sz w:val="24"/>
          <w:szCs w:val="24"/>
          <w:lang w:val="en-US" w:eastAsia="zh-CN"/>
        </w:rPr>
        <w:t>）、《牦牛冷冻精液生产技术规程》</w:t>
      </w:r>
      <w:r>
        <w:rPr>
          <w:rFonts w:hint="default" w:ascii="Times New Roman" w:hAnsi="Times New Roman" w:eastAsia="宋体" w:cs="Times New Roman"/>
          <w:kern w:val="0"/>
          <w:sz w:val="24"/>
          <w:szCs w:val="24"/>
          <w:lang w:val="en-US" w:eastAsia="zh-CN"/>
        </w:rPr>
        <w:t>（NY/T 3444）</w:t>
      </w:r>
      <w:r>
        <w:rPr>
          <w:rFonts w:hint="default" w:ascii="Times New Roman" w:hAnsi="Times New Roman" w:cs="Times New Roman"/>
          <w:sz w:val="24"/>
          <w:szCs w:val="24"/>
          <w:lang w:val="en-US" w:eastAsia="zh-CN"/>
        </w:rPr>
        <w:t>等国家及农业行业标准十余项。团队于2021-2023年承担全国畜牧业标准化技术委员会牛业及奶业标准化工作组秘书处，在大量标准制定、审核及培训等标准化工作的基础上积累了丰富的标准制定经验，</w:t>
      </w:r>
      <w:r>
        <w:rPr>
          <w:rFonts w:hint="default" w:ascii="Times New Roman" w:hAnsi="Times New Roman" w:cs="Times New Roman"/>
          <w:sz w:val="24"/>
          <w:szCs w:val="24"/>
        </w:rPr>
        <w:t>为制定</w:t>
      </w:r>
      <w:r>
        <w:rPr>
          <w:rFonts w:hint="default" w:ascii="Times New Roman" w:hAnsi="Times New Roman" w:cs="Times New Roman"/>
          <w:sz w:val="24"/>
          <w:szCs w:val="24"/>
          <w:lang w:eastAsia="zh-CN"/>
        </w:rPr>
        <w:t>《</w:t>
      </w:r>
      <w:r>
        <w:rPr>
          <w:rFonts w:hint="default" w:ascii="Times New Roman" w:hAnsi="Times New Roman" w:cs="Times New Roman"/>
          <w:sz w:val="24"/>
          <w:szCs w:val="24"/>
          <w:lang w:val="en-US" w:eastAsia="zh-CN"/>
        </w:rPr>
        <w:t>张家川红花牛饲养管理技术规范</w:t>
      </w:r>
      <w:r>
        <w:rPr>
          <w:rFonts w:hint="default" w:ascii="Times New Roman" w:hAnsi="Times New Roman" w:cs="Times New Roman"/>
          <w:sz w:val="24"/>
          <w:szCs w:val="24"/>
          <w:lang w:eastAsia="zh-CN"/>
        </w:rPr>
        <w:t>》</w:t>
      </w:r>
      <w:r>
        <w:rPr>
          <w:rFonts w:hint="default" w:ascii="Times New Roman" w:hAnsi="Times New Roman" w:cs="Times New Roman"/>
          <w:sz w:val="24"/>
          <w:szCs w:val="24"/>
        </w:rPr>
        <w:t>奠定了坚实的基础</w:t>
      </w:r>
      <w:r>
        <w:rPr>
          <w:rFonts w:hint="default" w:ascii="Times New Roman" w:hAnsi="Times New Roman" w:cs="Times New Roman"/>
          <w:sz w:val="24"/>
          <w:szCs w:val="24"/>
          <w:lang w:val="en-US" w:eastAsia="zh-CN"/>
        </w:rPr>
        <w:t>。</w:t>
      </w:r>
    </w:p>
    <w:p w14:paraId="0C91309C">
      <w:pPr>
        <w:numPr>
          <w:ilvl w:val="0"/>
          <w:numId w:val="4"/>
        </w:numPr>
        <w:adjustRightInd w:val="0"/>
        <w:snapToGrid w:val="0"/>
        <w:spacing w:line="360" w:lineRule="auto"/>
        <w:ind w:left="0" w:leftChars="0" w:firstLine="482" w:firstLineChars="200"/>
        <w:rPr>
          <w:rFonts w:hint="default" w:ascii="Times New Roman" w:hAnsi="Times New Roman" w:cs="Times New Roman"/>
          <w:b/>
          <w:bCs/>
          <w:sz w:val="24"/>
          <w:szCs w:val="24"/>
        </w:rPr>
      </w:pPr>
      <w:r>
        <w:rPr>
          <w:rFonts w:hint="default" w:ascii="Times New Roman" w:hAnsi="Times New Roman" w:cs="Times New Roman"/>
          <w:b/>
          <w:bCs/>
          <w:sz w:val="24"/>
          <w:szCs w:val="24"/>
        </w:rPr>
        <w:t>起草过程</w:t>
      </w:r>
    </w:p>
    <w:p w14:paraId="08F6ADD6">
      <w:pPr>
        <w:adjustRightInd w:val="0"/>
        <w:snapToGrid w:val="0"/>
        <w:spacing w:line="360" w:lineRule="auto"/>
        <w:ind w:firstLine="480"/>
        <w:rPr>
          <w:rFonts w:hint="default" w:ascii="Times New Roman" w:hAnsi="Times New Roman" w:cs="Times New Roman" w:eastAsiaTheme="minorEastAsia"/>
          <w:b/>
          <w:sz w:val="24"/>
          <w:szCs w:val="24"/>
          <w:lang w:val="en-US" w:eastAsia="zh-CN"/>
        </w:rPr>
      </w:pPr>
      <w:r>
        <w:rPr>
          <w:rFonts w:hint="default" w:ascii="Times New Roman" w:hAnsi="Times New Roman" w:cs="Times New Roman"/>
          <w:b/>
          <w:sz w:val="24"/>
          <w:szCs w:val="24"/>
          <w:lang w:eastAsia="zh-CN"/>
        </w:rPr>
        <w:t>（</w:t>
      </w:r>
      <w:r>
        <w:rPr>
          <w:rFonts w:hint="default" w:ascii="Times New Roman" w:hAnsi="Times New Roman" w:cs="Times New Roman"/>
          <w:b/>
          <w:sz w:val="24"/>
          <w:szCs w:val="24"/>
          <w:lang w:val="en-US" w:eastAsia="zh-CN"/>
        </w:rPr>
        <w:t>1</w:t>
      </w:r>
      <w:r>
        <w:rPr>
          <w:rFonts w:hint="default" w:ascii="Times New Roman" w:hAnsi="Times New Roman" w:cs="Times New Roman"/>
          <w:b/>
          <w:sz w:val="24"/>
          <w:szCs w:val="24"/>
          <w:lang w:eastAsia="zh-CN"/>
        </w:rPr>
        <w:t>）</w:t>
      </w:r>
      <w:r>
        <w:rPr>
          <w:rFonts w:hint="default" w:ascii="Times New Roman" w:hAnsi="Times New Roman" w:cs="Times New Roman"/>
          <w:b/>
          <w:sz w:val="24"/>
          <w:szCs w:val="24"/>
          <w:lang w:val="en-US" w:eastAsia="zh-CN"/>
        </w:rPr>
        <w:t>成立标准制定工作组</w:t>
      </w:r>
    </w:p>
    <w:p w14:paraId="39F6F882">
      <w:pPr>
        <w:pStyle w:val="14"/>
        <w:spacing w:line="360" w:lineRule="auto"/>
        <w:ind w:firstLine="420"/>
        <w:rPr>
          <w:rFonts w:hint="default" w:ascii="Times New Roman" w:hAnsi="Times New Roman" w:cs="Times New Roman" w:eastAsiaTheme="minorEastAsia"/>
          <w:kern w:val="2"/>
          <w:sz w:val="24"/>
          <w:szCs w:val="24"/>
          <w:lang w:val="en-US" w:eastAsia="zh-CN" w:bidi="ar-SA"/>
        </w:rPr>
      </w:pPr>
      <w:r>
        <w:rPr>
          <w:rFonts w:hint="eastAsia" w:ascii="Times New Roman" w:hAnsi="Times New Roman" w:cs="Times New Roman" w:eastAsiaTheme="minorEastAsia"/>
          <w:kern w:val="2"/>
          <w:sz w:val="24"/>
          <w:szCs w:val="24"/>
          <w:lang w:val="en-US" w:eastAsia="zh-CN" w:bidi="ar-SA"/>
        </w:rPr>
        <w:t>团体标准《</w:t>
      </w:r>
      <w:r>
        <w:rPr>
          <w:rFonts w:hint="default" w:ascii="Times New Roman" w:hAnsi="Times New Roman" w:eastAsia="宋体" w:cs="Times New Roman"/>
          <w:kern w:val="0"/>
          <w:sz w:val="24"/>
          <w:szCs w:val="24"/>
          <w:lang w:val="en-US" w:eastAsia="zh-CN" w:bidi="ar-SA"/>
        </w:rPr>
        <w:t>张家川红花牛饲养管理技术规范</w:t>
      </w:r>
      <w:r>
        <w:rPr>
          <w:rFonts w:hint="eastAsia" w:ascii="Times New Roman" w:hAnsi="Times New Roman" w:cs="Times New Roman" w:eastAsiaTheme="minorEastAsia"/>
          <w:kern w:val="2"/>
          <w:sz w:val="24"/>
          <w:szCs w:val="24"/>
          <w:lang w:val="en-US" w:eastAsia="zh-CN" w:bidi="ar-SA"/>
        </w:rPr>
        <w:t>》制定工作启动后，</w:t>
      </w:r>
      <w:r>
        <w:rPr>
          <w:rFonts w:hint="default" w:ascii="Times New Roman" w:hAnsi="Times New Roman" w:cs="Times New Roman" w:eastAsiaTheme="minorEastAsia"/>
          <w:kern w:val="2"/>
          <w:sz w:val="24"/>
          <w:szCs w:val="24"/>
          <w:lang w:val="en-US" w:eastAsia="zh-CN" w:bidi="ar-SA"/>
        </w:rPr>
        <w:t>，制标单位于202</w:t>
      </w:r>
      <w:r>
        <w:rPr>
          <w:rFonts w:hint="eastAsia" w:ascii="Times New Roman" w:hAnsi="Times New Roman" w:cs="Times New Roman" w:eastAsiaTheme="minorEastAsia"/>
          <w:kern w:val="2"/>
          <w:sz w:val="24"/>
          <w:szCs w:val="24"/>
          <w:lang w:val="en-US" w:eastAsia="zh-CN" w:bidi="ar-SA"/>
        </w:rPr>
        <w:t>5</w:t>
      </w:r>
      <w:r>
        <w:rPr>
          <w:rFonts w:hint="default" w:ascii="Times New Roman" w:hAnsi="Times New Roman" w:cs="Times New Roman" w:eastAsiaTheme="minorEastAsia"/>
          <w:kern w:val="2"/>
          <w:sz w:val="24"/>
          <w:szCs w:val="24"/>
          <w:lang w:val="en-US" w:eastAsia="zh-CN" w:bidi="ar-SA"/>
        </w:rPr>
        <w:t>年</w:t>
      </w:r>
      <w:r>
        <w:rPr>
          <w:rFonts w:hint="eastAsia" w:ascii="Times New Roman" w:hAnsi="Times New Roman" w:cs="Times New Roman" w:eastAsiaTheme="minorEastAsia"/>
          <w:kern w:val="2"/>
          <w:sz w:val="24"/>
          <w:szCs w:val="24"/>
          <w:lang w:val="en-US" w:eastAsia="zh-CN" w:bidi="ar-SA"/>
        </w:rPr>
        <w:t>12</w:t>
      </w:r>
      <w:r>
        <w:rPr>
          <w:rFonts w:hint="default" w:ascii="Times New Roman" w:hAnsi="Times New Roman" w:cs="Times New Roman" w:eastAsiaTheme="minorEastAsia"/>
          <w:kern w:val="2"/>
          <w:sz w:val="24"/>
          <w:szCs w:val="24"/>
          <w:lang w:val="en-US" w:eastAsia="zh-CN" w:bidi="ar-SA"/>
        </w:rPr>
        <w:t>月成立了标准起草小组，成员包括褚敏、梁春年、杨来康、杨孝军、张少华、喇永富、马晓明、包鹏甲、贠秀君、马利军、马艳萍。标准起草小组围绕《张家川红花牛饲养管理技术规范》的撰写制定了详细的实施方案和技术路线，通过查阅资料、实地调研确定文本内容。本标准由中国农业科学院兰州畜牧与兽药研究所牵头撰写，由张家川回族自治县畜牧工作站、张家川回族自治县畜牧兽医事务服务中心、中国农业科学院兰州兽医研究所协作撰写。标准起草小组人员分工如表1所示。</w:t>
      </w:r>
    </w:p>
    <w:p w14:paraId="17D1EF27">
      <w:pPr>
        <w:pStyle w:val="14"/>
        <w:spacing w:line="360" w:lineRule="auto"/>
        <w:ind w:firstLine="420"/>
        <w:rPr>
          <w:rFonts w:hint="default" w:ascii="Times New Roman" w:hAnsi="Times New Roman" w:eastAsia="宋体" w:cs="Times New Roman"/>
          <w:kern w:val="0"/>
          <w:sz w:val="24"/>
          <w:szCs w:val="24"/>
        </w:rPr>
      </w:pPr>
    </w:p>
    <w:p w14:paraId="6E9F1FDE">
      <w:pPr>
        <w:pStyle w:val="14"/>
        <w:spacing w:line="360" w:lineRule="auto"/>
        <w:ind w:firstLine="420"/>
        <w:rPr>
          <w:rFonts w:hint="default" w:ascii="Times New Roman" w:hAnsi="Times New Roman" w:eastAsia="宋体" w:cs="Times New Roman"/>
          <w:kern w:val="0"/>
          <w:sz w:val="24"/>
          <w:szCs w:val="24"/>
        </w:rPr>
      </w:pPr>
    </w:p>
    <w:p w14:paraId="4755D091">
      <w:pPr>
        <w:pStyle w:val="14"/>
        <w:spacing w:line="360" w:lineRule="auto"/>
        <w:ind w:firstLine="420"/>
        <w:rPr>
          <w:rFonts w:hint="default" w:ascii="Times New Roman" w:hAnsi="Times New Roman" w:eastAsia="宋体" w:cs="Times New Roman"/>
          <w:kern w:val="0"/>
          <w:sz w:val="24"/>
          <w:szCs w:val="24"/>
        </w:rPr>
      </w:pPr>
    </w:p>
    <w:p w14:paraId="157DCC32">
      <w:pPr>
        <w:pStyle w:val="14"/>
        <w:spacing w:line="360" w:lineRule="auto"/>
        <w:ind w:firstLine="420"/>
        <w:jc w:val="center"/>
        <w:rPr>
          <w:rFonts w:hint="default" w:ascii="Times New Roman" w:hAnsi="Times New Roman" w:cs="Times New Roman"/>
          <w:sz w:val="24"/>
          <w:szCs w:val="24"/>
          <w:lang w:val="en-US" w:eastAsia="zh-CN"/>
        </w:rPr>
      </w:pPr>
      <w:r>
        <w:rPr>
          <w:rFonts w:hint="default" w:ascii="Times New Roman" w:hAnsi="Times New Roman" w:cs="Times New Roman"/>
          <w:b/>
          <w:bCs/>
          <w:sz w:val="24"/>
          <w:szCs w:val="24"/>
          <w:lang w:val="en-US" w:eastAsia="zh-CN"/>
        </w:rPr>
        <w:t>表1 标准起草主要人员及分工</w:t>
      </w:r>
    </w:p>
    <w:tbl>
      <w:tblPr>
        <w:tblStyle w:val="8"/>
        <w:tblW w:w="87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22"/>
        <w:gridCol w:w="3827"/>
        <w:gridCol w:w="1772"/>
        <w:gridCol w:w="2160"/>
      </w:tblGrid>
      <w:tr w14:paraId="0F32D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5" w:hRule="atLeast"/>
          <w:jc w:val="center"/>
        </w:trPr>
        <w:tc>
          <w:tcPr>
            <w:tcW w:w="1022" w:type="dxa"/>
            <w:shd w:val="clear" w:color="auto" w:fill="auto"/>
            <w:vAlign w:val="center"/>
          </w:tcPr>
          <w:p w14:paraId="1E4B6631">
            <w:pPr>
              <w:adjustRightInd w:val="0"/>
              <w:snapToGrid w:val="0"/>
              <w:spacing w:line="48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姓名</w:t>
            </w:r>
          </w:p>
        </w:tc>
        <w:tc>
          <w:tcPr>
            <w:tcW w:w="3827" w:type="dxa"/>
            <w:shd w:val="clear" w:color="auto" w:fill="auto"/>
            <w:vAlign w:val="center"/>
          </w:tcPr>
          <w:p w14:paraId="04C8308B">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单位</w:t>
            </w:r>
          </w:p>
        </w:tc>
        <w:tc>
          <w:tcPr>
            <w:tcW w:w="1772" w:type="dxa"/>
            <w:shd w:val="clear" w:color="auto" w:fill="auto"/>
            <w:vAlign w:val="center"/>
          </w:tcPr>
          <w:p w14:paraId="68BF2F32">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kern w:val="2"/>
                <w:sz w:val="21"/>
                <w:szCs w:val="21"/>
                <w:lang w:val="en-US" w:eastAsia="zh-CN" w:bidi="ar-SA"/>
              </w:rPr>
              <w:t>职务/职称</w:t>
            </w:r>
          </w:p>
        </w:tc>
        <w:tc>
          <w:tcPr>
            <w:tcW w:w="2160" w:type="dxa"/>
            <w:shd w:val="clear" w:color="auto" w:fill="auto"/>
            <w:vAlign w:val="center"/>
          </w:tcPr>
          <w:p w14:paraId="71DD6D30">
            <w:pPr>
              <w:adjustRightInd w:val="0"/>
              <w:snapToGrid w:val="0"/>
              <w:spacing w:line="240" w:lineRule="auto"/>
              <w:ind w:right="28" w:rightChars="0"/>
              <w:jc w:val="center"/>
              <w:rPr>
                <w:rFonts w:hint="default" w:ascii="Times New Roman" w:hAnsi="Times New Roman" w:cs="Times New Roman"/>
                <w:b w:val="0"/>
                <w:bCs/>
                <w:kern w:val="2"/>
                <w:sz w:val="21"/>
                <w:szCs w:val="21"/>
                <w:lang w:val="en-US" w:eastAsia="zh-CN" w:bidi="ar-SA"/>
              </w:rPr>
            </w:pPr>
            <w:r>
              <w:rPr>
                <w:rFonts w:hint="default" w:ascii="Times New Roman" w:hAnsi="Times New Roman" w:cs="Times New Roman"/>
                <w:b w:val="0"/>
                <w:bCs/>
                <w:kern w:val="2"/>
                <w:sz w:val="21"/>
                <w:szCs w:val="21"/>
                <w:lang w:val="en-US" w:eastAsia="zh-CN" w:bidi="ar-SA"/>
              </w:rPr>
              <w:t>分工</w:t>
            </w:r>
          </w:p>
        </w:tc>
      </w:tr>
      <w:tr w14:paraId="7039C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5" w:hRule="atLeast"/>
          <w:jc w:val="center"/>
        </w:trPr>
        <w:tc>
          <w:tcPr>
            <w:tcW w:w="1022" w:type="dxa"/>
            <w:shd w:val="clear" w:color="auto" w:fill="auto"/>
            <w:vAlign w:val="center"/>
          </w:tcPr>
          <w:p w14:paraId="2FC36D93">
            <w:pPr>
              <w:adjustRightInd w:val="0"/>
              <w:snapToGrid w:val="0"/>
              <w:spacing w:line="48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褚敏</w:t>
            </w:r>
          </w:p>
        </w:tc>
        <w:tc>
          <w:tcPr>
            <w:tcW w:w="3827" w:type="dxa"/>
            <w:shd w:val="clear" w:color="auto" w:fill="auto"/>
            <w:vAlign w:val="center"/>
          </w:tcPr>
          <w:p w14:paraId="60F53244">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中国农业科学院兰州畜牧与兽药研究所</w:t>
            </w:r>
          </w:p>
        </w:tc>
        <w:tc>
          <w:tcPr>
            <w:tcW w:w="1772" w:type="dxa"/>
            <w:shd w:val="clear" w:color="auto" w:fill="auto"/>
            <w:vAlign w:val="center"/>
          </w:tcPr>
          <w:p w14:paraId="536E31EA">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副研究员</w:t>
            </w:r>
          </w:p>
        </w:tc>
        <w:tc>
          <w:tcPr>
            <w:tcW w:w="2160" w:type="dxa"/>
            <w:shd w:val="clear" w:color="auto" w:fill="auto"/>
            <w:vAlign w:val="center"/>
          </w:tcPr>
          <w:p w14:paraId="3703D45B">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项目负责人</w:t>
            </w:r>
          </w:p>
        </w:tc>
      </w:tr>
      <w:tr w14:paraId="02311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05304FAB">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梁春年</w:t>
            </w:r>
          </w:p>
        </w:tc>
        <w:tc>
          <w:tcPr>
            <w:tcW w:w="3827" w:type="dxa"/>
            <w:shd w:val="clear" w:color="auto" w:fill="auto"/>
            <w:vAlign w:val="center"/>
          </w:tcPr>
          <w:p w14:paraId="7C3AC51D">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中国农业科学院兰州畜牧与兽药研究所</w:t>
            </w:r>
          </w:p>
        </w:tc>
        <w:tc>
          <w:tcPr>
            <w:tcW w:w="1772" w:type="dxa"/>
            <w:shd w:val="clear" w:color="auto" w:fill="auto"/>
            <w:vAlign w:val="center"/>
          </w:tcPr>
          <w:p w14:paraId="0DB14C5B">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主任/研究员</w:t>
            </w:r>
          </w:p>
        </w:tc>
        <w:tc>
          <w:tcPr>
            <w:tcW w:w="2160" w:type="dxa"/>
            <w:shd w:val="clear" w:color="auto" w:fill="auto"/>
            <w:vAlign w:val="center"/>
          </w:tcPr>
          <w:p w14:paraId="2756FEFF">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rPr>
              <w:t>组织实施标准制定</w:t>
            </w:r>
          </w:p>
        </w:tc>
      </w:tr>
      <w:tr w14:paraId="703B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610016A1">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lang w:eastAsia="zh-CN"/>
              </w:rPr>
              <w:t>杨来康</w:t>
            </w:r>
          </w:p>
        </w:tc>
        <w:tc>
          <w:tcPr>
            <w:tcW w:w="3827" w:type="dxa"/>
            <w:shd w:val="clear" w:color="auto" w:fill="auto"/>
            <w:vAlign w:val="center"/>
          </w:tcPr>
          <w:p w14:paraId="2DD2BBA7">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lang w:eastAsia="zh-CN"/>
              </w:rPr>
              <w:t>张家川回族自治县</w:t>
            </w:r>
            <w:r>
              <w:rPr>
                <w:rFonts w:hint="default" w:ascii="Times New Roman" w:hAnsi="Times New Roman" w:cs="Times New Roman"/>
              </w:rPr>
              <w:t>畜牧工作站</w:t>
            </w:r>
          </w:p>
        </w:tc>
        <w:tc>
          <w:tcPr>
            <w:tcW w:w="1772" w:type="dxa"/>
            <w:shd w:val="clear" w:color="auto" w:fill="auto"/>
            <w:vAlign w:val="center"/>
          </w:tcPr>
          <w:p w14:paraId="62EA5D36">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站长/畜牧师</w:t>
            </w:r>
          </w:p>
        </w:tc>
        <w:tc>
          <w:tcPr>
            <w:tcW w:w="2160" w:type="dxa"/>
            <w:shd w:val="clear" w:color="auto" w:fill="auto"/>
            <w:vAlign w:val="center"/>
          </w:tcPr>
          <w:p w14:paraId="01A6A2AA">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资料收集</w:t>
            </w:r>
          </w:p>
        </w:tc>
      </w:tr>
      <w:tr w14:paraId="25213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6A52F1A3">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杨孝君</w:t>
            </w:r>
          </w:p>
        </w:tc>
        <w:tc>
          <w:tcPr>
            <w:tcW w:w="3827" w:type="dxa"/>
            <w:shd w:val="clear" w:color="auto" w:fill="auto"/>
            <w:vAlign w:val="center"/>
          </w:tcPr>
          <w:p w14:paraId="3DADE434">
            <w:pPr>
              <w:adjustRightInd w:val="0"/>
              <w:snapToGrid w:val="0"/>
              <w:spacing w:line="240" w:lineRule="auto"/>
              <w:ind w:right="28"/>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张家川回族自治县畜牧兽医事务</w:t>
            </w:r>
          </w:p>
          <w:p w14:paraId="567B01E3">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服务中心</w:t>
            </w:r>
          </w:p>
        </w:tc>
        <w:tc>
          <w:tcPr>
            <w:tcW w:w="1772" w:type="dxa"/>
            <w:shd w:val="clear" w:color="auto" w:fill="auto"/>
            <w:vAlign w:val="center"/>
          </w:tcPr>
          <w:p w14:paraId="092E4E68">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主任</w:t>
            </w:r>
          </w:p>
        </w:tc>
        <w:tc>
          <w:tcPr>
            <w:tcW w:w="2160" w:type="dxa"/>
            <w:shd w:val="clear" w:color="auto" w:fill="auto"/>
            <w:vAlign w:val="center"/>
          </w:tcPr>
          <w:p w14:paraId="12BF3352">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资料收集</w:t>
            </w:r>
          </w:p>
        </w:tc>
      </w:tr>
      <w:tr w14:paraId="59D18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3B368473">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kern w:val="2"/>
                <w:sz w:val="21"/>
                <w:szCs w:val="21"/>
                <w:lang w:val="en-US" w:eastAsia="zh-CN" w:bidi="ar-SA"/>
              </w:rPr>
              <w:t>张少华</w:t>
            </w:r>
          </w:p>
        </w:tc>
        <w:tc>
          <w:tcPr>
            <w:tcW w:w="3827" w:type="dxa"/>
            <w:shd w:val="clear" w:color="auto" w:fill="auto"/>
            <w:vAlign w:val="center"/>
          </w:tcPr>
          <w:p w14:paraId="03D1DE3C">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中国农业科学院兰州兽医研究所</w:t>
            </w:r>
          </w:p>
        </w:tc>
        <w:tc>
          <w:tcPr>
            <w:tcW w:w="1772" w:type="dxa"/>
            <w:shd w:val="clear" w:color="auto" w:fill="auto"/>
            <w:vAlign w:val="center"/>
          </w:tcPr>
          <w:p w14:paraId="51AE7D11">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副研究员</w:t>
            </w:r>
          </w:p>
        </w:tc>
        <w:tc>
          <w:tcPr>
            <w:tcW w:w="2160" w:type="dxa"/>
            <w:shd w:val="clear" w:color="auto" w:fill="auto"/>
            <w:vAlign w:val="center"/>
          </w:tcPr>
          <w:p w14:paraId="5E020F25">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标准文本撰写</w:t>
            </w:r>
          </w:p>
        </w:tc>
      </w:tr>
      <w:tr w14:paraId="78181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5581527F">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喇永富</w:t>
            </w:r>
          </w:p>
        </w:tc>
        <w:tc>
          <w:tcPr>
            <w:tcW w:w="3827" w:type="dxa"/>
            <w:shd w:val="clear" w:color="auto" w:fill="auto"/>
            <w:vAlign w:val="center"/>
          </w:tcPr>
          <w:p w14:paraId="376AE840">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中国农业科学院兰州畜牧与兽药研究所</w:t>
            </w:r>
          </w:p>
        </w:tc>
        <w:tc>
          <w:tcPr>
            <w:tcW w:w="1772" w:type="dxa"/>
            <w:shd w:val="clear" w:color="auto" w:fill="auto"/>
            <w:vAlign w:val="center"/>
          </w:tcPr>
          <w:p w14:paraId="45434FF8">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助理研究员</w:t>
            </w:r>
          </w:p>
        </w:tc>
        <w:tc>
          <w:tcPr>
            <w:tcW w:w="2160" w:type="dxa"/>
            <w:shd w:val="clear" w:color="auto" w:fill="auto"/>
            <w:vAlign w:val="center"/>
          </w:tcPr>
          <w:p w14:paraId="3AD2DCA6">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标准文本撰写</w:t>
            </w:r>
          </w:p>
        </w:tc>
      </w:tr>
      <w:tr w14:paraId="387D1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0BC999A8">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kern w:val="2"/>
                <w:sz w:val="21"/>
                <w:szCs w:val="21"/>
                <w:lang w:val="en-US" w:eastAsia="zh-CN" w:bidi="ar-SA"/>
              </w:rPr>
              <w:t>马晓明</w:t>
            </w:r>
          </w:p>
        </w:tc>
        <w:tc>
          <w:tcPr>
            <w:tcW w:w="3827" w:type="dxa"/>
            <w:shd w:val="clear" w:color="auto" w:fill="auto"/>
            <w:vAlign w:val="center"/>
          </w:tcPr>
          <w:p w14:paraId="2870644C">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中国农业科学院兰州畜牧与兽药研究所</w:t>
            </w:r>
          </w:p>
        </w:tc>
        <w:tc>
          <w:tcPr>
            <w:tcW w:w="1772" w:type="dxa"/>
            <w:shd w:val="clear" w:color="auto" w:fill="auto"/>
            <w:vAlign w:val="center"/>
          </w:tcPr>
          <w:p w14:paraId="0DCC84CD">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副研究员</w:t>
            </w:r>
          </w:p>
        </w:tc>
        <w:tc>
          <w:tcPr>
            <w:tcW w:w="2160" w:type="dxa"/>
            <w:shd w:val="clear" w:color="auto" w:fill="auto"/>
            <w:vAlign w:val="center"/>
          </w:tcPr>
          <w:p w14:paraId="093BAEF7">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标准文本撰写</w:t>
            </w:r>
          </w:p>
        </w:tc>
      </w:tr>
      <w:tr w14:paraId="3BF53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1C89A097">
            <w:pPr>
              <w:adjustRightInd w:val="0"/>
              <w:snapToGrid w:val="0"/>
              <w:spacing w:line="48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kern w:val="2"/>
                <w:sz w:val="21"/>
                <w:szCs w:val="21"/>
                <w:lang w:val="en-US" w:eastAsia="zh-CN" w:bidi="ar-SA"/>
              </w:rPr>
              <w:t>包鹏甲</w:t>
            </w:r>
          </w:p>
        </w:tc>
        <w:tc>
          <w:tcPr>
            <w:tcW w:w="3827" w:type="dxa"/>
            <w:shd w:val="clear" w:color="auto" w:fill="auto"/>
            <w:vAlign w:val="center"/>
          </w:tcPr>
          <w:p w14:paraId="79CD8788">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中国农业科学院兰州畜牧与兽药研究所</w:t>
            </w:r>
          </w:p>
        </w:tc>
        <w:tc>
          <w:tcPr>
            <w:tcW w:w="1772" w:type="dxa"/>
            <w:shd w:val="clear" w:color="auto" w:fill="auto"/>
            <w:vAlign w:val="center"/>
          </w:tcPr>
          <w:p w14:paraId="63AE3F17">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副研究员</w:t>
            </w:r>
          </w:p>
        </w:tc>
        <w:tc>
          <w:tcPr>
            <w:tcW w:w="2160" w:type="dxa"/>
            <w:shd w:val="clear" w:color="auto" w:fill="auto"/>
            <w:vAlign w:val="center"/>
          </w:tcPr>
          <w:p w14:paraId="403259A5">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标准文本撰写</w:t>
            </w:r>
          </w:p>
        </w:tc>
      </w:tr>
      <w:tr w14:paraId="32785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5EF50284">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贠秀君</w:t>
            </w:r>
          </w:p>
        </w:tc>
        <w:tc>
          <w:tcPr>
            <w:tcW w:w="3827" w:type="dxa"/>
            <w:shd w:val="clear" w:color="auto" w:fill="auto"/>
            <w:vAlign w:val="center"/>
          </w:tcPr>
          <w:p w14:paraId="396869A6">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张家川畜牧技术推广站</w:t>
            </w:r>
          </w:p>
        </w:tc>
        <w:tc>
          <w:tcPr>
            <w:tcW w:w="1772" w:type="dxa"/>
            <w:shd w:val="clear" w:color="auto" w:fill="auto"/>
            <w:vAlign w:val="center"/>
          </w:tcPr>
          <w:p w14:paraId="3A1C1C9B">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高级畜牧师</w:t>
            </w:r>
          </w:p>
        </w:tc>
        <w:tc>
          <w:tcPr>
            <w:tcW w:w="2160" w:type="dxa"/>
            <w:shd w:val="clear" w:color="auto" w:fill="auto"/>
            <w:vAlign w:val="center"/>
          </w:tcPr>
          <w:p w14:paraId="3C2D87C5">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资料收集</w:t>
            </w:r>
          </w:p>
        </w:tc>
      </w:tr>
      <w:tr w14:paraId="0C088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5C73BF3D">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马利军</w:t>
            </w:r>
          </w:p>
        </w:tc>
        <w:tc>
          <w:tcPr>
            <w:tcW w:w="3827" w:type="dxa"/>
            <w:shd w:val="clear" w:color="auto" w:fill="auto"/>
            <w:vAlign w:val="center"/>
          </w:tcPr>
          <w:p w14:paraId="72D0D019">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张家川畜牧技术推广站</w:t>
            </w:r>
          </w:p>
        </w:tc>
        <w:tc>
          <w:tcPr>
            <w:tcW w:w="1772" w:type="dxa"/>
            <w:shd w:val="clear" w:color="auto" w:fill="auto"/>
            <w:vAlign w:val="center"/>
          </w:tcPr>
          <w:p w14:paraId="46905B25">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高级畜牧师</w:t>
            </w:r>
          </w:p>
        </w:tc>
        <w:tc>
          <w:tcPr>
            <w:tcW w:w="2160" w:type="dxa"/>
            <w:shd w:val="clear" w:color="auto" w:fill="auto"/>
            <w:vAlign w:val="center"/>
          </w:tcPr>
          <w:p w14:paraId="119FD311">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资料收集</w:t>
            </w:r>
          </w:p>
        </w:tc>
      </w:tr>
      <w:tr w14:paraId="60272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atLeast"/>
          <w:jc w:val="center"/>
        </w:trPr>
        <w:tc>
          <w:tcPr>
            <w:tcW w:w="1022" w:type="dxa"/>
            <w:shd w:val="clear" w:color="auto" w:fill="auto"/>
            <w:vAlign w:val="center"/>
          </w:tcPr>
          <w:p w14:paraId="5E73676A">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kern w:val="2"/>
                <w:sz w:val="21"/>
                <w:szCs w:val="21"/>
                <w:lang w:val="en-US" w:eastAsia="zh-CN" w:bidi="ar-SA"/>
              </w:rPr>
              <w:t>马艳萍</w:t>
            </w:r>
          </w:p>
        </w:tc>
        <w:tc>
          <w:tcPr>
            <w:tcW w:w="3827" w:type="dxa"/>
            <w:shd w:val="clear" w:color="auto" w:fill="auto"/>
            <w:vAlign w:val="center"/>
          </w:tcPr>
          <w:p w14:paraId="0838ACE9">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张家川畜牧技术推广站</w:t>
            </w:r>
          </w:p>
        </w:tc>
        <w:tc>
          <w:tcPr>
            <w:tcW w:w="1772" w:type="dxa"/>
            <w:shd w:val="clear" w:color="auto" w:fill="auto"/>
            <w:vAlign w:val="center"/>
          </w:tcPr>
          <w:p w14:paraId="5001C7FC">
            <w:pPr>
              <w:adjustRightInd w:val="0"/>
              <w:snapToGrid w:val="0"/>
              <w:spacing w:line="240" w:lineRule="auto"/>
              <w:ind w:right="28" w:rightChars="0"/>
              <w:jc w:val="center"/>
              <w:rPr>
                <w:rFonts w:hint="default" w:ascii="Times New Roman" w:hAnsi="Times New Roman" w:cs="Times New Roman" w:eastAsiaTheme="minorEastAsia"/>
                <w:b w:val="0"/>
                <w:bCs/>
                <w:kern w:val="2"/>
                <w:sz w:val="21"/>
                <w:szCs w:val="21"/>
                <w:lang w:val="en-US" w:eastAsia="zh-CN" w:bidi="ar-SA"/>
              </w:rPr>
            </w:pPr>
            <w:r>
              <w:rPr>
                <w:rFonts w:hint="default" w:ascii="Times New Roman" w:hAnsi="Times New Roman" w:cs="Times New Roman"/>
                <w:b w:val="0"/>
                <w:bCs/>
                <w:szCs w:val="21"/>
                <w:lang w:val="en-US" w:eastAsia="zh-CN"/>
              </w:rPr>
              <w:t>高级畜牧师</w:t>
            </w:r>
          </w:p>
        </w:tc>
        <w:tc>
          <w:tcPr>
            <w:tcW w:w="2160" w:type="dxa"/>
            <w:shd w:val="clear" w:color="auto" w:fill="auto"/>
            <w:vAlign w:val="center"/>
          </w:tcPr>
          <w:p w14:paraId="34CAB14E">
            <w:pPr>
              <w:adjustRightInd w:val="0"/>
              <w:snapToGrid w:val="0"/>
              <w:spacing w:line="240" w:lineRule="auto"/>
              <w:ind w:right="28" w:rightChars="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资料收集</w:t>
            </w:r>
          </w:p>
        </w:tc>
      </w:tr>
    </w:tbl>
    <w:p w14:paraId="0D88FB26">
      <w:pPr>
        <w:pStyle w:val="14"/>
        <w:spacing w:line="360" w:lineRule="auto"/>
        <w:ind w:left="0" w:leftChars="0" w:firstLine="0" w:firstLineChars="0"/>
        <w:rPr>
          <w:rFonts w:hint="default" w:ascii="Times New Roman" w:hAnsi="Times New Roman" w:eastAsia="宋体" w:cs="Times New Roman"/>
          <w:kern w:val="0"/>
          <w:sz w:val="24"/>
          <w:szCs w:val="24"/>
        </w:rPr>
      </w:pPr>
    </w:p>
    <w:p w14:paraId="4DF5AD5F">
      <w:pPr>
        <w:numPr>
          <w:ilvl w:val="0"/>
          <w:numId w:val="0"/>
        </w:numPr>
        <w:adjustRightInd w:val="0"/>
        <w:snapToGrid w:val="0"/>
        <w:spacing w:line="360" w:lineRule="auto"/>
        <w:ind w:left="420" w:leftChars="0"/>
        <w:rPr>
          <w:rFonts w:hint="default" w:ascii="Times New Roman" w:hAnsi="Times New Roman" w:cs="Times New Roman"/>
          <w:b/>
          <w:sz w:val="24"/>
          <w:szCs w:val="24"/>
          <w:lang w:val="en-US" w:eastAsia="zh-CN"/>
        </w:rPr>
      </w:pPr>
      <w:r>
        <w:rPr>
          <w:rFonts w:hint="default" w:ascii="Times New Roman" w:hAnsi="Times New Roman" w:cs="Times New Roman"/>
          <w:b/>
          <w:sz w:val="24"/>
          <w:szCs w:val="24"/>
          <w:lang w:val="en-US" w:eastAsia="zh-CN"/>
        </w:rPr>
        <w:t>（2）文献搜集与整理</w:t>
      </w:r>
    </w:p>
    <w:p w14:paraId="35BD2A4A">
      <w:p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rPr>
        <w:t>202</w:t>
      </w:r>
      <w:r>
        <w:rPr>
          <w:rFonts w:hint="default" w:ascii="Times New Roman" w:hAnsi="Times New Roman" w:eastAsia="宋体" w:cs="Times New Roman"/>
          <w:kern w:val="0"/>
          <w:sz w:val="24"/>
          <w:szCs w:val="24"/>
          <w:lang w:val="en-US" w:eastAsia="zh-CN"/>
        </w:rPr>
        <w:t>6</w:t>
      </w:r>
      <w:r>
        <w:rPr>
          <w:rFonts w:hint="default" w:ascii="Times New Roman" w:hAnsi="Times New Roman" w:eastAsia="宋体" w:cs="Times New Roman"/>
          <w:kern w:val="0"/>
          <w:sz w:val="24"/>
          <w:szCs w:val="24"/>
        </w:rPr>
        <w:t>年</w:t>
      </w:r>
      <w:r>
        <w:rPr>
          <w:rFonts w:hint="default" w:ascii="Times New Roman" w:hAnsi="Times New Roman" w:eastAsia="宋体" w:cs="Times New Roman"/>
          <w:kern w:val="0"/>
          <w:sz w:val="24"/>
          <w:szCs w:val="24"/>
          <w:lang w:val="en-US" w:eastAsia="zh-CN"/>
        </w:rPr>
        <w:t>1</w:t>
      </w:r>
      <w:r>
        <w:rPr>
          <w:rFonts w:hint="default" w:ascii="Times New Roman" w:hAnsi="Times New Roman" w:eastAsia="宋体" w:cs="Times New Roman"/>
          <w:kern w:val="0"/>
          <w:sz w:val="24"/>
          <w:szCs w:val="24"/>
        </w:rPr>
        <w:t>月到</w:t>
      </w:r>
      <w:r>
        <w:rPr>
          <w:rFonts w:hint="default" w:ascii="Times New Roman" w:hAnsi="Times New Roman" w:eastAsia="宋体" w:cs="Times New Roman"/>
          <w:kern w:val="0"/>
          <w:sz w:val="24"/>
          <w:szCs w:val="24"/>
          <w:lang w:val="en-US" w:eastAsia="zh-CN"/>
        </w:rPr>
        <w:t>4</w:t>
      </w:r>
      <w:r>
        <w:rPr>
          <w:rFonts w:hint="default" w:ascii="Times New Roman" w:hAnsi="Times New Roman" w:eastAsia="宋体" w:cs="Times New Roman"/>
          <w:kern w:val="0"/>
          <w:sz w:val="24"/>
          <w:szCs w:val="24"/>
        </w:rPr>
        <w:t>月，对</w:t>
      </w:r>
      <w:r>
        <w:rPr>
          <w:rFonts w:hint="default" w:ascii="Times New Roman" w:hAnsi="Times New Roman" w:eastAsia="宋体" w:cs="Times New Roman"/>
          <w:kern w:val="0"/>
          <w:sz w:val="24"/>
          <w:szCs w:val="24"/>
          <w:lang w:val="en-US" w:eastAsia="zh-CN"/>
        </w:rPr>
        <w:t>与张家川红花牛相关的文献进行检索，并整理肉牛饲养管理领域</w:t>
      </w:r>
      <w:r>
        <w:rPr>
          <w:rFonts w:hint="default" w:ascii="Times New Roman" w:hAnsi="Times New Roman" w:eastAsia="宋体" w:cs="Times New Roman"/>
          <w:kern w:val="0"/>
          <w:sz w:val="24"/>
          <w:szCs w:val="24"/>
        </w:rPr>
        <w:t>相关标准和文献进行检索，收集到如下标准、</w:t>
      </w:r>
      <w:r>
        <w:rPr>
          <w:rFonts w:hint="default" w:ascii="Times New Roman" w:hAnsi="Times New Roman" w:eastAsia="宋体" w:cs="Times New Roman"/>
          <w:kern w:val="0"/>
          <w:sz w:val="24"/>
          <w:szCs w:val="24"/>
          <w:lang w:val="en-US" w:eastAsia="zh-CN"/>
        </w:rPr>
        <w:t>文献</w:t>
      </w:r>
      <w:r>
        <w:rPr>
          <w:rFonts w:hint="default" w:ascii="Times New Roman" w:hAnsi="Times New Roman" w:eastAsia="宋体" w:cs="Times New Roman"/>
          <w:kern w:val="0"/>
          <w:sz w:val="24"/>
          <w:szCs w:val="24"/>
        </w:rPr>
        <w:t>，为标准起草提供了参考。</w:t>
      </w:r>
    </w:p>
    <w:p w14:paraId="39E8388D">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GB 13078 饲料卫生标准</w:t>
      </w:r>
    </w:p>
    <w:p w14:paraId="237EFB24">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GB 18596 畜禽养殖业污染物排放标准</w:t>
      </w:r>
    </w:p>
    <w:p w14:paraId="73E21F84">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GB/T 36195 畜禽粪便无害化处理技术规范</w:t>
      </w:r>
    </w:p>
    <w:p w14:paraId="4CA17AB9">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388 畜禽场环境质量标准</w:t>
      </w:r>
    </w:p>
    <w:p w14:paraId="099E9D8E">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391 绿色食品  产地环境质量</w:t>
      </w:r>
    </w:p>
    <w:p w14:paraId="2DCC5E3E">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393 绿色食品  农药使用准则</w:t>
      </w:r>
    </w:p>
    <w:p w14:paraId="4E0E4116">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472  绿色食品  兽药使用准则</w:t>
      </w:r>
    </w:p>
    <w:p w14:paraId="23A8288C">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473 绿色食品 畜禽卫生防疫准则</w:t>
      </w:r>
    </w:p>
    <w:p w14:paraId="3E5261D8">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815 肉牛饲养标准</w:t>
      </w:r>
    </w:p>
    <w:p w14:paraId="5D766E14">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NY/T 1339 肉牛育肥良好管理规范</w:t>
      </w:r>
    </w:p>
    <w:p w14:paraId="79CE140F">
      <w:pPr>
        <w:numPr>
          <w:ilvl w:val="0"/>
          <w:numId w:val="5"/>
        </w:numPr>
        <w:spacing w:line="360" w:lineRule="auto"/>
        <w:ind w:left="0" w:leftChars="0"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NY 5126 无公害食品 肉牛饲养兽医防疫准则</w:t>
      </w:r>
    </w:p>
    <w:p w14:paraId="3DA2FD4A">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12.张志龙. 张家川回族自治县红花牛的发展现状与前景分析[J]. 畜牧业环境, 2025, (05): 154-155.</w:t>
      </w:r>
    </w:p>
    <w:p w14:paraId="4DA86A3F">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13.贠秀君, 惠继龙, 杨来康, 马鹏, 高伟, 李小军. 张家川红花牛哺乳母犊早期补饲效果研究[J]. 中国牛业科学, 2026, 52 (02): 21-26.</w:t>
      </w:r>
    </w:p>
    <w:p w14:paraId="4F648CD2">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14.马明. 甘肃张家川县肉牛饲养管理与育肥技术[J]. 农业工程技术, 2025, 45 (33): 101-102.</w:t>
      </w:r>
    </w:p>
    <w:p w14:paraId="34684245">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15.陈曦, 蔡伟, 李少波. 张家川县靠“牛”产业“犇”小康[N]. 滨城时报, 2025-07-22 (001).</w:t>
      </w:r>
    </w:p>
    <w:p w14:paraId="3A02E4E3">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16.张志明. 张家川县畜禽养殖废弃物及农作物秸秆资源化利用现状和发展思路[J]. 甘肃畜牧兽医, 2021, 51 (04): 17-19.</w:t>
      </w:r>
    </w:p>
    <w:p w14:paraId="71CE7DDC">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17.何自强. 张家川县农作物秸秆利用现状及发展建议[J]. 农业科技与信息, 2016, (14): 104-105.</w:t>
      </w:r>
    </w:p>
    <w:p w14:paraId="556E3A5C">
      <w:pPr>
        <w:numPr>
          <w:ilvl w:val="0"/>
          <w:numId w:val="0"/>
        </w:numPr>
        <w:spacing w:line="360" w:lineRule="auto"/>
        <w:ind w:firstLine="480" w:firstLineChars="200"/>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18.杨小梅. 张家川县畜牧业发展现状与展望[J]. 甘肃畜牧兽医, 2014, 44 (09): 30-31.</w:t>
      </w:r>
    </w:p>
    <w:p w14:paraId="39A719F8">
      <w:pPr>
        <w:numPr>
          <w:ilvl w:val="0"/>
          <w:numId w:val="0"/>
        </w:numPr>
        <w:spacing w:line="360" w:lineRule="auto"/>
        <w:ind w:firstLine="482" w:firstLineChars="200"/>
        <w:rPr>
          <w:rFonts w:hint="default" w:ascii="Times New Roman" w:hAnsi="Times New Roman" w:eastAsia="宋体" w:cs="Times New Roman"/>
          <w:b/>
          <w:bCs/>
          <w:kern w:val="0"/>
          <w:sz w:val="24"/>
          <w:szCs w:val="24"/>
          <w:lang w:val="en-US" w:eastAsia="zh-CN"/>
        </w:rPr>
      </w:pPr>
      <w:r>
        <w:rPr>
          <w:rFonts w:hint="default" w:ascii="Times New Roman" w:hAnsi="Times New Roman" w:eastAsia="宋体" w:cs="Times New Roman"/>
          <w:b/>
          <w:bCs/>
          <w:kern w:val="0"/>
          <w:sz w:val="24"/>
          <w:szCs w:val="24"/>
          <w:lang w:val="en-US" w:eastAsia="zh-CN"/>
        </w:rPr>
        <w:t>（3）标准草案调研与撰写</w:t>
      </w:r>
    </w:p>
    <w:p w14:paraId="45D1B229">
      <w:pPr>
        <w:numPr>
          <w:ilvl w:val="0"/>
          <w:numId w:val="0"/>
        </w:numPr>
        <w:spacing w:line="360" w:lineRule="auto"/>
        <w:ind w:firstLine="480" w:firstLineChars="200"/>
        <w:rPr>
          <w:rFonts w:hint="default" w:ascii="Times New Roman" w:hAnsi="Times New Roman" w:eastAsia="宋体" w:cs="Times New Roman"/>
          <w:color w:val="auto"/>
          <w:kern w:val="0"/>
          <w:sz w:val="24"/>
          <w:szCs w:val="24"/>
        </w:rPr>
      </w:pPr>
      <w:r>
        <w:rPr>
          <w:rFonts w:hint="default" w:ascii="Times New Roman" w:hAnsi="Times New Roman" w:eastAsia="宋体" w:cs="Times New Roman"/>
          <w:b w:val="0"/>
          <w:bCs w:val="0"/>
          <w:color w:val="000000"/>
          <w:sz w:val="24"/>
          <w:szCs w:val="24"/>
        </w:rPr>
        <w:t>为</w:t>
      </w:r>
      <w:r>
        <w:rPr>
          <w:rFonts w:hint="default" w:ascii="Times New Roman" w:hAnsi="Times New Roman" w:eastAsia="宋体" w:cs="Times New Roman"/>
          <w:b w:val="0"/>
          <w:bCs w:val="0"/>
          <w:color w:val="000000"/>
          <w:sz w:val="24"/>
          <w:szCs w:val="24"/>
          <w:lang w:val="en-US" w:eastAsia="zh-CN"/>
        </w:rPr>
        <w:t>使制定</w:t>
      </w:r>
      <w:r>
        <w:rPr>
          <w:rFonts w:hint="default" w:ascii="Times New Roman" w:hAnsi="Times New Roman" w:eastAsia="宋体" w:cs="Times New Roman"/>
          <w:b w:val="0"/>
          <w:bCs w:val="0"/>
          <w:color w:val="000000"/>
          <w:sz w:val="24"/>
          <w:szCs w:val="24"/>
        </w:rPr>
        <w:t>的《</w:t>
      </w:r>
      <w:r>
        <w:rPr>
          <w:rFonts w:hint="default" w:ascii="Times New Roman" w:hAnsi="Times New Roman" w:eastAsia="宋体" w:cs="Times New Roman"/>
          <w:b w:val="0"/>
          <w:bCs w:val="0"/>
          <w:color w:val="000000"/>
          <w:sz w:val="24"/>
          <w:szCs w:val="24"/>
          <w:lang w:val="en-US" w:eastAsia="zh-CN"/>
        </w:rPr>
        <w:t>张家川红花牛饲养管理技术规范</w:t>
      </w:r>
      <w:r>
        <w:rPr>
          <w:rFonts w:hint="default" w:ascii="Times New Roman" w:hAnsi="Times New Roman" w:eastAsia="宋体" w:cs="Times New Roman"/>
          <w:b w:val="0"/>
          <w:bCs w:val="0"/>
          <w:color w:val="000000"/>
          <w:sz w:val="24"/>
          <w:szCs w:val="24"/>
        </w:rPr>
        <w:t>》</w:t>
      </w:r>
      <w:r>
        <w:rPr>
          <w:rFonts w:hint="default" w:ascii="Times New Roman" w:hAnsi="Times New Roman" w:eastAsia="宋体" w:cs="Times New Roman"/>
          <w:b w:val="0"/>
          <w:bCs w:val="0"/>
          <w:color w:val="000000"/>
          <w:sz w:val="24"/>
          <w:szCs w:val="24"/>
          <w:lang w:val="en-US" w:eastAsia="zh-CN"/>
        </w:rPr>
        <w:t>团体</w:t>
      </w:r>
      <w:r>
        <w:rPr>
          <w:rFonts w:hint="default" w:ascii="Times New Roman" w:hAnsi="Times New Roman" w:eastAsia="宋体" w:cs="Times New Roman"/>
          <w:b w:val="0"/>
          <w:bCs w:val="0"/>
          <w:color w:val="000000"/>
          <w:sz w:val="24"/>
          <w:szCs w:val="24"/>
        </w:rPr>
        <w:t>标准各项内容能够</w:t>
      </w:r>
      <w:r>
        <w:rPr>
          <w:rFonts w:hint="default" w:ascii="Times New Roman" w:hAnsi="Times New Roman" w:eastAsia="宋体" w:cs="Times New Roman"/>
          <w:b w:val="0"/>
          <w:bCs w:val="0"/>
          <w:color w:val="000000"/>
          <w:sz w:val="24"/>
          <w:szCs w:val="24"/>
          <w:lang w:val="en-US" w:eastAsia="zh-CN"/>
        </w:rPr>
        <w:t>有效指导红花牛实际生产现状，</w:t>
      </w:r>
      <w:r>
        <w:rPr>
          <w:rFonts w:hint="default" w:ascii="Times New Roman" w:hAnsi="Times New Roman" w:eastAsia="宋体" w:cs="Times New Roman"/>
          <w:color w:val="auto"/>
          <w:kern w:val="0"/>
          <w:sz w:val="24"/>
          <w:szCs w:val="24"/>
          <w:lang w:val="en-US" w:eastAsia="zh-CN"/>
        </w:rPr>
        <w:t>标准制定工作组多次实地调研各类养殖场红花牛饲养管理现状，在充分了解红花牛生产现状的基础上</w:t>
      </w:r>
      <w:r>
        <w:rPr>
          <w:rFonts w:hint="default" w:ascii="Times New Roman" w:hAnsi="Times New Roman" w:eastAsia="宋体" w:cs="Times New Roman"/>
          <w:color w:val="auto"/>
          <w:kern w:val="0"/>
          <w:sz w:val="24"/>
          <w:szCs w:val="24"/>
        </w:rPr>
        <w:t>查阅</w:t>
      </w:r>
      <w:r>
        <w:rPr>
          <w:rFonts w:hint="default" w:ascii="Times New Roman" w:hAnsi="Times New Roman" w:eastAsia="宋体" w:cs="Times New Roman"/>
          <w:color w:val="auto"/>
          <w:kern w:val="0"/>
          <w:sz w:val="24"/>
          <w:szCs w:val="24"/>
          <w:lang w:val="en-US" w:eastAsia="zh-CN"/>
        </w:rPr>
        <w:t>相关</w:t>
      </w:r>
      <w:r>
        <w:rPr>
          <w:rFonts w:hint="default" w:ascii="Times New Roman" w:hAnsi="Times New Roman" w:eastAsia="宋体" w:cs="Times New Roman"/>
          <w:color w:val="auto"/>
          <w:kern w:val="0"/>
          <w:sz w:val="24"/>
          <w:szCs w:val="24"/>
        </w:rPr>
        <w:t>文献</w:t>
      </w:r>
      <w:r>
        <w:rPr>
          <w:rFonts w:hint="default" w:ascii="Times New Roman" w:hAnsi="Times New Roman" w:eastAsia="宋体" w:cs="Times New Roman"/>
          <w:color w:val="auto"/>
          <w:kern w:val="0"/>
          <w:sz w:val="24"/>
          <w:szCs w:val="24"/>
          <w:lang w:val="en-US" w:eastAsia="zh-CN"/>
        </w:rPr>
        <w:t>和标准</w:t>
      </w:r>
      <w:r>
        <w:rPr>
          <w:rFonts w:hint="default" w:ascii="Times New Roman" w:hAnsi="Times New Roman" w:eastAsia="宋体" w:cs="Times New Roman"/>
          <w:color w:val="auto"/>
          <w:kern w:val="0"/>
          <w:sz w:val="24"/>
          <w:szCs w:val="24"/>
        </w:rPr>
        <w:t>，按照GB/T 1.1—2020《标准化工作导则 第1部分：标准化文件的结构和起草规则》的规定起草编写标准文本内容和编制说明内容。</w:t>
      </w:r>
      <w:r>
        <w:rPr>
          <w:rFonts w:hint="default" w:ascii="Times New Roman" w:hAnsi="Times New Roman" w:eastAsia="宋体" w:cs="Times New Roman"/>
          <w:color w:val="auto"/>
          <w:kern w:val="0"/>
          <w:sz w:val="24"/>
          <w:szCs w:val="24"/>
          <w:lang w:val="en-US" w:eastAsia="zh-CN"/>
        </w:rPr>
        <w:t>标准起草小组在参考其他多个培育品种或地方品种牛饲养管理规范规程类标准的基础上，反复修改完善，起草完成了标准征求意见稿， 最终形成标准草案（</w:t>
      </w:r>
      <w:r>
        <w:rPr>
          <w:rFonts w:hint="eastAsia" w:ascii="Times New Roman" w:hAnsi="Times New Roman" w:eastAsia="宋体" w:cs="Times New Roman"/>
          <w:color w:val="auto"/>
          <w:kern w:val="0"/>
          <w:sz w:val="24"/>
          <w:szCs w:val="24"/>
          <w:lang w:val="en-US" w:eastAsia="zh-CN"/>
        </w:rPr>
        <w:t>征求意见稿</w:t>
      </w:r>
      <w:r>
        <w:rPr>
          <w:rFonts w:hint="default" w:ascii="Times New Roman" w:hAnsi="Times New Roman" w:eastAsia="宋体" w:cs="Times New Roman"/>
          <w:color w:val="auto"/>
          <w:kern w:val="0"/>
          <w:sz w:val="24"/>
          <w:szCs w:val="24"/>
          <w:lang w:val="en-US" w:eastAsia="zh-CN"/>
        </w:rPr>
        <w:t>）</w:t>
      </w:r>
      <w:r>
        <w:rPr>
          <w:rFonts w:hint="default" w:ascii="Times New Roman" w:hAnsi="Times New Roman" w:eastAsia="宋体" w:cs="Times New Roman"/>
          <w:color w:val="auto"/>
          <w:kern w:val="0"/>
          <w:sz w:val="24"/>
          <w:szCs w:val="24"/>
        </w:rPr>
        <w:t>。</w:t>
      </w:r>
    </w:p>
    <w:p w14:paraId="6826149C">
      <w:pPr>
        <w:keepNext w:val="0"/>
        <w:keepLines w:val="0"/>
        <w:pageBreakBefore w:val="0"/>
        <w:numPr>
          <w:ilvl w:val="0"/>
          <w:numId w:val="6"/>
        </w:numPr>
        <w:kinsoku/>
        <w:wordWrap/>
        <w:overflowPunct/>
        <w:topLinePunct w:val="0"/>
        <w:bidi w:val="0"/>
        <w:adjustRightInd w:val="0"/>
        <w:snapToGrid w:val="0"/>
        <w:spacing w:line="360" w:lineRule="auto"/>
        <w:textAlignment w:val="auto"/>
        <w:rPr>
          <w:rFonts w:hint="default" w:ascii="Times New Roman" w:hAnsi="Times New Roman" w:cs="Times New Roman"/>
          <w:b/>
          <w:sz w:val="24"/>
          <w:szCs w:val="24"/>
        </w:rPr>
      </w:pPr>
      <w:r>
        <w:rPr>
          <w:rFonts w:hint="default" w:ascii="Times New Roman" w:hAnsi="Times New Roman" w:cs="Times New Roman"/>
          <w:b/>
          <w:sz w:val="24"/>
          <w:szCs w:val="24"/>
        </w:rPr>
        <w:t>标准编制原则和主要技术内容确定的依据</w:t>
      </w:r>
    </w:p>
    <w:p w14:paraId="7D17B1DC">
      <w:pPr>
        <w:numPr>
          <w:ilvl w:val="0"/>
          <w:numId w:val="0"/>
        </w:numPr>
        <w:spacing w:line="360" w:lineRule="auto"/>
        <w:ind w:firstLine="480" w:firstLineChars="200"/>
        <w:rPr>
          <w:rFonts w:hint="default" w:ascii="Times New Roman" w:hAnsi="Times New Roman" w:eastAsia="宋体" w:cs="Times New Roman"/>
          <w:b w:val="0"/>
          <w:bCs w:val="0"/>
          <w:color w:val="000000"/>
          <w:sz w:val="24"/>
          <w:szCs w:val="24"/>
          <w:lang w:val="en-US" w:eastAsia="zh-CN"/>
        </w:rPr>
      </w:pPr>
      <w:r>
        <w:rPr>
          <w:rFonts w:hint="default" w:ascii="Times New Roman" w:hAnsi="Times New Roman" w:eastAsia="宋体" w:cs="Times New Roman"/>
          <w:b w:val="0"/>
          <w:bCs w:val="0"/>
          <w:color w:val="000000"/>
          <w:sz w:val="24"/>
          <w:szCs w:val="24"/>
          <w:lang w:val="en-US" w:eastAsia="zh-CN"/>
        </w:rPr>
        <w:t>本标准的编制，严格遵循《中华人民共和国标准化法》、《标准化实施条例》、《畜牧法》，按照GB/T 1.1-2020《标准化工作导则，第 1部分：标准化文件的结构和起草规则》的规则起草。在标准制定中参照了现行相关国家及行业标准，同时结合张家川红花牛生产的实际情况，力求标准内容通俗易懂，便于操作。</w:t>
      </w:r>
    </w:p>
    <w:p w14:paraId="51A012E6">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default" w:ascii="Times New Roman" w:hAnsi="Times New Roman" w:eastAsia="宋体" w:cs="Times New Roman"/>
          <w:b/>
          <w:kern w:val="0"/>
          <w:sz w:val="24"/>
          <w:szCs w:val="24"/>
        </w:rPr>
      </w:pPr>
      <w:r>
        <w:rPr>
          <w:rFonts w:hint="default" w:ascii="Times New Roman" w:hAnsi="Times New Roman" w:eastAsia="宋体" w:cs="Times New Roman"/>
          <w:b/>
          <w:kern w:val="0"/>
          <w:sz w:val="24"/>
          <w:szCs w:val="24"/>
        </w:rPr>
        <w:t>1.标准编制原则</w:t>
      </w:r>
    </w:p>
    <w:p w14:paraId="68E81E66">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1.1规范性原则</w:t>
      </w:r>
    </w:p>
    <w:p w14:paraId="027A5A24">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kern w:val="0"/>
          <w:sz w:val="24"/>
          <w:szCs w:val="24"/>
          <w:lang w:eastAsia="zh-CN"/>
        </w:rPr>
      </w:pPr>
      <w:bookmarkStart w:id="0" w:name="_Hlk131870342"/>
      <w:r>
        <w:rPr>
          <w:rFonts w:hint="default" w:ascii="Times New Roman" w:hAnsi="Times New Roman" w:eastAsia="宋体" w:cs="Times New Roman"/>
          <w:kern w:val="0"/>
          <w:sz w:val="24"/>
          <w:szCs w:val="24"/>
        </w:rPr>
        <w:t>本文件按照GB/T 1.1—2020《标准化工作导则 第1部分：标准化文件的结构和起草规则》的规定起草</w:t>
      </w:r>
      <w:bookmarkEnd w:id="0"/>
      <w:r>
        <w:rPr>
          <w:rFonts w:hint="default" w:ascii="Times New Roman" w:hAnsi="Times New Roman" w:eastAsia="宋体" w:cs="Times New Roman"/>
          <w:kern w:val="0"/>
          <w:sz w:val="24"/>
          <w:szCs w:val="24"/>
          <w:lang w:eastAsia="zh-CN"/>
        </w:rPr>
        <w:t>。</w:t>
      </w:r>
    </w:p>
    <w:p w14:paraId="3B3B2714">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r>
        <w:rPr>
          <w:rFonts w:hint="default" w:ascii="Times New Roman" w:hAnsi="Times New Roman" w:eastAsia="宋体" w:cs="Times New Roman"/>
          <w:kern w:val="0"/>
          <w:sz w:val="24"/>
          <w:szCs w:val="24"/>
          <w:lang w:val="en-US" w:eastAsia="zh-CN"/>
        </w:rPr>
        <w:t>通用性</w:t>
      </w:r>
      <w:r>
        <w:rPr>
          <w:rFonts w:hint="default" w:ascii="Times New Roman" w:hAnsi="Times New Roman" w:eastAsia="宋体" w:cs="Times New Roman"/>
          <w:kern w:val="0"/>
          <w:sz w:val="24"/>
          <w:szCs w:val="24"/>
        </w:rPr>
        <w:t>原则</w:t>
      </w:r>
    </w:p>
    <w:p w14:paraId="22E48D87">
      <w:pPr>
        <w:pStyle w:val="4"/>
        <w:adjustRightInd w:val="0"/>
        <w:snapToGrid w:val="0"/>
        <w:spacing w:line="360" w:lineRule="auto"/>
        <w:ind w:firstLine="560"/>
        <w:rPr>
          <w:rFonts w:hint="default" w:ascii="Times New Roman" w:hAnsi="Times New Roman" w:eastAsia="宋体" w:cs="Times New Roman"/>
          <w:kern w:val="0"/>
          <w:sz w:val="24"/>
          <w:szCs w:val="24"/>
          <w:lang w:val="en-US" w:eastAsia="zh-CN" w:bidi="ar-SA"/>
        </w:rPr>
      </w:pPr>
      <w:r>
        <w:rPr>
          <w:rFonts w:hint="default" w:ascii="Times New Roman" w:hAnsi="Times New Roman" w:cs="Times New Roman"/>
          <w:sz w:val="24"/>
          <w:szCs w:val="24"/>
          <w:lang w:val="en-US" w:eastAsia="zh-CN"/>
        </w:rPr>
        <w:t>本</w:t>
      </w:r>
      <w:r>
        <w:rPr>
          <w:rFonts w:hint="default" w:ascii="Times New Roman" w:hAnsi="Times New Roman" w:cs="Times New Roman"/>
          <w:sz w:val="24"/>
          <w:szCs w:val="24"/>
        </w:rPr>
        <w:t>标准的制定</w:t>
      </w:r>
      <w:r>
        <w:rPr>
          <w:rFonts w:hint="default" w:ascii="Times New Roman" w:hAnsi="Times New Roman" w:cs="Times New Roman"/>
          <w:sz w:val="24"/>
          <w:szCs w:val="24"/>
          <w:lang w:val="en-US" w:eastAsia="zh-CN"/>
        </w:rPr>
        <w:t>符合张家川红花牛生产现状</w:t>
      </w:r>
      <w:r>
        <w:rPr>
          <w:rFonts w:hint="default" w:ascii="Times New Roman" w:hAnsi="Times New Roman" w:cs="Times New Roman"/>
          <w:sz w:val="24"/>
          <w:szCs w:val="24"/>
        </w:rPr>
        <w:t>，标准适用于</w:t>
      </w:r>
      <w:r>
        <w:rPr>
          <w:rFonts w:hint="default" w:ascii="Times New Roman" w:hAnsi="Times New Roman" w:cs="Times New Roman"/>
          <w:sz w:val="24"/>
          <w:szCs w:val="24"/>
          <w:lang w:val="en-US" w:eastAsia="zh-CN"/>
        </w:rPr>
        <w:t>包括大中小型养殖场、合作社及养殖户的红花牛饲养管理，</w:t>
      </w:r>
      <w:r>
        <w:rPr>
          <w:rFonts w:hint="default" w:ascii="Times New Roman" w:hAnsi="Times New Roman" w:cs="Times New Roman"/>
          <w:sz w:val="24"/>
          <w:szCs w:val="24"/>
        </w:rPr>
        <w:t>符合</w:t>
      </w:r>
      <w:r>
        <w:rPr>
          <w:rFonts w:hint="default" w:ascii="Times New Roman" w:hAnsi="Times New Roman" w:cs="Times New Roman"/>
          <w:sz w:val="24"/>
          <w:szCs w:val="24"/>
          <w:lang w:val="en-US" w:eastAsia="zh-CN"/>
        </w:rPr>
        <w:t>肉牛</w:t>
      </w:r>
      <w:r>
        <w:rPr>
          <w:rFonts w:hint="default" w:ascii="Times New Roman" w:hAnsi="Times New Roman" w:eastAsia="宋体" w:cs="Times New Roman"/>
          <w:kern w:val="0"/>
          <w:sz w:val="24"/>
          <w:szCs w:val="24"/>
          <w:lang w:val="en-US" w:eastAsia="zh-CN" w:bidi="ar-SA"/>
        </w:rPr>
        <w:t>生产通用性原则。</w:t>
      </w:r>
    </w:p>
    <w:p w14:paraId="1A634D9D">
      <w:pPr>
        <w:pStyle w:val="4"/>
        <w:adjustRightInd w:val="0"/>
        <w:snapToGrid w:val="0"/>
        <w:spacing w:line="360" w:lineRule="auto"/>
        <w:ind w:firstLine="560"/>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bidi="ar-SA"/>
        </w:rPr>
        <w:t>1.3科学性、适用性和可操作性原则</w:t>
      </w:r>
    </w:p>
    <w:p w14:paraId="458A8A17">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对本文件中有关内容的确定，力求反映本研究领域的先进技术和经验，使标准中所规定的技术内容有利于</w:t>
      </w:r>
      <w:r>
        <w:rPr>
          <w:rFonts w:hint="default" w:ascii="Times New Roman" w:hAnsi="Times New Roman" w:eastAsia="宋体" w:cs="Times New Roman"/>
          <w:kern w:val="0"/>
          <w:sz w:val="24"/>
          <w:szCs w:val="24"/>
          <w:lang w:val="en-US" w:eastAsia="zh-CN"/>
        </w:rPr>
        <w:t>提升张家川红花牛养殖技术水平</w:t>
      </w:r>
      <w:r>
        <w:rPr>
          <w:rFonts w:hint="default" w:ascii="Times New Roman" w:hAnsi="Times New Roman" w:eastAsia="宋体" w:cs="Times New Roman"/>
          <w:kern w:val="0"/>
          <w:sz w:val="24"/>
          <w:szCs w:val="24"/>
        </w:rPr>
        <w:t>。在本标准制定过程中，在检索国内外相关标准和法律法规的基础上，查阅了大量文献、书籍等，结合</w:t>
      </w:r>
      <w:r>
        <w:rPr>
          <w:rFonts w:hint="default" w:ascii="Times New Roman" w:hAnsi="Times New Roman" w:eastAsia="宋体" w:cs="Times New Roman"/>
          <w:kern w:val="0"/>
          <w:sz w:val="24"/>
          <w:szCs w:val="24"/>
          <w:lang w:val="en-US" w:eastAsia="zh-CN"/>
        </w:rPr>
        <w:t>张家川红花牛饲养管理现状</w:t>
      </w: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系统梳理各环节薄弱环节，</w:t>
      </w:r>
      <w:r>
        <w:rPr>
          <w:rFonts w:hint="default" w:ascii="Times New Roman" w:hAnsi="Times New Roman" w:eastAsia="宋体" w:cs="Times New Roman"/>
          <w:kern w:val="0"/>
          <w:sz w:val="24"/>
          <w:szCs w:val="24"/>
        </w:rPr>
        <w:t>对</w:t>
      </w:r>
      <w:r>
        <w:rPr>
          <w:rFonts w:hint="default" w:ascii="Times New Roman" w:hAnsi="Times New Roman" w:eastAsia="宋体" w:cs="Times New Roman"/>
          <w:kern w:val="0"/>
          <w:sz w:val="24"/>
          <w:szCs w:val="24"/>
          <w:lang w:val="en-US" w:eastAsia="zh-CN"/>
        </w:rPr>
        <w:t>标准</w:t>
      </w:r>
      <w:r>
        <w:rPr>
          <w:rFonts w:hint="default" w:ascii="Times New Roman" w:hAnsi="Times New Roman" w:eastAsia="宋体" w:cs="Times New Roman"/>
          <w:kern w:val="0"/>
          <w:sz w:val="24"/>
          <w:szCs w:val="24"/>
        </w:rPr>
        <w:t>的技术内容</w:t>
      </w:r>
      <w:r>
        <w:rPr>
          <w:rFonts w:hint="eastAsia" w:ascii="Times New Roman" w:hAnsi="Times New Roman" w:eastAsia="宋体" w:cs="Times New Roman"/>
          <w:kern w:val="0"/>
          <w:sz w:val="24"/>
          <w:szCs w:val="24"/>
          <w:lang w:eastAsia="zh-CN"/>
        </w:rPr>
        <w:t>作出</w:t>
      </w:r>
      <w:r>
        <w:rPr>
          <w:rFonts w:hint="default" w:ascii="Times New Roman" w:hAnsi="Times New Roman" w:eastAsia="宋体" w:cs="Times New Roman"/>
          <w:kern w:val="0"/>
          <w:sz w:val="24"/>
          <w:szCs w:val="24"/>
        </w:rPr>
        <w:t>规定，力求表述准确</w:t>
      </w:r>
      <w:r>
        <w:rPr>
          <w:rFonts w:hint="default" w:ascii="Times New Roman" w:hAnsi="Times New Roman" w:eastAsia="宋体" w:cs="Times New Roman"/>
          <w:kern w:val="0"/>
          <w:sz w:val="24"/>
          <w:szCs w:val="24"/>
          <w:lang w:val="en-US" w:eastAsia="zh-CN"/>
        </w:rPr>
        <w:t>且易于理解</w:t>
      </w: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内容</w:t>
      </w:r>
      <w:r>
        <w:rPr>
          <w:rFonts w:hint="default" w:ascii="Times New Roman" w:hAnsi="Times New Roman" w:eastAsia="宋体" w:cs="Times New Roman"/>
          <w:kern w:val="0"/>
          <w:sz w:val="24"/>
          <w:szCs w:val="24"/>
        </w:rPr>
        <w:t>完整</w:t>
      </w:r>
      <w:r>
        <w:rPr>
          <w:rFonts w:hint="default" w:ascii="Times New Roman" w:hAnsi="Times New Roman" w:eastAsia="宋体" w:cs="Times New Roman"/>
          <w:kern w:val="0"/>
          <w:sz w:val="24"/>
          <w:szCs w:val="24"/>
          <w:lang w:val="en-US" w:eastAsia="zh-CN"/>
        </w:rPr>
        <w:t>且科学有效</w:t>
      </w:r>
      <w:r>
        <w:rPr>
          <w:rFonts w:hint="default" w:ascii="Times New Roman" w:hAnsi="Times New Roman" w:eastAsia="宋体" w:cs="Times New Roman"/>
          <w:kern w:val="0"/>
          <w:sz w:val="24"/>
          <w:szCs w:val="24"/>
        </w:rPr>
        <w:t>，体现了本标准的先进性原则。</w:t>
      </w:r>
    </w:p>
    <w:p w14:paraId="07323C99">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本标准在考虑</w:t>
      </w:r>
      <w:r>
        <w:rPr>
          <w:rFonts w:hint="default" w:ascii="Times New Roman" w:hAnsi="Times New Roman" w:eastAsia="宋体" w:cs="Times New Roman"/>
          <w:kern w:val="0"/>
          <w:sz w:val="24"/>
          <w:szCs w:val="24"/>
          <w:lang w:val="en-US" w:eastAsia="zh-CN"/>
        </w:rPr>
        <w:t>科学性和适用性原则</w:t>
      </w:r>
      <w:r>
        <w:rPr>
          <w:rFonts w:hint="default" w:ascii="Times New Roman" w:hAnsi="Times New Roman" w:eastAsia="宋体" w:cs="Times New Roman"/>
          <w:kern w:val="0"/>
          <w:sz w:val="24"/>
          <w:szCs w:val="24"/>
        </w:rPr>
        <w:t>的</w:t>
      </w:r>
      <w:r>
        <w:rPr>
          <w:rFonts w:hint="default" w:ascii="Times New Roman" w:hAnsi="Times New Roman" w:eastAsia="宋体" w:cs="Times New Roman"/>
          <w:kern w:val="0"/>
          <w:sz w:val="24"/>
          <w:szCs w:val="24"/>
          <w:lang w:val="en-US" w:eastAsia="zh-CN"/>
        </w:rPr>
        <w:t>同时</w:t>
      </w:r>
      <w:r>
        <w:rPr>
          <w:rFonts w:hint="default" w:ascii="Times New Roman" w:hAnsi="Times New Roman" w:eastAsia="宋体" w:cs="Times New Roman"/>
          <w:kern w:val="0"/>
          <w:sz w:val="24"/>
          <w:szCs w:val="24"/>
        </w:rPr>
        <w:t>，根据收集整理的资料，结合目前国内的实际情况以及生产实践的相关环节，保证标准内容便于实施。</w:t>
      </w:r>
    </w:p>
    <w:p w14:paraId="73943A83">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default" w:ascii="Times New Roman" w:hAnsi="Times New Roman" w:cs="Times New Roman"/>
          <w:b/>
          <w:sz w:val="24"/>
          <w:szCs w:val="24"/>
        </w:rPr>
      </w:pPr>
      <w:r>
        <w:rPr>
          <w:rFonts w:hint="default" w:ascii="Times New Roman" w:hAnsi="Times New Roman" w:cs="Times New Roman"/>
          <w:b/>
          <w:sz w:val="24"/>
          <w:szCs w:val="24"/>
        </w:rPr>
        <w:t>2.主要技术内容确定的依据</w:t>
      </w:r>
    </w:p>
    <w:p w14:paraId="5A414370">
      <w:pPr>
        <w:keepNext w:val="0"/>
        <w:keepLines w:val="0"/>
        <w:pageBreakBefore w:val="0"/>
        <w:kinsoku/>
        <w:wordWrap/>
        <w:overflowPunct/>
        <w:topLinePunct w:val="0"/>
        <w:bidi w:val="0"/>
        <w:adjustRightInd w:val="0"/>
        <w:snapToGrid w:val="0"/>
        <w:spacing w:line="360" w:lineRule="auto"/>
        <w:ind w:firstLine="480"/>
        <w:jc w:val="left"/>
        <w:textAlignment w:val="auto"/>
        <w:rPr>
          <w:rFonts w:hint="default" w:ascii="Times New Roman" w:hAnsi="Times New Roman" w:cs="Times New Roman"/>
          <w:sz w:val="24"/>
          <w:szCs w:val="24"/>
        </w:rPr>
      </w:pPr>
      <w:r>
        <w:rPr>
          <w:rFonts w:hint="default" w:ascii="Times New Roman" w:hAnsi="Times New Roman" w:cs="Times New Roman"/>
          <w:sz w:val="24"/>
          <w:szCs w:val="24"/>
        </w:rPr>
        <w:t>本标准主要技术内容的确定基于以下三方面依据：一是对</w:t>
      </w:r>
      <w:r>
        <w:rPr>
          <w:rFonts w:hint="default" w:ascii="Times New Roman" w:hAnsi="Times New Roman" w:cs="Times New Roman"/>
          <w:sz w:val="24"/>
          <w:szCs w:val="24"/>
          <w:lang w:val="en-US" w:eastAsia="zh-CN"/>
        </w:rPr>
        <w:t>张家川红花牛养殖场、合作社及牧户进行</w:t>
      </w:r>
      <w:r>
        <w:rPr>
          <w:rFonts w:hint="default" w:ascii="Times New Roman" w:hAnsi="Times New Roman" w:cs="Times New Roman"/>
          <w:sz w:val="24"/>
          <w:szCs w:val="24"/>
        </w:rPr>
        <w:t>实地调研，系统总结了</w:t>
      </w:r>
      <w:r>
        <w:rPr>
          <w:rFonts w:hint="default" w:ascii="Times New Roman" w:hAnsi="Times New Roman" w:cs="Times New Roman"/>
          <w:sz w:val="24"/>
          <w:szCs w:val="24"/>
          <w:lang w:val="en-US" w:eastAsia="zh-CN"/>
        </w:rPr>
        <w:t>目前养殖</w:t>
      </w:r>
      <w:r>
        <w:rPr>
          <w:rFonts w:hint="default" w:ascii="Times New Roman" w:hAnsi="Times New Roman" w:cs="Times New Roman"/>
          <w:sz w:val="24"/>
          <w:szCs w:val="24"/>
        </w:rPr>
        <w:t>生产实践经验</w:t>
      </w:r>
      <w:r>
        <w:rPr>
          <w:rFonts w:hint="default" w:ascii="Times New Roman" w:hAnsi="Times New Roman" w:cs="Times New Roman"/>
          <w:sz w:val="24"/>
          <w:szCs w:val="24"/>
          <w:lang w:eastAsia="zh-CN"/>
        </w:rPr>
        <w:t>，</w:t>
      </w:r>
      <w:r>
        <w:rPr>
          <w:rFonts w:hint="default" w:ascii="Times New Roman" w:hAnsi="Times New Roman" w:cs="Times New Roman"/>
          <w:sz w:val="24"/>
          <w:szCs w:val="24"/>
          <w:lang w:val="en-US" w:eastAsia="zh-CN"/>
        </w:rPr>
        <w:t>梳理了存在的主要问题</w:t>
      </w:r>
      <w:r>
        <w:rPr>
          <w:rFonts w:hint="default" w:ascii="Times New Roman" w:hAnsi="Times New Roman" w:cs="Times New Roman"/>
          <w:sz w:val="24"/>
          <w:szCs w:val="24"/>
        </w:rPr>
        <w:t>；二是对相关国家标准、学术文献及成熟科研成果的借鉴与引用；三是通过试点验证和专家研讨，对技术指标的适用性与先进性进行的实践评估与优化</w:t>
      </w:r>
      <w:r>
        <w:rPr>
          <w:rFonts w:hint="default" w:ascii="Times New Roman" w:hAnsi="Times New Roman" w:cs="Times New Roman"/>
          <w:sz w:val="24"/>
          <w:szCs w:val="24"/>
          <w:lang w:eastAsia="zh-CN"/>
        </w:rPr>
        <w:t>，</w:t>
      </w:r>
      <w:r>
        <w:rPr>
          <w:rFonts w:hint="default" w:ascii="Times New Roman" w:hAnsi="Times New Roman" w:cs="Times New Roman"/>
          <w:sz w:val="24"/>
          <w:szCs w:val="24"/>
          <w:lang w:val="en-US" w:eastAsia="zh-CN"/>
        </w:rPr>
        <w:t>同时参考了现有同类标准成功经验，确保文件内容科学、准确、明确、具体，可操作性强。</w:t>
      </w:r>
    </w:p>
    <w:p w14:paraId="6B5BA726">
      <w:pPr>
        <w:keepNext w:val="0"/>
        <w:keepLines w:val="0"/>
        <w:pageBreakBefore w:val="0"/>
        <w:kinsoku/>
        <w:wordWrap/>
        <w:overflowPunct/>
        <w:topLinePunct w:val="0"/>
        <w:bidi w:val="0"/>
        <w:adjustRightInd w:val="0"/>
        <w:snapToGrid w:val="0"/>
        <w:spacing w:line="360" w:lineRule="auto"/>
        <w:ind w:firstLine="480"/>
        <w:jc w:val="left"/>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本</w:t>
      </w:r>
      <w:r>
        <w:rPr>
          <w:rFonts w:hint="default" w:ascii="Times New Roman" w:hAnsi="Times New Roman" w:cs="Times New Roman"/>
          <w:sz w:val="24"/>
          <w:szCs w:val="24"/>
          <w:lang w:val="en-US" w:eastAsia="zh-CN"/>
        </w:rPr>
        <w:t>文件</w:t>
      </w:r>
      <w:r>
        <w:rPr>
          <w:rFonts w:hint="default" w:ascii="Times New Roman" w:hAnsi="Times New Roman" w:cs="Times New Roman"/>
          <w:sz w:val="24"/>
          <w:szCs w:val="24"/>
        </w:rPr>
        <w:t>共分为</w:t>
      </w:r>
      <w:r>
        <w:rPr>
          <w:rFonts w:hint="default" w:ascii="Times New Roman" w:hAnsi="Times New Roman" w:cs="Times New Roman"/>
          <w:sz w:val="24"/>
          <w:szCs w:val="24"/>
          <w:lang w:val="en-US" w:eastAsia="zh-CN"/>
        </w:rPr>
        <w:t>9</w:t>
      </w:r>
      <w:r>
        <w:rPr>
          <w:rFonts w:hint="default" w:ascii="Times New Roman" w:hAnsi="Times New Roman" w:cs="Times New Roman"/>
          <w:sz w:val="24"/>
          <w:szCs w:val="24"/>
        </w:rPr>
        <w:t>章，分别为第一章范围、第二章规范性引用文件、第三章</w:t>
      </w:r>
      <w:r>
        <w:rPr>
          <w:rFonts w:hint="default" w:ascii="Times New Roman" w:hAnsi="Times New Roman" w:cs="Times New Roman"/>
          <w:sz w:val="24"/>
          <w:szCs w:val="24"/>
          <w:lang w:val="en-US" w:eastAsia="zh-CN"/>
        </w:rPr>
        <w:t>术语定义</w:t>
      </w:r>
      <w:r>
        <w:rPr>
          <w:rFonts w:hint="default" w:ascii="Times New Roman" w:hAnsi="Times New Roman" w:cs="Times New Roman"/>
          <w:sz w:val="24"/>
          <w:szCs w:val="24"/>
        </w:rPr>
        <w:t>、第四章</w:t>
      </w:r>
      <w:r>
        <w:rPr>
          <w:rFonts w:hint="default" w:ascii="Times New Roman" w:hAnsi="Times New Roman" w:cs="Times New Roman"/>
          <w:sz w:val="24"/>
          <w:szCs w:val="24"/>
          <w:lang w:val="en-US" w:eastAsia="zh-CN"/>
        </w:rPr>
        <w:t>牛场环境与设施设备</w:t>
      </w:r>
      <w:r>
        <w:rPr>
          <w:rFonts w:hint="default" w:ascii="Times New Roman" w:hAnsi="Times New Roman" w:cs="Times New Roman"/>
          <w:sz w:val="24"/>
          <w:szCs w:val="24"/>
        </w:rPr>
        <w:t>、第五章</w:t>
      </w:r>
      <w:r>
        <w:rPr>
          <w:rFonts w:hint="default" w:ascii="Times New Roman" w:hAnsi="Times New Roman" w:cs="Times New Roman"/>
          <w:sz w:val="24"/>
          <w:szCs w:val="24"/>
          <w:lang w:val="en-US" w:eastAsia="zh-CN"/>
        </w:rPr>
        <w:t>饲料与营养需要</w:t>
      </w:r>
      <w:r>
        <w:rPr>
          <w:rFonts w:hint="default" w:ascii="Times New Roman" w:hAnsi="Times New Roman" w:cs="Times New Roman"/>
          <w:sz w:val="24"/>
          <w:szCs w:val="24"/>
        </w:rPr>
        <w:t>、第六章</w:t>
      </w:r>
      <w:r>
        <w:rPr>
          <w:rFonts w:hint="default" w:ascii="Times New Roman" w:hAnsi="Times New Roman" w:cs="Times New Roman"/>
          <w:sz w:val="24"/>
          <w:szCs w:val="24"/>
          <w:lang w:val="en-US" w:eastAsia="zh-CN"/>
        </w:rPr>
        <w:t>不同阶段牛饲养管理、第七章卫生与防疫、第八章粪污处理、第九章档案记录与管理</w:t>
      </w:r>
      <w:r>
        <w:rPr>
          <w:rFonts w:hint="default" w:ascii="Times New Roman" w:hAnsi="Times New Roman" w:cs="Times New Roman"/>
          <w:sz w:val="24"/>
          <w:szCs w:val="24"/>
        </w:rPr>
        <w:t>。</w:t>
      </w:r>
      <w:r>
        <w:rPr>
          <w:rFonts w:hint="default" w:ascii="Times New Roman" w:hAnsi="Times New Roman" w:cs="Times New Roman"/>
          <w:sz w:val="24"/>
          <w:szCs w:val="24"/>
          <w:lang w:val="en-US" w:eastAsia="zh-CN"/>
        </w:rPr>
        <w:t>现将需要说明确定依据的文件内容</w:t>
      </w:r>
      <w:r>
        <w:rPr>
          <w:rFonts w:hint="eastAsia" w:ascii="Times New Roman" w:hAnsi="Times New Roman" w:cs="Times New Roman"/>
          <w:sz w:val="24"/>
          <w:szCs w:val="24"/>
          <w:lang w:val="en-US" w:eastAsia="zh-CN"/>
        </w:rPr>
        <w:t>作出</w:t>
      </w:r>
      <w:r>
        <w:rPr>
          <w:rFonts w:hint="default" w:ascii="Times New Roman" w:hAnsi="Times New Roman" w:cs="Times New Roman"/>
          <w:sz w:val="24"/>
          <w:szCs w:val="24"/>
          <w:lang w:val="en-US" w:eastAsia="zh-CN"/>
        </w:rPr>
        <w:t>以下说明：</w:t>
      </w:r>
    </w:p>
    <w:p w14:paraId="5B2A6B9E">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r>
        <w:rPr>
          <w:rFonts w:hint="eastAsia" w:ascii="Times New Roman" w:cs="Times New Roman"/>
          <w:sz w:val="24"/>
          <w:szCs w:val="24"/>
          <w:lang w:val="en-US" w:eastAsia="zh-CN"/>
        </w:rPr>
        <w:t>2.1</w:t>
      </w:r>
      <w:r>
        <w:rPr>
          <w:rFonts w:hint="default" w:ascii="Times New Roman" w:hAnsi="Times New Roman" w:cs="Times New Roman"/>
          <w:sz w:val="24"/>
          <w:szCs w:val="24"/>
          <w:lang w:val="en-US" w:eastAsia="zh-CN"/>
        </w:rPr>
        <w:t>范围</w:t>
      </w:r>
    </w:p>
    <w:p w14:paraId="7BC4DE9B">
      <w:pPr>
        <w:keepNext w:val="0"/>
        <w:keepLines w:val="0"/>
        <w:pageBreakBefore w:val="0"/>
        <w:kinsoku/>
        <w:wordWrap/>
        <w:overflowPunct/>
        <w:topLinePunct w:val="0"/>
        <w:bidi w:val="0"/>
        <w:adjustRightInd w:val="0"/>
        <w:snapToGrid w:val="0"/>
        <w:spacing w:line="360" w:lineRule="auto"/>
        <w:ind w:firstLine="480"/>
        <w:jc w:val="left"/>
        <w:textAlignment w:val="auto"/>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本文件规定了张家川红花牛的牛场环境与设施设备、饲料与营养需要、不同阶段牛饲养管理、卫生与防疫、粪污处理、档案记录与管理等环节的技术要求。</w:t>
      </w:r>
    </w:p>
    <w:p w14:paraId="314755AE">
      <w:pPr>
        <w:keepNext w:val="0"/>
        <w:keepLines w:val="0"/>
        <w:pageBreakBefore w:val="0"/>
        <w:kinsoku/>
        <w:wordWrap/>
        <w:overflowPunct/>
        <w:topLinePunct w:val="0"/>
        <w:bidi w:val="0"/>
        <w:adjustRightInd w:val="0"/>
        <w:snapToGrid w:val="0"/>
        <w:spacing w:line="360" w:lineRule="auto"/>
        <w:ind w:firstLine="480"/>
        <w:jc w:val="left"/>
        <w:textAlignment w:val="auto"/>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本文件适用于张家川地区红花牛的规模化养殖场、合作社及养殖户。</w:t>
      </w:r>
    </w:p>
    <w:p w14:paraId="31874788">
      <w:pPr>
        <w:keepNext w:val="0"/>
        <w:keepLines w:val="0"/>
        <w:pageBreakBefore w:val="0"/>
        <w:kinsoku/>
        <w:wordWrap/>
        <w:overflowPunct/>
        <w:topLinePunct w:val="0"/>
        <w:bidi w:val="0"/>
        <w:adjustRightInd w:val="0"/>
        <w:snapToGrid w:val="0"/>
        <w:spacing w:line="360" w:lineRule="auto"/>
        <w:ind w:firstLine="480"/>
        <w:jc w:val="left"/>
        <w:textAlignment w:val="auto"/>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确定依据：张家川红花牛产业基础良好，为打响张家川红花牛，引领肉牛产业转型升级，争创知名品牌，做大牛业经济，张家川县以红花牛产业为突破口，通过强链补链筑牢产业根基、以提质量培优品塑造竞争优势，让这一特色产业成为推动质量强县建设的“硬核引擎”，走出了一条“产业兴、质量优、县域强”的特色发展之路。在红花牛养殖上</w:t>
      </w:r>
      <w:r>
        <w:rPr>
          <w:rFonts w:hint="eastAsia" w:ascii="Times New Roman" w:hAnsi="Times New Roman" w:cs="Times New Roman"/>
          <w:sz w:val="24"/>
          <w:szCs w:val="24"/>
          <w:lang w:val="en-US" w:eastAsia="zh-CN"/>
        </w:rPr>
        <w:t>应</w:t>
      </w:r>
      <w:r>
        <w:rPr>
          <w:rFonts w:hint="default" w:ascii="Times New Roman" w:hAnsi="Times New Roman" w:cs="Times New Roman"/>
          <w:sz w:val="24"/>
          <w:szCs w:val="24"/>
          <w:lang w:val="en-US" w:eastAsia="zh-CN"/>
        </w:rPr>
        <w:t>向智能化、绿色化方向发展，以满足消费升级需求向品牌化、高端化发展的要求。标准依据红花牛养殖生产环节，结合实际需求且覆盖全面，并对标智慧化养殖设置各技术要求。对牛场环境与设施设备、饲料与营养需要、不同阶段牛饲养管理、卫生与防疫、粪污处理、档案记录与管理等环节进行了描述。结合生产实际，张家川红花牛养殖主体主要是规模化养殖场、合作社及家庭养殖户，据此确定文件的适用范围。</w:t>
      </w:r>
    </w:p>
    <w:p w14:paraId="6CAB36D4">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textAlignment w:val="auto"/>
        <w:rPr>
          <w:rFonts w:hint="default" w:ascii="Times New Roman" w:hAnsi="Times New Roman" w:cs="Times New Roman"/>
          <w:sz w:val="24"/>
          <w:szCs w:val="24"/>
          <w:lang w:val="en-US" w:eastAsia="zh-CN"/>
        </w:rPr>
      </w:pPr>
      <w:r>
        <w:rPr>
          <w:rFonts w:hint="eastAsia" w:ascii="Times New Roman" w:cs="Times New Roman"/>
          <w:sz w:val="24"/>
          <w:szCs w:val="24"/>
          <w:lang w:val="en-US" w:eastAsia="zh-CN"/>
        </w:rPr>
        <w:t xml:space="preserve">   2.2</w:t>
      </w:r>
      <w:r>
        <w:rPr>
          <w:rFonts w:hint="default" w:ascii="Times New Roman" w:hAnsi="Times New Roman" w:cs="Times New Roman"/>
          <w:sz w:val="24"/>
          <w:szCs w:val="24"/>
        </w:rPr>
        <w:t>规范性引用文件</w:t>
      </w:r>
    </w:p>
    <w:p w14:paraId="10CB3CF1">
      <w:pPr>
        <w:keepNext w:val="0"/>
        <w:keepLines w:val="0"/>
        <w:pageBreakBefore w:val="0"/>
        <w:numPr>
          <w:ilvl w:val="0"/>
          <w:numId w:val="0"/>
        </w:numPr>
        <w:kinsoku/>
        <w:wordWrap/>
        <w:overflowPunct/>
        <w:topLinePunct w:val="0"/>
        <w:bidi w:val="0"/>
        <w:adjustRightInd w:val="0"/>
        <w:snapToGrid w:val="0"/>
        <w:spacing w:line="360" w:lineRule="auto"/>
        <w:jc w:val="left"/>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lang w:val="en-US" w:eastAsia="zh-CN"/>
        </w:rPr>
        <w:t xml:space="preserve"> </w:t>
      </w:r>
      <w:r>
        <w:rPr>
          <w:rFonts w:hint="eastAsia" w:ascii="Times New Roman" w:hAnsi="Times New Roman" w:cs="Times New Roman"/>
          <w:sz w:val="24"/>
          <w:szCs w:val="24"/>
          <w:lang w:val="en-US" w:eastAsia="zh-CN"/>
        </w:rPr>
        <w:t xml:space="preserve"> </w:t>
      </w:r>
      <w:r>
        <w:rPr>
          <w:rFonts w:hint="default" w:ascii="Times New Roman" w:hAnsi="Times New Roman" w:cs="Times New Roman"/>
          <w:sz w:val="24"/>
          <w:szCs w:val="24"/>
          <w:lang w:val="en-US" w:eastAsia="zh-CN"/>
        </w:rPr>
        <w:t xml:space="preserve"> 规范性引用文件为制定本文件文本内容时引用的国家及行业标准等规范性文件。</w:t>
      </w:r>
    </w:p>
    <w:p w14:paraId="22BDF7A7">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textAlignment w:val="auto"/>
        <w:rPr>
          <w:rFonts w:hint="default" w:ascii="Times New Roman" w:hAnsi="Times New Roman" w:cs="Times New Roman"/>
          <w:sz w:val="24"/>
          <w:szCs w:val="24"/>
          <w:lang w:val="en-US" w:eastAsia="zh-CN"/>
        </w:rPr>
      </w:pPr>
      <w:r>
        <w:rPr>
          <w:rFonts w:hint="eastAsia" w:ascii="Times New Roman" w:cs="Times New Roman"/>
          <w:sz w:val="24"/>
          <w:szCs w:val="24"/>
          <w:lang w:val="en-US" w:eastAsia="zh-CN"/>
        </w:rPr>
        <w:t xml:space="preserve">  2.3</w:t>
      </w:r>
      <w:r>
        <w:rPr>
          <w:rFonts w:hint="default" w:ascii="Times New Roman" w:hAnsi="Times New Roman" w:cs="Times New Roman"/>
          <w:sz w:val="24"/>
          <w:szCs w:val="24"/>
          <w:lang w:val="en-US" w:eastAsia="zh-CN"/>
        </w:rPr>
        <w:t>术语定义</w:t>
      </w:r>
    </w:p>
    <w:p w14:paraId="409E4275">
      <w:pPr>
        <w:pStyle w:val="14"/>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kern w:val="0"/>
          <w:sz w:val="24"/>
          <w:szCs w:val="24"/>
          <w:lang w:val="en-US" w:eastAsia="zh-CN"/>
        </w:rPr>
      </w:pPr>
      <w:r>
        <w:rPr>
          <w:rFonts w:hint="default" w:ascii="Times New Roman" w:hAnsi="Times New Roman" w:cs="Times New Roman"/>
          <w:kern w:val="2"/>
          <w:sz w:val="24"/>
          <w:szCs w:val="24"/>
          <w:lang w:val="en-US" w:eastAsia="zh-CN" w:bidi="ar-SA"/>
        </w:rPr>
        <w:t>本文件</w:t>
      </w:r>
      <w:r>
        <w:rPr>
          <w:rFonts w:hint="eastAsia" w:ascii="Times New Roman" w:cs="Times New Roman"/>
          <w:kern w:val="2"/>
          <w:sz w:val="24"/>
          <w:szCs w:val="24"/>
          <w:lang w:val="en-US" w:eastAsia="zh-CN" w:bidi="ar-SA"/>
        </w:rPr>
        <w:t>涉及</w:t>
      </w:r>
      <w:r>
        <w:rPr>
          <w:rFonts w:hint="default" w:ascii="Times New Roman" w:hAnsi="Times New Roman" w:cs="Times New Roman"/>
          <w:kern w:val="2"/>
          <w:sz w:val="24"/>
          <w:szCs w:val="24"/>
          <w:lang w:val="en-US" w:eastAsia="zh-CN" w:bidi="ar-SA"/>
        </w:rPr>
        <w:t>内容均为养殖环节常用已被定义的术语及定义，</w:t>
      </w:r>
      <w:r>
        <w:rPr>
          <w:rFonts w:hint="default" w:ascii="Times New Roman" w:hAnsi="Times New Roman" w:eastAsia="宋体" w:cs="Times New Roman"/>
          <w:kern w:val="0"/>
          <w:sz w:val="24"/>
          <w:szCs w:val="24"/>
          <w:lang w:val="en-US" w:eastAsia="zh-CN"/>
        </w:rPr>
        <w:t>因此本文件没有需要界定的术语定义。</w:t>
      </w:r>
    </w:p>
    <w:p w14:paraId="5570C7C7">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rPr>
      </w:pPr>
      <w:bookmarkStart w:id="1" w:name="_Toc16984"/>
      <w:r>
        <w:rPr>
          <w:rFonts w:hint="eastAsia" w:ascii="Times New Roman" w:cs="Times New Roman"/>
          <w:sz w:val="24"/>
          <w:szCs w:val="24"/>
          <w:lang w:val="en-US" w:eastAsia="zh-CN"/>
        </w:rPr>
        <w:t>2.4</w:t>
      </w:r>
      <w:r>
        <w:rPr>
          <w:rFonts w:hint="default" w:ascii="Times New Roman" w:hAnsi="Times New Roman" w:cs="Times New Roman"/>
          <w:sz w:val="24"/>
          <w:szCs w:val="24"/>
          <w:lang w:val="en-US" w:eastAsia="zh-CN"/>
        </w:rPr>
        <w:t>牛场环境与设施设备</w:t>
      </w:r>
      <w:bookmarkEnd w:id="1"/>
    </w:p>
    <w:p w14:paraId="1412CCCA">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2" w:name="_Toc2356"/>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4.1牛场环境</w:t>
      </w:r>
      <w:bookmarkEnd w:id="2"/>
    </w:p>
    <w:p w14:paraId="2E2C138D">
      <w:pPr>
        <w:pStyle w:val="25"/>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kern w:val="2"/>
          <w:sz w:val="24"/>
          <w:szCs w:val="24"/>
          <w:lang w:val="en-US" w:eastAsia="zh-CN" w:bidi="ar-SA"/>
        </w:rPr>
      </w:pPr>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4.1.1</w:t>
      </w:r>
      <w:r>
        <w:rPr>
          <w:rFonts w:hint="default" w:ascii="Times New Roman" w:hAnsi="Times New Roman" w:eastAsia="宋体" w:cs="Times New Roman"/>
          <w:kern w:val="2"/>
          <w:sz w:val="24"/>
          <w:szCs w:val="24"/>
          <w:lang w:val="en-US" w:eastAsia="zh-CN" w:bidi="ar-SA"/>
        </w:rPr>
        <w:t>牛场选址应符合当地土地利用规划和养殖要求。</w:t>
      </w:r>
    </w:p>
    <w:p w14:paraId="4CEDF688">
      <w:pPr>
        <w:pStyle w:val="25"/>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kern w:val="2"/>
          <w:sz w:val="24"/>
          <w:szCs w:val="24"/>
          <w:lang w:val="en-US" w:eastAsia="zh-CN" w:bidi="ar-SA"/>
        </w:rPr>
      </w:pPr>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4.1.2</w:t>
      </w:r>
      <w:r>
        <w:rPr>
          <w:rFonts w:hint="default" w:ascii="Times New Roman" w:hAnsi="Times New Roman" w:eastAsia="宋体" w:cs="Times New Roman"/>
          <w:kern w:val="2"/>
          <w:sz w:val="24"/>
          <w:szCs w:val="24"/>
          <w:lang w:val="en-US" w:eastAsia="zh-CN" w:bidi="ar-SA"/>
        </w:rPr>
        <w:t>养殖场选址应地势高燥、背风</w:t>
      </w:r>
      <w:r>
        <w:rPr>
          <w:rFonts w:hint="default" w:ascii="Times New Roman" w:hAnsi="Times New Roman" w:eastAsia="宋体" w:cs="Times New Roman"/>
          <w:sz w:val="24"/>
          <w:szCs w:val="24"/>
          <w:lang w:val="en-US" w:eastAsia="zh-CN"/>
        </w:rPr>
        <w:t>向阳、</w:t>
      </w:r>
      <w:r>
        <w:rPr>
          <w:rFonts w:hint="default" w:ascii="Times New Roman" w:hAnsi="Times New Roman" w:eastAsia="宋体" w:cs="Times New Roman"/>
          <w:kern w:val="2"/>
          <w:sz w:val="24"/>
          <w:szCs w:val="24"/>
          <w:lang w:val="en-US" w:eastAsia="zh-CN" w:bidi="ar-SA"/>
        </w:rPr>
        <w:t>水源充足、排水良好、交通便利并远离污染源。牛场应距离干线公路、铁路、居民区、公共场所500m以上。牛场内不应饲养其他经济用途的动物。牛场环境应符合NY/T388和NY/T391的规定。</w:t>
      </w:r>
    </w:p>
    <w:p w14:paraId="3C2BA561">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3" w:name="_Toc30035"/>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4.2布局</w:t>
      </w:r>
      <w:bookmarkEnd w:id="3"/>
    </w:p>
    <w:p w14:paraId="5F04BBCF">
      <w:pPr>
        <w:pStyle w:val="25"/>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kern w:val="2"/>
          <w:sz w:val="24"/>
          <w:szCs w:val="24"/>
          <w:lang w:val="en-US" w:eastAsia="zh-CN" w:bidi="ar-SA"/>
        </w:rPr>
      </w:pPr>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4.2.1</w:t>
      </w:r>
      <w:r>
        <w:rPr>
          <w:rFonts w:hint="default" w:ascii="Times New Roman" w:hAnsi="Times New Roman" w:eastAsia="宋体" w:cs="Times New Roman"/>
          <w:sz w:val="24"/>
          <w:szCs w:val="24"/>
          <w:lang w:val="en-US" w:eastAsia="zh-CN" w:bidi="ar-SA"/>
        </w:rPr>
        <w:t>牛</w:t>
      </w:r>
      <w:r>
        <w:rPr>
          <w:rFonts w:hint="default" w:ascii="Times New Roman" w:hAnsi="Times New Roman" w:eastAsia="宋体" w:cs="Times New Roman"/>
          <w:kern w:val="2"/>
          <w:sz w:val="24"/>
          <w:szCs w:val="24"/>
          <w:lang w:val="en-US" w:eastAsia="zh-CN" w:bidi="ar-SA"/>
        </w:rPr>
        <w:t>场各区布局全面合理，应设办公区、生活区、生产区（饲草料区、牛舍、运动场）、粪污处理区和病畜隔离区，各区界限分明，生活区设在场区上风向。牛场应设净道和污道，净污两道界限分明，互不交叉。</w:t>
      </w:r>
    </w:p>
    <w:p w14:paraId="3DC510DD">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4" w:name="_Toc20106"/>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4.3牛舍</w:t>
      </w:r>
      <w:bookmarkEnd w:id="4"/>
    </w:p>
    <w:p w14:paraId="7A6C12D0">
      <w:pPr>
        <w:pStyle w:val="25"/>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kern w:val="2"/>
          <w:sz w:val="24"/>
          <w:szCs w:val="24"/>
          <w:lang w:val="en-US" w:eastAsia="zh-CN" w:bidi="ar-SA"/>
        </w:rPr>
      </w:pPr>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4.3.1</w:t>
      </w:r>
      <w:r>
        <w:rPr>
          <w:rFonts w:hint="default" w:ascii="Times New Roman" w:hAnsi="Times New Roman" w:eastAsia="宋体" w:cs="Times New Roman"/>
          <w:kern w:val="2"/>
          <w:sz w:val="24"/>
          <w:szCs w:val="24"/>
          <w:lang w:val="en-US" w:eastAsia="zh-CN" w:bidi="ar-SA"/>
        </w:rPr>
        <w:t>牛舍可选择半开放或封闭式，应经济实用。牛舍应冬防寒、夏防暑，通风与采光良好，舍内保持干燥。牛舍地面防水防滑且易于排水。牛舍屋顶材质应质轻、防水火、保温隔热。牛舍内应设置饲槽、自动饮水装置、饲料通道、粪污沟。饲槽易于取食与清理，每2头牛设置1个自动饮水装置，饲料通道便于机械化投料设备通行，粪污沟易于清洁排污。</w:t>
      </w:r>
    </w:p>
    <w:p w14:paraId="64A2C85B">
      <w:pPr>
        <w:pStyle w:val="25"/>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4.3.2</w:t>
      </w:r>
      <w:r>
        <w:rPr>
          <w:rFonts w:hint="default" w:ascii="Times New Roman" w:hAnsi="Times New Roman" w:eastAsia="宋体" w:cs="Times New Roman"/>
          <w:kern w:val="2"/>
          <w:sz w:val="24"/>
          <w:szCs w:val="24"/>
          <w:lang w:val="en-US" w:eastAsia="zh-CN" w:bidi="ar-SA"/>
        </w:rPr>
        <w:t>规模化养殖场应建有单独的母牛舍、犊牛舍、育成牛舍、育肥牛舍并配备运动场。</w:t>
      </w:r>
    </w:p>
    <w:p w14:paraId="1B7E411E">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5" w:name="_Toc2844"/>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4.4设施设备</w:t>
      </w:r>
      <w:bookmarkEnd w:id="5"/>
    </w:p>
    <w:p w14:paraId="5D1EE930">
      <w:pPr>
        <w:pStyle w:val="25"/>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2"/>
          <w:sz w:val="24"/>
          <w:szCs w:val="24"/>
          <w:lang w:val="en-US" w:eastAsia="zh-CN" w:bidi="ar-SA"/>
        </w:rPr>
        <w:t>张家川红花牛规模化养殖场应配备饲草料加工设备、自动化喂料及饮水设备、自动化牛只管理设备（个</w:t>
      </w:r>
      <w:r>
        <w:rPr>
          <w:rFonts w:hint="eastAsia" w:ascii="Times New Roman" w:hAnsi="Times New Roman" w:eastAsia="宋体" w:cs="Times New Roman"/>
          <w:kern w:val="2"/>
          <w:sz w:val="24"/>
          <w:szCs w:val="24"/>
          <w:lang w:val="en-US" w:eastAsia="zh-CN" w:bidi="ar-SA"/>
        </w:rPr>
        <w:t>体</w:t>
      </w:r>
      <w:r>
        <w:rPr>
          <w:rFonts w:hint="default" w:ascii="Times New Roman" w:hAnsi="Times New Roman" w:eastAsia="宋体" w:cs="Times New Roman"/>
          <w:kern w:val="2"/>
          <w:sz w:val="24"/>
          <w:szCs w:val="24"/>
          <w:lang w:val="en-US" w:eastAsia="zh-CN" w:bidi="ar-SA"/>
        </w:rPr>
        <w:t>识别、称重设备）、清粪设备、智能化环境监控与调控设备、防疫消毒设施设备及信息化管理系统。</w:t>
      </w:r>
    </w:p>
    <w:p w14:paraId="43F7B9B8">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确定依据：</w:t>
      </w:r>
    </w:p>
    <w:p w14:paraId="1F9EA8B2">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根据《中华人民共和国畜牧法》及各地土地利用规划管理制度，畜禽养殖场建设应当遵循土地利用总体规划或国土空间规划和农业产业发展规划，统筹考虑保护环境与促进畜牧业发展的需要，坚持合理布局、种养循环、绿色高效的原则。选址符合当地土地利用规划和养殖要求，既是国家法律法规的强制性要求，也是确保牛场长期稳定运营、避免因规划调整导致搬迁或关停的政策保障。</w:t>
      </w:r>
    </w:p>
    <w:p w14:paraId="21B776DC">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动物防疫条件审查办法》明确规定，动物饲养场、养殖小区选址应当距离城镇居民区、文化教育科研等人口集中区域及公路、铁路等主要交通干线500米以上。这一距离要求是基于动物疫病防控的实际需要，同时也有利于减少养殖活动对周边居民生活环境的干扰。肉牛怕热，喜干怕湿，不喜贼风，因此红花牛养殖场</w:t>
      </w:r>
      <w:r>
        <w:rPr>
          <w:rFonts w:hint="default" w:ascii="Times New Roman" w:hAnsi="Times New Roman" w:cs="Times New Roman" w:eastAsiaTheme="minorEastAsia"/>
          <w:kern w:val="2"/>
          <w:sz w:val="24"/>
          <w:szCs w:val="24"/>
          <w:lang w:val="en-US" w:eastAsia="zh-CN" w:bidi="ar-SA"/>
        </w:rPr>
        <w:t>在规划建设时要</w:t>
      </w:r>
      <w:r>
        <w:rPr>
          <w:rFonts w:hint="default" w:ascii="Times New Roman" w:hAnsi="Times New Roman" w:cs="Times New Roman"/>
          <w:kern w:val="2"/>
          <w:sz w:val="24"/>
          <w:szCs w:val="24"/>
          <w:lang w:val="en-US" w:eastAsia="zh-CN" w:bidi="ar-SA"/>
        </w:rPr>
        <w:t>结合</w:t>
      </w:r>
      <w:r>
        <w:rPr>
          <w:rFonts w:hint="default" w:ascii="Times New Roman" w:hAnsi="Times New Roman" w:cs="Times New Roman" w:eastAsiaTheme="minorEastAsia"/>
          <w:kern w:val="2"/>
          <w:sz w:val="24"/>
          <w:szCs w:val="24"/>
          <w:lang w:val="en-US" w:eastAsia="zh-CN" w:bidi="ar-SA"/>
        </w:rPr>
        <w:t>牛生理特点</w:t>
      </w:r>
      <w:r>
        <w:rPr>
          <w:rFonts w:hint="default" w:ascii="Times New Roman" w:hAnsi="Times New Roman" w:cs="Times New Roman"/>
          <w:kern w:val="2"/>
          <w:sz w:val="24"/>
          <w:szCs w:val="24"/>
          <w:lang w:val="en-US" w:eastAsia="zh-CN" w:bidi="ar-SA"/>
        </w:rPr>
        <w:t>及当地气候特点</w:t>
      </w:r>
      <w:r>
        <w:rPr>
          <w:rFonts w:hint="default" w:ascii="Times New Roman" w:hAnsi="Times New Roman" w:cs="Times New Roman" w:eastAsiaTheme="minorEastAsia"/>
          <w:kern w:val="2"/>
          <w:sz w:val="24"/>
          <w:szCs w:val="24"/>
          <w:lang w:val="en-US" w:eastAsia="zh-CN" w:bidi="ar-SA"/>
        </w:rPr>
        <w:t>，</w:t>
      </w:r>
      <w:r>
        <w:rPr>
          <w:rFonts w:hint="default" w:ascii="Times New Roman" w:hAnsi="Times New Roman" w:cs="Times New Roman"/>
          <w:kern w:val="2"/>
          <w:sz w:val="24"/>
          <w:szCs w:val="24"/>
          <w:lang w:val="en-US" w:eastAsia="zh-CN" w:bidi="ar-SA"/>
        </w:rPr>
        <w:t>兼顾夏季防暑、冬季防风保暖需求。养殖场用水量大，为保证牛舍干燥需及时排水。不同动物对病原体的易感性和携带情况各不相同，混养会增加交叉感染的风险，也不利于实施统一的免疫程序和疫病监测方案，是规模化养殖场防疫管理的基本原则之一。</w:t>
      </w:r>
    </w:p>
    <w:p w14:paraId="7939BA29">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NY/T 388《畜禽场环境质量标准》规定了畜禽场的空气、生态环境质量标准以及畜禽饮用水的水质标准。畜禽场的选址应远离居民区、水源保护区等敏感区域，避免对周边环境造成污染，布局应分区明确，防止交叉污染。NY/T 391《绿色食品 产地环境质量》则从绿色食品生产的角度对产地的空气质量、水质量和土壤环境质量提出了更严格的要求。上述两项标准相互补充，共同保障张家川红花牛养殖场地的环境品质符合绿色养殖要求。</w:t>
      </w:r>
    </w:p>
    <w:p w14:paraId="439E8507">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养殖场布局遵循生态、科学、节能的原则，为可持续发展，节约后续改造成本，尽可能覆盖全面、布局科学合理。本文件充分考虑红花牛养殖的各个环节，兼顾环境友好且便于生产操作及日常管理，确定布局建设原则。生活管理区应位于上风向或主导风向的侧风向，可最大限度降低恶臭气体和病原微生物对人员的污染风险，保障工作人员健康和生物安全。生产辅助区居中，养殖生产区位于下风向，粪污处理区位于最低洼、最下风向的位置，各区间距不小于50米，并设立物理隔离带。</w:t>
      </w:r>
    </w:p>
    <w:p w14:paraId="7FC5F592">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净道与污道分设，是防止交叉污染的核心措施之一。场内道路分设净道（饲料、人员通道）与污道（粪污、病死牛通道），避免交叉。生产区内清洁道、污染道分设。净道主要用于牛只周转、饲养员行走和运料等，污道主要用于粪污等废弃物出场。</w:t>
      </w:r>
    </w:p>
    <w:p w14:paraId="7582C1E7">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牛舍修建应力求经济合理，在满足生产要求的前提下尽量降低工程投资，尽量利用自然界的有利条件（如自然通风、自然光照），尽量就地取材。半开放式牛舍既能在冬季有效御寒，又能在夏季充分利用自然通风散热，是适宜</w:t>
      </w:r>
      <w:r>
        <w:rPr>
          <w:rFonts w:hint="eastAsia" w:cs="Times New Roman"/>
          <w:kern w:val="2"/>
          <w:sz w:val="24"/>
          <w:szCs w:val="24"/>
          <w:lang w:val="en-US" w:eastAsia="zh-CN" w:bidi="ar-SA"/>
        </w:rPr>
        <w:t>张家川地</w:t>
      </w:r>
      <w:r>
        <w:rPr>
          <w:rFonts w:hint="default" w:ascii="Times New Roman" w:hAnsi="Times New Roman" w:cs="Times New Roman"/>
          <w:kern w:val="2"/>
          <w:sz w:val="24"/>
          <w:szCs w:val="24"/>
          <w:lang w:val="en-US" w:eastAsia="zh-CN" w:bidi="ar-SA"/>
        </w:rPr>
        <w:t>区的经济实用型建筑方案。</w:t>
      </w:r>
      <w:r>
        <w:rPr>
          <w:rFonts w:hint="eastAsia" w:cs="Times New Roman"/>
          <w:kern w:val="2"/>
          <w:sz w:val="24"/>
          <w:szCs w:val="24"/>
          <w:lang w:val="en-US" w:eastAsia="zh-CN" w:bidi="ar-SA"/>
        </w:rPr>
        <w:t>也可根据实际生产需求选择封闭式牛舍。</w:t>
      </w:r>
      <w:r>
        <w:rPr>
          <w:rFonts w:hint="default" w:ascii="Times New Roman" w:hAnsi="Times New Roman" w:cs="Times New Roman"/>
          <w:kern w:val="2"/>
          <w:sz w:val="24"/>
          <w:szCs w:val="24"/>
          <w:lang w:val="en-US" w:eastAsia="zh-CN" w:bidi="ar-SA"/>
        </w:rPr>
        <w:t>牛舍修建要尽量利用自然界的有利条件，满足冬季可防寒、避风夏季可避暑及采光需求。</w:t>
      </w:r>
    </w:p>
    <w:p w14:paraId="6D0AFD2B">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牛舍地面应采用防滑水泥地面或橡胶垫，便于清洁。舍内通道铺设防滑条纹，坡度1%</w:t>
      </w:r>
      <w:r>
        <w:rPr>
          <w:rFonts w:hint="default" w:ascii="Times New Roman" w:hAnsi="Times New Roman" w:eastAsia="宋体"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2%，避免积水。保持舍内干燥是降低病原微生物繁殖、减少空气中有害气体浓度的根本性措施。过于潮湿的圈舍环境会加剧蹄病、消化道疾病和呼吸道疾病的发生。屋顶材质需具备轻质、防火、防水、保温隔热等多重功能，既是基于安全生产的消防要求（预防火灾），也是保证冬季保温、夏季隔热的节能需求。舍内应设置饲槽、自动饮水器、饲料通道、饲槽设计应易于牛只采食及清理。为满足机械化操作，饲料通道应便于投料设备通行。</w:t>
      </w:r>
    </w:p>
    <w:p w14:paraId="7D8477B7">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根据牛只不同生理阶段的营养需求、环境要求和行为特性实行分群饲养，可以提高生产效率。因此，在牛舍建设上要分类建舍，为保证牛只健康应设置运动场。</w:t>
      </w:r>
    </w:p>
    <w:p w14:paraId="0F45D33A">
      <w:pPr>
        <w:pStyle w:val="3"/>
        <w:keepNext w:val="0"/>
        <w:keepLines w:val="0"/>
        <w:pageBreakBefore w:val="0"/>
        <w:widowControl/>
        <w:kinsoku/>
        <w:wordWrap/>
        <w:overflowPunct/>
        <w:topLinePunct w:val="0"/>
        <w:bidi w:val="0"/>
        <w:adjustRightInd w:val="0"/>
        <w:snapToGrid w:val="0"/>
        <w:spacing w:line="360" w:lineRule="auto"/>
        <w:ind w:firstLine="480" w:firstLineChars="200"/>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近年来，中共中央、国务院每年发布的“一号文件”对畜牧业发展的重要部署中，明确提出要推进农业现代化，智慧化养殖是畜牧业发展的必然方向。智慧化养殖在红花牛产业发展中已有良好实践经验，据报道，张家川县龙山镇牧歌养殖合作社应用智能饲喂系统，根据牛群不同生长阶段定制营养配方，实现定时定量投放。此举使红花牛日均增重提升15%，饲料浪费减少10%。养殖户马建平为每头牛配备</w:t>
      </w:r>
      <w:r>
        <w:rPr>
          <w:rFonts w:hint="eastAsia"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电子身份证</w:t>
      </w:r>
      <w:r>
        <w:rPr>
          <w:rFonts w:hint="eastAsia"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生长数据实时上传，实现云端管理；恒温牛舍与线上补贴申领等举措，进一步降低了养殖成本，提升了经营便利性。这些事例说明红花牛产业高质量发展，智慧化养殖是重要举措之一。因此，本文件在标准化牛场设施设备配备中充分考虑智慧化养殖的需求，将目前应用比较成熟的现代化设施设备及管理系统作为文件内容。</w:t>
      </w:r>
    </w:p>
    <w:p w14:paraId="512AC99B">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6" w:name="_Toc23030"/>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5饲料与营养需要</w:t>
      </w:r>
      <w:bookmarkEnd w:id="6"/>
    </w:p>
    <w:p w14:paraId="20200C35">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7" w:name="_Toc2090"/>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5.1饲料</w:t>
      </w:r>
      <w:bookmarkEnd w:id="7"/>
    </w:p>
    <w:p w14:paraId="4E650C07">
      <w:pPr>
        <w:pStyle w:val="14"/>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Times New Roman" w:hAnsi="Times New Roman" w:cs="Times New Roman" w:eastAsiaTheme="minorEastAsia"/>
          <w:kern w:val="2"/>
          <w:sz w:val="24"/>
          <w:szCs w:val="24"/>
          <w:lang w:val="en-US" w:eastAsia="zh-CN" w:bidi="ar-SA"/>
        </w:rPr>
      </w:pPr>
      <w:r>
        <w:rPr>
          <w:rFonts w:hint="eastAsia" w:ascii="Times New Roman" w:hAnsi="Times New Roman" w:cs="Times New Roman" w:eastAsiaTheme="minorEastAsia"/>
          <w:kern w:val="2"/>
          <w:sz w:val="24"/>
          <w:szCs w:val="24"/>
          <w:lang w:val="en-US" w:eastAsia="zh-CN" w:bidi="ar-SA"/>
        </w:rPr>
        <w:t>优先选用张家川当地优质牧草、秸秆和青贮饲料。饲料、饲料原料和饲料添加剂应符合NY/T471的规定。所使用的粗饲料、精饲料、饲料添加剂、舔砖等质量安全控制按照GB 13078的规定执行。</w:t>
      </w:r>
    </w:p>
    <w:p w14:paraId="2F9EF701">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8" w:name="_Toc29689"/>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5.2营养需要</w:t>
      </w:r>
      <w:bookmarkEnd w:id="8"/>
    </w:p>
    <w:p w14:paraId="3200CEB0">
      <w:pPr>
        <w:pStyle w:val="14"/>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cs="Times New Roman"/>
          <w:kern w:val="2"/>
          <w:sz w:val="24"/>
          <w:szCs w:val="24"/>
          <w:lang w:val="en-US" w:eastAsia="zh-CN" w:bidi="ar-SA"/>
        </w:rPr>
        <w:t>不同阶段红花牛饲养标准</w:t>
      </w:r>
      <w:r>
        <w:rPr>
          <w:rFonts w:hint="default" w:ascii="Times New Roman" w:hAnsi="Times New Roman" w:eastAsia="宋体" w:cs="Times New Roman"/>
          <w:kern w:val="2"/>
          <w:sz w:val="24"/>
          <w:szCs w:val="24"/>
          <w:lang w:val="en-US" w:eastAsia="zh-CN" w:bidi="ar-SA"/>
        </w:rPr>
        <w:t>应符合NY/T 815</w:t>
      </w:r>
      <w:r>
        <w:rPr>
          <w:rFonts w:hint="default" w:ascii="Times New Roman" w:hAnsi="Times New Roman" w:cs="Times New Roman"/>
          <w:kern w:val="2"/>
          <w:sz w:val="24"/>
          <w:szCs w:val="24"/>
          <w:lang w:val="en-US" w:eastAsia="zh-CN" w:bidi="ar-SA"/>
        </w:rPr>
        <w:t>的规定，</w:t>
      </w:r>
      <w:r>
        <w:rPr>
          <w:rFonts w:hint="default" w:ascii="Times New Roman" w:hAnsi="Times New Roman" w:eastAsia="宋体" w:cs="Times New Roman"/>
          <w:kern w:val="2"/>
          <w:sz w:val="24"/>
          <w:szCs w:val="24"/>
          <w:lang w:val="en-US" w:eastAsia="zh-CN" w:bidi="ar-SA"/>
        </w:rPr>
        <w:t>日粮营养配比应满足不同阶段牛只的</w:t>
      </w:r>
      <w:r>
        <w:rPr>
          <w:rFonts w:hint="default" w:ascii="Times New Roman" w:hAnsi="Times New Roman" w:cs="Times New Roman"/>
          <w:kern w:val="2"/>
          <w:sz w:val="24"/>
          <w:szCs w:val="24"/>
          <w:lang w:val="en-US" w:eastAsia="zh-CN" w:bidi="ar-SA"/>
        </w:rPr>
        <w:t>营养需要</w:t>
      </w:r>
      <w:r>
        <w:rPr>
          <w:rFonts w:hint="default" w:ascii="Times New Roman" w:hAnsi="Times New Roman" w:eastAsia="宋体" w:cs="Times New Roman"/>
          <w:kern w:val="2"/>
          <w:sz w:val="24"/>
          <w:szCs w:val="24"/>
          <w:lang w:val="en-US" w:eastAsia="zh-CN" w:bidi="ar-SA"/>
        </w:rPr>
        <w:t>，蛋白质、能量、维生素和矿物质含量平衡，可采用全混合日粮（TMR）等饲喂方式</w:t>
      </w:r>
      <w:r>
        <w:rPr>
          <w:rFonts w:hint="default" w:ascii="Times New Roman" w:hAnsi="Times New Roman" w:cs="Times New Roman"/>
          <w:kern w:val="2"/>
          <w:sz w:val="24"/>
          <w:szCs w:val="24"/>
          <w:lang w:val="en-US" w:eastAsia="zh-CN" w:bidi="ar-SA"/>
        </w:rPr>
        <w:t>。</w:t>
      </w:r>
    </w:p>
    <w:p w14:paraId="6E9406DD">
      <w:pPr>
        <w:keepNext w:val="0"/>
        <w:keepLines w:val="0"/>
        <w:pageBreakBefore w:val="0"/>
        <w:numPr>
          <w:ilvl w:val="0"/>
          <w:numId w:val="0"/>
        </w:numPr>
        <w:kinsoku/>
        <w:wordWrap/>
        <w:overflowPunct/>
        <w:topLinePunct w:val="0"/>
        <w:bidi w:val="0"/>
        <w:adjustRightInd w:val="0"/>
        <w:snapToGrid w:val="0"/>
        <w:spacing w:line="360" w:lineRule="auto"/>
        <w:ind w:firstLine="480" w:firstLineChars="200"/>
        <w:textAlignment w:val="auto"/>
        <w:rPr>
          <w:rFonts w:hint="eastAsia" w:ascii="Times New Roman" w:hAnsi="Times New Roman" w:cs="Times New Roman"/>
          <w:kern w:val="2"/>
          <w:sz w:val="24"/>
          <w:szCs w:val="24"/>
          <w:lang w:val="en-US" w:eastAsia="zh-CN" w:bidi="ar-SA"/>
        </w:rPr>
      </w:pPr>
      <w:r>
        <w:rPr>
          <w:rFonts w:hint="eastAsia" w:ascii="Times New Roman" w:hAnsi="Times New Roman" w:cs="Times New Roman"/>
          <w:kern w:val="2"/>
          <w:sz w:val="24"/>
          <w:szCs w:val="24"/>
          <w:lang w:val="en-US" w:eastAsia="zh-CN" w:bidi="ar-SA"/>
        </w:rPr>
        <w:t>确定依据：</w:t>
      </w:r>
    </w:p>
    <w:p w14:paraId="3BC29511">
      <w:pPr>
        <w:keepNext w:val="0"/>
        <w:keepLines w:val="0"/>
        <w:pageBreakBefore w:val="0"/>
        <w:numPr>
          <w:ilvl w:val="0"/>
          <w:numId w:val="0"/>
        </w:numPr>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张家川县农作物秸秆资源丰富，各类农作物秸秆如玉米秸秆、小麦秸秆、油料、豆类、薯类等其他秸秆等均储量丰富，但利用率偏低。随着红花肉牛产业的不断发展，张家川县结合退耕还林还草，扩大优质牧草种植面积。以养殖小区、养殖大户 (场) 和专业村为重点，狠抓饲草料的青贮氨化，极大地提高了秸秆的利用率，夯实了畜牧业发展基础。优先选用当地优质粗饲料能够保留红花牛耐粗饲、肉质优良的遗传特性，降低远距离饲料运输的成本。</w:t>
      </w:r>
    </w:p>
    <w:p w14:paraId="21C241E8">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kern w:val="0"/>
          <w:sz w:val="24"/>
          <w:szCs w:val="24"/>
          <w:lang w:val="en-US" w:eastAsia="zh-CN"/>
        </w:rPr>
      </w:pPr>
      <w:r>
        <w:rPr>
          <w:rFonts w:hint="default" w:ascii="Times New Roman" w:hAnsi="Times New Roman" w:cs="Times New Roman" w:eastAsiaTheme="minorEastAsia"/>
          <w:kern w:val="2"/>
          <w:sz w:val="24"/>
          <w:szCs w:val="24"/>
          <w:lang w:val="en-US" w:eastAsia="zh-CN" w:bidi="ar-SA"/>
        </w:rPr>
        <w:t>NY/T 471《绿色食品 畜禽饲料及饲料添加剂使用准则》规定了绿色食品生产中畜禽饲料及饲料添加剂使用的原则、范围、条件和限量要求。饲料和饲料添加剂的质量应符合《饲料卫生标准》（GB 13078）的规定和产品质量标准。上述标准从源头上把控饲料品质，确保符合绿色食品认证的整体要求。</w:t>
      </w:r>
    </w:p>
    <w:p w14:paraId="4E3D2C0A">
      <w:pPr>
        <w:pStyle w:val="14"/>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NY/T 815《肉牛饲养标准》规定了肉牛各生长发育阶段和不同生理状态下的能量、蛋白质、矿物质、维生素的推荐需要量，是指导我国肉牛科学饲养的核心技术文件。</w:t>
      </w:r>
    </w:p>
    <w:p w14:paraId="3B920ED8">
      <w:pPr>
        <w:pStyle w:val="14"/>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TMR技术通过一次性均衡搅拌供给全部日粮，有助于解决传统养殖过程中存在的饲料营养不均衡、饲喂方法不合理等问题</w:t>
      </w:r>
      <w:r>
        <w:rPr>
          <w:rFonts w:hint="eastAsia" w:ascii="Times New Roman" w:cs="Times New Roman" w:eastAsiaTheme="minorEastAsia"/>
          <w:kern w:val="2"/>
          <w:sz w:val="24"/>
          <w:szCs w:val="24"/>
          <w:lang w:val="en-US" w:eastAsia="zh-CN" w:bidi="ar-SA"/>
        </w:rPr>
        <w:t>，</w:t>
      </w:r>
      <w:r>
        <w:rPr>
          <w:rFonts w:hint="default" w:ascii="Times New Roman" w:hAnsi="Times New Roman" w:cs="Times New Roman" w:eastAsiaTheme="minorEastAsia"/>
          <w:kern w:val="2"/>
          <w:sz w:val="24"/>
          <w:szCs w:val="24"/>
          <w:lang w:val="en-US" w:eastAsia="zh-CN" w:bidi="ar-SA"/>
        </w:rPr>
        <w:t>可增加肉牛采食量，提高饲料转化率和肉牛日增重。因此，在文件中规定可采用全混合日粮（TMR）等饲喂方式，契合张家川红花牛从农户散养走向规模化、标准化养殖的实际需要。</w:t>
      </w:r>
    </w:p>
    <w:p w14:paraId="12CA6CA8">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9" w:name="_Toc14653"/>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6不同阶段牛饲养管理</w:t>
      </w:r>
      <w:bookmarkEnd w:id="9"/>
    </w:p>
    <w:p w14:paraId="483BB1BE">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10" w:name="_Toc19340"/>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6.1犊牛</w:t>
      </w:r>
      <w:bookmarkEnd w:id="10"/>
    </w:p>
    <w:p w14:paraId="193A034D">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6.1.1</w:t>
      </w:r>
      <w:r>
        <w:rPr>
          <w:rFonts w:hint="default" w:ascii="Times New Roman" w:hAnsi="Times New Roman" w:eastAsia="宋体" w:cs="Times New Roman"/>
          <w:sz w:val="24"/>
          <w:szCs w:val="24"/>
          <w:lang w:val="en-US" w:eastAsia="zh-CN"/>
        </w:rPr>
        <w:t>犊牛出生后立即清理口鼻分泌物，待母牛舔干羊水，1小时内哺喂充足初乳</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科学断脐，同时做好编号、标识和建档。</w:t>
      </w:r>
    </w:p>
    <w:p w14:paraId="045CB19C">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6.1.2</w:t>
      </w:r>
      <w:r>
        <w:rPr>
          <w:rFonts w:hint="default" w:ascii="Times New Roman" w:hAnsi="Times New Roman" w:eastAsia="宋体" w:cs="Times New Roman"/>
          <w:sz w:val="24"/>
          <w:szCs w:val="24"/>
          <w:lang w:val="en-US" w:eastAsia="zh-CN"/>
        </w:rPr>
        <w:t>产后犊牛需保温防暑，加强犊牛采食、排便、断脐后状态等健康状况观察，发现异常及时诊治。</w:t>
      </w:r>
    </w:p>
    <w:p w14:paraId="14A32F79">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6.1.3</w:t>
      </w:r>
      <w:r>
        <w:rPr>
          <w:rFonts w:hint="default" w:ascii="Times New Roman" w:hAnsi="Times New Roman" w:eastAsia="宋体" w:cs="Times New Roman"/>
          <w:sz w:val="24"/>
          <w:szCs w:val="24"/>
          <w:lang w:val="en-US" w:eastAsia="zh-CN"/>
        </w:rPr>
        <w:t>采用逐渐断奶法，7日龄后逐步引导犊牛开始采食适量青干草，以紫花苜蓿为佳。10日龄后训练采食犊牛专用料，数日后增加饲喂量，4月～6月龄断奶，断奶时佩戴耳标以便跟踪，断奶后分群饲养。</w:t>
      </w:r>
    </w:p>
    <w:p w14:paraId="07FD83FD">
      <w:pPr>
        <w:pStyle w:val="3"/>
        <w:keepNext w:val="0"/>
        <w:keepLines w:val="0"/>
        <w:pageBreakBefore w:val="0"/>
        <w:widowControl/>
        <w:kinsoku/>
        <w:wordWrap/>
        <w:overflowPunct/>
        <w:topLinePunct w:val="0"/>
        <w:bidi w:val="0"/>
        <w:adjustRightInd w:val="0"/>
        <w:snapToGrid w:val="0"/>
        <w:spacing w:line="360" w:lineRule="auto"/>
        <w:textAlignment w:val="auto"/>
        <w:outlineLvl w:val="2"/>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确定依据：</w:t>
      </w:r>
    </w:p>
    <w:p w14:paraId="703EF215">
      <w:pPr>
        <w:keepNext w:val="0"/>
        <w:keepLines w:val="0"/>
        <w:pageBreakBefore w:val="0"/>
        <w:numPr>
          <w:ilvl w:val="0"/>
          <w:numId w:val="0"/>
        </w:numPr>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在养牛业中，犊牛的饲养管理质量直接影响犊牛成活率、健康水平及后期生长性能。犊牛饲养管理包括初生犊牛护理、常乳期犊牛饲养管理及断奶期犊牛饲养管理。初生犊牛护理应以保证呼吸通畅、防寒保暖、科学断脐、及时哺喂初乳为原则要点，确保新生犊牛健康存活，并对犊牛进行标识。在常乳期逐步训练犊牛采食开食料和青干草（以紫花苜蓿为佳），增加日增重，促进犊牛健康成长。在断奶期要采用科学的断奶方法，建议采用逐步断奶法，注意精粗饲料配比，确保犊牛平稳断奶。</w:t>
      </w:r>
    </w:p>
    <w:p w14:paraId="2B5DA737">
      <w:pPr>
        <w:keepNext w:val="0"/>
        <w:keepLines w:val="0"/>
        <w:pageBreakBefore w:val="0"/>
        <w:numPr>
          <w:ilvl w:val="0"/>
          <w:numId w:val="0"/>
        </w:numPr>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新生犊牛体温调节中枢尚未发育成熟，冬季易因低温引发肺炎、腹泻，夏季易热应激导致脱水、食欲下降。产后犊牛需保温防暑是新生犊牛存活管理的首要原则。为保证新生犊牛健康，应每天密切观察犊牛的采食行为（活力、吮乳反应）、排便性状（稀便或血便预示消化道疾病）、精神状态以及断脐部位的渗血或红肿情况，发现异常及时诊治。加强早期健康观察、及时就诊可大幅降低新生犊牛的死亡率，提升养殖收益。</w:t>
      </w:r>
    </w:p>
    <w:p w14:paraId="4C232FA9">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eastAsiaTheme="minorEastAsia"/>
          <w:kern w:val="2"/>
          <w:sz w:val="24"/>
          <w:szCs w:val="24"/>
          <w:lang w:val="en-US" w:eastAsia="zh-CN" w:bidi="ar-SA"/>
        </w:rPr>
      </w:pPr>
      <w:r>
        <w:rPr>
          <w:rFonts w:hint="default" w:ascii="Times New Roman" w:hAnsi="Times New Roman" w:cs="Times New Roman" w:eastAsiaTheme="minorEastAsia"/>
          <w:kern w:val="2"/>
          <w:sz w:val="24"/>
          <w:szCs w:val="24"/>
          <w:lang w:val="en-US" w:eastAsia="zh-CN" w:bidi="ar-SA"/>
        </w:rPr>
        <w:t>7日龄开始补给高质量粗饲料（以紫花苜蓿为主的青干草）可刺激瘤胃微生物区系早期定植，促进瘤胃乳头成熟及容积增加。10日龄开始训练采食犊牛专用开食料，数日后逐步增加饲喂量，是平稳度过断奶应激期的关键技术。通常在4</w:t>
      </w:r>
      <w:r>
        <w:rPr>
          <w:rFonts w:hint="eastAsia" w:ascii="Times New Roman" w:hAnsi="Times New Roman" w:cs="Times New Roman" w:eastAsiaTheme="minorEastAsia"/>
          <w:kern w:val="2"/>
          <w:sz w:val="24"/>
          <w:szCs w:val="24"/>
          <w:lang w:val="en-US" w:eastAsia="zh-CN" w:bidi="ar-SA"/>
        </w:rPr>
        <w:t>月</w:t>
      </w:r>
      <w:r>
        <w:rPr>
          <w:rFonts w:hint="default" w:ascii="Times New Roman" w:hAnsi="Times New Roman" w:cs="Times New Roman" w:eastAsiaTheme="minorEastAsia"/>
          <w:kern w:val="2"/>
          <w:sz w:val="24"/>
          <w:szCs w:val="24"/>
          <w:lang w:val="en-US" w:eastAsia="zh-CN" w:bidi="ar-SA"/>
        </w:rPr>
        <w:t>～6月龄断奶</w:t>
      </w:r>
      <w:r>
        <w:rPr>
          <w:rFonts w:hint="eastAsia" w:ascii="Times New Roman" w:hAnsi="Times New Roman" w:cs="Times New Roman" w:eastAsiaTheme="minorEastAsia"/>
          <w:kern w:val="2"/>
          <w:sz w:val="24"/>
          <w:szCs w:val="24"/>
          <w:lang w:val="en-US" w:eastAsia="zh-CN" w:bidi="ar-SA"/>
        </w:rPr>
        <w:t>，</w:t>
      </w:r>
      <w:r>
        <w:rPr>
          <w:rFonts w:hint="default" w:ascii="Times New Roman" w:hAnsi="Times New Roman" w:cs="Times New Roman" w:eastAsiaTheme="minorEastAsia"/>
          <w:kern w:val="2"/>
          <w:sz w:val="24"/>
          <w:szCs w:val="24"/>
          <w:lang w:val="en-US" w:eastAsia="zh-CN" w:bidi="ar-SA"/>
        </w:rPr>
        <w:t>过早断奶易造成生长抑制，过晚会影响母牛产后体况恢复。断奶后按性别、月龄相近原则分群饲养，可使牛群整齐度高也便于后期育肥和饲料批量调配。</w:t>
      </w:r>
    </w:p>
    <w:p w14:paraId="621317FB">
      <w:pPr>
        <w:pStyle w:val="14"/>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lang w:val="en-US" w:eastAsia="zh-CN"/>
        </w:rPr>
      </w:pPr>
      <w:r>
        <w:rPr>
          <w:rFonts w:hint="eastAsia" w:ascii="Times New Roman" w:cs="Times New Roman" w:eastAsiaTheme="minorEastAsia"/>
          <w:kern w:val="2"/>
          <w:sz w:val="24"/>
          <w:szCs w:val="24"/>
          <w:lang w:val="en-US" w:eastAsia="zh-CN" w:bidi="ar-SA"/>
        </w:rPr>
        <w:t>2.6.2 育成牛</w:t>
      </w:r>
    </w:p>
    <w:p w14:paraId="505CF5AC">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6.2.1</w:t>
      </w:r>
      <w:r>
        <w:rPr>
          <w:rFonts w:hint="default" w:ascii="Times New Roman" w:hAnsi="Times New Roman" w:eastAsia="宋体" w:cs="Times New Roman"/>
          <w:sz w:val="24"/>
          <w:szCs w:val="24"/>
          <w:lang w:val="en-US" w:eastAsia="zh-CN"/>
        </w:rPr>
        <w:t>育成牛应按性别、年龄、体重进行合理分群，防止早配。</w:t>
      </w:r>
    </w:p>
    <w:p w14:paraId="17BADCD6">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6.2.2</w:t>
      </w:r>
      <w:r>
        <w:rPr>
          <w:rFonts w:hint="default" w:ascii="Times New Roman" w:hAnsi="Times New Roman" w:eastAsia="宋体" w:cs="Times New Roman"/>
          <w:sz w:val="24"/>
          <w:szCs w:val="24"/>
          <w:lang w:val="en-US" w:eastAsia="zh-CN"/>
        </w:rPr>
        <w:t>育成牛每日自由运动时间不少于3h。</w:t>
      </w:r>
    </w:p>
    <w:p w14:paraId="33484FAB">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6.2.3</w:t>
      </w:r>
      <w:r>
        <w:rPr>
          <w:rFonts w:hint="default" w:ascii="Times New Roman" w:hAnsi="Times New Roman" w:eastAsia="宋体" w:cs="Times New Roman"/>
          <w:sz w:val="24"/>
          <w:szCs w:val="24"/>
          <w:lang w:val="en-US" w:eastAsia="zh-CN"/>
        </w:rPr>
        <w:t>以当地优质粗饲料为主，适度补充精料，保证蛋白质和矿物元素摄入量，促进骨骼和器官发育。</w:t>
      </w:r>
    </w:p>
    <w:p w14:paraId="29A292BC">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kern w:val="0"/>
          <w:sz w:val="24"/>
          <w:szCs w:val="24"/>
          <w:lang w:val="en-US" w:eastAsia="zh-CN" w:bidi="ar-SA"/>
        </w:rPr>
      </w:pPr>
      <w:r>
        <w:rPr>
          <w:rFonts w:hint="eastAsia" w:ascii="Times New Roman" w:eastAsia="黑体" w:cs="Times New Roman"/>
          <w:kern w:val="0"/>
          <w:sz w:val="24"/>
          <w:szCs w:val="24"/>
          <w:lang w:val="en-US" w:eastAsia="zh-CN" w:bidi="ar-SA"/>
        </w:rPr>
        <w:t>2.</w:t>
      </w:r>
      <w:r>
        <w:rPr>
          <w:rFonts w:hint="default" w:ascii="Times New Roman" w:hAnsi="Times New Roman" w:eastAsia="黑体" w:cs="Times New Roman"/>
          <w:kern w:val="0"/>
          <w:sz w:val="24"/>
          <w:szCs w:val="24"/>
          <w:lang w:val="en-US" w:eastAsia="zh-CN" w:bidi="ar-SA"/>
        </w:rPr>
        <w:t>6.2.4</w:t>
      </w:r>
      <w:r>
        <w:rPr>
          <w:rFonts w:hint="default" w:ascii="Times New Roman" w:hAnsi="Times New Roman" w:eastAsia="宋体" w:cs="Times New Roman"/>
          <w:kern w:val="0"/>
          <w:sz w:val="24"/>
          <w:szCs w:val="24"/>
          <w:lang w:val="en-US" w:eastAsia="zh-CN" w:bidi="ar-SA"/>
        </w:rPr>
        <w:t>青年母牛配种前进行体况评定，确保膘情适中，体质健康。</w:t>
      </w:r>
    </w:p>
    <w:p w14:paraId="2FC59DF1">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确定依据：</w:t>
      </w:r>
    </w:p>
    <w:p w14:paraId="6B6852E1">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育成牛处于生长速度最快、代谢最旺盛的时期，科学的分群管理是保证其正常发育、防止过早配种的关键。研究表明，育成牛应公母分群饲养，同时应以育成母牛年龄分阶段饲养管理，及时转群，一般在12月龄、18月龄、妊娠后分3次转群，同时称重并结合体尺测量，对生长发育不良的予以淘汰。在分群管理方面，应按月龄、体重、妊娠阶段相近的原则合理分群，育成牛需以粗饲料为主控制膘情，体况过肥公牛影响发情，母牛则影响妊娠和分娩。</w:t>
      </w:r>
    </w:p>
    <w:p w14:paraId="368A3601">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育成牛处于生长发育的关键阶段，代谢旺盛、活动需求高，应保证不少于3小时的自由运动。充足的运动能促进钙磷代谢，强化骨骼发育，降低因运动不足导致的肢蹄病发生率。</w:t>
      </w:r>
    </w:p>
    <w:p w14:paraId="046A8DBB">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育成牛的饲养应根据不同阶段合理调配日粮结构。张家川县饲草料资源丰富，以当地优质粗饲料为主可降低饲料成本，适度补充精料可保证生长所需的蛋白质和能量，充足的钙、磷等矿物元素对骨骼发育至关重要。</w:t>
      </w:r>
    </w:p>
    <w:p w14:paraId="30DE235F">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体况评分是评估母牛能量储备的重要参考，对提高繁殖性能具有重要作用。肉牛体况评分适用于繁殖母牛，通过体况评分调整日粮结构或饲养管理措施，可以使繁殖母牛群处于理想的体况，有利于提高母牛生产性能和牛群健康水平，有利于延长母牛利用年限，最终达到提高经济效益的目的。大多数肉牛体况评分在5～7之间时繁殖性能最佳。</w:t>
      </w:r>
    </w:p>
    <w:p w14:paraId="33B5787B">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11" w:name="_Toc23950"/>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6.3繁殖母牛</w:t>
      </w:r>
      <w:bookmarkEnd w:id="11"/>
    </w:p>
    <w:p w14:paraId="0121C6E9">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6.3.1</w:t>
      </w:r>
      <w:r>
        <w:rPr>
          <w:rFonts w:hint="default" w:ascii="Times New Roman" w:hAnsi="Times New Roman" w:eastAsia="宋体" w:cs="Times New Roman"/>
          <w:sz w:val="24"/>
          <w:szCs w:val="24"/>
          <w:lang w:val="en-US" w:eastAsia="zh-CN"/>
        </w:rPr>
        <w:t>空怀期监测健康状况，保持膘情中等偏上。</w:t>
      </w:r>
    </w:p>
    <w:p w14:paraId="4BA1DCCC">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6.3.2</w:t>
      </w:r>
      <w:r>
        <w:rPr>
          <w:rFonts w:hint="default" w:ascii="Times New Roman" w:hAnsi="Times New Roman" w:eastAsia="宋体" w:cs="Times New Roman"/>
          <w:sz w:val="24"/>
          <w:szCs w:val="24"/>
          <w:lang w:val="en-US" w:eastAsia="zh-CN"/>
        </w:rPr>
        <w:t>妊娠期日粮以优质干草为主，妊娠后期适量增加精料、蛋白质和矿物质补充，避免母牛过肥。分娩前3周转入产房饲养，减少饲养密度，避免剧烈运动，降低分娩风险。</w:t>
      </w:r>
    </w:p>
    <w:p w14:paraId="341E72F5">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6.3.3</w:t>
      </w:r>
      <w:r>
        <w:rPr>
          <w:rFonts w:hint="default" w:ascii="Times New Roman" w:hAnsi="Times New Roman" w:eastAsia="宋体" w:cs="Times New Roman"/>
          <w:sz w:val="24"/>
          <w:szCs w:val="24"/>
          <w:lang w:val="en-US" w:eastAsia="zh-CN"/>
        </w:rPr>
        <w:t>分娩前以优质青干草为主，精料饲喂量不超过体重的1%，减少盐分等添加物投喂。分娩后及时清理胎衣，立即喂温热麸皮盐水或益母草红糖水和优质干草，逐渐恢复日粮，产后7</w:t>
      </w:r>
      <w:r>
        <w:rPr>
          <w:rFonts w:hint="eastAsia" w:ascii="Times New Roman" w:hAnsi="Times New Roman" w:cs="Times New Roman"/>
          <w:sz w:val="24"/>
          <w:szCs w:val="24"/>
          <w:lang w:val="en-US" w:eastAsia="zh-CN"/>
        </w:rPr>
        <w:t>d</w:t>
      </w:r>
      <w:r>
        <w:rPr>
          <w:rFonts w:hint="eastAsia" w:ascii="宋体" w:hAnsi="宋体" w:eastAsia="宋体" w:cs="宋体"/>
          <w:sz w:val="24"/>
          <w:szCs w:val="24"/>
          <w:lang w:val="en-US" w:eastAsia="zh-CN"/>
        </w:rPr>
        <w:t>～</w:t>
      </w:r>
      <w:r>
        <w:rPr>
          <w:rFonts w:hint="default" w:ascii="Times New Roman" w:hAnsi="Times New Roman" w:eastAsia="宋体" w:cs="Times New Roman"/>
          <w:sz w:val="24"/>
          <w:szCs w:val="24"/>
          <w:lang w:val="en-US" w:eastAsia="zh-CN"/>
        </w:rPr>
        <w:t>10d可恢复至饲养标准。分娩后监测恶露排出，每日观察母牛食欲、健康状况。</w:t>
      </w:r>
    </w:p>
    <w:p w14:paraId="07BAF562">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6.3.4</w:t>
      </w:r>
      <w:r>
        <w:rPr>
          <w:rFonts w:hint="default" w:ascii="Times New Roman" w:hAnsi="Times New Roman" w:eastAsia="宋体" w:cs="Times New Roman"/>
          <w:sz w:val="24"/>
          <w:szCs w:val="24"/>
          <w:lang w:val="en-US" w:eastAsia="zh-CN"/>
        </w:rPr>
        <w:t>期哺乳期母牛按照泌乳母牛的营养标准</w:t>
      </w:r>
      <w:r>
        <w:rPr>
          <w:rFonts w:hint="eastAsia" w:ascii="Times New Roman" w:hAnsi="Times New Roman" w:cs="Times New Roman"/>
          <w:sz w:val="24"/>
          <w:szCs w:val="24"/>
          <w:lang w:val="en-US" w:eastAsia="zh-CN"/>
        </w:rPr>
        <w:t>配制</w:t>
      </w:r>
      <w:r>
        <w:rPr>
          <w:rFonts w:hint="default" w:ascii="Times New Roman" w:hAnsi="Times New Roman" w:eastAsia="宋体" w:cs="Times New Roman"/>
          <w:sz w:val="24"/>
          <w:szCs w:val="24"/>
          <w:lang w:val="en-US" w:eastAsia="zh-CN"/>
        </w:rPr>
        <w:t>饲料，增加精料和优质多汁青绿饲料，保证充足洁净饮水，利于泌乳。</w:t>
      </w:r>
    </w:p>
    <w:p w14:paraId="7836FDB2">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确定依据：</w:t>
      </w:r>
    </w:p>
    <w:p w14:paraId="7BCFB43A">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空怀期母牛膘情管理直接关系到后续发情和受胎率。母牛在产犊前后应处于最佳的体况（BCS 5～7），既可以保持母牛优越繁殖性能又能降低饲料成本。</w:t>
      </w:r>
    </w:p>
    <w:p w14:paraId="439ADFB0">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妊娠母牛的饲养管理是保证胎儿正常发育和母体健康的关键。妊娠前期以优质干草、青贮饲料为主，搭配0.5</w:t>
      </w:r>
      <w:r>
        <w:rPr>
          <w:rFonts w:hint="eastAsia" w:ascii="Times New Roman" w:hAnsi="Times New Roman" w:cs="Times New Roman"/>
          <w:kern w:val="0"/>
          <w:sz w:val="24"/>
          <w:szCs w:val="24"/>
          <w:lang w:val="en-US" w:eastAsia="zh-CN" w:bidi="ar-SA"/>
        </w:rPr>
        <w:t>kg</w:t>
      </w:r>
      <w:r>
        <w:rPr>
          <w:rFonts w:hint="default" w:ascii="Times New Roman" w:hAnsi="Times New Roman" w:cs="Times New Roman"/>
          <w:kern w:val="0"/>
          <w:sz w:val="24"/>
          <w:szCs w:val="24"/>
          <w:lang w:val="en-US" w:eastAsia="zh-CN" w:bidi="ar-SA"/>
        </w:rPr>
        <w:t>～1.0kg精</w:t>
      </w:r>
      <w:r>
        <w:rPr>
          <w:rFonts w:hint="eastAsia" w:ascii="Times New Roman" w:cs="Times New Roman"/>
          <w:kern w:val="0"/>
          <w:sz w:val="24"/>
          <w:szCs w:val="24"/>
          <w:lang w:val="en-US" w:eastAsia="zh-CN" w:bidi="ar-SA"/>
        </w:rPr>
        <w:t>补</w:t>
      </w:r>
      <w:r>
        <w:rPr>
          <w:rFonts w:hint="default" w:ascii="Times New Roman" w:hAnsi="Times New Roman" w:cs="Times New Roman"/>
          <w:kern w:val="0"/>
          <w:sz w:val="24"/>
          <w:szCs w:val="24"/>
          <w:lang w:val="en-US" w:eastAsia="zh-CN" w:bidi="ar-SA"/>
        </w:rPr>
        <w:t>料；妊娠后期以青粗饲料为主，每头每日饲喂1.5</w:t>
      </w:r>
      <w:r>
        <w:rPr>
          <w:rFonts w:hint="eastAsia" w:ascii="Times New Roman" w:hAnsi="Times New Roman" w:cs="Times New Roman"/>
          <w:kern w:val="0"/>
          <w:sz w:val="24"/>
          <w:szCs w:val="24"/>
          <w:lang w:val="en-US" w:eastAsia="zh-CN" w:bidi="ar-SA"/>
        </w:rPr>
        <w:t>kg</w:t>
      </w:r>
      <w:r>
        <w:rPr>
          <w:rFonts w:hint="default" w:ascii="Times New Roman" w:hAnsi="Times New Roman" w:cs="Times New Roman"/>
          <w:kern w:val="0"/>
          <w:sz w:val="24"/>
          <w:szCs w:val="24"/>
          <w:lang w:val="en-US" w:eastAsia="zh-CN" w:bidi="ar-SA"/>
        </w:rPr>
        <w:t>～2.0kg精</w:t>
      </w:r>
      <w:r>
        <w:rPr>
          <w:rFonts w:hint="eastAsia" w:ascii="Times New Roman" w:cs="Times New Roman"/>
          <w:kern w:val="0"/>
          <w:sz w:val="24"/>
          <w:szCs w:val="24"/>
          <w:lang w:val="en-US" w:eastAsia="zh-CN" w:bidi="ar-SA"/>
        </w:rPr>
        <w:t>补</w:t>
      </w:r>
      <w:r>
        <w:rPr>
          <w:rFonts w:hint="default" w:ascii="Times New Roman" w:hAnsi="Times New Roman" w:cs="Times New Roman"/>
          <w:kern w:val="0"/>
          <w:sz w:val="24"/>
          <w:szCs w:val="24"/>
          <w:lang w:val="en-US" w:eastAsia="zh-CN" w:bidi="ar-SA"/>
        </w:rPr>
        <w:t>料，并补充矿物质和食盐，不应饲喂棉籽饼、菜籽饼、酒糟，避免母牛过肥。分娩前3周转入产房饲养，减少饲养密度，避免剧烈运动，以降低分娩风险。</w:t>
      </w:r>
    </w:p>
    <w:p w14:paraId="31E062C6">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围产期管理对母牛健康恢复和后续繁殖性能恢复具有重要作用。分娩前15d为围产前期，以优质干草为主，精料补充料喂量不超过体重的1%；分娩后15d为围产后期。母牛产后一般1</w:t>
      </w:r>
      <w:r>
        <w:rPr>
          <w:rFonts w:hint="eastAsia" w:ascii="Times New Roman" w:cs="Times New Roman"/>
          <w:kern w:val="0"/>
          <w:sz w:val="24"/>
          <w:szCs w:val="24"/>
          <w:lang w:val="en-US" w:eastAsia="zh-CN" w:bidi="ar-SA"/>
        </w:rPr>
        <w:t>h</w:t>
      </w:r>
      <w:r>
        <w:rPr>
          <w:rFonts w:hint="default" w:ascii="Times New Roman" w:hAnsi="Times New Roman" w:cs="Times New Roman"/>
          <w:kern w:val="0"/>
          <w:sz w:val="24"/>
          <w:szCs w:val="24"/>
          <w:lang w:val="en-US" w:eastAsia="zh-CN" w:bidi="ar-SA"/>
        </w:rPr>
        <w:t>～8</w:t>
      </w:r>
      <w:r>
        <w:rPr>
          <w:rFonts w:hint="eastAsia" w:ascii="Times New Roman" w:cs="Times New Roman"/>
          <w:kern w:val="0"/>
          <w:sz w:val="24"/>
          <w:szCs w:val="24"/>
          <w:lang w:val="en-US" w:eastAsia="zh-CN" w:bidi="ar-SA"/>
        </w:rPr>
        <w:t>h</w:t>
      </w:r>
      <w:r>
        <w:rPr>
          <w:rFonts w:hint="default" w:ascii="Times New Roman" w:hAnsi="Times New Roman" w:cs="Times New Roman"/>
          <w:kern w:val="0"/>
          <w:sz w:val="24"/>
          <w:szCs w:val="24"/>
          <w:lang w:val="en-US" w:eastAsia="zh-CN" w:bidi="ar-SA"/>
        </w:rPr>
        <w:t>内胎衣排出，排出后要及时清理。为使母牛恶露排净和产后子宫早日恢复还应喂饮热益母草红糖水。产后2</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～3</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以优质草料为主，让牛自由采食，3</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～4</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后逐渐增加青贮饲料喂量，产后8</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～15</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根据母牛健康状况增加精料喂量。</w:t>
      </w:r>
    </w:p>
    <w:p w14:paraId="30E5C0E3">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哺乳期是母牛哺育犊牛、恢复体况、发情配种的重要时期，不但要满足犊牛生长发育所需的营养需要，而且要保证母牛中上等膘情，以利于发情配种，应根据母牛产乳量变化和体况恢复情况及时调整日粮饲喂量。充足洁净的饮水和优质多汁青绿饲料可有效促进泌乳，保证犊牛生长发育所需营养。</w:t>
      </w:r>
    </w:p>
    <w:p w14:paraId="3BC26897">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12" w:name="_Toc19947"/>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6.4种公牛</w:t>
      </w:r>
      <w:bookmarkEnd w:id="12"/>
    </w:p>
    <w:p w14:paraId="372D1487">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 xml:space="preserve">2. </w:t>
      </w:r>
      <w:r>
        <w:rPr>
          <w:rFonts w:hint="default" w:ascii="Times New Roman" w:hAnsi="Times New Roman" w:eastAsia="黑体" w:cs="Times New Roman"/>
          <w:sz w:val="24"/>
          <w:szCs w:val="24"/>
          <w:lang w:val="en-US" w:eastAsia="zh-CN" w:bidi="ar-SA"/>
        </w:rPr>
        <w:t>6.4.1</w:t>
      </w:r>
      <w:r>
        <w:rPr>
          <w:rFonts w:hint="default" w:ascii="Times New Roman" w:hAnsi="Times New Roman" w:eastAsia="宋体" w:cs="Times New Roman"/>
          <w:sz w:val="24"/>
          <w:szCs w:val="24"/>
          <w:lang w:val="en-US" w:eastAsia="zh-CN"/>
        </w:rPr>
        <w:t>种公牛应单独圈养或与其他公牛分群管理，避免互相争斗伤害。</w:t>
      </w:r>
    </w:p>
    <w:p w14:paraId="38F79970">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6.4.2</w:t>
      </w:r>
      <w:r>
        <w:rPr>
          <w:rFonts w:hint="default" w:ascii="Times New Roman" w:hAnsi="Times New Roman" w:eastAsia="宋体" w:cs="Times New Roman"/>
          <w:sz w:val="24"/>
          <w:szCs w:val="24"/>
          <w:lang w:val="en-US" w:eastAsia="zh-CN"/>
        </w:rPr>
        <w:t>每天刷拭牛体2次，每年修蹄2</w:t>
      </w:r>
      <w:r>
        <w:rPr>
          <w:rFonts w:hint="eastAsia" w:ascii="Times New Roman" w:hAnsi="Times New Roman" w:cs="Times New Roman"/>
          <w:sz w:val="24"/>
          <w:szCs w:val="24"/>
          <w:lang w:val="en-US" w:eastAsia="zh-CN"/>
        </w:rPr>
        <w:t>次</w:t>
      </w:r>
      <w:r>
        <w:rPr>
          <w:rFonts w:hint="default" w:ascii="Times New Roman" w:hAnsi="Times New Roman" w:eastAsia="宋体" w:cs="Times New Roman"/>
          <w:sz w:val="24"/>
          <w:szCs w:val="24"/>
          <w:lang w:val="en-US" w:eastAsia="zh-CN"/>
        </w:rPr>
        <w:t>～3次。</w:t>
      </w:r>
    </w:p>
    <w:p w14:paraId="239A95CE">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6.4.3</w:t>
      </w:r>
      <w:r>
        <w:rPr>
          <w:rFonts w:hint="default" w:ascii="Times New Roman" w:hAnsi="Times New Roman" w:eastAsia="宋体" w:cs="Times New Roman"/>
          <w:sz w:val="24"/>
          <w:szCs w:val="24"/>
          <w:lang w:val="en-US" w:eastAsia="zh-CN"/>
        </w:rPr>
        <w:t>种公牛日粮以优质粗饲料为主，搭配适量精料，并满足钙、磷、铁等矿物质的需求。种牛日增重不低于0.7kg，保持体况良好、精液质量稳定。</w:t>
      </w:r>
    </w:p>
    <w:p w14:paraId="5CEDFA34">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textAlignment w:val="auto"/>
        <w:rPr>
          <w:rFonts w:hint="default" w:ascii="Times New Roman" w:hAnsi="Times New Roman" w:eastAsia="宋体" w:cs="Times New Roman"/>
          <w:sz w:val="24"/>
          <w:szCs w:val="24"/>
          <w:lang w:val="en-US" w:eastAsia="zh-CN"/>
        </w:rPr>
      </w:pPr>
      <w:r>
        <w:rPr>
          <w:rFonts w:hint="default" w:ascii="Times New Roman" w:hAnsi="Times New Roman" w:eastAsia="黑体" w:cs="Times New Roman"/>
          <w:sz w:val="24"/>
          <w:szCs w:val="24"/>
          <w:lang w:val="en-US" w:eastAsia="zh-CN" w:bidi="ar-SA"/>
        </w:rPr>
        <w:t>6.4.4</w:t>
      </w:r>
      <w:r>
        <w:rPr>
          <w:rFonts w:hint="default" w:ascii="Times New Roman" w:hAnsi="Times New Roman" w:eastAsia="宋体" w:cs="Times New Roman"/>
          <w:sz w:val="24"/>
          <w:szCs w:val="24"/>
          <w:lang w:val="en-US" w:eastAsia="zh-CN"/>
        </w:rPr>
        <w:t>种公牛应充足运动与充分休息，定期清洁牛舍、消毒饮水设备，并按要求接种疫苗，预防常见传染病。</w:t>
      </w:r>
    </w:p>
    <w:p w14:paraId="74D26FDA">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textAlignment w:val="auto"/>
        <w:rPr>
          <w:rFonts w:hint="default" w:ascii="Times New Roman" w:hAnsi="Times New Roman" w:eastAsia="宋体" w:cs="Times New Roman"/>
          <w:sz w:val="24"/>
          <w:szCs w:val="24"/>
          <w:lang w:val="en-US" w:eastAsia="zh-CN"/>
        </w:rPr>
      </w:pPr>
      <w:r>
        <w:rPr>
          <w:rFonts w:hint="default" w:ascii="Times New Roman" w:hAnsi="Times New Roman" w:eastAsia="黑体" w:cs="Times New Roman"/>
          <w:sz w:val="24"/>
          <w:szCs w:val="24"/>
          <w:lang w:val="en-US" w:eastAsia="zh-CN" w:bidi="ar-SA"/>
        </w:rPr>
        <w:t>6.4.5</w:t>
      </w:r>
      <w:r>
        <w:rPr>
          <w:rFonts w:hint="default" w:ascii="Times New Roman" w:hAnsi="Times New Roman" w:eastAsia="宋体" w:cs="Times New Roman"/>
          <w:sz w:val="24"/>
          <w:szCs w:val="24"/>
          <w:lang w:val="en-US" w:eastAsia="zh-CN"/>
        </w:rPr>
        <w:t>注意对种公牛生殖器的护理，定期检查种公牛生殖器官健康状况，如有异常及时治疗，淘汰隐睾、睾丸不对称的牛只。</w:t>
      </w:r>
    </w:p>
    <w:p w14:paraId="4FE3BC4B">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textAlignment w:val="auto"/>
        <w:rPr>
          <w:rFonts w:hint="default" w:ascii="Times New Roman" w:hAnsi="Times New Roman" w:cs="Times New Roman"/>
          <w:kern w:val="0"/>
          <w:sz w:val="24"/>
          <w:szCs w:val="24"/>
          <w:lang w:val="en-US" w:eastAsia="zh-CN" w:bidi="ar-SA"/>
        </w:rPr>
      </w:pPr>
      <w:r>
        <w:rPr>
          <w:rFonts w:hint="default" w:ascii="Times New Roman" w:hAnsi="Times New Roman" w:eastAsia="黑体" w:cs="Times New Roman"/>
          <w:sz w:val="24"/>
          <w:szCs w:val="24"/>
          <w:lang w:val="en-US" w:eastAsia="zh-CN" w:bidi="ar-SA"/>
        </w:rPr>
        <w:t>6.4.6</w:t>
      </w:r>
      <w:r>
        <w:rPr>
          <w:rFonts w:hint="default" w:ascii="Times New Roman" w:hAnsi="Times New Roman" w:eastAsia="宋体" w:cs="Times New Roman"/>
          <w:sz w:val="24"/>
          <w:szCs w:val="24"/>
          <w:lang w:val="en-US" w:eastAsia="zh-CN"/>
        </w:rPr>
        <w:t>种公牛满1岁龄开始训练采精，并检查精液品质。种公牛试用期间跟踪记录参配母牛受胎、产犊情况，不合格者及时淘汰。利用2</w:t>
      </w:r>
      <w:r>
        <w:rPr>
          <w:rFonts w:hint="eastAsia" w:ascii="Times New Roman" w:hAnsi="Times New Roman" w:cs="Times New Roman"/>
          <w:sz w:val="24"/>
          <w:szCs w:val="24"/>
          <w:lang w:val="en-US" w:eastAsia="zh-CN"/>
        </w:rPr>
        <w:t>年</w:t>
      </w:r>
      <w:r>
        <w:rPr>
          <w:rFonts w:hint="default" w:ascii="Times New Roman" w:hAnsi="Times New Roman" w:eastAsia="宋体" w:cs="Times New Roman"/>
          <w:sz w:val="24"/>
          <w:szCs w:val="24"/>
          <w:lang w:val="en-US" w:eastAsia="zh-CN"/>
        </w:rPr>
        <w:t>～3年后应与其他牛场或种公牛站进行置换，防止近亲交配。</w:t>
      </w:r>
    </w:p>
    <w:p w14:paraId="1FE67BC2">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确定依据：</w:t>
      </w:r>
    </w:p>
    <w:p w14:paraId="0743D263">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种公牛具有攻击性强、领地意识明显的特点，单独圈养或分群管理可有效避免公牛之间的争斗伤害，降低管理风险和淘汰率，同时便于日常观察、采精操作和健康管理。定期刷拭可清除牛体污垢、促进皮肤血液循环、增进人畜亲和、便于及时发现皮肤外伤和寄生虫。适当增加刷拭频率对种公牛的生理健康和精液品质保持均有积极作用。种公牛长期负重较大，蹄部健康直接影响其运动能力和配种功能，每年修蹄2</w:t>
      </w:r>
      <w:r>
        <w:rPr>
          <w:rFonts w:hint="eastAsia" w:ascii="Times New Roman" w:hAnsi="Times New Roman" w:cs="Times New Roman"/>
          <w:kern w:val="0"/>
          <w:sz w:val="24"/>
          <w:szCs w:val="24"/>
          <w:lang w:val="en-US" w:eastAsia="zh-CN" w:bidi="ar-SA"/>
        </w:rPr>
        <w:t>次</w:t>
      </w:r>
      <w:r>
        <w:rPr>
          <w:rFonts w:hint="default" w:ascii="Times New Roman" w:hAnsi="Times New Roman" w:cs="Times New Roman"/>
          <w:kern w:val="0"/>
          <w:sz w:val="24"/>
          <w:szCs w:val="24"/>
          <w:lang w:val="en-US" w:eastAsia="zh-CN" w:bidi="ar-SA"/>
        </w:rPr>
        <w:t>～3次可预防蹄病发生，保障种公牛正常运动。</w:t>
      </w:r>
    </w:p>
    <w:p w14:paraId="7DAEECB2">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种公牛的营养管理直接影响精液品质和繁殖寿命。应以优质粗饲料为基础，根据体况和采精频率适度搭配精料，确保钙、磷、铁等矿物质和维生素的均衡供给。种公牛日增重不低于0.7kg是维持良好体况的基础指标。适宜的运动可促进种公牛血液循环、增强体质和性功能，防止过肥。清洁消毒和疫苗接种是保障种公牛卫生防疫的重要手段，消毒应覆盖圈舍、食槽、饮水设备等设施，疫苗应按当地疫病流行情况及时接种，预防口蹄疫、布病等主要传染病。</w:t>
      </w:r>
    </w:p>
    <w:p w14:paraId="1FD61584">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生殖器官健康是种公牛发挥配种功能的根本保障。定期检查生殖器官（包括睾丸、附睾、阴茎、包皮等）可及时发现异常，隐睾和睾丸不对称等缺陷将严重影响精子发生和精液品质，应及时淘汰，以保障牛群遗传质量和繁殖效率。</w:t>
      </w:r>
    </w:p>
    <w:p w14:paraId="458BE010">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1岁龄是种公牛开始调教采精的适宜年龄，应在此期间开始采精训练并检查精液品质，对不合格者及时淘汰。通过跟踪参配母牛的受胎率和产犊情况评估种公牛的实际繁殖能力，利用2</w:t>
      </w:r>
      <w:r>
        <w:rPr>
          <w:rFonts w:hint="eastAsia" w:ascii="Times New Roman" w:cs="Times New Roman"/>
          <w:kern w:val="0"/>
          <w:sz w:val="24"/>
          <w:szCs w:val="24"/>
          <w:lang w:val="en-US" w:eastAsia="zh-CN" w:bidi="ar-SA"/>
        </w:rPr>
        <w:t>年</w:t>
      </w:r>
      <w:r>
        <w:rPr>
          <w:rFonts w:hint="default" w:ascii="Times New Roman" w:hAnsi="Times New Roman" w:cs="Times New Roman"/>
          <w:kern w:val="0"/>
          <w:sz w:val="24"/>
          <w:szCs w:val="24"/>
          <w:lang w:val="en-US" w:eastAsia="zh-CN" w:bidi="ar-SA"/>
        </w:rPr>
        <w:t>～3年后与其他牛场或种公牛站进行置换是防止近亲交配、保持牛群遗传多样性的有效措施。</w:t>
      </w:r>
    </w:p>
    <w:p w14:paraId="16776C4C">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13" w:name="_Toc13434"/>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6.5育肥牛</w:t>
      </w:r>
      <w:bookmarkEnd w:id="13"/>
    </w:p>
    <w:p w14:paraId="2E630865">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eastAsia="黑体" w:cs="Times New Roman"/>
          <w:sz w:val="24"/>
          <w:szCs w:val="24"/>
          <w:lang w:val="en-US" w:eastAsia="zh-CN" w:bidi="ar-SA"/>
        </w:rPr>
        <w:t>2.</w:t>
      </w:r>
      <w:r>
        <w:rPr>
          <w:rFonts w:hint="default" w:ascii="Times New Roman" w:hAnsi="Times New Roman" w:eastAsia="黑体" w:cs="Times New Roman"/>
          <w:sz w:val="24"/>
          <w:szCs w:val="24"/>
          <w:lang w:val="en-US" w:eastAsia="zh-CN" w:bidi="ar-SA"/>
        </w:rPr>
        <w:t>6.5.1</w:t>
      </w:r>
      <w:r>
        <w:rPr>
          <w:rFonts w:hint="default" w:ascii="Times New Roman" w:hAnsi="Times New Roman" w:eastAsia="宋体" w:cs="Times New Roman"/>
          <w:sz w:val="24"/>
          <w:szCs w:val="24"/>
          <w:lang w:val="en-US" w:eastAsia="zh-CN"/>
        </w:rPr>
        <w:t>红花牛育肥牛的饲养管理按照NY/T 1339的规定执行。</w:t>
      </w:r>
    </w:p>
    <w:p w14:paraId="4E9D1298">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eastAsia" w:ascii="Times New Roman" w:hAnsi="Times New Roman" w:eastAsia="宋体" w:cs="Times New Roman"/>
          <w:sz w:val="24"/>
          <w:szCs w:val="24"/>
          <w:lang w:val="en-US" w:eastAsia="zh-CN"/>
        </w:rPr>
      </w:pPr>
      <w:r>
        <w:rPr>
          <w:rFonts w:hint="eastAsia" w:ascii="Times New Roman" w:cs="Times New Roman"/>
          <w:sz w:val="24"/>
          <w:szCs w:val="24"/>
          <w:lang w:val="en-US" w:eastAsia="zh-CN"/>
        </w:rPr>
        <w:t>2.</w:t>
      </w:r>
      <w:r>
        <w:rPr>
          <w:rFonts w:hint="default" w:ascii="Times New Roman" w:hAnsi="Times New Roman" w:eastAsia="宋体" w:cs="Times New Roman"/>
          <w:sz w:val="24"/>
          <w:szCs w:val="24"/>
          <w:lang w:val="en-US" w:eastAsia="zh-CN"/>
        </w:rPr>
        <w:t>6.5.2</w:t>
      </w:r>
      <w:r>
        <w:rPr>
          <w:rFonts w:hint="eastAsia" w:ascii="Times New Roman" w:hAnsi="Times New Roman" w:eastAsia="宋体" w:cs="Times New Roman"/>
          <w:sz w:val="24"/>
          <w:szCs w:val="24"/>
          <w:lang w:val="en-US" w:eastAsia="zh-CN"/>
        </w:rPr>
        <w:t>育肥期精料从每日1.0～1.5kg起步，每3d～5d增加0.2kg～0.5kg，逐步增加到推荐量。</w:t>
      </w:r>
    </w:p>
    <w:p w14:paraId="351B9B60">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cs="Times New Roman"/>
          <w:sz w:val="24"/>
          <w:szCs w:val="24"/>
          <w:lang w:val="en-US" w:eastAsia="zh-CN"/>
        </w:rPr>
        <w:t>2.</w:t>
      </w:r>
      <w:r>
        <w:rPr>
          <w:rFonts w:hint="eastAsia" w:ascii="Times New Roman" w:hAnsi="Times New Roman" w:eastAsia="宋体" w:cs="Times New Roman"/>
          <w:sz w:val="24"/>
          <w:szCs w:val="24"/>
          <w:lang w:val="en-US" w:eastAsia="zh-CN"/>
        </w:rPr>
        <w:t>6.5.3保证充足清洁饮水，每日不低于50L。</w:t>
      </w:r>
    </w:p>
    <w:p w14:paraId="4DCA375D">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cs="Times New Roman"/>
          <w:sz w:val="24"/>
          <w:szCs w:val="24"/>
          <w:lang w:val="en-US" w:eastAsia="zh-CN"/>
        </w:rPr>
        <w:t>2.</w:t>
      </w:r>
      <w:r>
        <w:rPr>
          <w:rFonts w:hint="eastAsia" w:ascii="Times New Roman" w:hAnsi="Times New Roman" w:eastAsia="宋体" w:cs="Times New Roman"/>
          <w:sz w:val="24"/>
          <w:szCs w:val="24"/>
          <w:lang w:val="en-US" w:eastAsia="zh-CN"/>
        </w:rPr>
        <w:t>6.5.4育肥期间观察牛只采食情况和粪便状态，若粪便过稀，需及时调整精粗料比例。</w:t>
      </w:r>
    </w:p>
    <w:p w14:paraId="087BA8AE">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cs="Times New Roman"/>
          <w:sz w:val="24"/>
          <w:szCs w:val="24"/>
          <w:lang w:val="en-US" w:eastAsia="zh-CN"/>
        </w:rPr>
        <w:t>2.</w:t>
      </w:r>
      <w:r>
        <w:rPr>
          <w:rFonts w:hint="eastAsia" w:ascii="Times New Roman" w:hAnsi="Times New Roman" w:eastAsia="宋体" w:cs="Times New Roman"/>
          <w:sz w:val="24"/>
          <w:szCs w:val="24"/>
          <w:lang w:val="en-US" w:eastAsia="zh-CN"/>
        </w:rPr>
        <w:t>6.5.5建议使用TMR饲喂技术，可提高采食量和饲料利用率，降低消化系统疾病。</w:t>
      </w:r>
    </w:p>
    <w:p w14:paraId="6EF05D10">
      <w:pPr>
        <w:pStyle w:val="26"/>
        <w:keepNext w:val="0"/>
        <w:keepLines w:val="0"/>
        <w:pageBreakBefore w:val="0"/>
        <w:numPr>
          <w:ilvl w:val="3"/>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宋体" w:hAnsi="Times New Roman" w:eastAsia="宋体" w:cs="Times New Roman"/>
          <w:lang w:val="en-US" w:eastAsia="zh-CN"/>
        </w:rPr>
      </w:pPr>
      <w:r>
        <w:rPr>
          <w:rFonts w:hint="eastAsia" w:ascii="Times New Roman" w:cs="Times New Roman"/>
          <w:sz w:val="24"/>
          <w:szCs w:val="24"/>
          <w:lang w:val="en-US" w:eastAsia="zh-CN"/>
        </w:rPr>
        <w:t>2.</w:t>
      </w:r>
      <w:r>
        <w:rPr>
          <w:rFonts w:hint="eastAsia" w:ascii="Times New Roman" w:hAnsi="Times New Roman" w:eastAsia="宋体" w:cs="Times New Roman"/>
          <w:sz w:val="24"/>
          <w:szCs w:val="24"/>
          <w:lang w:val="en-US" w:eastAsia="zh-CN"/>
        </w:rPr>
        <w:t>6.5.6育肥期各阶段推荐日粮组合与饲喂方案可参照表A.1。</w:t>
      </w:r>
    </w:p>
    <w:p w14:paraId="7A38F779">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确定依据：</w:t>
      </w:r>
    </w:p>
    <w:p w14:paraId="1C57E647">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农业行业标准NY/T 1339《肉牛育肥良好管理规范》适用于肉牛育肥的生产管理</w:t>
      </w:r>
      <w:r>
        <w:rPr>
          <w:rFonts w:hint="eastAsia" w:ascii="Times New Roman" w:cs="Times New Roman"/>
          <w:kern w:val="0"/>
          <w:sz w:val="24"/>
          <w:szCs w:val="24"/>
          <w:lang w:val="en-US" w:eastAsia="zh-CN" w:bidi="ar-SA"/>
        </w:rPr>
        <w:t>，</w:t>
      </w:r>
      <w:r>
        <w:rPr>
          <w:rFonts w:hint="default" w:ascii="Times New Roman" w:hAnsi="Times New Roman" w:cs="Times New Roman"/>
          <w:kern w:val="0"/>
          <w:sz w:val="24"/>
          <w:szCs w:val="24"/>
          <w:lang w:val="en-US" w:eastAsia="zh-CN" w:bidi="ar-SA"/>
        </w:rPr>
        <w:t>张家川红花牛引用该通用行业标准作为饲养管理的基本原则，确保了与现行国家标准体系的衔接统一，体现了标准制定的规范性和权威性。</w:t>
      </w:r>
    </w:p>
    <w:p w14:paraId="0A249043">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eastAsia" w:asci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牛只从架子牛或前期饲养转入育肥阶段，瘤胃微生物需要逐步适应高精料日粮。突然大量饲喂精料易引发瘤胃酸中毒、蹄叶炎或采食抑制。每3</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~5</w:t>
      </w:r>
      <w:r>
        <w:rPr>
          <w:rFonts w:hint="eastAsia" w:ascii="Times New Roman" w:cs="Times New Roman"/>
          <w:kern w:val="0"/>
          <w:sz w:val="24"/>
          <w:szCs w:val="24"/>
          <w:lang w:val="en-US" w:eastAsia="zh-CN" w:bidi="ar-SA"/>
        </w:rPr>
        <w:t>d</w:t>
      </w:r>
      <w:r>
        <w:rPr>
          <w:rFonts w:hint="default" w:ascii="Times New Roman" w:hAnsi="Times New Roman" w:cs="Times New Roman"/>
          <w:kern w:val="0"/>
          <w:sz w:val="24"/>
          <w:szCs w:val="24"/>
          <w:lang w:val="en-US" w:eastAsia="zh-CN" w:bidi="ar-SA"/>
        </w:rPr>
        <w:t>增加0.2</w:t>
      </w:r>
      <w:r>
        <w:rPr>
          <w:rFonts w:hint="eastAsia" w:ascii="Times New Roman" w:cs="Times New Roman"/>
          <w:kern w:val="0"/>
          <w:sz w:val="24"/>
          <w:szCs w:val="24"/>
          <w:lang w:val="en-US" w:eastAsia="zh-CN" w:bidi="ar-SA"/>
        </w:rPr>
        <w:t>kg</w:t>
      </w:r>
      <w:r>
        <w:rPr>
          <w:rFonts w:hint="default" w:ascii="Times New Roman" w:hAnsi="Times New Roman" w:cs="Times New Roman"/>
          <w:kern w:val="0"/>
          <w:sz w:val="24"/>
          <w:szCs w:val="24"/>
          <w:lang w:val="en-US" w:eastAsia="zh-CN" w:bidi="ar-SA"/>
        </w:rPr>
        <w:t>~0.5kg，可使瘤胃pH稳定在6.0~6.5，</w:t>
      </w:r>
      <w:r>
        <w:rPr>
          <w:rFonts w:hint="eastAsia" w:ascii="Times New Roman" w:cs="Times New Roman"/>
          <w:kern w:val="0"/>
          <w:sz w:val="24"/>
          <w:szCs w:val="24"/>
          <w:lang w:val="en-US" w:eastAsia="zh-CN" w:bidi="ar-SA"/>
        </w:rPr>
        <w:t>降低瘤胃酸中毒发生率。</w:t>
      </w:r>
    </w:p>
    <w:p w14:paraId="21C2E34F">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cs="Times New Roman"/>
          <w:kern w:val="0"/>
          <w:sz w:val="24"/>
          <w:szCs w:val="24"/>
          <w:lang w:val="en-US" w:eastAsia="zh-CN" w:bidi="ar-SA"/>
        </w:rPr>
      </w:pPr>
      <w:r>
        <w:rPr>
          <w:rFonts w:hint="default" w:ascii="Times New Roman" w:cs="Times New Roman"/>
          <w:kern w:val="0"/>
          <w:sz w:val="24"/>
          <w:szCs w:val="24"/>
          <w:lang w:val="en-US" w:eastAsia="zh-CN" w:bidi="ar-SA"/>
        </w:rPr>
        <w:t>肉牛每日需水量（L）约等于干物质采食量（kg）× 4～5。育肥期干物质采食量平均为体重的2.5%~3.0%，以体重400kg计，采食干物质10~12kg，需水量40~60L</w:t>
      </w:r>
      <w:r>
        <w:rPr>
          <w:rFonts w:hint="eastAsia" w:ascii="Times New Roman" w:cs="Times New Roman"/>
          <w:kern w:val="0"/>
          <w:sz w:val="24"/>
          <w:szCs w:val="24"/>
          <w:lang w:val="en-US" w:eastAsia="zh-CN" w:bidi="ar-SA"/>
        </w:rPr>
        <w:t>，</w:t>
      </w:r>
      <w:r>
        <w:rPr>
          <w:rFonts w:hint="default" w:ascii="Times New Roman" w:cs="Times New Roman"/>
          <w:kern w:val="0"/>
          <w:sz w:val="24"/>
          <w:szCs w:val="24"/>
          <w:lang w:val="en-US" w:eastAsia="zh-CN" w:bidi="ar-SA"/>
        </w:rPr>
        <w:t>取整为每日不低于50L作为最低控制值。</w:t>
      </w:r>
    </w:p>
    <w:p w14:paraId="441F7B30">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cs="Times New Roman"/>
          <w:kern w:val="0"/>
          <w:sz w:val="24"/>
          <w:szCs w:val="24"/>
          <w:lang w:val="en-US" w:eastAsia="zh-CN" w:bidi="ar-SA"/>
        </w:rPr>
      </w:pPr>
      <w:r>
        <w:rPr>
          <w:rFonts w:hint="default" w:ascii="Times New Roman" w:cs="Times New Roman"/>
          <w:kern w:val="0"/>
          <w:sz w:val="24"/>
          <w:szCs w:val="24"/>
          <w:lang w:val="en-US" w:eastAsia="zh-CN" w:bidi="ar-SA"/>
        </w:rPr>
        <w:t>粪便评分是判断瘤胃功能和消化道健康最直观、简便的方法。过稀粪便（稀便或水样便）通常提示日粮中精料比例过高、有效纤维不足或轻度酸中毒。</w:t>
      </w:r>
    </w:p>
    <w:p w14:paraId="5950FA79">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大量研究表明，TMR（全混合日粮）可避免牛只挑食，使每口采食的营养均衡，瘤胃pH波动减小，酸中毒及蹄病发生率下降30%~50%。</w:t>
      </w:r>
      <w:r>
        <w:rPr>
          <w:rFonts w:hint="eastAsia" w:ascii="Times New Roman" w:cs="Times New Roman"/>
          <w:kern w:val="0"/>
          <w:sz w:val="24"/>
          <w:szCs w:val="24"/>
          <w:lang w:val="en-US" w:eastAsia="zh-CN" w:bidi="ar-SA"/>
        </w:rPr>
        <w:t>该要求</w:t>
      </w:r>
      <w:r>
        <w:rPr>
          <w:rFonts w:hint="default" w:ascii="Times New Roman" w:hAnsi="Times New Roman" w:cs="Times New Roman"/>
          <w:kern w:val="0"/>
          <w:sz w:val="24"/>
          <w:szCs w:val="24"/>
          <w:lang w:val="en-US" w:eastAsia="zh-CN" w:bidi="ar-SA"/>
        </w:rPr>
        <w:t>衔接NY/T 1339</w:t>
      </w:r>
      <w:r>
        <w:rPr>
          <w:rFonts w:hint="eastAsia" w:ascii="Times New Roman" w:cs="Times New Roman"/>
          <w:kern w:val="0"/>
          <w:sz w:val="24"/>
          <w:szCs w:val="24"/>
          <w:lang w:val="en-US" w:eastAsia="zh-CN" w:bidi="ar-SA"/>
        </w:rPr>
        <w:t>行业</w:t>
      </w:r>
      <w:r>
        <w:rPr>
          <w:rFonts w:hint="default" w:ascii="Times New Roman" w:hAnsi="Times New Roman" w:cs="Times New Roman"/>
          <w:kern w:val="0"/>
          <w:sz w:val="24"/>
          <w:szCs w:val="24"/>
          <w:lang w:val="en-US" w:eastAsia="zh-CN" w:bidi="ar-SA"/>
        </w:rPr>
        <w:t>标准第6.6条推荐</w:t>
      </w:r>
      <w:r>
        <w:rPr>
          <w:rFonts w:hint="eastAsia" w:ascii="Times New Roman" w:cs="Times New Roman"/>
          <w:kern w:val="0"/>
          <w:sz w:val="24"/>
          <w:szCs w:val="24"/>
          <w:lang w:val="en-US" w:eastAsia="zh-CN" w:bidi="ar-SA"/>
        </w:rPr>
        <w:t>“</w:t>
      </w:r>
      <w:r>
        <w:rPr>
          <w:rFonts w:hint="default" w:ascii="Times New Roman" w:hAnsi="Times New Roman" w:cs="Times New Roman"/>
          <w:kern w:val="0"/>
          <w:sz w:val="24"/>
          <w:szCs w:val="24"/>
          <w:lang w:val="en-US" w:eastAsia="zh-CN" w:bidi="ar-SA"/>
        </w:rPr>
        <w:t>有条件的牛场采用全混合日粮（TMR）饲喂工艺</w:t>
      </w:r>
      <w:r>
        <w:rPr>
          <w:rFonts w:hint="eastAsia" w:ascii="Times New Roman" w:cs="Times New Roman"/>
          <w:kern w:val="0"/>
          <w:sz w:val="24"/>
          <w:szCs w:val="24"/>
          <w:lang w:val="en-US" w:eastAsia="zh-CN" w:bidi="ar-SA"/>
        </w:rPr>
        <w:t>”</w:t>
      </w:r>
      <w:r>
        <w:rPr>
          <w:rFonts w:hint="default" w:ascii="Times New Roman" w:hAnsi="Times New Roman" w:cs="Times New Roman"/>
          <w:kern w:val="0"/>
          <w:sz w:val="24"/>
          <w:szCs w:val="24"/>
          <w:lang w:val="en-US" w:eastAsia="zh-CN" w:bidi="ar-SA"/>
        </w:rPr>
        <w:t>，编制组结合本地经济条件，将其以</w:t>
      </w:r>
      <w:r>
        <w:rPr>
          <w:rFonts w:hint="eastAsia" w:ascii="Times New Roman" w:cs="Times New Roman"/>
          <w:kern w:val="0"/>
          <w:sz w:val="24"/>
          <w:szCs w:val="24"/>
          <w:lang w:val="en-US" w:eastAsia="zh-CN" w:bidi="ar-SA"/>
        </w:rPr>
        <w:t>“</w:t>
      </w:r>
      <w:r>
        <w:rPr>
          <w:rFonts w:hint="default" w:ascii="Times New Roman" w:hAnsi="Times New Roman" w:cs="Times New Roman"/>
          <w:kern w:val="0"/>
          <w:sz w:val="24"/>
          <w:szCs w:val="24"/>
          <w:lang w:val="en-US" w:eastAsia="zh-CN" w:bidi="ar-SA"/>
        </w:rPr>
        <w:t>建议</w:t>
      </w:r>
      <w:r>
        <w:rPr>
          <w:rFonts w:hint="eastAsia" w:ascii="Times New Roman" w:cs="Times New Roman"/>
          <w:kern w:val="0"/>
          <w:sz w:val="24"/>
          <w:szCs w:val="24"/>
          <w:lang w:val="en-US" w:eastAsia="zh-CN" w:bidi="ar-SA"/>
        </w:rPr>
        <w:t>”</w:t>
      </w:r>
      <w:r>
        <w:rPr>
          <w:rFonts w:hint="default" w:ascii="Times New Roman" w:hAnsi="Times New Roman" w:cs="Times New Roman"/>
          <w:kern w:val="0"/>
          <w:sz w:val="24"/>
          <w:szCs w:val="24"/>
          <w:lang w:val="en-US" w:eastAsia="zh-CN" w:bidi="ar-SA"/>
        </w:rPr>
        <w:t>形式写入，既保持先进性，又不强制不具备TMR设备的小型</w:t>
      </w:r>
      <w:r>
        <w:rPr>
          <w:rFonts w:hint="eastAsia" w:ascii="Times New Roman" w:cs="Times New Roman"/>
          <w:kern w:val="0"/>
          <w:sz w:val="24"/>
          <w:szCs w:val="24"/>
          <w:lang w:val="en-US" w:eastAsia="zh-CN" w:bidi="ar-SA"/>
        </w:rPr>
        <w:t>养殖</w:t>
      </w:r>
      <w:r>
        <w:rPr>
          <w:rFonts w:hint="default" w:ascii="Times New Roman" w:hAnsi="Times New Roman" w:cs="Times New Roman"/>
          <w:kern w:val="0"/>
          <w:sz w:val="24"/>
          <w:szCs w:val="24"/>
          <w:lang w:val="en-US" w:eastAsia="zh-CN" w:bidi="ar-SA"/>
        </w:rPr>
        <w:t>场。</w:t>
      </w:r>
    </w:p>
    <w:p w14:paraId="448B969C">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eastAsia" w:ascii="Times New Roman" w:cs="Times New Roman"/>
          <w:kern w:val="0"/>
          <w:sz w:val="24"/>
          <w:szCs w:val="24"/>
          <w:lang w:val="en-US" w:eastAsia="zh-CN" w:bidi="ar-SA"/>
        </w:rPr>
        <w:t>在推荐日粮组合与饲喂方案上，本文件参考了大量肉牛育肥期饲料配方，</w:t>
      </w:r>
      <w:r>
        <w:rPr>
          <w:rFonts w:hint="default" w:ascii="Times New Roman" w:hAnsi="Times New Roman" w:cs="Times New Roman"/>
          <w:kern w:val="0"/>
          <w:sz w:val="24"/>
          <w:szCs w:val="24"/>
          <w:lang w:val="en-US" w:eastAsia="zh-CN" w:bidi="ar-SA"/>
        </w:rPr>
        <w:t>在粗饲料选择上</w:t>
      </w:r>
      <w:r>
        <w:rPr>
          <w:rFonts w:hint="eastAsia" w:ascii="Times New Roman" w:cs="Times New Roman"/>
          <w:kern w:val="0"/>
          <w:sz w:val="24"/>
          <w:szCs w:val="24"/>
          <w:lang w:val="en-US" w:eastAsia="zh-CN" w:bidi="ar-SA"/>
        </w:rPr>
        <w:t>以</w:t>
      </w:r>
      <w:r>
        <w:rPr>
          <w:rFonts w:hint="default" w:ascii="Times New Roman" w:hAnsi="Times New Roman" w:cs="Times New Roman"/>
          <w:kern w:val="0"/>
          <w:sz w:val="24"/>
          <w:szCs w:val="24"/>
          <w:lang w:val="en-US" w:eastAsia="zh-CN" w:bidi="ar-SA"/>
        </w:rPr>
        <w:t>张家川县本地</w:t>
      </w:r>
      <w:r>
        <w:rPr>
          <w:rFonts w:hint="eastAsia" w:ascii="Times New Roman" w:cs="Times New Roman"/>
          <w:kern w:val="0"/>
          <w:sz w:val="24"/>
          <w:szCs w:val="24"/>
          <w:lang w:val="en-US" w:eastAsia="zh-CN" w:bidi="ar-SA"/>
        </w:rPr>
        <w:t>丰富的</w:t>
      </w:r>
      <w:r>
        <w:rPr>
          <w:rFonts w:hint="default" w:ascii="Times New Roman" w:hAnsi="Times New Roman" w:cs="Times New Roman"/>
          <w:kern w:val="0"/>
          <w:sz w:val="24"/>
          <w:szCs w:val="24"/>
          <w:lang w:val="en-US" w:eastAsia="zh-CN" w:bidi="ar-SA"/>
        </w:rPr>
        <w:t>青贮玉米、秸秆等为主要粗饲料来源</w:t>
      </w:r>
      <w:r>
        <w:rPr>
          <w:rFonts w:hint="eastAsia" w:ascii="Times New Roman" w:cs="Times New Roman"/>
          <w:kern w:val="0"/>
          <w:sz w:val="24"/>
          <w:szCs w:val="24"/>
          <w:lang w:val="en-US" w:eastAsia="zh-CN" w:bidi="ar-SA"/>
        </w:rPr>
        <w:t>，在饲喂方案上易于理解与执行。</w:t>
      </w:r>
    </w:p>
    <w:p w14:paraId="39BF7AA4">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14" w:name="_Toc14414"/>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7卫生与防疫</w:t>
      </w:r>
      <w:bookmarkEnd w:id="14"/>
    </w:p>
    <w:p w14:paraId="4184EB11">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b w:val="0"/>
          <w:bCs w:val="0"/>
          <w:sz w:val="24"/>
          <w:szCs w:val="24"/>
          <w:lang w:val="en-US" w:eastAsia="zh-CN"/>
        </w:rPr>
      </w:pPr>
      <w:bookmarkStart w:id="15" w:name="_Toc11006"/>
      <w:r>
        <w:rPr>
          <w:rFonts w:hint="default" w:ascii="Times New Roman" w:hAnsi="Times New Roman" w:eastAsia="宋体" w:cs="Times New Roman"/>
          <w:sz w:val="24"/>
          <w:szCs w:val="24"/>
          <w:lang w:val="en-US" w:eastAsia="zh-CN" w:bidi="ar-SA"/>
        </w:rPr>
        <w:t>按照NY 5126 、NY/T 473的规定制定并实施牛场卫生及防疫制度。</w:t>
      </w:r>
      <w:bookmarkEnd w:id="15"/>
    </w:p>
    <w:p w14:paraId="0018D8A5">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确定依据：</w:t>
      </w:r>
    </w:p>
    <w:p w14:paraId="42CCE239">
      <w:pPr>
        <w:pStyle w:val="16"/>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NY 5126《无公害食品 肉牛饲养兽医防疫准则》规定了生产无公害食品的肉牛饲养场在疫病的预防、监测、控制和扑灭方面的兽医防疫准则。NY/T 473规定了肉牛养殖场的兽医防疫技术要求和操作规范。肉牛饲养场应根据《中华人民共和国动物防疫法》及其配套法规的要求，结合当地实际情况制定卫生及防疫制度。</w:t>
      </w:r>
    </w:p>
    <w:p w14:paraId="7464BA6C">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cs="Times New Roman"/>
          <w:sz w:val="24"/>
          <w:szCs w:val="24"/>
          <w:lang w:val="en-US" w:eastAsia="zh-CN"/>
        </w:rPr>
      </w:pPr>
      <w:bookmarkStart w:id="16" w:name="_Toc10841"/>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8粪污处理</w:t>
      </w:r>
      <w:bookmarkEnd w:id="16"/>
    </w:p>
    <w:p w14:paraId="3BB2B5B2">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bidi="ar-SA"/>
        </w:rPr>
      </w:pPr>
      <w:bookmarkStart w:id="17" w:name="_Toc28721"/>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8.1</w:t>
      </w:r>
      <w:r>
        <w:rPr>
          <w:rFonts w:hint="default" w:ascii="Times New Roman" w:hAnsi="Times New Roman" w:eastAsia="宋体" w:cs="Times New Roman"/>
          <w:sz w:val="24"/>
          <w:szCs w:val="24"/>
          <w:lang w:val="en-US" w:eastAsia="zh-CN" w:bidi="ar-SA"/>
        </w:rPr>
        <w:t>养殖场应配备粪污存储、处理、利用的设施设备，设施设备满足安全、环保要求。</w:t>
      </w:r>
      <w:bookmarkEnd w:id="17"/>
    </w:p>
    <w:p w14:paraId="5F5E800E">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bidi="ar-SA"/>
        </w:rPr>
      </w:pPr>
      <w:bookmarkStart w:id="18" w:name="_Toc13405"/>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8.2</w:t>
      </w:r>
      <w:r>
        <w:rPr>
          <w:rFonts w:hint="default" w:ascii="Times New Roman" w:hAnsi="Times New Roman" w:eastAsia="宋体" w:cs="Times New Roman"/>
          <w:sz w:val="24"/>
          <w:szCs w:val="24"/>
          <w:lang w:val="en-US" w:eastAsia="zh-CN" w:bidi="ar-SA"/>
        </w:rPr>
        <w:t>养殖场污染物排放应符合GB 18596的规定。</w:t>
      </w:r>
      <w:bookmarkEnd w:id="18"/>
    </w:p>
    <w:p w14:paraId="1F40B8FD">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bidi="ar-SA"/>
        </w:rPr>
      </w:pPr>
      <w:bookmarkStart w:id="19" w:name="_Toc17007"/>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8.3</w:t>
      </w:r>
      <w:r>
        <w:rPr>
          <w:rFonts w:hint="default" w:ascii="Times New Roman" w:hAnsi="Times New Roman" w:eastAsia="宋体" w:cs="Times New Roman"/>
          <w:sz w:val="24"/>
          <w:szCs w:val="24"/>
          <w:lang w:val="en-US" w:eastAsia="zh-CN" w:bidi="ar-SA"/>
        </w:rPr>
        <w:t>固体粪污宜采用沤肥、堆肥等方式进行无害化处理利用，液体粪污宜采用厌氧发酵等方式进行无害化处理利用，无害化指标应</w:t>
      </w:r>
      <w:r>
        <w:rPr>
          <w:rFonts w:hint="eastAsia" w:ascii="Times New Roman" w:hAnsi="Times New Roman" w:eastAsia="宋体" w:cs="Times New Roman"/>
          <w:sz w:val="24"/>
          <w:szCs w:val="24"/>
          <w:lang w:val="en-US" w:eastAsia="zh-CN" w:bidi="ar-SA"/>
        </w:rPr>
        <w:t>符合</w:t>
      </w:r>
      <w:r>
        <w:rPr>
          <w:rFonts w:hint="default" w:ascii="Times New Roman" w:hAnsi="Times New Roman" w:eastAsia="宋体" w:cs="Times New Roman"/>
          <w:sz w:val="24"/>
          <w:szCs w:val="24"/>
          <w:lang w:val="en-US" w:eastAsia="zh-CN" w:bidi="ar-SA"/>
        </w:rPr>
        <w:t>GB/T 36195的规定。</w:t>
      </w:r>
      <w:bookmarkEnd w:id="19"/>
    </w:p>
    <w:p w14:paraId="3C8145F1">
      <w:pPr>
        <w:pStyle w:val="16"/>
        <w:keepNext w:val="0"/>
        <w:keepLines w:val="0"/>
        <w:pageBreakBefore w:val="0"/>
        <w:kinsoku/>
        <w:wordWrap/>
        <w:overflowPunct/>
        <w:topLinePunct w:val="0"/>
        <w:bidi w:val="0"/>
        <w:adjustRightInd w:val="0"/>
        <w:snapToGrid w:val="0"/>
        <w:spacing w:line="360" w:lineRule="auto"/>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确定依据：</w:t>
      </w:r>
    </w:p>
    <w:p w14:paraId="46CBBD04">
      <w:pPr>
        <w:pStyle w:val="16"/>
        <w:keepNext w:val="0"/>
        <w:keepLines w:val="0"/>
        <w:pageBreakBefore w:val="0"/>
        <w:kinsoku/>
        <w:wordWrap/>
        <w:overflowPunct/>
        <w:topLinePunct w:val="0"/>
        <w:bidi w:val="0"/>
        <w:adjustRightInd w:val="0"/>
        <w:snapToGrid w:val="0"/>
        <w:spacing w:line="360" w:lineRule="auto"/>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张家川红花牛产业发展势态良好，是当地县区经济支柱产业，为保障产业可持续绿色发展，构建环境友好型企业是产业发展的趋势。牛场所产生的大量粪尿等养殖污物合理化利用不仅可以改善牛场环境，也是废物利用，延伸产业链以增加企业受益的举措之一。因此，牛场应设有废弃物贮存、处理设施，防止泄露、溢流、恶臭等对周围环境造成污染。建立粪污密闭收集系统、实施固液分离、采用液体粪污厌氧发酵和固体粪污好氧堆肥工艺等配套管理措施，能够有效控制污染物排放，同时最大限度实现粪污资源化利用。</w:t>
      </w:r>
    </w:p>
    <w:p w14:paraId="7C791D1D">
      <w:pPr>
        <w:pStyle w:val="16"/>
        <w:keepNext w:val="0"/>
        <w:keepLines w:val="0"/>
        <w:pageBreakBefore w:val="0"/>
        <w:kinsoku/>
        <w:wordWrap/>
        <w:overflowPunct/>
        <w:topLinePunct w:val="0"/>
        <w:bidi w:val="0"/>
        <w:adjustRightInd w:val="0"/>
        <w:snapToGrid w:val="0"/>
        <w:spacing w:line="360" w:lineRule="auto"/>
        <w:textAlignment w:val="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GB 18596《畜禽养殖业污染物排放标准》按集约化畜禽养殖业的不同规模分别规定了水污染物、恶臭气体的最高允许日均排放浓度、最高允许排水量，以及畜禽养殖业废渣无害化环境标准。该标准适用于全国集约化畜禽养殖场和养殖区污染物的排放管理。GB/T 36195《畜禽粪便无害化处理技术规范》规定了畜禽粪便无害化处理的基本要求、粪便处理场选址及布局、粪便收集、贮存和运输、粪便处理及粪便处理后利用等内容，适用于畜禽养殖场所的粪便无害化处理。对配套土地充足的养殖场户，粪污经无害化处理后还田利用具体要求应符合GB/T 36195和GB/T 25246的要求。固体粪便经好氧堆肥处理后制成固体有机肥，液体部分进行厌氧发酵处理，是粪污资源化利用的主流技术模式。无害化处理是指利用高温、好氧或厌氧发酵或消毒等技术使畜禽粪便达到卫生学要求的过程。</w:t>
      </w:r>
    </w:p>
    <w:p w14:paraId="5D68AF55">
      <w:pPr>
        <w:pStyle w:val="23"/>
        <w:keepNext w:val="0"/>
        <w:keepLines w:val="0"/>
        <w:pageBreakBefore w:val="0"/>
        <w:numPr>
          <w:ilvl w:val="1"/>
          <w:numId w:val="0"/>
        </w:numPr>
        <w:kinsoku/>
        <w:wordWrap/>
        <w:overflowPunct/>
        <w:topLinePunct w:val="0"/>
        <w:bidi w:val="0"/>
        <w:adjustRightInd w:val="0"/>
        <w:snapToGrid w:val="0"/>
        <w:spacing w:before="0" w:beforeLines="0" w:after="0" w:afterLines="0" w:line="360" w:lineRule="auto"/>
        <w:ind w:firstLine="480" w:firstLineChars="200"/>
        <w:textAlignment w:val="auto"/>
        <w:rPr>
          <w:rFonts w:hint="default" w:ascii="Times New Roman" w:hAnsi="Times New Roman" w:cs="Times New Roman"/>
          <w:sz w:val="24"/>
          <w:szCs w:val="24"/>
          <w:lang w:val="en-US" w:eastAsia="zh-CN"/>
        </w:rPr>
      </w:pPr>
      <w:bookmarkStart w:id="20" w:name="_Toc30055"/>
      <w:r>
        <w:rPr>
          <w:rFonts w:hint="eastAsia" w:ascii="Times New Roman" w:cs="Times New Roman"/>
          <w:sz w:val="24"/>
          <w:szCs w:val="24"/>
          <w:lang w:val="en-US" w:eastAsia="zh-CN"/>
        </w:rPr>
        <w:t>2.</w:t>
      </w:r>
      <w:r>
        <w:rPr>
          <w:rFonts w:hint="default" w:ascii="Times New Roman" w:hAnsi="Times New Roman" w:cs="Times New Roman"/>
          <w:sz w:val="24"/>
          <w:szCs w:val="24"/>
          <w:lang w:val="en-US" w:eastAsia="zh-CN"/>
        </w:rPr>
        <w:t>9档案记录与管理</w:t>
      </w:r>
      <w:bookmarkEnd w:id="20"/>
    </w:p>
    <w:p w14:paraId="0F37A12E">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bidi="ar-SA"/>
        </w:rPr>
      </w:pPr>
      <w:bookmarkStart w:id="21" w:name="_Toc15912"/>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9.1</w:t>
      </w:r>
      <w:r>
        <w:rPr>
          <w:rFonts w:hint="default" w:ascii="Times New Roman" w:hAnsi="Times New Roman" w:eastAsia="宋体" w:cs="Times New Roman"/>
          <w:sz w:val="24"/>
          <w:szCs w:val="24"/>
          <w:lang w:val="en-US" w:eastAsia="zh-CN" w:bidi="ar-SA"/>
        </w:rPr>
        <w:t>按照《畜禽标识和养殖档案管理办法》为每头牛建立电子和纸质档案。</w:t>
      </w:r>
      <w:bookmarkEnd w:id="21"/>
    </w:p>
    <w:p w14:paraId="7CC1F1E5">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bidi="ar-SA"/>
        </w:rPr>
      </w:pPr>
      <w:bookmarkStart w:id="22" w:name="_Toc4949"/>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9.2</w:t>
      </w:r>
      <w:r>
        <w:rPr>
          <w:rFonts w:hint="default" w:ascii="Times New Roman" w:hAnsi="Times New Roman" w:eastAsia="宋体" w:cs="Times New Roman"/>
          <w:sz w:val="24"/>
          <w:szCs w:val="24"/>
          <w:lang w:val="en-US" w:eastAsia="zh-CN" w:bidi="ar-SA"/>
        </w:rPr>
        <w:t>记录内容应包括：品种、数量、来源、个体标识号、出生日期、性别、免疫检疫记录、饲料投喂情况、生产性能、繁殖记录、出场销售等信息，确保牛群饲养过程可追溯。</w:t>
      </w:r>
      <w:bookmarkEnd w:id="22"/>
    </w:p>
    <w:p w14:paraId="61938F9A">
      <w:pPr>
        <w:pStyle w:val="24"/>
        <w:keepNext w:val="0"/>
        <w:keepLines w:val="0"/>
        <w:pageBreakBefore w:val="0"/>
        <w:numPr>
          <w:ilvl w:val="2"/>
          <w:numId w:val="0"/>
        </w:numPr>
        <w:kinsoku/>
        <w:wordWrap/>
        <w:overflowPunct/>
        <w:topLinePunct w:val="0"/>
        <w:bidi w:val="0"/>
        <w:adjustRightInd w:val="0"/>
        <w:snapToGrid w:val="0"/>
        <w:spacing w:before="0" w:beforeLines="0" w:after="0" w:afterLines="0" w:line="360" w:lineRule="auto"/>
        <w:ind w:leftChars="0" w:firstLine="480" w:firstLineChars="200"/>
        <w:textAlignment w:val="auto"/>
        <w:rPr>
          <w:rFonts w:hint="default" w:ascii="Times New Roman" w:hAnsi="Times New Roman" w:eastAsia="宋体" w:cs="Times New Roman"/>
          <w:sz w:val="24"/>
          <w:szCs w:val="24"/>
          <w:lang w:val="en-US" w:eastAsia="zh-CN" w:bidi="ar-SA"/>
        </w:rPr>
      </w:pPr>
      <w:bookmarkStart w:id="23" w:name="_Toc18476"/>
      <w:r>
        <w:rPr>
          <w:rFonts w:hint="eastAsia" w:ascii="Times New Roman" w:cs="Times New Roman"/>
          <w:sz w:val="24"/>
          <w:szCs w:val="24"/>
          <w:lang w:val="en-US" w:eastAsia="zh-CN" w:bidi="ar-SA"/>
        </w:rPr>
        <w:t>2.</w:t>
      </w:r>
      <w:r>
        <w:rPr>
          <w:rFonts w:hint="default" w:ascii="Times New Roman" w:hAnsi="Times New Roman" w:eastAsia="黑体" w:cs="Times New Roman"/>
          <w:sz w:val="24"/>
          <w:szCs w:val="24"/>
          <w:lang w:val="en-US" w:eastAsia="zh-CN" w:bidi="ar-SA"/>
        </w:rPr>
        <w:t>9.3</w:t>
      </w:r>
      <w:r>
        <w:rPr>
          <w:rFonts w:hint="default" w:ascii="Times New Roman" w:hAnsi="Times New Roman" w:eastAsia="宋体" w:cs="Times New Roman"/>
          <w:sz w:val="24"/>
          <w:szCs w:val="24"/>
          <w:lang w:val="en-US" w:eastAsia="zh-CN" w:bidi="ar-SA"/>
        </w:rPr>
        <w:t>记录内容真实、准确，清晰，记录档案应保留3年以上。</w:t>
      </w:r>
      <w:bookmarkEnd w:id="23"/>
    </w:p>
    <w:p w14:paraId="3430A5D1">
      <w:pPr>
        <w:pStyle w:val="16"/>
        <w:spacing w:line="360" w:lineRule="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确定依据：</w:t>
      </w:r>
    </w:p>
    <w:p w14:paraId="5D0D1BFE">
      <w:pPr>
        <w:pStyle w:val="16"/>
        <w:spacing w:line="360" w:lineRule="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畜禽标识和养殖档案管理办法》第一条规定，为了规范畜牧业生产经营行为，加强畜禽标识和养殖档案管理，建立畜禽及畜禽产品可追溯制度，有效防控重大动物疫病，保障畜禽产品质量安全，依据相关法律法规制定本办法。该办法对畜禽标识的编码、加施、管理和养殖档案的建立等作出了明确规定，是建立养殖档案管理的法定依据。</w:t>
      </w:r>
    </w:p>
    <w:p w14:paraId="18C8BA3C">
      <w:pPr>
        <w:pStyle w:val="16"/>
        <w:spacing w:line="360" w:lineRule="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根据《畜禽标识和养殖档案管理办法》第十八条，畜禽养殖场应当建立养殖档案，载明以下内容：畜禽的品种、数量、繁殖记录、标识情况、来源和进出场日期；饲料、饲料添加剂等投入品和兽药的来源、名称、使用对象、时间和用量等有关情况；检疫、免疫、监测、消毒情况等。完整记录上述信息是建立全程可追溯制度的技术基础，有利于疫病溯源、产品质量监管和食品安全保障。</w:t>
      </w:r>
    </w:p>
    <w:p w14:paraId="7288F320">
      <w:pPr>
        <w:pStyle w:val="16"/>
        <w:spacing w:line="360" w:lineRule="auto"/>
        <w:rPr>
          <w:rFonts w:hint="default" w:ascii="Times New Roman" w:hAnsi="Times New Roman" w:cs="Times New Roman"/>
          <w:kern w:val="0"/>
          <w:sz w:val="24"/>
          <w:szCs w:val="24"/>
          <w:lang w:val="en-US" w:eastAsia="zh-CN" w:bidi="ar-SA"/>
        </w:rPr>
      </w:pPr>
      <w:r>
        <w:rPr>
          <w:rFonts w:hint="default" w:ascii="Times New Roman" w:hAnsi="Times New Roman" w:cs="Times New Roman"/>
          <w:kern w:val="0"/>
          <w:sz w:val="24"/>
          <w:szCs w:val="24"/>
          <w:lang w:val="en-US" w:eastAsia="zh-CN" w:bidi="ar-SA"/>
        </w:rPr>
        <w:t>张家川红花肉牛为全国地理标志产品，产业发展逐步向品牌化、高端化建设布局，因此，档案记录应全面、详实可靠，为品种培育及产品溯源奠定良好基础。</w:t>
      </w:r>
    </w:p>
    <w:p w14:paraId="3AED1298">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三、试验验证的分析及预期的经济效益、社会效益和生态效益</w:t>
      </w:r>
    </w:p>
    <w:p w14:paraId="1D77469A">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bidi="ar-SA"/>
        </w:rPr>
        <w:t>标准的制定实施有助于保障农产品质量安全。通过规范兽药使用、疫病防控、饲料添加剂管理，可有效降低药物残留风险，保障牛肉产品的质量安全，维护消费者权益。其次，标准将纳入养殖废弃物处理、粪污资源化利用等环保要求，推动种养结合、农牧循环发展模式。目前全县已发展饲草玉米种植、青贮饲料加工等配套产业，标准实施将进一步促进养殖与种植的良性循环，减少面源污染。最后通过标准化饲养管理，保持和优化张家川红花牛的品种特性，防止品种退化，对新品种/新资源审定及地方特色遗传资源保护具有重要意义。</w:t>
      </w:r>
    </w:p>
    <w:p w14:paraId="58A719E0">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张家川红花牛饲养管理技术规范</w:t>
      </w: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团体标准</w:t>
      </w:r>
      <w:r>
        <w:rPr>
          <w:rFonts w:hint="default" w:ascii="Times New Roman" w:hAnsi="Times New Roman" w:eastAsia="宋体" w:cs="Times New Roman"/>
          <w:kern w:val="0"/>
          <w:sz w:val="24"/>
          <w:szCs w:val="24"/>
        </w:rPr>
        <w:t>起草完成后，标准编制小组于202</w:t>
      </w:r>
      <w:r>
        <w:rPr>
          <w:rFonts w:hint="default" w:ascii="Times New Roman" w:hAnsi="Times New Roman" w:eastAsia="宋体" w:cs="Times New Roman"/>
          <w:kern w:val="0"/>
          <w:sz w:val="24"/>
          <w:szCs w:val="24"/>
          <w:lang w:val="en-US" w:eastAsia="zh-CN"/>
        </w:rPr>
        <w:t>6</w:t>
      </w:r>
      <w:r>
        <w:rPr>
          <w:rFonts w:hint="default" w:ascii="Times New Roman" w:hAnsi="Times New Roman" w:eastAsia="宋体" w:cs="Times New Roman"/>
          <w:kern w:val="0"/>
          <w:sz w:val="24"/>
          <w:szCs w:val="24"/>
        </w:rPr>
        <w:t>年</w:t>
      </w:r>
      <w:r>
        <w:rPr>
          <w:rFonts w:hint="default" w:ascii="Times New Roman" w:hAnsi="Times New Roman" w:eastAsia="宋体" w:cs="Times New Roman"/>
          <w:kern w:val="0"/>
          <w:sz w:val="24"/>
          <w:szCs w:val="24"/>
          <w:lang w:val="en-US" w:eastAsia="zh-CN"/>
        </w:rPr>
        <w:t>4</w:t>
      </w:r>
      <w:r>
        <w:rPr>
          <w:rFonts w:hint="default" w:ascii="Times New Roman" w:hAnsi="Times New Roman" w:eastAsia="宋体" w:cs="Times New Roman"/>
          <w:kern w:val="0"/>
          <w:sz w:val="24"/>
          <w:szCs w:val="24"/>
        </w:rPr>
        <w:t>月～</w:t>
      </w:r>
      <w:r>
        <w:rPr>
          <w:rFonts w:hint="default" w:ascii="Times New Roman" w:hAnsi="Times New Roman" w:eastAsia="宋体" w:cs="Times New Roman"/>
          <w:kern w:val="0"/>
          <w:sz w:val="24"/>
          <w:szCs w:val="24"/>
          <w:lang w:val="en-US" w:eastAsia="zh-CN"/>
        </w:rPr>
        <w:t>5</w:t>
      </w:r>
      <w:r>
        <w:rPr>
          <w:rFonts w:hint="default" w:ascii="Times New Roman" w:hAnsi="Times New Roman" w:eastAsia="宋体" w:cs="Times New Roman"/>
          <w:kern w:val="0"/>
          <w:sz w:val="24"/>
          <w:szCs w:val="24"/>
        </w:rPr>
        <w:t>月在张家川县志洋种养殖农民专业合作社、旺平种养殖农民专业合作社、大发展种养殖农民专业合作社等肉牛养殖场对</w:t>
      </w:r>
      <w:r>
        <w:rPr>
          <w:rFonts w:hint="default" w:ascii="Times New Roman" w:hAnsi="Times New Roman" w:eastAsia="宋体" w:cs="Times New Roman"/>
          <w:kern w:val="0"/>
          <w:sz w:val="24"/>
          <w:szCs w:val="24"/>
          <w:lang w:val="en-US" w:eastAsia="zh-CN"/>
        </w:rPr>
        <w:t>文件</w:t>
      </w:r>
      <w:r>
        <w:rPr>
          <w:rFonts w:hint="default" w:ascii="Times New Roman" w:hAnsi="Times New Roman" w:eastAsia="宋体" w:cs="Times New Roman"/>
          <w:kern w:val="0"/>
          <w:sz w:val="24"/>
          <w:szCs w:val="24"/>
        </w:rPr>
        <w:t>的主要技术指标进行了验证，验证结果显示，</w:t>
      </w:r>
      <w:r>
        <w:rPr>
          <w:rFonts w:hint="default" w:ascii="Times New Roman" w:hAnsi="Times New Roman" w:eastAsia="宋体" w:cs="Times New Roman"/>
          <w:kern w:val="0"/>
          <w:sz w:val="24"/>
          <w:szCs w:val="24"/>
          <w:lang w:val="en-US" w:eastAsia="zh-CN"/>
        </w:rPr>
        <w:t>本文件</w:t>
      </w:r>
      <w:r>
        <w:rPr>
          <w:rFonts w:hint="default" w:ascii="Times New Roman" w:hAnsi="Times New Roman" w:eastAsia="宋体" w:cs="Times New Roman"/>
          <w:kern w:val="0"/>
          <w:sz w:val="24"/>
          <w:szCs w:val="24"/>
        </w:rPr>
        <w:t>各项内容、指标均符合</w:t>
      </w:r>
      <w:r>
        <w:rPr>
          <w:rFonts w:hint="default" w:ascii="Times New Roman" w:hAnsi="Times New Roman" w:eastAsia="宋体" w:cs="Times New Roman"/>
          <w:kern w:val="0"/>
          <w:sz w:val="24"/>
          <w:szCs w:val="24"/>
          <w:lang w:val="en-US" w:eastAsia="zh-CN"/>
        </w:rPr>
        <w:t>张家川红花牛</w:t>
      </w:r>
      <w:r>
        <w:rPr>
          <w:rFonts w:hint="default" w:ascii="Times New Roman" w:hAnsi="Times New Roman" w:eastAsia="宋体" w:cs="Times New Roman"/>
          <w:kern w:val="0"/>
          <w:sz w:val="24"/>
          <w:szCs w:val="24"/>
        </w:rPr>
        <w:t>的生产实际，</w:t>
      </w:r>
      <w:r>
        <w:rPr>
          <w:rFonts w:hint="default" w:ascii="Times New Roman" w:hAnsi="Times New Roman" w:cs="Times New Roman"/>
          <w:sz w:val="24"/>
        </w:rPr>
        <w:t>技术内容合理、方法科学可行</w:t>
      </w: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易于操作执行，可以有效指导生产实践。标准实施后，通过规范饲养管理，可提高肉牛出栏品质和养殖效益，对张家川红花牛产业</w:t>
      </w:r>
      <w:r>
        <w:rPr>
          <w:rFonts w:hint="default" w:ascii="Times New Roman" w:hAnsi="Times New Roman" w:eastAsia="宋体" w:cs="Times New Roman"/>
          <w:kern w:val="0"/>
          <w:sz w:val="24"/>
          <w:szCs w:val="24"/>
        </w:rPr>
        <w:t>高质量</w:t>
      </w:r>
      <w:r>
        <w:rPr>
          <w:rFonts w:hint="default" w:ascii="Times New Roman" w:hAnsi="Times New Roman" w:eastAsia="宋体" w:cs="Times New Roman"/>
          <w:kern w:val="0"/>
          <w:sz w:val="24"/>
          <w:szCs w:val="24"/>
          <w:lang w:eastAsia="zh-CN"/>
        </w:rPr>
        <w:t>、</w:t>
      </w:r>
      <w:r>
        <w:rPr>
          <w:rFonts w:hint="default" w:ascii="Times New Roman" w:hAnsi="Times New Roman" w:eastAsia="宋体" w:cs="Times New Roman"/>
          <w:kern w:val="0"/>
          <w:sz w:val="24"/>
          <w:szCs w:val="24"/>
        </w:rPr>
        <w:t>可持续发展</w:t>
      </w:r>
      <w:r>
        <w:rPr>
          <w:rFonts w:hint="default" w:ascii="Times New Roman" w:hAnsi="Times New Roman" w:eastAsia="宋体" w:cs="Times New Roman"/>
          <w:kern w:val="0"/>
          <w:sz w:val="24"/>
          <w:szCs w:val="24"/>
          <w:lang w:val="en-US" w:eastAsia="zh-CN"/>
        </w:rPr>
        <w:t>具有积极的推动作用</w:t>
      </w:r>
      <w:r>
        <w:rPr>
          <w:rFonts w:hint="default" w:ascii="Times New Roman" w:hAnsi="Times New Roman" w:eastAsia="宋体" w:cs="Times New Roman"/>
          <w:kern w:val="0"/>
          <w:sz w:val="24"/>
          <w:szCs w:val="24"/>
          <w:lang w:eastAsia="zh-CN"/>
        </w:rPr>
        <w:t>。</w:t>
      </w:r>
      <w:r>
        <w:rPr>
          <w:rFonts w:hint="default" w:ascii="Times New Roman" w:hAnsi="Times New Roman" w:eastAsia="宋体" w:cs="Times New Roman"/>
          <w:kern w:val="0"/>
          <w:sz w:val="24"/>
          <w:szCs w:val="24"/>
        </w:rPr>
        <w:t>标准的预期经济效益、社会效益和生态效益非常显著。</w:t>
      </w:r>
    </w:p>
    <w:p w14:paraId="31160EC0">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四、与国际、国外同类标准技术内容的对比情况</w:t>
      </w:r>
    </w:p>
    <w:p w14:paraId="74C88636">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经查，国内和国外均没有《</w:t>
      </w:r>
      <w:r>
        <w:rPr>
          <w:rFonts w:hint="default" w:ascii="Times New Roman" w:hAnsi="Times New Roman" w:eastAsia="宋体" w:cs="Times New Roman"/>
          <w:kern w:val="0"/>
          <w:sz w:val="24"/>
          <w:szCs w:val="24"/>
          <w:lang w:val="en-US" w:eastAsia="zh-CN"/>
        </w:rPr>
        <w:t>张家川红花牛饲养管理技术规范</w:t>
      </w:r>
      <w:r>
        <w:rPr>
          <w:rFonts w:hint="default" w:ascii="Times New Roman" w:hAnsi="Times New Roman" w:eastAsia="宋体" w:cs="Times New Roman"/>
          <w:kern w:val="0"/>
          <w:sz w:val="24"/>
          <w:szCs w:val="24"/>
        </w:rPr>
        <w:t>》此类标准，无需开展相关试验验证对比工作。</w:t>
      </w:r>
    </w:p>
    <w:p w14:paraId="77963F6B">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五、以国际标准为基础的起草情况</w:t>
      </w:r>
    </w:p>
    <w:p w14:paraId="23EA2416">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经查，国际上没有《</w:t>
      </w:r>
      <w:r>
        <w:rPr>
          <w:rFonts w:hint="default" w:ascii="Times New Roman" w:hAnsi="Times New Roman" w:eastAsia="宋体" w:cs="Times New Roman"/>
          <w:kern w:val="0"/>
          <w:sz w:val="24"/>
          <w:szCs w:val="24"/>
          <w:lang w:val="en-US" w:eastAsia="zh-CN"/>
        </w:rPr>
        <w:t>张家川红花牛饲养管理技术规范</w:t>
      </w:r>
      <w:r>
        <w:rPr>
          <w:rFonts w:hint="default" w:ascii="Times New Roman" w:hAnsi="Times New Roman" w:eastAsia="宋体" w:cs="Times New Roman"/>
          <w:kern w:val="0"/>
          <w:sz w:val="24"/>
          <w:szCs w:val="24"/>
        </w:rPr>
        <w:t>》此类标准，本标准不存在采标问题。</w:t>
      </w:r>
    </w:p>
    <w:p w14:paraId="5ED2CE22">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六、与有关法律、行政法规及相关标准的关系</w:t>
      </w:r>
    </w:p>
    <w:p w14:paraId="6C90BC92">
      <w:pPr>
        <w:spacing w:before="156" w:beforeLines="50" w:after="156" w:afterLines="50" w:line="360" w:lineRule="auto"/>
        <w:ind w:firstLine="600" w:firstLineChars="250"/>
        <w:contextualSpacing/>
        <w:rPr>
          <w:rFonts w:hint="default" w:ascii="Times New Roman" w:hAnsi="Times New Roman" w:eastAsia="宋体" w:cs="Times New Roman"/>
          <w:kern w:val="0"/>
          <w:sz w:val="24"/>
          <w:szCs w:val="24"/>
        </w:rPr>
      </w:pPr>
      <w:r>
        <w:rPr>
          <w:rFonts w:hint="default" w:ascii="Times New Roman" w:hAnsi="Times New Roman" w:cs="Times New Roman"/>
          <w:sz w:val="24"/>
        </w:rPr>
        <w:t>本标准的制定符合现行的农业法、畜牧法和国家畜禽资源管理委员会条例等相关规定</w:t>
      </w:r>
      <w:r>
        <w:rPr>
          <w:rFonts w:hint="default" w:ascii="Times New Roman" w:hAnsi="Times New Roman" w:eastAsia="宋体" w:cs="Times New Roman"/>
          <w:kern w:val="0"/>
          <w:sz w:val="24"/>
          <w:szCs w:val="24"/>
        </w:rPr>
        <w:t>，严格执行强制性国家标准和行业标准。与相关的各种基础标准相衔接，遵循政策性和协调</w:t>
      </w:r>
      <w:r>
        <w:rPr>
          <w:rFonts w:hint="default" w:ascii="Times New Roman" w:hAnsi="Times New Roman" w:eastAsia="宋体" w:cs="Times New Roman"/>
          <w:kern w:val="0"/>
          <w:sz w:val="24"/>
          <w:szCs w:val="24"/>
          <w:lang w:val="en-US" w:eastAsia="zh-CN"/>
        </w:rPr>
        <w:t>统一性</w:t>
      </w:r>
      <w:r>
        <w:rPr>
          <w:rFonts w:hint="default" w:ascii="Times New Roman" w:hAnsi="Times New Roman" w:eastAsia="宋体" w:cs="Times New Roman"/>
          <w:kern w:val="0"/>
          <w:sz w:val="24"/>
          <w:szCs w:val="24"/>
        </w:rPr>
        <w:t>的原则。</w:t>
      </w:r>
    </w:p>
    <w:p w14:paraId="2E98F522">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七、重大分歧意见的处理经过和依据</w:t>
      </w:r>
    </w:p>
    <w:p w14:paraId="24003943">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张家川红花牛饲养管理技术</w:t>
      </w:r>
      <w:r>
        <w:rPr>
          <w:rFonts w:hint="default" w:ascii="Times New Roman" w:hAnsi="Times New Roman" w:cs="Times New Roman"/>
          <w:sz w:val="24"/>
          <w:szCs w:val="24"/>
          <w:lang w:val="en-US" w:eastAsia="zh-CN"/>
        </w:rPr>
        <w:t>规范</w:t>
      </w:r>
      <w:r>
        <w:rPr>
          <w:rFonts w:hint="default" w:ascii="Times New Roman" w:hAnsi="Times New Roman" w:eastAsia="宋体" w:cs="Times New Roman"/>
          <w:kern w:val="0"/>
          <w:sz w:val="24"/>
          <w:szCs w:val="24"/>
        </w:rPr>
        <w:t>》在制定的过程中严格遵循团体标准制定规范，广泛征求行业领域内科研机构、高校、</w:t>
      </w:r>
      <w:r>
        <w:rPr>
          <w:rFonts w:hint="default" w:ascii="Times New Roman" w:hAnsi="Times New Roman" w:eastAsia="宋体" w:cs="Times New Roman"/>
          <w:kern w:val="0"/>
          <w:sz w:val="24"/>
          <w:szCs w:val="24"/>
          <w:lang w:val="en-US" w:eastAsia="zh-CN"/>
        </w:rPr>
        <w:t>牦牛</w:t>
      </w:r>
      <w:r>
        <w:rPr>
          <w:rFonts w:hint="default" w:ascii="Times New Roman" w:hAnsi="Times New Roman" w:eastAsia="宋体" w:cs="Times New Roman"/>
          <w:kern w:val="0"/>
          <w:sz w:val="24"/>
          <w:szCs w:val="24"/>
        </w:rPr>
        <w:t>养殖企业、</w:t>
      </w:r>
      <w:r>
        <w:rPr>
          <w:rFonts w:hint="default" w:ascii="Times New Roman" w:hAnsi="Times New Roman" w:eastAsia="宋体" w:cs="Times New Roman"/>
          <w:kern w:val="0"/>
          <w:sz w:val="24"/>
          <w:szCs w:val="24"/>
          <w:lang w:val="en-US" w:eastAsia="zh-CN"/>
        </w:rPr>
        <w:t>基层</w:t>
      </w:r>
      <w:r>
        <w:rPr>
          <w:rFonts w:hint="default" w:ascii="Times New Roman" w:hAnsi="Times New Roman" w:eastAsia="宋体" w:cs="Times New Roman"/>
          <w:kern w:val="0"/>
          <w:sz w:val="24"/>
          <w:szCs w:val="24"/>
        </w:rPr>
        <w:t>推广单位及相关专家的意见建议；对所有反馈意见进行逐一梳理、分类汇总，并组织专题研讨会议充分论证，</w:t>
      </w:r>
      <w:r>
        <w:rPr>
          <w:rFonts w:hint="default" w:ascii="Times New Roman" w:hAnsi="Times New Roman" w:eastAsia="宋体" w:cs="Times New Roman"/>
          <w:kern w:val="0"/>
          <w:sz w:val="24"/>
          <w:szCs w:val="24"/>
          <w:lang w:val="en-US" w:eastAsia="zh-CN"/>
        </w:rPr>
        <w:t>并</w:t>
      </w:r>
      <w:r>
        <w:rPr>
          <w:rFonts w:hint="default" w:ascii="Times New Roman" w:hAnsi="Times New Roman" w:eastAsia="宋体" w:cs="Times New Roman"/>
          <w:kern w:val="0"/>
          <w:sz w:val="24"/>
          <w:szCs w:val="24"/>
        </w:rPr>
        <w:t>对标准文本进行多</w:t>
      </w:r>
      <w:r>
        <w:rPr>
          <w:rFonts w:hint="default" w:ascii="Times New Roman" w:hAnsi="Times New Roman" w:eastAsia="宋体" w:cs="Times New Roman"/>
          <w:kern w:val="0"/>
          <w:sz w:val="24"/>
          <w:szCs w:val="24"/>
          <w:lang w:val="en-US" w:eastAsia="zh-CN"/>
        </w:rPr>
        <w:t>次修改</w:t>
      </w:r>
      <w:r>
        <w:rPr>
          <w:rFonts w:hint="default" w:ascii="Times New Roman" w:hAnsi="Times New Roman" w:eastAsia="宋体" w:cs="Times New Roman"/>
          <w:kern w:val="0"/>
          <w:sz w:val="24"/>
          <w:szCs w:val="24"/>
        </w:rPr>
        <w:t>完善</w:t>
      </w:r>
      <w:r>
        <w:rPr>
          <w:rFonts w:hint="default" w:ascii="Times New Roman" w:hAnsi="Times New Roman" w:eastAsia="宋体" w:cs="Times New Roman"/>
          <w:kern w:val="0"/>
          <w:sz w:val="24"/>
          <w:szCs w:val="24"/>
          <w:lang w:eastAsia="zh-CN"/>
        </w:rPr>
        <w:t>，</w:t>
      </w:r>
      <w:r>
        <w:rPr>
          <w:rFonts w:hint="default" w:ascii="Times New Roman" w:hAnsi="Times New Roman" w:eastAsia="宋体" w:cs="Times New Roman"/>
          <w:kern w:val="0"/>
          <w:sz w:val="24"/>
          <w:szCs w:val="24"/>
        </w:rPr>
        <w:t>未出现重大分歧，确保标准内容科学合理、切实可行。</w:t>
      </w:r>
    </w:p>
    <w:p w14:paraId="7F5116F8">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八、涉及专利的有关说明</w:t>
      </w:r>
    </w:p>
    <w:p w14:paraId="704D5380">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经查，未识别到与本标准技术内容有关的专利。</w:t>
      </w:r>
    </w:p>
    <w:p w14:paraId="50458625">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九、</w:t>
      </w:r>
      <w:bookmarkStart w:id="24" w:name="OLE_LINK1"/>
      <w:bookmarkStart w:id="25" w:name="OLE_LINK2"/>
      <w:r>
        <w:rPr>
          <w:rFonts w:hint="default" w:ascii="Times New Roman" w:hAnsi="Times New Roman" w:cs="Times New Roman"/>
          <w:b/>
          <w:sz w:val="24"/>
          <w:szCs w:val="24"/>
        </w:rPr>
        <w:t>实施国家标准的要求，以及组织措施、技术措施、过渡期和实施日期的建议等措施建议</w:t>
      </w:r>
    </w:p>
    <w:bookmarkEnd w:id="24"/>
    <w:bookmarkEnd w:id="25"/>
    <w:p w14:paraId="1D217E47">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本标准</w:t>
      </w:r>
      <w:r>
        <w:rPr>
          <w:rFonts w:hint="default" w:ascii="Times New Roman" w:hAnsi="Times New Roman" w:eastAsia="宋体" w:cs="Times New Roman"/>
          <w:kern w:val="0"/>
          <w:sz w:val="24"/>
          <w:szCs w:val="24"/>
          <w:lang w:val="en-US" w:eastAsia="zh-CN"/>
        </w:rPr>
        <w:t>颁布实施</w:t>
      </w:r>
      <w:r>
        <w:rPr>
          <w:rFonts w:hint="default" w:ascii="Times New Roman" w:hAnsi="Times New Roman" w:eastAsia="宋体" w:cs="Times New Roman"/>
          <w:kern w:val="0"/>
          <w:sz w:val="24"/>
          <w:szCs w:val="24"/>
        </w:rPr>
        <w:t>后，应由标准制定单位联合</w:t>
      </w:r>
      <w:r>
        <w:rPr>
          <w:rFonts w:hint="default" w:ascii="Times New Roman" w:hAnsi="Times New Roman" w:eastAsia="宋体" w:cs="Times New Roman"/>
          <w:kern w:val="0"/>
          <w:sz w:val="24"/>
          <w:szCs w:val="24"/>
          <w:lang w:val="en-US" w:eastAsia="zh-CN"/>
        </w:rPr>
        <w:t>基层畜牧推广单位</w:t>
      </w:r>
      <w:r>
        <w:rPr>
          <w:rFonts w:hint="default" w:ascii="Times New Roman" w:hAnsi="Times New Roman" w:eastAsia="宋体" w:cs="Times New Roman"/>
          <w:kern w:val="0"/>
          <w:sz w:val="24"/>
          <w:szCs w:val="24"/>
        </w:rPr>
        <w:t>组织开展宣贯培训、技术指导及标准解释工作，</w:t>
      </w:r>
      <w:r>
        <w:rPr>
          <w:rFonts w:hint="default" w:ascii="Times New Roman" w:hAnsi="Times New Roman" w:eastAsia="宋体" w:cs="Times New Roman"/>
          <w:kern w:val="0"/>
          <w:sz w:val="24"/>
          <w:szCs w:val="24"/>
          <w:lang w:val="en-US" w:eastAsia="zh-CN"/>
        </w:rPr>
        <w:t>提高张家川红花牛养殖场、合作社、牧户相关人员对标准实施重要性的认识，</w:t>
      </w:r>
      <w:r>
        <w:rPr>
          <w:rFonts w:hint="default" w:ascii="Times New Roman" w:hAnsi="Times New Roman" w:eastAsia="宋体" w:cs="Times New Roman"/>
          <w:kern w:val="0"/>
          <w:sz w:val="24"/>
          <w:szCs w:val="24"/>
        </w:rPr>
        <w:t>推动标准在</w:t>
      </w:r>
      <w:r>
        <w:rPr>
          <w:rFonts w:hint="default" w:ascii="Times New Roman" w:hAnsi="Times New Roman" w:eastAsia="宋体" w:cs="Times New Roman"/>
          <w:kern w:val="0"/>
          <w:sz w:val="24"/>
          <w:szCs w:val="24"/>
          <w:lang w:val="en-US" w:eastAsia="zh-CN"/>
        </w:rPr>
        <w:t>张家川地区</w:t>
      </w:r>
      <w:r>
        <w:rPr>
          <w:rFonts w:hint="default" w:ascii="Times New Roman" w:hAnsi="Times New Roman" w:eastAsia="宋体" w:cs="Times New Roman"/>
          <w:kern w:val="0"/>
          <w:sz w:val="24"/>
          <w:szCs w:val="24"/>
        </w:rPr>
        <w:t>的普及应用</w:t>
      </w:r>
      <w:r>
        <w:rPr>
          <w:rFonts w:hint="default" w:ascii="Times New Roman" w:hAnsi="Times New Roman" w:eastAsia="宋体" w:cs="Times New Roman"/>
          <w:kern w:val="0"/>
          <w:sz w:val="24"/>
          <w:szCs w:val="24"/>
          <w:lang w:eastAsia="zh-CN"/>
        </w:rPr>
        <w:t>，</w:t>
      </w:r>
      <w:r>
        <w:rPr>
          <w:rFonts w:hint="default" w:ascii="Times New Roman" w:hAnsi="Times New Roman" w:eastAsia="宋体" w:cs="Times New Roman"/>
          <w:kern w:val="0"/>
          <w:sz w:val="24"/>
          <w:szCs w:val="24"/>
          <w:lang w:val="en-US" w:eastAsia="zh-CN"/>
        </w:rPr>
        <w:t>推动红花牛产业高质量发展</w:t>
      </w:r>
      <w:r>
        <w:rPr>
          <w:rFonts w:hint="default" w:ascii="Times New Roman" w:hAnsi="Times New Roman" w:eastAsia="宋体" w:cs="Times New Roman"/>
          <w:kern w:val="0"/>
          <w:sz w:val="24"/>
          <w:szCs w:val="24"/>
        </w:rPr>
        <w:t>。</w:t>
      </w:r>
    </w:p>
    <w:p w14:paraId="545A6569">
      <w:pPr>
        <w:adjustRightInd w:val="0"/>
        <w:snapToGrid w:val="0"/>
        <w:spacing w:before="156" w:beforeLines="50" w:after="156" w:afterLines="50" w:line="360" w:lineRule="auto"/>
        <w:rPr>
          <w:rFonts w:hint="default" w:ascii="Times New Roman" w:hAnsi="Times New Roman" w:cs="Times New Roman"/>
          <w:b/>
          <w:sz w:val="24"/>
          <w:szCs w:val="24"/>
        </w:rPr>
      </w:pPr>
      <w:r>
        <w:rPr>
          <w:rFonts w:hint="default" w:ascii="Times New Roman" w:hAnsi="Times New Roman" w:cs="Times New Roman"/>
          <w:b/>
          <w:sz w:val="24"/>
          <w:szCs w:val="24"/>
        </w:rPr>
        <w:t>十、其他应予说明的事项</w:t>
      </w:r>
    </w:p>
    <w:p w14:paraId="1B8B569C">
      <w:pPr>
        <w:spacing w:line="360" w:lineRule="auto"/>
        <w:ind w:firstLine="480" w:firstLineChars="200"/>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本文件没有需要说明的其他事项。</w:t>
      </w:r>
    </w:p>
    <w:p w14:paraId="06E049D9">
      <w:pPr>
        <w:spacing w:line="360" w:lineRule="auto"/>
        <w:jc w:val="left"/>
        <w:rPr>
          <w:rFonts w:hint="default" w:ascii="Times New Roman" w:hAnsi="Times New Roman" w:eastAsia="仿宋" w:cs="Times New Roman"/>
          <w:sz w:val="24"/>
        </w:rPr>
      </w:pPr>
    </w:p>
    <w:p w14:paraId="3BA2C9F2">
      <w:pPr>
        <w:spacing w:line="360" w:lineRule="auto"/>
        <w:ind w:firstLine="480" w:firstLineChars="200"/>
        <w:jc w:val="right"/>
        <w:rPr>
          <w:rFonts w:hint="default" w:ascii="Times New Roman" w:hAnsi="Times New Roman" w:eastAsia="仿宋" w:cs="Times New Roman"/>
          <w:sz w:val="24"/>
        </w:rPr>
      </w:pPr>
    </w:p>
    <w:p w14:paraId="5EE28173">
      <w:pPr>
        <w:spacing w:line="360" w:lineRule="auto"/>
        <w:ind w:firstLine="480" w:firstLineChars="200"/>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lang w:val="en-US" w:eastAsia="zh-CN"/>
        </w:rPr>
        <w:t xml:space="preserve">                      </w:t>
      </w:r>
      <w:r>
        <w:rPr>
          <w:rFonts w:hint="default" w:ascii="Times New Roman" w:hAnsi="Times New Roman" w:eastAsia="宋体" w:cs="Times New Roman"/>
          <w:kern w:val="0"/>
          <w:sz w:val="24"/>
          <w:szCs w:val="24"/>
        </w:rPr>
        <w:t>《</w:t>
      </w:r>
      <w:r>
        <w:rPr>
          <w:rFonts w:hint="default" w:ascii="Times New Roman" w:hAnsi="Times New Roman" w:eastAsia="宋体" w:cs="Times New Roman"/>
          <w:kern w:val="0"/>
          <w:sz w:val="24"/>
          <w:szCs w:val="24"/>
          <w:lang w:val="en-US" w:eastAsia="zh-CN"/>
        </w:rPr>
        <w:t>张家川红花牛饲养管理技术规范</w:t>
      </w:r>
      <w:r>
        <w:rPr>
          <w:rFonts w:hint="default" w:ascii="Times New Roman" w:hAnsi="Times New Roman" w:eastAsia="宋体" w:cs="Times New Roman"/>
          <w:kern w:val="0"/>
          <w:sz w:val="24"/>
          <w:szCs w:val="24"/>
        </w:rPr>
        <w:t>》编制小组</w:t>
      </w:r>
    </w:p>
    <w:p w14:paraId="25A6F9F9">
      <w:pPr>
        <w:spacing w:line="360" w:lineRule="auto"/>
        <w:ind w:firstLine="480" w:firstLineChars="200"/>
        <w:jc w:val="right"/>
        <w:rPr>
          <w:rFonts w:hint="default" w:ascii="Times New Roman" w:hAnsi="Times New Roman" w:eastAsia="宋体" w:cs="Times New Roman"/>
          <w:kern w:val="0"/>
          <w:sz w:val="24"/>
          <w:szCs w:val="24"/>
        </w:rPr>
      </w:pPr>
      <w:r>
        <w:rPr>
          <w:rFonts w:hint="default" w:ascii="Times New Roman" w:hAnsi="Times New Roman" w:eastAsia="仿宋" w:cs="Times New Roman"/>
          <w:sz w:val="24"/>
        </w:rPr>
        <w:t xml:space="preserve">                   </w:t>
      </w:r>
      <w:r>
        <w:rPr>
          <w:rFonts w:hint="default" w:ascii="Times New Roman" w:hAnsi="Times New Roman" w:eastAsia="宋体" w:cs="Times New Roman"/>
          <w:kern w:val="0"/>
          <w:sz w:val="24"/>
          <w:szCs w:val="24"/>
        </w:rPr>
        <w:t xml:space="preserve">              202</w:t>
      </w:r>
      <w:r>
        <w:rPr>
          <w:rFonts w:hint="default" w:ascii="Times New Roman" w:hAnsi="Times New Roman" w:eastAsia="宋体" w:cs="Times New Roman"/>
          <w:kern w:val="0"/>
          <w:sz w:val="24"/>
          <w:szCs w:val="24"/>
          <w:lang w:val="en-US" w:eastAsia="zh-CN"/>
        </w:rPr>
        <w:t>6</w:t>
      </w:r>
      <w:r>
        <w:rPr>
          <w:rFonts w:hint="default" w:ascii="Times New Roman" w:hAnsi="Times New Roman" w:eastAsia="宋体" w:cs="Times New Roman"/>
          <w:kern w:val="0"/>
          <w:sz w:val="24"/>
          <w:szCs w:val="24"/>
        </w:rPr>
        <w:t>年</w:t>
      </w:r>
      <w:r>
        <w:rPr>
          <w:rFonts w:hint="eastAsia" w:ascii="Times New Roman" w:hAnsi="Times New Roman" w:eastAsia="宋体" w:cs="Times New Roman"/>
          <w:kern w:val="0"/>
          <w:sz w:val="24"/>
          <w:szCs w:val="24"/>
          <w:lang w:val="en-US" w:eastAsia="zh-CN"/>
        </w:rPr>
        <w:t>5</w:t>
      </w:r>
      <w:bookmarkStart w:id="26" w:name="_GoBack"/>
      <w:bookmarkEnd w:id="26"/>
      <w:r>
        <w:rPr>
          <w:rFonts w:hint="default" w:ascii="Times New Roman" w:hAnsi="Times New Roman" w:eastAsia="宋体" w:cs="Times New Roman"/>
          <w:kern w:val="0"/>
          <w:sz w:val="24"/>
          <w:szCs w:val="24"/>
        </w:rPr>
        <w:t>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A7FE021-4F01-4A69-8F67-0908E025259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C3E13209-AB32-449C-84A0-7BC97D8B962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CF4EEB"/>
    <w:multiLevelType w:val="multilevel"/>
    <w:tmpl w:val="A2CF4EEB"/>
    <w:lvl w:ilvl="0" w:tentative="0">
      <w:start w:val="2"/>
      <w:numFmt w:val="decimal"/>
      <w:suff w:val="space"/>
      <w:lvlText w:val="%1."/>
      <w:lvlJc w:val="left"/>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
    <w:nsid w:val="D0BCFF9B"/>
    <w:multiLevelType w:val="singleLevel"/>
    <w:tmpl w:val="D0BCFF9B"/>
    <w:lvl w:ilvl="0" w:tentative="0">
      <w:start w:val="2"/>
      <w:numFmt w:val="chineseCounting"/>
      <w:suff w:val="nothing"/>
      <w:lvlText w:val="%1、"/>
      <w:lvlJc w:val="left"/>
      <w:rPr>
        <w:rFonts w:hint="eastAsia"/>
      </w:rPr>
    </w:lvl>
  </w:abstractNum>
  <w:abstractNum w:abstractNumId="2">
    <w:nsid w:val="0373EE07"/>
    <w:multiLevelType w:val="singleLevel"/>
    <w:tmpl w:val="0373EE07"/>
    <w:lvl w:ilvl="0" w:tentative="0">
      <w:start w:val="1"/>
      <w:numFmt w:val="decimal"/>
      <w:suff w:val="space"/>
      <w:lvlText w:val="%1."/>
      <w:lvlJc w:val="left"/>
    </w:lvl>
  </w:abstractNum>
  <w:abstractNum w:abstractNumId="3">
    <w:nsid w:val="06954348"/>
    <w:multiLevelType w:val="multilevel"/>
    <w:tmpl w:val="06954348"/>
    <w:lvl w:ilvl="0" w:tentative="0">
      <w:start w:val="1"/>
      <w:numFmt w:val="decimal"/>
      <w:pStyle w:val="21"/>
      <w:lvlText w:val="%1."/>
      <w:lvlJc w:val="left"/>
      <w:pPr>
        <w:tabs>
          <w:tab w:val="left" w:pos="720"/>
        </w:tabs>
        <w:ind w:left="720" w:hanging="720"/>
      </w:pPr>
    </w:lvl>
    <w:lvl w:ilvl="1" w:tentative="0">
      <w:start w:val="1"/>
      <w:numFmt w:val="decimal"/>
      <w:pStyle w:val="22"/>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4">
    <w:nsid w:val="646260FA"/>
    <w:multiLevelType w:val="multilevel"/>
    <w:tmpl w:val="646260FA"/>
    <w:lvl w:ilvl="0" w:tentative="0">
      <w:start w:val="1"/>
      <w:numFmt w:val="decimal"/>
      <w:pStyle w:val="27"/>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23"/>
      <w:suff w:val="nothing"/>
      <w:lvlText w:val="%1%2　"/>
      <w:lvlJc w:val="left"/>
      <w:pPr>
        <w:ind w:left="0" w:firstLine="0"/>
      </w:pPr>
      <w:rPr>
        <w:rFonts w:hint="eastAsia" w:ascii="黑体" w:eastAsia="黑体"/>
        <w:b w:val="0"/>
        <w:i w:val="0"/>
        <w:sz w:val="21"/>
      </w:rPr>
    </w:lvl>
    <w:lvl w:ilvl="2" w:tentative="0">
      <w:start w:val="1"/>
      <w:numFmt w:val="decimal"/>
      <w:pStyle w:val="24"/>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25"/>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3"/>
  </w:num>
  <w:num w:numId="2">
    <w:abstractNumId w:val="5"/>
  </w:num>
  <w:num w:numId="3">
    <w:abstractNumId w:val="4"/>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6D6"/>
    <w:rsid w:val="000750D3"/>
    <w:rsid w:val="001371B2"/>
    <w:rsid w:val="003F2A23"/>
    <w:rsid w:val="00432688"/>
    <w:rsid w:val="004D7E16"/>
    <w:rsid w:val="005E1B09"/>
    <w:rsid w:val="00786734"/>
    <w:rsid w:val="009876D6"/>
    <w:rsid w:val="00A97677"/>
    <w:rsid w:val="00AC3F10"/>
    <w:rsid w:val="00B41D8C"/>
    <w:rsid w:val="00B702FD"/>
    <w:rsid w:val="00BA4BE4"/>
    <w:rsid w:val="00BB273D"/>
    <w:rsid w:val="00DD2913"/>
    <w:rsid w:val="00E32A38"/>
    <w:rsid w:val="00E3504F"/>
    <w:rsid w:val="00E8251B"/>
    <w:rsid w:val="01474598"/>
    <w:rsid w:val="01E627AC"/>
    <w:rsid w:val="020A6ADC"/>
    <w:rsid w:val="03AC3B74"/>
    <w:rsid w:val="040E5A73"/>
    <w:rsid w:val="041D67C5"/>
    <w:rsid w:val="045F4253"/>
    <w:rsid w:val="04AD42CC"/>
    <w:rsid w:val="05717247"/>
    <w:rsid w:val="05CF6787"/>
    <w:rsid w:val="05D31746"/>
    <w:rsid w:val="063800E7"/>
    <w:rsid w:val="06512F53"/>
    <w:rsid w:val="06AD349A"/>
    <w:rsid w:val="07292EE8"/>
    <w:rsid w:val="07411417"/>
    <w:rsid w:val="078D34CC"/>
    <w:rsid w:val="07966986"/>
    <w:rsid w:val="08112BB0"/>
    <w:rsid w:val="09473CE2"/>
    <w:rsid w:val="098608AA"/>
    <w:rsid w:val="09B656F8"/>
    <w:rsid w:val="0A0E5DB0"/>
    <w:rsid w:val="0A562FBE"/>
    <w:rsid w:val="0A975E96"/>
    <w:rsid w:val="0AC07B35"/>
    <w:rsid w:val="0AFF1189"/>
    <w:rsid w:val="0B2A3B22"/>
    <w:rsid w:val="0B766755"/>
    <w:rsid w:val="0B7C34B6"/>
    <w:rsid w:val="0C1741FF"/>
    <w:rsid w:val="0C254A1B"/>
    <w:rsid w:val="0C8F7533"/>
    <w:rsid w:val="0D6C2329"/>
    <w:rsid w:val="0D6D5FF2"/>
    <w:rsid w:val="100144CF"/>
    <w:rsid w:val="100B5E29"/>
    <w:rsid w:val="103C2004"/>
    <w:rsid w:val="10745F2B"/>
    <w:rsid w:val="11056D4E"/>
    <w:rsid w:val="11DA51E4"/>
    <w:rsid w:val="122F710D"/>
    <w:rsid w:val="12B124A6"/>
    <w:rsid w:val="12E656D5"/>
    <w:rsid w:val="13781B4D"/>
    <w:rsid w:val="138D37B0"/>
    <w:rsid w:val="13B41F8E"/>
    <w:rsid w:val="14A72ABF"/>
    <w:rsid w:val="15905BB9"/>
    <w:rsid w:val="15AA6E60"/>
    <w:rsid w:val="16005660"/>
    <w:rsid w:val="1621268B"/>
    <w:rsid w:val="167B71DB"/>
    <w:rsid w:val="171E6F57"/>
    <w:rsid w:val="17AE0CF3"/>
    <w:rsid w:val="17B92B0F"/>
    <w:rsid w:val="17F72AB1"/>
    <w:rsid w:val="17F758CF"/>
    <w:rsid w:val="17FA6317"/>
    <w:rsid w:val="18070EEA"/>
    <w:rsid w:val="181D34EA"/>
    <w:rsid w:val="181E3C3B"/>
    <w:rsid w:val="18B530E6"/>
    <w:rsid w:val="191172BB"/>
    <w:rsid w:val="192E36AB"/>
    <w:rsid w:val="19AE2FD2"/>
    <w:rsid w:val="19BE657D"/>
    <w:rsid w:val="1A8638F0"/>
    <w:rsid w:val="1CE647C1"/>
    <w:rsid w:val="1DC920ED"/>
    <w:rsid w:val="1DEF3337"/>
    <w:rsid w:val="1E1F6432"/>
    <w:rsid w:val="1E935967"/>
    <w:rsid w:val="1F380351"/>
    <w:rsid w:val="1F9C1C9E"/>
    <w:rsid w:val="20CE4CFC"/>
    <w:rsid w:val="20E21910"/>
    <w:rsid w:val="21BC6135"/>
    <w:rsid w:val="2288600A"/>
    <w:rsid w:val="231134BB"/>
    <w:rsid w:val="24304664"/>
    <w:rsid w:val="25AD5104"/>
    <w:rsid w:val="25DA520F"/>
    <w:rsid w:val="25E35303"/>
    <w:rsid w:val="25FF2BC9"/>
    <w:rsid w:val="262670C1"/>
    <w:rsid w:val="26B53D61"/>
    <w:rsid w:val="27206BE0"/>
    <w:rsid w:val="2747209B"/>
    <w:rsid w:val="278510B0"/>
    <w:rsid w:val="28795C28"/>
    <w:rsid w:val="29313DA3"/>
    <w:rsid w:val="29A560AC"/>
    <w:rsid w:val="29AE042A"/>
    <w:rsid w:val="2A037518"/>
    <w:rsid w:val="2A1E7E41"/>
    <w:rsid w:val="2A2E347C"/>
    <w:rsid w:val="2B7B7886"/>
    <w:rsid w:val="2C3C235E"/>
    <w:rsid w:val="2C665AE5"/>
    <w:rsid w:val="2C75708A"/>
    <w:rsid w:val="2C7A0165"/>
    <w:rsid w:val="2CC23CE7"/>
    <w:rsid w:val="2CE81574"/>
    <w:rsid w:val="2D170B4F"/>
    <w:rsid w:val="2DBF19F5"/>
    <w:rsid w:val="2DE64EDE"/>
    <w:rsid w:val="2EBC0FFC"/>
    <w:rsid w:val="2F2D2AFA"/>
    <w:rsid w:val="2F394701"/>
    <w:rsid w:val="2F6B3FCA"/>
    <w:rsid w:val="2FB14329"/>
    <w:rsid w:val="2FE95EC5"/>
    <w:rsid w:val="303F76FD"/>
    <w:rsid w:val="30FF49D3"/>
    <w:rsid w:val="31847598"/>
    <w:rsid w:val="31A3329E"/>
    <w:rsid w:val="326064D2"/>
    <w:rsid w:val="32C71C2C"/>
    <w:rsid w:val="32CD6A97"/>
    <w:rsid w:val="32E90E5D"/>
    <w:rsid w:val="34000602"/>
    <w:rsid w:val="342E2D1F"/>
    <w:rsid w:val="355E208A"/>
    <w:rsid w:val="35647506"/>
    <w:rsid w:val="364B49DA"/>
    <w:rsid w:val="366838BE"/>
    <w:rsid w:val="36D63908"/>
    <w:rsid w:val="36ED15A8"/>
    <w:rsid w:val="374B33A5"/>
    <w:rsid w:val="37517B6C"/>
    <w:rsid w:val="38316EE0"/>
    <w:rsid w:val="399D1356"/>
    <w:rsid w:val="3A052A50"/>
    <w:rsid w:val="3A9B4622"/>
    <w:rsid w:val="3B61716C"/>
    <w:rsid w:val="3BA943B1"/>
    <w:rsid w:val="3C046F9E"/>
    <w:rsid w:val="3CD337DB"/>
    <w:rsid w:val="3D9B6799"/>
    <w:rsid w:val="3DC719FA"/>
    <w:rsid w:val="3DD857EB"/>
    <w:rsid w:val="3DDA6CB7"/>
    <w:rsid w:val="3E774506"/>
    <w:rsid w:val="3EA85C6E"/>
    <w:rsid w:val="3F9717D1"/>
    <w:rsid w:val="3FBB4EA6"/>
    <w:rsid w:val="406822E9"/>
    <w:rsid w:val="41B768A4"/>
    <w:rsid w:val="42011531"/>
    <w:rsid w:val="42180EB0"/>
    <w:rsid w:val="42242C43"/>
    <w:rsid w:val="42B75819"/>
    <w:rsid w:val="42F65324"/>
    <w:rsid w:val="434D41C0"/>
    <w:rsid w:val="43544F2A"/>
    <w:rsid w:val="43B62227"/>
    <w:rsid w:val="43D9356D"/>
    <w:rsid w:val="440D7349"/>
    <w:rsid w:val="46E044B5"/>
    <w:rsid w:val="482D1E8B"/>
    <w:rsid w:val="48D44486"/>
    <w:rsid w:val="492C16AC"/>
    <w:rsid w:val="4936650C"/>
    <w:rsid w:val="49DF55A2"/>
    <w:rsid w:val="4A5A582F"/>
    <w:rsid w:val="4A5B1180"/>
    <w:rsid w:val="4A92263F"/>
    <w:rsid w:val="4AB114E0"/>
    <w:rsid w:val="4B275D7F"/>
    <w:rsid w:val="4B4E7AEA"/>
    <w:rsid w:val="4BBF49AD"/>
    <w:rsid w:val="4BC44509"/>
    <w:rsid w:val="4BFC330D"/>
    <w:rsid w:val="4C255581"/>
    <w:rsid w:val="4C2630C7"/>
    <w:rsid w:val="4C2856A9"/>
    <w:rsid w:val="4C301C01"/>
    <w:rsid w:val="4CB6622D"/>
    <w:rsid w:val="4CDA2F79"/>
    <w:rsid w:val="4D9A38A9"/>
    <w:rsid w:val="4E040641"/>
    <w:rsid w:val="4E1938B5"/>
    <w:rsid w:val="4E6574FC"/>
    <w:rsid w:val="4E74327E"/>
    <w:rsid w:val="4EB72BB5"/>
    <w:rsid w:val="4EBA0D82"/>
    <w:rsid w:val="4F8F326E"/>
    <w:rsid w:val="4F9208A1"/>
    <w:rsid w:val="4F9E765A"/>
    <w:rsid w:val="4FE6773D"/>
    <w:rsid w:val="50297166"/>
    <w:rsid w:val="515265FB"/>
    <w:rsid w:val="51AA32A2"/>
    <w:rsid w:val="5257658E"/>
    <w:rsid w:val="52715A79"/>
    <w:rsid w:val="52795617"/>
    <w:rsid w:val="52E60D9C"/>
    <w:rsid w:val="52E73531"/>
    <w:rsid w:val="53F227FF"/>
    <w:rsid w:val="54371902"/>
    <w:rsid w:val="546771CD"/>
    <w:rsid w:val="54751090"/>
    <w:rsid w:val="54B41BB8"/>
    <w:rsid w:val="54D36316"/>
    <w:rsid w:val="556C2548"/>
    <w:rsid w:val="55EA1FEA"/>
    <w:rsid w:val="56B1312D"/>
    <w:rsid w:val="57065575"/>
    <w:rsid w:val="578F6455"/>
    <w:rsid w:val="5819339F"/>
    <w:rsid w:val="582F7D68"/>
    <w:rsid w:val="5835099F"/>
    <w:rsid w:val="589F0424"/>
    <w:rsid w:val="58E03592"/>
    <w:rsid w:val="59050E37"/>
    <w:rsid w:val="59F01C15"/>
    <w:rsid w:val="5A4F4275"/>
    <w:rsid w:val="5A7963B9"/>
    <w:rsid w:val="5A826C56"/>
    <w:rsid w:val="5B257203"/>
    <w:rsid w:val="5B2A0DF4"/>
    <w:rsid w:val="5B506202"/>
    <w:rsid w:val="5B5D61DB"/>
    <w:rsid w:val="5B97470C"/>
    <w:rsid w:val="5BE04E7C"/>
    <w:rsid w:val="5C224D46"/>
    <w:rsid w:val="5CBE0CCF"/>
    <w:rsid w:val="5CCB5CF1"/>
    <w:rsid w:val="5CE77B86"/>
    <w:rsid w:val="5CEF3BE5"/>
    <w:rsid w:val="5CF27547"/>
    <w:rsid w:val="5CF60894"/>
    <w:rsid w:val="5D763E6A"/>
    <w:rsid w:val="5DAA456B"/>
    <w:rsid w:val="5E3917A2"/>
    <w:rsid w:val="5EC763FD"/>
    <w:rsid w:val="5F3174C3"/>
    <w:rsid w:val="5FB648F6"/>
    <w:rsid w:val="5FD10E82"/>
    <w:rsid w:val="5FE714F6"/>
    <w:rsid w:val="60151CC2"/>
    <w:rsid w:val="601C4F97"/>
    <w:rsid w:val="603618B0"/>
    <w:rsid w:val="60742218"/>
    <w:rsid w:val="6078693E"/>
    <w:rsid w:val="60902A98"/>
    <w:rsid w:val="61021EFD"/>
    <w:rsid w:val="612E55A2"/>
    <w:rsid w:val="613718BA"/>
    <w:rsid w:val="61C11165"/>
    <w:rsid w:val="61DF47B7"/>
    <w:rsid w:val="62374C07"/>
    <w:rsid w:val="626C48D1"/>
    <w:rsid w:val="62CF6404"/>
    <w:rsid w:val="62DE6052"/>
    <w:rsid w:val="638F3FA8"/>
    <w:rsid w:val="64215E94"/>
    <w:rsid w:val="648E4B44"/>
    <w:rsid w:val="64F67403"/>
    <w:rsid w:val="652618A5"/>
    <w:rsid w:val="654160D7"/>
    <w:rsid w:val="65CC7A0B"/>
    <w:rsid w:val="66B3558D"/>
    <w:rsid w:val="66C2008A"/>
    <w:rsid w:val="66CA7E93"/>
    <w:rsid w:val="66CB2FB3"/>
    <w:rsid w:val="67E26596"/>
    <w:rsid w:val="67E4283D"/>
    <w:rsid w:val="68E402F4"/>
    <w:rsid w:val="6A4F3C56"/>
    <w:rsid w:val="6A912090"/>
    <w:rsid w:val="6B6D6DC5"/>
    <w:rsid w:val="6BE37709"/>
    <w:rsid w:val="6C046B2A"/>
    <w:rsid w:val="6C380857"/>
    <w:rsid w:val="6C4E249B"/>
    <w:rsid w:val="6C74363D"/>
    <w:rsid w:val="6C9854C4"/>
    <w:rsid w:val="6D2079CB"/>
    <w:rsid w:val="6D412802"/>
    <w:rsid w:val="6D560DCE"/>
    <w:rsid w:val="6E3C1836"/>
    <w:rsid w:val="6ED26D8F"/>
    <w:rsid w:val="6EDD04F1"/>
    <w:rsid w:val="6EE64CF3"/>
    <w:rsid w:val="6FD1766A"/>
    <w:rsid w:val="70BF30B6"/>
    <w:rsid w:val="70C348C8"/>
    <w:rsid w:val="72B664E0"/>
    <w:rsid w:val="72FA6ED8"/>
    <w:rsid w:val="7313268A"/>
    <w:rsid w:val="742E5E72"/>
    <w:rsid w:val="74363F40"/>
    <w:rsid w:val="74AD3DB5"/>
    <w:rsid w:val="75424559"/>
    <w:rsid w:val="75A22A09"/>
    <w:rsid w:val="75C027C2"/>
    <w:rsid w:val="76BD2E12"/>
    <w:rsid w:val="7744694C"/>
    <w:rsid w:val="77466E5C"/>
    <w:rsid w:val="77725362"/>
    <w:rsid w:val="77E74CD6"/>
    <w:rsid w:val="781B3377"/>
    <w:rsid w:val="785B2B29"/>
    <w:rsid w:val="78F6438C"/>
    <w:rsid w:val="795134D2"/>
    <w:rsid w:val="7978655F"/>
    <w:rsid w:val="79DA125F"/>
    <w:rsid w:val="79E93CFF"/>
    <w:rsid w:val="79EC7FAC"/>
    <w:rsid w:val="7A113AB4"/>
    <w:rsid w:val="7A9D6AC7"/>
    <w:rsid w:val="7B6D65CC"/>
    <w:rsid w:val="7B8E7BA9"/>
    <w:rsid w:val="7C263D89"/>
    <w:rsid w:val="7C386B57"/>
    <w:rsid w:val="7C541407"/>
    <w:rsid w:val="7C5E4034"/>
    <w:rsid w:val="7C9161F0"/>
    <w:rsid w:val="7C98563E"/>
    <w:rsid w:val="7CD8420E"/>
    <w:rsid w:val="7E6F1B20"/>
    <w:rsid w:val="7EA4047C"/>
    <w:rsid w:val="7F2260EF"/>
    <w:rsid w:val="7FB65820"/>
    <w:rsid w:val="7FD47446"/>
    <w:rsid w:val="7FE851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adjustRightInd/>
      <w:spacing w:line="240" w:lineRule="auto"/>
      <w:jc w:val="left"/>
    </w:pPr>
    <w:rPr>
      <w:rFonts w:ascii="Times New Roman" w:hAnsi="Times New Roman"/>
      <w:szCs w:val="24"/>
    </w:rPr>
  </w:style>
  <w:style w:type="paragraph" w:styleId="4">
    <w:name w:val="Body Text Indent"/>
    <w:basedOn w:val="1"/>
    <w:link w:val="18"/>
    <w:qFormat/>
    <w:uiPriority w:val="0"/>
    <w:pPr>
      <w:ind w:firstLine="600" w:firstLineChars="200"/>
    </w:pPr>
    <w:rPr>
      <w:rFonts w:ascii="宋体" w:hAnsi="宋体" w:eastAsia="宋体" w:cs="Times New Roman"/>
      <w:sz w:val="30"/>
      <w:szCs w:val="24"/>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Hyperlink"/>
    <w:basedOn w:val="10"/>
    <w:semiHidden/>
    <w:unhideWhenUsed/>
    <w:qFormat/>
    <w:uiPriority w:val="99"/>
    <w:rPr>
      <w:color w:val="0000FF"/>
      <w:u w:val="single"/>
    </w:rPr>
  </w:style>
  <w:style w:type="character" w:customStyle="1" w:styleId="12">
    <w:name w:val="页眉 Char"/>
    <w:basedOn w:val="10"/>
    <w:link w:val="6"/>
    <w:qFormat/>
    <w:uiPriority w:val="99"/>
    <w:rPr>
      <w:sz w:val="18"/>
      <w:szCs w:val="18"/>
    </w:rPr>
  </w:style>
  <w:style w:type="character" w:customStyle="1" w:styleId="13">
    <w:name w:val="页脚 Char"/>
    <w:basedOn w:val="10"/>
    <w:link w:val="5"/>
    <w:qFormat/>
    <w:uiPriority w:val="99"/>
    <w:rPr>
      <w:sz w:val="18"/>
      <w:szCs w:val="18"/>
    </w:rPr>
  </w:style>
  <w:style w:type="paragraph" w:customStyle="1" w:styleId="14">
    <w:name w:val="标准文件_段"/>
    <w:link w:val="15"/>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5">
    <w:name w:val="标准文件_段 Char"/>
    <w:link w:val="14"/>
    <w:qFormat/>
    <w:uiPriority w:val="0"/>
    <w:rPr>
      <w:rFonts w:ascii="宋体" w:hAnsi="Times New Roman" w:eastAsia="宋体" w:cs="Times New Roman"/>
      <w:kern w:val="0"/>
      <w:szCs w:val="20"/>
    </w:rPr>
  </w:style>
  <w:style w:type="paragraph" w:customStyle="1" w:styleId="16">
    <w:name w:val="段"/>
    <w:link w:val="17"/>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kern w:val="0"/>
      <w:sz w:val="21"/>
      <w:szCs w:val="20"/>
      <w:lang w:val="en-US" w:eastAsia="zh-CN" w:bidi="ar-SA"/>
    </w:rPr>
  </w:style>
  <w:style w:type="character" w:customStyle="1" w:styleId="17">
    <w:name w:val="段 Char"/>
    <w:basedOn w:val="10"/>
    <w:link w:val="16"/>
    <w:qFormat/>
    <w:uiPriority w:val="0"/>
    <w:rPr>
      <w:rFonts w:ascii="宋体" w:hAnsi="Times New Roman" w:eastAsia="宋体" w:cs="Times New Roman"/>
      <w:kern w:val="0"/>
      <w:szCs w:val="20"/>
    </w:rPr>
  </w:style>
  <w:style w:type="character" w:customStyle="1" w:styleId="18">
    <w:name w:val="正文文本缩进 Char"/>
    <w:basedOn w:val="10"/>
    <w:link w:val="4"/>
    <w:qFormat/>
    <w:uiPriority w:val="0"/>
    <w:rPr>
      <w:rFonts w:ascii="宋体" w:hAnsi="宋体" w:eastAsia="宋体" w:cs="Times New Roman"/>
      <w:sz w:val="30"/>
      <w:szCs w:val="24"/>
    </w:rPr>
  </w:style>
  <w:style w:type="paragraph" w:customStyle="1" w:styleId="19">
    <w:name w:val="二级条标题"/>
    <w:basedOn w:val="20"/>
    <w:next w:val="16"/>
    <w:qFormat/>
    <w:uiPriority w:val="0"/>
    <w:pPr>
      <w:widowControl/>
      <w:tabs>
        <w:tab w:val="left" w:pos="720"/>
        <w:tab w:val="left" w:pos="2160"/>
      </w:tabs>
      <w:jc w:val="left"/>
      <w:outlineLvl w:val="3"/>
    </w:pPr>
    <w:rPr>
      <w:rFonts w:ascii="Times New Roman" w:hAnsi="Times New Roman" w:eastAsia="黑体" w:cs="Times New Roman"/>
      <w:kern w:val="0"/>
      <w:szCs w:val="20"/>
    </w:rPr>
  </w:style>
  <w:style w:type="paragraph" w:customStyle="1" w:styleId="20">
    <w:name w:val="一级条标题"/>
    <w:next w:val="16"/>
    <w:qFormat/>
    <w:uiPriority w:val="0"/>
    <w:p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21">
    <w:name w:val="章标题"/>
    <w:next w:val="16"/>
    <w:qFormat/>
    <w:uiPriority w:val="0"/>
    <w:pPr>
      <w:numPr>
        <w:ilvl w:val="0"/>
        <w:numId w:val="1"/>
      </w:numPr>
      <w:spacing w:beforeLines="100" w:afterLines="100"/>
      <w:jc w:val="both"/>
      <w:outlineLvl w:val="1"/>
    </w:pPr>
    <w:rPr>
      <w:rFonts w:ascii="黑体" w:hAnsi="Times New Roman" w:eastAsia="黑体" w:cs="Times New Roman"/>
      <w:kern w:val="0"/>
      <w:sz w:val="21"/>
      <w:szCs w:val="20"/>
      <w:lang w:val="en-US" w:eastAsia="zh-CN" w:bidi="ar-SA"/>
    </w:rPr>
  </w:style>
  <w:style w:type="paragraph" w:customStyle="1" w:styleId="22">
    <w:name w:val="一级无"/>
    <w:basedOn w:val="1"/>
    <w:qFormat/>
    <w:uiPriority w:val="0"/>
    <w:pPr>
      <w:widowControl/>
      <w:numPr>
        <w:ilvl w:val="1"/>
        <w:numId w:val="1"/>
      </w:numPr>
      <w:jc w:val="left"/>
      <w:outlineLvl w:val="2"/>
    </w:pPr>
    <w:rPr>
      <w:rFonts w:ascii="宋体" w:hAnsi="Times New Roman" w:eastAsia="宋体" w:cs="Times New Roman"/>
      <w:kern w:val="0"/>
      <w:szCs w:val="21"/>
    </w:rPr>
  </w:style>
  <w:style w:type="paragraph" w:customStyle="1" w:styleId="23">
    <w:name w:val="标准文件_章标题"/>
    <w:next w:val="14"/>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24">
    <w:name w:val="标准文件_一级条标题"/>
    <w:basedOn w:val="23"/>
    <w:next w:val="14"/>
    <w:qFormat/>
    <w:uiPriority w:val="0"/>
    <w:pPr>
      <w:numPr>
        <w:ilvl w:val="2"/>
      </w:numPr>
      <w:spacing w:before="50" w:beforeLines="50" w:after="50" w:afterLines="50"/>
      <w:outlineLvl w:val="1"/>
    </w:pPr>
  </w:style>
  <w:style w:type="paragraph" w:customStyle="1" w:styleId="25">
    <w:name w:val="标准文件_二级条标题"/>
    <w:next w:val="14"/>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26">
    <w:name w:val="标准文件_二级无标题"/>
    <w:basedOn w:val="25"/>
    <w:qFormat/>
    <w:uiPriority w:val="0"/>
    <w:pPr>
      <w:spacing w:before="0" w:beforeLines="0" w:after="0" w:afterLines="0"/>
      <w:outlineLvl w:val="9"/>
    </w:pPr>
    <w:rPr>
      <w:rFonts w:ascii="宋体" w:eastAsia="宋体"/>
    </w:rPr>
  </w:style>
  <w:style w:type="paragraph" w:customStyle="1" w:styleId="27">
    <w:name w:val="标准文件_正文表标题"/>
    <w:next w:val="14"/>
    <w:qFormat/>
    <w:uiPriority w:val="0"/>
    <w:pPr>
      <w:numPr>
        <w:ilvl w:val="0"/>
        <w:numId w:val="3"/>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28">
    <w:name w:val="标准文件_表格"/>
    <w:basedOn w:val="14"/>
    <w:qFormat/>
    <w:uiPriority w:val="0"/>
    <w:pPr>
      <w:ind w:firstLine="0" w:firstLineChars="0"/>
      <w:jc w:val="center"/>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19</Pages>
  <Words>13534</Words>
  <Characters>14364</Characters>
  <Lines>38</Lines>
  <Paragraphs>10</Paragraphs>
  <TotalTime>1</TotalTime>
  <ScaleCrop>false</ScaleCrop>
  <LinksUpToDate>false</LinksUpToDate>
  <CharactersWithSpaces>14550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2025-10-21T07:54:00Z</dcterms:created>
  <dc:creator>MicroSoft</dc:creator>
  <cp:lastModifiedBy>永恒撒旦</cp:lastModifiedBy>
  <dcterms:modified xsi:type="dcterms:W3CDTF">2026-05-18T00:04:08Z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eyJoZGlkIjoiMGZmYWFkMDczODdlNTljZDA0MGQ0YzI2YTA2Mzc4ZTYiLCJ1c2VySWQiOiIyODAzMjY1NTgifQ==</vt:lpwstr>
  </property>
  <property fmtid="{D5CDD505-2E9C-101B-9397-08002B2CF9AE}" pid="3" name="KSOProductBuildVer">
    <vt:lpwstr>2052-12.1.0.25865</vt:lpwstr>
  </property>
  <property fmtid="{D5CDD505-2E9C-101B-9397-08002B2CF9AE}" pid="4" name="ICV">
    <vt:lpwstr>432D0D2CF2FF4E3A91A89BAF8073F80F_13</vt:lpwstr>
  </property>
</Properties>
</file>