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73907">
      <w:pPr>
        <w:spacing w:line="1000" w:lineRule="exact"/>
        <w:ind w:firstLine="0" w:firstLineChars="0"/>
        <w:rPr>
          <w:rFonts w:eastAsia="宋体"/>
          <w:b/>
          <w:sz w:val="56"/>
          <w:szCs w:val="56"/>
        </w:rPr>
      </w:pPr>
    </w:p>
    <w:p w14:paraId="55A905EA">
      <w:pPr>
        <w:spacing w:line="1000" w:lineRule="exact"/>
        <w:ind w:firstLine="0" w:firstLineChars="0"/>
        <w:rPr>
          <w:rFonts w:eastAsia="宋体"/>
          <w:b/>
          <w:sz w:val="56"/>
          <w:szCs w:val="56"/>
        </w:rPr>
      </w:pPr>
    </w:p>
    <w:p w14:paraId="698F7797">
      <w:pPr>
        <w:spacing w:line="1000" w:lineRule="exact"/>
        <w:ind w:firstLine="0" w:firstLineChars="0"/>
        <w:rPr>
          <w:rFonts w:eastAsia="宋体"/>
          <w:b/>
          <w:sz w:val="56"/>
          <w:szCs w:val="56"/>
        </w:rPr>
      </w:pPr>
    </w:p>
    <w:p w14:paraId="4B6860C9">
      <w:pPr>
        <w:spacing w:line="1000" w:lineRule="exact"/>
        <w:ind w:firstLine="0" w:firstLineChars="0"/>
        <w:jc w:val="center"/>
        <w:rPr>
          <w:rFonts w:hint="eastAsia" w:ascii="仿宋_GB2312" w:hAnsi="仿宋_GB2312" w:eastAsia="仿宋_GB2312" w:cs="仿宋_GB2312"/>
          <w:b/>
          <w:sz w:val="44"/>
          <w:szCs w:val="44"/>
        </w:rPr>
      </w:pPr>
      <w:r>
        <w:rPr>
          <w:rFonts w:hint="eastAsia" w:ascii="仿宋_GB2312" w:hAnsi="仿宋_GB2312" w:eastAsia="仿宋_GB2312" w:cs="仿宋_GB2312"/>
          <w:b/>
          <w:sz w:val="44"/>
          <w:szCs w:val="44"/>
          <w:lang w:val="en-US" w:eastAsia="zh-CN"/>
        </w:rPr>
        <w:t>团体</w:t>
      </w:r>
      <w:r>
        <w:rPr>
          <w:rFonts w:hint="eastAsia" w:ascii="仿宋_GB2312" w:hAnsi="仿宋_GB2312" w:eastAsia="仿宋_GB2312" w:cs="仿宋_GB2312"/>
          <w:b/>
          <w:sz w:val="44"/>
          <w:szCs w:val="44"/>
        </w:rPr>
        <w:t>标准</w:t>
      </w:r>
    </w:p>
    <w:p w14:paraId="4B907595">
      <w:pPr>
        <w:spacing w:line="1000" w:lineRule="exact"/>
        <w:ind w:firstLine="0" w:firstLineChars="0"/>
        <w:jc w:val="center"/>
        <w:rPr>
          <w:rFonts w:hint="eastAsia" w:ascii="仿宋_GB2312" w:hAnsi="仿宋_GB2312" w:eastAsia="仿宋_GB2312" w:cs="仿宋_GB2312"/>
          <w:b/>
          <w:sz w:val="44"/>
          <w:szCs w:val="44"/>
        </w:rPr>
      </w:pPr>
      <w:r>
        <w:rPr>
          <w:rFonts w:hint="eastAsia" w:ascii="仿宋_GB2312" w:hAnsi="仿宋_GB2312" w:eastAsia="仿宋_GB2312" w:cs="仿宋_GB2312"/>
          <w:b/>
          <w:sz w:val="44"/>
          <w:szCs w:val="44"/>
        </w:rPr>
        <w:t>《张家川红花牛屠宰与检疫技术规程》</w:t>
      </w:r>
    </w:p>
    <w:p w14:paraId="2E419D3F">
      <w:pPr>
        <w:spacing w:line="1000" w:lineRule="exact"/>
        <w:ind w:firstLine="0" w:firstLineChars="0"/>
        <w:jc w:val="center"/>
        <w:rPr>
          <w:rFonts w:hint="eastAsia" w:ascii="仿宋_GB2312" w:hAnsi="仿宋_GB2312" w:eastAsia="仿宋_GB2312" w:cs="仿宋_GB2312"/>
          <w:b/>
          <w:sz w:val="44"/>
          <w:szCs w:val="44"/>
        </w:rPr>
      </w:pPr>
      <w:r>
        <w:rPr>
          <w:rFonts w:hint="eastAsia" w:ascii="仿宋_GB2312" w:hAnsi="仿宋_GB2312" w:eastAsia="仿宋_GB2312" w:cs="仿宋_GB2312"/>
          <w:b/>
          <w:sz w:val="44"/>
          <w:szCs w:val="44"/>
        </w:rPr>
        <w:t>编制说明</w:t>
      </w:r>
    </w:p>
    <w:p w14:paraId="0DA96156">
      <w:pPr>
        <w:spacing w:line="1000" w:lineRule="exact"/>
        <w:ind w:left="0" w:leftChars="0" w:firstLine="0" w:firstLineChars="0"/>
        <w:jc w:val="center"/>
        <w:rPr>
          <w:rFonts w:hint="eastAsia" w:ascii="仿宋_GB2312" w:hAnsi="仿宋_GB2312" w:eastAsia="仿宋_GB2312" w:cs="仿宋_GB2312"/>
          <w:b/>
          <w:sz w:val="36"/>
          <w:szCs w:val="36"/>
          <w:lang w:eastAsia="zh-CN"/>
        </w:rPr>
      </w:pPr>
      <w:r>
        <w:rPr>
          <w:rFonts w:hint="eastAsia" w:ascii="仿宋_GB2312" w:hAnsi="仿宋_GB2312" w:eastAsia="仿宋_GB2312" w:cs="仿宋_GB2312"/>
          <w:b/>
          <w:sz w:val="36"/>
          <w:szCs w:val="36"/>
          <w:lang w:eastAsia="zh-CN"/>
        </w:rPr>
        <w:t>（</w:t>
      </w:r>
      <w:r>
        <w:rPr>
          <w:rFonts w:hint="eastAsia" w:ascii="仿宋_GB2312" w:hAnsi="仿宋_GB2312" w:eastAsia="仿宋_GB2312" w:cs="仿宋_GB2312"/>
          <w:b/>
          <w:sz w:val="36"/>
          <w:szCs w:val="36"/>
          <w:lang w:val="en-US" w:eastAsia="zh-CN"/>
        </w:rPr>
        <w:t>征求意见稿</w:t>
      </w:r>
      <w:r>
        <w:rPr>
          <w:rFonts w:hint="eastAsia" w:ascii="仿宋_GB2312" w:hAnsi="仿宋_GB2312" w:eastAsia="仿宋_GB2312" w:cs="仿宋_GB2312"/>
          <w:b/>
          <w:sz w:val="36"/>
          <w:szCs w:val="36"/>
          <w:lang w:eastAsia="zh-CN"/>
        </w:rPr>
        <w:t>）</w:t>
      </w:r>
    </w:p>
    <w:p w14:paraId="70B9A7A8">
      <w:pPr>
        <w:rPr>
          <w:rFonts w:eastAsia="宋体"/>
          <w:b/>
          <w:sz w:val="36"/>
          <w:szCs w:val="36"/>
        </w:rPr>
      </w:pPr>
    </w:p>
    <w:p w14:paraId="3A801E7D">
      <w:pPr>
        <w:rPr>
          <w:rFonts w:eastAsia="宋体"/>
          <w:b/>
          <w:sz w:val="36"/>
          <w:szCs w:val="36"/>
        </w:rPr>
      </w:pPr>
    </w:p>
    <w:p w14:paraId="75FC7802">
      <w:pPr>
        <w:rPr>
          <w:rFonts w:eastAsia="宋体"/>
          <w:b/>
          <w:sz w:val="36"/>
          <w:szCs w:val="36"/>
        </w:rPr>
      </w:pPr>
    </w:p>
    <w:p w14:paraId="6281C323">
      <w:pPr>
        <w:rPr>
          <w:rFonts w:eastAsia="宋体"/>
          <w:b/>
          <w:sz w:val="36"/>
          <w:szCs w:val="36"/>
        </w:rPr>
      </w:pPr>
    </w:p>
    <w:p w14:paraId="75B451F2">
      <w:pPr>
        <w:rPr>
          <w:rFonts w:eastAsia="宋体"/>
          <w:b/>
          <w:sz w:val="36"/>
          <w:szCs w:val="36"/>
        </w:rPr>
      </w:pPr>
    </w:p>
    <w:p w14:paraId="31E84CBB">
      <w:pPr>
        <w:rPr>
          <w:rFonts w:eastAsia="宋体"/>
          <w:b/>
          <w:sz w:val="36"/>
          <w:szCs w:val="36"/>
        </w:rPr>
      </w:pPr>
    </w:p>
    <w:p w14:paraId="7DBC9081">
      <w:pPr>
        <w:spacing w:line="1000" w:lineRule="exact"/>
        <w:ind w:left="0" w:leftChars="0" w:firstLine="0" w:firstLineChars="0"/>
        <w:jc w:val="center"/>
        <w:rPr>
          <w:rFonts w:hint="eastAsia" w:ascii="仿宋_GB2312" w:hAnsi="仿宋_GB2312" w:eastAsia="仿宋_GB2312" w:cs="仿宋_GB2312"/>
          <w:b/>
          <w:sz w:val="36"/>
          <w:szCs w:val="36"/>
          <w:lang w:val="en-US" w:eastAsia="zh-CN"/>
        </w:rPr>
      </w:pPr>
      <w:r>
        <w:rPr>
          <w:rFonts w:hint="eastAsia" w:ascii="仿宋_GB2312" w:hAnsi="仿宋_GB2312" w:eastAsia="仿宋_GB2312" w:cs="仿宋_GB2312"/>
          <w:b/>
          <w:sz w:val="36"/>
          <w:szCs w:val="36"/>
          <w:lang w:val="en-US" w:eastAsia="zh-CN"/>
        </w:rPr>
        <w:t>中国农业科学院兰州畜牧与兽药研究所</w:t>
      </w:r>
    </w:p>
    <w:p w14:paraId="75A83FF9">
      <w:pPr>
        <w:rPr>
          <w:rFonts w:eastAsia="宋体"/>
          <w:b/>
          <w:sz w:val="36"/>
          <w:szCs w:val="36"/>
        </w:rPr>
      </w:pPr>
    </w:p>
    <w:p w14:paraId="5151831C">
      <w:pPr>
        <w:jc w:val="center"/>
        <w:rPr>
          <w:rFonts w:eastAsia="宋体"/>
          <w:b/>
          <w:sz w:val="36"/>
          <w:szCs w:val="36"/>
        </w:rPr>
      </w:pPr>
      <w:r>
        <w:rPr>
          <w:rFonts w:eastAsia="宋体"/>
          <w:b/>
          <w:sz w:val="36"/>
          <w:szCs w:val="36"/>
        </w:rPr>
        <w:t>202</w:t>
      </w:r>
      <w:r>
        <w:rPr>
          <w:rFonts w:hint="eastAsia" w:eastAsia="宋体"/>
          <w:b/>
          <w:sz w:val="36"/>
          <w:szCs w:val="36"/>
          <w:lang w:val="en-US" w:eastAsia="zh-CN"/>
        </w:rPr>
        <w:t>6</w:t>
      </w:r>
      <w:r>
        <w:rPr>
          <w:rFonts w:eastAsia="宋体"/>
          <w:b/>
          <w:sz w:val="36"/>
          <w:szCs w:val="36"/>
        </w:rPr>
        <w:t>年</w:t>
      </w:r>
      <w:r>
        <w:rPr>
          <w:rFonts w:hint="eastAsia" w:eastAsia="宋体"/>
          <w:b/>
          <w:sz w:val="36"/>
          <w:szCs w:val="36"/>
          <w:lang w:val="en-US" w:eastAsia="zh-CN"/>
        </w:rPr>
        <w:t>5</w:t>
      </w:r>
      <w:r>
        <w:rPr>
          <w:rFonts w:eastAsia="宋体"/>
          <w:b/>
          <w:sz w:val="36"/>
          <w:szCs w:val="36"/>
        </w:rPr>
        <w:t>月</w:t>
      </w:r>
    </w:p>
    <w:p w14:paraId="56AB6028">
      <w:pPr>
        <w:jc w:val="center"/>
        <w:rPr>
          <w:rFonts w:eastAsia="宋体"/>
          <w:b/>
          <w:sz w:val="36"/>
          <w:szCs w:val="36"/>
        </w:rPr>
      </w:pPr>
    </w:p>
    <w:p w14:paraId="405C6AC8">
      <w:pPr>
        <w:jc w:val="center"/>
        <w:rPr>
          <w:rFonts w:eastAsia="宋体"/>
          <w:b/>
          <w:sz w:val="36"/>
          <w:szCs w:val="36"/>
        </w:rPr>
      </w:pPr>
    </w:p>
    <w:p w14:paraId="4BCD138C">
      <w:pPr>
        <w:keepNext w:val="0"/>
        <w:keepLines w:val="0"/>
        <w:pageBreakBefore w:val="0"/>
        <w:kinsoku/>
        <w:wordWrap/>
        <w:overflowPunct/>
        <w:topLinePunct w:val="0"/>
        <w:bidi w:val="0"/>
        <w:adjustRightInd w:val="0"/>
        <w:snapToGrid w:val="0"/>
        <w:spacing w:line="360" w:lineRule="auto"/>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一、工作简况</w:t>
      </w:r>
    </w:p>
    <w:p w14:paraId="2C22AF4E">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1. 任务来源</w:t>
      </w:r>
    </w:p>
    <w:p w14:paraId="4ACD0F08">
      <w:pPr>
        <w:adjustRightInd w:val="0"/>
        <w:snapToGrid w:val="0"/>
        <w:spacing w:line="360" w:lineRule="auto"/>
        <w:ind w:firstLine="482"/>
        <w:rPr>
          <w:rFonts w:hint="eastAsia" w:eastAsia="宋体"/>
          <w:color w:val="auto"/>
          <w:kern w:val="0"/>
          <w:sz w:val="24"/>
          <w:lang w:eastAsia="zh-CN"/>
        </w:rPr>
      </w:pPr>
      <w:r>
        <w:rPr>
          <w:rFonts w:hint="eastAsia" w:ascii="仿宋_GB2312" w:hAnsi="仿宋_GB2312" w:eastAsia="仿宋_GB2312" w:cs="仿宋_GB2312"/>
          <w:b w:val="0"/>
          <w:bCs/>
          <w:kern w:val="2"/>
          <w:sz w:val="24"/>
          <w:szCs w:val="24"/>
          <w:lang w:val="en-US" w:eastAsia="zh-CN" w:bidi="ar-SA"/>
        </w:rPr>
        <w:t>2025年12月，中国农业科学院兰州畜牧与兽药研究所上报制定团体标准《张家川红花牛屠宰与检疫技术规程》标准建议书和标准草案，2026年4月27日，甘肃省质量协会下达了制定《张家川红花牛种群鉴定标准》标准（项目计划号：甘质协【2026】21号）。本文件制定任务由中国农业科学院兰州畜牧与兽药研究所牵头提出。参与起草的协作单位包括张家川畜牧技术推广站、张家川回族自治县畜牧兽医事务服务中心、中国农业科学院兰州兽医研究所等。标准技术归口单位为甘肃省质量标准协会。起草小组成员包括马晓明、梁春年、杨来康、杨孝君、喇永富、贠秀君、马利军、张少华、褚敏、马艳萍、包鹏甲。</w:t>
      </w:r>
    </w:p>
    <w:p w14:paraId="2420C7E1">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2. 制定背景</w:t>
      </w:r>
    </w:p>
    <w:p w14:paraId="3527CD0C">
      <w:pPr>
        <w:adjustRightInd w:val="0"/>
        <w:snapToGrid w:val="0"/>
        <w:spacing w:line="360" w:lineRule="auto"/>
        <w:ind w:firstLine="482"/>
        <w:rPr>
          <w:rFonts w:hint="eastAsia" w:ascii="仿宋_GB2312" w:hAnsi="仿宋_GB2312" w:eastAsia="仿宋_GB2312" w:cs="仿宋_GB2312"/>
          <w:b w:val="0"/>
          <w:bCs/>
          <w:kern w:val="2"/>
          <w:sz w:val="24"/>
          <w:szCs w:val="24"/>
          <w:lang w:val="en-US" w:eastAsia="zh-CN" w:bidi="ar-SA"/>
        </w:rPr>
      </w:pPr>
      <w:r>
        <w:rPr>
          <w:rFonts w:hint="eastAsia" w:ascii="仿宋_GB2312" w:hAnsi="仿宋_GB2312" w:eastAsia="仿宋_GB2312" w:cs="仿宋_GB2312"/>
          <w:b w:val="0"/>
          <w:bCs/>
          <w:kern w:val="2"/>
          <w:sz w:val="24"/>
          <w:szCs w:val="24"/>
          <w:lang w:val="en-US" w:eastAsia="zh-CN" w:bidi="ar-SA"/>
        </w:rPr>
        <w:t>随着经济发展和居民生活水平的不断提高，牛肉消费需求持续增长，市场对牛肉品质、安全性及稳定供给能力提出了更高要求。我国肉牛产业近年来发展较快，但在供需结构、产品质量及标准化水平等方面仍存在一定提升空间，推动产业向规范化、标准化方向发展已成为重要趋势。在国家大力推进畜牧业标准体系建设的背景下，肉牛品种标准不断完善，多项国家标准相继发布实施，为品种选育和生产管理提供了重要依据。但在屠宰加工及检疫环节，针对区域特色肉牛的专用技术规范仍相对薄弱，尤其在操作流程统一、关键参数控制及质量评价方面，有待进一步规范。张家川红花牛是在长期生产实践中形成的地方特色肉牛群体，经过持续改良，已具备良好的生产性能和市场认可度，并成为当地畜牧业发展的重要支撑。依托较为完善的养殖基础和产业体系，该品种在带动农民增收、促进区域经济发展方面发挥了积极作用。同时，随着产业规模扩大，对屠宰加工规范化和产品质量稳定性的要求也日益提高。</w:t>
      </w:r>
    </w:p>
    <w:p w14:paraId="1B4F0C91">
      <w:pPr>
        <w:adjustRightInd w:val="0"/>
        <w:snapToGrid w:val="0"/>
        <w:spacing w:line="360" w:lineRule="auto"/>
        <w:ind w:firstLine="482"/>
        <w:rPr>
          <w:rFonts w:hint="eastAsia" w:ascii="仿宋_GB2312" w:hAnsi="仿宋_GB2312" w:eastAsia="仿宋_GB2312" w:cs="仿宋_GB2312"/>
          <w:b w:val="0"/>
          <w:bCs/>
          <w:kern w:val="2"/>
          <w:sz w:val="24"/>
          <w:szCs w:val="24"/>
          <w:lang w:val="en-US" w:eastAsia="zh-CN" w:bidi="ar-SA"/>
        </w:rPr>
      </w:pPr>
      <w:r>
        <w:rPr>
          <w:rFonts w:hint="eastAsia" w:ascii="仿宋_GB2312" w:hAnsi="仿宋_GB2312" w:eastAsia="仿宋_GB2312" w:cs="仿宋_GB2312"/>
          <w:b w:val="0"/>
          <w:bCs/>
          <w:kern w:val="2"/>
          <w:sz w:val="24"/>
          <w:szCs w:val="24"/>
          <w:lang w:val="en-US" w:eastAsia="zh-CN" w:bidi="ar-SA"/>
        </w:rPr>
        <w:t>当前，在屠宰与检疫实际操作中，部分环节仍存在技术标准不统一、操作依赖经验、关键控制指标不明确等问题，影响了产品品质一致性及安全保障水平，也在一定程度上制约了产业进一步提质升级。此外，消费市场对优质、安全、可追溯牛肉产品的需求不断增强，对屠宰加工过程提出了更高标准要求。基于此，有必要结合生产实际和已有技术积累，制定《张家川红花牛屠宰与检疫技术规程》团体标准，对屠宰加工全过程进行系统规范，明确致昏、放血、剥皮、分割、预冷及检疫等关键技术要求，提升操作规范性和质量控制水平。</w:t>
      </w:r>
    </w:p>
    <w:p w14:paraId="150C5025">
      <w:pPr>
        <w:adjustRightInd w:val="0"/>
        <w:snapToGrid w:val="0"/>
        <w:spacing w:line="360" w:lineRule="auto"/>
        <w:ind w:firstLine="482"/>
        <w:rPr>
          <w:rFonts w:hint="eastAsia" w:ascii="仿宋_GB2312" w:hAnsi="仿宋_GB2312" w:eastAsia="仿宋_GB2312" w:cs="仿宋_GB2312"/>
          <w:b w:val="0"/>
          <w:bCs/>
          <w:kern w:val="2"/>
          <w:sz w:val="24"/>
          <w:szCs w:val="24"/>
          <w:lang w:val="en-US" w:eastAsia="zh-CN" w:bidi="ar-SA"/>
        </w:rPr>
      </w:pPr>
      <w:r>
        <w:rPr>
          <w:rFonts w:hint="eastAsia" w:ascii="仿宋_GB2312" w:hAnsi="仿宋_GB2312" w:eastAsia="仿宋_GB2312" w:cs="仿宋_GB2312"/>
          <w:b w:val="0"/>
          <w:bCs/>
          <w:kern w:val="2"/>
          <w:sz w:val="24"/>
          <w:szCs w:val="24"/>
          <w:lang w:val="en-US" w:eastAsia="zh-CN" w:bidi="ar-SA"/>
        </w:rPr>
        <w:t>该标准的实施，有助于完善张家川红花牛产业链技术体系，提高屠宰加工标准化程度，保障肉品质量安全，增强产品市场竞争力。同时，将促进产业由粗放发展向精细化管理转变，推动相关配套产业协同发展，对促进农民持续增收和区域畜牧业高质量发展具有积极意义。</w:t>
      </w:r>
    </w:p>
    <w:p w14:paraId="5D92F5C0">
      <w:pPr>
        <w:widowControl/>
        <w:adjustRightInd w:val="0"/>
        <w:snapToGrid w:val="0"/>
        <w:spacing w:line="360" w:lineRule="auto"/>
        <w:ind w:firstLine="482"/>
        <w:rPr>
          <w:rFonts w:eastAsia="宋体"/>
          <w:b/>
          <w:bCs/>
          <w:color w:val="auto"/>
          <w:sz w:val="24"/>
        </w:rPr>
      </w:pPr>
      <w:r>
        <w:rPr>
          <w:rFonts w:eastAsia="宋体"/>
          <w:b/>
          <w:bCs/>
          <w:color w:val="auto"/>
          <w:sz w:val="24"/>
        </w:rPr>
        <w:t>3. 起草过程</w:t>
      </w:r>
    </w:p>
    <w:p w14:paraId="69EABD6F">
      <w:pPr>
        <w:adjustRightInd w:val="0"/>
        <w:snapToGrid w:val="0"/>
        <w:spacing w:line="360" w:lineRule="auto"/>
        <w:ind w:firstLine="482"/>
        <w:rPr>
          <w:rFonts w:eastAsia="宋体"/>
          <w:b/>
          <w:color w:val="auto"/>
          <w:sz w:val="24"/>
        </w:rPr>
      </w:pPr>
      <w:r>
        <w:rPr>
          <w:rFonts w:eastAsia="宋体"/>
          <w:b/>
          <w:color w:val="auto"/>
          <w:sz w:val="24"/>
        </w:rPr>
        <w:t>（1）成立标准起草小组</w:t>
      </w:r>
    </w:p>
    <w:p w14:paraId="6D7240BC">
      <w:pPr>
        <w:adjustRightInd w:val="0"/>
        <w:snapToGrid w:val="0"/>
        <w:spacing w:line="360" w:lineRule="auto"/>
        <w:ind w:firstLine="482"/>
        <w:rPr>
          <w:rFonts w:hint="eastAsia" w:ascii="仿宋_GB2312" w:hAnsi="仿宋_GB2312" w:eastAsia="仿宋_GB2312" w:cs="仿宋_GB2312"/>
          <w:b w:val="0"/>
          <w:bCs/>
          <w:kern w:val="2"/>
          <w:sz w:val="24"/>
          <w:szCs w:val="24"/>
          <w:lang w:val="en-US" w:eastAsia="zh-CN" w:bidi="ar-SA"/>
        </w:rPr>
      </w:pPr>
      <w:r>
        <w:rPr>
          <w:rFonts w:hint="eastAsia" w:ascii="仿宋_GB2312" w:hAnsi="仿宋_GB2312" w:eastAsia="仿宋_GB2312" w:cs="仿宋_GB2312"/>
          <w:b w:val="0"/>
          <w:bCs/>
          <w:kern w:val="2"/>
          <w:sz w:val="24"/>
          <w:szCs w:val="24"/>
          <w:lang w:val="en-US" w:eastAsia="zh-CN" w:bidi="ar-SA"/>
        </w:rPr>
        <w:t>团体标准《张家川红花牛屠宰与检疫技术规程》</w:t>
      </w:r>
      <w:r>
        <w:rPr>
          <w:rFonts w:hint="eastAsia" w:ascii="仿宋_GB2312" w:hAnsi="仿宋_GB2312" w:cs="仿宋_GB2312"/>
          <w:b w:val="0"/>
          <w:bCs/>
          <w:kern w:val="2"/>
          <w:sz w:val="24"/>
          <w:szCs w:val="24"/>
          <w:lang w:val="en-US" w:eastAsia="zh-CN" w:bidi="ar-SA"/>
        </w:rPr>
        <w:t>制定启动</w:t>
      </w:r>
      <w:r>
        <w:rPr>
          <w:rFonts w:hint="eastAsia" w:ascii="仿宋_GB2312" w:hAnsi="仿宋_GB2312" w:eastAsia="仿宋_GB2312" w:cs="仿宋_GB2312"/>
          <w:b w:val="0"/>
          <w:bCs/>
          <w:kern w:val="2"/>
          <w:sz w:val="24"/>
          <w:szCs w:val="24"/>
          <w:lang w:val="en-US" w:eastAsia="zh-CN" w:bidi="ar-SA"/>
        </w:rPr>
        <w:t>后，中国农业科学院兰州畜牧与兽药研究所立即会同项目承担单位成立由张家川畜牧技术推广站、张家川回族自治县畜牧兽医事务服务中心、中国农业科学院兰州兽医研究所等相关专家组成的标准制定起草小组，主要负责开展调查研究，收集整理相关数据，起草《张家川红花牛屠宰与检疫技术规程》标准征求意见稿，广泛开展意见征求，组织召开标准初审会，按要求提交牦牛品种标准报批稿、编制说明、品种照片等。标准起草小组人员分工如表1所示。</w:t>
      </w:r>
    </w:p>
    <w:p w14:paraId="532A5E56">
      <w:pPr>
        <w:pStyle w:val="9"/>
        <w:tabs>
          <w:tab w:val="center" w:pos="4201"/>
          <w:tab w:val="right" w:leader="dot" w:pos="9298"/>
        </w:tabs>
        <w:spacing w:line="360" w:lineRule="auto"/>
        <w:ind w:firstLine="0" w:firstLineChars="0"/>
        <w:jc w:val="center"/>
        <w:outlineLvl w:val="0"/>
        <w:rPr>
          <w:rFonts w:ascii="Times New Roman"/>
          <w:kern w:val="2"/>
          <w:szCs w:val="21"/>
        </w:rPr>
      </w:pPr>
      <w:r>
        <w:rPr>
          <w:rFonts w:ascii="Times New Roman"/>
          <w:kern w:val="2"/>
          <w:szCs w:val="21"/>
        </w:rPr>
        <w:t>表1 标准起草组成员及分工</w:t>
      </w:r>
    </w:p>
    <w:tbl>
      <w:tblPr>
        <w:tblStyle w:val="5"/>
        <w:tblW w:w="91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992"/>
        <w:gridCol w:w="4615"/>
        <w:gridCol w:w="2694"/>
      </w:tblGrid>
      <w:tr w14:paraId="5C159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1B71F4C4">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序号</w:t>
            </w:r>
          </w:p>
        </w:tc>
        <w:tc>
          <w:tcPr>
            <w:tcW w:w="992" w:type="dxa"/>
            <w:vAlign w:val="center"/>
          </w:tcPr>
          <w:p w14:paraId="7DC7CFC7">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姓名</w:t>
            </w:r>
          </w:p>
        </w:tc>
        <w:tc>
          <w:tcPr>
            <w:tcW w:w="4615" w:type="dxa"/>
            <w:vAlign w:val="center"/>
          </w:tcPr>
          <w:p w14:paraId="757AF78E">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单位</w:t>
            </w:r>
          </w:p>
        </w:tc>
        <w:tc>
          <w:tcPr>
            <w:tcW w:w="2694" w:type="dxa"/>
            <w:vAlign w:val="center"/>
          </w:tcPr>
          <w:p w14:paraId="097802F1">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分工</w:t>
            </w:r>
          </w:p>
        </w:tc>
      </w:tr>
      <w:tr w14:paraId="44513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42639321">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1</w:t>
            </w:r>
          </w:p>
        </w:tc>
        <w:tc>
          <w:tcPr>
            <w:tcW w:w="992" w:type="dxa"/>
            <w:vAlign w:val="center"/>
          </w:tcPr>
          <w:p w14:paraId="011023D9">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马晓明</w:t>
            </w:r>
          </w:p>
        </w:tc>
        <w:tc>
          <w:tcPr>
            <w:tcW w:w="4615" w:type="dxa"/>
            <w:vAlign w:val="center"/>
          </w:tcPr>
          <w:p w14:paraId="633BDA8D">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2694" w:type="dxa"/>
            <w:vAlign w:val="center"/>
          </w:tcPr>
          <w:p w14:paraId="0A3C3F33">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总负责</w:t>
            </w:r>
          </w:p>
        </w:tc>
      </w:tr>
      <w:tr w14:paraId="46A55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7B90A43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2</w:t>
            </w:r>
          </w:p>
        </w:tc>
        <w:tc>
          <w:tcPr>
            <w:tcW w:w="992" w:type="dxa"/>
            <w:vAlign w:val="center"/>
          </w:tcPr>
          <w:p w14:paraId="76F7B74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梁春年</w:t>
            </w:r>
          </w:p>
        </w:tc>
        <w:tc>
          <w:tcPr>
            <w:tcW w:w="4615" w:type="dxa"/>
            <w:vAlign w:val="center"/>
          </w:tcPr>
          <w:p w14:paraId="183E0F29">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2694" w:type="dxa"/>
            <w:vAlign w:val="center"/>
          </w:tcPr>
          <w:p w14:paraId="1FD84394">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协助实施标准制定</w:t>
            </w:r>
          </w:p>
        </w:tc>
      </w:tr>
      <w:tr w14:paraId="611C8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5092D8D6">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3</w:t>
            </w:r>
          </w:p>
        </w:tc>
        <w:tc>
          <w:tcPr>
            <w:tcW w:w="992" w:type="dxa"/>
            <w:vAlign w:val="center"/>
          </w:tcPr>
          <w:p w14:paraId="2C95575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杨来康</w:t>
            </w:r>
          </w:p>
        </w:tc>
        <w:tc>
          <w:tcPr>
            <w:tcW w:w="4615" w:type="dxa"/>
            <w:vAlign w:val="center"/>
          </w:tcPr>
          <w:p w14:paraId="784591E1">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2694" w:type="dxa"/>
            <w:vAlign w:val="center"/>
          </w:tcPr>
          <w:p w14:paraId="1FFA51B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采样、检测工作</w:t>
            </w:r>
          </w:p>
        </w:tc>
      </w:tr>
      <w:tr w14:paraId="3B775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1E182CF1">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4</w:t>
            </w:r>
          </w:p>
        </w:tc>
        <w:tc>
          <w:tcPr>
            <w:tcW w:w="992" w:type="dxa"/>
            <w:vAlign w:val="center"/>
          </w:tcPr>
          <w:p w14:paraId="2080CBFB">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杨孝君</w:t>
            </w:r>
          </w:p>
        </w:tc>
        <w:tc>
          <w:tcPr>
            <w:tcW w:w="4615" w:type="dxa"/>
            <w:vAlign w:val="center"/>
          </w:tcPr>
          <w:p w14:paraId="573B843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张家川回族自治县畜牧兽医事务服务中心</w:t>
            </w:r>
          </w:p>
        </w:tc>
        <w:tc>
          <w:tcPr>
            <w:tcW w:w="2694" w:type="dxa"/>
            <w:vAlign w:val="center"/>
          </w:tcPr>
          <w:p w14:paraId="05B2E7E8">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采样、数据分析</w:t>
            </w:r>
          </w:p>
        </w:tc>
      </w:tr>
      <w:tr w14:paraId="57640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6B8DBB3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5</w:t>
            </w:r>
          </w:p>
        </w:tc>
        <w:tc>
          <w:tcPr>
            <w:tcW w:w="992" w:type="dxa"/>
            <w:vAlign w:val="center"/>
          </w:tcPr>
          <w:p w14:paraId="37553FCC">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喇永富</w:t>
            </w:r>
          </w:p>
        </w:tc>
        <w:tc>
          <w:tcPr>
            <w:tcW w:w="4615" w:type="dxa"/>
            <w:vAlign w:val="center"/>
          </w:tcPr>
          <w:p w14:paraId="5C7D3BC4">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2694" w:type="dxa"/>
            <w:vAlign w:val="center"/>
          </w:tcPr>
          <w:p w14:paraId="4B6AB30E">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协助实施标准制定</w:t>
            </w:r>
          </w:p>
        </w:tc>
      </w:tr>
      <w:tr w14:paraId="7067B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34466A7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6</w:t>
            </w:r>
          </w:p>
        </w:tc>
        <w:tc>
          <w:tcPr>
            <w:tcW w:w="992" w:type="dxa"/>
            <w:vAlign w:val="center"/>
          </w:tcPr>
          <w:p w14:paraId="0C6E29A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贠秀君</w:t>
            </w:r>
          </w:p>
        </w:tc>
        <w:tc>
          <w:tcPr>
            <w:tcW w:w="4615" w:type="dxa"/>
            <w:vAlign w:val="center"/>
          </w:tcPr>
          <w:p w14:paraId="793F97EB">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2694" w:type="dxa"/>
            <w:vAlign w:val="center"/>
          </w:tcPr>
          <w:p w14:paraId="17B4067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协助实施验证</w:t>
            </w:r>
          </w:p>
        </w:tc>
      </w:tr>
      <w:tr w14:paraId="7B23F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560E86E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7</w:t>
            </w:r>
          </w:p>
        </w:tc>
        <w:tc>
          <w:tcPr>
            <w:tcW w:w="992" w:type="dxa"/>
            <w:vAlign w:val="center"/>
          </w:tcPr>
          <w:p w14:paraId="06591985">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马利军</w:t>
            </w:r>
          </w:p>
        </w:tc>
        <w:tc>
          <w:tcPr>
            <w:tcW w:w="4615" w:type="dxa"/>
            <w:vAlign w:val="center"/>
          </w:tcPr>
          <w:p w14:paraId="2334A423">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2694" w:type="dxa"/>
            <w:vAlign w:val="center"/>
          </w:tcPr>
          <w:p w14:paraId="35899B9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材料收集与整理</w:t>
            </w:r>
          </w:p>
        </w:tc>
      </w:tr>
      <w:tr w14:paraId="6B38E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2D1A6314">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8</w:t>
            </w:r>
          </w:p>
        </w:tc>
        <w:tc>
          <w:tcPr>
            <w:tcW w:w="992" w:type="dxa"/>
            <w:vAlign w:val="center"/>
          </w:tcPr>
          <w:p w14:paraId="6857BC9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张少华</w:t>
            </w:r>
          </w:p>
        </w:tc>
        <w:tc>
          <w:tcPr>
            <w:tcW w:w="4615" w:type="dxa"/>
            <w:vAlign w:val="center"/>
          </w:tcPr>
          <w:p w14:paraId="08EC0F1C">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中国农业科学院兰州兽医研究所</w:t>
            </w:r>
          </w:p>
        </w:tc>
        <w:tc>
          <w:tcPr>
            <w:tcW w:w="2694" w:type="dxa"/>
            <w:vAlign w:val="center"/>
          </w:tcPr>
          <w:p w14:paraId="630C5580">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标准关键点的验证工作</w:t>
            </w:r>
          </w:p>
        </w:tc>
      </w:tr>
      <w:tr w14:paraId="0BA3D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024555CE">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9</w:t>
            </w:r>
          </w:p>
        </w:tc>
        <w:tc>
          <w:tcPr>
            <w:tcW w:w="992" w:type="dxa"/>
            <w:vAlign w:val="center"/>
          </w:tcPr>
          <w:p w14:paraId="38F97E67">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褚敏</w:t>
            </w:r>
          </w:p>
        </w:tc>
        <w:tc>
          <w:tcPr>
            <w:tcW w:w="4615" w:type="dxa"/>
            <w:vAlign w:val="center"/>
          </w:tcPr>
          <w:p w14:paraId="56730298">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2694" w:type="dxa"/>
            <w:vAlign w:val="center"/>
          </w:tcPr>
          <w:p w14:paraId="15377583">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检测工作</w:t>
            </w:r>
          </w:p>
        </w:tc>
      </w:tr>
      <w:tr w14:paraId="329F1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26CE220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10</w:t>
            </w:r>
          </w:p>
        </w:tc>
        <w:tc>
          <w:tcPr>
            <w:tcW w:w="992" w:type="dxa"/>
            <w:vAlign w:val="center"/>
          </w:tcPr>
          <w:p w14:paraId="4CFD5278">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马艳萍</w:t>
            </w:r>
          </w:p>
        </w:tc>
        <w:tc>
          <w:tcPr>
            <w:tcW w:w="4615" w:type="dxa"/>
            <w:vAlign w:val="center"/>
          </w:tcPr>
          <w:p w14:paraId="2D51A833">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2694" w:type="dxa"/>
            <w:vAlign w:val="center"/>
          </w:tcPr>
          <w:p w14:paraId="30AE87DE">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协助标准验证</w:t>
            </w:r>
          </w:p>
        </w:tc>
      </w:tr>
      <w:tr w14:paraId="43C96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17" w:type="dxa"/>
            <w:vAlign w:val="center"/>
          </w:tcPr>
          <w:p w14:paraId="214E087D">
            <w:pPr>
              <w:pStyle w:val="9"/>
              <w:tabs>
                <w:tab w:val="center" w:pos="4201"/>
                <w:tab w:val="right" w:leader="dot" w:pos="9298"/>
              </w:tabs>
              <w:spacing w:line="360" w:lineRule="auto"/>
              <w:ind w:firstLine="0" w:firstLineChars="0"/>
              <w:jc w:val="center"/>
              <w:outlineLvl w:val="0"/>
              <w:rPr>
                <w:rFonts w:hint="default"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11</w:t>
            </w:r>
          </w:p>
        </w:tc>
        <w:tc>
          <w:tcPr>
            <w:tcW w:w="992" w:type="dxa"/>
            <w:vAlign w:val="center"/>
          </w:tcPr>
          <w:p w14:paraId="1B4A6267">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包鹏甲</w:t>
            </w:r>
          </w:p>
        </w:tc>
        <w:tc>
          <w:tcPr>
            <w:tcW w:w="4615" w:type="dxa"/>
            <w:vAlign w:val="center"/>
          </w:tcPr>
          <w:p w14:paraId="168FE11F">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2694" w:type="dxa"/>
            <w:vAlign w:val="center"/>
          </w:tcPr>
          <w:p w14:paraId="5C2076AE">
            <w:pPr>
              <w:pStyle w:val="9"/>
              <w:tabs>
                <w:tab w:val="center" w:pos="4201"/>
                <w:tab w:val="right" w:leader="dot" w:pos="9298"/>
              </w:tabs>
              <w:spacing w:line="360" w:lineRule="auto"/>
              <w:ind w:firstLine="0" w:firstLineChars="0"/>
              <w:jc w:val="center"/>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征求意见及修改完善</w:t>
            </w:r>
          </w:p>
        </w:tc>
      </w:tr>
    </w:tbl>
    <w:p w14:paraId="57B4615A">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sz w:val="24"/>
          <w:szCs w:val="24"/>
        </w:rPr>
      </w:pPr>
    </w:p>
    <w:p w14:paraId="0D700158">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default" w:ascii="仿宋_GB2312" w:hAnsi="仿宋_GB2312" w:eastAsia="仿宋_GB2312" w:cs="仿宋_GB2312"/>
          <w:b/>
          <w:sz w:val="24"/>
          <w:szCs w:val="24"/>
        </w:rPr>
      </w:pPr>
      <w:r>
        <w:rPr>
          <w:rFonts w:hint="eastAsia" w:ascii="仿宋_GB2312" w:hAnsi="仿宋_GB2312" w:eastAsia="仿宋_GB2312" w:cs="仿宋_GB2312"/>
          <w:b/>
          <w:sz w:val="24"/>
          <w:szCs w:val="24"/>
        </w:rPr>
        <w:t>（2）开展大量普查、测试和试验研究工作</w:t>
      </w:r>
      <w:r>
        <w:rPr>
          <w:rFonts w:hint="default" w:ascii="仿宋_GB2312" w:hAnsi="仿宋_GB2312" w:eastAsia="仿宋_GB2312" w:cs="仿宋_GB2312"/>
          <w:b/>
          <w:sz w:val="24"/>
          <w:szCs w:val="24"/>
        </w:rPr>
        <w:t xml:space="preserve"> </w:t>
      </w:r>
    </w:p>
    <w:p w14:paraId="0BFF8F7F">
      <w:pPr>
        <w:adjustRightInd w:val="0"/>
        <w:snapToGrid w:val="0"/>
        <w:spacing w:line="360" w:lineRule="auto"/>
        <w:ind w:firstLine="482"/>
        <w:rPr>
          <w:rFonts w:hint="eastAsia" w:ascii="仿宋_GB2312" w:hAnsi="仿宋_GB2312" w:eastAsia="仿宋_GB2312" w:cs="仿宋_GB2312"/>
          <w:b w:val="0"/>
          <w:bCs/>
          <w:kern w:val="2"/>
          <w:sz w:val="24"/>
          <w:szCs w:val="24"/>
          <w:lang w:val="en-US" w:eastAsia="zh-CN" w:bidi="ar-SA"/>
        </w:rPr>
      </w:pPr>
      <w:r>
        <w:rPr>
          <w:rFonts w:hint="default" w:ascii="仿宋_GB2312" w:hAnsi="仿宋_GB2312" w:eastAsia="仿宋_GB2312" w:cs="仿宋_GB2312"/>
          <w:b w:val="0"/>
          <w:bCs/>
          <w:kern w:val="2"/>
          <w:sz w:val="24"/>
          <w:szCs w:val="24"/>
          <w:lang w:val="en-US" w:eastAsia="zh-CN" w:bidi="ar-SA"/>
        </w:rPr>
        <w:t>为了使本规程各环节的技术参数能够科学地反映张家川红花牛的屠宰加工特性与肉质性能，标准编制组依托张家川县持续推进的良种繁育与规模养殖基础，结合中国农业科学院兰州畜牧与兽药研究所及张家川畜牧技术推广站等单位开展的肉牛种质资源挖掘与良种选育工作，先后在张家川县核心产区及当地建成的年屠宰能力达3万头红花牛的全自动化屠宰加工企业进行了大量的实地调研、屠宰工艺验证（如致昏电压、双级冷却排酸工艺等）及理化指标分析工作。</w:t>
      </w:r>
    </w:p>
    <w:p w14:paraId="6630A6D1">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（3）综合分析，起草标准文本</w:t>
      </w:r>
    </w:p>
    <w:p w14:paraId="349250B5">
      <w:pPr>
        <w:adjustRightInd w:val="0"/>
        <w:snapToGrid w:val="0"/>
        <w:spacing w:line="360" w:lineRule="auto"/>
        <w:ind w:firstLine="482"/>
        <w:rPr>
          <w:rFonts w:hint="eastAsia" w:ascii="仿宋_GB2312" w:hAnsi="仿宋_GB2312" w:eastAsia="仿宋_GB2312" w:cs="仿宋_GB2312"/>
          <w:b w:val="0"/>
          <w:bCs/>
          <w:kern w:val="2"/>
          <w:sz w:val="24"/>
          <w:szCs w:val="24"/>
          <w:lang w:val="en-US" w:eastAsia="zh-CN" w:bidi="ar-SA"/>
        </w:rPr>
      </w:pPr>
      <w:r>
        <w:rPr>
          <w:rFonts w:hint="default" w:ascii="仿宋_GB2312" w:hAnsi="仿宋_GB2312" w:eastAsia="仿宋_GB2312" w:cs="仿宋_GB2312"/>
          <w:b w:val="0"/>
          <w:bCs/>
          <w:kern w:val="2"/>
          <w:sz w:val="24"/>
          <w:szCs w:val="24"/>
          <w:lang w:val="en-US" w:eastAsia="zh-CN" w:bidi="ar-SA"/>
        </w:rPr>
        <w:t>标准起草小组对调研、实测及工艺验证获取的大量原始数据进行了系统性整理与统计分析，并将分析结果与张家川红花牛的屠宰加工特性（如具有大理石花纹和高脂肪特性等）、肉质理化指标及产业链提质增效目标深度融合，科学确立了关键工序的技术参数（如明确断料不低于12小时、电击致昏参数以及核心pH值等）。在此基础上，起草组于2026年3月至4月深入张家川县规模化牛羊屠宰厂开展流程摸排与标准化验证。起草小组在严格遵循GB/T 1.1—2020导则的基础上，广泛参考《畜禽屠宰操作规程——牛》（GB/T 19477-2018）等现行国家与行业标准，经起草组成员内部多轮技术研讨与反复打磨，最终于2026年</w:t>
      </w:r>
      <w:r>
        <w:rPr>
          <w:rFonts w:hint="eastAsia" w:ascii="仿宋_GB2312" w:hAnsi="仿宋_GB2312" w:cs="仿宋_GB2312"/>
          <w:b w:val="0"/>
          <w:bCs/>
          <w:kern w:val="2"/>
          <w:sz w:val="24"/>
          <w:szCs w:val="24"/>
          <w:lang w:val="en-US" w:eastAsia="zh-CN" w:bidi="ar-SA"/>
        </w:rPr>
        <w:t>5</w:t>
      </w:r>
      <w:r>
        <w:rPr>
          <w:rFonts w:hint="default" w:ascii="仿宋_GB2312" w:hAnsi="仿宋_GB2312" w:eastAsia="仿宋_GB2312" w:cs="仿宋_GB2312"/>
          <w:b w:val="0"/>
          <w:bCs/>
          <w:kern w:val="2"/>
          <w:sz w:val="24"/>
          <w:szCs w:val="24"/>
          <w:lang w:val="en-US" w:eastAsia="zh-CN" w:bidi="ar-SA"/>
        </w:rPr>
        <w:t>月修正完善并起草完成了本标准的征求意见稿</w:t>
      </w:r>
      <w:r>
        <w:rPr>
          <w:rFonts w:hint="eastAsia" w:ascii="仿宋_GB2312" w:hAnsi="仿宋_GB2312" w:eastAsia="仿宋_GB2312" w:cs="仿宋_GB2312"/>
          <w:b w:val="0"/>
          <w:bCs/>
          <w:kern w:val="2"/>
          <w:sz w:val="24"/>
          <w:szCs w:val="24"/>
          <w:lang w:val="en-US" w:eastAsia="zh-CN" w:bidi="ar-SA"/>
        </w:rPr>
        <w:t>。</w:t>
      </w:r>
    </w:p>
    <w:p w14:paraId="60A0D06B">
      <w:pPr>
        <w:keepNext w:val="0"/>
        <w:keepLines w:val="0"/>
        <w:pageBreakBefore w:val="0"/>
        <w:kinsoku/>
        <w:wordWrap/>
        <w:overflowPunct/>
        <w:topLinePunct w:val="0"/>
        <w:bidi w:val="0"/>
        <w:adjustRightInd w:val="0"/>
        <w:snapToGrid w:val="0"/>
        <w:spacing w:line="360" w:lineRule="auto"/>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二、标准编制原则和主要技术内容确定的依据</w:t>
      </w:r>
    </w:p>
    <w:p w14:paraId="59A4FC77">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bCs w:val="0"/>
          <w:kern w:val="0"/>
          <w:sz w:val="24"/>
          <w:szCs w:val="24"/>
          <w:lang w:val="en-US" w:eastAsia="zh-CN"/>
        </w:rPr>
        <w:t xml:space="preserve">1.标准编制原则 </w:t>
      </w:r>
    </w:p>
    <w:p w14:paraId="63E13161">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 xml:space="preserve">1.1 规范性原则 本标准严格按照GB/T 1.1－2020《标准化工作导则第1部分：标准化文件的结构和起草规则》给出的规定和导则进行标准文本的编写。 </w:t>
      </w:r>
    </w:p>
    <w:p w14:paraId="4F77AE31">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1.</w:t>
      </w:r>
      <w:r>
        <w:rPr>
          <w:rFonts w:hint="eastAsia" w:ascii="仿宋_GB2312" w:hAnsi="仿宋_GB2312" w:cs="仿宋_GB2312"/>
          <w:b w:val="0"/>
          <w:bCs/>
          <w:kern w:val="0"/>
          <w:sz w:val="24"/>
          <w:szCs w:val="24"/>
          <w:lang w:val="en-US" w:eastAsia="zh-CN"/>
        </w:rPr>
        <w:t>2</w:t>
      </w:r>
      <w:r>
        <w:rPr>
          <w:rFonts w:hint="eastAsia" w:ascii="仿宋_GB2312" w:hAnsi="仿宋_GB2312" w:eastAsia="仿宋_GB2312" w:cs="仿宋_GB2312"/>
          <w:b w:val="0"/>
          <w:bCs/>
          <w:kern w:val="0"/>
          <w:sz w:val="24"/>
          <w:szCs w:val="24"/>
          <w:lang w:val="en-US" w:eastAsia="zh-CN"/>
        </w:rPr>
        <w:t xml:space="preserve"> 协调性原则 </w:t>
      </w:r>
      <w:r>
        <w:rPr>
          <w:rFonts w:hint="eastAsia" w:ascii="仿宋_GB2312" w:hAnsi="仿宋_GB2312" w:eastAsia="仿宋_GB2312" w:cs="仿宋_GB2312"/>
          <w:b w:val="0"/>
          <w:bCs/>
          <w:kern w:val="0"/>
          <w:sz w:val="24"/>
          <w:szCs w:val="24"/>
        </w:rPr>
        <w:t>本标准的技术内容与屠宰加工及食品安全领域的基础通用知识相协调，与《中华人民共和国食品安全法》《中华人民共和国动物防疫法》等现行法律法规相衔接，并与相关国家及行业标准保持一致</w:t>
      </w:r>
      <w:r>
        <w:rPr>
          <w:rFonts w:hint="eastAsia" w:ascii="仿宋_GB2312" w:hAnsi="仿宋_GB2312" w:eastAsia="仿宋_GB2312" w:cs="仿宋_GB2312"/>
          <w:b w:val="0"/>
          <w:bCs/>
          <w:kern w:val="0"/>
          <w:sz w:val="24"/>
          <w:szCs w:val="24"/>
          <w:lang w:val="en-US" w:eastAsia="zh-CN"/>
        </w:rPr>
        <w:t xml:space="preserve">。 </w:t>
      </w:r>
    </w:p>
    <w:p w14:paraId="466D21CD">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1.</w:t>
      </w:r>
      <w:r>
        <w:rPr>
          <w:rFonts w:hint="eastAsia" w:ascii="仿宋_GB2312" w:hAnsi="仿宋_GB2312" w:cs="仿宋_GB2312"/>
          <w:b w:val="0"/>
          <w:bCs/>
          <w:kern w:val="0"/>
          <w:sz w:val="24"/>
          <w:szCs w:val="24"/>
          <w:lang w:val="en-US" w:eastAsia="zh-CN"/>
        </w:rPr>
        <w:t xml:space="preserve">3 </w:t>
      </w:r>
      <w:r>
        <w:rPr>
          <w:rFonts w:hint="eastAsia" w:ascii="仿宋_GB2312" w:hAnsi="仿宋_GB2312" w:eastAsia="仿宋_GB2312" w:cs="仿宋_GB2312"/>
          <w:b w:val="0"/>
          <w:bCs/>
          <w:kern w:val="0"/>
          <w:sz w:val="24"/>
          <w:szCs w:val="24"/>
          <w:lang w:val="en-US" w:eastAsia="zh-CN"/>
        </w:rPr>
        <w:t xml:space="preserve">适用性原则 本标准结合张家川红花牛的品种特性及当地屠宰加工实际，在充分调研和验证的基础上，对关键工艺环节和技术参数进行合理规定，确保标准内容符合生产实际，具备可操作性和可推广性。 </w:t>
      </w:r>
    </w:p>
    <w:p w14:paraId="11780DD6">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1.</w:t>
      </w:r>
      <w:r>
        <w:rPr>
          <w:rFonts w:hint="eastAsia" w:ascii="仿宋_GB2312" w:hAnsi="仿宋_GB2312" w:cs="仿宋_GB2312"/>
          <w:b w:val="0"/>
          <w:bCs/>
          <w:kern w:val="0"/>
          <w:sz w:val="24"/>
          <w:szCs w:val="24"/>
          <w:lang w:val="en-US" w:eastAsia="zh-CN"/>
        </w:rPr>
        <w:t>4</w:t>
      </w:r>
      <w:r>
        <w:rPr>
          <w:rFonts w:hint="eastAsia" w:ascii="仿宋_GB2312" w:hAnsi="仿宋_GB2312" w:eastAsia="仿宋_GB2312" w:cs="仿宋_GB2312"/>
          <w:b w:val="0"/>
          <w:bCs/>
          <w:kern w:val="0"/>
          <w:sz w:val="24"/>
          <w:szCs w:val="24"/>
          <w:lang w:val="en-US" w:eastAsia="zh-CN"/>
        </w:rPr>
        <w:t xml:space="preserve"> 先进性原则 本标准在制定过程中参考国内外相关标准与技术资料，结合肉牛屠宰加工发展趋势，引入先进工艺理念和技术方法，对关键技术内容进行规范，保证标准的科学性和先进性。 </w:t>
      </w:r>
    </w:p>
    <w:p w14:paraId="1C74CD19">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1.</w:t>
      </w:r>
      <w:r>
        <w:rPr>
          <w:rFonts w:hint="eastAsia" w:ascii="仿宋_GB2312" w:hAnsi="仿宋_GB2312" w:cs="仿宋_GB2312"/>
          <w:b w:val="0"/>
          <w:bCs/>
          <w:kern w:val="0"/>
          <w:sz w:val="24"/>
          <w:szCs w:val="24"/>
          <w:lang w:val="en-US" w:eastAsia="zh-CN"/>
        </w:rPr>
        <w:t>5</w:t>
      </w:r>
      <w:r>
        <w:rPr>
          <w:rFonts w:hint="eastAsia" w:ascii="仿宋_GB2312" w:hAnsi="仿宋_GB2312" w:eastAsia="仿宋_GB2312" w:cs="仿宋_GB2312"/>
          <w:b w:val="0"/>
          <w:bCs/>
          <w:kern w:val="0"/>
          <w:sz w:val="24"/>
          <w:szCs w:val="24"/>
          <w:lang w:val="en-US" w:eastAsia="zh-CN"/>
        </w:rPr>
        <w:t xml:space="preserve"> 创新性原则 </w:t>
      </w:r>
      <w:r>
        <w:rPr>
          <w:rFonts w:hint="eastAsia" w:ascii="仿宋_GB2312" w:hAnsi="仿宋_GB2312" w:eastAsia="仿宋_GB2312" w:cs="仿宋_GB2312"/>
          <w:b w:val="0"/>
          <w:bCs/>
          <w:kern w:val="0"/>
          <w:sz w:val="24"/>
          <w:szCs w:val="24"/>
        </w:rPr>
        <w:t>本标准针对农产品地理标志保护产品“张家川红花牛”，提出了具有针对性的屠宰与检疫技术要求，填补了地方特色肉牛在屠宰加工环节缺乏专用技术规范的空白</w:t>
      </w:r>
      <w:r>
        <w:rPr>
          <w:rFonts w:hint="eastAsia" w:ascii="仿宋_GB2312" w:hAnsi="仿宋_GB2312" w:eastAsia="仿宋_GB2312" w:cs="仿宋_GB2312"/>
          <w:b w:val="0"/>
          <w:bCs/>
          <w:kern w:val="0"/>
          <w:sz w:val="24"/>
          <w:szCs w:val="24"/>
          <w:lang w:val="en-US" w:eastAsia="zh-CN"/>
        </w:rPr>
        <w:t>。</w:t>
      </w:r>
    </w:p>
    <w:p w14:paraId="773AC6AA">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 xml:space="preserve">2.主要技术内容确定的依据 </w:t>
      </w:r>
    </w:p>
    <w:p w14:paraId="6B4B104D">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张家川红花牛为甘肃省天水市张家川回族自治县形成的地方肉牛群体，其肉品质性状与普通黄牛存在一定差异。为保证屠宰加工过程中产品质量的稳定性和一致性，在分析其生物学特性及现有屠宰加工条件的基础上，起草小组对宰前管理、致昏与放血、剥皮与内脏摘除、胴体冷却及排酸等关键工艺环节进行了梳理，并据此确定相关技术要求和参数。</w:t>
      </w:r>
    </w:p>
    <w:p w14:paraId="66FBC083">
      <w:pPr>
        <w:pStyle w:val="12"/>
        <w:keepNext w:val="0"/>
        <w:keepLines w:val="0"/>
        <w:pageBreakBefore w:val="0"/>
        <w:numPr>
          <w:ilvl w:val="3"/>
          <w:numId w:val="0"/>
        </w:numPr>
        <w:kinsoku/>
        <w:wordWrap/>
        <w:overflowPunct/>
        <w:topLinePunct w:val="0"/>
        <w:bidi w:val="0"/>
        <w:adjustRightInd w:val="0"/>
        <w:snapToGrid w:val="0"/>
        <w:spacing w:line="360" w:lineRule="auto"/>
        <w:ind w:firstLine="57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2.1标准名称</w:t>
      </w:r>
    </w:p>
    <w:p w14:paraId="4E22D6E2">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张家川红花牛是在长期生产实践中，通过引入西门塔尔牛与秦川牛及地方黄牛进行杂交改良，逐步形成的地方特色肉牛群体，具有适应性强、生产性能稳定等特点。该群体于2012年获批农产品地理标志登记保护，在当地肉牛产业发展中具有重要地位。目前，在生产实践及相关资料中，其名称已基本统一为“张家川红花牛”。</w:t>
      </w:r>
    </w:p>
    <w:p w14:paraId="6CD56A00">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default" w:ascii="Times New Roman" w:hAnsi="Times New Roman" w:eastAsia="仿宋_GB2312" w:cs="Times New Roman"/>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鉴于本标准主要针对张家川红花牛屠宰加工及检疫过程中的技术要求进行规范，结合标准内容及适用范围，确定标准名称为《张家川红花牛屠宰与检疫技术规程》。本标准英文名称为：</w:t>
      </w:r>
      <w:r>
        <w:rPr>
          <w:rFonts w:hint="default" w:ascii="Times New Roman" w:hAnsi="Times New Roman" w:eastAsia="仿宋_GB2312" w:cs="Times New Roman"/>
          <w:b w:val="0"/>
          <w:bCs/>
          <w:kern w:val="0"/>
          <w:sz w:val="24"/>
          <w:szCs w:val="24"/>
          <w:lang w:val="en-US" w:eastAsia="zh-CN"/>
        </w:rPr>
        <w:t>Technical specification for slaughtering and quarantine of Zhangjiachuan Honghua cattle。</w:t>
      </w:r>
    </w:p>
    <w:p w14:paraId="52DC7E82">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w:t>
      </w:r>
      <w:r>
        <w:rPr>
          <w:rFonts w:hint="eastAsia" w:ascii="仿宋_GB2312" w:hAnsi="仿宋_GB2312" w:cs="仿宋_GB2312"/>
          <w:b w:val="0"/>
          <w:bCs/>
          <w:kern w:val="0"/>
          <w:sz w:val="24"/>
          <w:szCs w:val="24"/>
          <w:lang w:val="en-US" w:eastAsia="zh-CN"/>
        </w:rPr>
        <w:t>2</w:t>
      </w:r>
      <w:r>
        <w:rPr>
          <w:rFonts w:hint="eastAsia" w:ascii="仿宋_GB2312" w:hAnsi="仿宋_GB2312" w:eastAsia="仿宋_GB2312" w:cs="仿宋_GB2312"/>
          <w:b w:val="0"/>
          <w:bCs/>
          <w:kern w:val="0"/>
          <w:sz w:val="24"/>
          <w:szCs w:val="24"/>
          <w:lang w:val="en-US" w:eastAsia="zh-CN"/>
        </w:rPr>
        <w:t xml:space="preserve"> 适用范围 本标准规定了张家川红花牛屠宰与检疫各工序的操作要求。</w:t>
      </w:r>
      <w:r>
        <w:rPr>
          <w:rFonts w:hint="eastAsia" w:ascii="仿宋_GB2312" w:hAnsi="仿宋_GB2312" w:eastAsia="仿宋_GB2312" w:cs="仿宋_GB2312"/>
          <w:b w:val="0"/>
          <w:bCs/>
          <w:kern w:val="0"/>
          <w:sz w:val="24"/>
          <w:szCs w:val="24"/>
          <w:lang w:val="en-US" w:eastAsia="zh-CN"/>
        </w:rPr>
        <w:br w:type="textWrapping"/>
      </w:r>
      <w:r>
        <w:rPr>
          <w:rFonts w:hint="eastAsia" w:ascii="仿宋_GB2312" w:hAnsi="仿宋_GB2312" w:eastAsia="仿宋_GB2312" w:cs="仿宋_GB2312"/>
          <w:b w:val="0"/>
          <w:bCs/>
          <w:kern w:val="0"/>
          <w:sz w:val="24"/>
          <w:szCs w:val="24"/>
          <w:lang w:val="en-US" w:eastAsia="zh-CN"/>
        </w:rPr>
        <w:t>本文件适用于张家川红花牛屠宰与检疫操作规程。理由及依据：按照 GB/T 1.1—2020《标准化工作导则 第 1 部分：标准化文件的结构和起草规则》的规定。</w:t>
      </w:r>
    </w:p>
    <w:p w14:paraId="0A8BE996">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w:t>
      </w:r>
      <w:r>
        <w:rPr>
          <w:rFonts w:hint="eastAsia" w:ascii="仿宋_GB2312" w:hAnsi="仿宋_GB2312" w:cs="仿宋_GB2312"/>
          <w:b w:val="0"/>
          <w:bCs/>
          <w:kern w:val="0"/>
          <w:sz w:val="24"/>
          <w:szCs w:val="24"/>
          <w:lang w:val="en-US" w:eastAsia="zh-CN"/>
        </w:rPr>
        <w:t>3</w:t>
      </w:r>
      <w:r>
        <w:rPr>
          <w:rFonts w:hint="eastAsia" w:ascii="仿宋_GB2312" w:hAnsi="仿宋_GB2312" w:eastAsia="仿宋_GB2312" w:cs="仿宋_GB2312"/>
          <w:b w:val="0"/>
          <w:bCs/>
          <w:kern w:val="0"/>
          <w:sz w:val="24"/>
          <w:szCs w:val="24"/>
          <w:lang w:val="en-US" w:eastAsia="zh-CN"/>
        </w:rPr>
        <w:t xml:space="preserve"> 规范性引用文件的确定 为保证本标准各项技术指标及管理要求的合规性、科学性与可操作性，本标准严格贯彻国家顶层法律体系，将《中华人民共和国动物防疫法》和《中华人民共和国食品安全法》作为根本大法予以引用，筑牢了疫病防控和食品安全的底线。同时，在核心工艺与质量控制环节，充分衔接并引用了现行有效的国家与行业基础通用标准。例如，引用 GB/T 19477-2018《畜禽屠宰操作规程——牛》作为通用操作指引；引用 GB/Z 25008-2010 规范数字化可追溯体系的建设；引用 NY/T 3471-2019 指导屠宰废弃血液的合规收集等。这些引用文件的确立，确保了本规程既符合国家强制性监管要求，又与现行行业技术体系保持高度协调统一。</w:t>
      </w:r>
    </w:p>
    <w:p w14:paraId="51DC172F">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w:t>
      </w:r>
      <w:r>
        <w:rPr>
          <w:rFonts w:hint="eastAsia" w:ascii="仿宋_GB2312" w:hAnsi="仿宋_GB2312" w:cs="仿宋_GB2312"/>
          <w:b w:val="0"/>
          <w:bCs/>
          <w:kern w:val="0"/>
          <w:sz w:val="24"/>
          <w:szCs w:val="24"/>
          <w:lang w:val="en-US" w:eastAsia="zh-CN"/>
        </w:rPr>
        <w:t>4</w:t>
      </w:r>
      <w:r>
        <w:rPr>
          <w:rFonts w:hint="eastAsia" w:ascii="仿宋_GB2312" w:hAnsi="仿宋_GB2312" w:eastAsia="仿宋_GB2312" w:cs="仿宋_GB2312"/>
          <w:b w:val="0"/>
          <w:bCs/>
          <w:kern w:val="0"/>
          <w:sz w:val="24"/>
          <w:szCs w:val="24"/>
          <w:lang w:val="en-US" w:eastAsia="zh-CN"/>
        </w:rPr>
        <w:t xml:space="preserve"> </w:t>
      </w:r>
      <w:sdt>
        <w:sdtPr>
          <w:rPr>
            <w:rFonts w:hint="eastAsia" w:ascii="仿宋_GB2312" w:hAnsi="仿宋_GB2312" w:eastAsia="仿宋_GB2312" w:cs="仿宋_GB2312"/>
            <w:b w:val="0"/>
            <w:bCs/>
            <w:kern w:val="0"/>
            <w:sz w:val="24"/>
            <w:szCs w:val="24"/>
            <w:lang w:val="en-US" w:eastAsia="zh-CN"/>
          </w:rPr>
          <w:id w:val="147481447"/>
          <w:placeholder>
            <w:docPart w:val="{4f661ded-f1c5-4cd3-8985-2ee030e84f7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ascii="仿宋_GB2312" w:hAnsi="仿宋_GB2312" w:eastAsia="仿宋_GB2312" w:cs="仿宋_GB2312"/>
            <w:b w:val="0"/>
            <w:bCs/>
            <w:kern w:val="0"/>
            <w:sz w:val="24"/>
            <w:szCs w:val="24"/>
            <w:lang w:val="en-US" w:eastAsia="zh-CN"/>
          </w:rPr>
        </w:sdtEndPr>
        <w:sdtContent>
          <w:bookmarkStart w:id="0" w:name="_Toc26986532"/>
          <w:bookmarkEnd w:id="0"/>
          <w:r>
            <w:rPr>
              <w:rFonts w:hint="eastAsia" w:ascii="仿宋_GB2312" w:hAnsi="仿宋_GB2312" w:eastAsia="仿宋_GB2312" w:cs="仿宋_GB2312"/>
              <w:b w:val="0"/>
              <w:bCs/>
              <w:kern w:val="0"/>
              <w:sz w:val="24"/>
              <w:szCs w:val="24"/>
              <w:lang w:val="en-US" w:eastAsia="zh-CN"/>
            </w:rPr>
            <w:t>本文件没有需要界定的术语和定义。</w:t>
          </w:r>
        </w:sdtContent>
      </w:sdt>
    </w:p>
    <w:p w14:paraId="09DC5746">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2.5 宰前要求的确定 宰前管理规范与否直接关系到动物福利保障及最终的肉品质量。为降低应激反应并确保食品安全源头可控，本标准第4章对宰前各环节进行了细化规定：</w:t>
      </w:r>
    </w:p>
    <w:p w14:paraId="65BE7E46">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场所与设施及健康核查：规定待宰舍温度需保持在（15±5）℃，并设立专用防疫隔离区。严格落实文件核查制度，待宰牛必须持有检疫合格证及免疫证明，且宰前至少24小时拔除禁用药物残留，结合电子耳标核对确保来源100%可追溯。官方兽医需现场核查体温（38～39℃），将带病牛只直接隔离销毁，从源头切断病原。</w:t>
      </w:r>
    </w:p>
    <w:p w14:paraId="5D9556DA">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禁食禁水与动物福利：为有效排空胃肠道，防止屠宰中内容物溢出造成的食源性污染及排酸不良，标准规定断料时间不低于12小时，断水不低于4小时。同时，针对牛只运输应激，明确禁止使用电击棒粗暴驱赶，提倡轻声或牧犬引导，通过严格禁止恐吓和折磨性操作，最大限度减少肌糖原的无谓消耗，避免产生暗切肉（DFD肉）。</w:t>
      </w:r>
    </w:p>
    <w:p w14:paraId="06706559">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2.6 致昏与放血工艺的确定</w:t>
      </w:r>
    </w:p>
    <w:p w14:paraId="5578A275">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2.6.1 致昏参数：结合张家川红花牛的体格特征及人道化屠宰要求，推荐使用电击头颈式或穿颅致昏。其中，电击参数明确设定为：工作电流≥1.0A、电压300v-400v，作用13秒。该参数区间既能确保牛只瞬间失去痛觉与应急反应（保障动物福利），又避免了因电流过大导致的脊椎骨折或肌肉点状出血。</w:t>
      </w:r>
    </w:p>
    <w:p w14:paraId="30F2E327">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2.6.2 放血要求： 为显著降低肌肉组织残留血量，提升肉品鲜亮色泽及耐储性，规定致昏翻转后即刻切割颈总动脉，且必须在5秒内放血完成直至无红色血液流出。同时特别强调放血过程不可搅动胴体，以为后续排酸创造良好条件。</w:t>
      </w:r>
    </w:p>
    <w:p w14:paraId="6EFCEF3D">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2.7 剥皮与内脏摘除工艺的确定</w:t>
      </w:r>
    </w:p>
    <w:p w14:paraId="5F7EB543">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剥皮去头蹄：规定采用开叉口剥皮法（尾部至颈部，四肢至脖颈线），强调操作需快速小心，避免刀伤肉表面，保证高档部位肉的完整性。</w:t>
      </w:r>
    </w:p>
    <w:p w14:paraId="208D3064">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内脏摘除顺序：为严防交叉污染，标准强制规定了物理隔离流程：横开胸腔后，必须先取“红脏”（心、肝、肺、脾等），随后截离食管和胃门团，再取出“白脏”（四个胃及肠道）。这一先后顺序能有效避免胃肠道破裂导致的内容物污染肉体。</w:t>
      </w:r>
    </w:p>
    <w:p w14:paraId="1E69F90A">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w:t>
      </w:r>
      <w:r>
        <w:rPr>
          <w:rFonts w:hint="eastAsia" w:ascii="仿宋_GB2312" w:hAnsi="仿宋_GB2312" w:cs="仿宋_GB2312"/>
          <w:b w:val="0"/>
          <w:bCs/>
          <w:kern w:val="0"/>
          <w:sz w:val="24"/>
          <w:szCs w:val="24"/>
          <w:lang w:val="en-US" w:eastAsia="zh-CN"/>
        </w:rPr>
        <w:t>8</w:t>
      </w:r>
      <w:r>
        <w:rPr>
          <w:rFonts w:hint="eastAsia" w:ascii="仿宋_GB2312" w:hAnsi="仿宋_GB2312" w:eastAsia="仿宋_GB2312" w:cs="仿宋_GB2312"/>
          <w:b w:val="0"/>
          <w:bCs/>
          <w:kern w:val="0"/>
          <w:sz w:val="24"/>
          <w:szCs w:val="24"/>
          <w:lang w:val="en-US" w:eastAsia="zh-CN"/>
        </w:rPr>
        <w:t xml:space="preserve"> 开胸劈半与冲洗工艺的确定 开胸劈半要求沿脊柱正中线稳健锯切，严防断裂导致脊髓渗血污染。针对红花牛肉质细嫩的特性，对冲洗工艺设定了严格参数：冲洗水温必须控制在10℃以下，且水压不宜过大，以彻底清除血渍骨屑的同时，有效避免表面致密肉纤维的破裂受损。</w:t>
      </w:r>
    </w:p>
    <w:p w14:paraId="223C823E">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 xml:space="preserve">2.9 检验与质量控制要求的确定，依据《中华人民共和国动物防疫法》及《中华人民共和国食品安全法》的强制性监管要求，为切实保障公共卫生安全，本标准第7章确立了严格的全流程检验与质量控制体系。在宰前检疫方面，明确了入场牛只的临床体征核查标准，将体温（38～39℃）及皮肤、口腔黏膜状态作为核心判定指标，从源头杜绝病牛及疑似疫病牛入场。在宰后检验环节，规定了检疫人员必须对每头牛的内脏（肝、脾、肾、肺）及肌肉进行同步剖检，重点排查结核结节、寄生虫囊等病理特征，并对口蹄疫等危及公共卫生的病害做出了整体剔除和报告的强制要求。同时，结合现代肉类食品安全标准，标准创新性地引入了定期微生物（细菌总数、大肠菌群）和化学残留（兽药、饲料添加剂）理化检验建议，并建立了针对不合格品的明确标识、隔离及销毁闭环处理制度，确保流入流通领域的红花牛肉绝对安全合规。 </w:t>
      </w:r>
    </w:p>
    <w:p w14:paraId="345779F0">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2.10 产品追溯体系的确立，张家川红花牛作为国家农产品地理标志保护产品，其高端市场定位要求极高的产品溯源信誉度和品牌保护力度。依据GB/Z 25008-2010《饲料和食品链的可追溯性 体系设计与实施指南》要求，本标准第8章确立了从牛只入场到最终产品的全链条数字化追溯体系。针对传统屠宰环节批次管理混乱的痛点，本标准规定必须为每头牛配发唯一的数字化ID（电子耳标），并在后续的胴体及切割肉块环节贴附电子标签与箱号，实现精细化的批次管理。特别是基于食品安全追溯的时效性需求，标准在8.2条中强制规定“追溯信息至少保留2年”，并通过建立电子数据库或二维码系统赋码，使终端消费者和经销商可通过扫码直观查询牧场来源、检疫合格证及检测信息。这一流程设计（如图1所示）不仅适应了现代市场对原产地保护产品的信任需求，更确保了在发生任何食品安全问题时，能够迅速、精准地回溯至养殖或加工的源头环节。</w:t>
      </w:r>
    </w:p>
    <w:p w14:paraId="5EFF2F31">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2.</w:t>
      </w:r>
      <w:r>
        <w:rPr>
          <w:rFonts w:hint="eastAsia" w:ascii="仿宋_GB2312" w:hAnsi="仿宋_GB2312" w:cs="仿宋_GB2312"/>
          <w:b w:val="0"/>
          <w:bCs/>
          <w:kern w:val="0"/>
          <w:sz w:val="24"/>
          <w:szCs w:val="24"/>
          <w:lang w:val="en-US" w:eastAsia="zh-CN"/>
        </w:rPr>
        <w:t>11</w:t>
      </w:r>
      <w:r>
        <w:rPr>
          <w:rFonts w:hint="eastAsia" w:ascii="仿宋_GB2312" w:hAnsi="仿宋_GB2312" w:eastAsia="仿宋_GB2312" w:cs="仿宋_GB2312"/>
          <w:b w:val="0"/>
          <w:bCs/>
          <w:kern w:val="0"/>
          <w:sz w:val="24"/>
          <w:szCs w:val="24"/>
          <w:lang w:val="en-US" w:eastAsia="zh-CN"/>
        </w:rPr>
        <w:t xml:space="preserve"> 废弃物和污染物处理要求的确定 屠宰加工过程中的废弃物与污染物处理不仅关系到动物疫病防控与食品安全闭环，更是落实绿色生态、循环低碳发展理念的核心环节。为切实保障张家川县当地的生态环境及厂区卫生安全，本标准第9章对固体废弃物、污水废水、空气污染及病害防控做出了严格规定：</w:t>
      </w:r>
    </w:p>
    <w:p w14:paraId="2153B7E7">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固体废弃物无害化处理与病害防控： 依据《中华人民共和国动物防疫法》及环保相关要求，标准对固体废弃物实行了严格的分类管理。强制规定病理内脏及剔除部位必须暂置于封闭容器中，并交由具备专业资质的单位执行高温灭菌、焚烧或深埋处理，这一规定的核心目的在于彻底阻断病原微生物及人畜共患病的传播途径。同时，针对废弃物暂存区，明确提出了“防渗漏、防动物侵扰”的硬件设施要求，并通过严格控制苍蝇等媒介传播及定期消毒，严防交叉感染与二次污染；而皮、骨、蹄等可回收部位的合规再利用，则有效提升了单头牛的综合经济效益。</w:t>
      </w:r>
    </w:p>
    <w:p w14:paraId="3BA7DCBA">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污水废水达标排放管控： 屠宰环节产生的血水废水富含高浓度有机物与油脂。为防止污染当地水资源，本标准强制要求现场必须配备隔油池、沉砂池、好氧池等系列污水处理设施，废水必须经物理隔离与生化处理相结合的工艺后方可排放。排放指标严格锚定最新的强制性国家标准《屠宰及肉类加工工业水污染物排放标准》（GB 13457-2025）执行，并且创新性地要求在废水排放口设置在线监测装置，以实现排污全天候的动态监管。</w:t>
      </w:r>
    </w:p>
    <w:p w14:paraId="306AA70A">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空气污染与异味治理： 考虑到屠宰车间易产生氨氮积聚和异味，影响人员健康与周边空气质量，标准规定操作场所必须安装排风换气设施。同时提出在必要时引入生物除臭或活性炭吸附等现代环保治理工艺，以确保厂区不产生有害废气，从整体上提升红花牛屠宰产业的绿色环保水平。</w:t>
      </w:r>
    </w:p>
    <w:p w14:paraId="0555EA32">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三、试验验证的分析及预期的经济效益、社会效益和生态效益</w:t>
      </w:r>
    </w:p>
    <w:p w14:paraId="29A237F9">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 xml:space="preserve">（一）试验验证的分析 </w:t>
      </w:r>
    </w:p>
    <w:p w14:paraId="5A884481">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在标准起草期间，标准编制组联合张家川县志洋种养殖农民专业合作社及旺平种养殖农民专业合作社，对规程中的关键工艺参数开展了多轮现场测试与验证，以确保操作可行性和标准可靠性。</w:t>
      </w:r>
    </w:p>
    <w:p w14:paraId="1FB3426A">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致昏工艺验证：针对红花牛的体格特征，测试了不同区间的电击参数。验证结果表明，采用规程设定的工作电流≥1.0A、电压300V</w:t>
      </w:r>
      <w:r>
        <w:rPr>
          <w:rFonts w:hint="eastAsia" w:ascii="仿宋_GB2312" w:hAnsi="仿宋_GB2312" w:cs="仿宋_GB2312"/>
          <w:b w:val="0"/>
          <w:bCs/>
          <w:kern w:val="0"/>
          <w:sz w:val="24"/>
          <w:szCs w:val="24"/>
          <w:lang w:val="en-US" w:eastAsia="zh-CN"/>
        </w:rPr>
        <w:t>~</w:t>
      </w:r>
      <w:r>
        <w:rPr>
          <w:rFonts w:hint="eastAsia" w:ascii="仿宋_GB2312" w:hAnsi="仿宋_GB2312" w:eastAsia="仿宋_GB2312" w:cs="仿宋_GB2312"/>
          <w:b w:val="0"/>
          <w:bCs/>
          <w:kern w:val="0"/>
          <w:sz w:val="24"/>
          <w:szCs w:val="24"/>
          <w:lang w:val="en-US" w:eastAsia="zh-CN"/>
        </w:rPr>
        <w:t>400V，作用13秒的电击头颈式致昏参数，能确保100%一次致昏，动物失去应急反应迅速，且有效规避了因电压过高导致的脊椎骨折或局部肌肉毛细血管破裂出血，既保障了动物福利，又保护了高附加值部位肉的完整性。</w:t>
      </w:r>
    </w:p>
    <w:p w14:paraId="3740019B">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冷却排酸工艺验证：结合张家川红花牛肉质细嫩、大理石花纹明显及高脂肪的特性，验证了双级冷却策略。实测数据证明，在预冷间温度0℃</w:t>
      </w:r>
      <w:r>
        <w:rPr>
          <w:rFonts w:hint="eastAsia" w:ascii="仿宋_GB2312" w:hAnsi="仿宋_GB2312" w:cs="仿宋_GB2312"/>
          <w:b w:val="0"/>
          <w:bCs/>
          <w:kern w:val="0"/>
          <w:sz w:val="24"/>
          <w:szCs w:val="24"/>
          <w:lang w:val="en-US" w:eastAsia="zh-CN"/>
        </w:rPr>
        <w:t>~</w:t>
      </w:r>
      <w:r>
        <w:rPr>
          <w:rFonts w:hint="eastAsia" w:ascii="仿宋_GB2312" w:hAnsi="仿宋_GB2312" w:eastAsia="仿宋_GB2312" w:cs="仿宋_GB2312"/>
          <w:b w:val="0"/>
          <w:bCs/>
          <w:kern w:val="0"/>
          <w:sz w:val="24"/>
          <w:szCs w:val="24"/>
          <w:lang w:val="en-US" w:eastAsia="zh-CN"/>
        </w:rPr>
        <w:t>4℃、相对湿度85%左右的条件下，前期快速降温并在0℃</w:t>
      </w:r>
      <w:r>
        <w:rPr>
          <w:rFonts w:hint="eastAsia" w:ascii="仿宋_GB2312" w:hAnsi="仿宋_GB2312" w:cs="仿宋_GB2312"/>
          <w:b w:val="0"/>
          <w:bCs/>
          <w:kern w:val="0"/>
          <w:sz w:val="24"/>
          <w:szCs w:val="24"/>
          <w:lang w:val="en-US" w:eastAsia="zh-CN"/>
        </w:rPr>
        <w:t>~</w:t>
      </w:r>
      <w:r>
        <w:rPr>
          <w:rFonts w:hint="eastAsia" w:ascii="仿宋_GB2312" w:hAnsi="仿宋_GB2312" w:eastAsia="仿宋_GB2312" w:cs="仿宋_GB2312"/>
          <w:b w:val="0"/>
          <w:bCs/>
          <w:kern w:val="0"/>
          <w:sz w:val="24"/>
          <w:szCs w:val="24"/>
          <w:lang w:val="en-US" w:eastAsia="zh-CN"/>
        </w:rPr>
        <w:t>4℃恒温排酸48</w:t>
      </w:r>
      <w:r>
        <w:rPr>
          <w:rFonts w:hint="eastAsia" w:ascii="仿宋_GB2312" w:hAnsi="仿宋_GB2312" w:cs="仿宋_GB2312"/>
          <w:b w:val="0"/>
          <w:bCs/>
          <w:kern w:val="0"/>
          <w:sz w:val="24"/>
          <w:szCs w:val="24"/>
          <w:lang w:val="en-US" w:eastAsia="zh-CN"/>
        </w:rPr>
        <w:t>h~</w:t>
      </w:r>
      <w:r>
        <w:rPr>
          <w:rFonts w:hint="eastAsia" w:ascii="仿宋_GB2312" w:hAnsi="仿宋_GB2312" w:eastAsia="仿宋_GB2312" w:cs="仿宋_GB2312"/>
          <w:b w:val="0"/>
          <w:bCs/>
          <w:kern w:val="0"/>
          <w:sz w:val="24"/>
          <w:szCs w:val="24"/>
          <w:lang w:val="en-US" w:eastAsia="zh-CN"/>
        </w:rPr>
        <w:t>72</w:t>
      </w:r>
      <w:r>
        <w:rPr>
          <w:rFonts w:hint="eastAsia" w:ascii="仿宋_GB2312" w:hAnsi="仿宋_GB2312" w:cs="仿宋_GB2312"/>
          <w:b w:val="0"/>
          <w:bCs/>
          <w:kern w:val="0"/>
          <w:sz w:val="24"/>
          <w:szCs w:val="24"/>
          <w:lang w:val="en-US" w:eastAsia="zh-CN"/>
        </w:rPr>
        <w:t>h</w:t>
      </w:r>
      <w:r>
        <w:rPr>
          <w:rFonts w:hint="eastAsia" w:ascii="仿宋_GB2312" w:hAnsi="仿宋_GB2312" w:eastAsia="仿宋_GB2312" w:cs="仿宋_GB2312"/>
          <w:b w:val="0"/>
          <w:bCs/>
          <w:kern w:val="0"/>
          <w:sz w:val="24"/>
          <w:szCs w:val="24"/>
          <w:lang w:val="en-US" w:eastAsia="zh-CN"/>
        </w:rPr>
        <w:t>后，红花牛肉胴体的最终核心pH值稳定回落至5.6</w:t>
      </w:r>
      <w:r>
        <w:rPr>
          <w:rFonts w:hint="eastAsia" w:ascii="仿宋_GB2312" w:hAnsi="仿宋_GB2312" w:cs="仿宋_GB2312"/>
          <w:b w:val="0"/>
          <w:bCs/>
          <w:kern w:val="0"/>
          <w:sz w:val="24"/>
          <w:szCs w:val="24"/>
          <w:lang w:val="en-US" w:eastAsia="zh-CN"/>
        </w:rPr>
        <w:t>~</w:t>
      </w:r>
      <w:r>
        <w:rPr>
          <w:rFonts w:hint="eastAsia" w:ascii="仿宋_GB2312" w:hAnsi="仿宋_GB2312" w:eastAsia="仿宋_GB2312" w:cs="仿宋_GB2312"/>
          <w:b w:val="0"/>
          <w:bCs/>
          <w:kern w:val="0"/>
          <w:sz w:val="24"/>
          <w:szCs w:val="24"/>
          <w:lang w:val="en-US" w:eastAsia="zh-CN"/>
        </w:rPr>
        <w:t>5.8这一区间。经此排酸处理后的肉样，其剪切力显著降低，肉色鲜亮，嫩度与风味得到实质性改善。以上各项实地验证数据充分证明，本规程设定的技术路线科学严谨，各项工艺参数完全符合张家川红花牛的品种特性与当地自动化加工的实际情况，具备极强的可行性和指导性。</w:t>
      </w:r>
    </w:p>
    <w:p w14:paraId="444241BF">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（二）预期的经济效益</w:t>
      </w:r>
    </w:p>
    <w:p w14:paraId="5DD189FD">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本标准的实施将有效改变以往屠宰加工环节依赖传统方式、工艺不规范、质量稳定性不足的现状。通过规范放血、剥皮分割等操作，能够有效减少加工损耗；而科学的双级冷却排酸工艺则能最大限度激发红花牛肉的优良肉质，显著提升高档部位肉的出成率和肉品均一性。标准的落地将提升张家川红花牛肉在高端市场的溢价能力，直接增加单头牛的综合产值，为屠宰企业的提质增效及上游养殖户的增收带来可观的经济回报。</w:t>
      </w:r>
    </w:p>
    <w:p w14:paraId="2D67CB9F">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（三）预期的社会效益</w:t>
      </w:r>
    </w:p>
    <w:p w14:paraId="33E18DB0">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填补标准空白，提升品牌价值：本规程的制定填补了张家川红花牛这一地方特色优良品种缺乏专属屠宰检疫规范的空白。作为国家农产品地理标志保护产品，统一的标准化生产体系将增强该品牌的市场信誉和竞争力。</w:t>
      </w:r>
    </w:p>
    <w:p w14:paraId="2F37F3B3">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保障食品安全，维护公众健康：本标准严格对接《中华人民共和国动物防疫法》和《中华人民共和国食品安全法》，建立了完善的宰前宰后检疫制度；同时规定强制推行全链条数字化追溯（电子耳标及追溯信息至少保留2年），实现从活牛入场到产品流通的全环节闭环管控，最大程度消除食品安全隐患，提升消费者信心。</w:t>
      </w:r>
    </w:p>
    <w:p w14:paraId="0C05CF1C">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（四）预期的生态效益</w:t>
      </w:r>
    </w:p>
    <w:p w14:paraId="1B96323C">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本规程重视生态环境保护，在第9章专门针对废弃物和污染物的处理制定了严格的环保标准。</w:t>
      </w:r>
    </w:p>
    <w:p w14:paraId="0AFA3A74">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无害化处理防止病原传播：规定病理内脏及剔除部位必须交由资质单位进行高温灭菌、焚烧或深埋处理，严格控制病害媒介传播，有效阻断了人畜共患病的传播途径。</w:t>
      </w:r>
    </w:p>
    <w:p w14:paraId="7E92C647">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四、与国际、国外同类标准技术内容的对比情况，或者与测试的国外样品、样机的有关数据对比情况；</w:t>
      </w:r>
    </w:p>
    <w:p w14:paraId="04D9FCE9">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本文件是专门为我国特定地方优良肉牛品种——国家农产品地理标志保护产品“张家川红花牛”制定的屠宰与检疫技术团体标准。张家川红花牛是甘肃省特有的地方遗传资源（由西门塔尔牛与本地秦川黄牛长期杂交选育形成），目前国际上尚未有针对该特定品种屠宰与检疫的同类标准。因此，本标准缺乏直接的国际或国外同类标准技术内容及国外样品、样机的数据可供对比。尽管如此，在标准编制过程中，我们在严格遵循《中华人民共和国动物防疫法》、《中华人民共和国食品安全法》和现行国家标准《畜禽屠宰操作规程——牛》（GB/T 19477-2018）的基础上，充分借鉴了国际先进的肉类深加工技术与现代食品安全管理理念。具体而言，本标准接轨了国际动物福利理念，在宰前要求与致昏工艺中明确规定禁止使用电击棒等粗暴工具驱赶，并实施人道化的电击头颈式致昏（严格设定工作电流≥1.0A、电压300~400V参数以确保一次致昏），这一要求与国际公认的动物福利保护及减应激操作理念高度契合。此外，结合张家川本地全自动化屠宰生产线的ISO质量管理体系基础，本规程确立了双级冷却策略、核心pH值（5.6～5.8）监测排酸成熟工艺，并利用数字化ID（电子耳标）建立了至少保留2年的全过程质量追溯系统。这些技术与国际高端牛肉加工技术（如电刺激技术）及发达国家的食品安全追踪趋势保持高度一致。</w:t>
      </w:r>
    </w:p>
    <w:p w14:paraId="68F15D37">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五、采用国际标准</w:t>
      </w:r>
    </w:p>
    <w:p w14:paraId="0E91EAA3">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本标准没有同类国际标准可采用。</w:t>
      </w:r>
    </w:p>
    <w:p w14:paraId="0EE33906">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六、与现行法律与强制性标准之间衔接、协调情况</w:t>
      </w:r>
    </w:p>
    <w:p w14:paraId="3E0F4B6F">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张家川红花牛屠宰与检疫技术规程》标准与我国现行的农业法、畜牧法和国家畜禽资源管理委员会条例等有效的一系列法律没有相悖之处。标准严格执行农业法、畜牧法和国家畜禽资源管理委员会条例等有效的一系列法律。</w:t>
      </w:r>
    </w:p>
    <w:p w14:paraId="6BCDBA43">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七、重大分歧意见的处理经过和依据</w:t>
      </w:r>
    </w:p>
    <w:p w14:paraId="4E6F8D7B">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在制定行业标准的过程中起草单位广泛征求了意见，并经过多次多层面反复磋商，未出现重大分歧。</w:t>
      </w:r>
    </w:p>
    <w:p w14:paraId="28938C50">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八、涉及专利的有关说明</w:t>
      </w:r>
    </w:p>
    <w:p w14:paraId="5D6EF1DC">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《张家川红花牛屠宰与检疫技术规程》标准未涉及专利技术。</w:t>
      </w:r>
    </w:p>
    <w:p w14:paraId="60DABD57">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九、实施国家标准的要求，以及组织措施、技术措施、过渡期和实施日期的建议等措施建议</w:t>
      </w:r>
    </w:p>
    <w:p w14:paraId="58171C3B">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rFonts w:hint="eastAsia" w:ascii="仿宋_GB2312" w:hAnsi="仿宋_GB2312" w:eastAsia="仿宋_GB2312" w:cs="仿宋_GB2312"/>
          <w:b w:val="0"/>
          <w:bCs/>
          <w:kern w:val="0"/>
          <w:sz w:val="24"/>
          <w:szCs w:val="24"/>
          <w:lang w:val="en-US" w:eastAsia="zh-CN"/>
        </w:rPr>
        <w:t>无。</w:t>
      </w:r>
    </w:p>
    <w:p w14:paraId="09A2E897">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bCs w:val="0"/>
          <w:kern w:val="0"/>
          <w:sz w:val="24"/>
          <w:szCs w:val="24"/>
          <w:lang w:val="en-US" w:eastAsia="zh-CN"/>
        </w:rPr>
      </w:pPr>
      <w:r>
        <w:rPr>
          <w:rFonts w:hint="eastAsia" w:ascii="仿宋_GB2312" w:hAnsi="仿宋_GB2312" w:eastAsia="仿宋_GB2312" w:cs="仿宋_GB2312"/>
          <w:b/>
          <w:bCs w:val="0"/>
          <w:kern w:val="0"/>
          <w:sz w:val="24"/>
          <w:szCs w:val="24"/>
          <w:lang w:val="en-US" w:eastAsia="zh-CN"/>
        </w:rPr>
        <w:t>十、其他应予说明的事项</w:t>
      </w:r>
    </w:p>
    <w:p w14:paraId="49C1A493">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val="0"/>
          <w:bCs/>
          <w:kern w:val="0"/>
          <w:sz w:val="24"/>
          <w:szCs w:val="24"/>
          <w:lang w:val="en-US" w:eastAsia="zh-CN"/>
        </w:rPr>
      </w:pPr>
      <w:r>
        <w:rPr>
          <w:sz w:val="24"/>
        </w:rPr>
        <w:t>本文件没有其他需要说明的事项。</w:t>
      </w:r>
      <w:r>
        <w:rPr>
          <w:rFonts w:hint="eastAsia" w:ascii="仿宋_GB2312" w:hAnsi="仿宋_GB2312" w:eastAsia="仿宋_GB2312" w:cs="仿宋_GB2312"/>
          <w:b w:val="0"/>
          <w:bCs/>
          <w:kern w:val="0"/>
          <w:sz w:val="24"/>
          <w:szCs w:val="24"/>
          <w:lang w:val="en-US" w:eastAsia="zh-CN"/>
        </w:rPr>
        <w:t xml:space="preserve"> </w:t>
      </w:r>
    </w:p>
    <w:p w14:paraId="43BED0BD">
      <w:pPr>
        <w:spacing w:line="360" w:lineRule="auto"/>
        <w:ind w:firstLine="480" w:firstLineChars="200"/>
        <w:rPr>
          <w:position w:val="0"/>
          <w:sz w:val="24"/>
        </w:rPr>
      </w:pPr>
      <w:r>
        <w:rPr>
          <w:position w:val="0"/>
          <w:sz w:val="24"/>
        </w:rPr>
        <w:t xml:space="preserve">                《</w:t>
      </w:r>
      <w:r>
        <w:rPr>
          <w:rFonts w:hint="eastAsia" w:ascii="仿宋_GB2312" w:hAnsi="仿宋_GB2312" w:eastAsia="仿宋_GB2312" w:cs="仿宋_GB2312"/>
          <w:b w:val="0"/>
          <w:bCs/>
          <w:kern w:val="0"/>
          <w:sz w:val="24"/>
          <w:szCs w:val="24"/>
          <w:lang w:val="en-US" w:eastAsia="zh-CN"/>
        </w:rPr>
        <w:t>张家川红花牛屠宰与检疫技术规程</w:t>
      </w:r>
      <w:r>
        <w:rPr>
          <w:position w:val="0"/>
          <w:sz w:val="24"/>
        </w:rPr>
        <w:t>》团体标准制定小组</w:t>
      </w:r>
    </w:p>
    <w:p w14:paraId="184E4F9B">
      <w:pPr>
        <w:spacing w:line="360" w:lineRule="auto"/>
        <w:ind w:firstLine="480" w:firstLineChars="200"/>
        <w:rPr>
          <w:rFonts w:hint="eastAsia" w:eastAsia="宋体"/>
          <w:color w:val="auto"/>
          <w:kern w:val="0"/>
          <w:sz w:val="24"/>
          <w:lang w:eastAsia="zh-CN"/>
        </w:rPr>
      </w:pPr>
      <w:r>
        <w:rPr>
          <w:position w:val="0"/>
          <w:sz w:val="24"/>
        </w:rPr>
        <w:t xml:space="preserve">                                                 2026年</w:t>
      </w:r>
      <w:r>
        <w:rPr>
          <w:rFonts w:hint="eastAsia"/>
          <w:position w:val="0"/>
          <w:sz w:val="24"/>
          <w:lang w:val="en-US" w:eastAsia="zh-CN"/>
        </w:rPr>
        <w:t>5</w:t>
      </w:r>
      <w:bookmarkStart w:id="1" w:name="_GoBack"/>
      <w:bookmarkEnd w:id="1"/>
      <w:r>
        <w:rPr>
          <w:position w:val="0"/>
          <w:sz w:val="24"/>
        </w:rPr>
        <w:t>月</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560"/>
      </w:pPr>
      <w:r>
        <w:separator/>
      </w:r>
    </w:p>
  </w:endnote>
  <w:endnote w:type="continuationSeparator" w:id="1">
    <w:p>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560"/>
      </w:pPr>
      <w:r>
        <w:separator/>
      </w:r>
    </w:p>
  </w:footnote>
  <w:footnote w:type="continuationSeparator" w:id="1">
    <w:p>
      <w:pPr>
        <w:ind w:firstLine="56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FB64C3"/>
    <w:multiLevelType w:val="multilevel"/>
    <w:tmpl w:val="20FB64C3"/>
    <w:lvl w:ilvl="0" w:tentative="0">
      <w:start w:val="1"/>
      <w:numFmt w:val="decimal"/>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pStyle w:val="13"/>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5219E5"/>
    <w:rsid w:val="0A736AD9"/>
    <w:rsid w:val="0C1F4727"/>
    <w:rsid w:val="0ED2102B"/>
    <w:rsid w:val="0F9D4412"/>
    <w:rsid w:val="11FE2AA3"/>
    <w:rsid w:val="142750FA"/>
    <w:rsid w:val="1606331B"/>
    <w:rsid w:val="17667C39"/>
    <w:rsid w:val="18863157"/>
    <w:rsid w:val="1C6E2AD5"/>
    <w:rsid w:val="1E5F43F8"/>
    <w:rsid w:val="1F2F249D"/>
    <w:rsid w:val="1FAC3E99"/>
    <w:rsid w:val="221C173D"/>
    <w:rsid w:val="22B30E87"/>
    <w:rsid w:val="25DB0988"/>
    <w:rsid w:val="26E36D60"/>
    <w:rsid w:val="2F7A5B42"/>
    <w:rsid w:val="33024B8A"/>
    <w:rsid w:val="3474193F"/>
    <w:rsid w:val="364C5575"/>
    <w:rsid w:val="36DA60E1"/>
    <w:rsid w:val="3BEE647B"/>
    <w:rsid w:val="3C632B58"/>
    <w:rsid w:val="423275E6"/>
    <w:rsid w:val="44320B3E"/>
    <w:rsid w:val="47936408"/>
    <w:rsid w:val="48071717"/>
    <w:rsid w:val="4CF223B6"/>
    <w:rsid w:val="4D317F9E"/>
    <w:rsid w:val="4E5F1160"/>
    <w:rsid w:val="50352FF9"/>
    <w:rsid w:val="50E751DA"/>
    <w:rsid w:val="539B4258"/>
    <w:rsid w:val="562F1B32"/>
    <w:rsid w:val="590928EC"/>
    <w:rsid w:val="5AE85391"/>
    <w:rsid w:val="5C674BFD"/>
    <w:rsid w:val="5CDD6983"/>
    <w:rsid w:val="6109328C"/>
    <w:rsid w:val="620F48D2"/>
    <w:rsid w:val="625E7607"/>
    <w:rsid w:val="637013A0"/>
    <w:rsid w:val="64CF20F6"/>
    <w:rsid w:val="67A56A5B"/>
    <w:rsid w:val="6A52507D"/>
    <w:rsid w:val="6D6455ED"/>
    <w:rsid w:val="6DEE09E5"/>
    <w:rsid w:val="6F4C3755"/>
    <w:rsid w:val="6F8704D8"/>
    <w:rsid w:val="71662034"/>
    <w:rsid w:val="75EB4F25"/>
    <w:rsid w:val="77A95664"/>
    <w:rsid w:val="77EB6DF0"/>
    <w:rsid w:val="785C61E5"/>
    <w:rsid w:val="7D075CC2"/>
    <w:rsid w:val="7D36433B"/>
    <w:rsid w:val="7F6436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200" w:firstLineChars="200"/>
      <w:jc w:val="both"/>
    </w:pPr>
    <w:rPr>
      <w:rFonts w:ascii="Times New Roman" w:hAnsi="Times New Roman" w:eastAsia="仿宋_GB2312" w:cs="Times New Roman"/>
      <w:kern w:val="2"/>
      <w:sz w:val="28"/>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ind w:firstLine="600"/>
    </w:pPr>
    <w:rPr>
      <w:rFonts w:ascii="宋体" w:hAnsi="宋体" w:eastAsia="宋体"/>
      <w:sz w:val="30"/>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page number"/>
    <w:qFormat/>
    <w:uiPriority w:val="0"/>
  </w:style>
  <w:style w:type="paragraph" w:customStyle="1" w:styleId="9">
    <w:name w:val="段"/>
    <w:qFormat/>
    <w:uiPriority w:val="0"/>
    <w:pPr>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0">
    <w:name w:val="_Style 6"/>
    <w:basedOn w:val="1"/>
    <w:next w:val="1"/>
    <w:qFormat/>
    <w:uiPriority w:val="0"/>
    <w:pPr>
      <w:pBdr>
        <w:bottom w:val="single" w:color="auto" w:sz="6" w:space="1"/>
      </w:pBdr>
      <w:jc w:val="center"/>
    </w:pPr>
    <w:rPr>
      <w:rFonts w:ascii="Arial" w:eastAsia="宋体"/>
      <w:vanish/>
      <w:sz w:val="16"/>
    </w:rPr>
  </w:style>
  <w:style w:type="paragraph" w:customStyle="1" w:styleId="11">
    <w:name w:val="_Style 7"/>
    <w:basedOn w:val="1"/>
    <w:next w:val="1"/>
    <w:qFormat/>
    <w:uiPriority w:val="0"/>
    <w:pPr>
      <w:pBdr>
        <w:top w:val="single" w:color="auto" w:sz="6" w:space="1"/>
      </w:pBdr>
      <w:jc w:val="center"/>
    </w:pPr>
    <w:rPr>
      <w:rFonts w:ascii="Arial" w:eastAsia="宋体"/>
      <w:vanish/>
      <w:sz w:val="16"/>
    </w:rPr>
  </w:style>
  <w:style w:type="paragraph" w:customStyle="1" w:styleId="12">
    <w:name w:val="二级条标题"/>
    <w:basedOn w:val="13"/>
    <w:next w:val="9"/>
    <w:qFormat/>
    <w:uiPriority w:val="0"/>
    <w:pPr>
      <w:numPr>
        <w:ilvl w:val="0"/>
        <w:numId w:val="0"/>
      </w:numPr>
      <w:tabs>
        <w:tab w:val="left" w:pos="2160"/>
      </w:tabs>
      <w:outlineLvl w:val="3"/>
    </w:pPr>
  </w:style>
  <w:style w:type="paragraph" w:customStyle="1" w:styleId="13">
    <w:name w:val="一级条标题"/>
    <w:next w:val="9"/>
    <w:qFormat/>
    <w:uiPriority w:val="0"/>
    <w:pPr>
      <w:numPr>
        <w:ilvl w:val="2"/>
        <w:numId w:val="1"/>
      </w:numPr>
      <w:outlineLvl w:val="2"/>
    </w:pPr>
    <w:rPr>
      <w:rFonts w:ascii="Times New Roman" w:hAnsi="Times New Roman" w:eastAsia="黑体" w:cs="Times New Roman"/>
      <w:sz w:val="21"/>
      <w:lang w:val="en-US" w:eastAsia="zh-CN" w:bidi="ar-SA"/>
    </w:rPr>
  </w:style>
  <w:style w:type="paragraph" w:customStyle="1" w:styleId="14">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f661ded-f1c5-4cd3-8985-2ee030e84f77}"/>
        <w:style w:val=""/>
        <w:category>
          <w:name w:val="常规"/>
          <w:gallery w:val="placeholder"/>
        </w:category>
        <w:types>
          <w:type w:val="bbPlcHdr"/>
        </w:types>
        <w:behaviors>
          <w:behavior w:val="content"/>
        </w:behaviors>
        <w:description w:val=""/>
        <w:guid w:val="{4f661ded-f1c5-4cd3-8985-2ee030e84f77}"/>
      </w:docPartPr>
      <w:docPartBody>
        <w:p w14:paraId="277D9CB7">
          <w:pPr>
            <w:pStyle w:val="2"/>
          </w:pPr>
          <w:r>
            <w:rPr>
              <w:rStyle w:val="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name="Default Paragraph Font"/>
    <w:lsdException w:qFormat="1" w:unhideWhenUsed="0" w:uiPriority="99" w:name="Placeholder Text"/>
  </w:latentStyles>
  <w:style w:type="character" w:default="1" w:styleId="1">
    <w:name w:val="Default Paragraph Font"/>
    <w:semiHidden/>
    <w:unhideWhenUsed/>
    <w:qFormat/>
    <w:uiPriority w:val="1"/>
  </w:style>
  <w:style w:type="paragraph" w:customStyle="1" w:styleId="2">
    <w:name w:val="82FAD4B12AFB42FD997383B282BB9FD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3">
    <w:name w:val="Placeholder Text"/>
    <w:basedOn w:val="1"/>
    <w:semiHidden/>
    <w:qFormat/>
    <w:uiPriority w:val="99"/>
    <w:rPr>
      <w:color w:val="808080"/>
    </w:rPr>
  </w:style>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3586</Words>
  <Characters>3785</Characters>
  <Lines>0</Lines>
  <Paragraphs>0</Paragraphs>
  <TotalTime>1</TotalTime>
  <ScaleCrop>false</ScaleCrop>
  <LinksUpToDate>false</LinksUpToDate>
  <CharactersWithSpaces>3838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2026-04-27T08:43:00Z</dcterms:created>
  <dc:creator>mxm</dc:creator>
  <cp:lastModifiedBy>永恒撒旦</cp:lastModifiedBy>
  <dcterms:modified xsi:type="dcterms:W3CDTF">2026-05-18T00:06:30Z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eyJoZGlkIjoiMGZmYWFkMDczODdlNTljZDA0MGQ0YzI2YTA2Mzc4ZTYiLCJ1c2VySWQiOiIyODAzMjY1NTgifQ==</vt:lpwstr>
  </property>
  <property fmtid="{D5CDD505-2E9C-101B-9397-08002B2CF9AE}" pid="4" name="ICV">
    <vt:lpwstr>F1FC21771B994AE6B7BB56FFB2AE082E_13</vt:lpwstr>
  </property>
</Properties>
</file>