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03A0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5EAA219">
            <w:pPr>
              <w:pStyle w:val="19"/>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444A965E">
            <w:pPr>
              <w:pStyle w:val="19"/>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w:t>
            </w:r>
            <w:r>
              <w:rPr>
                <w:rFonts w:hint="eastAsia" w:ascii="黑体" w:hAnsi="黑体" w:eastAsia="黑体"/>
                <w:sz w:val="21"/>
                <w:szCs w:val="21"/>
                <w:lang w:val="en-US" w:eastAsia="zh-CN"/>
              </w:rPr>
              <w:t>4.020.30</w:t>
            </w:r>
            <w:r>
              <w:rPr>
                <w:rFonts w:ascii="黑体" w:hAnsi="黑体" w:eastAsia="黑体"/>
                <w:sz w:val="21"/>
                <w:szCs w:val="21"/>
              </w:rPr>
              <w:fldChar w:fldCharType="end"/>
            </w:r>
            <w:bookmarkEnd w:id="0"/>
          </w:p>
        </w:tc>
      </w:tr>
      <w:tr w14:paraId="3F6B5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7F26479">
            <w:pPr>
              <w:pStyle w:val="19"/>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AAE5E37">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7A0445FA">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G</w:t>
                  </w:r>
                  <w:r>
                    <w:rPr>
                      <w:rFonts w:hint="eastAsia"/>
                      <w:lang w:val="en-US" w:eastAsia="zh-CN"/>
                    </w:rPr>
                    <w:t>SQA</w:t>
                  </w:r>
                  <w:r>
                    <w:fldChar w:fldCharType="end"/>
                  </w:r>
                  <w:bookmarkEnd w:id="1"/>
                </w:p>
              </w:tc>
            </w:tr>
          </w:tbl>
          <w:p w14:paraId="7C0FC018">
            <w:pPr>
              <w:pStyle w:val="19"/>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B</w:t>
            </w:r>
            <w:r>
              <w:rPr>
                <w:rFonts w:hint="eastAsia" w:ascii="黑体" w:hAnsi="黑体" w:eastAsia="黑体"/>
                <w:sz w:val="21"/>
                <w:szCs w:val="21"/>
                <w:lang w:val="en-US" w:eastAsia="zh-CN"/>
              </w:rPr>
              <w:t>41</w:t>
            </w:r>
            <w:r>
              <w:rPr>
                <w:rFonts w:ascii="黑体" w:hAnsi="黑体" w:eastAsia="黑体"/>
                <w:sz w:val="21"/>
                <w:szCs w:val="21"/>
              </w:rPr>
              <w:fldChar w:fldCharType="end"/>
            </w:r>
            <w:bookmarkEnd w:id="2"/>
          </w:p>
        </w:tc>
      </w:tr>
    </w:tbl>
    <w:p w14:paraId="1E1987F3">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5978BB69">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G</w:t>
      </w:r>
      <w:r>
        <w:rPr>
          <w:rFonts w:hint="eastAsia"/>
          <w:lang w:val="en-US" w:eastAsia="zh-CN"/>
        </w:rPr>
        <w:t>SQA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7"/>
    </w:p>
    <w:p w14:paraId="04A7E5DB">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6DB4A4BB">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B37B9BE">
      <w:pPr>
        <w:pStyle w:val="51"/>
        <w:framePr w:w="9639" w:h="6976" w:hRule="exact" w:hSpace="0" w:vSpace="0" w:wrap="around" w:hAnchor="page" w:y="6408"/>
        <w:jc w:val="center"/>
        <w:rPr>
          <w:rFonts w:ascii="黑体" w:hAnsi="黑体" w:eastAsia="黑体"/>
          <w:b w:val="0"/>
          <w:bCs w:val="0"/>
          <w:w w:val="100"/>
        </w:rPr>
      </w:pPr>
    </w:p>
    <w:p w14:paraId="36435AA6">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张家川红花牛饲养管理技术规范</w:t>
      </w:r>
      <w:r>
        <w:fldChar w:fldCharType="end"/>
      </w:r>
      <w:bookmarkEnd w:id="9"/>
    </w:p>
    <w:p w14:paraId="29341A9B">
      <w:pPr>
        <w:framePr w:w="9639" w:h="6974" w:hRule="exact" w:wrap="around" w:vAnchor="page" w:hAnchor="page" w:x="1419" w:y="6408" w:anchorLock="1"/>
        <w:ind w:left="-1418"/>
      </w:pPr>
    </w:p>
    <w:p w14:paraId="5D95C00A">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 xml:space="preserve">Technical specification for the feeding and management of zhangjiachuan </w:t>
      </w:r>
    </w:p>
    <w:p w14:paraId="315C4CD7">
      <w:pPr>
        <w:pStyle w:val="126"/>
        <w:framePr w:w="9639" w:h="6974" w:hRule="exact" w:wrap="around" w:vAnchor="page" w:hAnchor="page" w:x="1419" w:y="6408" w:anchorLock="1"/>
        <w:textAlignment w:val="bottom"/>
        <w:rPr>
          <w:rFonts w:eastAsia="黑体"/>
          <w:szCs w:val="28"/>
        </w:rPr>
      </w:pPr>
      <w:r>
        <w:rPr>
          <w:rFonts w:hint="eastAsia" w:eastAsia="黑体"/>
          <w:szCs w:val="28"/>
        </w:rPr>
        <w:t xml:space="preserve">honghua cattle </w:t>
      </w:r>
      <w:r>
        <w:rPr>
          <w:rFonts w:eastAsia="黑体"/>
          <w:szCs w:val="28"/>
        </w:rPr>
        <w:fldChar w:fldCharType="end"/>
      </w:r>
      <w:bookmarkEnd w:id="10"/>
    </w:p>
    <w:p w14:paraId="3E42D157">
      <w:pPr>
        <w:framePr w:w="9639" w:h="6974" w:hRule="exact" w:wrap="around" w:vAnchor="page" w:hAnchor="page" w:x="1419" w:y="6408" w:anchorLock="1"/>
        <w:spacing w:line="760" w:lineRule="exact"/>
        <w:ind w:left="-1418"/>
      </w:pPr>
    </w:p>
    <w:p w14:paraId="65E5A427">
      <w:pPr>
        <w:pStyle w:val="126"/>
        <w:framePr w:w="9639" w:h="6974" w:hRule="exact" w:wrap="around" w:vAnchor="page" w:hAnchor="page" w:x="1419" w:y="6408" w:anchorLock="1"/>
        <w:textAlignment w:val="bottom"/>
        <w:rPr>
          <w:rFonts w:eastAsia="黑体"/>
          <w:szCs w:val="28"/>
        </w:rPr>
      </w:pPr>
    </w:p>
    <w:p w14:paraId="6C86F737">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99019DF">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9C45D32">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009870D9">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1E99C868">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1FA821B4">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 xml:space="preserve"> 甘肃省质量标准协会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507EF2BD">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A9F97B8">
      <w:pPr>
        <w:pStyle w:val="92"/>
        <w:spacing w:after="360"/>
      </w:pPr>
      <w:bookmarkStart w:id="21" w:name="BookMark1"/>
      <w:bookmarkStart w:id="22" w:name="_Toc150014764"/>
      <w:r>
        <w:rPr>
          <w:rFonts w:hint="eastAsia"/>
          <w:spacing w:val="320"/>
        </w:rPr>
        <w:t>目</w:t>
      </w:r>
      <w:r>
        <w:rPr>
          <w:rFonts w:hint="eastAsia"/>
        </w:rPr>
        <w:t>次</w:t>
      </w:r>
    </w:p>
    <w:p w14:paraId="6FE44C78">
      <w:pPr>
        <w:pStyle w:val="20"/>
        <w:tabs>
          <w:tab w:val="right" w:leader="dot" w:pos="9354"/>
        </w:tabs>
      </w:pPr>
      <w:r>
        <w:fldChar w:fldCharType="begin"/>
      </w:r>
      <w:r>
        <w:instrText xml:space="preserve"> TOC \o "1-1" \h \t "标准文件_一级条标题,2,标准文件_附录一级条标题,2," </w:instrText>
      </w:r>
      <w:r>
        <w:fldChar w:fldCharType="separate"/>
      </w:r>
      <w:r>
        <w:fldChar w:fldCharType="begin"/>
      </w:r>
      <w:r>
        <w:instrText xml:space="preserve"> HYPERLINK \l _Toc2798 </w:instrText>
      </w:r>
      <w:r>
        <w:fldChar w:fldCharType="separate"/>
      </w:r>
      <w:r>
        <w:rPr>
          <w:spacing w:val="320"/>
        </w:rPr>
        <w:t>前</w:t>
      </w:r>
      <w:r>
        <w:t>言</w:t>
      </w:r>
      <w:r>
        <w:tab/>
      </w:r>
      <w:r>
        <w:fldChar w:fldCharType="begin"/>
      </w:r>
      <w:r>
        <w:instrText xml:space="preserve"> PAGEREF _Toc2798 \h </w:instrText>
      </w:r>
      <w:r>
        <w:fldChar w:fldCharType="separate"/>
      </w:r>
      <w:r>
        <w:t>II</w:t>
      </w:r>
      <w:r>
        <w:fldChar w:fldCharType="end"/>
      </w:r>
      <w:r>
        <w:fldChar w:fldCharType="end"/>
      </w:r>
    </w:p>
    <w:p w14:paraId="683A93A4">
      <w:pPr>
        <w:pStyle w:val="20"/>
        <w:tabs>
          <w:tab w:val="right" w:leader="dot" w:pos="9354"/>
        </w:tabs>
      </w:pPr>
      <w:r>
        <w:fldChar w:fldCharType="begin"/>
      </w:r>
      <w:r>
        <w:instrText xml:space="preserve"> HYPERLINK \l _Toc29009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_Toc29009 \h </w:instrText>
      </w:r>
      <w:r>
        <w:fldChar w:fldCharType="separate"/>
      </w:r>
      <w:r>
        <w:t>1</w:t>
      </w:r>
      <w:r>
        <w:fldChar w:fldCharType="end"/>
      </w:r>
      <w:r>
        <w:fldChar w:fldCharType="end"/>
      </w:r>
    </w:p>
    <w:p w14:paraId="62D06E4E">
      <w:pPr>
        <w:pStyle w:val="20"/>
        <w:tabs>
          <w:tab w:val="right" w:leader="dot" w:pos="9354"/>
        </w:tabs>
      </w:pPr>
      <w:r>
        <w:fldChar w:fldCharType="begin"/>
      </w:r>
      <w:r>
        <w:instrText xml:space="preserve"> HYPERLINK \l _Toc17799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_Toc17799 \h </w:instrText>
      </w:r>
      <w:r>
        <w:fldChar w:fldCharType="separate"/>
      </w:r>
      <w:r>
        <w:t>1</w:t>
      </w:r>
      <w:r>
        <w:fldChar w:fldCharType="end"/>
      </w:r>
      <w:r>
        <w:fldChar w:fldCharType="end"/>
      </w:r>
    </w:p>
    <w:p w14:paraId="6556A51C">
      <w:pPr>
        <w:pStyle w:val="20"/>
        <w:tabs>
          <w:tab w:val="right" w:leader="dot" w:pos="9354"/>
        </w:tabs>
      </w:pPr>
      <w:r>
        <w:fldChar w:fldCharType="begin"/>
      </w:r>
      <w:r>
        <w:instrText xml:space="preserve"> HYPERLINK \l _Toc23029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_Toc23029 \h </w:instrText>
      </w:r>
      <w:r>
        <w:fldChar w:fldCharType="separate"/>
      </w:r>
      <w:r>
        <w:t>1</w:t>
      </w:r>
      <w:r>
        <w:fldChar w:fldCharType="end"/>
      </w:r>
      <w:r>
        <w:fldChar w:fldCharType="end"/>
      </w:r>
    </w:p>
    <w:p w14:paraId="5D485422">
      <w:pPr>
        <w:pStyle w:val="20"/>
        <w:tabs>
          <w:tab w:val="right" w:leader="dot" w:pos="9354"/>
        </w:tabs>
      </w:pPr>
      <w:r>
        <w:fldChar w:fldCharType="begin"/>
      </w:r>
      <w:r>
        <w:instrText xml:space="preserve"> HYPERLINK \l _Toc13291 </w:instrText>
      </w:r>
      <w:r>
        <w:fldChar w:fldCharType="separate"/>
      </w:r>
      <w:r>
        <w:rPr>
          <w:rFonts w:hint="eastAsia" w:ascii="黑体" w:eastAsia="黑体"/>
          <w:i w:val="0"/>
        </w:rPr>
        <w:t xml:space="preserve">4 </w:t>
      </w:r>
      <w:r>
        <w:rPr>
          <w:rFonts w:hint="eastAsia" w:cs="Times New Roman"/>
          <w:lang w:val="en-US" w:eastAsia="zh-CN"/>
        </w:rPr>
        <w:t>牛场</w:t>
      </w:r>
      <w:r>
        <w:rPr>
          <w:rFonts w:hint="eastAsia" w:hAnsi="Times New Roman" w:cs="Times New Roman"/>
          <w:lang w:val="en-US" w:eastAsia="zh-CN"/>
        </w:rPr>
        <w:t>环境与</w:t>
      </w:r>
      <w:r>
        <w:rPr>
          <w:rFonts w:hint="eastAsia" w:cs="Times New Roman"/>
          <w:lang w:val="en-US" w:eastAsia="zh-CN"/>
        </w:rPr>
        <w:t>设施设备</w:t>
      </w:r>
      <w:r>
        <w:tab/>
      </w:r>
      <w:r>
        <w:fldChar w:fldCharType="begin"/>
      </w:r>
      <w:r>
        <w:instrText xml:space="preserve"> PAGEREF _Toc13291 \h </w:instrText>
      </w:r>
      <w:r>
        <w:fldChar w:fldCharType="separate"/>
      </w:r>
      <w:r>
        <w:t>1</w:t>
      </w:r>
      <w:r>
        <w:fldChar w:fldCharType="end"/>
      </w:r>
      <w:r>
        <w:fldChar w:fldCharType="end"/>
      </w:r>
    </w:p>
    <w:p w14:paraId="534D1CBA">
      <w:pPr>
        <w:pStyle w:val="25"/>
        <w:tabs>
          <w:tab w:val="right" w:leader="dot" w:pos="9354"/>
          <w:tab w:val="clear" w:pos="9344"/>
        </w:tabs>
      </w:pPr>
      <w:r>
        <w:fldChar w:fldCharType="begin"/>
      </w:r>
      <w:r>
        <w:instrText xml:space="preserve"> HYPERLINK \l _Toc16632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4.1 </w:t>
      </w:r>
      <w:r>
        <w:rPr>
          <w:rFonts w:hint="eastAsia" w:hAnsi="Times New Roman" w:cs="Times New Roman"/>
          <w:lang w:val="en-US" w:eastAsia="zh-CN"/>
        </w:rPr>
        <w:t>牛场环境</w:t>
      </w:r>
      <w:r>
        <w:tab/>
      </w:r>
      <w:r>
        <w:fldChar w:fldCharType="begin"/>
      </w:r>
      <w:r>
        <w:instrText xml:space="preserve"> PAGEREF _Toc16632 \h </w:instrText>
      </w:r>
      <w:r>
        <w:fldChar w:fldCharType="separate"/>
      </w:r>
      <w:r>
        <w:t>1</w:t>
      </w:r>
      <w:r>
        <w:fldChar w:fldCharType="end"/>
      </w:r>
      <w:r>
        <w:fldChar w:fldCharType="end"/>
      </w:r>
    </w:p>
    <w:p w14:paraId="71726EB7">
      <w:pPr>
        <w:pStyle w:val="25"/>
        <w:tabs>
          <w:tab w:val="right" w:leader="dot" w:pos="9354"/>
          <w:tab w:val="clear" w:pos="9344"/>
        </w:tabs>
      </w:pPr>
      <w:r>
        <w:fldChar w:fldCharType="begin"/>
      </w:r>
      <w:r>
        <w:instrText xml:space="preserve"> HYPERLINK \l _Toc26358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4.2 </w:t>
      </w:r>
      <w:r>
        <w:rPr>
          <w:rFonts w:hint="eastAsia" w:hAnsi="Times New Roman" w:cs="Times New Roman"/>
          <w:lang w:val="en-US" w:eastAsia="zh-CN"/>
        </w:rPr>
        <w:t>布局</w:t>
      </w:r>
      <w:r>
        <w:tab/>
      </w:r>
      <w:r>
        <w:fldChar w:fldCharType="begin"/>
      </w:r>
      <w:r>
        <w:instrText xml:space="preserve"> PAGEREF _Toc26358 \h </w:instrText>
      </w:r>
      <w:r>
        <w:fldChar w:fldCharType="separate"/>
      </w:r>
      <w:r>
        <w:t>1</w:t>
      </w:r>
      <w:r>
        <w:fldChar w:fldCharType="end"/>
      </w:r>
      <w:r>
        <w:fldChar w:fldCharType="end"/>
      </w:r>
    </w:p>
    <w:p w14:paraId="35747E30">
      <w:pPr>
        <w:pStyle w:val="25"/>
        <w:tabs>
          <w:tab w:val="right" w:leader="dot" w:pos="9354"/>
          <w:tab w:val="clear" w:pos="9344"/>
        </w:tabs>
      </w:pPr>
      <w:r>
        <w:fldChar w:fldCharType="begin"/>
      </w:r>
      <w:r>
        <w:instrText xml:space="preserve"> HYPERLINK \l _Toc29632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4.3 </w:t>
      </w:r>
      <w:r>
        <w:rPr>
          <w:rFonts w:hint="eastAsia" w:hAnsi="Times New Roman" w:cs="Times New Roman"/>
          <w:lang w:val="en-US" w:eastAsia="zh-CN"/>
        </w:rPr>
        <w:t>牛舍</w:t>
      </w:r>
      <w:r>
        <w:tab/>
      </w:r>
      <w:r>
        <w:fldChar w:fldCharType="begin"/>
      </w:r>
      <w:r>
        <w:instrText xml:space="preserve"> PAGEREF _Toc29632 \h </w:instrText>
      </w:r>
      <w:r>
        <w:fldChar w:fldCharType="separate"/>
      </w:r>
      <w:r>
        <w:t>2</w:t>
      </w:r>
      <w:r>
        <w:fldChar w:fldCharType="end"/>
      </w:r>
      <w:r>
        <w:fldChar w:fldCharType="end"/>
      </w:r>
    </w:p>
    <w:p w14:paraId="6B833F7F">
      <w:pPr>
        <w:pStyle w:val="25"/>
        <w:tabs>
          <w:tab w:val="right" w:leader="dot" w:pos="9354"/>
          <w:tab w:val="clear" w:pos="9344"/>
        </w:tabs>
      </w:pPr>
      <w:r>
        <w:fldChar w:fldCharType="begin"/>
      </w:r>
      <w:r>
        <w:instrText xml:space="preserve"> HYPERLINK \l _Toc24197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4.4 </w:t>
      </w:r>
      <w:r>
        <w:rPr>
          <w:rFonts w:hint="eastAsia" w:hAnsi="Times New Roman" w:cs="Times New Roman"/>
          <w:lang w:val="en-US" w:eastAsia="zh-CN"/>
        </w:rPr>
        <w:t>设施设备</w:t>
      </w:r>
      <w:r>
        <w:tab/>
      </w:r>
      <w:r>
        <w:fldChar w:fldCharType="begin"/>
      </w:r>
      <w:r>
        <w:instrText xml:space="preserve"> PAGEREF _Toc24197 \h </w:instrText>
      </w:r>
      <w:r>
        <w:fldChar w:fldCharType="separate"/>
      </w:r>
      <w:r>
        <w:t>2</w:t>
      </w:r>
      <w:r>
        <w:fldChar w:fldCharType="end"/>
      </w:r>
      <w:r>
        <w:fldChar w:fldCharType="end"/>
      </w:r>
    </w:p>
    <w:p w14:paraId="4C4369B0">
      <w:pPr>
        <w:pStyle w:val="20"/>
        <w:tabs>
          <w:tab w:val="right" w:leader="dot" w:pos="9354"/>
        </w:tabs>
      </w:pPr>
      <w:r>
        <w:fldChar w:fldCharType="begin"/>
      </w:r>
      <w:r>
        <w:instrText xml:space="preserve"> HYPERLINK \l _Toc639 </w:instrText>
      </w:r>
      <w:r>
        <w:fldChar w:fldCharType="separate"/>
      </w:r>
      <w:r>
        <w:rPr>
          <w:rFonts w:hint="eastAsia" w:ascii="黑体" w:hAnsi="Times New Roman" w:eastAsia="黑体" w:cs="Times New Roman"/>
          <w:i w:val="0"/>
          <w:lang w:val="en-US" w:eastAsia="zh-CN"/>
        </w:rPr>
        <w:t xml:space="preserve">5 </w:t>
      </w:r>
      <w:r>
        <w:rPr>
          <w:rFonts w:hint="eastAsia" w:hAnsi="Times New Roman" w:cs="Times New Roman"/>
          <w:lang w:val="en-US" w:eastAsia="zh-CN"/>
        </w:rPr>
        <w:t>饲料与营养需要</w:t>
      </w:r>
      <w:r>
        <w:tab/>
      </w:r>
      <w:r>
        <w:fldChar w:fldCharType="begin"/>
      </w:r>
      <w:r>
        <w:instrText xml:space="preserve"> PAGEREF _Toc639 \h </w:instrText>
      </w:r>
      <w:r>
        <w:fldChar w:fldCharType="separate"/>
      </w:r>
      <w:r>
        <w:t>2</w:t>
      </w:r>
      <w:r>
        <w:fldChar w:fldCharType="end"/>
      </w:r>
      <w:r>
        <w:fldChar w:fldCharType="end"/>
      </w:r>
    </w:p>
    <w:p w14:paraId="0027CEB5">
      <w:pPr>
        <w:pStyle w:val="25"/>
        <w:tabs>
          <w:tab w:val="right" w:leader="dot" w:pos="9354"/>
          <w:tab w:val="clear" w:pos="9344"/>
        </w:tabs>
      </w:pPr>
      <w:r>
        <w:fldChar w:fldCharType="begin"/>
      </w:r>
      <w:r>
        <w:instrText xml:space="preserve"> HYPERLINK \l _Toc25252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5.1 </w:t>
      </w:r>
      <w:r>
        <w:rPr>
          <w:rFonts w:hint="default" w:hAnsi="Times New Roman" w:cs="Times New Roman"/>
          <w:lang w:val="en-US" w:eastAsia="zh-CN"/>
        </w:rPr>
        <w:t>饲</w:t>
      </w:r>
      <w:r>
        <w:rPr>
          <w:rFonts w:hint="eastAsia" w:hAnsi="Times New Roman" w:cs="Times New Roman"/>
          <w:lang w:val="en-US" w:eastAsia="zh-CN"/>
        </w:rPr>
        <w:t>料</w:t>
      </w:r>
      <w:r>
        <w:tab/>
      </w:r>
      <w:r>
        <w:fldChar w:fldCharType="begin"/>
      </w:r>
      <w:r>
        <w:instrText xml:space="preserve"> PAGEREF _Toc25252 \h </w:instrText>
      </w:r>
      <w:r>
        <w:fldChar w:fldCharType="separate"/>
      </w:r>
      <w:r>
        <w:t>2</w:t>
      </w:r>
      <w:r>
        <w:fldChar w:fldCharType="end"/>
      </w:r>
      <w:r>
        <w:fldChar w:fldCharType="end"/>
      </w:r>
    </w:p>
    <w:p w14:paraId="6A7A6009">
      <w:pPr>
        <w:pStyle w:val="25"/>
        <w:tabs>
          <w:tab w:val="right" w:leader="dot" w:pos="9354"/>
          <w:tab w:val="clear" w:pos="9344"/>
        </w:tabs>
      </w:pPr>
      <w:r>
        <w:fldChar w:fldCharType="begin"/>
      </w:r>
      <w:r>
        <w:instrText xml:space="preserve"> HYPERLINK \l _Toc13097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5.2 </w:t>
      </w:r>
      <w:r>
        <w:rPr>
          <w:rFonts w:hint="eastAsia" w:hAnsi="Times New Roman" w:cs="Times New Roman"/>
          <w:lang w:val="en-US" w:eastAsia="zh-CN"/>
        </w:rPr>
        <w:t>营养需要</w:t>
      </w:r>
      <w:r>
        <w:tab/>
      </w:r>
      <w:r>
        <w:fldChar w:fldCharType="begin"/>
      </w:r>
      <w:r>
        <w:instrText xml:space="preserve"> PAGEREF _Toc13097 \h </w:instrText>
      </w:r>
      <w:r>
        <w:fldChar w:fldCharType="separate"/>
      </w:r>
      <w:r>
        <w:t>2</w:t>
      </w:r>
      <w:r>
        <w:fldChar w:fldCharType="end"/>
      </w:r>
      <w:r>
        <w:fldChar w:fldCharType="end"/>
      </w:r>
    </w:p>
    <w:p w14:paraId="7C3A83AE">
      <w:pPr>
        <w:pStyle w:val="20"/>
        <w:tabs>
          <w:tab w:val="right" w:leader="dot" w:pos="9354"/>
        </w:tabs>
      </w:pPr>
      <w:r>
        <w:fldChar w:fldCharType="begin"/>
      </w:r>
      <w:r>
        <w:instrText xml:space="preserve"> HYPERLINK \l _Toc12075 </w:instrText>
      </w:r>
      <w:r>
        <w:fldChar w:fldCharType="separate"/>
      </w:r>
      <w:r>
        <w:rPr>
          <w:rFonts w:hint="eastAsia" w:ascii="黑体" w:hAnsi="Times New Roman" w:eastAsia="黑体" w:cs="Times New Roman"/>
          <w:i w:val="0"/>
          <w:lang w:val="en-US" w:eastAsia="zh-CN"/>
        </w:rPr>
        <w:t xml:space="preserve">6 </w:t>
      </w:r>
      <w:r>
        <w:rPr>
          <w:rFonts w:hint="eastAsia" w:hAnsi="Times New Roman" w:cs="Times New Roman"/>
          <w:lang w:val="en-US" w:eastAsia="zh-CN"/>
        </w:rPr>
        <w:t>不同阶段牛饲养管理</w:t>
      </w:r>
      <w:r>
        <w:tab/>
      </w:r>
      <w:r>
        <w:fldChar w:fldCharType="begin"/>
      </w:r>
      <w:r>
        <w:instrText xml:space="preserve"> PAGEREF _Toc12075 \h </w:instrText>
      </w:r>
      <w:r>
        <w:fldChar w:fldCharType="separate"/>
      </w:r>
      <w:r>
        <w:t>2</w:t>
      </w:r>
      <w:r>
        <w:fldChar w:fldCharType="end"/>
      </w:r>
      <w:r>
        <w:fldChar w:fldCharType="end"/>
      </w:r>
    </w:p>
    <w:p w14:paraId="1F237491">
      <w:pPr>
        <w:pStyle w:val="25"/>
        <w:tabs>
          <w:tab w:val="right" w:leader="dot" w:pos="9354"/>
          <w:tab w:val="clear" w:pos="9344"/>
        </w:tabs>
      </w:pPr>
      <w:r>
        <w:fldChar w:fldCharType="begin"/>
      </w:r>
      <w:r>
        <w:instrText xml:space="preserve"> HYPERLINK \l _Toc28964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6.1 </w:t>
      </w:r>
      <w:r>
        <w:rPr>
          <w:rFonts w:hint="eastAsia" w:hAnsi="Times New Roman" w:cs="Times New Roman"/>
          <w:lang w:val="en-US" w:eastAsia="zh-CN"/>
        </w:rPr>
        <w:t>犊牛</w:t>
      </w:r>
      <w:r>
        <w:tab/>
      </w:r>
      <w:r>
        <w:fldChar w:fldCharType="begin"/>
      </w:r>
      <w:r>
        <w:instrText xml:space="preserve"> PAGEREF _Toc28964 \h </w:instrText>
      </w:r>
      <w:r>
        <w:fldChar w:fldCharType="separate"/>
      </w:r>
      <w:r>
        <w:t>2</w:t>
      </w:r>
      <w:r>
        <w:fldChar w:fldCharType="end"/>
      </w:r>
      <w:r>
        <w:fldChar w:fldCharType="end"/>
      </w:r>
    </w:p>
    <w:p w14:paraId="4198F72A">
      <w:pPr>
        <w:pStyle w:val="25"/>
        <w:tabs>
          <w:tab w:val="right" w:leader="dot" w:pos="9354"/>
          <w:tab w:val="clear" w:pos="9344"/>
        </w:tabs>
      </w:pPr>
      <w:r>
        <w:fldChar w:fldCharType="begin"/>
      </w:r>
      <w:r>
        <w:instrText xml:space="preserve"> HYPERLINK \l _Toc19754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6.2 </w:t>
      </w:r>
      <w:r>
        <w:rPr>
          <w:rFonts w:hint="eastAsia" w:hAnsi="Times New Roman" w:cs="Times New Roman"/>
          <w:lang w:val="en-US" w:eastAsia="zh-CN"/>
        </w:rPr>
        <w:t>育成牛</w:t>
      </w:r>
      <w:r>
        <w:tab/>
      </w:r>
      <w:r>
        <w:fldChar w:fldCharType="begin"/>
      </w:r>
      <w:r>
        <w:instrText xml:space="preserve"> PAGEREF _Toc19754 \h </w:instrText>
      </w:r>
      <w:r>
        <w:fldChar w:fldCharType="separate"/>
      </w:r>
      <w:r>
        <w:t>2</w:t>
      </w:r>
      <w:r>
        <w:fldChar w:fldCharType="end"/>
      </w:r>
      <w:r>
        <w:fldChar w:fldCharType="end"/>
      </w:r>
    </w:p>
    <w:p w14:paraId="7C403F91">
      <w:pPr>
        <w:pStyle w:val="25"/>
        <w:tabs>
          <w:tab w:val="right" w:leader="dot" w:pos="9354"/>
          <w:tab w:val="clear" w:pos="9344"/>
        </w:tabs>
      </w:pPr>
      <w:r>
        <w:fldChar w:fldCharType="begin"/>
      </w:r>
      <w:r>
        <w:instrText xml:space="preserve"> HYPERLINK \l _Toc18297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6.3 </w:t>
      </w:r>
      <w:r>
        <w:rPr>
          <w:rFonts w:hint="eastAsia" w:hAnsi="Times New Roman" w:cs="Times New Roman"/>
          <w:lang w:val="en-US" w:eastAsia="zh-CN"/>
        </w:rPr>
        <w:t>繁殖母牛</w:t>
      </w:r>
      <w:r>
        <w:tab/>
      </w:r>
      <w:r>
        <w:fldChar w:fldCharType="begin"/>
      </w:r>
      <w:r>
        <w:instrText xml:space="preserve"> PAGEREF _Toc18297 \h </w:instrText>
      </w:r>
      <w:r>
        <w:fldChar w:fldCharType="separate"/>
      </w:r>
      <w:r>
        <w:t>3</w:t>
      </w:r>
      <w:r>
        <w:fldChar w:fldCharType="end"/>
      </w:r>
      <w:r>
        <w:fldChar w:fldCharType="end"/>
      </w:r>
    </w:p>
    <w:p w14:paraId="7C3153C5">
      <w:pPr>
        <w:pStyle w:val="25"/>
        <w:tabs>
          <w:tab w:val="right" w:leader="dot" w:pos="9354"/>
          <w:tab w:val="clear" w:pos="9344"/>
        </w:tabs>
      </w:pPr>
      <w:r>
        <w:fldChar w:fldCharType="begin"/>
      </w:r>
      <w:r>
        <w:instrText xml:space="preserve"> HYPERLINK \l _Toc4311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6.4 </w:t>
      </w:r>
      <w:r>
        <w:rPr>
          <w:rFonts w:hint="eastAsia" w:hAnsi="Times New Roman" w:cs="Times New Roman"/>
          <w:lang w:val="en-US" w:eastAsia="zh-CN"/>
        </w:rPr>
        <w:t>种公牛</w:t>
      </w:r>
      <w:r>
        <w:tab/>
      </w:r>
      <w:r>
        <w:fldChar w:fldCharType="begin"/>
      </w:r>
      <w:r>
        <w:instrText xml:space="preserve"> PAGEREF _Toc4311 \h </w:instrText>
      </w:r>
      <w:r>
        <w:fldChar w:fldCharType="separate"/>
      </w:r>
      <w:r>
        <w:t>3</w:t>
      </w:r>
      <w:r>
        <w:fldChar w:fldCharType="end"/>
      </w:r>
      <w:r>
        <w:fldChar w:fldCharType="end"/>
      </w:r>
    </w:p>
    <w:p w14:paraId="3C7813FF">
      <w:pPr>
        <w:pStyle w:val="25"/>
        <w:tabs>
          <w:tab w:val="right" w:leader="dot" w:pos="9354"/>
          <w:tab w:val="clear" w:pos="9344"/>
        </w:tabs>
      </w:pPr>
      <w:r>
        <w:fldChar w:fldCharType="begin"/>
      </w:r>
      <w:r>
        <w:instrText xml:space="preserve"> HYPERLINK \l _Toc8590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6.5 </w:t>
      </w:r>
      <w:r>
        <w:rPr>
          <w:rFonts w:hint="eastAsia" w:cs="Times New Roman"/>
          <w:lang w:val="en-US" w:eastAsia="zh-CN"/>
        </w:rPr>
        <w:t>育肥牛</w:t>
      </w:r>
      <w:r>
        <w:tab/>
      </w:r>
      <w:r>
        <w:fldChar w:fldCharType="begin"/>
      </w:r>
      <w:r>
        <w:instrText xml:space="preserve"> PAGEREF _Toc8590 \h </w:instrText>
      </w:r>
      <w:r>
        <w:fldChar w:fldCharType="separate"/>
      </w:r>
      <w:r>
        <w:t>3</w:t>
      </w:r>
      <w:r>
        <w:fldChar w:fldCharType="end"/>
      </w:r>
      <w:r>
        <w:fldChar w:fldCharType="end"/>
      </w:r>
    </w:p>
    <w:p w14:paraId="7267A353">
      <w:pPr>
        <w:pStyle w:val="20"/>
        <w:tabs>
          <w:tab w:val="right" w:leader="dot" w:pos="9354"/>
        </w:tabs>
      </w:pPr>
      <w:r>
        <w:fldChar w:fldCharType="begin"/>
      </w:r>
      <w:r>
        <w:instrText xml:space="preserve"> HYPERLINK \l _Toc10209 </w:instrText>
      </w:r>
      <w:r>
        <w:fldChar w:fldCharType="separate"/>
      </w:r>
      <w:r>
        <w:rPr>
          <w:rFonts w:hint="eastAsia" w:ascii="黑体" w:hAnsi="Times New Roman" w:eastAsia="黑体" w:cs="Times New Roman"/>
          <w:bCs w:val="0"/>
          <w:i w:val="0"/>
          <w:lang w:val="en-US" w:eastAsia="zh-CN"/>
        </w:rPr>
        <w:t xml:space="preserve">7 </w:t>
      </w:r>
      <w:r>
        <w:rPr>
          <w:rFonts w:hint="eastAsia" w:hAnsi="Times New Roman" w:cs="Times New Roman"/>
          <w:lang w:val="en-US" w:eastAsia="zh-CN"/>
        </w:rPr>
        <w:t>卫生与防疫</w:t>
      </w:r>
      <w:r>
        <w:tab/>
      </w:r>
      <w:r>
        <w:fldChar w:fldCharType="begin"/>
      </w:r>
      <w:r>
        <w:instrText xml:space="preserve"> PAGEREF _Toc10209 \h </w:instrText>
      </w:r>
      <w:r>
        <w:fldChar w:fldCharType="separate"/>
      </w:r>
      <w:r>
        <w:t>3</w:t>
      </w:r>
      <w:r>
        <w:fldChar w:fldCharType="end"/>
      </w:r>
      <w:r>
        <w:fldChar w:fldCharType="end"/>
      </w:r>
    </w:p>
    <w:p w14:paraId="662F3951">
      <w:pPr>
        <w:pStyle w:val="20"/>
        <w:tabs>
          <w:tab w:val="right" w:leader="dot" w:pos="9354"/>
        </w:tabs>
      </w:pPr>
      <w:r>
        <w:fldChar w:fldCharType="begin"/>
      </w:r>
      <w:r>
        <w:instrText xml:space="preserve"> HYPERLINK \l _Toc11955 </w:instrText>
      </w:r>
      <w:r>
        <w:fldChar w:fldCharType="separate"/>
      </w:r>
      <w:r>
        <w:rPr>
          <w:rFonts w:hint="eastAsia" w:ascii="黑体" w:hAnsi="Times New Roman" w:eastAsia="黑体" w:cs="Times New Roman"/>
          <w:i w:val="0"/>
          <w:lang w:val="en-US" w:eastAsia="zh-CN"/>
        </w:rPr>
        <w:t xml:space="preserve">8 </w:t>
      </w:r>
      <w:r>
        <w:rPr>
          <w:rFonts w:hint="eastAsia" w:hAnsi="Times New Roman" w:cs="Times New Roman"/>
          <w:lang w:val="en-US" w:eastAsia="zh-CN"/>
        </w:rPr>
        <w:t>粪污处理</w:t>
      </w:r>
      <w:r>
        <w:tab/>
      </w:r>
      <w:r>
        <w:fldChar w:fldCharType="begin"/>
      </w:r>
      <w:r>
        <w:instrText xml:space="preserve"> PAGEREF _Toc11955 \h </w:instrText>
      </w:r>
      <w:r>
        <w:fldChar w:fldCharType="separate"/>
      </w:r>
      <w:r>
        <w:t>3</w:t>
      </w:r>
      <w:r>
        <w:fldChar w:fldCharType="end"/>
      </w:r>
      <w:r>
        <w:fldChar w:fldCharType="end"/>
      </w:r>
    </w:p>
    <w:p w14:paraId="08EC5696">
      <w:pPr>
        <w:pStyle w:val="20"/>
        <w:tabs>
          <w:tab w:val="right" w:leader="dot" w:pos="9354"/>
        </w:tabs>
      </w:pPr>
      <w:r>
        <w:fldChar w:fldCharType="begin"/>
      </w:r>
      <w:r>
        <w:instrText xml:space="preserve"> HYPERLINK \l _Toc17228 </w:instrText>
      </w:r>
      <w:r>
        <w:fldChar w:fldCharType="separate"/>
      </w:r>
      <w:r>
        <w:rPr>
          <w:rFonts w:hint="eastAsia" w:ascii="黑体" w:hAnsi="Times New Roman" w:eastAsia="黑体" w:cs="Times New Roman"/>
          <w:i w:val="0"/>
          <w:lang w:val="en-US" w:eastAsia="zh-CN"/>
        </w:rPr>
        <w:t xml:space="preserve">9 </w:t>
      </w:r>
      <w:r>
        <w:rPr>
          <w:rFonts w:hint="eastAsia" w:hAnsi="Times New Roman" w:cs="Times New Roman"/>
          <w:lang w:val="en-US" w:eastAsia="zh-CN"/>
        </w:rPr>
        <w:t>档案记录与管理</w:t>
      </w:r>
      <w:r>
        <w:tab/>
      </w:r>
      <w:r>
        <w:fldChar w:fldCharType="begin"/>
      </w:r>
      <w:r>
        <w:instrText xml:space="preserve"> PAGEREF _Toc17228 \h </w:instrText>
      </w:r>
      <w:r>
        <w:fldChar w:fldCharType="separate"/>
      </w:r>
      <w:r>
        <w:t>4</w:t>
      </w:r>
      <w:r>
        <w:fldChar w:fldCharType="end"/>
      </w:r>
      <w:r>
        <w:fldChar w:fldCharType="end"/>
      </w:r>
    </w:p>
    <w:p w14:paraId="65C21500">
      <w:pPr>
        <w:pStyle w:val="20"/>
        <w:tabs>
          <w:tab w:val="right" w:leader="dot" w:pos="9354"/>
        </w:tabs>
      </w:pPr>
      <w:r>
        <w:fldChar w:fldCharType="begin"/>
      </w:r>
      <w:r>
        <w:instrText xml:space="preserve"> HYPERLINK \l _Toc26372 </w:instrText>
      </w:r>
      <w:r>
        <w:fldChar w:fldCharType="separate"/>
      </w:r>
      <w:r>
        <w:rPr>
          <w:rFonts w:hint="eastAsia"/>
          <w:spacing w:val="100"/>
          <w:lang w:val="en-US"/>
        </w:rPr>
        <w:t>附录A</w:t>
      </w:r>
      <w:r>
        <w:tab/>
      </w:r>
      <w:r>
        <w:fldChar w:fldCharType="begin"/>
      </w:r>
      <w:r>
        <w:instrText xml:space="preserve"> PAGEREF _Toc26372 \h </w:instrText>
      </w:r>
      <w:r>
        <w:fldChar w:fldCharType="separate"/>
      </w:r>
      <w:r>
        <w:t>5</w:t>
      </w:r>
      <w:r>
        <w:fldChar w:fldCharType="end"/>
      </w:r>
      <w:r>
        <w:fldChar w:fldCharType="end"/>
      </w:r>
    </w:p>
    <w:p w14:paraId="059EBF26">
      <w:pPr>
        <w:pStyle w:val="92"/>
        <w:spacing w:after="360"/>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6866B652">
      <w:pPr>
        <w:pStyle w:val="90"/>
        <w:spacing w:before="900" w:after="360"/>
      </w:pPr>
      <w:bookmarkStart w:id="23" w:name="_Toc2798"/>
      <w:bookmarkStart w:id="24" w:name="BookMark2"/>
      <w:r>
        <w:rPr>
          <w:spacing w:val="320"/>
        </w:rPr>
        <w:t>前</w:t>
      </w:r>
      <w:r>
        <w:t>言</w:t>
      </w:r>
      <w:bookmarkEnd w:id="22"/>
      <w:bookmarkEnd w:id="23"/>
    </w:p>
    <w:p w14:paraId="6EDDFFCA">
      <w:pPr>
        <w:pStyle w:val="57"/>
        <w:ind w:firstLine="420"/>
        <w:rPr>
          <w:rFonts w:ascii="Times New Roman"/>
        </w:rPr>
      </w:pPr>
      <w:r>
        <w:rPr>
          <w:rFonts w:hint="eastAsia"/>
        </w:rPr>
        <w:t>本文件</w:t>
      </w:r>
      <w:r>
        <w:rPr>
          <w:rFonts w:ascii="Times New Roman"/>
        </w:rPr>
        <w:t>按照GB/T 1.1—2020《标准化工作导则第1部分：标准化文件的结构和起草规则》的规定起草。</w:t>
      </w:r>
    </w:p>
    <w:p w14:paraId="375E5CC9">
      <w:pPr>
        <w:pStyle w:val="57"/>
        <w:ind w:firstLine="420"/>
        <w:rPr>
          <w:rFonts w:ascii="Times New Roman"/>
        </w:rPr>
      </w:pPr>
      <w:r>
        <w:rPr>
          <w:rFonts w:ascii="Times New Roman"/>
        </w:rPr>
        <w:t>请注意本文件的某些内容可能涉及专利。本文件的发布机构不承担识别专利的责任。</w:t>
      </w:r>
    </w:p>
    <w:p w14:paraId="3BA07E39">
      <w:pPr>
        <w:pStyle w:val="57"/>
        <w:ind w:firstLine="420"/>
        <w:rPr>
          <w:rFonts w:ascii="Times New Roman"/>
        </w:rPr>
      </w:pPr>
      <w:r>
        <w:rPr>
          <w:rFonts w:hint="eastAsia" w:ascii="宋体" w:hAnsi="宋体" w:eastAsia="宋体"/>
          <w:color w:val="000000"/>
          <w:sz w:val="22"/>
          <w:szCs w:val="24"/>
        </w:rPr>
        <w:t>本文件由</w:t>
      </w:r>
      <w:r>
        <w:rPr>
          <w:rFonts w:hint="eastAsia" w:ascii="Times New Roman"/>
        </w:rPr>
        <w:t>中国农业科学院兰州畜牧与兽药研究所提出</w:t>
      </w:r>
      <w:r>
        <w:rPr>
          <w:rFonts w:ascii="Times New Roman"/>
        </w:rPr>
        <w:t>。</w:t>
      </w:r>
    </w:p>
    <w:p w14:paraId="2FB0C36D">
      <w:pPr>
        <w:pStyle w:val="57"/>
        <w:ind w:firstLine="420"/>
        <w:rPr>
          <w:rFonts w:ascii="Times New Roman"/>
        </w:rPr>
      </w:pPr>
      <w:r>
        <w:rPr>
          <w:rFonts w:hint="eastAsia" w:ascii="宋体" w:hAnsi="宋体" w:eastAsia="宋体"/>
          <w:color w:val="000000"/>
          <w:sz w:val="22"/>
          <w:szCs w:val="24"/>
        </w:rPr>
        <w:t>本文件由</w:t>
      </w:r>
      <w:r>
        <w:rPr>
          <w:rFonts w:hint="eastAsia" w:hAnsi="宋体"/>
          <w:color w:val="000000"/>
          <w:sz w:val="22"/>
          <w:szCs w:val="24"/>
          <w:lang w:val="en-US" w:eastAsia="zh-CN"/>
        </w:rPr>
        <w:t>甘肃省质量标准协会</w:t>
      </w:r>
      <w:r>
        <w:rPr>
          <w:rFonts w:ascii="Times New Roman"/>
        </w:rPr>
        <w:t>(GSQA)</w:t>
      </w:r>
      <w:r>
        <w:rPr>
          <w:rFonts w:hint="eastAsia" w:ascii="Times New Roman"/>
        </w:rPr>
        <w:t>归</w:t>
      </w:r>
      <w:r>
        <w:rPr>
          <w:rFonts w:ascii="Times New Roman"/>
        </w:rPr>
        <w:t>口。</w:t>
      </w:r>
    </w:p>
    <w:p w14:paraId="0B38BF74">
      <w:pPr>
        <w:pStyle w:val="57"/>
        <w:ind w:firstLine="420"/>
        <w:rPr>
          <w:rFonts w:ascii="Times New Roman"/>
        </w:rPr>
      </w:pPr>
      <w:r>
        <w:rPr>
          <w:rFonts w:hint="eastAsia"/>
        </w:rPr>
        <w:t>本文件起草单位：</w:t>
      </w:r>
      <w:r>
        <w:rPr>
          <w:rFonts w:hint="eastAsia" w:ascii="Times New Roman"/>
        </w:rPr>
        <w:t>中国农业科学院兰州畜牧与兽药研究所、张家川回族自治县畜牧兽医事务服务中心，张家川畜牧技术推广站</w:t>
      </w:r>
      <w:r>
        <w:rPr>
          <w:rFonts w:hint="eastAsia" w:ascii="Times New Roman"/>
          <w:lang w:eastAsia="zh-CN"/>
        </w:rPr>
        <w:t>、</w:t>
      </w:r>
      <w:r>
        <w:rPr>
          <w:rFonts w:hint="eastAsia" w:ascii="Times New Roman"/>
        </w:rPr>
        <w:t>中国农业科学院兰州</w:t>
      </w:r>
      <w:r>
        <w:rPr>
          <w:rFonts w:hint="eastAsia" w:ascii="Times New Roman"/>
          <w:lang w:val="en-US" w:eastAsia="zh-CN"/>
        </w:rPr>
        <w:t>兽医研究所</w:t>
      </w:r>
      <w:r>
        <w:rPr>
          <w:rFonts w:hint="eastAsia" w:ascii="Times New Roman"/>
        </w:rPr>
        <w:t>。</w:t>
      </w:r>
    </w:p>
    <w:p w14:paraId="1E7694AD">
      <w:pPr>
        <w:pStyle w:val="57"/>
        <w:ind w:firstLine="420"/>
        <w:rPr>
          <w:rFonts w:hint="eastAsia" w:ascii="Times New Roman" w:eastAsia="宋体"/>
          <w:lang w:val="en-US" w:eastAsia="zh-CN"/>
        </w:rPr>
      </w:pPr>
      <w:r>
        <w:rPr>
          <w:rFonts w:hint="eastAsia" w:ascii="Times New Roman"/>
        </w:rPr>
        <w:t>本文件主要起草人：</w:t>
      </w:r>
      <w:r>
        <w:rPr>
          <w:rFonts w:hint="eastAsia" w:ascii="Times New Roman"/>
          <w:lang w:val="en-US" w:eastAsia="zh-CN"/>
        </w:rPr>
        <w:t>褚敏、梁春年、</w:t>
      </w:r>
      <w:r>
        <w:rPr>
          <w:rFonts w:hint="eastAsia" w:ascii="Times New Roman"/>
        </w:rPr>
        <w:t>杨来康、杨孝君、喇永富、贠秀君、马利军、张少华、马晓明、包鹏甲、马艳萍</w:t>
      </w:r>
      <w:r>
        <w:rPr>
          <w:rFonts w:hint="eastAsia" w:ascii="Times New Roman"/>
          <w:lang w:eastAsia="zh-CN"/>
        </w:rPr>
        <w:t>。</w:t>
      </w:r>
    </w:p>
    <w:p w14:paraId="15325590">
      <w:pPr>
        <w:pStyle w:val="57"/>
        <w:ind w:firstLine="420"/>
      </w:pPr>
    </w:p>
    <w:p w14:paraId="6D5C36F8">
      <w:pPr>
        <w:pStyle w:val="57"/>
        <w:ind w:firstLine="420"/>
        <w:sectPr>
          <w:headerReference r:id="rId13" w:type="default"/>
          <w:footerReference r:id="rId15" w:type="default"/>
          <w:headerReference r:id="rId14" w:type="even"/>
          <w:footerReference r:id="rId16" w:type="even"/>
          <w:pgSz w:w="11906" w:h="16838"/>
          <w:pgMar w:top="1928" w:right="1134" w:bottom="1134" w:left="1134" w:header="1418" w:footer="1134" w:gutter="284"/>
          <w:pgNumType w:fmt="upperRoman"/>
          <w:cols w:space="425" w:num="1"/>
          <w:formProt w:val="0"/>
          <w:docGrid w:linePitch="312" w:charSpace="0"/>
        </w:sectPr>
      </w:pPr>
    </w:p>
    <w:bookmarkEnd w:id="24"/>
    <w:p w14:paraId="2B8FAE73">
      <w:pPr>
        <w:spacing w:line="20" w:lineRule="exact"/>
        <w:jc w:val="center"/>
        <w:rPr>
          <w:rFonts w:ascii="黑体" w:hAnsi="黑体" w:eastAsia="黑体"/>
          <w:sz w:val="32"/>
          <w:szCs w:val="32"/>
        </w:rPr>
      </w:pPr>
      <w:bookmarkStart w:id="25" w:name="BookMark4"/>
    </w:p>
    <w:p w14:paraId="75379309">
      <w:pPr>
        <w:spacing w:line="20" w:lineRule="exact"/>
        <w:jc w:val="center"/>
        <w:rPr>
          <w:rFonts w:ascii="黑体" w:hAnsi="黑体" w:eastAsia="黑体"/>
          <w:sz w:val="32"/>
          <w:szCs w:val="32"/>
        </w:rPr>
      </w:pPr>
    </w:p>
    <w:sdt>
      <w:sdtPr>
        <w:tag w:val="NEW_STAND_NAME"/>
        <w:id w:val="595910757"/>
        <w:lock w:val="sdtLocked"/>
        <w:placeholder>
          <w:docPart w:val="40BAD1D096DA435C958A3CC3CE42E1DA"/>
        </w:placeholder>
      </w:sdtPr>
      <w:sdtContent>
        <w:sdt>
          <w:sdtPr>
            <w:tag w:val="NEW_STAND_NAME"/>
            <w:id w:val="147464381"/>
            <w:lock w:val="sdtLocked"/>
            <w:placeholder>
              <w:docPart w:val="{d23e1339-bf4a-4cbc-9fc8-c9edabe4f337}"/>
            </w:placeholder>
          </w:sdtPr>
          <w:sdtContent>
            <w:p w14:paraId="643B9320">
              <w:pPr>
                <w:pBdr>
                  <w:top w:val="none" w:color="auto" w:sz="0" w:space="0"/>
                  <w:left w:val="none" w:color="auto" w:sz="0" w:space="0"/>
                  <w:bottom w:val="none" w:color="auto" w:sz="0" w:space="0"/>
                  <w:right w:val="none" w:color="auto" w:sz="0" w:space="0"/>
                </w:pBdr>
                <w:jc w:val="center"/>
              </w:pPr>
              <w:bookmarkStart w:id="26" w:name="NEW_STAND_NAME"/>
              <w:r>
                <w:rPr>
                  <w:rFonts w:hint="eastAsia" w:ascii="monospace" w:hAnsi="monospace" w:cs="monospace"/>
                  <w:b/>
                  <w:bCs/>
                  <w:i w:val="0"/>
                  <w:iCs w:val="0"/>
                  <w:caps w:val="0"/>
                  <w:spacing w:val="0"/>
                  <w:sz w:val="32"/>
                  <w:szCs w:val="32"/>
                  <w:shd w:val="clear" w:color="auto" w:fill="FFFFFF"/>
                  <w:lang w:val="en-US" w:eastAsia="zh-CN"/>
                </w:rPr>
                <w:t>张家川红花牛饲养管理技术规范</w:t>
              </w:r>
            </w:p>
          </w:sdtContent>
        </w:sdt>
      </w:sdtContent>
    </w:sdt>
    <w:bookmarkEnd w:id="26"/>
    <w:p w14:paraId="0F3DF774">
      <w:pPr>
        <w:pStyle w:val="105"/>
        <w:spacing w:before="312" w:after="312"/>
      </w:pPr>
      <w:bookmarkStart w:id="27" w:name="_Toc26986530"/>
      <w:bookmarkStart w:id="28" w:name="_Toc26648465"/>
      <w:bookmarkStart w:id="29" w:name="_Toc17233333"/>
      <w:bookmarkStart w:id="30" w:name="_Toc97192964"/>
      <w:bookmarkStart w:id="31" w:name="_Toc24884211"/>
      <w:bookmarkStart w:id="32" w:name="_Toc17233325"/>
      <w:bookmarkStart w:id="33" w:name="_Toc29009"/>
      <w:bookmarkStart w:id="34" w:name="_Toc26718930"/>
      <w:bookmarkStart w:id="35" w:name="_Toc24884218"/>
      <w:bookmarkStart w:id="36" w:name="_Toc150014766"/>
      <w:bookmarkStart w:id="37" w:name="_Toc26986771"/>
      <w:r>
        <w:rPr>
          <w:rFonts w:hint="eastAsia"/>
        </w:rPr>
        <w:t>范围</w:t>
      </w:r>
      <w:bookmarkEnd w:id="27"/>
      <w:bookmarkEnd w:id="28"/>
      <w:bookmarkEnd w:id="29"/>
      <w:bookmarkEnd w:id="30"/>
      <w:bookmarkEnd w:id="31"/>
      <w:bookmarkEnd w:id="32"/>
      <w:bookmarkEnd w:id="33"/>
      <w:bookmarkEnd w:id="34"/>
      <w:bookmarkEnd w:id="35"/>
      <w:bookmarkEnd w:id="36"/>
      <w:bookmarkEnd w:id="37"/>
    </w:p>
    <w:p w14:paraId="78FE543D">
      <w:pPr>
        <w:adjustRightInd w:val="0"/>
        <w:snapToGrid w:val="0"/>
        <w:spacing w:line="300" w:lineRule="auto"/>
        <w:ind w:firstLine="420" w:firstLineChars="200"/>
        <w:rPr>
          <w:rFonts w:hint="eastAsia" w:ascii="宋体" w:hAnsi="Times New Roman" w:eastAsia="宋体" w:cs="Times New Roman"/>
          <w:kern w:val="0"/>
          <w:sz w:val="21"/>
          <w:szCs w:val="20"/>
          <w:lang w:val="en-US" w:eastAsia="zh-CN" w:bidi="ar-SA"/>
        </w:rPr>
      </w:pPr>
      <w:bookmarkStart w:id="38" w:name="_Toc26648466"/>
      <w:bookmarkStart w:id="39" w:name="_Toc24884219"/>
      <w:bookmarkStart w:id="40" w:name="_Toc17233326"/>
      <w:bookmarkStart w:id="41" w:name="_Toc17233334"/>
      <w:bookmarkStart w:id="42" w:name="_Toc24884212"/>
      <w:r>
        <w:rPr>
          <w:rFonts w:hint="eastAsia" w:ascii="宋体" w:hAnsi="Times New Roman" w:eastAsia="宋体" w:cs="Times New Roman"/>
          <w:kern w:val="0"/>
          <w:sz w:val="21"/>
          <w:szCs w:val="20"/>
          <w:lang w:val="en-US" w:eastAsia="zh-CN" w:bidi="ar-SA"/>
        </w:rPr>
        <w:t>本文件规定了</w:t>
      </w:r>
      <w:r>
        <w:rPr>
          <w:rFonts w:hint="eastAsia" w:ascii="宋体" w:hAnsi="Times New Roman" w:cs="Times New Roman"/>
          <w:kern w:val="0"/>
          <w:sz w:val="21"/>
          <w:szCs w:val="20"/>
          <w:lang w:val="en-US" w:eastAsia="zh-CN" w:bidi="ar-SA"/>
        </w:rPr>
        <w:t>张家川红花牛的牛场环境与设施设备、</w:t>
      </w:r>
      <w:r>
        <w:rPr>
          <w:rFonts w:hint="eastAsia" w:ascii="宋体" w:hAnsi="Times New Roman" w:eastAsia="宋体" w:cs="Times New Roman"/>
          <w:kern w:val="0"/>
          <w:sz w:val="21"/>
          <w:szCs w:val="20"/>
          <w:lang w:val="en-US" w:eastAsia="zh-CN" w:bidi="ar-SA"/>
        </w:rPr>
        <w:t>饲料</w:t>
      </w:r>
      <w:r>
        <w:rPr>
          <w:rFonts w:hint="eastAsia" w:ascii="宋体" w:hAnsi="Times New Roman" w:cs="Times New Roman"/>
          <w:kern w:val="0"/>
          <w:sz w:val="21"/>
          <w:szCs w:val="20"/>
          <w:lang w:val="en-US" w:eastAsia="zh-CN" w:bidi="ar-SA"/>
        </w:rPr>
        <w:t>与营养需要</w:t>
      </w:r>
      <w:r>
        <w:rPr>
          <w:rFonts w:hint="eastAsia"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不同阶段牛饲养管理</w:t>
      </w:r>
      <w:r>
        <w:rPr>
          <w:rFonts w:hint="eastAsia"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卫生与防疫</w:t>
      </w:r>
      <w:r>
        <w:rPr>
          <w:rFonts w:hint="eastAsia"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粪污处理、档案记录与管理</w:t>
      </w:r>
      <w:r>
        <w:rPr>
          <w:rFonts w:hint="eastAsia" w:ascii="宋体" w:hAnsi="Times New Roman" w:eastAsia="宋体" w:cs="Times New Roman"/>
          <w:kern w:val="0"/>
          <w:sz w:val="21"/>
          <w:szCs w:val="20"/>
          <w:lang w:val="en-US" w:eastAsia="zh-CN" w:bidi="ar-SA"/>
        </w:rPr>
        <w:t>等环节的技术要求。</w:t>
      </w:r>
    </w:p>
    <w:p w14:paraId="459A8010">
      <w:pPr>
        <w:pStyle w:val="57"/>
        <w:ind w:firstLine="420"/>
      </w:pPr>
      <w:r>
        <w:rPr>
          <w:rFonts w:hint="eastAsia" w:ascii="宋体" w:hAnsi="Times New Roman" w:eastAsia="宋体" w:cs="Times New Roman"/>
          <w:kern w:val="0"/>
          <w:sz w:val="21"/>
          <w:szCs w:val="20"/>
          <w:lang w:val="en-US" w:eastAsia="zh-CN" w:bidi="ar-SA"/>
        </w:rPr>
        <w:t>本文件适用于张家川地区红花牛的规模化养殖场、合作社及养殖户</w:t>
      </w:r>
      <w:r>
        <w:rPr>
          <w:rFonts w:hint="eastAsia" w:cs="Times New Roman"/>
          <w:kern w:val="0"/>
          <w:sz w:val="21"/>
          <w:szCs w:val="20"/>
          <w:lang w:val="en-US" w:eastAsia="zh-CN" w:bidi="ar-SA"/>
        </w:rPr>
        <w:t>。</w:t>
      </w:r>
    </w:p>
    <w:p w14:paraId="7A45D54D">
      <w:pPr>
        <w:pStyle w:val="105"/>
        <w:spacing w:before="312" w:after="312"/>
      </w:pPr>
      <w:bookmarkStart w:id="43" w:name="_Toc26986531"/>
      <w:bookmarkStart w:id="44" w:name="_Toc26986772"/>
      <w:bookmarkStart w:id="45" w:name="_Toc26718931"/>
      <w:bookmarkStart w:id="46" w:name="_Toc150014767"/>
      <w:bookmarkStart w:id="47" w:name="_Toc97192965"/>
      <w:bookmarkStart w:id="48" w:name="_Toc17799"/>
      <w:r>
        <w:rPr>
          <w:rFonts w:hint="eastAsia"/>
        </w:rPr>
        <w:t>规范性引用文件</w:t>
      </w:r>
      <w:bookmarkEnd w:id="38"/>
      <w:bookmarkEnd w:id="39"/>
      <w:bookmarkEnd w:id="40"/>
      <w:bookmarkEnd w:id="41"/>
      <w:bookmarkEnd w:id="42"/>
      <w:bookmarkEnd w:id="43"/>
      <w:bookmarkEnd w:id="44"/>
      <w:bookmarkEnd w:id="45"/>
      <w:bookmarkEnd w:id="46"/>
      <w:bookmarkEnd w:id="47"/>
      <w:bookmarkEnd w:id="48"/>
    </w:p>
    <w:sdt>
      <w:sdtPr>
        <w:rPr>
          <w:rFonts w:hint="eastAsia"/>
        </w:rPr>
        <w:id w:val="715848253"/>
        <w:placeholder>
          <w:docPart w:val="5FE49046297C4A68A6C5EFDE3F02774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60DE0F4">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447A4EA">
      <w:pPr>
        <w:adjustRightInd w:val="0"/>
        <w:snapToGrid w:val="0"/>
        <w:spacing w:line="300" w:lineRule="auto"/>
        <w:ind w:firstLine="420" w:firstLineChars="200"/>
        <w:rPr>
          <w:rFonts w:hint="default" w:ascii="宋体" w:hAnsi="Times New Roman" w:cs="Times New Roman"/>
          <w:color w:val="auto"/>
          <w:kern w:val="0"/>
          <w:sz w:val="21"/>
          <w:szCs w:val="20"/>
          <w:lang w:val="en-US" w:eastAsia="zh-CN" w:bidi="ar-SA"/>
        </w:rPr>
      </w:pPr>
      <w:r>
        <w:rPr>
          <w:rFonts w:hint="eastAsia" w:ascii="宋体" w:hAnsi="Times New Roman" w:cs="Times New Roman"/>
          <w:color w:val="auto"/>
          <w:kern w:val="0"/>
          <w:sz w:val="21"/>
          <w:szCs w:val="20"/>
          <w:lang w:val="en-US" w:eastAsia="zh-CN" w:bidi="ar-SA"/>
        </w:rPr>
        <w:t>GB 13078 饲料卫生标准</w:t>
      </w:r>
    </w:p>
    <w:p w14:paraId="49455C60">
      <w:pPr>
        <w:adjustRightInd w:val="0"/>
        <w:snapToGrid w:val="0"/>
        <w:spacing w:line="300" w:lineRule="auto"/>
        <w:ind w:firstLine="420" w:firstLineChars="200"/>
        <w:rPr>
          <w:rFonts w:hint="default" w:ascii="宋体" w:hAnsi="Times New Roman" w:cs="Times New Roman"/>
          <w:color w:val="auto"/>
          <w:kern w:val="0"/>
          <w:sz w:val="21"/>
          <w:szCs w:val="20"/>
          <w:lang w:val="en-US" w:eastAsia="zh-CN" w:bidi="ar-SA"/>
        </w:rPr>
      </w:pPr>
      <w:r>
        <w:rPr>
          <w:rFonts w:hint="default" w:ascii="宋体" w:hAnsi="Times New Roman" w:cs="Times New Roman"/>
          <w:color w:val="auto"/>
          <w:kern w:val="0"/>
          <w:sz w:val="21"/>
          <w:szCs w:val="20"/>
          <w:lang w:val="en-US" w:eastAsia="zh-CN" w:bidi="ar-SA"/>
        </w:rPr>
        <w:t>GB 18596 畜禽养殖业污染物排放标准</w:t>
      </w:r>
    </w:p>
    <w:p w14:paraId="73E21F84">
      <w:pPr>
        <w:adjustRightInd w:val="0"/>
        <w:snapToGrid w:val="0"/>
        <w:spacing w:line="300" w:lineRule="auto"/>
        <w:ind w:firstLine="420" w:firstLineChars="200"/>
        <w:rPr>
          <w:rFonts w:hint="eastAsia" w:ascii="宋体" w:hAnsi="Times New Roman" w:cs="Times New Roman"/>
          <w:color w:val="auto"/>
          <w:kern w:val="0"/>
          <w:sz w:val="21"/>
          <w:szCs w:val="20"/>
          <w:lang w:val="en-US" w:eastAsia="zh-CN" w:bidi="ar-SA"/>
        </w:rPr>
      </w:pPr>
      <w:r>
        <w:rPr>
          <w:rFonts w:hint="eastAsia" w:ascii="宋体" w:hAnsi="Times New Roman" w:cs="Times New Roman"/>
          <w:color w:val="auto"/>
          <w:kern w:val="0"/>
          <w:sz w:val="21"/>
          <w:szCs w:val="20"/>
          <w:lang w:val="en-US" w:eastAsia="zh-CN" w:bidi="ar-SA"/>
        </w:rPr>
        <w:t>GB/T 36195 畜禽粪便无害化处理技术规范</w:t>
      </w:r>
    </w:p>
    <w:p w14:paraId="4CA17AB9">
      <w:pPr>
        <w:adjustRightInd w:val="0"/>
        <w:snapToGrid w:val="0"/>
        <w:spacing w:line="300" w:lineRule="auto"/>
        <w:ind w:firstLine="420" w:firstLineChars="200"/>
        <w:rPr>
          <w:rFonts w:hint="eastAsia" w:ascii="宋体" w:hAnsi="Times New Roman" w:cs="Times New Roman"/>
          <w:color w:val="auto"/>
          <w:kern w:val="0"/>
          <w:sz w:val="21"/>
          <w:szCs w:val="20"/>
          <w:lang w:val="en-US" w:eastAsia="zh-CN" w:bidi="ar-SA"/>
        </w:rPr>
      </w:pPr>
      <w:r>
        <w:rPr>
          <w:rFonts w:hint="eastAsia" w:ascii="宋体" w:hAnsi="Times New Roman" w:cs="Times New Roman"/>
          <w:color w:val="auto"/>
          <w:kern w:val="0"/>
          <w:sz w:val="21"/>
          <w:szCs w:val="20"/>
          <w:lang w:val="en-US" w:eastAsia="zh-CN" w:bidi="ar-SA"/>
        </w:rPr>
        <w:t>NY/T 388 畜禽场环境质量标准</w:t>
      </w:r>
    </w:p>
    <w:p w14:paraId="099E9D8E">
      <w:pPr>
        <w:adjustRightInd w:val="0"/>
        <w:snapToGrid w:val="0"/>
        <w:spacing w:line="300" w:lineRule="auto"/>
        <w:ind w:firstLine="420" w:firstLineChars="200"/>
        <w:rPr>
          <w:rFonts w:hint="eastAsia" w:ascii="宋体" w:hAnsi="Times New Roman" w:cs="Times New Roman"/>
          <w:color w:val="auto"/>
          <w:kern w:val="0"/>
          <w:sz w:val="21"/>
          <w:szCs w:val="20"/>
          <w:lang w:val="en-US" w:eastAsia="zh-CN" w:bidi="ar-SA"/>
        </w:rPr>
      </w:pPr>
      <w:r>
        <w:rPr>
          <w:rFonts w:hint="eastAsia" w:ascii="宋体" w:hAnsi="Times New Roman" w:cs="Times New Roman"/>
          <w:color w:val="auto"/>
          <w:kern w:val="0"/>
          <w:sz w:val="21"/>
          <w:szCs w:val="20"/>
          <w:lang w:val="en-US" w:eastAsia="zh-CN" w:bidi="ar-SA"/>
        </w:rPr>
        <w:t>NY/T 391 绿色食品  产地环境质量</w:t>
      </w:r>
    </w:p>
    <w:p w14:paraId="2DCC5E3E">
      <w:pPr>
        <w:adjustRightInd w:val="0"/>
        <w:snapToGrid w:val="0"/>
        <w:spacing w:line="300" w:lineRule="auto"/>
        <w:ind w:firstLine="420" w:firstLineChars="200"/>
        <w:rPr>
          <w:rFonts w:hint="eastAsia" w:ascii="宋体" w:hAnsi="Times New Roman" w:cs="Times New Roman"/>
          <w:color w:val="auto"/>
          <w:kern w:val="0"/>
          <w:sz w:val="21"/>
          <w:szCs w:val="20"/>
          <w:lang w:val="en-US" w:eastAsia="zh-CN" w:bidi="ar-SA"/>
        </w:rPr>
      </w:pPr>
      <w:r>
        <w:rPr>
          <w:rFonts w:hint="eastAsia" w:ascii="宋体" w:hAnsi="Times New Roman" w:cs="Times New Roman"/>
          <w:color w:val="auto"/>
          <w:kern w:val="0"/>
          <w:sz w:val="21"/>
          <w:szCs w:val="20"/>
          <w:lang w:val="en-US" w:eastAsia="zh-CN" w:bidi="ar-SA"/>
        </w:rPr>
        <w:t>NY/T 393 绿色食品  农药使用准则</w:t>
      </w:r>
    </w:p>
    <w:p w14:paraId="4E0E4116">
      <w:pPr>
        <w:adjustRightInd w:val="0"/>
        <w:snapToGrid w:val="0"/>
        <w:spacing w:line="300" w:lineRule="auto"/>
        <w:ind w:firstLine="420" w:firstLineChars="200"/>
        <w:rPr>
          <w:rFonts w:hint="eastAsia" w:ascii="宋体" w:hAnsi="Times New Roman" w:cs="Times New Roman"/>
          <w:color w:val="auto"/>
          <w:kern w:val="0"/>
          <w:sz w:val="21"/>
          <w:szCs w:val="20"/>
          <w:lang w:val="en-US" w:eastAsia="zh-CN" w:bidi="ar-SA"/>
        </w:rPr>
      </w:pPr>
      <w:r>
        <w:rPr>
          <w:rFonts w:hint="eastAsia" w:ascii="宋体" w:hAnsi="Times New Roman" w:cs="Times New Roman"/>
          <w:color w:val="auto"/>
          <w:kern w:val="0"/>
          <w:sz w:val="21"/>
          <w:szCs w:val="20"/>
          <w:lang w:val="en-US" w:eastAsia="zh-CN" w:bidi="ar-SA"/>
        </w:rPr>
        <w:t>NY/T 472  绿色食品  兽药使用准则</w:t>
      </w:r>
    </w:p>
    <w:p w14:paraId="23A8288C">
      <w:pPr>
        <w:adjustRightInd w:val="0"/>
        <w:snapToGrid w:val="0"/>
        <w:spacing w:line="300" w:lineRule="auto"/>
        <w:ind w:firstLine="420" w:firstLineChars="200"/>
        <w:rPr>
          <w:rFonts w:hint="eastAsia" w:ascii="宋体" w:hAnsi="Times New Roman" w:cs="Times New Roman"/>
          <w:color w:val="auto"/>
          <w:kern w:val="0"/>
          <w:sz w:val="21"/>
          <w:szCs w:val="20"/>
          <w:lang w:val="en-US" w:eastAsia="zh-CN" w:bidi="ar-SA"/>
        </w:rPr>
      </w:pPr>
      <w:r>
        <w:rPr>
          <w:rFonts w:hint="eastAsia" w:ascii="宋体" w:hAnsi="Times New Roman" w:cs="Times New Roman"/>
          <w:kern w:val="0"/>
          <w:sz w:val="21"/>
          <w:szCs w:val="20"/>
          <w:lang w:val="en-US" w:eastAsia="zh-CN" w:bidi="ar-SA"/>
        </w:rPr>
        <w:t>NY/T 473 绿色食品 畜禽卫生防疫准则</w:t>
      </w:r>
    </w:p>
    <w:p w14:paraId="3E5261D8">
      <w:pPr>
        <w:adjustRightInd w:val="0"/>
        <w:snapToGrid w:val="0"/>
        <w:spacing w:line="300" w:lineRule="auto"/>
        <w:ind w:firstLine="420" w:firstLineChars="200"/>
        <w:rPr>
          <w:rFonts w:hint="eastAsia" w:ascii="宋体" w:hAnsi="Times New Roman" w:cs="Times New Roman"/>
          <w:color w:val="auto"/>
          <w:kern w:val="2"/>
          <w:sz w:val="21"/>
          <w:szCs w:val="24"/>
          <w:lang w:val="en-US" w:eastAsia="zh-CN" w:bidi="ar-SA"/>
        </w:rPr>
      </w:pPr>
      <w:r>
        <w:rPr>
          <w:rFonts w:hint="default" w:ascii="宋体" w:hAnsi="Times New Roman" w:eastAsia="宋体" w:cs="Times New Roman"/>
          <w:color w:val="auto"/>
          <w:kern w:val="2"/>
          <w:sz w:val="21"/>
          <w:szCs w:val="24"/>
          <w:lang w:val="en-US" w:eastAsia="zh-CN" w:bidi="ar-SA"/>
        </w:rPr>
        <w:t>NY/T</w:t>
      </w:r>
      <w:r>
        <w:rPr>
          <w:rFonts w:hint="eastAsia" w:ascii="宋体" w:hAnsi="Times New Roman" w:cs="Times New Roman"/>
          <w:color w:val="auto"/>
          <w:kern w:val="2"/>
          <w:sz w:val="21"/>
          <w:szCs w:val="24"/>
          <w:lang w:val="en-US" w:eastAsia="zh-CN" w:bidi="ar-SA"/>
        </w:rPr>
        <w:t xml:space="preserve"> </w:t>
      </w:r>
      <w:r>
        <w:rPr>
          <w:rFonts w:hint="default" w:ascii="宋体" w:hAnsi="Times New Roman" w:eastAsia="宋体" w:cs="Times New Roman"/>
          <w:color w:val="auto"/>
          <w:kern w:val="2"/>
          <w:sz w:val="21"/>
          <w:szCs w:val="24"/>
          <w:lang w:val="en-US" w:eastAsia="zh-CN" w:bidi="ar-SA"/>
        </w:rPr>
        <w:t>815</w:t>
      </w:r>
      <w:r>
        <w:rPr>
          <w:rFonts w:hint="eastAsia" w:ascii="宋体" w:hAnsi="Times New Roman" w:cs="Times New Roman"/>
          <w:color w:val="auto"/>
          <w:kern w:val="2"/>
          <w:sz w:val="21"/>
          <w:szCs w:val="24"/>
          <w:lang w:val="en-US" w:eastAsia="zh-CN" w:bidi="ar-SA"/>
        </w:rPr>
        <w:t xml:space="preserve"> 肉牛饲养标准</w:t>
      </w:r>
    </w:p>
    <w:p w14:paraId="5D766E14">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1" w:lineRule="atLeast"/>
        <w:ind w:left="0" w:right="0" w:firstLine="420" w:firstLineChars="200"/>
        <w:rPr>
          <w:rFonts w:hint="eastAsia" w:ascii="宋体" w:hAnsi="Times New Roman" w:cs="Times New Roman"/>
          <w:color w:val="auto"/>
          <w:kern w:val="2"/>
          <w:sz w:val="21"/>
          <w:szCs w:val="24"/>
          <w:lang w:val="en-US" w:eastAsia="zh-CN" w:bidi="ar-SA"/>
        </w:rPr>
      </w:pPr>
      <w:r>
        <w:rPr>
          <w:rFonts w:hint="eastAsia" w:ascii="宋体" w:hAnsi="Times New Roman" w:eastAsia="宋体" w:cs="Times New Roman"/>
          <w:b w:val="0"/>
          <w:bCs w:val="0"/>
          <w:color w:val="auto"/>
          <w:kern w:val="0"/>
          <w:sz w:val="21"/>
          <w:szCs w:val="20"/>
          <w:lang w:val="en-US" w:eastAsia="zh-CN" w:bidi="ar-SA"/>
        </w:rPr>
        <w:t xml:space="preserve">NY/T 1339 </w:t>
      </w:r>
      <w:r>
        <w:rPr>
          <w:rFonts w:hint="default" w:ascii="宋体" w:hAnsi="Times New Roman" w:eastAsia="宋体" w:cs="Times New Roman"/>
          <w:b w:val="0"/>
          <w:bCs w:val="0"/>
          <w:color w:val="auto"/>
          <w:kern w:val="0"/>
          <w:sz w:val="21"/>
          <w:szCs w:val="20"/>
          <w:lang w:val="en-US" w:eastAsia="zh-CN" w:bidi="ar-SA"/>
        </w:rPr>
        <w:t>肉牛育肥良好管理规范</w:t>
      </w:r>
    </w:p>
    <w:p w14:paraId="79CE140F">
      <w:pPr>
        <w:adjustRightInd w:val="0"/>
        <w:snapToGrid w:val="0"/>
        <w:spacing w:line="300" w:lineRule="auto"/>
        <w:ind w:firstLine="420" w:firstLineChars="200"/>
        <w:rPr>
          <w:rFonts w:hint="eastAsia" w:ascii="宋体" w:hAnsi="Times New Roman" w:cs="Times New Roman"/>
          <w:kern w:val="0"/>
          <w:sz w:val="21"/>
          <w:szCs w:val="20"/>
          <w:lang w:val="en-US" w:eastAsia="zh-CN" w:bidi="ar-SA"/>
        </w:rPr>
      </w:pPr>
      <w:r>
        <w:rPr>
          <w:rFonts w:hint="eastAsia" w:ascii="宋体" w:hAnsi="Times New Roman" w:eastAsia="宋体" w:cs="Times New Roman"/>
          <w:color w:val="auto"/>
          <w:sz w:val="21"/>
          <w:lang w:val="en-US" w:eastAsia="zh-CN" w:bidi="ar-SA"/>
        </w:rPr>
        <w:t>NY</w:t>
      </w:r>
      <w:r>
        <w:rPr>
          <w:rFonts w:hint="eastAsia" w:ascii="宋体" w:hAnsi="Times New Roman" w:cs="Times New Roman"/>
          <w:color w:val="auto"/>
          <w:sz w:val="21"/>
          <w:lang w:val="en-US" w:eastAsia="zh-CN" w:bidi="ar-SA"/>
        </w:rPr>
        <w:t xml:space="preserve"> </w:t>
      </w:r>
      <w:r>
        <w:rPr>
          <w:rFonts w:hint="eastAsia" w:ascii="宋体" w:hAnsi="Times New Roman" w:eastAsia="宋体" w:cs="Times New Roman"/>
          <w:color w:val="auto"/>
          <w:sz w:val="21"/>
          <w:lang w:val="en-US" w:eastAsia="zh-CN" w:bidi="ar-SA"/>
        </w:rPr>
        <w:t>5126 无公害食品 肉牛饲养兽医防疫准则</w:t>
      </w:r>
    </w:p>
    <w:p w14:paraId="0DD4D234">
      <w:pPr>
        <w:pStyle w:val="105"/>
        <w:spacing w:before="312" w:after="312"/>
      </w:pPr>
      <w:bookmarkStart w:id="49" w:name="_Toc23029"/>
      <w:bookmarkStart w:id="50" w:name="_Toc150014768"/>
      <w:bookmarkStart w:id="51" w:name="_Toc97192966"/>
      <w:r>
        <w:rPr>
          <w:rFonts w:hint="eastAsia"/>
          <w:szCs w:val="21"/>
        </w:rPr>
        <w:t>术语和定义</w:t>
      </w:r>
      <w:bookmarkEnd w:id="49"/>
      <w:bookmarkEnd w:id="50"/>
      <w:bookmarkEnd w:id="51"/>
    </w:p>
    <w:sdt>
      <w:sdtPr>
        <w:id w:val="-1909835108"/>
        <w:placeholder>
          <w:docPart w:val="82FAD4B12AFB42FD997383B282BB9FD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0875875">
          <w:pPr>
            <w:pStyle w:val="57"/>
            <w:ind w:firstLine="420"/>
          </w:pPr>
          <w:bookmarkStart w:id="52" w:name="_Toc26986532"/>
          <w:bookmarkEnd w:id="52"/>
          <w:r>
            <w:rPr>
              <w:rFonts w:hint="eastAsia" w:ascii="Times New Roman" w:hAnsi="Times New Roman" w:eastAsia="宋体" w:cstheme="minorBidi"/>
              <w:kern w:val="2"/>
              <w:sz w:val="21"/>
              <w:szCs w:val="22"/>
              <w:lang w:val="en-US" w:eastAsia="zh-CN" w:bidi="ar-SA"/>
            </w:rPr>
            <w:t>本文件没有需要界定的术语定义。</w:t>
          </w:r>
        </w:p>
      </w:sdtContent>
    </w:sdt>
    <w:p w14:paraId="5570C7C7">
      <w:pPr>
        <w:pStyle w:val="105"/>
        <w:spacing w:before="240" w:after="240"/>
        <w:rPr>
          <w:rFonts w:ascii="宋体" w:eastAsia="宋体"/>
          <w:sz w:val="21"/>
        </w:rPr>
      </w:pPr>
      <w:bookmarkStart w:id="53" w:name="_Toc13291"/>
      <w:r>
        <w:rPr>
          <w:rFonts w:hint="eastAsia" w:cs="Times New Roman"/>
          <w:lang w:val="en-US" w:eastAsia="zh-CN"/>
        </w:rPr>
        <w:t>牛场</w:t>
      </w:r>
      <w:r>
        <w:rPr>
          <w:rFonts w:hint="eastAsia" w:hAnsi="Times New Roman" w:cs="Times New Roman"/>
          <w:lang w:val="en-US" w:eastAsia="zh-CN"/>
        </w:rPr>
        <w:t>环境与</w:t>
      </w:r>
      <w:bookmarkStart w:id="54" w:name="_Toc483057733"/>
      <w:r>
        <w:rPr>
          <w:rFonts w:hint="eastAsia" w:cs="Times New Roman"/>
          <w:lang w:val="en-US" w:eastAsia="zh-CN"/>
        </w:rPr>
        <w:t>设施设备</w:t>
      </w:r>
      <w:bookmarkEnd w:id="53"/>
    </w:p>
    <w:p w14:paraId="1F3CC947">
      <w:pPr>
        <w:pStyle w:val="106"/>
        <w:spacing w:before="156" w:after="156"/>
        <w:rPr>
          <w:rFonts w:hint="eastAsia" w:hAnsi="Times New Roman" w:cs="Times New Roman"/>
          <w:lang w:val="en-US" w:eastAsia="zh-CN"/>
        </w:rPr>
      </w:pPr>
      <w:bookmarkStart w:id="55" w:name="_Toc16632"/>
      <w:r>
        <w:rPr>
          <w:rFonts w:hint="eastAsia" w:hAnsi="Times New Roman" w:cs="Times New Roman"/>
          <w:lang w:val="en-US" w:eastAsia="zh-CN"/>
        </w:rPr>
        <w:t>牛场环境</w:t>
      </w:r>
      <w:bookmarkEnd w:id="55"/>
    </w:p>
    <w:p w14:paraId="2E5CD15C">
      <w:pPr>
        <w:pStyle w:val="66"/>
        <w:spacing w:before="156" w:after="156"/>
        <w:rPr>
          <w:rFonts w:hint="default" w:ascii="宋体" w:hAnsi="Times New Roman" w:eastAsia="宋体" w:cs="Times New Roman"/>
          <w:kern w:val="2"/>
          <w:sz w:val="21"/>
          <w:szCs w:val="24"/>
          <w:lang w:val="en-US" w:eastAsia="zh-CN" w:bidi="ar-SA"/>
        </w:rPr>
      </w:pPr>
      <w:r>
        <w:rPr>
          <w:rFonts w:hint="eastAsia" w:ascii="宋体" w:hAnsi="Times New Roman" w:eastAsia="宋体" w:cs="Times New Roman"/>
          <w:kern w:val="2"/>
          <w:sz w:val="21"/>
          <w:szCs w:val="24"/>
          <w:lang w:val="en-US" w:eastAsia="zh-CN" w:bidi="ar-SA"/>
        </w:rPr>
        <w:t>牛场选址应符合当地土地利用规划和养殖要求。</w:t>
      </w:r>
    </w:p>
    <w:p w14:paraId="4CEDF688">
      <w:pPr>
        <w:pStyle w:val="66"/>
        <w:spacing w:before="156" w:after="156"/>
        <w:rPr>
          <w:rFonts w:hint="default" w:ascii="宋体" w:hAnsi="Times New Roman" w:eastAsia="宋体" w:cs="Times New Roman"/>
          <w:kern w:val="2"/>
          <w:sz w:val="21"/>
          <w:szCs w:val="24"/>
          <w:lang w:val="en-US" w:eastAsia="zh-CN" w:bidi="ar-SA"/>
        </w:rPr>
      </w:pPr>
      <w:r>
        <w:rPr>
          <w:rFonts w:hint="eastAsia" w:ascii="宋体" w:hAnsi="Times New Roman" w:eastAsia="宋体" w:cs="Times New Roman"/>
          <w:kern w:val="2"/>
          <w:sz w:val="21"/>
          <w:szCs w:val="24"/>
          <w:lang w:val="en-US" w:eastAsia="zh-CN" w:bidi="ar-SA"/>
        </w:rPr>
        <w:t>养殖场选址应地势高燥、背风</w:t>
      </w:r>
      <w:r>
        <w:rPr>
          <w:rFonts w:hint="eastAsia" w:ascii="宋体" w:eastAsia="宋体"/>
          <w:sz w:val="21"/>
          <w:lang w:val="en-US" w:eastAsia="zh-CN"/>
        </w:rPr>
        <w:t>向阳、</w:t>
      </w:r>
      <w:r>
        <w:rPr>
          <w:rFonts w:hint="eastAsia" w:ascii="宋体" w:hAnsi="Times New Roman" w:eastAsia="宋体" w:cs="Times New Roman"/>
          <w:kern w:val="2"/>
          <w:sz w:val="21"/>
          <w:szCs w:val="24"/>
          <w:lang w:val="en-US" w:eastAsia="zh-CN" w:bidi="ar-SA"/>
        </w:rPr>
        <w:t>水源充足、排水良好、交通便利并远离污染源。牛场应距离干线公路、铁路、居民区、公共场所500m以上。牛场内不应饲养其他经济用途的动物。牛场环境应符合NY/T388和NY/T391的规定。</w:t>
      </w:r>
    </w:p>
    <w:p w14:paraId="3C2BA561">
      <w:pPr>
        <w:pStyle w:val="106"/>
        <w:spacing w:before="156" w:after="156"/>
        <w:rPr>
          <w:rFonts w:hint="eastAsia" w:hAnsi="Times New Roman" w:cs="Times New Roman"/>
          <w:lang w:val="en-US" w:eastAsia="zh-CN"/>
        </w:rPr>
      </w:pPr>
      <w:bookmarkStart w:id="56" w:name="_Toc26358"/>
      <w:r>
        <w:rPr>
          <w:rFonts w:hint="eastAsia" w:hAnsi="Times New Roman" w:cs="Times New Roman"/>
          <w:lang w:val="en-US" w:eastAsia="zh-CN"/>
        </w:rPr>
        <w:t>布局</w:t>
      </w:r>
      <w:bookmarkEnd w:id="56"/>
    </w:p>
    <w:p w14:paraId="5F04BBCF">
      <w:pPr>
        <w:pStyle w:val="66"/>
        <w:numPr>
          <w:numId w:val="0"/>
        </w:numPr>
        <w:spacing w:before="156" w:after="156"/>
        <w:ind w:leftChars="0" w:firstLine="420" w:firstLineChars="200"/>
        <w:rPr>
          <w:rFonts w:hint="default" w:ascii="宋体" w:hAnsi="Times New Roman" w:eastAsia="宋体" w:cs="Times New Roman"/>
          <w:kern w:val="2"/>
          <w:sz w:val="21"/>
          <w:szCs w:val="24"/>
          <w:lang w:val="en-US" w:eastAsia="zh-CN" w:bidi="ar-SA"/>
        </w:rPr>
      </w:pPr>
      <w:r>
        <w:rPr>
          <w:rFonts w:hint="eastAsia" w:ascii="宋体" w:hAnsi="Times New Roman" w:eastAsia="宋体" w:cs="Times New Roman"/>
          <w:sz w:val="21"/>
          <w:szCs w:val="20"/>
          <w:lang w:val="en-US" w:eastAsia="zh-CN" w:bidi="ar-SA"/>
        </w:rPr>
        <w:t>牛</w:t>
      </w:r>
      <w:r>
        <w:rPr>
          <w:rFonts w:hint="eastAsia" w:ascii="宋体" w:hAnsi="Times New Roman" w:eastAsia="宋体" w:cs="Times New Roman"/>
          <w:kern w:val="2"/>
          <w:sz w:val="21"/>
          <w:szCs w:val="24"/>
          <w:lang w:val="en-US" w:eastAsia="zh-CN" w:bidi="ar-SA"/>
        </w:rPr>
        <w:t>场各区布局全面合理，应设办公区、生活区、生产区（饲草料区、牛舍、运动场）、粪污处理区和病畜隔离区，各区界限分明，生活区设在场区上风向。牛场应设净道和污道，净污两道界限分明，互不交叉。</w:t>
      </w:r>
    </w:p>
    <w:p w14:paraId="37996E0C">
      <w:pPr>
        <w:pStyle w:val="106"/>
        <w:spacing w:before="156" w:after="156"/>
        <w:rPr>
          <w:rFonts w:hint="eastAsia" w:hAnsi="Times New Roman" w:cs="Times New Roman"/>
          <w:lang w:val="en-US" w:eastAsia="zh-CN"/>
        </w:rPr>
      </w:pPr>
      <w:bookmarkStart w:id="57" w:name="_Toc29632"/>
      <w:r>
        <w:rPr>
          <w:rFonts w:hint="eastAsia" w:hAnsi="Times New Roman" w:cs="Times New Roman"/>
          <w:lang w:val="en-US" w:eastAsia="zh-CN"/>
        </w:rPr>
        <w:t>牛舍</w:t>
      </w:r>
      <w:bookmarkEnd w:id="57"/>
    </w:p>
    <w:p w14:paraId="5F4574F5">
      <w:pPr>
        <w:pStyle w:val="66"/>
        <w:spacing w:before="156" w:after="156"/>
        <w:rPr>
          <w:rFonts w:hint="eastAsia" w:ascii="宋体" w:hAnsi="Times New Roman" w:eastAsia="宋体" w:cs="Times New Roman"/>
          <w:kern w:val="2"/>
          <w:sz w:val="21"/>
          <w:szCs w:val="24"/>
          <w:lang w:val="en-US" w:eastAsia="zh-CN" w:bidi="ar-SA"/>
        </w:rPr>
      </w:pPr>
      <w:r>
        <w:rPr>
          <w:rFonts w:hint="eastAsia" w:ascii="宋体" w:hAnsi="Times New Roman" w:eastAsia="宋体" w:cs="Times New Roman"/>
          <w:kern w:val="2"/>
          <w:sz w:val="21"/>
          <w:szCs w:val="24"/>
          <w:lang w:val="en-US" w:eastAsia="zh-CN" w:bidi="ar-SA"/>
        </w:rPr>
        <w:t>牛舍可选择半开放或封闭式，应经济实用。牛舍应冬防寒、夏防暑</w:t>
      </w:r>
      <w:r>
        <w:rPr>
          <w:rFonts w:hint="eastAsia" w:ascii="宋体" w:eastAsia="宋体" w:cs="Times New Roman"/>
          <w:kern w:val="2"/>
          <w:sz w:val="21"/>
          <w:szCs w:val="24"/>
          <w:lang w:val="en-US" w:eastAsia="zh-CN" w:bidi="ar-SA"/>
        </w:rPr>
        <w:t>，</w:t>
      </w:r>
      <w:r>
        <w:rPr>
          <w:rFonts w:hint="eastAsia" w:ascii="宋体" w:hAnsi="Times New Roman" w:eastAsia="宋体" w:cs="Times New Roman"/>
          <w:kern w:val="2"/>
          <w:sz w:val="21"/>
          <w:szCs w:val="24"/>
          <w:lang w:val="en-US" w:eastAsia="zh-CN" w:bidi="ar-SA"/>
        </w:rPr>
        <w:t>通风与采光良好</w:t>
      </w:r>
      <w:r>
        <w:rPr>
          <w:rFonts w:hint="eastAsia" w:ascii="宋体" w:eastAsia="宋体" w:cs="Times New Roman"/>
          <w:kern w:val="2"/>
          <w:sz w:val="21"/>
          <w:szCs w:val="24"/>
          <w:lang w:val="en-US" w:eastAsia="zh-CN" w:bidi="ar-SA"/>
        </w:rPr>
        <w:t>，</w:t>
      </w:r>
      <w:r>
        <w:rPr>
          <w:rFonts w:hint="eastAsia" w:ascii="宋体" w:hAnsi="Times New Roman" w:eastAsia="宋体" w:cs="Times New Roman"/>
          <w:kern w:val="2"/>
          <w:sz w:val="21"/>
          <w:szCs w:val="24"/>
          <w:lang w:val="en-US" w:eastAsia="zh-CN" w:bidi="ar-SA"/>
        </w:rPr>
        <w:t>舍内</w:t>
      </w:r>
      <w:r>
        <w:rPr>
          <w:rFonts w:hint="eastAsia" w:ascii="宋体" w:eastAsia="宋体" w:cs="Times New Roman"/>
          <w:kern w:val="2"/>
          <w:sz w:val="21"/>
          <w:szCs w:val="24"/>
          <w:lang w:val="en-US" w:eastAsia="zh-CN" w:bidi="ar-SA"/>
        </w:rPr>
        <w:t>保持</w:t>
      </w:r>
      <w:r>
        <w:rPr>
          <w:rFonts w:hint="eastAsia" w:ascii="宋体" w:hAnsi="Times New Roman" w:eastAsia="宋体" w:cs="Times New Roman"/>
          <w:kern w:val="2"/>
          <w:sz w:val="21"/>
          <w:szCs w:val="24"/>
          <w:lang w:val="en-US" w:eastAsia="zh-CN" w:bidi="ar-SA"/>
        </w:rPr>
        <w:t>干燥。牛舍地面防水防滑且易于排水。牛舍屋顶材质应质轻、防水火、保温隔热。牛舍内应设置饲槽、自动饮水装置、饲料通道、粪污沟</w:t>
      </w:r>
      <w:r>
        <w:rPr>
          <w:rFonts w:hint="eastAsia" w:ascii="宋体" w:eastAsia="宋体" w:cs="Times New Roman"/>
          <w:kern w:val="2"/>
          <w:sz w:val="21"/>
          <w:szCs w:val="24"/>
          <w:lang w:val="en-US" w:eastAsia="zh-CN" w:bidi="ar-SA"/>
        </w:rPr>
        <w:t>。</w:t>
      </w:r>
      <w:r>
        <w:rPr>
          <w:rFonts w:hint="eastAsia" w:ascii="宋体" w:hAnsi="Times New Roman" w:eastAsia="宋体" w:cs="Times New Roman"/>
          <w:kern w:val="2"/>
          <w:sz w:val="21"/>
          <w:szCs w:val="24"/>
          <w:lang w:val="en-US" w:eastAsia="zh-CN" w:bidi="ar-SA"/>
        </w:rPr>
        <w:t>饲槽易于取食与清理，每2头牛设置1个自动饮水装置</w:t>
      </w:r>
      <w:r>
        <w:rPr>
          <w:rFonts w:hint="eastAsia" w:ascii="宋体" w:eastAsia="宋体" w:cs="Times New Roman"/>
          <w:kern w:val="2"/>
          <w:sz w:val="21"/>
          <w:szCs w:val="24"/>
          <w:lang w:val="en-US" w:eastAsia="zh-CN" w:bidi="ar-SA"/>
        </w:rPr>
        <w:t>，</w:t>
      </w:r>
      <w:r>
        <w:rPr>
          <w:rFonts w:hint="eastAsia" w:ascii="宋体" w:hAnsi="Times New Roman" w:eastAsia="宋体" w:cs="Times New Roman"/>
          <w:kern w:val="2"/>
          <w:sz w:val="21"/>
          <w:szCs w:val="24"/>
          <w:lang w:val="en-US" w:eastAsia="zh-CN" w:bidi="ar-SA"/>
        </w:rPr>
        <w:t>饲料通道便于机械化投料设备通行，粪污沟易于清洁排污。</w:t>
      </w:r>
    </w:p>
    <w:p w14:paraId="64A2C85B">
      <w:pPr>
        <w:pStyle w:val="66"/>
        <w:spacing w:before="156" w:after="156"/>
        <w:rPr>
          <w:rFonts w:hint="default" w:ascii="宋体" w:cs="Times New Roman"/>
          <w:sz w:val="21"/>
          <w:lang w:val="en-US" w:eastAsia="zh-CN"/>
        </w:rPr>
      </w:pPr>
      <w:r>
        <w:rPr>
          <w:rFonts w:hint="eastAsia" w:ascii="宋体" w:hAnsi="Times New Roman" w:eastAsia="宋体" w:cs="Times New Roman"/>
          <w:kern w:val="2"/>
          <w:sz w:val="21"/>
          <w:szCs w:val="24"/>
          <w:lang w:val="en-US" w:eastAsia="zh-CN" w:bidi="ar-SA"/>
        </w:rPr>
        <w:t>规模化</w:t>
      </w:r>
      <w:r>
        <w:rPr>
          <w:rFonts w:hint="eastAsia" w:ascii="宋体" w:eastAsia="宋体" w:cs="Times New Roman"/>
          <w:kern w:val="2"/>
          <w:sz w:val="21"/>
          <w:szCs w:val="24"/>
          <w:lang w:val="en-US" w:eastAsia="zh-CN" w:bidi="ar-SA"/>
        </w:rPr>
        <w:t>养殖场应建有单独的母牛舍、犊牛舍、育成牛舍、育肥牛舍并配备运动场。</w:t>
      </w:r>
    </w:p>
    <w:p w14:paraId="7669BB67">
      <w:pPr>
        <w:pStyle w:val="106"/>
        <w:spacing w:before="156" w:after="156"/>
        <w:rPr>
          <w:rFonts w:hint="default" w:hAnsi="Times New Roman" w:cs="Times New Roman"/>
          <w:lang w:val="en-US" w:eastAsia="zh-CN"/>
        </w:rPr>
      </w:pPr>
      <w:bookmarkStart w:id="58" w:name="_Toc24197"/>
      <w:r>
        <w:rPr>
          <w:rFonts w:hint="eastAsia" w:hAnsi="Times New Roman" w:cs="Times New Roman"/>
          <w:lang w:val="en-US" w:eastAsia="zh-CN"/>
        </w:rPr>
        <w:t>设施设备</w:t>
      </w:r>
      <w:bookmarkEnd w:id="58"/>
    </w:p>
    <w:p w14:paraId="30F89F35">
      <w:pPr>
        <w:pStyle w:val="66"/>
        <w:numPr>
          <w:ilvl w:val="3"/>
          <w:numId w:val="0"/>
        </w:numPr>
        <w:spacing w:before="156" w:after="156"/>
        <w:ind w:leftChars="0" w:firstLine="420" w:firstLineChars="200"/>
        <w:rPr>
          <w:rFonts w:hint="eastAsia" w:ascii="宋体" w:eastAsia="宋体" w:cs="Times New Roman"/>
          <w:kern w:val="2"/>
          <w:sz w:val="21"/>
          <w:szCs w:val="24"/>
          <w:lang w:val="en-US" w:eastAsia="zh-CN" w:bidi="ar-SA"/>
        </w:rPr>
      </w:pPr>
      <w:r>
        <w:rPr>
          <w:rFonts w:hint="eastAsia" w:ascii="宋体" w:eastAsia="宋体" w:cs="Times New Roman"/>
          <w:kern w:val="2"/>
          <w:sz w:val="21"/>
          <w:szCs w:val="24"/>
          <w:lang w:val="en-US" w:eastAsia="zh-CN" w:bidi="ar-SA"/>
        </w:rPr>
        <w:t>张家川红花牛规模化养殖场应配备饲草料加工设备、自动化喂料及饮水设备、自动化牛只管理设备（个体识别、称重设备）、清粪设备、智能化环境监控与调控设备、防疫消毒设施设备及信息化管理系统。</w:t>
      </w:r>
    </w:p>
    <w:p w14:paraId="512AC99B">
      <w:pPr>
        <w:pStyle w:val="105"/>
        <w:spacing w:before="240" w:after="240"/>
        <w:rPr>
          <w:rFonts w:hint="default" w:hAnsi="Times New Roman" w:cs="Times New Roman"/>
          <w:lang w:val="en-US" w:eastAsia="zh-CN"/>
        </w:rPr>
      </w:pPr>
      <w:bookmarkStart w:id="59" w:name="_Toc639"/>
      <w:r>
        <w:rPr>
          <w:rFonts w:hint="eastAsia" w:hAnsi="Times New Roman" w:cs="Times New Roman"/>
          <w:lang w:val="en-US" w:eastAsia="zh-CN"/>
        </w:rPr>
        <w:t>饲料与营养需要</w:t>
      </w:r>
      <w:bookmarkEnd w:id="59"/>
    </w:p>
    <w:p w14:paraId="745CECDE">
      <w:pPr>
        <w:pStyle w:val="106"/>
        <w:spacing w:before="156" w:after="156"/>
        <w:rPr>
          <w:rFonts w:hint="default" w:hAnsi="Times New Roman" w:cs="Times New Roman"/>
          <w:lang w:val="en-US" w:eastAsia="zh-CN"/>
        </w:rPr>
      </w:pPr>
      <w:bookmarkStart w:id="60" w:name="_Toc25252"/>
      <w:r>
        <w:rPr>
          <w:rFonts w:hint="default" w:hAnsi="Times New Roman" w:cs="Times New Roman"/>
          <w:lang w:val="en-US" w:eastAsia="zh-CN"/>
        </w:rPr>
        <w:t>饲</w:t>
      </w:r>
      <w:r>
        <w:rPr>
          <w:rFonts w:hint="eastAsia" w:hAnsi="Times New Roman" w:cs="Times New Roman"/>
          <w:lang w:val="en-US" w:eastAsia="zh-CN"/>
        </w:rPr>
        <w:t>料</w:t>
      </w:r>
      <w:bookmarkEnd w:id="60"/>
    </w:p>
    <w:p w14:paraId="4D41CEA4">
      <w:pPr>
        <w:pStyle w:val="66"/>
        <w:numPr>
          <w:ilvl w:val="3"/>
          <w:numId w:val="0"/>
        </w:numPr>
        <w:spacing w:before="156" w:after="156"/>
        <w:ind w:leftChars="0" w:firstLine="420" w:firstLineChars="200"/>
        <w:rPr>
          <w:rFonts w:hint="eastAsia" w:ascii="宋体" w:eastAsia="宋体" w:cs="Times New Roman"/>
          <w:kern w:val="2"/>
          <w:sz w:val="21"/>
          <w:szCs w:val="24"/>
          <w:lang w:val="en-US" w:eastAsia="zh-CN" w:bidi="ar-SA"/>
        </w:rPr>
      </w:pPr>
      <w:r>
        <w:rPr>
          <w:rFonts w:hint="eastAsia" w:ascii="宋体" w:eastAsia="宋体" w:cs="Times New Roman"/>
          <w:kern w:val="2"/>
          <w:sz w:val="21"/>
          <w:szCs w:val="24"/>
          <w:lang w:val="en-US" w:eastAsia="zh-CN" w:bidi="ar-SA"/>
        </w:rPr>
        <w:t>优先选用张家川当地优质牧草、秸秆和青贮饲料。饲料、饲料原料和饲料添加剂应符合NY/T471的规定。所使用的粗饲料、精饲料、饲料添加剂、舔砖等质量安全控制按照GB 13078的规定执行。</w:t>
      </w:r>
    </w:p>
    <w:p w14:paraId="2F9EF701">
      <w:pPr>
        <w:pStyle w:val="106"/>
        <w:spacing w:before="156" w:after="156"/>
        <w:rPr>
          <w:rFonts w:hint="default" w:hAnsi="Times New Roman" w:cs="Times New Roman"/>
          <w:lang w:val="en-US" w:eastAsia="zh-CN"/>
        </w:rPr>
      </w:pPr>
      <w:bookmarkStart w:id="61" w:name="_Toc13097"/>
      <w:r>
        <w:rPr>
          <w:rFonts w:hint="eastAsia" w:hAnsi="Times New Roman" w:cs="Times New Roman"/>
          <w:lang w:val="en-US" w:eastAsia="zh-CN"/>
        </w:rPr>
        <w:t>营养需要</w:t>
      </w:r>
      <w:bookmarkEnd w:id="61"/>
    </w:p>
    <w:p w14:paraId="3200CEB0">
      <w:pPr>
        <w:pStyle w:val="66"/>
        <w:numPr>
          <w:ilvl w:val="3"/>
          <w:numId w:val="0"/>
        </w:numPr>
        <w:spacing w:before="156" w:after="156"/>
        <w:ind w:leftChars="0" w:firstLine="420" w:firstLineChars="200"/>
        <w:rPr>
          <w:rFonts w:hint="default" w:ascii="宋体" w:eastAsia="宋体" w:cs="Times New Roman"/>
          <w:kern w:val="2"/>
          <w:sz w:val="21"/>
          <w:szCs w:val="24"/>
          <w:lang w:val="en-US" w:eastAsia="zh-CN" w:bidi="ar-SA"/>
        </w:rPr>
      </w:pPr>
      <w:r>
        <w:rPr>
          <w:rFonts w:hint="eastAsia" w:ascii="宋体" w:eastAsia="宋体" w:cs="Times New Roman"/>
          <w:kern w:val="2"/>
          <w:sz w:val="21"/>
          <w:szCs w:val="24"/>
          <w:lang w:val="en-US" w:eastAsia="zh-CN" w:bidi="ar-SA"/>
        </w:rPr>
        <w:t>不同阶段红花牛饲养标准</w:t>
      </w:r>
      <w:r>
        <w:rPr>
          <w:rFonts w:hint="default" w:ascii="宋体" w:eastAsia="宋体" w:cs="Times New Roman"/>
          <w:kern w:val="2"/>
          <w:sz w:val="21"/>
          <w:szCs w:val="24"/>
          <w:lang w:val="en-US" w:eastAsia="zh-CN" w:bidi="ar-SA"/>
        </w:rPr>
        <w:t>应符合NY/T 815</w:t>
      </w:r>
      <w:r>
        <w:rPr>
          <w:rFonts w:hint="eastAsia" w:ascii="宋体" w:eastAsia="宋体" w:cs="Times New Roman"/>
          <w:kern w:val="2"/>
          <w:sz w:val="21"/>
          <w:szCs w:val="24"/>
          <w:lang w:val="en-US" w:eastAsia="zh-CN" w:bidi="ar-SA"/>
        </w:rPr>
        <w:t>的规定，</w:t>
      </w:r>
      <w:r>
        <w:rPr>
          <w:rFonts w:hint="default" w:ascii="宋体" w:eastAsia="宋体" w:cs="Times New Roman"/>
          <w:kern w:val="2"/>
          <w:sz w:val="21"/>
          <w:szCs w:val="24"/>
          <w:lang w:val="en-US" w:eastAsia="zh-CN" w:bidi="ar-SA"/>
        </w:rPr>
        <w:t>日粮营养配比应满足不同阶段牛只的</w:t>
      </w:r>
      <w:r>
        <w:rPr>
          <w:rFonts w:hint="eastAsia" w:ascii="宋体" w:eastAsia="宋体" w:cs="Times New Roman"/>
          <w:kern w:val="2"/>
          <w:sz w:val="21"/>
          <w:szCs w:val="24"/>
          <w:lang w:val="en-US" w:eastAsia="zh-CN" w:bidi="ar-SA"/>
        </w:rPr>
        <w:t>营养需要</w:t>
      </w:r>
      <w:r>
        <w:rPr>
          <w:rFonts w:hint="default" w:ascii="宋体" w:eastAsia="宋体" w:cs="Times New Roman"/>
          <w:kern w:val="2"/>
          <w:sz w:val="21"/>
          <w:szCs w:val="24"/>
          <w:lang w:val="en-US" w:eastAsia="zh-CN" w:bidi="ar-SA"/>
        </w:rPr>
        <w:t>，蛋白质、能量、维生素和矿物质含量平衡，可采用全混合日粮（TMR）等饲喂方式</w:t>
      </w:r>
      <w:r>
        <w:rPr>
          <w:rFonts w:hint="eastAsia" w:ascii="宋体" w:eastAsia="宋体" w:cs="Times New Roman"/>
          <w:kern w:val="2"/>
          <w:sz w:val="21"/>
          <w:szCs w:val="24"/>
          <w:lang w:val="en-US" w:eastAsia="zh-CN" w:bidi="ar-SA"/>
        </w:rPr>
        <w:t>。</w:t>
      </w:r>
    </w:p>
    <w:p w14:paraId="12CA6CA8">
      <w:pPr>
        <w:pStyle w:val="105"/>
        <w:spacing w:before="240" w:after="240"/>
        <w:rPr>
          <w:rFonts w:hint="default" w:hAnsi="Times New Roman" w:cs="Times New Roman"/>
          <w:lang w:val="en-US" w:eastAsia="zh-CN"/>
        </w:rPr>
      </w:pPr>
      <w:bookmarkStart w:id="62" w:name="_Toc12075"/>
      <w:r>
        <w:rPr>
          <w:rFonts w:hint="eastAsia" w:hAnsi="Times New Roman" w:cs="Times New Roman"/>
          <w:lang w:val="en-US" w:eastAsia="zh-CN"/>
        </w:rPr>
        <w:t>不同阶段牛饲养管理</w:t>
      </w:r>
      <w:bookmarkEnd w:id="62"/>
    </w:p>
    <w:p w14:paraId="483BB1BE">
      <w:pPr>
        <w:pStyle w:val="106"/>
        <w:spacing w:before="156" w:after="156"/>
        <w:rPr>
          <w:rFonts w:hint="default" w:hAnsi="Times New Roman" w:cs="Times New Roman"/>
          <w:lang w:val="en-US" w:eastAsia="zh-CN"/>
        </w:rPr>
      </w:pPr>
      <w:bookmarkStart w:id="63" w:name="_Toc28964"/>
      <w:r>
        <w:rPr>
          <w:rFonts w:hint="eastAsia" w:hAnsi="Times New Roman" w:cs="Times New Roman"/>
          <w:lang w:val="en-US" w:eastAsia="zh-CN"/>
        </w:rPr>
        <w:t>犊牛</w:t>
      </w:r>
      <w:bookmarkEnd w:id="63"/>
    </w:p>
    <w:p w14:paraId="193A034D">
      <w:pPr>
        <w:pStyle w:val="166"/>
        <w:rPr>
          <w:rFonts w:hint="default" w:ascii="宋体" w:hAnsi="Times New Roman" w:eastAsia="宋体" w:cs="Times New Roman"/>
          <w:lang w:val="en-US" w:eastAsia="zh-CN"/>
        </w:rPr>
      </w:pPr>
      <w:r>
        <w:rPr>
          <w:rFonts w:hint="default" w:ascii="宋体" w:hAnsi="Times New Roman" w:eastAsia="宋体" w:cs="Times New Roman"/>
          <w:lang w:val="en-US" w:eastAsia="zh-CN"/>
        </w:rPr>
        <w:t>犊牛出生后</w:t>
      </w:r>
      <w:r>
        <w:rPr>
          <w:rFonts w:hint="eastAsia" w:ascii="宋体" w:hAnsi="Times New Roman" w:eastAsia="宋体" w:cs="Times New Roman"/>
          <w:lang w:val="en-US" w:eastAsia="zh-CN"/>
        </w:rPr>
        <w:t>立即清理</w:t>
      </w:r>
      <w:r>
        <w:rPr>
          <w:rFonts w:hint="default" w:ascii="宋体" w:hAnsi="Times New Roman" w:eastAsia="宋体" w:cs="Times New Roman"/>
          <w:lang w:val="en-US" w:eastAsia="zh-CN"/>
        </w:rPr>
        <w:t>口鼻分泌物，</w:t>
      </w:r>
      <w:r>
        <w:rPr>
          <w:rFonts w:hint="eastAsia" w:ascii="宋体" w:hAnsi="Times New Roman" w:eastAsia="宋体" w:cs="Times New Roman"/>
          <w:lang w:val="en-US" w:eastAsia="zh-CN"/>
        </w:rPr>
        <w:t>待母牛舔干羊水，1小时内哺喂充足初乳</w:t>
      </w:r>
      <w:r>
        <w:rPr>
          <w:rFonts w:hint="eastAsia" w:cs="Times New Roman"/>
          <w:lang w:val="en-US" w:eastAsia="zh-CN"/>
        </w:rPr>
        <w:t>。</w:t>
      </w:r>
      <w:r>
        <w:rPr>
          <w:rFonts w:hint="eastAsia" w:ascii="宋体" w:hAnsi="Times New Roman" w:eastAsia="宋体" w:cs="Times New Roman"/>
          <w:lang w:val="en-US" w:eastAsia="zh-CN"/>
        </w:rPr>
        <w:t>科学断脐，</w:t>
      </w:r>
      <w:r>
        <w:rPr>
          <w:rFonts w:hint="default" w:ascii="宋体" w:hAnsi="Times New Roman" w:eastAsia="宋体" w:cs="Times New Roman"/>
          <w:lang w:val="en-US" w:eastAsia="zh-CN"/>
        </w:rPr>
        <w:t>同时做好编号、标</w:t>
      </w:r>
      <w:r>
        <w:rPr>
          <w:rFonts w:hint="eastAsia" w:ascii="宋体" w:hAnsi="Times New Roman" w:eastAsia="宋体" w:cs="Times New Roman"/>
          <w:lang w:val="en-US" w:eastAsia="zh-CN"/>
        </w:rPr>
        <w:t>识</w:t>
      </w:r>
      <w:r>
        <w:rPr>
          <w:rFonts w:hint="default" w:ascii="宋体" w:hAnsi="Times New Roman" w:eastAsia="宋体" w:cs="Times New Roman"/>
          <w:lang w:val="en-US" w:eastAsia="zh-CN"/>
        </w:rPr>
        <w:t>和建档。</w:t>
      </w:r>
    </w:p>
    <w:p w14:paraId="045CB19C">
      <w:pPr>
        <w:pStyle w:val="166"/>
        <w:rPr>
          <w:rFonts w:hint="default" w:ascii="宋体" w:hAnsi="Times New Roman" w:eastAsia="宋体" w:cs="Times New Roman"/>
          <w:lang w:val="en-US" w:eastAsia="zh-CN"/>
        </w:rPr>
      </w:pPr>
      <w:r>
        <w:rPr>
          <w:rFonts w:hint="default" w:ascii="宋体" w:hAnsi="Times New Roman" w:eastAsia="宋体" w:cs="Times New Roman"/>
          <w:lang w:val="en-US" w:eastAsia="zh-CN"/>
        </w:rPr>
        <w:t>产后</w:t>
      </w:r>
      <w:r>
        <w:rPr>
          <w:rFonts w:hint="eastAsia" w:ascii="宋体" w:hAnsi="Times New Roman" w:eastAsia="宋体" w:cs="Times New Roman"/>
          <w:lang w:val="en-US" w:eastAsia="zh-CN"/>
        </w:rPr>
        <w:t>犊牛需</w:t>
      </w:r>
      <w:r>
        <w:rPr>
          <w:rFonts w:hint="default" w:ascii="宋体" w:hAnsi="Times New Roman" w:eastAsia="宋体" w:cs="Times New Roman"/>
          <w:lang w:val="en-US" w:eastAsia="zh-CN"/>
        </w:rPr>
        <w:t>保温防暑</w:t>
      </w:r>
      <w:r>
        <w:rPr>
          <w:rFonts w:hint="eastAsia" w:ascii="宋体" w:hAnsi="Times New Roman" w:eastAsia="宋体" w:cs="Times New Roman"/>
          <w:lang w:val="en-US" w:eastAsia="zh-CN"/>
        </w:rPr>
        <w:t>，加强犊牛采食、排便、断脐后状态等健康状况观察，发现异常及时诊治</w:t>
      </w:r>
      <w:r>
        <w:rPr>
          <w:rFonts w:hint="default" w:ascii="宋体" w:hAnsi="Times New Roman" w:eastAsia="宋体" w:cs="Times New Roman"/>
          <w:lang w:val="en-US" w:eastAsia="zh-CN"/>
        </w:rPr>
        <w:t>。</w:t>
      </w:r>
    </w:p>
    <w:p w14:paraId="14A32F79">
      <w:pPr>
        <w:pStyle w:val="166"/>
        <w:rPr>
          <w:rFonts w:hint="default" w:ascii="宋体" w:hAnsi="Times New Roman" w:eastAsia="宋体" w:cs="Times New Roman"/>
          <w:lang w:val="en-US" w:eastAsia="zh-CN"/>
        </w:rPr>
      </w:pPr>
      <w:r>
        <w:rPr>
          <w:rFonts w:hint="eastAsia" w:ascii="宋体" w:hAnsi="Times New Roman" w:eastAsia="宋体" w:cs="Times New Roman"/>
          <w:lang w:val="en-US" w:eastAsia="zh-CN"/>
        </w:rPr>
        <w:t>采用逐渐断奶法，</w:t>
      </w:r>
      <w:r>
        <w:rPr>
          <w:rFonts w:hint="default" w:ascii="宋体" w:hAnsi="Times New Roman" w:eastAsia="宋体" w:cs="Times New Roman"/>
          <w:lang w:val="en-US" w:eastAsia="zh-CN"/>
        </w:rPr>
        <w:t>7日龄后</w:t>
      </w:r>
      <w:r>
        <w:rPr>
          <w:rFonts w:hint="eastAsia" w:ascii="宋体" w:hAnsi="Times New Roman" w:eastAsia="宋体" w:cs="Times New Roman"/>
          <w:lang w:val="en-US" w:eastAsia="zh-CN"/>
        </w:rPr>
        <w:t>逐步</w:t>
      </w:r>
      <w:r>
        <w:rPr>
          <w:rFonts w:hint="default" w:ascii="宋体" w:hAnsi="Times New Roman" w:eastAsia="宋体" w:cs="Times New Roman"/>
          <w:lang w:val="en-US" w:eastAsia="zh-CN"/>
        </w:rPr>
        <w:t>引导犊牛开始采食</w:t>
      </w:r>
      <w:r>
        <w:rPr>
          <w:rFonts w:hint="eastAsia" w:ascii="宋体" w:hAnsi="Times New Roman" w:eastAsia="宋体" w:cs="Times New Roman"/>
          <w:lang w:val="en-US" w:eastAsia="zh-CN"/>
        </w:rPr>
        <w:t>适量</w:t>
      </w:r>
      <w:r>
        <w:rPr>
          <w:rFonts w:hint="default" w:ascii="宋体" w:hAnsi="Times New Roman" w:eastAsia="宋体" w:cs="Times New Roman"/>
          <w:lang w:val="en-US" w:eastAsia="zh-CN"/>
        </w:rPr>
        <w:t>青</w:t>
      </w:r>
      <w:r>
        <w:rPr>
          <w:rFonts w:hint="eastAsia" w:ascii="宋体" w:hAnsi="Times New Roman" w:eastAsia="宋体" w:cs="Times New Roman"/>
          <w:lang w:val="en-US" w:eastAsia="zh-CN"/>
        </w:rPr>
        <w:t>干</w:t>
      </w:r>
      <w:r>
        <w:rPr>
          <w:rFonts w:hint="default" w:ascii="宋体" w:hAnsi="Times New Roman" w:eastAsia="宋体" w:cs="Times New Roman"/>
          <w:lang w:val="en-US" w:eastAsia="zh-CN"/>
        </w:rPr>
        <w:t>草</w:t>
      </w:r>
      <w:r>
        <w:rPr>
          <w:rFonts w:hint="eastAsia" w:ascii="宋体" w:hAnsi="Times New Roman" w:eastAsia="宋体" w:cs="Times New Roman"/>
          <w:lang w:val="en-US" w:eastAsia="zh-CN"/>
        </w:rPr>
        <w:t>，以紫花苜蓿为佳。10日龄后训练采食犊牛专用料，数日后增加饲喂量，4月～6月龄断奶，断奶时佩戴耳标以便跟踪，断奶后分群饲养</w:t>
      </w:r>
      <w:r>
        <w:rPr>
          <w:rFonts w:hint="default" w:ascii="宋体" w:hAnsi="Times New Roman" w:eastAsia="宋体" w:cs="Times New Roman"/>
          <w:lang w:val="en-US" w:eastAsia="zh-CN"/>
        </w:rPr>
        <w:t>。</w:t>
      </w:r>
    </w:p>
    <w:p w14:paraId="43209E8F">
      <w:pPr>
        <w:pStyle w:val="106"/>
        <w:spacing w:before="156" w:after="156"/>
        <w:rPr>
          <w:rFonts w:hint="default" w:hAnsi="Times New Roman" w:cs="Times New Roman"/>
          <w:lang w:val="en-US" w:eastAsia="zh-CN"/>
        </w:rPr>
      </w:pPr>
      <w:bookmarkStart w:id="64" w:name="_Toc19754"/>
      <w:r>
        <w:rPr>
          <w:rFonts w:hint="eastAsia" w:hAnsi="Times New Roman" w:cs="Times New Roman"/>
          <w:lang w:val="en-US" w:eastAsia="zh-CN"/>
        </w:rPr>
        <w:t>育成牛</w:t>
      </w:r>
      <w:bookmarkEnd w:id="64"/>
    </w:p>
    <w:p w14:paraId="505CF5AC">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育成牛应按性别、年龄、体重进行合理分群，防止早配。</w:t>
      </w:r>
    </w:p>
    <w:p w14:paraId="17BADCD6">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育成牛每日自由运动时间不少于3h。</w:t>
      </w:r>
    </w:p>
    <w:p w14:paraId="33484FAB">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以当地优质粗饲料为主，适度补充精料，保证蛋白质和矿物元素摄入量，促进骨骼和器官发育。</w:t>
      </w:r>
    </w:p>
    <w:p w14:paraId="18D25CAB">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青年母牛配种前进行体况评定，确保膘情适中，体质健康。</w:t>
      </w:r>
    </w:p>
    <w:p w14:paraId="33B5787B">
      <w:pPr>
        <w:pStyle w:val="106"/>
        <w:spacing w:before="156" w:after="156"/>
        <w:rPr>
          <w:rFonts w:hint="eastAsia" w:hAnsi="Times New Roman" w:cs="Times New Roman"/>
          <w:lang w:val="en-US" w:eastAsia="zh-CN"/>
        </w:rPr>
      </w:pPr>
      <w:bookmarkStart w:id="65" w:name="_Toc18297"/>
      <w:r>
        <w:rPr>
          <w:rFonts w:hint="eastAsia" w:hAnsi="Times New Roman" w:cs="Times New Roman"/>
          <w:lang w:val="en-US" w:eastAsia="zh-CN"/>
        </w:rPr>
        <w:t>繁殖母牛</w:t>
      </w:r>
      <w:bookmarkEnd w:id="65"/>
    </w:p>
    <w:p w14:paraId="0121C6E9">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空怀期监测健康状况，保持膘情中等偏上。</w:t>
      </w:r>
    </w:p>
    <w:p w14:paraId="4BA1DCCC">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妊娠期日粮以优质干草为主，妊娠后期适量增加精料、蛋白质和矿物质补充，避免母牛过肥。分娩前3周转入产房饲养，减少饲养密度，避免剧烈运动，降低分娩风险。</w:t>
      </w:r>
    </w:p>
    <w:p w14:paraId="6169D298">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分娩前以优质青干草为主，精料饲喂量不超过体重的1%，减少盐分等添加物投喂。分娩后及时清理胎衣，立即喂温热麸皮盐水或益母草红糖水和优质干草，逐渐恢复日粮，产后7</w:t>
      </w:r>
      <w:r>
        <w:rPr>
          <w:rFonts w:hint="eastAsia" w:cs="Times New Roman"/>
          <w:lang w:val="en-US" w:eastAsia="zh-CN"/>
        </w:rPr>
        <w:t>d</w:t>
      </w:r>
      <w:r>
        <w:rPr>
          <w:rFonts w:hint="eastAsia" w:ascii="宋体" w:hAnsi="Times New Roman" w:eastAsia="宋体" w:cs="Times New Roman"/>
          <w:lang w:val="en-US" w:eastAsia="zh-CN"/>
        </w:rPr>
        <w:t>～10d可恢复至饲养标准。分娩后监测恶露排出，每日观察母牛食欲、健康状况。</w:t>
      </w:r>
    </w:p>
    <w:p w14:paraId="07BAF562">
      <w:pPr>
        <w:pStyle w:val="166"/>
        <w:rPr>
          <w:rFonts w:hint="default" w:ascii="宋体" w:hAnsi="Times New Roman" w:eastAsia="宋体" w:cs="Times New Roman"/>
          <w:lang w:val="en-US" w:eastAsia="zh-CN"/>
        </w:rPr>
      </w:pPr>
      <w:r>
        <w:rPr>
          <w:rFonts w:hint="eastAsia" w:ascii="宋体" w:hAnsi="Times New Roman" w:eastAsia="宋体" w:cs="Times New Roman"/>
          <w:lang w:val="en-US" w:eastAsia="zh-CN"/>
        </w:rPr>
        <w:t>期哺乳期母牛按照泌乳母牛的营养标准</w:t>
      </w:r>
      <w:r>
        <w:rPr>
          <w:rFonts w:hint="eastAsia" w:cs="Times New Roman"/>
          <w:lang w:val="en-US" w:eastAsia="zh-CN"/>
        </w:rPr>
        <w:t>配制</w:t>
      </w:r>
      <w:r>
        <w:rPr>
          <w:rFonts w:hint="eastAsia" w:ascii="宋体" w:hAnsi="Times New Roman" w:eastAsia="宋体" w:cs="Times New Roman"/>
          <w:lang w:val="en-US" w:eastAsia="zh-CN"/>
        </w:rPr>
        <w:t>饲料，增加精料和优质多汁青绿饲料，保证充足洁净饮水，利于泌乳。</w:t>
      </w:r>
    </w:p>
    <w:p w14:paraId="01467F8B">
      <w:pPr>
        <w:pStyle w:val="106"/>
        <w:spacing w:before="156" w:after="156"/>
        <w:rPr>
          <w:rFonts w:hint="eastAsia" w:hAnsi="Times New Roman" w:cs="Times New Roman"/>
          <w:lang w:val="en-US" w:eastAsia="zh-CN"/>
        </w:rPr>
      </w:pPr>
      <w:bookmarkStart w:id="66" w:name="_Toc4311"/>
      <w:r>
        <w:rPr>
          <w:rFonts w:hint="eastAsia" w:hAnsi="Times New Roman" w:cs="Times New Roman"/>
          <w:lang w:val="en-US" w:eastAsia="zh-CN"/>
        </w:rPr>
        <w:t>种公牛</w:t>
      </w:r>
      <w:bookmarkEnd w:id="66"/>
    </w:p>
    <w:p w14:paraId="3E1C9BAD">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种公牛应单独圈养或与其他公牛分群管理，避免互相争斗伤害。</w:t>
      </w:r>
    </w:p>
    <w:p w14:paraId="40AF7C7C">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每天刷拭牛体2次，每年修蹄2</w:t>
      </w:r>
      <w:r>
        <w:rPr>
          <w:rFonts w:hint="eastAsia" w:cs="Times New Roman"/>
          <w:lang w:val="en-US" w:eastAsia="zh-CN"/>
        </w:rPr>
        <w:t>次</w:t>
      </w:r>
      <w:r>
        <w:rPr>
          <w:rFonts w:hint="eastAsia" w:ascii="宋体" w:hAnsi="Times New Roman" w:eastAsia="宋体" w:cs="Times New Roman"/>
          <w:lang w:val="en-US" w:eastAsia="zh-CN"/>
        </w:rPr>
        <w:t>～3次。</w:t>
      </w:r>
    </w:p>
    <w:p w14:paraId="2787F21A">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种公牛日粮以优质粗饲料为主，搭配适量精料，并满足钙、磷、铁等矿物质的需求。种牛日增重不低于0.7kg，保持体况良好、精液质量稳定。</w:t>
      </w:r>
    </w:p>
    <w:p w14:paraId="401F4AEB">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种公牛应充足运动与充分休息，定期清洁牛舍、消毒饮水设备，并按要求接种疫苗，预防常见传染病。</w:t>
      </w:r>
    </w:p>
    <w:p w14:paraId="0F8EA9A7">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注意对种公牛生殖器的护理，定期检查种公牛生殖器官健康状况，如有异常及时治疗，淘汰隐睾、睾丸不对称的牛只。</w:t>
      </w:r>
    </w:p>
    <w:p w14:paraId="36281C48">
      <w:pPr>
        <w:pStyle w:val="166"/>
        <w:rPr>
          <w:rFonts w:hint="eastAsia" w:ascii="宋体" w:hAnsi="Times New Roman" w:eastAsia="宋体" w:cs="Times New Roman"/>
          <w:lang w:val="en-US" w:eastAsia="zh-CN"/>
        </w:rPr>
      </w:pPr>
      <w:r>
        <w:rPr>
          <w:rFonts w:hint="eastAsia" w:ascii="宋体" w:hAnsi="Times New Roman" w:eastAsia="宋体" w:cs="Times New Roman"/>
          <w:lang w:val="en-US" w:eastAsia="zh-CN"/>
        </w:rPr>
        <w:t>种公牛满1岁龄开始训练采精，并检查精液品质。种公牛试用期间跟踪记录参配母牛受胎、产犊情况，不合格者及时淘汰。利用2</w:t>
      </w:r>
      <w:r>
        <w:rPr>
          <w:rFonts w:hint="eastAsia" w:cs="Times New Roman"/>
          <w:lang w:val="en-US" w:eastAsia="zh-CN"/>
        </w:rPr>
        <w:t>年</w:t>
      </w:r>
      <w:r>
        <w:rPr>
          <w:rFonts w:hint="eastAsia" w:ascii="宋体" w:hAnsi="Times New Roman" w:eastAsia="宋体" w:cs="Times New Roman"/>
          <w:lang w:val="en-US" w:eastAsia="zh-CN"/>
        </w:rPr>
        <w:t>～3年后应与其他牛场或种公牛站进行置换，防止近亲交配。</w:t>
      </w:r>
    </w:p>
    <w:p w14:paraId="16776C4C">
      <w:pPr>
        <w:pStyle w:val="106"/>
        <w:spacing w:before="156" w:after="156"/>
        <w:rPr>
          <w:rFonts w:hint="default" w:hAnsi="Times New Roman" w:cs="Times New Roman"/>
          <w:lang w:val="en-US" w:eastAsia="zh-CN"/>
        </w:rPr>
      </w:pPr>
      <w:bookmarkStart w:id="67" w:name="_Toc8590"/>
      <w:r>
        <w:rPr>
          <w:rFonts w:hint="eastAsia" w:cs="Times New Roman"/>
          <w:lang w:val="en-US" w:eastAsia="zh-CN"/>
        </w:rPr>
        <w:t>育肥牛</w:t>
      </w:r>
      <w:bookmarkEnd w:id="67"/>
    </w:p>
    <w:p w14:paraId="2E630865">
      <w:pPr>
        <w:pStyle w:val="166"/>
        <w:rPr>
          <w:rFonts w:hint="default" w:ascii="宋体" w:hAnsi="Times New Roman" w:eastAsia="宋体" w:cs="Times New Roman"/>
          <w:lang w:val="en-US" w:eastAsia="zh-CN"/>
        </w:rPr>
      </w:pPr>
      <w:r>
        <w:rPr>
          <w:rFonts w:hint="eastAsia" w:ascii="宋体" w:hAnsi="Times New Roman" w:eastAsia="宋体" w:cs="Times New Roman"/>
          <w:lang w:val="en-US" w:eastAsia="zh-CN"/>
        </w:rPr>
        <w:t>育肥牛的饲养管理按照NY/T 1339的规定执行。</w:t>
      </w:r>
    </w:p>
    <w:p w14:paraId="411062E9">
      <w:pPr>
        <w:pStyle w:val="166"/>
        <w:rPr>
          <w:rFonts w:hint="default" w:ascii="宋体" w:hAnsi="Times New Roman" w:eastAsia="宋体" w:cs="Times New Roman"/>
          <w:lang w:val="en-US" w:eastAsia="zh-CN"/>
        </w:rPr>
      </w:pPr>
      <w:r>
        <w:rPr>
          <w:rFonts w:hint="eastAsia" w:ascii="宋体" w:hAnsi="Times New Roman" w:eastAsia="宋体" w:cs="Times New Roman"/>
          <w:lang w:val="en-US" w:eastAsia="zh-CN"/>
        </w:rPr>
        <w:t>育肥期精料从每日</w:t>
      </w:r>
      <w:r>
        <w:rPr>
          <w:rFonts w:hint="eastAsia" w:cs="Times New Roman"/>
          <w:lang w:val="en-US" w:eastAsia="zh-CN"/>
        </w:rPr>
        <w:t>1.0</w:t>
      </w:r>
      <w:r>
        <w:rPr>
          <w:rFonts w:hint="eastAsia" w:ascii="宋体" w:hAnsi="Times New Roman" w:eastAsia="宋体" w:cs="Times New Roman"/>
          <w:lang w:val="en-US" w:eastAsia="zh-CN"/>
        </w:rPr>
        <w:t>～1.5kg起步，每3d～5d增加0.2kg～0.5kg，逐步增加到推荐量。</w:t>
      </w:r>
    </w:p>
    <w:p w14:paraId="2BA3C4D7">
      <w:pPr>
        <w:pStyle w:val="166"/>
        <w:rPr>
          <w:rFonts w:hint="default" w:ascii="宋体" w:hAnsi="Times New Roman" w:eastAsia="宋体" w:cs="Times New Roman"/>
          <w:lang w:val="en-US" w:eastAsia="zh-CN"/>
        </w:rPr>
      </w:pPr>
      <w:r>
        <w:rPr>
          <w:rFonts w:hint="eastAsia" w:ascii="宋体" w:hAnsi="宋体" w:eastAsia="宋体" w:cs="宋体"/>
          <w:lang w:val="en-US" w:eastAsia="zh-CN"/>
        </w:rPr>
        <w:t>保证充足清洁饮水，每日</w:t>
      </w:r>
      <w:r>
        <w:rPr>
          <w:rFonts w:hint="eastAsia" w:hAnsi="宋体" w:cs="宋体"/>
          <w:lang w:val="en-US" w:eastAsia="zh-CN"/>
        </w:rPr>
        <w:t>不低于50</w:t>
      </w:r>
      <w:r>
        <w:rPr>
          <w:rFonts w:hint="eastAsia" w:ascii="宋体" w:hAnsi="宋体" w:eastAsia="宋体" w:cs="宋体"/>
          <w:lang w:val="en-US" w:eastAsia="zh-CN"/>
        </w:rPr>
        <w:t>L。</w:t>
      </w:r>
    </w:p>
    <w:p w14:paraId="67BA0F94">
      <w:pPr>
        <w:pStyle w:val="166"/>
        <w:rPr>
          <w:rFonts w:hint="default" w:ascii="宋体" w:hAnsi="Times New Roman" w:eastAsia="宋体" w:cs="Times New Roman"/>
          <w:lang w:val="en-US" w:eastAsia="zh-CN"/>
        </w:rPr>
      </w:pPr>
      <w:r>
        <w:rPr>
          <w:rFonts w:hint="eastAsia" w:ascii="宋体" w:hAnsi="宋体" w:eastAsia="宋体" w:cs="宋体"/>
          <w:lang w:val="en-US" w:eastAsia="zh-CN"/>
        </w:rPr>
        <w:t>育肥期间观察</w:t>
      </w:r>
      <w:r>
        <w:rPr>
          <w:rFonts w:hint="eastAsia" w:hAnsi="宋体" w:cs="宋体"/>
          <w:lang w:val="en-US" w:eastAsia="zh-CN"/>
        </w:rPr>
        <w:t>牛只</w:t>
      </w:r>
      <w:r>
        <w:rPr>
          <w:rFonts w:hint="eastAsia" w:ascii="宋体" w:hAnsi="宋体" w:eastAsia="宋体" w:cs="宋体"/>
          <w:lang w:val="en-US" w:eastAsia="zh-CN"/>
        </w:rPr>
        <w:t>采食情况和粪便状态，若粪便过稀，需及时调整精</w:t>
      </w:r>
      <w:r>
        <w:rPr>
          <w:rFonts w:hint="eastAsia" w:hAnsi="宋体" w:cs="宋体"/>
          <w:lang w:val="en-US" w:eastAsia="zh-CN"/>
        </w:rPr>
        <w:t>粗</w:t>
      </w:r>
      <w:r>
        <w:rPr>
          <w:rFonts w:hint="eastAsia" w:ascii="宋体" w:hAnsi="宋体" w:eastAsia="宋体" w:cs="宋体"/>
          <w:lang w:val="en-US" w:eastAsia="zh-CN"/>
        </w:rPr>
        <w:t>料比例。</w:t>
      </w:r>
    </w:p>
    <w:p w14:paraId="2C4D9856">
      <w:pPr>
        <w:pStyle w:val="166"/>
        <w:rPr>
          <w:rFonts w:hint="default" w:cs="Times New Roman"/>
          <w:lang w:val="en-US" w:eastAsia="zh-CN"/>
        </w:rPr>
      </w:pPr>
      <w:r>
        <w:rPr>
          <w:rFonts w:hint="eastAsia" w:cs="Times New Roman"/>
          <w:lang w:val="en-US" w:eastAsia="zh-CN"/>
        </w:rPr>
        <w:t>建议使用TMR饲喂技术，可提高采食量和饲料利用率，降低消化系统疾病。</w:t>
      </w:r>
    </w:p>
    <w:p w14:paraId="4A80B90A">
      <w:pPr>
        <w:pStyle w:val="166"/>
        <w:rPr>
          <w:rFonts w:hint="default" w:cs="Times New Roman"/>
          <w:lang w:val="en-US" w:eastAsia="zh-CN"/>
        </w:rPr>
      </w:pPr>
      <w:r>
        <w:rPr>
          <w:rFonts w:hint="eastAsia" w:cs="Times New Roman"/>
          <w:lang w:val="en-US" w:eastAsia="zh-CN"/>
        </w:rPr>
        <w:t>育肥期各阶段推荐日粮组合与饲喂方案可参照表A.1。</w:t>
      </w:r>
    </w:p>
    <w:p w14:paraId="39BF7AA4">
      <w:pPr>
        <w:pStyle w:val="105"/>
        <w:spacing w:before="240" w:after="240"/>
        <w:rPr>
          <w:rFonts w:hint="default" w:hAnsi="Times New Roman" w:cs="Times New Roman"/>
          <w:lang w:val="en-US" w:eastAsia="zh-CN"/>
        </w:rPr>
      </w:pPr>
      <w:bookmarkStart w:id="68" w:name="_Toc10209"/>
      <w:r>
        <w:rPr>
          <w:rFonts w:hint="eastAsia" w:hAnsi="Times New Roman" w:cs="Times New Roman"/>
          <w:lang w:val="en-US" w:eastAsia="zh-CN"/>
        </w:rPr>
        <w:t>卫生与防疫</w:t>
      </w:r>
      <w:bookmarkEnd w:id="68"/>
    </w:p>
    <w:p w14:paraId="5EEEFB97">
      <w:pPr>
        <w:pStyle w:val="57"/>
        <w:spacing w:line="360" w:lineRule="auto"/>
        <w:ind w:left="0" w:leftChars="0" w:firstLine="420" w:firstLineChars="200"/>
        <w:rPr>
          <w:rFonts w:hint="default" w:cs="Times New Roman"/>
          <w:kern w:val="2"/>
          <w:sz w:val="21"/>
          <w:szCs w:val="24"/>
          <w:lang w:val="en-US" w:eastAsia="zh-CN" w:bidi="ar-SA"/>
        </w:rPr>
      </w:pPr>
      <w:bookmarkStart w:id="69" w:name="_Toc26161"/>
      <w:bookmarkStart w:id="70" w:name="_Toc11006"/>
      <w:bookmarkStart w:id="71" w:name="_Toc11036"/>
      <w:r>
        <w:rPr>
          <w:rFonts w:hint="eastAsia" w:cs="Times New Roman"/>
          <w:kern w:val="2"/>
          <w:sz w:val="21"/>
          <w:szCs w:val="24"/>
          <w:lang w:val="en-US" w:eastAsia="zh-CN" w:bidi="ar-SA"/>
        </w:rPr>
        <w:t>按照NY 5126 、NY/T 473的规定制定并实施牛场卫生及防疫制度。</w:t>
      </w:r>
      <w:bookmarkEnd w:id="69"/>
      <w:bookmarkEnd w:id="70"/>
      <w:bookmarkEnd w:id="71"/>
    </w:p>
    <w:p w14:paraId="56B08554">
      <w:pPr>
        <w:pStyle w:val="105"/>
        <w:spacing w:before="240" w:after="240"/>
        <w:rPr>
          <w:rFonts w:hint="eastAsia" w:hAnsi="Times New Roman" w:cs="Times New Roman"/>
          <w:lang w:val="en-US" w:eastAsia="zh-CN"/>
        </w:rPr>
      </w:pPr>
      <w:bookmarkStart w:id="72" w:name="_Toc11955"/>
      <w:r>
        <w:rPr>
          <w:rFonts w:hint="eastAsia" w:hAnsi="Times New Roman" w:cs="Times New Roman"/>
          <w:lang w:val="en-US" w:eastAsia="zh-CN"/>
        </w:rPr>
        <w:t>粪污处理</w:t>
      </w:r>
      <w:bookmarkEnd w:id="72"/>
    </w:p>
    <w:p w14:paraId="21ACD2CB">
      <w:pPr>
        <w:pStyle w:val="66"/>
        <w:numPr>
          <w:ilvl w:val="3"/>
          <w:numId w:val="0"/>
        </w:numPr>
        <w:spacing w:before="156" w:after="156"/>
        <w:ind w:leftChars="0" w:firstLine="420" w:firstLineChars="200"/>
        <w:rPr>
          <w:rFonts w:hint="default" w:ascii="宋体" w:eastAsia="宋体" w:cs="Times New Roman"/>
          <w:kern w:val="2"/>
          <w:sz w:val="21"/>
          <w:szCs w:val="24"/>
          <w:lang w:val="en-US" w:eastAsia="zh-CN" w:bidi="ar-SA"/>
        </w:rPr>
      </w:pPr>
      <w:bookmarkStart w:id="73" w:name="_Toc28820"/>
      <w:r>
        <w:rPr>
          <w:rFonts w:hint="eastAsia" w:ascii="宋体" w:eastAsia="宋体" w:cs="Times New Roman"/>
          <w:kern w:val="2"/>
          <w:sz w:val="21"/>
          <w:szCs w:val="24"/>
          <w:lang w:val="en-US" w:eastAsia="zh-CN" w:bidi="ar-SA"/>
        </w:rPr>
        <w:t>养殖场应配备粪污存储、处理、利用的设施设备，设施设备满足安全、环保要求。养殖场污染物排放应符合GB 18596的规定。固体粪污宜采用沤肥、堆肥等方式进行无害化处理利用，液体粪污宜采用厌氧发酵等方式进行无害化处理利用，无害化指标应符合GB/T 36195的规定。</w:t>
      </w:r>
      <w:bookmarkEnd w:id="73"/>
    </w:p>
    <w:p w14:paraId="7FF39980">
      <w:pPr>
        <w:pStyle w:val="105"/>
        <w:spacing w:before="240" w:after="240"/>
        <w:rPr>
          <w:rFonts w:hint="default" w:hAnsi="Times New Roman" w:cs="Times New Roman"/>
          <w:lang w:val="en-US" w:eastAsia="zh-CN"/>
        </w:rPr>
      </w:pPr>
      <w:bookmarkStart w:id="74" w:name="_Toc17228"/>
      <w:r>
        <w:rPr>
          <w:rFonts w:hint="eastAsia" w:hAnsi="Times New Roman" w:cs="Times New Roman"/>
          <w:lang w:val="en-US" w:eastAsia="zh-CN"/>
        </w:rPr>
        <w:t>档案记录与管理</w:t>
      </w:r>
      <w:bookmarkEnd w:id="74"/>
    </w:p>
    <w:p w14:paraId="61938F9A">
      <w:pPr>
        <w:pStyle w:val="66"/>
        <w:numPr>
          <w:ilvl w:val="3"/>
          <w:numId w:val="0"/>
        </w:numPr>
        <w:spacing w:before="156" w:after="156"/>
        <w:ind w:leftChars="0" w:firstLine="420" w:firstLineChars="200"/>
        <w:rPr>
          <w:rFonts w:hint="eastAsia" w:ascii="宋体" w:eastAsia="宋体" w:cs="Times New Roman"/>
          <w:kern w:val="2"/>
          <w:sz w:val="21"/>
          <w:szCs w:val="24"/>
          <w:lang w:val="en-US" w:eastAsia="zh-CN" w:bidi="ar-SA"/>
        </w:rPr>
      </w:pPr>
      <w:bookmarkStart w:id="75" w:name="_Toc7064"/>
      <w:r>
        <w:rPr>
          <w:rFonts w:hint="eastAsia" w:ascii="宋体" w:eastAsia="宋体" w:cs="Times New Roman"/>
          <w:kern w:val="2"/>
          <w:sz w:val="21"/>
          <w:szCs w:val="24"/>
          <w:lang w:val="en-US" w:eastAsia="zh-CN" w:bidi="ar-SA"/>
        </w:rPr>
        <w:t>按照《畜禽标识和养殖档案管理办法》为每头牛建立电子和纸质档案。记录内容应包括：品种、</w:t>
      </w:r>
      <w:r>
        <w:rPr>
          <w:rFonts w:hint="default" w:ascii="宋体" w:eastAsia="宋体" w:cs="Times New Roman"/>
          <w:kern w:val="2"/>
          <w:sz w:val="21"/>
          <w:szCs w:val="24"/>
          <w:lang w:val="en-US" w:eastAsia="zh-CN" w:bidi="ar-SA"/>
        </w:rPr>
        <w:t>数量、</w:t>
      </w:r>
      <w:r>
        <w:rPr>
          <w:rFonts w:hint="eastAsia" w:ascii="宋体" w:eastAsia="宋体" w:cs="Times New Roman"/>
          <w:kern w:val="2"/>
          <w:sz w:val="21"/>
          <w:szCs w:val="24"/>
          <w:lang w:val="en-US" w:eastAsia="zh-CN" w:bidi="ar-SA"/>
        </w:rPr>
        <w:t>来源、个体标识号、出生日期、性别、免疫检疫记录、饲料投喂情况、生产性能、</w:t>
      </w:r>
      <w:r>
        <w:rPr>
          <w:rFonts w:hint="default" w:ascii="宋体" w:eastAsia="宋体" w:cs="Times New Roman"/>
          <w:kern w:val="2"/>
          <w:sz w:val="21"/>
          <w:szCs w:val="24"/>
          <w:lang w:val="en-US" w:eastAsia="zh-CN" w:bidi="ar-SA"/>
        </w:rPr>
        <w:t>繁殖记录、</w:t>
      </w:r>
      <w:r>
        <w:rPr>
          <w:rFonts w:hint="eastAsia" w:ascii="宋体" w:eastAsia="宋体" w:cs="Times New Roman"/>
          <w:kern w:val="2"/>
          <w:sz w:val="21"/>
          <w:szCs w:val="24"/>
          <w:lang w:val="en-US" w:eastAsia="zh-CN" w:bidi="ar-SA"/>
        </w:rPr>
        <w:t>出场销售等信息，确保牛群饲养过程可追溯。记录内容真实、准确、清晰，</w:t>
      </w:r>
      <w:bookmarkStart w:id="80" w:name="_GoBack"/>
      <w:bookmarkEnd w:id="80"/>
      <w:r>
        <w:rPr>
          <w:rFonts w:hint="eastAsia" w:ascii="宋体" w:eastAsia="宋体" w:cs="Times New Roman"/>
          <w:kern w:val="2"/>
          <w:sz w:val="21"/>
          <w:szCs w:val="24"/>
          <w:lang w:val="en-US" w:eastAsia="zh-CN" w:bidi="ar-SA"/>
        </w:rPr>
        <w:t>记录档案应保留3年以上。</w:t>
      </w:r>
      <w:bookmarkEnd w:id="75"/>
    </w:p>
    <w:bookmarkEnd w:id="25"/>
    <w:bookmarkEnd w:id="54"/>
    <w:p w14:paraId="68B67451">
      <w:pPr>
        <w:pStyle w:val="66"/>
        <w:numPr>
          <w:ilvl w:val="3"/>
          <w:numId w:val="0"/>
        </w:numPr>
        <w:spacing w:before="156" w:after="156"/>
        <w:ind w:leftChars="0" w:firstLine="420" w:firstLineChars="200"/>
        <w:rPr>
          <w:rFonts w:hint="eastAsia" w:ascii="宋体" w:eastAsia="宋体" w:cs="Times New Roman"/>
          <w:kern w:val="2"/>
          <w:sz w:val="21"/>
          <w:szCs w:val="24"/>
          <w:lang w:val="en-US" w:eastAsia="zh-CN" w:bidi="ar-SA"/>
        </w:rPr>
        <w:sectPr>
          <w:headerReference r:id="rId17" w:type="default"/>
          <w:footerReference r:id="rId19" w:type="default"/>
          <w:headerReference r:id="rId18" w:type="even"/>
          <w:footerReference r:id="rId20" w:type="even"/>
          <w:pgSz w:w="11906" w:h="16838"/>
          <w:pgMar w:top="1928" w:right="1134" w:bottom="1134" w:left="1134" w:header="1418" w:footer="1134" w:gutter="284"/>
          <w:pgNumType w:start="1"/>
          <w:cols w:space="425" w:num="1"/>
          <w:formProt w:val="0"/>
          <w:docGrid w:type="lines" w:linePitch="312" w:charSpace="0"/>
        </w:sectPr>
      </w:pPr>
    </w:p>
    <w:p w14:paraId="5202014C">
      <w:pPr>
        <w:pStyle w:val="77"/>
        <w:spacing w:after="120"/>
        <w:rPr>
          <w:rFonts w:hint="default"/>
          <w:lang w:val="en-US"/>
        </w:rPr>
      </w:pPr>
      <w:bookmarkStart w:id="76" w:name="_Toc4720"/>
      <w:bookmarkStart w:id="77" w:name="_Toc26372"/>
      <w:r>
        <w:br w:type="textWrapping"/>
      </w:r>
      <w:bookmarkStart w:id="78" w:name="_Toc150014782"/>
      <w:r>
        <w:rPr>
          <w:rFonts w:hint="eastAsia"/>
        </w:rPr>
        <w:t>（规范性）</w:t>
      </w:r>
      <w:r>
        <w:br w:type="textWrapping"/>
      </w:r>
      <w:bookmarkEnd w:id="78"/>
      <w:r>
        <w:rPr>
          <w:rFonts w:hint="eastAsia"/>
        </w:rPr>
        <w:t>张家川</w:t>
      </w:r>
      <w:bookmarkEnd w:id="76"/>
      <w:r>
        <w:rPr>
          <w:rFonts w:hint="eastAsia"/>
          <w:lang w:val="en-US" w:eastAsia="zh-CN"/>
        </w:rPr>
        <w:t>红花肉牛不同育肥阶段推荐日粮组合</w:t>
      </w:r>
      <w:bookmarkEnd w:id="77"/>
    </w:p>
    <w:p w14:paraId="2DCE061F">
      <w:pPr>
        <w:pStyle w:val="79"/>
        <w:spacing w:before="120" w:after="120"/>
      </w:pPr>
      <w:bookmarkStart w:id="79" w:name="_Toc327"/>
      <w:r>
        <w:rPr>
          <w:rFonts w:hint="eastAsia"/>
          <w:lang w:val="en-US" w:eastAsia="zh-CN"/>
        </w:rPr>
        <w:t>不同育肥阶段张家川红花牛推荐日粮组合</w:t>
      </w:r>
      <w:bookmarkEnd w:id="79"/>
    </w:p>
    <w:p w14:paraId="3D117B73">
      <w:pPr>
        <w:pStyle w:val="57"/>
        <w:rPr>
          <w:rFonts w:hint="default" w:eastAsia="宋体"/>
          <w:lang w:val="en-US" w:eastAsia="zh-CN"/>
        </w:rPr>
      </w:pPr>
      <w:r>
        <w:rPr>
          <w:rFonts w:hint="eastAsia"/>
          <w:lang w:val="en-US" w:eastAsia="zh-CN"/>
        </w:rPr>
        <w:t>见表A.1。</w:t>
      </w:r>
    </w:p>
    <w:p w14:paraId="40CEA70C">
      <w:pPr>
        <w:pStyle w:val="78"/>
        <w:spacing w:before="120" w:after="120"/>
        <w:ind w:left="0" w:firstLine="420"/>
        <w:rPr>
          <w:rFonts w:hint="eastAsia"/>
          <w:lang w:val="en-US" w:eastAsia="zh-CN"/>
        </w:rPr>
      </w:pPr>
      <w:r>
        <w:rPr>
          <w:rFonts w:hint="eastAsia"/>
          <w:lang w:val="en-US" w:eastAsia="zh-CN"/>
        </w:rPr>
        <w:t>不同育肥阶段推荐日粮组合</w:t>
      </w:r>
    </w:p>
    <w:p w14:paraId="68BBD0F6">
      <w:pPr>
        <w:pStyle w:val="57"/>
        <w:rPr>
          <w:rFonts w:hint="default"/>
          <w:lang w:val="en-US" w:eastAsia="zh-CN"/>
        </w:rPr>
      </w:pP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779"/>
        <w:gridCol w:w="1160"/>
        <w:gridCol w:w="1333"/>
        <w:gridCol w:w="2632"/>
        <w:gridCol w:w="1790"/>
        <w:gridCol w:w="1658"/>
      </w:tblGrid>
      <w:tr w14:paraId="42520A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76" w:hRule="atLeast"/>
          <w:tblHeader/>
          <w:jc w:val="center"/>
        </w:trPr>
        <w:tc>
          <w:tcPr>
            <w:tcW w:w="779" w:type="dxa"/>
            <w:tcBorders>
              <w:top w:val="single" w:color="auto" w:sz="8" w:space="0"/>
              <w:bottom w:val="single" w:color="auto" w:sz="8" w:space="0"/>
            </w:tcBorders>
            <w:shd w:val="clear" w:color="auto" w:fill="auto"/>
            <w:vAlign w:val="center"/>
          </w:tcPr>
          <w:p w14:paraId="2414B51F">
            <w:pPr>
              <w:pStyle w:val="179"/>
              <w:rPr>
                <w:rFonts w:hint="eastAsia" w:eastAsia="宋体"/>
                <w:lang w:val="en-US" w:eastAsia="zh-CN"/>
              </w:rPr>
            </w:pPr>
            <w:r>
              <w:rPr>
                <w:rFonts w:hint="eastAsia"/>
                <w:lang w:val="en-US" w:eastAsia="zh-CN"/>
              </w:rPr>
              <w:t>育肥阶段</w:t>
            </w:r>
          </w:p>
        </w:tc>
        <w:tc>
          <w:tcPr>
            <w:tcW w:w="1160" w:type="dxa"/>
            <w:tcBorders>
              <w:top w:val="single" w:color="auto" w:sz="8" w:space="0"/>
              <w:bottom w:val="single" w:color="auto" w:sz="8" w:space="0"/>
            </w:tcBorders>
            <w:shd w:val="clear" w:color="auto" w:fill="auto"/>
            <w:vAlign w:val="center"/>
          </w:tcPr>
          <w:p w14:paraId="35D23E21">
            <w:pPr>
              <w:pStyle w:val="179"/>
              <w:rPr>
                <w:rFonts w:hint="default" w:eastAsia="宋体"/>
                <w:lang w:val="en-US" w:eastAsia="zh-CN"/>
              </w:rPr>
            </w:pPr>
            <w:r>
              <w:rPr>
                <w:rFonts w:hint="eastAsia"/>
                <w:lang w:val="en-US" w:eastAsia="zh-CN"/>
              </w:rPr>
              <w:t>精粗饲料配比</w:t>
            </w:r>
          </w:p>
        </w:tc>
        <w:tc>
          <w:tcPr>
            <w:tcW w:w="1333" w:type="dxa"/>
            <w:tcBorders>
              <w:top w:val="single" w:color="auto" w:sz="8" w:space="0"/>
              <w:bottom w:val="single" w:color="auto" w:sz="8" w:space="0"/>
            </w:tcBorders>
            <w:shd w:val="clear" w:color="auto" w:fill="auto"/>
            <w:vAlign w:val="center"/>
          </w:tcPr>
          <w:p w14:paraId="61AA35DB">
            <w:pPr>
              <w:pStyle w:val="179"/>
              <w:rPr>
                <w:rFonts w:hint="default" w:eastAsia="宋体"/>
                <w:lang w:val="en-US" w:eastAsia="zh-CN"/>
              </w:rPr>
            </w:pPr>
            <w:r>
              <w:rPr>
                <w:rFonts w:hint="eastAsia"/>
                <w:lang w:val="en-US" w:eastAsia="zh-CN"/>
              </w:rPr>
              <w:t>日粮粗蛋白水平</w:t>
            </w:r>
          </w:p>
        </w:tc>
        <w:tc>
          <w:tcPr>
            <w:tcW w:w="2632" w:type="dxa"/>
            <w:tcBorders>
              <w:top w:val="single" w:color="auto" w:sz="8" w:space="0"/>
              <w:bottom w:val="single" w:color="auto" w:sz="8" w:space="0"/>
            </w:tcBorders>
            <w:shd w:val="clear" w:color="auto" w:fill="auto"/>
            <w:vAlign w:val="center"/>
          </w:tcPr>
          <w:p w14:paraId="1A493784">
            <w:pPr>
              <w:pStyle w:val="179"/>
              <w:rPr>
                <w:rFonts w:hint="default"/>
                <w:lang w:val="en-US" w:eastAsia="zh-CN"/>
              </w:rPr>
            </w:pPr>
            <w:r>
              <w:rPr>
                <w:rFonts w:hint="eastAsia"/>
                <w:lang w:val="en-US" w:eastAsia="zh-CN"/>
              </w:rPr>
              <w:t>精料推荐配方</w:t>
            </w:r>
          </w:p>
        </w:tc>
        <w:tc>
          <w:tcPr>
            <w:tcW w:w="1790" w:type="dxa"/>
            <w:tcBorders>
              <w:top w:val="single" w:color="auto" w:sz="8" w:space="0"/>
              <w:bottom w:val="single" w:color="auto" w:sz="8" w:space="0"/>
            </w:tcBorders>
            <w:shd w:val="clear" w:color="auto" w:fill="auto"/>
            <w:vAlign w:val="center"/>
          </w:tcPr>
          <w:p w14:paraId="668987AC">
            <w:pPr>
              <w:pStyle w:val="179"/>
              <w:rPr>
                <w:rFonts w:hint="default"/>
                <w:lang w:val="en-US" w:eastAsia="zh-CN"/>
              </w:rPr>
            </w:pPr>
            <w:r>
              <w:rPr>
                <w:rFonts w:hint="eastAsia"/>
                <w:lang w:val="en-US" w:eastAsia="zh-CN"/>
              </w:rPr>
              <w:t>粗料推荐组合</w:t>
            </w:r>
          </w:p>
        </w:tc>
        <w:tc>
          <w:tcPr>
            <w:tcW w:w="1658" w:type="dxa"/>
            <w:tcBorders>
              <w:top w:val="single" w:color="auto" w:sz="8" w:space="0"/>
              <w:bottom w:val="single" w:color="auto" w:sz="8" w:space="0"/>
            </w:tcBorders>
            <w:shd w:val="clear" w:color="auto" w:fill="auto"/>
            <w:vAlign w:val="center"/>
          </w:tcPr>
          <w:p w14:paraId="52D0913F">
            <w:pPr>
              <w:pStyle w:val="179"/>
              <w:rPr>
                <w:rFonts w:hint="default"/>
                <w:lang w:val="en-US" w:eastAsia="zh-CN"/>
              </w:rPr>
            </w:pPr>
            <w:r>
              <w:rPr>
                <w:rFonts w:hint="eastAsia"/>
                <w:lang w:val="en-US" w:eastAsia="zh-CN"/>
              </w:rPr>
              <w:t>建议日喂量</w:t>
            </w:r>
          </w:p>
        </w:tc>
      </w:tr>
      <w:tr w14:paraId="44AC85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2" w:hRule="atLeast"/>
          <w:jc w:val="center"/>
        </w:trPr>
        <w:tc>
          <w:tcPr>
            <w:tcW w:w="779" w:type="dxa"/>
            <w:tcBorders>
              <w:top w:val="single" w:color="auto" w:sz="8" w:space="0"/>
            </w:tcBorders>
            <w:shd w:val="clear" w:color="auto" w:fill="auto"/>
            <w:vAlign w:val="center"/>
          </w:tcPr>
          <w:p w14:paraId="2702E747">
            <w:pPr>
              <w:pStyle w:val="179"/>
              <w:rPr>
                <w:rFonts w:hint="eastAsia" w:eastAsia="宋体"/>
                <w:lang w:val="en-US" w:eastAsia="zh-CN"/>
              </w:rPr>
            </w:pPr>
            <w:r>
              <w:rPr>
                <w:rFonts w:hint="eastAsia"/>
                <w:lang w:val="en-US" w:eastAsia="zh-CN"/>
              </w:rPr>
              <w:t>育肥前期</w:t>
            </w:r>
          </w:p>
        </w:tc>
        <w:tc>
          <w:tcPr>
            <w:tcW w:w="1160" w:type="dxa"/>
            <w:tcBorders>
              <w:top w:val="single" w:color="auto" w:sz="8" w:space="0"/>
            </w:tcBorders>
            <w:shd w:val="clear" w:color="auto" w:fill="auto"/>
            <w:vAlign w:val="center"/>
          </w:tcPr>
          <w:p w14:paraId="3D40E666">
            <w:pPr>
              <w:pStyle w:val="179"/>
              <w:rPr>
                <w:rFonts w:hint="default" w:eastAsia="宋体"/>
                <w:lang w:val="en-US" w:eastAsia="zh-CN"/>
              </w:rPr>
            </w:pPr>
            <w:r>
              <w:rPr>
                <w:rFonts w:hint="eastAsia"/>
                <w:lang w:val="en-US" w:eastAsia="zh-CN"/>
              </w:rPr>
              <w:t>40:60</w:t>
            </w:r>
            <w:r>
              <w:rPr>
                <w:rFonts w:hint="eastAsia" w:ascii="宋体" w:hAnsi="Times New Roman" w:eastAsia="宋体" w:cs="Times New Roman"/>
                <w:lang w:val="en-US" w:eastAsia="zh-CN"/>
              </w:rPr>
              <w:t>～</w:t>
            </w:r>
            <w:r>
              <w:rPr>
                <w:rFonts w:hint="eastAsia" w:cs="Times New Roman"/>
                <w:lang w:val="en-US" w:eastAsia="zh-CN"/>
              </w:rPr>
              <w:t>45:55</w:t>
            </w:r>
          </w:p>
        </w:tc>
        <w:tc>
          <w:tcPr>
            <w:tcW w:w="1333" w:type="dxa"/>
            <w:tcBorders>
              <w:top w:val="single" w:color="auto" w:sz="8" w:space="0"/>
            </w:tcBorders>
            <w:shd w:val="clear" w:color="auto" w:fill="auto"/>
            <w:vAlign w:val="center"/>
          </w:tcPr>
          <w:p w14:paraId="4EA1206A">
            <w:pPr>
              <w:pStyle w:val="179"/>
              <w:rPr>
                <w:rFonts w:hint="default" w:eastAsia="宋体"/>
                <w:lang w:val="en-US" w:eastAsia="zh-CN"/>
              </w:rPr>
            </w:pPr>
            <w:r>
              <w:rPr>
                <w:rFonts w:hint="eastAsia"/>
                <w:lang w:val="en-US" w:eastAsia="zh-CN"/>
              </w:rPr>
              <w:t>16%</w:t>
            </w:r>
            <w:r>
              <w:rPr>
                <w:rFonts w:hint="eastAsia" w:ascii="宋体" w:hAnsi="Times New Roman" w:eastAsia="宋体" w:cs="Times New Roman"/>
                <w:lang w:val="en-US" w:eastAsia="zh-CN"/>
              </w:rPr>
              <w:t>～</w:t>
            </w:r>
            <w:r>
              <w:rPr>
                <w:rFonts w:hint="eastAsia"/>
                <w:lang w:val="en-US" w:eastAsia="zh-CN"/>
              </w:rPr>
              <w:t>17%</w:t>
            </w:r>
          </w:p>
        </w:tc>
        <w:tc>
          <w:tcPr>
            <w:tcW w:w="2632" w:type="dxa"/>
            <w:tcBorders>
              <w:top w:val="single" w:color="auto" w:sz="8" w:space="0"/>
            </w:tcBorders>
            <w:shd w:val="clear" w:color="auto" w:fill="auto"/>
            <w:vAlign w:val="center"/>
          </w:tcPr>
          <w:p w14:paraId="3B0975E6">
            <w:pPr>
              <w:pStyle w:val="179"/>
              <w:rPr>
                <w:rFonts w:hint="eastAsia"/>
                <w:lang w:val="en-US" w:eastAsia="zh-CN"/>
              </w:rPr>
            </w:pPr>
            <w:r>
              <w:rPr>
                <w:rFonts w:hint="eastAsia"/>
                <w:lang w:val="en-US" w:eastAsia="zh-CN"/>
              </w:rPr>
              <w:t>玉米62%、豆粕11%、棉粕9%、麦麸13%、肉牛育肥预混料4%、小苏打0.8%</w:t>
            </w:r>
            <w:r>
              <w:rPr>
                <w:rFonts w:hint="eastAsia" w:ascii="宋体" w:hAnsi="Times New Roman" w:eastAsia="宋体" w:cs="Times New Roman"/>
                <w:kern w:val="0"/>
                <w:sz w:val="18"/>
                <w:szCs w:val="20"/>
                <w:lang w:val="en-US" w:eastAsia="zh-CN" w:bidi="ar-SA"/>
              </w:rPr>
              <w:t>～</w:t>
            </w:r>
            <w:r>
              <w:rPr>
                <w:rFonts w:hint="eastAsia"/>
                <w:lang w:val="en-US" w:eastAsia="zh-CN"/>
              </w:rPr>
              <w:t>1%。</w:t>
            </w:r>
          </w:p>
        </w:tc>
        <w:tc>
          <w:tcPr>
            <w:tcW w:w="1790" w:type="dxa"/>
            <w:tcBorders>
              <w:top w:val="single" w:color="auto" w:sz="8" w:space="0"/>
            </w:tcBorders>
            <w:shd w:val="clear" w:color="auto" w:fill="auto"/>
            <w:vAlign w:val="center"/>
          </w:tcPr>
          <w:p w14:paraId="0809C4E8">
            <w:pPr>
              <w:pStyle w:val="179"/>
              <w:ind w:firstLine="0" w:firstLineChars="0"/>
              <w:jc w:val="both"/>
              <w:rPr>
                <w:rFonts w:hint="eastAsia" w:ascii="宋体" w:hAnsi="Times New Roman" w:eastAsia="宋体" w:cs="Times New Roman"/>
                <w:sz w:val="18"/>
                <w:lang w:val="en-US" w:eastAsia="zh-CN" w:bidi="ar-SA"/>
              </w:rPr>
            </w:pPr>
            <w:r>
              <w:rPr>
                <w:rFonts w:hint="eastAsia"/>
                <w:lang w:val="en-US" w:eastAsia="zh-CN"/>
              </w:rPr>
              <w:t>青贮玉米</w:t>
            </w:r>
            <w:r>
              <w:rPr>
                <w:rFonts w:hint="eastAsia" w:hAnsi="宋体" w:cs="宋体"/>
                <w:lang w:val="en-US" w:eastAsia="zh-CN"/>
              </w:rPr>
              <w:t>50%、干草30%、秸秆（氨化）</w:t>
            </w:r>
            <w:r>
              <w:rPr>
                <w:rFonts w:hint="eastAsia"/>
                <w:lang w:val="en-US" w:eastAsia="zh-CN"/>
              </w:rPr>
              <w:t>20%</w:t>
            </w:r>
            <w:r>
              <w:rPr>
                <w:rFonts w:hint="eastAsia" w:hAnsi="宋体" w:cs="宋体"/>
                <w:lang w:val="en-US" w:eastAsia="zh-CN"/>
              </w:rPr>
              <w:t>。</w:t>
            </w:r>
          </w:p>
        </w:tc>
        <w:tc>
          <w:tcPr>
            <w:tcW w:w="1658" w:type="dxa"/>
            <w:tcBorders>
              <w:top w:val="single" w:color="auto" w:sz="8" w:space="0"/>
            </w:tcBorders>
            <w:shd w:val="clear" w:color="auto" w:fill="auto"/>
            <w:vAlign w:val="center"/>
          </w:tcPr>
          <w:p w14:paraId="3C5F690C">
            <w:pPr>
              <w:rPr>
                <w:rFonts w:hint="eastAsia" w:ascii="宋体" w:hAnsi="Times New Roman" w:eastAsia="宋体" w:cs="Times New Roman"/>
                <w:kern w:val="0"/>
                <w:sz w:val="18"/>
                <w:szCs w:val="20"/>
                <w:lang w:val="en-US" w:eastAsia="zh-CN" w:bidi="ar-SA"/>
              </w:rPr>
            </w:pPr>
            <w:r>
              <w:rPr>
                <w:rFonts w:hint="eastAsia" w:ascii="宋体" w:hAnsi="Times New Roman" w:eastAsia="宋体" w:cs="Times New Roman"/>
                <w:kern w:val="0"/>
                <w:sz w:val="18"/>
                <w:szCs w:val="20"/>
                <w:lang w:val="en-US" w:eastAsia="zh-CN" w:bidi="ar-SA"/>
              </w:rPr>
              <w:t>精料饲喂量=体重×</w:t>
            </w:r>
            <w:r>
              <w:rPr>
                <w:rFonts w:hint="eastAsia" w:ascii="宋体" w:hAnsi="Times New Roman" w:cs="Times New Roman"/>
                <w:kern w:val="0"/>
                <w:sz w:val="18"/>
                <w:szCs w:val="20"/>
                <w:lang w:val="en-US" w:eastAsia="zh-CN" w:bidi="ar-SA"/>
              </w:rPr>
              <w:t>1.0</w:t>
            </w:r>
            <w:r>
              <w:rPr>
                <w:rFonts w:hint="eastAsia" w:ascii="宋体" w:hAnsi="Times New Roman" w:eastAsia="宋体" w:cs="Times New Roman"/>
                <w:kern w:val="0"/>
                <w:sz w:val="18"/>
                <w:szCs w:val="20"/>
                <w:lang w:val="en-US" w:eastAsia="zh-CN" w:bidi="ar-SA"/>
              </w:rPr>
              <w:t>%～1.</w:t>
            </w:r>
            <w:r>
              <w:rPr>
                <w:rFonts w:hint="eastAsia" w:ascii="宋体" w:hAnsi="Times New Roman" w:cs="Times New Roman"/>
                <w:kern w:val="0"/>
                <w:sz w:val="18"/>
                <w:szCs w:val="20"/>
                <w:lang w:val="en-US" w:eastAsia="zh-CN" w:bidi="ar-SA"/>
              </w:rPr>
              <w:t>2</w:t>
            </w:r>
            <w:r>
              <w:rPr>
                <w:rFonts w:hint="eastAsia" w:ascii="宋体" w:hAnsi="Times New Roman" w:eastAsia="宋体" w:cs="Times New Roman"/>
                <w:kern w:val="0"/>
                <w:sz w:val="18"/>
                <w:szCs w:val="20"/>
                <w:lang w:val="en-US" w:eastAsia="zh-CN" w:bidi="ar-SA"/>
              </w:rPr>
              <w:t>%。</w:t>
            </w:r>
          </w:p>
          <w:p w14:paraId="7ABB5F33">
            <w:pPr>
              <w:pStyle w:val="179"/>
              <w:ind w:firstLine="0" w:firstLineChars="0"/>
              <w:jc w:val="both"/>
              <w:rPr>
                <w:rFonts w:hint="default"/>
                <w:lang w:val="en-US" w:eastAsia="zh-CN"/>
              </w:rPr>
            </w:pPr>
            <w:r>
              <w:rPr>
                <w:rFonts w:hint="eastAsia"/>
                <w:lang w:val="en-US" w:eastAsia="zh-CN"/>
              </w:rPr>
              <w:t>粗饲料自由采食。</w:t>
            </w:r>
          </w:p>
        </w:tc>
      </w:tr>
      <w:tr w14:paraId="2CEC06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7" w:hRule="atLeast"/>
          <w:jc w:val="center"/>
        </w:trPr>
        <w:tc>
          <w:tcPr>
            <w:tcW w:w="779" w:type="dxa"/>
            <w:shd w:val="clear" w:color="auto" w:fill="auto"/>
            <w:vAlign w:val="center"/>
          </w:tcPr>
          <w:p w14:paraId="225F4173">
            <w:pPr>
              <w:pStyle w:val="179"/>
              <w:rPr>
                <w:rFonts w:hint="default" w:eastAsia="宋体"/>
                <w:lang w:val="en-US" w:eastAsia="zh-CN"/>
              </w:rPr>
            </w:pPr>
            <w:r>
              <w:rPr>
                <w:rFonts w:hint="eastAsia"/>
                <w:lang w:val="en-US" w:eastAsia="zh-CN"/>
              </w:rPr>
              <w:t>育肥中期</w:t>
            </w:r>
          </w:p>
        </w:tc>
        <w:tc>
          <w:tcPr>
            <w:tcW w:w="1160" w:type="dxa"/>
            <w:shd w:val="clear" w:color="auto" w:fill="auto"/>
            <w:vAlign w:val="center"/>
          </w:tcPr>
          <w:p w14:paraId="6E78CE16">
            <w:pPr>
              <w:pStyle w:val="179"/>
              <w:rPr>
                <w:rFonts w:hint="default"/>
                <w:lang w:val="en-US"/>
              </w:rPr>
            </w:pPr>
            <w:r>
              <w:rPr>
                <w:rFonts w:hint="eastAsia"/>
                <w:lang w:val="en-US" w:eastAsia="zh-CN"/>
              </w:rPr>
              <w:t>50:50</w:t>
            </w:r>
            <w:r>
              <w:rPr>
                <w:rFonts w:hint="eastAsia" w:ascii="宋体" w:hAnsi="Times New Roman" w:eastAsia="宋体" w:cs="Times New Roman"/>
                <w:lang w:val="en-US" w:eastAsia="zh-CN"/>
              </w:rPr>
              <w:t>～</w:t>
            </w:r>
            <w:r>
              <w:rPr>
                <w:rFonts w:hint="eastAsia" w:cs="Times New Roman"/>
                <w:lang w:val="en-US" w:eastAsia="zh-CN"/>
              </w:rPr>
              <w:t>60</w:t>
            </w:r>
            <w:r>
              <w:rPr>
                <w:rFonts w:hint="eastAsia"/>
                <w:lang w:val="en-US" w:eastAsia="zh-CN"/>
              </w:rPr>
              <w:t>:</w:t>
            </w:r>
            <w:r>
              <w:rPr>
                <w:rFonts w:hint="eastAsia" w:cs="Times New Roman"/>
                <w:lang w:val="en-US" w:eastAsia="zh-CN"/>
              </w:rPr>
              <w:t>40</w:t>
            </w:r>
          </w:p>
        </w:tc>
        <w:tc>
          <w:tcPr>
            <w:tcW w:w="1333" w:type="dxa"/>
            <w:shd w:val="clear" w:color="auto" w:fill="auto"/>
            <w:vAlign w:val="center"/>
          </w:tcPr>
          <w:p w14:paraId="07FFC21C">
            <w:pPr>
              <w:pStyle w:val="179"/>
              <w:rPr>
                <w:rFonts w:hint="default" w:eastAsia="宋体"/>
                <w:lang w:val="en-US" w:eastAsia="zh-CN"/>
              </w:rPr>
            </w:pPr>
            <w:r>
              <w:rPr>
                <w:rFonts w:hint="eastAsia"/>
                <w:lang w:val="en-US" w:eastAsia="zh-CN"/>
              </w:rPr>
              <w:t>约13</w:t>
            </w:r>
            <w:r>
              <w:rPr>
                <w:rFonts w:hint="eastAsia" w:ascii="宋体" w:hAnsi="Times New Roman" w:eastAsia="宋体" w:cs="Times New Roman"/>
                <w:lang w:val="en-US" w:eastAsia="zh-CN"/>
              </w:rPr>
              <w:t>～</w:t>
            </w:r>
            <w:r>
              <w:rPr>
                <w:rFonts w:hint="eastAsia" w:cs="Times New Roman"/>
                <w:lang w:val="en-US" w:eastAsia="zh-CN"/>
              </w:rPr>
              <w:t>14</w:t>
            </w:r>
            <w:r>
              <w:rPr>
                <w:rFonts w:hint="eastAsia"/>
                <w:lang w:val="en-US" w:eastAsia="zh-CN"/>
              </w:rPr>
              <w:t>%</w:t>
            </w:r>
          </w:p>
        </w:tc>
        <w:tc>
          <w:tcPr>
            <w:tcW w:w="2632" w:type="dxa"/>
            <w:shd w:val="clear" w:color="auto" w:fill="auto"/>
            <w:vAlign w:val="center"/>
          </w:tcPr>
          <w:p w14:paraId="7A55B0D7">
            <w:pPr>
              <w:pStyle w:val="179"/>
              <w:rPr>
                <w:rFonts w:hint="eastAsia"/>
                <w:lang w:val="en-US" w:eastAsia="zh-CN"/>
              </w:rPr>
            </w:pPr>
            <w:r>
              <w:rPr>
                <w:rFonts w:hint="eastAsia"/>
                <w:lang w:val="en-US" w:eastAsia="zh-CN"/>
              </w:rPr>
              <w:t>玉米65%、豆粕9%、棉粕8%、麦麸12%、肉牛育肥预混料4%、小苏打1.5%。</w:t>
            </w:r>
          </w:p>
        </w:tc>
        <w:tc>
          <w:tcPr>
            <w:tcW w:w="1790" w:type="dxa"/>
            <w:shd w:val="clear" w:color="auto" w:fill="auto"/>
            <w:vAlign w:val="center"/>
          </w:tcPr>
          <w:p w14:paraId="63C5E918">
            <w:pPr>
              <w:pStyle w:val="179"/>
              <w:ind w:firstLine="0" w:firstLineChars="0"/>
              <w:jc w:val="both"/>
              <w:rPr>
                <w:rFonts w:hint="eastAsia" w:ascii="宋体" w:hAnsi="Times New Roman" w:eastAsia="宋体" w:cs="Times New Roman"/>
                <w:sz w:val="18"/>
                <w:lang w:val="en-US" w:eastAsia="zh-CN" w:bidi="ar-SA"/>
              </w:rPr>
            </w:pPr>
            <w:r>
              <w:rPr>
                <w:rFonts w:hint="eastAsia"/>
                <w:lang w:val="en-US" w:eastAsia="zh-CN"/>
              </w:rPr>
              <w:t>青贮玉米</w:t>
            </w:r>
            <w:r>
              <w:rPr>
                <w:rFonts w:hint="eastAsia" w:hAnsi="宋体" w:cs="宋体"/>
                <w:lang w:val="en-US" w:eastAsia="zh-CN"/>
              </w:rPr>
              <w:t>55%、干草25%、秸秆（氨化）</w:t>
            </w:r>
            <w:r>
              <w:rPr>
                <w:rFonts w:hint="eastAsia"/>
                <w:lang w:val="en-US" w:eastAsia="zh-CN"/>
              </w:rPr>
              <w:t>20%</w:t>
            </w:r>
            <w:r>
              <w:rPr>
                <w:rFonts w:hint="eastAsia" w:hAnsi="宋体" w:cs="宋体"/>
                <w:lang w:val="en-US" w:eastAsia="zh-CN"/>
              </w:rPr>
              <w:t>。</w:t>
            </w:r>
          </w:p>
        </w:tc>
        <w:tc>
          <w:tcPr>
            <w:tcW w:w="1658" w:type="dxa"/>
            <w:shd w:val="clear" w:color="auto" w:fill="auto"/>
            <w:vAlign w:val="center"/>
          </w:tcPr>
          <w:p w14:paraId="5438233B">
            <w:pPr>
              <w:rPr>
                <w:rFonts w:hint="eastAsia" w:ascii="宋体" w:hAnsi="Times New Roman" w:eastAsia="宋体" w:cs="Times New Roman"/>
                <w:kern w:val="0"/>
                <w:sz w:val="18"/>
                <w:szCs w:val="20"/>
                <w:lang w:val="en-US" w:eastAsia="zh-CN" w:bidi="ar-SA"/>
              </w:rPr>
            </w:pPr>
            <w:r>
              <w:rPr>
                <w:rFonts w:hint="eastAsia" w:ascii="宋体" w:hAnsi="Times New Roman" w:eastAsia="宋体" w:cs="Times New Roman"/>
                <w:kern w:val="0"/>
                <w:sz w:val="18"/>
                <w:szCs w:val="20"/>
                <w:lang w:val="en-US" w:eastAsia="zh-CN" w:bidi="ar-SA"/>
              </w:rPr>
              <w:t>精料饲喂量=体重×</w:t>
            </w:r>
            <w:r>
              <w:rPr>
                <w:rFonts w:hint="eastAsia" w:ascii="宋体" w:hAnsi="Times New Roman" w:cs="Times New Roman"/>
                <w:kern w:val="0"/>
                <w:sz w:val="18"/>
                <w:szCs w:val="20"/>
                <w:lang w:val="en-US" w:eastAsia="zh-CN" w:bidi="ar-SA"/>
              </w:rPr>
              <w:t>1.2</w:t>
            </w:r>
            <w:r>
              <w:rPr>
                <w:rFonts w:hint="eastAsia" w:ascii="宋体" w:hAnsi="Times New Roman" w:eastAsia="宋体" w:cs="Times New Roman"/>
                <w:kern w:val="0"/>
                <w:sz w:val="18"/>
                <w:szCs w:val="20"/>
                <w:lang w:val="en-US" w:eastAsia="zh-CN" w:bidi="ar-SA"/>
              </w:rPr>
              <w:t>%～</w:t>
            </w:r>
            <w:r>
              <w:rPr>
                <w:rFonts w:hint="eastAsia" w:ascii="宋体" w:hAnsi="Times New Roman" w:cs="Times New Roman"/>
                <w:kern w:val="0"/>
                <w:sz w:val="18"/>
                <w:szCs w:val="20"/>
                <w:lang w:val="en-US" w:eastAsia="zh-CN" w:bidi="ar-SA"/>
              </w:rPr>
              <w:t>1.4</w:t>
            </w:r>
            <w:r>
              <w:rPr>
                <w:rFonts w:hint="eastAsia" w:ascii="宋体" w:hAnsi="Times New Roman" w:eastAsia="宋体" w:cs="Times New Roman"/>
                <w:kern w:val="0"/>
                <w:sz w:val="18"/>
                <w:szCs w:val="20"/>
                <w:lang w:val="en-US" w:eastAsia="zh-CN" w:bidi="ar-SA"/>
              </w:rPr>
              <w:t>%。</w:t>
            </w:r>
          </w:p>
          <w:p w14:paraId="65616E1A">
            <w:pPr>
              <w:pStyle w:val="179"/>
              <w:ind w:firstLine="0" w:firstLineChars="0"/>
              <w:jc w:val="both"/>
              <w:rPr>
                <w:rFonts w:hint="eastAsia"/>
                <w:lang w:val="en-US" w:eastAsia="zh-CN"/>
              </w:rPr>
            </w:pPr>
            <w:r>
              <w:rPr>
                <w:rFonts w:hint="eastAsia"/>
                <w:lang w:val="en-US" w:eastAsia="zh-CN"/>
              </w:rPr>
              <w:t>粗饲料自由采食。</w:t>
            </w:r>
          </w:p>
        </w:tc>
      </w:tr>
      <w:tr w14:paraId="14688F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7" w:hRule="atLeast"/>
          <w:jc w:val="center"/>
        </w:trPr>
        <w:tc>
          <w:tcPr>
            <w:tcW w:w="779" w:type="dxa"/>
            <w:shd w:val="clear" w:color="auto" w:fill="auto"/>
            <w:vAlign w:val="center"/>
          </w:tcPr>
          <w:p w14:paraId="5E680274">
            <w:pPr>
              <w:pStyle w:val="179"/>
              <w:rPr>
                <w:rFonts w:hint="default" w:eastAsia="宋体"/>
                <w:lang w:val="en-US" w:eastAsia="zh-CN"/>
              </w:rPr>
            </w:pPr>
            <w:r>
              <w:rPr>
                <w:rFonts w:hint="eastAsia"/>
                <w:lang w:val="en-US" w:eastAsia="zh-CN"/>
              </w:rPr>
              <w:t>育肥后期</w:t>
            </w:r>
          </w:p>
        </w:tc>
        <w:tc>
          <w:tcPr>
            <w:tcW w:w="1160" w:type="dxa"/>
            <w:shd w:val="clear" w:color="auto" w:fill="auto"/>
            <w:vAlign w:val="center"/>
          </w:tcPr>
          <w:p w14:paraId="45AFF725">
            <w:pPr>
              <w:pStyle w:val="179"/>
              <w:rPr>
                <w:rFonts w:hint="default"/>
                <w:lang w:val="en-US"/>
              </w:rPr>
            </w:pPr>
            <w:r>
              <w:rPr>
                <w:rFonts w:hint="eastAsia"/>
                <w:lang w:val="en-US" w:eastAsia="zh-CN"/>
              </w:rPr>
              <w:t>60:40</w:t>
            </w:r>
            <w:r>
              <w:rPr>
                <w:rFonts w:hint="eastAsia" w:ascii="宋体" w:hAnsi="Times New Roman" w:eastAsia="宋体" w:cs="Times New Roman"/>
                <w:lang w:val="en-US" w:eastAsia="zh-CN"/>
              </w:rPr>
              <w:t>～</w:t>
            </w:r>
            <w:r>
              <w:rPr>
                <w:rFonts w:hint="eastAsia" w:cs="Times New Roman"/>
                <w:lang w:val="en-US" w:eastAsia="zh-CN"/>
              </w:rPr>
              <w:t>70:30</w:t>
            </w:r>
          </w:p>
        </w:tc>
        <w:tc>
          <w:tcPr>
            <w:tcW w:w="1333" w:type="dxa"/>
            <w:shd w:val="clear" w:color="auto" w:fill="auto"/>
            <w:vAlign w:val="center"/>
          </w:tcPr>
          <w:p w14:paraId="33D8A8B0">
            <w:pPr>
              <w:pStyle w:val="179"/>
              <w:rPr>
                <w:rFonts w:hint="default" w:eastAsia="宋体"/>
                <w:lang w:val="en-US" w:eastAsia="zh-CN"/>
              </w:rPr>
            </w:pPr>
            <w:r>
              <w:rPr>
                <w:rFonts w:hint="eastAsia"/>
                <w:lang w:val="en-US" w:eastAsia="zh-CN"/>
              </w:rPr>
              <w:t>约12%</w:t>
            </w:r>
            <w:r>
              <w:rPr>
                <w:rFonts w:hint="eastAsia" w:ascii="宋体" w:hAnsi="Times New Roman" w:eastAsia="宋体" w:cs="Times New Roman"/>
                <w:lang w:val="en-US" w:eastAsia="zh-CN"/>
              </w:rPr>
              <w:t>～</w:t>
            </w:r>
            <w:r>
              <w:rPr>
                <w:rFonts w:hint="eastAsia"/>
                <w:lang w:val="en-US" w:eastAsia="zh-CN"/>
              </w:rPr>
              <w:t>13%</w:t>
            </w:r>
          </w:p>
        </w:tc>
        <w:tc>
          <w:tcPr>
            <w:tcW w:w="2632" w:type="dxa"/>
            <w:shd w:val="clear" w:color="auto" w:fill="auto"/>
            <w:vAlign w:val="center"/>
          </w:tcPr>
          <w:p w14:paraId="1043C9DB">
            <w:pPr>
              <w:pStyle w:val="179"/>
              <w:rPr>
                <w:rFonts w:hint="eastAsia"/>
                <w:lang w:val="en-US" w:eastAsia="zh-CN"/>
              </w:rPr>
            </w:pPr>
            <w:r>
              <w:rPr>
                <w:rFonts w:hint="eastAsia"/>
                <w:lang w:val="en-US" w:eastAsia="zh-CN"/>
              </w:rPr>
              <w:t>玉米68%、豆粕7%、棉粕6%、麦麸11%、肉牛育肥预混料4%、小苏打2%、过瘤胃脂肪酸2%</w:t>
            </w:r>
            <w:r>
              <w:rPr>
                <w:rFonts w:hint="eastAsia" w:ascii="宋体" w:hAnsi="Times New Roman" w:eastAsia="宋体" w:cs="Times New Roman"/>
                <w:kern w:val="0"/>
                <w:sz w:val="18"/>
                <w:szCs w:val="20"/>
                <w:lang w:val="en-US" w:eastAsia="zh-CN" w:bidi="ar-SA"/>
              </w:rPr>
              <w:t>～</w:t>
            </w:r>
            <w:r>
              <w:rPr>
                <w:rFonts w:hint="eastAsia"/>
                <w:lang w:val="en-US" w:eastAsia="zh-CN"/>
              </w:rPr>
              <w:t>2.5%。</w:t>
            </w:r>
          </w:p>
        </w:tc>
        <w:tc>
          <w:tcPr>
            <w:tcW w:w="1790" w:type="dxa"/>
            <w:shd w:val="clear" w:color="auto" w:fill="auto"/>
            <w:vAlign w:val="center"/>
          </w:tcPr>
          <w:p w14:paraId="0BAA3C67">
            <w:pPr>
              <w:pStyle w:val="179"/>
              <w:ind w:firstLine="0" w:firstLineChars="0"/>
              <w:jc w:val="both"/>
              <w:rPr>
                <w:rFonts w:hint="eastAsia" w:ascii="宋体" w:hAnsi="Times New Roman" w:eastAsia="宋体" w:cs="Times New Roman"/>
                <w:sz w:val="18"/>
                <w:lang w:val="en-US" w:eastAsia="zh-CN" w:bidi="ar-SA"/>
              </w:rPr>
            </w:pPr>
            <w:r>
              <w:rPr>
                <w:rFonts w:hint="eastAsia"/>
                <w:lang w:val="en-US" w:eastAsia="zh-CN"/>
              </w:rPr>
              <w:t>青贮玉米60</w:t>
            </w:r>
            <w:r>
              <w:rPr>
                <w:rFonts w:hint="eastAsia" w:hAnsi="宋体" w:cs="宋体"/>
                <w:lang w:val="en-US" w:eastAsia="zh-CN"/>
              </w:rPr>
              <w:t>%、干草20%、秸秆（氨化）20%。</w:t>
            </w:r>
          </w:p>
        </w:tc>
        <w:tc>
          <w:tcPr>
            <w:tcW w:w="1658" w:type="dxa"/>
            <w:shd w:val="clear" w:color="auto" w:fill="auto"/>
            <w:vAlign w:val="center"/>
          </w:tcPr>
          <w:p w14:paraId="0680591B">
            <w:pPr>
              <w:rPr>
                <w:rFonts w:hint="eastAsia" w:ascii="宋体" w:hAnsi="Times New Roman" w:eastAsia="宋体" w:cs="Times New Roman"/>
                <w:kern w:val="0"/>
                <w:sz w:val="18"/>
                <w:szCs w:val="20"/>
                <w:lang w:val="en-US" w:eastAsia="zh-CN" w:bidi="ar-SA"/>
              </w:rPr>
            </w:pPr>
            <w:r>
              <w:rPr>
                <w:rFonts w:hint="eastAsia" w:ascii="宋体" w:hAnsi="Times New Roman" w:eastAsia="宋体" w:cs="Times New Roman"/>
                <w:kern w:val="0"/>
                <w:sz w:val="18"/>
                <w:szCs w:val="20"/>
                <w:lang w:val="en-US" w:eastAsia="zh-CN" w:bidi="ar-SA"/>
              </w:rPr>
              <w:t>精料饲喂量=体重×</w:t>
            </w:r>
            <w:r>
              <w:rPr>
                <w:rFonts w:hint="eastAsia" w:ascii="宋体" w:hAnsi="Times New Roman" w:cs="Times New Roman"/>
                <w:kern w:val="0"/>
                <w:sz w:val="18"/>
                <w:szCs w:val="20"/>
                <w:lang w:val="en-US" w:eastAsia="zh-CN" w:bidi="ar-SA"/>
              </w:rPr>
              <w:t>1.4</w:t>
            </w:r>
            <w:r>
              <w:rPr>
                <w:rFonts w:hint="eastAsia" w:ascii="宋体" w:hAnsi="Times New Roman" w:eastAsia="宋体" w:cs="Times New Roman"/>
                <w:kern w:val="0"/>
                <w:sz w:val="18"/>
                <w:szCs w:val="20"/>
                <w:lang w:val="en-US" w:eastAsia="zh-CN" w:bidi="ar-SA"/>
              </w:rPr>
              <w:t>%～</w:t>
            </w:r>
            <w:r>
              <w:rPr>
                <w:rFonts w:hint="eastAsia" w:ascii="宋体" w:hAnsi="Times New Roman" w:cs="Times New Roman"/>
                <w:kern w:val="0"/>
                <w:sz w:val="18"/>
                <w:szCs w:val="20"/>
                <w:lang w:val="en-US" w:eastAsia="zh-CN" w:bidi="ar-SA"/>
              </w:rPr>
              <w:t>1.6</w:t>
            </w:r>
            <w:r>
              <w:rPr>
                <w:rFonts w:hint="eastAsia" w:ascii="宋体" w:hAnsi="Times New Roman" w:eastAsia="宋体" w:cs="Times New Roman"/>
                <w:kern w:val="0"/>
                <w:sz w:val="18"/>
                <w:szCs w:val="20"/>
                <w:lang w:val="en-US" w:eastAsia="zh-CN" w:bidi="ar-SA"/>
              </w:rPr>
              <w:t>%。</w:t>
            </w:r>
          </w:p>
          <w:p w14:paraId="2DB2155E">
            <w:pPr>
              <w:pStyle w:val="179"/>
              <w:ind w:firstLine="0" w:firstLineChars="0"/>
              <w:jc w:val="both"/>
              <w:rPr>
                <w:rFonts w:hint="eastAsia"/>
                <w:lang w:val="en-US" w:eastAsia="zh-CN"/>
              </w:rPr>
            </w:pPr>
            <w:r>
              <w:rPr>
                <w:rFonts w:hint="eastAsia"/>
                <w:lang w:val="en-US" w:eastAsia="zh-CN"/>
              </w:rPr>
              <w:t>粗饲料自由采食。</w:t>
            </w:r>
          </w:p>
        </w:tc>
      </w:tr>
      <w:tr w14:paraId="3E0E65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7" w:hRule="atLeast"/>
          <w:jc w:val="center"/>
        </w:trPr>
        <w:tc>
          <w:tcPr>
            <w:tcW w:w="9352" w:type="dxa"/>
            <w:gridSpan w:val="6"/>
            <w:tcBorders>
              <w:bottom w:val="single" w:color="auto" w:sz="8" w:space="0"/>
            </w:tcBorders>
            <w:shd w:val="clear" w:color="auto" w:fill="auto"/>
            <w:vAlign w:val="center"/>
          </w:tcPr>
          <w:p w14:paraId="6BBB6E42">
            <w:pPr>
              <w:pStyle w:val="181"/>
              <w:numPr>
                <w:ilvl w:val="0"/>
                <w:numId w:val="32"/>
              </w:numPr>
              <w:rPr>
                <w:rFonts w:hint="default"/>
                <w:lang w:val="en-US" w:eastAsia="zh-CN"/>
              </w:rPr>
            </w:pPr>
            <w:r>
              <w:rPr>
                <w:rFonts w:ascii="宋体" w:hAnsi="Times New Roman" w:eastAsia="宋体" w:cs="Times New Roman"/>
              </w:rPr>
              <w:t>若无4%预混料，可自行添加食盐0.8%</w:t>
            </w:r>
            <w:r>
              <w:rPr>
                <w:rFonts w:hint="eastAsia" w:ascii="宋体" w:hAnsi="宋体" w:eastAsia="宋体" w:cs="宋体"/>
              </w:rPr>
              <w:t>～</w:t>
            </w:r>
            <w:r>
              <w:rPr>
                <w:rFonts w:ascii="宋体" w:hAnsi="Times New Roman" w:eastAsia="宋体" w:cs="Times New Roman"/>
              </w:rPr>
              <w:t>1.0%、石粉（碳酸钙）</w:t>
            </w:r>
            <w:r>
              <w:rPr>
                <w:rFonts w:hint="eastAsia" w:ascii="宋体" w:hAnsi="Times New Roman" w:eastAsia="宋体" w:cs="Times New Roman"/>
                <w:lang w:eastAsia="zh-CN"/>
              </w:rPr>
              <w:t>、</w:t>
            </w:r>
            <w:r>
              <w:rPr>
                <w:rFonts w:ascii="宋体" w:hAnsi="Times New Roman" w:eastAsia="宋体" w:cs="Times New Roman"/>
              </w:rPr>
              <w:t>0.5%</w:t>
            </w:r>
            <w:r>
              <w:rPr>
                <w:rFonts w:hint="eastAsia" w:ascii="宋体" w:hAnsi="宋体" w:eastAsia="宋体" w:cs="宋体"/>
              </w:rPr>
              <w:t>～</w:t>
            </w:r>
            <w:r>
              <w:rPr>
                <w:rFonts w:ascii="宋体" w:hAnsi="Times New Roman" w:eastAsia="宋体" w:cs="Times New Roman"/>
              </w:rPr>
              <w:t>1.0%、磷酸氢钙0.5%</w:t>
            </w:r>
            <w:r>
              <w:rPr>
                <w:rFonts w:hint="eastAsia" w:ascii="宋体" w:hAnsi="宋体" w:eastAsia="宋体" w:cs="宋体"/>
              </w:rPr>
              <w:t>～</w:t>
            </w:r>
            <w:r>
              <w:rPr>
                <w:rFonts w:ascii="宋体" w:hAnsi="Times New Roman" w:eastAsia="宋体" w:cs="Times New Roman"/>
              </w:rPr>
              <w:t>1.0%、微量元素和维生素按产品说明添加，并根据本地饲料中钙磷含量调整比例。</w:t>
            </w:r>
          </w:p>
          <w:p w14:paraId="2F48FA0C">
            <w:pPr>
              <w:pStyle w:val="181"/>
              <w:numPr>
                <w:ilvl w:val="0"/>
                <w:numId w:val="32"/>
              </w:numPr>
              <w:rPr>
                <w:rFonts w:hint="eastAsia"/>
                <w:lang w:val="en-US" w:eastAsia="zh-CN"/>
              </w:rPr>
            </w:pPr>
            <w:r>
              <w:rPr>
                <w:rFonts w:hint="eastAsia" w:cs="Times New Roman"/>
                <w:lang w:val="en-US" w:eastAsia="zh-CN"/>
              </w:rPr>
              <w:t>将过</w:t>
            </w:r>
            <w:r>
              <w:rPr>
                <w:rFonts w:hint="eastAsia" w:ascii="宋体" w:hAnsi="Times New Roman" w:eastAsia="宋体" w:cs="Times New Roman"/>
              </w:rPr>
              <w:t>瘤胃脂肪</w:t>
            </w:r>
            <w:r>
              <w:rPr>
                <w:rFonts w:hint="eastAsia" w:cs="Times New Roman"/>
                <w:lang w:val="en-US" w:eastAsia="zh-CN"/>
              </w:rPr>
              <w:t>酸</w:t>
            </w:r>
            <w:r>
              <w:rPr>
                <w:rFonts w:hint="eastAsia" w:ascii="宋体" w:hAnsi="Times New Roman" w:eastAsia="宋体" w:cs="Times New Roman"/>
              </w:rPr>
              <w:t>与精料充分拌匀</w:t>
            </w:r>
            <w:r>
              <w:rPr>
                <w:rFonts w:hint="eastAsia" w:cs="Times New Roman"/>
                <w:lang w:val="en-US" w:eastAsia="zh-CN"/>
              </w:rPr>
              <w:t>，</w:t>
            </w:r>
            <w:r>
              <w:rPr>
                <w:rFonts w:ascii="宋体" w:hAnsi="Times New Roman" w:eastAsia="宋体" w:cs="Times New Roman"/>
              </w:rPr>
              <w:t>添加量从每头每天50g逐步增加至150g，需经7</w:t>
            </w:r>
            <w:r>
              <w:rPr>
                <w:rFonts w:hint="eastAsia" w:cs="Times New Roman"/>
                <w:lang w:val="en-US" w:eastAsia="zh-CN"/>
              </w:rPr>
              <w:t>d</w:t>
            </w:r>
            <w:r>
              <w:rPr>
                <w:rFonts w:hint="eastAsia" w:ascii="宋体" w:hAnsi="宋体" w:eastAsia="宋体" w:cs="宋体"/>
              </w:rPr>
              <w:t>～</w:t>
            </w:r>
            <w:r>
              <w:rPr>
                <w:rFonts w:hint="eastAsia" w:hAnsi="宋体" w:cs="宋体"/>
                <w:lang w:val="en-US" w:eastAsia="zh-CN"/>
              </w:rPr>
              <w:t>1</w:t>
            </w:r>
            <w:r>
              <w:rPr>
                <w:rFonts w:ascii="宋体" w:hAnsi="Times New Roman" w:eastAsia="宋体" w:cs="Times New Roman"/>
              </w:rPr>
              <w:t>0</w:t>
            </w:r>
            <w:r>
              <w:rPr>
                <w:rFonts w:hint="eastAsia" w:cs="Times New Roman"/>
                <w:lang w:val="en-US" w:eastAsia="zh-CN"/>
              </w:rPr>
              <w:t>d</w:t>
            </w:r>
            <w:r>
              <w:rPr>
                <w:rFonts w:ascii="宋体" w:hAnsi="Times New Roman" w:eastAsia="宋体" w:cs="Times New Roman"/>
              </w:rPr>
              <w:t>过渡；油脂添加后须与小苏打配合使用，同时提高日粮</w:t>
            </w:r>
            <w:r>
              <w:rPr>
                <w:rFonts w:hint="eastAsia" w:cs="Times New Roman"/>
                <w:lang w:val="en-US" w:eastAsia="zh-CN"/>
              </w:rPr>
              <w:t>粗</w:t>
            </w:r>
            <w:r>
              <w:rPr>
                <w:rFonts w:ascii="宋体" w:hAnsi="Times New Roman" w:eastAsia="宋体" w:cs="Times New Roman"/>
              </w:rPr>
              <w:t>纤维水平，避免瘤胃功能紊乱。</w:t>
            </w:r>
          </w:p>
        </w:tc>
      </w:tr>
    </w:tbl>
    <w:p w14:paraId="3B21CB8F">
      <w:pPr>
        <w:pStyle w:val="57"/>
        <w:ind w:firstLine="0" w:firstLineChars="0"/>
        <w:jc w:val="center"/>
      </w:pPr>
    </w:p>
    <w:p w14:paraId="36885A8B">
      <w:pPr>
        <w:pStyle w:val="231"/>
        <w:keepNext w:val="0"/>
        <w:keepLines w:val="0"/>
        <w:pageBreakBefore w:val="0"/>
        <w:widowControl/>
        <w:kinsoku/>
        <w:wordWrap/>
        <w:overflowPunct/>
        <w:topLinePunct w:val="0"/>
        <w:autoSpaceDE w:val="0"/>
        <w:autoSpaceDN w:val="0"/>
        <w:bidi w:val="0"/>
        <w:adjustRightInd/>
        <w:snapToGrid/>
        <w:ind w:firstLine="0" w:firstLineChars="0"/>
        <w:jc w:val="center"/>
        <w:textAlignment w:val="auto"/>
        <w:sectPr>
          <w:headerReference r:id="rId21" w:type="default"/>
          <w:footerReference r:id="rId23" w:type="default"/>
          <w:headerReference r:id="rId22" w:type="even"/>
          <w:footerReference r:id="rId24" w:type="even"/>
          <w:pgSz w:w="11906" w:h="16838"/>
          <w:pgMar w:top="1928" w:right="1134" w:bottom="1134" w:left="1134" w:header="1418" w:footer="1134" w:gutter="284"/>
          <w:pgNumType w:start="1"/>
          <w:cols w:space="425" w:num="1"/>
          <w:formProt w:val="0"/>
          <w:docGrid w:type="lines" w:linePitch="312" w:charSpace="0"/>
        </w:sectPr>
      </w:pPr>
      <w:r>
        <w:rPr>
          <w:rFonts w:ascii="Times New Roman"/>
        </w:rPr>
        <w:t>________________________</w:t>
      </w:r>
    </w:p>
    <w:p w14:paraId="052A2B56">
      <w:pPr>
        <w:pStyle w:val="57"/>
        <w:ind w:firstLine="0" w:firstLineChars="0"/>
        <w:jc w:val="both"/>
      </w:pPr>
    </w:p>
    <w:sectPr>
      <w:headerReference r:id="rId25" w:type="default"/>
      <w:footerReference r:id="rId27" w:type="default"/>
      <w:headerReference r:id="rId26" w:type="even"/>
      <w:footerReference r:id="rId28" w:type="even"/>
      <w:pgSz w:w="11906" w:h="16838"/>
      <w:pgMar w:top="1928" w:right="1134" w:bottom="1134" w:left="1134" w:header="1418" w:footer="1134" w:gutter="284"/>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917DDFF-7FA0-4708-8FBB-CA3E69C1339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40001" w:csb1="00000000"/>
    <w:embedRegular r:id="rId2" w:fontKey="{9EE44247-2618-4140-9D74-1938567E1349}"/>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E2CD6">
    <w:pPr>
      <w:pStyle w:val="18"/>
    </w:pPr>
    <w:r>
      <w:fldChar w:fldCharType="begin"/>
    </w:r>
    <w:r>
      <w:instrText xml:space="preserve">PAGE   \* MERGEFORMAT</w:instrText>
    </w:r>
    <w:r>
      <w:fldChar w:fldCharType="separate"/>
    </w:r>
    <w:r>
      <w:rPr>
        <w:lang w:val="zh-CN"/>
      </w:rPr>
      <w:t>2</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DCC00">
    <w:pPr>
      <w:pStyle w:val="52"/>
    </w:pPr>
    <w:r>
      <w:fldChar w:fldCharType="begin"/>
    </w:r>
    <w:r>
      <w:instrText xml:space="preserve"> PAGE   \* MERGEFORMAT \* MERGEFORMAT </w:instrText>
    </w:r>
    <w:r>
      <w:fldChar w:fldCharType="separate"/>
    </w:r>
    <w:r>
      <w:t>2</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D6E24">
    <w:pPr>
      <w:pStyle w:val="53"/>
    </w:pPr>
    <w:r>
      <w:fldChar w:fldCharType="begin"/>
    </w:r>
    <w:r>
      <w:instrText xml:space="preserve">PAGE   \* MERGEFORMAT</w:instrText>
    </w:r>
    <w:r>
      <w:fldChar w:fldCharType="separate"/>
    </w:r>
    <w:r>
      <w:rPr>
        <w:lang w:val="zh-CN"/>
      </w:rPr>
      <w:t>7</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E3AD6">
    <w:pPr>
      <w:pStyle w:val="52"/>
    </w:pPr>
    <w:r>
      <w:fldChar w:fldCharType="begin"/>
    </w:r>
    <w:r>
      <w:instrText xml:space="preserve"> PAGE   \* MERGEFORMAT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E0381">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2C539C">
    <w:pPr>
      <w:pStyle w:val="53"/>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CD43E">
    <w:pPr>
      <w:pStyle w:val="52"/>
    </w:pPr>
    <w:r>
      <w:fldChar w:fldCharType="begin"/>
    </w:r>
    <w:r>
      <w:instrText xml:space="preserve"> PAGE   \* MERGEFORMAT \* MERGEFORMAT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BF99B">
    <w:pPr>
      <w:pStyle w:val="53"/>
    </w:pPr>
    <w:r>
      <w:fldChar w:fldCharType="begin"/>
    </w:r>
    <w:r>
      <w:instrText xml:space="preserve">PAGE   \* MERGEFORMAT</w:instrText>
    </w:r>
    <w:r>
      <w:fldChar w:fldCharType="separate"/>
    </w:r>
    <w:r>
      <w:rPr>
        <w:lang w:val="zh-CN"/>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858C7">
    <w:pPr>
      <w:pStyle w:val="52"/>
    </w:pPr>
    <w:r>
      <w:fldChar w:fldCharType="begin"/>
    </w:r>
    <w:r>
      <w:instrText xml:space="preserve"> PAGE   \* MERGEFORMAT \* MERGEFORMAT </w:instrText>
    </w:r>
    <w:r>
      <w:fldChar w:fldCharType="separate"/>
    </w:r>
    <w:r>
      <w:t>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9FFD3">
    <w:pPr>
      <w:pStyle w:val="53"/>
    </w:pPr>
    <w:r>
      <w:fldChar w:fldCharType="begin"/>
    </w:r>
    <w:r>
      <w:instrText xml:space="preserve">PAGE   \* MERGEFORMAT</w:instrText>
    </w:r>
    <w:r>
      <w:fldChar w:fldCharType="separate"/>
    </w:r>
    <w:r>
      <w:rPr>
        <w:lang w:val="zh-CN"/>
      </w:rP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8B2DD">
    <w:pPr>
      <w:pStyle w:val="52"/>
    </w:pPr>
    <w:r>
      <w:fldChar w:fldCharType="begin"/>
    </w:r>
    <w:r>
      <w:instrText xml:space="preserve"> PAGE   \* MERGEFORMAT \* MERGEFORMAT </w:instrText>
    </w:r>
    <w:r>
      <w:fldChar w:fldCharType="separate"/>
    </w:r>
    <w:r>
      <w:t>2</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EAD38">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9FAC0">
    <w:pPr>
      <w:pStyle w:val="19"/>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30CC4">
    <w:pPr>
      <w:pStyle w:val="63"/>
    </w:pPr>
    <w:r>
      <w:fldChar w:fldCharType="begin"/>
    </w:r>
    <w:r>
      <w:instrText xml:space="preserve"> STYLEREF  标准文件_文件编号 \* MERGEFORMAT </w:instrText>
    </w:r>
    <w:r>
      <w:fldChar w:fldCharType="separate"/>
    </w:r>
    <w:r>
      <w:t>T/GSQA XXXX—2026</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ECBFF">
    <w:pPr>
      <w:pStyle w:val="62"/>
    </w:pPr>
    <w:r>
      <w:fldChar w:fldCharType="begin"/>
    </w:r>
    <w:r>
      <w:instrText xml:space="preserve"> STYLEREF  标准文件_文件编号  \* MERGEFORMAT </w:instrText>
    </w:r>
    <w:r>
      <w:fldChar w:fldCharType="separate"/>
    </w:r>
    <w:r>
      <w:t>T/GSQA XXXX—2026</w:t>
    </w:r>
    <w: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2869">
    <w:pPr>
      <w:pStyle w:val="63"/>
    </w:pPr>
    <w:r>
      <w:fldChar w:fldCharType="begin"/>
    </w:r>
    <w:r>
      <w:instrText xml:space="preserve"> STYLEREF  标准文件_文件编号 \* MERGEFORMAT </w:instrText>
    </w:r>
    <w:r>
      <w:fldChar w:fldCharType="separate"/>
    </w:r>
    <w:r>
      <w:t>T/GSQA XXXX—2026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FC9621">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13EE1">
    <w:pPr>
      <w:pStyle w:val="62"/>
    </w:pPr>
    <w:r>
      <w:fldChar w:fldCharType="begin"/>
    </w:r>
    <w:r>
      <w:instrText xml:space="preserve"> STYLEREF  标准文件_文件编号  \* MERGEFORMAT </w:instrText>
    </w:r>
    <w:r>
      <w:fldChar w:fldCharType="separate"/>
    </w:r>
    <w:r>
      <w:t>T/GSQA XXXX—2026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79309">
    <w:pPr>
      <w:pStyle w:val="63"/>
    </w:pPr>
    <w:r>
      <w:fldChar w:fldCharType="begin"/>
    </w:r>
    <w:r>
      <w:instrText xml:space="preserve"> STYLEREF  标准文件_文件编号 \* MERGEFORMAT </w:instrText>
    </w:r>
    <w:r>
      <w:fldChar w:fldCharType="separate"/>
    </w:r>
    <w:r>
      <w:t>T/GSQA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1EF07">
    <w:pPr>
      <w:pStyle w:val="62"/>
    </w:pPr>
    <w:r>
      <w:fldChar w:fldCharType="begin"/>
    </w:r>
    <w:r>
      <w:instrText xml:space="preserve"> STYLEREF  标准文件_文件编号  \* MERGEFORMAT </w:instrText>
    </w:r>
    <w:r>
      <w:fldChar w:fldCharType="separate"/>
    </w:r>
    <w:r>
      <w:t>T/GSQA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7AB15">
    <w:pPr>
      <w:pStyle w:val="63"/>
    </w:pPr>
    <w:r>
      <w:fldChar w:fldCharType="begin"/>
    </w:r>
    <w:r>
      <w:instrText xml:space="preserve"> STYLEREF  标准文件_文件编号 \* MERGEFORMAT </w:instrText>
    </w:r>
    <w:r>
      <w:fldChar w:fldCharType="separate"/>
    </w:r>
    <w:r>
      <w:t>T/GSQA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0953F">
    <w:pPr>
      <w:pStyle w:val="62"/>
    </w:pPr>
    <w:r>
      <w:fldChar w:fldCharType="begin"/>
    </w:r>
    <w:r>
      <w:instrText xml:space="preserve"> STYLEREF  标准文件_文件编号  \* MERGEFORMAT </w:instrText>
    </w:r>
    <w:r>
      <w:fldChar w:fldCharType="separate"/>
    </w:r>
    <w:r>
      <w:t>T/GSQA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C4857">
    <w:pPr>
      <w:pStyle w:val="63"/>
    </w:pPr>
    <w:r>
      <w:fldChar w:fldCharType="begin"/>
    </w:r>
    <w:r>
      <w:instrText xml:space="preserve"> STYLEREF  标准文件_文件编号 \* MERGEFORMAT </w:instrText>
    </w:r>
    <w:r>
      <w:fldChar w:fldCharType="separate"/>
    </w:r>
    <w:r>
      <w:t>T/GSQA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0CA27">
    <w:pPr>
      <w:pStyle w:val="62"/>
    </w:pPr>
    <w:r>
      <w:fldChar w:fldCharType="begin"/>
    </w:r>
    <w:r>
      <w:instrText xml:space="preserve"> STYLEREF  标准文件_文件编号  \* MERGEFORMAT </w:instrText>
    </w:r>
    <w:r>
      <w:fldChar w:fldCharType="separate"/>
    </w:r>
    <w:r>
      <w:t>T/GSQA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attachedTemplate r:id="rId1"/>
  <w:documentProtection w:edit="forms" w:enforcement="1" w:cryptProviderType="rsaAES" w:cryptAlgorithmClass="hash" w:cryptAlgorithmType="typeAny" w:cryptAlgorithmSid="14" w:cryptSpinCount="100000" w:hash="tYd+Hzu0lcrUySVHnCiVw7M7Xw2bCetIR6wIVsX8snMrUSqmK7zwrYPebsubbH1D5QX+JDBZhHkIJGaHpvF93Q==" w:salt="hVQSHQd5761vtazOHVDzrA=="/>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936"/>
    <w:rsid w:val="0000040A"/>
    <w:rsid w:val="00000A94"/>
    <w:rsid w:val="00001972"/>
    <w:rsid w:val="00001D9A"/>
    <w:rsid w:val="00007B3A"/>
    <w:rsid w:val="000107E0"/>
    <w:rsid w:val="00011FDE"/>
    <w:rsid w:val="00012FFD"/>
    <w:rsid w:val="0001346A"/>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C06"/>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5C"/>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24EE"/>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14D6"/>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AB1"/>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0936"/>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32A"/>
    <w:rsid w:val="00541853"/>
    <w:rsid w:val="00543BDA"/>
    <w:rsid w:val="005441CC"/>
    <w:rsid w:val="005479DA"/>
    <w:rsid w:val="00547BCC"/>
    <w:rsid w:val="0055013B"/>
    <w:rsid w:val="00551F6F"/>
    <w:rsid w:val="00555044"/>
    <w:rsid w:val="00561475"/>
    <w:rsid w:val="00562308"/>
    <w:rsid w:val="0056487B"/>
    <w:rsid w:val="00564FB9"/>
    <w:rsid w:val="00564FBA"/>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2E1"/>
    <w:rsid w:val="005B191C"/>
    <w:rsid w:val="005B4903"/>
    <w:rsid w:val="005B51CE"/>
    <w:rsid w:val="005B5885"/>
    <w:rsid w:val="005B5CD7"/>
    <w:rsid w:val="005B6CF6"/>
    <w:rsid w:val="005B7422"/>
    <w:rsid w:val="005C29B8"/>
    <w:rsid w:val="005C5F21"/>
    <w:rsid w:val="005C7082"/>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574"/>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FCC"/>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691"/>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88"/>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78F"/>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C93"/>
    <w:rsid w:val="00DE62E1"/>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2E91"/>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4228EB"/>
    <w:rsid w:val="015713BE"/>
    <w:rsid w:val="01BD4E93"/>
    <w:rsid w:val="042F492D"/>
    <w:rsid w:val="04561CA4"/>
    <w:rsid w:val="04C16605"/>
    <w:rsid w:val="04EC116C"/>
    <w:rsid w:val="052E5071"/>
    <w:rsid w:val="05BB79B0"/>
    <w:rsid w:val="06461667"/>
    <w:rsid w:val="07CE3CBA"/>
    <w:rsid w:val="09920479"/>
    <w:rsid w:val="0B7D517C"/>
    <w:rsid w:val="0BE213FF"/>
    <w:rsid w:val="0D8A43E8"/>
    <w:rsid w:val="0D995BE9"/>
    <w:rsid w:val="0D9E2E2F"/>
    <w:rsid w:val="0E04245C"/>
    <w:rsid w:val="0E4B0B18"/>
    <w:rsid w:val="0EAB09AB"/>
    <w:rsid w:val="0ED654A4"/>
    <w:rsid w:val="0F8570FA"/>
    <w:rsid w:val="102F335D"/>
    <w:rsid w:val="12EB6708"/>
    <w:rsid w:val="13865A54"/>
    <w:rsid w:val="13A32451"/>
    <w:rsid w:val="142A6A1E"/>
    <w:rsid w:val="14A32A4B"/>
    <w:rsid w:val="160026F4"/>
    <w:rsid w:val="16422E40"/>
    <w:rsid w:val="171B7111"/>
    <w:rsid w:val="17896F7F"/>
    <w:rsid w:val="17F07D7C"/>
    <w:rsid w:val="185C6404"/>
    <w:rsid w:val="19257B47"/>
    <w:rsid w:val="19632430"/>
    <w:rsid w:val="1A295843"/>
    <w:rsid w:val="1A7876B3"/>
    <w:rsid w:val="1C035BCE"/>
    <w:rsid w:val="1CA040BD"/>
    <w:rsid w:val="1CED699A"/>
    <w:rsid w:val="1DC85AE6"/>
    <w:rsid w:val="1E2B6CAB"/>
    <w:rsid w:val="1E5C012D"/>
    <w:rsid w:val="20937EA1"/>
    <w:rsid w:val="20B26C1F"/>
    <w:rsid w:val="21C20A7A"/>
    <w:rsid w:val="21ED6DBD"/>
    <w:rsid w:val="22A7457E"/>
    <w:rsid w:val="23B75111"/>
    <w:rsid w:val="24261DBA"/>
    <w:rsid w:val="24517D2E"/>
    <w:rsid w:val="246668DC"/>
    <w:rsid w:val="252322C0"/>
    <w:rsid w:val="257328ED"/>
    <w:rsid w:val="27CE693B"/>
    <w:rsid w:val="285A1BEC"/>
    <w:rsid w:val="286C552F"/>
    <w:rsid w:val="29EE5290"/>
    <w:rsid w:val="2BBC541B"/>
    <w:rsid w:val="2D090A00"/>
    <w:rsid w:val="2DC47CFD"/>
    <w:rsid w:val="2E0D27AA"/>
    <w:rsid w:val="2E277109"/>
    <w:rsid w:val="2E4270DC"/>
    <w:rsid w:val="2F884949"/>
    <w:rsid w:val="2F9977F1"/>
    <w:rsid w:val="2FB154AC"/>
    <w:rsid w:val="30D77DFE"/>
    <w:rsid w:val="31794DCD"/>
    <w:rsid w:val="32827A03"/>
    <w:rsid w:val="32903985"/>
    <w:rsid w:val="33AE0FE1"/>
    <w:rsid w:val="345764AA"/>
    <w:rsid w:val="34787B73"/>
    <w:rsid w:val="34BF3BA6"/>
    <w:rsid w:val="353D0997"/>
    <w:rsid w:val="35F46A03"/>
    <w:rsid w:val="36E10160"/>
    <w:rsid w:val="39795919"/>
    <w:rsid w:val="39B324CD"/>
    <w:rsid w:val="3A9200C8"/>
    <w:rsid w:val="3C9523AC"/>
    <w:rsid w:val="3CE87055"/>
    <w:rsid w:val="3D783210"/>
    <w:rsid w:val="4000052B"/>
    <w:rsid w:val="400637CF"/>
    <w:rsid w:val="402B6356"/>
    <w:rsid w:val="419B1AF7"/>
    <w:rsid w:val="421B37D2"/>
    <w:rsid w:val="42FB6FC1"/>
    <w:rsid w:val="43682BE3"/>
    <w:rsid w:val="441D16AC"/>
    <w:rsid w:val="44A818BD"/>
    <w:rsid w:val="44F23245"/>
    <w:rsid w:val="451D7F53"/>
    <w:rsid w:val="46A12F53"/>
    <w:rsid w:val="4801747A"/>
    <w:rsid w:val="48261F52"/>
    <w:rsid w:val="49070C73"/>
    <w:rsid w:val="491C7B08"/>
    <w:rsid w:val="49722772"/>
    <w:rsid w:val="49C20335"/>
    <w:rsid w:val="4A250B4C"/>
    <w:rsid w:val="4B642504"/>
    <w:rsid w:val="4CAD1733"/>
    <w:rsid w:val="4F0375EE"/>
    <w:rsid w:val="4F486311"/>
    <w:rsid w:val="504B57F2"/>
    <w:rsid w:val="50A6139D"/>
    <w:rsid w:val="51D13AD5"/>
    <w:rsid w:val="524A666C"/>
    <w:rsid w:val="52AC6F10"/>
    <w:rsid w:val="53336B18"/>
    <w:rsid w:val="53B6046D"/>
    <w:rsid w:val="53C33DA1"/>
    <w:rsid w:val="53EB305C"/>
    <w:rsid w:val="53F743E5"/>
    <w:rsid w:val="544C17BE"/>
    <w:rsid w:val="54B424EE"/>
    <w:rsid w:val="556D68FB"/>
    <w:rsid w:val="57FD00AB"/>
    <w:rsid w:val="588F0E72"/>
    <w:rsid w:val="5B2D2AF0"/>
    <w:rsid w:val="5B43595A"/>
    <w:rsid w:val="5CF8081E"/>
    <w:rsid w:val="5D7F24B7"/>
    <w:rsid w:val="5DAD0F84"/>
    <w:rsid w:val="6042008A"/>
    <w:rsid w:val="61BC02FE"/>
    <w:rsid w:val="65A95AED"/>
    <w:rsid w:val="67726589"/>
    <w:rsid w:val="67742476"/>
    <w:rsid w:val="68535037"/>
    <w:rsid w:val="688F22C8"/>
    <w:rsid w:val="69BC12E6"/>
    <w:rsid w:val="6AEE583B"/>
    <w:rsid w:val="6B4164EA"/>
    <w:rsid w:val="6B804A6F"/>
    <w:rsid w:val="6BA93475"/>
    <w:rsid w:val="6C6F3815"/>
    <w:rsid w:val="6CB26586"/>
    <w:rsid w:val="6E1C739E"/>
    <w:rsid w:val="6E3C285F"/>
    <w:rsid w:val="6F51652A"/>
    <w:rsid w:val="70CB0F6D"/>
    <w:rsid w:val="7170412F"/>
    <w:rsid w:val="71840FD7"/>
    <w:rsid w:val="71B457C5"/>
    <w:rsid w:val="71FD0681"/>
    <w:rsid w:val="738B5BA8"/>
    <w:rsid w:val="750C6600"/>
    <w:rsid w:val="756E02CF"/>
    <w:rsid w:val="76D11131"/>
    <w:rsid w:val="77075563"/>
    <w:rsid w:val="771D3AE8"/>
    <w:rsid w:val="772A5E26"/>
    <w:rsid w:val="77D0420A"/>
    <w:rsid w:val="78174088"/>
    <w:rsid w:val="7A5769F5"/>
    <w:rsid w:val="7BF44347"/>
    <w:rsid w:val="7CAA17D3"/>
    <w:rsid w:val="7EBB04BF"/>
    <w:rsid w:val="7F776204"/>
    <w:rsid w:val="7FA06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qFormat/>
    <w:uiPriority w:val="0"/>
    <w:pPr>
      <w:adjustRightInd/>
      <w:spacing w:line="240" w:lineRule="auto"/>
      <w:jc w:val="left"/>
    </w:pPr>
    <w:rPr>
      <w:rFonts w:ascii="Times New Roman" w:hAnsi="Times New Roman"/>
      <w:szCs w:val="24"/>
    </w:rPr>
  </w:style>
  <w:style w:type="paragraph" w:styleId="14">
    <w:name w:val="Body Text"/>
    <w:basedOn w:val="1"/>
    <w:link w:val="87"/>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6"/>
    <w:semiHidden/>
    <w:unhideWhenUsed/>
    <w:qFormat/>
    <w:uiPriority w:val="99"/>
    <w:rPr>
      <w:sz w:val="18"/>
      <w:szCs w:val="18"/>
    </w:rPr>
  </w:style>
  <w:style w:type="paragraph" w:styleId="18">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4"/>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Char"/>
    <w:link w:val="2"/>
    <w:qFormat/>
    <w:uiPriority w:val="0"/>
    <w:rPr>
      <w:b/>
      <w:bCs/>
      <w:kern w:val="44"/>
      <w:sz w:val="44"/>
      <w:szCs w:val="44"/>
    </w:rPr>
  </w:style>
  <w:style w:type="character" w:customStyle="1" w:styleId="36">
    <w:name w:val="标题 2 Char"/>
    <w:link w:val="3"/>
    <w:qFormat/>
    <w:uiPriority w:val="0"/>
    <w:rPr>
      <w:rFonts w:ascii="Arial" w:hAnsi="Arial" w:eastAsia="黑体"/>
      <w:b/>
      <w:bCs/>
      <w:kern w:val="2"/>
      <w:sz w:val="32"/>
      <w:szCs w:val="32"/>
    </w:rPr>
  </w:style>
  <w:style w:type="character" w:customStyle="1" w:styleId="37">
    <w:name w:val="标题 3 Char"/>
    <w:link w:val="4"/>
    <w:qFormat/>
    <w:uiPriority w:val="0"/>
    <w:rPr>
      <w:b/>
      <w:bCs/>
      <w:kern w:val="2"/>
      <w:sz w:val="32"/>
      <w:szCs w:val="32"/>
    </w:rPr>
  </w:style>
  <w:style w:type="character" w:customStyle="1" w:styleId="38">
    <w:name w:val="标题 4 Char"/>
    <w:link w:val="5"/>
    <w:qFormat/>
    <w:uiPriority w:val="0"/>
    <w:rPr>
      <w:rFonts w:ascii="Arial" w:hAnsi="Arial" w:eastAsia="黑体"/>
      <w:b/>
      <w:bCs/>
      <w:kern w:val="2"/>
      <w:sz w:val="28"/>
      <w:szCs w:val="28"/>
    </w:rPr>
  </w:style>
  <w:style w:type="character" w:customStyle="1" w:styleId="39">
    <w:name w:val="标题 5 Char"/>
    <w:link w:val="6"/>
    <w:qFormat/>
    <w:uiPriority w:val="0"/>
    <w:rPr>
      <w:b/>
      <w:bCs/>
      <w:kern w:val="2"/>
      <w:sz w:val="28"/>
      <w:szCs w:val="28"/>
    </w:rPr>
  </w:style>
  <w:style w:type="character" w:customStyle="1" w:styleId="40">
    <w:name w:val="标题 6 Char"/>
    <w:link w:val="7"/>
    <w:qFormat/>
    <w:uiPriority w:val="0"/>
    <w:rPr>
      <w:rFonts w:ascii="Arial" w:hAnsi="Arial" w:eastAsia="黑体"/>
      <w:b/>
      <w:bCs/>
      <w:kern w:val="2"/>
      <w:sz w:val="24"/>
      <w:szCs w:val="24"/>
    </w:rPr>
  </w:style>
  <w:style w:type="character" w:customStyle="1" w:styleId="41">
    <w:name w:val="标题 7 Char"/>
    <w:link w:val="8"/>
    <w:qFormat/>
    <w:uiPriority w:val="0"/>
    <w:rPr>
      <w:b/>
      <w:bCs/>
      <w:kern w:val="2"/>
      <w:sz w:val="24"/>
      <w:szCs w:val="24"/>
    </w:rPr>
  </w:style>
  <w:style w:type="character" w:customStyle="1" w:styleId="42">
    <w:name w:val="标题 8 Char"/>
    <w:link w:val="9"/>
    <w:qFormat/>
    <w:uiPriority w:val="0"/>
    <w:rPr>
      <w:rFonts w:ascii="Arial" w:hAnsi="Arial" w:eastAsia="黑体"/>
      <w:kern w:val="2"/>
      <w:sz w:val="24"/>
      <w:szCs w:val="24"/>
    </w:rPr>
  </w:style>
  <w:style w:type="character" w:customStyle="1" w:styleId="43">
    <w:name w:val="标题 9 Char"/>
    <w:link w:val="10"/>
    <w:qFormat/>
    <w:uiPriority w:val="0"/>
    <w:rPr>
      <w:rFonts w:ascii="Arial" w:hAnsi="Arial" w:eastAsia="黑体"/>
      <w:kern w:val="2"/>
      <w:sz w:val="21"/>
      <w:szCs w:val="21"/>
    </w:rPr>
  </w:style>
  <w:style w:type="character" w:customStyle="1" w:styleId="44">
    <w:name w:val="页眉 Char"/>
    <w:link w:val="19"/>
    <w:qFormat/>
    <w:uiPriority w:val="99"/>
    <w:rPr>
      <w:kern w:val="2"/>
      <w:sz w:val="18"/>
      <w:szCs w:val="18"/>
    </w:rPr>
  </w:style>
  <w:style w:type="character" w:customStyle="1" w:styleId="45">
    <w:name w:val="页脚 Char"/>
    <w:link w:val="18"/>
    <w:qFormat/>
    <w:uiPriority w:val="99"/>
    <w:rPr>
      <w:rFonts w:ascii="宋体"/>
      <w:kern w:val="2"/>
      <w:sz w:val="18"/>
      <w:szCs w:val="18"/>
    </w:rPr>
  </w:style>
  <w:style w:type="character" w:customStyle="1" w:styleId="46">
    <w:name w:val="批注框文本 Char"/>
    <w:link w:val="17"/>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Char"/>
    <w:link w:val="47"/>
    <w:qFormat/>
    <w:uiPriority w:val="29"/>
    <w:rPr>
      <w:i/>
      <w:iCs/>
      <w:color w:val="000000"/>
      <w:kern w:val="2"/>
      <w:sz w:val="21"/>
      <w:szCs w:val="21"/>
    </w:rPr>
  </w:style>
  <w:style w:type="character" w:customStyle="1" w:styleId="49">
    <w:name w:val="标题 Char"/>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Char"/>
    <w:link w:val="14"/>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Char"/>
    <w:link w:val="22"/>
    <w:semiHidden/>
    <w:qFormat/>
    <w:uiPriority w:val="0"/>
    <w:rPr>
      <w:rFonts w:ascii="宋体"/>
      <w:kern w:val="2"/>
      <w:sz w:val="18"/>
      <w:szCs w:val="18"/>
    </w:rPr>
  </w:style>
  <w:style w:type="paragraph" w:customStyle="1" w:styleId="101">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customStyle="1" w:styleId="231">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2">
    <w:name w:val="章标题"/>
    <w:next w:val="231"/>
    <w:qFormat/>
    <w:uiPriority w:val="0"/>
    <w:p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233">
    <w:name w:val="一级条标题"/>
    <w:next w:val="231"/>
    <w:qFormat/>
    <w:uiPriority w:val="0"/>
    <w:p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234">
    <w:name w:val="二级条标题"/>
    <w:basedOn w:val="233"/>
    <w:next w:val="231"/>
    <w:qFormat/>
    <w:uiPriority w:val="0"/>
    <w:pPr>
      <w:spacing w:before="50" w:after="50"/>
      <w:outlineLvl w:val="3"/>
    </w:p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7" Type="http://schemas.openxmlformats.org/officeDocument/2006/relationships/glossaryDocument" Target="glossary/document.xml"/><Relationship Id="rId36" Type="http://schemas.openxmlformats.org/officeDocument/2006/relationships/fontTable" Target="fontTable.xml"/><Relationship Id="rId35" Type="http://schemas.microsoft.com/office/2006/relationships/keyMapCustomizations" Target="customizations.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png"/><Relationship Id="rId30" Type="http://schemas.openxmlformats.org/officeDocument/2006/relationships/image" Target="media/image1.png"/><Relationship Id="rId3" Type="http://schemas.openxmlformats.org/officeDocument/2006/relationships/footnotes" Target="footnotes.xml"/><Relationship Id="rId29" Type="http://schemas.openxmlformats.org/officeDocument/2006/relationships/theme" Target="theme/theme1.xml"/><Relationship Id="rId28" Type="http://schemas.openxmlformats.org/officeDocument/2006/relationships/footer" Target="footer12.xml"/><Relationship Id="rId27" Type="http://schemas.openxmlformats.org/officeDocument/2006/relationships/footer" Target="footer11.xml"/><Relationship Id="rId26" Type="http://schemas.openxmlformats.org/officeDocument/2006/relationships/header" Target="header12.xml"/><Relationship Id="rId25" Type="http://schemas.openxmlformats.org/officeDocument/2006/relationships/header" Target="header11.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0.xml"/><Relationship Id="rId21" Type="http://schemas.openxmlformats.org/officeDocument/2006/relationships/header" Target="head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BAD1D096DA435C958A3CC3CE42E1DA"/>
        <w:style w:val=""/>
        <w:category>
          <w:name w:val="常规"/>
          <w:gallery w:val="placeholder"/>
        </w:category>
        <w:types>
          <w:type w:val="bbPlcHdr"/>
        </w:types>
        <w:behaviors>
          <w:behavior w:val="content"/>
        </w:behaviors>
        <w:description w:val=""/>
        <w:guid w:val="{61934528-37A1-49F9-BF08-2AAB414F29F7}"/>
      </w:docPartPr>
      <w:docPartBody>
        <w:p w14:paraId="1B3033B1">
          <w:pPr>
            <w:pStyle w:val="5"/>
          </w:pPr>
          <w:r>
            <w:rPr>
              <w:rStyle w:val="4"/>
              <w:rFonts w:hint="eastAsia"/>
            </w:rPr>
            <w:t>单击或点击此处输入文字。</w:t>
          </w:r>
        </w:p>
      </w:docPartBody>
    </w:docPart>
    <w:docPart>
      <w:docPartPr>
        <w:name w:val="5FE49046297C4A68A6C5EFDE3F027740"/>
        <w:style w:val=""/>
        <w:category>
          <w:name w:val="常规"/>
          <w:gallery w:val="placeholder"/>
        </w:category>
        <w:types>
          <w:type w:val="bbPlcHdr"/>
        </w:types>
        <w:behaviors>
          <w:behavior w:val="content"/>
        </w:behaviors>
        <w:description w:val=""/>
        <w:guid w:val="{653A4C1D-7889-4750-B832-B9993DB68657}"/>
      </w:docPartPr>
      <w:docPartBody>
        <w:p w14:paraId="41CEC9A7">
          <w:pPr>
            <w:pStyle w:val="6"/>
          </w:pPr>
          <w:r>
            <w:rPr>
              <w:rStyle w:val="4"/>
              <w:rFonts w:hint="eastAsia"/>
            </w:rPr>
            <w:t>选择一项。</w:t>
          </w:r>
        </w:p>
      </w:docPartBody>
    </w:docPart>
    <w:docPart>
      <w:docPartPr>
        <w:name w:val="82FAD4B12AFB42FD997383B282BB9FD2"/>
        <w:style w:val=""/>
        <w:category>
          <w:name w:val="常规"/>
          <w:gallery w:val="placeholder"/>
        </w:category>
        <w:types>
          <w:type w:val="bbPlcHdr"/>
        </w:types>
        <w:behaviors>
          <w:behavior w:val="content"/>
        </w:behaviors>
        <w:description w:val=""/>
        <w:guid w:val="{23D05D0A-0F65-4FE0-9D29-D2C0C0556922}"/>
      </w:docPartPr>
      <w:docPartBody>
        <w:p w14:paraId="51069DAA">
          <w:pPr>
            <w:pStyle w:val="7"/>
          </w:pPr>
          <w:r>
            <w:rPr>
              <w:rStyle w:val="4"/>
              <w:rFonts w:hint="eastAsia"/>
            </w:rPr>
            <w:t>选择一项。</w:t>
          </w:r>
        </w:p>
      </w:docPartBody>
    </w:docPart>
    <w:docPart>
      <w:docPartPr>
        <w:name w:val="{d23e1339-bf4a-4cbc-9fc8-c9edabe4f337}"/>
        <w:style w:val=""/>
        <w:category>
          <w:name w:val="常规"/>
          <w:gallery w:val="placeholder"/>
        </w:category>
        <w:types>
          <w:type w:val="bbPlcHdr"/>
        </w:types>
        <w:behaviors>
          <w:behavior w:val="content"/>
        </w:behaviors>
        <w:description w:val=""/>
        <w:guid w:val="{d23e1339-bf4a-4cbc-9fc8-c9edabe4f337}"/>
      </w:docPartPr>
      <w:docPartBody>
        <w:p w14:paraId="2A22317F">
          <w:pPr>
            <w:pStyle w:val="9"/>
          </w:pPr>
          <w:r>
            <w:rPr>
              <w:rStyle w:val="4"/>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BD0"/>
    <w:rsid w:val="00125FC3"/>
    <w:rsid w:val="003A5430"/>
    <w:rsid w:val="004E2C37"/>
    <w:rsid w:val="00541666"/>
    <w:rsid w:val="00607BD0"/>
    <w:rsid w:val="00880EF2"/>
    <w:rsid w:val="00C1100C"/>
    <w:rsid w:val="00DD45EC"/>
    <w:rsid w:val="00E77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BAD1D096DA435C958A3CC3CE42E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FE49046297C4A68A6C5EFDE3F0277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82FAD4B12AFB42FD997383B282BB9FD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
    <w:name w:val="A58C968105124919A5150DA17DA1C7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
    <w:name w:val="BFB4BCC7E9DA4F5E99614D3A3D35D57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
    <w:name w:val="178435BE54A04C90B2DDE662FEA572E3"/>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C910D8-A8A1-4244-AD1D-E793F490EFD1}">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10</Pages>
  <Words>3307</Words>
  <Characters>3766</Characters>
  <Lines>27</Lines>
  <Paragraphs>7</Paragraphs>
  <TotalTime>4</TotalTime>
  <ScaleCrop>false</ScaleCrop>
  <LinksUpToDate>false</LinksUpToDate>
  <CharactersWithSpaces>3877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2023-10-31T07:57:00Z</dcterms:created>
  <dc:creator>起草人</dc:creator>
  <dc:description>&lt;config cover="true" show_menu="true" version="1.0.0" doctype="SDKXY"&gt;_x000d_
&lt;/config&gt;</dc:description>
  <cp:lastModifiedBy>梁春年</cp:lastModifiedBy>
  <cp:lastPrinted>2021-02-02T08:22:00Z</cp:lastPrinted>
  <dcterms:modified xsi:type="dcterms:W3CDTF">2026-05-14T00:44:46Z</dcterms:modified>
  <dc:title>团体标准</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ProductBuildVer">
    <vt:lpwstr>2052-12.1.0.25865</vt:lpwstr>
  </property>
  <property fmtid="{D5CDD505-2E9C-101B-9397-08002B2CF9AE}" pid="16" name="ICV">
    <vt:lpwstr>3AE88E80B34343829B7D224027139A4E_13</vt:lpwstr>
  </property>
  <property fmtid="{D5CDD505-2E9C-101B-9397-08002B2CF9AE}" pid="17" name="KSOTemplateDocerSaveRecord">
    <vt:lpwstr>eyJoZGlkIjoiNzFjZmJhYmY3MDU1NTQwN2I1ZjdiNDg1Mjc0OGE5YTUiLCJ1c2VySWQiOiIzNDQyNDQ2NzUifQ==</vt:lpwstr>
  </property>
</Properties>
</file>