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03A0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5EAA219">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444A965E">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w:t>
            </w:r>
            <w:r>
              <w:rPr>
                <w:rFonts w:hint="eastAsia" w:ascii="黑体" w:hAnsi="黑体" w:eastAsia="黑体"/>
                <w:sz w:val="21"/>
                <w:szCs w:val="21"/>
                <w:lang w:val="en-US" w:eastAsia="zh-CN"/>
              </w:rPr>
              <w:t>5</w:t>
            </w:r>
            <w:r>
              <w:rPr>
                <w:rFonts w:hint="eastAsia" w:ascii="黑体" w:hAnsi="黑体" w:eastAsia="黑体"/>
                <w:sz w:val="21"/>
                <w:szCs w:val="21"/>
              </w:rPr>
              <w:t>.020.30</w:t>
            </w:r>
            <w:r>
              <w:rPr>
                <w:rFonts w:ascii="黑体" w:hAnsi="黑体" w:eastAsia="黑体"/>
                <w:sz w:val="21"/>
                <w:szCs w:val="21"/>
              </w:rPr>
              <w:t>     </w:t>
            </w:r>
            <w:r>
              <w:rPr>
                <w:rFonts w:ascii="黑体" w:hAnsi="黑体" w:eastAsia="黑体"/>
                <w:sz w:val="21"/>
                <w:szCs w:val="21"/>
              </w:rPr>
              <w:fldChar w:fldCharType="end"/>
            </w:r>
            <w:bookmarkEnd w:id="0"/>
          </w:p>
        </w:tc>
      </w:tr>
      <w:tr w14:paraId="3F6B5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7F26479">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0AAE5E37">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7A0445FA">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GSQA</w:t>
                  </w:r>
                  <w:r>
                    <w:fldChar w:fldCharType="end"/>
                  </w:r>
                  <w:bookmarkEnd w:id="1"/>
                </w:p>
              </w:tc>
            </w:tr>
          </w:tbl>
          <w:p w14:paraId="7C0FC018">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B</w:t>
            </w:r>
            <w:r>
              <w:rPr>
                <w:rFonts w:hint="eastAsia" w:ascii="黑体" w:hAnsi="黑体" w:eastAsia="黑体"/>
                <w:sz w:val="21"/>
                <w:szCs w:val="21"/>
                <w:lang w:val="en-US" w:eastAsia="zh-CN"/>
              </w:rPr>
              <w:t>41</w:t>
            </w:r>
            <w:r>
              <w:rPr>
                <w:rFonts w:ascii="黑体" w:hAnsi="黑体" w:eastAsia="黑体"/>
                <w:sz w:val="21"/>
                <w:szCs w:val="21"/>
              </w:rPr>
              <w:fldChar w:fldCharType="end"/>
            </w:r>
            <w:bookmarkEnd w:id="2"/>
          </w:p>
        </w:tc>
      </w:tr>
    </w:tbl>
    <w:p w14:paraId="1E1987F3">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5978BB69">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XXX</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2</w:t>
      </w:r>
      <w:r>
        <w:rPr>
          <w:rFonts w:hint="eastAsia"/>
          <w:lang w:val="en-US" w:eastAsia="zh-CN"/>
        </w:rPr>
        <w:t>026</w:t>
      </w:r>
      <w:r>
        <w:fldChar w:fldCharType="end"/>
      </w:r>
      <w:bookmarkEnd w:id="7"/>
    </w:p>
    <w:p w14:paraId="04A7E5DB">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6DB4A4BB">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B37B9BE">
      <w:pPr>
        <w:pStyle w:val="51"/>
        <w:framePr w:w="9639" w:h="6976" w:hRule="exact" w:hSpace="0" w:vSpace="0" w:wrap="around" w:hAnchor="page" w:y="6408"/>
        <w:jc w:val="center"/>
        <w:rPr>
          <w:rFonts w:ascii="黑体" w:hAnsi="黑体" w:eastAsia="黑体"/>
          <w:b w:val="0"/>
          <w:bCs w:val="0"/>
          <w:w w:val="100"/>
        </w:rPr>
      </w:pPr>
    </w:p>
    <w:p w14:paraId="36435AA6">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张家川红花牛屠宰与检疫技术规程</w:t>
      </w:r>
      <w:r>
        <w:fldChar w:fldCharType="end"/>
      </w:r>
      <w:bookmarkEnd w:id="9"/>
    </w:p>
    <w:p w14:paraId="29341A9B">
      <w:pPr>
        <w:framePr w:w="9639" w:h="6974" w:hRule="exact" w:wrap="around" w:vAnchor="page" w:hAnchor="page" w:x="1419" w:y="6408" w:anchorLock="1"/>
        <w:ind w:left="-1418"/>
      </w:pPr>
    </w:p>
    <w:p w14:paraId="315C4CD7">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Technical specification for slaughtering and quarantine of Zhangjiachuan Honghua cattle</w:t>
      </w:r>
      <w:r>
        <w:rPr>
          <w:rFonts w:eastAsia="黑体"/>
          <w:szCs w:val="28"/>
        </w:rPr>
        <w:fldChar w:fldCharType="end"/>
      </w:r>
      <w:bookmarkEnd w:id="10"/>
    </w:p>
    <w:p w14:paraId="3E42D157">
      <w:pPr>
        <w:framePr w:w="9639" w:h="6974" w:hRule="exact" w:wrap="around" w:vAnchor="page" w:hAnchor="page" w:x="1419" w:y="6408" w:anchorLock="1"/>
        <w:spacing w:line="760" w:lineRule="exact"/>
        <w:ind w:left="-1418"/>
      </w:pPr>
    </w:p>
    <w:p w14:paraId="65E5A427">
      <w:pPr>
        <w:pStyle w:val="126"/>
        <w:framePr w:w="9639" w:h="6974" w:hRule="exact" w:wrap="around" w:vAnchor="page" w:hAnchor="page" w:x="1419" w:y="6408" w:anchorLock="1"/>
        <w:textAlignment w:val="bottom"/>
        <w:rPr>
          <w:rFonts w:eastAsia="黑体"/>
          <w:szCs w:val="28"/>
        </w:rPr>
      </w:pPr>
    </w:p>
    <w:p w14:paraId="6C86F737">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099019DF">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9C45D32">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009870D9">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lang w:val="en-US" w:eastAsia="zh-CN"/>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1E99C868">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1FA821B4">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甘肃省质量协会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507EF2BD">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A9F97B8">
      <w:pPr>
        <w:pStyle w:val="92"/>
        <w:spacing w:after="360"/>
      </w:pPr>
      <w:bookmarkStart w:id="21" w:name="BookMark1"/>
      <w:bookmarkStart w:id="22" w:name="_Toc150014764"/>
      <w:r>
        <w:rPr>
          <w:rFonts w:hint="eastAsia"/>
          <w:spacing w:val="320"/>
        </w:rPr>
        <w:t>目</w:t>
      </w:r>
      <w:r>
        <w:rPr>
          <w:rFonts w:hint="eastAsia"/>
        </w:rPr>
        <w:t>次</w:t>
      </w:r>
    </w:p>
    <w:p w14:paraId="41E67C0A">
      <w:pPr>
        <w:pStyle w:val="19"/>
        <w:tabs>
          <w:tab w:val="right" w:leader="dot" w:pos="9354"/>
        </w:tabs>
      </w:pPr>
      <w:r>
        <w:fldChar w:fldCharType="begin"/>
      </w:r>
      <w:r>
        <w:instrText xml:space="preserve"> TOC \o "1-1" \h \t "标准文件_一级条标题,2,标准文件_附录一级条标题,2," </w:instrText>
      </w:r>
      <w:r>
        <w:fldChar w:fldCharType="separate"/>
      </w:r>
      <w:r>
        <w:fldChar w:fldCharType="begin"/>
      </w:r>
      <w:r>
        <w:instrText xml:space="preserve"> HYPERLINK \l _Toc22096 </w:instrText>
      </w:r>
      <w:r>
        <w:fldChar w:fldCharType="separate"/>
      </w:r>
      <w:r>
        <w:rPr>
          <w:rFonts w:hint="eastAsia"/>
          <w:lang w:val="en-US" w:eastAsia="zh-CN"/>
        </w:rPr>
        <w:t>前</w:t>
      </w:r>
      <w:r>
        <w:t>言</w:t>
      </w:r>
      <w:r>
        <w:tab/>
      </w:r>
      <w:r>
        <w:fldChar w:fldCharType="begin"/>
      </w:r>
      <w:r>
        <w:instrText xml:space="preserve"> PAGEREF _Toc22096 \h </w:instrText>
      </w:r>
      <w:r>
        <w:fldChar w:fldCharType="separate"/>
      </w:r>
      <w:r>
        <w:t>III</w:t>
      </w:r>
      <w:r>
        <w:fldChar w:fldCharType="end"/>
      </w:r>
      <w:r>
        <w:fldChar w:fldCharType="end"/>
      </w:r>
    </w:p>
    <w:p w14:paraId="3A404FF5">
      <w:pPr>
        <w:pStyle w:val="19"/>
        <w:tabs>
          <w:tab w:val="right" w:leader="dot" w:pos="9354"/>
        </w:tabs>
      </w:pPr>
      <w:r>
        <w:fldChar w:fldCharType="begin"/>
      </w:r>
      <w:r>
        <w:instrText xml:space="preserve"> HYPERLINK \l _Toc30685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_Toc30685 \h </w:instrText>
      </w:r>
      <w:r>
        <w:fldChar w:fldCharType="separate"/>
      </w:r>
      <w:r>
        <w:t>4</w:t>
      </w:r>
      <w:r>
        <w:fldChar w:fldCharType="end"/>
      </w:r>
      <w:r>
        <w:fldChar w:fldCharType="end"/>
      </w:r>
    </w:p>
    <w:p w14:paraId="65233A84">
      <w:pPr>
        <w:pStyle w:val="19"/>
        <w:tabs>
          <w:tab w:val="right" w:leader="dot" w:pos="9354"/>
        </w:tabs>
      </w:pPr>
      <w:r>
        <w:fldChar w:fldCharType="begin"/>
      </w:r>
      <w:r>
        <w:instrText xml:space="preserve"> HYPERLINK \l _Toc25049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_Toc25049 \h </w:instrText>
      </w:r>
      <w:r>
        <w:fldChar w:fldCharType="separate"/>
      </w:r>
      <w:r>
        <w:t>4</w:t>
      </w:r>
      <w:r>
        <w:fldChar w:fldCharType="end"/>
      </w:r>
      <w:r>
        <w:fldChar w:fldCharType="end"/>
      </w:r>
    </w:p>
    <w:p w14:paraId="4ACA98EB">
      <w:pPr>
        <w:pStyle w:val="19"/>
        <w:tabs>
          <w:tab w:val="right" w:leader="dot" w:pos="9354"/>
        </w:tabs>
      </w:pPr>
      <w:r>
        <w:fldChar w:fldCharType="begin"/>
      </w:r>
      <w:r>
        <w:instrText xml:space="preserve"> HYPERLINK \l _Toc30444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_Toc30444 \h </w:instrText>
      </w:r>
      <w:r>
        <w:fldChar w:fldCharType="separate"/>
      </w:r>
      <w:r>
        <w:t>4</w:t>
      </w:r>
      <w:r>
        <w:fldChar w:fldCharType="end"/>
      </w:r>
      <w:r>
        <w:fldChar w:fldCharType="end"/>
      </w:r>
    </w:p>
    <w:p w14:paraId="02FA90CF">
      <w:pPr>
        <w:pStyle w:val="19"/>
        <w:tabs>
          <w:tab w:val="right" w:leader="dot" w:pos="9354"/>
        </w:tabs>
      </w:pPr>
      <w:r>
        <w:fldChar w:fldCharType="begin"/>
      </w:r>
      <w:r>
        <w:instrText xml:space="preserve"> HYPERLINK \l _Toc16847 </w:instrText>
      </w:r>
      <w:r>
        <w:fldChar w:fldCharType="separate"/>
      </w:r>
      <w:r>
        <w:rPr>
          <w:rFonts w:hint="eastAsia" w:ascii="黑体" w:eastAsia="黑体"/>
          <w:i w:val="0"/>
        </w:rPr>
        <w:t xml:space="preserve">4 </w:t>
      </w:r>
      <w:r>
        <w:rPr>
          <w:rFonts w:hint="eastAsia"/>
          <w:lang w:val="en-US" w:eastAsia="zh-CN"/>
        </w:rPr>
        <w:t>宰前要求</w:t>
      </w:r>
      <w:r>
        <w:tab/>
      </w:r>
      <w:r>
        <w:fldChar w:fldCharType="begin"/>
      </w:r>
      <w:r>
        <w:instrText xml:space="preserve"> PAGEREF _Toc16847 \h </w:instrText>
      </w:r>
      <w:r>
        <w:fldChar w:fldCharType="separate"/>
      </w:r>
      <w:r>
        <w:t>4</w:t>
      </w:r>
      <w:r>
        <w:fldChar w:fldCharType="end"/>
      </w:r>
      <w:r>
        <w:fldChar w:fldCharType="end"/>
      </w:r>
    </w:p>
    <w:p w14:paraId="2A86AF9F">
      <w:pPr>
        <w:pStyle w:val="24"/>
        <w:tabs>
          <w:tab w:val="right" w:leader="dot" w:pos="9354"/>
          <w:tab w:val="clear" w:pos="9344"/>
        </w:tabs>
      </w:pPr>
      <w:r>
        <w:fldChar w:fldCharType="begin"/>
      </w:r>
      <w:r>
        <w:instrText xml:space="preserve"> HYPERLINK \l _Toc31046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4.1 </w:t>
      </w:r>
      <w:r>
        <w:rPr>
          <w:rFonts w:hint="eastAsia"/>
          <w:lang w:val="en-US" w:eastAsia="zh-CN"/>
        </w:rPr>
        <w:t>场所与设施</w:t>
      </w:r>
      <w:r>
        <w:tab/>
      </w:r>
      <w:r>
        <w:fldChar w:fldCharType="begin"/>
      </w:r>
      <w:r>
        <w:instrText xml:space="preserve"> PAGEREF _Toc31046 \h </w:instrText>
      </w:r>
      <w:r>
        <w:fldChar w:fldCharType="separate"/>
      </w:r>
      <w:r>
        <w:t>4</w:t>
      </w:r>
      <w:r>
        <w:fldChar w:fldCharType="end"/>
      </w:r>
      <w:r>
        <w:fldChar w:fldCharType="end"/>
      </w:r>
    </w:p>
    <w:p w14:paraId="5491CC17">
      <w:pPr>
        <w:pStyle w:val="24"/>
        <w:tabs>
          <w:tab w:val="right" w:leader="dot" w:pos="9354"/>
          <w:tab w:val="clear" w:pos="9344"/>
        </w:tabs>
      </w:pPr>
      <w:r>
        <w:fldChar w:fldCharType="begin"/>
      </w:r>
      <w:r>
        <w:instrText xml:space="preserve"> HYPERLINK \l _Toc10034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4.2 </w:t>
      </w:r>
      <w:r>
        <w:rPr>
          <w:rFonts w:hint="eastAsia"/>
          <w:lang w:val="en-US" w:eastAsia="zh-CN"/>
        </w:rPr>
        <w:t>文件核查</w:t>
      </w:r>
      <w:r>
        <w:tab/>
      </w:r>
      <w:r>
        <w:fldChar w:fldCharType="begin"/>
      </w:r>
      <w:r>
        <w:instrText xml:space="preserve"> PAGEREF _Toc10034 \h </w:instrText>
      </w:r>
      <w:r>
        <w:fldChar w:fldCharType="separate"/>
      </w:r>
      <w:r>
        <w:t>4</w:t>
      </w:r>
      <w:r>
        <w:fldChar w:fldCharType="end"/>
      </w:r>
      <w:r>
        <w:fldChar w:fldCharType="end"/>
      </w:r>
    </w:p>
    <w:p w14:paraId="6A52311D">
      <w:pPr>
        <w:pStyle w:val="24"/>
        <w:tabs>
          <w:tab w:val="right" w:leader="dot" w:pos="9354"/>
          <w:tab w:val="clear" w:pos="9344"/>
        </w:tabs>
      </w:pPr>
      <w:r>
        <w:fldChar w:fldCharType="begin"/>
      </w:r>
      <w:r>
        <w:instrText xml:space="preserve"> HYPERLINK \l _Toc2663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4.3 </w:t>
      </w:r>
      <w:r>
        <w:rPr>
          <w:rFonts w:hint="eastAsia"/>
          <w:lang w:val="en-US" w:eastAsia="zh-CN"/>
        </w:rPr>
        <w:t>健康状况</w:t>
      </w:r>
      <w:r>
        <w:tab/>
      </w:r>
      <w:r>
        <w:fldChar w:fldCharType="begin"/>
      </w:r>
      <w:r>
        <w:instrText xml:space="preserve"> PAGEREF _Toc2663 \h </w:instrText>
      </w:r>
      <w:r>
        <w:fldChar w:fldCharType="separate"/>
      </w:r>
      <w:r>
        <w:t>4</w:t>
      </w:r>
      <w:r>
        <w:fldChar w:fldCharType="end"/>
      </w:r>
      <w:r>
        <w:fldChar w:fldCharType="end"/>
      </w:r>
    </w:p>
    <w:p w14:paraId="5F55B69F">
      <w:pPr>
        <w:pStyle w:val="24"/>
        <w:tabs>
          <w:tab w:val="right" w:leader="dot" w:pos="9354"/>
          <w:tab w:val="clear" w:pos="9344"/>
        </w:tabs>
      </w:pPr>
      <w:r>
        <w:fldChar w:fldCharType="begin"/>
      </w:r>
      <w:r>
        <w:instrText xml:space="preserve"> HYPERLINK \l _Toc7175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4.4 </w:t>
      </w:r>
      <w:r>
        <w:rPr>
          <w:rFonts w:hint="eastAsia"/>
          <w:lang w:val="en-US" w:eastAsia="zh-CN"/>
        </w:rPr>
        <w:t>禁食禁水</w:t>
      </w:r>
      <w:r>
        <w:tab/>
      </w:r>
      <w:r>
        <w:fldChar w:fldCharType="begin"/>
      </w:r>
      <w:r>
        <w:instrText xml:space="preserve"> PAGEREF _Toc7175 \h </w:instrText>
      </w:r>
      <w:r>
        <w:fldChar w:fldCharType="separate"/>
      </w:r>
      <w:r>
        <w:t>4</w:t>
      </w:r>
      <w:r>
        <w:fldChar w:fldCharType="end"/>
      </w:r>
      <w:r>
        <w:fldChar w:fldCharType="end"/>
      </w:r>
    </w:p>
    <w:p w14:paraId="6972BAAA">
      <w:pPr>
        <w:pStyle w:val="24"/>
        <w:tabs>
          <w:tab w:val="right" w:leader="dot" w:pos="9354"/>
          <w:tab w:val="clear" w:pos="9344"/>
        </w:tabs>
      </w:pPr>
      <w:r>
        <w:fldChar w:fldCharType="begin"/>
      </w:r>
      <w:r>
        <w:instrText xml:space="preserve"> HYPERLINK \l _Toc28377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4.5 </w:t>
      </w:r>
      <w:r>
        <w:rPr>
          <w:rFonts w:hint="eastAsia"/>
          <w:lang w:val="en-US" w:eastAsia="zh-CN"/>
        </w:rPr>
        <w:t>运输卸料</w:t>
      </w:r>
      <w:r>
        <w:tab/>
      </w:r>
      <w:r>
        <w:fldChar w:fldCharType="begin"/>
      </w:r>
      <w:r>
        <w:instrText xml:space="preserve"> PAGEREF _Toc28377 \h </w:instrText>
      </w:r>
      <w:r>
        <w:fldChar w:fldCharType="separate"/>
      </w:r>
      <w:r>
        <w:t>5</w:t>
      </w:r>
      <w:r>
        <w:fldChar w:fldCharType="end"/>
      </w:r>
      <w:r>
        <w:fldChar w:fldCharType="end"/>
      </w:r>
    </w:p>
    <w:p w14:paraId="55BE1E55">
      <w:pPr>
        <w:pStyle w:val="24"/>
        <w:tabs>
          <w:tab w:val="right" w:leader="dot" w:pos="9354"/>
          <w:tab w:val="clear" w:pos="9344"/>
        </w:tabs>
      </w:pPr>
      <w:r>
        <w:fldChar w:fldCharType="begin"/>
      </w:r>
      <w:r>
        <w:instrText xml:space="preserve"> HYPERLINK \l _Toc29442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4.6 </w:t>
      </w:r>
      <w:r>
        <w:rPr>
          <w:rFonts w:hint="eastAsia"/>
          <w:lang w:val="en-US" w:eastAsia="zh-CN"/>
        </w:rPr>
        <w:t>动物福利</w:t>
      </w:r>
      <w:r>
        <w:tab/>
      </w:r>
      <w:r>
        <w:fldChar w:fldCharType="begin"/>
      </w:r>
      <w:r>
        <w:instrText xml:space="preserve"> PAGEREF _Toc29442 \h </w:instrText>
      </w:r>
      <w:r>
        <w:fldChar w:fldCharType="separate"/>
      </w:r>
      <w:r>
        <w:t>5</w:t>
      </w:r>
      <w:r>
        <w:fldChar w:fldCharType="end"/>
      </w:r>
      <w:r>
        <w:fldChar w:fldCharType="end"/>
      </w:r>
    </w:p>
    <w:p w14:paraId="738F1092">
      <w:pPr>
        <w:pStyle w:val="19"/>
        <w:tabs>
          <w:tab w:val="right" w:leader="dot" w:pos="9354"/>
        </w:tabs>
      </w:pPr>
      <w:r>
        <w:fldChar w:fldCharType="begin"/>
      </w:r>
      <w:r>
        <w:instrText xml:space="preserve"> HYPERLINK \l _Toc30113 </w:instrText>
      </w:r>
      <w:r>
        <w:fldChar w:fldCharType="separate"/>
      </w:r>
      <w:r>
        <w:rPr>
          <w:rFonts w:hint="eastAsia" w:ascii="黑体" w:eastAsia="黑体"/>
          <w:i w:val="0"/>
        </w:rPr>
        <w:t xml:space="preserve">5 </w:t>
      </w:r>
      <w:r>
        <w:rPr>
          <w:rFonts w:hint="eastAsia"/>
          <w:lang w:val="en-US" w:eastAsia="zh-CN"/>
        </w:rPr>
        <w:t>屠宰技术要求</w:t>
      </w:r>
      <w:r>
        <w:tab/>
      </w:r>
      <w:r>
        <w:fldChar w:fldCharType="begin"/>
      </w:r>
      <w:r>
        <w:instrText xml:space="preserve"> PAGEREF _Toc30113 \h </w:instrText>
      </w:r>
      <w:r>
        <w:fldChar w:fldCharType="separate"/>
      </w:r>
      <w:r>
        <w:t>5</w:t>
      </w:r>
      <w:r>
        <w:fldChar w:fldCharType="end"/>
      </w:r>
      <w:r>
        <w:fldChar w:fldCharType="end"/>
      </w:r>
    </w:p>
    <w:p w14:paraId="7551B8A3">
      <w:pPr>
        <w:pStyle w:val="24"/>
        <w:tabs>
          <w:tab w:val="right" w:leader="dot" w:pos="9354"/>
          <w:tab w:val="clear" w:pos="9344"/>
        </w:tabs>
      </w:pPr>
      <w:r>
        <w:fldChar w:fldCharType="begin"/>
      </w:r>
      <w:r>
        <w:instrText xml:space="preserve"> HYPERLINK \l _Toc29091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5.1 </w:t>
      </w:r>
      <w:r>
        <w:rPr>
          <w:rFonts w:hint="eastAsia"/>
          <w:lang w:val="en-US" w:eastAsia="zh-CN"/>
        </w:rPr>
        <w:t>牵挂与致昏</w:t>
      </w:r>
      <w:r>
        <w:tab/>
      </w:r>
      <w:r>
        <w:fldChar w:fldCharType="begin"/>
      </w:r>
      <w:r>
        <w:instrText xml:space="preserve"> PAGEREF _Toc29091 \h </w:instrText>
      </w:r>
      <w:r>
        <w:fldChar w:fldCharType="separate"/>
      </w:r>
      <w:r>
        <w:t>5</w:t>
      </w:r>
      <w:r>
        <w:fldChar w:fldCharType="end"/>
      </w:r>
      <w:r>
        <w:fldChar w:fldCharType="end"/>
      </w:r>
    </w:p>
    <w:p w14:paraId="544F8534">
      <w:pPr>
        <w:pStyle w:val="24"/>
        <w:tabs>
          <w:tab w:val="right" w:leader="dot" w:pos="9354"/>
          <w:tab w:val="clear" w:pos="9344"/>
        </w:tabs>
      </w:pPr>
      <w:r>
        <w:fldChar w:fldCharType="begin"/>
      </w:r>
      <w:r>
        <w:instrText xml:space="preserve"> HYPERLINK \l _Toc7788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5.2 </w:t>
      </w:r>
      <w:r>
        <w:rPr>
          <w:rFonts w:hint="eastAsia"/>
          <w:lang w:val="en-US" w:eastAsia="zh-CN"/>
        </w:rPr>
        <w:t>挂牛放血</w:t>
      </w:r>
      <w:r>
        <w:tab/>
      </w:r>
      <w:r>
        <w:fldChar w:fldCharType="begin"/>
      </w:r>
      <w:r>
        <w:instrText xml:space="preserve"> PAGEREF _Toc7788 \h </w:instrText>
      </w:r>
      <w:r>
        <w:fldChar w:fldCharType="separate"/>
      </w:r>
      <w:r>
        <w:t>5</w:t>
      </w:r>
      <w:r>
        <w:fldChar w:fldCharType="end"/>
      </w:r>
      <w:r>
        <w:fldChar w:fldCharType="end"/>
      </w:r>
    </w:p>
    <w:p w14:paraId="4B380CC8">
      <w:pPr>
        <w:pStyle w:val="24"/>
        <w:tabs>
          <w:tab w:val="right" w:leader="dot" w:pos="9354"/>
          <w:tab w:val="clear" w:pos="9344"/>
        </w:tabs>
      </w:pPr>
      <w:r>
        <w:fldChar w:fldCharType="begin"/>
      </w:r>
      <w:r>
        <w:instrText xml:space="preserve"> HYPERLINK \l _Toc28758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5.3 </w:t>
      </w:r>
      <w:r>
        <w:rPr>
          <w:rFonts w:hint="eastAsia"/>
          <w:lang w:val="en-US" w:eastAsia="zh-CN"/>
        </w:rPr>
        <w:t>剥皮去头蹄</w:t>
      </w:r>
      <w:r>
        <w:tab/>
      </w:r>
      <w:r>
        <w:fldChar w:fldCharType="begin"/>
      </w:r>
      <w:r>
        <w:instrText xml:space="preserve"> PAGEREF _Toc28758 \h </w:instrText>
      </w:r>
      <w:r>
        <w:fldChar w:fldCharType="separate"/>
      </w:r>
      <w:r>
        <w:t>5</w:t>
      </w:r>
      <w:r>
        <w:fldChar w:fldCharType="end"/>
      </w:r>
      <w:r>
        <w:fldChar w:fldCharType="end"/>
      </w:r>
    </w:p>
    <w:p w14:paraId="40B1AA41">
      <w:pPr>
        <w:pStyle w:val="24"/>
        <w:tabs>
          <w:tab w:val="right" w:leader="dot" w:pos="9354"/>
          <w:tab w:val="clear" w:pos="9344"/>
        </w:tabs>
      </w:pPr>
      <w:r>
        <w:fldChar w:fldCharType="begin"/>
      </w:r>
      <w:r>
        <w:instrText xml:space="preserve"> HYPERLINK \l _Toc446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5.4 </w:t>
      </w:r>
      <w:r>
        <w:rPr>
          <w:rFonts w:hint="eastAsia"/>
          <w:lang w:val="en-US" w:eastAsia="zh-CN"/>
        </w:rPr>
        <w:t>取出内脏</w:t>
      </w:r>
      <w:r>
        <w:tab/>
      </w:r>
      <w:r>
        <w:fldChar w:fldCharType="begin"/>
      </w:r>
      <w:r>
        <w:instrText xml:space="preserve"> PAGEREF _Toc446 \h </w:instrText>
      </w:r>
      <w:r>
        <w:fldChar w:fldCharType="separate"/>
      </w:r>
      <w:r>
        <w:t>5</w:t>
      </w:r>
      <w:r>
        <w:fldChar w:fldCharType="end"/>
      </w:r>
      <w:r>
        <w:fldChar w:fldCharType="end"/>
      </w:r>
    </w:p>
    <w:p w14:paraId="53E6E691">
      <w:pPr>
        <w:pStyle w:val="24"/>
        <w:tabs>
          <w:tab w:val="right" w:leader="dot" w:pos="9354"/>
          <w:tab w:val="clear" w:pos="9344"/>
        </w:tabs>
      </w:pPr>
      <w:r>
        <w:fldChar w:fldCharType="begin"/>
      </w:r>
      <w:r>
        <w:instrText xml:space="preserve"> HYPERLINK \l _Toc18499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5.5 </w:t>
      </w:r>
      <w:r>
        <w:rPr>
          <w:rFonts w:hint="eastAsia"/>
          <w:lang w:val="en-US" w:eastAsia="zh-CN"/>
        </w:rPr>
        <w:t>开胸劈半</w:t>
      </w:r>
      <w:r>
        <w:tab/>
      </w:r>
      <w:r>
        <w:fldChar w:fldCharType="begin"/>
      </w:r>
      <w:r>
        <w:instrText xml:space="preserve"> PAGEREF _Toc18499 \h </w:instrText>
      </w:r>
      <w:r>
        <w:fldChar w:fldCharType="separate"/>
      </w:r>
      <w:r>
        <w:t>5</w:t>
      </w:r>
      <w:r>
        <w:fldChar w:fldCharType="end"/>
      </w:r>
      <w:r>
        <w:fldChar w:fldCharType="end"/>
      </w:r>
    </w:p>
    <w:p w14:paraId="7C91218C">
      <w:pPr>
        <w:pStyle w:val="24"/>
        <w:tabs>
          <w:tab w:val="right" w:leader="dot" w:pos="9354"/>
          <w:tab w:val="clear" w:pos="9344"/>
        </w:tabs>
      </w:pPr>
      <w:r>
        <w:fldChar w:fldCharType="begin"/>
      </w:r>
      <w:r>
        <w:instrText xml:space="preserve"> HYPERLINK \l _Toc5100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5.6 </w:t>
      </w:r>
      <w:r>
        <w:rPr>
          <w:rFonts w:hint="eastAsia"/>
          <w:lang w:val="en-US" w:eastAsia="zh-CN"/>
        </w:rPr>
        <w:t>冲洗和漂洗</w:t>
      </w:r>
      <w:r>
        <w:tab/>
      </w:r>
      <w:r>
        <w:fldChar w:fldCharType="begin"/>
      </w:r>
      <w:r>
        <w:instrText xml:space="preserve"> PAGEREF _Toc5100 \h </w:instrText>
      </w:r>
      <w:r>
        <w:fldChar w:fldCharType="separate"/>
      </w:r>
      <w:r>
        <w:t>5</w:t>
      </w:r>
      <w:r>
        <w:fldChar w:fldCharType="end"/>
      </w:r>
      <w:r>
        <w:fldChar w:fldCharType="end"/>
      </w:r>
    </w:p>
    <w:p w14:paraId="62168389">
      <w:pPr>
        <w:pStyle w:val="19"/>
        <w:tabs>
          <w:tab w:val="right" w:leader="dot" w:pos="9354"/>
        </w:tabs>
      </w:pPr>
      <w:r>
        <w:fldChar w:fldCharType="begin"/>
      </w:r>
      <w:r>
        <w:instrText xml:space="preserve"> HYPERLINK \l _Toc25847 </w:instrText>
      </w:r>
      <w:r>
        <w:fldChar w:fldCharType="separate"/>
      </w:r>
      <w:r>
        <w:rPr>
          <w:rFonts w:hint="eastAsia" w:ascii="黑体" w:eastAsia="黑体"/>
          <w:i w:val="0"/>
        </w:rPr>
        <w:t xml:space="preserve">6 </w:t>
      </w:r>
      <w:r>
        <w:rPr>
          <w:rFonts w:hint="eastAsia"/>
          <w:lang w:val="en-US" w:eastAsia="zh-CN"/>
        </w:rPr>
        <w:t>胴体预冷与排酸成熟</w:t>
      </w:r>
      <w:r>
        <w:tab/>
      </w:r>
      <w:r>
        <w:fldChar w:fldCharType="begin"/>
      </w:r>
      <w:r>
        <w:instrText xml:space="preserve"> PAGEREF _Toc25847 \h </w:instrText>
      </w:r>
      <w:r>
        <w:fldChar w:fldCharType="separate"/>
      </w:r>
      <w:r>
        <w:t>5</w:t>
      </w:r>
      <w:r>
        <w:fldChar w:fldCharType="end"/>
      </w:r>
      <w:r>
        <w:fldChar w:fldCharType="end"/>
      </w:r>
    </w:p>
    <w:p w14:paraId="2F895F7F">
      <w:pPr>
        <w:pStyle w:val="24"/>
        <w:tabs>
          <w:tab w:val="right" w:leader="dot" w:pos="9354"/>
          <w:tab w:val="clear" w:pos="9344"/>
        </w:tabs>
      </w:pPr>
      <w:r>
        <w:fldChar w:fldCharType="begin"/>
      </w:r>
      <w:r>
        <w:instrText xml:space="preserve"> HYPERLINK \l _Toc24756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6.1 </w:t>
      </w:r>
      <w:r>
        <w:rPr>
          <w:rFonts w:hint="eastAsia"/>
          <w:lang w:val="en-US" w:eastAsia="zh-CN"/>
        </w:rPr>
        <w:t>冷却环境</w:t>
      </w:r>
      <w:r>
        <w:tab/>
      </w:r>
      <w:r>
        <w:fldChar w:fldCharType="begin"/>
      </w:r>
      <w:r>
        <w:instrText xml:space="preserve"> PAGEREF _Toc24756 \h </w:instrText>
      </w:r>
      <w:r>
        <w:fldChar w:fldCharType="separate"/>
      </w:r>
      <w:r>
        <w:t>6</w:t>
      </w:r>
      <w:r>
        <w:fldChar w:fldCharType="end"/>
      </w:r>
      <w:r>
        <w:fldChar w:fldCharType="end"/>
      </w:r>
    </w:p>
    <w:p w14:paraId="797FB1B1">
      <w:pPr>
        <w:pStyle w:val="24"/>
        <w:tabs>
          <w:tab w:val="right" w:leader="dot" w:pos="9354"/>
          <w:tab w:val="clear" w:pos="9344"/>
        </w:tabs>
      </w:pPr>
      <w:r>
        <w:fldChar w:fldCharType="begin"/>
      </w:r>
      <w:r>
        <w:instrText xml:space="preserve"> HYPERLINK \l _Toc16404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6.2 </w:t>
      </w:r>
      <w:r>
        <w:rPr>
          <w:rFonts w:hint="eastAsia"/>
          <w:lang w:val="en-US" w:eastAsia="zh-CN"/>
        </w:rPr>
        <w:t>冷却时间</w:t>
      </w:r>
      <w:r>
        <w:tab/>
      </w:r>
      <w:r>
        <w:fldChar w:fldCharType="begin"/>
      </w:r>
      <w:r>
        <w:instrText xml:space="preserve"> PAGEREF _Toc16404 \h </w:instrText>
      </w:r>
      <w:r>
        <w:fldChar w:fldCharType="separate"/>
      </w:r>
      <w:r>
        <w:t>6</w:t>
      </w:r>
      <w:r>
        <w:fldChar w:fldCharType="end"/>
      </w:r>
      <w:r>
        <w:fldChar w:fldCharType="end"/>
      </w:r>
    </w:p>
    <w:p w14:paraId="30FD620F">
      <w:pPr>
        <w:pStyle w:val="24"/>
        <w:tabs>
          <w:tab w:val="right" w:leader="dot" w:pos="9354"/>
          <w:tab w:val="clear" w:pos="9344"/>
        </w:tabs>
      </w:pPr>
      <w:r>
        <w:fldChar w:fldCharType="begin"/>
      </w:r>
      <w:r>
        <w:instrText xml:space="preserve"> HYPERLINK \l _Toc3234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6.3 </w:t>
      </w:r>
      <w:r>
        <w:rPr>
          <w:rFonts w:hint="eastAsia"/>
          <w:lang w:val="en-US" w:eastAsia="zh-CN"/>
        </w:rPr>
        <w:t>pH值指标</w:t>
      </w:r>
      <w:r>
        <w:tab/>
      </w:r>
      <w:r>
        <w:fldChar w:fldCharType="begin"/>
      </w:r>
      <w:r>
        <w:instrText xml:space="preserve"> PAGEREF _Toc3234 \h </w:instrText>
      </w:r>
      <w:r>
        <w:fldChar w:fldCharType="separate"/>
      </w:r>
      <w:r>
        <w:t>6</w:t>
      </w:r>
      <w:r>
        <w:fldChar w:fldCharType="end"/>
      </w:r>
      <w:r>
        <w:fldChar w:fldCharType="end"/>
      </w:r>
    </w:p>
    <w:p w14:paraId="35786000">
      <w:pPr>
        <w:pStyle w:val="24"/>
        <w:tabs>
          <w:tab w:val="right" w:leader="dot" w:pos="9354"/>
          <w:tab w:val="clear" w:pos="9344"/>
        </w:tabs>
      </w:pPr>
      <w:r>
        <w:fldChar w:fldCharType="begin"/>
      </w:r>
      <w:r>
        <w:instrText xml:space="preserve"> HYPERLINK \l _Toc32668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6.4 </w:t>
      </w:r>
      <w:r>
        <w:rPr>
          <w:rFonts w:hint="eastAsia"/>
          <w:lang w:val="en-US" w:eastAsia="zh-CN"/>
        </w:rPr>
        <w:t>排酸工艺</w:t>
      </w:r>
      <w:r>
        <w:tab/>
      </w:r>
      <w:r>
        <w:fldChar w:fldCharType="begin"/>
      </w:r>
      <w:r>
        <w:instrText xml:space="preserve"> PAGEREF _Toc32668 \h </w:instrText>
      </w:r>
      <w:r>
        <w:fldChar w:fldCharType="separate"/>
      </w:r>
      <w:r>
        <w:t>6</w:t>
      </w:r>
      <w:r>
        <w:fldChar w:fldCharType="end"/>
      </w:r>
      <w:r>
        <w:fldChar w:fldCharType="end"/>
      </w:r>
    </w:p>
    <w:p w14:paraId="07141D9B">
      <w:pPr>
        <w:pStyle w:val="24"/>
        <w:tabs>
          <w:tab w:val="right" w:leader="dot" w:pos="9354"/>
          <w:tab w:val="clear" w:pos="9344"/>
        </w:tabs>
      </w:pPr>
      <w:r>
        <w:fldChar w:fldCharType="begin"/>
      </w:r>
      <w:r>
        <w:instrText xml:space="preserve"> HYPERLINK \l _Toc4782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6.5 </w:t>
      </w:r>
      <w:r>
        <w:rPr>
          <w:rFonts w:hint="eastAsia"/>
          <w:lang w:val="en-US" w:eastAsia="zh-CN"/>
        </w:rPr>
        <w:t>冷链控制</w:t>
      </w:r>
      <w:r>
        <w:tab/>
      </w:r>
      <w:r>
        <w:fldChar w:fldCharType="begin"/>
      </w:r>
      <w:r>
        <w:instrText xml:space="preserve"> PAGEREF _Toc4782 \h </w:instrText>
      </w:r>
      <w:r>
        <w:fldChar w:fldCharType="separate"/>
      </w:r>
      <w:r>
        <w:t>6</w:t>
      </w:r>
      <w:r>
        <w:fldChar w:fldCharType="end"/>
      </w:r>
      <w:r>
        <w:fldChar w:fldCharType="end"/>
      </w:r>
    </w:p>
    <w:p w14:paraId="3C5F8EA5">
      <w:pPr>
        <w:pStyle w:val="19"/>
        <w:tabs>
          <w:tab w:val="right" w:leader="dot" w:pos="9354"/>
        </w:tabs>
      </w:pPr>
      <w:r>
        <w:fldChar w:fldCharType="begin"/>
      </w:r>
      <w:r>
        <w:instrText xml:space="preserve"> HYPERLINK \l _Toc29603 </w:instrText>
      </w:r>
      <w:r>
        <w:fldChar w:fldCharType="separate"/>
      </w:r>
      <w:r>
        <w:rPr>
          <w:rFonts w:hint="eastAsia" w:ascii="黑体" w:eastAsia="黑体"/>
          <w:i w:val="0"/>
        </w:rPr>
        <w:t xml:space="preserve">7 </w:t>
      </w:r>
      <w:r>
        <w:rPr>
          <w:rFonts w:hint="eastAsia"/>
          <w:lang w:val="en-US" w:eastAsia="zh-CN"/>
        </w:rPr>
        <w:t>检验与质量控制</w:t>
      </w:r>
      <w:r>
        <w:tab/>
      </w:r>
      <w:r>
        <w:fldChar w:fldCharType="begin"/>
      </w:r>
      <w:r>
        <w:instrText xml:space="preserve"> PAGEREF _Toc29603 \h </w:instrText>
      </w:r>
      <w:r>
        <w:fldChar w:fldCharType="separate"/>
      </w:r>
      <w:r>
        <w:t>6</w:t>
      </w:r>
      <w:r>
        <w:fldChar w:fldCharType="end"/>
      </w:r>
      <w:r>
        <w:fldChar w:fldCharType="end"/>
      </w:r>
    </w:p>
    <w:p w14:paraId="66391A2E">
      <w:pPr>
        <w:pStyle w:val="24"/>
        <w:tabs>
          <w:tab w:val="right" w:leader="dot" w:pos="9354"/>
          <w:tab w:val="clear" w:pos="9344"/>
        </w:tabs>
      </w:pPr>
      <w:r>
        <w:fldChar w:fldCharType="begin"/>
      </w:r>
      <w:r>
        <w:instrText xml:space="preserve"> HYPERLINK \l _Toc10165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7.1 </w:t>
      </w:r>
      <w:r>
        <w:rPr>
          <w:rFonts w:hint="eastAsia"/>
          <w:lang w:val="en-US" w:eastAsia="zh-CN"/>
        </w:rPr>
        <w:t>宰前检验</w:t>
      </w:r>
      <w:r>
        <w:tab/>
      </w:r>
      <w:r>
        <w:fldChar w:fldCharType="begin"/>
      </w:r>
      <w:r>
        <w:instrText xml:space="preserve"> PAGEREF _Toc10165 \h </w:instrText>
      </w:r>
      <w:r>
        <w:fldChar w:fldCharType="separate"/>
      </w:r>
      <w:r>
        <w:t>6</w:t>
      </w:r>
      <w:r>
        <w:fldChar w:fldCharType="end"/>
      </w:r>
      <w:r>
        <w:fldChar w:fldCharType="end"/>
      </w:r>
    </w:p>
    <w:p w14:paraId="6CDE86E5">
      <w:pPr>
        <w:pStyle w:val="24"/>
        <w:tabs>
          <w:tab w:val="right" w:leader="dot" w:pos="9354"/>
          <w:tab w:val="clear" w:pos="9344"/>
        </w:tabs>
      </w:pPr>
      <w:r>
        <w:fldChar w:fldCharType="begin"/>
      </w:r>
      <w:r>
        <w:instrText xml:space="preserve"> HYPERLINK \l _Toc22111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7.2 </w:t>
      </w:r>
      <w:r>
        <w:rPr>
          <w:rFonts w:hint="eastAsia"/>
          <w:lang w:val="en-US" w:eastAsia="zh-CN"/>
        </w:rPr>
        <w:t>宰后检验</w:t>
      </w:r>
      <w:r>
        <w:tab/>
      </w:r>
      <w:r>
        <w:fldChar w:fldCharType="begin"/>
      </w:r>
      <w:r>
        <w:instrText xml:space="preserve"> PAGEREF _Toc22111 \h </w:instrText>
      </w:r>
      <w:r>
        <w:fldChar w:fldCharType="separate"/>
      </w:r>
      <w:r>
        <w:t>6</w:t>
      </w:r>
      <w:r>
        <w:fldChar w:fldCharType="end"/>
      </w:r>
      <w:r>
        <w:fldChar w:fldCharType="end"/>
      </w:r>
    </w:p>
    <w:p w14:paraId="2D724897">
      <w:pPr>
        <w:pStyle w:val="24"/>
        <w:tabs>
          <w:tab w:val="right" w:leader="dot" w:pos="9354"/>
          <w:tab w:val="clear" w:pos="9344"/>
        </w:tabs>
      </w:pPr>
      <w:r>
        <w:fldChar w:fldCharType="begin"/>
      </w:r>
      <w:r>
        <w:instrText xml:space="preserve"> HYPERLINK \l _Toc15027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7.3 </w:t>
      </w:r>
      <w:r>
        <w:rPr>
          <w:rFonts w:hint="eastAsia"/>
          <w:lang w:val="en-US" w:eastAsia="zh-CN"/>
        </w:rPr>
        <w:t>理化检验</w:t>
      </w:r>
      <w:r>
        <w:tab/>
      </w:r>
      <w:r>
        <w:fldChar w:fldCharType="begin"/>
      </w:r>
      <w:r>
        <w:instrText xml:space="preserve"> PAGEREF _Toc15027 \h </w:instrText>
      </w:r>
      <w:r>
        <w:fldChar w:fldCharType="separate"/>
      </w:r>
      <w:r>
        <w:t>6</w:t>
      </w:r>
      <w:r>
        <w:fldChar w:fldCharType="end"/>
      </w:r>
      <w:r>
        <w:fldChar w:fldCharType="end"/>
      </w:r>
    </w:p>
    <w:p w14:paraId="2B131DCF">
      <w:pPr>
        <w:pStyle w:val="24"/>
        <w:tabs>
          <w:tab w:val="right" w:leader="dot" w:pos="9354"/>
          <w:tab w:val="clear" w:pos="9344"/>
        </w:tabs>
      </w:pPr>
      <w:r>
        <w:fldChar w:fldCharType="begin"/>
      </w:r>
      <w:r>
        <w:instrText xml:space="preserve"> HYPERLINK \l _Toc2547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7.4 </w:t>
      </w:r>
      <w:r>
        <w:rPr>
          <w:rFonts w:hint="eastAsia"/>
          <w:lang w:val="en-US" w:eastAsia="zh-CN"/>
        </w:rPr>
        <w:t>不合格品处理</w:t>
      </w:r>
      <w:r>
        <w:tab/>
      </w:r>
      <w:r>
        <w:fldChar w:fldCharType="begin"/>
      </w:r>
      <w:r>
        <w:instrText xml:space="preserve"> PAGEREF _Toc2547 \h </w:instrText>
      </w:r>
      <w:r>
        <w:fldChar w:fldCharType="separate"/>
      </w:r>
      <w:r>
        <w:t>6</w:t>
      </w:r>
      <w:r>
        <w:fldChar w:fldCharType="end"/>
      </w:r>
      <w:r>
        <w:fldChar w:fldCharType="end"/>
      </w:r>
    </w:p>
    <w:p w14:paraId="24146703">
      <w:pPr>
        <w:pStyle w:val="24"/>
        <w:tabs>
          <w:tab w:val="right" w:leader="dot" w:pos="9354"/>
          <w:tab w:val="clear" w:pos="9344"/>
        </w:tabs>
      </w:pPr>
      <w:r>
        <w:fldChar w:fldCharType="begin"/>
      </w:r>
      <w:r>
        <w:instrText xml:space="preserve"> HYPERLINK \l _Toc32752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7.5 </w:t>
      </w:r>
      <w:r>
        <w:rPr>
          <w:rFonts w:hint="eastAsia"/>
          <w:lang w:val="en-US" w:eastAsia="zh-CN"/>
        </w:rPr>
        <w:t>记录与标识</w:t>
      </w:r>
      <w:r>
        <w:tab/>
      </w:r>
      <w:r>
        <w:fldChar w:fldCharType="begin"/>
      </w:r>
      <w:r>
        <w:instrText xml:space="preserve"> PAGEREF _Toc32752 \h </w:instrText>
      </w:r>
      <w:r>
        <w:fldChar w:fldCharType="separate"/>
      </w:r>
      <w:r>
        <w:t>6</w:t>
      </w:r>
      <w:r>
        <w:fldChar w:fldCharType="end"/>
      </w:r>
      <w:r>
        <w:fldChar w:fldCharType="end"/>
      </w:r>
    </w:p>
    <w:p w14:paraId="01AADD7E">
      <w:pPr>
        <w:pStyle w:val="19"/>
        <w:tabs>
          <w:tab w:val="right" w:leader="dot" w:pos="9354"/>
        </w:tabs>
      </w:pPr>
      <w:r>
        <w:fldChar w:fldCharType="begin"/>
      </w:r>
      <w:r>
        <w:instrText xml:space="preserve"> HYPERLINK \l _Toc10606 </w:instrText>
      </w:r>
      <w:r>
        <w:fldChar w:fldCharType="separate"/>
      </w:r>
      <w:r>
        <w:rPr>
          <w:rFonts w:hint="eastAsia" w:ascii="黑体" w:eastAsia="黑体"/>
          <w:i w:val="0"/>
        </w:rPr>
        <w:t xml:space="preserve">8 </w:t>
      </w:r>
      <w:r>
        <w:rPr>
          <w:rFonts w:hint="eastAsia"/>
          <w:lang w:val="en-US" w:eastAsia="zh-CN"/>
        </w:rPr>
        <w:t>检验与质量控制</w:t>
      </w:r>
      <w:r>
        <w:tab/>
      </w:r>
      <w:r>
        <w:fldChar w:fldCharType="begin"/>
      </w:r>
      <w:r>
        <w:instrText xml:space="preserve"> PAGEREF _Toc10606 \h </w:instrText>
      </w:r>
      <w:r>
        <w:fldChar w:fldCharType="separate"/>
      </w:r>
      <w:r>
        <w:t>6</w:t>
      </w:r>
      <w:r>
        <w:fldChar w:fldCharType="end"/>
      </w:r>
      <w:r>
        <w:fldChar w:fldCharType="end"/>
      </w:r>
    </w:p>
    <w:p w14:paraId="3B9F4C14">
      <w:pPr>
        <w:pStyle w:val="24"/>
        <w:tabs>
          <w:tab w:val="right" w:leader="dot" w:pos="9354"/>
          <w:tab w:val="clear" w:pos="9344"/>
        </w:tabs>
      </w:pPr>
      <w:r>
        <w:fldChar w:fldCharType="begin"/>
      </w:r>
      <w:r>
        <w:instrText xml:space="preserve"> HYPERLINK \l _Toc9858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8.1 </w:t>
      </w:r>
      <w:r>
        <w:rPr>
          <w:rFonts w:hint="eastAsia"/>
          <w:lang w:val="en-US" w:eastAsia="zh-CN"/>
        </w:rPr>
        <w:t>信息记录</w:t>
      </w:r>
      <w:r>
        <w:tab/>
      </w:r>
      <w:r>
        <w:fldChar w:fldCharType="begin"/>
      </w:r>
      <w:r>
        <w:instrText xml:space="preserve"> PAGEREF _Toc9858 \h </w:instrText>
      </w:r>
      <w:r>
        <w:fldChar w:fldCharType="separate"/>
      </w:r>
      <w:r>
        <w:t>6</w:t>
      </w:r>
      <w:r>
        <w:fldChar w:fldCharType="end"/>
      </w:r>
      <w:r>
        <w:fldChar w:fldCharType="end"/>
      </w:r>
    </w:p>
    <w:p w14:paraId="316315D0">
      <w:pPr>
        <w:pStyle w:val="24"/>
        <w:tabs>
          <w:tab w:val="right" w:leader="dot" w:pos="9354"/>
          <w:tab w:val="clear" w:pos="9344"/>
        </w:tabs>
      </w:pPr>
      <w:r>
        <w:fldChar w:fldCharType="begin"/>
      </w:r>
      <w:r>
        <w:instrText xml:space="preserve"> HYPERLINK \l _Toc11981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8.2 </w:t>
      </w:r>
      <w:r>
        <w:rPr>
          <w:rFonts w:hint="eastAsia"/>
        </w:rPr>
        <w:t>追溯信息</w:t>
      </w:r>
      <w:r>
        <w:tab/>
      </w:r>
      <w:r>
        <w:fldChar w:fldCharType="begin"/>
      </w:r>
      <w:r>
        <w:instrText xml:space="preserve"> PAGEREF _Toc11981 \h </w:instrText>
      </w:r>
      <w:r>
        <w:fldChar w:fldCharType="separate"/>
      </w:r>
      <w:r>
        <w:t>7</w:t>
      </w:r>
      <w:r>
        <w:fldChar w:fldCharType="end"/>
      </w:r>
      <w:r>
        <w:fldChar w:fldCharType="end"/>
      </w:r>
    </w:p>
    <w:p w14:paraId="15BF1AA6">
      <w:pPr>
        <w:pStyle w:val="24"/>
        <w:tabs>
          <w:tab w:val="right" w:leader="dot" w:pos="9354"/>
          <w:tab w:val="clear" w:pos="9344"/>
        </w:tabs>
      </w:pPr>
      <w:r>
        <w:fldChar w:fldCharType="begin"/>
      </w:r>
      <w:r>
        <w:instrText xml:space="preserve"> HYPERLINK \l _Toc4806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8.3 </w:t>
      </w:r>
      <w:r>
        <w:rPr>
          <w:rFonts w:hint="eastAsia"/>
          <w:lang w:val="en-US" w:eastAsia="zh-CN"/>
        </w:rPr>
        <w:t>追溯流程</w:t>
      </w:r>
      <w:r>
        <w:tab/>
      </w:r>
      <w:r>
        <w:fldChar w:fldCharType="begin"/>
      </w:r>
      <w:r>
        <w:instrText xml:space="preserve"> PAGEREF _Toc4806 \h </w:instrText>
      </w:r>
      <w:r>
        <w:fldChar w:fldCharType="separate"/>
      </w:r>
      <w:r>
        <w:t>7</w:t>
      </w:r>
      <w:r>
        <w:fldChar w:fldCharType="end"/>
      </w:r>
      <w:r>
        <w:fldChar w:fldCharType="end"/>
      </w:r>
    </w:p>
    <w:p w14:paraId="4A0C0F03">
      <w:pPr>
        <w:pStyle w:val="19"/>
        <w:tabs>
          <w:tab w:val="right" w:leader="dot" w:pos="9354"/>
        </w:tabs>
      </w:pPr>
      <w:r>
        <w:fldChar w:fldCharType="begin"/>
      </w:r>
      <w:r>
        <w:instrText xml:space="preserve"> HYPERLINK \l _Toc15875 </w:instrText>
      </w:r>
      <w:r>
        <w:fldChar w:fldCharType="separate"/>
      </w:r>
      <w:r>
        <w:rPr>
          <w:rFonts w:hint="eastAsia" w:ascii="黑体" w:eastAsia="黑体"/>
          <w:i w:val="0"/>
        </w:rPr>
        <w:t xml:space="preserve">9 </w:t>
      </w:r>
      <w:r>
        <w:rPr>
          <w:rFonts w:hint="eastAsia"/>
          <w:lang w:val="en-US" w:eastAsia="zh-CN"/>
        </w:rPr>
        <w:t>废弃物和污染物处理</w:t>
      </w:r>
      <w:r>
        <w:tab/>
      </w:r>
      <w:r>
        <w:fldChar w:fldCharType="begin"/>
      </w:r>
      <w:r>
        <w:instrText xml:space="preserve"> PAGEREF _Toc15875 \h </w:instrText>
      </w:r>
      <w:r>
        <w:fldChar w:fldCharType="separate"/>
      </w:r>
      <w:r>
        <w:t>7</w:t>
      </w:r>
      <w:r>
        <w:fldChar w:fldCharType="end"/>
      </w:r>
      <w:r>
        <w:fldChar w:fldCharType="end"/>
      </w:r>
    </w:p>
    <w:p w14:paraId="1067B46B">
      <w:pPr>
        <w:pStyle w:val="24"/>
        <w:tabs>
          <w:tab w:val="right" w:leader="dot" w:pos="9354"/>
          <w:tab w:val="clear" w:pos="9344"/>
        </w:tabs>
      </w:pPr>
      <w:r>
        <w:fldChar w:fldCharType="begin"/>
      </w:r>
      <w:r>
        <w:instrText xml:space="preserve"> HYPERLINK \l _Toc3521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9.1 </w:t>
      </w:r>
      <w:r>
        <w:rPr>
          <w:rFonts w:hint="eastAsia"/>
          <w:lang w:val="en-US" w:eastAsia="zh-CN"/>
        </w:rPr>
        <w:t>固体废弃物</w:t>
      </w:r>
      <w:r>
        <w:tab/>
      </w:r>
      <w:r>
        <w:fldChar w:fldCharType="begin"/>
      </w:r>
      <w:r>
        <w:instrText xml:space="preserve"> PAGEREF _Toc3521 \h </w:instrText>
      </w:r>
      <w:r>
        <w:fldChar w:fldCharType="separate"/>
      </w:r>
      <w:r>
        <w:t>7</w:t>
      </w:r>
      <w:r>
        <w:fldChar w:fldCharType="end"/>
      </w:r>
      <w:r>
        <w:fldChar w:fldCharType="end"/>
      </w:r>
    </w:p>
    <w:p w14:paraId="54B9744E">
      <w:pPr>
        <w:pStyle w:val="24"/>
        <w:tabs>
          <w:tab w:val="right" w:leader="dot" w:pos="9354"/>
          <w:tab w:val="clear" w:pos="9344"/>
        </w:tabs>
      </w:pPr>
      <w:r>
        <w:fldChar w:fldCharType="begin"/>
      </w:r>
      <w:r>
        <w:instrText xml:space="preserve"> HYPERLINK \l _Toc25943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9.2 </w:t>
      </w:r>
      <w:r>
        <w:rPr>
          <w:rFonts w:hint="eastAsia"/>
          <w:lang w:val="en-US" w:eastAsia="zh-CN"/>
        </w:rPr>
        <w:t>污水废水</w:t>
      </w:r>
      <w:r>
        <w:tab/>
      </w:r>
      <w:r>
        <w:fldChar w:fldCharType="begin"/>
      </w:r>
      <w:r>
        <w:instrText xml:space="preserve"> PAGEREF _Toc25943 \h </w:instrText>
      </w:r>
      <w:r>
        <w:fldChar w:fldCharType="separate"/>
      </w:r>
      <w:r>
        <w:t>7</w:t>
      </w:r>
      <w:r>
        <w:fldChar w:fldCharType="end"/>
      </w:r>
      <w:r>
        <w:fldChar w:fldCharType="end"/>
      </w:r>
    </w:p>
    <w:p w14:paraId="672692F1">
      <w:pPr>
        <w:pStyle w:val="24"/>
        <w:tabs>
          <w:tab w:val="right" w:leader="dot" w:pos="9354"/>
          <w:tab w:val="clear" w:pos="9344"/>
        </w:tabs>
      </w:pPr>
      <w:r>
        <w:fldChar w:fldCharType="begin"/>
      </w:r>
      <w:r>
        <w:instrText xml:space="preserve"> HYPERLINK \l _Toc6291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9.3 </w:t>
      </w:r>
      <w:r>
        <w:t>废气异味</w:t>
      </w:r>
      <w:r>
        <w:tab/>
      </w:r>
      <w:r>
        <w:fldChar w:fldCharType="begin"/>
      </w:r>
      <w:r>
        <w:instrText xml:space="preserve"> PAGEREF _Toc6291 \h </w:instrText>
      </w:r>
      <w:r>
        <w:fldChar w:fldCharType="separate"/>
      </w:r>
      <w:r>
        <w:t>7</w:t>
      </w:r>
      <w:r>
        <w:fldChar w:fldCharType="end"/>
      </w:r>
      <w:r>
        <w:fldChar w:fldCharType="end"/>
      </w:r>
    </w:p>
    <w:p w14:paraId="6352577A">
      <w:pPr>
        <w:pStyle w:val="24"/>
        <w:tabs>
          <w:tab w:val="right" w:leader="dot" w:pos="9354"/>
          <w:tab w:val="clear" w:pos="9344"/>
        </w:tabs>
      </w:pPr>
      <w:r>
        <w:fldChar w:fldCharType="begin"/>
      </w:r>
      <w:r>
        <w:instrText xml:space="preserve"> HYPERLINK \l _Toc26006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9.4 </w:t>
      </w:r>
      <w:r>
        <w:t>病害媒介防控</w:t>
      </w:r>
      <w:r>
        <w:tab/>
      </w:r>
      <w:r>
        <w:fldChar w:fldCharType="begin"/>
      </w:r>
      <w:r>
        <w:instrText xml:space="preserve"> PAGEREF _Toc26006 \h </w:instrText>
      </w:r>
      <w:r>
        <w:fldChar w:fldCharType="separate"/>
      </w:r>
      <w:r>
        <w:t>7</w:t>
      </w:r>
      <w:r>
        <w:fldChar w:fldCharType="end"/>
      </w:r>
      <w:r>
        <w:fldChar w:fldCharType="end"/>
      </w:r>
    </w:p>
    <w:p w14:paraId="059EBF26">
      <w:pPr>
        <w:pStyle w:val="92"/>
        <w:spacing w:after="360"/>
        <w:sectPr>
          <w:headerReference r:id="rId9" w:type="default"/>
          <w:footerReference r:id="rId11" w:type="default"/>
          <w:headerReference r:id="rId10" w:type="even"/>
          <w:footerReference r:id="rId12"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6866B652">
      <w:pPr>
        <w:pStyle w:val="90"/>
        <w:spacing w:before="900" w:after="360"/>
      </w:pPr>
      <w:bookmarkStart w:id="23" w:name="_Toc22096"/>
      <w:bookmarkStart w:id="24" w:name="BookMark2"/>
      <w:r>
        <w:rPr>
          <w:spacing w:val="320"/>
        </w:rPr>
        <w:t>前</w:t>
      </w:r>
      <w:r>
        <w:t>言</w:t>
      </w:r>
      <w:bookmarkEnd w:id="22"/>
      <w:bookmarkEnd w:id="23"/>
    </w:p>
    <w:p w14:paraId="7DE6A754">
      <w:pPr>
        <w:pStyle w:val="57"/>
        <w:ind w:firstLine="420"/>
        <w:rPr>
          <w:rFonts w:hint="eastAsia"/>
        </w:rPr>
      </w:pPr>
      <w:r>
        <w:rPr>
          <w:rFonts w:hint="eastAsia"/>
        </w:rPr>
        <w:t>本文件按照GB/T 1.1—2020《标准化工作导则  第1部分：标准化文件的结构和起草规则》的规定起草。</w:t>
      </w:r>
    </w:p>
    <w:p w14:paraId="007EE598">
      <w:pPr>
        <w:pStyle w:val="57"/>
        <w:ind w:firstLine="420"/>
        <w:rPr>
          <w:rFonts w:ascii="Times New Roman"/>
          <w:color w:val="000000" w:themeColor="text1"/>
          <w14:textFill>
            <w14:solidFill>
              <w14:schemeClr w14:val="tx1"/>
            </w14:solidFill>
          </w14:textFill>
        </w:rPr>
      </w:pPr>
      <w:r>
        <w:rPr>
          <w:rFonts w:ascii="Times New Roman"/>
          <w:color w:val="000000" w:themeColor="text1"/>
          <w14:textFill>
            <w14:solidFill>
              <w14:schemeClr w14:val="tx1"/>
            </w14:solidFill>
          </w14:textFill>
        </w:rPr>
        <w:t>请注意本文件的某些内容可能涉及专利。本文件的发布机构不承担识别专利的责任。</w:t>
      </w:r>
    </w:p>
    <w:p w14:paraId="4C8C25DC">
      <w:pPr>
        <w:pStyle w:val="57"/>
        <w:ind w:firstLine="420"/>
        <w:rPr>
          <w:rFonts w:hint="eastAsia" w:ascii="Times New Roman"/>
          <w:color w:val="000000" w:themeColor="text1"/>
          <w14:textFill>
            <w14:solidFill>
              <w14:schemeClr w14:val="tx1"/>
            </w14:solidFill>
          </w14:textFill>
        </w:rPr>
      </w:pPr>
      <w:r>
        <w:rPr>
          <w:rFonts w:hint="eastAsia" w:ascii="Times New Roman"/>
          <w:color w:val="000000" w:themeColor="text1"/>
          <w14:textFill>
            <w14:solidFill>
              <w14:schemeClr w14:val="tx1"/>
            </w14:solidFill>
          </w14:textFill>
        </w:rPr>
        <w:t>本文件由</w:t>
      </w:r>
      <w:r>
        <w:rPr>
          <w:rFonts w:hint="eastAsia"/>
        </w:rPr>
        <w:t>中国农业科学院兰州畜牧与兽药研究所</w:t>
      </w:r>
      <w:r>
        <w:rPr>
          <w:rFonts w:hint="eastAsia" w:ascii="Times New Roman"/>
          <w:color w:val="000000" w:themeColor="text1"/>
          <w14:textFill>
            <w14:solidFill>
              <w14:schemeClr w14:val="tx1"/>
            </w14:solidFill>
          </w14:textFill>
        </w:rPr>
        <w:t>提出</w:t>
      </w:r>
    </w:p>
    <w:p w14:paraId="48B51FAA">
      <w:pPr>
        <w:pStyle w:val="57"/>
        <w:ind w:firstLine="420"/>
      </w:pPr>
      <w:r>
        <w:rPr>
          <w:rFonts w:hint="eastAsia" w:ascii="Times New Roman"/>
          <w:color w:val="000000" w:themeColor="text1"/>
          <w14:textFill>
            <w14:solidFill>
              <w14:schemeClr w14:val="tx1"/>
            </w14:solidFill>
          </w14:textFill>
        </w:rPr>
        <w:t>本文件由甘肃省质量标准协会</w:t>
      </w:r>
      <w:r>
        <w:rPr>
          <w:rFonts w:ascii="Times New Roman"/>
          <w:color w:val="000000" w:themeColor="text1"/>
          <w14:textFill>
            <w14:solidFill>
              <w14:schemeClr w14:val="tx1"/>
            </w14:solidFill>
          </w14:textFill>
        </w:rPr>
        <w:t>(GSQA)</w:t>
      </w:r>
      <w:r>
        <w:rPr>
          <w:rFonts w:hint="eastAsia" w:ascii="Times New Roman"/>
          <w:color w:val="000000" w:themeColor="text1"/>
          <w14:textFill>
            <w14:solidFill>
              <w14:schemeClr w14:val="tx1"/>
            </w14:solidFill>
          </w14:textFill>
        </w:rPr>
        <w:t>归</w:t>
      </w:r>
      <w:r>
        <w:rPr>
          <w:rFonts w:ascii="Times New Roman"/>
          <w:color w:val="000000" w:themeColor="text1"/>
          <w14:textFill>
            <w14:solidFill>
              <w14:schemeClr w14:val="tx1"/>
            </w14:solidFill>
          </w14:textFill>
        </w:rPr>
        <w:t>口。</w:t>
      </w:r>
      <w:r>
        <w:rPr>
          <w:rFonts w:hint="eastAsia"/>
        </w:rPr>
        <w:t>。</w:t>
      </w:r>
    </w:p>
    <w:p w14:paraId="6BC24591">
      <w:pPr>
        <w:pStyle w:val="57"/>
        <w:ind w:firstLine="420"/>
        <w:rPr>
          <w:rFonts w:hint="eastAsia"/>
        </w:rPr>
      </w:pPr>
      <w:r>
        <w:rPr>
          <w:rFonts w:hint="eastAsia"/>
        </w:rPr>
        <w:t>本文件起草单位：中国农业科学院兰州畜牧与兽药研究所、</w:t>
      </w:r>
      <w:r>
        <w:rPr>
          <w:rFonts w:hint="eastAsia"/>
          <w:lang w:val="zh-CN"/>
        </w:rPr>
        <w:t>张家川畜牧技术推广站</w:t>
      </w:r>
      <w:r>
        <w:rPr>
          <w:rFonts w:hint="eastAsia"/>
          <w:lang w:eastAsia="zh-CN"/>
        </w:rPr>
        <w:t>、</w:t>
      </w:r>
      <w:r>
        <w:rPr>
          <w:rFonts w:hint="eastAsia"/>
          <w:lang w:val="zh-CN" w:eastAsia="zh-CN"/>
        </w:rPr>
        <w:t>张家川回族自治县畜牧兽医事务服务中心</w:t>
      </w:r>
      <w:r>
        <w:rPr>
          <w:rFonts w:hint="eastAsia"/>
          <w:lang w:eastAsia="zh-CN"/>
        </w:rPr>
        <w:t>、</w:t>
      </w:r>
      <w:r>
        <w:rPr>
          <w:rFonts w:hint="eastAsia"/>
          <w:lang w:val="zh-CN" w:eastAsia="zh-CN"/>
        </w:rPr>
        <w:t>中国农业科学院兰州兽医研究所。</w:t>
      </w:r>
    </w:p>
    <w:p w14:paraId="3C8D8AE8">
      <w:pPr>
        <w:pStyle w:val="57"/>
        <w:ind w:firstLine="420"/>
        <w:rPr>
          <w:rFonts w:hint="eastAsia"/>
        </w:rPr>
      </w:pPr>
      <w:r>
        <w:rPr>
          <w:rFonts w:hint="eastAsia"/>
        </w:rPr>
        <w:t>本文件主要起草人：</w:t>
      </w:r>
      <w:r>
        <w:rPr>
          <w:rFonts w:hint="eastAsia"/>
          <w:lang w:val="en-US" w:eastAsia="zh-CN"/>
        </w:rPr>
        <w:t>马晓明</w:t>
      </w:r>
      <w:r>
        <w:rPr>
          <w:rFonts w:hint="eastAsia"/>
        </w:rPr>
        <w:t>、</w:t>
      </w:r>
      <w:r>
        <w:rPr>
          <w:rFonts w:hint="eastAsia"/>
          <w:lang w:val="en-US" w:eastAsia="zh-CN"/>
        </w:rPr>
        <w:t>梁春年</w:t>
      </w:r>
      <w:r>
        <w:rPr>
          <w:rFonts w:hint="eastAsia"/>
        </w:rPr>
        <w:t>、</w:t>
      </w:r>
      <w:r>
        <w:rPr>
          <w:rFonts w:hint="eastAsia"/>
          <w:lang w:val="en-US" w:eastAsia="zh-CN"/>
        </w:rPr>
        <w:t>杨来康、杨孝君</w:t>
      </w:r>
      <w:r>
        <w:rPr>
          <w:rFonts w:hint="eastAsia"/>
        </w:rPr>
        <w:t>、</w:t>
      </w:r>
      <w:r>
        <w:rPr>
          <w:rFonts w:hint="eastAsia"/>
          <w:lang w:val="en-US" w:eastAsia="zh-CN"/>
        </w:rPr>
        <w:t>喇永富</w:t>
      </w:r>
      <w:r>
        <w:rPr>
          <w:rFonts w:hint="eastAsia"/>
        </w:rPr>
        <w:t>、</w:t>
      </w:r>
      <w:r>
        <w:rPr>
          <w:rFonts w:hint="eastAsia"/>
          <w:lang w:val="en-US" w:eastAsia="zh-CN"/>
        </w:rPr>
        <w:t>贠秀君</w:t>
      </w:r>
      <w:r>
        <w:rPr>
          <w:rFonts w:hint="eastAsia"/>
        </w:rPr>
        <w:t>、</w:t>
      </w:r>
      <w:r>
        <w:rPr>
          <w:rFonts w:hint="eastAsia"/>
          <w:lang w:val="en-US" w:eastAsia="zh-CN"/>
        </w:rPr>
        <w:t>马利军</w:t>
      </w:r>
      <w:r>
        <w:rPr>
          <w:rFonts w:hint="eastAsia"/>
        </w:rPr>
        <w:t>、</w:t>
      </w:r>
      <w:r>
        <w:rPr>
          <w:rFonts w:hint="eastAsia"/>
          <w:lang w:val="en-US" w:eastAsia="zh-CN"/>
        </w:rPr>
        <w:t>张少华、</w:t>
      </w:r>
      <w:r>
        <w:rPr>
          <w:rFonts w:hint="eastAsia"/>
        </w:rPr>
        <w:t>褚敏、</w:t>
      </w:r>
      <w:r>
        <w:rPr>
          <w:rFonts w:hint="eastAsia"/>
          <w:lang w:val="en-US" w:eastAsia="zh-CN"/>
        </w:rPr>
        <w:t>马艳萍、包鹏甲</w:t>
      </w:r>
    </w:p>
    <w:p w14:paraId="4A953C08">
      <w:pPr>
        <w:pStyle w:val="57"/>
        <w:ind w:firstLine="420"/>
      </w:pPr>
    </w:p>
    <w:p w14:paraId="6D5C36F8">
      <w:pPr>
        <w:pStyle w:val="57"/>
        <w:ind w:firstLine="420"/>
        <w:sectPr>
          <w:headerReference r:id="rId13" w:type="default"/>
          <w:footerReference r:id="rId15" w:type="default"/>
          <w:headerReference r:id="rId14" w:type="even"/>
          <w:footerReference r:id="rId16" w:type="even"/>
          <w:pgSz w:w="11906" w:h="16838"/>
          <w:pgMar w:top="1928" w:right="1134" w:bottom="1134" w:left="1134" w:header="1418" w:footer="1134" w:gutter="284"/>
          <w:pgNumType w:fmt="upperRoman"/>
          <w:cols w:space="425" w:num="1"/>
          <w:formProt w:val="0"/>
          <w:docGrid w:linePitch="312" w:charSpace="0"/>
        </w:sectPr>
      </w:pPr>
    </w:p>
    <w:bookmarkEnd w:id="24"/>
    <w:p w14:paraId="2B8FAE73">
      <w:pPr>
        <w:spacing w:line="20" w:lineRule="exact"/>
        <w:jc w:val="center"/>
        <w:rPr>
          <w:rFonts w:ascii="黑体" w:hAnsi="黑体" w:eastAsia="黑体"/>
          <w:sz w:val="32"/>
          <w:szCs w:val="32"/>
        </w:rPr>
      </w:pPr>
      <w:bookmarkStart w:id="25" w:name="BookMark4"/>
    </w:p>
    <w:p w14:paraId="75379309">
      <w:pPr>
        <w:spacing w:line="20" w:lineRule="exact"/>
        <w:jc w:val="center"/>
        <w:rPr>
          <w:rFonts w:ascii="黑体" w:hAnsi="黑体" w:eastAsia="黑体"/>
          <w:sz w:val="32"/>
          <w:szCs w:val="32"/>
        </w:rPr>
      </w:pPr>
    </w:p>
    <w:sdt>
      <w:sdtPr>
        <w:tag w:val="NEW_STAND_NAME"/>
        <w:id w:val="595910757"/>
        <w:lock w:val="sdtLocked"/>
        <w:placeholder>
          <w:docPart w:val="40BAD1D096DA435C958A3CC3CE42E1DA"/>
        </w:placeholder>
      </w:sdtPr>
      <w:sdtContent>
        <w:sdt>
          <w:sdtPr>
            <w:tag w:val="NEW_STAND_NAME"/>
            <w:id w:val="147464563"/>
            <w:placeholder>
              <w:docPart w:val="{832b5233-afe4-42d4-b31e-13c0f9545e0a}"/>
            </w:placeholder>
          </w:sdtPr>
          <w:sdtContent>
            <w:p w14:paraId="643B9320">
              <w:pPr>
                <w:pStyle w:val="178"/>
              </w:pPr>
              <w:bookmarkStart w:id="26" w:name="NEW_STAND_NAME"/>
              <w:r>
                <w:rPr>
                  <w:rFonts w:hint="eastAsia"/>
                </w:rPr>
                <w:t>张家川红花牛屠宰与检疫技术规程</w:t>
              </w:r>
            </w:p>
          </w:sdtContent>
        </w:sdt>
      </w:sdtContent>
    </w:sdt>
    <w:bookmarkEnd w:id="26"/>
    <w:p w14:paraId="0F3DF774">
      <w:pPr>
        <w:pStyle w:val="105"/>
        <w:spacing w:before="312" w:after="312"/>
        <w:rPr>
          <w:color w:val="000000" w:themeColor="text1"/>
          <w14:textFill>
            <w14:solidFill>
              <w14:schemeClr w14:val="tx1"/>
            </w14:solidFill>
          </w14:textFill>
        </w:rPr>
      </w:pPr>
      <w:bookmarkStart w:id="27" w:name="_Toc30685"/>
      <w:bookmarkStart w:id="28" w:name="_Toc26718930"/>
      <w:bookmarkStart w:id="29" w:name="_Toc26986771"/>
      <w:bookmarkStart w:id="30" w:name="_Toc17233333"/>
      <w:bookmarkStart w:id="31" w:name="_Toc26648465"/>
      <w:bookmarkStart w:id="32" w:name="_Toc24884218"/>
      <w:bookmarkStart w:id="33" w:name="_Toc150014766"/>
      <w:bookmarkStart w:id="34" w:name="_Toc26986530"/>
      <w:bookmarkStart w:id="35" w:name="_Toc17233325"/>
      <w:bookmarkStart w:id="36" w:name="_Toc24884211"/>
      <w:bookmarkStart w:id="37" w:name="_Toc97192964"/>
      <w:r>
        <w:rPr>
          <w:rFonts w:hint="eastAsia"/>
          <w:color w:val="000000" w:themeColor="text1"/>
          <w14:textFill>
            <w14:solidFill>
              <w14:schemeClr w14:val="tx1"/>
            </w14:solidFill>
          </w14:textFill>
        </w:rPr>
        <w:t>范围</w:t>
      </w:r>
      <w:bookmarkEnd w:id="27"/>
      <w:bookmarkEnd w:id="28"/>
      <w:bookmarkEnd w:id="29"/>
      <w:bookmarkEnd w:id="30"/>
      <w:bookmarkEnd w:id="31"/>
      <w:bookmarkEnd w:id="32"/>
      <w:bookmarkEnd w:id="33"/>
      <w:bookmarkEnd w:id="34"/>
      <w:bookmarkEnd w:id="35"/>
      <w:bookmarkEnd w:id="36"/>
      <w:bookmarkEnd w:id="37"/>
    </w:p>
    <w:p w14:paraId="682BA5F3">
      <w:pPr>
        <w:pStyle w:val="57"/>
        <w:ind w:firstLine="420"/>
        <w:rPr>
          <w:rFonts w:hint="eastAsia"/>
          <w:color w:val="000000" w:themeColor="text1"/>
          <w:lang w:val="en-US" w:eastAsia="zh-CN"/>
          <w14:textFill>
            <w14:solidFill>
              <w14:schemeClr w14:val="tx1"/>
            </w14:solidFill>
          </w14:textFill>
        </w:rPr>
      </w:pPr>
      <w:bookmarkStart w:id="38" w:name="_Toc26648466"/>
      <w:bookmarkStart w:id="39" w:name="_Toc24884219"/>
      <w:bookmarkStart w:id="40" w:name="_Toc24884212"/>
      <w:bookmarkStart w:id="41" w:name="_Toc150014767"/>
      <w:bookmarkStart w:id="42" w:name="_Toc26718931"/>
      <w:bookmarkStart w:id="43" w:name="_Toc97192965"/>
      <w:bookmarkStart w:id="44" w:name="_Toc26986772"/>
      <w:bookmarkStart w:id="45" w:name="_Toc26986531"/>
      <w:bookmarkStart w:id="46" w:name="_Toc17233334"/>
      <w:bookmarkStart w:id="47" w:name="_Toc17233326"/>
      <w:r>
        <w:rPr>
          <w:rFonts w:hint="eastAsia"/>
          <w:color w:val="000000" w:themeColor="text1"/>
          <w:lang w:val="en-US" w:eastAsia="zh-CN"/>
          <w14:textFill>
            <w14:solidFill>
              <w14:schemeClr w14:val="tx1"/>
            </w14:solidFill>
          </w14:textFill>
        </w:rPr>
        <w:t>本文件规定了张家川红花牛屠宰与检疫各工序的操作要求。</w:t>
      </w:r>
    </w:p>
    <w:p w14:paraId="72D7280F">
      <w:pPr>
        <w:pStyle w:val="57"/>
        <w:ind w:firstLine="42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本文件适用于张家川红花牛屠宰与检疫操作规程。</w:t>
      </w:r>
    </w:p>
    <w:p w14:paraId="7A45D54D">
      <w:pPr>
        <w:pStyle w:val="105"/>
        <w:spacing w:before="312" w:after="312"/>
        <w:rPr>
          <w:color w:val="000000" w:themeColor="text1"/>
          <w14:textFill>
            <w14:solidFill>
              <w14:schemeClr w14:val="tx1"/>
            </w14:solidFill>
          </w14:textFill>
        </w:rPr>
      </w:pPr>
      <w:bookmarkStart w:id="48" w:name="_Toc25049"/>
      <w:r>
        <w:rPr>
          <w:rFonts w:hint="eastAsia"/>
          <w:color w:val="000000" w:themeColor="text1"/>
          <w14:textFill>
            <w14:solidFill>
              <w14:schemeClr w14:val="tx1"/>
            </w14:solidFill>
          </w14:textFill>
        </w:rPr>
        <w:t>规范性引用文件</w:t>
      </w:r>
      <w:bookmarkEnd w:id="38"/>
      <w:bookmarkEnd w:id="39"/>
      <w:bookmarkEnd w:id="40"/>
      <w:bookmarkEnd w:id="41"/>
      <w:bookmarkEnd w:id="42"/>
      <w:bookmarkEnd w:id="43"/>
      <w:bookmarkEnd w:id="44"/>
      <w:bookmarkEnd w:id="45"/>
      <w:bookmarkEnd w:id="46"/>
      <w:bookmarkEnd w:id="47"/>
      <w:bookmarkEnd w:id="48"/>
    </w:p>
    <w:sdt>
      <w:sdtPr>
        <w:rPr>
          <w:rFonts w:hint="eastAsia"/>
          <w:color w:val="000000" w:themeColor="text1"/>
          <w14:textFill>
            <w14:solidFill>
              <w14:schemeClr w14:val="tx1"/>
            </w14:solidFill>
          </w14:textFill>
        </w:rPr>
        <w:id w:val="715848253"/>
        <w:placeholder>
          <w:docPart w:val="5FE49046297C4A68A6C5EFDE3F02774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color w:val="000000" w:themeColor="text1"/>
          <w14:textFill>
            <w14:solidFill>
              <w14:schemeClr w14:val="tx1"/>
            </w14:solidFill>
          </w14:textFill>
        </w:rPr>
      </w:sdtEndPr>
      <w:sdtContent>
        <w:p w14:paraId="060DE0F4">
          <w:pPr>
            <w:pStyle w:val="57"/>
            <w:ind w:firstLine="420"/>
            <w:rPr>
              <w:color w:val="000000" w:themeColor="text1"/>
              <w14:textFill>
                <w14:solidFill>
                  <w14:schemeClr w14:val="tx1"/>
                </w14:solidFill>
              </w14:textFill>
            </w:rPr>
          </w:pPr>
          <w:r>
            <w:rPr>
              <w:rFonts w:hint="eastAsia"/>
              <w:color w:val="000000" w:themeColor="text1"/>
              <w14:textFill>
                <w14:solidFill>
                  <w14:schemeClr w14:val="tx1"/>
                </w14:solidFill>
              </w14:textFill>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EC38B14">
      <w:pPr>
        <w:pStyle w:val="231"/>
        <w:rPr>
          <w:color w:val="000000" w:themeColor="text1"/>
          <w14:textFill>
            <w14:solidFill>
              <w14:schemeClr w14:val="tx1"/>
            </w14:solidFill>
          </w14:textFill>
        </w:rPr>
      </w:pPr>
      <w:r>
        <w:rPr>
          <w:rFonts w:hint="eastAsia"/>
          <w:color w:val="000000" w:themeColor="text1"/>
          <w14:textFill>
            <w14:solidFill>
              <w14:schemeClr w14:val="tx1"/>
            </w14:solidFill>
          </w14:textFill>
        </w:rPr>
        <w:t>GB 13457-2025 屠宰及肉类加工工业水污染物排放标准</w:t>
      </w:r>
    </w:p>
    <w:p w14:paraId="18E600DD">
      <w:pPr>
        <w:pStyle w:val="231"/>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GB/T </w:t>
      </w:r>
      <w:r>
        <w:rPr>
          <w:rFonts w:hint="eastAsia"/>
          <w:color w:val="000000" w:themeColor="text1"/>
          <w14:textFill>
            <w14:solidFill>
              <w14:schemeClr w14:val="tx1"/>
            </w14:solidFill>
          </w14:textFill>
        </w:rPr>
        <w:t>19477-2018</w:t>
      </w:r>
      <w:r>
        <w:rPr>
          <w:rFonts w:hint="eastAsia"/>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畜禽屠宰操作规程—牛</w:t>
      </w:r>
    </w:p>
    <w:p w14:paraId="5EAA959D">
      <w:pPr>
        <w:pStyle w:val="231"/>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GB/T </w:t>
      </w:r>
      <w:r>
        <w:rPr>
          <w:rFonts w:hint="eastAsia"/>
          <w:color w:val="000000" w:themeColor="text1"/>
          <w14:textFill>
            <w14:solidFill>
              <w14:schemeClr w14:val="tx1"/>
            </w14:solidFill>
          </w14:textFill>
        </w:rPr>
        <w:t>20014.7-2013</w:t>
      </w:r>
      <w:r>
        <w:rPr>
          <w:rFonts w:hint="eastAsia"/>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良好农业规范</w:t>
      </w:r>
      <w:r>
        <w:rPr>
          <w:color w:val="000000" w:themeColor="text1"/>
          <w14:textFill>
            <w14:solidFill>
              <w14:schemeClr w14:val="tx1"/>
            </w14:solidFill>
          </w14:textFill>
        </w:rPr>
        <w:t xml:space="preserve"> </w:t>
      </w:r>
      <w:r>
        <w:rPr>
          <w:rFonts w:hint="eastAsia"/>
          <w:color w:val="000000" w:themeColor="text1"/>
          <w14:textFill>
            <w14:solidFill>
              <w14:schemeClr w14:val="tx1"/>
            </w14:solidFill>
          </w14:textFill>
        </w:rPr>
        <w:t>第7部分：牛羊控制点与符合性规范</w:t>
      </w:r>
    </w:p>
    <w:p w14:paraId="3C643627">
      <w:pPr>
        <w:pStyle w:val="231"/>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GB/T 42304-2023 </w:t>
      </w:r>
      <w:r>
        <w:rPr>
          <w:rFonts w:hint="eastAsia"/>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屠宰动物福利准则</w:t>
      </w:r>
    </w:p>
    <w:p w14:paraId="1432F820">
      <w:pPr>
        <w:pStyle w:val="231"/>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GB/T 43838-2024</w:t>
      </w:r>
      <w:r>
        <w:rPr>
          <w:rFonts w:hint="eastAsia"/>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肉牛生产性能测定技术规范</w:t>
      </w:r>
    </w:p>
    <w:p w14:paraId="47365ED5">
      <w:pPr>
        <w:pStyle w:val="231"/>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GB/Z </w:t>
      </w:r>
      <w:r>
        <w:rPr>
          <w:rFonts w:hint="eastAsia"/>
          <w:color w:val="000000" w:themeColor="text1"/>
          <w14:textFill>
            <w14:solidFill>
              <w14:schemeClr w14:val="tx1"/>
            </w14:solidFill>
          </w14:textFill>
        </w:rPr>
        <w:t>25008-2010</w:t>
      </w:r>
      <w:r>
        <w:rPr>
          <w:rFonts w:hint="eastAsia"/>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饲料和食品链的可追溯性</w:t>
      </w:r>
      <w:r>
        <w:rPr>
          <w:color w:val="000000" w:themeColor="text1"/>
          <w14:textFill>
            <w14:solidFill>
              <w14:schemeClr w14:val="tx1"/>
            </w14:solidFill>
          </w14:textFill>
        </w:rPr>
        <w:t xml:space="preserve"> </w:t>
      </w:r>
      <w:r>
        <w:rPr>
          <w:rFonts w:hint="eastAsia"/>
          <w:color w:val="000000" w:themeColor="text1"/>
          <w14:textFill>
            <w14:solidFill>
              <w14:schemeClr w14:val="tx1"/>
            </w14:solidFill>
          </w14:textFill>
        </w:rPr>
        <w:t>体系设计与实施指南</w:t>
      </w:r>
    </w:p>
    <w:p w14:paraId="2F5092C4">
      <w:pPr>
        <w:pStyle w:val="231"/>
        <w:rPr>
          <w:color w:val="000000" w:themeColor="text1"/>
          <w14:textFill>
            <w14:solidFill>
              <w14:schemeClr w14:val="tx1"/>
            </w14:solidFill>
          </w14:textFill>
        </w:rPr>
      </w:pPr>
      <w:r>
        <w:rPr>
          <w:color w:val="000000" w:themeColor="text1"/>
          <w14:textFill>
            <w14:solidFill>
              <w14:schemeClr w14:val="tx1"/>
            </w14:solidFill>
          </w14:textFill>
        </w:rPr>
        <w:t xml:space="preserve">NY/T </w:t>
      </w:r>
      <w:r>
        <w:rPr>
          <w:rFonts w:hint="eastAsia"/>
          <w:color w:val="000000" w:themeColor="text1"/>
          <w14:textFill>
            <w14:solidFill>
              <w14:schemeClr w14:val="tx1"/>
            </w14:solidFill>
          </w14:textFill>
        </w:rPr>
        <w:t>676-2010</w:t>
      </w:r>
      <w:r>
        <w:rPr>
          <w:rFonts w:hint="eastAsia"/>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牛肉等级规格</w:t>
      </w:r>
    </w:p>
    <w:p w14:paraId="3E9ADE69">
      <w:pPr>
        <w:pStyle w:val="231"/>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NY/T </w:t>
      </w:r>
      <w:r>
        <w:rPr>
          <w:rFonts w:hint="eastAsia"/>
          <w:color w:val="000000" w:themeColor="text1"/>
          <w14:textFill>
            <w14:solidFill>
              <w14:schemeClr w14:val="tx1"/>
            </w14:solidFill>
          </w14:textFill>
        </w:rPr>
        <w:t>3471-2019</w:t>
      </w:r>
      <w:r>
        <w:rPr>
          <w:rFonts w:hint="eastAsia"/>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畜禽血液收集技术规范</w:t>
      </w:r>
    </w:p>
    <w:p w14:paraId="0F4C4B42">
      <w:pPr>
        <w:pStyle w:val="231"/>
        <w:rPr>
          <w:rFonts w:hint="eastAsia"/>
          <w:color w:val="000000" w:themeColor="text1"/>
          <w14:textFill>
            <w14:solidFill>
              <w14:schemeClr w14:val="tx1"/>
            </w14:solidFill>
          </w14:textFill>
        </w:rPr>
      </w:pPr>
      <w:r>
        <w:rPr>
          <w:color w:val="000000" w:themeColor="text1"/>
          <w14:textFill>
            <w14:solidFill>
              <w14:schemeClr w14:val="tx1"/>
            </w14:solidFill>
          </w14:textFill>
        </w:rPr>
        <w:t>中华人民共和国动物防疫法</w:t>
      </w:r>
    </w:p>
    <w:p w14:paraId="0DD4D234">
      <w:pPr>
        <w:pStyle w:val="105"/>
        <w:spacing w:before="312" w:after="312"/>
        <w:rPr>
          <w:color w:val="auto"/>
        </w:rPr>
      </w:pPr>
      <w:bookmarkStart w:id="49" w:name="_Toc97192966"/>
      <w:bookmarkStart w:id="50" w:name="_Toc150014768"/>
      <w:bookmarkStart w:id="51" w:name="_Toc30444"/>
      <w:r>
        <w:rPr>
          <w:rFonts w:hint="eastAsia"/>
          <w:color w:val="auto"/>
          <w:szCs w:val="21"/>
        </w:rPr>
        <w:t>术语和定义</w:t>
      </w:r>
      <w:bookmarkEnd w:id="49"/>
      <w:bookmarkEnd w:id="50"/>
      <w:bookmarkEnd w:id="51"/>
    </w:p>
    <w:sdt>
      <w:sdtPr>
        <w:id w:val="-1909835108"/>
        <w:placeholder>
          <w:docPart w:val="82FAD4B12AFB42FD997383B282BB9FD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6021CF1F">
          <w:pPr>
            <w:pStyle w:val="57"/>
            <w:ind w:firstLine="420"/>
          </w:pPr>
          <w:bookmarkStart w:id="52" w:name="_Toc26986532"/>
          <w:bookmarkEnd w:id="52"/>
          <w:r>
            <w:rPr>
              <w:rFonts w:ascii="宋体" w:hAnsi="Times New Roman" w:eastAsia="宋体" w:cs="Times New Roman"/>
              <w:sz w:val="21"/>
              <w:lang w:val="en-US" w:eastAsia="zh-CN" w:bidi="ar-SA"/>
            </w:rPr>
            <w:t>本文件没有需要界定的术语和定义。</w:t>
          </w:r>
        </w:p>
      </w:sdtContent>
    </w:sdt>
    <w:p w14:paraId="18DE667E">
      <w:pPr>
        <w:pStyle w:val="105"/>
        <w:spacing w:before="312" w:after="312"/>
      </w:pPr>
      <w:bookmarkStart w:id="53" w:name="_Toc16847"/>
      <w:r>
        <w:rPr>
          <w:rFonts w:hint="eastAsia"/>
          <w:lang w:val="en-US" w:eastAsia="zh-CN"/>
        </w:rPr>
        <w:t>宰前要求</w:t>
      </w:r>
      <w:bookmarkEnd w:id="53"/>
    </w:p>
    <w:p w14:paraId="4D5C1A65">
      <w:pPr>
        <w:pStyle w:val="231"/>
        <w:rPr>
          <w:rFonts w:hint="eastAsia"/>
        </w:rPr>
      </w:pPr>
      <w:r>
        <w:rPr>
          <w:rFonts w:hint="eastAsia"/>
        </w:rPr>
        <w:t>屠宰前应对红花牛进行全面检查和准备，以满足动物福利、检疫和卫生要求：</w:t>
      </w:r>
    </w:p>
    <w:p w14:paraId="318AF86B">
      <w:pPr>
        <w:pStyle w:val="106"/>
        <w:spacing w:before="156" w:after="156"/>
      </w:pPr>
      <w:bookmarkStart w:id="54" w:name="_Toc31046"/>
      <w:r>
        <w:rPr>
          <w:rFonts w:hint="eastAsia"/>
          <w:lang w:val="en-US" w:eastAsia="zh-CN"/>
        </w:rPr>
        <w:t>场所与设施</w:t>
      </w:r>
      <w:bookmarkEnd w:id="54"/>
    </w:p>
    <w:p w14:paraId="1941197B">
      <w:pPr>
        <w:pStyle w:val="57"/>
        <w:ind w:firstLine="420"/>
        <w:rPr>
          <w:rFonts w:hint="eastAsia"/>
        </w:rPr>
      </w:pPr>
      <w:r>
        <w:rPr>
          <w:rFonts w:hint="eastAsia"/>
        </w:rPr>
        <w:t>屠宰场应有清洁、干燥、遮蔽的待宰牛舍，地面防滑，设有专用防疫隔离区。保持室内温度（15±5）℃，空气流通良好。场所日常保持清洁，饮水槽等饮水设施可用。</w:t>
      </w:r>
    </w:p>
    <w:p w14:paraId="7B2D912E">
      <w:pPr>
        <w:pStyle w:val="106"/>
        <w:spacing w:before="156" w:after="156"/>
      </w:pPr>
      <w:bookmarkStart w:id="55" w:name="_Toc10034"/>
      <w:r>
        <w:rPr>
          <w:rFonts w:hint="eastAsia"/>
          <w:lang w:val="en-US" w:eastAsia="zh-CN"/>
        </w:rPr>
        <w:t>文件核查</w:t>
      </w:r>
      <w:bookmarkEnd w:id="55"/>
    </w:p>
    <w:p w14:paraId="26B2F7D4">
      <w:pPr>
        <w:pStyle w:val="57"/>
        <w:ind w:firstLine="420"/>
      </w:pPr>
      <w:r>
        <w:rPr>
          <w:rFonts w:hint="eastAsia"/>
        </w:rPr>
        <w:t>所有待宰牛只必须持有正式兽医签发的检疫合格证明和动物免疫记录，并符合来源地检疫要求。牛只来源与养殖记录应可追溯且符合集约化养殖和兽药使用管理要求（参照GB/T 20014.7-2013 的动物来源管理规定）。只有检疫合格且符合饲养和检疫要求的牛只方可宰杀。</w:t>
      </w:r>
    </w:p>
    <w:p w14:paraId="40AA302D">
      <w:pPr>
        <w:pStyle w:val="106"/>
        <w:spacing w:before="156" w:after="156"/>
      </w:pPr>
      <w:bookmarkStart w:id="56" w:name="_Toc2663"/>
      <w:r>
        <w:rPr>
          <w:rFonts w:hint="eastAsia"/>
          <w:lang w:val="en-US" w:eastAsia="zh-CN"/>
        </w:rPr>
        <w:t>健康状况</w:t>
      </w:r>
      <w:bookmarkEnd w:id="56"/>
    </w:p>
    <w:p w14:paraId="36C8AE6D">
      <w:pPr>
        <w:pStyle w:val="57"/>
        <w:ind w:firstLine="420"/>
      </w:pPr>
      <w:r>
        <w:rPr>
          <w:rFonts w:hint="eastAsia"/>
        </w:rPr>
        <w:t>宰前应由官方兽医进行现场检疫，检查牛只体温、精神状态及有无异常症状。发现明显病变（如高热、黄疸、皮肤病灶、严重外伤、神经症状等）的牛只，应立即隔离销毁，不得宰杀。</w:t>
      </w:r>
    </w:p>
    <w:p w14:paraId="78B72DDC">
      <w:pPr>
        <w:pStyle w:val="106"/>
        <w:spacing w:before="156" w:after="156"/>
      </w:pPr>
      <w:bookmarkStart w:id="57" w:name="_Toc7175"/>
      <w:r>
        <w:rPr>
          <w:rFonts w:hint="eastAsia"/>
          <w:lang w:val="en-US" w:eastAsia="zh-CN"/>
        </w:rPr>
        <w:t>禁食禁水</w:t>
      </w:r>
      <w:bookmarkEnd w:id="57"/>
    </w:p>
    <w:p w14:paraId="2BA9A702">
      <w:pPr>
        <w:pStyle w:val="57"/>
        <w:ind w:firstLine="420"/>
      </w:pPr>
      <w:r>
        <w:rPr>
          <w:rFonts w:hint="eastAsia"/>
        </w:rPr>
        <w:t>在屠宰前应进行断料断水处理。一般红花牛断料时间不低于12小时，断水不低于4小时，避免体内饲料造成排酸不良和食源性污染（具体时间可根据当地气候和牛只状态适当调整）。</w:t>
      </w:r>
    </w:p>
    <w:p w14:paraId="14425E57">
      <w:pPr>
        <w:pStyle w:val="106"/>
        <w:spacing w:before="156" w:after="156"/>
      </w:pPr>
      <w:bookmarkStart w:id="58" w:name="_Toc28377"/>
      <w:r>
        <w:rPr>
          <w:rFonts w:hint="eastAsia"/>
          <w:lang w:val="en-US" w:eastAsia="zh-CN"/>
        </w:rPr>
        <w:t>运输卸料</w:t>
      </w:r>
      <w:bookmarkEnd w:id="58"/>
    </w:p>
    <w:p w14:paraId="66684BC1">
      <w:pPr>
        <w:pStyle w:val="57"/>
        <w:ind w:firstLine="420"/>
      </w:pPr>
      <w:r>
        <w:rPr>
          <w:rFonts w:hint="eastAsia"/>
        </w:rPr>
        <w:t>运牛车到场须远离屠宰场正门，牛只缓慢引导进入待宰舍，避免喧闹和惊吓，禁止使用电击棒等粗暴工具。可适当使用轻声驱赶或牧犬驱赶，减轻动物应激。待宰区应有充足通风，但避免寒风直吹牛群。</w:t>
      </w:r>
    </w:p>
    <w:p w14:paraId="6EB0ABE2">
      <w:pPr>
        <w:pStyle w:val="106"/>
        <w:spacing w:before="156" w:after="156"/>
      </w:pPr>
      <w:bookmarkStart w:id="59" w:name="_Toc29442"/>
      <w:r>
        <w:rPr>
          <w:rFonts w:hint="eastAsia"/>
          <w:lang w:val="en-US" w:eastAsia="zh-CN"/>
        </w:rPr>
        <w:t>动物福利</w:t>
      </w:r>
      <w:bookmarkEnd w:id="59"/>
    </w:p>
    <w:p w14:paraId="2FF4F4AC">
      <w:pPr>
        <w:pStyle w:val="57"/>
        <w:ind w:firstLine="420"/>
      </w:pPr>
      <w:r>
        <w:rPr>
          <w:rFonts w:hint="eastAsia"/>
        </w:rPr>
        <w:t>宰前操作应保证动物福利，尽量缩短牛只在禁食区及待宰区的滞留时间，避免不必要的折磨和恐吓。工作人员须经过动物福利及驯牛操作培训，熟悉安全固定和牵引方法，杜绝不当对待动物的行为（可参照GB/T 42304-2023 屠宰动物福利准则）。</w:t>
      </w:r>
    </w:p>
    <w:p w14:paraId="05520A39">
      <w:pPr>
        <w:pStyle w:val="105"/>
        <w:spacing w:before="312" w:after="312"/>
      </w:pPr>
      <w:bookmarkStart w:id="60" w:name="_Toc30113"/>
      <w:r>
        <w:rPr>
          <w:rFonts w:hint="eastAsia"/>
          <w:lang w:val="en-US" w:eastAsia="zh-CN"/>
        </w:rPr>
        <w:t>屠宰技术要求</w:t>
      </w:r>
      <w:bookmarkEnd w:id="60"/>
    </w:p>
    <w:p w14:paraId="4B681A2C">
      <w:pPr>
        <w:pStyle w:val="57"/>
      </w:pPr>
      <w:r>
        <w:rPr>
          <w:rFonts w:hint="eastAsia"/>
        </w:rPr>
        <w:t>屠宰过程应采用人道化和标准化工艺，具体操作步骤及要点如下：</w:t>
      </w:r>
    </w:p>
    <w:p w14:paraId="1E3A10F4">
      <w:pPr>
        <w:pStyle w:val="106"/>
        <w:spacing w:before="156" w:after="156"/>
      </w:pPr>
      <w:bookmarkStart w:id="61" w:name="_Toc29091"/>
      <w:r>
        <w:rPr>
          <w:rFonts w:hint="eastAsia"/>
          <w:lang w:val="en-US" w:eastAsia="zh-CN"/>
        </w:rPr>
        <w:t>牵挂与致昏</w:t>
      </w:r>
      <w:bookmarkEnd w:id="61"/>
    </w:p>
    <w:p w14:paraId="6529D4BC">
      <w:pPr>
        <w:pStyle w:val="57"/>
        <w:rPr>
          <w:rFonts w:hint="eastAsia"/>
          <w:lang w:val="en-US" w:eastAsia="zh-CN"/>
        </w:rPr>
      </w:pPr>
      <w:r>
        <w:rPr>
          <w:rFonts w:hint="eastAsia"/>
          <w:lang w:val="en-US" w:eastAsia="zh-CN"/>
        </w:rPr>
        <w:t>牛只应进入固定栏，用牛头套或机械装置固定头部。致昏操作应符合《GB/T 19477-2018 畜禽屠宰操作规程—牛》的相关规定。推荐采用头颈电击或穿颅（爆破）致昏方式。电击致昏参考值：工作电流≥1.0A、电压300</w:t>
      </w:r>
      <w:r>
        <w:t>～</w:t>
      </w:r>
      <w:r>
        <w:rPr>
          <w:rFonts w:hint="eastAsia"/>
          <w:lang w:val="en-US" w:eastAsia="zh-CN"/>
        </w:rPr>
        <w:t>400V，作用时间约13秒（具体参数需根据设备性能现场校准）。电极应分别置于双侧太阳穴，确保一次致昏成功并观察失去痛觉反应。如使用爆破式致昏器，必须使用经过检定的装置，准确对准牛只大脑位置。致昏后应立即进行放血。</w:t>
      </w:r>
    </w:p>
    <w:p w14:paraId="6BF565AC">
      <w:pPr>
        <w:pStyle w:val="106"/>
        <w:spacing w:before="156" w:after="156"/>
      </w:pPr>
      <w:bookmarkStart w:id="62" w:name="_Toc7788"/>
      <w:r>
        <w:rPr>
          <w:rFonts w:hint="eastAsia"/>
          <w:lang w:val="en-US" w:eastAsia="zh-CN"/>
        </w:rPr>
        <w:t>挂牛放血</w:t>
      </w:r>
      <w:bookmarkEnd w:id="62"/>
    </w:p>
    <w:p w14:paraId="6DE1B310">
      <w:pPr>
        <w:pStyle w:val="57"/>
        <w:rPr>
          <w:color w:val="auto"/>
        </w:rPr>
      </w:pPr>
      <w:r>
        <w:rPr>
          <w:rFonts w:hint="eastAsia"/>
          <w:lang w:val="en-US" w:eastAsia="zh-CN"/>
        </w:rPr>
        <w:t>致昏后的牛只应迅速翻转，用肉钩挂于后肢（两后腿抬高挂于轨道上），头部向下。即刻进行放血：于颈部动脉（颈总动脉）位置自流切割，确保在5秒内放</w:t>
      </w:r>
      <w:r>
        <w:rPr>
          <w:rFonts w:hint="eastAsia"/>
          <w:color w:val="auto"/>
          <w:lang w:val="en-US" w:eastAsia="zh-CN"/>
        </w:rPr>
        <w:t>血完成，直至无红色血液流出。放血过程中不可搅动胴体，以利排酸。所有用刀具应保持锋利、消毒。血液采集参照NY/T 3471-2019等规范，按分类收集后回收处理。</w:t>
      </w:r>
    </w:p>
    <w:p w14:paraId="0BC900BE">
      <w:pPr>
        <w:pStyle w:val="106"/>
        <w:spacing w:before="156" w:after="156"/>
      </w:pPr>
      <w:bookmarkStart w:id="63" w:name="_Toc28758"/>
      <w:r>
        <w:rPr>
          <w:rFonts w:hint="eastAsia"/>
          <w:lang w:val="en-US" w:eastAsia="zh-CN"/>
        </w:rPr>
        <w:t>剥皮去头蹄</w:t>
      </w:r>
      <w:bookmarkEnd w:id="63"/>
    </w:p>
    <w:p w14:paraId="268327B3">
      <w:pPr>
        <w:pStyle w:val="57"/>
      </w:pPr>
      <w:r>
        <w:rPr>
          <w:rFonts w:hint="eastAsia"/>
        </w:rPr>
        <w:t>动物死亡（无自主呼吸反应）后进行剥皮。采用开叉口剥皮法，从尾部开裂至颈部，再从四肢部位切开，将皮层剥离至颈部脖颈线。剥皮操作应快速而小心，避免刀伤肉表面。剥皮后砍断头骨颈椎交界并移除头部，头部可按地方规定送检或作为副产利用。四蹄按节置剪断，可用于标本或下脚料。</w:t>
      </w:r>
    </w:p>
    <w:p w14:paraId="0237F62E">
      <w:pPr>
        <w:pStyle w:val="106"/>
        <w:spacing w:before="156" w:after="156"/>
      </w:pPr>
      <w:bookmarkStart w:id="64" w:name="_Toc446"/>
      <w:r>
        <w:rPr>
          <w:rFonts w:hint="eastAsia"/>
          <w:lang w:val="en-US" w:eastAsia="zh-CN"/>
        </w:rPr>
        <w:t>取出内脏</w:t>
      </w:r>
      <w:bookmarkEnd w:id="64"/>
    </w:p>
    <w:p w14:paraId="2A303C93">
      <w:pPr>
        <w:pStyle w:val="57"/>
        <w:rPr>
          <w:rFonts w:hint="eastAsia" w:eastAsia="宋体"/>
          <w:lang w:eastAsia="zh-CN"/>
        </w:rPr>
      </w:pPr>
      <w:r>
        <w:rPr>
          <w:rFonts w:hint="eastAsia"/>
          <w:b w:val="0"/>
          <w:bCs w:val="0"/>
        </w:rPr>
        <w:t>横开胸腔。先切开腹部胸腔（沿腹直肌切开），用手提起脏器。先取红脏：切断与胸腔结合的食管、主动脉、肺动脉等，将心、肝、肺、脾等取出。然后取白脏：将食管、胃门团进行截离，并取出四个胃（网胃、瓣胃、皱胃、瘤胃），最后取出小肠和大肠（阑尾可视需取出）。在取内脏过程中应注意不破坏脏器，防止内容物污染肉体</w:t>
      </w:r>
      <w:r>
        <w:rPr>
          <w:rFonts w:hint="eastAsia"/>
          <w:b w:val="0"/>
          <w:bCs w:val="0"/>
          <w:lang w:eastAsia="zh-CN"/>
        </w:rPr>
        <w:t>。</w:t>
      </w:r>
    </w:p>
    <w:p w14:paraId="64911B5C">
      <w:pPr>
        <w:pStyle w:val="106"/>
        <w:spacing w:before="156" w:after="156"/>
      </w:pPr>
      <w:bookmarkStart w:id="65" w:name="_Toc18499"/>
      <w:r>
        <w:rPr>
          <w:rFonts w:hint="eastAsia"/>
          <w:lang w:val="en-US" w:eastAsia="zh-CN"/>
        </w:rPr>
        <w:t>开胸劈半</w:t>
      </w:r>
      <w:bookmarkEnd w:id="65"/>
    </w:p>
    <w:p w14:paraId="4AB5B3A5">
      <w:pPr>
        <w:pStyle w:val="57"/>
      </w:pPr>
      <w:r>
        <w:rPr>
          <w:rFonts w:hint="eastAsia"/>
          <w:lang w:val="en-US" w:eastAsia="zh-CN"/>
        </w:rPr>
        <w:t>将去除头蹄和内脏的半胴体用剖骨锯沿脊柱中线从尾部向头部方向锯切开。锯切时动作稳健，避免突然断裂引起脊髓渗血。劈半后，应及时用洁净低温水（参考值≤15℃）冲洗胸腔内外及锯口处的血污和碎屑。</w:t>
      </w:r>
    </w:p>
    <w:p w14:paraId="6D496099">
      <w:pPr>
        <w:pStyle w:val="106"/>
        <w:spacing w:before="156" w:after="156"/>
      </w:pPr>
      <w:bookmarkStart w:id="66" w:name="_Toc5100"/>
      <w:r>
        <w:rPr>
          <w:rFonts w:hint="eastAsia"/>
          <w:lang w:val="en-US" w:eastAsia="zh-CN"/>
        </w:rPr>
        <w:t>冲洗和漂洗</w:t>
      </w:r>
      <w:bookmarkEnd w:id="66"/>
    </w:p>
    <w:p w14:paraId="6ECC8430">
      <w:pPr>
        <w:pStyle w:val="57"/>
        <w:rPr>
          <w:rFonts w:hint="eastAsia"/>
          <w:lang w:val="en-US" w:eastAsia="zh-CN"/>
        </w:rPr>
      </w:pPr>
      <w:r>
        <w:rPr>
          <w:rFonts w:hint="eastAsia"/>
        </w:rPr>
        <w:t>对胴体表面和空腔内部进行彻底冲洗，使用符合饮用水标准的清洁水（建议冷水）。水温控制在10℃以下为宜，水压适中，避免肉体表面纤维破裂。冲洗时应穿戴防护服、手套和口罩，并保证工具每日清洗消毒。冲洗完毕并检查无明显污染物后，将胴体移入预冷库进行冷却。</w:t>
      </w:r>
    </w:p>
    <w:p w14:paraId="415ED5A6">
      <w:pPr>
        <w:pStyle w:val="105"/>
        <w:spacing w:before="312" w:after="312"/>
      </w:pPr>
      <w:bookmarkStart w:id="67" w:name="_Toc25847"/>
      <w:r>
        <w:rPr>
          <w:rFonts w:hint="eastAsia"/>
          <w:lang w:val="en-US" w:eastAsia="zh-CN"/>
        </w:rPr>
        <w:t>胴体预冷与排酸成熟</w:t>
      </w:r>
      <w:bookmarkEnd w:id="67"/>
    </w:p>
    <w:p w14:paraId="58042E1E">
      <w:pPr>
        <w:pStyle w:val="57"/>
        <w:rPr>
          <w:rFonts w:hint="eastAsia"/>
        </w:rPr>
      </w:pPr>
      <w:r>
        <w:rPr>
          <w:rFonts w:hint="eastAsia"/>
        </w:rPr>
        <w:t>胴体冷却排酸是确保红花牛肉品质的关键工序。技术要求如下：</w:t>
      </w:r>
    </w:p>
    <w:p w14:paraId="6FDD999A">
      <w:pPr>
        <w:pStyle w:val="106"/>
        <w:spacing w:before="156" w:after="156"/>
      </w:pPr>
      <w:bookmarkStart w:id="68" w:name="_Toc24756"/>
      <w:r>
        <w:rPr>
          <w:rFonts w:hint="eastAsia"/>
          <w:lang w:val="en-US" w:eastAsia="zh-CN"/>
        </w:rPr>
        <w:t>冷却环境</w:t>
      </w:r>
      <w:bookmarkEnd w:id="68"/>
    </w:p>
    <w:p w14:paraId="76D54A81">
      <w:pPr>
        <w:pStyle w:val="57"/>
      </w:pPr>
      <w:r>
        <w:rPr>
          <w:rFonts w:hint="eastAsia"/>
        </w:rPr>
        <w:t>放置已分割好的胴体于预冷间，温度控制在0℃～4℃，相对湿度85%左右。胴体悬挂时保证左右半胴体间距10cm～15cm以上，避免相互接触或挤压影响排酸。建议分批安排，以控制胴体表面温度快速下降。</w:t>
      </w:r>
    </w:p>
    <w:p w14:paraId="77D2412B">
      <w:pPr>
        <w:pStyle w:val="106"/>
        <w:spacing w:before="156" w:after="156"/>
        <w:rPr>
          <w:color w:val="000000" w:themeColor="text1"/>
          <w14:textFill>
            <w14:solidFill>
              <w14:schemeClr w14:val="tx1"/>
            </w14:solidFill>
          </w14:textFill>
        </w:rPr>
      </w:pPr>
      <w:bookmarkStart w:id="69" w:name="_Toc16404"/>
      <w:r>
        <w:rPr>
          <w:rFonts w:hint="eastAsia"/>
          <w:color w:val="000000" w:themeColor="text1"/>
          <w:lang w:val="en-US" w:eastAsia="zh-CN"/>
          <w14:textFill>
            <w14:solidFill>
              <w14:schemeClr w14:val="tx1"/>
            </w14:solidFill>
          </w14:textFill>
        </w:rPr>
        <w:t>冷却时间</w:t>
      </w:r>
      <w:bookmarkEnd w:id="69"/>
    </w:p>
    <w:p w14:paraId="36CA5AD3">
      <w:pPr>
        <w:pStyle w:val="57"/>
      </w:pPr>
      <w:r>
        <w:t>预冷初期应加快降温速度，使胴体中心温度在4 h内降至10 ℃以下，以抑制微生物生长。胴体在0 ℃～4 ℃条件下进行冷却成熟，成熟时间根据生产需要确定。实际生产中，可在冷却48 h～72 h后进行分割或出厂，胴体肌肉pH宜控制在5.6～5.8范围内，以保证肉品品质。</w:t>
      </w:r>
    </w:p>
    <w:p w14:paraId="15093DA0">
      <w:pPr>
        <w:pStyle w:val="106"/>
        <w:spacing w:before="156" w:after="156"/>
      </w:pPr>
      <w:bookmarkStart w:id="70" w:name="_Toc3234"/>
      <w:r>
        <w:rPr>
          <w:rFonts w:hint="eastAsia"/>
          <w:lang w:val="en-US" w:eastAsia="zh-CN"/>
        </w:rPr>
        <w:t>pH值指标</w:t>
      </w:r>
      <w:bookmarkEnd w:id="70"/>
    </w:p>
    <w:p w14:paraId="14709546">
      <w:pPr>
        <w:pStyle w:val="57"/>
      </w:pPr>
      <w:r>
        <w:rPr>
          <w:rFonts w:hint="eastAsia"/>
        </w:rPr>
        <w:t>监测胴体肌肉pH变化，目视熟成牛肉的最终pH控制在5.6～5.8之间。若必要，可利用电刺激缩短到达僵直峰（pH最低，≈5.56）的时间。</w:t>
      </w:r>
    </w:p>
    <w:p w14:paraId="1309DB3F">
      <w:pPr>
        <w:pStyle w:val="106"/>
        <w:spacing w:before="156" w:after="156"/>
      </w:pPr>
      <w:bookmarkStart w:id="71" w:name="_Toc32668"/>
      <w:r>
        <w:rPr>
          <w:rFonts w:hint="eastAsia"/>
          <w:lang w:val="en-US" w:eastAsia="zh-CN"/>
        </w:rPr>
        <w:t>排酸工艺</w:t>
      </w:r>
      <w:bookmarkEnd w:id="71"/>
    </w:p>
    <w:p w14:paraId="0F0D25CC">
      <w:pPr>
        <w:pStyle w:val="57"/>
        <w:rPr>
          <w:rFonts w:hint="eastAsia" w:eastAsia="宋体"/>
          <w:lang w:eastAsia="zh-CN"/>
        </w:rPr>
      </w:pPr>
      <w:r>
        <w:rPr>
          <w:rFonts w:hint="eastAsia"/>
          <w:lang w:eastAsia="zh-CN"/>
        </w:rPr>
        <w:t>监测胴体肌肉pH值变化，牛肉最终pH应控制在5.6～5.8之间（参考NY/T 676-2010牛肉等级标准的要求）。若检测到胴体温度过高或pH降速过慢，可适当调整风速和温度控制策略。</w:t>
      </w:r>
    </w:p>
    <w:p w14:paraId="7E0E76EA">
      <w:pPr>
        <w:pStyle w:val="106"/>
        <w:spacing w:before="156" w:after="156"/>
      </w:pPr>
      <w:bookmarkStart w:id="72" w:name="_Toc4782"/>
      <w:r>
        <w:rPr>
          <w:rFonts w:hint="eastAsia"/>
          <w:lang w:val="en-US" w:eastAsia="zh-CN"/>
        </w:rPr>
        <w:t>冷链控制</w:t>
      </w:r>
      <w:bookmarkEnd w:id="72"/>
    </w:p>
    <w:p w14:paraId="5FCE1001">
      <w:pPr>
        <w:pStyle w:val="57"/>
        <w:rPr>
          <w:rFonts w:hint="eastAsia"/>
        </w:rPr>
      </w:pPr>
      <w:r>
        <w:rPr>
          <w:rFonts w:hint="eastAsia"/>
        </w:rPr>
        <w:t>胴体成熟后，应及时进行分割包装并进入冷藏运输。整个排酸与运输环节必须保持冷链连续，环境温度不得超过4℃，避免在高温条件下停止成熟过程。</w:t>
      </w:r>
    </w:p>
    <w:p w14:paraId="7D2398F3">
      <w:pPr>
        <w:pStyle w:val="105"/>
        <w:spacing w:before="312" w:after="312"/>
      </w:pPr>
      <w:bookmarkStart w:id="73" w:name="_Toc29603"/>
      <w:r>
        <w:rPr>
          <w:rFonts w:hint="eastAsia"/>
          <w:lang w:val="en-US" w:eastAsia="zh-CN"/>
        </w:rPr>
        <w:t>检验与质量控制</w:t>
      </w:r>
      <w:bookmarkEnd w:id="73"/>
    </w:p>
    <w:p w14:paraId="69154431">
      <w:pPr>
        <w:pStyle w:val="106"/>
        <w:spacing w:before="156" w:after="156"/>
      </w:pPr>
      <w:bookmarkStart w:id="74" w:name="_Toc10165"/>
      <w:r>
        <w:rPr>
          <w:rFonts w:hint="eastAsia"/>
          <w:lang w:val="en-US" w:eastAsia="zh-CN"/>
        </w:rPr>
        <w:t>宰前检验</w:t>
      </w:r>
      <w:bookmarkEnd w:id="74"/>
    </w:p>
    <w:p w14:paraId="5FB32958">
      <w:pPr>
        <w:pStyle w:val="231"/>
      </w:pPr>
      <w:r>
        <w:t>按照《中华人民共和国动物防疫法》要求，对每头入场牛进行检疫查验。重点检查牛只外观、行为状态、体温（正常38℃</w:t>
      </w:r>
      <w:bookmarkStart w:id="92" w:name="_GoBack"/>
      <w:bookmarkEnd w:id="92"/>
      <w:r>
        <w:t>～39℃）和口腔黏膜等。如牛只有明显疑似疫病或疾病征兆，应拒收并隔离处理；检疫合格者在牛体上或证明文件上加盖检疫合格印章后方可宰杀。</w:t>
      </w:r>
    </w:p>
    <w:p w14:paraId="0CCD9ADB">
      <w:pPr>
        <w:pStyle w:val="106"/>
        <w:spacing w:before="156" w:after="156"/>
      </w:pPr>
      <w:bookmarkStart w:id="75" w:name="_Toc22111"/>
      <w:r>
        <w:rPr>
          <w:rFonts w:hint="eastAsia"/>
          <w:lang w:val="en-US" w:eastAsia="zh-CN"/>
        </w:rPr>
        <w:t>宰后检验</w:t>
      </w:r>
      <w:bookmarkEnd w:id="75"/>
    </w:p>
    <w:p w14:paraId="1D570071">
      <w:pPr>
        <w:pStyle w:val="57"/>
        <w:rPr>
          <w:rFonts w:hint="eastAsia" w:eastAsia="宋体"/>
          <w:lang w:eastAsia="zh-CN"/>
        </w:rPr>
      </w:pPr>
      <w:r>
        <w:rPr>
          <w:rFonts w:hint="eastAsia"/>
          <w:lang w:eastAsia="zh-CN"/>
        </w:rPr>
        <w:t>每头牛屠宰完成后，检疫人员应对胴体及可食用部位进行检查。重点检查肝、脾、肾、肺等内脏和肌肉组织有无病变（如结核结节、脓肿、寄生虫囊等）及胃肠内容物是否正常。发现病变或异常器官，应按病理废物处理；发现严重危及公共卫生的病害（如口蹄疫、水肿病等病变），须按规定剔除异常肉部分甚至全部胴体并上报。</w:t>
      </w:r>
    </w:p>
    <w:p w14:paraId="06DE83B8">
      <w:pPr>
        <w:pStyle w:val="106"/>
        <w:spacing w:before="156" w:after="156"/>
      </w:pPr>
      <w:bookmarkStart w:id="76" w:name="_Toc15027"/>
      <w:r>
        <w:rPr>
          <w:rFonts w:hint="eastAsia"/>
          <w:lang w:val="en-US" w:eastAsia="zh-CN"/>
        </w:rPr>
        <w:t>理化检验</w:t>
      </w:r>
      <w:bookmarkEnd w:id="76"/>
    </w:p>
    <w:p w14:paraId="13DE421D">
      <w:pPr>
        <w:pStyle w:val="57"/>
        <w:rPr>
          <w:rFonts w:hint="eastAsia" w:eastAsia="宋体"/>
          <w:lang w:eastAsia="zh-CN"/>
        </w:rPr>
      </w:pPr>
      <w:r>
        <w:rPr>
          <w:rFonts w:hint="eastAsia"/>
        </w:rPr>
        <w:t>建议定期进行微生物检测和化学残留检测。微生物检测包括细菌总数、大肠菌群等指标，以确保肉品卫生安全。化学检测主要针对兽药和饲料添加剂残留。具体指标可参照国家肉类食品安全标准</w:t>
      </w:r>
      <w:r>
        <w:rPr>
          <w:rFonts w:hint="eastAsia"/>
          <w:lang w:eastAsia="zh-CN"/>
        </w:rPr>
        <w:t>。</w:t>
      </w:r>
    </w:p>
    <w:p w14:paraId="77EA3A92">
      <w:pPr>
        <w:pStyle w:val="106"/>
        <w:spacing w:before="156" w:after="156"/>
      </w:pPr>
      <w:bookmarkStart w:id="77" w:name="_Toc2547"/>
      <w:bookmarkStart w:id="78" w:name="_Toc149582225"/>
      <w:bookmarkStart w:id="79" w:name="_Toc150014771"/>
      <w:bookmarkStart w:id="80" w:name="_Toc149581289"/>
      <w:r>
        <w:rPr>
          <w:rFonts w:hint="eastAsia"/>
          <w:lang w:val="en-US" w:eastAsia="zh-CN"/>
        </w:rPr>
        <w:t>不合格品处理</w:t>
      </w:r>
      <w:bookmarkEnd w:id="77"/>
    </w:p>
    <w:p w14:paraId="43EB2C53">
      <w:pPr>
        <w:pStyle w:val="231"/>
        <w:rPr>
          <w:rFonts w:hint="eastAsia"/>
        </w:rPr>
      </w:pPr>
      <w:r>
        <w:rPr>
          <w:rFonts w:hint="eastAsia"/>
        </w:rPr>
        <w:t>对检验或理化检测结果不符合要求的产品，明确标识为不合格品并隔离处理。重大安全风险者应全部销毁。不可将被拒检或病变部位肉品投入流通。</w:t>
      </w:r>
    </w:p>
    <w:p w14:paraId="0B75CCF9">
      <w:pPr>
        <w:pStyle w:val="106"/>
        <w:spacing w:before="156" w:after="156"/>
      </w:pPr>
      <w:bookmarkStart w:id="81" w:name="_Toc32752"/>
      <w:r>
        <w:rPr>
          <w:rFonts w:hint="eastAsia"/>
          <w:lang w:val="en-US" w:eastAsia="zh-CN"/>
        </w:rPr>
        <w:t>记录与标识</w:t>
      </w:r>
      <w:bookmarkEnd w:id="81"/>
    </w:p>
    <w:p w14:paraId="57EA1788">
      <w:pPr>
        <w:pStyle w:val="57"/>
        <w:rPr>
          <w:rFonts w:hint="eastAsia"/>
          <w:lang w:eastAsia="zh-CN"/>
        </w:rPr>
      </w:pPr>
      <w:r>
        <w:rPr>
          <w:rFonts w:hint="eastAsia"/>
        </w:rPr>
        <w:t>所有检验情况均应记录在案，包括牛只编号、检疫结果、操作人员等。合格的肉品发放检疫合格证后方可出厂；不合格品应打上“待处理”标识并进行妥善处置</w:t>
      </w:r>
      <w:r>
        <w:rPr>
          <w:rFonts w:hint="eastAsia"/>
          <w:lang w:eastAsia="zh-CN"/>
        </w:rPr>
        <w:t>。</w:t>
      </w:r>
    </w:p>
    <w:p w14:paraId="3E681358">
      <w:pPr>
        <w:pStyle w:val="105"/>
        <w:spacing w:before="312" w:after="312"/>
      </w:pPr>
      <w:bookmarkStart w:id="82" w:name="_Toc10606"/>
      <w:r>
        <w:rPr>
          <w:rFonts w:hint="eastAsia"/>
          <w:lang w:val="en-US" w:eastAsia="zh-CN"/>
        </w:rPr>
        <w:t>检验与质量控制</w:t>
      </w:r>
      <w:bookmarkEnd w:id="82"/>
    </w:p>
    <w:p w14:paraId="61417E4C">
      <w:pPr>
        <w:pStyle w:val="106"/>
        <w:spacing w:before="156" w:after="156"/>
      </w:pPr>
      <w:bookmarkStart w:id="83" w:name="_Toc9858"/>
      <w:r>
        <w:rPr>
          <w:rFonts w:hint="eastAsia"/>
          <w:lang w:val="en-US" w:eastAsia="zh-CN"/>
        </w:rPr>
        <w:t>信息记录</w:t>
      </w:r>
      <w:bookmarkEnd w:id="83"/>
    </w:p>
    <w:p w14:paraId="17A93F6E">
      <w:pPr>
        <w:pStyle w:val="57"/>
        <w:rPr>
          <w:rFonts w:hint="eastAsia"/>
          <w:lang w:eastAsia="zh-CN"/>
        </w:rPr>
      </w:pPr>
      <w:r>
        <w:rPr>
          <w:rFonts w:hint="eastAsia"/>
        </w:rPr>
        <w:t>为每头牛配发唯一的数字化ID（电子耳标），记录牧场来源、饲养信息、检疫记录、屠宰日期等。屠宰后每批次胴体应贴附电子标签，标明胴体号和相关信息。每头切割出的牛肉块应编入箱号，形成批次管理</w:t>
      </w:r>
      <w:r>
        <w:rPr>
          <w:rFonts w:hint="eastAsia"/>
          <w:lang w:eastAsia="zh-CN"/>
        </w:rPr>
        <w:t>。</w:t>
      </w:r>
    </w:p>
    <w:p w14:paraId="1D0A2BC6">
      <w:pPr>
        <w:pStyle w:val="106"/>
        <w:spacing w:before="156" w:after="156"/>
      </w:pPr>
      <w:bookmarkStart w:id="84" w:name="_Toc11981"/>
      <w:r>
        <w:rPr>
          <w:rFonts w:hint="eastAsia"/>
        </w:rPr>
        <w:t>追溯信息</w:t>
      </w:r>
      <w:bookmarkEnd w:id="84"/>
    </w:p>
    <w:p w14:paraId="0805194B">
      <w:pPr>
        <w:pStyle w:val="57"/>
        <w:rPr>
          <w:rFonts w:hint="eastAsia" w:eastAsia="宋体"/>
          <w:lang w:eastAsia="zh-CN"/>
        </w:rPr>
      </w:pPr>
      <w:r>
        <w:rPr>
          <w:rFonts w:hint="eastAsia"/>
        </w:rPr>
        <w:t>追溯信息至少保留2年，包括动物来源、检疫合格证、屠宰场记录、产品流向等。建立电子数据库或二维码系统，使肉品经销商和消费者可扫描查询来源和检测信息</w:t>
      </w:r>
      <w:r>
        <w:rPr>
          <w:rFonts w:hint="eastAsia"/>
          <w:lang w:eastAsia="zh-CN"/>
        </w:rPr>
        <w:t>。</w:t>
      </w:r>
    </w:p>
    <w:p w14:paraId="5734F823">
      <w:pPr>
        <w:pStyle w:val="106"/>
        <w:spacing w:before="156" w:after="156"/>
      </w:pPr>
      <w:bookmarkStart w:id="85" w:name="_Toc4806"/>
      <w:r>
        <w:rPr>
          <w:rFonts w:hint="eastAsia"/>
          <w:lang w:val="en-US" w:eastAsia="zh-CN"/>
        </w:rPr>
        <w:t>追溯流程</w:t>
      </w:r>
      <w:bookmarkEnd w:id="85"/>
    </w:p>
    <w:p w14:paraId="19218103">
      <w:pPr>
        <w:pStyle w:val="57"/>
        <w:rPr>
          <w:rFonts w:hint="eastAsia" w:eastAsia="宋体"/>
          <w:lang w:eastAsia="zh-CN"/>
        </w:rPr>
      </w:pPr>
      <w:r>
        <w:rPr>
          <w:rFonts w:hint="eastAsia"/>
        </w:rPr>
        <w:t>图 1展示了从牛只入场检疫到最终产品追溯的工作流程。任何环节如发生问题，应通过追溯系统回溯到源头。追溯体系的设计与实施应符合GB/Z 25008-2010《饲料和食品链的可追溯性体系设计与实施指南》的要求</w:t>
      </w:r>
      <w:r>
        <w:rPr>
          <w:rFonts w:hint="eastAsia"/>
          <w:lang w:eastAsia="zh-CN"/>
        </w:rPr>
        <w:t>。</w:t>
      </w:r>
    </w:p>
    <w:p w14:paraId="12D33AA9">
      <w:pPr>
        <w:pStyle w:val="57"/>
        <w:ind w:firstLine="420"/>
        <w:jc w:val="center"/>
      </w:pPr>
      <w:r>
        <w:rPr>
          <w:rFonts w:hint="eastAsia" w:eastAsia="宋体"/>
          <w:lang w:eastAsia="zh-CN"/>
        </w:rPr>
        <w:drawing>
          <wp:inline distT="0" distB="0" distL="114300" distR="114300">
            <wp:extent cx="5256530" cy="2867660"/>
            <wp:effectExtent l="0" t="0" r="1270" b="8890"/>
            <wp:docPr id="8" name="图片 8" descr="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流程图"/>
                    <pic:cNvPicPr>
                      <a:picLocks noChangeAspect="1"/>
                    </pic:cNvPicPr>
                  </pic:nvPicPr>
                  <pic:blipFill>
                    <a:blip r:embed="rId24"/>
                    <a:stretch>
                      <a:fillRect/>
                    </a:stretch>
                  </pic:blipFill>
                  <pic:spPr>
                    <a:xfrm>
                      <a:off x="0" y="0"/>
                      <a:ext cx="5256530" cy="2867660"/>
                    </a:xfrm>
                    <a:prstGeom prst="rect">
                      <a:avLst/>
                    </a:prstGeom>
                  </pic:spPr>
                </pic:pic>
              </a:graphicData>
            </a:graphic>
          </wp:inline>
        </w:drawing>
      </w:r>
    </w:p>
    <w:bookmarkEnd w:id="78"/>
    <w:bookmarkEnd w:id="79"/>
    <w:bookmarkEnd w:id="80"/>
    <w:p w14:paraId="2212FC60">
      <w:pPr>
        <w:pStyle w:val="115"/>
        <w:spacing w:before="156" w:after="156"/>
      </w:pPr>
      <w:r>
        <w:rPr>
          <w:rFonts w:hint="eastAsia"/>
          <w:lang w:val="en-US" w:eastAsia="zh-CN"/>
        </w:rPr>
        <w:t>追溯流程</w:t>
      </w:r>
    </w:p>
    <w:p w14:paraId="5D60CC99">
      <w:pPr>
        <w:pStyle w:val="105"/>
        <w:spacing w:before="312" w:after="312"/>
      </w:pPr>
      <w:bookmarkStart w:id="86" w:name="_Toc15875"/>
      <w:r>
        <w:rPr>
          <w:rFonts w:hint="eastAsia"/>
          <w:lang w:val="en-US" w:eastAsia="zh-CN"/>
        </w:rPr>
        <w:t>废弃物和污染物处理</w:t>
      </w:r>
      <w:bookmarkEnd w:id="86"/>
    </w:p>
    <w:p w14:paraId="02352F2B">
      <w:pPr>
        <w:pStyle w:val="57"/>
        <w:rPr>
          <w:rFonts w:hint="eastAsia"/>
          <w:lang w:eastAsia="zh-CN"/>
        </w:rPr>
      </w:pPr>
      <w:r>
        <w:rPr>
          <w:rFonts w:hint="eastAsia"/>
        </w:rPr>
        <w:t>屠宰过程中产生的废弃物和污染物必须按照环保和动物防疫要求安全处理</w:t>
      </w:r>
      <w:r>
        <w:rPr>
          <w:rFonts w:hint="eastAsia"/>
          <w:lang w:eastAsia="zh-CN"/>
        </w:rPr>
        <w:t>：</w:t>
      </w:r>
    </w:p>
    <w:p w14:paraId="1E9F7EAF">
      <w:pPr>
        <w:pStyle w:val="106"/>
        <w:spacing w:before="156" w:after="156"/>
      </w:pPr>
      <w:bookmarkStart w:id="87" w:name="_Toc3521"/>
      <w:r>
        <w:rPr>
          <w:rFonts w:hint="eastAsia"/>
          <w:lang w:val="en-US" w:eastAsia="zh-CN"/>
        </w:rPr>
        <w:t>固体废弃物</w:t>
      </w:r>
      <w:bookmarkEnd w:id="87"/>
    </w:p>
    <w:p w14:paraId="619C028B">
      <w:pPr>
        <w:pStyle w:val="57"/>
        <w:rPr>
          <w:rFonts w:hint="eastAsia"/>
        </w:rPr>
      </w:pPr>
      <w:r>
        <w:rPr>
          <w:rFonts w:hint="eastAsia"/>
        </w:rPr>
        <w:t>包括头、内脏（病理内脏需单独收集）、蹄、骨渣、血渣等。病理部位和红花牛所有去除内脏应暂置在封闭容器中，由有资质单位进行无害化处理（高温灭菌、焚烧或深埋），防止病原传播。其他可回收部位（如骨头、皮、蹄）可送往下游加工厂或经正规渠道再利用。</w:t>
      </w:r>
    </w:p>
    <w:p w14:paraId="2B92A766">
      <w:pPr>
        <w:pStyle w:val="106"/>
        <w:spacing w:before="156" w:after="156"/>
      </w:pPr>
      <w:bookmarkStart w:id="88" w:name="_Toc25943"/>
      <w:r>
        <w:rPr>
          <w:rFonts w:hint="eastAsia"/>
          <w:lang w:val="en-US" w:eastAsia="zh-CN"/>
        </w:rPr>
        <w:t>污水废水</w:t>
      </w:r>
      <w:bookmarkEnd w:id="88"/>
    </w:p>
    <w:p w14:paraId="561BF3FA">
      <w:pPr>
        <w:pStyle w:val="57"/>
      </w:pPr>
      <w:r>
        <w:rPr>
          <w:rFonts w:hint="eastAsia"/>
        </w:rPr>
        <w:t>屠宰过程产生的血水废水需要经隔油、沉淀、生化等处理后再排放。屠宰废水排放应符合《屠宰及肉类加工工业水污染物排放标准》（GB 13457-2025）。现场应配备污水处理设施（隔油池、沉砂池、好氧池等），废水排放口应设置在线监测装置。所有排水口需定期清理与消毒，防止污染环境</w:t>
      </w:r>
      <w:r>
        <w:rPr>
          <w:rFonts w:hint="eastAsia"/>
          <w:lang w:eastAsia="zh-CN"/>
        </w:rPr>
        <w:t>。</w:t>
      </w:r>
    </w:p>
    <w:p w14:paraId="41A59D01">
      <w:pPr>
        <w:pStyle w:val="106"/>
        <w:spacing w:before="156" w:after="156"/>
      </w:pPr>
      <w:bookmarkStart w:id="89" w:name="_Toc6291"/>
      <w:r>
        <w:t>废气异味</w:t>
      </w:r>
      <w:bookmarkEnd w:id="89"/>
    </w:p>
    <w:p w14:paraId="374977CA">
      <w:pPr>
        <w:pStyle w:val="57"/>
        <w:rPr>
          <w:rFonts w:hint="eastAsia" w:eastAsia="宋体"/>
          <w:lang w:eastAsia="zh-CN"/>
        </w:rPr>
      </w:pPr>
      <w:r>
        <w:rPr>
          <w:rFonts w:hint="eastAsia"/>
        </w:rPr>
        <w:t>操作场所应安装排风和换气设施，及时排除氨气和异味，确保工作环境空气清新。原则上不产生有害废气，如需控制异味可采用生物滤池或活性炭吸附等技术进行治理。</w:t>
      </w:r>
    </w:p>
    <w:p w14:paraId="236B633D">
      <w:pPr>
        <w:pStyle w:val="106"/>
        <w:spacing w:before="156" w:after="156"/>
      </w:pPr>
      <w:bookmarkStart w:id="90" w:name="_Toc26006"/>
      <w:r>
        <w:t>病害媒介防控</w:t>
      </w:r>
      <w:bookmarkEnd w:id="90"/>
    </w:p>
    <w:p w14:paraId="571558CD">
      <w:pPr>
        <w:pStyle w:val="57"/>
        <w:rPr>
          <w:rFonts w:hint="eastAsia"/>
          <w:lang w:eastAsia="zh-CN"/>
        </w:rPr>
      </w:pPr>
      <w:r>
        <w:rPr>
          <w:rFonts w:hint="eastAsia"/>
        </w:rPr>
        <w:t>屠宰场周边应严格控制苍蝇、老鼠等媒介生物的滋生，保持环境清洁。所有废弃物暂存区应有防渗漏、防动物侵入的防护设施，并进行定期清扫和消毒。</w:t>
      </w:r>
    </w:p>
    <w:p w14:paraId="19330CCC">
      <w:pPr>
        <w:pStyle w:val="231"/>
        <w:ind w:firstLine="3150" w:firstLineChars="1500"/>
        <w:rPr>
          <w:rFonts w:hint="default"/>
          <w:lang w:val="en-US" w:eastAsia="zh-CN"/>
        </w:rPr>
      </w:pPr>
      <w:r>
        <w:t>___________________________</w:t>
      </w:r>
    </w:p>
    <w:p w14:paraId="098274E0">
      <w:pPr>
        <w:pStyle w:val="115"/>
        <w:numPr>
          <w:ilvl w:val="0"/>
          <w:numId w:val="0"/>
        </w:numPr>
        <w:spacing w:before="156" w:after="156"/>
        <w:ind w:leftChars="0"/>
        <w:jc w:val="both"/>
      </w:pPr>
    </w:p>
    <w:bookmarkEnd w:id="25"/>
    <w:p w14:paraId="1A0EE9A2">
      <w:pPr>
        <w:pStyle w:val="199"/>
        <w:rPr>
          <w:vanish w:val="0"/>
        </w:rPr>
      </w:pPr>
      <w:bookmarkStart w:id="91" w:name="BookMark5"/>
    </w:p>
    <w:p w14:paraId="09B8E376">
      <w:pPr>
        <w:pStyle w:val="200"/>
        <w:rPr>
          <w:vanish w:val="0"/>
        </w:rPr>
      </w:pPr>
    </w:p>
    <w:p w14:paraId="79EFD37C">
      <w:pPr>
        <w:pStyle w:val="199"/>
        <w:rPr>
          <w:vanish w:val="0"/>
        </w:rPr>
      </w:pPr>
    </w:p>
    <w:bookmarkEnd w:id="91"/>
    <w:p w14:paraId="7F3C561E">
      <w:pPr>
        <w:pStyle w:val="200"/>
        <w:rPr>
          <w:vanish w:val="0"/>
        </w:rPr>
      </w:pPr>
    </w:p>
    <w:sectPr>
      <w:headerReference r:id="rId17" w:type="default"/>
      <w:footerReference r:id="rId19" w:type="default"/>
      <w:headerReference r:id="rId18" w:type="even"/>
      <w:footerReference r:id="rId20" w:type="even"/>
      <w:pgSz w:w="11906" w:h="16838"/>
      <w:pgMar w:top="1928" w:right="1134" w:bottom="1134" w:left="1134" w:header="1418" w:footer="1134" w:gutter="284"/>
      <w:cols w:space="425" w:num="1"/>
      <w:formProt w:val="0"/>
      <w:docGrid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E2CD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E0381">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2C539C">
    <w:pPr>
      <w:pStyle w:val="53"/>
    </w:pPr>
    <w:r>
      <w:fldChar w:fldCharType="begin"/>
    </w:r>
    <w:r>
      <w:instrText xml:space="preserve">PAGE   \* MERGEFORMAT</w:instrText>
    </w:r>
    <w:r>
      <w:fldChar w:fldCharType="separate"/>
    </w:r>
    <w:r>
      <w:rPr>
        <w:lang w:val="zh-CN"/>
      </w:rP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CD43E">
    <w:pPr>
      <w:pStyle w:val="52"/>
    </w:pPr>
    <w:r>
      <w:fldChar w:fldCharType="begin"/>
    </w:r>
    <w:r>
      <w:instrText xml:space="preserve"> PAGE   \* MERGEFORMAT \* MERGEFORMAT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3BF99B">
    <w:pPr>
      <w:pStyle w:val="53"/>
    </w:pPr>
    <w:r>
      <w:fldChar w:fldCharType="begin"/>
    </w:r>
    <w:r>
      <w:instrText xml:space="preserve">PAGE   \* MERGEFORMAT</w:instrText>
    </w:r>
    <w:r>
      <w:fldChar w:fldCharType="separate"/>
    </w:r>
    <w:r>
      <w:rPr>
        <w:lang w:val="zh-CN"/>
      </w:rP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F858C7">
    <w:pPr>
      <w:pStyle w:val="52"/>
    </w:pPr>
    <w:r>
      <w:fldChar w:fldCharType="begin"/>
    </w:r>
    <w:r>
      <w:instrText xml:space="preserve"> PAGE   \* MERGEFORMAT \* MERGEFORMAT </w:instrText>
    </w:r>
    <w:r>
      <w:fldChar w:fldCharType="separate"/>
    </w:r>
    <w:r>
      <w:t>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D6E24">
    <w:pPr>
      <w:pStyle w:val="53"/>
    </w:pPr>
    <w:r>
      <w:fldChar w:fldCharType="begin"/>
    </w:r>
    <w:r>
      <w:instrText xml:space="preserve">PAGE   \* MERGEFORMAT</w:instrText>
    </w:r>
    <w:r>
      <w:fldChar w:fldCharType="separate"/>
    </w:r>
    <w:r>
      <w:rPr>
        <w:lang w:val="zh-CN"/>
      </w:rPr>
      <w:t>7</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E3AD6">
    <w:pPr>
      <w:pStyle w:val="52"/>
    </w:pPr>
    <w:r>
      <w:fldChar w:fldCharType="begin"/>
    </w:r>
    <w:r>
      <w:instrText xml:space="preserve"> PAGE   \* MERGEFORMAT \* MERGEFORMAT </w:instrText>
    </w:r>
    <w:r>
      <w:fldChar w:fldCharType="separate"/>
    </w:r>
    <w: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19FAC0">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FC9621">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13EE1">
    <w:pPr>
      <w:pStyle w:val="62"/>
    </w:pPr>
    <w:r>
      <w:fldChar w:fldCharType="begin"/>
    </w:r>
    <w:r>
      <w:instrText xml:space="preserve"> STYLEREF  标准文件_文件编号  \* MERGEFORMAT </w:instrText>
    </w:r>
    <w:r>
      <w:fldChar w:fldCharType="separate"/>
    </w:r>
    <w:r>
      <w:t>T/XXX XXXX—2026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B79309">
    <w:pPr>
      <w:pStyle w:val="63"/>
    </w:pPr>
    <w:r>
      <w:fldChar w:fldCharType="begin"/>
    </w:r>
    <w:r>
      <w:instrText xml:space="preserve"> STYLEREF  标准文件_文件编号 \* MERGEFORMAT </w:instrText>
    </w:r>
    <w:r>
      <w:fldChar w:fldCharType="separate"/>
    </w:r>
    <w:r>
      <w:t>T/XXX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31EF07">
    <w:pPr>
      <w:pStyle w:val="62"/>
    </w:pPr>
    <w:r>
      <w:fldChar w:fldCharType="begin"/>
    </w:r>
    <w:r>
      <w:instrText xml:space="preserve"> STYLEREF  标准文件_文件编号  \* MERGEFORMAT </w:instrText>
    </w:r>
    <w:r>
      <w:fldChar w:fldCharType="separate"/>
    </w:r>
    <w:r>
      <w:t>T/XXX XXXX—2026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E7AB15">
    <w:pPr>
      <w:pStyle w:val="63"/>
    </w:pPr>
    <w:r>
      <w:fldChar w:fldCharType="begin"/>
    </w:r>
    <w:r>
      <w:instrText xml:space="preserve"> STYLEREF  标准文件_文件编号 \* MERGEFORMAT </w:instrText>
    </w:r>
    <w:r>
      <w:fldChar w:fldCharType="separate"/>
    </w:r>
    <w:r>
      <w:t>T/XXX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ECBFF">
    <w:pPr>
      <w:pStyle w:val="62"/>
    </w:pPr>
    <w:r>
      <w:fldChar w:fldCharType="begin"/>
    </w:r>
    <w:r>
      <w:instrText xml:space="preserve"> STYLEREF  标准文件_文件编号  \* MERGEFORMAT </w:instrText>
    </w:r>
    <w:r>
      <w:fldChar w:fldCharType="separate"/>
    </w:r>
    <w:r>
      <w:t>T/XXX XXXX—2026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F2869">
    <w:pPr>
      <w:pStyle w:val="63"/>
    </w:pPr>
    <w:r>
      <w:fldChar w:fldCharType="begin"/>
    </w:r>
    <w:r>
      <w:instrText xml:space="preserve"> STYLEREF  标准文件_文件编号 \* MERGEFORMAT </w:instrText>
    </w:r>
    <w:r>
      <w:fldChar w:fldCharType="separate"/>
    </w:r>
    <w:r>
      <w:t>T/XXX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forms" w:enforcement="1" w:cryptProviderType="rsaAES" w:cryptAlgorithmClass="hash" w:cryptAlgorithmType="typeAny" w:cryptAlgorithmSid="14" w:cryptSpinCount="100000" w:hash="tYd+Hzu0lcrUySVHnCiVw7M7Xw2bCetIR6wIVsX8snMrUSqmK7zwrYPebsubbH1D5QX+JDBZhHkIJGaHpvF93Q==" w:salt="hVQSHQd5761vtazOHVDzrA=="/>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040A"/>
    <w:rsid w:val="00000A94"/>
    <w:rsid w:val="00001972"/>
    <w:rsid w:val="00001D9A"/>
    <w:rsid w:val="00007B3A"/>
    <w:rsid w:val="000107E0"/>
    <w:rsid w:val="00011FDE"/>
    <w:rsid w:val="00012FFD"/>
    <w:rsid w:val="0001346A"/>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46C06"/>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5C"/>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24EE"/>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14D6"/>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3AB1"/>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0936"/>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32A"/>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2E1"/>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0574"/>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E7FCC"/>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73E88"/>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B778F"/>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4C93"/>
    <w:rsid w:val="00DE62E1"/>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2E91"/>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336157"/>
    <w:rsid w:val="029173E3"/>
    <w:rsid w:val="050A3DD7"/>
    <w:rsid w:val="0E847127"/>
    <w:rsid w:val="119B1757"/>
    <w:rsid w:val="16C3495F"/>
    <w:rsid w:val="1780176A"/>
    <w:rsid w:val="184111FE"/>
    <w:rsid w:val="1B6B3C88"/>
    <w:rsid w:val="1E8424A1"/>
    <w:rsid w:val="20B26C1F"/>
    <w:rsid w:val="21366A1D"/>
    <w:rsid w:val="22B90A7D"/>
    <w:rsid w:val="248A08C7"/>
    <w:rsid w:val="26E27FD6"/>
    <w:rsid w:val="276A7481"/>
    <w:rsid w:val="297F39EF"/>
    <w:rsid w:val="2C1339D0"/>
    <w:rsid w:val="2C6D5B2F"/>
    <w:rsid w:val="2D167207"/>
    <w:rsid w:val="2D8E1A98"/>
    <w:rsid w:val="371F4BBF"/>
    <w:rsid w:val="37235C54"/>
    <w:rsid w:val="38FB262F"/>
    <w:rsid w:val="3CE53770"/>
    <w:rsid w:val="407A681C"/>
    <w:rsid w:val="41581B97"/>
    <w:rsid w:val="4ACE3002"/>
    <w:rsid w:val="4B5217BF"/>
    <w:rsid w:val="4CEE6FA0"/>
    <w:rsid w:val="4F1A23F8"/>
    <w:rsid w:val="4F8F1A4C"/>
    <w:rsid w:val="52C308EE"/>
    <w:rsid w:val="52C66714"/>
    <w:rsid w:val="52CA08AE"/>
    <w:rsid w:val="53871CA8"/>
    <w:rsid w:val="553B6351"/>
    <w:rsid w:val="58FE0080"/>
    <w:rsid w:val="5A8A6D7A"/>
    <w:rsid w:val="5AAD294C"/>
    <w:rsid w:val="607D02F0"/>
    <w:rsid w:val="610D5878"/>
    <w:rsid w:val="6185584B"/>
    <w:rsid w:val="61D07906"/>
    <w:rsid w:val="66C34CB5"/>
    <w:rsid w:val="66F778DC"/>
    <w:rsid w:val="68C53F3C"/>
    <w:rsid w:val="69323F0E"/>
    <w:rsid w:val="6FD42CB7"/>
    <w:rsid w:val="73D63624"/>
    <w:rsid w:val="76CE5E5B"/>
    <w:rsid w:val="76DD2E55"/>
    <w:rsid w:val="771947C1"/>
    <w:rsid w:val="78CA51E0"/>
    <w:rsid w:val="798B6ADC"/>
    <w:rsid w:val="7DA82F1F"/>
    <w:rsid w:val="7F7549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Char"/>
    <w:link w:val="2"/>
    <w:qFormat/>
    <w:uiPriority w:val="0"/>
    <w:rPr>
      <w:b/>
      <w:bCs/>
      <w:kern w:val="44"/>
      <w:sz w:val="44"/>
      <w:szCs w:val="44"/>
    </w:rPr>
  </w:style>
  <w:style w:type="character" w:customStyle="1" w:styleId="36">
    <w:name w:val="标题 2 Char"/>
    <w:link w:val="3"/>
    <w:qFormat/>
    <w:uiPriority w:val="0"/>
    <w:rPr>
      <w:rFonts w:ascii="Arial" w:hAnsi="Arial" w:eastAsia="黑体"/>
      <w:b/>
      <w:bCs/>
      <w:kern w:val="2"/>
      <w:sz w:val="32"/>
      <w:szCs w:val="32"/>
    </w:rPr>
  </w:style>
  <w:style w:type="character" w:customStyle="1" w:styleId="37">
    <w:name w:val="标题 3 Char"/>
    <w:link w:val="4"/>
    <w:qFormat/>
    <w:uiPriority w:val="0"/>
    <w:rPr>
      <w:b/>
      <w:bCs/>
      <w:kern w:val="2"/>
      <w:sz w:val="32"/>
      <w:szCs w:val="32"/>
    </w:rPr>
  </w:style>
  <w:style w:type="character" w:customStyle="1" w:styleId="38">
    <w:name w:val="标题 4 Char"/>
    <w:link w:val="5"/>
    <w:qFormat/>
    <w:uiPriority w:val="0"/>
    <w:rPr>
      <w:rFonts w:ascii="Arial" w:hAnsi="Arial" w:eastAsia="黑体"/>
      <w:b/>
      <w:bCs/>
      <w:kern w:val="2"/>
      <w:sz w:val="28"/>
      <w:szCs w:val="28"/>
    </w:rPr>
  </w:style>
  <w:style w:type="character" w:customStyle="1" w:styleId="39">
    <w:name w:val="标题 5 Char"/>
    <w:link w:val="6"/>
    <w:qFormat/>
    <w:uiPriority w:val="0"/>
    <w:rPr>
      <w:b/>
      <w:bCs/>
      <w:kern w:val="2"/>
      <w:sz w:val="28"/>
      <w:szCs w:val="28"/>
    </w:rPr>
  </w:style>
  <w:style w:type="character" w:customStyle="1" w:styleId="40">
    <w:name w:val="标题 6 Char"/>
    <w:link w:val="7"/>
    <w:qFormat/>
    <w:uiPriority w:val="0"/>
    <w:rPr>
      <w:rFonts w:ascii="Arial" w:hAnsi="Arial" w:eastAsia="黑体"/>
      <w:b/>
      <w:bCs/>
      <w:kern w:val="2"/>
      <w:sz w:val="24"/>
      <w:szCs w:val="24"/>
    </w:rPr>
  </w:style>
  <w:style w:type="character" w:customStyle="1" w:styleId="41">
    <w:name w:val="标题 7 Char"/>
    <w:link w:val="8"/>
    <w:qFormat/>
    <w:uiPriority w:val="0"/>
    <w:rPr>
      <w:b/>
      <w:bCs/>
      <w:kern w:val="2"/>
      <w:sz w:val="24"/>
      <w:szCs w:val="24"/>
    </w:rPr>
  </w:style>
  <w:style w:type="character" w:customStyle="1" w:styleId="42">
    <w:name w:val="标题 8 Char"/>
    <w:link w:val="9"/>
    <w:qFormat/>
    <w:uiPriority w:val="0"/>
    <w:rPr>
      <w:rFonts w:ascii="Arial" w:hAnsi="Arial" w:eastAsia="黑体"/>
      <w:kern w:val="2"/>
      <w:sz w:val="24"/>
      <w:szCs w:val="24"/>
    </w:rPr>
  </w:style>
  <w:style w:type="character" w:customStyle="1" w:styleId="43">
    <w:name w:val="标题 9 Char"/>
    <w:link w:val="10"/>
    <w:qFormat/>
    <w:uiPriority w:val="0"/>
    <w:rPr>
      <w:rFonts w:ascii="Arial" w:hAnsi="Arial" w:eastAsia="黑体"/>
      <w:kern w:val="2"/>
      <w:sz w:val="21"/>
      <w:szCs w:val="21"/>
    </w:rPr>
  </w:style>
  <w:style w:type="character" w:customStyle="1" w:styleId="44">
    <w:name w:val="页眉 Char"/>
    <w:link w:val="18"/>
    <w:qFormat/>
    <w:uiPriority w:val="99"/>
    <w:rPr>
      <w:kern w:val="2"/>
      <w:sz w:val="18"/>
      <w:szCs w:val="18"/>
    </w:rPr>
  </w:style>
  <w:style w:type="character" w:customStyle="1" w:styleId="45">
    <w:name w:val="页脚 Char"/>
    <w:link w:val="17"/>
    <w:qFormat/>
    <w:uiPriority w:val="99"/>
    <w:rPr>
      <w:rFonts w:ascii="宋体"/>
      <w:kern w:val="2"/>
      <w:sz w:val="18"/>
      <w:szCs w:val="18"/>
    </w:rPr>
  </w:style>
  <w:style w:type="character" w:customStyle="1" w:styleId="46">
    <w:name w:val="批注框文本 Char"/>
    <w:link w:val="16"/>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Char"/>
    <w:link w:val="47"/>
    <w:qFormat/>
    <w:uiPriority w:val="29"/>
    <w:rPr>
      <w:i/>
      <w:iCs/>
      <w:color w:val="000000"/>
      <w:kern w:val="2"/>
      <w:sz w:val="21"/>
      <w:szCs w:val="21"/>
    </w:rPr>
  </w:style>
  <w:style w:type="character" w:customStyle="1" w:styleId="49">
    <w:name w:val="标题 Char"/>
    <w:link w:val="26"/>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Char"/>
    <w:link w:val="13"/>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Char"/>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rPr>
      <w:rFonts w:ascii="Times New Roman"/>
    </w:rPr>
  </w:style>
  <w:style w:type="paragraph" w:customStyle="1" w:styleId="190">
    <w:name w:val="标准文件_一级项2"/>
    <w:basedOn w:val="57"/>
    <w:qFormat/>
    <w:uiPriority w:val="0"/>
    <w:pPr>
      <w:numPr>
        <w:ilvl w:val="0"/>
        <w:numId w:val="31"/>
      </w:numPr>
      <w:spacing w:line="300" w:lineRule="exact"/>
      <w:ind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paragraph" w:customStyle="1" w:styleId="231">
    <w:name w:val="段"/>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0" Type="http://schemas.openxmlformats.org/officeDocument/2006/relationships/glossaryDocument" Target="glossary/document.xml"/><Relationship Id="rId3" Type="http://schemas.openxmlformats.org/officeDocument/2006/relationships/footnotes" Target="footnotes.xml"/><Relationship Id="rId29" Type="http://schemas.openxmlformats.org/officeDocument/2006/relationships/fontTable" Target="fontTable.xml"/><Relationship Id="rId28" Type="http://schemas.microsoft.com/office/2006/relationships/keyMapCustomizations" Target="customizations.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0BAD1D096DA435C958A3CC3CE42E1DA"/>
        <w:style w:val=""/>
        <w:category>
          <w:name w:val="常规"/>
          <w:gallery w:val="placeholder"/>
        </w:category>
        <w:types>
          <w:type w:val="bbPlcHdr"/>
        </w:types>
        <w:behaviors>
          <w:behavior w:val="content"/>
        </w:behaviors>
        <w:description w:val=""/>
        <w:guid w:val="{61934528-37A1-49F9-BF08-2AAB414F29F7}"/>
      </w:docPartPr>
      <w:docPartBody>
        <w:p w14:paraId="1B3033B1">
          <w:pPr>
            <w:pStyle w:val="5"/>
          </w:pPr>
          <w:r>
            <w:rPr>
              <w:rStyle w:val="4"/>
              <w:rFonts w:hint="eastAsia"/>
            </w:rPr>
            <w:t>单击或点击此处输入文字。</w:t>
          </w:r>
        </w:p>
      </w:docPartBody>
    </w:docPart>
    <w:docPart>
      <w:docPartPr>
        <w:name w:val="5FE49046297C4A68A6C5EFDE3F027740"/>
        <w:style w:val=""/>
        <w:category>
          <w:name w:val="常规"/>
          <w:gallery w:val="placeholder"/>
        </w:category>
        <w:types>
          <w:type w:val="bbPlcHdr"/>
        </w:types>
        <w:behaviors>
          <w:behavior w:val="content"/>
        </w:behaviors>
        <w:description w:val=""/>
        <w:guid w:val="{653A4C1D-7889-4750-B832-B9993DB68657}"/>
      </w:docPartPr>
      <w:docPartBody>
        <w:p w14:paraId="41CEC9A7">
          <w:pPr>
            <w:pStyle w:val="6"/>
          </w:pPr>
          <w:r>
            <w:rPr>
              <w:rStyle w:val="4"/>
              <w:rFonts w:hint="eastAsia"/>
            </w:rPr>
            <w:t>选择一项。</w:t>
          </w:r>
        </w:p>
      </w:docPartBody>
    </w:docPart>
    <w:docPart>
      <w:docPartPr>
        <w:name w:val="82FAD4B12AFB42FD997383B282BB9FD2"/>
        <w:style w:val=""/>
        <w:category>
          <w:name w:val="常规"/>
          <w:gallery w:val="placeholder"/>
        </w:category>
        <w:types>
          <w:type w:val="bbPlcHdr"/>
        </w:types>
        <w:behaviors>
          <w:behavior w:val="content"/>
        </w:behaviors>
        <w:description w:val=""/>
        <w:guid w:val="{23D05D0A-0F65-4FE0-9D29-D2C0C0556922}"/>
      </w:docPartPr>
      <w:docPartBody>
        <w:p w14:paraId="51069DAA">
          <w:pPr>
            <w:pStyle w:val="7"/>
          </w:pPr>
          <w:r>
            <w:rPr>
              <w:rStyle w:val="4"/>
              <w:rFonts w:hint="eastAsia"/>
            </w:rPr>
            <w:t>选择一项。</w:t>
          </w:r>
        </w:p>
      </w:docPartBody>
    </w:docPart>
    <w:docPart>
      <w:docPartPr>
        <w:name w:val="{832b5233-afe4-42d4-b31e-13c0f9545e0a}"/>
        <w:style w:val=""/>
        <w:category>
          <w:name w:val="常规"/>
          <w:gallery w:val="placeholder"/>
        </w:category>
        <w:types>
          <w:type w:val="bbPlcHdr"/>
        </w:types>
        <w:behaviors>
          <w:behavior w:val="content"/>
        </w:behaviors>
        <w:description w:val=""/>
        <w:guid w:val="{832b5233-afe4-42d4-b31e-13c0f9545e0a}"/>
      </w:docPartPr>
      <w:docPartBody>
        <w:p w14:paraId="3A73CF04">
          <w:pPr>
            <w:pStyle w:val="9"/>
          </w:pPr>
          <w:r>
            <w:rPr>
              <w:rStyle w:val="4"/>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BD0"/>
    <w:rsid w:val="00125FC3"/>
    <w:rsid w:val="003A5430"/>
    <w:rsid w:val="004E2C37"/>
    <w:rsid w:val="00541666"/>
    <w:rsid w:val="00607BD0"/>
    <w:rsid w:val="00880EF2"/>
    <w:rsid w:val="00C1100C"/>
    <w:rsid w:val="00DD45EC"/>
    <w:rsid w:val="00E774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40BAD1D096DA435C958A3CC3CE42E1D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5FE49046297C4A68A6C5EFDE3F0277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82FAD4B12AFB42FD997383B282BB9FD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
    <w:name w:val="A58C968105124919A5150DA17DA1C7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
    <w:name w:val="822E03F088D50C48B3874DE6B92B8FBF"/>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CC910D8-A8A1-4244-AD1D-E793F490EFD1}">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10</Pages>
  <Words>4067</Words>
  <Characters>4513</Characters>
  <Lines>27</Lines>
  <Paragraphs>7</Paragraphs>
  <TotalTime>1</TotalTime>
  <ScaleCrop>false</ScaleCrop>
  <LinksUpToDate>false</LinksUpToDate>
  <CharactersWithSpaces>4658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2023-10-31T07:57:00Z</dcterms:created>
  <dc:creator>起草人</dc:creator>
  <dc:description>&lt;config cover="true" show_menu="true" version="1.0.0" doctype="SDKXY"&gt;_x000d_
&lt;/config&gt;</dc:description>
  <cp:lastModifiedBy>梁春年</cp:lastModifiedBy>
  <cp:lastPrinted>2021-02-02T08:22:00Z</cp:lastPrinted>
  <dcterms:modified xsi:type="dcterms:W3CDTF">2026-05-11T00:41:47Z</dcterms:modified>
  <dc:title>团体标准</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ProductBuildVer">
    <vt:lpwstr>2052-12.1.0.25865</vt:lpwstr>
  </property>
  <property fmtid="{D5CDD505-2E9C-101B-9397-08002B2CF9AE}" pid="16" name="ICV">
    <vt:lpwstr>64E5F36D09324232A409CA2C4EAA63F2_13</vt:lpwstr>
  </property>
  <property fmtid="{D5CDD505-2E9C-101B-9397-08002B2CF9AE}" pid="17" name="KSOTemplateDocerSaveRecord">
    <vt:lpwstr>eyJoZGlkIjoiNzFjZmJhYmY3MDU1NTQwN2I1ZjdiNDg1Mjc0OGE5YTUiLCJ1c2VySWQiOiIzNDQyNDQ2NzUifQ==</vt:lpwstr>
  </property>
</Properties>
</file>