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1AF54">
      <w:pPr>
        <w:spacing w:line="1000" w:lineRule="exact"/>
        <w:jc w:val="both"/>
        <w:rPr>
          <w:rFonts w:hint="eastAsia" w:ascii="Times New Roman" w:hAnsi="Times New Roman" w:eastAsia="宋体" w:cs="Times New Roman"/>
          <w:b/>
          <w:sz w:val="24"/>
          <w:szCs w:val="24"/>
          <w:lang w:eastAsia="zh-CN"/>
        </w:rPr>
      </w:pPr>
    </w:p>
    <w:p w14:paraId="2DEB7051">
      <w:pPr>
        <w:spacing w:line="1000" w:lineRule="exact"/>
        <w:jc w:val="center"/>
        <w:rPr>
          <w:rFonts w:hint="default" w:ascii="Times New Roman" w:hAnsi="Times New Roman" w:eastAsia="宋体" w:cs="Times New Roman"/>
          <w:b/>
          <w:sz w:val="24"/>
          <w:szCs w:val="24"/>
        </w:rPr>
      </w:pPr>
    </w:p>
    <w:p w14:paraId="084B724B">
      <w:pPr>
        <w:spacing w:line="1000" w:lineRule="exact"/>
        <w:jc w:val="center"/>
        <w:rPr>
          <w:rFonts w:hint="default" w:ascii="Times New Roman" w:hAnsi="Times New Roman" w:eastAsia="宋体" w:cs="Times New Roman"/>
          <w:b/>
          <w:sz w:val="44"/>
          <w:szCs w:val="44"/>
        </w:rPr>
      </w:pPr>
      <w:r>
        <w:rPr>
          <w:rFonts w:hint="default" w:ascii="Times New Roman" w:hAnsi="Times New Roman" w:eastAsia="宋体" w:cs="Times New Roman"/>
          <w:b/>
          <w:sz w:val="44"/>
          <w:szCs w:val="44"/>
        </w:rPr>
        <w:t>团体标准</w:t>
      </w:r>
    </w:p>
    <w:p w14:paraId="69B8897F">
      <w:pPr>
        <w:spacing w:line="1000" w:lineRule="exact"/>
        <w:jc w:val="center"/>
        <w:rPr>
          <w:rFonts w:hint="default" w:ascii="Times New Roman" w:hAnsi="Times New Roman" w:eastAsia="宋体" w:cs="Times New Roman"/>
          <w:b/>
          <w:sz w:val="44"/>
          <w:szCs w:val="44"/>
        </w:rPr>
      </w:pPr>
      <w:r>
        <w:rPr>
          <w:rFonts w:hint="default" w:ascii="Times New Roman" w:hAnsi="Times New Roman" w:eastAsia="宋体" w:cs="Times New Roman"/>
          <w:b/>
          <w:sz w:val="44"/>
          <w:szCs w:val="44"/>
        </w:rPr>
        <w:t>《张家川红花牛繁殖技术规程》</w:t>
      </w:r>
    </w:p>
    <w:p w14:paraId="5E46DE4D">
      <w:pPr>
        <w:spacing w:line="1000" w:lineRule="exact"/>
        <w:jc w:val="center"/>
        <w:rPr>
          <w:rFonts w:hint="default" w:ascii="Times New Roman" w:hAnsi="Times New Roman" w:eastAsia="宋体" w:cs="Times New Roman"/>
          <w:b/>
          <w:sz w:val="44"/>
          <w:szCs w:val="44"/>
        </w:rPr>
      </w:pPr>
      <w:r>
        <w:rPr>
          <w:rFonts w:hint="default" w:ascii="Times New Roman" w:hAnsi="Times New Roman" w:eastAsia="宋体" w:cs="Times New Roman"/>
          <w:b/>
          <w:sz w:val="44"/>
          <w:szCs w:val="44"/>
        </w:rPr>
        <w:t>编制说明</w:t>
      </w:r>
    </w:p>
    <w:p w14:paraId="06B59A0B">
      <w:pPr>
        <w:spacing w:line="1000" w:lineRule="exact"/>
        <w:jc w:val="center"/>
        <w:rPr>
          <w:rFonts w:hint="eastAsia" w:ascii="Times New Roman" w:hAnsi="Times New Roman" w:eastAsia="宋体" w:cs="Times New Roman"/>
          <w:b/>
          <w:sz w:val="32"/>
          <w:szCs w:val="32"/>
          <w:lang w:eastAsia="zh-CN"/>
        </w:rPr>
      </w:pPr>
      <w:r>
        <w:rPr>
          <w:rFonts w:hint="eastAsia" w:ascii="Times New Roman" w:hAnsi="Times New Roman" w:eastAsia="宋体" w:cs="Times New Roman"/>
          <w:b/>
          <w:sz w:val="32"/>
          <w:szCs w:val="32"/>
          <w:lang w:eastAsia="zh-CN"/>
        </w:rPr>
        <w:t>（</w:t>
      </w:r>
      <w:r>
        <w:rPr>
          <w:rFonts w:hint="eastAsia" w:ascii="Times New Roman" w:hAnsi="Times New Roman" w:eastAsia="宋体" w:cs="Times New Roman"/>
          <w:b/>
          <w:sz w:val="32"/>
          <w:szCs w:val="32"/>
          <w:lang w:val="en-US" w:eastAsia="zh-CN"/>
        </w:rPr>
        <w:t>征求意见稿</w:t>
      </w:r>
      <w:r>
        <w:rPr>
          <w:rFonts w:hint="eastAsia" w:ascii="Times New Roman" w:hAnsi="Times New Roman" w:eastAsia="宋体" w:cs="Times New Roman"/>
          <w:b/>
          <w:sz w:val="32"/>
          <w:szCs w:val="32"/>
          <w:lang w:eastAsia="zh-CN"/>
        </w:rPr>
        <w:t>）</w:t>
      </w:r>
    </w:p>
    <w:p w14:paraId="3DC1A036">
      <w:pPr>
        <w:jc w:val="center"/>
        <w:rPr>
          <w:rFonts w:hint="default" w:ascii="Times New Roman" w:hAnsi="Times New Roman" w:eastAsia="宋体" w:cs="Times New Roman"/>
          <w:b/>
          <w:sz w:val="56"/>
          <w:szCs w:val="56"/>
        </w:rPr>
      </w:pPr>
    </w:p>
    <w:p w14:paraId="7DE9C5FE">
      <w:pPr>
        <w:jc w:val="center"/>
        <w:rPr>
          <w:rFonts w:hint="default" w:ascii="Times New Roman" w:hAnsi="Times New Roman" w:eastAsia="宋体" w:cs="Times New Roman"/>
          <w:b/>
          <w:sz w:val="24"/>
          <w:szCs w:val="24"/>
        </w:rPr>
      </w:pPr>
    </w:p>
    <w:p w14:paraId="53D41886">
      <w:pPr>
        <w:jc w:val="center"/>
        <w:rPr>
          <w:rFonts w:hint="default" w:ascii="Times New Roman" w:hAnsi="Times New Roman" w:eastAsia="宋体" w:cs="Times New Roman"/>
          <w:b/>
          <w:sz w:val="24"/>
          <w:szCs w:val="24"/>
        </w:rPr>
      </w:pPr>
    </w:p>
    <w:p w14:paraId="653D305A">
      <w:pPr>
        <w:jc w:val="center"/>
        <w:rPr>
          <w:rFonts w:hint="default" w:ascii="Times New Roman" w:hAnsi="Times New Roman" w:eastAsia="宋体" w:cs="Times New Roman"/>
          <w:b/>
          <w:sz w:val="24"/>
          <w:szCs w:val="24"/>
        </w:rPr>
      </w:pPr>
    </w:p>
    <w:p w14:paraId="1B0452C7">
      <w:pPr>
        <w:jc w:val="both"/>
        <w:rPr>
          <w:rFonts w:hint="default" w:ascii="Times New Roman" w:hAnsi="Times New Roman" w:eastAsia="宋体" w:cs="Times New Roman"/>
          <w:b/>
          <w:sz w:val="24"/>
          <w:szCs w:val="24"/>
        </w:rPr>
      </w:pPr>
    </w:p>
    <w:p w14:paraId="5102E194">
      <w:pPr>
        <w:jc w:val="center"/>
        <w:rPr>
          <w:rFonts w:hint="default" w:ascii="Times New Roman" w:hAnsi="Times New Roman" w:eastAsia="宋体" w:cs="Times New Roman"/>
          <w:b/>
          <w:sz w:val="24"/>
          <w:szCs w:val="24"/>
        </w:rPr>
      </w:pPr>
    </w:p>
    <w:p w14:paraId="56504CE5">
      <w:pPr>
        <w:jc w:val="center"/>
        <w:rPr>
          <w:rFonts w:hint="default" w:ascii="Times New Roman" w:hAnsi="Times New Roman" w:eastAsia="宋体" w:cs="Times New Roman"/>
          <w:b/>
          <w:sz w:val="24"/>
          <w:szCs w:val="24"/>
        </w:rPr>
      </w:pPr>
    </w:p>
    <w:p w14:paraId="35A28397">
      <w:pPr>
        <w:jc w:val="center"/>
        <w:rPr>
          <w:rFonts w:hint="default" w:ascii="Times New Roman" w:hAnsi="Times New Roman" w:eastAsia="宋体" w:cs="Times New Roman"/>
          <w:b/>
          <w:sz w:val="24"/>
          <w:szCs w:val="24"/>
        </w:rPr>
      </w:pPr>
    </w:p>
    <w:p w14:paraId="0A8EFE37">
      <w:pPr>
        <w:jc w:val="center"/>
        <w:rPr>
          <w:rFonts w:hint="default" w:ascii="Times New Roman" w:hAnsi="Times New Roman" w:eastAsia="宋体" w:cs="Times New Roman"/>
          <w:b/>
          <w:sz w:val="24"/>
          <w:szCs w:val="24"/>
        </w:rPr>
      </w:pPr>
    </w:p>
    <w:p w14:paraId="1B12D122">
      <w:pPr>
        <w:jc w:val="center"/>
        <w:rPr>
          <w:rFonts w:hint="default" w:ascii="Times New Roman" w:hAnsi="Times New Roman" w:eastAsia="宋体" w:cs="Times New Roman"/>
          <w:b/>
          <w:sz w:val="24"/>
          <w:szCs w:val="24"/>
        </w:rPr>
      </w:pPr>
    </w:p>
    <w:p w14:paraId="5A9F2650">
      <w:pPr>
        <w:jc w:val="center"/>
        <w:rPr>
          <w:rFonts w:hint="default" w:ascii="Times New Roman" w:hAnsi="Times New Roman" w:eastAsia="宋体" w:cs="Times New Roman"/>
          <w:b/>
          <w:sz w:val="24"/>
          <w:szCs w:val="24"/>
        </w:rPr>
      </w:pPr>
    </w:p>
    <w:p w14:paraId="7E5A2C77">
      <w:pPr>
        <w:jc w:val="center"/>
        <w:rPr>
          <w:rFonts w:hint="default" w:ascii="Times New Roman" w:hAnsi="Times New Roman" w:eastAsia="宋体" w:cs="Times New Roman"/>
          <w:b/>
          <w:sz w:val="24"/>
          <w:szCs w:val="24"/>
        </w:rPr>
      </w:pPr>
    </w:p>
    <w:p w14:paraId="70745FED">
      <w:pPr>
        <w:rPr>
          <w:rFonts w:hint="default" w:ascii="Times New Roman" w:hAnsi="Times New Roman" w:eastAsia="宋体" w:cs="Times New Roman"/>
          <w:b/>
          <w:sz w:val="24"/>
          <w:szCs w:val="24"/>
        </w:rPr>
      </w:pPr>
    </w:p>
    <w:p w14:paraId="5A81B1C8">
      <w:pPr>
        <w:spacing w:line="1000" w:lineRule="exact"/>
        <w:jc w:val="center"/>
        <w:rPr>
          <w:rFonts w:hint="default" w:ascii="Times New Roman" w:hAnsi="Times New Roman" w:eastAsia="宋体" w:cs="Times New Roman"/>
          <w:b/>
          <w:sz w:val="28"/>
          <w:szCs w:val="28"/>
        </w:rPr>
      </w:pPr>
      <w:r>
        <w:rPr>
          <w:rFonts w:hint="default" w:ascii="Times New Roman" w:hAnsi="Times New Roman" w:eastAsia="宋体" w:cs="Times New Roman"/>
          <w:b/>
          <w:sz w:val="28"/>
          <w:szCs w:val="28"/>
        </w:rPr>
        <w:t>中国农业科学院兰州畜牧与兽药研究所</w:t>
      </w:r>
    </w:p>
    <w:p w14:paraId="72C04DEC">
      <w:pPr>
        <w:spacing w:line="1000" w:lineRule="exact"/>
        <w:jc w:val="center"/>
        <w:rPr>
          <w:rFonts w:hint="default" w:ascii="Times New Roman" w:hAnsi="Times New Roman" w:eastAsia="宋体" w:cs="Times New Roman"/>
          <w:b/>
          <w:sz w:val="28"/>
          <w:szCs w:val="28"/>
        </w:rPr>
      </w:pPr>
      <w:r>
        <w:rPr>
          <w:rFonts w:hint="default" w:ascii="Times New Roman" w:hAnsi="Times New Roman" w:eastAsia="宋体" w:cs="Times New Roman"/>
          <w:b/>
          <w:sz w:val="28"/>
          <w:szCs w:val="28"/>
        </w:rPr>
        <w:t>202</w:t>
      </w:r>
      <w:r>
        <w:rPr>
          <w:rFonts w:hint="default" w:ascii="Times New Roman" w:hAnsi="Times New Roman" w:eastAsia="宋体" w:cs="Times New Roman"/>
          <w:b/>
          <w:sz w:val="28"/>
          <w:szCs w:val="28"/>
          <w:lang w:val="en-US" w:eastAsia="zh-CN"/>
        </w:rPr>
        <w:t>6</w:t>
      </w:r>
      <w:r>
        <w:rPr>
          <w:rFonts w:hint="default" w:ascii="Times New Roman" w:hAnsi="Times New Roman" w:eastAsia="宋体" w:cs="Times New Roman"/>
          <w:b/>
          <w:sz w:val="28"/>
          <w:szCs w:val="28"/>
        </w:rPr>
        <w:t>年</w:t>
      </w:r>
      <w:r>
        <w:rPr>
          <w:rFonts w:hint="eastAsia" w:ascii="Times New Roman" w:hAnsi="Times New Roman" w:eastAsia="宋体" w:cs="Times New Roman"/>
          <w:b/>
          <w:sz w:val="28"/>
          <w:szCs w:val="28"/>
          <w:lang w:val="en-US" w:eastAsia="zh-CN"/>
        </w:rPr>
        <w:t>5</w:t>
      </w:r>
      <w:r>
        <w:rPr>
          <w:rFonts w:hint="default" w:ascii="Times New Roman" w:hAnsi="Times New Roman" w:eastAsia="宋体" w:cs="Times New Roman"/>
          <w:b/>
          <w:sz w:val="28"/>
          <w:szCs w:val="28"/>
        </w:rPr>
        <w:t>月</w:t>
      </w:r>
    </w:p>
    <w:p w14:paraId="40862D04">
      <w:pPr>
        <w:adjustRightInd w:val="0"/>
        <w:snapToGrid w:val="0"/>
        <w:spacing w:line="360" w:lineRule="auto"/>
        <w:rPr>
          <w:rFonts w:hint="default" w:ascii="Times New Roman" w:hAnsi="Times New Roman" w:eastAsia="宋体" w:cs="Times New Roman"/>
          <w:b/>
          <w:sz w:val="24"/>
          <w:szCs w:val="24"/>
        </w:rPr>
      </w:pPr>
    </w:p>
    <w:p w14:paraId="6C998F6F">
      <w:pPr>
        <w:adjustRightInd w:val="0"/>
        <w:snapToGrid w:val="0"/>
        <w:spacing w:line="360" w:lineRule="auto"/>
        <w:rPr>
          <w:rFonts w:hint="default" w:ascii="Times New Roman" w:hAnsi="Times New Roman" w:eastAsia="宋体" w:cs="Times New Roman"/>
          <w:b/>
          <w:sz w:val="24"/>
          <w:szCs w:val="24"/>
        </w:rPr>
      </w:pPr>
    </w:p>
    <w:p w14:paraId="53D3E551">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一、 工作简况</w:t>
      </w:r>
    </w:p>
    <w:p w14:paraId="54619E54">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textAlignment w:val="auto"/>
        <w:outlineLvl w:val="1"/>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1. 任务来源</w:t>
      </w:r>
    </w:p>
    <w:p w14:paraId="694EA7EB">
      <w:pPr>
        <w:pStyle w:val="12"/>
        <w:adjustRightInd w:val="0"/>
        <w:snapToGrid w:val="0"/>
        <w:spacing w:line="360" w:lineRule="auto"/>
        <w:ind w:firstLine="480"/>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202</w:t>
      </w:r>
      <w:r>
        <w:rPr>
          <w:rFonts w:hint="eastAsia" w:ascii="仿宋_GB2312" w:hAnsi="仿宋_GB2312" w:eastAsia="仿宋_GB2312" w:cs="仿宋_GB2312"/>
          <w:kern w:val="2"/>
          <w:sz w:val="24"/>
          <w:szCs w:val="24"/>
          <w:lang w:val="en-US" w:eastAsia="zh-CN"/>
        </w:rPr>
        <w:t>5</w:t>
      </w:r>
      <w:r>
        <w:rPr>
          <w:rFonts w:hint="eastAsia" w:ascii="仿宋_GB2312" w:hAnsi="仿宋_GB2312" w:eastAsia="仿宋_GB2312" w:cs="仿宋_GB2312"/>
          <w:kern w:val="2"/>
          <w:sz w:val="24"/>
          <w:szCs w:val="24"/>
        </w:rPr>
        <w:t>年</w:t>
      </w:r>
      <w:r>
        <w:rPr>
          <w:rFonts w:hint="eastAsia" w:ascii="仿宋_GB2312" w:hAnsi="仿宋_GB2312" w:eastAsia="仿宋_GB2312" w:cs="仿宋_GB2312"/>
          <w:kern w:val="2"/>
          <w:sz w:val="24"/>
          <w:szCs w:val="24"/>
          <w:lang w:val="en-US" w:eastAsia="zh-CN"/>
        </w:rPr>
        <w:t>12</w:t>
      </w:r>
      <w:r>
        <w:rPr>
          <w:rFonts w:hint="eastAsia" w:ascii="仿宋_GB2312" w:hAnsi="仿宋_GB2312" w:eastAsia="仿宋_GB2312" w:cs="仿宋_GB2312"/>
          <w:kern w:val="2"/>
          <w:sz w:val="24"/>
          <w:szCs w:val="24"/>
        </w:rPr>
        <w:t>月，中国农业科学院兰州畜牧与兽药研究所上报制定团体标准《张家川红花牛繁殖技术规程》标准建议书和标准草案，202</w:t>
      </w:r>
      <w:r>
        <w:rPr>
          <w:rFonts w:hint="eastAsia" w:ascii="仿宋_GB2312" w:hAnsi="仿宋_GB2312" w:eastAsia="仿宋_GB2312" w:cs="仿宋_GB2312"/>
          <w:kern w:val="2"/>
          <w:sz w:val="24"/>
          <w:szCs w:val="24"/>
          <w:lang w:val="en-US" w:eastAsia="zh-CN"/>
        </w:rPr>
        <w:t>6</w:t>
      </w:r>
      <w:r>
        <w:rPr>
          <w:rFonts w:hint="eastAsia" w:ascii="仿宋_GB2312" w:hAnsi="仿宋_GB2312" w:eastAsia="仿宋_GB2312" w:cs="仿宋_GB2312"/>
          <w:kern w:val="2"/>
          <w:sz w:val="24"/>
          <w:szCs w:val="24"/>
        </w:rPr>
        <w:t>年</w:t>
      </w:r>
      <w:r>
        <w:rPr>
          <w:rFonts w:hint="eastAsia" w:ascii="仿宋_GB2312" w:hAnsi="仿宋_GB2312" w:eastAsia="仿宋_GB2312" w:cs="仿宋_GB2312"/>
          <w:kern w:val="2"/>
          <w:sz w:val="24"/>
          <w:szCs w:val="24"/>
          <w:lang w:val="en-US" w:eastAsia="zh-CN"/>
        </w:rPr>
        <w:t>4</w:t>
      </w:r>
      <w:r>
        <w:rPr>
          <w:rFonts w:hint="eastAsia" w:ascii="仿宋_GB2312" w:hAnsi="仿宋_GB2312" w:eastAsia="仿宋_GB2312" w:cs="仿宋_GB2312"/>
          <w:kern w:val="2"/>
          <w:sz w:val="24"/>
          <w:szCs w:val="24"/>
        </w:rPr>
        <w:t>月</w:t>
      </w:r>
      <w:r>
        <w:rPr>
          <w:rFonts w:hint="eastAsia" w:ascii="仿宋_GB2312" w:hAnsi="仿宋_GB2312" w:eastAsia="仿宋_GB2312" w:cs="仿宋_GB2312"/>
          <w:kern w:val="2"/>
          <w:sz w:val="24"/>
          <w:szCs w:val="24"/>
          <w:lang w:val="en-US" w:eastAsia="zh-CN"/>
        </w:rPr>
        <w:t>27</w:t>
      </w:r>
      <w:r>
        <w:rPr>
          <w:rFonts w:hint="eastAsia" w:ascii="仿宋_GB2312" w:hAnsi="仿宋_GB2312" w:eastAsia="仿宋_GB2312" w:cs="仿宋_GB2312"/>
          <w:kern w:val="2"/>
          <w:sz w:val="24"/>
          <w:szCs w:val="24"/>
        </w:rPr>
        <w:t>日，甘肃省质量协会下达了制定《张家川红花牛繁殖技术规程》标准（项目计划号：甘质协【202</w:t>
      </w:r>
      <w:r>
        <w:rPr>
          <w:rFonts w:hint="eastAsia" w:ascii="仿宋_GB2312" w:hAnsi="仿宋_GB2312" w:eastAsia="仿宋_GB2312" w:cs="仿宋_GB2312"/>
          <w:kern w:val="2"/>
          <w:sz w:val="24"/>
          <w:szCs w:val="24"/>
          <w:lang w:val="en-US" w:eastAsia="zh-CN"/>
        </w:rPr>
        <w:t>6</w:t>
      </w:r>
      <w:r>
        <w:rPr>
          <w:rFonts w:hint="eastAsia" w:ascii="仿宋_GB2312" w:hAnsi="仿宋_GB2312" w:eastAsia="仿宋_GB2312" w:cs="仿宋_GB2312"/>
          <w:kern w:val="2"/>
          <w:sz w:val="24"/>
          <w:szCs w:val="24"/>
        </w:rPr>
        <w:t>】</w:t>
      </w:r>
      <w:r>
        <w:rPr>
          <w:rFonts w:hint="eastAsia" w:ascii="仿宋_GB2312" w:hAnsi="仿宋_GB2312" w:eastAsia="仿宋_GB2312" w:cs="仿宋_GB2312"/>
          <w:kern w:val="2"/>
          <w:sz w:val="24"/>
          <w:szCs w:val="24"/>
          <w:lang w:val="en-US" w:eastAsia="zh-CN"/>
        </w:rPr>
        <w:t>21</w:t>
      </w:r>
      <w:r>
        <w:rPr>
          <w:rFonts w:hint="eastAsia" w:ascii="仿宋_GB2312" w:hAnsi="仿宋_GB2312" w:eastAsia="仿宋_GB2312" w:cs="仿宋_GB2312"/>
          <w:kern w:val="2"/>
          <w:sz w:val="24"/>
          <w:szCs w:val="24"/>
        </w:rPr>
        <w:t>号）。本标准项目承担单位为中国农业科学院兰州畜牧与兽药研究所，标准起草协作单位为张家川回族自治县畜牧工作站、中国农业科学院兰州兽医研究所、张家川回族自治县畜牧兽医事务服务中心</w:t>
      </w:r>
      <w:r>
        <w:rPr>
          <w:rFonts w:hint="eastAsia" w:ascii="仿宋_GB2312" w:hAnsi="仿宋_GB2312" w:eastAsia="仿宋_GB2312" w:cs="仿宋_GB2312"/>
          <w:kern w:val="2"/>
          <w:sz w:val="24"/>
          <w:szCs w:val="24"/>
          <w:lang w:eastAsia="zh-CN"/>
        </w:rPr>
        <w:t>、张家川畜牧技术推广站</w:t>
      </w:r>
      <w:r>
        <w:rPr>
          <w:rFonts w:hint="eastAsia" w:ascii="仿宋_GB2312" w:hAnsi="仿宋_GB2312" w:eastAsia="仿宋_GB2312" w:cs="仿宋_GB2312"/>
          <w:kern w:val="2"/>
          <w:sz w:val="24"/>
          <w:szCs w:val="24"/>
        </w:rPr>
        <w:t>。起草小组成员包括喇永富、梁春年、杨来康、马晓明、</w:t>
      </w:r>
      <w:r>
        <w:rPr>
          <w:rFonts w:hint="eastAsia" w:ascii="仿宋_GB2312" w:hAnsi="仿宋_GB2312" w:eastAsia="仿宋_GB2312" w:cs="仿宋_GB2312"/>
          <w:kern w:val="2"/>
          <w:sz w:val="24"/>
          <w:szCs w:val="24"/>
          <w:lang w:val="en-US" w:eastAsia="zh-CN"/>
        </w:rPr>
        <w:t>张少华、</w:t>
      </w:r>
      <w:r>
        <w:rPr>
          <w:rFonts w:hint="eastAsia" w:ascii="仿宋_GB2312" w:hAnsi="仿宋_GB2312" w:eastAsia="仿宋_GB2312" w:cs="仿宋_GB2312"/>
          <w:kern w:val="2"/>
          <w:sz w:val="24"/>
          <w:szCs w:val="24"/>
        </w:rPr>
        <w:t>褚敏、</w:t>
      </w:r>
      <w:r>
        <w:rPr>
          <w:rFonts w:hint="eastAsia" w:ascii="仿宋_GB2312" w:hAnsi="仿宋_GB2312" w:eastAsia="仿宋_GB2312" w:cs="仿宋_GB2312"/>
          <w:kern w:val="2"/>
          <w:sz w:val="24"/>
          <w:szCs w:val="24"/>
          <w:lang w:val="en-US" w:eastAsia="zh-CN"/>
        </w:rPr>
        <w:t>包鹏甲、杨孝君</w:t>
      </w:r>
      <w:r>
        <w:rPr>
          <w:rFonts w:hint="eastAsia" w:ascii="仿宋_GB2312" w:hAnsi="仿宋_GB2312" w:eastAsia="仿宋_GB2312" w:cs="仿宋_GB2312"/>
          <w:kern w:val="2"/>
          <w:sz w:val="24"/>
          <w:szCs w:val="24"/>
        </w:rPr>
        <w:t>、贠秀君</w:t>
      </w:r>
      <w:r>
        <w:rPr>
          <w:rFonts w:hint="eastAsia" w:ascii="仿宋_GB2312" w:hAnsi="仿宋_GB2312" w:eastAsia="仿宋_GB2312" w:cs="仿宋_GB2312"/>
          <w:kern w:val="2"/>
          <w:sz w:val="24"/>
          <w:szCs w:val="24"/>
          <w:lang w:eastAsia="zh-CN"/>
        </w:rPr>
        <w:t>、马利军、</w:t>
      </w:r>
      <w:r>
        <w:rPr>
          <w:rFonts w:hint="eastAsia" w:ascii="仿宋_GB2312" w:hAnsi="仿宋_GB2312" w:eastAsia="仿宋_GB2312" w:cs="仿宋_GB2312"/>
          <w:kern w:val="2"/>
          <w:sz w:val="24"/>
          <w:szCs w:val="24"/>
        </w:rPr>
        <w:t>马艳萍。</w:t>
      </w:r>
    </w:p>
    <w:p w14:paraId="78909480">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textAlignment w:val="auto"/>
        <w:outlineLvl w:val="1"/>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2. 制定背景</w:t>
      </w:r>
    </w:p>
    <w:p w14:paraId="774CC79A">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张家川县是陇东南地区唯一的少数民族自治县，发展以肉牛为主的草食畜牧业具有显著的传统优势、区位优势和民族特色优势。县域气候温润、雨量适中、无霜期长，动物疫病天然隔离屏障多，饲草资源丰富，生态结构合理，十分适宜肉牛产业发展和高档牛肉生产。近年来，张家川县紧扣畜牧业高质量发展主题，以养殖业牵引农业产业结构优化升级为主线，围绕“优供给、强安全、保生态”目标，大力实施“粮改饲”、“以奖代补、先建后补、贷款贴息”等项目，整合畜牧项目资金、乡村振兴资金及东西部协作帮扶资金，有力推动了肉牛产业高质高效发展。</w:t>
      </w:r>
    </w:p>
    <w:p w14:paraId="4433885F">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张家川县肉牛品种改良工作始于20世纪70年代末，通过引进西门达尔牛对当地黄牛进行杂交改良，逐步形成具有红白花特征的肉牛群体，历经40余年发展，最终形成了种群稳定的优良群体－张家川红花牛。2012年，该品种获农业农村部农产品地理标志登记保护。红花牛体型优良、耐粗饲、生产性能高，肉质鲜红有光泽、紧实富有弹性、自然香味浓郁，深受市场欢迎。然而，当前繁殖环节仍存在制约瓶颈，主要表现为一定程度的品种退化，传统本交方式导致牛犊品质参差不齐。国家科技特派团专家重点强调了同期发情、冻精改良等高效繁殖技术的推广价值。尽管张家川县已建成覆盖县、乡、村的三级冻配改良服务网络，良种化率稳定保持在90%以上，但亟需通过标准化手段规范繁殖操作流程。</w:t>
      </w:r>
    </w:p>
    <w:p w14:paraId="29C69EC1">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制定《张家川红花牛繁殖技术规程》团体标准，旨在建立一套科学、规范、系统且可操作的繁殖技术标准体系，全面提升红花牛的繁殖效率与良种化水平。规程统一了发情鉴定、人工授精、胚胎移植、妊娠诊断、分娩管理等关键环节的技术要求，并规范了繁殖档案管理，着力解决技术标准不统一、操作流程不规范、繁殖效率参差不齐等突出问题。该规程由中国农业科学院兰州畜牧与兽药研究所牦牛资源与育种创新团队在执行甘肃省科技科技特派团专项“张家川红花肉牛选育改良及提质增效技术集成示范项目”和张家川县揭榜挂帅科技项目“张家川红花牛选育改良及提质增效技术集成示范项目”项目基础上，依托系统积累的数据与关键技术参数制定，内容通俗易懂、操作性强，便于基层推广。标准的实施将有效提升发情鉴定率、受胎率及产犊成活率，缩短产犊间隔，降低养殖成本，实现净增头数可控、出栏规模扩大、养殖周转加快，从而巩固脱贫攻坚成果，促进农民增收与乡村产业振兴，展现出显著的生态、经济和社会综合效益。</w:t>
      </w:r>
    </w:p>
    <w:p w14:paraId="5F204545">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textAlignment w:val="auto"/>
        <w:outlineLvl w:val="1"/>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3. 起草过程</w:t>
      </w:r>
    </w:p>
    <w:p w14:paraId="22D36698">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outlineLvl w:val="2"/>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（1）标准制订工作小组成立</w:t>
      </w:r>
    </w:p>
    <w:p w14:paraId="46BC429D">
      <w:pPr>
        <w:adjustRightInd w:val="0"/>
        <w:snapToGrid w:val="0"/>
        <w:spacing w:line="360" w:lineRule="auto"/>
        <w:ind w:firstLine="480"/>
        <w:rPr>
          <w:rFonts w:hint="eastAsia" w:ascii="仿宋_GB2312" w:hAnsi="仿宋_GB2312" w:eastAsia="仿宋_GB2312" w:cs="仿宋_GB2312"/>
          <w:kern w:val="0"/>
          <w:sz w:val="24"/>
          <w:szCs w:val="24"/>
        </w:rPr>
      </w:pPr>
      <w:r>
        <w:rPr>
          <w:rFonts w:hint="eastAsia" w:ascii="仿宋_GB2312" w:hAnsi="仿宋_GB2312" w:eastAsia="仿宋_GB2312" w:cs="仿宋_GB2312"/>
          <w:sz w:val="24"/>
          <w:szCs w:val="24"/>
        </w:rPr>
        <w:t>中国农业科学院兰州畜牧与兽药研究所会同项目承担单位成立由中国农业科学院兰州畜牧与兽药研究所、</w:t>
      </w:r>
      <w:r>
        <w:rPr>
          <w:rFonts w:hint="eastAsia" w:ascii="仿宋_GB2312" w:hAnsi="仿宋_GB2312" w:eastAsia="仿宋_GB2312" w:cs="仿宋_GB2312"/>
          <w:kern w:val="2"/>
          <w:sz w:val="24"/>
          <w:szCs w:val="24"/>
        </w:rPr>
        <w:t>张家川回族自治县畜牧工作站、中国农业科学院兰州兽医研究所、张家川回族自治县畜牧兽医事务服务中心</w:t>
      </w:r>
      <w:r>
        <w:rPr>
          <w:rFonts w:hint="eastAsia" w:ascii="仿宋_GB2312" w:hAnsi="仿宋_GB2312" w:eastAsia="仿宋_GB2312" w:cs="仿宋_GB2312"/>
          <w:kern w:val="2"/>
          <w:sz w:val="24"/>
          <w:szCs w:val="24"/>
          <w:lang w:eastAsia="zh-CN"/>
        </w:rPr>
        <w:t>、张家川畜牧技术推广站</w:t>
      </w:r>
      <w:r>
        <w:rPr>
          <w:rFonts w:hint="eastAsia" w:ascii="仿宋_GB2312" w:hAnsi="仿宋_GB2312" w:eastAsia="仿宋_GB2312" w:cs="仿宋_GB2312"/>
          <w:sz w:val="24"/>
          <w:szCs w:val="24"/>
        </w:rPr>
        <w:t>等单</w:t>
      </w:r>
      <w:r>
        <w:rPr>
          <w:rFonts w:hint="eastAsia" w:ascii="仿宋_GB2312" w:hAnsi="仿宋_GB2312" w:eastAsia="仿宋_GB2312" w:cs="仿宋_GB2312"/>
          <w:kern w:val="0"/>
          <w:sz w:val="24"/>
          <w:szCs w:val="24"/>
        </w:rPr>
        <w:t>位相关专家组成的标准制定起草小组，主要负责开展调查研究，收集整理相关数据，起草</w:t>
      </w:r>
      <w:r>
        <w:rPr>
          <w:rFonts w:hint="eastAsia" w:ascii="仿宋_GB2312" w:hAnsi="仿宋_GB2312" w:eastAsia="仿宋_GB2312" w:cs="仿宋_GB2312"/>
          <w:sz w:val="24"/>
          <w:szCs w:val="24"/>
        </w:rPr>
        <w:t>《</w:t>
      </w:r>
      <w:r>
        <w:rPr>
          <w:rFonts w:hint="eastAsia" w:ascii="仿宋_GB2312" w:hAnsi="仿宋_GB2312" w:eastAsia="仿宋_GB2312" w:cs="仿宋_GB2312"/>
          <w:kern w:val="2"/>
          <w:sz w:val="24"/>
          <w:szCs w:val="24"/>
          <w:lang w:val="en-US" w:eastAsia="zh-CN" w:bidi="ar-SA"/>
        </w:rPr>
        <w:t>张家川红花牛繁殖技术规程</w:t>
      </w:r>
      <w:r>
        <w:rPr>
          <w:rFonts w:hint="eastAsia" w:ascii="仿宋_GB2312" w:hAnsi="仿宋_GB2312" w:eastAsia="仿宋_GB2312" w:cs="仿宋_GB2312"/>
          <w:sz w:val="24"/>
          <w:szCs w:val="24"/>
        </w:rPr>
        <w:t>》</w:t>
      </w:r>
      <w:r>
        <w:rPr>
          <w:rFonts w:hint="eastAsia" w:ascii="仿宋_GB2312" w:hAnsi="仿宋_GB2312" w:eastAsia="仿宋_GB2312" w:cs="仿宋_GB2312"/>
          <w:kern w:val="0"/>
          <w:sz w:val="24"/>
          <w:szCs w:val="24"/>
        </w:rPr>
        <w:t>标准草案，广泛开展意见征求，组织召开标准初审会，按要求提交</w:t>
      </w:r>
      <w:r>
        <w:rPr>
          <w:rFonts w:hint="eastAsia" w:ascii="仿宋_GB2312" w:hAnsi="仿宋_GB2312" w:eastAsia="仿宋_GB2312" w:cs="仿宋_GB2312"/>
          <w:kern w:val="2"/>
          <w:sz w:val="24"/>
          <w:szCs w:val="24"/>
          <w:lang w:val="en-US" w:eastAsia="zh-CN" w:bidi="ar-SA"/>
        </w:rPr>
        <w:t>张家川红花牛繁殖技术规程</w:t>
      </w:r>
      <w:r>
        <w:rPr>
          <w:rFonts w:hint="eastAsia" w:ascii="仿宋_GB2312" w:hAnsi="仿宋_GB2312" w:eastAsia="仿宋_GB2312" w:cs="仿宋_GB2312"/>
          <w:kern w:val="0"/>
          <w:sz w:val="24"/>
          <w:szCs w:val="24"/>
        </w:rPr>
        <w:t>报批稿、编制说明等。标准起草小组人员分工如表1所示。</w:t>
      </w:r>
    </w:p>
    <w:p w14:paraId="0CC78B8C">
      <w:pPr>
        <w:pStyle w:val="14"/>
        <w:keepNext w:val="0"/>
        <w:keepLines w:val="0"/>
        <w:pageBreakBefore w:val="0"/>
        <w:widowControl/>
        <w:kinsoku/>
        <w:wordWrap/>
        <w:overflowPunct/>
        <w:topLinePunct w:val="0"/>
        <w:autoSpaceDE w:val="0"/>
        <w:autoSpaceDN w:val="0"/>
        <w:bidi w:val="0"/>
        <w:adjustRightInd/>
        <w:snapToGrid/>
        <w:spacing w:line="360" w:lineRule="auto"/>
        <w:ind w:firstLine="0" w:firstLineChars="0"/>
        <w:jc w:val="center"/>
        <w:textAlignment w:val="auto"/>
        <w:outlineLvl w:val="9"/>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表1  起草人员一览表</w:t>
      </w:r>
    </w:p>
    <w:tbl>
      <w:tblPr>
        <w:tblStyle w:val="7"/>
        <w:tblW w:w="8198" w:type="dxa"/>
        <w:jc w:val="center"/>
        <w:tblLayout w:type="fixed"/>
        <w:tblCellMar>
          <w:top w:w="0" w:type="dxa"/>
          <w:left w:w="108" w:type="dxa"/>
          <w:bottom w:w="0" w:type="dxa"/>
          <w:right w:w="108" w:type="dxa"/>
        </w:tblCellMar>
      </w:tblPr>
      <w:tblGrid>
        <w:gridCol w:w="835"/>
        <w:gridCol w:w="1110"/>
        <w:gridCol w:w="4225"/>
        <w:gridCol w:w="2028"/>
      </w:tblGrid>
      <w:tr w14:paraId="1F8B8BFA">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0D22ED89">
            <w:pPr>
              <w:pStyle w:val="14"/>
              <w:ind w:firstLine="0" w:firstLineChars="0"/>
              <w:jc w:val="center"/>
              <w:outlineLvl w:val="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序号</w:t>
            </w:r>
          </w:p>
        </w:tc>
        <w:tc>
          <w:tcPr>
            <w:tcW w:w="1110" w:type="dxa"/>
            <w:tcBorders>
              <w:top w:val="single" w:color="000000" w:sz="8" w:space="0"/>
              <w:left w:val="nil"/>
              <w:bottom w:val="single" w:color="000000" w:sz="8" w:space="0"/>
              <w:right w:val="single" w:color="000000" w:sz="8" w:space="0"/>
            </w:tcBorders>
            <w:vAlign w:val="center"/>
          </w:tcPr>
          <w:p w14:paraId="0F428045">
            <w:pPr>
              <w:pStyle w:val="14"/>
              <w:ind w:firstLine="0" w:firstLineChars="0"/>
              <w:jc w:val="center"/>
              <w:outlineLvl w:val="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姓名</w:t>
            </w:r>
          </w:p>
        </w:tc>
        <w:tc>
          <w:tcPr>
            <w:tcW w:w="4225" w:type="dxa"/>
            <w:tcBorders>
              <w:top w:val="single" w:color="000000" w:sz="8" w:space="0"/>
              <w:left w:val="nil"/>
              <w:bottom w:val="single" w:color="000000" w:sz="8" w:space="0"/>
              <w:right w:val="single" w:color="000000" w:sz="8" w:space="0"/>
            </w:tcBorders>
            <w:vAlign w:val="center"/>
          </w:tcPr>
          <w:p w14:paraId="3475299C">
            <w:pPr>
              <w:pStyle w:val="14"/>
              <w:ind w:firstLine="0" w:firstLineChars="0"/>
              <w:jc w:val="center"/>
              <w:outlineLvl w:val="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w:t>
            </w:r>
          </w:p>
        </w:tc>
        <w:tc>
          <w:tcPr>
            <w:tcW w:w="2028" w:type="dxa"/>
            <w:tcBorders>
              <w:top w:val="single" w:color="000000" w:sz="8" w:space="0"/>
              <w:left w:val="nil"/>
              <w:bottom w:val="single" w:color="000000" w:sz="8" w:space="0"/>
              <w:right w:val="single" w:color="000000" w:sz="8" w:space="0"/>
            </w:tcBorders>
            <w:vAlign w:val="center"/>
          </w:tcPr>
          <w:p w14:paraId="76FE79B7">
            <w:pPr>
              <w:pStyle w:val="14"/>
              <w:ind w:firstLine="0" w:firstLineChars="0"/>
              <w:jc w:val="center"/>
              <w:outlineLvl w:val="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任务分工</w:t>
            </w:r>
          </w:p>
        </w:tc>
      </w:tr>
      <w:tr w14:paraId="0A87FB17">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0BAD6137">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w:t>
            </w:r>
          </w:p>
        </w:tc>
        <w:tc>
          <w:tcPr>
            <w:tcW w:w="1110" w:type="dxa"/>
            <w:tcBorders>
              <w:top w:val="single" w:color="000000" w:sz="8" w:space="0"/>
              <w:left w:val="nil"/>
              <w:bottom w:val="single" w:color="000000" w:sz="8" w:space="0"/>
              <w:right w:val="single" w:color="000000" w:sz="8" w:space="0"/>
            </w:tcBorders>
            <w:vAlign w:val="center"/>
          </w:tcPr>
          <w:p w14:paraId="03C72DBB">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喇永富</w:t>
            </w:r>
          </w:p>
        </w:tc>
        <w:tc>
          <w:tcPr>
            <w:tcW w:w="4225" w:type="dxa"/>
            <w:tcBorders>
              <w:top w:val="single" w:color="000000" w:sz="8" w:space="0"/>
              <w:left w:val="nil"/>
              <w:bottom w:val="single" w:color="000000" w:sz="8" w:space="0"/>
              <w:right w:val="single" w:color="000000" w:sz="8" w:space="0"/>
            </w:tcBorders>
            <w:vAlign w:val="center"/>
          </w:tcPr>
          <w:p w14:paraId="6EFAAC0C">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中国农业科学院兰州畜牧与兽药研究所</w:t>
            </w:r>
          </w:p>
        </w:tc>
        <w:tc>
          <w:tcPr>
            <w:tcW w:w="2028" w:type="dxa"/>
            <w:tcBorders>
              <w:top w:val="single" w:color="000000" w:sz="8" w:space="0"/>
              <w:left w:val="nil"/>
              <w:bottom w:val="single" w:color="000000" w:sz="8" w:space="0"/>
              <w:right w:val="single" w:color="000000" w:sz="8" w:space="0"/>
            </w:tcBorders>
            <w:vAlign w:val="center"/>
          </w:tcPr>
          <w:p w14:paraId="775EE271">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项目总负责人</w:t>
            </w:r>
          </w:p>
        </w:tc>
      </w:tr>
      <w:tr w14:paraId="603BB4FF">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69FC5067">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w:t>
            </w:r>
          </w:p>
        </w:tc>
        <w:tc>
          <w:tcPr>
            <w:tcW w:w="1110" w:type="dxa"/>
            <w:tcBorders>
              <w:top w:val="single" w:color="000000" w:sz="8" w:space="0"/>
              <w:left w:val="nil"/>
              <w:bottom w:val="single" w:color="000000" w:sz="8" w:space="0"/>
              <w:right w:val="single" w:color="000000" w:sz="8" w:space="0"/>
            </w:tcBorders>
            <w:vAlign w:val="center"/>
          </w:tcPr>
          <w:p w14:paraId="18E262C1">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梁春年</w:t>
            </w:r>
          </w:p>
        </w:tc>
        <w:tc>
          <w:tcPr>
            <w:tcW w:w="4225" w:type="dxa"/>
            <w:tcBorders>
              <w:top w:val="single" w:color="000000" w:sz="8" w:space="0"/>
              <w:left w:val="nil"/>
              <w:bottom w:val="single" w:color="000000" w:sz="8" w:space="0"/>
              <w:right w:val="single" w:color="000000" w:sz="8" w:space="0"/>
            </w:tcBorders>
            <w:vAlign w:val="center"/>
          </w:tcPr>
          <w:p w14:paraId="281931A1">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中国农业科学院兰州畜牧与兽药研究所</w:t>
            </w:r>
          </w:p>
        </w:tc>
        <w:tc>
          <w:tcPr>
            <w:tcW w:w="2028" w:type="dxa"/>
            <w:tcBorders>
              <w:top w:val="single" w:color="000000" w:sz="8" w:space="0"/>
              <w:left w:val="nil"/>
              <w:bottom w:val="single" w:color="000000" w:sz="8" w:space="0"/>
              <w:right w:val="single" w:color="000000" w:sz="8" w:space="0"/>
            </w:tcBorders>
            <w:vAlign w:val="center"/>
          </w:tcPr>
          <w:p w14:paraId="4EA0F152">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全面负责标准制定</w:t>
            </w:r>
          </w:p>
        </w:tc>
      </w:tr>
      <w:tr w14:paraId="3440474D">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6B50D57B">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w:t>
            </w:r>
          </w:p>
        </w:tc>
        <w:tc>
          <w:tcPr>
            <w:tcW w:w="1110" w:type="dxa"/>
            <w:tcBorders>
              <w:top w:val="single" w:color="000000" w:sz="8" w:space="0"/>
              <w:left w:val="nil"/>
              <w:bottom w:val="single" w:color="000000" w:sz="8" w:space="0"/>
              <w:right w:val="single" w:color="000000" w:sz="8" w:space="0"/>
            </w:tcBorders>
            <w:vAlign w:val="center"/>
          </w:tcPr>
          <w:p w14:paraId="565C85A9">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杨来康</w:t>
            </w:r>
          </w:p>
        </w:tc>
        <w:tc>
          <w:tcPr>
            <w:tcW w:w="4225" w:type="dxa"/>
            <w:tcBorders>
              <w:top w:val="single" w:color="000000" w:sz="8" w:space="0"/>
              <w:left w:val="nil"/>
              <w:bottom w:val="single" w:color="000000" w:sz="8" w:space="0"/>
              <w:right w:val="single" w:color="000000" w:sz="8" w:space="0"/>
            </w:tcBorders>
            <w:vAlign w:val="center"/>
          </w:tcPr>
          <w:p w14:paraId="653FD018">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张家川回族自治县</w:t>
            </w:r>
            <w:r>
              <w:rPr>
                <w:rFonts w:hint="eastAsia" w:ascii="仿宋_GB2312" w:hAnsi="仿宋_GB2312" w:eastAsia="仿宋_GB2312" w:cs="仿宋_GB2312"/>
                <w:sz w:val="24"/>
                <w:szCs w:val="24"/>
              </w:rPr>
              <w:t>畜牧工作站</w:t>
            </w:r>
          </w:p>
        </w:tc>
        <w:tc>
          <w:tcPr>
            <w:tcW w:w="2028" w:type="dxa"/>
            <w:tcBorders>
              <w:top w:val="single" w:color="000000" w:sz="8" w:space="0"/>
              <w:left w:val="nil"/>
              <w:bottom w:val="single" w:color="000000" w:sz="8" w:space="0"/>
              <w:right w:val="single" w:color="000000" w:sz="8" w:space="0"/>
            </w:tcBorders>
            <w:vAlign w:val="center"/>
          </w:tcPr>
          <w:p w14:paraId="784A6C3A">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资料收集与整理</w:t>
            </w:r>
          </w:p>
        </w:tc>
      </w:tr>
      <w:tr w14:paraId="02F5CA67">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2B79D8C3">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w:t>
            </w:r>
          </w:p>
        </w:tc>
        <w:tc>
          <w:tcPr>
            <w:tcW w:w="1110" w:type="dxa"/>
            <w:tcBorders>
              <w:top w:val="single" w:color="000000" w:sz="8" w:space="0"/>
              <w:left w:val="nil"/>
              <w:bottom w:val="single" w:color="000000" w:sz="8" w:space="0"/>
              <w:right w:val="single" w:color="000000" w:sz="8" w:space="0"/>
            </w:tcBorders>
            <w:vAlign w:val="center"/>
          </w:tcPr>
          <w:p w14:paraId="64201C5B">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kern w:val="2"/>
                <w:sz w:val="24"/>
                <w:szCs w:val="24"/>
                <w:lang w:val="en-US" w:eastAsia="zh-CN" w:bidi="ar-SA"/>
              </w:rPr>
              <w:t>马晓明</w:t>
            </w:r>
          </w:p>
        </w:tc>
        <w:tc>
          <w:tcPr>
            <w:tcW w:w="4225" w:type="dxa"/>
            <w:tcBorders>
              <w:top w:val="single" w:color="000000" w:sz="8" w:space="0"/>
              <w:left w:val="nil"/>
              <w:bottom w:val="single" w:color="000000" w:sz="8" w:space="0"/>
              <w:right w:val="single" w:color="000000" w:sz="8" w:space="0"/>
            </w:tcBorders>
            <w:vAlign w:val="center"/>
          </w:tcPr>
          <w:p w14:paraId="24028B33">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中国农业科学院兰州畜牧与兽药研究所</w:t>
            </w:r>
          </w:p>
        </w:tc>
        <w:tc>
          <w:tcPr>
            <w:tcW w:w="2028" w:type="dxa"/>
            <w:tcBorders>
              <w:top w:val="single" w:color="000000" w:sz="8" w:space="0"/>
              <w:left w:val="nil"/>
              <w:bottom w:val="single" w:color="000000" w:sz="8" w:space="0"/>
              <w:right w:val="single" w:color="000000" w:sz="8" w:space="0"/>
            </w:tcBorders>
            <w:vAlign w:val="center"/>
          </w:tcPr>
          <w:p w14:paraId="401A6CE5">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资料收集与整理</w:t>
            </w:r>
          </w:p>
        </w:tc>
      </w:tr>
      <w:tr w14:paraId="4D00993E">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6F801F04">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w:t>
            </w:r>
          </w:p>
        </w:tc>
        <w:tc>
          <w:tcPr>
            <w:tcW w:w="1110" w:type="dxa"/>
            <w:tcBorders>
              <w:top w:val="single" w:color="000000" w:sz="8" w:space="0"/>
              <w:left w:val="nil"/>
              <w:bottom w:val="single" w:color="000000" w:sz="8" w:space="0"/>
              <w:right w:val="single" w:color="000000" w:sz="8" w:space="0"/>
            </w:tcBorders>
            <w:vAlign w:val="center"/>
          </w:tcPr>
          <w:p w14:paraId="2E37882B">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kern w:val="2"/>
                <w:sz w:val="24"/>
                <w:szCs w:val="24"/>
                <w:lang w:val="en-US" w:eastAsia="zh-CN" w:bidi="ar-SA"/>
              </w:rPr>
              <w:t>张少华</w:t>
            </w:r>
          </w:p>
        </w:tc>
        <w:tc>
          <w:tcPr>
            <w:tcW w:w="4225" w:type="dxa"/>
            <w:tcBorders>
              <w:top w:val="single" w:color="000000" w:sz="8" w:space="0"/>
              <w:left w:val="nil"/>
              <w:bottom w:val="single" w:color="000000" w:sz="8" w:space="0"/>
              <w:right w:val="single" w:color="000000" w:sz="8" w:space="0"/>
            </w:tcBorders>
            <w:vAlign w:val="center"/>
          </w:tcPr>
          <w:p w14:paraId="03F15AF3">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中国农业科学院兰州兽医研究所</w:t>
            </w:r>
          </w:p>
        </w:tc>
        <w:tc>
          <w:tcPr>
            <w:tcW w:w="2028" w:type="dxa"/>
            <w:tcBorders>
              <w:top w:val="single" w:color="000000" w:sz="8" w:space="0"/>
              <w:left w:val="nil"/>
              <w:bottom w:val="single" w:color="000000" w:sz="8" w:space="0"/>
              <w:right w:val="single" w:color="000000" w:sz="8" w:space="0"/>
            </w:tcBorders>
            <w:vAlign w:val="center"/>
          </w:tcPr>
          <w:p w14:paraId="48DFDCB9">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资料收集与整理</w:t>
            </w:r>
          </w:p>
        </w:tc>
      </w:tr>
      <w:tr w14:paraId="40809D17">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0D46182A">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w:t>
            </w:r>
          </w:p>
        </w:tc>
        <w:tc>
          <w:tcPr>
            <w:tcW w:w="1110" w:type="dxa"/>
            <w:tcBorders>
              <w:top w:val="single" w:color="000000" w:sz="8" w:space="0"/>
              <w:left w:val="nil"/>
              <w:bottom w:val="single" w:color="000000" w:sz="8" w:space="0"/>
              <w:right w:val="single" w:color="000000" w:sz="8" w:space="0"/>
            </w:tcBorders>
            <w:vAlign w:val="center"/>
          </w:tcPr>
          <w:p w14:paraId="195CF081">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褚  敏</w:t>
            </w:r>
          </w:p>
        </w:tc>
        <w:tc>
          <w:tcPr>
            <w:tcW w:w="4225" w:type="dxa"/>
            <w:tcBorders>
              <w:top w:val="single" w:color="000000" w:sz="8" w:space="0"/>
              <w:left w:val="nil"/>
              <w:bottom w:val="single" w:color="000000" w:sz="8" w:space="0"/>
              <w:right w:val="single" w:color="000000" w:sz="8" w:space="0"/>
            </w:tcBorders>
            <w:vAlign w:val="center"/>
          </w:tcPr>
          <w:p w14:paraId="490BE453">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中国农业科学院兰州畜牧与兽药研究所</w:t>
            </w:r>
          </w:p>
        </w:tc>
        <w:tc>
          <w:tcPr>
            <w:tcW w:w="2028" w:type="dxa"/>
            <w:tcBorders>
              <w:top w:val="single" w:color="000000" w:sz="8" w:space="0"/>
              <w:left w:val="nil"/>
              <w:bottom w:val="single" w:color="000000" w:sz="8" w:space="0"/>
              <w:right w:val="single" w:color="000000" w:sz="8" w:space="0"/>
            </w:tcBorders>
            <w:vAlign w:val="center"/>
          </w:tcPr>
          <w:p w14:paraId="77F01DA9">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资料收集与整理</w:t>
            </w:r>
          </w:p>
        </w:tc>
      </w:tr>
      <w:tr w14:paraId="097EA628">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686BAFBC">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w:t>
            </w:r>
          </w:p>
        </w:tc>
        <w:tc>
          <w:tcPr>
            <w:tcW w:w="1110" w:type="dxa"/>
            <w:tcBorders>
              <w:top w:val="single" w:color="000000" w:sz="8" w:space="0"/>
              <w:left w:val="nil"/>
              <w:bottom w:val="single" w:color="000000" w:sz="8" w:space="0"/>
              <w:right w:val="single" w:color="000000" w:sz="8" w:space="0"/>
            </w:tcBorders>
            <w:vAlign w:val="center"/>
          </w:tcPr>
          <w:p w14:paraId="5B049C61">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kern w:val="2"/>
                <w:sz w:val="24"/>
                <w:szCs w:val="24"/>
                <w:lang w:val="en-US" w:eastAsia="zh-CN" w:bidi="ar-SA"/>
              </w:rPr>
              <w:t>包鹏甲</w:t>
            </w:r>
          </w:p>
        </w:tc>
        <w:tc>
          <w:tcPr>
            <w:tcW w:w="4225" w:type="dxa"/>
            <w:tcBorders>
              <w:top w:val="single" w:color="000000" w:sz="8" w:space="0"/>
              <w:left w:val="nil"/>
              <w:bottom w:val="single" w:color="000000" w:sz="8" w:space="0"/>
              <w:right w:val="single" w:color="000000" w:sz="8" w:space="0"/>
            </w:tcBorders>
            <w:vAlign w:val="center"/>
          </w:tcPr>
          <w:p w14:paraId="42DB2F71">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中国农业科学院兰州畜牧与兽药研究所</w:t>
            </w:r>
          </w:p>
        </w:tc>
        <w:tc>
          <w:tcPr>
            <w:tcW w:w="2028" w:type="dxa"/>
            <w:tcBorders>
              <w:top w:val="single" w:color="000000" w:sz="8" w:space="0"/>
              <w:left w:val="nil"/>
              <w:bottom w:val="single" w:color="000000" w:sz="8" w:space="0"/>
              <w:right w:val="single" w:color="000000" w:sz="8" w:space="0"/>
            </w:tcBorders>
            <w:vAlign w:val="center"/>
          </w:tcPr>
          <w:p w14:paraId="043F8284">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资料收集与整理</w:t>
            </w:r>
          </w:p>
        </w:tc>
      </w:tr>
      <w:tr w14:paraId="637F1600">
        <w:tblPrEx>
          <w:tblCellMar>
            <w:top w:w="0" w:type="dxa"/>
            <w:left w:w="108" w:type="dxa"/>
            <w:bottom w:w="0" w:type="dxa"/>
            <w:right w:w="108" w:type="dxa"/>
          </w:tblCellMar>
        </w:tblPrEx>
        <w:trPr>
          <w:trHeight w:val="769"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133F5C63">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w:t>
            </w:r>
          </w:p>
        </w:tc>
        <w:tc>
          <w:tcPr>
            <w:tcW w:w="1110" w:type="dxa"/>
            <w:tcBorders>
              <w:top w:val="single" w:color="000000" w:sz="8" w:space="0"/>
              <w:left w:val="nil"/>
              <w:bottom w:val="single" w:color="000000" w:sz="8" w:space="0"/>
              <w:right w:val="single" w:color="000000" w:sz="8" w:space="0"/>
            </w:tcBorders>
            <w:vAlign w:val="center"/>
          </w:tcPr>
          <w:p w14:paraId="63979DA4">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杨孝君</w:t>
            </w:r>
          </w:p>
        </w:tc>
        <w:tc>
          <w:tcPr>
            <w:tcW w:w="4225" w:type="dxa"/>
            <w:tcBorders>
              <w:top w:val="single" w:color="000000" w:sz="8" w:space="0"/>
              <w:left w:val="nil"/>
              <w:bottom w:val="single" w:color="000000" w:sz="8" w:space="0"/>
              <w:right w:val="single" w:color="000000" w:sz="8" w:space="0"/>
            </w:tcBorders>
            <w:vAlign w:val="center"/>
          </w:tcPr>
          <w:p w14:paraId="37B80ACB">
            <w:pPr>
              <w:keepNext w:val="0"/>
              <w:keepLines w:val="0"/>
              <w:pageBreakBefore w:val="0"/>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b w:val="0"/>
                <w:bCs/>
                <w:sz w:val="24"/>
                <w:szCs w:val="24"/>
                <w:lang w:val="en-US" w:eastAsia="zh-CN"/>
              </w:rPr>
            </w:pPr>
            <w:r>
              <w:rPr>
                <w:rFonts w:hint="eastAsia" w:ascii="仿宋_GB2312" w:hAnsi="仿宋_GB2312" w:eastAsia="仿宋_GB2312" w:cs="仿宋_GB2312"/>
                <w:b w:val="0"/>
                <w:bCs/>
                <w:sz w:val="24"/>
                <w:szCs w:val="24"/>
                <w:lang w:val="en-US" w:eastAsia="zh-CN"/>
              </w:rPr>
              <w:t>张家川回族自治县畜牧兽医事务</w:t>
            </w:r>
          </w:p>
          <w:p w14:paraId="707D6E28">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服务中心</w:t>
            </w:r>
          </w:p>
        </w:tc>
        <w:tc>
          <w:tcPr>
            <w:tcW w:w="2028" w:type="dxa"/>
            <w:tcBorders>
              <w:top w:val="single" w:color="000000" w:sz="8" w:space="0"/>
              <w:left w:val="nil"/>
              <w:bottom w:val="single" w:color="000000" w:sz="8" w:space="0"/>
              <w:right w:val="single" w:color="000000" w:sz="8" w:space="0"/>
            </w:tcBorders>
            <w:vAlign w:val="center"/>
          </w:tcPr>
          <w:p w14:paraId="12387FA5">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标准内容的测定</w:t>
            </w:r>
          </w:p>
        </w:tc>
      </w:tr>
      <w:tr w14:paraId="6482D879">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2860DC0E">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w:t>
            </w:r>
          </w:p>
        </w:tc>
        <w:tc>
          <w:tcPr>
            <w:tcW w:w="1110" w:type="dxa"/>
            <w:tcBorders>
              <w:top w:val="single" w:color="000000" w:sz="8" w:space="0"/>
              <w:left w:val="nil"/>
              <w:bottom w:val="single" w:color="000000" w:sz="8" w:space="0"/>
              <w:right w:val="single" w:color="000000" w:sz="8" w:space="0"/>
            </w:tcBorders>
            <w:vAlign w:val="center"/>
          </w:tcPr>
          <w:p w14:paraId="51F85875">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贠秀君</w:t>
            </w:r>
          </w:p>
        </w:tc>
        <w:tc>
          <w:tcPr>
            <w:tcW w:w="4225" w:type="dxa"/>
            <w:tcBorders>
              <w:top w:val="single" w:color="000000" w:sz="8" w:space="0"/>
              <w:left w:val="nil"/>
              <w:bottom w:val="single" w:color="000000" w:sz="8" w:space="0"/>
              <w:right w:val="single" w:color="000000" w:sz="8" w:space="0"/>
            </w:tcBorders>
            <w:vAlign w:val="center"/>
          </w:tcPr>
          <w:p w14:paraId="79906A8F">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张家川畜牧技术推广站</w:t>
            </w:r>
          </w:p>
        </w:tc>
        <w:tc>
          <w:tcPr>
            <w:tcW w:w="2028" w:type="dxa"/>
            <w:tcBorders>
              <w:top w:val="single" w:color="000000" w:sz="8" w:space="0"/>
              <w:left w:val="nil"/>
              <w:bottom w:val="single" w:color="000000" w:sz="8" w:space="0"/>
              <w:right w:val="single" w:color="000000" w:sz="8" w:space="0"/>
            </w:tcBorders>
            <w:vAlign w:val="center"/>
          </w:tcPr>
          <w:p w14:paraId="3FA8B97F">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标准内容的测定</w:t>
            </w:r>
          </w:p>
        </w:tc>
      </w:tr>
      <w:tr w14:paraId="5005F81F">
        <w:tblPrEx>
          <w:tblCellMar>
            <w:top w:w="0" w:type="dxa"/>
            <w:left w:w="108" w:type="dxa"/>
            <w:bottom w:w="0" w:type="dxa"/>
            <w:right w:w="108" w:type="dxa"/>
          </w:tblCellMar>
        </w:tblPrEx>
        <w:trPr>
          <w:trHeight w:val="453"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2903FD06">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w:t>
            </w:r>
          </w:p>
        </w:tc>
        <w:tc>
          <w:tcPr>
            <w:tcW w:w="1110" w:type="dxa"/>
            <w:tcBorders>
              <w:top w:val="single" w:color="000000" w:sz="8" w:space="0"/>
              <w:left w:val="nil"/>
              <w:bottom w:val="single" w:color="000000" w:sz="8" w:space="0"/>
              <w:right w:val="single" w:color="000000" w:sz="8" w:space="0"/>
            </w:tcBorders>
            <w:vAlign w:val="center"/>
          </w:tcPr>
          <w:p w14:paraId="3E03AE90">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马利军</w:t>
            </w:r>
          </w:p>
        </w:tc>
        <w:tc>
          <w:tcPr>
            <w:tcW w:w="4225" w:type="dxa"/>
            <w:tcBorders>
              <w:top w:val="single" w:color="000000" w:sz="8" w:space="0"/>
              <w:left w:val="nil"/>
              <w:bottom w:val="single" w:color="000000" w:sz="8" w:space="0"/>
              <w:right w:val="single" w:color="000000" w:sz="8" w:space="0"/>
            </w:tcBorders>
            <w:vAlign w:val="center"/>
          </w:tcPr>
          <w:p w14:paraId="1E8720E6">
            <w:pPr>
              <w:keepNext w:val="0"/>
              <w:keepLines w:val="0"/>
              <w:pageBreakBefore w:val="0"/>
              <w:kinsoku/>
              <w:wordWrap/>
              <w:overflowPunct/>
              <w:topLinePunct w:val="0"/>
              <w:autoSpaceDE/>
              <w:autoSpaceDN/>
              <w:bidi w:val="0"/>
              <w:adjustRightInd w:val="0"/>
              <w:snapToGrid w:val="0"/>
              <w:spacing w:line="240" w:lineRule="auto"/>
              <w:ind w:right="0" w:rightChars="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张家川畜牧技术推广站</w:t>
            </w:r>
          </w:p>
        </w:tc>
        <w:tc>
          <w:tcPr>
            <w:tcW w:w="2028" w:type="dxa"/>
            <w:tcBorders>
              <w:top w:val="single" w:color="000000" w:sz="8" w:space="0"/>
              <w:left w:val="nil"/>
              <w:bottom w:val="single" w:color="000000" w:sz="8" w:space="0"/>
              <w:right w:val="single" w:color="000000" w:sz="8" w:space="0"/>
            </w:tcBorders>
            <w:vAlign w:val="center"/>
          </w:tcPr>
          <w:p w14:paraId="098C9C35">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标准内容的测定</w:t>
            </w:r>
          </w:p>
        </w:tc>
      </w:tr>
      <w:tr w14:paraId="13CCCDC7">
        <w:tblPrEx>
          <w:tblCellMar>
            <w:top w:w="0" w:type="dxa"/>
            <w:left w:w="108" w:type="dxa"/>
            <w:bottom w:w="0" w:type="dxa"/>
            <w:right w:w="108" w:type="dxa"/>
          </w:tblCellMar>
        </w:tblPrEx>
        <w:trPr>
          <w:trHeight w:val="480" w:hRule="atLeast"/>
          <w:jc w:val="center"/>
        </w:trPr>
        <w:tc>
          <w:tcPr>
            <w:tcW w:w="835" w:type="dxa"/>
            <w:tcBorders>
              <w:top w:val="single" w:color="000000" w:sz="8" w:space="0"/>
              <w:left w:val="single" w:color="000000" w:sz="8" w:space="0"/>
              <w:bottom w:val="single" w:color="000000" w:sz="8" w:space="0"/>
              <w:right w:val="single" w:color="000000" w:sz="8" w:space="0"/>
            </w:tcBorders>
            <w:vAlign w:val="center"/>
          </w:tcPr>
          <w:p w14:paraId="2E9EF2C7">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11</w:t>
            </w:r>
          </w:p>
        </w:tc>
        <w:tc>
          <w:tcPr>
            <w:tcW w:w="1110" w:type="dxa"/>
            <w:tcBorders>
              <w:top w:val="single" w:color="000000" w:sz="8" w:space="0"/>
              <w:left w:val="nil"/>
              <w:bottom w:val="single" w:color="000000" w:sz="8" w:space="0"/>
              <w:right w:val="single" w:color="000000" w:sz="8" w:space="0"/>
            </w:tcBorders>
            <w:vAlign w:val="center"/>
          </w:tcPr>
          <w:p w14:paraId="6F630B17">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kern w:val="2"/>
                <w:sz w:val="24"/>
                <w:szCs w:val="24"/>
                <w:lang w:val="en-US" w:eastAsia="zh-CN" w:bidi="ar-SA"/>
              </w:rPr>
              <w:t>马艳萍</w:t>
            </w:r>
          </w:p>
        </w:tc>
        <w:tc>
          <w:tcPr>
            <w:tcW w:w="4225" w:type="dxa"/>
            <w:tcBorders>
              <w:top w:val="single" w:color="000000" w:sz="8" w:space="0"/>
              <w:left w:val="nil"/>
              <w:bottom w:val="single" w:color="000000" w:sz="8" w:space="0"/>
              <w:right w:val="single" w:color="000000" w:sz="8" w:space="0"/>
            </w:tcBorders>
            <w:vAlign w:val="center"/>
          </w:tcPr>
          <w:p w14:paraId="6265BC71">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val="0"/>
                <w:bCs/>
                <w:sz w:val="24"/>
                <w:szCs w:val="24"/>
                <w:lang w:val="en-US" w:eastAsia="zh-CN"/>
              </w:rPr>
              <w:t>张家川畜牧技术推广站</w:t>
            </w:r>
          </w:p>
        </w:tc>
        <w:tc>
          <w:tcPr>
            <w:tcW w:w="2028" w:type="dxa"/>
            <w:tcBorders>
              <w:top w:val="single" w:color="000000" w:sz="8" w:space="0"/>
              <w:left w:val="nil"/>
              <w:bottom w:val="single" w:color="000000" w:sz="8" w:space="0"/>
              <w:right w:val="single" w:color="000000" w:sz="8" w:space="0"/>
            </w:tcBorders>
            <w:vAlign w:val="center"/>
          </w:tcPr>
          <w:p w14:paraId="4D30BD2F">
            <w:pPr>
              <w:keepNext w:val="0"/>
              <w:keepLines w:val="0"/>
              <w:pageBreakBefore w:val="0"/>
              <w:kinsoku/>
              <w:wordWrap/>
              <w:overflowPunct/>
              <w:topLinePunct w:val="0"/>
              <w:autoSpaceDE/>
              <w:autoSpaceDN/>
              <w:bidi w:val="0"/>
              <w:spacing w:line="240" w:lineRule="auto"/>
              <w:ind w:right="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标准内容的测定</w:t>
            </w:r>
          </w:p>
        </w:tc>
      </w:tr>
    </w:tbl>
    <w:p w14:paraId="38C47FD2">
      <w:pPr>
        <w:widowControl/>
        <w:adjustRightInd w:val="0"/>
        <w:snapToGrid w:val="0"/>
        <w:spacing w:line="360" w:lineRule="auto"/>
        <w:ind w:firstLine="480" w:firstLineChars="200"/>
        <w:rPr>
          <w:rFonts w:hint="eastAsia" w:ascii="仿宋_GB2312" w:hAnsi="仿宋_GB2312" w:eastAsia="仿宋_GB2312" w:cs="仿宋_GB2312"/>
          <w:sz w:val="24"/>
          <w:szCs w:val="24"/>
        </w:rPr>
      </w:pPr>
    </w:p>
    <w:p w14:paraId="5A30BDF3">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outlineLvl w:val="2"/>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（2）开展大量普查、测试和试验研究工作</w:t>
      </w:r>
    </w:p>
    <w:p w14:paraId="1F3564A2">
      <w:pPr>
        <w:adjustRightInd w:val="0"/>
        <w:snapToGrid w:val="0"/>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为了使标准各项内容能够真实的反映</w:t>
      </w:r>
      <w:r>
        <w:rPr>
          <w:rFonts w:hint="eastAsia" w:ascii="仿宋_GB2312" w:hAnsi="仿宋_GB2312" w:eastAsia="仿宋_GB2312" w:cs="仿宋_GB2312"/>
          <w:sz w:val="24"/>
          <w:szCs w:val="24"/>
          <w:lang w:val="en-US" w:eastAsia="zh-CN"/>
        </w:rPr>
        <w:t>张家川红花牛</w:t>
      </w:r>
      <w:r>
        <w:rPr>
          <w:rFonts w:hint="eastAsia" w:ascii="仿宋_GB2312" w:hAnsi="仿宋_GB2312" w:eastAsia="仿宋_GB2312" w:cs="仿宋_GB2312"/>
          <w:sz w:val="24"/>
          <w:szCs w:val="24"/>
        </w:rPr>
        <w:t>现有</w:t>
      </w:r>
      <w:r>
        <w:rPr>
          <w:rFonts w:hint="eastAsia" w:ascii="仿宋_GB2312" w:hAnsi="仿宋_GB2312" w:eastAsia="仿宋_GB2312" w:cs="仿宋_GB2312"/>
          <w:sz w:val="24"/>
          <w:szCs w:val="24"/>
          <w:lang w:val="en-US" w:eastAsia="zh-CN"/>
        </w:rPr>
        <w:t>繁殖技术</w:t>
      </w:r>
      <w:r>
        <w:rPr>
          <w:rFonts w:hint="eastAsia" w:ascii="仿宋_GB2312" w:hAnsi="仿宋_GB2312" w:eastAsia="仿宋_GB2312" w:cs="仿宋_GB2312"/>
          <w:sz w:val="24"/>
          <w:szCs w:val="24"/>
        </w:rPr>
        <w:t>，标准制定专家小组结合中国农业科学院兰州畜牧与兽药研究所承担的甘肃省科技科技特派团专项“张家川红花肉牛选育改良及提质增效技术集成示范项目”和张家川县揭榜挂帅科技项目“张家川红花牛选育改良及提质增效技术集成示范项目”</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执行，</w:t>
      </w:r>
      <w:r>
        <w:rPr>
          <w:rFonts w:hint="eastAsia" w:ascii="仿宋_GB2312" w:hAnsi="仿宋_GB2312" w:eastAsia="仿宋_GB2312" w:cs="仿宋_GB2312"/>
          <w:kern w:val="0"/>
          <w:sz w:val="24"/>
          <w:szCs w:val="24"/>
        </w:rPr>
        <w:t>对</w:t>
      </w:r>
      <w:r>
        <w:rPr>
          <w:rFonts w:hint="eastAsia" w:ascii="仿宋_GB2312" w:hAnsi="仿宋_GB2312" w:eastAsia="仿宋_GB2312" w:cs="仿宋_GB2312"/>
          <w:kern w:val="0"/>
          <w:sz w:val="24"/>
          <w:szCs w:val="24"/>
          <w:lang w:val="en-US" w:eastAsia="zh-CN"/>
        </w:rPr>
        <w:t>张家川县红花牛</w:t>
      </w:r>
      <w:r>
        <w:rPr>
          <w:rFonts w:hint="eastAsia" w:ascii="仿宋_GB2312" w:hAnsi="仿宋_GB2312" w:eastAsia="仿宋_GB2312" w:cs="仿宋_GB2312"/>
          <w:kern w:val="0"/>
          <w:sz w:val="24"/>
          <w:szCs w:val="24"/>
        </w:rPr>
        <w:t>产区的</w:t>
      </w:r>
      <w:r>
        <w:rPr>
          <w:rFonts w:hint="eastAsia" w:ascii="仿宋_GB2312" w:hAnsi="仿宋_GB2312" w:eastAsia="仿宋_GB2312" w:cs="仿宋_GB2312"/>
          <w:kern w:val="0"/>
          <w:sz w:val="24"/>
          <w:szCs w:val="24"/>
          <w:lang w:val="en-US" w:eastAsia="zh-CN"/>
        </w:rPr>
        <w:t>繁育</w:t>
      </w:r>
      <w:r>
        <w:rPr>
          <w:rFonts w:hint="eastAsia" w:ascii="仿宋_GB2312" w:hAnsi="仿宋_GB2312" w:eastAsia="仿宋_GB2312" w:cs="仿宋_GB2312"/>
          <w:kern w:val="0"/>
          <w:sz w:val="24"/>
          <w:szCs w:val="24"/>
        </w:rPr>
        <w:t>现状进行了广泛调研，深入养殖场、专业合作社和</w:t>
      </w:r>
      <w:r>
        <w:rPr>
          <w:rFonts w:hint="eastAsia" w:ascii="仿宋_GB2312" w:hAnsi="仿宋_GB2312" w:eastAsia="仿宋_GB2312" w:cs="仿宋_GB2312"/>
          <w:kern w:val="0"/>
          <w:sz w:val="24"/>
          <w:szCs w:val="24"/>
          <w:lang w:val="en-US" w:eastAsia="zh-CN"/>
        </w:rPr>
        <w:t>农</w:t>
      </w:r>
      <w:r>
        <w:rPr>
          <w:rFonts w:hint="eastAsia" w:ascii="仿宋_GB2312" w:hAnsi="仿宋_GB2312" w:eastAsia="仿宋_GB2312" w:cs="仿宋_GB2312"/>
          <w:kern w:val="0"/>
          <w:sz w:val="24"/>
          <w:szCs w:val="24"/>
        </w:rPr>
        <w:t>户，收集并分析了现有的养殖经验和存在的问题。在此基础上，查阅和参考了国家及行业相关标准、学术文献及科研成果。</w:t>
      </w:r>
    </w:p>
    <w:p w14:paraId="57FA147D">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outlineLvl w:val="2"/>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（3）综合分析，起草标准文本</w:t>
      </w:r>
    </w:p>
    <w:p w14:paraId="32780493">
      <w:pPr>
        <w:adjustRightInd w:val="0"/>
        <w:snapToGrid w:val="0"/>
        <w:spacing w:line="360" w:lineRule="auto"/>
        <w:ind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标准制定专家小组对普查、测试和试验研究所取得的第一手原始资料进行了整理和统计分析，并将统计结果与</w:t>
      </w:r>
      <w:r>
        <w:rPr>
          <w:rFonts w:hint="eastAsia" w:ascii="仿宋_GB2312" w:hAnsi="仿宋_GB2312" w:eastAsia="仿宋_GB2312" w:cs="仿宋_GB2312"/>
          <w:sz w:val="24"/>
          <w:szCs w:val="24"/>
          <w:lang w:val="en-US" w:eastAsia="zh-CN"/>
        </w:rPr>
        <w:t>张家川红花牛</w:t>
      </w:r>
      <w:r>
        <w:rPr>
          <w:rFonts w:hint="eastAsia" w:ascii="仿宋_GB2312" w:hAnsi="仿宋_GB2312" w:eastAsia="仿宋_GB2312" w:cs="仿宋_GB2312"/>
          <w:sz w:val="24"/>
          <w:szCs w:val="24"/>
        </w:rPr>
        <w:t>生产现状和</w:t>
      </w:r>
      <w:r>
        <w:rPr>
          <w:rFonts w:hint="eastAsia" w:ascii="仿宋_GB2312" w:hAnsi="仿宋_GB2312" w:eastAsia="仿宋_GB2312" w:cs="仿宋_GB2312"/>
          <w:sz w:val="24"/>
          <w:szCs w:val="24"/>
          <w:lang w:val="en-US" w:eastAsia="zh-CN"/>
        </w:rPr>
        <w:t>繁殖技术应用现状</w:t>
      </w:r>
      <w:r>
        <w:rPr>
          <w:rFonts w:hint="eastAsia" w:ascii="仿宋_GB2312" w:hAnsi="仿宋_GB2312" w:eastAsia="仿宋_GB2312" w:cs="仿宋_GB2312"/>
          <w:sz w:val="24"/>
          <w:szCs w:val="24"/>
        </w:rPr>
        <w:t>进行了综合分析，确定了</w:t>
      </w:r>
      <w:r>
        <w:rPr>
          <w:rFonts w:hint="eastAsia" w:ascii="仿宋_GB2312" w:hAnsi="仿宋_GB2312" w:eastAsia="仿宋_GB2312" w:cs="仿宋_GB2312"/>
          <w:sz w:val="24"/>
          <w:szCs w:val="24"/>
          <w:lang w:val="en-US" w:eastAsia="zh-CN"/>
        </w:rPr>
        <w:t>张家川红花牛繁殖技术</w:t>
      </w:r>
      <w:r>
        <w:rPr>
          <w:rFonts w:hint="eastAsia" w:ascii="仿宋_GB2312" w:hAnsi="仿宋_GB2312" w:eastAsia="仿宋_GB2312" w:cs="仿宋_GB2312"/>
          <w:sz w:val="24"/>
          <w:szCs w:val="24"/>
        </w:rPr>
        <w:t>的各项指标和关键参数。并于202</w:t>
      </w: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年</w:t>
      </w:r>
      <w:r>
        <w:rPr>
          <w:rFonts w:hint="eastAsia" w:ascii="仿宋_GB2312" w:hAnsi="仿宋_GB2312" w:eastAsia="仿宋_GB2312" w:cs="仿宋_GB2312"/>
          <w:sz w:val="24"/>
          <w:szCs w:val="24"/>
          <w:lang w:val="en-US" w:eastAsia="zh-CN"/>
        </w:rPr>
        <w:t>12</w:t>
      </w:r>
      <w:r>
        <w:rPr>
          <w:rFonts w:hint="eastAsia" w:ascii="仿宋_GB2312" w:hAnsi="仿宋_GB2312" w:eastAsia="仿宋_GB2312" w:cs="仿宋_GB2312"/>
          <w:sz w:val="24"/>
          <w:szCs w:val="24"/>
        </w:rPr>
        <w:t>月正式启动团体标准《张家川红花牛繁殖技术规程》标准制定工作。</w:t>
      </w:r>
      <w:r>
        <w:rPr>
          <w:rFonts w:hint="eastAsia" w:ascii="仿宋_GB2312" w:hAnsi="仿宋_GB2312" w:eastAsia="仿宋_GB2312" w:cs="仿宋_GB2312"/>
          <w:sz w:val="24"/>
          <w:szCs w:val="24"/>
          <w:lang w:val="en-US" w:eastAsia="zh-CN"/>
        </w:rPr>
        <w:t>2026年1月-3</w:t>
      </w:r>
      <w:r>
        <w:rPr>
          <w:rFonts w:hint="eastAsia" w:ascii="仿宋_GB2312" w:hAnsi="仿宋_GB2312" w:eastAsia="仿宋_GB2312" w:cs="仿宋_GB2312"/>
          <w:sz w:val="24"/>
          <w:szCs w:val="24"/>
        </w:rPr>
        <w:t>月项目组分别在张家川县志洋种养殖农民专业合作社、旺平种养殖农民专业合作社、大发展种养殖农民专业合作社等张家川红花牛养殖场开展资料整理，调研及标准验证测定工作。标准制定专家小组在参阅其他</w:t>
      </w:r>
      <w:r>
        <w:rPr>
          <w:rFonts w:hint="eastAsia" w:ascii="仿宋_GB2312" w:hAnsi="仿宋_GB2312" w:eastAsia="仿宋_GB2312" w:cs="仿宋_GB2312"/>
          <w:sz w:val="24"/>
          <w:szCs w:val="24"/>
          <w:lang w:val="en-US" w:eastAsia="zh-CN"/>
        </w:rPr>
        <w:t>肉牛相关</w:t>
      </w:r>
      <w:r>
        <w:rPr>
          <w:rFonts w:hint="eastAsia" w:ascii="仿宋_GB2312" w:hAnsi="仿宋_GB2312" w:eastAsia="仿宋_GB2312" w:cs="仿宋_GB2312"/>
          <w:sz w:val="24"/>
          <w:szCs w:val="24"/>
        </w:rPr>
        <w:t>标准，学习中华人民共和国国家标准GB/T 1.1－2020《标准化工作导则  第1部分：标准化文件的结构和起草规则》的基础上，集中专家小组成员意见，反复推敲、更改，共同起草完成了标准征求意见稿。</w:t>
      </w:r>
    </w:p>
    <w:p w14:paraId="3015D702">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二、标准编制原则和主要技术内容确定的依据</w:t>
      </w:r>
    </w:p>
    <w:p w14:paraId="611263DD">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textAlignment w:val="auto"/>
        <w:outlineLvl w:val="1"/>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lang w:eastAsia="zh-CN"/>
        </w:rPr>
        <w:t>（</w:t>
      </w:r>
      <w:r>
        <w:rPr>
          <w:rFonts w:hint="eastAsia" w:ascii="仿宋_GB2312" w:hAnsi="仿宋_GB2312" w:eastAsia="仿宋_GB2312" w:cs="仿宋_GB2312"/>
          <w:b/>
          <w:sz w:val="28"/>
          <w:szCs w:val="28"/>
          <w:lang w:val="en-US" w:eastAsia="zh-CN"/>
        </w:rPr>
        <w:t>一</w:t>
      </w:r>
      <w:r>
        <w:rPr>
          <w:rFonts w:hint="eastAsia" w:ascii="仿宋_GB2312" w:hAnsi="仿宋_GB2312" w:eastAsia="仿宋_GB2312" w:cs="仿宋_GB2312"/>
          <w:b/>
          <w:sz w:val="28"/>
          <w:szCs w:val="28"/>
          <w:lang w:eastAsia="zh-CN"/>
        </w:rPr>
        <w:t>）</w:t>
      </w:r>
      <w:r>
        <w:rPr>
          <w:rFonts w:hint="eastAsia" w:ascii="仿宋_GB2312" w:hAnsi="仿宋_GB2312" w:eastAsia="仿宋_GB2312" w:cs="仿宋_GB2312"/>
          <w:b/>
          <w:sz w:val="28"/>
          <w:szCs w:val="28"/>
        </w:rPr>
        <w:t>标准编制原则</w:t>
      </w:r>
    </w:p>
    <w:p w14:paraId="3743EA9B">
      <w:pPr>
        <w:adjustRightInd w:val="0"/>
        <w:snapToGrid w:val="0"/>
        <w:spacing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本文件按照GB/T 1.1-2020《标准化工作导则 第1部分：标准化文件的结构和起草规则》的规定起草，同时遵循以下原则：</w:t>
      </w:r>
    </w:p>
    <w:p w14:paraId="2DBAD65D">
      <w:pPr>
        <w:adjustRightInd w:val="0"/>
        <w:snapToGrid w:val="0"/>
        <w:spacing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（1）协调性：本文件中的技术内容与畜牧行业的基础通用知识相协调，与现行牛品种标准的技术内容相协调，与国家现行法律法规如《中华人民共和国畜牧法》和《种畜禽管理条例》等法律法规保持高度一致。</w:t>
      </w:r>
    </w:p>
    <w:p w14:paraId="3312080C">
      <w:pPr>
        <w:adjustRightInd w:val="0"/>
        <w:snapToGrid w:val="0"/>
        <w:spacing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（2）先进性：本文件在制定过程中，在检索国内外相关标准和法律法规的基础上，查阅了大量文献、书籍等，结合</w:t>
      </w:r>
      <w:r>
        <w:rPr>
          <w:rFonts w:hint="eastAsia" w:ascii="仿宋_GB2312" w:hAnsi="仿宋_GB2312" w:eastAsia="仿宋_GB2312" w:cs="仿宋_GB2312"/>
          <w:sz w:val="24"/>
          <w:szCs w:val="24"/>
          <w:lang w:val="en-US" w:eastAsia="zh-CN"/>
        </w:rPr>
        <w:t>张家川红花牛</w:t>
      </w:r>
      <w:r>
        <w:rPr>
          <w:rFonts w:hint="eastAsia" w:ascii="仿宋_GB2312" w:hAnsi="仿宋_GB2312" w:eastAsia="仿宋_GB2312" w:cs="仿宋_GB2312"/>
          <w:sz w:val="24"/>
          <w:szCs w:val="24"/>
        </w:rPr>
        <w:t>生产实践，对张家川红花牛繁殖技术规程中的技术内容做出规定，力求表述准确、信息完整，体现了本标准的先进性原则。</w:t>
      </w:r>
    </w:p>
    <w:p w14:paraId="286F9F29">
      <w:pPr>
        <w:adjustRightInd w:val="0"/>
        <w:snapToGrid w:val="0"/>
        <w:spacing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（3）规范性：本文件严格按照GB/T1.1－2020《标准化工作导则第1部分：标准化文件的结构和起草规则》给出的规定和导则进行标准文本的编写。</w:t>
      </w:r>
    </w:p>
    <w:p w14:paraId="60D10AA7">
      <w:pPr>
        <w:adjustRightInd w:val="0"/>
        <w:snapToGrid w:val="0"/>
        <w:spacing w:line="360" w:lineRule="auto"/>
        <w:ind w:firstLine="560"/>
        <w:rPr>
          <w:rFonts w:hint="eastAsia" w:ascii="仿宋_GB2312" w:hAnsi="仿宋_GB2312" w:eastAsia="仿宋_GB2312" w:cs="仿宋_GB2312"/>
          <w:kern w:val="0"/>
          <w:sz w:val="24"/>
          <w:szCs w:val="24"/>
        </w:rPr>
      </w:pPr>
      <w:r>
        <w:rPr>
          <w:rFonts w:hint="eastAsia" w:ascii="仿宋_GB2312" w:hAnsi="仿宋_GB2312" w:eastAsia="仿宋_GB2312" w:cs="仿宋_GB2312"/>
          <w:sz w:val="24"/>
          <w:szCs w:val="24"/>
        </w:rPr>
        <w:t>（4）适用性：本文件在考虑上述原则的基础上，根据收集整理的资料，结合目前国内的实际情况以及生产实践的相关环节，保证标准内容便于实施。</w:t>
      </w:r>
    </w:p>
    <w:p w14:paraId="3EA93C3D">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textAlignment w:val="auto"/>
        <w:outlineLvl w:val="1"/>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lang w:eastAsia="zh-CN"/>
        </w:rPr>
        <w:t>（</w:t>
      </w:r>
      <w:r>
        <w:rPr>
          <w:rFonts w:hint="eastAsia" w:ascii="仿宋_GB2312" w:hAnsi="仿宋_GB2312" w:eastAsia="仿宋_GB2312" w:cs="仿宋_GB2312"/>
          <w:b/>
          <w:sz w:val="28"/>
          <w:szCs w:val="28"/>
          <w:lang w:val="en-US" w:eastAsia="zh-CN"/>
        </w:rPr>
        <w:t>二</w:t>
      </w:r>
      <w:r>
        <w:rPr>
          <w:rFonts w:hint="eastAsia" w:ascii="仿宋_GB2312" w:hAnsi="仿宋_GB2312" w:eastAsia="仿宋_GB2312" w:cs="仿宋_GB2312"/>
          <w:b/>
          <w:sz w:val="28"/>
          <w:szCs w:val="28"/>
          <w:lang w:eastAsia="zh-CN"/>
        </w:rPr>
        <w:t>）</w:t>
      </w:r>
      <w:r>
        <w:rPr>
          <w:rFonts w:hint="eastAsia" w:ascii="仿宋_GB2312" w:hAnsi="仿宋_GB2312" w:eastAsia="仿宋_GB2312" w:cs="仿宋_GB2312"/>
          <w:b/>
          <w:sz w:val="28"/>
          <w:szCs w:val="28"/>
        </w:rPr>
        <w:t>主要内容及其确定依据</w:t>
      </w:r>
    </w:p>
    <w:p w14:paraId="6F7A5758">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outlineLvl w:val="2"/>
        <w:rPr>
          <w:rFonts w:hint="eastAsia" w:ascii="仿宋_GB2312" w:hAnsi="仿宋_GB2312" w:eastAsia="仿宋_GB2312" w:cs="仿宋_GB2312"/>
          <w:b/>
          <w:i w:val="0"/>
          <w:iCs w:val="0"/>
          <w:sz w:val="24"/>
          <w:szCs w:val="24"/>
        </w:rPr>
      </w:pPr>
      <w:r>
        <w:rPr>
          <w:rFonts w:hint="eastAsia" w:ascii="仿宋_GB2312" w:hAnsi="仿宋_GB2312" w:eastAsia="仿宋_GB2312" w:cs="仿宋_GB2312"/>
          <w:b/>
          <w:i w:val="0"/>
          <w:iCs w:val="0"/>
          <w:sz w:val="24"/>
          <w:szCs w:val="24"/>
        </w:rPr>
        <w:t>2.1范围</w:t>
      </w:r>
    </w:p>
    <w:p w14:paraId="40257872">
      <w:pPr>
        <w:pStyle w:val="14"/>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rPr>
        <w:t>本文件规定了张家川红花牛繁殖技术的术语与定义</w:t>
      </w:r>
      <w:r>
        <w:rPr>
          <w:rFonts w:hint="eastAsia" w:ascii="仿宋_GB2312" w:hAnsi="仿宋_GB2312" w:eastAsia="仿宋_GB2312" w:cs="仿宋_GB2312"/>
          <w:i/>
          <w:iCs/>
          <w:sz w:val="24"/>
          <w:szCs w:val="24"/>
          <w:lang w:eastAsia="zh-CN"/>
        </w:rPr>
        <w:t>、选种选配、</w:t>
      </w:r>
      <w:r>
        <w:rPr>
          <w:rFonts w:hint="eastAsia" w:ascii="仿宋_GB2312" w:hAnsi="仿宋_GB2312" w:eastAsia="仿宋_GB2312" w:cs="仿宋_GB2312"/>
          <w:i/>
          <w:iCs/>
          <w:sz w:val="24"/>
          <w:szCs w:val="24"/>
        </w:rPr>
        <w:t>发情鉴定</w:t>
      </w:r>
      <w:r>
        <w:rPr>
          <w:rFonts w:hint="eastAsia" w:ascii="仿宋_GB2312" w:hAnsi="仿宋_GB2312" w:eastAsia="仿宋_GB2312" w:cs="仿宋_GB2312"/>
          <w:i/>
          <w:iCs/>
          <w:sz w:val="24"/>
          <w:szCs w:val="24"/>
          <w:lang w:eastAsia="zh-CN"/>
        </w:rPr>
        <w:t>、</w:t>
      </w:r>
      <w:r>
        <w:rPr>
          <w:rFonts w:hint="eastAsia" w:ascii="仿宋_GB2312" w:hAnsi="仿宋_GB2312" w:eastAsia="仿宋_GB2312" w:cs="仿宋_GB2312"/>
          <w:i/>
          <w:iCs/>
          <w:sz w:val="24"/>
          <w:szCs w:val="24"/>
        </w:rPr>
        <w:t>人工授精、胚胎移植、妊娠诊断、</w:t>
      </w:r>
      <w:r>
        <w:rPr>
          <w:rFonts w:hint="eastAsia" w:ascii="仿宋_GB2312" w:hAnsi="仿宋_GB2312" w:eastAsia="仿宋_GB2312" w:cs="仿宋_GB2312"/>
          <w:i/>
          <w:iCs/>
          <w:sz w:val="24"/>
          <w:szCs w:val="24"/>
          <w:lang w:eastAsia="zh-CN"/>
        </w:rPr>
        <w:t>分娩</w:t>
      </w:r>
      <w:r>
        <w:rPr>
          <w:rFonts w:hint="eastAsia" w:ascii="仿宋_GB2312" w:hAnsi="仿宋_GB2312" w:eastAsia="仿宋_GB2312" w:cs="仿宋_GB2312"/>
          <w:i/>
          <w:iCs/>
          <w:sz w:val="24"/>
          <w:szCs w:val="24"/>
        </w:rPr>
        <w:t>管理及档案记录等繁殖技术操作要求</w:t>
      </w:r>
      <w:r>
        <w:rPr>
          <w:rFonts w:hint="eastAsia" w:ascii="仿宋_GB2312" w:hAnsi="仿宋_GB2312" w:eastAsia="仿宋_GB2312" w:cs="仿宋_GB2312"/>
          <w:i/>
          <w:iCs/>
          <w:sz w:val="24"/>
          <w:szCs w:val="24"/>
          <w:lang w:eastAsia="zh-CN"/>
        </w:rPr>
        <w:t>。</w:t>
      </w:r>
    </w:p>
    <w:p w14:paraId="04D712EF">
      <w:pPr>
        <w:pStyle w:val="14"/>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本</w:t>
      </w:r>
      <w:r>
        <w:rPr>
          <w:rFonts w:hint="eastAsia" w:ascii="仿宋_GB2312" w:hAnsi="仿宋_GB2312" w:eastAsia="仿宋_GB2312" w:cs="仿宋_GB2312"/>
          <w:i/>
          <w:iCs/>
          <w:sz w:val="24"/>
          <w:szCs w:val="24"/>
          <w:lang w:val="en-US" w:eastAsia="zh-CN"/>
        </w:rPr>
        <w:t>文件</w:t>
      </w:r>
      <w:r>
        <w:rPr>
          <w:rFonts w:hint="eastAsia" w:ascii="仿宋_GB2312" w:hAnsi="仿宋_GB2312" w:eastAsia="仿宋_GB2312" w:cs="仿宋_GB2312"/>
          <w:i/>
          <w:iCs/>
          <w:sz w:val="24"/>
          <w:szCs w:val="24"/>
        </w:rPr>
        <w:t>适用于张家川红花牛的繁殖操作与管理。</w:t>
      </w:r>
    </w:p>
    <w:p w14:paraId="6C95920A">
      <w:pPr>
        <w:spacing w:line="500" w:lineRule="exact"/>
        <w:ind w:firstLine="562"/>
        <w:rPr>
          <w:rFonts w:hint="eastAsia" w:ascii="仿宋_GB2312" w:hAnsi="仿宋_GB2312" w:eastAsia="仿宋_GB2312" w:cs="仿宋_GB2312"/>
          <w:i/>
          <w:iCs/>
          <w:sz w:val="24"/>
          <w:szCs w:val="24"/>
        </w:rPr>
      </w:pPr>
      <w:r>
        <w:rPr>
          <w:rFonts w:hint="eastAsia" w:ascii="仿宋_GB2312" w:hAnsi="仿宋_GB2312" w:eastAsia="仿宋_GB2312" w:cs="仿宋_GB2312"/>
          <w:b/>
          <w:bCs/>
          <w:kern w:val="0"/>
          <w:sz w:val="24"/>
          <w:szCs w:val="24"/>
        </w:rPr>
        <w:t>理由及依据：</w:t>
      </w:r>
    </w:p>
    <w:p w14:paraId="7C7FC9D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按照 GB/T 1.1—2020《标准化工作导则 第 1 部分：标准化文件的结构和起草规则》的规定。</w:t>
      </w:r>
    </w:p>
    <w:p w14:paraId="35985DD6">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outlineLvl w:val="2"/>
        <w:rPr>
          <w:rFonts w:hint="eastAsia" w:ascii="仿宋_GB2312" w:hAnsi="仿宋_GB2312" w:eastAsia="仿宋_GB2312" w:cs="仿宋_GB2312"/>
          <w:b/>
          <w:i w:val="0"/>
          <w:iCs w:val="0"/>
          <w:sz w:val="24"/>
          <w:szCs w:val="24"/>
        </w:rPr>
      </w:pPr>
      <w:r>
        <w:rPr>
          <w:rFonts w:hint="eastAsia" w:ascii="仿宋_GB2312" w:hAnsi="仿宋_GB2312" w:eastAsia="仿宋_GB2312" w:cs="仿宋_GB2312"/>
          <w:b/>
          <w:i w:val="0"/>
          <w:iCs w:val="0"/>
          <w:sz w:val="24"/>
          <w:szCs w:val="24"/>
        </w:rPr>
        <w:t>2.2规范性引用文件</w:t>
      </w:r>
    </w:p>
    <w:p w14:paraId="71BC1191">
      <w:pPr>
        <w:spacing w:line="360" w:lineRule="auto"/>
        <w:ind w:firstLine="560"/>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29D69C97">
      <w:pPr>
        <w:spacing w:line="360" w:lineRule="auto"/>
        <w:ind w:firstLine="560"/>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GB 4143</w:t>
      </w:r>
      <w:r>
        <w:rPr>
          <w:rFonts w:hint="eastAsia" w:ascii="仿宋_GB2312" w:hAnsi="仿宋_GB2312" w:eastAsia="仿宋_GB2312" w:cs="仿宋_GB2312"/>
          <w:i/>
          <w:iCs/>
          <w:sz w:val="24"/>
          <w:szCs w:val="24"/>
          <w:lang w:val="en-US" w:eastAsia="zh-CN"/>
        </w:rPr>
        <w:t xml:space="preserve"> </w:t>
      </w:r>
      <w:r>
        <w:rPr>
          <w:rFonts w:hint="eastAsia" w:ascii="仿宋_GB2312" w:hAnsi="仿宋_GB2312" w:eastAsia="仿宋_GB2312" w:cs="仿宋_GB2312"/>
          <w:i/>
          <w:iCs/>
          <w:sz w:val="24"/>
          <w:szCs w:val="24"/>
        </w:rPr>
        <w:t>牛冷冻精液</w:t>
      </w:r>
    </w:p>
    <w:p w14:paraId="18E600DD">
      <w:pPr>
        <w:spacing w:line="360" w:lineRule="auto"/>
        <w:ind w:firstLine="560"/>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GB/T 5458</w:t>
      </w:r>
      <w:r>
        <w:rPr>
          <w:rFonts w:hint="eastAsia" w:ascii="仿宋_GB2312" w:hAnsi="仿宋_GB2312" w:eastAsia="仿宋_GB2312" w:cs="仿宋_GB2312"/>
          <w:i/>
          <w:iCs/>
          <w:sz w:val="24"/>
          <w:szCs w:val="24"/>
          <w:lang w:val="en-US" w:eastAsia="zh-CN"/>
        </w:rPr>
        <w:t xml:space="preserve"> </w:t>
      </w:r>
      <w:r>
        <w:rPr>
          <w:rFonts w:hint="eastAsia" w:ascii="仿宋_GB2312" w:hAnsi="仿宋_GB2312" w:eastAsia="仿宋_GB2312" w:cs="仿宋_GB2312"/>
          <w:i/>
          <w:iCs/>
          <w:sz w:val="24"/>
          <w:szCs w:val="24"/>
        </w:rPr>
        <w:t>液氮生物容器</w:t>
      </w:r>
    </w:p>
    <w:p w14:paraId="670DC204">
      <w:pPr>
        <w:spacing w:line="360" w:lineRule="auto"/>
        <w:ind w:firstLine="560"/>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NY/T 1335</w:t>
      </w:r>
      <w:r>
        <w:rPr>
          <w:rFonts w:hint="eastAsia" w:ascii="仿宋_GB2312" w:hAnsi="仿宋_GB2312" w:eastAsia="仿宋_GB2312" w:cs="仿宋_GB2312"/>
          <w:i/>
          <w:iCs/>
          <w:sz w:val="24"/>
          <w:szCs w:val="24"/>
          <w:lang w:val="en-US" w:eastAsia="zh-CN"/>
        </w:rPr>
        <w:t xml:space="preserve"> </w:t>
      </w:r>
      <w:r>
        <w:rPr>
          <w:rFonts w:hint="eastAsia" w:ascii="仿宋_GB2312" w:hAnsi="仿宋_GB2312" w:eastAsia="仿宋_GB2312" w:cs="仿宋_GB2312"/>
          <w:i/>
          <w:iCs/>
          <w:sz w:val="24"/>
          <w:szCs w:val="24"/>
        </w:rPr>
        <w:t>牛人工授精技术规程</w:t>
      </w:r>
    </w:p>
    <w:p w14:paraId="3B62EFD4">
      <w:pPr>
        <w:spacing w:line="360" w:lineRule="auto"/>
        <w:ind w:firstLine="560"/>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NY/T 1572</w:t>
      </w:r>
      <w:r>
        <w:rPr>
          <w:rFonts w:hint="eastAsia" w:ascii="仿宋_GB2312" w:hAnsi="仿宋_GB2312" w:eastAsia="仿宋_GB2312" w:cs="仿宋_GB2312"/>
          <w:i/>
          <w:iCs/>
          <w:sz w:val="24"/>
          <w:szCs w:val="24"/>
          <w:lang w:val="en-US" w:eastAsia="zh-CN"/>
        </w:rPr>
        <w:t xml:space="preserve"> </w:t>
      </w:r>
      <w:r>
        <w:rPr>
          <w:rFonts w:hint="eastAsia" w:ascii="仿宋_GB2312" w:hAnsi="仿宋_GB2312" w:eastAsia="仿宋_GB2312" w:cs="仿宋_GB2312"/>
          <w:i/>
          <w:iCs/>
          <w:sz w:val="24"/>
          <w:szCs w:val="24"/>
        </w:rPr>
        <w:t>牛胚胎移植技术规程</w:t>
      </w:r>
    </w:p>
    <w:p w14:paraId="49CB952A">
      <w:pPr>
        <w:spacing w:line="500" w:lineRule="exact"/>
        <w:ind w:firstLine="562"/>
        <w:rPr>
          <w:rFonts w:hint="eastAsia" w:ascii="仿宋_GB2312" w:hAnsi="仿宋_GB2312" w:eastAsia="仿宋_GB2312" w:cs="仿宋_GB2312"/>
          <w:i/>
          <w:iCs/>
          <w:sz w:val="24"/>
          <w:szCs w:val="24"/>
        </w:rPr>
      </w:pPr>
      <w:r>
        <w:rPr>
          <w:rFonts w:hint="eastAsia" w:ascii="仿宋_GB2312" w:hAnsi="仿宋_GB2312" w:eastAsia="仿宋_GB2312" w:cs="仿宋_GB2312"/>
          <w:b/>
          <w:bCs/>
          <w:kern w:val="0"/>
          <w:sz w:val="24"/>
          <w:szCs w:val="24"/>
        </w:rPr>
        <w:t>理由及依据：</w:t>
      </w:r>
    </w:p>
    <w:p w14:paraId="62CBB86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《GB 4143-2022 牛冷冻精液》、《NY/T 1335-2022 牛人工授精技术规程》、《NY/T 1572-2007 牛胚胎移植技术规程》、《GB/T 5458-2012 液氮生物容器》等标准规定了肉牛冷冻精液、人工授精、胚胎移植以及液氮生物容器的操作方法及标准。《张家川红花牛繁殖技术规程》涉及到肉牛冷冻精液标准、人工授精和胚胎移植操作规范以及液氮罐的使用，因此将其列入引用文件。</w:t>
      </w:r>
    </w:p>
    <w:p w14:paraId="0FC298DF">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outlineLvl w:val="2"/>
        <w:rPr>
          <w:rFonts w:hint="eastAsia" w:ascii="仿宋_GB2312" w:hAnsi="仿宋_GB2312" w:eastAsia="仿宋_GB2312" w:cs="仿宋_GB2312"/>
          <w:b/>
          <w:i w:val="0"/>
          <w:iCs w:val="0"/>
          <w:sz w:val="24"/>
          <w:szCs w:val="24"/>
          <w:lang w:val="en-US" w:eastAsia="zh-CN"/>
        </w:rPr>
      </w:pPr>
      <w:r>
        <w:rPr>
          <w:rFonts w:hint="eastAsia" w:ascii="仿宋_GB2312" w:hAnsi="仿宋_GB2312" w:eastAsia="仿宋_GB2312" w:cs="仿宋_GB2312"/>
          <w:b/>
          <w:i w:val="0"/>
          <w:iCs w:val="0"/>
          <w:sz w:val="24"/>
          <w:szCs w:val="24"/>
          <w:lang w:val="en-US" w:eastAsia="zh-CN"/>
        </w:rPr>
        <w:t>2.3种牛选择与培育</w:t>
      </w:r>
    </w:p>
    <w:p w14:paraId="2D117855">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2.3.1核心群选育</w:t>
      </w:r>
    </w:p>
    <w:p w14:paraId="7152F661">
      <w:pPr>
        <w:pStyle w:val="14"/>
        <w:keepNext w:val="0"/>
        <w:keepLines w:val="0"/>
        <w:pageBreakBefore w:val="0"/>
        <w:widowControl/>
        <w:kinsoku/>
        <w:wordWrap/>
        <w:overflowPunct/>
        <w:topLinePunct w:val="0"/>
        <w:autoSpaceDE w:val="0"/>
        <w:autoSpaceDN w:val="0"/>
        <w:bidi w:val="0"/>
        <w:adjustRightInd/>
        <w:snapToGrid/>
        <w:spacing w:line="360" w:lineRule="auto"/>
        <w:ind w:left="0"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外貌特征应符合张家川红花牛的种群特征，体质健壮，生殖器官发育正常。必须系谱清晰，无近亲繁殖记录。</w:t>
      </w:r>
    </w:p>
    <w:p w14:paraId="4E3ED870">
      <w:pPr>
        <w:spacing w:line="500" w:lineRule="exact"/>
        <w:ind w:firstLine="562"/>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b/>
          <w:bCs/>
          <w:kern w:val="0"/>
          <w:sz w:val="24"/>
          <w:szCs w:val="24"/>
        </w:rPr>
        <w:t>理由及依据：</w:t>
      </w:r>
    </w:p>
    <w:p w14:paraId="1C2DD05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本条款的制定基于张家川红花牛品种保护与遗传改良的双重目标，主要依据如下：张家川红花牛历经40余年杂交选育，已形成红白花被毛、体型良好、耐粗饲等相对稳定的典型品种特征，要求核心群个体外貌符合种群特征，旨在维护品种的典型性与一致性，防止品种特征退化或分化，确保核心群在表型上代表优良标准，为扩繁和推广提供可靠种源；体质健壮是种用动物的基本健康要求，选择体质健壮的个体可有效剔除体弱、易患病或发育迟缓者，从源头保证核心群的整体健康水平和抗逆能力，同时保留其耐粗饲的优良适应性，降低养殖风险和饲养成本；生殖器官发育正常是种牛具备繁殖能力的基本前提，无论公牛还是母牛，若存在先天发育缺陷或后天病理性损伤均无法正常配种、受孕或产犊，本项要求可预防因生殖障碍导致的繁殖效率低下，为提高受胎率、产犊成活率和缩短产犊间隔奠定生物学基础；系谱是种牛遗传背景的重要记录档案，要求系谱清晰旨在保证亲本来源可追溯，为选种选配提供准确的遗传信息依据，同时明确要求无近亲繁殖记录，主要是为避免近交衰退导致的繁殖性能下降、遗传缺陷增多、后代活力降低等问题，通过控制近交系数维持核心群的有效群体规模和遗传多样性，保障张家川红花牛种群的长期遗传进展和可持续发展。综上所述，本条款从表型特征、健康状况、繁殖机能及遗传背景四个维度，系统规定了核心群牛只的选育门槛，符合种畜选育的“优中选优”原则，既保障了核心群的品种典型性和健康水平，也为后续繁殖技术的高效实施提供了合格的基础群体。</w:t>
      </w:r>
    </w:p>
    <w:p w14:paraId="56875F40">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2.3.2后备母牛培育</w:t>
      </w:r>
    </w:p>
    <w:p w14:paraId="24AA8F2F">
      <w:pPr>
        <w:pStyle w:val="14"/>
        <w:keepNext w:val="0"/>
        <w:keepLines w:val="0"/>
        <w:pageBreakBefore w:val="0"/>
        <w:widowControl/>
        <w:kinsoku/>
        <w:wordWrap/>
        <w:overflowPunct/>
        <w:topLinePunct w:val="0"/>
        <w:autoSpaceDE w:val="0"/>
        <w:autoSpaceDN w:val="0"/>
        <w:bidi w:val="0"/>
        <w:adjustRightInd/>
        <w:snapToGrid/>
        <w:spacing w:line="360" w:lineRule="auto"/>
        <w:ind w:left="0"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育成牛初配年龄为16~18月龄，体重应达到成年体重的70%以上，于第二次正常发情后开始配种。经产牛产后子宫恢复良好、繁殖机能正常时，首次配种时间为产后60 d~80 d。配种时体况评分（BCS）应保持在3.0~3.5分（5分制），过肥或过瘦均会影响受胎率。</w:t>
      </w:r>
    </w:p>
    <w:p w14:paraId="78049CA6">
      <w:pPr>
        <w:spacing w:line="500" w:lineRule="exact"/>
        <w:ind w:firstLine="562"/>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0502B39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育成牛初配年龄设定为16~18月龄且体重应达到成年体重的70%以上，是因为过早配种时母牛生殖器官和体型尚未发育成熟，易导致难产、胎儿发育不良及母牛自身生长受阻，而过晚配种则增加饲养成本并延长非生产周期；研究表明，肉牛初配年龄以16~18月龄、体重达成年70%以上时，受胎率和产犊成活率均处于理想水平，且对母牛后续生产性能无明显负面影响。要求于第二次正常发情后开始配种，是因为母牛初情期后的第一次发情通常伴随排卵不规律或卵子质量不稳定，而第二次发情时生殖内分泌机能趋于成熟，排卵正常，受胎率显著提高。对于经产牛，产后子宫需要时间复旧，过早配种易导致感染和受胎率下降，过晚则延长产犊间隔、降低生产效率，设定产后60 d~80 d为首配时间，是基于母牛产后子宫复旧约需40~50 d，60 d后多数母牛已恢复2~3次正常发情周期，此时配种可在保障母牛健康的前提下获得较高受胎率，同时实现一年一产的理想生产节奏。配种时体况评分（BCS）保持在3.0~3.5分（5分制），是因为体况过瘦（BCS&lt;3.0）提示能量储备不足，下丘脑-垂体-卵巢轴功能受抑制，卵泡发育受阻、排卵异常、胚胎着床率低；体况过肥（BCS&gt;3.5）则导致脂肪过度沉积，影响卵泡成熟及胚胎发育，且易诱发难产和代谢性疾病。研究证实，BCS在3.0~3.5分时母牛内分泌状态最为稳定，发情表现明显，排卵正常，受胎率可达最高水平。</w:t>
      </w:r>
    </w:p>
    <w:p w14:paraId="0AF5321D">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2.3.3种公牛（冻精）选择</w:t>
      </w:r>
    </w:p>
    <w:p w14:paraId="5FB71566">
      <w:pPr>
        <w:pStyle w:val="14"/>
        <w:keepNext w:val="0"/>
        <w:keepLines w:val="0"/>
        <w:pageBreakBefore w:val="0"/>
        <w:widowControl/>
        <w:kinsoku/>
        <w:wordWrap/>
        <w:overflowPunct/>
        <w:topLinePunct w:val="0"/>
        <w:autoSpaceDE w:val="0"/>
        <w:autoSpaceDN w:val="0"/>
        <w:bidi w:val="0"/>
        <w:adjustRightInd/>
        <w:snapToGrid/>
        <w:spacing w:line="360" w:lineRule="auto"/>
        <w:ind w:left="0"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种公牛应健康无疫病，系谱清晰，外貌特征符合张家川红花牛种群特征，生产性能优异。冻精质量应符合GB 4143的规定。</w:t>
      </w:r>
    </w:p>
    <w:p w14:paraId="4C669757">
      <w:pPr>
        <w:spacing w:line="500" w:lineRule="exact"/>
        <w:ind w:firstLine="562"/>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159C01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种公牛应健康无疫病，这是确保冻精产品生物安全的基本前提，若种公牛携带病原体（如布氏杆菌、牛病毒性腹泻病毒、牛传染性鼻气管炎病毒等），病原体可能通过冻精传播至母牛群，导致繁殖障碍、流产及疫病扩散，从源头上保障人工授精技术的生物安全；系谱清晰是种公牛遗传背景可追溯的重要保证，旨在明确种公牛的亲本来源和遗传组成，为后续选种选配提供准确的遗传信息依据，避免近亲交配导致的繁殖性能下降和遗传缺陷积累，维持红花牛种群的有效群体规模和遗传多样性；外貌特征符合张家川红花牛种群特征，旨在维护品种的典型性与一致性，张家川红花牛历经40余年选育已形成红白花被毛、体型良好、耐粗饲等相对稳定的品种特征，要求种公牛外貌符合种群特征可防止因选育方向偏差导致品种特征退化，确保其后代保持优良的品种典型性；生产性能优异是选择种公牛的核心目标之一，种公牛的生产性能直接影响其后代的生长发育速度和肉用性能，选择生产性能优异的个体可有效传递优良遗传基因，加速红花牛群体的遗传改良进程，提升整体生产水平；冻精质量应符合GB 4143-2022《牛冷冻精液》的规定，这是保障人工授精成功率的必要条件，该国家标准对牛冷冻精液的精子活力、前进运动精子数、畸形率、病原微生物等关键指标作出了明确技术要求，符合该标准的冻精解冻后精子活力高、受精能力强，可确保受胎率达到理想水平，若冻精质量不达标，即便母牛条件优良、输精操作规范也难以获得满意的受胎效果。</w:t>
      </w:r>
    </w:p>
    <w:p w14:paraId="2D9A77E4">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outlineLvl w:val="2"/>
        <w:rPr>
          <w:rFonts w:hint="eastAsia" w:ascii="仿宋_GB2312" w:hAnsi="仿宋_GB2312" w:eastAsia="仿宋_GB2312" w:cs="仿宋_GB2312"/>
          <w:b/>
          <w:i w:val="0"/>
          <w:iCs w:val="0"/>
          <w:sz w:val="24"/>
          <w:szCs w:val="24"/>
          <w:lang w:val="en-US" w:eastAsia="zh-CN"/>
        </w:rPr>
      </w:pPr>
      <w:r>
        <w:rPr>
          <w:rFonts w:hint="eastAsia" w:ascii="仿宋_GB2312" w:hAnsi="仿宋_GB2312" w:eastAsia="仿宋_GB2312" w:cs="仿宋_GB2312"/>
          <w:b/>
          <w:i w:val="0"/>
          <w:iCs w:val="0"/>
          <w:sz w:val="24"/>
          <w:szCs w:val="24"/>
          <w:lang w:val="en-US" w:eastAsia="zh-CN"/>
        </w:rPr>
        <w:t>2.4 繁殖技术</w:t>
      </w:r>
    </w:p>
    <w:p w14:paraId="5ABEFC15">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2.4.1 发情鉴定</w:t>
      </w:r>
    </w:p>
    <w:p w14:paraId="7FFE1F24">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2.4.1.1 外部观察法</w:t>
      </w:r>
    </w:p>
    <w:p w14:paraId="6DE44176">
      <w:pPr>
        <w:pStyle w:val="14"/>
        <w:spacing w:line="360" w:lineRule="auto"/>
        <w:rPr>
          <w:rFonts w:hint="eastAsia" w:ascii="仿宋_GB2312" w:hAnsi="仿宋_GB2312" w:eastAsia="仿宋_GB2312" w:cs="仿宋_GB2312"/>
          <w:i/>
          <w:iCs/>
          <w:sz w:val="24"/>
          <w:szCs w:val="22"/>
          <w:lang w:val="en-US" w:eastAsia="zh-CN"/>
        </w:rPr>
      </w:pPr>
      <w:r>
        <w:rPr>
          <w:rFonts w:hint="eastAsia" w:ascii="仿宋_GB2312" w:hAnsi="仿宋_GB2312" w:eastAsia="仿宋_GB2312" w:cs="仿宋_GB2312"/>
          <w:i/>
          <w:iCs/>
          <w:sz w:val="24"/>
          <w:szCs w:val="22"/>
          <w:lang w:val="en-US" w:eastAsia="zh-CN"/>
        </w:rPr>
        <w:t>根据母牛行为表现和黏液特征，可将发情时期划分为以下三个阶段：</w:t>
      </w:r>
    </w:p>
    <w:p w14:paraId="1BFD6F44">
      <w:pPr>
        <w:pStyle w:val="14"/>
        <w:spacing w:line="360" w:lineRule="auto"/>
        <w:rPr>
          <w:rFonts w:hint="eastAsia" w:ascii="仿宋_GB2312" w:hAnsi="仿宋_GB2312" w:eastAsia="仿宋_GB2312" w:cs="仿宋_GB2312"/>
          <w:i/>
          <w:iCs/>
          <w:sz w:val="24"/>
          <w:szCs w:val="22"/>
          <w:lang w:val="en-US" w:eastAsia="zh-CN"/>
        </w:rPr>
      </w:pPr>
      <w:r>
        <w:rPr>
          <w:rFonts w:hint="eastAsia" w:ascii="仿宋_GB2312" w:hAnsi="仿宋_GB2312" w:eastAsia="仿宋_GB2312" w:cs="仿宋_GB2312"/>
          <w:i/>
          <w:iCs/>
          <w:sz w:val="24"/>
          <w:szCs w:val="22"/>
          <w:lang w:val="en-US" w:eastAsia="zh-CN"/>
        </w:rPr>
        <w:t>a)发情初期：母牛精神兴奋不安，食欲减退，哞叫频繁，开始爬跨其他母牛，但拒绝其他牛爬跨。外阴轻微肿胀，有少量稀薄黏液流出。</w:t>
      </w:r>
    </w:p>
    <w:p w14:paraId="04C57D3C">
      <w:pPr>
        <w:pStyle w:val="14"/>
        <w:spacing w:line="360" w:lineRule="auto"/>
        <w:rPr>
          <w:rFonts w:hint="eastAsia" w:ascii="仿宋_GB2312" w:hAnsi="仿宋_GB2312" w:eastAsia="仿宋_GB2312" w:cs="仿宋_GB2312"/>
          <w:i/>
          <w:iCs/>
          <w:sz w:val="24"/>
          <w:szCs w:val="22"/>
          <w:lang w:val="en-US" w:eastAsia="zh-CN"/>
        </w:rPr>
      </w:pPr>
      <w:r>
        <w:rPr>
          <w:rFonts w:hint="eastAsia" w:ascii="仿宋_GB2312" w:hAnsi="仿宋_GB2312" w:eastAsia="仿宋_GB2312" w:cs="仿宋_GB2312"/>
          <w:i/>
          <w:iCs/>
          <w:sz w:val="24"/>
          <w:szCs w:val="22"/>
          <w:lang w:val="en-US" w:eastAsia="zh-CN"/>
        </w:rPr>
        <w:t>b)发情盛期（配种最佳时期）：母牛静立接受其他牛爬跨，后肢张开，尾巴高举，频繁排尿。外阴肿胀明显，黏液透明且浓稠。</w:t>
      </w:r>
    </w:p>
    <w:p w14:paraId="78588BE4">
      <w:pPr>
        <w:pStyle w:val="14"/>
        <w:spacing w:line="360" w:lineRule="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2"/>
          <w:lang w:val="en-US" w:eastAsia="zh-CN"/>
        </w:rPr>
        <w:t>c）发情后期：爬跨行为减少，不再接受爬跨，逐渐恢复安静，食欲恢复。外阴肿胀消退，黏液量少浑浊呈乳白色或黄白色。</w:t>
      </w:r>
    </w:p>
    <w:p w14:paraId="2D6E6CE1">
      <w:pPr>
        <w:spacing w:line="500" w:lineRule="exact"/>
        <w:ind w:firstLine="562"/>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45EED67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家畜繁殖学》中雌激素与孕激素协同调控的经典规律。发情初期，卵泡分泌的雌二醇增加，引起母牛精神兴奋、爬跨其他牛、外阴微肿并流出稀薄黏液，但因卵泡尚未成熟而拒绝被爬跨；进入发情盛期时，高浓度雌激素触发“静立接受爬跨”这一最可靠的行为指标，同时宫颈口开张、黏液透明浓稠呈蛋清状，此时距排卵约12-18小时，因此被视为配种最佳时期；发情后期排卵完成、黄体形成并分泌孕酮，母牛恢复安静、不再接受爬跨，宫颈口逐渐闭合，残留黏液混入白细胞等而变为浑浊的乳白或黄白色。这一三阶段划分已被我国《奶牛发情鉴定技术规范》及《家畜繁殖学》等教材与行业标准广泛采用，是外部观察法鉴定母牛发情的核心依据。</w:t>
      </w:r>
    </w:p>
    <w:p w14:paraId="18C82F0B">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2.4.1.2 直肠检查法</w:t>
      </w:r>
    </w:p>
    <w:p w14:paraId="76E6315A">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先将母牛保定在保定架内，尾部拉向一侧，清洗外阴，操作人员手臂消毒并涂抹润滑剂后，手掌呈锥形伸入直肠，排出宿粪，手心向下沿直肠壁向前摸索。触摸生殖器官时，子宫在发情状态下表现为稍粗大、质地较软、收缩反应明显（一触即缩），有时可感到子宫内有波动感；卵巢重点触摸卵泡状态，发育期卵泡突出于卵巢表面，如黄豆大小，有波动感，成熟期卵泡增大至核桃大，壁薄紧张，波动明显，一触即破，排卵后卵泡消失，原处凹陷或形成黄体。判定标准为：当触摸到卵泡直径达1.5~2.0 cm，壁薄紧张，波动明显，且子宫颈松软时，即为适宜配种时机（此阶段通常对应静立发情结束后6~12小时排卵）。</w:t>
      </w:r>
    </w:p>
    <w:p w14:paraId="32F9A485">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173096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畜繁殖学中基于生殖器官形态与卵泡发育阶段的生理学规律。发情期母牛在雌激素作用下，子宫充血、组织水肿，因此直肠触摸时可感到子宫稍粗大、质地柔软，且收缩反应敏感；卵巢上卵泡的发育进程与发情行为同步-卵泡发育期（对应发情初期）如黄豆大小、有波动感，成熟期（对应发情盛期至后期）增大至核桃大、壁薄紧张、波动明显、一触即破，提示即将排卵。根据卵泡直径达1.5～2.0 cm、壁薄紧张、波动明显，并结合子宫颈松软（雌激素使宫颈软化、开张），即可判定为最佳配种时机，此时通常处于静立发情结束后6～12小时排卵，输精后精子可在输卵管壶腹部等待卵子受精。该判断标准被《家畜繁殖学》、奶牛繁殖管理技术规范及兽医临床操作指南广泛采用，是直肠检查法鉴定发情与确定输精时间的核心依据。</w:t>
      </w:r>
    </w:p>
    <w:p w14:paraId="4FF8C44C">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2.4.1.3 辅助监测法</w:t>
      </w:r>
    </w:p>
    <w:p w14:paraId="7F8054F2">
      <w:pPr>
        <w:pStyle w:val="14"/>
        <w:spacing w:line="360" w:lineRule="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可选用下列方法辅助监测母牛发情;</w:t>
      </w:r>
    </w:p>
    <w:p w14:paraId="1E7867AA">
      <w:pPr>
        <w:pStyle w:val="22"/>
        <w:numPr>
          <w:ilvl w:val="0"/>
          <w:numId w:val="3"/>
        </w:numPr>
        <w:spacing w:line="360" w:lineRule="auto"/>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lang w:val="en-US" w:eastAsia="zh-CN"/>
        </w:rPr>
        <w:t>涂蜡法：</w:t>
      </w:r>
      <w:r>
        <w:rPr>
          <w:rFonts w:hint="eastAsia" w:ascii="仿宋_GB2312" w:hAnsi="仿宋_GB2312" w:eastAsia="仿宋_GB2312" w:cs="仿宋_GB2312"/>
          <w:b w:val="0"/>
          <w:bCs w:val="0"/>
          <w:i/>
          <w:iCs/>
          <w:sz w:val="24"/>
          <w:szCs w:val="24"/>
        </w:rPr>
        <w:t>在母牛尾根背部涂抹蜡块，通过蜡块磨掉或蹭痕判断是否接受爬跨。</w:t>
      </w:r>
    </w:p>
    <w:p w14:paraId="36901122">
      <w:pPr>
        <w:pStyle w:val="22"/>
        <w:numPr>
          <w:ilvl w:val="0"/>
          <w:numId w:val="3"/>
        </w:numPr>
        <w:spacing w:line="360" w:lineRule="auto"/>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lang w:val="en-US" w:eastAsia="zh-CN"/>
        </w:rPr>
        <w:t>试试</w:t>
      </w:r>
      <w:r>
        <w:rPr>
          <w:rFonts w:hint="eastAsia" w:ascii="仿宋_GB2312" w:hAnsi="仿宋_GB2312" w:eastAsia="仿宋_GB2312" w:cs="仿宋_GB2312"/>
          <w:b w:val="0"/>
          <w:bCs w:val="0"/>
          <w:i/>
          <w:iCs/>
          <w:sz w:val="24"/>
          <w:szCs w:val="24"/>
        </w:rPr>
        <w:t>计步器监测法</w:t>
      </w:r>
      <w:r>
        <w:rPr>
          <w:rFonts w:hint="eastAsia" w:ascii="仿宋_GB2312" w:hAnsi="仿宋_GB2312" w:eastAsia="仿宋_GB2312" w:cs="仿宋_GB2312"/>
          <w:b w:val="0"/>
          <w:bCs w:val="0"/>
          <w:i/>
          <w:iCs/>
          <w:sz w:val="24"/>
          <w:szCs w:val="24"/>
          <w:lang w:eastAsia="zh-CN"/>
        </w:rPr>
        <w:t>：</w:t>
      </w:r>
      <w:r>
        <w:rPr>
          <w:rFonts w:hint="eastAsia" w:ascii="仿宋_GB2312" w:hAnsi="仿宋_GB2312" w:eastAsia="仿宋_GB2312" w:cs="仿宋_GB2312"/>
          <w:b w:val="0"/>
          <w:bCs w:val="0"/>
          <w:i/>
          <w:iCs/>
          <w:sz w:val="24"/>
          <w:szCs w:val="24"/>
        </w:rPr>
        <w:t>通过佩戴电子设备监测活动量，发情母牛活动量通常为平时的2~3倍，系统可自动报警提示</w:t>
      </w:r>
      <w:r>
        <w:rPr>
          <w:rFonts w:hint="eastAsia" w:ascii="仿宋_GB2312" w:hAnsi="仿宋_GB2312" w:eastAsia="仿宋_GB2312" w:cs="仿宋_GB2312"/>
          <w:b w:val="0"/>
          <w:bCs w:val="0"/>
          <w:i/>
          <w:iCs/>
          <w:sz w:val="24"/>
          <w:szCs w:val="24"/>
          <w:lang w:eastAsia="zh-CN"/>
        </w:rPr>
        <w:t>。</w:t>
      </w:r>
    </w:p>
    <w:p w14:paraId="4AF9663C">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959" w:leftChars="228" w:hanging="480" w:hangingChars="200"/>
        <w:textAlignment w:val="auto"/>
        <w:rPr>
          <w:rFonts w:hint="eastAsia" w:ascii="仿宋_GB2312" w:hAnsi="仿宋_GB2312" w:eastAsia="仿宋_GB2312" w:cs="仿宋_GB2312"/>
          <w:b/>
          <w:bCs/>
          <w:i/>
          <w:iCs/>
          <w:sz w:val="24"/>
          <w:szCs w:val="24"/>
          <w:lang w:val="en-US" w:eastAsia="zh-CN"/>
        </w:rPr>
      </w:pPr>
      <w:r>
        <w:rPr>
          <w:rFonts w:hint="eastAsia" w:ascii="仿宋_GB2312" w:hAnsi="仿宋_GB2312" w:eastAsia="仿宋_GB2312" w:cs="仿宋_GB2312"/>
          <w:b w:val="0"/>
          <w:bCs w:val="0"/>
          <w:i/>
          <w:iCs/>
          <w:sz w:val="24"/>
          <w:szCs w:val="24"/>
          <w:lang w:val="en-US" w:eastAsia="zh-CN"/>
        </w:rPr>
        <w:t>c）</w:t>
      </w:r>
      <w:r>
        <w:rPr>
          <w:rFonts w:hint="eastAsia" w:ascii="仿宋_GB2312" w:hAnsi="仿宋_GB2312" w:eastAsia="仿宋_GB2312" w:cs="仿宋_GB2312"/>
          <w:b w:val="0"/>
          <w:bCs w:val="0"/>
          <w:i/>
          <w:iCs/>
          <w:sz w:val="24"/>
          <w:szCs w:val="24"/>
        </w:rPr>
        <w:t>阴道检查法：使用开膣器观察阴道黏膜色泽、充血程度及子宫颈口开张情况，但需严格消毒以防感染。根据牛只发情鉴定结果填写发情记录表（表A.1）</w:t>
      </w:r>
      <w:r>
        <w:rPr>
          <w:rFonts w:hint="eastAsia" w:ascii="仿宋_GB2312" w:hAnsi="仿宋_GB2312" w:eastAsia="仿宋_GB2312" w:cs="仿宋_GB2312"/>
          <w:b w:val="0"/>
          <w:bCs w:val="0"/>
          <w:i/>
          <w:iCs/>
          <w:sz w:val="24"/>
          <w:szCs w:val="24"/>
          <w:lang w:eastAsia="zh-CN"/>
        </w:rPr>
        <w:t>。</w:t>
      </w:r>
    </w:p>
    <w:p w14:paraId="682E3776">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1405C3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涂蜡法基于母牛在发情盛期会“静立接受爬跨”的行为特征，通过在尾根背部涂抹蜡块，其他牛爬跨时产生的摩擦会将蜡块磨掉或形成明显蹭痕，从而间接标记静立发情的发生，该方法简便直观，适合非全天候观察的牛场作为辅助记录手段；计步器监测法依据研究发现，发情母牛由于神经兴奋性增高、活动量显著增加，其每日行走步数或活动强度通常为平时的2～3倍，通过项圈、腿环或耳标式计步器实时采集数据并连接管理系统，当活动量超过设定阈值时系统自动报警提示，可大幅提高发情检出率，尤其适用于规模化牛场对夜间或群体发情的自动监测；阴道检查法利用发情期雌激素作用下阴道黏膜充血、红润、湿润，且子宫颈口松弛、开张、有透明黏液流出的生理变化，使用开膣器直接观察这些指标以辅助判断发情阶段，但该方法由于需接触生殖道，必须严格消毒器械与操作者手臂，以防止病原微生物经阴道侵入子宫引起感染，因此通常作为直肠检查或配种前的补充验证手段，而非日常首选。这三种辅助方法均已被《奶牛发情鉴定技术规范》及规模化养殖管理手册列为有效补充手段，在实际生产中常与外部观察法、直肠检查法配合使用，以弥补单一方法的局限性并提高发情鉴定的准确性与效率。</w:t>
      </w:r>
    </w:p>
    <w:p w14:paraId="5150E7C6">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2.4.2 人工授精</w:t>
      </w:r>
    </w:p>
    <w:p w14:paraId="293ACD2C">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2.4.2.1 冷冻精液的保存</w:t>
      </w:r>
    </w:p>
    <w:p w14:paraId="3B0FBC43">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冷冻精液的保存应严格执行以下要求：首先核对冷冻精液信息，包括种公牛的品种、产地、牛号及生产日期等；定期添加液氮，确保液氮容量不低于液氮罐体积的三分之一。从液氮罐中提取冷冻精液时，提桶上沿应保持在霜结线以下，用镊子迅速夹出，精液离开液氮面的时间不得超过5秒。液氮罐应直立放置在干燥、通风、安全的专用室内，定期检查是否存在氮气泄漏及罐体表面是否结霜，所用液氮罐应符合GB/T 5458的规定。</w:t>
      </w:r>
    </w:p>
    <w:p w14:paraId="67BE32C5">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52E4956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首先，核对种公牛信息是为了保证精液来源可追溯且符合使用标准；其次，定期添加液氮并保持液氮容量不低于罐体体积的三分之一，可确保罐内始终维持在-196℃的低温环境，防止温度升高导致精子活力下降；提取精液时，将提桶上沿保持在霜结线以下，并用镊子在5秒内迅速夹出精液，是为了避免精液在取出过程中因短暂升温而发生冰晶重结晶或膜结构损伤；同时，液氮罐须直立放置在干燥、通风、安全的专用室内，并定期检查氮气泄漏及罐体表面是否结霜，以维持设备真空性能和保温效果，防止安全隐患；最后，所用液氮罐必须符合GB/T 5458-2012的规定，以保证其静态液氮保存期、真空度及机械强度等技术指标达标。这些要求共同构成了冷冻精液长期安全保存与维持受精能力的技术保障体系。</w:t>
      </w:r>
    </w:p>
    <w:p w14:paraId="331A3D1E">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2.4.2.2 冷冻精液的运输</w:t>
      </w:r>
    </w:p>
    <w:p w14:paraId="2E65660F">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冷冻精液运输应使用专用液氮运输罐，运输过程中保持液氮充足，罐体直立固定，避免剧烈震动、撞击和翻倒，定期检查液氮存量及罐体密封性。</w:t>
      </w:r>
    </w:p>
    <w:p w14:paraId="5D3B407D">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05A345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首先，使用专用液氮运输罐是因为运输罐具有更坚固的外壳、优化的抗震结构和较低的液氮蒸发率，能耐受运输中的颠簸与震动，防止液氮外溅或罐体损坏；其次，运输过程中必须保持液氮充足，确保精液始终浸没在液氮（-196℃）或液氮上方低温氮气中，避免因液氮耗尽或温度升高导致精子活力不可逆丧失；第三，罐体必须直立固定、避免剧烈震动、撞击和翻倒—剧烈震动可能破坏精子细胞膜结构或使液氮冲击细管导致泄漏，翻倒则可能使液氮流出或精液细管直接接触温度较高的罐口与颈部，造成快速升温损伤，同时翻倒还会增加密封失效和冷烫伤风险；第四，定期检查液氮存量和罐体密封性，是为了及时发现液氮蒸发异常、真空层失效或密封垫老化，防止精液因“干罐”或液氮泄漏而报废，并避免氮气积聚导致人员缺氧危险。上述要求普遍遵循《牛冷冻精液生产技术规程》（NY/T 1234-2018）及液氮生物容器运输操作规范，是保障冷冻精液长距离或短途运输后解冻活力与受胎率的关键措施。</w:t>
      </w:r>
    </w:p>
    <w:p w14:paraId="5F7C6206">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2.4.2.3 冷冻精液的解冻</w:t>
      </w:r>
    </w:p>
    <w:p w14:paraId="59C16EE5">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 xml:space="preserve">应按GB 4143执行。 </w:t>
      </w:r>
    </w:p>
    <w:p w14:paraId="5F8FF110">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2B5493C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冷冻精液的解冻操作应按照GB 4143-2022《牛冷冻精液》的规定执行，该标准由国家市场监督管理总局和国家标准化管理委员会于2022年12月29日发布、2024年1月1日起实施，由农业农村部提出并归口，适用于牛冷冻精液的生产、检验和使用。标准附录A.3.2明确规定了具体的解冻方法：取2剂细管冷冻精液，置于37℃水浴中解冻，微型细管解冻时间不少于10秒，中型细管不少于15秒，解冻后将样品剪去封口端，用细管推针全部推至同一试管内，混匀后置于37℃水浴中恒温待用。该标准替代了GB 4143-2008版本，在技术要求、取样方法、试验方法等方面进行了重要修订，并引用了GB/T 30396-2013《牛冷冻精液包装、标签、贮存和运输》等相关规范。遵循GB 4143-2022规定的解冻操作规程，可确保冷冻精液解冻后的精子活力、前向运动精子数等质量指标达到标准要求（普通牛精子活力≥40%、前向运动精子数≥600×10⁴个/剂），从而保障人工授精的效果和受胎率。</w:t>
      </w:r>
    </w:p>
    <w:p w14:paraId="088AB136">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2.4.2.4 冷冻精液的质量检查</w:t>
      </w:r>
    </w:p>
    <w:p w14:paraId="6E52B7D3">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每3个月对同批次的冻精进行抽查，精液质量应符合GB 4143的要求。</w:t>
      </w:r>
    </w:p>
    <w:p w14:paraId="23E7E6CC">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理由及依据：</w:t>
      </w:r>
    </w:p>
    <w:p w14:paraId="1E8FF2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该标准将冷冻精液的质量检验分为交收检验和型式检验两种类型，其中型式检验项目包括剂量、精子活力、前向运动精子数、精子畸形率和菌落总数等全部技术要求。标准第7.2.2条明确规定：在冷冻精液生产正常时，每2个月至少进行一次型式检验。在实际操作中，牛场或使用单位通常每3个月对同批次冻精进行抽查，这一做法既符合标准中定期质量监控的原则，也与标准规定的“生产工艺及设备有变更时”“停产3个月以上恢复生产时”应进行型式检验的时间节点逻辑一致。严格执行周期性质量检查，能够确保冷冻精液的各项质量指标始终符合GB 4143-2022的技术要求（普通牛精子活力≥40%、前向运动精子数≥600×10⁴个/剂、精子畸形率≤20%、菌落总数≤500 CFU/剂），从而保障人工授精的效果和受胎率，这也是农业农村部加强牛冷冻精液质量监管、打击生产经营不规范行为的重要依据。</w:t>
      </w:r>
    </w:p>
    <w:p w14:paraId="402AC220">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2.4.2.5 输精方法</w:t>
      </w:r>
    </w:p>
    <w:p w14:paraId="6C689112">
      <w:pPr>
        <w:pStyle w:val="14"/>
        <w:keepNext w:val="0"/>
        <w:keepLines w:val="0"/>
        <w:pageBreakBefore w:val="0"/>
        <w:widowControl/>
        <w:kinsoku/>
        <w:wordWrap/>
        <w:overflowPunct/>
        <w:topLinePunct w:val="0"/>
        <w:autoSpaceDE w:val="0"/>
        <w:autoSpaceDN w:val="0"/>
        <w:bidi w:val="0"/>
        <w:adjustRightInd/>
        <w:snapToGrid/>
        <w:spacing w:line="360" w:lineRule="auto"/>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从事人工授精的技术人员应经过专业培训，掌握人工授精操作技术，熟悉母牛发情鉴定方法，具备张家川红花牛品种识别能力。输精应按 NY/T 1335规定执行，并填写配种记录表（表A.2）。</w:t>
      </w:r>
    </w:p>
    <w:p w14:paraId="1054F120">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485F62B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首先，从事人工授精的技术人员必须经过专业培训，是因为《中华人民共和国畜牧法》明确规定，专门从事家畜人工授精的人员应当取得相应的国家职业资格证书，且人工授精操作具有较强的专业性，技术人员需熟练掌握牛人工授精的基础理论知识、操作规程和牛生殖系统常见病防治技术；其次，技术人员需熟悉母牛发情鉴定方法并具备张家川红花牛品种识别能力，是因为准确判断母牛发情阶段是把握最佳输精时机、保障受胎率的前提，而识别红花牛品种特征则是确保良种繁育方向正确、避免品种混杂的基础；第三，输精操作应按照NY/T 1335-2022规定执行，该标准由农业农村部于2022年11月11日发布、2023年3月1日起实施，确立了牛人工授精操作流程，规定了参配母牛选择、母牛发情鉴定、输精前准备和输精等全部技术要求，适用于普通牛人工授精技术操作；第四，填写配种记录表（表A.2）是标准中明确要求的记录规范，配种记录包括输精时间、所用冻精号、种公牛号、配种员等信息，由畜主和配种员双方签字确认，既可作为繁殖管理和系谱追溯的依据，也是保障双方权益和后续妊娠检查的重要凭证。</w:t>
      </w:r>
    </w:p>
    <w:p w14:paraId="4E663E0C">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2.4.3 胚胎移植</w:t>
      </w:r>
    </w:p>
    <w:p w14:paraId="2632E6E1">
      <w:pPr>
        <w:pStyle w:val="14"/>
        <w:keepNext w:val="0"/>
        <w:keepLines w:val="0"/>
        <w:pageBreakBefore w:val="0"/>
        <w:widowControl/>
        <w:kinsoku/>
        <w:wordWrap/>
        <w:overflowPunct/>
        <w:topLinePunct w:val="0"/>
        <w:autoSpaceDE w:val="0"/>
        <w:autoSpaceDN w:val="0"/>
        <w:bidi w:val="0"/>
        <w:adjustRightInd/>
        <w:snapToGrid/>
        <w:spacing w:line="360" w:lineRule="auto"/>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按NY/T 1572牛胚胎移植技术规程执行。</w:t>
      </w:r>
    </w:p>
    <w:p w14:paraId="3BC12B64">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327F73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该标准由中华人民共和国农业部于2007年12月18日发布、2008年3月1日起实施，由内蒙古自治区家畜改良工作站起草，标准规定了牛胚胎生产和移植技术操作的全过程要求，适用于牛胚胎移植技术操作。该标准在行业内具有重要指导意义，并被相关产业政策文件明确引用，例如内蒙古自治区2024年奶业振兴奶牛性控胚胎补贴项目政策中明确要求移植的胚胎需符合NY/T 1572-2007的要求。按该标准执行可确保胚胎移植技术操作的规范性，提高受胎率，保障良种繁育效果。</w:t>
      </w:r>
    </w:p>
    <w:p w14:paraId="752A4DD9">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2.4.4 妊娠诊断</w:t>
      </w:r>
    </w:p>
    <w:p w14:paraId="1A6577E3">
      <w:pPr>
        <w:pStyle w:val="14"/>
        <w:keepNext w:val="0"/>
        <w:keepLines w:val="0"/>
        <w:pageBreakBefore w:val="0"/>
        <w:widowControl/>
        <w:kinsoku/>
        <w:wordWrap/>
        <w:overflowPunct/>
        <w:topLinePunct w:val="0"/>
        <w:autoSpaceDE w:val="0"/>
        <w:autoSpaceDN w:val="0"/>
        <w:bidi w:val="0"/>
        <w:adjustRightInd/>
        <w:snapToGrid/>
        <w:spacing w:line="360" w:lineRule="auto"/>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按 NY/T 1335规定执行。根据牛只妊娠鉴定结果填写妊娠记录表（表A.3）。</w:t>
      </w:r>
    </w:p>
    <w:p w14:paraId="4B71895A">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28E948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该标准于2022年11月11日发布、2023年3月1日起实施，由农业农村部种业管理司提出、全国畜牧业标准化技术委员会归口，北京奶牛中心等单位起草，是现行有效的农业行业标准。与2007版相比，2022版标准在术语和定义部分明确增加了“妊娠诊断”条目，并在技术流程和证实方法中对妊娠诊断操作作出了相应规定。标准第8章将妊娠诊断列为牛人工授精技术流程的重要环节，要求配种后按规程进行妊娠检查以确认受孕结果，这一规定与陕西省地方标准DB61/T 367.3-2022《荷斯坦牛生产技术规范 第3部分：人工授精与妊娠诊断》将妊娠诊断作为人工授精后续必要步骤的逻辑一致。根据标准规定及配套的牛群繁殖管理要求，完成妊娠鉴定后应填写妊娠记录表（表A.3），记录内容包括配种日期、妊娠检查日期、检查方法、检查结果（妊娠/未妊娠）、胎儿发育情况等信息，该记录既是繁殖效率评估和系谱追溯的依据，也是后续饲养管理调整（如孕期分群、干乳、围产期护理）和未孕牛及时处理的重要凭证。综上，按NY/T 1335-2022执行妊娠诊断并填写表A.3妊娠记录表，是确保牛人工授精技术操作规范化和繁殖管理可追溯化的基本要求。</w:t>
      </w:r>
    </w:p>
    <w:p w14:paraId="21D0AD2D">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2.4.5分娩管理</w:t>
      </w:r>
    </w:p>
    <w:p w14:paraId="286365CA">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2.4.5.1 产前准备</w:t>
      </w:r>
    </w:p>
    <w:p w14:paraId="6258081A">
      <w:pPr>
        <w:pStyle w:val="14"/>
        <w:spacing w:line="360" w:lineRule="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母牛产前准备至少包含以下两个方面：</w:t>
      </w:r>
    </w:p>
    <w:p w14:paraId="168551B0">
      <w:pPr>
        <w:pStyle w:val="22"/>
        <w:numPr>
          <w:ilvl w:val="0"/>
          <w:numId w:val="4"/>
        </w:numPr>
        <w:spacing w:line="360" w:lineRule="auto"/>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产房准备：预产期前15-20天，将母牛转入专用产房。产房应彻底清扫消毒，可使用碘制剂等温和消毒剂（若使用氢氧化钠，消毒后须彻底冲洗），铺设15-20cm厚干燥垫草，冬季温度不低于5℃，夏季保持通风良好。</w:t>
      </w:r>
    </w:p>
    <w:p w14:paraId="3C0D2610">
      <w:pPr>
        <w:pStyle w:val="22"/>
        <w:numPr>
          <w:ilvl w:val="0"/>
          <w:numId w:val="4"/>
        </w:numPr>
        <w:spacing w:line="360" w:lineRule="auto"/>
        <w:rPr>
          <w:rFonts w:hint="eastAsia" w:ascii="仿宋_GB2312" w:hAnsi="仿宋_GB2312" w:eastAsia="仿宋_GB2312" w:cs="仿宋_GB2312"/>
          <w:i/>
          <w:iCs/>
          <w:sz w:val="24"/>
          <w:szCs w:val="24"/>
        </w:rPr>
      </w:pPr>
      <w:r>
        <w:rPr>
          <w:rFonts w:hint="eastAsia" w:ascii="仿宋_GB2312" w:hAnsi="仿宋_GB2312" w:eastAsia="仿宋_GB2312" w:cs="仿宋_GB2312"/>
          <w:i/>
          <w:iCs/>
          <w:sz w:val="24"/>
          <w:szCs w:val="24"/>
        </w:rPr>
        <w:t>分娩监护：产前2周开始实施“减精增草”营养调控，补充维生素及矿物质，预防难产和代谢疾病。每日观察乳房膨大、外阴松弛及尾根韧带变化等临产征兆，落实24小时专人值班制度</w:t>
      </w:r>
      <w:r>
        <w:rPr>
          <w:rFonts w:hint="eastAsia" w:ascii="仿宋_GB2312" w:hAnsi="仿宋_GB2312" w:eastAsia="仿宋_GB2312" w:cs="仿宋_GB2312"/>
          <w:i/>
          <w:iCs/>
          <w:sz w:val="24"/>
          <w:szCs w:val="24"/>
          <w:lang w:eastAsia="zh-CN"/>
        </w:rPr>
        <w:t>。</w:t>
      </w:r>
    </w:p>
    <w:p w14:paraId="6C46F54A">
      <w:pPr>
        <w:pStyle w:val="14"/>
        <w:rPr>
          <w:rFonts w:hint="eastAsia" w:ascii="仿宋_GB2312" w:hAnsi="仿宋_GB2312" w:eastAsia="仿宋_GB2312" w:cs="仿宋_GB2312"/>
          <w:lang w:val="en-US" w:eastAsia="zh-CN"/>
        </w:rPr>
      </w:pPr>
    </w:p>
    <w:p w14:paraId="16863420">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57CADF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预产期前15-20天将母牛转入专用产房，是为了让母牛提前适应分娩环境，减少应激反应，并为围产期精细化饲养管理创造条件。产房彻底清扫消毒，使用碘制剂等温和消毒剂（若用氢氧化钠等强碱性消毒剂则必须彻底冲洗），是为了消除环境中的病原微生物，防止母牛产后感染子宫炎、乳腺炎等疾病，这一要求符合《消毒管理办法》中关于接触皮肤、黏膜器械和用品必须达到消毒要求的规定。铺设15-20cm厚干燥垫草，其依据是规模化牧场的产房管理规范要求垫草厚度不低于15厘米，以提高母牛舒适度、减少能量损失，并保持环境清洁干燥，预防细菌滋生。冬季温度不低于5℃、夏季保持通风良好的要求，源于围产期母牛对温度敏感、冬季需防风防寒（理想室温10-15℃、湿度60%-70%），夏季通风则有助于降低热应激，保障母牛健康。分娩监护方面，产前2周实施“减精增草”营养调控，是因为围产前期母牛需减少精料饲喂量、增加优质青干草比例，以预防难产、便秘及产后代谢疾病（如酮病、乳热），同时额外补充维生素和矿物质可增强母牛免疫力、保证胎儿正常发育。每日观察乳房膨大、外阴松弛及尾根韧带变化等临产征兆，是为了准确判断分娩时间、及时做好接产准备；落实24小时专人值班制度，则是参照国内现代化产房及牛场管理的通行标准，确保能够及时发现异常分娩并采取助产措施，降低母子风险。</w:t>
      </w:r>
    </w:p>
    <w:p w14:paraId="66EDC8CA">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9"/>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2.4.5.2 接产操作</w:t>
      </w:r>
    </w:p>
    <w:p w14:paraId="0B095267">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分娩过程需精准识别母牛起卧不安、乳房溢乳、外阴松弛及破水等临产征兆，遵循“多看少动”原则监护正常分娩，仅在胎儿娩出后清理口鼻黏液并规范消毒脐带；一旦遇破水超1小时无进展、努责微弱或胎位不正等难产情况，助产员须严格消毒润滑后，趁阵痛间歇期矫正胎位并配合母牛努责顺势牵引，严禁强行硬拉以防损伤，经评估确属胎儿过大、无法经产道娩出时，应及时实施剖腹产，术后务必对母牛产道进行消炎处理，预防感染。根据产犊情况填写产犊记录表（表A.4）。</w:t>
      </w:r>
    </w:p>
    <w:p w14:paraId="69ADA645">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kern w:val="0"/>
          <w:sz w:val="24"/>
          <w:szCs w:val="24"/>
        </w:rPr>
        <w:t>理由及依据：</w:t>
      </w:r>
    </w:p>
    <w:p w14:paraId="30D28D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分娩过程中，准确识别母牛起卧不安、乳房溢乳、外阴松弛及破水等临产征兆，是判断产程进展的基础，源于对母牛分娩第一阶段（宫颈开口期，通常持续2-6小时）和第二产程（胎儿产出期）临床表现的总结。接产遵循“多看少动”原则，是因为正常分娩是母牛的自然生理过程，在胎位胎式正常、产程进展顺利时无需人为干预，只需监护并在胎儿娩出后及时清理口鼻黏液、规范消毒脐带，这既是保障犊牛成活率的关键措施，也符合“自然分娩为主、适时干预为辅”的行业技术规范。关于难产判定与处理，其依据在于：破水超过1小时无进展、母牛努责30分钟无进展或努责停止超过15-20分钟、胎位不正等均是需要人工助产的指征，这些时间节点源自对母牛正常产程的临床观察，研究发现早期干预对犊牛存活率和母牛后续繁殖性能最为有利。助产时须严格消毒润滑、趁阵痛间歇期矫正胎位并顺势牵引、严禁强行硬拉，是因为不当操作可能造成母牛产道严重损伤，增加感染风险，并影响产后配种受胎率。对于胎儿过大无法经产道娩出的情况，及时实施剖腹产是保障母子安全的必要措施，研究数据显示剖腹产术前曾尝试牵引失败的犊牛存活率显著低于直接行剖腹产者，因此应尽早决策；术后对母牛产道进行消炎处理（包括使用抗生素或非甾体抗炎药），可有效预防感染、缓解术后疼痛、促进生殖功能恢复，研究表明术前或术后合理用药可缩短产犊间隔、提高再次妊娠率。最后，根据产犊情况填写产犊记录表（表A.4），是我国《畜禽标识和养殖档案管理办法》及《畜牧法》的明确要求，养殖档案应载明繁殖记录，该记录既是后续饲养管理和疾病防控的依据，也是建立畜禽产品可追溯制度的重要组成部分。</w:t>
      </w:r>
    </w:p>
    <w:p w14:paraId="1377E7DD">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outlineLvl w:val="2"/>
        <w:rPr>
          <w:rFonts w:hint="eastAsia" w:ascii="仿宋_GB2312" w:hAnsi="仿宋_GB2312" w:eastAsia="仿宋_GB2312" w:cs="仿宋_GB2312"/>
          <w:b/>
          <w:i w:val="0"/>
          <w:iCs w:val="0"/>
          <w:sz w:val="24"/>
          <w:szCs w:val="24"/>
          <w:lang w:val="en-US" w:eastAsia="zh-CN"/>
        </w:rPr>
      </w:pPr>
      <w:r>
        <w:rPr>
          <w:rFonts w:hint="eastAsia" w:ascii="仿宋_GB2312" w:hAnsi="仿宋_GB2312" w:eastAsia="仿宋_GB2312" w:cs="仿宋_GB2312"/>
          <w:b/>
          <w:i w:val="0"/>
          <w:iCs w:val="0"/>
          <w:sz w:val="24"/>
          <w:szCs w:val="24"/>
          <w:lang w:val="en-US" w:eastAsia="zh-CN"/>
        </w:rPr>
        <w:t>2.5 档案管理</w:t>
      </w:r>
    </w:p>
    <w:p w14:paraId="4917AA9D">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0" w:firstLineChars="200"/>
        <w:textAlignment w:val="auto"/>
        <w:rPr>
          <w:rFonts w:hint="eastAsia" w:ascii="仿宋_GB2312" w:hAnsi="仿宋_GB2312" w:eastAsia="仿宋_GB2312" w:cs="仿宋_GB2312"/>
          <w:i/>
          <w:iCs/>
          <w:sz w:val="24"/>
          <w:szCs w:val="24"/>
          <w:lang w:val="en-US" w:eastAsia="zh-CN"/>
        </w:rPr>
      </w:pPr>
      <w:r>
        <w:rPr>
          <w:rFonts w:hint="eastAsia" w:ascii="仿宋_GB2312" w:hAnsi="仿宋_GB2312" w:eastAsia="仿宋_GB2312" w:cs="仿宋_GB2312"/>
          <w:i/>
          <w:iCs/>
          <w:sz w:val="24"/>
          <w:szCs w:val="24"/>
          <w:lang w:val="en-US" w:eastAsia="zh-CN"/>
        </w:rPr>
        <w:t>繁殖档案应长期保存，可采用纸质档案和电子档案两种形式，便于统计分析、追溯查询。</w:t>
      </w:r>
    </w:p>
    <w:p w14:paraId="7E3966CF">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理由及依据：</w:t>
      </w:r>
    </w:p>
    <w:p w14:paraId="6CD112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关于繁殖档案管理的要求，其依据主要来自于《中华人民共和国畜牧法》、《畜禽标识和养殖档案管理办法》及国家标准化技术规范。根据《畜牧法》第四十一条及《畜禽标识和养殖档案管理办法》第十四条的明确规定，养殖档案应当载明畜禽的品种、数量、繁殖记录、标识情况、来源和进出场日期，以及饲料、饲料添加剂等投入品和兽药的使用情况，并要求档案长期保存，不得涂改、伪造或擅自销毁。采用纸质档案和电子档案两种形式的主要依据在于：纸质档案具有法律凭证效力，不易被篡改，便于存档和签字确认；电子档案则便于数据的自动统计分析、快速检索与远程追溯查询，能够大幅提高繁殖效率分析和系谱管理的效率。两种形式并存，一方面满足了行业标准中关于繁殖记录必须具备可追溯性和完整性的要求，另一方面也为张家川红花牛品种资源保护、选种选配、生产性能测定和疫病防控提供了长期可靠的决策依据。</w:t>
      </w:r>
    </w:p>
    <w:p w14:paraId="110D25B8">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outlineLvl w:val="2"/>
        <w:rPr>
          <w:rFonts w:hint="eastAsia" w:ascii="仿宋_GB2312" w:hAnsi="仿宋_GB2312" w:eastAsia="仿宋_GB2312" w:cs="仿宋_GB2312"/>
          <w:b/>
          <w:i w:val="0"/>
          <w:iCs w:val="0"/>
          <w:sz w:val="24"/>
          <w:szCs w:val="24"/>
          <w:lang w:val="en-US" w:eastAsia="zh-CN"/>
        </w:rPr>
      </w:pPr>
      <w:r>
        <w:rPr>
          <w:rFonts w:hint="eastAsia" w:ascii="仿宋_GB2312" w:hAnsi="仿宋_GB2312" w:eastAsia="仿宋_GB2312" w:cs="仿宋_GB2312"/>
          <w:b/>
          <w:i w:val="0"/>
          <w:iCs w:val="0"/>
          <w:sz w:val="24"/>
          <w:szCs w:val="24"/>
          <w:lang w:val="en-US" w:eastAsia="zh-CN"/>
        </w:rPr>
        <w:t>2.6 繁殖效率指标</w:t>
      </w:r>
    </w:p>
    <w:p w14:paraId="10D853A5">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2.6.1 发情鉴定相关指标</w:t>
      </w:r>
    </w:p>
    <w:tbl>
      <w:tblPr>
        <w:tblStyle w:val="8"/>
        <w:tblW w:w="0" w:type="auto"/>
        <w:jc w:val="center"/>
        <w:tblBorders>
          <w:top w:val="single" w:color="auto" w:sz="12" w:space="0"/>
          <w:left w:val="none" w:color="auto" w:sz="0" w:space="0"/>
          <w:bottom w:val="single" w:color="auto" w:sz="12"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13"/>
        <w:gridCol w:w="1712"/>
        <w:gridCol w:w="3571"/>
      </w:tblGrid>
      <w:tr w14:paraId="465F26AC">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013" w:type="dxa"/>
            <w:tcBorders>
              <w:bottom w:val="single" w:color="auto" w:sz="8" w:space="0"/>
            </w:tcBorders>
            <w:vAlign w:val="center"/>
          </w:tcPr>
          <w:p w14:paraId="1494B9A2">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指标名称</w:t>
            </w:r>
          </w:p>
        </w:tc>
        <w:tc>
          <w:tcPr>
            <w:tcW w:w="1712" w:type="dxa"/>
            <w:tcBorders>
              <w:bottom w:val="single" w:color="auto" w:sz="8" w:space="0"/>
            </w:tcBorders>
            <w:vAlign w:val="center"/>
          </w:tcPr>
          <w:p w14:paraId="623A24E2">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参考值</w:t>
            </w:r>
          </w:p>
        </w:tc>
        <w:tc>
          <w:tcPr>
            <w:tcW w:w="3571" w:type="dxa"/>
            <w:tcBorders>
              <w:bottom w:val="single" w:color="auto" w:sz="8" w:space="0"/>
            </w:tcBorders>
            <w:vAlign w:val="center"/>
          </w:tcPr>
          <w:p w14:paraId="379B9E8B">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说明</w:t>
            </w:r>
          </w:p>
        </w:tc>
      </w:tr>
      <w:tr w14:paraId="6DA93AC6">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013" w:type="dxa"/>
            <w:tcBorders>
              <w:top w:val="single" w:color="auto" w:sz="8" w:space="0"/>
              <w:tl2br w:val="nil"/>
              <w:tr2bl w:val="nil"/>
            </w:tcBorders>
            <w:vAlign w:val="center"/>
          </w:tcPr>
          <w:p w14:paraId="1747D5A9">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发情检出率</w:t>
            </w:r>
          </w:p>
        </w:tc>
        <w:tc>
          <w:tcPr>
            <w:tcW w:w="1712" w:type="dxa"/>
            <w:tcBorders>
              <w:top w:val="single" w:color="auto" w:sz="8" w:space="0"/>
              <w:tl2br w:val="nil"/>
              <w:tr2bl w:val="nil"/>
            </w:tcBorders>
            <w:vAlign w:val="center"/>
          </w:tcPr>
          <w:p w14:paraId="1FA4C82F">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≥85%</w:t>
            </w:r>
          </w:p>
        </w:tc>
        <w:tc>
          <w:tcPr>
            <w:tcW w:w="3571" w:type="dxa"/>
            <w:tcBorders>
              <w:top w:val="single" w:color="auto" w:sz="8" w:space="0"/>
              <w:tl2br w:val="nil"/>
              <w:tr2bl w:val="nil"/>
            </w:tcBorders>
            <w:vAlign w:val="center"/>
          </w:tcPr>
          <w:p w14:paraId="75D43603">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应配种母牛中实际检出发情的比例</w:t>
            </w:r>
          </w:p>
        </w:tc>
      </w:tr>
      <w:tr w14:paraId="6C73BA47">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013" w:type="dxa"/>
            <w:tcBorders>
              <w:tl2br w:val="nil"/>
              <w:tr2bl w:val="nil"/>
            </w:tcBorders>
            <w:vAlign w:val="center"/>
          </w:tcPr>
          <w:p w14:paraId="7BD46604">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发情鉴定准确率</w:t>
            </w:r>
          </w:p>
        </w:tc>
        <w:tc>
          <w:tcPr>
            <w:tcW w:w="1712" w:type="dxa"/>
            <w:tcBorders>
              <w:tl2br w:val="nil"/>
              <w:tr2bl w:val="nil"/>
            </w:tcBorders>
            <w:vAlign w:val="center"/>
          </w:tcPr>
          <w:p w14:paraId="231D5524">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≥90%</w:t>
            </w:r>
          </w:p>
        </w:tc>
        <w:tc>
          <w:tcPr>
            <w:tcW w:w="3571" w:type="dxa"/>
            <w:tcBorders>
              <w:tl2br w:val="nil"/>
              <w:tr2bl w:val="nil"/>
            </w:tcBorders>
            <w:vAlign w:val="center"/>
          </w:tcPr>
          <w:p w14:paraId="3911F418">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检出发情后实际排卵或受胎的比例</w:t>
            </w:r>
          </w:p>
        </w:tc>
      </w:tr>
    </w:tbl>
    <w:p w14:paraId="3EFB48DF">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理由及依据：</w:t>
      </w:r>
    </w:p>
    <w:p w14:paraId="558EBD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发情检出率≥85%的设定，源于对母牛发情周期规律和发情持续时间的研究，单纯的早晚人工观察发情检出率一般低于80%，而结合尾根涂蜡、计步器等辅助手段后可提升至90%以上，因此85%是衡量发情监测体系有效性的基本管理目标；该指标的具体计算公式为：发情检出率=实际检出发情母牛数/应配种母牛数×100%。发情鉴定准确率≥90%的设定，则基于对发情行为表现与排卵时间相关性的认识，发情鉴定准确率直接关系到情期受胎率，行业推荐的繁殖力指标中要求情期受胎率达到65%以上，其中母牛发情时间判断是否准确（即发情鉴定是否精确到静立发情后12-18小时内的排卵窗口）是关键影响因素；该指标的计算公式为：发情鉴定准确率=配种后实际受孕母牛数/检出发情并配种母牛数×100%。上述两项指标共同构成了繁殖效率评估的核心参数，是张家川红花牛养殖过程中衡量发情鉴定工作质量与技术人员操作水平的重要依据。</w:t>
      </w:r>
    </w:p>
    <w:p w14:paraId="728E0662">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2.6.2 配种相关指标</w:t>
      </w:r>
    </w:p>
    <w:p w14:paraId="7C83CB8A">
      <w:pPr>
        <w:pStyle w:val="14"/>
        <w:keepNext w:val="0"/>
        <w:keepLines w:val="0"/>
        <w:pageBreakBefore w:val="0"/>
        <w:widowControl/>
        <w:numPr>
          <w:ilvl w:val="0"/>
          <w:numId w:val="0"/>
        </w:numPr>
        <w:kinsoku/>
        <w:wordWrap/>
        <w:overflowPunct/>
        <w:topLinePunct w:val="0"/>
        <w:autoSpaceDE w:val="0"/>
        <w:autoSpaceDN w:val="0"/>
        <w:bidi w:val="0"/>
        <w:adjustRightInd/>
        <w:snapToGrid/>
        <w:spacing w:before="164" w:beforeLines="50" w:after="164" w:afterLines="50"/>
        <w:ind w:leftChars="0"/>
        <w:textAlignment w:val="auto"/>
        <w:rPr>
          <w:rFonts w:hint="eastAsia" w:ascii="仿宋_GB2312" w:hAnsi="仿宋_GB2312" w:eastAsia="仿宋_GB2312" w:cs="仿宋_GB2312"/>
          <w:sz w:val="24"/>
          <w:szCs w:val="24"/>
          <w:lang w:val="en-US" w:eastAsia="zh-CN"/>
        </w:rPr>
      </w:pPr>
    </w:p>
    <w:tbl>
      <w:tblPr>
        <w:tblStyle w:val="8"/>
        <w:tblW w:w="0" w:type="auto"/>
        <w:jc w:val="center"/>
        <w:tblBorders>
          <w:top w:val="single" w:color="auto" w:sz="12" w:space="0"/>
          <w:left w:val="none" w:color="auto" w:sz="0" w:space="0"/>
          <w:bottom w:val="single" w:color="auto" w:sz="12"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0"/>
        <w:gridCol w:w="2650"/>
        <w:gridCol w:w="3621"/>
      </w:tblGrid>
      <w:tr w14:paraId="22ABECF0">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50" w:type="dxa"/>
            <w:tcBorders>
              <w:tl2br w:val="nil"/>
              <w:tr2bl w:val="nil"/>
            </w:tcBorders>
          </w:tcPr>
          <w:p w14:paraId="5695BA7E">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指标名称</w:t>
            </w:r>
          </w:p>
        </w:tc>
        <w:tc>
          <w:tcPr>
            <w:tcW w:w="2650" w:type="dxa"/>
            <w:tcBorders>
              <w:tl2br w:val="nil"/>
              <w:tr2bl w:val="nil"/>
            </w:tcBorders>
          </w:tcPr>
          <w:p w14:paraId="049FC4B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参考值</w:t>
            </w:r>
          </w:p>
        </w:tc>
        <w:tc>
          <w:tcPr>
            <w:tcW w:w="3621" w:type="dxa"/>
            <w:tcBorders>
              <w:bottom w:val="single" w:color="auto" w:sz="8" w:space="0"/>
            </w:tcBorders>
          </w:tcPr>
          <w:p w14:paraId="61455C11">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说明</w:t>
            </w:r>
          </w:p>
        </w:tc>
      </w:tr>
      <w:tr w14:paraId="0A795B47">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50" w:type="dxa"/>
            <w:tcBorders>
              <w:tl2br w:val="nil"/>
              <w:tr2bl w:val="nil"/>
            </w:tcBorders>
          </w:tcPr>
          <w:p w14:paraId="55A20EA3">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情期受胎率</w:t>
            </w:r>
          </w:p>
        </w:tc>
        <w:tc>
          <w:tcPr>
            <w:tcW w:w="2650" w:type="dxa"/>
            <w:tcBorders>
              <w:tl2br w:val="nil"/>
              <w:tr2bl w:val="nil"/>
            </w:tcBorders>
          </w:tcPr>
          <w:p w14:paraId="2E5C173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核心群≥75%，群体≥60%</w:t>
            </w:r>
          </w:p>
        </w:tc>
        <w:tc>
          <w:tcPr>
            <w:tcW w:w="3621" w:type="dxa"/>
            <w:tcBorders>
              <w:top w:val="single" w:color="auto" w:sz="8" w:space="0"/>
              <w:tl2br w:val="nil"/>
              <w:tr2bl w:val="nil"/>
            </w:tcBorders>
          </w:tcPr>
          <w:p w14:paraId="35A33BA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一个发情周期内配种后受胎的比例</w:t>
            </w:r>
          </w:p>
        </w:tc>
      </w:tr>
      <w:tr w14:paraId="59AD9DD7">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PrEx>
        <w:trPr>
          <w:jc w:val="center"/>
        </w:trPr>
        <w:tc>
          <w:tcPr>
            <w:tcW w:w="1850" w:type="dxa"/>
            <w:tcBorders>
              <w:tl2br w:val="nil"/>
              <w:tr2bl w:val="nil"/>
            </w:tcBorders>
          </w:tcPr>
          <w:p w14:paraId="3617929A">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第一情期受胎率</w:t>
            </w:r>
          </w:p>
        </w:tc>
        <w:tc>
          <w:tcPr>
            <w:tcW w:w="2650" w:type="dxa"/>
            <w:tcBorders>
              <w:tl2br w:val="nil"/>
              <w:tr2bl w:val="nil"/>
            </w:tcBorders>
          </w:tcPr>
          <w:p w14:paraId="5C6E1048">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≥60%</w:t>
            </w:r>
          </w:p>
        </w:tc>
        <w:tc>
          <w:tcPr>
            <w:tcW w:w="3621" w:type="dxa"/>
            <w:tcBorders>
              <w:tl2br w:val="nil"/>
              <w:tr2bl w:val="nil"/>
            </w:tcBorders>
          </w:tcPr>
          <w:p w14:paraId="26AF14D8">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首次配种即受胎的比例</w:t>
            </w:r>
          </w:p>
        </w:tc>
      </w:tr>
      <w:tr w14:paraId="192788F5">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50" w:type="dxa"/>
            <w:tcBorders>
              <w:tl2br w:val="nil"/>
              <w:tr2bl w:val="nil"/>
            </w:tcBorders>
          </w:tcPr>
          <w:p w14:paraId="45E82716">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年总受胎率</w:t>
            </w:r>
          </w:p>
        </w:tc>
        <w:tc>
          <w:tcPr>
            <w:tcW w:w="2650" w:type="dxa"/>
            <w:tcBorders>
              <w:tl2br w:val="nil"/>
              <w:tr2bl w:val="nil"/>
            </w:tcBorders>
          </w:tcPr>
          <w:p w14:paraId="5C16587E">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≥90%</w:t>
            </w:r>
          </w:p>
        </w:tc>
        <w:tc>
          <w:tcPr>
            <w:tcW w:w="3621" w:type="dxa"/>
            <w:tcBorders>
              <w:tl2br w:val="nil"/>
              <w:tr2bl w:val="nil"/>
            </w:tcBorders>
          </w:tcPr>
          <w:p w14:paraId="4F00668B">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年度内应配母牛实际受胎的比例</w:t>
            </w:r>
          </w:p>
        </w:tc>
      </w:tr>
      <w:tr w14:paraId="50DFC4AB">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50" w:type="dxa"/>
            <w:tcBorders>
              <w:tl2br w:val="nil"/>
              <w:tr2bl w:val="nil"/>
            </w:tcBorders>
          </w:tcPr>
          <w:p w14:paraId="1F1930ED">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平均配种次数</w:t>
            </w:r>
          </w:p>
        </w:tc>
        <w:tc>
          <w:tcPr>
            <w:tcW w:w="2650" w:type="dxa"/>
            <w:tcBorders>
              <w:tl2br w:val="nil"/>
              <w:tr2bl w:val="nil"/>
            </w:tcBorders>
          </w:tcPr>
          <w:p w14:paraId="07B9946F">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≤1.8次/受胎</w:t>
            </w:r>
          </w:p>
        </w:tc>
        <w:tc>
          <w:tcPr>
            <w:tcW w:w="3621" w:type="dxa"/>
            <w:tcBorders>
              <w:tl2br w:val="nil"/>
              <w:tr2bl w:val="nil"/>
            </w:tcBorders>
          </w:tcPr>
          <w:p w14:paraId="0B871A9B">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每受胎一头母牛所需的平均配种次数</w:t>
            </w:r>
          </w:p>
        </w:tc>
      </w:tr>
    </w:tbl>
    <w:p w14:paraId="1FCEC06F">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理由及依据：</w:t>
      </w:r>
    </w:p>
    <w:p w14:paraId="04F0C6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情期受胎率核心群≥75%、群体≥60%的设定，源于牛正常情期受胎率的行业参考范围一般为55%~65%，核心群因管理和遗传水平更优而标准更高，计算公式为：情期受胎率=（受胎母牛头数/配种总情期数）×100%。第一情期受胎率≥60%的依据在于，行业标准中第一情期受胎率通常在55%以上，后备母牛可达65%~70%，经产母牛为55%-60%，该指标直接反映公牛精液质量及配种技术水平。年总受胎率≥90%的设定，与行业推荐的肉牛年总受胎率标准（通常要求在90%95%以上）一致，计算公式为：年总受胎率=（年内受胎母牛数/年内配种母牛总数）×100%，反映牛群年度配种计划完成情况。平均配种次数≤1.8次/受胎的依据是行业推荐标准一般为1.5~1.8次以内，若超过2次则意味着配种工作未达标，该指标计算公式为：配种指数=受胎母牛配种总情期数/妊娠母牛头数。上述四项指标共同构成了张家川红花牛养殖过程中衡量配种工作质量和繁殖效率的核心评价体系。</w:t>
      </w:r>
    </w:p>
    <w:p w14:paraId="645B35F3">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2.6.3 产犊相关指标</w:t>
      </w:r>
    </w:p>
    <w:tbl>
      <w:tblPr>
        <w:tblStyle w:val="8"/>
        <w:tblW w:w="0" w:type="auto"/>
        <w:jc w:val="center"/>
        <w:tblBorders>
          <w:top w:val="single" w:color="auto" w:sz="12" w:space="0"/>
          <w:left w:val="none" w:color="auto" w:sz="0" w:space="0"/>
          <w:bottom w:val="single" w:color="auto" w:sz="12"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250"/>
        <w:gridCol w:w="1912"/>
        <w:gridCol w:w="3621"/>
      </w:tblGrid>
      <w:tr w14:paraId="748DA5F9">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250" w:type="dxa"/>
            <w:tcBorders>
              <w:bottom w:val="single" w:color="auto" w:sz="8" w:space="0"/>
            </w:tcBorders>
          </w:tcPr>
          <w:p w14:paraId="004DAA9F">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指标名称</w:t>
            </w:r>
          </w:p>
        </w:tc>
        <w:tc>
          <w:tcPr>
            <w:tcW w:w="1912" w:type="dxa"/>
            <w:tcBorders>
              <w:bottom w:val="single" w:color="auto" w:sz="8" w:space="0"/>
            </w:tcBorders>
          </w:tcPr>
          <w:p w14:paraId="58C34ABA">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参考值</w:t>
            </w:r>
          </w:p>
        </w:tc>
        <w:tc>
          <w:tcPr>
            <w:tcW w:w="3621" w:type="dxa"/>
            <w:tcBorders>
              <w:bottom w:val="single" w:color="auto" w:sz="8" w:space="0"/>
            </w:tcBorders>
          </w:tcPr>
          <w:p w14:paraId="3C9EFE56">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说明</w:t>
            </w:r>
          </w:p>
        </w:tc>
      </w:tr>
      <w:tr w14:paraId="64B8F8CD">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250" w:type="dxa"/>
            <w:tcBorders>
              <w:top w:val="single" w:color="auto" w:sz="8" w:space="0"/>
              <w:tl2br w:val="nil"/>
              <w:tr2bl w:val="nil"/>
            </w:tcBorders>
          </w:tcPr>
          <w:p w14:paraId="5C02F9B9">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产犊间隔</w:t>
            </w:r>
          </w:p>
        </w:tc>
        <w:tc>
          <w:tcPr>
            <w:tcW w:w="1912" w:type="dxa"/>
            <w:tcBorders>
              <w:top w:val="single" w:color="auto" w:sz="8" w:space="0"/>
              <w:tl2br w:val="nil"/>
              <w:tr2bl w:val="nil"/>
            </w:tcBorders>
          </w:tcPr>
          <w:p w14:paraId="69F51799">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≤420天</w:t>
            </w:r>
          </w:p>
        </w:tc>
        <w:tc>
          <w:tcPr>
            <w:tcW w:w="3621" w:type="dxa"/>
            <w:tcBorders>
              <w:top w:val="single" w:color="auto" w:sz="8" w:space="0"/>
              <w:tl2br w:val="nil"/>
              <w:tr2bl w:val="nil"/>
            </w:tcBorders>
          </w:tcPr>
          <w:p w14:paraId="02AA9F04">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两次产犊之间的平均天数</w:t>
            </w:r>
          </w:p>
        </w:tc>
      </w:tr>
      <w:tr w14:paraId="49C6A87F">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250" w:type="dxa"/>
            <w:tcBorders>
              <w:tl2br w:val="nil"/>
              <w:tr2bl w:val="nil"/>
            </w:tcBorders>
          </w:tcPr>
          <w:p w14:paraId="1D7135EC">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难产率</w:t>
            </w:r>
          </w:p>
        </w:tc>
        <w:tc>
          <w:tcPr>
            <w:tcW w:w="1912" w:type="dxa"/>
            <w:tcBorders>
              <w:tl2br w:val="nil"/>
              <w:tr2bl w:val="nil"/>
            </w:tcBorders>
          </w:tcPr>
          <w:p w14:paraId="74057AA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≤8%</w:t>
            </w:r>
          </w:p>
        </w:tc>
        <w:tc>
          <w:tcPr>
            <w:tcW w:w="3621" w:type="dxa"/>
            <w:tcBorders>
              <w:tl2br w:val="nil"/>
              <w:tr2bl w:val="nil"/>
            </w:tcBorders>
          </w:tcPr>
          <w:p w14:paraId="6D0A70D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需要助产或手术分娩的比例</w:t>
            </w:r>
          </w:p>
        </w:tc>
      </w:tr>
      <w:tr w14:paraId="0470924E">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250" w:type="dxa"/>
            <w:tcBorders>
              <w:tl2br w:val="nil"/>
              <w:tr2bl w:val="nil"/>
            </w:tcBorders>
          </w:tcPr>
          <w:p w14:paraId="10EBEEEF">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犊牛成活率（至断奶）</w:t>
            </w:r>
          </w:p>
        </w:tc>
        <w:tc>
          <w:tcPr>
            <w:tcW w:w="1912" w:type="dxa"/>
            <w:tcBorders>
              <w:tl2br w:val="nil"/>
              <w:tr2bl w:val="nil"/>
            </w:tcBorders>
          </w:tcPr>
          <w:p w14:paraId="02CF5611">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≥95%</w:t>
            </w:r>
          </w:p>
        </w:tc>
        <w:tc>
          <w:tcPr>
            <w:tcW w:w="3621" w:type="dxa"/>
            <w:tcBorders>
              <w:tl2br w:val="nil"/>
              <w:tr2bl w:val="nil"/>
            </w:tcBorders>
          </w:tcPr>
          <w:p w14:paraId="697B08B6">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产活犊牛中存活至断奶的比例</w:t>
            </w:r>
          </w:p>
        </w:tc>
      </w:tr>
      <w:tr w14:paraId="2329E198">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250" w:type="dxa"/>
            <w:tcBorders>
              <w:tl2br w:val="nil"/>
              <w:tr2bl w:val="nil"/>
            </w:tcBorders>
          </w:tcPr>
          <w:p w14:paraId="326E087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年产犊率</w:t>
            </w:r>
          </w:p>
        </w:tc>
        <w:tc>
          <w:tcPr>
            <w:tcW w:w="1912" w:type="dxa"/>
            <w:tcBorders>
              <w:tl2br w:val="nil"/>
              <w:tr2bl w:val="nil"/>
            </w:tcBorders>
          </w:tcPr>
          <w:p w14:paraId="21C0BCE2">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≥85%</w:t>
            </w:r>
          </w:p>
        </w:tc>
        <w:tc>
          <w:tcPr>
            <w:tcW w:w="3621" w:type="dxa"/>
            <w:tcBorders>
              <w:tl2br w:val="nil"/>
              <w:tr2bl w:val="nil"/>
            </w:tcBorders>
          </w:tcPr>
          <w:p w14:paraId="7DE1C722">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应产母牛实际产犊的比例</w:t>
            </w:r>
          </w:p>
        </w:tc>
      </w:tr>
    </w:tbl>
    <w:p w14:paraId="18F2EF08">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理由及依据：</w:t>
      </w:r>
    </w:p>
    <w:p w14:paraId="07BBA9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产犊间隔≤420天（约14个月）的设定，源于肉牛生产中对母牛繁殖效率的经济性要求，理想的产犊间隔应为12~13个月（365~395天），≤420天作为管理目标可以容忍一定的配种失败但要求及时补配，该指标直接反映牛群的繁殖管理水平。难产率≤8% 的依据在于，肉牛生产中难产率通常控制在5%~10%以内，合理的选种选配（避免胎儿过大与母牛体格不匹配）和规范的接产操作是控制难产率的关键，产犊难易性状（Calving ease）是北欧等先进育种体系中的功能性性状之一，直接关联犊牛存活率。犊牛成活率（至断奶）≥95% 的设定，与国内肉牛生产实践数据相吻合。研究表明，科学管理的牧场犊牛成活率可达96%~97%，如张掖肉牛选育群体的平均犊牛成活率达97.9%，而行业及格线通常在88%~90%，≥95%属于中高水平管理目标。年产犊率≥85% 的依据在于，肉牛生产中要求每100头适繁母牛每年应产出85头以上断奶犊牛，该指标综合反映了母牛受配率、受胎率、产犊率和犊牛成活率的整体繁殖效率水平，也是美国默克兽医手册推荐的肉牛生产核心经济目标。上述四项指标共同构成了张家川红花牛养殖过程中衡量产犊环节工作质量和繁殖效率的核心评价体系。</w:t>
      </w:r>
    </w:p>
    <w:p w14:paraId="41E5FD3A">
      <w:pPr>
        <w:pStyle w:val="18"/>
        <w:keepNext w:val="0"/>
        <w:keepLines w:val="0"/>
        <w:pageBreakBefore w:val="0"/>
        <w:widowControl/>
        <w:numPr>
          <w:ilvl w:val="0"/>
          <w:numId w:val="0"/>
        </w:numPr>
        <w:kinsoku/>
        <w:wordWrap/>
        <w:overflowPunct/>
        <w:topLinePunct w:val="0"/>
        <w:autoSpaceDE/>
        <w:autoSpaceDN/>
        <w:bidi w:val="0"/>
        <w:adjustRightInd/>
        <w:snapToGrid/>
        <w:spacing w:before="164" w:beforeLines="50" w:after="164" w:afterLines="50"/>
        <w:ind w:leftChars="0"/>
        <w:textAlignment w:val="auto"/>
        <w:outlineLvl w:val="3"/>
        <w:rPr>
          <w:rFonts w:hint="eastAsia" w:ascii="仿宋_GB2312" w:hAnsi="仿宋_GB2312" w:eastAsia="仿宋_GB2312" w:cs="仿宋_GB2312"/>
          <w:i w:val="0"/>
          <w:iCs w:val="0"/>
          <w:sz w:val="24"/>
          <w:szCs w:val="24"/>
          <w:lang w:val="en-US" w:eastAsia="zh-CN"/>
        </w:rPr>
      </w:pPr>
      <w:r>
        <w:rPr>
          <w:rFonts w:hint="eastAsia" w:ascii="仿宋_GB2312" w:hAnsi="仿宋_GB2312" w:eastAsia="仿宋_GB2312" w:cs="仿宋_GB2312"/>
          <w:i w:val="0"/>
          <w:iCs w:val="0"/>
          <w:sz w:val="24"/>
          <w:szCs w:val="24"/>
          <w:lang w:val="en-US" w:eastAsia="zh-CN"/>
        </w:rPr>
        <w:t>2.6.4 繁殖淘汰相关指标</w:t>
      </w:r>
    </w:p>
    <w:tbl>
      <w:tblPr>
        <w:tblStyle w:val="8"/>
        <w:tblW w:w="0" w:type="auto"/>
        <w:jc w:val="center"/>
        <w:tblBorders>
          <w:top w:val="single" w:color="auto" w:sz="12" w:space="0"/>
          <w:left w:val="none" w:color="auto" w:sz="0" w:space="0"/>
          <w:bottom w:val="single" w:color="auto" w:sz="12"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400"/>
        <w:gridCol w:w="1613"/>
        <w:gridCol w:w="4108"/>
      </w:tblGrid>
      <w:tr w14:paraId="7ED936F9">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400" w:type="dxa"/>
            <w:tcBorders>
              <w:bottom w:val="single" w:color="auto" w:sz="8" w:space="0"/>
            </w:tcBorders>
          </w:tcPr>
          <w:p w14:paraId="3379C402">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指标名称</w:t>
            </w:r>
          </w:p>
        </w:tc>
        <w:tc>
          <w:tcPr>
            <w:tcW w:w="1613" w:type="dxa"/>
            <w:tcBorders>
              <w:bottom w:val="single" w:color="auto" w:sz="8" w:space="0"/>
            </w:tcBorders>
          </w:tcPr>
          <w:p w14:paraId="7A745268">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参考值</w:t>
            </w:r>
          </w:p>
        </w:tc>
        <w:tc>
          <w:tcPr>
            <w:tcW w:w="4108" w:type="dxa"/>
            <w:tcBorders>
              <w:bottom w:val="single" w:color="auto" w:sz="8" w:space="0"/>
            </w:tcBorders>
          </w:tcPr>
          <w:p w14:paraId="3DAE7F41">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说明</w:t>
            </w:r>
          </w:p>
        </w:tc>
      </w:tr>
      <w:tr w14:paraId="42A8F7C6">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400" w:type="dxa"/>
            <w:tcBorders>
              <w:top w:val="single" w:color="auto" w:sz="8" w:space="0"/>
              <w:tl2br w:val="nil"/>
              <w:tr2bl w:val="nil"/>
            </w:tcBorders>
          </w:tcPr>
          <w:p w14:paraId="64509E14">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繁殖障碍淘汰率</w:t>
            </w:r>
          </w:p>
        </w:tc>
        <w:tc>
          <w:tcPr>
            <w:tcW w:w="1613" w:type="dxa"/>
            <w:tcBorders>
              <w:top w:val="single" w:color="auto" w:sz="8" w:space="0"/>
              <w:tl2br w:val="nil"/>
              <w:tr2bl w:val="nil"/>
            </w:tcBorders>
          </w:tcPr>
          <w:p w14:paraId="6C805BA6">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≤10%</w:t>
            </w:r>
          </w:p>
        </w:tc>
        <w:tc>
          <w:tcPr>
            <w:tcW w:w="4108" w:type="dxa"/>
            <w:tcBorders>
              <w:top w:val="single" w:color="auto" w:sz="8" w:space="0"/>
              <w:tl2br w:val="nil"/>
              <w:tr2bl w:val="nil"/>
            </w:tcBorders>
          </w:tcPr>
          <w:p w14:paraId="5387BDC0">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因繁殖问题淘汰的母牛占淘汰总数的比例</w:t>
            </w:r>
          </w:p>
        </w:tc>
      </w:tr>
      <w:tr w14:paraId="03236A9C">
        <w:tblPrEx>
          <w:tblBorders>
            <w:top w:val="single" w:color="auto" w:sz="12"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400" w:type="dxa"/>
            <w:tcBorders>
              <w:tl2br w:val="nil"/>
              <w:tr2bl w:val="nil"/>
            </w:tcBorders>
          </w:tcPr>
          <w:p w14:paraId="1BEC35EC">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产后首次配种天数</w:t>
            </w:r>
          </w:p>
        </w:tc>
        <w:tc>
          <w:tcPr>
            <w:tcW w:w="1613" w:type="dxa"/>
            <w:tcBorders>
              <w:tl2br w:val="nil"/>
              <w:tr2bl w:val="nil"/>
            </w:tcBorders>
          </w:tcPr>
          <w:p w14:paraId="1E835904">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0</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0天</w:t>
            </w:r>
          </w:p>
        </w:tc>
        <w:tc>
          <w:tcPr>
            <w:tcW w:w="4108" w:type="dxa"/>
            <w:tcBorders>
              <w:tl2br w:val="nil"/>
              <w:tr2bl w:val="nil"/>
            </w:tcBorders>
          </w:tcPr>
          <w:p w14:paraId="079ABA02">
            <w:pPr>
              <w:numPr>
                <w:ilvl w:val="0"/>
                <w:numId w:val="0"/>
              </w:num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产后至首次配种的平均间隔</w:t>
            </w:r>
          </w:p>
        </w:tc>
      </w:tr>
    </w:tbl>
    <w:p w14:paraId="0C60A691">
      <w:pPr>
        <w:pStyle w:val="14"/>
        <w:rPr>
          <w:rFonts w:hint="eastAsia" w:ascii="仿宋_GB2312" w:hAnsi="仿宋_GB2312" w:eastAsia="仿宋_GB2312" w:cs="仿宋_GB2312"/>
          <w:sz w:val="24"/>
          <w:szCs w:val="24"/>
        </w:rPr>
      </w:pPr>
    </w:p>
    <w:p w14:paraId="1F5F3F50">
      <w:pPr>
        <w:pStyle w:val="14"/>
        <w:keepNext w:val="0"/>
        <w:keepLines w:val="0"/>
        <w:pageBreakBefore w:val="0"/>
        <w:widowControl/>
        <w:numPr>
          <w:ilvl w:val="0"/>
          <w:numId w:val="0"/>
        </w:numPr>
        <w:kinsoku/>
        <w:wordWrap/>
        <w:overflowPunct/>
        <w:topLinePunct w:val="0"/>
        <w:autoSpaceDE w:val="0"/>
        <w:autoSpaceDN w:val="0"/>
        <w:bidi w:val="0"/>
        <w:adjustRightInd/>
        <w:snapToGrid/>
        <w:spacing w:line="360" w:lineRule="auto"/>
        <w:ind w:leftChars="0" w:firstLine="482" w:firstLineChars="200"/>
        <w:textAlignment w:val="auto"/>
        <w:rPr>
          <w:rFonts w:hint="eastAsia"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理由及依据：</w:t>
      </w:r>
    </w:p>
    <w:p w14:paraId="537EE8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繁殖障碍淘汰率≤10% 的设定，源于繁殖障碍是母牛非正常淘汰的主要原因之一，行业标准要求牛群中因繁殖问题（如长期不发情、屡配不孕、子宫内膜炎、卵巢囊肿等）淘汰的个体应控制在淘汰总数的10%以内，该指标是衡量牛群繁殖健康管理和繁殖障碍防控效果的核心参数，超出此比例则提示需加强产后监护和生殖系统疾病防治。产后首次配种天数60—90天的设定，依据在于母牛产后子宫复旧约需30~45天，产后首次发情通常出现在产后20~70天范围内，业内推荐的首次配种时机为产后60-90天，此时子宫与卵巢机能已基本恢复，受胎率最高；内蒙古自治区农牧业技术推广中心则进一步规定“产后40天内首次发情不配种，40-60天内的第二次发情是最佳配种时机，产后60天仍不发情的母牛必须进行生殖系统检查”。</w:t>
      </w:r>
    </w:p>
    <w:p w14:paraId="159EAD57">
      <w:pPr>
        <w:pStyle w:val="14"/>
        <w:rPr>
          <w:rFonts w:hint="eastAsia" w:ascii="仿宋_GB2312" w:hAnsi="仿宋_GB2312" w:eastAsia="仿宋_GB2312" w:cs="仿宋_GB2312"/>
          <w:sz w:val="24"/>
          <w:szCs w:val="24"/>
        </w:rPr>
      </w:pPr>
    </w:p>
    <w:p w14:paraId="206E3A1E">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三、试验验证的分析及预期的经济效益、社会效益和生态效益</w:t>
      </w:r>
    </w:p>
    <w:p w14:paraId="0902BF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张家川红花牛繁殖技术规程》起草完成后，标准编制小组于2026年3月－5月在张家川县志洋种养殖农民专业合作社、旺平种养殖农民专业合作社、大发展种养殖农民专业合作社等张家川红花牛养殖场对规程中的主要技术指标进行了调查验证，验证结果显示，各项内容、指标均符合张家川红花牛的生产实际，技术指标合理、方法科学可行，可操作性强。</w:t>
      </w:r>
    </w:p>
    <w:p w14:paraId="66BF1E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张家川红花牛繁殖技术规程》的制定，对于规范该品种的繁殖与生产具有关键性指导作用。其核心价值在于：通过标准化管理，显著提升张家川红花牛的数量与质量；其根本目的在于加速品种选育进程，以品质增强市场竞争力；其现实意义则体现为“产业增效、牧民增收”的双赢局面。该规程的经济、社会及生态效益预期十分显著。</w:t>
      </w:r>
    </w:p>
    <w:p w14:paraId="4B5751AF">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四、与国际、国外同类标准技术内容的对比情况</w:t>
      </w:r>
    </w:p>
    <w:p w14:paraId="1E8053F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在技术指标与操作规范方面，本规程与国外同类标准（如欧美、澳大利亚等国以良种登记、数据驱动选种选配及精准繁殖效率为核心的畜牧业标准）在核心生殖生理指标、同期发情与人工授精等关键技术参数上保持等效协调，同时充分结合了张家川红花牛的地方品种特性及当地高寒阴湿的饲养环境。相比国外标准对产犊间隔、受胎率等指标的单一商业导向，本规程更注重品种抗逆性与适应性保护，在产房环境控制、难产干预及产后护理等环节突出了针对性的生物安全与动物福利要求。</w:t>
      </w:r>
    </w:p>
    <w:p w14:paraId="1FE4D1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在标准适用性与管理体系方面，本规程严格遵循《中华人民共和国畜牧法》及种畜禽管理办法，在档案记录格式、种牛淘汰标准及疫病防控流程等方面体现行业管理的中国特色，与国外标准在信息化集成管理（如电子耳标、发情自动监测系统）的应用深度上存在一定差异。总体而言，本规程兼顾了国际先进技术参数与国内基层生产实际，既保障了繁殖效率指标的科学性，又确保了在张家川地区养殖条件下的可操作性与推广适应性，经济效益、社会效益及生态效益预期显著。</w:t>
      </w:r>
    </w:p>
    <w:p w14:paraId="20EDDF53">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五、以国际标准为基础的起草情况</w:t>
      </w:r>
    </w:p>
    <w:p w14:paraId="14272AD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该规程在起草过程中，推测为“非等效采用”国际标准，主要基于国内种畜禽管理法规及张家川红花牛的群体特性制定，但技术上参考了世界动物卫生组织（WOAH，旧称OIE）及国际通用的繁殖技术参数。由于国外标准主要针对荷斯坦、安格斯等高产商业品种，本规程需兼顾红花牛的肉用性能、抗逆性及保种选育目标，因此在管理框架（如系谱档案、疫病防控）上严格遵循《中华人民共和国畜牧法》等法规要求，体现本土化调整；而在核心生殖生理指标、冷冻精液解冻及发情鉴定等关键技术参数上，则与ISO、FAO及国际通行标准保持等效协调，形成了“参考国际标准、适应本土需求”的起草模式。</w:t>
      </w:r>
    </w:p>
    <w:p w14:paraId="10E65FAD">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六、与有关法律、行政法规及相关标准的关系</w:t>
      </w:r>
    </w:p>
    <w:p w14:paraId="096E71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本标准制定过程中收集了相关的法律法规及政策措施，对形成新的技术语言要素加以规范。本标准制定符合《中华人民共和国畜牧法》、《中华人民共和国防疫法》、《种畜禽管理条例》等有关法律和法规文件的相关规定。本标准相关内容的规定与现行的法律法规相辅相成，没有冲突。</w:t>
      </w:r>
    </w:p>
    <w:p w14:paraId="3CE36FA2">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七、重大分歧意见的处理经过和依据</w:t>
      </w:r>
    </w:p>
    <w:p w14:paraId="37779D7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《张家川红花牛繁殖技术规程》在制定的过程中我们也广泛征求了意见，并经过多次多层面反复磋商，未出现重大分歧。</w:t>
      </w:r>
    </w:p>
    <w:p w14:paraId="0C84AE86">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八、涉及专利的有关说明</w:t>
      </w:r>
    </w:p>
    <w:p w14:paraId="47EDD9BC">
      <w:pPr>
        <w:spacing w:line="360" w:lineRule="auto"/>
        <w:ind w:firstLine="480" w:firstLineChars="200"/>
        <w:jc w:val="left"/>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经查，未识别到与本标准技术内容有关的专利。</w:t>
      </w:r>
    </w:p>
    <w:p w14:paraId="45E9C854">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九、</w:t>
      </w:r>
      <w:bookmarkStart w:id="0" w:name="OLE_LINK2"/>
      <w:bookmarkStart w:id="1" w:name="OLE_LINK1"/>
      <w:r>
        <w:rPr>
          <w:rFonts w:hint="eastAsia" w:ascii="仿宋_GB2312" w:hAnsi="仿宋_GB2312" w:eastAsia="仿宋_GB2312" w:cs="仿宋_GB2312"/>
          <w:b/>
          <w:sz w:val="30"/>
          <w:szCs w:val="30"/>
        </w:rPr>
        <w:t>实施国家标准的要求，以及组织措施、技术措施、过渡期和实施日期的建议等措施建议</w:t>
      </w:r>
    </w:p>
    <w:bookmarkEnd w:id="0"/>
    <w:bookmarkEnd w:id="1"/>
    <w:p w14:paraId="064998F5">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本标准发布后，应体现充分利用</w:t>
      </w:r>
      <w:r>
        <w:rPr>
          <w:rFonts w:hint="eastAsia" w:ascii="仿宋_GB2312" w:hAnsi="仿宋_GB2312" w:eastAsia="仿宋_GB2312" w:cs="仿宋_GB2312"/>
          <w:kern w:val="0"/>
          <w:sz w:val="24"/>
          <w:szCs w:val="24"/>
          <w:lang w:val="en-US" w:eastAsia="zh-CN"/>
        </w:rPr>
        <w:t>张家川红花牛群体</w:t>
      </w:r>
      <w:r>
        <w:rPr>
          <w:rFonts w:hint="eastAsia" w:ascii="仿宋_GB2312" w:hAnsi="仿宋_GB2312" w:eastAsia="仿宋_GB2312" w:cs="仿宋_GB2312"/>
          <w:kern w:val="0"/>
          <w:sz w:val="24"/>
          <w:szCs w:val="24"/>
        </w:rPr>
        <w:t>的优良特性，发挥该</w:t>
      </w:r>
      <w:r>
        <w:rPr>
          <w:rFonts w:hint="eastAsia" w:ascii="仿宋_GB2312" w:hAnsi="仿宋_GB2312" w:eastAsia="仿宋_GB2312" w:cs="仿宋_GB2312"/>
          <w:kern w:val="0"/>
          <w:sz w:val="24"/>
          <w:szCs w:val="24"/>
          <w:lang w:val="en-US" w:eastAsia="zh-CN"/>
        </w:rPr>
        <w:t>群体</w:t>
      </w:r>
      <w:r>
        <w:rPr>
          <w:rFonts w:hint="eastAsia" w:ascii="仿宋_GB2312" w:hAnsi="仿宋_GB2312" w:eastAsia="仿宋_GB2312" w:cs="仿宋_GB2312"/>
          <w:kern w:val="0"/>
          <w:sz w:val="24"/>
          <w:szCs w:val="24"/>
        </w:rPr>
        <w:t>在肉</w:t>
      </w:r>
      <w:r>
        <w:rPr>
          <w:rFonts w:hint="eastAsia" w:ascii="仿宋_GB2312" w:hAnsi="仿宋_GB2312" w:eastAsia="仿宋_GB2312" w:cs="仿宋_GB2312"/>
          <w:kern w:val="0"/>
          <w:sz w:val="24"/>
          <w:szCs w:val="24"/>
          <w:lang w:val="en-US" w:eastAsia="zh-CN"/>
        </w:rPr>
        <w:t>用</w:t>
      </w:r>
      <w:r>
        <w:rPr>
          <w:rFonts w:hint="eastAsia" w:ascii="仿宋_GB2312" w:hAnsi="仿宋_GB2312" w:eastAsia="仿宋_GB2312" w:cs="仿宋_GB2312"/>
          <w:kern w:val="0"/>
          <w:sz w:val="24"/>
          <w:szCs w:val="24"/>
        </w:rPr>
        <w:t>性能方面的突出特点，进一步促进我国</w:t>
      </w:r>
      <w:r>
        <w:rPr>
          <w:rFonts w:hint="eastAsia" w:ascii="仿宋_GB2312" w:hAnsi="仿宋_GB2312" w:eastAsia="仿宋_GB2312" w:cs="仿宋_GB2312"/>
          <w:kern w:val="0"/>
          <w:sz w:val="24"/>
          <w:szCs w:val="24"/>
          <w:lang w:val="en-US" w:eastAsia="zh-CN"/>
        </w:rPr>
        <w:t>肉牛</w:t>
      </w:r>
      <w:r>
        <w:rPr>
          <w:rFonts w:hint="eastAsia" w:ascii="仿宋_GB2312" w:hAnsi="仿宋_GB2312" w:eastAsia="仿宋_GB2312" w:cs="仿宋_GB2312"/>
          <w:kern w:val="0"/>
          <w:sz w:val="24"/>
          <w:szCs w:val="24"/>
        </w:rPr>
        <w:t>产业高质量发展，带动养殖场（户）增收致富。在此基础上确定今后选育和利用的方向，各相关部门应密切配合，在财、人、物等方面予以大力支持和充分保证，迅速组织开展本标准的宣贯、实施工作。</w:t>
      </w:r>
    </w:p>
    <w:p w14:paraId="0D9F6965">
      <w:pPr>
        <w:keepNext w:val="0"/>
        <w:keepLines w:val="0"/>
        <w:pageBreakBefore w:val="0"/>
        <w:widowControl w:val="0"/>
        <w:kinsoku/>
        <w:wordWrap/>
        <w:overflowPunct/>
        <w:topLinePunct w:val="0"/>
        <w:autoSpaceDE/>
        <w:autoSpaceDN/>
        <w:bidi w:val="0"/>
        <w:adjustRightInd w:val="0"/>
        <w:snapToGrid w:val="0"/>
        <w:spacing w:before="156" w:beforeLines="50" w:after="156" w:afterLines="50" w:line="360" w:lineRule="auto"/>
        <w:textAlignment w:val="auto"/>
        <w:outlineLvl w:val="0"/>
        <w:rPr>
          <w:rFonts w:hint="eastAsia" w:ascii="仿宋_GB2312" w:hAnsi="仿宋_GB2312" w:eastAsia="仿宋_GB2312" w:cs="仿宋_GB2312"/>
          <w:b/>
          <w:sz w:val="30"/>
          <w:szCs w:val="30"/>
        </w:rPr>
      </w:pPr>
      <w:r>
        <w:rPr>
          <w:rFonts w:hint="eastAsia" w:ascii="仿宋_GB2312" w:hAnsi="仿宋_GB2312" w:eastAsia="仿宋_GB2312" w:cs="仿宋_GB2312"/>
          <w:b/>
          <w:sz w:val="30"/>
          <w:szCs w:val="30"/>
        </w:rPr>
        <w:t>十、其他应予说明的事项</w:t>
      </w:r>
    </w:p>
    <w:p w14:paraId="1CB4B90D">
      <w:pPr>
        <w:spacing w:line="360" w:lineRule="auto"/>
        <w:ind w:firstLine="480" w:firstLineChars="200"/>
        <w:jc w:val="left"/>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本文件没有需要说明的其他事项。</w:t>
      </w:r>
    </w:p>
    <w:p w14:paraId="3C451408">
      <w:pPr>
        <w:spacing w:line="360" w:lineRule="auto"/>
        <w:jc w:val="left"/>
        <w:rPr>
          <w:rFonts w:hint="eastAsia" w:ascii="仿宋_GB2312" w:hAnsi="仿宋_GB2312" w:eastAsia="仿宋_GB2312" w:cs="仿宋_GB2312"/>
          <w:sz w:val="24"/>
          <w:szCs w:val="24"/>
        </w:rPr>
      </w:pPr>
    </w:p>
    <w:p w14:paraId="2B32821B">
      <w:pPr>
        <w:spacing w:line="360" w:lineRule="auto"/>
        <w:ind w:firstLine="480" w:firstLineChars="200"/>
        <w:jc w:val="right"/>
        <w:rPr>
          <w:rFonts w:hint="eastAsia" w:ascii="仿宋_GB2312" w:hAnsi="仿宋_GB2312" w:eastAsia="仿宋_GB2312" w:cs="仿宋_GB2312"/>
          <w:sz w:val="24"/>
          <w:szCs w:val="24"/>
        </w:rPr>
      </w:pPr>
    </w:p>
    <w:p w14:paraId="02B7F630">
      <w:pPr>
        <w:spacing w:line="360" w:lineRule="auto"/>
        <w:ind w:firstLine="480" w:firstLineChars="200"/>
        <w:jc w:val="right"/>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《张家川红花牛繁殖技术规程》团体标准编制小组</w:t>
      </w:r>
    </w:p>
    <w:p w14:paraId="1C67D0F3">
      <w:pPr>
        <w:spacing w:line="360" w:lineRule="auto"/>
        <w:ind w:firstLine="480" w:firstLineChars="200"/>
        <w:jc w:val="right"/>
        <w:rPr>
          <w:rFonts w:hint="eastAsia" w:ascii="仿宋_GB2312" w:hAnsi="仿宋_GB2312" w:eastAsia="仿宋_GB2312" w:cs="仿宋_GB2312"/>
          <w:kern w:val="0"/>
          <w:sz w:val="24"/>
          <w:szCs w:val="24"/>
        </w:rPr>
      </w:pPr>
      <w:r>
        <w:rPr>
          <w:rFonts w:hint="eastAsia" w:ascii="仿宋_GB2312" w:hAnsi="仿宋_GB2312" w:eastAsia="仿宋_GB2312" w:cs="仿宋_GB2312"/>
          <w:sz w:val="24"/>
          <w:szCs w:val="24"/>
        </w:rPr>
        <w:t xml:space="preserve">                   </w:t>
      </w:r>
      <w:r>
        <w:rPr>
          <w:rFonts w:hint="eastAsia" w:ascii="仿宋_GB2312" w:hAnsi="仿宋_GB2312" w:eastAsia="仿宋_GB2312" w:cs="仿宋_GB2312"/>
          <w:kern w:val="0"/>
          <w:sz w:val="24"/>
          <w:szCs w:val="24"/>
        </w:rPr>
        <w:t xml:space="preserve">                 202</w:t>
      </w:r>
      <w:r>
        <w:rPr>
          <w:rFonts w:hint="eastAsia" w:ascii="仿宋_GB2312" w:hAnsi="仿宋_GB2312" w:eastAsia="仿宋_GB2312" w:cs="仿宋_GB2312"/>
          <w:kern w:val="0"/>
          <w:sz w:val="24"/>
          <w:szCs w:val="24"/>
          <w:lang w:val="en-US" w:eastAsia="zh-CN"/>
        </w:rPr>
        <w:t>6</w:t>
      </w:r>
      <w:r>
        <w:rPr>
          <w:rFonts w:hint="eastAsia" w:ascii="仿宋_GB2312" w:hAnsi="仿宋_GB2312" w:eastAsia="仿宋_GB2312" w:cs="仿宋_GB2312"/>
          <w:kern w:val="0"/>
          <w:sz w:val="24"/>
          <w:szCs w:val="24"/>
        </w:rPr>
        <w:t>年</w:t>
      </w:r>
      <w:r>
        <w:rPr>
          <w:rFonts w:hint="eastAsia" w:ascii="仿宋_GB2312" w:hAnsi="仿宋_GB2312" w:eastAsia="仿宋_GB2312" w:cs="仿宋_GB2312"/>
          <w:kern w:val="0"/>
          <w:sz w:val="24"/>
          <w:szCs w:val="24"/>
          <w:lang w:val="en-US" w:eastAsia="zh-CN"/>
        </w:rPr>
        <w:t>5</w:t>
      </w:r>
      <w:bookmarkStart w:id="2" w:name="_GoBack"/>
      <w:bookmarkEnd w:id="2"/>
      <w:r>
        <w:rPr>
          <w:rFonts w:hint="eastAsia" w:ascii="仿宋_GB2312" w:hAnsi="仿宋_GB2312" w:eastAsia="仿宋_GB2312" w:cs="仿宋_GB2312"/>
          <w:kern w:val="0"/>
          <w:sz w:val="24"/>
          <w:szCs w:val="24"/>
        </w:rPr>
        <w:t>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KSOFE4507CE4">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954348"/>
    <w:multiLevelType w:val="multilevel"/>
    <w:tmpl w:val="06954348"/>
    <w:lvl w:ilvl="0" w:tentative="0">
      <w:start w:val="1"/>
      <w:numFmt w:val="decimal"/>
      <w:pStyle w:val="18"/>
      <w:lvlText w:val="%1."/>
      <w:lvlJc w:val="left"/>
      <w:pPr>
        <w:tabs>
          <w:tab w:val="left" w:pos="720"/>
        </w:tabs>
        <w:ind w:left="720" w:hanging="720"/>
      </w:pPr>
    </w:lvl>
    <w:lvl w:ilvl="1" w:tentative="0">
      <w:start w:val="1"/>
      <w:numFmt w:val="decimal"/>
      <w:pStyle w:val="19"/>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1">
    <w:nsid w:val="44C50F90"/>
    <w:multiLevelType w:val="multilevel"/>
    <w:tmpl w:val="44C50F90"/>
    <w:lvl w:ilvl="0" w:tentative="0">
      <w:start w:val="1"/>
      <w:numFmt w:val="lowerLetter"/>
      <w:pStyle w:val="22"/>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6D6"/>
    <w:rsid w:val="00044F8D"/>
    <w:rsid w:val="000750D3"/>
    <w:rsid w:val="000F076A"/>
    <w:rsid w:val="00111698"/>
    <w:rsid w:val="001371B2"/>
    <w:rsid w:val="003723DD"/>
    <w:rsid w:val="003F2A23"/>
    <w:rsid w:val="00432688"/>
    <w:rsid w:val="004D7E16"/>
    <w:rsid w:val="005E1B09"/>
    <w:rsid w:val="006A7299"/>
    <w:rsid w:val="006E515E"/>
    <w:rsid w:val="00786734"/>
    <w:rsid w:val="007C76F7"/>
    <w:rsid w:val="00931091"/>
    <w:rsid w:val="009876D6"/>
    <w:rsid w:val="009D2F17"/>
    <w:rsid w:val="009F023A"/>
    <w:rsid w:val="00A97677"/>
    <w:rsid w:val="00AA2ABE"/>
    <w:rsid w:val="00AC3F10"/>
    <w:rsid w:val="00B41D8C"/>
    <w:rsid w:val="00B702FD"/>
    <w:rsid w:val="00B72DA2"/>
    <w:rsid w:val="00BA4BE4"/>
    <w:rsid w:val="00BB273D"/>
    <w:rsid w:val="00DD2913"/>
    <w:rsid w:val="00E32A38"/>
    <w:rsid w:val="00E3504F"/>
    <w:rsid w:val="00E8251B"/>
    <w:rsid w:val="00EA165A"/>
    <w:rsid w:val="0E256F38"/>
    <w:rsid w:val="0E8C5CAD"/>
    <w:rsid w:val="0F511790"/>
    <w:rsid w:val="1C822F7F"/>
    <w:rsid w:val="218F281A"/>
    <w:rsid w:val="58902B3C"/>
    <w:rsid w:val="5AD034DF"/>
    <w:rsid w:val="62674B0A"/>
    <w:rsid w:val="66E74ADF"/>
    <w:rsid w:val="67D3450D"/>
    <w:rsid w:val="67E456CF"/>
    <w:rsid w:val="6E1C634C"/>
    <w:rsid w:val="6F7C734C"/>
    <w:rsid w:val="71927F52"/>
    <w:rsid w:val="73121DD9"/>
    <w:rsid w:val="73FF4B9F"/>
    <w:rsid w:val="74646D76"/>
    <w:rsid w:val="76D7031F"/>
    <w:rsid w:val="7AC14E4D"/>
    <w:rsid w:val="7C363B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line="360" w:lineRule="auto"/>
      <w:ind w:firstLine="0" w:firstLineChars="0"/>
      <w:outlineLvl w:val="0"/>
    </w:pPr>
    <w:rPr>
      <w:rFonts w:eastAsia="黑体"/>
      <w:bCs/>
      <w:kern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link w:val="16"/>
    <w:qFormat/>
    <w:uiPriority w:val="0"/>
    <w:pPr>
      <w:ind w:firstLine="600" w:firstLineChars="200"/>
    </w:pPr>
    <w:rPr>
      <w:rFonts w:ascii="宋体" w:hAnsi="宋体" w:eastAsia="宋体" w:cs="Times New Roman"/>
      <w:sz w:val="30"/>
      <w:szCs w:val="24"/>
    </w:rPr>
  </w:style>
  <w:style w:type="paragraph" w:styleId="4">
    <w:name w:val="Date"/>
    <w:basedOn w:val="1"/>
    <w:next w:val="1"/>
    <w:link w:val="20"/>
    <w:semiHidden/>
    <w:unhideWhenUsed/>
    <w:qFormat/>
    <w:uiPriority w:val="99"/>
    <w:pPr>
      <w:ind w:left="100" w:leftChars="2500"/>
    </w:p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Char"/>
    <w:basedOn w:val="9"/>
    <w:link w:val="6"/>
    <w:qFormat/>
    <w:uiPriority w:val="99"/>
    <w:rPr>
      <w:sz w:val="18"/>
      <w:szCs w:val="18"/>
    </w:rPr>
  </w:style>
  <w:style w:type="character" w:customStyle="1" w:styleId="11">
    <w:name w:val="页脚 Char"/>
    <w:basedOn w:val="9"/>
    <w:link w:val="5"/>
    <w:qFormat/>
    <w:uiPriority w:val="99"/>
    <w:rPr>
      <w:sz w:val="18"/>
      <w:szCs w:val="18"/>
    </w:rPr>
  </w:style>
  <w:style w:type="paragraph" w:customStyle="1" w:styleId="12">
    <w:name w:val="标准文件_段"/>
    <w:link w:val="13"/>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3">
    <w:name w:val="标准文件_段 Char"/>
    <w:link w:val="12"/>
    <w:qFormat/>
    <w:uiPriority w:val="0"/>
    <w:rPr>
      <w:rFonts w:ascii="宋体" w:hAnsi="Times New Roman" w:eastAsia="宋体" w:cs="Times New Roman"/>
      <w:kern w:val="0"/>
      <w:szCs w:val="20"/>
    </w:rPr>
  </w:style>
  <w:style w:type="paragraph" w:customStyle="1" w:styleId="14">
    <w:name w:val="段"/>
    <w:link w:val="15"/>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kern w:val="0"/>
      <w:sz w:val="21"/>
      <w:szCs w:val="20"/>
      <w:lang w:val="en-US" w:eastAsia="zh-CN" w:bidi="ar-SA"/>
    </w:rPr>
  </w:style>
  <w:style w:type="character" w:customStyle="1" w:styleId="15">
    <w:name w:val="段 Char"/>
    <w:basedOn w:val="9"/>
    <w:link w:val="14"/>
    <w:qFormat/>
    <w:uiPriority w:val="0"/>
    <w:rPr>
      <w:rFonts w:ascii="宋体" w:hAnsi="Times New Roman" w:eastAsia="宋体" w:cs="Times New Roman"/>
      <w:kern w:val="0"/>
      <w:szCs w:val="20"/>
    </w:rPr>
  </w:style>
  <w:style w:type="character" w:customStyle="1" w:styleId="16">
    <w:name w:val="正文文本缩进 Char"/>
    <w:basedOn w:val="9"/>
    <w:link w:val="3"/>
    <w:qFormat/>
    <w:uiPriority w:val="0"/>
    <w:rPr>
      <w:rFonts w:ascii="宋体" w:hAnsi="宋体" w:eastAsia="宋体" w:cs="Times New Roman"/>
      <w:sz w:val="30"/>
      <w:szCs w:val="24"/>
    </w:rPr>
  </w:style>
  <w:style w:type="paragraph" w:customStyle="1" w:styleId="17">
    <w:name w:val="二级条标题"/>
    <w:basedOn w:val="1"/>
    <w:next w:val="14"/>
    <w:qFormat/>
    <w:uiPriority w:val="0"/>
    <w:pPr>
      <w:widowControl/>
      <w:tabs>
        <w:tab w:val="left" w:pos="720"/>
        <w:tab w:val="left" w:pos="2160"/>
      </w:tabs>
      <w:jc w:val="left"/>
      <w:outlineLvl w:val="3"/>
    </w:pPr>
    <w:rPr>
      <w:rFonts w:ascii="Times New Roman" w:hAnsi="Times New Roman" w:eastAsia="黑体" w:cs="Times New Roman"/>
      <w:kern w:val="0"/>
      <w:szCs w:val="20"/>
    </w:rPr>
  </w:style>
  <w:style w:type="paragraph" w:customStyle="1" w:styleId="18">
    <w:name w:val="章标题"/>
    <w:next w:val="14"/>
    <w:qFormat/>
    <w:uiPriority w:val="0"/>
    <w:pPr>
      <w:numPr>
        <w:ilvl w:val="0"/>
        <w:numId w:val="1"/>
      </w:numPr>
      <w:spacing w:beforeLines="100" w:afterLines="100"/>
      <w:jc w:val="both"/>
      <w:outlineLvl w:val="1"/>
    </w:pPr>
    <w:rPr>
      <w:rFonts w:ascii="黑体" w:hAnsi="Times New Roman" w:eastAsia="黑体" w:cs="Times New Roman"/>
      <w:kern w:val="0"/>
      <w:sz w:val="21"/>
      <w:szCs w:val="20"/>
      <w:lang w:val="en-US" w:eastAsia="zh-CN" w:bidi="ar-SA"/>
    </w:rPr>
  </w:style>
  <w:style w:type="paragraph" w:customStyle="1" w:styleId="19">
    <w:name w:val="一级无"/>
    <w:basedOn w:val="1"/>
    <w:qFormat/>
    <w:uiPriority w:val="0"/>
    <w:pPr>
      <w:widowControl/>
      <w:numPr>
        <w:ilvl w:val="1"/>
        <w:numId w:val="1"/>
      </w:numPr>
      <w:jc w:val="left"/>
      <w:outlineLvl w:val="2"/>
    </w:pPr>
    <w:rPr>
      <w:rFonts w:ascii="宋体" w:hAnsi="Times New Roman" w:eastAsia="宋体" w:cs="Times New Roman"/>
      <w:kern w:val="0"/>
      <w:szCs w:val="21"/>
    </w:rPr>
  </w:style>
  <w:style w:type="character" w:customStyle="1" w:styleId="20">
    <w:name w:val="日期 Char"/>
    <w:basedOn w:val="9"/>
    <w:link w:val="4"/>
    <w:semiHidden/>
    <w:qFormat/>
    <w:uiPriority w:val="99"/>
  </w:style>
  <w:style w:type="paragraph" w:customStyle="1" w:styleId="21">
    <w:name w:val="一级标题"/>
    <w:basedOn w:val="2"/>
    <w:next w:val="1"/>
    <w:qFormat/>
    <w:uiPriority w:val="0"/>
    <w:pPr>
      <w:adjustRightInd w:val="0"/>
      <w:snapToGrid w:val="0"/>
      <w:spacing w:before="100" w:beforeLines="100" w:after="100" w:afterLines="100" w:line="240" w:lineRule="auto"/>
      <w:jc w:val="left"/>
    </w:pPr>
    <w:rPr>
      <w:rFonts w:hint="eastAsia"/>
      <w:bCs w:val="0"/>
      <w:sz w:val="32"/>
      <w:szCs w:val="30"/>
    </w:rPr>
  </w:style>
  <w:style w:type="paragraph" w:customStyle="1" w:styleId="22">
    <w:name w:val="标准文件_字母编号列项（一级）"/>
    <w:qFormat/>
    <w:uiPriority w:val="0"/>
    <w:pPr>
      <w:numPr>
        <w:ilvl w:val="0"/>
        <w:numId w:val="2"/>
      </w:numPr>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21</Pages>
  <Words>6376</Words>
  <Characters>6653</Characters>
  <Lines>53</Lines>
  <Paragraphs>15</Paragraphs>
  <TotalTime>5</TotalTime>
  <ScaleCrop>false</ScaleCrop>
  <LinksUpToDate>false</LinksUpToDate>
  <CharactersWithSpaces>6701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2025-10-21T07:54:00Z</dcterms:created>
  <dc:creator>MicroSoft</dc:creator>
  <cp:lastModifiedBy>永恒撒旦</cp:lastModifiedBy>
  <dcterms:modified xsi:type="dcterms:W3CDTF">2026-05-18T00:03:07Z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eyJoZGlkIjoiMGZmYWFkMDczODdlNTljZDA0MGQ0YzI2YTA2Mzc4ZTYiLCJ1c2VySWQiOiIyODAzMjY1NTgifQ==</vt:lpwstr>
  </property>
  <property fmtid="{D5CDD505-2E9C-101B-9397-08002B2CF9AE}" pid="3" name="KSOProductBuildVer">
    <vt:lpwstr>2052-12.1.0.25865</vt:lpwstr>
  </property>
  <property fmtid="{D5CDD505-2E9C-101B-9397-08002B2CF9AE}" pid="4" name="ICV">
    <vt:lpwstr>011C72297D1C4386982FA908E0CEF887_13</vt:lpwstr>
  </property>
</Properties>
</file>