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5B650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7FC9EDFB">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22148F">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5.020.30</w:t>
            </w:r>
            <w:r>
              <w:rPr>
                <w:rFonts w:ascii="黑体" w:hAnsi="黑体" w:eastAsia="黑体"/>
                <w:sz w:val="21"/>
                <w:szCs w:val="21"/>
              </w:rPr>
              <w:fldChar w:fldCharType="end"/>
            </w:r>
            <w:bookmarkEnd w:id="0"/>
          </w:p>
        </w:tc>
      </w:tr>
      <w:tr w14:paraId="52142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BF5C4EE">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6C9D95B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87EBDC7">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GS</w:t>
                  </w:r>
                  <w:r>
                    <w:rPr>
                      <w:rFonts w:hint="eastAsia"/>
                    </w:rPr>
                    <w:t>QA</w:t>
                  </w:r>
                  <w:r>
                    <w:fldChar w:fldCharType="end"/>
                  </w:r>
                  <w:bookmarkEnd w:id="1"/>
                </w:p>
              </w:tc>
            </w:tr>
          </w:tbl>
          <w:p w14:paraId="5DA1FDD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B</w:t>
            </w:r>
            <w:r>
              <w:rPr>
                <w:rFonts w:hint="eastAsia" w:ascii="黑体" w:hAnsi="黑体" w:eastAsia="黑体"/>
                <w:sz w:val="21"/>
                <w:szCs w:val="21"/>
                <w:lang w:val="en-US" w:eastAsia="zh-CN"/>
              </w:rPr>
              <w:t>41</w:t>
            </w:r>
            <w:r>
              <w:rPr>
                <w:rFonts w:ascii="黑体" w:hAnsi="黑体" w:eastAsia="黑体"/>
                <w:sz w:val="21"/>
                <w:szCs w:val="21"/>
              </w:rPr>
              <w:fldChar w:fldCharType="end"/>
            </w:r>
            <w:bookmarkEnd w:id="2"/>
          </w:p>
        </w:tc>
      </w:tr>
    </w:tbl>
    <w:p w14:paraId="453A47CB">
      <w:pPr>
        <w:pStyle w:val="50"/>
        <w:framePr w:w="9639" w:h="624" w:hRule="exact" w:hSpace="181" w:vSpace="181" w:wrap="around" w:hAnchor="page" w:x="1305" w:y="2269"/>
        <w:tabs>
          <w:tab w:val="left" w:pos="2310"/>
        </w:tabs>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810A387">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GSQA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7"/>
    </w:p>
    <w:p w14:paraId="46767F3A">
      <w:pPr>
        <w:pStyle w:val="196"/>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3F1706D">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5FAF1FE">
      <w:pPr>
        <w:pStyle w:val="50"/>
        <w:framePr w:w="9639" w:h="6976" w:hRule="exact" w:hSpace="0" w:vSpace="0" w:wrap="around" w:hAnchor="page" w:y="6408"/>
        <w:jc w:val="center"/>
        <w:rPr>
          <w:rFonts w:ascii="黑体" w:hAnsi="黑体" w:eastAsia="黑体"/>
          <w:b w:val="0"/>
          <w:bCs w:val="0"/>
          <w:w w:val="100"/>
        </w:rPr>
      </w:pPr>
    </w:p>
    <w:p w14:paraId="0E008190">
      <w:pPr>
        <w:pStyle w:val="197"/>
        <w:framePr w:h="6974" w:hRule="exact" w:wrap="around" w:x="1419" w:anchorLock="1"/>
        <w:tabs>
          <w:tab w:val="left" w:pos="5250"/>
        </w:tabs>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bookmarkStart w:id="78" w:name="_GoBack"/>
      <w:bookmarkEnd w:id="78"/>
      <w:r>
        <w:rPr>
          <w:rFonts w:hint="eastAsia"/>
        </w:rPr>
        <w:t>张家川红花牛繁殖技术规程</w:t>
      </w:r>
      <w:r>
        <w:fldChar w:fldCharType="end"/>
      </w:r>
      <w:bookmarkEnd w:id="9"/>
    </w:p>
    <w:p w14:paraId="5534AB73">
      <w:pPr>
        <w:framePr w:w="9639" w:h="6974" w:hRule="exact" w:wrap="around" w:vAnchor="page" w:hAnchor="page" w:x="1419" w:y="6408" w:anchorLock="1"/>
        <w:ind w:left="-1418"/>
      </w:pPr>
    </w:p>
    <w:p w14:paraId="2C36DAA7">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 xml:space="preserve">Technical regulations on zhangjiachuan </w:t>
      </w:r>
      <w:r>
        <w:rPr>
          <w:rFonts w:hint="eastAsia" w:eastAsia="黑体"/>
          <w:szCs w:val="28"/>
          <w:lang w:val="en-US" w:eastAsia="zh-CN"/>
        </w:rPr>
        <w:t>honghua</w:t>
      </w:r>
      <w:r>
        <w:rPr>
          <w:rFonts w:eastAsia="黑体"/>
          <w:szCs w:val="28"/>
        </w:rPr>
        <w:t xml:space="preserve"> cattle reproduction</w:t>
      </w:r>
      <w:r>
        <w:rPr>
          <w:rFonts w:eastAsia="黑体"/>
          <w:szCs w:val="28"/>
        </w:rPr>
        <w:fldChar w:fldCharType="end"/>
      </w:r>
      <w:bookmarkEnd w:id="10"/>
    </w:p>
    <w:p w14:paraId="72A37484">
      <w:pPr>
        <w:framePr w:w="9639" w:h="6974" w:hRule="exact" w:wrap="around" w:vAnchor="page" w:hAnchor="page" w:x="1419" w:y="6408" w:anchorLock="1"/>
        <w:spacing w:line="760" w:lineRule="exact"/>
        <w:ind w:left="-1418"/>
      </w:pPr>
    </w:p>
    <w:p w14:paraId="7188E1E6">
      <w:pPr>
        <w:pStyle w:val="125"/>
        <w:framePr w:w="9639" w:h="6974" w:hRule="exact" w:wrap="around" w:vAnchor="page" w:hAnchor="page" w:x="1419" w:y="6408" w:anchorLock="1"/>
        <w:textAlignment w:val="bottom"/>
        <w:rPr>
          <w:rFonts w:eastAsia="黑体"/>
          <w:szCs w:val="28"/>
        </w:rPr>
      </w:pPr>
    </w:p>
    <w:p w14:paraId="5FECF655">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2A6A5B56">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5A80281F">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39E62982">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0915774C">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0C64F83D">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甘肃省质量标准协会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1DF0C676">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5AA44F0">
      <w:pPr>
        <w:pStyle w:val="91"/>
        <w:spacing w:after="360"/>
      </w:pPr>
      <w:bookmarkStart w:id="21" w:name="BookMark1"/>
      <w:bookmarkStart w:id="22" w:name="_Toc150014764"/>
      <w:r>
        <w:rPr>
          <w:rFonts w:hint="eastAsia"/>
          <w:spacing w:val="320"/>
        </w:rPr>
        <w:t>目</w:t>
      </w:r>
      <w:r>
        <w:rPr>
          <w:rFonts w:hint="eastAsia"/>
        </w:rPr>
        <w:t>次</w:t>
      </w:r>
    </w:p>
    <w:p w14:paraId="60950B67">
      <w:pPr>
        <w:pStyle w:val="19"/>
        <w:tabs>
          <w:tab w:val="right" w:leader="dot" w:pos="9354"/>
        </w:tabs>
      </w:pPr>
      <w:r>
        <w:fldChar w:fldCharType="begin"/>
      </w:r>
      <w:r>
        <w:instrText xml:space="preserve"> TOC \o "1-1" \h \t "标准文件_一级条标题,2,标准文件_附录一级条标题,2," </w:instrText>
      </w:r>
      <w:r>
        <w:fldChar w:fldCharType="separate"/>
      </w:r>
      <w:r>
        <w:fldChar w:fldCharType="begin"/>
      </w:r>
      <w:r>
        <w:instrText xml:space="preserve"> HYPERLINK \l _Toc18587 </w:instrText>
      </w:r>
      <w:r>
        <w:fldChar w:fldCharType="separate"/>
      </w:r>
      <w:r>
        <w:rPr>
          <w:spacing w:val="320"/>
        </w:rPr>
        <w:t>前</w:t>
      </w:r>
      <w:r>
        <w:t>言</w:t>
      </w:r>
      <w:r>
        <w:tab/>
      </w:r>
      <w:r>
        <w:fldChar w:fldCharType="begin"/>
      </w:r>
      <w:r>
        <w:instrText xml:space="preserve"> PAGEREF _Toc18587 \h </w:instrText>
      </w:r>
      <w:r>
        <w:fldChar w:fldCharType="separate"/>
      </w:r>
      <w:r>
        <w:t>II</w:t>
      </w:r>
      <w:r>
        <w:fldChar w:fldCharType="end"/>
      </w:r>
      <w:r>
        <w:fldChar w:fldCharType="end"/>
      </w:r>
    </w:p>
    <w:p w14:paraId="072ECEF6">
      <w:pPr>
        <w:pStyle w:val="19"/>
        <w:tabs>
          <w:tab w:val="right" w:leader="dot" w:pos="9354"/>
        </w:tabs>
      </w:pPr>
      <w:r>
        <w:fldChar w:fldCharType="begin"/>
      </w:r>
      <w:r>
        <w:instrText xml:space="preserve"> HYPERLINK \l _Toc21551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_Toc21551 \h </w:instrText>
      </w:r>
      <w:r>
        <w:fldChar w:fldCharType="separate"/>
      </w:r>
      <w:r>
        <w:t>1</w:t>
      </w:r>
      <w:r>
        <w:fldChar w:fldCharType="end"/>
      </w:r>
      <w:r>
        <w:fldChar w:fldCharType="end"/>
      </w:r>
    </w:p>
    <w:p w14:paraId="3D048F3E">
      <w:pPr>
        <w:pStyle w:val="19"/>
        <w:tabs>
          <w:tab w:val="right" w:leader="dot" w:pos="9354"/>
        </w:tabs>
      </w:pPr>
      <w:r>
        <w:fldChar w:fldCharType="begin"/>
      </w:r>
      <w:r>
        <w:instrText xml:space="preserve"> HYPERLINK \l _Toc838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_Toc838 \h </w:instrText>
      </w:r>
      <w:r>
        <w:fldChar w:fldCharType="separate"/>
      </w:r>
      <w:r>
        <w:t>1</w:t>
      </w:r>
      <w:r>
        <w:fldChar w:fldCharType="end"/>
      </w:r>
      <w:r>
        <w:fldChar w:fldCharType="end"/>
      </w:r>
    </w:p>
    <w:p w14:paraId="47AEF2E7">
      <w:pPr>
        <w:pStyle w:val="19"/>
        <w:tabs>
          <w:tab w:val="right" w:leader="dot" w:pos="9354"/>
        </w:tabs>
      </w:pPr>
      <w:r>
        <w:fldChar w:fldCharType="begin"/>
      </w:r>
      <w:r>
        <w:instrText xml:space="preserve"> HYPERLINK \l _Toc32632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_Toc32632 \h </w:instrText>
      </w:r>
      <w:r>
        <w:fldChar w:fldCharType="separate"/>
      </w:r>
      <w:r>
        <w:t>1</w:t>
      </w:r>
      <w:r>
        <w:fldChar w:fldCharType="end"/>
      </w:r>
      <w:r>
        <w:fldChar w:fldCharType="end"/>
      </w:r>
    </w:p>
    <w:p w14:paraId="082F65DF">
      <w:pPr>
        <w:pStyle w:val="19"/>
        <w:tabs>
          <w:tab w:val="right" w:leader="dot" w:pos="9354"/>
        </w:tabs>
      </w:pPr>
      <w:r>
        <w:fldChar w:fldCharType="begin"/>
      </w:r>
      <w:r>
        <w:instrText xml:space="preserve"> HYPERLINK \l _Toc12717 </w:instrText>
      </w:r>
      <w:r>
        <w:fldChar w:fldCharType="separate"/>
      </w:r>
      <w:r>
        <w:rPr>
          <w:rFonts w:hint="eastAsia" w:ascii="黑体" w:eastAsia="黑体"/>
          <w:i w:val="0"/>
        </w:rPr>
        <w:t xml:space="preserve">4 </w:t>
      </w:r>
      <w:r>
        <w:rPr>
          <w:rFonts w:hint="eastAsia"/>
        </w:rPr>
        <w:t>种牛选择与培育</w:t>
      </w:r>
      <w:r>
        <w:tab/>
      </w:r>
      <w:r>
        <w:fldChar w:fldCharType="begin"/>
      </w:r>
      <w:r>
        <w:instrText xml:space="preserve"> PAGEREF _Toc12717 \h </w:instrText>
      </w:r>
      <w:r>
        <w:fldChar w:fldCharType="separate"/>
      </w:r>
      <w:r>
        <w:t>1</w:t>
      </w:r>
      <w:r>
        <w:fldChar w:fldCharType="end"/>
      </w:r>
      <w:r>
        <w:fldChar w:fldCharType="end"/>
      </w:r>
    </w:p>
    <w:p w14:paraId="04AE863B">
      <w:pPr>
        <w:pStyle w:val="24"/>
        <w:tabs>
          <w:tab w:val="right" w:leader="dot" w:pos="9354"/>
          <w:tab w:val="clear" w:pos="9344"/>
        </w:tabs>
      </w:pPr>
      <w:r>
        <w:fldChar w:fldCharType="begin"/>
      </w:r>
      <w:r>
        <w:instrText xml:space="preserve"> HYPERLINK \l _Toc7455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4.1 </w:t>
      </w:r>
      <w:r>
        <w:rPr>
          <w:rFonts w:hint="eastAsia"/>
        </w:rPr>
        <w:t>核心群选育</w:t>
      </w:r>
      <w:r>
        <w:tab/>
      </w:r>
      <w:r>
        <w:fldChar w:fldCharType="begin"/>
      </w:r>
      <w:r>
        <w:instrText xml:space="preserve"> PAGEREF _Toc7455 \h </w:instrText>
      </w:r>
      <w:r>
        <w:fldChar w:fldCharType="separate"/>
      </w:r>
      <w:r>
        <w:t>1</w:t>
      </w:r>
      <w:r>
        <w:fldChar w:fldCharType="end"/>
      </w:r>
      <w:r>
        <w:fldChar w:fldCharType="end"/>
      </w:r>
    </w:p>
    <w:p w14:paraId="133CD3F9">
      <w:pPr>
        <w:pStyle w:val="24"/>
        <w:tabs>
          <w:tab w:val="right" w:leader="dot" w:pos="9354"/>
          <w:tab w:val="clear" w:pos="9344"/>
        </w:tabs>
      </w:pPr>
      <w:r>
        <w:fldChar w:fldCharType="begin"/>
      </w:r>
      <w:r>
        <w:instrText xml:space="preserve"> HYPERLINK \l _Toc12619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4.2 </w:t>
      </w:r>
      <w:r>
        <w:rPr>
          <w:rFonts w:hint="eastAsia"/>
        </w:rPr>
        <w:t>后备母牛培育</w:t>
      </w:r>
      <w:r>
        <w:tab/>
      </w:r>
      <w:r>
        <w:fldChar w:fldCharType="begin"/>
      </w:r>
      <w:r>
        <w:instrText xml:space="preserve"> PAGEREF _Toc12619 \h </w:instrText>
      </w:r>
      <w:r>
        <w:fldChar w:fldCharType="separate"/>
      </w:r>
      <w:r>
        <w:t>1</w:t>
      </w:r>
      <w:r>
        <w:fldChar w:fldCharType="end"/>
      </w:r>
      <w:r>
        <w:fldChar w:fldCharType="end"/>
      </w:r>
    </w:p>
    <w:p w14:paraId="0A8D236B">
      <w:pPr>
        <w:pStyle w:val="24"/>
        <w:tabs>
          <w:tab w:val="right" w:leader="dot" w:pos="9354"/>
          <w:tab w:val="clear" w:pos="9344"/>
        </w:tabs>
      </w:pPr>
      <w:r>
        <w:fldChar w:fldCharType="begin"/>
      </w:r>
      <w:r>
        <w:instrText xml:space="preserve"> HYPERLINK \l _Toc6961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4.3 </w:t>
      </w:r>
      <w:r>
        <w:rPr>
          <w:rFonts w:hint="eastAsia"/>
        </w:rPr>
        <w:t>种公牛（冻精）选择</w:t>
      </w:r>
      <w:r>
        <w:tab/>
      </w:r>
      <w:r>
        <w:fldChar w:fldCharType="begin"/>
      </w:r>
      <w:r>
        <w:instrText xml:space="preserve"> PAGEREF _Toc6961 \h </w:instrText>
      </w:r>
      <w:r>
        <w:fldChar w:fldCharType="separate"/>
      </w:r>
      <w:r>
        <w:t>1</w:t>
      </w:r>
      <w:r>
        <w:fldChar w:fldCharType="end"/>
      </w:r>
      <w:r>
        <w:fldChar w:fldCharType="end"/>
      </w:r>
    </w:p>
    <w:p w14:paraId="7AFE50AC">
      <w:pPr>
        <w:pStyle w:val="19"/>
        <w:tabs>
          <w:tab w:val="right" w:leader="dot" w:pos="9354"/>
        </w:tabs>
      </w:pPr>
      <w:r>
        <w:fldChar w:fldCharType="begin"/>
      </w:r>
      <w:r>
        <w:instrText xml:space="preserve"> HYPERLINK \l _Toc11374 </w:instrText>
      </w:r>
      <w:r>
        <w:fldChar w:fldCharType="separate"/>
      </w:r>
      <w:r>
        <w:rPr>
          <w:rFonts w:hint="eastAsia" w:ascii="黑体" w:eastAsia="黑体"/>
          <w:i w:val="0"/>
        </w:rPr>
        <w:t xml:space="preserve">5 </w:t>
      </w:r>
      <w:r>
        <w:rPr>
          <w:rFonts w:hint="eastAsia"/>
        </w:rPr>
        <w:t>繁殖技术</w:t>
      </w:r>
      <w:r>
        <w:tab/>
      </w:r>
      <w:r>
        <w:fldChar w:fldCharType="begin"/>
      </w:r>
      <w:r>
        <w:instrText xml:space="preserve"> PAGEREF _Toc11374 \h </w:instrText>
      </w:r>
      <w:r>
        <w:fldChar w:fldCharType="separate"/>
      </w:r>
      <w:r>
        <w:t>1</w:t>
      </w:r>
      <w:r>
        <w:fldChar w:fldCharType="end"/>
      </w:r>
      <w:r>
        <w:fldChar w:fldCharType="end"/>
      </w:r>
    </w:p>
    <w:p w14:paraId="75ACE37B">
      <w:pPr>
        <w:pStyle w:val="24"/>
        <w:tabs>
          <w:tab w:val="right" w:leader="dot" w:pos="9354"/>
          <w:tab w:val="clear" w:pos="9344"/>
        </w:tabs>
      </w:pPr>
      <w:r>
        <w:fldChar w:fldCharType="begin"/>
      </w:r>
      <w:r>
        <w:instrText xml:space="preserve"> HYPERLINK \l _Toc1369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5.1 </w:t>
      </w:r>
      <w:r>
        <w:rPr>
          <w:rFonts w:hint="eastAsia"/>
        </w:rPr>
        <w:t>发情鉴定</w:t>
      </w:r>
      <w:r>
        <w:tab/>
      </w:r>
      <w:r>
        <w:fldChar w:fldCharType="begin"/>
      </w:r>
      <w:r>
        <w:instrText xml:space="preserve"> PAGEREF _Toc1369 \h </w:instrText>
      </w:r>
      <w:r>
        <w:fldChar w:fldCharType="separate"/>
      </w:r>
      <w:r>
        <w:t>2</w:t>
      </w:r>
      <w:r>
        <w:fldChar w:fldCharType="end"/>
      </w:r>
      <w:r>
        <w:fldChar w:fldCharType="end"/>
      </w:r>
    </w:p>
    <w:p w14:paraId="36C317DC">
      <w:pPr>
        <w:pStyle w:val="24"/>
        <w:tabs>
          <w:tab w:val="right" w:leader="dot" w:pos="9354"/>
          <w:tab w:val="clear" w:pos="9344"/>
        </w:tabs>
      </w:pPr>
      <w:r>
        <w:fldChar w:fldCharType="begin"/>
      </w:r>
      <w:r>
        <w:instrText xml:space="preserve"> HYPERLINK \l _Toc10339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5.2 </w:t>
      </w:r>
      <w:r>
        <w:rPr>
          <w:rFonts w:hint="eastAsia"/>
        </w:rPr>
        <w:t>人工授精</w:t>
      </w:r>
      <w:r>
        <w:tab/>
      </w:r>
      <w:r>
        <w:fldChar w:fldCharType="begin"/>
      </w:r>
      <w:r>
        <w:instrText xml:space="preserve"> PAGEREF _Toc10339 \h </w:instrText>
      </w:r>
      <w:r>
        <w:fldChar w:fldCharType="separate"/>
      </w:r>
      <w:r>
        <w:t>2</w:t>
      </w:r>
      <w:r>
        <w:fldChar w:fldCharType="end"/>
      </w:r>
      <w:r>
        <w:fldChar w:fldCharType="end"/>
      </w:r>
    </w:p>
    <w:p w14:paraId="5C22D750">
      <w:pPr>
        <w:pStyle w:val="24"/>
        <w:tabs>
          <w:tab w:val="right" w:leader="dot" w:pos="9354"/>
          <w:tab w:val="clear" w:pos="9344"/>
        </w:tabs>
      </w:pPr>
      <w:r>
        <w:fldChar w:fldCharType="begin"/>
      </w:r>
      <w:r>
        <w:instrText xml:space="preserve"> HYPERLINK \l _Toc31441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5.3 </w:t>
      </w:r>
      <w:r>
        <w:rPr>
          <w:rFonts w:hint="eastAsia"/>
        </w:rPr>
        <w:t>胚胎移植</w:t>
      </w:r>
      <w:r>
        <w:tab/>
      </w:r>
      <w:r>
        <w:fldChar w:fldCharType="begin"/>
      </w:r>
      <w:r>
        <w:instrText xml:space="preserve"> PAGEREF _Toc31441 \h </w:instrText>
      </w:r>
      <w:r>
        <w:fldChar w:fldCharType="separate"/>
      </w:r>
      <w:r>
        <w:t>3</w:t>
      </w:r>
      <w:r>
        <w:fldChar w:fldCharType="end"/>
      </w:r>
      <w:r>
        <w:fldChar w:fldCharType="end"/>
      </w:r>
    </w:p>
    <w:p w14:paraId="1C88B501">
      <w:pPr>
        <w:pStyle w:val="24"/>
        <w:tabs>
          <w:tab w:val="right" w:leader="dot" w:pos="9354"/>
          <w:tab w:val="clear" w:pos="9344"/>
        </w:tabs>
      </w:pPr>
      <w:r>
        <w:fldChar w:fldCharType="begin"/>
      </w:r>
      <w:r>
        <w:instrText xml:space="preserve"> HYPERLINK \l _Toc16919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5.4 </w:t>
      </w:r>
      <w:r>
        <w:rPr>
          <w:rFonts w:hint="eastAsia"/>
        </w:rPr>
        <w:t>妊娠诊断</w:t>
      </w:r>
      <w:r>
        <w:tab/>
      </w:r>
      <w:r>
        <w:fldChar w:fldCharType="begin"/>
      </w:r>
      <w:r>
        <w:instrText xml:space="preserve"> PAGEREF _Toc16919 \h </w:instrText>
      </w:r>
      <w:r>
        <w:fldChar w:fldCharType="separate"/>
      </w:r>
      <w:r>
        <w:t>3</w:t>
      </w:r>
      <w:r>
        <w:fldChar w:fldCharType="end"/>
      </w:r>
      <w:r>
        <w:fldChar w:fldCharType="end"/>
      </w:r>
    </w:p>
    <w:p w14:paraId="459242AD">
      <w:pPr>
        <w:pStyle w:val="24"/>
        <w:tabs>
          <w:tab w:val="right" w:leader="dot" w:pos="9354"/>
          <w:tab w:val="clear" w:pos="9344"/>
        </w:tabs>
      </w:pPr>
      <w:r>
        <w:fldChar w:fldCharType="begin"/>
      </w:r>
      <w:r>
        <w:instrText xml:space="preserve"> HYPERLINK \l _Toc7429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5.5 </w:t>
      </w:r>
      <w:r>
        <w:rPr>
          <w:rFonts w:hint="eastAsia"/>
        </w:rPr>
        <w:t>分娩管理</w:t>
      </w:r>
      <w:r>
        <w:tab/>
      </w:r>
      <w:r>
        <w:fldChar w:fldCharType="begin"/>
      </w:r>
      <w:r>
        <w:instrText xml:space="preserve"> PAGEREF _Toc7429 \h </w:instrText>
      </w:r>
      <w:r>
        <w:fldChar w:fldCharType="separate"/>
      </w:r>
      <w:r>
        <w:t>3</w:t>
      </w:r>
      <w:r>
        <w:fldChar w:fldCharType="end"/>
      </w:r>
      <w:r>
        <w:fldChar w:fldCharType="end"/>
      </w:r>
    </w:p>
    <w:p w14:paraId="7EFAEF01">
      <w:pPr>
        <w:pStyle w:val="19"/>
        <w:tabs>
          <w:tab w:val="right" w:leader="dot" w:pos="9354"/>
        </w:tabs>
      </w:pPr>
      <w:r>
        <w:fldChar w:fldCharType="begin"/>
      </w:r>
      <w:r>
        <w:instrText xml:space="preserve"> HYPERLINK \l _Toc29868 </w:instrText>
      </w:r>
      <w:r>
        <w:fldChar w:fldCharType="separate"/>
      </w:r>
      <w:r>
        <w:rPr>
          <w:rFonts w:hint="eastAsia" w:ascii="黑体" w:hAnsi="宋体" w:eastAsia="黑体"/>
          <w:i w:val="0"/>
        </w:rPr>
        <w:t xml:space="preserve">6 </w:t>
      </w:r>
      <w:r>
        <w:rPr>
          <w:rFonts w:hint="eastAsia"/>
        </w:rPr>
        <w:t>档案管理</w:t>
      </w:r>
      <w:r>
        <w:tab/>
      </w:r>
      <w:r>
        <w:fldChar w:fldCharType="begin"/>
      </w:r>
      <w:r>
        <w:instrText xml:space="preserve"> PAGEREF _Toc29868 \h </w:instrText>
      </w:r>
      <w:r>
        <w:fldChar w:fldCharType="separate"/>
      </w:r>
      <w:r>
        <w:t>3</w:t>
      </w:r>
      <w:r>
        <w:fldChar w:fldCharType="end"/>
      </w:r>
      <w:r>
        <w:fldChar w:fldCharType="end"/>
      </w:r>
    </w:p>
    <w:p w14:paraId="7E4D16B1">
      <w:pPr>
        <w:pStyle w:val="19"/>
        <w:tabs>
          <w:tab w:val="right" w:leader="dot" w:pos="9354"/>
        </w:tabs>
      </w:pPr>
      <w:r>
        <w:fldChar w:fldCharType="begin"/>
      </w:r>
      <w:r>
        <w:instrText xml:space="preserve"> HYPERLINK \l _Toc1101 </w:instrText>
      </w:r>
      <w:r>
        <w:fldChar w:fldCharType="separate"/>
      </w:r>
      <w:r>
        <w:rPr>
          <w:rFonts w:hint="eastAsia" w:ascii="黑体" w:eastAsia="黑体"/>
          <w:i w:val="0"/>
        </w:rPr>
        <w:t xml:space="preserve">7 </w:t>
      </w:r>
      <w:r>
        <w:rPr>
          <w:rFonts w:hint="eastAsia"/>
        </w:rPr>
        <w:t>繁殖效率指标</w:t>
      </w:r>
      <w:r>
        <w:tab/>
      </w:r>
      <w:r>
        <w:fldChar w:fldCharType="begin"/>
      </w:r>
      <w:r>
        <w:instrText xml:space="preserve"> PAGEREF _Toc1101 \h </w:instrText>
      </w:r>
      <w:r>
        <w:fldChar w:fldCharType="separate"/>
      </w:r>
      <w:r>
        <w:t>3</w:t>
      </w:r>
      <w:r>
        <w:fldChar w:fldCharType="end"/>
      </w:r>
      <w:r>
        <w:fldChar w:fldCharType="end"/>
      </w:r>
    </w:p>
    <w:p w14:paraId="7D5E2715">
      <w:pPr>
        <w:pStyle w:val="24"/>
        <w:tabs>
          <w:tab w:val="right" w:leader="dot" w:pos="9354"/>
          <w:tab w:val="clear" w:pos="9344"/>
        </w:tabs>
      </w:pPr>
      <w:r>
        <w:fldChar w:fldCharType="begin"/>
      </w:r>
      <w:r>
        <w:instrText xml:space="preserve"> HYPERLINK \l _Toc25048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7.1 </w:t>
      </w:r>
      <w:r>
        <w:rPr>
          <w:rFonts w:hint="eastAsia"/>
        </w:rPr>
        <w:t>发情鉴定相关指标</w:t>
      </w:r>
      <w:r>
        <w:tab/>
      </w:r>
      <w:r>
        <w:fldChar w:fldCharType="begin"/>
      </w:r>
      <w:r>
        <w:instrText xml:space="preserve"> PAGEREF _Toc25048 \h </w:instrText>
      </w:r>
      <w:r>
        <w:fldChar w:fldCharType="separate"/>
      </w:r>
      <w:r>
        <w:t>3</w:t>
      </w:r>
      <w:r>
        <w:fldChar w:fldCharType="end"/>
      </w:r>
      <w:r>
        <w:fldChar w:fldCharType="end"/>
      </w:r>
    </w:p>
    <w:p w14:paraId="7F113E9F">
      <w:pPr>
        <w:pStyle w:val="24"/>
        <w:tabs>
          <w:tab w:val="right" w:leader="dot" w:pos="9354"/>
          <w:tab w:val="clear" w:pos="9344"/>
        </w:tabs>
      </w:pPr>
      <w:r>
        <w:fldChar w:fldCharType="begin"/>
      </w:r>
      <w:r>
        <w:instrText xml:space="preserve"> HYPERLINK \l _Toc29535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7.2 </w:t>
      </w:r>
      <w:r>
        <w:rPr>
          <w:rFonts w:hint="eastAsia"/>
        </w:rPr>
        <w:t>配种相关指标</w:t>
      </w:r>
      <w:r>
        <w:tab/>
      </w:r>
      <w:r>
        <w:fldChar w:fldCharType="begin"/>
      </w:r>
      <w:r>
        <w:instrText xml:space="preserve"> PAGEREF _Toc29535 \h </w:instrText>
      </w:r>
      <w:r>
        <w:fldChar w:fldCharType="separate"/>
      </w:r>
      <w:r>
        <w:t>3</w:t>
      </w:r>
      <w:r>
        <w:fldChar w:fldCharType="end"/>
      </w:r>
      <w:r>
        <w:fldChar w:fldCharType="end"/>
      </w:r>
    </w:p>
    <w:p w14:paraId="57E05C9D">
      <w:pPr>
        <w:pStyle w:val="24"/>
        <w:tabs>
          <w:tab w:val="right" w:leader="dot" w:pos="9354"/>
          <w:tab w:val="clear" w:pos="9344"/>
        </w:tabs>
      </w:pPr>
      <w:r>
        <w:fldChar w:fldCharType="begin"/>
      </w:r>
      <w:r>
        <w:instrText xml:space="preserve"> HYPERLINK \l _Toc4608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7.3 </w:t>
      </w:r>
      <w:r>
        <w:rPr>
          <w:rFonts w:hint="eastAsia"/>
        </w:rPr>
        <w:t>产犊相关指标</w:t>
      </w:r>
      <w:r>
        <w:tab/>
      </w:r>
      <w:r>
        <w:fldChar w:fldCharType="begin"/>
      </w:r>
      <w:r>
        <w:instrText xml:space="preserve"> PAGEREF _Toc4608 \h </w:instrText>
      </w:r>
      <w:r>
        <w:fldChar w:fldCharType="separate"/>
      </w:r>
      <w:r>
        <w:t>4</w:t>
      </w:r>
      <w:r>
        <w:fldChar w:fldCharType="end"/>
      </w:r>
      <w:r>
        <w:fldChar w:fldCharType="end"/>
      </w:r>
    </w:p>
    <w:p w14:paraId="3A2CDD5F">
      <w:pPr>
        <w:pStyle w:val="24"/>
        <w:tabs>
          <w:tab w:val="right" w:leader="dot" w:pos="9354"/>
          <w:tab w:val="clear" w:pos="9344"/>
        </w:tabs>
      </w:pPr>
      <w:r>
        <w:fldChar w:fldCharType="begin"/>
      </w:r>
      <w:r>
        <w:instrText xml:space="preserve"> HYPERLINK \l _Toc1899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7.4 </w:t>
      </w:r>
      <w:r>
        <w:rPr>
          <w:rFonts w:hint="eastAsia"/>
        </w:rPr>
        <w:t>繁殖淘汰相关指标</w:t>
      </w:r>
      <w:r>
        <w:tab/>
      </w:r>
      <w:r>
        <w:fldChar w:fldCharType="begin"/>
      </w:r>
      <w:r>
        <w:instrText xml:space="preserve"> PAGEREF _Toc1899 \h </w:instrText>
      </w:r>
      <w:r>
        <w:fldChar w:fldCharType="separate"/>
      </w:r>
      <w:r>
        <w:t>4</w:t>
      </w:r>
      <w:r>
        <w:fldChar w:fldCharType="end"/>
      </w:r>
      <w:r>
        <w:fldChar w:fldCharType="end"/>
      </w:r>
    </w:p>
    <w:p w14:paraId="327CC6A2">
      <w:pPr>
        <w:pStyle w:val="19"/>
        <w:tabs>
          <w:tab w:val="right" w:leader="dot" w:pos="9354"/>
        </w:tabs>
      </w:pPr>
      <w:r>
        <w:fldChar w:fldCharType="begin"/>
      </w:r>
      <w:r>
        <w:instrText xml:space="preserve"> HYPERLINK \l _Toc4720 </w:instrText>
      </w:r>
      <w:r>
        <w:fldChar w:fldCharType="separate"/>
      </w:r>
      <w:r>
        <w:rPr>
          <w:rFonts w:hint="eastAsia"/>
          <w:spacing w:val="100"/>
        </w:rPr>
        <w:t>附录A</w:t>
      </w:r>
      <w:r>
        <w:tab/>
      </w:r>
      <w:r>
        <w:fldChar w:fldCharType="begin"/>
      </w:r>
      <w:r>
        <w:instrText xml:space="preserve"> PAGEREF _Toc4720 \h </w:instrText>
      </w:r>
      <w:r>
        <w:fldChar w:fldCharType="separate"/>
      </w:r>
      <w:r>
        <w:t>5</w:t>
      </w:r>
      <w:r>
        <w:fldChar w:fldCharType="end"/>
      </w:r>
      <w:r>
        <w:fldChar w:fldCharType="end"/>
      </w:r>
    </w:p>
    <w:p w14:paraId="07212807">
      <w:pPr>
        <w:pStyle w:val="24"/>
        <w:tabs>
          <w:tab w:val="right" w:leader="dot" w:pos="9354"/>
          <w:tab w:val="clear" w:pos="9344"/>
        </w:tabs>
      </w:pPr>
      <w:r>
        <w:fldChar w:fldCharType="begin"/>
      </w:r>
      <w:r>
        <w:instrText xml:space="preserve"> HYPERLINK \l _Toc20992 </w:instrText>
      </w:r>
      <w:r>
        <w:fldChar w:fldCharType="separate"/>
      </w:r>
      <w:r>
        <w:rPr>
          <w:rFonts w:hint="eastAsia" w:ascii="黑体" w:eastAsia="黑体"/>
          <w:i w:val="0"/>
        </w:rPr>
        <w:t xml:space="preserve">A.1 </w:t>
      </w:r>
      <w:r>
        <w:rPr>
          <w:rFonts w:hint="eastAsia"/>
        </w:rPr>
        <w:t>张家川红花牛发情记录表</w:t>
      </w:r>
      <w:r>
        <w:tab/>
      </w:r>
      <w:r>
        <w:fldChar w:fldCharType="begin"/>
      </w:r>
      <w:r>
        <w:instrText xml:space="preserve"> PAGEREF _Toc20992 \h </w:instrText>
      </w:r>
      <w:r>
        <w:fldChar w:fldCharType="separate"/>
      </w:r>
      <w:r>
        <w:t>5</w:t>
      </w:r>
      <w:r>
        <w:fldChar w:fldCharType="end"/>
      </w:r>
      <w:r>
        <w:fldChar w:fldCharType="end"/>
      </w:r>
    </w:p>
    <w:p w14:paraId="71093BA6">
      <w:pPr>
        <w:pStyle w:val="24"/>
        <w:tabs>
          <w:tab w:val="right" w:leader="dot" w:pos="9354"/>
          <w:tab w:val="clear" w:pos="9344"/>
        </w:tabs>
      </w:pPr>
      <w:r>
        <w:fldChar w:fldCharType="begin"/>
      </w:r>
      <w:r>
        <w:instrText xml:space="preserve"> HYPERLINK \l _Toc18981 </w:instrText>
      </w:r>
      <w:r>
        <w:fldChar w:fldCharType="separate"/>
      </w:r>
      <w:r>
        <w:rPr>
          <w:rFonts w:hint="eastAsia" w:ascii="黑体" w:eastAsia="黑体"/>
          <w:i w:val="0"/>
        </w:rPr>
        <w:t xml:space="preserve">A.2 </w:t>
      </w:r>
      <w:r>
        <w:rPr>
          <w:rFonts w:hint="eastAsia"/>
        </w:rPr>
        <w:t>张家川红花牛配种记录</w:t>
      </w:r>
      <w:r>
        <w:tab/>
      </w:r>
      <w:r>
        <w:fldChar w:fldCharType="begin"/>
      </w:r>
      <w:r>
        <w:instrText xml:space="preserve"> PAGEREF _Toc18981 \h </w:instrText>
      </w:r>
      <w:r>
        <w:fldChar w:fldCharType="separate"/>
      </w:r>
      <w:r>
        <w:t>5</w:t>
      </w:r>
      <w:r>
        <w:fldChar w:fldCharType="end"/>
      </w:r>
      <w:r>
        <w:fldChar w:fldCharType="end"/>
      </w:r>
    </w:p>
    <w:p w14:paraId="0B41294C">
      <w:pPr>
        <w:pStyle w:val="24"/>
        <w:tabs>
          <w:tab w:val="right" w:leader="dot" w:pos="9354"/>
          <w:tab w:val="clear" w:pos="9344"/>
        </w:tabs>
      </w:pPr>
      <w:r>
        <w:fldChar w:fldCharType="begin"/>
      </w:r>
      <w:r>
        <w:instrText xml:space="preserve"> HYPERLINK \l _Toc29479 </w:instrText>
      </w:r>
      <w:r>
        <w:fldChar w:fldCharType="separate"/>
      </w:r>
      <w:r>
        <w:rPr>
          <w:rFonts w:hint="eastAsia" w:ascii="黑体" w:eastAsia="黑体"/>
          <w:i w:val="0"/>
        </w:rPr>
        <w:t xml:space="preserve">A.3 </w:t>
      </w:r>
      <w:r>
        <w:rPr>
          <w:rFonts w:hint="eastAsia"/>
        </w:rPr>
        <w:t>张家川红花牛</w:t>
      </w:r>
      <w:r>
        <w:t>妊娠记录表</w:t>
      </w:r>
      <w:r>
        <w:tab/>
      </w:r>
      <w:r>
        <w:fldChar w:fldCharType="begin"/>
      </w:r>
      <w:r>
        <w:instrText xml:space="preserve"> PAGEREF _Toc29479 \h </w:instrText>
      </w:r>
      <w:r>
        <w:fldChar w:fldCharType="separate"/>
      </w:r>
      <w:r>
        <w:t>5</w:t>
      </w:r>
      <w:r>
        <w:fldChar w:fldCharType="end"/>
      </w:r>
      <w:r>
        <w:fldChar w:fldCharType="end"/>
      </w:r>
    </w:p>
    <w:p w14:paraId="364AC4DA">
      <w:pPr>
        <w:pStyle w:val="24"/>
        <w:tabs>
          <w:tab w:val="right" w:leader="dot" w:pos="9354"/>
          <w:tab w:val="clear" w:pos="9344"/>
        </w:tabs>
      </w:pPr>
      <w:r>
        <w:fldChar w:fldCharType="begin"/>
      </w:r>
      <w:r>
        <w:instrText xml:space="preserve"> HYPERLINK \l _Toc25084 </w:instrText>
      </w:r>
      <w:r>
        <w:fldChar w:fldCharType="separate"/>
      </w:r>
      <w:r>
        <w:rPr>
          <w:rFonts w:hint="eastAsia" w:ascii="黑体" w:eastAsia="黑体"/>
          <w:i w:val="0"/>
        </w:rPr>
        <w:t xml:space="preserve">A.4 </w:t>
      </w:r>
      <w:r>
        <w:rPr>
          <w:rFonts w:hint="eastAsia"/>
        </w:rPr>
        <w:t>张家川红花牛</w:t>
      </w:r>
      <w:r>
        <w:t>产犊记录表</w:t>
      </w:r>
      <w:r>
        <w:tab/>
      </w:r>
      <w:r>
        <w:fldChar w:fldCharType="begin"/>
      </w:r>
      <w:r>
        <w:instrText xml:space="preserve"> PAGEREF _Toc25084 \h </w:instrText>
      </w:r>
      <w:r>
        <w:fldChar w:fldCharType="separate"/>
      </w:r>
      <w:r>
        <w:t>5</w:t>
      </w:r>
      <w:r>
        <w:fldChar w:fldCharType="end"/>
      </w:r>
      <w:r>
        <w:fldChar w:fldCharType="end"/>
      </w:r>
    </w:p>
    <w:p w14:paraId="39C4116C">
      <w:pPr>
        <w:pStyle w:val="91"/>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64670EF1">
      <w:pPr>
        <w:pStyle w:val="89"/>
        <w:spacing w:before="900" w:after="360"/>
      </w:pPr>
      <w:bookmarkStart w:id="23" w:name="_Toc18587"/>
      <w:bookmarkStart w:id="24" w:name="BookMark2"/>
      <w:r>
        <w:rPr>
          <w:spacing w:val="320"/>
        </w:rPr>
        <w:t>前</w:t>
      </w:r>
      <w:r>
        <w:t>言</w:t>
      </w:r>
      <w:bookmarkEnd w:id="22"/>
      <w:bookmarkEnd w:id="23"/>
    </w:p>
    <w:p w14:paraId="6F77BB0A">
      <w:pPr>
        <w:pStyle w:val="56"/>
        <w:ind w:firstLine="420"/>
        <w:rPr>
          <w:rFonts w:hint="default" w:ascii="Times New Roman" w:hAnsi="Times New Roman" w:cs="Times New Roman"/>
        </w:rPr>
      </w:pPr>
      <w:r>
        <w:rPr>
          <w:rFonts w:hint="default" w:ascii="Times New Roman" w:hAnsi="Times New Roman" w:cs="Times New Roman"/>
        </w:rPr>
        <w:t>本文件按照GB/T 1.1—2020《标准化工作导则  第1部分：标准化文件的结构和起草规则》的规定起草。</w:t>
      </w:r>
    </w:p>
    <w:p w14:paraId="098208DE">
      <w:pPr>
        <w:pStyle w:val="56"/>
        <w:ind w:firstLine="420"/>
        <w:rPr>
          <w:rFonts w:hint="default" w:ascii="Times New Roman" w:hAnsi="Times New Roman" w:cs="Times New Roman"/>
        </w:rPr>
      </w:pPr>
      <w:r>
        <w:rPr>
          <w:rFonts w:hint="default" w:ascii="Times New Roman" w:hAnsi="Times New Roman" w:cs="Times New Roman"/>
        </w:rPr>
        <w:t>请注意本文件的某些内容可能涉及专利。本文件的发布机构不承担识别专利的责任。</w:t>
      </w:r>
    </w:p>
    <w:p w14:paraId="0A9FF2B8">
      <w:pPr>
        <w:pStyle w:val="56"/>
        <w:ind w:firstLine="420"/>
        <w:rPr>
          <w:rFonts w:hint="default" w:ascii="Times New Roman" w:hAnsi="Times New Roman" w:cs="Times New Roman"/>
        </w:rPr>
      </w:pPr>
      <w:r>
        <w:rPr>
          <w:rFonts w:hint="default" w:ascii="Times New Roman" w:hAnsi="Times New Roman" w:cs="Times New Roman"/>
        </w:rPr>
        <w:t>本文件由甘肃省质量标准协会（GSQA）提出。</w:t>
      </w:r>
    </w:p>
    <w:p w14:paraId="44968948">
      <w:pPr>
        <w:pStyle w:val="56"/>
        <w:ind w:firstLine="420"/>
        <w:rPr>
          <w:rFonts w:hint="default" w:ascii="Times New Roman" w:hAnsi="Times New Roman" w:cs="Times New Roman"/>
        </w:rPr>
      </w:pPr>
      <w:r>
        <w:rPr>
          <w:rFonts w:hint="default" w:ascii="Times New Roman" w:hAnsi="Times New Roman" w:cs="Times New Roman"/>
        </w:rPr>
        <w:t>本文件由甘肃省质量标准协会（GSQA）归口。</w:t>
      </w:r>
    </w:p>
    <w:p w14:paraId="69E7B97C">
      <w:pPr>
        <w:pStyle w:val="56"/>
        <w:ind w:firstLine="420"/>
        <w:rPr>
          <w:rFonts w:hint="default" w:ascii="Times New Roman" w:hAnsi="Times New Roman" w:cs="Times New Roman"/>
        </w:rPr>
      </w:pPr>
      <w:r>
        <w:rPr>
          <w:rFonts w:hint="default" w:ascii="Times New Roman" w:hAnsi="Times New Roman" w:cs="Times New Roman"/>
        </w:rPr>
        <w:t>本文件起草单位：中国农业科学院兰州畜牧与兽药研究所、张家川回族自治县畜牧工作站、中国农业科学院兰州兽医研究所、张家川回族自治县畜牧兽医事务服务中心、张家川畜牧技术推广站</w:t>
      </w:r>
    </w:p>
    <w:p w14:paraId="3C024D0C">
      <w:pPr>
        <w:pStyle w:val="56"/>
        <w:ind w:firstLine="420"/>
        <w:rPr>
          <w:rFonts w:hint="default" w:ascii="Times New Roman" w:hAnsi="Times New Roman" w:cs="Times New Roman"/>
        </w:rPr>
      </w:pPr>
      <w:r>
        <w:rPr>
          <w:rFonts w:hint="default" w:ascii="Times New Roman" w:hAnsi="Times New Roman" w:cs="Times New Roman"/>
        </w:rPr>
        <w:t>本文件主要起草人：喇永富、梁春年、杨来康、马晓明、张少华、褚敏、包鹏甲、杨孝君、贠秀君、马利军、马艳萍</w:t>
      </w:r>
    </w:p>
    <w:p w14:paraId="66BA3638">
      <w:pPr>
        <w:pStyle w:val="56"/>
        <w:ind w:firstLine="420"/>
      </w:pPr>
    </w:p>
    <w:p w14:paraId="4355C47E">
      <w:pPr>
        <w:pStyle w:val="56"/>
        <w:ind w:firstLine="420"/>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4"/>
    <w:p w14:paraId="48B26DFA">
      <w:pPr>
        <w:spacing w:line="20" w:lineRule="exact"/>
        <w:jc w:val="center"/>
        <w:rPr>
          <w:rFonts w:ascii="黑体" w:hAnsi="黑体" w:eastAsia="黑体"/>
          <w:sz w:val="32"/>
          <w:szCs w:val="32"/>
        </w:rPr>
      </w:pPr>
      <w:bookmarkStart w:id="25" w:name="BookMark4"/>
    </w:p>
    <w:p w14:paraId="6770447B">
      <w:pPr>
        <w:spacing w:line="20" w:lineRule="exact"/>
        <w:jc w:val="center"/>
        <w:rPr>
          <w:rFonts w:ascii="黑体" w:hAnsi="黑体" w:eastAsia="黑体"/>
          <w:sz w:val="32"/>
          <w:szCs w:val="32"/>
        </w:rPr>
      </w:pPr>
    </w:p>
    <w:sdt>
      <w:sdtPr>
        <w:tag w:val="NEW_STAND_NAME"/>
        <w:id w:val="595910757"/>
        <w:lock w:val="sdtLocked"/>
        <w:placeholder>
          <w:docPart w:val="40BAD1D096DA435C958A3CC3CE42E1DA"/>
        </w:placeholder>
      </w:sdtPr>
      <w:sdtContent>
        <w:p w14:paraId="43B884F3">
          <w:pPr>
            <w:pStyle w:val="177"/>
          </w:pPr>
          <w:bookmarkStart w:id="26" w:name="NEW_STAND_NAME"/>
          <w:r>
            <w:rPr>
              <w:rFonts w:hint="eastAsia"/>
            </w:rPr>
            <w:t>张家川红花牛繁殖技术规程</w:t>
          </w:r>
        </w:p>
      </w:sdtContent>
    </w:sdt>
    <w:bookmarkEnd w:id="26"/>
    <w:p w14:paraId="2E474DFA">
      <w:pPr>
        <w:pStyle w:val="104"/>
        <w:spacing w:before="312" w:after="312"/>
      </w:pPr>
      <w:bookmarkStart w:id="27" w:name="_Toc17233333"/>
      <w:bookmarkStart w:id="28" w:name="_Toc26986530"/>
      <w:bookmarkStart w:id="29" w:name="_Toc26986771"/>
      <w:bookmarkStart w:id="30" w:name="_Toc150014766"/>
      <w:bookmarkStart w:id="31" w:name="_Toc21551"/>
      <w:bookmarkStart w:id="32" w:name="_Toc24884218"/>
      <w:bookmarkStart w:id="33" w:name="_Toc26648465"/>
      <w:bookmarkStart w:id="34" w:name="_Toc17233325"/>
      <w:bookmarkStart w:id="35" w:name="_Toc24884211"/>
      <w:bookmarkStart w:id="36" w:name="_Toc26718930"/>
      <w:bookmarkStart w:id="37" w:name="_Toc97192964"/>
      <w:r>
        <w:rPr>
          <w:rFonts w:hint="eastAsia"/>
        </w:rPr>
        <w:t>范围</w:t>
      </w:r>
      <w:bookmarkEnd w:id="27"/>
      <w:bookmarkEnd w:id="28"/>
      <w:bookmarkEnd w:id="29"/>
      <w:bookmarkEnd w:id="30"/>
      <w:bookmarkEnd w:id="31"/>
      <w:bookmarkEnd w:id="32"/>
      <w:bookmarkEnd w:id="33"/>
      <w:bookmarkEnd w:id="34"/>
      <w:bookmarkEnd w:id="35"/>
      <w:bookmarkEnd w:id="36"/>
      <w:bookmarkEnd w:id="37"/>
    </w:p>
    <w:p w14:paraId="2EA6732F">
      <w:pPr>
        <w:pStyle w:val="56"/>
        <w:ind w:firstLine="420"/>
        <w:rPr>
          <w:rFonts w:hint="eastAsia"/>
        </w:rPr>
      </w:pPr>
      <w:bookmarkStart w:id="38" w:name="_Toc17233334"/>
      <w:bookmarkStart w:id="39" w:name="_Toc24884212"/>
      <w:bookmarkStart w:id="40" w:name="_Toc24884219"/>
      <w:bookmarkStart w:id="41" w:name="_Toc26648466"/>
      <w:bookmarkStart w:id="42" w:name="_Toc17233326"/>
      <w:r>
        <w:rPr>
          <w:rFonts w:hint="eastAsia"/>
        </w:rPr>
        <w:t>本文件规定了张家川红花牛繁殖技术的术语与定义、选种选配、发情鉴定、人工授精、胚胎移植、妊娠诊断、分娩管理及档案记录等繁殖技术操作要求。</w:t>
      </w:r>
    </w:p>
    <w:p w14:paraId="4B432A6E">
      <w:pPr>
        <w:pStyle w:val="56"/>
        <w:ind w:firstLine="420"/>
        <w:rPr>
          <w:rFonts w:hint="eastAsia" w:eastAsia="宋体"/>
          <w:lang w:eastAsia="zh-CN"/>
        </w:rPr>
      </w:pPr>
      <w:r>
        <w:rPr>
          <w:rFonts w:hint="eastAsia"/>
        </w:rPr>
        <w:t>本文件适用于张家川红花牛的繁殖操作与管理</w:t>
      </w:r>
      <w:r>
        <w:rPr>
          <w:rFonts w:hint="eastAsia"/>
          <w:lang w:eastAsia="zh-CN"/>
        </w:rPr>
        <w:t>。</w:t>
      </w:r>
    </w:p>
    <w:p w14:paraId="54032F76">
      <w:pPr>
        <w:pStyle w:val="104"/>
        <w:spacing w:before="312" w:after="312"/>
      </w:pPr>
      <w:bookmarkStart w:id="43" w:name="_Toc26986772"/>
      <w:bookmarkStart w:id="44" w:name="_Toc838"/>
      <w:bookmarkStart w:id="45" w:name="_Toc26718931"/>
      <w:bookmarkStart w:id="46" w:name="_Toc150014767"/>
      <w:bookmarkStart w:id="47" w:name="_Toc97192965"/>
      <w:bookmarkStart w:id="48" w:name="_Toc26986531"/>
      <w:r>
        <w:rPr>
          <w:rFonts w:hint="eastAsia"/>
        </w:rPr>
        <w:t>规范性引用文件</w:t>
      </w:r>
      <w:bookmarkEnd w:id="38"/>
      <w:bookmarkEnd w:id="39"/>
      <w:bookmarkEnd w:id="40"/>
      <w:bookmarkEnd w:id="41"/>
      <w:bookmarkEnd w:id="42"/>
      <w:bookmarkEnd w:id="43"/>
      <w:bookmarkEnd w:id="44"/>
      <w:bookmarkEnd w:id="45"/>
      <w:bookmarkEnd w:id="46"/>
      <w:bookmarkEnd w:id="47"/>
      <w:bookmarkEnd w:id="48"/>
    </w:p>
    <w:sdt>
      <w:sdtPr>
        <w:rPr>
          <w:rFonts w:hint="eastAsia"/>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47A81165">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5E4C036">
      <w:pPr>
        <w:pStyle w:val="56"/>
        <w:ind w:firstLine="420"/>
        <w:rPr>
          <w:rFonts w:ascii="Times New Roman"/>
        </w:rPr>
      </w:pPr>
      <w:r>
        <w:rPr>
          <w:rFonts w:ascii="Times New Roman"/>
        </w:rPr>
        <w:t>GB 4143 牛冷冻精液</w:t>
      </w:r>
    </w:p>
    <w:p w14:paraId="660D26A4">
      <w:pPr>
        <w:pStyle w:val="56"/>
        <w:ind w:firstLine="420"/>
        <w:rPr>
          <w:rFonts w:ascii="Times New Roman"/>
        </w:rPr>
      </w:pPr>
      <w:r>
        <w:rPr>
          <w:rFonts w:ascii="Times New Roman"/>
        </w:rPr>
        <w:t>GB/T 5458 液氮生物容器</w:t>
      </w:r>
    </w:p>
    <w:p w14:paraId="5424ED52">
      <w:pPr>
        <w:pStyle w:val="56"/>
        <w:ind w:firstLine="420"/>
        <w:rPr>
          <w:rFonts w:ascii="Times New Roman"/>
        </w:rPr>
      </w:pPr>
      <w:r>
        <w:rPr>
          <w:rFonts w:ascii="Times New Roman"/>
        </w:rPr>
        <w:t>NY/T 1335 牛人工授精技术规程</w:t>
      </w:r>
    </w:p>
    <w:p w14:paraId="1D877B96">
      <w:pPr>
        <w:pStyle w:val="56"/>
        <w:ind w:firstLine="420"/>
        <w:rPr>
          <w:rFonts w:ascii="Times New Roman"/>
        </w:rPr>
      </w:pPr>
      <w:r>
        <w:rPr>
          <w:rFonts w:ascii="Times New Roman"/>
        </w:rPr>
        <w:t>NY/T 1572 牛胚胎移植技术规程</w:t>
      </w:r>
    </w:p>
    <w:p w14:paraId="51CC0396">
      <w:pPr>
        <w:pStyle w:val="104"/>
        <w:spacing w:before="312" w:after="312"/>
      </w:pPr>
      <w:bookmarkStart w:id="49" w:name="_Toc97192966"/>
      <w:bookmarkStart w:id="50" w:name="_Toc150014768"/>
      <w:bookmarkStart w:id="51" w:name="_Toc32632"/>
      <w:r>
        <w:rPr>
          <w:rFonts w:hint="eastAsia"/>
          <w:szCs w:val="21"/>
        </w:rPr>
        <w:t>术语和定义</w:t>
      </w:r>
      <w:bookmarkEnd w:id="49"/>
      <w:bookmarkEnd w:id="50"/>
      <w:bookmarkEnd w:id="51"/>
    </w:p>
    <w:sdt>
      <w:sdtPr>
        <w:id w:val="-1909835108"/>
        <w:placeholder>
          <w:docPart w:val="82FAD4B12AFB42FD997383B282BB9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CF0B543">
          <w:pPr>
            <w:pStyle w:val="56"/>
            <w:ind w:firstLine="420"/>
          </w:pPr>
          <w:bookmarkStart w:id="52" w:name="_Toc26986532"/>
          <w:bookmarkEnd w:id="52"/>
          <w:r>
            <w:t>本文件没有需要界定的术语和定义。</w:t>
          </w:r>
        </w:p>
      </w:sdtContent>
    </w:sdt>
    <w:p w14:paraId="2BF20ABD">
      <w:pPr>
        <w:pStyle w:val="104"/>
        <w:spacing w:before="312" w:after="312"/>
      </w:pPr>
      <w:bookmarkStart w:id="53" w:name="_Toc12717"/>
      <w:r>
        <w:rPr>
          <w:rFonts w:hint="eastAsia"/>
        </w:rPr>
        <w:t>种牛选择与培育</w:t>
      </w:r>
      <w:bookmarkEnd w:id="53"/>
    </w:p>
    <w:p w14:paraId="508E41C8">
      <w:pPr>
        <w:pStyle w:val="105"/>
        <w:spacing w:before="156" w:after="156"/>
        <w:ind w:left="0"/>
      </w:pPr>
      <w:bookmarkStart w:id="54" w:name="_Toc7455"/>
      <w:r>
        <w:rPr>
          <w:rFonts w:hint="eastAsia"/>
        </w:rPr>
        <w:t>核心群选育</w:t>
      </w:r>
      <w:bookmarkEnd w:id="54"/>
    </w:p>
    <w:p w14:paraId="0A24B9D9">
      <w:pPr>
        <w:pStyle w:val="56"/>
        <w:ind w:firstLine="420"/>
        <w:rPr>
          <w:rFonts w:hint="eastAsia"/>
        </w:rPr>
      </w:pPr>
      <w:r>
        <w:rPr>
          <w:rFonts w:hint="eastAsia"/>
        </w:rPr>
        <w:t>外貌特征应符合张家川红花牛的种群特征，体质健壮，生殖器官发育正常。必须系谱清晰，无近亲繁殖记录。</w:t>
      </w:r>
    </w:p>
    <w:p w14:paraId="4329BF5E">
      <w:pPr>
        <w:pStyle w:val="105"/>
        <w:spacing w:before="156" w:after="156"/>
        <w:ind w:left="0"/>
        <w:rPr>
          <w:rFonts w:hint="eastAsia"/>
        </w:rPr>
      </w:pPr>
      <w:bookmarkStart w:id="55" w:name="_Toc12619"/>
      <w:r>
        <w:rPr>
          <w:rFonts w:hint="eastAsia"/>
        </w:rPr>
        <w:t>后备母牛培育</w:t>
      </w:r>
      <w:bookmarkEnd w:id="55"/>
    </w:p>
    <w:p w14:paraId="335EE087">
      <w:pPr>
        <w:pStyle w:val="56"/>
        <w:ind w:firstLine="420"/>
        <w:rPr>
          <w:rFonts w:ascii="Times New Roman"/>
        </w:rPr>
      </w:pPr>
      <w:r>
        <w:rPr>
          <w:rFonts w:ascii="Times New Roman"/>
        </w:rPr>
        <w:t>育成牛初配年龄为16~18月龄，体重应达到成年体重的70%以上，于第二次正常发情后开始配种。经产牛产后子宫恢复良好、繁殖机能正常时，首次配种时间为产后60 d~80 d。配种时体况评分（BCS）应保持在3.0</w:t>
      </w:r>
      <w:r>
        <w:rPr>
          <w:rFonts w:hint="eastAsia" w:ascii="Times New Roman"/>
          <w:lang w:val="en-US" w:eastAsia="zh-CN"/>
        </w:rPr>
        <w:t>分</w:t>
      </w:r>
      <w:r>
        <w:rPr>
          <w:rFonts w:ascii="Times New Roman"/>
        </w:rPr>
        <w:t>~3.5分（5分制），过肥或过瘦均会影响受胎率。</w:t>
      </w:r>
    </w:p>
    <w:p w14:paraId="0B16C8A3">
      <w:pPr>
        <w:pStyle w:val="105"/>
        <w:spacing w:before="156" w:after="156"/>
        <w:ind w:left="0"/>
        <w:rPr>
          <w:rFonts w:hint="eastAsia"/>
        </w:rPr>
      </w:pPr>
      <w:bookmarkStart w:id="56" w:name="_Toc6961"/>
      <w:r>
        <w:rPr>
          <w:rFonts w:hint="eastAsia"/>
        </w:rPr>
        <w:t>种公牛（冻精）选择</w:t>
      </w:r>
      <w:bookmarkEnd w:id="56"/>
    </w:p>
    <w:p w14:paraId="2800B2A7">
      <w:pPr>
        <w:pStyle w:val="56"/>
        <w:ind w:firstLine="420"/>
        <w:rPr>
          <w:rFonts w:hint="eastAsia" w:ascii="Times New Roman"/>
        </w:rPr>
      </w:pPr>
      <w:r>
        <w:rPr>
          <w:rFonts w:ascii="Times New Roman"/>
        </w:rPr>
        <w:t>种公牛应健康无疫病，系谱清晰，外貌特征符合张家川红花牛种群特征，生产性能优异。冻精质量应符合GB 4143的规定。</w:t>
      </w:r>
    </w:p>
    <w:p w14:paraId="043DC4EB">
      <w:pPr>
        <w:pStyle w:val="104"/>
        <w:spacing w:before="312" w:after="312"/>
      </w:pPr>
      <w:bookmarkStart w:id="57" w:name="_Toc11374"/>
      <w:r>
        <w:rPr>
          <w:rFonts w:hint="eastAsia"/>
        </w:rPr>
        <w:t>繁殖技术</w:t>
      </w:r>
      <w:bookmarkEnd w:id="57"/>
    </w:p>
    <w:p w14:paraId="339A4B93">
      <w:pPr>
        <w:pStyle w:val="105"/>
        <w:spacing w:before="156" w:after="156"/>
        <w:ind w:left="0"/>
        <w:rPr>
          <w:rFonts w:hint="eastAsia"/>
        </w:rPr>
      </w:pPr>
      <w:bookmarkStart w:id="58" w:name="_Toc1369"/>
      <w:r>
        <w:rPr>
          <w:rFonts w:hint="eastAsia"/>
        </w:rPr>
        <w:t>发情鉴定</w:t>
      </w:r>
      <w:bookmarkEnd w:id="58"/>
    </w:p>
    <w:p w14:paraId="28A103B8">
      <w:pPr>
        <w:pStyle w:val="230"/>
        <w:numPr>
          <w:ilvl w:val="2"/>
          <w:numId w:val="32"/>
        </w:numPr>
        <w:ind w:hangingChars="343"/>
        <w:outlineLvl w:val="2"/>
        <w:rPr>
          <w:rFonts w:hint="eastAsia" w:ascii="黑体" w:hAnsi="黑体" w:eastAsia="黑体"/>
        </w:rPr>
      </w:pPr>
      <w:r>
        <w:rPr>
          <w:rFonts w:hint="eastAsia" w:ascii="黑体" w:hAnsi="黑体" w:eastAsia="黑体"/>
        </w:rPr>
        <w:t>外部观察法</w:t>
      </w:r>
    </w:p>
    <w:p w14:paraId="30B59068">
      <w:pPr>
        <w:pStyle w:val="230"/>
        <w:spacing w:line="240" w:lineRule="auto"/>
        <w:rPr>
          <w:rFonts w:hint="default" w:hAnsi="宋体"/>
          <w:lang w:val="en-US"/>
        </w:rPr>
      </w:pPr>
      <w:r>
        <w:rPr>
          <w:rFonts w:hint="eastAsia" w:hAnsi="宋体"/>
          <w:lang w:val="en-US" w:eastAsia="zh-CN"/>
        </w:rPr>
        <w:t>根据母牛行为表现和黏液特征，可将发情时期划分为以下三个阶段：</w:t>
      </w:r>
    </w:p>
    <w:p w14:paraId="476BE8CC">
      <w:pPr>
        <w:pStyle w:val="174"/>
        <w:rPr>
          <w:rFonts w:ascii="Times New Roman"/>
          <w:b w:val="0"/>
          <w:bCs w:val="0"/>
        </w:rPr>
      </w:pPr>
      <w:r>
        <w:rPr>
          <w:rFonts w:hint="eastAsia" w:hAnsi="宋体"/>
          <w:b w:val="0"/>
          <w:bCs w:val="0"/>
        </w:rPr>
        <w:t>发情初期：母牛精神兴奋不安，食欲减退，哞叫频繁，开始爬跨其他母牛，但拒绝其他牛爬跨。外阴轻微肿胀，有少量稀薄黏液流出。</w:t>
      </w:r>
    </w:p>
    <w:p w14:paraId="1B94DFBD">
      <w:pPr>
        <w:pStyle w:val="174"/>
        <w:rPr>
          <w:rFonts w:ascii="Times New Roman"/>
          <w:b w:val="0"/>
          <w:bCs w:val="0"/>
        </w:rPr>
      </w:pPr>
      <w:r>
        <w:rPr>
          <w:rFonts w:hint="eastAsia" w:hAnsi="宋体"/>
          <w:b w:val="0"/>
          <w:bCs w:val="0"/>
        </w:rPr>
        <w:t>发情盛期（配种最佳时期）：母牛静立接受其他牛爬跨，后肢张开，尾巴高举，频繁排尿。外阴肿胀明显，黏液透明且浓稠。</w:t>
      </w:r>
    </w:p>
    <w:p w14:paraId="1F797699">
      <w:pPr>
        <w:pStyle w:val="174"/>
        <w:rPr>
          <w:rFonts w:ascii="Times New Roman"/>
          <w:b w:val="0"/>
          <w:bCs w:val="0"/>
        </w:rPr>
      </w:pPr>
      <w:r>
        <w:rPr>
          <w:rFonts w:hint="eastAsia" w:hAnsi="宋体"/>
          <w:b w:val="0"/>
          <w:bCs w:val="0"/>
        </w:rPr>
        <w:t>发情后期：爬跨行为减少，不再接受爬跨，逐渐恢复安静，食欲恢复。外阴肿胀消退，黏液量少浑浊呈乳白色或黄白色。</w:t>
      </w:r>
    </w:p>
    <w:p w14:paraId="7207AAF6">
      <w:pPr>
        <w:pStyle w:val="230"/>
        <w:numPr>
          <w:ilvl w:val="2"/>
          <w:numId w:val="32"/>
        </w:numPr>
        <w:ind w:hangingChars="343"/>
        <w:outlineLvl w:val="2"/>
        <w:rPr>
          <w:rFonts w:ascii="黑体" w:hAnsi="黑体" w:eastAsia="黑体"/>
        </w:rPr>
      </w:pPr>
      <w:r>
        <w:rPr>
          <w:rFonts w:hint="eastAsia" w:ascii="黑体" w:hAnsi="黑体" w:eastAsia="黑体"/>
        </w:rPr>
        <w:t>直肠检查法</w:t>
      </w:r>
    </w:p>
    <w:p w14:paraId="7B43777E">
      <w:pPr>
        <w:pStyle w:val="230"/>
        <w:spacing w:line="240" w:lineRule="auto"/>
        <w:rPr>
          <w:rFonts w:hint="eastAsia" w:ascii="Times New Roman"/>
        </w:rPr>
      </w:pPr>
      <w:r>
        <w:rPr>
          <w:rFonts w:hAnsi="宋体"/>
        </w:rPr>
        <w:t>先将母牛保定在保定架内，尾部拉向一侧，清洗外阴，操作人员手臂消毒并涂抹润滑剂后，手掌呈锥形伸入直肠，排出宿粪，手心向下沿直肠壁向前摸索。触摸生殖器官时，子宫在发情状态下表现为稍粗大、质地较软、收缩反应明显（一触即缩），有时可感到子宫内有波动感；卵巢重点触摸卵泡状态，发育期卵泡突出于卵巢表面，如黄豆大小，有波动感，成熟期卵泡增大至核桃大，壁薄紧张，波动明显，一触即破，排卵后卵泡消失，原处凹陷或形成黄体。判定标准为：当触摸到卵泡直径达</w:t>
      </w:r>
      <w:r>
        <w:rPr>
          <w:rFonts w:hint="default" w:ascii="Times New Roman" w:hAnsi="Times New Roman" w:cs="Times New Roman"/>
        </w:rPr>
        <w:t>1.5</w:t>
      </w:r>
      <w:r>
        <w:rPr>
          <w:rFonts w:hint="default" w:ascii="Times New Roman" w:hAnsi="Times New Roman" w:cs="Times New Roman"/>
          <w:lang w:val="en-US" w:eastAsia="zh-CN"/>
        </w:rPr>
        <w:t>cm</w:t>
      </w:r>
      <w:r>
        <w:rPr>
          <w:rFonts w:hint="default" w:ascii="Times New Roman" w:hAnsi="Times New Roman" w:cs="Times New Roman"/>
        </w:rPr>
        <w:t>~2.0 cm，壁薄紧张，波动明显，且子宫颈松软时，即为适宜配种时机（此阶段通常对应静立发情结束后6</w:t>
      </w:r>
      <w:r>
        <w:rPr>
          <w:rFonts w:hint="default" w:ascii="Times New Roman" w:hAnsi="Times New Roman" w:cs="Times New Roman"/>
          <w:lang w:val="en-US" w:eastAsia="zh-CN"/>
        </w:rPr>
        <w:t>h</w:t>
      </w:r>
      <w:r>
        <w:rPr>
          <w:rFonts w:hint="default" w:ascii="Times New Roman" w:hAnsi="Times New Roman" w:cs="Times New Roman"/>
        </w:rPr>
        <w:t>~12</w:t>
      </w:r>
      <w:r>
        <w:rPr>
          <w:rFonts w:hint="default" w:ascii="Times New Roman" w:hAnsi="Times New Roman" w:cs="Times New Roman"/>
          <w:lang w:val="en-US" w:eastAsia="zh-CN"/>
        </w:rPr>
        <w:t>h</w:t>
      </w:r>
      <w:r>
        <w:rPr>
          <w:rFonts w:hAnsi="宋体"/>
        </w:rPr>
        <w:t>排卵）。</w:t>
      </w:r>
    </w:p>
    <w:p w14:paraId="4957438C">
      <w:pPr>
        <w:pStyle w:val="230"/>
        <w:numPr>
          <w:ilvl w:val="2"/>
          <w:numId w:val="32"/>
        </w:numPr>
        <w:ind w:hangingChars="343"/>
        <w:outlineLvl w:val="2"/>
        <w:rPr>
          <w:rFonts w:ascii="黑体" w:hAnsi="黑体" w:eastAsia="黑体"/>
        </w:rPr>
      </w:pPr>
      <w:r>
        <w:rPr>
          <w:rFonts w:hint="eastAsia" w:ascii="黑体" w:hAnsi="黑体" w:eastAsia="黑体"/>
        </w:rPr>
        <w:t>辅助监测法</w:t>
      </w:r>
    </w:p>
    <w:p w14:paraId="7F8054F2">
      <w:pPr>
        <w:pStyle w:val="230"/>
        <w:spacing w:line="240" w:lineRule="auto"/>
        <w:rPr>
          <w:rFonts w:hint="eastAsia" w:hAnsi="宋体"/>
          <w:lang w:val="en-US" w:eastAsia="zh-CN"/>
        </w:rPr>
      </w:pPr>
      <w:r>
        <w:rPr>
          <w:rFonts w:hint="eastAsia" w:hAnsi="宋体"/>
          <w:lang w:val="en-US" w:eastAsia="zh-CN"/>
        </w:rPr>
        <w:t>可选用下列方法辅助监测母牛发情;</w:t>
      </w:r>
    </w:p>
    <w:p w14:paraId="1E7867AA">
      <w:pPr>
        <w:pStyle w:val="174"/>
        <w:numPr>
          <w:ilvl w:val="0"/>
          <w:numId w:val="33"/>
        </w:numPr>
      </w:pPr>
      <w:r>
        <w:rPr>
          <w:rFonts w:hint="eastAsia"/>
          <w:lang w:val="en-US" w:eastAsia="zh-CN"/>
        </w:rPr>
        <w:t>涂蜡法：</w:t>
      </w:r>
      <w:r>
        <w:rPr>
          <w:rFonts w:hint="eastAsia" w:hAnsi="宋体"/>
          <w:b w:val="0"/>
          <w:bCs w:val="0"/>
        </w:rPr>
        <w:t>在母牛尾根背部涂抹蜡块，通过蜡块磨掉或蹭痕判断是否接受爬跨。</w:t>
      </w:r>
    </w:p>
    <w:p w14:paraId="36901122">
      <w:pPr>
        <w:pStyle w:val="174"/>
        <w:numPr>
          <w:ilvl w:val="0"/>
          <w:numId w:val="33"/>
        </w:numPr>
        <w:rPr>
          <w:rFonts w:hint="default" w:ascii="Times New Roman" w:hAnsi="Times New Roman" w:cs="Times New Roman"/>
        </w:rPr>
      </w:pPr>
      <w:r>
        <w:rPr>
          <w:rFonts w:hint="default" w:ascii="Times New Roman" w:hAnsi="Times New Roman" w:cs="Times New Roman"/>
          <w:lang w:val="en-US" w:eastAsia="zh-CN"/>
        </w:rPr>
        <w:t>试试</w:t>
      </w:r>
      <w:r>
        <w:rPr>
          <w:rFonts w:hint="default" w:ascii="Times New Roman" w:hAnsi="Times New Roman" w:cs="Times New Roman"/>
          <w:b w:val="0"/>
          <w:bCs w:val="0"/>
        </w:rPr>
        <w:t>计步器监测法</w:t>
      </w:r>
      <w:r>
        <w:rPr>
          <w:rFonts w:hint="default" w:ascii="Times New Roman" w:hAnsi="Times New Roman" w:cs="Times New Roman"/>
          <w:b w:val="0"/>
          <w:bCs w:val="0"/>
          <w:lang w:eastAsia="zh-CN"/>
        </w:rPr>
        <w:t>：</w:t>
      </w:r>
      <w:r>
        <w:rPr>
          <w:rFonts w:hint="default" w:ascii="Times New Roman" w:hAnsi="Times New Roman" w:cs="Times New Roman"/>
          <w:b w:val="0"/>
          <w:bCs w:val="0"/>
        </w:rPr>
        <w:t>通过佩戴电子设备监测活动量，发情母牛活动量通常为平时的2~3倍，系统可自动报警提示</w:t>
      </w:r>
      <w:r>
        <w:rPr>
          <w:rFonts w:hint="default" w:ascii="Times New Roman" w:hAnsi="Times New Roman" w:cs="Times New Roman"/>
          <w:b w:val="0"/>
          <w:bCs w:val="0"/>
          <w:lang w:eastAsia="zh-CN"/>
        </w:rPr>
        <w:t>。</w:t>
      </w:r>
    </w:p>
    <w:p w14:paraId="56E75E9A">
      <w:pPr>
        <w:pStyle w:val="174"/>
        <w:numPr>
          <w:ilvl w:val="0"/>
          <w:numId w:val="33"/>
        </w:numPr>
        <w:rPr>
          <w:rFonts w:hint="default" w:hAnsi="宋体"/>
          <w:lang w:val="en-US" w:eastAsia="zh-CN"/>
        </w:rPr>
      </w:pPr>
      <w:r>
        <w:rPr>
          <w:rFonts w:hint="eastAsia" w:hAnsi="宋体"/>
          <w:b w:val="0"/>
          <w:bCs w:val="0"/>
        </w:rPr>
        <w:t>阴道检查法：使用开膣器观察阴道黏膜色泽、充血程度及子宫颈口开张情况，但需严格消毒以防感染。根据牛只发情鉴定结果填写发情记录表（表A.1）</w:t>
      </w:r>
      <w:r>
        <w:rPr>
          <w:rFonts w:hint="eastAsia" w:hAnsi="宋体"/>
          <w:b w:val="0"/>
          <w:bCs w:val="0"/>
          <w:lang w:eastAsia="zh-CN"/>
        </w:rPr>
        <w:t>。</w:t>
      </w:r>
    </w:p>
    <w:p w14:paraId="5BA1D502">
      <w:pPr>
        <w:pStyle w:val="105"/>
        <w:spacing w:before="156" w:after="156"/>
        <w:ind w:left="0"/>
      </w:pPr>
      <w:bookmarkStart w:id="59" w:name="_Toc10339"/>
      <w:r>
        <w:rPr>
          <w:rFonts w:hint="eastAsia"/>
        </w:rPr>
        <w:t>人工授精</w:t>
      </w:r>
      <w:bookmarkEnd w:id="59"/>
    </w:p>
    <w:p w14:paraId="4599511F">
      <w:pPr>
        <w:pStyle w:val="230"/>
        <w:numPr>
          <w:ilvl w:val="2"/>
          <w:numId w:val="34"/>
        </w:numPr>
        <w:ind w:firstLineChars="0"/>
        <w:outlineLvl w:val="2"/>
        <w:rPr>
          <w:rFonts w:hint="eastAsia" w:ascii="黑体" w:hAnsi="黑体" w:eastAsia="黑体"/>
        </w:rPr>
      </w:pPr>
      <w:r>
        <w:rPr>
          <w:rFonts w:hint="eastAsia" w:ascii="黑体" w:hAnsi="黑体" w:eastAsia="黑体"/>
        </w:rPr>
        <w:t>冷冻精液的保存</w:t>
      </w:r>
    </w:p>
    <w:p w14:paraId="08D95A41">
      <w:pPr>
        <w:pStyle w:val="230"/>
        <w:spacing w:line="240" w:lineRule="auto"/>
        <w:rPr>
          <w:rFonts w:hint="eastAsia" w:ascii="Times New Roman"/>
        </w:rPr>
      </w:pPr>
      <w:r>
        <w:rPr>
          <w:rFonts w:hint="eastAsia" w:hAnsi="宋体"/>
        </w:rPr>
        <w:t>冷冻精液的保存应严格执行以下要求：首先核对冷冻精液信息，包括种公牛的品种、产地、牛号及生产日期等；定期添加液氮，确保液氮容量不低于液氮罐体积的三分之一。从液氮罐中提取冷冻精液时，提桶上沿应保持在霜结线以下，用镊子迅速夹出，精液离开液氮面的时间不得超过</w:t>
      </w:r>
      <w:r>
        <w:rPr>
          <w:rFonts w:hint="eastAsia" w:ascii="Times New Roman"/>
        </w:rPr>
        <w:t>5</w:t>
      </w:r>
      <w:r>
        <w:rPr>
          <w:rFonts w:hint="eastAsia" w:hAnsi="宋体"/>
        </w:rPr>
        <w:t>秒。液氮罐应直立放置在干燥、通风、安全的专用室内，定期检查是否存在氮气泄漏及罐体表面是否结霜，所用液氮罐应符合</w:t>
      </w:r>
      <w:r>
        <w:rPr>
          <w:rFonts w:hint="eastAsia" w:ascii="Times New Roman"/>
        </w:rPr>
        <w:t>GB/T 5458</w:t>
      </w:r>
      <w:r>
        <w:rPr>
          <w:rFonts w:hint="eastAsia" w:hAnsi="宋体"/>
        </w:rPr>
        <w:t>的规定。</w:t>
      </w:r>
    </w:p>
    <w:p w14:paraId="5DE85CD2">
      <w:pPr>
        <w:pStyle w:val="230"/>
        <w:numPr>
          <w:ilvl w:val="2"/>
          <w:numId w:val="34"/>
        </w:numPr>
        <w:ind w:firstLineChars="0"/>
        <w:outlineLvl w:val="2"/>
        <w:rPr>
          <w:rFonts w:hint="eastAsia" w:ascii="黑体" w:hAnsi="黑体" w:eastAsia="黑体"/>
        </w:rPr>
      </w:pPr>
      <w:r>
        <w:rPr>
          <w:rFonts w:hint="eastAsia" w:ascii="黑体" w:hAnsi="黑体" w:eastAsia="黑体"/>
        </w:rPr>
        <w:t>冷冻精液的运输</w:t>
      </w:r>
    </w:p>
    <w:p w14:paraId="0350C9E7">
      <w:pPr>
        <w:pStyle w:val="230"/>
        <w:spacing w:line="240" w:lineRule="auto"/>
        <w:rPr>
          <w:rFonts w:hint="eastAsia" w:ascii="Times New Roman"/>
        </w:rPr>
      </w:pPr>
      <w:r>
        <w:rPr>
          <w:rFonts w:hint="eastAsia" w:hAnsi="宋体"/>
        </w:rPr>
        <w:t>冷冻精液运输应使用专用液氮运输罐，运输过程中保持液氮充足，罐体直立固定，避免剧烈震动、撞击和翻倒，定期检查液氮存量及罐体密封性。</w:t>
      </w:r>
    </w:p>
    <w:p w14:paraId="03F4C342">
      <w:pPr>
        <w:pStyle w:val="230"/>
        <w:numPr>
          <w:ilvl w:val="2"/>
          <w:numId w:val="34"/>
        </w:numPr>
        <w:ind w:firstLineChars="0"/>
        <w:outlineLvl w:val="2"/>
        <w:rPr>
          <w:rFonts w:hint="eastAsia" w:ascii="黑体" w:hAnsi="黑体" w:eastAsia="黑体"/>
        </w:rPr>
      </w:pPr>
      <w:r>
        <w:rPr>
          <w:rFonts w:hint="eastAsia" w:ascii="黑体" w:hAnsi="黑体" w:eastAsia="黑体"/>
        </w:rPr>
        <w:t>冷冻精液的解冻</w:t>
      </w:r>
    </w:p>
    <w:p w14:paraId="52C28DF0">
      <w:pPr>
        <w:pStyle w:val="230"/>
        <w:spacing w:line="240" w:lineRule="auto"/>
        <w:rPr>
          <w:rFonts w:hint="eastAsia" w:ascii="Times New Roman"/>
        </w:rPr>
      </w:pPr>
      <w:r>
        <w:rPr>
          <w:rFonts w:hint="eastAsia" w:hAnsi="宋体"/>
        </w:rPr>
        <w:t>应按</w:t>
      </w:r>
      <w:r>
        <w:rPr>
          <w:rFonts w:hint="eastAsia" w:ascii="Times New Roman"/>
        </w:rPr>
        <w:t>GB 4143</w:t>
      </w:r>
      <w:r>
        <w:rPr>
          <w:rFonts w:hint="eastAsia" w:hAnsi="宋体"/>
        </w:rPr>
        <w:t xml:space="preserve">执行。 </w:t>
      </w:r>
    </w:p>
    <w:p w14:paraId="3FCDC1AD">
      <w:pPr>
        <w:pStyle w:val="230"/>
        <w:numPr>
          <w:ilvl w:val="2"/>
          <w:numId w:val="34"/>
        </w:numPr>
        <w:ind w:firstLineChars="0"/>
        <w:outlineLvl w:val="2"/>
        <w:rPr>
          <w:rFonts w:hint="eastAsia" w:ascii="黑体" w:hAnsi="黑体" w:eastAsia="黑体"/>
        </w:rPr>
      </w:pPr>
      <w:r>
        <w:rPr>
          <w:rFonts w:hint="eastAsia" w:ascii="黑体" w:hAnsi="黑体" w:eastAsia="黑体"/>
        </w:rPr>
        <w:t>冷冻精液的质量检查</w:t>
      </w:r>
    </w:p>
    <w:p w14:paraId="02E4BCCC">
      <w:pPr>
        <w:pStyle w:val="230"/>
        <w:spacing w:line="240" w:lineRule="auto"/>
        <w:rPr>
          <w:rFonts w:hint="eastAsia" w:ascii="Times New Roman"/>
        </w:rPr>
      </w:pPr>
      <w:r>
        <w:rPr>
          <w:rFonts w:hint="eastAsia" w:hAnsi="宋体"/>
        </w:rPr>
        <w:t>每</w:t>
      </w:r>
      <w:r>
        <w:rPr>
          <w:rFonts w:hint="eastAsia" w:ascii="Times New Roman"/>
        </w:rPr>
        <w:t>3</w:t>
      </w:r>
      <w:r>
        <w:rPr>
          <w:rFonts w:hint="eastAsia" w:hAnsi="宋体"/>
        </w:rPr>
        <w:t>个月对同批次的冻精进行抽查，精液质量应符合</w:t>
      </w:r>
      <w:r>
        <w:rPr>
          <w:rFonts w:hint="eastAsia" w:ascii="Times New Roman"/>
        </w:rPr>
        <w:t>GB 4143</w:t>
      </w:r>
      <w:r>
        <w:rPr>
          <w:rFonts w:hint="eastAsia" w:hAnsi="宋体"/>
        </w:rPr>
        <w:t>的要求。</w:t>
      </w:r>
    </w:p>
    <w:p w14:paraId="3996B079">
      <w:pPr>
        <w:pStyle w:val="230"/>
        <w:numPr>
          <w:ilvl w:val="2"/>
          <w:numId w:val="34"/>
        </w:numPr>
        <w:ind w:firstLineChars="0"/>
        <w:outlineLvl w:val="2"/>
        <w:rPr>
          <w:rFonts w:hint="eastAsia" w:ascii="黑体" w:hAnsi="黑体" w:eastAsia="黑体"/>
        </w:rPr>
      </w:pPr>
      <w:r>
        <w:rPr>
          <w:rFonts w:hint="eastAsia" w:ascii="黑体" w:hAnsi="黑体" w:eastAsia="黑体"/>
        </w:rPr>
        <w:t>输精方法</w:t>
      </w:r>
    </w:p>
    <w:p w14:paraId="045005D1">
      <w:pPr>
        <w:pStyle w:val="230"/>
        <w:spacing w:line="240" w:lineRule="auto"/>
        <w:rPr>
          <w:rFonts w:hint="eastAsia" w:ascii="Times New Roman"/>
        </w:rPr>
      </w:pPr>
      <w:r>
        <w:rPr>
          <w:rFonts w:hAnsi="宋体"/>
        </w:rPr>
        <w:t>从事人工授精的技术人员应经过专业培训，掌握人工授精操作技术，熟悉母牛发情鉴定方法，具备张家川红花牛</w:t>
      </w:r>
      <w:r>
        <w:rPr>
          <w:rFonts w:hint="eastAsia" w:hAnsi="宋体"/>
          <w:lang w:eastAsia="zh-CN"/>
        </w:rPr>
        <w:t>群体</w:t>
      </w:r>
      <w:r>
        <w:rPr>
          <w:rFonts w:hAnsi="宋体"/>
        </w:rPr>
        <w:t>识别能力。</w:t>
      </w:r>
      <w:r>
        <w:rPr>
          <w:rFonts w:hint="eastAsia" w:hAnsi="宋体"/>
        </w:rPr>
        <w:t>输精应</w:t>
      </w:r>
      <w:r>
        <w:rPr>
          <w:rFonts w:hAnsi="宋体"/>
        </w:rPr>
        <w:t>按</w:t>
      </w:r>
      <w:r>
        <w:rPr>
          <w:rFonts w:ascii="Times New Roman"/>
        </w:rPr>
        <w:t xml:space="preserve"> NY/T 1335</w:t>
      </w:r>
      <w:r>
        <w:rPr>
          <w:rFonts w:hAnsi="宋体"/>
        </w:rPr>
        <w:t>规定执行，并填写配种记录表（表</w:t>
      </w:r>
      <w:r>
        <w:rPr>
          <w:rFonts w:ascii="Times New Roman"/>
        </w:rPr>
        <w:t>A.2</w:t>
      </w:r>
      <w:r>
        <w:rPr>
          <w:rFonts w:hAnsi="宋体"/>
        </w:rPr>
        <w:t>）。</w:t>
      </w:r>
    </w:p>
    <w:p w14:paraId="63E38256">
      <w:pPr>
        <w:pStyle w:val="105"/>
        <w:spacing w:before="156" w:after="156"/>
        <w:ind w:left="0"/>
      </w:pPr>
      <w:bookmarkStart w:id="60" w:name="_Toc31441"/>
      <w:r>
        <w:rPr>
          <w:rFonts w:hint="eastAsia"/>
        </w:rPr>
        <w:t>胚胎移植</w:t>
      </w:r>
      <w:bookmarkEnd w:id="60"/>
    </w:p>
    <w:p w14:paraId="5E95B436">
      <w:pPr>
        <w:pStyle w:val="230"/>
        <w:spacing w:line="240" w:lineRule="auto"/>
        <w:rPr>
          <w:rFonts w:hint="eastAsia" w:ascii="Times New Roman"/>
        </w:rPr>
      </w:pPr>
      <w:r>
        <w:rPr>
          <w:rFonts w:hint="eastAsia" w:hAnsi="宋体"/>
        </w:rPr>
        <w:t>按</w:t>
      </w:r>
      <w:r>
        <w:rPr>
          <w:rFonts w:hint="eastAsia" w:ascii="Times New Roman"/>
        </w:rPr>
        <w:t>NY/T 1572</w:t>
      </w:r>
      <w:r>
        <w:rPr>
          <w:rFonts w:hint="eastAsia" w:hAnsi="宋体"/>
        </w:rPr>
        <w:t>牛胚胎移植技术规程执行。</w:t>
      </w:r>
    </w:p>
    <w:p w14:paraId="0902D047">
      <w:pPr>
        <w:pStyle w:val="105"/>
        <w:spacing w:before="156" w:after="156"/>
        <w:ind w:left="0"/>
        <w:rPr>
          <w:rFonts w:hint="eastAsia"/>
        </w:rPr>
      </w:pPr>
      <w:bookmarkStart w:id="61" w:name="_Toc16919"/>
      <w:r>
        <w:rPr>
          <w:rFonts w:hint="eastAsia"/>
        </w:rPr>
        <w:t>妊娠诊断</w:t>
      </w:r>
      <w:bookmarkEnd w:id="61"/>
    </w:p>
    <w:p w14:paraId="470EA01D">
      <w:pPr>
        <w:pStyle w:val="230"/>
        <w:spacing w:line="240" w:lineRule="auto"/>
        <w:rPr>
          <w:rFonts w:hint="default" w:ascii="Times New Roman" w:hAnsi="Times New Roman" w:cs="Times New Roman"/>
        </w:rPr>
      </w:pPr>
      <w:r>
        <w:rPr>
          <w:rFonts w:hint="default" w:ascii="Times New Roman" w:hAnsi="Times New Roman" w:cs="Times New Roman"/>
        </w:rPr>
        <w:t>按 NY/T 1335规定执行。根据牛只妊娠鉴定结果填写妊娠记录表（表A.3）。</w:t>
      </w:r>
    </w:p>
    <w:p w14:paraId="46B829EA">
      <w:pPr>
        <w:pStyle w:val="105"/>
        <w:spacing w:before="156" w:after="156"/>
        <w:ind w:left="0"/>
      </w:pPr>
      <w:bookmarkStart w:id="62" w:name="_Toc7429"/>
      <w:r>
        <w:rPr>
          <w:rFonts w:hint="eastAsia"/>
        </w:rPr>
        <w:t>分娩管理</w:t>
      </w:r>
      <w:bookmarkEnd w:id="62"/>
    </w:p>
    <w:p w14:paraId="72E7372B">
      <w:pPr>
        <w:pStyle w:val="230"/>
        <w:numPr>
          <w:ilvl w:val="2"/>
          <w:numId w:val="35"/>
        </w:numPr>
        <w:ind w:hangingChars="343"/>
        <w:outlineLvl w:val="2"/>
        <w:rPr>
          <w:rFonts w:ascii="黑体" w:hAnsi="黑体" w:eastAsia="黑体"/>
        </w:rPr>
      </w:pPr>
      <w:r>
        <w:rPr>
          <w:rFonts w:hint="eastAsia" w:ascii="黑体" w:hAnsi="黑体" w:eastAsia="黑体"/>
        </w:rPr>
        <w:t>产前准备</w:t>
      </w:r>
    </w:p>
    <w:p w14:paraId="6258081A">
      <w:pPr>
        <w:pStyle w:val="230"/>
        <w:spacing w:line="240" w:lineRule="auto"/>
        <w:rPr>
          <w:rFonts w:hint="default" w:hAnsi="宋体"/>
          <w:lang w:val="en-US" w:eastAsia="zh-CN"/>
        </w:rPr>
      </w:pPr>
      <w:r>
        <w:rPr>
          <w:rFonts w:hint="eastAsia" w:hAnsi="宋体"/>
          <w:lang w:val="en-US" w:eastAsia="zh-CN"/>
        </w:rPr>
        <w:t>母牛产前准备至少包含以下两个方面：</w:t>
      </w:r>
    </w:p>
    <w:p w14:paraId="168551B0">
      <w:pPr>
        <w:pStyle w:val="174"/>
        <w:numPr>
          <w:ilvl w:val="0"/>
          <w:numId w:val="36"/>
        </w:numPr>
        <w:rPr>
          <w:rFonts w:hint="default" w:ascii="Times New Roman" w:hAnsi="Times New Roman" w:cs="Times New Roman"/>
        </w:rPr>
      </w:pPr>
      <w:r>
        <w:rPr>
          <w:rFonts w:hint="default" w:ascii="Times New Roman" w:hAnsi="Times New Roman" w:cs="Times New Roman"/>
        </w:rPr>
        <w:t>产房准备：预产期前15</w:t>
      </w:r>
      <w:r>
        <w:rPr>
          <w:rFonts w:hint="eastAsia" w:ascii="Times New Roman" w:cs="Times New Roman"/>
          <w:lang w:val="en-US" w:eastAsia="zh-CN"/>
        </w:rPr>
        <w:t>d</w:t>
      </w:r>
      <w:r>
        <w:rPr>
          <w:rFonts w:hint="default" w:ascii="Times New Roman" w:hAnsi="Times New Roman" w:cs="Times New Roman"/>
        </w:rPr>
        <w:t>-20</w:t>
      </w:r>
      <w:r>
        <w:rPr>
          <w:rFonts w:hint="eastAsia" w:ascii="Times New Roman" w:cs="Times New Roman"/>
          <w:lang w:val="en-US" w:eastAsia="zh-CN"/>
        </w:rPr>
        <w:t>d</w:t>
      </w:r>
      <w:r>
        <w:rPr>
          <w:rFonts w:hint="default" w:ascii="Times New Roman" w:hAnsi="Times New Roman" w:cs="Times New Roman"/>
        </w:rPr>
        <w:t>，将母牛转入专用产房。产房应彻底清扫消毒，可使用碘制剂等温和消毒剂（若使用氢氧化钠，消毒后须彻底冲洗），铺设15</w:t>
      </w:r>
      <w:r>
        <w:rPr>
          <w:rFonts w:hint="eastAsia" w:ascii="Times New Roman" w:cs="Times New Roman"/>
          <w:lang w:val="en-US" w:eastAsia="zh-CN"/>
        </w:rPr>
        <w:t>cm</w:t>
      </w:r>
      <w:r>
        <w:rPr>
          <w:rFonts w:hint="default" w:ascii="Times New Roman" w:hAnsi="Times New Roman" w:cs="Times New Roman"/>
        </w:rPr>
        <w:t>-20cm厚干燥垫草，冬季温度不低于5℃，夏季保持通风良好。</w:t>
      </w:r>
    </w:p>
    <w:p w14:paraId="3C0D2610">
      <w:pPr>
        <w:pStyle w:val="174"/>
        <w:numPr>
          <w:ilvl w:val="0"/>
          <w:numId w:val="36"/>
        </w:numPr>
        <w:rPr>
          <w:rFonts w:hint="default" w:ascii="Times New Roman" w:hAnsi="Times New Roman" w:cs="Times New Roman"/>
        </w:rPr>
      </w:pPr>
      <w:r>
        <w:rPr>
          <w:rFonts w:hint="default" w:ascii="Times New Roman" w:hAnsi="Times New Roman" w:cs="Times New Roman"/>
        </w:rPr>
        <w:t>分娩监护：产前2周开始实施“减精增草”营养调控，补充维生素及矿物质，预防难产和代谢疾病。每日观察乳房膨大、外阴松弛及尾根韧带变化等临产征兆，落实24小时专人值班制度</w:t>
      </w:r>
      <w:r>
        <w:rPr>
          <w:rFonts w:hint="default" w:ascii="Times New Roman" w:hAnsi="Times New Roman" w:cs="Times New Roman"/>
          <w:lang w:eastAsia="zh-CN"/>
        </w:rPr>
        <w:t>。</w:t>
      </w:r>
    </w:p>
    <w:p w14:paraId="20E133BE">
      <w:pPr>
        <w:pStyle w:val="230"/>
        <w:numPr>
          <w:ilvl w:val="2"/>
          <w:numId w:val="35"/>
        </w:numPr>
        <w:ind w:hangingChars="343"/>
        <w:outlineLvl w:val="2"/>
        <w:rPr>
          <w:rFonts w:ascii="黑体" w:hAnsi="黑体" w:eastAsia="黑体"/>
        </w:rPr>
      </w:pPr>
      <w:r>
        <w:rPr>
          <w:rFonts w:hint="eastAsia" w:ascii="黑体" w:hAnsi="黑体" w:eastAsia="黑体"/>
        </w:rPr>
        <w:t>接产操作</w:t>
      </w:r>
    </w:p>
    <w:p w14:paraId="3ACF4AAB">
      <w:pPr>
        <w:pStyle w:val="230"/>
        <w:spacing w:line="240" w:lineRule="auto"/>
        <w:rPr>
          <w:rFonts w:hint="default" w:ascii="Times New Roman" w:hAnsi="Times New Roman" w:cs="Times New Roman"/>
        </w:rPr>
      </w:pPr>
      <w:r>
        <w:rPr>
          <w:rFonts w:hint="default" w:ascii="Times New Roman" w:hAnsi="Times New Roman" w:cs="Times New Roman"/>
        </w:rPr>
        <w:t>分娩过程需精准识别母牛起卧不安、乳房溢乳、外阴松弛及破水等临产征兆，遵循“多看少动”原则监护正常分娩，仅在胎儿娩出后清理口鼻黏液并规范消毒脐带；一旦遇破水超1小时无进展、努责微弱或胎位不正等难产情况，助产员须严格消毒润滑后，趁阵痛间歇期矫正胎位并配合母牛努责顺势牵引，严禁强行硬拉以防损伤，经评估确属胎儿过大、无法经产道娩出时，应及时实施剖腹产，术后务必对母牛产道进行消炎处理，预防感染。根据产犊情况填写产犊记录表（表A.4）。</w:t>
      </w:r>
    </w:p>
    <w:p w14:paraId="4F13A37B">
      <w:pPr>
        <w:pStyle w:val="104"/>
        <w:spacing w:before="312" w:after="312"/>
        <w:rPr>
          <w:rFonts w:hint="eastAsia" w:hAnsi="宋体"/>
        </w:rPr>
      </w:pPr>
      <w:bookmarkStart w:id="63" w:name="_Toc29868"/>
      <w:r>
        <w:rPr>
          <w:rFonts w:hint="eastAsia"/>
        </w:rPr>
        <w:t>档案管理</w:t>
      </w:r>
      <w:bookmarkEnd w:id="63"/>
    </w:p>
    <w:p w14:paraId="5AC1D56F">
      <w:pPr>
        <w:pStyle w:val="230"/>
        <w:spacing w:line="240" w:lineRule="auto"/>
        <w:rPr>
          <w:rFonts w:hint="eastAsia" w:hAnsi="宋体"/>
          <w:lang w:val="en-US" w:eastAsia="zh-CN"/>
        </w:rPr>
      </w:pPr>
      <w:r>
        <w:rPr>
          <w:rFonts w:hint="eastAsia" w:hAnsi="宋体"/>
          <w:lang w:val="en-US" w:eastAsia="zh-CN"/>
        </w:rPr>
        <w:t>繁殖档案应长期保存，可采用纸质档案和电子档案两种形式，便于统计分析、追溯查询。</w:t>
      </w:r>
    </w:p>
    <w:p w14:paraId="656E1FD9">
      <w:pPr>
        <w:pStyle w:val="104"/>
        <w:spacing w:before="312" w:after="312"/>
      </w:pPr>
      <w:bookmarkStart w:id="64" w:name="_Toc1101"/>
      <w:r>
        <w:rPr>
          <w:rFonts w:hint="eastAsia"/>
        </w:rPr>
        <w:t>繁殖效率指标</w:t>
      </w:r>
      <w:bookmarkEnd w:id="64"/>
    </w:p>
    <w:p w14:paraId="2D534683">
      <w:pPr>
        <w:pStyle w:val="105"/>
        <w:spacing w:before="156" w:after="156"/>
        <w:ind w:left="0"/>
        <w:rPr>
          <w:rFonts w:hint="eastAsia"/>
        </w:rPr>
      </w:pPr>
      <w:bookmarkStart w:id="65" w:name="_Toc25048"/>
      <w:r>
        <w:rPr>
          <w:rFonts w:hint="eastAsia"/>
        </w:rPr>
        <w:t>发情鉴定相关指标</w:t>
      </w:r>
      <w:bookmarkEnd w:id="65"/>
    </w:p>
    <w:p w14:paraId="048B17A0">
      <w:pPr>
        <w:pStyle w:val="230"/>
        <w:spacing w:line="240" w:lineRule="auto"/>
        <w:rPr>
          <w:rFonts w:hint="eastAsia" w:hAnsi="宋体"/>
        </w:rPr>
      </w:pPr>
      <w:r>
        <w:rPr>
          <w:rFonts w:hint="eastAsia" w:hAnsi="宋体"/>
        </w:rPr>
        <w:t>张家川红花牛发情鉴定相关指标见表1。</w:t>
      </w:r>
    </w:p>
    <w:p w14:paraId="6DD134BC">
      <w:pPr>
        <w:pStyle w:val="112"/>
        <w:spacing w:before="156" w:after="156"/>
        <w:rPr>
          <w:rFonts w:hint="eastAsia"/>
        </w:rPr>
      </w:pPr>
      <w:r>
        <w:rPr>
          <w:rFonts w:hint="eastAsia"/>
        </w:rPr>
        <w:t>张家川红花牛发情鉴定相关指标</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3635"/>
        <w:gridCol w:w="1912"/>
        <w:gridCol w:w="3468"/>
      </w:tblGrid>
      <w:tr w14:paraId="747D7C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3635" w:type="dxa"/>
            <w:tcBorders>
              <w:top w:val="single" w:color="auto" w:sz="8" w:space="0"/>
              <w:bottom w:val="single" w:color="auto" w:sz="8" w:space="0"/>
            </w:tcBorders>
            <w:shd w:val="clear" w:color="auto" w:fill="auto"/>
            <w:vAlign w:val="center"/>
          </w:tcPr>
          <w:p w14:paraId="3D18664E">
            <w:pPr>
              <w:jc w:val="center"/>
              <w:rPr>
                <w:rFonts w:ascii="Times New Roman" w:hAnsi="Times New Roman" w:eastAsia="黑体"/>
                <w:sz w:val="18"/>
                <w:szCs w:val="18"/>
              </w:rPr>
            </w:pPr>
            <w:r>
              <w:rPr>
                <w:sz w:val="18"/>
                <w:szCs w:val="18"/>
              </w:rPr>
              <w:t>指标名称</w:t>
            </w:r>
          </w:p>
        </w:tc>
        <w:tc>
          <w:tcPr>
            <w:tcW w:w="1912" w:type="dxa"/>
            <w:tcBorders>
              <w:top w:val="single" w:color="auto" w:sz="8" w:space="0"/>
              <w:bottom w:val="single" w:color="auto" w:sz="8" w:space="0"/>
            </w:tcBorders>
            <w:shd w:val="clear" w:color="auto" w:fill="auto"/>
            <w:vAlign w:val="center"/>
          </w:tcPr>
          <w:p w14:paraId="77FDE1A8">
            <w:pPr>
              <w:jc w:val="center"/>
              <w:rPr>
                <w:rFonts w:ascii="Times New Roman" w:hAnsi="Times New Roman" w:eastAsia="黑体"/>
                <w:sz w:val="18"/>
                <w:szCs w:val="18"/>
              </w:rPr>
            </w:pPr>
            <w:r>
              <w:rPr>
                <w:sz w:val="18"/>
                <w:szCs w:val="18"/>
              </w:rPr>
              <w:t>参考值</w:t>
            </w:r>
          </w:p>
        </w:tc>
        <w:tc>
          <w:tcPr>
            <w:tcW w:w="3468" w:type="dxa"/>
            <w:tcBorders>
              <w:top w:val="single" w:color="auto" w:sz="8" w:space="0"/>
              <w:bottom w:val="single" w:color="auto" w:sz="8" w:space="0"/>
            </w:tcBorders>
            <w:shd w:val="clear" w:color="auto" w:fill="auto"/>
            <w:vAlign w:val="center"/>
          </w:tcPr>
          <w:p w14:paraId="62E4B174">
            <w:pPr>
              <w:jc w:val="center"/>
              <w:rPr>
                <w:rFonts w:ascii="Times New Roman" w:hAnsi="Times New Roman" w:eastAsia="黑体"/>
                <w:sz w:val="18"/>
                <w:szCs w:val="18"/>
              </w:rPr>
            </w:pPr>
            <w:r>
              <w:rPr>
                <w:sz w:val="18"/>
                <w:szCs w:val="18"/>
              </w:rPr>
              <w:t>说明</w:t>
            </w:r>
          </w:p>
        </w:tc>
      </w:tr>
      <w:tr w14:paraId="6DDBB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635" w:type="dxa"/>
            <w:tcBorders>
              <w:top w:val="single" w:color="auto" w:sz="8" w:space="0"/>
            </w:tcBorders>
            <w:shd w:val="clear" w:color="auto" w:fill="auto"/>
            <w:vAlign w:val="center"/>
          </w:tcPr>
          <w:p w14:paraId="0D5D31E6">
            <w:pPr>
              <w:jc w:val="center"/>
              <w:rPr>
                <w:rFonts w:ascii="Times New Roman" w:hAnsi="Times New Roman" w:eastAsia="黑体"/>
                <w:sz w:val="18"/>
                <w:szCs w:val="18"/>
              </w:rPr>
            </w:pPr>
            <w:r>
              <w:rPr>
                <w:sz w:val="18"/>
                <w:szCs w:val="18"/>
              </w:rPr>
              <w:t>发情检出率</w:t>
            </w:r>
          </w:p>
        </w:tc>
        <w:tc>
          <w:tcPr>
            <w:tcW w:w="1912" w:type="dxa"/>
            <w:tcBorders>
              <w:top w:val="single" w:color="auto" w:sz="8" w:space="0"/>
            </w:tcBorders>
            <w:shd w:val="clear" w:color="auto" w:fill="auto"/>
            <w:vAlign w:val="center"/>
          </w:tcPr>
          <w:p w14:paraId="4635FD76">
            <w:pPr>
              <w:jc w:val="center"/>
              <w:rPr>
                <w:rFonts w:ascii="Times New Roman" w:hAnsi="Times New Roman" w:eastAsia="黑体"/>
                <w:sz w:val="18"/>
                <w:szCs w:val="18"/>
              </w:rPr>
            </w:pPr>
            <w:r>
              <w:rPr>
                <w:rFonts w:ascii="Times New Roman" w:hAnsi="Times New Roman"/>
                <w:sz w:val="18"/>
                <w:szCs w:val="18"/>
              </w:rPr>
              <w:t>≥85%</w:t>
            </w:r>
          </w:p>
        </w:tc>
        <w:tc>
          <w:tcPr>
            <w:tcW w:w="3468" w:type="dxa"/>
            <w:tcBorders>
              <w:top w:val="single" w:color="auto" w:sz="8" w:space="0"/>
            </w:tcBorders>
            <w:shd w:val="clear" w:color="auto" w:fill="auto"/>
            <w:vAlign w:val="center"/>
          </w:tcPr>
          <w:p w14:paraId="3AF9058A">
            <w:pPr>
              <w:jc w:val="center"/>
              <w:rPr>
                <w:rFonts w:ascii="Times New Roman" w:hAnsi="Times New Roman" w:eastAsia="黑体"/>
                <w:sz w:val="18"/>
                <w:szCs w:val="18"/>
              </w:rPr>
            </w:pPr>
            <w:r>
              <w:rPr>
                <w:sz w:val="18"/>
                <w:szCs w:val="18"/>
              </w:rPr>
              <w:t>应配种母牛中实际检出发情的比例</w:t>
            </w:r>
          </w:p>
        </w:tc>
      </w:tr>
      <w:tr w14:paraId="0E590A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635" w:type="dxa"/>
            <w:tcBorders>
              <w:bottom w:val="single" w:color="auto" w:sz="8" w:space="0"/>
            </w:tcBorders>
            <w:shd w:val="clear" w:color="auto" w:fill="auto"/>
            <w:vAlign w:val="center"/>
          </w:tcPr>
          <w:p w14:paraId="70670485">
            <w:pPr>
              <w:jc w:val="center"/>
              <w:rPr>
                <w:rFonts w:ascii="Times New Roman" w:hAnsi="Times New Roman" w:eastAsia="黑体"/>
                <w:sz w:val="18"/>
                <w:szCs w:val="18"/>
              </w:rPr>
            </w:pPr>
            <w:r>
              <w:rPr>
                <w:sz w:val="18"/>
                <w:szCs w:val="18"/>
              </w:rPr>
              <w:t>发情鉴定准确率</w:t>
            </w:r>
          </w:p>
        </w:tc>
        <w:tc>
          <w:tcPr>
            <w:tcW w:w="1912" w:type="dxa"/>
            <w:tcBorders>
              <w:bottom w:val="single" w:color="auto" w:sz="8" w:space="0"/>
            </w:tcBorders>
            <w:shd w:val="clear" w:color="auto" w:fill="auto"/>
            <w:vAlign w:val="center"/>
          </w:tcPr>
          <w:p w14:paraId="0A8F5635">
            <w:pPr>
              <w:jc w:val="center"/>
              <w:rPr>
                <w:rFonts w:ascii="Times New Roman" w:hAnsi="Times New Roman" w:eastAsia="黑体"/>
                <w:sz w:val="18"/>
                <w:szCs w:val="18"/>
              </w:rPr>
            </w:pPr>
            <w:r>
              <w:rPr>
                <w:rFonts w:ascii="Times New Roman" w:hAnsi="Times New Roman"/>
                <w:sz w:val="18"/>
                <w:szCs w:val="18"/>
              </w:rPr>
              <w:t>≥90%</w:t>
            </w:r>
          </w:p>
        </w:tc>
        <w:tc>
          <w:tcPr>
            <w:tcW w:w="3468" w:type="dxa"/>
            <w:tcBorders>
              <w:bottom w:val="single" w:color="auto" w:sz="8" w:space="0"/>
            </w:tcBorders>
            <w:shd w:val="clear" w:color="auto" w:fill="auto"/>
            <w:vAlign w:val="center"/>
          </w:tcPr>
          <w:p w14:paraId="6F736BB0">
            <w:pPr>
              <w:jc w:val="center"/>
              <w:rPr>
                <w:rFonts w:ascii="Times New Roman" w:hAnsi="Times New Roman" w:eastAsia="黑体"/>
                <w:sz w:val="18"/>
                <w:szCs w:val="18"/>
              </w:rPr>
            </w:pPr>
            <w:r>
              <w:rPr>
                <w:sz w:val="18"/>
                <w:szCs w:val="18"/>
              </w:rPr>
              <w:t>检出发情后实际排卵或受胎的比例</w:t>
            </w:r>
          </w:p>
        </w:tc>
      </w:tr>
    </w:tbl>
    <w:p w14:paraId="0B310087">
      <w:pPr>
        <w:pStyle w:val="105"/>
        <w:spacing w:before="156" w:after="156"/>
        <w:ind w:left="0"/>
        <w:rPr>
          <w:rFonts w:hint="eastAsia"/>
        </w:rPr>
      </w:pPr>
      <w:r>
        <w:rPr>
          <w:rFonts w:hint="eastAsia"/>
        </w:rPr>
        <w:t xml:space="preserve"> </w:t>
      </w:r>
      <w:bookmarkStart w:id="66" w:name="_Toc29535"/>
      <w:r>
        <w:rPr>
          <w:rFonts w:hint="eastAsia"/>
        </w:rPr>
        <w:t>配种相关指标</w:t>
      </w:r>
      <w:bookmarkEnd w:id="66"/>
    </w:p>
    <w:p w14:paraId="36130A6B">
      <w:pPr>
        <w:pStyle w:val="230"/>
        <w:spacing w:line="240" w:lineRule="auto"/>
        <w:rPr>
          <w:rFonts w:hint="eastAsia" w:hAnsi="宋体"/>
        </w:rPr>
      </w:pPr>
      <w:r>
        <w:rPr>
          <w:rFonts w:hint="eastAsia" w:hAnsi="宋体"/>
        </w:rPr>
        <w:t>张家川红花牛配种相关指标见表2。</w:t>
      </w:r>
    </w:p>
    <w:p w14:paraId="67F9B720">
      <w:pPr>
        <w:pStyle w:val="230"/>
        <w:spacing w:line="240" w:lineRule="auto"/>
        <w:rPr>
          <w:rFonts w:hint="eastAsia" w:hAnsi="宋体"/>
        </w:rPr>
      </w:pPr>
    </w:p>
    <w:p w14:paraId="4A736507">
      <w:pPr>
        <w:pStyle w:val="230"/>
        <w:spacing w:line="240" w:lineRule="auto"/>
        <w:rPr>
          <w:rFonts w:hint="eastAsia" w:hAnsi="宋体"/>
        </w:rPr>
      </w:pPr>
    </w:p>
    <w:p w14:paraId="0395D48B">
      <w:pPr>
        <w:pStyle w:val="230"/>
        <w:spacing w:line="240" w:lineRule="auto"/>
        <w:rPr>
          <w:rFonts w:hint="eastAsia" w:hAnsi="宋体"/>
        </w:rPr>
      </w:pPr>
    </w:p>
    <w:p w14:paraId="5D1C389A">
      <w:pPr>
        <w:pStyle w:val="112"/>
        <w:spacing w:before="156" w:after="156"/>
        <w:rPr>
          <w:rFonts w:hint="eastAsia"/>
        </w:rPr>
      </w:pPr>
      <w:r>
        <w:rPr>
          <w:rFonts w:hint="eastAsia"/>
        </w:rPr>
        <w:t>张家川红花牛配种相关指标</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195"/>
        <w:gridCol w:w="2552"/>
        <w:gridCol w:w="4430"/>
      </w:tblGrid>
      <w:tr w14:paraId="409DA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195" w:type="dxa"/>
            <w:tcBorders>
              <w:top w:val="single" w:color="auto" w:sz="8" w:space="0"/>
              <w:bottom w:val="single" w:color="auto" w:sz="8" w:space="0"/>
            </w:tcBorders>
            <w:shd w:val="clear" w:color="auto" w:fill="auto"/>
            <w:vAlign w:val="center"/>
          </w:tcPr>
          <w:p w14:paraId="388F4714">
            <w:pPr>
              <w:jc w:val="center"/>
              <w:rPr>
                <w:rFonts w:ascii="Times New Roman" w:hAnsi="Times New Roman"/>
                <w:sz w:val="18"/>
                <w:szCs w:val="18"/>
              </w:rPr>
            </w:pPr>
            <w:r>
              <w:rPr>
                <w:rFonts w:ascii="Times New Roman" w:hAnsi="Times New Roman"/>
                <w:sz w:val="18"/>
                <w:szCs w:val="18"/>
              </w:rPr>
              <w:t>指标名称</w:t>
            </w:r>
          </w:p>
        </w:tc>
        <w:tc>
          <w:tcPr>
            <w:tcW w:w="2552" w:type="dxa"/>
            <w:tcBorders>
              <w:top w:val="single" w:color="auto" w:sz="8" w:space="0"/>
              <w:bottom w:val="single" w:color="auto" w:sz="8" w:space="0"/>
            </w:tcBorders>
            <w:shd w:val="clear" w:color="auto" w:fill="auto"/>
            <w:vAlign w:val="center"/>
          </w:tcPr>
          <w:p w14:paraId="45BD0C76">
            <w:pPr>
              <w:jc w:val="center"/>
              <w:rPr>
                <w:rFonts w:ascii="Times New Roman" w:hAnsi="Times New Roman"/>
                <w:sz w:val="18"/>
                <w:szCs w:val="18"/>
              </w:rPr>
            </w:pPr>
            <w:r>
              <w:rPr>
                <w:rFonts w:ascii="Times New Roman" w:hAnsi="Times New Roman"/>
                <w:sz w:val="18"/>
                <w:szCs w:val="18"/>
              </w:rPr>
              <w:t>参考值</w:t>
            </w:r>
          </w:p>
        </w:tc>
        <w:tc>
          <w:tcPr>
            <w:tcW w:w="4430" w:type="dxa"/>
            <w:tcBorders>
              <w:top w:val="single" w:color="auto" w:sz="8" w:space="0"/>
              <w:bottom w:val="single" w:color="auto" w:sz="8" w:space="0"/>
            </w:tcBorders>
            <w:shd w:val="clear" w:color="auto" w:fill="auto"/>
            <w:vAlign w:val="center"/>
          </w:tcPr>
          <w:p w14:paraId="08AF339F">
            <w:pPr>
              <w:jc w:val="center"/>
              <w:rPr>
                <w:rFonts w:ascii="Times New Roman" w:hAnsi="Times New Roman"/>
                <w:sz w:val="18"/>
                <w:szCs w:val="18"/>
              </w:rPr>
            </w:pPr>
            <w:r>
              <w:rPr>
                <w:rFonts w:ascii="Times New Roman" w:hAnsi="Times New Roman"/>
                <w:sz w:val="18"/>
                <w:szCs w:val="18"/>
              </w:rPr>
              <w:t>说明</w:t>
            </w:r>
          </w:p>
        </w:tc>
      </w:tr>
      <w:tr w14:paraId="502BBF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195" w:type="dxa"/>
            <w:tcBorders>
              <w:top w:val="single" w:color="auto" w:sz="8" w:space="0"/>
            </w:tcBorders>
            <w:shd w:val="clear" w:color="auto" w:fill="auto"/>
            <w:vAlign w:val="center"/>
          </w:tcPr>
          <w:p w14:paraId="68DA1A49">
            <w:pPr>
              <w:jc w:val="center"/>
              <w:rPr>
                <w:rFonts w:ascii="Times New Roman" w:hAnsi="Times New Roman"/>
                <w:sz w:val="18"/>
                <w:szCs w:val="18"/>
              </w:rPr>
            </w:pPr>
            <w:r>
              <w:rPr>
                <w:rFonts w:ascii="Times New Roman" w:hAnsi="Times New Roman"/>
                <w:sz w:val="18"/>
                <w:szCs w:val="18"/>
              </w:rPr>
              <w:t>情期受胎率</w:t>
            </w:r>
          </w:p>
        </w:tc>
        <w:tc>
          <w:tcPr>
            <w:tcW w:w="2552" w:type="dxa"/>
            <w:tcBorders>
              <w:top w:val="single" w:color="auto" w:sz="8" w:space="0"/>
            </w:tcBorders>
            <w:shd w:val="clear" w:color="auto" w:fill="auto"/>
            <w:vAlign w:val="center"/>
          </w:tcPr>
          <w:p w14:paraId="5559AB65">
            <w:pPr>
              <w:jc w:val="center"/>
              <w:rPr>
                <w:rFonts w:ascii="Times New Roman" w:hAnsi="Times New Roman"/>
                <w:sz w:val="18"/>
                <w:szCs w:val="18"/>
              </w:rPr>
            </w:pPr>
            <w:r>
              <w:rPr>
                <w:rFonts w:ascii="Times New Roman" w:hAnsi="Times New Roman"/>
                <w:sz w:val="18"/>
                <w:szCs w:val="18"/>
              </w:rPr>
              <w:t>核心群≥75%，群体≥60%</w:t>
            </w:r>
          </w:p>
        </w:tc>
        <w:tc>
          <w:tcPr>
            <w:tcW w:w="4430" w:type="dxa"/>
            <w:tcBorders>
              <w:top w:val="single" w:color="auto" w:sz="8" w:space="0"/>
            </w:tcBorders>
            <w:shd w:val="clear" w:color="auto" w:fill="auto"/>
            <w:vAlign w:val="center"/>
          </w:tcPr>
          <w:p w14:paraId="53152279">
            <w:pPr>
              <w:jc w:val="center"/>
              <w:rPr>
                <w:rFonts w:ascii="Times New Roman" w:hAnsi="Times New Roman"/>
                <w:sz w:val="18"/>
                <w:szCs w:val="18"/>
              </w:rPr>
            </w:pPr>
            <w:r>
              <w:rPr>
                <w:rFonts w:ascii="Times New Roman" w:hAnsi="Times New Roman"/>
                <w:sz w:val="18"/>
                <w:szCs w:val="18"/>
              </w:rPr>
              <w:t>一个发情周期内配种后受胎的比例</w:t>
            </w:r>
          </w:p>
        </w:tc>
      </w:tr>
      <w:tr w14:paraId="4DAFF8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195" w:type="dxa"/>
            <w:shd w:val="clear" w:color="auto" w:fill="auto"/>
            <w:vAlign w:val="center"/>
          </w:tcPr>
          <w:p w14:paraId="16BF38E5">
            <w:pPr>
              <w:jc w:val="center"/>
              <w:rPr>
                <w:rFonts w:ascii="Times New Roman" w:hAnsi="Times New Roman"/>
                <w:sz w:val="18"/>
                <w:szCs w:val="18"/>
              </w:rPr>
            </w:pPr>
            <w:r>
              <w:rPr>
                <w:rFonts w:ascii="Times New Roman" w:hAnsi="Times New Roman"/>
                <w:sz w:val="18"/>
                <w:szCs w:val="18"/>
              </w:rPr>
              <w:t>第一情期受胎率</w:t>
            </w:r>
          </w:p>
        </w:tc>
        <w:tc>
          <w:tcPr>
            <w:tcW w:w="2552" w:type="dxa"/>
            <w:shd w:val="clear" w:color="auto" w:fill="auto"/>
            <w:vAlign w:val="center"/>
          </w:tcPr>
          <w:p w14:paraId="51F579B9">
            <w:pPr>
              <w:jc w:val="center"/>
              <w:rPr>
                <w:rFonts w:ascii="Times New Roman" w:hAnsi="Times New Roman"/>
                <w:sz w:val="18"/>
                <w:szCs w:val="18"/>
              </w:rPr>
            </w:pPr>
            <w:r>
              <w:rPr>
                <w:rFonts w:ascii="Times New Roman" w:hAnsi="Times New Roman"/>
                <w:sz w:val="18"/>
                <w:szCs w:val="18"/>
              </w:rPr>
              <w:t>≥60%</w:t>
            </w:r>
          </w:p>
        </w:tc>
        <w:tc>
          <w:tcPr>
            <w:tcW w:w="4430" w:type="dxa"/>
            <w:shd w:val="clear" w:color="auto" w:fill="auto"/>
            <w:vAlign w:val="center"/>
          </w:tcPr>
          <w:p w14:paraId="4AC3743E">
            <w:pPr>
              <w:jc w:val="center"/>
              <w:rPr>
                <w:rFonts w:ascii="Times New Roman" w:hAnsi="Times New Roman"/>
                <w:sz w:val="18"/>
                <w:szCs w:val="18"/>
              </w:rPr>
            </w:pPr>
            <w:r>
              <w:rPr>
                <w:rFonts w:ascii="Times New Roman" w:hAnsi="Times New Roman"/>
                <w:sz w:val="18"/>
                <w:szCs w:val="18"/>
              </w:rPr>
              <w:t>首次配种即受胎的比例</w:t>
            </w:r>
          </w:p>
        </w:tc>
      </w:tr>
      <w:tr w14:paraId="1D34C0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195" w:type="dxa"/>
            <w:shd w:val="clear" w:color="auto" w:fill="auto"/>
            <w:vAlign w:val="center"/>
          </w:tcPr>
          <w:p w14:paraId="106241B5">
            <w:pPr>
              <w:jc w:val="center"/>
              <w:rPr>
                <w:rFonts w:ascii="Times New Roman" w:hAnsi="Times New Roman"/>
                <w:sz w:val="18"/>
                <w:szCs w:val="18"/>
              </w:rPr>
            </w:pPr>
            <w:r>
              <w:rPr>
                <w:rFonts w:ascii="Times New Roman" w:hAnsi="Times New Roman"/>
                <w:sz w:val="18"/>
                <w:szCs w:val="18"/>
              </w:rPr>
              <w:t>年总受胎率</w:t>
            </w:r>
          </w:p>
        </w:tc>
        <w:tc>
          <w:tcPr>
            <w:tcW w:w="2552" w:type="dxa"/>
            <w:shd w:val="clear" w:color="auto" w:fill="auto"/>
            <w:vAlign w:val="center"/>
          </w:tcPr>
          <w:p w14:paraId="115C7EE7">
            <w:pPr>
              <w:jc w:val="center"/>
              <w:rPr>
                <w:rFonts w:ascii="Times New Roman" w:hAnsi="Times New Roman"/>
                <w:sz w:val="18"/>
                <w:szCs w:val="18"/>
              </w:rPr>
            </w:pPr>
            <w:r>
              <w:rPr>
                <w:rFonts w:ascii="Times New Roman" w:hAnsi="Times New Roman"/>
                <w:sz w:val="18"/>
                <w:szCs w:val="18"/>
              </w:rPr>
              <w:t>≥90%</w:t>
            </w:r>
          </w:p>
        </w:tc>
        <w:tc>
          <w:tcPr>
            <w:tcW w:w="4430" w:type="dxa"/>
            <w:shd w:val="clear" w:color="auto" w:fill="auto"/>
            <w:vAlign w:val="center"/>
          </w:tcPr>
          <w:p w14:paraId="61D07E34">
            <w:pPr>
              <w:jc w:val="center"/>
              <w:rPr>
                <w:rFonts w:ascii="Times New Roman" w:hAnsi="Times New Roman"/>
                <w:sz w:val="18"/>
                <w:szCs w:val="18"/>
              </w:rPr>
            </w:pPr>
            <w:r>
              <w:rPr>
                <w:rFonts w:ascii="Times New Roman" w:hAnsi="Times New Roman"/>
                <w:sz w:val="18"/>
                <w:szCs w:val="18"/>
              </w:rPr>
              <w:t>年度内应配母牛实际受胎的比例</w:t>
            </w:r>
          </w:p>
        </w:tc>
      </w:tr>
      <w:tr w14:paraId="2FCE10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195" w:type="dxa"/>
            <w:tcBorders>
              <w:bottom w:val="single" w:color="auto" w:sz="8" w:space="0"/>
            </w:tcBorders>
            <w:shd w:val="clear" w:color="auto" w:fill="auto"/>
            <w:vAlign w:val="center"/>
          </w:tcPr>
          <w:p w14:paraId="34FFC367">
            <w:pPr>
              <w:jc w:val="center"/>
              <w:rPr>
                <w:rFonts w:ascii="Times New Roman" w:hAnsi="Times New Roman"/>
                <w:sz w:val="18"/>
                <w:szCs w:val="18"/>
              </w:rPr>
            </w:pPr>
            <w:r>
              <w:rPr>
                <w:rFonts w:ascii="Times New Roman" w:hAnsi="Times New Roman"/>
                <w:sz w:val="18"/>
                <w:szCs w:val="18"/>
              </w:rPr>
              <w:t>平均配种次数</w:t>
            </w:r>
          </w:p>
        </w:tc>
        <w:tc>
          <w:tcPr>
            <w:tcW w:w="2552" w:type="dxa"/>
            <w:tcBorders>
              <w:bottom w:val="single" w:color="auto" w:sz="8" w:space="0"/>
            </w:tcBorders>
            <w:shd w:val="clear" w:color="auto" w:fill="auto"/>
            <w:vAlign w:val="center"/>
          </w:tcPr>
          <w:p w14:paraId="6838A3DC">
            <w:pPr>
              <w:jc w:val="center"/>
              <w:rPr>
                <w:rFonts w:ascii="Times New Roman" w:hAnsi="Times New Roman"/>
                <w:sz w:val="18"/>
                <w:szCs w:val="18"/>
              </w:rPr>
            </w:pPr>
            <w:r>
              <w:rPr>
                <w:rFonts w:ascii="Times New Roman" w:hAnsi="Times New Roman"/>
                <w:sz w:val="18"/>
                <w:szCs w:val="18"/>
              </w:rPr>
              <w:t>≤1.8次/受胎</w:t>
            </w:r>
          </w:p>
        </w:tc>
        <w:tc>
          <w:tcPr>
            <w:tcW w:w="4430" w:type="dxa"/>
            <w:tcBorders>
              <w:bottom w:val="single" w:color="auto" w:sz="8" w:space="0"/>
            </w:tcBorders>
            <w:shd w:val="clear" w:color="auto" w:fill="auto"/>
            <w:vAlign w:val="center"/>
          </w:tcPr>
          <w:p w14:paraId="26DD3820">
            <w:pPr>
              <w:jc w:val="center"/>
              <w:rPr>
                <w:rFonts w:ascii="Times New Roman" w:hAnsi="Times New Roman"/>
                <w:sz w:val="18"/>
                <w:szCs w:val="18"/>
              </w:rPr>
            </w:pPr>
            <w:r>
              <w:rPr>
                <w:rFonts w:ascii="Times New Roman" w:hAnsi="Times New Roman"/>
                <w:sz w:val="18"/>
                <w:szCs w:val="18"/>
              </w:rPr>
              <w:t>每受胎一头母牛所需的平均配种次数</w:t>
            </w:r>
          </w:p>
        </w:tc>
      </w:tr>
    </w:tbl>
    <w:p w14:paraId="1C5B3A8E">
      <w:pPr>
        <w:pStyle w:val="105"/>
        <w:spacing w:before="156" w:after="156"/>
        <w:ind w:left="0"/>
        <w:rPr>
          <w:rFonts w:hint="eastAsia"/>
        </w:rPr>
      </w:pPr>
      <w:r>
        <w:rPr>
          <w:rFonts w:hint="eastAsia"/>
        </w:rPr>
        <w:t xml:space="preserve"> </w:t>
      </w:r>
      <w:bookmarkStart w:id="67" w:name="_Toc4608"/>
      <w:r>
        <w:rPr>
          <w:rFonts w:hint="eastAsia"/>
        </w:rPr>
        <w:t>产犊相关指标</w:t>
      </w:r>
      <w:bookmarkEnd w:id="67"/>
    </w:p>
    <w:p w14:paraId="30AF7B1D">
      <w:pPr>
        <w:pStyle w:val="230"/>
        <w:spacing w:line="240" w:lineRule="auto"/>
        <w:rPr>
          <w:rFonts w:hint="eastAsia" w:hAnsi="宋体"/>
        </w:rPr>
      </w:pPr>
      <w:r>
        <w:rPr>
          <w:rFonts w:hint="eastAsia" w:hAnsi="宋体"/>
        </w:rPr>
        <w:t>张家川红花牛产犊相关指标见表3。</w:t>
      </w:r>
    </w:p>
    <w:p w14:paraId="23A2B00C">
      <w:pPr>
        <w:pStyle w:val="112"/>
        <w:spacing w:before="156" w:after="156"/>
        <w:rPr>
          <w:rFonts w:hint="eastAsia"/>
        </w:rPr>
      </w:pPr>
      <w:r>
        <w:rPr>
          <w:rFonts w:hint="eastAsia"/>
        </w:rPr>
        <w:t>张家川红花牛产犊相关指标</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346"/>
        <w:gridCol w:w="2126"/>
        <w:gridCol w:w="4658"/>
      </w:tblGrid>
      <w:tr w14:paraId="5D9935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346" w:type="dxa"/>
            <w:tcBorders>
              <w:top w:val="single" w:color="auto" w:sz="8" w:space="0"/>
              <w:bottom w:val="single" w:color="auto" w:sz="8" w:space="0"/>
            </w:tcBorders>
            <w:shd w:val="clear" w:color="auto" w:fill="auto"/>
            <w:vAlign w:val="center"/>
          </w:tcPr>
          <w:p w14:paraId="2FF6798E">
            <w:pPr>
              <w:jc w:val="center"/>
              <w:rPr>
                <w:rFonts w:ascii="Times New Roman" w:hAnsi="Times New Roman"/>
                <w:sz w:val="18"/>
                <w:szCs w:val="18"/>
              </w:rPr>
            </w:pPr>
            <w:r>
              <w:rPr>
                <w:rFonts w:ascii="Times New Roman" w:hAnsi="Times New Roman"/>
                <w:sz w:val="18"/>
                <w:szCs w:val="18"/>
              </w:rPr>
              <w:t>指标名称</w:t>
            </w:r>
          </w:p>
        </w:tc>
        <w:tc>
          <w:tcPr>
            <w:tcW w:w="2126" w:type="dxa"/>
            <w:tcBorders>
              <w:top w:val="single" w:color="auto" w:sz="8" w:space="0"/>
              <w:bottom w:val="single" w:color="auto" w:sz="8" w:space="0"/>
            </w:tcBorders>
            <w:shd w:val="clear" w:color="auto" w:fill="auto"/>
            <w:vAlign w:val="center"/>
          </w:tcPr>
          <w:p w14:paraId="7AF2E1DF">
            <w:pPr>
              <w:jc w:val="center"/>
              <w:rPr>
                <w:rFonts w:ascii="Times New Roman" w:hAnsi="Times New Roman"/>
                <w:sz w:val="18"/>
                <w:szCs w:val="18"/>
              </w:rPr>
            </w:pPr>
            <w:r>
              <w:rPr>
                <w:rFonts w:ascii="Times New Roman" w:hAnsi="Times New Roman"/>
                <w:sz w:val="18"/>
                <w:szCs w:val="18"/>
              </w:rPr>
              <w:t>参考值</w:t>
            </w:r>
          </w:p>
        </w:tc>
        <w:tc>
          <w:tcPr>
            <w:tcW w:w="4658" w:type="dxa"/>
            <w:tcBorders>
              <w:top w:val="single" w:color="auto" w:sz="8" w:space="0"/>
              <w:bottom w:val="single" w:color="auto" w:sz="8" w:space="0"/>
            </w:tcBorders>
            <w:shd w:val="clear" w:color="auto" w:fill="auto"/>
            <w:vAlign w:val="center"/>
          </w:tcPr>
          <w:p w14:paraId="103C33C5">
            <w:pPr>
              <w:jc w:val="center"/>
              <w:rPr>
                <w:rFonts w:ascii="Times New Roman" w:hAnsi="Times New Roman"/>
                <w:sz w:val="18"/>
                <w:szCs w:val="18"/>
              </w:rPr>
            </w:pPr>
            <w:r>
              <w:rPr>
                <w:rFonts w:ascii="Times New Roman" w:hAnsi="Times New Roman"/>
                <w:sz w:val="18"/>
                <w:szCs w:val="18"/>
              </w:rPr>
              <w:t>说明</w:t>
            </w:r>
          </w:p>
        </w:tc>
      </w:tr>
      <w:tr w14:paraId="6859E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6" w:type="dxa"/>
            <w:tcBorders>
              <w:top w:val="single" w:color="auto" w:sz="8" w:space="0"/>
            </w:tcBorders>
            <w:shd w:val="clear" w:color="auto" w:fill="auto"/>
            <w:vAlign w:val="center"/>
          </w:tcPr>
          <w:p w14:paraId="135B6A23">
            <w:pPr>
              <w:jc w:val="center"/>
              <w:rPr>
                <w:rFonts w:ascii="Times New Roman" w:hAnsi="Times New Roman"/>
                <w:sz w:val="18"/>
                <w:szCs w:val="18"/>
              </w:rPr>
            </w:pPr>
            <w:r>
              <w:rPr>
                <w:rFonts w:ascii="Times New Roman" w:hAnsi="Times New Roman"/>
                <w:sz w:val="18"/>
                <w:szCs w:val="18"/>
              </w:rPr>
              <w:t>产犊间隔</w:t>
            </w:r>
          </w:p>
        </w:tc>
        <w:tc>
          <w:tcPr>
            <w:tcW w:w="2126" w:type="dxa"/>
            <w:tcBorders>
              <w:top w:val="single" w:color="auto" w:sz="8" w:space="0"/>
            </w:tcBorders>
            <w:shd w:val="clear" w:color="auto" w:fill="auto"/>
            <w:vAlign w:val="center"/>
          </w:tcPr>
          <w:p w14:paraId="76F00217">
            <w:pPr>
              <w:jc w:val="center"/>
              <w:rPr>
                <w:rFonts w:ascii="Times New Roman" w:hAnsi="Times New Roman"/>
                <w:sz w:val="18"/>
                <w:szCs w:val="18"/>
              </w:rPr>
            </w:pPr>
            <w:r>
              <w:rPr>
                <w:rFonts w:ascii="Times New Roman" w:hAnsi="Times New Roman"/>
                <w:sz w:val="18"/>
                <w:szCs w:val="18"/>
              </w:rPr>
              <w:t>≤420天</w:t>
            </w:r>
          </w:p>
        </w:tc>
        <w:tc>
          <w:tcPr>
            <w:tcW w:w="4658" w:type="dxa"/>
            <w:tcBorders>
              <w:top w:val="single" w:color="auto" w:sz="8" w:space="0"/>
            </w:tcBorders>
            <w:shd w:val="clear" w:color="auto" w:fill="auto"/>
            <w:vAlign w:val="center"/>
          </w:tcPr>
          <w:p w14:paraId="66EAE1DC">
            <w:pPr>
              <w:jc w:val="center"/>
              <w:rPr>
                <w:rFonts w:ascii="Times New Roman" w:hAnsi="Times New Roman"/>
                <w:sz w:val="18"/>
                <w:szCs w:val="18"/>
              </w:rPr>
            </w:pPr>
            <w:r>
              <w:rPr>
                <w:rFonts w:ascii="Times New Roman" w:hAnsi="Times New Roman"/>
                <w:sz w:val="18"/>
                <w:szCs w:val="18"/>
              </w:rPr>
              <w:t>两次产犊之间的平均天数</w:t>
            </w:r>
          </w:p>
        </w:tc>
      </w:tr>
      <w:tr w14:paraId="7C632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6" w:type="dxa"/>
            <w:shd w:val="clear" w:color="auto" w:fill="auto"/>
            <w:vAlign w:val="center"/>
          </w:tcPr>
          <w:p w14:paraId="02B63BB4">
            <w:pPr>
              <w:jc w:val="center"/>
              <w:rPr>
                <w:rFonts w:ascii="Times New Roman" w:hAnsi="Times New Roman"/>
                <w:sz w:val="18"/>
                <w:szCs w:val="18"/>
              </w:rPr>
            </w:pPr>
            <w:r>
              <w:rPr>
                <w:rFonts w:ascii="Times New Roman" w:hAnsi="Times New Roman"/>
                <w:sz w:val="18"/>
                <w:szCs w:val="18"/>
              </w:rPr>
              <w:t>难产率</w:t>
            </w:r>
          </w:p>
        </w:tc>
        <w:tc>
          <w:tcPr>
            <w:tcW w:w="2126" w:type="dxa"/>
            <w:shd w:val="clear" w:color="auto" w:fill="auto"/>
            <w:vAlign w:val="center"/>
          </w:tcPr>
          <w:p w14:paraId="4AF72F5D">
            <w:pPr>
              <w:jc w:val="center"/>
              <w:rPr>
                <w:rFonts w:ascii="Times New Roman" w:hAnsi="Times New Roman"/>
                <w:sz w:val="18"/>
                <w:szCs w:val="18"/>
              </w:rPr>
            </w:pPr>
            <w:r>
              <w:rPr>
                <w:rFonts w:ascii="Times New Roman" w:hAnsi="Times New Roman"/>
                <w:sz w:val="18"/>
                <w:szCs w:val="18"/>
              </w:rPr>
              <w:t>≤8%</w:t>
            </w:r>
          </w:p>
        </w:tc>
        <w:tc>
          <w:tcPr>
            <w:tcW w:w="4658" w:type="dxa"/>
            <w:shd w:val="clear" w:color="auto" w:fill="auto"/>
            <w:vAlign w:val="center"/>
          </w:tcPr>
          <w:p w14:paraId="37601540">
            <w:pPr>
              <w:jc w:val="center"/>
              <w:rPr>
                <w:rFonts w:ascii="Times New Roman" w:hAnsi="Times New Roman"/>
                <w:sz w:val="18"/>
                <w:szCs w:val="18"/>
              </w:rPr>
            </w:pPr>
            <w:r>
              <w:rPr>
                <w:rFonts w:ascii="Times New Roman" w:hAnsi="Times New Roman"/>
                <w:sz w:val="18"/>
                <w:szCs w:val="18"/>
              </w:rPr>
              <w:t>需要助产或手术分娩的比例</w:t>
            </w:r>
          </w:p>
        </w:tc>
      </w:tr>
      <w:tr w14:paraId="40B810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6" w:type="dxa"/>
            <w:shd w:val="clear" w:color="auto" w:fill="auto"/>
            <w:vAlign w:val="center"/>
          </w:tcPr>
          <w:p w14:paraId="5E255423">
            <w:pPr>
              <w:jc w:val="center"/>
              <w:rPr>
                <w:rFonts w:ascii="Times New Roman" w:hAnsi="Times New Roman"/>
                <w:sz w:val="18"/>
                <w:szCs w:val="18"/>
              </w:rPr>
            </w:pPr>
            <w:r>
              <w:rPr>
                <w:rFonts w:ascii="Times New Roman" w:hAnsi="Times New Roman"/>
                <w:sz w:val="18"/>
                <w:szCs w:val="18"/>
              </w:rPr>
              <w:t>犊牛成活率（至断奶）</w:t>
            </w:r>
          </w:p>
        </w:tc>
        <w:tc>
          <w:tcPr>
            <w:tcW w:w="2126" w:type="dxa"/>
            <w:shd w:val="clear" w:color="auto" w:fill="auto"/>
            <w:vAlign w:val="center"/>
          </w:tcPr>
          <w:p w14:paraId="3C5974BB">
            <w:pPr>
              <w:jc w:val="center"/>
              <w:rPr>
                <w:rFonts w:ascii="Times New Roman" w:hAnsi="Times New Roman"/>
                <w:sz w:val="18"/>
                <w:szCs w:val="18"/>
              </w:rPr>
            </w:pPr>
            <w:r>
              <w:rPr>
                <w:rFonts w:ascii="Times New Roman" w:hAnsi="Times New Roman"/>
                <w:sz w:val="18"/>
                <w:szCs w:val="18"/>
              </w:rPr>
              <w:t>≥95%</w:t>
            </w:r>
          </w:p>
        </w:tc>
        <w:tc>
          <w:tcPr>
            <w:tcW w:w="4658" w:type="dxa"/>
            <w:shd w:val="clear" w:color="auto" w:fill="auto"/>
            <w:vAlign w:val="center"/>
          </w:tcPr>
          <w:p w14:paraId="67FE33AB">
            <w:pPr>
              <w:jc w:val="center"/>
              <w:rPr>
                <w:rFonts w:ascii="Times New Roman" w:hAnsi="Times New Roman"/>
                <w:sz w:val="18"/>
                <w:szCs w:val="18"/>
              </w:rPr>
            </w:pPr>
            <w:r>
              <w:rPr>
                <w:rFonts w:ascii="Times New Roman" w:hAnsi="Times New Roman"/>
                <w:sz w:val="18"/>
                <w:szCs w:val="18"/>
              </w:rPr>
              <w:t>产活犊牛中存活至断奶的比例</w:t>
            </w:r>
          </w:p>
        </w:tc>
      </w:tr>
      <w:tr w14:paraId="1A1945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46" w:type="dxa"/>
            <w:tcBorders>
              <w:bottom w:val="single" w:color="auto" w:sz="8" w:space="0"/>
            </w:tcBorders>
            <w:shd w:val="clear" w:color="auto" w:fill="auto"/>
            <w:vAlign w:val="center"/>
          </w:tcPr>
          <w:p w14:paraId="2A72E333">
            <w:pPr>
              <w:jc w:val="center"/>
              <w:rPr>
                <w:rFonts w:ascii="Times New Roman" w:hAnsi="Times New Roman"/>
                <w:sz w:val="18"/>
                <w:szCs w:val="18"/>
              </w:rPr>
            </w:pPr>
            <w:r>
              <w:rPr>
                <w:rFonts w:ascii="Times New Roman" w:hAnsi="Times New Roman"/>
                <w:sz w:val="18"/>
                <w:szCs w:val="18"/>
              </w:rPr>
              <w:t>年产犊率</w:t>
            </w:r>
          </w:p>
        </w:tc>
        <w:tc>
          <w:tcPr>
            <w:tcW w:w="2126" w:type="dxa"/>
            <w:tcBorders>
              <w:bottom w:val="single" w:color="auto" w:sz="8" w:space="0"/>
            </w:tcBorders>
            <w:shd w:val="clear" w:color="auto" w:fill="auto"/>
            <w:vAlign w:val="center"/>
          </w:tcPr>
          <w:p w14:paraId="28F6F56F">
            <w:pPr>
              <w:jc w:val="center"/>
              <w:rPr>
                <w:rFonts w:ascii="Times New Roman" w:hAnsi="Times New Roman"/>
                <w:sz w:val="18"/>
                <w:szCs w:val="18"/>
              </w:rPr>
            </w:pPr>
            <w:r>
              <w:rPr>
                <w:rFonts w:ascii="Times New Roman" w:hAnsi="Times New Roman"/>
                <w:sz w:val="18"/>
                <w:szCs w:val="18"/>
              </w:rPr>
              <w:t>≥85%</w:t>
            </w:r>
          </w:p>
        </w:tc>
        <w:tc>
          <w:tcPr>
            <w:tcW w:w="4658" w:type="dxa"/>
            <w:tcBorders>
              <w:bottom w:val="single" w:color="auto" w:sz="8" w:space="0"/>
            </w:tcBorders>
            <w:shd w:val="clear" w:color="auto" w:fill="auto"/>
            <w:vAlign w:val="center"/>
          </w:tcPr>
          <w:p w14:paraId="0FC0495D">
            <w:pPr>
              <w:jc w:val="center"/>
              <w:rPr>
                <w:rFonts w:ascii="Times New Roman" w:hAnsi="Times New Roman"/>
                <w:sz w:val="18"/>
                <w:szCs w:val="18"/>
              </w:rPr>
            </w:pPr>
            <w:r>
              <w:rPr>
                <w:rFonts w:ascii="Times New Roman" w:hAnsi="Times New Roman"/>
                <w:sz w:val="18"/>
                <w:szCs w:val="18"/>
              </w:rPr>
              <w:t>应产母牛实际产犊的比例</w:t>
            </w:r>
          </w:p>
        </w:tc>
      </w:tr>
    </w:tbl>
    <w:p w14:paraId="7172B800">
      <w:pPr>
        <w:pStyle w:val="105"/>
        <w:spacing w:before="156" w:after="156"/>
        <w:ind w:left="0"/>
        <w:rPr>
          <w:rFonts w:hint="eastAsia"/>
        </w:rPr>
      </w:pPr>
      <w:r>
        <w:rPr>
          <w:rFonts w:hint="eastAsia"/>
        </w:rPr>
        <w:t xml:space="preserve"> </w:t>
      </w:r>
      <w:bookmarkStart w:id="68" w:name="_Toc1899"/>
      <w:r>
        <w:rPr>
          <w:rFonts w:hint="eastAsia"/>
        </w:rPr>
        <w:t>繁殖淘汰相关指标</w:t>
      </w:r>
      <w:bookmarkEnd w:id="68"/>
    </w:p>
    <w:p w14:paraId="3880A19C">
      <w:pPr>
        <w:pStyle w:val="230"/>
        <w:spacing w:line="240" w:lineRule="auto"/>
        <w:rPr>
          <w:rFonts w:hint="eastAsia" w:hAnsi="宋体"/>
        </w:rPr>
      </w:pPr>
      <w:r>
        <w:rPr>
          <w:rFonts w:hint="eastAsia" w:hAnsi="宋体"/>
        </w:rPr>
        <w:t>张家川红花牛繁殖淘汰相关指标见表4。</w:t>
      </w:r>
    </w:p>
    <w:p w14:paraId="1820BE1A">
      <w:pPr>
        <w:pStyle w:val="112"/>
        <w:spacing w:before="156" w:after="156"/>
        <w:rPr>
          <w:rFonts w:hint="eastAsia"/>
        </w:rPr>
      </w:pPr>
      <w:r>
        <w:rPr>
          <w:rFonts w:hint="eastAsia"/>
        </w:rPr>
        <w:t>张家川红花牛繁殖淘汰相关指标</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3395"/>
        <w:gridCol w:w="1629"/>
        <w:gridCol w:w="4061"/>
      </w:tblGrid>
      <w:tr w14:paraId="6D4071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3395" w:type="dxa"/>
            <w:tcBorders>
              <w:top w:val="single" w:color="auto" w:sz="8" w:space="0"/>
              <w:bottom w:val="single" w:color="auto" w:sz="8" w:space="0"/>
            </w:tcBorders>
            <w:shd w:val="clear" w:color="auto" w:fill="auto"/>
            <w:vAlign w:val="center"/>
          </w:tcPr>
          <w:p w14:paraId="15B2FDB7">
            <w:pPr>
              <w:jc w:val="center"/>
              <w:rPr>
                <w:rFonts w:ascii="Times New Roman" w:hAnsi="Times New Roman"/>
                <w:sz w:val="18"/>
                <w:szCs w:val="18"/>
              </w:rPr>
            </w:pPr>
            <w:r>
              <w:rPr>
                <w:rFonts w:ascii="Times New Roman" w:hAnsi="Times New Roman"/>
                <w:sz w:val="18"/>
                <w:szCs w:val="18"/>
              </w:rPr>
              <w:t>指标名称</w:t>
            </w:r>
          </w:p>
        </w:tc>
        <w:tc>
          <w:tcPr>
            <w:tcW w:w="1629" w:type="dxa"/>
            <w:tcBorders>
              <w:top w:val="single" w:color="auto" w:sz="8" w:space="0"/>
              <w:bottom w:val="single" w:color="auto" w:sz="8" w:space="0"/>
            </w:tcBorders>
            <w:shd w:val="clear" w:color="auto" w:fill="auto"/>
            <w:vAlign w:val="center"/>
          </w:tcPr>
          <w:p w14:paraId="5381323B">
            <w:pPr>
              <w:jc w:val="center"/>
              <w:rPr>
                <w:rFonts w:ascii="Times New Roman" w:hAnsi="Times New Roman"/>
                <w:sz w:val="18"/>
                <w:szCs w:val="18"/>
              </w:rPr>
            </w:pPr>
            <w:r>
              <w:rPr>
                <w:rFonts w:ascii="Times New Roman" w:hAnsi="Times New Roman"/>
                <w:sz w:val="18"/>
                <w:szCs w:val="18"/>
              </w:rPr>
              <w:t>参考值</w:t>
            </w:r>
          </w:p>
        </w:tc>
        <w:tc>
          <w:tcPr>
            <w:tcW w:w="4061" w:type="dxa"/>
            <w:tcBorders>
              <w:top w:val="single" w:color="auto" w:sz="8" w:space="0"/>
              <w:bottom w:val="single" w:color="auto" w:sz="8" w:space="0"/>
            </w:tcBorders>
            <w:shd w:val="clear" w:color="auto" w:fill="auto"/>
            <w:vAlign w:val="center"/>
          </w:tcPr>
          <w:p w14:paraId="376E686F">
            <w:pPr>
              <w:jc w:val="center"/>
              <w:rPr>
                <w:rFonts w:ascii="Times New Roman" w:hAnsi="Times New Roman"/>
                <w:sz w:val="18"/>
                <w:szCs w:val="18"/>
              </w:rPr>
            </w:pPr>
            <w:r>
              <w:rPr>
                <w:rFonts w:ascii="Times New Roman" w:hAnsi="Times New Roman"/>
                <w:sz w:val="18"/>
                <w:szCs w:val="18"/>
              </w:rPr>
              <w:t>说明</w:t>
            </w:r>
          </w:p>
        </w:tc>
      </w:tr>
      <w:tr w14:paraId="6C3E26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395" w:type="dxa"/>
            <w:tcBorders>
              <w:top w:val="single" w:color="auto" w:sz="8" w:space="0"/>
            </w:tcBorders>
            <w:shd w:val="clear" w:color="auto" w:fill="auto"/>
            <w:vAlign w:val="center"/>
          </w:tcPr>
          <w:p w14:paraId="5BDF83C9">
            <w:pPr>
              <w:jc w:val="center"/>
              <w:rPr>
                <w:rFonts w:ascii="Times New Roman" w:hAnsi="Times New Roman"/>
                <w:sz w:val="18"/>
                <w:szCs w:val="18"/>
              </w:rPr>
            </w:pPr>
            <w:r>
              <w:rPr>
                <w:rFonts w:ascii="Times New Roman" w:hAnsi="Times New Roman"/>
                <w:sz w:val="18"/>
                <w:szCs w:val="18"/>
              </w:rPr>
              <w:t>繁殖障碍淘汰率</w:t>
            </w:r>
          </w:p>
        </w:tc>
        <w:tc>
          <w:tcPr>
            <w:tcW w:w="1629" w:type="dxa"/>
            <w:tcBorders>
              <w:top w:val="single" w:color="auto" w:sz="8" w:space="0"/>
            </w:tcBorders>
            <w:shd w:val="clear" w:color="auto" w:fill="auto"/>
            <w:vAlign w:val="center"/>
          </w:tcPr>
          <w:p w14:paraId="59923F88">
            <w:pPr>
              <w:jc w:val="center"/>
              <w:rPr>
                <w:rFonts w:ascii="Times New Roman" w:hAnsi="Times New Roman"/>
                <w:sz w:val="18"/>
                <w:szCs w:val="18"/>
              </w:rPr>
            </w:pPr>
            <w:r>
              <w:rPr>
                <w:rFonts w:ascii="Times New Roman" w:hAnsi="Times New Roman"/>
                <w:sz w:val="18"/>
                <w:szCs w:val="18"/>
              </w:rPr>
              <w:t>≤10%</w:t>
            </w:r>
          </w:p>
        </w:tc>
        <w:tc>
          <w:tcPr>
            <w:tcW w:w="4061" w:type="dxa"/>
            <w:tcBorders>
              <w:top w:val="single" w:color="auto" w:sz="8" w:space="0"/>
            </w:tcBorders>
            <w:shd w:val="clear" w:color="auto" w:fill="auto"/>
            <w:vAlign w:val="center"/>
          </w:tcPr>
          <w:p w14:paraId="6475F936">
            <w:pPr>
              <w:jc w:val="center"/>
              <w:rPr>
                <w:rFonts w:ascii="Times New Roman" w:hAnsi="Times New Roman"/>
                <w:sz w:val="18"/>
                <w:szCs w:val="18"/>
              </w:rPr>
            </w:pPr>
            <w:r>
              <w:rPr>
                <w:rFonts w:ascii="Times New Roman" w:hAnsi="Times New Roman"/>
                <w:sz w:val="18"/>
                <w:szCs w:val="18"/>
              </w:rPr>
              <w:t>因繁殖问题淘汰的母牛占淘汰总数的比例</w:t>
            </w:r>
          </w:p>
        </w:tc>
      </w:tr>
      <w:tr w14:paraId="1DF9C3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395" w:type="dxa"/>
            <w:tcBorders>
              <w:bottom w:val="single" w:color="auto" w:sz="8" w:space="0"/>
            </w:tcBorders>
            <w:shd w:val="clear" w:color="auto" w:fill="auto"/>
            <w:vAlign w:val="center"/>
          </w:tcPr>
          <w:p w14:paraId="32F21084">
            <w:pPr>
              <w:jc w:val="center"/>
              <w:rPr>
                <w:rFonts w:ascii="Times New Roman" w:hAnsi="Times New Roman"/>
                <w:sz w:val="18"/>
                <w:szCs w:val="18"/>
              </w:rPr>
            </w:pPr>
            <w:r>
              <w:rPr>
                <w:rFonts w:ascii="Times New Roman" w:hAnsi="Times New Roman"/>
                <w:sz w:val="18"/>
                <w:szCs w:val="18"/>
              </w:rPr>
              <w:t>产后首次配种天数</w:t>
            </w:r>
          </w:p>
        </w:tc>
        <w:tc>
          <w:tcPr>
            <w:tcW w:w="1629" w:type="dxa"/>
            <w:tcBorders>
              <w:bottom w:val="single" w:color="auto" w:sz="8" w:space="0"/>
            </w:tcBorders>
            <w:shd w:val="clear" w:color="auto" w:fill="auto"/>
            <w:vAlign w:val="center"/>
          </w:tcPr>
          <w:p w14:paraId="0E2E57C4">
            <w:pPr>
              <w:jc w:val="center"/>
              <w:rPr>
                <w:rFonts w:hint="eastAsia" w:ascii="Times New Roman" w:hAnsi="Times New Roman" w:eastAsia="宋体"/>
                <w:sz w:val="18"/>
                <w:szCs w:val="18"/>
                <w:lang w:eastAsia="zh-CN"/>
              </w:rPr>
            </w:pPr>
            <w:r>
              <w:rPr>
                <w:rFonts w:hint="eastAsia" w:ascii="Times New Roman" w:hAnsi="Times New Roman"/>
                <w:sz w:val="18"/>
                <w:szCs w:val="18"/>
              </w:rPr>
              <w:t>6</w:t>
            </w:r>
            <w:r>
              <w:rPr>
                <w:rFonts w:ascii="Times New Roman" w:hAnsi="Times New Roman"/>
                <w:sz w:val="18"/>
                <w:szCs w:val="18"/>
              </w:rPr>
              <w:t>0</w:t>
            </w:r>
            <w:r>
              <w:rPr>
                <w:rFonts w:hint="eastAsia" w:ascii="Times New Roman" w:hAnsi="Times New Roman"/>
                <w:sz w:val="18"/>
                <w:szCs w:val="18"/>
                <w:lang w:val="en-US" w:eastAsia="zh-CN"/>
              </w:rPr>
              <w:t>d</w:t>
            </w:r>
            <w:r>
              <w:rPr>
                <w:rFonts w:ascii="Times New Roman" w:hAnsi="Times New Roman"/>
                <w:sz w:val="18"/>
                <w:szCs w:val="18"/>
              </w:rPr>
              <w:t>—</w:t>
            </w:r>
            <w:r>
              <w:rPr>
                <w:rFonts w:hint="eastAsia" w:ascii="Times New Roman" w:hAnsi="Times New Roman"/>
                <w:sz w:val="18"/>
                <w:szCs w:val="18"/>
              </w:rPr>
              <w:t>9</w:t>
            </w:r>
            <w:r>
              <w:rPr>
                <w:rFonts w:ascii="Times New Roman" w:hAnsi="Times New Roman"/>
                <w:sz w:val="18"/>
                <w:szCs w:val="18"/>
              </w:rPr>
              <w:t>0</w:t>
            </w:r>
            <w:r>
              <w:rPr>
                <w:rFonts w:hint="eastAsia" w:ascii="Times New Roman" w:hAnsi="Times New Roman"/>
                <w:sz w:val="18"/>
                <w:szCs w:val="18"/>
                <w:lang w:val="en-US" w:eastAsia="zh-CN"/>
              </w:rPr>
              <w:t>d</w:t>
            </w:r>
          </w:p>
        </w:tc>
        <w:tc>
          <w:tcPr>
            <w:tcW w:w="4061" w:type="dxa"/>
            <w:tcBorders>
              <w:bottom w:val="single" w:color="auto" w:sz="8" w:space="0"/>
            </w:tcBorders>
            <w:shd w:val="clear" w:color="auto" w:fill="auto"/>
            <w:vAlign w:val="center"/>
          </w:tcPr>
          <w:p w14:paraId="7DCBE6BD">
            <w:pPr>
              <w:jc w:val="center"/>
              <w:rPr>
                <w:rFonts w:ascii="Times New Roman" w:hAnsi="Times New Roman"/>
                <w:sz w:val="18"/>
                <w:szCs w:val="18"/>
              </w:rPr>
            </w:pPr>
            <w:r>
              <w:rPr>
                <w:rFonts w:ascii="Times New Roman" w:hAnsi="Times New Roman"/>
                <w:sz w:val="18"/>
                <w:szCs w:val="18"/>
              </w:rPr>
              <w:t>产后至首次配种的平均间隔</w:t>
            </w:r>
          </w:p>
        </w:tc>
      </w:tr>
    </w:tbl>
    <w:p w14:paraId="145385E6">
      <w:pPr>
        <w:pStyle w:val="230"/>
        <w:ind w:firstLine="0" w:firstLineChars="0"/>
      </w:pPr>
    </w:p>
    <w:p w14:paraId="5F11FD50">
      <w:pPr>
        <w:pStyle w:val="230"/>
        <w:ind w:firstLine="0" w:firstLineChars="0"/>
      </w:pPr>
    </w:p>
    <w:p w14:paraId="551DFB97">
      <w:pPr>
        <w:pStyle w:val="230"/>
        <w:ind w:firstLine="0" w:firstLineChars="0"/>
      </w:pPr>
    </w:p>
    <w:p w14:paraId="5C77E1A0">
      <w:pPr>
        <w:pStyle w:val="230"/>
        <w:ind w:firstLine="0" w:firstLineChars="0"/>
      </w:pPr>
    </w:p>
    <w:p w14:paraId="06C5B8CD">
      <w:pPr>
        <w:pStyle w:val="230"/>
        <w:ind w:firstLine="0" w:firstLineChars="0"/>
      </w:pPr>
    </w:p>
    <w:p w14:paraId="46C883B5">
      <w:pPr>
        <w:pStyle w:val="230"/>
        <w:ind w:firstLine="0" w:firstLineChars="0"/>
      </w:pPr>
    </w:p>
    <w:p w14:paraId="1931DCE6">
      <w:pPr>
        <w:pStyle w:val="230"/>
        <w:ind w:firstLine="0" w:firstLineChars="0"/>
      </w:pPr>
    </w:p>
    <w:p w14:paraId="31479FA5">
      <w:pPr>
        <w:pStyle w:val="230"/>
        <w:ind w:firstLine="0" w:firstLineChars="0"/>
      </w:pPr>
    </w:p>
    <w:p w14:paraId="7374678D">
      <w:pPr>
        <w:pStyle w:val="230"/>
        <w:ind w:firstLine="0" w:firstLineChars="0"/>
      </w:pPr>
    </w:p>
    <w:p w14:paraId="507B86C8">
      <w:pPr>
        <w:pStyle w:val="230"/>
        <w:ind w:firstLine="0" w:firstLineChars="0"/>
      </w:pPr>
    </w:p>
    <w:p w14:paraId="2787F395">
      <w:pPr>
        <w:pStyle w:val="230"/>
        <w:ind w:firstLine="0" w:firstLineChars="0"/>
      </w:pPr>
    </w:p>
    <w:bookmarkEnd w:id="25"/>
    <w:p w14:paraId="0694B50B">
      <w:pPr>
        <w:pStyle w:val="198"/>
        <w:rPr>
          <w:vanish w:val="0"/>
        </w:rPr>
      </w:pPr>
      <w:bookmarkStart w:id="69" w:name="BookMark5"/>
    </w:p>
    <w:p w14:paraId="5934CAE1">
      <w:pPr>
        <w:pStyle w:val="199"/>
        <w:rPr>
          <w:vanish w:val="0"/>
        </w:rPr>
      </w:pPr>
    </w:p>
    <w:p w14:paraId="5202014C">
      <w:pPr>
        <w:pStyle w:val="76"/>
        <w:spacing w:after="120"/>
      </w:pPr>
      <w:bookmarkStart w:id="70" w:name="_Toc4720"/>
      <w:r>
        <w:br w:type="textWrapping"/>
      </w:r>
      <w:bookmarkStart w:id="71" w:name="_Toc150014782"/>
      <w:r>
        <w:rPr>
          <w:rFonts w:hint="eastAsia"/>
        </w:rPr>
        <w:t>（规范性）</w:t>
      </w:r>
      <w:r>
        <w:br w:type="textWrapping"/>
      </w:r>
      <w:bookmarkEnd w:id="71"/>
      <w:r>
        <w:rPr>
          <w:rFonts w:hint="eastAsia"/>
        </w:rPr>
        <w:t>张家川红花牛人工授精记录表格</w:t>
      </w:r>
      <w:bookmarkEnd w:id="70"/>
    </w:p>
    <w:p w14:paraId="638F2067">
      <w:pPr>
        <w:pStyle w:val="78"/>
        <w:spacing w:before="120" w:after="120"/>
        <w:rPr>
          <w:rFonts w:hint="eastAsia"/>
        </w:rPr>
      </w:pPr>
      <w:bookmarkStart w:id="72" w:name="_Toc20992"/>
      <w:r>
        <w:rPr>
          <w:rFonts w:hint="eastAsia"/>
        </w:rPr>
        <w:t>张家川红花牛发情记录表</w:t>
      </w:r>
      <w:bookmarkEnd w:id="72"/>
    </w:p>
    <w:p w14:paraId="7CAFB552">
      <w:pPr>
        <w:pStyle w:val="56"/>
        <w:ind w:firstLine="420"/>
        <w:rPr>
          <w:rFonts w:ascii="Times New Roman"/>
        </w:rPr>
      </w:pPr>
      <w:r>
        <w:rPr>
          <w:rFonts w:ascii="Times New Roman"/>
        </w:rPr>
        <w:t>表 A. 1 规定了人工授精前母牛的发情时间、持续时间以及性欲表现等记录。</w:t>
      </w:r>
    </w:p>
    <w:p w14:paraId="2C2902D1">
      <w:pPr>
        <w:pStyle w:val="77"/>
        <w:spacing w:before="120" w:after="120"/>
        <w:ind w:left="0" w:firstLine="420"/>
      </w:pPr>
      <w:r>
        <w:rPr>
          <w:rFonts w:hint="eastAsia"/>
        </w:rPr>
        <w:t>张家川红花牛发情记录表</w:t>
      </w:r>
    </w:p>
    <w:tbl>
      <w:tblPr>
        <w:tblStyle w:val="27"/>
        <w:tblW w:w="49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296"/>
        <w:gridCol w:w="1795"/>
        <w:gridCol w:w="1795"/>
        <w:gridCol w:w="1297"/>
        <w:gridCol w:w="1297"/>
        <w:gridCol w:w="1293"/>
      </w:tblGrid>
      <w:tr w14:paraId="0E41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2" w:type="pct"/>
            <w:tcBorders>
              <w:top w:val="single" w:color="auto" w:sz="4" w:space="0"/>
              <w:left w:val="single" w:color="auto" w:sz="4" w:space="0"/>
              <w:bottom w:val="single" w:color="auto" w:sz="4" w:space="0"/>
              <w:right w:val="single" w:color="auto" w:sz="4" w:space="0"/>
            </w:tcBorders>
            <w:vAlign w:val="center"/>
          </w:tcPr>
          <w:p w14:paraId="3DE2D27F">
            <w:pPr>
              <w:jc w:val="center"/>
              <w:rPr>
                <w:rFonts w:ascii="Times New Roman" w:hAnsi="Times New Roman"/>
                <w:bCs/>
                <w:color w:val="000000"/>
                <w:sz w:val="18"/>
                <w:szCs w:val="18"/>
              </w:rPr>
            </w:pPr>
            <w:r>
              <w:rPr>
                <w:rFonts w:hint="eastAsia"/>
                <w:bCs/>
                <w:color w:val="000000"/>
                <w:sz w:val="18"/>
                <w:szCs w:val="18"/>
              </w:rPr>
              <w:t>牛号</w:t>
            </w:r>
          </w:p>
        </w:tc>
        <w:tc>
          <w:tcPr>
            <w:tcW w:w="688" w:type="pct"/>
            <w:tcBorders>
              <w:top w:val="single" w:color="auto" w:sz="4" w:space="0"/>
              <w:left w:val="single" w:color="auto" w:sz="4" w:space="0"/>
              <w:bottom w:val="single" w:color="auto" w:sz="4" w:space="0"/>
              <w:right w:val="single" w:color="auto" w:sz="4" w:space="0"/>
            </w:tcBorders>
            <w:vAlign w:val="center"/>
          </w:tcPr>
          <w:p w14:paraId="0F0F5F0C">
            <w:pPr>
              <w:jc w:val="center"/>
              <w:rPr>
                <w:rFonts w:ascii="Times New Roman" w:hAnsi="Times New Roman"/>
                <w:bCs/>
                <w:color w:val="000000"/>
                <w:sz w:val="18"/>
                <w:szCs w:val="18"/>
              </w:rPr>
            </w:pPr>
            <w:r>
              <w:rPr>
                <w:rFonts w:hint="eastAsia"/>
                <w:bCs/>
                <w:color w:val="000000"/>
                <w:sz w:val="18"/>
                <w:szCs w:val="18"/>
              </w:rPr>
              <w:t>发情日期</w:t>
            </w:r>
          </w:p>
        </w:tc>
        <w:tc>
          <w:tcPr>
            <w:tcW w:w="952" w:type="pct"/>
            <w:tcBorders>
              <w:top w:val="single" w:color="auto" w:sz="4" w:space="0"/>
              <w:left w:val="single" w:color="auto" w:sz="4" w:space="0"/>
              <w:bottom w:val="single" w:color="auto" w:sz="4" w:space="0"/>
              <w:right w:val="single" w:color="auto" w:sz="4" w:space="0"/>
            </w:tcBorders>
            <w:vAlign w:val="center"/>
          </w:tcPr>
          <w:p w14:paraId="5895DFF7">
            <w:pPr>
              <w:jc w:val="center"/>
              <w:rPr>
                <w:rFonts w:ascii="Times New Roman" w:hAnsi="Times New Roman"/>
                <w:bCs/>
                <w:color w:val="000000"/>
                <w:sz w:val="18"/>
                <w:szCs w:val="18"/>
              </w:rPr>
            </w:pPr>
            <w:r>
              <w:rPr>
                <w:rFonts w:hint="eastAsia"/>
                <w:bCs/>
                <w:color w:val="000000"/>
                <w:sz w:val="18"/>
                <w:szCs w:val="18"/>
              </w:rPr>
              <w:t>发情开始时间</w:t>
            </w:r>
          </w:p>
        </w:tc>
        <w:tc>
          <w:tcPr>
            <w:tcW w:w="952" w:type="pct"/>
            <w:tcBorders>
              <w:top w:val="single" w:color="auto" w:sz="4" w:space="0"/>
              <w:left w:val="single" w:color="auto" w:sz="4" w:space="0"/>
              <w:bottom w:val="single" w:color="auto" w:sz="4" w:space="0"/>
              <w:right w:val="single" w:color="auto" w:sz="4" w:space="0"/>
            </w:tcBorders>
            <w:vAlign w:val="center"/>
          </w:tcPr>
          <w:p w14:paraId="679484A9">
            <w:pPr>
              <w:jc w:val="center"/>
              <w:rPr>
                <w:rFonts w:ascii="Times New Roman" w:hAnsi="Times New Roman"/>
                <w:bCs/>
                <w:color w:val="000000"/>
                <w:sz w:val="18"/>
                <w:szCs w:val="18"/>
              </w:rPr>
            </w:pPr>
            <w:r>
              <w:rPr>
                <w:rFonts w:hint="eastAsia"/>
                <w:bCs/>
                <w:color w:val="000000"/>
                <w:sz w:val="18"/>
                <w:szCs w:val="18"/>
              </w:rPr>
              <w:t>发情持续时间</w:t>
            </w:r>
          </w:p>
        </w:tc>
        <w:tc>
          <w:tcPr>
            <w:tcW w:w="688" w:type="pct"/>
            <w:tcBorders>
              <w:top w:val="single" w:color="auto" w:sz="4" w:space="0"/>
              <w:left w:val="single" w:color="auto" w:sz="4" w:space="0"/>
              <w:bottom w:val="single" w:color="auto" w:sz="4" w:space="0"/>
              <w:right w:val="single" w:color="auto" w:sz="4" w:space="0"/>
            </w:tcBorders>
            <w:vAlign w:val="center"/>
          </w:tcPr>
          <w:p w14:paraId="67D16F44">
            <w:pPr>
              <w:jc w:val="center"/>
              <w:rPr>
                <w:rFonts w:ascii="Times New Roman" w:hAnsi="Times New Roman"/>
                <w:bCs/>
                <w:color w:val="000000"/>
                <w:sz w:val="18"/>
                <w:szCs w:val="18"/>
              </w:rPr>
            </w:pPr>
            <w:r>
              <w:rPr>
                <w:rFonts w:hint="eastAsia"/>
                <w:bCs/>
                <w:color w:val="000000"/>
                <w:sz w:val="18"/>
                <w:szCs w:val="18"/>
              </w:rPr>
              <w:t>性欲表现</w:t>
            </w:r>
          </w:p>
        </w:tc>
        <w:tc>
          <w:tcPr>
            <w:tcW w:w="688" w:type="pct"/>
            <w:tcBorders>
              <w:top w:val="single" w:color="auto" w:sz="4" w:space="0"/>
              <w:left w:val="single" w:color="auto" w:sz="4" w:space="0"/>
              <w:bottom w:val="single" w:color="auto" w:sz="4" w:space="0"/>
              <w:right w:val="single" w:color="auto" w:sz="4" w:space="0"/>
            </w:tcBorders>
            <w:vAlign w:val="center"/>
          </w:tcPr>
          <w:p w14:paraId="7E6C7120">
            <w:pPr>
              <w:jc w:val="center"/>
              <w:rPr>
                <w:rFonts w:ascii="Times New Roman" w:hAnsi="Times New Roman"/>
                <w:bCs/>
                <w:color w:val="000000"/>
                <w:sz w:val="18"/>
                <w:szCs w:val="18"/>
              </w:rPr>
            </w:pPr>
            <w:r>
              <w:rPr>
                <w:rFonts w:hint="eastAsia"/>
                <w:bCs/>
                <w:color w:val="000000"/>
                <w:sz w:val="18"/>
                <w:szCs w:val="18"/>
              </w:rPr>
              <w:t>鉴定方法</w:t>
            </w:r>
          </w:p>
        </w:tc>
        <w:tc>
          <w:tcPr>
            <w:tcW w:w="686" w:type="pct"/>
            <w:tcBorders>
              <w:top w:val="single" w:color="auto" w:sz="4" w:space="0"/>
              <w:left w:val="single" w:color="auto" w:sz="4" w:space="0"/>
              <w:bottom w:val="single" w:color="auto" w:sz="4" w:space="0"/>
              <w:right w:val="single" w:color="auto" w:sz="4" w:space="0"/>
            </w:tcBorders>
            <w:vAlign w:val="center"/>
          </w:tcPr>
          <w:p w14:paraId="23D3E24D">
            <w:pPr>
              <w:jc w:val="center"/>
              <w:rPr>
                <w:rFonts w:ascii="Times New Roman" w:hAnsi="Times New Roman"/>
                <w:bCs/>
                <w:color w:val="000000"/>
                <w:sz w:val="18"/>
                <w:szCs w:val="18"/>
              </w:rPr>
            </w:pPr>
            <w:r>
              <w:rPr>
                <w:rFonts w:hint="eastAsia"/>
                <w:bCs/>
                <w:color w:val="000000"/>
                <w:sz w:val="18"/>
                <w:szCs w:val="18"/>
              </w:rPr>
              <w:t>记录人员</w:t>
            </w:r>
          </w:p>
        </w:tc>
      </w:tr>
      <w:tr w14:paraId="7F498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2" w:type="pct"/>
            <w:tcBorders>
              <w:top w:val="single" w:color="auto" w:sz="4" w:space="0"/>
              <w:left w:val="single" w:color="auto" w:sz="4" w:space="0"/>
              <w:bottom w:val="single" w:color="auto" w:sz="4" w:space="0"/>
              <w:right w:val="single" w:color="auto" w:sz="4" w:space="0"/>
            </w:tcBorders>
          </w:tcPr>
          <w:p w14:paraId="32638F26">
            <w:pPr>
              <w:rPr>
                <w:rFonts w:ascii="Times New Roman" w:hAnsi="Times New Roman"/>
                <w:bCs/>
                <w:color w:val="000000"/>
                <w:sz w:val="18"/>
                <w:szCs w:val="18"/>
              </w:rPr>
            </w:pPr>
          </w:p>
        </w:tc>
        <w:tc>
          <w:tcPr>
            <w:tcW w:w="688" w:type="pct"/>
            <w:tcBorders>
              <w:top w:val="single" w:color="auto" w:sz="4" w:space="0"/>
              <w:left w:val="single" w:color="auto" w:sz="4" w:space="0"/>
              <w:bottom w:val="single" w:color="auto" w:sz="4" w:space="0"/>
              <w:right w:val="single" w:color="auto" w:sz="4" w:space="0"/>
            </w:tcBorders>
          </w:tcPr>
          <w:p w14:paraId="67596127">
            <w:pPr>
              <w:rPr>
                <w:rFonts w:ascii="Times New Roman" w:hAnsi="Times New Roman"/>
                <w:bCs/>
                <w:color w:val="000000"/>
                <w:sz w:val="18"/>
                <w:szCs w:val="18"/>
              </w:rPr>
            </w:pPr>
          </w:p>
        </w:tc>
        <w:tc>
          <w:tcPr>
            <w:tcW w:w="952" w:type="pct"/>
            <w:tcBorders>
              <w:top w:val="single" w:color="auto" w:sz="4" w:space="0"/>
              <w:left w:val="single" w:color="auto" w:sz="4" w:space="0"/>
              <w:bottom w:val="single" w:color="auto" w:sz="4" w:space="0"/>
              <w:right w:val="single" w:color="auto" w:sz="4" w:space="0"/>
            </w:tcBorders>
          </w:tcPr>
          <w:p w14:paraId="2CC79F5A">
            <w:pPr>
              <w:rPr>
                <w:rFonts w:ascii="Times New Roman" w:hAnsi="Times New Roman"/>
                <w:bCs/>
                <w:color w:val="000000"/>
                <w:sz w:val="18"/>
                <w:szCs w:val="18"/>
              </w:rPr>
            </w:pPr>
          </w:p>
        </w:tc>
        <w:tc>
          <w:tcPr>
            <w:tcW w:w="952" w:type="pct"/>
            <w:tcBorders>
              <w:top w:val="single" w:color="auto" w:sz="4" w:space="0"/>
              <w:left w:val="single" w:color="auto" w:sz="4" w:space="0"/>
              <w:bottom w:val="single" w:color="auto" w:sz="4" w:space="0"/>
              <w:right w:val="single" w:color="auto" w:sz="4" w:space="0"/>
            </w:tcBorders>
          </w:tcPr>
          <w:p w14:paraId="43408223">
            <w:pPr>
              <w:rPr>
                <w:rFonts w:ascii="Times New Roman" w:hAnsi="Times New Roman"/>
                <w:bCs/>
                <w:color w:val="000000"/>
                <w:sz w:val="18"/>
                <w:szCs w:val="18"/>
              </w:rPr>
            </w:pPr>
          </w:p>
        </w:tc>
        <w:tc>
          <w:tcPr>
            <w:tcW w:w="688" w:type="pct"/>
            <w:tcBorders>
              <w:top w:val="single" w:color="auto" w:sz="4" w:space="0"/>
              <w:left w:val="single" w:color="auto" w:sz="4" w:space="0"/>
              <w:bottom w:val="single" w:color="auto" w:sz="4" w:space="0"/>
              <w:right w:val="single" w:color="auto" w:sz="4" w:space="0"/>
            </w:tcBorders>
          </w:tcPr>
          <w:p w14:paraId="3EA153D3">
            <w:pPr>
              <w:rPr>
                <w:rFonts w:ascii="Times New Roman" w:hAnsi="Times New Roman"/>
                <w:bCs/>
                <w:color w:val="000000"/>
                <w:sz w:val="18"/>
                <w:szCs w:val="18"/>
              </w:rPr>
            </w:pPr>
          </w:p>
        </w:tc>
        <w:tc>
          <w:tcPr>
            <w:tcW w:w="688" w:type="pct"/>
            <w:tcBorders>
              <w:top w:val="single" w:color="auto" w:sz="4" w:space="0"/>
              <w:left w:val="single" w:color="auto" w:sz="4" w:space="0"/>
              <w:bottom w:val="single" w:color="auto" w:sz="4" w:space="0"/>
              <w:right w:val="single" w:color="auto" w:sz="4" w:space="0"/>
            </w:tcBorders>
          </w:tcPr>
          <w:p w14:paraId="4A4A6A1A">
            <w:pPr>
              <w:rPr>
                <w:rFonts w:ascii="Times New Roman" w:hAnsi="Times New Roman"/>
                <w:bCs/>
                <w:color w:val="000000"/>
                <w:sz w:val="18"/>
                <w:szCs w:val="18"/>
              </w:rPr>
            </w:pPr>
          </w:p>
        </w:tc>
        <w:tc>
          <w:tcPr>
            <w:tcW w:w="686" w:type="pct"/>
            <w:tcBorders>
              <w:top w:val="single" w:color="auto" w:sz="4" w:space="0"/>
              <w:left w:val="single" w:color="auto" w:sz="4" w:space="0"/>
              <w:bottom w:val="single" w:color="auto" w:sz="4" w:space="0"/>
              <w:right w:val="single" w:color="auto" w:sz="4" w:space="0"/>
            </w:tcBorders>
          </w:tcPr>
          <w:p w14:paraId="564B332D">
            <w:pPr>
              <w:rPr>
                <w:rFonts w:ascii="Times New Roman" w:hAnsi="Times New Roman"/>
                <w:bCs/>
                <w:color w:val="000000"/>
                <w:sz w:val="18"/>
                <w:szCs w:val="18"/>
              </w:rPr>
            </w:pPr>
          </w:p>
        </w:tc>
      </w:tr>
    </w:tbl>
    <w:p w14:paraId="420C4FC7">
      <w:pPr>
        <w:pStyle w:val="78"/>
        <w:spacing w:before="120" w:after="120"/>
      </w:pPr>
      <w:bookmarkStart w:id="73" w:name="_Toc149582238"/>
      <w:bookmarkStart w:id="74" w:name="_Toc18981"/>
      <w:bookmarkStart w:id="75" w:name="_Toc150014784"/>
      <w:r>
        <w:rPr>
          <w:rFonts w:hint="eastAsia"/>
        </w:rPr>
        <w:t>张家川红花牛配种记录</w:t>
      </w:r>
      <w:bookmarkEnd w:id="73"/>
      <w:bookmarkEnd w:id="74"/>
      <w:bookmarkEnd w:id="75"/>
    </w:p>
    <w:p w14:paraId="47480A07">
      <w:pPr>
        <w:pStyle w:val="56"/>
        <w:ind w:firstLine="420"/>
        <w:rPr>
          <w:rFonts w:hint="eastAsia" w:ascii="Times New Roman"/>
        </w:rPr>
      </w:pPr>
      <w:r>
        <w:rPr>
          <w:rFonts w:hint="eastAsia" w:ascii="Times New Roman"/>
        </w:rPr>
        <w:t>表 A. 2 规定了配种时牛号、配种日期、第几次配种、与配公牛号、输精时间及输精员等记录。</w:t>
      </w:r>
    </w:p>
    <w:p w14:paraId="1CC323D3">
      <w:pPr>
        <w:pStyle w:val="77"/>
        <w:spacing w:before="120" w:after="120"/>
        <w:ind w:left="0" w:firstLine="420"/>
      </w:pPr>
      <w:r>
        <w:rPr>
          <w:rFonts w:hint="eastAsia"/>
        </w:rPr>
        <w:t>张家川红花牛</w:t>
      </w:r>
      <w:r>
        <w:t>配种记录表</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5"/>
        <w:gridCol w:w="1405"/>
        <w:gridCol w:w="1677"/>
        <w:gridCol w:w="1677"/>
        <w:gridCol w:w="1405"/>
        <w:gridCol w:w="1405"/>
        <w:gridCol w:w="1136"/>
      </w:tblGrid>
      <w:tr w14:paraId="075DF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2" w:type="pct"/>
            <w:tcBorders>
              <w:top w:val="single" w:color="auto" w:sz="4" w:space="0"/>
              <w:left w:val="single" w:color="auto" w:sz="4" w:space="0"/>
              <w:bottom w:val="single" w:color="auto" w:sz="4" w:space="0"/>
              <w:right w:val="single" w:color="auto" w:sz="4" w:space="0"/>
            </w:tcBorders>
            <w:vAlign w:val="center"/>
          </w:tcPr>
          <w:p w14:paraId="7161EE12">
            <w:pPr>
              <w:jc w:val="center"/>
              <w:rPr>
                <w:rFonts w:ascii="Times New Roman" w:hAnsi="Times New Roman"/>
                <w:bCs/>
                <w:color w:val="000000"/>
                <w:sz w:val="18"/>
                <w:szCs w:val="18"/>
              </w:rPr>
            </w:pPr>
            <w:r>
              <w:rPr>
                <w:rFonts w:hint="eastAsia"/>
                <w:bCs/>
                <w:color w:val="000000"/>
                <w:sz w:val="18"/>
                <w:szCs w:val="18"/>
              </w:rPr>
              <w:t>牛号</w:t>
            </w:r>
          </w:p>
        </w:tc>
        <w:tc>
          <w:tcPr>
            <w:tcW w:w="734" w:type="pct"/>
            <w:tcBorders>
              <w:top w:val="single" w:color="auto" w:sz="4" w:space="0"/>
              <w:left w:val="single" w:color="auto" w:sz="4" w:space="0"/>
              <w:bottom w:val="single" w:color="auto" w:sz="4" w:space="0"/>
              <w:right w:val="single" w:color="auto" w:sz="4" w:space="0"/>
            </w:tcBorders>
            <w:vAlign w:val="center"/>
          </w:tcPr>
          <w:p w14:paraId="594C4F40">
            <w:pPr>
              <w:jc w:val="center"/>
              <w:rPr>
                <w:rFonts w:ascii="Times New Roman" w:hAnsi="Times New Roman"/>
                <w:bCs/>
                <w:color w:val="000000"/>
                <w:sz w:val="18"/>
                <w:szCs w:val="18"/>
              </w:rPr>
            </w:pPr>
            <w:r>
              <w:rPr>
                <w:rFonts w:hint="eastAsia"/>
                <w:bCs/>
                <w:color w:val="000000"/>
                <w:sz w:val="18"/>
                <w:szCs w:val="18"/>
              </w:rPr>
              <w:t>配种日期</w:t>
            </w:r>
          </w:p>
        </w:tc>
        <w:tc>
          <w:tcPr>
            <w:tcW w:w="876" w:type="pct"/>
            <w:tcBorders>
              <w:top w:val="single" w:color="auto" w:sz="4" w:space="0"/>
              <w:left w:val="single" w:color="auto" w:sz="4" w:space="0"/>
              <w:bottom w:val="single" w:color="auto" w:sz="4" w:space="0"/>
              <w:right w:val="single" w:color="auto" w:sz="4" w:space="0"/>
            </w:tcBorders>
            <w:vAlign w:val="center"/>
          </w:tcPr>
          <w:p w14:paraId="57190726">
            <w:pPr>
              <w:jc w:val="center"/>
              <w:rPr>
                <w:rFonts w:ascii="Times New Roman" w:hAnsi="Times New Roman"/>
                <w:bCs/>
                <w:color w:val="000000"/>
                <w:sz w:val="18"/>
                <w:szCs w:val="18"/>
              </w:rPr>
            </w:pPr>
            <w:r>
              <w:rPr>
                <w:rFonts w:hint="eastAsia"/>
                <w:bCs/>
                <w:color w:val="000000"/>
                <w:sz w:val="18"/>
                <w:szCs w:val="18"/>
              </w:rPr>
              <w:t>第几次配种</w:t>
            </w:r>
          </w:p>
        </w:tc>
        <w:tc>
          <w:tcPr>
            <w:tcW w:w="876" w:type="pct"/>
            <w:tcBorders>
              <w:top w:val="single" w:color="auto" w:sz="4" w:space="0"/>
              <w:left w:val="single" w:color="auto" w:sz="4" w:space="0"/>
              <w:bottom w:val="single" w:color="auto" w:sz="4" w:space="0"/>
              <w:right w:val="single" w:color="auto" w:sz="4" w:space="0"/>
            </w:tcBorders>
            <w:vAlign w:val="center"/>
          </w:tcPr>
          <w:p w14:paraId="7AD61757">
            <w:pPr>
              <w:jc w:val="center"/>
              <w:rPr>
                <w:rFonts w:ascii="Times New Roman" w:hAnsi="Times New Roman"/>
                <w:bCs/>
                <w:color w:val="000000"/>
                <w:sz w:val="18"/>
                <w:szCs w:val="18"/>
              </w:rPr>
            </w:pPr>
            <w:r>
              <w:rPr>
                <w:rFonts w:hint="eastAsia"/>
                <w:bCs/>
                <w:color w:val="000000"/>
                <w:sz w:val="18"/>
                <w:szCs w:val="18"/>
              </w:rPr>
              <w:t>与配公牛号</w:t>
            </w:r>
          </w:p>
        </w:tc>
        <w:tc>
          <w:tcPr>
            <w:tcW w:w="734" w:type="pct"/>
            <w:tcBorders>
              <w:top w:val="single" w:color="auto" w:sz="4" w:space="0"/>
              <w:left w:val="single" w:color="auto" w:sz="4" w:space="0"/>
              <w:bottom w:val="single" w:color="auto" w:sz="4" w:space="0"/>
              <w:right w:val="single" w:color="auto" w:sz="4" w:space="0"/>
            </w:tcBorders>
            <w:vAlign w:val="center"/>
          </w:tcPr>
          <w:p w14:paraId="30EEB0C9">
            <w:pPr>
              <w:jc w:val="center"/>
              <w:rPr>
                <w:rFonts w:ascii="Times New Roman" w:hAnsi="Times New Roman"/>
                <w:bCs/>
                <w:color w:val="000000"/>
                <w:sz w:val="18"/>
                <w:szCs w:val="18"/>
              </w:rPr>
            </w:pPr>
            <w:r>
              <w:rPr>
                <w:rFonts w:hint="eastAsia"/>
                <w:bCs/>
                <w:color w:val="000000"/>
                <w:sz w:val="18"/>
                <w:szCs w:val="18"/>
              </w:rPr>
              <w:t>冻精批号</w:t>
            </w:r>
          </w:p>
        </w:tc>
        <w:tc>
          <w:tcPr>
            <w:tcW w:w="734" w:type="pct"/>
            <w:tcBorders>
              <w:top w:val="single" w:color="auto" w:sz="4" w:space="0"/>
              <w:left w:val="single" w:color="auto" w:sz="4" w:space="0"/>
              <w:bottom w:val="single" w:color="auto" w:sz="4" w:space="0"/>
              <w:right w:val="single" w:color="auto" w:sz="4" w:space="0"/>
            </w:tcBorders>
            <w:vAlign w:val="center"/>
          </w:tcPr>
          <w:p w14:paraId="3F1C89EE">
            <w:pPr>
              <w:jc w:val="center"/>
              <w:rPr>
                <w:rFonts w:ascii="Times New Roman" w:hAnsi="Times New Roman"/>
                <w:bCs/>
                <w:color w:val="000000"/>
                <w:sz w:val="18"/>
                <w:szCs w:val="18"/>
              </w:rPr>
            </w:pPr>
            <w:r>
              <w:rPr>
                <w:rFonts w:hint="eastAsia"/>
                <w:bCs/>
                <w:color w:val="000000"/>
                <w:sz w:val="18"/>
                <w:szCs w:val="18"/>
              </w:rPr>
              <w:t>输精时间</w:t>
            </w:r>
          </w:p>
        </w:tc>
        <w:tc>
          <w:tcPr>
            <w:tcW w:w="593" w:type="pct"/>
            <w:tcBorders>
              <w:top w:val="single" w:color="auto" w:sz="4" w:space="0"/>
              <w:left w:val="single" w:color="auto" w:sz="4" w:space="0"/>
              <w:bottom w:val="single" w:color="auto" w:sz="4" w:space="0"/>
              <w:right w:val="single" w:color="auto" w:sz="4" w:space="0"/>
            </w:tcBorders>
            <w:vAlign w:val="center"/>
          </w:tcPr>
          <w:p w14:paraId="54601011">
            <w:pPr>
              <w:jc w:val="center"/>
              <w:rPr>
                <w:rFonts w:ascii="Times New Roman" w:hAnsi="Times New Roman"/>
                <w:bCs/>
                <w:color w:val="000000"/>
                <w:sz w:val="18"/>
                <w:szCs w:val="18"/>
              </w:rPr>
            </w:pPr>
            <w:r>
              <w:rPr>
                <w:rFonts w:hint="eastAsia"/>
                <w:bCs/>
                <w:color w:val="000000"/>
                <w:sz w:val="18"/>
                <w:szCs w:val="18"/>
              </w:rPr>
              <w:t>输精员</w:t>
            </w:r>
          </w:p>
        </w:tc>
      </w:tr>
      <w:tr w14:paraId="6A500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2" w:type="pct"/>
            <w:tcBorders>
              <w:top w:val="single" w:color="auto" w:sz="4" w:space="0"/>
              <w:left w:val="single" w:color="auto" w:sz="4" w:space="0"/>
              <w:bottom w:val="single" w:color="auto" w:sz="4" w:space="0"/>
              <w:right w:val="single" w:color="auto" w:sz="4" w:space="0"/>
            </w:tcBorders>
          </w:tcPr>
          <w:p w14:paraId="5E4060DC">
            <w:pPr>
              <w:rPr>
                <w:rFonts w:ascii="Times New Roman" w:hAnsi="Times New Roman"/>
                <w:bCs/>
                <w:color w:val="000000"/>
                <w:sz w:val="18"/>
                <w:szCs w:val="18"/>
              </w:rPr>
            </w:pPr>
          </w:p>
        </w:tc>
        <w:tc>
          <w:tcPr>
            <w:tcW w:w="734" w:type="pct"/>
            <w:tcBorders>
              <w:top w:val="single" w:color="auto" w:sz="4" w:space="0"/>
              <w:left w:val="single" w:color="auto" w:sz="4" w:space="0"/>
              <w:bottom w:val="single" w:color="auto" w:sz="4" w:space="0"/>
              <w:right w:val="single" w:color="auto" w:sz="4" w:space="0"/>
            </w:tcBorders>
          </w:tcPr>
          <w:p w14:paraId="0B7FEE34">
            <w:pPr>
              <w:rPr>
                <w:rFonts w:ascii="Times New Roman" w:hAnsi="Times New Roman"/>
                <w:bCs/>
                <w:color w:val="000000"/>
                <w:sz w:val="18"/>
                <w:szCs w:val="18"/>
              </w:rPr>
            </w:pPr>
          </w:p>
        </w:tc>
        <w:tc>
          <w:tcPr>
            <w:tcW w:w="876" w:type="pct"/>
            <w:tcBorders>
              <w:top w:val="single" w:color="auto" w:sz="4" w:space="0"/>
              <w:left w:val="single" w:color="auto" w:sz="4" w:space="0"/>
              <w:bottom w:val="single" w:color="auto" w:sz="4" w:space="0"/>
              <w:right w:val="single" w:color="auto" w:sz="4" w:space="0"/>
            </w:tcBorders>
          </w:tcPr>
          <w:p w14:paraId="5622D472">
            <w:pPr>
              <w:rPr>
                <w:rFonts w:ascii="Times New Roman" w:hAnsi="Times New Roman"/>
                <w:bCs/>
                <w:color w:val="000000"/>
                <w:sz w:val="18"/>
                <w:szCs w:val="18"/>
              </w:rPr>
            </w:pPr>
          </w:p>
        </w:tc>
        <w:tc>
          <w:tcPr>
            <w:tcW w:w="876" w:type="pct"/>
            <w:tcBorders>
              <w:top w:val="single" w:color="auto" w:sz="4" w:space="0"/>
              <w:left w:val="single" w:color="auto" w:sz="4" w:space="0"/>
              <w:bottom w:val="single" w:color="auto" w:sz="4" w:space="0"/>
              <w:right w:val="single" w:color="auto" w:sz="4" w:space="0"/>
            </w:tcBorders>
          </w:tcPr>
          <w:p w14:paraId="61DB01AE">
            <w:pPr>
              <w:rPr>
                <w:rFonts w:ascii="Times New Roman" w:hAnsi="Times New Roman"/>
                <w:bCs/>
                <w:color w:val="000000"/>
                <w:sz w:val="18"/>
                <w:szCs w:val="18"/>
              </w:rPr>
            </w:pPr>
          </w:p>
        </w:tc>
        <w:tc>
          <w:tcPr>
            <w:tcW w:w="734" w:type="pct"/>
            <w:tcBorders>
              <w:top w:val="single" w:color="auto" w:sz="4" w:space="0"/>
              <w:left w:val="single" w:color="auto" w:sz="4" w:space="0"/>
              <w:bottom w:val="single" w:color="auto" w:sz="4" w:space="0"/>
              <w:right w:val="single" w:color="auto" w:sz="4" w:space="0"/>
            </w:tcBorders>
          </w:tcPr>
          <w:p w14:paraId="020C4FB8">
            <w:pPr>
              <w:rPr>
                <w:rFonts w:ascii="Times New Roman" w:hAnsi="Times New Roman"/>
                <w:bCs/>
                <w:color w:val="000000"/>
                <w:sz w:val="18"/>
                <w:szCs w:val="18"/>
              </w:rPr>
            </w:pPr>
          </w:p>
        </w:tc>
        <w:tc>
          <w:tcPr>
            <w:tcW w:w="734" w:type="pct"/>
            <w:tcBorders>
              <w:top w:val="single" w:color="auto" w:sz="4" w:space="0"/>
              <w:left w:val="single" w:color="auto" w:sz="4" w:space="0"/>
              <w:bottom w:val="single" w:color="auto" w:sz="4" w:space="0"/>
              <w:right w:val="single" w:color="auto" w:sz="4" w:space="0"/>
            </w:tcBorders>
          </w:tcPr>
          <w:p w14:paraId="5464CED6">
            <w:pPr>
              <w:rPr>
                <w:rFonts w:ascii="Times New Roman" w:hAnsi="Times New Roman"/>
                <w:bCs/>
                <w:color w:val="000000"/>
                <w:sz w:val="18"/>
                <w:szCs w:val="18"/>
              </w:rPr>
            </w:pPr>
          </w:p>
        </w:tc>
        <w:tc>
          <w:tcPr>
            <w:tcW w:w="593" w:type="pct"/>
            <w:tcBorders>
              <w:top w:val="single" w:color="auto" w:sz="4" w:space="0"/>
              <w:left w:val="single" w:color="auto" w:sz="4" w:space="0"/>
              <w:bottom w:val="single" w:color="auto" w:sz="4" w:space="0"/>
              <w:right w:val="single" w:color="auto" w:sz="4" w:space="0"/>
            </w:tcBorders>
          </w:tcPr>
          <w:p w14:paraId="62A83197">
            <w:pPr>
              <w:rPr>
                <w:rFonts w:ascii="Times New Roman" w:hAnsi="Times New Roman"/>
                <w:bCs/>
                <w:color w:val="000000"/>
                <w:sz w:val="18"/>
                <w:szCs w:val="18"/>
              </w:rPr>
            </w:pPr>
          </w:p>
        </w:tc>
      </w:tr>
    </w:tbl>
    <w:p w14:paraId="3688FC4E">
      <w:pPr>
        <w:rPr>
          <w:rFonts w:ascii="Times New Roman" w:hAnsi="Times New Roman"/>
          <w:b/>
          <w:bCs/>
          <w:color w:val="000000"/>
        </w:rPr>
      </w:pPr>
      <w:r>
        <w:rPr>
          <w:rFonts w:ascii="Times New Roman" w:hAnsi="Times New Roman"/>
          <w:b/>
          <w:bCs/>
          <w:color w:val="000000"/>
        </w:rPr>
        <w:t xml:space="preserve"> </w:t>
      </w:r>
    </w:p>
    <w:p w14:paraId="1EBCDCE2">
      <w:pPr>
        <w:pStyle w:val="78"/>
        <w:spacing w:before="120" w:after="120"/>
      </w:pPr>
      <w:bookmarkStart w:id="76" w:name="_Toc29479"/>
      <w:r>
        <w:rPr>
          <w:rFonts w:hint="eastAsia"/>
        </w:rPr>
        <w:t>张家川红花牛</w:t>
      </w:r>
      <w:r>
        <w:t>妊娠记录表</w:t>
      </w:r>
      <w:bookmarkEnd w:id="76"/>
      <w:r>
        <w:t xml:space="preserve"> </w:t>
      </w:r>
    </w:p>
    <w:p w14:paraId="4EDB3974">
      <w:pPr>
        <w:pStyle w:val="56"/>
        <w:ind w:firstLine="420"/>
        <w:rPr>
          <w:rFonts w:ascii="Times New Roman"/>
          <w:color w:val="000000"/>
          <w:szCs w:val="21"/>
        </w:rPr>
      </w:pPr>
      <w:r>
        <w:rPr>
          <w:rFonts w:ascii="Times New Roman"/>
        </w:rPr>
        <w:t>表 A. 3 规定了妊娠过程中牛号、妊娠日期、妊娠结果、预产期、停奶期</w:t>
      </w:r>
      <w:r>
        <w:rPr>
          <w:rFonts w:hint="eastAsia" w:ascii="Times New Roman"/>
        </w:rPr>
        <w:t>及</w:t>
      </w:r>
      <w:r>
        <w:rPr>
          <w:rFonts w:ascii="Times New Roman"/>
        </w:rPr>
        <w:t>妊娠人员签字</w:t>
      </w:r>
      <w:r>
        <w:rPr>
          <w:rFonts w:hint="eastAsia" w:ascii="Times New Roman"/>
        </w:rPr>
        <w:t>等</w:t>
      </w:r>
      <w:r>
        <w:rPr>
          <w:rFonts w:ascii="Times New Roman"/>
        </w:rPr>
        <w:t>记录。</w:t>
      </w:r>
      <w:r>
        <w:rPr>
          <w:rFonts w:ascii="Times New Roman"/>
          <w:color w:val="000000"/>
          <w:szCs w:val="21"/>
        </w:rPr>
        <w:t xml:space="preserve"> </w:t>
      </w:r>
    </w:p>
    <w:p w14:paraId="762DC77E">
      <w:pPr>
        <w:pStyle w:val="77"/>
        <w:spacing w:before="120" w:after="120"/>
        <w:ind w:left="0" w:firstLine="420"/>
      </w:pPr>
      <w:r>
        <w:rPr>
          <w:rFonts w:hint="eastAsia"/>
        </w:rPr>
        <w:t>张家川红花牛</w:t>
      </w:r>
      <w:r>
        <w:t>表妊娠记录表</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4"/>
        <w:gridCol w:w="1765"/>
        <w:gridCol w:w="1765"/>
        <w:gridCol w:w="1426"/>
        <w:gridCol w:w="1765"/>
        <w:gridCol w:w="1765"/>
      </w:tblGrid>
      <w:tr w14:paraId="7671B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7" w:type="pct"/>
            <w:tcBorders>
              <w:top w:val="single" w:color="auto" w:sz="4" w:space="0"/>
              <w:left w:val="single" w:color="auto" w:sz="4" w:space="0"/>
              <w:bottom w:val="single" w:color="auto" w:sz="4" w:space="0"/>
              <w:right w:val="single" w:color="auto" w:sz="4" w:space="0"/>
            </w:tcBorders>
            <w:vAlign w:val="center"/>
          </w:tcPr>
          <w:p w14:paraId="50312E39">
            <w:pPr>
              <w:jc w:val="center"/>
              <w:rPr>
                <w:rFonts w:ascii="Times New Roman" w:hAnsi="Times New Roman"/>
                <w:bCs/>
                <w:color w:val="000000"/>
                <w:sz w:val="18"/>
                <w:szCs w:val="18"/>
              </w:rPr>
            </w:pPr>
            <w:r>
              <w:rPr>
                <w:rFonts w:hint="eastAsia"/>
                <w:bCs/>
                <w:color w:val="000000"/>
                <w:sz w:val="18"/>
                <w:szCs w:val="18"/>
              </w:rPr>
              <w:t>牛号</w:t>
            </w:r>
          </w:p>
        </w:tc>
        <w:tc>
          <w:tcPr>
            <w:tcW w:w="922" w:type="pct"/>
            <w:tcBorders>
              <w:top w:val="single" w:color="auto" w:sz="4" w:space="0"/>
              <w:left w:val="single" w:color="auto" w:sz="4" w:space="0"/>
              <w:bottom w:val="single" w:color="auto" w:sz="4" w:space="0"/>
              <w:right w:val="single" w:color="auto" w:sz="4" w:space="0"/>
            </w:tcBorders>
            <w:vAlign w:val="center"/>
          </w:tcPr>
          <w:p w14:paraId="6EBD158E">
            <w:pPr>
              <w:jc w:val="center"/>
              <w:rPr>
                <w:rFonts w:ascii="Times New Roman" w:hAnsi="Times New Roman"/>
                <w:bCs/>
                <w:color w:val="000000"/>
                <w:sz w:val="18"/>
                <w:szCs w:val="18"/>
              </w:rPr>
            </w:pPr>
            <w:r>
              <w:rPr>
                <w:rFonts w:hint="eastAsia"/>
                <w:bCs/>
                <w:color w:val="000000"/>
                <w:sz w:val="18"/>
                <w:szCs w:val="18"/>
              </w:rPr>
              <w:t>妊娠日期</w:t>
            </w:r>
          </w:p>
        </w:tc>
        <w:tc>
          <w:tcPr>
            <w:tcW w:w="922" w:type="pct"/>
            <w:tcBorders>
              <w:top w:val="single" w:color="auto" w:sz="4" w:space="0"/>
              <w:left w:val="single" w:color="auto" w:sz="4" w:space="0"/>
              <w:bottom w:val="single" w:color="auto" w:sz="4" w:space="0"/>
              <w:right w:val="single" w:color="auto" w:sz="4" w:space="0"/>
            </w:tcBorders>
            <w:vAlign w:val="center"/>
          </w:tcPr>
          <w:p w14:paraId="5D39D290">
            <w:pPr>
              <w:jc w:val="center"/>
              <w:rPr>
                <w:rFonts w:ascii="Times New Roman" w:hAnsi="Times New Roman"/>
                <w:bCs/>
                <w:color w:val="000000"/>
                <w:sz w:val="18"/>
                <w:szCs w:val="18"/>
              </w:rPr>
            </w:pPr>
            <w:r>
              <w:rPr>
                <w:rFonts w:hint="eastAsia"/>
                <w:bCs/>
                <w:color w:val="000000"/>
                <w:sz w:val="18"/>
                <w:szCs w:val="18"/>
              </w:rPr>
              <w:t>妊娠结果</w:t>
            </w:r>
          </w:p>
        </w:tc>
        <w:tc>
          <w:tcPr>
            <w:tcW w:w="745" w:type="pct"/>
            <w:tcBorders>
              <w:top w:val="single" w:color="auto" w:sz="4" w:space="0"/>
              <w:left w:val="single" w:color="auto" w:sz="4" w:space="0"/>
              <w:bottom w:val="single" w:color="auto" w:sz="4" w:space="0"/>
              <w:right w:val="single" w:color="auto" w:sz="4" w:space="0"/>
            </w:tcBorders>
            <w:vAlign w:val="center"/>
          </w:tcPr>
          <w:p w14:paraId="10C117B7">
            <w:pPr>
              <w:jc w:val="center"/>
              <w:rPr>
                <w:rFonts w:ascii="Times New Roman" w:hAnsi="Times New Roman"/>
                <w:bCs/>
                <w:color w:val="000000"/>
                <w:sz w:val="18"/>
                <w:szCs w:val="18"/>
              </w:rPr>
            </w:pPr>
            <w:r>
              <w:rPr>
                <w:rFonts w:hint="eastAsia"/>
                <w:bCs/>
                <w:color w:val="000000"/>
                <w:sz w:val="18"/>
                <w:szCs w:val="18"/>
              </w:rPr>
              <w:t>预产期</w:t>
            </w:r>
          </w:p>
        </w:tc>
        <w:tc>
          <w:tcPr>
            <w:tcW w:w="922" w:type="pct"/>
            <w:tcBorders>
              <w:top w:val="single" w:color="auto" w:sz="4" w:space="0"/>
              <w:left w:val="single" w:color="auto" w:sz="4" w:space="0"/>
              <w:bottom w:val="single" w:color="auto" w:sz="4" w:space="0"/>
              <w:right w:val="single" w:color="auto" w:sz="4" w:space="0"/>
            </w:tcBorders>
            <w:vAlign w:val="center"/>
          </w:tcPr>
          <w:p w14:paraId="03EE0CB7">
            <w:pPr>
              <w:jc w:val="center"/>
              <w:rPr>
                <w:rFonts w:ascii="Times New Roman" w:hAnsi="Times New Roman"/>
                <w:bCs/>
                <w:color w:val="000000"/>
                <w:sz w:val="18"/>
                <w:szCs w:val="18"/>
              </w:rPr>
            </w:pPr>
            <w:r>
              <w:rPr>
                <w:rFonts w:hint="eastAsia"/>
                <w:bCs/>
                <w:color w:val="000000"/>
                <w:sz w:val="18"/>
                <w:szCs w:val="18"/>
              </w:rPr>
              <w:t>干奶日期</w:t>
            </w:r>
          </w:p>
        </w:tc>
        <w:tc>
          <w:tcPr>
            <w:tcW w:w="922" w:type="pct"/>
            <w:tcBorders>
              <w:top w:val="single" w:color="auto" w:sz="4" w:space="0"/>
              <w:left w:val="single" w:color="auto" w:sz="4" w:space="0"/>
              <w:bottom w:val="single" w:color="auto" w:sz="4" w:space="0"/>
              <w:right w:val="single" w:color="auto" w:sz="4" w:space="0"/>
            </w:tcBorders>
            <w:vAlign w:val="center"/>
          </w:tcPr>
          <w:p w14:paraId="1FEC1006">
            <w:pPr>
              <w:jc w:val="center"/>
              <w:rPr>
                <w:rFonts w:ascii="Times New Roman" w:hAnsi="Times New Roman"/>
                <w:bCs/>
                <w:color w:val="000000"/>
                <w:sz w:val="18"/>
                <w:szCs w:val="18"/>
              </w:rPr>
            </w:pPr>
            <w:r>
              <w:rPr>
                <w:rFonts w:hint="eastAsia"/>
                <w:bCs/>
                <w:color w:val="000000"/>
                <w:sz w:val="18"/>
                <w:szCs w:val="18"/>
              </w:rPr>
              <w:t>鉴定人员</w:t>
            </w:r>
          </w:p>
        </w:tc>
      </w:tr>
      <w:tr w14:paraId="29591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7" w:type="pct"/>
            <w:tcBorders>
              <w:top w:val="single" w:color="auto" w:sz="4" w:space="0"/>
              <w:left w:val="single" w:color="auto" w:sz="4" w:space="0"/>
              <w:bottom w:val="single" w:color="auto" w:sz="4" w:space="0"/>
              <w:right w:val="single" w:color="auto" w:sz="4" w:space="0"/>
            </w:tcBorders>
          </w:tcPr>
          <w:p w14:paraId="4C6BB87D">
            <w:pPr>
              <w:rPr>
                <w:rFonts w:ascii="Times New Roman" w:hAnsi="Times New Roman"/>
                <w:bCs/>
                <w:color w:val="000000"/>
                <w:sz w:val="18"/>
                <w:szCs w:val="18"/>
              </w:rPr>
            </w:pPr>
          </w:p>
        </w:tc>
        <w:tc>
          <w:tcPr>
            <w:tcW w:w="922" w:type="pct"/>
            <w:tcBorders>
              <w:top w:val="single" w:color="auto" w:sz="4" w:space="0"/>
              <w:left w:val="single" w:color="auto" w:sz="4" w:space="0"/>
              <w:bottom w:val="single" w:color="auto" w:sz="4" w:space="0"/>
              <w:right w:val="single" w:color="auto" w:sz="4" w:space="0"/>
            </w:tcBorders>
          </w:tcPr>
          <w:p w14:paraId="17C7AC3E">
            <w:pPr>
              <w:rPr>
                <w:rFonts w:ascii="Times New Roman" w:hAnsi="Times New Roman"/>
                <w:bCs/>
                <w:color w:val="000000"/>
                <w:sz w:val="18"/>
                <w:szCs w:val="18"/>
              </w:rPr>
            </w:pPr>
          </w:p>
        </w:tc>
        <w:tc>
          <w:tcPr>
            <w:tcW w:w="922" w:type="pct"/>
            <w:tcBorders>
              <w:top w:val="single" w:color="auto" w:sz="4" w:space="0"/>
              <w:left w:val="single" w:color="auto" w:sz="4" w:space="0"/>
              <w:bottom w:val="single" w:color="auto" w:sz="4" w:space="0"/>
              <w:right w:val="single" w:color="auto" w:sz="4" w:space="0"/>
            </w:tcBorders>
          </w:tcPr>
          <w:p w14:paraId="2533AD24">
            <w:pPr>
              <w:rPr>
                <w:rFonts w:ascii="Times New Roman" w:hAnsi="Times New Roman"/>
                <w:bCs/>
                <w:color w:val="000000"/>
                <w:sz w:val="18"/>
                <w:szCs w:val="18"/>
              </w:rPr>
            </w:pPr>
          </w:p>
        </w:tc>
        <w:tc>
          <w:tcPr>
            <w:tcW w:w="745" w:type="pct"/>
            <w:tcBorders>
              <w:top w:val="single" w:color="auto" w:sz="4" w:space="0"/>
              <w:left w:val="single" w:color="auto" w:sz="4" w:space="0"/>
              <w:bottom w:val="single" w:color="auto" w:sz="4" w:space="0"/>
              <w:right w:val="single" w:color="auto" w:sz="4" w:space="0"/>
            </w:tcBorders>
          </w:tcPr>
          <w:p w14:paraId="47DD5B2D">
            <w:pPr>
              <w:rPr>
                <w:rFonts w:ascii="Times New Roman" w:hAnsi="Times New Roman"/>
                <w:bCs/>
                <w:color w:val="000000"/>
                <w:sz w:val="18"/>
                <w:szCs w:val="18"/>
              </w:rPr>
            </w:pPr>
          </w:p>
        </w:tc>
        <w:tc>
          <w:tcPr>
            <w:tcW w:w="922" w:type="pct"/>
            <w:tcBorders>
              <w:top w:val="single" w:color="auto" w:sz="4" w:space="0"/>
              <w:left w:val="single" w:color="auto" w:sz="4" w:space="0"/>
              <w:bottom w:val="single" w:color="auto" w:sz="4" w:space="0"/>
              <w:right w:val="single" w:color="auto" w:sz="4" w:space="0"/>
            </w:tcBorders>
          </w:tcPr>
          <w:p w14:paraId="067C8E29">
            <w:pPr>
              <w:rPr>
                <w:rFonts w:ascii="Times New Roman" w:hAnsi="Times New Roman"/>
                <w:bCs/>
                <w:color w:val="000000"/>
                <w:sz w:val="18"/>
                <w:szCs w:val="18"/>
              </w:rPr>
            </w:pPr>
          </w:p>
        </w:tc>
        <w:tc>
          <w:tcPr>
            <w:tcW w:w="922" w:type="pct"/>
            <w:tcBorders>
              <w:top w:val="single" w:color="auto" w:sz="4" w:space="0"/>
              <w:left w:val="single" w:color="auto" w:sz="4" w:space="0"/>
              <w:bottom w:val="single" w:color="auto" w:sz="4" w:space="0"/>
              <w:right w:val="single" w:color="auto" w:sz="4" w:space="0"/>
            </w:tcBorders>
          </w:tcPr>
          <w:p w14:paraId="6E94A368">
            <w:pPr>
              <w:rPr>
                <w:rFonts w:ascii="Times New Roman" w:hAnsi="Times New Roman"/>
                <w:bCs/>
                <w:color w:val="000000"/>
                <w:sz w:val="18"/>
                <w:szCs w:val="18"/>
              </w:rPr>
            </w:pPr>
          </w:p>
        </w:tc>
      </w:tr>
    </w:tbl>
    <w:p w14:paraId="05E74494">
      <w:pPr>
        <w:rPr>
          <w:rFonts w:ascii="Times New Roman" w:hAnsi="Times New Roman"/>
          <w:b/>
          <w:bCs/>
          <w:color w:val="000000"/>
        </w:rPr>
      </w:pPr>
    </w:p>
    <w:p w14:paraId="1341C677">
      <w:pPr>
        <w:pStyle w:val="78"/>
        <w:spacing w:before="120" w:after="120"/>
      </w:pPr>
      <w:bookmarkStart w:id="77" w:name="_Toc25084"/>
      <w:r>
        <w:rPr>
          <w:rFonts w:hint="eastAsia"/>
        </w:rPr>
        <w:t>张家川红花牛</w:t>
      </w:r>
      <w:r>
        <w:t>产犊记录表</w:t>
      </w:r>
      <w:bookmarkEnd w:id="77"/>
      <w:r>
        <w:t xml:space="preserve"> </w:t>
      </w:r>
    </w:p>
    <w:p w14:paraId="255FF2ED">
      <w:pPr>
        <w:pStyle w:val="56"/>
        <w:ind w:firstLine="420"/>
        <w:rPr>
          <w:rFonts w:ascii="Times New Roman"/>
          <w:color w:val="000000"/>
          <w:szCs w:val="21"/>
        </w:rPr>
      </w:pPr>
      <w:r>
        <w:rPr>
          <w:rFonts w:ascii="Times New Roman"/>
        </w:rPr>
        <w:t>表 A. 4 规定了母牛产犊时牛号、胎次、与配公牛、产犊日期等记录。</w:t>
      </w:r>
      <w:r>
        <w:rPr>
          <w:color w:val="000000"/>
          <w:szCs w:val="21"/>
        </w:rPr>
        <w:t xml:space="preserve"> </w:t>
      </w:r>
    </w:p>
    <w:p w14:paraId="4533616F">
      <w:pPr>
        <w:pStyle w:val="77"/>
        <w:spacing w:before="120" w:after="120"/>
        <w:ind w:left="0" w:firstLine="420"/>
        <w:rPr>
          <w:rFonts w:ascii="Times New Roman"/>
          <w:szCs w:val="21"/>
        </w:rPr>
      </w:pPr>
      <w:r>
        <w:rPr>
          <w:rFonts w:hint="eastAsia"/>
        </w:rPr>
        <w:t>张家川红花牛</w:t>
      </w:r>
      <w:r>
        <w:t>产犊记录表</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658"/>
        <w:gridCol w:w="850"/>
        <w:gridCol w:w="991"/>
        <w:gridCol w:w="993"/>
        <w:gridCol w:w="708"/>
        <w:gridCol w:w="708"/>
        <w:gridCol w:w="993"/>
        <w:gridCol w:w="708"/>
        <w:gridCol w:w="708"/>
        <w:gridCol w:w="713"/>
        <w:gridCol w:w="813"/>
      </w:tblGrid>
      <w:tr w14:paraId="27E02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380" w:type="pct"/>
            <w:vMerge w:val="restart"/>
            <w:tcBorders>
              <w:top w:val="single" w:color="auto" w:sz="4" w:space="0"/>
              <w:left w:val="single" w:color="auto" w:sz="4" w:space="0"/>
              <w:bottom w:val="single" w:color="auto" w:sz="4" w:space="0"/>
              <w:right w:val="single" w:color="auto" w:sz="4" w:space="0"/>
            </w:tcBorders>
            <w:vAlign w:val="center"/>
          </w:tcPr>
          <w:p w14:paraId="04C7D6C3">
            <w:pPr>
              <w:pStyle w:val="13"/>
              <w:autoSpaceDE w:val="0"/>
              <w:spacing w:after="0"/>
              <w:jc w:val="center"/>
              <w:rPr>
                <w:rFonts w:ascii="Times New Roman" w:hAnsi="Times New Roman"/>
                <w:bCs/>
                <w:sz w:val="18"/>
                <w:szCs w:val="18"/>
              </w:rPr>
            </w:pPr>
            <w:r>
              <w:rPr>
                <w:rFonts w:hint="eastAsia"/>
                <w:bCs/>
                <w:sz w:val="18"/>
                <w:szCs w:val="18"/>
              </w:rPr>
              <w:t>牛号</w:t>
            </w:r>
          </w:p>
        </w:tc>
        <w:tc>
          <w:tcPr>
            <w:tcW w:w="344" w:type="pct"/>
            <w:vMerge w:val="restart"/>
            <w:tcBorders>
              <w:top w:val="single" w:color="auto" w:sz="4" w:space="0"/>
              <w:left w:val="single" w:color="auto" w:sz="4" w:space="0"/>
              <w:bottom w:val="single" w:color="auto" w:sz="4" w:space="0"/>
              <w:right w:val="single" w:color="auto" w:sz="4" w:space="0"/>
            </w:tcBorders>
            <w:vAlign w:val="center"/>
          </w:tcPr>
          <w:p w14:paraId="115F393F">
            <w:pPr>
              <w:pStyle w:val="13"/>
              <w:autoSpaceDE w:val="0"/>
              <w:spacing w:after="0"/>
              <w:jc w:val="center"/>
              <w:rPr>
                <w:rFonts w:ascii="Times New Roman" w:hAnsi="Times New Roman"/>
                <w:bCs/>
                <w:sz w:val="18"/>
                <w:szCs w:val="18"/>
              </w:rPr>
            </w:pPr>
            <w:r>
              <w:rPr>
                <w:rFonts w:hint="eastAsia"/>
                <w:bCs/>
                <w:sz w:val="18"/>
                <w:szCs w:val="18"/>
              </w:rPr>
              <w:t>胎次</w:t>
            </w:r>
          </w:p>
        </w:tc>
        <w:tc>
          <w:tcPr>
            <w:tcW w:w="444" w:type="pct"/>
            <w:vMerge w:val="restart"/>
            <w:tcBorders>
              <w:top w:val="single" w:color="auto" w:sz="4" w:space="0"/>
              <w:left w:val="single" w:color="auto" w:sz="4" w:space="0"/>
              <w:bottom w:val="single" w:color="auto" w:sz="4" w:space="0"/>
              <w:right w:val="single" w:color="auto" w:sz="4" w:space="0"/>
            </w:tcBorders>
            <w:vAlign w:val="center"/>
          </w:tcPr>
          <w:p w14:paraId="282DFE11">
            <w:pPr>
              <w:pStyle w:val="13"/>
              <w:autoSpaceDE w:val="0"/>
              <w:spacing w:after="0"/>
              <w:jc w:val="center"/>
              <w:rPr>
                <w:rFonts w:ascii="Times New Roman" w:hAnsi="Times New Roman"/>
                <w:bCs/>
                <w:sz w:val="18"/>
                <w:szCs w:val="18"/>
              </w:rPr>
            </w:pPr>
            <w:r>
              <w:rPr>
                <w:rFonts w:hint="eastAsia"/>
                <w:bCs/>
                <w:sz w:val="18"/>
                <w:szCs w:val="18"/>
              </w:rPr>
              <w:t>公牛号</w:t>
            </w:r>
          </w:p>
        </w:tc>
        <w:tc>
          <w:tcPr>
            <w:tcW w:w="518" w:type="pct"/>
            <w:vMerge w:val="restart"/>
            <w:tcBorders>
              <w:top w:val="single" w:color="auto" w:sz="4" w:space="0"/>
              <w:left w:val="single" w:color="auto" w:sz="4" w:space="0"/>
              <w:bottom w:val="single" w:color="auto" w:sz="4" w:space="0"/>
              <w:right w:val="single" w:color="auto" w:sz="4" w:space="0"/>
            </w:tcBorders>
            <w:vAlign w:val="center"/>
          </w:tcPr>
          <w:p w14:paraId="662C2D33">
            <w:pPr>
              <w:pStyle w:val="13"/>
              <w:autoSpaceDE w:val="0"/>
              <w:spacing w:after="0"/>
              <w:jc w:val="center"/>
              <w:rPr>
                <w:rFonts w:ascii="Times New Roman" w:hAnsi="Times New Roman"/>
                <w:bCs/>
                <w:sz w:val="18"/>
                <w:szCs w:val="18"/>
              </w:rPr>
            </w:pPr>
            <w:r>
              <w:rPr>
                <w:rFonts w:hint="eastAsia"/>
                <w:bCs/>
                <w:sz w:val="18"/>
                <w:szCs w:val="18"/>
              </w:rPr>
              <w:t>产犊日期</w:t>
            </w:r>
          </w:p>
        </w:tc>
        <w:tc>
          <w:tcPr>
            <w:tcW w:w="519" w:type="pct"/>
            <w:vMerge w:val="restart"/>
            <w:tcBorders>
              <w:top w:val="single" w:color="auto" w:sz="4" w:space="0"/>
              <w:left w:val="single" w:color="auto" w:sz="4" w:space="0"/>
              <w:right w:val="single" w:color="auto" w:sz="4" w:space="0"/>
            </w:tcBorders>
            <w:vAlign w:val="center"/>
          </w:tcPr>
          <w:p w14:paraId="0EFDFEE5">
            <w:pPr>
              <w:pStyle w:val="13"/>
              <w:autoSpaceDE w:val="0"/>
              <w:spacing w:after="0"/>
              <w:jc w:val="center"/>
              <w:rPr>
                <w:rFonts w:ascii="Times New Roman" w:hAnsi="Times New Roman"/>
                <w:bCs/>
                <w:sz w:val="18"/>
                <w:szCs w:val="18"/>
              </w:rPr>
            </w:pPr>
            <w:r>
              <w:rPr>
                <w:rFonts w:hint="eastAsia"/>
                <w:bCs/>
                <w:sz w:val="18"/>
                <w:szCs w:val="18"/>
              </w:rPr>
              <w:t>分娩情况</w:t>
            </w:r>
          </w:p>
        </w:tc>
        <w:tc>
          <w:tcPr>
            <w:tcW w:w="370" w:type="pct"/>
            <w:vMerge w:val="restart"/>
            <w:tcBorders>
              <w:top w:val="single" w:color="auto" w:sz="4" w:space="0"/>
              <w:left w:val="single" w:color="auto" w:sz="4" w:space="0"/>
              <w:right w:val="single" w:color="auto" w:sz="4" w:space="0"/>
            </w:tcBorders>
            <w:vAlign w:val="center"/>
          </w:tcPr>
          <w:p w14:paraId="31AFC7BC">
            <w:pPr>
              <w:pStyle w:val="13"/>
              <w:autoSpaceDE w:val="0"/>
              <w:spacing w:after="0"/>
              <w:jc w:val="center"/>
              <w:rPr>
                <w:rFonts w:ascii="Times New Roman" w:hAnsi="Times New Roman"/>
                <w:bCs/>
                <w:sz w:val="18"/>
                <w:szCs w:val="18"/>
              </w:rPr>
            </w:pPr>
            <w:r>
              <w:rPr>
                <w:rFonts w:hint="eastAsia"/>
                <w:bCs/>
                <w:sz w:val="18"/>
                <w:szCs w:val="18"/>
              </w:rPr>
              <w:t>胎儿情况</w:t>
            </w:r>
          </w:p>
        </w:tc>
        <w:tc>
          <w:tcPr>
            <w:tcW w:w="370" w:type="pct"/>
            <w:vMerge w:val="restart"/>
            <w:tcBorders>
              <w:top w:val="single" w:color="auto" w:sz="4" w:space="0"/>
              <w:left w:val="single" w:color="auto" w:sz="4" w:space="0"/>
              <w:bottom w:val="single" w:color="auto" w:sz="4" w:space="0"/>
              <w:right w:val="single" w:color="auto" w:sz="4" w:space="0"/>
            </w:tcBorders>
            <w:vAlign w:val="center"/>
          </w:tcPr>
          <w:p w14:paraId="559E4005">
            <w:pPr>
              <w:pStyle w:val="13"/>
              <w:autoSpaceDE w:val="0"/>
              <w:spacing w:after="0"/>
              <w:jc w:val="center"/>
              <w:rPr>
                <w:rFonts w:ascii="Times New Roman" w:hAnsi="Times New Roman"/>
                <w:bCs/>
                <w:sz w:val="18"/>
                <w:szCs w:val="18"/>
              </w:rPr>
            </w:pPr>
            <w:r>
              <w:rPr>
                <w:rFonts w:hint="eastAsia"/>
                <w:bCs/>
                <w:sz w:val="18"/>
                <w:szCs w:val="18"/>
              </w:rPr>
              <w:t>胎衣情况</w:t>
            </w:r>
          </w:p>
        </w:tc>
        <w:tc>
          <w:tcPr>
            <w:tcW w:w="519" w:type="pct"/>
            <w:vMerge w:val="restart"/>
            <w:tcBorders>
              <w:top w:val="single" w:color="auto" w:sz="4" w:space="0"/>
              <w:left w:val="single" w:color="auto" w:sz="4" w:space="0"/>
              <w:bottom w:val="single" w:color="auto" w:sz="4" w:space="0"/>
              <w:right w:val="single" w:color="auto" w:sz="4" w:space="0"/>
            </w:tcBorders>
            <w:vAlign w:val="center"/>
          </w:tcPr>
          <w:p w14:paraId="3DAB88F6">
            <w:pPr>
              <w:pStyle w:val="13"/>
              <w:autoSpaceDE w:val="0"/>
              <w:spacing w:after="0"/>
              <w:jc w:val="center"/>
              <w:rPr>
                <w:rFonts w:ascii="Times New Roman" w:hAnsi="Times New Roman"/>
                <w:bCs/>
                <w:sz w:val="18"/>
                <w:szCs w:val="18"/>
              </w:rPr>
            </w:pPr>
            <w:r>
              <w:rPr>
                <w:rFonts w:hint="eastAsia"/>
                <w:bCs/>
                <w:sz w:val="18"/>
                <w:szCs w:val="18"/>
              </w:rPr>
              <w:t>母牛健康状况</w:t>
            </w:r>
          </w:p>
        </w:tc>
        <w:tc>
          <w:tcPr>
            <w:tcW w:w="1112" w:type="pct"/>
            <w:gridSpan w:val="3"/>
            <w:tcBorders>
              <w:top w:val="single" w:color="auto" w:sz="4" w:space="0"/>
              <w:left w:val="single" w:color="auto" w:sz="4" w:space="0"/>
              <w:bottom w:val="single" w:color="auto" w:sz="4" w:space="0"/>
              <w:right w:val="single" w:color="auto" w:sz="4" w:space="0"/>
            </w:tcBorders>
            <w:vAlign w:val="center"/>
          </w:tcPr>
          <w:p w14:paraId="57FB08A1">
            <w:pPr>
              <w:pStyle w:val="13"/>
              <w:autoSpaceDE w:val="0"/>
              <w:spacing w:after="0"/>
              <w:jc w:val="center"/>
              <w:rPr>
                <w:rFonts w:ascii="Times New Roman" w:hAnsi="Times New Roman"/>
                <w:bCs/>
                <w:sz w:val="18"/>
                <w:szCs w:val="18"/>
              </w:rPr>
            </w:pPr>
            <w:r>
              <w:rPr>
                <w:rFonts w:hint="eastAsia"/>
                <w:bCs/>
                <w:sz w:val="18"/>
                <w:szCs w:val="18"/>
              </w:rPr>
              <w:t>犊牛</w:t>
            </w:r>
          </w:p>
        </w:tc>
        <w:tc>
          <w:tcPr>
            <w:tcW w:w="424" w:type="pct"/>
            <w:vMerge w:val="restart"/>
            <w:tcBorders>
              <w:top w:val="single" w:color="auto" w:sz="4" w:space="0"/>
              <w:left w:val="single" w:color="auto" w:sz="4" w:space="0"/>
              <w:bottom w:val="single" w:color="auto" w:sz="4" w:space="0"/>
              <w:right w:val="single" w:color="auto" w:sz="4" w:space="0"/>
            </w:tcBorders>
            <w:vAlign w:val="center"/>
          </w:tcPr>
          <w:p w14:paraId="168762AC">
            <w:pPr>
              <w:pStyle w:val="13"/>
              <w:spacing w:before="240" w:after="240"/>
              <w:jc w:val="center"/>
              <w:rPr>
                <w:rFonts w:ascii="Times New Roman" w:hAnsi="Times New Roman"/>
                <w:sz w:val="18"/>
                <w:szCs w:val="18"/>
              </w:rPr>
            </w:pPr>
            <w:r>
              <w:rPr>
                <w:rFonts w:hint="eastAsia"/>
                <w:bCs/>
                <w:sz w:val="18"/>
                <w:szCs w:val="18"/>
              </w:rPr>
              <w:t>记录人</w:t>
            </w:r>
          </w:p>
        </w:tc>
      </w:tr>
      <w:tr w14:paraId="4326D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380" w:type="pct"/>
            <w:vMerge w:val="continue"/>
            <w:tcBorders>
              <w:top w:val="single" w:color="auto" w:sz="4" w:space="0"/>
              <w:left w:val="single" w:color="auto" w:sz="4" w:space="0"/>
              <w:bottom w:val="single" w:color="auto" w:sz="4" w:space="0"/>
              <w:right w:val="single" w:color="auto" w:sz="4" w:space="0"/>
            </w:tcBorders>
            <w:vAlign w:val="center"/>
          </w:tcPr>
          <w:p w14:paraId="07B4E8AA">
            <w:pPr>
              <w:rPr>
                <w:rFonts w:ascii="Times New Roman" w:hAnsi="Times New Roman" w:eastAsia="等线"/>
                <w:bCs/>
                <w:sz w:val="18"/>
                <w:szCs w:val="18"/>
              </w:rPr>
            </w:pPr>
          </w:p>
        </w:tc>
        <w:tc>
          <w:tcPr>
            <w:tcW w:w="344" w:type="pct"/>
            <w:vMerge w:val="continue"/>
            <w:tcBorders>
              <w:top w:val="single" w:color="auto" w:sz="4" w:space="0"/>
              <w:left w:val="single" w:color="auto" w:sz="4" w:space="0"/>
              <w:bottom w:val="single" w:color="auto" w:sz="4" w:space="0"/>
              <w:right w:val="single" w:color="auto" w:sz="4" w:space="0"/>
            </w:tcBorders>
            <w:vAlign w:val="center"/>
          </w:tcPr>
          <w:p w14:paraId="1BE9FA1C">
            <w:pPr>
              <w:rPr>
                <w:rFonts w:ascii="Times New Roman" w:hAnsi="Times New Roman" w:eastAsia="等线"/>
                <w:bCs/>
                <w:sz w:val="18"/>
                <w:szCs w:val="18"/>
              </w:rPr>
            </w:pPr>
          </w:p>
        </w:tc>
        <w:tc>
          <w:tcPr>
            <w:tcW w:w="444" w:type="pct"/>
            <w:vMerge w:val="continue"/>
            <w:tcBorders>
              <w:top w:val="single" w:color="auto" w:sz="4" w:space="0"/>
              <w:left w:val="single" w:color="auto" w:sz="4" w:space="0"/>
              <w:bottom w:val="single" w:color="auto" w:sz="4" w:space="0"/>
              <w:right w:val="single" w:color="auto" w:sz="4" w:space="0"/>
            </w:tcBorders>
            <w:vAlign w:val="center"/>
          </w:tcPr>
          <w:p w14:paraId="6154117E">
            <w:pPr>
              <w:rPr>
                <w:rFonts w:ascii="Times New Roman" w:hAnsi="Times New Roman" w:eastAsia="等线"/>
                <w:bCs/>
                <w:sz w:val="18"/>
                <w:szCs w:val="18"/>
              </w:rPr>
            </w:pPr>
          </w:p>
        </w:tc>
        <w:tc>
          <w:tcPr>
            <w:tcW w:w="518" w:type="pct"/>
            <w:vMerge w:val="continue"/>
            <w:tcBorders>
              <w:top w:val="single" w:color="auto" w:sz="4" w:space="0"/>
              <w:left w:val="single" w:color="auto" w:sz="4" w:space="0"/>
              <w:bottom w:val="single" w:color="auto" w:sz="4" w:space="0"/>
              <w:right w:val="single" w:color="auto" w:sz="4" w:space="0"/>
            </w:tcBorders>
            <w:vAlign w:val="center"/>
          </w:tcPr>
          <w:p w14:paraId="28BBCE1F">
            <w:pPr>
              <w:rPr>
                <w:rFonts w:ascii="Times New Roman" w:hAnsi="Times New Roman" w:eastAsia="等线"/>
                <w:bCs/>
                <w:sz w:val="18"/>
                <w:szCs w:val="18"/>
              </w:rPr>
            </w:pPr>
          </w:p>
        </w:tc>
        <w:tc>
          <w:tcPr>
            <w:tcW w:w="519" w:type="pct"/>
            <w:vMerge w:val="continue"/>
            <w:tcBorders>
              <w:left w:val="single" w:color="auto" w:sz="4" w:space="0"/>
              <w:bottom w:val="single" w:color="auto" w:sz="4" w:space="0"/>
              <w:right w:val="single" w:color="auto" w:sz="4" w:space="0"/>
            </w:tcBorders>
            <w:vAlign w:val="center"/>
          </w:tcPr>
          <w:p w14:paraId="6A1DD862">
            <w:pPr>
              <w:pStyle w:val="13"/>
              <w:autoSpaceDE w:val="0"/>
              <w:spacing w:after="0"/>
              <w:jc w:val="center"/>
              <w:rPr>
                <w:rFonts w:ascii="Times New Roman" w:hAnsi="Times New Roman"/>
                <w:bCs/>
                <w:sz w:val="18"/>
                <w:szCs w:val="18"/>
              </w:rPr>
            </w:pPr>
          </w:p>
        </w:tc>
        <w:tc>
          <w:tcPr>
            <w:tcW w:w="370" w:type="pct"/>
            <w:vMerge w:val="continue"/>
            <w:tcBorders>
              <w:left w:val="single" w:color="auto" w:sz="4" w:space="0"/>
              <w:bottom w:val="single" w:color="auto" w:sz="4" w:space="0"/>
              <w:right w:val="single" w:color="auto" w:sz="4" w:space="0"/>
            </w:tcBorders>
            <w:vAlign w:val="center"/>
          </w:tcPr>
          <w:p w14:paraId="562D5C48">
            <w:pPr>
              <w:pStyle w:val="13"/>
              <w:autoSpaceDE w:val="0"/>
              <w:spacing w:after="0"/>
              <w:jc w:val="center"/>
              <w:rPr>
                <w:rFonts w:ascii="Times New Roman" w:hAnsi="Times New Roman"/>
                <w:bCs/>
                <w:sz w:val="18"/>
                <w:szCs w:val="18"/>
              </w:rPr>
            </w:pPr>
          </w:p>
        </w:tc>
        <w:tc>
          <w:tcPr>
            <w:tcW w:w="370" w:type="pct"/>
            <w:vMerge w:val="continue"/>
            <w:tcBorders>
              <w:top w:val="single" w:color="auto" w:sz="4" w:space="0"/>
              <w:left w:val="single" w:color="auto" w:sz="4" w:space="0"/>
              <w:bottom w:val="single" w:color="auto" w:sz="4" w:space="0"/>
              <w:right w:val="single" w:color="auto" w:sz="4" w:space="0"/>
            </w:tcBorders>
            <w:vAlign w:val="center"/>
          </w:tcPr>
          <w:p w14:paraId="56F2D5C5">
            <w:pPr>
              <w:rPr>
                <w:rFonts w:ascii="Times New Roman" w:hAnsi="Times New Roman" w:eastAsia="等线"/>
                <w:bCs/>
                <w:sz w:val="18"/>
                <w:szCs w:val="18"/>
              </w:rPr>
            </w:pPr>
          </w:p>
        </w:tc>
        <w:tc>
          <w:tcPr>
            <w:tcW w:w="519" w:type="pct"/>
            <w:vMerge w:val="continue"/>
            <w:tcBorders>
              <w:top w:val="single" w:color="auto" w:sz="4" w:space="0"/>
              <w:left w:val="single" w:color="auto" w:sz="4" w:space="0"/>
              <w:bottom w:val="single" w:color="auto" w:sz="4" w:space="0"/>
              <w:right w:val="single" w:color="auto" w:sz="4" w:space="0"/>
            </w:tcBorders>
            <w:vAlign w:val="center"/>
          </w:tcPr>
          <w:p w14:paraId="514BC7E6">
            <w:pPr>
              <w:rPr>
                <w:rFonts w:ascii="Times New Roman" w:hAnsi="Times New Roman" w:eastAsia="等线"/>
                <w:bCs/>
                <w:sz w:val="18"/>
                <w:szCs w:val="18"/>
              </w:rPr>
            </w:pPr>
          </w:p>
        </w:tc>
        <w:tc>
          <w:tcPr>
            <w:tcW w:w="370" w:type="pct"/>
            <w:tcBorders>
              <w:top w:val="single" w:color="auto" w:sz="4" w:space="0"/>
              <w:left w:val="single" w:color="auto" w:sz="4" w:space="0"/>
              <w:bottom w:val="single" w:color="auto" w:sz="4" w:space="0"/>
              <w:right w:val="single" w:color="auto" w:sz="4" w:space="0"/>
            </w:tcBorders>
            <w:vAlign w:val="center"/>
          </w:tcPr>
          <w:p w14:paraId="2F5B8F00">
            <w:pPr>
              <w:pStyle w:val="13"/>
              <w:autoSpaceDE w:val="0"/>
              <w:spacing w:after="0"/>
              <w:jc w:val="center"/>
              <w:rPr>
                <w:rFonts w:ascii="Times New Roman" w:hAnsi="Times New Roman"/>
                <w:bCs/>
                <w:sz w:val="18"/>
                <w:szCs w:val="18"/>
              </w:rPr>
            </w:pPr>
            <w:r>
              <w:rPr>
                <w:rFonts w:hint="eastAsia"/>
                <w:bCs/>
                <w:sz w:val="18"/>
                <w:szCs w:val="18"/>
              </w:rPr>
              <w:t>性别</w:t>
            </w:r>
          </w:p>
        </w:tc>
        <w:tc>
          <w:tcPr>
            <w:tcW w:w="370" w:type="pct"/>
            <w:tcBorders>
              <w:top w:val="single" w:color="auto" w:sz="4" w:space="0"/>
              <w:left w:val="single" w:color="auto" w:sz="4" w:space="0"/>
              <w:bottom w:val="single" w:color="auto" w:sz="4" w:space="0"/>
              <w:right w:val="single" w:color="auto" w:sz="4" w:space="0"/>
            </w:tcBorders>
            <w:vAlign w:val="center"/>
          </w:tcPr>
          <w:p w14:paraId="5A0782EC">
            <w:pPr>
              <w:pStyle w:val="13"/>
              <w:autoSpaceDE w:val="0"/>
              <w:spacing w:after="0"/>
              <w:jc w:val="center"/>
              <w:rPr>
                <w:rFonts w:ascii="Times New Roman" w:hAnsi="Times New Roman"/>
                <w:bCs/>
                <w:sz w:val="18"/>
                <w:szCs w:val="18"/>
              </w:rPr>
            </w:pPr>
            <w:r>
              <w:rPr>
                <w:rFonts w:hint="eastAsia"/>
                <w:bCs/>
                <w:sz w:val="18"/>
                <w:szCs w:val="18"/>
              </w:rPr>
              <w:t>编号</w:t>
            </w:r>
          </w:p>
        </w:tc>
        <w:tc>
          <w:tcPr>
            <w:tcW w:w="372" w:type="pct"/>
            <w:tcBorders>
              <w:top w:val="single" w:color="auto" w:sz="4" w:space="0"/>
              <w:left w:val="single" w:color="auto" w:sz="4" w:space="0"/>
              <w:bottom w:val="single" w:color="auto" w:sz="4" w:space="0"/>
              <w:right w:val="single" w:color="auto" w:sz="4" w:space="0"/>
            </w:tcBorders>
            <w:vAlign w:val="center"/>
          </w:tcPr>
          <w:p w14:paraId="14D7111F">
            <w:pPr>
              <w:pStyle w:val="13"/>
              <w:autoSpaceDE w:val="0"/>
              <w:spacing w:after="0"/>
              <w:jc w:val="center"/>
              <w:rPr>
                <w:rFonts w:ascii="Times New Roman" w:hAnsi="Times New Roman"/>
                <w:bCs/>
                <w:sz w:val="18"/>
                <w:szCs w:val="18"/>
              </w:rPr>
            </w:pPr>
            <w:r>
              <w:rPr>
                <w:rFonts w:hint="eastAsia"/>
                <w:bCs/>
                <w:sz w:val="18"/>
                <w:szCs w:val="18"/>
              </w:rPr>
              <w:t>体重</w:t>
            </w:r>
          </w:p>
        </w:tc>
        <w:tc>
          <w:tcPr>
            <w:tcW w:w="424" w:type="pct"/>
            <w:vMerge w:val="continue"/>
            <w:tcBorders>
              <w:top w:val="single" w:color="auto" w:sz="4" w:space="0"/>
              <w:left w:val="single" w:color="auto" w:sz="4" w:space="0"/>
              <w:bottom w:val="single" w:color="auto" w:sz="4" w:space="0"/>
              <w:right w:val="single" w:color="auto" w:sz="4" w:space="0"/>
            </w:tcBorders>
            <w:vAlign w:val="center"/>
          </w:tcPr>
          <w:p w14:paraId="793F1B66">
            <w:pPr>
              <w:rPr>
                <w:rFonts w:ascii="Times New Roman" w:hAnsi="Times New Roman" w:eastAsia="等线"/>
                <w:sz w:val="18"/>
                <w:szCs w:val="18"/>
              </w:rPr>
            </w:pPr>
          </w:p>
        </w:tc>
      </w:tr>
      <w:tr w14:paraId="12308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380" w:type="pct"/>
            <w:tcBorders>
              <w:top w:val="single" w:color="auto" w:sz="4" w:space="0"/>
              <w:left w:val="single" w:color="auto" w:sz="4" w:space="0"/>
              <w:bottom w:val="single" w:color="auto" w:sz="4" w:space="0"/>
              <w:right w:val="single" w:color="auto" w:sz="4" w:space="0"/>
            </w:tcBorders>
            <w:vAlign w:val="center"/>
          </w:tcPr>
          <w:p w14:paraId="7DF7FF12">
            <w:pPr>
              <w:pStyle w:val="13"/>
              <w:autoSpaceDE w:val="0"/>
              <w:spacing w:after="0"/>
              <w:jc w:val="center"/>
              <w:rPr>
                <w:rFonts w:ascii="Times New Roman" w:hAnsi="Times New Roman"/>
                <w:sz w:val="18"/>
                <w:szCs w:val="18"/>
              </w:rPr>
            </w:pPr>
          </w:p>
        </w:tc>
        <w:tc>
          <w:tcPr>
            <w:tcW w:w="344" w:type="pct"/>
            <w:tcBorders>
              <w:top w:val="single" w:color="auto" w:sz="4" w:space="0"/>
              <w:left w:val="single" w:color="auto" w:sz="4" w:space="0"/>
              <w:bottom w:val="single" w:color="auto" w:sz="4" w:space="0"/>
              <w:right w:val="single" w:color="auto" w:sz="4" w:space="0"/>
            </w:tcBorders>
            <w:vAlign w:val="center"/>
          </w:tcPr>
          <w:p w14:paraId="595F7004">
            <w:pPr>
              <w:pStyle w:val="13"/>
              <w:autoSpaceDE w:val="0"/>
              <w:spacing w:after="0"/>
              <w:jc w:val="center"/>
              <w:rPr>
                <w:rFonts w:ascii="Times New Roman" w:hAnsi="Times New Roman"/>
                <w:sz w:val="18"/>
                <w:szCs w:val="18"/>
              </w:rPr>
            </w:pPr>
          </w:p>
        </w:tc>
        <w:tc>
          <w:tcPr>
            <w:tcW w:w="444" w:type="pct"/>
            <w:tcBorders>
              <w:top w:val="single" w:color="auto" w:sz="4" w:space="0"/>
              <w:left w:val="single" w:color="auto" w:sz="4" w:space="0"/>
              <w:bottom w:val="single" w:color="auto" w:sz="4" w:space="0"/>
              <w:right w:val="single" w:color="auto" w:sz="4" w:space="0"/>
            </w:tcBorders>
            <w:vAlign w:val="center"/>
          </w:tcPr>
          <w:p w14:paraId="3254F80D">
            <w:pPr>
              <w:pStyle w:val="13"/>
              <w:autoSpaceDE w:val="0"/>
              <w:spacing w:after="0"/>
              <w:jc w:val="center"/>
              <w:rPr>
                <w:rFonts w:ascii="Times New Roman" w:hAnsi="Times New Roman"/>
                <w:sz w:val="18"/>
                <w:szCs w:val="18"/>
              </w:rPr>
            </w:pPr>
          </w:p>
        </w:tc>
        <w:tc>
          <w:tcPr>
            <w:tcW w:w="518" w:type="pct"/>
            <w:tcBorders>
              <w:top w:val="single" w:color="auto" w:sz="4" w:space="0"/>
              <w:left w:val="single" w:color="auto" w:sz="4" w:space="0"/>
              <w:bottom w:val="single" w:color="auto" w:sz="4" w:space="0"/>
              <w:right w:val="single" w:color="auto" w:sz="4" w:space="0"/>
            </w:tcBorders>
            <w:vAlign w:val="center"/>
          </w:tcPr>
          <w:p w14:paraId="1769CF8F">
            <w:pPr>
              <w:pStyle w:val="13"/>
              <w:autoSpaceDE w:val="0"/>
              <w:spacing w:after="0"/>
              <w:jc w:val="center"/>
              <w:rPr>
                <w:rFonts w:ascii="Times New Roman" w:hAnsi="Times New Roman"/>
                <w:sz w:val="18"/>
                <w:szCs w:val="18"/>
              </w:rPr>
            </w:pPr>
          </w:p>
        </w:tc>
        <w:tc>
          <w:tcPr>
            <w:tcW w:w="519" w:type="pct"/>
            <w:tcBorders>
              <w:top w:val="single" w:color="auto" w:sz="4" w:space="0"/>
              <w:left w:val="single" w:color="auto" w:sz="4" w:space="0"/>
              <w:bottom w:val="single" w:color="auto" w:sz="4" w:space="0"/>
              <w:right w:val="single" w:color="auto" w:sz="4" w:space="0"/>
            </w:tcBorders>
            <w:vAlign w:val="center"/>
          </w:tcPr>
          <w:p w14:paraId="405DDEA2">
            <w:pPr>
              <w:pStyle w:val="13"/>
              <w:autoSpaceDE w:val="0"/>
              <w:spacing w:after="0"/>
              <w:jc w:val="center"/>
              <w:rPr>
                <w:rFonts w:ascii="Times New Roman" w:hAnsi="Times New Roman"/>
                <w:sz w:val="18"/>
                <w:szCs w:val="18"/>
              </w:rPr>
            </w:pPr>
          </w:p>
        </w:tc>
        <w:tc>
          <w:tcPr>
            <w:tcW w:w="370" w:type="pct"/>
            <w:tcBorders>
              <w:top w:val="single" w:color="auto" w:sz="4" w:space="0"/>
              <w:left w:val="single" w:color="auto" w:sz="4" w:space="0"/>
              <w:bottom w:val="single" w:color="auto" w:sz="4" w:space="0"/>
              <w:right w:val="single" w:color="auto" w:sz="4" w:space="0"/>
            </w:tcBorders>
            <w:vAlign w:val="center"/>
          </w:tcPr>
          <w:p w14:paraId="71CEC223">
            <w:pPr>
              <w:pStyle w:val="13"/>
              <w:autoSpaceDE w:val="0"/>
              <w:spacing w:after="0"/>
              <w:jc w:val="center"/>
              <w:rPr>
                <w:rFonts w:ascii="Times New Roman" w:hAnsi="Times New Roman"/>
                <w:sz w:val="18"/>
                <w:szCs w:val="18"/>
              </w:rPr>
            </w:pPr>
          </w:p>
        </w:tc>
        <w:tc>
          <w:tcPr>
            <w:tcW w:w="370" w:type="pct"/>
            <w:tcBorders>
              <w:top w:val="single" w:color="auto" w:sz="4" w:space="0"/>
              <w:left w:val="single" w:color="auto" w:sz="4" w:space="0"/>
              <w:bottom w:val="single" w:color="auto" w:sz="4" w:space="0"/>
              <w:right w:val="single" w:color="auto" w:sz="4" w:space="0"/>
            </w:tcBorders>
            <w:vAlign w:val="center"/>
          </w:tcPr>
          <w:p w14:paraId="60B64677">
            <w:pPr>
              <w:pStyle w:val="13"/>
              <w:autoSpaceDE w:val="0"/>
              <w:spacing w:after="0"/>
              <w:jc w:val="center"/>
              <w:rPr>
                <w:rFonts w:ascii="Times New Roman" w:hAnsi="Times New Roman"/>
                <w:sz w:val="18"/>
                <w:szCs w:val="18"/>
              </w:rPr>
            </w:pPr>
          </w:p>
        </w:tc>
        <w:tc>
          <w:tcPr>
            <w:tcW w:w="519" w:type="pct"/>
            <w:tcBorders>
              <w:top w:val="single" w:color="auto" w:sz="4" w:space="0"/>
              <w:left w:val="single" w:color="auto" w:sz="4" w:space="0"/>
              <w:bottom w:val="single" w:color="auto" w:sz="4" w:space="0"/>
              <w:right w:val="single" w:color="auto" w:sz="4" w:space="0"/>
            </w:tcBorders>
            <w:vAlign w:val="center"/>
          </w:tcPr>
          <w:p w14:paraId="74F88B76">
            <w:pPr>
              <w:pStyle w:val="13"/>
              <w:autoSpaceDE w:val="0"/>
              <w:spacing w:after="0"/>
              <w:jc w:val="center"/>
              <w:rPr>
                <w:rFonts w:ascii="Times New Roman" w:hAnsi="Times New Roman"/>
                <w:sz w:val="18"/>
                <w:szCs w:val="18"/>
              </w:rPr>
            </w:pPr>
          </w:p>
        </w:tc>
        <w:tc>
          <w:tcPr>
            <w:tcW w:w="370" w:type="pct"/>
            <w:tcBorders>
              <w:top w:val="single" w:color="auto" w:sz="4" w:space="0"/>
              <w:left w:val="single" w:color="auto" w:sz="4" w:space="0"/>
              <w:bottom w:val="single" w:color="auto" w:sz="4" w:space="0"/>
              <w:right w:val="single" w:color="auto" w:sz="4" w:space="0"/>
            </w:tcBorders>
            <w:vAlign w:val="center"/>
          </w:tcPr>
          <w:p w14:paraId="2480D2B1">
            <w:pPr>
              <w:pStyle w:val="13"/>
              <w:autoSpaceDE w:val="0"/>
              <w:spacing w:after="0"/>
              <w:jc w:val="center"/>
              <w:rPr>
                <w:rFonts w:ascii="Times New Roman" w:hAnsi="Times New Roman"/>
                <w:sz w:val="18"/>
                <w:szCs w:val="18"/>
              </w:rPr>
            </w:pPr>
          </w:p>
        </w:tc>
        <w:tc>
          <w:tcPr>
            <w:tcW w:w="370" w:type="pct"/>
            <w:tcBorders>
              <w:top w:val="single" w:color="auto" w:sz="4" w:space="0"/>
              <w:left w:val="single" w:color="auto" w:sz="4" w:space="0"/>
              <w:bottom w:val="single" w:color="auto" w:sz="4" w:space="0"/>
              <w:right w:val="single" w:color="auto" w:sz="4" w:space="0"/>
            </w:tcBorders>
            <w:vAlign w:val="center"/>
          </w:tcPr>
          <w:p w14:paraId="466FB497">
            <w:pPr>
              <w:pStyle w:val="13"/>
              <w:autoSpaceDE w:val="0"/>
              <w:spacing w:after="0"/>
              <w:jc w:val="center"/>
              <w:rPr>
                <w:rFonts w:ascii="Times New Roman" w:hAnsi="Times New Roman"/>
                <w:sz w:val="18"/>
                <w:szCs w:val="18"/>
              </w:rPr>
            </w:pPr>
          </w:p>
        </w:tc>
        <w:tc>
          <w:tcPr>
            <w:tcW w:w="372" w:type="pct"/>
            <w:tcBorders>
              <w:top w:val="single" w:color="auto" w:sz="4" w:space="0"/>
              <w:left w:val="single" w:color="auto" w:sz="4" w:space="0"/>
              <w:bottom w:val="single" w:color="auto" w:sz="4" w:space="0"/>
              <w:right w:val="single" w:color="auto" w:sz="4" w:space="0"/>
            </w:tcBorders>
            <w:vAlign w:val="center"/>
          </w:tcPr>
          <w:p w14:paraId="75C4A805">
            <w:pPr>
              <w:pStyle w:val="13"/>
              <w:autoSpaceDE w:val="0"/>
              <w:spacing w:after="0"/>
              <w:jc w:val="center"/>
              <w:rPr>
                <w:rFonts w:ascii="Times New Roman" w:hAnsi="Times New Roman"/>
                <w:sz w:val="18"/>
                <w:szCs w:val="18"/>
              </w:rPr>
            </w:pPr>
          </w:p>
        </w:tc>
        <w:tc>
          <w:tcPr>
            <w:tcW w:w="424" w:type="pct"/>
            <w:tcBorders>
              <w:top w:val="single" w:color="auto" w:sz="4" w:space="0"/>
              <w:left w:val="single" w:color="auto" w:sz="4" w:space="0"/>
              <w:bottom w:val="single" w:color="auto" w:sz="4" w:space="0"/>
              <w:right w:val="single" w:color="auto" w:sz="4" w:space="0"/>
            </w:tcBorders>
            <w:vAlign w:val="center"/>
          </w:tcPr>
          <w:p w14:paraId="6E8B11D1">
            <w:pPr>
              <w:pStyle w:val="13"/>
              <w:autoSpaceDE w:val="0"/>
              <w:spacing w:after="0"/>
              <w:jc w:val="center"/>
              <w:rPr>
                <w:rFonts w:ascii="Times New Roman" w:hAnsi="Times New Roman"/>
                <w:sz w:val="18"/>
                <w:szCs w:val="18"/>
              </w:rPr>
            </w:pPr>
          </w:p>
        </w:tc>
      </w:tr>
    </w:tbl>
    <w:p w14:paraId="4EBFF8C6">
      <w:pPr>
        <w:pStyle w:val="230"/>
        <w:keepNext w:val="0"/>
        <w:keepLines w:val="0"/>
        <w:pageBreakBefore w:val="0"/>
        <w:widowControl/>
        <w:kinsoku/>
        <w:wordWrap/>
        <w:overflowPunct/>
        <w:topLinePunct w:val="0"/>
        <w:autoSpaceDE w:val="0"/>
        <w:autoSpaceDN w:val="0"/>
        <w:bidi w:val="0"/>
        <w:adjustRightInd/>
        <w:snapToGrid/>
        <w:ind w:firstLine="0" w:firstLineChars="0"/>
        <w:jc w:val="center"/>
        <w:textAlignment w:val="auto"/>
        <w:rPr>
          <w:rFonts w:ascii="Times New Roman"/>
        </w:rPr>
      </w:pPr>
      <w:r>
        <w:rPr>
          <w:rFonts w:ascii="Times New Roman"/>
        </w:rPr>
        <w:t>_________________________</w:t>
      </w:r>
    </w:p>
    <w:p w14:paraId="509B5881">
      <w:pPr>
        <w:pStyle w:val="230"/>
        <w:keepNext w:val="0"/>
        <w:keepLines w:val="0"/>
        <w:pageBreakBefore w:val="0"/>
        <w:widowControl/>
        <w:kinsoku/>
        <w:wordWrap/>
        <w:overflowPunct/>
        <w:topLinePunct w:val="0"/>
        <w:autoSpaceDE w:val="0"/>
        <w:autoSpaceDN w:val="0"/>
        <w:bidi w:val="0"/>
        <w:adjustRightInd/>
        <w:snapToGrid/>
        <w:ind w:firstLine="0" w:firstLineChars="0"/>
        <w:jc w:val="center"/>
        <w:textAlignment w:val="auto"/>
        <w:rPr>
          <w:rFonts w:ascii="Times New Roman"/>
        </w:rPr>
        <w:sectPr>
          <w:headerReference r:id="rId17" w:type="default"/>
          <w:footerReference r:id="rId19" w:type="default"/>
          <w:headerReference r:id="rId18" w:type="even"/>
          <w:footerReference r:id="rId20" w:type="even"/>
          <w:pgSz w:w="11906" w:h="16838"/>
          <w:pgMar w:top="1928" w:right="1134" w:bottom="1134" w:left="1134" w:header="1418" w:footer="1134" w:gutter="284"/>
          <w:pgNumType w:start="1"/>
          <w:cols w:space="425" w:num="1"/>
          <w:formProt w:val="0"/>
          <w:docGrid w:type="lines" w:linePitch="312" w:charSpace="0"/>
        </w:sectPr>
      </w:pPr>
    </w:p>
    <w:bookmarkEnd w:id="69"/>
    <w:p w14:paraId="567C10A0">
      <w:pPr>
        <w:pStyle w:val="198"/>
        <w:jc w:val="both"/>
        <w:rPr>
          <w:vanish w:val="0"/>
        </w:rPr>
      </w:pPr>
    </w:p>
    <w:sectPr>
      <w:headerReference r:id="rId21" w:type="default"/>
      <w:footerReference r:id="rId23" w:type="default"/>
      <w:headerReference r:id="rId22" w:type="even"/>
      <w:footerReference r:id="rId24" w:type="even"/>
      <w:pgSz w:w="11906" w:h="16838"/>
      <w:pgMar w:top="1928" w:right="1134" w:bottom="1134" w:left="1134" w:header="1418" w:footer="1134" w:gutter="284"/>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5A200">
    <w:pPr>
      <w:pStyle w:val="17"/>
    </w:pPr>
    <w:r>
      <w:fldChar w:fldCharType="begin"/>
    </w:r>
    <w:r>
      <w:instrText xml:space="preserve">PAGE   \* MERGEFORMAT</w:instrText>
    </w:r>
    <w:r>
      <w:fldChar w:fldCharType="separate"/>
    </w:r>
    <w:r>
      <w:rPr>
        <w:lang w:val="zh-CN"/>
      </w:rPr>
      <w:t>2</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43267">
    <w:pPr>
      <w:pStyle w:val="51"/>
    </w:pPr>
    <w:r>
      <w:fldChar w:fldCharType="begin"/>
    </w:r>
    <w:r>
      <w:instrText xml:space="preserve"> PAGE   \* MERGEFORMAT \* MERGEFORMAT </w:instrText>
    </w:r>
    <w:r>
      <w:fldChar w:fldCharType="separate"/>
    </w:r>
    <w: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77DA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6091D">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2E8C9">
    <w:pPr>
      <w:pStyle w:val="51"/>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D530E">
    <w:pPr>
      <w:pStyle w:val="52"/>
    </w:pPr>
    <w:r>
      <w:fldChar w:fldCharType="begin"/>
    </w:r>
    <w:r>
      <w:instrText xml:space="preserve">PAGE   \* MERGEFORMAT</w:instrText>
    </w:r>
    <w:r>
      <w:fldChar w:fldCharType="separate"/>
    </w:r>
    <w:r>
      <w:rPr>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E2D38">
    <w:pPr>
      <w:pStyle w:val="51"/>
    </w:pPr>
    <w:r>
      <w:fldChar w:fldCharType="begin"/>
    </w:r>
    <w:r>
      <w:instrText xml:space="preserve"> PAGE   \* MERGEFORMAT \* MERGEFORMAT </w:instrText>
    </w:r>
    <w:r>
      <w:fldChar w:fldCharType="separate"/>
    </w:r>
    <w: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F16A0">
    <w:pPr>
      <w:pStyle w:val="52"/>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CF5B4">
    <w:pPr>
      <w:pStyle w:val="51"/>
    </w:pPr>
    <w:r>
      <w:fldChar w:fldCharType="begin"/>
    </w:r>
    <w:r>
      <w:instrText xml:space="preserve"> PAGE   \* MERGEFORMAT \* MERGEFORMAT </w:instrText>
    </w:r>
    <w:r>
      <w:fldChar w:fldCharType="separate"/>
    </w:r>
    <w:r>
      <w:t>2</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E618E">
    <w:pPr>
      <w:pStyle w:val="52"/>
    </w:pPr>
    <w:r>
      <w:fldChar w:fldCharType="begin"/>
    </w:r>
    <w:r>
      <w:instrText xml:space="preserve">PAGE   \* MERGEFORMAT</w:instrText>
    </w:r>
    <w:r>
      <w:fldChar w:fldCharType="separate"/>
    </w:r>
    <w:r>
      <w:rPr>
        <w:lang w:val="zh-CN"/>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C1E17">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2C3BC">
    <w:pPr>
      <w:pStyle w:val="62"/>
    </w:pPr>
    <w:r>
      <w:fldChar w:fldCharType="begin"/>
    </w:r>
    <w:r>
      <w:instrText xml:space="preserve"> STYLEREF  标准文件_文件编号 \* MERGEFORMAT </w:instrText>
    </w:r>
    <w:r>
      <w:fldChar w:fldCharType="separate"/>
    </w:r>
    <w:r>
      <w:t>T/GSQA XXXX—2026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99EA8">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0112A">
    <w:pPr>
      <w:pStyle w:val="61"/>
    </w:pPr>
    <w:r>
      <w:fldChar w:fldCharType="begin"/>
    </w:r>
    <w:r>
      <w:instrText xml:space="preserve"> STYLEREF  标准文件_文件编号  \* MERGEFORMAT </w:instrText>
    </w:r>
    <w:r>
      <w:fldChar w:fldCharType="separate"/>
    </w:r>
    <w:r>
      <w:t>T/GSQA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9E315">
    <w:pPr>
      <w:pStyle w:val="62"/>
    </w:pPr>
    <w:r>
      <w:fldChar w:fldCharType="begin"/>
    </w:r>
    <w:r>
      <w:instrText xml:space="preserve"> STYLEREF  标准文件_文件编号 \* MERGEFORMAT </w:instrText>
    </w:r>
    <w:r>
      <w:fldChar w:fldCharType="separate"/>
    </w:r>
    <w:r>
      <w:t>T/GSQA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1D0DB">
    <w:pPr>
      <w:pStyle w:val="61"/>
    </w:pPr>
    <w:r>
      <w:fldChar w:fldCharType="begin"/>
    </w:r>
    <w:r>
      <w:instrText xml:space="preserve"> STYLEREF  标准文件_文件编号  \* MERGEFORMAT </w:instrText>
    </w:r>
    <w:r>
      <w:fldChar w:fldCharType="separate"/>
    </w:r>
    <w:r>
      <w:t>T/GSQA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5C02E">
    <w:pPr>
      <w:pStyle w:val="62"/>
    </w:pPr>
    <w:r>
      <w:fldChar w:fldCharType="begin"/>
    </w:r>
    <w:r>
      <w:instrText xml:space="preserve"> STYLEREF  标准文件_文件编号 \* MERGEFORMAT </w:instrText>
    </w:r>
    <w:r>
      <w:fldChar w:fldCharType="separate"/>
    </w:r>
    <w:r>
      <w:t>T/GSQA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F7D87">
    <w:pPr>
      <w:pStyle w:val="61"/>
    </w:pPr>
    <w:r>
      <w:fldChar w:fldCharType="begin"/>
    </w:r>
    <w:r>
      <w:instrText xml:space="preserve"> STYLEREF  标准文件_文件编号  \* MERGEFORMAT </w:instrText>
    </w:r>
    <w:r>
      <w:fldChar w:fldCharType="separate"/>
    </w:r>
    <w:r>
      <w:t>T/GSQA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9E7AE">
    <w:pPr>
      <w:pStyle w:val="62"/>
    </w:pPr>
    <w:r>
      <w:fldChar w:fldCharType="begin"/>
    </w:r>
    <w:r>
      <w:instrText xml:space="preserve"> STYLEREF  标准文件_文件编号 \* MERGEFORMAT </w:instrText>
    </w:r>
    <w:r>
      <w:fldChar w:fldCharType="separate"/>
    </w:r>
    <w:r>
      <w:t>T/GSQA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18B32">
    <w:pPr>
      <w:pStyle w:val="61"/>
    </w:pPr>
    <w:r>
      <w:fldChar w:fldCharType="begin"/>
    </w:r>
    <w:r>
      <w:instrText xml:space="preserve"> STYLEREF  标准文件_文件编号  \* MERGEFORMAT </w:instrText>
    </w:r>
    <w:r>
      <w:fldChar w:fldCharType="separate"/>
    </w:r>
    <w:r>
      <w:t>T/GSQA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307474A"/>
    <w:multiLevelType w:val="multilevel"/>
    <w:tmpl w:val="0307474A"/>
    <w:lvl w:ilvl="0" w:tentative="0">
      <w:start w:val="5"/>
      <w:numFmt w:val="decimal"/>
      <w:lvlText w:val="%1"/>
      <w:lvlJc w:val="left"/>
      <w:pPr>
        <w:ind w:left="525" w:hanging="525"/>
      </w:pPr>
      <w:rPr>
        <w:rFonts w:hint="default"/>
      </w:rPr>
    </w:lvl>
    <w:lvl w:ilvl="1" w:tentative="0">
      <w:start w:val="5"/>
      <w:numFmt w:val="decimal"/>
      <w:lvlText w:val="%1.%2"/>
      <w:lvlJc w:val="left"/>
      <w:pPr>
        <w:ind w:left="525" w:hanging="52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8C55A53"/>
    <w:multiLevelType w:val="multilevel"/>
    <w:tmpl w:val="28C55A53"/>
    <w:lvl w:ilvl="0" w:tentative="0">
      <w:start w:val="5"/>
      <w:numFmt w:val="decimal"/>
      <w:lvlText w:val="%1"/>
      <w:lvlJc w:val="left"/>
      <w:pPr>
        <w:ind w:left="525" w:hanging="525"/>
      </w:pPr>
      <w:rPr>
        <w:rFonts w:hint="default"/>
      </w:rPr>
    </w:lvl>
    <w:lvl w:ilvl="1" w:tentative="0">
      <w:start w:val="2"/>
      <w:numFmt w:val="decimal"/>
      <w:lvlText w:val="%1.%2"/>
      <w:lvlJc w:val="left"/>
      <w:pPr>
        <w:ind w:left="525" w:hanging="52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12">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3">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4">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5">
    <w:nsid w:val="482A3959"/>
    <w:multiLevelType w:val="multilevel"/>
    <w:tmpl w:val="482A3959"/>
    <w:lvl w:ilvl="0" w:tentative="0">
      <w:start w:val="5"/>
      <w:numFmt w:val="decimal"/>
      <w:lvlText w:val="%1"/>
      <w:lvlJc w:val="left"/>
      <w:pPr>
        <w:ind w:left="360" w:hanging="360"/>
      </w:pPr>
      <w:rPr>
        <w:rFonts w:hint="default" w:hAnsi="黑体"/>
      </w:rPr>
    </w:lvl>
    <w:lvl w:ilvl="1" w:tentative="0">
      <w:start w:val="1"/>
      <w:numFmt w:val="decimal"/>
      <w:isLgl/>
      <w:lvlText w:val="%1.%2"/>
      <w:lvlJc w:val="left"/>
      <w:pPr>
        <w:ind w:left="525" w:hanging="525"/>
      </w:pPr>
      <w:rPr>
        <w:rFonts w:hint="default"/>
      </w:rPr>
    </w:lvl>
    <w:lvl w:ilvl="2" w:tentative="0">
      <w:start w:val="1"/>
      <w:numFmt w:val="decimal"/>
      <w:isLgl/>
      <w:lvlText w:val="%1.%2.%3"/>
      <w:lvlJc w:val="left"/>
      <w:pPr>
        <w:ind w:left="720" w:hanging="720"/>
      </w:pPr>
      <w:rPr>
        <w:rFonts w:hint="default"/>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080" w:hanging="1080"/>
      </w:pPr>
      <w:rPr>
        <w:rFonts w:hint="default"/>
      </w:rPr>
    </w:lvl>
    <w:lvl w:ilvl="5" w:tentative="0">
      <w:start w:val="1"/>
      <w:numFmt w:val="decimal"/>
      <w:isLgl/>
      <w:lvlText w:val="%1.%2.%3.%4.%5.%6"/>
      <w:lvlJc w:val="left"/>
      <w:pPr>
        <w:ind w:left="1440" w:hanging="1440"/>
      </w:pPr>
      <w:rPr>
        <w:rFonts w:hint="default"/>
      </w:rPr>
    </w:lvl>
    <w:lvl w:ilvl="6" w:tentative="0">
      <w:start w:val="1"/>
      <w:numFmt w:val="decimal"/>
      <w:isLgl/>
      <w:lvlText w:val="%1.%2.%3.%4.%5.%6.%7"/>
      <w:lvlJc w:val="left"/>
      <w:pPr>
        <w:ind w:left="1440" w:hanging="1440"/>
      </w:pPr>
      <w:rPr>
        <w:rFonts w:hint="default"/>
      </w:rPr>
    </w:lvl>
    <w:lvl w:ilvl="7" w:tentative="0">
      <w:start w:val="1"/>
      <w:numFmt w:val="decimal"/>
      <w:isLgl/>
      <w:lvlText w:val="%1.%2.%3.%4.%5.%6.%7.%8"/>
      <w:lvlJc w:val="left"/>
      <w:pPr>
        <w:ind w:left="1800" w:hanging="1800"/>
      </w:pPr>
      <w:rPr>
        <w:rFonts w:hint="default"/>
      </w:rPr>
    </w:lvl>
    <w:lvl w:ilvl="8" w:tentative="0">
      <w:start w:val="1"/>
      <w:numFmt w:val="decimal"/>
      <w:isLgl/>
      <w:lvlText w:val="%1.%2.%3.%4.%5.%6.%7.%8.%9"/>
      <w:lvlJc w:val="left"/>
      <w:pPr>
        <w:ind w:left="1800" w:hanging="1800"/>
      </w:pPr>
      <w:rPr>
        <w:rFonts w:hint="default"/>
      </w:rPr>
    </w:lvl>
  </w:abstractNum>
  <w:abstractNum w:abstractNumId="16">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7">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8">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0">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1">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5529"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2">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4">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5">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6">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8">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0">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708"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1">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2">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3">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30"/>
  </w:num>
  <w:num w:numId="3">
    <w:abstractNumId w:val="6"/>
  </w:num>
  <w:num w:numId="4">
    <w:abstractNumId w:val="26"/>
  </w:num>
  <w:num w:numId="5">
    <w:abstractNumId w:val="21"/>
  </w:num>
  <w:num w:numId="6">
    <w:abstractNumId w:val="16"/>
  </w:num>
  <w:num w:numId="7">
    <w:abstractNumId w:val="9"/>
  </w:num>
  <w:num w:numId="8">
    <w:abstractNumId w:val="4"/>
  </w:num>
  <w:num w:numId="9">
    <w:abstractNumId w:val="10"/>
  </w:num>
  <w:num w:numId="10">
    <w:abstractNumId w:val="19"/>
  </w:num>
  <w:num w:numId="11">
    <w:abstractNumId w:val="28"/>
  </w:num>
  <w:num w:numId="12">
    <w:abstractNumId w:val="13"/>
  </w:num>
  <w:num w:numId="13">
    <w:abstractNumId w:val="14"/>
  </w:num>
  <w:num w:numId="14">
    <w:abstractNumId w:val="8"/>
  </w:num>
  <w:num w:numId="15">
    <w:abstractNumId w:val="22"/>
  </w:num>
  <w:num w:numId="16">
    <w:abstractNumId w:val="24"/>
  </w:num>
  <w:num w:numId="17">
    <w:abstractNumId w:val="20"/>
  </w:num>
  <w:num w:numId="18">
    <w:abstractNumId w:val="32"/>
  </w:num>
  <w:num w:numId="19">
    <w:abstractNumId w:val="18"/>
  </w:num>
  <w:num w:numId="20">
    <w:abstractNumId w:val="2"/>
  </w:num>
  <w:num w:numId="21">
    <w:abstractNumId w:val="12"/>
  </w:num>
  <w:num w:numId="22">
    <w:abstractNumId w:val="33"/>
  </w:num>
  <w:num w:numId="23">
    <w:abstractNumId w:val="23"/>
  </w:num>
  <w:num w:numId="24">
    <w:abstractNumId w:val="7"/>
  </w:num>
  <w:num w:numId="25">
    <w:abstractNumId w:val="29"/>
  </w:num>
  <w:num w:numId="26">
    <w:abstractNumId w:val="31"/>
  </w:num>
  <w:num w:numId="27">
    <w:abstractNumId w:val="3"/>
  </w:num>
  <w:num w:numId="28">
    <w:abstractNumId w:val="5"/>
  </w:num>
  <w:num w:numId="29">
    <w:abstractNumId w:val="17"/>
  </w:num>
  <w:num w:numId="30">
    <w:abstractNumId w:val="27"/>
  </w:num>
  <w:num w:numId="31">
    <w:abstractNumId w:val="25"/>
  </w:num>
  <w:num w:numId="32">
    <w:abstractNumId w:val="15"/>
  </w:num>
  <w:num w:numId="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num>
  <w:num w:numId="35">
    <w:abstractNumId w:val="1"/>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1" w:cryptProviderType="rsaAES" w:cryptAlgorithmClass="hash" w:cryptAlgorithmType="typeAny" w:cryptAlgorithmSid="14" w:cryptSpinCount="100000" w:hash="tYd+Hzu0lcrUySVHnCiVw7M7Xw2bCetIR6wIVsX8snMrUSqmK7zwrYPebsubbH1D5QX+JDBZhHkIJGaHpvF93Q==" w:salt="hVQSHQd5761vtazOHVDzrA=="/>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936"/>
    <w:rsid w:val="0000040A"/>
    <w:rsid w:val="00000A94"/>
    <w:rsid w:val="00001972"/>
    <w:rsid w:val="00001D9A"/>
    <w:rsid w:val="00005B78"/>
    <w:rsid w:val="00007B3A"/>
    <w:rsid w:val="000107E0"/>
    <w:rsid w:val="00011FDE"/>
    <w:rsid w:val="00012FFD"/>
    <w:rsid w:val="0001346A"/>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572F"/>
    <w:rsid w:val="000E6FD7"/>
    <w:rsid w:val="000E7144"/>
    <w:rsid w:val="000F06E1"/>
    <w:rsid w:val="000F0E3C"/>
    <w:rsid w:val="000F19D5"/>
    <w:rsid w:val="000F237E"/>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0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5C"/>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4EE"/>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75953"/>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0B6E"/>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0C9"/>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AB1"/>
    <w:rsid w:val="00484936"/>
    <w:rsid w:val="00485C89"/>
    <w:rsid w:val="00486BE3"/>
    <w:rsid w:val="004905E4"/>
    <w:rsid w:val="00490A89"/>
    <w:rsid w:val="00490AB4"/>
    <w:rsid w:val="00492F02"/>
    <w:rsid w:val="004939AE"/>
    <w:rsid w:val="00495758"/>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F21"/>
    <w:rsid w:val="005C7156"/>
    <w:rsid w:val="005D0C75"/>
    <w:rsid w:val="005D2671"/>
    <w:rsid w:val="005D4171"/>
    <w:rsid w:val="005D551D"/>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161AD"/>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574"/>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4E5E"/>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2D03"/>
    <w:rsid w:val="00C9319C"/>
    <w:rsid w:val="00C9435D"/>
    <w:rsid w:val="00C94788"/>
    <w:rsid w:val="00C94DF2"/>
    <w:rsid w:val="00C96741"/>
    <w:rsid w:val="00CA2D1B"/>
    <w:rsid w:val="00CA375D"/>
    <w:rsid w:val="00CA662A"/>
    <w:rsid w:val="00CA7AFD"/>
    <w:rsid w:val="00CA7C3C"/>
    <w:rsid w:val="00CB0189"/>
    <w:rsid w:val="00CB0BA2"/>
    <w:rsid w:val="00CB1A42"/>
    <w:rsid w:val="00CB1B0C"/>
    <w:rsid w:val="00CB2C0B"/>
    <w:rsid w:val="00CB517D"/>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547"/>
    <w:rsid w:val="00E56800"/>
    <w:rsid w:val="00E60C63"/>
    <w:rsid w:val="00E62FF9"/>
    <w:rsid w:val="00E635D6"/>
    <w:rsid w:val="00E639BC"/>
    <w:rsid w:val="00E664CC"/>
    <w:rsid w:val="00E70388"/>
    <w:rsid w:val="00E70F92"/>
    <w:rsid w:val="00E74313"/>
    <w:rsid w:val="00E7476A"/>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2E91"/>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40A1924"/>
    <w:rsid w:val="20B26C1F"/>
    <w:rsid w:val="27EF342E"/>
    <w:rsid w:val="28611F35"/>
    <w:rsid w:val="2B2045DC"/>
    <w:rsid w:val="3D2A0BB6"/>
    <w:rsid w:val="5AAD50BC"/>
    <w:rsid w:val="60434A0A"/>
    <w:rsid w:val="6FCC5BB7"/>
    <w:rsid w:val="720B597F"/>
    <w:rsid w:val="72E45E36"/>
    <w:rsid w:val="735934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Char"/>
    <w:link w:val="2"/>
    <w:qFormat/>
    <w:uiPriority w:val="0"/>
    <w:rPr>
      <w:b/>
      <w:bCs/>
      <w:kern w:val="44"/>
      <w:sz w:val="44"/>
      <w:szCs w:val="44"/>
    </w:rPr>
  </w:style>
  <w:style w:type="character" w:customStyle="1" w:styleId="35">
    <w:name w:val="标题 2 Char"/>
    <w:link w:val="3"/>
    <w:qFormat/>
    <w:uiPriority w:val="0"/>
    <w:rPr>
      <w:rFonts w:ascii="Arial" w:hAnsi="Arial" w:eastAsia="黑体"/>
      <w:b/>
      <w:bCs/>
      <w:kern w:val="2"/>
      <w:sz w:val="32"/>
      <w:szCs w:val="32"/>
    </w:rPr>
  </w:style>
  <w:style w:type="character" w:customStyle="1" w:styleId="36">
    <w:name w:val="标题 3 Char"/>
    <w:link w:val="4"/>
    <w:qFormat/>
    <w:uiPriority w:val="0"/>
    <w:rPr>
      <w:b/>
      <w:bCs/>
      <w:kern w:val="2"/>
      <w:sz w:val="32"/>
      <w:szCs w:val="32"/>
    </w:rPr>
  </w:style>
  <w:style w:type="character" w:customStyle="1" w:styleId="37">
    <w:name w:val="标题 4 Char"/>
    <w:link w:val="5"/>
    <w:qFormat/>
    <w:uiPriority w:val="0"/>
    <w:rPr>
      <w:rFonts w:ascii="Arial" w:hAnsi="Arial" w:eastAsia="黑体"/>
      <w:b/>
      <w:bCs/>
      <w:kern w:val="2"/>
      <w:sz w:val="28"/>
      <w:szCs w:val="28"/>
    </w:rPr>
  </w:style>
  <w:style w:type="character" w:customStyle="1" w:styleId="38">
    <w:name w:val="标题 5 Char"/>
    <w:link w:val="6"/>
    <w:qFormat/>
    <w:uiPriority w:val="0"/>
    <w:rPr>
      <w:b/>
      <w:bCs/>
      <w:kern w:val="2"/>
      <w:sz w:val="28"/>
      <w:szCs w:val="28"/>
    </w:rPr>
  </w:style>
  <w:style w:type="character" w:customStyle="1" w:styleId="39">
    <w:name w:val="标题 6 Char"/>
    <w:link w:val="7"/>
    <w:qFormat/>
    <w:uiPriority w:val="0"/>
    <w:rPr>
      <w:rFonts w:ascii="Arial" w:hAnsi="Arial" w:eastAsia="黑体"/>
      <w:b/>
      <w:bCs/>
      <w:kern w:val="2"/>
      <w:sz w:val="24"/>
      <w:szCs w:val="24"/>
    </w:rPr>
  </w:style>
  <w:style w:type="character" w:customStyle="1" w:styleId="40">
    <w:name w:val="标题 7 Char"/>
    <w:link w:val="8"/>
    <w:qFormat/>
    <w:uiPriority w:val="0"/>
    <w:rPr>
      <w:b/>
      <w:bCs/>
      <w:kern w:val="2"/>
      <w:sz w:val="24"/>
      <w:szCs w:val="24"/>
    </w:rPr>
  </w:style>
  <w:style w:type="character" w:customStyle="1" w:styleId="41">
    <w:name w:val="标题 8 Char"/>
    <w:link w:val="9"/>
    <w:qFormat/>
    <w:uiPriority w:val="0"/>
    <w:rPr>
      <w:rFonts w:ascii="Arial" w:hAnsi="Arial" w:eastAsia="黑体"/>
      <w:kern w:val="2"/>
      <w:sz w:val="24"/>
      <w:szCs w:val="24"/>
    </w:rPr>
  </w:style>
  <w:style w:type="character" w:customStyle="1" w:styleId="42">
    <w:name w:val="标题 9 Char"/>
    <w:link w:val="10"/>
    <w:qFormat/>
    <w:uiPriority w:val="0"/>
    <w:rPr>
      <w:rFonts w:ascii="Arial" w:hAnsi="Arial" w:eastAsia="黑体"/>
      <w:kern w:val="2"/>
      <w:sz w:val="21"/>
      <w:szCs w:val="21"/>
    </w:rPr>
  </w:style>
  <w:style w:type="character" w:customStyle="1" w:styleId="43">
    <w:name w:val="页眉 Char"/>
    <w:link w:val="18"/>
    <w:qFormat/>
    <w:uiPriority w:val="99"/>
    <w:rPr>
      <w:kern w:val="2"/>
      <w:sz w:val="18"/>
      <w:szCs w:val="18"/>
    </w:rPr>
  </w:style>
  <w:style w:type="character" w:customStyle="1" w:styleId="44">
    <w:name w:val="页脚 Char"/>
    <w:link w:val="17"/>
    <w:qFormat/>
    <w:uiPriority w:val="99"/>
    <w:rPr>
      <w:rFonts w:ascii="宋体"/>
      <w:kern w:val="2"/>
      <w:sz w:val="18"/>
      <w:szCs w:val="18"/>
    </w:rPr>
  </w:style>
  <w:style w:type="character" w:customStyle="1" w:styleId="45">
    <w:name w:val="批注框文本 Char"/>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Char"/>
    <w:link w:val="46"/>
    <w:qFormat/>
    <w:uiPriority w:val="29"/>
    <w:rPr>
      <w:i/>
      <w:iCs/>
      <w:color w:val="000000"/>
      <w:kern w:val="2"/>
      <w:sz w:val="21"/>
      <w:szCs w:val="21"/>
    </w:rPr>
  </w:style>
  <w:style w:type="character" w:customStyle="1" w:styleId="48">
    <w:name w:val="标题 Char"/>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Char"/>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Char"/>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basedOn w:val="1"/>
    <w:qFormat/>
    <w:uiPriority w:val="0"/>
    <w:pPr>
      <w:widowControl/>
      <w:tabs>
        <w:tab w:val="center" w:pos="4201"/>
        <w:tab w:val="right" w:leader="dot" w:pos="9298"/>
      </w:tabs>
      <w:autoSpaceDE w:val="0"/>
      <w:autoSpaceDN w:val="0"/>
      <w:adjustRightInd/>
      <w:spacing w:line="240" w:lineRule="auto"/>
      <w:ind w:firstLine="420" w:firstLineChars="200"/>
    </w:pPr>
    <w:rPr>
      <w:rFonts w:ascii="宋体" w:hAnsi="Times New Roman"/>
      <w:kern w:val="0"/>
    </w:rPr>
  </w:style>
  <w:style w:type="paragraph" w:customStyle="1" w:styleId="231">
    <w:name w:val="章标题"/>
    <w:basedOn w:val="1"/>
    <w:next w:val="230"/>
    <w:qFormat/>
    <w:uiPriority w:val="0"/>
    <w:pPr>
      <w:widowControl/>
      <w:adjustRightInd/>
      <w:spacing w:beforeLines="100" w:afterLines="100" w:line="240" w:lineRule="auto"/>
      <w:outlineLvl w:val="1"/>
    </w:pPr>
    <w:rPr>
      <w:rFonts w:ascii="黑体" w:hAnsi="Times New Roman" w:eastAsia="黑体"/>
      <w:kern w:val="0"/>
    </w:rPr>
  </w:style>
  <w:style w:type="paragraph" w:styleId="232">
    <w:name w:val="List Paragraph"/>
    <w:basedOn w:val="1"/>
    <w:unhideWhenUsed/>
    <w:qFormat/>
    <w:uiPriority w:val="99"/>
    <w:pPr>
      <w:ind w:firstLine="420" w:firstLineChars="200"/>
    </w:p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3" Type="http://schemas.openxmlformats.org/officeDocument/2006/relationships/glossaryDocument" Target="glossary/document.xml"/><Relationship Id="rId32" Type="http://schemas.openxmlformats.org/officeDocument/2006/relationships/fontTable" Target="fontTable.xml"/><Relationship Id="rId31" Type="http://schemas.microsoft.com/office/2006/relationships/keyMapCustomizations" Target="customizations.xml"/><Relationship Id="rId30" Type="http://schemas.openxmlformats.org/officeDocument/2006/relationships/customXml" Target="../customXml/item2.xml"/><Relationship Id="rId3" Type="http://schemas.openxmlformats.org/officeDocument/2006/relationships/footnotes" Target="footnotes.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2.png"/><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0.xml"/><Relationship Id="rId21" Type="http://schemas.openxmlformats.org/officeDocument/2006/relationships/header" Target="head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70F50CEC">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56F70069">
          <w:pPr>
            <w:pStyle w:val="6"/>
          </w:pPr>
          <w:r>
            <w:rPr>
              <w:rStyle w:val="4"/>
              <w:rFonts w:hint="eastAsia"/>
            </w:rPr>
            <w:t>选择一项。</w:t>
          </w:r>
        </w:p>
      </w:docPartBody>
    </w:docPart>
    <w:docPart>
      <w:docPartPr>
        <w:name w:val="82FAD4B12AFB42FD997383B282BB9FD2"/>
        <w:style w:val=""/>
        <w:category>
          <w:name w:val="常规"/>
          <w:gallery w:val="placeholder"/>
        </w:category>
        <w:types>
          <w:type w:val="bbPlcHdr"/>
        </w:types>
        <w:behaviors>
          <w:behavior w:val="content"/>
        </w:behaviors>
        <w:description w:val=""/>
        <w:guid w:val="{23D05D0A-0F65-4FE0-9D29-D2C0C0556922}"/>
      </w:docPartPr>
      <w:docPartBody>
        <w:p w14:paraId="3C46A5F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BD0"/>
    <w:rsid w:val="00125FC3"/>
    <w:rsid w:val="003A5430"/>
    <w:rsid w:val="004E2C37"/>
    <w:rsid w:val="00541666"/>
    <w:rsid w:val="00607BD0"/>
    <w:rsid w:val="00880EF2"/>
    <w:rsid w:val="00C1100C"/>
    <w:rsid w:val="00DD45EC"/>
    <w:rsid w:val="00E311DF"/>
    <w:rsid w:val="00E7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A58C968105124919A5150DA17DA1C75A"/>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02B1BE-6022-423C-BFEE-184DE292E315}">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10</Pages>
  <Words>3393</Words>
  <Characters>3706</Characters>
  <Lines>44</Lines>
  <Paragraphs>12</Paragraphs>
  <TotalTime>12</TotalTime>
  <ScaleCrop>false</ScaleCrop>
  <LinksUpToDate>false</LinksUpToDate>
  <CharactersWithSpaces>3818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2026-04-27T03:47:00Z</dcterms:created>
  <dc:creator>起草人</dc:creator>
  <dc:description>&lt;config cover="true" show_menu="true" version="1.0.0" doctype="SDKXY"&gt;_x000d_
&lt;/config&gt;</dc:description>
  <cp:lastModifiedBy>梁春年</cp:lastModifiedBy>
  <cp:lastPrinted>2021-02-02T08:22:00Z</cp:lastPrinted>
  <dcterms:modified xsi:type="dcterms:W3CDTF">2026-05-11T00:38:59Z</dcterms:modified>
  <dc:title>团体标准</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91581706E7E04C8FA35F99FF84FAA395_13</vt:lpwstr>
  </property>
  <property fmtid="{D5CDD505-2E9C-101B-9397-08002B2CF9AE}" pid="17" name="KSOTemplateDocerSaveRecord">
    <vt:lpwstr>eyJoZGlkIjoiNzFjZmJhYmY3MDU1NTQwN2I1ZjdiNDg1Mjc0OGE5YTUiLCJ1c2VySWQiOiIzNDQyNDQ2NzUifQ==</vt:lpwstr>
  </property>
</Properties>
</file>