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5081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FCCE23E">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197D3140">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67.120.10</w:t>
            </w:r>
            <w:r>
              <w:rPr>
                <w:rFonts w:ascii="黑体" w:hAnsi="黑体" w:eastAsia="黑体"/>
                <w:sz w:val="21"/>
                <w:szCs w:val="21"/>
              </w:rPr>
              <w:fldChar w:fldCharType="end"/>
            </w:r>
            <w:bookmarkEnd w:id="0"/>
          </w:p>
        </w:tc>
      </w:tr>
      <w:tr w14:paraId="019B6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519566E2">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2661D8E6">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58EB7A4">
                  <w:pPr>
                    <w:pStyle w:val="49"/>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GSQA</w:t>
                  </w:r>
                  <w:r>
                    <w:fldChar w:fldCharType="end"/>
                  </w:r>
                  <w:bookmarkEnd w:id="1"/>
                </w:p>
              </w:tc>
            </w:tr>
          </w:tbl>
          <w:p w14:paraId="76A21558">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X 22</w:t>
            </w:r>
            <w:r>
              <w:rPr>
                <w:rFonts w:ascii="黑体" w:hAnsi="黑体" w:eastAsia="黑体"/>
                <w:sz w:val="21"/>
                <w:szCs w:val="21"/>
              </w:rPr>
              <w:fldChar w:fldCharType="end"/>
            </w:r>
            <w:bookmarkEnd w:id="2"/>
          </w:p>
        </w:tc>
      </w:tr>
    </w:tbl>
    <w:p w14:paraId="1DA5DA67">
      <w:pPr>
        <w:pStyle w:val="50"/>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ascii="黑体" w:eastAsia="黑体"/>
          <w:b w:val="0"/>
          <w:w w:val="100"/>
          <w:sz w:val="48"/>
        </w:rPr>
        <w:t xml:space="preserve">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502D5110">
      <w:pPr>
        <w:pStyle w:val="195"/>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XXX</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524075ED">
      <w:pPr>
        <w:pStyle w:val="196"/>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07E91DCF">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2414723">
      <w:pPr>
        <w:pStyle w:val="50"/>
        <w:framePr w:w="9639" w:h="6976" w:hRule="exact" w:hSpace="0" w:vSpace="0" w:wrap="around" w:hAnchor="page" w:y="6408"/>
        <w:jc w:val="center"/>
        <w:rPr>
          <w:rFonts w:ascii="黑体" w:hAnsi="黑体" w:eastAsia="黑体"/>
          <w:b w:val="0"/>
          <w:bCs w:val="0"/>
          <w:w w:val="100"/>
        </w:rPr>
      </w:pPr>
    </w:p>
    <w:p w14:paraId="3131A54D">
      <w:pPr>
        <w:pStyle w:val="197"/>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t>张家川红花牛</w:t>
      </w:r>
      <w:r>
        <w:rPr>
          <w:rFonts w:hint="eastAsia"/>
          <w:lang w:eastAsia="zh-CN"/>
        </w:rPr>
        <w:t>牛</w:t>
      </w:r>
      <w:r>
        <w:rPr>
          <w:rFonts w:hint="eastAsia"/>
        </w:rPr>
        <w:t>肉质量</w:t>
      </w:r>
      <w:r>
        <w:t>分级</w:t>
      </w:r>
      <w:r>
        <w:rPr>
          <w:rFonts w:hint="eastAsia"/>
        </w:rPr>
        <w:t>规程</w:t>
      </w:r>
      <w:r>
        <w:fldChar w:fldCharType="end"/>
      </w:r>
      <w:bookmarkEnd w:id="9"/>
    </w:p>
    <w:p w14:paraId="6D5A17D6">
      <w:pPr>
        <w:framePr w:w="9639" w:h="6974" w:hRule="exact" w:wrap="around" w:vAnchor="page" w:hAnchor="page" w:x="1419" w:y="6408" w:anchorLock="1"/>
        <w:ind w:left="-1418"/>
      </w:pPr>
    </w:p>
    <w:p w14:paraId="45C9F188">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Code practice for q</w:t>
      </w:r>
      <w:r>
        <w:rPr>
          <w:rFonts w:eastAsia="黑体"/>
          <w:szCs w:val="28"/>
        </w:rPr>
        <w:t xml:space="preserve">uality grading </w:t>
      </w:r>
      <w:r>
        <w:rPr>
          <w:rFonts w:hint="eastAsia" w:eastAsia="黑体"/>
          <w:szCs w:val="28"/>
        </w:rPr>
        <w:t>of</w:t>
      </w:r>
      <w:r>
        <w:rPr>
          <w:rFonts w:eastAsia="黑体"/>
          <w:szCs w:val="28"/>
        </w:rPr>
        <w:t xml:space="preserve"> zhangjiachuan honghu</w:t>
      </w:r>
      <w:r>
        <w:rPr>
          <w:rFonts w:hint="eastAsia" w:eastAsia="黑体"/>
          <w:szCs w:val="28"/>
        </w:rPr>
        <w:t xml:space="preserve">a </w:t>
      </w:r>
      <w:r>
        <w:rPr>
          <w:rFonts w:eastAsia="黑体"/>
          <w:szCs w:val="28"/>
        </w:rPr>
        <w:t xml:space="preserve">cattle </w:t>
      </w:r>
      <w:r>
        <w:rPr>
          <w:rFonts w:hint="eastAsia" w:eastAsia="黑体"/>
          <w:szCs w:val="28"/>
        </w:rPr>
        <w:t>meat</w:t>
      </w:r>
      <w:r>
        <w:rPr>
          <w:rFonts w:eastAsia="黑体"/>
          <w:szCs w:val="28"/>
        </w:rPr>
        <w:fldChar w:fldCharType="end"/>
      </w:r>
      <w:bookmarkEnd w:id="10"/>
    </w:p>
    <w:p w14:paraId="0B56FA63">
      <w:pPr>
        <w:framePr w:w="9639" w:h="6974" w:hRule="exact" w:wrap="around" w:vAnchor="page" w:hAnchor="page" w:x="1419" w:y="6408" w:anchorLock="1"/>
        <w:spacing w:line="760" w:lineRule="exact"/>
        <w:ind w:left="-1418"/>
      </w:pPr>
    </w:p>
    <w:p w14:paraId="4DB04549">
      <w:pPr>
        <w:pStyle w:val="125"/>
        <w:framePr w:w="9639" w:h="6974" w:hRule="exact" w:wrap="around" w:vAnchor="page" w:hAnchor="page" w:x="1419" w:y="6408" w:anchorLock="1"/>
        <w:textAlignment w:val="bottom"/>
        <w:rPr>
          <w:rFonts w:eastAsia="黑体"/>
          <w:szCs w:val="28"/>
        </w:rPr>
      </w:pPr>
    </w:p>
    <w:p w14:paraId="09F8D923">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5A7BDEEA">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7136FB4E">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61AA4E67">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35485C82">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38CC17A7">
      <w:pPr>
        <w:pStyle w:val="151"/>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甘肃省质量协会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657B786A">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34936064">
      <w:pPr>
        <w:pStyle w:val="91"/>
        <w:spacing w:after="360"/>
      </w:pPr>
      <w:bookmarkStart w:id="21" w:name="BookMark1"/>
      <w:bookmarkStart w:id="22" w:name="_Toc150014764"/>
      <w:r>
        <w:rPr>
          <w:rFonts w:hint="eastAsia"/>
          <w:spacing w:val="320"/>
        </w:rPr>
        <w:t>目</w:t>
      </w:r>
      <w:r>
        <w:rPr>
          <w:rFonts w:hint="eastAsia"/>
        </w:rPr>
        <w:t>次</w:t>
      </w:r>
    </w:p>
    <w:p w14:paraId="56EFA2B3">
      <w:pPr>
        <w:pStyle w:val="19"/>
        <w:tabs>
          <w:tab w:val="right" w:leader="dot" w:pos="9354"/>
        </w:tabs>
      </w:pPr>
      <w:r>
        <w:fldChar w:fldCharType="begin"/>
      </w:r>
      <w:r>
        <w:instrText xml:space="preserve"> TOC \o "1-1" \h \t "标准文件_一级条标题,2,标准文件_附录一级条标题,2," </w:instrText>
      </w:r>
      <w:r>
        <w:fldChar w:fldCharType="separate"/>
      </w:r>
      <w:r>
        <w:fldChar w:fldCharType="begin"/>
      </w:r>
      <w:r>
        <w:instrText xml:space="preserve"> HYPERLINK \l _Toc8667 </w:instrText>
      </w:r>
      <w:r>
        <w:fldChar w:fldCharType="separate"/>
      </w:r>
      <w:r>
        <w:rPr>
          <w:spacing w:val="320"/>
        </w:rPr>
        <w:t>前</w:t>
      </w:r>
      <w:r>
        <w:t>言</w:t>
      </w:r>
      <w:r>
        <w:tab/>
      </w:r>
      <w:r>
        <w:fldChar w:fldCharType="begin"/>
      </w:r>
      <w:r>
        <w:instrText xml:space="preserve"> PAGEREF _Toc8667 \h </w:instrText>
      </w:r>
      <w:r>
        <w:fldChar w:fldCharType="separate"/>
      </w:r>
      <w:r>
        <w:t>III</w:t>
      </w:r>
      <w:r>
        <w:fldChar w:fldCharType="end"/>
      </w:r>
      <w:r>
        <w:fldChar w:fldCharType="end"/>
      </w:r>
    </w:p>
    <w:p w14:paraId="20233A60">
      <w:pPr>
        <w:pStyle w:val="19"/>
        <w:tabs>
          <w:tab w:val="right" w:leader="dot" w:pos="9354"/>
        </w:tabs>
      </w:pPr>
      <w:r>
        <w:fldChar w:fldCharType="begin"/>
      </w:r>
      <w:r>
        <w:instrText xml:space="preserve"> HYPERLINK \l _Toc9038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_Toc9038 \h </w:instrText>
      </w:r>
      <w:r>
        <w:fldChar w:fldCharType="separate"/>
      </w:r>
      <w:r>
        <w:t>4</w:t>
      </w:r>
      <w:r>
        <w:fldChar w:fldCharType="end"/>
      </w:r>
      <w:r>
        <w:fldChar w:fldCharType="end"/>
      </w:r>
    </w:p>
    <w:p w14:paraId="1B6DEE04">
      <w:pPr>
        <w:pStyle w:val="19"/>
        <w:tabs>
          <w:tab w:val="right" w:leader="dot" w:pos="9354"/>
        </w:tabs>
      </w:pPr>
      <w:r>
        <w:fldChar w:fldCharType="begin"/>
      </w:r>
      <w:r>
        <w:instrText xml:space="preserve"> HYPERLINK \l _Toc4670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_Toc4670 \h </w:instrText>
      </w:r>
      <w:r>
        <w:fldChar w:fldCharType="separate"/>
      </w:r>
      <w:r>
        <w:t>4</w:t>
      </w:r>
      <w:r>
        <w:fldChar w:fldCharType="end"/>
      </w:r>
      <w:r>
        <w:fldChar w:fldCharType="end"/>
      </w:r>
    </w:p>
    <w:p w14:paraId="524438F8">
      <w:pPr>
        <w:pStyle w:val="19"/>
        <w:tabs>
          <w:tab w:val="right" w:leader="dot" w:pos="9354"/>
        </w:tabs>
      </w:pPr>
      <w:r>
        <w:fldChar w:fldCharType="begin"/>
      </w:r>
      <w:r>
        <w:instrText xml:space="preserve"> HYPERLINK \l _Toc30405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_Toc30405 \h </w:instrText>
      </w:r>
      <w:r>
        <w:fldChar w:fldCharType="separate"/>
      </w:r>
      <w:r>
        <w:t>4</w:t>
      </w:r>
      <w:r>
        <w:fldChar w:fldCharType="end"/>
      </w:r>
      <w:r>
        <w:fldChar w:fldCharType="end"/>
      </w:r>
    </w:p>
    <w:p w14:paraId="34EB8AE0">
      <w:pPr>
        <w:pStyle w:val="24"/>
        <w:tabs>
          <w:tab w:val="right" w:leader="dot" w:pos="9354"/>
          <w:tab w:val="clear" w:pos="9344"/>
        </w:tabs>
      </w:pPr>
      <w:r>
        <w:fldChar w:fldCharType="begin"/>
      </w:r>
      <w:r>
        <w:instrText xml:space="preserve"> HYPERLINK \l _Toc21409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3.1 </w:t>
      </w:r>
      <w:r>
        <w:fldChar w:fldCharType="end"/>
      </w:r>
      <w:r>
        <w:fldChar w:fldCharType="begin"/>
      </w:r>
      <w:r>
        <w:instrText xml:space="preserve"> HYPERLINK \l _Toc617 </w:instrText>
      </w:r>
      <w:r>
        <w:fldChar w:fldCharType="separate"/>
      </w:r>
      <w:r>
        <w:t>胴体</w:t>
      </w:r>
      <w:r>
        <w:rPr>
          <w:rFonts w:hint="eastAsia"/>
        </w:rPr>
        <w:t xml:space="preserve"> </w:t>
      </w:r>
      <w:r>
        <w:tab/>
      </w:r>
      <w:r>
        <w:fldChar w:fldCharType="begin"/>
      </w:r>
      <w:r>
        <w:instrText xml:space="preserve"> PAGEREF _Toc617 \h </w:instrText>
      </w:r>
      <w:r>
        <w:fldChar w:fldCharType="separate"/>
      </w:r>
      <w:r>
        <w:t>4</w:t>
      </w:r>
      <w:r>
        <w:fldChar w:fldCharType="end"/>
      </w:r>
      <w:r>
        <w:fldChar w:fldCharType="end"/>
      </w:r>
    </w:p>
    <w:p w14:paraId="571360A0">
      <w:pPr>
        <w:pStyle w:val="24"/>
        <w:tabs>
          <w:tab w:val="right" w:leader="dot" w:pos="9354"/>
          <w:tab w:val="clear" w:pos="9344"/>
        </w:tabs>
      </w:pPr>
      <w:r>
        <w:fldChar w:fldCharType="begin"/>
      </w:r>
      <w:r>
        <w:instrText xml:space="preserve"> HYPERLINK \l _Toc23547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3.2 </w:t>
      </w:r>
      <w:r>
        <w:fldChar w:fldCharType="end"/>
      </w:r>
      <w:r>
        <w:fldChar w:fldCharType="begin"/>
      </w:r>
      <w:r>
        <w:instrText xml:space="preserve"> HYPERLINK \l _Toc17267 </w:instrText>
      </w:r>
      <w:r>
        <w:fldChar w:fldCharType="separate"/>
      </w:r>
      <w:r>
        <w:rPr>
          <w:rFonts w:hint="eastAsia"/>
        </w:rPr>
        <w:t>胴体外观评价</w:t>
      </w:r>
      <w:r>
        <w:tab/>
      </w:r>
      <w:r>
        <w:fldChar w:fldCharType="begin"/>
      </w:r>
      <w:r>
        <w:instrText xml:space="preserve"> PAGEREF _Toc17267 \h </w:instrText>
      </w:r>
      <w:r>
        <w:fldChar w:fldCharType="separate"/>
      </w:r>
      <w:r>
        <w:t>4</w:t>
      </w:r>
      <w:r>
        <w:fldChar w:fldCharType="end"/>
      </w:r>
      <w:r>
        <w:fldChar w:fldCharType="end"/>
      </w:r>
    </w:p>
    <w:p w14:paraId="763E34B1">
      <w:pPr>
        <w:pStyle w:val="24"/>
        <w:tabs>
          <w:tab w:val="right" w:leader="dot" w:pos="9354"/>
          <w:tab w:val="clear" w:pos="9344"/>
        </w:tabs>
      </w:pPr>
      <w:r>
        <w:fldChar w:fldCharType="begin"/>
      </w:r>
      <w:r>
        <w:instrText xml:space="preserve"> HYPERLINK \l _Toc31060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3.3 </w:t>
      </w:r>
      <w:r>
        <w:fldChar w:fldCharType="end"/>
      </w:r>
      <w:r>
        <w:fldChar w:fldCharType="begin"/>
      </w:r>
      <w:r>
        <w:instrText xml:space="preserve"> HYPERLINK \l _Toc28711 </w:instrText>
      </w:r>
      <w:r>
        <w:fldChar w:fldCharType="separate"/>
      </w:r>
      <w:r>
        <w:t>分割牛肉</w:t>
      </w:r>
      <w:r>
        <w:tab/>
      </w:r>
      <w:r>
        <w:fldChar w:fldCharType="begin"/>
      </w:r>
      <w:r>
        <w:instrText xml:space="preserve"> PAGEREF _Toc28711 \h </w:instrText>
      </w:r>
      <w:r>
        <w:fldChar w:fldCharType="separate"/>
      </w:r>
      <w:r>
        <w:t>4</w:t>
      </w:r>
      <w:r>
        <w:fldChar w:fldCharType="end"/>
      </w:r>
      <w:r>
        <w:fldChar w:fldCharType="end"/>
      </w:r>
    </w:p>
    <w:p w14:paraId="63CAEC7B">
      <w:pPr>
        <w:pStyle w:val="24"/>
        <w:tabs>
          <w:tab w:val="right" w:leader="dot" w:pos="9354"/>
          <w:tab w:val="clear" w:pos="9344"/>
        </w:tabs>
      </w:pPr>
      <w:r>
        <w:fldChar w:fldCharType="begin"/>
      </w:r>
      <w:r>
        <w:instrText xml:space="preserve"> HYPERLINK \l _Toc20963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3.4 </w:t>
      </w:r>
      <w:r>
        <w:fldChar w:fldCharType="end"/>
      </w:r>
      <w:r>
        <w:fldChar w:fldCharType="begin"/>
      </w:r>
      <w:r>
        <w:instrText xml:space="preserve"> HYPERLINK \l _Toc5038 </w:instrText>
      </w:r>
      <w:r>
        <w:fldChar w:fldCharType="separate"/>
      </w:r>
      <w:r>
        <w:t>大理石花纹</w:t>
      </w:r>
      <w:r>
        <w:tab/>
      </w:r>
      <w:r>
        <w:fldChar w:fldCharType="begin"/>
      </w:r>
      <w:r>
        <w:instrText xml:space="preserve"> PAGEREF _Toc5038 \h </w:instrText>
      </w:r>
      <w:r>
        <w:fldChar w:fldCharType="separate"/>
      </w:r>
      <w:r>
        <w:t>4</w:t>
      </w:r>
      <w:r>
        <w:fldChar w:fldCharType="end"/>
      </w:r>
      <w:r>
        <w:fldChar w:fldCharType="end"/>
      </w:r>
    </w:p>
    <w:p w14:paraId="0CCC15B1">
      <w:pPr>
        <w:pStyle w:val="19"/>
        <w:tabs>
          <w:tab w:val="right" w:leader="dot" w:pos="9354"/>
        </w:tabs>
      </w:pPr>
      <w:r>
        <w:fldChar w:fldCharType="begin"/>
      </w:r>
      <w:r>
        <w:instrText xml:space="preserve"> HYPERLINK \l _Toc5670 </w:instrText>
      </w:r>
      <w:r>
        <w:fldChar w:fldCharType="separate"/>
      </w:r>
      <w:r>
        <w:rPr>
          <w:rFonts w:hint="eastAsia" w:ascii="黑体" w:eastAsia="黑体"/>
          <w:i w:val="0"/>
          <w:szCs w:val="21"/>
          <w:lang w:val="en-US" w:eastAsia="zh-CN"/>
        </w:rPr>
        <w:t xml:space="preserve">4 </w:t>
      </w:r>
      <w:r>
        <w:rPr>
          <w:rFonts w:hint="eastAsia"/>
          <w:szCs w:val="21"/>
          <w:lang w:val="en-US" w:eastAsia="zh-CN"/>
        </w:rPr>
        <w:t>分级要求</w:t>
      </w:r>
      <w:r>
        <w:tab/>
      </w:r>
      <w:r>
        <w:fldChar w:fldCharType="begin"/>
      </w:r>
      <w:r>
        <w:instrText xml:space="preserve"> PAGEREF _Toc5670 \h </w:instrText>
      </w:r>
      <w:r>
        <w:fldChar w:fldCharType="separate"/>
      </w:r>
      <w:r>
        <w:t>4</w:t>
      </w:r>
      <w:r>
        <w:fldChar w:fldCharType="end"/>
      </w:r>
      <w:r>
        <w:fldChar w:fldCharType="end"/>
      </w:r>
    </w:p>
    <w:p w14:paraId="38E2E013">
      <w:pPr>
        <w:pStyle w:val="24"/>
        <w:tabs>
          <w:tab w:val="right" w:leader="dot" w:pos="9354"/>
          <w:tab w:val="clear" w:pos="9344"/>
        </w:tabs>
      </w:pPr>
      <w:r>
        <w:fldChar w:fldCharType="begin"/>
      </w:r>
      <w:r>
        <w:instrText xml:space="preserve"> HYPERLINK \l _Toc32278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4.1 </w:t>
      </w:r>
      <w:r>
        <w:rPr>
          <w:rFonts w:hint="eastAsia" w:hAnsi="黑体"/>
          <w:szCs w:val="21"/>
          <w:lang w:val="en-US" w:eastAsia="zh-CN"/>
        </w:rPr>
        <w:t>原料要求</w:t>
      </w:r>
      <w:r>
        <w:tab/>
      </w:r>
      <w:r>
        <w:fldChar w:fldCharType="begin"/>
      </w:r>
      <w:r>
        <w:instrText xml:space="preserve"> PAGEREF _Toc32278 \h </w:instrText>
      </w:r>
      <w:r>
        <w:fldChar w:fldCharType="separate"/>
      </w:r>
      <w:r>
        <w:t>4</w:t>
      </w:r>
      <w:r>
        <w:fldChar w:fldCharType="end"/>
      </w:r>
      <w:r>
        <w:fldChar w:fldCharType="end"/>
      </w:r>
    </w:p>
    <w:p w14:paraId="3AC5D8C8">
      <w:pPr>
        <w:pStyle w:val="24"/>
        <w:tabs>
          <w:tab w:val="right" w:leader="dot" w:pos="9354"/>
          <w:tab w:val="clear" w:pos="9344"/>
        </w:tabs>
      </w:pPr>
      <w:r>
        <w:fldChar w:fldCharType="begin"/>
      </w:r>
      <w:r>
        <w:instrText xml:space="preserve"> HYPERLINK \l _Toc21479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4.2 </w:t>
      </w:r>
      <w:r>
        <w:rPr>
          <w:rFonts w:hint="eastAsia" w:hAnsi="黑体"/>
          <w:szCs w:val="21"/>
          <w:lang w:val="en-US" w:eastAsia="zh-CN"/>
        </w:rPr>
        <w:t>屠宰要求</w:t>
      </w:r>
      <w:r>
        <w:tab/>
      </w:r>
      <w:r>
        <w:fldChar w:fldCharType="begin"/>
      </w:r>
      <w:r>
        <w:instrText xml:space="preserve"> PAGEREF _Toc21479 \h </w:instrText>
      </w:r>
      <w:r>
        <w:fldChar w:fldCharType="separate"/>
      </w:r>
      <w:r>
        <w:t>5</w:t>
      </w:r>
      <w:r>
        <w:fldChar w:fldCharType="end"/>
      </w:r>
      <w:r>
        <w:fldChar w:fldCharType="end"/>
      </w:r>
    </w:p>
    <w:p w14:paraId="18403B5C">
      <w:pPr>
        <w:pStyle w:val="24"/>
        <w:tabs>
          <w:tab w:val="right" w:leader="dot" w:pos="9354"/>
          <w:tab w:val="clear" w:pos="9344"/>
        </w:tabs>
      </w:pPr>
      <w:r>
        <w:fldChar w:fldCharType="begin"/>
      </w:r>
      <w:r>
        <w:instrText xml:space="preserve"> HYPERLINK \l _Toc20678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4.3 </w:t>
      </w:r>
      <w:r>
        <w:rPr>
          <w:rFonts w:hint="eastAsia" w:hAnsi="黑体"/>
          <w:szCs w:val="21"/>
          <w:lang w:val="en-US" w:eastAsia="zh-CN"/>
        </w:rPr>
        <w:t>卫生要求</w:t>
      </w:r>
      <w:r>
        <w:tab/>
      </w:r>
      <w:r>
        <w:fldChar w:fldCharType="begin"/>
      </w:r>
      <w:r>
        <w:instrText xml:space="preserve"> PAGEREF _Toc20678 \h </w:instrText>
      </w:r>
      <w:r>
        <w:fldChar w:fldCharType="separate"/>
      </w:r>
      <w:r>
        <w:t>5</w:t>
      </w:r>
      <w:r>
        <w:fldChar w:fldCharType="end"/>
      </w:r>
      <w:r>
        <w:fldChar w:fldCharType="end"/>
      </w:r>
    </w:p>
    <w:p w14:paraId="3E2891EA">
      <w:pPr>
        <w:pStyle w:val="24"/>
        <w:tabs>
          <w:tab w:val="right" w:leader="dot" w:pos="9354"/>
          <w:tab w:val="clear" w:pos="9344"/>
        </w:tabs>
      </w:pPr>
      <w:r>
        <w:fldChar w:fldCharType="begin"/>
      </w:r>
      <w:r>
        <w:instrText xml:space="preserve"> HYPERLINK \l _Toc10665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4.4 </w:t>
      </w:r>
      <w:r>
        <w:rPr>
          <w:rFonts w:hint="eastAsia" w:hAnsi="黑体"/>
          <w:szCs w:val="21"/>
          <w:lang w:val="en-US" w:eastAsia="zh-CN"/>
        </w:rPr>
        <w:t>冷却、贮藏或冻结要求</w:t>
      </w:r>
      <w:r>
        <w:tab/>
      </w:r>
      <w:r>
        <w:fldChar w:fldCharType="begin"/>
      </w:r>
      <w:r>
        <w:instrText xml:space="preserve"> PAGEREF _Toc10665 \h </w:instrText>
      </w:r>
      <w:r>
        <w:fldChar w:fldCharType="separate"/>
      </w:r>
      <w:r>
        <w:t>5</w:t>
      </w:r>
      <w:r>
        <w:fldChar w:fldCharType="end"/>
      </w:r>
      <w:r>
        <w:fldChar w:fldCharType="end"/>
      </w:r>
    </w:p>
    <w:p w14:paraId="23446C4A">
      <w:pPr>
        <w:pStyle w:val="24"/>
        <w:tabs>
          <w:tab w:val="right" w:leader="dot" w:pos="9354"/>
          <w:tab w:val="clear" w:pos="9344"/>
        </w:tabs>
      </w:pPr>
      <w:r>
        <w:fldChar w:fldCharType="begin"/>
      </w:r>
      <w:r>
        <w:instrText xml:space="preserve"> HYPERLINK \l _Toc4399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lang w:val="en-US"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4.5 </w:t>
      </w:r>
      <w:r>
        <w:rPr>
          <w:rFonts w:hint="eastAsia" w:hAnsi="黑体"/>
          <w:szCs w:val="21"/>
          <w:lang w:val="en-US" w:eastAsia="zh-CN"/>
        </w:rPr>
        <w:t>胴体分割要求</w:t>
      </w:r>
      <w:r>
        <w:tab/>
      </w:r>
      <w:r>
        <w:fldChar w:fldCharType="begin"/>
      </w:r>
      <w:r>
        <w:instrText xml:space="preserve"> PAGEREF _Toc4399 \h </w:instrText>
      </w:r>
      <w:r>
        <w:fldChar w:fldCharType="separate"/>
      </w:r>
      <w:r>
        <w:t>5</w:t>
      </w:r>
      <w:r>
        <w:fldChar w:fldCharType="end"/>
      </w:r>
      <w:r>
        <w:fldChar w:fldCharType="end"/>
      </w:r>
    </w:p>
    <w:p w14:paraId="493DD0A5">
      <w:pPr>
        <w:pStyle w:val="19"/>
        <w:tabs>
          <w:tab w:val="right" w:leader="dot" w:pos="9354"/>
        </w:tabs>
      </w:pPr>
      <w:r>
        <w:fldChar w:fldCharType="begin"/>
      </w:r>
      <w:r>
        <w:instrText xml:space="preserve"> HYPERLINK \l _Toc8704 </w:instrText>
      </w:r>
      <w:r>
        <w:fldChar w:fldCharType="separate"/>
      </w:r>
      <w:r>
        <w:rPr>
          <w:rFonts w:hint="eastAsia" w:ascii="黑体" w:eastAsia="黑体"/>
          <w:i w:val="0"/>
          <w:szCs w:val="21"/>
        </w:rPr>
        <w:t xml:space="preserve">5 </w:t>
      </w:r>
      <w:r>
        <w:rPr>
          <w:rFonts w:hint="eastAsia"/>
          <w:szCs w:val="21"/>
        </w:rPr>
        <w:t>分级前的准备</w:t>
      </w:r>
      <w:r>
        <w:tab/>
      </w:r>
      <w:r>
        <w:fldChar w:fldCharType="begin"/>
      </w:r>
      <w:r>
        <w:instrText xml:space="preserve"> PAGEREF _Toc8704 \h </w:instrText>
      </w:r>
      <w:r>
        <w:fldChar w:fldCharType="separate"/>
      </w:r>
      <w:r>
        <w:t>5</w:t>
      </w:r>
      <w:r>
        <w:fldChar w:fldCharType="end"/>
      </w:r>
      <w:r>
        <w:fldChar w:fldCharType="end"/>
      </w:r>
    </w:p>
    <w:p w14:paraId="691078BB">
      <w:pPr>
        <w:pStyle w:val="24"/>
        <w:tabs>
          <w:tab w:val="right" w:leader="dot" w:pos="9354"/>
          <w:tab w:val="clear" w:pos="9344"/>
        </w:tabs>
      </w:pPr>
      <w:r>
        <w:fldChar w:fldCharType="begin"/>
      </w:r>
      <w:r>
        <w:instrText xml:space="preserve"> HYPERLINK \l _Toc32656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5.1 </w:t>
      </w:r>
      <w:r>
        <w:rPr>
          <w:rFonts w:hAnsi="黑体"/>
          <w:szCs w:val="21"/>
        </w:rPr>
        <w:t>人员</w:t>
      </w:r>
      <w:r>
        <w:tab/>
      </w:r>
      <w:r>
        <w:fldChar w:fldCharType="begin"/>
      </w:r>
      <w:r>
        <w:instrText xml:space="preserve"> PAGEREF _Toc32656 \h </w:instrText>
      </w:r>
      <w:r>
        <w:fldChar w:fldCharType="separate"/>
      </w:r>
      <w:r>
        <w:t>5</w:t>
      </w:r>
      <w:r>
        <w:fldChar w:fldCharType="end"/>
      </w:r>
      <w:r>
        <w:fldChar w:fldCharType="end"/>
      </w:r>
    </w:p>
    <w:p w14:paraId="7543B0EA">
      <w:pPr>
        <w:pStyle w:val="24"/>
        <w:tabs>
          <w:tab w:val="right" w:leader="dot" w:pos="9354"/>
          <w:tab w:val="clear" w:pos="9344"/>
        </w:tabs>
      </w:pPr>
      <w:r>
        <w:fldChar w:fldCharType="begin"/>
      </w:r>
      <w:r>
        <w:instrText xml:space="preserve"> HYPERLINK \l _Toc17475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5.2 </w:t>
      </w:r>
      <w:r>
        <w:rPr>
          <w:rFonts w:hAnsi="黑体"/>
          <w:szCs w:val="21"/>
        </w:rPr>
        <w:t>分级环境</w:t>
      </w:r>
      <w:r>
        <w:tab/>
      </w:r>
      <w:r>
        <w:fldChar w:fldCharType="begin"/>
      </w:r>
      <w:r>
        <w:instrText xml:space="preserve"> PAGEREF _Toc17475 \h </w:instrText>
      </w:r>
      <w:r>
        <w:fldChar w:fldCharType="separate"/>
      </w:r>
      <w:r>
        <w:t>5</w:t>
      </w:r>
      <w:r>
        <w:fldChar w:fldCharType="end"/>
      </w:r>
      <w:r>
        <w:fldChar w:fldCharType="end"/>
      </w:r>
    </w:p>
    <w:p w14:paraId="5F17020B">
      <w:pPr>
        <w:pStyle w:val="24"/>
        <w:tabs>
          <w:tab w:val="right" w:leader="dot" w:pos="9354"/>
          <w:tab w:val="clear" w:pos="9344"/>
        </w:tabs>
      </w:pPr>
      <w:r>
        <w:fldChar w:fldCharType="begin"/>
      </w:r>
      <w:r>
        <w:instrText xml:space="preserve"> HYPERLINK \l _Toc30132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5.3 </w:t>
      </w:r>
      <w:r>
        <w:rPr>
          <w:rFonts w:hAnsi="黑体"/>
          <w:szCs w:val="21"/>
        </w:rPr>
        <w:t>分级</w:t>
      </w:r>
      <w:r>
        <w:rPr>
          <w:rFonts w:hint="eastAsia" w:hAnsi="黑体"/>
          <w:szCs w:val="21"/>
        </w:rPr>
        <w:t>设备和称量</w:t>
      </w:r>
      <w:r>
        <w:rPr>
          <w:rFonts w:hAnsi="黑体"/>
          <w:szCs w:val="21"/>
        </w:rPr>
        <w:t>器具</w:t>
      </w:r>
      <w:r>
        <w:tab/>
      </w:r>
      <w:r>
        <w:fldChar w:fldCharType="begin"/>
      </w:r>
      <w:r>
        <w:instrText xml:space="preserve"> PAGEREF _Toc30132 \h </w:instrText>
      </w:r>
      <w:r>
        <w:fldChar w:fldCharType="separate"/>
      </w:r>
      <w:r>
        <w:t>5</w:t>
      </w:r>
      <w:r>
        <w:fldChar w:fldCharType="end"/>
      </w:r>
      <w:r>
        <w:fldChar w:fldCharType="end"/>
      </w:r>
    </w:p>
    <w:p w14:paraId="1CEF0F94">
      <w:pPr>
        <w:pStyle w:val="19"/>
        <w:tabs>
          <w:tab w:val="right" w:leader="dot" w:pos="9354"/>
        </w:tabs>
      </w:pPr>
      <w:r>
        <w:fldChar w:fldCharType="begin"/>
      </w:r>
      <w:r>
        <w:instrText xml:space="preserve"> HYPERLINK \l _Toc23478 </w:instrText>
      </w:r>
      <w:r>
        <w:fldChar w:fldCharType="separate"/>
      </w:r>
      <w:r>
        <w:rPr>
          <w:rFonts w:hint="eastAsia" w:ascii="黑体" w:eastAsia="黑体"/>
          <w:i w:val="0"/>
          <w:szCs w:val="21"/>
        </w:rPr>
        <w:t xml:space="preserve">6 </w:t>
      </w:r>
      <w:r>
        <w:rPr>
          <w:rFonts w:hint="eastAsia"/>
          <w:szCs w:val="21"/>
        </w:rPr>
        <w:t>评定方法</w:t>
      </w:r>
      <w:r>
        <w:tab/>
      </w:r>
      <w:r>
        <w:fldChar w:fldCharType="begin"/>
      </w:r>
      <w:r>
        <w:instrText xml:space="preserve"> PAGEREF _Toc23478 \h </w:instrText>
      </w:r>
      <w:r>
        <w:fldChar w:fldCharType="separate"/>
      </w:r>
      <w:r>
        <w:t>5</w:t>
      </w:r>
      <w:r>
        <w:fldChar w:fldCharType="end"/>
      </w:r>
      <w:r>
        <w:fldChar w:fldCharType="end"/>
      </w:r>
    </w:p>
    <w:p w14:paraId="77A25090">
      <w:pPr>
        <w:pStyle w:val="24"/>
        <w:tabs>
          <w:tab w:val="right" w:leader="dot" w:pos="9354"/>
          <w:tab w:val="clear" w:pos="9344"/>
        </w:tabs>
      </w:pPr>
      <w:r>
        <w:fldChar w:fldCharType="begin"/>
      </w:r>
      <w:r>
        <w:instrText xml:space="preserve"> HYPERLINK \l _Toc4069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6.1 </w:t>
      </w:r>
      <w:r>
        <w:rPr>
          <w:rFonts w:hint="eastAsia" w:hAnsi="黑体"/>
          <w:szCs w:val="21"/>
        </w:rPr>
        <w:t>牛胴体与分割肉表观评定</w:t>
      </w:r>
      <w:r>
        <w:tab/>
      </w:r>
      <w:r>
        <w:fldChar w:fldCharType="begin"/>
      </w:r>
      <w:r>
        <w:instrText xml:space="preserve"> PAGEREF _Toc4069 \h </w:instrText>
      </w:r>
      <w:r>
        <w:fldChar w:fldCharType="separate"/>
      </w:r>
      <w:r>
        <w:t>5</w:t>
      </w:r>
      <w:r>
        <w:fldChar w:fldCharType="end"/>
      </w:r>
      <w:r>
        <w:fldChar w:fldCharType="end"/>
      </w:r>
    </w:p>
    <w:p w14:paraId="573FD5DF">
      <w:pPr>
        <w:pStyle w:val="24"/>
        <w:tabs>
          <w:tab w:val="right" w:leader="dot" w:pos="9354"/>
          <w:tab w:val="clear" w:pos="9344"/>
        </w:tabs>
      </w:pPr>
      <w:r>
        <w:fldChar w:fldCharType="begin"/>
      </w:r>
      <w:r>
        <w:instrText xml:space="preserve"> HYPERLINK \l _Toc295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6.2 </w:t>
      </w:r>
      <w:r>
        <w:rPr>
          <w:rFonts w:hAnsi="黑体"/>
          <w:szCs w:val="21"/>
        </w:rPr>
        <w:t>胴体处理</w:t>
      </w:r>
      <w:r>
        <w:tab/>
      </w:r>
      <w:r>
        <w:fldChar w:fldCharType="begin"/>
      </w:r>
      <w:r>
        <w:instrText xml:space="preserve"> PAGEREF _Toc295 \h </w:instrText>
      </w:r>
      <w:r>
        <w:fldChar w:fldCharType="separate"/>
      </w:r>
      <w:r>
        <w:t>5</w:t>
      </w:r>
      <w:r>
        <w:fldChar w:fldCharType="end"/>
      </w:r>
      <w:r>
        <w:fldChar w:fldCharType="end"/>
      </w:r>
    </w:p>
    <w:p w14:paraId="1143838C">
      <w:pPr>
        <w:pStyle w:val="24"/>
        <w:tabs>
          <w:tab w:val="right" w:leader="dot" w:pos="9354"/>
          <w:tab w:val="clear" w:pos="9344"/>
        </w:tabs>
      </w:pPr>
      <w:r>
        <w:fldChar w:fldCharType="begin"/>
      </w:r>
      <w:r>
        <w:instrText xml:space="preserve"> HYPERLINK \l _Toc674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6.3 </w:t>
      </w:r>
      <w:r>
        <w:rPr>
          <w:rFonts w:hint="eastAsia" w:hAnsi="黑体"/>
          <w:szCs w:val="21"/>
        </w:rPr>
        <w:t>大理石花纹等级评定</w:t>
      </w:r>
      <w:r>
        <w:tab/>
      </w:r>
      <w:r>
        <w:fldChar w:fldCharType="begin"/>
      </w:r>
      <w:r>
        <w:instrText xml:space="preserve"> PAGEREF _Toc674 \h </w:instrText>
      </w:r>
      <w:r>
        <w:fldChar w:fldCharType="separate"/>
      </w:r>
      <w:r>
        <w:t>6</w:t>
      </w:r>
      <w:r>
        <w:fldChar w:fldCharType="end"/>
      </w:r>
      <w:r>
        <w:fldChar w:fldCharType="end"/>
      </w:r>
    </w:p>
    <w:p w14:paraId="637B0463">
      <w:pPr>
        <w:pStyle w:val="24"/>
        <w:tabs>
          <w:tab w:val="right" w:leader="dot" w:pos="9354"/>
          <w:tab w:val="clear" w:pos="9344"/>
        </w:tabs>
      </w:pPr>
      <w:r>
        <w:fldChar w:fldCharType="begin"/>
      </w:r>
      <w:r>
        <w:instrText xml:space="preserve"> HYPERLINK \l _Toc16990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6.4 </w:t>
      </w:r>
      <w:r>
        <w:rPr>
          <w:rFonts w:hint="eastAsia" w:hAnsi="黑体"/>
          <w:szCs w:val="21"/>
        </w:rPr>
        <w:t>肌肉颜色评定</w:t>
      </w:r>
      <w:r>
        <w:tab/>
      </w:r>
      <w:r>
        <w:fldChar w:fldCharType="begin"/>
      </w:r>
      <w:r>
        <w:instrText xml:space="preserve"> PAGEREF _Toc16990 \h </w:instrText>
      </w:r>
      <w:r>
        <w:fldChar w:fldCharType="separate"/>
      </w:r>
      <w:r>
        <w:t>6</w:t>
      </w:r>
      <w:r>
        <w:fldChar w:fldCharType="end"/>
      </w:r>
      <w:r>
        <w:fldChar w:fldCharType="end"/>
      </w:r>
    </w:p>
    <w:p w14:paraId="0176FC97">
      <w:pPr>
        <w:pStyle w:val="24"/>
        <w:tabs>
          <w:tab w:val="right" w:leader="dot" w:pos="9354"/>
          <w:tab w:val="clear" w:pos="9344"/>
        </w:tabs>
      </w:pPr>
      <w:r>
        <w:fldChar w:fldCharType="begin"/>
      </w:r>
      <w:r>
        <w:instrText xml:space="preserve"> HYPERLINK \l _Toc10957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6.5 </w:t>
      </w:r>
      <w:r>
        <w:rPr>
          <w:rFonts w:hint="eastAsia" w:hAnsi="黑体"/>
          <w:szCs w:val="21"/>
        </w:rPr>
        <w:t>脂肪颜色评定</w:t>
      </w:r>
      <w:r>
        <w:tab/>
      </w:r>
      <w:r>
        <w:fldChar w:fldCharType="begin"/>
      </w:r>
      <w:r>
        <w:instrText xml:space="preserve"> PAGEREF _Toc10957 \h </w:instrText>
      </w:r>
      <w:r>
        <w:fldChar w:fldCharType="separate"/>
      </w:r>
      <w:r>
        <w:t>6</w:t>
      </w:r>
      <w:r>
        <w:fldChar w:fldCharType="end"/>
      </w:r>
      <w:r>
        <w:fldChar w:fldCharType="end"/>
      </w:r>
    </w:p>
    <w:p w14:paraId="1E503121">
      <w:pPr>
        <w:pStyle w:val="24"/>
        <w:tabs>
          <w:tab w:val="right" w:leader="dot" w:pos="9354"/>
          <w:tab w:val="clear" w:pos="9344"/>
        </w:tabs>
      </w:pPr>
      <w:r>
        <w:fldChar w:fldCharType="begin"/>
      </w:r>
      <w:r>
        <w:instrText xml:space="preserve"> HYPERLINK \l _Toc24075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6.6 </w:t>
      </w:r>
      <w:r>
        <w:rPr>
          <w:rFonts w:hint="eastAsia" w:hAnsi="黑体"/>
          <w:szCs w:val="21"/>
        </w:rPr>
        <w:t>坚挺度评定</w:t>
      </w:r>
      <w:r>
        <w:tab/>
      </w:r>
      <w:r>
        <w:fldChar w:fldCharType="begin"/>
      </w:r>
      <w:r>
        <w:instrText xml:space="preserve"> PAGEREF _Toc24075 \h </w:instrText>
      </w:r>
      <w:r>
        <w:fldChar w:fldCharType="separate"/>
      </w:r>
      <w:r>
        <w:t>6</w:t>
      </w:r>
      <w:r>
        <w:fldChar w:fldCharType="end"/>
      </w:r>
      <w:r>
        <w:fldChar w:fldCharType="end"/>
      </w:r>
    </w:p>
    <w:p w14:paraId="27340A9A">
      <w:pPr>
        <w:pStyle w:val="24"/>
        <w:tabs>
          <w:tab w:val="right" w:leader="dot" w:pos="9354"/>
          <w:tab w:val="clear" w:pos="9344"/>
        </w:tabs>
      </w:pPr>
      <w:r>
        <w:fldChar w:fldCharType="begin"/>
      </w:r>
      <w:r>
        <w:instrText xml:space="preserve"> HYPERLINK \l _Toc5218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6.7 </w:t>
      </w:r>
      <w:r>
        <w:rPr>
          <w:rFonts w:hint="eastAsia" w:hAnsi="黑体"/>
          <w:szCs w:val="21"/>
        </w:rPr>
        <w:t>细致度评定</w:t>
      </w:r>
      <w:r>
        <w:tab/>
      </w:r>
      <w:r>
        <w:fldChar w:fldCharType="begin"/>
      </w:r>
      <w:r>
        <w:instrText xml:space="preserve"> PAGEREF _Toc5218 \h </w:instrText>
      </w:r>
      <w:r>
        <w:fldChar w:fldCharType="separate"/>
      </w:r>
      <w:r>
        <w:t>6</w:t>
      </w:r>
      <w:r>
        <w:fldChar w:fldCharType="end"/>
      </w:r>
      <w:r>
        <w:fldChar w:fldCharType="end"/>
      </w:r>
    </w:p>
    <w:p w14:paraId="23F2BDB4">
      <w:pPr>
        <w:pStyle w:val="24"/>
        <w:tabs>
          <w:tab w:val="right" w:leader="dot" w:pos="9354"/>
          <w:tab w:val="clear" w:pos="9344"/>
        </w:tabs>
      </w:pPr>
      <w:r>
        <w:fldChar w:fldCharType="begin"/>
      </w:r>
      <w:r>
        <w:instrText xml:space="preserve"> HYPERLINK \l _Toc20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6.8 </w:t>
      </w:r>
      <w:r>
        <w:rPr>
          <w:rFonts w:hint="eastAsia" w:hAnsi="黑体"/>
          <w:szCs w:val="21"/>
        </w:rPr>
        <w:t>风味评定</w:t>
      </w:r>
      <w:r>
        <w:tab/>
      </w:r>
      <w:r>
        <w:fldChar w:fldCharType="begin"/>
      </w:r>
      <w:r>
        <w:instrText xml:space="preserve"> PAGEREF _Toc20 \h </w:instrText>
      </w:r>
      <w:r>
        <w:fldChar w:fldCharType="separate"/>
      </w:r>
      <w:r>
        <w:t>6</w:t>
      </w:r>
      <w:r>
        <w:fldChar w:fldCharType="end"/>
      </w:r>
      <w:r>
        <w:fldChar w:fldCharType="end"/>
      </w:r>
    </w:p>
    <w:p w14:paraId="28C3440E">
      <w:pPr>
        <w:pStyle w:val="19"/>
        <w:tabs>
          <w:tab w:val="right" w:leader="dot" w:pos="9354"/>
        </w:tabs>
      </w:pPr>
      <w:r>
        <w:fldChar w:fldCharType="begin"/>
      </w:r>
      <w:r>
        <w:instrText xml:space="preserve"> HYPERLINK \l _Toc21515 </w:instrText>
      </w:r>
      <w:r>
        <w:fldChar w:fldCharType="separate"/>
      </w:r>
      <w:r>
        <w:rPr>
          <w:rFonts w:hint="eastAsia" w:ascii="黑体" w:eastAsia="黑体"/>
          <w:i w:val="0"/>
          <w:szCs w:val="21"/>
        </w:rPr>
        <w:t xml:space="preserve">7 </w:t>
      </w:r>
      <w:r>
        <w:rPr>
          <w:rFonts w:hint="eastAsia"/>
          <w:szCs w:val="21"/>
        </w:rPr>
        <w:t>等级评定</w:t>
      </w:r>
      <w:r>
        <w:tab/>
      </w:r>
      <w:r>
        <w:fldChar w:fldCharType="begin"/>
      </w:r>
      <w:r>
        <w:instrText xml:space="preserve"> PAGEREF _Toc21515 \h </w:instrText>
      </w:r>
      <w:r>
        <w:fldChar w:fldCharType="separate"/>
      </w:r>
      <w:r>
        <w:t>6</w:t>
      </w:r>
      <w:r>
        <w:fldChar w:fldCharType="end"/>
      </w:r>
      <w:r>
        <w:fldChar w:fldCharType="end"/>
      </w:r>
    </w:p>
    <w:p w14:paraId="7CC3940C">
      <w:pPr>
        <w:pStyle w:val="24"/>
        <w:tabs>
          <w:tab w:val="right" w:leader="dot" w:pos="9354"/>
          <w:tab w:val="clear" w:pos="9344"/>
        </w:tabs>
      </w:pPr>
      <w:r>
        <w:fldChar w:fldCharType="begin"/>
      </w:r>
      <w:r>
        <w:instrText xml:space="preserve"> HYPERLINK \l _Toc2420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7.1 </w:t>
      </w:r>
      <w:r>
        <w:rPr>
          <w:rFonts w:hint="eastAsia" w:hAnsi="黑体"/>
          <w:szCs w:val="21"/>
        </w:rPr>
        <w:t>胴体表观分级评定</w:t>
      </w:r>
      <w:r>
        <w:tab/>
      </w:r>
      <w:r>
        <w:fldChar w:fldCharType="begin"/>
      </w:r>
      <w:r>
        <w:instrText xml:space="preserve"> PAGEREF _Toc2420 \h </w:instrText>
      </w:r>
      <w:r>
        <w:fldChar w:fldCharType="separate"/>
      </w:r>
      <w:r>
        <w:t>6</w:t>
      </w:r>
      <w:r>
        <w:fldChar w:fldCharType="end"/>
      </w:r>
      <w:r>
        <w:fldChar w:fldCharType="end"/>
      </w:r>
    </w:p>
    <w:p w14:paraId="009E527F">
      <w:pPr>
        <w:pStyle w:val="24"/>
        <w:tabs>
          <w:tab w:val="right" w:leader="dot" w:pos="9354"/>
          <w:tab w:val="clear" w:pos="9344"/>
        </w:tabs>
      </w:pPr>
      <w:r>
        <w:fldChar w:fldCharType="begin"/>
      </w:r>
      <w:r>
        <w:instrText xml:space="preserve"> HYPERLINK \l _Toc12794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7.2 </w:t>
      </w:r>
      <w:r>
        <w:rPr>
          <w:rFonts w:hint="eastAsia" w:hAnsi="黑体"/>
          <w:szCs w:val="21"/>
        </w:rPr>
        <w:t>质量等级评定</w:t>
      </w:r>
      <w:r>
        <w:tab/>
      </w:r>
      <w:r>
        <w:fldChar w:fldCharType="begin"/>
      </w:r>
      <w:r>
        <w:instrText xml:space="preserve"> PAGEREF _Toc12794 \h </w:instrText>
      </w:r>
      <w:r>
        <w:fldChar w:fldCharType="separate"/>
      </w:r>
      <w:r>
        <w:t>6</w:t>
      </w:r>
      <w:r>
        <w:fldChar w:fldCharType="end"/>
      </w:r>
      <w:r>
        <w:fldChar w:fldCharType="end"/>
      </w:r>
    </w:p>
    <w:p w14:paraId="19171BA5">
      <w:pPr>
        <w:pStyle w:val="19"/>
        <w:tabs>
          <w:tab w:val="right" w:leader="dot" w:pos="9354"/>
        </w:tabs>
      </w:pPr>
      <w:r>
        <w:fldChar w:fldCharType="begin"/>
      </w:r>
      <w:r>
        <w:instrText xml:space="preserve"> HYPERLINK \l _Toc2068 </w:instrText>
      </w:r>
      <w:r>
        <w:fldChar w:fldCharType="separate"/>
      </w:r>
      <w:r>
        <w:rPr>
          <w:rFonts w:hint="eastAsia" w:ascii="黑体" w:hAnsi="黑体" w:eastAsia="黑体"/>
          <w:i w:val="0"/>
          <w:szCs w:val="21"/>
        </w:rPr>
        <w:t xml:space="preserve">8 </w:t>
      </w:r>
      <w:r>
        <w:rPr>
          <w:rFonts w:hint="eastAsia" w:hAnsi="黑体"/>
          <w:szCs w:val="21"/>
        </w:rPr>
        <w:t>综合评定</w:t>
      </w:r>
      <w:r>
        <w:tab/>
      </w:r>
      <w:r>
        <w:fldChar w:fldCharType="begin"/>
      </w:r>
      <w:r>
        <w:instrText xml:space="preserve"> PAGEREF _Toc2068 \h </w:instrText>
      </w:r>
      <w:r>
        <w:fldChar w:fldCharType="separate"/>
      </w:r>
      <w:r>
        <w:t>7</w:t>
      </w:r>
      <w:r>
        <w:fldChar w:fldCharType="end"/>
      </w:r>
      <w:r>
        <w:fldChar w:fldCharType="end"/>
      </w:r>
    </w:p>
    <w:p w14:paraId="5F852E17">
      <w:pPr>
        <w:pStyle w:val="19"/>
        <w:tabs>
          <w:tab w:val="right" w:leader="dot" w:pos="9354"/>
        </w:tabs>
      </w:pPr>
      <w:r>
        <w:fldChar w:fldCharType="begin"/>
      </w:r>
      <w:r>
        <w:instrText xml:space="preserve"> HYPERLINK \l _Toc22773 </w:instrText>
      </w:r>
      <w:r>
        <w:fldChar w:fldCharType="separate"/>
      </w:r>
      <w:r>
        <w:rPr>
          <w:rFonts w:hint="eastAsia" w:ascii="黑体" w:hAnsi="黑体" w:eastAsia="黑体"/>
          <w:i w:val="0"/>
          <w:szCs w:val="21"/>
        </w:rPr>
        <w:t xml:space="preserve">9 </w:t>
      </w:r>
      <w:r>
        <w:rPr>
          <w:rFonts w:hint="eastAsia" w:hAnsi="黑体"/>
          <w:szCs w:val="21"/>
        </w:rPr>
        <w:t>标识和记录</w:t>
      </w:r>
      <w:r>
        <w:tab/>
      </w:r>
      <w:r>
        <w:fldChar w:fldCharType="begin"/>
      </w:r>
      <w:r>
        <w:instrText xml:space="preserve"> PAGEREF _Toc22773 \h </w:instrText>
      </w:r>
      <w:r>
        <w:fldChar w:fldCharType="separate"/>
      </w:r>
      <w:r>
        <w:t>7</w:t>
      </w:r>
      <w:r>
        <w:fldChar w:fldCharType="end"/>
      </w:r>
      <w:r>
        <w:fldChar w:fldCharType="end"/>
      </w:r>
    </w:p>
    <w:p w14:paraId="24975AA4">
      <w:pPr>
        <w:pStyle w:val="24"/>
        <w:tabs>
          <w:tab w:val="right" w:leader="dot" w:pos="9354"/>
          <w:tab w:val="clear" w:pos="9344"/>
        </w:tabs>
      </w:pPr>
      <w:r>
        <w:fldChar w:fldCharType="begin"/>
      </w:r>
      <w:r>
        <w:instrText xml:space="preserve"> HYPERLINK \l _Toc26165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9.1 </w:t>
      </w:r>
      <w:r>
        <w:rPr>
          <w:rFonts w:hint="eastAsia" w:hAnsi="黑体"/>
          <w:szCs w:val="21"/>
        </w:rPr>
        <w:t>标识</w:t>
      </w:r>
      <w:r>
        <w:tab/>
      </w:r>
      <w:r>
        <w:fldChar w:fldCharType="begin"/>
      </w:r>
      <w:r>
        <w:instrText xml:space="preserve"> PAGEREF _Toc26165 \h </w:instrText>
      </w:r>
      <w:r>
        <w:fldChar w:fldCharType="separate"/>
      </w:r>
      <w:r>
        <w:t>7</w:t>
      </w:r>
      <w:r>
        <w:fldChar w:fldCharType="end"/>
      </w:r>
      <w:r>
        <w:fldChar w:fldCharType="end"/>
      </w:r>
    </w:p>
    <w:p w14:paraId="2D504839">
      <w:pPr>
        <w:pStyle w:val="24"/>
        <w:tabs>
          <w:tab w:val="right" w:leader="dot" w:pos="9354"/>
          <w:tab w:val="clear" w:pos="9344"/>
        </w:tabs>
      </w:pPr>
      <w:r>
        <w:fldChar w:fldCharType="begin"/>
      </w:r>
      <w:r>
        <w:instrText xml:space="preserve"> HYPERLINK \l _Toc4737 </w:instrText>
      </w:r>
      <w:r>
        <w:fldChar w:fldCharType="separate"/>
      </w:r>
      <w:r>
        <w:rPr>
          <w:rFonts w:hint="eastAsia" w:ascii="黑体" w:hAnsi="Times New Roman" w:eastAsia="黑体" w:cs="Times New Roman"/>
          <w:bCs w:val="0"/>
          <w:i w:val="0"/>
          <w:iCs w:val="0"/>
          <w:caps w:val="0"/>
          <w:smallCaps w:val="0"/>
          <w:strike w:val="0"/>
          <w:dstrike w:val="0"/>
          <w:vanish w:val="0"/>
          <w:spacing w:val="0"/>
          <w:kern w:val="0"/>
          <w:position w:val="0"/>
          <w:szCs w:val="21"/>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t xml:space="preserve">9.2 </w:t>
      </w:r>
      <w:r>
        <w:rPr>
          <w:rFonts w:hint="eastAsia" w:hAnsi="黑体"/>
          <w:szCs w:val="21"/>
        </w:rPr>
        <w:t>记录</w:t>
      </w:r>
      <w:r>
        <w:tab/>
      </w:r>
      <w:r>
        <w:fldChar w:fldCharType="begin"/>
      </w:r>
      <w:r>
        <w:instrText xml:space="preserve"> PAGEREF _Toc4737 \h </w:instrText>
      </w:r>
      <w:r>
        <w:fldChar w:fldCharType="separate"/>
      </w:r>
      <w:r>
        <w:t>7</w:t>
      </w:r>
      <w:r>
        <w:fldChar w:fldCharType="end"/>
      </w:r>
      <w:r>
        <w:fldChar w:fldCharType="end"/>
      </w:r>
    </w:p>
    <w:p w14:paraId="731FE913">
      <w:pPr>
        <w:pStyle w:val="91"/>
        <w:spacing w:after="360"/>
      </w:pPr>
      <w:r>
        <w:fldChar w:fldCharType="end"/>
      </w:r>
    </w:p>
    <w:p w14:paraId="1529DBB8">
      <w:pPr>
        <w:pStyle w:val="91"/>
        <w:spacing w:after="360"/>
        <w:sectPr>
          <w:headerReference r:id="rId9" w:type="default"/>
          <w:footerReference r:id="rId11" w:type="default"/>
          <w:headerReference r:id="rId10" w:type="even"/>
          <w:footerReference r:id="rId12" w:type="even"/>
          <w:pgSz w:w="11906" w:h="16838"/>
          <w:pgMar w:top="1928" w:right="1134" w:bottom="1134" w:left="1134" w:header="1418" w:footer="1134" w:gutter="284"/>
          <w:pgBorders>
            <w:top w:val="none" w:sz="0" w:space="0"/>
            <w:left w:val="none" w:sz="0" w:space="0"/>
            <w:bottom w:val="none" w:sz="0" w:space="0"/>
            <w:right w:val="none" w:sz="0" w:space="0"/>
          </w:pgBorders>
          <w:pgNumType w:fmt="upperRoman" w:start="1"/>
          <w:cols w:space="425" w:num="1"/>
          <w:formProt w:val="0"/>
          <w:docGrid w:linePitch="312" w:charSpace="0"/>
        </w:sectPr>
      </w:pPr>
    </w:p>
    <w:bookmarkEnd w:id="21"/>
    <w:p w14:paraId="4DD42078">
      <w:pPr>
        <w:pStyle w:val="89"/>
        <w:spacing w:before="900" w:after="360"/>
      </w:pPr>
      <w:bookmarkStart w:id="23" w:name="_Toc8667"/>
      <w:bookmarkStart w:id="24" w:name="BookMark2"/>
      <w:r>
        <w:rPr>
          <w:spacing w:val="320"/>
        </w:rPr>
        <w:t>前</w:t>
      </w:r>
      <w:r>
        <w:t>言</w:t>
      </w:r>
      <w:bookmarkEnd w:id="22"/>
      <w:bookmarkEnd w:id="23"/>
    </w:p>
    <w:p w14:paraId="14626F07">
      <w:pPr>
        <w:pStyle w:val="56"/>
        <w:ind w:firstLine="420"/>
      </w:pPr>
      <w:r>
        <w:rPr>
          <w:rFonts w:hint="eastAsia"/>
        </w:rPr>
        <w:t>本文件按照GB/T 1.1—2020《标准化工作导则  第1部分：标准化文件的结构和起草规则》的规定起草。</w:t>
      </w:r>
    </w:p>
    <w:p w14:paraId="03CADAE6">
      <w:pPr>
        <w:pStyle w:val="56"/>
        <w:ind w:firstLine="420"/>
      </w:pPr>
      <w:r>
        <w:rPr>
          <w:rFonts w:hint="eastAsia"/>
        </w:rPr>
        <w:t>请注意本文件的某些内容可能涉及专利。本文件的发布机构不承担识别专利的责任。</w:t>
      </w:r>
    </w:p>
    <w:p w14:paraId="146A564D">
      <w:pPr>
        <w:pStyle w:val="56"/>
        <w:ind w:firstLine="420"/>
      </w:pPr>
      <w:r>
        <w:rPr>
          <w:rFonts w:hint="eastAsia"/>
        </w:rPr>
        <w:t>本文件由</w:t>
      </w:r>
      <w:r>
        <w:rPr>
          <w:rFonts w:ascii="Times New Roman"/>
        </w:rPr>
        <w:t>中国农业科学院兰州畜牧与兽药研究所</w:t>
      </w:r>
      <w:r>
        <w:rPr>
          <w:rFonts w:hint="eastAsia"/>
        </w:rPr>
        <w:t>提出。</w:t>
      </w:r>
    </w:p>
    <w:p w14:paraId="71DAA52C">
      <w:pPr>
        <w:pStyle w:val="56"/>
        <w:ind w:firstLine="420"/>
      </w:pPr>
      <w:r>
        <w:rPr>
          <w:rFonts w:hint="eastAsia"/>
        </w:rPr>
        <w:t>本文件由</w:t>
      </w:r>
      <w:r>
        <w:rPr>
          <w:rFonts w:hint="eastAsia" w:ascii="Times New Roman"/>
          <w:color w:val="000000"/>
          <w:szCs w:val="21"/>
        </w:rPr>
        <w:t>甘肃省质量协会</w:t>
      </w:r>
      <w:r>
        <w:rPr>
          <w:rFonts w:hint="eastAsia"/>
        </w:rPr>
        <w:t>归口。</w:t>
      </w:r>
    </w:p>
    <w:p w14:paraId="5C25EDD9">
      <w:pPr>
        <w:pStyle w:val="56"/>
        <w:ind w:firstLine="420"/>
      </w:pPr>
      <w:r>
        <w:rPr>
          <w:rFonts w:hint="eastAsia"/>
        </w:rPr>
        <w:t>本文件起草单位：</w:t>
      </w:r>
      <w:r>
        <w:rPr>
          <w:rFonts w:ascii="Times New Roman"/>
          <w:color w:val="000000"/>
          <w:szCs w:val="21"/>
        </w:rPr>
        <w:t>中国农业科学院兰州畜牧与兽药研究所，张家川畜牧技术推广站技术推广</w:t>
      </w:r>
      <w:r>
        <w:rPr>
          <w:rFonts w:hint="eastAsia" w:ascii="Times New Roman"/>
          <w:color w:val="000000"/>
          <w:szCs w:val="21"/>
        </w:rPr>
        <w:t>，</w:t>
      </w:r>
      <w:r>
        <w:rPr>
          <w:rFonts w:ascii="Times New Roman"/>
          <w:color w:val="000000"/>
          <w:szCs w:val="21"/>
        </w:rPr>
        <w:t>张家川回族自治县畜牧兽医事务服务中心</w:t>
      </w:r>
      <w:r>
        <w:rPr>
          <w:rFonts w:hint="eastAsia" w:ascii="Times New Roman"/>
          <w:color w:val="000000"/>
          <w:szCs w:val="21"/>
        </w:rPr>
        <w:t>，</w:t>
      </w:r>
      <w:r>
        <w:rPr>
          <w:rFonts w:ascii="Times New Roman"/>
          <w:color w:val="000000"/>
          <w:szCs w:val="21"/>
        </w:rPr>
        <w:t>中国农业科学院兰州</w:t>
      </w:r>
      <w:r>
        <w:rPr>
          <w:rFonts w:hint="eastAsia" w:ascii="Times New Roman"/>
          <w:color w:val="000000"/>
          <w:szCs w:val="21"/>
        </w:rPr>
        <w:t>兽医研究所。</w:t>
      </w:r>
    </w:p>
    <w:p w14:paraId="74FFAF32">
      <w:pPr>
        <w:pStyle w:val="56"/>
        <w:ind w:firstLine="420"/>
        <w:rPr>
          <w:rFonts w:ascii="Times New Roman"/>
          <w:color w:val="000000"/>
          <w:szCs w:val="21"/>
        </w:rPr>
      </w:pPr>
      <w:r>
        <w:rPr>
          <w:rFonts w:hint="eastAsia"/>
        </w:rPr>
        <w:t>本文件主要起草人：</w:t>
      </w:r>
      <w:r>
        <w:rPr>
          <w:rFonts w:hint="eastAsia" w:ascii="Times New Roman"/>
          <w:color w:val="000000"/>
          <w:szCs w:val="21"/>
        </w:rPr>
        <w:t>包鹏甲，</w:t>
      </w:r>
      <w:r>
        <w:rPr>
          <w:rFonts w:ascii="Times New Roman"/>
          <w:color w:val="000000"/>
          <w:szCs w:val="21"/>
        </w:rPr>
        <w:t>梁春年</w:t>
      </w:r>
      <w:r>
        <w:rPr>
          <w:rFonts w:hint="eastAsia" w:ascii="Times New Roman"/>
          <w:color w:val="000000"/>
          <w:szCs w:val="21"/>
        </w:rPr>
        <w:t>，</w:t>
      </w:r>
      <w:r>
        <w:rPr>
          <w:rFonts w:ascii="Times New Roman"/>
          <w:color w:val="000000"/>
          <w:szCs w:val="21"/>
        </w:rPr>
        <w:t>杨来康</w:t>
      </w:r>
      <w:r>
        <w:rPr>
          <w:rFonts w:hint="eastAsia" w:ascii="Times New Roman"/>
          <w:color w:val="000000"/>
          <w:szCs w:val="21"/>
        </w:rPr>
        <w:t>，喇永福，</w:t>
      </w:r>
      <w:r>
        <w:rPr>
          <w:rFonts w:ascii="Times New Roman"/>
          <w:color w:val="000000"/>
          <w:szCs w:val="21"/>
        </w:rPr>
        <w:t>杨孝君</w:t>
      </w:r>
      <w:r>
        <w:rPr>
          <w:rFonts w:hint="eastAsia" w:ascii="Times New Roman"/>
          <w:color w:val="000000"/>
          <w:szCs w:val="21"/>
        </w:rPr>
        <w:t>，马晓明，</w:t>
      </w:r>
      <w:r>
        <w:rPr>
          <w:rFonts w:ascii="Times New Roman"/>
          <w:color w:val="000000"/>
          <w:szCs w:val="21"/>
        </w:rPr>
        <w:t>贠秀君</w:t>
      </w:r>
      <w:r>
        <w:rPr>
          <w:rFonts w:hint="eastAsia" w:ascii="Times New Roman"/>
          <w:color w:val="000000"/>
          <w:szCs w:val="21"/>
        </w:rPr>
        <w:t>，</w:t>
      </w:r>
      <w:r>
        <w:rPr>
          <w:rFonts w:ascii="Times New Roman"/>
          <w:color w:val="000000"/>
          <w:szCs w:val="21"/>
        </w:rPr>
        <w:t>褚敏</w:t>
      </w:r>
      <w:r>
        <w:rPr>
          <w:rFonts w:hint="eastAsia" w:ascii="Times New Roman"/>
          <w:color w:val="000000"/>
          <w:szCs w:val="21"/>
        </w:rPr>
        <w:t>，</w:t>
      </w:r>
      <w:r>
        <w:rPr>
          <w:rFonts w:ascii="Times New Roman"/>
          <w:color w:val="000000"/>
          <w:szCs w:val="21"/>
        </w:rPr>
        <w:t>马利军</w:t>
      </w:r>
      <w:r>
        <w:rPr>
          <w:rFonts w:hint="eastAsia" w:ascii="Times New Roman"/>
          <w:color w:val="000000"/>
          <w:szCs w:val="21"/>
        </w:rPr>
        <w:t>，张少华，</w:t>
      </w:r>
      <w:r>
        <w:rPr>
          <w:rFonts w:ascii="Times New Roman"/>
          <w:color w:val="000000"/>
          <w:szCs w:val="21"/>
        </w:rPr>
        <w:t>马艳萍</w:t>
      </w:r>
      <w:r>
        <w:rPr>
          <w:rFonts w:hint="eastAsia" w:ascii="Times New Roman"/>
          <w:color w:val="000000"/>
          <w:szCs w:val="21"/>
        </w:rPr>
        <w:t>。</w:t>
      </w:r>
    </w:p>
    <w:p w14:paraId="3AAD8B57">
      <w:pPr>
        <w:pStyle w:val="56"/>
        <w:ind w:firstLine="420"/>
        <w:rPr>
          <w:rFonts w:ascii="Times New Roman"/>
          <w:color w:val="000000"/>
          <w:szCs w:val="21"/>
        </w:rPr>
      </w:pPr>
    </w:p>
    <w:p w14:paraId="06FBA567">
      <w:pPr>
        <w:pStyle w:val="56"/>
        <w:ind w:firstLine="420"/>
      </w:pPr>
    </w:p>
    <w:p w14:paraId="74FE5D37">
      <w:pPr>
        <w:pStyle w:val="56"/>
        <w:ind w:firstLine="420"/>
      </w:pPr>
    </w:p>
    <w:p w14:paraId="6B97E25A">
      <w:pPr>
        <w:pStyle w:val="56"/>
        <w:ind w:firstLine="420"/>
        <w:sectPr>
          <w:headerReference r:id="rId13" w:type="default"/>
          <w:footerReference r:id="rId15" w:type="default"/>
          <w:headerReference r:id="rId14" w:type="even"/>
          <w:footerReference r:id="rId16" w:type="even"/>
          <w:pgSz w:w="11906" w:h="16838"/>
          <w:pgMar w:top="1928" w:right="1134" w:bottom="1134" w:left="1134" w:header="1418" w:footer="1134" w:gutter="284"/>
          <w:pgBorders>
            <w:top w:val="none" w:sz="0" w:space="0"/>
            <w:left w:val="none" w:sz="0" w:space="0"/>
            <w:bottom w:val="none" w:sz="0" w:space="0"/>
            <w:right w:val="none" w:sz="0" w:space="0"/>
          </w:pgBorders>
          <w:pgNumType w:fmt="upperRoman"/>
          <w:cols w:space="425" w:num="1"/>
          <w:formProt w:val="0"/>
          <w:docGrid w:linePitch="312" w:charSpace="0"/>
        </w:sectPr>
      </w:pPr>
    </w:p>
    <w:bookmarkEnd w:id="24"/>
    <w:p w14:paraId="681ECFCE">
      <w:pPr>
        <w:spacing w:line="20" w:lineRule="exact"/>
        <w:jc w:val="center"/>
        <w:rPr>
          <w:rFonts w:ascii="黑体" w:hAnsi="黑体" w:eastAsia="黑体"/>
          <w:sz w:val="32"/>
          <w:szCs w:val="32"/>
        </w:rPr>
      </w:pPr>
      <w:bookmarkStart w:id="25" w:name="BookMark4"/>
    </w:p>
    <w:p w14:paraId="18573A9F">
      <w:pPr>
        <w:spacing w:line="20" w:lineRule="exact"/>
        <w:jc w:val="center"/>
        <w:rPr>
          <w:rFonts w:ascii="黑体" w:hAnsi="黑体" w:eastAsia="黑体"/>
          <w:sz w:val="32"/>
          <w:szCs w:val="32"/>
        </w:rPr>
      </w:pPr>
    </w:p>
    <w:sdt>
      <w:sdtPr>
        <w:tag w:val="NEW_STAND_NAME"/>
        <w:id w:val="595910757"/>
        <w:lock w:val="sdtLocked"/>
        <w:placeholder>
          <w:docPart w:val="40BAD1D096DA435C958A3CC3CE42E1DA"/>
        </w:placeholder>
      </w:sdtPr>
      <w:sdtEndPr>
        <w:rPr>
          <w:rFonts w:hint="default"/>
          <w:lang w:val="en-US"/>
        </w:rPr>
      </w:sdtEndPr>
      <w:sdtContent>
        <w:p w14:paraId="6D8E21B5">
          <w:pPr>
            <w:jc w:val="center"/>
            <w:rPr>
              <w:color w:val="000000"/>
            </w:rPr>
          </w:pPr>
          <w:bookmarkStart w:id="26" w:name="NEW_STAND_NAME"/>
          <w:r>
            <w:rPr>
              <w:rFonts w:hint="eastAsia" w:ascii="黑体" w:hAnsi="黑体" w:eastAsia="黑体"/>
              <w:color w:val="000000"/>
              <w:sz w:val="32"/>
              <w:szCs w:val="32"/>
            </w:rPr>
            <w:t>张家川红花牛</w:t>
          </w:r>
          <w:r>
            <w:rPr>
              <w:rFonts w:hint="eastAsia" w:ascii="黑体" w:hAnsi="黑体" w:eastAsia="黑体"/>
              <w:color w:val="000000"/>
              <w:sz w:val="32"/>
              <w:szCs w:val="32"/>
              <w:lang w:val="en-US" w:eastAsia="zh-CN"/>
            </w:rPr>
            <w:t>牛肉质量分级技术规范</w:t>
          </w:r>
        </w:p>
      </w:sdtContent>
    </w:sdt>
    <w:bookmarkEnd w:id="26"/>
    <w:p w14:paraId="5C80D7F8">
      <w:pPr>
        <w:pStyle w:val="104"/>
        <w:spacing w:before="240" w:after="240"/>
      </w:pPr>
      <w:bookmarkStart w:id="27" w:name="_Toc24884218"/>
      <w:bookmarkStart w:id="28" w:name="_Toc26648465"/>
      <w:bookmarkStart w:id="29" w:name="_Toc24884211"/>
      <w:bookmarkStart w:id="30" w:name="_Toc150014766"/>
      <w:bookmarkStart w:id="31" w:name="_Toc26986771"/>
      <w:bookmarkStart w:id="32" w:name="_Toc97192964"/>
      <w:bookmarkStart w:id="33" w:name="_Toc26718930"/>
      <w:bookmarkStart w:id="34" w:name="_Toc17233325"/>
      <w:bookmarkStart w:id="35" w:name="_Toc26986530"/>
      <w:bookmarkStart w:id="36" w:name="_Toc9038"/>
      <w:bookmarkStart w:id="37" w:name="_Toc17233333"/>
      <w:r>
        <w:rPr>
          <w:rFonts w:hint="eastAsia"/>
        </w:rPr>
        <w:t>范围</w:t>
      </w:r>
      <w:bookmarkEnd w:id="27"/>
      <w:bookmarkEnd w:id="28"/>
      <w:bookmarkEnd w:id="29"/>
      <w:bookmarkEnd w:id="30"/>
      <w:bookmarkEnd w:id="31"/>
      <w:bookmarkEnd w:id="32"/>
      <w:bookmarkEnd w:id="33"/>
      <w:bookmarkEnd w:id="34"/>
      <w:bookmarkEnd w:id="35"/>
      <w:bookmarkEnd w:id="36"/>
      <w:bookmarkEnd w:id="37"/>
    </w:p>
    <w:p w14:paraId="0205B4D2">
      <w:pPr>
        <w:pStyle w:val="56"/>
        <w:ind w:firstLine="420"/>
      </w:pPr>
      <w:bookmarkStart w:id="38" w:name="_Toc24884219"/>
      <w:bookmarkStart w:id="39" w:name="_Toc17233334"/>
      <w:bookmarkStart w:id="40" w:name="_Toc26648466"/>
      <w:bookmarkStart w:id="41" w:name="_Toc24884212"/>
      <w:bookmarkStart w:id="42" w:name="_Toc17233326"/>
      <w:r>
        <w:rPr>
          <w:rFonts w:hint="eastAsia"/>
        </w:rPr>
        <w:t xml:space="preserve">本文件规定了张家川红花牛胴体和分割肉肉质量分级前的准备、分级评定方法、等级评定及标识记录等要求。 </w:t>
      </w:r>
    </w:p>
    <w:p w14:paraId="6C7A93FC">
      <w:pPr>
        <w:pStyle w:val="56"/>
        <w:ind w:firstLine="420"/>
      </w:pPr>
      <w:r>
        <w:rPr>
          <w:rFonts w:hint="eastAsia"/>
        </w:rPr>
        <w:t>本文件适用于张家川红花牛胴体及分割肉的的质量分级。</w:t>
      </w:r>
    </w:p>
    <w:p w14:paraId="1D25F33F">
      <w:pPr>
        <w:pStyle w:val="104"/>
        <w:spacing w:before="240" w:after="240"/>
      </w:pPr>
      <w:bookmarkStart w:id="43" w:name="_Toc4670"/>
      <w:bookmarkStart w:id="44" w:name="_Toc97192965"/>
      <w:bookmarkStart w:id="45" w:name="_Toc26986531"/>
      <w:bookmarkStart w:id="46" w:name="_Toc26986772"/>
      <w:bookmarkStart w:id="47" w:name="_Toc26718931"/>
      <w:bookmarkStart w:id="48" w:name="_Toc150014767"/>
      <w:r>
        <w:rPr>
          <w:rFonts w:hint="eastAsia"/>
        </w:rPr>
        <w:t>规范性引用文件</w:t>
      </w:r>
      <w:bookmarkEnd w:id="38"/>
      <w:bookmarkEnd w:id="39"/>
      <w:bookmarkEnd w:id="40"/>
      <w:bookmarkEnd w:id="41"/>
      <w:bookmarkEnd w:id="42"/>
      <w:bookmarkEnd w:id="43"/>
      <w:bookmarkEnd w:id="44"/>
      <w:bookmarkEnd w:id="45"/>
      <w:bookmarkEnd w:id="46"/>
      <w:bookmarkEnd w:id="47"/>
      <w:bookmarkEnd w:id="48"/>
    </w:p>
    <w:sdt>
      <w:sdtPr>
        <w:rPr>
          <w:rFonts w:hint="eastAsia"/>
        </w:rPr>
        <w:id w:val="715848253"/>
        <w:placeholder>
          <w:docPart w:val="5FE49046297C4A68A6C5EFDE3F02774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E258C1C">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4A3F4EC">
      <w:pPr>
        <w:ind w:firstLine="420" w:firstLineChars="200"/>
        <w:rPr>
          <w:rFonts w:ascii="Times New Roman" w:hAnsi="Times New Roman"/>
          <w:color w:val="000000"/>
        </w:rPr>
      </w:pPr>
      <w:r>
        <w:rPr>
          <w:rFonts w:hint="eastAsia" w:ascii="Times New Roman" w:hAnsi="Times New Roman"/>
          <w:color w:val="000000"/>
        </w:rPr>
        <w:t>GB/T 37061 畜禽肉制品分级导则</w:t>
      </w:r>
    </w:p>
    <w:p w14:paraId="6EA7C168">
      <w:pPr>
        <w:ind w:firstLine="420" w:firstLineChars="200"/>
        <w:rPr>
          <w:rFonts w:hint="eastAsia" w:ascii="Times New Roman" w:hAnsi="Times New Roman"/>
          <w:color w:val="000000"/>
        </w:rPr>
      </w:pPr>
      <w:r>
        <w:rPr>
          <w:rFonts w:hint="eastAsia" w:ascii="Times New Roman" w:hAnsi="Times New Roman"/>
          <w:color w:val="000000"/>
        </w:rPr>
        <w:t>GB/T 19480 肉及肉制品术语</w:t>
      </w:r>
    </w:p>
    <w:p w14:paraId="60304BD6">
      <w:pPr>
        <w:ind w:firstLine="420" w:firstLineChars="200"/>
        <w:rPr>
          <w:rFonts w:hint="eastAsia" w:ascii="Times New Roman" w:hAnsi="Times New Roman"/>
          <w:color w:val="000000"/>
          <w:lang w:val="en-US" w:eastAsia="zh-CN"/>
        </w:rPr>
      </w:pPr>
      <w:r>
        <w:rPr>
          <w:rFonts w:hint="eastAsia" w:ascii="Times New Roman" w:hAnsi="Times New Roman"/>
          <w:color w:val="000000"/>
        </w:rPr>
        <w:t>GB/T 19</w:t>
      </w:r>
      <w:r>
        <w:rPr>
          <w:rFonts w:hint="eastAsia" w:ascii="Times New Roman" w:hAnsi="Times New Roman"/>
          <w:color w:val="000000"/>
          <w:lang w:val="en-US" w:eastAsia="zh-CN"/>
        </w:rPr>
        <w:t>477</w:t>
      </w:r>
      <w:r>
        <w:rPr>
          <w:rFonts w:hint="eastAsia" w:ascii="Times New Roman" w:hAnsi="Times New Roman"/>
          <w:color w:val="000000"/>
        </w:rPr>
        <w:t xml:space="preserve"> </w:t>
      </w:r>
      <w:r>
        <w:rPr>
          <w:rFonts w:hint="eastAsia" w:ascii="Times New Roman" w:hAnsi="Times New Roman"/>
          <w:color w:val="000000"/>
          <w:lang w:val="en-US" w:eastAsia="zh-CN"/>
        </w:rPr>
        <w:t>牛屠宰操作技术规程</w:t>
      </w:r>
    </w:p>
    <w:p w14:paraId="44E4F95D">
      <w:pPr>
        <w:ind w:firstLine="420" w:firstLineChars="200"/>
        <w:rPr>
          <w:rFonts w:hint="eastAsia" w:ascii="Times New Roman" w:hAnsi="Times New Roman"/>
          <w:color w:val="000000"/>
          <w:lang w:val="en-US" w:eastAsia="zh-CN"/>
        </w:rPr>
      </w:pPr>
      <w:r>
        <w:rPr>
          <w:rFonts w:hint="eastAsia" w:ascii="Times New Roman" w:hAnsi="Times New Roman"/>
          <w:color w:val="000000"/>
          <w:lang w:val="en-US" w:eastAsia="zh-CN"/>
        </w:rPr>
        <w:t>GB12694 肉类加工厂卫生规范</w:t>
      </w:r>
    </w:p>
    <w:p w14:paraId="14BE20BA">
      <w:pPr>
        <w:ind w:firstLine="420" w:firstLineChars="200"/>
        <w:rPr>
          <w:rFonts w:hint="default" w:ascii="Times New Roman" w:hAnsi="Times New Roman"/>
          <w:color w:val="000000"/>
          <w:lang w:val="en-US" w:eastAsia="zh-CN"/>
        </w:rPr>
      </w:pPr>
      <w:r>
        <w:rPr>
          <w:rFonts w:hint="eastAsia" w:ascii="Times New Roman"/>
          <w:color w:val="000000"/>
          <w:szCs w:val="21"/>
          <w:lang w:val="en-US" w:eastAsia="zh-CN"/>
        </w:rPr>
        <w:t>SBJ/T08 牛羊屠宰与分割车间设计规范</w:t>
      </w:r>
    </w:p>
    <w:p w14:paraId="2CC5C665">
      <w:pPr>
        <w:ind w:firstLine="420" w:firstLineChars="200"/>
        <w:rPr>
          <w:rFonts w:ascii="Times New Roman" w:hAnsi="Times New Roman"/>
          <w:color w:val="000000"/>
        </w:rPr>
      </w:pPr>
      <w:r>
        <w:rPr>
          <w:rFonts w:hint="eastAsia" w:ascii="Times New Roman" w:hAnsi="Times New Roman"/>
          <w:color w:val="000000"/>
        </w:rPr>
        <w:t>NY/T 3379  牛肉分级</w:t>
      </w:r>
    </w:p>
    <w:p w14:paraId="1437A18E">
      <w:pPr>
        <w:ind w:firstLine="420" w:firstLineChars="200"/>
        <w:rPr>
          <w:rFonts w:ascii="Times New Roman" w:hAnsi="Times New Roman"/>
          <w:color w:val="000000"/>
        </w:rPr>
      </w:pPr>
      <w:bookmarkStart w:id="49" w:name="OLE_LINK1"/>
      <w:bookmarkStart w:id="50" w:name="OLE_LINK2"/>
      <w:r>
        <w:rPr>
          <w:rFonts w:hint="eastAsia" w:ascii="Times New Roman" w:hAnsi="Times New Roman"/>
          <w:color w:val="000000"/>
        </w:rPr>
        <w:t>NY/T 676</w:t>
      </w:r>
      <w:bookmarkEnd w:id="49"/>
      <w:r>
        <w:rPr>
          <w:rFonts w:hint="eastAsia" w:ascii="Times New Roman" w:hAnsi="Times New Roman"/>
          <w:color w:val="000000"/>
        </w:rPr>
        <w:t xml:space="preserve"> 牛肉等级规格</w:t>
      </w:r>
      <w:bookmarkEnd w:id="50"/>
      <w:r>
        <w:rPr>
          <w:rFonts w:hint="eastAsia" w:ascii="Times New Roman" w:hAnsi="Times New Roman"/>
          <w:color w:val="000000"/>
        </w:rPr>
        <w:t xml:space="preserve"> </w:t>
      </w:r>
    </w:p>
    <w:p w14:paraId="5534AC5C">
      <w:pPr>
        <w:pStyle w:val="104"/>
        <w:spacing w:before="240" w:after="240"/>
      </w:pPr>
      <w:bookmarkStart w:id="51" w:name="_Toc30405"/>
      <w:bookmarkStart w:id="52" w:name="_Toc97192966"/>
      <w:bookmarkStart w:id="53" w:name="_Toc150014768"/>
      <w:r>
        <w:rPr>
          <w:rFonts w:hint="eastAsia"/>
          <w:szCs w:val="21"/>
        </w:rPr>
        <w:t>术语和定义</w:t>
      </w:r>
      <w:bookmarkEnd w:id="51"/>
      <w:bookmarkEnd w:id="52"/>
      <w:bookmarkEnd w:id="53"/>
    </w:p>
    <w:sdt>
      <w:sdtPr>
        <w:rPr>
          <w:rFonts w:ascii="Times New Roman"/>
        </w:rPr>
        <w:id w:val="-1909835108"/>
        <w:placeholder>
          <w:docPart w:val="82FAD4B12AFB42FD997383B282BB9FD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ascii="Times New Roman"/>
        </w:rPr>
      </w:sdtEndPr>
      <w:sdtContent>
        <w:p w14:paraId="0DAEB01C">
          <w:pPr>
            <w:pStyle w:val="56"/>
            <w:ind w:firstLine="420"/>
          </w:pPr>
          <w:bookmarkStart w:id="54" w:name="_Toc26986532"/>
          <w:bookmarkEnd w:id="54"/>
          <w:r>
            <w:rPr>
              <w:rFonts w:hint="eastAsia" w:ascii="Times New Roman"/>
            </w:rPr>
            <w:t xml:space="preserve">GB/T 37061,GB/T 19480 </w:t>
          </w:r>
          <w:r>
            <w:rPr>
              <w:rFonts w:ascii="Times New Roman"/>
            </w:rPr>
            <w:t>界定的以及下列术语和定义适用于本文件。</w:t>
          </w:r>
        </w:p>
      </w:sdtContent>
    </w:sdt>
    <w:p w14:paraId="4C039C64">
      <w:pPr>
        <w:pStyle w:val="105"/>
        <w:spacing w:before="120" w:after="120"/>
        <w:rPr>
          <w:rFonts w:hAnsi="黑体"/>
          <w:color w:val="000000"/>
          <w:szCs w:val="21"/>
        </w:rPr>
      </w:pPr>
      <w:bookmarkStart w:id="55" w:name="_Toc21409"/>
      <w:bookmarkEnd w:id="55"/>
    </w:p>
    <w:p w14:paraId="7C7B5906">
      <w:pPr>
        <w:pStyle w:val="105"/>
        <w:numPr>
          <w:ilvl w:val="2"/>
          <w:numId w:val="0"/>
        </w:numPr>
        <w:spacing w:before="120" w:after="120"/>
        <w:ind w:firstLine="420" w:firstLineChars="200"/>
      </w:pPr>
      <w:bookmarkStart w:id="56" w:name="_Toc617"/>
      <w:r>
        <w:t>胴体</w:t>
      </w:r>
      <w:r>
        <w:rPr>
          <w:rFonts w:hint="eastAsia"/>
        </w:rPr>
        <w:t xml:space="preserve"> carcass</w:t>
      </w:r>
      <w:bookmarkEnd w:id="56"/>
    </w:p>
    <w:p w14:paraId="315FD78E">
      <w:pPr>
        <w:pStyle w:val="105"/>
        <w:numPr>
          <w:ilvl w:val="2"/>
          <w:numId w:val="0"/>
        </w:numPr>
        <w:spacing w:before="120" w:after="120"/>
        <w:ind w:firstLine="420" w:firstLineChars="200"/>
        <w:rPr>
          <w:rFonts w:ascii="Times New Roman" w:eastAsia="宋体"/>
          <w:color w:val="000000"/>
          <w:szCs w:val="21"/>
        </w:rPr>
      </w:pPr>
      <w:bookmarkStart w:id="57" w:name="_Toc20632"/>
      <w:bookmarkStart w:id="58" w:name="_Toc14317"/>
      <w:bookmarkStart w:id="59" w:name="_Toc30559"/>
      <w:r>
        <w:rPr>
          <w:rFonts w:ascii="Times New Roman" w:eastAsia="宋体"/>
          <w:color w:val="000000"/>
          <w:szCs w:val="21"/>
        </w:rPr>
        <w:t>指</w:t>
      </w:r>
      <w:r>
        <w:rPr>
          <w:rFonts w:hint="eastAsia" w:ascii="Times New Roman" w:eastAsia="宋体"/>
          <w:color w:val="000000"/>
          <w:szCs w:val="21"/>
        </w:rPr>
        <w:t>肉</w:t>
      </w:r>
      <w:r>
        <w:rPr>
          <w:rFonts w:ascii="Times New Roman" w:eastAsia="宋体"/>
          <w:color w:val="000000"/>
          <w:szCs w:val="21"/>
        </w:rPr>
        <w:t>牛宰杀放血后，除去皮、头、蹄、尾、内脏后剩下的部分。</w:t>
      </w:r>
      <w:bookmarkEnd w:id="57"/>
      <w:bookmarkEnd w:id="58"/>
      <w:bookmarkEnd w:id="59"/>
    </w:p>
    <w:p w14:paraId="235C2C7F">
      <w:pPr>
        <w:pStyle w:val="105"/>
        <w:spacing w:before="120" w:after="120"/>
        <w:rPr>
          <w:rFonts w:hAnsi="黑体"/>
          <w:color w:val="000000"/>
          <w:szCs w:val="21"/>
        </w:rPr>
      </w:pPr>
      <w:bookmarkStart w:id="60" w:name="_Toc23547"/>
      <w:bookmarkEnd w:id="60"/>
    </w:p>
    <w:p w14:paraId="40CC2E0E">
      <w:pPr>
        <w:pStyle w:val="105"/>
        <w:numPr>
          <w:ilvl w:val="2"/>
          <w:numId w:val="0"/>
        </w:numPr>
        <w:spacing w:before="120" w:after="120"/>
        <w:ind w:firstLine="420" w:firstLineChars="200"/>
      </w:pPr>
      <w:bookmarkStart w:id="61" w:name="_Toc26581"/>
      <w:bookmarkStart w:id="62" w:name="_Toc17267"/>
      <w:r>
        <w:rPr>
          <w:rFonts w:hint="eastAsia"/>
        </w:rPr>
        <w:t>胴体外观评价carcass appearance evaluation</w:t>
      </w:r>
      <w:bookmarkEnd w:id="61"/>
      <w:bookmarkEnd w:id="62"/>
    </w:p>
    <w:p w14:paraId="16B67671">
      <w:pPr>
        <w:pStyle w:val="105"/>
        <w:numPr>
          <w:ilvl w:val="2"/>
          <w:numId w:val="0"/>
        </w:numPr>
        <w:spacing w:before="120" w:after="120"/>
        <w:ind w:firstLine="420" w:firstLineChars="200"/>
        <w:rPr>
          <w:rFonts w:ascii="Times New Roman" w:eastAsia="宋体"/>
          <w:color w:val="000000"/>
          <w:szCs w:val="21"/>
        </w:rPr>
      </w:pPr>
      <w:bookmarkStart w:id="63" w:name="_Toc575"/>
      <w:bookmarkStart w:id="64" w:name="_Toc28113"/>
      <w:bookmarkStart w:id="65" w:name="_Toc15913"/>
      <w:r>
        <w:rPr>
          <w:rFonts w:hint="eastAsia" w:ascii="Times New Roman" w:eastAsia="宋体"/>
          <w:color w:val="000000"/>
          <w:szCs w:val="21"/>
        </w:rPr>
        <w:t>通过视觉和触觉对畜禽胴体表面完整性、饱满度、洁净度、生理成熟度、肉的色泽和大理石花纹等进行判断。</w:t>
      </w:r>
      <w:bookmarkEnd w:id="63"/>
      <w:bookmarkEnd w:id="64"/>
      <w:bookmarkEnd w:id="65"/>
    </w:p>
    <w:p w14:paraId="079B9301">
      <w:pPr>
        <w:pStyle w:val="105"/>
        <w:spacing w:before="120" w:after="120"/>
        <w:rPr>
          <w:rFonts w:hAnsi="黑体"/>
          <w:color w:val="000000"/>
          <w:szCs w:val="21"/>
        </w:rPr>
      </w:pPr>
      <w:bookmarkStart w:id="66" w:name="_Toc6340"/>
      <w:bookmarkEnd w:id="66"/>
      <w:bookmarkStart w:id="67" w:name="_Toc31060"/>
      <w:bookmarkEnd w:id="67"/>
    </w:p>
    <w:p w14:paraId="357923A7">
      <w:pPr>
        <w:pStyle w:val="105"/>
        <w:numPr>
          <w:ilvl w:val="2"/>
          <w:numId w:val="0"/>
        </w:numPr>
        <w:spacing w:before="120" w:after="120"/>
        <w:ind w:firstLine="420" w:firstLineChars="200"/>
      </w:pPr>
      <w:bookmarkStart w:id="68" w:name="_Toc28711"/>
      <w:r>
        <w:t>分割牛肉</w:t>
      </w:r>
      <w:bookmarkEnd w:id="68"/>
      <w:r>
        <w:rPr>
          <w:rFonts w:hint="eastAsia"/>
          <w:lang w:val="en-US" w:eastAsia="zh-CN"/>
        </w:rPr>
        <w:t xml:space="preserve"> slice</w:t>
      </w:r>
      <w:r>
        <w:rPr>
          <w:rFonts w:hint="eastAsia"/>
        </w:rPr>
        <w:t xml:space="preserve"> the beef</w:t>
      </w:r>
    </w:p>
    <w:p w14:paraId="79176920">
      <w:pPr>
        <w:pStyle w:val="105"/>
        <w:numPr>
          <w:ilvl w:val="2"/>
          <w:numId w:val="0"/>
        </w:numPr>
        <w:spacing w:before="120" w:after="120"/>
        <w:ind w:firstLine="420" w:firstLineChars="200"/>
        <w:rPr>
          <w:rFonts w:ascii="Times New Roman" w:eastAsia="宋体"/>
          <w:color w:val="000000"/>
          <w:szCs w:val="21"/>
        </w:rPr>
      </w:pPr>
      <w:bookmarkStart w:id="69" w:name="_Toc16269"/>
      <w:bookmarkStart w:id="70" w:name="_Toc21519"/>
      <w:bookmarkStart w:id="71" w:name="_Toc18617"/>
      <w:r>
        <w:rPr>
          <w:rFonts w:ascii="Times New Roman" w:eastAsia="宋体"/>
          <w:color w:val="000000"/>
          <w:szCs w:val="21"/>
        </w:rPr>
        <w:t>将牛胴体分割成的不同部位的肉块</w:t>
      </w:r>
      <w:r>
        <w:rPr>
          <w:rFonts w:hint="eastAsia" w:ascii="Times New Roman" w:eastAsia="宋体"/>
          <w:color w:val="000000"/>
          <w:szCs w:val="21"/>
        </w:rPr>
        <w:t>。</w:t>
      </w:r>
      <w:bookmarkEnd w:id="69"/>
      <w:bookmarkEnd w:id="70"/>
      <w:bookmarkEnd w:id="71"/>
    </w:p>
    <w:p w14:paraId="198A9A79">
      <w:pPr>
        <w:pStyle w:val="105"/>
        <w:spacing w:before="120" w:after="120"/>
        <w:rPr>
          <w:rFonts w:hAnsi="黑体"/>
          <w:color w:val="000000"/>
          <w:szCs w:val="21"/>
        </w:rPr>
      </w:pPr>
      <w:bookmarkStart w:id="72" w:name="_Toc20963"/>
      <w:bookmarkEnd w:id="72"/>
    </w:p>
    <w:p w14:paraId="29534914">
      <w:pPr>
        <w:pStyle w:val="105"/>
        <w:numPr>
          <w:ilvl w:val="2"/>
          <w:numId w:val="0"/>
        </w:numPr>
        <w:spacing w:before="120" w:after="120"/>
        <w:ind w:firstLine="420" w:firstLineChars="200"/>
      </w:pPr>
      <w:bookmarkStart w:id="73" w:name="_Toc5038"/>
      <w:r>
        <w:t>大理石花纹</w:t>
      </w:r>
      <w:bookmarkEnd w:id="73"/>
      <w:r>
        <w:rPr>
          <w:rFonts w:hint="eastAsia"/>
          <w:lang w:val="en-US" w:eastAsia="zh-CN"/>
        </w:rPr>
        <w:t>m</w:t>
      </w:r>
      <w:r>
        <w:rPr>
          <w:rFonts w:hint="eastAsia"/>
        </w:rPr>
        <w:t>arble pattern</w:t>
      </w:r>
    </w:p>
    <w:p w14:paraId="3917736E">
      <w:pPr>
        <w:pStyle w:val="105"/>
        <w:numPr>
          <w:ilvl w:val="2"/>
          <w:numId w:val="0"/>
        </w:numPr>
        <w:spacing w:before="120" w:after="120"/>
        <w:ind w:firstLine="420" w:firstLineChars="200"/>
        <w:rPr>
          <w:rFonts w:hint="eastAsia" w:ascii="Times New Roman" w:eastAsia="宋体"/>
          <w:color w:val="000000"/>
          <w:szCs w:val="21"/>
        </w:rPr>
      </w:pPr>
      <w:bookmarkStart w:id="74" w:name="_Toc21608"/>
      <w:bookmarkStart w:id="75" w:name="_Toc29822"/>
      <w:bookmarkStart w:id="76" w:name="_Toc13478"/>
      <w:r>
        <w:rPr>
          <w:rFonts w:ascii="Times New Roman" w:eastAsia="宋体"/>
          <w:color w:val="000000"/>
          <w:szCs w:val="21"/>
        </w:rPr>
        <w:t>肌内脂肪在牛肉组织中沉淀交杂形成的可见花纹，因其形似大理石状而得名</w:t>
      </w:r>
      <w:r>
        <w:rPr>
          <w:rFonts w:hint="eastAsia" w:ascii="Times New Roman" w:eastAsia="宋体"/>
          <w:color w:val="000000"/>
          <w:szCs w:val="21"/>
        </w:rPr>
        <w:t>。</w:t>
      </w:r>
      <w:bookmarkEnd w:id="74"/>
      <w:bookmarkEnd w:id="75"/>
      <w:bookmarkEnd w:id="76"/>
    </w:p>
    <w:p w14:paraId="18393689">
      <w:pPr>
        <w:pStyle w:val="104"/>
        <w:spacing w:before="240" w:after="240"/>
        <w:rPr>
          <w:rFonts w:hint="eastAsia"/>
          <w:szCs w:val="21"/>
          <w:lang w:val="en-US" w:eastAsia="zh-CN"/>
        </w:rPr>
      </w:pPr>
      <w:bookmarkStart w:id="77" w:name="_Toc5670"/>
      <w:r>
        <w:rPr>
          <w:rFonts w:hint="eastAsia"/>
          <w:szCs w:val="21"/>
          <w:lang w:val="en-US" w:eastAsia="zh-CN"/>
        </w:rPr>
        <w:t>分级要求</w:t>
      </w:r>
      <w:bookmarkEnd w:id="77"/>
    </w:p>
    <w:p w14:paraId="5E92F151">
      <w:pPr>
        <w:pStyle w:val="105"/>
        <w:spacing w:before="120" w:after="120"/>
        <w:rPr>
          <w:rFonts w:hint="eastAsia" w:hAnsi="黑体"/>
          <w:color w:val="000000"/>
          <w:szCs w:val="21"/>
          <w:lang w:val="en-US" w:eastAsia="zh-CN"/>
        </w:rPr>
      </w:pPr>
      <w:bookmarkStart w:id="78" w:name="_Toc32278"/>
      <w:r>
        <w:rPr>
          <w:rFonts w:hint="eastAsia" w:hAnsi="黑体"/>
          <w:color w:val="000000"/>
          <w:szCs w:val="21"/>
          <w:lang w:val="en-US" w:eastAsia="zh-CN"/>
        </w:rPr>
        <w:t>原料要求</w:t>
      </w:r>
      <w:bookmarkEnd w:id="78"/>
    </w:p>
    <w:p w14:paraId="4828C780">
      <w:pPr>
        <w:pStyle w:val="56"/>
        <w:rPr>
          <w:rFonts w:hint="eastAsia" w:ascii="Times New Roman" w:hAnsi="Times New Roman" w:eastAsia="宋体" w:cs="Times New Roman"/>
          <w:color w:val="000000"/>
          <w:sz w:val="21"/>
          <w:szCs w:val="21"/>
          <w:lang w:val="en-US" w:eastAsia="zh-CN" w:bidi="ar-SA"/>
        </w:rPr>
      </w:pPr>
      <w:r>
        <w:rPr>
          <w:rFonts w:hint="eastAsia" w:ascii="Times New Roman" w:hAnsi="Times New Roman" w:eastAsia="宋体" w:cs="Times New Roman"/>
          <w:color w:val="000000"/>
          <w:sz w:val="21"/>
          <w:szCs w:val="21"/>
          <w:lang w:val="en-US" w:eastAsia="zh-CN" w:bidi="ar-SA"/>
        </w:rPr>
        <w:t>鲜、冻分割牛肉的原料应符合GB/T19477的规定。</w:t>
      </w:r>
    </w:p>
    <w:p w14:paraId="649BE44E">
      <w:pPr>
        <w:pStyle w:val="105"/>
        <w:spacing w:before="120" w:after="120"/>
        <w:rPr>
          <w:rFonts w:hint="eastAsia" w:hAnsi="黑体"/>
          <w:color w:val="000000"/>
          <w:szCs w:val="21"/>
          <w:lang w:val="en-US" w:eastAsia="zh-CN"/>
        </w:rPr>
      </w:pPr>
      <w:bookmarkStart w:id="79" w:name="_Toc21479"/>
      <w:r>
        <w:rPr>
          <w:rFonts w:hint="eastAsia" w:hAnsi="黑体"/>
          <w:color w:val="000000"/>
          <w:szCs w:val="21"/>
          <w:lang w:val="en-US" w:eastAsia="zh-CN"/>
        </w:rPr>
        <w:t>屠宰要求</w:t>
      </w:r>
      <w:bookmarkEnd w:id="79"/>
    </w:p>
    <w:p w14:paraId="59BF3DB3">
      <w:pPr>
        <w:pStyle w:val="56"/>
        <w:rPr>
          <w:rFonts w:hint="eastAsia"/>
          <w:lang w:val="en-US" w:eastAsia="zh-CN"/>
        </w:rPr>
      </w:pPr>
      <w:r>
        <w:rPr>
          <w:rFonts w:hint="eastAsia"/>
          <w:lang w:val="en-US" w:eastAsia="zh-CN"/>
        </w:rPr>
        <w:t>牛屠宰操作规程应符合GB/T19477的规定。</w:t>
      </w:r>
    </w:p>
    <w:p w14:paraId="583B968E">
      <w:pPr>
        <w:pStyle w:val="105"/>
        <w:spacing w:before="120" w:after="120"/>
        <w:rPr>
          <w:rFonts w:hint="eastAsia" w:hAnsi="黑体"/>
          <w:color w:val="000000"/>
          <w:szCs w:val="21"/>
          <w:lang w:val="en-US" w:eastAsia="zh-CN"/>
        </w:rPr>
      </w:pPr>
      <w:bookmarkStart w:id="80" w:name="_Toc20678"/>
      <w:r>
        <w:rPr>
          <w:rFonts w:hint="eastAsia" w:hAnsi="黑体"/>
          <w:color w:val="000000"/>
          <w:szCs w:val="21"/>
          <w:lang w:val="en-US" w:eastAsia="zh-CN"/>
        </w:rPr>
        <w:t>卫生要求</w:t>
      </w:r>
      <w:bookmarkEnd w:id="80"/>
    </w:p>
    <w:p w14:paraId="486D1818">
      <w:pPr>
        <w:pStyle w:val="56"/>
        <w:ind w:firstLine="420"/>
        <w:rPr>
          <w:rFonts w:hint="eastAsia" w:ascii="Times New Roman"/>
          <w:color w:val="000000"/>
          <w:szCs w:val="21"/>
          <w:lang w:val="en-US" w:eastAsia="zh-CN"/>
        </w:rPr>
      </w:pPr>
      <w:r>
        <w:rPr>
          <w:rFonts w:hint="eastAsia" w:ascii="Times New Roman"/>
          <w:color w:val="000000"/>
          <w:szCs w:val="21"/>
          <w:lang w:val="en-US" w:eastAsia="zh-CN"/>
        </w:rPr>
        <w:t>牛肉加工规范及卫生要求应符合GB12694的规定。</w:t>
      </w:r>
    </w:p>
    <w:p w14:paraId="3FC4EE5E">
      <w:pPr>
        <w:pStyle w:val="105"/>
        <w:spacing w:before="120" w:after="120"/>
        <w:rPr>
          <w:rFonts w:hint="eastAsia" w:hAnsi="黑体"/>
          <w:color w:val="000000"/>
          <w:szCs w:val="21"/>
          <w:lang w:val="en-US" w:eastAsia="zh-CN"/>
        </w:rPr>
      </w:pPr>
      <w:bookmarkStart w:id="81" w:name="_Toc10665"/>
      <w:r>
        <w:rPr>
          <w:rFonts w:hint="eastAsia" w:hAnsi="黑体"/>
          <w:color w:val="000000"/>
          <w:szCs w:val="21"/>
          <w:lang w:val="en-US" w:eastAsia="zh-CN"/>
        </w:rPr>
        <w:t>冷却、贮藏或冻结要求</w:t>
      </w:r>
      <w:bookmarkEnd w:id="81"/>
    </w:p>
    <w:p w14:paraId="0F845FDE">
      <w:pPr>
        <w:pStyle w:val="56"/>
        <w:ind w:firstLine="420"/>
        <w:rPr>
          <w:rFonts w:hint="eastAsia" w:ascii="Times New Roman"/>
          <w:color w:val="000000"/>
          <w:szCs w:val="21"/>
          <w:lang w:val="en-US" w:eastAsia="zh-CN"/>
        </w:rPr>
      </w:pPr>
      <w:r>
        <w:rPr>
          <w:rFonts w:hint="eastAsia" w:ascii="Times New Roman"/>
          <w:color w:val="000000"/>
          <w:szCs w:val="21"/>
          <w:lang w:val="en-US" w:eastAsia="zh-CN"/>
        </w:rPr>
        <w:t>冷却、贮藏或冻结要求应符合SBJ/T08的规定。</w:t>
      </w:r>
    </w:p>
    <w:p w14:paraId="7C9B3D07">
      <w:pPr>
        <w:pStyle w:val="105"/>
        <w:spacing w:before="120" w:after="120"/>
        <w:rPr>
          <w:rFonts w:hint="eastAsia" w:hAnsi="黑体"/>
          <w:color w:val="000000"/>
          <w:szCs w:val="21"/>
          <w:lang w:val="en-US" w:eastAsia="zh-CN"/>
        </w:rPr>
      </w:pPr>
      <w:bookmarkStart w:id="82" w:name="_Toc4399"/>
      <w:r>
        <w:rPr>
          <w:rFonts w:hint="eastAsia" w:hAnsi="黑体"/>
          <w:color w:val="000000"/>
          <w:szCs w:val="21"/>
          <w:lang w:val="en-US" w:eastAsia="zh-CN"/>
        </w:rPr>
        <w:t>胴体分割要求</w:t>
      </w:r>
      <w:bookmarkEnd w:id="82"/>
    </w:p>
    <w:p w14:paraId="71A18823">
      <w:pPr>
        <w:pStyle w:val="56"/>
        <w:ind w:firstLine="420"/>
        <w:rPr>
          <w:rFonts w:hint="eastAsia" w:ascii="Times New Roman"/>
          <w:color w:val="000000"/>
          <w:szCs w:val="21"/>
          <w:lang w:val="en-US" w:eastAsia="zh-CN"/>
        </w:rPr>
      </w:pPr>
      <w:r>
        <w:rPr>
          <w:rFonts w:hint="eastAsia" w:ascii="Times New Roman"/>
          <w:color w:val="000000"/>
          <w:szCs w:val="21"/>
          <w:lang w:val="en-US" w:eastAsia="zh-CN"/>
        </w:rPr>
        <w:t>牛胴体分割应符合GB/T17238的规定。</w:t>
      </w:r>
    </w:p>
    <w:p w14:paraId="72283205">
      <w:pPr>
        <w:pStyle w:val="104"/>
        <w:spacing w:before="240" w:after="240"/>
        <w:rPr>
          <w:szCs w:val="21"/>
        </w:rPr>
      </w:pPr>
      <w:bookmarkStart w:id="83" w:name="_Toc8704"/>
      <w:r>
        <w:rPr>
          <w:rFonts w:hint="eastAsia"/>
          <w:szCs w:val="21"/>
        </w:rPr>
        <w:t>分级前的准备</w:t>
      </w:r>
      <w:bookmarkEnd w:id="83"/>
    </w:p>
    <w:p w14:paraId="5097A4CA">
      <w:pPr>
        <w:pStyle w:val="105"/>
        <w:spacing w:before="120" w:after="120"/>
        <w:rPr>
          <w:rFonts w:hAnsi="黑体"/>
          <w:color w:val="000000"/>
          <w:szCs w:val="21"/>
        </w:rPr>
      </w:pPr>
      <w:bookmarkStart w:id="84" w:name="_Toc32656"/>
      <w:r>
        <w:rPr>
          <w:rFonts w:hAnsi="黑体"/>
          <w:color w:val="000000"/>
          <w:szCs w:val="21"/>
        </w:rPr>
        <w:t>人员</w:t>
      </w:r>
      <w:bookmarkEnd w:id="84"/>
    </w:p>
    <w:p w14:paraId="713A9FE0">
      <w:pPr>
        <w:pStyle w:val="65"/>
        <w:spacing w:before="120" w:after="120"/>
        <w:rPr>
          <w:rFonts w:hAnsi="黑体"/>
          <w:color w:val="000000"/>
          <w:szCs w:val="21"/>
        </w:rPr>
      </w:pPr>
      <w:r>
        <w:rPr>
          <w:rFonts w:hAnsi="黑体"/>
          <w:color w:val="000000"/>
          <w:szCs w:val="21"/>
        </w:rPr>
        <w:t>分级员</w:t>
      </w:r>
    </w:p>
    <w:p w14:paraId="35BA9143">
      <w:pPr>
        <w:pStyle w:val="56"/>
        <w:ind w:firstLine="420"/>
        <w:rPr>
          <w:rFonts w:ascii="Times New Roman"/>
          <w:color w:val="000000"/>
          <w:szCs w:val="21"/>
        </w:rPr>
      </w:pPr>
      <w:r>
        <w:rPr>
          <w:rFonts w:ascii="Times New Roman"/>
          <w:color w:val="000000"/>
          <w:szCs w:val="21"/>
        </w:rPr>
        <w:t>经过专业培训，能够准确地进行胴体外观评价，正确记录胴体或分割肉质量数据，并对割肉等级规格进行正确判定。</w:t>
      </w:r>
    </w:p>
    <w:p w14:paraId="274C77F0">
      <w:pPr>
        <w:pStyle w:val="65"/>
        <w:spacing w:before="120" w:after="120"/>
        <w:rPr>
          <w:rFonts w:hAnsi="黑体"/>
          <w:color w:val="000000"/>
          <w:szCs w:val="21"/>
        </w:rPr>
      </w:pPr>
      <w:r>
        <w:rPr>
          <w:rFonts w:hAnsi="黑体"/>
          <w:color w:val="000000"/>
          <w:szCs w:val="21"/>
        </w:rPr>
        <w:t>复核员</w:t>
      </w:r>
    </w:p>
    <w:p w14:paraId="329AD90F">
      <w:pPr>
        <w:pStyle w:val="56"/>
        <w:ind w:firstLine="420"/>
        <w:rPr>
          <w:rFonts w:hint="eastAsia" w:ascii="Times New Roman"/>
          <w:color w:val="000000"/>
          <w:szCs w:val="21"/>
          <w:lang w:val="en-US" w:eastAsia="zh-CN"/>
        </w:rPr>
      </w:pPr>
      <w:r>
        <w:rPr>
          <w:rFonts w:hint="eastAsia" w:ascii="Times New Roman"/>
          <w:color w:val="000000"/>
          <w:szCs w:val="21"/>
          <w:lang w:val="en-US" w:eastAsia="zh-CN"/>
        </w:rPr>
        <w:t>应经过专业培训，熟悉胴体和分割肉分级方法和标准，对分级员的判定结果进行审核。</w:t>
      </w:r>
    </w:p>
    <w:p w14:paraId="538E4866">
      <w:pPr>
        <w:pStyle w:val="105"/>
        <w:spacing w:before="120" w:after="120"/>
        <w:rPr>
          <w:rFonts w:hAnsi="黑体"/>
          <w:color w:val="000000"/>
          <w:szCs w:val="21"/>
        </w:rPr>
      </w:pPr>
      <w:bookmarkStart w:id="85" w:name="_Toc17475"/>
      <w:r>
        <w:rPr>
          <w:rFonts w:hAnsi="黑体"/>
          <w:color w:val="000000"/>
          <w:szCs w:val="21"/>
        </w:rPr>
        <w:t>分级环境</w:t>
      </w:r>
      <w:bookmarkEnd w:id="85"/>
    </w:p>
    <w:p w14:paraId="40C0AED1">
      <w:pPr>
        <w:pStyle w:val="56"/>
        <w:ind w:firstLine="420"/>
        <w:rPr>
          <w:rFonts w:ascii="Times New Roman"/>
          <w:color w:val="000000"/>
          <w:szCs w:val="21"/>
        </w:rPr>
      </w:pPr>
      <w:r>
        <w:rPr>
          <w:rFonts w:hint="eastAsia" w:ascii="Times New Roman"/>
          <w:color w:val="000000"/>
          <w:szCs w:val="21"/>
        </w:rPr>
        <w:t>胴体</w:t>
      </w:r>
      <w:r>
        <w:rPr>
          <w:rFonts w:ascii="Times New Roman"/>
          <w:color w:val="000000"/>
          <w:szCs w:val="21"/>
        </w:rPr>
        <w:t>分级宜设在屠宰加工车间清洁区</w:t>
      </w:r>
      <w:r>
        <w:rPr>
          <w:rFonts w:hint="eastAsia" w:ascii="Times New Roman"/>
          <w:color w:val="000000"/>
          <w:szCs w:val="21"/>
        </w:rPr>
        <w:t>屠宰线上进行</w:t>
      </w:r>
      <w:r>
        <w:rPr>
          <w:rFonts w:ascii="Times New Roman"/>
          <w:color w:val="000000"/>
          <w:szCs w:val="21"/>
        </w:rPr>
        <w:t>，分割肉分级宜设在分割车间</w:t>
      </w:r>
      <w:r>
        <w:rPr>
          <w:rFonts w:hint="eastAsia" w:ascii="Times New Roman"/>
          <w:color w:val="000000"/>
          <w:szCs w:val="21"/>
        </w:rPr>
        <w:t>分割后进行，</w:t>
      </w:r>
      <w:r>
        <w:rPr>
          <w:rFonts w:ascii="Times New Roman"/>
          <w:color w:val="000000"/>
          <w:szCs w:val="21"/>
        </w:rPr>
        <w:t>周边环境应卫生、整洁</w:t>
      </w:r>
      <w:r>
        <w:rPr>
          <w:rFonts w:hint="eastAsia" w:ascii="Times New Roman"/>
          <w:color w:val="000000"/>
          <w:szCs w:val="21"/>
        </w:rPr>
        <w:t>。</w:t>
      </w:r>
      <w:r>
        <w:rPr>
          <w:rFonts w:ascii="Times New Roman"/>
          <w:color w:val="000000"/>
          <w:szCs w:val="21"/>
        </w:rPr>
        <w:t>车间整体光照强度≥</w:t>
      </w:r>
      <w:r>
        <w:rPr>
          <w:rFonts w:hint="eastAsia" w:ascii="Times New Roman"/>
          <w:color w:val="000000"/>
          <w:szCs w:val="21"/>
        </w:rPr>
        <w:t>3</w:t>
      </w:r>
      <w:r>
        <w:rPr>
          <w:rFonts w:ascii="Times New Roman"/>
          <w:color w:val="000000"/>
          <w:szCs w:val="21"/>
        </w:rPr>
        <w:t>00 lx，分割操作台面≥</w:t>
      </w:r>
      <w:r>
        <w:rPr>
          <w:rFonts w:hint="eastAsia" w:ascii="Times New Roman"/>
          <w:color w:val="000000"/>
          <w:szCs w:val="21"/>
        </w:rPr>
        <w:t>6</w:t>
      </w:r>
      <w:r>
        <w:rPr>
          <w:rFonts w:ascii="Times New Roman"/>
          <w:color w:val="000000"/>
          <w:szCs w:val="21"/>
        </w:rPr>
        <w:t>00 lx。</w:t>
      </w:r>
    </w:p>
    <w:p w14:paraId="75781C4A">
      <w:pPr>
        <w:pStyle w:val="105"/>
        <w:spacing w:before="120" w:after="120"/>
        <w:rPr>
          <w:rFonts w:hAnsi="黑体"/>
          <w:color w:val="000000"/>
          <w:szCs w:val="21"/>
        </w:rPr>
      </w:pPr>
      <w:r>
        <w:rPr>
          <w:rFonts w:hAnsi="黑体"/>
          <w:color w:val="000000"/>
          <w:szCs w:val="21"/>
        </w:rPr>
        <w:t xml:space="preserve"> </w:t>
      </w:r>
      <w:bookmarkStart w:id="86" w:name="_Toc30132"/>
      <w:r>
        <w:rPr>
          <w:rFonts w:hAnsi="黑体"/>
          <w:color w:val="000000"/>
          <w:szCs w:val="21"/>
        </w:rPr>
        <w:t>分级</w:t>
      </w:r>
      <w:r>
        <w:rPr>
          <w:rFonts w:hint="eastAsia" w:hAnsi="黑体"/>
          <w:color w:val="000000"/>
          <w:szCs w:val="21"/>
        </w:rPr>
        <w:t>设备和称量</w:t>
      </w:r>
      <w:r>
        <w:rPr>
          <w:rFonts w:hAnsi="黑体"/>
          <w:color w:val="000000"/>
          <w:szCs w:val="21"/>
        </w:rPr>
        <w:t>器具</w:t>
      </w:r>
      <w:bookmarkEnd w:id="86"/>
    </w:p>
    <w:p w14:paraId="694740F9">
      <w:pPr>
        <w:pStyle w:val="65"/>
        <w:spacing w:before="120" w:after="120"/>
        <w:rPr>
          <w:rFonts w:hAnsi="黑体"/>
          <w:color w:val="000000"/>
          <w:szCs w:val="21"/>
        </w:rPr>
      </w:pPr>
      <w:r>
        <w:rPr>
          <w:rFonts w:hAnsi="黑体"/>
          <w:color w:val="000000"/>
          <w:szCs w:val="21"/>
        </w:rPr>
        <w:t>分级设备和</w:t>
      </w:r>
      <w:r>
        <w:rPr>
          <w:rFonts w:hint="eastAsia" w:hAnsi="黑体"/>
          <w:color w:val="000000"/>
          <w:szCs w:val="21"/>
        </w:rPr>
        <w:t>称量器具</w:t>
      </w:r>
      <w:r>
        <w:rPr>
          <w:rFonts w:hAnsi="黑体"/>
          <w:color w:val="000000"/>
          <w:szCs w:val="21"/>
        </w:rPr>
        <w:t>选择</w:t>
      </w:r>
    </w:p>
    <w:p w14:paraId="3CC10D30">
      <w:pPr>
        <w:pStyle w:val="56"/>
        <w:ind w:firstLine="420"/>
        <w:rPr>
          <w:rFonts w:ascii="Times New Roman"/>
          <w:color w:val="000000"/>
          <w:szCs w:val="21"/>
        </w:rPr>
      </w:pPr>
      <w:r>
        <w:rPr>
          <w:rFonts w:ascii="Times New Roman"/>
          <w:color w:val="000000"/>
          <w:szCs w:val="21"/>
        </w:rPr>
        <w:t>应选择但不限于4.3.2列出的胴体分级设备和称量器具，分级前应对其进行清洁和校准。</w:t>
      </w:r>
    </w:p>
    <w:p w14:paraId="481989CE">
      <w:pPr>
        <w:pStyle w:val="65"/>
        <w:spacing w:before="120" w:after="120"/>
        <w:rPr>
          <w:rFonts w:hAnsi="黑体"/>
          <w:color w:val="000000"/>
          <w:szCs w:val="21"/>
        </w:rPr>
      </w:pPr>
      <w:r>
        <w:rPr>
          <w:rFonts w:hAnsi="黑体"/>
          <w:color w:val="000000"/>
          <w:szCs w:val="21"/>
        </w:rPr>
        <w:t>分级设备和</w:t>
      </w:r>
      <w:r>
        <w:rPr>
          <w:rFonts w:hint="eastAsia" w:hAnsi="黑体"/>
          <w:color w:val="000000"/>
          <w:szCs w:val="21"/>
        </w:rPr>
        <w:t>称量</w:t>
      </w:r>
      <w:r>
        <w:rPr>
          <w:rFonts w:hAnsi="黑体"/>
          <w:color w:val="000000"/>
          <w:szCs w:val="21"/>
        </w:rPr>
        <w:t>器具要求</w:t>
      </w:r>
    </w:p>
    <w:p w14:paraId="64A762CC">
      <w:pPr>
        <w:pStyle w:val="56"/>
        <w:ind w:firstLine="0" w:firstLineChars="0"/>
        <w:rPr>
          <w:rFonts w:ascii="Times New Roman"/>
          <w:color w:val="000000"/>
          <w:szCs w:val="21"/>
        </w:rPr>
      </w:pPr>
      <w:r>
        <w:rPr>
          <w:rFonts w:hint="eastAsia" w:ascii="Times New Roman"/>
          <w:color w:val="000000"/>
          <w:szCs w:val="21"/>
          <w:lang w:val="en-US" w:eastAsia="zh-CN"/>
        </w:rPr>
        <w:t>5</w:t>
      </w:r>
      <w:r>
        <w:rPr>
          <w:rFonts w:hint="eastAsia" w:ascii="Times New Roman"/>
          <w:color w:val="000000"/>
          <w:szCs w:val="21"/>
        </w:rPr>
        <w:t>.3.2.1</w:t>
      </w:r>
      <w:r>
        <w:rPr>
          <w:rFonts w:ascii="Times New Roman"/>
          <w:color w:val="000000"/>
          <w:szCs w:val="21"/>
        </w:rPr>
        <w:t xml:space="preserve"> 采用超声分级仪和影</w:t>
      </w:r>
      <w:r>
        <w:rPr>
          <w:rFonts w:hint="eastAsia" w:ascii="Times New Roman"/>
          <w:color w:val="000000"/>
          <w:szCs w:val="21"/>
        </w:rPr>
        <w:t>像</w:t>
      </w:r>
      <w:r>
        <w:rPr>
          <w:rFonts w:ascii="Times New Roman"/>
          <w:color w:val="000000"/>
          <w:szCs w:val="21"/>
        </w:rPr>
        <w:t>吸仪等</w:t>
      </w:r>
      <w:r>
        <w:rPr>
          <w:rFonts w:hint="eastAsia" w:ascii="Times New Roman"/>
          <w:color w:val="000000"/>
          <w:szCs w:val="21"/>
        </w:rPr>
        <w:t>设备，</w:t>
      </w:r>
      <w:r>
        <w:rPr>
          <w:rFonts w:ascii="Times New Roman"/>
          <w:color w:val="000000"/>
          <w:szCs w:val="21"/>
        </w:rPr>
        <w:t>通过数学模型计算胴体瘦肉率。</w:t>
      </w:r>
    </w:p>
    <w:p w14:paraId="699E7B6E">
      <w:pPr>
        <w:pStyle w:val="56"/>
        <w:ind w:firstLine="0" w:firstLineChars="0"/>
        <w:rPr>
          <w:rFonts w:ascii="Times New Roman"/>
          <w:color w:val="000000"/>
          <w:szCs w:val="21"/>
        </w:rPr>
      </w:pPr>
      <w:r>
        <w:rPr>
          <w:rFonts w:hint="eastAsia" w:ascii="Times New Roman"/>
          <w:color w:val="000000"/>
          <w:szCs w:val="21"/>
          <w:lang w:val="en-US" w:eastAsia="zh-CN"/>
        </w:rPr>
        <w:t>5</w:t>
      </w:r>
      <w:r>
        <w:rPr>
          <w:rFonts w:ascii="Times New Roman"/>
          <w:color w:val="000000"/>
          <w:szCs w:val="21"/>
        </w:rPr>
        <w:t>.3.2.2</w:t>
      </w:r>
      <w:r>
        <w:rPr>
          <w:rFonts w:hint="eastAsia" w:ascii="Times New Roman"/>
          <w:color w:val="000000"/>
          <w:szCs w:val="21"/>
        </w:rPr>
        <w:t xml:space="preserve"> </w:t>
      </w:r>
      <w:r>
        <w:rPr>
          <w:rFonts w:ascii="Times New Roman"/>
          <w:color w:val="000000"/>
          <w:szCs w:val="21"/>
        </w:rPr>
        <w:t>大理石纹等级卡片，</w:t>
      </w:r>
      <w:r>
        <w:rPr>
          <w:rFonts w:hint="eastAsia" w:ascii="Times New Roman"/>
          <w:color w:val="000000"/>
          <w:szCs w:val="21"/>
        </w:rPr>
        <w:t>肌肉</w:t>
      </w:r>
      <w:r>
        <w:rPr>
          <w:rFonts w:ascii="Times New Roman"/>
          <w:color w:val="000000"/>
          <w:szCs w:val="21"/>
        </w:rPr>
        <w:t>颜色等级卡片、脂肪颜色等级卡用于大理石花纹</w:t>
      </w:r>
      <w:r>
        <w:rPr>
          <w:rFonts w:hint="eastAsia" w:ascii="Times New Roman"/>
          <w:color w:val="000000"/>
          <w:szCs w:val="21"/>
        </w:rPr>
        <w:t>、脂肪</w:t>
      </w:r>
      <w:r>
        <w:rPr>
          <w:rFonts w:ascii="Times New Roman"/>
          <w:color w:val="000000"/>
          <w:szCs w:val="21"/>
        </w:rPr>
        <w:t>颜色等级</w:t>
      </w:r>
      <w:r>
        <w:rPr>
          <w:rFonts w:hint="eastAsia" w:ascii="Times New Roman"/>
          <w:color w:val="000000"/>
          <w:szCs w:val="21"/>
        </w:rPr>
        <w:t>评定。</w:t>
      </w:r>
    </w:p>
    <w:p w14:paraId="7F1FD9E4">
      <w:pPr>
        <w:pStyle w:val="56"/>
        <w:ind w:firstLine="0" w:firstLineChars="0"/>
        <w:rPr>
          <w:rFonts w:ascii="Times New Roman"/>
          <w:color w:val="000000"/>
          <w:szCs w:val="21"/>
        </w:rPr>
      </w:pPr>
      <w:r>
        <w:rPr>
          <w:rFonts w:hint="eastAsia" w:ascii="Times New Roman"/>
          <w:color w:val="000000"/>
          <w:szCs w:val="21"/>
          <w:lang w:val="en-US" w:eastAsia="zh-CN"/>
        </w:rPr>
        <w:t>5</w:t>
      </w:r>
      <w:r>
        <w:rPr>
          <w:rFonts w:hint="eastAsia" w:ascii="Times New Roman"/>
          <w:color w:val="000000"/>
          <w:szCs w:val="21"/>
        </w:rPr>
        <w:t>.3.2.3</w:t>
      </w:r>
      <w:r>
        <w:rPr>
          <w:rFonts w:ascii="Times New Roman"/>
          <w:color w:val="000000"/>
          <w:szCs w:val="21"/>
        </w:rPr>
        <w:t xml:space="preserve"> </w:t>
      </w:r>
      <w:r>
        <w:rPr>
          <w:rFonts w:hint="eastAsia" w:ascii="Times New Roman"/>
          <w:color w:val="000000"/>
          <w:szCs w:val="21"/>
        </w:rPr>
        <w:t>轨道电子秤：安装在屠宰线轨道上，用于称量胴体的质量，精度和量程应调足称量需要。</w:t>
      </w:r>
    </w:p>
    <w:p w14:paraId="0F83362E">
      <w:pPr>
        <w:pStyle w:val="56"/>
        <w:ind w:firstLine="0" w:firstLineChars="0"/>
        <w:rPr>
          <w:rFonts w:ascii="Times New Roman"/>
          <w:color w:val="000000"/>
          <w:szCs w:val="21"/>
        </w:rPr>
      </w:pPr>
      <w:r>
        <w:rPr>
          <w:rFonts w:hint="eastAsia" w:ascii="Times New Roman"/>
          <w:color w:val="000000"/>
          <w:szCs w:val="21"/>
          <w:lang w:val="en-US" w:eastAsia="zh-CN"/>
        </w:rPr>
        <w:t>5</w:t>
      </w:r>
      <w:r>
        <w:rPr>
          <w:rFonts w:hint="eastAsia" w:ascii="Times New Roman"/>
          <w:color w:val="000000"/>
          <w:szCs w:val="21"/>
        </w:rPr>
        <w:t>.3.2.</w:t>
      </w:r>
      <w:r>
        <w:rPr>
          <w:rFonts w:ascii="Times New Roman"/>
          <w:color w:val="000000"/>
          <w:szCs w:val="21"/>
        </w:rPr>
        <w:t xml:space="preserve">4 </w:t>
      </w:r>
      <w:r>
        <w:rPr>
          <w:rFonts w:hint="eastAsia" w:ascii="Times New Roman"/>
          <w:color w:val="000000"/>
          <w:szCs w:val="21"/>
        </w:rPr>
        <w:t>台秤：用于称量肉牛分割肉的质量，精度量程应足称量需要。</w:t>
      </w:r>
    </w:p>
    <w:p w14:paraId="4AD3DB42">
      <w:pPr>
        <w:pStyle w:val="56"/>
        <w:ind w:firstLine="0" w:firstLineChars="0"/>
        <w:rPr>
          <w:rFonts w:ascii="Times New Roman"/>
          <w:color w:val="000000"/>
          <w:szCs w:val="21"/>
        </w:rPr>
      </w:pPr>
      <w:r>
        <w:rPr>
          <w:rFonts w:hint="eastAsia" w:ascii="Times New Roman"/>
          <w:color w:val="000000"/>
          <w:szCs w:val="21"/>
          <w:lang w:val="en-US" w:eastAsia="zh-CN"/>
        </w:rPr>
        <w:t>5</w:t>
      </w:r>
      <w:r>
        <w:rPr>
          <w:rFonts w:hint="eastAsia" w:ascii="Times New Roman"/>
          <w:color w:val="000000"/>
          <w:szCs w:val="21"/>
        </w:rPr>
        <w:t>.3.2.</w:t>
      </w:r>
      <w:r>
        <w:rPr>
          <w:rFonts w:ascii="Times New Roman"/>
          <w:color w:val="000000"/>
          <w:szCs w:val="21"/>
        </w:rPr>
        <w:t xml:space="preserve">5 </w:t>
      </w:r>
      <w:r>
        <w:rPr>
          <w:rFonts w:hint="eastAsia" w:ascii="Times New Roman"/>
          <w:color w:val="000000"/>
          <w:szCs w:val="21"/>
        </w:rPr>
        <w:t>尺子：用于测量脂肪和肌肉厚度，精度为0.1mm。</w:t>
      </w:r>
    </w:p>
    <w:p w14:paraId="75990ADE">
      <w:pPr>
        <w:pStyle w:val="104"/>
        <w:spacing w:before="240" w:after="240"/>
        <w:rPr>
          <w:szCs w:val="21"/>
        </w:rPr>
      </w:pPr>
      <w:bookmarkStart w:id="87" w:name="_Toc23478"/>
      <w:r>
        <w:rPr>
          <w:rFonts w:hint="eastAsia"/>
          <w:szCs w:val="21"/>
        </w:rPr>
        <w:t>评定方法</w:t>
      </w:r>
      <w:bookmarkEnd w:id="87"/>
    </w:p>
    <w:p w14:paraId="3D77CFD9">
      <w:pPr>
        <w:pStyle w:val="105"/>
        <w:spacing w:before="120" w:after="120"/>
        <w:rPr>
          <w:rFonts w:hAnsi="黑体"/>
          <w:color w:val="000000"/>
          <w:szCs w:val="21"/>
        </w:rPr>
      </w:pPr>
      <w:bookmarkStart w:id="88" w:name="_Toc4069"/>
      <w:r>
        <w:rPr>
          <w:rFonts w:hint="eastAsia" w:hAnsi="黑体"/>
          <w:color w:val="000000"/>
          <w:szCs w:val="21"/>
        </w:rPr>
        <w:t>牛胴体与分割肉表观评定</w:t>
      </w:r>
      <w:bookmarkEnd w:id="88"/>
    </w:p>
    <w:p w14:paraId="14D81C46">
      <w:pPr>
        <w:pStyle w:val="65"/>
        <w:spacing w:before="120" w:after="120"/>
        <w:rPr>
          <w:rFonts w:hAnsi="黑体"/>
          <w:color w:val="000000"/>
          <w:szCs w:val="21"/>
        </w:rPr>
      </w:pPr>
      <w:r>
        <w:rPr>
          <w:rFonts w:hAnsi="黑体"/>
          <w:color w:val="000000"/>
          <w:szCs w:val="21"/>
        </w:rPr>
        <w:t>牛胴体</w:t>
      </w:r>
      <w:r>
        <w:rPr>
          <w:rFonts w:hint="eastAsia" w:hAnsi="黑体"/>
          <w:color w:val="000000"/>
          <w:szCs w:val="21"/>
        </w:rPr>
        <w:t>表观</w:t>
      </w:r>
      <w:r>
        <w:rPr>
          <w:rFonts w:hAnsi="黑体"/>
          <w:color w:val="000000"/>
          <w:szCs w:val="21"/>
        </w:rPr>
        <w:t>评价</w:t>
      </w:r>
    </w:p>
    <w:p w14:paraId="6BD5456A">
      <w:pPr>
        <w:pStyle w:val="56"/>
        <w:ind w:firstLine="420"/>
        <w:rPr>
          <w:rFonts w:ascii="Times New Roman"/>
          <w:color w:val="000000"/>
          <w:szCs w:val="21"/>
        </w:rPr>
      </w:pPr>
      <w:r>
        <w:rPr>
          <w:rFonts w:ascii="Times New Roman"/>
          <w:color w:val="000000"/>
          <w:szCs w:val="21"/>
        </w:rPr>
        <w:t>目测胴体表而是否有刀</w:t>
      </w:r>
      <w:r>
        <w:rPr>
          <w:rFonts w:hint="eastAsia" w:ascii="Times New Roman"/>
          <w:color w:val="000000"/>
          <w:szCs w:val="21"/>
        </w:rPr>
        <w:t>伤、血污、</w:t>
      </w:r>
      <w:r>
        <w:rPr>
          <w:rFonts w:ascii="Times New Roman"/>
          <w:color w:val="000000"/>
          <w:szCs w:val="21"/>
        </w:rPr>
        <w:t>筋皮</w:t>
      </w:r>
      <w:r>
        <w:rPr>
          <w:rFonts w:hint="eastAsia" w:ascii="Times New Roman"/>
          <w:color w:val="000000"/>
          <w:szCs w:val="21"/>
        </w:rPr>
        <w:t>、</w:t>
      </w:r>
      <w:r>
        <w:rPr>
          <w:rFonts w:ascii="Times New Roman"/>
          <w:color w:val="000000"/>
          <w:szCs w:val="21"/>
        </w:rPr>
        <w:t>肌膜</w:t>
      </w:r>
      <w:r>
        <w:rPr>
          <w:rFonts w:hint="eastAsia" w:ascii="Times New Roman"/>
          <w:color w:val="000000"/>
          <w:szCs w:val="21"/>
        </w:rPr>
        <w:t>、</w:t>
      </w:r>
      <w:r>
        <w:rPr>
          <w:rFonts w:ascii="Times New Roman"/>
          <w:color w:val="000000"/>
          <w:szCs w:val="21"/>
        </w:rPr>
        <w:t>血管</w:t>
      </w:r>
      <w:r>
        <w:rPr>
          <w:rFonts w:hint="eastAsia" w:ascii="Times New Roman"/>
          <w:color w:val="000000"/>
          <w:szCs w:val="21"/>
        </w:rPr>
        <w:t>、</w:t>
      </w:r>
      <w:r>
        <w:rPr>
          <w:rFonts w:ascii="Times New Roman"/>
          <w:color w:val="000000"/>
          <w:szCs w:val="21"/>
        </w:rPr>
        <w:t>碎肉</w:t>
      </w:r>
      <w:r>
        <w:rPr>
          <w:rFonts w:hint="eastAsia" w:ascii="Times New Roman"/>
          <w:color w:val="000000"/>
          <w:szCs w:val="21"/>
        </w:rPr>
        <w:t>、</w:t>
      </w:r>
      <w:r>
        <w:rPr>
          <w:rFonts w:ascii="Times New Roman"/>
          <w:color w:val="000000"/>
          <w:szCs w:val="21"/>
        </w:rPr>
        <w:t>碎骨</w:t>
      </w:r>
      <w:r>
        <w:rPr>
          <w:rFonts w:hint="eastAsia" w:ascii="Times New Roman"/>
          <w:color w:val="000000"/>
          <w:szCs w:val="21"/>
        </w:rPr>
        <w:t>、</w:t>
      </w:r>
      <w:r>
        <w:rPr>
          <w:rFonts w:ascii="Times New Roman"/>
          <w:color w:val="000000"/>
          <w:szCs w:val="21"/>
        </w:rPr>
        <w:t>多余脂防等。</w:t>
      </w:r>
    </w:p>
    <w:p w14:paraId="4033F6F3">
      <w:pPr>
        <w:pStyle w:val="65"/>
        <w:spacing w:before="120" w:after="120"/>
        <w:rPr>
          <w:rFonts w:hAnsi="黑体"/>
          <w:color w:val="000000"/>
          <w:szCs w:val="21"/>
        </w:rPr>
      </w:pPr>
      <w:r>
        <w:rPr>
          <w:rFonts w:hAnsi="黑体"/>
          <w:color w:val="000000"/>
          <w:szCs w:val="21"/>
        </w:rPr>
        <w:t>分割肉</w:t>
      </w:r>
      <w:r>
        <w:rPr>
          <w:rFonts w:hint="eastAsia" w:hAnsi="黑体"/>
          <w:color w:val="000000"/>
          <w:szCs w:val="21"/>
        </w:rPr>
        <w:t>表观评定</w:t>
      </w:r>
    </w:p>
    <w:p w14:paraId="125A13C3">
      <w:pPr>
        <w:pStyle w:val="56"/>
        <w:ind w:firstLine="420"/>
        <w:rPr>
          <w:rFonts w:ascii="Times New Roman"/>
          <w:color w:val="000000"/>
          <w:szCs w:val="21"/>
        </w:rPr>
      </w:pPr>
      <w:r>
        <w:rPr>
          <w:rFonts w:ascii="Times New Roman"/>
          <w:color w:val="000000"/>
          <w:szCs w:val="21"/>
        </w:rPr>
        <w:t>用台秤称量分割肉的质量，开展分割肉感官评定。</w:t>
      </w:r>
    </w:p>
    <w:p w14:paraId="54CAECD2">
      <w:pPr>
        <w:pStyle w:val="105"/>
        <w:spacing w:before="120" w:after="120"/>
        <w:rPr>
          <w:rFonts w:hAnsi="黑体"/>
          <w:color w:val="000000"/>
          <w:szCs w:val="21"/>
        </w:rPr>
      </w:pPr>
      <w:r>
        <w:rPr>
          <w:rFonts w:hAnsi="黑体"/>
          <w:color w:val="000000"/>
          <w:szCs w:val="21"/>
        </w:rPr>
        <w:t xml:space="preserve"> </w:t>
      </w:r>
      <w:bookmarkStart w:id="89" w:name="_Toc295"/>
      <w:r>
        <w:rPr>
          <w:rFonts w:hAnsi="黑体"/>
          <w:color w:val="000000"/>
          <w:szCs w:val="21"/>
        </w:rPr>
        <w:t>胴体处理</w:t>
      </w:r>
      <w:bookmarkEnd w:id="89"/>
    </w:p>
    <w:p w14:paraId="3678670C">
      <w:pPr>
        <w:pStyle w:val="56"/>
        <w:ind w:firstLine="420"/>
        <w:rPr>
          <w:rFonts w:ascii="Times New Roman"/>
          <w:color w:val="000000"/>
          <w:szCs w:val="21"/>
        </w:rPr>
      </w:pPr>
      <w:r>
        <w:rPr>
          <w:rFonts w:ascii="Times New Roman"/>
          <w:color w:val="000000"/>
          <w:szCs w:val="21"/>
        </w:rPr>
        <w:t>在</w:t>
      </w:r>
      <w:r>
        <w:rPr>
          <w:rFonts w:hint="eastAsia" w:ascii="Times New Roman"/>
          <w:color w:val="000000"/>
          <w:szCs w:val="21"/>
        </w:rPr>
        <w:t>肉牛</w:t>
      </w:r>
      <w:r>
        <w:rPr>
          <w:rFonts w:ascii="Times New Roman"/>
          <w:color w:val="000000"/>
          <w:szCs w:val="21"/>
        </w:rPr>
        <w:t>第5~6肋</w:t>
      </w:r>
      <w:r>
        <w:rPr>
          <w:rFonts w:hint="eastAsia" w:ascii="Times New Roman"/>
          <w:color w:val="000000"/>
          <w:szCs w:val="21"/>
        </w:rPr>
        <w:t>骨</w:t>
      </w:r>
      <w:r>
        <w:rPr>
          <w:rFonts w:ascii="Times New Roman"/>
          <w:color w:val="000000"/>
          <w:szCs w:val="21"/>
        </w:rPr>
        <w:t>或第11~12肋</w:t>
      </w:r>
      <w:r>
        <w:rPr>
          <w:rFonts w:hint="eastAsia" w:ascii="Times New Roman"/>
          <w:color w:val="000000"/>
          <w:szCs w:val="21"/>
        </w:rPr>
        <w:t>骨</w:t>
      </w:r>
      <w:r>
        <w:rPr>
          <w:rFonts w:ascii="Times New Roman"/>
          <w:color w:val="000000"/>
          <w:szCs w:val="21"/>
        </w:rPr>
        <w:t>处切断脊椎骨和背最长肌并使切面平整光</w:t>
      </w:r>
      <w:r>
        <w:rPr>
          <w:rFonts w:hint="eastAsia" w:ascii="Times New Roman"/>
          <w:color w:val="000000"/>
          <w:szCs w:val="21"/>
        </w:rPr>
        <w:t>滑。</w:t>
      </w:r>
    </w:p>
    <w:p w14:paraId="47336FE8">
      <w:pPr>
        <w:pStyle w:val="105"/>
        <w:spacing w:before="120" w:after="120"/>
        <w:rPr>
          <w:rFonts w:hAnsi="黑体"/>
          <w:color w:val="000000"/>
          <w:szCs w:val="21"/>
        </w:rPr>
      </w:pPr>
      <w:bookmarkStart w:id="90" w:name="_Toc674"/>
      <w:r>
        <w:rPr>
          <w:rFonts w:hint="eastAsia" w:hAnsi="黑体"/>
          <w:color w:val="000000"/>
          <w:szCs w:val="21"/>
        </w:rPr>
        <w:t>大理石花纹等级评定</w:t>
      </w:r>
      <w:bookmarkEnd w:id="90"/>
    </w:p>
    <w:p w14:paraId="4E1BE31A">
      <w:pPr>
        <w:pStyle w:val="56"/>
        <w:ind w:firstLine="420"/>
        <w:rPr>
          <w:rFonts w:ascii="Times New Roman"/>
          <w:color w:val="000000"/>
          <w:szCs w:val="21"/>
        </w:rPr>
      </w:pPr>
      <w:r>
        <w:rPr>
          <w:rFonts w:hint="eastAsia" w:ascii="Times New Roman"/>
          <w:color w:val="000000"/>
          <w:szCs w:val="21"/>
        </w:rPr>
        <w:t>对照NY/T676中的牛肉大理石纹评级图谱，选取张家川红花牛左侧胴体第</w:t>
      </w:r>
      <w:r>
        <w:rPr>
          <w:rFonts w:hint="eastAsia" w:ascii="Times New Roman"/>
          <w:color w:val="000000"/>
          <w:szCs w:val="21"/>
          <w:lang w:val="en-US" w:eastAsia="zh-CN"/>
        </w:rPr>
        <w:t>6</w:t>
      </w:r>
      <w:r>
        <w:rPr>
          <w:rFonts w:hint="eastAsia" w:ascii="Times New Roman"/>
          <w:color w:val="000000"/>
          <w:szCs w:val="21"/>
        </w:rPr>
        <w:t>肋至第</w:t>
      </w:r>
      <w:r>
        <w:rPr>
          <w:rFonts w:hint="eastAsia" w:ascii="Times New Roman"/>
          <w:color w:val="000000"/>
          <w:szCs w:val="21"/>
          <w:lang w:val="en-US" w:eastAsia="zh-CN"/>
        </w:rPr>
        <w:t>7</w:t>
      </w:r>
      <w:r>
        <w:rPr>
          <w:rFonts w:hint="eastAsia" w:ascii="Times New Roman"/>
          <w:color w:val="000000"/>
          <w:szCs w:val="21"/>
        </w:rPr>
        <w:t>肋间</w:t>
      </w:r>
      <w:r>
        <w:rPr>
          <w:rFonts w:hint="eastAsia" w:ascii="Times New Roman"/>
          <w:color w:val="000000"/>
          <w:szCs w:val="21"/>
          <w:lang w:val="en-US" w:eastAsia="zh-CN"/>
        </w:rPr>
        <w:t>或</w:t>
      </w:r>
      <w:r>
        <w:rPr>
          <w:rFonts w:hint="eastAsia" w:ascii="Times New Roman"/>
          <w:color w:val="000000"/>
          <w:szCs w:val="21"/>
        </w:rPr>
        <w:t>第</w:t>
      </w:r>
      <w:r>
        <w:rPr>
          <w:rFonts w:ascii="Times New Roman"/>
          <w:color w:val="000000"/>
          <w:szCs w:val="21"/>
        </w:rPr>
        <w:t>1</w:t>
      </w:r>
      <w:r>
        <w:rPr>
          <w:rFonts w:hint="eastAsia" w:ascii="Times New Roman"/>
          <w:color w:val="000000"/>
          <w:szCs w:val="21"/>
          <w:lang w:val="en-US" w:eastAsia="zh-CN"/>
        </w:rPr>
        <w:t>2</w:t>
      </w:r>
      <w:r>
        <w:rPr>
          <w:rFonts w:hint="eastAsia" w:ascii="Times New Roman"/>
          <w:color w:val="000000"/>
          <w:szCs w:val="21"/>
        </w:rPr>
        <w:t>肋至第</w:t>
      </w:r>
      <w:r>
        <w:rPr>
          <w:rFonts w:ascii="Times New Roman"/>
          <w:color w:val="000000"/>
          <w:szCs w:val="21"/>
        </w:rPr>
        <w:t>1</w:t>
      </w:r>
      <w:r>
        <w:rPr>
          <w:rFonts w:hint="eastAsia" w:ascii="Times New Roman"/>
          <w:color w:val="000000"/>
          <w:szCs w:val="21"/>
          <w:lang w:val="en-US" w:eastAsia="zh-CN"/>
        </w:rPr>
        <w:t>3</w:t>
      </w:r>
      <w:r>
        <w:rPr>
          <w:rFonts w:hint="eastAsia" w:ascii="Times New Roman"/>
          <w:color w:val="000000"/>
          <w:szCs w:val="21"/>
        </w:rPr>
        <w:t>肋间背最长肌横切面（切面呈红白相间的大理石花纹状）肌内脂肪含量与各卡的相个级别，肌内脂肪含量特别高的，评为大理石花纹5级，肌内脂肪含量特别低的，评为1级，当肌内脂肪含量介于两等级间时，判定为低等级加0.5级。</w:t>
      </w:r>
    </w:p>
    <w:p w14:paraId="7EBFF367">
      <w:pPr>
        <w:pStyle w:val="105"/>
        <w:spacing w:before="120" w:after="120"/>
        <w:rPr>
          <w:rFonts w:hAnsi="黑体"/>
          <w:color w:val="000000"/>
          <w:szCs w:val="21"/>
        </w:rPr>
      </w:pPr>
      <w:bookmarkStart w:id="91" w:name="_Toc16990"/>
      <w:r>
        <w:rPr>
          <w:rFonts w:hint="eastAsia" w:hAnsi="黑体"/>
          <w:color w:val="000000"/>
          <w:szCs w:val="21"/>
        </w:rPr>
        <w:t>肌肉颜色评定</w:t>
      </w:r>
      <w:bookmarkEnd w:id="91"/>
    </w:p>
    <w:p w14:paraId="06CBBAF1">
      <w:pPr>
        <w:pStyle w:val="56"/>
        <w:ind w:firstLine="420"/>
        <w:rPr>
          <w:rFonts w:ascii="Times New Roman"/>
          <w:color w:val="000000"/>
          <w:szCs w:val="21"/>
        </w:rPr>
      </w:pPr>
      <w:r>
        <w:rPr>
          <w:rFonts w:hint="eastAsia" w:ascii="Times New Roman"/>
          <w:color w:val="000000"/>
          <w:szCs w:val="21"/>
        </w:rPr>
        <w:t>对照NY/T676中的肌肉颜色等级图，选取张家川红花牛左侧胴体第</w:t>
      </w:r>
      <w:r>
        <w:rPr>
          <w:rFonts w:hint="eastAsia" w:ascii="Times New Roman"/>
          <w:color w:val="000000"/>
          <w:szCs w:val="21"/>
          <w:lang w:val="en-US" w:eastAsia="zh-CN"/>
        </w:rPr>
        <w:t>6</w:t>
      </w:r>
      <w:r>
        <w:rPr>
          <w:rFonts w:hint="eastAsia" w:ascii="Times New Roman"/>
          <w:color w:val="000000"/>
          <w:szCs w:val="21"/>
        </w:rPr>
        <w:t>肋至第</w:t>
      </w:r>
      <w:r>
        <w:rPr>
          <w:rFonts w:hint="eastAsia" w:ascii="Times New Roman"/>
          <w:color w:val="000000"/>
          <w:szCs w:val="21"/>
          <w:lang w:val="en-US" w:eastAsia="zh-CN"/>
        </w:rPr>
        <w:t>7</w:t>
      </w:r>
      <w:r>
        <w:rPr>
          <w:rFonts w:hint="eastAsia" w:ascii="Times New Roman"/>
          <w:color w:val="000000"/>
          <w:szCs w:val="21"/>
        </w:rPr>
        <w:t>肋间</w:t>
      </w:r>
      <w:r>
        <w:rPr>
          <w:rFonts w:hint="eastAsia" w:ascii="Times New Roman"/>
          <w:color w:val="000000"/>
          <w:szCs w:val="21"/>
          <w:lang w:val="en-US" w:eastAsia="zh-CN"/>
        </w:rPr>
        <w:t>或</w:t>
      </w:r>
      <w:r>
        <w:rPr>
          <w:rFonts w:hint="eastAsia" w:ascii="Times New Roman"/>
          <w:color w:val="000000"/>
          <w:szCs w:val="21"/>
        </w:rPr>
        <w:t>第</w:t>
      </w:r>
      <w:r>
        <w:rPr>
          <w:rFonts w:ascii="Times New Roman"/>
          <w:color w:val="000000"/>
          <w:szCs w:val="21"/>
        </w:rPr>
        <w:t>1</w:t>
      </w:r>
      <w:r>
        <w:rPr>
          <w:rFonts w:hint="eastAsia" w:ascii="Times New Roman"/>
          <w:color w:val="000000"/>
          <w:szCs w:val="21"/>
          <w:lang w:val="en-US" w:eastAsia="zh-CN"/>
        </w:rPr>
        <w:t>2</w:t>
      </w:r>
      <w:r>
        <w:rPr>
          <w:rFonts w:hint="eastAsia" w:ascii="Times New Roman"/>
          <w:color w:val="000000"/>
          <w:szCs w:val="21"/>
        </w:rPr>
        <w:t>肋至第</w:t>
      </w:r>
      <w:r>
        <w:rPr>
          <w:rFonts w:ascii="Times New Roman"/>
          <w:color w:val="000000"/>
          <w:szCs w:val="21"/>
        </w:rPr>
        <w:t>1</w:t>
      </w:r>
      <w:r>
        <w:rPr>
          <w:rFonts w:hint="eastAsia" w:ascii="Times New Roman"/>
          <w:color w:val="000000"/>
          <w:szCs w:val="21"/>
          <w:lang w:val="en-US" w:eastAsia="zh-CN"/>
        </w:rPr>
        <w:t>3</w:t>
      </w:r>
      <w:r>
        <w:rPr>
          <w:rFonts w:hint="eastAsia" w:ascii="Times New Roman"/>
          <w:color w:val="000000"/>
          <w:szCs w:val="21"/>
        </w:rPr>
        <w:t>肋间背最长肌横切面肌肉颜色与各标准卡片的相近度进行等级评定，共分1级~8级，当肉色等级介于4级~6级之间时，不影响牛胴体等级的判定，如果肉色过深或过浅，牛胴体综合等级应下调1个级别。</w:t>
      </w:r>
    </w:p>
    <w:p w14:paraId="7BC6D5EC">
      <w:pPr>
        <w:pStyle w:val="105"/>
        <w:spacing w:before="120" w:after="120"/>
        <w:rPr>
          <w:rFonts w:hAnsi="黑体"/>
          <w:color w:val="000000"/>
          <w:szCs w:val="21"/>
        </w:rPr>
      </w:pPr>
      <w:bookmarkStart w:id="92" w:name="_Toc10957"/>
      <w:r>
        <w:rPr>
          <w:rFonts w:hint="eastAsia" w:hAnsi="黑体"/>
          <w:color w:val="000000"/>
          <w:szCs w:val="21"/>
        </w:rPr>
        <w:t>脂肪颜色评定</w:t>
      </w:r>
      <w:bookmarkEnd w:id="92"/>
    </w:p>
    <w:p w14:paraId="2B4DB161">
      <w:pPr>
        <w:pStyle w:val="56"/>
        <w:ind w:firstLine="420"/>
        <w:rPr>
          <w:rFonts w:ascii="Times New Roman"/>
          <w:color w:val="000000"/>
          <w:szCs w:val="21"/>
        </w:rPr>
      </w:pPr>
      <w:r>
        <w:rPr>
          <w:rFonts w:hint="eastAsia" w:ascii="Times New Roman"/>
          <w:color w:val="000000"/>
          <w:szCs w:val="21"/>
        </w:rPr>
        <w:t>对照NY/T676中的脂肪颜色等级图，观察胴体背膘颜色与各标准卡片的相近度进行等级判定，等级为1级~8级，当脂肪色等级低于4级时，不影响牛胴体等级的判定，如果脂肪色过深，牛胴体综合等级应下调1个级别。</w:t>
      </w:r>
    </w:p>
    <w:p w14:paraId="3ECB6E56">
      <w:pPr>
        <w:pStyle w:val="105"/>
        <w:spacing w:before="120" w:after="120"/>
        <w:rPr>
          <w:rFonts w:hAnsi="黑体"/>
          <w:color w:val="000000"/>
          <w:szCs w:val="21"/>
        </w:rPr>
      </w:pPr>
      <w:bookmarkStart w:id="93" w:name="_Toc24075"/>
      <w:r>
        <w:rPr>
          <w:rFonts w:hint="eastAsia" w:hAnsi="黑体"/>
          <w:color w:val="000000"/>
          <w:szCs w:val="21"/>
        </w:rPr>
        <w:t>坚挺度评定</w:t>
      </w:r>
      <w:bookmarkEnd w:id="93"/>
    </w:p>
    <w:p w14:paraId="1D2C3395">
      <w:pPr>
        <w:pStyle w:val="56"/>
        <w:ind w:firstLine="420"/>
        <w:rPr>
          <w:rFonts w:hint="eastAsia" w:ascii="Times New Roman"/>
          <w:color w:val="000000"/>
          <w:szCs w:val="21"/>
        </w:rPr>
      </w:pPr>
      <w:r>
        <w:rPr>
          <w:rFonts w:hint="eastAsia" w:ascii="Times New Roman"/>
          <w:color w:val="000000"/>
          <w:szCs w:val="21"/>
        </w:rPr>
        <w:t>在第</w:t>
      </w:r>
      <w:r>
        <w:rPr>
          <w:rFonts w:hint="eastAsia" w:ascii="Times New Roman"/>
          <w:color w:val="000000"/>
          <w:szCs w:val="21"/>
          <w:lang w:val="en-US" w:eastAsia="zh-CN"/>
        </w:rPr>
        <w:t>6</w:t>
      </w:r>
      <w:r>
        <w:rPr>
          <w:rFonts w:hint="eastAsia" w:ascii="Times New Roman"/>
          <w:color w:val="000000"/>
          <w:szCs w:val="21"/>
        </w:rPr>
        <w:t>肋至第</w:t>
      </w:r>
      <w:r>
        <w:rPr>
          <w:rFonts w:hint="eastAsia" w:ascii="Times New Roman"/>
          <w:color w:val="000000"/>
          <w:szCs w:val="21"/>
          <w:lang w:val="en-US" w:eastAsia="zh-CN"/>
        </w:rPr>
        <w:t>7</w:t>
      </w:r>
      <w:r>
        <w:rPr>
          <w:rFonts w:hint="eastAsia" w:ascii="Times New Roman"/>
          <w:color w:val="000000"/>
          <w:szCs w:val="21"/>
        </w:rPr>
        <w:t>肋间</w:t>
      </w:r>
      <w:r>
        <w:rPr>
          <w:rFonts w:hint="eastAsia" w:ascii="Times New Roman"/>
          <w:color w:val="000000"/>
          <w:szCs w:val="21"/>
          <w:lang w:val="en-US" w:eastAsia="zh-CN"/>
        </w:rPr>
        <w:t>或</w:t>
      </w:r>
      <w:r>
        <w:rPr>
          <w:rFonts w:hint="eastAsia" w:ascii="Times New Roman"/>
          <w:color w:val="000000"/>
          <w:szCs w:val="21"/>
        </w:rPr>
        <w:t>第1</w:t>
      </w:r>
      <w:r>
        <w:rPr>
          <w:rFonts w:hint="eastAsia" w:ascii="Times New Roman"/>
          <w:color w:val="000000"/>
          <w:szCs w:val="21"/>
          <w:lang w:val="en-US" w:eastAsia="zh-CN"/>
        </w:rPr>
        <w:t>2</w:t>
      </w:r>
      <w:r>
        <w:rPr>
          <w:rFonts w:hint="eastAsia" w:ascii="Times New Roman"/>
          <w:color w:val="000000"/>
          <w:szCs w:val="21"/>
        </w:rPr>
        <w:t>肋至第1</w:t>
      </w:r>
      <w:r>
        <w:rPr>
          <w:rFonts w:hint="eastAsia" w:ascii="Times New Roman"/>
          <w:color w:val="000000"/>
          <w:szCs w:val="21"/>
          <w:lang w:val="en-US" w:eastAsia="zh-CN"/>
        </w:rPr>
        <w:t>3</w:t>
      </w:r>
      <w:r>
        <w:rPr>
          <w:rFonts w:hint="eastAsia" w:ascii="Times New Roman"/>
          <w:color w:val="000000"/>
          <w:szCs w:val="21"/>
        </w:rPr>
        <w:t>肋间背最长肌横切面眼肌内，指压0.5cm后牛肉恢复原状的时间大于3s为松软，小于等于3s为坚挺。</w:t>
      </w:r>
    </w:p>
    <w:p w14:paraId="1BCA0695">
      <w:pPr>
        <w:pStyle w:val="105"/>
        <w:spacing w:before="120" w:after="120"/>
        <w:rPr>
          <w:rFonts w:hAnsi="黑体"/>
          <w:color w:val="000000"/>
          <w:szCs w:val="21"/>
        </w:rPr>
      </w:pPr>
      <w:bookmarkStart w:id="94" w:name="_Toc5218"/>
      <w:r>
        <w:rPr>
          <w:rFonts w:hint="eastAsia" w:hAnsi="黑体"/>
          <w:color w:val="000000"/>
          <w:szCs w:val="21"/>
        </w:rPr>
        <w:t>细致度评定</w:t>
      </w:r>
      <w:bookmarkEnd w:id="94"/>
    </w:p>
    <w:p w14:paraId="0B77E94C">
      <w:pPr>
        <w:pStyle w:val="56"/>
        <w:ind w:firstLine="420"/>
        <w:rPr>
          <w:rFonts w:ascii="Times New Roman"/>
          <w:color w:val="000000"/>
          <w:szCs w:val="21"/>
        </w:rPr>
      </w:pPr>
      <w:r>
        <w:rPr>
          <w:rFonts w:hint="eastAsia" w:ascii="Times New Roman"/>
          <w:color w:val="000000"/>
          <w:szCs w:val="21"/>
        </w:rPr>
        <w:t>在第</w:t>
      </w:r>
      <w:r>
        <w:rPr>
          <w:rFonts w:hint="eastAsia" w:ascii="Times New Roman"/>
          <w:color w:val="000000"/>
          <w:szCs w:val="21"/>
          <w:lang w:val="en-US" w:eastAsia="zh-CN"/>
        </w:rPr>
        <w:t>6</w:t>
      </w:r>
      <w:r>
        <w:rPr>
          <w:rFonts w:hint="eastAsia" w:ascii="Times New Roman"/>
          <w:color w:val="000000"/>
          <w:szCs w:val="21"/>
        </w:rPr>
        <w:t>肋至第</w:t>
      </w:r>
      <w:r>
        <w:rPr>
          <w:rFonts w:hint="eastAsia" w:ascii="Times New Roman"/>
          <w:color w:val="000000"/>
          <w:szCs w:val="21"/>
          <w:lang w:val="en-US" w:eastAsia="zh-CN"/>
        </w:rPr>
        <w:t>7</w:t>
      </w:r>
      <w:r>
        <w:rPr>
          <w:rFonts w:hint="eastAsia" w:ascii="Times New Roman"/>
          <w:color w:val="000000"/>
          <w:szCs w:val="21"/>
        </w:rPr>
        <w:t>肋间</w:t>
      </w:r>
      <w:r>
        <w:rPr>
          <w:rFonts w:hint="eastAsia" w:ascii="Times New Roman"/>
          <w:color w:val="000000"/>
          <w:szCs w:val="21"/>
          <w:lang w:val="en-US" w:eastAsia="zh-CN"/>
        </w:rPr>
        <w:t>或</w:t>
      </w:r>
      <w:r>
        <w:rPr>
          <w:rFonts w:hint="eastAsia" w:ascii="Times New Roman"/>
          <w:color w:val="000000"/>
          <w:szCs w:val="21"/>
        </w:rPr>
        <w:t>第</w:t>
      </w:r>
      <w:r>
        <w:rPr>
          <w:rFonts w:ascii="Times New Roman"/>
          <w:color w:val="000000"/>
          <w:szCs w:val="21"/>
        </w:rPr>
        <w:t>1</w:t>
      </w:r>
      <w:r>
        <w:rPr>
          <w:rFonts w:hint="eastAsia" w:ascii="Times New Roman"/>
          <w:color w:val="000000"/>
          <w:szCs w:val="21"/>
          <w:lang w:val="en-US" w:eastAsia="zh-CN"/>
        </w:rPr>
        <w:t>2</w:t>
      </w:r>
      <w:r>
        <w:rPr>
          <w:rFonts w:hint="eastAsia" w:ascii="Times New Roman"/>
          <w:color w:val="000000"/>
          <w:szCs w:val="21"/>
        </w:rPr>
        <w:t>肋至第</w:t>
      </w:r>
      <w:r>
        <w:rPr>
          <w:rFonts w:ascii="Times New Roman"/>
          <w:color w:val="000000"/>
          <w:szCs w:val="21"/>
        </w:rPr>
        <w:t>1</w:t>
      </w:r>
      <w:r>
        <w:rPr>
          <w:rFonts w:hint="eastAsia" w:ascii="Times New Roman"/>
          <w:color w:val="000000"/>
          <w:szCs w:val="21"/>
          <w:lang w:val="en-US" w:eastAsia="zh-CN"/>
        </w:rPr>
        <w:t>3</w:t>
      </w:r>
      <w:r>
        <w:rPr>
          <w:rFonts w:hint="eastAsia" w:ascii="Times New Roman"/>
          <w:color w:val="000000"/>
          <w:szCs w:val="21"/>
        </w:rPr>
        <w:t>肋间背最长肌横切面眼肌内，斑块型肌内脂肪沉积占据总脂肪花纹比例达</w:t>
      </w:r>
      <w:r>
        <w:rPr>
          <w:rFonts w:ascii="Times New Roman"/>
          <w:color w:val="000000"/>
          <w:szCs w:val="21"/>
        </w:rPr>
        <w:t>3</w:t>
      </w:r>
      <w:r>
        <w:rPr>
          <w:rFonts w:hint="eastAsia" w:ascii="Times New Roman"/>
          <w:color w:val="000000"/>
          <w:szCs w:val="21"/>
        </w:rPr>
        <w:t>0%以上为粗糙，小于等于30%为细腻。</w:t>
      </w:r>
    </w:p>
    <w:p w14:paraId="4FE73B1C">
      <w:pPr>
        <w:pStyle w:val="105"/>
        <w:spacing w:before="120" w:after="120"/>
        <w:rPr>
          <w:rFonts w:hAnsi="黑体"/>
          <w:color w:val="000000"/>
          <w:szCs w:val="21"/>
        </w:rPr>
      </w:pPr>
      <w:bookmarkStart w:id="95" w:name="_Toc20"/>
      <w:r>
        <w:rPr>
          <w:rFonts w:hint="eastAsia" w:hAnsi="黑体"/>
          <w:color w:val="000000"/>
          <w:szCs w:val="21"/>
        </w:rPr>
        <w:t>风味评定</w:t>
      </w:r>
      <w:bookmarkEnd w:id="95"/>
    </w:p>
    <w:p w14:paraId="6242C586">
      <w:pPr>
        <w:pStyle w:val="56"/>
        <w:ind w:firstLine="420"/>
        <w:rPr>
          <w:rFonts w:ascii="Times New Roman"/>
          <w:color w:val="000000"/>
          <w:szCs w:val="21"/>
        </w:rPr>
      </w:pPr>
      <w:r>
        <w:rPr>
          <w:rFonts w:hint="eastAsia" w:ascii="Times New Roman"/>
          <w:color w:val="000000"/>
          <w:szCs w:val="21"/>
        </w:rPr>
        <w:t>室温下用指腹揉搓肌内脂肪 5~6 次，嗅闻有无香气。</w:t>
      </w:r>
    </w:p>
    <w:p w14:paraId="6857821B">
      <w:pPr>
        <w:pStyle w:val="104"/>
        <w:spacing w:before="240" w:after="240"/>
        <w:rPr>
          <w:szCs w:val="21"/>
        </w:rPr>
      </w:pPr>
      <w:bookmarkStart w:id="96" w:name="_Toc21515"/>
      <w:r>
        <w:rPr>
          <w:rFonts w:hint="eastAsia"/>
          <w:szCs w:val="21"/>
        </w:rPr>
        <w:t>等级评定</w:t>
      </w:r>
      <w:bookmarkEnd w:id="96"/>
    </w:p>
    <w:p w14:paraId="2DBD15C3">
      <w:pPr>
        <w:pStyle w:val="105"/>
        <w:spacing w:before="120" w:after="120"/>
        <w:rPr>
          <w:rFonts w:hAnsi="黑体"/>
          <w:color w:val="000000"/>
          <w:szCs w:val="21"/>
        </w:rPr>
      </w:pPr>
      <w:bookmarkStart w:id="97" w:name="_Toc2420"/>
      <w:bookmarkStart w:id="110" w:name="_GoBack"/>
      <w:r>
        <w:rPr>
          <w:rFonts w:hint="eastAsia" w:hAnsi="黑体"/>
          <w:color w:val="000000"/>
          <w:szCs w:val="21"/>
        </w:rPr>
        <w:t>胴体表观分级评定</w:t>
      </w:r>
      <w:bookmarkEnd w:id="110"/>
      <w:bookmarkEnd w:id="97"/>
    </w:p>
    <w:p w14:paraId="5CF8C0D7">
      <w:pPr>
        <w:pStyle w:val="56"/>
        <w:ind w:firstLine="420"/>
        <w:rPr>
          <w:rFonts w:ascii="Times New Roman"/>
          <w:color w:val="000000"/>
          <w:szCs w:val="21"/>
        </w:rPr>
      </w:pPr>
      <w:r>
        <w:rPr>
          <w:rFonts w:hint="eastAsia" w:ascii="Times New Roman"/>
          <w:color w:val="000000"/>
          <w:szCs w:val="21"/>
        </w:rPr>
        <w:t xml:space="preserve">按照表1的要求评定张家川红花牛的胴体等级。 </w:t>
      </w:r>
    </w:p>
    <w:p w14:paraId="21E82375">
      <w:pPr>
        <w:pStyle w:val="112"/>
        <w:spacing w:before="120" w:after="120"/>
      </w:pPr>
      <w:r>
        <w:rPr>
          <w:rFonts w:hint="eastAsia"/>
        </w:rPr>
        <w:t>胴体表观等级评定</w:t>
      </w:r>
    </w:p>
    <w:tbl>
      <w:tblPr>
        <w:tblStyle w:val="27"/>
        <w:tblW w:w="91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7"/>
        <w:gridCol w:w="1134"/>
        <w:gridCol w:w="1134"/>
        <w:gridCol w:w="5384"/>
      </w:tblGrid>
      <w:tr w14:paraId="21F49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restart"/>
            <w:vAlign w:val="center"/>
          </w:tcPr>
          <w:p w14:paraId="2E163137">
            <w:pPr>
              <w:jc w:val="center"/>
              <w:rPr>
                <w:rFonts w:ascii="Times New Roman" w:hAnsi="Times New Roman"/>
                <w:color w:val="000000"/>
                <w:kern w:val="0"/>
              </w:rPr>
            </w:pPr>
            <w:r>
              <w:rPr>
                <w:rFonts w:hint="eastAsia" w:ascii="Times New Roman" w:hAnsi="Times New Roman"/>
                <w:color w:val="000000"/>
                <w:kern w:val="0"/>
              </w:rPr>
              <w:t>等级</w:t>
            </w:r>
          </w:p>
        </w:tc>
        <w:tc>
          <w:tcPr>
            <w:tcW w:w="2268" w:type="dxa"/>
            <w:gridSpan w:val="2"/>
            <w:vAlign w:val="center"/>
          </w:tcPr>
          <w:p w14:paraId="6BC60370">
            <w:pPr>
              <w:jc w:val="center"/>
              <w:rPr>
                <w:rFonts w:ascii="Times New Roman" w:hAnsi="Times New Roman"/>
                <w:color w:val="000000"/>
                <w:kern w:val="0"/>
              </w:rPr>
            </w:pPr>
            <w:r>
              <w:rPr>
                <w:rFonts w:hint="eastAsia" w:ascii="Times New Roman" w:hAnsi="Times New Roman"/>
                <w:color w:val="000000"/>
                <w:kern w:val="0"/>
              </w:rPr>
              <w:t>胴体重</w:t>
            </w:r>
          </w:p>
        </w:tc>
        <w:tc>
          <w:tcPr>
            <w:tcW w:w="5384" w:type="dxa"/>
            <w:vMerge w:val="restart"/>
            <w:vAlign w:val="center"/>
          </w:tcPr>
          <w:p w14:paraId="61268F94">
            <w:pPr>
              <w:jc w:val="center"/>
              <w:rPr>
                <w:rFonts w:ascii="Times New Roman" w:hAnsi="Times New Roman"/>
                <w:color w:val="000000"/>
                <w:kern w:val="0"/>
              </w:rPr>
            </w:pPr>
            <w:r>
              <w:rPr>
                <w:rFonts w:hint="eastAsia" w:ascii="Times New Roman" w:hAnsi="Times New Roman"/>
                <w:color w:val="000000"/>
                <w:kern w:val="0"/>
              </w:rPr>
              <w:t>脂肪覆盖程度</w:t>
            </w:r>
          </w:p>
        </w:tc>
      </w:tr>
      <w:tr w14:paraId="38354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Merge w:val="continue"/>
            <w:vAlign w:val="center"/>
          </w:tcPr>
          <w:p w14:paraId="44ECCA3E">
            <w:pPr>
              <w:jc w:val="center"/>
              <w:rPr>
                <w:rFonts w:ascii="Times New Roman" w:hAnsi="Times New Roman"/>
                <w:color w:val="000000"/>
                <w:kern w:val="0"/>
              </w:rPr>
            </w:pPr>
          </w:p>
        </w:tc>
        <w:tc>
          <w:tcPr>
            <w:tcW w:w="1134" w:type="dxa"/>
            <w:vAlign w:val="center"/>
          </w:tcPr>
          <w:p w14:paraId="7F10D7EB">
            <w:pPr>
              <w:jc w:val="center"/>
              <w:rPr>
                <w:rFonts w:ascii="Times New Roman" w:hAnsi="Times New Roman"/>
                <w:color w:val="000000"/>
                <w:kern w:val="0"/>
              </w:rPr>
            </w:pPr>
            <w:r>
              <w:rPr>
                <w:rFonts w:hint="eastAsia" w:ascii="Times New Roman" w:hAnsi="Times New Roman"/>
                <w:color w:val="000000"/>
                <w:kern w:val="0"/>
              </w:rPr>
              <w:t>公牛</w:t>
            </w:r>
          </w:p>
        </w:tc>
        <w:tc>
          <w:tcPr>
            <w:tcW w:w="1134" w:type="dxa"/>
            <w:vAlign w:val="center"/>
          </w:tcPr>
          <w:p w14:paraId="6B780432">
            <w:pPr>
              <w:jc w:val="center"/>
              <w:rPr>
                <w:rFonts w:ascii="Times New Roman" w:hAnsi="Times New Roman"/>
                <w:color w:val="000000"/>
                <w:kern w:val="0"/>
              </w:rPr>
            </w:pPr>
            <w:r>
              <w:rPr>
                <w:rFonts w:hint="eastAsia" w:ascii="Times New Roman" w:hAnsi="Times New Roman"/>
                <w:color w:val="000000"/>
                <w:kern w:val="0"/>
              </w:rPr>
              <w:t>母牛</w:t>
            </w:r>
          </w:p>
        </w:tc>
        <w:tc>
          <w:tcPr>
            <w:tcW w:w="5384" w:type="dxa"/>
            <w:vMerge w:val="continue"/>
            <w:vAlign w:val="center"/>
          </w:tcPr>
          <w:p w14:paraId="161221DC">
            <w:pPr>
              <w:jc w:val="center"/>
              <w:rPr>
                <w:rFonts w:ascii="Times New Roman" w:hAnsi="Times New Roman"/>
                <w:color w:val="000000"/>
                <w:kern w:val="0"/>
              </w:rPr>
            </w:pPr>
          </w:p>
        </w:tc>
      </w:tr>
      <w:tr w14:paraId="63522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Align w:val="center"/>
          </w:tcPr>
          <w:p w14:paraId="0A0BC201">
            <w:pPr>
              <w:jc w:val="center"/>
              <w:rPr>
                <w:rFonts w:ascii="Times New Roman" w:hAnsi="Times New Roman"/>
                <w:color w:val="000000"/>
                <w:kern w:val="0"/>
              </w:rPr>
            </w:pPr>
            <w:bookmarkStart w:id="98" w:name="_Hlk228959177"/>
            <w:r>
              <w:rPr>
                <w:rFonts w:hint="eastAsia" w:ascii="Times New Roman" w:hAnsi="Times New Roman"/>
                <w:color w:val="000000"/>
                <w:kern w:val="0"/>
              </w:rPr>
              <w:t>I 级</w:t>
            </w:r>
          </w:p>
        </w:tc>
        <w:tc>
          <w:tcPr>
            <w:tcW w:w="1134" w:type="dxa"/>
            <w:vAlign w:val="center"/>
          </w:tcPr>
          <w:p w14:paraId="650D1D31">
            <w:pPr>
              <w:jc w:val="center"/>
              <w:rPr>
                <w:rFonts w:ascii="Times New Roman" w:hAnsi="Times New Roman"/>
                <w:color w:val="000000"/>
                <w:kern w:val="0"/>
              </w:rPr>
            </w:pPr>
            <w:r>
              <w:rPr>
                <w:rFonts w:hint="eastAsia" w:ascii="Times New Roman" w:hAnsi="Times New Roman"/>
                <w:color w:val="000000"/>
                <w:kern w:val="0"/>
              </w:rPr>
              <w:t>＞3</w:t>
            </w:r>
            <w:r>
              <w:rPr>
                <w:rFonts w:ascii="Times New Roman" w:hAnsi="Times New Roman"/>
                <w:color w:val="000000"/>
                <w:kern w:val="0"/>
              </w:rPr>
              <w:t>8</w:t>
            </w:r>
            <w:r>
              <w:rPr>
                <w:rFonts w:hint="eastAsia" w:ascii="Times New Roman" w:hAnsi="Times New Roman"/>
                <w:color w:val="000000"/>
                <w:kern w:val="0"/>
              </w:rPr>
              <w:t>0kg</w:t>
            </w:r>
          </w:p>
        </w:tc>
        <w:tc>
          <w:tcPr>
            <w:tcW w:w="1134" w:type="dxa"/>
            <w:vAlign w:val="center"/>
          </w:tcPr>
          <w:p w14:paraId="157A19A0">
            <w:pPr>
              <w:jc w:val="center"/>
              <w:rPr>
                <w:rFonts w:ascii="Times New Roman" w:hAnsi="Times New Roman"/>
                <w:color w:val="000000"/>
                <w:kern w:val="0"/>
              </w:rPr>
            </w:pPr>
            <w:r>
              <w:rPr>
                <w:rFonts w:hint="eastAsia" w:ascii="Times New Roman" w:hAnsi="Times New Roman"/>
                <w:color w:val="000000"/>
                <w:kern w:val="0"/>
              </w:rPr>
              <w:t>＞2</w:t>
            </w:r>
            <w:r>
              <w:rPr>
                <w:rFonts w:ascii="Times New Roman" w:hAnsi="Times New Roman"/>
                <w:color w:val="000000"/>
                <w:kern w:val="0"/>
              </w:rPr>
              <w:t>4</w:t>
            </w:r>
            <w:r>
              <w:rPr>
                <w:rFonts w:hint="eastAsia" w:ascii="Times New Roman" w:hAnsi="Times New Roman"/>
                <w:color w:val="000000"/>
                <w:kern w:val="0"/>
              </w:rPr>
              <w:t>0kg</w:t>
            </w:r>
          </w:p>
        </w:tc>
        <w:tc>
          <w:tcPr>
            <w:tcW w:w="5384" w:type="dxa"/>
            <w:vAlign w:val="center"/>
          </w:tcPr>
          <w:p w14:paraId="1C760FD0">
            <w:pPr>
              <w:jc w:val="left"/>
              <w:rPr>
                <w:rFonts w:ascii="Times New Roman" w:hAnsi="Times New Roman"/>
                <w:color w:val="000000"/>
                <w:kern w:val="0"/>
              </w:rPr>
            </w:pPr>
            <w:r>
              <w:rPr>
                <w:rFonts w:hint="eastAsia" w:ascii="Times New Roman" w:hAnsi="Times New Roman"/>
                <w:color w:val="000000"/>
                <w:kern w:val="0"/>
              </w:rPr>
              <w:t>脂肪完全覆盖</w:t>
            </w:r>
            <w:bookmarkStart w:id="99" w:name="OLE_LINK47"/>
            <w:r>
              <w:rPr>
                <w:rFonts w:hint="eastAsia" w:ascii="Times New Roman" w:hAnsi="Times New Roman"/>
                <w:color w:val="000000"/>
                <w:kern w:val="0"/>
              </w:rPr>
              <w:t>肩部、背部</w:t>
            </w:r>
            <w:bookmarkEnd w:id="99"/>
            <w:r>
              <w:rPr>
                <w:rFonts w:hint="eastAsia" w:ascii="Times New Roman" w:hAnsi="Times New Roman"/>
                <w:color w:val="000000"/>
                <w:kern w:val="0"/>
              </w:rPr>
              <w:t>、</w:t>
            </w:r>
            <w:bookmarkStart w:id="100" w:name="OLE_LINK48"/>
            <w:r>
              <w:rPr>
                <w:rFonts w:hint="eastAsia" w:ascii="Times New Roman" w:hAnsi="Times New Roman"/>
                <w:color w:val="000000"/>
                <w:kern w:val="0"/>
              </w:rPr>
              <w:t>臀部以及腿部</w:t>
            </w:r>
            <w:bookmarkEnd w:id="100"/>
            <w:r>
              <w:rPr>
                <w:rFonts w:hint="eastAsia" w:ascii="Times New Roman" w:hAnsi="Times New Roman"/>
                <w:color w:val="000000"/>
                <w:kern w:val="0"/>
              </w:rPr>
              <w:t>，胸腔内脂肪沉积丰富，整体脂肪覆盖程度达 90%以上。</w:t>
            </w:r>
          </w:p>
        </w:tc>
      </w:tr>
      <w:tr w14:paraId="0472D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Align w:val="center"/>
          </w:tcPr>
          <w:p w14:paraId="5271DDC2">
            <w:pPr>
              <w:jc w:val="center"/>
              <w:rPr>
                <w:rFonts w:ascii="Times New Roman" w:hAnsi="Times New Roman"/>
                <w:color w:val="000000"/>
                <w:kern w:val="0"/>
              </w:rPr>
            </w:pPr>
            <w:r>
              <w:rPr>
                <w:rFonts w:hint="eastAsia" w:ascii="Times New Roman" w:hAnsi="Times New Roman"/>
                <w:color w:val="000000"/>
                <w:kern w:val="0"/>
              </w:rPr>
              <w:t>II 级</w:t>
            </w:r>
          </w:p>
        </w:tc>
        <w:tc>
          <w:tcPr>
            <w:tcW w:w="1134" w:type="dxa"/>
            <w:vAlign w:val="center"/>
          </w:tcPr>
          <w:p w14:paraId="28B2D5DD">
            <w:pPr>
              <w:jc w:val="center"/>
              <w:rPr>
                <w:rFonts w:ascii="Times New Roman" w:hAnsi="Times New Roman"/>
                <w:color w:val="000000"/>
                <w:kern w:val="0"/>
              </w:rPr>
            </w:pPr>
            <w:r>
              <w:rPr>
                <w:rFonts w:hint="eastAsia" w:ascii="Times New Roman" w:hAnsi="Times New Roman"/>
                <w:color w:val="000000"/>
                <w:kern w:val="0"/>
              </w:rPr>
              <w:t>320 kg -3</w:t>
            </w:r>
            <w:r>
              <w:rPr>
                <w:rFonts w:ascii="Times New Roman" w:hAnsi="Times New Roman"/>
                <w:color w:val="000000"/>
                <w:kern w:val="0"/>
              </w:rPr>
              <w:t>8</w:t>
            </w:r>
            <w:r>
              <w:rPr>
                <w:rFonts w:hint="eastAsia" w:ascii="Times New Roman" w:hAnsi="Times New Roman"/>
                <w:color w:val="000000"/>
                <w:kern w:val="0"/>
              </w:rPr>
              <w:t>0kg</w:t>
            </w:r>
          </w:p>
        </w:tc>
        <w:tc>
          <w:tcPr>
            <w:tcW w:w="1134" w:type="dxa"/>
            <w:vAlign w:val="center"/>
          </w:tcPr>
          <w:p w14:paraId="3EE6E701">
            <w:pPr>
              <w:jc w:val="center"/>
              <w:rPr>
                <w:rFonts w:ascii="Times New Roman" w:hAnsi="Times New Roman"/>
                <w:color w:val="000000"/>
                <w:kern w:val="0"/>
              </w:rPr>
            </w:pPr>
            <w:r>
              <w:rPr>
                <w:rFonts w:hint="eastAsia" w:ascii="Times New Roman" w:hAnsi="Times New Roman"/>
                <w:color w:val="000000"/>
                <w:kern w:val="0"/>
              </w:rPr>
              <w:t>200 kg -2</w:t>
            </w:r>
            <w:r>
              <w:rPr>
                <w:rFonts w:ascii="Times New Roman" w:hAnsi="Times New Roman"/>
                <w:color w:val="000000"/>
                <w:kern w:val="0"/>
              </w:rPr>
              <w:t>4</w:t>
            </w:r>
            <w:r>
              <w:rPr>
                <w:rFonts w:hint="eastAsia" w:ascii="Times New Roman" w:hAnsi="Times New Roman"/>
                <w:color w:val="000000"/>
                <w:kern w:val="0"/>
              </w:rPr>
              <w:t>0kg</w:t>
            </w:r>
          </w:p>
        </w:tc>
        <w:tc>
          <w:tcPr>
            <w:tcW w:w="5384" w:type="dxa"/>
            <w:vAlign w:val="center"/>
          </w:tcPr>
          <w:p w14:paraId="065BE382">
            <w:pPr>
              <w:jc w:val="left"/>
              <w:rPr>
                <w:rFonts w:ascii="Times New Roman" w:hAnsi="Times New Roman"/>
                <w:color w:val="000000"/>
                <w:kern w:val="0"/>
              </w:rPr>
            </w:pPr>
            <w:bookmarkStart w:id="101" w:name="OLE_LINK49"/>
            <w:r>
              <w:rPr>
                <w:rFonts w:hint="eastAsia" w:ascii="Times New Roman" w:hAnsi="Times New Roman"/>
                <w:color w:val="000000"/>
                <w:kern w:val="0"/>
              </w:rPr>
              <w:t>肩部、背部</w:t>
            </w:r>
            <w:bookmarkEnd w:id="101"/>
            <w:r>
              <w:rPr>
                <w:rFonts w:hint="eastAsia" w:ascii="Times New Roman" w:hAnsi="Times New Roman"/>
                <w:color w:val="000000"/>
                <w:kern w:val="0"/>
              </w:rPr>
              <w:t>覆盖脂肪良好，</w:t>
            </w:r>
            <w:bookmarkStart w:id="102" w:name="OLE_LINK50"/>
            <w:r>
              <w:rPr>
                <w:rFonts w:hint="eastAsia" w:ascii="Times New Roman" w:hAnsi="Times New Roman"/>
                <w:color w:val="000000"/>
                <w:kern w:val="0"/>
              </w:rPr>
              <w:t>臀部、腿部</w:t>
            </w:r>
            <w:bookmarkEnd w:id="102"/>
            <w:r>
              <w:rPr>
                <w:rFonts w:hint="eastAsia" w:ascii="Times New Roman" w:hAnsi="Times New Roman"/>
                <w:color w:val="000000"/>
                <w:kern w:val="0"/>
              </w:rPr>
              <w:t>脂肪一般，胸腔内有适量脂肪，整体脂肪覆盖程度介于 80%-90%。</w:t>
            </w:r>
          </w:p>
        </w:tc>
      </w:tr>
      <w:tr w14:paraId="0586D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17" w:type="dxa"/>
            <w:vAlign w:val="center"/>
          </w:tcPr>
          <w:p w14:paraId="3A26403D">
            <w:pPr>
              <w:jc w:val="center"/>
              <w:rPr>
                <w:rFonts w:ascii="Times New Roman" w:hAnsi="Times New Roman"/>
                <w:color w:val="000000"/>
                <w:kern w:val="0"/>
              </w:rPr>
            </w:pPr>
            <w:r>
              <w:rPr>
                <w:rFonts w:hint="eastAsia" w:ascii="Times New Roman" w:hAnsi="Times New Roman"/>
                <w:color w:val="000000"/>
                <w:kern w:val="0"/>
              </w:rPr>
              <w:t>III 级</w:t>
            </w:r>
          </w:p>
        </w:tc>
        <w:tc>
          <w:tcPr>
            <w:tcW w:w="1134" w:type="dxa"/>
            <w:vAlign w:val="center"/>
          </w:tcPr>
          <w:p w14:paraId="6E266C6B">
            <w:pPr>
              <w:jc w:val="center"/>
              <w:rPr>
                <w:rFonts w:ascii="Times New Roman" w:hAnsi="Times New Roman"/>
                <w:color w:val="000000"/>
                <w:kern w:val="0"/>
              </w:rPr>
            </w:pPr>
            <w:r>
              <w:rPr>
                <w:rFonts w:hint="eastAsia" w:ascii="Times New Roman" w:hAnsi="Times New Roman"/>
                <w:color w:val="000000"/>
                <w:kern w:val="0"/>
              </w:rPr>
              <w:t>＜320kg</w:t>
            </w:r>
          </w:p>
        </w:tc>
        <w:tc>
          <w:tcPr>
            <w:tcW w:w="1134" w:type="dxa"/>
            <w:vAlign w:val="center"/>
          </w:tcPr>
          <w:p w14:paraId="3C968F6A">
            <w:pPr>
              <w:jc w:val="center"/>
              <w:rPr>
                <w:rFonts w:ascii="Times New Roman" w:hAnsi="Times New Roman"/>
                <w:color w:val="000000"/>
                <w:kern w:val="0"/>
              </w:rPr>
            </w:pPr>
            <w:r>
              <w:rPr>
                <w:rFonts w:hint="eastAsia" w:ascii="Times New Roman" w:hAnsi="Times New Roman"/>
                <w:color w:val="000000"/>
                <w:kern w:val="0"/>
              </w:rPr>
              <w:t>＜200kg</w:t>
            </w:r>
          </w:p>
        </w:tc>
        <w:tc>
          <w:tcPr>
            <w:tcW w:w="5384" w:type="dxa"/>
            <w:vAlign w:val="center"/>
          </w:tcPr>
          <w:p w14:paraId="20C1EA85">
            <w:pPr>
              <w:jc w:val="left"/>
              <w:rPr>
                <w:rFonts w:ascii="Times New Roman" w:hAnsi="Times New Roman"/>
                <w:color w:val="000000"/>
                <w:kern w:val="0"/>
              </w:rPr>
            </w:pPr>
            <w:r>
              <w:rPr>
                <w:rFonts w:hint="eastAsia" w:ascii="Times New Roman" w:hAnsi="Times New Roman"/>
                <w:color w:val="000000"/>
                <w:kern w:val="0"/>
              </w:rPr>
              <w:t>肩部、背部大部分有脂肪覆盖，臀部、腿部脂肪覆盖少且厚度较薄，胸腔内脂肪较少，整体脂肪覆盖程度介于 70%-80%。</w:t>
            </w:r>
          </w:p>
        </w:tc>
      </w:tr>
      <w:bookmarkEnd w:id="98"/>
    </w:tbl>
    <w:p w14:paraId="55D3B4B6">
      <w:pPr>
        <w:pStyle w:val="105"/>
        <w:spacing w:before="120" w:after="120"/>
        <w:rPr>
          <w:rFonts w:hAnsi="黑体"/>
          <w:color w:val="000000"/>
          <w:szCs w:val="21"/>
        </w:rPr>
      </w:pPr>
      <w:bookmarkStart w:id="103" w:name="_Toc12794"/>
      <w:r>
        <w:rPr>
          <w:rFonts w:hint="eastAsia" w:hAnsi="黑体"/>
          <w:color w:val="000000"/>
          <w:szCs w:val="21"/>
        </w:rPr>
        <w:t>质量等级评定</w:t>
      </w:r>
      <w:bookmarkEnd w:id="103"/>
      <w:r>
        <w:rPr>
          <w:rFonts w:hint="eastAsia" w:hAnsi="黑体"/>
          <w:color w:val="000000"/>
          <w:szCs w:val="21"/>
        </w:rPr>
        <w:t xml:space="preserve"> </w:t>
      </w:r>
    </w:p>
    <w:p w14:paraId="5118771A">
      <w:pPr>
        <w:pStyle w:val="56"/>
        <w:ind w:firstLine="420"/>
        <w:rPr>
          <w:rFonts w:ascii="Times New Roman"/>
          <w:color w:val="000000"/>
          <w:szCs w:val="21"/>
        </w:rPr>
      </w:pPr>
      <w:r>
        <w:rPr>
          <w:rFonts w:hint="eastAsia" w:ascii="Times New Roman"/>
          <w:color w:val="000000"/>
          <w:szCs w:val="21"/>
        </w:rPr>
        <w:t>以肌内脂肪沉积等级作为基础等级，当肉色等级为 2-4 级，脂肪色为 1-3 级，肌肉质地坚挺细腻，揉搓肌内脂肪时有香气，则不进行修正。当出现下列情况时胴体质量评级在原有等级基础上下降一个等级：肉色等级为 1 或 5-8 级；脂肪色为 4-8 级；质地松软粗糙；肌内脂肪基本无香味。</w:t>
      </w:r>
    </w:p>
    <w:p w14:paraId="5D1F7CC6">
      <w:pPr>
        <w:pStyle w:val="112"/>
        <w:spacing w:before="120" w:after="120"/>
      </w:pPr>
      <w:r>
        <w:rPr>
          <w:rFonts w:hint="eastAsia"/>
        </w:rPr>
        <w:t>张家川红花牛胴体综合评定</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4"/>
        <w:gridCol w:w="2016"/>
        <w:gridCol w:w="2017"/>
        <w:gridCol w:w="2017"/>
      </w:tblGrid>
      <w:tr w14:paraId="6FA11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Merge w:val="restart"/>
            <w:vAlign w:val="center"/>
          </w:tcPr>
          <w:p w14:paraId="1FF76932">
            <w:pPr>
              <w:jc w:val="center"/>
              <w:rPr>
                <w:rFonts w:ascii="Times New Roman" w:hAnsi="Times New Roman"/>
                <w:sz w:val="20"/>
                <w:szCs w:val="22"/>
              </w:rPr>
            </w:pPr>
            <w:r>
              <w:rPr>
                <w:rFonts w:hint="eastAsia" w:ascii="Times New Roman" w:hAnsi="Times New Roman"/>
                <w:sz w:val="20"/>
                <w:szCs w:val="22"/>
              </w:rPr>
              <w:t>大理石花纹等级</w:t>
            </w:r>
          </w:p>
        </w:tc>
        <w:tc>
          <w:tcPr>
            <w:tcW w:w="6050" w:type="dxa"/>
            <w:gridSpan w:val="3"/>
            <w:vAlign w:val="center"/>
          </w:tcPr>
          <w:p w14:paraId="5E765B97">
            <w:pPr>
              <w:jc w:val="center"/>
              <w:rPr>
                <w:rFonts w:ascii="Times New Roman" w:hAnsi="Times New Roman"/>
                <w:sz w:val="20"/>
                <w:szCs w:val="22"/>
              </w:rPr>
            </w:pPr>
            <w:r>
              <w:rPr>
                <w:rFonts w:hint="eastAsia" w:ascii="Times New Roman" w:hAnsi="Times New Roman"/>
                <w:sz w:val="20"/>
                <w:szCs w:val="22"/>
              </w:rPr>
              <w:t>表观等级</w:t>
            </w:r>
          </w:p>
        </w:tc>
      </w:tr>
      <w:tr w14:paraId="18625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Merge w:val="continue"/>
            <w:vAlign w:val="center"/>
          </w:tcPr>
          <w:p w14:paraId="2258A74B">
            <w:pPr>
              <w:jc w:val="center"/>
              <w:rPr>
                <w:rFonts w:ascii="Times New Roman" w:hAnsi="Times New Roman"/>
                <w:sz w:val="20"/>
                <w:szCs w:val="22"/>
              </w:rPr>
            </w:pPr>
          </w:p>
        </w:tc>
        <w:tc>
          <w:tcPr>
            <w:tcW w:w="2016" w:type="dxa"/>
            <w:vAlign w:val="center"/>
          </w:tcPr>
          <w:p w14:paraId="3EEF05D5">
            <w:pPr>
              <w:jc w:val="center"/>
              <w:rPr>
                <w:rFonts w:ascii="Times New Roman" w:hAnsi="Times New Roman"/>
                <w:sz w:val="20"/>
                <w:szCs w:val="22"/>
              </w:rPr>
            </w:pPr>
            <w:r>
              <w:rPr>
                <w:rFonts w:hint="eastAsia" w:ascii="Times New Roman" w:hAnsi="Times New Roman"/>
                <w:sz w:val="20"/>
                <w:szCs w:val="22"/>
              </w:rPr>
              <w:t>I级</w:t>
            </w:r>
          </w:p>
        </w:tc>
        <w:tc>
          <w:tcPr>
            <w:tcW w:w="2017" w:type="dxa"/>
            <w:vAlign w:val="center"/>
          </w:tcPr>
          <w:p w14:paraId="181E9726">
            <w:pPr>
              <w:jc w:val="center"/>
              <w:rPr>
                <w:rFonts w:ascii="Times New Roman" w:hAnsi="Times New Roman"/>
                <w:sz w:val="20"/>
                <w:szCs w:val="22"/>
              </w:rPr>
            </w:pPr>
            <w:r>
              <w:rPr>
                <w:rFonts w:hint="eastAsia" w:ascii="Times New Roman" w:hAnsi="Times New Roman"/>
                <w:sz w:val="20"/>
                <w:szCs w:val="22"/>
              </w:rPr>
              <w:t>II级</w:t>
            </w:r>
          </w:p>
        </w:tc>
        <w:tc>
          <w:tcPr>
            <w:tcW w:w="2017" w:type="dxa"/>
            <w:vAlign w:val="center"/>
          </w:tcPr>
          <w:p w14:paraId="0742E873">
            <w:pPr>
              <w:jc w:val="center"/>
              <w:rPr>
                <w:rFonts w:ascii="Times New Roman" w:hAnsi="Times New Roman"/>
                <w:sz w:val="20"/>
                <w:szCs w:val="22"/>
              </w:rPr>
            </w:pPr>
            <w:r>
              <w:rPr>
                <w:rFonts w:hint="eastAsia" w:ascii="Times New Roman" w:hAnsi="Times New Roman"/>
                <w:sz w:val="20"/>
                <w:szCs w:val="22"/>
              </w:rPr>
              <w:t>III级</w:t>
            </w:r>
          </w:p>
        </w:tc>
      </w:tr>
      <w:tr w14:paraId="1EF69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14:paraId="66EEE1D5">
            <w:pPr>
              <w:jc w:val="center"/>
              <w:rPr>
                <w:rFonts w:ascii="Times New Roman" w:hAnsi="Times New Roman"/>
                <w:sz w:val="20"/>
                <w:szCs w:val="22"/>
              </w:rPr>
            </w:pPr>
            <w:r>
              <w:rPr>
                <w:rFonts w:hint="eastAsia" w:ascii="Times New Roman" w:hAnsi="Times New Roman"/>
                <w:sz w:val="20"/>
                <w:szCs w:val="22"/>
              </w:rPr>
              <w:t>5级（丰富）</w:t>
            </w:r>
          </w:p>
        </w:tc>
        <w:tc>
          <w:tcPr>
            <w:tcW w:w="2016" w:type="dxa"/>
            <w:shd w:val="clear" w:color="auto" w:fill="FFFFFF" w:themeFill="background1"/>
            <w:vAlign w:val="center"/>
          </w:tcPr>
          <w:p w14:paraId="4C6012B8">
            <w:pPr>
              <w:jc w:val="center"/>
              <w:rPr>
                <w:rFonts w:ascii="Times New Roman" w:hAnsi="Times New Roman"/>
                <w:sz w:val="20"/>
                <w:szCs w:val="22"/>
              </w:rPr>
            </w:pPr>
            <w:r>
              <w:rPr>
                <w:rFonts w:hint="eastAsia" w:ascii="Times New Roman" w:hAnsi="Times New Roman"/>
                <w:sz w:val="20"/>
                <w:szCs w:val="22"/>
              </w:rPr>
              <w:t>特级</w:t>
            </w:r>
          </w:p>
        </w:tc>
        <w:tc>
          <w:tcPr>
            <w:tcW w:w="2017" w:type="dxa"/>
            <w:shd w:val="clear" w:color="auto" w:fill="FFFFFF" w:themeFill="background1"/>
            <w:vAlign w:val="center"/>
          </w:tcPr>
          <w:p w14:paraId="02598F3F">
            <w:pPr>
              <w:jc w:val="center"/>
              <w:rPr>
                <w:rFonts w:ascii="Times New Roman" w:hAnsi="Times New Roman"/>
                <w:sz w:val="20"/>
                <w:szCs w:val="22"/>
              </w:rPr>
            </w:pPr>
            <w:r>
              <w:rPr>
                <w:rFonts w:hint="eastAsia" w:ascii="Times New Roman" w:hAnsi="Times New Roman"/>
                <w:sz w:val="20"/>
                <w:szCs w:val="22"/>
              </w:rPr>
              <w:t>特级</w:t>
            </w:r>
          </w:p>
        </w:tc>
        <w:tc>
          <w:tcPr>
            <w:tcW w:w="2017" w:type="dxa"/>
            <w:shd w:val="clear" w:color="auto" w:fill="FFFFFF" w:themeFill="background1"/>
            <w:vAlign w:val="center"/>
          </w:tcPr>
          <w:p w14:paraId="70771CF2">
            <w:pPr>
              <w:jc w:val="center"/>
              <w:rPr>
                <w:rFonts w:ascii="Times New Roman" w:hAnsi="Times New Roman"/>
                <w:sz w:val="20"/>
                <w:szCs w:val="22"/>
              </w:rPr>
            </w:pPr>
            <w:r>
              <w:rPr>
                <w:rFonts w:hint="eastAsia" w:ascii="Times New Roman" w:hAnsi="Times New Roman"/>
                <w:sz w:val="20"/>
                <w:szCs w:val="22"/>
              </w:rPr>
              <w:t>优级</w:t>
            </w:r>
          </w:p>
        </w:tc>
      </w:tr>
      <w:tr w14:paraId="6907F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14:paraId="110F0B8F">
            <w:pPr>
              <w:jc w:val="center"/>
              <w:rPr>
                <w:rFonts w:ascii="Times New Roman" w:hAnsi="Times New Roman"/>
                <w:sz w:val="20"/>
                <w:szCs w:val="22"/>
              </w:rPr>
            </w:pPr>
            <w:r>
              <w:rPr>
                <w:rFonts w:hint="eastAsia" w:ascii="Times New Roman" w:hAnsi="Times New Roman"/>
                <w:sz w:val="20"/>
                <w:szCs w:val="22"/>
              </w:rPr>
              <w:t>4级（较丰富）</w:t>
            </w:r>
          </w:p>
        </w:tc>
        <w:tc>
          <w:tcPr>
            <w:tcW w:w="2016" w:type="dxa"/>
            <w:shd w:val="clear" w:color="auto" w:fill="FFFFFF" w:themeFill="background1"/>
            <w:vAlign w:val="center"/>
          </w:tcPr>
          <w:p w14:paraId="1523BC16">
            <w:pPr>
              <w:jc w:val="center"/>
              <w:rPr>
                <w:rFonts w:ascii="Times New Roman" w:hAnsi="Times New Roman"/>
                <w:sz w:val="20"/>
                <w:szCs w:val="22"/>
              </w:rPr>
            </w:pPr>
            <w:r>
              <w:rPr>
                <w:rFonts w:hint="eastAsia" w:ascii="Times New Roman" w:hAnsi="Times New Roman"/>
                <w:sz w:val="20"/>
                <w:szCs w:val="22"/>
              </w:rPr>
              <w:t>特级</w:t>
            </w:r>
          </w:p>
        </w:tc>
        <w:tc>
          <w:tcPr>
            <w:tcW w:w="2017" w:type="dxa"/>
            <w:shd w:val="clear" w:color="auto" w:fill="FFFFFF" w:themeFill="background1"/>
            <w:vAlign w:val="center"/>
          </w:tcPr>
          <w:p w14:paraId="028EF6A7">
            <w:pPr>
              <w:jc w:val="center"/>
              <w:rPr>
                <w:rFonts w:ascii="Times New Roman" w:hAnsi="Times New Roman"/>
                <w:sz w:val="20"/>
                <w:szCs w:val="22"/>
              </w:rPr>
            </w:pPr>
            <w:r>
              <w:rPr>
                <w:rFonts w:hint="eastAsia" w:ascii="Times New Roman" w:hAnsi="Times New Roman"/>
                <w:sz w:val="20"/>
                <w:szCs w:val="22"/>
              </w:rPr>
              <w:t>优级</w:t>
            </w:r>
          </w:p>
        </w:tc>
        <w:tc>
          <w:tcPr>
            <w:tcW w:w="2017" w:type="dxa"/>
            <w:shd w:val="clear" w:color="auto" w:fill="FFFFFF" w:themeFill="background1"/>
            <w:vAlign w:val="center"/>
          </w:tcPr>
          <w:p w14:paraId="5A051C1B">
            <w:pPr>
              <w:jc w:val="center"/>
              <w:rPr>
                <w:rFonts w:ascii="Times New Roman" w:hAnsi="Times New Roman"/>
                <w:sz w:val="20"/>
                <w:szCs w:val="22"/>
              </w:rPr>
            </w:pPr>
            <w:r>
              <w:rPr>
                <w:rFonts w:hint="eastAsia" w:ascii="Times New Roman" w:hAnsi="Times New Roman"/>
                <w:sz w:val="20"/>
                <w:szCs w:val="22"/>
              </w:rPr>
              <w:t>良好级</w:t>
            </w:r>
          </w:p>
        </w:tc>
      </w:tr>
      <w:tr w14:paraId="77427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14:paraId="7428DEF4">
            <w:pPr>
              <w:jc w:val="center"/>
              <w:rPr>
                <w:rFonts w:ascii="Times New Roman" w:hAnsi="Times New Roman"/>
                <w:sz w:val="20"/>
                <w:szCs w:val="22"/>
              </w:rPr>
            </w:pPr>
            <w:r>
              <w:rPr>
                <w:rFonts w:hint="eastAsia" w:ascii="Times New Roman" w:hAnsi="Times New Roman"/>
                <w:sz w:val="20"/>
                <w:szCs w:val="22"/>
              </w:rPr>
              <w:t>3级（中等）</w:t>
            </w:r>
          </w:p>
        </w:tc>
        <w:tc>
          <w:tcPr>
            <w:tcW w:w="2016" w:type="dxa"/>
            <w:shd w:val="clear" w:color="auto" w:fill="FFFFFF" w:themeFill="background1"/>
            <w:vAlign w:val="center"/>
          </w:tcPr>
          <w:p w14:paraId="51374083">
            <w:pPr>
              <w:jc w:val="center"/>
              <w:rPr>
                <w:rFonts w:ascii="Times New Roman" w:hAnsi="Times New Roman"/>
                <w:sz w:val="20"/>
                <w:szCs w:val="22"/>
              </w:rPr>
            </w:pPr>
            <w:r>
              <w:rPr>
                <w:rFonts w:hint="eastAsia" w:ascii="Times New Roman" w:hAnsi="Times New Roman"/>
                <w:sz w:val="20"/>
                <w:szCs w:val="22"/>
              </w:rPr>
              <w:t>优级</w:t>
            </w:r>
          </w:p>
        </w:tc>
        <w:tc>
          <w:tcPr>
            <w:tcW w:w="2017" w:type="dxa"/>
            <w:shd w:val="clear" w:color="auto" w:fill="FFFFFF" w:themeFill="background1"/>
            <w:vAlign w:val="center"/>
          </w:tcPr>
          <w:p w14:paraId="71C997A2">
            <w:pPr>
              <w:jc w:val="center"/>
              <w:rPr>
                <w:rFonts w:ascii="Times New Roman" w:hAnsi="Times New Roman"/>
                <w:sz w:val="20"/>
                <w:szCs w:val="22"/>
              </w:rPr>
            </w:pPr>
            <w:r>
              <w:rPr>
                <w:rFonts w:hint="eastAsia" w:ascii="Times New Roman" w:hAnsi="Times New Roman"/>
                <w:sz w:val="20"/>
                <w:szCs w:val="22"/>
              </w:rPr>
              <w:t>良好级</w:t>
            </w:r>
          </w:p>
        </w:tc>
        <w:tc>
          <w:tcPr>
            <w:tcW w:w="2017" w:type="dxa"/>
            <w:shd w:val="clear" w:color="auto" w:fill="FFFFFF" w:themeFill="background1"/>
            <w:vAlign w:val="center"/>
          </w:tcPr>
          <w:p w14:paraId="47DA648F">
            <w:pPr>
              <w:jc w:val="center"/>
              <w:rPr>
                <w:rFonts w:ascii="Times New Roman" w:hAnsi="Times New Roman"/>
                <w:sz w:val="20"/>
                <w:szCs w:val="22"/>
              </w:rPr>
            </w:pPr>
            <w:r>
              <w:rPr>
                <w:rFonts w:hint="eastAsia" w:ascii="Times New Roman" w:hAnsi="Times New Roman"/>
                <w:sz w:val="20"/>
                <w:szCs w:val="22"/>
              </w:rPr>
              <w:t>普通级</w:t>
            </w:r>
          </w:p>
        </w:tc>
      </w:tr>
      <w:tr w14:paraId="43714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jc w:val="center"/>
        </w:trPr>
        <w:tc>
          <w:tcPr>
            <w:tcW w:w="3284" w:type="dxa"/>
            <w:vAlign w:val="center"/>
          </w:tcPr>
          <w:p w14:paraId="542713EE">
            <w:pPr>
              <w:jc w:val="center"/>
              <w:rPr>
                <w:rFonts w:ascii="Times New Roman" w:hAnsi="Times New Roman"/>
                <w:sz w:val="20"/>
                <w:szCs w:val="22"/>
              </w:rPr>
            </w:pPr>
            <w:r>
              <w:rPr>
                <w:rFonts w:hint="eastAsia" w:ascii="Times New Roman" w:hAnsi="Times New Roman"/>
                <w:sz w:val="20"/>
                <w:szCs w:val="22"/>
              </w:rPr>
              <w:t>2级（丰富少量）</w:t>
            </w:r>
          </w:p>
        </w:tc>
        <w:tc>
          <w:tcPr>
            <w:tcW w:w="2016" w:type="dxa"/>
            <w:shd w:val="clear" w:color="auto" w:fill="FFFFFF" w:themeFill="background1"/>
            <w:vAlign w:val="center"/>
          </w:tcPr>
          <w:p w14:paraId="1B67CAA3">
            <w:pPr>
              <w:jc w:val="center"/>
              <w:rPr>
                <w:rFonts w:ascii="Times New Roman" w:hAnsi="Times New Roman"/>
                <w:sz w:val="20"/>
                <w:szCs w:val="22"/>
              </w:rPr>
            </w:pPr>
            <w:r>
              <w:rPr>
                <w:rFonts w:hint="eastAsia" w:ascii="Times New Roman" w:hAnsi="Times New Roman"/>
                <w:sz w:val="20"/>
                <w:szCs w:val="22"/>
              </w:rPr>
              <w:t>优级</w:t>
            </w:r>
          </w:p>
        </w:tc>
        <w:tc>
          <w:tcPr>
            <w:tcW w:w="2017" w:type="dxa"/>
            <w:shd w:val="clear" w:color="auto" w:fill="FFFFFF" w:themeFill="background1"/>
            <w:vAlign w:val="center"/>
          </w:tcPr>
          <w:p w14:paraId="3B9AE075">
            <w:pPr>
              <w:jc w:val="center"/>
              <w:rPr>
                <w:rFonts w:ascii="Times New Roman" w:hAnsi="Times New Roman"/>
                <w:sz w:val="20"/>
                <w:szCs w:val="22"/>
              </w:rPr>
            </w:pPr>
            <w:r>
              <w:rPr>
                <w:rFonts w:hint="eastAsia" w:ascii="Times New Roman" w:hAnsi="Times New Roman"/>
                <w:sz w:val="20"/>
                <w:szCs w:val="22"/>
              </w:rPr>
              <w:t>良好级</w:t>
            </w:r>
          </w:p>
        </w:tc>
        <w:tc>
          <w:tcPr>
            <w:tcW w:w="2017" w:type="dxa"/>
            <w:shd w:val="clear" w:color="auto" w:fill="FFFFFF" w:themeFill="background1"/>
            <w:vAlign w:val="center"/>
          </w:tcPr>
          <w:p w14:paraId="2B23E1E1">
            <w:pPr>
              <w:jc w:val="center"/>
              <w:rPr>
                <w:rFonts w:ascii="Times New Roman" w:hAnsi="Times New Roman"/>
                <w:sz w:val="20"/>
                <w:szCs w:val="22"/>
              </w:rPr>
            </w:pPr>
            <w:r>
              <w:rPr>
                <w:rFonts w:hint="eastAsia" w:ascii="Times New Roman" w:hAnsi="Times New Roman"/>
                <w:sz w:val="20"/>
                <w:szCs w:val="22"/>
              </w:rPr>
              <w:t>普通级</w:t>
            </w:r>
          </w:p>
        </w:tc>
      </w:tr>
      <w:tr w14:paraId="4A342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84" w:type="dxa"/>
            <w:vAlign w:val="center"/>
          </w:tcPr>
          <w:p w14:paraId="438CE4B1">
            <w:pPr>
              <w:jc w:val="center"/>
              <w:rPr>
                <w:rFonts w:ascii="Times New Roman" w:hAnsi="Times New Roman"/>
                <w:sz w:val="20"/>
                <w:szCs w:val="22"/>
              </w:rPr>
            </w:pPr>
            <w:r>
              <w:rPr>
                <w:rFonts w:hint="eastAsia" w:ascii="Times New Roman" w:hAnsi="Times New Roman"/>
                <w:sz w:val="20"/>
                <w:szCs w:val="22"/>
              </w:rPr>
              <w:t>1级（几乎没有）</w:t>
            </w:r>
          </w:p>
        </w:tc>
        <w:tc>
          <w:tcPr>
            <w:tcW w:w="2016" w:type="dxa"/>
            <w:shd w:val="clear" w:color="auto" w:fill="FFFFFF" w:themeFill="background1"/>
            <w:vAlign w:val="center"/>
          </w:tcPr>
          <w:p w14:paraId="706C30CF">
            <w:pPr>
              <w:jc w:val="center"/>
              <w:rPr>
                <w:rFonts w:ascii="Times New Roman" w:hAnsi="Times New Roman"/>
                <w:sz w:val="20"/>
                <w:szCs w:val="22"/>
              </w:rPr>
            </w:pPr>
            <w:r>
              <w:rPr>
                <w:rFonts w:hint="eastAsia" w:ascii="Times New Roman" w:hAnsi="Times New Roman"/>
                <w:sz w:val="20"/>
                <w:szCs w:val="22"/>
              </w:rPr>
              <w:t>良好级</w:t>
            </w:r>
          </w:p>
        </w:tc>
        <w:tc>
          <w:tcPr>
            <w:tcW w:w="2017" w:type="dxa"/>
            <w:shd w:val="clear" w:color="auto" w:fill="FFFFFF" w:themeFill="background1"/>
            <w:vAlign w:val="center"/>
          </w:tcPr>
          <w:p w14:paraId="6A2F2987">
            <w:pPr>
              <w:jc w:val="center"/>
              <w:rPr>
                <w:rFonts w:ascii="Times New Roman" w:hAnsi="Times New Roman"/>
                <w:sz w:val="20"/>
                <w:szCs w:val="22"/>
              </w:rPr>
            </w:pPr>
            <w:r>
              <w:rPr>
                <w:rFonts w:hint="eastAsia" w:ascii="Times New Roman" w:hAnsi="Times New Roman"/>
                <w:sz w:val="20"/>
                <w:szCs w:val="22"/>
              </w:rPr>
              <w:t>普通级</w:t>
            </w:r>
          </w:p>
        </w:tc>
        <w:tc>
          <w:tcPr>
            <w:tcW w:w="2017" w:type="dxa"/>
            <w:shd w:val="clear" w:color="auto" w:fill="FFFFFF" w:themeFill="background1"/>
            <w:vAlign w:val="center"/>
          </w:tcPr>
          <w:p w14:paraId="4732F20E">
            <w:pPr>
              <w:jc w:val="center"/>
              <w:rPr>
                <w:rFonts w:ascii="Times New Roman" w:hAnsi="Times New Roman"/>
                <w:sz w:val="20"/>
                <w:szCs w:val="22"/>
              </w:rPr>
            </w:pPr>
            <w:r>
              <w:rPr>
                <w:rFonts w:hint="eastAsia" w:ascii="Times New Roman" w:hAnsi="Times New Roman"/>
                <w:sz w:val="20"/>
                <w:szCs w:val="22"/>
              </w:rPr>
              <w:t>普通级</w:t>
            </w:r>
          </w:p>
        </w:tc>
      </w:tr>
    </w:tbl>
    <w:p w14:paraId="183D04A2">
      <w:pPr>
        <w:pStyle w:val="104"/>
        <w:spacing w:before="240" w:after="240"/>
        <w:rPr>
          <w:rFonts w:hAnsi="黑体"/>
          <w:color w:val="000000"/>
          <w:szCs w:val="21"/>
        </w:rPr>
      </w:pPr>
      <w:bookmarkStart w:id="104" w:name="_Toc2068"/>
      <w:r>
        <w:rPr>
          <w:rFonts w:hint="eastAsia" w:hAnsi="黑体"/>
          <w:color w:val="000000"/>
          <w:szCs w:val="21"/>
        </w:rPr>
        <w:t>综合评定</w:t>
      </w:r>
      <w:bookmarkEnd w:id="104"/>
    </w:p>
    <w:p w14:paraId="6BB62288">
      <w:pPr>
        <w:pStyle w:val="56"/>
        <w:ind w:firstLine="420"/>
        <w:jc w:val="left"/>
      </w:pPr>
      <w:r>
        <w:rPr>
          <w:rFonts w:hint="eastAsia"/>
        </w:rPr>
        <w:t>牛胴体等级规格综合判定按NY/T676执行，牛分割肉等级规格综合判定按NY/T3379执行。牛胴体等级分为“特级”“优级”“良好级”“普通级”四个级别;牛里脊、上脑、眼肉、外脊的等级分为“S级”“A级”“B级”“C级”四个级别，其他分割肉的等级分为“优质”“普通”两个级别。</w:t>
      </w:r>
      <w:bookmarkEnd w:id="25"/>
      <w:bookmarkStart w:id="105" w:name="BookMark8"/>
      <w:bookmarkStart w:id="106" w:name="BookMark7"/>
    </w:p>
    <w:p w14:paraId="4DAA26EA">
      <w:pPr>
        <w:pStyle w:val="104"/>
        <w:spacing w:before="240" w:after="240"/>
        <w:rPr>
          <w:rFonts w:hAnsi="黑体"/>
          <w:color w:val="000000"/>
          <w:szCs w:val="21"/>
        </w:rPr>
      </w:pPr>
      <w:bookmarkStart w:id="107" w:name="_Toc22773"/>
      <w:r>
        <w:rPr>
          <w:rFonts w:hint="eastAsia" w:hAnsi="黑体"/>
          <w:color w:val="000000"/>
          <w:szCs w:val="21"/>
        </w:rPr>
        <w:t>标识和记录</w:t>
      </w:r>
      <w:bookmarkEnd w:id="107"/>
    </w:p>
    <w:p w14:paraId="205D3294">
      <w:pPr>
        <w:pStyle w:val="105"/>
        <w:spacing w:before="120" w:after="120"/>
        <w:rPr>
          <w:rFonts w:hAnsi="黑体"/>
          <w:color w:val="000000"/>
          <w:szCs w:val="21"/>
        </w:rPr>
      </w:pPr>
      <w:r>
        <w:rPr>
          <w:rFonts w:hint="eastAsia" w:hAnsi="黑体"/>
          <w:color w:val="000000"/>
          <w:szCs w:val="21"/>
        </w:rPr>
        <w:t xml:space="preserve"> </w:t>
      </w:r>
      <w:bookmarkStart w:id="108" w:name="_Toc26165"/>
      <w:r>
        <w:rPr>
          <w:rFonts w:hint="eastAsia" w:hAnsi="黑体"/>
          <w:color w:val="000000"/>
          <w:szCs w:val="21"/>
        </w:rPr>
        <w:t>标识</w:t>
      </w:r>
      <w:bookmarkEnd w:id="108"/>
    </w:p>
    <w:p w14:paraId="6FBD61B9">
      <w:pPr>
        <w:pStyle w:val="56"/>
        <w:ind w:firstLine="420"/>
        <w:jc w:val="left"/>
      </w:pPr>
      <w:r>
        <w:rPr>
          <w:rFonts w:hint="eastAsia"/>
        </w:rPr>
        <w:t>等级标识可加盖在胴体或分割肉上，也可采取附加标签的形式。</w:t>
      </w:r>
    </w:p>
    <w:p w14:paraId="589C0CDD">
      <w:pPr>
        <w:pStyle w:val="105"/>
        <w:spacing w:before="120" w:after="120"/>
        <w:rPr>
          <w:rFonts w:hAnsi="黑体"/>
          <w:color w:val="000000"/>
          <w:szCs w:val="21"/>
        </w:rPr>
      </w:pPr>
      <w:bookmarkStart w:id="109" w:name="_Toc4737"/>
      <w:r>
        <w:rPr>
          <w:rFonts w:hint="eastAsia" w:hAnsi="黑体"/>
          <w:color w:val="000000"/>
          <w:szCs w:val="21"/>
        </w:rPr>
        <w:t>记录</w:t>
      </w:r>
      <w:bookmarkEnd w:id="109"/>
    </w:p>
    <w:p w14:paraId="054C66C9">
      <w:pPr>
        <w:pStyle w:val="56"/>
        <w:ind w:firstLine="420"/>
        <w:jc w:val="left"/>
        <w:rPr>
          <w:rFonts w:hint="eastAsia"/>
        </w:rPr>
      </w:pPr>
      <w:r>
        <w:rPr>
          <w:rFonts w:hint="eastAsia"/>
        </w:rPr>
        <w:t>记录应准确、规范，保存期限不应少于肉类保质期满后6个月，没有明确保质期的，保存期限不应少于2年。</w:t>
      </w:r>
    </w:p>
    <w:p w14:paraId="0A6D6AFC">
      <w:pPr>
        <w:pStyle w:val="56"/>
        <w:ind w:firstLine="420"/>
        <w:jc w:val="left"/>
      </w:pPr>
    </w:p>
    <w:p w14:paraId="387BF8F1">
      <w:pPr>
        <w:pStyle w:val="56"/>
        <w:ind w:firstLine="420"/>
        <w:jc w:val="left"/>
      </w:pPr>
    </w:p>
    <w:p w14:paraId="2CE5BC28">
      <w:pPr>
        <w:pStyle w:val="56"/>
        <w:ind w:firstLine="420"/>
        <w:jc w:val="left"/>
      </w:pPr>
    </w:p>
    <w:p w14:paraId="1B405890">
      <w:pPr>
        <w:pStyle w:val="56"/>
        <w:ind w:firstLine="420"/>
        <w:jc w:val="left"/>
      </w:pPr>
      <w:r>
        <w:rPr>
          <w:rFonts w:hint="eastAsia"/>
        </w:rPr>
        <w:t xml:space="preserve">                                </w:t>
      </w:r>
      <w:r>
        <w:drawing>
          <wp:inline distT="0" distB="0" distL="0" distR="0">
            <wp:extent cx="1485900" cy="119380"/>
            <wp:effectExtent l="0" t="0" r="7620" b="2540"/>
            <wp:docPr id="4" name="图片 4"/>
            <wp:cNvGraphicFramePr/>
            <a:graphic xmlns:a="http://schemas.openxmlformats.org/drawingml/2006/main">
              <a:graphicData uri="http://schemas.openxmlformats.org/drawingml/2006/picture">
                <pic:pic xmlns:pic="http://schemas.openxmlformats.org/drawingml/2006/picture">
                  <pic:nvPicPr>
                    <pic:cNvPr id="4" name="图片 4"/>
                    <pic:cNvPicPr/>
                  </pic:nvPicPr>
                  <pic:blipFill>
                    <a:blip r:embed="rId24">
                      <a:extLst>
                        <a:ext uri="{28A0092B-C50C-407E-A947-70E740481C1C}">
                          <a14:useLocalDpi xmlns:a14="http://schemas.microsoft.com/office/drawing/2010/main" val="0"/>
                        </a:ext>
                      </a:extLst>
                    </a:blip>
                    <a:stretch>
                      <a:fillRect/>
                    </a:stretch>
                  </pic:blipFill>
                  <pic:spPr>
                    <a:xfrm>
                      <a:off x="0" y="0"/>
                      <a:ext cx="1485900" cy="119380"/>
                    </a:xfrm>
                    <a:prstGeom prst="rect">
                      <a:avLst/>
                    </a:prstGeom>
                  </pic:spPr>
                </pic:pic>
              </a:graphicData>
            </a:graphic>
          </wp:inline>
        </w:drawing>
      </w:r>
      <w:bookmarkEnd w:id="105"/>
    </w:p>
    <w:p w14:paraId="396441F8">
      <w:pPr>
        <w:pStyle w:val="56"/>
        <w:ind w:firstLine="420"/>
      </w:pPr>
    </w:p>
    <w:bookmarkEnd w:id="106"/>
    <w:p w14:paraId="0DC9D5E7">
      <w:pPr>
        <w:pStyle w:val="56"/>
        <w:ind w:firstLine="0" w:firstLineChars="0"/>
        <w:jc w:val="center"/>
      </w:pPr>
    </w:p>
    <w:sectPr>
      <w:headerReference r:id="rId17" w:type="default"/>
      <w:footerReference r:id="rId19" w:type="default"/>
      <w:headerReference r:id="rId18" w:type="even"/>
      <w:footerReference r:id="rId20" w:type="even"/>
      <w:pgSz w:w="11906" w:h="16838"/>
      <w:pgMar w:top="1928" w:right="1134" w:bottom="1134" w:left="1134" w:header="1418" w:footer="1134" w:gutter="284"/>
      <w:pgBorders>
        <w:top w:val="none" w:sz="0" w:space="0"/>
        <w:left w:val="none" w:sz="0" w:space="0"/>
        <w:bottom w:val="none" w:sz="0" w:space="0"/>
        <w:right w:val="none" w:sz="0" w:space="0"/>
      </w:pgBorders>
      <w:cols w:space="425" w:num="1"/>
      <w:formProt w:val="0"/>
      <w:docGrid w:linePitch="312" w:charSpace="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DBAC9">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9AB94">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8FBDE">
    <w:pPr>
      <w:pStyle w:val="52"/>
    </w:pPr>
    <w:r>
      <w:fldChar w:fldCharType="begin"/>
    </w:r>
    <w:r>
      <w:instrText xml:space="preserve">PAGE   \* MERGEFORMAT</w:instrText>
    </w:r>
    <w:r>
      <w:fldChar w:fldCharType="separate"/>
    </w:r>
    <w:r>
      <w:rPr>
        <w:lang w:val="zh-CN"/>
      </w:rP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ADEEE">
    <w:pPr>
      <w:pStyle w:val="51"/>
    </w:pPr>
    <w:r>
      <w:fldChar w:fldCharType="begin"/>
    </w:r>
    <w:r>
      <w:instrText xml:space="preserve"> PAGE   \* MERGEFORMAT \* MERGEFORMAT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002B3">
    <w:pPr>
      <w:pStyle w:val="52"/>
    </w:pPr>
    <w:r>
      <w:fldChar w:fldCharType="begin"/>
    </w:r>
    <w:r>
      <w:instrText xml:space="preserve">PAGE   \* MERGEFORMAT</w:instrText>
    </w:r>
    <w:r>
      <w:fldChar w:fldCharType="separate"/>
    </w:r>
    <w:r>
      <w:rPr>
        <w:lang w:val="zh-CN"/>
      </w:rP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D1C22">
    <w:pPr>
      <w:pStyle w:val="51"/>
    </w:pPr>
    <w:r>
      <w:fldChar w:fldCharType="begin"/>
    </w:r>
    <w:r>
      <w:instrText xml:space="preserve"> PAGE   \* MERGEFORMAT \* MERGEFORMAT </w:instrText>
    </w:r>
    <w:r>
      <w:fldChar w:fldCharType="separate"/>
    </w:r>
    <w:r>
      <w:t>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B0F30">
    <w:pPr>
      <w:pStyle w:val="52"/>
    </w:pPr>
    <w:r>
      <w:fldChar w:fldCharType="begin"/>
    </w:r>
    <w:r>
      <w:instrText xml:space="preserve">PAGE   \* MERGEFORMAT</w:instrText>
    </w:r>
    <w:r>
      <w:fldChar w:fldCharType="separate"/>
    </w:r>
    <w:r>
      <w:rPr>
        <w:lang w:val="zh-CN"/>
      </w:rPr>
      <w:t>5</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0B2335">
    <w:pPr>
      <w:pStyle w:val="51"/>
    </w:pPr>
    <w:r>
      <w:fldChar w:fldCharType="begin"/>
    </w:r>
    <w:r>
      <w:instrText xml:space="preserve"> PAGE   \* MERGEFORMAT \* MERGEFORMAT </w:instrText>
    </w:r>
    <w:r>
      <w:fldChar w:fldCharType="separate"/>
    </w:r>
    <w: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E110C2">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3DF376">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85B02">
    <w:pPr>
      <w:pStyle w:val="61"/>
    </w:pPr>
    <w:r>
      <w:fldChar w:fldCharType="begin"/>
    </w:r>
    <w:r>
      <w:instrText xml:space="preserve"> STYLEREF  标准文件_文件编号  \* MERGEFORMAT </w:instrText>
    </w:r>
    <w:r>
      <w:fldChar w:fldCharType="separate"/>
    </w:r>
    <w:r>
      <w:t>T/XXX XXXX—2026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DB271">
    <w:pPr>
      <w:pStyle w:val="62"/>
    </w:pPr>
    <w:r>
      <w:fldChar w:fldCharType="begin"/>
    </w:r>
    <w:r>
      <w:instrText xml:space="preserve"> STYLEREF  标准文件_文件编号 \* MERGEFORMAT </w:instrText>
    </w:r>
    <w:r>
      <w:fldChar w:fldCharType="separate"/>
    </w:r>
    <w:r>
      <w:t>T/XXX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A9FFD2">
    <w:pPr>
      <w:pStyle w:val="61"/>
    </w:pPr>
    <w:r>
      <w:fldChar w:fldCharType="begin"/>
    </w:r>
    <w:r>
      <w:instrText xml:space="preserve"> STYLEREF  标准文件_文件编号  \* MERGEFORMAT </w:instrText>
    </w:r>
    <w:r>
      <w:fldChar w:fldCharType="separate"/>
    </w:r>
    <w:r>
      <w:t>T/XXX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91FF5">
    <w:pPr>
      <w:pStyle w:val="62"/>
    </w:pPr>
    <w:r>
      <w:fldChar w:fldCharType="begin"/>
    </w:r>
    <w:r>
      <w:instrText xml:space="preserve"> STYLEREF  标准文件_文件编号 \* MERGEFORMAT </w:instrText>
    </w:r>
    <w:r>
      <w:fldChar w:fldCharType="separate"/>
    </w:r>
    <w:r>
      <w:t>T/XXX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071BE">
    <w:pPr>
      <w:pStyle w:val="61"/>
    </w:pPr>
    <w:r>
      <w:fldChar w:fldCharType="begin"/>
    </w:r>
    <w:r>
      <w:instrText xml:space="preserve"> STYLEREF  标准文件_文件编号  \* MERGEFORMAT </w:instrText>
    </w:r>
    <w:r>
      <w:fldChar w:fldCharType="separate"/>
    </w:r>
    <w:r>
      <w:t>T/XXX XXXX—2026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864BC4">
    <w:pPr>
      <w:pStyle w:val="62"/>
    </w:pPr>
    <w:r>
      <w:fldChar w:fldCharType="begin"/>
    </w:r>
    <w:r>
      <w:instrText xml:space="preserve"> STYLEREF  标准文件_文件编号 \* MERGEFORMAT </w:instrText>
    </w:r>
    <w:r>
      <w:fldChar w:fldCharType="separate"/>
    </w:r>
    <w:r>
      <w:t>T/XXX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attachedTemplate r:id="rId1"/>
  <w:documentProtection w:edit="forms" w:enforcement="1" w:cryptProviderType="rsaAES" w:cryptAlgorithmClass="hash" w:cryptAlgorithmType="typeAny" w:cryptAlgorithmSid="14" w:cryptSpinCount="100000" w:hash="tYd+Hzu0lcrUySVHnCiVw7M7Xw2bCetIR6wIVsX8snMrUSqmK7zwrYPebsubbH1D5QX+JDBZhHkIJGaHpvF93Q==" w:salt="hVQSHQd5761vtazOHVDzrA=="/>
  <w:defaultTabStop w:val="420"/>
  <w:evenAndOddHeaders w:val="1"/>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0936"/>
    <w:rsid w:val="0000040A"/>
    <w:rsid w:val="00000A94"/>
    <w:rsid w:val="00001972"/>
    <w:rsid w:val="00001D9A"/>
    <w:rsid w:val="00007B3A"/>
    <w:rsid w:val="000107E0"/>
    <w:rsid w:val="00011FDE"/>
    <w:rsid w:val="00012FFD"/>
    <w:rsid w:val="0001346A"/>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665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6C06"/>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239A"/>
    <w:rsid w:val="0017340B"/>
    <w:rsid w:val="00173FB1"/>
    <w:rsid w:val="00174739"/>
    <w:rsid w:val="00176DFD"/>
    <w:rsid w:val="001852C9"/>
    <w:rsid w:val="00187A0B"/>
    <w:rsid w:val="00190087"/>
    <w:rsid w:val="001913C4"/>
    <w:rsid w:val="0019348F"/>
    <w:rsid w:val="00193A07"/>
    <w:rsid w:val="00194C95"/>
    <w:rsid w:val="00195C34"/>
    <w:rsid w:val="00196EF5"/>
    <w:rsid w:val="001A0740"/>
    <w:rsid w:val="001A1A53"/>
    <w:rsid w:val="001A234A"/>
    <w:rsid w:val="001A4CF3"/>
    <w:rsid w:val="001A665C"/>
    <w:rsid w:val="001A6696"/>
    <w:rsid w:val="001A79F1"/>
    <w:rsid w:val="001B06E8"/>
    <w:rsid w:val="001B0E94"/>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0337"/>
    <w:rsid w:val="001E054F"/>
    <w:rsid w:val="001E1B6A"/>
    <w:rsid w:val="001E2484"/>
    <w:rsid w:val="001E3CC4"/>
    <w:rsid w:val="001E4882"/>
    <w:rsid w:val="001E73AB"/>
    <w:rsid w:val="001F092D"/>
    <w:rsid w:val="001F143A"/>
    <w:rsid w:val="001F1605"/>
    <w:rsid w:val="001F2508"/>
    <w:rsid w:val="001F4816"/>
    <w:rsid w:val="001F69B4"/>
    <w:rsid w:val="001F6ACD"/>
    <w:rsid w:val="001F77C7"/>
    <w:rsid w:val="00200183"/>
    <w:rsid w:val="00200333"/>
    <w:rsid w:val="0020107D"/>
    <w:rsid w:val="00202AA4"/>
    <w:rsid w:val="002031F7"/>
    <w:rsid w:val="002040E6"/>
    <w:rsid w:val="0020527B"/>
    <w:rsid w:val="00205F2C"/>
    <w:rsid w:val="00210B15"/>
    <w:rsid w:val="002124EE"/>
    <w:rsid w:val="002142EA"/>
    <w:rsid w:val="00215ADD"/>
    <w:rsid w:val="002204BB"/>
    <w:rsid w:val="00221B79"/>
    <w:rsid w:val="00221C6B"/>
    <w:rsid w:val="00221DAA"/>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53238"/>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14D6"/>
    <w:rsid w:val="002E4D5A"/>
    <w:rsid w:val="002E6326"/>
    <w:rsid w:val="002E7B71"/>
    <w:rsid w:val="002F30E0"/>
    <w:rsid w:val="002F35E4"/>
    <w:rsid w:val="002F3730"/>
    <w:rsid w:val="002F38E1"/>
    <w:rsid w:val="002F7AF6"/>
    <w:rsid w:val="00300E63"/>
    <w:rsid w:val="00302F5F"/>
    <w:rsid w:val="0030441D"/>
    <w:rsid w:val="00306063"/>
    <w:rsid w:val="00313B85"/>
    <w:rsid w:val="00317988"/>
    <w:rsid w:val="00320E3E"/>
    <w:rsid w:val="003221B4"/>
    <w:rsid w:val="0032258D"/>
    <w:rsid w:val="00322E62"/>
    <w:rsid w:val="00324D13"/>
    <w:rsid w:val="00324EDD"/>
    <w:rsid w:val="003331E4"/>
    <w:rsid w:val="00336C64"/>
    <w:rsid w:val="00337162"/>
    <w:rsid w:val="0034194F"/>
    <w:rsid w:val="003437C4"/>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4E65"/>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1F47"/>
    <w:rsid w:val="00463B77"/>
    <w:rsid w:val="00463C7B"/>
    <w:rsid w:val="004644A6"/>
    <w:rsid w:val="004659BD"/>
    <w:rsid w:val="00470775"/>
    <w:rsid w:val="004746B1"/>
    <w:rsid w:val="0047583F"/>
    <w:rsid w:val="00475DE8"/>
    <w:rsid w:val="00481C44"/>
    <w:rsid w:val="00483AB1"/>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0936"/>
    <w:rsid w:val="004F391A"/>
    <w:rsid w:val="004F3CFB"/>
    <w:rsid w:val="004F6456"/>
    <w:rsid w:val="004F696E"/>
    <w:rsid w:val="004F6C71"/>
    <w:rsid w:val="00501139"/>
    <w:rsid w:val="0050363E"/>
    <w:rsid w:val="005039BC"/>
    <w:rsid w:val="0050417D"/>
    <w:rsid w:val="005043BB"/>
    <w:rsid w:val="00504A3D"/>
    <w:rsid w:val="00505767"/>
    <w:rsid w:val="005073F0"/>
    <w:rsid w:val="00510A7B"/>
    <w:rsid w:val="00512F6E"/>
    <w:rsid w:val="00513038"/>
    <w:rsid w:val="00513EAE"/>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32A"/>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2E1"/>
    <w:rsid w:val="005B191C"/>
    <w:rsid w:val="005B4903"/>
    <w:rsid w:val="005B51CE"/>
    <w:rsid w:val="005B5885"/>
    <w:rsid w:val="005B5CD7"/>
    <w:rsid w:val="005B6CF6"/>
    <w:rsid w:val="005B7422"/>
    <w:rsid w:val="005C29B8"/>
    <w:rsid w:val="005C5F21"/>
    <w:rsid w:val="005C7156"/>
    <w:rsid w:val="005C7E41"/>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3EBC"/>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98E"/>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16E80"/>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1B90"/>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2E6"/>
    <w:rsid w:val="007C4593"/>
    <w:rsid w:val="007C5309"/>
    <w:rsid w:val="007C6069"/>
    <w:rsid w:val="007D06C4"/>
    <w:rsid w:val="007D1352"/>
    <w:rsid w:val="007D2508"/>
    <w:rsid w:val="007D346A"/>
    <w:rsid w:val="007D6518"/>
    <w:rsid w:val="007D76BD"/>
    <w:rsid w:val="007E0BF1"/>
    <w:rsid w:val="007E437C"/>
    <w:rsid w:val="007F0ED8"/>
    <w:rsid w:val="007F0F63"/>
    <w:rsid w:val="007F3A49"/>
    <w:rsid w:val="007F75CE"/>
    <w:rsid w:val="008013A4"/>
    <w:rsid w:val="008027CE"/>
    <w:rsid w:val="00802F42"/>
    <w:rsid w:val="00804383"/>
    <w:rsid w:val="00804BB7"/>
    <w:rsid w:val="00804D41"/>
    <w:rsid w:val="00810257"/>
    <w:rsid w:val="008104F5"/>
    <w:rsid w:val="00810574"/>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1E76"/>
    <w:rsid w:val="008620FC"/>
    <w:rsid w:val="008627A5"/>
    <w:rsid w:val="00863E05"/>
    <w:rsid w:val="00865ACA"/>
    <w:rsid w:val="00865D28"/>
    <w:rsid w:val="00865F85"/>
    <w:rsid w:val="00867C10"/>
    <w:rsid w:val="00870439"/>
    <w:rsid w:val="00870DA1"/>
    <w:rsid w:val="008835B8"/>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97D72"/>
    <w:rsid w:val="008A173B"/>
    <w:rsid w:val="008A1893"/>
    <w:rsid w:val="008A57E6"/>
    <w:rsid w:val="008A6F81"/>
    <w:rsid w:val="008A769A"/>
    <w:rsid w:val="008B0C9C"/>
    <w:rsid w:val="008B166D"/>
    <w:rsid w:val="008B17F4"/>
    <w:rsid w:val="008B3615"/>
    <w:rsid w:val="008B4AC4"/>
    <w:rsid w:val="008B50C8"/>
    <w:rsid w:val="008B5281"/>
    <w:rsid w:val="008B7E05"/>
    <w:rsid w:val="008C1479"/>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2A24"/>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7FCC"/>
    <w:rsid w:val="009F03B3"/>
    <w:rsid w:val="00A0096C"/>
    <w:rsid w:val="00A010C7"/>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2BD"/>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1B35"/>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425"/>
    <w:rsid w:val="00B11D8A"/>
    <w:rsid w:val="00B12981"/>
    <w:rsid w:val="00B147DD"/>
    <w:rsid w:val="00B156FD"/>
    <w:rsid w:val="00B21F61"/>
    <w:rsid w:val="00B261F1"/>
    <w:rsid w:val="00B265BC"/>
    <w:rsid w:val="00B31FB1"/>
    <w:rsid w:val="00B33952"/>
    <w:rsid w:val="00B33C5E"/>
    <w:rsid w:val="00B34203"/>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5C1"/>
    <w:rsid w:val="00B827A6"/>
    <w:rsid w:val="00B831CE"/>
    <w:rsid w:val="00B86677"/>
    <w:rsid w:val="00B87131"/>
    <w:rsid w:val="00B939B1"/>
    <w:rsid w:val="00B94416"/>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3E88"/>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B7026"/>
    <w:rsid w:val="00CB778F"/>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293D"/>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4B7C"/>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4C93"/>
    <w:rsid w:val="00DE62E1"/>
    <w:rsid w:val="00DE6E81"/>
    <w:rsid w:val="00DE703F"/>
    <w:rsid w:val="00DE7595"/>
    <w:rsid w:val="00DF1961"/>
    <w:rsid w:val="00DF44DE"/>
    <w:rsid w:val="00E00C56"/>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0EC"/>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61AF"/>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47C"/>
    <w:rsid w:val="00F66A4A"/>
    <w:rsid w:val="00F71E22"/>
    <w:rsid w:val="00F72142"/>
    <w:rsid w:val="00F72AE7"/>
    <w:rsid w:val="00F82E91"/>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B72FE"/>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B902E6A"/>
    <w:rsid w:val="0F4075C9"/>
    <w:rsid w:val="20B26C1F"/>
    <w:rsid w:val="2DE44304"/>
    <w:rsid w:val="3C9A5CBB"/>
    <w:rsid w:val="408917F7"/>
    <w:rsid w:val="45FC3543"/>
    <w:rsid w:val="510D2307"/>
    <w:rsid w:val="53BC5FF1"/>
    <w:rsid w:val="562543F0"/>
    <w:rsid w:val="6011125E"/>
    <w:rsid w:val="615B1CAD"/>
    <w:rsid w:val="62A072C1"/>
    <w:rsid w:val="76BD1551"/>
    <w:rsid w:val="7E786F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0" Type="http://schemas.openxmlformats.org/officeDocument/2006/relationships/glossaryDocument" Target="glossary/document.xml"/><Relationship Id="rId3" Type="http://schemas.openxmlformats.org/officeDocument/2006/relationships/footnotes" Target="footnotes.xml"/><Relationship Id="rId29" Type="http://schemas.openxmlformats.org/officeDocument/2006/relationships/fontTable" Target="fontTable.xml"/><Relationship Id="rId28" Type="http://schemas.microsoft.com/office/2006/relationships/keyMapCustomizations" Target="customizations.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3.jpe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0BAD1D096DA435C958A3CC3CE42E1DA"/>
        <w:style w:val=""/>
        <w:category>
          <w:name w:val="常规"/>
          <w:gallery w:val="placeholder"/>
        </w:category>
        <w:types>
          <w:type w:val="bbPlcHdr"/>
        </w:types>
        <w:behaviors>
          <w:behavior w:val="content"/>
        </w:behaviors>
        <w:description w:val=""/>
        <w:guid w:val="{61934528-37A1-49F9-BF08-2AAB414F29F7}"/>
      </w:docPartPr>
      <w:docPartBody>
        <w:p w14:paraId="02A9FFEC">
          <w:pPr>
            <w:pStyle w:val="5"/>
          </w:pPr>
          <w:r>
            <w:rPr>
              <w:rStyle w:val="4"/>
              <w:rFonts w:hint="eastAsia"/>
            </w:rPr>
            <w:t>单击或点击此处输入文字。</w:t>
          </w:r>
        </w:p>
      </w:docPartBody>
    </w:docPart>
    <w:docPart>
      <w:docPartPr>
        <w:name w:val="5FE49046297C4A68A6C5EFDE3F027740"/>
        <w:style w:val=""/>
        <w:category>
          <w:name w:val="常规"/>
          <w:gallery w:val="placeholder"/>
        </w:category>
        <w:types>
          <w:type w:val="bbPlcHdr"/>
        </w:types>
        <w:behaviors>
          <w:behavior w:val="content"/>
        </w:behaviors>
        <w:description w:val=""/>
        <w:guid w:val="{653A4C1D-7889-4750-B832-B9993DB68657}"/>
      </w:docPartPr>
      <w:docPartBody>
        <w:p w14:paraId="4AC0B979">
          <w:pPr>
            <w:pStyle w:val="6"/>
          </w:pPr>
          <w:r>
            <w:rPr>
              <w:rStyle w:val="4"/>
              <w:rFonts w:hint="eastAsia"/>
            </w:rPr>
            <w:t>选择一项。</w:t>
          </w:r>
        </w:p>
      </w:docPartBody>
    </w:docPart>
    <w:docPart>
      <w:docPartPr>
        <w:name w:val="82FAD4B12AFB42FD997383B282BB9FD2"/>
        <w:style w:val=""/>
        <w:category>
          <w:name w:val="常规"/>
          <w:gallery w:val="placeholder"/>
        </w:category>
        <w:types>
          <w:type w:val="bbPlcHdr"/>
        </w:types>
        <w:behaviors>
          <w:behavior w:val="content"/>
        </w:behaviors>
        <w:description w:val=""/>
        <w:guid w:val="{23D05D0A-0F65-4FE0-9D29-D2C0C0556922}"/>
      </w:docPartPr>
      <w:docPartBody>
        <w:p w14:paraId="74E02F72">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BD0"/>
    <w:rsid w:val="00125FC3"/>
    <w:rsid w:val="0015262D"/>
    <w:rsid w:val="001E054F"/>
    <w:rsid w:val="003A5430"/>
    <w:rsid w:val="00483E2B"/>
    <w:rsid w:val="004E2C37"/>
    <w:rsid w:val="0050417D"/>
    <w:rsid w:val="00541666"/>
    <w:rsid w:val="00607BD0"/>
    <w:rsid w:val="007C69A6"/>
    <w:rsid w:val="00880EF2"/>
    <w:rsid w:val="00C1100C"/>
    <w:rsid w:val="00D04B23"/>
    <w:rsid w:val="00DD45EC"/>
    <w:rsid w:val="00E774DF"/>
    <w:rsid w:val="00F46E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40BAD1D096DA435C958A3CC3CE42E1D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5FE49046297C4A68A6C5EFDE3F027740"/>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82FAD4B12AFB42FD997383B282BB9FD2"/>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520D491-ED45-472A-807F-4369B8A33206}">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8</Pages>
  <Words>2795</Words>
  <Characters>3243</Characters>
  <Lines>37</Lines>
  <Paragraphs>10</Paragraphs>
  <TotalTime>4</TotalTime>
  <ScaleCrop>false</ScaleCrop>
  <LinksUpToDate>false</LinksUpToDate>
  <CharactersWithSpaces>3426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2026-04-30T08:43:00Z</dcterms:created>
  <dc:creator>起草人</dc:creator>
  <dc:description>&lt;config cover="true" show_menu="true" version="1.0.0" doctype="SDKXY"&gt;_x000d_
&lt;/config&gt;</dc:description>
  <cp:lastModifiedBy>梁春年</cp:lastModifiedBy>
  <cp:lastPrinted>2021-02-02T08:22:00Z</cp:lastPrinted>
  <dcterms:modified xsi:type="dcterms:W3CDTF">2026-05-12T13:41:44Z</dcterms:modified>
  <dc:title>团体标准</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ProductBuildVer">
    <vt:lpwstr>2052-12.1.0.25865</vt:lpwstr>
  </property>
  <property fmtid="{D5CDD505-2E9C-101B-9397-08002B2CF9AE}" pid="16" name="ICV">
    <vt:lpwstr>BC01460893F348EDB3F894BC32AB0E3F_13</vt:lpwstr>
  </property>
  <property fmtid="{D5CDD505-2E9C-101B-9397-08002B2CF9AE}" pid="17" name="KSOTemplateDocerSaveRecord">
    <vt:lpwstr>eyJoZGlkIjoiNzFjZmJhYmY3MDU1NTQwN2I1ZjdiNDg1Mjc0OGE5YTUiLCJ1c2VySWQiOiIzNDQyNDQ2NzUifQ==</vt:lpwstr>
  </property>
</Properties>
</file>