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63BA9B" w14:textId="77777777" w:rsidR="00811291" w:rsidRDefault="00811291">
      <w:pPr>
        <w:spacing w:line="360" w:lineRule="auto"/>
        <w:ind w:right="160"/>
        <w:rPr>
          <w:rFonts w:cs="宋体"/>
          <w:b/>
          <w:bCs/>
          <w:color w:val="000000"/>
          <w:sz w:val="48"/>
          <w:szCs w:val="48"/>
        </w:rPr>
      </w:pPr>
      <w:bookmarkStart w:id="0" w:name="_Hlk528261495"/>
    </w:p>
    <w:p w14:paraId="7BFAA34C" w14:textId="77777777" w:rsidR="00811291" w:rsidRDefault="00811291">
      <w:pPr>
        <w:spacing w:line="360" w:lineRule="auto"/>
        <w:ind w:right="160"/>
        <w:jc w:val="center"/>
        <w:rPr>
          <w:rFonts w:cs="宋体"/>
          <w:b/>
          <w:bCs/>
          <w:color w:val="000000"/>
          <w:sz w:val="48"/>
          <w:szCs w:val="48"/>
        </w:rPr>
      </w:pPr>
    </w:p>
    <w:p w14:paraId="59579664" w14:textId="77777777" w:rsidR="00811291" w:rsidRDefault="00811291">
      <w:pPr>
        <w:spacing w:line="360" w:lineRule="auto"/>
        <w:ind w:right="160"/>
        <w:jc w:val="center"/>
        <w:rPr>
          <w:rFonts w:cs="宋体"/>
          <w:b/>
          <w:bCs/>
          <w:color w:val="000000"/>
          <w:sz w:val="48"/>
          <w:szCs w:val="48"/>
        </w:rPr>
      </w:pPr>
    </w:p>
    <w:p w14:paraId="103156DE" w14:textId="77777777" w:rsidR="00811291" w:rsidRDefault="00811291">
      <w:pPr>
        <w:spacing w:line="360" w:lineRule="auto"/>
        <w:ind w:right="160"/>
        <w:jc w:val="center"/>
        <w:rPr>
          <w:rFonts w:cs="宋体"/>
          <w:b/>
          <w:bCs/>
          <w:color w:val="000000"/>
          <w:sz w:val="48"/>
          <w:szCs w:val="48"/>
        </w:rPr>
      </w:pPr>
    </w:p>
    <w:p w14:paraId="4FDE42A3" w14:textId="77777777" w:rsidR="00811291" w:rsidRDefault="00000000">
      <w:pPr>
        <w:spacing w:line="360" w:lineRule="auto"/>
        <w:jc w:val="center"/>
        <w:rPr>
          <w:rFonts w:ascii="宋体" w:hAnsi="宋体" w:cs="宋体" w:hint="eastAsia"/>
          <w:sz w:val="72"/>
          <w:szCs w:val="72"/>
        </w:rPr>
      </w:pPr>
      <w:r>
        <w:rPr>
          <w:rFonts w:ascii="宋体" w:hAnsi="宋体" w:cs="宋体" w:hint="eastAsia"/>
          <w:sz w:val="72"/>
          <w:szCs w:val="72"/>
        </w:rPr>
        <w:t>团 体 标 准</w:t>
      </w:r>
    </w:p>
    <w:p w14:paraId="1CAF45B4" w14:textId="77777777" w:rsidR="00811291" w:rsidRDefault="00811291">
      <w:pPr>
        <w:spacing w:line="360" w:lineRule="auto"/>
        <w:jc w:val="center"/>
        <w:rPr>
          <w:rFonts w:eastAsiaTheme="minorEastAsia"/>
          <w:sz w:val="72"/>
          <w:szCs w:val="72"/>
        </w:rPr>
      </w:pPr>
    </w:p>
    <w:p w14:paraId="0B11BFBE" w14:textId="77777777" w:rsidR="00811291" w:rsidRDefault="00811291">
      <w:pPr>
        <w:spacing w:line="360" w:lineRule="auto"/>
        <w:jc w:val="center"/>
        <w:rPr>
          <w:rFonts w:eastAsiaTheme="minorEastAsia"/>
          <w:sz w:val="72"/>
          <w:szCs w:val="72"/>
        </w:rPr>
      </w:pPr>
    </w:p>
    <w:p w14:paraId="42F59C16" w14:textId="77777777" w:rsidR="00811291" w:rsidRDefault="00000000">
      <w:pPr>
        <w:spacing w:after="240" w:line="360" w:lineRule="auto"/>
        <w:jc w:val="center"/>
        <w:rPr>
          <w:rFonts w:cs="宋体"/>
          <w:b/>
          <w:bCs/>
          <w:color w:val="000000"/>
          <w:sz w:val="36"/>
          <w:szCs w:val="48"/>
        </w:rPr>
      </w:pPr>
      <w:r>
        <w:rPr>
          <w:rFonts w:ascii="黑体" w:eastAsia="黑体" w:hAnsi="黑体" w:cs="黑体" w:hint="eastAsia"/>
          <w:color w:val="000000"/>
          <w:kern w:val="0"/>
          <w:sz w:val="40"/>
          <w:szCs w:val="40"/>
        </w:rPr>
        <w:t>《食用菌菌糠发酵饲料制作和使用技术规程》</w:t>
      </w:r>
    </w:p>
    <w:p w14:paraId="6371DD71" w14:textId="77777777" w:rsidR="00811291" w:rsidRDefault="00000000">
      <w:pPr>
        <w:spacing w:after="240" w:line="360" w:lineRule="auto"/>
        <w:ind w:leftChars="-1" w:left="-2" w:firstLine="1"/>
        <w:jc w:val="center"/>
        <w:rPr>
          <w:rFonts w:ascii="黑体" w:eastAsia="黑体" w:hAnsi="黑体" w:cs="黑体" w:hint="eastAsia"/>
          <w:color w:val="000000"/>
          <w:kern w:val="0"/>
          <w:sz w:val="40"/>
          <w:szCs w:val="40"/>
        </w:rPr>
      </w:pPr>
      <w:r>
        <w:rPr>
          <w:rFonts w:ascii="黑体" w:eastAsia="黑体" w:hAnsi="黑体" w:cs="黑体" w:hint="eastAsia"/>
          <w:color w:val="000000"/>
          <w:kern w:val="0"/>
          <w:sz w:val="40"/>
          <w:szCs w:val="40"/>
        </w:rPr>
        <w:t>编制说明</w:t>
      </w:r>
    </w:p>
    <w:p w14:paraId="22493602" w14:textId="77777777" w:rsidR="00811291" w:rsidRDefault="00811291">
      <w:pPr>
        <w:spacing w:line="360" w:lineRule="auto"/>
        <w:jc w:val="center"/>
        <w:rPr>
          <w:b/>
          <w:bCs/>
          <w:color w:val="000000"/>
        </w:rPr>
      </w:pPr>
    </w:p>
    <w:p w14:paraId="6DA9AB2A" w14:textId="77777777" w:rsidR="00811291" w:rsidRDefault="00811291">
      <w:pPr>
        <w:spacing w:line="360" w:lineRule="auto"/>
        <w:jc w:val="center"/>
        <w:rPr>
          <w:b/>
          <w:bCs/>
          <w:color w:val="000000"/>
        </w:rPr>
      </w:pPr>
    </w:p>
    <w:p w14:paraId="21184C31" w14:textId="77777777" w:rsidR="00811291" w:rsidRDefault="00811291">
      <w:pPr>
        <w:spacing w:line="360" w:lineRule="auto"/>
        <w:jc w:val="center"/>
        <w:rPr>
          <w:b/>
          <w:bCs/>
          <w:color w:val="000000"/>
        </w:rPr>
      </w:pPr>
    </w:p>
    <w:p w14:paraId="3C2FB6DD" w14:textId="77777777" w:rsidR="00811291" w:rsidRDefault="00811291">
      <w:pPr>
        <w:spacing w:line="360" w:lineRule="auto"/>
        <w:jc w:val="center"/>
        <w:rPr>
          <w:b/>
          <w:bCs/>
          <w:color w:val="000000"/>
        </w:rPr>
      </w:pPr>
    </w:p>
    <w:p w14:paraId="0D870592" w14:textId="77777777" w:rsidR="00811291" w:rsidRDefault="00811291">
      <w:pPr>
        <w:spacing w:line="360" w:lineRule="auto"/>
        <w:jc w:val="center"/>
        <w:rPr>
          <w:b/>
          <w:bCs/>
          <w:color w:val="000000"/>
        </w:rPr>
      </w:pPr>
    </w:p>
    <w:p w14:paraId="0FED57E2" w14:textId="77777777" w:rsidR="00811291" w:rsidRDefault="00811291">
      <w:pPr>
        <w:spacing w:line="360" w:lineRule="auto"/>
        <w:jc w:val="center"/>
        <w:rPr>
          <w:b/>
          <w:bCs/>
          <w:color w:val="000000"/>
        </w:rPr>
      </w:pPr>
    </w:p>
    <w:p w14:paraId="1F51222A" w14:textId="77777777" w:rsidR="00811291" w:rsidRDefault="00811291">
      <w:pPr>
        <w:spacing w:line="360" w:lineRule="auto"/>
        <w:jc w:val="center"/>
        <w:rPr>
          <w:b/>
          <w:bCs/>
          <w:color w:val="000000"/>
        </w:rPr>
      </w:pPr>
    </w:p>
    <w:p w14:paraId="06986D6B" w14:textId="77777777" w:rsidR="00811291" w:rsidRDefault="00811291">
      <w:pPr>
        <w:spacing w:line="360" w:lineRule="auto"/>
        <w:rPr>
          <w:b/>
          <w:bCs/>
          <w:color w:val="000000"/>
        </w:rPr>
      </w:pPr>
    </w:p>
    <w:p w14:paraId="20AA5247" w14:textId="77777777" w:rsidR="00811291" w:rsidRDefault="00811291">
      <w:pPr>
        <w:spacing w:line="360" w:lineRule="auto"/>
        <w:jc w:val="center"/>
        <w:rPr>
          <w:b/>
          <w:bCs/>
          <w:color w:val="000000"/>
        </w:rPr>
      </w:pPr>
    </w:p>
    <w:p w14:paraId="41232E4E" w14:textId="77777777" w:rsidR="00811291" w:rsidRDefault="00000000">
      <w:pPr>
        <w:spacing w:after="240" w:line="360" w:lineRule="auto"/>
        <w:jc w:val="center"/>
        <w:rPr>
          <w:b/>
          <w:bCs/>
          <w:color w:val="000000"/>
        </w:rPr>
      </w:pPr>
      <w:r>
        <w:rPr>
          <w:rFonts w:ascii="黑体" w:eastAsia="黑体" w:hAnsi="黑体" w:cs="黑体" w:hint="eastAsia"/>
          <w:color w:val="000000"/>
          <w:kern w:val="0"/>
          <w:sz w:val="30"/>
          <w:szCs w:val="30"/>
        </w:rPr>
        <w:t>《食用菌菌糠发酵饲料制作和使用技术规程》团标制定组</w:t>
      </w:r>
    </w:p>
    <w:p w14:paraId="7DB44F3B" w14:textId="77777777" w:rsidR="00811291" w:rsidRDefault="00000000">
      <w:pPr>
        <w:spacing w:line="360" w:lineRule="auto"/>
        <w:jc w:val="center"/>
        <w:rPr>
          <w:rFonts w:ascii="黑体" w:eastAsia="黑体" w:hAnsi="黑体" w:cstheme="minorBidi" w:hint="eastAsia"/>
          <w:bCs/>
          <w:sz w:val="28"/>
          <w:szCs w:val="28"/>
        </w:rPr>
      </w:pPr>
      <w:r>
        <w:rPr>
          <w:rFonts w:ascii="黑体" w:eastAsia="黑体" w:hAnsi="黑体" w:cstheme="minorBidi" w:hint="eastAsia"/>
          <w:bCs/>
          <w:sz w:val="28"/>
          <w:szCs w:val="28"/>
        </w:rPr>
        <w:t>二〇二六年五月</w:t>
      </w:r>
    </w:p>
    <w:p w14:paraId="09509607" w14:textId="77777777" w:rsidR="00811291" w:rsidRDefault="00000000">
      <w:pPr>
        <w:spacing w:line="360" w:lineRule="auto"/>
        <w:jc w:val="center"/>
        <w:rPr>
          <w:rFonts w:cs="宋体"/>
          <w:b/>
          <w:bCs/>
          <w:color w:val="000000"/>
          <w:sz w:val="44"/>
          <w:szCs w:val="44"/>
        </w:rPr>
      </w:pPr>
      <w:r>
        <w:rPr>
          <w:rFonts w:cs="宋体"/>
          <w:b/>
          <w:bCs/>
          <w:color w:val="000000"/>
          <w:sz w:val="44"/>
          <w:szCs w:val="44"/>
        </w:rPr>
        <w:lastRenderedPageBreak/>
        <w:br w:type="page"/>
      </w:r>
    </w:p>
    <w:bookmarkEnd w:id="0" w:displacedByCustomXml="next"/>
    <w:sdt>
      <w:sdtPr>
        <w:rPr>
          <w:rFonts w:ascii="宋体" w:hAnsi="宋体"/>
        </w:rPr>
        <w:id w:val="147457074"/>
        <w15:color w:val="DBDBDB"/>
        <w:docPartObj>
          <w:docPartGallery w:val="Table of Contents"/>
          <w:docPartUnique/>
        </w:docPartObj>
      </w:sdtPr>
      <w:sdtEndPr>
        <w:rPr>
          <w:rFonts w:ascii="Times New Roman" w:hAnsi="Times New Roman"/>
          <w:szCs w:val="24"/>
        </w:rPr>
      </w:sdtEndPr>
      <w:sdtContent>
        <w:p w14:paraId="73984D4D" w14:textId="77777777" w:rsidR="00811291" w:rsidRDefault="00000000">
          <w:pPr>
            <w:jc w:val="center"/>
          </w:pPr>
          <w:r>
            <w:rPr>
              <w:rFonts w:ascii="宋体" w:hAnsi="宋体"/>
            </w:rPr>
            <w:t>目录</w:t>
          </w:r>
        </w:p>
        <w:p w14:paraId="34DA7D1B" w14:textId="77777777" w:rsidR="00811291" w:rsidRDefault="00000000">
          <w:pPr>
            <w:pStyle w:val="TOC1"/>
            <w:tabs>
              <w:tab w:val="clear" w:pos="8538"/>
              <w:tab w:val="right" w:leader="dot" w:pos="8548"/>
            </w:tabs>
          </w:pPr>
          <w:r>
            <w:rPr>
              <w:szCs w:val="24"/>
            </w:rPr>
            <w:fldChar w:fldCharType="begin"/>
          </w:r>
          <w:r>
            <w:rPr>
              <w:szCs w:val="24"/>
            </w:rPr>
            <w:instrText xml:space="preserve">TOC \o "1-9" \h \u </w:instrText>
          </w:r>
          <w:r>
            <w:rPr>
              <w:szCs w:val="24"/>
            </w:rPr>
            <w:fldChar w:fldCharType="separate"/>
          </w:r>
          <w:hyperlink w:anchor="_Toc21838" w:history="1">
            <w:r>
              <w:rPr>
                <w:rFonts w:hint="eastAsia"/>
                <w:bCs/>
                <w:szCs w:val="28"/>
              </w:rPr>
              <w:t>一、工作简况</w:t>
            </w:r>
            <w:r>
              <w:tab/>
            </w:r>
            <w:r>
              <w:fldChar w:fldCharType="begin"/>
            </w:r>
            <w:r>
              <w:instrText xml:space="preserve"> PAGEREF _Toc21838 \h </w:instrText>
            </w:r>
            <w:r>
              <w:fldChar w:fldCharType="separate"/>
            </w:r>
            <w:r>
              <w:t>3</w:t>
            </w:r>
            <w:r>
              <w:fldChar w:fldCharType="end"/>
            </w:r>
          </w:hyperlink>
        </w:p>
        <w:p w14:paraId="3CFE51A5" w14:textId="77777777" w:rsidR="00811291" w:rsidRDefault="00000000">
          <w:pPr>
            <w:pStyle w:val="TOC1"/>
            <w:tabs>
              <w:tab w:val="clear" w:pos="8538"/>
              <w:tab w:val="right" w:leader="dot" w:pos="8548"/>
            </w:tabs>
          </w:pPr>
          <w:hyperlink w:anchor="_Toc21069" w:history="1">
            <w:r>
              <w:rPr>
                <w:rFonts w:hint="eastAsia"/>
                <w:bCs/>
                <w:szCs w:val="28"/>
              </w:rPr>
              <w:t>二、制定标准的必要性和意义</w:t>
            </w:r>
            <w:r>
              <w:tab/>
            </w:r>
            <w:r>
              <w:fldChar w:fldCharType="begin"/>
            </w:r>
            <w:r>
              <w:instrText xml:space="preserve"> PAGEREF _Toc21069 \h </w:instrText>
            </w:r>
            <w:r>
              <w:fldChar w:fldCharType="separate"/>
            </w:r>
            <w:r>
              <w:t>3</w:t>
            </w:r>
            <w:r>
              <w:fldChar w:fldCharType="end"/>
            </w:r>
          </w:hyperlink>
        </w:p>
        <w:p w14:paraId="038F02CF" w14:textId="77777777" w:rsidR="00811291" w:rsidRDefault="00000000">
          <w:pPr>
            <w:pStyle w:val="TOC1"/>
            <w:tabs>
              <w:tab w:val="clear" w:pos="8538"/>
              <w:tab w:val="right" w:leader="dot" w:pos="8548"/>
            </w:tabs>
          </w:pPr>
          <w:hyperlink w:anchor="_Toc25716" w:history="1">
            <w:r>
              <w:rPr>
                <w:rFonts w:hint="eastAsia"/>
                <w:bCs/>
                <w:szCs w:val="28"/>
              </w:rPr>
              <w:t>三、主要工作过程</w:t>
            </w:r>
            <w:r>
              <w:tab/>
            </w:r>
            <w:r>
              <w:fldChar w:fldCharType="begin"/>
            </w:r>
            <w:r>
              <w:instrText xml:space="preserve"> PAGEREF _Toc25716 \h </w:instrText>
            </w:r>
            <w:r>
              <w:fldChar w:fldCharType="separate"/>
            </w:r>
            <w:r>
              <w:t>4</w:t>
            </w:r>
            <w:r>
              <w:fldChar w:fldCharType="end"/>
            </w:r>
          </w:hyperlink>
        </w:p>
        <w:p w14:paraId="206B66D7" w14:textId="77777777" w:rsidR="00811291" w:rsidRDefault="00000000">
          <w:pPr>
            <w:pStyle w:val="TOC1"/>
            <w:tabs>
              <w:tab w:val="clear" w:pos="8538"/>
              <w:tab w:val="right" w:leader="dot" w:pos="8548"/>
            </w:tabs>
          </w:pPr>
          <w:hyperlink w:anchor="_Toc28270" w:history="1">
            <w:r>
              <w:rPr>
                <w:rFonts w:hint="eastAsia"/>
                <w:bCs/>
                <w:szCs w:val="28"/>
              </w:rPr>
              <w:t>四、标准编制原则和主要技术内容确定的依据</w:t>
            </w:r>
            <w:r>
              <w:tab/>
            </w:r>
            <w:r>
              <w:fldChar w:fldCharType="begin"/>
            </w:r>
            <w:r>
              <w:instrText xml:space="preserve"> PAGEREF _Toc28270 \h </w:instrText>
            </w:r>
            <w:r>
              <w:fldChar w:fldCharType="separate"/>
            </w:r>
            <w:r>
              <w:t>4</w:t>
            </w:r>
            <w:r>
              <w:fldChar w:fldCharType="end"/>
            </w:r>
          </w:hyperlink>
        </w:p>
        <w:p w14:paraId="5354FCF4" w14:textId="77777777" w:rsidR="00811291" w:rsidRDefault="00000000">
          <w:pPr>
            <w:pStyle w:val="TOC1"/>
            <w:tabs>
              <w:tab w:val="clear" w:pos="8538"/>
              <w:tab w:val="right" w:leader="dot" w:pos="8548"/>
            </w:tabs>
          </w:pPr>
          <w:hyperlink w:anchor="_Toc20529" w:history="1">
            <w:r>
              <w:rPr>
                <w:rFonts w:hint="eastAsia"/>
                <w:szCs w:val="28"/>
              </w:rPr>
              <w:t>五</w:t>
            </w:r>
            <w:r>
              <w:rPr>
                <w:szCs w:val="28"/>
              </w:rPr>
              <w:t>、</w:t>
            </w:r>
            <w:r>
              <w:rPr>
                <w:rFonts w:hint="eastAsia"/>
                <w:szCs w:val="28"/>
              </w:rPr>
              <w:t>与现行法律法规和强制性标准的关系</w:t>
            </w:r>
            <w:r>
              <w:tab/>
            </w:r>
            <w:r>
              <w:fldChar w:fldCharType="begin"/>
            </w:r>
            <w:r>
              <w:instrText xml:space="preserve"> PAGEREF _Toc20529 \h </w:instrText>
            </w:r>
            <w:r>
              <w:fldChar w:fldCharType="separate"/>
            </w:r>
            <w:r>
              <w:t>5</w:t>
            </w:r>
            <w:r>
              <w:fldChar w:fldCharType="end"/>
            </w:r>
          </w:hyperlink>
        </w:p>
        <w:p w14:paraId="7E78F4FA" w14:textId="77777777" w:rsidR="00811291" w:rsidRDefault="00000000">
          <w:pPr>
            <w:pStyle w:val="TOC1"/>
            <w:tabs>
              <w:tab w:val="clear" w:pos="8538"/>
              <w:tab w:val="right" w:leader="dot" w:pos="8548"/>
            </w:tabs>
          </w:pPr>
          <w:hyperlink w:anchor="_Toc28681" w:history="1">
            <w:r>
              <w:rPr>
                <w:rFonts w:hint="eastAsia"/>
                <w:szCs w:val="28"/>
              </w:rPr>
              <w:t>六、标准主要内容说明</w:t>
            </w:r>
            <w:r>
              <w:tab/>
            </w:r>
            <w:r>
              <w:fldChar w:fldCharType="begin"/>
            </w:r>
            <w:r>
              <w:instrText xml:space="preserve"> PAGEREF _Toc28681 \h </w:instrText>
            </w:r>
            <w:r>
              <w:fldChar w:fldCharType="separate"/>
            </w:r>
            <w:r>
              <w:t>5</w:t>
            </w:r>
            <w:r>
              <w:fldChar w:fldCharType="end"/>
            </w:r>
          </w:hyperlink>
        </w:p>
        <w:p w14:paraId="015B20F2" w14:textId="77777777" w:rsidR="00811291" w:rsidRDefault="00000000">
          <w:pPr>
            <w:pStyle w:val="TOC1"/>
            <w:tabs>
              <w:tab w:val="clear" w:pos="8538"/>
              <w:tab w:val="right" w:leader="dot" w:pos="8548"/>
            </w:tabs>
          </w:pPr>
          <w:hyperlink w:anchor="_Toc25340" w:history="1">
            <w:r>
              <w:rPr>
                <w:rFonts w:hint="eastAsia"/>
                <w:szCs w:val="28"/>
              </w:rPr>
              <w:t>七</w:t>
            </w:r>
            <w:r>
              <w:rPr>
                <w:szCs w:val="28"/>
              </w:rPr>
              <w:t>、</w:t>
            </w:r>
            <w:r>
              <w:rPr>
                <w:rFonts w:hint="eastAsia"/>
                <w:szCs w:val="28"/>
              </w:rPr>
              <w:t>分歧意见的处理过程、依据和结果</w:t>
            </w:r>
            <w:r>
              <w:tab/>
            </w:r>
            <w:r>
              <w:fldChar w:fldCharType="begin"/>
            </w:r>
            <w:r>
              <w:instrText xml:space="preserve"> PAGEREF _Toc25340 \h </w:instrText>
            </w:r>
            <w:r>
              <w:fldChar w:fldCharType="separate"/>
            </w:r>
            <w:r>
              <w:t>8</w:t>
            </w:r>
            <w:r>
              <w:fldChar w:fldCharType="end"/>
            </w:r>
          </w:hyperlink>
        </w:p>
        <w:p w14:paraId="200B9CC9" w14:textId="77777777" w:rsidR="00811291" w:rsidRDefault="00000000">
          <w:pPr>
            <w:pStyle w:val="TOC1"/>
            <w:tabs>
              <w:tab w:val="clear" w:pos="8538"/>
              <w:tab w:val="right" w:leader="dot" w:pos="8548"/>
            </w:tabs>
          </w:pPr>
          <w:hyperlink w:anchor="_Toc710" w:history="1">
            <w:r>
              <w:rPr>
                <w:rFonts w:hint="eastAsia"/>
                <w:szCs w:val="28"/>
              </w:rPr>
              <w:t>八</w:t>
            </w:r>
            <w:r>
              <w:rPr>
                <w:szCs w:val="28"/>
              </w:rPr>
              <w:t>、</w:t>
            </w:r>
            <w:r>
              <w:rPr>
                <w:rFonts w:hint="eastAsia"/>
                <w:szCs w:val="28"/>
              </w:rPr>
              <w:t>采用国际标准或国外先进标准情况</w:t>
            </w:r>
            <w:r>
              <w:tab/>
            </w:r>
            <w:r>
              <w:fldChar w:fldCharType="begin"/>
            </w:r>
            <w:r>
              <w:instrText xml:space="preserve"> PAGEREF _Toc710 \h </w:instrText>
            </w:r>
            <w:r>
              <w:fldChar w:fldCharType="separate"/>
            </w:r>
            <w:r>
              <w:t>8</w:t>
            </w:r>
            <w:r>
              <w:fldChar w:fldCharType="end"/>
            </w:r>
          </w:hyperlink>
        </w:p>
        <w:p w14:paraId="788A9FB0" w14:textId="77777777" w:rsidR="00811291" w:rsidRDefault="00000000">
          <w:pPr>
            <w:pStyle w:val="TOC1"/>
            <w:tabs>
              <w:tab w:val="clear" w:pos="8538"/>
              <w:tab w:val="right" w:leader="dot" w:pos="8548"/>
            </w:tabs>
          </w:pPr>
          <w:hyperlink w:anchor="_Toc13463" w:history="1">
            <w:r>
              <w:rPr>
                <w:rFonts w:hint="eastAsia"/>
                <w:szCs w:val="28"/>
              </w:rPr>
              <w:t>九</w:t>
            </w:r>
            <w:r>
              <w:rPr>
                <w:szCs w:val="28"/>
              </w:rPr>
              <w:t>、贯彻标准的措施建议</w:t>
            </w:r>
            <w:r>
              <w:tab/>
            </w:r>
            <w:r>
              <w:fldChar w:fldCharType="begin"/>
            </w:r>
            <w:r>
              <w:instrText xml:space="preserve"> PAGEREF _Toc13463 \h </w:instrText>
            </w:r>
            <w:r>
              <w:fldChar w:fldCharType="separate"/>
            </w:r>
            <w:r>
              <w:t>9</w:t>
            </w:r>
            <w:r>
              <w:fldChar w:fldCharType="end"/>
            </w:r>
          </w:hyperlink>
        </w:p>
        <w:p w14:paraId="791D1204" w14:textId="77777777" w:rsidR="00811291" w:rsidRDefault="00000000">
          <w:pPr>
            <w:pStyle w:val="TOC1"/>
            <w:tabs>
              <w:tab w:val="clear" w:pos="8538"/>
              <w:tab w:val="right" w:leader="dot" w:pos="8548"/>
            </w:tabs>
          </w:pPr>
          <w:hyperlink w:anchor="_Toc4483" w:history="1">
            <w:r>
              <w:rPr>
                <w:szCs w:val="28"/>
              </w:rPr>
              <w:t>十、其他应予说明的事项</w:t>
            </w:r>
            <w:r>
              <w:tab/>
            </w:r>
            <w:r>
              <w:fldChar w:fldCharType="begin"/>
            </w:r>
            <w:r>
              <w:instrText xml:space="preserve"> PAGEREF _Toc4483 \h </w:instrText>
            </w:r>
            <w:r>
              <w:fldChar w:fldCharType="separate"/>
            </w:r>
            <w:r>
              <w:t>9</w:t>
            </w:r>
            <w:r>
              <w:fldChar w:fldCharType="end"/>
            </w:r>
          </w:hyperlink>
        </w:p>
        <w:p w14:paraId="6B491B69" w14:textId="77777777" w:rsidR="00811291" w:rsidRDefault="00000000">
          <w:pPr>
            <w:spacing w:line="360" w:lineRule="auto"/>
            <w:rPr>
              <w:sz w:val="24"/>
              <w:szCs w:val="24"/>
            </w:rPr>
          </w:pPr>
          <w:r>
            <w:rPr>
              <w:szCs w:val="24"/>
            </w:rPr>
            <w:fldChar w:fldCharType="end"/>
          </w:r>
        </w:p>
      </w:sdtContent>
    </w:sdt>
    <w:p w14:paraId="6EAD8400" w14:textId="77777777" w:rsidR="00811291" w:rsidRDefault="00000000">
      <w:pPr>
        <w:spacing w:line="360" w:lineRule="auto"/>
        <w:outlineLvl w:val="0"/>
        <w:rPr>
          <w:sz w:val="24"/>
          <w:szCs w:val="24"/>
        </w:rPr>
      </w:pPr>
      <w:r>
        <w:rPr>
          <w:sz w:val="24"/>
          <w:szCs w:val="24"/>
        </w:rPr>
        <w:br w:type="page"/>
      </w:r>
      <w:bookmarkStart w:id="1" w:name="_Toc21838"/>
      <w:bookmarkStart w:id="2" w:name="_Toc176547930"/>
      <w:r>
        <w:rPr>
          <w:rFonts w:hint="eastAsia"/>
          <w:b/>
          <w:bCs/>
          <w:sz w:val="28"/>
          <w:szCs w:val="28"/>
        </w:rPr>
        <w:lastRenderedPageBreak/>
        <w:t>一、工作简况</w:t>
      </w:r>
      <w:bookmarkEnd w:id="1"/>
    </w:p>
    <w:p w14:paraId="11ADF3C2" w14:textId="77777777" w:rsidR="00811291" w:rsidRDefault="00000000">
      <w:pPr>
        <w:spacing w:line="360" w:lineRule="auto"/>
        <w:ind w:firstLine="420"/>
        <w:outlineLvl w:val="1"/>
        <w:rPr>
          <w:b/>
          <w:bCs/>
          <w:sz w:val="28"/>
          <w:szCs w:val="28"/>
        </w:rPr>
      </w:pPr>
      <w:bookmarkStart w:id="3" w:name="_Toc176547931"/>
      <w:bookmarkStart w:id="4" w:name="_Toc17926"/>
      <w:bookmarkEnd w:id="2"/>
      <w:r>
        <w:rPr>
          <w:b/>
          <w:bCs/>
          <w:sz w:val="28"/>
          <w:szCs w:val="28"/>
        </w:rPr>
        <w:t>1</w:t>
      </w:r>
      <w:r>
        <w:rPr>
          <w:b/>
          <w:bCs/>
          <w:sz w:val="28"/>
          <w:szCs w:val="28"/>
        </w:rPr>
        <w:t>、任务来源</w:t>
      </w:r>
      <w:bookmarkEnd w:id="3"/>
      <w:bookmarkEnd w:id="4"/>
    </w:p>
    <w:p w14:paraId="596D016A" w14:textId="77777777" w:rsidR="00811291" w:rsidRPr="00702E4B" w:rsidRDefault="00000000">
      <w:pPr>
        <w:spacing w:line="360" w:lineRule="auto"/>
        <w:ind w:firstLine="420"/>
        <w:rPr>
          <w:sz w:val="24"/>
          <w:szCs w:val="24"/>
        </w:rPr>
      </w:pPr>
      <w:r w:rsidRPr="00702E4B">
        <w:rPr>
          <w:rFonts w:hint="eastAsia"/>
          <w:sz w:val="24"/>
          <w:szCs w:val="24"/>
        </w:rPr>
        <w:t>本标准由</w:t>
      </w:r>
      <w:r w:rsidRPr="00702E4B">
        <w:rPr>
          <w:sz w:val="24"/>
          <w:szCs w:val="24"/>
        </w:rPr>
        <w:t>中国农业大学</w:t>
      </w:r>
      <w:r w:rsidRPr="00702E4B">
        <w:rPr>
          <w:rFonts w:hint="eastAsia"/>
          <w:sz w:val="24"/>
          <w:szCs w:val="24"/>
        </w:rPr>
        <w:t>草业科学与技术学院</w:t>
      </w:r>
      <w:r w:rsidRPr="00702E4B">
        <w:rPr>
          <w:sz w:val="24"/>
          <w:szCs w:val="24"/>
        </w:rPr>
        <w:t>、贵州大学</w:t>
      </w:r>
      <w:r w:rsidRPr="00702E4B">
        <w:rPr>
          <w:rFonts w:hint="eastAsia"/>
          <w:sz w:val="24"/>
          <w:szCs w:val="24"/>
        </w:rPr>
        <w:t>动物科学学院</w:t>
      </w:r>
      <w:r w:rsidRPr="00702E4B">
        <w:rPr>
          <w:sz w:val="24"/>
          <w:szCs w:val="24"/>
        </w:rPr>
        <w:t>、广西壮族自治区大化瑶族自治县农村农村局</w:t>
      </w:r>
      <w:r w:rsidRPr="00702E4B">
        <w:rPr>
          <w:rFonts w:hint="eastAsia"/>
          <w:sz w:val="24"/>
          <w:szCs w:val="24"/>
        </w:rPr>
        <w:t>畜牧管理站和</w:t>
      </w:r>
      <w:r w:rsidRPr="00702E4B">
        <w:rPr>
          <w:sz w:val="24"/>
          <w:szCs w:val="24"/>
        </w:rPr>
        <w:t>中国大唐集团有限公司</w:t>
      </w:r>
      <w:r w:rsidRPr="00702E4B">
        <w:rPr>
          <w:rFonts w:hint="eastAsia"/>
          <w:sz w:val="24"/>
          <w:szCs w:val="24"/>
        </w:rPr>
        <w:t>共同申报。</w:t>
      </w:r>
    </w:p>
    <w:p w14:paraId="45DC123B" w14:textId="77777777" w:rsidR="00811291" w:rsidRDefault="00000000">
      <w:pPr>
        <w:numPr>
          <w:ilvl w:val="0"/>
          <w:numId w:val="2"/>
        </w:numPr>
        <w:spacing w:line="360" w:lineRule="auto"/>
        <w:ind w:firstLine="420"/>
        <w:outlineLvl w:val="1"/>
        <w:rPr>
          <w:b/>
          <w:bCs/>
          <w:sz w:val="28"/>
          <w:szCs w:val="28"/>
        </w:rPr>
      </w:pPr>
      <w:bookmarkStart w:id="5" w:name="_Toc6328"/>
      <w:r>
        <w:rPr>
          <w:rFonts w:hint="eastAsia"/>
          <w:b/>
          <w:bCs/>
          <w:sz w:val="28"/>
          <w:szCs w:val="28"/>
        </w:rPr>
        <w:t>起草单位</w:t>
      </w:r>
      <w:bookmarkEnd w:id="5"/>
    </w:p>
    <w:p w14:paraId="26B4294B" w14:textId="77777777" w:rsidR="00811291" w:rsidRDefault="00000000">
      <w:pPr>
        <w:spacing w:line="360" w:lineRule="auto"/>
        <w:ind w:firstLine="420"/>
        <w:rPr>
          <w:sz w:val="24"/>
          <w:szCs w:val="24"/>
        </w:rPr>
      </w:pPr>
      <w:r>
        <w:rPr>
          <w:rFonts w:hint="eastAsia"/>
          <w:sz w:val="24"/>
          <w:szCs w:val="24"/>
        </w:rPr>
        <w:t>中国农业大学、贵州大学、广西壮族自治区大化瑶族自治县农业农村局、中国大唐集团有限公司</w:t>
      </w:r>
    </w:p>
    <w:p w14:paraId="68A0DD23" w14:textId="77777777" w:rsidR="00811291" w:rsidRDefault="00000000">
      <w:pPr>
        <w:numPr>
          <w:ilvl w:val="0"/>
          <w:numId w:val="2"/>
        </w:numPr>
        <w:spacing w:line="360" w:lineRule="auto"/>
        <w:ind w:firstLine="420"/>
        <w:outlineLvl w:val="1"/>
        <w:rPr>
          <w:b/>
          <w:bCs/>
          <w:sz w:val="28"/>
          <w:szCs w:val="28"/>
        </w:rPr>
      </w:pPr>
      <w:bookmarkStart w:id="6" w:name="_Toc26109"/>
      <w:r>
        <w:rPr>
          <w:rFonts w:hint="eastAsia"/>
          <w:b/>
          <w:bCs/>
          <w:sz w:val="28"/>
          <w:szCs w:val="28"/>
        </w:rPr>
        <w:t>主要起草人</w:t>
      </w:r>
      <w:bookmarkEnd w:id="6"/>
    </w:p>
    <w:p w14:paraId="7E507F12" w14:textId="77777777" w:rsidR="00811291" w:rsidRDefault="00000000">
      <w:pPr>
        <w:spacing w:line="360" w:lineRule="auto"/>
        <w:ind w:firstLine="420"/>
        <w:rPr>
          <w:b/>
          <w:bCs/>
          <w:sz w:val="28"/>
          <w:szCs w:val="28"/>
        </w:rPr>
      </w:pPr>
      <w:r>
        <w:rPr>
          <w:rFonts w:hint="eastAsia"/>
          <w:sz w:val="24"/>
          <w:szCs w:val="24"/>
        </w:rPr>
        <w:t>负责标准起草的起草人员包括：倪奎奎、杨富裕、黄阳、唐轮、韦锋、高星照、李梦鑫、王学凯、王旭敖、高宇。</w:t>
      </w:r>
    </w:p>
    <w:p w14:paraId="7127E34D" w14:textId="77777777" w:rsidR="00811291" w:rsidRDefault="00000000">
      <w:pPr>
        <w:spacing w:line="360" w:lineRule="auto"/>
        <w:outlineLvl w:val="0"/>
        <w:rPr>
          <w:b/>
          <w:bCs/>
          <w:sz w:val="28"/>
          <w:szCs w:val="28"/>
        </w:rPr>
      </w:pPr>
      <w:bookmarkStart w:id="7" w:name="_Toc176547932"/>
      <w:bookmarkStart w:id="8" w:name="_Toc21069"/>
      <w:r>
        <w:rPr>
          <w:rFonts w:hint="eastAsia"/>
          <w:b/>
          <w:bCs/>
          <w:sz w:val="28"/>
          <w:szCs w:val="28"/>
        </w:rPr>
        <w:t>二、制定标准的必要性和意义</w:t>
      </w:r>
      <w:bookmarkEnd w:id="7"/>
      <w:bookmarkEnd w:id="8"/>
    </w:p>
    <w:p w14:paraId="2247F44A" w14:textId="77777777" w:rsidR="00811291" w:rsidRDefault="00000000">
      <w:pPr>
        <w:spacing w:line="360" w:lineRule="auto"/>
        <w:ind w:firstLine="420"/>
        <w:rPr>
          <w:sz w:val="24"/>
          <w:szCs w:val="24"/>
        </w:rPr>
      </w:pPr>
      <w:r>
        <w:rPr>
          <w:rFonts w:hint="eastAsia"/>
          <w:sz w:val="24"/>
          <w:szCs w:val="24"/>
        </w:rPr>
        <w:t>国家《“十四五”循环经济发展规划》和《关于加快推进农业废弃物资源化利用的意见》明确提出，要加强农作物秸秆和农产品加工副产物的高值化利用。我国是全球最大的食用菌生产国，年产量占全球总产量的</w:t>
      </w:r>
      <w:r>
        <w:rPr>
          <w:rFonts w:hint="eastAsia"/>
          <w:sz w:val="24"/>
          <w:szCs w:val="24"/>
        </w:rPr>
        <w:t>75%</w:t>
      </w:r>
      <w:r>
        <w:rPr>
          <w:rFonts w:hint="eastAsia"/>
          <w:sz w:val="24"/>
          <w:szCs w:val="24"/>
        </w:rPr>
        <w:t>以上。食用菌采收后会产生大量菌糠，其</w:t>
      </w:r>
      <w:r>
        <w:rPr>
          <w:sz w:val="24"/>
          <w:szCs w:val="24"/>
        </w:rPr>
        <w:t>富含纤维素、半纤维素、木质素及菌丝体蛋白等营养成分，具有较高的饲料化利用潜力。</w:t>
      </w:r>
      <w:r>
        <w:rPr>
          <w:rFonts w:hint="eastAsia"/>
          <w:sz w:val="24"/>
          <w:szCs w:val="24"/>
        </w:rPr>
        <w:t>据统计，我国每年产生的菌糠超过</w:t>
      </w:r>
      <w:r>
        <w:rPr>
          <w:rFonts w:hint="eastAsia"/>
          <w:sz w:val="24"/>
          <w:szCs w:val="24"/>
        </w:rPr>
        <w:t>1</w:t>
      </w:r>
      <w:r>
        <w:rPr>
          <w:rFonts w:hint="eastAsia"/>
          <w:sz w:val="24"/>
          <w:szCs w:val="24"/>
        </w:rPr>
        <w:t>亿吨，但传统处理方式多为就地堆积、焚烧或弃置，资源化利用率不足</w:t>
      </w:r>
      <w:r>
        <w:rPr>
          <w:rFonts w:hint="eastAsia"/>
          <w:sz w:val="24"/>
          <w:szCs w:val="24"/>
        </w:rPr>
        <w:t>30%</w:t>
      </w:r>
      <w:r>
        <w:rPr>
          <w:rFonts w:hint="eastAsia"/>
          <w:sz w:val="24"/>
          <w:szCs w:val="24"/>
        </w:rPr>
        <w:t>。这不仅是对农业资源的巨大浪费，更对周边生态环境造成了严重威胁。此外，</w:t>
      </w:r>
      <w:r>
        <w:rPr>
          <w:sz w:val="24"/>
          <w:szCs w:val="24"/>
        </w:rPr>
        <w:t>随着我国居民膳食结构升级，</w:t>
      </w:r>
      <w:r>
        <w:rPr>
          <w:rFonts w:hint="eastAsia"/>
          <w:sz w:val="24"/>
          <w:szCs w:val="24"/>
        </w:rPr>
        <w:t>居民对</w:t>
      </w:r>
      <w:r>
        <w:rPr>
          <w:sz w:val="24"/>
          <w:szCs w:val="24"/>
        </w:rPr>
        <w:t>牛羊肉及奶制品</w:t>
      </w:r>
      <w:r>
        <w:rPr>
          <w:rFonts w:hint="eastAsia"/>
          <w:sz w:val="24"/>
          <w:szCs w:val="24"/>
        </w:rPr>
        <w:t>日常消费</w:t>
      </w:r>
      <w:r>
        <w:rPr>
          <w:sz w:val="24"/>
          <w:szCs w:val="24"/>
        </w:rPr>
        <w:t>需求</w:t>
      </w:r>
      <w:r>
        <w:rPr>
          <w:rFonts w:hint="eastAsia"/>
          <w:sz w:val="24"/>
          <w:szCs w:val="24"/>
        </w:rPr>
        <w:t>呈现出</w:t>
      </w:r>
      <w:r>
        <w:rPr>
          <w:sz w:val="24"/>
          <w:szCs w:val="24"/>
        </w:rPr>
        <w:t>刚性增长</w:t>
      </w:r>
      <w:r>
        <w:rPr>
          <w:rFonts w:hint="eastAsia"/>
          <w:sz w:val="24"/>
          <w:szCs w:val="24"/>
        </w:rPr>
        <w:t>。在此背景下，我国畜牧业持续稳定发展仍面临显著挑战，主要体现在饲草料资源总量不足、优质蛋白饲草紧缺，以及供应的季节性失衡等方面。因此，将菌糠通过生物发酵技术转化为优质饲料，是落实“藏粮于技”战略、缓解人畜争粮矛盾、实现农业废弃物资源化利用和推动农业绿色低碳循环发展的具体实践与重要途径。</w:t>
      </w:r>
    </w:p>
    <w:p w14:paraId="3D738357" w14:textId="77777777" w:rsidR="00811291" w:rsidRDefault="00000000">
      <w:pPr>
        <w:spacing w:line="360" w:lineRule="auto"/>
        <w:ind w:firstLine="420"/>
        <w:rPr>
          <w:sz w:val="24"/>
          <w:szCs w:val="24"/>
        </w:rPr>
      </w:pPr>
      <w:r>
        <w:rPr>
          <w:sz w:val="24"/>
          <w:szCs w:val="24"/>
        </w:rPr>
        <w:t>菌糠富含菌体蛋白、纤维素及多种微量元素，是潜在的非常规饲料资源。通过微生物发酵改良，可降解其粗纤维，提升适口性和消化率，将其转化为牛羊喜食的</w:t>
      </w:r>
      <w:r>
        <w:rPr>
          <w:sz w:val="24"/>
          <w:szCs w:val="24"/>
        </w:rPr>
        <w:lastRenderedPageBreak/>
        <w:t>优质发酵饲料。</w:t>
      </w:r>
      <w:r>
        <w:rPr>
          <w:rFonts w:hint="eastAsia"/>
          <w:sz w:val="24"/>
          <w:szCs w:val="24"/>
        </w:rPr>
        <w:t>然而，目前对于菌糠的利用方式的研究和实践仍处于起步阶段，尚未建立统一的技术规程与标准，导致在生产、贮藏与流通环节普遍存在（</w:t>
      </w:r>
      <w:r>
        <w:rPr>
          <w:rFonts w:hint="eastAsia"/>
          <w:sz w:val="24"/>
          <w:szCs w:val="24"/>
        </w:rPr>
        <w:t>1</w:t>
      </w:r>
      <w:r>
        <w:rPr>
          <w:rFonts w:hint="eastAsia"/>
          <w:sz w:val="24"/>
          <w:szCs w:val="24"/>
        </w:rPr>
        <w:t>）</w:t>
      </w:r>
      <w:r>
        <w:rPr>
          <w:sz w:val="24"/>
          <w:szCs w:val="24"/>
        </w:rPr>
        <w:t>发酵菌种选择随意导致降解效率低下</w:t>
      </w:r>
      <w:r>
        <w:rPr>
          <w:rFonts w:hint="eastAsia"/>
          <w:sz w:val="24"/>
          <w:szCs w:val="24"/>
        </w:rPr>
        <w:t>，（</w:t>
      </w:r>
      <w:r>
        <w:rPr>
          <w:rFonts w:hint="eastAsia"/>
          <w:sz w:val="24"/>
          <w:szCs w:val="24"/>
        </w:rPr>
        <w:t>2</w:t>
      </w:r>
      <w:r>
        <w:rPr>
          <w:rFonts w:hint="eastAsia"/>
          <w:sz w:val="24"/>
          <w:szCs w:val="24"/>
        </w:rPr>
        <w:t>）</w:t>
      </w:r>
      <w:r>
        <w:rPr>
          <w:sz w:val="24"/>
          <w:szCs w:val="24"/>
        </w:rPr>
        <w:t>水分控制不当容易引起霉变或腐烂</w:t>
      </w:r>
      <w:r>
        <w:rPr>
          <w:rFonts w:hint="eastAsia"/>
          <w:sz w:val="24"/>
          <w:szCs w:val="24"/>
        </w:rPr>
        <w:t>，（</w:t>
      </w:r>
      <w:r>
        <w:rPr>
          <w:rFonts w:hint="eastAsia"/>
          <w:sz w:val="24"/>
          <w:szCs w:val="24"/>
        </w:rPr>
        <w:t>3</w:t>
      </w:r>
      <w:r>
        <w:rPr>
          <w:rFonts w:hint="eastAsia"/>
          <w:sz w:val="24"/>
          <w:szCs w:val="24"/>
        </w:rPr>
        <w:t>）</w:t>
      </w:r>
      <w:r>
        <w:rPr>
          <w:sz w:val="24"/>
          <w:szCs w:val="24"/>
        </w:rPr>
        <w:t>缺乏标准化发酵流程导致产品质量极不稳定，甚至产生黄曲霉毒素等有毒有害物质，带来养殖安全隐患</w:t>
      </w:r>
      <w:r>
        <w:rPr>
          <w:rFonts w:hint="eastAsia"/>
          <w:sz w:val="24"/>
          <w:szCs w:val="24"/>
        </w:rPr>
        <w:t>等突出问题，制约了食用菌菌糠的</w:t>
      </w:r>
      <w:r>
        <w:rPr>
          <w:sz w:val="24"/>
          <w:szCs w:val="24"/>
        </w:rPr>
        <w:t>规模化</w:t>
      </w:r>
      <w:r>
        <w:rPr>
          <w:rFonts w:hint="eastAsia"/>
          <w:sz w:val="24"/>
          <w:szCs w:val="24"/>
        </w:rPr>
        <w:t>和</w:t>
      </w:r>
      <w:r>
        <w:rPr>
          <w:sz w:val="24"/>
          <w:szCs w:val="24"/>
        </w:rPr>
        <w:t>标准化</w:t>
      </w:r>
      <w:r>
        <w:rPr>
          <w:rFonts w:hint="eastAsia"/>
          <w:sz w:val="24"/>
          <w:szCs w:val="24"/>
        </w:rPr>
        <w:t>高效利用</w:t>
      </w:r>
      <w:r>
        <w:rPr>
          <w:sz w:val="24"/>
          <w:szCs w:val="24"/>
        </w:rPr>
        <w:t>。</w:t>
      </w:r>
    </w:p>
    <w:p w14:paraId="13826CE3" w14:textId="77777777" w:rsidR="00811291" w:rsidRDefault="00000000">
      <w:pPr>
        <w:spacing w:line="360" w:lineRule="auto"/>
        <w:ind w:firstLine="420"/>
        <w:rPr>
          <w:sz w:val="24"/>
          <w:szCs w:val="24"/>
        </w:rPr>
      </w:pPr>
      <w:r>
        <w:rPr>
          <w:rFonts w:hint="eastAsia"/>
          <w:sz w:val="24"/>
          <w:szCs w:val="24"/>
        </w:rPr>
        <w:t>本标准的制定、发布与推广应用，将为我国畜牧业开辟稳定的新型食用菌菌糠饲料资源，有效降低生产成本，提升养殖效益。通过规范食用菌菌糠发酵工艺与质量控制体系，有助于推动其饲用加工走向标准化、产业化，进一步促进生态保护、畜牧生产与区域民生的“三生”协同发展，对实现农业废弃物资源的可持续开发、优质饲草料的稳定供应，以及生态效益、社会效益与经济效益的有机统一，具有重要战略意义。</w:t>
      </w:r>
      <w:bookmarkStart w:id="9" w:name="_Toc176547933"/>
    </w:p>
    <w:p w14:paraId="0D97F07F" w14:textId="77777777" w:rsidR="00811291" w:rsidRDefault="00000000">
      <w:pPr>
        <w:spacing w:line="360" w:lineRule="auto"/>
        <w:outlineLvl w:val="0"/>
        <w:rPr>
          <w:b/>
          <w:bCs/>
          <w:sz w:val="28"/>
          <w:szCs w:val="28"/>
        </w:rPr>
      </w:pPr>
      <w:bookmarkStart w:id="10" w:name="_Toc25716"/>
      <w:r>
        <w:rPr>
          <w:rFonts w:hint="eastAsia"/>
          <w:b/>
          <w:bCs/>
          <w:sz w:val="28"/>
          <w:szCs w:val="28"/>
        </w:rPr>
        <w:t>三、主要工作过程</w:t>
      </w:r>
      <w:bookmarkEnd w:id="9"/>
      <w:bookmarkEnd w:id="10"/>
    </w:p>
    <w:p w14:paraId="18F1FC2D" w14:textId="77777777" w:rsidR="00811291" w:rsidRDefault="00000000">
      <w:pPr>
        <w:spacing w:line="360" w:lineRule="auto"/>
        <w:ind w:firstLine="420"/>
        <w:rPr>
          <w:sz w:val="24"/>
          <w:szCs w:val="24"/>
        </w:rPr>
      </w:pPr>
      <w:r>
        <w:rPr>
          <w:rFonts w:hint="eastAsia"/>
          <w:sz w:val="24"/>
          <w:szCs w:val="24"/>
        </w:rPr>
        <w:t>2025</w:t>
      </w:r>
      <w:r>
        <w:rPr>
          <w:rFonts w:hint="eastAsia"/>
          <w:sz w:val="24"/>
          <w:szCs w:val="24"/>
        </w:rPr>
        <w:t>年</w:t>
      </w:r>
      <w:r>
        <w:rPr>
          <w:rFonts w:hint="eastAsia"/>
          <w:sz w:val="24"/>
          <w:szCs w:val="24"/>
        </w:rPr>
        <w:t>1</w:t>
      </w:r>
      <w:r>
        <w:rPr>
          <w:rFonts w:hint="eastAsia"/>
          <w:sz w:val="24"/>
          <w:szCs w:val="24"/>
        </w:rPr>
        <w:t>月至</w:t>
      </w:r>
      <w:r>
        <w:rPr>
          <w:rFonts w:hint="eastAsia"/>
          <w:sz w:val="24"/>
          <w:szCs w:val="24"/>
        </w:rPr>
        <w:t>6</w:t>
      </w:r>
      <w:r>
        <w:rPr>
          <w:rFonts w:hint="eastAsia"/>
          <w:sz w:val="24"/>
          <w:szCs w:val="24"/>
        </w:rPr>
        <w:t>月，依据</w:t>
      </w:r>
      <w:r>
        <w:rPr>
          <w:rFonts w:hint="eastAsia"/>
          <w:sz w:val="24"/>
          <w:szCs w:val="24"/>
        </w:rPr>
        <w:t>2025</w:t>
      </w:r>
      <w:r>
        <w:rPr>
          <w:rFonts w:hint="eastAsia"/>
          <w:sz w:val="24"/>
          <w:szCs w:val="24"/>
        </w:rPr>
        <w:t>年《北京华夏草业产业技术创新战略联盟团体标准制修订管理办法》的相关规定，中国农业大学牵头组建了标准起草小组，并就标准编写工作进行了讨论。</w:t>
      </w:r>
    </w:p>
    <w:p w14:paraId="1663FB21" w14:textId="77777777" w:rsidR="00811291" w:rsidRDefault="00000000">
      <w:pPr>
        <w:spacing w:line="360" w:lineRule="auto"/>
        <w:ind w:firstLine="420"/>
        <w:rPr>
          <w:sz w:val="24"/>
          <w:szCs w:val="24"/>
        </w:rPr>
      </w:pPr>
      <w:r>
        <w:rPr>
          <w:rFonts w:hint="eastAsia"/>
          <w:sz w:val="24"/>
          <w:szCs w:val="24"/>
        </w:rPr>
        <w:t>2025</w:t>
      </w:r>
      <w:r>
        <w:rPr>
          <w:rFonts w:hint="eastAsia"/>
          <w:sz w:val="24"/>
          <w:szCs w:val="24"/>
        </w:rPr>
        <w:t>年</w:t>
      </w:r>
      <w:r>
        <w:rPr>
          <w:rFonts w:hint="eastAsia"/>
          <w:sz w:val="24"/>
          <w:szCs w:val="24"/>
        </w:rPr>
        <w:t>6</w:t>
      </w:r>
      <w:r>
        <w:rPr>
          <w:rFonts w:hint="eastAsia"/>
          <w:sz w:val="24"/>
          <w:szCs w:val="24"/>
        </w:rPr>
        <w:t>月至</w:t>
      </w:r>
      <w:r>
        <w:rPr>
          <w:rFonts w:hint="eastAsia"/>
          <w:sz w:val="24"/>
          <w:szCs w:val="24"/>
        </w:rPr>
        <w:t>12</w:t>
      </w:r>
      <w:r>
        <w:rPr>
          <w:rFonts w:hint="eastAsia"/>
          <w:sz w:val="24"/>
          <w:szCs w:val="24"/>
        </w:rPr>
        <w:t>月，编制组深入调研了食用菌菌糠发酵饲料的研发、生产与贮藏环节，系统梳理了既有试验成果与参考资料，针对关键环节开展了补充试验研究与样品检测分析。</w:t>
      </w:r>
    </w:p>
    <w:p w14:paraId="14A5DDFC" w14:textId="77777777" w:rsidR="00811291" w:rsidRDefault="00000000">
      <w:pPr>
        <w:spacing w:line="360" w:lineRule="auto"/>
        <w:ind w:firstLine="420"/>
        <w:rPr>
          <w:sz w:val="24"/>
          <w:szCs w:val="24"/>
        </w:rPr>
      </w:pPr>
      <w:r>
        <w:rPr>
          <w:rFonts w:hint="eastAsia"/>
          <w:sz w:val="24"/>
          <w:szCs w:val="24"/>
        </w:rPr>
        <w:t>2026</w:t>
      </w:r>
      <w:r>
        <w:rPr>
          <w:rFonts w:hint="eastAsia"/>
          <w:sz w:val="24"/>
          <w:szCs w:val="24"/>
        </w:rPr>
        <w:t>年</w:t>
      </w:r>
      <w:r>
        <w:rPr>
          <w:rFonts w:hint="eastAsia"/>
          <w:sz w:val="24"/>
          <w:szCs w:val="24"/>
        </w:rPr>
        <w:t>1</w:t>
      </w:r>
      <w:r>
        <w:rPr>
          <w:rFonts w:hint="eastAsia"/>
          <w:sz w:val="24"/>
          <w:szCs w:val="24"/>
        </w:rPr>
        <w:t>月至</w:t>
      </w:r>
      <w:r>
        <w:rPr>
          <w:rFonts w:hint="eastAsia"/>
          <w:sz w:val="24"/>
          <w:szCs w:val="24"/>
        </w:rPr>
        <w:t>3</w:t>
      </w:r>
      <w:r>
        <w:rPr>
          <w:rFonts w:hint="eastAsia"/>
          <w:sz w:val="24"/>
          <w:szCs w:val="24"/>
        </w:rPr>
        <w:t>月，在系统总结既有试验结果和已有研究成果的基础上，编制组完成了对《食用菌菌糠发酵饲料制作和使用技术规程》团体标准征求意见稿和编制说明的撰写，并提交至北京华夏草业产业技术创新战略联盟。</w:t>
      </w:r>
    </w:p>
    <w:p w14:paraId="3A41BA7B" w14:textId="77777777" w:rsidR="00811291" w:rsidRDefault="00000000">
      <w:pPr>
        <w:spacing w:line="360" w:lineRule="auto"/>
        <w:ind w:firstLine="420"/>
        <w:rPr>
          <w:sz w:val="24"/>
          <w:szCs w:val="24"/>
        </w:rPr>
      </w:pPr>
      <w:r>
        <w:rPr>
          <w:rFonts w:hint="eastAsia"/>
          <w:sz w:val="24"/>
          <w:szCs w:val="24"/>
        </w:rPr>
        <w:t>2026</w:t>
      </w:r>
      <w:r>
        <w:rPr>
          <w:rFonts w:hint="eastAsia"/>
          <w:sz w:val="24"/>
          <w:szCs w:val="24"/>
        </w:rPr>
        <w:t>年</w:t>
      </w:r>
      <w:r>
        <w:rPr>
          <w:rFonts w:hint="eastAsia"/>
          <w:sz w:val="24"/>
          <w:szCs w:val="24"/>
        </w:rPr>
        <w:t>4</w:t>
      </w:r>
      <w:r>
        <w:rPr>
          <w:rFonts w:hint="eastAsia"/>
          <w:sz w:val="24"/>
          <w:szCs w:val="24"/>
        </w:rPr>
        <w:t>月至</w:t>
      </w:r>
      <w:r>
        <w:rPr>
          <w:rFonts w:hint="eastAsia"/>
          <w:sz w:val="24"/>
          <w:szCs w:val="24"/>
        </w:rPr>
        <w:t>5</w:t>
      </w:r>
      <w:r>
        <w:rPr>
          <w:rFonts w:hint="eastAsia"/>
          <w:sz w:val="24"/>
          <w:szCs w:val="24"/>
        </w:rPr>
        <w:t>月，北京华夏草业产业技术创新战略联盟组织国内相关专家对《</w:t>
      </w:r>
      <w:r>
        <w:rPr>
          <w:sz w:val="24"/>
          <w:szCs w:val="24"/>
        </w:rPr>
        <w:t>食用菌菌糠发酵饲料制作和使用技术规程</w:t>
      </w:r>
      <w:r>
        <w:rPr>
          <w:rFonts w:hint="eastAsia"/>
          <w:sz w:val="24"/>
          <w:szCs w:val="24"/>
        </w:rPr>
        <w:t>》征求意见稿及编制说明进行会议评审。</w:t>
      </w:r>
    </w:p>
    <w:p w14:paraId="069BC16D" w14:textId="77777777" w:rsidR="00811291" w:rsidRDefault="00000000">
      <w:pPr>
        <w:spacing w:line="360" w:lineRule="auto"/>
        <w:outlineLvl w:val="0"/>
        <w:rPr>
          <w:b/>
          <w:bCs/>
          <w:sz w:val="28"/>
          <w:szCs w:val="28"/>
        </w:rPr>
      </w:pPr>
      <w:bookmarkStart w:id="11" w:name="_Toc176547934"/>
      <w:bookmarkStart w:id="12" w:name="_Toc28270"/>
      <w:r>
        <w:rPr>
          <w:rFonts w:hint="eastAsia"/>
          <w:b/>
          <w:bCs/>
          <w:sz w:val="28"/>
          <w:szCs w:val="28"/>
        </w:rPr>
        <w:t>四、标准编制原则和主要技术内容确定的依据</w:t>
      </w:r>
      <w:bookmarkEnd w:id="11"/>
      <w:bookmarkEnd w:id="12"/>
    </w:p>
    <w:p w14:paraId="205823AE" w14:textId="77777777" w:rsidR="00811291" w:rsidRDefault="00000000">
      <w:pPr>
        <w:spacing w:line="360" w:lineRule="auto"/>
        <w:ind w:firstLine="420"/>
        <w:outlineLvl w:val="1"/>
        <w:rPr>
          <w:b/>
          <w:bCs/>
          <w:sz w:val="28"/>
          <w:szCs w:val="28"/>
        </w:rPr>
      </w:pPr>
      <w:bookmarkStart w:id="13" w:name="_Toc176547935"/>
      <w:bookmarkStart w:id="14" w:name="_Toc32291"/>
      <w:r>
        <w:rPr>
          <w:rFonts w:hint="eastAsia"/>
          <w:b/>
          <w:bCs/>
          <w:sz w:val="28"/>
          <w:szCs w:val="28"/>
        </w:rPr>
        <w:t>1</w:t>
      </w:r>
      <w:r>
        <w:rPr>
          <w:rFonts w:hint="eastAsia"/>
          <w:b/>
          <w:bCs/>
          <w:sz w:val="28"/>
          <w:szCs w:val="28"/>
        </w:rPr>
        <w:t>、标准编制原则</w:t>
      </w:r>
      <w:bookmarkEnd w:id="13"/>
      <w:bookmarkEnd w:id="14"/>
    </w:p>
    <w:p w14:paraId="705D7CB6" w14:textId="77777777" w:rsidR="00811291" w:rsidRDefault="00000000">
      <w:pPr>
        <w:spacing w:line="360" w:lineRule="auto"/>
        <w:ind w:firstLine="420"/>
        <w:rPr>
          <w:sz w:val="24"/>
          <w:szCs w:val="24"/>
        </w:rPr>
      </w:pPr>
      <w:bookmarkStart w:id="15" w:name="_Toc176547936"/>
      <w:r>
        <w:rPr>
          <w:rFonts w:hint="eastAsia"/>
          <w:sz w:val="24"/>
          <w:szCs w:val="24"/>
        </w:rPr>
        <w:t>本标准的编制严格遵循</w:t>
      </w:r>
      <w:r>
        <w:rPr>
          <w:rFonts w:hint="eastAsia"/>
          <w:sz w:val="24"/>
          <w:szCs w:val="24"/>
        </w:rPr>
        <w:t>GB/T 1.1</w:t>
      </w:r>
      <w:r>
        <w:rPr>
          <w:rFonts w:hint="eastAsia"/>
          <w:sz w:val="24"/>
          <w:szCs w:val="24"/>
        </w:rPr>
        <w:t>—</w:t>
      </w:r>
      <w:r>
        <w:rPr>
          <w:rFonts w:hint="eastAsia"/>
          <w:sz w:val="24"/>
          <w:szCs w:val="24"/>
        </w:rPr>
        <w:t>2020</w:t>
      </w:r>
      <w:r>
        <w:rPr>
          <w:rFonts w:hint="eastAsia"/>
          <w:sz w:val="24"/>
          <w:szCs w:val="24"/>
        </w:rPr>
        <w:t>《标准化工作导则</w:t>
      </w:r>
      <w:r>
        <w:rPr>
          <w:rFonts w:hint="eastAsia"/>
          <w:sz w:val="24"/>
          <w:szCs w:val="24"/>
        </w:rPr>
        <w:t xml:space="preserve"> </w:t>
      </w:r>
      <w:r>
        <w:rPr>
          <w:rFonts w:hint="eastAsia"/>
          <w:sz w:val="24"/>
          <w:szCs w:val="24"/>
        </w:rPr>
        <w:t>第</w:t>
      </w:r>
      <w:r>
        <w:rPr>
          <w:rFonts w:hint="eastAsia"/>
          <w:sz w:val="24"/>
          <w:szCs w:val="24"/>
        </w:rPr>
        <w:t>1</w:t>
      </w:r>
      <w:r>
        <w:rPr>
          <w:rFonts w:hint="eastAsia"/>
          <w:sz w:val="24"/>
          <w:szCs w:val="24"/>
        </w:rPr>
        <w:t>部分：标准化文件的结构和起草规则》的要求与规定。在编制过程中，标准起草小组始终坚持科</w:t>
      </w:r>
      <w:r>
        <w:rPr>
          <w:rFonts w:hint="eastAsia"/>
          <w:sz w:val="24"/>
          <w:szCs w:val="24"/>
        </w:rPr>
        <w:lastRenderedPageBreak/>
        <w:t>学性、规范性和可操作性相结合的原则，除了认真总结多年来的试验研究结果外，还参阅和汲取了国内相关标准的经验和条款，以符合食用菌菌糠发酵的生产实际，达到内容全面、技术含量高、操作性强的要求。该标准与现行法律法规无冲突，并保证了对该标准最新版本的引用。</w:t>
      </w:r>
    </w:p>
    <w:p w14:paraId="4D863C4A" w14:textId="77777777" w:rsidR="00811291" w:rsidRDefault="00000000">
      <w:pPr>
        <w:spacing w:line="360" w:lineRule="auto"/>
        <w:ind w:firstLine="420"/>
        <w:outlineLvl w:val="1"/>
        <w:rPr>
          <w:b/>
          <w:bCs/>
          <w:sz w:val="28"/>
          <w:szCs w:val="28"/>
        </w:rPr>
      </w:pPr>
      <w:bookmarkStart w:id="16" w:name="_Toc14667"/>
      <w:r>
        <w:rPr>
          <w:rFonts w:hint="eastAsia"/>
          <w:b/>
          <w:bCs/>
          <w:sz w:val="28"/>
          <w:szCs w:val="28"/>
        </w:rPr>
        <w:t>2</w:t>
      </w:r>
      <w:r>
        <w:rPr>
          <w:rFonts w:hint="eastAsia"/>
          <w:b/>
          <w:bCs/>
          <w:sz w:val="28"/>
          <w:szCs w:val="28"/>
        </w:rPr>
        <w:t>、主要技术内容确定的论据</w:t>
      </w:r>
      <w:bookmarkEnd w:id="15"/>
      <w:bookmarkEnd w:id="16"/>
    </w:p>
    <w:p w14:paraId="31C3CB8F" w14:textId="77777777" w:rsidR="00811291" w:rsidRDefault="00000000">
      <w:pPr>
        <w:spacing w:line="360" w:lineRule="auto"/>
        <w:ind w:firstLine="420"/>
        <w:outlineLvl w:val="2"/>
        <w:rPr>
          <w:sz w:val="24"/>
          <w:szCs w:val="24"/>
        </w:rPr>
      </w:pPr>
      <w:bookmarkStart w:id="17" w:name="_Toc12141"/>
      <w:r>
        <w:rPr>
          <w:rFonts w:hint="eastAsia"/>
          <w:sz w:val="24"/>
          <w:szCs w:val="24"/>
        </w:rPr>
        <w:t>（</w:t>
      </w:r>
      <w:r>
        <w:rPr>
          <w:rFonts w:hint="eastAsia"/>
          <w:sz w:val="24"/>
          <w:szCs w:val="24"/>
        </w:rPr>
        <w:t>1</w:t>
      </w:r>
      <w:r>
        <w:rPr>
          <w:rFonts w:hint="eastAsia"/>
          <w:sz w:val="24"/>
          <w:szCs w:val="24"/>
        </w:rPr>
        <w:t>）适用范围</w:t>
      </w:r>
      <w:bookmarkEnd w:id="17"/>
    </w:p>
    <w:p w14:paraId="3F64FD46" w14:textId="77777777" w:rsidR="00811291" w:rsidRDefault="00000000">
      <w:pPr>
        <w:spacing w:line="360" w:lineRule="auto"/>
        <w:ind w:firstLine="420"/>
        <w:rPr>
          <w:sz w:val="24"/>
          <w:szCs w:val="24"/>
        </w:rPr>
      </w:pPr>
      <w:r>
        <w:rPr>
          <w:rFonts w:hint="eastAsia"/>
          <w:sz w:val="24"/>
          <w:szCs w:val="24"/>
        </w:rPr>
        <w:t>本标准规定了包括食用菌菌糠发酵过程中的原料要求、发酵制作、贮存管理、质量评定、饲喂取用等内容和技术。本标准适用于我国分布的所有食用菌菌糠发酵技术。</w:t>
      </w:r>
    </w:p>
    <w:p w14:paraId="2055357B" w14:textId="77777777" w:rsidR="00811291" w:rsidRDefault="00000000">
      <w:pPr>
        <w:spacing w:line="360" w:lineRule="auto"/>
        <w:ind w:firstLine="420"/>
        <w:outlineLvl w:val="2"/>
        <w:rPr>
          <w:sz w:val="24"/>
          <w:szCs w:val="24"/>
        </w:rPr>
      </w:pPr>
      <w:bookmarkStart w:id="18" w:name="_Toc25317"/>
      <w:r>
        <w:rPr>
          <w:rFonts w:hint="eastAsia"/>
          <w:sz w:val="24"/>
          <w:szCs w:val="24"/>
        </w:rPr>
        <w:t>（</w:t>
      </w:r>
      <w:r>
        <w:rPr>
          <w:rFonts w:hint="eastAsia"/>
          <w:sz w:val="24"/>
          <w:szCs w:val="24"/>
        </w:rPr>
        <w:t>2</w:t>
      </w:r>
      <w:r>
        <w:rPr>
          <w:rFonts w:hint="eastAsia"/>
          <w:sz w:val="24"/>
          <w:szCs w:val="24"/>
        </w:rPr>
        <w:t>）规范性引用文件</w:t>
      </w:r>
      <w:bookmarkEnd w:id="18"/>
    </w:p>
    <w:p w14:paraId="7FF17B5C" w14:textId="77777777" w:rsidR="00811291" w:rsidRDefault="00000000">
      <w:pPr>
        <w:spacing w:line="360" w:lineRule="auto"/>
        <w:ind w:firstLine="420"/>
        <w:rPr>
          <w:sz w:val="24"/>
          <w:szCs w:val="24"/>
        </w:rPr>
      </w:pPr>
      <w:r>
        <w:rPr>
          <w:rFonts w:hint="eastAsia"/>
          <w:sz w:val="24"/>
          <w:szCs w:val="24"/>
        </w:rPr>
        <w:t>本标准制定时，参照了饲料卫生标准（</w:t>
      </w:r>
      <w:r>
        <w:rPr>
          <w:rFonts w:hint="eastAsia"/>
          <w:sz w:val="24"/>
          <w:szCs w:val="24"/>
        </w:rPr>
        <w:t>GB 13078-2017</w:t>
      </w:r>
      <w:r>
        <w:rPr>
          <w:rFonts w:hint="eastAsia"/>
          <w:sz w:val="24"/>
          <w:szCs w:val="24"/>
        </w:rPr>
        <w:t>）、农林机械安全（</w:t>
      </w:r>
      <w:r>
        <w:rPr>
          <w:rFonts w:hint="eastAsia"/>
          <w:sz w:val="24"/>
          <w:szCs w:val="24"/>
        </w:rPr>
        <w:t>GB/T 10395</w:t>
      </w:r>
      <w:r>
        <w:rPr>
          <w:rFonts w:hint="eastAsia"/>
          <w:sz w:val="24"/>
          <w:szCs w:val="24"/>
        </w:rPr>
        <w:t>）、中华人民共和国农业农村部</w:t>
      </w:r>
      <w:r>
        <w:rPr>
          <w:rFonts w:hint="eastAsia"/>
          <w:sz w:val="24"/>
          <w:szCs w:val="24"/>
        </w:rPr>
        <w:t xml:space="preserve"> </w:t>
      </w:r>
      <w:r>
        <w:rPr>
          <w:rFonts w:hint="eastAsia"/>
          <w:sz w:val="24"/>
          <w:szCs w:val="24"/>
        </w:rPr>
        <w:t>饲料原料目录、中华人民共和国农业农村部</w:t>
      </w:r>
      <w:r>
        <w:rPr>
          <w:rFonts w:hint="eastAsia"/>
          <w:sz w:val="24"/>
          <w:szCs w:val="24"/>
        </w:rPr>
        <w:t xml:space="preserve"> </w:t>
      </w:r>
      <w:r>
        <w:rPr>
          <w:rFonts w:hint="eastAsia"/>
          <w:sz w:val="24"/>
          <w:szCs w:val="24"/>
        </w:rPr>
        <w:t>饲料添加剂品种目录、饲料中酸性洗涤纤维测定（</w:t>
      </w:r>
      <w:r>
        <w:rPr>
          <w:rFonts w:hint="eastAsia"/>
          <w:sz w:val="24"/>
          <w:szCs w:val="24"/>
        </w:rPr>
        <w:t>NY/T 1459-2022</w:t>
      </w:r>
      <w:r>
        <w:rPr>
          <w:rFonts w:hint="eastAsia"/>
          <w:sz w:val="24"/>
          <w:szCs w:val="24"/>
        </w:rPr>
        <w:t>）、饲料中中性洗涤纤维测定（</w:t>
      </w:r>
      <w:r>
        <w:rPr>
          <w:rFonts w:hint="eastAsia"/>
          <w:sz w:val="24"/>
          <w:szCs w:val="24"/>
        </w:rPr>
        <w:t>GB/T 20806-2022</w:t>
      </w:r>
      <w:r>
        <w:rPr>
          <w:rFonts w:hint="eastAsia"/>
          <w:sz w:val="24"/>
          <w:szCs w:val="24"/>
        </w:rPr>
        <w:t>）、饲料中粗蛋白测定方法</w:t>
      </w:r>
      <w:r>
        <w:rPr>
          <w:rFonts w:hint="eastAsia"/>
          <w:sz w:val="24"/>
          <w:szCs w:val="24"/>
        </w:rPr>
        <w:t xml:space="preserve"> </w:t>
      </w:r>
      <w:r>
        <w:rPr>
          <w:rFonts w:hint="eastAsia"/>
          <w:sz w:val="24"/>
          <w:szCs w:val="24"/>
        </w:rPr>
        <w:t>凯氏定氮法（</w:t>
      </w:r>
      <w:r>
        <w:rPr>
          <w:rFonts w:hint="eastAsia"/>
          <w:sz w:val="24"/>
          <w:szCs w:val="24"/>
        </w:rPr>
        <w:t>GB/T 6432-2018</w:t>
      </w:r>
      <w:r>
        <w:rPr>
          <w:rFonts w:hint="eastAsia"/>
          <w:sz w:val="24"/>
          <w:szCs w:val="24"/>
        </w:rPr>
        <w:t>）、青贮饲料</w:t>
      </w:r>
      <w:r>
        <w:rPr>
          <w:rFonts w:hint="eastAsia"/>
          <w:sz w:val="24"/>
          <w:szCs w:val="24"/>
        </w:rPr>
        <w:t>pH</w:t>
      </w:r>
      <w:r>
        <w:rPr>
          <w:rFonts w:hint="eastAsia"/>
          <w:sz w:val="24"/>
          <w:szCs w:val="24"/>
        </w:rPr>
        <w:t>值、有机酸、氨态氮测定方法（</w:t>
      </w:r>
      <w:r>
        <w:rPr>
          <w:rFonts w:hint="eastAsia"/>
          <w:sz w:val="24"/>
          <w:szCs w:val="24"/>
        </w:rPr>
        <w:t>DB15/T 1458-2018</w:t>
      </w:r>
      <w:r>
        <w:rPr>
          <w:rFonts w:hint="eastAsia"/>
          <w:sz w:val="24"/>
          <w:szCs w:val="24"/>
        </w:rPr>
        <w:t>）、微生物饲料添加剂通用要求（</w:t>
      </w:r>
      <w:r>
        <w:rPr>
          <w:rFonts w:hint="eastAsia"/>
          <w:sz w:val="24"/>
          <w:szCs w:val="24"/>
        </w:rPr>
        <w:t>GB/T 23181-2008</w:t>
      </w:r>
      <w:r>
        <w:rPr>
          <w:rFonts w:hint="eastAsia"/>
          <w:sz w:val="24"/>
          <w:szCs w:val="24"/>
        </w:rPr>
        <w:t>）、塑料拉伸性能的测定</w:t>
      </w:r>
      <w:r>
        <w:rPr>
          <w:rFonts w:hint="eastAsia"/>
          <w:sz w:val="24"/>
          <w:szCs w:val="24"/>
        </w:rPr>
        <w:t xml:space="preserve"> </w:t>
      </w:r>
      <w:r>
        <w:rPr>
          <w:rFonts w:hint="eastAsia"/>
          <w:sz w:val="24"/>
          <w:szCs w:val="24"/>
        </w:rPr>
        <w:t>第</w:t>
      </w:r>
      <w:r>
        <w:rPr>
          <w:rFonts w:hint="eastAsia"/>
          <w:sz w:val="24"/>
          <w:szCs w:val="24"/>
        </w:rPr>
        <w:t>3</w:t>
      </w:r>
      <w:r>
        <w:rPr>
          <w:rFonts w:hint="eastAsia"/>
          <w:sz w:val="24"/>
          <w:szCs w:val="24"/>
        </w:rPr>
        <w:t>部分</w:t>
      </w:r>
      <w:r>
        <w:rPr>
          <w:rFonts w:hint="eastAsia"/>
          <w:sz w:val="24"/>
          <w:szCs w:val="24"/>
        </w:rPr>
        <w:t>:</w:t>
      </w:r>
      <w:r>
        <w:rPr>
          <w:rFonts w:hint="eastAsia"/>
          <w:sz w:val="24"/>
          <w:szCs w:val="24"/>
        </w:rPr>
        <w:t>薄膜和薄片的试验条件（</w:t>
      </w:r>
      <w:r>
        <w:rPr>
          <w:rFonts w:hint="eastAsia"/>
          <w:sz w:val="24"/>
          <w:szCs w:val="24"/>
        </w:rPr>
        <w:t>GB/T 1040.3-2006</w:t>
      </w:r>
      <w:r>
        <w:rPr>
          <w:rFonts w:hint="eastAsia"/>
          <w:sz w:val="24"/>
          <w:szCs w:val="24"/>
        </w:rPr>
        <w:t>）、农业用聚乙烯吹塑棚膜（</w:t>
      </w:r>
      <w:r>
        <w:rPr>
          <w:rFonts w:hint="eastAsia"/>
          <w:sz w:val="24"/>
          <w:szCs w:val="24"/>
        </w:rPr>
        <w:t>GB/T 4455-2019</w:t>
      </w:r>
      <w:r>
        <w:rPr>
          <w:rFonts w:hint="eastAsia"/>
          <w:sz w:val="24"/>
          <w:szCs w:val="24"/>
        </w:rPr>
        <w:t>）、微生物饲料添加剂技术通则（</w:t>
      </w:r>
      <w:r>
        <w:rPr>
          <w:rFonts w:hint="eastAsia"/>
          <w:sz w:val="24"/>
          <w:szCs w:val="24"/>
        </w:rPr>
        <w:t>NY/T 1444-2007</w:t>
      </w:r>
      <w:r>
        <w:rPr>
          <w:rFonts w:hint="eastAsia"/>
          <w:sz w:val="24"/>
          <w:szCs w:val="24"/>
        </w:rPr>
        <w:t>）、青贮设施建设技术规范</w:t>
      </w:r>
      <w:r>
        <w:rPr>
          <w:rFonts w:hint="eastAsia"/>
          <w:sz w:val="24"/>
          <w:szCs w:val="24"/>
        </w:rPr>
        <w:t xml:space="preserve"> </w:t>
      </w:r>
      <w:r>
        <w:rPr>
          <w:rFonts w:hint="eastAsia"/>
          <w:sz w:val="24"/>
          <w:szCs w:val="24"/>
        </w:rPr>
        <w:t>青贮窖（</w:t>
      </w:r>
      <w:r>
        <w:rPr>
          <w:rFonts w:hint="eastAsia"/>
          <w:sz w:val="24"/>
          <w:szCs w:val="24"/>
        </w:rPr>
        <w:t>NY/T 2698</w:t>
      </w:r>
      <w:r>
        <w:rPr>
          <w:rFonts w:hint="eastAsia"/>
          <w:sz w:val="24"/>
          <w:szCs w:val="24"/>
        </w:rPr>
        <w:t>）和中华人民共和国农业农村部</w:t>
      </w:r>
      <w:r>
        <w:rPr>
          <w:rFonts w:hint="eastAsia"/>
          <w:sz w:val="24"/>
          <w:szCs w:val="24"/>
        </w:rPr>
        <w:t xml:space="preserve"> </w:t>
      </w:r>
      <w:r>
        <w:rPr>
          <w:rFonts w:hint="eastAsia"/>
          <w:sz w:val="24"/>
          <w:szCs w:val="24"/>
        </w:rPr>
        <w:t>饲料添加剂安全使用规范等</w:t>
      </w:r>
      <w:r>
        <w:rPr>
          <w:rFonts w:hint="eastAsia"/>
          <w:sz w:val="24"/>
          <w:szCs w:val="24"/>
        </w:rPr>
        <w:t>14</w:t>
      </w:r>
      <w:r>
        <w:rPr>
          <w:rFonts w:hint="eastAsia"/>
          <w:sz w:val="24"/>
          <w:szCs w:val="24"/>
        </w:rPr>
        <w:t>个国家、地方和行业标准。</w:t>
      </w:r>
    </w:p>
    <w:p w14:paraId="6E1663CB" w14:textId="77777777" w:rsidR="00811291" w:rsidRDefault="00000000">
      <w:pPr>
        <w:spacing w:line="360" w:lineRule="auto"/>
        <w:ind w:firstLine="420"/>
        <w:outlineLvl w:val="2"/>
        <w:rPr>
          <w:sz w:val="24"/>
          <w:szCs w:val="24"/>
        </w:rPr>
      </w:pPr>
      <w:bookmarkStart w:id="19" w:name="_Toc8405"/>
      <w:r>
        <w:rPr>
          <w:rFonts w:hint="eastAsia"/>
          <w:sz w:val="24"/>
          <w:szCs w:val="24"/>
        </w:rPr>
        <w:t>（</w:t>
      </w:r>
      <w:r>
        <w:rPr>
          <w:rFonts w:hint="eastAsia"/>
          <w:sz w:val="24"/>
          <w:szCs w:val="24"/>
        </w:rPr>
        <w:t>3</w:t>
      </w:r>
      <w:r>
        <w:rPr>
          <w:rFonts w:hint="eastAsia"/>
          <w:sz w:val="24"/>
          <w:szCs w:val="24"/>
        </w:rPr>
        <w:t>）术语与定义</w:t>
      </w:r>
      <w:bookmarkEnd w:id="19"/>
    </w:p>
    <w:p w14:paraId="6BFF47D2" w14:textId="77777777" w:rsidR="00811291" w:rsidRDefault="00000000">
      <w:pPr>
        <w:spacing w:line="360" w:lineRule="auto"/>
        <w:ind w:firstLine="420"/>
        <w:rPr>
          <w:sz w:val="24"/>
          <w:szCs w:val="24"/>
        </w:rPr>
      </w:pPr>
      <w:r>
        <w:rPr>
          <w:rFonts w:hint="eastAsia"/>
          <w:sz w:val="24"/>
          <w:szCs w:val="24"/>
        </w:rPr>
        <w:t>本标准中的术语是参考国内外相关文献资料，经标准起草小组讨论、征求意见、预审后确定。</w:t>
      </w:r>
    </w:p>
    <w:p w14:paraId="3B7344D7" w14:textId="77777777" w:rsidR="00811291" w:rsidRDefault="00000000">
      <w:pPr>
        <w:spacing w:line="360" w:lineRule="auto"/>
        <w:outlineLvl w:val="0"/>
        <w:rPr>
          <w:b/>
          <w:color w:val="000000"/>
          <w:sz w:val="28"/>
          <w:szCs w:val="28"/>
        </w:rPr>
      </w:pPr>
      <w:bookmarkStart w:id="20" w:name="_Toc12956"/>
      <w:bookmarkStart w:id="21" w:name="_Toc11619"/>
      <w:bookmarkStart w:id="22" w:name="_Toc20529"/>
      <w:r>
        <w:rPr>
          <w:rFonts w:hint="eastAsia"/>
          <w:b/>
          <w:color w:val="000000"/>
          <w:sz w:val="28"/>
          <w:szCs w:val="28"/>
        </w:rPr>
        <w:t>五</w:t>
      </w:r>
      <w:r>
        <w:rPr>
          <w:b/>
          <w:color w:val="000000"/>
          <w:sz w:val="28"/>
          <w:szCs w:val="28"/>
        </w:rPr>
        <w:t>、</w:t>
      </w:r>
      <w:r>
        <w:rPr>
          <w:rFonts w:hint="eastAsia"/>
          <w:b/>
          <w:color w:val="000000"/>
          <w:sz w:val="28"/>
          <w:szCs w:val="28"/>
        </w:rPr>
        <w:t>与现行法律法规和强制性标准的关系</w:t>
      </w:r>
      <w:bookmarkEnd w:id="20"/>
      <w:bookmarkEnd w:id="21"/>
      <w:bookmarkEnd w:id="22"/>
    </w:p>
    <w:p w14:paraId="5024C831" w14:textId="77777777" w:rsidR="00811291" w:rsidRDefault="00000000">
      <w:pPr>
        <w:spacing w:line="360" w:lineRule="auto"/>
        <w:ind w:firstLine="420"/>
        <w:rPr>
          <w:bCs/>
          <w:sz w:val="24"/>
          <w:szCs w:val="24"/>
        </w:rPr>
      </w:pPr>
      <w:r>
        <w:rPr>
          <w:rFonts w:hAnsi="宋体" w:cs="宋体" w:hint="eastAsia"/>
          <w:sz w:val="24"/>
          <w:szCs w:val="24"/>
        </w:rPr>
        <w:t>本标准与现行法律法规和强制性标准没有冲突。</w:t>
      </w:r>
    </w:p>
    <w:p w14:paraId="2E20E2B5" w14:textId="77777777" w:rsidR="00811291" w:rsidRDefault="00000000">
      <w:pPr>
        <w:pStyle w:val="af2"/>
        <w:spacing w:line="360" w:lineRule="auto"/>
        <w:ind w:firstLineChars="0" w:firstLine="0"/>
        <w:outlineLvl w:val="0"/>
        <w:rPr>
          <w:rFonts w:ascii="Times New Roman"/>
          <w:b/>
          <w:kern w:val="2"/>
          <w:sz w:val="28"/>
          <w:szCs w:val="28"/>
        </w:rPr>
      </w:pPr>
      <w:bookmarkStart w:id="23" w:name="_Toc28681"/>
      <w:r>
        <w:rPr>
          <w:rFonts w:ascii="Times New Roman" w:hint="eastAsia"/>
          <w:b/>
          <w:kern w:val="2"/>
          <w:sz w:val="28"/>
          <w:szCs w:val="28"/>
        </w:rPr>
        <w:t>六、标准主要内容说明</w:t>
      </w:r>
      <w:bookmarkEnd w:id="23"/>
    </w:p>
    <w:p w14:paraId="3EA60A9A" w14:textId="77777777" w:rsidR="00811291" w:rsidRDefault="00000000">
      <w:pPr>
        <w:spacing w:line="360" w:lineRule="auto"/>
        <w:ind w:firstLine="420"/>
        <w:outlineLvl w:val="1"/>
        <w:rPr>
          <w:sz w:val="24"/>
          <w:szCs w:val="24"/>
        </w:rPr>
      </w:pPr>
      <w:bookmarkStart w:id="24" w:name="_Toc2665"/>
      <w:r>
        <w:rPr>
          <w:rFonts w:hint="eastAsia"/>
          <w:sz w:val="24"/>
          <w:szCs w:val="24"/>
        </w:rPr>
        <w:t>1</w:t>
      </w:r>
      <w:r>
        <w:rPr>
          <w:rFonts w:hint="eastAsia"/>
          <w:sz w:val="24"/>
          <w:szCs w:val="24"/>
        </w:rPr>
        <w:t>、原料选择与预处理</w:t>
      </w:r>
      <w:bookmarkEnd w:id="24"/>
    </w:p>
    <w:p w14:paraId="02F18F6A" w14:textId="77777777" w:rsidR="00811291" w:rsidRDefault="00000000">
      <w:pPr>
        <w:spacing w:line="360" w:lineRule="auto"/>
        <w:ind w:firstLine="420"/>
        <w:rPr>
          <w:sz w:val="24"/>
          <w:szCs w:val="24"/>
        </w:rPr>
      </w:pPr>
      <w:r>
        <w:rPr>
          <w:sz w:val="24"/>
          <w:szCs w:val="24"/>
        </w:rPr>
        <w:lastRenderedPageBreak/>
        <w:t>选择当天采菇后废弃的新鲜菌糠为原料，剔除塑料薄膜、木条等杂质</w:t>
      </w:r>
      <w:r>
        <w:rPr>
          <w:rFonts w:hint="eastAsia"/>
          <w:sz w:val="24"/>
          <w:szCs w:val="24"/>
        </w:rPr>
        <w:t>以及霉变、发黑等污染部分后，</w:t>
      </w:r>
      <w:r>
        <w:rPr>
          <w:sz w:val="24"/>
          <w:szCs w:val="24"/>
        </w:rPr>
        <w:t>进行粉碎</w:t>
      </w:r>
      <w:r>
        <w:rPr>
          <w:rFonts w:hint="eastAsia"/>
          <w:sz w:val="24"/>
          <w:szCs w:val="24"/>
        </w:rPr>
        <w:t>，调节含水量为</w:t>
      </w:r>
      <w:r>
        <w:rPr>
          <w:rFonts w:hint="eastAsia"/>
          <w:sz w:val="24"/>
          <w:szCs w:val="24"/>
        </w:rPr>
        <w:t>55%-65%</w:t>
      </w:r>
      <w:r>
        <w:rPr>
          <w:rFonts w:hint="eastAsia"/>
          <w:sz w:val="24"/>
          <w:szCs w:val="24"/>
        </w:rPr>
        <w:t>，</w:t>
      </w:r>
      <w:r>
        <w:rPr>
          <w:sz w:val="24"/>
          <w:szCs w:val="24"/>
        </w:rPr>
        <w:t>菌糠卫生指标应符合</w:t>
      </w:r>
      <w:r>
        <w:rPr>
          <w:sz w:val="24"/>
          <w:szCs w:val="24"/>
        </w:rPr>
        <w:t>GB 13078—2017</w:t>
      </w:r>
      <w:r>
        <w:rPr>
          <w:rFonts w:hint="eastAsia"/>
          <w:sz w:val="24"/>
          <w:szCs w:val="24"/>
        </w:rPr>
        <w:t>《饲料卫生标准》</w:t>
      </w:r>
      <w:r>
        <w:rPr>
          <w:sz w:val="24"/>
          <w:szCs w:val="24"/>
        </w:rPr>
        <w:t>的要求。</w:t>
      </w:r>
    </w:p>
    <w:p w14:paraId="08178457" w14:textId="77777777" w:rsidR="00811291" w:rsidRDefault="00000000">
      <w:pPr>
        <w:numPr>
          <w:ilvl w:val="0"/>
          <w:numId w:val="3"/>
        </w:numPr>
        <w:spacing w:line="360" w:lineRule="auto"/>
        <w:ind w:firstLine="420"/>
        <w:outlineLvl w:val="1"/>
        <w:rPr>
          <w:sz w:val="24"/>
          <w:szCs w:val="24"/>
        </w:rPr>
      </w:pPr>
      <w:bookmarkStart w:id="25" w:name="_Toc639"/>
      <w:r>
        <w:rPr>
          <w:rFonts w:hint="eastAsia"/>
          <w:sz w:val="24"/>
          <w:szCs w:val="24"/>
        </w:rPr>
        <w:t>添加剂和辅料的选择</w:t>
      </w:r>
      <w:bookmarkEnd w:id="25"/>
    </w:p>
    <w:p w14:paraId="093CC53E" w14:textId="77777777" w:rsidR="00811291" w:rsidRDefault="00000000">
      <w:pPr>
        <w:spacing w:line="360" w:lineRule="auto"/>
        <w:ind w:firstLine="420"/>
        <w:rPr>
          <w:sz w:val="24"/>
          <w:szCs w:val="24"/>
        </w:rPr>
      </w:pPr>
      <w:r>
        <w:rPr>
          <w:sz w:val="24"/>
          <w:szCs w:val="24"/>
        </w:rPr>
        <w:t>选用符合《饲料添加剂品种目录（</w:t>
      </w:r>
      <w:r>
        <w:rPr>
          <w:sz w:val="24"/>
          <w:szCs w:val="24"/>
        </w:rPr>
        <w:t>2013</w:t>
      </w:r>
      <w:r>
        <w:rPr>
          <w:sz w:val="24"/>
          <w:szCs w:val="24"/>
        </w:rPr>
        <w:t>）》、微生物饲料添加剂通用要求（</w:t>
      </w:r>
      <w:r>
        <w:rPr>
          <w:sz w:val="24"/>
          <w:szCs w:val="24"/>
        </w:rPr>
        <w:t>GB/T 23181-2008</w:t>
      </w:r>
      <w:r>
        <w:rPr>
          <w:sz w:val="24"/>
          <w:szCs w:val="24"/>
        </w:rPr>
        <w:t>）</w:t>
      </w:r>
      <w:r>
        <w:rPr>
          <w:rFonts w:hint="eastAsia"/>
          <w:sz w:val="24"/>
          <w:szCs w:val="24"/>
        </w:rPr>
        <w:t>、</w:t>
      </w:r>
      <w:r>
        <w:rPr>
          <w:sz w:val="24"/>
          <w:szCs w:val="24"/>
        </w:rPr>
        <w:t>微生物饲料添加剂技术通则（</w:t>
      </w:r>
      <w:r>
        <w:rPr>
          <w:sz w:val="24"/>
          <w:szCs w:val="24"/>
        </w:rPr>
        <w:t>NY/T 1444-2007</w:t>
      </w:r>
      <w:r>
        <w:rPr>
          <w:sz w:val="24"/>
          <w:szCs w:val="24"/>
        </w:rPr>
        <w:t>）和饲料卫生标准（</w:t>
      </w:r>
      <w:r>
        <w:rPr>
          <w:sz w:val="24"/>
          <w:szCs w:val="24"/>
        </w:rPr>
        <w:t>GB 13078-2017</w:t>
      </w:r>
      <w:r>
        <w:rPr>
          <w:sz w:val="24"/>
          <w:szCs w:val="24"/>
        </w:rPr>
        <w:t>）等要求的添加剂和辅料，充分混合均匀后装入聚乙烯袋真空密封，控制环境温度为</w:t>
      </w:r>
      <w:r>
        <w:rPr>
          <w:sz w:val="24"/>
          <w:szCs w:val="24"/>
        </w:rPr>
        <w:t>25℃</w:t>
      </w:r>
      <w:r>
        <w:rPr>
          <w:sz w:val="24"/>
          <w:szCs w:val="24"/>
        </w:rPr>
        <w:t>～</w:t>
      </w:r>
      <w:r>
        <w:rPr>
          <w:sz w:val="24"/>
          <w:szCs w:val="24"/>
        </w:rPr>
        <w:t>35℃</w:t>
      </w:r>
      <w:r>
        <w:rPr>
          <w:rFonts w:hint="eastAsia"/>
          <w:sz w:val="24"/>
          <w:szCs w:val="24"/>
        </w:rPr>
        <w:t>，</w:t>
      </w:r>
      <w:r>
        <w:rPr>
          <w:sz w:val="24"/>
          <w:szCs w:val="24"/>
        </w:rPr>
        <w:t>发酵</w:t>
      </w:r>
      <w:r>
        <w:rPr>
          <w:rFonts w:hint="eastAsia"/>
          <w:sz w:val="24"/>
          <w:szCs w:val="24"/>
        </w:rPr>
        <w:t>7</w:t>
      </w:r>
      <w:r>
        <w:rPr>
          <w:rFonts w:hint="eastAsia"/>
          <w:sz w:val="24"/>
          <w:szCs w:val="24"/>
        </w:rPr>
        <w:t>天</w:t>
      </w:r>
      <w:r>
        <w:rPr>
          <w:rFonts w:hint="eastAsia"/>
          <w:sz w:val="24"/>
          <w:szCs w:val="24"/>
        </w:rPr>
        <w:t>-14</w:t>
      </w:r>
      <w:r>
        <w:rPr>
          <w:sz w:val="24"/>
          <w:szCs w:val="24"/>
        </w:rPr>
        <w:t>天后取样</w:t>
      </w:r>
      <w:r>
        <w:rPr>
          <w:rFonts w:hint="eastAsia"/>
          <w:sz w:val="24"/>
          <w:szCs w:val="24"/>
        </w:rPr>
        <w:t>，使用</w:t>
      </w:r>
      <w:r>
        <w:rPr>
          <w:rFonts w:hint="eastAsia"/>
          <w:sz w:val="24"/>
          <w:szCs w:val="24"/>
        </w:rPr>
        <w:t>GB</w:t>
      </w:r>
      <w:r>
        <w:rPr>
          <w:rFonts w:hint="eastAsia"/>
          <w:sz w:val="24"/>
          <w:szCs w:val="24"/>
        </w:rPr>
        <w:t>或其他通用化学分析方法测定饲料营养成分和发酵品质</w:t>
      </w:r>
      <w:r>
        <w:rPr>
          <w:sz w:val="24"/>
          <w:szCs w:val="24"/>
        </w:rPr>
        <w:t>。</w:t>
      </w:r>
      <w:r>
        <w:rPr>
          <w:rFonts w:hint="eastAsia"/>
          <w:sz w:val="24"/>
          <w:szCs w:val="24"/>
        </w:rPr>
        <w:t>如图</w:t>
      </w:r>
      <w:r>
        <w:rPr>
          <w:rFonts w:hint="eastAsia"/>
          <w:sz w:val="24"/>
          <w:szCs w:val="24"/>
        </w:rPr>
        <w:t>1</w:t>
      </w:r>
      <w:r>
        <w:rPr>
          <w:rFonts w:hint="eastAsia"/>
          <w:sz w:val="24"/>
          <w:szCs w:val="24"/>
        </w:rPr>
        <w:t>所示，联合添加乳酸（</w:t>
      </w:r>
      <w:r>
        <w:rPr>
          <w:rFonts w:hint="eastAsia"/>
          <w:sz w:val="24"/>
          <w:szCs w:val="24"/>
        </w:rPr>
        <w:t>LA</w:t>
      </w:r>
      <w:r>
        <w:rPr>
          <w:rFonts w:hint="eastAsia"/>
          <w:sz w:val="24"/>
          <w:szCs w:val="24"/>
        </w:rPr>
        <w:t>）和糖蜜、联合添加乳酸、糖蜜和象草能够有效减少食用菌菌糠发酵过程中的干物质损失，提高发酵末期的干物质含量；单独添加乳酸、联合添加乳酸和糖蜜均能有效保存食用菌菌糠发酵过程中的粗蛋白，维持动物饲喂所需的蛋白水平，不同添加剂和辅料处理之间中性洗涤纤维和酸性洗涤纤维含量没有明显差异。</w:t>
      </w:r>
    </w:p>
    <w:tbl>
      <w:tblPr>
        <w:tblStyle w:val="a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1"/>
        <w:gridCol w:w="4261"/>
      </w:tblGrid>
      <w:tr w:rsidR="00811291" w14:paraId="06DC8EC4" w14:textId="77777777">
        <w:trPr>
          <w:jc w:val="center"/>
        </w:trPr>
        <w:tc>
          <w:tcPr>
            <w:tcW w:w="4261" w:type="dxa"/>
            <w:tcBorders>
              <w:tl2br w:val="nil"/>
              <w:tr2bl w:val="nil"/>
            </w:tcBorders>
          </w:tcPr>
          <w:p w14:paraId="7B679881" w14:textId="77777777" w:rsidR="00811291" w:rsidRDefault="00000000">
            <w:pPr>
              <w:spacing w:line="360" w:lineRule="auto"/>
              <w:jc w:val="center"/>
              <w:rPr>
                <w:sz w:val="24"/>
                <w:szCs w:val="24"/>
              </w:rPr>
            </w:pPr>
            <w:r>
              <w:rPr>
                <w:rFonts w:hint="eastAsia"/>
                <w:noProof/>
                <w:sz w:val="24"/>
                <w:szCs w:val="24"/>
              </w:rPr>
              <w:drawing>
                <wp:inline distT="0" distB="0" distL="114300" distR="114300" wp14:anchorId="0244DFA9" wp14:editId="27451244">
                  <wp:extent cx="1844040" cy="2160270"/>
                  <wp:effectExtent l="0" t="0" r="3810" b="11430"/>
                  <wp:docPr id="8" name="图片 8"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1"/>
                          <pic:cNvPicPr>
                            <a:picLocks noChangeAspect="1"/>
                          </pic:cNvPicPr>
                        </pic:nvPicPr>
                        <pic:blipFill>
                          <a:blip r:embed="rId8"/>
                          <a:stretch>
                            <a:fillRect/>
                          </a:stretch>
                        </pic:blipFill>
                        <pic:spPr>
                          <a:xfrm>
                            <a:off x="0" y="0"/>
                            <a:ext cx="1844040" cy="2160270"/>
                          </a:xfrm>
                          <a:prstGeom prst="rect">
                            <a:avLst/>
                          </a:prstGeom>
                        </pic:spPr>
                      </pic:pic>
                    </a:graphicData>
                  </a:graphic>
                </wp:inline>
              </w:drawing>
            </w:r>
          </w:p>
        </w:tc>
        <w:tc>
          <w:tcPr>
            <w:tcW w:w="4261" w:type="dxa"/>
            <w:tcBorders>
              <w:tl2br w:val="nil"/>
              <w:tr2bl w:val="nil"/>
            </w:tcBorders>
          </w:tcPr>
          <w:p w14:paraId="50527843" w14:textId="77777777" w:rsidR="00811291" w:rsidRDefault="00000000">
            <w:pPr>
              <w:spacing w:line="360" w:lineRule="auto"/>
              <w:jc w:val="center"/>
              <w:rPr>
                <w:sz w:val="24"/>
                <w:szCs w:val="24"/>
              </w:rPr>
            </w:pPr>
            <w:r>
              <w:rPr>
                <w:rFonts w:hint="eastAsia"/>
                <w:noProof/>
                <w:sz w:val="24"/>
                <w:szCs w:val="24"/>
              </w:rPr>
              <w:drawing>
                <wp:inline distT="0" distB="0" distL="114300" distR="114300" wp14:anchorId="1FDA7334" wp14:editId="1A825AB9">
                  <wp:extent cx="1823085" cy="2160270"/>
                  <wp:effectExtent l="0" t="0" r="5715" b="11430"/>
                  <wp:docPr id="5" name="图片 5" descr="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8"/>
                          <pic:cNvPicPr>
                            <a:picLocks noChangeAspect="1"/>
                          </pic:cNvPicPr>
                        </pic:nvPicPr>
                        <pic:blipFill>
                          <a:blip r:embed="rId9"/>
                          <a:stretch>
                            <a:fillRect/>
                          </a:stretch>
                        </pic:blipFill>
                        <pic:spPr>
                          <a:xfrm>
                            <a:off x="0" y="0"/>
                            <a:ext cx="1823085" cy="2160270"/>
                          </a:xfrm>
                          <a:prstGeom prst="rect">
                            <a:avLst/>
                          </a:prstGeom>
                        </pic:spPr>
                      </pic:pic>
                    </a:graphicData>
                  </a:graphic>
                </wp:inline>
              </w:drawing>
            </w:r>
          </w:p>
        </w:tc>
      </w:tr>
      <w:tr w:rsidR="00811291" w14:paraId="6D574AC8" w14:textId="77777777">
        <w:trPr>
          <w:jc w:val="center"/>
        </w:trPr>
        <w:tc>
          <w:tcPr>
            <w:tcW w:w="4261" w:type="dxa"/>
            <w:tcBorders>
              <w:tl2br w:val="nil"/>
              <w:tr2bl w:val="nil"/>
            </w:tcBorders>
          </w:tcPr>
          <w:p w14:paraId="565DA24F" w14:textId="77777777" w:rsidR="00811291" w:rsidRDefault="00000000">
            <w:pPr>
              <w:spacing w:line="360" w:lineRule="auto"/>
              <w:jc w:val="center"/>
              <w:rPr>
                <w:sz w:val="24"/>
                <w:szCs w:val="24"/>
              </w:rPr>
            </w:pPr>
            <w:r>
              <w:rPr>
                <w:rFonts w:hint="eastAsia"/>
                <w:noProof/>
                <w:sz w:val="24"/>
                <w:szCs w:val="24"/>
              </w:rPr>
              <w:drawing>
                <wp:inline distT="0" distB="0" distL="114300" distR="114300" wp14:anchorId="15DF33F7" wp14:editId="2ED94C85">
                  <wp:extent cx="1821180" cy="2160270"/>
                  <wp:effectExtent l="0" t="0" r="7620" b="11430"/>
                  <wp:docPr id="18" name="图片 18"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6"/>
                          <pic:cNvPicPr>
                            <a:picLocks noChangeAspect="1"/>
                          </pic:cNvPicPr>
                        </pic:nvPicPr>
                        <pic:blipFill>
                          <a:blip r:embed="rId10"/>
                          <a:stretch>
                            <a:fillRect/>
                          </a:stretch>
                        </pic:blipFill>
                        <pic:spPr>
                          <a:xfrm>
                            <a:off x="0" y="0"/>
                            <a:ext cx="1821180" cy="2160270"/>
                          </a:xfrm>
                          <a:prstGeom prst="rect">
                            <a:avLst/>
                          </a:prstGeom>
                        </pic:spPr>
                      </pic:pic>
                    </a:graphicData>
                  </a:graphic>
                </wp:inline>
              </w:drawing>
            </w:r>
          </w:p>
        </w:tc>
        <w:tc>
          <w:tcPr>
            <w:tcW w:w="4261" w:type="dxa"/>
            <w:tcBorders>
              <w:tl2br w:val="nil"/>
              <w:tr2bl w:val="nil"/>
            </w:tcBorders>
          </w:tcPr>
          <w:p w14:paraId="612897E0" w14:textId="77777777" w:rsidR="00811291" w:rsidRDefault="00000000">
            <w:pPr>
              <w:spacing w:line="360" w:lineRule="auto"/>
              <w:jc w:val="center"/>
              <w:rPr>
                <w:sz w:val="24"/>
                <w:szCs w:val="24"/>
              </w:rPr>
            </w:pPr>
            <w:r>
              <w:rPr>
                <w:rFonts w:hint="eastAsia"/>
                <w:noProof/>
                <w:sz w:val="24"/>
                <w:szCs w:val="24"/>
              </w:rPr>
              <w:drawing>
                <wp:inline distT="0" distB="0" distL="114300" distR="114300" wp14:anchorId="61595039" wp14:editId="3A67869B">
                  <wp:extent cx="1821180" cy="2160270"/>
                  <wp:effectExtent l="0" t="0" r="7620" b="11430"/>
                  <wp:docPr id="19" name="图片 19" descr="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7"/>
                          <pic:cNvPicPr>
                            <a:picLocks noChangeAspect="1"/>
                          </pic:cNvPicPr>
                        </pic:nvPicPr>
                        <pic:blipFill>
                          <a:blip r:embed="rId11"/>
                          <a:stretch>
                            <a:fillRect/>
                          </a:stretch>
                        </pic:blipFill>
                        <pic:spPr>
                          <a:xfrm>
                            <a:off x="0" y="0"/>
                            <a:ext cx="1821180" cy="2160270"/>
                          </a:xfrm>
                          <a:prstGeom prst="rect">
                            <a:avLst/>
                          </a:prstGeom>
                        </pic:spPr>
                      </pic:pic>
                    </a:graphicData>
                  </a:graphic>
                </wp:inline>
              </w:drawing>
            </w:r>
          </w:p>
        </w:tc>
      </w:tr>
    </w:tbl>
    <w:p w14:paraId="48DCD5C3" w14:textId="77777777" w:rsidR="00811291" w:rsidRDefault="00000000">
      <w:pPr>
        <w:spacing w:line="360" w:lineRule="auto"/>
        <w:ind w:firstLine="420"/>
        <w:jc w:val="center"/>
        <w:rPr>
          <w:sz w:val="24"/>
          <w:szCs w:val="24"/>
        </w:rPr>
      </w:pPr>
      <w:r>
        <w:rPr>
          <w:sz w:val="24"/>
          <w:szCs w:val="24"/>
        </w:rPr>
        <w:lastRenderedPageBreak/>
        <w:t>图</w:t>
      </w:r>
      <w:r>
        <w:rPr>
          <w:sz w:val="24"/>
          <w:szCs w:val="24"/>
        </w:rPr>
        <w:t xml:space="preserve">1 </w:t>
      </w:r>
      <w:r>
        <w:rPr>
          <w:sz w:val="24"/>
          <w:szCs w:val="24"/>
        </w:rPr>
        <w:t>不同添加剂</w:t>
      </w:r>
      <w:r>
        <w:rPr>
          <w:rFonts w:hint="eastAsia"/>
          <w:sz w:val="24"/>
          <w:szCs w:val="24"/>
        </w:rPr>
        <w:t>和辅料</w:t>
      </w:r>
      <w:r>
        <w:rPr>
          <w:sz w:val="24"/>
          <w:szCs w:val="24"/>
        </w:rPr>
        <w:t>处理的</w:t>
      </w:r>
      <w:r>
        <w:rPr>
          <w:rFonts w:hint="eastAsia"/>
          <w:sz w:val="24"/>
          <w:szCs w:val="24"/>
        </w:rPr>
        <w:t>食用菌菌糠发酵后</w:t>
      </w:r>
      <w:r>
        <w:rPr>
          <w:sz w:val="24"/>
          <w:szCs w:val="24"/>
        </w:rPr>
        <w:t>营养品质</w:t>
      </w:r>
    </w:p>
    <w:p w14:paraId="5B018476" w14:textId="77777777" w:rsidR="00811291" w:rsidRDefault="00000000">
      <w:pPr>
        <w:spacing w:line="360" w:lineRule="auto"/>
        <w:ind w:firstLine="420"/>
        <w:rPr>
          <w:sz w:val="24"/>
          <w:szCs w:val="24"/>
        </w:rPr>
      </w:pPr>
      <w:r>
        <w:rPr>
          <w:sz w:val="24"/>
          <w:szCs w:val="24"/>
        </w:rPr>
        <w:t>如</w:t>
      </w:r>
      <w:r>
        <w:rPr>
          <w:rFonts w:hint="eastAsia"/>
          <w:sz w:val="24"/>
          <w:szCs w:val="24"/>
        </w:rPr>
        <w:t>图</w:t>
      </w:r>
      <w:r>
        <w:rPr>
          <w:rFonts w:hint="eastAsia"/>
          <w:sz w:val="24"/>
          <w:szCs w:val="24"/>
        </w:rPr>
        <w:t>2</w:t>
      </w:r>
      <w:r>
        <w:rPr>
          <w:sz w:val="24"/>
          <w:szCs w:val="24"/>
        </w:rPr>
        <w:t>所示，单独或联合添加乳酸、糖蜜和象草均能</w:t>
      </w:r>
      <w:r>
        <w:rPr>
          <w:rFonts w:hint="eastAsia"/>
          <w:sz w:val="24"/>
          <w:szCs w:val="24"/>
        </w:rPr>
        <w:t>有效降低食用菌菌糠发酵饲料的</w:t>
      </w:r>
      <w:r>
        <w:rPr>
          <w:rFonts w:hint="eastAsia"/>
          <w:sz w:val="24"/>
          <w:szCs w:val="24"/>
        </w:rPr>
        <w:t>pH</w:t>
      </w:r>
      <w:r>
        <w:rPr>
          <w:rFonts w:hint="eastAsia"/>
          <w:sz w:val="24"/>
          <w:szCs w:val="24"/>
        </w:rPr>
        <w:t>和氨态氮含量，其中，乳酸和糖蜜联合添加、乳酸、糖蜜和象草联合添加食用菌菌糠发酵饲料的氨态氮含量最低，抑制效果最显著；联合添加乳酸和象草、联合添加乳酸、糖蜜和象草均能有效提高食用菌菌糠发酵饲料的粗脂肪含量。</w:t>
      </w:r>
    </w:p>
    <w:tbl>
      <w:tblPr>
        <w:tblStyle w:val="ae"/>
        <w:tblW w:w="0" w:type="auto"/>
        <w:jc w:val="center"/>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785"/>
        <w:gridCol w:w="2868"/>
        <w:gridCol w:w="2895"/>
      </w:tblGrid>
      <w:tr w:rsidR="00811291" w14:paraId="6B8B3468" w14:textId="77777777">
        <w:trPr>
          <w:trHeight w:val="90"/>
          <w:jc w:val="center"/>
        </w:trPr>
        <w:tc>
          <w:tcPr>
            <w:tcW w:w="2840" w:type="dxa"/>
            <w:tcBorders>
              <w:tl2br w:val="nil"/>
              <w:tr2bl w:val="nil"/>
            </w:tcBorders>
          </w:tcPr>
          <w:p w14:paraId="64438EE9" w14:textId="77777777" w:rsidR="00811291" w:rsidRDefault="00000000">
            <w:pPr>
              <w:pStyle w:val="af2"/>
              <w:widowControl/>
              <w:spacing w:line="360" w:lineRule="auto"/>
              <w:ind w:firstLine="480"/>
              <w:jc w:val="center"/>
              <w:rPr>
                <w:rFonts w:ascii="Times New Roman"/>
                <w:sz w:val="24"/>
                <w:szCs w:val="24"/>
              </w:rPr>
            </w:pPr>
            <w:r>
              <w:rPr>
                <w:rFonts w:ascii="Times New Roman"/>
                <w:noProof/>
                <w:sz w:val="24"/>
                <w:szCs w:val="24"/>
              </w:rPr>
              <w:drawing>
                <wp:anchor distT="0" distB="0" distL="114300" distR="114300" simplePos="0" relativeHeight="251659264" behindDoc="0" locked="0" layoutInCell="1" allowOverlap="1" wp14:anchorId="30A3B15D" wp14:editId="12D81A73">
                  <wp:simplePos x="0" y="0"/>
                  <wp:positionH relativeFrom="column">
                    <wp:posOffset>304800</wp:posOffset>
                  </wp:positionH>
                  <wp:positionV relativeFrom="paragraph">
                    <wp:posOffset>3810</wp:posOffset>
                  </wp:positionV>
                  <wp:extent cx="1770380" cy="2160270"/>
                  <wp:effectExtent l="0" t="0" r="1270" b="11430"/>
                  <wp:wrapSquare wrapText="bothSides"/>
                  <wp:docPr id="11" name="图片 11" desc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3"/>
                          <pic:cNvPicPr>
                            <a:picLocks noChangeAspect="1"/>
                          </pic:cNvPicPr>
                        </pic:nvPicPr>
                        <pic:blipFill>
                          <a:blip r:embed="rId12"/>
                          <a:stretch>
                            <a:fillRect/>
                          </a:stretch>
                        </pic:blipFill>
                        <pic:spPr>
                          <a:xfrm>
                            <a:off x="0" y="0"/>
                            <a:ext cx="1770380" cy="2160270"/>
                          </a:xfrm>
                          <a:prstGeom prst="rect">
                            <a:avLst/>
                          </a:prstGeom>
                        </pic:spPr>
                      </pic:pic>
                    </a:graphicData>
                  </a:graphic>
                </wp:anchor>
              </w:drawing>
            </w:r>
          </w:p>
        </w:tc>
        <w:tc>
          <w:tcPr>
            <w:tcW w:w="2841" w:type="dxa"/>
            <w:tcBorders>
              <w:tl2br w:val="nil"/>
              <w:tr2bl w:val="nil"/>
            </w:tcBorders>
          </w:tcPr>
          <w:p w14:paraId="0ECE7E01" w14:textId="77777777" w:rsidR="00811291" w:rsidRDefault="00000000">
            <w:pPr>
              <w:pStyle w:val="af2"/>
              <w:widowControl/>
              <w:spacing w:line="360" w:lineRule="auto"/>
              <w:ind w:firstLine="480"/>
              <w:rPr>
                <w:rFonts w:ascii="Times New Roman"/>
                <w:sz w:val="24"/>
                <w:szCs w:val="24"/>
              </w:rPr>
            </w:pPr>
            <w:r>
              <w:rPr>
                <w:rFonts w:ascii="Times New Roman"/>
                <w:noProof/>
                <w:sz w:val="24"/>
                <w:szCs w:val="24"/>
              </w:rPr>
              <w:drawing>
                <wp:anchor distT="0" distB="0" distL="114300" distR="114300" simplePos="0" relativeHeight="251660288" behindDoc="0" locked="0" layoutInCell="1" allowOverlap="1" wp14:anchorId="077B6334" wp14:editId="239988ED">
                  <wp:simplePos x="0" y="0"/>
                  <wp:positionH relativeFrom="column">
                    <wp:posOffset>-214630</wp:posOffset>
                  </wp:positionH>
                  <wp:positionV relativeFrom="paragraph">
                    <wp:posOffset>3810</wp:posOffset>
                  </wp:positionV>
                  <wp:extent cx="1824355" cy="2160270"/>
                  <wp:effectExtent l="0" t="0" r="4445" b="11430"/>
                  <wp:wrapSquare wrapText="bothSides"/>
                  <wp:docPr id="12" name="图片 12" descr="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4"/>
                          <pic:cNvPicPr>
                            <a:picLocks noChangeAspect="1"/>
                          </pic:cNvPicPr>
                        </pic:nvPicPr>
                        <pic:blipFill>
                          <a:blip r:embed="rId13"/>
                          <a:stretch>
                            <a:fillRect/>
                          </a:stretch>
                        </pic:blipFill>
                        <pic:spPr>
                          <a:xfrm>
                            <a:off x="0" y="0"/>
                            <a:ext cx="1824355" cy="2160270"/>
                          </a:xfrm>
                          <a:prstGeom prst="rect">
                            <a:avLst/>
                          </a:prstGeom>
                        </pic:spPr>
                      </pic:pic>
                    </a:graphicData>
                  </a:graphic>
                </wp:anchor>
              </w:drawing>
            </w:r>
          </w:p>
        </w:tc>
        <w:tc>
          <w:tcPr>
            <w:tcW w:w="2841" w:type="dxa"/>
            <w:tcBorders>
              <w:tl2br w:val="nil"/>
              <w:tr2bl w:val="nil"/>
            </w:tcBorders>
          </w:tcPr>
          <w:p w14:paraId="22C49B6C" w14:textId="77777777" w:rsidR="00811291" w:rsidRDefault="00000000">
            <w:pPr>
              <w:pStyle w:val="af2"/>
              <w:widowControl/>
              <w:spacing w:line="360" w:lineRule="auto"/>
              <w:ind w:firstLineChars="0" w:firstLine="0"/>
              <w:rPr>
                <w:rFonts w:ascii="Times New Roman"/>
                <w:sz w:val="24"/>
                <w:szCs w:val="24"/>
              </w:rPr>
            </w:pPr>
            <w:r>
              <w:rPr>
                <w:rFonts w:ascii="Times New Roman"/>
                <w:noProof/>
                <w:sz w:val="24"/>
                <w:szCs w:val="24"/>
              </w:rPr>
              <w:drawing>
                <wp:anchor distT="0" distB="0" distL="114300" distR="114300" simplePos="0" relativeHeight="251661312" behindDoc="0" locked="0" layoutInCell="1" allowOverlap="1" wp14:anchorId="5426A711" wp14:editId="69E40F24">
                  <wp:simplePos x="0" y="0"/>
                  <wp:positionH relativeFrom="column">
                    <wp:posOffset>-180975</wp:posOffset>
                  </wp:positionH>
                  <wp:positionV relativeFrom="paragraph">
                    <wp:posOffset>3810</wp:posOffset>
                  </wp:positionV>
                  <wp:extent cx="1846580" cy="2160270"/>
                  <wp:effectExtent l="0" t="0" r="1270" b="11430"/>
                  <wp:wrapSquare wrapText="bothSides"/>
                  <wp:docPr id="13" name="图片 13" descr="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5"/>
                          <pic:cNvPicPr>
                            <a:picLocks noChangeAspect="1"/>
                          </pic:cNvPicPr>
                        </pic:nvPicPr>
                        <pic:blipFill>
                          <a:blip r:embed="rId14"/>
                          <a:stretch>
                            <a:fillRect/>
                          </a:stretch>
                        </pic:blipFill>
                        <pic:spPr>
                          <a:xfrm>
                            <a:off x="0" y="0"/>
                            <a:ext cx="1846580" cy="2160270"/>
                          </a:xfrm>
                          <a:prstGeom prst="rect">
                            <a:avLst/>
                          </a:prstGeom>
                        </pic:spPr>
                      </pic:pic>
                    </a:graphicData>
                  </a:graphic>
                </wp:anchor>
              </w:drawing>
            </w:r>
          </w:p>
        </w:tc>
      </w:tr>
    </w:tbl>
    <w:p w14:paraId="56666022" w14:textId="77777777" w:rsidR="00811291" w:rsidRDefault="00000000">
      <w:pPr>
        <w:spacing w:line="360" w:lineRule="auto"/>
        <w:ind w:firstLine="420"/>
        <w:jc w:val="center"/>
        <w:rPr>
          <w:sz w:val="24"/>
          <w:szCs w:val="24"/>
        </w:rPr>
      </w:pPr>
      <w:r>
        <w:rPr>
          <w:sz w:val="24"/>
          <w:szCs w:val="24"/>
        </w:rPr>
        <w:t>图</w:t>
      </w:r>
      <w:r>
        <w:rPr>
          <w:sz w:val="24"/>
          <w:szCs w:val="24"/>
        </w:rPr>
        <w:t xml:space="preserve">2 </w:t>
      </w:r>
      <w:r>
        <w:rPr>
          <w:sz w:val="24"/>
          <w:szCs w:val="24"/>
        </w:rPr>
        <w:t>不同添加剂</w:t>
      </w:r>
      <w:r>
        <w:rPr>
          <w:rFonts w:hint="eastAsia"/>
          <w:sz w:val="24"/>
          <w:szCs w:val="24"/>
        </w:rPr>
        <w:t>和辅料</w:t>
      </w:r>
      <w:r>
        <w:rPr>
          <w:sz w:val="24"/>
          <w:szCs w:val="24"/>
        </w:rPr>
        <w:t>处理的</w:t>
      </w:r>
      <w:r>
        <w:rPr>
          <w:rFonts w:hint="eastAsia"/>
          <w:sz w:val="24"/>
          <w:szCs w:val="24"/>
        </w:rPr>
        <w:t>食用菌菌糠</w:t>
      </w:r>
      <w:r>
        <w:rPr>
          <w:sz w:val="24"/>
          <w:szCs w:val="24"/>
        </w:rPr>
        <w:t>发酵品质</w:t>
      </w:r>
    </w:p>
    <w:p w14:paraId="3082D6FD" w14:textId="77777777" w:rsidR="00811291" w:rsidRDefault="00000000">
      <w:pPr>
        <w:numPr>
          <w:ilvl w:val="0"/>
          <w:numId w:val="3"/>
        </w:numPr>
        <w:spacing w:line="360" w:lineRule="auto"/>
        <w:ind w:firstLine="420"/>
        <w:outlineLvl w:val="1"/>
        <w:rPr>
          <w:sz w:val="24"/>
          <w:szCs w:val="24"/>
        </w:rPr>
      </w:pPr>
      <w:bookmarkStart w:id="26" w:name="_Toc26059"/>
      <w:r>
        <w:rPr>
          <w:rFonts w:hint="eastAsia"/>
          <w:sz w:val="24"/>
          <w:szCs w:val="24"/>
        </w:rPr>
        <w:t>发酵工艺</w:t>
      </w:r>
      <w:bookmarkEnd w:id="26"/>
    </w:p>
    <w:p w14:paraId="267E6B33" w14:textId="77777777" w:rsidR="00811291" w:rsidRDefault="00000000">
      <w:pPr>
        <w:pStyle w:val="a"/>
        <w:numPr>
          <w:ilvl w:val="0"/>
          <w:numId w:val="0"/>
        </w:numPr>
        <w:spacing w:beforeLines="0" w:afterLines="0" w:line="360" w:lineRule="auto"/>
        <w:ind w:leftChars="200" w:left="420"/>
        <w:outlineLvl w:val="2"/>
        <w:rPr>
          <w:rFonts w:ascii="Times New Roman" w:eastAsia="宋体"/>
          <w:bCs/>
          <w:kern w:val="2"/>
          <w:sz w:val="24"/>
          <w:szCs w:val="24"/>
        </w:rPr>
      </w:pPr>
      <w:bookmarkStart w:id="27" w:name="_Toc8822"/>
      <w:bookmarkStart w:id="28" w:name="_Toc13745"/>
      <w:r>
        <w:rPr>
          <w:rFonts w:ascii="Times New Roman" w:eastAsia="宋体"/>
          <w:bCs/>
          <w:kern w:val="2"/>
          <w:sz w:val="24"/>
          <w:szCs w:val="24"/>
        </w:rPr>
        <w:t>（</w:t>
      </w:r>
      <w:r>
        <w:rPr>
          <w:rFonts w:ascii="Times New Roman" w:eastAsia="宋体"/>
          <w:bCs/>
          <w:kern w:val="2"/>
          <w:sz w:val="24"/>
          <w:szCs w:val="24"/>
        </w:rPr>
        <w:t>1</w:t>
      </w:r>
      <w:r>
        <w:rPr>
          <w:rFonts w:ascii="Times New Roman" w:eastAsia="宋体"/>
          <w:bCs/>
          <w:kern w:val="2"/>
          <w:sz w:val="24"/>
          <w:szCs w:val="24"/>
        </w:rPr>
        <w:t>）裹包青贮</w:t>
      </w:r>
      <w:bookmarkEnd w:id="27"/>
      <w:bookmarkEnd w:id="28"/>
    </w:p>
    <w:p w14:paraId="5AE33B59" w14:textId="77777777" w:rsidR="00811291" w:rsidRDefault="00000000">
      <w:pPr>
        <w:pStyle w:val="af2"/>
        <w:spacing w:line="360" w:lineRule="auto"/>
        <w:ind w:firstLine="480"/>
        <w:rPr>
          <w:rFonts w:ascii="Times New Roman"/>
          <w:sz w:val="24"/>
          <w:szCs w:val="24"/>
        </w:rPr>
      </w:pPr>
      <w:r>
        <w:rPr>
          <w:rFonts w:ascii="Times New Roman"/>
          <w:sz w:val="24"/>
          <w:szCs w:val="24"/>
        </w:rPr>
        <w:t>首先将粉碎的食用菌菌糠放入打捆机中打成高密度圆形菌糠捆，要求打捆压实密度应控制在</w:t>
      </w:r>
      <w:r>
        <w:rPr>
          <w:rFonts w:ascii="Times New Roman"/>
          <w:sz w:val="24"/>
          <w:szCs w:val="24"/>
        </w:rPr>
        <w:t>650 kg/m</w:t>
      </w:r>
      <w:r>
        <w:rPr>
          <w:rFonts w:ascii="Times New Roman"/>
          <w:sz w:val="24"/>
          <w:szCs w:val="24"/>
          <w:vertAlign w:val="superscript"/>
        </w:rPr>
        <w:t>3</w:t>
      </w:r>
      <w:r>
        <w:rPr>
          <w:rFonts w:ascii="Times New Roman"/>
          <w:sz w:val="24"/>
          <w:szCs w:val="24"/>
        </w:rPr>
        <w:t>以上，之后使用符合塑料拉伸性能的测定第</w:t>
      </w:r>
      <w:r>
        <w:rPr>
          <w:rFonts w:ascii="Times New Roman"/>
          <w:sz w:val="24"/>
          <w:szCs w:val="24"/>
        </w:rPr>
        <w:t>3</w:t>
      </w:r>
      <w:r>
        <w:rPr>
          <w:rFonts w:ascii="Times New Roman"/>
          <w:sz w:val="24"/>
          <w:szCs w:val="24"/>
        </w:rPr>
        <w:t>部分</w:t>
      </w:r>
      <w:r>
        <w:rPr>
          <w:rFonts w:ascii="Times New Roman"/>
          <w:sz w:val="24"/>
          <w:szCs w:val="24"/>
        </w:rPr>
        <w:t>:</w:t>
      </w:r>
      <w:r>
        <w:rPr>
          <w:rFonts w:ascii="Times New Roman"/>
          <w:sz w:val="24"/>
          <w:szCs w:val="24"/>
        </w:rPr>
        <w:t>薄膜和薄片的试验条件（</w:t>
      </w:r>
      <w:r>
        <w:rPr>
          <w:rFonts w:ascii="Times New Roman"/>
          <w:sz w:val="24"/>
          <w:szCs w:val="24"/>
        </w:rPr>
        <w:t>GB/T 1040.3-2006</w:t>
      </w:r>
      <w:r>
        <w:rPr>
          <w:rFonts w:ascii="Times New Roman"/>
          <w:sz w:val="24"/>
          <w:szCs w:val="24"/>
        </w:rPr>
        <w:t>）规定的拉伸薄膜对草捆进行青贮裹包，根据</w:t>
      </w:r>
      <w:r>
        <w:rPr>
          <w:rFonts w:ascii="Times New Roman"/>
          <w:kern w:val="2"/>
          <w:sz w:val="24"/>
          <w:szCs w:val="24"/>
        </w:rPr>
        <w:t>相关文献，</w:t>
      </w:r>
      <w:r>
        <w:rPr>
          <w:rFonts w:ascii="Times New Roman"/>
          <w:sz w:val="24"/>
          <w:szCs w:val="24"/>
        </w:rPr>
        <w:t>裹包层数应控制在</w:t>
      </w:r>
      <w:r>
        <w:rPr>
          <w:rFonts w:ascii="Times New Roman"/>
          <w:sz w:val="24"/>
          <w:szCs w:val="24"/>
        </w:rPr>
        <w:t>6</w:t>
      </w:r>
      <w:r>
        <w:rPr>
          <w:rFonts w:ascii="Times New Roman"/>
          <w:sz w:val="24"/>
          <w:szCs w:val="24"/>
        </w:rPr>
        <w:t>层以上，以保证厌氧发酵进行、环境温度的稳定性和长期储存。</w:t>
      </w:r>
    </w:p>
    <w:p w14:paraId="5A68AB88" w14:textId="77777777" w:rsidR="00811291" w:rsidRDefault="00000000">
      <w:pPr>
        <w:spacing w:line="360" w:lineRule="auto"/>
        <w:ind w:firstLine="420"/>
        <w:outlineLvl w:val="2"/>
        <w:rPr>
          <w:sz w:val="24"/>
          <w:szCs w:val="24"/>
        </w:rPr>
      </w:pPr>
      <w:bookmarkStart w:id="29" w:name="_Toc846"/>
      <w:r>
        <w:rPr>
          <w:sz w:val="24"/>
          <w:szCs w:val="24"/>
        </w:rPr>
        <w:t>（</w:t>
      </w:r>
      <w:r>
        <w:rPr>
          <w:sz w:val="24"/>
          <w:szCs w:val="24"/>
        </w:rPr>
        <w:t>2</w:t>
      </w:r>
      <w:r>
        <w:rPr>
          <w:sz w:val="24"/>
          <w:szCs w:val="24"/>
        </w:rPr>
        <w:t>）窖贮</w:t>
      </w:r>
      <w:bookmarkEnd w:id="29"/>
    </w:p>
    <w:p w14:paraId="7C897750" w14:textId="77777777" w:rsidR="00811291" w:rsidRDefault="00000000">
      <w:pPr>
        <w:spacing w:line="360" w:lineRule="auto"/>
        <w:ind w:firstLine="420"/>
        <w:rPr>
          <w:sz w:val="24"/>
          <w:szCs w:val="24"/>
        </w:rPr>
      </w:pPr>
      <w:r>
        <w:rPr>
          <w:sz w:val="24"/>
          <w:szCs w:val="24"/>
        </w:rPr>
        <w:t>根据已有研究文献，将食用菌菌糠装入青贮窖前应在青贮窖窖壁铺一层符合</w:t>
      </w:r>
      <w:r>
        <w:rPr>
          <w:sz w:val="24"/>
          <w:szCs w:val="24"/>
        </w:rPr>
        <w:t>GB/T 4455-2019</w:t>
      </w:r>
      <w:r>
        <w:rPr>
          <w:sz w:val="24"/>
          <w:szCs w:val="24"/>
        </w:rPr>
        <w:t>规定的塑料薄膜，并且塑料薄膜要伸到窖底</w:t>
      </w:r>
      <w:r>
        <w:rPr>
          <w:sz w:val="24"/>
          <w:szCs w:val="24"/>
        </w:rPr>
        <w:t>60 cm</w:t>
      </w:r>
      <w:r>
        <w:rPr>
          <w:sz w:val="24"/>
          <w:szCs w:val="24"/>
        </w:rPr>
        <w:t>左右。随后把粉碎的食用菌菌糠由内到外分层装填，当原料每层装填厚度</w:t>
      </w:r>
      <w:r>
        <w:rPr>
          <w:sz w:val="24"/>
          <w:szCs w:val="24"/>
        </w:rPr>
        <w:t>20 cm</w:t>
      </w:r>
      <w:r>
        <w:rPr>
          <w:sz w:val="24"/>
          <w:szCs w:val="24"/>
        </w:rPr>
        <w:t>时，采用压窖机或其他大中型轮式机械进行压实。密度要达到</w:t>
      </w:r>
      <w:r>
        <w:rPr>
          <w:sz w:val="24"/>
          <w:szCs w:val="24"/>
        </w:rPr>
        <w:t>650 kg/m</w:t>
      </w:r>
      <w:r>
        <w:rPr>
          <w:sz w:val="24"/>
          <w:szCs w:val="24"/>
          <w:vertAlign w:val="superscript"/>
        </w:rPr>
        <w:t>3</w:t>
      </w:r>
      <w:r>
        <w:rPr>
          <w:sz w:val="24"/>
          <w:szCs w:val="24"/>
        </w:rPr>
        <w:t>以上。最后，将原料装至高出窖口</w:t>
      </w:r>
      <w:r>
        <w:rPr>
          <w:sz w:val="24"/>
          <w:szCs w:val="24"/>
        </w:rPr>
        <w:t>30 cm-40 cm</w:t>
      </w:r>
      <w:r>
        <w:rPr>
          <w:sz w:val="24"/>
          <w:szCs w:val="24"/>
        </w:rPr>
        <w:t>，呈弧形屋脊状。装填压实作业之后，立即密封。从原料装填至密封不应超过</w:t>
      </w:r>
      <w:r>
        <w:rPr>
          <w:sz w:val="24"/>
          <w:szCs w:val="24"/>
        </w:rPr>
        <w:t>3</w:t>
      </w:r>
      <w:r>
        <w:rPr>
          <w:sz w:val="24"/>
          <w:szCs w:val="24"/>
        </w:rPr>
        <w:t>天，或需采用分段密封的作业措施，每段密封时间不超过</w:t>
      </w:r>
      <w:r>
        <w:rPr>
          <w:sz w:val="24"/>
          <w:szCs w:val="24"/>
        </w:rPr>
        <w:t>3</w:t>
      </w:r>
      <w:r>
        <w:rPr>
          <w:sz w:val="24"/>
          <w:szCs w:val="24"/>
        </w:rPr>
        <w:t>天。</w:t>
      </w:r>
      <w:r>
        <w:rPr>
          <w:sz w:val="24"/>
          <w:szCs w:val="24"/>
        </w:rPr>
        <w:lastRenderedPageBreak/>
        <w:t>宜采用青贮专用无毒、无害高、阻氧的聚乙烯塑料薄膜（内黑外白）进行覆盖，排空气后，塑料薄膜外面放置重物镇压。</w:t>
      </w:r>
    </w:p>
    <w:p w14:paraId="40B34261" w14:textId="77777777" w:rsidR="00811291" w:rsidRDefault="00000000">
      <w:pPr>
        <w:spacing w:line="360" w:lineRule="auto"/>
        <w:ind w:firstLine="420"/>
        <w:outlineLvl w:val="2"/>
        <w:rPr>
          <w:sz w:val="24"/>
          <w:szCs w:val="24"/>
        </w:rPr>
      </w:pPr>
      <w:bookmarkStart w:id="30" w:name="_Toc8826"/>
      <w:r>
        <w:rPr>
          <w:rFonts w:hint="eastAsia"/>
          <w:sz w:val="24"/>
          <w:szCs w:val="24"/>
        </w:rPr>
        <w:t>（</w:t>
      </w:r>
      <w:r>
        <w:rPr>
          <w:rFonts w:hint="eastAsia"/>
          <w:sz w:val="24"/>
          <w:szCs w:val="24"/>
        </w:rPr>
        <w:t>3</w:t>
      </w:r>
      <w:r>
        <w:rPr>
          <w:rFonts w:hint="eastAsia"/>
          <w:sz w:val="24"/>
          <w:szCs w:val="24"/>
        </w:rPr>
        <w:t>）袋贮</w:t>
      </w:r>
      <w:bookmarkEnd w:id="30"/>
    </w:p>
    <w:p w14:paraId="38066911" w14:textId="77777777" w:rsidR="00811291" w:rsidRDefault="00000000">
      <w:pPr>
        <w:spacing w:line="360" w:lineRule="auto"/>
        <w:ind w:firstLine="420"/>
        <w:rPr>
          <w:sz w:val="24"/>
          <w:szCs w:val="24"/>
        </w:rPr>
      </w:pPr>
      <w:r>
        <w:rPr>
          <w:rFonts w:hint="eastAsia"/>
          <w:sz w:val="24"/>
          <w:szCs w:val="24"/>
        </w:rPr>
        <w:t>青贮袋应选用</w:t>
      </w:r>
      <w:r>
        <w:rPr>
          <w:sz w:val="24"/>
          <w:szCs w:val="24"/>
        </w:rPr>
        <w:t>符合</w:t>
      </w:r>
      <w:r>
        <w:rPr>
          <w:sz w:val="24"/>
          <w:szCs w:val="24"/>
        </w:rPr>
        <w:t>GB/T 4455-2019</w:t>
      </w:r>
      <w:r>
        <w:rPr>
          <w:rFonts w:hint="eastAsia"/>
          <w:sz w:val="24"/>
          <w:szCs w:val="24"/>
        </w:rPr>
        <w:t>规定的无毒、无害、高阻氧、厚度为</w:t>
      </w:r>
      <w:r>
        <w:rPr>
          <w:rFonts w:hint="eastAsia"/>
          <w:sz w:val="24"/>
          <w:szCs w:val="24"/>
        </w:rPr>
        <w:t>10</w:t>
      </w:r>
      <w:r>
        <w:rPr>
          <w:rFonts w:hint="eastAsia"/>
          <w:sz w:val="24"/>
          <w:szCs w:val="24"/>
        </w:rPr>
        <w:t>丝</w:t>
      </w:r>
      <w:r>
        <w:rPr>
          <w:rFonts w:hint="eastAsia"/>
          <w:sz w:val="24"/>
          <w:szCs w:val="24"/>
        </w:rPr>
        <w:t>-15</w:t>
      </w:r>
      <w:r>
        <w:rPr>
          <w:rFonts w:hint="eastAsia"/>
          <w:sz w:val="24"/>
          <w:szCs w:val="24"/>
        </w:rPr>
        <w:t>丝和带有单向排气阀的厌氧发酵袋，将处理好的原料装入青贮袋后，使用压缩机械尽量排出袋中空气，并密封。每袋装填量以方便搬运为宜，一般不超过</w:t>
      </w:r>
      <w:r>
        <w:rPr>
          <w:rFonts w:hint="eastAsia"/>
          <w:sz w:val="24"/>
          <w:szCs w:val="24"/>
        </w:rPr>
        <w:t>50 Kg</w:t>
      </w:r>
      <w:r>
        <w:rPr>
          <w:rFonts w:hint="eastAsia"/>
          <w:sz w:val="24"/>
          <w:szCs w:val="24"/>
        </w:rPr>
        <w:t>。</w:t>
      </w:r>
    </w:p>
    <w:p w14:paraId="68F9853E" w14:textId="77777777" w:rsidR="00811291" w:rsidRDefault="00000000">
      <w:pPr>
        <w:spacing w:line="360" w:lineRule="auto"/>
        <w:ind w:left="420"/>
        <w:outlineLvl w:val="2"/>
        <w:rPr>
          <w:sz w:val="24"/>
          <w:szCs w:val="24"/>
        </w:rPr>
      </w:pPr>
      <w:bookmarkStart w:id="31" w:name="_Toc11550"/>
      <w:r>
        <w:rPr>
          <w:rFonts w:hint="eastAsia"/>
          <w:sz w:val="24"/>
          <w:szCs w:val="24"/>
        </w:rPr>
        <w:t>（</w:t>
      </w:r>
      <w:r>
        <w:rPr>
          <w:rFonts w:hint="eastAsia"/>
          <w:sz w:val="24"/>
          <w:szCs w:val="24"/>
        </w:rPr>
        <w:t>4</w:t>
      </w:r>
      <w:r>
        <w:rPr>
          <w:rFonts w:hint="eastAsia"/>
          <w:sz w:val="24"/>
          <w:szCs w:val="24"/>
        </w:rPr>
        <w:t>）发酵时间</w:t>
      </w:r>
      <w:bookmarkEnd w:id="31"/>
    </w:p>
    <w:p w14:paraId="47799415" w14:textId="77777777" w:rsidR="00811291" w:rsidRDefault="00000000">
      <w:pPr>
        <w:spacing w:line="360" w:lineRule="auto"/>
        <w:ind w:firstLine="420"/>
        <w:rPr>
          <w:sz w:val="24"/>
          <w:szCs w:val="24"/>
        </w:rPr>
      </w:pPr>
      <w:r>
        <w:rPr>
          <w:rFonts w:hint="eastAsia"/>
          <w:sz w:val="24"/>
          <w:szCs w:val="24"/>
        </w:rPr>
        <w:t>食用菌菌糠</w:t>
      </w:r>
      <w:r>
        <w:rPr>
          <w:sz w:val="24"/>
          <w:szCs w:val="24"/>
        </w:rPr>
        <w:t>的发酵时间一般为</w:t>
      </w:r>
      <w:r>
        <w:rPr>
          <w:rFonts w:hint="eastAsia"/>
          <w:sz w:val="24"/>
          <w:szCs w:val="24"/>
        </w:rPr>
        <w:t>7</w:t>
      </w:r>
      <w:r>
        <w:rPr>
          <w:rFonts w:hint="eastAsia"/>
          <w:sz w:val="24"/>
          <w:szCs w:val="24"/>
        </w:rPr>
        <w:t>天</w:t>
      </w:r>
      <w:r>
        <w:rPr>
          <w:sz w:val="24"/>
          <w:szCs w:val="24"/>
        </w:rPr>
        <w:t>-</w:t>
      </w:r>
      <w:r>
        <w:rPr>
          <w:rFonts w:hint="eastAsia"/>
          <w:sz w:val="24"/>
          <w:szCs w:val="24"/>
        </w:rPr>
        <w:t>14</w:t>
      </w:r>
      <w:r>
        <w:rPr>
          <w:sz w:val="24"/>
          <w:szCs w:val="24"/>
        </w:rPr>
        <w:t>天左右</w:t>
      </w:r>
      <w:r>
        <w:rPr>
          <w:rFonts w:hint="eastAsia"/>
          <w:sz w:val="24"/>
          <w:szCs w:val="24"/>
        </w:rPr>
        <w:t>，</w:t>
      </w:r>
      <w:r>
        <w:rPr>
          <w:kern w:val="0"/>
          <w:sz w:val="24"/>
          <w:szCs w:val="24"/>
        </w:rPr>
        <w:t>温度较低时可适当延长发酵时间</w:t>
      </w:r>
      <w:r>
        <w:rPr>
          <w:sz w:val="24"/>
          <w:szCs w:val="24"/>
        </w:rPr>
        <w:t>。</w:t>
      </w:r>
    </w:p>
    <w:p w14:paraId="1E32CD70" w14:textId="77777777" w:rsidR="00811291" w:rsidRDefault="00000000">
      <w:pPr>
        <w:pStyle w:val="af2"/>
        <w:spacing w:line="360" w:lineRule="auto"/>
        <w:ind w:firstLine="480"/>
        <w:outlineLvl w:val="2"/>
        <w:rPr>
          <w:rFonts w:ascii="Times New Roman"/>
          <w:bCs/>
          <w:kern w:val="2"/>
          <w:sz w:val="24"/>
          <w:szCs w:val="24"/>
        </w:rPr>
      </w:pPr>
      <w:bookmarkStart w:id="32" w:name="_Toc30689"/>
      <w:bookmarkStart w:id="33" w:name="_Toc5159"/>
      <w:r>
        <w:rPr>
          <w:rFonts w:ascii="Times New Roman" w:hint="eastAsia"/>
          <w:bCs/>
          <w:kern w:val="2"/>
          <w:sz w:val="24"/>
          <w:szCs w:val="24"/>
        </w:rPr>
        <w:t>（</w:t>
      </w:r>
      <w:r>
        <w:rPr>
          <w:rFonts w:ascii="Times New Roman" w:hint="eastAsia"/>
          <w:bCs/>
          <w:kern w:val="2"/>
          <w:sz w:val="24"/>
          <w:szCs w:val="24"/>
        </w:rPr>
        <w:t>5</w:t>
      </w:r>
      <w:r>
        <w:rPr>
          <w:rFonts w:ascii="Times New Roman" w:hint="eastAsia"/>
          <w:bCs/>
          <w:kern w:val="2"/>
          <w:sz w:val="24"/>
          <w:szCs w:val="24"/>
        </w:rPr>
        <w:t>）</w:t>
      </w:r>
      <w:r>
        <w:rPr>
          <w:rFonts w:ascii="Times New Roman"/>
          <w:bCs/>
          <w:kern w:val="2"/>
          <w:sz w:val="24"/>
          <w:szCs w:val="24"/>
        </w:rPr>
        <w:t>贮藏管理</w:t>
      </w:r>
      <w:bookmarkEnd w:id="32"/>
      <w:bookmarkEnd w:id="33"/>
    </w:p>
    <w:p w14:paraId="1DFFF311" w14:textId="77777777" w:rsidR="00811291" w:rsidRDefault="00000000">
      <w:pPr>
        <w:spacing w:line="360" w:lineRule="auto"/>
        <w:ind w:firstLine="420"/>
        <w:rPr>
          <w:kern w:val="0"/>
          <w:sz w:val="24"/>
          <w:szCs w:val="24"/>
        </w:rPr>
      </w:pPr>
      <w:r>
        <w:rPr>
          <w:kern w:val="0"/>
          <w:sz w:val="24"/>
          <w:szCs w:val="24"/>
        </w:rPr>
        <w:t>裹包</w:t>
      </w:r>
      <w:r>
        <w:rPr>
          <w:rFonts w:hint="eastAsia"/>
          <w:kern w:val="0"/>
          <w:sz w:val="24"/>
          <w:szCs w:val="24"/>
        </w:rPr>
        <w:t>和袋装</w:t>
      </w:r>
      <w:r>
        <w:rPr>
          <w:kern w:val="0"/>
          <w:sz w:val="24"/>
          <w:szCs w:val="24"/>
        </w:rPr>
        <w:t>青贮</w:t>
      </w:r>
      <w:r>
        <w:rPr>
          <w:rFonts w:hint="eastAsia"/>
          <w:kern w:val="0"/>
          <w:sz w:val="24"/>
          <w:szCs w:val="24"/>
        </w:rPr>
        <w:t>应</w:t>
      </w:r>
      <w:r>
        <w:rPr>
          <w:kern w:val="0"/>
          <w:sz w:val="24"/>
          <w:szCs w:val="24"/>
        </w:rPr>
        <w:t>存放在草棚或地面平整、排水良好、没有杂物和其他尖利物的地方。在发酵过程中，要定期检查发酵容器的密封情况，如有漏气要及时处理。环境温度宜控制在</w:t>
      </w:r>
      <w:r>
        <w:rPr>
          <w:kern w:val="0"/>
          <w:sz w:val="24"/>
          <w:szCs w:val="24"/>
        </w:rPr>
        <w:t>25℃</w:t>
      </w:r>
      <w:r>
        <w:rPr>
          <w:rFonts w:hint="eastAsia"/>
          <w:kern w:val="0"/>
          <w:sz w:val="24"/>
          <w:szCs w:val="24"/>
        </w:rPr>
        <w:t>-</w:t>
      </w:r>
      <w:r>
        <w:rPr>
          <w:kern w:val="0"/>
          <w:sz w:val="24"/>
          <w:szCs w:val="24"/>
        </w:rPr>
        <w:t>35℃</w:t>
      </w:r>
      <w:r>
        <w:rPr>
          <w:kern w:val="0"/>
          <w:sz w:val="24"/>
          <w:szCs w:val="24"/>
        </w:rPr>
        <w:t>，料温不</w:t>
      </w:r>
      <w:r>
        <w:rPr>
          <w:rFonts w:hint="eastAsia"/>
          <w:kern w:val="0"/>
          <w:sz w:val="24"/>
          <w:szCs w:val="24"/>
        </w:rPr>
        <w:t>宜</w:t>
      </w:r>
      <w:r>
        <w:rPr>
          <w:kern w:val="0"/>
          <w:sz w:val="24"/>
          <w:szCs w:val="24"/>
        </w:rPr>
        <w:t>超过</w:t>
      </w:r>
      <w:r>
        <w:rPr>
          <w:kern w:val="0"/>
          <w:sz w:val="24"/>
          <w:szCs w:val="24"/>
        </w:rPr>
        <w:t>37℃</w:t>
      </w:r>
      <w:r>
        <w:rPr>
          <w:kern w:val="0"/>
          <w:sz w:val="24"/>
          <w:szCs w:val="24"/>
        </w:rPr>
        <w:t>。温度过低会延长发酵时间，温度过高则可能导致腐败菌繁殖。高温季节应注意遮阳降温，低温季节可采取保温措施。</w:t>
      </w:r>
    </w:p>
    <w:p w14:paraId="7F1CA18C" w14:textId="77777777" w:rsidR="00811291" w:rsidRDefault="00000000">
      <w:pPr>
        <w:numPr>
          <w:ilvl w:val="0"/>
          <w:numId w:val="4"/>
        </w:numPr>
        <w:spacing w:line="360" w:lineRule="auto"/>
        <w:ind w:firstLine="420"/>
        <w:outlineLvl w:val="2"/>
        <w:rPr>
          <w:kern w:val="0"/>
          <w:sz w:val="24"/>
          <w:szCs w:val="24"/>
        </w:rPr>
      </w:pPr>
      <w:bookmarkStart w:id="34" w:name="_Toc19423"/>
      <w:r>
        <w:rPr>
          <w:rFonts w:hint="eastAsia"/>
          <w:kern w:val="0"/>
          <w:sz w:val="24"/>
          <w:szCs w:val="24"/>
        </w:rPr>
        <w:t>饲喂取用</w:t>
      </w:r>
      <w:bookmarkEnd w:id="34"/>
    </w:p>
    <w:p w14:paraId="086E77EA" w14:textId="77777777" w:rsidR="00811291" w:rsidRDefault="00000000">
      <w:pPr>
        <w:spacing w:line="360" w:lineRule="auto"/>
        <w:ind w:firstLine="420"/>
        <w:rPr>
          <w:kern w:val="0"/>
          <w:sz w:val="24"/>
          <w:szCs w:val="24"/>
        </w:rPr>
      </w:pPr>
      <w:r>
        <w:rPr>
          <w:kern w:val="0"/>
          <w:sz w:val="24"/>
          <w:szCs w:val="24"/>
        </w:rPr>
        <w:t>在取用时，只能从青贮窖、青贮袋或裹包的一端打开，要分段自上而下取用，取料面要平滑，取用时尽量保持未取用部分紧密，不松散</w:t>
      </w:r>
      <w:r>
        <w:rPr>
          <w:rFonts w:hint="eastAsia"/>
          <w:kern w:val="0"/>
          <w:sz w:val="24"/>
          <w:szCs w:val="24"/>
        </w:rPr>
        <w:t>，并</w:t>
      </w:r>
      <w:r>
        <w:rPr>
          <w:kern w:val="0"/>
          <w:sz w:val="24"/>
          <w:szCs w:val="24"/>
        </w:rPr>
        <w:t>及时密封，防止日晒、雨淋和二次发酵。凡是颜色发黑、发霉、具有刺鼻腐臭或霉味者</w:t>
      </w:r>
      <w:r>
        <w:rPr>
          <w:rFonts w:hint="eastAsia"/>
          <w:kern w:val="0"/>
          <w:sz w:val="24"/>
          <w:szCs w:val="24"/>
        </w:rPr>
        <w:t>均</w:t>
      </w:r>
      <w:r>
        <w:rPr>
          <w:kern w:val="0"/>
          <w:sz w:val="24"/>
          <w:szCs w:val="24"/>
        </w:rPr>
        <w:t>不能饲喂牲畜。</w:t>
      </w:r>
    </w:p>
    <w:p w14:paraId="10FB0FD2" w14:textId="77777777" w:rsidR="00811291" w:rsidRDefault="00000000">
      <w:pPr>
        <w:numPr>
          <w:ilvl w:val="0"/>
          <w:numId w:val="3"/>
        </w:numPr>
        <w:spacing w:line="360" w:lineRule="auto"/>
        <w:ind w:firstLine="420"/>
        <w:outlineLvl w:val="1"/>
        <w:rPr>
          <w:kern w:val="0"/>
          <w:sz w:val="24"/>
          <w:szCs w:val="24"/>
        </w:rPr>
      </w:pPr>
      <w:bookmarkStart w:id="35" w:name="_Toc6449"/>
      <w:r>
        <w:rPr>
          <w:rFonts w:hint="eastAsia"/>
          <w:kern w:val="0"/>
          <w:sz w:val="24"/>
          <w:szCs w:val="24"/>
        </w:rPr>
        <w:t>质量评定</w:t>
      </w:r>
      <w:bookmarkEnd w:id="35"/>
    </w:p>
    <w:p w14:paraId="0A9AAD87" w14:textId="77777777" w:rsidR="00811291" w:rsidRDefault="00000000">
      <w:pPr>
        <w:spacing w:line="360" w:lineRule="auto"/>
        <w:ind w:firstLine="420"/>
        <w:rPr>
          <w:sz w:val="24"/>
          <w:szCs w:val="24"/>
        </w:rPr>
      </w:pPr>
      <w:r>
        <w:rPr>
          <w:rFonts w:hint="eastAsia"/>
          <w:kern w:val="0"/>
          <w:sz w:val="24"/>
          <w:szCs w:val="24"/>
        </w:rPr>
        <w:t>发酵良好的食用菌菌糠饲料应感官新鲜，不粘结，具有酸香味，无霉变、无异味，</w:t>
      </w:r>
      <w:r>
        <w:rPr>
          <w:rFonts w:hint="eastAsia"/>
          <w:kern w:val="0"/>
          <w:sz w:val="24"/>
          <w:szCs w:val="24"/>
        </w:rPr>
        <w:t>pH</w:t>
      </w:r>
      <w:r>
        <w:rPr>
          <w:rFonts w:hint="eastAsia"/>
          <w:kern w:val="0"/>
          <w:sz w:val="24"/>
          <w:szCs w:val="24"/>
        </w:rPr>
        <w:t>值应在</w:t>
      </w:r>
      <w:r>
        <w:rPr>
          <w:rFonts w:hint="eastAsia"/>
          <w:kern w:val="0"/>
          <w:sz w:val="24"/>
          <w:szCs w:val="24"/>
        </w:rPr>
        <w:t>4.0-5.0</w:t>
      </w:r>
      <w:r>
        <w:rPr>
          <w:rFonts w:hint="eastAsia"/>
          <w:kern w:val="0"/>
          <w:sz w:val="24"/>
          <w:szCs w:val="24"/>
        </w:rPr>
        <w:t>之间，乳酸菌总数≥</w:t>
      </w:r>
      <w:r>
        <w:rPr>
          <w:rFonts w:hint="eastAsia"/>
          <w:kern w:val="0"/>
          <w:sz w:val="24"/>
          <w:szCs w:val="24"/>
        </w:rPr>
        <w:t>1</w:t>
      </w:r>
      <w:r>
        <w:rPr>
          <w:rFonts w:hint="eastAsia"/>
          <w:kern w:val="0"/>
          <w:sz w:val="24"/>
          <w:szCs w:val="24"/>
        </w:rPr>
        <w:t>×</w:t>
      </w:r>
      <w:r>
        <w:rPr>
          <w:rFonts w:hint="eastAsia"/>
          <w:kern w:val="0"/>
          <w:sz w:val="24"/>
          <w:szCs w:val="24"/>
        </w:rPr>
        <w:t>10</w:t>
      </w:r>
      <w:r>
        <w:rPr>
          <w:rFonts w:hint="eastAsia"/>
          <w:kern w:val="0"/>
          <w:sz w:val="24"/>
          <w:szCs w:val="24"/>
          <w:vertAlign w:val="superscript"/>
        </w:rPr>
        <w:t>7</w:t>
      </w:r>
      <w:r>
        <w:rPr>
          <w:rFonts w:hint="eastAsia"/>
          <w:kern w:val="0"/>
          <w:sz w:val="24"/>
          <w:szCs w:val="24"/>
        </w:rPr>
        <w:t xml:space="preserve"> cfu/g</w:t>
      </w:r>
      <w:r>
        <w:rPr>
          <w:rFonts w:hint="eastAsia"/>
          <w:kern w:val="0"/>
          <w:sz w:val="24"/>
          <w:szCs w:val="24"/>
        </w:rPr>
        <w:t>，酵母菌总数≥</w:t>
      </w:r>
      <w:r>
        <w:rPr>
          <w:rFonts w:hint="eastAsia"/>
          <w:kern w:val="0"/>
          <w:sz w:val="24"/>
          <w:szCs w:val="24"/>
        </w:rPr>
        <w:t>1</w:t>
      </w:r>
      <w:r>
        <w:rPr>
          <w:rFonts w:hint="eastAsia"/>
          <w:kern w:val="0"/>
          <w:sz w:val="24"/>
          <w:szCs w:val="24"/>
        </w:rPr>
        <w:t>×</w:t>
      </w:r>
      <w:r>
        <w:rPr>
          <w:rFonts w:hint="eastAsia"/>
          <w:kern w:val="0"/>
          <w:sz w:val="24"/>
          <w:szCs w:val="24"/>
        </w:rPr>
        <w:t>10</w:t>
      </w:r>
      <w:r>
        <w:rPr>
          <w:rFonts w:hint="eastAsia"/>
          <w:kern w:val="0"/>
          <w:sz w:val="24"/>
          <w:szCs w:val="24"/>
          <w:vertAlign w:val="superscript"/>
        </w:rPr>
        <w:t>7</w:t>
      </w:r>
      <w:r>
        <w:rPr>
          <w:rFonts w:hint="eastAsia"/>
          <w:kern w:val="0"/>
          <w:sz w:val="24"/>
          <w:szCs w:val="24"/>
        </w:rPr>
        <w:t xml:space="preserve"> cfu/g</w:t>
      </w:r>
      <w:r>
        <w:rPr>
          <w:rFonts w:hint="eastAsia"/>
          <w:kern w:val="0"/>
          <w:sz w:val="24"/>
          <w:szCs w:val="24"/>
        </w:rPr>
        <w:t>，枯草芽孢杆菌总数≥</w:t>
      </w:r>
      <w:r>
        <w:rPr>
          <w:rFonts w:hint="eastAsia"/>
          <w:kern w:val="0"/>
          <w:sz w:val="24"/>
          <w:szCs w:val="24"/>
        </w:rPr>
        <w:t>1</w:t>
      </w:r>
      <w:r>
        <w:rPr>
          <w:rFonts w:hint="eastAsia"/>
          <w:kern w:val="0"/>
          <w:sz w:val="24"/>
          <w:szCs w:val="24"/>
        </w:rPr>
        <w:t>×</w:t>
      </w:r>
      <w:r>
        <w:rPr>
          <w:rFonts w:hint="eastAsia"/>
          <w:kern w:val="0"/>
          <w:sz w:val="24"/>
          <w:szCs w:val="24"/>
        </w:rPr>
        <w:t>10</w:t>
      </w:r>
      <w:r>
        <w:rPr>
          <w:rFonts w:hint="eastAsia"/>
          <w:kern w:val="0"/>
          <w:sz w:val="24"/>
          <w:szCs w:val="24"/>
          <w:vertAlign w:val="superscript"/>
        </w:rPr>
        <w:t>7</w:t>
      </w:r>
      <w:r>
        <w:rPr>
          <w:rFonts w:hint="eastAsia"/>
          <w:kern w:val="0"/>
          <w:sz w:val="24"/>
          <w:szCs w:val="24"/>
        </w:rPr>
        <w:t xml:space="preserve"> cfu/g</w:t>
      </w:r>
      <w:r>
        <w:rPr>
          <w:rFonts w:hint="eastAsia"/>
          <w:kern w:val="0"/>
          <w:sz w:val="24"/>
          <w:szCs w:val="24"/>
        </w:rPr>
        <w:t>，卫生指标应符合</w:t>
      </w:r>
      <w:r>
        <w:rPr>
          <w:rFonts w:hint="eastAsia"/>
          <w:kern w:val="0"/>
          <w:sz w:val="24"/>
          <w:szCs w:val="24"/>
        </w:rPr>
        <w:t>GB 13078</w:t>
      </w:r>
      <w:r>
        <w:rPr>
          <w:rFonts w:hint="eastAsia"/>
          <w:kern w:val="0"/>
          <w:sz w:val="24"/>
          <w:szCs w:val="24"/>
        </w:rPr>
        <w:t>—</w:t>
      </w:r>
      <w:r>
        <w:rPr>
          <w:rFonts w:hint="eastAsia"/>
          <w:kern w:val="0"/>
          <w:sz w:val="24"/>
          <w:szCs w:val="24"/>
        </w:rPr>
        <w:t>2017</w:t>
      </w:r>
      <w:r>
        <w:rPr>
          <w:rFonts w:hint="eastAsia"/>
          <w:kern w:val="0"/>
          <w:sz w:val="24"/>
          <w:szCs w:val="24"/>
        </w:rPr>
        <w:t>的规定。</w:t>
      </w:r>
    </w:p>
    <w:p w14:paraId="6AFFDD65" w14:textId="77777777" w:rsidR="00811291" w:rsidRDefault="00000000">
      <w:pPr>
        <w:spacing w:line="360" w:lineRule="auto"/>
        <w:outlineLvl w:val="0"/>
        <w:rPr>
          <w:rFonts w:eastAsiaTheme="majorEastAsia"/>
          <w:b/>
          <w:color w:val="000000"/>
          <w:sz w:val="28"/>
          <w:szCs w:val="28"/>
        </w:rPr>
      </w:pPr>
      <w:bookmarkStart w:id="36" w:name="_Toc28574"/>
      <w:bookmarkStart w:id="37" w:name="_Toc27367"/>
      <w:bookmarkStart w:id="38" w:name="_Toc25340"/>
      <w:r>
        <w:rPr>
          <w:rFonts w:hint="eastAsia"/>
          <w:b/>
          <w:color w:val="000000"/>
          <w:sz w:val="28"/>
          <w:szCs w:val="28"/>
        </w:rPr>
        <w:t>七</w:t>
      </w:r>
      <w:r>
        <w:rPr>
          <w:b/>
          <w:color w:val="000000"/>
          <w:sz w:val="28"/>
          <w:szCs w:val="28"/>
        </w:rPr>
        <w:t>、</w:t>
      </w:r>
      <w:bookmarkEnd w:id="36"/>
      <w:bookmarkEnd w:id="37"/>
      <w:r>
        <w:rPr>
          <w:rFonts w:hint="eastAsia"/>
          <w:b/>
          <w:color w:val="000000"/>
          <w:sz w:val="28"/>
          <w:szCs w:val="28"/>
        </w:rPr>
        <w:t>分歧意见的处理过程、依据和结果</w:t>
      </w:r>
      <w:bookmarkEnd w:id="38"/>
    </w:p>
    <w:p w14:paraId="74DD6539" w14:textId="77777777" w:rsidR="00811291" w:rsidRDefault="00000000">
      <w:pPr>
        <w:spacing w:beforeLines="50" w:before="156" w:line="360" w:lineRule="auto"/>
        <w:ind w:firstLine="482"/>
        <w:rPr>
          <w:rFonts w:hAnsi="宋体" w:cs="宋体" w:hint="eastAsia"/>
          <w:sz w:val="24"/>
          <w:szCs w:val="24"/>
        </w:rPr>
      </w:pPr>
      <w:r>
        <w:rPr>
          <w:color w:val="000000"/>
          <w:sz w:val="24"/>
          <w:szCs w:val="24"/>
        </w:rPr>
        <w:t>无。</w:t>
      </w:r>
    </w:p>
    <w:p w14:paraId="6C812D85" w14:textId="77777777" w:rsidR="00811291" w:rsidRDefault="00000000">
      <w:pPr>
        <w:spacing w:beforeLines="50" w:before="156" w:afterLines="50" w:after="156" w:line="360" w:lineRule="auto"/>
        <w:outlineLvl w:val="0"/>
        <w:rPr>
          <w:rFonts w:eastAsiaTheme="majorEastAsia"/>
          <w:b/>
          <w:color w:val="000000"/>
          <w:sz w:val="28"/>
          <w:szCs w:val="28"/>
        </w:rPr>
      </w:pPr>
      <w:bookmarkStart w:id="39" w:name="_Toc29814"/>
      <w:bookmarkStart w:id="40" w:name="_Toc8620"/>
      <w:bookmarkStart w:id="41" w:name="_Toc710"/>
      <w:r>
        <w:rPr>
          <w:rFonts w:hint="eastAsia"/>
          <w:b/>
          <w:color w:val="000000"/>
          <w:sz w:val="28"/>
          <w:szCs w:val="28"/>
        </w:rPr>
        <w:t>八</w:t>
      </w:r>
      <w:r>
        <w:rPr>
          <w:b/>
          <w:color w:val="000000"/>
          <w:sz w:val="28"/>
          <w:szCs w:val="28"/>
        </w:rPr>
        <w:t>、</w:t>
      </w:r>
      <w:bookmarkEnd w:id="39"/>
      <w:bookmarkEnd w:id="40"/>
      <w:r>
        <w:rPr>
          <w:rFonts w:hint="eastAsia"/>
          <w:b/>
          <w:color w:val="000000"/>
          <w:sz w:val="28"/>
          <w:szCs w:val="28"/>
        </w:rPr>
        <w:t>采用国际标准或国外先进标准情况</w:t>
      </w:r>
      <w:bookmarkEnd w:id="41"/>
    </w:p>
    <w:p w14:paraId="32BC4439" w14:textId="77777777" w:rsidR="00811291" w:rsidRDefault="00000000">
      <w:pPr>
        <w:spacing w:beforeLines="50" w:before="156" w:line="360" w:lineRule="auto"/>
        <w:ind w:firstLine="482"/>
        <w:rPr>
          <w:sz w:val="28"/>
          <w:szCs w:val="28"/>
        </w:rPr>
      </w:pPr>
      <w:r>
        <w:rPr>
          <w:color w:val="000000"/>
          <w:sz w:val="24"/>
          <w:szCs w:val="24"/>
        </w:rPr>
        <w:lastRenderedPageBreak/>
        <w:t>无</w:t>
      </w:r>
      <w:r>
        <w:rPr>
          <w:sz w:val="24"/>
          <w:szCs w:val="24"/>
        </w:rPr>
        <w:t>。</w:t>
      </w:r>
    </w:p>
    <w:p w14:paraId="7B9210C0" w14:textId="77777777" w:rsidR="00811291" w:rsidRDefault="00000000">
      <w:pPr>
        <w:spacing w:beforeLines="50" w:before="156" w:afterLines="50" w:after="156" w:line="360" w:lineRule="auto"/>
        <w:outlineLvl w:val="0"/>
        <w:rPr>
          <w:b/>
          <w:color w:val="000000"/>
          <w:sz w:val="28"/>
          <w:szCs w:val="28"/>
        </w:rPr>
      </w:pPr>
      <w:bookmarkStart w:id="42" w:name="_Toc17550"/>
      <w:bookmarkStart w:id="43" w:name="_Toc27632"/>
      <w:bookmarkStart w:id="44" w:name="_Toc13463"/>
      <w:r>
        <w:rPr>
          <w:rFonts w:hint="eastAsia"/>
          <w:b/>
          <w:color w:val="000000"/>
          <w:sz w:val="28"/>
          <w:szCs w:val="28"/>
        </w:rPr>
        <w:t>九</w:t>
      </w:r>
      <w:r>
        <w:rPr>
          <w:b/>
          <w:color w:val="000000"/>
          <w:sz w:val="28"/>
          <w:szCs w:val="28"/>
        </w:rPr>
        <w:t>、贯彻标准的措施建议</w:t>
      </w:r>
      <w:bookmarkEnd w:id="42"/>
      <w:bookmarkEnd w:id="43"/>
      <w:bookmarkEnd w:id="44"/>
    </w:p>
    <w:p w14:paraId="2D9991FC" w14:textId="77777777" w:rsidR="00811291" w:rsidRDefault="00000000">
      <w:pPr>
        <w:spacing w:line="360" w:lineRule="auto"/>
        <w:ind w:firstLineChars="225" w:firstLine="540"/>
        <w:rPr>
          <w:sz w:val="24"/>
          <w:szCs w:val="24"/>
        </w:rPr>
      </w:pPr>
      <w:r>
        <w:rPr>
          <w:rFonts w:hint="eastAsia"/>
          <w:sz w:val="24"/>
          <w:szCs w:val="24"/>
        </w:rPr>
        <w:t>1</w:t>
      </w:r>
      <w:r>
        <w:rPr>
          <w:rFonts w:hint="eastAsia"/>
          <w:sz w:val="24"/>
          <w:szCs w:val="24"/>
        </w:rPr>
        <w:t>、为成功实施食用菌菌糠发酵</w:t>
      </w:r>
      <w:r>
        <w:rPr>
          <w:rFonts w:hAnsi="宋体" w:hint="eastAsia"/>
          <w:sz w:val="24"/>
          <w:szCs w:val="24"/>
        </w:rPr>
        <w:t>技术</w:t>
      </w:r>
      <w:r>
        <w:rPr>
          <w:rFonts w:hint="eastAsia"/>
          <w:sz w:val="24"/>
          <w:szCs w:val="24"/>
        </w:rPr>
        <w:t>，应认真执行本标准的相关技术要求。</w:t>
      </w:r>
    </w:p>
    <w:p w14:paraId="77822A50" w14:textId="77777777" w:rsidR="00811291" w:rsidRDefault="00000000">
      <w:pPr>
        <w:spacing w:line="360" w:lineRule="auto"/>
        <w:ind w:firstLineChars="225" w:firstLine="540"/>
        <w:rPr>
          <w:sz w:val="24"/>
          <w:szCs w:val="24"/>
        </w:rPr>
      </w:pPr>
      <w:r>
        <w:rPr>
          <w:rFonts w:hint="eastAsia"/>
          <w:sz w:val="24"/>
          <w:szCs w:val="24"/>
        </w:rPr>
        <w:t>2</w:t>
      </w:r>
      <w:r>
        <w:rPr>
          <w:rFonts w:hint="eastAsia"/>
          <w:sz w:val="24"/>
          <w:szCs w:val="24"/>
        </w:rPr>
        <w:t>、应</w:t>
      </w:r>
      <w:r>
        <w:rPr>
          <w:sz w:val="24"/>
          <w:szCs w:val="24"/>
        </w:rPr>
        <w:t>加强对标准的宣传、讲解</w:t>
      </w:r>
      <w:r>
        <w:rPr>
          <w:rFonts w:hint="eastAsia"/>
          <w:sz w:val="24"/>
          <w:szCs w:val="24"/>
        </w:rPr>
        <w:t>和技术指导，促进实施者</w:t>
      </w:r>
      <w:r>
        <w:rPr>
          <w:sz w:val="24"/>
          <w:szCs w:val="24"/>
        </w:rPr>
        <w:t>熟练掌握标准中的技术规范，保证</w:t>
      </w:r>
      <w:r>
        <w:rPr>
          <w:rFonts w:hint="eastAsia"/>
          <w:sz w:val="24"/>
          <w:szCs w:val="24"/>
        </w:rPr>
        <w:t>本标准的广泛推广应用</w:t>
      </w:r>
      <w:r>
        <w:rPr>
          <w:sz w:val="24"/>
          <w:szCs w:val="24"/>
        </w:rPr>
        <w:t>。</w:t>
      </w:r>
    </w:p>
    <w:p w14:paraId="579E40FD" w14:textId="77777777" w:rsidR="00811291" w:rsidRDefault="00000000">
      <w:pPr>
        <w:spacing w:line="360" w:lineRule="auto"/>
        <w:ind w:firstLineChars="225" w:firstLine="540"/>
        <w:rPr>
          <w:sz w:val="24"/>
          <w:szCs w:val="24"/>
        </w:rPr>
      </w:pPr>
      <w:r>
        <w:rPr>
          <w:rFonts w:hint="eastAsia"/>
          <w:sz w:val="24"/>
          <w:szCs w:val="24"/>
        </w:rPr>
        <w:t>3</w:t>
      </w:r>
      <w:r>
        <w:rPr>
          <w:rFonts w:hint="eastAsia"/>
          <w:sz w:val="24"/>
          <w:szCs w:val="24"/>
        </w:rPr>
        <w:t>、</w:t>
      </w:r>
      <w:r>
        <w:rPr>
          <w:sz w:val="24"/>
          <w:szCs w:val="24"/>
        </w:rPr>
        <w:t>随着</w:t>
      </w:r>
      <w:r>
        <w:rPr>
          <w:rFonts w:hint="eastAsia"/>
          <w:sz w:val="24"/>
          <w:szCs w:val="24"/>
        </w:rPr>
        <w:t>科技发展，本标准中的技术规范势必会出现过时的情况，也会出现新的技术要求，因此本</w:t>
      </w:r>
      <w:r>
        <w:rPr>
          <w:sz w:val="24"/>
          <w:szCs w:val="24"/>
        </w:rPr>
        <w:t>标准执行过程中</w:t>
      </w:r>
      <w:r>
        <w:rPr>
          <w:rFonts w:hint="eastAsia"/>
          <w:sz w:val="24"/>
          <w:szCs w:val="24"/>
        </w:rPr>
        <w:t>要不断对</w:t>
      </w:r>
      <w:r>
        <w:rPr>
          <w:sz w:val="24"/>
          <w:szCs w:val="24"/>
        </w:rPr>
        <w:t>内容进行修订</w:t>
      </w:r>
      <w:r>
        <w:rPr>
          <w:rFonts w:hint="eastAsia"/>
          <w:sz w:val="24"/>
          <w:szCs w:val="24"/>
        </w:rPr>
        <w:t>和补充</w:t>
      </w:r>
      <w:r>
        <w:rPr>
          <w:sz w:val="24"/>
          <w:szCs w:val="24"/>
        </w:rPr>
        <w:t>。</w:t>
      </w:r>
    </w:p>
    <w:p w14:paraId="6D30028C" w14:textId="77777777" w:rsidR="00811291" w:rsidRDefault="00000000">
      <w:pPr>
        <w:spacing w:line="360" w:lineRule="auto"/>
        <w:ind w:firstLine="482"/>
        <w:rPr>
          <w:sz w:val="24"/>
          <w:szCs w:val="24"/>
        </w:rPr>
      </w:pPr>
      <w:r>
        <w:rPr>
          <w:rFonts w:hint="eastAsia"/>
          <w:sz w:val="24"/>
          <w:szCs w:val="24"/>
        </w:rPr>
        <w:t>4</w:t>
      </w:r>
      <w:r>
        <w:rPr>
          <w:rFonts w:hint="eastAsia"/>
          <w:sz w:val="24"/>
          <w:szCs w:val="24"/>
        </w:rPr>
        <w:t>、</w:t>
      </w:r>
      <w:r>
        <w:rPr>
          <w:sz w:val="24"/>
          <w:szCs w:val="24"/>
        </w:rPr>
        <w:t>希望</w:t>
      </w:r>
      <w:r>
        <w:rPr>
          <w:rFonts w:hint="eastAsia"/>
          <w:sz w:val="24"/>
          <w:szCs w:val="24"/>
        </w:rPr>
        <w:t>应用本标准的</w:t>
      </w:r>
      <w:r>
        <w:rPr>
          <w:sz w:val="24"/>
          <w:szCs w:val="24"/>
        </w:rPr>
        <w:t>单位</w:t>
      </w:r>
      <w:r>
        <w:rPr>
          <w:rFonts w:hint="eastAsia"/>
          <w:sz w:val="24"/>
          <w:szCs w:val="24"/>
        </w:rPr>
        <w:t>在使用过程中</w:t>
      </w:r>
      <w:r>
        <w:rPr>
          <w:sz w:val="24"/>
          <w:szCs w:val="24"/>
        </w:rPr>
        <w:t>对</w:t>
      </w:r>
      <w:r>
        <w:rPr>
          <w:rFonts w:hint="eastAsia"/>
          <w:sz w:val="24"/>
          <w:szCs w:val="24"/>
        </w:rPr>
        <w:t>其</w:t>
      </w:r>
      <w:r>
        <w:rPr>
          <w:sz w:val="24"/>
          <w:szCs w:val="24"/>
        </w:rPr>
        <w:t>中出现的问题</w:t>
      </w:r>
      <w:r>
        <w:rPr>
          <w:rFonts w:hint="eastAsia"/>
          <w:sz w:val="24"/>
          <w:szCs w:val="24"/>
        </w:rPr>
        <w:t>和不足</w:t>
      </w:r>
      <w:r>
        <w:rPr>
          <w:sz w:val="24"/>
          <w:szCs w:val="24"/>
        </w:rPr>
        <w:t>给予反馈，以便</w:t>
      </w:r>
      <w:r>
        <w:rPr>
          <w:rFonts w:hint="eastAsia"/>
          <w:sz w:val="24"/>
          <w:szCs w:val="24"/>
        </w:rPr>
        <w:t>再进行</w:t>
      </w:r>
      <w:r>
        <w:rPr>
          <w:sz w:val="24"/>
          <w:szCs w:val="24"/>
        </w:rPr>
        <w:t>修订</w:t>
      </w:r>
      <w:r>
        <w:rPr>
          <w:rFonts w:hint="eastAsia"/>
          <w:sz w:val="24"/>
          <w:szCs w:val="24"/>
        </w:rPr>
        <w:t>和</w:t>
      </w:r>
      <w:r>
        <w:rPr>
          <w:sz w:val="24"/>
          <w:szCs w:val="24"/>
        </w:rPr>
        <w:t>补充。</w:t>
      </w:r>
    </w:p>
    <w:p w14:paraId="65DEB07D" w14:textId="77777777" w:rsidR="00811291" w:rsidRDefault="00000000">
      <w:pPr>
        <w:spacing w:line="360" w:lineRule="auto"/>
        <w:ind w:firstLine="482"/>
        <w:rPr>
          <w:color w:val="000000"/>
          <w:sz w:val="28"/>
          <w:szCs w:val="28"/>
        </w:rPr>
      </w:pPr>
      <w:r>
        <w:rPr>
          <w:rFonts w:hint="eastAsia"/>
          <w:sz w:val="24"/>
          <w:szCs w:val="24"/>
        </w:rPr>
        <w:t>5</w:t>
      </w:r>
      <w:r>
        <w:rPr>
          <w:rFonts w:hint="eastAsia"/>
          <w:sz w:val="24"/>
          <w:szCs w:val="24"/>
        </w:rPr>
        <w:t>、</w:t>
      </w:r>
      <w:r>
        <w:rPr>
          <w:color w:val="000000"/>
          <w:sz w:val="24"/>
          <w:szCs w:val="24"/>
        </w:rPr>
        <w:t>组织学习</w:t>
      </w:r>
      <w:r>
        <w:rPr>
          <w:rFonts w:hint="eastAsia"/>
          <w:color w:val="000000"/>
          <w:sz w:val="24"/>
          <w:szCs w:val="24"/>
        </w:rPr>
        <w:t>团体</w:t>
      </w:r>
      <w:r>
        <w:rPr>
          <w:color w:val="000000"/>
          <w:sz w:val="24"/>
          <w:szCs w:val="24"/>
        </w:rPr>
        <w:t>标准，加大对标准的宣传及贯彻力度，标准委员会作为企业之间的桥梁，做好沟通，推进行业的进一步发展。</w:t>
      </w:r>
    </w:p>
    <w:p w14:paraId="2B25A086" w14:textId="77777777" w:rsidR="00811291" w:rsidRDefault="00000000">
      <w:pPr>
        <w:spacing w:beforeLines="50" w:before="156" w:afterLines="50" w:after="156" w:line="360" w:lineRule="auto"/>
        <w:outlineLvl w:val="0"/>
        <w:rPr>
          <w:b/>
          <w:color w:val="000000"/>
          <w:sz w:val="28"/>
          <w:szCs w:val="28"/>
        </w:rPr>
      </w:pPr>
      <w:bookmarkStart w:id="45" w:name="_Toc21588"/>
      <w:bookmarkStart w:id="46" w:name="_Toc9464"/>
      <w:bookmarkStart w:id="47" w:name="_Toc4483"/>
      <w:r>
        <w:rPr>
          <w:b/>
          <w:color w:val="000000"/>
          <w:sz w:val="28"/>
          <w:szCs w:val="28"/>
        </w:rPr>
        <w:t>十、其他应予说明的事项</w:t>
      </w:r>
      <w:bookmarkEnd w:id="45"/>
      <w:bookmarkEnd w:id="46"/>
      <w:bookmarkEnd w:id="47"/>
    </w:p>
    <w:p w14:paraId="5D8C0AD9" w14:textId="77777777" w:rsidR="00811291" w:rsidRDefault="00000000">
      <w:pPr>
        <w:pStyle w:val="af2"/>
        <w:spacing w:line="360" w:lineRule="auto"/>
        <w:ind w:left="420" w:firstLineChars="0" w:firstLine="0"/>
        <w:rPr>
          <w:rFonts w:ascii="Times New Roman"/>
          <w:sz w:val="28"/>
          <w:szCs w:val="28"/>
        </w:rPr>
      </w:pPr>
      <w:r>
        <w:rPr>
          <w:color w:val="000000"/>
          <w:sz w:val="24"/>
          <w:szCs w:val="24"/>
        </w:rPr>
        <w:t>无。</w:t>
      </w:r>
    </w:p>
    <w:p w14:paraId="6088FC53" w14:textId="77777777" w:rsidR="00811291" w:rsidRDefault="00811291">
      <w:pPr>
        <w:spacing w:line="360" w:lineRule="auto"/>
        <w:rPr>
          <w:sz w:val="24"/>
          <w:szCs w:val="24"/>
        </w:rPr>
      </w:pPr>
    </w:p>
    <w:sectPr w:rsidR="00811291">
      <w:footerReference w:type="default" r:id="rId15"/>
      <w:pgSz w:w="11906" w:h="16838"/>
      <w:pgMar w:top="1843" w:right="1558" w:bottom="1702"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DC2712" w14:textId="77777777" w:rsidR="000B42D5" w:rsidRDefault="000B42D5">
      <w:r>
        <w:separator/>
      </w:r>
    </w:p>
  </w:endnote>
  <w:endnote w:type="continuationSeparator" w:id="0">
    <w:p w14:paraId="17462BE6" w14:textId="77777777" w:rsidR="000B42D5" w:rsidRDefault="000B42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NewRomanPSMT">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DE622" w14:textId="77777777" w:rsidR="00811291" w:rsidRDefault="00000000">
    <w:pPr>
      <w:pStyle w:val="aa"/>
      <w:jc w:val="center"/>
    </w:pPr>
    <w:r>
      <w:fldChar w:fldCharType="begin"/>
    </w:r>
    <w:r>
      <w:instrText xml:space="preserve"> PAGE   \* MERGEFORMAT </w:instrText>
    </w:r>
    <w:r>
      <w:fldChar w:fldCharType="separate"/>
    </w:r>
    <w:r>
      <w:rPr>
        <w:lang w:val="zh-CN"/>
      </w:rPr>
      <w:t>8</w:t>
    </w:r>
    <w:r>
      <w:rPr>
        <w:lang w:val="zh-CN"/>
      </w:rPr>
      <w:fldChar w:fldCharType="end"/>
    </w:r>
  </w:p>
  <w:p w14:paraId="4AF2AFC5" w14:textId="77777777" w:rsidR="00811291" w:rsidRDefault="00811291">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1B1210" w14:textId="77777777" w:rsidR="000B42D5" w:rsidRDefault="000B42D5">
      <w:r>
        <w:separator/>
      </w:r>
    </w:p>
  </w:footnote>
  <w:footnote w:type="continuationSeparator" w:id="0">
    <w:p w14:paraId="3DFCAFB4" w14:textId="77777777" w:rsidR="000B42D5" w:rsidRDefault="000B42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8660809"/>
    <w:multiLevelType w:val="singleLevel"/>
    <w:tmpl w:val="F8660809"/>
    <w:lvl w:ilvl="0">
      <w:start w:val="2"/>
      <w:numFmt w:val="decimal"/>
      <w:suff w:val="nothing"/>
      <w:lvlText w:val="%1、"/>
      <w:lvlJc w:val="left"/>
    </w:lvl>
  </w:abstractNum>
  <w:abstractNum w:abstractNumId="1" w15:restartNumberingAfterBreak="0">
    <w:nsid w:val="1C4E6919"/>
    <w:multiLevelType w:val="singleLevel"/>
    <w:tmpl w:val="1C4E6919"/>
    <w:lvl w:ilvl="0">
      <w:start w:val="6"/>
      <w:numFmt w:val="decimal"/>
      <w:suff w:val="nothing"/>
      <w:lvlText w:val="（%1）"/>
      <w:lvlJc w:val="left"/>
    </w:lvl>
  </w:abstractNum>
  <w:abstractNum w:abstractNumId="2" w15:restartNumberingAfterBreak="0">
    <w:nsid w:val="1FC91163"/>
    <w:multiLevelType w:val="multilevel"/>
    <w:tmpl w:val="1FC91163"/>
    <w:lvl w:ilvl="0">
      <w:start w:val="1"/>
      <w:numFmt w:val="decimal"/>
      <w:pStyle w:val="a"/>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426"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 w15:restartNumberingAfterBreak="0">
    <w:nsid w:val="22EE5DB6"/>
    <w:multiLevelType w:val="singleLevel"/>
    <w:tmpl w:val="22EE5DB6"/>
    <w:lvl w:ilvl="0">
      <w:start w:val="2"/>
      <w:numFmt w:val="decimal"/>
      <w:suff w:val="nothing"/>
      <w:lvlText w:val="%1、"/>
      <w:lvlJc w:val="left"/>
    </w:lvl>
  </w:abstractNum>
  <w:num w:numId="1" w16cid:durableId="484667432">
    <w:abstractNumId w:val="2"/>
  </w:num>
  <w:num w:numId="2" w16cid:durableId="360787426">
    <w:abstractNumId w:val="0"/>
  </w:num>
  <w:num w:numId="3" w16cid:durableId="786122139">
    <w:abstractNumId w:val="3"/>
  </w:num>
  <w:num w:numId="4" w16cid:durableId="12973723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NkMzVhNTA1NWMzZDc0MDk3Nzc1ODUzODEwMDUwODEifQ=="/>
    <w:docVar w:name="EN.InstantFormat" w:val="&lt;ENInstantFormat&gt;&lt;Enabled&gt;1&lt;/Enabled&gt;&lt;ScanUnformatted&gt;1&lt;/ScanUnformatted&gt;&lt;ScanChanges&gt;1&lt;/ScanChanges&gt;&lt;Suspended&gt;1&lt;/Suspended&gt;&lt;/ENInstantFormat&gt;"/>
    <w:docVar w:name="EN.Layout" w:val="&lt;ENLayout&gt;&lt;Style&gt;Chinese Std GBT7714 (numeric) copy&lt;/Style&gt;&lt;LeftDelim&gt;{&lt;/LeftDelim&gt;&lt;RightDelim&gt;}&lt;/RightDelim&gt;&lt;FontName&gt;Times New Roman&lt;/FontName&gt;&lt;FontSize&gt;10&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xe0xw9a5ksss2bepfpxv2exzapw0pspfxrrs&quot;&gt;发酵TMR小论文&lt;record-ids&gt;&lt;item&gt;228&lt;/item&gt;&lt;/record-ids&gt;&lt;/item&gt;&lt;/Libraries&gt;"/>
  </w:docVars>
  <w:rsids>
    <w:rsidRoot w:val="00416669"/>
    <w:rsid w:val="000155DB"/>
    <w:rsid w:val="00017D16"/>
    <w:rsid w:val="000308A3"/>
    <w:rsid w:val="00032402"/>
    <w:rsid w:val="00036A34"/>
    <w:rsid w:val="000429E1"/>
    <w:rsid w:val="000434FB"/>
    <w:rsid w:val="00044247"/>
    <w:rsid w:val="0004735E"/>
    <w:rsid w:val="00057930"/>
    <w:rsid w:val="000610CF"/>
    <w:rsid w:val="000616CC"/>
    <w:rsid w:val="00061E22"/>
    <w:rsid w:val="00076D67"/>
    <w:rsid w:val="0008074C"/>
    <w:rsid w:val="000B42D5"/>
    <w:rsid w:val="000B474F"/>
    <w:rsid w:val="000E0375"/>
    <w:rsid w:val="000F7801"/>
    <w:rsid w:val="0010575F"/>
    <w:rsid w:val="00112EE8"/>
    <w:rsid w:val="00113F8F"/>
    <w:rsid w:val="001155D9"/>
    <w:rsid w:val="00122CF2"/>
    <w:rsid w:val="0012627C"/>
    <w:rsid w:val="00126374"/>
    <w:rsid w:val="0013098F"/>
    <w:rsid w:val="00132DB4"/>
    <w:rsid w:val="001372F7"/>
    <w:rsid w:val="00137BD4"/>
    <w:rsid w:val="00140742"/>
    <w:rsid w:val="00147E5E"/>
    <w:rsid w:val="001650ED"/>
    <w:rsid w:val="00173D9B"/>
    <w:rsid w:val="0017441B"/>
    <w:rsid w:val="001877A5"/>
    <w:rsid w:val="001A3DFC"/>
    <w:rsid w:val="001A3E3C"/>
    <w:rsid w:val="001A6550"/>
    <w:rsid w:val="001D0503"/>
    <w:rsid w:val="001E428B"/>
    <w:rsid w:val="001E72A2"/>
    <w:rsid w:val="001F1BFE"/>
    <w:rsid w:val="001F2BDD"/>
    <w:rsid w:val="001F5979"/>
    <w:rsid w:val="001F6496"/>
    <w:rsid w:val="00230B2D"/>
    <w:rsid w:val="002313E0"/>
    <w:rsid w:val="00231604"/>
    <w:rsid w:val="00232FFF"/>
    <w:rsid w:val="00237F30"/>
    <w:rsid w:val="00240E83"/>
    <w:rsid w:val="00246C40"/>
    <w:rsid w:val="002538BD"/>
    <w:rsid w:val="00255BC8"/>
    <w:rsid w:val="00256EDA"/>
    <w:rsid w:val="00257083"/>
    <w:rsid w:val="00257498"/>
    <w:rsid w:val="002574A2"/>
    <w:rsid w:val="00264E4C"/>
    <w:rsid w:val="00266508"/>
    <w:rsid w:val="002679DB"/>
    <w:rsid w:val="002A2BE5"/>
    <w:rsid w:val="002A38D8"/>
    <w:rsid w:val="002B5E17"/>
    <w:rsid w:val="002C3275"/>
    <w:rsid w:val="002C5FEC"/>
    <w:rsid w:val="002D17E1"/>
    <w:rsid w:val="002D653D"/>
    <w:rsid w:val="002E35C6"/>
    <w:rsid w:val="002F1A92"/>
    <w:rsid w:val="002F773B"/>
    <w:rsid w:val="002F78D3"/>
    <w:rsid w:val="002F7C43"/>
    <w:rsid w:val="00301EF9"/>
    <w:rsid w:val="00315468"/>
    <w:rsid w:val="00324544"/>
    <w:rsid w:val="003253E2"/>
    <w:rsid w:val="00327C9C"/>
    <w:rsid w:val="0033768E"/>
    <w:rsid w:val="00353076"/>
    <w:rsid w:val="00355292"/>
    <w:rsid w:val="003570FC"/>
    <w:rsid w:val="00357EA9"/>
    <w:rsid w:val="003616FA"/>
    <w:rsid w:val="0036445F"/>
    <w:rsid w:val="003647ED"/>
    <w:rsid w:val="0036767E"/>
    <w:rsid w:val="00371521"/>
    <w:rsid w:val="003763C5"/>
    <w:rsid w:val="00376C0E"/>
    <w:rsid w:val="00377593"/>
    <w:rsid w:val="00384379"/>
    <w:rsid w:val="00395E51"/>
    <w:rsid w:val="00397219"/>
    <w:rsid w:val="003A467C"/>
    <w:rsid w:val="003A7FFA"/>
    <w:rsid w:val="003B4101"/>
    <w:rsid w:val="003B4925"/>
    <w:rsid w:val="003C0E69"/>
    <w:rsid w:val="003D5430"/>
    <w:rsid w:val="003E41F0"/>
    <w:rsid w:val="003E6AD8"/>
    <w:rsid w:val="004008BE"/>
    <w:rsid w:val="00401F02"/>
    <w:rsid w:val="00403501"/>
    <w:rsid w:val="0041174A"/>
    <w:rsid w:val="00412FA3"/>
    <w:rsid w:val="00416243"/>
    <w:rsid w:val="00416669"/>
    <w:rsid w:val="004262B4"/>
    <w:rsid w:val="00434FDA"/>
    <w:rsid w:val="0043644F"/>
    <w:rsid w:val="004369B7"/>
    <w:rsid w:val="00441546"/>
    <w:rsid w:val="00441DDE"/>
    <w:rsid w:val="00443A22"/>
    <w:rsid w:val="0045024A"/>
    <w:rsid w:val="004558C5"/>
    <w:rsid w:val="00461507"/>
    <w:rsid w:val="004817B8"/>
    <w:rsid w:val="0048331E"/>
    <w:rsid w:val="00487AD2"/>
    <w:rsid w:val="00487FAD"/>
    <w:rsid w:val="004A3AE7"/>
    <w:rsid w:val="004A4D6E"/>
    <w:rsid w:val="004A4DC9"/>
    <w:rsid w:val="004B6B44"/>
    <w:rsid w:val="004C3612"/>
    <w:rsid w:val="004C40C4"/>
    <w:rsid w:val="004C500C"/>
    <w:rsid w:val="004C7768"/>
    <w:rsid w:val="004D3A8C"/>
    <w:rsid w:val="004D7696"/>
    <w:rsid w:val="004E670F"/>
    <w:rsid w:val="004F338A"/>
    <w:rsid w:val="004F7B86"/>
    <w:rsid w:val="00503FBF"/>
    <w:rsid w:val="00527ABD"/>
    <w:rsid w:val="00530419"/>
    <w:rsid w:val="00532D0E"/>
    <w:rsid w:val="00533B44"/>
    <w:rsid w:val="005436E7"/>
    <w:rsid w:val="0055067B"/>
    <w:rsid w:val="0055090C"/>
    <w:rsid w:val="005573B1"/>
    <w:rsid w:val="00564B6D"/>
    <w:rsid w:val="00571127"/>
    <w:rsid w:val="00571E77"/>
    <w:rsid w:val="0057251D"/>
    <w:rsid w:val="00572906"/>
    <w:rsid w:val="00576CFC"/>
    <w:rsid w:val="005850C6"/>
    <w:rsid w:val="00594619"/>
    <w:rsid w:val="00595AF8"/>
    <w:rsid w:val="0059745A"/>
    <w:rsid w:val="00597601"/>
    <w:rsid w:val="005A3DE9"/>
    <w:rsid w:val="005A7B28"/>
    <w:rsid w:val="005B3678"/>
    <w:rsid w:val="005C1DB7"/>
    <w:rsid w:val="005C3740"/>
    <w:rsid w:val="005D70F9"/>
    <w:rsid w:val="005E25C4"/>
    <w:rsid w:val="005F21F2"/>
    <w:rsid w:val="005F7967"/>
    <w:rsid w:val="006136A1"/>
    <w:rsid w:val="00613B1E"/>
    <w:rsid w:val="00617DE2"/>
    <w:rsid w:val="00617E82"/>
    <w:rsid w:val="006237C9"/>
    <w:rsid w:val="006274F4"/>
    <w:rsid w:val="006359DA"/>
    <w:rsid w:val="00642959"/>
    <w:rsid w:val="00644454"/>
    <w:rsid w:val="0064625B"/>
    <w:rsid w:val="00647006"/>
    <w:rsid w:val="006520B7"/>
    <w:rsid w:val="006615F3"/>
    <w:rsid w:val="00662C30"/>
    <w:rsid w:val="00673243"/>
    <w:rsid w:val="00676D14"/>
    <w:rsid w:val="00677237"/>
    <w:rsid w:val="006801B7"/>
    <w:rsid w:val="00680C71"/>
    <w:rsid w:val="00686267"/>
    <w:rsid w:val="006876D1"/>
    <w:rsid w:val="00692CFC"/>
    <w:rsid w:val="006A1F6A"/>
    <w:rsid w:val="006C0880"/>
    <w:rsid w:val="006C11CD"/>
    <w:rsid w:val="006C52CD"/>
    <w:rsid w:val="006D3074"/>
    <w:rsid w:val="006D5BF9"/>
    <w:rsid w:val="006E08FA"/>
    <w:rsid w:val="006E0E00"/>
    <w:rsid w:val="006E4C06"/>
    <w:rsid w:val="006F1DD4"/>
    <w:rsid w:val="006F237B"/>
    <w:rsid w:val="006F3702"/>
    <w:rsid w:val="006F740A"/>
    <w:rsid w:val="00701F8B"/>
    <w:rsid w:val="00702E4B"/>
    <w:rsid w:val="007038ED"/>
    <w:rsid w:val="00706039"/>
    <w:rsid w:val="007227A4"/>
    <w:rsid w:val="00722A10"/>
    <w:rsid w:val="00732883"/>
    <w:rsid w:val="007356A0"/>
    <w:rsid w:val="007508FD"/>
    <w:rsid w:val="00750DD8"/>
    <w:rsid w:val="0075399B"/>
    <w:rsid w:val="00757F83"/>
    <w:rsid w:val="007665CB"/>
    <w:rsid w:val="00777351"/>
    <w:rsid w:val="00792549"/>
    <w:rsid w:val="00793A3A"/>
    <w:rsid w:val="007A1632"/>
    <w:rsid w:val="007A1885"/>
    <w:rsid w:val="007A2731"/>
    <w:rsid w:val="007B11B3"/>
    <w:rsid w:val="007B6620"/>
    <w:rsid w:val="007B75B7"/>
    <w:rsid w:val="007C4CB1"/>
    <w:rsid w:val="007D1E41"/>
    <w:rsid w:val="007E63DA"/>
    <w:rsid w:val="007F0C38"/>
    <w:rsid w:val="007F5CB8"/>
    <w:rsid w:val="007F7B8C"/>
    <w:rsid w:val="00811291"/>
    <w:rsid w:val="008114DA"/>
    <w:rsid w:val="008127BC"/>
    <w:rsid w:val="00814B61"/>
    <w:rsid w:val="008242BD"/>
    <w:rsid w:val="0082475F"/>
    <w:rsid w:val="00827333"/>
    <w:rsid w:val="0083209C"/>
    <w:rsid w:val="00835A6F"/>
    <w:rsid w:val="00836F37"/>
    <w:rsid w:val="00837F17"/>
    <w:rsid w:val="0084113C"/>
    <w:rsid w:val="00847886"/>
    <w:rsid w:val="00847A63"/>
    <w:rsid w:val="008535A7"/>
    <w:rsid w:val="00860918"/>
    <w:rsid w:val="0086606A"/>
    <w:rsid w:val="008678ED"/>
    <w:rsid w:val="00873984"/>
    <w:rsid w:val="0088082F"/>
    <w:rsid w:val="008961C2"/>
    <w:rsid w:val="008962BA"/>
    <w:rsid w:val="00897E59"/>
    <w:rsid w:val="008A2DD2"/>
    <w:rsid w:val="008A2E71"/>
    <w:rsid w:val="008A3069"/>
    <w:rsid w:val="008A49C3"/>
    <w:rsid w:val="008B3504"/>
    <w:rsid w:val="008B7E15"/>
    <w:rsid w:val="008C3EDA"/>
    <w:rsid w:val="008E5F14"/>
    <w:rsid w:val="008E5F71"/>
    <w:rsid w:val="008E66D9"/>
    <w:rsid w:val="008F08FA"/>
    <w:rsid w:val="008F2E1B"/>
    <w:rsid w:val="008F773A"/>
    <w:rsid w:val="00904055"/>
    <w:rsid w:val="00907DBA"/>
    <w:rsid w:val="00914A4F"/>
    <w:rsid w:val="0091549B"/>
    <w:rsid w:val="009215F0"/>
    <w:rsid w:val="00922670"/>
    <w:rsid w:val="00927D4E"/>
    <w:rsid w:val="00935406"/>
    <w:rsid w:val="00945B8A"/>
    <w:rsid w:val="0095204F"/>
    <w:rsid w:val="0095404A"/>
    <w:rsid w:val="00973876"/>
    <w:rsid w:val="00980FDD"/>
    <w:rsid w:val="009812CC"/>
    <w:rsid w:val="00986C80"/>
    <w:rsid w:val="00991C57"/>
    <w:rsid w:val="009951C7"/>
    <w:rsid w:val="009966C3"/>
    <w:rsid w:val="0099687E"/>
    <w:rsid w:val="009A13B4"/>
    <w:rsid w:val="009A300F"/>
    <w:rsid w:val="009B09CB"/>
    <w:rsid w:val="009B1404"/>
    <w:rsid w:val="009C1890"/>
    <w:rsid w:val="009C1E98"/>
    <w:rsid w:val="009E25E4"/>
    <w:rsid w:val="009F110C"/>
    <w:rsid w:val="009F31FF"/>
    <w:rsid w:val="009F64A3"/>
    <w:rsid w:val="00A1717E"/>
    <w:rsid w:val="00A21B84"/>
    <w:rsid w:val="00A255CB"/>
    <w:rsid w:val="00A26331"/>
    <w:rsid w:val="00A2746C"/>
    <w:rsid w:val="00A27F7F"/>
    <w:rsid w:val="00A447CB"/>
    <w:rsid w:val="00A44C95"/>
    <w:rsid w:val="00A464AD"/>
    <w:rsid w:val="00A46547"/>
    <w:rsid w:val="00A542B0"/>
    <w:rsid w:val="00A5557B"/>
    <w:rsid w:val="00A56B82"/>
    <w:rsid w:val="00A75672"/>
    <w:rsid w:val="00A8486E"/>
    <w:rsid w:val="00AA2DCB"/>
    <w:rsid w:val="00AA3DF7"/>
    <w:rsid w:val="00AA4435"/>
    <w:rsid w:val="00AA7CED"/>
    <w:rsid w:val="00AB1FC9"/>
    <w:rsid w:val="00AB4133"/>
    <w:rsid w:val="00AB46A2"/>
    <w:rsid w:val="00AC6E8D"/>
    <w:rsid w:val="00AD492B"/>
    <w:rsid w:val="00AD4E95"/>
    <w:rsid w:val="00AD5C1F"/>
    <w:rsid w:val="00AD5E18"/>
    <w:rsid w:val="00AD78F8"/>
    <w:rsid w:val="00AE08AF"/>
    <w:rsid w:val="00AE1937"/>
    <w:rsid w:val="00AE3118"/>
    <w:rsid w:val="00AE3591"/>
    <w:rsid w:val="00AE35CB"/>
    <w:rsid w:val="00AF7E56"/>
    <w:rsid w:val="00B04616"/>
    <w:rsid w:val="00B072C7"/>
    <w:rsid w:val="00B101AB"/>
    <w:rsid w:val="00B27E34"/>
    <w:rsid w:val="00B30B48"/>
    <w:rsid w:val="00B337E6"/>
    <w:rsid w:val="00B34441"/>
    <w:rsid w:val="00B34D79"/>
    <w:rsid w:val="00B35BB0"/>
    <w:rsid w:val="00B36B7A"/>
    <w:rsid w:val="00B438C1"/>
    <w:rsid w:val="00B528E4"/>
    <w:rsid w:val="00B559A4"/>
    <w:rsid w:val="00B63763"/>
    <w:rsid w:val="00B756D2"/>
    <w:rsid w:val="00B915FB"/>
    <w:rsid w:val="00B92DBA"/>
    <w:rsid w:val="00B97595"/>
    <w:rsid w:val="00BA2455"/>
    <w:rsid w:val="00BA2A59"/>
    <w:rsid w:val="00BA706B"/>
    <w:rsid w:val="00BA7DAE"/>
    <w:rsid w:val="00BB0513"/>
    <w:rsid w:val="00BB71D2"/>
    <w:rsid w:val="00BC0C02"/>
    <w:rsid w:val="00BD1027"/>
    <w:rsid w:val="00BD35CA"/>
    <w:rsid w:val="00BD385F"/>
    <w:rsid w:val="00BD39E2"/>
    <w:rsid w:val="00BD3CA0"/>
    <w:rsid w:val="00BE0B0E"/>
    <w:rsid w:val="00BE3F98"/>
    <w:rsid w:val="00BF1329"/>
    <w:rsid w:val="00BF2F73"/>
    <w:rsid w:val="00BF72F5"/>
    <w:rsid w:val="00BF7605"/>
    <w:rsid w:val="00C04DE6"/>
    <w:rsid w:val="00C0677E"/>
    <w:rsid w:val="00C16421"/>
    <w:rsid w:val="00C22140"/>
    <w:rsid w:val="00C2658A"/>
    <w:rsid w:val="00C31237"/>
    <w:rsid w:val="00C35D5A"/>
    <w:rsid w:val="00C42D41"/>
    <w:rsid w:val="00C43B8F"/>
    <w:rsid w:val="00C43FAD"/>
    <w:rsid w:val="00C45F48"/>
    <w:rsid w:val="00C474C8"/>
    <w:rsid w:val="00C54D42"/>
    <w:rsid w:val="00C679AC"/>
    <w:rsid w:val="00C758D8"/>
    <w:rsid w:val="00C81D94"/>
    <w:rsid w:val="00C900AE"/>
    <w:rsid w:val="00C9570B"/>
    <w:rsid w:val="00CA1927"/>
    <w:rsid w:val="00CA3AB7"/>
    <w:rsid w:val="00CA51C8"/>
    <w:rsid w:val="00CB619E"/>
    <w:rsid w:val="00CD6231"/>
    <w:rsid w:val="00CE53AB"/>
    <w:rsid w:val="00D00CC8"/>
    <w:rsid w:val="00D01278"/>
    <w:rsid w:val="00D22D66"/>
    <w:rsid w:val="00D250E5"/>
    <w:rsid w:val="00D253BE"/>
    <w:rsid w:val="00D26985"/>
    <w:rsid w:val="00D3529E"/>
    <w:rsid w:val="00D46F1D"/>
    <w:rsid w:val="00D53C06"/>
    <w:rsid w:val="00D60D26"/>
    <w:rsid w:val="00D60EB5"/>
    <w:rsid w:val="00D73891"/>
    <w:rsid w:val="00D749ED"/>
    <w:rsid w:val="00D81652"/>
    <w:rsid w:val="00D81CB9"/>
    <w:rsid w:val="00D90078"/>
    <w:rsid w:val="00D9528D"/>
    <w:rsid w:val="00DA3ED9"/>
    <w:rsid w:val="00DA4986"/>
    <w:rsid w:val="00DC10BE"/>
    <w:rsid w:val="00DD550E"/>
    <w:rsid w:val="00DD56EA"/>
    <w:rsid w:val="00DD694C"/>
    <w:rsid w:val="00DF0229"/>
    <w:rsid w:val="00DF3DAB"/>
    <w:rsid w:val="00DF4E14"/>
    <w:rsid w:val="00DF666A"/>
    <w:rsid w:val="00DF6EA3"/>
    <w:rsid w:val="00DF7946"/>
    <w:rsid w:val="00E1686F"/>
    <w:rsid w:val="00E21921"/>
    <w:rsid w:val="00E33DCF"/>
    <w:rsid w:val="00E373AD"/>
    <w:rsid w:val="00E4036C"/>
    <w:rsid w:val="00E418B3"/>
    <w:rsid w:val="00E52D55"/>
    <w:rsid w:val="00E56FB6"/>
    <w:rsid w:val="00E57815"/>
    <w:rsid w:val="00E62DD5"/>
    <w:rsid w:val="00E7477E"/>
    <w:rsid w:val="00E8551F"/>
    <w:rsid w:val="00E923DA"/>
    <w:rsid w:val="00E93DBA"/>
    <w:rsid w:val="00E9519E"/>
    <w:rsid w:val="00E96678"/>
    <w:rsid w:val="00E967AE"/>
    <w:rsid w:val="00EA3B73"/>
    <w:rsid w:val="00EB7CF2"/>
    <w:rsid w:val="00EC7E5B"/>
    <w:rsid w:val="00EE1047"/>
    <w:rsid w:val="00EF0176"/>
    <w:rsid w:val="00EF4463"/>
    <w:rsid w:val="00F10D01"/>
    <w:rsid w:val="00F11312"/>
    <w:rsid w:val="00F143A4"/>
    <w:rsid w:val="00F21D5B"/>
    <w:rsid w:val="00F2339E"/>
    <w:rsid w:val="00F266DE"/>
    <w:rsid w:val="00F33865"/>
    <w:rsid w:val="00F4018F"/>
    <w:rsid w:val="00F46585"/>
    <w:rsid w:val="00F465B9"/>
    <w:rsid w:val="00F47A32"/>
    <w:rsid w:val="00F50FA6"/>
    <w:rsid w:val="00F55084"/>
    <w:rsid w:val="00F62E99"/>
    <w:rsid w:val="00F65A3A"/>
    <w:rsid w:val="00F70A79"/>
    <w:rsid w:val="00F73820"/>
    <w:rsid w:val="00F75167"/>
    <w:rsid w:val="00F765AB"/>
    <w:rsid w:val="00F810F1"/>
    <w:rsid w:val="00F85661"/>
    <w:rsid w:val="00F938C1"/>
    <w:rsid w:val="00FA3307"/>
    <w:rsid w:val="00FB5B64"/>
    <w:rsid w:val="00FC18DE"/>
    <w:rsid w:val="00FC2299"/>
    <w:rsid w:val="00FC7766"/>
    <w:rsid w:val="00FD2844"/>
    <w:rsid w:val="00FD4EFA"/>
    <w:rsid w:val="00FD55D6"/>
    <w:rsid w:val="00FD6815"/>
    <w:rsid w:val="00FD6B91"/>
    <w:rsid w:val="00FE01AF"/>
    <w:rsid w:val="00FE6C94"/>
    <w:rsid w:val="00FF48BF"/>
    <w:rsid w:val="00FF5684"/>
    <w:rsid w:val="01885582"/>
    <w:rsid w:val="02D3570F"/>
    <w:rsid w:val="035769A3"/>
    <w:rsid w:val="040D0C24"/>
    <w:rsid w:val="068D1FAD"/>
    <w:rsid w:val="06A31DF0"/>
    <w:rsid w:val="097035F9"/>
    <w:rsid w:val="0A0E7F26"/>
    <w:rsid w:val="0D7F514F"/>
    <w:rsid w:val="13EC5F71"/>
    <w:rsid w:val="150E269C"/>
    <w:rsid w:val="166F5222"/>
    <w:rsid w:val="1767603B"/>
    <w:rsid w:val="184A31E0"/>
    <w:rsid w:val="1D730C34"/>
    <w:rsid w:val="1E711A49"/>
    <w:rsid w:val="20A67D62"/>
    <w:rsid w:val="253E083A"/>
    <w:rsid w:val="26265313"/>
    <w:rsid w:val="27FC27CF"/>
    <w:rsid w:val="29363ABF"/>
    <w:rsid w:val="29C63095"/>
    <w:rsid w:val="2AA17567"/>
    <w:rsid w:val="2C8376D8"/>
    <w:rsid w:val="2E67471B"/>
    <w:rsid w:val="30A071CD"/>
    <w:rsid w:val="3100387E"/>
    <w:rsid w:val="32F41833"/>
    <w:rsid w:val="35D66C79"/>
    <w:rsid w:val="363F0E23"/>
    <w:rsid w:val="366F04F9"/>
    <w:rsid w:val="37677267"/>
    <w:rsid w:val="391F59BB"/>
    <w:rsid w:val="39707CB8"/>
    <w:rsid w:val="3EF33504"/>
    <w:rsid w:val="43712A92"/>
    <w:rsid w:val="47BC742D"/>
    <w:rsid w:val="482C3F1D"/>
    <w:rsid w:val="4AD420FB"/>
    <w:rsid w:val="4D9E3FA3"/>
    <w:rsid w:val="4E193658"/>
    <w:rsid w:val="4F27620E"/>
    <w:rsid w:val="52BD4306"/>
    <w:rsid w:val="52C935E2"/>
    <w:rsid w:val="5420452F"/>
    <w:rsid w:val="560D45D3"/>
    <w:rsid w:val="5BC14BBB"/>
    <w:rsid w:val="5C9D7268"/>
    <w:rsid w:val="5F97769F"/>
    <w:rsid w:val="615A37DE"/>
    <w:rsid w:val="62B07A33"/>
    <w:rsid w:val="633A0287"/>
    <w:rsid w:val="63B36E26"/>
    <w:rsid w:val="64B659E6"/>
    <w:rsid w:val="669435F8"/>
    <w:rsid w:val="66AA38F8"/>
    <w:rsid w:val="694960C1"/>
    <w:rsid w:val="69F152C0"/>
    <w:rsid w:val="6D2A1A28"/>
    <w:rsid w:val="6E253618"/>
    <w:rsid w:val="6F9E5BF8"/>
    <w:rsid w:val="73CE5A0F"/>
    <w:rsid w:val="77785FC7"/>
    <w:rsid w:val="78EC706A"/>
    <w:rsid w:val="7EF40C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1011856C"/>
  <w15:docId w15:val="{A82D06D3-9D74-4DED-9114-B00D635B9A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widowControl w:val="0"/>
      <w:jc w:val="both"/>
    </w:pPr>
    <w:rPr>
      <w:kern w:val="2"/>
      <w:sz w:val="21"/>
      <w:szCs w:val="21"/>
    </w:rPr>
  </w:style>
  <w:style w:type="paragraph" w:styleId="1">
    <w:name w:val="heading 1"/>
    <w:basedOn w:val="a0"/>
    <w:next w:val="a0"/>
    <w:link w:val="10"/>
    <w:uiPriority w:val="9"/>
    <w:qFormat/>
    <w:pPr>
      <w:keepNext/>
      <w:keepLines/>
      <w:spacing w:before="240" w:after="240" w:line="360" w:lineRule="auto"/>
      <w:outlineLvl w:val="0"/>
    </w:pPr>
    <w:rPr>
      <w:b/>
      <w:bCs/>
      <w:kern w:val="44"/>
      <w:sz w:val="28"/>
      <w:szCs w:val="44"/>
    </w:rPr>
  </w:style>
  <w:style w:type="paragraph" w:styleId="2">
    <w:name w:val="heading 2"/>
    <w:basedOn w:val="a0"/>
    <w:next w:val="a0"/>
    <w:link w:val="20"/>
    <w:uiPriority w:val="9"/>
    <w:qFormat/>
    <w:pPr>
      <w:keepNext/>
      <w:keepLines/>
      <w:spacing w:before="240" w:after="240" w:line="360" w:lineRule="auto"/>
      <w:outlineLvl w:val="1"/>
    </w:pPr>
    <w:rPr>
      <w:rFonts w:ascii="等线 Light" w:eastAsia="黑体" w:hAnsi="等线 Light"/>
      <w:bCs/>
      <w:sz w:val="24"/>
      <w:szCs w:val="32"/>
    </w:rPr>
  </w:style>
  <w:style w:type="paragraph" w:styleId="3">
    <w:name w:val="heading 3"/>
    <w:basedOn w:val="a0"/>
    <w:next w:val="a0"/>
    <w:link w:val="30"/>
    <w:uiPriority w:val="9"/>
    <w:unhideWhenUsed/>
    <w:qFormat/>
    <w:pPr>
      <w:keepNext/>
      <w:keepLines/>
      <w:spacing w:line="360" w:lineRule="auto"/>
      <w:outlineLvl w:val="2"/>
    </w:pPr>
    <w:rPr>
      <w:b/>
      <w:bCs/>
      <w:sz w:val="24"/>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qFormat/>
    <w:rPr>
      <w:rFonts w:ascii="等线 Light" w:eastAsia="黑体" w:hAnsi="等线 Light"/>
      <w:sz w:val="20"/>
      <w:szCs w:val="20"/>
    </w:rPr>
  </w:style>
  <w:style w:type="paragraph" w:styleId="TOC3">
    <w:name w:val="toc 3"/>
    <w:basedOn w:val="a0"/>
    <w:next w:val="a0"/>
    <w:autoRedefine/>
    <w:uiPriority w:val="39"/>
    <w:unhideWhenUsed/>
    <w:qFormat/>
    <w:pPr>
      <w:ind w:leftChars="400" w:left="840"/>
    </w:pPr>
  </w:style>
  <w:style w:type="paragraph" w:styleId="a5">
    <w:name w:val="Plain Text"/>
    <w:basedOn w:val="a0"/>
    <w:uiPriority w:val="99"/>
    <w:qFormat/>
    <w:rPr>
      <w:rFonts w:ascii="宋体" w:hAnsi="Courier New" w:cs="宋体"/>
    </w:rPr>
  </w:style>
  <w:style w:type="paragraph" w:styleId="a6">
    <w:name w:val="Date"/>
    <w:basedOn w:val="a0"/>
    <w:next w:val="a0"/>
    <w:link w:val="a7"/>
    <w:qFormat/>
    <w:pPr>
      <w:ind w:leftChars="2500" w:left="100"/>
    </w:pPr>
    <w:rPr>
      <w:szCs w:val="24"/>
    </w:rPr>
  </w:style>
  <w:style w:type="paragraph" w:styleId="a8">
    <w:name w:val="Balloon Text"/>
    <w:basedOn w:val="a0"/>
    <w:link w:val="a9"/>
    <w:unhideWhenUsed/>
    <w:qFormat/>
    <w:rPr>
      <w:sz w:val="18"/>
      <w:szCs w:val="18"/>
    </w:rPr>
  </w:style>
  <w:style w:type="paragraph" w:styleId="aa">
    <w:name w:val="footer"/>
    <w:basedOn w:val="a0"/>
    <w:link w:val="ab"/>
    <w:uiPriority w:val="99"/>
    <w:unhideWhenUsed/>
    <w:qFormat/>
    <w:pPr>
      <w:tabs>
        <w:tab w:val="center" w:pos="4153"/>
        <w:tab w:val="right" w:pos="8306"/>
      </w:tabs>
      <w:snapToGrid w:val="0"/>
      <w:jc w:val="left"/>
    </w:pPr>
    <w:rPr>
      <w:sz w:val="18"/>
      <w:szCs w:val="18"/>
    </w:rPr>
  </w:style>
  <w:style w:type="paragraph" w:styleId="ac">
    <w:name w:val="header"/>
    <w:basedOn w:val="a0"/>
    <w:link w:val="ad"/>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0"/>
    <w:next w:val="a0"/>
    <w:autoRedefine/>
    <w:uiPriority w:val="39"/>
    <w:unhideWhenUsed/>
    <w:qFormat/>
    <w:pPr>
      <w:tabs>
        <w:tab w:val="right" w:leader="dot" w:pos="8538"/>
      </w:tabs>
      <w:spacing w:line="360" w:lineRule="auto"/>
    </w:pPr>
  </w:style>
  <w:style w:type="paragraph" w:styleId="TOC2">
    <w:name w:val="toc 2"/>
    <w:basedOn w:val="a0"/>
    <w:next w:val="a0"/>
    <w:autoRedefine/>
    <w:uiPriority w:val="39"/>
    <w:unhideWhenUsed/>
    <w:qFormat/>
    <w:pPr>
      <w:ind w:leftChars="200" w:left="420"/>
    </w:pPr>
  </w:style>
  <w:style w:type="table" w:styleId="ae">
    <w:name w:val="Table Grid"/>
    <w:basedOn w:val="a2"/>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qFormat/>
    <w:rPr>
      <w:b/>
    </w:rPr>
  </w:style>
  <w:style w:type="character" w:styleId="af0">
    <w:name w:val="page number"/>
    <w:qFormat/>
  </w:style>
  <w:style w:type="character" w:styleId="af1">
    <w:name w:val="Hyperlink"/>
    <w:uiPriority w:val="99"/>
    <w:unhideWhenUsed/>
    <w:qFormat/>
    <w:rPr>
      <w:color w:val="0563C1"/>
      <w:u w:val="single"/>
    </w:rPr>
  </w:style>
  <w:style w:type="character" w:customStyle="1" w:styleId="20">
    <w:name w:val="标题 2 字符"/>
    <w:link w:val="2"/>
    <w:uiPriority w:val="9"/>
    <w:qFormat/>
    <w:rPr>
      <w:rFonts w:ascii="等线 Light" w:eastAsia="黑体" w:hAnsi="等线 Light"/>
      <w:bCs/>
      <w:kern w:val="2"/>
      <w:sz w:val="24"/>
      <w:szCs w:val="32"/>
    </w:rPr>
  </w:style>
  <w:style w:type="character" w:customStyle="1" w:styleId="a7">
    <w:name w:val="日期 字符"/>
    <w:link w:val="a6"/>
    <w:qFormat/>
    <w:rPr>
      <w:rFonts w:ascii="Times New Roman" w:eastAsia="宋体" w:hAnsi="Times New Roman" w:cs="Times New Roman"/>
      <w:kern w:val="2"/>
      <w:sz w:val="21"/>
      <w:szCs w:val="24"/>
    </w:rPr>
  </w:style>
  <w:style w:type="character" w:customStyle="1" w:styleId="a9">
    <w:name w:val="批注框文本 字符"/>
    <w:link w:val="a8"/>
    <w:uiPriority w:val="99"/>
    <w:semiHidden/>
    <w:qFormat/>
    <w:rPr>
      <w:rFonts w:ascii="Times New Roman" w:eastAsia="宋体" w:hAnsi="Times New Roman" w:cs="Times New Roman"/>
      <w:kern w:val="2"/>
      <w:sz w:val="18"/>
      <w:szCs w:val="18"/>
    </w:rPr>
  </w:style>
  <w:style w:type="character" w:customStyle="1" w:styleId="ab">
    <w:name w:val="页脚 字符"/>
    <w:link w:val="aa"/>
    <w:uiPriority w:val="99"/>
    <w:qFormat/>
    <w:rPr>
      <w:rFonts w:ascii="Times New Roman" w:eastAsia="宋体" w:hAnsi="Times New Roman" w:cs="Times New Roman"/>
      <w:sz w:val="18"/>
      <w:szCs w:val="18"/>
    </w:rPr>
  </w:style>
  <w:style w:type="character" w:customStyle="1" w:styleId="ad">
    <w:name w:val="页眉 字符"/>
    <w:link w:val="ac"/>
    <w:qFormat/>
    <w:rPr>
      <w:rFonts w:ascii="Times New Roman" w:eastAsia="宋体" w:hAnsi="Times New Roman" w:cs="Times New Roman"/>
      <w:sz w:val="18"/>
      <w:szCs w:val="18"/>
    </w:rPr>
  </w:style>
  <w:style w:type="character" w:customStyle="1" w:styleId="fontstyle01">
    <w:name w:val="fontstyle01"/>
    <w:qFormat/>
    <w:rPr>
      <w:rFonts w:ascii="黑体" w:eastAsia="黑体" w:hAnsi="黑体" w:hint="eastAsia"/>
      <w:color w:val="000000"/>
      <w:sz w:val="32"/>
      <w:szCs w:val="32"/>
    </w:rPr>
  </w:style>
  <w:style w:type="character" w:customStyle="1" w:styleId="11">
    <w:name w:val="未处理的提及1"/>
    <w:uiPriority w:val="99"/>
    <w:unhideWhenUsed/>
    <w:qFormat/>
    <w:rPr>
      <w:color w:val="605E5C"/>
      <w:shd w:val="clear" w:color="auto" w:fill="E1DFDD"/>
    </w:rPr>
  </w:style>
  <w:style w:type="character" w:customStyle="1" w:styleId="Char">
    <w:name w:val="段 Char"/>
    <w:link w:val="af2"/>
    <w:qFormat/>
    <w:rPr>
      <w:rFonts w:ascii="宋体" w:eastAsia="宋体" w:hAnsi="Times New Roman" w:cs="Times New Roman"/>
      <w:kern w:val="0"/>
      <w:szCs w:val="20"/>
    </w:rPr>
  </w:style>
  <w:style w:type="paragraph" w:customStyle="1" w:styleId="af2">
    <w:name w:val="段"/>
    <w:link w:val="Char"/>
    <w:qFormat/>
    <w:pPr>
      <w:tabs>
        <w:tab w:val="center" w:pos="4201"/>
        <w:tab w:val="right" w:leader="dot" w:pos="9298"/>
      </w:tabs>
      <w:autoSpaceDE w:val="0"/>
      <w:autoSpaceDN w:val="0"/>
      <w:ind w:firstLineChars="200" w:firstLine="420"/>
      <w:jc w:val="both"/>
    </w:pPr>
    <w:rPr>
      <w:rFonts w:ascii="宋体"/>
      <w:sz w:val="21"/>
    </w:rPr>
  </w:style>
  <w:style w:type="character" w:customStyle="1" w:styleId="fontstyle11">
    <w:name w:val="fontstyle11"/>
    <w:qFormat/>
    <w:rPr>
      <w:rFonts w:ascii="TimesNewRomanPSMT" w:hAnsi="TimesNewRomanPSMT" w:hint="default"/>
      <w:color w:val="000000"/>
      <w:sz w:val="22"/>
      <w:szCs w:val="22"/>
    </w:rPr>
  </w:style>
  <w:style w:type="character" w:customStyle="1" w:styleId="apple-style-span">
    <w:name w:val="apple-style-span"/>
    <w:semiHidden/>
    <w:qFormat/>
  </w:style>
  <w:style w:type="paragraph" w:styleId="af3">
    <w:name w:val="List Paragraph"/>
    <w:basedOn w:val="a0"/>
    <w:uiPriority w:val="99"/>
    <w:qFormat/>
    <w:pPr>
      <w:ind w:firstLineChars="200" w:firstLine="420"/>
    </w:pPr>
  </w:style>
  <w:style w:type="paragraph" w:customStyle="1" w:styleId="Char1CharCharCharCharCharCharCharCharChar">
    <w:name w:val="Char1 Char Char Char Char Char Char Char Char Char"/>
    <w:basedOn w:val="a0"/>
    <w:qFormat/>
    <w:pPr>
      <w:spacing w:line="360" w:lineRule="auto"/>
    </w:pPr>
    <w:rPr>
      <w:rFonts w:ascii="Tahoma" w:hAnsi="Tahoma"/>
      <w:sz w:val="24"/>
      <w:szCs w:val="20"/>
    </w:rPr>
  </w:style>
  <w:style w:type="paragraph" w:customStyle="1" w:styleId="af4">
    <w:name w:val="图标标题"/>
    <w:basedOn w:val="a4"/>
    <w:qFormat/>
    <w:pPr>
      <w:jc w:val="center"/>
    </w:pPr>
    <w:rPr>
      <w:sz w:val="21"/>
    </w:rPr>
  </w:style>
  <w:style w:type="paragraph" w:customStyle="1" w:styleId="12">
    <w:name w:val="修订1"/>
    <w:uiPriority w:val="99"/>
    <w:unhideWhenUsed/>
    <w:qFormat/>
    <w:rPr>
      <w:kern w:val="2"/>
      <w:sz w:val="21"/>
      <w:szCs w:val="21"/>
    </w:rPr>
  </w:style>
  <w:style w:type="paragraph" w:customStyle="1" w:styleId="EndNoteBibliography">
    <w:name w:val="EndNote Bibliography"/>
    <w:basedOn w:val="a0"/>
    <w:link w:val="EndNoteBibliography0"/>
    <w:qFormat/>
    <w:rPr>
      <w:rFonts w:eastAsia="等线"/>
      <w:sz w:val="20"/>
      <w:szCs w:val="22"/>
    </w:rPr>
  </w:style>
  <w:style w:type="character" w:customStyle="1" w:styleId="EndNoteBibliography0">
    <w:name w:val="EndNote Bibliography 字符"/>
    <w:link w:val="EndNoteBibliography"/>
    <w:qFormat/>
    <w:rPr>
      <w:rFonts w:eastAsia="等线"/>
      <w:kern w:val="2"/>
      <w:szCs w:val="22"/>
    </w:rPr>
  </w:style>
  <w:style w:type="paragraph" w:customStyle="1" w:styleId="EndNoteBibliographyTitle">
    <w:name w:val="EndNote Bibliography Title"/>
    <w:basedOn w:val="a0"/>
    <w:link w:val="EndNoteBibliographyTitle0"/>
    <w:qFormat/>
    <w:pPr>
      <w:jc w:val="center"/>
    </w:pPr>
    <w:rPr>
      <w:sz w:val="20"/>
    </w:rPr>
  </w:style>
  <w:style w:type="character" w:customStyle="1" w:styleId="EndNoteBibliographyTitle0">
    <w:name w:val="EndNote Bibliography Title 字符"/>
    <w:link w:val="EndNoteBibliographyTitle"/>
    <w:qFormat/>
    <w:rPr>
      <w:kern w:val="2"/>
      <w:szCs w:val="21"/>
      <w:lang w:val="en-US" w:eastAsia="zh-CN"/>
    </w:rPr>
  </w:style>
  <w:style w:type="character" w:customStyle="1" w:styleId="10">
    <w:name w:val="标题 1 字符"/>
    <w:link w:val="1"/>
    <w:uiPriority w:val="9"/>
    <w:qFormat/>
    <w:rPr>
      <w:b/>
      <w:bCs/>
      <w:kern w:val="44"/>
      <w:sz w:val="28"/>
      <w:szCs w:val="44"/>
    </w:rPr>
  </w:style>
  <w:style w:type="paragraph" w:customStyle="1" w:styleId="TOC10">
    <w:name w:val="TOC 标题1"/>
    <w:basedOn w:val="1"/>
    <w:next w:val="a0"/>
    <w:uiPriority w:val="39"/>
    <w:unhideWhenUsed/>
    <w:qFormat/>
    <w:pPr>
      <w:widowControl/>
      <w:spacing w:after="0" w:line="259" w:lineRule="auto"/>
      <w:jc w:val="left"/>
      <w:outlineLvl w:val="9"/>
    </w:pPr>
    <w:rPr>
      <w:rFonts w:ascii="等线 Light" w:eastAsia="等线 Light" w:hAnsi="等线 Light"/>
      <w:b w:val="0"/>
      <w:bCs w:val="0"/>
      <w:color w:val="2F5496"/>
      <w:kern w:val="0"/>
      <w:sz w:val="32"/>
      <w:szCs w:val="32"/>
    </w:rPr>
  </w:style>
  <w:style w:type="character" w:customStyle="1" w:styleId="30">
    <w:name w:val="标题 3 字符"/>
    <w:link w:val="3"/>
    <w:uiPriority w:val="9"/>
    <w:qFormat/>
    <w:rPr>
      <w:b/>
      <w:bCs/>
      <w:kern w:val="2"/>
      <w:sz w:val="24"/>
      <w:szCs w:val="32"/>
    </w:rPr>
  </w:style>
  <w:style w:type="character" w:customStyle="1" w:styleId="Char0">
    <w:name w:val="标准文件_段 Char"/>
    <w:link w:val="af5"/>
    <w:qFormat/>
    <w:locked/>
    <w:rPr>
      <w:rFonts w:ascii="宋体"/>
      <w:sz w:val="21"/>
    </w:rPr>
  </w:style>
  <w:style w:type="paragraph" w:customStyle="1" w:styleId="af5">
    <w:name w:val="标准文件_段"/>
    <w:link w:val="Char0"/>
    <w:qFormat/>
    <w:pPr>
      <w:autoSpaceDE w:val="0"/>
      <w:autoSpaceDN w:val="0"/>
      <w:ind w:firstLineChars="200" w:firstLine="200"/>
      <w:jc w:val="both"/>
    </w:pPr>
    <w:rPr>
      <w:rFonts w:ascii="宋体"/>
      <w:sz w:val="21"/>
    </w:rPr>
  </w:style>
  <w:style w:type="paragraph" w:customStyle="1" w:styleId="a">
    <w:name w:val="章标题"/>
    <w:next w:val="af2"/>
    <w:qFormat/>
    <w:pPr>
      <w:numPr>
        <w:numId w:val="1"/>
      </w:numPr>
      <w:spacing w:beforeLines="100" w:afterLines="100"/>
      <w:jc w:val="both"/>
      <w:outlineLvl w:val="1"/>
    </w:pPr>
    <w:rPr>
      <w:rFonts w:ascii="黑体" w:eastAsia="黑体"/>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7BFD8C-1850-47D2-BE5D-0813EAA0C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763</Words>
  <Characters>4355</Characters>
  <Application>Microsoft Office Word</Application>
  <DocSecurity>0</DocSecurity>
  <Lines>36</Lines>
  <Paragraphs>10</Paragraphs>
  <ScaleCrop>false</ScaleCrop>
  <Company>Lenovo</Company>
  <LinksUpToDate>false</LinksUpToDate>
  <CharactersWithSpaces>5108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win10</dc:creator>
  <cp:lastModifiedBy>奎奎 倪</cp:lastModifiedBy>
  <cp:revision>6</cp:revision>
  <cp:lastPrinted>2021-10-27T07:09:00Z</cp:lastPrinted>
  <dcterms:created xsi:type="dcterms:W3CDTF">2026-05-06T17:35:00Z</dcterms:created>
  <dcterms:modified xsi:type="dcterms:W3CDTF">2026-05-15T02:43:00Z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41863EF1ED1547AFA74F754C904F072C_13</vt:lpwstr>
  </property>
  <property fmtid="{D5CDD505-2E9C-101B-9397-08002B2CF9AE}" pid="4" name="KSOTemplateDocerSaveRecord">
    <vt:lpwstr>eyJoZGlkIjoiMWFmODA1ODI3Mjk5MTViZDljYmU2ZTIxMGY1ODljZDgiLCJ1c2VySWQiOiIxNzY4Nzk1MzQ5In0=</vt:lpwstr>
  </property>
</Properties>
</file>