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21F563A4">
            <w:pPr>
              <w:pStyle w:val="19"/>
              <w:framePr w:hSpace="0" w:wrap="auto" w:vAnchor="margin" w:hAnchor="text" w:yAlign="inline"/>
              <w:rPr>
                <w:rFonts w:hint="eastAsia"/>
              </w:rPr>
            </w:pPr>
            <w:r>
              <w:t>ICS</w:t>
            </w:r>
            <w:r>
              <w:rPr>
                <w:rFonts w:hint="eastAsia"/>
              </w:rPr>
              <w:t xml:space="preserve"> </w:t>
            </w:r>
            <w:r>
              <w:rPr>
                <w:rFonts w:hint="eastAsia"/>
                <w:highlight w:val="yellow"/>
              </w:rPr>
              <w:t>65.020</w:t>
            </w:r>
          </w:p>
        </w:tc>
        <w:tc>
          <w:tcPr>
            <w:tcW w:w="8608"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11E21A9E">
            <w:pPr>
              <w:pStyle w:val="19"/>
              <w:framePr w:hSpace="0" w:wrap="auto" w:vAnchor="margin" w:hAnchor="text" w:yAlign="inline"/>
              <w:rPr>
                <w:rFonts w:hint="eastAsia"/>
              </w:rPr>
            </w:pPr>
            <w:r>
              <w:t>CCS</w:t>
            </w:r>
            <w:r>
              <w:rPr>
                <w:rFonts w:hint="eastAsia"/>
              </w:rPr>
              <w:t xml:space="preserve"> </w:t>
            </w:r>
            <w:r>
              <w:rPr>
                <w:rFonts w:hint="eastAsia"/>
                <w:highlight w:val="yellow"/>
              </w:rPr>
              <w:t>B 20</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2A23DAAB">
                  <w:pPr>
                    <w:pStyle w:val="53"/>
                    <w:framePr w:hSpace="0" w:wrap="auto" w:vAnchor="margin" w:hAnchor="text" w:yAlign="inline"/>
                    <w:rPr>
                      <w:rFonts w:hint="eastAsia"/>
                    </w:rPr>
                  </w:pPr>
                  <w:r>
                    <w:t>T</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356469BF">
      <w:pPr>
        <w:pStyle w:val="201"/>
        <w:framePr w:h="6974" w:hRule="exact" w:wrap="around" w:x="1419" w:anchorLock="1"/>
        <w:spacing w:before="120" w:after="120"/>
        <w:rPr>
          <w:rFonts w:hint="eastAsia"/>
        </w:rPr>
      </w:pPr>
      <w:r>
        <w:t>食用菌菌糠发酵饲料</w:t>
      </w:r>
      <w:r>
        <w:rPr>
          <w:rFonts w:hint="eastAsia"/>
        </w:rPr>
        <w:t>制作和使用技术规程</w:t>
      </w:r>
    </w:p>
    <w:p w14:paraId="130F064F">
      <w:pPr>
        <w:pStyle w:val="199"/>
        <w:framePr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int="eastAsia" w:hAnsi="黑体"/>
        </w:rPr>
        <w:t>XX</w:t>
      </w:r>
      <w:bookmarkEnd w:id="3"/>
      <w:r>
        <w:rPr>
          <w:rFonts w:hint="eastAsia" w:hAnsi="黑体"/>
        </w:rPr>
        <w:t>XX</w:t>
      </w:r>
    </w:p>
    <w:p w14:paraId="4271B0C2">
      <w:pPr>
        <w:pStyle w:val="200"/>
        <w:framePr w:x="1601" w:y="3445"/>
        <w:rPr>
          <w:rFonts w:hint="eastAsia" w:hAnsi="黑体"/>
        </w:rPr>
      </w:pPr>
    </w:p>
    <w:p w14:paraId="6839A1F8"/>
    <w:p w14:paraId="0607A248">
      <w:pPr>
        <w:pStyle w:val="129"/>
        <w:framePr w:wrap="around"/>
      </w:pPr>
      <w:r>
        <w:fldChar w:fldCharType="begin">
          <w:ffData>
            <w:name w:val="ESTD_NAME"/>
            <w:enabled/>
            <w:calcOnExit w:val="0"/>
            <w:textInput>
              <w:default w:val="Technical code of practice for the production and use of edible fungus residue fermented feed"/>
            </w:textInput>
          </w:ffData>
        </w:fldChar>
      </w:r>
      <w:bookmarkStart w:id="4" w:name="ESTD_NAME"/>
      <w:r>
        <w:instrText xml:space="preserve"> FORMTEXT </w:instrText>
      </w:r>
      <w:r>
        <w:fldChar w:fldCharType="separate"/>
      </w:r>
      <w:r>
        <w:t>Technical code of practice for the production and use of edible fungus residue fermented feed</w:t>
      </w:r>
      <w:r>
        <w:fldChar w:fldCharType="end"/>
      </w:r>
      <w:bookmarkEnd w:id="4"/>
    </w:p>
    <w:p w14:paraId="6DE948F2">
      <w:pPr>
        <w:pStyle w:val="129"/>
        <w:framePr w:wrap="around"/>
      </w:pPr>
      <w:r>
        <w:rPr>
          <w:rFonts w:hint="eastAsia"/>
        </w:rPr>
        <w:t>（征求意见稿）</w:t>
      </w:r>
    </w:p>
    <w:p w14:paraId="7951493F">
      <w:pPr>
        <w:pStyle w:val="129"/>
        <w:framePr w:wrap="around"/>
      </w:pPr>
      <w:r>
        <w:rPr>
          <w:rFonts w:hint="eastAsia"/>
        </w:rPr>
        <w:t>在提交反馈意见时，请将您知道的相关专利连同支持性文件一并附上。</w:t>
      </w:r>
    </w:p>
    <w:p w14:paraId="29A04CDF"/>
    <w:p w14:paraId="6F58C787">
      <w:pPr>
        <w:pStyle w:val="197"/>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rPr>
          <w:rFonts w:hint="eastAsia"/>
        </w:rPr>
        <w:t>发布</w:t>
      </w:r>
    </w:p>
    <w:p w14:paraId="3BEB7C95">
      <w:pPr>
        <w:pStyle w:val="198"/>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6"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hint="eastAsia" w:ascii="黑体"/>
        </w:rPr>
        <w:t>XX</w:t>
      </w:r>
      <w:r>
        <w:rPr>
          <w:rFonts w:hint="eastAsia"/>
        </w:rPr>
        <w:t>实施</w:t>
      </w:r>
    </w:p>
    <w:p w14:paraId="54172164">
      <w:pPr>
        <w:pStyle w:val="155"/>
        <w:framePr w:h="584" w:hRule="exact" w:hSpace="181" w:vSpace="181" w:wrap="around" w:vAnchor="page" w:hAnchor="page" w:x="2558" w:y="14913"/>
        <w:rPr>
          <w:rFonts w:hint="eastAsia" w:hAnsi="黑体"/>
        </w:rPr>
      </w:pPr>
      <w:r>
        <w:rPr>
          <w:rFonts w:hint="eastAsia" w:hAnsi="黑体"/>
          <w:w w:val="100"/>
          <w:sz w:val="28"/>
        </w:rPr>
        <w:fldChar w:fldCharType="begin">
          <w:ffData>
            <w:name w:val="fm"/>
            <w:enabled/>
            <w:calcOnExit w:val="0"/>
            <w:textInput>
              <w:default w:val="北京华夏草业产业技术创新战略联盟"/>
            </w:textInput>
          </w:ffData>
        </w:fldChar>
      </w:r>
      <w:bookmarkStart w:id="7"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北京华夏草业产业技术创新战略联盟</w:t>
      </w:r>
      <w:r>
        <w:rPr>
          <w:rFonts w:hint="eastAsia" w:hAnsi="黑体"/>
          <w:w w:val="100"/>
          <w:sz w:val="28"/>
        </w:rPr>
        <w:fldChar w:fldCharType="end"/>
      </w:r>
      <w:bookmarkEnd w:id="7"/>
      <w:r>
        <w:rPr>
          <w:rFonts w:ascii="Times New Roman"/>
          <w:w w:val="100"/>
          <w:sz w:val="28"/>
        </w:rPr>
        <w:t>  </w:t>
      </w:r>
      <w:r>
        <w:rPr>
          <w:rStyle w:val="233"/>
          <w:rFonts w:hint="eastAsia" w:hAnsi="黑体"/>
          <w:position w:val="0"/>
        </w:rPr>
        <w:t>发</w:t>
      </w:r>
      <w:r>
        <w:rPr>
          <w:rStyle w:val="233"/>
          <w:rFonts w:hint="eastAsia" w:hAnsi="黑体"/>
          <w:spacing w:val="0"/>
          <w:position w:val="0"/>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bookmarkStart w:id="67" w:name="_GoBack"/>
      <w:bookmarkEnd w:id="67"/>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pPr>
      <w:r>
        <w:rPr>
          <w:rFonts w:hint="eastAsia"/>
          <w:spacing w:val="320"/>
        </w:rPr>
        <w:t>目</w:t>
      </w:r>
      <w:r>
        <w:rPr>
          <w:rFonts w:hint="eastAsia"/>
        </w:rPr>
        <w:t>次</w:t>
      </w:r>
    </w:p>
    <w:p w14:paraId="45EAE6E9">
      <w:pPr>
        <w:pStyle w:val="20"/>
      </w:pPr>
    </w:p>
    <w:sdt>
      <w:sdtPr>
        <w:rPr>
          <w:rFonts w:ascii="宋体" w:hAnsi="宋体" w:eastAsia="宋体" w:cs="Times New Roman"/>
          <w:kern w:val="2"/>
          <w:sz w:val="21"/>
          <w:szCs w:val="21"/>
          <w:lang w:val="en-US" w:eastAsia="zh-CN" w:bidi="ar-SA"/>
        </w:rPr>
        <w:id w:val="147459778"/>
        <w15:color w:val="DBDBDB"/>
        <w:docPartObj>
          <w:docPartGallery w:val="Table of Contents"/>
          <w:docPartUnique/>
        </w:docPartObj>
      </w:sdtPr>
      <w:sdtEndPr>
        <w:rPr>
          <w:rFonts w:ascii="Calibri" w:hAnsi="Calibri" w:eastAsia="宋体" w:cs="Times New Roman"/>
          <w:kern w:val="2"/>
          <w:sz w:val="21"/>
          <w:szCs w:val="21"/>
          <w:lang w:val="en-US" w:eastAsia="zh-CN" w:bidi="ar-SA"/>
        </w:rPr>
      </w:sdtEndPr>
      <w:sdtContent>
        <w:p w14:paraId="1285CD19">
          <w:pPr>
            <w:spacing w:before="0" w:beforeLines="0" w:after="0" w:afterLines="0" w:line="240" w:lineRule="auto"/>
            <w:ind w:left="0" w:leftChars="0" w:right="0" w:rightChars="0" w:firstLine="0" w:firstLineChars="0"/>
            <w:jc w:val="center"/>
          </w:pPr>
          <w:r>
            <w:rPr>
              <w:rFonts w:ascii="宋体" w:hAnsi="宋体" w:eastAsia="宋体"/>
              <w:sz w:val="21"/>
            </w:rPr>
            <w:t>目录</w:t>
          </w:r>
        </w:p>
        <w:p w14:paraId="51C83509">
          <w:pPr>
            <w:pStyle w:val="20"/>
            <w:tabs>
              <w:tab w:val="right" w:leader="dot" w:pos="9354"/>
              <w:tab w:val="clear" w:pos="9298"/>
            </w:tabs>
          </w:pPr>
          <w:r>
            <w:fldChar w:fldCharType="begin"/>
          </w:r>
          <w:r>
            <w:instrText xml:space="preserve">TOC \o "1-9" \h \u </w:instrText>
          </w:r>
          <w:r>
            <w:fldChar w:fldCharType="separate"/>
          </w:r>
          <w:r>
            <w:fldChar w:fldCharType="begin"/>
          </w:r>
          <w:r>
            <w:instrText xml:space="preserve"> HYPERLINK \l _Toc14855 </w:instrText>
          </w:r>
          <w:r>
            <w:fldChar w:fldCharType="separate"/>
          </w:r>
          <w:r>
            <w:rPr>
              <w:rFonts w:hint="eastAsia" w:ascii="黑体" w:hAnsi="Times New Roman" w:eastAsia="黑体" w:cs="Times New Roman"/>
              <w:i w:val="0"/>
              <w:lang w:val="en-US" w:eastAsia="zh-CN" w:bidi="ar-SA"/>
            </w:rPr>
            <w:t>1　</w:t>
          </w:r>
          <w:r>
            <w:rPr>
              <w:rFonts w:hint="eastAsia"/>
            </w:rPr>
            <w:t>范围</w:t>
          </w:r>
          <w:r>
            <w:tab/>
          </w:r>
          <w:r>
            <w:fldChar w:fldCharType="begin"/>
          </w:r>
          <w:r>
            <w:instrText xml:space="preserve"> PAGEREF _Toc14855 \h </w:instrText>
          </w:r>
          <w:r>
            <w:fldChar w:fldCharType="separate"/>
          </w:r>
          <w:r>
            <w:t>1</w:t>
          </w:r>
          <w:r>
            <w:fldChar w:fldCharType="end"/>
          </w:r>
          <w:r>
            <w:fldChar w:fldCharType="end"/>
          </w:r>
        </w:p>
        <w:p w14:paraId="461DFB35">
          <w:pPr>
            <w:pStyle w:val="20"/>
            <w:tabs>
              <w:tab w:val="right" w:leader="dot" w:pos="9354"/>
              <w:tab w:val="clear" w:pos="9298"/>
            </w:tabs>
          </w:pPr>
          <w:r>
            <w:fldChar w:fldCharType="begin"/>
          </w:r>
          <w:r>
            <w:instrText xml:space="preserve"> HYPERLINK \l _Toc20016 </w:instrText>
          </w:r>
          <w:r>
            <w:fldChar w:fldCharType="separate"/>
          </w:r>
          <w:r>
            <w:rPr>
              <w:rFonts w:hint="eastAsia" w:ascii="黑体" w:hAnsi="Times New Roman" w:eastAsia="黑体" w:cs="Times New Roman"/>
              <w:i w:val="0"/>
              <w:lang w:val="en-US" w:eastAsia="zh-CN" w:bidi="ar-SA"/>
            </w:rPr>
            <w:t>2　</w:t>
          </w:r>
          <w:r>
            <w:rPr>
              <w:rFonts w:hint="eastAsia"/>
            </w:rPr>
            <w:t>规范性引用文件</w:t>
          </w:r>
          <w:r>
            <w:tab/>
          </w:r>
          <w:r>
            <w:fldChar w:fldCharType="begin"/>
          </w:r>
          <w:r>
            <w:instrText xml:space="preserve"> PAGEREF _Toc20016 \h </w:instrText>
          </w:r>
          <w:r>
            <w:fldChar w:fldCharType="separate"/>
          </w:r>
          <w:r>
            <w:t>1</w:t>
          </w:r>
          <w:r>
            <w:fldChar w:fldCharType="end"/>
          </w:r>
          <w:r>
            <w:fldChar w:fldCharType="end"/>
          </w:r>
        </w:p>
        <w:p w14:paraId="7199A2BB">
          <w:pPr>
            <w:pStyle w:val="20"/>
            <w:tabs>
              <w:tab w:val="right" w:leader="dot" w:pos="9354"/>
              <w:tab w:val="clear" w:pos="9298"/>
            </w:tabs>
          </w:pPr>
          <w:r>
            <w:fldChar w:fldCharType="begin"/>
          </w:r>
          <w:r>
            <w:instrText xml:space="preserve"> HYPERLINK \l _Toc30989 </w:instrText>
          </w:r>
          <w:r>
            <w:fldChar w:fldCharType="separate"/>
          </w:r>
          <w:r>
            <w:rPr>
              <w:rFonts w:hint="eastAsia" w:ascii="黑体" w:hAnsi="Times New Roman" w:eastAsia="黑体" w:cs="Times New Roman"/>
              <w:i w:val="0"/>
              <w:lang w:val="en-US" w:eastAsia="zh-CN" w:bidi="ar-SA"/>
            </w:rPr>
            <w:t>3　</w:t>
          </w:r>
          <w:r>
            <w:rPr>
              <w:rFonts w:hint="eastAsia"/>
            </w:rPr>
            <w:t>术语和定义</w:t>
          </w:r>
          <w:r>
            <w:tab/>
          </w:r>
          <w:r>
            <w:fldChar w:fldCharType="begin"/>
          </w:r>
          <w:r>
            <w:instrText xml:space="preserve"> PAGEREF _Toc30989 \h </w:instrText>
          </w:r>
          <w:r>
            <w:fldChar w:fldCharType="separate"/>
          </w:r>
          <w:r>
            <w:t>1</w:t>
          </w:r>
          <w:r>
            <w:fldChar w:fldCharType="end"/>
          </w:r>
          <w:r>
            <w:fldChar w:fldCharType="end"/>
          </w:r>
        </w:p>
        <w:p w14:paraId="546DE5BE">
          <w:pPr>
            <w:pStyle w:val="20"/>
            <w:tabs>
              <w:tab w:val="right" w:leader="dot" w:pos="9354"/>
              <w:tab w:val="clear" w:pos="9298"/>
            </w:tabs>
          </w:pPr>
          <w:r>
            <w:fldChar w:fldCharType="begin"/>
          </w:r>
          <w:r>
            <w:instrText xml:space="preserve"> HYPERLINK \l _Toc24768 </w:instrText>
          </w:r>
          <w:r>
            <w:fldChar w:fldCharType="separate"/>
          </w:r>
          <w:r>
            <w:rPr>
              <w:rFonts w:hint="eastAsia" w:ascii="黑体" w:hAnsi="Times New Roman" w:eastAsia="黑体" w:cs="Times New Roman"/>
              <w:i w:val="0"/>
              <w:lang w:val="en-US" w:eastAsia="zh-CN" w:bidi="ar-SA"/>
            </w:rPr>
            <w:t>4　</w:t>
          </w:r>
          <w:r>
            <w:rPr>
              <w:rFonts w:hint="eastAsia"/>
              <w:lang w:val="en-US" w:eastAsia="zh-CN"/>
            </w:rPr>
            <w:t>发酵前准备</w:t>
          </w:r>
          <w:r>
            <w:tab/>
          </w:r>
          <w:r>
            <w:fldChar w:fldCharType="begin"/>
          </w:r>
          <w:r>
            <w:instrText xml:space="preserve"> PAGEREF _Toc24768 \h </w:instrText>
          </w:r>
          <w:r>
            <w:fldChar w:fldCharType="separate"/>
          </w:r>
          <w:r>
            <w:t>2</w:t>
          </w:r>
          <w:r>
            <w:fldChar w:fldCharType="end"/>
          </w:r>
          <w:r>
            <w:fldChar w:fldCharType="end"/>
          </w:r>
        </w:p>
        <w:p w14:paraId="3C50DB1C">
          <w:pPr>
            <w:pStyle w:val="20"/>
            <w:tabs>
              <w:tab w:val="right" w:leader="dot" w:pos="9354"/>
              <w:tab w:val="clear" w:pos="9298"/>
            </w:tabs>
          </w:pPr>
          <w:r>
            <w:fldChar w:fldCharType="begin"/>
          </w:r>
          <w:r>
            <w:instrText xml:space="preserve"> HYPERLINK \l _Toc4870 </w:instrText>
          </w:r>
          <w:r>
            <w:fldChar w:fldCharType="separate"/>
          </w:r>
          <w:r>
            <w:rPr>
              <w:rFonts w:hint="eastAsia" w:ascii="黑体" w:hAnsi="Times New Roman" w:eastAsia="黑体" w:cs="Times New Roman"/>
              <w:i w:val="0"/>
              <w:lang w:val="en-US" w:eastAsia="zh-CN" w:bidi="ar-SA"/>
            </w:rPr>
            <w:t>5　</w:t>
          </w:r>
          <w:r>
            <w:rPr>
              <w:rFonts w:hint="eastAsia"/>
              <w:lang w:val="en-US" w:eastAsia="zh-CN"/>
            </w:rPr>
            <w:t>原料选择与预处理</w:t>
          </w:r>
          <w:r>
            <w:tab/>
          </w:r>
          <w:r>
            <w:fldChar w:fldCharType="begin"/>
          </w:r>
          <w:r>
            <w:instrText xml:space="preserve"> PAGEREF _Toc4870 \h </w:instrText>
          </w:r>
          <w:r>
            <w:fldChar w:fldCharType="separate"/>
          </w:r>
          <w:r>
            <w:t>2</w:t>
          </w:r>
          <w:r>
            <w:fldChar w:fldCharType="end"/>
          </w:r>
          <w:r>
            <w:fldChar w:fldCharType="end"/>
          </w:r>
        </w:p>
        <w:p w14:paraId="47CBC87D">
          <w:pPr>
            <w:pStyle w:val="20"/>
            <w:tabs>
              <w:tab w:val="right" w:leader="dot" w:pos="9354"/>
              <w:tab w:val="clear" w:pos="9298"/>
            </w:tabs>
          </w:pPr>
          <w:r>
            <w:fldChar w:fldCharType="begin"/>
          </w:r>
          <w:r>
            <w:instrText xml:space="preserve"> HYPERLINK \l _Toc29770 </w:instrText>
          </w:r>
          <w:r>
            <w:fldChar w:fldCharType="separate"/>
          </w:r>
          <w:r>
            <w:rPr>
              <w:rFonts w:hint="eastAsia" w:ascii="黑体" w:hAnsi="Times New Roman" w:eastAsia="黑体" w:cs="Times New Roman"/>
              <w:i w:val="0"/>
              <w:lang w:val="en-US" w:eastAsia="zh-CN" w:bidi="ar-SA"/>
            </w:rPr>
            <w:t>6　</w:t>
          </w:r>
          <w:r>
            <w:rPr>
              <w:rFonts w:hint="eastAsia"/>
              <w:lang w:val="en-US" w:eastAsia="zh-CN"/>
            </w:rPr>
            <w:t>裹包青贮</w:t>
          </w:r>
          <w:r>
            <w:tab/>
          </w:r>
          <w:r>
            <w:fldChar w:fldCharType="begin"/>
          </w:r>
          <w:r>
            <w:instrText xml:space="preserve"> PAGEREF _Toc29770 \h </w:instrText>
          </w:r>
          <w:r>
            <w:fldChar w:fldCharType="separate"/>
          </w:r>
          <w:r>
            <w:t>2</w:t>
          </w:r>
          <w:r>
            <w:fldChar w:fldCharType="end"/>
          </w:r>
          <w:r>
            <w:fldChar w:fldCharType="end"/>
          </w:r>
        </w:p>
        <w:p w14:paraId="722739E5">
          <w:pPr>
            <w:pStyle w:val="20"/>
            <w:tabs>
              <w:tab w:val="right" w:leader="dot" w:pos="9354"/>
              <w:tab w:val="clear" w:pos="9298"/>
            </w:tabs>
          </w:pPr>
          <w:r>
            <w:fldChar w:fldCharType="begin"/>
          </w:r>
          <w:r>
            <w:instrText xml:space="preserve"> HYPERLINK \l _Toc19638 </w:instrText>
          </w:r>
          <w:r>
            <w:fldChar w:fldCharType="separate"/>
          </w:r>
          <w:r>
            <w:rPr>
              <w:rFonts w:hint="eastAsia" w:ascii="黑体" w:hAnsi="Times New Roman" w:eastAsia="黑体" w:cs="Times New Roman"/>
              <w:i w:val="0"/>
              <w:lang w:val="en-US" w:eastAsia="zh-CN" w:bidi="ar-SA"/>
            </w:rPr>
            <w:t>7　</w:t>
          </w:r>
          <w:r>
            <w:rPr>
              <w:rFonts w:hint="eastAsia"/>
              <w:lang w:val="en-US" w:eastAsia="zh-CN"/>
            </w:rPr>
            <w:t>窖贮</w:t>
          </w:r>
          <w:r>
            <w:tab/>
          </w:r>
          <w:r>
            <w:fldChar w:fldCharType="begin"/>
          </w:r>
          <w:r>
            <w:instrText xml:space="preserve"> PAGEREF _Toc19638 \h </w:instrText>
          </w:r>
          <w:r>
            <w:fldChar w:fldCharType="separate"/>
          </w:r>
          <w:r>
            <w:t>2</w:t>
          </w:r>
          <w:r>
            <w:fldChar w:fldCharType="end"/>
          </w:r>
          <w:r>
            <w:fldChar w:fldCharType="end"/>
          </w:r>
        </w:p>
        <w:p w14:paraId="09B136FB">
          <w:pPr>
            <w:pStyle w:val="20"/>
            <w:tabs>
              <w:tab w:val="right" w:leader="dot" w:pos="9354"/>
              <w:tab w:val="clear" w:pos="9298"/>
            </w:tabs>
          </w:pPr>
          <w:r>
            <w:fldChar w:fldCharType="begin"/>
          </w:r>
          <w:r>
            <w:instrText xml:space="preserve"> HYPERLINK \l _Toc1393 </w:instrText>
          </w:r>
          <w:r>
            <w:fldChar w:fldCharType="separate"/>
          </w:r>
          <w:r>
            <w:rPr>
              <w:rFonts w:hint="eastAsia" w:ascii="黑体" w:hAnsi="黑体" w:eastAsia="黑体" w:cs="黑体"/>
              <w:lang w:val="en-US" w:eastAsia="zh-CN"/>
            </w:rPr>
            <w:t>8</w:t>
          </w:r>
          <w:r>
            <w:rPr>
              <w:rFonts w:hint="eastAsia"/>
              <w:lang w:val="en-US" w:eastAsia="zh-CN"/>
            </w:rPr>
            <w:t xml:space="preserve"> 袋贮</w:t>
          </w:r>
          <w:r>
            <w:tab/>
          </w:r>
          <w:r>
            <w:fldChar w:fldCharType="begin"/>
          </w:r>
          <w:r>
            <w:instrText xml:space="preserve"> PAGEREF _Toc1393 \h </w:instrText>
          </w:r>
          <w:r>
            <w:fldChar w:fldCharType="separate"/>
          </w:r>
          <w:r>
            <w:t>3</w:t>
          </w:r>
          <w:r>
            <w:fldChar w:fldCharType="end"/>
          </w:r>
          <w:r>
            <w:fldChar w:fldCharType="end"/>
          </w:r>
        </w:p>
        <w:p w14:paraId="15A87A8C">
          <w:pPr>
            <w:pStyle w:val="20"/>
            <w:tabs>
              <w:tab w:val="right" w:leader="dot" w:pos="9354"/>
              <w:tab w:val="clear" w:pos="9298"/>
            </w:tabs>
          </w:pPr>
          <w:r>
            <w:fldChar w:fldCharType="begin"/>
          </w:r>
          <w:r>
            <w:instrText xml:space="preserve"> HYPERLINK \l _Toc7744 </w:instrText>
          </w:r>
          <w:r>
            <w:fldChar w:fldCharType="separate"/>
          </w:r>
          <w:r>
            <w:rPr>
              <w:rFonts w:hint="eastAsia" w:ascii="黑体" w:hAnsi="黑体" w:eastAsia="黑体" w:cs="黑体"/>
            </w:rPr>
            <w:t>9</w:t>
          </w:r>
          <w:r>
            <w:t xml:space="preserve"> </w:t>
          </w:r>
          <w:r>
            <w:rPr>
              <w:rFonts w:hint="eastAsia"/>
            </w:rPr>
            <w:t>饲喂取用</w:t>
          </w:r>
          <w:r>
            <w:tab/>
          </w:r>
          <w:r>
            <w:fldChar w:fldCharType="begin"/>
          </w:r>
          <w:r>
            <w:instrText xml:space="preserve"> PAGEREF _Toc7744 \h </w:instrText>
          </w:r>
          <w:r>
            <w:fldChar w:fldCharType="separate"/>
          </w:r>
          <w:r>
            <w:t>3</w:t>
          </w:r>
          <w:r>
            <w:fldChar w:fldCharType="end"/>
          </w:r>
          <w:r>
            <w:fldChar w:fldCharType="end"/>
          </w:r>
        </w:p>
        <w:p w14:paraId="621AA614">
          <w:pPr>
            <w:pStyle w:val="20"/>
            <w:tabs>
              <w:tab w:val="right" w:leader="dot" w:pos="9354"/>
              <w:tab w:val="clear" w:pos="9298"/>
            </w:tabs>
          </w:pPr>
          <w:r>
            <w:fldChar w:fldCharType="begin"/>
          </w:r>
          <w:r>
            <w:instrText xml:space="preserve"> HYPERLINK \l _Toc29413 </w:instrText>
          </w:r>
          <w:r>
            <w:fldChar w:fldCharType="separate"/>
          </w:r>
          <w:r>
            <w:rPr>
              <w:rFonts w:hint="eastAsia" w:ascii="黑体" w:hAnsi="黑体" w:eastAsia="黑体" w:cs="黑体"/>
            </w:rPr>
            <w:t>10</w:t>
          </w:r>
          <w:r>
            <w:t xml:space="preserve"> </w:t>
          </w:r>
          <w:r>
            <w:rPr>
              <w:rFonts w:hint="eastAsia"/>
              <w:lang w:val="en-US" w:eastAsia="zh-CN"/>
            </w:rPr>
            <w:t>质量评定</w:t>
          </w:r>
          <w:r>
            <w:tab/>
          </w:r>
          <w:r>
            <w:fldChar w:fldCharType="begin"/>
          </w:r>
          <w:r>
            <w:instrText xml:space="preserve"> PAGEREF _Toc29413 \h </w:instrText>
          </w:r>
          <w:r>
            <w:fldChar w:fldCharType="separate"/>
          </w:r>
          <w:r>
            <w:t>3</w:t>
          </w:r>
          <w:r>
            <w:fldChar w:fldCharType="end"/>
          </w:r>
          <w:r>
            <w:fldChar w:fldCharType="end"/>
          </w:r>
        </w:p>
        <w:p w14:paraId="77EC00FC">
          <w:pPr>
            <w:rPr>
              <w:rFonts w:ascii="Calibri" w:hAnsi="Calibri" w:eastAsia="宋体" w:cs="Times New Roman"/>
              <w:kern w:val="2"/>
              <w:sz w:val="21"/>
              <w:szCs w:val="21"/>
              <w:lang w:val="en-US" w:eastAsia="zh-CN" w:bidi="ar-SA"/>
            </w:rPr>
          </w:pPr>
          <w:r>
            <w:fldChar w:fldCharType="end"/>
          </w:r>
        </w:p>
      </w:sdtContent>
    </w:sdt>
    <w:p w14:paraId="78E09A6D">
      <w:pPr>
        <w:rPr>
          <w:rFonts w:ascii="Calibri" w:hAnsi="Calibri" w:eastAsia="宋体" w:cs="Times New Roman"/>
          <w:kern w:val="2"/>
          <w:sz w:val="21"/>
          <w:szCs w:val="21"/>
          <w:lang w:val="en-US" w:eastAsia="zh-CN" w:bidi="ar-SA"/>
        </w:rPr>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p>
    <w:p w14:paraId="5FA94F69">
      <w:pPr>
        <w:pStyle w:val="93"/>
        <w:ind w:left="0" w:leftChars="0" w:firstLine="0" w:firstLineChars="0"/>
        <w:outlineLvl w:val="9"/>
      </w:pPr>
      <w:bookmarkStart w:id="8" w:name="_Toc211935585"/>
      <w:bookmarkStart w:id="9" w:name="BookMark2"/>
      <w:r>
        <w:rPr>
          <w:spacing w:val="320"/>
        </w:rPr>
        <w:t>前</w:t>
      </w:r>
      <w:r>
        <w:t>言</w:t>
      </w:r>
      <w:bookmarkEnd w:id="8"/>
    </w:p>
    <w:p w14:paraId="4029077C">
      <w:pPr>
        <w:pStyle w:val="60"/>
        <w:ind w:firstLine="420"/>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14:paraId="01110820">
      <w:pPr>
        <w:pStyle w:val="60"/>
        <w:ind w:firstLine="420"/>
        <w:rPr>
          <w:rFonts w:hint="default" w:ascii="Times New Roman" w:hAnsi="Times New Roman" w:cs="Times New Roman"/>
        </w:rPr>
      </w:pPr>
      <w:r>
        <w:rPr>
          <w:rFonts w:hint="default" w:ascii="Times New Roman" w:hAnsi="Times New Roman" w:cs="Times New Roman"/>
        </w:rPr>
        <w:t>本文件由北京华夏草业产业技术创新战略联盟提出并归口。</w:t>
      </w:r>
    </w:p>
    <w:p w14:paraId="05717292">
      <w:pPr>
        <w:pStyle w:val="60"/>
        <w:ind w:firstLine="420"/>
        <w:rPr>
          <w:rFonts w:hint="default" w:ascii="Times New Roman" w:hAnsi="Times New Roman" w:cs="Times New Roman"/>
        </w:rPr>
      </w:pPr>
      <w:r>
        <w:rPr>
          <w:rFonts w:hint="default" w:ascii="Times New Roman" w:hAnsi="Times New Roman" w:cs="Times New Roman"/>
        </w:rPr>
        <w:t>本文件起草单位：中国农业大学、贵州大学、广西壮族自治区大化瑶族自治县农业农村局、中国大唐集团有限公司。</w:t>
      </w:r>
    </w:p>
    <w:p w14:paraId="6C44EE54">
      <w:pPr>
        <w:pStyle w:val="60"/>
        <w:ind w:firstLine="420"/>
        <w:rPr>
          <w:rFonts w:hint="default" w:ascii="Times New Roman" w:hAnsi="Times New Roman" w:cs="Times New Roman"/>
        </w:rPr>
      </w:pPr>
      <w:r>
        <w:rPr>
          <w:rFonts w:hint="default" w:ascii="Times New Roman" w:hAnsi="Times New Roman" w:cs="Times New Roman"/>
        </w:rPr>
        <w:t>本文件主要起草人：倪奎奎、杨富裕、黄阳、唐轮、韦锋、高星照、李梦鑫、王学凯、王旭敖、高宇。</w:t>
      </w:r>
    </w:p>
    <w:p w14:paraId="05EFCB79">
      <w:pPr>
        <w:pStyle w:val="60"/>
        <w:ind w:firstLine="420"/>
        <w:rPr>
          <w:rFonts w:hint="default" w:ascii="Times New Roman" w:hAnsi="Times New Roman" w:cs="Times New Roman"/>
        </w:rPr>
      </w:pPr>
      <w:r>
        <w:rPr>
          <w:rFonts w:hint="default" w:ascii="Times New Roman" w:hAnsi="Times New Roman" w:cs="Times New Roman"/>
        </w:rPr>
        <w:t>本文件为首次发布。</w:t>
      </w:r>
    </w:p>
    <w:p w14:paraId="2C09E2DE">
      <w:pPr>
        <w:pStyle w:val="60"/>
        <w:ind w:firstLine="420"/>
        <w:rPr>
          <w:rFonts w:hint="default" w:ascii="Times New Roman" w:hAnsi="Times New Roman" w:cs="Times New Roman"/>
        </w:rPr>
      </w:pPr>
      <w:r>
        <w:rPr>
          <w:rFonts w:hint="default" w:ascii="Times New Roman" w:hAnsi="Times New Roman" w:cs="Times New Roman"/>
        </w:rPr>
        <w:t>本文件的某些内容可能涉及专利。本文件的发布机构不承担识别这些专利的责任。</w:t>
      </w:r>
    </w:p>
    <w:p w14:paraId="07C8639B">
      <w:pPr>
        <w:pStyle w:val="60"/>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9"/>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1"/>
                <w:spacing w:before="850" w:after="680" w:line="240" w:lineRule="auto"/>
                <w:rPr>
                  <w:rFonts w:hint="eastAsia"/>
                </w:rPr>
              </w:pPr>
              <w:bookmarkStart w:id="10" w:name="NEW_STAND_NAME"/>
              <w:bookmarkStart w:id="11" w:name="BookMark4"/>
              <w:r>
                <w:t>食用菌菌糠发酵饲料制作和使用技术规程</w:t>
              </w:r>
            </w:p>
          </w:sdtContent>
        </w:sdt>
      </w:sdtContent>
    </w:sdt>
    <w:bookmarkEnd w:id="10"/>
    <w:p w14:paraId="7A0D302B">
      <w:pPr>
        <w:pStyle w:val="108"/>
        <w:numPr>
          <w:numId w:val="0"/>
        </w:numPr>
        <w:snapToGrid w:val="0"/>
        <w:spacing w:before="240" w:after="240"/>
        <w:ind w:left="0" w:leftChars="0" w:firstLine="0" w:firstLineChars="0"/>
      </w:pPr>
      <w:bookmarkStart w:id="12" w:name="_Toc17233325"/>
      <w:bookmarkStart w:id="13" w:name="_Toc26986771"/>
      <w:bookmarkStart w:id="14" w:name="_Toc24884211"/>
      <w:bookmarkStart w:id="15" w:name="_Toc26648465"/>
      <w:bookmarkStart w:id="16" w:name="_Toc24884218"/>
      <w:bookmarkStart w:id="17" w:name="_Toc17233333"/>
      <w:bookmarkStart w:id="18" w:name="_Toc26986530"/>
      <w:bookmarkStart w:id="19" w:name="_Toc97192964"/>
      <w:bookmarkStart w:id="20" w:name="_Toc211935586"/>
      <w:bookmarkStart w:id="21" w:name="_Toc26718930"/>
      <w:bookmarkStart w:id="22" w:name="_Toc14855"/>
      <w:r>
        <w:rPr>
          <w:rFonts w:hint="eastAsia" w:ascii="黑体" w:hAnsi="Times New Roman" w:eastAsia="黑体" w:cs="Times New Roman"/>
          <w:b w:val="0"/>
          <w:i w:val="0"/>
          <w:sz w:val="21"/>
          <w:lang w:val="en-US" w:eastAsia="zh-CN" w:bidi="ar-SA"/>
        </w:rPr>
        <w:t>1　</w:t>
      </w:r>
      <w:r>
        <w:rPr>
          <w:rFonts w:hint="eastAsia"/>
        </w:rPr>
        <w:t>范围</w:t>
      </w:r>
      <w:bookmarkEnd w:id="12"/>
      <w:bookmarkEnd w:id="13"/>
      <w:bookmarkEnd w:id="14"/>
      <w:bookmarkEnd w:id="15"/>
      <w:bookmarkEnd w:id="16"/>
      <w:bookmarkEnd w:id="17"/>
      <w:bookmarkEnd w:id="18"/>
      <w:bookmarkEnd w:id="19"/>
      <w:bookmarkEnd w:id="20"/>
      <w:bookmarkEnd w:id="21"/>
      <w:bookmarkEnd w:id="22"/>
    </w:p>
    <w:p w14:paraId="149DE50A">
      <w:pPr>
        <w:pStyle w:val="60"/>
        <w:ind w:firstLine="420"/>
      </w:pPr>
      <w:bookmarkStart w:id="23" w:name="_Hlk152665020"/>
      <w:bookmarkStart w:id="24" w:name="_Toc26648466"/>
      <w:bookmarkStart w:id="25" w:name="_Toc24884212"/>
      <w:bookmarkStart w:id="26" w:name="_Toc17233326"/>
      <w:bookmarkStart w:id="27" w:name="_Toc17233334"/>
      <w:bookmarkStart w:id="28" w:name="_Toc24884219"/>
      <w:r>
        <w:rPr>
          <w:rFonts w:hint="eastAsia"/>
        </w:rPr>
        <w:t>本文件规定了食用菌菌糠发酵饲料制作和使用技术规程</w:t>
      </w:r>
      <w:r>
        <w:rPr>
          <w:rFonts w:hint="eastAsia"/>
          <w:lang w:eastAsia="zh-CN"/>
        </w:rPr>
        <w:t>。</w:t>
      </w:r>
      <w:r>
        <w:rPr>
          <w:rFonts w:hint="eastAsia"/>
          <w:lang w:val="en-US" w:eastAsia="zh-CN"/>
        </w:rPr>
        <w:t>主要包括</w:t>
      </w:r>
      <w:r>
        <w:rPr>
          <w:rFonts w:hint="eastAsia"/>
        </w:rPr>
        <w:t>术语和定义、</w:t>
      </w:r>
      <w:r>
        <w:rPr>
          <w:rFonts w:hint="eastAsia"/>
          <w:lang w:val="en-US" w:eastAsia="zh-CN"/>
        </w:rPr>
        <w:t>发酵前准备、</w:t>
      </w:r>
      <w:r>
        <w:rPr>
          <w:rFonts w:hint="eastAsia"/>
        </w:rPr>
        <w:t>原料</w:t>
      </w:r>
      <w:r>
        <w:rPr>
          <w:rFonts w:hint="eastAsia"/>
          <w:lang w:val="en-US" w:eastAsia="zh-CN"/>
        </w:rPr>
        <w:t>选择与预处理</w:t>
      </w:r>
      <w:r>
        <w:rPr>
          <w:rFonts w:hint="eastAsia"/>
        </w:rPr>
        <w:t>、</w:t>
      </w:r>
      <w:r>
        <w:rPr>
          <w:rFonts w:hint="eastAsia"/>
          <w:lang w:val="en-US" w:eastAsia="zh-CN"/>
        </w:rPr>
        <w:t>裹包青贮、窖贮、袋贮</w:t>
      </w:r>
      <w:r>
        <w:rPr>
          <w:rFonts w:hint="eastAsia"/>
        </w:rPr>
        <w:t>、饲喂取用</w:t>
      </w:r>
      <w:r>
        <w:rPr>
          <w:rFonts w:hint="eastAsia"/>
          <w:lang w:val="en-US" w:eastAsia="zh-CN"/>
        </w:rPr>
        <w:t>和质量评定</w:t>
      </w:r>
      <w:r>
        <w:rPr>
          <w:rFonts w:hint="eastAsia"/>
        </w:rPr>
        <w:t>等</w:t>
      </w:r>
      <w:r>
        <w:rPr>
          <w:rFonts w:hint="eastAsia"/>
          <w:lang w:val="en-US" w:eastAsia="zh-CN"/>
        </w:rPr>
        <w:t>内容</w:t>
      </w:r>
      <w:r>
        <w:rPr>
          <w:rFonts w:hint="eastAsia"/>
        </w:rPr>
        <w:t>。</w:t>
      </w:r>
    </w:p>
    <w:p w14:paraId="337FBC67">
      <w:pPr>
        <w:pStyle w:val="60"/>
        <w:ind w:firstLine="420"/>
      </w:pPr>
      <w:r>
        <w:rPr>
          <w:rFonts w:hint="eastAsia"/>
        </w:rPr>
        <w:t>本文件适用于</w:t>
      </w:r>
      <w:r>
        <w:rPr>
          <w:rFonts w:hint="eastAsia"/>
          <w:lang w:val="en-US" w:eastAsia="zh-CN"/>
        </w:rPr>
        <w:t>我国</w:t>
      </w:r>
      <w:r>
        <w:rPr>
          <w:rFonts w:hint="eastAsia"/>
        </w:rPr>
        <w:t>食用菌菌糠发酵饲料制作及使用。</w:t>
      </w:r>
    </w:p>
    <w:bookmarkEnd w:id="23"/>
    <w:p w14:paraId="466B8718">
      <w:pPr>
        <w:pStyle w:val="108"/>
        <w:numPr>
          <w:numId w:val="0"/>
        </w:numPr>
        <w:snapToGrid w:val="0"/>
        <w:spacing w:before="240" w:after="240"/>
        <w:ind w:left="0" w:leftChars="0" w:firstLine="0" w:firstLineChars="0"/>
      </w:pPr>
      <w:bookmarkStart w:id="29" w:name="_Toc26986531"/>
      <w:bookmarkStart w:id="30" w:name="_Toc26718931"/>
      <w:bookmarkStart w:id="31" w:name="_Toc97192965"/>
      <w:bookmarkStart w:id="32" w:name="_Toc211935587"/>
      <w:bookmarkStart w:id="33" w:name="_Toc26986772"/>
      <w:bookmarkStart w:id="34" w:name="_Toc20016"/>
      <w:r>
        <w:rPr>
          <w:rFonts w:hint="eastAsia" w:ascii="黑体" w:hAnsi="Times New Roman" w:eastAsia="黑体" w:cs="Times New Roman"/>
          <w:b w:val="0"/>
          <w:i w:val="0"/>
          <w:sz w:val="21"/>
          <w:lang w:val="en-US" w:eastAsia="zh-CN" w:bidi="ar-SA"/>
        </w:rPr>
        <w:t>2　</w:t>
      </w:r>
      <w:r>
        <w:rPr>
          <w:rFonts w:hint="eastAsia"/>
        </w:rPr>
        <w:t>规范性引用文件</w:t>
      </w:r>
      <w:bookmarkEnd w:id="24"/>
      <w:bookmarkEnd w:id="25"/>
      <w:bookmarkEnd w:id="26"/>
      <w:bookmarkEnd w:id="27"/>
      <w:bookmarkEnd w:id="28"/>
      <w:bookmarkEnd w:id="29"/>
      <w:bookmarkEnd w:id="30"/>
      <w:bookmarkEnd w:id="31"/>
      <w:bookmarkEnd w:id="32"/>
      <w:bookmarkEnd w:id="33"/>
      <w:bookmarkEnd w:id="34"/>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default" w:ascii="Times New Roman" w:hAnsi="Times New Roman" w:cs="Times New Roman"/>
        </w:rPr>
      </w:sdtEndPr>
      <w:sdtContent>
        <w:p w14:paraId="262A8F18">
          <w:pPr>
            <w:pStyle w:val="60"/>
            <w:ind w:firstLine="420"/>
            <w:rPr>
              <w:rFonts w:hint="default" w:ascii="Times New Roman" w:hAnsi="Times New Roman" w:cs="Times New Roman"/>
            </w:rPr>
          </w:pPr>
          <w:bookmarkStart w:id="35" w:name="_Hlk152665074"/>
          <w:r>
            <w:rPr>
              <w:rFonts w:hint="default" w:ascii="Times New Roman" w:hAnsi="Times New Roman" w:cs="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5"/>
    <w:p w14:paraId="5C9D6020">
      <w:pPr>
        <w:pStyle w:val="60"/>
        <w:ind w:firstLine="420"/>
        <w:rPr>
          <w:rFonts w:hint="default" w:ascii="Times New Roman" w:hAnsi="Times New Roman" w:cs="Times New Roman"/>
          <w:highlight w:val="none"/>
        </w:rPr>
      </w:pPr>
      <w:bookmarkStart w:id="36" w:name="_Toc97192966"/>
      <w:r>
        <w:rPr>
          <w:rFonts w:hint="default" w:ascii="Times New Roman" w:hAnsi="Times New Roman" w:cs="Times New Roman"/>
          <w:highlight w:val="none"/>
        </w:rPr>
        <w:t>GB 13078-2017 饲料卫生标准</w:t>
      </w:r>
    </w:p>
    <w:p w14:paraId="65082BB0">
      <w:pPr>
        <w:pStyle w:val="60"/>
        <w:ind w:firstLine="420"/>
        <w:rPr>
          <w:rFonts w:hint="default" w:ascii="Times New Roman" w:hAnsi="Times New Roman" w:cs="Times New Roman"/>
          <w:highlight w:val="none"/>
        </w:rPr>
      </w:pPr>
      <w:r>
        <w:rPr>
          <w:rFonts w:hint="default" w:ascii="Times New Roman" w:hAnsi="Times New Roman" w:cs="Times New Roman"/>
          <w:highlight w:val="none"/>
        </w:rPr>
        <w:t>GB/T 10395 农林机械安全</w:t>
      </w:r>
    </w:p>
    <w:p w14:paraId="65020FBB">
      <w:pPr>
        <w:pStyle w:val="60"/>
        <w:ind w:firstLine="420"/>
        <w:rPr>
          <w:rFonts w:hint="default" w:ascii="Times New Roman" w:hAnsi="Times New Roman" w:cs="Times New Roman"/>
          <w:highlight w:val="none"/>
        </w:rPr>
      </w:pPr>
      <w:r>
        <w:rPr>
          <w:rFonts w:hint="default" w:ascii="Times New Roman" w:hAnsi="Times New Roman" w:cs="Times New Roman"/>
          <w:highlight w:val="none"/>
        </w:rPr>
        <w:t>中华人民共和国农业农村部 饲料原料目录</w:t>
      </w:r>
    </w:p>
    <w:p w14:paraId="13660A5D">
      <w:pPr>
        <w:pStyle w:val="60"/>
        <w:ind w:firstLine="420"/>
        <w:rPr>
          <w:rFonts w:hint="default" w:ascii="Times New Roman" w:hAnsi="Times New Roman" w:cs="Times New Roman"/>
          <w:highlight w:val="none"/>
        </w:rPr>
      </w:pPr>
      <w:r>
        <w:rPr>
          <w:rFonts w:hint="default" w:ascii="Times New Roman" w:hAnsi="Times New Roman" w:cs="Times New Roman"/>
          <w:highlight w:val="none"/>
        </w:rPr>
        <w:t>中华人民共和国农业农村部 饲料添加剂品种目录</w:t>
      </w:r>
    </w:p>
    <w:p w14:paraId="09064380">
      <w:pPr>
        <w:pStyle w:val="60"/>
        <w:ind w:firstLine="420"/>
        <w:rPr>
          <w:rFonts w:hint="default" w:ascii="Times New Roman" w:hAnsi="Times New Roman" w:cs="Times New Roman"/>
          <w:highlight w:val="none"/>
        </w:rPr>
      </w:pPr>
      <w:r>
        <w:rPr>
          <w:rFonts w:hint="default" w:ascii="Times New Roman" w:hAnsi="Times New Roman" w:cs="Times New Roman"/>
          <w:highlight w:val="none"/>
        </w:rPr>
        <w:t>GB/T 23181 微生物饲料添加剂通用要求</w:t>
      </w:r>
    </w:p>
    <w:p w14:paraId="303C8988">
      <w:pPr>
        <w:pStyle w:val="60"/>
        <w:ind w:firstLine="420"/>
        <w:rPr>
          <w:rFonts w:hint="default" w:ascii="Times New Roman" w:hAnsi="Times New Roman" w:cs="Times New Roman"/>
          <w:highlight w:val="none"/>
        </w:rPr>
      </w:pPr>
      <w:r>
        <w:rPr>
          <w:rFonts w:hint="default" w:ascii="Times New Roman" w:hAnsi="Times New Roman" w:cs="Times New Roman"/>
          <w:highlight w:val="none"/>
        </w:rPr>
        <w:t>GB/T 1040.3-2006 塑料拉伸性能的测定第3部分:薄膜和薄片的试验条件</w:t>
      </w:r>
    </w:p>
    <w:p w14:paraId="1FAC165E">
      <w:pPr>
        <w:pStyle w:val="60"/>
        <w:ind w:firstLine="420"/>
        <w:rPr>
          <w:rFonts w:hint="default" w:ascii="Times New Roman" w:hAnsi="Times New Roman" w:cs="Times New Roman"/>
          <w:highlight w:val="none"/>
        </w:rPr>
      </w:pPr>
      <w:r>
        <w:rPr>
          <w:rFonts w:hint="default" w:ascii="Times New Roman" w:hAnsi="Times New Roman" w:cs="Times New Roman"/>
          <w:highlight w:val="none"/>
        </w:rPr>
        <w:t>GB/T 4455 农业用聚乙烯吹塑棚膜</w:t>
      </w:r>
    </w:p>
    <w:p w14:paraId="3BF79B84">
      <w:pPr>
        <w:pStyle w:val="60"/>
        <w:ind w:firstLine="420"/>
        <w:rPr>
          <w:rFonts w:hint="default" w:ascii="Times New Roman" w:hAnsi="Times New Roman" w:cs="Times New Roman"/>
          <w:highlight w:val="none"/>
        </w:rPr>
      </w:pPr>
      <w:r>
        <w:rPr>
          <w:rFonts w:hint="default" w:ascii="Times New Roman" w:hAnsi="Times New Roman" w:cs="Times New Roman"/>
          <w:highlight w:val="none"/>
        </w:rPr>
        <w:t>NY/T 1444 微生物饲料添加剂技术通则</w:t>
      </w:r>
    </w:p>
    <w:p w14:paraId="2C041D7C">
      <w:pPr>
        <w:pStyle w:val="60"/>
        <w:ind w:firstLine="420"/>
        <w:rPr>
          <w:rFonts w:hint="default" w:ascii="Times New Roman" w:hAnsi="Times New Roman" w:cs="Times New Roman"/>
          <w:highlight w:val="none"/>
        </w:rPr>
      </w:pPr>
      <w:r>
        <w:rPr>
          <w:rFonts w:hint="default" w:ascii="Times New Roman" w:hAnsi="Times New Roman" w:cs="Times New Roman"/>
          <w:highlight w:val="none"/>
        </w:rPr>
        <w:t>NY/T 2698 青贮设施建设技术规范 青贮窖</w:t>
      </w:r>
    </w:p>
    <w:p w14:paraId="59FAFB61">
      <w:pPr>
        <w:pStyle w:val="60"/>
        <w:ind w:firstLine="420"/>
        <w:rPr>
          <w:rFonts w:hint="default" w:ascii="Times New Roman" w:hAnsi="Times New Roman" w:cs="Times New Roman"/>
          <w:highlight w:val="none"/>
        </w:rPr>
      </w:pPr>
      <w:r>
        <w:rPr>
          <w:rFonts w:hint="default" w:ascii="Times New Roman" w:hAnsi="Times New Roman" w:cs="Times New Roman"/>
          <w:highlight w:val="none"/>
        </w:rPr>
        <w:t>GB/T 20806-2022 饲料中中性洗涤纤维测定</w:t>
      </w:r>
    </w:p>
    <w:p w14:paraId="2ED1807C">
      <w:pPr>
        <w:pStyle w:val="60"/>
        <w:ind w:firstLine="420"/>
        <w:rPr>
          <w:rFonts w:hint="default" w:ascii="Times New Roman" w:hAnsi="Times New Roman" w:cs="Times New Roman"/>
          <w:highlight w:val="none"/>
        </w:rPr>
      </w:pPr>
      <w:r>
        <w:rPr>
          <w:rFonts w:hint="default" w:ascii="Times New Roman" w:hAnsi="Times New Roman" w:cs="Times New Roman"/>
          <w:highlight w:val="none"/>
        </w:rPr>
        <w:t>NY/T 1459-2022 饲料中酸性洗涤纤维测定</w:t>
      </w:r>
    </w:p>
    <w:p w14:paraId="57DF308D">
      <w:pPr>
        <w:pStyle w:val="60"/>
        <w:ind w:firstLine="420"/>
        <w:rPr>
          <w:rFonts w:hint="default" w:ascii="Times New Roman" w:hAnsi="Times New Roman" w:cs="Times New Roman"/>
          <w:highlight w:val="none"/>
        </w:rPr>
      </w:pPr>
      <w:r>
        <w:rPr>
          <w:rFonts w:hint="default" w:ascii="Times New Roman" w:hAnsi="Times New Roman" w:cs="Times New Roman"/>
          <w:highlight w:val="none"/>
        </w:rPr>
        <w:t>GB/T 6432-2018 饲料中粗蛋白测定方法 凯氏定氮法</w:t>
      </w:r>
    </w:p>
    <w:p w14:paraId="59DE8820">
      <w:pPr>
        <w:pStyle w:val="60"/>
        <w:ind w:firstLine="420"/>
        <w:rPr>
          <w:rFonts w:hint="default" w:ascii="Times New Roman" w:hAnsi="Times New Roman" w:cs="Times New Roman"/>
          <w:highlight w:val="none"/>
        </w:rPr>
      </w:pPr>
      <w:r>
        <w:rPr>
          <w:rFonts w:hint="default" w:ascii="Times New Roman" w:hAnsi="Times New Roman" w:cs="Times New Roman"/>
          <w:highlight w:val="none"/>
        </w:rPr>
        <w:t>中华人民共和国农业农村部</w:t>
      </w:r>
      <w:r>
        <w:rPr>
          <w:rFonts w:hint="default" w:ascii="Times New Roman" w:hAnsi="Times New Roman" w:cs="Times New Roman"/>
          <w:highlight w:val="none"/>
          <w:lang w:val="en-US" w:eastAsia="zh-CN"/>
        </w:rPr>
        <w:t xml:space="preserve"> </w:t>
      </w:r>
      <w:r>
        <w:rPr>
          <w:rFonts w:hint="default" w:ascii="Times New Roman" w:hAnsi="Times New Roman" w:cs="Times New Roman"/>
          <w:highlight w:val="none"/>
        </w:rPr>
        <w:t>饲料添加剂安全使用规范</w:t>
      </w:r>
    </w:p>
    <w:p w14:paraId="20ED1009">
      <w:pPr>
        <w:pStyle w:val="108"/>
        <w:numPr>
          <w:numId w:val="0"/>
        </w:numPr>
        <w:spacing w:before="240" w:after="240"/>
        <w:ind w:left="0" w:leftChars="0" w:firstLine="0" w:firstLineChars="0"/>
      </w:pPr>
      <w:bookmarkStart w:id="37" w:name="_Toc211935588"/>
      <w:bookmarkStart w:id="38" w:name="_Toc30989"/>
      <w:r>
        <w:rPr>
          <w:rFonts w:hint="eastAsia" w:ascii="黑体" w:hAnsi="Times New Roman" w:eastAsia="黑体" w:cs="Times New Roman"/>
          <w:b w:val="0"/>
          <w:i w:val="0"/>
          <w:sz w:val="21"/>
          <w:lang w:val="en-US" w:eastAsia="zh-CN" w:bidi="ar-SA"/>
        </w:rPr>
        <w:t>3　</w:t>
      </w:r>
      <w:r>
        <w:rPr>
          <w:rFonts w:hint="eastAsia"/>
        </w:rPr>
        <w:t>术语和定义</w:t>
      </w:r>
      <w:bookmarkEnd w:id="36"/>
      <w:bookmarkEnd w:id="37"/>
      <w:bookmarkEnd w:id="38"/>
    </w:p>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0"/>
            <w:ind w:firstLine="420"/>
            <w:rPr>
              <w:rFonts w:hint="eastAsia" w:ascii="黑体" w:hAnsi="黑体" w:eastAsia="黑体"/>
            </w:rPr>
          </w:pPr>
          <w:bookmarkStart w:id="39" w:name="_Toc26986532"/>
          <w:bookmarkEnd w:id="39"/>
          <w:bookmarkStart w:id="40" w:name="_Hlk152665129"/>
          <w:r>
            <w:t>下列术语和定义适用于本文件。</w:t>
          </w:r>
        </w:p>
      </w:sdtContent>
    </w:sdt>
    <w:bookmarkEnd w:id="40"/>
    <w:p w14:paraId="058D8664">
      <w:pPr>
        <w:pStyle w:val="109"/>
        <w:numPr>
          <w:numId w:val="0"/>
        </w:numPr>
        <w:ind w:left="0" w:leftChars="0" w:firstLine="0" w:firstLineChars="0"/>
        <w:rPr>
          <w:rFonts w:hint="default" w:ascii="Times New Roman" w:hAnsi="Times New Roman" w:cs="Times New Roman"/>
        </w:rPr>
      </w:pPr>
      <w:bookmarkStart w:id="41" w:name="_Toc18201"/>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3.1　</w:t>
      </w:r>
      <w:r>
        <w:rPr>
          <w:rFonts w:hint="eastAsia" w:hAnsi="黑体"/>
          <w:color w:val="000000" w:themeColor="text1"/>
          <w14:textFill>
            <w14:solidFill>
              <w14:schemeClr w14:val="tx1"/>
            </w14:solidFill>
          </w14:textFill>
        </w:rPr>
        <w:t>食用菌菌</w:t>
      </w:r>
      <w:r>
        <w:rPr>
          <w:rFonts w:hint="default" w:ascii="Times New Roman" w:hAnsi="Times New Roman" w:cs="Times New Roman"/>
          <w:color w:val="000000" w:themeColor="text1"/>
          <w14:textFill>
            <w14:solidFill>
              <w14:schemeClr w14:val="tx1"/>
            </w14:solidFill>
          </w14:textFill>
        </w:rPr>
        <w:t xml:space="preserve">糠 </w:t>
      </w:r>
      <w:r>
        <w:rPr>
          <w:rFonts w:hint="default" w:ascii="Times New Roman" w:hAnsi="Times New Roman" w:cs="Times New Roman"/>
          <w:color w:val="000000" w:themeColor="text1"/>
          <w:lang w:val="en-US" w:eastAsia="zh-CN"/>
          <w14:textFill>
            <w14:solidFill>
              <w14:schemeClr w14:val="tx1"/>
            </w14:solidFill>
          </w14:textFill>
        </w:rPr>
        <w:t>e</w:t>
      </w:r>
      <w:r>
        <w:rPr>
          <w:rFonts w:hint="default" w:ascii="Times New Roman" w:hAnsi="Times New Roman" w:cs="Times New Roman"/>
          <w:color w:val="000000" w:themeColor="text1"/>
          <w14:textFill>
            <w14:solidFill>
              <w14:schemeClr w14:val="tx1"/>
            </w14:solidFill>
          </w14:textFill>
        </w:rPr>
        <w:t>dible fungus residue</w:t>
      </w:r>
      <w:bookmarkEnd w:id="41"/>
    </w:p>
    <w:p w14:paraId="21696C1E">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食用菌栽培收获子实体后剩余的培养基质，主要</w:t>
      </w:r>
      <w:r>
        <w:rPr>
          <w:rFonts w:hint="default" w:ascii="Times New Roman" w:hAnsi="Times New Roman" w:cs="Times New Roman"/>
          <w:color w:val="000000" w:themeColor="text1"/>
          <w:lang w:val="en-US" w:eastAsia="zh-CN"/>
          <w14:textFill>
            <w14:solidFill>
              <w14:schemeClr w14:val="tx1"/>
            </w14:solidFill>
          </w14:textFill>
        </w:rPr>
        <w:t>是</w:t>
      </w:r>
      <w:r>
        <w:rPr>
          <w:rFonts w:hint="default" w:ascii="Times New Roman" w:hAnsi="Times New Roman" w:cs="Times New Roman"/>
          <w:color w:val="000000" w:themeColor="text1"/>
          <w14:textFill>
            <w14:solidFill>
              <w14:schemeClr w14:val="tx1"/>
            </w14:solidFill>
          </w14:textFill>
        </w:rPr>
        <w:t>由菌丝残体、经食用菌</w:t>
      </w:r>
      <w:r>
        <w:rPr>
          <w:rFonts w:hint="default" w:ascii="Times New Roman" w:hAnsi="Times New Roman" w:cs="Times New Roman"/>
          <w:color w:val="000000" w:themeColor="text1"/>
          <w:lang w:val="en-US" w:eastAsia="zh-CN"/>
          <w14:textFill>
            <w14:solidFill>
              <w14:schemeClr w14:val="tx1"/>
            </w14:solidFill>
          </w14:textFill>
        </w:rPr>
        <w:t>部分</w:t>
      </w:r>
      <w:r>
        <w:rPr>
          <w:rFonts w:hint="default" w:ascii="Times New Roman" w:hAnsi="Times New Roman" w:cs="Times New Roman"/>
          <w:color w:val="000000" w:themeColor="text1"/>
          <w14:textFill>
            <w14:solidFill>
              <w14:schemeClr w14:val="tx1"/>
            </w14:solidFill>
          </w14:textFill>
        </w:rPr>
        <w:t>酶解、结构发生质变的</w:t>
      </w:r>
      <w:r>
        <w:rPr>
          <w:rFonts w:hint="default" w:ascii="Times New Roman" w:hAnsi="Times New Roman" w:cs="Times New Roman"/>
          <w:color w:val="000000" w:themeColor="text1"/>
          <w:lang w:val="en-US" w:eastAsia="zh-CN"/>
          <w14:textFill>
            <w14:solidFill>
              <w14:schemeClr w14:val="tx1"/>
            </w14:solidFill>
          </w14:textFill>
        </w:rPr>
        <w:t>粗纤维</w:t>
      </w:r>
      <w:r>
        <w:rPr>
          <w:rFonts w:hint="default" w:ascii="Times New Roman" w:hAnsi="Times New Roman" w:cs="Times New Roman"/>
          <w:color w:val="000000" w:themeColor="text1"/>
          <w14:textFill>
            <w14:solidFill>
              <w14:schemeClr w14:val="tx1"/>
            </w14:solidFill>
          </w14:textFill>
        </w:rPr>
        <w:t>及微生物代谢产物构成</w:t>
      </w:r>
      <w:r>
        <w:rPr>
          <w:rFonts w:hint="default" w:ascii="Times New Roman" w:hAnsi="Times New Roman" w:cs="Times New Roman"/>
          <w:color w:val="000000" w:themeColor="text1"/>
          <w:lang w:val="en-US" w:eastAsia="zh-CN"/>
          <w14:textFill>
            <w14:solidFill>
              <w14:schemeClr w14:val="tx1"/>
            </w14:solidFill>
          </w14:textFill>
        </w:rPr>
        <w:t>的复合物</w:t>
      </w:r>
      <w:r>
        <w:rPr>
          <w:rFonts w:hint="default" w:ascii="Times New Roman" w:hAnsi="Times New Roman" w:cs="Times New Roman"/>
          <w:color w:val="000000" w:themeColor="text1"/>
          <w14:textFill>
            <w14:solidFill>
              <w14:schemeClr w14:val="tx1"/>
            </w14:solidFill>
          </w14:textFill>
        </w:rPr>
        <w:t>。</w:t>
      </w:r>
    </w:p>
    <w:p w14:paraId="646580CE">
      <w:pPr>
        <w:pStyle w:val="109"/>
        <w:numPr>
          <w:numId w:val="0"/>
        </w:numPr>
        <w:ind w:left="0" w:leftChars="0" w:firstLine="0" w:firstLineChars="0"/>
        <w:rPr>
          <w:rFonts w:hint="default" w:ascii="Times New Roman" w:hAnsi="Times New Roman" w:cs="Times New Roman"/>
        </w:rPr>
      </w:pPr>
      <w:bookmarkStart w:id="42" w:name="_Toc8956"/>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3.2　</w:t>
      </w:r>
      <w:r>
        <w:rPr>
          <w:rFonts w:hint="default" w:ascii="Times New Roman" w:hAnsi="Times New Roman" w:cs="Times New Roman"/>
          <w:color w:val="000000" w:themeColor="text1"/>
          <w14:textFill>
            <w14:solidFill>
              <w14:schemeClr w14:val="tx1"/>
            </w14:solidFill>
          </w14:textFill>
        </w:rPr>
        <w:t xml:space="preserve">发酵饲料 </w:t>
      </w:r>
      <w:r>
        <w:rPr>
          <w:rFonts w:hint="default" w:ascii="Times New Roman" w:hAnsi="Times New Roman" w:cs="Times New Roman"/>
          <w:color w:val="000000" w:themeColor="text1"/>
          <w:lang w:val="en-US" w:eastAsia="zh-CN"/>
          <w14:textFill>
            <w14:solidFill>
              <w14:schemeClr w14:val="tx1"/>
            </w14:solidFill>
          </w14:textFill>
        </w:rPr>
        <w:t>f</w:t>
      </w:r>
      <w:r>
        <w:rPr>
          <w:rFonts w:hint="default" w:ascii="Times New Roman" w:hAnsi="Times New Roman" w:cs="Times New Roman"/>
          <w:color w:val="000000" w:themeColor="text1"/>
          <w14:textFill>
            <w14:solidFill>
              <w14:schemeClr w14:val="tx1"/>
            </w14:solidFill>
          </w14:textFill>
        </w:rPr>
        <w:t>ermented feed</w:t>
      </w:r>
      <w:bookmarkEnd w:id="42"/>
    </w:p>
    <w:p w14:paraId="250B4ABC">
      <w:pPr>
        <w:pStyle w:val="60"/>
        <w:ind w:firstLine="420"/>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利用</w:t>
      </w:r>
      <w:r>
        <w:rPr>
          <w:color w:val="000000" w:themeColor="text1"/>
          <w14:textFill>
            <w14:solidFill>
              <w14:schemeClr w14:val="tx1"/>
            </w14:solidFill>
          </w14:textFill>
        </w:rPr>
        <w:t>乳酸菌、酵母菌、枯草芽孢杆菌等有益微生物</w:t>
      </w:r>
      <w:r>
        <w:rPr>
          <w:rFonts w:hint="eastAsia"/>
          <w:color w:val="000000" w:themeColor="text1"/>
          <w:lang w:val="en-US" w:eastAsia="zh-CN"/>
          <w14:textFill>
            <w14:solidFill>
              <w14:schemeClr w14:val="tx1"/>
            </w14:solidFill>
          </w14:textFill>
        </w:rPr>
        <w:t>的生物活性，</w:t>
      </w:r>
      <w:r>
        <w:rPr>
          <w:color w:val="000000" w:themeColor="text1"/>
          <w14:textFill>
            <w14:solidFill>
              <w14:schemeClr w14:val="tx1"/>
            </w14:solidFill>
          </w14:textFill>
        </w:rPr>
        <w:t>在适宜温度、湿度和无氧条件下</w:t>
      </w:r>
      <w:r>
        <w:rPr>
          <w:rFonts w:hint="eastAsia"/>
          <w:color w:val="000000" w:themeColor="text1"/>
          <w:lang w:val="en-US" w:eastAsia="zh-CN"/>
          <w14:textFill>
            <w14:solidFill>
              <w14:schemeClr w14:val="tx1"/>
            </w14:solidFill>
          </w14:textFill>
        </w:rPr>
        <w:t>将粗饲料进行转化制得的一种饲料</w:t>
      </w:r>
      <w:r>
        <w:rPr>
          <w:rFonts w:hint="eastAsia"/>
          <w:color w:val="000000" w:themeColor="text1"/>
          <w14:textFill>
            <w14:solidFill>
              <w14:schemeClr w14:val="tx1"/>
            </w14:solidFill>
          </w14:textFill>
        </w:rPr>
        <w:t>。</w:t>
      </w:r>
    </w:p>
    <w:p w14:paraId="3D3ED75A">
      <w:pPr>
        <w:pStyle w:val="109"/>
        <w:numPr>
          <w:numId w:val="0"/>
        </w:numPr>
        <w:ind w:left="0" w:leftChars="0" w:firstLine="0" w:firstLineChars="0"/>
        <w:rPr>
          <w:rFonts w:hint="eastAsia"/>
        </w:rPr>
      </w:pPr>
      <w:bookmarkStart w:id="43" w:name="_Toc26484"/>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3.3　</w:t>
      </w:r>
      <w:r>
        <w:rPr>
          <w:rFonts w:hint="eastAsia" w:hAnsi="黑体"/>
          <w:color w:val="000000" w:themeColor="text1"/>
          <w14:textFill>
            <w14:solidFill>
              <w14:schemeClr w14:val="tx1"/>
            </w14:solidFill>
          </w14:textFill>
        </w:rPr>
        <w:t xml:space="preserve">食用菌菌糠发酵饲料 </w:t>
      </w:r>
      <w:r>
        <w:rPr>
          <w:rFonts w:hint="default" w:ascii="Times New Roman" w:hAnsi="Times New Roman" w:cs="Times New Roman"/>
          <w:color w:val="000000" w:themeColor="text1"/>
          <w:lang w:val="en-US" w:eastAsia="zh-CN"/>
          <w14:textFill>
            <w14:solidFill>
              <w14:schemeClr w14:val="tx1"/>
            </w14:solidFill>
          </w14:textFill>
        </w:rPr>
        <w:t>e</w:t>
      </w:r>
      <w:r>
        <w:rPr>
          <w:rFonts w:hint="default" w:ascii="Times New Roman" w:hAnsi="Times New Roman" w:cs="Times New Roman"/>
          <w:color w:val="000000" w:themeColor="text1"/>
          <w14:textFill>
            <w14:solidFill>
              <w14:schemeClr w14:val="tx1"/>
            </w14:solidFill>
          </w14:textFill>
        </w:rPr>
        <w:t>dible fungus residue fermented feed</w:t>
      </w:r>
      <w:bookmarkEnd w:id="43"/>
    </w:p>
    <w:p w14:paraId="0B7FD2C3">
      <w:pPr>
        <w:pStyle w:val="60"/>
        <w:ind w:firstLine="420"/>
        <w:rPr>
          <w:rFonts w:hint="eastAsia"/>
          <w:color w:val="000000" w:themeColor="text1"/>
          <w14:textFill>
            <w14:solidFill>
              <w14:schemeClr w14:val="tx1"/>
            </w14:solidFill>
          </w14:textFill>
        </w:rPr>
      </w:pPr>
      <w:r>
        <w:rPr>
          <w:color w:val="000000" w:themeColor="text1"/>
          <w14:textFill>
            <w14:solidFill>
              <w14:schemeClr w14:val="tx1"/>
            </w14:solidFill>
          </w14:textFill>
        </w:rPr>
        <w:t>以食用菌菌糠为主要原料，</w:t>
      </w:r>
      <w:r>
        <w:rPr>
          <w:rFonts w:hint="eastAsia"/>
          <w:color w:val="000000" w:themeColor="text1"/>
          <w:lang w:val="en-US" w:eastAsia="zh-CN"/>
          <w14:textFill>
            <w14:solidFill>
              <w14:schemeClr w14:val="tx1"/>
            </w14:solidFill>
          </w14:textFill>
        </w:rPr>
        <w:t>利用</w:t>
      </w:r>
      <w:r>
        <w:rPr>
          <w:color w:val="000000" w:themeColor="text1"/>
          <w14:textFill>
            <w14:solidFill>
              <w14:schemeClr w14:val="tx1"/>
            </w14:solidFill>
          </w14:textFill>
        </w:rPr>
        <w:t>乳酸菌、酵母菌、枯草芽孢杆菌等有益微生物</w:t>
      </w:r>
      <w:r>
        <w:rPr>
          <w:rFonts w:hint="eastAsia"/>
          <w:color w:val="000000" w:themeColor="text1"/>
          <w:lang w:val="en-US" w:eastAsia="zh-CN"/>
          <w14:textFill>
            <w14:solidFill>
              <w14:schemeClr w14:val="tx1"/>
            </w14:solidFill>
          </w14:textFill>
        </w:rPr>
        <w:t>的生物活性</w:t>
      </w:r>
      <w:r>
        <w:rPr>
          <w:color w:val="000000" w:themeColor="text1"/>
          <w14:textFill>
            <w14:solidFill>
              <w14:schemeClr w14:val="tx1"/>
            </w14:solidFill>
          </w14:textFill>
        </w:rPr>
        <w:t>，在适宜条件下</w:t>
      </w:r>
      <w:r>
        <w:rPr>
          <w:rFonts w:hint="eastAsia"/>
          <w:color w:val="000000" w:themeColor="text1"/>
          <w:lang w:val="en-US" w:eastAsia="zh-CN"/>
          <w14:textFill>
            <w14:solidFill>
              <w14:schemeClr w14:val="tx1"/>
            </w14:solidFill>
          </w14:textFill>
        </w:rPr>
        <w:t>进行转化</w:t>
      </w:r>
      <w:r>
        <w:rPr>
          <w:color w:val="000000" w:themeColor="text1"/>
          <w14:textFill>
            <w14:solidFill>
              <w14:schemeClr w14:val="tx1"/>
            </w14:solidFill>
          </w14:textFill>
        </w:rPr>
        <w:t>制</w:t>
      </w:r>
      <w:r>
        <w:rPr>
          <w:rFonts w:hint="eastAsia"/>
          <w:color w:val="000000" w:themeColor="text1"/>
          <w:lang w:val="en-US" w:eastAsia="zh-CN"/>
          <w14:textFill>
            <w14:solidFill>
              <w14:schemeClr w14:val="tx1"/>
            </w14:solidFill>
          </w14:textFill>
        </w:rPr>
        <w:t>得</w:t>
      </w:r>
      <w:r>
        <w:rPr>
          <w:color w:val="000000" w:themeColor="text1"/>
          <w14:textFill>
            <w14:solidFill>
              <w14:schemeClr w14:val="tx1"/>
            </w14:solidFill>
          </w14:textFill>
        </w:rPr>
        <w:t>的具有酸香气味、适口性好、营养价值提高的饲料</w:t>
      </w:r>
      <w:r>
        <w:rPr>
          <w:rFonts w:hint="eastAsia"/>
          <w:color w:val="000000" w:themeColor="text1"/>
          <w14:textFill>
            <w14:solidFill>
              <w14:schemeClr w14:val="tx1"/>
            </w14:solidFill>
          </w14:textFill>
        </w:rPr>
        <w:t>。</w:t>
      </w:r>
    </w:p>
    <w:p w14:paraId="4151C768">
      <w:pPr>
        <w:pStyle w:val="109"/>
        <w:numPr>
          <w:numId w:val="0"/>
        </w:numPr>
        <w:ind w:left="0" w:leftChars="0" w:firstLine="0" w:firstLineChars="0"/>
        <w:rPr>
          <w:rFonts w:hint="eastAsia"/>
        </w:rPr>
      </w:pPr>
      <w:bookmarkStart w:id="44" w:name="_Toc21270"/>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3.4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饲料</w:t>
      </w:r>
      <w:r>
        <w:rPr>
          <w:rFonts w:hint="eastAsia" w:hAnsi="黑体"/>
          <w:color w:val="000000" w:themeColor="text1"/>
          <w:lang w:val="en-US" w:eastAsia="zh-CN"/>
          <w14:textFill>
            <w14:solidFill>
              <w14:schemeClr w14:val="tx1"/>
            </w14:solidFill>
          </w14:textFill>
        </w:rPr>
        <w:t>添加剂</w:t>
      </w:r>
      <w:r>
        <w:rPr>
          <w:rFonts w:hint="eastAsia" w:hAnsi="黑体"/>
          <w:color w:val="000000" w:themeColor="text1"/>
          <w14:textFill>
            <w14:solidFill>
              <w14:schemeClr w14:val="tx1"/>
            </w14:solidFill>
          </w14:textFill>
        </w:rPr>
        <w:t xml:space="preserve"> </w:t>
      </w:r>
      <w:r>
        <w:rPr>
          <w:rFonts w:hint="default" w:ascii="Times New Roman" w:hAnsi="Times New Roman" w:cs="Times New Roman"/>
          <w:color w:val="000000" w:themeColor="text1"/>
          <w:lang w:val="en-US" w:eastAsia="zh-CN"/>
          <w14:textFill>
            <w14:solidFill>
              <w14:schemeClr w14:val="tx1"/>
            </w14:solidFill>
          </w14:textFill>
        </w:rPr>
        <w:t xml:space="preserve">feed </w:t>
      </w:r>
      <w:r>
        <w:rPr>
          <w:rFonts w:hint="default" w:ascii="Times New Roman" w:hAnsi="Times New Roman" w:cs="Times New Roman"/>
          <w:color w:val="000000" w:themeColor="text1"/>
          <w:lang w:val="en-US" w:eastAsia="zh-CN"/>
          <w14:textFill>
            <w14:solidFill>
              <w14:schemeClr w14:val="tx1"/>
            </w14:solidFill>
          </w14:textFill>
        </w:rPr>
        <w:t>additive</w:t>
      </w:r>
      <w:bookmarkEnd w:id="44"/>
    </w:p>
    <w:p w14:paraId="263BD009">
      <w:pPr>
        <w:pStyle w:val="60"/>
        <w:ind w:left="0" w:leftChars="0" w:firstLine="420" w:firstLineChars="0"/>
        <w:rPr>
          <w:rFonts w:hint="default" w:eastAsia="宋体"/>
          <w:color w:val="000000" w:themeColor="text1"/>
          <w:lang w:val="en-US" w:eastAsia="zh-CN"/>
          <w14:textFill>
            <w14:solidFill>
              <w14:schemeClr w14:val="tx1"/>
            </w14:solidFill>
          </w14:textFill>
        </w:rPr>
      </w:pPr>
      <w:r>
        <w:rPr>
          <w:rFonts w:hint="default" w:eastAsia="宋体"/>
          <w:color w:val="000000" w:themeColor="text1"/>
          <w:lang w:val="en-US" w:eastAsia="zh-CN"/>
          <w14:textFill>
            <w14:solidFill>
              <w14:schemeClr w14:val="tx1"/>
            </w14:solidFill>
          </w14:textFill>
        </w:rPr>
        <w:t>饲料生产、加工和使用过程中添加的少量或微量物质，用于提高饲料营养价值、动物生产性能和健康水平</w:t>
      </w:r>
      <w:r>
        <w:rPr>
          <w:rFonts w:hint="eastAsia"/>
          <w:color w:val="000000" w:themeColor="text1"/>
          <w:lang w:val="en-US" w:eastAsia="zh-CN"/>
          <w14:textFill>
            <w14:solidFill>
              <w14:schemeClr w14:val="tx1"/>
            </w14:solidFill>
          </w14:textFill>
        </w:rPr>
        <w:t>。</w:t>
      </w:r>
    </w:p>
    <w:p w14:paraId="7F5CE061">
      <w:pPr>
        <w:pStyle w:val="108"/>
        <w:numPr>
          <w:numId w:val="0"/>
        </w:numPr>
        <w:spacing w:before="240" w:after="240"/>
        <w:ind w:left="0" w:leftChars="0" w:firstLine="0" w:firstLineChars="0"/>
      </w:pPr>
      <w:bookmarkStart w:id="45" w:name="_Toc24768"/>
      <w:r>
        <w:rPr>
          <w:rFonts w:hint="eastAsia" w:ascii="黑体" w:hAnsi="Times New Roman" w:eastAsia="黑体" w:cs="Times New Roman"/>
          <w:b w:val="0"/>
          <w:i w:val="0"/>
          <w:sz w:val="21"/>
          <w:lang w:val="en-US" w:eastAsia="zh-CN" w:bidi="ar-SA"/>
        </w:rPr>
        <w:t>4　</w:t>
      </w:r>
      <w:r>
        <w:rPr>
          <w:rFonts w:hint="eastAsia"/>
          <w:lang w:val="en-US" w:eastAsia="zh-CN"/>
        </w:rPr>
        <w:t>发酵前准备</w:t>
      </w:r>
      <w:bookmarkEnd w:id="45"/>
    </w:p>
    <w:p w14:paraId="1DC07D67">
      <w:pPr>
        <w:pStyle w:val="60"/>
        <w:ind w:left="0" w:leftChars="0" w:firstLine="420" w:firstLineChars="0"/>
        <w:rPr>
          <w:rFonts w:hint="eastAsia"/>
          <w:lang w:eastAsia="zh-CN"/>
        </w:rPr>
      </w:pPr>
      <w:r>
        <w:rPr>
          <w:rFonts w:hint="eastAsia"/>
          <w:lang w:val="en-US" w:eastAsia="zh-CN"/>
        </w:rPr>
        <w:t>应</w:t>
      </w:r>
      <w:r>
        <w:rPr>
          <w:rFonts w:hint="eastAsia"/>
        </w:rPr>
        <w:t>根据</w:t>
      </w:r>
      <w:r>
        <w:rPr>
          <w:rFonts w:hint="eastAsia"/>
          <w:lang w:val="en-US" w:eastAsia="zh-CN"/>
        </w:rPr>
        <w:t>原料</w:t>
      </w:r>
      <w:r>
        <w:rPr>
          <w:rFonts w:hint="eastAsia"/>
        </w:rPr>
        <w:t>规模和</w:t>
      </w:r>
      <w:r>
        <w:rPr>
          <w:rFonts w:hint="eastAsia"/>
          <w:lang w:val="en-US" w:eastAsia="zh-CN"/>
        </w:rPr>
        <w:t>食用菌菌糠</w:t>
      </w:r>
      <w:r>
        <w:rPr>
          <w:rFonts w:hint="eastAsia"/>
        </w:rPr>
        <w:t>生物学特性配备相应的设施、设备及材料</w:t>
      </w:r>
      <w:r>
        <w:rPr>
          <w:rFonts w:hint="eastAsia"/>
          <w:lang w:eastAsia="zh-CN"/>
        </w:rPr>
        <w:t>；饲料添加剂应符合中华人民共和国农业农村部 饲料添加剂品种目录的规定；</w:t>
      </w:r>
      <w:r>
        <w:rPr>
          <w:rFonts w:hint="eastAsia"/>
          <w:lang w:val="en-US" w:eastAsia="zh-CN"/>
        </w:rPr>
        <w:t>应</w:t>
      </w:r>
      <w:r>
        <w:rPr>
          <w:rFonts w:hint="eastAsia"/>
          <w:lang w:eastAsia="zh-CN"/>
        </w:rPr>
        <w:t>完成设施、设备、运输车辆的调试、检修与保养；</w:t>
      </w:r>
      <w:r>
        <w:rPr>
          <w:rFonts w:hint="eastAsia"/>
          <w:lang w:val="en-US" w:eastAsia="zh-CN"/>
        </w:rPr>
        <w:t>应</w:t>
      </w:r>
      <w:r>
        <w:rPr>
          <w:rFonts w:hint="eastAsia"/>
          <w:lang w:eastAsia="zh-CN"/>
        </w:rPr>
        <w:t>完成各类人员的组织、培训与配置。</w:t>
      </w:r>
    </w:p>
    <w:p w14:paraId="6982004B">
      <w:pPr>
        <w:pStyle w:val="108"/>
        <w:numPr>
          <w:numId w:val="0"/>
        </w:numPr>
        <w:spacing w:before="240" w:after="240"/>
        <w:ind w:left="0" w:leftChars="0" w:firstLine="0" w:firstLineChars="0"/>
        <w:rPr>
          <w:rFonts w:hint="default"/>
          <w:lang w:val="en-US" w:eastAsia="zh-CN"/>
        </w:rPr>
      </w:pPr>
      <w:bookmarkStart w:id="46" w:name="_Toc4870"/>
      <w:r>
        <w:rPr>
          <w:rFonts w:hint="eastAsia" w:ascii="黑体" w:hAnsi="Times New Roman" w:eastAsia="黑体" w:cs="Times New Roman"/>
          <w:b w:val="0"/>
          <w:i w:val="0"/>
          <w:sz w:val="21"/>
          <w:lang w:val="en-US" w:eastAsia="zh-CN" w:bidi="ar-SA"/>
        </w:rPr>
        <w:t>5　</w:t>
      </w:r>
      <w:r>
        <w:rPr>
          <w:rFonts w:hint="eastAsia"/>
          <w:lang w:val="en-US" w:eastAsia="zh-CN"/>
        </w:rPr>
        <w:t>原料选择与预处理</w:t>
      </w:r>
      <w:bookmarkEnd w:id="46"/>
    </w:p>
    <w:p w14:paraId="074E6265">
      <w:pPr>
        <w:pStyle w:val="109"/>
        <w:numPr>
          <w:numId w:val="0"/>
        </w:numPr>
        <w:ind w:left="0" w:leftChars="0" w:firstLine="0" w:firstLineChars="0"/>
      </w:pPr>
      <w:bookmarkStart w:id="47" w:name="_Toc17301"/>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5.1　</w:t>
      </w:r>
      <w:r>
        <w:rPr>
          <w:rFonts w:hint="eastAsia"/>
        </w:rPr>
        <w:t>菌糠原料</w:t>
      </w:r>
      <w:bookmarkEnd w:id="47"/>
    </w:p>
    <w:p w14:paraId="79A26E78">
      <w:pPr>
        <w:pStyle w:val="60"/>
        <w:ind w:firstLine="420"/>
      </w:pPr>
      <w:r>
        <w:rPr>
          <w:rFonts w:hint="eastAsia"/>
          <w:color w:val="000000" w:themeColor="text1"/>
          <w:lang w:val="en-US" w:eastAsia="zh-CN"/>
          <w14:textFill>
            <w14:solidFill>
              <w14:schemeClr w14:val="tx1"/>
            </w14:solidFill>
          </w14:textFill>
        </w:rPr>
        <w:t>食用菌菌糠原料应符合中华人民共和国农业农村部 饲料原料目录的要求。宜</w:t>
      </w:r>
      <w:r>
        <w:rPr>
          <w:rFonts w:hint="eastAsia"/>
          <w:color w:val="000000" w:themeColor="text1"/>
          <w14:textFill>
            <w14:solidFill>
              <w14:schemeClr w14:val="tx1"/>
            </w14:solidFill>
          </w14:textFill>
        </w:rPr>
        <w:t>选择</w:t>
      </w:r>
      <w:r>
        <w:rPr>
          <w:rFonts w:hint="default" w:ascii="Times New Roman" w:hAnsi="Times New Roman" w:cs="Times New Roman"/>
          <w:color w:val="000000" w:themeColor="text1"/>
          <w14:textFill>
            <w14:solidFill>
              <w14:schemeClr w14:val="tx1"/>
            </w14:solidFill>
          </w14:textFill>
        </w:rPr>
        <w:t>当天采菇后废弃的新鲜菌糠为原料</w:t>
      </w:r>
      <w:r>
        <w:rPr>
          <w:rFonts w:hint="eastAsia" w:asci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lang w:val="en-US" w:eastAsia="zh-CN"/>
          <w14:textFill>
            <w14:solidFill>
              <w14:schemeClr w14:val="tx1"/>
            </w14:solidFill>
          </w14:textFill>
        </w:rPr>
        <w:t>应</w:t>
      </w:r>
      <w:r>
        <w:rPr>
          <w:rFonts w:hint="default" w:ascii="Times New Roman" w:hAnsi="Times New Roman" w:cs="Times New Roman"/>
          <w:color w:val="000000" w:themeColor="text1"/>
          <w14:textFill>
            <w14:solidFill>
              <w14:schemeClr w14:val="tx1"/>
            </w14:solidFill>
          </w14:textFill>
        </w:rPr>
        <w:t>剔除塑料薄膜、木条等杂质以及霉变、发黑等污染部分</w:t>
      </w:r>
      <w:r>
        <w:rPr>
          <w:rFonts w:hint="eastAsia" w:asci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进行粉碎备料。</w:t>
      </w:r>
      <w:r>
        <w:rPr>
          <w:rFonts w:hint="default" w:ascii="Times New Roman" w:hAnsi="Times New Roman" w:cs="Times New Roman"/>
          <w:color w:val="000000" w:themeColor="text1"/>
          <w:lang w:val="en-US" w:eastAsia="zh-CN"/>
          <w14:textFill>
            <w14:solidFill>
              <w14:schemeClr w14:val="tx1"/>
            </w14:solidFill>
          </w14:textFill>
        </w:rPr>
        <w:t>不宜使用</w:t>
      </w:r>
      <w:r>
        <w:rPr>
          <w:rFonts w:hint="default" w:ascii="Times New Roman" w:hAnsi="Times New Roman" w:cs="Times New Roman"/>
          <w:color w:val="000000" w:themeColor="text1"/>
          <w14:textFill>
            <w14:solidFill>
              <w14:schemeClr w14:val="tx1"/>
            </w14:solidFill>
          </w14:textFill>
        </w:rPr>
        <w:t>菌丝体生长较差、杂菌污染严重、出现酸臭等异味的菌糠。菌糠卫生指标应符合GB 13078—2017的</w:t>
      </w:r>
      <w:r>
        <w:rPr>
          <w:rFonts w:hint="eastAsia" w:ascii="Times New Roman" w:cs="Times New Roman"/>
          <w:color w:val="000000" w:themeColor="text1"/>
          <w:lang w:val="en-US" w:eastAsia="zh-CN"/>
          <w14:textFill>
            <w14:solidFill>
              <w14:schemeClr w14:val="tx1"/>
            </w14:solidFill>
          </w14:textFill>
        </w:rPr>
        <w:t>规定</w:t>
      </w:r>
      <w:r>
        <w:rPr>
          <w:color w:val="000000" w:themeColor="text1"/>
          <w14:textFill>
            <w14:solidFill>
              <w14:schemeClr w14:val="tx1"/>
            </w14:solidFill>
          </w14:textFill>
        </w:rPr>
        <w:t>。</w:t>
      </w:r>
    </w:p>
    <w:p w14:paraId="150E530B">
      <w:pPr>
        <w:pStyle w:val="109"/>
        <w:numPr>
          <w:numId w:val="0"/>
        </w:numPr>
        <w:ind w:left="0" w:leftChars="0" w:firstLine="0" w:firstLineChars="0"/>
      </w:pPr>
      <w:bookmarkStart w:id="48" w:name="_Toc4144"/>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5.2　</w:t>
      </w:r>
      <w:r>
        <w:rPr>
          <w:rFonts w:hint="eastAsia"/>
        </w:rPr>
        <w:t>辅料</w:t>
      </w:r>
      <w:bookmarkEnd w:id="48"/>
    </w:p>
    <w:p w14:paraId="792A2FAC">
      <w:pPr>
        <w:pStyle w:val="60"/>
        <w:ind w:firstLine="420"/>
        <w:rPr>
          <w:color w:val="000000" w:themeColor="text1"/>
          <w14:textFill>
            <w14:solidFill>
              <w14:schemeClr w14:val="tx1"/>
            </w14:solidFill>
          </w14:textFill>
        </w:rPr>
      </w:pPr>
      <w:r>
        <w:rPr>
          <w:color w:val="000000" w:themeColor="text1"/>
          <w14:textFill>
            <w14:solidFill>
              <w14:schemeClr w14:val="tx1"/>
            </w14:solidFill>
          </w14:textFill>
        </w:rPr>
        <w:t>根据发酵需要可添加适量玉米粉、麸皮、米糠、豆粕粉</w:t>
      </w:r>
      <w:r>
        <w:rPr>
          <w:rFonts w:hint="eastAsia"/>
          <w:color w:val="000000" w:themeColor="text1"/>
          <w:lang w:val="en-US" w:eastAsia="zh-CN"/>
          <w14:textFill>
            <w14:solidFill>
              <w14:schemeClr w14:val="tx1"/>
            </w14:solidFill>
          </w14:textFill>
        </w:rPr>
        <w:t>和象草</w:t>
      </w:r>
      <w:r>
        <w:rPr>
          <w:color w:val="000000" w:themeColor="text1"/>
          <w14:textFill>
            <w14:solidFill>
              <w14:schemeClr w14:val="tx1"/>
            </w14:solidFill>
          </w14:textFill>
        </w:rPr>
        <w:t>等作为营养补充及碳氮比调节物料。</w:t>
      </w:r>
    </w:p>
    <w:p w14:paraId="150A2E36">
      <w:pPr>
        <w:pStyle w:val="109"/>
        <w:numPr>
          <w:numId w:val="0"/>
        </w:numPr>
        <w:ind w:left="0" w:leftChars="0" w:firstLine="0" w:firstLineChars="0"/>
      </w:pPr>
      <w:bookmarkStart w:id="49" w:name="_Toc12852"/>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5.3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饲料</w:t>
      </w:r>
      <w:r>
        <w:rPr>
          <w:rFonts w:hint="eastAsia"/>
        </w:rPr>
        <w:t>添加剂</w:t>
      </w:r>
      <w:bookmarkEnd w:id="49"/>
    </w:p>
    <w:p w14:paraId="3F6CD8DA">
      <w:pPr>
        <w:pStyle w:val="60"/>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发酵选用的添加剂种类</w:t>
      </w:r>
      <w:r>
        <w:rPr>
          <w:rFonts w:hint="eastAsia" w:ascii="Times New Roman" w:cs="Times New Roman"/>
          <w:color w:val="000000" w:themeColor="text1"/>
          <w:lang w:val="en-US" w:eastAsia="zh-CN"/>
          <w14:textFill>
            <w14:solidFill>
              <w14:schemeClr w14:val="tx1"/>
            </w14:solidFill>
          </w14:textFill>
        </w:rPr>
        <w:t>和应用剂量</w:t>
      </w:r>
      <w:r>
        <w:rPr>
          <w:rFonts w:hint="default" w:ascii="Times New Roman" w:hAnsi="Times New Roman" w:cs="Times New Roman"/>
          <w:color w:val="000000" w:themeColor="text1"/>
          <w14:textFill>
            <w14:solidFill>
              <w14:schemeClr w14:val="tx1"/>
            </w14:solidFill>
          </w14:textFill>
        </w:rPr>
        <w:t>应符合GB/T 23181—2008</w:t>
      </w:r>
      <w:r>
        <w:rPr>
          <w:rFonts w:hint="eastAsia" w:ascii="Times New Roman" w:cs="Times New Roman"/>
          <w:color w:val="000000" w:themeColor="text1"/>
          <w:lang w:eastAsia="zh-CN"/>
          <w14:textFill>
            <w14:solidFill>
              <w14:schemeClr w14:val="tx1"/>
            </w14:solidFill>
          </w14:textFill>
        </w:rPr>
        <w:t>、</w:t>
      </w:r>
      <w:r>
        <w:rPr>
          <w:rFonts w:hint="default" w:ascii="Times New Roman" w:hAnsi="Times New Roman" w:cs="Times New Roman"/>
          <w:color w:val="000000" w:themeColor="text1"/>
          <w14:textFill>
            <w14:solidFill>
              <w14:schemeClr w14:val="tx1"/>
            </w14:solidFill>
          </w14:textFill>
        </w:rPr>
        <w:t>《饲料添加剂品种目录》</w:t>
      </w:r>
      <w:r>
        <w:rPr>
          <w:rFonts w:hint="eastAsia" w:ascii="Times New Roman" w:cs="Times New Roman"/>
          <w:color w:val="000000" w:themeColor="text1"/>
          <w:lang w:val="en-US" w:eastAsia="zh-CN"/>
          <w14:textFill>
            <w14:solidFill>
              <w14:schemeClr w14:val="tx1"/>
            </w14:solidFill>
          </w14:textFill>
        </w:rPr>
        <w:t>和</w:t>
      </w:r>
      <w:r>
        <w:rPr>
          <w:rFonts w:hint="default" w:ascii="Times New Roman" w:hAnsi="Times New Roman" w:cs="Times New Roman"/>
          <w:color w:val="000000" w:themeColor="text1"/>
          <w14:textFill>
            <w14:solidFill>
              <w14:schemeClr w14:val="tx1"/>
            </w14:solidFill>
          </w14:textFill>
        </w:rPr>
        <w:t>《饲料添加剂安全使用规范》的规定。</w:t>
      </w:r>
    </w:p>
    <w:p w14:paraId="7DE496E7">
      <w:pPr>
        <w:pStyle w:val="109"/>
        <w:numPr>
          <w:ilvl w:val="2"/>
          <w:numId w:val="0"/>
        </w:numPr>
        <w:ind w:left="0" w:leftChars="0" w:firstLine="0" w:firstLineChars="0"/>
      </w:pPr>
      <w:bookmarkStart w:id="50" w:name="_Toc3225"/>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5.</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4</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含水量</w:t>
      </w:r>
      <w:bookmarkEnd w:id="50"/>
    </w:p>
    <w:p w14:paraId="7B8B7657">
      <w:pPr>
        <w:pStyle w:val="60"/>
        <w:ind w:left="0" w:leftChars="0" w:firstLine="420" w:firstLineChars="0"/>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cs="Times New Roman"/>
          <w:color w:val="000000" w:themeColor="text1"/>
          <w:lang w:val="en-US" w:eastAsia="zh-CN"/>
          <w14:textFill>
            <w14:solidFill>
              <w14:schemeClr w14:val="tx1"/>
            </w14:solidFill>
          </w14:textFill>
        </w:rPr>
        <w:t>原料水分调节至55%-65%为宜。</w:t>
      </w:r>
    </w:p>
    <w:bookmarkEnd w:id="11"/>
    <w:p w14:paraId="1642F64F">
      <w:pPr>
        <w:pStyle w:val="108"/>
        <w:numPr>
          <w:numId w:val="0"/>
        </w:numPr>
        <w:spacing w:before="240" w:after="240"/>
        <w:ind w:left="0" w:leftChars="0" w:firstLine="0" w:firstLineChars="0"/>
        <w:rPr>
          <w:rFonts w:hint="default" w:eastAsia="黑体"/>
          <w:lang w:val="en-US" w:eastAsia="zh-CN"/>
        </w:rPr>
      </w:pPr>
      <w:bookmarkStart w:id="51" w:name="_Toc29770"/>
      <w:r>
        <w:rPr>
          <w:rFonts w:hint="eastAsia" w:ascii="黑体" w:hAnsi="Times New Roman" w:eastAsia="黑体" w:cs="Times New Roman"/>
          <w:b w:val="0"/>
          <w:i w:val="0"/>
          <w:sz w:val="21"/>
          <w:lang w:val="en-US" w:eastAsia="zh-CN" w:bidi="ar-SA"/>
        </w:rPr>
        <w:t>6　</w:t>
      </w:r>
      <w:r>
        <w:rPr>
          <w:rFonts w:hint="eastAsia"/>
          <w:lang w:val="en-US" w:eastAsia="zh-CN"/>
        </w:rPr>
        <w:t>裹包青贮</w:t>
      </w:r>
      <w:bookmarkEnd w:id="51"/>
    </w:p>
    <w:p w14:paraId="4FC3D049">
      <w:pPr>
        <w:pStyle w:val="109"/>
        <w:numPr>
          <w:numId w:val="0"/>
        </w:numPr>
        <w:ind w:left="0" w:leftChars="0" w:firstLine="0" w:firstLineChars="0"/>
        <w:rPr>
          <w:rFonts w:hint="eastAsia" w:eastAsia="黑体"/>
          <w:lang w:eastAsia="zh-CN"/>
        </w:rPr>
      </w:pPr>
      <w:bookmarkStart w:id="52" w:name="_Toc28681"/>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6.1　</w:t>
      </w:r>
      <w:r>
        <w:rPr>
          <w:rFonts w:hint="eastAsia"/>
          <w:lang w:val="en-US" w:eastAsia="zh-CN"/>
        </w:rPr>
        <w:t>打捆</w:t>
      </w:r>
      <w:bookmarkEnd w:id="52"/>
    </w:p>
    <w:p w14:paraId="0C4BAB41">
      <w:pPr>
        <w:pStyle w:val="178"/>
        <w:rPr>
          <w:rFonts w:hint="default" w:ascii="Times New Roman" w:hAnsi="Times New Roman" w:cs="Times New Roman"/>
        </w:rPr>
      </w:pPr>
      <w:r>
        <w:rPr>
          <w:rFonts w:hint="eastAsia"/>
          <w:lang w:val="en-US" w:eastAsia="zh-CN"/>
        </w:rPr>
        <w:t>处理后</w:t>
      </w:r>
      <w:r>
        <w:rPr>
          <w:rFonts w:hint="eastAsia"/>
        </w:rPr>
        <w:t>的</w:t>
      </w:r>
      <w:r>
        <w:rPr>
          <w:rFonts w:hint="eastAsia"/>
          <w:lang w:val="en-US" w:eastAsia="zh-CN"/>
        </w:rPr>
        <w:t>食用菌菌糠</w:t>
      </w:r>
      <w:r>
        <w:rPr>
          <w:rFonts w:hint="eastAsia"/>
        </w:rPr>
        <w:t>应立即使用打</w:t>
      </w:r>
      <w:r>
        <w:rPr>
          <w:rFonts w:hint="default" w:ascii="Times New Roman" w:hAnsi="Times New Roman" w:cs="Times New Roman"/>
        </w:rPr>
        <w:t>捆机打成高密度圆形</w:t>
      </w:r>
      <w:r>
        <w:rPr>
          <w:rFonts w:hint="default" w:ascii="Times New Roman" w:hAnsi="Times New Roman" w:cs="Times New Roman"/>
          <w:lang w:val="en-US" w:eastAsia="zh-CN"/>
        </w:rPr>
        <w:t>菌糠</w:t>
      </w:r>
      <w:r>
        <w:rPr>
          <w:rFonts w:hint="default" w:ascii="Times New Roman" w:hAnsi="Times New Roman" w:cs="Times New Roman"/>
        </w:rPr>
        <w:t>捆</w:t>
      </w:r>
      <w:r>
        <w:rPr>
          <w:rFonts w:hint="default" w:ascii="Times New Roman" w:hAnsi="Times New Roman" w:cs="Times New Roman"/>
          <w:lang w:eastAsia="zh-CN"/>
        </w:rPr>
        <w:t>，</w:t>
      </w:r>
      <w:r>
        <w:rPr>
          <w:rFonts w:hint="default" w:ascii="Times New Roman" w:hAnsi="Times New Roman" w:cs="Times New Roman"/>
        </w:rPr>
        <w:t>密度应达到650 kg/m</w:t>
      </w:r>
      <w:r>
        <w:rPr>
          <w:rFonts w:hint="default" w:ascii="Times New Roman" w:hAnsi="Times New Roman" w:cs="Times New Roman"/>
          <w:vertAlign w:val="superscript"/>
        </w:rPr>
        <w:t>3</w:t>
      </w:r>
      <w:r>
        <w:rPr>
          <w:rFonts w:hint="default" w:ascii="Times New Roman" w:hAnsi="Times New Roman" w:cs="Times New Roman"/>
        </w:rPr>
        <w:t>以上。</w:t>
      </w:r>
      <w:r>
        <w:rPr>
          <w:rFonts w:hint="default" w:ascii="Times New Roman" w:hAnsi="Times New Roman" w:cs="Times New Roman"/>
          <w:lang w:val="en-US" w:eastAsia="zh-CN"/>
        </w:rPr>
        <w:t>打捆过程中</w:t>
      </w:r>
      <w:r>
        <w:rPr>
          <w:rFonts w:hint="default" w:ascii="Times New Roman" w:hAnsi="Times New Roman" w:cs="Times New Roman"/>
        </w:rPr>
        <w:t>应避免混入泥土或其他杂物</w:t>
      </w:r>
    </w:p>
    <w:p w14:paraId="3E10F88E">
      <w:pPr>
        <w:pStyle w:val="109"/>
        <w:numPr>
          <w:numId w:val="0"/>
        </w:numPr>
        <w:ind w:left="0" w:leftChars="0" w:firstLine="0" w:firstLineChars="0"/>
        <w:rPr>
          <w:rFonts w:hint="default"/>
          <w:lang w:val="en-US"/>
        </w:rPr>
      </w:pPr>
      <w:bookmarkStart w:id="53" w:name="_Toc24069"/>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6.2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裹包</w:t>
      </w:r>
      <w:bookmarkEnd w:id="53"/>
    </w:p>
    <w:p w14:paraId="6FBC3275">
      <w:pPr>
        <w:pStyle w:val="178"/>
        <w:rPr>
          <w:rFonts w:hint="eastAsia"/>
          <w:lang w:eastAsia="zh-CN"/>
        </w:rPr>
      </w:pPr>
      <w:r>
        <w:rPr>
          <w:rFonts w:hint="eastAsia"/>
        </w:rPr>
        <w:t>打捆后应立即裹包，裹</w:t>
      </w:r>
      <w:r>
        <w:rPr>
          <w:rFonts w:hint="default" w:ascii="Times New Roman" w:hAnsi="Times New Roman" w:cs="Times New Roman"/>
        </w:rPr>
        <w:t>包层数应达到6层以上。应采用符合GB/T 1040.3规定</w:t>
      </w:r>
      <w:r>
        <w:rPr>
          <w:rFonts w:hint="default" w:ascii="Times New Roman" w:hAnsi="Times New Roman" w:cs="Times New Roman"/>
          <w:lang w:val="en-US" w:eastAsia="zh-CN"/>
        </w:rPr>
        <w:t>的</w:t>
      </w:r>
      <w:r>
        <w:rPr>
          <w:rFonts w:hint="default" w:ascii="Times New Roman" w:hAnsi="Times New Roman" w:cs="Times New Roman"/>
        </w:rPr>
        <w:t>青贮专用塑料拉伸膜。</w:t>
      </w:r>
      <w:r>
        <w:rPr>
          <w:rFonts w:hint="default" w:ascii="Times New Roman" w:hAnsi="Times New Roman" w:cs="Times New Roman"/>
          <w:lang w:val="en-US" w:eastAsia="zh-CN"/>
        </w:rPr>
        <w:t>裹包</w:t>
      </w:r>
      <w:r>
        <w:rPr>
          <w:rFonts w:hint="default" w:ascii="Times New Roman" w:hAnsi="Times New Roman" w:cs="Times New Roman"/>
        </w:rPr>
        <w:t>应避免混入泥土或其他杂物</w:t>
      </w:r>
      <w:r>
        <w:rPr>
          <w:rFonts w:hint="eastAsia"/>
          <w:lang w:eastAsia="zh-CN"/>
        </w:rPr>
        <w:t>。</w:t>
      </w:r>
    </w:p>
    <w:p w14:paraId="76D40E54">
      <w:pPr>
        <w:pStyle w:val="109"/>
        <w:numPr>
          <w:ilvl w:val="2"/>
          <w:numId w:val="0"/>
        </w:numPr>
        <w:ind w:left="0" w:leftChars="0" w:firstLine="0" w:firstLineChars="0"/>
        <w:rPr>
          <w:rFonts w:hint="default"/>
          <w:lang w:val="en-US"/>
        </w:rPr>
      </w:pPr>
      <w:bookmarkStart w:id="54" w:name="_Toc17240"/>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6.2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存放</w:t>
      </w:r>
      <w:bookmarkEnd w:id="54"/>
    </w:p>
    <w:p w14:paraId="3F90FC64">
      <w:pPr>
        <w:pStyle w:val="178"/>
        <w:rPr>
          <w:rFonts w:hint="default"/>
          <w:lang w:val="en-US" w:eastAsia="zh-CN"/>
        </w:rPr>
      </w:pPr>
      <w:r>
        <w:rPr>
          <w:rFonts w:hint="default"/>
          <w:lang w:val="en-US" w:eastAsia="zh-CN"/>
        </w:rPr>
        <w:t>裹包堆</w:t>
      </w:r>
      <w:r>
        <w:rPr>
          <w:rFonts w:hint="default" w:ascii="Times New Roman" w:hAnsi="Times New Roman" w:cs="Times New Roman"/>
          <w:lang w:val="en-US" w:eastAsia="zh-CN"/>
        </w:rPr>
        <w:t>垛层数不宜超过3层。裹包青贮应存放在草棚或地面平整、排水良好、没有杂物和其他尖利物的地方。应定时检查裹包的密封情况和堆垛情况，底层裹包出现变形时，应及时调整堆垛层数。防止鼠、鸟等造成的拉伸膜破损，出现破损及时修补</w:t>
      </w:r>
      <w:r>
        <w:rPr>
          <w:rFonts w:hint="default"/>
          <w:lang w:val="en-US" w:eastAsia="zh-CN"/>
        </w:rPr>
        <w:t>。</w:t>
      </w:r>
    </w:p>
    <w:p w14:paraId="71A8077A">
      <w:pPr>
        <w:pStyle w:val="108"/>
        <w:numPr>
          <w:numId w:val="0"/>
        </w:numPr>
        <w:spacing w:before="240" w:after="240"/>
        <w:ind w:left="0" w:leftChars="0" w:firstLine="0" w:firstLineChars="0"/>
        <w:rPr>
          <w:rFonts w:hint="eastAsia" w:eastAsia="黑体"/>
          <w:lang w:eastAsia="zh-CN"/>
        </w:rPr>
      </w:pPr>
      <w:bookmarkStart w:id="55" w:name="_Toc19638"/>
      <w:r>
        <w:rPr>
          <w:rFonts w:hint="eastAsia" w:ascii="黑体" w:hAnsi="Times New Roman" w:eastAsia="黑体" w:cs="Times New Roman"/>
          <w:b w:val="0"/>
          <w:i w:val="0"/>
          <w:sz w:val="21"/>
          <w:lang w:val="en-US" w:eastAsia="zh-CN" w:bidi="ar-SA"/>
        </w:rPr>
        <w:t>7　</w:t>
      </w:r>
      <w:r>
        <w:rPr>
          <w:rFonts w:hint="eastAsia"/>
          <w:lang w:val="en-US" w:eastAsia="zh-CN"/>
        </w:rPr>
        <w:t>窖贮</w:t>
      </w:r>
      <w:bookmarkEnd w:id="55"/>
    </w:p>
    <w:p w14:paraId="59B5E12F">
      <w:pPr>
        <w:pStyle w:val="109"/>
        <w:numPr>
          <w:numId w:val="0"/>
        </w:numPr>
        <w:ind w:left="0" w:leftChars="0" w:firstLine="0" w:firstLineChars="0"/>
        <w:rPr>
          <w:rFonts w:hint="default" w:eastAsia="黑体"/>
          <w:lang w:val="en-US" w:eastAsia="zh-CN"/>
        </w:rPr>
      </w:pPr>
      <w:bookmarkStart w:id="56" w:name="_Toc28421"/>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7.1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青贮窖</w:t>
      </w:r>
      <w:bookmarkEnd w:id="56"/>
    </w:p>
    <w:p w14:paraId="6441C6F7">
      <w:pPr>
        <w:pStyle w:val="60"/>
        <w:ind w:firstLine="420"/>
      </w:pPr>
      <w:r>
        <w:rPr>
          <w:rFonts w:hint="eastAsia"/>
        </w:rPr>
        <w:t>青贮窖建</w:t>
      </w:r>
      <w:r>
        <w:rPr>
          <w:rFonts w:hint="default" w:ascii="Times New Roman" w:hAnsi="Times New Roman" w:cs="Times New Roman"/>
        </w:rPr>
        <w:t>设应符合NY/T 2698的要</w:t>
      </w:r>
      <w:r>
        <w:rPr>
          <w:rFonts w:hint="eastAsia"/>
        </w:rPr>
        <w:t>求。</w:t>
      </w:r>
    </w:p>
    <w:p w14:paraId="7F44520C">
      <w:pPr>
        <w:pStyle w:val="109"/>
        <w:numPr>
          <w:numId w:val="0"/>
        </w:numPr>
        <w:ind w:left="0" w:leftChars="0" w:firstLine="0" w:firstLineChars="0"/>
        <w:rPr>
          <w:rFonts w:hint="eastAsia" w:eastAsia="黑体"/>
          <w:lang w:eastAsia="zh-CN"/>
        </w:rPr>
      </w:pPr>
      <w:bookmarkStart w:id="57" w:name="_Toc19855"/>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7.2　</w:t>
      </w:r>
      <w:r>
        <w:rPr>
          <w:rFonts w:hint="eastAsia"/>
          <w:lang w:val="en-US" w:eastAsia="zh-CN"/>
        </w:rPr>
        <w:t>装填</w:t>
      </w:r>
      <w:bookmarkEnd w:id="57"/>
    </w:p>
    <w:p w14:paraId="020F801B">
      <w:pPr>
        <w:pStyle w:val="178"/>
        <w:rPr>
          <w:rFonts w:hint="default" w:ascii="Times New Roman" w:hAnsi="Times New Roman" w:eastAsia="宋体" w:cs="Times New Roman"/>
          <w:lang w:eastAsia="zh-CN"/>
        </w:rPr>
      </w:pPr>
      <w:r>
        <w:rPr>
          <w:rFonts w:hint="eastAsia"/>
        </w:rPr>
        <w:t>装填前</w:t>
      </w:r>
      <w:r>
        <w:rPr>
          <w:rFonts w:hint="default" w:ascii="Times New Roman" w:hAnsi="Times New Roman" w:cs="Times New Roman"/>
        </w:rPr>
        <w:t>应及时监测原料水分，以5</w:t>
      </w:r>
      <w:r>
        <w:rPr>
          <w:rFonts w:hint="default" w:ascii="Times New Roman" w:hAnsi="Times New Roman" w:cs="Times New Roman"/>
          <w:lang w:val="en-US" w:eastAsia="zh-CN"/>
        </w:rPr>
        <w:t>5</w:t>
      </w:r>
      <w:r>
        <w:rPr>
          <w:rFonts w:hint="default" w:ascii="Times New Roman" w:hAnsi="Times New Roman" w:cs="Times New Roman"/>
        </w:rPr>
        <w:t>%</w:t>
      </w:r>
      <w:r>
        <w:rPr>
          <w:rFonts w:hint="default" w:ascii="Times New Roman" w:hAnsi="Times New Roman" w:cs="Times New Roman"/>
          <w:lang w:val="en-US" w:eastAsia="zh-CN"/>
        </w:rPr>
        <w:t>-</w:t>
      </w:r>
      <w:r>
        <w:rPr>
          <w:rFonts w:hint="default" w:ascii="Times New Roman" w:hAnsi="Times New Roman" w:cs="Times New Roman"/>
        </w:rPr>
        <w:t>6</w:t>
      </w:r>
      <w:r>
        <w:rPr>
          <w:rFonts w:hint="default" w:ascii="Times New Roman" w:hAnsi="Times New Roman" w:cs="Times New Roman"/>
          <w:lang w:val="en-US" w:eastAsia="zh-CN"/>
        </w:rPr>
        <w:t>5</w:t>
      </w:r>
      <w:r>
        <w:rPr>
          <w:rFonts w:hint="default" w:ascii="Times New Roman" w:hAnsi="Times New Roman" w:cs="Times New Roman"/>
        </w:rPr>
        <w:t>%含水率为宜。装窖前应在窖壁铺一层塑料薄膜，塑料薄膜要伸到窖底60 cm左右。把</w:t>
      </w:r>
      <w:r>
        <w:rPr>
          <w:rFonts w:hint="eastAsia" w:ascii="Times New Roman" w:cs="Times New Roman"/>
          <w:lang w:val="en-US" w:eastAsia="zh-CN"/>
        </w:rPr>
        <w:t>粉碎</w:t>
      </w:r>
      <w:r>
        <w:rPr>
          <w:rFonts w:hint="default" w:ascii="Times New Roman" w:hAnsi="Times New Roman" w:cs="Times New Roman"/>
        </w:rPr>
        <w:t>的</w:t>
      </w:r>
      <w:r>
        <w:rPr>
          <w:rFonts w:hint="eastAsia" w:ascii="Times New Roman" w:cs="Times New Roman"/>
          <w:lang w:val="en-US" w:eastAsia="zh-CN"/>
        </w:rPr>
        <w:t>食用菌菌糠</w:t>
      </w:r>
      <w:r>
        <w:rPr>
          <w:rFonts w:hint="eastAsia"/>
        </w:rPr>
        <w:t>由内到外分层</w:t>
      </w:r>
      <w:r>
        <w:rPr>
          <w:rFonts w:hint="default" w:ascii="Times New Roman" w:hAnsi="Times New Roman" w:cs="Times New Roman"/>
        </w:rPr>
        <w:t>装填</w:t>
      </w:r>
      <w:r>
        <w:rPr>
          <w:rFonts w:hint="default" w:ascii="Times New Roman" w:hAnsi="Times New Roman" w:cs="Times New Roman"/>
          <w:lang w:eastAsia="zh-CN"/>
        </w:rPr>
        <w:t>。将原料装至高出窖口30 cm-40 cm，呈弧形屋脊状。</w:t>
      </w:r>
    </w:p>
    <w:p w14:paraId="0AEDEA08">
      <w:pPr>
        <w:pStyle w:val="109"/>
        <w:numPr>
          <w:numId w:val="0"/>
        </w:numPr>
        <w:ind w:left="0" w:leftChars="0" w:firstLine="0" w:firstLineChars="0"/>
        <w:rPr>
          <w:rFonts w:hint="eastAsia" w:eastAsia="黑体"/>
          <w:lang w:eastAsia="zh-CN"/>
        </w:rPr>
      </w:pPr>
      <w:bookmarkStart w:id="58" w:name="_Toc8062"/>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7.3　</w:t>
      </w:r>
      <w:r>
        <w:rPr>
          <w:rFonts w:hint="eastAsia"/>
          <w:lang w:val="en-US" w:eastAsia="zh-CN"/>
        </w:rPr>
        <w:t>压实</w:t>
      </w:r>
      <w:bookmarkEnd w:id="58"/>
    </w:p>
    <w:p w14:paraId="42B5E419">
      <w:pPr>
        <w:pStyle w:val="60"/>
        <w:ind w:firstLine="420"/>
        <w:rPr>
          <w:rFonts w:hint="default" w:ascii="Times New Roman" w:hAnsi="Times New Roman" w:cs="Times New Roman"/>
        </w:rPr>
      </w:pPr>
      <w:r>
        <w:rPr>
          <w:rFonts w:hint="eastAsia"/>
        </w:rPr>
        <w:t>原料每</w:t>
      </w:r>
      <w:r>
        <w:rPr>
          <w:rFonts w:hint="default" w:ascii="Times New Roman" w:hAnsi="Times New Roman" w:cs="Times New Roman"/>
        </w:rPr>
        <w:t>层装填厚度20 cm时，采用压窖机或其他大中型轮式机械进行压实。密度要达到650 kg/m</w:t>
      </w:r>
      <w:r>
        <w:rPr>
          <w:rFonts w:hint="default" w:ascii="Times New Roman" w:hAnsi="Times New Roman" w:cs="Times New Roman"/>
          <w:vertAlign w:val="superscript"/>
        </w:rPr>
        <w:t>3</w:t>
      </w:r>
      <w:r>
        <w:rPr>
          <w:rFonts w:hint="default" w:ascii="Times New Roman" w:hAnsi="Times New Roman" w:cs="Times New Roman"/>
        </w:rPr>
        <w:t>以上。</w:t>
      </w:r>
    </w:p>
    <w:p w14:paraId="1CD4F561">
      <w:pPr>
        <w:pStyle w:val="109"/>
        <w:numPr>
          <w:numId w:val="0"/>
        </w:numPr>
        <w:ind w:left="0" w:leftChars="0" w:firstLine="0" w:firstLineChars="0"/>
        <w:rPr>
          <w:rFonts w:hint="eastAsia" w:eastAsia="黑体"/>
          <w:lang w:eastAsia="zh-CN"/>
        </w:rPr>
      </w:pPr>
      <w:bookmarkStart w:id="59" w:name="_Toc26429"/>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7.4　</w:t>
      </w:r>
      <w:r>
        <w:rPr>
          <w:rFonts w:hint="eastAsia"/>
          <w:lang w:val="en-US" w:eastAsia="zh-CN"/>
        </w:rPr>
        <w:t>密封</w:t>
      </w:r>
      <w:bookmarkEnd w:id="59"/>
    </w:p>
    <w:p w14:paraId="1D653465">
      <w:pPr>
        <w:pStyle w:val="60"/>
        <w:ind w:firstLine="420"/>
        <w:rPr>
          <w:rFonts w:hint="eastAsia"/>
        </w:rPr>
      </w:pPr>
      <w:r>
        <w:rPr>
          <w:rFonts w:hint="eastAsia"/>
        </w:rPr>
        <w:t>装填压实作业之后，立即密封</w:t>
      </w:r>
      <w:r>
        <w:rPr>
          <w:rFonts w:hint="default" w:ascii="Times New Roman" w:hAnsi="Times New Roman" w:cs="Times New Roman"/>
        </w:rPr>
        <w:t>。从原料装填至密封不应超过3天。宜采用分段密封的作业措施，每段密封时间不超过3天。宜采用符合GB/T4455-2019规定的青贮专用无毒无害的聚乙烯塑料薄膜（内黑外白）进行覆盖，排空气后，塑料薄</w:t>
      </w:r>
      <w:r>
        <w:rPr>
          <w:rFonts w:hint="eastAsia"/>
        </w:rPr>
        <w:t>膜外面放置重物镇压，保证镇压物的密度，使密封膜与</w:t>
      </w:r>
      <w:r>
        <w:rPr>
          <w:rFonts w:hint="eastAsia"/>
          <w:lang w:val="en-US" w:eastAsia="zh-CN"/>
        </w:rPr>
        <w:t>菌糠</w:t>
      </w:r>
      <w:r>
        <w:rPr>
          <w:rFonts w:hint="eastAsia"/>
        </w:rPr>
        <w:t>间无空隙。</w:t>
      </w:r>
    </w:p>
    <w:p w14:paraId="3EA501FD">
      <w:pPr>
        <w:pStyle w:val="109"/>
        <w:numPr>
          <w:ilvl w:val="2"/>
          <w:numId w:val="0"/>
        </w:numPr>
        <w:ind w:left="0" w:leftChars="0" w:firstLine="0" w:firstLineChars="0"/>
        <w:rPr>
          <w:rFonts w:hint="default" w:eastAsia="黑体"/>
          <w:lang w:val="en-US" w:eastAsia="zh-CN"/>
        </w:rPr>
      </w:pPr>
      <w:bookmarkStart w:id="60" w:name="_Toc1227"/>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7.</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5</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存放</w:t>
      </w:r>
      <w:bookmarkEnd w:id="60"/>
    </w:p>
    <w:p w14:paraId="4EB3C781">
      <w:pPr>
        <w:pStyle w:val="60"/>
        <w:ind w:left="0" w:leftChars="0" w:firstLine="420" w:firstLineChars="0"/>
        <w:rPr>
          <w:rFonts w:hint="eastAsia"/>
        </w:rPr>
      </w:pPr>
      <w:r>
        <w:rPr>
          <w:rFonts w:hint="eastAsia"/>
        </w:rPr>
        <w:t>密封后，定期检查青贮窖的密封情况，防止窖顶积水，防除鼠害，及时修复密封膜的破损等。</w:t>
      </w:r>
    </w:p>
    <w:p w14:paraId="76128B2A">
      <w:pPr>
        <w:pStyle w:val="108"/>
        <w:numPr>
          <w:ilvl w:val="0"/>
          <w:numId w:val="31"/>
        </w:numPr>
        <w:spacing w:before="240" w:after="240"/>
        <w:ind w:left="0" w:leftChars="0" w:firstLine="0" w:firstLineChars="0"/>
        <w:rPr>
          <w:rFonts w:hint="eastAsia"/>
          <w:lang w:val="en-US" w:eastAsia="zh-CN"/>
        </w:rPr>
      </w:pPr>
      <w:bookmarkStart w:id="61" w:name="_Toc1393"/>
      <w:r>
        <w:rPr>
          <w:rFonts w:hint="eastAsia"/>
          <w:lang w:val="en-US" w:eastAsia="zh-CN"/>
        </w:rPr>
        <w:t>袋贮</w:t>
      </w:r>
      <w:bookmarkEnd w:id="61"/>
    </w:p>
    <w:p w14:paraId="175D1D60">
      <w:pPr>
        <w:pStyle w:val="109"/>
        <w:numPr>
          <w:ilvl w:val="2"/>
          <w:numId w:val="0"/>
        </w:numPr>
        <w:ind w:left="0" w:leftChars="0" w:firstLine="0" w:firstLineChars="0"/>
        <w:rPr>
          <w:rFonts w:hint="default" w:eastAsia="黑体"/>
          <w:lang w:val="en-US" w:eastAsia="zh-CN"/>
        </w:rPr>
      </w:pPr>
      <w:bookmarkStart w:id="62" w:name="_Toc4221"/>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8</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1</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装填</w:t>
      </w:r>
      <w:bookmarkEnd w:id="62"/>
    </w:p>
    <w:p w14:paraId="19366474">
      <w:pPr>
        <w:pStyle w:val="60"/>
        <w:numPr>
          <w:numId w:val="0"/>
        </w:numPr>
        <w:ind w:firstLine="420" w:firstLineChars="0"/>
        <w:rPr>
          <w:rFonts w:hint="default"/>
          <w:lang w:val="en-US" w:eastAsia="zh-CN"/>
        </w:rPr>
      </w:pPr>
      <w:r>
        <w:rPr>
          <w:rFonts w:hint="default"/>
          <w:lang w:val="en-US" w:eastAsia="zh-CN"/>
        </w:rPr>
        <w:t>每袋装填量以方便搬</w:t>
      </w:r>
      <w:r>
        <w:rPr>
          <w:rFonts w:hint="default" w:ascii="Times New Roman" w:hAnsi="Times New Roman" w:cs="Times New Roman"/>
          <w:lang w:val="en-US" w:eastAsia="zh-CN"/>
        </w:rPr>
        <w:t>运为宜，一般不超过50 Kg</w:t>
      </w:r>
      <w:r>
        <w:rPr>
          <w:rFonts w:hint="default"/>
          <w:lang w:val="en-US" w:eastAsia="zh-CN"/>
        </w:rPr>
        <w:t>。</w:t>
      </w:r>
    </w:p>
    <w:p w14:paraId="094856E3">
      <w:pPr>
        <w:pStyle w:val="109"/>
        <w:numPr>
          <w:ilvl w:val="2"/>
          <w:numId w:val="0"/>
        </w:numPr>
        <w:ind w:left="0" w:leftChars="0" w:firstLine="0" w:firstLineChars="0"/>
        <w:rPr>
          <w:rFonts w:hint="default" w:eastAsia="黑体"/>
          <w:lang w:val="en-US" w:eastAsia="zh-CN"/>
        </w:rPr>
      </w:pPr>
      <w:bookmarkStart w:id="63" w:name="_Toc15765"/>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8</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2</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密封</w:t>
      </w:r>
      <w:bookmarkEnd w:id="63"/>
    </w:p>
    <w:p w14:paraId="191AB3DA">
      <w:pPr>
        <w:pStyle w:val="60"/>
        <w:numPr>
          <w:numId w:val="0"/>
        </w:numPr>
        <w:ind w:firstLine="420" w:firstLineChars="0"/>
        <w:rPr>
          <w:rFonts w:hint="default"/>
          <w:lang w:val="en-US" w:eastAsia="zh-CN"/>
        </w:rPr>
      </w:pPr>
      <w:r>
        <w:rPr>
          <w:rFonts w:hint="default"/>
          <w:lang w:val="en-US" w:eastAsia="zh-CN"/>
        </w:rPr>
        <w:t>青贮袋应选用</w:t>
      </w:r>
      <w:r>
        <w:rPr>
          <w:rFonts w:hint="default" w:ascii="Times New Roman" w:hAnsi="Times New Roman" w:cs="Times New Roman"/>
          <w:lang w:val="en-US" w:eastAsia="zh-CN"/>
        </w:rPr>
        <w:t>符合GB/T 4455-2019规定的无毒、无害、高阻氧、厚度为10丝-15丝和带有单向排气阀的厌氧发酵袋，将处理好的原料装入青贮袋后，使用压缩机械尽量排出袋中空气密封</w:t>
      </w:r>
      <w:r>
        <w:rPr>
          <w:rFonts w:hint="default"/>
          <w:lang w:val="en-US" w:eastAsia="zh-CN"/>
        </w:rPr>
        <w:t>。</w:t>
      </w:r>
    </w:p>
    <w:p w14:paraId="3D7AA801">
      <w:pPr>
        <w:pStyle w:val="109"/>
        <w:numPr>
          <w:ilvl w:val="2"/>
          <w:numId w:val="0"/>
        </w:numPr>
        <w:ind w:left="0" w:leftChars="0" w:firstLine="0" w:firstLineChars="0"/>
        <w:rPr>
          <w:rFonts w:hint="default" w:eastAsia="黑体"/>
          <w:lang w:val="en-US" w:eastAsia="zh-CN"/>
        </w:rPr>
      </w:pPr>
      <w:bookmarkStart w:id="64" w:name="_Toc11268"/>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8</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3</w:t>
      </w:r>
      <w: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　</w:t>
      </w:r>
      <w:r>
        <w:rPr>
          <w:rFonts w:hint="eastAsia" w:cs="Times New Roman"/>
          <w:b w:val="0"/>
          <w:bCs w:val="0"/>
          <w:i w:val="0"/>
          <w:iCs w:val="0"/>
          <w:caps w:val="0"/>
          <w:smallCaps w:val="0"/>
          <w:strike w:val="0"/>
          <w:dstrike w:val="0"/>
          <w:vanish w:val="0"/>
          <w:color w:val="000000"/>
          <w:spacing w:val="0"/>
          <w:kern w:val="0"/>
          <w:position w:val="0"/>
          <w:sz w:val="21"/>
          <w:u w:val="none"/>
          <w:vertAlign w:val="baseline"/>
          <w:lang w:val="en-US" w:eastAsia="zh-CN" w:bidi="ar-SA"/>
        </w:rPr>
        <w:t>存放</w:t>
      </w:r>
      <w:bookmarkEnd w:id="64"/>
    </w:p>
    <w:p w14:paraId="124A2DB4">
      <w:pPr>
        <w:pStyle w:val="60"/>
        <w:numPr>
          <w:numId w:val="0"/>
        </w:numPr>
        <w:ind w:firstLine="420" w:firstLineChars="0"/>
        <w:rPr>
          <w:rFonts w:hint="default"/>
          <w:lang w:val="en-US" w:eastAsia="zh-CN"/>
        </w:rPr>
      </w:pPr>
      <w:r>
        <w:rPr>
          <w:rFonts w:hint="eastAsia"/>
          <w:lang w:val="en-US" w:eastAsia="zh-CN"/>
        </w:rPr>
        <w:t>青贮袋</w:t>
      </w:r>
      <w:r>
        <w:rPr>
          <w:rFonts w:hint="default" w:ascii="Times New Roman" w:hAnsi="Times New Roman" w:cs="Times New Roman"/>
          <w:lang w:val="en-US" w:eastAsia="zh-CN"/>
        </w:rPr>
        <w:t>应存放在草棚或地面平整、排水良好、没有杂物和其他尖利物的地方，或外套编织袋为宜。在发酵过程中，要定期检查发酵容器的密封情况，如有漏气要及时处理。环境温度宜控制在25℃-35℃，料温不宜超过37℃。温度过低会延长发酵时间，温度过高则可能导致腐败菌繁殖。高温季节应注意遮阳降温，低温季节可采取保温措</w:t>
      </w:r>
      <w:r>
        <w:rPr>
          <w:rFonts w:hint="eastAsia"/>
          <w:lang w:val="en-US" w:eastAsia="zh-CN"/>
        </w:rPr>
        <w:t>施。</w:t>
      </w:r>
    </w:p>
    <w:p w14:paraId="32A07365">
      <w:pPr>
        <w:pStyle w:val="108"/>
        <w:numPr>
          <w:ilvl w:val="0"/>
          <w:numId w:val="31"/>
        </w:numPr>
        <w:spacing w:before="240" w:after="240"/>
        <w:ind w:left="0" w:leftChars="0" w:firstLine="0" w:firstLineChars="0"/>
      </w:pPr>
      <w:bookmarkStart w:id="65" w:name="_Toc7744"/>
      <w:r>
        <w:rPr>
          <w:rFonts w:hint="eastAsia"/>
        </w:rPr>
        <w:t>饲喂取用</w:t>
      </w:r>
      <w:bookmarkEnd w:id="65"/>
    </w:p>
    <w:p w14:paraId="3887B21E">
      <w:pPr>
        <w:pStyle w:val="60"/>
        <w:ind w:left="0" w:leftChars="0" w:firstLine="420" w:firstLineChars="0"/>
        <w:rPr>
          <w:rFonts w:hint="eastAsia"/>
        </w:rPr>
      </w:pPr>
      <w:r>
        <w:t>在取用时，只能从青贮窖</w:t>
      </w:r>
      <w:r>
        <w:rPr>
          <w:rFonts w:hint="eastAsia"/>
        </w:rPr>
        <w:t>、青贮袋或裹包</w:t>
      </w:r>
      <w:r>
        <w:t>的一端打开，要分段自上而下取用</w:t>
      </w:r>
      <w:r>
        <w:rPr>
          <w:rFonts w:hint="eastAsia"/>
          <w:lang w:eastAsia="zh-CN"/>
        </w:rPr>
        <w:t>。</w:t>
      </w:r>
      <w:r>
        <w:t>取料面</w:t>
      </w:r>
      <w:r>
        <w:rPr>
          <w:rFonts w:hint="eastAsia"/>
          <w:lang w:val="en-US" w:eastAsia="zh-CN"/>
        </w:rPr>
        <w:t>应</w:t>
      </w:r>
      <w:r>
        <w:t>平滑，取用时尽量保持未取用部分紧密，不松散。每次取料后应及时密封，防止日晒、雨淋和二次发酵。凡是颜色发黑、发霉、具有刺鼻腐臭或霉味</w:t>
      </w:r>
      <w:r>
        <w:rPr>
          <w:rFonts w:hint="eastAsia"/>
          <w:lang w:val="en-US" w:eastAsia="zh-CN"/>
        </w:rPr>
        <w:t>的发酵菌糠</w:t>
      </w:r>
      <w:r>
        <w:t>不</w:t>
      </w:r>
      <w:r>
        <w:rPr>
          <w:rFonts w:hint="eastAsia"/>
          <w:lang w:val="en-US" w:eastAsia="zh-CN"/>
        </w:rPr>
        <w:t>宜取用饲喂</w:t>
      </w:r>
      <w:r>
        <w:rPr>
          <w:rFonts w:hint="eastAsia"/>
        </w:rPr>
        <w:t>。</w:t>
      </w:r>
    </w:p>
    <w:p w14:paraId="3CF1E711">
      <w:pPr>
        <w:pStyle w:val="108"/>
        <w:numPr>
          <w:ilvl w:val="0"/>
          <w:numId w:val="31"/>
        </w:numPr>
        <w:spacing w:before="240" w:after="240"/>
        <w:ind w:left="0" w:leftChars="0" w:firstLine="0" w:firstLineChars="0"/>
      </w:pPr>
      <w:bookmarkStart w:id="66" w:name="_Toc29413"/>
      <w:r>
        <w:rPr>
          <w:rFonts w:hint="eastAsia"/>
          <w:lang w:val="en-US" w:eastAsia="zh-CN"/>
        </w:rPr>
        <w:t>质量评定</w:t>
      </w:r>
      <w:bookmarkEnd w:id="66"/>
    </w:p>
    <w:p w14:paraId="0E4AA58B">
      <w:pPr>
        <w:pStyle w:val="60"/>
        <w:ind w:left="0" w:leftChars="0" w:firstLine="420" w:firstLineChars="0"/>
        <w:rPr>
          <w:rFonts w:hint="eastAsia"/>
        </w:rPr>
      </w:pPr>
      <w:r>
        <w:rPr>
          <w:rFonts w:hint="eastAsia"/>
        </w:rPr>
        <w:t>发酵良好的食用菌</w:t>
      </w:r>
      <w:r>
        <w:rPr>
          <w:rFonts w:hint="default" w:ascii="Times New Roman" w:hAnsi="Times New Roman" w:cs="Times New Roman"/>
        </w:rPr>
        <w:t>菌糠饲料应感官新鲜，不粘结，具有酸香味，无霉变、无异味，pH值应在4.0-5.0之间，乳酸菌总数≥1×10</w:t>
      </w:r>
      <w:r>
        <w:rPr>
          <w:rFonts w:hint="default" w:ascii="Times New Roman" w:hAnsi="Times New Roman" w:cs="Times New Roman"/>
          <w:vertAlign w:val="superscript"/>
        </w:rPr>
        <w:t>7</w:t>
      </w:r>
      <w:r>
        <w:rPr>
          <w:rFonts w:hint="default" w:ascii="Times New Roman" w:hAnsi="Times New Roman" w:cs="Times New Roman"/>
        </w:rPr>
        <w:t xml:space="preserve"> cfu/g，酵母菌总数≥1×10</w:t>
      </w:r>
      <w:r>
        <w:rPr>
          <w:rFonts w:hint="default" w:ascii="Times New Roman" w:hAnsi="Times New Roman" w:cs="Times New Roman"/>
          <w:vertAlign w:val="superscript"/>
        </w:rPr>
        <w:t>7</w:t>
      </w:r>
      <w:r>
        <w:rPr>
          <w:rFonts w:hint="default" w:ascii="Times New Roman" w:hAnsi="Times New Roman" w:cs="Times New Roman"/>
        </w:rPr>
        <w:t xml:space="preserve"> cfu/g，枯草芽孢杆菌总数≥1×10</w:t>
      </w:r>
      <w:r>
        <w:rPr>
          <w:rFonts w:hint="default" w:ascii="Times New Roman" w:hAnsi="Times New Roman" w:cs="Times New Roman"/>
          <w:vertAlign w:val="superscript"/>
        </w:rPr>
        <w:t>7</w:t>
      </w:r>
      <w:r>
        <w:rPr>
          <w:rFonts w:hint="default" w:ascii="Times New Roman" w:hAnsi="Times New Roman" w:cs="Times New Roman"/>
        </w:rPr>
        <w:t xml:space="preserve"> cfu/g，卫生指标应符合GB 13078—2017的</w:t>
      </w:r>
      <w:r>
        <w:rPr>
          <w:rFonts w:hint="eastAsia"/>
        </w:rPr>
        <w:t>规定。</w:t>
      </w:r>
    </w:p>
    <w:p w14:paraId="5D77B37B">
      <w:pPr>
        <w:pStyle w:val="60"/>
        <w:ind w:firstLine="420"/>
        <w:jc w:val="cente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r>
        <w:drawing>
          <wp:inline distT="0" distB="0" distL="0" distR="0">
            <wp:extent cx="1485900" cy="212725"/>
            <wp:effectExtent l="19050" t="133350" r="0" b="149225"/>
            <wp:docPr id="597413797" name="图片 3"/>
            <wp:cNvGraphicFramePr/>
            <a:graphic xmlns:a="http://schemas.openxmlformats.org/drawingml/2006/main">
              <a:graphicData uri="http://schemas.openxmlformats.org/drawingml/2006/picture">
                <pic:pic xmlns:pic="http://schemas.openxmlformats.org/drawingml/2006/picture">
                  <pic:nvPicPr>
                    <pic:cNvPr id="597413797" name="图片 3"/>
                    <pic:cNvPicPr/>
                  </pic:nvPicPr>
                  <pic:blipFill>
                    <a:blip r:embed="rId27">
                      <a:extLst>
                        <a:ext uri="{28A0092B-C50C-407E-A947-70E740481C1C}">
                          <a14:useLocalDpi xmlns:a14="http://schemas.microsoft.com/office/drawing/2010/main" val="0"/>
                        </a:ext>
                      </a:extLst>
                    </a:blip>
                    <a:stretch>
                      <a:fillRect/>
                    </a:stretch>
                  </pic:blipFill>
                  <pic:spPr>
                    <a:xfrm>
                      <a:off x="0" y="0"/>
                      <a:ext cx="1485900" cy="212997"/>
                    </a:xfrm>
                    <a:prstGeom prst="rect">
                      <a:avLst/>
                    </a:prstGeom>
                  </pic:spPr>
                </pic:pic>
              </a:graphicData>
            </a:graphic>
          </wp:inline>
        </w:drawing>
      </w:r>
    </w:p>
    <w:p w14:paraId="542D5DC2"/>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食用菌菌糠发酵饲料制作和使用技术规程</w:t>
      </w:r>
    </w:p>
    <w:p w14:paraId="5BA6A543">
      <w:pPr>
        <w:pStyle w:val="14"/>
        <w:tabs>
          <w:tab w:val="clear" w:pos="4201"/>
        </w:tabs>
        <w:jc w:val="center"/>
      </w:pPr>
      <w:r>
        <w:rPr>
          <w:rFonts w:hint="eastAsia"/>
        </w:rPr>
        <w:t xml:space="preserve">                          </w:t>
      </w:r>
      <w:r>
        <w:t>T/</w:t>
      </w:r>
      <w:r>
        <w:rPr>
          <w:rFonts w:hint="eastAsia"/>
        </w:rPr>
        <w:t>HXCY XXX</w:t>
      </w:r>
      <w:r>
        <w:t>-</w:t>
      </w:r>
      <w:r>
        <w:rPr>
          <w:rFonts w:hint="eastAsia"/>
        </w:rPr>
        <w:t>2025</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8"/>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23" w:type="default"/>
      <w:footerReference r:id="rId24" w:type="default"/>
      <w:footerReference r:id="rId25"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98D3E4D"/>
    <w:multiLevelType w:val="singleLevel"/>
    <w:tmpl w:val="D98D3E4D"/>
    <w:lvl w:ilvl="0" w:tentative="0">
      <w:start w:val="8"/>
      <w:numFmt w:val="decimal"/>
      <w:suff w:val="nothing"/>
      <w:lvlText w:val="%1　"/>
      <w:lvlJc w:val="left"/>
    </w:lvl>
  </w:abstractNum>
  <w:abstractNum w:abstractNumId="1">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8">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9">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0">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1">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2">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27"/>
  </w:num>
  <w:num w:numId="3">
    <w:abstractNumId w:val="6"/>
  </w:num>
  <w:num w:numId="4">
    <w:abstractNumId w:val="23"/>
  </w:num>
  <w:num w:numId="5">
    <w:abstractNumId w:val="19"/>
  </w:num>
  <w:num w:numId="6">
    <w:abstractNumId w:val="13"/>
  </w:num>
  <w:num w:numId="7">
    <w:abstractNumId w:val="9"/>
  </w:num>
  <w:num w:numId="8">
    <w:abstractNumId w:val="4"/>
  </w:num>
  <w:num w:numId="9">
    <w:abstractNumId w:val="10"/>
  </w:num>
  <w:num w:numId="10">
    <w:abstractNumId w:val="17"/>
  </w:num>
  <w:num w:numId="11">
    <w:abstractNumId w:val="25"/>
  </w:num>
  <w:num w:numId="12">
    <w:abstractNumId w:val="12"/>
  </w:num>
  <w:num w:numId="13">
    <w:abstractNumId w:val="14"/>
  </w:num>
  <w:num w:numId="14">
    <w:abstractNumId w:val="8"/>
  </w:num>
  <w:num w:numId="15">
    <w:abstractNumId w:val="20"/>
  </w:num>
  <w:num w:numId="16">
    <w:abstractNumId w:val="18"/>
  </w:num>
  <w:num w:numId="17">
    <w:abstractNumId w:val="29"/>
  </w:num>
  <w:num w:numId="18">
    <w:abstractNumId w:val="16"/>
  </w:num>
  <w:num w:numId="19">
    <w:abstractNumId w:val="2"/>
  </w:num>
  <w:num w:numId="20">
    <w:abstractNumId w:val="11"/>
  </w:num>
  <w:num w:numId="21">
    <w:abstractNumId w:val="30"/>
  </w:num>
  <w:num w:numId="22">
    <w:abstractNumId w:val="21"/>
  </w:num>
  <w:num w:numId="23">
    <w:abstractNumId w:val="7"/>
  </w:num>
  <w:num w:numId="24">
    <w:abstractNumId w:val="26"/>
  </w:num>
  <w:num w:numId="25">
    <w:abstractNumId w:val="28"/>
  </w:num>
  <w:num w:numId="26">
    <w:abstractNumId w:val="3"/>
  </w:num>
  <w:num w:numId="27">
    <w:abstractNumId w:val="5"/>
  </w:num>
  <w:num w:numId="28">
    <w:abstractNumId w:val="15"/>
  </w:num>
  <w:num w:numId="29">
    <w:abstractNumId w:val="24"/>
  </w:num>
  <w:num w:numId="30">
    <w:abstractNumId w:val="22"/>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attachedTemplate r:id="rId1"/>
  <w:documentProtection w:edit="forms" w:enforcement="0"/>
  <w:defaultTabStop w:val="420"/>
  <w:evenAndOddHeaders w:val="1"/>
  <w:displayHorizontalDrawingGridEvery w:val="0"/>
  <w:displayVerticalDrawingGridEvery w:val="2"/>
  <w:characterSpacingControl w:val="doNotCompress"/>
  <w:footnotePr>
    <w:footnote w:id="0"/>
    <w:footnote w:id="1"/>
  </w:footnotePr>
  <w:endnotePr>
    <w:endnote w:id="0"/>
    <w:endnote w:id="1"/>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6357"/>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3F39"/>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0D8"/>
    <w:rsid w:val="001F3F5F"/>
    <w:rsid w:val="001F4816"/>
    <w:rsid w:val="001F69B4"/>
    <w:rsid w:val="001F77C7"/>
    <w:rsid w:val="00200183"/>
    <w:rsid w:val="00200333"/>
    <w:rsid w:val="0020107D"/>
    <w:rsid w:val="00202AA4"/>
    <w:rsid w:val="002031F7"/>
    <w:rsid w:val="002040E6"/>
    <w:rsid w:val="00205028"/>
    <w:rsid w:val="0020527B"/>
    <w:rsid w:val="00205F2C"/>
    <w:rsid w:val="00210B15"/>
    <w:rsid w:val="002142EA"/>
    <w:rsid w:val="00215ADD"/>
    <w:rsid w:val="00216358"/>
    <w:rsid w:val="002204BB"/>
    <w:rsid w:val="00221B79"/>
    <w:rsid w:val="00221C6B"/>
    <w:rsid w:val="00222602"/>
    <w:rsid w:val="002253A1"/>
    <w:rsid w:val="00225B8D"/>
    <w:rsid w:val="00225CF8"/>
    <w:rsid w:val="0022794E"/>
    <w:rsid w:val="00231C20"/>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B7F85"/>
    <w:rsid w:val="002C09E7"/>
    <w:rsid w:val="002C1E06"/>
    <w:rsid w:val="002C2269"/>
    <w:rsid w:val="002C237C"/>
    <w:rsid w:val="002C3F07"/>
    <w:rsid w:val="002C5278"/>
    <w:rsid w:val="002C6D74"/>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A3B"/>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3779"/>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363"/>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3C4E"/>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D78F1"/>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847DD"/>
    <w:rsid w:val="007959E8"/>
    <w:rsid w:val="00795E9C"/>
    <w:rsid w:val="007A0521"/>
    <w:rsid w:val="007A166A"/>
    <w:rsid w:val="007A1FD7"/>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96D"/>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379AA"/>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3C45"/>
    <w:rsid w:val="009062E6"/>
    <w:rsid w:val="00911BE5"/>
    <w:rsid w:val="00913CA9"/>
    <w:rsid w:val="009145AE"/>
    <w:rsid w:val="009146CE"/>
    <w:rsid w:val="00914CA7"/>
    <w:rsid w:val="00915C3E"/>
    <w:rsid w:val="009161A8"/>
    <w:rsid w:val="00916285"/>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620F"/>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883"/>
    <w:rsid w:val="00A129D0"/>
    <w:rsid w:val="00A12C33"/>
    <w:rsid w:val="00A13252"/>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17B47"/>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D72DD"/>
    <w:rsid w:val="00BE22F3"/>
    <w:rsid w:val="00BE5B52"/>
    <w:rsid w:val="00BE6FE3"/>
    <w:rsid w:val="00BE78C5"/>
    <w:rsid w:val="00BE7B8D"/>
    <w:rsid w:val="00BF0993"/>
    <w:rsid w:val="00BF10A9"/>
    <w:rsid w:val="00BF1703"/>
    <w:rsid w:val="00BF231C"/>
    <w:rsid w:val="00BF2AAC"/>
    <w:rsid w:val="00BF2F73"/>
    <w:rsid w:val="00BF51E5"/>
    <w:rsid w:val="00BF74A6"/>
    <w:rsid w:val="00C013AD"/>
    <w:rsid w:val="00C01ACF"/>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169"/>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5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3F2"/>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400B"/>
    <w:rsid w:val="00E664CC"/>
    <w:rsid w:val="00E70388"/>
    <w:rsid w:val="00E70F92"/>
    <w:rsid w:val="00E74313"/>
    <w:rsid w:val="00E74C54"/>
    <w:rsid w:val="00E77A03"/>
    <w:rsid w:val="00E822E8"/>
    <w:rsid w:val="00E82554"/>
    <w:rsid w:val="00E82606"/>
    <w:rsid w:val="00E831C1"/>
    <w:rsid w:val="00E83419"/>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1C98"/>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253"/>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3C33"/>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7FD"/>
    <w:rsid w:val="00F96CAE"/>
    <w:rsid w:val="00F97C99"/>
    <w:rsid w:val="00FA662D"/>
    <w:rsid w:val="00FA73B1"/>
    <w:rsid w:val="00FB0CB9"/>
    <w:rsid w:val="00FB231D"/>
    <w:rsid w:val="00FB45F1"/>
    <w:rsid w:val="00FB4A72"/>
    <w:rsid w:val="00FB54E8"/>
    <w:rsid w:val="00FB65A9"/>
    <w:rsid w:val="00FB7054"/>
    <w:rsid w:val="00FC17B7"/>
    <w:rsid w:val="00FC2CB7"/>
    <w:rsid w:val="00FC4090"/>
    <w:rsid w:val="00FC44C2"/>
    <w:rsid w:val="00FC55B4"/>
    <w:rsid w:val="00FD00E6"/>
    <w:rsid w:val="00FD09A1"/>
    <w:rsid w:val="00FD2436"/>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9C3B08"/>
    <w:rsid w:val="02C95F7F"/>
    <w:rsid w:val="03785DE9"/>
    <w:rsid w:val="03C9092D"/>
    <w:rsid w:val="03FB660C"/>
    <w:rsid w:val="04133956"/>
    <w:rsid w:val="046E3282"/>
    <w:rsid w:val="055661F0"/>
    <w:rsid w:val="055E6A42"/>
    <w:rsid w:val="05A91BE3"/>
    <w:rsid w:val="05B20F4D"/>
    <w:rsid w:val="05BE5B1B"/>
    <w:rsid w:val="05CA098C"/>
    <w:rsid w:val="060617A9"/>
    <w:rsid w:val="0607573C"/>
    <w:rsid w:val="06473D8B"/>
    <w:rsid w:val="06654211"/>
    <w:rsid w:val="06916F35"/>
    <w:rsid w:val="06E17D3B"/>
    <w:rsid w:val="0708351A"/>
    <w:rsid w:val="07577FFE"/>
    <w:rsid w:val="07A3029B"/>
    <w:rsid w:val="081D7BB2"/>
    <w:rsid w:val="08294E5C"/>
    <w:rsid w:val="083245C7"/>
    <w:rsid w:val="083D5469"/>
    <w:rsid w:val="08674270"/>
    <w:rsid w:val="0994100B"/>
    <w:rsid w:val="0A344626"/>
    <w:rsid w:val="0ABF0394"/>
    <w:rsid w:val="0B9335CE"/>
    <w:rsid w:val="0BA12B07"/>
    <w:rsid w:val="0BCA3494"/>
    <w:rsid w:val="0BF16C73"/>
    <w:rsid w:val="0C175FAD"/>
    <w:rsid w:val="0C5E3BDC"/>
    <w:rsid w:val="0C994C14"/>
    <w:rsid w:val="0D3A1F53"/>
    <w:rsid w:val="0D42705A"/>
    <w:rsid w:val="0D576FA9"/>
    <w:rsid w:val="0DEE0F90"/>
    <w:rsid w:val="0DEE4BFF"/>
    <w:rsid w:val="0E3B0878"/>
    <w:rsid w:val="0E4868F2"/>
    <w:rsid w:val="0E903DF5"/>
    <w:rsid w:val="0E904CC5"/>
    <w:rsid w:val="0EBC4BEA"/>
    <w:rsid w:val="0ED818B2"/>
    <w:rsid w:val="0F080F37"/>
    <w:rsid w:val="0F135152"/>
    <w:rsid w:val="0F2A5FF8"/>
    <w:rsid w:val="0F3C1993"/>
    <w:rsid w:val="0F827BE2"/>
    <w:rsid w:val="0FE8213B"/>
    <w:rsid w:val="10134CDE"/>
    <w:rsid w:val="10521CAA"/>
    <w:rsid w:val="10675755"/>
    <w:rsid w:val="10A06571"/>
    <w:rsid w:val="10A0797A"/>
    <w:rsid w:val="10F30871"/>
    <w:rsid w:val="110765F0"/>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7471E3D"/>
    <w:rsid w:val="17490941"/>
    <w:rsid w:val="17A96653"/>
    <w:rsid w:val="17AA4FAE"/>
    <w:rsid w:val="18784278"/>
    <w:rsid w:val="18920DBD"/>
    <w:rsid w:val="18C33745"/>
    <w:rsid w:val="18DC65B5"/>
    <w:rsid w:val="1A4E34E2"/>
    <w:rsid w:val="1A8E4A9F"/>
    <w:rsid w:val="1AC50CB7"/>
    <w:rsid w:val="1B45283A"/>
    <w:rsid w:val="1B4C29E2"/>
    <w:rsid w:val="1B7906D2"/>
    <w:rsid w:val="1D5B36DB"/>
    <w:rsid w:val="1D862F93"/>
    <w:rsid w:val="1DE1641B"/>
    <w:rsid w:val="1E9A4F48"/>
    <w:rsid w:val="1EDC1087"/>
    <w:rsid w:val="1F134CFA"/>
    <w:rsid w:val="1F2E1635"/>
    <w:rsid w:val="1F777AF7"/>
    <w:rsid w:val="1FAF4A23"/>
    <w:rsid w:val="2001000A"/>
    <w:rsid w:val="201176A9"/>
    <w:rsid w:val="203B04ED"/>
    <w:rsid w:val="204B44D0"/>
    <w:rsid w:val="20914159"/>
    <w:rsid w:val="209B7C66"/>
    <w:rsid w:val="20CA13E8"/>
    <w:rsid w:val="20CE1D3D"/>
    <w:rsid w:val="20D64231"/>
    <w:rsid w:val="218310E8"/>
    <w:rsid w:val="22075285"/>
    <w:rsid w:val="229B46E4"/>
    <w:rsid w:val="231C5EB2"/>
    <w:rsid w:val="238041A2"/>
    <w:rsid w:val="23810484"/>
    <w:rsid w:val="244B45EE"/>
    <w:rsid w:val="247100A9"/>
    <w:rsid w:val="24B41E6E"/>
    <w:rsid w:val="25024FDC"/>
    <w:rsid w:val="25090731"/>
    <w:rsid w:val="255D6CCF"/>
    <w:rsid w:val="259F2E44"/>
    <w:rsid w:val="25B34B41"/>
    <w:rsid w:val="25DE388A"/>
    <w:rsid w:val="25F27756"/>
    <w:rsid w:val="25F807A6"/>
    <w:rsid w:val="260E1D77"/>
    <w:rsid w:val="262D71DD"/>
    <w:rsid w:val="26722306"/>
    <w:rsid w:val="26A52B26"/>
    <w:rsid w:val="271370C3"/>
    <w:rsid w:val="273E172E"/>
    <w:rsid w:val="27653582"/>
    <w:rsid w:val="27800A53"/>
    <w:rsid w:val="27B958A3"/>
    <w:rsid w:val="284E0B51"/>
    <w:rsid w:val="285C501C"/>
    <w:rsid w:val="28F705D6"/>
    <w:rsid w:val="28FA4916"/>
    <w:rsid w:val="29086F52"/>
    <w:rsid w:val="299B4658"/>
    <w:rsid w:val="29C4731D"/>
    <w:rsid w:val="29FA689B"/>
    <w:rsid w:val="2A043BBD"/>
    <w:rsid w:val="2A7D408E"/>
    <w:rsid w:val="2B4324C3"/>
    <w:rsid w:val="2B544339"/>
    <w:rsid w:val="2B8A6344"/>
    <w:rsid w:val="2BFA7026"/>
    <w:rsid w:val="2C053A71"/>
    <w:rsid w:val="2D457A8B"/>
    <w:rsid w:val="2D621C92"/>
    <w:rsid w:val="2D662499"/>
    <w:rsid w:val="2D7B4196"/>
    <w:rsid w:val="2DA13BA0"/>
    <w:rsid w:val="2E5A0250"/>
    <w:rsid w:val="2E6B4F35"/>
    <w:rsid w:val="2E7F1F03"/>
    <w:rsid w:val="2EBA0537"/>
    <w:rsid w:val="2EE93382"/>
    <w:rsid w:val="2EEB534C"/>
    <w:rsid w:val="2F010CAC"/>
    <w:rsid w:val="2F2B5748"/>
    <w:rsid w:val="2F39477D"/>
    <w:rsid w:val="2F4F58DB"/>
    <w:rsid w:val="2F8337D6"/>
    <w:rsid w:val="2F837332"/>
    <w:rsid w:val="2F9C03F4"/>
    <w:rsid w:val="303625F7"/>
    <w:rsid w:val="30EE4C7F"/>
    <w:rsid w:val="31326E84"/>
    <w:rsid w:val="31A47D5F"/>
    <w:rsid w:val="31BC1D93"/>
    <w:rsid w:val="3220020C"/>
    <w:rsid w:val="32D81AF3"/>
    <w:rsid w:val="32F80037"/>
    <w:rsid w:val="330F7ACB"/>
    <w:rsid w:val="343432F1"/>
    <w:rsid w:val="349D49F2"/>
    <w:rsid w:val="34FA6078"/>
    <w:rsid w:val="350727B3"/>
    <w:rsid w:val="35131158"/>
    <w:rsid w:val="35BD4BE3"/>
    <w:rsid w:val="35CE329E"/>
    <w:rsid w:val="35D54660"/>
    <w:rsid w:val="36851BE2"/>
    <w:rsid w:val="36A4650C"/>
    <w:rsid w:val="36F9612C"/>
    <w:rsid w:val="37132821"/>
    <w:rsid w:val="37735EDE"/>
    <w:rsid w:val="37863E63"/>
    <w:rsid w:val="37CD3B9E"/>
    <w:rsid w:val="37E82293"/>
    <w:rsid w:val="386341A5"/>
    <w:rsid w:val="38F11738"/>
    <w:rsid w:val="398268AC"/>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FD6502"/>
    <w:rsid w:val="3F0B017D"/>
    <w:rsid w:val="3F3F3186"/>
    <w:rsid w:val="3F4343E8"/>
    <w:rsid w:val="3F446ADE"/>
    <w:rsid w:val="3F9C35BF"/>
    <w:rsid w:val="3FA6322C"/>
    <w:rsid w:val="3FD6035E"/>
    <w:rsid w:val="40204729"/>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7584F75"/>
    <w:rsid w:val="477F442B"/>
    <w:rsid w:val="479814DE"/>
    <w:rsid w:val="47DE27A0"/>
    <w:rsid w:val="47EF7803"/>
    <w:rsid w:val="48220A60"/>
    <w:rsid w:val="48802209"/>
    <w:rsid w:val="489214AE"/>
    <w:rsid w:val="49964AD1"/>
    <w:rsid w:val="49EC224C"/>
    <w:rsid w:val="4A665B7D"/>
    <w:rsid w:val="4A8E69F4"/>
    <w:rsid w:val="4BB5041C"/>
    <w:rsid w:val="4BFE6267"/>
    <w:rsid w:val="4CB42DC9"/>
    <w:rsid w:val="4D2C295F"/>
    <w:rsid w:val="4D5B2DE2"/>
    <w:rsid w:val="4D7428B7"/>
    <w:rsid w:val="4DC51394"/>
    <w:rsid w:val="4DFC67D6"/>
    <w:rsid w:val="4E712D20"/>
    <w:rsid w:val="4E7736AC"/>
    <w:rsid w:val="4EDD6607"/>
    <w:rsid w:val="4F5D3557"/>
    <w:rsid w:val="4FAB146F"/>
    <w:rsid w:val="5068151D"/>
    <w:rsid w:val="506A211C"/>
    <w:rsid w:val="50EA6DB9"/>
    <w:rsid w:val="511773E3"/>
    <w:rsid w:val="51204589"/>
    <w:rsid w:val="5175259D"/>
    <w:rsid w:val="51BE7A70"/>
    <w:rsid w:val="521450B8"/>
    <w:rsid w:val="5237347A"/>
    <w:rsid w:val="52C13B4A"/>
    <w:rsid w:val="52C741A1"/>
    <w:rsid w:val="52D843DB"/>
    <w:rsid w:val="52DE46FC"/>
    <w:rsid w:val="54176117"/>
    <w:rsid w:val="551B75AE"/>
    <w:rsid w:val="55425416"/>
    <w:rsid w:val="55505FDA"/>
    <w:rsid w:val="55A21A11"/>
    <w:rsid w:val="55B0022C"/>
    <w:rsid w:val="55BD0C29"/>
    <w:rsid w:val="56431446"/>
    <w:rsid w:val="573C40E7"/>
    <w:rsid w:val="574436DA"/>
    <w:rsid w:val="57D926EC"/>
    <w:rsid w:val="585F62DF"/>
    <w:rsid w:val="58C32357"/>
    <w:rsid w:val="59A044B9"/>
    <w:rsid w:val="59C3464B"/>
    <w:rsid w:val="5A8E4C59"/>
    <w:rsid w:val="5AB31B90"/>
    <w:rsid w:val="5ABF12B7"/>
    <w:rsid w:val="5C6B224F"/>
    <w:rsid w:val="5CBF10FA"/>
    <w:rsid w:val="5D047455"/>
    <w:rsid w:val="5D0C7971"/>
    <w:rsid w:val="5D75737A"/>
    <w:rsid w:val="5D79399F"/>
    <w:rsid w:val="5E29270A"/>
    <w:rsid w:val="5EF85E29"/>
    <w:rsid w:val="5F48233E"/>
    <w:rsid w:val="5FBB72FA"/>
    <w:rsid w:val="5FD26470"/>
    <w:rsid w:val="603D6F06"/>
    <w:rsid w:val="606C77EB"/>
    <w:rsid w:val="610C541D"/>
    <w:rsid w:val="6192630B"/>
    <w:rsid w:val="62015D11"/>
    <w:rsid w:val="621E76E6"/>
    <w:rsid w:val="62E96ED1"/>
    <w:rsid w:val="62EC66BA"/>
    <w:rsid w:val="62EE5B8A"/>
    <w:rsid w:val="63161C90"/>
    <w:rsid w:val="642301C1"/>
    <w:rsid w:val="64346872"/>
    <w:rsid w:val="644C7B14"/>
    <w:rsid w:val="64E738E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A578CA"/>
    <w:rsid w:val="69C44A72"/>
    <w:rsid w:val="69FD357E"/>
    <w:rsid w:val="6A681023"/>
    <w:rsid w:val="6A70612A"/>
    <w:rsid w:val="6AC470BB"/>
    <w:rsid w:val="6AC51191"/>
    <w:rsid w:val="6AE7688B"/>
    <w:rsid w:val="6B39716E"/>
    <w:rsid w:val="6B581D59"/>
    <w:rsid w:val="6B9B23C7"/>
    <w:rsid w:val="6BBA6837"/>
    <w:rsid w:val="6BBD714D"/>
    <w:rsid w:val="6BCA7826"/>
    <w:rsid w:val="6C066D46"/>
    <w:rsid w:val="6C702411"/>
    <w:rsid w:val="6CB25EF6"/>
    <w:rsid w:val="6CCF2537"/>
    <w:rsid w:val="6DA53CCB"/>
    <w:rsid w:val="6E602BF0"/>
    <w:rsid w:val="6E941791"/>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B03567"/>
    <w:rsid w:val="73012015"/>
    <w:rsid w:val="735008A6"/>
    <w:rsid w:val="74065BA0"/>
    <w:rsid w:val="74827185"/>
    <w:rsid w:val="74D47E1D"/>
    <w:rsid w:val="753F5076"/>
    <w:rsid w:val="755734F1"/>
    <w:rsid w:val="75FA0956"/>
    <w:rsid w:val="75FE0A8D"/>
    <w:rsid w:val="76571BB5"/>
    <w:rsid w:val="76AC6AD9"/>
    <w:rsid w:val="76EF6628"/>
    <w:rsid w:val="77277675"/>
    <w:rsid w:val="77D80043"/>
    <w:rsid w:val="781F4CEB"/>
    <w:rsid w:val="78222DC2"/>
    <w:rsid w:val="78544641"/>
    <w:rsid w:val="7859644F"/>
    <w:rsid w:val="786B1CDE"/>
    <w:rsid w:val="796E7CD8"/>
    <w:rsid w:val="79AC25AE"/>
    <w:rsid w:val="7A37456E"/>
    <w:rsid w:val="7A7845A4"/>
    <w:rsid w:val="7AB160CE"/>
    <w:rsid w:val="7ACA7190"/>
    <w:rsid w:val="7AE77D42"/>
    <w:rsid w:val="7B3F192C"/>
    <w:rsid w:val="7B910B48"/>
    <w:rsid w:val="7C0A2C05"/>
    <w:rsid w:val="7C0D37D8"/>
    <w:rsid w:val="7C8021FC"/>
    <w:rsid w:val="7C8E41ED"/>
    <w:rsid w:val="7C9C690A"/>
    <w:rsid w:val="7CDA1398"/>
    <w:rsid w:val="7CDF26B8"/>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120" w:beforeLines="50" w:after="12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napToGrid w:val="0"/>
      <w:spacing w:before="120" w:beforeLines="50" w:after="12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frame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3" Type="http://schemas.openxmlformats.org/officeDocument/2006/relationships/glossaryDocument" Target="glossary/document.xml"/><Relationship Id="rId32" Type="http://schemas.openxmlformats.org/officeDocument/2006/relationships/fontTable" Target="fontTable.xml"/><Relationship Id="rId31" Type="http://schemas.openxmlformats.org/officeDocument/2006/relationships/customXml" Target="../customXml/item2.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customXml" Target="../customXml/item1.xml"/><Relationship Id="rId28" Type="http://schemas.openxmlformats.org/officeDocument/2006/relationships/image" Target="media/image2.png"/><Relationship Id="rId27" Type="http://schemas.openxmlformats.org/officeDocument/2006/relationships/image" Target="media/image1.jpe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0BFC3CAE">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11357745">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3143A036">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5404BCF6">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87668"/>
    <w:rsid w:val="002C237C"/>
    <w:rsid w:val="002F2D85"/>
    <w:rsid w:val="00367A4E"/>
    <w:rsid w:val="003869FC"/>
    <w:rsid w:val="00394071"/>
    <w:rsid w:val="003D4D8A"/>
    <w:rsid w:val="003F5E93"/>
    <w:rsid w:val="00420025"/>
    <w:rsid w:val="00457CCB"/>
    <w:rsid w:val="00526882"/>
    <w:rsid w:val="005661F6"/>
    <w:rsid w:val="00583834"/>
    <w:rsid w:val="00584E38"/>
    <w:rsid w:val="005B7EDD"/>
    <w:rsid w:val="00722FDA"/>
    <w:rsid w:val="007847DD"/>
    <w:rsid w:val="007933BE"/>
    <w:rsid w:val="007C731E"/>
    <w:rsid w:val="008A4664"/>
    <w:rsid w:val="009A23D0"/>
    <w:rsid w:val="009B1C6C"/>
    <w:rsid w:val="00A0366E"/>
    <w:rsid w:val="00A05521"/>
    <w:rsid w:val="00A44139"/>
    <w:rsid w:val="00AA0BAA"/>
    <w:rsid w:val="00B27BBD"/>
    <w:rsid w:val="00B42DC0"/>
    <w:rsid w:val="00B51407"/>
    <w:rsid w:val="00B51478"/>
    <w:rsid w:val="00BB433F"/>
    <w:rsid w:val="00BC7477"/>
    <w:rsid w:val="00BD72DD"/>
    <w:rsid w:val="00BF2AAC"/>
    <w:rsid w:val="00BF2F73"/>
    <w:rsid w:val="00C24EBE"/>
    <w:rsid w:val="00C2750C"/>
    <w:rsid w:val="00C33916"/>
    <w:rsid w:val="00C72695"/>
    <w:rsid w:val="00C75B2C"/>
    <w:rsid w:val="00CA550F"/>
    <w:rsid w:val="00CB0DD4"/>
    <w:rsid w:val="00CD3124"/>
    <w:rsid w:val="00CE3F0A"/>
    <w:rsid w:val="00D04956"/>
    <w:rsid w:val="00D13BB5"/>
    <w:rsid w:val="00D5793A"/>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1303</Words>
  <Characters>1559</Characters>
  <Lines>27</Lines>
  <Paragraphs>7</Paragraphs>
  <TotalTime>3</TotalTime>
  <ScaleCrop>false</ScaleCrop>
  <LinksUpToDate>false</LinksUpToDate>
  <CharactersWithSpaces>1648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2026-05-03T16:22:00Z</dcterms:created>
  <dc:creator>刘旭彤</dc:creator>
  <cp:lastModifiedBy>王旭敖</cp:lastModifiedBy>
  <cp:lastPrinted>2025-07-15T07:59:00Z</cp:lastPrinted>
  <dcterms:modified xsi:type="dcterms:W3CDTF">2026-05-14T11:52:28Z</dcterms:modified>
  <dc:title>团体标准</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FACBA87E88FA4B5C93A23C1C3A1B5369_13</vt:lpwstr>
  </property>
  <property fmtid="{D5CDD505-2E9C-101B-9397-08002B2CF9AE}" pid="16" name="KSOTemplateDocerSaveRecord">
    <vt:lpwstr>eyJoZGlkIjoiMWFmODA1ODI3Mjk5MTViZDljYmU2ZTIxMGY1ODljZDgiLCJ1c2VySWQiOiIxNzY4Nzk1MzQ5In0=</vt:lpwstr>
  </property>
</Properties>
</file>