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AE314" w14:textId="77777777" w:rsidR="002A459E" w:rsidRDefault="006454C9">
      <w:pPr>
        <w:jc w:val="center"/>
        <w:rPr>
          <w:sz w:val="52"/>
          <w:szCs w:val="52"/>
        </w:rPr>
      </w:pPr>
      <w:bookmarkStart w:id="0" w:name="OLE_LINK3"/>
      <w:r>
        <w:rPr>
          <w:sz w:val="52"/>
          <w:szCs w:val="52"/>
        </w:rPr>
        <w:t>团</w:t>
      </w:r>
      <w:r>
        <w:rPr>
          <w:sz w:val="52"/>
          <w:szCs w:val="52"/>
        </w:rPr>
        <w:t xml:space="preserve">  </w:t>
      </w:r>
      <w:r>
        <w:rPr>
          <w:sz w:val="52"/>
          <w:szCs w:val="52"/>
        </w:rPr>
        <w:t>体</w:t>
      </w:r>
      <w:r>
        <w:rPr>
          <w:sz w:val="52"/>
          <w:szCs w:val="52"/>
        </w:rPr>
        <w:t xml:space="preserve">  </w:t>
      </w:r>
      <w:r>
        <w:rPr>
          <w:sz w:val="52"/>
          <w:szCs w:val="52"/>
        </w:rPr>
        <w:t>标</w:t>
      </w:r>
      <w:r>
        <w:rPr>
          <w:sz w:val="52"/>
          <w:szCs w:val="52"/>
        </w:rPr>
        <w:t xml:space="preserve">  </w:t>
      </w:r>
      <w:r>
        <w:rPr>
          <w:sz w:val="52"/>
          <w:szCs w:val="52"/>
        </w:rPr>
        <w:t>准</w:t>
      </w:r>
    </w:p>
    <w:p w14:paraId="3EE25EB4" w14:textId="77777777" w:rsidR="002A459E" w:rsidRDefault="002A459E">
      <w:pPr>
        <w:jc w:val="center"/>
        <w:rPr>
          <w:sz w:val="52"/>
          <w:szCs w:val="52"/>
        </w:rPr>
      </w:pPr>
    </w:p>
    <w:p w14:paraId="35088123" w14:textId="77777777" w:rsidR="002A459E" w:rsidRDefault="006454C9">
      <w:pPr>
        <w:jc w:val="center"/>
        <w:rPr>
          <w:rFonts w:ascii="黑体" w:eastAsia="黑体" w:hAnsi="黑体"/>
          <w:sz w:val="44"/>
          <w:szCs w:val="44"/>
        </w:rPr>
      </w:pPr>
      <w:r>
        <w:rPr>
          <w:rFonts w:ascii="黑体" w:eastAsia="黑体" w:hAnsi="黑体" w:hint="eastAsia"/>
          <w:sz w:val="44"/>
          <w:szCs w:val="44"/>
        </w:rPr>
        <w:t>《青藏高原高寒草甸高原鼢鼠隔离防控</w:t>
      </w:r>
      <w:r>
        <w:rPr>
          <w:rFonts w:ascii="黑体" w:eastAsia="黑体" w:hAnsi="黑体" w:hint="eastAsia"/>
          <w:sz w:val="44"/>
          <w:szCs w:val="44"/>
        </w:rPr>
        <w:br/>
      </w:r>
      <w:r>
        <w:rPr>
          <w:rFonts w:ascii="黑体" w:eastAsia="黑体" w:hAnsi="黑体" w:hint="eastAsia"/>
          <w:sz w:val="44"/>
          <w:szCs w:val="44"/>
        </w:rPr>
        <w:t>综合技术规范》</w:t>
      </w:r>
    </w:p>
    <w:p w14:paraId="69FFDB30" w14:textId="77777777" w:rsidR="002A459E" w:rsidRDefault="006454C9">
      <w:pPr>
        <w:spacing w:beforeLines="100" w:before="312" w:afterLines="100" w:after="312" w:line="480" w:lineRule="auto"/>
        <w:ind w:left="-67"/>
        <w:jc w:val="center"/>
        <w:rPr>
          <w:rFonts w:ascii="黑体" w:eastAsia="黑体" w:hAnsi="黑体"/>
          <w:sz w:val="44"/>
          <w:szCs w:val="44"/>
        </w:rPr>
      </w:pPr>
      <w:r>
        <w:rPr>
          <w:rFonts w:ascii="黑体" w:eastAsia="黑体" w:hAnsi="黑体"/>
          <w:sz w:val="44"/>
          <w:szCs w:val="44"/>
        </w:rPr>
        <w:t>编制说明</w:t>
      </w:r>
    </w:p>
    <w:p w14:paraId="46F9C063" w14:textId="77777777" w:rsidR="002A459E" w:rsidRDefault="002A459E">
      <w:pPr>
        <w:jc w:val="center"/>
        <w:rPr>
          <w:rFonts w:ascii="黑体" w:eastAsia="黑体" w:hAnsi="黑体"/>
          <w:sz w:val="44"/>
          <w:szCs w:val="44"/>
        </w:rPr>
      </w:pPr>
    </w:p>
    <w:p w14:paraId="73CD8C76" w14:textId="77777777" w:rsidR="002A459E" w:rsidRDefault="002A459E">
      <w:pPr>
        <w:rPr>
          <w:sz w:val="24"/>
        </w:rPr>
      </w:pPr>
    </w:p>
    <w:p w14:paraId="0244FD84" w14:textId="77777777" w:rsidR="002A459E" w:rsidRDefault="002A459E">
      <w:pPr>
        <w:rPr>
          <w:sz w:val="24"/>
        </w:rPr>
      </w:pPr>
    </w:p>
    <w:p w14:paraId="4B4516AA" w14:textId="77777777" w:rsidR="002A459E" w:rsidRDefault="002A459E">
      <w:pPr>
        <w:rPr>
          <w:sz w:val="24"/>
        </w:rPr>
      </w:pPr>
    </w:p>
    <w:p w14:paraId="2A857002" w14:textId="77777777" w:rsidR="002A459E" w:rsidRDefault="002A459E">
      <w:pPr>
        <w:rPr>
          <w:sz w:val="24"/>
        </w:rPr>
      </w:pPr>
    </w:p>
    <w:p w14:paraId="612D0800" w14:textId="77777777" w:rsidR="002A459E" w:rsidRDefault="002A459E">
      <w:pPr>
        <w:rPr>
          <w:sz w:val="24"/>
        </w:rPr>
      </w:pPr>
    </w:p>
    <w:p w14:paraId="5DF91203" w14:textId="77777777" w:rsidR="002A459E" w:rsidRDefault="002A459E">
      <w:pPr>
        <w:rPr>
          <w:sz w:val="24"/>
        </w:rPr>
      </w:pPr>
    </w:p>
    <w:p w14:paraId="2B9F0E08" w14:textId="77777777" w:rsidR="002A459E" w:rsidRDefault="002A459E">
      <w:pPr>
        <w:rPr>
          <w:sz w:val="24"/>
        </w:rPr>
      </w:pPr>
    </w:p>
    <w:p w14:paraId="65DEBC73" w14:textId="77777777" w:rsidR="002A459E" w:rsidRDefault="002A459E">
      <w:pPr>
        <w:rPr>
          <w:sz w:val="24"/>
        </w:rPr>
      </w:pPr>
    </w:p>
    <w:p w14:paraId="56190215" w14:textId="77777777" w:rsidR="002A459E" w:rsidRDefault="002A459E">
      <w:pPr>
        <w:rPr>
          <w:sz w:val="24"/>
        </w:rPr>
      </w:pPr>
    </w:p>
    <w:p w14:paraId="54D6108C" w14:textId="77777777" w:rsidR="002A459E" w:rsidRDefault="002A459E">
      <w:pPr>
        <w:rPr>
          <w:sz w:val="24"/>
        </w:rPr>
      </w:pPr>
    </w:p>
    <w:p w14:paraId="5489240D" w14:textId="77777777" w:rsidR="002A459E" w:rsidRDefault="002A459E">
      <w:pPr>
        <w:rPr>
          <w:sz w:val="24"/>
        </w:rPr>
      </w:pPr>
    </w:p>
    <w:p w14:paraId="44F12B07" w14:textId="77777777" w:rsidR="002A459E" w:rsidRDefault="002A459E">
      <w:pPr>
        <w:rPr>
          <w:sz w:val="24"/>
        </w:rPr>
      </w:pPr>
    </w:p>
    <w:p w14:paraId="259880D3" w14:textId="77777777" w:rsidR="002A459E" w:rsidRDefault="002A459E">
      <w:pPr>
        <w:rPr>
          <w:sz w:val="24"/>
        </w:rPr>
      </w:pPr>
    </w:p>
    <w:p w14:paraId="5D9DB015" w14:textId="77777777" w:rsidR="002A459E" w:rsidRDefault="002A459E">
      <w:pPr>
        <w:rPr>
          <w:sz w:val="24"/>
        </w:rPr>
      </w:pPr>
    </w:p>
    <w:p w14:paraId="5183B639" w14:textId="77777777" w:rsidR="002A459E" w:rsidRDefault="002A459E">
      <w:pPr>
        <w:rPr>
          <w:sz w:val="24"/>
        </w:rPr>
      </w:pPr>
    </w:p>
    <w:p w14:paraId="4E90D386" w14:textId="77777777" w:rsidR="002A459E" w:rsidRDefault="002A459E">
      <w:pPr>
        <w:rPr>
          <w:sz w:val="24"/>
        </w:rPr>
      </w:pPr>
    </w:p>
    <w:p w14:paraId="6A3847D8" w14:textId="77777777" w:rsidR="002A459E" w:rsidRDefault="002A459E">
      <w:pPr>
        <w:rPr>
          <w:sz w:val="24"/>
        </w:rPr>
      </w:pPr>
    </w:p>
    <w:p w14:paraId="611F530D" w14:textId="77777777" w:rsidR="002A459E" w:rsidRDefault="002A459E">
      <w:pPr>
        <w:rPr>
          <w:sz w:val="24"/>
        </w:rPr>
      </w:pPr>
    </w:p>
    <w:p w14:paraId="30A26381" w14:textId="77777777" w:rsidR="002A459E" w:rsidRDefault="002A459E">
      <w:pPr>
        <w:rPr>
          <w:sz w:val="24"/>
        </w:rPr>
      </w:pPr>
    </w:p>
    <w:p w14:paraId="2DA2DC02" w14:textId="77777777" w:rsidR="002A459E" w:rsidRDefault="002A459E">
      <w:pPr>
        <w:rPr>
          <w:sz w:val="24"/>
        </w:rPr>
      </w:pPr>
    </w:p>
    <w:p w14:paraId="2A0FF395" w14:textId="77777777" w:rsidR="002A459E" w:rsidRDefault="002A459E">
      <w:pPr>
        <w:rPr>
          <w:sz w:val="24"/>
        </w:rPr>
      </w:pPr>
    </w:p>
    <w:p w14:paraId="70FC8DAE" w14:textId="77777777" w:rsidR="002A459E" w:rsidRDefault="002A459E">
      <w:pPr>
        <w:rPr>
          <w:sz w:val="24"/>
        </w:rPr>
      </w:pPr>
    </w:p>
    <w:p w14:paraId="3CEDA055" w14:textId="77777777" w:rsidR="002A459E" w:rsidRDefault="006454C9">
      <w:pPr>
        <w:ind w:leftChars="-67" w:left="-51" w:rightChars="-182" w:right="-382" w:hangingChars="32" w:hanging="90"/>
        <w:jc w:val="center"/>
        <w:rPr>
          <w:rFonts w:ascii="黑体" w:eastAsia="黑体" w:hAnsi="黑体"/>
          <w:bCs/>
          <w:sz w:val="28"/>
          <w:szCs w:val="28"/>
        </w:rPr>
      </w:pPr>
      <w:r>
        <w:rPr>
          <w:rFonts w:ascii="黑体" w:eastAsia="黑体" w:hAnsi="黑体" w:hint="eastAsia"/>
          <w:bCs/>
          <w:sz w:val="28"/>
          <w:szCs w:val="28"/>
        </w:rPr>
        <w:t>《青藏高原高寒草甸高原鼢鼠隔离防控综合技术规范》团标制定组</w:t>
      </w:r>
    </w:p>
    <w:p w14:paraId="1CC9F649" w14:textId="77777777" w:rsidR="002A459E" w:rsidRDefault="006454C9">
      <w:pPr>
        <w:ind w:leftChars="-67" w:left="-51" w:rightChars="-182" w:right="-382" w:hangingChars="32" w:hanging="90"/>
        <w:jc w:val="center"/>
        <w:rPr>
          <w:sz w:val="24"/>
        </w:rPr>
      </w:pPr>
      <w:r>
        <w:rPr>
          <w:rFonts w:ascii="黑体" w:eastAsia="黑体" w:hAnsi="黑体" w:hint="eastAsia"/>
          <w:bCs/>
          <w:sz w:val="28"/>
          <w:szCs w:val="28"/>
        </w:rPr>
        <w:t>二〇二六年五月</w:t>
      </w:r>
      <w:r>
        <w:rPr>
          <w:sz w:val="24"/>
        </w:rPr>
        <w:br w:type="page"/>
      </w:r>
    </w:p>
    <w:p w14:paraId="1894E201" w14:textId="77777777" w:rsidR="002A459E" w:rsidRDefault="002A459E">
      <w:pPr>
        <w:widowControl/>
        <w:jc w:val="center"/>
        <w:rPr>
          <w:b/>
          <w:color w:val="000000"/>
          <w:sz w:val="28"/>
          <w:szCs w:val="28"/>
        </w:rPr>
        <w:sectPr w:rsidR="002A459E">
          <w:footerReference w:type="even" r:id="rId8"/>
          <w:footerReference w:type="default" r:id="rId9"/>
          <w:pgSz w:w="11906" w:h="16838"/>
          <w:pgMar w:top="1843" w:right="1558" w:bottom="1702" w:left="1800" w:header="851" w:footer="992" w:gutter="0"/>
          <w:cols w:space="720"/>
          <w:docGrid w:type="lines" w:linePitch="312"/>
        </w:sectPr>
      </w:pPr>
    </w:p>
    <w:p w14:paraId="40FBF7DD" w14:textId="77777777" w:rsidR="002A459E" w:rsidRDefault="006454C9">
      <w:pPr>
        <w:widowControl/>
        <w:jc w:val="center"/>
        <w:rPr>
          <w:b/>
          <w:color w:val="000000"/>
          <w:sz w:val="28"/>
          <w:szCs w:val="28"/>
        </w:rPr>
      </w:pPr>
      <w:r>
        <w:rPr>
          <w:rFonts w:hint="eastAsia"/>
          <w:b/>
          <w:color w:val="000000"/>
          <w:sz w:val="28"/>
          <w:szCs w:val="28"/>
        </w:rPr>
        <w:lastRenderedPageBreak/>
        <w:t>目</w:t>
      </w:r>
      <w:r>
        <w:rPr>
          <w:rFonts w:hint="eastAsia"/>
          <w:b/>
          <w:color w:val="000000"/>
          <w:sz w:val="28"/>
          <w:szCs w:val="28"/>
        </w:rPr>
        <w:t xml:space="preserve">  </w:t>
      </w:r>
      <w:r>
        <w:rPr>
          <w:rFonts w:hint="eastAsia"/>
          <w:b/>
          <w:color w:val="000000"/>
          <w:sz w:val="28"/>
          <w:szCs w:val="28"/>
        </w:rPr>
        <w:t>次</w:t>
      </w:r>
    </w:p>
    <w:p w14:paraId="1D60AEC8" w14:textId="77777777" w:rsidR="002A459E" w:rsidRDefault="002A459E">
      <w:pPr>
        <w:pStyle w:val="af1"/>
        <w:spacing w:line="360" w:lineRule="auto"/>
        <w:ind w:firstLineChars="0"/>
        <w:rPr>
          <w:b/>
          <w:color w:val="000000"/>
          <w:sz w:val="22"/>
          <w:szCs w:val="22"/>
        </w:rPr>
      </w:pPr>
    </w:p>
    <w:p w14:paraId="5E19A56C" w14:textId="77777777" w:rsidR="002A459E" w:rsidRDefault="006454C9">
      <w:pPr>
        <w:pStyle w:val="11"/>
        <w:rPr>
          <w:rFonts w:asciiTheme="minorHAnsi" w:eastAsiaTheme="minorEastAsia" w:hAnsiTheme="minorHAnsi" w:cstheme="minorBidi"/>
          <w:szCs w:val="22"/>
          <w14:ligatures w14:val="standardContextual"/>
        </w:rPr>
      </w:pPr>
      <w:r>
        <w:rPr>
          <w:sz w:val="24"/>
          <w:szCs w:val="24"/>
        </w:rPr>
        <w:fldChar w:fldCharType="begin"/>
      </w:r>
      <w:r>
        <w:rPr>
          <w:sz w:val="24"/>
          <w:szCs w:val="24"/>
        </w:rPr>
        <w:instrText xml:space="preserve"> TOC \o "1-3" \h \z \u </w:instrText>
      </w:r>
      <w:r>
        <w:rPr>
          <w:sz w:val="24"/>
          <w:szCs w:val="24"/>
        </w:rPr>
        <w:fldChar w:fldCharType="separate"/>
      </w:r>
      <w:hyperlink w:anchor="_Toc176547930" w:history="1">
        <w:r>
          <w:rPr>
            <w:rStyle w:val="af"/>
            <w:rFonts w:hint="eastAsia"/>
          </w:rPr>
          <w:t>一、任务来源及标准制定背景</w:t>
        </w:r>
        <w:r>
          <w:rPr>
            <w:rFonts w:hint="eastAsia"/>
          </w:rPr>
          <w:tab/>
        </w:r>
        <w:r>
          <w:rPr>
            <w:rFonts w:hint="eastAsia"/>
          </w:rPr>
          <w:fldChar w:fldCharType="begin"/>
        </w:r>
        <w:r>
          <w:rPr>
            <w:rFonts w:hint="eastAsia"/>
          </w:rPr>
          <w:instrText xml:space="preserve"> </w:instrText>
        </w:r>
        <w:r>
          <w:instrText>PAGEREF _Toc176547930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18EC1846" w14:textId="77777777" w:rsidR="002A459E" w:rsidRDefault="006454C9">
      <w:pPr>
        <w:pStyle w:val="21"/>
        <w:tabs>
          <w:tab w:val="right" w:leader="dot" w:pos="8538"/>
        </w:tabs>
        <w:rPr>
          <w:rFonts w:asciiTheme="minorHAnsi" w:eastAsiaTheme="minorEastAsia" w:hAnsiTheme="minorHAnsi" w:cstheme="minorBidi"/>
          <w:szCs w:val="22"/>
          <w14:ligatures w14:val="standardContextual"/>
        </w:rPr>
      </w:pPr>
      <w:hyperlink w:anchor="_Toc176547931" w:history="1">
        <w:r>
          <w:rPr>
            <w:rStyle w:val="af"/>
            <w:rFonts w:hint="eastAsia"/>
          </w:rPr>
          <w:t>1</w:t>
        </w:r>
        <w:r>
          <w:rPr>
            <w:rStyle w:val="af"/>
            <w:rFonts w:hint="eastAsia"/>
          </w:rPr>
          <w:t>、任务来源</w:t>
        </w:r>
        <w:r>
          <w:rPr>
            <w:rFonts w:hint="eastAsia"/>
          </w:rPr>
          <w:tab/>
        </w:r>
        <w:r>
          <w:rPr>
            <w:rFonts w:hint="eastAsia"/>
          </w:rPr>
          <w:fldChar w:fldCharType="begin"/>
        </w:r>
        <w:r>
          <w:rPr>
            <w:rFonts w:hint="eastAsia"/>
          </w:rPr>
          <w:instrText xml:space="preserve"> </w:instrText>
        </w:r>
        <w:r>
          <w:instrText>PAGEREF _Toc176547931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346BE875" w14:textId="77777777" w:rsidR="002A459E" w:rsidRDefault="006454C9">
      <w:pPr>
        <w:pStyle w:val="21"/>
        <w:tabs>
          <w:tab w:val="right" w:leader="dot" w:pos="8538"/>
        </w:tabs>
        <w:rPr>
          <w:rFonts w:asciiTheme="minorHAnsi" w:eastAsiaTheme="minorEastAsia" w:hAnsiTheme="minorHAnsi" w:cstheme="minorBidi"/>
          <w:szCs w:val="22"/>
          <w14:ligatures w14:val="standardContextual"/>
        </w:rPr>
      </w:pPr>
      <w:hyperlink w:anchor="_Toc176547932" w:history="1">
        <w:r>
          <w:rPr>
            <w:rStyle w:val="af"/>
            <w:rFonts w:hint="eastAsia"/>
          </w:rPr>
          <w:t>2</w:t>
        </w:r>
        <w:r>
          <w:rPr>
            <w:rStyle w:val="af"/>
            <w:rFonts w:hint="eastAsia"/>
          </w:rPr>
          <w:t>、标准制定背景</w:t>
        </w:r>
        <w:r>
          <w:rPr>
            <w:rFonts w:hint="eastAsia"/>
          </w:rPr>
          <w:tab/>
        </w:r>
        <w:r>
          <w:rPr>
            <w:rFonts w:hint="eastAsia"/>
          </w:rPr>
          <w:fldChar w:fldCharType="begin"/>
        </w:r>
        <w:r>
          <w:rPr>
            <w:rFonts w:hint="eastAsia"/>
          </w:rPr>
          <w:instrText xml:space="preserve"> </w:instrText>
        </w:r>
        <w:r>
          <w:instrText>PAGEREF _Toc</w:instrText>
        </w:r>
        <w:r>
          <w:instrText>176547932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2AC19EBB" w14:textId="77777777" w:rsidR="002A459E" w:rsidRDefault="006454C9">
      <w:pPr>
        <w:pStyle w:val="11"/>
        <w:rPr>
          <w:rFonts w:asciiTheme="minorHAnsi" w:eastAsiaTheme="minorEastAsia" w:hAnsiTheme="minorHAnsi" w:cstheme="minorBidi"/>
          <w:szCs w:val="22"/>
          <w14:ligatures w14:val="standardContextual"/>
        </w:rPr>
      </w:pPr>
      <w:hyperlink w:anchor="_Toc176547933" w:history="1">
        <w:r>
          <w:rPr>
            <w:rStyle w:val="af"/>
            <w:rFonts w:hint="eastAsia"/>
          </w:rPr>
          <w:t>二、主要工作过程</w:t>
        </w:r>
        <w:r>
          <w:rPr>
            <w:rFonts w:hint="eastAsia"/>
          </w:rPr>
          <w:tab/>
        </w:r>
        <w:r>
          <w:rPr>
            <w:rFonts w:hint="eastAsia"/>
          </w:rPr>
          <w:fldChar w:fldCharType="begin"/>
        </w:r>
        <w:r>
          <w:rPr>
            <w:rFonts w:hint="eastAsia"/>
          </w:rPr>
          <w:instrText xml:space="preserve"> </w:instrText>
        </w:r>
        <w:r>
          <w:instrText>PAGEREF _Toc176547933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60F337AF" w14:textId="77777777" w:rsidR="002A459E" w:rsidRDefault="006454C9">
      <w:pPr>
        <w:pStyle w:val="11"/>
        <w:rPr>
          <w:rFonts w:asciiTheme="minorHAnsi" w:eastAsiaTheme="minorEastAsia" w:hAnsiTheme="minorHAnsi" w:cstheme="minorBidi"/>
          <w:szCs w:val="22"/>
          <w14:ligatures w14:val="standardContextual"/>
        </w:rPr>
      </w:pPr>
      <w:hyperlink w:anchor="_Toc176547934" w:history="1">
        <w:r>
          <w:rPr>
            <w:rStyle w:val="af"/>
            <w:rFonts w:hint="eastAsia"/>
          </w:rPr>
          <w:t>三、标准编制原则和主要技术内容确定的依据</w:t>
        </w:r>
        <w:r>
          <w:rPr>
            <w:rFonts w:hint="eastAsia"/>
          </w:rPr>
          <w:tab/>
        </w:r>
        <w:r>
          <w:rPr>
            <w:rFonts w:hint="eastAsia"/>
          </w:rPr>
          <w:fldChar w:fldCharType="begin"/>
        </w:r>
        <w:r>
          <w:rPr>
            <w:rFonts w:hint="eastAsia"/>
          </w:rPr>
          <w:instrText xml:space="preserve"> </w:instrText>
        </w:r>
        <w:r>
          <w:instrText>PAGEREF _Toc176547934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6DAC26EA" w14:textId="77777777" w:rsidR="002A459E" w:rsidRDefault="006454C9">
      <w:pPr>
        <w:pStyle w:val="21"/>
        <w:tabs>
          <w:tab w:val="right" w:leader="dot" w:pos="8538"/>
        </w:tabs>
        <w:rPr>
          <w:rFonts w:asciiTheme="minorHAnsi" w:eastAsiaTheme="minorEastAsia" w:hAnsiTheme="minorHAnsi" w:cstheme="minorBidi"/>
          <w:szCs w:val="22"/>
          <w14:ligatures w14:val="standardContextual"/>
        </w:rPr>
      </w:pPr>
      <w:hyperlink w:anchor="_Toc176547935" w:history="1">
        <w:r>
          <w:rPr>
            <w:rStyle w:val="af"/>
            <w:rFonts w:hint="eastAsia"/>
          </w:rPr>
          <w:t>1</w:t>
        </w:r>
        <w:r>
          <w:rPr>
            <w:rStyle w:val="af"/>
            <w:rFonts w:hint="eastAsia"/>
          </w:rPr>
          <w:t>、标准编制原则</w:t>
        </w:r>
        <w:r>
          <w:rPr>
            <w:rFonts w:hint="eastAsia"/>
          </w:rPr>
          <w:tab/>
        </w:r>
        <w:r>
          <w:rPr>
            <w:rFonts w:hint="eastAsia"/>
          </w:rPr>
          <w:fldChar w:fldCharType="begin"/>
        </w:r>
        <w:r>
          <w:rPr>
            <w:rFonts w:hint="eastAsia"/>
          </w:rPr>
          <w:instrText xml:space="preserve"> </w:instrText>
        </w:r>
        <w:r>
          <w:instrText>PAGEREF _Toc176547935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005DBFE5" w14:textId="77777777" w:rsidR="002A459E" w:rsidRDefault="006454C9">
      <w:pPr>
        <w:pStyle w:val="21"/>
        <w:tabs>
          <w:tab w:val="right" w:leader="dot" w:pos="8538"/>
        </w:tabs>
        <w:rPr>
          <w:rFonts w:asciiTheme="minorHAnsi" w:eastAsiaTheme="minorEastAsia" w:hAnsiTheme="minorHAnsi" w:cstheme="minorBidi"/>
          <w:szCs w:val="22"/>
          <w14:ligatures w14:val="standardContextual"/>
        </w:rPr>
      </w:pPr>
      <w:hyperlink w:anchor="_Toc176547936" w:history="1">
        <w:r>
          <w:rPr>
            <w:rStyle w:val="af"/>
            <w:rFonts w:hint="eastAsia"/>
          </w:rPr>
          <w:t>2</w:t>
        </w:r>
        <w:r>
          <w:rPr>
            <w:rStyle w:val="af"/>
            <w:rFonts w:hint="eastAsia"/>
          </w:rPr>
          <w:t>、主要技术内容确定的论据</w:t>
        </w:r>
        <w:r>
          <w:rPr>
            <w:rFonts w:hint="eastAsia"/>
          </w:rPr>
          <w:tab/>
        </w:r>
        <w:r>
          <w:rPr>
            <w:rFonts w:hint="eastAsia"/>
          </w:rPr>
          <w:fldChar w:fldCharType="begin"/>
        </w:r>
        <w:r>
          <w:rPr>
            <w:rFonts w:hint="eastAsia"/>
          </w:rPr>
          <w:instrText xml:space="preserve"> </w:instrText>
        </w:r>
        <w:r>
          <w:instrText>PAGEREF _Toc176547936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2797626D" w14:textId="77777777" w:rsidR="002A459E" w:rsidRDefault="006454C9">
      <w:pPr>
        <w:pStyle w:val="11"/>
        <w:rPr>
          <w:rFonts w:asciiTheme="minorHAnsi" w:eastAsiaTheme="minorEastAsia" w:hAnsiTheme="minorHAnsi" w:cstheme="minorBidi"/>
          <w:szCs w:val="22"/>
          <w14:ligatures w14:val="standardContextual"/>
        </w:rPr>
      </w:pPr>
      <w:hyperlink w:anchor="_Toc176547937" w:history="1">
        <w:r>
          <w:rPr>
            <w:rStyle w:val="af"/>
            <w:rFonts w:hint="eastAsia"/>
          </w:rPr>
          <w:t>四、采用的国际标准</w:t>
        </w:r>
        <w:r>
          <w:rPr>
            <w:rFonts w:hint="eastAsia"/>
          </w:rPr>
          <w:tab/>
        </w:r>
        <w:r>
          <w:rPr>
            <w:rFonts w:hint="eastAsia"/>
          </w:rPr>
          <w:t>5</w:t>
        </w:r>
      </w:hyperlink>
    </w:p>
    <w:p w14:paraId="75A7A5D8" w14:textId="77777777" w:rsidR="002A459E" w:rsidRDefault="006454C9">
      <w:pPr>
        <w:pStyle w:val="11"/>
        <w:rPr>
          <w:rFonts w:asciiTheme="minorHAnsi" w:eastAsiaTheme="minorEastAsia" w:hAnsiTheme="minorHAnsi" w:cstheme="minorBidi"/>
          <w:szCs w:val="22"/>
          <w14:ligatures w14:val="standardContextual"/>
        </w:rPr>
      </w:pPr>
      <w:hyperlink w:anchor="_Toc176547938" w:history="1">
        <w:r>
          <w:rPr>
            <w:rStyle w:val="af"/>
            <w:rFonts w:hint="eastAsia"/>
          </w:rPr>
          <w:t>五、与现行法律法规和强制性标准的关系</w:t>
        </w:r>
        <w:r>
          <w:rPr>
            <w:rFonts w:hint="eastAsia"/>
          </w:rPr>
          <w:tab/>
        </w:r>
        <w:r>
          <w:rPr>
            <w:rFonts w:hint="eastAsia"/>
          </w:rPr>
          <w:fldChar w:fldCharType="begin"/>
        </w:r>
        <w:r>
          <w:rPr>
            <w:rFonts w:hint="eastAsia"/>
          </w:rPr>
          <w:instrText xml:space="preserve"> </w:instrText>
        </w:r>
        <w:r>
          <w:instrText>PAGEREF _Toc176547938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3B924B2D" w14:textId="77777777" w:rsidR="002A459E" w:rsidRDefault="006454C9">
      <w:pPr>
        <w:pStyle w:val="11"/>
        <w:rPr>
          <w:rFonts w:asciiTheme="minorHAnsi" w:eastAsiaTheme="minorEastAsia" w:hAnsiTheme="minorHAnsi" w:cstheme="minorBidi"/>
          <w:szCs w:val="22"/>
          <w14:ligatures w14:val="standardContextual"/>
        </w:rPr>
      </w:pPr>
      <w:hyperlink w:anchor="_Toc176547939" w:history="1">
        <w:r>
          <w:rPr>
            <w:rStyle w:val="af"/>
            <w:rFonts w:hint="eastAsia"/>
          </w:rPr>
          <w:t>六、重大分歧意见的处理经过和依据</w:t>
        </w:r>
        <w:r>
          <w:rPr>
            <w:rFonts w:hint="eastAsia"/>
          </w:rPr>
          <w:tab/>
        </w:r>
        <w:r>
          <w:rPr>
            <w:rFonts w:hint="eastAsia"/>
          </w:rPr>
          <w:fldChar w:fldCharType="begin"/>
        </w:r>
        <w:r>
          <w:rPr>
            <w:rFonts w:hint="eastAsia"/>
          </w:rPr>
          <w:instrText xml:space="preserve"> </w:instrText>
        </w:r>
        <w:r>
          <w:instrText>PAGEREF _Toc176547939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765AD2FD" w14:textId="77777777" w:rsidR="002A459E" w:rsidRDefault="006454C9">
      <w:pPr>
        <w:pStyle w:val="11"/>
        <w:rPr>
          <w:rFonts w:asciiTheme="minorHAnsi" w:eastAsiaTheme="minorEastAsia" w:hAnsiTheme="minorHAnsi" w:cstheme="minorBidi"/>
          <w:szCs w:val="22"/>
          <w14:ligatures w14:val="standardContextual"/>
        </w:rPr>
      </w:pPr>
      <w:hyperlink w:anchor="_Toc176547940" w:history="1">
        <w:r>
          <w:rPr>
            <w:rStyle w:val="af"/>
            <w:rFonts w:hint="eastAsia"/>
          </w:rPr>
          <w:t>七、标准作为强制性或推荐性标准的意见</w:t>
        </w:r>
        <w:r>
          <w:rPr>
            <w:rFonts w:hint="eastAsia"/>
          </w:rPr>
          <w:tab/>
        </w:r>
        <w:r>
          <w:rPr>
            <w:rFonts w:hint="eastAsia"/>
          </w:rPr>
          <w:fldChar w:fldCharType="begin"/>
        </w:r>
        <w:r>
          <w:rPr>
            <w:rFonts w:hint="eastAsia"/>
          </w:rPr>
          <w:instrText xml:space="preserve"> </w:instrText>
        </w:r>
        <w:r>
          <w:instrText>PAGEREF _Toc176547940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155D255B" w14:textId="77777777" w:rsidR="002A459E" w:rsidRDefault="006454C9">
      <w:pPr>
        <w:pStyle w:val="11"/>
        <w:rPr>
          <w:rFonts w:asciiTheme="minorHAnsi" w:eastAsiaTheme="minorEastAsia" w:hAnsiTheme="minorHAnsi" w:cstheme="minorBidi"/>
          <w:szCs w:val="22"/>
          <w14:ligatures w14:val="standardContextual"/>
        </w:rPr>
      </w:pPr>
      <w:hyperlink w:anchor="_Toc176547941" w:history="1">
        <w:r>
          <w:rPr>
            <w:rStyle w:val="af"/>
            <w:rFonts w:hint="eastAsia"/>
          </w:rPr>
          <w:t>八、贯彻标准的要求和措施建议</w:t>
        </w:r>
        <w:r>
          <w:rPr>
            <w:rFonts w:hint="eastAsia"/>
          </w:rPr>
          <w:tab/>
        </w:r>
        <w:r>
          <w:rPr>
            <w:rFonts w:hint="eastAsia"/>
          </w:rPr>
          <w:fldChar w:fldCharType="begin"/>
        </w:r>
        <w:r>
          <w:rPr>
            <w:rFonts w:hint="eastAsia"/>
          </w:rPr>
          <w:instrText xml:space="preserve"> </w:instrText>
        </w:r>
        <w:r>
          <w:instrText>PAGEREF _Toc176547941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316EC7D6" w14:textId="77777777" w:rsidR="002A459E" w:rsidRDefault="006454C9">
      <w:pPr>
        <w:pStyle w:val="11"/>
        <w:rPr>
          <w:rFonts w:asciiTheme="minorHAnsi" w:eastAsiaTheme="minorEastAsia" w:hAnsiTheme="minorHAnsi" w:cstheme="minorBidi"/>
          <w:szCs w:val="22"/>
          <w14:ligatures w14:val="standardContextual"/>
        </w:rPr>
      </w:pPr>
      <w:hyperlink w:anchor="_Toc176547942" w:history="1">
        <w:r>
          <w:rPr>
            <w:rStyle w:val="af"/>
            <w:rFonts w:hint="eastAsia"/>
          </w:rPr>
          <w:t>九、废止现行有关标准的建议</w:t>
        </w:r>
        <w:r>
          <w:rPr>
            <w:rFonts w:hint="eastAsia"/>
          </w:rPr>
          <w:tab/>
        </w:r>
        <w:r>
          <w:rPr>
            <w:rFonts w:hint="eastAsia"/>
          </w:rPr>
          <w:t>6</w:t>
        </w:r>
      </w:hyperlink>
    </w:p>
    <w:p w14:paraId="01F523EE" w14:textId="77777777" w:rsidR="002A459E" w:rsidRDefault="006454C9">
      <w:pPr>
        <w:pStyle w:val="11"/>
        <w:rPr>
          <w:rFonts w:asciiTheme="minorHAnsi" w:eastAsiaTheme="minorEastAsia" w:hAnsiTheme="minorHAnsi" w:cstheme="minorBidi"/>
          <w:szCs w:val="22"/>
          <w14:ligatures w14:val="standardContextual"/>
        </w:rPr>
      </w:pPr>
      <w:hyperlink w:anchor="_Toc176547943" w:history="1">
        <w:r>
          <w:rPr>
            <w:rStyle w:val="af"/>
            <w:rFonts w:hint="eastAsia"/>
          </w:rPr>
          <w:t>十、其他应予说明的事项</w:t>
        </w:r>
        <w:r>
          <w:rPr>
            <w:rFonts w:hint="eastAsia"/>
          </w:rPr>
          <w:tab/>
        </w:r>
        <w:r>
          <w:rPr>
            <w:rFonts w:hint="eastAsia"/>
          </w:rPr>
          <w:t>6</w:t>
        </w:r>
      </w:hyperlink>
    </w:p>
    <w:p w14:paraId="32720C13" w14:textId="77777777" w:rsidR="002A459E" w:rsidRDefault="006454C9">
      <w:pPr>
        <w:spacing w:line="360" w:lineRule="auto"/>
        <w:rPr>
          <w:b/>
          <w:color w:val="000000"/>
          <w:sz w:val="28"/>
          <w:szCs w:val="28"/>
        </w:rPr>
      </w:pPr>
      <w:r>
        <w:rPr>
          <w:b/>
          <w:bCs/>
          <w:sz w:val="24"/>
          <w:szCs w:val="24"/>
          <w:lang w:val="zh-CN"/>
        </w:rPr>
        <w:fldChar w:fldCharType="end"/>
      </w:r>
    </w:p>
    <w:p w14:paraId="15FDF3F2" w14:textId="77777777" w:rsidR="002A459E" w:rsidRDefault="006454C9">
      <w:pPr>
        <w:spacing w:beforeLines="50" w:before="156" w:line="360" w:lineRule="auto"/>
        <w:ind w:firstLine="482"/>
      </w:pPr>
      <w:r>
        <w:br w:type="page"/>
      </w:r>
    </w:p>
    <w:bookmarkEnd w:id="0"/>
    <w:p w14:paraId="0E41EE34" w14:textId="77777777" w:rsidR="002A459E" w:rsidRDefault="006454C9">
      <w:pPr>
        <w:keepNext/>
        <w:keepLines/>
        <w:spacing w:line="360" w:lineRule="auto"/>
        <w:outlineLvl w:val="0"/>
        <w:rPr>
          <w:b/>
          <w:bCs/>
          <w:kern w:val="44"/>
          <w:sz w:val="24"/>
          <w:szCs w:val="40"/>
        </w:rPr>
      </w:pPr>
      <w:r>
        <w:rPr>
          <w:b/>
          <w:bCs/>
          <w:kern w:val="44"/>
          <w:sz w:val="24"/>
          <w:szCs w:val="40"/>
        </w:rPr>
        <w:lastRenderedPageBreak/>
        <w:t>一、任务来源及标准制定背景</w:t>
      </w:r>
    </w:p>
    <w:p w14:paraId="27E83FB0" w14:textId="77777777" w:rsidR="002A459E" w:rsidRDefault="006454C9">
      <w:pPr>
        <w:keepNext/>
        <w:keepLines/>
        <w:spacing w:line="360" w:lineRule="auto"/>
        <w:outlineLvl w:val="1"/>
        <w:rPr>
          <w:rFonts w:ascii="等线 Light" w:eastAsia="黑体" w:hAnsi="等线 Light"/>
          <w:bCs/>
          <w:sz w:val="22"/>
          <w:szCs w:val="28"/>
        </w:rPr>
      </w:pPr>
      <w:r>
        <w:rPr>
          <w:rFonts w:ascii="等线 Light" w:eastAsia="黑体" w:hAnsi="等线 Light" w:hint="eastAsia"/>
          <w:bCs/>
          <w:sz w:val="22"/>
          <w:szCs w:val="28"/>
        </w:rPr>
        <w:t>1</w:t>
      </w:r>
      <w:r>
        <w:rPr>
          <w:rFonts w:ascii="等线 Light" w:eastAsia="黑体" w:hAnsi="等线 Light" w:hint="eastAsia"/>
          <w:bCs/>
          <w:sz w:val="22"/>
          <w:szCs w:val="28"/>
        </w:rPr>
        <w:t>、任务来源</w:t>
      </w:r>
    </w:p>
    <w:p w14:paraId="56D260CF" w14:textId="77777777" w:rsidR="002A459E" w:rsidRDefault="006454C9">
      <w:pPr>
        <w:spacing w:line="360" w:lineRule="auto"/>
        <w:ind w:firstLine="420"/>
        <w:rPr>
          <w:sz w:val="24"/>
        </w:rPr>
      </w:pPr>
      <w:r>
        <w:rPr>
          <w:sz w:val="24"/>
        </w:rPr>
        <w:t>青藏高原高寒草甸是我国重要的草地生态系统，也是牧区畜牧业生产和区域生态安全屏障的重要载体。高原鼢鼠等地下啮齿动物取食植物根系、掘洞推土和形成鼠丘，易造成植被盖度下降、优质牧草减少、鼠丘裸地扩展和土壤结构破坏，影响草地生产力和生态功能稳定发挥。地下鼠害持续发生后，牧草供给能力下降，牧区草畜矛盾加剧，草地退化风险进一步增加。</w:t>
      </w:r>
    </w:p>
    <w:p w14:paraId="5F7393ED" w14:textId="77777777" w:rsidR="002A459E" w:rsidRDefault="006454C9">
      <w:pPr>
        <w:spacing w:line="360" w:lineRule="auto"/>
        <w:ind w:firstLine="420"/>
        <w:rPr>
          <w:sz w:val="24"/>
        </w:rPr>
      </w:pPr>
      <w:r>
        <w:rPr>
          <w:sz w:val="24"/>
        </w:rPr>
        <w:t>根据北京华夏草业产业技术创新战略联盟团体标准立项审议意见，由兰州大学牵头制定《青藏高原高寒草甸高原鼢鼠隔离防控综合技术规范》团体标准。该标准由兰州大学生态学院组织起草，河南蒙古族自治县草原工作站、黄南藏族自治州林业站、甘南藏族自治州农林牧草科学院草业研究所等单位参与资料收集、现场调研、技术参数核验和意见反馈等工作。</w:t>
      </w:r>
    </w:p>
    <w:p w14:paraId="1F36AEC9" w14:textId="77777777" w:rsidR="002A459E" w:rsidRDefault="006454C9">
      <w:pPr>
        <w:keepNext/>
        <w:keepLines/>
        <w:spacing w:line="360" w:lineRule="auto"/>
        <w:outlineLvl w:val="1"/>
        <w:rPr>
          <w:rFonts w:ascii="等线 Light" w:eastAsia="黑体" w:hAnsi="等线 Light"/>
          <w:bCs/>
          <w:sz w:val="22"/>
          <w:szCs w:val="28"/>
        </w:rPr>
      </w:pPr>
      <w:r>
        <w:rPr>
          <w:rFonts w:ascii="等线 Light" w:eastAsia="黑体" w:hAnsi="等线 Light" w:hint="eastAsia"/>
          <w:bCs/>
          <w:sz w:val="22"/>
          <w:szCs w:val="28"/>
        </w:rPr>
        <w:t>2</w:t>
      </w:r>
      <w:r>
        <w:rPr>
          <w:rFonts w:ascii="等线 Light" w:eastAsia="黑体" w:hAnsi="等线 Light" w:hint="eastAsia"/>
          <w:bCs/>
          <w:sz w:val="22"/>
          <w:szCs w:val="28"/>
        </w:rPr>
        <w:t>、标准制定背景</w:t>
      </w:r>
    </w:p>
    <w:p w14:paraId="3DA26D8B" w14:textId="77777777" w:rsidR="002A459E" w:rsidRDefault="006454C9">
      <w:pPr>
        <w:spacing w:line="360" w:lineRule="auto"/>
        <w:ind w:firstLine="420"/>
        <w:rPr>
          <w:sz w:val="24"/>
        </w:rPr>
      </w:pPr>
      <w:r>
        <w:rPr>
          <w:sz w:val="24"/>
        </w:rPr>
        <w:t>青藏高原高寒草甸生态系统海拔高、气候冷凉、植物生长季短，群落结构和土壤过程对外界扰动较为敏感。高原鼢鼠在青海省大部分高寒草甸、草原、林地、荒草地和农田等区域均有分布，主要通过取</w:t>
      </w:r>
      <w:r>
        <w:rPr>
          <w:sz w:val="24"/>
        </w:rPr>
        <w:t>食植物根系、挖掘洞道、推土成丘和破坏草毡层等活动形成危害。高原鼢鼠大量发生时，可降低草地生产功能，影响草地利用秩序，并对退化草地恢复形成持续压力。</w:t>
      </w:r>
    </w:p>
    <w:p w14:paraId="2955A7DA" w14:textId="77777777" w:rsidR="002A459E" w:rsidRDefault="006454C9">
      <w:pPr>
        <w:spacing w:line="360" w:lineRule="auto"/>
        <w:ind w:firstLine="420"/>
        <w:rPr>
          <w:sz w:val="24"/>
        </w:rPr>
      </w:pPr>
      <w:r>
        <w:rPr>
          <w:sz w:val="24"/>
        </w:rPr>
        <w:t>在高寒草甸退化治理过程中，单一药剂灭治易受高原鼢鼠迁入补充、洞道系统隐蔽性强和防治后反弹等因素限制，难以长期稳定维持防控效果。将工程隔离、区内灭治、灭效评价和后续巡护相结合，有利于阻断高原鼢鼠重新侵入，减少重复防治投入，巩固草地恢复成效。</w:t>
      </w:r>
    </w:p>
    <w:p w14:paraId="1EEBC7F7" w14:textId="77777777" w:rsidR="002A459E" w:rsidRDefault="006454C9">
      <w:pPr>
        <w:spacing w:line="360" w:lineRule="auto"/>
        <w:ind w:firstLine="420"/>
        <w:rPr>
          <w:sz w:val="24"/>
        </w:rPr>
      </w:pPr>
      <w:r>
        <w:rPr>
          <w:sz w:val="24"/>
        </w:rPr>
        <w:t>目前，草原鼠害防治已有一定技术和管理基础，但针对青藏高原高寒草甸高原鼢鼠隔离防控的技术要求仍不够系统，尤其在防治区判定、隔离</w:t>
      </w:r>
      <w:r>
        <w:rPr>
          <w:sz w:val="24"/>
        </w:rPr>
        <w:t>沟深度、</w:t>
      </w:r>
      <w:r>
        <w:rPr>
          <w:sz w:val="24"/>
        </w:rPr>
        <w:t xml:space="preserve">L </w:t>
      </w:r>
      <w:r>
        <w:rPr>
          <w:sz w:val="24"/>
        </w:rPr>
        <w:t>形钢丝围栏埋设、铁皮阻隔、药饵投放、地箭辅助灭治、鼠尸处理和后续管护等方面，仍需形成统一、明确、可操作的技术规范。本标准的制定可为高寒草甸地下鼠害隔离防控提供技术依据，提升基层防治工作的规范化和连续性。</w:t>
      </w:r>
    </w:p>
    <w:p w14:paraId="66962ABF" w14:textId="77777777" w:rsidR="002A459E" w:rsidRDefault="006454C9">
      <w:pPr>
        <w:keepNext/>
        <w:keepLines/>
        <w:spacing w:line="360" w:lineRule="auto"/>
        <w:outlineLvl w:val="0"/>
        <w:rPr>
          <w:b/>
          <w:bCs/>
          <w:kern w:val="44"/>
          <w:sz w:val="24"/>
          <w:szCs w:val="24"/>
        </w:rPr>
      </w:pPr>
      <w:r>
        <w:rPr>
          <w:b/>
          <w:bCs/>
          <w:kern w:val="44"/>
          <w:sz w:val="24"/>
          <w:szCs w:val="24"/>
        </w:rPr>
        <w:lastRenderedPageBreak/>
        <w:t>二、主要工作过程</w:t>
      </w:r>
    </w:p>
    <w:p w14:paraId="3A77C6A9" w14:textId="77777777" w:rsidR="002A459E" w:rsidRDefault="006454C9">
      <w:pPr>
        <w:spacing w:line="360" w:lineRule="auto"/>
        <w:ind w:firstLine="420"/>
        <w:rPr>
          <w:sz w:val="24"/>
        </w:rPr>
      </w:pPr>
      <w:r>
        <w:rPr>
          <w:sz w:val="24"/>
        </w:rPr>
        <w:t xml:space="preserve">2026.01 </w:t>
      </w:r>
      <w:r>
        <w:rPr>
          <w:sz w:val="24"/>
        </w:rPr>
        <w:t>月</w:t>
      </w:r>
      <w:r>
        <w:rPr>
          <w:sz w:val="24"/>
        </w:rPr>
        <w:t xml:space="preserve">—2026.03 </w:t>
      </w:r>
      <w:r>
        <w:rPr>
          <w:sz w:val="24"/>
        </w:rPr>
        <w:t>月，项目组围绕青藏高原高寒草甸地下鼠害发生规律、危害特征和隔离防控技术开展文献资料收集、野外调查和技术参数整理，重点梳理高原鼢鼠活动洞道识别、防治区划定、隔离设施建设、药饵投放、地箭辅助灭治、灭效评价和鼠尸无害化处理等关键环节。</w:t>
      </w:r>
    </w:p>
    <w:p w14:paraId="73FAE1FF" w14:textId="77777777" w:rsidR="002A459E" w:rsidRDefault="006454C9">
      <w:pPr>
        <w:spacing w:line="360" w:lineRule="auto"/>
        <w:ind w:firstLine="420"/>
        <w:rPr>
          <w:sz w:val="24"/>
        </w:rPr>
      </w:pPr>
      <w:r>
        <w:rPr>
          <w:sz w:val="24"/>
        </w:rPr>
        <w:t>2026.0</w:t>
      </w:r>
      <w:r>
        <w:rPr>
          <w:sz w:val="24"/>
        </w:rPr>
        <w:t xml:space="preserve">4 </w:t>
      </w:r>
      <w:r>
        <w:rPr>
          <w:sz w:val="24"/>
        </w:rPr>
        <w:t>月，编写组依据《中华人民共和国标准化法》、团体标准管理要求和</w:t>
      </w:r>
      <w:r>
        <w:rPr>
          <w:sz w:val="24"/>
        </w:rPr>
        <w:t xml:space="preserve"> GB/T 1.1—2020</w:t>
      </w:r>
      <w:r>
        <w:rPr>
          <w:sz w:val="24"/>
        </w:rPr>
        <w:t>《标准化工作导则</w:t>
      </w:r>
      <w:r>
        <w:rPr>
          <w:sz w:val="24"/>
        </w:rPr>
        <w:t xml:space="preserve"> </w:t>
      </w:r>
      <w:r>
        <w:rPr>
          <w:sz w:val="24"/>
        </w:rPr>
        <w:t>第</w:t>
      </w:r>
      <w:r>
        <w:rPr>
          <w:sz w:val="24"/>
        </w:rPr>
        <w:t>1</w:t>
      </w:r>
      <w:r>
        <w:rPr>
          <w:sz w:val="24"/>
        </w:rPr>
        <w:t>部分：标准化文件的结构和起草规则》等要求，对已有技术资料和地方实践经验进行归纳，形成标准草案。</w:t>
      </w:r>
    </w:p>
    <w:p w14:paraId="676F80C1" w14:textId="77777777" w:rsidR="002A459E" w:rsidRDefault="006454C9">
      <w:pPr>
        <w:spacing w:line="360" w:lineRule="auto"/>
        <w:ind w:firstLine="420"/>
        <w:rPr>
          <w:sz w:val="24"/>
        </w:rPr>
      </w:pPr>
      <w:r>
        <w:rPr>
          <w:sz w:val="24"/>
        </w:rPr>
        <w:t xml:space="preserve">2026.05 </w:t>
      </w:r>
      <w:r>
        <w:rPr>
          <w:sz w:val="24"/>
        </w:rPr>
        <w:t>月</w:t>
      </w:r>
      <w:r>
        <w:rPr>
          <w:sz w:val="24"/>
        </w:rPr>
        <w:t xml:space="preserve">—2026.06 </w:t>
      </w:r>
      <w:r>
        <w:rPr>
          <w:sz w:val="24"/>
        </w:rPr>
        <w:t>月，结合基层草原有害生物防控实践，对标准适用范围、技术流程、关键参数和安全要求进行修改完善，编写征求意见稿标准文本，编写《编制说明》。</w:t>
      </w:r>
    </w:p>
    <w:p w14:paraId="185DEB93" w14:textId="77777777" w:rsidR="002A459E" w:rsidRDefault="006454C9">
      <w:pPr>
        <w:spacing w:line="360" w:lineRule="auto"/>
        <w:ind w:firstLine="420"/>
        <w:rPr>
          <w:sz w:val="24"/>
        </w:rPr>
      </w:pPr>
      <w:r>
        <w:rPr>
          <w:sz w:val="24"/>
        </w:rPr>
        <w:t xml:space="preserve">2026.07 </w:t>
      </w:r>
      <w:r>
        <w:rPr>
          <w:sz w:val="24"/>
        </w:rPr>
        <w:t>月</w:t>
      </w:r>
      <w:r>
        <w:rPr>
          <w:sz w:val="24"/>
        </w:rPr>
        <w:t xml:space="preserve">—2026.08 </w:t>
      </w:r>
      <w:r>
        <w:rPr>
          <w:sz w:val="24"/>
        </w:rPr>
        <w:t>月，根据征求意见反馈情况，对标准文本和编制说明进行修改完善，形成送审稿。</w:t>
      </w:r>
    </w:p>
    <w:p w14:paraId="66CAB84F" w14:textId="77777777" w:rsidR="002A459E" w:rsidRDefault="006454C9">
      <w:pPr>
        <w:spacing w:line="360" w:lineRule="auto"/>
        <w:ind w:firstLine="420"/>
        <w:rPr>
          <w:sz w:val="24"/>
        </w:rPr>
      </w:pPr>
      <w:r>
        <w:rPr>
          <w:sz w:val="24"/>
        </w:rPr>
        <w:t xml:space="preserve">2026.09 </w:t>
      </w:r>
      <w:r>
        <w:rPr>
          <w:sz w:val="24"/>
        </w:rPr>
        <w:t>月</w:t>
      </w:r>
      <w:r>
        <w:rPr>
          <w:sz w:val="24"/>
        </w:rPr>
        <w:t xml:space="preserve">—2026.10 </w:t>
      </w:r>
      <w:r>
        <w:rPr>
          <w:sz w:val="24"/>
        </w:rPr>
        <w:t>月，由北京华夏草业产业技术创新战略联盟组织国内相关专家对《青藏高原高寒草甸高原鼢鼠隔离防控综合技术规范》送审稿及编制说明进行会议评审，并根据专家意见修改形成报批稿。</w:t>
      </w:r>
    </w:p>
    <w:p w14:paraId="32D357DD" w14:textId="77777777" w:rsidR="002A459E" w:rsidRDefault="006454C9">
      <w:pPr>
        <w:keepNext/>
        <w:keepLines/>
        <w:spacing w:line="360" w:lineRule="auto"/>
        <w:outlineLvl w:val="0"/>
        <w:rPr>
          <w:b/>
          <w:bCs/>
          <w:kern w:val="44"/>
          <w:sz w:val="24"/>
          <w:szCs w:val="24"/>
        </w:rPr>
      </w:pPr>
      <w:r>
        <w:rPr>
          <w:b/>
          <w:bCs/>
          <w:kern w:val="44"/>
          <w:sz w:val="24"/>
          <w:szCs w:val="24"/>
        </w:rPr>
        <w:t>三、标准编制原则和主要技术内容确定的依据</w:t>
      </w:r>
    </w:p>
    <w:p w14:paraId="20A00FBD" w14:textId="77777777" w:rsidR="002A459E" w:rsidRDefault="006454C9">
      <w:pPr>
        <w:keepNext/>
        <w:keepLines/>
        <w:spacing w:line="360" w:lineRule="auto"/>
        <w:outlineLvl w:val="1"/>
        <w:rPr>
          <w:rFonts w:ascii="等线 Light" w:eastAsia="黑体" w:hAnsi="等线 Light"/>
          <w:bCs/>
          <w:sz w:val="22"/>
          <w:szCs w:val="28"/>
        </w:rPr>
      </w:pPr>
      <w:r>
        <w:rPr>
          <w:rFonts w:ascii="等线 Light" w:eastAsia="黑体" w:hAnsi="等线 Light" w:hint="eastAsia"/>
          <w:bCs/>
          <w:sz w:val="22"/>
          <w:szCs w:val="28"/>
        </w:rPr>
        <w:t>1</w:t>
      </w:r>
      <w:r>
        <w:rPr>
          <w:rFonts w:ascii="等线 Light" w:eastAsia="黑体" w:hAnsi="等线 Light" w:hint="eastAsia"/>
          <w:bCs/>
          <w:sz w:val="22"/>
          <w:szCs w:val="28"/>
        </w:rPr>
        <w:t>、标准编制原则</w:t>
      </w:r>
    </w:p>
    <w:p w14:paraId="025113EF" w14:textId="77777777" w:rsidR="002A459E" w:rsidRDefault="006454C9">
      <w:pPr>
        <w:spacing w:line="360" w:lineRule="auto"/>
        <w:ind w:firstLine="420"/>
        <w:rPr>
          <w:sz w:val="24"/>
        </w:rPr>
      </w:pPr>
      <w:r>
        <w:rPr>
          <w:sz w:val="24"/>
        </w:rPr>
        <w:t>本文件按照</w:t>
      </w:r>
      <w:r>
        <w:rPr>
          <w:sz w:val="24"/>
        </w:rPr>
        <w:t xml:space="preserve"> GB/T 1.1—2020</w:t>
      </w:r>
      <w:r>
        <w:rPr>
          <w:sz w:val="24"/>
        </w:rPr>
        <w:t>《标准化工作导则</w:t>
      </w:r>
      <w:r>
        <w:rPr>
          <w:sz w:val="24"/>
        </w:rPr>
        <w:t xml:space="preserve">  </w:t>
      </w:r>
      <w:r>
        <w:rPr>
          <w:sz w:val="24"/>
        </w:rPr>
        <w:t>第</w:t>
      </w:r>
      <w:r>
        <w:rPr>
          <w:sz w:val="24"/>
        </w:rPr>
        <w:t>1</w:t>
      </w:r>
      <w:r>
        <w:rPr>
          <w:sz w:val="24"/>
        </w:rPr>
        <w:t>部分：标准化文件的结构和起草规则》的要求起草，遵循科学性、适用性、可操作性和安全性原则。在标准制定过程中，注重技术要求与高寒草甸地下鼠害防治实践相结合，优先体现技术的实用性和可推广性，同时兼顾防治效果、生态安全和作业安全。</w:t>
      </w:r>
    </w:p>
    <w:p w14:paraId="7A0F521C" w14:textId="77777777" w:rsidR="002A459E" w:rsidRDefault="006454C9">
      <w:pPr>
        <w:spacing w:line="360" w:lineRule="auto"/>
        <w:ind w:firstLine="420"/>
        <w:rPr>
          <w:sz w:val="24"/>
        </w:rPr>
      </w:pPr>
      <w:r>
        <w:rPr>
          <w:sz w:val="24"/>
        </w:rPr>
        <w:t>本文件突出青藏高原高寒草甸高原鼢鼠隔离防控特点，重点体现工程隔离与区内灭治相结合、短期防治与长期管护相结合、防治效果与生态安全相结合的原则，为基层草原管理部门、技术推广单位、合作社和牧户开展规范化防治提供依据。</w:t>
      </w:r>
    </w:p>
    <w:p w14:paraId="61BA4198" w14:textId="77777777" w:rsidR="002A459E" w:rsidRDefault="006454C9">
      <w:pPr>
        <w:keepNext/>
        <w:keepLines/>
        <w:spacing w:line="360" w:lineRule="auto"/>
        <w:outlineLvl w:val="1"/>
        <w:rPr>
          <w:rFonts w:ascii="等线 Light" w:eastAsia="黑体" w:hAnsi="等线 Light"/>
          <w:bCs/>
          <w:sz w:val="22"/>
          <w:szCs w:val="28"/>
        </w:rPr>
      </w:pPr>
      <w:r>
        <w:rPr>
          <w:rFonts w:ascii="等线 Light" w:eastAsia="黑体" w:hAnsi="等线 Light" w:hint="eastAsia"/>
          <w:bCs/>
          <w:sz w:val="22"/>
          <w:szCs w:val="28"/>
        </w:rPr>
        <w:t>2</w:t>
      </w:r>
      <w:r>
        <w:rPr>
          <w:rFonts w:ascii="等线 Light" w:eastAsia="黑体" w:hAnsi="等线 Light" w:hint="eastAsia"/>
          <w:bCs/>
          <w:sz w:val="22"/>
          <w:szCs w:val="28"/>
        </w:rPr>
        <w:t>、主要技术内容确定的论据</w:t>
      </w:r>
    </w:p>
    <w:p w14:paraId="25BFB694" w14:textId="77777777" w:rsidR="002A459E" w:rsidRDefault="006454C9">
      <w:pPr>
        <w:numPr>
          <w:ilvl w:val="0"/>
          <w:numId w:val="1"/>
        </w:numPr>
        <w:spacing w:line="360" w:lineRule="auto"/>
        <w:rPr>
          <w:b/>
          <w:color w:val="000000"/>
          <w:sz w:val="22"/>
          <w:szCs w:val="20"/>
        </w:rPr>
      </w:pPr>
      <w:r>
        <w:rPr>
          <w:rFonts w:hint="eastAsia"/>
          <w:b/>
          <w:color w:val="000000"/>
          <w:sz w:val="22"/>
          <w:szCs w:val="20"/>
        </w:rPr>
        <w:t>适用范围</w:t>
      </w:r>
    </w:p>
    <w:p w14:paraId="40398644" w14:textId="77777777" w:rsidR="002A459E" w:rsidRDefault="006454C9">
      <w:pPr>
        <w:spacing w:line="360" w:lineRule="auto"/>
        <w:ind w:firstLine="420"/>
        <w:rPr>
          <w:sz w:val="24"/>
        </w:rPr>
      </w:pPr>
      <w:r>
        <w:rPr>
          <w:sz w:val="24"/>
        </w:rPr>
        <w:t>本文件规定了青藏高原高寒草甸高原鼢</w:t>
      </w:r>
      <w:r>
        <w:rPr>
          <w:sz w:val="24"/>
        </w:rPr>
        <w:t>鼠隔离防控的术语和定义、防治原则、</w:t>
      </w:r>
      <w:r>
        <w:rPr>
          <w:sz w:val="24"/>
        </w:rPr>
        <w:lastRenderedPageBreak/>
        <w:t>防治区判定、防治时间、隔离设施建设、药饵投放、地箭灭治、灭效评价、鼠尸处理和后续管护等技术要求，适用于青藏高原高寒草甸区以高原鼢鼠为主要对象的地下鼠害隔离防控。</w:t>
      </w:r>
    </w:p>
    <w:p w14:paraId="21A6056C" w14:textId="77777777" w:rsidR="002A459E" w:rsidRDefault="006454C9">
      <w:pPr>
        <w:numPr>
          <w:ilvl w:val="0"/>
          <w:numId w:val="1"/>
        </w:numPr>
        <w:spacing w:line="360" w:lineRule="auto"/>
        <w:rPr>
          <w:b/>
          <w:color w:val="000000"/>
          <w:sz w:val="22"/>
          <w:szCs w:val="20"/>
        </w:rPr>
      </w:pPr>
      <w:r>
        <w:rPr>
          <w:rFonts w:hint="eastAsia"/>
          <w:b/>
          <w:color w:val="000000"/>
          <w:sz w:val="22"/>
          <w:szCs w:val="20"/>
        </w:rPr>
        <w:t>规范性引用文件。</w:t>
      </w:r>
    </w:p>
    <w:p w14:paraId="3784326A" w14:textId="77777777" w:rsidR="002A459E" w:rsidRDefault="006454C9">
      <w:pPr>
        <w:spacing w:line="360" w:lineRule="auto"/>
        <w:ind w:firstLineChars="200" w:firstLine="480"/>
        <w:rPr>
          <w:sz w:val="24"/>
        </w:rPr>
      </w:pPr>
      <w:r>
        <w:rPr>
          <w:sz w:val="24"/>
        </w:rPr>
        <w:t>本文件引用</w:t>
      </w:r>
      <w:r>
        <w:rPr>
          <w:sz w:val="24"/>
        </w:rPr>
        <w:t xml:space="preserve"> NY/T 1240</w:t>
      </w:r>
      <w:r>
        <w:rPr>
          <w:sz w:val="24"/>
        </w:rPr>
        <w:t>、</w:t>
      </w:r>
      <w:r>
        <w:rPr>
          <w:sz w:val="24"/>
        </w:rPr>
        <w:t>NY/T 1905</w:t>
      </w:r>
      <w:r>
        <w:rPr>
          <w:sz w:val="24"/>
        </w:rPr>
        <w:t>、</w:t>
      </w:r>
      <w:r>
        <w:rPr>
          <w:sz w:val="24"/>
        </w:rPr>
        <w:t xml:space="preserve">DB63/T 1371 </w:t>
      </w:r>
      <w:r>
        <w:rPr>
          <w:sz w:val="24"/>
        </w:rPr>
        <w:t>等草原鼠害治理与安全防治相关文件，并结合</w:t>
      </w:r>
      <w:r>
        <w:rPr>
          <w:sz w:val="24"/>
        </w:rPr>
        <w:t xml:space="preserve"> DB51/T 777</w:t>
      </w:r>
      <w:r>
        <w:rPr>
          <w:sz w:val="24"/>
        </w:rPr>
        <w:t>、</w:t>
      </w:r>
      <w:r>
        <w:rPr>
          <w:sz w:val="24"/>
        </w:rPr>
        <w:t>DB63/T 1315</w:t>
      </w:r>
      <w:r>
        <w:rPr>
          <w:sz w:val="24"/>
        </w:rPr>
        <w:t>、</w:t>
      </w:r>
      <w:r>
        <w:rPr>
          <w:sz w:val="24"/>
        </w:rPr>
        <w:t>GBZ 2.1</w:t>
      </w:r>
      <w:r>
        <w:rPr>
          <w:sz w:val="24"/>
        </w:rPr>
        <w:t>、</w:t>
      </w:r>
      <w:r>
        <w:rPr>
          <w:sz w:val="24"/>
        </w:rPr>
        <w:t xml:space="preserve">GB 16548 </w:t>
      </w:r>
      <w:r>
        <w:rPr>
          <w:sz w:val="24"/>
        </w:rPr>
        <w:t>等文件，对药饵投放、地箭灭治、职业安全防护和鼠尸处理等内容提出要求。</w:t>
      </w:r>
    </w:p>
    <w:p w14:paraId="301F9790" w14:textId="77777777" w:rsidR="002A459E" w:rsidRDefault="006454C9">
      <w:pPr>
        <w:numPr>
          <w:ilvl w:val="0"/>
          <w:numId w:val="1"/>
        </w:numPr>
        <w:spacing w:line="360" w:lineRule="auto"/>
        <w:rPr>
          <w:b/>
          <w:color w:val="000000"/>
          <w:sz w:val="22"/>
          <w:szCs w:val="20"/>
        </w:rPr>
      </w:pPr>
      <w:r>
        <w:rPr>
          <w:rFonts w:hint="eastAsia"/>
          <w:b/>
          <w:color w:val="000000"/>
          <w:sz w:val="22"/>
          <w:szCs w:val="20"/>
        </w:rPr>
        <w:t>术语和定义</w:t>
      </w:r>
    </w:p>
    <w:p w14:paraId="07D80DC4" w14:textId="77777777" w:rsidR="002A459E" w:rsidRDefault="006454C9">
      <w:pPr>
        <w:spacing w:line="360" w:lineRule="auto"/>
        <w:ind w:firstLineChars="200" w:firstLine="480"/>
        <w:rPr>
          <w:sz w:val="24"/>
        </w:rPr>
      </w:pPr>
      <w:r>
        <w:rPr>
          <w:sz w:val="24"/>
        </w:rPr>
        <w:t>文件中的高原鼢鼠、</w:t>
      </w:r>
      <w:r>
        <w:rPr>
          <w:sz w:val="24"/>
        </w:rPr>
        <w:t>地下鼠害、药饵、地箭和鼠害隔离等术语，结合相关标准表述、已有研究资料和高寒草甸防治实践确定。</w:t>
      </w:r>
    </w:p>
    <w:p w14:paraId="37C09197" w14:textId="77777777" w:rsidR="002A459E" w:rsidRDefault="006454C9">
      <w:pPr>
        <w:numPr>
          <w:ilvl w:val="0"/>
          <w:numId w:val="1"/>
        </w:numPr>
        <w:spacing w:line="360" w:lineRule="auto"/>
        <w:rPr>
          <w:b/>
          <w:color w:val="000000"/>
          <w:sz w:val="22"/>
          <w:szCs w:val="20"/>
        </w:rPr>
      </w:pPr>
      <w:r>
        <w:rPr>
          <w:rFonts w:hint="eastAsia"/>
          <w:b/>
          <w:color w:val="000000"/>
          <w:sz w:val="22"/>
          <w:szCs w:val="20"/>
        </w:rPr>
        <w:t>隔离设施建设</w:t>
      </w:r>
    </w:p>
    <w:p w14:paraId="2C762A8C" w14:textId="77777777" w:rsidR="002A459E" w:rsidRDefault="006454C9">
      <w:pPr>
        <w:spacing w:line="360" w:lineRule="auto"/>
        <w:ind w:firstLineChars="200" w:firstLine="480"/>
        <w:rPr>
          <w:sz w:val="24"/>
        </w:rPr>
      </w:pPr>
      <w:r>
        <w:rPr>
          <w:sz w:val="24"/>
        </w:rPr>
        <w:t>依据前期技术试验和现场应用情况，防治区外围宜开挖连通细沟，沟深一般为</w:t>
      </w:r>
      <w:r>
        <w:rPr>
          <w:sz w:val="24"/>
        </w:rPr>
        <w:t xml:space="preserve"> 1.5 m</w:t>
      </w:r>
      <w:r>
        <w:rPr>
          <w:sz w:val="24"/>
        </w:rPr>
        <w:t>～</w:t>
      </w:r>
      <w:r>
        <w:rPr>
          <w:sz w:val="24"/>
        </w:rPr>
        <w:t>1.6 m</w:t>
      </w:r>
      <w:r>
        <w:rPr>
          <w:sz w:val="24"/>
        </w:rPr>
        <w:t>；沟内埋设</w:t>
      </w:r>
      <w:r>
        <w:rPr>
          <w:sz w:val="24"/>
        </w:rPr>
        <w:t xml:space="preserve"> L </w:t>
      </w:r>
      <w:r>
        <w:rPr>
          <w:sz w:val="24"/>
        </w:rPr>
        <w:t>形钢丝围栏，围栏主体高度宜为</w:t>
      </w:r>
      <w:r>
        <w:rPr>
          <w:sz w:val="24"/>
        </w:rPr>
        <w:t xml:space="preserve"> 1.5 m</w:t>
      </w:r>
      <w:r>
        <w:rPr>
          <w:sz w:val="24"/>
        </w:rPr>
        <w:t>，底部向防治区外侧延伸</w:t>
      </w:r>
      <w:r>
        <w:rPr>
          <w:sz w:val="24"/>
        </w:rPr>
        <w:t xml:space="preserve"> 30 cm</w:t>
      </w:r>
      <w:r>
        <w:rPr>
          <w:sz w:val="24"/>
        </w:rPr>
        <w:t>；地上部分加装高</w:t>
      </w:r>
      <w:r>
        <w:rPr>
          <w:sz w:val="24"/>
        </w:rPr>
        <w:t xml:space="preserve"> 30 cm </w:t>
      </w:r>
      <w:r>
        <w:rPr>
          <w:sz w:val="24"/>
        </w:rPr>
        <w:t>铁皮板。钢丝围栏网眼宜为</w:t>
      </w:r>
      <w:r>
        <w:rPr>
          <w:sz w:val="24"/>
        </w:rPr>
        <w:t xml:space="preserve"> 1.5 cm × 1.5 cm</w:t>
      </w:r>
      <w:r>
        <w:rPr>
          <w:sz w:val="24"/>
        </w:rPr>
        <w:t>，铁皮板厚度宜为</w:t>
      </w:r>
      <w:r>
        <w:rPr>
          <w:sz w:val="24"/>
        </w:rPr>
        <w:t xml:space="preserve"> 0.1 cm</w:t>
      </w:r>
      <w:r>
        <w:rPr>
          <w:sz w:val="24"/>
        </w:rPr>
        <w:t>，连接处应固定严密，形成连续阻隔屏障。</w:t>
      </w:r>
    </w:p>
    <w:p w14:paraId="313FFE53" w14:textId="77777777" w:rsidR="002A459E" w:rsidRDefault="006454C9">
      <w:pPr>
        <w:numPr>
          <w:ilvl w:val="0"/>
          <w:numId w:val="1"/>
        </w:numPr>
        <w:spacing w:line="360" w:lineRule="auto"/>
        <w:rPr>
          <w:b/>
          <w:color w:val="000000"/>
          <w:sz w:val="22"/>
          <w:szCs w:val="20"/>
        </w:rPr>
      </w:pPr>
      <w:r>
        <w:rPr>
          <w:rFonts w:hint="eastAsia"/>
          <w:b/>
          <w:color w:val="000000"/>
          <w:sz w:val="22"/>
          <w:szCs w:val="20"/>
        </w:rPr>
        <w:t>防治时间与区内综合灭治</w:t>
      </w:r>
    </w:p>
    <w:p w14:paraId="38429617" w14:textId="4678A6CC" w:rsidR="002A459E" w:rsidRDefault="006454C9">
      <w:pPr>
        <w:spacing w:line="360" w:lineRule="auto"/>
        <w:ind w:firstLineChars="200" w:firstLine="480"/>
        <w:rPr>
          <w:sz w:val="24"/>
        </w:rPr>
      </w:pPr>
      <w:r>
        <w:rPr>
          <w:sz w:val="24"/>
        </w:rPr>
        <w:t>隔离设施建设和集中防治宜在春季</w:t>
      </w:r>
      <w:r w:rsidR="006C695C">
        <w:rPr>
          <w:sz w:val="24"/>
        </w:rPr>
        <w:t xml:space="preserve"> 4-</w:t>
      </w:r>
      <w:r>
        <w:rPr>
          <w:sz w:val="24"/>
        </w:rPr>
        <w:t xml:space="preserve">5 </w:t>
      </w:r>
      <w:r>
        <w:rPr>
          <w:sz w:val="24"/>
        </w:rPr>
        <w:t>月</w:t>
      </w:r>
      <w:r>
        <w:rPr>
          <w:sz w:val="24"/>
        </w:rPr>
        <w:t>牧草返青前实施。隔离设施建成后，可在活动洞道和新土丘集中区域开展药饵定点投放；对残存个体较多或危害较重的斑块，可配合地箭等物理措施辅助灭治。药饵配制、投放和装置设置应由培训合格人员实施，并落实个人防护和安全警示。</w:t>
      </w:r>
    </w:p>
    <w:p w14:paraId="1F0720FA" w14:textId="77777777" w:rsidR="002A459E" w:rsidRDefault="006454C9">
      <w:pPr>
        <w:numPr>
          <w:ilvl w:val="0"/>
          <w:numId w:val="1"/>
        </w:numPr>
        <w:spacing w:line="360" w:lineRule="auto"/>
        <w:rPr>
          <w:sz w:val="24"/>
        </w:rPr>
      </w:pPr>
      <w:r>
        <w:rPr>
          <w:rFonts w:hint="eastAsia"/>
          <w:b/>
          <w:color w:val="000000"/>
          <w:sz w:val="22"/>
          <w:szCs w:val="20"/>
        </w:rPr>
        <w:t>灭效评价和后续管护</w:t>
      </w:r>
    </w:p>
    <w:p w14:paraId="60C6F600" w14:textId="77777777" w:rsidR="002A459E" w:rsidRDefault="006454C9">
      <w:pPr>
        <w:spacing w:line="360" w:lineRule="auto"/>
        <w:ind w:firstLineChars="200" w:firstLine="480"/>
        <w:rPr>
          <w:sz w:val="24"/>
        </w:rPr>
      </w:pPr>
      <w:r>
        <w:rPr>
          <w:sz w:val="24"/>
        </w:rPr>
        <w:t>防治后应开展新土丘密度、灭洞率和灭鼠率评价，一般要求弓箭引发率大于</w:t>
      </w:r>
      <w:r>
        <w:rPr>
          <w:sz w:val="24"/>
        </w:rPr>
        <w:t xml:space="preserve"> 95%</w:t>
      </w:r>
      <w:r>
        <w:rPr>
          <w:sz w:val="24"/>
        </w:rPr>
        <w:t>，灭治后新土丘密度低于</w:t>
      </w:r>
      <w:r>
        <w:rPr>
          <w:sz w:val="24"/>
        </w:rPr>
        <w:t xml:space="preserve"> 150 </w:t>
      </w:r>
      <w:r>
        <w:rPr>
          <w:sz w:val="24"/>
        </w:rPr>
        <w:t>个</w:t>
      </w:r>
      <w:r>
        <w:rPr>
          <w:sz w:val="24"/>
        </w:rPr>
        <w:t>/hm²</w:t>
      </w:r>
      <w:r>
        <w:rPr>
          <w:sz w:val="24"/>
        </w:rPr>
        <w:t>，平均灭洞率或灭鼠率达到</w:t>
      </w:r>
      <w:r>
        <w:rPr>
          <w:sz w:val="24"/>
        </w:rPr>
        <w:t xml:space="preserve"> 90% </w:t>
      </w:r>
      <w:r>
        <w:rPr>
          <w:sz w:val="24"/>
        </w:rPr>
        <w:t>以上。药饵毒杀后的鼠尸应及时收集并深埋或进行无害化处理；地箭等装置应在活动高峰期后及时回收，洞道和施工沟槽按要求回填，并定期检查</w:t>
      </w:r>
      <w:r>
        <w:rPr>
          <w:sz w:val="24"/>
        </w:rPr>
        <w:t>隔离设施完整性，对破损或新入侵点及时修复和补治。</w:t>
      </w:r>
    </w:p>
    <w:p w14:paraId="58A6400A" w14:textId="77777777" w:rsidR="002A459E" w:rsidRDefault="006454C9">
      <w:pPr>
        <w:keepNext/>
        <w:keepLines/>
        <w:spacing w:line="360" w:lineRule="auto"/>
        <w:outlineLvl w:val="0"/>
        <w:rPr>
          <w:b/>
          <w:bCs/>
          <w:kern w:val="44"/>
          <w:sz w:val="24"/>
          <w:szCs w:val="24"/>
        </w:rPr>
      </w:pPr>
      <w:r>
        <w:rPr>
          <w:b/>
          <w:bCs/>
          <w:kern w:val="44"/>
          <w:sz w:val="24"/>
          <w:szCs w:val="24"/>
        </w:rPr>
        <w:t>四、采用的国际标准</w:t>
      </w:r>
    </w:p>
    <w:p w14:paraId="76F7277E" w14:textId="77777777" w:rsidR="002A459E" w:rsidRDefault="006454C9">
      <w:pPr>
        <w:spacing w:line="360" w:lineRule="auto"/>
        <w:ind w:firstLine="420"/>
        <w:rPr>
          <w:sz w:val="24"/>
        </w:rPr>
      </w:pPr>
      <w:r>
        <w:rPr>
          <w:sz w:val="24"/>
        </w:rPr>
        <w:t>本标准未采用国际标准。</w:t>
      </w:r>
    </w:p>
    <w:p w14:paraId="608DC0E0" w14:textId="77777777" w:rsidR="002A459E" w:rsidRDefault="006454C9">
      <w:pPr>
        <w:keepNext/>
        <w:keepLines/>
        <w:spacing w:line="360" w:lineRule="auto"/>
        <w:outlineLvl w:val="0"/>
        <w:rPr>
          <w:b/>
          <w:bCs/>
          <w:kern w:val="44"/>
          <w:sz w:val="24"/>
          <w:szCs w:val="24"/>
        </w:rPr>
      </w:pPr>
      <w:r>
        <w:rPr>
          <w:b/>
          <w:bCs/>
          <w:kern w:val="44"/>
          <w:sz w:val="24"/>
          <w:szCs w:val="24"/>
        </w:rPr>
        <w:lastRenderedPageBreak/>
        <w:t>五、与现行法律法规和强制性标准的关系</w:t>
      </w:r>
    </w:p>
    <w:p w14:paraId="15EEF53D" w14:textId="77777777" w:rsidR="002A459E" w:rsidRDefault="006454C9">
      <w:pPr>
        <w:spacing w:line="360" w:lineRule="auto"/>
        <w:ind w:firstLine="420"/>
        <w:rPr>
          <w:sz w:val="24"/>
        </w:rPr>
      </w:pPr>
      <w:r>
        <w:rPr>
          <w:sz w:val="24"/>
        </w:rPr>
        <w:t>本标准与现行法律法规和强制性标准相协调，不存在冲突。</w:t>
      </w:r>
    </w:p>
    <w:p w14:paraId="2B964A7A" w14:textId="77777777" w:rsidR="002A459E" w:rsidRDefault="006454C9">
      <w:pPr>
        <w:keepNext/>
        <w:keepLines/>
        <w:spacing w:line="360" w:lineRule="auto"/>
        <w:outlineLvl w:val="0"/>
        <w:rPr>
          <w:b/>
          <w:bCs/>
          <w:kern w:val="44"/>
          <w:sz w:val="24"/>
          <w:szCs w:val="24"/>
        </w:rPr>
      </w:pPr>
      <w:r>
        <w:rPr>
          <w:b/>
          <w:bCs/>
          <w:kern w:val="44"/>
          <w:sz w:val="24"/>
          <w:szCs w:val="24"/>
        </w:rPr>
        <w:t>六、重大分歧意见的处理经过和依据</w:t>
      </w:r>
    </w:p>
    <w:p w14:paraId="2DEF81BB" w14:textId="77777777" w:rsidR="002A459E" w:rsidRDefault="006454C9">
      <w:pPr>
        <w:spacing w:line="360" w:lineRule="auto"/>
        <w:ind w:firstLine="420"/>
        <w:rPr>
          <w:sz w:val="24"/>
        </w:rPr>
      </w:pPr>
      <w:r>
        <w:rPr>
          <w:sz w:val="24"/>
        </w:rPr>
        <w:t>本标准起草过程中暂无重大分歧意见。后续征求意见和送审过程中如出现重大分歧，将按照团体标准制定程序进行协调处理，并在报批材料中说明处理依据。</w:t>
      </w:r>
    </w:p>
    <w:p w14:paraId="2B130532" w14:textId="77777777" w:rsidR="002A459E" w:rsidRDefault="006454C9">
      <w:pPr>
        <w:keepNext/>
        <w:keepLines/>
        <w:spacing w:line="360" w:lineRule="auto"/>
        <w:outlineLvl w:val="0"/>
        <w:rPr>
          <w:b/>
          <w:bCs/>
          <w:kern w:val="44"/>
          <w:sz w:val="24"/>
          <w:szCs w:val="24"/>
        </w:rPr>
      </w:pPr>
      <w:r>
        <w:rPr>
          <w:b/>
          <w:bCs/>
          <w:kern w:val="44"/>
          <w:sz w:val="24"/>
          <w:szCs w:val="24"/>
        </w:rPr>
        <w:t>七、标准涉及专利的处置及标准性质建议</w:t>
      </w:r>
    </w:p>
    <w:p w14:paraId="78C2E49C" w14:textId="77777777" w:rsidR="002A459E" w:rsidRDefault="006454C9">
      <w:pPr>
        <w:spacing w:line="360" w:lineRule="auto"/>
        <w:ind w:firstLine="420"/>
        <w:rPr>
          <w:sz w:val="24"/>
        </w:rPr>
      </w:pPr>
      <w:r>
        <w:rPr>
          <w:sz w:val="24"/>
        </w:rPr>
        <w:t>本标准目前未发现涉及专利内容。建议将本标准作为推荐性团体标准发布实施。</w:t>
      </w:r>
    </w:p>
    <w:p w14:paraId="7F310575" w14:textId="77777777" w:rsidR="002A459E" w:rsidRDefault="006454C9">
      <w:pPr>
        <w:keepNext/>
        <w:keepLines/>
        <w:spacing w:line="360" w:lineRule="auto"/>
        <w:outlineLvl w:val="0"/>
        <w:rPr>
          <w:b/>
          <w:bCs/>
          <w:kern w:val="44"/>
          <w:sz w:val="24"/>
          <w:szCs w:val="24"/>
        </w:rPr>
      </w:pPr>
      <w:r>
        <w:rPr>
          <w:b/>
          <w:bCs/>
          <w:kern w:val="44"/>
          <w:sz w:val="24"/>
          <w:szCs w:val="24"/>
        </w:rPr>
        <w:t>八、贯彻标准的要求和措施建议</w:t>
      </w:r>
    </w:p>
    <w:p w14:paraId="5D1D5140" w14:textId="3C912BE8" w:rsidR="002A459E" w:rsidRDefault="006C695C">
      <w:pPr>
        <w:spacing w:line="360" w:lineRule="auto"/>
        <w:ind w:firstLine="420"/>
        <w:rPr>
          <w:sz w:val="24"/>
        </w:rPr>
      </w:pPr>
      <w:r>
        <w:rPr>
          <w:sz w:val="24"/>
        </w:rPr>
        <w:t>标准发布后，建议通过技术培训、现场示范、标准</w:t>
      </w:r>
      <w:r>
        <w:rPr>
          <w:rFonts w:hint="eastAsia"/>
          <w:sz w:val="24"/>
        </w:rPr>
        <w:t>宣传</w:t>
      </w:r>
      <w:r w:rsidR="006454C9">
        <w:rPr>
          <w:sz w:val="24"/>
        </w:rPr>
        <w:t>和基层推广等方式组织实施。重点面向草原管理部门、技术推广机构、合作社和牧户开展防治区判定、隔离设施建设、药饵安全投放、地箭辅助灭治、灭效评价和</w:t>
      </w:r>
      <w:bookmarkStart w:id="1" w:name="_GoBack"/>
      <w:bookmarkEnd w:id="1"/>
      <w:r w:rsidR="006454C9">
        <w:rPr>
          <w:sz w:val="24"/>
        </w:rPr>
        <w:t>后续管护等内容培训，提升标准执行效果。</w:t>
      </w:r>
    </w:p>
    <w:p w14:paraId="16CD7C7C" w14:textId="77777777" w:rsidR="002A459E" w:rsidRDefault="006454C9">
      <w:pPr>
        <w:spacing w:line="360" w:lineRule="auto"/>
        <w:ind w:firstLine="420"/>
        <w:rPr>
          <w:sz w:val="24"/>
        </w:rPr>
      </w:pPr>
      <w:r>
        <w:rPr>
          <w:sz w:val="24"/>
        </w:rPr>
        <w:t>建议建立标准实施反馈机制，收集不同区域在隔离设施施工、药饵投放、安全防护、灭效评价和后续管护中的问题，作为标准后续修订和完善的依据。</w:t>
      </w:r>
    </w:p>
    <w:p w14:paraId="428DC94F" w14:textId="77777777" w:rsidR="002A459E" w:rsidRDefault="006454C9">
      <w:pPr>
        <w:keepNext/>
        <w:keepLines/>
        <w:spacing w:line="360" w:lineRule="auto"/>
        <w:outlineLvl w:val="0"/>
        <w:rPr>
          <w:b/>
          <w:bCs/>
          <w:kern w:val="44"/>
          <w:sz w:val="24"/>
          <w:szCs w:val="24"/>
        </w:rPr>
      </w:pPr>
      <w:r>
        <w:rPr>
          <w:b/>
          <w:bCs/>
          <w:kern w:val="44"/>
          <w:sz w:val="24"/>
          <w:szCs w:val="24"/>
        </w:rPr>
        <w:t>九、废止现行有关标准的建议</w:t>
      </w:r>
    </w:p>
    <w:p w14:paraId="63BC0CD3" w14:textId="77777777" w:rsidR="002A459E" w:rsidRDefault="006454C9">
      <w:pPr>
        <w:spacing w:line="360" w:lineRule="auto"/>
        <w:ind w:firstLine="420"/>
        <w:rPr>
          <w:sz w:val="24"/>
        </w:rPr>
      </w:pPr>
      <w:r>
        <w:rPr>
          <w:sz w:val="24"/>
        </w:rPr>
        <w:t>无。</w:t>
      </w:r>
    </w:p>
    <w:p w14:paraId="231D8737" w14:textId="77777777" w:rsidR="002A459E" w:rsidRDefault="006454C9">
      <w:pPr>
        <w:keepNext/>
        <w:keepLines/>
        <w:spacing w:line="360" w:lineRule="auto"/>
        <w:outlineLvl w:val="0"/>
        <w:rPr>
          <w:b/>
          <w:bCs/>
          <w:kern w:val="44"/>
          <w:sz w:val="24"/>
          <w:szCs w:val="24"/>
        </w:rPr>
      </w:pPr>
      <w:r>
        <w:rPr>
          <w:b/>
          <w:bCs/>
          <w:kern w:val="44"/>
          <w:sz w:val="24"/>
          <w:szCs w:val="24"/>
        </w:rPr>
        <w:t>十、其他应予说明的事项</w:t>
      </w:r>
    </w:p>
    <w:p w14:paraId="269C6B1A" w14:textId="77777777" w:rsidR="002A459E" w:rsidRDefault="006454C9">
      <w:pPr>
        <w:spacing w:line="360" w:lineRule="auto"/>
        <w:ind w:firstLine="420"/>
        <w:rPr>
          <w:sz w:val="24"/>
        </w:rPr>
      </w:pPr>
      <w:r>
        <w:rPr>
          <w:sz w:val="24"/>
        </w:rPr>
        <w:t>本标准名称由立项申请名称《青藏高原高寒草甸高原鼢鼠隔离防控综合技术规范》沿用至征求意见稿，未作实质性调整。</w:t>
      </w:r>
    </w:p>
    <w:p w14:paraId="0F424588" w14:textId="77777777" w:rsidR="002A459E" w:rsidRDefault="002A459E">
      <w:pPr>
        <w:pStyle w:val="1"/>
        <w:spacing w:before="0" w:after="0"/>
        <w:rPr>
          <w:color w:val="000000"/>
          <w:sz w:val="24"/>
        </w:rPr>
      </w:pPr>
    </w:p>
    <w:sectPr w:rsidR="002A459E">
      <w:pgSz w:w="11906" w:h="16838"/>
      <w:pgMar w:top="1843" w:right="1558" w:bottom="1702"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F31B2" w14:textId="77777777" w:rsidR="006454C9" w:rsidRDefault="006454C9">
      <w:r>
        <w:separator/>
      </w:r>
    </w:p>
  </w:endnote>
  <w:endnote w:type="continuationSeparator" w:id="0">
    <w:p w14:paraId="5B28EF1A" w14:textId="77777777" w:rsidR="006454C9" w:rsidRDefault="00645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9A38A" w14:textId="77777777" w:rsidR="002A459E" w:rsidRDefault="006454C9">
    <w:pPr>
      <w:pStyle w:val="a9"/>
      <w:framePr w:wrap="around" w:vAnchor="text" w:hAnchor="margin" w:xAlign="center" w:y="1"/>
      <w:rPr>
        <w:rStyle w:val="ae"/>
      </w:rPr>
    </w:pPr>
    <w:r>
      <w:fldChar w:fldCharType="begin"/>
    </w:r>
    <w:r>
      <w:rPr>
        <w:rStyle w:val="ae"/>
      </w:rPr>
      <w:instrText xml:space="preserve">PAGE  </w:instrText>
    </w:r>
    <w:r>
      <w:fldChar w:fldCharType="end"/>
    </w:r>
  </w:p>
  <w:p w14:paraId="08B3C798" w14:textId="77777777" w:rsidR="002A459E" w:rsidRDefault="002A459E">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1A48C" w14:textId="7CF0A5F6" w:rsidR="002A459E" w:rsidRDefault="006454C9">
    <w:pPr>
      <w:pStyle w:val="a9"/>
      <w:jc w:val="center"/>
    </w:pPr>
    <w:r>
      <w:fldChar w:fldCharType="begin"/>
    </w:r>
    <w:r>
      <w:instrText xml:space="preserve"> PAGE   \* MERGEFORMAT </w:instrText>
    </w:r>
    <w:r>
      <w:fldChar w:fldCharType="separate"/>
    </w:r>
    <w:r w:rsidR="006C695C" w:rsidRPr="006C695C">
      <w:rPr>
        <w:noProof/>
        <w:lang w:val="zh-CN"/>
      </w:rPr>
      <w:t>5</w:t>
    </w:r>
    <w:r>
      <w:rPr>
        <w:lang w:val="zh-CN"/>
      </w:rPr>
      <w:fldChar w:fldCharType="end"/>
    </w:r>
  </w:p>
  <w:p w14:paraId="59F259B6" w14:textId="77777777" w:rsidR="002A459E" w:rsidRDefault="002A459E">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66C77" w14:textId="77777777" w:rsidR="006454C9" w:rsidRDefault="006454C9">
      <w:r>
        <w:separator/>
      </w:r>
    </w:p>
  </w:footnote>
  <w:footnote w:type="continuationSeparator" w:id="0">
    <w:p w14:paraId="7F510BBF" w14:textId="77777777" w:rsidR="006454C9" w:rsidRDefault="006454C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A03B02E"/>
    <w:multiLevelType w:val="singleLevel"/>
    <w:tmpl w:val="FA03B02E"/>
    <w:lvl w:ilvl="0">
      <w:start w:val="1"/>
      <w:numFmt w:val="decimal"/>
      <w:suff w:val="nothing"/>
      <w:lvlText w:val="（%1）"/>
      <w:lvlJc w:val="left"/>
      <w:pPr>
        <w:ind w:left="48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NkMzVhNTA1NWMzZDc0MDk3Nzc1ODUzODEwMDUwODEifQ=="/>
    <w:docVar w:name="EN.InstantFormat" w:val="&lt;ENInstantFormat&gt;&lt;Enabled&gt;1&lt;/Enabled&gt;&lt;ScanUnformatted&gt;1&lt;/ScanUnformatted&gt;&lt;ScanChanges&gt;1&lt;/ScanChanges&gt;&lt;Suspended&gt;0&lt;/Suspended&gt;&lt;/ENInstantFormat&gt;"/>
    <w:docVar w:name="EN.Layout" w:val="&lt;ENLayout&gt;&lt;Style&gt;Chinese Std GBT7714 (numeric) copy&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e0xw9a5ksss2bepfpxv2exzapw0pspfxrrs&quot;&gt;发酵TMR小论文&lt;record-ids&gt;&lt;item&gt;228&lt;/item&gt;&lt;/record-ids&gt;&lt;/item&gt;&lt;/Libraries&gt;"/>
  </w:docVars>
  <w:rsids>
    <w:rsidRoot w:val="00416669"/>
    <w:rsid w:val="000155DB"/>
    <w:rsid w:val="00017D16"/>
    <w:rsid w:val="000308A3"/>
    <w:rsid w:val="00032402"/>
    <w:rsid w:val="00036A34"/>
    <w:rsid w:val="000429E1"/>
    <w:rsid w:val="000434FB"/>
    <w:rsid w:val="00044247"/>
    <w:rsid w:val="0004735E"/>
    <w:rsid w:val="00057930"/>
    <w:rsid w:val="000610CF"/>
    <w:rsid w:val="00061E22"/>
    <w:rsid w:val="00076D67"/>
    <w:rsid w:val="0008074C"/>
    <w:rsid w:val="000B474F"/>
    <w:rsid w:val="000E0375"/>
    <w:rsid w:val="000F7801"/>
    <w:rsid w:val="00112EE8"/>
    <w:rsid w:val="00113F8F"/>
    <w:rsid w:val="001155D9"/>
    <w:rsid w:val="00122CF2"/>
    <w:rsid w:val="0012627C"/>
    <w:rsid w:val="00126374"/>
    <w:rsid w:val="0013098F"/>
    <w:rsid w:val="00132DB4"/>
    <w:rsid w:val="001372F7"/>
    <w:rsid w:val="00137BD4"/>
    <w:rsid w:val="00140742"/>
    <w:rsid w:val="00147E5E"/>
    <w:rsid w:val="001650ED"/>
    <w:rsid w:val="00173D9B"/>
    <w:rsid w:val="0017441B"/>
    <w:rsid w:val="001877A5"/>
    <w:rsid w:val="001A3DFC"/>
    <w:rsid w:val="001A3E3C"/>
    <w:rsid w:val="001A6550"/>
    <w:rsid w:val="001D0503"/>
    <w:rsid w:val="001E428B"/>
    <w:rsid w:val="001E72A2"/>
    <w:rsid w:val="001F1BFE"/>
    <w:rsid w:val="001F5979"/>
    <w:rsid w:val="001F6496"/>
    <w:rsid w:val="00230B2D"/>
    <w:rsid w:val="002313E0"/>
    <w:rsid w:val="00231604"/>
    <w:rsid w:val="00232FFF"/>
    <w:rsid w:val="00237F30"/>
    <w:rsid w:val="00240E83"/>
    <w:rsid w:val="00246C40"/>
    <w:rsid w:val="002538BD"/>
    <w:rsid w:val="00255BC8"/>
    <w:rsid w:val="00256EDA"/>
    <w:rsid w:val="00257083"/>
    <w:rsid w:val="00257498"/>
    <w:rsid w:val="002574A2"/>
    <w:rsid w:val="00264E4C"/>
    <w:rsid w:val="00266508"/>
    <w:rsid w:val="002679DB"/>
    <w:rsid w:val="002A2BE5"/>
    <w:rsid w:val="002A38D8"/>
    <w:rsid w:val="002A459E"/>
    <w:rsid w:val="002B5E17"/>
    <w:rsid w:val="002C3275"/>
    <w:rsid w:val="002C5FEC"/>
    <w:rsid w:val="002D17E1"/>
    <w:rsid w:val="002D653D"/>
    <w:rsid w:val="002E35C6"/>
    <w:rsid w:val="002F1A92"/>
    <w:rsid w:val="002F773B"/>
    <w:rsid w:val="002F78D3"/>
    <w:rsid w:val="00301EF9"/>
    <w:rsid w:val="00315468"/>
    <w:rsid w:val="00324544"/>
    <w:rsid w:val="0033768E"/>
    <w:rsid w:val="00353076"/>
    <w:rsid w:val="00355292"/>
    <w:rsid w:val="00357EA9"/>
    <w:rsid w:val="003616FA"/>
    <w:rsid w:val="0036445F"/>
    <w:rsid w:val="003647ED"/>
    <w:rsid w:val="00371521"/>
    <w:rsid w:val="003763C5"/>
    <w:rsid w:val="00376C0E"/>
    <w:rsid w:val="00377593"/>
    <w:rsid w:val="00384379"/>
    <w:rsid w:val="00395E51"/>
    <w:rsid w:val="00397219"/>
    <w:rsid w:val="003A467C"/>
    <w:rsid w:val="003A7FFA"/>
    <w:rsid w:val="003B4101"/>
    <w:rsid w:val="003B4925"/>
    <w:rsid w:val="003C0E69"/>
    <w:rsid w:val="003D5430"/>
    <w:rsid w:val="003E41F0"/>
    <w:rsid w:val="003E6AD8"/>
    <w:rsid w:val="004008BE"/>
    <w:rsid w:val="00401F02"/>
    <w:rsid w:val="00403501"/>
    <w:rsid w:val="0041174A"/>
    <w:rsid w:val="00412FA3"/>
    <w:rsid w:val="00416243"/>
    <w:rsid w:val="00416669"/>
    <w:rsid w:val="004262B4"/>
    <w:rsid w:val="00434FDA"/>
    <w:rsid w:val="0043644F"/>
    <w:rsid w:val="004369B7"/>
    <w:rsid w:val="00441546"/>
    <w:rsid w:val="00441DDE"/>
    <w:rsid w:val="00443A22"/>
    <w:rsid w:val="0045024A"/>
    <w:rsid w:val="004558C5"/>
    <w:rsid w:val="004817B8"/>
    <w:rsid w:val="0048331E"/>
    <w:rsid w:val="00487AD2"/>
    <w:rsid w:val="00487FAD"/>
    <w:rsid w:val="004A3AE7"/>
    <w:rsid w:val="004A4D6E"/>
    <w:rsid w:val="004B6B44"/>
    <w:rsid w:val="004C3612"/>
    <w:rsid w:val="004C40C4"/>
    <w:rsid w:val="004C500C"/>
    <w:rsid w:val="004C7768"/>
    <w:rsid w:val="004D3A8C"/>
    <w:rsid w:val="004D7696"/>
    <w:rsid w:val="004E670F"/>
    <w:rsid w:val="004F338A"/>
    <w:rsid w:val="004F7B86"/>
    <w:rsid w:val="00503FBF"/>
    <w:rsid w:val="00527ABD"/>
    <w:rsid w:val="00530419"/>
    <w:rsid w:val="00532D0E"/>
    <w:rsid w:val="00533B44"/>
    <w:rsid w:val="005436E7"/>
    <w:rsid w:val="0055067B"/>
    <w:rsid w:val="0055090C"/>
    <w:rsid w:val="005573B1"/>
    <w:rsid w:val="00564B6D"/>
    <w:rsid w:val="00571127"/>
    <w:rsid w:val="00571E77"/>
    <w:rsid w:val="0057251D"/>
    <w:rsid w:val="00572906"/>
    <w:rsid w:val="00576CFC"/>
    <w:rsid w:val="005850C6"/>
    <w:rsid w:val="00594619"/>
    <w:rsid w:val="00595AF8"/>
    <w:rsid w:val="0059745A"/>
    <w:rsid w:val="00597601"/>
    <w:rsid w:val="005A3DE9"/>
    <w:rsid w:val="005A7B28"/>
    <w:rsid w:val="005B3678"/>
    <w:rsid w:val="005C1DB7"/>
    <w:rsid w:val="005C3740"/>
    <w:rsid w:val="005D70F9"/>
    <w:rsid w:val="005E25C4"/>
    <w:rsid w:val="005F21F2"/>
    <w:rsid w:val="005F7967"/>
    <w:rsid w:val="006136A1"/>
    <w:rsid w:val="00613B1E"/>
    <w:rsid w:val="00617DE2"/>
    <w:rsid w:val="00617E82"/>
    <w:rsid w:val="006237C9"/>
    <w:rsid w:val="006274F4"/>
    <w:rsid w:val="006359DA"/>
    <w:rsid w:val="00642959"/>
    <w:rsid w:val="00644454"/>
    <w:rsid w:val="006454C9"/>
    <w:rsid w:val="0064625B"/>
    <w:rsid w:val="00647006"/>
    <w:rsid w:val="006520B7"/>
    <w:rsid w:val="006615F3"/>
    <w:rsid w:val="00662C30"/>
    <w:rsid w:val="00673243"/>
    <w:rsid w:val="00676D14"/>
    <w:rsid w:val="00677237"/>
    <w:rsid w:val="006801B7"/>
    <w:rsid w:val="00686267"/>
    <w:rsid w:val="006876D1"/>
    <w:rsid w:val="00692CFC"/>
    <w:rsid w:val="006A1F6A"/>
    <w:rsid w:val="006C0880"/>
    <w:rsid w:val="006C11CD"/>
    <w:rsid w:val="006C52CD"/>
    <w:rsid w:val="006C695C"/>
    <w:rsid w:val="006D3074"/>
    <w:rsid w:val="006D5BF9"/>
    <w:rsid w:val="006E08FA"/>
    <w:rsid w:val="006E0E00"/>
    <w:rsid w:val="006E4C06"/>
    <w:rsid w:val="006F1DD4"/>
    <w:rsid w:val="006F237B"/>
    <w:rsid w:val="006F3702"/>
    <w:rsid w:val="006F740A"/>
    <w:rsid w:val="00701F8B"/>
    <w:rsid w:val="007038ED"/>
    <w:rsid w:val="00706039"/>
    <w:rsid w:val="007227A4"/>
    <w:rsid w:val="00722A10"/>
    <w:rsid w:val="00732883"/>
    <w:rsid w:val="007356A0"/>
    <w:rsid w:val="007508FD"/>
    <w:rsid w:val="00750DD8"/>
    <w:rsid w:val="0075399B"/>
    <w:rsid w:val="00757F83"/>
    <w:rsid w:val="007665CB"/>
    <w:rsid w:val="00777351"/>
    <w:rsid w:val="00792549"/>
    <w:rsid w:val="00793A3A"/>
    <w:rsid w:val="007A1632"/>
    <w:rsid w:val="007A1885"/>
    <w:rsid w:val="007A2731"/>
    <w:rsid w:val="007B11B3"/>
    <w:rsid w:val="007B6620"/>
    <w:rsid w:val="007B75B7"/>
    <w:rsid w:val="007C4CB1"/>
    <w:rsid w:val="007D1E41"/>
    <w:rsid w:val="007E63DA"/>
    <w:rsid w:val="007F0C38"/>
    <w:rsid w:val="007F5CB8"/>
    <w:rsid w:val="007F7B8C"/>
    <w:rsid w:val="008114DA"/>
    <w:rsid w:val="008127BC"/>
    <w:rsid w:val="00814B61"/>
    <w:rsid w:val="008242BD"/>
    <w:rsid w:val="0082475F"/>
    <w:rsid w:val="00827333"/>
    <w:rsid w:val="00835A6F"/>
    <w:rsid w:val="00836F37"/>
    <w:rsid w:val="00837F17"/>
    <w:rsid w:val="0084113C"/>
    <w:rsid w:val="00847886"/>
    <w:rsid w:val="00847A63"/>
    <w:rsid w:val="008535A7"/>
    <w:rsid w:val="00860918"/>
    <w:rsid w:val="0086606A"/>
    <w:rsid w:val="008678ED"/>
    <w:rsid w:val="00873984"/>
    <w:rsid w:val="0088082F"/>
    <w:rsid w:val="008961C2"/>
    <w:rsid w:val="008962BA"/>
    <w:rsid w:val="00897E59"/>
    <w:rsid w:val="008A2DD2"/>
    <w:rsid w:val="008A2E71"/>
    <w:rsid w:val="008A3069"/>
    <w:rsid w:val="008A49C3"/>
    <w:rsid w:val="008B3504"/>
    <w:rsid w:val="008B7E15"/>
    <w:rsid w:val="008C3EDA"/>
    <w:rsid w:val="008E5F14"/>
    <w:rsid w:val="008E5F71"/>
    <w:rsid w:val="008E66D9"/>
    <w:rsid w:val="008F08FA"/>
    <w:rsid w:val="008F2E1B"/>
    <w:rsid w:val="008F773A"/>
    <w:rsid w:val="00904055"/>
    <w:rsid w:val="00907DBA"/>
    <w:rsid w:val="00914A4F"/>
    <w:rsid w:val="0091549B"/>
    <w:rsid w:val="009215F0"/>
    <w:rsid w:val="00922670"/>
    <w:rsid w:val="00935406"/>
    <w:rsid w:val="00945B8A"/>
    <w:rsid w:val="0095204F"/>
    <w:rsid w:val="0095404A"/>
    <w:rsid w:val="00973876"/>
    <w:rsid w:val="00980FDD"/>
    <w:rsid w:val="009812CC"/>
    <w:rsid w:val="00986C80"/>
    <w:rsid w:val="009951C7"/>
    <w:rsid w:val="009966C3"/>
    <w:rsid w:val="0099687E"/>
    <w:rsid w:val="009A13B4"/>
    <w:rsid w:val="009A300F"/>
    <w:rsid w:val="009B09CB"/>
    <w:rsid w:val="009B1404"/>
    <w:rsid w:val="009C1890"/>
    <w:rsid w:val="009C1E98"/>
    <w:rsid w:val="009E25E4"/>
    <w:rsid w:val="009F110C"/>
    <w:rsid w:val="009F31FF"/>
    <w:rsid w:val="009F64A3"/>
    <w:rsid w:val="00A1717E"/>
    <w:rsid w:val="00A21B84"/>
    <w:rsid w:val="00A255CB"/>
    <w:rsid w:val="00A26331"/>
    <w:rsid w:val="00A2746C"/>
    <w:rsid w:val="00A27F7F"/>
    <w:rsid w:val="00A447CB"/>
    <w:rsid w:val="00A44C95"/>
    <w:rsid w:val="00A464AD"/>
    <w:rsid w:val="00A46547"/>
    <w:rsid w:val="00A542B0"/>
    <w:rsid w:val="00A5557B"/>
    <w:rsid w:val="00A56B82"/>
    <w:rsid w:val="00A75672"/>
    <w:rsid w:val="00A8486E"/>
    <w:rsid w:val="00AA2DCB"/>
    <w:rsid w:val="00AA3DF7"/>
    <w:rsid w:val="00AA4435"/>
    <w:rsid w:val="00AA7CED"/>
    <w:rsid w:val="00AB1FC9"/>
    <w:rsid w:val="00AB4133"/>
    <w:rsid w:val="00AB46A2"/>
    <w:rsid w:val="00AD492B"/>
    <w:rsid w:val="00AD4E95"/>
    <w:rsid w:val="00AD5C1F"/>
    <w:rsid w:val="00AD5E18"/>
    <w:rsid w:val="00AD78F8"/>
    <w:rsid w:val="00AE08AF"/>
    <w:rsid w:val="00AE1937"/>
    <w:rsid w:val="00AE3118"/>
    <w:rsid w:val="00AE3591"/>
    <w:rsid w:val="00AE35CB"/>
    <w:rsid w:val="00AF7E56"/>
    <w:rsid w:val="00B04616"/>
    <w:rsid w:val="00B072C7"/>
    <w:rsid w:val="00B101AB"/>
    <w:rsid w:val="00B27E34"/>
    <w:rsid w:val="00B30B48"/>
    <w:rsid w:val="00B337E6"/>
    <w:rsid w:val="00B34441"/>
    <w:rsid w:val="00B34D79"/>
    <w:rsid w:val="00B35BB0"/>
    <w:rsid w:val="00B36B7A"/>
    <w:rsid w:val="00B438C1"/>
    <w:rsid w:val="00B528E4"/>
    <w:rsid w:val="00B559A4"/>
    <w:rsid w:val="00B63763"/>
    <w:rsid w:val="00B756D2"/>
    <w:rsid w:val="00B915FB"/>
    <w:rsid w:val="00B92DBA"/>
    <w:rsid w:val="00B97595"/>
    <w:rsid w:val="00BA2455"/>
    <w:rsid w:val="00BA2A59"/>
    <w:rsid w:val="00BA706B"/>
    <w:rsid w:val="00BA7DAE"/>
    <w:rsid w:val="00BB0513"/>
    <w:rsid w:val="00BB71D2"/>
    <w:rsid w:val="00BC0C02"/>
    <w:rsid w:val="00BD1027"/>
    <w:rsid w:val="00BD35CA"/>
    <w:rsid w:val="00BD385F"/>
    <w:rsid w:val="00BD39E2"/>
    <w:rsid w:val="00BD3CA0"/>
    <w:rsid w:val="00BE0B0E"/>
    <w:rsid w:val="00BE3F98"/>
    <w:rsid w:val="00BF1329"/>
    <w:rsid w:val="00BF72F5"/>
    <w:rsid w:val="00BF7605"/>
    <w:rsid w:val="00C04DE6"/>
    <w:rsid w:val="00C0677E"/>
    <w:rsid w:val="00C16421"/>
    <w:rsid w:val="00C22140"/>
    <w:rsid w:val="00C2658A"/>
    <w:rsid w:val="00C31237"/>
    <w:rsid w:val="00C35D5A"/>
    <w:rsid w:val="00C42D41"/>
    <w:rsid w:val="00C43B8F"/>
    <w:rsid w:val="00C43FAD"/>
    <w:rsid w:val="00C45F48"/>
    <w:rsid w:val="00C474C8"/>
    <w:rsid w:val="00C54D42"/>
    <w:rsid w:val="00C679AC"/>
    <w:rsid w:val="00C758D8"/>
    <w:rsid w:val="00C81D94"/>
    <w:rsid w:val="00C900AE"/>
    <w:rsid w:val="00C9570B"/>
    <w:rsid w:val="00CA1927"/>
    <w:rsid w:val="00CA3AB7"/>
    <w:rsid w:val="00CA51C8"/>
    <w:rsid w:val="00CB619E"/>
    <w:rsid w:val="00CD6231"/>
    <w:rsid w:val="00CE53AB"/>
    <w:rsid w:val="00D00CC8"/>
    <w:rsid w:val="00D22D66"/>
    <w:rsid w:val="00D250E5"/>
    <w:rsid w:val="00D253BE"/>
    <w:rsid w:val="00D26985"/>
    <w:rsid w:val="00D3529E"/>
    <w:rsid w:val="00D46F1D"/>
    <w:rsid w:val="00D53C06"/>
    <w:rsid w:val="00D60D26"/>
    <w:rsid w:val="00D60EB5"/>
    <w:rsid w:val="00D73891"/>
    <w:rsid w:val="00D749ED"/>
    <w:rsid w:val="00D81652"/>
    <w:rsid w:val="00D81CB9"/>
    <w:rsid w:val="00D90078"/>
    <w:rsid w:val="00D9528D"/>
    <w:rsid w:val="00DA3ED9"/>
    <w:rsid w:val="00DA4986"/>
    <w:rsid w:val="00DC10BE"/>
    <w:rsid w:val="00DD550E"/>
    <w:rsid w:val="00DD56EA"/>
    <w:rsid w:val="00DD694C"/>
    <w:rsid w:val="00DF0229"/>
    <w:rsid w:val="00DF3DAB"/>
    <w:rsid w:val="00DF4E14"/>
    <w:rsid w:val="00DF666A"/>
    <w:rsid w:val="00DF6EA3"/>
    <w:rsid w:val="00DF7946"/>
    <w:rsid w:val="00E1686F"/>
    <w:rsid w:val="00E21921"/>
    <w:rsid w:val="00E33DCF"/>
    <w:rsid w:val="00E373AD"/>
    <w:rsid w:val="00E4036C"/>
    <w:rsid w:val="00E418B3"/>
    <w:rsid w:val="00E52D55"/>
    <w:rsid w:val="00E56FB6"/>
    <w:rsid w:val="00E57815"/>
    <w:rsid w:val="00E62DD5"/>
    <w:rsid w:val="00E8551F"/>
    <w:rsid w:val="00E923DA"/>
    <w:rsid w:val="00E93DBA"/>
    <w:rsid w:val="00E9519E"/>
    <w:rsid w:val="00E96678"/>
    <w:rsid w:val="00E967AE"/>
    <w:rsid w:val="00EA3B73"/>
    <w:rsid w:val="00EB7CF2"/>
    <w:rsid w:val="00EE1047"/>
    <w:rsid w:val="00EF0176"/>
    <w:rsid w:val="00EF4463"/>
    <w:rsid w:val="00F10D01"/>
    <w:rsid w:val="00F11312"/>
    <w:rsid w:val="00F143A4"/>
    <w:rsid w:val="00F21D5B"/>
    <w:rsid w:val="00F2339E"/>
    <w:rsid w:val="00F266DE"/>
    <w:rsid w:val="00F33865"/>
    <w:rsid w:val="00F4018F"/>
    <w:rsid w:val="00F46585"/>
    <w:rsid w:val="00F465B9"/>
    <w:rsid w:val="00F50FA6"/>
    <w:rsid w:val="00F55084"/>
    <w:rsid w:val="00F62E99"/>
    <w:rsid w:val="00F65A3A"/>
    <w:rsid w:val="00F70A79"/>
    <w:rsid w:val="00F73820"/>
    <w:rsid w:val="00F75167"/>
    <w:rsid w:val="00F765AB"/>
    <w:rsid w:val="00F810F1"/>
    <w:rsid w:val="00F85661"/>
    <w:rsid w:val="00F938C1"/>
    <w:rsid w:val="00FA3307"/>
    <w:rsid w:val="00FB5B64"/>
    <w:rsid w:val="00FC2299"/>
    <w:rsid w:val="00FC7766"/>
    <w:rsid w:val="00FD2844"/>
    <w:rsid w:val="00FD4EFA"/>
    <w:rsid w:val="00FD55D6"/>
    <w:rsid w:val="00FD6815"/>
    <w:rsid w:val="00FD6B91"/>
    <w:rsid w:val="00FE01AF"/>
    <w:rsid w:val="00FE6C94"/>
    <w:rsid w:val="00FF48BF"/>
    <w:rsid w:val="00FF5684"/>
    <w:rsid w:val="01885582"/>
    <w:rsid w:val="02D3570F"/>
    <w:rsid w:val="035769A3"/>
    <w:rsid w:val="040D0C24"/>
    <w:rsid w:val="07F71875"/>
    <w:rsid w:val="0A0E7F26"/>
    <w:rsid w:val="0D7F514F"/>
    <w:rsid w:val="150E269C"/>
    <w:rsid w:val="166F5222"/>
    <w:rsid w:val="184A31E0"/>
    <w:rsid w:val="1E711A49"/>
    <w:rsid w:val="20A67D62"/>
    <w:rsid w:val="253E083A"/>
    <w:rsid w:val="2AA17567"/>
    <w:rsid w:val="2C8376D8"/>
    <w:rsid w:val="30A071CD"/>
    <w:rsid w:val="3100387E"/>
    <w:rsid w:val="32F41833"/>
    <w:rsid w:val="35D66C79"/>
    <w:rsid w:val="363F0E23"/>
    <w:rsid w:val="366F04F9"/>
    <w:rsid w:val="391F59BB"/>
    <w:rsid w:val="39707CB8"/>
    <w:rsid w:val="3EF33504"/>
    <w:rsid w:val="42385451"/>
    <w:rsid w:val="43712A92"/>
    <w:rsid w:val="482C3F1D"/>
    <w:rsid w:val="4AD420FB"/>
    <w:rsid w:val="4D9E3FA3"/>
    <w:rsid w:val="4E193658"/>
    <w:rsid w:val="52BD4306"/>
    <w:rsid w:val="52C935E2"/>
    <w:rsid w:val="5420452F"/>
    <w:rsid w:val="560D45D3"/>
    <w:rsid w:val="5BC14BBB"/>
    <w:rsid w:val="5C9D7268"/>
    <w:rsid w:val="5F97769F"/>
    <w:rsid w:val="615A37DE"/>
    <w:rsid w:val="633A0287"/>
    <w:rsid w:val="63B36E26"/>
    <w:rsid w:val="64B659E6"/>
    <w:rsid w:val="66AA38F8"/>
    <w:rsid w:val="694960C1"/>
    <w:rsid w:val="69F152C0"/>
    <w:rsid w:val="6D2A1A28"/>
    <w:rsid w:val="6E253618"/>
    <w:rsid w:val="6F9E5BF8"/>
    <w:rsid w:val="717A09B8"/>
    <w:rsid w:val="73CE5A0F"/>
    <w:rsid w:val="77785FC7"/>
    <w:rsid w:val="78EC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7543FC"/>
  <w15:docId w15:val="{92D9CF5E-9629-4CD4-A47A-5232510FC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1"/>
    </w:rPr>
  </w:style>
  <w:style w:type="paragraph" w:styleId="1">
    <w:name w:val="heading 1"/>
    <w:basedOn w:val="a"/>
    <w:next w:val="a"/>
    <w:link w:val="10"/>
    <w:uiPriority w:val="9"/>
    <w:qFormat/>
    <w:pPr>
      <w:keepNext/>
      <w:keepLines/>
      <w:spacing w:before="240" w:after="240" w:line="360" w:lineRule="auto"/>
      <w:outlineLvl w:val="0"/>
    </w:pPr>
    <w:rPr>
      <w:b/>
      <w:bCs/>
      <w:kern w:val="44"/>
      <w:sz w:val="28"/>
      <w:szCs w:val="44"/>
    </w:rPr>
  </w:style>
  <w:style w:type="paragraph" w:styleId="2">
    <w:name w:val="heading 2"/>
    <w:basedOn w:val="a"/>
    <w:next w:val="a"/>
    <w:link w:val="20"/>
    <w:uiPriority w:val="9"/>
    <w:qFormat/>
    <w:pPr>
      <w:keepNext/>
      <w:keepLines/>
      <w:spacing w:before="240" w:after="240" w:line="360" w:lineRule="auto"/>
      <w:outlineLvl w:val="1"/>
    </w:pPr>
    <w:rPr>
      <w:rFonts w:ascii="等线 Light" w:eastAsia="黑体" w:hAnsi="等线 Light"/>
      <w:bCs/>
      <w:sz w:val="24"/>
      <w:szCs w:val="32"/>
    </w:rPr>
  </w:style>
  <w:style w:type="paragraph" w:styleId="3">
    <w:name w:val="heading 3"/>
    <w:basedOn w:val="a"/>
    <w:next w:val="a"/>
    <w:link w:val="30"/>
    <w:uiPriority w:val="9"/>
    <w:unhideWhenUsed/>
    <w:qFormat/>
    <w:pPr>
      <w:keepNext/>
      <w:keepLines/>
      <w:spacing w:line="360" w:lineRule="auto"/>
      <w:outlineLvl w:val="2"/>
    </w:pPr>
    <w:rPr>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等线 Light" w:eastAsia="黑体" w:hAnsi="等线 Light"/>
      <w:sz w:val="20"/>
      <w:szCs w:val="20"/>
    </w:rPr>
  </w:style>
  <w:style w:type="paragraph" w:styleId="31">
    <w:name w:val="toc 3"/>
    <w:basedOn w:val="a"/>
    <w:next w:val="a"/>
    <w:autoRedefine/>
    <w:uiPriority w:val="39"/>
    <w:unhideWhenUsed/>
    <w:qFormat/>
    <w:pPr>
      <w:ind w:leftChars="400" w:left="840"/>
    </w:pPr>
  </w:style>
  <w:style w:type="paragraph" w:styleId="a4">
    <w:name w:val="Plain Text"/>
    <w:basedOn w:val="a"/>
    <w:uiPriority w:val="99"/>
    <w:qFormat/>
    <w:rPr>
      <w:rFonts w:ascii="宋体" w:hAnsi="Courier New" w:cs="宋体"/>
    </w:rPr>
  </w:style>
  <w:style w:type="paragraph" w:styleId="a5">
    <w:name w:val="Date"/>
    <w:basedOn w:val="a"/>
    <w:next w:val="a"/>
    <w:link w:val="a6"/>
    <w:qFormat/>
    <w:pPr>
      <w:ind w:leftChars="2500" w:left="100"/>
    </w:pPr>
    <w:rPr>
      <w:szCs w:val="24"/>
    </w:rPr>
  </w:style>
  <w:style w:type="paragraph" w:styleId="a7">
    <w:name w:val="Balloon Text"/>
    <w:basedOn w:val="a"/>
    <w:link w:val="a8"/>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autoRedefine/>
    <w:uiPriority w:val="39"/>
    <w:unhideWhenUsed/>
    <w:qFormat/>
    <w:pPr>
      <w:tabs>
        <w:tab w:val="right" w:leader="dot" w:pos="8538"/>
      </w:tabs>
      <w:spacing w:line="360" w:lineRule="auto"/>
    </w:pPr>
  </w:style>
  <w:style w:type="paragraph" w:styleId="21">
    <w:name w:val="toc 2"/>
    <w:basedOn w:val="a"/>
    <w:next w:val="a"/>
    <w:autoRedefine/>
    <w:uiPriority w:val="39"/>
    <w:unhideWhenUsed/>
    <w:qFormat/>
    <w:pPr>
      <w:ind w:leftChars="200" w:left="420"/>
    </w:pPr>
  </w:style>
  <w:style w:type="character" w:styleId="ad">
    <w:name w:val="Strong"/>
    <w:qFormat/>
    <w:rPr>
      <w:b/>
    </w:rPr>
  </w:style>
  <w:style w:type="character" w:styleId="ae">
    <w:name w:val="page number"/>
    <w:qFormat/>
  </w:style>
  <w:style w:type="character" w:styleId="af">
    <w:name w:val="Hyperlink"/>
    <w:uiPriority w:val="99"/>
    <w:unhideWhenUsed/>
    <w:qFormat/>
    <w:rPr>
      <w:color w:val="0563C1"/>
      <w:u w:val="single"/>
    </w:rPr>
  </w:style>
  <w:style w:type="character" w:customStyle="1" w:styleId="20">
    <w:name w:val="标题 2 字符"/>
    <w:link w:val="2"/>
    <w:uiPriority w:val="9"/>
    <w:qFormat/>
    <w:rPr>
      <w:rFonts w:ascii="等线 Light" w:eastAsia="黑体" w:hAnsi="等线 Light"/>
      <w:bCs/>
      <w:kern w:val="2"/>
      <w:sz w:val="24"/>
      <w:szCs w:val="32"/>
    </w:rPr>
  </w:style>
  <w:style w:type="character" w:customStyle="1" w:styleId="a6">
    <w:name w:val="日期 字符"/>
    <w:link w:val="a5"/>
    <w:qFormat/>
    <w:rPr>
      <w:rFonts w:ascii="Times New Roman" w:eastAsia="宋体" w:hAnsi="Times New Roman" w:cs="Times New Roman"/>
      <w:kern w:val="2"/>
      <w:sz w:val="21"/>
      <w:szCs w:val="24"/>
    </w:rPr>
  </w:style>
  <w:style w:type="character" w:customStyle="1" w:styleId="a8">
    <w:name w:val="批注框文本 字符"/>
    <w:link w:val="a7"/>
    <w:uiPriority w:val="99"/>
    <w:semiHidden/>
    <w:qFormat/>
    <w:rPr>
      <w:rFonts w:ascii="Times New Roman" w:eastAsia="宋体" w:hAnsi="Times New Roman" w:cs="Times New Roman"/>
      <w:kern w:val="2"/>
      <w:sz w:val="18"/>
      <w:szCs w:val="18"/>
    </w:rPr>
  </w:style>
  <w:style w:type="character" w:customStyle="1" w:styleId="aa">
    <w:name w:val="页脚 字符"/>
    <w:link w:val="a9"/>
    <w:uiPriority w:val="99"/>
    <w:qFormat/>
    <w:rPr>
      <w:rFonts w:ascii="Times New Roman" w:eastAsia="宋体" w:hAnsi="Times New Roman" w:cs="Times New Roman"/>
      <w:sz w:val="18"/>
      <w:szCs w:val="18"/>
    </w:rPr>
  </w:style>
  <w:style w:type="character" w:customStyle="1" w:styleId="ac">
    <w:name w:val="页眉 字符"/>
    <w:link w:val="ab"/>
    <w:qFormat/>
    <w:rPr>
      <w:rFonts w:ascii="Times New Roman" w:eastAsia="宋体" w:hAnsi="Times New Roman" w:cs="Times New Roman"/>
      <w:sz w:val="18"/>
      <w:szCs w:val="18"/>
    </w:rPr>
  </w:style>
  <w:style w:type="character" w:customStyle="1" w:styleId="fontstyle01">
    <w:name w:val="fontstyle01"/>
    <w:qFormat/>
    <w:rPr>
      <w:rFonts w:ascii="黑体" w:eastAsia="黑体" w:hAnsi="黑体" w:hint="eastAsia"/>
      <w:color w:val="000000"/>
      <w:sz w:val="32"/>
      <w:szCs w:val="32"/>
    </w:rPr>
  </w:style>
  <w:style w:type="character" w:customStyle="1" w:styleId="12">
    <w:name w:val="未处理的提及1"/>
    <w:uiPriority w:val="99"/>
    <w:unhideWhenUsed/>
    <w:qFormat/>
    <w:rPr>
      <w:color w:val="605E5C"/>
      <w:shd w:val="clear" w:color="auto" w:fill="E1DFDD"/>
    </w:rPr>
  </w:style>
  <w:style w:type="character" w:customStyle="1" w:styleId="Char">
    <w:name w:val="段 Char"/>
    <w:link w:val="af0"/>
    <w:qFormat/>
    <w:rPr>
      <w:rFonts w:ascii="宋体" w:eastAsia="宋体" w:hAnsi="Times New Roman" w:cs="Times New Roman"/>
      <w:kern w:val="0"/>
      <w:szCs w:val="20"/>
    </w:rPr>
  </w:style>
  <w:style w:type="paragraph" w:customStyle="1" w:styleId="af0">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fontstyle11">
    <w:name w:val="fontstyle11"/>
    <w:qFormat/>
    <w:rPr>
      <w:rFonts w:ascii="TimesNewRomanPSMT" w:hAnsi="TimesNewRomanPSMT" w:hint="default"/>
      <w:color w:val="000000"/>
      <w:sz w:val="22"/>
      <w:szCs w:val="22"/>
    </w:rPr>
  </w:style>
  <w:style w:type="character" w:customStyle="1" w:styleId="apple-style-span">
    <w:name w:val="apple-style-span"/>
    <w:semiHidden/>
    <w:qFormat/>
  </w:style>
  <w:style w:type="paragraph" w:styleId="af1">
    <w:name w:val="List Paragraph"/>
    <w:basedOn w:val="a"/>
    <w:uiPriority w:val="99"/>
    <w:qFormat/>
    <w:pPr>
      <w:ind w:firstLineChars="200" w:firstLine="420"/>
    </w:pPr>
  </w:style>
  <w:style w:type="paragraph" w:customStyle="1" w:styleId="Char1CharCharCharCharCharCharCharCharChar">
    <w:name w:val="Char1 Char Char Char Char Char Char Char Char Char"/>
    <w:basedOn w:val="a"/>
    <w:qFormat/>
    <w:pPr>
      <w:spacing w:line="360" w:lineRule="auto"/>
    </w:pPr>
    <w:rPr>
      <w:rFonts w:ascii="Tahoma" w:hAnsi="Tahoma"/>
      <w:sz w:val="24"/>
      <w:szCs w:val="20"/>
    </w:rPr>
  </w:style>
  <w:style w:type="paragraph" w:customStyle="1" w:styleId="af2">
    <w:name w:val="图标标题"/>
    <w:basedOn w:val="a3"/>
    <w:qFormat/>
    <w:pPr>
      <w:jc w:val="center"/>
    </w:pPr>
    <w:rPr>
      <w:sz w:val="21"/>
    </w:rPr>
  </w:style>
  <w:style w:type="paragraph" w:customStyle="1" w:styleId="13">
    <w:name w:val="修订1"/>
    <w:uiPriority w:val="99"/>
    <w:unhideWhenUsed/>
    <w:qFormat/>
    <w:rPr>
      <w:kern w:val="2"/>
      <w:sz w:val="21"/>
      <w:szCs w:val="21"/>
    </w:rPr>
  </w:style>
  <w:style w:type="paragraph" w:customStyle="1" w:styleId="EndNoteBibliography">
    <w:name w:val="EndNote Bibliography"/>
    <w:basedOn w:val="a"/>
    <w:link w:val="EndNoteBibliography0"/>
    <w:qFormat/>
    <w:rPr>
      <w:rFonts w:eastAsia="等线"/>
      <w:sz w:val="20"/>
      <w:szCs w:val="22"/>
    </w:rPr>
  </w:style>
  <w:style w:type="character" w:customStyle="1" w:styleId="EndNoteBibliography0">
    <w:name w:val="EndNote Bibliography 字符"/>
    <w:link w:val="EndNoteBibliography"/>
    <w:qFormat/>
    <w:rPr>
      <w:rFonts w:eastAsia="等线"/>
      <w:kern w:val="2"/>
      <w:szCs w:val="22"/>
    </w:rPr>
  </w:style>
  <w:style w:type="paragraph" w:customStyle="1" w:styleId="EndNoteBibliographyTitle">
    <w:name w:val="EndNote Bibliography Title"/>
    <w:basedOn w:val="a"/>
    <w:link w:val="EndNoteBibliographyTitle0"/>
    <w:qFormat/>
    <w:pPr>
      <w:jc w:val="center"/>
    </w:pPr>
    <w:rPr>
      <w:sz w:val="20"/>
    </w:rPr>
  </w:style>
  <w:style w:type="character" w:customStyle="1" w:styleId="EndNoteBibliographyTitle0">
    <w:name w:val="EndNote Bibliography Title 字符"/>
    <w:link w:val="EndNoteBibliographyTitle"/>
    <w:qFormat/>
    <w:rPr>
      <w:kern w:val="2"/>
      <w:szCs w:val="21"/>
      <w:lang w:val="en-US" w:eastAsia="zh-CN"/>
    </w:rPr>
  </w:style>
  <w:style w:type="character" w:customStyle="1" w:styleId="10">
    <w:name w:val="标题 1 字符"/>
    <w:link w:val="1"/>
    <w:uiPriority w:val="9"/>
    <w:qFormat/>
    <w:rPr>
      <w:b/>
      <w:bCs/>
      <w:kern w:val="44"/>
      <w:sz w:val="28"/>
      <w:szCs w:val="44"/>
    </w:rPr>
  </w:style>
  <w:style w:type="paragraph" w:customStyle="1" w:styleId="TOC1">
    <w:name w:val="TOC 标题1"/>
    <w:basedOn w:val="1"/>
    <w:next w:val="a"/>
    <w:uiPriority w:val="39"/>
    <w:unhideWhenUsed/>
    <w:qFormat/>
    <w:pPr>
      <w:widowControl/>
      <w:spacing w:after="0" w:line="259" w:lineRule="auto"/>
      <w:jc w:val="left"/>
      <w:outlineLvl w:val="9"/>
    </w:pPr>
    <w:rPr>
      <w:rFonts w:ascii="等线 Light" w:eastAsia="等线 Light" w:hAnsi="等线 Light"/>
      <w:b w:val="0"/>
      <w:bCs w:val="0"/>
      <w:color w:val="2F5496"/>
      <w:kern w:val="0"/>
      <w:sz w:val="32"/>
      <w:szCs w:val="32"/>
    </w:rPr>
  </w:style>
  <w:style w:type="character" w:customStyle="1" w:styleId="30">
    <w:name w:val="标题 3 字符"/>
    <w:link w:val="3"/>
    <w:uiPriority w:val="9"/>
    <w:qFormat/>
    <w:rPr>
      <w:b/>
      <w:bCs/>
      <w:kern w:val="2"/>
      <w:sz w:val="24"/>
      <w:szCs w:val="32"/>
    </w:rPr>
  </w:style>
  <w:style w:type="character" w:customStyle="1" w:styleId="Char0">
    <w:name w:val="标准文件_段 Char"/>
    <w:link w:val="af3"/>
    <w:qFormat/>
    <w:locked/>
    <w:rPr>
      <w:rFonts w:ascii="宋体"/>
      <w:sz w:val="21"/>
    </w:rPr>
  </w:style>
  <w:style w:type="paragraph" w:customStyle="1" w:styleId="af3">
    <w:name w:val="标准文件_段"/>
    <w:link w:val="Char0"/>
    <w:qFormat/>
    <w:pPr>
      <w:autoSpaceDE w:val="0"/>
      <w:autoSpaceDN w:val="0"/>
      <w:ind w:firstLineChars="200" w:firstLine="20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27374-CE26-47FC-ACB2-C4F18DA9D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604</Words>
  <Characters>3443</Characters>
  <Application>Microsoft Office Word</Application>
  <DocSecurity>0</DocSecurity>
  <Lines>28</Lines>
  <Paragraphs>8</Paragraphs>
  <ScaleCrop>false</ScaleCrop>
  <Company>Lenovo</Company>
  <LinksUpToDate>false</LinksUpToDate>
  <CharactersWithSpaces>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Wenjin Li</cp:lastModifiedBy>
  <cp:revision>8</cp:revision>
  <cp:lastPrinted>2021-10-27T07:09:00Z</cp:lastPrinted>
  <dcterms:created xsi:type="dcterms:W3CDTF">2025-12-17T06:59:00Z</dcterms:created>
  <dcterms:modified xsi:type="dcterms:W3CDTF">2026-05-14T06:48:00Z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0164C61E9A584AA8BACD73A33D638515_13</vt:lpwstr>
  </property>
  <property fmtid="{D5CDD505-2E9C-101B-9397-08002B2CF9AE}" pid="4" name="KSOTemplateDocerSaveRecord">
    <vt:lpwstr>eyJoZGlkIjoiZmM0MjJlMDJkOThkNDMyYmIyMTA0M2MyYWNkYWUyMTIiLCJ1c2VySWQiOiI2Mzc3NDk1NzMifQ==</vt:lpwstr>
  </property>
</Properties>
</file>