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10.png" ContentType="image/png"/>
  <Override PartName="/word/media/image7.png" ContentType="image/png"/>
  <Override PartName="/word/media/image11.png" ContentType="image/png"/>
  <Override PartName="/word/media/image8.png" ContentType="image/png"/>
  <Override PartName="/word/media/image12.png" ContentType="image/png"/>
  <Override PartName="/word/media/image9.png" ContentType="image/png"/>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rPr>
          <w:bCs/>
          <w:color w:val="C00000"/>
          <w:sz w:val="36"/>
          <w:szCs w:val="36"/>
        </w:rPr>
      </w:pPr>
      <w:r>
        <w:rPr>
          <w:bCs/>
          <w:color w:val="C00000"/>
          <w:sz w:val="36"/>
          <w:szCs w:val="36"/>
        </w:rPr>
      </w:r>
      <w:bookmarkStart w:id="0" w:name="_Hlk528261495"/>
      <w:bookmarkStart w:id="1" w:name="_Hlk528261495"/>
      <w:bookmarkEnd w:id="1"/>
    </w:p>
    <w:p>
      <w:pPr>
        <w:pStyle w:val="Normal"/>
        <w:spacing w:lineRule="auto" w:line="360"/>
        <w:rPr>
          <w:bCs/>
          <w:color w:val="C00000"/>
          <w:sz w:val="36"/>
          <w:szCs w:val="36"/>
        </w:rPr>
      </w:pPr>
      <w:r>
        <w:rPr>
          <w:bCs/>
          <w:color w:val="C00000"/>
          <w:sz w:val="36"/>
          <w:szCs w:val="36"/>
        </w:rPr>
      </w:r>
    </w:p>
    <w:p>
      <w:pPr>
        <w:pStyle w:val="Normal"/>
        <w:spacing w:lineRule="auto" w:line="360"/>
        <w:rPr>
          <w:bCs/>
          <w:color w:val="C00000"/>
          <w:sz w:val="48"/>
          <w:szCs w:val="48"/>
        </w:rPr>
      </w:pPr>
      <w:r>
        <w:rPr>
          <w:bCs/>
          <w:color w:val="C00000"/>
          <w:sz w:val="48"/>
          <w:szCs w:val="48"/>
        </w:rPr>
      </w:r>
    </w:p>
    <w:p>
      <w:pPr>
        <w:pStyle w:val="Normal"/>
        <w:spacing w:lineRule="auto" w:line="360"/>
        <w:rPr>
          <w:bCs/>
          <w:color w:val="C00000"/>
          <w:sz w:val="48"/>
          <w:szCs w:val="48"/>
        </w:rPr>
      </w:pPr>
      <w:r>
        <w:rPr>
          <w:bCs/>
          <w:color w:val="C00000"/>
          <w:sz w:val="48"/>
          <w:szCs w:val="48"/>
        </w:rPr>
      </w:r>
    </w:p>
    <w:p>
      <w:pPr>
        <w:pStyle w:val="Normal"/>
        <w:jc w:val="center"/>
        <w:rPr>
          <w:sz w:val="52"/>
          <w:szCs w:val="52"/>
        </w:rPr>
      </w:pPr>
      <w:r>
        <w:rPr>
          <w:sz w:val="52"/>
          <w:szCs w:val="52"/>
        </w:rPr>
        <w:t>团</w:t>
      </w:r>
      <w:r>
        <w:rPr>
          <w:rFonts w:eastAsia="Times New Roman"/>
          <w:sz w:val="52"/>
          <w:szCs w:val="52"/>
        </w:rPr>
        <w:t xml:space="preserve"> </w:t>
      </w:r>
      <w:r>
        <w:rPr>
          <w:sz w:val="52"/>
          <w:szCs w:val="52"/>
        </w:rPr>
        <w:t>体</w:t>
      </w:r>
      <w:r>
        <w:rPr>
          <w:rFonts w:eastAsia="Times New Roman"/>
          <w:sz w:val="52"/>
          <w:szCs w:val="52"/>
        </w:rPr>
        <w:t xml:space="preserve"> </w:t>
      </w:r>
      <w:r>
        <w:rPr>
          <w:sz w:val="52"/>
          <w:szCs w:val="52"/>
        </w:rPr>
        <w:t>标</w:t>
      </w:r>
      <w:r>
        <w:rPr>
          <w:rFonts w:eastAsia="Times New Roman"/>
          <w:sz w:val="52"/>
          <w:szCs w:val="52"/>
        </w:rPr>
        <w:t xml:space="preserve"> </w:t>
      </w:r>
      <w:r>
        <w:rPr>
          <w:sz w:val="52"/>
          <w:szCs w:val="52"/>
        </w:rPr>
        <w:t>准</w:t>
      </w:r>
    </w:p>
    <w:p>
      <w:pPr>
        <w:pStyle w:val="Normal"/>
        <w:rPr>
          <w:rFonts w:ascii="黑体;SimHei" w:hAnsi="黑体;SimHei" w:eastAsia="黑体;SimHei" w:cs="黑体;SimHei"/>
          <w:sz w:val="48"/>
          <w:szCs w:val="48"/>
        </w:rPr>
      </w:pPr>
      <w:r>
        <w:rPr>
          <w:rFonts w:eastAsia="黑体;SimHei" w:cs="黑体;SimHei" w:ascii="黑体;SimHei" w:hAnsi="黑体;SimHei"/>
          <w:sz w:val="48"/>
          <w:szCs w:val="48"/>
        </w:rPr>
      </w:r>
    </w:p>
    <w:p>
      <w:pPr>
        <w:pStyle w:val="Normal"/>
        <w:spacing w:lineRule="auto" w:line="480" w:before="312" w:after="312"/>
        <w:ind w:hanging="141" w:right="-382"/>
        <w:jc w:val="center"/>
        <w:rPr>
          <w:rFonts w:ascii="黑体;SimHei" w:hAnsi="黑体;SimHei" w:eastAsia="黑体;SimHei" w:cs="黑体;SimHei"/>
          <w:sz w:val="44"/>
          <w:szCs w:val="44"/>
        </w:rPr>
      </w:pPr>
      <w:r>
        <w:rPr>
          <w:rFonts w:ascii="黑体;SimHei" w:hAnsi="黑体;SimHei" w:cs="黑体;SimHei" w:eastAsia="黑体;SimHei"/>
          <w:sz w:val="44"/>
          <w:szCs w:val="44"/>
        </w:rPr>
        <w:t>《</w:t>
      </w:r>
      <w:r>
        <w:rPr>
          <w:rFonts w:ascii="黑体;SimHei" w:hAnsi="黑体;SimHei" w:cs="黑体;SimHei" w:eastAsia="黑体;SimHei"/>
          <w:sz w:val="44"/>
          <w:szCs w:val="44"/>
        </w:rPr>
        <w:t>陇东典型草原放牧系统滩羊补饲技术规程</w:t>
      </w:r>
      <w:r>
        <w:rPr>
          <w:rFonts w:ascii="黑体;SimHei" w:hAnsi="黑体;SimHei" w:cs="黑体;SimHei" w:eastAsia="黑体;SimHei"/>
          <w:sz w:val="44"/>
          <w:szCs w:val="44"/>
        </w:rPr>
        <w:t>》</w:t>
      </w:r>
    </w:p>
    <w:p>
      <w:pPr>
        <w:pStyle w:val="Normal"/>
        <w:spacing w:lineRule="auto" w:line="480" w:before="312" w:after="312"/>
        <w:ind w:left="-67" w:right="0"/>
        <w:jc w:val="center"/>
        <w:rPr>
          <w:rFonts w:ascii="黑体;SimHei" w:hAnsi="黑体;SimHei" w:eastAsia="黑体;SimHei" w:cs="黑体;SimHei"/>
          <w:sz w:val="44"/>
          <w:szCs w:val="44"/>
        </w:rPr>
      </w:pPr>
      <w:r>
        <w:rPr>
          <w:rFonts w:ascii="黑体;SimHei" w:hAnsi="黑体;SimHei" w:cs="黑体;SimHei" w:eastAsia="黑体;SimHei"/>
          <w:sz w:val="44"/>
          <w:szCs w:val="44"/>
        </w:rPr>
        <w:t>编制说明</w:t>
      </w:r>
    </w:p>
    <w:p>
      <w:pPr>
        <w:pStyle w:val="Normal"/>
        <w:spacing w:lineRule="auto" w:line="360"/>
        <w:rPr>
          <w:rFonts w:ascii="黑体;SimHei" w:hAnsi="黑体;SimHei" w:eastAsia="黑体;SimHei" w:cs="黑体;SimHei"/>
          <w:bCs/>
          <w:sz w:val="36"/>
          <w:szCs w:val="36"/>
        </w:rPr>
      </w:pPr>
      <w:r>
        <w:rPr>
          <w:rFonts w:eastAsia="黑体;SimHei" w:cs="黑体;SimHei" w:ascii="黑体;SimHei" w:hAnsi="黑体;SimHei"/>
          <w:bCs/>
          <w:sz w:val="36"/>
          <w:szCs w:val="36"/>
        </w:rPr>
      </w:r>
    </w:p>
    <w:p>
      <w:pPr>
        <w:pStyle w:val="Normal"/>
        <w:spacing w:lineRule="auto" w:line="360"/>
        <w:rPr>
          <w:bCs/>
          <w:sz w:val="36"/>
          <w:szCs w:val="36"/>
        </w:rPr>
      </w:pPr>
      <w:r>
        <w:rPr>
          <w:bCs/>
          <w:sz w:val="36"/>
          <w:szCs w:val="36"/>
        </w:rPr>
      </w:r>
    </w:p>
    <w:p>
      <w:pPr>
        <w:pStyle w:val="Normal"/>
        <w:spacing w:lineRule="auto" w:line="360"/>
        <w:rPr>
          <w:bCs/>
          <w:sz w:val="36"/>
          <w:szCs w:val="36"/>
        </w:rPr>
      </w:pPr>
      <w:r>
        <w:rPr>
          <w:bCs/>
          <w:sz w:val="36"/>
          <w:szCs w:val="36"/>
        </w:rPr>
      </w:r>
    </w:p>
    <w:p>
      <w:pPr>
        <w:pStyle w:val="Normal"/>
        <w:spacing w:lineRule="auto" w:line="360"/>
        <w:rPr>
          <w:bCs/>
          <w:sz w:val="36"/>
          <w:szCs w:val="36"/>
        </w:rPr>
      </w:pPr>
      <w:r>
        <w:rPr>
          <w:bCs/>
          <w:sz w:val="36"/>
          <w:szCs w:val="36"/>
        </w:rPr>
      </w:r>
    </w:p>
    <w:p>
      <w:pPr>
        <w:pStyle w:val="Normal"/>
        <w:spacing w:lineRule="auto" w:line="360"/>
        <w:rPr>
          <w:bCs/>
          <w:sz w:val="36"/>
          <w:szCs w:val="36"/>
        </w:rPr>
      </w:pPr>
      <w:r>
        <w:rPr>
          <w:bCs/>
          <w:sz w:val="36"/>
          <w:szCs w:val="36"/>
        </w:rPr>
      </w:r>
    </w:p>
    <w:p>
      <w:pPr>
        <w:pStyle w:val="Normal"/>
        <w:spacing w:lineRule="auto" w:line="360"/>
        <w:rPr>
          <w:bCs/>
          <w:sz w:val="36"/>
          <w:szCs w:val="36"/>
        </w:rPr>
      </w:pPr>
      <w:r>
        <w:rPr>
          <w:bCs/>
          <w:sz w:val="36"/>
          <w:szCs w:val="36"/>
        </w:rPr>
      </w:r>
    </w:p>
    <w:p>
      <w:pPr>
        <w:pStyle w:val="Normal"/>
        <w:widowControl/>
        <w:rPr>
          <w:bCs/>
          <w:sz w:val="44"/>
          <w:szCs w:val="44"/>
        </w:rPr>
      </w:pPr>
      <w:r>
        <w:rPr>
          <w:bCs/>
          <w:sz w:val="44"/>
          <w:szCs w:val="44"/>
        </w:rPr>
      </w:r>
    </w:p>
    <w:p>
      <w:pPr>
        <w:pStyle w:val="Normal"/>
        <w:widowControl/>
        <w:rPr>
          <w:bCs/>
          <w:sz w:val="44"/>
          <w:szCs w:val="44"/>
        </w:rPr>
      </w:pPr>
      <w:r>
        <w:rPr>
          <w:bCs/>
          <w:sz w:val="44"/>
          <w:szCs w:val="44"/>
        </w:rPr>
      </w:r>
    </w:p>
    <w:p>
      <w:pPr>
        <w:pStyle w:val="Normal"/>
        <w:ind w:hanging="90" w:left="-51" w:right="-382"/>
        <w:jc w:val="center"/>
        <w:rPr/>
      </w:pPr>
      <w:r>
        <w:rPr>
          <w:rFonts w:ascii="黑体;SimHei" w:hAnsi="黑体;SimHei" w:cs="黑体;SimHei" w:eastAsia="黑体;SimHei"/>
          <w:bCs/>
          <w:sz w:val="28"/>
          <w:szCs w:val="28"/>
        </w:rPr>
        <w:t>《</w:t>
      </w:r>
      <w:r>
        <w:rPr>
          <w:rFonts w:ascii="黑体;SimHei" w:hAnsi="黑体;SimHei" w:cs="黑体;SimHei" w:eastAsia="黑体;SimHei"/>
          <w:bCs/>
          <w:sz w:val="28"/>
          <w:szCs w:val="28"/>
        </w:rPr>
        <w:t>陇东典型草原放牧系统滩羊补饲技术规程</w:t>
      </w:r>
      <w:r>
        <w:rPr>
          <w:rFonts w:ascii="黑体;SimHei" w:hAnsi="黑体;SimHei" w:cs="黑体;SimHei" w:eastAsia="黑体;SimHei"/>
          <w:bCs/>
          <w:sz w:val="28"/>
          <w:szCs w:val="28"/>
        </w:rPr>
        <w:t>》团标制定组</w:t>
      </w:r>
    </w:p>
    <w:p>
      <w:pPr>
        <w:pStyle w:val="Normal"/>
        <w:widowControl/>
        <w:jc w:val="center"/>
        <w:rPr>
          <w:rFonts w:ascii="黑体;SimHei" w:hAnsi="黑体;SimHei" w:eastAsia="黑体;SimHei" w:cs="黑体;SimHei"/>
          <w:bCs/>
          <w:sz w:val="28"/>
          <w:szCs w:val="28"/>
        </w:rPr>
      </w:pPr>
      <w:r>
        <w:rPr>
          <w:rFonts w:ascii="黑体;SimHei" w:hAnsi="黑体;SimHei" w:cs="黑体;SimHei" w:eastAsia="黑体;SimHei"/>
          <w:bCs/>
          <w:sz w:val="28"/>
          <w:szCs w:val="28"/>
        </w:rPr>
        <w:t>二</w:t>
      </w:r>
      <w:r>
        <w:rPr>
          <w:rFonts w:ascii="黑体;SimHei" w:hAnsi="黑体;SimHei" w:cs="黑体;SimHei" w:eastAsia="黑体;SimHei"/>
          <w:sz w:val="28"/>
          <w:szCs w:val="28"/>
        </w:rPr>
        <w:t>〇</w:t>
      </w:r>
      <w:r>
        <w:rPr>
          <w:rFonts w:ascii="黑体;SimHei" w:hAnsi="黑体;SimHei" w:cs="黑体;SimHei" w:eastAsia="黑体;SimHei"/>
          <w:sz w:val="28"/>
          <w:szCs w:val="28"/>
        </w:rPr>
        <w:t>二</w:t>
      </w:r>
      <w:r>
        <w:rPr>
          <w:rFonts w:ascii="黑体;SimHei" w:hAnsi="黑体;SimHei" w:cs="黑体;SimHei" w:eastAsia="黑体;SimHei"/>
          <w:bCs/>
          <w:sz w:val="28"/>
          <w:szCs w:val="28"/>
        </w:rPr>
        <w:t>六</w:t>
      </w:r>
      <w:r>
        <w:rPr>
          <w:rFonts w:ascii="黑体;SimHei" w:hAnsi="黑体;SimHei" w:cs="黑体;SimHei" w:eastAsia="黑体;SimHei"/>
          <w:bCs/>
          <w:sz w:val="28"/>
          <w:szCs w:val="28"/>
        </w:rPr>
        <w:t>年</w:t>
      </w:r>
      <w:r>
        <w:rPr>
          <w:rFonts w:ascii="黑体;SimHei" w:hAnsi="黑体;SimHei" w:cs="黑体;SimHei" w:eastAsia="黑体;SimHei"/>
          <w:bCs/>
          <w:sz w:val="28"/>
          <w:szCs w:val="28"/>
        </w:rPr>
        <w:t>五</w:t>
      </w:r>
      <w:r>
        <w:rPr>
          <w:rFonts w:ascii="黑体;SimHei" w:hAnsi="黑体;SimHei" w:cs="黑体;SimHei" w:eastAsia="黑体;SimHei"/>
          <w:bCs/>
          <w:sz w:val="28"/>
          <w:szCs w:val="28"/>
        </w:rPr>
        <w:t>月</w:t>
      </w:r>
      <w:r>
        <w:br w:type="page"/>
      </w:r>
    </w:p>
    <w:p>
      <w:pPr>
        <w:pStyle w:val="Style20"/>
        <w:spacing w:lineRule="exact" w:line="420" w:before="312" w:after="312"/>
        <w:jc w:val="center"/>
        <w:rPr/>
      </w:pPr>
      <w:bookmarkStart w:id="2" w:name="_Hlk528261495"/>
      <w:bookmarkEnd w:id="2"/>
      <w:r>
        <w:rPr/>
        <w:t>目</w:t>
      </w:r>
      <w:r>
        <w:rPr>
          <w:rFonts w:eastAsia="Times New Roman"/>
        </w:rPr>
        <w:t xml:space="preserve">  </w:t>
      </w:r>
      <w:r>
        <w:rPr/>
        <w:t>次</w:t>
      </w:r>
    </w:p>
    <w:sdt>
      <w:sdtPr>
        <w:docPartObj>
          <w:docPartGallery w:val="Table of Contents"/>
          <w:docPartUnique w:val="true"/>
        </w:docPartObj>
      </w:sdtPr>
      <w:sdtContent>
        <w:p>
          <w:pPr>
            <w:pStyle w:val="TOC1"/>
            <w:tabs>
              <w:tab w:val="clear" w:pos="420"/>
              <w:tab w:val="right" w:pos="8540" w:leader="dot"/>
            </w:tabs>
            <w:rPr>
              <w:rFonts w:ascii="等线;DengXian" w:hAnsi="等线;DengXian" w:eastAsia="等线;DengXian" w:cs="等线;DengXian"/>
              <w:sz w:val="22"/>
              <w:szCs w:val="24"/>
              <w:lang w:val="en-US" w:eastAsia="en-US"/>
            </w:rPr>
          </w:pPr>
          <w:r>
            <w:fldChar w:fldCharType="begin"/>
          </w:r>
          <w:r>
            <w:rPr>
              <w:rStyle w:val="IndexLink"/>
              <w:rFonts w:ascii="宋体;SimSun" w:hAnsi="宋体;SimSun" w:cs="宋体;SimSun"/>
              <w:lang w:val="en-US" w:eastAsia="en-US"/>
            </w:rPr>
            <w:instrText xml:space="preserve"> TOC \o "1-3" \h \z \u </w:instrText>
          </w:r>
          <w:r>
            <w:rPr>
              <w:rStyle w:val="IndexLink"/>
              <w:rFonts w:ascii="宋体;SimSun" w:hAnsi="宋体;SimSun" w:cs="宋体;SimSun"/>
              <w:lang w:val="en-US" w:eastAsia="en-US"/>
            </w:rPr>
            <w:fldChar w:fldCharType="separate"/>
          </w:r>
          <w:hyperlink w:anchor="__RefHeading___Toc229433182">
            <w:r>
              <w:rPr>
                <w:rStyle w:val="IndexLink"/>
                <w:rFonts w:ascii="宋体;SimSun" w:hAnsi="宋体;SimSun" w:cs="宋体;SimSun"/>
                <w:lang w:val="en-US" w:eastAsia="en-US"/>
              </w:rPr>
              <w:t>一、任务来源及标准制定背景</w:t>
            </w:r>
            <w:r>
              <w:rPr>
                <w:rStyle w:val="IndexLink"/>
                <w:lang w:val="en-US" w:eastAsia="en-US"/>
              </w:rPr>
              <w:tab/>
            </w:r>
            <w:r>
              <w:rPr>
                <w:rStyle w:val="IndexLink"/>
                <w:lang w:val="en-US" w:eastAsia="en-US"/>
              </w:rPr>
              <w:t>3</w:t>
            </w:r>
          </w:hyperlink>
        </w:p>
        <w:p>
          <w:pPr>
            <w:pStyle w:val="TOC2"/>
            <w:tabs>
              <w:tab w:val="clear" w:pos="420"/>
              <w:tab w:val="right" w:pos="8540" w:leader="dot"/>
            </w:tabs>
            <w:rPr>
              <w:rFonts w:ascii="等线;DengXian" w:hAnsi="等线;DengXian" w:eastAsia="等线;DengXian" w:cs="等线;DengXian"/>
              <w:sz w:val="22"/>
              <w:szCs w:val="24"/>
              <w:lang w:val="en-US" w:eastAsia="en-US"/>
            </w:rPr>
          </w:pPr>
          <w:hyperlink w:anchor="__RefHeading___Toc229433183">
            <w:r>
              <w:rPr>
                <w:rStyle w:val="IndexLink"/>
                <w:lang w:val="en-US" w:eastAsia="en-US"/>
              </w:rPr>
              <w:t>1</w:t>
            </w:r>
            <w:r>
              <w:rPr>
                <w:rStyle w:val="IndexLink"/>
                <w:lang w:val="en-US" w:eastAsia="en-US"/>
              </w:rPr>
              <w:t>、任务来源</w:t>
            </w:r>
            <w:r>
              <w:rPr>
                <w:rStyle w:val="IndexLink"/>
                <w:lang w:val="en-US" w:eastAsia="en-US"/>
              </w:rPr>
              <w:tab/>
            </w:r>
            <w:r>
              <w:rPr>
                <w:rStyle w:val="IndexLink"/>
                <w:lang w:val="en-US" w:eastAsia="en-US"/>
              </w:rPr>
              <w:t>3</w:t>
            </w:r>
          </w:hyperlink>
        </w:p>
        <w:p>
          <w:pPr>
            <w:pStyle w:val="TOC2"/>
            <w:tabs>
              <w:tab w:val="clear" w:pos="420"/>
              <w:tab w:val="right" w:pos="8540" w:leader="dot"/>
            </w:tabs>
            <w:rPr>
              <w:rFonts w:ascii="等线;DengXian" w:hAnsi="等线;DengXian" w:eastAsia="等线;DengXian" w:cs="等线;DengXian"/>
              <w:sz w:val="22"/>
              <w:szCs w:val="24"/>
              <w:lang w:val="en-US" w:eastAsia="en-US"/>
            </w:rPr>
          </w:pPr>
          <w:hyperlink w:anchor="__RefHeading___Toc229433184">
            <w:r>
              <w:rPr>
                <w:rStyle w:val="IndexLink"/>
                <w:lang w:val="en-US" w:eastAsia="en-US"/>
              </w:rPr>
              <w:t>2</w:t>
            </w:r>
            <w:r>
              <w:rPr>
                <w:rStyle w:val="IndexLink"/>
                <w:lang w:val="en-US" w:eastAsia="en-US"/>
              </w:rPr>
              <w:t>、标准制定背景</w:t>
            </w:r>
            <w:r>
              <w:rPr>
                <w:rStyle w:val="IndexLink"/>
                <w:lang w:val="en-US" w:eastAsia="en-US"/>
              </w:rPr>
              <w:tab/>
            </w:r>
            <w:r>
              <w:rPr>
                <w:rStyle w:val="IndexLink"/>
                <w:lang w:val="en-US" w:eastAsia="en-US"/>
              </w:rPr>
              <w:t>3</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85">
            <w:r>
              <w:rPr>
                <w:rStyle w:val="IndexLink"/>
                <w:rFonts w:ascii="宋体;SimSun" w:hAnsi="宋体;SimSun" w:cs="宋体;SimSun"/>
                <w:lang w:val="en-US" w:eastAsia="en-US"/>
              </w:rPr>
              <w:t>二、主要工作过程</w:t>
            </w:r>
            <w:r>
              <w:rPr>
                <w:rStyle w:val="IndexLink"/>
                <w:lang w:val="en-US" w:eastAsia="en-US"/>
              </w:rPr>
              <w:tab/>
            </w:r>
            <w:r>
              <w:rPr>
                <w:rStyle w:val="IndexLink"/>
                <w:lang w:val="en-US" w:eastAsia="en-US"/>
              </w:rPr>
              <w:t>5</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86">
            <w:r>
              <w:rPr>
                <w:rStyle w:val="IndexLink"/>
                <w:rFonts w:ascii="宋体;SimSun" w:hAnsi="宋体;SimSun" w:cs="宋体;SimSun"/>
                <w:lang w:val="en-US" w:eastAsia="en-US"/>
              </w:rPr>
              <w:t>三、标准编制原则和主要技术内容确定的依据</w:t>
            </w:r>
            <w:r>
              <w:rPr>
                <w:rStyle w:val="IndexLink"/>
                <w:lang w:val="en-US" w:eastAsia="en-US"/>
              </w:rPr>
              <w:tab/>
            </w:r>
            <w:r>
              <w:rPr>
                <w:rStyle w:val="IndexLink"/>
                <w:lang w:val="en-US" w:eastAsia="en-US"/>
              </w:rPr>
              <w:t>5</w:t>
            </w:r>
          </w:hyperlink>
        </w:p>
        <w:p>
          <w:pPr>
            <w:pStyle w:val="TOC2"/>
            <w:tabs>
              <w:tab w:val="clear" w:pos="420"/>
              <w:tab w:val="right" w:pos="8540" w:leader="dot"/>
            </w:tabs>
            <w:rPr>
              <w:rFonts w:ascii="等线;DengXian" w:hAnsi="等线;DengXian" w:eastAsia="等线;DengXian" w:cs="等线;DengXian"/>
              <w:sz w:val="22"/>
              <w:szCs w:val="24"/>
              <w:lang w:val="en-US" w:eastAsia="en-US"/>
            </w:rPr>
          </w:pPr>
          <w:hyperlink w:anchor="__RefHeading___Toc229433187">
            <w:r>
              <w:rPr>
                <w:rStyle w:val="IndexLink"/>
                <w:lang w:val="en-US" w:eastAsia="en-US"/>
              </w:rPr>
              <w:t>1</w:t>
            </w:r>
            <w:r>
              <w:rPr>
                <w:rStyle w:val="IndexLink"/>
                <w:lang w:val="en-US" w:eastAsia="en-US"/>
              </w:rPr>
              <w:t>、总体标准编制原则</w:t>
            </w:r>
            <w:r>
              <w:rPr>
                <w:rStyle w:val="IndexLink"/>
                <w:lang w:val="en-US" w:eastAsia="en-US"/>
              </w:rPr>
              <w:tab/>
            </w:r>
            <w:r>
              <w:rPr>
                <w:rStyle w:val="IndexLink"/>
                <w:lang w:val="en-US" w:eastAsia="en-US"/>
              </w:rPr>
              <w:t>5</w:t>
            </w:r>
          </w:hyperlink>
        </w:p>
        <w:p>
          <w:pPr>
            <w:pStyle w:val="TOC2"/>
            <w:tabs>
              <w:tab w:val="clear" w:pos="420"/>
              <w:tab w:val="right" w:pos="8540" w:leader="dot"/>
            </w:tabs>
            <w:rPr>
              <w:rFonts w:ascii="等线;DengXian" w:hAnsi="等线;DengXian" w:eastAsia="等线;DengXian" w:cs="等线;DengXian"/>
              <w:sz w:val="22"/>
              <w:szCs w:val="24"/>
              <w:lang w:val="en-US" w:eastAsia="en-US"/>
            </w:rPr>
          </w:pPr>
          <w:hyperlink w:anchor="__RefHeading___Toc229433188">
            <w:r>
              <w:rPr>
                <w:rStyle w:val="IndexLink"/>
                <w:lang w:val="en-US" w:eastAsia="en-US"/>
              </w:rPr>
              <w:t>2</w:t>
            </w:r>
            <w:r>
              <w:rPr>
                <w:rStyle w:val="IndexLink"/>
                <w:lang w:val="en-US" w:eastAsia="en-US"/>
              </w:rPr>
              <w:t>、主要技术内容确定的论据</w:t>
            </w:r>
            <w:r>
              <w:rPr>
                <w:rStyle w:val="IndexLink"/>
                <w:lang w:val="en-US" w:eastAsia="en-US"/>
              </w:rPr>
              <w:tab/>
            </w:r>
            <w:r>
              <w:rPr>
                <w:rStyle w:val="IndexLink"/>
                <w:lang w:val="en-US" w:eastAsia="en-US"/>
              </w:rPr>
              <w:t>6</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89">
            <w:r>
              <w:rPr>
                <w:rStyle w:val="IndexLink"/>
                <w:rFonts w:ascii="宋体;SimSun" w:hAnsi="宋体;SimSun" w:cs="宋体;SimSun"/>
                <w:lang w:val="en-US" w:eastAsia="en-US"/>
              </w:rPr>
              <w:t>四、采用的国际标准</w:t>
            </w:r>
            <w:r>
              <w:rPr>
                <w:rStyle w:val="IndexLink"/>
                <w:lang w:val="en-US" w:eastAsia="en-US"/>
              </w:rPr>
              <w:tab/>
            </w:r>
            <w:r>
              <w:rPr>
                <w:rStyle w:val="IndexLink"/>
                <w:lang w:val="en-US" w:eastAsia="en-US"/>
              </w:rPr>
              <w:t>10</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90">
            <w:r>
              <w:rPr>
                <w:rStyle w:val="IndexLink"/>
                <w:rFonts w:ascii="宋体;SimSun" w:hAnsi="宋体;SimSun" w:cs="宋体;SimSun"/>
                <w:lang w:val="en-US" w:eastAsia="en-US"/>
              </w:rPr>
              <w:t>五、与现行法律法规和强制性标准的关系</w:t>
            </w:r>
            <w:r>
              <w:rPr>
                <w:rStyle w:val="IndexLink"/>
                <w:lang w:val="en-US" w:eastAsia="en-US"/>
              </w:rPr>
              <w:tab/>
            </w:r>
            <w:r>
              <w:rPr>
                <w:rStyle w:val="IndexLink"/>
                <w:lang w:val="en-US" w:eastAsia="en-US"/>
              </w:rPr>
              <w:t>10</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91">
            <w:r>
              <w:rPr>
                <w:rStyle w:val="IndexLink"/>
                <w:rFonts w:ascii="宋体;SimSun" w:hAnsi="宋体;SimSun" w:cs="宋体;SimSun"/>
                <w:lang w:val="en-US" w:eastAsia="en-US"/>
              </w:rPr>
              <w:t>六、重大分歧意见的处理经过和依据</w:t>
            </w:r>
            <w:r>
              <w:rPr>
                <w:rStyle w:val="IndexLink"/>
                <w:lang w:val="en-US" w:eastAsia="en-US"/>
              </w:rPr>
              <w:tab/>
            </w:r>
            <w:r>
              <w:rPr>
                <w:rStyle w:val="IndexLink"/>
                <w:lang w:val="en-US" w:eastAsia="en-US"/>
              </w:rPr>
              <w:t>10</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92">
            <w:r>
              <w:rPr>
                <w:rStyle w:val="IndexLink"/>
                <w:rFonts w:ascii="宋体;SimSun" w:hAnsi="宋体;SimSun" w:cs="宋体;SimSun"/>
                <w:lang w:val="en-US" w:eastAsia="en-US"/>
              </w:rPr>
              <w:t>七、标准作为强制性或推荐性标准的意见</w:t>
            </w:r>
            <w:r>
              <w:rPr>
                <w:rStyle w:val="IndexLink"/>
                <w:lang w:val="en-US" w:eastAsia="en-US"/>
              </w:rPr>
              <w:tab/>
            </w:r>
            <w:r>
              <w:rPr>
                <w:rStyle w:val="IndexLink"/>
                <w:lang w:val="en-US" w:eastAsia="en-US"/>
              </w:rPr>
              <w:t>11</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93">
            <w:r>
              <w:rPr>
                <w:rStyle w:val="IndexLink"/>
                <w:rFonts w:ascii="宋体;SimSun" w:hAnsi="宋体;SimSun" w:cs="宋体;SimSun"/>
                <w:lang w:val="en-US" w:eastAsia="en-US"/>
              </w:rPr>
              <w:t>八、贯彻标准的要求和措施建议</w:t>
            </w:r>
            <w:r>
              <w:rPr>
                <w:rStyle w:val="IndexLink"/>
                <w:lang w:val="en-US" w:eastAsia="en-US"/>
              </w:rPr>
              <w:tab/>
            </w:r>
            <w:r>
              <w:rPr>
                <w:rStyle w:val="IndexLink"/>
                <w:lang w:val="en-US" w:eastAsia="en-US"/>
              </w:rPr>
              <w:t>11</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94">
            <w:r>
              <w:rPr>
                <w:rStyle w:val="IndexLink"/>
                <w:rFonts w:ascii="宋体;SimSun" w:hAnsi="宋体;SimSun" w:cs="宋体;SimSun"/>
                <w:lang w:val="en-US" w:eastAsia="en-US"/>
              </w:rPr>
              <w:t>九、废止现行有关标准的建议</w:t>
            </w:r>
            <w:r>
              <w:rPr>
                <w:rStyle w:val="IndexLink"/>
                <w:lang w:val="en-US" w:eastAsia="en-US"/>
              </w:rPr>
              <w:tab/>
            </w:r>
            <w:r>
              <w:rPr>
                <w:rStyle w:val="IndexLink"/>
                <w:lang w:val="en-US" w:eastAsia="en-US"/>
              </w:rPr>
              <w:t>11</w:t>
            </w:r>
          </w:hyperlink>
        </w:p>
        <w:p>
          <w:pPr>
            <w:pStyle w:val="TOC1"/>
            <w:tabs>
              <w:tab w:val="clear" w:pos="420"/>
              <w:tab w:val="right" w:pos="8540" w:leader="dot"/>
            </w:tabs>
            <w:rPr>
              <w:rFonts w:ascii="等线;DengXian" w:hAnsi="等线;DengXian" w:eastAsia="等线;DengXian" w:cs="等线;DengXian"/>
              <w:sz w:val="22"/>
              <w:szCs w:val="24"/>
              <w:lang w:val="en-US" w:eastAsia="en-US"/>
            </w:rPr>
          </w:pPr>
          <w:hyperlink w:anchor="__RefHeading___Toc229433195">
            <w:r>
              <w:rPr>
                <w:rStyle w:val="IndexLink"/>
                <w:rFonts w:ascii="宋体;SimSun" w:hAnsi="宋体;SimSun" w:cs="宋体;SimSun"/>
                <w:lang w:val="en-US" w:eastAsia="en-US"/>
              </w:rPr>
              <w:t>十、其他应予说明的事项</w:t>
            </w:r>
            <w:r>
              <w:rPr>
                <w:rStyle w:val="IndexLink"/>
                <w:lang w:val="en-US" w:eastAsia="en-US"/>
              </w:rPr>
              <w:tab/>
            </w:r>
            <w:r>
              <w:rPr>
                <w:rStyle w:val="IndexLink"/>
                <w:lang w:val="en-US" w:eastAsia="en-US"/>
              </w:rPr>
              <w:t>11</w:t>
            </w:r>
          </w:hyperlink>
          <w:r>
            <w:rPr>
              <w:rStyle w:val="IndexLink"/>
              <w:lang w:val="en-US" w:eastAsia="en-US"/>
            </w:rPr>
            <w:fldChar w:fldCharType="end"/>
          </w:r>
        </w:p>
      </w:sdtContent>
    </w:sdt>
    <w:p>
      <w:pPr>
        <w:pStyle w:val="Normal"/>
        <w:spacing w:lineRule="auto" w:line="360"/>
        <w:rPr>
          <w:rFonts w:ascii="等线;DengXian" w:hAnsi="等线;DengXian" w:eastAsia="等线;DengXian" w:cs="等线;DengXian"/>
          <w:b/>
          <w:bCs/>
          <w:color w:val="000000"/>
          <w:sz w:val="28"/>
          <w:szCs w:val="28"/>
          <w:lang w:val="zh-CN" w:eastAsia="en-US"/>
        </w:rPr>
      </w:pPr>
      <w:r>
        <w:rPr>
          <w:rFonts w:eastAsia="等线;DengXian" w:cs="等线;DengXian" w:ascii="等线;DengXian" w:hAnsi="等线;DengXian"/>
          <w:b/>
          <w:bCs/>
          <w:color w:val="000000"/>
          <w:sz w:val="28"/>
          <w:szCs w:val="28"/>
          <w:lang w:val="zh-CN" w:eastAsia="en-US"/>
        </w:rPr>
      </w:r>
      <w:r>
        <w:br w:type="page"/>
      </w:r>
    </w:p>
    <w:p>
      <w:pPr>
        <w:pStyle w:val="Heading1"/>
        <w:ind w:hanging="0" w:left="0"/>
        <w:rPr/>
      </w:pPr>
      <w:bookmarkStart w:id="3" w:name="__RefHeading___Toc229433182"/>
      <w:bookmarkEnd w:id="3"/>
      <w:r>
        <w:rPr>
          <w:rFonts w:ascii="宋体;SimSun" w:hAnsi="宋体;SimSun" w:cs="宋体;SimSun"/>
          <w:sz w:val="24"/>
          <w:szCs w:val="24"/>
        </w:rPr>
        <w:t>一、</w:t>
      </w:r>
      <w:r>
        <w:rPr>
          <w:rFonts w:ascii="宋体;SimSun" w:hAnsi="宋体;SimSun" w:cs="宋体;SimSun"/>
          <w:sz w:val="24"/>
          <w:szCs w:val="24"/>
        </w:rPr>
        <w:t>任务来源及标准制定背景</w:t>
      </w:r>
    </w:p>
    <w:p>
      <w:pPr>
        <w:pStyle w:val="Heading2"/>
        <w:spacing w:before="0" w:after="0"/>
        <w:ind w:hanging="0" w:left="0"/>
        <w:rPr>
          <w:sz w:val="22"/>
          <w:szCs w:val="28"/>
        </w:rPr>
      </w:pPr>
      <w:bookmarkStart w:id="4" w:name="__RefHeading___Toc229433183"/>
      <w:bookmarkEnd w:id="4"/>
      <w:r>
        <w:rPr>
          <w:sz w:val="22"/>
          <w:szCs w:val="28"/>
        </w:rPr>
        <w:t>1</w:t>
      </w:r>
      <w:r>
        <w:rPr>
          <w:sz w:val="22"/>
          <w:szCs w:val="28"/>
        </w:rPr>
        <w:t>、任务来源</w:t>
      </w:r>
    </w:p>
    <w:p>
      <w:pPr>
        <w:pStyle w:val="Normal"/>
        <w:spacing w:lineRule="auto" w:line="360"/>
        <w:ind w:firstLine="440" w:right="0"/>
        <w:rPr/>
      </w:pPr>
      <w:r>
        <w:rPr>
          <w:rFonts w:ascii="宋体;SimSun" w:hAnsi="宋体;SimSun" w:cs="宋体;SimSun"/>
          <w:sz w:val="22"/>
          <w:szCs w:val="20"/>
        </w:rPr>
        <w:t>本技术规程的制定任务源于陇东黄土高原典型草原区草牧业转型升级与生态修复的双重需求</w:t>
      </w:r>
      <w:r>
        <w:rPr>
          <w:rFonts w:ascii="宋体;SimSun" w:hAnsi="宋体;SimSun" w:cs="宋体;SimSun"/>
          <w:sz w:val="22"/>
          <w:szCs w:val="20"/>
        </w:rPr>
        <w:t>，</w:t>
      </w:r>
      <w:r>
        <w:rPr>
          <w:rFonts w:ascii="宋体;SimSun" w:hAnsi="宋体;SimSun" w:cs="宋体;SimSun"/>
          <w:sz w:val="22"/>
          <w:szCs w:val="20"/>
        </w:rPr>
        <w:t>由兰州大学、甘肃省农业科学院畜草与绿色农业研究所、宁夏农林科学院林业与草地生态研究所三家单位联合申报并共同</w:t>
      </w:r>
      <w:r>
        <w:rPr>
          <w:rFonts w:ascii="宋体;SimSun" w:hAnsi="宋体;SimSun" w:cs="宋体;SimSun"/>
          <w:sz w:val="22"/>
          <w:szCs w:val="20"/>
        </w:rPr>
        <w:t>完成</w:t>
      </w:r>
      <w:r>
        <w:rPr>
          <w:rFonts w:ascii="宋体;SimSun" w:hAnsi="宋体;SimSun" w:cs="宋体;SimSun"/>
          <w:sz w:val="22"/>
          <w:szCs w:val="20"/>
        </w:rPr>
        <w:t>。</w:t>
      </w:r>
    </w:p>
    <w:p>
      <w:pPr>
        <w:pStyle w:val="Normal"/>
        <w:spacing w:lineRule="auto" w:line="360"/>
        <w:ind w:firstLine="440" w:right="0"/>
        <w:rPr>
          <w:rFonts w:ascii="宋体;SimSun" w:hAnsi="宋体;SimSun" w:cs="宋体;SimSun"/>
          <w:sz w:val="22"/>
          <w:szCs w:val="20"/>
        </w:rPr>
      </w:pPr>
      <w:r>
        <w:rPr>
          <w:rFonts w:ascii="宋体;SimSun" w:hAnsi="宋体;SimSun" w:cs="宋体;SimSun"/>
          <w:sz w:val="22"/>
          <w:szCs w:val="20"/>
        </w:rPr>
        <w:t>三家起草单位在草地生态学、放牧管理、动物营养、土壤肥料等领域具有长期的研究积累和技术优势。兰州大学草地农业科技学院依托草种创新与草地农业生态系统全国重点实验室，在草地放牧生态学、草畜平衡管理等方面开展了大量基础性、前沿性研究；甘肃省农业科学院畜草与绿色农业研究所在陇东地区长期从事畜草配套技术研发与示范推广，积累了丰富的本地化实践经验；宁夏农林科学院林业与草地生态研究所在黄土高原生态修复、草原健康评价等领域形成了系统的技术体系。三家单位的优势互补，为本规程的科学性、适用性和先进性提供了坚实的组织保障和技术支撑。</w:t>
      </w:r>
    </w:p>
    <w:p>
      <w:pPr>
        <w:pStyle w:val="Heading2"/>
        <w:spacing w:before="0" w:after="0"/>
        <w:ind w:hanging="0" w:left="0"/>
        <w:rPr>
          <w:sz w:val="22"/>
          <w:szCs w:val="28"/>
        </w:rPr>
      </w:pPr>
      <w:bookmarkStart w:id="5" w:name="__RefHeading___Toc229433184"/>
      <w:bookmarkEnd w:id="5"/>
      <w:r>
        <w:rPr>
          <w:sz w:val="22"/>
          <w:szCs w:val="28"/>
        </w:rPr>
        <w:t>2</w:t>
      </w:r>
      <w:r>
        <w:rPr>
          <w:sz w:val="22"/>
          <w:szCs w:val="28"/>
        </w:rPr>
        <w:t>、标准制定背景</w:t>
      </w:r>
    </w:p>
    <w:p>
      <w:pPr>
        <w:pStyle w:val="Normal"/>
        <w:widowControl/>
        <w:snapToGrid w:val="false"/>
        <w:spacing w:lineRule="auto" w:line="360"/>
        <w:ind w:firstLine="440" w:right="0"/>
        <w:rPr>
          <w:rFonts w:ascii="宋体;SimSun" w:hAnsi="宋体;SimSun" w:cs="黑体;SimHei"/>
          <w:kern w:val="0"/>
          <w:sz w:val="22"/>
          <w:szCs w:val="20"/>
        </w:rPr>
      </w:pPr>
      <w:r>
        <w:rPr>
          <w:rFonts w:ascii="宋体;SimSun" w:hAnsi="宋体;SimSun" w:cs="黑体;SimHei"/>
          <w:kern w:val="0"/>
          <w:sz w:val="22"/>
          <w:szCs w:val="20"/>
        </w:rPr>
        <w:t>陇东黄土高原位于黄河中上游地区，是我国黄土高原的主要组成部分。该区域总面积约</w:t>
      </w:r>
      <w:r>
        <w:rPr>
          <w:rFonts w:cs="黑体;SimHei" w:ascii="宋体;SimSun" w:hAnsi="宋体;SimSun"/>
          <w:kern w:val="0"/>
          <w:sz w:val="22"/>
          <w:szCs w:val="20"/>
        </w:rPr>
        <w:t>6.8</w:t>
      </w:r>
      <w:r>
        <w:rPr>
          <w:rFonts w:ascii="宋体;SimSun" w:hAnsi="宋体;SimSun" w:cs="黑体;SimHei"/>
          <w:kern w:val="0"/>
          <w:sz w:val="22"/>
          <w:szCs w:val="20"/>
        </w:rPr>
        <w:t>万平方公里，其中天然草原面积约占</w:t>
      </w:r>
      <w:r>
        <w:rPr>
          <w:rFonts w:cs="黑体;SimHei" w:ascii="宋体;SimSun" w:hAnsi="宋体;SimSun"/>
          <w:kern w:val="0"/>
          <w:sz w:val="22"/>
          <w:szCs w:val="20"/>
        </w:rPr>
        <w:t>63%</w:t>
      </w:r>
      <w:r>
        <w:rPr>
          <w:rFonts w:ascii="宋体;SimSun" w:hAnsi="宋体;SimSun" w:cs="黑体;SimHei"/>
          <w:kern w:val="0"/>
          <w:sz w:val="22"/>
          <w:szCs w:val="20"/>
        </w:rPr>
        <w:t>，承载着近</w:t>
      </w:r>
      <w:r>
        <w:rPr>
          <w:rFonts w:cs="黑体;SimHei" w:ascii="宋体;SimSun" w:hAnsi="宋体;SimSun"/>
          <w:kern w:val="0"/>
          <w:sz w:val="22"/>
          <w:szCs w:val="20"/>
        </w:rPr>
        <w:t>400</w:t>
      </w:r>
      <w:r>
        <w:rPr>
          <w:rFonts w:ascii="宋体;SimSun" w:hAnsi="宋体;SimSun" w:cs="黑体;SimHei"/>
          <w:kern w:val="0"/>
          <w:sz w:val="22"/>
          <w:szCs w:val="20"/>
        </w:rPr>
        <w:t>万只羊单位的草食家畜，是黄土高原重要的畜牧业生产区和生态屏障。年均降水量仅</w:t>
      </w:r>
      <w:r>
        <w:rPr>
          <w:rFonts w:cs="黑体;SimHei" w:ascii="宋体;SimSun" w:hAnsi="宋体;SimSun"/>
          <w:kern w:val="0"/>
          <w:sz w:val="22"/>
          <w:szCs w:val="20"/>
        </w:rPr>
        <w:t>300</w:t>
      </w:r>
      <w:r>
        <w:rPr>
          <w:kern w:val="0"/>
          <w:sz w:val="22"/>
          <w:szCs w:val="20"/>
        </w:rPr>
        <w:t>~</w:t>
      </w:r>
      <w:r>
        <w:rPr>
          <w:rFonts w:cs="黑体;SimHei" w:ascii="宋体;SimSun" w:hAnsi="宋体;SimSun"/>
          <w:kern w:val="0"/>
          <w:sz w:val="22"/>
          <w:szCs w:val="20"/>
        </w:rPr>
        <w:t>450 mm</w:t>
      </w:r>
      <w:r>
        <w:rPr>
          <w:rFonts w:ascii="宋体;SimSun" w:hAnsi="宋体;SimSun" w:cs="黑体;SimHei"/>
          <w:kern w:val="0"/>
          <w:sz w:val="22"/>
          <w:szCs w:val="20"/>
        </w:rPr>
        <w:t>，且年际变率大、季节分配不均，</w:t>
      </w:r>
      <w:r>
        <w:rPr>
          <w:rFonts w:cs="黑体;SimHei" w:ascii="宋体;SimSun" w:hAnsi="宋体;SimSun"/>
          <w:kern w:val="0"/>
          <w:sz w:val="22"/>
          <w:szCs w:val="20"/>
        </w:rPr>
        <w:t>7</w:t>
      </w:r>
      <w:r>
        <w:rPr>
          <w:kern w:val="0"/>
          <w:sz w:val="22"/>
          <w:szCs w:val="20"/>
        </w:rPr>
        <w:t>~</w:t>
      </w:r>
      <w:r>
        <w:rPr>
          <w:rFonts w:cs="黑体;SimHei" w:ascii="宋体;SimSun" w:hAnsi="宋体;SimSun"/>
          <w:kern w:val="0"/>
          <w:sz w:val="22"/>
          <w:szCs w:val="20"/>
        </w:rPr>
        <w:t>9</w:t>
      </w:r>
      <w:r>
        <w:rPr>
          <w:rFonts w:ascii="宋体;SimSun" w:hAnsi="宋体;SimSun" w:cs="黑体;SimHei"/>
          <w:kern w:val="0"/>
          <w:sz w:val="22"/>
          <w:szCs w:val="20"/>
        </w:rPr>
        <w:t>月降水占全年的</w:t>
      </w:r>
      <w:r>
        <w:rPr>
          <w:rFonts w:cs="黑体;SimHei" w:ascii="宋体;SimSun" w:hAnsi="宋体;SimSun"/>
          <w:kern w:val="0"/>
          <w:sz w:val="22"/>
          <w:szCs w:val="20"/>
        </w:rPr>
        <w:t>60%</w:t>
      </w:r>
      <w:r>
        <w:rPr>
          <w:rFonts w:ascii="宋体;SimSun" w:hAnsi="宋体;SimSun" w:cs="黑体;SimHei"/>
          <w:kern w:val="0"/>
          <w:sz w:val="22"/>
          <w:szCs w:val="20"/>
        </w:rPr>
        <w:t>以上，雨热同季但总量不足的自然因素决定了该区草地生产力对降水的高度依赖性。研究表明，陇东典型草原区</w:t>
      </w:r>
      <w:r>
        <w:rPr>
          <w:rFonts w:cs="黑体;SimHei" w:ascii="宋体;SimSun" w:hAnsi="宋体;SimSun"/>
          <w:kern w:val="0"/>
          <w:sz w:val="22"/>
          <w:szCs w:val="20"/>
        </w:rPr>
        <w:t>0</w:t>
      </w:r>
      <w:r>
        <w:rPr>
          <w:kern w:val="0"/>
          <w:sz w:val="22"/>
          <w:szCs w:val="20"/>
        </w:rPr>
        <w:t>~</w:t>
      </w:r>
      <w:r>
        <w:rPr>
          <w:rFonts w:cs="黑体;SimHei" w:ascii="宋体;SimSun" w:hAnsi="宋体;SimSun"/>
          <w:kern w:val="0"/>
          <w:sz w:val="22"/>
          <w:szCs w:val="20"/>
        </w:rPr>
        <w:t>100 cm</w:t>
      </w:r>
      <w:r>
        <w:rPr>
          <w:rFonts w:ascii="宋体;SimSun" w:hAnsi="宋体;SimSun" w:cs="黑体;SimHei"/>
          <w:kern w:val="0"/>
          <w:sz w:val="22"/>
          <w:szCs w:val="20"/>
        </w:rPr>
        <w:t>土层土壤储水量在生长季普遍低于田间持水量的</w:t>
      </w:r>
      <w:r>
        <w:rPr>
          <w:rFonts w:cs="黑体;SimHei" w:ascii="宋体;SimSun" w:hAnsi="宋体;SimSun"/>
          <w:kern w:val="0"/>
          <w:sz w:val="22"/>
          <w:szCs w:val="20"/>
        </w:rPr>
        <w:t>60%</w:t>
      </w:r>
      <w:r>
        <w:rPr>
          <w:rFonts w:ascii="宋体;SimSun" w:hAnsi="宋体;SimSun" w:cs="黑体;SimHei"/>
          <w:kern w:val="0"/>
          <w:sz w:val="22"/>
          <w:szCs w:val="20"/>
        </w:rPr>
        <w:t>，处于中度到重度水分亏缺状态。陇东黄土高原是我国水土流失最严重的地区之一，水力侵蚀和风力侵蚀交替发生。据测算，水土流失严重区域的土壤侵蚀模数可达</w:t>
      </w:r>
      <w:r>
        <w:rPr>
          <w:rFonts w:cs="黑体;SimHei" w:ascii="宋体;SimSun" w:hAnsi="宋体;SimSun"/>
          <w:kern w:val="0"/>
          <w:sz w:val="22"/>
          <w:szCs w:val="20"/>
        </w:rPr>
        <w:t>8000</w:t>
      </w:r>
      <w:r>
        <w:rPr>
          <w:kern w:val="0"/>
          <w:sz w:val="22"/>
          <w:szCs w:val="20"/>
        </w:rPr>
        <w:t>~</w:t>
      </w:r>
      <w:r>
        <w:rPr>
          <w:rFonts w:cs="黑体;SimHei" w:ascii="宋体;SimSun" w:hAnsi="宋体;SimSun"/>
          <w:kern w:val="0"/>
          <w:sz w:val="22"/>
          <w:szCs w:val="20"/>
        </w:rPr>
        <w:t>12000 t/(km²·a)</w:t>
      </w:r>
      <w:r>
        <w:rPr>
          <w:rFonts w:ascii="宋体;SimSun" w:hAnsi="宋体;SimSun" w:cs="黑体;SimHei"/>
          <w:kern w:val="0"/>
          <w:sz w:val="22"/>
          <w:szCs w:val="20"/>
        </w:rPr>
        <w:t>，远高于土壤容许流失量（</w:t>
      </w:r>
      <w:r>
        <w:rPr>
          <w:rFonts w:cs="黑体;SimHei" w:ascii="宋体;SimSun" w:hAnsi="宋体;SimSun"/>
          <w:kern w:val="0"/>
          <w:sz w:val="22"/>
          <w:szCs w:val="20"/>
        </w:rPr>
        <w:t>1000 t/(km²·a)</w:t>
      </w:r>
      <w:r>
        <w:rPr>
          <w:rFonts w:ascii="宋体;SimSun" w:hAnsi="宋体;SimSun" w:cs="黑体;SimHei"/>
          <w:kern w:val="0"/>
          <w:sz w:val="22"/>
          <w:szCs w:val="20"/>
        </w:rPr>
        <w:t>）。每年流失的土壤中，有机质和氮磷养分的损失量相当于该区年均化肥施用量的</w:t>
      </w:r>
      <w:r>
        <w:rPr>
          <w:rFonts w:cs="黑体;SimHei" w:ascii="宋体;SimSun" w:hAnsi="宋体;SimSun"/>
          <w:kern w:val="0"/>
          <w:sz w:val="22"/>
          <w:szCs w:val="20"/>
        </w:rPr>
        <w:t>30%</w:t>
      </w:r>
      <w:r>
        <w:rPr>
          <w:kern w:val="0"/>
          <w:sz w:val="22"/>
          <w:szCs w:val="20"/>
        </w:rPr>
        <w:t>~</w:t>
      </w:r>
      <w:r>
        <w:rPr>
          <w:rFonts w:cs="黑体;SimHei" w:ascii="宋体;SimSun" w:hAnsi="宋体;SimSun"/>
          <w:kern w:val="0"/>
          <w:sz w:val="22"/>
          <w:szCs w:val="20"/>
        </w:rPr>
        <w:t>50%</w:t>
      </w:r>
      <w:r>
        <w:rPr>
          <w:rFonts w:ascii="宋体;SimSun" w:hAnsi="宋体;SimSun" w:cs="黑体;SimHei"/>
          <w:kern w:val="0"/>
          <w:sz w:val="22"/>
          <w:szCs w:val="20"/>
        </w:rPr>
        <w:t>，形成“越退化越流失、越流失越退化”的恶性循环。</w:t>
      </w:r>
    </w:p>
    <w:p>
      <w:pPr>
        <w:pStyle w:val="Normal"/>
        <w:widowControl/>
        <w:snapToGrid w:val="false"/>
        <w:spacing w:lineRule="auto" w:line="360"/>
        <w:ind w:firstLine="440" w:right="0"/>
        <w:rPr>
          <w:rFonts w:ascii="宋体;SimSun" w:hAnsi="宋体;SimSun" w:cs="黑体;SimHei"/>
          <w:kern w:val="0"/>
          <w:sz w:val="22"/>
          <w:szCs w:val="20"/>
        </w:rPr>
      </w:pPr>
      <w:r>
        <w:rPr>
          <w:rFonts w:ascii="宋体;SimSun" w:hAnsi="宋体;SimSun" w:cs="黑体;SimHei"/>
          <w:kern w:val="0"/>
          <w:sz w:val="22"/>
          <w:szCs w:val="20"/>
        </w:rPr>
        <w:t>陇东黄土高原天然草原退化面积超过</w:t>
      </w:r>
      <w:r>
        <w:rPr>
          <w:rFonts w:cs="黑体;SimHei" w:ascii="宋体;SimSun" w:hAnsi="宋体;SimSun"/>
          <w:kern w:val="0"/>
          <w:sz w:val="22"/>
          <w:szCs w:val="20"/>
        </w:rPr>
        <w:t>60%</w:t>
      </w:r>
      <w:r>
        <w:rPr>
          <w:rFonts w:ascii="宋体;SimSun" w:hAnsi="宋体;SimSun" w:cs="黑体;SimHei"/>
          <w:kern w:val="0"/>
          <w:sz w:val="22"/>
          <w:szCs w:val="20"/>
        </w:rPr>
        <w:t>，其中中度以上退化草原占比达到</w:t>
      </w:r>
      <w:r>
        <w:rPr>
          <w:rFonts w:cs="黑体;SimHei" w:ascii="宋体;SimSun" w:hAnsi="宋体;SimSun"/>
          <w:kern w:val="0"/>
          <w:sz w:val="22"/>
          <w:szCs w:val="20"/>
        </w:rPr>
        <w:t>35%</w:t>
      </w:r>
      <w:r>
        <w:rPr>
          <w:kern w:val="0"/>
          <w:sz w:val="22"/>
          <w:szCs w:val="20"/>
        </w:rPr>
        <w:t>~</w:t>
      </w:r>
      <w:r>
        <w:rPr>
          <w:rFonts w:cs="黑体;SimHei" w:ascii="宋体;SimSun" w:hAnsi="宋体;SimSun"/>
          <w:kern w:val="0"/>
          <w:sz w:val="22"/>
          <w:szCs w:val="20"/>
        </w:rPr>
        <w:t>40%</w:t>
      </w:r>
      <w:r>
        <w:rPr>
          <w:rFonts w:ascii="宋体;SimSun" w:hAnsi="宋体;SimSun" w:cs="黑体;SimHei"/>
          <w:kern w:val="0"/>
          <w:sz w:val="22"/>
          <w:szCs w:val="20"/>
        </w:rPr>
        <w:t>。主要表现在植被盖度下降、优良牧草比例减少、毒杂草比例上升、土壤表层裸露面积扩大、水土流失加剧等。草原退化不仅降低了草地的载畜能力，也削弱了其水源涵养、碳固持、生物多样性保护等生态服务功能，对国家生态安全构成威胁。研究显示，陇东黄土高原土壤有机质含量普遍偏低，天然草原表层土壤</w:t>
      </w:r>
      <w:r>
        <w:rPr>
          <w:rFonts w:cs="黑体;SimHei" w:ascii="宋体;SimSun" w:hAnsi="宋体;SimSun"/>
          <w:kern w:val="0"/>
          <w:sz w:val="22"/>
          <w:szCs w:val="20"/>
        </w:rPr>
        <w:t>0</w:t>
      </w:r>
      <w:r>
        <w:rPr>
          <w:kern w:val="0"/>
          <w:sz w:val="22"/>
          <w:szCs w:val="20"/>
        </w:rPr>
        <w:t>~</w:t>
      </w:r>
      <w:r>
        <w:rPr>
          <w:rFonts w:cs="黑体;SimHei" w:ascii="宋体;SimSun" w:hAnsi="宋体;SimSun"/>
          <w:kern w:val="0"/>
          <w:sz w:val="22"/>
          <w:szCs w:val="20"/>
        </w:rPr>
        <w:t>20 cm</w:t>
      </w:r>
      <w:r>
        <w:rPr>
          <w:rFonts w:ascii="宋体;SimSun" w:hAnsi="宋体;SimSun" w:cs="黑体;SimHei"/>
          <w:kern w:val="0"/>
          <w:sz w:val="22"/>
          <w:szCs w:val="20"/>
        </w:rPr>
        <w:t>有机质含量平均仅为</w:t>
      </w:r>
      <w:r>
        <w:rPr>
          <w:rFonts w:cs="黑体;SimHei" w:ascii="宋体;SimSun" w:hAnsi="宋体;SimSun"/>
          <w:kern w:val="0"/>
          <w:sz w:val="22"/>
          <w:szCs w:val="20"/>
        </w:rPr>
        <w:t>8.5</w:t>
      </w:r>
      <w:r>
        <w:rPr>
          <w:kern w:val="0"/>
          <w:sz w:val="22"/>
          <w:szCs w:val="20"/>
        </w:rPr>
        <w:t>~</w:t>
      </w:r>
      <w:r>
        <w:rPr>
          <w:rFonts w:cs="黑体;SimHei" w:ascii="宋体;SimSun" w:hAnsi="宋体;SimSun"/>
          <w:kern w:val="0"/>
          <w:sz w:val="22"/>
          <w:szCs w:val="20"/>
        </w:rPr>
        <w:t>10.2 g/kg</w:t>
      </w:r>
      <w:r>
        <w:rPr>
          <w:rFonts w:ascii="宋体;SimSun" w:hAnsi="宋体;SimSun" w:cs="黑体;SimHei"/>
          <w:kern w:val="0"/>
          <w:sz w:val="22"/>
          <w:szCs w:val="20"/>
        </w:rPr>
        <w:t>，低于全国草原土壤有机质平均水平</w:t>
      </w:r>
      <w:r>
        <w:rPr>
          <w:rFonts w:cs="黑体;SimHei" w:ascii="宋体;SimSun" w:hAnsi="宋体;SimSun"/>
          <w:kern w:val="0"/>
          <w:sz w:val="22"/>
          <w:szCs w:val="20"/>
        </w:rPr>
        <w:t>12.5 g/kg</w:t>
      </w:r>
      <w:r>
        <w:rPr>
          <w:rFonts w:ascii="宋体;SimSun" w:hAnsi="宋体;SimSun" w:cs="黑体;SimHei"/>
          <w:kern w:val="0"/>
          <w:sz w:val="22"/>
          <w:szCs w:val="20"/>
        </w:rPr>
        <w:t>；全氮含量</w:t>
      </w:r>
      <w:r>
        <w:rPr>
          <w:rFonts w:cs="黑体;SimHei" w:ascii="宋体;SimSun" w:hAnsi="宋体;SimSun"/>
          <w:kern w:val="0"/>
          <w:sz w:val="22"/>
          <w:szCs w:val="20"/>
        </w:rPr>
        <w:t>0.65</w:t>
      </w:r>
      <w:r>
        <w:rPr>
          <w:kern w:val="0"/>
          <w:sz w:val="22"/>
          <w:szCs w:val="20"/>
        </w:rPr>
        <w:t>~</w:t>
      </w:r>
      <w:r>
        <w:rPr>
          <w:rFonts w:cs="黑体;SimHei" w:ascii="宋体;SimSun" w:hAnsi="宋体;SimSun"/>
          <w:kern w:val="0"/>
          <w:sz w:val="22"/>
          <w:szCs w:val="20"/>
        </w:rPr>
        <w:t>0.85 g/kg</w:t>
      </w:r>
      <w:r>
        <w:rPr>
          <w:rFonts w:ascii="宋体;SimSun" w:hAnsi="宋体;SimSun" w:cs="黑体;SimHei"/>
          <w:kern w:val="0"/>
          <w:sz w:val="22"/>
          <w:szCs w:val="20"/>
        </w:rPr>
        <w:t>，处于中等偏低水平。尤其在草地管理不当的情况下导致土壤养分持续净输出，形成“亏缺积累”效应。研究表明，在不进行任何外源养分补充的情况下，陇东典型草原放牧地的土壤全氮和有效磷含量以年均</w:t>
      </w:r>
      <w:r>
        <w:rPr>
          <w:rFonts w:cs="黑体;SimHei" w:ascii="宋体;SimSun" w:hAnsi="宋体;SimSun"/>
          <w:kern w:val="0"/>
          <w:sz w:val="22"/>
          <w:szCs w:val="20"/>
        </w:rPr>
        <w:t>1.2%</w:t>
      </w:r>
      <w:r>
        <w:rPr>
          <w:rFonts w:ascii="宋体;SimSun" w:hAnsi="宋体;SimSun" w:cs="黑体;SimHei"/>
          <w:kern w:val="0"/>
          <w:sz w:val="22"/>
          <w:szCs w:val="20"/>
        </w:rPr>
        <w:t>和</w:t>
      </w:r>
      <w:r>
        <w:rPr>
          <w:rFonts w:cs="黑体;SimHei" w:ascii="宋体;SimSun" w:hAnsi="宋体;SimSun"/>
          <w:kern w:val="0"/>
          <w:sz w:val="22"/>
          <w:szCs w:val="20"/>
        </w:rPr>
        <w:t>2.5%</w:t>
      </w:r>
      <w:r>
        <w:rPr>
          <w:rFonts w:ascii="宋体;SimSun" w:hAnsi="宋体;SimSun" w:cs="黑体;SimHei"/>
          <w:kern w:val="0"/>
          <w:sz w:val="22"/>
          <w:szCs w:val="20"/>
        </w:rPr>
        <w:t>的速度递减。</w:t>
      </w:r>
    </w:p>
    <w:p>
      <w:pPr>
        <w:pStyle w:val="Normal"/>
        <w:widowControl/>
        <w:snapToGrid w:val="false"/>
        <w:spacing w:lineRule="auto" w:line="360"/>
        <w:ind w:firstLine="440" w:right="0"/>
        <w:rPr/>
      </w:pPr>
      <w:r>
        <w:rPr>
          <w:rFonts w:ascii="宋体;SimSun" w:hAnsi="宋体;SimSun" w:cs="黑体;SimHei"/>
          <w:kern w:val="0"/>
          <w:sz w:val="22"/>
          <w:szCs w:val="20"/>
        </w:rPr>
        <w:t>面对草原退化和家畜营养</w:t>
      </w:r>
      <w:r>
        <w:rPr>
          <w:rFonts w:ascii="宋体;SimSun" w:hAnsi="宋体;SimSun" w:cs="黑体;SimHei"/>
          <w:kern w:val="0"/>
          <w:sz w:val="22"/>
          <w:szCs w:val="20"/>
        </w:rPr>
        <w:t>需求过高</w:t>
      </w:r>
      <w:r>
        <w:rPr>
          <w:rFonts w:ascii="宋体;SimSun" w:hAnsi="宋体;SimSun" w:cs="黑体;SimHei"/>
          <w:kern w:val="0"/>
          <w:sz w:val="22"/>
          <w:szCs w:val="20"/>
        </w:rPr>
        <w:t>的双重压力，陇东地区的</w:t>
      </w:r>
      <w:r>
        <w:rPr>
          <w:rFonts w:ascii="宋体;SimSun" w:hAnsi="宋体;SimSun" w:cs="黑体;SimHei"/>
          <w:kern w:val="0"/>
          <w:sz w:val="22"/>
          <w:szCs w:val="20"/>
        </w:rPr>
        <w:t>草食家畜生产形成了</w:t>
      </w:r>
      <w:r>
        <w:rPr>
          <w:rFonts w:ascii="宋体;SimSun" w:hAnsi="宋体;SimSun" w:cs="黑体;SimHei"/>
          <w:kern w:val="0"/>
          <w:sz w:val="22"/>
          <w:szCs w:val="20"/>
        </w:rPr>
        <w:t>补饲</w:t>
      </w:r>
      <w:r>
        <w:rPr>
          <w:rFonts w:ascii="宋体;SimSun" w:hAnsi="宋体;SimSun" w:cs="黑体;SimHei"/>
          <w:kern w:val="0"/>
          <w:sz w:val="22"/>
          <w:szCs w:val="20"/>
        </w:rPr>
        <w:t>传统。但</w:t>
      </w:r>
      <w:r>
        <w:rPr>
          <w:rFonts w:ascii="宋体;SimSun" w:hAnsi="宋体;SimSun" w:cs="黑体;SimHei"/>
          <w:kern w:val="0"/>
          <w:sz w:val="22"/>
          <w:szCs w:val="20"/>
        </w:rPr>
        <w:t>传统补饲主要从家畜营养学角度出发，目标聚焦于“喂饱牛羊、提高增重”，忽视了补饲对草地生态系统的调控功能。补饲产生的粪便被简单视为废弃物，而未作为草地养分循环的关键环节加以优化利用。这种“重畜轻草、重产出轻投入”的理念，导致补饲的经济效益与生态效益难以统一。</w:t>
      </w:r>
    </w:p>
    <w:p>
      <w:pPr>
        <w:pStyle w:val="Normal"/>
        <w:widowControl/>
        <w:snapToGrid w:val="false"/>
        <w:spacing w:lineRule="auto" w:line="360"/>
        <w:ind w:firstLine="440" w:right="0"/>
        <w:rPr>
          <w:rFonts w:ascii="宋体;SimSun" w:hAnsi="宋体;SimSun" w:cs="黑体;SimHei"/>
          <w:b/>
          <w:bCs/>
          <w:kern w:val="0"/>
          <w:sz w:val="22"/>
          <w:szCs w:val="20"/>
        </w:rPr>
      </w:pPr>
      <w:r>
        <w:rPr>
          <w:rFonts w:ascii="宋体;SimSun" w:hAnsi="宋体;SimSun" w:cs="黑体;SimHei"/>
          <w:kern w:val="0"/>
          <w:sz w:val="22"/>
          <w:szCs w:val="20"/>
        </w:rPr>
        <w:t>在补饲</w:t>
      </w:r>
      <w:r>
        <w:rPr>
          <w:rFonts w:ascii="宋体;SimSun" w:hAnsi="宋体;SimSun" w:cs="黑体;SimHei"/>
          <w:kern w:val="0"/>
          <w:sz w:val="22"/>
          <w:szCs w:val="20"/>
        </w:rPr>
        <w:t>时间上</w:t>
      </w:r>
      <w:r>
        <w:rPr>
          <w:rFonts w:ascii="宋体;SimSun" w:hAnsi="宋体;SimSun" w:cs="黑体;SimHei"/>
          <w:kern w:val="0"/>
          <w:sz w:val="22"/>
          <w:szCs w:val="20"/>
        </w:rPr>
        <w:t>，</w:t>
      </w:r>
      <w:r>
        <w:rPr>
          <w:rFonts w:ascii="宋体;SimSun" w:hAnsi="宋体;SimSun" w:cs="黑体;SimHei"/>
          <w:kern w:val="0"/>
          <w:sz w:val="22"/>
          <w:szCs w:val="20"/>
        </w:rPr>
        <w:t>草食家畜生产主要集中</w:t>
      </w:r>
      <w:r>
        <w:rPr>
          <w:rFonts w:ascii="宋体;SimSun" w:hAnsi="宋体;SimSun" w:cs="黑体;SimHei"/>
          <w:kern w:val="0"/>
          <w:sz w:val="22"/>
          <w:szCs w:val="20"/>
        </w:rPr>
        <w:t>在</w:t>
      </w:r>
      <w:r>
        <w:rPr>
          <w:rFonts w:ascii="宋体;SimSun" w:hAnsi="宋体;SimSun" w:cs="黑体;SimHei"/>
          <w:kern w:val="0"/>
          <w:sz w:val="22"/>
          <w:szCs w:val="20"/>
        </w:rPr>
        <w:t>非生长季</w:t>
      </w:r>
      <w:r>
        <w:rPr>
          <w:rFonts w:ascii="宋体;SimSun" w:hAnsi="宋体;SimSun" w:cs="黑体;SimHei"/>
          <w:kern w:val="0"/>
          <w:sz w:val="22"/>
          <w:szCs w:val="20"/>
        </w:rPr>
        <w:t>补饲、</w:t>
      </w:r>
      <w:r>
        <w:rPr>
          <w:rFonts w:ascii="宋体;SimSun" w:hAnsi="宋体;SimSun" w:cs="黑体;SimHei"/>
          <w:kern w:val="0"/>
          <w:sz w:val="22"/>
          <w:szCs w:val="20"/>
        </w:rPr>
        <w:t>生长季</w:t>
      </w:r>
      <w:r>
        <w:rPr>
          <w:rFonts w:ascii="宋体;SimSun" w:hAnsi="宋体;SimSun" w:cs="黑体;SimHei"/>
          <w:kern w:val="0"/>
          <w:sz w:val="22"/>
          <w:szCs w:val="20"/>
        </w:rPr>
        <w:t>停止补饲</w:t>
      </w:r>
      <w:r>
        <w:rPr>
          <w:rFonts w:ascii="宋体;SimSun" w:hAnsi="宋体;SimSun" w:cs="黑体;SimHei"/>
          <w:kern w:val="0"/>
          <w:sz w:val="22"/>
          <w:szCs w:val="20"/>
        </w:rPr>
        <w:t>，</w:t>
      </w:r>
      <w:r>
        <w:rPr>
          <w:rFonts w:ascii="宋体;SimSun" w:hAnsi="宋体;SimSun" w:cs="黑体;SimHei"/>
          <w:kern w:val="0"/>
          <w:sz w:val="22"/>
          <w:szCs w:val="20"/>
        </w:rPr>
        <w:t>缺乏与牧草生长节律和土壤微生物活动周期相匹配的科学</w:t>
      </w:r>
      <w:r>
        <w:rPr>
          <w:rFonts w:ascii="宋体;SimSun" w:hAnsi="宋体;SimSun" w:cs="黑体;SimHei"/>
          <w:kern w:val="0"/>
          <w:sz w:val="22"/>
          <w:szCs w:val="20"/>
        </w:rPr>
        <w:t>调控</w:t>
      </w:r>
      <w:r>
        <w:rPr>
          <w:rFonts w:ascii="宋体;SimSun" w:hAnsi="宋体;SimSun" w:cs="黑体;SimHei"/>
          <w:kern w:val="0"/>
          <w:sz w:val="22"/>
          <w:szCs w:val="20"/>
        </w:rPr>
        <w:t>。在补饲量上，</w:t>
      </w:r>
      <w:r>
        <w:rPr>
          <w:rFonts w:ascii="宋体;SimSun" w:hAnsi="宋体;SimSun" w:cs="黑体;SimHei"/>
          <w:kern w:val="0"/>
          <w:sz w:val="22"/>
          <w:szCs w:val="20"/>
        </w:rPr>
        <w:t>全</w:t>
      </w:r>
      <w:r>
        <w:rPr>
          <w:rFonts w:ascii="宋体;SimSun" w:hAnsi="宋体;SimSun" w:cs="黑体;SimHei"/>
          <w:kern w:val="0"/>
          <w:sz w:val="22"/>
          <w:szCs w:val="20"/>
        </w:rPr>
        <w:t>凭经验估算，缺少与家畜体重、生产阶段、牧草供给量</w:t>
      </w:r>
      <w:r>
        <w:rPr>
          <w:rFonts w:ascii="宋体;SimSun" w:hAnsi="宋体;SimSun" w:cs="黑体;SimHei"/>
          <w:kern w:val="0"/>
          <w:sz w:val="22"/>
          <w:szCs w:val="20"/>
        </w:rPr>
        <w:t>系统性</w:t>
      </w:r>
      <w:r>
        <w:rPr>
          <w:rFonts w:ascii="宋体;SimSun" w:hAnsi="宋体;SimSun" w:cs="黑体;SimHei"/>
          <w:kern w:val="0"/>
          <w:sz w:val="22"/>
          <w:szCs w:val="20"/>
        </w:rPr>
        <w:t>定量依据，导致“不足”与“过量”并存。在补饲配方上，多采用“玉米</w:t>
      </w:r>
      <w:r>
        <w:rPr>
          <w:rFonts w:cs="黑体;SimHei" w:ascii="宋体;SimSun" w:hAnsi="宋体;SimSun"/>
          <w:kern w:val="0"/>
          <w:sz w:val="22"/>
          <w:szCs w:val="20"/>
        </w:rPr>
        <w:t>+</w:t>
      </w:r>
      <w:r>
        <w:rPr>
          <w:rFonts w:ascii="宋体;SimSun" w:hAnsi="宋体;SimSun" w:cs="黑体;SimHei"/>
          <w:kern w:val="0"/>
          <w:sz w:val="22"/>
          <w:szCs w:val="20"/>
        </w:rPr>
        <w:t>麸皮”的简单组合，很少考虑蛋白质、矿物质、纤维素的平衡，更未将补饲料对粪便成分的调控作用纳入考量</w:t>
      </w:r>
      <w:r>
        <w:rPr>
          <w:rFonts w:ascii="宋体;SimSun" w:hAnsi="宋体;SimSun" w:cs="黑体;SimHei"/>
          <w:kern w:val="0"/>
          <w:sz w:val="22"/>
          <w:szCs w:val="20"/>
        </w:rPr>
        <w:t>依据</w:t>
      </w:r>
      <w:r>
        <w:rPr>
          <w:rFonts w:ascii="宋体;SimSun" w:hAnsi="宋体;SimSun" w:cs="黑体;SimHei"/>
          <w:kern w:val="0"/>
          <w:sz w:val="22"/>
          <w:szCs w:val="20"/>
        </w:rPr>
        <w:t>。</w:t>
      </w:r>
      <w:r>
        <w:rPr>
          <w:rFonts w:ascii="宋体;SimSun" w:hAnsi="宋体;SimSun" w:cs="黑体;SimHei"/>
          <w:kern w:val="0"/>
          <w:sz w:val="22"/>
          <w:szCs w:val="20"/>
        </w:rPr>
        <w:t>并且，</w:t>
      </w:r>
      <w:r>
        <w:rPr>
          <w:rFonts w:ascii="宋体;SimSun" w:hAnsi="宋体;SimSun" w:cs="黑体;SimHei"/>
          <w:kern w:val="0"/>
          <w:sz w:val="22"/>
          <w:szCs w:val="20"/>
        </w:rPr>
        <w:t>传统补饲往往独立于轮牧制度之外，补饲点的设置、补饲时间的安排与轮牧小区轮换缺乏</w:t>
      </w:r>
      <w:r>
        <w:rPr>
          <w:rFonts w:ascii="宋体;SimSun" w:hAnsi="宋体;SimSun" w:cs="黑体;SimHei"/>
          <w:kern w:val="0"/>
          <w:sz w:val="22"/>
          <w:szCs w:val="20"/>
        </w:rPr>
        <w:t>系统性考虑</w:t>
      </w:r>
      <w:r>
        <w:rPr>
          <w:rFonts w:ascii="宋体;SimSun" w:hAnsi="宋体;SimSun" w:cs="黑体;SimHei"/>
          <w:kern w:val="0"/>
          <w:sz w:val="22"/>
          <w:szCs w:val="20"/>
        </w:rPr>
        <w:t>，导致粪便在放牧地内的分布极不均匀</w:t>
      </w:r>
      <w:r>
        <w:rPr>
          <w:rFonts w:cs="黑体;SimHei" w:ascii="宋体;SimSun" w:hAnsi="宋体;SimSun"/>
          <w:kern w:val="0"/>
          <w:sz w:val="22"/>
          <w:szCs w:val="20"/>
        </w:rPr>
        <w:t>-</w:t>
      </w:r>
      <w:r>
        <w:rPr>
          <w:rFonts w:ascii="宋体;SimSun" w:hAnsi="宋体;SimSun" w:cs="黑体;SimHei"/>
          <w:kern w:val="0"/>
          <w:sz w:val="22"/>
          <w:szCs w:val="20"/>
        </w:rPr>
        <w:t>补饲点附近养分富集甚至“烧苗”，而远离补饲点的区域则养分匮乏。这种空间异质性的加剧，不利于草地生产力的均衡提升和土壤养分的均匀改善。</w:t>
      </w:r>
    </w:p>
    <w:p>
      <w:pPr>
        <w:pStyle w:val="Normal"/>
        <w:widowControl/>
        <w:snapToGrid w:val="false"/>
        <w:spacing w:lineRule="auto" w:line="360"/>
        <w:ind w:firstLine="440" w:right="0"/>
        <w:rPr/>
      </w:pPr>
      <w:r>
        <w:rPr>
          <w:rFonts w:ascii="宋体;SimSun" w:hAnsi="宋体;SimSun" w:cs="黑体;SimHei"/>
          <w:kern w:val="0"/>
          <w:sz w:val="22"/>
          <w:szCs w:val="20"/>
        </w:rPr>
        <w:t>放牧草地是一个“草</w:t>
      </w:r>
      <w:r>
        <w:rPr>
          <w:rFonts w:cs="黑体;SimHei" w:ascii="宋体;SimSun" w:hAnsi="宋体;SimSun"/>
          <w:kern w:val="0"/>
          <w:sz w:val="22"/>
          <w:szCs w:val="20"/>
        </w:rPr>
        <w:t>-</w:t>
      </w:r>
      <w:r>
        <w:rPr>
          <w:rFonts w:ascii="宋体;SimSun" w:hAnsi="宋体;SimSun" w:cs="黑体;SimHei"/>
          <w:kern w:val="0"/>
          <w:sz w:val="22"/>
          <w:szCs w:val="20"/>
        </w:rPr>
        <w:t>畜</w:t>
      </w:r>
      <w:r>
        <w:rPr>
          <w:rFonts w:cs="黑体;SimHei" w:ascii="宋体;SimSun" w:hAnsi="宋体;SimSun"/>
          <w:kern w:val="0"/>
          <w:sz w:val="22"/>
          <w:szCs w:val="20"/>
        </w:rPr>
        <w:t>-</w:t>
      </w:r>
      <w:r>
        <w:rPr>
          <w:rFonts w:ascii="宋体;SimSun" w:hAnsi="宋体;SimSun" w:cs="黑体;SimHei"/>
          <w:kern w:val="0"/>
          <w:sz w:val="22"/>
          <w:szCs w:val="20"/>
        </w:rPr>
        <w:t>土”耦合的开放系统，家畜既是养分的消费者，也是养分的再分配者。家畜通过采食带走草地养分，又通过排泄物将部分养分返还土壤。传统放牧管理中，这一循环往往是采食输出的养分大于排泄返还的养分，导致土壤养分持续耗竭。补饲的本质是通过外源养分的输入，弥补“采食输出</w:t>
      </w:r>
      <w:r>
        <w:rPr>
          <w:rFonts w:cs="黑体;SimHei" w:ascii="宋体;SimSun" w:hAnsi="宋体;SimSun"/>
          <w:kern w:val="0"/>
          <w:sz w:val="22"/>
          <w:szCs w:val="20"/>
        </w:rPr>
        <w:t>-</w:t>
      </w:r>
      <w:r>
        <w:rPr>
          <w:rFonts w:ascii="宋体;SimSun" w:hAnsi="宋体;SimSun" w:cs="黑体;SimHei"/>
          <w:kern w:val="0"/>
          <w:sz w:val="22"/>
          <w:szCs w:val="20"/>
        </w:rPr>
        <w:t>排泄返还”之间的亏缺，使系统养分循环从“亏损型”转向“平衡型”甚至“盈余型”。研究发现，补饲料的营养组成直接影响家畜粪便的理化性质。高蛋白补饲可提高粪便含氮量，高磷补饲可提高粪便含磷量，而适量的纤维补充则有利于粪便中有机质的稳定化。这意味着，通过科学设计补饲配方，可以定向“定制”粪便成分，使其更有利于土壤肥力的提升</w:t>
      </w:r>
      <w:r>
        <w:rPr>
          <w:rFonts w:ascii="宋体;SimSun" w:hAnsi="宋体;SimSun" w:cs="黑体;SimHei"/>
          <w:kern w:val="0"/>
          <w:sz w:val="22"/>
          <w:szCs w:val="20"/>
        </w:rPr>
        <w:t>，</w:t>
      </w:r>
      <w:r>
        <w:rPr>
          <w:rFonts w:ascii="宋体;SimSun" w:hAnsi="宋体;SimSun" w:cs="黑体;SimHei"/>
          <w:kern w:val="0"/>
          <w:sz w:val="22"/>
          <w:szCs w:val="20"/>
        </w:rPr>
        <w:t>这正是本规程的</w:t>
      </w:r>
      <w:r>
        <w:rPr>
          <w:rFonts w:ascii="宋体;SimSun" w:hAnsi="宋体;SimSun" w:cs="黑体;SimHei"/>
          <w:kern w:val="0"/>
          <w:sz w:val="22"/>
          <w:szCs w:val="20"/>
        </w:rPr>
        <w:t>关键</w:t>
      </w:r>
      <w:r>
        <w:rPr>
          <w:rFonts w:ascii="宋体;SimSun" w:hAnsi="宋体;SimSun" w:cs="黑体;SimHei"/>
          <w:kern w:val="0"/>
          <w:sz w:val="22"/>
          <w:szCs w:val="20"/>
        </w:rPr>
        <w:t>创新点之一。</w:t>
      </w:r>
    </w:p>
    <w:p>
      <w:pPr>
        <w:pStyle w:val="Normal"/>
        <w:widowControl/>
        <w:snapToGrid w:val="false"/>
        <w:spacing w:lineRule="auto" w:line="360"/>
        <w:ind w:firstLine="440" w:right="0"/>
        <w:rPr>
          <w:rFonts w:ascii="宋体;SimSun" w:hAnsi="宋体;SimSun" w:cs="黑体;SimHei"/>
          <w:b/>
          <w:bCs/>
          <w:kern w:val="0"/>
          <w:sz w:val="22"/>
          <w:szCs w:val="20"/>
        </w:rPr>
      </w:pPr>
      <w:r>
        <w:rPr>
          <w:rFonts w:ascii="宋体;SimSun" w:hAnsi="宋体;SimSun" w:cs="黑体;SimHei"/>
          <w:kern w:val="0"/>
          <w:sz w:val="22"/>
          <w:szCs w:val="20"/>
        </w:rPr>
        <w:t>目前，国内外关于放牧家畜补饲的标准多侧重于营养需要量的推荐（如</w:t>
      </w:r>
      <w:r>
        <w:rPr>
          <w:rFonts w:cs="黑体;SimHei" w:ascii="宋体;SimSun" w:hAnsi="宋体;SimSun"/>
          <w:kern w:val="0"/>
          <w:sz w:val="22"/>
          <w:szCs w:val="20"/>
        </w:rPr>
        <w:t>NRC</w:t>
      </w:r>
      <w:r>
        <w:rPr>
          <w:rFonts w:ascii="宋体;SimSun" w:hAnsi="宋体;SimSun" w:cs="黑体;SimHei"/>
          <w:kern w:val="0"/>
          <w:sz w:val="22"/>
          <w:szCs w:val="20"/>
        </w:rPr>
        <w:t>标准），或聚焦于特定区域、特定畜种的补饲操作规范，但鲜有从“调控土壤养分、促进草地生态恢复”角度制定的补饲技术标准。本规程的制定，将填补这一领域的技术规范空白，为以生态修复为导向的放牧管理提供标准化支撑。陇东地区现有滩羊饲养量约</w:t>
      </w:r>
      <w:r>
        <w:rPr>
          <w:rFonts w:cs="黑体;SimHei" w:ascii="宋体;SimSun" w:hAnsi="宋体;SimSun"/>
          <w:kern w:val="0"/>
          <w:sz w:val="22"/>
          <w:szCs w:val="20"/>
        </w:rPr>
        <w:t>300</w:t>
      </w:r>
      <w:r>
        <w:rPr>
          <w:rFonts w:ascii="宋体;SimSun" w:hAnsi="宋体;SimSun" w:cs="黑体;SimHei"/>
          <w:kern w:val="0"/>
          <w:sz w:val="22"/>
          <w:szCs w:val="20"/>
        </w:rPr>
        <w:t>万只，若本规程得到推广应用，按每只羊年均补饲饲料</w:t>
      </w:r>
      <w:r>
        <w:rPr>
          <w:rFonts w:cs="黑体;SimHei" w:ascii="宋体;SimSun" w:hAnsi="宋体;SimSun"/>
          <w:kern w:val="0"/>
          <w:sz w:val="22"/>
          <w:szCs w:val="20"/>
        </w:rPr>
        <w:t>50 kg</w:t>
      </w:r>
      <w:r>
        <w:rPr>
          <w:rFonts w:ascii="宋体;SimSun" w:hAnsi="宋体;SimSun" w:cs="黑体;SimHei"/>
          <w:kern w:val="0"/>
          <w:sz w:val="22"/>
          <w:szCs w:val="20"/>
        </w:rPr>
        <w:t>、每公斤补饲成本</w:t>
      </w:r>
      <w:r>
        <w:rPr>
          <w:rFonts w:cs="黑体;SimHei" w:ascii="宋体;SimSun" w:hAnsi="宋体;SimSun"/>
          <w:kern w:val="0"/>
          <w:sz w:val="22"/>
          <w:szCs w:val="20"/>
        </w:rPr>
        <w:t>1.8</w:t>
      </w:r>
      <w:r>
        <w:rPr>
          <w:rFonts w:ascii="宋体;SimSun" w:hAnsi="宋体;SimSun" w:cs="黑体;SimHei"/>
          <w:kern w:val="0"/>
          <w:sz w:val="22"/>
          <w:szCs w:val="20"/>
        </w:rPr>
        <w:t>元计算，直接饲料成本约</w:t>
      </w:r>
      <w:r>
        <w:rPr>
          <w:rFonts w:cs="黑体;SimHei" w:ascii="宋体;SimSun" w:hAnsi="宋体;SimSun"/>
          <w:kern w:val="0"/>
          <w:sz w:val="22"/>
          <w:szCs w:val="20"/>
        </w:rPr>
        <w:t>2.7</w:t>
      </w:r>
      <w:r>
        <w:rPr>
          <w:rFonts w:ascii="宋体;SimSun" w:hAnsi="宋体;SimSun" w:cs="黑体;SimHei"/>
          <w:kern w:val="0"/>
          <w:sz w:val="22"/>
          <w:szCs w:val="20"/>
        </w:rPr>
        <w:t>亿元</w:t>
      </w:r>
      <w:r>
        <w:rPr>
          <w:rFonts w:cs="黑体;SimHei" w:ascii="宋体;SimSun" w:hAnsi="宋体;SimSun"/>
          <w:kern w:val="0"/>
          <w:sz w:val="22"/>
          <w:szCs w:val="20"/>
        </w:rPr>
        <w:t>/</w:t>
      </w:r>
      <w:r>
        <w:rPr>
          <w:rFonts w:ascii="宋体;SimSun" w:hAnsi="宋体;SimSun" w:cs="黑体;SimHei"/>
          <w:kern w:val="0"/>
          <w:sz w:val="22"/>
          <w:szCs w:val="20"/>
        </w:rPr>
        <w:t>年。规范化的补饲管理预计可使滩羊出栏体重提高</w:t>
      </w:r>
      <w:r>
        <w:rPr>
          <w:rFonts w:cs="黑体;SimHei" w:ascii="宋体;SimSun" w:hAnsi="宋体;SimSun"/>
          <w:kern w:val="0"/>
          <w:sz w:val="22"/>
          <w:szCs w:val="20"/>
        </w:rPr>
        <w:t>15%</w:t>
      </w:r>
      <w:r>
        <w:rPr>
          <w:kern w:val="0"/>
          <w:sz w:val="22"/>
          <w:szCs w:val="20"/>
        </w:rPr>
        <w:t>~</w:t>
      </w:r>
      <w:r>
        <w:rPr>
          <w:rFonts w:cs="黑体;SimHei" w:ascii="宋体;SimSun" w:hAnsi="宋体;SimSun"/>
          <w:kern w:val="0"/>
          <w:sz w:val="22"/>
          <w:szCs w:val="20"/>
        </w:rPr>
        <w:t>20%</w:t>
      </w:r>
      <w:r>
        <w:rPr>
          <w:rFonts w:ascii="宋体;SimSun" w:hAnsi="宋体;SimSun" w:cs="黑体;SimHei"/>
          <w:kern w:val="0"/>
          <w:sz w:val="22"/>
          <w:szCs w:val="20"/>
        </w:rPr>
        <w:t>，养殖效益增加</w:t>
      </w:r>
      <w:r>
        <w:rPr>
          <w:rFonts w:cs="黑体;SimHei" w:ascii="宋体;SimSun" w:hAnsi="宋体;SimSun"/>
          <w:kern w:val="0"/>
          <w:sz w:val="22"/>
          <w:szCs w:val="20"/>
        </w:rPr>
        <w:t>25%</w:t>
      </w:r>
      <w:r>
        <w:rPr>
          <w:kern w:val="0"/>
          <w:sz w:val="22"/>
          <w:szCs w:val="20"/>
        </w:rPr>
        <w:t>~</w:t>
      </w:r>
      <w:r>
        <w:rPr>
          <w:rFonts w:cs="黑体;SimHei" w:ascii="宋体;SimSun" w:hAnsi="宋体;SimSun"/>
          <w:kern w:val="0"/>
          <w:sz w:val="22"/>
          <w:szCs w:val="20"/>
        </w:rPr>
        <w:t>30%</w:t>
      </w:r>
      <w:r>
        <w:rPr>
          <w:rFonts w:ascii="宋体;SimSun" w:hAnsi="宋体;SimSun" w:cs="黑体;SimHei"/>
          <w:kern w:val="0"/>
          <w:sz w:val="22"/>
          <w:szCs w:val="20"/>
        </w:rPr>
        <w:t>；同时，土壤肥力的改善可减少化肥施用量</w:t>
      </w:r>
      <w:r>
        <w:rPr>
          <w:rFonts w:cs="黑体;SimHei" w:ascii="宋体;SimSun" w:hAnsi="宋体;SimSun"/>
          <w:kern w:val="0"/>
          <w:sz w:val="22"/>
          <w:szCs w:val="20"/>
        </w:rPr>
        <w:t>30%</w:t>
      </w:r>
      <w:r>
        <w:rPr>
          <w:kern w:val="0"/>
          <w:sz w:val="22"/>
          <w:szCs w:val="20"/>
        </w:rPr>
        <w:t>~</w:t>
      </w:r>
      <w:r>
        <w:rPr>
          <w:rFonts w:cs="黑体;SimHei" w:ascii="宋体;SimSun" w:hAnsi="宋体;SimSun"/>
          <w:kern w:val="0"/>
          <w:sz w:val="22"/>
          <w:szCs w:val="20"/>
        </w:rPr>
        <w:t>40%</w:t>
      </w:r>
      <w:r>
        <w:rPr>
          <w:rFonts w:ascii="宋体;SimSun" w:hAnsi="宋体;SimSun" w:cs="黑体;SimHei"/>
          <w:kern w:val="0"/>
          <w:sz w:val="22"/>
          <w:szCs w:val="20"/>
        </w:rPr>
        <w:t>，草地生产力提升</w:t>
      </w:r>
      <w:r>
        <w:rPr>
          <w:rFonts w:cs="黑体;SimHei" w:ascii="宋体;SimSun" w:hAnsi="宋体;SimSun"/>
          <w:kern w:val="0"/>
          <w:sz w:val="22"/>
          <w:szCs w:val="20"/>
        </w:rPr>
        <w:t>20%</w:t>
      </w:r>
      <w:r>
        <w:rPr>
          <w:kern w:val="0"/>
          <w:sz w:val="22"/>
          <w:szCs w:val="20"/>
        </w:rPr>
        <w:t>~</w:t>
      </w:r>
      <w:r>
        <w:rPr>
          <w:rFonts w:cs="黑体;SimHei" w:ascii="宋体;SimSun" w:hAnsi="宋体;SimSun"/>
          <w:kern w:val="0"/>
          <w:sz w:val="22"/>
          <w:szCs w:val="20"/>
        </w:rPr>
        <w:t>25%</w:t>
      </w:r>
      <w:r>
        <w:rPr>
          <w:rFonts w:ascii="宋体;SimSun" w:hAnsi="宋体;SimSun" w:cs="黑体;SimHei"/>
          <w:kern w:val="0"/>
          <w:sz w:val="22"/>
          <w:szCs w:val="20"/>
        </w:rPr>
        <w:t>，综合经济效益和社会效益十分显著。本规程通过标准化的补饲技术推广，可在不增加放牧强度甚至降低放牧强度的前提下，实现草原生产力的恢复和土壤碳汇功能的提升，为区域生态安全提供技术支撑。</w:t>
      </w:r>
    </w:p>
    <w:p>
      <w:pPr>
        <w:pStyle w:val="Normal"/>
        <w:widowControl/>
        <w:snapToGrid w:val="false"/>
        <w:spacing w:lineRule="auto" w:line="360"/>
        <w:ind w:firstLine="440" w:right="0"/>
        <w:rPr>
          <w:rFonts w:ascii="宋体;SimSun" w:hAnsi="宋体;SimSun" w:cs="黑体;SimHei"/>
          <w:kern w:val="0"/>
          <w:sz w:val="22"/>
          <w:szCs w:val="20"/>
        </w:rPr>
      </w:pPr>
      <w:r>
        <w:rPr>
          <w:rFonts w:ascii="宋体;SimSun" w:hAnsi="宋体;SimSun" w:cs="黑体;SimHei"/>
          <w:kern w:val="0"/>
          <w:sz w:val="22"/>
          <w:szCs w:val="20"/>
        </w:rPr>
        <w:t>综上，《陇东典型草原放牧系统滩羊补饲技术规程》的制定，既是响应国家战略需求的必然之举，也是破解区域草牧业发展瓶颈的迫切需要，更是推动科技创新成果转化为现实生产力的重要途径。本规程的实施，将为陇东黄土高原典型草原区的草牧业可持续发展提供系统的标准化解决方案。</w:t>
      </w:r>
    </w:p>
    <w:p>
      <w:pPr>
        <w:pStyle w:val="Heading1"/>
        <w:ind w:hanging="0" w:left="0"/>
        <w:rPr>
          <w:rFonts w:ascii="宋体;SimSun" w:hAnsi="宋体;SimSun" w:cs="宋体;SimSun"/>
          <w:sz w:val="24"/>
          <w:szCs w:val="24"/>
        </w:rPr>
      </w:pPr>
      <w:bookmarkStart w:id="6" w:name="__RefHeading___Toc229433185"/>
      <w:bookmarkEnd w:id="6"/>
      <w:r>
        <w:rPr>
          <w:rFonts w:ascii="宋体;SimSun" w:hAnsi="宋体;SimSun" w:cs="宋体;SimSun"/>
          <w:sz w:val="24"/>
          <w:szCs w:val="24"/>
        </w:rPr>
        <w:t>二、主要工作过程</w:t>
      </w:r>
    </w:p>
    <w:p>
      <w:pPr>
        <w:pStyle w:val="Normal"/>
        <w:widowControl/>
        <w:snapToGrid w:val="false"/>
        <w:spacing w:lineRule="auto" w:line="360"/>
        <w:ind w:firstLine="440" w:right="0"/>
        <w:rPr/>
      </w:pPr>
      <w:r>
        <w:rPr>
          <w:rFonts w:cs="黑体;SimHei" w:ascii="宋体;SimSun" w:hAnsi="宋体;SimSun"/>
          <w:kern w:val="0"/>
          <w:sz w:val="22"/>
          <w:szCs w:val="20"/>
        </w:rPr>
        <w:t>2020</w:t>
      </w:r>
      <w:r>
        <w:rPr>
          <w:rFonts w:ascii="宋体;SimSun" w:hAnsi="宋体;SimSun" w:cs="黑体;SimHei"/>
          <w:kern w:val="0"/>
          <w:sz w:val="22"/>
          <w:szCs w:val="20"/>
        </w:rPr>
        <w:t>年</w:t>
      </w:r>
      <w:r>
        <w:rPr>
          <w:rFonts w:cs="黑体;SimHei" w:ascii="宋体;SimSun" w:hAnsi="宋体;SimSun"/>
          <w:kern w:val="0"/>
          <w:sz w:val="22"/>
          <w:szCs w:val="20"/>
        </w:rPr>
        <w:t>1</w:t>
      </w:r>
      <w:r>
        <w:rPr>
          <w:rFonts w:ascii="宋体;SimSun" w:hAnsi="宋体;SimSun" w:cs="黑体;SimHei"/>
          <w:kern w:val="0"/>
          <w:sz w:val="22"/>
          <w:szCs w:val="20"/>
        </w:rPr>
        <w:t xml:space="preserve">月 </w:t>
      </w:r>
      <w:r>
        <w:rPr>
          <w:rFonts w:cs="黑体;SimHei" w:ascii="宋体;SimSun" w:hAnsi="宋体;SimSun"/>
          <w:kern w:val="0"/>
          <w:sz w:val="22"/>
          <w:szCs w:val="20"/>
        </w:rPr>
        <w:t>- 202</w:t>
      </w:r>
      <w:r>
        <w:rPr>
          <w:rFonts w:cs="黑体;SimHei" w:ascii="宋体;SimSun" w:hAnsi="宋体;SimSun"/>
          <w:kern w:val="0"/>
          <w:sz w:val="22"/>
          <w:szCs w:val="20"/>
        </w:rPr>
        <w:t>4</w:t>
      </w:r>
      <w:r>
        <w:rPr>
          <w:rFonts w:ascii="宋体;SimSun" w:hAnsi="宋体;SimSun" w:cs="黑体;SimHei"/>
          <w:kern w:val="0"/>
          <w:sz w:val="22"/>
          <w:szCs w:val="20"/>
        </w:rPr>
        <w:t>年</w:t>
      </w:r>
      <w:r>
        <w:rPr>
          <w:rFonts w:cs="黑体;SimHei" w:ascii="宋体;SimSun" w:hAnsi="宋体;SimSun"/>
          <w:kern w:val="0"/>
          <w:sz w:val="22"/>
          <w:szCs w:val="20"/>
        </w:rPr>
        <w:t>12</w:t>
      </w:r>
      <w:r>
        <w:rPr>
          <w:rFonts w:ascii="宋体;SimSun" w:hAnsi="宋体;SimSun" w:cs="黑体;SimHei"/>
          <w:kern w:val="0"/>
          <w:sz w:val="22"/>
          <w:szCs w:val="20"/>
        </w:rPr>
        <w:t>月：依托国家三部委环县滩羊科技小院和甘肃省科技特派员等平台，在陇东黄土高原典型草原区持续开展放牧滩羊补饲相关试验研究。系统调查了不同放牧强度下土壤养分亏损动态、牧草产量与营养品质变化、家畜营养供需平衡等关键数据，初步验证了通过补饲调控排泄物养分返还、改善土壤肥力的技术可行性。</w:t>
      </w:r>
    </w:p>
    <w:p>
      <w:pPr>
        <w:pStyle w:val="Normal"/>
        <w:widowControl/>
        <w:snapToGrid w:val="false"/>
        <w:spacing w:lineRule="auto" w:line="360"/>
        <w:ind w:firstLine="440" w:right="0"/>
        <w:rPr>
          <w:rFonts w:ascii="宋体;SimSun" w:hAnsi="宋体;SimSun" w:cs="黑体;SimHei"/>
          <w:kern w:val="0"/>
          <w:sz w:val="22"/>
          <w:szCs w:val="20"/>
        </w:rPr>
      </w:pPr>
      <w:r>
        <w:rPr>
          <w:rFonts w:cs="黑体;SimHei" w:ascii="宋体;SimSun" w:hAnsi="宋体;SimSun"/>
          <w:kern w:val="0"/>
          <w:sz w:val="22"/>
          <w:szCs w:val="20"/>
        </w:rPr>
        <w:t>2025</w:t>
      </w:r>
      <w:r>
        <w:rPr>
          <w:rFonts w:ascii="宋体;SimSun" w:hAnsi="宋体;SimSun" w:cs="黑体;SimHei"/>
          <w:kern w:val="0"/>
          <w:sz w:val="22"/>
          <w:szCs w:val="20"/>
        </w:rPr>
        <w:t>年</w:t>
      </w:r>
      <w:r>
        <w:rPr>
          <w:rFonts w:cs="黑体;SimHei" w:ascii="宋体;SimSun" w:hAnsi="宋体;SimSun"/>
          <w:kern w:val="0"/>
          <w:sz w:val="22"/>
          <w:szCs w:val="20"/>
        </w:rPr>
        <w:t>1</w:t>
      </w:r>
      <w:r>
        <w:rPr>
          <w:rFonts w:ascii="宋体;SimSun" w:hAnsi="宋体;SimSun" w:cs="黑体;SimHei"/>
          <w:kern w:val="0"/>
          <w:sz w:val="22"/>
          <w:szCs w:val="20"/>
        </w:rPr>
        <w:t xml:space="preserve">月 </w:t>
      </w:r>
      <w:r>
        <w:rPr>
          <w:rFonts w:cs="黑体;SimHei" w:ascii="宋体;SimSun" w:hAnsi="宋体;SimSun"/>
          <w:kern w:val="0"/>
          <w:sz w:val="22"/>
          <w:szCs w:val="20"/>
        </w:rPr>
        <w:t>- 2025</w:t>
      </w:r>
      <w:r>
        <w:rPr>
          <w:rFonts w:ascii="宋体;SimSun" w:hAnsi="宋体;SimSun" w:cs="黑体;SimHei"/>
          <w:kern w:val="0"/>
          <w:sz w:val="22"/>
          <w:szCs w:val="20"/>
        </w:rPr>
        <w:t>年</w:t>
      </w:r>
      <w:r>
        <w:rPr>
          <w:rFonts w:cs="黑体;SimHei" w:ascii="宋体;SimSun" w:hAnsi="宋体;SimSun"/>
          <w:kern w:val="0"/>
          <w:sz w:val="22"/>
          <w:szCs w:val="20"/>
        </w:rPr>
        <w:t>8</w:t>
      </w:r>
      <w:r>
        <w:rPr>
          <w:rFonts w:ascii="宋体;SimSun" w:hAnsi="宋体;SimSun" w:cs="黑体;SimHei"/>
          <w:kern w:val="0"/>
          <w:sz w:val="22"/>
          <w:szCs w:val="20"/>
        </w:rPr>
        <w:t>月：系统整理多年试验数据，总结补饲关键技术参数，形成标准工作组讨论稿。期间多次组织起草组成员单位召开内部研讨会，就补饲配方设计原则、补饲量计算方法、补饲操作流程等核心条款进行充分讨论和修订。</w:t>
      </w:r>
    </w:p>
    <w:p>
      <w:pPr>
        <w:pStyle w:val="Normal"/>
        <w:widowControl/>
        <w:snapToGrid w:val="false"/>
        <w:spacing w:lineRule="auto" w:line="360"/>
        <w:ind w:firstLine="440" w:right="0"/>
        <w:rPr/>
      </w:pPr>
      <w:r>
        <w:rPr>
          <w:rFonts w:cs="黑体;SimHei" w:ascii="宋体;SimSun" w:hAnsi="宋体;SimSun"/>
          <w:kern w:val="0"/>
          <w:sz w:val="22"/>
          <w:szCs w:val="20"/>
        </w:rPr>
        <w:t>2025</w:t>
      </w:r>
      <w:r>
        <w:rPr>
          <w:rFonts w:ascii="宋体;SimSun" w:hAnsi="宋体;SimSun" w:cs="黑体;SimHei"/>
          <w:kern w:val="0"/>
          <w:sz w:val="22"/>
          <w:szCs w:val="20"/>
        </w:rPr>
        <w:t>年</w:t>
      </w:r>
      <w:r>
        <w:rPr>
          <w:rFonts w:cs="黑体;SimHei" w:ascii="宋体;SimSun" w:hAnsi="宋体;SimSun"/>
          <w:kern w:val="0"/>
          <w:sz w:val="22"/>
          <w:szCs w:val="20"/>
        </w:rPr>
        <w:t>9</w:t>
      </w:r>
      <w:r>
        <w:rPr>
          <w:rFonts w:ascii="宋体;SimSun" w:hAnsi="宋体;SimSun" w:cs="黑体;SimHei"/>
          <w:kern w:val="0"/>
          <w:sz w:val="22"/>
          <w:szCs w:val="20"/>
        </w:rPr>
        <w:t xml:space="preserve">月 </w:t>
      </w:r>
      <w:r>
        <w:rPr>
          <w:rFonts w:cs="黑体;SimHei" w:ascii="宋体;SimSun" w:hAnsi="宋体;SimSun"/>
          <w:kern w:val="0"/>
          <w:sz w:val="22"/>
          <w:szCs w:val="20"/>
        </w:rPr>
        <w:t>- 2025</w:t>
      </w:r>
      <w:r>
        <w:rPr>
          <w:rFonts w:ascii="宋体;SimSun" w:hAnsi="宋体;SimSun" w:cs="黑体;SimHei"/>
          <w:kern w:val="0"/>
          <w:sz w:val="22"/>
          <w:szCs w:val="20"/>
        </w:rPr>
        <w:t>年</w:t>
      </w:r>
      <w:r>
        <w:rPr>
          <w:rFonts w:cs="黑体;SimHei" w:ascii="宋体;SimSun" w:hAnsi="宋体;SimSun"/>
          <w:kern w:val="0"/>
          <w:sz w:val="22"/>
          <w:szCs w:val="20"/>
        </w:rPr>
        <w:t>12</w:t>
      </w:r>
      <w:r>
        <w:rPr>
          <w:rFonts w:ascii="宋体;SimSun" w:hAnsi="宋体;SimSun" w:cs="黑体;SimHei"/>
          <w:kern w:val="0"/>
          <w:sz w:val="22"/>
          <w:szCs w:val="20"/>
        </w:rPr>
        <w:t>月：在</w:t>
      </w:r>
      <w:r>
        <w:rPr>
          <w:rFonts w:ascii="宋体;SimSun" w:hAnsi="宋体;SimSun" w:cs="黑体;SimHei"/>
          <w:kern w:val="0"/>
          <w:sz w:val="22"/>
          <w:szCs w:val="20"/>
        </w:rPr>
        <w:t>陇东</w:t>
      </w:r>
      <w:r>
        <w:rPr>
          <w:rFonts w:ascii="宋体;SimSun" w:hAnsi="宋体;SimSun" w:cs="黑体;SimHei"/>
          <w:kern w:val="0"/>
          <w:sz w:val="22"/>
          <w:szCs w:val="20"/>
        </w:rPr>
        <w:t>典型</w:t>
      </w:r>
      <w:r>
        <w:rPr>
          <w:rFonts w:ascii="宋体;SimSun" w:hAnsi="宋体;SimSun" w:cs="黑体;SimHei"/>
          <w:kern w:val="0"/>
          <w:sz w:val="22"/>
          <w:szCs w:val="20"/>
        </w:rPr>
        <w:t>草原</w:t>
      </w:r>
      <w:r>
        <w:rPr>
          <w:rFonts w:ascii="宋体;SimSun" w:hAnsi="宋体;SimSun" w:cs="黑体;SimHei"/>
          <w:kern w:val="0"/>
          <w:sz w:val="22"/>
          <w:szCs w:val="20"/>
        </w:rPr>
        <w:t>开展标准草案的实地验证工作，选取</w:t>
      </w:r>
      <w:r>
        <w:rPr>
          <w:rFonts w:cs="黑体;SimHei" w:ascii="宋体;SimSun" w:hAnsi="宋体;SimSun"/>
          <w:kern w:val="0"/>
          <w:sz w:val="22"/>
          <w:szCs w:val="20"/>
        </w:rPr>
        <w:t>3</w:t>
      </w:r>
      <w:r>
        <w:rPr>
          <w:rFonts w:ascii="宋体;SimSun" w:hAnsi="宋体;SimSun" w:cs="黑体;SimHei"/>
          <w:kern w:val="0"/>
          <w:sz w:val="22"/>
          <w:szCs w:val="20"/>
        </w:rPr>
        <w:t>个代表性放牧单元，按草案技术条款进行补饲管理，跟踪监测家畜生产性能和土壤养分变化，验证技术参数的合理性和可操作性。</w:t>
      </w:r>
    </w:p>
    <w:p>
      <w:pPr>
        <w:pStyle w:val="Normal"/>
        <w:widowControl/>
        <w:snapToGrid w:val="false"/>
        <w:spacing w:lineRule="auto" w:line="360"/>
        <w:ind w:firstLine="440" w:right="0"/>
        <w:rPr/>
      </w:pPr>
      <w:r>
        <w:rPr>
          <w:rFonts w:cs="黑体;SimHei" w:ascii="宋体;SimSun" w:hAnsi="宋体;SimSun"/>
          <w:kern w:val="0"/>
          <w:sz w:val="22"/>
          <w:szCs w:val="20"/>
        </w:rPr>
        <w:t>2026</w:t>
      </w:r>
      <w:r>
        <w:rPr>
          <w:rFonts w:ascii="宋体;SimSun" w:hAnsi="宋体;SimSun" w:cs="黑体;SimHei"/>
          <w:kern w:val="0"/>
          <w:sz w:val="22"/>
          <w:szCs w:val="20"/>
        </w:rPr>
        <w:t>年</w:t>
      </w:r>
      <w:r>
        <w:rPr>
          <w:rFonts w:cs="黑体;SimHei" w:ascii="宋体;SimSun" w:hAnsi="宋体;SimSun"/>
          <w:kern w:val="0"/>
          <w:sz w:val="22"/>
          <w:szCs w:val="20"/>
        </w:rPr>
        <w:t>1</w:t>
      </w:r>
      <w:r>
        <w:rPr>
          <w:rFonts w:ascii="宋体;SimSun" w:hAnsi="宋体;SimSun" w:cs="黑体;SimHei"/>
          <w:kern w:val="0"/>
          <w:sz w:val="22"/>
          <w:szCs w:val="20"/>
        </w:rPr>
        <w:t xml:space="preserve">月 </w:t>
      </w:r>
      <w:r>
        <w:rPr>
          <w:rFonts w:cs="黑体;SimHei" w:ascii="宋体;SimSun" w:hAnsi="宋体;SimSun"/>
          <w:kern w:val="0"/>
          <w:sz w:val="22"/>
          <w:szCs w:val="20"/>
        </w:rPr>
        <w:t>- 2026</w:t>
      </w:r>
      <w:r>
        <w:rPr>
          <w:rFonts w:ascii="宋体;SimSun" w:hAnsi="宋体;SimSun" w:cs="黑体;SimHei"/>
          <w:kern w:val="0"/>
          <w:sz w:val="22"/>
          <w:szCs w:val="20"/>
        </w:rPr>
        <w:t>年</w:t>
      </w:r>
      <w:r>
        <w:rPr>
          <w:rFonts w:cs="黑体;SimHei" w:ascii="宋体;SimSun" w:hAnsi="宋体;SimSun"/>
          <w:kern w:val="0"/>
          <w:sz w:val="22"/>
          <w:szCs w:val="20"/>
        </w:rPr>
        <w:t>4</w:t>
      </w:r>
      <w:r>
        <w:rPr>
          <w:rFonts w:ascii="宋体;SimSun" w:hAnsi="宋体;SimSun" w:cs="黑体;SimHei"/>
          <w:kern w:val="0"/>
          <w:sz w:val="22"/>
          <w:szCs w:val="20"/>
        </w:rPr>
        <w:t>月：编写标准征求意见稿文本及编制说明。由北京华夏草业产业技术创新战略联盟组织国内相关专家对《陇东典型草原放牧系统滩羊补饲技术规程》征求意见稿及编制说明进行会议评审。</w:t>
      </w:r>
    </w:p>
    <w:p>
      <w:pPr>
        <w:pStyle w:val="Heading1"/>
        <w:ind w:hanging="0" w:left="0"/>
        <w:rPr>
          <w:rFonts w:ascii="宋体;SimSun" w:hAnsi="宋体;SimSun" w:cs="宋体;SimSun"/>
          <w:sz w:val="24"/>
          <w:szCs w:val="24"/>
        </w:rPr>
      </w:pPr>
      <w:bookmarkStart w:id="7" w:name="__RefHeading___Toc229433186"/>
      <w:bookmarkEnd w:id="7"/>
      <w:r>
        <w:rPr>
          <w:rFonts w:ascii="宋体;SimSun" w:hAnsi="宋体;SimSun" w:cs="宋体;SimSun"/>
          <w:sz w:val="24"/>
          <w:szCs w:val="24"/>
        </w:rPr>
        <w:t>三、标准编制原则和主要技术内容确定的依据</w:t>
      </w:r>
    </w:p>
    <w:p>
      <w:pPr>
        <w:pStyle w:val="Heading2"/>
        <w:spacing w:before="0" w:after="0"/>
        <w:ind w:hanging="0" w:left="0"/>
        <w:rPr>
          <w:sz w:val="22"/>
          <w:szCs w:val="28"/>
        </w:rPr>
      </w:pPr>
      <w:bookmarkStart w:id="8" w:name="__RefHeading___Toc229433187"/>
      <w:bookmarkEnd w:id="8"/>
      <w:r>
        <w:rPr>
          <w:sz w:val="22"/>
          <w:szCs w:val="28"/>
        </w:rPr>
        <w:t>1</w:t>
      </w:r>
      <w:r>
        <w:rPr>
          <w:sz w:val="22"/>
          <w:szCs w:val="28"/>
        </w:rPr>
        <w:t>、总体标准编制原则</w:t>
      </w:r>
    </w:p>
    <w:p>
      <w:pPr>
        <w:pStyle w:val="Normal"/>
        <w:spacing w:lineRule="auto" w:line="360"/>
        <w:ind w:firstLine="440" w:right="0"/>
        <w:rPr>
          <w:rFonts w:ascii="宋体;SimSun" w:hAnsi="宋体;SimSun" w:cs="宋体;SimSun"/>
          <w:sz w:val="22"/>
          <w:szCs w:val="20"/>
        </w:rPr>
      </w:pPr>
      <w:r>
        <w:rPr>
          <w:rFonts w:ascii="宋体;SimSun" w:hAnsi="宋体;SimSun" w:cs="宋体;SimSun"/>
          <w:sz w:val="22"/>
          <w:szCs w:val="20"/>
        </w:rPr>
        <w:t>按照</w:t>
      </w:r>
      <w:r>
        <w:rPr>
          <w:rFonts w:cs="宋体;SimSun" w:ascii="宋体;SimSun" w:hAnsi="宋体;SimSun"/>
          <w:sz w:val="22"/>
          <w:szCs w:val="20"/>
        </w:rPr>
        <w:t>GB/T 1.1-2020</w:t>
      </w:r>
      <w:r>
        <w:rPr>
          <w:rFonts w:ascii="宋体;SimSun" w:hAnsi="宋体;SimSun" w:cs="宋体;SimSun"/>
          <w:sz w:val="22"/>
          <w:szCs w:val="20"/>
        </w:rPr>
        <w:t>《标准化工作导则 第</w:t>
      </w:r>
      <w:r>
        <w:rPr>
          <w:rFonts w:cs="宋体;SimSun" w:ascii="宋体;SimSun" w:hAnsi="宋体;SimSun"/>
          <w:sz w:val="22"/>
          <w:szCs w:val="20"/>
        </w:rPr>
        <w:t>1</w:t>
      </w:r>
      <w:r>
        <w:rPr>
          <w:rFonts w:ascii="宋体;SimSun" w:hAnsi="宋体;SimSun" w:cs="宋体;SimSun"/>
          <w:sz w:val="22"/>
          <w:szCs w:val="20"/>
        </w:rPr>
        <w:t>部分：标准化文件的结构和起草规则》的要求和规定编写本文件内容。本文件制定过程中，始终遵循密切联系生产实践，确保标准具有较强的科学性、可操作性，坚持促进行业规范发展的基本原则。以系统性、实用性、先进性作为编制标准的指导思想，突出“以调控土壤养分积累为目标”的创新理念。在技术内容上力求涵盖补饲前调查评估、补饲方案设计、补饲操作实施、效果监测评估等全链条关键技术环节。制定过程中认真总结多年的试验研究结果和示范推广经验，并参阅和汲取了国内相关标准的经验和条款，符合我国草原放牧系统科学管理技术的应用实际。该标准与现行法律法规无冲突，并保证了对该标准最新版本的引用</w:t>
      </w:r>
      <w:r>
        <w:rPr>
          <w:rFonts w:ascii="宋体;SimSun" w:hAnsi="宋体;SimSun" w:cs="宋体;SimSun"/>
          <w:sz w:val="22"/>
          <w:szCs w:val="20"/>
        </w:rPr>
        <w:t>。</w:t>
      </w:r>
    </w:p>
    <w:p>
      <w:pPr>
        <w:pStyle w:val="Heading2"/>
        <w:spacing w:before="0" w:after="0"/>
        <w:ind w:hanging="0" w:left="0"/>
        <w:rPr>
          <w:sz w:val="22"/>
          <w:szCs w:val="28"/>
        </w:rPr>
      </w:pPr>
      <w:bookmarkStart w:id="9" w:name="__RefHeading___Toc229433188"/>
      <w:bookmarkEnd w:id="9"/>
      <w:r>
        <w:rPr>
          <w:sz w:val="22"/>
          <w:szCs w:val="28"/>
        </w:rPr>
        <w:t>2</w:t>
      </w:r>
      <w:r>
        <w:rPr>
          <w:sz w:val="22"/>
          <w:szCs w:val="28"/>
        </w:rPr>
        <w:t>、主要技术内容确定的论据</w:t>
      </w:r>
    </w:p>
    <w:p>
      <w:pPr>
        <w:pStyle w:val="Normal"/>
        <w:spacing w:lineRule="auto" w:line="360"/>
        <w:ind w:left="480" w:right="0"/>
        <w:rPr>
          <w:rFonts w:ascii="宋体;SimSun" w:hAnsi="宋体;SimSun" w:cs="宋体;SimSun"/>
          <w:b/>
          <w:color w:val="000000"/>
          <w:sz w:val="22"/>
          <w:szCs w:val="20"/>
        </w:rPr>
      </w:pPr>
      <w:r>
        <w:rPr>
          <w:rFonts w:ascii="宋体;SimSun" w:hAnsi="宋体;SimSun" w:cs="宋体;SimSun"/>
          <w:b/>
          <w:color w:val="000000"/>
          <w:sz w:val="22"/>
          <w:szCs w:val="20"/>
        </w:rPr>
        <w:t>（</w:t>
      </w:r>
      <w:bookmarkStart w:id="10" w:name="OLE_LINK20"/>
      <w:r>
        <w:rPr>
          <w:rFonts w:cs="宋体;SimSun" w:ascii="宋体;SimSun" w:hAnsi="宋体;SimSun"/>
          <w:b/>
          <w:color w:val="000000"/>
          <w:sz w:val="22"/>
          <w:szCs w:val="20"/>
        </w:rPr>
        <w:t>1</w:t>
      </w:r>
      <w:r>
        <w:rPr>
          <w:rFonts w:ascii="宋体;SimSun" w:hAnsi="宋体;SimSun" w:cs="宋体;SimSun"/>
          <w:b/>
          <w:color w:val="000000"/>
          <w:sz w:val="22"/>
          <w:szCs w:val="20"/>
        </w:rPr>
        <w:t>）</w:t>
      </w:r>
      <w:r>
        <w:rPr>
          <w:rFonts w:ascii="宋体;SimSun" w:hAnsi="宋体;SimSun" w:cs="宋体;SimSun"/>
          <w:b/>
          <w:color w:val="000000"/>
          <w:sz w:val="22"/>
          <w:szCs w:val="20"/>
        </w:rPr>
        <w:t>适用</w:t>
      </w:r>
      <w:r>
        <w:rPr>
          <w:rFonts w:ascii="宋体;SimSun" w:hAnsi="宋体;SimSun" w:cs="宋体;SimSun"/>
          <w:b/>
          <w:color w:val="000000"/>
          <w:sz w:val="22"/>
          <w:szCs w:val="20"/>
        </w:rPr>
        <w:t>范围</w:t>
      </w:r>
    </w:p>
    <w:p>
      <w:pPr>
        <w:pStyle w:val="Normal"/>
        <w:spacing w:lineRule="auto" w:line="360"/>
        <w:ind w:firstLine="440" w:right="0"/>
        <w:rPr>
          <w:sz w:val="22"/>
          <w:szCs w:val="20"/>
        </w:rPr>
      </w:pPr>
      <w:r>
        <w:rPr>
          <w:sz w:val="22"/>
          <w:szCs w:val="20"/>
        </w:rPr>
        <w:t>本文件基于陇东黄土高原典型草原区放牧系统多年的研究和推广实践，旨在建立以改善放牧地土壤养分状况为目标的滩羊补饲技术规范。</w:t>
      </w:r>
    </w:p>
    <w:p>
      <w:pPr>
        <w:pStyle w:val="Normal"/>
        <w:spacing w:lineRule="auto" w:line="360"/>
        <w:ind w:firstLine="440" w:right="0"/>
        <w:rPr/>
      </w:pPr>
      <w:r>
        <w:rPr>
          <w:sz w:val="22"/>
          <w:szCs w:val="20"/>
        </w:rPr>
        <w:t>本规程突出了补饲的“双重功能”</w:t>
      </w:r>
      <w:r>
        <w:rPr>
          <w:sz w:val="22"/>
          <w:szCs w:val="20"/>
        </w:rPr>
        <w:t>，</w:t>
      </w:r>
      <w:r>
        <w:rPr>
          <w:sz w:val="22"/>
          <w:szCs w:val="20"/>
        </w:rPr>
        <w:t>既要满足家畜营养需求，更要通过优化排泄物成分来补偿土壤养分亏损。因此，本文件适用于陇东黄土高原典型草原区，以改善放牧地土壤养分状况为目标的放牧滩羊补饲管理。</w:t>
      </w:r>
    </w:p>
    <w:p>
      <w:pPr>
        <w:pStyle w:val="Normal"/>
        <w:spacing w:lineRule="auto" w:line="360"/>
        <w:ind w:firstLine="442" w:right="0"/>
        <w:rPr>
          <w:rFonts w:ascii="宋体;SimSun" w:hAnsi="宋体;SimSun" w:cs="宋体;SimSun"/>
          <w:b/>
          <w:bCs/>
          <w:sz w:val="22"/>
          <w:szCs w:val="22"/>
        </w:rPr>
      </w:pPr>
      <w:bookmarkEnd w:id="10"/>
      <w:r>
        <w:rPr>
          <w:rFonts w:ascii="宋体;SimSun" w:hAnsi="宋体;SimSun" w:cs="宋体;SimSun"/>
          <w:b/>
          <w:bCs/>
          <w:sz w:val="22"/>
          <w:szCs w:val="22"/>
        </w:rPr>
        <w:t>（</w:t>
      </w:r>
      <w:r>
        <w:rPr>
          <w:rFonts w:cs="宋体;SimSun" w:ascii="宋体;SimSun" w:hAnsi="宋体;SimSun"/>
          <w:b/>
          <w:bCs/>
          <w:sz w:val="22"/>
          <w:szCs w:val="22"/>
        </w:rPr>
        <w:t>2</w:t>
      </w:r>
      <w:r>
        <w:rPr>
          <w:rFonts w:ascii="宋体;SimSun" w:hAnsi="宋体;SimSun" w:cs="宋体;SimSun"/>
          <w:b/>
          <w:bCs/>
          <w:sz w:val="22"/>
          <w:szCs w:val="22"/>
        </w:rPr>
        <w:t>）规范性引用文件</w:t>
      </w:r>
    </w:p>
    <w:p>
      <w:pPr>
        <w:pStyle w:val="Normal"/>
        <w:spacing w:lineRule="auto" w:line="360"/>
        <w:ind w:firstLine="440" w:right="0"/>
        <w:rPr>
          <w:sz w:val="22"/>
          <w:szCs w:val="20"/>
        </w:rPr>
      </w:pPr>
      <w:r>
        <w:rPr>
          <w:sz w:val="22"/>
          <w:szCs w:val="20"/>
        </w:rPr>
        <w:t>本文件制定时引用了多项国家和行业标准，包括《草原健康状况评价》（</w:t>
      </w:r>
      <w:r>
        <w:rPr>
          <w:sz w:val="22"/>
          <w:szCs w:val="20"/>
        </w:rPr>
        <w:t>GB/T 21439</w:t>
      </w:r>
      <w:r>
        <w:rPr>
          <w:sz w:val="22"/>
          <w:szCs w:val="20"/>
        </w:rPr>
        <w:t>）、《天然草地合理载畜量的计算》（</w:t>
      </w:r>
      <w:r>
        <w:rPr>
          <w:sz w:val="22"/>
          <w:szCs w:val="20"/>
        </w:rPr>
        <w:t>NY/T 635</w:t>
      </w:r>
      <w:r>
        <w:rPr>
          <w:sz w:val="22"/>
          <w:szCs w:val="20"/>
        </w:rPr>
        <w:t>）、土壤检测系列标准（</w:t>
      </w:r>
      <w:r>
        <w:rPr>
          <w:sz w:val="22"/>
          <w:szCs w:val="20"/>
        </w:rPr>
        <w:t>NY/T 1121.1</w:t>
      </w:r>
      <w:r>
        <w:rPr>
          <w:sz w:val="22"/>
          <w:szCs w:val="20"/>
        </w:rPr>
        <w:t>、</w:t>
      </w:r>
      <w:r>
        <w:rPr>
          <w:sz w:val="22"/>
          <w:szCs w:val="20"/>
        </w:rPr>
        <w:t>NY/T 1121.6</w:t>
      </w:r>
      <w:r>
        <w:rPr>
          <w:sz w:val="22"/>
          <w:szCs w:val="20"/>
        </w:rPr>
        <w:t>、</w:t>
      </w:r>
      <w:r>
        <w:rPr>
          <w:sz w:val="22"/>
          <w:szCs w:val="20"/>
        </w:rPr>
        <w:t>NY/T 1121.24</w:t>
      </w:r>
      <w:r>
        <w:rPr>
          <w:sz w:val="22"/>
          <w:szCs w:val="20"/>
        </w:rPr>
        <w:t>、</w:t>
      </w:r>
      <w:r>
        <w:rPr>
          <w:sz w:val="22"/>
          <w:szCs w:val="20"/>
        </w:rPr>
        <w:t>NY/T 1121.7</w:t>
      </w:r>
      <w:r>
        <w:rPr>
          <w:sz w:val="22"/>
          <w:szCs w:val="20"/>
        </w:rPr>
        <w:t>）、《休牧和禁牧技术规程》（</w:t>
      </w:r>
      <w:r>
        <w:rPr>
          <w:sz w:val="22"/>
          <w:szCs w:val="20"/>
        </w:rPr>
        <w:t>NY/T 1176-2006</w:t>
      </w:r>
      <w:r>
        <w:rPr>
          <w:sz w:val="22"/>
          <w:szCs w:val="20"/>
        </w:rPr>
        <w:t>）、《草原围栏建设技术规程》（</w:t>
      </w:r>
      <w:r>
        <w:rPr>
          <w:sz w:val="22"/>
          <w:szCs w:val="20"/>
        </w:rPr>
        <w:t>NY/T 1237-2006</w:t>
      </w:r>
      <w:r>
        <w:rPr>
          <w:sz w:val="22"/>
          <w:szCs w:val="20"/>
        </w:rPr>
        <w:t>）、《草原划区轮牧技术规程》（</w:t>
      </w:r>
      <w:r>
        <w:rPr>
          <w:sz w:val="22"/>
          <w:szCs w:val="20"/>
        </w:rPr>
        <w:t>NY/T 1343-2007</w:t>
      </w:r>
      <w:r>
        <w:rPr>
          <w:sz w:val="22"/>
          <w:szCs w:val="20"/>
        </w:rPr>
        <w:t>）以及本联盟相关标准《陇东典型草原滩羊划区轮牧技术规程》（</w:t>
      </w:r>
      <w:r>
        <w:rPr>
          <w:sz w:val="22"/>
          <w:szCs w:val="20"/>
        </w:rPr>
        <w:t>T/HXCY 119-2025</w:t>
      </w:r>
      <w:r>
        <w:rPr>
          <w:sz w:val="22"/>
          <w:szCs w:val="20"/>
        </w:rPr>
        <w:t>），确保了技术体系的协调性和一致性。</w:t>
      </w:r>
    </w:p>
    <w:p>
      <w:pPr>
        <w:pStyle w:val="Normal"/>
        <w:spacing w:lineRule="auto" w:line="360"/>
        <w:ind w:firstLine="442" w:right="0"/>
        <w:rPr>
          <w:rFonts w:ascii="宋体;SimSun" w:hAnsi="宋体;SimSun" w:cs="宋体;SimSun"/>
          <w:b/>
          <w:bCs/>
          <w:sz w:val="22"/>
          <w:szCs w:val="22"/>
        </w:rPr>
      </w:pPr>
      <w:r>
        <w:rPr>
          <w:rFonts w:ascii="宋体;SimSun" w:hAnsi="宋体;SimSun" w:cs="宋体;SimSun"/>
          <w:b/>
          <w:bCs/>
          <w:sz w:val="22"/>
          <w:szCs w:val="22"/>
        </w:rPr>
        <w:t>（</w:t>
      </w:r>
      <w:r>
        <w:rPr>
          <w:rFonts w:cs="宋体;SimSun" w:ascii="宋体;SimSun" w:hAnsi="宋体;SimSun"/>
          <w:b/>
          <w:bCs/>
          <w:sz w:val="22"/>
          <w:szCs w:val="22"/>
        </w:rPr>
        <w:t>3</w:t>
      </w:r>
      <w:r>
        <w:rPr>
          <w:rFonts w:ascii="宋体;SimSun" w:hAnsi="宋体;SimSun" w:cs="宋体;SimSun"/>
          <w:b/>
          <w:bCs/>
          <w:sz w:val="22"/>
          <w:szCs w:val="22"/>
        </w:rPr>
        <w:t>）术语与定义</w:t>
      </w:r>
    </w:p>
    <w:p>
      <w:pPr>
        <w:pStyle w:val="Normal"/>
        <w:spacing w:lineRule="auto" w:line="360"/>
        <w:ind w:firstLine="440" w:right="0"/>
        <w:rPr>
          <w:sz w:val="22"/>
          <w:szCs w:val="20"/>
        </w:rPr>
      </w:pPr>
      <w:r>
        <w:rPr>
          <w:sz w:val="22"/>
          <w:szCs w:val="20"/>
        </w:rPr>
        <w:t>本文件中出现的术语和定义依据国内外相关文献资料，包括著作、专著、已发表的论文、各级标准等。同时，结合标准起草组研究应用实践经验，并咨询业内相关专家学者，最后经参编人员讨论确定本文件</w:t>
      </w:r>
      <w:r>
        <w:rPr>
          <w:sz w:val="22"/>
          <w:szCs w:val="20"/>
        </w:rPr>
        <w:t>在通用术语基础上，特别定义了“土壤养分亏损”“排泄物养分返还”等核心概念，明确了补饲的双重目标。这些术语的定义依据国内外相关文献及起草组多年研究实践，经参编人员充分讨论确定。</w:t>
      </w:r>
      <w:r>
        <w:rPr>
          <w:sz w:val="22"/>
          <w:szCs w:val="20"/>
        </w:rPr>
        <w:t>。</w:t>
      </w:r>
    </w:p>
    <w:p>
      <w:pPr>
        <w:pStyle w:val="Normal"/>
        <w:spacing w:lineRule="auto" w:line="360"/>
        <w:ind w:firstLine="442" w:right="0"/>
        <w:rPr/>
      </w:pPr>
      <w:r>
        <w:rPr>
          <w:rFonts w:ascii="宋体;SimSun" w:hAnsi="宋体;SimSun" w:cs="宋体;SimSun"/>
          <w:b/>
          <w:bCs/>
          <w:sz w:val="22"/>
          <w:szCs w:val="22"/>
        </w:rPr>
        <w:t>（</w:t>
      </w:r>
      <w:r>
        <w:rPr>
          <w:rFonts w:cs="宋体;SimSun" w:ascii="宋体;SimSun" w:hAnsi="宋体;SimSun"/>
          <w:b/>
          <w:bCs/>
          <w:sz w:val="22"/>
          <w:szCs w:val="22"/>
        </w:rPr>
        <w:t>4</w:t>
      </w:r>
      <w:r>
        <w:rPr>
          <w:rFonts w:ascii="宋体;SimSun" w:hAnsi="宋体;SimSun" w:cs="宋体;SimSun"/>
          <w:b/>
          <w:bCs/>
          <w:sz w:val="22"/>
          <w:szCs w:val="22"/>
        </w:rPr>
        <w:t>）标准编写学术依据</w:t>
      </w:r>
    </w:p>
    <w:p>
      <w:pPr>
        <w:pStyle w:val="Normal"/>
        <w:spacing w:lineRule="auto" w:line="360"/>
        <w:ind w:firstLine="440" w:right="0"/>
        <w:rPr>
          <w:sz w:val="22"/>
          <w:szCs w:val="20"/>
        </w:rPr>
      </w:pPr>
      <w:r>
        <w:rPr>
          <w:sz w:val="22"/>
          <w:szCs w:val="20"/>
        </w:rPr>
        <w:t>本技术规程的学术数据主要来自兰州大学在陇东黄土高原典型草原区多年定位试验结果，以及参考他人研究结果。</w:t>
      </w:r>
    </w:p>
    <w:p>
      <w:pPr>
        <w:pStyle w:val="Normal"/>
        <w:spacing w:lineRule="auto" w:line="360"/>
        <w:ind w:firstLine="440" w:right="0"/>
        <w:rPr>
          <w:sz w:val="22"/>
          <w:szCs w:val="20"/>
        </w:rPr>
      </w:pPr>
      <w:r>
        <w:rPr>
          <w:sz w:val="22"/>
          <w:szCs w:val="20"/>
        </w:rPr>
        <w:t>编写组</w:t>
      </w:r>
      <w:r>
        <w:rPr>
          <w:sz w:val="22"/>
          <w:szCs w:val="20"/>
        </w:rPr>
        <w:t>20</w:t>
      </w:r>
      <w:r>
        <w:rPr>
          <w:sz w:val="22"/>
          <w:szCs w:val="20"/>
        </w:rPr>
        <w:t>余年致力于黄土高原农牧业资源管理与利用的研究与示范推广工作，依托国家三部委环县滩羊科技小院等平台，在陇东黄土高原开展了放牧滩羊补饲对土壤</w:t>
      </w:r>
      <w:r>
        <w:rPr>
          <w:sz w:val="22"/>
          <w:szCs w:val="20"/>
        </w:rPr>
        <w:t>-</w:t>
      </w:r>
      <w:r>
        <w:rPr>
          <w:sz w:val="22"/>
          <w:szCs w:val="20"/>
        </w:rPr>
        <w:t>植被</w:t>
      </w:r>
      <w:r>
        <w:rPr>
          <w:sz w:val="22"/>
          <w:szCs w:val="20"/>
        </w:rPr>
        <w:t>-</w:t>
      </w:r>
      <w:r>
        <w:rPr>
          <w:sz w:val="22"/>
          <w:szCs w:val="20"/>
        </w:rPr>
        <w:t>家畜系统影响的系统研究，收集了第一手资料，为本标准的完成提供了坚实的技术支持。</w:t>
      </w:r>
    </w:p>
    <w:p>
      <w:pPr>
        <w:pStyle w:val="Normal"/>
        <w:spacing w:lineRule="auto" w:line="360"/>
        <w:ind w:firstLine="440" w:right="0"/>
        <w:rPr>
          <w:sz w:val="22"/>
          <w:szCs w:val="20"/>
        </w:rPr>
      </w:pPr>
      <w:r>
        <w:rPr>
          <w:sz w:val="22"/>
          <w:szCs w:val="20"/>
        </w:rPr>
        <w:t>为确定补饲关键技术参数，在陇东黄土高原典型草原区开展了</w:t>
      </w:r>
      <w:r>
        <w:rPr>
          <w:sz w:val="22"/>
          <w:szCs w:val="20"/>
        </w:rPr>
        <w:t>补饲</w:t>
      </w:r>
      <w:r>
        <w:rPr>
          <w:sz w:val="22"/>
          <w:szCs w:val="20"/>
        </w:rPr>
        <w:t>试验：</w:t>
      </w:r>
    </w:p>
    <w:p>
      <w:pPr>
        <w:pStyle w:val="Normal"/>
        <w:spacing w:lineRule="auto" w:line="360"/>
        <w:ind w:firstLine="442" w:right="0"/>
        <w:rPr>
          <w:b/>
          <w:bCs/>
          <w:sz w:val="24"/>
          <w:szCs w:val="24"/>
        </w:rPr>
      </w:pPr>
      <w:r>
        <w:rPr>
          <w:b/>
          <w:bCs/>
          <w:sz w:val="22"/>
          <w:szCs w:val="20"/>
        </w:rPr>
        <w:t>实验设计：</w:t>
      </w:r>
      <w:r>
        <w:rPr>
          <w:sz w:val="22"/>
          <w:szCs w:val="20"/>
        </w:rPr>
        <w:t>采用单因素完全随机区组设计。</w:t>
      </w:r>
      <w:r>
        <w:rPr>
          <w:sz w:val="22"/>
          <w:szCs w:val="20"/>
        </w:rPr>
        <w:t>202</w:t>
      </w:r>
      <w:r>
        <w:rPr>
          <w:sz w:val="22"/>
          <w:szCs w:val="20"/>
        </w:rPr>
        <w:t>2</w:t>
      </w:r>
      <w:r>
        <w:rPr>
          <w:sz w:val="22"/>
          <w:szCs w:val="20"/>
        </w:rPr>
        <w:t>年</w:t>
      </w:r>
      <w:r>
        <w:rPr>
          <w:sz w:val="22"/>
          <w:szCs w:val="20"/>
        </w:rPr>
        <w:t>5</w:t>
      </w:r>
      <w:r>
        <w:rPr>
          <w:sz w:val="22"/>
          <w:szCs w:val="20"/>
        </w:rPr>
        <w:t>月，选取植被和土壤条件相对均匀的放牧地，</w:t>
      </w:r>
      <w:r>
        <w:rPr>
          <w:sz w:val="22"/>
          <w:szCs w:val="20"/>
        </w:rPr>
        <w:t>按照放牧家畜的体重的</w:t>
      </w:r>
      <w:r>
        <w:rPr>
          <w:sz w:val="22"/>
          <w:szCs w:val="20"/>
        </w:rPr>
        <w:t>0.5%</w:t>
      </w:r>
      <w:r>
        <w:rPr>
          <w:sz w:val="22"/>
          <w:szCs w:val="20"/>
        </w:rPr>
        <w:t>（</w:t>
      </w:r>
      <w:r>
        <w:rPr>
          <w:sz w:val="22"/>
          <w:szCs w:val="20"/>
        </w:rPr>
        <w:t>T1</w:t>
      </w:r>
      <w:r>
        <w:rPr>
          <w:sz w:val="22"/>
          <w:szCs w:val="20"/>
        </w:rPr>
        <w:t>）、</w:t>
      </w:r>
      <w:r>
        <w:rPr>
          <w:sz w:val="22"/>
          <w:szCs w:val="20"/>
        </w:rPr>
        <w:t>1.0%</w:t>
      </w:r>
      <w:r>
        <w:rPr>
          <w:sz w:val="22"/>
          <w:szCs w:val="20"/>
        </w:rPr>
        <w:t>（</w:t>
      </w:r>
      <w:r>
        <w:rPr>
          <w:sz w:val="22"/>
          <w:szCs w:val="20"/>
        </w:rPr>
        <w:t>T2</w:t>
      </w:r>
      <w:r>
        <w:rPr>
          <w:sz w:val="22"/>
          <w:szCs w:val="20"/>
        </w:rPr>
        <w:t>）和</w:t>
      </w:r>
      <w:r>
        <w:rPr>
          <w:sz w:val="22"/>
          <w:szCs w:val="20"/>
        </w:rPr>
        <w:t>1.5%</w:t>
      </w:r>
      <w:r>
        <w:rPr>
          <w:sz w:val="22"/>
          <w:szCs w:val="20"/>
        </w:rPr>
        <w:t>（</w:t>
      </w:r>
      <w:r>
        <w:rPr>
          <w:sz w:val="22"/>
          <w:szCs w:val="20"/>
        </w:rPr>
        <w:t>T3</w:t>
      </w:r>
      <w:r>
        <w:rPr>
          <w:sz w:val="22"/>
          <w:szCs w:val="20"/>
        </w:rPr>
        <w:t>）</w:t>
      </w:r>
      <w:r>
        <w:rPr>
          <w:sz w:val="22"/>
          <w:szCs w:val="20"/>
        </w:rPr>
        <w:t>设置</w:t>
      </w:r>
      <w:r>
        <w:rPr>
          <w:sz w:val="22"/>
          <w:szCs w:val="20"/>
        </w:rPr>
        <w:t>3</w:t>
      </w:r>
      <w:r>
        <w:rPr>
          <w:sz w:val="22"/>
          <w:szCs w:val="20"/>
        </w:rPr>
        <w:t>个补饲水平</w:t>
      </w:r>
      <w:r>
        <w:rPr>
          <w:sz w:val="22"/>
          <w:szCs w:val="20"/>
        </w:rPr>
        <w:t>，以</w:t>
      </w:r>
      <w:r>
        <w:rPr>
          <w:sz w:val="22"/>
          <w:szCs w:val="20"/>
        </w:rPr>
        <w:t>不补饲</w:t>
      </w:r>
      <w:r>
        <w:rPr>
          <w:sz w:val="22"/>
          <w:szCs w:val="20"/>
        </w:rPr>
        <w:t>为对照（</w:t>
      </w:r>
      <w:r>
        <w:rPr>
          <w:sz w:val="22"/>
          <w:szCs w:val="20"/>
        </w:rPr>
        <w:t>CK</w:t>
      </w:r>
      <w:r>
        <w:rPr>
          <w:sz w:val="22"/>
          <w:szCs w:val="20"/>
        </w:rPr>
        <w:t>）</w:t>
      </w:r>
      <w:r>
        <w:rPr>
          <w:sz w:val="22"/>
          <w:szCs w:val="20"/>
        </w:rPr>
        <w:t>，共</w:t>
      </w:r>
      <w:r>
        <w:rPr>
          <w:sz w:val="22"/>
          <w:szCs w:val="20"/>
        </w:rPr>
        <w:t>4</w:t>
      </w:r>
      <w:r>
        <w:rPr>
          <w:sz w:val="22"/>
          <w:szCs w:val="20"/>
        </w:rPr>
        <w:t>个处理，每处理</w:t>
      </w:r>
      <w:r>
        <w:rPr>
          <w:sz w:val="22"/>
          <w:szCs w:val="20"/>
        </w:rPr>
        <w:t>3</w:t>
      </w:r>
      <w:r>
        <w:rPr>
          <w:sz w:val="22"/>
          <w:szCs w:val="20"/>
        </w:rPr>
        <w:t>重复，共</w:t>
      </w:r>
      <w:r>
        <w:rPr>
          <w:sz w:val="22"/>
          <w:szCs w:val="20"/>
        </w:rPr>
        <w:t>12</w:t>
      </w:r>
      <w:r>
        <w:rPr>
          <w:sz w:val="22"/>
          <w:szCs w:val="20"/>
        </w:rPr>
        <w:t>个小区，小区面积</w:t>
      </w:r>
      <w:r>
        <w:rPr>
          <w:sz w:val="22"/>
          <w:szCs w:val="20"/>
        </w:rPr>
        <w:t>1.5 ha</w:t>
      </w:r>
      <w:r>
        <w:rPr>
          <w:sz w:val="22"/>
          <w:szCs w:val="20"/>
        </w:rPr>
        <w:t>。放牧强度</w:t>
      </w:r>
      <w:r>
        <w:rPr>
          <w:sz w:val="22"/>
          <w:szCs w:val="20"/>
        </w:rPr>
        <w:t>按照前期研究的适宜放牧强度</w:t>
      </w:r>
      <w:r>
        <w:rPr>
          <w:sz w:val="22"/>
          <w:szCs w:val="20"/>
        </w:rPr>
        <w:t>为</w:t>
      </w:r>
      <w:r>
        <w:rPr>
          <w:sz w:val="22"/>
          <w:szCs w:val="20"/>
        </w:rPr>
        <w:t>3</w:t>
      </w:r>
      <w:r>
        <w:rPr>
          <w:sz w:val="22"/>
          <w:szCs w:val="20"/>
        </w:rPr>
        <w:t>羊</w:t>
      </w:r>
      <w:r>
        <w:rPr>
          <w:sz w:val="22"/>
          <w:szCs w:val="20"/>
        </w:rPr>
        <w:t>·ha⁻¹</w:t>
      </w:r>
      <w:r>
        <w:rPr>
          <w:sz w:val="22"/>
          <w:szCs w:val="20"/>
        </w:rPr>
        <w:t>。补饲配方为：玉米</w:t>
      </w:r>
      <w:r>
        <w:rPr>
          <w:sz w:val="22"/>
          <w:szCs w:val="20"/>
        </w:rPr>
        <w:t>28%</w:t>
      </w:r>
      <w:r>
        <w:rPr>
          <w:sz w:val="22"/>
          <w:szCs w:val="20"/>
        </w:rPr>
        <w:t>、豆粕</w:t>
      </w:r>
      <w:r>
        <w:rPr>
          <w:sz w:val="22"/>
          <w:szCs w:val="20"/>
        </w:rPr>
        <w:t>10%</w:t>
      </w:r>
      <w:r>
        <w:rPr>
          <w:sz w:val="22"/>
          <w:szCs w:val="20"/>
        </w:rPr>
        <w:t>、小麦麸</w:t>
      </w:r>
      <w:r>
        <w:rPr>
          <w:sz w:val="22"/>
          <w:szCs w:val="20"/>
        </w:rPr>
        <w:t>10%</w:t>
      </w:r>
      <w:r>
        <w:rPr>
          <w:sz w:val="22"/>
          <w:szCs w:val="20"/>
        </w:rPr>
        <w:t>、玉米秸秆</w:t>
      </w:r>
      <w:r>
        <w:rPr>
          <w:sz w:val="22"/>
          <w:szCs w:val="20"/>
        </w:rPr>
        <w:t>40%</w:t>
      </w:r>
      <w:r>
        <w:rPr>
          <w:sz w:val="22"/>
          <w:szCs w:val="20"/>
        </w:rPr>
        <w:t>、向日葵粕</w:t>
      </w:r>
      <w:r>
        <w:rPr>
          <w:sz w:val="22"/>
          <w:szCs w:val="20"/>
        </w:rPr>
        <w:t>8.5%</w:t>
      </w:r>
      <w:r>
        <w:rPr>
          <w:sz w:val="22"/>
          <w:szCs w:val="20"/>
        </w:rPr>
        <w:t>、预混料</w:t>
      </w:r>
      <w:r>
        <w:rPr>
          <w:sz w:val="22"/>
          <w:szCs w:val="20"/>
        </w:rPr>
        <w:t>3.0%</w:t>
      </w:r>
      <w:r>
        <w:rPr>
          <w:sz w:val="22"/>
          <w:szCs w:val="20"/>
        </w:rPr>
        <w:t>、食盐</w:t>
      </w:r>
      <w:r>
        <w:rPr>
          <w:sz w:val="22"/>
          <w:szCs w:val="20"/>
        </w:rPr>
        <w:t>0.5%</w:t>
      </w:r>
      <w:r>
        <w:rPr>
          <w:sz w:val="22"/>
          <w:szCs w:val="20"/>
        </w:rPr>
        <w:t>。试验期为</w:t>
      </w:r>
      <w:r>
        <w:rPr>
          <w:sz w:val="22"/>
          <w:szCs w:val="20"/>
        </w:rPr>
        <w:t>202</w:t>
      </w:r>
      <w:r>
        <w:rPr>
          <w:sz w:val="22"/>
          <w:szCs w:val="20"/>
        </w:rPr>
        <w:t>2</w:t>
      </w:r>
      <w:r>
        <w:rPr>
          <w:sz w:val="22"/>
          <w:szCs w:val="20"/>
        </w:rPr>
        <w:t>年</w:t>
      </w:r>
      <w:r>
        <w:rPr>
          <w:sz w:val="22"/>
          <w:szCs w:val="20"/>
        </w:rPr>
        <w:t>6</w:t>
      </w:r>
      <w:r>
        <w:rPr>
          <w:sz w:val="22"/>
          <w:szCs w:val="20"/>
        </w:rPr>
        <w:t>月至</w:t>
      </w:r>
      <w:r>
        <w:rPr>
          <w:sz w:val="22"/>
          <w:szCs w:val="20"/>
        </w:rPr>
        <w:t>2024</w:t>
      </w:r>
      <w:r>
        <w:rPr>
          <w:sz w:val="22"/>
          <w:szCs w:val="20"/>
        </w:rPr>
        <w:t>年</w:t>
      </w:r>
      <w:r>
        <w:rPr>
          <w:sz w:val="22"/>
          <w:szCs w:val="20"/>
        </w:rPr>
        <w:t>8</w:t>
      </w:r>
      <w:r>
        <w:rPr>
          <w:sz w:val="22"/>
          <w:szCs w:val="20"/>
        </w:rPr>
        <w:t>月，每放牧周期</w:t>
      </w:r>
      <w:r>
        <w:rPr>
          <w:sz w:val="22"/>
          <w:szCs w:val="20"/>
        </w:rPr>
        <w:t>60 d</w:t>
      </w:r>
      <w:r>
        <w:rPr>
          <w:sz w:val="22"/>
          <w:szCs w:val="20"/>
        </w:rPr>
        <w:t>（</w:t>
      </w:r>
      <w:r>
        <w:rPr>
          <w:sz w:val="22"/>
          <w:szCs w:val="20"/>
        </w:rPr>
        <w:t>6</w:t>
      </w:r>
      <w:r>
        <w:rPr>
          <w:sz w:val="22"/>
          <w:szCs w:val="20"/>
        </w:rPr>
        <w:t>-</w:t>
      </w:r>
      <w:r>
        <w:rPr>
          <w:sz w:val="22"/>
          <w:szCs w:val="20"/>
        </w:rPr>
        <w:t>8</w:t>
      </w:r>
      <w:r>
        <w:rPr>
          <w:sz w:val="22"/>
          <w:szCs w:val="20"/>
        </w:rPr>
        <w:t>月），连续观测</w:t>
      </w:r>
      <w:r>
        <w:rPr>
          <w:sz w:val="22"/>
          <w:szCs w:val="20"/>
        </w:rPr>
        <w:t>3</w:t>
      </w:r>
      <w:r>
        <w:rPr>
          <w:sz w:val="22"/>
          <w:szCs w:val="20"/>
        </w:rPr>
        <w:t>个周期。</w:t>
      </w:r>
    </w:p>
    <w:p>
      <w:pPr>
        <w:pStyle w:val="Normal"/>
        <w:spacing w:lineRule="auto" w:line="360"/>
        <w:ind w:firstLine="440" w:right="0"/>
        <w:rPr/>
      </w:pPr>
      <w:r>
        <w:rPr>
          <w:sz w:val="22"/>
          <w:szCs w:val="20"/>
        </w:rPr>
        <w:t>每日补饲</w:t>
      </w:r>
      <w:r>
        <w:rPr>
          <w:sz w:val="22"/>
          <w:szCs w:val="20"/>
        </w:rPr>
        <w:t>3</w:t>
      </w:r>
      <w:r>
        <w:rPr>
          <w:sz w:val="22"/>
          <w:szCs w:val="20"/>
        </w:rPr>
        <w:t>次（</w:t>
      </w:r>
      <w:r>
        <w:rPr>
          <w:sz w:val="22"/>
          <w:szCs w:val="20"/>
        </w:rPr>
        <w:t>8</w:t>
      </w:r>
      <w:r>
        <w:rPr>
          <w:sz w:val="22"/>
          <w:szCs w:val="20"/>
        </w:rPr>
        <w:t>:00</w:t>
      </w:r>
      <w:r>
        <w:rPr>
          <w:sz w:val="22"/>
          <w:szCs w:val="20"/>
        </w:rPr>
        <w:t>-8</w:t>
      </w:r>
      <w:r>
        <w:rPr>
          <w:sz w:val="22"/>
          <w:szCs w:val="20"/>
        </w:rPr>
        <w:t>:30</w:t>
      </w:r>
      <w:r>
        <w:rPr>
          <w:sz w:val="22"/>
          <w:szCs w:val="20"/>
        </w:rPr>
        <w:t>、</w:t>
      </w:r>
      <w:r>
        <w:rPr>
          <w:sz w:val="22"/>
          <w:szCs w:val="20"/>
        </w:rPr>
        <w:t>12:00</w:t>
      </w:r>
      <w:r>
        <w:rPr>
          <w:sz w:val="22"/>
          <w:szCs w:val="20"/>
        </w:rPr>
        <w:t>-</w:t>
      </w:r>
      <w:r>
        <w:rPr>
          <w:sz w:val="22"/>
          <w:szCs w:val="20"/>
        </w:rPr>
        <w:t>13:00</w:t>
      </w:r>
      <w:r>
        <w:rPr>
          <w:sz w:val="22"/>
          <w:szCs w:val="20"/>
        </w:rPr>
        <w:t>、</w:t>
      </w:r>
      <w:r>
        <w:rPr>
          <w:sz w:val="22"/>
          <w:szCs w:val="20"/>
        </w:rPr>
        <w:t>17:00</w:t>
      </w:r>
      <w:r>
        <w:rPr>
          <w:sz w:val="22"/>
          <w:szCs w:val="20"/>
        </w:rPr>
        <w:t>-</w:t>
      </w:r>
      <w:r>
        <w:rPr>
          <w:sz w:val="22"/>
          <w:szCs w:val="20"/>
        </w:rPr>
        <w:t>17:30</w:t>
      </w:r>
      <w:r>
        <w:rPr>
          <w:sz w:val="22"/>
          <w:szCs w:val="20"/>
        </w:rPr>
        <w:t>），在每个轮牧小区放牧的第</w:t>
      </w:r>
      <w:r>
        <w:rPr>
          <w:sz w:val="22"/>
          <w:szCs w:val="20"/>
        </w:rPr>
        <w:t>3</w:t>
      </w:r>
      <w:r>
        <w:rPr>
          <w:sz w:val="22"/>
          <w:szCs w:val="20"/>
        </w:rPr>
        <w:t>、</w:t>
      </w:r>
      <w:r>
        <w:rPr>
          <w:sz w:val="22"/>
          <w:szCs w:val="20"/>
        </w:rPr>
        <w:t>4</w:t>
      </w:r>
      <w:r>
        <w:rPr>
          <w:sz w:val="22"/>
          <w:szCs w:val="20"/>
        </w:rPr>
        <w:t>、</w:t>
      </w:r>
      <w:r>
        <w:rPr>
          <w:sz w:val="22"/>
          <w:szCs w:val="20"/>
        </w:rPr>
        <w:t>5</w:t>
      </w:r>
      <w:r>
        <w:rPr>
          <w:sz w:val="22"/>
          <w:szCs w:val="20"/>
        </w:rPr>
        <w:t>天集中补饲。</w:t>
      </w:r>
      <w:r>
        <w:rPr>
          <w:sz w:val="22"/>
          <w:szCs w:val="20"/>
        </w:rPr>
        <w:t>将配置好的补饲料按照只羊分别盛在食槽中放牧放牧小区中进行补饲</w:t>
      </w:r>
      <w:r>
        <w:rPr>
          <w:sz w:val="22"/>
          <w:szCs w:val="20"/>
        </w:rPr>
        <w:t>，补饲前保证自由饮水。夏季每日饮水</w:t>
      </w:r>
      <w:r>
        <w:rPr>
          <w:sz w:val="22"/>
          <w:szCs w:val="20"/>
        </w:rPr>
        <w:t>3</w:t>
      </w:r>
      <w:r>
        <w:rPr>
          <w:sz w:val="22"/>
          <w:szCs w:val="20"/>
        </w:rPr>
        <w:t>次，其他季节每日</w:t>
      </w:r>
      <w:r>
        <w:rPr>
          <w:sz w:val="22"/>
          <w:szCs w:val="20"/>
        </w:rPr>
        <w:t>2</w:t>
      </w:r>
      <w:r>
        <w:rPr>
          <w:sz w:val="22"/>
          <w:szCs w:val="20"/>
        </w:rPr>
        <w:t>次。</w:t>
      </w:r>
    </w:p>
    <w:p>
      <w:pPr>
        <w:pStyle w:val="Normal"/>
        <w:spacing w:lineRule="auto" w:line="360"/>
        <w:ind w:firstLine="440" w:right="0"/>
        <w:rPr/>
      </w:pPr>
      <w:r>
        <w:rPr>
          <w:sz w:val="22"/>
          <w:szCs w:val="20"/>
        </w:rPr>
        <w:t>植被调查：每放牧周期开始前和结束后</w:t>
      </w:r>
      <w:r>
        <w:rPr>
          <w:sz w:val="22"/>
          <w:szCs w:val="20"/>
        </w:rPr>
        <w:t>进行植被调查</w:t>
      </w:r>
      <w:r>
        <w:rPr>
          <w:sz w:val="22"/>
          <w:szCs w:val="20"/>
        </w:rPr>
        <w:t>，每小区随机设</w:t>
      </w:r>
      <w:r>
        <w:rPr>
          <w:sz w:val="22"/>
          <w:szCs w:val="20"/>
        </w:rPr>
        <w:t>4</w:t>
      </w:r>
      <w:r>
        <w:rPr>
          <w:sz w:val="22"/>
          <w:szCs w:val="20"/>
        </w:rPr>
        <w:t>个</w:t>
      </w:r>
      <w:r>
        <w:rPr>
          <w:sz w:val="22"/>
          <w:szCs w:val="20"/>
        </w:rPr>
        <w:t>1 m×1 m</w:t>
      </w:r>
      <w:r>
        <w:rPr>
          <w:sz w:val="22"/>
          <w:szCs w:val="20"/>
        </w:rPr>
        <w:t>样方，记录高度、盖度、密度，计算重要值、</w:t>
      </w:r>
      <w:r>
        <w:rPr>
          <w:sz w:val="22"/>
          <w:szCs w:val="20"/>
        </w:rPr>
        <w:t>Shannon-Wiener</w:t>
      </w:r>
      <w:r>
        <w:rPr>
          <w:sz w:val="22"/>
          <w:szCs w:val="20"/>
        </w:rPr>
        <w:t>多样性指数和</w:t>
      </w:r>
      <w:r>
        <w:rPr>
          <w:sz w:val="22"/>
          <w:szCs w:val="20"/>
        </w:rPr>
        <w:t>Pielou</w:t>
      </w:r>
      <w:r>
        <w:rPr>
          <w:sz w:val="22"/>
          <w:szCs w:val="20"/>
        </w:rPr>
        <w:t>均匀度指数。齐地刈割，分种称鲜重，</w:t>
      </w:r>
      <w:r>
        <w:rPr>
          <w:sz w:val="22"/>
          <w:szCs w:val="20"/>
        </w:rPr>
        <w:t>65℃</w:t>
      </w:r>
      <w:r>
        <w:rPr>
          <w:sz w:val="22"/>
          <w:szCs w:val="20"/>
        </w:rPr>
        <w:t>烘干测干重。</w:t>
      </w:r>
    </w:p>
    <w:p>
      <w:pPr>
        <w:pStyle w:val="Normal"/>
        <w:spacing w:lineRule="auto" w:line="360"/>
        <w:ind w:firstLine="440" w:right="0"/>
        <w:rPr/>
      </w:pPr>
      <w:r>
        <w:rPr>
          <w:sz w:val="22"/>
          <w:szCs w:val="20"/>
        </w:rPr>
        <w:t>土壤采样：每放牧周期开始前、结束后及次年返青期</w:t>
      </w:r>
      <w:r>
        <w:rPr>
          <w:sz w:val="22"/>
          <w:szCs w:val="20"/>
        </w:rPr>
        <w:t>进行土壤样品采集和测定。采用环刀法进行土壤容重测定。土壤样品采集是在</w:t>
      </w:r>
      <w:r>
        <w:rPr>
          <w:sz w:val="22"/>
          <w:szCs w:val="20"/>
        </w:rPr>
        <w:t>每小区“</w:t>
      </w:r>
      <w:r>
        <w:rPr>
          <w:sz w:val="22"/>
          <w:szCs w:val="20"/>
        </w:rPr>
        <w:t>S”</w:t>
      </w:r>
      <w:r>
        <w:rPr>
          <w:sz w:val="22"/>
          <w:szCs w:val="20"/>
        </w:rPr>
        <w:t>形</w:t>
      </w:r>
      <w:r>
        <w:rPr>
          <w:sz w:val="22"/>
          <w:szCs w:val="20"/>
        </w:rPr>
        <w:t>5</w:t>
      </w:r>
      <w:r>
        <w:rPr>
          <w:sz w:val="22"/>
          <w:szCs w:val="20"/>
        </w:rPr>
        <w:t>点取样，采集</w:t>
      </w:r>
      <w:r>
        <w:rPr>
          <w:sz w:val="22"/>
          <w:szCs w:val="20"/>
        </w:rPr>
        <w:t>0</w:t>
      </w:r>
      <w:r>
        <w:rPr>
          <w:sz w:val="22"/>
          <w:szCs w:val="20"/>
        </w:rPr>
        <w:t>-</w:t>
      </w:r>
      <w:r>
        <w:rPr>
          <w:sz w:val="22"/>
          <w:szCs w:val="20"/>
        </w:rPr>
        <w:t>20 cm</w:t>
      </w:r>
      <w:r>
        <w:rPr>
          <w:sz w:val="22"/>
          <w:szCs w:val="20"/>
        </w:rPr>
        <w:t>混合土样</w:t>
      </w:r>
      <w:r>
        <w:rPr>
          <w:sz w:val="22"/>
          <w:szCs w:val="20"/>
        </w:rPr>
        <w:t>，取一部分采用烘干法测水分，其余采集</w:t>
      </w:r>
      <w:r>
        <w:rPr>
          <w:sz w:val="22"/>
          <w:szCs w:val="20"/>
        </w:rPr>
        <w:t>100g</w:t>
      </w:r>
      <w:r>
        <w:rPr>
          <w:sz w:val="22"/>
          <w:szCs w:val="20"/>
        </w:rPr>
        <w:t>带回实验室阴干，过</w:t>
      </w:r>
      <w:r>
        <w:rPr>
          <w:sz w:val="22"/>
          <w:szCs w:val="20"/>
        </w:rPr>
        <w:t>200</w:t>
      </w:r>
      <w:r>
        <w:rPr>
          <w:sz w:val="22"/>
          <w:szCs w:val="20"/>
        </w:rPr>
        <w:t>目筛</w:t>
      </w:r>
      <w:r>
        <w:rPr>
          <w:sz w:val="22"/>
          <w:szCs w:val="20"/>
        </w:rPr>
        <w:t>。</w:t>
      </w:r>
      <w:r>
        <w:rPr>
          <w:sz w:val="22"/>
          <w:szCs w:val="20"/>
        </w:rPr>
        <w:t>用以</w:t>
      </w:r>
      <w:r>
        <w:rPr>
          <w:sz w:val="22"/>
          <w:szCs w:val="20"/>
        </w:rPr>
        <w:t>测定</w:t>
      </w:r>
      <w:r>
        <w:rPr>
          <w:sz w:val="22"/>
          <w:szCs w:val="20"/>
        </w:rPr>
        <w:t>土壤</w:t>
      </w:r>
      <w:r>
        <w:rPr>
          <w:sz w:val="22"/>
          <w:szCs w:val="20"/>
        </w:rPr>
        <w:t>pH</w:t>
      </w:r>
      <w:r>
        <w:rPr>
          <w:sz w:val="22"/>
          <w:szCs w:val="20"/>
        </w:rPr>
        <w:t>和养分。</w:t>
      </w:r>
      <w:r>
        <w:rPr>
          <w:sz w:val="22"/>
          <w:szCs w:val="20"/>
        </w:rPr>
        <w:t>电位计法</w:t>
      </w:r>
      <w:r>
        <w:rPr>
          <w:sz w:val="22"/>
          <w:szCs w:val="20"/>
        </w:rPr>
        <w:t>测定土壤</w:t>
      </w:r>
      <w:r>
        <w:rPr>
          <w:sz w:val="22"/>
          <w:szCs w:val="20"/>
        </w:rPr>
        <w:t>pH</w:t>
      </w:r>
      <w:r>
        <w:rPr>
          <w:sz w:val="22"/>
          <w:szCs w:val="20"/>
        </w:rPr>
        <w:t>。采用</w:t>
      </w:r>
      <w:r>
        <w:rPr>
          <w:sz w:val="22"/>
          <w:szCs w:val="20"/>
        </w:rPr>
        <w:t>重铬酸钾容量法</w:t>
      </w:r>
      <w:r>
        <w:rPr>
          <w:sz w:val="22"/>
          <w:szCs w:val="20"/>
        </w:rPr>
        <w:t>测定土壤</w:t>
      </w:r>
      <w:r>
        <w:rPr>
          <w:sz w:val="22"/>
          <w:szCs w:val="20"/>
        </w:rPr>
        <w:t>有机质</w:t>
      </w:r>
      <w:r>
        <w:rPr>
          <w:sz w:val="22"/>
          <w:szCs w:val="20"/>
        </w:rPr>
        <w:t>，用杜马斯定氮仪测定土壤</w:t>
      </w:r>
      <w:r>
        <w:rPr>
          <w:sz w:val="22"/>
          <w:szCs w:val="20"/>
        </w:rPr>
        <w:t>全氮、</w:t>
      </w:r>
      <w:r>
        <w:rPr>
          <w:sz w:val="22"/>
          <w:szCs w:val="20"/>
        </w:rPr>
        <w:t>用</w:t>
      </w:r>
      <w:r>
        <w:rPr>
          <w:sz w:val="22"/>
          <w:szCs w:val="20"/>
        </w:rPr>
        <w:t>碳酸氢钠浸提</w:t>
      </w:r>
      <w:r>
        <w:rPr>
          <w:sz w:val="22"/>
          <w:szCs w:val="20"/>
        </w:rPr>
        <w:t>-</w:t>
      </w:r>
      <w:r>
        <w:rPr>
          <w:sz w:val="22"/>
          <w:szCs w:val="20"/>
        </w:rPr>
        <w:t>钼锑抗比色法</w:t>
      </w:r>
      <w:r>
        <w:rPr>
          <w:sz w:val="22"/>
          <w:szCs w:val="20"/>
        </w:rPr>
        <w:t>测定土壤</w:t>
      </w:r>
      <w:r>
        <w:rPr>
          <w:sz w:val="22"/>
          <w:szCs w:val="20"/>
        </w:rPr>
        <w:t>有效磷、火焰光度法速效钾。</w:t>
      </w:r>
    </w:p>
    <w:p>
      <w:pPr>
        <w:pStyle w:val="Normal"/>
        <w:spacing w:lineRule="auto" w:line="360"/>
        <w:ind w:firstLine="440" w:right="0"/>
        <w:rPr/>
      </w:pPr>
      <w:r>
        <w:rPr>
          <w:sz w:val="22"/>
          <w:szCs w:val="20"/>
        </w:rPr>
        <w:t>家畜</w:t>
      </w:r>
      <w:r>
        <w:rPr>
          <w:sz w:val="22"/>
          <w:szCs w:val="20"/>
        </w:rPr>
        <w:t>粪便采样：每放牧周期结束前</w:t>
      </w:r>
      <w:r>
        <w:rPr>
          <w:sz w:val="22"/>
          <w:szCs w:val="20"/>
        </w:rPr>
        <w:t>3 d</w:t>
      </w:r>
      <w:r>
        <w:rPr>
          <w:sz w:val="22"/>
          <w:szCs w:val="20"/>
        </w:rPr>
        <w:t>，每小区采集新鲜粪样，</w:t>
      </w:r>
      <w:r>
        <w:rPr>
          <w:sz w:val="22"/>
          <w:szCs w:val="20"/>
        </w:rPr>
        <w:t>带回实验室用杜马斯定氮仪</w:t>
      </w:r>
      <w:r>
        <w:rPr>
          <w:sz w:val="22"/>
          <w:szCs w:val="20"/>
        </w:rPr>
        <w:t>测定全氮、钒钼黄比色法</w:t>
      </w:r>
      <w:r>
        <w:rPr>
          <w:sz w:val="22"/>
          <w:szCs w:val="20"/>
        </w:rPr>
        <w:t>测定</w:t>
      </w:r>
      <w:r>
        <w:rPr>
          <w:sz w:val="22"/>
          <w:szCs w:val="20"/>
        </w:rPr>
        <w:t>全磷、灼烧法</w:t>
      </w:r>
      <w:r>
        <w:rPr>
          <w:sz w:val="22"/>
          <w:szCs w:val="20"/>
        </w:rPr>
        <w:t>测定</w:t>
      </w:r>
      <w:r>
        <w:rPr>
          <w:sz w:val="22"/>
          <w:szCs w:val="20"/>
        </w:rPr>
        <w:t>有机质。</w:t>
      </w:r>
    </w:p>
    <w:p>
      <w:pPr>
        <w:pStyle w:val="Normal"/>
        <w:spacing w:lineRule="auto" w:line="360"/>
        <w:ind w:firstLine="440" w:right="0"/>
        <w:rPr>
          <w:sz w:val="22"/>
          <w:szCs w:val="20"/>
        </w:rPr>
      </w:pPr>
      <w:r>
        <w:rPr>
          <w:sz w:val="22"/>
          <w:szCs w:val="20"/>
        </w:rPr>
        <w:t>家畜体重：放牧周期开始和结束时测定空腹体重，计算日增重。</w:t>
      </w:r>
    </w:p>
    <w:p>
      <w:pPr>
        <w:pStyle w:val="Normal"/>
        <w:spacing w:lineRule="auto" w:line="360"/>
        <w:ind w:firstLine="442" w:right="0"/>
        <w:rPr>
          <w:sz w:val="22"/>
          <w:szCs w:val="20"/>
        </w:rPr>
      </w:pPr>
      <w:r>
        <w:rPr>
          <w:b/>
          <w:bCs/>
          <w:sz w:val="22"/>
          <w:szCs w:val="20"/>
        </w:rPr>
        <w:t>结果与分析</w:t>
      </w:r>
      <w:r>
        <w:rPr>
          <w:b/>
          <w:bCs/>
          <w:sz w:val="22"/>
          <w:szCs w:val="20"/>
        </w:rPr>
        <w:t>：</w:t>
      </w:r>
    </w:p>
    <w:p>
      <w:pPr>
        <w:pStyle w:val="Normal"/>
        <w:spacing w:lineRule="auto" w:line="276"/>
        <w:rPr>
          <w:sz w:val="24"/>
          <w:szCs w:val="24"/>
        </w:rPr>
      </w:pPr>
      <w:r>
        <w:fldChar w:fldCharType="begin"/>
      </w:r>
      <w:r>
        <w:rPr>
          <w:sz w:val="24"/>
          <w:szCs w:val="24"/>
          <w:rFonts w:cs="宋体;SimSun" w:ascii="宋体;SimSun" w:hAnsi="宋体;SimSun"/>
          <w:lang w:val="en-US" w:eastAsia="en-US"/>
        </w:rPr>
        <w:instrText xml:space="preserve"> = 1 \* GB3 </w:instrText>
      </w:r>
      <w:r>
        <w:rPr>
          <w:rFonts w:cs="宋体;SimSun" w:ascii="宋体;SimSun" w:hAnsi="宋体;SimSun"/>
          <w:sz w:val="24"/>
          <w:szCs w:val="24"/>
          <w:lang w:val="en-US" w:eastAsia="en-US"/>
        </w:rPr>
      </w:r>
      <w:r>
        <w:rPr>
          <w:sz w:val="24"/>
          <w:szCs w:val="24"/>
          <w:lang w:val="en-US" w:eastAsia="en-US"/>
        </w:rPr>
        <w:fldChar w:fldCharType="separate"/>
      </w:r>
      <w:r>
        <w:rPr>
          <w:sz w:val="24"/>
          <w:szCs w:val="24"/>
          <w:lang w:val="en-US" w:eastAsia="en-US"/>
        </w:rPr>
        <w:t>①</w:t>
      </w:r>
      <w:r>
        <w:rPr>
          <w:sz w:val="24"/>
          <w:szCs w:val="24"/>
          <w:lang w:val="en-US" w:eastAsia="en-US"/>
        </w:rPr>
      </w:r>
      <w:r>
        <w:rPr>
          <w:sz w:val="24"/>
          <w:szCs w:val="24"/>
          <w:lang w:val="en-US" w:eastAsia="en-US"/>
        </w:rPr>
        <w:fldChar w:fldCharType="end"/>
      </w:r>
      <w:r>
        <w:rPr>
          <w:sz w:val="24"/>
          <w:szCs w:val="24"/>
        </w:rPr>
        <w:t xml:space="preserve"> </w:t>
      </w:r>
      <w:r>
        <w:rPr>
          <w:sz w:val="24"/>
          <w:szCs w:val="24"/>
        </w:rPr>
        <w:t>群落高度、盖度和地上生物量</w:t>
      </w:r>
    </w:p>
    <w:p>
      <w:pPr>
        <w:pStyle w:val="Normal"/>
        <w:spacing w:lineRule="auto" w:line="276"/>
        <w:rPr/>
      </w:pPr>
      <w:r>
        <w:rPr>
          <w:b/>
          <w:sz w:val="24"/>
          <w:szCs w:val="24"/>
          <w:lang w:val="en-US" w:eastAsia="en-US"/>
        </w:rPr>
        <w:drawing>
          <wp:inline distT="0" distB="0" distL="0" distR="0">
            <wp:extent cx="1755140" cy="1628140"/>
            <wp:effectExtent l="0" t="0" r="0" b="0"/>
            <wp:docPr id="1" name="图片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
                    <pic:cNvPicPr>
                      <a:picLocks noChangeAspect="1" noChangeArrowheads="1"/>
                    </pic:cNvPicPr>
                  </pic:nvPicPr>
                  <pic:blipFill>
                    <a:blip r:embed="rId2"/>
                    <a:srcRect l="11196" t="1804" r="-9" b="17287"/>
                    <a:stretch>
                      <a:fillRect/>
                    </a:stretch>
                  </pic:blipFill>
                  <pic:spPr bwMode="auto">
                    <a:xfrm>
                      <a:off x="0" y="0"/>
                      <a:ext cx="1755140" cy="1628140"/>
                    </a:xfrm>
                    <a:prstGeom prst="rect">
                      <a:avLst/>
                    </a:prstGeom>
                    <a:noFill/>
                  </pic:spPr>
                </pic:pic>
              </a:graphicData>
            </a:graphic>
          </wp:inline>
        </w:drawing>
      </w:r>
      <w:r>
        <w:rPr>
          <w:rFonts w:eastAsia="Times New Roman"/>
          <w:b/>
          <w:bCs/>
          <w:sz w:val="24"/>
          <w:szCs w:val="24"/>
        </w:rPr>
        <w:t xml:space="preserve"> </w:t>
      </w:r>
      <w:r>
        <w:rPr>
          <w:lang w:val="en-US" w:eastAsia="en-US"/>
        </w:rPr>
        <w:drawing>
          <wp:inline distT="0" distB="0" distL="0" distR="0">
            <wp:extent cx="1574165" cy="1748155"/>
            <wp:effectExtent l="0" t="0" r="0" b="0"/>
            <wp:docPr id="2" name="图片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
                    <pic:cNvPicPr>
                      <a:picLocks noChangeAspect="1" noChangeArrowheads="1"/>
                    </pic:cNvPicPr>
                  </pic:nvPicPr>
                  <pic:blipFill>
                    <a:blip r:embed="rId3"/>
                    <a:srcRect l="10335" t="1676" r="3063" b="20547"/>
                    <a:stretch>
                      <a:fillRect/>
                    </a:stretch>
                  </pic:blipFill>
                  <pic:spPr bwMode="auto">
                    <a:xfrm>
                      <a:off x="0" y="0"/>
                      <a:ext cx="1574165" cy="1748155"/>
                    </a:xfrm>
                    <a:prstGeom prst="rect">
                      <a:avLst/>
                    </a:prstGeom>
                    <a:noFill/>
                  </pic:spPr>
                </pic:pic>
              </a:graphicData>
            </a:graphic>
          </wp:inline>
        </w:drawing>
      </w:r>
      <w:r>
        <w:rPr>
          <w:b/>
          <w:sz w:val="24"/>
          <w:szCs w:val="24"/>
          <w:lang w:val="en-US" w:eastAsia="en-US"/>
        </w:rPr>
        <w:drawing>
          <wp:inline distT="0" distB="0" distL="0" distR="0">
            <wp:extent cx="1813560" cy="1579880"/>
            <wp:effectExtent l="0" t="0" r="0" b="0"/>
            <wp:docPr id="3" name="图片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descr=""/>
                    <pic:cNvPicPr>
                      <a:picLocks noChangeAspect="1" noChangeArrowheads="1"/>
                    </pic:cNvPicPr>
                  </pic:nvPicPr>
                  <pic:blipFill>
                    <a:blip r:embed="rId4"/>
                    <a:srcRect l="9203" t="1582" r="-10" b="15221"/>
                    <a:stretch>
                      <a:fillRect/>
                    </a:stretch>
                  </pic:blipFill>
                  <pic:spPr bwMode="auto">
                    <a:xfrm>
                      <a:off x="0" y="0"/>
                      <a:ext cx="1813560" cy="1579880"/>
                    </a:xfrm>
                    <a:prstGeom prst="rect">
                      <a:avLst/>
                    </a:prstGeom>
                    <a:noFill/>
                  </pic:spPr>
                </pic:pic>
              </a:graphicData>
            </a:graphic>
          </wp:inline>
        </w:drawing>
      </w:r>
    </w:p>
    <w:p>
      <w:pPr>
        <w:pStyle w:val="Normal"/>
        <w:spacing w:lineRule="auto" w:line="276"/>
        <w:jc w:val="center"/>
        <w:rPr>
          <w:b/>
          <w:bCs/>
        </w:rPr>
      </w:pPr>
      <w:r>
        <w:rPr>
          <w:b/>
          <w:bCs/>
        </w:rPr>
        <w:t>图</w:t>
      </w:r>
      <w:r>
        <w:rPr>
          <w:b/>
          <w:bCs/>
        </w:rPr>
        <w:t xml:space="preserve">1 </w:t>
      </w:r>
      <w:r>
        <w:rPr>
          <w:b/>
          <w:bCs/>
        </w:rPr>
        <w:t>不同补饲量对放牧草地群落结构的影响</w:t>
      </w:r>
    </w:p>
    <w:p>
      <w:pPr>
        <w:pStyle w:val="Normal"/>
        <w:spacing w:lineRule="auto" w:line="276"/>
        <w:jc w:val="center"/>
        <w:rPr>
          <w:b/>
          <w:bCs/>
        </w:rPr>
      </w:pPr>
      <w:r>
        <w:rPr>
          <w:b/>
          <w:bCs/>
        </w:rPr>
      </w:r>
    </w:p>
    <w:p>
      <w:pPr>
        <w:pStyle w:val="Normal"/>
        <w:spacing w:lineRule="auto" w:line="360"/>
        <w:ind w:firstLine="440" w:right="0"/>
        <w:rPr/>
      </w:pPr>
      <w:r>
        <w:rPr>
          <w:sz w:val="22"/>
          <w:szCs w:val="20"/>
        </w:rPr>
        <w:t>不同补饲量对放牧草地植被群落结构的影响不同，不同处理对群落高度、盖度和地上生物量影响</w:t>
      </w:r>
      <w:r>
        <w:rPr>
          <w:sz w:val="22"/>
          <w:szCs w:val="20"/>
        </w:rPr>
        <w:t>差异显著（</w:t>
      </w:r>
      <w:r>
        <w:rPr>
          <w:sz w:val="22"/>
          <w:szCs w:val="20"/>
        </w:rPr>
        <w:t>P&lt;0.05</w:t>
      </w:r>
      <w:r>
        <w:rPr>
          <w:sz w:val="22"/>
          <w:szCs w:val="20"/>
        </w:rPr>
        <w:t>）</w:t>
      </w:r>
      <w:r>
        <w:rPr>
          <w:sz w:val="22"/>
          <w:szCs w:val="20"/>
        </w:rPr>
        <w:t>（图</w:t>
      </w:r>
      <w:r>
        <w:rPr>
          <w:sz w:val="22"/>
          <w:szCs w:val="20"/>
        </w:rPr>
        <w:t>1</w:t>
      </w:r>
      <w:r>
        <w:rPr>
          <w:sz w:val="22"/>
          <w:szCs w:val="20"/>
        </w:rPr>
        <w:t>）。其中</w:t>
      </w:r>
      <w:r>
        <w:rPr>
          <w:sz w:val="22"/>
          <w:szCs w:val="20"/>
        </w:rPr>
        <w:t>T2</w:t>
      </w:r>
      <w:r>
        <w:rPr>
          <w:sz w:val="22"/>
          <w:szCs w:val="20"/>
        </w:rPr>
        <w:t>处理的群落高度和盖度均显著高于</w:t>
      </w:r>
      <w:r>
        <w:rPr>
          <w:sz w:val="22"/>
          <w:szCs w:val="20"/>
        </w:rPr>
        <w:t>CK</w:t>
      </w:r>
      <w:r>
        <w:rPr>
          <w:sz w:val="22"/>
          <w:szCs w:val="20"/>
        </w:rPr>
        <w:t>和</w:t>
      </w:r>
      <w:r>
        <w:rPr>
          <w:sz w:val="22"/>
          <w:szCs w:val="20"/>
        </w:rPr>
        <w:t>T3</w:t>
      </w:r>
      <w:r>
        <w:rPr>
          <w:sz w:val="22"/>
          <w:szCs w:val="20"/>
        </w:rPr>
        <w:t>（</w:t>
      </w:r>
      <w:r>
        <w:rPr>
          <w:sz w:val="22"/>
          <w:szCs w:val="20"/>
        </w:rPr>
        <w:t>P&lt;0.05</w:t>
      </w:r>
      <w:r>
        <w:rPr>
          <w:sz w:val="22"/>
          <w:szCs w:val="20"/>
        </w:rPr>
        <w:t>）。</w:t>
      </w:r>
      <w:r>
        <w:rPr>
          <w:sz w:val="22"/>
          <w:szCs w:val="20"/>
        </w:rPr>
        <w:t>T2</w:t>
      </w:r>
      <w:r>
        <w:rPr>
          <w:sz w:val="22"/>
          <w:szCs w:val="20"/>
        </w:rPr>
        <w:t>地上生物量较</w:t>
      </w:r>
      <w:r>
        <w:rPr>
          <w:sz w:val="22"/>
          <w:szCs w:val="20"/>
        </w:rPr>
        <w:t>CK</w:t>
      </w:r>
      <w:r>
        <w:rPr>
          <w:sz w:val="22"/>
          <w:szCs w:val="20"/>
        </w:rPr>
        <w:t>增加</w:t>
      </w:r>
      <w:r>
        <w:rPr>
          <w:sz w:val="22"/>
          <w:szCs w:val="20"/>
        </w:rPr>
        <w:t>43.0%</w:t>
      </w:r>
      <w:r>
        <w:rPr>
          <w:sz w:val="22"/>
          <w:szCs w:val="20"/>
        </w:rPr>
        <w:t>，较</w:t>
      </w:r>
      <w:r>
        <w:rPr>
          <w:sz w:val="22"/>
          <w:szCs w:val="20"/>
        </w:rPr>
        <w:t>T3</w:t>
      </w:r>
      <w:r>
        <w:rPr>
          <w:sz w:val="22"/>
          <w:szCs w:val="20"/>
        </w:rPr>
        <w:t>增加</w:t>
      </w:r>
      <w:r>
        <w:rPr>
          <w:sz w:val="22"/>
          <w:szCs w:val="20"/>
        </w:rPr>
        <w:t>15.3%</w:t>
      </w:r>
      <w:r>
        <w:rPr>
          <w:sz w:val="22"/>
          <w:szCs w:val="20"/>
        </w:rPr>
        <w:t>，表明过量补饲不利于植被恢复。</w:t>
      </w:r>
    </w:p>
    <w:p>
      <w:pPr>
        <w:pStyle w:val="Normal"/>
        <w:spacing w:lineRule="auto" w:line="360"/>
        <w:ind w:firstLine="440" w:right="0"/>
        <w:rPr/>
      </w:pPr>
      <w:r>
        <w:fldChar w:fldCharType="begin"/>
      </w:r>
      <w:r>
        <w:rPr>
          <w:sz w:val="22"/>
          <w:szCs w:val="20"/>
          <w:rFonts w:cs="宋体;SimSun" w:ascii="宋体;SimSun" w:hAnsi="宋体;SimSun"/>
        </w:rPr>
        <w:instrText xml:space="preserve"> = 2 \* GB3 </w:instrText>
      </w:r>
      <w:r>
        <w:rPr>
          <w:rFonts w:cs="宋体;SimSun" w:ascii="宋体;SimSun" w:hAnsi="宋体;SimSun"/>
          <w:sz w:val="22"/>
          <w:szCs w:val="20"/>
        </w:rPr>
      </w:r>
      <w:r>
        <w:rPr>
          <w:sz w:val="22"/>
          <w:szCs w:val="20"/>
        </w:rPr>
        <w:fldChar w:fldCharType="separate"/>
      </w:r>
      <w:r>
        <w:rPr>
          <w:sz w:val="22"/>
          <w:szCs w:val="20"/>
        </w:rPr>
        <w:t>②</w:t>
      </w:r>
      <w:r>
        <w:rPr>
          <w:sz w:val="22"/>
          <w:szCs w:val="20"/>
        </w:rPr>
      </w:r>
      <w:r>
        <w:rPr>
          <w:sz w:val="22"/>
          <w:szCs w:val="20"/>
        </w:rPr>
        <w:fldChar w:fldCharType="end"/>
      </w:r>
      <w:r>
        <w:rPr>
          <w:sz w:val="22"/>
          <w:szCs w:val="20"/>
        </w:rPr>
        <w:t xml:space="preserve"> </w:t>
      </w:r>
      <w:r>
        <w:rPr>
          <w:sz w:val="22"/>
          <w:szCs w:val="20"/>
        </w:rPr>
        <w:t>不同补饲处理下植物群落物种多样性指数</w:t>
      </w:r>
    </w:p>
    <w:p>
      <w:pPr>
        <w:pStyle w:val="Normal"/>
        <w:spacing w:lineRule="auto" w:line="276"/>
        <w:rPr>
          <w:sz w:val="24"/>
          <w:szCs w:val="24"/>
        </w:rPr>
      </w:pPr>
      <w:r>
        <w:rPr>
          <w:sz w:val="24"/>
          <w:szCs w:val="24"/>
        </w:rPr>
      </w:r>
    </w:p>
    <w:p>
      <w:pPr>
        <w:pStyle w:val="Normal"/>
        <w:spacing w:lineRule="auto" w:line="276"/>
        <w:rPr>
          <w:sz w:val="24"/>
          <w:szCs w:val="24"/>
        </w:rPr>
      </w:pPr>
      <w:r>
        <w:rPr>
          <w:sz w:val="24"/>
          <w:szCs w:val="24"/>
          <w:lang w:val="en-US" w:eastAsia="en-US"/>
        </w:rPr>
        <w:drawing>
          <wp:inline distT="0" distB="0" distL="0" distR="0">
            <wp:extent cx="1907540" cy="1749425"/>
            <wp:effectExtent l="0" t="0" r="0" b="0"/>
            <wp:docPr id="4" name="图片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
                    <pic:cNvPicPr>
                      <a:picLocks noChangeAspect="1" noChangeArrowheads="1"/>
                    </pic:cNvPicPr>
                  </pic:nvPicPr>
                  <pic:blipFill>
                    <a:blip r:embed="rId5"/>
                    <a:srcRect l="10916" t="3731" r="-13" b="14136"/>
                    <a:stretch>
                      <a:fillRect/>
                    </a:stretch>
                  </pic:blipFill>
                  <pic:spPr bwMode="auto">
                    <a:xfrm>
                      <a:off x="0" y="0"/>
                      <a:ext cx="1907540" cy="1749425"/>
                    </a:xfrm>
                    <a:prstGeom prst="rect">
                      <a:avLst/>
                    </a:prstGeom>
                    <a:noFill/>
                  </pic:spPr>
                </pic:pic>
              </a:graphicData>
            </a:graphic>
          </wp:inline>
        </w:drawing>
      </w:r>
      <w:r>
        <w:rPr>
          <w:sz w:val="24"/>
          <w:szCs w:val="24"/>
          <w:lang w:val="en-US" w:eastAsia="en-US"/>
        </w:rPr>
        <w:drawing>
          <wp:inline distT="0" distB="0" distL="0" distR="0">
            <wp:extent cx="1662430" cy="1771650"/>
            <wp:effectExtent l="0" t="0" r="0" b="0"/>
            <wp:docPr id="5" name="图片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descr=""/>
                    <pic:cNvPicPr>
                      <a:picLocks noChangeAspect="1" noChangeArrowheads="1"/>
                    </pic:cNvPicPr>
                  </pic:nvPicPr>
                  <pic:blipFill>
                    <a:blip r:embed="rId6"/>
                    <a:srcRect l="10244" t="4081" r="-13" b="14338"/>
                    <a:stretch>
                      <a:fillRect/>
                    </a:stretch>
                  </pic:blipFill>
                  <pic:spPr bwMode="auto">
                    <a:xfrm>
                      <a:off x="0" y="0"/>
                      <a:ext cx="1662430" cy="1771650"/>
                    </a:xfrm>
                    <a:prstGeom prst="rect">
                      <a:avLst/>
                    </a:prstGeom>
                    <a:noFill/>
                  </pic:spPr>
                </pic:pic>
              </a:graphicData>
            </a:graphic>
          </wp:inline>
        </w:drawing>
      </w:r>
      <w:r>
        <w:rPr>
          <w:rFonts w:cs="宋体;SimSun" w:ascii="宋体;SimSun" w:hAnsi="宋体;SimSun"/>
          <w:kern w:val="0"/>
          <w:sz w:val="24"/>
          <w:szCs w:val="24"/>
          <w:lang w:val="en-US" w:eastAsia="en-US"/>
        </w:rPr>
        <w:drawing>
          <wp:inline distT="0" distB="0" distL="0" distR="0">
            <wp:extent cx="1620520" cy="1638300"/>
            <wp:effectExtent l="0" t="0" r="0" b="0"/>
            <wp:docPr id="6" name="图片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descr=""/>
                    <pic:cNvPicPr>
                      <a:picLocks noChangeAspect="1" noChangeArrowheads="1"/>
                    </pic:cNvPicPr>
                  </pic:nvPicPr>
                  <pic:blipFill>
                    <a:blip r:embed="rId7"/>
                    <a:srcRect l="10793" t="3541" r="-13" b="14905"/>
                    <a:stretch>
                      <a:fillRect/>
                    </a:stretch>
                  </pic:blipFill>
                  <pic:spPr bwMode="auto">
                    <a:xfrm>
                      <a:off x="0" y="0"/>
                      <a:ext cx="1620520" cy="1638300"/>
                    </a:xfrm>
                    <a:prstGeom prst="rect">
                      <a:avLst/>
                    </a:prstGeom>
                    <a:noFill/>
                  </pic:spPr>
                </pic:pic>
              </a:graphicData>
            </a:graphic>
          </wp:inline>
        </w:drawing>
      </w:r>
    </w:p>
    <w:p>
      <w:pPr>
        <w:pStyle w:val="Normal"/>
        <w:spacing w:lineRule="auto" w:line="276"/>
        <w:jc w:val="center"/>
        <w:rPr>
          <w:b/>
          <w:bCs/>
        </w:rPr>
      </w:pPr>
      <w:r>
        <w:rPr>
          <w:b/>
          <w:bCs/>
        </w:rPr>
        <w:t>图</w:t>
      </w:r>
      <w:r>
        <w:rPr>
          <w:b/>
          <w:bCs/>
        </w:rPr>
        <w:t xml:space="preserve">2 </w:t>
      </w:r>
      <w:r>
        <w:rPr>
          <w:b/>
          <w:bCs/>
        </w:rPr>
        <w:t>不同补饲处理对植物群落物种多样性的影响</w:t>
      </w:r>
    </w:p>
    <w:p>
      <w:pPr>
        <w:pStyle w:val="Normal"/>
        <w:spacing w:lineRule="auto" w:line="276"/>
        <w:rPr>
          <w:b/>
          <w:bCs/>
          <w:sz w:val="24"/>
          <w:szCs w:val="24"/>
        </w:rPr>
      </w:pPr>
      <w:r>
        <w:rPr>
          <w:b/>
          <w:bCs/>
          <w:sz w:val="24"/>
          <w:szCs w:val="24"/>
        </w:rPr>
      </w:r>
    </w:p>
    <w:p>
      <w:pPr>
        <w:pStyle w:val="Normal"/>
        <w:spacing w:lineRule="auto" w:line="360"/>
        <w:ind w:firstLine="440" w:right="0"/>
        <w:rPr/>
      </w:pPr>
      <w:r>
        <w:rPr>
          <w:sz w:val="22"/>
          <w:szCs w:val="20"/>
        </w:rPr>
        <w:t>不同补饲处理对放牧草地植被群落物种多样性的影响</w:t>
      </w:r>
      <w:r>
        <w:rPr>
          <w:sz w:val="22"/>
          <w:szCs w:val="20"/>
        </w:rPr>
        <w:t>差异显著（</w:t>
      </w:r>
      <w:r>
        <w:rPr>
          <w:sz w:val="22"/>
          <w:szCs w:val="20"/>
        </w:rPr>
        <w:t>P&lt;0.05</w:t>
      </w:r>
      <w:r>
        <w:rPr>
          <w:sz w:val="22"/>
          <w:szCs w:val="20"/>
        </w:rPr>
        <w:t>）</w:t>
      </w:r>
      <w:r>
        <w:rPr>
          <w:sz w:val="22"/>
          <w:szCs w:val="20"/>
        </w:rPr>
        <w:t>（图</w:t>
      </w:r>
      <w:r>
        <w:rPr>
          <w:sz w:val="22"/>
          <w:szCs w:val="20"/>
        </w:rPr>
        <w:t>2</w:t>
      </w:r>
      <w:r>
        <w:rPr>
          <w:sz w:val="22"/>
          <w:szCs w:val="20"/>
        </w:rPr>
        <w:t>）。其中，</w:t>
      </w:r>
      <w:r>
        <w:rPr>
          <w:sz w:val="22"/>
          <w:szCs w:val="20"/>
        </w:rPr>
        <w:t>T2</w:t>
      </w:r>
      <w:r>
        <w:rPr>
          <w:sz w:val="22"/>
          <w:szCs w:val="20"/>
        </w:rPr>
        <w:t>处理的物种丰富度、</w:t>
      </w:r>
      <w:r>
        <w:rPr>
          <w:sz w:val="22"/>
          <w:szCs w:val="20"/>
        </w:rPr>
        <w:t>Shannon-Wiener</w:t>
      </w:r>
      <w:r>
        <w:rPr>
          <w:sz w:val="22"/>
          <w:szCs w:val="20"/>
        </w:rPr>
        <w:t>指数和</w:t>
      </w:r>
      <w:r>
        <w:rPr>
          <w:sz w:val="22"/>
          <w:szCs w:val="20"/>
        </w:rPr>
        <w:t>Pielou</w:t>
      </w:r>
      <w:r>
        <w:rPr>
          <w:sz w:val="22"/>
          <w:szCs w:val="20"/>
        </w:rPr>
        <w:t>指数均显著高于其他处理（</w:t>
      </w:r>
      <w:r>
        <w:rPr>
          <w:sz w:val="22"/>
          <w:szCs w:val="20"/>
        </w:rPr>
        <w:t>P&lt;0.05</w:t>
      </w:r>
      <w:r>
        <w:rPr>
          <w:sz w:val="22"/>
          <w:szCs w:val="20"/>
        </w:rPr>
        <w:t>），</w:t>
      </w:r>
      <w:r>
        <w:rPr>
          <w:sz w:val="22"/>
          <w:szCs w:val="20"/>
        </w:rPr>
        <w:t>T3</w:t>
      </w:r>
      <w:r>
        <w:rPr>
          <w:sz w:val="22"/>
          <w:szCs w:val="20"/>
        </w:rPr>
        <w:t>处理虽高于</w:t>
      </w:r>
      <w:r>
        <w:rPr>
          <w:sz w:val="22"/>
          <w:szCs w:val="20"/>
        </w:rPr>
        <w:t>CK</w:t>
      </w:r>
      <w:r>
        <w:rPr>
          <w:sz w:val="22"/>
          <w:szCs w:val="20"/>
        </w:rPr>
        <w:t>，但显著低于</w:t>
      </w:r>
      <w:r>
        <w:rPr>
          <w:sz w:val="22"/>
          <w:szCs w:val="20"/>
        </w:rPr>
        <w:t>T2</w:t>
      </w:r>
      <w:r>
        <w:rPr>
          <w:sz w:val="22"/>
          <w:szCs w:val="20"/>
        </w:rPr>
        <w:t>，说明过量补饲会降低物种多样性。</w:t>
      </w:r>
    </w:p>
    <w:p>
      <w:pPr>
        <w:pStyle w:val="Normal"/>
        <w:spacing w:lineRule="auto" w:line="360"/>
        <w:ind w:firstLine="440" w:right="0"/>
        <w:rPr/>
      </w:pPr>
      <w:r>
        <w:fldChar w:fldCharType="begin"/>
      </w:r>
      <w:r>
        <w:rPr>
          <w:sz w:val="22"/>
          <w:szCs w:val="20"/>
          <w:rFonts w:cs="宋体;SimSun" w:ascii="宋体;SimSun" w:hAnsi="宋体;SimSun"/>
        </w:rPr>
        <w:instrText xml:space="preserve"> = 3 \* GB3 </w:instrText>
      </w:r>
      <w:r>
        <w:rPr>
          <w:rFonts w:cs="宋体;SimSun" w:ascii="宋体;SimSun" w:hAnsi="宋体;SimSun"/>
          <w:sz w:val="22"/>
          <w:szCs w:val="20"/>
        </w:rPr>
      </w:r>
      <w:r>
        <w:rPr>
          <w:sz w:val="22"/>
          <w:szCs w:val="20"/>
        </w:rPr>
        <w:fldChar w:fldCharType="separate"/>
      </w:r>
      <w:r>
        <w:rPr>
          <w:sz w:val="22"/>
          <w:szCs w:val="20"/>
        </w:rPr>
        <w:t>③</w:t>
      </w:r>
      <w:r>
        <w:rPr>
          <w:sz w:val="22"/>
          <w:szCs w:val="20"/>
        </w:rPr>
      </w:r>
      <w:r>
        <w:rPr>
          <w:sz w:val="22"/>
          <w:szCs w:val="20"/>
        </w:rPr>
        <w:fldChar w:fldCharType="end"/>
      </w:r>
      <w:r>
        <w:rPr>
          <w:sz w:val="22"/>
          <w:szCs w:val="20"/>
        </w:rPr>
        <w:t xml:space="preserve"> </w:t>
      </w:r>
      <w:r>
        <w:rPr>
          <w:sz w:val="22"/>
          <w:szCs w:val="20"/>
        </w:rPr>
        <w:t>不同补饲处理下</w:t>
      </w:r>
      <w:r>
        <w:rPr>
          <w:sz w:val="22"/>
          <w:szCs w:val="20"/>
        </w:rPr>
        <w:t>植物</w:t>
      </w:r>
      <w:r>
        <w:rPr>
          <w:sz w:val="22"/>
          <w:szCs w:val="20"/>
        </w:rPr>
        <w:t>功能群相对生物量</w:t>
      </w:r>
    </w:p>
    <w:p>
      <w:pPr>
        <w:pStyle w:val="Normal"/>
        <w:spacing w:lineRule="auto" w:line="360"/>
        <w:ind w:firstLine="440" w:right="0"/>
        <w:jc w:val="center"/>
        <w:rPr>
          <w:sz w:val="22"/>
          <w:szCs w:val="20"/>
        </w:rPr>
      </w:pPr>
      <w:r>
        <w:rPr>
          <w:sz w:val="22"/>
          <w:szCs w:val="20"/>
        </w:rPr>
        <w:drawing>
          <wp:inline distT="0" distB="0" distL="0" distR="0">
            <wp:extent cx="2529840" cy="2170430"/>
            <wp:effectExtent l="0" t="0" r="0" b="0"/>
            <wp:docPr id="7" name="图片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3" descr=""/>
                    <pic:cNvPicPr>
                      <a:picLocks noChangeAspect="1" noChangeArrowheads="1"/>
                    </pic:cNvPicPr>
                  </pic:nvPicPr>
                  <pic:blipFill>
                    <a:blip r:embed="rId8"/>
                    <a:srcRect l="8764" t="-14" r="874" b="14105"/>
                    <a:stretch>
                      <a:fillRect/>
                    </a:stretch>
                  </pic:blipFill>
                  <pic:spPr bwMode="auto">
                    <a:xfrm>
                      <a:off x="0" y="0"/>
                      <a:ext cx="2529840" cy="2170430"/>
                    </a:xfrm>
                    <a:prstGeom prst="rect">
                      <a:avLst/>
                    </a:prstGeom>
                    <a:noFill/>
                  </pic:spPr>
                </pic:pic>
              </a:graphicData>
            </a:graphic>
          </wp:inline>
        </w:drawing>
      </w:r>
    </w:p>
    <w:p>
      <w:pPr>
        <w:pStyle w:val="Normal"/>
        <w:spacing w:lineRule="auto" w:line="276"/>
        <w:jc w:val="center"/>
        <w:rPr/>
      </w:pPr>
      <w:r>
        <w:rPr>
          <w:b/>
          <w:bCs/>
        </w:rPr>
        <w:t>图</w:t>
      </w:r>
      <w:r>
        <w:rPr>
          <w:b/>
          <w:bCs/>
        </w:rPr>
        <w:t xml:space="preserve">3 </w:t>
      </w:r>
      <w:r>
        <w:rPr>
          <w:b/>
          <w:bCs/>
        </w:rPr>
        <w:t>不同补饲处理下植物功能群相对生物量</w:t>
      </w:r>
    </w:p>
    <w:p>
      <w:pPr>
        <w:pStyle w:val="Normal"/>
        <w:spacing w:lineRule="auto" w:line="360"/>
        <w:ind w:firstLine="440" w:right="0"/>
        <w:rPr>
          <w:b/>
          <w:bCs/>
          <w:sz w:val="22"/>
          <w:szCs w:val="20"/>
        </w:rPr>
      </w:pPr>
      <w:r>
        <w:rPr>
          <w:b/>
          <w:bCs/>
          <w:sz w:val="22"/>
          <w:szCs w:val="20"/>
        </w:rPr>
      </w:r>
    </w:p>
    <w:p>
      <w:pPr>
        <w:pStyle w:val="Normal"/>
        <w:spacing w:lineRule="auto" w:line="360"/>
        <w:ind w:firstLine="440" w:right="0"/>
        <w:rPr/>
      </w:pPr>
      <w:r>
        <w:rPr>
          <w:sz w:val="22"/>
          <w:szCs w:val="20"/>
        </w:rPr>
        <w:t>不同补饲处理对放牧草地植被功能群相对生物量的影响</w:t>
      </w:r>
      <w:r>
        <w:rPr>
          <w:sz w:val="22"/>
          <w:szCs w:val="20"/>
        </w:rPr>
        <w:t>差异显著（</w:t>
      </w:r>
      <w:r>
        <w:rPr>
          <w:sz w:val="22"/>
          <w:szCs w:val="20"/>
        </w:rPr>
        <w:t>P&lt;0.05</w:t>
      </w:r>
      <w:r>
        <w:rPr>
          <w:sz w:val="22"/>
          <w:szCs w:val="20"/>
        </w:rPr>
        <w:t>）</w:t>
      </w:r>
      <w:r>
        <w:rPr>
          <w:sz w:val="22"/>
          <w:szCs w:val="20"/>
        </w:rPr>
        <w:t>T2</w:t>
      </w:r>
      <w:r>
        <w:rPr>
          <w:sz w:val="22"/>
          <w:szCs w:val="20"/>
        </w:rPr>
        <w:t>处理禾本科比例升至</w:t>
      </w:r>
      <w:r>
        <w:rPr>
          <w:sz w:val="22"/>
          <w:szCs w:val="20"/>
        </w:rPr>
        <w:t>53.2%</w:t>
      </w:r>
      <w:r>
        <w:rPr>
          <w:sz w:val="22"/>
          <w:szCs w:val="20"/>
        </w:rPr>
        <w:t>，较</w:t>
      </w:r>
      <w:r>
        <w:rPr>
          <w:sz w:val="22"/>
          <w:szCs w:val="20"/>
        </w:rPr>
        <w:t>CK</w:t>
      </w:r>
      <w:r>
        <w:rPr>
          <w:sz w:val="22"/>
          <w:szCs w:val="20"/>
        </w:rPr>
        <w:t>提高</w:t>
      </w:r>
      <w:r>
        <w:rPr>
          <w:sz w:val="22"/>
          <w:szCs w:val="20"/>
        </w:rPr>
        <w:t>37.8%</w:t>
      </w:r>
      <w:r>
        <w:rPr>
          <w:sz w:val="22"/>
          <w:szCs w:val="20"/>
        </w:rPr>
        <w:t>，杂类草比例降至</w:t>
      </w:r>
      <w:r>
        <w:rPr>
          <w:sz w:val="22"/>
          <w:szCs w:val="20"/>
        </w:rPr>
        <w:t>33.2%</w:t>
      </w:r>
      <w:r>
        <w:rPr>
          <w:sz w:val="22"/>
          <w:szCs w:val="20"/>
        </w:rPr>
        <w:t>，表明适量补饲有利于草地植被向顶极群落方向演替。</w:t>
      </w:r>
    </w:p>
    <w:p>
      <w:pPr>
        <w:pStyle w:val="Normal"/>
        <w:spacing w:lineRule="auto" w:line="360"/>
        <w:ind w:firstLine="440" w:right="0"/>
        <w:rPr/>
      </w:pPr>
      <w:r>
        <w:fldChar w:fldCharType="begin"/>
      </w:r>
      <w:r>
        <w:rPr>
          <w:sz w:val="22"/>
          <w:szCs w:val="20"/>
          <w:rFonts w:cs="宋体;SimSun" w:ascii="宋体;SimSun" w:hAnsi="宋体;SimSun"/>
          <w:lang w:val="en-US" w:eastAsia="en-US"/>
        </w:rPr>
        <w:instrText xml:space="preserve"> = 4 \* GB3 </w:instrText>
      </w:r>
      <w:r>
        <w:rPr>
          <w:rFonts w:cs="宋体;SimSun" w:ascii="宋体;SimSun" w:hAnsi="宋体;SimSun"/>
          <w:sz w:val="22"/>
          <w:szCs w:val="20"/>
          <w:lang w:val="en-US" w:eastAsia="en-US"/>
        </w:rPr>
      </w:r>
      <w:r>
        <w:rPr>
          <w:sz w:val="22"/>
          <w:szCs w:val="20"/>
          <w:lang w:val="en-US" w:eastAsia="en-US"/>
        </w:rPr>
        <w:fldChar w:fldCharType="separate"/>
      </w:r>
      <w:r>
        <w:rPr>
          <w:sz w:val="22"/>
          <w:szCs w:val="20"/>
          <w:lang w:val="en-US" w:eastAsia="en-US"/>
        </w:rPr>
        <w:t>④</w:t>
      </w:r>
      <w:r>
        <w:rPr>
          <w:sz w:val="22"/>
          <w:szCs w:val="20"/>
          <w:lang w:val="en-US" w:eastAsia="en-US"/>
        </w:rPr>
      </w:r>
      <w:r>
        <w:rPr>
          <w:sz w:val="22"/>
          <w:szCs w:val="20"/>
          <w:lang w:val="en-US" w:eastAsia="en-US"/>
        </w:rPr>
        <w:fldChar w:fldCharType="end"/>
      </w:r>
      <w:r>
        <w:rPr>
          <w:sz w:val="22"/>
          <w:szCs w:val="20"/>
        </w:rPr>
        <w:t xml:space="preserve"> </w:t>
      </w:r>
      <w:r>
        <w:rPr>
          <w:sz w:val="22"/>
          <w:szCs w:val="20"/>
        </w:rPr>
        <w:t>补饲对土壤</w:t>
      </w:r>
      <w:r>
        <w:rPr>
          <w:sz w:val="22"/>
          <w:szCs w:val="20"/>
        </w:rPr>
        <w:t>有机碳和氮磷含量</w:t>
      </w:r>
      <w:r>
        <w:rPr>
          <w:sz w:val="22"/>
          <w:szCs w:val="20"/>
        </w:rPr>
        <w:t>的影响</w:t>
      </w:r>
    </w:p>
    <w:p>
      <w:pPr>
        <w:pStyle w:val="Normal"/>
        <w:spacing w:lineRule="auto" w:line="360"/>
        <w:ind w:firstLine="440" w:right="0"/>
        <w:rPr/>
      </w:pPr>
      <w:r>
        <w:rPr>
          <w:sz w:val="22"/>
          <w:szCs w:val="20"/>
        </w:rPr>
        <w:t>不同处理对放牧地有机碳、全氮、和有效磷含量的影响不同（图</w:t>
      </w:r>
      <w:r>
        <w:rPr>
          <w:sz w:val="22"/>
          <w:szCs w:val="20"/>
        </w:rPr>
        <w:t>4</w:t>
      </w:r>
      <w:r>
        <w:rPr>
          <w:sz w:val="22"/>
          <w:szCs w:val="20"/>
        </w:rPr>
        <w:t>），相比不补饲，补饲能提升放牧地有机碳、全氮和有效磷。补饲后土壤有机碳含量提升范围在</w:t>
      </w:r>
      <w:r>
        <w:rPr>
          <w:sz w:val="22"/>
          <w:szCs w:val="20"/>
        </w:rPr>
        <w:t>6.5%-18.5%</w:t>
      </w:r>
      <w:r>
        <w:rPr>
          <w:sz w:val="22"/>
          <w:szCs w:val="20"/>
        </w:rPr>
        <w:t>，不同补饲处理间有机碳增幅差异显著</w:t>
      </w:r>
      <w:r>
        <w:rPr>
          <w:sz w:val="22"/>
          <w:szCs w:val="20"/>
        </w:rPr>
        <w:t>（</w:t>
      </w:r>
      <w:r>
        <w:rPr>
          <w:sz w:val="22"/>
          <w:szCs w:val="20"/>
        </w:rPr>
        <w:t>P&lt;0.05</w:t>
      </w:r>
      <w:r>
        <w:rPr>
          <w:sz w:val="22"/>
          <w:szCs w:val="20"/>
        </w:rPr>
        <w:t>）</w:t>
      </w:r>
      <w:r>
        <w:rPr>
          <w:sz w:val="22"/>
          <w:szCs w:val="20"/>
        </w:rPr>
        <w:t>。其中</w:t>
      </w:r>
      <w:r>
        <w:rPr>
          <w:sz w:val="22"/>
          <w:szCs w:val="20"/>
        </w:rPr>
        <w:t>T2</w:t>
      </w:r>
      <w:r>
        <w:rPr>
          <w:sz w:val="22"/>
          <w:szCs w:val="20"/>
        </w:rPr>
        <w:t>处理土壤有机质累计增幅达</w:t>
      </w:r>
      <w:r>
        <w:rPr>
          <w:sz w:val="22"/>
          <w:szCs w:val="20"/>
        </w:rPr>
        <w:t>18.5%</w:t>
      </w:r>
      <w:r>
        <w:rPr>
          <w:sz w:val="22"/>
          <w:szCs w:val="20"/>
        </w:rPr>
        <w:t>，</w:t>
      </w:r>
      <w:r>
        <w:rPr>
          <w:sz w:val="22"/>
          <w:szCs w:val="20"/>
        </w:rPr>
        <w:t>T3</w:t>
      </w:r>
      <w:r>
        <w:rPr>
          <w:sz w:val="22"/>
          <w:szCs w:val="20"/>
        </w:rPr>
        <w:t>增幅仅为</w:t>
      </w:r>
      <w:r>
        <w:rPr>
          <w:sz w:val="22"/>
          <w:szCs w:val="20"/>
        </w:rPr>
        <w:t>9.9%</w:t>
      </w:r>
      <w:r>
        <w:rPr>
          <w:sz w:val="22"/>
          <w:szCs w:val="20"/>
        </w:rPr>
        <w:t>，显著低于</w:t>
      </w:r>
      <w:r>
        <w:rPr>
          <w:sz w:val="22"/>
          <w:szCs w:val="20"/>
        </w:rPr>
        <w:t>T2</w:t>
      </w:r>
      <w:r>
        <w:rPr>
          <w:sz w:val="22"/>
          <w:szCs w:val="20"/>
        </w:rPr>
        <w:t>，表明过量补饲对有机质积累的促进作用减弱。</w:t>
      </w:r>
    </w:p>
    <w:p>
      <w:pPr>
        <w:pStyle w:val="Normal"/>
        <w:spacing w:lineRule="auto" w:line="360"/>
        <w:rPr>
          <w:sz w:val="22"/>
          <w:szCs w:val="20"/>
        </w:rPr>
      </w:pPr>
      <w:r>
        <w:rPr>
          <w:sz w:val="22"/>
          <w:szCs w:val="20"/>
        </w:rPr>
        <w:drawing>
          <wp:inline distT="0" distB="0" distL="0" distR="0">
            <wp:extent cx="1684655" cy="1397635"/>
            <wp:effectExtent l="0" t="0" r="0" b="0"/>
            <wp:docPr id="8" name="图片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6" descr=""/>
                    <pic:cNvPicPr>
                      <a:picLocks noChangeAspect="1" noChangeArrowheads="1"/>
                    </pic:cNvPicPr>
                  </pic:nvPicPr>
                  <pic:blipFill>
                    <a:blip r:embed="rId9"/>
                    <a:srcRect l="2900" t="-15" r="7192" b="8571"/>
                    <a:stretch>
                      <a:fillRect/>
                    </a:stretch>
                  </pic:blipFill>
                  <pic:spPr bwMode="auto">
                    <a:xfrm>
                      <a:off x="0" y="0"/>
                      <a:ext cx="1684655" cy="1397635"/>
                    </a:xfrm>
                    <a:prstGeom prst="rect">
                      <a:avLst/>
                    </a:prstGeom>
                    <a:noFill/>
                  </pic:spPr>
                </pic:pic>
              </a:graphicData>
            </a:graphic>
          </wp:inline>
        </w:drawing>
      </w:r>
      <w:r>
        <w:rPr>
          <w:sz w:val="22"/>
          <w:szCs w:val="20"/>
        </w:rPr>
        <w:drawing>
          <wp:inline distT="0" distB="0" distL="0" distR="0">
            <wp:extent cx="1526540" cy="1538605"/>
            <wp:effectExtent l="0" t="0" r="0" b="0"/>
            <wp:docPr id="9" name="图片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
                    <pic:cNvPicPr>
                      <a:picLocks noChangeAspect="1" noChangeArrowheads="1"/>
                    </pic:cNvPicPr>
                  </pic:nvPicPr>
                  <pic:blipFill>
                    <a:blip r:embed="rId10"/>
                    <a:srcRect l="-23" t="-23" r="-23" b="-23"/>
                    <a:stretch>
                      <a:fillRect/>
                    </a:stretch>
                  </pic:blipFill>
                  <pic:spPr bwMode="auto">
                    <a:xfrm>
                      <a:off x="0" y="0"/>
                      <a:ext cx="1526540" cy="1538605"/>
                    </a:xfrm>
                    <a:prstGeom prst="rect">
                      <a:avLst/>
                    </a:prstGeom>
                    <a:noFill/>
                  </pic:spPr>
                </pic:pic>
              </a:graphicData>
            </a:graphic>
          </wp:inline>
        </w:drawing>
      </w:r>
      <w:r>
        <w:rPr>
          <w:sz w:val="22"/>
          <w:szCs w:val="20"/>
        </w:rPr>
        <w:drawing>
          <wp:inline distT="0" distB="0" distL="0" distR="0">
            <wp:extent cx="1995170" cy="1287780"/>
            <wp:effectExtent l="0" t="0" r="0" b="0"/>
            <wp:docPr id="10" name="图片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descr=""/>
                    <pic:cNvPicPr>
                      <a:picLocks noChangeAspect="1" noChangeArrowheads="1"/>
                    </pic:cNvPicPr>
                  </pic:nvPicPr>
                  <pic:blipFill>
                    <a:blip r:embed="rId11"/>
                    <a:srcRect l="15754" t="-14" r="-12" b="14383"/>
                    <a:stretch>
                      <a:fillRect/>
                    </a:stretch>
                  </pic:blipFill>
                  <pic:spPr bwMode="auto">
                    <a:xfrm>
                      <a:off x="0" y="0"/>
                      <a:ext cx="1995170" cy="1287780"/>
                    </a:xfrm>
                    <a:prstGeom prst="rect">
                      <a:avLst/>
                    </a:prstGeom>
                    <a:noFill/>
                  </pic:spPr>
                </pic:pic>
              </a:graphicData>
            </a:graphic>
          </wp:inline>
        </w:drawing>
      </w:r>
    </w:p>
    <w:p>
      <w:pPr>
        <w:pStyle w:val="Normal"/>
        <w:spacing w:lineRule="auto" w:line="276"/>
        <w:jc w:val="center"/>
        <w:rPr>
          <w:b/>
          <w:bCs/>
        </w:rPr>
      </w:pPr>
      <w:r>
        <w:rPr>
          <w:b/>
          <w:bCs/>
        </w:rPr>
        <w:t>图</w:t>
      </w:r>
      <w:r>
        <w:rPr>
          <w:b/>
          <w:bCs/>
        </w:rPr>
        <w:t xml:space="preserve">4 </w:t>
      </w:r>
      <w:r>
        <w:rPr>
          <w:b/>
          <w:bCs/>
        </w:rPr>
        <w:t>补饲土壤养分和有机碳、全氮和有效磷的影响</w:t>
      </w:r>
    </w:p>
    <w:p>
      <w:pPr>
        <w:pStyle w:val="Normal"/>
        <w:spacing w:lineRule="auto" w:line="360"/>
        <w:ind w:firstLine="440" w:right="0"/>
        <w:rPr>
          <w:b/>
          <w:bCs/>
          <w:sz w:val="22"/>
          <w:szCs w:val="20"/>
        </w:rPr>
      </w:pPr>
      <w:r>
        <w:rPr>
          <w:b/>
          <w:bCs/>
          <w:sz w:val="22"/>
          <w:szCs w:val="20"/>
        </w:rPr>
      </w:r>
    </w:p>
    <w:p>
      <w:pPr>
        <w:pStyle w:val="Normal"/>
        <w:spacing w:lineRule="auto" w:line="360"/>
        <w:ind w:firstLine="440" w:right="0"/>
        <w:rPr/>
      </w:pPr>
      <w:r>
        <w:rPr>
          <w:sz w:val="22"/>
          <w:szCs w:val="20"/>
        </w:rPr>
        <w:t>补饲增加放牧地全氮年增长率范围在</w:t>
      </w:r>
      <w:r>
        <w:rPr>
          <w:sz w:val="22"/>
          <w:szCs w:val="20"/>
        </w:rPr>
        <w:t>1.9%-2.7%</w:t>
      </w:r>
      <w:r>
        <w:rPr>
          <w:sz w:val="22"/>
          <w:szCs w:val="20"/>
        </w:rPr>
        <w:t>，不同补饲处理间增幅不同，</w:t>
      </w:r>
      <w:r>
        <w:rPr>
          <w:sz w:val="22"/>
          <w:szCs w:val="20"/>
        </w:rPr>
        <w:t>T2</w:t>
      </w:r>
      <w:r>
        <w:rPr>
          <w:sz w:val="22"/>
          <w:szCs w:val="20"/>
        </w:rPr>
        <w:t>与</w:t>
      </w:r>
      <w:r>
        <w:rPr>
          <w:sz w:val="22"/>
          <w:szCs w:val="20"/>
        </w:rPr>
        <w:t>T1</w:t>
      </w:r>
      <w:r>
        <w:rPr>
          <w:sz w:val="22"/>
          <w:szCs w:val="20"/>
        </w:rPr>
        <w:t>、</w:t>
      </w:r>
      <w:r>
        <w:rPr>
          <w:sz w:val="22"/>
          <w:szCs w:val="20"/>
        </w:rPr>
        <w:t>T3</w:t>
      </w:r>
      <w:r>
        <w:rPr>
          <w:sz w:val="22"/>
          <w:szCs w:val="20"/>
        </w:rPr>
        <w:t>差异显著</w:t>
      </w:r>
      <w:r>
        <w:rPr>
          <w:sz w:val="22"/>
          <w:szCs w:val="20"/>
        </w:rPr>
        <w:t>（</w:t>
      </w:r>
      <w:r>
        <w:rPr>
          <w:sz w:val="22"/>
          <w:szCs w:val="20"/>
        </w:rPr>
        <w:t>P&lt;0.05</w:t>
      </w:r>
      <w:r>
        <w:rPr>
          <w:sz w:val="22"/>
          <w:szCs w:val="20"/>
        </w:rPr>
        <w:t>）</w:t>
      </w:r>
      <w:r>
        <w:rPr>
          <w:sz w:val="22"/>
          <w:szCs w:val="20"/>
        </w:rPr>
        <w:t>。</w:t>
      </w:r>
      <w:r>
        <w:rPr>
          <w:sz w:val="22"/>
          <w:szCs w:val="20"/>
        </w:rPr>
        <w:t>T2</w:t>
      </w:r>
      <w:r>
        <w:rPr>
          <w:sz w:val="22"/>
          <w:szCs w:val="20"/>
        </w:rPr>
        <w:t>处理全氮净增</w:t>
      </w:r>
      <w:r>
        <w:rPr>
          <w:sz w:val="22"/>
          <w:szCs w:val="20"/>
        </w:rPr>
        <w:t>0.11 g·kg⁻¹</w:t>
      </w:r>
      <w:r>
        <w:rPr>
          <w:sz w:val="22"/>
          <w:szCs w:val="20"/>
        </w:rPr>
        <w:t>，年增长率</w:t>
      </w:r>
      <w:r>
        <w:rPr>
          <w:sz w:val="22"/>
          <w:szCs w:val="20"/>
        </w:rPr>
        <w:t>4.8%</w:t>
      </w:r>
      <w:r>
        <w:rPr>
          <w:sz w:val="22"/>
          <w:szCs w:val="20"/>
        </w:rPr>
        <w:t>，显著优于</w:t>
      </w:r>
      <w:r>
        <w:rPr>
          <w:sz w:val="22"/>
          <w:szCs w:val="20"/>
        </w:rPr>
        <w:t>T3</w:t>
      </w:r>
      <w:r>
        <w:rPr>
          <w:sz w:val="22"/>
          <w:szCs w:val="20"/>
        </w:rPr>
        <w:t>和</w:t>
      </w:r>
      <w:r>
        <w:rPr>
          <w:sz w:val="22"/>
          <w:szCs w:val="20"/>
        </w:rPr>
        <w:t>CK</w:t>
      </w:r>
      <w:r>
        <w:rPr>
          <w:sz w:val="22"/>
          <w:szCs w:val="20"/>
        </w:rPr>
        <w:t>，说明适量补饲有利于土壤氮素积累。</w:t>
      </w:r>
    </w:p>
    <w:p>
      <w:pPr>
        <w:pStyle w:val="Normal"/>
        <w:spacing w:lineRule="auto" w:line="360"/>
        <w:ind w:firstLine="440" w:right="0"/>
        <w:rPr/>
      </w:pPr>
      <w:r>
        <w:rPr>
          <w:sz w:val="22"/>
          <w:szCs w:val="20"/>
        </w:rPr>
        <w:t>补饲提升放牧地有有效磷范围在</w:t>
      </w:r>
      <w:r>
        <w:rPr>
          <w:sz w:val="22"/>
          <w:szCs w:val="20"/>
        </w:rPr>
        <w:t>17.9%-53.8%</w:t>
      </w:r>
      <w:r>
        <w:rPr>
          <w:sz w:val="22"/>
          <w:szCs w:val="20"/>
        </w:rPr>
        <w:t>，不同补饲处理间增幅不同，</w:t>
      </w:r>
      <w:r>
        <w:rPr>
          <w:sz w:val="22"/>
          <w:szCs w:val="20"/>
        </w:rPr>
        <w:t>T2</w:t>
      </w:r>
      <w:r>
        <w:rPr>
          <w:sz w:val="22"/>
          <w:szCs w:val="20"/>
        </w:rPr>
        <w:t>与</w:t>
      </w:r>
      <w:r>
        <w:rPr>
          <w:sz w:val="22"/>
          <w:szCs w:val="20"/>
        </w:rPr>
        <w:t>T1</w:t>
      </w:r>
      <w:r>
        <w:rPr>
          <w:sz w:val="22"/>
          <w:szCs w:val="20"/>
        </w:rPr>
        <w:t>、</w:t>
      </w:r>
      <w:r>
        <w:rPr>
          <w:sz w:val="22"/>
          <w:szCs w:val="20"/>
        </w:rPr>
        <w:t>T3</w:t>
      </w:r>
      <w:r>
        <w:rPr>
          <w:sz w:val="22"/>
          <w:szCs w:val="20"/>
        </w:rPr>
        <w:t>差异显著</w:t>
      </w:r>
      <w:r>
        <w:rPr>
          <w:sz w:val="22"/>
          <w:szCs w:val="20"/>
        </w:rPr>
        <w:t>（</w:t>
      </w:r>
      <w:r>
        <w:rPr>
          <w:sz w:val="22"/>
          <w:szCs w:val="20"/>
        </w:rPr>
        <w:t>P&lt;0.05</w:t>
      </w:r>
      <w:r>
        <w:rPr>
          <w:sz w:val="22"/>
          <w:szCs w:val="20"/>
        </w:rPr>
        <w:t>）</w:t>
      </w:r>
      <w:r>
        <w:rPr>
          <w:sz w:val="22"/>
          <w:szCs w:val="20"/>
        </w:rPr>
        <w:t>。</w:t>
      </w:r>
      <w:r>
        <w:rPr>
          <w:sz w:val="22"/>
          <w:szCs w:val="20"/>
        </w:rPr>
        <w:t>T2</w:t>
      </w:r>
      <w:r>
        <w:rPr>
          <w:sz w:val="22"/>
          <w:szCs w:val="20"/>
        </w:rPr>
        <w:t>处理</w:t>
      </w:r>
      <w:r>
        <w:rPr>
          <w:sz w:val="22"/>
          <w:szCs w:val="20"/>
        </w:rPr>
        <w:t>有机磷</w:t>
      </w:r>
      <w:r>
        <w:rPr>
          <w:sz w:val="22"/>
          <w:szCs w:val="20"/>
        </w:rPr>
        <w:t>净增</w:t>
      </w:r>
      <w:r>
        <w:rPr>
          <w:sz w:val="22"/>
          <w:szCs w:val="20"/>
        </w:rPr>
        <w:t>1</w:t>
      </w:r>
      <w:r>
        <w:rPr>
          <w:sz w:val="22"/>
          <w:szCs w:val="20"/>
        </w:rPr>
        <w:t>.</w:t>
      </w:r>
      <w:r>
        <w:rPr>
          <w:sz w:val="22"/>
          <w:szCs w:val="20"/>
        </w:rPr>
        <w:t>8</w:t>
      </w:r>
      <w:r>
        <w:rPr>
          <w:sz w:val="22"/>
          <w:szCs w:val="20"/>
        </w:rPr>
        <w:t xml:space="preserve"> g·kg⁻¹</w:t>
      </w:r>
      <w:r>
        <w:rPr>
          <w:sz w:val="22"/>
          <w:szCs w:val="20"/>
        </w:rPr>
        <w:t>，</w:t>
      </w:r>
      <w:r>
        <w:rPr>
          <w:sz w:val="22"/>
          <w:szCs w:val="20"/>
        </w:rPr>
        <w:t>是</w:t>
      </w:r>
      <w:r>
        <w:rPr>
          <w:sz w:val="22"/>
          <w:szCs w:val="20"/>
        </w:rPr>
        <w:t>T1</w:t>
      </w:r>
      <w:r>
        <w:rPr>
          <w:sz w:val="22"/>
          <w:szCs w:val="20"/>
        </w:rPr>
        <w:t>的</w:t>
      </w:r>
      <w:r>
        <w:rPr>
          <w:sz w:val="22"/>
          <w:szCs w:val="20"/>
        </w:rPr>
        <w:t>6</w:t>
      </w:r>
      <w:r>
        <w:rPr>
          <w:sz w:val="22"/>
          <w:szCs w:val="20"/>
        </w:rPr>
        <w:t>倍，</w:t>
      </w:r>
      <w:r>
        <w:rPr>
          <w:sz w:val="22"/>
          <w:szCs w:val="20"/>
        </w:rPr>
        <w:t>T3</w:t>
      </w:r>
      <w:r>
        <w:rPr>
          <w:sz w:val="22"/>
          <w:szCs w:val="20"/>
        </w:rPr>
        <w:t>的</w:t>
      </w:r>
      <w:r>
        <w:rPr>
          <w:sz w:val="22"/>
          <w:szCs w:val="20"/>
        </w:rPr>
        <w:t>1.8</w:t>
      </w:r>
      <w:r>
        <w:rPr>
          <w:sz w:val="22"/>
          <w:szCs w:val="20"/>
        </w:rPr>
        <w:t>倍</w:t>
      </w:r>
      <w:r>
        <w:rPr>
          <w:sz w:val="22"/>
          <w:szCs w:val="20"/>
        </w:rPr>
        <w:t>，表明补饲量并非越高越好。</w:t>
      </w:r>
    </w:p>
    <w:p>
      <w:pPr>
        <w:pStyle w:val="Normal"/>
        <w:spacing w:lineRule="auto" w:line="360"/>
        <w:ind w:firstLine="440" w:right="0"/>
        <w:rPr/>
      </w:pPr>
      <w:r>
        <w:fldChar w:fldCharType="begin"/>
      </w:r>
      <w:r>
        <w:rPr>
          <w:sz w:val="22"/>
          <w:szCs w:val="20"/>
          <w:rFonts w:cs="宋体;SimSun" w:ascii="宋体;SimSun" w:hAnsi="宋体;SimSun"/>
          <w:lang w:val="en-US" w:eastAsia="en-US"/>
        </w:rPr>
        <w:instrText xml:space="preserve"> = 5 \* GB3 </w:instrText>
      </w:r>
      <w:r>
        <w:rPr>
          <w:rFonts w:cs="宋体;SimSun" w:ascii="宋体;SimSun" w:hAnsi="宋体;SimSun"/>
          <w:sz w:val="22"/>
          <w:szCs w:val="20"/>
          <w:lang w:val="en-US" w:eastAsia="en-US"/>
        </w:rPr>
      </w:r>
      <w:r>
        <w:rPr>
          <w:sz w:val="22"/>
          <w:szCs w:val="20"/>
          <w:lang w:val="en-US" w:eastAsia="en-US"/>
        </w:rPr>
        <w:fldChar w:fldCharType="separate"/>
      </w:r>
      <w:r>
        <w:rPr>
          <w:sz w:val="22"/>
          <w:szCs w:val="20"/>
          <w:lang w:val="en-US" w:eastAsia="en-US"/>
        </w:rPr>
        <w:t>⑤</w:t>
      </w:r>
      <w:r>
        <w:rPr>
          <w:sz w:val="22"/>
          <w:szCs w:val="20"/>
          <w:lang w:val="en-US" w:eastAsia="en-US"/>
        </w:rPr>
      </w:r>
      <w:r>
        <w:rPr>
          <w:sz w:val="22"/>
          <w:szCs w:val="20"/>
          <w:lang w:val="en-US" w:eastAsia="en-US"/>
        </w:rPr>
        <w:fldChar w:fldCharType="end"/>
      </w:r>
      <w:r>
        <w:rPr>
          <w:sz w:val="22"/>
          <w:szCs w:val="20"/>
        </w:rPr>
        <w:t xml:space="preserve"> </w:t>
      </w:r>
      <w:r>
        <w:rPr>
          <w:sz w:val="22"/>
          <w:szCs w:val="20"/>
        </w:rPr>
        <w:t>补饲对家畜粪便养分及生产性能的影响</w:t>
      </w:r>
    </w:p>
    <w:p>
      <w:pPr>
        <w:pStyle w:val="Normal"/>
        <w:spacing w:lineRule="auto" w:line="360"/>
        <w:rPr>
          <w:sz w:val="22"/>
          <w:szCs w:val="20"/>
        </w:rPr>
      </w:pPr>
      <w:r>
        <w:rPr>
          <w:sz w:val="22"/>
          <w:szCs w:val="20"/>
        </w:rPr>
        <w:drawing>
          <wp:inline distT="0" distB="0" distL="0" distR="0">
            <wp:extent cx="2529205" cy="2172335"/>
            <wp:effectExtent l="0" t="0" r="0" b="0"/>
            <wp:docPr id="11" name="图片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5" descr=""/>
                    <pic:cNvPicPr>
                      <a:picLocks noChangeAspect="1" noChangeArrowheads="1"/>
                    </pic:cNvPicPr>
                  </pic:nvPicPr>
                  <pic:blipFill>
                    <a:blip r:embed="rId12"/>
                    <a:srcRect l="11725" t="4384" r="-13" b="15192"/>
                    <a:stretch>
                      <a:fillRect/>
                    </a:stretch>
                  </pic:blipFill>
                  <pic:spPr bwMode="auto">
                    <a:xfrm>
                      <a:off x="0" y="0"/>
                      <a:ext cx="2529205" cy="2172335"/>
                    </a:xfrm>
                    <a:prstGeom prst="rect">
                      <a:avLst/>
                    </a:prstGeom>
                    <a:noFill/>
                  </pic:spPr>
                </pic:pic>
              </a:graphicData>
            </a:graphic>
          </wp:inline>
        </w:drawing>
      </w:r>
      <w:r>
        <w:rPr>
          <w:rFonts w:eastAsia="Times New Roman"/>
          <w:sz w:val="22"/>
          <w:szCs w:val="20"/>
        </w:rPr>
        <w:t xml:space="preserve">    </w:t>
      </w:r>
      <w:r>
        <w:rPr>
          <w:sz w:val="22"/>
          <w:szCs w:val="20"/>
        </w:rPr>
        <w:drawing>
          <wp:inline distT="0" distB="0" distL="0" distR="0">
            <wp:extent cx="2532380" cy="2171065"/>
            <wp:effectExtent l="0" t="0" r="0" b="0"/>
            <wp:docPr id="12" name="图片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3" descr=""/>
                    <pic:cNvPicPr>
                      <a:picLocks noChangeAspect="1" noChangeArrowheads="1"/>
                    </pic:cNvPicPr>
                  </pic:nvPicPr>
                  <pic:blipFill>
                    <a:blip r:embed="rId13"/>
                    <a:srcRect l="16168" t="3306" r="-12" b="14221"/>
                    <a:stretch>
                      <a:fillRect/>
                    </a:stretch>
                  </pic:blipFill>
                  <pic:spPr bwMode="auto">
                    <a:xfrm>
                      <a:off x="0" y="0"/>
                      <a:ext cx="2532380" cy="2171065"/>
                    </a:xfrm>
                    <a:prstGeom prst="rect">
                      <a:avLst/>
                    </a:prstGeom>
                    <a:noFill/>
                  </pic:spPr>
                </pic:pic>
              </a:graphicData>
            </a:graphic>
          </wp:inline>
        </w:drawing>
      </w:r>
    </w:p>
    <w:p>
      <w:pPr>
        <w:pStyle w:val="Normal"/>
        <w:spacing w:lineRule="auto" w:line="360"/>
        <w:ind w:firstLine="422" w:right="0"/>
        <w:rPr>
          <w:b/>
          <w:bCs/>
        </w:rPr>
      </w:pPr>
      <w:r>
        <w:rPr>
          <w:b/>
          <w:bCs/>
        </w:rPr>
        <w:t>图</w:t>
      </w:r>
      <w:r>
        <w:rPr>
          <w:b/>
          <w:bCs/>
        </w:rPr>
        <w:t>5</w:t>
      </w:r>
      <w:r>
        <w:rPr>
          <w:b/>
          <w:bCs/>
        </w:rPr>
        <w:t xml:space="preserve"> </w:t>
      </w:r>
      <w:r>
        <w:rPr>
          <w:b/>
          <w:bCs/>
        </w:rPr>
        <w:t>补饲对放牧家畜粪便全氮和有效磷的影响</w:t>
      </w:r>
      <w:r>
        <w:rPr>
          <w:rFonts w:eastAsia="Times New Roman"/>
          <w:b/>
          <w:bCs/>
        </w:rPr>
        <w:t xml:space="preserve">         </w:t>
      </w:r>
      <w:r>
        <w:rPr>
          <w:b/>
          <w:bCs/>
        </w:rPr>
        <w:t>图</w:t>
      </w:r>
      <w:r>
        <w:rPr>
          <w:b/>
          <w:bCs/>
        </w:rPr>
        <w:t xml:space="preserve">6 </w:t>
      </w:r>
      <w:r>
        <w:rPr>
          <w:b/>
          <w:bCs/>
        </w:rPr>
        <w:t>补饲对家畜日增重的影响</w:t>
      </w:r>
    </w:p>
    <w:p>
      <w:pPr>
        <w:pStyle w:val="Normal"/>
        <w:spacing w:lineRule="auto" w:line="360"/>
        <w:ind w:firstLine="440" w:right="0"/>
        <w:rPr>
          <w:b/>
          <w:bCs/>
          <w:sz w:val="22"/>
          <w:szCs w:val="20"/>
        </w:rPr>
      </w:pPr>
      <w:r>
        <w:rPr>
          <w:b/>
          <w:bCs/>
          <w:sz w:val="22"/>
          <w:szCs w:val="20"/>
        </w:rPr>
      </w:r>
    </w:p>
    <w:p>
      <w:pPr>
        <w:pStyle w:val="Normal"/>
        <w:spacing w:lineRule="auto" w:line="360"/>
        <w:ind w:firstLine="440" w:right="0"/>
        <w:rPr/>
      </w:pPr>
      <w:r>
        <w:rPr>
          <w:sz w:val="22"/>
          <w:szCs w:val="20"/>
        </w:rPr>
        <w:t>补饲能提高家畜粪便的氮磷含量</w:t>
      </w:r>
      <w:r>
        <w:rPr>
          <w:sz w:val="22"/>
          <w:szCs w:val="20"/>
        </w:rPr>
        <w:t>，</w:t>
      </w:r>
      <w:r>
        <w:rPr>
          <w:sz w:val="22"/>
          <w:szCs w:val="20"/>
        </w:rPr>
        <w:t>T2</w:t>
      </w:r>
      <w:r>
        <w:rPr>
          <w:sz w:val="22"/>
          <w:szCs w:val="20"/>
        </w:rPr>
        <w:t>处理粪便全氮和全磷含量最高，较</w:t>
      </w:r>
      <w:r>
        <w:rPr>
          <w:sz w:val="22"/>
          <w:szCs w:val="20"/>
        </w:rPr>
        <w:t>CK</w:t>
      </w:r>
      <w:r>
        <w:rPr>
          <w:sz w:val="22"/>
          <w:szCs w:val="20"/>
        </w:rPr>
        <w:t>分别提高</w:t>
      </w:r>
      <w:r>
        <w:rPr>
          <w:sz w:val="22"/>
          <w:szCs w:val="20"/>
        </w:rPr>
        <w:t>24.5%</w:t>
      </w:r>
      <w:r>
        <w:rPr>
          <w:sz w:val="22"/>
          <w:szCs w:val="20"/>
        </w:rPr>
        <w:t>和</w:t>
      </w:r>
      <w:r>
        <w:rPr>
          <w:sz w:val="22"/>
          <w:szCs w:val="20"/>
        </w:rPr>
        <w:t>29.6%</w:t>
      </w:r>
      <w:r>
        <w:rPr>
          <w:sz w:val="22"/>
          <w:szCs w:val="20"/>
        </w:rPr>
        <w:t>，</w:t>
      </w:r>
      <w:r>
        <w:rPr>
          <w:sz w:val="22"/>
          <w:szCs w:val="20"/>
        </w:rPr>
        <w:t>T3</w:t>
      </w:r>
      <w:r>
        <w:rPr>
          <w:sz w:val="22"/>
          <w:szCs w:val="20"/>
        </w:rPr>
        <w:t>虽高于</w:t>
      </w:r>
      <w:r>
        <w:rPr>
          <w:sz w:val="22"/>
          <w:szCs w:val="20"/>
        </w:rPr>
        <w:t>CK</w:t>
      </w:r>
      <w:r>
        <w:rPr>
          <w:sz w:val="22"/>
          <w:szCs w:val="20"/>
        </w:rPr>
        <w:t>但低于</w:t>
      </w:r>
      <w:r>
        <w:rPr>
          <w:sz w:val="22"/>
          <w:szCs w:val="20"/>
        </w:rPr>
        <w:t>T2</w:t>
      </w:r>
      <w:r>
        <w:rPr>
          <w:sz w:val="22"/>
          <w:szCs w:val="20"/>
        </w:rPr>
        <w:t>，反映过量补饲下养分利用效率下降。</w:t>
      </w:r>
    </w:p>
    <w:p>
      <w:pPr>
        <w:pStyle w:val="Normal"/>
        <w:spacing w:lineRule="auto" w:line="360"/>
        <w:ind w:firstLine="440" w:right="0"/>
        <w:rPr>
          <w:sz w:val="22"/>
          <w:szCs w:val="20"/>
        </w:rPr>
      </w:pPr>
      <w:r>
        <w:rPr>
          <w:sz w:val="22"/>
          <w:szCs w:val="20"/>
        </w:rPr>
        <w:t>过量补饲（</w:t>
      </w:r>
      <w:r>
        <w:rPr>
          <w:sz w:val="22"/>
          <w:szCs w:val="20"/>
        </w:rPr>
        <w:t>T3</w:t>
      </w:r>
      <w:r>
        <w:rPr>
          <w:sz w:val="22"/>
          <w:szCs w:val="20"/>
        </w:rPr>
        <w:t>）日增重最高（</w:t>
      </w:r>
      <w:r>
        <w:rPr>
          <w:sz w:val="22"/>
          <w:szCs w:val="20"/>
        </w:rPr>
        <w:t>138 g·d⁻¹</w:t>
      </w:r>
      <w:r>
        <w:rPr>
          <w:sz w:val="22"/>
          <w:szCs w:val="20"/>
        </w:rPr>
        <w:t>），较</w:t>
      </w:r>
      <w:r>
        <w:rPr>
          <w:sz w:val="22"/>
          <w:szCs w:val="20"/>
        </w:rPr>
        <w:t>CK</w:t>
      </w:r>
      <w:r>
        <w:rPr>
          <w:sz w:val="22"/>
          <w:szCs w:val="20"/>
        </w:rPr>
        <w:t>提高</w:t>
      </w:r>
      <w:r>
        <w:rPr>
          <w:sz w:val="22"/>
          <w:szCs w:val="20"/>
        </w:rPr>
        <w:t>58.6%</w:t>
      </w:r>
      <w:r>
        <w:rPr>
          <w:sz w:val="22"/>
          <w:szCs w:val="20"/>
        </w:rPr>
        <w:t>，但结合土壤养分改善效果，</w:t>
      </w:r>
      <w:r>
        <w:rPr>
          <w:sz w:val="22"/>
          <w:szCs w:val="20"/>
        </w:rPr>
        <w:t>T3</w:t>
      </w:r>
      <w:r>
        <w:rPr>
          <w:sz w:val="22"/>
          <w:szCs w:val="20"/>
        </w:rPr>
        <w:t>生态效益低于</w:t>
      </w:r>
      <w:r>
        <w:rPr>
          <w:sz w:val="22"/>
          <w:szCs w:val="20"/>
        </w:rPr>
        <w:t>T2</w:t>
      </w:r>
      <w:r>
        <w:rPr>
          <w:sz w:val="22"/>
          <w:szCs w:val="20"/>
        </w:rPr>
        <w:t>，表明过度追求增重不利于草地可持续利用。</w:t>
      </w:r>
    </w:p>
    <w:p>
      <w:pPr>
        <w:pStyle w:val="Normal"/>
        <w:spacing w:lineRule="auto" w:line="360"/>
        <w:ind w:firstLine="440" w:right="0"/>
        <w:rPr>
          <w:sz w:val="22"/>
          <w:szCs w:val="20"/>
        </w:rPr>
      </w:pPr>
      <w:r>
        <w:rPr>
          <w:sz w:val="22"/>
          <w:szCs w:val="20"/>
        </w:rPr>
        <w:t>以上试验结果为标准中的补饲量范围、推荐配方、补饲时间等关键条款提供了直接的数据支撑。</w:t>
      </w:r>
    </w:p>
    <w:p>
      <w:pPr>
        <w:pStyle w:val="Heading1"/>
        <w:ind w:hanging="0" w:left="0"/>
        <w:rPr>
          <w:rFonts w:ascii="宋体;SimSun" w:hAnsi="宋体;SimSun" w:cs="宋体;SimSun"/>
          <w:sz w:val="24"/>
          <w:szCs w:val="24"/>
        </w:rPr>
      </w:pPr>
      <w:bookmarkStart w:id="11" w:name="__RefHeading___Toc229433189"/>
      <w:bookmarkEnd w:id="11"/>
      <w:r>
        <w:rPr>
          <w:rFonts w:ascii="宋体;SimSun" w:hAnsi="宋体;SimSun" w:cs="宋体;SimSun"/>
          <w:sz w:val="24"/>
          <w:szCs w:val="24"/>
        </w:rPr>
        <w:t>四、采用的国际标准</w:t>
      </w:r>
    </w:p>
    <w:p>
      <w:pPr>
        <w:pStyle w:val="Normal"/>
        <w:spacing w:lineRule="auto" w:line="360"/>
        <w:ind w:firstLine="440" w:right="0"/>
        <w:rPr>
          <w:sz w:val="22"/>
          <w:szCs w:val="20"/>
        </w:rPr>
      </w:pPr>
      <w:r>
        <w:rPr>
          <w:sz w:val="22"/>
          <w:szCs w:val="20"/>
        </w:rPr>
        <w:t>无。</w:t>
      </w:r>
    </w:p>
    <w:p>
      <w:pPr>
        <w:pStyle w:val="Heading1"/>
        <w:ind w:hanging="0" w:left="0"/>
        <w:rPr>
          <w:rFonts w:ascii="宋体;SimSun" w:hAnsi="宋体;SimSun" w:cs="宋体;SimSun"/>
          <w:sz w:val="24"/>
          <w:szCs w:val="24"/>
        </w:rPr>
      </w:pPr>
      <w:bookmarkStart w:id="12" w:name="__RefHeading___Toc229433190"/>
      <w:bookmarkEnd w:id="12"/>
      <w:r>
        <w:rPr>
          <w:rFonts w:ascii="宋体;SimSun" w:hAnsi="宋体;SimSun" w:cs="宋体;SimSun"/>
          <w:sz w:val="24"/>
          <w:szCs w:val="24"/>
        </w:rPr>
        <w:t>五、与现行法律法规和强制性标准的关系</w:t>
      </w:r>
    </w:p>
    <w:p>
      <w:pPr>
        <w:pStyle w:val="Normal"/>
        <w:spacing w:lineRule="auto" w:line="360"/>
        <w:ind w:firstLine="440" w:right="0"/>
        <w:rPr>
          <w:sz w:val="22"/>
          <w:szCs w:val="20"/>
        </w:rPr>
      </w:pPr>
      <w:r>
        <w:rPr>
          <w:sz w:val="22"/>
          <w:szCs w:val="20"/>
        </w:rPr>
        <w:t>本文件与现行法律法规和强制性标准没有冲突。</w:t>
      </w:r>
    </w:p>
    <w:p>
      <w:pPr>
        <w:pStyle w:val="Heading1"/>
        <w:ind w:hanging="0" w:left="0"/>
        <w:rPr>
          <w:rFonts w:ascii="宋体;SimSun" w:hAnsi="宋体;SimSun" w:cs="宋体;SimSun"/>
          <w:sz w:val="24"/>
          <w:szCs w:val="24"/>
        </w:rPr>
      </w:pPr>
      <w:bookmarkStart w:id="13" w:name="__RefHeading___Toc229433191"/>
      <w:bookmarkEnd w:id="13"/>
      <w:r>
        <w:rPr>
          <w:rFonts w:ascii="宋体;SimSun" w:hAnsi="宋体;SimSun" w:cs="宋体;SimSun"/>
          <w:sz w:val="24"/>
          <w:szCs w:val="24"/>
        </w:rPr>
        <w:t>六、重大分歧意见的处理经过和依据</w:t>
      </w:r>
    </w:p>
    <w:p>
      <w:pPr>
        <w:pStyle w:val="Normal"/>
        <w:spacing w:lineRule="auto" w:line="360" w:before="156" w:after="0"/>
        <w:ind w:firstLine="482" w:right="0"/>
        <w:rPr>
          <w:color w:val="000000"/>
          <w:sz w:val="24"/>
          <w:szCs w:val="24"/>
        </w:rPr>
      </w:pPr>
      <w:r>
        <w:rPr>
          <w:color w:val="000000"/>
          <w:sz w:val="24"/>
          <w:szCs w:val="24"/>
        </w:rPr>
        <w:t>无。</w:t>
      </w:r>
    </w:p>
    <w:p>
      <w:pPr>
        <w:pStyle w:val="Heading1"/>
        <w:ind w:hanging="0" w:left="0"/>
        <w:rPr>
          <w:rFonts w:ascii="宋体;SimSun" w:hAnsi="宋体;SimSun" w:cs="宋体;SimSun"/>
          <w:b w:val="false"/>
          <w:bCs w:val="false"/>
          <w:sz w:val="24"/>
          <w:szCs w:val="24"/>
        </w:rPr>
      </w:pPr>
      <w:bookmarkStart w:id="14" w:name="__RefHeading___Toc229433192"/>
      <w:bookmarkEnd w:id="14"/>
      <w:r>
        <w:rPr>
          <w:rFonts w:ascii="宋体;SimSun" w:hAnsi="宋体;SimSun" w:cs="宋体;SimSun"/>
          <w:sz w:val="24"/>
          <w:szCs w:val="24"/>
        </w:rPr>
        <w:t>七、标准作为强制性或推荐性标准的意见</w:t>
      </w:r>
    </w:p>
    <w:p>
      <w:pPr>
        <w:pStyle w:val="Normal"/>
        <w:spacing w:lineRule="auto" w:line="360"/>
        <w:ind w:firstLine="440" w:right="0"/>
        <w:rPr/>
      </w:pPr>
      <w:r>
        <w:rPr>
          <w:sz w:val="22"/>
          <w:szCs w:val="20"/>
        </w:rPr>
        <w:t>建议将本</w:t>
      </w:r>
      <w:r>
        <w:rPr>
          <w:sz w:val="22"/>
          <w:szCs w:val="20"/>
        </w:rPr>
        <w:t>文件</w:t>
      </w:r>
      <w:r>
        <w:rPr>
          <w:sz w:val="22"/>
          <w:szCs w:val="20"/>
        </w:rPr>
        <w:t>作为推荐性标准发布实施，并加强标准的宣贯。</w:t>
      </w:r>
    </w:p>
    <w:p>
      <w:pPr>
        <w:pStyle w:val="Heading1"/>
        <w:ind w:hanging="0" w:left="0"/>
        <w:rPr>
          <w:rFonts w:ascii="宋体;SimSun" w:hAnsi="宋体;SimSun" w:cs="宋体;SimSun"/>
          <w:sz w:val="24"/>
          <w:szCs w:val="24"/>
        </w:rPr>
      </w:pPr>
      <w:bookmarkStart w:id="15" w:name="__RefHeading___Toc229433193"/>
      <w:bookmarkEnd w:id="15"/>
      <w:r>
        <w:rPr>
          <w:rFonts w:ascii="宋体;SimSun" w:hAnsi="宋体;SimSun" w:cs="宋体;SimSun"/>
          <w:sz w:val="24"/>
          <w:szCs w:val="24"/>
        </w:rPr>
        <w:t>八、贯彻标准的要求和措施建议</w:t>
      </w:r>
    </w:p>
    <w:p>
      <w:pPr>
        <w:pStyle w:val="Normal"/>
        <w:spacing w:lineRule="auto" w:line="360"/>
        <w:ind w:firstLine="440" w:right="0"/>
        <w:rPr/>
      </w:pPr>
      <w:r>
        <w:rPr>
          <w:sz w:val="22"/>
          <w:szCs w:val="20"/>
        </w:rPr>
        <w:t>1</w:t>
      </w:r>
      <w:r>
        <w:rPr>
          <w:sz w:val="22"/>
          <w:szCs w:val="20"/>
        </w:rPr>
        <w:t>、</w:t>
      </w:r>
      <w:r>
        <w:rPr>
          <w:sz w:val="22"/>
          <w:szCs w:val="20"/>
        </w:rPr>
        <w:t>本文件属于北京华夏草业产业技术创新战略联盟团体标准，为成功实施放牧滩羊补饲技术，应认真执行本文件的相关技术要求</w:t>
      </w:r>
      <w:r>
        <w:rPr>
          <w:sz w:val="22"/>
          <w:szCs w:val="20"/>
        </w:rPr>
        <w:t>。</w:t>
      </w:r>
    </w:p>
    <w:p>
      <w:pPr>
        <w:pStyle w:val="Normal"/>
        <w:spacing w:lineRule="auto" w:line="360"/>
        <w:ind w:firstLine="440" w:right="0"/>
        <w:rPr/>
      </w:pPr>
      <w:r>
        <w:rPr>
          <w:sz w:val="22"/>
          <w:szCs w:val="20"/>
        </w:rPr>
        <w:t>2</w:t>
      </w:r>
      <w:r>
        <w:rPr>
          <w:sz w:val="22"/>
          <w:szCs w:val="20"/>
        </w:rPr>
        <w:t>、</w:t>
      </w:r>
      <w:r>
        <w:rPr>
          <w:sz w:val="22"/>
          <w:szCs w:val="20"/>
        </w:rPr>
        <w:t>应加强对标准的宣传、讲解和技术指导，重点向陇东黄土高原典型草原区的养殖合作社、家庭牧场和基层畜牧技术人员普及“以土定补、以补养草”的技术理念，促进实施者熟练掌握标准中的技术规范。</w:t>
      </w:r>
    </w:p>
    <w:p>
      <w:pPr>
        <w:pStyle w:val="Normal"/>
        <w:tabs>
          <w:tab w:val="clear" w:pos="420"/>
          <w:tab w:val="left" w:pos="720" w:leader="none"/>
        </w:tabs>
        <w:spacing w:lineRule="auto" w:line="360"/>
        <w:ind w:firstLine="440" w:right="0"/>
        <w:rPr/>
      </w:pPr>
      <w:r>
        <w:rPr>
          <w:sz w:val="22"/>
          <w:szCs w:val="20"/>
        </w:rPr>
        <w:t>3</w:t>
      </w:r>
      <w:r>
        <w:rPr>
          <w:sz w:val="22"/>
          <w:szCs w:val="20"/>
        </w:rPr>
        <w:t>、</w:t>
      </w:r>
      <w:r>
        <w:rPr>
          <w:sz w:val="22"/>
          <w:szCs w:val="20"/>
        </w:rPr>
        <w:t>建议将本标准与《陇东典型草原滩羊划区轮牧技术规程》（</w:t>
      </w:r>
      <w:r>
        <w:rPr>
          <w:sz w:val="22"/>
          <w:szCs w:val="20"/>
        </w:rPr>
        <w:t>T/HXCY 119-2025</w:t>
      </w:r>
      <w:r>
        <w:rPr>
          <w:sz w:val="22"/>
          <w:szCs w:val="20"/>
        </w:rPr>
        <w:t>）配套使用，形成“轮牧</w:t>
      </w:r>
      <w:r>
        <w:rPr>
          <w:sz w:val="22"/>
          <w:szCs w:val="20"/>
        </w:rPr>
        <w:t>+</w:t>
      </w:r>
      <w:r>
        <w:rPr>
          <w:sz w:val="22"/>
          <w:szCs w:val="20"/>
        </w:rPr>
        <w:t>补饲”协同技术模式。</w:t>
      </w:r>
    </w:p>
    <w:p>
      <w:pPr>
        <w:pStyle w:val="Normal"/>
        <w:tabs>
          <w:tab w:val="clear" w:pos="420"/>
          <w:tab w:val="left" w:pos="720" w:leader="none"/>
        </w:tabs>
        <w:spacing w:lineRule="auto" w:line="360"/>
        <w:ind w:firstLine="440" w:right="0"/>
        <w:rPr/>
      </w:pPr>
      <w:r>
        <w:rPr>
          <w:sz w:val="22"/>
          <w:szCs w:val="20"/>
        </w:rPr>
        <w:t>4</w:t>
      </w:r>
      <w:r>
        <w:rPr>
          <w:sz w:val="22"/>
          <w:szCs w:val="20"/>
        </w:rPr>
        <w:t>、</w:t>
      </w:r>
      <w:r>
        <w:rPr>
          <w:sz w:val="22"/>
          <w:szCs w:val="20"/>
        </w:rPr>
        <w:t>随着科技发展，本文件中的技术规范势必会出现过时的情况，也会出现新的技术要求，因此本文件执行过程中要不断对内容进行修订和补充。</w:t>
      </w:r>
    </w:p>
    <w:p>
      <w:pPr>
        <w:pStyle w:val="Normal"/>
        <w:tabs>
          <w:tab w:val="clear" w:pos="420"/>
          <w:tab w:val="left" w:pos="720" w:leader="none"/>
        </w:tabs>
        <w:spacing w:lineRule="auto" w:line="360"/>
        <w:ind w:firstLine="440" w:right="0"/>
        <w:rPr/>
      </w:pPr>
      <w:r>
        <w:rPr>
          <w:sz w:val="22"/>
          <w:szCs w:val="20"/>
        </w:rPr>
        <w:t>5</w:t>
      </w:r>
      <w:r>
        <w:rPr>
          <w:sz w:val="22"/>
          <w:szCs w:val="20"/>
        </w:rPr>
        <w:t>、</w:t>
      </w:r>
      <w:r>
        <w:rPr>
          <w:sz w:val="22"/>
          <w:szCs w:val="20"/>
        </w:rPr>
        <w:t>希望应用本文件的单位在使用过程中对其中出现的问题和不足给予反馈，以便再进行修订和补充</w:t>
      </w:r>
    </w:p>
    <w:p>
      <w:pPr>
        <w:pStyle w:val="Heading1"/>
        <w:ind w:hanging="0" w:left="0"/>
        <w:rPr>
          <w:rFonts w:ascii="宋体;SimSun" w:hAnsi="宋体;SimSun" w:cs="宋体;SimSun"/>
          <w:sz w:val="24"/>
          <w:szCs w:val="24"/>
        </w:rPr>
      </w:pPr>
      <w:bookmarkStart w:id="16" w:name="__RefHeading___Toc229433194"/>
      <w:bookmarkEnd w:id="16"/>
      <w:r>
        <w:rPr>
          <w:rFonts w:ascii="宋体;SimSun" w:hAnsi="宋体;SimSun" w:cs="宋体;SimSun"/>
          <w:sz w:val="24"/>
          <w:szCs w:val="24"/>
        </w:rPr>
        <w:t>九、废止现行有关标准的建议</w:t>
      </w:r>
    </w:p>
    <w:p>
      <w:pPr>
        <w:pStyle w:val="Normal"/>
        <w:spacing w:lineRule="auto" w:line="360"/>
        <w:ind w:firstLine="440" w:right="0"/>
        <w:rPr>
          <w:sz w:val="22"/>
          <w:szCs w:val="20"/>
        </w:rPr>
      </w:pPr>
      <w:r>
        <w:rPr>
          <w:sz w:val="22"/>
          <w:szCs w:val="20"/>
        </w:rPr>
        <w:t>无。</w:t>
      </w:r>
    </w:p>
    <w:p>
      <w:pPr>
        <w:pStyle w:val="Heading1"/>
        <w:ind w:hanging="0" w:left="0"/>
        <w:rPr>
          <w:rFonts w:ascii="宋体;SimSun" w:hAnsi="宋体;SimSun" w:cs="宋体;SimSun"/>
          <w:sz w:val="24"/>
          <w:szCs w:val="24"/>
        </w:rPr>
      </w:pPr>
      <w:bookmarkStart w:id="17" w:name="__RefHeading___Toc229433195"/>
      <w:bookmarkEnd w:id="17"/>
      <w:r>
        <w:rPr>
          <w:rFonts w:ascii="宋体;SimSun" w:hAnsi="宋体;SimSun" w:cs="宋体;SimSun"/>
          <w:sz w:val="24"/>
          <w:szCs w:val="24"/>
        </w:rPr>
        <w:t>十、其他应予说明的事项</w:t>
      </w:r>
    </w:p>
    <w:p>
      <w:pPr>
        <w:pStyle w:val="Normal"/>
        <w:spacing w:lineRule="auto" w:line="360"/>
        <w:ind w:firstLine="440" w:right="0"/>
        <w:rPr/>
      </w:pPr>
      <w:r>
        <w:rPr>
          <w:sz w:val="22"/>
          <w:szCs w:val="20"/>
        </w:rPr>
        <w:t>无。</w:t>
      </w:r>
      <w:r>
        <w:fldChar w:fldCharType="begin"/>
      </w:r>
      <w:r>
        <w:rPr>
          <w:sz w:val="22"/>
          <w:szCs w:val="20"/>
        </w:rPr>
        <w:instrText xml:space="preserve"> ADDIN EN.REFLIST </w:instrText>
      </w:r>
      <w:r>
        <w:rPr>
          <w:sz w:val="22"/>
          <w:szCs w:val="20"/>
        </w:rPr>
      </w:r>
      <w:r>
        <w:rPr>
          <w:sz w:val="22"/>
          <w:szCs w:val="20"/>
        </w:rPr>
        <w:fldChar w:fldCharType="separate"/>
      </w:r>
      <w:r>
        <w:rPr>
          <w:sz w:val="22"/>
          <w:szCs w:val="20"/>
        </w:rPr>
      </w:r>
      <w:r/>
      <w:r>
        <w:rPr>
          <w:sz w:val="22"/>
          <w:szCs w:val="20"/>
        </w:rPr>
        <w:fldChar w:fldCharType="end"/>
      </w:r>
      <w:r>
        <w:rPr>
          <w:sz w:val="22"/>
          <w:szCs w:val="20"/>
        </w:rPr>
      </w:r>
    </w:p>
    <w:sectPr>
      <w:footerReference w:type="default" r:id="rId14"/>
      <w:type w:val="nextPage"/>
      <w:pgSz w:w="11906" w:h="16838"/>
      <w:pgMar w:left="1797" w:right="1559" w:gutter="0" w:header="0" w:top="1843" w:footer="992" w:bottom="1701"/>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等线 Light">
    <w:charset w:val="86"/>
    <w:family w:val="auto"/>
    <w:pitch w:val="variable"/>
  </w:font>
  <w:font w:name="Courier New">
    <w:charset w:val="00"/>
    <w:family w:val="modern"/>
    <w:pitch w:val="default"/>
  </w:font>
  <w:font w:name="Wingdings">
    <w:charset w:val="02"/>
    <w:family w:val="auto"/>
    <w:pitch w:val="variable"/>
  </w:font>
  <w:font w:name="黑体">
    <w:altName w:val="SimHei"/>
    <w:charset w:val="86"/>
    <w:family w:val="modern"/>
    <w:pitch w:val="default"/>
  </w:font>
  <w:font w:name="宋体">
    <w:altName w:val="SimSun"/>
    <w:charset w:val="86"/>
    <w:family w:val="auto"/>
    <w:pitch w:val="variable"/>
  </w:font>
  <w:font w:name="TimesNewRomanPSMT">
    <w:altName w:val="Times New Roman"/>
    <w:charset w:val="00"/>
    <w:family w:val="roman"/>
    <w:pitch w:val="default"/>
  </w:font>
  <w:font w:name="Liberation Sans">
    <w:altName w:val="Arial"/>
    <w:charset w:val="01"/>
    <w:family w:val="swiss"/>
    <w:pitch w:val="variable"/>
  </w:font>
  <w:font w:name="Tahoma">
    <w:charset w:val="00"/>
    <w:family w:val="swiss"/>
    <w:pitch w:val="variable"/>
  </w:font>
  <w:font w:name="等线">
    <w:altName w:val="DengXian"/>
    <w:charset w:val="86"/>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17</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1"/>
      <w:lvlJc w:val="left"/>
      <w:pPr>
        <w:tabs>
          <w:tab w:val="num" w:pos="0"/>
        </w:tabs>
        <w:ind w:left="0" w:hanging="0"/>
      </w:pPr>
      <w:rPr/>
    </w:lvl>
    <w:lvl w:ilvl="1">
      <w:start w:val="1"/>
      <w:numFmt w:val="decimal"/>
      <w:suff w:val="nothing"/>
      <w:lvlText w:val="%1%2　"/>
      <w:lvlJc w:val="left"/>
      <w:pPr>
        <w:tabs>
          <w:tab w:val="num" w:pos="0"/>
        </w:tabs>
        <w:ind w:left="0" w:hanging="0"/>
      </w:pPr>
      <w:rPr>
        <w:sz w:val="21"/>
        <w:i w:val="false"/>
        <w:b w:val="false"/>
        <w:rFonts w:ascii="黑体;SimHei" w:hAnsi="黑体;SimHei" w:eastAsia="黑体;SimHei"/>
      </w:rPr>
    </w:lvl>
    <w:lvl w:ilvl="2">
      <w:start w:val="1"/>
      <w:numFmt w:val="decimal"/>
      <w:suff w:val="nothing"/>
      <w:lvlText w:val="%1%2.%3　"/>
      <w:lvlJc w:val="left"/>
      <w:pPr>
        <w:tabs>
          <w:tab w:val="num" w:pos="0"/>
        </w:tabs>
        <w:ind w:left="142" w:hanging="0"/>
      </w:pPr>
      <w:rPr>
        <w:smallCaps w:val="false"/>
        <w:caps w:val="false"/>
        <w:dstrike w:val="false"/>
        <w:strike w:val="false"/>
        <w:vertAlign w:val="baseline"/>
        <w:position w:val="0"/>
        <w:sz w:val="21"/>
        <w:sz w:val="21"/>
        <w:spacing w:val="0"/>
        <w:i w:val="false"/>
        <w:u w:val="none"/>
        <w:b w:val="false"/>
        <w:kern w:val="0"/>
        <w:iCs w:val="false"/>
        <w:bCs w:val="false"/>
        <w:vanish w:val="false"/>
        <w:rFonts w:ascii="黑体;SimHei" w:hAnsi="黑体;SimHei" w:eastAsia="黑体;SimHei" w:cs="Times New Roman"/>
        <w:color w:val="000000"/>
      </w:rPr>
    </w:lvl>
    <w:lvl w:ilvl="3">
      <w:start w:val="1"/>
      <w:numFmt w:val="decimal"/>
      <w:suff w:val="nothing"/>
      <w:lvlText w:val="%1%2.%3.%4　"/>
      <w:lvlJc w:val="left"/>
      <w:pPr>
        <w:tabs>
          <w:tab w:val="num" w:pos="0"/>
        </w:tabs>
        <w:ind w:left="0" w:hanging="0"/>
      </w:pPr>
      <w:rPr>
        <w:sz w:val="21"/>
        <w:i w:val="false"/>
        <w:b w:val="false"/>
        <w:rFonts w:ascii="黑体;SimHei" w:hAnsi="黑体;SimHei" w:eastAsia="黑体;SimHei"/>
      </w:rPr>
    </w:lvl>
    <w:lvl w:ilvl="4">
      <w:start w:val="1"/>
      <w:numFmt w:val="decimal"/>
      <w:suff w:val="nothing"/>
      <w:lvlText w:val="%1%2.%3.%4.%5　"/>
      <w:lvlJc w:val="left"/>
      <w:pPr>
        <w:tabs>
          <w:tab w:val="num" w:pos="0"/>
        </w:tabs>
        <w:ind w:left="0" w:hanging="0"/>
      </w:pPr>
      <w:rPr>
        <w:sz w:val="21"/>
        <w:i w:val="false"/>
        <w:b w:val="false"/>
        <w:rFonts w:ascii="黑体;SimHei" w:hAnsi="黑体;SimHei" w:eastAsia="黑体;SimHei"/>
      </w:rPr>
    </w:lvl>
    <w:lvl w:ilvl="5">
      <w:start w:val="1"/>
      <w:numFmt w:val="decimal"/>
      <w:suff w:val="nothing"/>
      <w:lvlText w:val="%1%2.%3.%4.%5.%6　"/>
      <w:lvlJc w:val="left"/>
      <w:pPr>
        <w:tabs>
          <w:tab w:val="num" w:pos="0"/>
        </w:tabs>
        <w:ind w:left="0" w:hanging="0"/>
      </w:pPr>
      <w:rPr>
        <w:sz w:val="21"/>
        <w:i w:val="false"/>
        <w:b w:val="false"/>
        <w:rFonts w:ascii="黑体;SimHei" w:hAnsi="黑体;SimHei" w:eastAsia="黑体;SimHei"/>
      </w:rPr>
    </w:lvl>
    <w:lvl w:ilvl="6">
      <w:start w:val="1"/>
      <w:numFmt w:val="decimal"/>
      <w:suff w:val="nothing"/>
      <w:lvlText w:val="%1%2.%3.%4.%5.%6.%7　"/>
      <w:lvlJc w:val="left"/>
      <w:pPr>
        <w:tabs>
          <w:tab w:val="num" w:pos="0"/>
        </w:tabs>
        <w:ind w:left="0" w:hanging="0"/>
      </w:pPr>
      <w:rPr>
        <w:sz w:val="21"/>
        <w:i w:val="false"/>
        <w:b w:val="false"/>
        <w:rFonts w:ascii="黑体;SimHei" w:hAnsi="黑体;SimHei" w:eastAsia="黑体;SimHei"/>
      </w:rPr>
    </w:lvl>
    <w:lvl w:ilvl="7">
      <w:start w:val="1"/>
      <w:numFmt w:val="decimal"/>
      <w:lvlText w:val="%1%2.%3.%4.%5.%6.%7.%8"/>
      <w:lvlJc w:val="left"/>
      <w:pPr>
        <w:tabs>
          <w:tab w:val="num" w:pos="4351"/>
        </w:tabs>
        <w:ind w:left="3969" w:hanging="1418"/>
      </w:pPr>
      <w:rPr/>
    </w:lvl>
    <w:lvl w:ilvl="8">
      <w:start w:val="1"/>
      <w:numFmt w:val="decimal"/>
      <w:lvlText w:val="%1%2.%3.%4.%5.%6.%7.%8.%9"/>
      <w:lvlJc w:val="left"/>
      <w:pPr>
        <w:tabs>
          <w:tab w:val="num" w:pos="4777"/>
        </w:tabs>
        <w:ind w:left="4677" w:hanging="1700"/>
      </w:pPr>
      <w:rPr/>
    </w:lvl>
  </w:abstractNum>
  <w:num w:numId="1">
    <w:abstractNumId w:val="1"/>
  </w:num>
  <w:num w:numId="2">
    <w:abstractNumId w:val="2"/>
  </w:num>
</w:numbering>
</file>

<file path=word/settings.xml><?xml version="1.0" encoding="utf-8"?>
<w:settings xmlns:w="http://schemas.openxmlformats.org/wordprocessingml/2006/main">
  <w:zoom w:percent="120"/>
  <w:defaultTabStop w:val="420"/>
  <w:autoHyphenation w:val="true"/>
  <w:hyphenationZone w:val="0"/>
  <w:compat>
    <w:doNotExpandShiftReturn/>
    <w:compatSetting w:name="compatibilityMode" w:uri="http://schemas.microsoft.com/office/word" w:val="1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宋体;SimSun" w:cs="Times New Roman"/>
      <w:color w:val="auto"/>
      <w:kern w:val="2"/>
      <w:sz w:val="21"/>
      <w:szCs w:val="21"/>
      <w:lang w:val="en-US" w:eastAsia="zh-CN" w:bidi="ar-SA"/>
    </w:rPr>
  </w:style>
  <w:style w:type="paragraph" w:styleId="Heading1">
    <w:name w:val="heading 1"/>
    <w:basedOn w:val="Normal"/>
    <w:next w:val="Normal"/>
    <w:qFormat/>
    <w:pPr>
      <w:keepNext w:val="true"/>
      <w:keepLines/>
      <w:numPr>
        <w:ilvl w:val="0"/>
        <w:numId w:val="1"/>
      </w:numPr>
      <w:spacing w:lineRule="auto" w:line="360" w:before="240" w:after="240"/>
      <w:outlineLvl w:val="0"/>
    </w:pPr>
    <w:rPr>
      <w:b/>
      <w:bCs/>
      <w:kern w:val="2"/>
      <w:sz w:val="28"/>
      <w:szCs w:val="44"/>
    </w:rPr>
  </w:style>
  <w:style w:type="paragraph" w:styleId="Heading2">
    <w:name w:val="heading 2"/>
    <w:basedOn w:val="Normal"/>
    <w:next w:val="Normal"/>
    <w:qFormat/>
    <w:pPr>
      <w:keepNext w:val="true"/>
      <w:keepLines/>
      <w:numPr>
        <w:ilvl w:val="1"/>
        <w:numId w:val="1"/>
      </w:numPr>
      <w:spacing w:lineRule="auto" w:line="360" w:before="240" w:after="240"/>
      <w:outlineLvl w:val="1"/>
    </w:pPr>
    <w:rPr>
      <w:rFonts w:ascii="等线 Light" w:hAnsi="等线 Light" w:eastAsia="黑体;SimHei" w:cs="等线 Light"/>
      <w:bCs/>
      <w:sz w:val="24"/>
      <w:szCs w:val="32"/>
    </w:rPr>
  </w:style>
  <w:style w:type="paragraph" w:styleId="Heading3">
    <w:name w:val="heading 3"/>
    <w:basedOn w:val="Normal"/>
    <w:next w:val="Normal"/>
    <w:qFormat/>
    <w:pPr>
      <w:keepNext w:val="true"/>
      <w:keepLines/>
      <w:numPr>
        <w:ilvl w:val="2"/>
        <w:numId w:val="1"/>
      </w:numPr>
      <w:spacing w:lineRule="auto" w:line="360"/>
      <w:outlineLvl w:val="2"/>
    </w:pPr>
    <w:rPr>
      <w:b/>
      <w:bCs/>
      <w:sz w:val="24"/>
      <w:szCs w:val="32"/>
    </w:rPr>
  </w:style>
  <w:style w:type="paragraph" w:styleId="Heading4">
    <w:name w:val="heading 4"/>
    <w:basedOn w:val="Normal"/>
    <w:next w:val="Normal"/>
    <w:qFormat/>
    <w:pPr>
      <w:keepNext w:val="true"/>
      <w:keepLines/>
      <w:numPr>
        <w:ilvl w:val="3"/>
        <w:numId w:val="1"/>
      </w:numPr>
      <w:spacing w:lineRule="auto" w:line="374" w:before="280" w:after="290"/>
      <w:outlineLvl w:val="3"/>
    </w:pPr>
    <w:rPr>
      <w:rFonts w:ascii="等线 Light" w:hAnsi="等线 Light" w:eastAsia="等线 Light" w:cs="Times New Roman"/>
      <w:b/>
      <w:bCs/>
      <w:sz w:val="28"/>
      <w:szCs w:val="28"/>
    </w:rPr>
  </w:style>
  <w:style w:type="character" w:styleId="WW8Num1z0">
    <w:name w:val="WW8Num1z0"/>
    <w:qFormat/>
    <w:rPr>
      <w:rFonts w:ascii="Symbol" w:hAnsi="Symbol" w:cs="Symbol"/>
      <w:sz w:val="20"/>
    </w:rPr>
  </w:style>
  <w:style w:type="character" w:styleId="WW8Num1z1">
    <w:name w:val="WW8Num1z1"/>
    <w:qFormat/>
    <w:rPr>
      <w:rFonts w:ascii="Courier New" w:hAnsi="Courier New" w:cs="Courier New"/>
      <w:sz w:val="20"/>
    </w:rPr>
  </w:style>
  <w:style w:type="character" w:styleId="WW8Num1z2">
    <w:name w:val="WW8Num1z2"/>
    <w:qFormat/>
    <w:rPr>
      <w:rFonts w:ascii="Wingdings" w:hAnsi="Wingdings" w:cs="Wingdings"/>
      <w:sz w:val="20"/>
    </w:rPr>
  </w:style>
  <w:style w:type="character" w:styleId="WW8Num2z0">
    <w:name w:val="WW8Num2z0"/>
    <w:qFormat/>
    <w:rPr>
      <w:rFonts w:ascii="Symbol" w:hAnsi="Symbol" w:cs="Symbol"/>
      <w:sz w:val="20"/>
    </w:rPr>
  </w:style>
  <w:style w:type="character" w:styleId="WW8Num2z1">
    <w:name w:val="WW8Num2z1"/>
    <w:qFormat/>
    <w:rPr>
      <w:rFonts w:ascii="Courier New" w:hAnsi="Courier New" w:cs="Courier New"/>
      <w:sz w:val="20"/>
    </w:rPr>
  </w:style>
  <w:style w:type="character" w:styleId="WW8Num2z2">
    <w:name w:val="WW8Num2z2"/>
    <w:qFormat/>
    <w:rPr>
      <w:rFonts w:ascii="Wingdings" w:hAnsi="Wingdings" w:cs="Wingdings"/>
      <w:sz w:val="20"/>
    </w:rPr>
  </w:style>
  <w:style w:type="character" w:styleId="WW8Num4z0">
    <w:name w:val="WW8Num4z0"/>
    <w:qFormat/>
    <w:rPr>
      <w:rFonts w:ascii="Symbol" w:hAnsi="Symbol" w:cs="Symbol"/>
      <w:sz w:val="20"/>
    </w:rPr>
  </w:style>
  <w:style w:type="character" w:styleId="WW8Num4z1">
    <w:name w:val="WW8Num4z1"/>
    <w:qFormat/>
    <w:rPr>
      <w:rFonts w:ascii="Courier New" w:hAnsi="Courier New" w:cs="Courier New"/>
      <w:sz w:val="20"/>
    </w:rPr>
  </w:style>
  <w:style w:type="character" w:styleId="WW8Num4z2">
    <w:name w:val="WW8Num4z2"/>
    <w:qFormat/>
    <w:rPr>
      <w:rFonts w:ascii="Wingdings" w:hAnsi="Wingdings" w:cs="Wingdings"/>
      <w:sz w:val="20"/>
    </w:rPr>
  </w:style>
  <w:style w:type="character" w:styleId="WW8Num5z0">
    <w:name w:val="WW8Num5z0"/>
    <w:qFormat/>
    <w:rPr>
      <w:rFonts w:cs="黑体;SimHei"/>
      <w:b/>
      <w:sz w:val="22"/>
    </w:rPr>
  </w:style>
  <w:style w:type="character" w:styleId="WW8Num6z0">
    <w:name w:val="WW8Num6z0"/>
    <w:qFormat/>
    <w:rPr>
      <w:rFonts w:cs="黑体;SimHei"/>
      <w:b/>
      <w:sz w:val="22"/>
    </w:rPr>
  </w:style>
  <w:style w:type="character" w:styleId="WW8Num7z0">
    <w:name w:val="WW8Num7z0"/>
    <w:qFormat/>
    <w:rPr/>
  </w:style>
  <w:style w:type="character" w:styleId="WW8Num7z1">
    <w:name w:val="WW8Num7z1"/>
    <w:qFormat/>
    <w:rPr>
      <w:rFonts w:ascii="黑体;SimHei" w:hAnsi="黑体;SimHei" w:eastAsia="黑体;SimHei"/>
      <w:b w:val="false"/>
      <w:i w:val="false"/>
      <w:sz w:val="21"/>
    </w:rPr>
  </w:style>
  <w:style w:type="character" w:styleId="WW8Num7z2">
    <w:name w:val="WW8Num7z2"/>
    <w:qFormat/>
    <w:rPr>
      <w:rFonts w:ascii="黑体;SimHei" w:hAnsi="黑体;SimHei" w:eastAsia="黑体;SimHei" w:cs="Times New Roman"/>
      <w:b w:val="false"/>
      <w:bCs w:val="false"/>
      <w:i w:val="false"/>
      <w:iCs w:val="false"/>
      <w:caps w:val="false"/>
      <w:smallCaps w:val="false"/>
      <w:strike w:val="false"/>
      <w:dstrike w:val="false"/>
      <w:vanish w:val="false"/>
      <w:color w:val="000000"/>
      <w:spacing w:val="0"/>
      <w:kern w:val="0"/>
      <w:position w:val="0"/>
      <w:sz w:val="21"/>
      <w:sz w:val="21"/>
      <w:u w:val="none"/>
      <w:vertAlign w:val="baseline"/>
    </w:rPr>
  </w:style>
  <w:style w:type="character" w:styleId="WW8Num8z0">
    <w:name w:val="WW8Num8z0"/>
    <w:qFormat/>
    <w:rPr>
      <w:rFonts w:ascii="Symbol" w:hAnsi="Symbol" w:cs="Symbol"/>
      <w:sz w:val="20"/>
    </w:rPr>
  </w:style>
  <w:style w:type="character" w:styleId="WW8Num8z1">
    <w:name w:val="WW8Num8z1"/>
    <w:qFormat/>
    <w:rPr>
      <w:rFonts w:ascii="Courier New" w:hAnsi="Courier New" w:cs="Courier New"/>
      <w:sz w:val="20"/>
    </w:rPr>
  </w:style>
  <w:style w:type="character" w:styleId="WW8Num8z2">
    <w:name w:val="WW8Num8z2"/>
    <w:qFormat/>
    <w:rPr>
      <w:rFonts w:ascii="Wingdings" w:hAnsi="Wingdings" w:cs="Wingdings"/>
      <w:sz w:val="20"/>
    </w:rPr>
  </w:style>
  <w:style w:type="character" w:styleId="WW8Num9z0">
    <w:name w:val="WW8Num9z0"/>
    <w:qFormat/>
    <w:rPr>
      <w:rFonts w:cs="黑体;SimHei"/>
      <w:b/>
    </w:rPr>
  </w:style>
  <w:style w:type="character" w:styleId="WW8Num10z0">
    <w:name w:val="WW8Num10z0"/>
    <w:qFormat/>
    <w:rPr>
      <w:rFonts w:ascii="Symbol" w:hAnsi="Symbol" w:cs="Symbol"/>
      <w:sz w:val="20"/>
    </w:rPr>
  </w:style>
  <w:style w:type="character" w:styleId="WW8Num10z1">
    <w:name w:val="WW8Num10z1"/>
    <w:qFormat/>
    <w:rPr>
      <w:rFonts w:ascii="Courier New" w:hAnsi="Courier New" w:cs="Courier New"/>
      <w:sz w:val="20"/>
    </w:rPr>
  </w:style>
  <w:style w:type="character" w:styleId="WW8Num10z2">
    <w:name w:val="WW8Num10z2"/>
    <w:qFormat/>
    <w:rPr>
      <w:rFonts w:ascii="Wingdings" w:hAnsi="Wingdings" w:cs="Wingdings"/>
      <w:sz w:val="20"/>
    </w:rPr>
  </w:style>
  <w:style w:type="character" w:styleId="Style10">
    <w:name w:val="默认段落字体"/>
    <w:qFormat/>
    <w:rPr/>
  </w:style>
  <w:style w:type="character" w:styleId="1">
    <w:name w:val="标题 1 字符"/>
    <w:qFormat/>
    <w:rPr>
      <w:b/>
      <w:bCs/>
      <w:kern w:val="2"/>
      <w:sz w:val="28"/>
      <w:szCs w:val="44"/>
    </w:rPr>
  </w:style>
  <w:style w:type="character" w:styleId="2">
    <w:name w:val="标题 2 字符"/>
    <w:qFormat/>
    <w:rPr>
      <w:rFonts w:ascii="等线 Light" w:hAnsi="等线 Light" w:eastAsia="黑体;SimHei" w:cs="等线 Light"/>
      <w:bCs/>
      <w:kern w:val="2"/>
      <w:sz w:val="24"/>
      <w:szCs w:val="32"/>
    </w:rPr>
  </w:style>
  <w:style w:type="character" w:styleId="3">
    <w:name w:val="标题 3 字符"/>
    <w:qFormat/>
    <w:rPr>
      <w:b/>
      <w:bCs/>
      <w:kern w:val="2"/>
      <w:sz w:val="24"/>
      <w:szCs w:val="32"/>
    </w:rPr>
  </w:style>
  <w:style w:type="character" w:styleId="Style11">
    <w:name w:val="日期 字符"/>
    <w:qFormat/>
    <w:rPr>
      <w:rFonts w:ascii="Times New Roman" w:hAnsi="Times New Roman" w:eastAsia="宋体;SimSun" w:cs="Times New Roman"/>
      <w:kern w:val="2"/>
      <w:sz w:val="21"/>
      <w:szCs w:val="24"/>
    </w:rPr>
  </w:style>
  <w:style w:type="character" w:styleId="Style12">
    <w:name w:val="批注框文本 字符"/>
    <w:qFormat/>
    <w:rPr>
      <w:rFonts w:ascii="Times New Roman" w:hAnsi="Times New Roman" w:eastAsia="宋体;SimSun" w:cs="Times New Roman"/>
      <w:kern w:val="2"/>
      <w:sz w:val="18"/>
      <w:szCs w:val="18"/>
    </w:rPr>
  </w:style>
  <w:style w:type="character" w:styleId="Style13">
    <w:name w:val="页脚 字符"/>
    <w:qFormat/>
    <w:rPr>
      <w:rFonts w:ascii="Times New Roman" w:hAnsi="Times New Roman" w:eastAsia="宋体;SimSun" w:cs="Times New Roman"/>
      <w:sz w:val="18"/>
      <w:szCs w:val="18"/>
    </w:rPr>
  </w:style>
  <w:style w:type="character" w:styleId="Style14">
    <w:name w:val="页眉 字符"/>
    <w:qFormat/>
    <w:rPr>
      <w:rFonts w:ascii="Times New Roman" w:hAnsi="Times New Roman" w:eastAsia="宋体;SimSun" w:cs="Times New Roman"/>
      <w:sz w:val="18"/>
      <w:szCs w:val="18"/>
    </w:rPr>
  </w:style>
  <w:style w:type="character" w:styleId="Strong">
    <w:name w:val="Strong"/>
    <w:qFormat/>
    <w:rPr>
      <w:b/>
    </w:rPr>
  </w:style>
  <w:style w:type="character" w:styleId="PageNumber">
    <w:name w:val="page number"/>
    <w:rPr/>
  </w:style>
  <w:style w:type="character" w:styleId="Hyperlink">
    <w:name w:val="Hyperlink"/>
    <w:rPr>
      <w:color w:val="0563C1"/>
      <w:u w:val="single"/>
    </w:rPr>
  </w:style>
  <w:style w:type="character" w:styleId="fontstyle01">
    <w:name w:val="fontstyle01"/>
    <w:qFormat/>
    <w:rPr>
      <w:rFonts w:ascii="黑体;SimHei" w:hAnsi="黑体;SimHei" w:eastAsia="黑体;SimHei" w:cs="黑体;SimHei"/>
      <w:color w:val="000000"/>
      <w:sz w:val="32"/>
      <w:szCs w:val="32"/>
    </w:rPr>
  </w:style>
  <w:style w:type="character" w:styleId="11">
    <w:name w:val="未处理的提及1"/>
    <w:qFormat/>
    <w:rPr>
      <w:color w:val="605E5C"/>
      <w:shd w:fill="E1DFDD" w:val="clear"/>
    </w:rPr>
  </w:style>
  <w:style w:type="character" w:styleId="Char">
    <w:name w:val="段 Char"/>
    <w:qFormat/>
    <w:rPr>
      <w:rFonts w:ascii="宋体;SimSun" w:hAnsi="宋体;SimSun" w:eastAsia="宋体;SimSun" w:cs="Times New Roman"/>
      <w:kern w:val="0"/>
      <w:szCs w:val="20"/>
    </w:rPr>
  </w:style>
  <w:style w:type="character" w:styleId="fontstyle11">
    <w:name w:val="fontstyle11"/>
    <w:qFormat/>
    <w:rPr>
      <w:rFonts w:ascii="TimesNewRomanPSMT;Times New Roman" w:hAnsi="TimesNewRomanPSMT;Times New Roman" w:cs="TimesNewRomanPSMT;Times New Roman"/>
      <w:color w:val="000000"/>
      <w:sz w:val="22"/>
      <w:szCs w:val="22"/>
    </w:rPr>
  </w:style>
  <w:style w:type="character" w:styleId="apple-style-span">
    <w:name w:val="apple-style-span"/>
    <w:qFormat/>
    <w:rPr/>
  </w:style>
  <w:style w:type="character" w:styleId="EndNoteBibliography">
    <w:name w:val="EndNote Bibliography 字符"/>
    <w:qFormat/>
    <w:rPr>
      <w:rFonts w:eastAsia="等线;DengXian"/>
      <w:kern w:val="2"/>
      <w:szCs w:val="22"/>
    </w:rPr>
  </w:style>
  <w:style w:type="character" w:styleId="EndNoteBibliographyTitle">
    <w:name w:val="EndNote Bibliography Title 字符"/>
    <w:qFormat/>
    <w:rPr>
      <w:kern w:val="2"/>
      <w:szCs w:val="21"/>
      <w:lang w:val="en-US" w:eastAsia="en-US"/>
    </w:rPr>
  </w:style>
  <w:style w:type="character" w:styleId="4">
    <w:name w:val="标题 4 字符"/>
    <w:qFormat/>
    <w:rPr>
      <w:rFonts w:ascii="等线 Light" w:hAnsi="等线 Light" w:eastAsia="等线 Light" w:cs="Times New Roman"/>
      <w:b/>
      <w:bCs/>
      <w:kern w:val="2"/>
      <w:sz w:val="28"/>
      <w:szCs w:val="28"/>
    </w:rPr>
  </w:style>
  <w:style w:type="character" w:styleId="IndexLink">
    <w:name w:val="Index Link"/>
    <w:qFormat/>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Style15">
    <w:name w:val="题注"/>
    <w:basedOn w:val="Normal"/>
    <w:next w:val="Normal"/>
    <w:qFormat/>
    <w:pPr/>
    <w:rPr>
      <w:rFonts w:ascii="等线 Light" w:hAnsi="等线 Light" w:eastAsia="黑体;SimHei" w:cs="Times New Roman"/>
      <w:sz w:val="20"/>
      <w:szCs w:val="20"/>
    </w:rPr>
  </w:style>
  <w:style w:type="paragraph" w:styleId="TOC3">
    <w:name w:val="toc 3"/>
    <w:basedOn w:val="Normal"/>
    <w:next w:val="Normal"/>
    <w:pPr>
      <w:ind w:hanging="0" w:left="840" w:right="0"/>
    </w:pPr>
    <w:rPr/>
  </w:style>
  <w:style w:type="paragraph" w:styleId="Style16">
    <w:name w:val="纯文本"/>
    <w:basedOn w:val="Normal"/>
    <w:qFormat/>
    <w:pPr/>
    <w:rPr>
      <w:rFonts w:ascii="宋体;SimSun" w:hAnsi="宋体;SimSun" w:cs="宋体;SimSun"/>
    </w:rPr>
  </w:style>
  <w:style w:type="paragraph" w:styleId="Style17">
    <w:name w:val="日期"/>
    <w:basedOn w:val="Normal"/>
    <w:next w:val="Normal"/>
    <w:qFormat/>
    <w:pPr>
      <w:ind w:hanging="0" w:left="100" w:right="0"/>
    </w:pPr>
    <w:rPr>
      <w:szCs w:val="24"/>
    </w:rPr>
  </w:style>
  <w:style w:type="paragraph" w:styleId="Style18">
    <w:name w:val="批注框文本"/>
    <w:basedOn w:val="Normal"/>
    <w:qFormat/>
    <w:pPr/>
    <w:rPr>
      <w:sz w:val="18"/>
      <w:szCs w:val="18"/>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TOC1">
    <w:name w:val="toc 1"/>
    <w:basedOn w:val="Normal"/>
    <w:next w:val="Normal"/>
    <w:pPr/>
    <w:rPr/>
  </w:style>
  <w:style w:type="paragraph" w:styleId="TOC2">
    <w:name w:val="toc 2"/>
    <w:basedOn w:val="Normal"/>
    <w:next w:val="Normal"/>
    <w:pPr>
      <w:ind w:hanging="0" w:left="420" w:right="0"/>
    </w:pPr>
    <w:rPr/>
  </w:style>
  <w:style w:type="paragraph" w:styleId="Style19">
    <w:name w:val="段"/>
    <w:qFormat/>
    <w:pPr>
      <w:widowControl/>
      <w:tabs>
        <w:tab w:val="clear" w:pos="420"/>
        <w:tab w:val="center" w:pos="4201" w:leader="none"/>
        <w:tab w:val="right" w:pos="9298" w:leader="dot"/>
      </w:tabs>
      <w:autoSpaceDE w:val="false"/>
      <w:bidi w:val="0"/>
      <w:ind w:firstLine="420" w:left="0" w:right="0"/>
      <w:jc w:val="both"/>
    </w:pPr>
    <w:rPr>
      <w:rFonts w:ascii="宋体;SimSun" w:hAnsi="宋体;SimSun" w:eastAsia="宋体;SimSun" w:cs="Times New Roman"/>
      <w:color w:val="auto"/>
      <w:sz w:val="21"/>
      <w:szCs w:val="20"/>
      <w:lang w:val="en-US" w:eastAsia="zh-CN" w:bidi="ar-SA"/>
    </w:rPr>
  </w:style>
  <w:style w:type="paragraph" w:styleId="Style20">
    <w:name w:val="列表段落"/>
    <w:basedOn w:val="Normal"/>
    <w:qFormat/>
    <w:pPr>
      <w:ind w:firstLine="420" w:left="0" w:right="0"/>
    </w:pPr>
    <w:rPr/>
  </w:style>
  <w:style w:type="paragraph" w:styleId="Char1CharCharCharCharCharCharCharCharChar">
    <w:name w:val="Char1 Char Char Char Char Char Char Char Char Char"/>
    <w:basedOn w:val="Normal"/>
    <w:qFormat/>
    <w:pPr>
      <w:spacing w:lineRule="auto" w:line="360"/>
    </w:pPr>
    <w:rPr>
      <w:rFonts w:ascii="Tahoma" w:hAnsi="Tahoma" w:cs="Tahoma"/>
      <w:sz w:val="24"/>
      <w:szCs w:val="20"/>
    </w:rPr>
  </w:style>
  <w:style w:type="paragraph" w:styleId="Style21">
    <w:name w:val="图标标题"/>
    <w:basedOn w:val="Style15"/>
    <w:qFormat/>
    <w:pPr>
      <w:jc w:val="center"/>
    </w:pPr>
    <w:rPr>
      <w:sz w:val="21"/>
    </w:rPr>
  </w:style>
  <w:style w:type="paragraph" w:styleId="Style22">
    <w:name w:val="修订"/>
    <w:qFormat/>
    <w:pPr>
      <w:widowControl/>
      <w:bidi w:val="0"/>
    </w:pPr>
    <w:rPr>
      <w:rFonts w:ascii="Times New Roman" w:hAnsi="Times New Roman" w:eastAsia="宋体;SimSun" w:cs="Times New Roman"/>
      <w:color w:val="auto"/>
      <w:kern w:val="2"/>
      <w:sz w:val="21"/>
      <w:szCs w:val="21"/>
      <w:lang w:val="en-US" w:eastAsia="zh-CN" w:bidi="ar-SA"/>
    </w:rPr>
  </w:style>
  <w:style w:type="paragraph" w:styleId="EndNoteBibliography1">
    <w:name w:val="EndNote Bibliography"/>
    <w:basedOn w:val="Normal"/>
    <w:qFormat/>
    <w:pPr/>
    <w:rPr>
      <w:rFonts w:eastAsia="等线;DengXian"/>
      <w:sz w:val="20"/>
      <w:szCs w:val="22"/>
    </w:rPr>
  </w:style>
  <w:style w:type="paragraph" w:styleId="EndNoteBibliographyTitle1">
    <w:name w:val="EndNote Bibliography Title"/>
    <w:basedOn w:val="Normal"/>
    <w:qFormat/>
    <w:pPr>
      <w:jc w:val="center"/>
    </w:pPr>
    <w:rPr>
      <w:sz w:val="20"/>
      <w:lang w:val="en-US" w:eastAsia="en-US"/>
    </w:rPr>
  </w:style>
  <w:style w:type="paragraph" w:styleId="TOC">
    <w:name w:val="TOC 标题"/>
    <w:basedOn w:val="Heading1"/>
    <w:next w:val="Normal"/>
    <w:qFormat/>
    <w:pPr>
      <w:widowControl/>
      <w:numPr>
        <w:ilvl w:val="0"/>
        <w:numId w:val="0"/>
      </w:numPr>
      <w:spacing w:lineRule="auto" w:line="257" w:before="240" w:after="0"/>
      <w:jc w:val="left"/>
      <w:outlineLvl w:val="9"/>
    </w:pPr>
    <w:rPr>
      <w:rFonts w:ascii="等线 Light" w:hAnsi="等线 Light" w:eastAsia="等线 Light" w:cs="Times New Roman"/>
      <w:b w:val="false"/>
      <w:bCs w:val="false"/>
      <w:color w:val="2F5496"/>
      <w:kern w:val="0"/>
      <w:sz w:val="32"/>
      <w:szCs w:val="32"/>
    </w:rPr>
  </w:style>
  <w:style w:type="paragraph" w:styleId="Style23">
    <w:name w:val="标准文件_字母编号列项（一级）"/>
    <w:qFormat/>
    <w:pPr>
      <w:widowControl/>
      <w:tabs>
        <w:tab w:val="clear" w:pos="420"/>
        <w:tab w:val="left" w:pos="851" w:leader="none"/>
      </w:tabs>
      <w:bidi w:val="0"/>
      <w:ind w:firstLine="420" w:left="0" w:right="0"/>
      <w:jc w:val="both"/>
    </w:pPr>
    <w:rPr>
      <w:rFonts w:ascii="宋体;SimSun" w:hAnsi="宋体;SimSun" w:eastAsia="宋体;SimSun" w:cs="Times New Roman"/>
      <w:color w:val="auto"/>
      <w:sz w:val="21"/>
      <w:szCs w:val="20"/>
      <w:lang w:val="en-US" w:eastAsia="zh-CN" w:bidi="ar-SA"/>
    </w:rPr>
  </w:style>
  <w:style w:type="paragraph" w:styleId="Style24">
    <w:name w:val="标准文件_二级条标题"/>
    <w:next w:val="Normal"/>
    <w:qFormat/>
    <w:pPr>
      <w:widowControl w:val="false"/>
      <w:numPr>
        <w:ilvl w:val="0"/>
        <w:numId w:val="2"/>
      </w:numPr>
      <w:bidi w:val="0"/>
      <w:spacing w:before="50" w:after="50"/>
      <w:jc w:val="both"/>
      <w:outlineLvl w:val="2"/>
    </w:pPr>
    <w:rPr>
      <w:rFonts w:ascii="黑体;SimHei" w:hAnsi="黑体;SimHei" w:eastAsia="黑体;SimHei" w:cs="Times New Roman"/>
      <w:color w:val="auto"/>
      <w:sz w:val="21"/>
      <w:szCs w:val="20"/>
      <w:lang w:val="en-US" w:eastAsia="zh-CN" w:bidi="ar-SA"/>
    </w:rPr>
  </w:style>
  <w:style w:type="paragraph" w:styleId="Style25">
    <w:name w:val="标准文件_三级条标题"/>
    <w:basedOn w:val="Style24"/>
    <w:next w:val="Normal"/>
    <w:qFormat/>
    <w:pPr>
      <w:widowControl/>
      <w:numPr>
        <w:ilvl w:val="0"/>
        <w:numId w:val="2"/>
      </w:numPr>
      <w:outlineLvl w:val="3"/>
    </w:pPr>
    <w:rPr/>
  </w:style>
  <w:style w:type="paragraph" w:styleId="Style26">
    <w:name w:val="标准文件_四级条标题"/>
    <w:next w:val="Normal"/>
    <w:qFormat/>
    <w:pPr>
      <w:widowControl w:val="false"/>
      <w:numPr>
        <w:ilvl w:val="0"/>
        <w:numId w:val="2"/>
      </w:numPr>
      <w:bidi w:val="0"/>
      <w:spacing w:before="50" w:after="50"/>
      <w:jc w:val="both"/>
      <w:outlineLvl w:val="4"/>
    </w:pPr>
    <w:rPr>
      <w:rFonts w:ascii="黑体;SimHei" w:hAnsi="黑体;SimHei" w:eastAsia="黑体;SimHei" w:cs="Times New Roman"/>
      <w:color w:val="auto"/>
      <w:sz w:val="21"/>
      <w:szCs w:val="20"/>
      <w:lang w:val="en-US" w:eastAsia="zh-CN" w:bidi="ar-SA"/>
    </w:rPr>
  </w:style>
  <w:style w:type="paragraph" w:styleId="Style27">
    <w:name w:val="标准文件_五级条标题"/>
    <w:next w:val="Normal"/>
    <w:qFormat/>
    <w:pPr>
      <w:widowControl w:val="false"/>
      <w:numPr>
        <w:ilvl w:val="0"/>
        <w:numId w:val="2"/>
      </w:numPr>
      <w:bidi w:val="0"/>
      <w:spacing w:before="50" w:after="50"/>
      <w:jc w:val="both"/>
      <w:outlineLvl w:val="5"/>
    </w:pPr>
    <w:rPr>
      <w:rFonts w:ascii="黑体;SimHei" w:hAnsi="黑体;SimHei" w:eastAsia="黑体;SimHei" w:cs="Times New Roman"/>
      <w:color w:val="auto"/>
      <w:sz w:val="21"/>
      <w:szCs w:val="20"/>
      <w:lang w:val="en-US" w:eastAsia="zh-CN" w:bidi="ar-SA"/>
    </w:rPr>
  </w:style>
  <w:style w:type="paragraph" w:styleId="Style28">
    <w:name w:val="标准文件_章标题"/>
    <w:next w:val="Normal"/>
    <w:qFormat/>
    <w:pPr>
      <w:widowControl/>
      <w:numPr>
        <w:ilvl w:val="0"/>
        <w:numId w:val="2"/>
      </w:numPr>
      <w:bidi w:val="0"/>
      <w:spacing w:before="100" w:after="100"/>
      <w:jc w:val="both"/>
      <w:outlineLvl w:val="0"/>
    </w:pPr>
    <w:rPr>
      <w:rFonts w:ascii="黑体;SimHei" w:hAnsi="黑体;SimHei" w:eastAsia="黑体;SimHei" w:cs="Times New Roman"/>
      <w:color w:val="auto"/>
      <w:sz w:val="21"/>
      <w:szCs w:val="20"/>
      <w:lang w:val="en-US" w:eastAsia="zh-CN" w:bidi="ar-SA"/>
    </w:rPr>
  </w:style>
  <w:style w:type="paragraph" w:styleId="Style29">
    <w:name w:val="标准文件_一级条标题"/>
    <w:basedOn w:val="Style28"/>
    <w:next w:val="Normal"/>
    <w:qFormat/>
    <w:pPr>
      <w:numPr>
        <w:ilvl w:val="0"/>
        <w:numId w:val="2"/>
      </w:numPr>
      <w:spacing w:before="50" w:after="50"/>
      <w:ind w:hanging="0" w:left="426" w:right="0"/>
      <w:outlineLvl w:val="1"/>
    </w:pPr>
    <w:rPr/>
  </w:style>
  <w:style w:type="paragraph" w:styleId="Style30">
    <w:name w:val="前言标题"/>
    <w:next w:val="Normal"/>
    <w:qFormat/>
    <w:pPr>
      <w:widowControl/>
      <w:numPr>
        <w:ilvl w:val="0"/>
        <w:numId w:val="2"/>
      </w:numPr>
      <w:shd w:fill="FFFFFF" w:val="clear"/>
      <w:bidi w:val="0"/>
      <w:spacing w:before="540" w:after="600"/>
      <w:jc w:val="center"/>
      <w:outlineLvl w:val="0"/>
    </w:pPr>
    <w:rPr>
      <w:rFonts w:ascii="黑体;SimHei" w:hAnsi="黑体;SimHei" w:eastAsia="黑体;SimHei" w:cs="Times New Roman"/>
      <w:color w:val="auto"/>
      <w:sz w:val="32"/>
      <w:szCs w:val="20"/>
      <w:lang w:val="en-US" w:eastAsia="zh-CN" w:bidi="ar-SA"/>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footer" Target="footer1.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2026-05-11T15:05:00Z</dcterms:created>
  <dc:creator>win10</dc:creator>
  <dc:description/>
  <cp:keywords/>
  <dc:language>en-US</dc:language>
  <cp:lastModifiedBy>shenghua chang</cp:lastModifiedBy>
  <cp:lastPrinted>2021-10-27T15:09:00Z</cp:lastPrinted>
  <dcterms:modified xsi:type="dcterms:W3CDTF">2026-05-11T15:06:00Z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91CE81ED685441C28C43648EE00F718D_13</vt:lpwstr>
  </property>
  <property fmtid="{D5CDD505-2E9C-101B-9397-08002B2CF9AE}" pid="3" name="KSOProductBuildVer">
    <vt:lpwstr>2052-12.1.0.19770</vt:lpwstr>
  </property>
  <property fmtid="{D5CDD505-2E9C-101B-9397-08002B2CF9AE}" pid="4" name="KSOTemplateDocerSaveRecord">
    <vt:lpwstr>eyJoZGlkIjoiZDE5YWI0YzlkMTc3ZjMzMDczM2ZhMjI0MzJiODc4MjIiLCJ1c2VySWQiOiIyMTk1NTc1MDQifQ==</vt:lpwstr>
  </property>
</Properties>
</file>