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CBB1E" w14:textId="77777777" w:rsidR="00E57B12" w:rsidRDefault="00E57B12">
      <w:pPr>
        <w:jc w:val="center"/>
        <w:rPr>
          <w:sz w:val="52"/>
          <w:szCs w:val="52"/>
        </w:rPr>
      </w:pPr>
    </w:p>
    <w:p w14:paraId="2E7B7515" w14:textId="77777777" w:rsidR="00E57B12" w:rsidRDefault="00E57B12">
      <w:pPr>
        <w:jc w:val="center"/>
        <w:rPr>
          <w:sz w:val="52"/>
          <w:szCs w:val="52"/>
        </w:rPr>
      </w:pPr>
    </w:p>
    <w:p w14:paraId="3A63E374" w14:textId="77777777" w:rsidR="00E57B12" w:rsidRDefault="00E57B12">
      <w:pPr>
        <w:jc w:val="center"/>
        <w:rPr>
          <w:sz w:val="52"/>
          <w:szCs w:val="52"/>
        </w:rPr>
      </w:pPr>
    </w:p>
    <w:p w14:paraId="3C2BCF01" w14:textId="51476112" w:rsidR="001E5885" w:rsidRDefault="00000000">
      <w:pPr>
        <w:jc w:val="center"/>
        <w:rPr>
          <w:sz w:val="52"/>
          <w:szCs w:val="52"/>
        </w:rPr>
      </w:pPr>
      <w:r>
        <w:rPr>
          <w:sz w:val="52"/>
          <w:szCs w:val="52"/>
        </w:rPr>
        <w:t>团体标准</w:t>
      </w:r>
    </w:p>
    <w:p w14:paraId="77B13FDD" w14:textId="77777777" w:rsidR="001E5885" w:rsidRDefault="001E5885">
      <w:pPr>
        <w:jc w:val="center"/>
        <w:rPr>
          <w:rFonts w:ascii="黑体" w:eastAsia="黑体" w:hAnsi="黑体" w:hint="eastAsia"/>
          <w:sz w:val="48"/>
          <w:szCs w:val="48"/>
        </w:rPr>
      </w:pPr>
    </w:p>
    <w:p w14:paraId="3B83B64E" w14:textId="77777777" w:rsidR="001E5885" w:rsidRDefault="00000000">
      <w:pPr>
        <w:jc w:val="center"/>
        <w:rPr>
          <w:rFonts w:ascii="黑体" w:eastAsia="黑体" w:hAnsi="黑体" w:hint="eastAsia"/>
          <w:sz w:val="44"/>
          <w:szCs w:val="44"/>
        </w:rPr>
      </w:pPr>
      <w:r>
        <w:rPr>
          <w:rFonts w:ascii="黑体" w:eastAsia="黑体" w:hAnsi="黑体" w:hint="eastAsia"/>
          <w:sz w:val="44"/>
          <w:szCs w:val="44"/>
        </w:rPr>
        <w:t>《那曲极高海拔区域典型退化草地</w:t>
      </w:r>
    </w:p>
    <w:p w14:paraId="65EBEDB4" w14:textId="77777777" w:rsidR="001E5885" w:rsidRDefault="00000000">
      <w:pPr>
        <w:jc w:val="center"/>
        <w:rPr>
          <w:rFonts w:ascii="黑体" w:eastAsia="黑体" w:hAnsi="黑体" w:hint="eastAsia"/>
          <w:sz w:val="44"/>
          <w:szCs w:val="44"/>
        </w:rPr>
      </w:pPr>
      <w:r>
        <w:rPr>
          <w:rFonts w:ascii="黑体" w:eastAsia="黑体" w:hAnsi="黑体" w:hint="eastAsia"/>
          <w:sz w:val="44"/>
          <w:szCs w:val="44"/>
        </w:rPr>
        <w:t>生态修复技术规程》</w:t>
      </w:r>
    </w:p>
    <w:p w14:paraId="270B0C4D" w14:textId="77777777" w:rsidR="001E5885" w:rsidRDefault="00000000">
      <w:pPr>
        <w:spacing w:beforeLines="100" w:before="312" w:afterLines="100" w:after="312" w:line="480" w:lineRule="auto"/>
        <w:ind w:left="-67"/>
        <w:jc w:val="center"/>
        <w:rPr>
          <w:rFonts w:ascii="黑体" w:eastAsia="黑体" w:hAnsi="黑体" w:hint="eastAsia"/>
          <w:sz w:val="44"/>
          <w:szCs w:val="44"/>
        </w:rPr>
      </w:pPr>
      <w:r>
        <w:rPr>
          <w:rFonts w:ascii="黑体" w:eastAsia="黑体" w:hAnsi="黑体"/>
          <w:sz w:val="44"/>
          <w:szCs w:val="44"/>
        </w:rPr>
        <w:t>编制说明</w:t>
      </w:r>
    </w:p>
    <w:p w14:paraId="6DE3ADC0" w14:textId="77777777" w:rsidR="001E5885" w:rsidRDefault="001E5885">
      <w:pPr>
        <w:spacing w:line="360" w:lineRule="auto"/>
        <w:rPr>
          <w:bCs/>
          <w:sz w:val="36"/>
          <w:szCs w:val="36"/>
        </w:rPr>
      </w:pPr>
    </w:p>
    <w:p w14:paraId="0C4C417A" w14:textId="77777777" w:rsidR="001E5885" w:rsidRDefault="001E5885">
      <w:pPr>
        <w:spacing w:line="360" w:lineRule="auto"/>
        <w:rPr>
          <w:bCs/>
          <w:sz w:val="36"/>
          <w:szCs w:val="36"/>
        </w:rPr>
      </w:pPr>
    </w:p>
    <w:p w14:paraId="64789C51" w14:textId="77777777" w:rsidR="001E5885" w:rsidRDefault="001E5885">
      <w:pPr>
        <w:spacing w:line="360" w:lineRule="auto"/>
        <w:rPr>
          <w:bCs/>
          <w:sz w:val="36"/>
          <w:szCs w:val="36"/>
        </w:rPr>
      </w:pPr>
    </w:p>
    <w:p w14:paraId="0211B5B5" w14:textId="77777777" w:rsidR="001E5885" w:rsidRDefault="001E5885">
      <w:pPr>
        <w:spacing w:line="360" w:lineRule="auto"/>
        <w:rPr>
          <w:bCs/>
          <w:sz w:val="36"/>
          <w:szCs w:val="36"/>
        </w:rPr>
      </w:pPr>
    </w:p>
    <w:p w14:paraId="7C7491E7" w14:textId="77777777" w:rsidR="001E5885" w:rsidRDefault="001E5885">
      <w:pPr>
        <w:widowControl/>
        <w:rPr>
          <w:bCs/>
          <w:sz w:val="44"/>
          <w:szCs w:val="44"/>
        </w:rPr>
      </w:pPr>
    </w:p>
    <w:p w14:paraId="47A45FEC" w14:textId="77777777" w:rsidR="00E57B12" w:rsidRDefault="00E57B12">
      <w:pPr>
        <w:widowControl/>
        <w:rPr>
          <w:bCs/>
          <w:sz w:val="44"/>
          <w:szCs w:val="44"/>
        </w:rPr>
      </w:pPr>
    </w:p>
    <w:p w14:paraId="1E55F2D6" w14:textId="77777777" w:rsidR="00E57B12" w:rsidRDefault="00E57B12">
      <w:pPr>
        <w:widowControl/>
        <w:rPr>
          <w:bCs/>
          <w:sz w:val="44"/>
          <w:szCs w:val="44"/>
        </w:rPr>
      </w:pPr>
    </w:p>
    <w:p w14:paraId="7539EC4D" w14:textId="77777777" w:rsidR="00E57B12" w:rsidRDefault="00E57B12">
      <w:pPr>
        <w:widowControl/>
        <w:rPr>
          <w:bCs/>
          <w:sz w:val="44"/>
          <w:szCs w:val="44"/>
        </w:rPr>
      </w:pPr>
    </w:p>
    <w:p w14:paraId="79FEF4C8" w14:textId="77777777" w:rsidR="00E57B12" w:rsidRDefault="00E57B12">
      <w:pPr>
        <w:widowControl/>
        <w:rPr>
          <w:rFonts w:hint="eastAsia"/>
          <w:bCs/>
          <w:sz w:val="44"/>
          <w:szCs w:val="44"/>
        </w:rPr>
      </w:pPr>
    </w:p>
    <w:p w14:paraId="1F0E511F" w14:textId="77777777" w:rsidR="001E5885" w:rsidRDefault="001E5885">
      <w:pPr>
        <w:widowControl/>
        <w:rPr>
          <w:bCs/>
          <w:sz w:val="44"/>
          <w:szCs w:val="44"/>
        </w:rPr>
      </w:pPr>
    </w:p>
    <w:p w14:paraId="034AC298" w14:textId="77777777" w:rsidR="001E5885" w:rsidRDefault="00000000">
      <w:pPr>
        <w:ind w:leftChars="-67" w:left="-51" w:rightChars="-182" w:right="-382" w:hangingChars="32" w:hanging="90"/>
        <w:jc w:val="center"/>
        <w:rPr>
          <w:rFonts w:ascii="黑体" w:eastAsia="黑体" w:hAnsi="黑体" w:hint="eastAsia"/>
          <w:bCs/>
          <w:sz w:val="28"/>
          <w:szCs w:val="28"/>
        </w:rPr>
      </w:pPr>
      <w:r>
        <w:rPr>
          <w:rFonts w:ascii="黑体" w:eastAsia="黑体" w:hAnsi="黑体" w:hint="eastAsia"/>
          <w:bCs/>
          <w:sz w:val="28"/>
          <w:szCs w:val="28"/>
        </w:rPr>
        <w:t>《北京华夏草业产业技术创新战略联盟》团标制定组</w:t>
      </w:r>
    </w:p>
    <w:p w14:paraId="6617FAC3" w14:textId="31F34F8D" w:rsidR="001E5885" w:rsidRDefault="00E57B12">
      <w:pPr>
        <w:widowControl/>
        <w:jc w:val="center"/>
        <w:rPr>
          <w:rFonts w:ascii="黑体" w:eastAsia="黑体" w:hAnsi="黑体" w:hint="eastAsia"/>
          <w:bCs/>
          <w:sz w:val="28"/>
          <w:szCs w:val="28"/>
        </w:rPr>
      </w:pPr>
      <w:r>
        <w:rPr>
          <w:rFonts w:ascii="黑体" w:eastAsia="黑体" w:hAnsi="黑体" w:hint="eastAsia"/>
          <w:bCs/>
          <w:sz w:val="28"/>
          <w:szCs w:val="28"/>
        </w:rPr>
        <w:t>2026</w:t>
      </w:r>
      <w:r w:rsidR="00000000">
        <w:rPr>
          <w:rFonts w:ascii="黑体" w:eastAsia="黑体" w:hAnsi="黑体"/>
          <w:bCs/>
          <w:sz w:val="28"/>
          <w:szCs w:val="28"/>
        </w:rPr>
        <w:t>年</w:t>
      </w:r>
      <w:r>
        <w:rPr>
          <w:rFonts w:ascii="黑体" w:eastAsia="黑体" w:hAnsi="黑体" w:hint="eastAsia"/>
          <w:bCs/>
          <w:sz w:val="28"/>
          <w:szCs w:val="28"/>
        </w:rPr>
        <w:t>5</w:t>
      </w:r>
      <w:r w:rsidR="00000000">
        <w:rPr>
          <w:rFonts w:ascii="黑体" w:eastAsia="黑体" w:hAnsi="黑体"/>
          <w:bCs/>
          <w:sz w:val="28"/>
          <w:szCs w:val="28"/>
        </w:rPr>
        <w:t>月</w:t>
      </w:r>
    </w:p>
    <w:p w14:paraId="40FBF7DD" w14:textId="77777777" w:rsidR="001E5885" w:rsidRDefault="00000000">
      <w:pPr>
        <w:pStyle w:val="af5"/>
        <w:spacing w:beforeLines="100" w:before="312" w:afterLines="100" w:after="312" w:line="420" w:lineRule="exact"/>
        <w:ind w:firstLineChars="0"/>
        <w:jc w:val="center"/>
        <w:rPr>
          <w:b/>
          <w:color w:val="000000"/>
          <w:sz w:val="28"/>
          <w:szCs w:val="28"/>
        </w:rPr>
      </w:pPr>
      <w:r>
        <w:rPr>
          <w:b/>
          <w:color w:val="000000"/>
          <w:sz w:val="28"/>
          <w:szCs w:val="28"/>
        </w:rPr>
        <w:br w:type="page"/>
      </w:r>
      <w:r>
        <w:rPr>
          <w:rFonts w:hint="eastAsia"/>
          <w:b/>
          <w:color w:val="000000"/>
          <w:sz w:val="28"/>
          <w:szCs w:val="28"/>
        </w:rPr>
        <w:lastRenderedPageBreak/>
        <w:t>目次</w:t>
      </w:r>
    </w:p>
    <w:p w14:paraId="1D60AEC8" w14:textId="77777777" w:rsidR="001E5885" w:rsidRDefault="001E5885">
      <w:pPr>
        <w:pStyle w:val="af5"/>
        <w:spacing w:line="360" w:lineRule="auto"/>
        <w:ind w:firstLineChars="0"/>
        <w:rPr>
          <w:b/>
          <w:color w:val="000000"/>
          <w:sz w:val="22"/>
          <w:szCs w:val="22"/>
        </w:rPr>
      </w:pPr>
    </w:p>
    <w:p w14:paraId="5E19A56C" w14:textId="77777777" w:rsidR="001E5885" w:rsidRDefault="00000000">
      <w:pPr>
        <w:pStyle w:val="TOC1"/>
        <w:rPr>
          <w:rFonts w:asciiTheme="minorHAnsi" w:eastAsiaTheme="minorEastAsia" w:hAnsiTheme="minorHAnsi" w:cstheme="minorBidi" w:hint="eastAsia"/>
          <w:szCs w:val="22"/>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176547930" w:history="1">
        <w:r>
          <w:rPr>
            <w:rStyle w:val="af2"/>
            <w:rFonts w:hint="eastAsia"/>
          </w:rPr>
          <w:t>一、任务来源及标准制定背景</w:t>
        </w:r>
        <w:r>
          <w:rPr>
            <w:rFonts w:hint="eastAsia"/>
          </w:rPr>
          <w:tab/>
        </w:r>
        <w:r>
          <w:rPr>
            <w:rFonts w:hint="eastAsia"/>
          </w:rPr>
          <w:fldChar w:fldCharType="begin"/>
        </w:r>
        <w:r>
          <w:rPr>
            <w:rFonts w:hint="eastAsia"/>
          </w:rPr>
          <w:instrText xml:space="preserve"> </w:instrText>
        </w:r>
        <w:r>
          <w:instrText>PAGEREF _Toc176547930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18EC1846" w14:textId="77777777" w:rsidR="001E5885"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1" w:history="1">
        <w:r>
          <w:rPr>
            <w:rStyle w:val="af2"/>
            <w:rFonts w:hint="eastAsia"/>
          </w:rPr>
          <w:t>1</w:t>
        </w:r>
        <w:r>
          <w:rPr>
            <w:rStyle w:val="af2"/>
            <w:rFonts w:hint="eastAsia"/>
          </w:rPr>
          <w:t>、任务来源</w:t>
        </w:r>
        <w:r>
          <w:rPr>
            <w:rFonts w:hint="eastAsia"/>
          </w:rPr>
          <w:tab/>
        </w:r>
        <w:r>
          <w:rPr>
            <w:rFonts w:hint="eastAsia"/>
          </w:rPr>
          <w:fldChar w:fldCharType="begin"/>
        </w:r>
        <w:r>
          <w:rPr>
            <w:rFonts w:hint="eastAsia"/>
          </w:rPr>
          <w:instrText xml:space="preserve"> </w:instrText>
        </w:r>
        <w:r>
          <w:instrText>PAGEREF _Toc176547931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46BE875" w14:textId="77777777" w:rsidR="001E5885"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2" w:history="1">
        <w:r>
          <w:rPr>
            <w:rStyle w:val="af2"/>
            <w:rFonts w:hint="eastAsia"/>
          </w:rPr>
          <w:t>2</w:t>
        </w:r>
        <w:r>
          <w:rPr>
            <w:rStyle w:val="af2"/>
            <w:rFonts w:hint="eastAsia"/>
          </w:rPr>
          <w:t>、标准制定背景</w:t>
        </w:r>
        <w:r>
          <w:rPr>
            <w:rFonts w:hint="eastAsia"/>
          </w:rPr>
          <w:tab/>
        </w:r>
        <w:r>
          <w:rPr>
            <w:rFonts w:hint="eastAsia"/>
          </w:rPr>
          <w:fldChar w:fldCharType="begin"/>
        </w:r>
        <w:r>
          <w:rPr>
            <w:rFonts w:hint="eastAsia"/>
          </w:rPr>
          <w:instrText xml:space="preserve"> </w:instrText>
        </w:r>
        <w:r>
          <w:instrText>PAGEREF _Toc176547932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2AC19EBB"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33" w:history="1">
        <w:r>
          <w:rPr>
            <w:rStyle w:val="af2"/>
            <w:rFonts w:hint="eastAsia"/>
          </w:rPr>
          <w:t>二、主要工作过程</w:t>
        </w:r>
        <w:r>
          <w:rPr>
            <w:rFonts w:hint="eastAsia"/>
          </w:rPr>
          <w:tab/>
        </w:r>
        <w:r>
          <w:rPr>
            <w:rFonts w:hint="eastAsia"/>
          </w:rPr>
          <w:fldChar w:fldCharType="begin"/>
        </w:r>
        <w:r>
          <w:rPr>
            <w:rFonts w:hint="eastAsia"/>
          </w:rPr>
          <w:instrText xml:space="preserve"> </w:instrText>
        </w:r>
        <w:r>
          <w:instrText>PAGEREF _Toc176547933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0F337AF"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34" w:history="1">
        <w:r>
          <w:rPr>
            <w:rStyle w:val="af2"/>
            <w:rFonts w:hint="eastAsia"/>
          </w:rPr>
          <w:t>三、标准编制原则和主要技术内容确定的依据</w:t>
        </w:r>
        <w:r>
          <w:rPr>
            <w:rFonts w:hint="eastAsia"/>
          </w:rPr>
          <w:tab/>
        </w:r>
        <w:r>
          <w:rPr>
            <w:rFonts w:hint="eastAsia"/>
          </w:rPr>
          <w:fldChar w:fldCharType="begin"/>
        </w:r>
        <w:r>
          <w:rPr>
            <w:rFonts w:hint="eastAsia"/>
          </w:rPr>
          <w:instrText xml:space="preserve"> </w:instrText>
        </w:r>
        <w:r>
          <w:instrText>PAGEREF _Toc176547934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DAC26EA" w14:textId="77777777" w:rsidR="001E5885"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5" w:history="1">
        <w:r>
          <w:rPr>
            <w:rStyle w:val="af2"/>
            <w:rFonts w:hint="eastAsia"/>
          </w:rPr>
          <w:t>1</w:t>
        </w:r>
        <w:r>
          <w:rPr>
            <w:rStyle w:val="af2"/>
            <w:rFonts w:hint="eastAsia"/>
          </w:rPr>
          <w:t>、标准编制原则</w:t>
        </w:r>
        <w:r>
          <w:rPr>
            <w:rFonts w:hint="eastAsia"/>
          </w:rPr>
          <w:tab/>
        </w:r>
        <w:r>
          <w:rPr>
            <w:rFonts w:hint="eastAsia"/>
          </w:rPr>
          <w:fldChar w:fldCharType="begin"/>
        </w:r>
        <w:r>
          <w:rPr>
            <w:rFonts w:hint="eastAsia"/>
          </w:rPr>
          <w:instrText xml:space="preserve"> </w:instrText>
        </w:r>
        <w:r>
          <w:instrText>PAGEREF _Toc176547935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005DBFE5" w14:textId="77777777" w:rsidR="001E5885"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6" w:history="1">
        <w:r>
          <w:rPr>
            <w:rStyle w:val="af2"/>
            <w:rFonts w:hint="eastAsia"/>
          </w:rPr>
          <w:t>2</w:t>
        </w:r>
        <w:r>
          <w:rPr>
            <w:rStyle w:val="af2"/>
            <w:rFonts w:hint="eastAsia"/>
          </w:rPr>
          <w:t>、主要技术内容确定的论据</w:t>
        </w:r>
        <w:r>
          <w:rPr>
            <w:rFonts w:hint="eastAsia"/>
          </w:rPr>
          <w:tab/>
        </w:r>
        <w:r>
          <w:rPr>
            <w:rFonts w:hint="eastAsia"/>
          </w:rPr>
          <w:fldChar w:fldCharType="begin"/>
        </w:r>
        <w:r>
          <w:rPr>
            <w:rFonts w:hint="eastAsia"/>
          </w:rPr>
          <w:instrText xml:space="preserve"> </w:instrText>
        </w:r>
        <w:r>
          <w:instrText>PAGEREF _Toc176547936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2797626D"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37" w:history="1">
        <w:r>
          <w:rPr>
            <w:rStyle w:val="af2"/>
            <w:rFonts w:hint="eastAsia"/>
          </w:rPr>
          <w:t>四、采用的国际标准</w:t>
        </w:r>
        <w:r>
          <w:rPr>
            <w:rFonts w:hint="eastAsia"/>
          </w:rPr>
          <w:tab/>
        </w:r>
        <w:r>
          <w:rPr>
            <w:rFonts w:hint="eastAsia"/>
          </w:rPr>
          <w:fldChar w:fldCharType="begin"/>
        </w:r>
        <w:r>
          <w:rPr>
            <w:rFonts w:hint="eastAsia"/>
          </w:rPr>
          <w:instrText xml:space="preserve"> </w:instrText>
        </w:r>
        <w:r>
          <w:instrText>PAGEREF _Toc176547937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5A7A5D8"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38" w:history="1">
        <w:r>
          <w:rPr>
            <w:rStyle w:val="af2"/>
            <w:rFonts w:hint="eastAsia"/>
          </w:rPr>
          <w:t>五、与现行法律法规和强制性标准的关系</w:t>
        </w:r>
        <w:r>
          <w:rPr>
            <w:rFonts w:hint="eastAsia"/>
          </w:rPr>
          <w:tab/>
        </w:r>
        <w:r>
          <w:rPr>
            <w:rFonts w:hint="eastAsia"/>
          </w:rPr>
          <w:fldChar w:fldCharType="begin"/>
        </w:r>
        <w:r>
          <w:rPr>
            <w:rFonts w:hint="eastAsia"/>
          </w:rPr>
          <w:instrText xml:space="preserve"> </w:instrText>
        </w:r>
        <w:r>
          <w:instrText>PAGEREF _Toc176547938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3B924B2D"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39" w:history="1">
        <w:r>
          <w:rPr>
            <w:rStyle w:val="af2"/>
            <w:rFonts w:hint="eastAsia"/>
          </w:rPr>
          <w:t>六、重大分歧意见的处理经过和依据</w:t>
        </w:r>
        <w:r>
          <w:rPr>
            <w:rFonts w:hint="eastAsia"/>
          </w:rPr>
          <w:tab/>
        </w:r>
        <w:r>
          <w:rPr>
            <w:rFonts w:hint="eastAsia"/>
          </w:rPr>
          <w:fldChar w:fldCharType="begin"/>
        </w:r>
        <w:r>
          <w:rPr>
            <w:rFonts w:hint="eastAsia"/>
          </w:rPr>
          <w:instrText xml:space="preserve"> </w:instrText>
        </w:r>
        <w:r>
          <w:instrText>PAGEREF _Toc176547939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65AD2FD"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40" w:history="1">
        <w:r>
          <w:rPr>
            <w:rStyle w:val="af2"/>
            <w:rFonts w:hint="eastAsia"/>
          </w:rPr>
          <w:t>七、标准作为强制性或推荐性标准的意见</w:t>
        </w:r>
        <w:r>
          <w:rPr>
            <w:rFonts w:hint="eastAsia"/>
          </w:rPr>
          <w:tab/>
        </w:r>
        <w:r>
          <w:rPr>
            <w:rFonts w:hint="eastAsia"/>
          </w:rPr>
          <w:fldChar w:fldCharType="begin"/>
        </w:r>
        <w:r>
          <w:rPr>
            <w:rFonts w:hint="eastAsia"/>
          </w:rPr>
          <w:instrText xml:space="preserve"> </w:instrText>
        </w:r>
        <w:r>
          <w:instrText>PAGEREF _Toc176547940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155D255B"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41" w:history="1">
        <w:r>
          <w:rPr>
            <w:rStyle w:val="af2"/>
            <w:rFonts w:hint="eastAsia"/>
          </w:rPr>
          <w:t>八、贯彻标准的要求和措施建议</w:t>
        </w:r>
        <w:r>
          <w:rPr>
            <w:rFonts w:hint="eastAsia"/>
          </w:rPr>
          <w:tab/>
        </w:r>
        <w:r>
          <w:rPr>
            <w:rFonts w:hint="eastAsia"/>
          </w:rPr>
          <w:fldChar w:fldCharType="begin"/>
        </w:r>
        <w:r>
          <w:rPr>
            <w:rFonts w:hint="eastAsia"/>
          </w:rPr>
          <w:instrText xml:space="preserve"> </w:instrText>
        </w:r>
        <w:r>
          <w:instrText>PAGEREF _Toc176547941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316EC7D6"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42" w:history="1">
        <w:r>
          <w:rPr>
            <w:rStyle w:val="af2"/>
            <w:rFonts w:hint="eastAsia"/>
          </w:rPr>
          <w:t>九、废止现行有关标准的建议</w:t>
        </w:r>
        <w:r>
          <w:rPr>
            <w:rFonts w:hint="eastAsia"/>
          </w:rPr>
          <w:tab/>
        </w:r>
        <w:r>
          <w:rPr>
            <w:rFonts w:hint="eastAsia"/>
          </w:rPr>
          <w:fldChar w:fldCharType="begin"/>
        </w:r>
        <w:r>
          <w:rPr>
            <w:rFonts w:hint="eastAsia"/>
          </w:rPr>
          <w:instrText xml:space="preserve"> </w:instrText>
        </w:r>
        <w:r>
          <w:instrText>PAGEREF _Toc176547942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01F523EE" w14:textId="77777777" w:rsidR="001E5885" w:rsidRDefault="00000000">
      <w:pPr>
        <w:pStyle w:val="TOC1"/>
        <w:rPr>
          <w:rFonts w:asciiTheme="minorHAnsi" w:eastAsiaTheme="minorEastAsia" w:hAnsiTheme="minorHAnsi" w:cstheme="minorBidi" w:hint="eastAsia"/>
          <w:szCs w:val="22"/>
          <w14:ligatures w14:val="standardContextual"/>
        </w:rPr>
      </w:pPr>
      <w:hyperlink w:anchor="_Toc176547943" w:history="1">
        <w:r>
          <w:rPr>
            <w:rStyle w:val="af2"/>
            <w:rFonts w:hint="eastAsia"/>
          </w:rPr>
          <w:t>十、其他应予说明的事项</w:t>
        </w:r>
        <w:r>
          <w:rPr>
            <w:rFonts w:hint="eastAsia"/>
          </w:rPr>
          <w:tab/>
        </w:r>
        <w:r>
          <w:rPr>
            <w:rFonts w:hint="eastAsia"/>
          </w:rPr>
          <w:fldChar w:fldCharType="begin"/>
        </w:r>
        <w:r>
          <w:rPr>
            <w:rFonts w:hint="eastAsia"/>
          </w:rPr>
          <w:instrText xml:space="preserve"> </w:instrText>
        </w:r>
        <w:r>
          <w:instrText>PAGEREF _Toc176547943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7755D24F" w14:textId="77777777" w:rsidR="001E5885" w:rsidRDefault="00000000">
      <w:pPr>
        <w:spacing w:line="360" w:lineRule="auto"/>
        <w:rPr>
          <w:sz w:val="24"/>
          <w:szCs w:val="24"/>
        </w:rPr>
      </w:pPr>
      <w:r>
        <w:rPr>
          <w:b/>
          <w:bCs/>
          <w:sz w:val="24"/>
          <w:szCs w:val="24"/>
          <w:lang w:val="zh-CN"/>
        </w:rPr>
        <w:fldChar w:fldCharType="end"/>
      </w:r>
    </w:p>
    <w:p w14:paraId="32720C13" w14:textId="77777777" w:rsidR="001E5885" w:rsidRDefault="001E5885">
      <w:pPr>
        <w:pStyle w:val="af5"/>
        <w:spacing w:beforeLines="100" w:before="312" w:afterLines="100" w:after="312" w:line="420" w:lineRule="exact"/>
        <w:ind w:firstLineChars="0"/>
        <w:rPr>
          <w:b/>
          <w:color w:val="000000"/>
          <w:sz w:val="28"/>
          <w:szCs w:val="28"/>
        </w:rPr>
      </w:pPr>
    </w:p>
    <w:p w14:paraId="3EB17BB0" w14:textId="77777777" w:rsidR="001E5885" w:rsidRDefault="00000000">
      <w:pPr>
        <w:pStyle w:val="1"/>
        <w:spacing w:before="0" w:after="0"/>
        <w:rPr>
          <w:sz w:val="24"/>
          <w:szCs w:val="40"/>
        </w:rPr>
      </w:pPr>
      <w:r>
        <w:br w:type="page"/>
      </w:r>
      <w:bookmarkStart w:id="0" w:name="_Toc176547930"/>
      <w:r>
        <w:rPr>
          <w:rFonts w:hint="eastAsia"/>
          <w:sz w:val="24"/>
          <w:szCs w:val="40"/>
        </w:rPr>
        <w:t>一、任务来源及标准制定背景</w:t>
      </w:r>
      <w:bookmarkEnd w:id="0"/>
    </w:p>
    <w:p w14:paraId="39E2EE66" w14:textId="77777777" w:rsidR="001E5885" w:rsidRDefault="00000000">
      <w:pPr>
        <w:pStyle w:val="2"/>
        <w:spacing w:before="0" w:after="0"/>
        <w:rPr>
          <w:rFonts w:hint="eastAsia"/>
          <w:sz w:val="22"/>
          <w:szCs w:val="28"/>
        </w:rPr>
      </w:pPr>
      <w:bookmarkStart w:id="1" w:name="_Toc176547931"/>
      <w:r>
        <w:rPr>
          <w:rFonts w:hint="eastAsia"/>
          <w:sz w:val="22"/>
          <w:szCs w:val="28"/>
        </w:rPr>
        <w:t>1</w:t>
      </w:r>
      <w:r>
        <w:rPr>
          <w:rFonts w:hint="eastAsia"/>
          <w:sz w:val="22"/>
          <w:szCs w:val="28"/>
        </w:rPr>
        <w:t>、任务来源</w:t>
      </w:r>
      <w:bookmarkEnd w:id="1"/>
    </w:p>
    <w:p w14:paraId="51E08244" w14:textId="77777777" w:rsidR="001E588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本技术规程由那曲市农牧业（草业）科技研究推广中心、中国农业科学院农业环境与可持续发展研究所、</w:t>
      </w:r>
      <w:r>
        <w:rPr>
          <w:rFonts w:hint="eastAsia"/>
          <w:color w:val="000000"/>
          <w:kern w:val="0"/>
          <w:sz w:val="22"/>
          <w:szCs w:val="22"/>
        </w:rPr>
        <w:t>西藏宝弘农牧科技有限责任公司</w:t>
      </w:r>
      <w:r>
        <w:rPr>
          <w:rFonts w:ascii="宋体" w:hAnsi="宋体" w:cs="黑体" w:hint="eastAsia"/>
          <w:kern w:val="0"/>
          <w:sz w:val="22"/>
          <w:szCs w:val="20"/>
        </w:rPr>
        <w:t>共同申报。</w:t>
      </w:r>
    </w:p>
    <w:p w14:paraId="41DA4036" w14:textId="77777777" w:rsidR="001E5885" w:rsidRDefault="00000000">
      <w:pPr>
        <w:pStyle w:val="2"/>
        <w:spacing w:before="0" w:after="0"/>
        <w:rPr>
          <w:rFonts w:hint="eastAsia"/>
          <w:sz w:val="22"/>
          <w:szCs w:val="28"/>
        </w:rPr>
      </w:pPr>
      <w:r>
        <w:rPr>
          <w:rFonts w:hint="eastAsia"/>
          <w:sz w:val="22"/>
          <w:szCs w:val="28"/>
        </w:rPr>
        <w:t>2</w:t>
      </w:r>
      <w:r>
        <w:rPr>
          <w:rFonts w:hint="eastAsia"/>
          <w:sz w:val="22"/>
          <w:szCs w:val="28"/>
        </w:rPr>
        <w:t>、承担单位</w:t>
      </w:r>
    </w:p>
    <w:p w14:paraId="6CD1F1B8" w14:textId="77777777" w:rsidR="001E5885"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kern w:val="0"/>
          <w:sz w:val="22"/>
          <w:szCs w:val="20"/>
        </w:rPr>
        <w:t>那曲市农牧业（草业）科技研究推广中心</w:t>
      </w:r>
      <w:r>
        <w:rPr>
          <w:rFonts w:ascii="宋体" w:hAnsi="宋体" w:cs="黑体" w:hint="eastAsia"/>
          <w:kern w:val="0"/>
          <w:sz w:val="22"/>
          <w:szCs w:val="20"/>
        </w:rPr>
        <w:t>：</w:t>
      </w:r>
      <w:r>
        <w:rPr>
          <w:rFonts w:ascii="宋体" w:hAnsi="宋体" w:cs="黑体"/>
          <w:kern w:val="0"/>
          <w:sz w:val="22"/>
          <w:szCs w:val="20"/>
        </w:rPr>
        <w:t>现有专业技术人员52人，其中高级职称13人，中级职称27人，初级职称12人。近年来，以基础研究、成果转化、技术推广和服务牧业产业为核心目标，主要承担了《那曲市牧业产业化发展科技攻关研究项目》《那曲适应性牧草品种筛选及高寒草地提质增效关键技术研究与示范》《退化高寒草甸生态修复与固碳增汇协同技术研究》《藏北那曲高寒牧区草牧业科技创新与示范》等20余项科研项目。</w:t>
      </w:r>
      <w:r>
        <w:rPr>
          <w:rFonts w:ascii="宋体" w:hAnsi="宋体" w:cs="黑体" w:hint="eastAsia"/>
          <w:kern w:val="0"/>
          <w:sz w:val="22"/>
          <w:szCs w:val="20"/>
        </w:rPr>
        <w:t>在</w:t>
      </w:r>
      <w:r>
        <w:rPr>
          <w:rFonts w:ascii="宋体" w:hAnsi="宋体" w:cs="黑体"/>
          <w:kern w:val="0"/>
          <w:sz w:val="22"/>
          <w:szCs w:val="20"/>
        </w:rPr>
        <w:t>省级以上期刊发表学术论文200余篇，编写技术手册5项，出版专著2部；研发了44项专利，转化成果10项。编制了团体标准5项、地方标准6项、技术标准3项。制作植物标本500余份，鉴定植物300余种，采集入库乡土野生牧草种子50种，筛选优势野生牧草16种，在试验田具有潜力、适应性强的栽培驯化品种8种，形成草地生态修复重建混播组合处理3个</w:t>
      </w:r>
      <w:r>
        <w:rPr>
          <w:rFonts w:ascii="宋体" w:hAnsi="宋体" w:cs="黑体" w:hint="eastAsia"/>
          <w:kern w:val="0"/>
          <w:sz w:val="22"/>
          <w:szCs w:val="20"/>
        </w:rPr>
        <w:t>。</w:t>
      </w:r>
      <w:r>
        <w:rPr>
          <w:rFonts w:ascii="宋体" w:hAnsi="宋体" w:cs="黑体"/>
          <w:kern w:val="0"/>
          <w:sz w:val="22"/>
          <w:szCs w:val="20"/>
        </w:rPr>
        <w:t>荣获“2019-2021年度全国农牧渔业丰收奖”一等奖，“西藏自治区科学技术奖”一、二、三等奖，教育部、农业农村部和中国科协授予“西藏那曲草业科技小院”。</w:t>
      </w:r>
      <w:bookmarkStart w:id="2" w:name="_Toc176547932"/>
    </w:p>
    <w:p w14:paraId="42BC94C7" w14:textId="77777777" w:rsidR="001E5885" w:rsidRDefault="00000000">
      <w:pPr>
        <w:pStyle w:val="2"/>
        <w:spacing w:before="0" w:after="0"/>
        <w:rPr>
          <w:rFonts w:hint="eastAsia"/>
          <w:sz w:val="22"/>
          <w:szCs w:val="28"/>
        </w:rPr>
      </w:pPr>
      <w:r>
        <w:rPr>
          <w:rFonts w:hint="eastAsia"/>
          <w:sz w:val="22"/>
          <w:szCs w:val="28"/>
        </w:rPr>
        <w:t>3</w:t>
      </w:r>
      <w:r>
        <w:rPr>
          <w:rFonts w:hint="eastAsia"/>
          <w:sz w:val="22"/>
          <w:szCs w:val="28"/>
        </w:rPr>
        <w:t>、标准制定背景</w:t>
      </w:r>
      <w:bookmarkStart w:id="3" w:name="_Toc176547933"/>
      <w:bookmarkEnd w:id="2"/>
    </w:p>
    <w:p w14:paraId="142055B6" w14:textId="77777777" w:rsidR="001E5885" w:rsidRDefault="00000000">
      <w:pPr>
        <w:adjustRightInd w:val="0"/>
        <w:snapToGrid w:val="0"/>
        <w:spacing w:line="360" w:lineRule="auto"/>
        <w:ind w:firstLineChars="200" w:firstLine="440"/>
        <w:rPr>
          <w:sz w:val="22"/>
          <w:szCs w:val="28"/>
        </w:rPr>
      </w:pPr>
      <w:r>
        <w:rPr>
          <w:rFonts w:hint="eastAsia"/>
          <w:sz w:val="22"/>
          <w:szCs w:val="28"/>
        </w:rPr>
        <w:t>一是生态背景：极高海拔草地退化严重，生态安全受威胁。那曲地处藏北高原，平均海拔</w:t>
      </w:r>
      <w:r>
        <w:rPr>
          <w:rFonts w:hint="eastAsia"/>
          <w:sz w:val="22"/>
          <w:szCs w:val="28"/>
        </w:rPr>
        <w:t>4500</w:t>
      </w:r>
      <w:r>
        <w:rPr>
          <w:rFonts w:hint="eastAsia"/>
          <w:sz w:val="22"/>
          <w:szCs w:val="28"/>
        </w:rPr>
        <w:t>米以上，是青藏高原生态安全屏障的核心区，也是全球气候变化最敏感区域之一。二是退化面积大、程度深：截至</w:t>
      </w:r>
      <w:r>
        <w:rPr>
          <w:rFonts w:hint="eastAsia"/>
          <w:sz w:val="22"/>
          <w:szCs w:val="28"/>
        </w:rPr>
        <w:t>2023</w:t>
      </w:r>
      <w:r>
        <w:rPr>
          <w:rFonts w:hint="eastAsia"/>
          <w:sz w:val="22"/>
          <w:szCs w:val="28"/>
        </w:rPr>
        <w:t>年，那曲未退化草地占比不足</w:t>
      </w:r>
      <w:r>
        <w:rPr>
          <w:rFonts w:hint="eastAsia"/>
          <w:sz w:val="22"/>
          <w:szCs w:val="28"/>
        </w:rPr>
        <w:t>50%</w:t>
      </w:r>
      <w:r>
        <w:rPr>
          <w:rFonts w:hint="eastAsia"/>
          <w:sz w:val="22"/>
          <w:szCs w:val="28"/>
        </w:rPr>
        <w:t>，轻度退化约</w:t>
      </w:r>
      <w:r>
        <w:rPr>
          <w:rFonts w:hint="eastAsia"/>
          <w:sz w:val="22"/>
          <w:szCs w:val="28"/>
        </w:rPr>
        <w:t>30%</w:t>
      </w:r>
      <w:r>
        <w:rPr>
          <w:rFonts w:hint="eastAsia"/>
          <w:sz w:val="22"/>
          <w:szCs w:val="28"/>
        </w:rPr>
        <w:t>，重度</w:t>
      </w:r>
      <w:r>
        <w:rPr>
          <w:rFonts w:hint="eastAsia"/>
          <w:sz w:val="22"/>
          <w:szCs w:val="28"/>
        </w:rPr>
        <w:t>/</w:t>
      </w:r>
      <w:r>
        <w:rPr>
          <w:rFonts w:hint="eastAsia"/>
          <w:sz w:val="22"/>
          <w:szCs w:val="28"/>
        </w:rPr>
        <w:t>极重度退化达</w:t>
      </w:r>
      <w:r>
        <w:rPr>
          <w:rFonts w:hint="eastAsia"/>
          <w:sz w:val="22"/>
          <w:szCs w:val="28"/>
        </w:rPr>
        <w:t>15%</w:t>
      </w:r>
      <w:r>
        <w:rPr>
          <w:rFonts w:hint="eastAsia"/>
          <w:sz w:val="22"/>
          <w:szCs w:val="28"/>
        </w:rPr>
        <w:t>，局部“黑土滩”化加剧，植被盖度低于</w:t>
      </w:r>
      <w:r>
        <w:rPr>
          <w:rFonts w:hint="eastAsia"/>
          <w:sz w:val="22"/>
          <w:szCs w:val="28"/>
        </w:rPr>
        <w:t>30%</w:t>
      </w:r>
      <w:r>
        <w:rPr>
          <w:rFonts w:hint="eastAsia"/>
          <w:sz w:val="22"/>
          <w:szCs w:val="28"/>
        </w:rPr>
        <w:t>、土壤退化明显。三是生态系统极度脆弱：高寒缺氧（氧含量仅海平面</w:t>
      </w:r>
      <w:r>
        <w:rPr>
          <w:rFonts w:hint="eastAsia"/>
          <w:sz w:val="22"/>
          <w:szCs w:val="28"/>
        </w:rPr>
        <w:t>50%</w:t>
      </w:r>
      <w:r>
        <w:rPr>
          <w:rFonts w:hint="eastAsia"/>
          <w:sz w:val="22"/>
          <w:szCs w:val="28"/>
        </w:rPr>
        <w:t>）、年均温</w:t>
      </w:r>
      <w:r>
        <w:rPr>
          <w:rFonts w:hint="eastAsia"/>
          <w:sz w:val="22"/>
          <w:szCs w:val="28"/>
        </w:rPr>
        <w:t>-2~2</w:t>
      </w:r>
      <w:r>
        <w:rPr>
          <w:rFonts w:hint="eastAsia"/>
          <w:sz w:val="22"/>
          <w:szCs w:val="28"/>
        </w:rPr>
        <w:t>℃、大风强辐射、冻土广布，草地自我修复能力极弱，一旦破坏难以逆转。四是生态功能持续弱化：退化导致水源涵养量减少、碳汇能力下降、生物多样性受损，直接威胁长江</w:t>
      </w:r>
      <w:r>
        <w:rPr>
          <w:rFonts w:hint="eastAsia"/>
          <w:sz w:val="22"/>
          <w:szCs w:val="28"/>
        </w:rPr>
        <w:t>/</w:t>
      </w:r>
      <w:r>
        <w:rPr>
          <w:rFonts w:hint="eastAsia"/>
          <w:sz w:val="22"/>
          <w:szCs w:val="28"/>
        </w:rPr>
        <w:t>怒江源头水安全与区域碳平衡。五是修复实践急需标准化，科研成果需落地。现有技术碎片化、不适配：传统修复技术（如补播、施肥）多适用于低海拔草原，在</w:t>
      </w:r>
      <w:r>
        <w:rPr>
          <w:rFonts w:hint="eastAsia"/>
          <w:sz w:val="22"/>
          <w:szCs w:val="28"/>
        </w:rPr>
        <w:t>4500</w:t>
      </w:r>
      <w:r>
        <w:rPr>
          <w:rFonts w:hint="eastAsia"/>
          <w:sz w:val="22"/>
          <w:szCs w:val="28"/>
        </w:rPr>
        <w:t>米以上极高海拔区域成活率低、效果不稳定；各地修复方法各异（如免耕补播、围栏封育），无统一的退化等级判定、技术参数、验收标准，导致修复质量参差不齐。</w:t>
      </w:r>
    </w:p>
    <w:p w14:paraId="334FF434" w14:textId="77777777" w:rsidR="001E5885" w:rsidRDefault="00000000">
      <w:pPr>
        <w:pStyle w:val="2"/>
        <w:spacing w:before="0" w:after="0"/>
        <w:rPr>
          <w:rFonts w:hint="eastAsia"/>
          <w:sz w:val="22"/>
          <w:szCs w:val="28"/>
        </w:rPr>
      </w:pPr>
      <w:r>
        <w:rPr>
          <w:rFonts w:hint="eastAsia"/>
          <w:sz w:val="22"/>
          <w:szCs w:val="28"/>
        </w:rPr>
        <w:t>4</w:t>
      </w:r>
      <w:r>
        <w:rPr>
          <w:rFonts w:hint="eastAsia"/>
          <w:sz w:val="22"/>
          <w:szCs w:val="28"/>
        </w:rPr>
        <w:t>、起草人情况</w:t>
      </w:r>
    </w:p>
    <w:p w14:paraId="04AEB5C8" w14:textId="77777777" w:rsidR="001E5885" w:rsidRDefault="00000000">
      <w:pPr>
        <w:adjustRightInd w:val="0"/>
        <w:snapToGrid w:val="0"/>
        <w:spacing w:line="360" w:lineRule="auto"/>
        <w:ind w:firstLineChars="200" w:firstLine="440"/>
        <w:rPr>
          <w:bCs/>
          <w:sz w:val="22"/>
          <w:szCs w:val="20"/>
        </w:rPr>
      </w:pPr>
      <w:r>
        <w:rPr>
          <w:rFonts w:hint="eastAsia"/>
          <w:bCs/>
          <w:sz w:val="22"/>
          <w:szCs w:val="20"/>
        </w:rPr>
        <w:t>张勇，农业技术推广研究员，现任那曲市农牧业（草业）科技研究推广中心党组副书记、主任。获得西藏自治区特殊津贴，聘任为中国农业科学院专业学位研究生校外导师，主要从事畜牧业基础和应用研究。在牦牛资源挖掘、牦牛繁育、新品种引进改良与推广方面经验丰富。曾先后完成自治区级、市级各类研究项目</w:t>
      </w:r>
      <w:r>
        <w:rPr>
          <w:rFonts w:hint="eastAsia"/>
          <w:bCs/>
          <w:sz w:val="22"/>
          <w:szCs w:val="20"/>
        </w:rPr>
        <w:t>15</w:t>
      </w:r>
      <w:r>
        <w:rPr>
          <w:rFonts w:hint="eastAsia"/>
          <w:bCs/>
          <w:sz w:val="22"/>
          <w:szCs w:val="20"/>
        </w:rPr>
        <w:t>余项，以第一发明人授权发明专利</w:t>
      </w:r>
      <w:r>
        <w:rPr>
          <w:rFonts w:hint="eastAsia"/>
          <w:bCs/>
          <w:sz w:val="22"/>
          <w:szCs w:val="20"/>
        </w:rPr>
        <w:t>3</w:t>
      </w:r>
      <w:r>
        <w:rPr>
          <w:rFonts w:hint="eastAsia"/>
          <w:bCs/>
          <w:sz w:val="22"/>
          <w:szCs w:val="20"/>
        </w:rPr>
        <w:t>项，在国内学术刊物上发表论文</w:t>
      </w:r>
      <w:r>
        <w:rPr>
          <w:rFonts w:hint="eastAsia"/>
          <w:bCs/>
          <w:sz w:val="22"/>
          <w:szCs w:val="20"/>
        </w:rPr>
        <w:t>20</w:t>
      </w:r>
      <w:r>
        <w:rPr>
          <w:rFonts w:hint="eastAsia"/>
          <w:bCs/>
          <w:sz w:val="22"/>
          <w:szCs w:val="20"/>
        </w:rPr>
        <w:t>余篇。</w:t>
      </w:r>
    </w:p>
    <w:p w14:paraId="64DA9786" w14:textId="77777777" w:rsidR="001E5885" w:rsidRDefault="00000000">
      <w:pPr>
        <w:pStyle w:val="1"/>
        <w:spacing w:before="0" w:after="0"/>
        <w:ind w:firstLineChars="200" w:firstLine="482"/>
        <w:rPr>
          <w:sz w:val="24"/>
          <w:szCs w:val="40"/>
        </w:rPr>
      </w:pPr>
      <w:r>
        <w:rPr>
          <w:rFonts w:hint="eastAsia"/>
          <w:sz w:val="24"/>
          <w:szCs w:val="40"/>
        </w:rPr>
        <w:t>二、主要工作过程</w:t>
      </w:r>
      <w:bookmarkEnd w:id="3"/>
    </w:p>
    <w:p w14:paraId="56EC4232" w14:textId="77777777" w:rsidR="001E5885" w:rsidRDefault="00000000">
      <w:pPr>
        <w:spacing w:line="360" w:lineRule="auto"/>
        <w:ind w:firstLineChars="200" w:firstLine="440"/>
        <w:rPr>
          <w:bCs/>
          <w:sz w:val="22"/>
          <w:szCs w:val="20"/>
        </w:rPr>
      </w:pPr>
      <w:r>
        <w:rPr>
          <w:rFonts w:hint="eastAsia"/>
          <w:bCs/>
          <w:sz w:val="22"/>
          <w:szCs w:val="20"/>
        </w:rPr>
        <w:t>调研阶段（</w:t>
      </w:r>
      <w:r>
        <w:rPr>
          <w:rFonts w:hint="eastAsia"/>
          <w:bCs/>
          <w:sz w:val="22"/>
          <w:szCs w:val="20"/>
        </w:rPr>
        <w:t>2024.3-2024.5</w:t>
      </w:r>
      <w:r>
        <w:rPr>
          <w:rFonts w:hint="eastAsia"/>
          <w:bCs/>
          <w:sz w:val="22"/>
          <w:szCs w:val="20"/>
        </w:rPr>
        <w:t>）：对那曲市典型退化区域开展实地调研，采集土壤、植被、水文数据，完成退化草地分级分类（轻度、中度、重度、极度）。</w:t>
      </w:r>
    </w:p>
    <w:p w14:paraId="382423BF" w14:textId="77777777" w:rsidR="001E5885" w:rsidRDefault="00000000">
      <w:pPr>
        <w:spacing w:line="360" w:lineRule="auto"/>
        <w:ind w:firstLineChars="200" w:firstLine="440"/>
        <w:rPr>
          <w:bCs/>
          <w:sz w:val="22"/>
          <w:szCs w:val="20"/>
        </w:rPr>
      </w:pPr>
      <w:r>
        <w:rPr>
          <w:rFonts w:hint="eastAsia"/>
          <w:bCs/>
          <w:sz w:val="22"/>
          <w:szCs w:val="20"/>
        </w:rPr>
        <w:t>技术集成阶段（</w:t>
      </w:r>
      <w:r>
        <w:rPr>
          <w:rFonts w:hint="eastAsia"/>
          <w:bCs/>
          <w:sz w:val="22"/>
          <w:szCs w:val="20"/>
        </w:rPr>
        <w:t>2024.6-2024.8</w:t>
      </w:r>
      <w:r>
        <w:rPr>
          <w:rFonts w:hint="eastAsia"/>
          <w:bCs/>
          <w:sz w:val="22"/>
          <w:szCs w:val="20"/>
        </w:rPr>
        <w:t>）：整合那曲市已成熟应用的免耕补播、人工重建、光伏灌溉、鼠害防治等技术，结合尼玛县、双湖县案例优化技术参数。</w:t>
      </w:r>
    </w:p>
    <w:p w14:paraId="7FC25456" w14:textId="77777777" w:rsidR="001E5885" w:rsidRDefault="00000000">
      <w:pPr>
        <w:spacing w:line="360" w:lineRule="auto"/>
        <w:ind w:firstLineChars="200" w:firstLine="440"/>
        <w:rPr>
          <w:bCs/>
          <w:sz w:val="22"/>
          <w:szCs w:val="20"/>
        </w:rPr>
      </w:pPr>
      <w:r>
        <w:rPr>
          <w:rFonts w:hint="eastAsia"/>
          <w:bCs/>
          <w:sz w:val="22"/>
          <w:szCs w:val="20"/>
        </w:rPr>
        <w:t>试验验证阶段（</w:t>
      </w:r>
      <w:r>
        <w:rPr>
          <w:rFonts w:hint="eastAsia"/>
          <w:bCs/>
          <w:sz w:val="22"/>
          <w:szCs w:val="20"/>
        </w:rPr>
        <w:t>2024.9-2025.3</w:t>
      </w:r>
      <w:r>
        <w:rPr>
          <w:rFonts w:hint="eastAsia"/>
          <w:bCs/>
          <w:sz w:val="22"/>
          <w:szCs w:val="20"/>
        </w:rPr>
        <w:t>）：在尼玛县示范基地和双湖县示范基地开展技术验证，设置对照组和试验组，监测植被盖度、生物量、土壤养分等指标。</w:t>
      </w:r>
    </w:p>
    <w:p w14:paraId="7C0B3ECA" w14:textId="77777777" w:rsidR="001E5885" w:rsidRDefault="00000000">
      <w:pPr>
        <w:spacing w:line="360" w:lineRule="auto"/>
        <w:ind w:firstLineChars="200" w:firstLine="440"/>
        <w:rPr>
          <w:bCs/>
          <w:sz w:val="22"/>
          <w:szCs w:val="20"/>
        </w:rPr>
      </w:pPr>
      <w:r>
        <w:rPr>
          <w:rFonts w:hint="eastAsia"/>
          <w:bCs/>
          <w:sz w:val="22"/>
          <w:szCs w:val="20"/>
        </w:rPr>
        <w:t>标准起草阶段（</w:t>
      </w:r>
      <w:r>
        <w:rPr>
          <w:rFonts w:hint="eastAsia"/>
          <w:bCs/>
          <w:sz w:val="22"/>
          <w:szCs w:val="20"/>
        </w:rPr>
        <w:t>2025.4-2025.6</w:t>
      </w:r>
      <w:r>
        <w:rPr>
          <w:rFonts w:hint="eastAsia"/>
          <w:bCs/>
          <w:sz w:val="22"/>
          <w:szCs w:val="20"/>
        </w:rPr>
        <w:t>）：依据试验数据和案例经验，起草标准文本，完成征求意见稿</w:t>
      </w:r>
    </w:p>
    <w:p w14:paraId="694A0BC9" w14:textId="77777777" w:rsidR="001E5885" w:rsidRDefault="00000000">
      <w:pPr>
        <w:spacing w:line="360" w:lineRule="auto"/>
        <w:ind w:firstLineChars="200" w:firstLine="440"/>
        <w:rPr>
          <w:bCs/>
          <w:sz w:val="22"/>
          <w:szCs w:val="20"/>
        </w:rPr>
      </w:pPr>
      <w:r>
        <w:rPr>
          <w:rFonts w:hint="eastAsia"/>
          <w:bCs/>
          <w:sz w:val="22"/>
          <w:szCs w:val="20"/>
        </w:rPr>
        <w:t>征求意见与修改阶段（</w:t>
      </w:r>
      <w:r>
        <w:rPr>
          <w:rFonts w:hint="eastAsia"/>
          <w:bCs/>
          <w:sz w:val="22"/>
          <w:szCs w:val="20"/>
        </w:rPr>
        <w:t>2025.7-2025.9</w:t>
      </w:r>
      <w:r>
        <w:rPr>
          <w:rFonts w:hint="eastAsia"/>
          <w:bCs/>
          <w:sz w:val="22"/>
          <w:szCs w:val="20"/>
        </w:rPr>
        <w:t>）：广泛征求科研院所、基层技术人员等意见，修改完善标准文本。</w:t>
      </w:r>
    </w:p>
    <w:p w14:paraId="1C0B6DFF" w14:textId="77777777" w:rsidR="001E5885" w:rsidRDefault="00000000">
      <w:pPr>
        <w:spacing w:line="360" w:lineRule="auto"/>
        <w:ind w:firstLineChars="200" w:firstLine="440"/>
        <w:rPr>
          <w:rFonts w:ascii="宋体" w:hAnsi="宋体" w:cs="宋体" w:hint="eastAsia"/>
          <w:sz w:val="22"/>
          <w:szCs w:val="20"/>
        </w:rPr>
      </w:pPr>
      <w:r>
        <w:rPr>
          <w:rFonts w:hint="eastAsia"/>
          <w:bCs/>
          <w:sz w:val="22"/>
          <w:szCs w:val="20"/>
        </w:rPr>
        <w:t>专家评审阶段（</w:t>
      </w:r>
      <w:r>
        <w:rPr>
          <w:rFonts w:hint="eastAsia"/>
          <w:bCs/>
          <w:sz w:val="22"/>
          <w:szCs w:val="20"/>
        </w:rPr>
        <w:t>2025.10</w:t>
      </w:r>
      <w:r>
        <w:rPr>
          <w:rFonts w:hint="eastAsia"/>
          <w:bCs/>
          <w:sz w:val="22"/>
          <w:szCs w:val="20"/>
        </w:rPr>
        <w:t>）：组织市研推中心技术专家开展论证会，对规程送审稿的科学性、实用性、可操作性进行全面审核，</w:t>
      </w:r>
      <w:r>
        <w:rPr>
          <w:rFonts w:ascii="宋体" w:hAnsi="宋体" w:cs="宋体"/>
          <w:sz w:val="22"/>
          <w:szCs w:val="20"/>
        </w:rPr>
        <w:t>编写征求意见稿标准文本，编写《编制说明》</w:t>
      </w:r>
      <w:r>
        <w:rPr>
          <w:rFonts w:ascii="宋体" w:hAnsi="宋体" w:cs="宋体" w:hint="eastAsia"/>
          <w:sz w:val="22"/>
          <w:szCs w:val="20"/>
        </w:rPr>
        <w:t>。</w:t>
      </w:r>
    </w:p>
    <w:p w14:paraId="6D16E843" w14:textId="77777777" w:rsidR="001E5885" w:rsidRDefault="00000000">
      <w:pPr>
        <w:spacing w:line="360" w:lineRule="auto"/>
        <w:ind w:firstLineChars="200" w:firstLine="440"/>
        <w:rPr>
          <w:bCs/>
          <w:sz w:val="22"/>
          <w:szCs w:val="20"/>
        </w:rPr>
      </w:pPr>
      <w:r>
        <w:rPr>
          <w:rFonts w:hint="eastAsia"/>
          <w:bCs/>
          <w:sz w:val="22"/>
          <w:szCs w:val="20"/>
        </w:rPr>
        <w:t>由北京华夏草业产业技术创新战略联盟组织国内相关专家对《那曲极高海拔区域典型退化草地生态修复技术规程》征求意见稿及编制说明进行会议评审。</w:t>
      </w:r>
    </w:p>
    <w:p w14:paraId="71F810C8" w14:textId="77777777" w:rsidR="001E5885" w:rsidRDefault="00000000">
      <w:pPr>
        <w:pStyle w:val="1"/>
        <w:spacing w:before="0" w:after="0"/>
        <w:rPr>
          <w:sz w:val="24"/>
          <w:szCs w:val="40"/>
        </w:rPr>
      </w:pPr>
      <w:bookmarkStart w:id="4" w:name="_Toc176547934"/>
      <w:r>
        <w:rPr>
          <w:rFonts w:hint="eastAsia"/>
          <w:sz w:val="24"/>
          <w:szCs w:val="40"/>
        </w:rPr>
        <w:t>三、标准编制原则和主要技术内容确定的依据</w:t>
      </w:r>
      <w:bookmarkEnd w:id="4"/>
    </w:p>
    <w:p w14:paraId="7EA6DAEF" w14:textId="77777777" w:rsidR="001E5885" w:rsidRDefault="00000000">
      <w:pPr>
        <w:pStyle w:val="2"/>
        <w:spacing w:before="0" w:after="0"/>
        <w:rPr>
          <w:rFonts w:ascii="Times New Roman" w:eastAsia="宋体" w:hAnsi="Times New Roman"/>
          <w:sz w:val="22"/>
          <w:szCs w:val="20"/>
        </w:rPr>
      </w:pPr>
      <w:bookmarkStart w:id="5" w:name="_Toc176547935"/>
      <w:r>
        <w:rPr>
          <w:rFonts w:hint="eastAsia"/>
          <w:sz w:val="22"/>
          <w:szCs w:val="28"/>
        </w:rPr>
        <w:t>1</w:t>
      </w:r>
      <w:r>
        <w:rPr>
          <w:rFonts w:hint="eastAsia"/>
          <w:sz w:val="22"/>
          <w:szCs w:val="28"/>
        </w:rPr>
        <w:t>、标准编制原则</w:t>
      </w:r>
      <w:bookmarkStart w:id="6" w:name="_Toc176547936"/>
      <w:bookmarkEnd w:id="5"/>
    </w:p>
    <w:p w14:paraId="0C53B7C0" w14:textId="77777777" w:rsidR="001E5885" w:rsidRDefault="00000000">
      <w:pPr>
        <w:spacing w:line="360" w:lineRule="auto"/>
        <w:ind w:firstLineChars="200" w:firstLine="440"/>
        <w:rPr>
          <w:bCs/>
          <w:sz w:val="22"/>
          <w:szCs w:val="20"/>
        </w:rPr>
      </w:pPr>
      <w:r>
        <w:rPr>
          <w:rFonts w:hint="eastAsia"/>
          <w:bCs/>
          <w:sz w:val="22"/>
          <w:szCs w:val="20"/>
        </w:rPr>
        <w:t>科学性与实用性相结合：基于那曲极高海拔区域特殊自然条件，吸收最新科研成果，确保技术参数可操作、易推广。</w:t>
      </w:r>
    </w:p>
    <w:p w14:paraId="52E1D3B1" w14:textId="77777777" w:rsidR="001E5885" w:rsidRDefault="00000000">
      <w:pPr>
        <w:spacing w:line="360" w:lineRule="auto"/>
        <w:ind w:firstLineChars="200" w:firstLine="440"/>
        <w:rPr>
          <w:bCs/>
          <w:sz w:val="22"/>
          <w:szCs w:val="20"/>
        </w:rPr>
      </w:pPr>
      <w:r>
        <w:rPr>
          <w:rFonts w:hint="eastAsia"/>
          <w:bCs/>
          <w:sz w:val="22"/>
          <w:szCs w:val="20"/>
        </w:rPr>
        <w:t>因地制宜与分类施策：针对不同退化类型（黑土滩、沙化、鼠害）和退化程度，制定差异化修复技术方案。</w:t>
      </w:r>
    </w:p>
    <w:p w14:paraId="73ED07BB" w14:textId="77777777" w:rsidR="001E5885" w:rsidRDefault="00000000">
      <w:pPr>
        <w:spacing w:line="360" w:lineRule="auto"/>
        <w:ind w:firstLineChars="200" w:firstLine="440"/>
        <w:rPr>
          <w:bCs/>
          <w:sz w:val="22"/>
          <w:szCs w:val="20"/>
        </w:rPr>
      </w:pPr>
      <w:r>
        <w:rPr>
          <w:rFonts w:hint="eastAsia"/>
          <w:bCs/>
          <w:sz w:val="22"/>
          <w:szCs w:val="20"/>
        </w:rPr>
        <w:t>乡土优先与生态安全：优先选用垂穗披碱草、冷地早熟禾、青海</w:t>
      </w:r>
      <w:r>
        <w:rPr>
          <w:rFonts w:hint="eastAsia"/>
          <w:bCs/>
          <w:sz w:val="22"/>
          <w:szCs w:val="20"/>
        </w:rPr>
        <w:t>444</w:t>
      </w:r>
      <w:r>
        <w:rPr>
          <w:rFonts w:hint="eastAsia"/>
          <w:bCs/>
          <w:sz w:val="22"/>
          <w:szCs w:val="20"/>
        </w:rPr>
        <w:t>燕麦等乡土草种，避免外来物种入侵风险。</w:t>
      </w:r>
    </w:p>
    <w:p w14:paraId="0A61B6DA" w14:textId="77777777" w:rsidR="001E5885" w:rsidRDefault="00000000">
      <w:pPr>
        <w:spacing w:line="360" w:lineRule="auto"/>
        <w:ind w:firstLineChars="200" w:firstLine="440"/>
        <w:rPr>
          <w:bCs/>
          <w:sz w:val="22"/>
          <w:szCs w:val="20"/>
        </w:rPr>
      </w:pPr>
      <w:r>
        <w:rPr>
          <w:rFonts w:hint="eastAsia"/>
          <w:bCs/>
          <w:sz w:val="22"/>
          <w:szCs w:val="20"/>
        </w:rPr>
        <w:t>生态效益与经济效益兼顾：在恢复生态功能的同时，兼顾牧民增收，推广草畜平衡与生态补偿机制。</w:t>
      </w:r>
    </w:p>
    <w:p w14:paraId="42F296D8" w14:textId="77777777" w:rsidR="001E5885" w:rsidRDefault="00000000">
      <w:pPr>
        <w:spacing w:line="360" w:lineRule="auto"/>
        <w:ind w:firstLineChars="200" w:firstLine="440"/>
        <w:rPr>
          <w:bCs/>
          <w:sz w:val="22"/>
          <w:szCs w:val="20"/>
        </w:rPr>
      </w:pPr>
      <w:r>
        <w:rPr>
          <w:rFonts w:hint="eastAsia"/>
          <w:bCs/>
          <w:sz w:val="22"/>
          <w:szCs w:val="20"/>
        </w:rPr>
        <w:t>与现有标准衔接：参考《退化草地改良技术规范高寒草地</w:t>
      </w:r>
      <w:r>
        <w:rPr>
          <w:rFonts w:hint="eastAsia"/>
          <w:bCs/>
          <w:sz w:val="22"/>
          <w:szCs w:val="20"/>
        </w:rPr>
        <w:t>NY/T4295-2023</w:t>
      </w:r>
      <w:r>
        <w:rPr>
          <w:rFonts w:hint="eastAsia"/>
          <w:bCs/>
          <w:sz w:val="22"/>
          <w:szCs w:val="20"/>
        </w:rPr>
        <w:t>》《退化草原生态修复实施方案编制规范</w:t>
      </w:r>
      <w:r>
        <w:rPr>
          <w:rFonts w:hint="eastAsia"/>
          <w:bCs/>
          <w:sz w:val="22"/>
          <w:szCs w:val="20"/>
        </w:rPr>
        <w:t>DB54/T0492-2025</w:t>
      </w:r>
      <w:r>
        <w:rPr>
          <w:rFonts w:hint="eastAsia"/>
          <w:bCs/>
          <w:sz w:val="22"/>
          <w:szCs w:val="20"/>
        </w:rPr>
        <w:t>》等国家标准和地方标准。</w:t>
      </w:r>
    </w:p>
    <w:p w14:paraId="2A46D5F2" w14:textId="77777777" w:rsidR="001E5885" w:rsidRDefault="00000000">
      <w:pPr>
        <w:pStyle w:val="2"/>
        <w:spacing w:before="0" w:after="0"/>
        <w:rPr>
          <w:rFonts w:ascii="宋体" w:hAnsi="宋体" w:hint="eastAsia"/>
          <w:sz w:val="16"/>
          <w:szCs w:val="16"/>
        </w:rPr>
      </w:pPr>
      <w:r>
        <w:rPr>
          <w:rFonts w:hint="eastAsia"/>
          <w:sz w:val="22"/>
          <w:szCs w:val="28"/>
        </w:rPr>
        <w:t>2</w:t>
      </w:r>
      <w:r>
        <w:rPr>
          <w:rFonts w:hint="eastAsia"/>
          <w:sz w:val="22"/>
          <w:szCs w:val="28"/>
        </w:rPr>
        <w:t>、主要技术内容确定的论据</w:t>
      </w:r>
      <w:bookmarkEnd w:id="6"/>
    </w:p>
    <w:p w14:paraId="7A8A7E00" w14:textId="77777777" w:rsidR="001E5885" w:rsidRDefault="00000000">
      <w:pPr>
        <w:spacing w:line="360" w:lineRule="auto"/>
        <w:ind w:left="480"/>
        <w:rPr>
          <w:b/>
          <w:color w:val="000000"/>
          <w:sz w:val="22"/>
          <w:szCs w:val="20"/>
        </w:rPr>
      </w:pPr>
      <w:r>
        <w:rPr>
          <w:b/>
          <w:color w:val="000000"/>
          <w:sz w:val="22"/>
          <w:szCs w:val="20"/>
        </w:rPr>
        <w:t>（</w:t>
      </w:r>
      <w:r>
        <w:rPr>
          <w:b/>
          <w:color w:val="000000"/>
          <w:sz w:val="22"/>
          <w:szCs w:val="20"/>
        </w:rPr>
        <w:t>1</w:t>
      </w:r>
      <w:r>
        <w:rPr>
          <w:b/>
          <w:color w:val="000000"/>
          <w:sz w:val="22"/>
          <w:szCs w:val="20"/>
        </w:rPr>
        <w:t>）</w:t>
      </w:r>
      <w:r>
        <w:rPr>
          <w:rFonts w:hint="eastAsia"/>
          <w:b/>
          <w:color w:val="000000"/>
          <w:sz w:val="22"/>
          <w:szCs w:val="20"/>
        </w:rPr>
        <w:t>适用范围</w:t>
      </w:r>
    </w:p>
    <w:p w14:paraId="161EA2FE" w14:textId="77777777" w:rsidR="001E5885" w:rsidRDefault="00000000">
      <w:pPr>
        <w:spacing w:line="360" w:lineRule="auto"/>
        <w:ind w:firstLineChars="200" w:firstLine="440"/>
        <w:rPr>
          <w:sz w:val="22"/>
          <w:szCs w:val="20"/>
        </w:rPr>
      </w:pPr>
      <w:r>
        <w:rPr>
          <w:rFonts w:hint="eastAsia"/>
          <w:sz w:val="22"/>
          <w:szCs w:val="20"/>
        </w:rPr>
        <w:t>本规程适用于那曲极高海拔高寒牧区，涵盖中度</w:t>
      </w:r>
      <w:r>
        <w:rPr>
          <w:rFonts w:hint="eastAsia"/>
          <w:sz w:val="22"/>
          <w:szCs w:val="20"/>
        </w:rPr>
        <w:t>/</w:t>
      </w:r>
      <w:r>
        <w:rPr>
          <w:rFonts w:hint="eastAsia"/>
          <w:sz w:val="22"/>
          <w:szCs w:val="20"/>
        </w:rPr>
        <w:t>极度退化草地、盐碱地、矿山损毁区生态修复工程，明确植被重建、补播建植、土壤改良、封禁管护等技术要求。</w:t>
      </w:r>
    </w:p>
    <w:p w14:paraId="17CCAAB6" w14:textId="77777777" w:rsidR="001E5885" w:rsidRDefault="00000000">
      <w:pPr>
        <w:spacing w:line="360" w:lineRule="auto"/>
        <w:ind w:left="480"/>
        <w:rPr>
          <w:b/>
          <w:color w:val="000000"/>
          <w:sz w:val="22"/>
          <w:szCs w:val="20"/>
        </w:rPr>
      </w:pPr>
      <w:r>
        <w:rPr>
          <w:rFonts w:hint="eastAsia"/>
          <w:b/>
          <w:color w:val="000000"/>
          <w:sz w:val="22"/>
          <w:szCs w:val="20"/>
        </w:rPr>
        <w:t>（</w:t>
      </w:r>
      <w:r>
        <w:rPr>
          <w:rFonts w:hint="eastAsia"/>
          <w:b/>
          <w:color w:val="000000"/>
          <w:sz w:val="22"/>
          <w:szCs w:val="20"/>
        </w:rPr>
        <w:t>2</w:t>
      </w:r>
      <w:r>
        <w:rPr>
          <w:rFonts w:hint="eastAsia"/>
          <w:b/>
          <w:color w:val="000000"/>
          <w:sz w:val="22"/>
          <w:szCs w:val="20"/>
        </w:rPr>
        <w:t>）主要技术内容：</w:t>
      </w:r>
    </w:p>
    <w:p w14:paraId="5AFBD69D" w14:textId="77777777" w:rsidR="001E5885" w:rsidRDefault="00000000">
      <w:pPr>
        <w:spacing w:line="360" w:lineRule="auto"/>
        <w:ind w:firstLineChars="200" w:firstLine="440"/>
        <w:rPr>
          <w:sz w:val="22"/>
          <w:szCs w:val="20"/>
        </w:rPr>
      </w:pPr>
      <w:r>
        <w:rPr>
          <w:rFonts w:hint="eastAsia"/>
          <w:sz w:val="22"/>
          <w:szCs w:val="20"/>
        </w:rPr>
        <w:t>退化草地修复选址要求无灌溉区年降水量≥</w:t>
      </w:r>
      <w:r>
        <w:rPr>
          <w:rFonts w:hint="eastAsia"/>
          <w:sz w:val="22"/>
          <w:szCs w:val="20"/>
        </w:rPr>
        <w:t>270mm</w:t>
      </w:r>
      <w:r>
        <w:rPr>
          <w:rFonts w:hint="eastAsia"/>
          <w:sz w:val="22"/>
          <w:szCs w:val="20"/>
        </w:rPr>
        <w:t>，干旱草原选低洼地、多沙区选背风段。选用不同当年生牧草与多年生牧草一定播种比例套种处理，种子达三级以上，播前清选、去芒、包衣。条播</w:t>
      </w:r>
      <w:r>
        <w:rPr>
          <w:rFonts w:hint="eastAsia"/>
          <w:sz w:val="22"/>
          <w:szCs w:val="20"/>
        </w:rPr>
        <w:t>/</w:t>
      </w:r>
      <w:r>
        <w:rPr>
          <w:rFonts w:hint="eastAsia"/>
          <w:sz w:val="22"/>
          <w:szCs w:val="20"/>
        </w:rPr>
        <w:t>撒播，行距</w:t>
      </w:r>
      <w:r>
        <w:rPr>
          <w:rFonts w:hint="eastAsia"/>
          <w:sz w:val="22"/>
          <w:szCs w:val="20"/>
        </w:rPr>
        <w:t>15</w:t>
      </w:r>
      <w:r>
        <w:rPr>
          <w:rFonts w:hint="eastAsia"/>
          <w:sz w:val="22"/>
          <w:szCs w:val="20"/>
        </w:rPr>
        <w:t>–</w:t>
      </w:r>
      <w:r>
        <w:rPr>
          <w:rFonts w:hint="eastAsia"/>
          <w:sz w:val="22"/>
          <w:szCs w:val="20"/>
        </w:rPr>
        <w:t>25cm</w:t>
      </w:r>
      <w:r>
        <w:rPr>
          <w:rFonts w:hint="eastAsia"/>
          <w:sz w:val="22"/>
          <w:szCs w:val="20"/>
        </w:rPr>
        <w:t>，大粒种子深</w:t>
      </w:r>
      <w:r>
        <w:rPr>
          <w:rFonts w:hint="eastAsia"/>
          <w:sz w:val="22"/>
          <w:szCs w:val="20"/>
        </w:rPr>
        <w:t>2</w:t>
      </w:r>
      <w:r>
        <w:rPr>
          <w:rFonts w:hint="eastAsia"/>
          <w:sz w:val="22"/>
          <w:szCs w:val="20"/>
        </w:rPr>
        <w:t>–</w:t>
      </w:r>
      <w:r>
        <w:rPr>
          <w:rFonts w:hint="eastAsia"/>
          <w:sz w:val="22"/>
          <w:szCs w:val="20"/>
        </w:rPr>
        <w:t>3cm</w:t>
      </w:r>
      <w:r>
        <w:rPr>
          <w:rFonts w:hint="eastAsia"/>
          <w:sz w:val="22"/>
          <w:szCs w:val="20"/>
        </w:rPr>
        <w:t>、小粒</w:t>
      </w:r>
      <w:r>
        <w:rPr>
          <w:rFonts w:hint="eastAsia"/>
          <w:sz w:val="22"/>
          <w:szCs w:val="20"/>
        </w:rPr>
        <w:t>0.5</w:t>
      </w:r>
      <w:r>
        <w:rPr>
          <w:rFonts w:hint="eastAsia"/>
          <w:sz w:val="22"/>
          <w:szCs w:val="20"/>
        </w:rPr>
        <w:t>–</w:t>
      </w:r>
      <w:r>
        <w:rPr>
          <w:rFonts w:hint="eastAsia"/>
          <w:sz w:val="22"/>
          <w:szCs w:val="20"/>
        </w:rPr>
        <w:t>1cm</w:t>
      </w:r>
      <w:r>
        <w:rPr>
          <w:rFonts w:hint="eastAsia"/>
          <w:sz w:val="22"/>
          <w:szCs w:val="20"/>
        </w:rPr>
        <w:t>，东部</w:t>
      </w:r>
      <w:r>
        <w:rPr>
          <w:rFonts w:hint="eastAsia"/>
          <w:sz w:val="22"/>
          <w:szCs w:val="20"/>
        </w:rPr>
        <w:t>4</w:t>
      </w:r>
      <w:r>
        <w:rPr>
          <w:rFonts w:hint="eastAsia"/>
          <w:sz w:val="22"/>
          <w:szCs w:val="20"/>
        </w:rPr>
        <w:t>月下旬、中西部</w:t>
      </w:r>
      <w:r>
        <w:rPr>
          <w:rFonts w:hint="eastAsia"/>
          <w:sz w:val="22"/>
          <w:szCs w:val="20"/>
        </w:rPr>
        <w:t>5</w:t>
      </w:r>
      <w:r>
        <w:rPr>
          <w:rFonts w:hint="eastAsia"/>
          <w:sz w:val="22"/>
          <w:szCs w:val="20"/>
        </w:rPr>
        <w:t>月下旬–</w:t>
      </w:r>
      <w:r>
        <w:rPr>
          <w:rFonts w:hint="eastAsia"/>
          <w:sz w:val="22"/>
          <w:szCs w:val="20"/>
        </w:rPr>
        <w:t>6</w:t>
      </w:r>
      <w:r>
        <w:rPr>
          <w:rFonts w:hint="eastAsia"/>
          <w:sz w:val="22"/>
          <w:szCs w:val="20"/>
        </w:rPr>
        <w:t>月中旬播种，覆盖无纺布保苗。当年禁牧，围栏封禁≥</w:t>
      </w:r>
      <w:r>
        <w:rPr>
          <w:rFonts w:hint="eastAsia"/>
          <w:sz w:val="22"/>
          <w:szCs w:val="20"/>
        </w:rPr>
        <w:t>2</w:t>
      </w:r>
      <w:r>
        <w:rPr>
          <w:rFonts w:hint="eastAsia"/>
          <w:sz w:val="22"/>
          <w:szCs w:val="20"/>
        </w:rPr>
        <w:t>年。</w:t>
      </w:r>
    </w:p>
    <w:p w14:paraId="5A045855" w14:textId="77777777" w:rsidR="001E5885" w:rsidRDefault="00000000">
      <w:pPr>
        <w:spacing w:line="360" w:lineRule="auto"/>
        <w:ind w:firstLineChars="200" w:firstLine="440"/>
        <w:rPr>
          <w:sz w:val="22"/>
          <w:szCs w:val="20"/>
        </w:rPr>
      </w:pPr>
      <w:r>
        <w:rPr>
          <w:rFonts w:hint="eastAsia"/>
          <w:sz w:val="22"/>
          <w:szCs w:val="20"/>
        </w:rPr>
        <w:t>盐碱地修复整地松土抑盐，增施有机肥（羊粪）改良土壤，选用耐盐碱草种，适当加大播种量，浅播覆盖保墒，苗期严格禁牧。</w:t>
      </w:r>
    </w:p>
    <w:p w14:paraId="0328358D" w14:textId="77777777" w:rsidR="001E5885" w:rsidRDefault="00000000">
      <w:pPr>
        <w:spacing w:line="360" w:lineRule="auto"/>
        <w:ind w:firstLineChars="200" w:firstLine="440"/>
        <w:rPr>
          <w:sz w:val="22"/>
          <w:szCs w:val="20"/>
        </w:rPr>
      </w:pPr>
      <w:r>
        <w:rPr>
          <w:rFonts w:hint="eastAsia"/>
          <w:sz w:val="22"/>
          <w:szCs w:val="20"/>
        </w:rPr>
        <w:t>矿山修复边坡整形、覆土≥</w:t>
      </w:r>
      <w:r>
        <w:rPr>
          <w:rFonts w:hint="eastAsia"/>
          <w:sz w:val="22"/>
          <w:szCs w:val="20"/>
        </w:rPr>
        <w:t>30cm</w:t>
      </w:r>
      <w:r>
        <w:rPr>
          <w:rFonts w:hint="eastAsia"/>
          <w:sz w:val="22"/>
          <w:szCs w:val="20"/>
        </w:rPr>
        <w:t>，重构土壤后用抗逆乡土草种混播，种子</w:t>
      </w:r>
      <w:r>
        <w:rPr>
          <w:rFonts w:hint="eastAsia"/>
          <w:sz w:val="22"/>
          <w:szCs w:val="20"/>
        </w:rPr>
        <w:t>+</w:t>
      </w:r>
      <w:r>
        <w:rPr>
          <w:rFonts w:hint="eastAsia"/>
          <w:sz w:val="22"/>
          <w:szCs w:val="20"/>
        </w:rPr>
        <w:t>无纺布防护，围栏禁牧≥</w:t>
      </w:r>
      <w:r>
        <w:rPr>
          <w:rFonts w:hint="eastAsia"/>
          <w:sz w:val="22"/>
          <w:szCs w:val="20"/>
        </w:rPr>
        <w:t>3</w:t>
      </w:r>
      <w:r>
        <w:rPr>
          <w:rFonts w:hint="eastAsia"/>
          <w:sz w:val="22"/>
          <w:szCs w:val="20"/>
        </w:rPr>
        <w:t>年，配套水土保持措施。</w:t>
      </w:r>
    </w:p>
    <w:p w14:paraId="5D984353" w14:textId="77777777" w:rsidR="001E5885" w:rsidRDefault="00000000">
      <w:pPr>
        <w:spacing w:line="360" w:lineRule="auto"/>
        <w:ind w:left="480"/>
        <w:rPr>
          <w:b/>
          <w:color w:val="000000"/>
          <w:sz w:val="22"/>
          <w:szCs w:val="20"/>
        </w:rPr>
      </w:pPr>
      <w:r>
        <w:rPr>
          <w:rFonts w:hint="eastAsia"/>
          <w:b/>
          <w:color w:val="000000"/>
          <w:sz w:val="22"/>
          <w:szCs w:val="20"/>
        </w:rPr>
        <w:t>（</w:t>
      </w:r>
      <w:r>
        <w:rPr>
          <w:rFonts w:hint="eastAsia"/>
          <w:b/>
          <w:color w:val="000000"/>
          <w:sz w:val="22"/>
          <w:szCs w:val="20"/>
        </w:rPr>
        <w:t>3</w:t>
      </w:r>
      <w:r>
        <w:rPr>
          <w:rFonts w:hint="eastAsia"/>
          <w:b/>
          <w:color w:val="000000"/>
          <w:sz w:val="22"/>
          <w:szCs w:val="20"/>
        </w:rPr>
        <w:t>）试验设计与实施</w:t>
      </w:r>
    </w:p>
    <w:p w14:paraId="600364B7" w14:textId="77777777" w:rsidR="001E5885" w:rsidRDefault="00000000">
      <w:pPr>
        <w:pStyle w:val="a6"/>
        <w:spacing w:line="360" w:lineRule="auto"/>
        <w:ind w:firstLineChars="200" w:firstLine="440"/>
        <w:rPr>
          <w:rFonts w:hint="eastAsia"/>
          <w:sz w:val="22"/>
          <w:szCs w:val="20"/>
          <w:lang w:val="en-US" w:eastAsia="zh-CN" w:bidi="ar-SA"/>
        </w:rPr>
      </w:pPr>
      <w:bookmarkStart w:id="7" w:name="_Toc23255"/>
      <w:r>
        <w:rPr>
          <w:rFonts w:hint="eastAsia"/>
          <w:sz w:val="22"/>
          <w:szCs w:val="20"/>
          <w:lang w:val="en-US" w:eastAsia="zh-CN" w:bidi="ar-SA"/>
        </w:rPr>
        <w:sym w:font="Wingdings" w:char="F081"/>
      </w:r>
      <w:r>
        <w:rPr>
          <w:rFonts w:hint="eastAsia"/>
          <w:sz w:val="22"/>
          <w:szCs w:val="20"/>
          <w:lang w:val="en-US" w:eastAsia="zh-CN" w:bidi="ar-SA"/>
        </w:rPr>
        <w:t>适应性牧草品种筛选</w:t>
      </w:r>
      <w:bookmarkEnd w:id="7"/>
    </w:p>
    <w:p w14:paraId="548CE673" w14:textId="77777777" w:rsidR="001E5885" w:rsidRDefault="00000000">
      <w:pPr>
        <w:pStyle w:val="a6"/>
        <w:spacing w:line="360" w:lineRule="auto"/>
        <w:ind w:firstLineChars="200" w:firstLine="440"/>
        <w:rPr>
          <w:rFonts w:hint="eastAsia"/>
          <w:sz w:val="22"/>
          <w:szCs w:val="20"/>
          <w:lang w:val="en-US" w:eastAsia="zh-CN" w:bidi="ar-SA"/>
        </w:rPr>
      </w:pPr>
      <w:r>
        <w:rPr>
          <w:rFonts w:hint="eastAsia"/>
          <w:sz w:val="22"/>
          <w:szCs w:val="20"/>
          <w:lang w:val="en-US" w:eastAsia="zh-CN" w:bidi="ar-SA"/>
        </w:rPr>
        <w:t>收集引进50余个牧草品种，在那曲进行了区域适应性试验。</w:t>
      </w:r>
    </w:p>
    <w:p w14:paraId="268363F5" w14:textId="77777777" w:rsidR="001E5885" w:rsidRDefault="00000000">
      <w:pPr>
        <w:pStyle w:val="a6"/>
        <w:spacing w:line="360" w:lineRule="auto"/>
        <w:ind w:firstLineChars="200" w:firstLine="440"/>
        <w:rPr>
          <w:rFonts w:hint="eastAsia"/>
          <w:sz w:val="22"/>
          <w:szCs w:val="20"/>
          <w:lang w:val="en-US" w:eastAsia="zh-CN" w:bidi="ar-SA"/>
        </w:rPr>
      </w:pPr>
      <w:r>
        <w:rPr>
          <w:rFonts w:hint="eastAsia"/>
          <w:sz w:val="22"/>
          <w:szCs w:val="20"/>
          <w:lang w:val="en-US" w:eastAsia="zh-CN" w:bidi="ar-SA"/>
        </w:rPr>
        <w:t>在那曲中东西区域3进行了适应性栽培试验研究。在尼玛县开展不同播量、不同施肥品种组合处理470个，在色尼区产业科技园区试验大田适应品种展示处理20个品种，东部巴青栽培28个品种试验处理90个。</w:t>
      </w:r>
    </w:p>
    <w:p w14:paraId="1BBF1206" w14:textId="77777777" w:rsidR="001E5885" w:rsidRDefault="00000000">
      <w:pPr>
        <w:pStyle w:val="a6"/>
        <w:spacing w:line="360" w:lineRule="auto"/>
        <w:ind w:firstLineChars="200" w:firstLine="440"/>
        <w:rPr>
          <w:rFonts w:hint="eastAsia"/>
          <w:sz w:val="22"/>
          <w:szCs w:val="20"/>
          <w:lang w:val="en-US" w:eastAsia="zh-CN" w:bidi="ar-SA"/>
        </w:rPr>
      </w:pPr>
      <w:r>
        <w:rPr>
          <w:rFonts w:hint="eastAsia"/>
          <w:sz w:val="22"/>
          <w:szCs w:val="20"/>
          <w:lang w:val="en-US" w:eastAsia="zh-CN" w:bidi="ar-SA"/>
        </w:rPr>
        <w:t>通过对牧草的生长速度、产量、抗逆性等指标的评价，筛选出了垂穗披碱草、青海草地早熟禾、冷地早熟禾、沙生冰草、同德小花碱茅、老芒麦、星星草等生态适应牧草品种12个，修复应用优势品种5个、尼玛赖草、安多梭罗草、芨芨草等乡土牧草品种4个。</w:t>
      </w:r>
    </w:p>
    <w:p w14:paraId="145C8EED" w14:textId="77777777" w:rsidR="001E5885" w:rsidRDefault="00000000">
      <w:pPr>
        <w:pStyle w:val="a6"/>
        <w:spacing w:line="360" w:lineRule="auto"/>
        <w:ind w:firstLineChars="200" w:firstLine="440"/>
        <w:rPr>
          <w:rFonts w:hint="eastAsia"/>
          <w:sz w:val="22"/>
          <w:szCs w:val="20"/>
          <w:lang w:val="en-US" w:eastAsia="zh-CN" w:bidi="ar-SA"/>
        </w:rPr>
      </w:pPr>
      <w:bookmarkStart w:id="8" w:name="_Toc28367"/>
      <w:r>
        <w:rPr>
          <w:rFonts w:hint="eastAsia"/>
          <w:sz w:val="22"/>
          <w:szCs w:val="20"/>
          <w:lang w:val="en-US" w:eastAsia="zh-CN" w:bidi="ar-SA"/>
        </w:rPr>
        <w:sym w:font="Wingdings" w:char="F082"/>
      </w:r>
      <w:r>
        <w:rPr>
          <w:rFonts w:hint="eastAsia"/>
          <w:sz w:val="22"/>
          <w:szCs w:val="20"/>
          <w:lang w:val="en-US" w:eastAsia="zh-CN" w:bidi="ar-SA"/>
        </w:rPr>
        <w:t>高寒草地提质增效关键技术研究</w:t>
      </w:r>
      <w:bookmarkEnd w:id="8"/>
    </w:p>
    <w:p w14:paraId="46719462" w14:textId="77777777" w:rsidR="001E5885" w:rsidRDefault="00000000">
      <w:pPr>
        <w:pStyle w:val="a6"/>
        <w:spacing w:line="360" w:lineRule="auto"/>
        <w:ind w:firstLineChars="200" w:firstLine="440"/>
        <w:rPr>
          <w:rFonts w:hint="eastAsia"/>
          <w:sz w:val="22"/>
          <w:szCs w:val="20"/>
          <w:lang w:val="en-US" w:eastAsia="zh-CN" w:bidi="ar-SA"/>
        </w:rPr>
      </w:pPr>
      <w:r>
        <w:rPr>
          <w:rFonts w:hint="eastAsia"/>
          <w:sz w:val="22"/>
          <w:szCs w:val="20"/>
          <w:lang w:val="en-US" w:eastAsia="zh-CN" w:bidi="ar-SA"/>
        </w:rPr>
        <w:t>多年生牧草混播重建技术。不同牧草品种在生长特性、养分需求等方面存在差异，混播后可以充分利用土地、光照、水分等资源，实现优势互补、提高整体的产量和生态效益。采取土壤深耕、浅耕测土配方施肥、适时播种、灌溉等处理。研究了以披碱草+草地早熟禾+冷地早熟禾+星星草等按一定播种比例进行混播重建草地的稳定性和影响力，确定最佳混播比例和重建技术。</w:t>
      </w:r>
    </w:p>
    <w:p w14:paraId="11E03930" w14:textId="77777777" w:rsidR="001E5885" w:rsidRDefault="00000000">
      <w:pPr>
        <w:pStyle w:val="a6"/>
        <w:spacing w:line="360" w:lineRule="auto"/>
        <w:ind w:firstLineChars="200" w:firstLine="440"/>
        <w:rPr>
          <w:rFonts w:hint="eastAsia"/>
          <w:sz w:val="22"/>
          <w:szCs w:val="20"/>
          <w:lang w:val="en-US" w:eastAsia="zh-CN" w:bidi="ar-SA"/>
        </w:rPr>
      </w:pPr>
      <w:r>
        <w:rPr>
          <w:rFonts w:hint="eastAsia"/>
          <w:sz w:val="22"/>
          <w:szCs w:val="20"/>
          <w:lang w:val="en-US" w:eastAsia="zh-CN" w:bidi="ar-SA"/>
        </w:rPr>
        <w:t>多年生牧草保护型套种重建技术。多年生牧草保护型套种人工草地建植，针对那曲降水量低、蒸发量高、牧草生育期短，采用适宜那曲生态牧草品种与当年生牧草品种一定比例混播种植，可有效防止土壤水分的快速蒸发，促进多年生牧草复壮和越冬保护作用，有助于植被群落的组成。在藏北那曲保护型套种是以生产生态有机结合提高多年生牧草越冬和生产能力，采取适宜生态修复多年生牧草品种与当年生牧草品种保护型套种，以生态建设、修复重建，实现收获当年生牧草、多复壮保护年生牧草，及其生产生态协同发展为目标的重要措施。根据高寒草原区降水量低、蒸发量高、土壤保墒能力差、灌溉成本高等实际，采取先锋种与多年生牧草混播，实现保墒保水促进多年生牧草充分吸收养分和安全越冬。通过翻耕整地、测土配方施肥、适时播种、田间管理、科学放牧利用等措施，研究了不同当年生牧草与多年生牧草一定播种比例套种处理，如燕麦+（披碱草+早熟禾+碱茅）、饲用小油菜+（披碱草+早熟禾+碱茅）、黑麦草+（披碱草+早熟禾+碱茅）对重建草地的影响，确定了最佳混播比列和种植处理技术。</w:t>
      </w:r>
    </w:p>
    <w:p w14:paraId="10939D28" w14:textId="77777777" w:rsidR="001E5885" w:rsidRDefault="00000000">
      <w:pPr>
        <w:pStyle w:val="a6"/>
        <w:spacing w:line="360" w:lineRule="auto"/>
        <w:ind w:firstLineChars="200" w:firstLine="440"/>
        <w:rPr>
          <w:rFonts w:hint="eastAsia"/>
          <w:sz w:val="22"/>
          <w:szCs w:val="20"/>
          <w:lang w:val="en-US" w:eastAsia="zh-CN" w:bidi="ar-SA"/>
        </w:rPr>
      </w:pPr>
      <w:r>
        <w:rPr>
          <w:rFonts w:hint="eastAsia"/>
          <w:sz w:val="22"/>
          <w:szCs w:val="20"/>
          <w:lang w:val="en-US" w:eastAsia="zh-CN" w:bidi="ar-SA"/>
        </w:rPr>
        <w:t>混播建植促进人工草地改良土壤及生产力提升技术。当年生生产过程中大量的根系和地上部分凋落物丰富能够增加土壤有机质含量，改善土壤结构，提高土壤肥力，豆科牧草混播能够促进固氮和禾本科牧草提供养分。通过翻耕整地、测土配方施肥、适时播种、田间管理等研究了禾+豆+油菜一定播种比例混播处理，如燕麦+箭筈豌豆+饲用油菜混播对草地生产力的影响，确定了最佳播种量和适时时间，提高了草地草地生产力和土壤肥力。</w:t>
      </w:r>
    </w:p>
    <w:p w14:paraId="1B722D9B" w14:textId="77777777" w:rsidR="001E5885" w:rsidRDefault="00000000">
      <w:pPr>
        <w:pStyle w:val="a6"/>
        <w:spacing w:line="360" w:lineRule="auto"/>
        <w:ind w:firstLineChars="200" w:firstLine="440"/>
        <w:rPr>
          <w:rFonts w:hint="eastAsia"/>
          <w:sz w:val="22"/>
          <w:szCs w:val="20"/>
          <w:lang w:val="en-US" w:eastAsia="zh-CN" w:bidi="ar-SA"/>
        </w:rPr>
      </w:pPr>
      <w:r>
        <w:rPr>
          <w:rFonts w:hint="eastAsia"/>
          <w:sz w:val="22"/>
          <w:szCs w:val="20"/>
          <w:lang w:val="en-US" w:eastAsia="zh-CN" w:bidi="ar-SA"/>
        </w:rPr>
        <w:t>天然草地施肥处理改良提升技术。以天然草地原始植被改良提升，补充牧草所需养分、改善土壤结构、提高草地生产力，根据尼玛县降水量低、蒸发量高、大风时间长等特点，以及草地土壤养分的需求量，以赖草为主草地采用免耕种肥一体机按量进划破表土等草地改良技术，提高了草地生产力和土壤肥力。</w:t>
      </w:r>
    </w:p>
    <w:p w14:paraId="1FDACF12" w14:textId="77777777" w:rsidR="001E5885" w:rsidRDefault="00000000">
      <w:pPr>
        <w:pStyle w:val="a6"/>
        <w:spacing w:line="360" w:lineRule="auto"/>
        <w:ind w:firstLineChars="200" w:firstLine="440"/>
        <w:rPr>
          <w:rFonts w:hint="eastAsia"/>
        </w:rPr>
      </w:pPr>
      <w:r>
        <w:rPr>
          <w:rFonts w:hint="eastAsia"/>
          <w:sz w:val="22"/>
          <w:szCs w:val="20"/>
          <w:lang w:val="en-US" w:eastAsia="zh-CN" w:bidi="ar-SA"/>
        </w:rPr>
        <w:t>实施成效：2023年尼玛县万亩饲草基地打造为全市草地生态修复科研示范基地，共有10672亩，其中草地修复重建区5287亩、近自然修复观测区1973亩、草地免耕修复区3412亩。期间重点完成了以下内容：一是开展区域适应性牧草品种筛选试验研究，以垂穗披碱草、青海草地早熟禾、冷地早熟禾、沙生冰草、同德小花碱茅、老芒麦、星星草、青海中华羊茅、高羊茅等20种生态牧草品种以及尼玛赖草、安多梭罗草、芨芨草等5种乡土牧草品种为主，开展不同播量、不同施肥品种组合处理470个，混播适宜生态修复牧草品种12种，筛选应用优势牧草品种5种，大田多年生混播牧草保护性套种处理3组，人工草地土壤改良及生态功能与生产力提升建设混播处理2组。二是以草地早熟禾、星星草、披碱草为主完成生态修复重建3113亩，采取不同比例套种组合处理3个，通过不同处理牧草地上地下生物量观测，保护型套种能够有效提高多年生牧草地下生物量，促进根系入土和大量生长。三是以燕麦、饲用油菜为主完成人工草地生态功能与生产力、土壤改良和地力提升建设1640亩，为下一步乡土牧草品种繁育及多年生放牧刈割型草地建设提供较好的土壤条件。四是以藏北赖草为主，通过不同施肥处理修复1000亩，植被盖度由原来的11%提高到45%，菌肥、发酵有机肥等不同施肥量试验处理23个，研究筛选适宜牧草生长最佳施肥技术；五是通过开展多年生牧草植被重建、原始植被施肥修复等措施，生态修复成效明显，生态修复区生态向持续恢复的方向发展，草地植被呈逐步复壮状态。多年生牧草混播重建草地牧草长势较好，植被盖度达到78%以上，牧草产量达到320kg以上，形成了以早熟禾、披碱草、碱茅为主的放牧刈割型多年生草地；天然草地施肥增效提升改良修复区，草地植被恢复较好，植被盖度提高了35%以上。</w:t>
      </w:r>
    </w:p>
    <w:p w14:paraId="52005B57" w14:textId="77777777" w:rsidR="001E5885" w:rsidRDefault="00000000">
      <w:pPr>
        <w:spacing w:line="360" w:lineRule="auto"/>
        <w:ind w:left="480"/>
        <w:rPr>
          <w:b/>
          <w:color w:val="000000"/>
          <w:sz w:val="22"/>
          <w:szCs w:val="20"/>
        </w:rPr>
      </w:pPr>
      <w:r>
        <w:rPr>
          <w:b/>
          <w:color w:val="000000"/>
          <w:sz w:val="22"/>
          <w:szCs w:val="20"/>
        </w:rPr>
        <w:t>（</w:t>
      </w:r>
      <w:r>
        <w:rPr>
          <w:rFonts w:hint="eastAsia"/>
          <w:b/>
          <w:color w:val="000000"/>
          <w:sz w:val="22"/>
          <w:szCs w:val="20"/>
        </w:rPr>
        <w:t>4</w:t>
      </w:r>
      <w:r>
        <w:rPr>
          <w:b/>
          <w:color w:val="000000"/>
          <w:sz w:val="22"/>
          <w:szCs w:val="20"/>
        </w:rPr>
        <w:t>）</w:t>
      </w:r>
      <w:r>
        <w:rPr>
          <w:rFonts w:hint="eastAsia"/>
          <w:b/>
          <w:color w:val="000000"/>
          <w:sz w:val="22"/>
          <w:szCs w:val="20"/>
        </w:rPr>
        <w:t>规范性引用文件</w:t>
      </w:r>
    </w:p>
    <w:p w14:paraId="55C92089" w14:textId="77777777" w:rsidR="001E5885" w:rsidRDefault="00000000">
      <w:pPr>
        <w:spacing w:line="360" w:lineRule="auto"/>
        <w:ind w:firstLineChars="200" w:firstLine="440"/>
        <w:rPr>
          <w:sz w:val="22"/>
          <w:szCs w:val="20"/>
        </w:rPr>
      </w:pPr>
      <w:bookmarkStart w:id="9" w:name="_bookmark3"/>
      <w:bookmarkStart w:id="10" w:name="3_术语和定义"/>
      <w:bookmarkEnd w:id="9"/>
      <w:bookmarkEnd w:id="10"/>
      <w:r>
        <w:rPr>
          <w:rFonts w:hint="eastAsia"/>
          <w:sz w:val="22"/>
          <w:szCs w:val="20"/>
        </w:rPr>
        <w:t>下列文件对于本文件的应用是必不可少的。凡是注日期的引用文件，仅所注日期的版本适用于本文件。</w:t>
      </w:r>
    </w:p>
    <w:p w14:paraId="417BE61B" w14:textId="77777777" w:rsidR="001E5885" w:rsidRDefault="00000000">
      <w:pPr>
        <w:spacing w:line="360" w:lineRule="auto"/>
        <w:ind w:firstLineChars="200" w:firstLine="440"/>
        <w:rPr>
          <w:sz w:val="22"/>
          <w:szCs w:val="20"/>
        </w:rPr>
      </w:pPr>
      <w:r>
        <w:rPr>
          <w:rFonts w:hint="eastAsia"/>
          <w:sz w:val="22"/>
          <w:szCs w:val="20"/>
        </w:rPr>
        <w:t>凡是不注日期的引用文件，其最新版本（包括所有的修改单）适用于本文件。</w:t>
      </w:r>
    </w:p>
    <w:p w14:paraId="4B1591A9" w14:textId="77777777" w:rsidR="001E5885" w:rsidRDefault="00000000">
      <w:pPr>
        <w:spacing w:line="360" w:lineRule="auto"/>
        <w:ind w:firstLineChars="200" w:firstLine="440"/>
        <w:rPr>
          <w:sz w:val="22"/>
          <w:szCs w:val="20"/>
        </w:rPr>
      </w:pPr>
      <w:r>
        <w:rPr>
          <w:rFonts w:hint="eastAsia"/>
          <w:sz w:val="22"/>
          <w:szCs w:val="20"/>
        </w:rPr>
        <w:t xml:space="preserve">GGB 6142  </w:t>
      </w:r>
      <w:r>
        <w:rPr>
          <w:rFonts w:hint="eastAsia"/>
          <w:sz w:val="22"/>
          <w:szCs w:val="20"/>
        </w:rPr>
        <w:t>禾本科牧草种子质量分级</w:t>
      </w:r>
    </w:p>
    <w:p w14:paraId="779B8D17" w14:textId="77777777" w:rsidR="001E5885" w:rsidRDefault="00000000">
      <w:pPr>
        <w:spacing w:line="360" w:lineRule="auto"/>
        <w:ind w:firstLineChars="200" w:firstLine="440"/>
        <w:rPr>
          <w:sz w:val="22"/>
          <w:szCs w:val="20"/>
        </w:rPr>
      </w:pPr>
      <w:r>
        <w:rPr>
          <w:rFonts w:hint="eastAsia"/>
          <w:sz w:val="22"/>
          <w:szCs w:val="20"/>
        </w:rPr>
        <w:t xml:space="preserve">GB/T 2930.10  </w:t>
      </w:r>
      <w:r>
        <w:rPr>
          <w:rFonts w:hint="eastAsia"/>
          <w:sz w:val="22"/>
          <w:szCs w:val="20"/>
        </w:rPr>
        <w:t>牧草种子检验规程包衣种子测定</w:t>
      </w:r>
    </w:p>
    <w:p w14:paraId="5B4836A6" w14:textId="77777777" w:rsidR="001E5885" w:rsidRDefault="00000000">
      <w:pPr>
        <w:spacing w:line="360" w:lineRule="auto"/>
        <w:ind w:firstLineChars="200" w:firstLine="440"/>
        <w:rPr>
          <w:sz w:val="22"/>
          <w:szCs w:val="20"/>
        </w:rPr>
      </w:pPr>
      <w:r>
        <w:rPr>
          <w:rFonts w:hint="eastAsia"/>
          <w:sz w:val="22"/>
          <w:szCs w:val="20"/>
        </w:rPr>
        <w:t xml:space="preserve">NY/T 1237  </w:t>
      </w:r>
      <w:r>
        <w:rPr>
          <w:rFonts w:hint="eastAsia"/>
          <w:sz w:val="22"/>
          <w:szCs w:val="20"/>
        </w:rPr>
        <w:t>草原围栏建设技术规程</w:t>
      </w:r>
    </w:p>
    <w:p w14:paraId="58D86C9D" w14:textId="77777777" w:rsidR="001E5885" w:rsidRDefault="00000000">
      <w:pPr>
        <w:spacing w:line="360" w:lineRule="auto"/>
        <w:ind w:firstLineChars="200" w:firstLine="442"/>
        <w:rPr>
          <w:b/>
          <w:bCs/>
          <w:sz w:val="22"/>
          <w:szCs w:val="20"/>
        </w:rPr>
      </w:pPr>
      <w:r>
        <w:rPr>
          <w:rFonts w:hint="eastAsia"/>
          <w:b/>
          <w:bCs/>
          <w:sz w:val="22"/>
          <w:szCs w:val="20"/>
        </w:rPr>
        <w:t>（</w:t>
      </w:r>
      <w:r>
        <w:rPr>
          <w:rFonts w:hint="eastAsia"/>
          <w:b/>
          <w:bCs/>
          <w:sz w:val="22"/>
          <w:szCs w:val="20"/>
        </w:rPr>
        <w:t>5</w:t>
      </w:r>
      <w:r>
        <w:rPr>
          <w:rFonts w:hint="eastAsia"/>
          <w:b/>
          <w:bCs/>
          <w:sz w:val="22"/>
          <w:szCs w:val="20"/>
        </w:rPr>
        <w:t>）术语与定义</w:t>
      </w:r>
    </w:p>
    <w:p w14:paraId="01CBB78E" w14:textId="77777777" w:rsidR="001E5885" w:rsidRDefault="00000000">
      <w:pPr>
        <w:spacing w:line="360" w:lineRule="auto"/>
        <w:ind w:firstLineChars="200" w:firstLine="440"/>
        <w:rPr>
          <w:sz w:val="22"/>
          <w:szCs w:val="20"/>
        </w:rPr>
      </w:pPr>
      <w:r>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草地退化、中度退化草地、高寒牧区天然草地、补播”，并给出相应定义。</w:t>
      </w:r>
    </w:p>
    <w:p w14:paraId="7F4D6101" w14:textId="77777777" w:rsidR="001E5885" w:rsidRDefault="00000000">
      <w:pPr>
        <w:pStyle w:val="af5"/>
        <w:spacing w:line="360" w:lineRule="auto"/>
        <w:ind w:left="480" w:firstLineChars="0" w:firstLine="0"/>
        <w:rPr>
          <w:b/>
          <w:bCs/>
          <w:sz w:val="22"/>
          <w:szCs w:val="20"/>
        </w:rPr>
      </w:pPr>
      <w:r>
        <w:rPr>
          <w:rFonts w:ascii="宋体" w:hAnsi="宋体" w:cs="黑体" w:hint="eastAsia"/>
          <w:b/>
          <w:bCs/>
          <w:kern w:val="0"/>
          <w:sz w:val="22"/>
          <w:szCs w:val="20"/>
        </w:rPr>
        <w:t>（6）主要</w:t>
      </w:r>
      <w:r>
        <w:rPr>
          <w:rFonts w:hint="eastAsia"/>
          <w:b/>
          <w:bCs/>
          <w:sz w:val="22"/>
          <w:szCs w:val="20"/>
        </w:rPr>
        <w:t>技术指标确定的依据</w:t>
      </w:r>
    </w:p>
    <w:p w14:paraId="7B525C44"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本技术规程起草单位为：那曲市农牧业（草业）科技研究推广中心、中国农业科学院农业环境与可持续发展研究所、西藏宝弘农牧科技有限责任公司。</w:t>
      </w:r>
    </w:p>
    <w:p w14:paraId="569714FF" w14:textId="77777777" w:rsidR="001E5885" w:rsidRDefault="00000000">
      <w:pPr>
        <w:spacing w:line="360" w:lineRule="auto"/>
        <w:ind w:firstLineChars="200" w:firstLine="440"/>
        <w:rPr>
          <w:rFonts w:ascii="宋体" w:hAnsi="宋体" w:cs="黑体" w:hint="eastAsia"/>
          <w:kern w:val="0"/>
          <w:sz w:val="22"/>
          <w:szCs w:val="20"/>
        </w:rPr>
      </w:pPr>
      <w:bookmarkStart w:id="11" w:name="_Toc24390"/>
      <w:r>
        <w:rPr>
          <w:rFonts w:ascii="宋体" w:hAnsi="宋体" w:cs="黑体" w:hint="eastAsia"/>
          <w:kern w:val="0"/>
          <w:sz w:val="22"/>
          <w:szCs w:val="20"/>
        </w:rPr>
        <w:sym w:font="Wingdings" w:char="F081"/>
      </w:r>
      <w:r>
        <w:rPr>
          <w:rFonts w:ascii="宋体" w:hAnsi="宋体" w:cs="黑体" w:hint="eastAsia"/>
          <w:kern w:val="0"/>
          <w:sz w:val="22"/>
          <w:szCs w:val="20"/>
        </w:rPr>
        <w:t>建植技术</w:t>
      </w:r>
      <w:bookmarkEnd w:id="11"/>
    </w:p>
    <w:p w14:paraId="1D1A6124"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地段选择</w:t>
      </w:r>
      <w:bookmarkStart w:id="12" w:name="_bookmark6"/>
      <w:bookmarkStart w:id="13" w:name="4.2_地形选择"/>
      <w:bookmarkEnd w:id="12"/>
      <w:bookmarkEnd w:id="13"/>
      <w:r>
        <w:rPr>
          <w:rFonts w:ascii="宋体" w:hAnsi="宋体" w:cs="黑体" w:hint="eastAsia"/>
          <w:kern w:val="0"/>
          <w:sz w:val="22"/>
          <w:szCs w:val="20"/>
        </w:rPr>
        <w:t>：选择补播地段应充分考虑当地的植被类型、降水量、地形和土壤条件等。在缺少灌溉条件的地区至少应有270毫米以上的降水量；干旱草原地区，一般可选择地势稍低的地方；多沙地区，可以选择背风地段。</w:t>
      </w:r>
    </w:p>
    <w:p w14:paraId="4D5A9F94"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草种选择：垂穗披碱草、老芒麦、青海草地早熟禾、碱茅、扁穗冰草、同德小花碱茅等优良牧草品种</w:t>
      </w:r>
      <w:bookmarkStart w:id="14" w:name="4.2.2_种子质量"/>
      <w:bookmarkEnd w:id="14"/>
      <w:r>
        <w:rPr>
          <w:rFonts w:ascii="宋体" w:hAnsi="宋体" w:cs="黑体" w:hint="eastAsia"/>
          <w:kern w:val="0"/>
          <w:sz w:val="22"/>
          <w:szCs w:val="20"/>
        </w:rPr>
        <w:t>。</w:t>
      </w:r>
    </w:p>
    <w:p w14:paraId="4AA6D1EB"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种子质量</w:t>
      </w:r>
      <w:bookmarkStart w:id="15" w:name="4.2.3_种子处理"/>
      <w:bookmarkEnd w:id="15"/>
      <w:r>
        <w:rPr>
          <w:rFonts w:ascii="宋体" w:hAnsi="宋体" w:cs="黑体" w:hint="eastAsia"/>
          <w:kern w:val="0"/>
          <w:sz w:val="22"/>
          <w:szCs w:val="20"/>
        </w:rPr>
        <w:t>：种子质量要求达到GB 6142标准的三级以上。</w:t>
      </w:r>
    </w:p>
    <w:p w14:paraId="7AB6FF39"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 xml:space="preserve"> 种子处理：播种前通常要对牧草种子进行清选、去芒、浸种，补播前应用脱芒机进行去芒。为防止种子防止鸟类采食防止风带走，尽可能选择包衣种子，包衣方法参考GB/T 2930.10。</w:t>
      </w:r>
    </w:p>
    <w:p w14:paraId="224B7530"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草种组合：根据利用目标，选用不同草种混播组合，如放牧刈割型草地选择“垂穗披肩草+青海草地早熟禾+同德小花碱”。燕麦+（披碱草+早熟禾+碱茅）、饲用小油菜+（披碱草+早熟禾+碱茅）、黑麦草+（披碱草+早熟禾+碱茅）</w:t>
      </w:r>
    </w:p>
    <w:p w14:paraId="63906F9C"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sym w:font="Wingdings" w:char="F082"/>
      </w:r>
      <w:bookmarkStart w:id="16" w:name="4.3.2_播种量"/>
      <w:bookmarkEnd w:id="16"/>
      <w:r>
        <w:rPr>
          <w:rFonts w:ascii="宋体" w:hAnsi="宋体" w:cs="黑体" w:hint="eastAsia"/>
          <w:kern w:val="0"/>
          <w:sz w:val="22"/>
          <w:szCs w:val="20"/>
        </w:rPr>
        <w:t>播种方法</w:t>
      </w:r>
    </w:p>
    <w:p w14:paraId="00AC0098"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根据地势情况，采用机械操作、条播及撒播方式进行播种，行距在15-25cm，大粒牧草种子如垂穗披碱草种植深度在2-3cm小粒种子种植深度在0.5-1cm。</w:t>
      </w:r>
    </w:p>
    <w:p w14:paraId="565AE6AB"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播种量：主要补播品种选择有垂穗披碱草、老芒麦、青海草地早熟禾、扁穗冰草、同德小花碱茅等，其单播播种量分别为3.5 kg/亩、3.5 kg/亩、3.0kg/亩、3.5 kg/亩、3.5kg/亩。</w:t>
      </w:r>
    </w:p>
    <w:p w14:paraId="41987057" w14:textId="77777777" w:rsidR="001E5885" w:rsidRDefault="00000000">
      <w:pPr>
        <w:spacing w:line="360" w:lineRule="auto"/>
        <w:ind w:firstLineChars="200" w:firstLine="440"/>
        <w:rPr>
          <w:rFonts w:ascii="宋体" w:hAnsi="宋体" w:cs="黑体" w:hint="eastAsia"/>
          <w:kern w:val="0"/>
          <w:sz w:val="22"/>
          <w:szCs w:val="20"/>
        </w:rPr>
      </w:pPr>
      <w:bookmarkStart w:id="17" w:name="4.3.4_加覆盖物"/>
      <w:bookmarkEnd w:id="17"/>
      <w:r>
        <w:rPr>
          <w:rFonts w:ascii="宋体" w:hAnsi="宋体" w:cs="黑体" w:hint="eastAsia"/>
          <w:kern w:val="0"/>
          <w:sz w:val="22"/>
          <w:szCs w:val="20"/>
        </w:rPr>
        <w:t>播种期：根据区域牧草返青情况，东部适宜在4月20日-30日期间进行，中西部适宜在5月20日-6月15日之间进行。</w:t>
      </w:r>
    </w:p>
    <w:p w14:paraId="36CC8090" w14:textId="77777777" w:rsidR="001E5885" w:rsidRDefault="00000000">
      <w:pPr>
        <w:spacing w:line="360" w:lineRule="auto"/>
        <w:ind w:firstLineChars="200" w:firstLine="440"/>
        <w:rPr>
          <w:rFonts w:ascii="宋体" w:hAnsi="宋体" w:cs="黑体" w:hint="eastAsia"/>
          <w:kern w:val="0"/>
          <w:sz w:val="22"/>
          <w:szCs w:val="20"/>
        </w:rPr>
      </w:pPr>
      <w:bookmarkStart w:id="18" w:name="_bookmark8"/>
      <w:bookmarkStart w:id="19" w:name="4.4_播后管理"/>
      <w:bookmarkEnd w:id="18"/>
      <w:bookmarkEnd w:id="19"/>
      <w:r>
        <w:rPr>
          <w:rFonts w:ascii="宋体" w:hAnsi="宋体" w:cs="黑体" w:hint="eastAsia"/>
          <w:kern w:val="0"/>
          <w:sz w:val="22"/>
          <w:szCs w:val="20"/>
        </w:rPr>
        <w:t>加覆盖物：高寒草原区常因干旱、风沙大，严重危害补播牧草。根据中东西区域条件，采取相应措施进行保护幼苗，保持土壤水分，如覆盖无纺布。</w:t>
      </w:r>
    </w:p>
    <w:p w14:paraId="46EB7C4E"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sym w:font="Wingdings" w:char="F083"/>
      </w:r>
      <w:r>
        <w:rPr>
          <w:rFonts w:ascii="宋体" w:hAnsi="宋体" w:cs="黑体" w:hint="eastAsia"/>
          <w:kern w:val="0"/>
          <w:sz w:val="22"/>
          <w:szCs w:val="20"/>
        </w:rPr>
        <w:t>播后管理</w:t>
      </w:r>
    </w:p>
    <w:p w14:paraId="65B6A42E" w14:textId="77777777" w:rsidR="001E5885"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补播：根据出苗情况，出苗较差的地块应及时重新补播</w:t>
      </w:r>
      <w:bookmarkStart w:id="20" w:name="4.4.2_镇压"/>
      <w:bookmarkEnd w:id="20"/>
      <w:r>
        <w:rPr>
          <w:rFonts w:ascii="宋体" w:hAnsi="宋体" w:cs="黑体" w:hint="eastAsia"/>
          <w:kern w:val="0"/>
          <w:sz w:val="22"/>
          <w:szCs w:val="20"/>
        </w:rPr>
        <w:t>。</w:t>
      </w:r>
    </w:p>
    <w:p w14:paraId="175AD769" w14:textId="77777777" w:rsidR="001E5885" w:rsidRDefault="00000000">
      <w:pPr>
        <w:spacing w:line="360" w:lineRule="auto"/>
        <w:ind w:firstLineChars="200" w:firstLine="440"/>
        <w:rPr>
          <w:rFonts w:ascii="宋体" w:hAnsi="宋体" w:cs="黑体" w:hint="eastAsia"/>
          <w:kern w:val="0"/>
          <w:sz w:val="22"/>
          <w:szCs w:val="20"/>
        </w:rPr>
      </w:pPr>
      <w:bookmarkStart w:id="21" w:name="4.4.3_禁牧"/>
      <w:bookmarkEnd w:id="21"/>
      <w:r>
        <w:rPr>
          <w:rFonts w:ascii="宋体" w:hAnsi="宋体" w:cs="黑体" w:hint="eastAsia"/>
          <w:kern w:val="0"/>
          <w:sz w:val="22"/>
          <w:szCs w:val="20"/>
        </w:rPr>
        <w:t>禁牧：补播后，当年必须禁牧，第二年以后，可以进行秋季打草或季节性放牧；采用围栏保护，禁牧至少两年以上。</w:t>
      </w:r>
    </w:p>
    <w:p w14:paraId="79BBEAAF" w14:textId="77777777" w:rsidR="001E5885" w:rsidRDefault="00000000">
      <w:pPr>
        <w:pStyle w:val="1"/>
        <w:spacing w:before="0" w:after="0"/>
        <w:rPr>
          <w:sz w:val="24"/>
          <w:szCs w:val="40"/>
        </w:rPr>
      </w:pPr>
      <w:bookmarkStart w:id="22" w:name="_Toc176547937"/>
      <w:r>
        <w:rPr>
          <w:rFonts w:hint="eastAsia"/>
          <w:sz w:val="24"/>
          <w:szCs w:val="40"/>
        </w:rPr>
        <w:t>四</w:t>
      </w:r>
      <w:r>
        <w:rPr>
          <w:sz w:val="24"/>
          <w:szCs w:val="40"/>
        </w:rPr>
        <w:t>、</w:t>
      </w:r>
      <w:r>
        <w:rPr>
          <w:rFonts w:hint="eastAsia"/>
          <w:sz w:val="24"/>
          <w:szCs w:val="40"/>
        </w:rPr>
        <w:t>采用的国际标准</w:t>
      </w:r>
      <w:bookmarkEnd w:id="22"/>
    </w:p>
    <w:p w14:paraId="3927399B" w14:textId="77777777" w:rsidR="001E5885" w:rsidRDefault="00000000">
      <w:pPr>
        <w:spacing w:line="360" w:lineRule="auto"/>
        <w:ind w:firstLine="482"/>
        <w:rPr>
          <w:color w:val="000000"/>
          <w:sz w:val="22"/>
          <w:szCs w:val="20"/>
        </w:rPr>
      </w:pPr>
      <w:r>
        <w:rPr>
          <w:color w:val="000000"/>
          <w:sz w:val="22"/>
          <w:szCs w:val="20"/>
        </w:rPr>
        <w:t>无。</w:t>
      </w:r>
    </w:p>
    <w:p w14:paraId="30D9B6DE" w14:textId="77777777" w:rsidR="001E5885" w:rsidRDefault="00000000">
      <w:pPr>
        <w:pStyle w:val="1"/>
        <w:spacing w:before="0" w:after="0"/>
        <w:rPr>
          <w:sz w:val="24"/>
          <w:szCs w:val="40"/>
        </w:rPr>
      </w:pPr>
      <w:bookmarkStart w:id="23" w:name="_Toc176547938"/>
      <w:r>
        <w:rPr>
          <w:rFonts w:hint="eastAsia"/>
          <w:sz w:val="24"/>
          <w:szCs w:val="40"/>
        </w:rPr>
        <w:t>五</w:t>
      </w:r>
      <w:r>
        <w:rPr>
          <w:sz w:val="24"/>
          <w:szCs w:val="40"/>
        </w:rPr>
        <w:t>、</w:t>
      </w:r>
      <w:r>
        <w:rPr>
          <w:rFonts w:hint="eastAsia"/>
          <w:sz w:val="24"/>
          <w:szCs w:val="40"/>
        </w:rPr>
        <w:t>与现行法律法规和强制性标准的关系</w:t>
      </w:r>
      <w:bookmarkEnd w:id="23"/>
    </w:p>
    <w:p w14:paraId="2B492809" w14:textId="77777777" w:rsidR="001E5885" w:rsidRDefault="00000000">
      <w:pPr>
        <w:spacing w:line="360" w:lineRule="auto"/>
        <w:ind w:firstLine="482"/>
        <w:rPr>
          <w:color w:val="000000"/>
          <w:sz w:val="22"/>
          <w:szCs w:val="20"/>
        </w:rPr>
      </w:pPr>
      <w:r>
        <w:rPr>
          <w:rFonts w:hint="eastAsia"/>
          <w:color w:val="000000"/>
          <w:sz w:val="22"/>
          <w:szCs w:val="20"/>
        </w:rPr>
        <w:t>本标准与现行法律法规和强制性标准的相关条例没有冲突。</w:t>
      </w:r>
    </w:p>
    <w:p w14:paraId="30919C64" w14:textId="77777777" w:rsidR="001E5885" w:rsidRDefault="00000000">
      <w:pPr>
        <w:pStyle w:val="1"/>
        <w:spacing w:before="0" w:after="0"/>
        <w:rPr>
          <w:sz w:val="24"/>
          <w:szCs w:val="40"/>
        </w:rPr>
      </w:pPr>
      <w:bookmarkStart w:id="24" w:name="_Toc176547939"/>
      <w:r>
        <w:rPr>
          <w:rFonts w:hint="eastAsia"/>
          <w:sz w:val="24"/>
          <w:szCs w:val="40"/>
        </w:rPr>
        <w:t>六</w:t>
      </w:r>
      <w:r>
        <w:rPr>
          <w:sz w:val="24"/>
          <w:szCs w:val="40"/>
        </w:rPr>
        <w:t>、</w:t>
      </w:r>
      <w:r>
        <w:rPr>
          <w:rFonts w:hint="eastAsia"/>
          <w:sz w:val="24"/>
          <w:szCs w:val="40"/>
        </w:rPr>
        <w:t>重大分歧意见的处理经过和依据</w:t>
      </w:r>
      <w:bookmarkEnd w:id="24"/>
    </w:p>
    <w:p w14:paraId="5D2967DE" w14:textId="77777777" w:rsidR="001E5885" w:rsidRDefault="00000000">
      <w:pPr>
        <w:spacing w:line="360" w:lineRule="auto"/>
        <w:ind w:firstLine="482"/>
        <w:rPr>
          <w:color w:val="000000"/>
          <w:sz w:val="22"/>
          <w:szCs w:val="20"/>
        </w:rPr>
      </w:pPr>
      <w:r>
        <w:rPr>
          <w:color w:val="000000"/>
          <w:sz w:val="22"/>
          <w:szCs w:val="20"/>
        </w:rPr>
        <w:t>无。</w:t>
      </w:r>
    </w:p>
    <w:p w14:paraId="18828AB0" w14:textId="77777777" w:rsidR="001E5885" w:rsidRDefault="00000000">
      <w:pPr>
        <w:pStyle w:val="1"/>
        <w:spacing w:before="0" w:after="0"/>
        <w:rPr>
          <w:sz w:val="24"/>
          <w:szCs w:val="40"/>
        </w:rPr>
      </w:pPr>
      <w:bookmarkStart w:id="25" w:name="_Toc176547940"/>
      <w:r>
        <w:rPr>
          <w:sz w:val="24"/>
          <w:szCs w:val="40"/>
        </w:rPr>
        <w:t>七、标准作为强制性或推荐性标准的意见</w:t>
      </w:r>
      <w:bookmarkEnd w:id="25"/>
    </w:p>
    <w:p w14:paraId="630F5003" w14:textId="77777777" w:rsidR="001E5885" w:rsidRDefault="00000000">
      <w:pPr>
        <w:spacing w:line="360" w:lineRule="auto"/>
        <w:ind w:firstLine="482"/>
        <w:rPr>
          <w:color w:val="000000"/>
          <w:sz w:val="22"/>
          <w:szCs w:val="20"/>
        </w:rPr>
      </w:pPr>
      <w:r>
        <w:rPr>
          <w:color w:val="000000"/>
          <w:sz w:val="22"/>
          <w:szCs w:val="20"/>
        </w:rPr>
        <w:t>建议将本标准作为推荐性标准发布实施，并加强标准的宣贯。</w:t>
      </w:r>
    </w:p>
    <w:p w14:paraId="5D7D6744" w14:textId="77777777" w:rsidR="001E5885" w:rsidRDefault="00000000">
      <w:pPr>
        <w:pStyle w:val="1"/>
        <w:spacing w:before="0" w:after="0"/>
        <w:rPr>
          <w:sz w:val="24"/>
          <w:szCs w:val="40"/>
        </w:rPr>
      </w:pPr>
      <w:bookmarkStart w:id="26" w:name="_Toc176547941"/>
      <w:r>
        <w:rPr>
          <w:sz w:val="24"/>
          <w:szCs w:val="40"/>
        </w:rPr>
        <w:t>八、贯彻标准的要求和措施建议</w:t>
      </w:r>
      <w:bookmarkEnd w:id="26"/>
    </w:p>
    <w:p w14:paraId="2EEF964A" w14:textId="77777777" w:rsidR="001E5885" w:rsidRDefault="00000000">
      <w:pPr>
        <w:spacing w:line="360" w:lineRule="auto"/>
        <w:ind w:firstLineChars="225" w:firstLine="495"/>
        <w:rPr>
          <w:sz w:val="22"/>
          <w:szCs w:val="20"/>
        </w:rPr>
      </w:pPr>
      <w:r>
        <w:rPr>
          <w:rFonts w:hint="eastAsia"/>
          <w:sz w:val="22"/>
          <w:szCs w:val="20"/>
        </w:rPr>
        <w:t>1</w:t>
      </w:r>
      <w:r>
        <w:rPr>
          <w:rFonts w:hint="eastAsia"/>
          <w:sz w:val="22"/>
          <w:szCs w:val="20"/>
        </w:rPr>
        <w:t>、</w:t>
      </w:r>
      <w:r>
        <w:rPr>
          <w:sz w:val="22"/>
          <w:szCs w:val="20"/>
        </w:rPr>
        <w:t>本标准属于</w:t>
      </w:r>
      <w:r>
        <w:rPr>
          <w:rFonts w:ascii="宋体" w:hAnsi="宋体" w:cs="黑体" w:hint="eastAsia"/>
          <w:kern w:val="0"/>
          <w:sz w:val="22"/>
          <w:szCs w:val="20"/>
        </w:rPr>
        <w:t>那曲市农牧业（草业）科技研究推广中心</w:t>
      </w:r>
      <w:r>
        <w:rPr>
          <w:rFonts w:hint="eastAsia"/>
          <w:sz w:val="22"/>
          <w:szCs w:val="20"/>
        </w:rPr>
        <w:t>牵头制定的团体标准</w:t>
      </w:r>
      <w:r>
        <w:rPr>
          <w:sz w:val="22"/>
          <w:szCs w:val="20"/>
        </w:rPr>
        <w:t>，</w:t>
      </w:r>
      <w:r>
        <w:rPr>
          <w:rFonts w:hint="eastAsia"/>
          <w:sz w:val="22"/>
          <w:szCs w:val="20"/>
        </w:rPr>
        <w:t>为成功实施那曲极高海拔区域典型退化草地生态修复</w:t>
      </w:r>
      <w:r>
        <w:rPr>
          <w:rFonts w:hAnsi="宋体" w:hint="eastAsia"/>
          <w:sz w:val="22"/>
          <w:szCs w:val="20"/>
        </w:rPr>
        <w:t>技术</w:t>
      </w:r>
      <w:r>
        <w:rPr>
          <w:rFonts w:hint="eastAsia"/>
          <w:sz w:val="22"/>
          <w:szCs w:val="20"/>
        </w:rPr>
        <w:t>，应认真执行本标准的相关技术要求。</w:t>
      </w:r>
    </w:p>
    <w:p w14:paraId="38654EA7" w14:textId="77777777" w:rsidR="001E5885" w:rsidRDefault="00000000">
      <w:pPr>
        <w:spacing w:line="360" w:lineRule="auto"/>
        <w:ind w:firstLineChars="225" w:firstLine="495"/>
        <w:rPr>
          <w:sz w:val="22"/>
          <w:szCs w:val="20"/>
        </w:rPr>
      </w:pPr>
      <w:r>
        <w:rPr>
          <w:rFonts w:hint="eastAsia"/>
          <w:sz w:val="22"/>
          <w:szCs w:val="20"/>
        </w:rPr>
        <w:t>2</w:t>
      </w:r>
      <w:r>
        <w:rPr>
          <w:rFonts w:hint="eastAsia"/>
          <w:sz w:val="22"/>
          <w:szCs w:val="20"/>
        </w:rPr>
        <w:t>、应</w:t>
      </w:r>
      <w:r>
        <w:rPr>
          <w:sz w:val="22"/>
          <w:szCs w:val="20"/>
        </w:rPr>
        <w:t>加强对标准的宣传、讲解</w:t>
      </w:r>
      <w:r>
        <w:rPr>
          <w:rFonts w:hint="eastAsia"/>
          <w:sz w:val="22"/>
          <w:szCs w:val="20"/>
        </w:rPr>
        <w:t>和技术指导，促进实施者</w:t>
      </w:r>
      <w:r>
        <w:rPr>
          <w:sz w:val="22"/>
          <w:szCs w:val="20"/>
        </w:rPr>
        <w:t>熟练掌握标准中的技术规范，保证</w:t>
      </w:r>
      <w:r>
        <w:rPr>
          <w:rFonts w:hint="eastAsia"/>
          <w:sz w:val="22"/>
          <w:szCs w:val="20"/>
        </w:rPr>
        <w:t>本标准的广泛推广应用</w:t>
      </w:r>
      <w:r>
        <w:rPr>
          <w:sz w:val="22"/>
          <w:szCs w:val="20"/>
        </w:rPr>
        <w:t>。</w:t>
      </w:r>
    </w:p>
    <w:p w14:paraId="2187383C" w14:textId="77777777" w:rsidR="001E5885" w:rsidRDefault="00000000">
      <w:pPr>
        <w:spacing w:line="360" w:lineRule="auto"/>
        <w:ind w:firstLineChars="225" w:firstLine="495"/>
        <w:rPr>
          <w:sz w:val="22"/>
          <w:szCs w:val="20"/>
        </w:rPr>
      </w:pPr>
      <w:r>
        <w:rPr>
          <w:rFonts w:hint="eastAsia"/>
          <w:sz w:val="22"/>
          <w:szCs w:val="20"/>
        </w:rPr>
        <w:t>3</w:t>
      </w:r>
      <w:r>
        <w:rPr>
          <w:rFonts w:hint="eastAsia"/>
          <w:sz w:val="22"/>
          <w:szCs w:val="20"/>
        </w:rPr>
        <w:t>、</w:t>
      </w:r>
      <w:r>
        <w:rPr>
          <w:sz w:val="22"/>
          <w:szCs w:val="20"/>
        </w:rPr>
        <w:t>随着</w:t>
      </w:r>
      <w:r>
        <w:rPr>
          <w:rFonts w:hint="eastAsia"/>
          <w:sz w:val="22"/>
          <w:szCs w:val="20"/>
        </w:rPr>
        <w:t>科技发展，本标准中的技术规范势必会出现过时的情况，也会出现新的技术要求，因此本</w:t>
      </w:r>
      <w:r>
        <w:rPr>
          <w:sz w:val="22"/>
          <w:szCs w:val="20"/>
        </w:rPr>
        <w:t>标准执行过程中</w:t>
      </w:r>
      <w:r>
        <w:rPr>
          <w:rFonts w:hint="eastAsia"/>
          <w:sz w:val="22"/>
          <w:szCs w:val="20"/>
        </w:rPr>
        <w:t>要不断对</w:t>
      </w:r>
      <w:r>
        <w:rPr>
          <w:sz w:val="22"/>
          <w:szCs w:val="20"/>
        </w:rPr>
        <w:t>内容进行修订</w:t>
      </w:r>
      <w:r>
        <w:rPr>
          <w:rFonts w:hint="eastAsia"/>
          <w:sz w:val="22"/>
          <w:szCs w:val="20"/>
        </w:rPr>
        <w:t>和补充</w:t>
      </w:r>
      <w:r>
        <w:rPr>
          <w:sz w:val="22"/>
          <w:szCs w:val="20"/>
        </w:rPr>
        <w:t>。</w:t>
      </w:r>
    </w:p>
    <w:p w14:paraId="0291E364" w14:textId="77777777" w:rsidR="001E5885" w:rsidRDefault="00000000">
      <w:pPr>
        <w:spacing w:line="360" w:lineRule="auto"/>
        <w:ind w:firstLineChars="225" w:firstLine="495"/>
        <w:rPr>
          <w:sz w:val="22"/>
          <w:szCs w:val="20"/>
        </w:rPr>
      </w:pPr>
      <w:r>
        <w:rPr>
          <w:rFonts w:hint="eastAsia"/>
          <w:sz w:val="22"/>
          <w:szCs w:val="20"/>
        </w:rPr>
        <w:t>4</w:t>
      </w:r>
      <w:r>
        <w:rPr>
          <w:rFonts w:hint="eastAsia"/>
          <w:sz w:val="22"/>
          <w:szCs w:val="20"/>
        </w:rPr>
        <w:t>、</w:t>
      </w:r>
      <w:r>
        <w:rPr>
          <w:sz w:val="22"/>
          <w:szCs w:val="20"/>
        </w:rPr>
        <w:t>贯彻本规程需坚守</w:t>
      </w:r>
      <w:r>
        <w:rPr>
          <w:sz w:val="22"/>
          <w:szCs w:val="20"/>
        </w:rPr>
        <w:t>“</w:t>
      </w:r>
      <w:r>
        <w:rPr>
          <w:sz w:val="22"/>
          <w:szCs w:val="20"/>
        </w:rPr>
        <w:t>生态优先、科学修复、因地制宜、长效管护</w:t>
      </w:r>
      <w:r>
        <w:rPr>
          <w:sz w:val="22"/>
          <w:szCs w:val="20"/>
        </w:rPr>
        <w:t>”</w:t>
      </w:r>
      <w:r>
        <w:rPr>
          <w:sz w:val="22"/>
          <w:szCs w:val="20"/>
        </w:rPr>
        <w:t>核心要求，严格遵循</w:t>
      </w:r>
      <w:r>
        <w:rPr>
          <w:sz w:val="22"/>
          <w:szCs w:val="20"/>
        </w:rPr>
        <w:t>GB 19377</w:t>
      </w:r>
      <w:r>
        <w:rPr>
          <w:sz w:val="22"/>
          <w:szCs w:val="20"/>
        </w:rPr>
        <w:t>等相关标准，结合那曲极高海拔（</w:t>
      </w:r>
      <w:r>
        <w:rPr>
          <w:sz w:val="22"/>
          <w:szCs w:val="20"/>
        </w:rPr>
        <w:t>4</w:t>
      </w:r>
      <w:r>
        <w:rPr>
          <w:rFonts w:hint="eastAsia"/>
          <w:sz w:val="22"/>
          <w:szCs w:val="20"/>
        </w:rPr>
        <w:t>5</w:t>
      </w:r>
      <w:r>
        <w:rPr>
          <w:sz w:val="22"/>
          <w:szCs w:val="20"/>
        </w:rPr>
        <w:t>00m</w:t>
      </w:r>
      <w:r>
        <w:rPr>
          <w:sz w:val="22"/>
          <w:szCs w:val="20"/>
        </w:rPr>
        <w:t>以上）寒冷、缺氧、生态脆弱的特点，聚焦退化草地植被恢复、土壤改良和生态功能提升，确保修复措施合规、可行、高效，兼顾生态保护与牧民生产生活协调发展。</w:t>
      </w:r>
    </w:p>
    <w:p w14:paraId="7AAAC6B4" w14:textId="77777777" w:rsidR="001E5885" w:rsidRDefault="00000000">
      <w:pPr>
        <w:spacing w:line="360" w:lineRule="auto"/>
        <w:ind w:firstLineChars="225" w:firstLine="495"/>
        <w:rPr>
          <w:sz w:val="22"/>
          <w:szCs w:val="20"/>
        </w:rPr>
      </w:pPr>
      <w:r>
        <w:rPr>
          <w:rFonts w:hint="eastAsia"/>
          <w:sz w:val="22"/>
          <w:szCs w:val="20"/>
        </w:rPr>
        <w:t>5</w:t>
      </w:r>
      <w:r>
        <w:rPr>
          <w:rFonts w:hint="eastAsia"/>
          <w:sz w:val="22"/>
          <w:szCs w:val="20"/>
        </w:rPr>
        <w:t>、</w:t>
      </w:r>
      <w:r>
        <w:rPr>
          <w:sz w:val="22"/>
          <w:szCs w:val="20"/>
        </w:rPr>
        <w:t>组建技术指导团队，联动科研机构提供专业支撑；开展</w:t>
      </w:r>
      <w:r>
        <w:rPr>
          <w:rFonts w:hint="eastAsia"/>
          <w:sz w:val="22"/>
          <w:szCs w:val="20"/>
        </w:rPr>
        <w:t>农</w:t>
      </w:r>
      <w:r>
        <w:rPr>
          <w:sz w:val="22"/>
          <w:szCs w:val="20"/>
        </w:rPr>
        <w:t>牧民培训，普及规程要点和修复技术，引导主动参与；建立奖惩机制，对合规实施修复的主体予以扶持，对违规破坏行为严肃查处。</w:t>
      </w:r>
    </w:p>
    <w:p w14:paraId="198DD66F" w14:textId="77777777" w:rsidR="001E5885" w:rsidRDefault="00000000">
      <w:pPr>
        <w:spacing w:line="360" w:lineRule="auto"/>
        <w:ind w:firstLineChars="225" w:firstLine="495"/>
        <w:rPr>
          <w:color w:val="000000"/>
          <w:sz w:val="22"/>
          <w:szCs w:val="20"/>
        </w:rPr>
      </w:pPr>
      <w:r>
        <w:rPr>
          <w:rFonts w:hint="eastAsia"/>
          <w:sz w:val="22"/>
          <w:szCs w:val="20"/>
        </w:rPr>
        <w:t>6</w:t>
      </w:r>
      <w:r>
        <w:rPr>
          <w:rFonts w:hint="eastAsia"/>
          <w:sz w:val="22"/>
          <w:szCs w:val="20"/>
        </w:rPr>
        <w:t>、</w:t>
      </w:r>
      <w:r>
        <w:rPr>
          <w:sz w:val="22"/>
          <w:szCs w:val="20"/>
        </w:rPr>
        <w:t>优先采用近自然修复模式，轻度退化草地实行禁牧封育，中度及以上退化草地采用免耕补播，选用嵩草属等乡土草种并进行包衣处理；有地表水源区域可推广光伏灌溉技术，合理布设喷灌系统；加强鼠虫害绿色防治和土壤保育，采用秸秆覆盖减少地表蒸发，严禁翻耕避免冻融侵蚀。</w:t>
      </w:r>
    </w:p>
    <w:p w14:paraId="716810CD" w14:textId="77777777" w:rsidR="001E5885" w:rsidRDefault="00000000">
      <w:pPr>
        <w:pStyle w:val="1"/>
        <w:spacing w:before="0" w:after="0"/>
        <w:rPr>
          <w:sz w:val="24"/>
          <w:szCs w:val="40"/>
        </w:rPr>
      </w:pPr>
      <w:bookmarkStart w:id="27" w:name="_Toc176547942"/>
      <w:r>
        <w:rPr>
          <w:sz w:val="24"/>
          <w:szCs w:val="40"/>
        </w:rPr>
        <w:t>九、废止现行有关标准的建议</w:t>
      </w:r>
      <w:bookmarkEnd w:id="27"/>
    </w:p>
    <w:p w14:paraId="40597651" w14:textId="77777777" w:rsidR="001E5885" w:rsidRDefault="00000000">
      <w:pPr>
        <w:spacing w:beforeLines="50" w:before="156" w:line="360" w:lineRule="auto"/>
        <w:ind w:firstLine="482"/>
        <w:rPr>
          <w:color w:val="000000"/>
          <w:sz w:val="22"/>
          <w:szCs w:val="20"/>
        </w:rPr>
      </w:pPr>
      <w:r>
        <w:rPr>
          <w:color w:val="000000"/>
          <w:sz w:val="22"/>
          <w:szCs w:val="20"/>
        </w:rPr>
        <w:t>无。</w:t>
      </w:r>
    </w:p>
    <w:p w14:paraId="431CE65B" w14:textId="77777777" w:rsidR="001E5885" w:rsidRDefault="00000000">
      <w:pPr>
        <w:pStyle w:val="1"/>
        <w:spacing w:before="0" w:after="0"/>
        <w:rPr>
          <w:sz w:val="24"/>
          <w:szCs w:val="40"/>
        </w:rPr>
      </w:pPr>
      <w:bookmarkStart w:id="28" w:name="_Toc176547943"/>
      <w:r>
        <w:rPr>
          <w:sz w:val="24"/>
          <w:szCs w:val="40"/>
        </w:rPr>
        <w:t>十、其他应予说明的事项</w:t>
      </w:r>
      <w:bookmarkEnd w:id="28"/>
    </w:p>
    <w:p w14:paraId="46BDFE3C" w14:textId="77777777" w:rsidR="001E5885" w:rsidRDefault="00000000">
      <w:pPr>
        <w:spacing w:beforeLines="50" w:before="156" w:line="360" w:lineRule="auto"/>
        <w:ind w:firstLine="482"/>
        <w:rPr>
          <w:rFonts w:ascii="宋体" w:hAnsi="宋体" w:cs="宋体" w:hint="eastAsia"/>
          <w:b/>
          <w:bCs/>
          <w:sz w:val="24"/>
          <w:szCs w:val="24"/>
        </w:rPr>
      </w:pPr>
      <w:r>
        <w:rPr>
          <w:color w:val="000000"/>
          <w:sz w:val="22"/>
          <w:szCs w:val="20"/>
        </w:rPr>
        <w:t>无。</w:t>
      </w:r>
    </w:p>
    <w:p w14:paraId="118F0DAF" w14:textId="77777777" w:rsidR="001E5885" w:rsidRDefault="001E5885">
      <w:pPr>
        <w:pStyle w:val="1"/>
        <w:spacing w:before="0" w:after="0"/>
        <w:rPr>
          <w:color w:val="000000"/>
          <w:sz w:val="24"/>
        </w:rPr>
      </w:pPr>
    </w:p>
    <w:sectPr w:rsidR="001E5885">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DD5A" w14:textId="77777777" w:rsidR="00BE0283" w:rsidRDefault="00BE0283">
      <w:r>
        <w:separator/>
      </w:r>
    </w:p>
  </w:endnote>
  <w:endnote w:type="continuationSeparator" w:id="0">
    <w:p w14:paraId="07D41E84" w14:textId="77777777" w:rsidR="00BE0283" w:rsidRDefault="00BE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1E5885" w:rsidRDefault="00000000">
    <w:pPr>
      <w:pStyle w:val="ac"/>
      <w:framePr w:wrap="around" w:vAnchor="text" w:hAnchor="margin" w:xAlign="center" w:y="1"/>
      <w:rPr>
        <w:rStyle w:val="af1"/>
      </w:rPr>
    </w:pPr>
    <w:r>
      <w:fldChar w:fldCharType="begin"/>
    </w:r>
    <w:r>
      <w:rPr>
        <w:rStyle w:val="af1"/>
      </w:rPr>
      <w:instrText xml:space="preserve">PAGE  </w:instrText>
    </w:r>
    <w:r>
      <w:fldChar w:fldCharType="end"/>
    </w:r>
  </w:p>
  <w:p w14:paraId="08B3C798" w14:textId="77777777" w:rsidR="001E5885" w:rsidRDefault="001E5885">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1E5885" w:rsidRDefault="00000000">
    <w:pPr>
      <w:pStyle w:val="ac"/>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1E5885" w:rsidRDefault="001E588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5C15" w14:textId="77777777" w:rsidR="00BE0283" w:rsidRDefault="00BE0283">
      <w:r>
        <w:separator/>
      </w:r>
    </w:p>
  </w:footnote>
  <w:footnote w:type="continuationSeparator" w:id="0">
    <w:p w14:paraId="3CD5C367" w14:textId="77777777" w:rsidR="00BE0283" w:rsidRDefault="00BE0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054349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5885"/>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283"/>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57B12"/>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5756"/>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4C536CF"/>
    <w:rsid w:val="0A0E7F26"/>
    <w:rsid w:val="0D7F514F"/>
    <w:rsid w:val="0D8977F9"/>
    <w:rsid w:val="0EA13295"/>
    <w:rsid w:val="11E00AD1"/>
    <w:rsid w:val="150E269C"/>
    <w:rsid w:val="166F5222"/>
    <w:rsid w:val="16CB6312"/>
    <w:rsid w:val="17CE1272"/>
    <w:rsid w:val="184A31E0"/>
    <w:rsid w:val="18B6296E"/>
    <w:rsid w:val="1ABE4169"/>
    <w:rsid w:val="1D291FE4"/>
    <w:rsid w:val="1D3D2393"/>
    <w:rsid w:val="1E711A49"/>
    <w:rsid w:val="205A522C"/>
    <w:rsid w:val="208C08A4"/>
    <w:rsid w:val="20A67D62"/>
    <w:rsid w:val="253E083A"/>
    <w:rsid w:val="2AA17567"/>
    <w:rsid w:val="2BD77062"/>
    <w:rsid w:val="2C8376D8"/>
    <w:rsid w:val="2DD44894"/>
    <w:rsid w:val="30A071CD"/>
    <w:rsid w:val="3100387E"/>
    <w:rsid w:val="32F41833"/>
    <w:rsid w:val="35D66C79"/>
    <w:rsid w:val="363F0E23"/>
    <w:rsid w:val="366F04F9"/>
    <w:rsid w:val="36C737F5"/>
    <w:rsid w:val="389208D3"/>
    <w:rsid w:val="391F59BB"/>
    <w:rsid w:val="39707CB8"/>
    <w:rsid w:val="3B2C75A0"/>
    <w:rsid w:val="3C4D2943"/>
    <w:rsid w:val="3EF33504"/>
    <w:rsid w:val="3F2932CF"/>
    <w:rsid w:val="43712A92"/>
    <w:rsid w:val="452C147A"/>
    <w:rsid w:val="45C27B57"/>
    <w:rsid w:val="460F3CE9"/>
    <w:rsid w:val="482C3F1D"/>
    <w:rsid w:val="4AD420FB"/>
    <w:rsid w:val="4B433C23"/>
    <w:rsid w:val="4CF535D8"/>
    <w:rsid w:val="4D9E3FA3"/>
    <w:rsid w:val="4E193658"/>
    <w:rsid w:val="4E2D698F"/>
    <w:rsid w:val="4F8242C5"/>
    <w:rsid w:val="52BD4306"/>
    <w:rsid w:val="52C935E2"/>
    <w:rsid w:val="5420452F"/>
    <w:rsid w:val="560D45D3"/>
    <w:rsid w:val="5B1074F2"/>
    <w:rsid w:val="5BAD110F"/>
    <w:rsid w:val="5BC14BBB"/>
    <w:rsid w:val="5C6A7974"/>
    <w:rsid w:val="5C725265"/>
    <w:rsid w:val="5C9D7268"/>
    <w:rsid w:val="5F97769F"/>
    <w:rsid w:val="60006D2C"/>
    <w:rsid w:val="615A37DE"/>
    <w:rsid w:val="623E0D13"/>
    <w:rsid w:val="633A0287"/>
    <w:rsid w:val="63B36E26"/>
    <w:rsid w:val="64B659E6"/>
    <w:rsid w:val="66AA38F8"/>
    <w:rsid w:val="67B0139B"/>
    <w:rsid w:val="68EF737F"/>
    <w:rsid w:val="694960C1"/>
    <w:rsid w:val="69F152C0"/>
    <w:rsid w:val="6BE741CA"/>
    <w:rsid w:val="6D2A1A28"/>
    <w:rsid w:val="6E253618"/>
    <w:rsid w:val="6F9E5BF8"/>
    <w:rsid w:val="73CE5A0F"/>
    <w:rsid w:val="77785FC7"/>
    <w:rsid w:val="78EC706A"/>
    <w:rsid w:val="7F6A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0DBB6F"/>
  <w15:docId w15:val="{4D3DB0CE-D6C3-4930-A5E1-0A0678F3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1"/>
    </w:rPr>
  </w:style>
  <w:style w:type="paragraph" w:styleId="1">
    <w:name w:val="heading 1"/>
    <w:basedOn w:val="a1"/>
    <w:next w:val="a1"/>
    <w:link w:val="10"/>
    <w:uiPriority w:val="9"/>
    <w:qFormat/>
    <w:pPr>
      <w:keepNext/>
      <w:keepLines/>
      <w:spacing w:before="240" w:after="240" w:line="360" w:lineRule="auto"/>
      <w:outlineLvl w:val="0"/>
    </w:pPr>
    <w:rPr>
      <w:b/>
      <w:bCs/>
      <w:kern w:val="44"/>
      <w:sz w:val="28"/>
      <w:szCs w:val="44"/>
    </w:rPr>
  </w:style>
  <w:style w:type="paragraph" w:styleId="2">
    <w:name w:val="heading 2"/>
    <w:basedOn w:val="a1"/>
    <w:next w:val="a1"/>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1"/>
    <w:next w:val="a1"/>
    <w:link w:val="30"/>
    <w:uiPriority w:val="9"/>
    <w:unhideWhenUsed/>
    <w:qFormat/>
    <w:pPr>
      <w:keepNext/>
      <w:keepLines/>
      <w:spacing w:line="360" w:lineRule="auto"/>
      <w:outlineLvl w:val="2"/>
    </w:pPr>
    <w:rPr>
      <w:b/>
      <w:bCs/>
      <w:sz w:val="24"/>
      <w:szCs w:val="32"/>
    </w:rPr>
  </w:style>
  <w:style w:type="paragraph" w:styleId="4">
    <w:name w:val="heading 4"/>
    <w:basedOn w:val="a1"/>
    <w:next w:val="a1"/>
    <w:uiPriority w:val="9"/>
    <w:semiHidden/>
    <w:unhideWhenUsed/>
    <w:qFormat/>
    <w:pPr>
      <w:spacing w:beforeAutospacing="1" w:afterAutospacing="1"/>
      <w:jc w:val="left"/>
      <w:outlineLvl w:val="3"/>
    </w:pPr>
    <w:rPr>
      <w:rFonts w:ascii="宋体" w:hAnsi="宋体" w:hint="eastAsia"/>
      <w:b/>
      <w:bCs/>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qFormat/>
    <w:rPr>
      <w:rFonts w:ascii="等线 Light" w:eastAsia="黑体" w:hAnsi="等线 Light"/>
      <w:sz w:val="20"/>
      <w:szCs w:val="20"/>
    </w:rPr>
  </w:style>
  <w:style w:type="paragraph" w:styleId="a6">
    <w:name w:val="Body Text"/>
    <w:basedOn w:val="a1"/>
    <w:uiPriority w:val="1"/>
    <w:qFormat/>
    <w:rPr>
      <w:rFonts w:ascii="宋体" w:hAnsi="宋体" w:cs="宋体"/>
      <w:lang w:val="ca-ES" w:eastAsia="ca-ES" w:bidi="ca-ES"/>
    </w:rPr>
  </w:style>
  <w:style w:type="paragraph" w:styleId="TOC3">
    <w:name w:val="toc 3"/>
    <w:basedOn w:val="a1"/>
    <w:next w:val="a1"/>
    <w:autoRedefine/>
    <w:uiPriority w:val="39"/>
    <w:unhideWhenUsed/>
    <w:qFormat/>
    <w:pPr>
      <w:ind w:leftChars="400" w:left="840"/>
    </w:pPr>
  </w:style>
  <w:style w:type="paragraph" w:styleId="a7">
    <w:name w:val="Plain Text"/>
    <w:basedOn w:val="a1"/>
    <w:uiPriority w:val="99"/>
    <w:qFormat/>
    <w:rPr>
      <w:rFonts w:ascii="宋体" w:hAnsi="Courier New" w:cs="宋体"/>
    </w:rPr>
  </w:style>
  <w:style w:type="paragraph" w:styleId="a8">
    <w:name w:val="Date"/>
    <w:basedOn w:val="a1"/>
    <w:next w:val="a1"/>
    <w:link w:val="a9"/>
    <w:qFormat/>
    <w:pPr>
      <w:ind w:leftChars="2500" w:left="100"/>
    </w:pPr>
    <w:rPr>
      <w:szCs w:val="24"/>
    </w:rPr>
  </w:style>
  <w:style w:type="paragraph" w:styleId="aa">
    <w:name w:val="Balloon Text"/>
    <w:basedOn w:val="a1"/>
    <w:link w:val="ab"/>
    <w:unhideWhenUsed/>
    <w:qFormat/>
    <w:rPr>
      <w:sz w:val="18"/>
      <w:szCs w:val="18"/>
    </w:rPr>
  </w:style>
  <w:style w:type="paragraph" w:styleId="ac">
    <w:name w:val="footer"/>
    <w:basedOn w:val="a1"/>
    <w:link w:val="ad"/>
    <w:uiPriority w:val="99"/>
    <w:unhideWhenUsed/>
    <w:qFormat/>
    <w:pPr>
      <w:tabs>
        <w:tab w:val="center" w:pos="4153"/>
        <w:tab w:val="right" w:pos="8306"/>
      </w:tabs>
      <w:snapToGrid w:val="0"/>
      <w:jc w:val="left"/>
    </w:pPr>
    <w:rPr>
      <w:sz w:val="18"/>
      <w:szCs w:val="18"/>
    </w:rPr>
  </w:style>
  <w:style w:type="paragraph" w:styleId="ae">
    <w:name w:val="header"/>
    <w:basedOn w:val="a1"/>
    <w:link w:val="af"/>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autoRedefine/>
    <w:uiPriority w:val="39"/>
    <w:unhideWhenUsed/>
    <w:qFormat/>
    <w:pPr>
      <w:tabs>
        <w:tab w:val="right" w:leader="dot" w:pos="8538"/>
      </w:tabs>
      <w:spacing w:line="360" w:lineRule="auto"/>
    </w:pPr>
  </w:style>
  <w:style w:type="paragraph" w:styleId="TOC2">
    <w:name w:val="toc 2"/>
    <w:basedOn w:val="a1"/>
    <w:next w:val="a1"/>
    <w:autoRedefine/>
    <w:uiPriority w:val="39"/>
    <w:unhideWhenUsed/>
    <w:qFormat/>
    <w:pPr>
      <w:ind w:leftChars="200" w:left="420"/>
    </w:pPr>
  </w:style>
  <w:style w:type="paragraph" w:styleId="21">
    <w:name w:val="Body Text 2"/>
    <w:basedOn w:val="a1"/>
    <w:uiPriority w:val="99"/>
    <w:qFormat/>
    <w:pPr>
      <w:widowControl/>
      <w:spacing w:before="60" w:after="60"/>
    </w:pPr>
    <w:rPr>
      <w:rFonts w:ascii="Arial" w:hAnsi="Arial"/>
      <w:spacing w:val="-5"/>
      <w:kern w:val="0"/>
      <w:sz w:val="22"/>
      <w:szCs w:val="20"/>
      <w:lang w:val="zh-CN" w:eastAsia="en-US"/>
    </w:rPr>
  </w:style>
  <w:style w:type="character" w:styleId="af0">
    <w:name w:val="Strong"/>
    <w:qFormat/>
    <w:rPr>
      <w:b/>
    </w:rPr>
  </w:style>
  <w:style w:type="character" w:styleId="af1">
    <w:name w:val="page number"/>
    <w:qFormat/>
  </w:style>
  <w:style w:type="character" w:styleId="af2">
    <w:name w:val="Hyperlink"/>
    <w:uiPriority w:val="99"/>
    <w:unhideWhenUsed/>
    <w:qFormat/>
    <w:rPr>
      <w:color w:val="0563C1"/>
      <w:u w:val="single"/>
    </w:rPr>
  </w:style>
  <w:style w:type="character" w:styleId="af3">
    <w:name w:val="annotation reference"/>
    <w:basedOn w:val="a2"/>
    <w:uiPriority w:val="99"/>
    <w:semiHidden/>
    <w:unhideWhenUsed/>
    <w:qFormat/>
    <w:rPr>
      <w:sz w:val="21"/>
      <w:szCs w:val="21"/>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9">
    <w:name w:val="日期 字符"/>
    <w:link w:val="a8"/>
    <w:qFormat/>
    <w:rPr>
      <w:rFonts w:ascii="Times New Roman" w:eastAsia="宋体" w:hAnsi="Times New Roman" w:cs="Times New Roman"/>
      <w:kern w:val="2"/>
      <w:sz w:val="21"/>
      <w:szCs w:val="24"/>
    </w:rPr>
  </w:style>
  <w:style w:type="character" w:customStyle="1" w:styleId="ab">
    <w:name w:val="批注框文本 字符"/>
    <w:link w:val="aa"/>
    <w:uiPriority w:val="99"/>
    <w:semiHidden/>
    <w:qFormat/>
    <w:rPr>
      <w:rFonts w:ascii="Times New Roman" w:eastAsia="宋体" w:hAnsi="Times New Roman" w:cs="Times New Roman"/>
      <w:kern w:val="2"/>
      <w:sz w:val="18"/>
      <w:szCs w:val="18"/>
    </w:rPr>
  </w:style>
  <w:style w:type="character" w:customStyle="1" w:styleId="ad">
    <w:name w:val="页脚 字符"/>
    <w:link w:val="ac"/>
    <w:uiPriority w:val="99"/>
    <w:qFormat/>
    <w:rPr>
      <w:rFonts w:ascii="Times New Roman" w:eastAsia="宋体" w:hAnsi="Times New Roman" w:cs="Times New Roman"/>
      <w:sz w:val="18"/>
      <w:szCs w:val="18"/>
    </w:rPr>
  </w:style>
  <w:style w:type="character" w:customStyle="1" w:styleId="af">
    <w:name w:val="页眉 字符"/>
    <w:link w:val="ae"/>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4"/>
    <w:qFormat/>
    <w:rPr>
      <w:rFonts w:ascii="宋体" w:eastAsia="宋体" w:hAnsi="Times New Roman" w:cs="Times New Roman"/>
      <w:kern w:val="0"/>
      <w:szCs w:val="20"/>
    </w:rPr>
  </w:style>
  <w:style w:type="paragraph" w:customStyle="1" w:styleId="af4">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5">
    <w:name w:val="List Paragraph"/>
    <w:basedOn w:val="a1"/>
    <w:uiPriority w:val="99"/>
    <w:qFormat/>
    <w:pPr>
      <w:ind w:firstLineChars="200" w:firstLine="420"/>
    </w:pPr>
  </w:style>
  <w:style w:type="paragraph" w:customStyle="1" w:styleId="Char1CharCharCharCharCharCharCharCharChar">
    <w:name w:val="Char1 Char Char Char Char Char Char Char Char Char"/>
    <w:basedOn w:val="a1"/>
    <w:qFormat/>
    <w:pPr>
      <w:spacing w:line="360" w:lineRule="auto"/>
    </w:pPr>
    <w:rPr>
      <w:rFonts w:ascii="Tahoma" w:hAnsi="Tahoma"/>
      <w:sz w:val="24"/>
      <w:szCs w:val="20"/>
    </w:rPr>
  </w:style>
  <w:style w:type="paragraph" w:customStyle="1" w:styleId="af6">
    <w:name w:val="图标标题"/>
    <w:basedOn w:val="a5"/>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1"/>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1"/>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1"/>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7"/>
    <w:qFormat/>
    <w:locked/>
    <w:rPr>
      <w:rFonts w:ascii="宋体"/>
      <w:sz w:val="21"/>
    </w:rPr>
  </w:style>
  <w:style w:type="paragraph" w:customStyle="1" w:styleId="af7">
    <w:name w:val="标准文件_段"/>
    <w:link w:val="Char0"/>
    <w:qFormat/>
    <w:pPr>
      <w:autoSpaceDE w:val="0"/>
      <w:autoSpaceDN w:val="0"/>
      <w:ind w:firstLineChars="200" w:firstLine="200"/>
      <w:jc w:val="both"/>
    </w:pPr>
    <w:rPr>
      <w:rFonts w:ascii="宋体"/>
      <w:sz w:val="21"/>
    </w:rPr>
  </w:style>
  <w:style w:type="paragraph" w:customStyle="1" w:styleId="af8">
    <w:name w:val="标准文件_文件名称"/>
    <w:basedOn w:val="af7"/>
    <w:next w:val="a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
    <w:name w:val="标准文件_章标题"/>
    <w:next w:val="af7"/>
    <w:autoRedefine/>
    <w:qFormat/>
    <w:pPr>
      <w:numPr>
        <w:ilvl w:val="1"/>
        <w:numId w:val="1"/>
      </w:numPr>
      <w:spacing w:beforeLines="100" w:before="100" w:afterLines="100" w:after="100"/>
      <w:jc w:val="both"/>
      <w:outlineLvl w:val="0"/>
    </w:pPr>
    <w:rPr>
      <w:rFonts w:ascii="黑体" w:eastAsia="黑体"/>
      <w:sz w:val="21"/>
    </w:rPr>
  </w:style>
  <w:style w:type="paragraph" w:customStyle="1" w:styleId="a0">
    <w:name w:val="标准文件_一级条标题"/>
    <w:basedOn w:val="a"/>
    <w:next w:val="af7"/>
    <w:autoRedefine/>
    <w:qFormat/>
    <w:pPr>
      <w:numPr>
        <w:ilvl w:val="2"/>
      </w:numPr>
      <w:spacing w:beforeLines="50" w:before="50" w:afterLines="50" w:after="50"/>
      <w:outlineLvl w:val="1"/>
    </w:pPr>
  </w:style>
  <w:style w:type="paragraph" w:customStyle="1" w:styleId="af9">
    <w:name w:val="标准文件_字母编号列项（一级）"/>
    <w:autoRedefine/>
    <w:qFormat/>
    <w:pPr>
      <w:tabs>
        <w:tab w:val="left" w:pos="851"/>
      </w:tabs>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1105</Words>
  <Characters>6301</Characters>
  <Application>Microsoft Office Word</Application>
  <DocSecurity>0</DocSecurity>
  <Lines>52</Lines>
  <Paragraphs>14</Paragraphs>
  <ScaleCrop>false</ScaleCrop>
  <Company>Lenovo</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周晓丽</cp:lastModifiedBy>
  <cp:revision>8</cp:revision>
  <cp:lastPrinted>2026-05-12T14:44:00Z</cp:lastPrinted>
  <dcterms:created xsi:type="dcterms:W3CDTF">2025-12-17T06:59:00Z</dcterms:created>
  <dcterms:modified xsi:type="dcterms:W3CDTF">2026-05-16T15:32:00Z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AFA8369427AB411DBA234AE3A6C38B4F_13</vt:lpwstr>
  </property>
  <property fmtid="{D5CDD505-2E9C-101B-9397-08002B2CF9AE}" pid="4" name="KSOTemplateDocerSaveRecord">
    <vt:lpwstr>eyJoZGlkIjoiODJmZDI1MWQzODNiMDU2NGExNzM1NzQ5MmEwYzIxZDUiLCJ1c2VySWQiOiIyNjI4OTk0NjYifQ==</vt:lpwstr>
  </property>
</Properties>
</file>