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58810" w14:textId="77777777" w:rsidR="00D10CCF" w:rsidRDefault="00D10CCF">
      <w:pPr>
        <w:spacing w:line="360" w:lineRule="auto"/>
        <w:rPr>
          <w:bCs/>
          <w:color w:val="C00000"/>
          <w:sz w:val="36"/>
          <w:szCs w:val="36"/>
        </w:rPr>
      </w:pPr>
      <w:bookmarkStart w:id="0" w:name="_Hlk528261495"/>
      <w:bookmarkStart w:id="1" w:name="OLE_LINK3"/>
    </w:p>
    <w:p w14:paraId="23F1C134" w14:textId="77777777" w:rsidR="00D10CCF" w:rsidRDefault="00D10CCF">
      <w:pPr>
        <w:spacing w:line="360" w:lineRule="auto"/>
        <w:rPr>
          <w:bCs/>
          <w:color w:val="C00000"/>
          <w:sz w:val="36"/>
          <w:szCs w:val="36"/>
        </w:rPr>
      </w:pPr>
    </w:p>
    <w:p w14:paraId="0C8DB73E" w14:textId="77777777" w:rsidR="00D10CCF" w:rsidRDefault="00D10CCF">
      <w:pPr>
        <w:spacing w:line="360" w:lineRule="auto"/>
        <w:rPr>
          <w:bCs/>
          <w:color w:val="C00000"/>
          <w:sz w:val="48"/>
          <w:szCs w:val="48"/>
        </w:rPr>
      </w:pPr>
    </w:p>
    <w:p w14:paraId="33BB86B6" w14:textId="77777777" w:rsidR="00D10CCF" w:rsidRDefault="00D10CCF">
      <w:pPr>
        <w:spacing w:line="360" w:lineRule="auto"/>
        <w:rPr>
          <w:bCs/>
          <w:color w:val="C00000"/>
          <w:sz w:val="48"/>
          <w:szCs w:val="48"/>
        </w:rPr>
      </w:pPr>
    </w:p>
    <w:p w14:paraId="3C2BCF01" w14:textId="77777777" w:rsidR="00D10CCF" w:rsidRDefault="00000000">
      <w:pPr>
        <w:jc w:val="center"/>
        <w:rPr>
          <w:sz w:val="52"/>
          <w:szCs w:val="52"/>
        </w:rPr>
      </w:pPr>
      <w:r>
        <w:rPr>
          <w:sz w:val="52"/>
          <w:szCs w:val="52"/>
        </w:rPr>
        <w:t>团</w:t>
      </w:r>
      <w:r>
        <w:rPr>
          <w:sz w:val="52"/>
          <w:szCs w:val="52"/>
        </w:rPr>
        <w:t xml:space="preserve"> </w:t>
      </w:r>
      <w:r>
        <w:rPr>
          <w:sz w:val="52"/>
          <w:szCs w:val="52"/>
        </w:rPr>
        <w:t>体</w:t>
      </w:r>
      <w:r>
        <w:rPr>
          <w:sz w:val="52"/>
          <w:szCs w:val="52"/>
        </w:rPr>
        <w:t xml:space="preserve"> </w:t>
      </w:r>
      <w:r>
        <w:rPr>
          <w:sz w:val="52"/>
          <w:szCs w:val="52"/>
        </w:rPr>
        <w:t>标</w:t>
      </w:r>
      <w:r>
        <w:rPr>
          <w:sz w:val="52"/>
          <w:szCs w:val="52"/>
        </w:rPr>
        <w:t xml:space="preserve"> </w:t>
      </w:r>
      <w:r>
        <w:rPr>
          <w:sz w:val="52"/>
          <w:szCs w:val="52"/>
        </w:rPr>
        <w:t>准</w:t>
      </w:r>
    </w:p>
    <w:p w14:paraId="77B13FDD" w14:textId="77777777" w:rsidR="00D10CCF" w:rsidRDefault="00D10CCF">
      <w:pPr>
        <w:jc w:val="center"/>
        <w:rPr>
          <w:rFonts w:ascii="黑体" w:eastAsia="黑体" w:hAnsi="黑体" w:hint="eastAsia"/>
          <w:sz w:val="48"/>
          <w:szCs w:val="48"/>
        </w:rPr>
      </w:pPr>
    </w:p>
    <w:p w14:paraId="798D8B30" w14:textId="77777777" w:rsidR="00D10CCF" w:rsidRDefault="00000000">
      <w:pPr>
        <w:jc w:val="center"/>
        <w:rPr>
          <w:rFonts w:ascii="黑体" w:eastAsia="黑体" w:hAnsi="黑体" w:hint="eastAsia"/>
          <w:sz w:val="44"/>
          <w:szCs w:val="44"/>
        </w:rPr>
      </w:pPr>
      <w:r>
        <w:rPr>
          <w:rFonts w:ascii="黑体" w:eastAsia="黑体" w:hAnsi="黑体" w:hint="eastAsia"/>
          <w:sz w:val="44"/>
          <w:szCs w:val="44"/>
        </w:rPr>
        <w:t>《藏北那曲高海拔地区房前屋后人工</w:t>
      </w:r>
    </w:p>
    <w:p w14:paraId="65EBEDB4" w14:textId="77777777" w:rsidR="00D10CCF" w:rsidRDefault="00000000">
      <w:pPr>
        <w:jc w:val="center"/>
        <w:rPr>
          <w:rFonts w:ascii="黑体" w:eastAsia="黑体" w:hAnsi="黑体" w:hint="eastAsia"/>
          <w:sz w:val="44"/>
          <w:szCs w:val="44"/>
        </w:rPr>
      </w:pPr>
      <w:r>
        <w:rPr>
          <w:rFonts w:ascii="黑体" w:eastAsia="黑体" w:hAnsi="黑体" w:hint="eastAsia"/>
          <w:sz w:val="44"/>
          <w:szCs w:val="44"/>
        </w:rPr>
        <w:t>种草技术规程》</w:t>
      </w:r>
    </w:p>
    <w:p w14:paraId="270B0C4D" w14:textId="77777777" w:rsidR="00D10CCF" w:rsidRDefault="00000000">
      <w:pPr>
        <w:spacing w:beforeLines="100" w:before="312" w:afterLines="100" w:after="312" w:line="480" w:lineRule="auto"/>
        <w:ind w:left="-67"/>
        <w:jc w:val="center"/>
        <w:rPr>
          <w:rFonts w:ascii="黑体" w:eastAsia="黑体" w:hAnsi="黑体" w:hint="eastAsia"/>
          <w:sz w:val="44"/>
          <w:szCs w:val="44"/>
        </w:rPr>
      </w:pPr>
      <w:r>
        <w:rPr>
          <w:rFonts w:ascii="黑体" w:eastAsia="黑体" w:hAnsi="黑体"/>
          <w:sz w:val="44"/>
          <w:szCs w:val="44"/>
        </w:rPr>
        <w:t>编制说明</w:t>
      </w:r>
    </w:p>
    <w:p w14:paraId="6DE3ADC0" w14:textId="77777777" w:rsidR="00D10CCF" w:rsidRDefault="00D10CCF">
      <w:pPr>
        <w:spacing w:line="360" w:lineRule="auto"/>
        <w:rPr>
          <w:bCs/>
          <w:sz w:val="36"/>
          <w:szCs w:val="36"/>
        </w:rPr>
      </w:pPr>
    </w:p>
    <w:p w14:paraId="528D9F67" w14:textId="77777777" w:rsidR="00D10CCF" w:rsidRDefault="00D10CCF">
      <w:pPr>
        <w:spacing w:line="360" w:lineRule="auto"/>
        <w:rPr>
          <w:bCs/>
          <w:sz w:val="36"/>
          <w:szCs w:val="36"/>
        </w:rPr>
      </w:pPr>
    </w:p>
    <w:p w14:paraId="1E29079D" w14:textId="77777777" w:rsidR="00D10CCF" w:rsidRDefault="00D10CCF">
      <w:pPr>
        <w:spacing w:line="360" w:lineRule="auto"/>
        <w:rPr>
          <w:bCs/>
          <w:sz w:val="36"/>
          <w:szCs w:val="36"/>
        </w:rPr>
      </w:pPr>
    </w:p>
    <w:p w14:paraId="2715D9AB" w14:textId="77777777" w:rsidR="00D10CCF" w:rsidRDefault="00D10CCF">
      <w:pPr>
        <w:spacing w:line="360" w:lineRule="auto"/>
        <w:rPr>
          <w:bCs/>
          <w:sz w:val="36"/>
          <w:szCs w:val="36"/>
        </w:rPr>
      </w:pPr>
    </w:p>
    <w:p w14:paraId="0C4C417A" w14:textId="77777777" w:rsidR="00D10CCF" w:rsidRDefault="00D10CCF">
      <w:pPr>
        <w:spacing w:line="360" w:lineRule="auto"/>
        <w:rPr>
          <w:bCs/>
          <w:sz w:val="36"/>
          <w:szCs w:val="36"/>
        </w:rPr>
      </w:pPr>
    </w:p>
    <w:p w14:paraId="64789C51" w14:textId="77777777" w:rsidR="00D10CCF" w:rsidRDefault="00D10CCF">
      <w:pPr>
        <w:spacing w:line="360" w:lineRule="auto"/>
        <w:rPr>
          <w:bCs/>
          <w:sz w:val="36"/>
          <w:szCs w:val="36"/>
        </w:rPr>
      </w:pPr>
    </w:p>
    <w:p w14:paraId="0211B5B5" w14:textId="77777777" w:rsidR="00D10CCF" w:rsidRDefault="00D10CCF">
      <w:pPr>
        <w:spacing w:line="360" w:lineRule="auto"/>
        <w:rPr>
          <w:bCs/>
          <w:sz w:val="36"/>
          <w:szCs w:val="36"/>
        </w:rPr>
      </w:pPr>
    </w:p>
    <w:p w14:paraId="7C7491E7" w14:textId="77777777" w:rsidR="00D10CCF" w:rsidRDefault="00D10CCF">
      <w:pPr>
        <w:widowControl/>
        <w:rPr>
          <w:bCs/>
          <w:sz w:val="44"/>
          <w:szCs w:val="44"/>
        </w:rPr>
      </w:pPr>
    </w:p>
    <w:p w14:paraId="1F0E511F" w14:textId="77777777" w:rsidR="00D10CCF" w:rsidRDefault="00D10CCF">
      <w:pPr>
        <w:widowControl/>
        <w:rPr>
          <w:bCs/>
          <w:sz w:val="44"/>
          <w:szCs w:val="44"/>
        </w:rPr>
      </w:pPr>
    </w:p>
    <w:p w14:paraId="034AC298" w14:textId="5F75F61D" w:rsidR="00D10CCF" w:rsidRDefault="00000000" w:rsidP="00C342B3">
      <w:pPr>
        <w:jc w:val="center"/>
        <w:rPr>
          <w:rFonts w:ascii="黑体" w:eastAsia="黑体" w:hAnsi="黑体" w:hint="eastAsia"/>
          <w:bCs/>
          <w:sz w:val="28"/>
          <w:szCs w:val="28"/>
        </w:rPr>
      </w:pPr>
      <w:r>
        <w:rPr>
          <w:rFonts w:ascii="黑体" w:eastAsia="黑体" w:hAnsi="黑体" w:hint="eastAsia"/>
          <w:bCs/>
          <w:sz w:val="28"/>
          <w:szCs w:val="28"/>
        </w:rPr>
        <w:t>《</w:t>
      </w:r>
      <w:r w:rsidR="00C342B3" w:rsidRPr="00C342B3">
        <w:rPr>
          <w:rFonts w:ascii="黑体" w:eastAsia="黑体" w:hAnsi="黑体" w:hint="eastAsia"/>
          <w:bCs/>
          <w:sz w:val="28"/>
          <w:szCs w:val="28"/>
        </w:rPr>
        <w:t>藏北那曲高海拔地区房前屋后人工种草技术规程</w:t>
      </w:r>
      <w:r>
        <w:rPr>
          <w:rFonts w:ascii="黑体" w:eastAsia="黑体" w:hAnsi="黑体" w:hint="eastAsia"/>
          <w:bCs/>
          <w:sz w:val="28"/>
          <w:szCs w:val="28"/>
        </w:rPr>
        <w:t>》团标制定组</w:t>
      </w:r>
    </w:p>
    <w:p w14:paraId="6617FAC3" w14:textId="0AAA6DE8" w:rsidR="00D10CCF" w:rsidRDefault="00C342B3">
      <w:pPr>
        <w:widowControl/>
        <w:jc w:val="center"/>
        <w:rPr>
          <w:rFonts w:ascii="黑体" w:eastAsia="黑体" w:hAnsi="黑体" w:hint="eastAsia"/>
          <w:bCs/>
          <w:sz w:val="28"/>
          <w:szCs w:val="28"/>
        </w:rPr>
      </w:pPr>
      <w:r>
        <w:rPr>
          <w:rFonts w:ascii="黑体" w:eastAsia="黑体" w:hAnsi="黑体" w:hint="eastAsia"/>
          <w:bCs/>
          <w:sz w:val="28"/>
          <w:szCs w:val="28"/>
        </w:rPr>
        <w:t>2026</w:t>
      </w:r>
      <w:r w:rsidR="00000000">
        <w:rPr>
          <w:rFonts w:ascii="黑体" w:eastAsia="黑体" w:hAnsi="黑体"/>
          <w:bCs/>
          <w:sz w:val="28"/>
          <w:szCs w:val="28"/>
        </w:rPr>
        <w:t>年</w:t>
      </w:r>
      <w:r>
        <w:rPr>
          <w:rFonts w:ascii="黑体" w:eastAsia="黑体" w:hAnsi="黑体" w:hint="eastAsia"/>
          <w:bCs/>
          <w:sz w:val="28"/>
          <w:szCs w:val="28"/>
        </w:rPr>
        <w:t>5</w:t>
      </w:r>
      <w:r w:rsidR="00000000">
        <w:rPr>
          <w:rFonts w:ascii="黑体" w:eastAsia="黑体" w:hAnsi="黑体"/>
          <w:bCs/>
          <w:sz w:val="28"/>
          <w:szCs w:val="28"/>
        </w:rPr>
        <w:t>月</w:t>
      </w:r>
    </w:p>
    <w:bookmarkEnd w:id="0"/>
    <w:p w14:paraId="40FBF7DD" w14:textId="77777777" w:rsidR="00D10CCF" w:rsidRDefault="00000000">
      <w:pPr>
        <w:pStyle w:val="af5"/>
        <w:spacing w:beforeLines="100" w:before="312" w:afterLines="100" w:after="312" w:line="420" w:lineRule="exact"/>
        <w:ind w:firstLineChars="0"/>
        <w:jc w:val="center"/>
        <w:rPr>
          <w:b/>
          <w:color w:val="000000"/>
          <w:sz w:val="28"/>
          <w:szCs w:val="28"/>
        </w:rPr>
      </w:pPr>
      <w:r>
        <w:rPr>
          <w:b/>
          <w:color w:val="000000"/>
          <w:sz w:val="28"/>
          <w:szCs w:val="28"/>
        </w:rPr>
        <w:br w:type="page"/>
      </w:r>
      <w:r>
        <w:rPr>
          <w:rFonts w:hint="eastAsia"/>
          <w:b/>
          <w:color w:val="000000"/>
          <w:sz w:val="28"/>
          <w:szCs w:val="28"/>
        </w:rPr>
        <w:lastRenderedPageBreak/>
        <w:t>目</w:t>
      </w:r>
      <w:r>
        <w:rPr>
          <w:rFonts w:hint="eastAsia"/>
          <w:b/>
          <w:color w:val="000000"/>
          <w:sz w:val="28"/>
          <w:szCs w:val="28"/>
        </w:rPr>
        <w:t xml:space="preserve">  </w:t>
      </w:r>
      <w:r>
        <w:rPr>
          <w:rFonts w:hint="eastAsia"/>
          <w:b/>
          <w:color w:val="000000"/>
          <w:sz w:val="28"/>
          <w:szCs w:val="28"/>
        </w:rPr>
        <w:t>次</w:t>
      </w:r>
    </w:p>
    <w:p w14:paraId="1D60AEC8" w14:textId="77777777" w:rsidR="00D10CCF" w:rsidRDefault="00D10CCF">
      <w:pPr>
        <w:pStyle w:val="af5"/>
        <w:spacing w:line="360" w:lineRule="auto"/>
        <w:ind w:firstLineChars="0"/>
        <w:rPr>
          <w:b/>
          <w:color w:val="000000"/>
          <w:sz w:val="22"/>
          <w:szCs w:val="22"/>
        </w:rPr>
      </w:pPr>
    </w:p>
    <w:p w14:paraId="5E19A56C" w14:textId="77777777" w:rsidR="00D10CCF" w:rsidRDefault="00000000">
      <w:pPr>
        <w:pStyle w:val="TOC1"/>
        <w:rPr>
          <w:rFonts w:asciiTheme="minorHAnsi" w:eastAsiaTheme="minorEastAsia" w:hAnsiTheme="minorHAnsi" w:cstheme="minorBidi" w:hint="eastAsia"/>
          <w:szCs w:val="22"/>
          <w14:ligatures w14:val="standardContextual"/>
        </w:rPr>
      </w:pPr>
      <w:r>
        <w:rPr>
          <w:sz w:val="24"/>
          <w:szCs w:val="24"/>
        </w:rPr>
        <w:fldChar w:fldCharType="begin"/>
      </w:r>
      <w:r>
        <w:rPr>
          <w:sz w:val="24"/>
          <w:szCs w:val="24"/>
        </w:rPr>
        <w:instrText xml:space="preserve"> TOC \o "1-3" \h \z \u </w:instrText>
      </w:r>
      <w:r>
        <w:rPr>
          <w:sz w:val="24"/>
          <w:szCs w:val="24"/>
        </w:rPr>
        <w:fldChar w:fldCharType="separate"/>
      </w:r>
      <w:hyperlink w:anchor="_Toc176547930" w:history="1">
        <w:r>
          <w:rPr>
            <w:rStyle w:val="af2"/>
            <w:rFonts w:hint="eastAsia"/>
          </w:rPr>
          <w:t>一、任务来源及标准制定背景</w:t>
        </w:r>
        <w:r>
          <w:rPr>
            <w:rFonts w:hint="eastAsia"/>
          </w:rPr>
          <w:tab/>
        </w:r>
        <w:r>
          <w:rPr>
            <w:rFonts w:hint="eastAsia"/>
          </w:rPr>
          <w:fldChar w:fldCharType="begin"/>
        </w:r>
        <w:r>
          <w:rPr>
            <w:rFonts w:hint="eastAsia"/>
          </w:rPr>
          <w:instrText xml:space="preserve"> </w:instrText>
        </w:r>
        <w:r>
          <w:instrText>PAGEREF _Toc176547930 \h</w:instrText>
        </w:r>
        <w:r>
          <w:rPr>
            <w:rFonts w:hint="eastAsia"/>
          </w:rPr>
          <w:instrText xml:space="preserve"> </w:instrText>
        </w:r>
        <w:r>
          <w:rPr>
            <w:rFonts w:hint="eastAsia"/>
          </w:rPr>
        </w:r>
        <w:r>
          <w:rPr>
            <w:rFonts w:hint="eastAsia"/>
          </w:rPr>
          <w:fldChar w:fldCharType="separate"/>
        </w:r>
        <w:r>
          <w:t>5</w:t>
        </w:r>
        <w:r>
          <w:rPr>
            <w:rFonts w:hint="eastAsia"/>
          </w:rPr>
          <w:fldChar w:fldCharType="end"/>
        </w:r>
      </w:hyperlink>
    </w:p>
    <w:p w14:paraId="18EC1846" w14:textId="77777777" w:rsidR="00D10CCF" w:rsidRDefault="00000000">
      <w:pPr>
        <w:pStyle w:val="TOC2"/>
        <w:tabs>
          <w:tab w:val="right" w:leader="dot" w:pos="8538"/>
        </w:tabs>
        <w:rPr>
          <w:rFonts w:asciiTheme="minorHAnsi" w:eastAsiaTheme="minorEastAsia" w:hAnsiTheme="minorHAnsi" w:cstheme="minorBidi" w:hint="eastAsia"/>
          <w:szCs w:val="22"/>
          <w14:ligatures w14:val="standardContextual"/>
        </w:rPr>
      </w:pPr>
      <w:hyperlink w:anchor="_Toc176547931" w:history="1">
        <w:r>
          <w:rPr>
            <w:rStyle w:val="af2"/>
            <w:rFonts w:hint="eastAsia"/>
          </w:rPr>
          <w:t>1</w:t>
        </w:r>
        <w:r>
          <w:rPr>
            <w:rStyle w:val="af2"/>
            <w:rFonts w:hint="eastAsia"/>
          </w:rPr>
          <w:t>、任务来源</w:t>
        </w:r>
        <w:r>
          <w:rPr>
            <w:rFonts w:hint="eastAsia"/>
          </w:rPr>
          <w:tab/>
        </w:r>
        <w:r>
          <w:rPr>
            <w:rFonts w:hint="eastAsia"/>
          </w:rPr>
          <w:fldChar w:fldCharType="begin"/>
        </w:r>
        <w:r>
          <w:rPr>
            <w:rFonts w:hint="eastAsia"/>
          </w:rPr>
          <w:instrText xml:space="preserve"> </w:instrText>
        </w:r>
        <w:r>
          <w:instrText>PAGEREF _Toc176547931 \h</w:instrText>
        </w:r>
        <w:r>
          <w:rPr>
            <w:rFonts w:hint="eastAsia"/>
          </w:rPr>
          <w:instrText xml:space="preserve"> </w:instrText>
        </w:r>
        <w:r>
          <w:rPr>
            <w:rFonts w:hint="eastAsia"/>
          </w:rPr>
        </w:r>
        <w:r>
          <w:rPr>
            <w:rFonts w:hint="eastAsia"/>
          </w:rPr>
          <w:fldChar w:fldCharType="separate"/>
        </w:r>
        <w:r>
          <w:t>5</w:t>
        </w:r>
        <w:r>
          <w:rPr>
            <w:rFonts w:hint="eastAsia"/>
          </w:rPr>
          <w:fldChar w:fldCharType="end"/>
        </w:r>
      </w:hyperlink>
    </w:p>
    <w:p w14:paraId="346BE875" w14:textId="77777777" w:rsidR="00D10CCF" w:rsidRDefault="00000000">
      <w:pPr>
        <w:pStyle w:val="TOC2"/>
        <w:tabs>
          <w:tab w:val="right" w:leader="dot" w:pos="8538"/>
        </w:tabs>
        <w:rPr>
          <w:rFonts w:asciiTheme="minorHAnsi" w:eastAsiaTheme="minorEastAsia" w:hAnsiTheme="minorHAnsi" w:cstheme="minorBidi" w:hint="eastAsia"/>
          <w:szCs w:val="22"/>
          <w14:ligatures w14:val="standardContextual"/>
        </w:rPr>
      </w:pPr>
      <w:hyperlink w:anchor="_Toc176547932" w:history="1">
        <w:r>
          <w:rPr>
            <w:rStyle w:val="af2"/>
            <w:rFonts w:hint="eastAsia"/>
          </w:rPr>
          <w:t>2</w:t>
        </w:r>
        <w:r>
          <w:rPr>
            <w:rStyle w:val="af2"/>
            <w:rFonts w:hint="eastAsia"/>
          </w:rPr>
          <w:t>、标准制定背景</w:t>
        </w:r>
        <w:r>
          <w:rPr>
            <w:rFonts w:hint="eastAsia"/>
          </w:rPr>
          <w:tab/>
        </w:r>
        <w:r>
          <w:rPr>
            <w:rFonts w:hint="eastAsia"/>
          </w:rPr>
          <w:fldChar w:fldCharType="begin"/>
        </w:r>
        <w:r>
          <w:rPr>
            <w:rFonts w:hint="eastAsia"/>
          </w:rPr>
          <w:instrText xml:space="preserve"> </w:instrText>
        </w:r>
        <w:r>
          <w:instrText>PAGEREF _Toc176547932 \h</w:instrText>
        </w:r>
        <w:r>
          <w:rPr>
            <w:rFonts w:hint="eastAsia"/>
          </w:rPr>
          <w:instrText xml:space="preserve"> </w:instrText>
        </w:r>
        <w:r>
          <w:rPr>
            <w:rFonts w:hint="eastAsia"/>
          </w:rPr>
        </w:r>
        <w:r>
          <w:rPr>
            <w:rFonts w:hint="eastAsia"/>
          </w:rPr>
          <w:fldChar w:fldCharType="separate"/>
        </w:r>
        <w:r>
          <w:t>5</w:t>
        </w:r>
        <w:r>
          <w:rPr>
            <w:rFonts w:hint="eastAsia"/>
          </w:rPr>
          <w:fldChar w:fldCharType="end"/>
        </w:r>
      </w:hyperlink>
    </w:p>
    <w:p w14:paraId="2AC19EBB" w14:textId="77777777" w:rsidR="00D10CCF" w:rsidRDefault="00000000">
      <w:pPr>
        <w:pStyle w:val="TOC1"/>
        <w:rPr>
          <w:rFonts w:asciiTheme="minorHAnsi" w:eastAsiaTheme="minorEastAsia" w:hAnsiTheme="minorHAnsi" w:cstheme="minorBidi" w:hint="eastAsia"/>
          <w:szCs w:val="22"/>
          <w14:ligatures w14:val="standardContextual"/>
        </w:rPr>
      </w:pPr>
      <w:hyperlink w:anchor="_Toc176547933" w:history="1">
        <w:r>
          <w:rPr>
            <w:rStyle w:val="af2"/>
            <w:rFonts w:hint="eastAsia"/>
          </w:rPr>
          <w:t>二、主要工作过程</w:t>
        </w:r>
        <w:r>
          <w:rPr>
            <w:rFonts w:hint="eastAsia"/>
          </w:rPr>
          <w:tab/>
        </w:r>
        <w:r>
          <w:rPr>
            <w:rFonts w:hint="eastAsia"/>
          </w:rPr>
          <w:fldChar w:fldCharType="begin"/>
        </w:r>
        <w:r>
          <w:rPr>
            <w:rFonts w:hint="eastAsia"/>
          </w:rPr>
          <w:instrText xml:space="preserve"> </w:instrText>
        </w:r>
        <w:r>
          <w:instrText>PAGEREF _Toc176547933 \h</w:instrText>
        </w:r>
        <w:r>
          <w:rPr>
            <w:rFonts w:hint="eastAsia"/>
          </w:rPr>
          <w:instrText xml:space="preserve"> </w:instrText>
        </w:r>
        <w:r>
          <w:rPr>
            <w:rFonts w:hint="eastAsia"/>
          </w:rPr>
        </w:r>
        <w:r>
          <w:rPr>
            <w:rFonts w:hint="eastAsia"/>
          </w:rPr>
          <w:fldChar w:fldCharType="separate"/>
        </w:r>
        <w:r>
          <w:t>6</w:t>
        </w:r>
        <w:r>
          <w:rPr>
            <w:rFonts w:hint="eastAsia"/>
          </w:rPr>
          <w:fldChar w:fldCharType="end"/>
        </w:r>
      </w:hyperlink>
    </w:p>
    <w:p w14:paraId="60F337AF" w14:textId="77777777" w:rsidR="00D10CCF" w:rsidRDefault="00000000">
      <w:pPr>
        <w:pStyle w:val="TOC1"/>
        <w:rPr>
          <w:rFonts w:asciiTheme="minorHAnsi" w:eastAsiaTheme="minorEastAsia" w:hAnsiTheme="minorHAnsi" w:cstheme="minorBidi" w:hint="eastAsia"/>
          <w:szCs w:val="22"/>
          <w14:ligatures w14:val="standardContextual"/>
        </w:rPr>
      </w:pPr>
      <w:hyperlink w:anchor="_Toc176547934" w:history="1">
        <w:r>
          <w:rPr>
            <w:rStyle w:val="af2"/>
            <w:rFonts w:hint="eastAsia"/>
          </w:rPr>
          <w:t>三、标准编制原则和主要技术内容确定的依据</w:t>
        </w:r>
        <w:r>
          <w:rPr>
            <w:rFonts w:hint="eastAsia"/>
          </w:rPr>
          <w:tab/>
        </w:r>
        <w:r>
          <w:rPr>
            <w:rFonts w:hint="eastAsia"/>
          </w:rPr>
          <w:fldChar w:fldCharType="begin"/>
        </w:r>
        <w:r>
          <w:rPr>
            <w:rFonts w:hint="eastAsia"/>
          </w:rPr>
          <w:instrText xml:space="preserve"> </w:instrText>
        </w:r>
        <w:r>
          <w:instrText>PAGEREF _Toc176547934 \h</w:instrText>
        </w:r>
        <w:r>
          <w:rPr>
            <w:rFonts w:hint="eastAsia"/>
          </w:rPr>
          <w:instrText xml:space="preserve"> </w:instrText>
        </w:r>
        <w:r>
          <w:rPr>
            <w:rFonts w:hint="eastAsia"/>
          </w:rPr>
        </w:r>
        <w:r>
          <w:rPr>
            <w:rFonts w:hint="eastAsia"/>
          </w:rPr>
          <w:fldChar w:fldCharType="separate"/>
        </w:r>
        <w:r>
          <w:t>6</w:t>
        </w:r>
        <w:r>
          <w:rPr>
            <w:rFonts w:hint="eastAsia"/>
          </w:rPr>
          <w:fldChar w:fldCharType="end"/>
        </w:r>
      </w:hyperlink>
    </w:p>
    <w:p w14:paraId="6DAC26EA" w14:textId="77777777" w:rsidR="00D10CCF" w:rsidRDefault="00000000">
      <w:pPr>
        <w:pStyle w:val="TOC2"/>
        <w:tabs>
          <w:tab w:val="right" w:leader="dot" w:pos="8538"/>
        </w:tabs>
        <w:rPr>
          <w:rFonts w:asciiTheme="minorHAnsi" w:eastAsiaTheme="minorEastAsia" w:hAnsiTheme="minorHAnsi" w:cstheme="minorBidi" w:hint="eastAsia"/>
          <w:szCs w:val="22"/>
          <w14:ligatures w14:val="standardContextual"/>
        </w:rPr>
      </w:pPr>
      <w:hyperlink w:anchor="_Toc176547935" w:history="1">
        <w:r>
          <w:rPr>
            <w:rStyle w:val="af2"/>
            <w:rFonts w:hint="eastAsia"/>
          </w:rPr>
          <w:t>1</w:t>
        </w:r>
        <w:r>
          <w:rPr>
            <w:rStyle w:val="af2"/>
            <w:rFonts w:hint="eastAsia"/>
          </w:rPr>
          <w:t>、标准编制原则</w:t>
        </w:r>
        <w:r>
          <w:rPr>
            <w:rFonts w:hint="eastAsia"/>
          </w:rPr>
          <w:tab/>
        </w:r>
        <w:r>
          <w:rPr>
            <w:rFonts w:hint="eastAsia"/>
          </w:rPr>
          <w:fldChar w:fldCharType="begin"/>
        </w:r>
        <w:r>
          <w:rPr>
            <w:rFonts w:hint="eastAsia"/>
          </w:rPr>
          <w:instrText xml:space="preserve"> </w:instrText>
        </w:r>
        <w:r>
          <w:instrText>PAGEREF _Toc176547935 \h</w:instrText>
        </w:r>
        <w:r>
          <w:rPr>
            <w:rFonts w:hint="eastAsia"/>
          </w:rPr>
          <w:instrText xml:space="preserve"> </w:instrText>
        </w:r>
        <w:r>
          <w:rPr>
            <w:rFonts w:hint="eastAsia"/>
          </w:rPr>
        </w:r>
        <w:r>
          <w:rPr>
            <w:rFonts w:hint="eastAsia"/>
          </w:rPr>
          <w:fldChar w:fldCharType="separate"/>
        </w:r>
        <w:r>
          <w:t>6</w:t>
        </w:r>
        <w:r>
          <w:rPr>
            <w:rFonts w:hint="eastAsia"/>
          </w:rPr>
          <w:fldChar w:fldCharType="end"/>
        </w:r>
      </w:hyperlink>
    </w:p>
    <w:p w14:paraId="005DBFE5" w14:textId="77777777" w:rsidR="00D10CCF" w:rsidRDefault="00000000">
      <w:pPr>
        <w:pStyle w:val="TOC2"/>
        <w:tabs>
          <w:tab w:val="right" w:leader="dot" w:pos="8538"/>
        </w:tabs>
        <w:rPr>
          <w:rFonts w:asciiTheme="minorHAnsi" w:eastAsiaTheme="minorEastAsia" w:hAnsiTheme="minorHAnsi" w:cstheme="minorBidi" w:hint="eastAsia"/>
          <w:szCs w:val="22"/>
          <w14:ligatures w14:val="standardContextual"/>
        </w:rPr>
      </w:pPr>
      <w:hyperlink w:anchor="_Toc176547936" w:history="1">
        <w:r>
          <w:rPr>
            <w:rStyle w:val="af2"/>
            <w:rFonts w:hint="eastAsia"/>
          </w:rPr>
          <w:t>2</w:t>
        </w:r>
        <w:r>
          <w:rPr>
            <w:rStyle w:val="af2"/>
            <w:rFonts w:hint="eastAsia"/>
          </w:rPr>
          <w:t>、主要技术内容确定的论据</w:t>
        </w:r>
        <w:r>
          <w:rPr>
            <w:rFonts w:hint="eastAsia"/>
          </w:rPr>
          <w:tab/>
        </w:r>
        <w:r>
          <w:rPr>
            <w:rFonts w:hint="eastAsia"/>
          </w:rPr>
          <w:fldChar w:fldCharType="begin"/>
        </w:r>
        <w:r>
          <w:rPr>
            <w:rFonts w:hint="eastAsia"/>
          </w:rPr>
          <w:instrText xml:space="preserve"> </w:instrText>
        </w:r>
        <w:r>
          <w:instrText>PAGEREF _Toc176547936 \h</w:instrText>
        </w:r>
        <w:r>
          <w:rPr>
            <w:rFonts w:hint="eastAsia"/>
          </w:rPr>
          <w:instrText xml:space="preserve"> </w:instrText>
        </w:r>
        <w:r>
          <w:rPr>
            <w:rFonts w:hint="eastAsia"/>
          </w:rPr>
        </w:r>
        <w:r>
          <w:rPr>
            <w:rFonts w:hint="eastAsia"/>
          </w:rPr>
          <w:fldChar w:fldCharType="separate"/>
        </w:r>
        <w:r>
          <w:t>6</w:t>
        </w:r>
        <w:r>
          <w:rPr>
            <w:rFonts w:hint="eastAsia"/>
          </w:rPr>
          <w:fldChar w:fldCharType="end"/>
        </w:r>
      </w:hyperlink>
    </w:p>
    <w:p w14:paraId="2797626D" w14:textId="77777777" w:rsidR="00D10CCF" w:rsidRDefault="00000000">
      <w:pPr>
        <w:pStyle w:val="TOC1"/>
        <w:rPr>
          <w:rFonts w:asciiTheme="minorHAnsi" w:eastAsiaTheme="minorEastAsia" w:hAnsiTheme="minorHAnsi" w:cstheme="minorBidi" w:hint="eastAsia"/>
          <w:szCs w:val="22"/>
          <w14:ligatures w14:val="standardContextual"/>
        </w:rPr>
      </w:pPr>
      <w:hyperlink w:anchor="_Toc176547937" w:history="1">
        <w:r>
          <w:rPr>
            <w:rStyle w:val="af2"/>
            <w:rFonts w:hint="eastAsia"/>
          </w:rPr>
          <w:t>四、采用的国际标准</w:t>
        </w:r>
        <w:r>
          <w:rPr>
            <w:rFonts w:hint="eastAsia"/>
          </w:rPr>
          <w:tab/>
        </w:r>
        <w:r>
          <w:rPr>
            <w:rFonts w:hint="eastAsia"/>
          </w:rPr>
          <w:fldChar w:fldCharType="begin"/>
        </w:r>
        <w:r>
          <w:rPr>
            <w:rFonts w:hint="eastAsia"/>
          </w:rPr>
          <w:instrText xml:space="preserve"> </w:instrText>
        </w:r>
        <w:r>
          <w:instrText>PAGEREF _Toc176547937 \h</w:instrText>
        </w:r>
        <w:r>
          <w:rPr>
            <w:rFonts w:hint="eastAsia"/>
          </w:rPr>
          <w:instrText xml:space="preserve"> </w:instrText>
        </w:r>
        <w:r>
          <w:rPr>
            <w:rFonts w:hint="eastAsia"/>
          </w:rPr>
        </w:r>
        <w:r>
          <w:rPr>
            <w:rFonts w:hint="eastAsia"/>
          </w:rPr>
          <w:fldChar w:fldCharType="separate"/>
        </w:r>
        <w:r>
          <w:t>8</w:t>
        </w:r>
        <w:r>
          <w:rPr>
            <w:rFonts w:hint="eastAsia"/>
          </w:rPr>
          <w:fldChar w:fldCharType="end"/>
        </w:r>
      </w:hyperlink>
    </w:p>
    <w:p w14:paraId="75A7A5D8" w14:textId="77777777" w:rsidR="00D10CCF" w:rsidRDefault="00000000">
      <w:pPr>
        <w:pStyle w:val="TOC1"/>
        <w:rPr>
          <w:rFonts w:asciiTheme="minorHAnsi" w:eastAsiaTheme="minorEastAsia" w:hAnsiTheme="minorHAnsi" w:cstheme="minorBidi" w:hint="eastAsia"/>
          <w:szCs w:val="22"/>
          <w14:ligatures w14:val="standardContextual"/>
        </w:rPr>
      </w:pPr>
      <w:hyperlink w:anchor="_Toc176547938" w:history="1">
        <w:r>
          <w:rPr>
            <w:rStyle w:val="af2"/>
            <w:rFonts w:hint="eastAsia"/>
          </w:rPr>
          <w:t>五、与现行法律法规和强制性标准的关系</w:t>
        </w:r>
        <w:r>
          <w:rPr>
            <w:rFonts w:hint="eastAsia"/>
          </w:rPr>
          <w:tab/>
        </w:r>
        <w:r>
          <w:rPr>
            <w:rFonts w:hint="eastAsia"/>
          </w:rPr>
          <w:fldChar w:fldCharType="begin"/>
        </w:r>
        <w:r>
          <w:rPr>
            <w:rFonts w:hint="eastAsia"/>
          </w:rPr>
          <w:instrText xml:space="preserve"> </w:instrText>
        </w:r>
        <w:r>
          <w:instrText>PAGEREF _Toc176547938 \h</w:instrText>
        </w:r>
        <w:r>
          <w:rPr>
            <w:rFonts w:hint="eastAsia"/>
          </w:rPr>
          <w:instrText xml:space="preserve"> </w:instrText>
        </w:r>
        <w:r>
          <w:rPr>
            <w:rFonts w:hint="eastAsia"/>
          </w:rPr>
        </w:r>
        <w:r>
          <w:rPr>
            <w:rFonts w:hint="eastAsia"/>
          </w:rPr>
          <w:fldChar w:fldCharType="separate"/>
        </w:r>
        <w:r>
          <w:t>8</w:t>
        </w:r>
        <w:r>
          <w:rPr>
            <w:rFonts w:hint="eastAsia"/>
          </w:rPr>
          <w:fldChar w:fldCharType="end"/>
        </w:r>
      </w:hyperlink>
    </w:p>
    <w:p w14:paraId="3B924B2D" w14:textId="77777777" w:rsidR="00D10CCF" w:rsidRDefault="00000000">
      <w:pPr>
        <w:pStyle w:val="TOC1"/>
        <w:rPr>
          <w:rFonts w:asciiTheme="minorHAnsi" w:eastAsiaTheme="minorEastAsia" w:hAnsiTheme="minorHAnsi" w:cstheme="minorBidi" w:hint="eastAsia"/>
          <w:szCs w:val="22"/>
          <w14:ligatures w14:val="standardContextual"/>
        </w:rPr>
      </w:pPr>
      <w:hyperlink w:anchor="_Toc176547939" w:history="1">
        <w:r>
          <w:rPr>
            <w:rStyle w:val="af2"/>
            <w:rFonts w:hint="eastAsia"/>
          </w:rPr>
          <w:t>六、重大分歧意见的处理经过和依据</w:t>
        </w:r>
        <w:r>
          <w:rPr>
            <w:rFonts w:hint="eastAsia"/>
          </w:rPr>
          <w:tab/>
        </w:r>
        <w:r>
          <w:rPr>
            <w:rFonts w:hint="eastAsia"/>
          </w:rPr>
          <w:fldChar w:fldCharType="begin"/>
        </w:r>
        <w:r>
          <w:rPr>
            <w:rFonts w:hint="eastAsia"/>
          </w:rPr>
          <w:instrText xml:space="preserve"> </w:instrText>
        </w:r>
        <w:r>
          <w:instrText>PAGEREF _Toc176547939 \h</w:instrText>
        </w:r>
        <w:r>
          <w:rPr>
            <w:rFonts w:hint="eastAsia"/>
          </w:rPr>
          <w:instrText xml:space="preserve"> </w:instrText>
        </w:r>
        <w:r>
          <w:rPr>
            <w:rFonts w:hint="eastAsia"/>
          </w:rPr>
        </w:r>
        <w:r>
          <w:rPr>
            <w:rFonts w:hint="eastAsia"/>
          </w:rPr>
          <w:fldChar w:fldCharType="separate"/>
        </w:r>
        <w:r>
          <w:t>8</w:t>
        </w:r>
        <w:r>
          <w:rPr>
            <w:rFonts w:hint="eastAsia"/>
          </w:rPr>
          <w:fldChar w:fldCharType="end"/>
        </w:r>
      </w:hyperlink>
    </w:p>
    <w:p w14:paraId="765AD2FD" w14:textId="77777777" w:rsidR="00D10CCF" w:rsidRDefault="00000000">
      <w:pPr>
        <w:pStyle w:val="TOC1"/>
        <w:rPr>
          <w:rFonts w:asciiTheme="minorHAnsi" w:eastAsiaTheme="minorEastAsia" w:hAnsiTheme="minorHAnsi" w:cstheme="minorBidi" w:hint="eastAsia"/>
          <w:szCs w:val="22"/>
          <w14:ligatures w14:val="standardContextual"/>
        </w:rPr>
      </w:pPr>
      <w:hyperlink w:anchor="_Toc176547940" w:history="1">
        <w:r>
          <w:rPr>
            <w:rStyle w:val="af2"/>
            <w:rFonts w:hint="eastAsia"/>
          </w:rPr>
          <w:t>七、标准作为强制性或推荐性标准的意见</w:t>
        </w:r>
        <w:r>
          <w:rPr>
            <w:rFonts w:hint="eastAsia"/>
          </w:rPr>
          <w:tab/>
        </w:r>
        <w:r>
          <w:rPr>
            <w:rFonts w:hint="eastAsia"/>
          </w:rPr>
          <w:fldChar w:fldCharType="begin"/>
        </w:r>
        <w:r>
          <w:rPr>
            <w:rFonts w:hint="eastAsia"/>
          </w:rPr>
          <w:instrText xml:space="preserve"> </w:instrText>
        </w:r>
        <w:r>
          <w:instrText>PAGEREF _Toc176547940 \h</w:instrText>
        </w:r>
        <w:r>
          <w:rPr>
            <w:rFonts w:hint="eastAsia"/>
          </w:rPr>
          <w:instrText xml:space="preserve"> </w:instrText>
        </w:r>
        <w:r>
          <w:rPr>
            <w:rFonts w:hint="eastAsia"/>
          </w:rPr>
        </w:r>
        <w:r>
          <w:rPr>
            <w:rFonts w:hint="eastAsia"/>
          </w:rPr>
          <w:fldChar w:fldCharType="separate"/>
        </w:r>
        <w:r>
          <w:t>8</w:t>
        </w:r>
        <w:r>
          <w:rPr>
            <w:rFonts w:hint="eastAsia"/>
          </w:rPr>
          <w:fldChar w:fldCharType="end"/>
        </w:r>
      </w:hyperlink>
    </w:p>
    <w:p w14:paraId="155D255B" w14:textId="77777777" w:rsidR="00D10CCF" w:rsidRDefault="00000000">
      <w:pPr>
        <w:pStyle w:val="TOC1"/>
        <w:rPr>
          <w:rFonts w:asciiTheme="minorHAnsi" w:eastAsiaTheme="minorEastAsia" w:hAnsiTheme="minorHAnsi" w:cstheme="minorBidi" w:hint="eastAsia"/>
          <w:szCs w:val="22"/>
          <w14:ligatures w14:val="standardContextual"/>
        </w:rPr>
      </w:pPr>
      <w:hyperlink w:anchor="_Toc176547941" w:history="1">
        <w:r>
          <w:rPr>
            <w:rStyle w:val="af2"/>
            <w:rFonts w:hint="eastAsia"/>
          </w:rPr>
          <w:t>八、贯彻标准的要求和措施建议</w:t>
        </w:r>
        <w:r>
          <w:rPr>
            <w:rFonts w:hint="eastAsia"/>
          </w:rPr>
          <w:tab/>
        </w:r>
        <w:r>
          <w:rPr>
            <w:rFonts w:hint="eastAsia"/>
          </w:rPr>
          <w:fldChar w:fldCharType="begin"/>
        </w:r>
        <w:r>
          <w:rPr>
            <w:rFonts w:hint="eastAsia"/>
          </w:rPr>
          <w:instrText xml:space="preserve"> </w:instrText>
        </w:r>
        <w:r>
          <w:instrText>PAGEREF _Toc176547941 \h</w:instrText>
        </w:r>
        <w:r>
          <w:rPr>
            <w:rFonts w:hint="eastAsia"/>
          </w:rPr>
          <w:instrText xml:space="preserve"> </w:instrText>
        </w:r>
        <w:r>
          <w:rPr>
            <w:rFonts w:hint="eastAsia"/>
          </w:rPr>
        </w:r>
        <w:r>
          <w:rPr>
            <w:rFonts w:hint="eastAsia"/>
          </w:rPr>
          <w:fldChar w:fldCharType="separate"/>
        </w:r>
        <w:r>
          <w:t>8</w:t>
        </w:r>
        <w:r>
          <w:rPr>
            <w:rFonts w:hint="eastAsia"/>
          </w:rPr>
          <w:fldChar w:fldCharType="end"/>
        </w:r>
      </w:hyperlink>
    </w:p>
    <w:p w14:paraId="316EC7D6" w14:textId="77777777" w:rsidR="00D10CCF" w:rsidRDefault="00000000">
      <w:pPr>
        <w:pStyle w:val="TOC1"/>
        <w:rPr>
          <w:rFonts w:asciiTheme="minorHAnsi" w:eastAsiaTheme="minorEastAsia" w:hAnsiTheme="minorHAnsi" w:cstheme="minorBidi" w:hint="eastAsia"/>
          <w:szCs w:val="22"/>
          <w14:ligatures w14:val="standardContextual"/>
        </w:rPr>
      </w:pPr>
      <w:hyperlink w:anchor="_Toc176547942" w:history="1">
        <w:r>
          <w:rPr>
            <w:rStyle w:val="af2"/>
            <w:rFonts w:hint="eastAsia"/>
          </w:rPr>
          <w:t>九、废止现行有关标准的建议</w:t>
        </w:r>
        <w:r>
          <w:rPr>
            <w:rFonts w:hint="eastAsia"/>
          </w:rPr>
          <w:tab/>
        </w:r>
        <w:r>
          <w:rPr>
            <w:rFonts w:hint="eastAsia"/>
          </w:rPr>
          <w:fldChar w:fldCharType="begin"/>
        </w:r>
        <w:r>
          <w:rPr>
            <w:rFonts w:hint="eastAsia"/>
          </w:rPr>
          <w:instrText xml:space="preserve"> </w:instrText>
        </w:r>
        <w:r>
          <w:instrText>PAGEREF _Toc176547942 \h</w:instrText>
        </w:r>
        <w:r>
          <w:rPr>
            <w:rFonts w:hint="eastAsia"/>
          </w:rPr>
          <w:instrText xml:space="preserve"> </w:instrText>
        </w:r>
        <w:r>
          <w:rPr>
            <w:rFonts w:hint="eastAsia"/>
          </w:rPr>
        </w:r>
        <w:r>
          <w:rPr>
            <w:rFonts w:hint="eastAsia"/>
          </w:rPr>
          <w:fldChar w:fldCharType="separate"/>
        </w:r>
        <w:r>
          <w:t>9</w:t>
        </w:r>
        <w:r>
          <w:rPr>
            <w:rFonts w:hint="eastAsia"/>
          </w:rPr>
          <w:fldChar w:fldCharType="end"/>
        </w:r>
      </w:hyperlink>
    </w:p>
    <w:p w14:paraId="01F523EE" w14:textId="77777777" w:rsidR="00D10CCF" w:rsidRDefault="00000000">
      <w:pPr>
        <w:pStyle w:val="TOC1"/>
        <w:rPr>
          <w:rFonts w:asciiTheme="minorHAnsi" w:eastAsiaTheme="minorEastAsia" w:hAnsiTheme="minorHAnsi" w:cstheme="minorBidi" w:hint="eastAsia"/>
          <w:szCs w:val="22"/>
          <w14:ligatures w14:val="standardContextual"/>
        </w:rPr>
      </w:pPr>
      <w:hyperlink w:anchor="_Toc176547943" w:history="1">
        <w:r>
          <w:rPr>
            <w:rStyle w:val="af2"/>
            <w:rFonts w:hint="eastAsia"/>
          </w:rPr>
          <w:t>十、其他应予说明的事项</w:t>
        </w:r>
        <w:r>
          <w:rPr>
            <w:rFonts w:hint="eastAsia"/>
          </w:rPr>
          <w:tab/>
        </w:r>
        <w:r>
          <w:rPr>
            <w:rFonts w:hint="eastAsia"/>
          </w:rPr>
          <w:fldChar w:fldCharType="begin"/>
        </w:r>
        <w:r>
          <w:rPr>
            <w:rFonts w:hint="eastAsia"/>
          </w:rPr>
          <w:instrText xml:space="preserve"> </w:instrText>
        </w:r>
        <w:r>
          <w:instrText>PAGEREF _Toc176547943 \h</w:instrText>
        </w:r>
        <w:r>
          <w:rPr>
            <w:rFonts w:hint="eastAsia"/>
          </w:rPr>
          <w:instrText xml:space="preserve"> </w:instrText>
        </w:r>
        <w:r>
          <w:rPr>
            <w:rFonts w:hint="eastAsia"/>
          </w:rPr>
        </w:r>
        <w:r>
          <w:rPr>
            <w:rFonts w:hint="eastAsia"/>
          </w:rPr>
          <w:fldChar w:fldCharType="separate"/>
        </w:r>
        <w:r>
          <w:t>9</w:t>
        </w:r>
        <w:r>
          <w:rPr>
            <w:rFonts w:hint="eastAsia"/>
          </w:rPr>
          <w:fldChar w:fldCharType="end"/>
        </w:r>
      </w:hyperlink>
    </w:p>
    <w:p w14:paraId="7755D24F" w14:textId="77777777" w:rsidR="00D10CCF" w:rsidRDefault="00000000">
      <w:pPr>
        <w:spacing w:line="360" w:lineRule="auto"/>
        <w:rPr>
          <w:sz w:val="24"/>
          <w:szCs w:val="24"/>
        </w:rPr>
      </w:pPr>
      <w:r>
        <w:rPr>
          <w:b/>
          <w:bCs/>
          <w:sz w:val="24"/>
          <w:szCs w:val="24"/>
          <w:lang w:val="zh-CN"/>
        </w:rPr>
        <w:fldChar w:fldCharType="end"/>
      </w:r>
    </w:p>
    <w:p w14:paraId="32720C13" w14:textId="77777777" w:rsidR="00D10CCF" w:rsidRDefault="00D10CCF">
      <w:pPr>
        <w:pStyle w:val="af5"/>
        <w:spacing w:beforeLines="100" w:before="312" w:afterLines="100" w:after="312" w:line="420" w:lineRule="exact"/>
        <w:ind w:firstLineChars="0"/>
        <w:rPr>
          <w:b/>
          <w:color w:val="000000"/>
          <w:sz w:val="28"/>
          <w:szCs w:val="28"/>
        </w:rPr>
      </w:pPr>
    </w:p>
    <w:p w14:paraId="3EB17BB0" w14:textId="77777777" w:rsidR="00D10CCF" w:rsidRDefault="00000000">
      <w:pPr>
        <w:pStyle w:val="1"/>
        <w:spacing w:before="0" w:after="0"/>
        <w:rPr>
          <w:sz w:val="24"/>
          <w:szCs w:val="40"/>
        </w:rPr>
      </w:pPr>
      <w:r>
        <w:br w:type="page"/>
        <w:t xml:space="preserve"> </w:t>
      </w:r>
      <w:bookmarkStart w:id="2" w:name="_Toc176547930"/>
      <w:r>
        <w:rPr>
          <w:rFonts w:hint="eastAsia"/>
          <w:sz w:val="24"/>
          <w:szCs w:val="40"/>
        </w:rPr>
        <w:t>一、任务来源及标准制定背景</w:t>
      </w:r>
      <w:bookmarkEnd w:id="2"/>
    </w:p>
    <w:p w14:paraId="39E2EE66" w14:textId="77777777" w:rsidR="00D10CCF" w:rsidRDefault="00000000">
      <w:pPr>
        <w:pStyle w:val="2"/>
        <w:spacing w:before="0" w:after="0"/>
        <w:rPr>
          <w:rFonts w:hint="eastAsia"/>
          <w:sz w:val="22"/>
          <w:szCs w:val="28"/>
        </w:rPr>
      </w:pPr>
      <w:bookmarkStart w:id="3" w:name="_Toc176547931"/>
      <w:r>
        <w:rPr>
          <w:rFonts w:hint="eastAsia"/>
          <w:sz w:val="22"/>
          <w:szCs w:val="28"/>
        </w:rPr>
        <w:t>1</w:t>
      </w:r>
      <w:r>
        <w:rPr>
          <w:rFonts w:hint="eastAsia"/>
          <w:sz w:val="22"/>
          <w:szCs w:val="28"/>
        </w:rPr>
        <w:t>、任务来源</w:t>
      </w:r>
      <w:bookmarkEnd w:id="3"/>
    </w:p>
    <w:p w14:paraId="51E08244" w14:textId="77777777" w:rsidR="00D10CCF" w:rsidRDefault="00000000">
      <w:pPr>
        <w:widowControl/>
        <w:adjustRightInd w:val="0"/>
        <w:snapToGrid w:val="0"/>
        <w:spacing w:line="360" w:lineRule="auto"/>
        <w:ind w:firstLineChars="200" w:firstLine="440"/>
        <w:rPr>
          <w:rFonts w:ascii="宋体" w:hAnsi="宋体" w:cs="黑体" w:hint="eastAsia"/>
          <w:kern w:val="0"/>
          <w:sz w:val="22"/>
          <w:szCs w:val="20"/>
        </w:rPr>
      </w:pPr>
      <w:r>
        <w:rPr>
          <w:rFonts w:ascii="宋体" w:hAnsi="宋体" w:cs="黑体" w:hint="eastAsia"/>
          <w:kern w:val="0"/>
          <w:sz w:val="22"/>
          <w:szCs w:val="20"/>
        </w:rPr>
        <w:t>本技术规程由那曲市农牧业（草业）科技研究推广中心、中国农业科学院农业环境与可持续发展研究所、</w:t>
      </w:r>
      <w:r>
        <w:rPr>
          <w:rFonts w:hint="eastAsia"/>
          <w:color w:val="000000"/>
          <w:kern w:val="0"/>
          <w:sz w:val="22"/>
          <w:szCs w:val="22"/>
        </w:rPr>
        <w:t>西藏宝弘农牧科技有限责任公司</w:t>
      </w:r>
      <w:r>
        <w:rPr>
          <w:rFonts w:ascii="宋体" w:hAnsi="宋体" w:cs="黑体" w:hint="eastAsia"/>
          <w:kern w:val="0"/>
          <w:sz w:val="22"/>
          <w:szCs w:val="20"/>
        </w:rPr>
        <w:t>共同申报。</w:t>
      </w:r>
    </w:p>
    <w:p w14:paraId="41DA4036" w14:textId="77777777" w:rsidR="00D10CCF" w:rsidRDefault="00000000">
      <w:pPr>
        <w:pStyle w:val="2"/>
        <w:spacing w:before="0" w:after="0"/>
        <w:rPr>
          <w:rFonts w:hint="eastAsia"/>
          <w:sz w:val="22"/>
          <w:szCs w:val="28"/>
        </w:rPr>
      </w:pPr>
      <w:r>
        <w:rPr>
          <w:rFonts w:hint="eastAsia"/>
          <w:sz w:val="22"/>
          <w:szCs w:val="28"/>
        </w:rPr>
        <w:t>2</w:t>
      </w:r>
      <w:r>
        <w:rPr>
          <w:rFonts w:hint="eastAsia"/>
          <w:sz w:val="22"/>
          <w:szCs w:val="28"/>
        </w:rPr>
        <w:t>、承担单位</w:t>
      </w:r>
    </w:p>
    <w:p w14:paraId="6CD1F1B8" w14:textId="77777777" w:rsidR="00D10CCF" w:rsidRDefault="00000000">
      <w:pPr>
        <w:widowControl/>
        <w:adjustRightInd w:val="0"/>
        <w:snapToGrid w:val="0"/>
        <w:spacing w:line="360" w:lineRule="auto"/>
        <w:ind w:firstLineChars="200" w:firstLine="440"/>
        <w:rPr>
          <w:rFonts w:ascii="宋体" w:hAnsi="宋体" w:cs="黑体" w:hint="eastAsia"/>
          <w:kern w:val="0"/>
          <w:sz w:val="22"/>
          <w:szCs w:val="20"/>
        </w:rPr>
      </w:pPr>
      <w:r>
        <w:rPr>
          <w:rFonts w:ascii="宋体" w:hAnsi="宋体" w:cs="黑体"/>
          <w:kern w:val="0"/>
          <w:sz w:val="22"/>
          <w:szCs w:val="20"/>
        </w:rPr>
        <w:t>那曲市农牧业（草业）科技研究推广中心</w:t>
      </w:r>
      <w:r>
        <w:rPr>
          <w:rFonts w:ascii="宋体" w:hAnsi="宋体" w:cs="黑体" w:hint="eastAsia"/>
          <w:kern w:val="0"/>
          <w:sz w:val="22"/>
          <w:szCs w:val="20"/>
        </w:rPr>
        <w:t>：</w:t>
      </w:r>
      <w:r>
        <w:rPr>
          <w:rFonts w:ascii="宋体" w:hAnsi="宋体" w:cs="黑体"/>
          <w:kern w:val="0"/>
          <w:sz w:val="22"/>
          <w:szCs w:val="20"/>
        </w:rPr>
        <w:t>现有专业技术人员52人，其中高级职称13人，中级职称27人，初级职称12人。近年来，以基础研究、成果转化、技术推广和服务牧业产业为核心目标，主要承担了《那曲市牧业产业化发展科技攻关研究项目》《那曲适应性牧草品种筛选及高寒草地提质增效关键技术研究与示范》《退化高寒草甸生态修复与固碳增汇协同技术研究》《藏北那曲高寒牧区草牧业科技创新与示范》等20余项科研项目。</w:t>
      </w:r>
      <w:r>
        <w:rPr>
          <w:rFonts w:ascii="宋体" w:hAnsi="宋体" w:cs="黑体" w:hint="eastAsia"/>
          <w:kern w:val="0"/>
          <w:sz w:val="22"/>
          <w:szCs w:val="20"/>
        </w:rPr>
        <w:t>在</w:t>
      </w:r>
      <w:r>
        <w:rPr>
          <w:rFonts w:ascii="宋体" w:hAnsi="宋体" w:cs="黑体"/>
          <w:kern w:val="0"/>
          <w:sz w:val="22"/>
          <w:szCs w:val="20"/>
        </w:rPr>
        <w:t>省级以上期刊发表学术论文200余篇，编写技术手册5项，出版专著2部；研发了44项专利，转化成果10项。编制了团体标准5项、地方标准6项、技术标准3项。制作植物标本500余份，鉴定植物300余种，采集入库乡土野生牧草种子50种，筛选优势野生牧草16种，在试验田具有潜力、适应性强的栽培驯化品种8种，形成草地生态修复重建混播组合处理3个</w:t>
      </w:r>
      <w:r>
        <w:rPr>
          <w:rFonts w:ascii="宋体" w:hAnsi="宋体" w:cs="黑体" w:hint="eastAsia"/>
          <w:kern w:val="0"/>
          <w:sz w:val="22"/>
          <w:szCs w:val="20"/>
        </w:rPr>
        <w:t>。</w:t>
      </w:r>
      <w:r>
        <w:rPr>
          <w:rFonts w:ascii="宋体" w:hAnsi="宋体" w:cs="黑体"/>
          <w:kern w:val="0"/>
          <w:sz w:val="22"/>
          <w:szCs w:val="20"/>
        </w:rPr>
        <w:t>荣获“2019-2021年度全国农牧渔业丰收奖”一等奖，“西藏自治区科学技术奖”一、二、三等奖，教育部、农业农村部和中国科协授予“西藏那曲草业科技小院”。</w:t>
      </w:r>
      <w:bookmarkStart w:id="4" w:name="_Toc176547932"/>
    </w:p>
    <w:p w14:paraId="42BC94C7" w14:textId="77777777" w:rsidR="00D10CCF" w:rsidRDefault="00000000">
      <w:pPr>
        <w:pStyle w:val="2"/>
        <w:spacing w:before="0" w:after="0"/>
        <w:rPr>
          <w:rFonts w:hint="eastAsia"/>
          <w:sz w:val="22"/>
          <w:szCs w:val="28"/>
        </w:rPr>
      </w:pPr>
      <w:r>
        <w:rPr>
          <w:rFonts w:hint="eastAsia"/>
          <w:sz w:val="22"/>
          <w:szCs w:val="28"/>
        </w:rPr>
        <w:t>3</w:t>
      </w:r>
      <w:r>
        <w:rPr>
          <w:rFonts w:hint="eastAsia"/>
          <w:sz w:val="22"/>
          <w:szCs w:val="28"/>
        </w:rPr>
        <w:t>、标准制定背景</w:t>
      </w:r>
      <w:bookmarkStart w:id="5" w:name="_Toc176547933"/>
      <w:bookmarkEnd w:id="4"/>
    </w:p>
    <w:p w14:paraId="1EF48B25" w14:textId="77777777" w:rsidR="00D10CCF" w:rsidRDefault="00000000">
      <w:pPr>
        <w:adjustRightInd w:val="0"/>
        <w:snapToGrid w:val="0"/>
        <w:spacing w:line="360" w:lineRule="auto"/>
        <w:ind w:firstLineChars="200" w:firstLine="440"/>
        <w:rPr>
          <w:rFonts w:ascii="宋体" w:hAnsi="宋体" w:cs="黑体" w:hint="eastAsia"/>
          <w:kern w:val="0"/>
          <w:sz w:val="22"/>
          <w:szCs w:val="20"/>
        </w:rPr>
      </w:pPr>
      <w:r>
        <w:rPr>
          <w:rFonts w:ascii="宋体" w:hAnsi="宋体" w:cs="黑体" w:hint="eastAsia"/>
          <w:kern w:val="0"/>
          <w:sz w:val="22"/>
          <w:szCs w:val="20"/>
        </w:rPr>
        <w:t>藏北那曲属于高海拔寒带气候，平均海拔4500米以上，年平均气温-2.9℃~3.4℃，年降水量247.3~513.6mm，年蒸发量1500~2300mm，无绝对无霜期，植物全年生长期仅约100天，土壤以高寒草原土为主，肥力中下，生态系统极其脆弱。近年来，随着那曲市草原生态修复治理工作的推进和农牧民生活水平的提升，房前屋后闲置土地（庭院空地、房屋周边边坡、围栏内闲置地块等）的利用需求日益增加，人工种草成为农牧民解决牲畜冬春补饲、美化庭院环境、辅助草原生态修复的重要方式。</w:t>
      </w:r>
    </w:p>
    <w:p w14:paraId="5D360FAC" w14:textId="77777777" w:rsidR="00D10CCF" w:rsidRDefault="00000000">
      <w:pPr>
        <w:adjustRightInd w:val="0"/>
        <w:snapToGrid w:val="0"/>
        <w:spacing w:line="360" w:lineRule="auto"/>
        <w:ind w:firstLineChars="200" w:firstLine="440"/>
        <w:rPr>
          <w:rFonts w:ascii="宋体" w:hAnsi="宋体" w:cs="黑体" w:hint="eastAsia"/>
          <w:kern w:val="0"/>
          <w:sz w:val="22"/>
          <w:szCs w:val="20"/>
        </w:rPr>
      </w:pPr>
      <w:r>
        <w:rPr>
          <w:rFonts w:ascii="宋体" w:hAnsi="宋体" w:cs="黑体" w:hint="eastAsia"/>
          <w:kern w:val="0"/>
          <w:sz w:val="22"/>
          <w:szCs w:val="20"/>
        </w:rPr>
        <w:t>但目前那曲地区房前屋后人工种草缺乏统一的技术规范，农牧民多凭经验种草，存在草种选择盲目、播种时间不合理、土壤整治不到位、田间管理粗放等问题，导致种草成活率普遍低于30%，部分地块甚至出现“种而不长、长而不旺”的现象，不仅浪费人力物力，还难以发挥种草的生态和经济效益。同时，那曲市已采集入库乡土野生牧草种子50种，筛选优势野生牧草品种16种，驯化适宜栽培品种8种，具备了房前屋后人工种草的技术和品种基础，亟需制定一套贴合那曲高海拔实际、可操作性强的技术规程，规范种草各环节操作，提升种草成活率和利用效益，助力那曲市草原生态保护和农牧业高质量发展，落实那曲市“科学落实草畜平衡政策，提升饲草供给能力”的工作要求。</w:t>
      </w:r>
    </w:p>
    <w:p w14:paraId="2D781F81" w14:textId="77777777" w:rsidR="00D10CCF" w:rsidRDefault="00000000">
      <w:pPr>
        <w:pStyle w:val="2"/>
        <w:spacing w:before="0" w:after="0"/>
        <w:rPr>
          <w:rFonts w:hint="eastAsia"/>
          <w:sz w:val="22"/>
          <w:szCs w:val="28"/>
        </w:rPr>
      </w:pPr>
      <w:r>
        <w:rPr>
          <w:rFonts w:hint="eastAsia"/>
          <w:sz w:val="22"/>
          <w:szCs w:val="28"/>
        </w:rPr>
        <w:t>4</w:t>
      </w:r>
      <w:r>
        <w:rPr>
          <w:rFonts w:hint="eastAsia"/>
          <w:sz w:val="22"/>
          <w:szCs w:val="28"/>
        </w:rPr>
        <w:t>、起草人情况</w:t>
      </w:r>
    </w:p>
    <w:p w14:paraId="3980EE7E" w14:textId="77777777" w:rsidR="00D10CCF" w:rsidRDefault="00000000">
      <w:pPr>
        <w:adjustRightInd w:val="0"/>
        <w:snapToGrid w:val="0"/>
        <w:spacing w:line="360" w:lineRule="auto"/>
        <w:ind w:firstLineChars="200" w:firstLine="440"/>
        <w:rPr>
          <w:rFonts w:ascii="宋体" w:hAnsi="宋体" w:cs="黑体" w:hint="eastAsia"/>
          <w:kern w:val="0"/>
          <w:sz w:val="22"/>
          <w:szCs w:val="20"/>
        </w:rPr>
      </w:pPr>
      <w:r>
        <w:rPr>
          <w:rFonts w:ascii="宋体" w:hAnsi="宋体" w:cs="黑体"/>
          <w:kern w:val="0"/>
          <w:sz w:val="22"/>
          <w:szCs w:val="20"/>
        </w:rPr>
        <w:t>何世丞，畜牧师，任职于那曲市农牧业（草业）科技研究推广中心</w:t>
      </w:r>
      <w:r>
        <w:rPr>
          <w:rFonts w:ascii="宋体" w:hAnsi="宋体" w:cs="黑体" w:hint="eastAsia"/>
          <w:kern w:val="0"/>
          <w:sz w:val="22"/>
          <w:szCs w:val="20"/>
        </w:rPr>
        <w:t>草业研究所副所长</w:t>
      </w:r>
      <w:r>
        <w:rPr>
          <w:rFonts w:ascii="宋体" w:hAnsi="宋体" w:cs="黑体"/>
          <w:kern w:val="0"/>
          <w:sz w:val="22"/>
          <w:szCs w:val="20"/>
        </w:rPr>
        <w:t>，系“农业农村部农业环境那曲野外科学观测研究站”“西藏那曲草业科技小院”核心成员。长期从事藏北高原高寒草原生态保护、草牧业科研与技术服务，重点研究乡土草种驯化等相关技术。工作期间，主持那曲市科技局重大专项等5项，作为核心成员参与国家、自治区、市级科研项目10余项。以第一作者、通讯作者或核心作者身份，在多个专业期刊公开发表学术论文10余篇，作为发明人获得授权实用新型专利8项。</w:t>
      </w:r>
    </w:p>
    <w:p w14:paraId="64DA9786" w14:textId="77777777" w:rsidR="00D10CCF" w:rsidRDefault="00000000">
      <w:pPr>
        <w:pStyle w:val="1"/>
        <w:spacing w:before="0" w:after="0"/>
        <w:rPr>
          <w:sz w:val="24"/>
          <w:szCs w:val="40"/>
        </w:rPr>
      </w:pPr>
      <w:r>
        <w:rPr>
          <w:rFonts w:hint="eastAsia"/>
          <w:sz w:val="24"/>
          <w:szCs w:val="40"/>
        </w:rPr>
        <w:t>二、主要工作过程</w:t>
      </w:r>
      <w:bookmarkEnd w:id="5"/>
    </w:p>
    <w:p w14:paraId="56B54B53" w14:textId="77777777" w:rsidR="00D10CCF" w:rsidRDefault="00000000">
      <w:pPr>
        <w:spacing w:line="360" w:lineRule="auto"/>
        <w:ind w:firstLineChars="200" w:firstLine="440"/>
        <w:rPr>
          <w:bCs/>
          <w:sz w:val="22"/>
          <w:szCs w:val="20"/>
        </w:rPr>
      </w:pPr>
      <w:r>
        <w:rPr>
          <w:rFonts w:hint="eastAsia"/>
          <w:bCs/>
          <w:sz w:val="22"/>
          <w:szCs w:val="20"/>
        </w:rPr>
        <w:t>调研筹备阶段（</w:t>
      </w:r>
      <w:r>
        <w:rPr>
          <w:rFonts w:hint="eastAsia"/>
          <w:bCs/>
          <w:sz w:val="22"/>
          <w:szCs w:val="20"/>
        </w:rPr>
        <w:t>2019</w:t>
      </w:r>
      <w:r>
        <w:rPr>
          <w:rFonts w:hint="eastAsia"/>
          <w:bCs/>
          <w:sz w:val="22"/>
          <w:szCs w:val="20"/>
        </w:rPr>
        <w:t>年</w:t>
      </w:r>
      <w:r>
        <w:rPr>
          <w:rFonts w:hint="eastAsia"/>
          <w:bCs/>
          <w:sz w:val="22"/>
          <w:szCs w:val="20"/>
        </w:rPr>
        <w:t>1</w:t>
      </w:r>
      <w:r>
        <w:rPr>
          <w:rFonts w:hint="eastAsia"/>
          <w:bCs/>
          <w:sz w:val="22"/>
          <w:szCs w:val="20"/>
        </w:rPr>
        <w:t>月—</w:t>
      </w:r>
      <w:r>
        <w:rPr>
          <w:rFonts w:hint="eastAsia"/>
          <w:bCs/>
          <w:sz w:val="22"/>
          <w:szCs w:val="20"/>
        </w:rPr>
        <w:t>2022</w:t>
      </w:r>
      <w:r>
        <w:rPr>
          <w:rFonts w:hint="eastAsia"/>
          <w:bCs/>
          <w:sz w:val="22"/>
          <w:szCs w:val="20"/>
        </w:rPr>
        <w:t>年</w:t>
      </w:r>
      <w:r>
        <w:rPr>
          <w:rFonts w:hint="eastAsia"/>
          <w:bCs/>
          <w:sz w:val="22"/>
          <w:szCs w:val="20"/>
        </w:rPr>
        <w:t>12</w:t>
      </w:r>
      <w:r>
        <w:rPr>
          <w:rFonts w:hint="eastAsia"/>
          <w:bCs/>
          <w:sz w:val="22"/>
          <w:szCs w:val="20"/>
        </w:rPr>
        <w:t>月）：牵头单位组织起草组成员，积极申报自治区级、市级科研项目，开展房前屋后人工种草技术研究工作，同时深入那曲市开展房前屋后人工种草现状调研，重点排查闲置土地类型、土壤条件、农牧民种草需求和现存问题，完成调研报告，确定规程编制的核心重点和方向。</w:t>
      </w:r>
    </w:p>
    <w:p w14:paraId="077F094A" w14:textId="77777777" w:rsidR="00D10CCF" w:rsidRDefault="00000000">
      <w:pPr>
        <w:spacing w:line="360" w:lineRule="auto"/>
        <w:ind w:firstLineChars="200" w:firstLine="440"/>
        <w:rPr>
          <w:bCs/>
          <w:sz w:val="22"/>
          <w:szCs w:val="20"/>
        </w:rPr>
      </w:pPr>
      <w:r>
        <w:rPr>
          <w:rFonts w:hint="eastAsia"/>
          <w:bCs/>
          <w:sz w:val="22"/>
          <w:szCs w:val="20"/>
        </w:rPr>
        <w:t>草案编制阶段（</w:t>
      </w:r>
      <w:r>
        <w:rPr>
          <w:rFonts w:hint="eastAsia"/>
          <w:bCs/>
          <w:sz w:val="22"/>
          <w:szCs w:val="20"/>
        </w:rPr>
        <w:t>2023</w:t>
      </w:r>
      <w:r>
        <w:rPr>
          <w:rFonts w:hint="eastAsia"/>
          <w:bCs/>
          <w:sz w:val="22"/>
          <w:szCs w:val="20"/>
        </w:rPr>
        <w:t>年</w:t>
      </w:r>
      <w:r>
        <w:rPr>
          <w:rFonts w:hint="eastAsia"/>
          <w:bCs/>
          <w:sz w:val="22"/>
          <w:szCs w:val="20"/>
        </w:rPr>
        <w:t>1</w:t>
      </w:r>
      <w:r>
        <w:rPr>
          <w:rFonts w:hint="eastAsia"/>
          <w:bCs/>
          <w:sz w:val="22"/>
          <w:szCs w:val="20"/>
        </w:rPr>
        <w:t>月—</w:t>
      </w:r>
      <w:r>
        <w:rPr>
          <w:rFonts w:hint="eastAsia"/>
          <w:bCs/>
          <w:sz w:val="22"/>
          <w:szCs w:val="20"/>
        </w:rPr>
        <w:t>2023</w:t>
      </w:r>
      <w:r>
        <w:rPr>
          <w:rFonts w:hint="eastAsia"/>
          <w:bCs/>
          <w:sz w:val="22"/>
          <w:szCs w:val="20"/>
        </w:rPr>
        <w:t>年</w:t>
      </w:r>
      <w:r>
        <w:rPr>
          <w:rFonts w:hint="eastAsia"/>
          <w:bCs/>
          <w:sz w:val="22"/>
          <w:szCs w:val="20"/>
        </w:rPr>
        <w:t>12</w:t>
      </w:r>
      <w:r>
        <w:rPr>
          <w:rFonts w:hint="eastAsia"/>
          <w:bCs/>
          <w:sz w:val="22"/>
          <w:szCs w:val="20"/>
        </w:rPr>
        <w:t>月）：结合项目实施实验数据和调研结果，起草组成员分工协作，初步完成规程草案编制，明确草种选择、播种、田间管理、收获利用等各环节技术要求，确定相关技术指标和参数，形成初稿后，组织内部研讨，修改完善后形成规程征求意见稿。</w:t>
      </w:r>
    </w:p>
    <w:p w14:paraId="781436EA" w14:textId="77777777" w:rsidR="00D10CCF" w:rsidRDefault="00000000">
      <w:pPr>
        <w:spacing w:line="360" w:lineRule="auto"/>
        <w:ind w:firstLineChars="200" w:firstLine="440"/>
        <w:rPr>
          <w:bCs/>
          <w:sz w:val="22"/>
          <w:szCs w:val="20"/>
        </w:rPr>
      </w:pPr>
      <w:r>
        <w:rPr>
          <w:rFonts w:hint="eastAsia"/>
          <w:bCs/>
          <w:sz w:val="22"/>
          <w:szCs w:val="20"/>
        </w:rPr>
        <w:t>征求意见阶段（</w:t>
      </w:r>
      <w:r>
        <w:rPr>
          <w:rFonts w:hint="eastAsia"/>
          <w:bCs/>
          <w:sz w:val="22"/>
          <w:szCs w:val="20"/>
        </w:rPr>
        <w:t>2024</w:t>
      </w:r>
      <w:r>
        <w:rPr>
          <w:rFonts w:hint="eastAsia"/>
          <w:bCs/>
          <w:sz w:val="22"/>
          <w:szCs w:val="20"/>
        </w:rPr>
        <w:t>年</w:t>
      </w:r>
      <w:r>
        <w:rPr>
          <w:rFonts w:hint="eastAsia"/>
          <w:bCs/>
          <w:sz w:val="22"/>
          <w:szCs w:val="20"/>
        </w:rPr>
        <w:t>1</w:t>
      </w:r>
      <w:r>
        <w:rPr>
          <w:rFonts w:hint="eastAsia"/>
          <w:bCs/>
          <w:sz w:val="22"/>
          <w:szCs w:val="20"/>
        </w:rPr>
        <w:t>月—</w:t>
      </w:r>
      <w:r>
        <w:rPr>
          <w:rFonts w:hint="eastAsia"/>
          <w:bCs/>
          <w:sz w:val="22"/>
          <w:szCs w:val="20"/>
        </w:rPr>
        <w:t>2024</w:t>
      </w:r>
      <w:r>
        <w:rPr>
          <w:rFonts w:hint="eastAsia"/>
          <w:bCs/>
          <w:sz w:val="22"/>
          <w:szCs w:val="20"/>
        </w:rPr>
        <w:t>年</w:t>
      </w:r>
      <w:r>
        <w:rPr>
          <w:rFonts w:hint="eastAsia"/>
          <w:bCs/>
          <w:sz w:val="22"/>
          <w:szCs w:val="20"/>
        </w:rPr>
        <w:t>12</w:t>
      </w:r>
      <w:r>
        <w:rPr>
          <w:rFonts w:hint="eastAsia"/>
          <w:bCs/>
          <w:sz w:val="22"/>
          <w:szCs w:val="20"/>
        </w:rPr>
        <w:t>月）：将征求意见稿发送至那曲市各县（区），广泛征求意见，根据征求意见对规程进行修改，形成规程送审稿。</w:t>
      </w:r>
    </w:p>
    <w:p w14:paraId="1C0B6DFF" w14:textId="77777777" w:rsidR="00D10CCF" w:rsidRDefault="00000000">
      <w:pPr>
        <w:spacing w:line="360" w:lineRule="auto"/>
        <w:ind w:firstLineChars="200" w:firstLine="440"/>
        <w:rPr>
          <w:rFonts w:ascii="宋体" w:hAnsi="宋体" w:cs="宋体" w:hint="eastAsia"/>
          <w:sz w:val="22"/>
          <w:szCs w:val="20"/>
        </w:rPr>
      </w:pPr>
      <w:r>
        <w:rPr>
          <w:rFonts w:hint="eastAsia"/>
          <w:bCs/>
          <w:sz w:val="22"/>
          <w:szCs w:val="20"/>
        </w:rPr>
        <w:t>审核定稿阶段（</w:t>
      </w:r>
      <w:r>
        <w:rPr>
          <w:rFonts w:hint="eastAsia"/>
          <w:bCs/>
          <w:sz w:val="22"/>
          <w:szCs w:val="20"/>
        </w:rPr>
        <w:t>2025</w:t>
      </w:r>
      <w:r>
        <w:rPr>
          <w:rFonts w:hint="eastAsia"/>
          <w:bCs/>
          <w:sz w:val="22"/>
          <w:szCs w:val="20"/>
        </w:rPr>
        <w:t>年</w:t>
      </w:r>
      <w:r>
        <w:rPr>
          <w:rFonts w:hint="eastAsia"/>
          <w:bCs/>
          <w:sz w:val="22"/>
          <w:szCs w:val="20"/>
        </w:rPr>
        <w:t>8</w:t>
      </w:r>
      <w:r>
        <w:rPr>
          <w:rFonts w:hint="eastAsia"/>
          <w:bCs/>
          <w:sz w:val="22"/>
          <w:szCs w:val="20"/>
        </w:rPr>
        <w:t>月中旬）：组织市研推中心技术专家开展论证会，对规程送审稿的科学性、实用性、可操作性进行全面审核，</w:t>
      </w:r>
      <w:r>
        <w:rPr>
          <w:rFonts w:ascii="宋体" w:hAnsi="宋体" w:cs="宋体"/>
          <w:sz w:val="22"/>
          <w:szCs w:val="20"/>
        </w:rPr>
        <w:t>编写征求意见稿标准文本，编写《编制说明》</w:t>
      </w:r>
      <w:r>
        <w:rPr>
          <w:rFonts w:ascii="宋体" w:hAnsi="宋体" w:cs="宋体" w:hint="eastAsia"/>
          <w:sz w:val="22"/>
          <w:szCs w:val="20"/>
        </w:rPr>
        <w:t>。</w:t>
      </w:r>
    </w:p>
    <w:p w14:paraId="6D16E843" w14:textId="77777777" w:rsidR="00D10CCF" w:rsidRDefault="00000000">
      <w:pPr>
        <w:spacing w:line="360" w:lineRule="auto"/>
        <w:ind w:firstLineChars="200" w:firstLine="440"/>
        <w:rPr>
          <w:bCs/>
          <w:sz w:val="22"/>
          <w:szCs w:val="20"/>
        </w:rPr>
      </w:pPr>
      <w:r>
        <w:rPr>
          <w:rFonts w:hint="eastAsia"/>
          <w:bCs/>
          <w:sz w:val="22"/>
          <w:szCs w:val="20"/>
        </w:rPr>
        <w:t>由北京华夏草业产业技术创新战略联盟组织国内相关专家对《藏北那曲高海拔地区房前屋后人工种草技术规程》征求意见稿及编制说明进行会议评审。</w:t>
      </w:r>
    </w:p>
    <w:p w14:paraId="71F810C8" w14:textId="77777777" w:rsidR="00D10CCF" w:rsidRDefault="00000000">
      <w:pPr>
        <w:pStyle w:val="1"/>
        <w:spacing w:before="0" w:after="0"/>
        <w:rPr>
          <w:sz w:val="24"/>
          <w:szCs w:val="40"/>
        </w:rPr>
      </w:pPr>
      <w:bookmarkStart w:id="6" w:name="_Toc176547934"/>
      <w:r>
        <w:rPr>
          <w:rFonts w:hint="eastAsia"/>
          <w:sz w:val="24"/>
          <w:szCs w:val="40"/>
        </w:rPr>
        <w:t>三、标准编制原则和主要技术内容确定的依据</w:t>
      </w:r>
      <w:bookmarkEnd w:id="6"/>
    </w:p>
    <w:p w14:paraId="7EA6DAEF" w14:textId="77777777" w:rsidR="00D10CCF" w:rsidRDefault="00000000">
      <w:pPr>
        <w:pStyle w:val="2"/>
        <w:spacing w:before="0" w:after="0"/>
        <w:rPr>
          <w:rFonts w:ascii="Times New Roman" w:eastAsia="宋体" w:hAnsi="Times New Roman"/>
          <w:sz w:val="22"/>
          <w:szCs w:val="20"/>
        </w:rPr>
      </w:pPr>
      <w:bookmarkStart w:id="7" w:name="_Toc176547935"/>
      <w:r>
        <w:rPr>
          <w:rFonts w:hint="eastAsia"/>
          <w:sz w:val="22"/>
          <w:szCs w:val="28"/>
        </w:rPr>
        <w:t>1</w:t>
      </w:r>
      <w:r>
        <w:rPr>
          <w:rFonts w:hint="eastAsia"/>
          <w:sz w:val="22"/>
          <w:szCs w:val="28"/>
        </w:rPr>
        <w:t>、标准编制原则</w:t>
      </w:r>
      <w:bookmarkStart w:id="8" w:name="_Toc176547936"/>
      <w:bookmarkEnd w:id="7"/>
    </w:p>
    <w:p w14:paraId="244D2A0D" w14:textId="77777777" w:rsidR="00D10CCF" w:rsidRDefault="00000000">
      <w:pPr>
        <w:spacing w:line="360" w:lineRule="auto"/>
        <w:ind w:firstLineChars="200" w:firstLine="440"/>
        <w:rPr>
          <w:bCs/>
          <w:sz w:val="22"/>
          <w:szCs w:val="20"/>
        </w:rPr>
      </w:pPr>
      <w:r>
        <w:rPr>
          <w:rFonts w:hint="eastAsia"/>
          <w:bCs/>
          <w:sz w:val="22"/>
          <w:szCs w:val="20"/>
        </w:rPr>
        <w:t>科学性原则：严格遵循藏北那曲高海拔地区气候、土壤、植被生长规律，结合那曲市农牧业（草业）科技研究推广中心多年试验数据和科研成果，参考相关国家标准和行业规范，确保规程技术指标、参数科学合理，符合高寒地区种草实际。</w:t>
      </w:r>
    </w:p>
    <w:p w14:paraId="2E825845" w14:textId="77777777" w:rsidR="00D10CCF" w:rsidRDefault="00000000">
      <w:pPr>
        <w:spacing w:line="360" w:lineRule="auto"/>
        <w:ind w:firstLineChars="200" w:firstLine="440"/>
        <w:rPr>
          <w:bCs/>
          <w:sz w:val="22"/>
          <w:szCs w:val="20"/>
        </w:rPr>
      </w:pPr>
      <w:r>
        <w:rPr>
          <w:rFonts w:hint="eastAsia"/>
          <w:bCs/>
          <w:sz w:val="22"/>
          <w:szCs w:val="20"/>
        </w:rPr>
        <w:t>实用性原则：立足那曲农牧民生产生活实际，简化复杂操作流程，采用“通俗易懂、简单易行、成本低廉”的技术方法，避免使用高端设备和复杂工艺，确保农牧民能够快速掌握和应用，同时兼顾生态效益和经济效益。</w:t>
      </w:r>
    </w:p>
    <w:p w14:paraId="267047EE" w14:textId="77777777" w:rsidR="00D10CCF" w:rsidRDefault="00000000">
      <w:pPr>
        <w:spacing w:line="360" w:lineRule="auto"/>
        <w:ind w:firstLineChars="200" w:firstLine="440"/>
        <w:rPr>
          <w:bCs/>
          <w:sz w:val="22"/>
          <w:szCs w:val="20"/>
        </w:rPr>
      </w:pPr>
      <w:r>
        <w:rPr>
          <w:rFonts w:hint="eastAsia"/>
          <w:bCs/>
          <w:sz w:val="22"/>
          <w:szCs w:val="20"/>
        </w:rPr>
        <w:t>针对性原则：聚焦那曲房前屋后人工种草的突出问题（草种不适宜、成活率低、管理粗放等），针对性制定解决方案，重点明确草种选择、播种时间、土壤改良、越冬管理等核心环节，确保规程能够切实解决实际问题。</w:t>
      </w:r>
    </w:p>
    <w:p w14:paraId="1E5A606C" w14:textId="77777777" w:rsidR="00D10CCF" w:rsidRDefault="00000000">
      <w:pPr>
        <w:spacing w:line="360" w:lineRule="auto"/>
        <w:ind w:firstLineChars="200" w:firstLine="440"/>
        <w:rPr>
          <w:bCs/>
          <w:sz w:val="22"/>
          <w:szCs w:val="20"/>
        </w:rPr>
      </w:pPr>
      <w:r>
        <w:rPr>
          <w:rFonts w:hint="eastAsia"/>
          <w:bCs/>
          <w:sz w:val="22"/>
          <w:szCs w:val="20"/>
        </w:rPr>
        <w:t>规范性原则：严格按照</w:t>
      </w:r>
      <w:r>
        <w:rPr>
          <w:rFonts w:hint="eastAsia"/>
          <w:bCs/>
          <w:sz w:val="22"/>
          <w:szCs w:val="20"/>
        </w:rPr>
        <w:t>GB/T 1.1-2009</w:t>
      </w:r>
      <w:r>
        <w:rPr>
          <w:rFonts w:hint="eastAsia"/>
          <w:bCs/>
          <w:sz w:val="22"/>
          <w:szCs w:val="20"/>
        </w:rPr>
        <w:t>《标准化工作导则</w:t>
      </w:r>
      <w:r>
        <w:rPr>
          <w:rFonts w:hint="eastAsia"/>
          <w:bCs/>
          <w:sz w:val="22"/>
          <w:szCs w:val="20"/>
        </w:rPr>
        <w:t xml:space="preserve"> </w:t>
      </w:r>
      <w:r>
        <w:rPr>
          <w:rFonts w:hint="eastAsia"/>
          <w:bCs/>
          <w:sz w:val="22"/>
          <w:szCs w:val="20"/>
        </w:rPr>
        <w:t>第</w:t>
      </w:r>
      <w:r>
        <w:rPr>
          <w:rFonts w:hint="eastAsia"/>
          <w:bCs/>
          <w:sz w:val="22"/>
          <w:szCs w:val="20"/>
        </w:rPr>
        <w:t>1</w:t>
      </w:r>
      <w:r>
        <w:rPr>
          <w:rFonts w:hint="eastAsia"/>
          <w:bCs/>
          <w:sz w:val="22"/>
          <w:szCs w:val="20"/>
        </w:rPr>
        <w:t>部分：标准的结构和编写》要求编制，规范术语、技术要求、试验方法等内容，确保规程结构清晰、逻辑严谨、表述规范。</w:t>
      </w:r>
    </w:p>
    <w:p w14:paraId="7191725E" w14:textId="77777777" w:rsidR="00D10CCF" w:rsidRDefault="00000000">
      <w:pPr>
        <w:spacing w:line="360" w:lineRule="auto"/>
        <w:ind w:firstLineChars="200" w:firstLine="440"/>
        <w:rPr>
          <w:bCs/>
          <w:sz w:val="22"/>
          <w:szCs w:val="20"/>
        </w:rPr>
      </w:pPr>
      <w:r>
        <w:rPr>
          <w:rFonts w:hint="eastAsia"/>
          <w:bCs/>
          <w:sz w:val="22"/>
          <w:szCs w:val="20"/>
        </w:rPr>
        <w:t>因地制宜原则：结合那曲不同县（区）海拔差异（</w:t>
      </w:r>
      <w:r>
        <w:rPr>
          <w:rFonts w:hint="eastAsia"/>
          <w:bCs/>
          <w:sz w:val="22"/>
          <w:szCs w:val="20"/>
        </w:rPr>
        <w:t>4500~4800</w:t>
      </w:r>
      <w:r>
        <w:rPr>
          <w:rFonts w:hint="eastAsia"/>
          <w:bCs/>
          <w:sz w:val="22"/>
          <w:szCs w:val="20"/>
        </w:rPr>
        <w:t>米及以上）、土壤条件差异，针对性提出适配性技术要求，确保规程在那曲各地房前屋后均能适用。</w:t>
      </w:r>
    </w:p>
    <w:p w14:paraId="2A46D5F2" w14:textId="77777777" w:rsidR="00D10CCF" w:rsidRDefault="00000000">
      <w:pPr>
        <w:pStyle w:val="2"/>
        <w:spacing w:before="0" w:after="0"/>
        <w:rPr>
          <w:rFonts w:ascii="宋体" w:eastAsia="宋体" w:hAnsi="宋体" w:hint="eastAsia"/>
          <w:sz w:val="16"/>
          <w:szCs w:val="16"/>
        </w:rPr>
      </w:pPr>
      <w:r>
        <w:rPr>
          <w:rFonts w:hint="eastAsia"/>
          <w:sz w:val="22"/>
          <w:szCs w:val="28"/>
        </w:rPr>
        <w:t>2</w:t>
      </w:r>
      <w:r>
        <w:rPr>
          <w:rFonts w:hint="eastAsia"/>
          <w:sz w:val="22"/>
          <w:szCs w:val="28"/>
        </w:rPr>
        <w:t>、主要技术内容确定的论据</w:t>
      </w:r>
      <w:bookmarkEnd w:id="8"/>
      <w:r>
        <w:rPr>
          <w:rFonts w:hint="eastAsia"/>
          <w:sz w:val="22"/>
          <w:szCs w:val="28"/>
        </w:rPr>
        <w:t xml:space="preserve"> </w:t>
      </w:r>
    </w:p>
    <w:p w14:paraId="7A8A7E00" w14:textId="77777777" w:rsidR="00D10CCF" w:rsidRDefault="00000000">
      <w:pPr>
        <w:spacing w:line="360" w:lineRule="auto"/>
        <w:ind w:left="480"/>
        <w:rPr>
          <w:b/>
          <w:color w:val="000000"/>
          <w:sz w:val="22"/>
          <w:szCs w:val="20"/>
        </w:rPr>
      </w:pPr>
      <w:r>
        <w:rPr>
          <w:b/>
          <w:color w:val="000000"/>
          <w:sz w:val="22"/>
          <w:szCs w:val="20"/>
        </w:rPr>
        <w:t>（</w:t>
      </w:r>
      <w:r>
        <w:rPr>
          <w:b/>
          <w:color w:val="000000"/>
          <w:sz w:val="22"/>
          <w:szCs w:val="20"/>
        </w:rPr>
        <w:t>1</w:t>
      </w:r>
      <w:r>
        <w:rPr>
          <w:b/>
          <w:color w:val="000000"/>
          <w:sz w:val="22"/>
          <w:szCs w:val="20"/>
        </w:rPr>
        <w:t>）</w:t>
      </w:r>
      <w:r>
        <w:rPr>
          <w:rFonts w:hint="eastAsia"/>
          <w:b/>
          <w:color w:val="000000"/>
          <w:sz w:val="22"/>
          <w:szCs w:val="20"/>
        </w:rPr>
        <w:t>适用范围</w:t>
      </w:r>
    </w:p>
    <w:p w14:paraId="5EFF6FCE" w14:textId="77777777" w:rsidR="00D10CCF" w:rsidRDefault="00000000">
      <w:pPr>
        <w:spacing w:line="360" w:lineRule="auto"/>
        <w:ind w:firstLineChars="200" w:firstLine="440"/>
        <w:rPr>
          <w:sz w:val="22"/>
          <w:szCs w:val="20"/>
        </w:rPr>
      </w:pPr>
      <w:r>
        <w:rPr>
          <w:rFonts w:hint="eastAsia"/>
          <w:sz w:val="22"/>
          <w:szCs w:val="20"/>
        </w:rPr>
        <w:t>本规程适用于藏北那曲高海拔地区（海拔</w:t>
      </w:r>
      <w:r>
        <w:rPr>
          <w:rFonts w:hint="eastAsia"/>
          <w:sz w:val="22"/>
          <w:szCs w:val="20"/>
        </w:rPr>
        <w:t>4500</w:t>
      </w:r>
      <w:r>
        <w:rPr>
          <w:rFonts w:hint="eastAsia"/>
          <w:sz w:val="22"/>
          <w:szCs w:val="20"/>
        </w:rPr>
        <w:t>米以上）房前屋后闲置土地（庭院空地、房屋周边边坡、围栏内闲置地块等）的人工种草活动，涵盖种草全流程操作，不适用于大面积人工草场建植。确定依据：结合那曲调研结果，房前屋后种草地块面积小、地形复杂、用途以家庭补饲和庭院美化为主，与大面积人工草场建植差异较大，需单独制定规范，同时覆盖那曲主要高海拔区域，确保适用性。</w:t>
      </w:r>
    </w:p>
    <w:p w14:paraId="17CCAAB6" w14:textId="77777777" w:rsidR="00D10CCF" w:rsidRDefault="00000000">
      <w:pPr>
        <w:spacing w:line="360" w:lineRule="auto"/>
        <w:ind w:left="480"/>
        <w:rPr>
          <w:b/>
          <w:color w:val="000000"/>
          <w:sz w:val="22"/>
          <w:szCs w:val="20"/>
        </w:rPr>
      </w:pPr>
      <w:r>
        <w:rPr>
          <w:rFonts w:hint="eastAsia"/>
          <w:b/>
          <w:color w:val="000000"/>
          <w:sz w:val="22"/>
          <w:szCs w:val="20"/>
        </w:rPr>
        <w:t>（</w:t>
      </w:r>
      <w:r>
        <w:rPr>
          <w:rFonts w:hint="eastAsia"/>
          <w:b/>
          <w:color w:val="000000"/>
          <w:sz w:val="22"/>
          <w:szCs w:val="20"/>
        </w:rPr>
        <w:t>2</w:t>
      </w:r>
      <w:r>
        <w:rPr>
          <w:rFonts w:hint="eastAsia"/>
          <w:b/>
          <w:color w:val="000000"/>
          <w:sz w:val="22"/>
          <w:szCs w:val="20"/>
        </w:rPr>
        <w:t>）主要技术内容：</w:t>
      </w:r>
    </w:p>
    <w:p w14:paraId="498D5287" w14:textId="77777777" w:rsidR="00D10CCF" w:rsidRDefault="00000000">
      <w:pPr>
        <w:spacing w:line="360" w:lineRule="auto"/>
        <w:ind w:firstLineChars="200" w:firstLine="440"/>
        <w:rPr>
          <w:sz w:val="22"/>
          <w:szCs w:val="20"/>
        </w:rPr>
      </w:pPr>
      <w:r>
        <w:rPr>
          <w:rFonts w:hint="eastAsia"/>
          <w:sz w:val="22"/>
          <w:szCs w:val="20"/>
        </w:rPr>
        <w:t>本标准针对那曲</w:t>
      </w:r>
      <w:r>
        <w:rPr>
          <w:rFonts w:hint="eastAsia"/>
          <w:sz w:val="22"/>
          <w:szCs w:val="20"/>
        </w:rPr>
        <w:t>4500</w:t>
      </w:r>
      <w:r>
        <w:rPr>
          <w:rFonts w:hint="eastAsia"/>
          <w:sz w:val="22"/>
          <w:szCs w:val="20"/>
        </w:rPr>
        <w:t>米及以上极高海拔区域特点，制定全流程技术规范：产地选择明确土壤覆盖、地形平坦、微型农机可操作的要求；播种前准备含肥力调节、</w:t>
      </w:r>
      <w:r>
        <w:rPr>
          <w:rFonts w:hint="eastAsia"/>
          <w:sz w:val="22"/>
          <w:szCs w:val="20"/>
        </w:rPr>
        <w:t>15-20cm</w:t>
      </w:r>
      <w:r>
        <w:rPr>
          <w:rFonts w:hint="eastAsia"/>
          <w:sz w:val="22"/>
          <w:szCs w:val="20"/>
        </w:rPr>
        <w:t>深度翻耕整地，筛选一年生（青海</w:t>
      </w:r>
      <w:r>
        <w:rPr>
          <w:rFonts w:hint="eastAsia"/>
          <w:sz w:val="22"/>
          <w:szCs w:val="20"/>
        </w:rPr>
        <w:t>444</w:t>
      </w:r>
      <w:r>
        <w:rPr>
          <w:rFonts w:hint="eastAsia"/>
          <w:sz w:val="22"/>
          <w:szCs w:val="20"/>
        </w:rPr>
        <w:t>、甜燕麦等）和多年生（垂穗披碱草、同德小花碱茅等）适配品种，</w:t>
      </w:r>
      <w:r>
        <w:rPr>
          <w:rFonts w:hint="eastAsia"/>
          <w:sz w:val="22"/>
          <w:szCs w:val="20"/>
        </w:rPr>
        <w:t>4800</w:t>
      </w:r>
      <w:r>
        <w:rPr>
          <w:rFonts w:hint="eastAsia"/>
          <w:sz w:val="22"/>
          <w:szCs w:val="20"/>
        </w:rPr>
        <w:t>米区域侧重耐极端气候品种。播种技术按海拔定时间，</w:t>
      </w:r>
      <w:r>
        <w:rPr>
          <w:rFonts w:hint="eastAsia"/>
          <w:sz w:val="22"/>
          <w:szCs w:val="20"/>
        </w:rPr>
        <w:t>4800</w:t>
      </w:r>
      <w:r>
        <w:rPr>
          <w:rFonts w:hint="eastAsia"/>
          <w:sz w:val="22"/>
          <w:szCs w:val="20"/>
        </w:rPr>
        <w:t>米区域</w:t>
      </w:r>
      <w:r>
        <w:rPr>
          <w:rFonts w:hint="eastAsia"/>
          <w:sz w:val="22"/>
          <w:szCs w:val="20"/>
        </w:rPr>
        <w:t>6</w:t>
      </w:r>
      <w:r>
        <w:rPr>
          <w:rFonts w:hint="eastAsia"/>
          <w:sz w:val="22"/>
          <w:szCs w:val="20"/>
        </w:rPr>
        <w:t>月上旬撒播，明确各品种播种量和覆土深度；播后管理含覆土镇压、</w:t>
      </w:r>
      <w:r>
        <w:rPr>
          <w:rFonts w:hint="eastAsia"/>
          <w:sz w:val="22"/>
          <w:szCs w:val="20"/>
        </w:rPr>
        <w:t>30%</w:t>
      </w:r>
      <w:r>
        <w:rPr>
          <w:rFonts w:hint="eastAsia"/>
          <w:sz w:val="22"/>
          <w:szCs w:val="20"/>
        </w:rPr>
        <w:t>缺苗补播、分期追肥、</w:t>
      </w:r>
      <w:r>
        <w:rPr>
          <w:rFonts w:hint="eastAsia"/>
          <w:sz w:val="22"/>
          <w:szCs w:val="20"/>
        </w:rPr>
        <w:t>5-6</w:t>
      </w:r>
      <w:r>
        <w:rPr>
          <w:rFonts w:hint="eastAsia"/>
          <w:sz w:val="22"/>
          <w:szCs w:val="20"/>
        </w:rPr>
        <w:t>天一次灌溉及三次除草。收获规定</w:t>
      </w:r>
      <w:r>
        <w:rPr>
          <w:rFonts w:hint="eastAsia"/>
          <w:sz w:val="22"/>
          <w:szCs w:val="20"/>
        </w:rPr>
        <w:t>9</w:t>
      </w:r>
      <w:r>
        <w:rPr>
          <w:rFonts w:hint="eastAsia"/>
          <w:sz w:val="22"/>
          <w:szCs w:val="20"/>
        </w:rPr>
        <w:t>月</w:t>
      </w:r>
      <w:r>
        <w:rPr>
          <w:rFonts w:hint="eastAsia"/>
          <w:sz w:val="22"/>
          <w:szCs w:val="20"/>
        </w:rPr>
        <w:t>23</w:t>
      </w:r>
      <w:r>
        <w:rPr>
          <w:rFonts w:hint="eastAsia"/>
          <w:sz w:val="22"/>
          <w:szCs w:val="20"/>
        </w:rPr>
        <w:t>日</w:t>
      </w:r>
      <w:r>
        <w:rPr>
          <w:rFonts w:hint="eastAsia"/>
          <w:sz w:val="22"/>
          <w:szCs w:val="20"/>
        </w:rPr>
        <w:t>-10</w:t>
      </w:r>
      <w:r>
        <w:rPr>
          <w:rFonts w:hint="eastAsia"/>
          <w:sz w:val="22"/>
          <w:szCs w:val="20"/>
        </w:rPr>
        <w:t>月</w:t>
      </w:r>
      <w:r>
        <w:rPr>
          <w:rFonts w:hint="eastAsia"/>
          <w:sz w:val="22"/>
          <w:szCs w:val="20"/>
        </w:rPr>
        <w:t>3</w:t>
      </w:r>
      <w:r>
        <w:rPr>
          <w:rFonts w:hint="eastAsia"/>
          <w:sz w:val="22"/>
          <w:szCs w:val="20"/>
        </w:rPr>
        <w:t>日人工或机械收割，留茬</w:t>
      </w:r>
      <w:r>
        <w:rPr>
          <w:rFonts w:hint="eastAsia"/>
          <w:sz w:val="22"/>
          <w:szCs w:val="20"/>
        </w:rPr>
        <w:t>5cm</w:t>
      </w:r>
      <w:r>
        <w:rPr>
          <w:rFonts w:hint="eastAsia"/>
          <w:sz w:val="22"/>
          <w:szCs w:val="20"/>
        </w:rPr>
        <w:t>；利用明确干草晾晒、贮藏及青贮要求，科学补饲幼畜等群体。同时确立种养循环模式，制定牧草产量评估标准，明确</w:t>
      </w:r>
      <w:r>
        <w:rPr>
          <w:rFonts w:hint="eastAsia"/>
          <w:sz w:val="22"/>
          <w:szCs w:val="20"/>
        </w:rPr>
        <w:t>4800</w:t>
      </w:r>
      <w:r>
        <w:rPr>
          <w:rFonts w:hint="eastAsia"/>
          <w:sz w:val="22"/>
          <w:szCs w:val="20"/>
        </w:rPr>
        <w:t>米区域田间特殊管理要求。</w:t>
      </w:r>
    </w:p>
    <w:p w14:paraId="55A0F013" w14:textId="77777777" w:rsidR="00D10CCF" w:rsidRDefault="00000000">
      <w:pPr>
        <w:spacing w:line="360" w:lineRule="auto"/>
        <w:ind w:left="480"/>
        <w:rPr>
          <w:b/>
          <w:color w:val="000000"/>
          <w:sz w:val="22"/>
          <w:szCs w:val="20"/>
        </w:rPr>
      </w:pPr>
      <w:r>
        <w:rPr>
          <w:rFonts w:hint="eastAsia"/>
          <w:b/>
          <w:color w:val="000000"/>
          <w:sz w:val="22"/>
          <w:szCs w:val="20"/>
        </w:rPr>
        <w:t>（</w:t>
      </w:r>
      <w:r>
        <w:rPr>
          <w:rFonts w:hint="eastAsia"/>
          <w:b/>
          <w:color w:val="000000"/>
          <w:sz w:val="22"/>
          <w:szCs w:val="20"/>
        </w:rPr>
        <w:t>3</w:t>
      </w:r>
      <w:r>
        <w:rPr>
          <w:rFonts w:hint="eastAsia"/>
          <w:b/>
          <w:color w:val="000000"/>
          <w:sz w:val="22"/>
          <w:szCs w:val="20"/>
        </w:rPr>
        <w:t>）试验设计与实施</w:t>
      </w:r>
    </w:p>
    <w:p w14:paraId="6B2C5B14" w14:textId="77777777" w:rsidR="00D10CCF" w:rsidRDefault="00000000">
      <w:pPr>
        <w:pStyle w:val="a6"/>
        <w:spacing w:line="360" w:lineRule="auto"/>
        <w:ind w:firstLineChars="200" w:firstLine="440"/>
        <w:rPr>
          <w:rFonts w:ascii="Times New Roman" w:hAnsi="Times New Roman" w:cs="Times New Roman"/>
          <w:sz w:val="22"/>
          <w:szCs w:val="20"/>
          <w:lang w:val="en-US" w:eastAsia="zh-CN" w:bidi="ar-SA"/>
        </w:rPr>
      </w:pPr>
      <w:r>
        <w:rPr>
          <w:rFonts w:ascii="Times New Roman" w:hAnsi="Times New Roman" w:cs="Times New Roman"/>
          <w:sz w:val="22"/>
          <w:szCs w:val="20"/>
          <w:lang w:val="en-US" w:eastAsia="zh-CN" w:bidi="ar-SA"/>
        </w:rPr>
        <w:sym w:font="Wingdings" w:char="F081"/>
      </w:r>
      <w:r>
        <w:rPr>
          <w:rFonts w:ascii="Times New Roman" w:hAnsi="Times New Roman" w:cs="Times New Roman"/>
          <w:sz w:val="22"/>
          <w:szCs w:val="20"/>
          <w:lang w:val="en-US" w:eastAsia="zh-CN" w:bidi="ar-SA"/>
        </w:rPr>
        <w:t>灌溉高产高效牧户饲草种植（房前屋后、畜圈暖棚）示范</w:t>
      </w:r>
    </w:p>
    <w:p w14:paraId="37A85657" w14:textId="77777777" w:rsidR="00D10CCF" w:rsidRDefault="00000000">
      <w:pPr>
        <w:pStyle w:val="a6"/>
        <w:spacing w:line="360" w:lineRule="auto"/>
        <w:ind w:firstLineChars="200" w:firstLine="440"/>
        <w:rPr>
          <w:rFonts w:ascii="Times New Roman" w:hAnsi="Times New Roman" w:cs="Times New Roman"/>
          <w:sz w:val="22"/>
          <w:szCs w:val="20"/>
          <w:lang w:val="en-US" w:eastAsia="zh-CN" w:bidi="ar-SA"/>
        </w:rPr>
      </w:pPr>
      <w:r>
        <w:rPr>
          <w:rFonts w:ascii="Times New Roman" w:hAnsi="Times New Roman" w:cs="Times New Roman"/>
          <w:sz w:val="22"/>
          <w:szCs w:val="20"/>
          <w:lang w:val="en-US" w:eastAsia="zh-CN" w:bidi="ar-SA"/>
        </w:rPr>
        <w:t>试验材料</w:t>
      </w:r>
      <w:r>
        <w:rPr>
          <w:rFonts w:ascii="Times New Roman" w:hAnsi="Times New Roman" w:cs="Times New Roman" w:hint="eastAsia"/>
          <w:sz w:val="22"/>
          <w:szCs w:val="20"/>
          <w:lang w:val="en-US" w:eastAsia="zh-CN" w:bidi="ar-SA"/>
        </w:rPr>
        <w:t>：</w:t>
      </w:r>
      <w:r>
        <w:rPr>
          <w:rFonts w:ascii="Times New Roman" w:hAnsi="Times New Roman" w:cs="Times New Roman"/>
          <w:sz w:val="22"/>
          <w:szCs w:val="20"/>
          <w:lang w:val="en-US" w:eastAsia="zh-CN" w:bidi="ar-SA"/>
        </w:rPr>
        <w:t>根据当地气候地理因素</w:t>
      </w:r>
      <w:r>
        <w:rPr>
          <w:rFonts w:ascii="Times New Roman" w:hAnsi="Times New Roman" w:cs="Times New Roman"/>
          <w:sz w:val="22"/>
          <w:szCs w:val="20"/>
          <w:lang w:val="en-US" w:eastAsia="zh-CN" w:bidi="ar-SA"/>
        </w:rPr>
        <w:t xml:space="preserve">, </w:t>
      </w:r>
      <w:r>
        <w:rPr>
          <w:rFonts w:ascii="Times New Roman" w:hAnsi="Times New Roman" w:cs="Times New Roman"/>
          <w:sz w:val="22"/>
          <w:szCs w:val="20"/>
          <w:lang w:val="en-US" w:eastAsia="zh-CN" w:bidi="ar-SA"/>
        </w:rPr>
        <w:t>所选牧草主要为燕麦、箭舌豌豆。</w:t>
      </w:r>
    </w:p>
    <w:p w14:paraId="17FC886A" w14:textId="77777777" w:rsidR="00D10CCF" w:rsidRDefault="00000000">
      <w:pPr>
        <w:pStyle w:val="a6"/>
        <w:spacing w:line="360" w:lineRule="auto"/>
        <w:ind w:firstLineChars="200" w:firstLine="440"/>
        <w:rPr>
          <w:rFonts w:ascii="Times New Roman" w:hAnsi="Times New Roman" w:cs="Times New Roman"/>
          <w:sz w:val="22"/>
          <w:szCs w:val="20"/>
          <w:lang w:val="en-US" w:eastAsia="zh-CN" w:bidi="ar-SA"/>
        </w:rPr>
      </w:pPr>
      <w:r>
        <w:rPr>
          <w:rFonts w:ascii="Times New Roman" w:hAnsi="Times New Roman" w:cs="Times New Roman"/>
          <w:sz w:val="22"/>
          <w:szCs w:val="20"/>
          <w:lang w:val="en-US" w:eastAsia="zh-CN" w:bidi="ar-SA"/>
        </w:rPr>
        <w:t>技术路线</w:t>
      </w:r>
      <w:r>
        <w:rPr>
          <w:rFonts w:ascii="Times New Roman" w:hAnsi="Times New Roman" w:cs="Times New Roman" w:hint="eastAsia"/>
          <w:sz w:val="22"/>
          <w:szCs w:val="20"/>
          <w:lang w:val="en-US" w:eastAsia="zh-CN" w:bidi="ar-SA"/>
        </w:rPr>
        <w:t>：</w:t>
      </w:r>
      <w:r>
        <w:rPr>
          <w:rFonts w:ascii="Times New Roman" w:hAnsi="Times New Roman" w:cs="Times New Roman"/>
          <w:sz w:val="22"/>
          <w:szCs w:val="20"/>
          <w:lang w:val="en-US" w:eastAsia="zh-CN" w:bidi="ar-SA"/>
        </w:rPr>
        <w:t>控制表层覆盖厩肥量</w:t>
      </w:r>
      <w:r>
        <w:rPr>
          <w:rFonts w:ascii="Times New Roman" w:hAnsi="Times New Roman" w:cs="Times New Roman"/>
          <w:sz w:val="22"/>
          <w:szCs w:val="20"/>
          <w:lang w:val="en-US" w:eastAsia="zh-CN" w:bidi="ar-SA"/>
        </w:rPr>
        <w:t>—</w:t>
      </w:r>
      <w:r>
        <w:rPr>
          <w:rFonts w:ascii="Times New Roman" w:hAnsi="Times New Roman" w:cs="Times New Roman"/>
          <w:sz w:val="22"/>
          <w:szCs w:val="20"/>
          <w:lang w:val="en-US" w:eastAsia="zh-CN" w:bidi="ar-SA"/>
        </w:rPr>
        <w:t>深翻（浅耕）</w:t>
      </w:r>
      <w:r>
        <w:rPr>
          <w:rFonts w:ascii="Times New Roman" w:hAnsi="Times New Roman" w:cs="Times New Roman"/>
          <w:sz w:val="22"/>
          <w:szCs w:val="20"/>
          <w:lang w:val="en-US" w:eastAsia="zh-CN" w:bidi="ar-SA"/>
        </w:rPr>
        <w:t>—</w:t>
      </w:r>
      <w:r>
        <w:rPr>
          <w:rFonts w:ascii="Times New Roman" w:hAnsi="Times New Roman" w:cs="Times New Roman"/>
          <w:sz w:val="22"/>
          <w:szCs w:val="20"/>
          <w:lang w:val="en-US" w:eastAsia="zh-CN" w:bidi="ar-SA"/>
        </w:rPr>
        <w:t>整地</w:t>
      </w:r>
      <w:r>
        <w:rPr>
          <w:rFonts w:ascii="Times New Roman" w:hAnsi="Times New Roman" w:cs="Times New Roman"/>
          <w:sz w:val="22"/>
          <w:szCs w:val="20"/>
          <w:lang w:val="en-US" w:eastAsia="zh-CN" w:bidi="ar-SA"/>
        </w:rPr>
        <w:t>—</w:t>
      </w:r>
      <w:r>
        <w:rPr>
          <w:rFonts w:ascii="Times New Roman" w:hAnsi="Times New Roman" w:cs="Times New Roman"/>
          <w:sz w:val="22"/>
          <w:szCs w:val="20"/>
          <w:lang w:val="en-US" w:eastAsia="zh-CN" w:bidi="ar-SA"/>
        </w:rPr>
        <w:t>播种</w:t>
      </w:r>
      <w:r>
        <w:rPr>
          <w:rFonts w:ascii="Times New Roman" w:hAnsi="Times New Roman" w:cs="Times New Roman"/>
          <w:sz w:val="22"/>
          <w:szCs w:val="20"/>
          <w:lang w:val="en-US" w:eastAsia="zh-CN" w:bidi="ar-SA"/>
        </w:rPr>
        <w:t>—</w:t>
      </w:r>
      <w:r>
        <w:rPr>
          <w:rFonts w:ascii="Times New Roman" w:hAnsi="Times New Roman" w:cs="Times New Roman"/>
          <w:sz w:val="22"/>
          <w:szCs w:val="20"/>
          <w:lang w:val="en-US" w:eastAsia="zh-CN" w:bidi="ar-SA"/>
        </w:rPr>
        <w:t>覆土</w:t>
      </w:r>
      <w:r>
        <w:rPr>
          <w:rFonts w:ascii="Times New Roman" w:hAnsi="Times New Roman" w:cs="Times New Roman"/>
          <w:sz w:val="22"/>
          <w:szCs w:val="20"/>
          <w:lang w:val="en-US" w:eastAsia="zh-CN" w:bidi="ar-SA"/>
        </w:rPr>
        <w:t>—</w:t>
      </w:r>
      <w:r>
        <w:rPr>
          <w:rFonts w:ascii="Times New Roman" w:hAnsi="Times New Roman" w:cs="Times New Roman"/>
          <w:sz w:val="22"/>
          <w:szCs w:val="20"/>
          <w:lang w:val="en-US" w:eastAsia="zh-CN" w:bidi="ar-SA"/>
        </w:rPr>
        <w:t>不同生育期灌溉</w:t>
      </w:r>
      <w:r>
        <w:rPr>
          <w:rFonts w:ascii="Times New Roman" w:hAnsi="Times New Roman" w:cs="Times New Roman"/>
          <w:sz w:val="22"/>
          <w:szCs w:val="20"/>
          <w:lang w:val="en-US" w:eastAsia="zh-CN" w:bidi="ar-SA"/>
        </w:rPr>
        <w:t>/</w:t>
      </w:r>
      <w:r>
        <w:rPr>
          <w:rFonts w:ascii="Times New Roman" w:hAnsi="Times New Roman" w:cs="Times New Roman"/>
          <w:sz w:val="22"/>
          <w:szCs w:val="20"/>
          <w:lang w:val="en-US" w:eastAsia="zh-CN" w:bidi="ar-SA"/>
        </w:rPr>
        <w:t>旱作</w:t>
      </w:r>
      <w:r>
        <w:rPr>
          <w:rFonts w:ascii="Times New Roman" w:hAnsi="Times New Roman" w:cs="Times New Roman"/>
          <w:sz w:val="22"/>
          <w:szCs w:val="20"/>
          <w:lang w:val="en-US" w:eastAsia="zh-CN" w:bidi="ar-SA"/>
        </w:rPr>
        <w:t>—</w:t>
      </w:r>
      <w:r>
        <w:rPr>
          <w:rFonts w:ascii="Times New Roman" w:hAnsi="Times New Roman" w:cs="Times New Roman"/>
          <w:sz w:val="22"/>
          <w:szCs w:val="20"/>
          <w:lang w:val="en-US" w:eastAsia="zh-CN" w:bidi="ar-SA"/>
        </w:rPr>
        <w:t>适时收割</w:t>
      </w:r>
      <w:r>
        <w:rPr>
          <w:rFonts w:ascii="Times New Roman" w:hAnsi="Times New Roman" w:cs="Times New Roman"/>
          <w:sz w:val="22"/>
          <w:szCs w:val="20"/>
          <w:lang w:val="en-US" w:eastAsia="zh-CN" w:bidi="ar-SA"/>
        </w:rPr>
        <w:t>—</w:t>
      </w:r>
      <w:r>
        <w:rPr>
          <w:rFonts w:ascii="Times New Roman" w:hAnsi="Times New Roman" w:cs="Times New Roman"/>
          <w:sz w:val="22"/>
          <w:szCs w:val="20"/>
          <w:lang w:val="en-US" w:eastAsia="zh-CN" w:bidi="ar-SA"/>
        </w:rPr>
        <w:t>贮存利用</w:t>
      </w:r>
    </w:p>
    <w:p w14:paraId="39426763" w14:textId="77777777" w:rsidR="00D10CCF" w:rsidRDefault="00000000">
      <w:pPr>
        <w:pStyle w:val="a6"/>
        <w:spacing w:line="360" w:lineRule="auto"/>
        <w:ind w:firstLineChars="200" w:firstLine="440"/>
        <w:rPr>
          <w:rFonts w:ascii="Times New Roman" w:hAnsi="Times New Roman" w:cs="Times New Roman"/>
          <w:sz w:val="22"/>
          <w:szCs w:val="20"/>
          <w:lang w:val="en-US" w:eastAsia="zh-CN" w:bidi="ar-SA"/>
        </w:rPr>
      </w:pPr>
      <w:r>
        <w:rPr>
          <w:rFonts w:ascii="Times New Roman" w:hAnsi="Times New Roman" w:cs="Times New Roman"/>
          <w:sz w:val="22"/>
          <w:szCs w:val="20"/>
          <w:lang w:val="en-US" w:eastAsia="zh-CN" w:bidi="ar-SA"/>
        </w:rPr>
        <w:t>试验处理</w:t>
      </w:r>
      <w:r>
        <w:rPr>
          <w:rFonts w:ascii="Times New Roman" w:hAnsi="Times New Roman" w:cs="Times New Roman" w:hint="eastAsia"/>
          <w:sz w:val="22"/>
          <w:szCs w:val="20"/>
          <w:lang w:val="en-US" w:eastAsia="zh-CN" w:bidi="ar-SA"/>
        </w:rPr>
        <w:t>：</w:t>
      </w:r>
      <w:r>
        <w:rPr>
          <w:rFonts w:ascii="Times New Roman" w:hAnsi="Times New Roman" w:cs="Times New Roman"/>
          <w:sz w:val="22"/>
          <w:szCs w:val="20"/>
          <w:lang w:val="en-US" w:eastAsia="zh-CN" w:bidi="ar-SA"/>
        </w:rPr>
        <w:t>试验在草牧业示范村（那曲镇</w:t>
      </w:r>
      <w:r>
        <w:rPr>
          <w:rFonts w:ascii="Times New Roman" w:hAnsi="Times New Roman" w:cs="Times New Roman"/>
          <w:sz w:val="22"/>
          <w:szCs w:val="20"/>
          <w:lang w:val="en-US" w:eastAsia="zh-CN" w:bidi="ar-SA"/>
        </w:rPr>
        <w:t>14</w:t>
      </w:r>
      <w:r>
        <w:rPr>
          <w:rFonts w:ascii="Times New Roman" w:hAnsi="Times New Roman" w:cs="Times New Roman"/>
          <w:sz w:val="22"/>
          <w:szCs w:val="20"/>
          <w:lang w:val="en-US" w:eastAsia="zh-CN" w:bidi="ar-SA"/>
        </w:rPr>
        <w:t>村）进行，灌溉方式为自动控制器微喷带灌溉，牧草品种为燕麦</w:t>
      </w:r>
      <w:r>
        <w:rPr>
          <w:rFonts w:ascii="Times New Roman" w:hAnsi="Times New Roman" w:cs="Times New Roman"/>
          <w:sz w:val="22"/>
          <w:szCs w:val="20"/>
          <w:lang w:val="en-US" w:eastAsia="zh-CN" w:bidi="ar-SA"/>
        </w:rPr>
        <w:t>+</w:t>
      </w:r>
      <w:r>
        <w:rPr>
          <w:rFonts w:ascii="Times New Roman" w:hAnsi="Times New Roman" w:cs="Times New Roman"/>
          <w:sz w:val="22"/>
          <w:szCs w:val="20"/>
          <w:lang w:val="en-US" w:eastAsia="zh-CN" w:bidi="ar-SA"/>
        </w:rPr>
        <w:t>箭舌豌豆。试验地海拔</w:t>
      </w:r>
      <w:r>
        <w:rPr>
          <w:rFonts w:ascii="Times New Roman" w:hAnsi="Times New Roman" w:cs="Times New Roman"/>
          <w:sz w:val="22"/>
          <w:szCs w:val="20"/>
          <w:lang w:val="en-US" w:eastAsia="zh-CN" w:bidi="ar-SA"/>
        </w:rPr>
        <w:t>4</w:t>
      </w:r>
      <w:r>
        <w:rPr>
          <w:rFonts w:ascii="Times New Roman" w:hAnsi="Times New Roman" w:cs="Times New Roman" w:hint="eastAsia"/>
          <w:sz w:val="22"/>
          <w:szCs w:val="20"/>
          <w:lang w:val="en-US" w:eastAsia="zh-CN" w:bidi="ar-SA"/>
        </w:rPr>
        <w:t xml:space="preserve">500 </w:t>
      </w:r>
      <w:r>
        <w:rPr>
          <w:rFonts w:ascii="Times New Roman" w:hAnsi="Times New Roman" w:cs="Times New Roman"/>
          <w:sz w:val="22"/>
          <w:szCs w:val="20"/>
          <w:lang w:val="en-US" w:eastAsia="zh-CN" w:bidi="ar-SA"/>
        </w:rPr>
        <w:t>m</w:t>
      </w:r>
      <w:r>
        <w:rPr>
          <w:rFonts w:ascii="Times New Roman" w:hAnsi="Times New Roman" w:cs="Times New Roman"/>
          <w:sz w:val="22"/>
          <w:szCs w:val="20"/>
          <w:lang w:val="en-US" w:eastAsia="zh-CN" w:bidi="ar-SA"/>
        </w:rPr>
        <w:t>，年平均降水量为</w:t>
      </w:r>
      <w:r>
        <w:rPr>
          <w:rFonts w:ascii="Times New Roman" w:hAnsi="Times New Roman" w:cs="Times New Roman"/>
          <w:sz w:val="22"/>
          <w:szCs w:val="20"/>
          <w:lang w:val="en-US" w:eastAsia="zh-CN" w:bidi="ar-SA"/>
        </w:rPr>
        <w:t>260mm</w:t>
      </w:r>
      <w:r>
        <w:rPr>
          <w:rFonts w:ascii="Times New Roman" w:hAnsi="Times New Roman" w:cs="Times New Roman"/>
          <w:sz w:val="22"/>
          <w:szCs w:val="20"/>
          <w:lang w:val="en-US" w:eastAsia="zh-CN" w:bidi="ar-SA"/>
        </w:rPr>
        <w:t>左右。试验选择具有灌溉条件的</w:t>
      </w:r>
      <w:r>
        <w:rPr>
          <w:rFonts w:ascii="Times New Roman" w:hAnsi="Times New Roman" w:cs="Times New Roman"/>
          <w:sz w:val="22"/>
          <w:szCs w:val="20"/>
          <w:lang w:val="en-US" w:eastAsia="zh-CN" w:bidi="ar-SA"/>
        </w:rPr>
        <w:t>5</w:t>
      </w:r>
      <w:r>
        <w:rPr>
          <w:rFonts w:ascii="Times New Roman" w:hAnsi="Times New Roman" w:cs="Times New Roman"/>
          <w:sz w:val="22"/>
          <w:szCs w:val="20"/>
          <w:lang w:val="en-US" w:eastAsia="zh-CN" w:bidi="ar-SA"/>
        </w:rPr>
        <w:t>个畜圈，设立</w:t>
      </w:r>
      <w:r>
        <w:rPr>
          <w:rFonts w:ascii="Times New Roman" w:hAnsi="Times New Roman" w:cs="Times New Roman"/>
          <w:sz w:val="22"/>
          <w:szCs w:val="20"/>
          <w:lang w:val="en-US" w:eastAsia="zh-CN" w:bidi="ar-SA"/>
        </w:rPr>
        <w:t>5</w:t>
      </w:r>
      <w:r>
        <w:rPr>
          <w:rFonts w:ascii="Times New Roman" w:hAnsi="Times New Roman" w:cs="Times New Roman"/>
          <w:sz w:val="22"/>
          <w:szCs w:val="20"/>
          <w:lang w:val="en-US" w:eastAsia="zh-CN" w:bidi="ar-SA"/>
        </w:rPr>
        <w:t>个灌溉处理组，无灌溉条件畜圈设为</w:t>
      </w:r>
      <w:r>
        <w:rPr>
          <w:rFonts w:ascii="Times New Roman" w:hAnsi="Times New Roman" w:cs="Times New Roman"/>
          <w:sz w:val="22"/>
          <w:szCs w:val="20"/>
          <w:lang w:val="en-US" w:eastAsia="zh-CN" w:bidi="ar-SA"/>
        </w:rPr>
        <w:t>CK</w:t>
      </w:r>
      <w:r>
        <w:rPr>
          <w:rFonts w:ascii="Times New Roman" w:hAnsi="Times New Roman" w:cs="Times New Roman"/>
          <w:sz w:val="22"/>
          <w:szCs w:val="20"/>
          <w:lang w:val="en-US" w:eastAsia="zh-CN" w:bidi="ar-SA"/>
        </w:rPr>
        <w:t>，出苗期至抽穗期进行灌溉，每次灌水量以土壤渗透灌溉</w:t>
      </w:r>
      <w:r>
        <w:rPr>
          <w:rFonts w:ascii="Times New Roman" w:hAnsi="Times New Roman" w:cs="Times New Roman"/>
          <w:sz w:val="22"/>
          <w:szCs w:val="20"/>
          <w:lang w:val="en-US" w:eastAsia="zh-CN" w:bidi="ar-SA"/>
        </w:rPr>
        <w:t>7cm</w:t>
      </w:r>
      <w:r>
        <w:rPr>
          <w:rFonts w:ascii="Times New Roman" w:hAnsi="Times New Roman" w:cs="Times New Roman"/>
          <w:sz w:val="22"/>
          <w:szCs w:val="20"/>
          <w:lang w:val="en-US" w:eastAsia="zh-CN" w:bidi="ar-SA"/>
        </w:rPr>
        <w:t>为准。试验区面积</w:t>
      </w:r>
      <w:r>
        <w:rPr>
          <w:rFonts w:ascii="Times New Roman" w:hAnsi="Times New Roman" w:cs="Times New Roman"/>
          <w:sz w:val="22"/>
          <w:szCs w:val="20"/>
          <w:lang w:val="en-US" w:eastAsia="zh-CN" w:bidi="ar-SA"/>
        </w:rPr>
        <w:t>0.6</w:t>
      </w:r>
      <w:r>
        <w:rPr>
          <w:rFonts w:ascii="Times New Roman" w:hAnsi="Times New Roman" w:cs="Times New Roman"/>
          <w:sz w:val="22"/>
          <w:szCs w:val="20"/>
          <w:lang w:val="en-US" w:eastAsia="zh-CN" w:bidi="ar-SA"/>
        </w:rPr>
        <w:t>亩，</w:t>
      </w:r>
      <w:r>
        <w:rPr>
          <w:rFonts w:ascii="Times New Roman" w:hAnsi="Times New Roman" w:cs="Times New Roman"/>
          <w:sz w:val="22"/>
          <w:szCs w:val="20"/>
          <w:lang w:val="en-US" w:eastAsia="zh-CN" w:bidi="ar-SA"/>
        </w:rPr>
        <w:t>5</w:t>
      </w:r>
      <w:r>
        <w:rPr>
          <w:rFonts w:ascii="Times New Roman" w:hAnsi="Times New Roman" w:cs="Times New Roman"/>
          <w:sz w:val="22"/>
          <w:szCs w:val="20"/>
          <w:lang w:val="en-US" w:eastAsia="zh-CN" w:bidi="ar-SA"/>
        </w:rPr>
        <w:t>次重复。主要研究灌溉次数对牧草生育期、牧草产量的影响。播种时间为</w:t>
      </w:r>
      <w:r>
        <w:rPr>
          <w:rFonts w:ascii="Times New Roman" w:hAnsi="Times New Roman" w:cs="Times New Roman"/>
          <w:sz w:val="22"/>
          <w:szCs w:val="20"/>
          <w:lang w:val="en-US" w:eastAsia="zh-CN" w:bidi="ar-SA"/>
        </w:rPr>
        <w:t>2021</w:t>
      </w:r>
      <w:r>
        <w:rPr>
          <w:rFonts w:ascii="Times New Roman" w:hAnsi="Times New Roman" w:cs="Times New Roman"/>
          <w:sz w:val="22"/>
          <w:szCs w:val="20"/>
          <w:lang w:val="en-US" w:eastAsia="zh-CN" w:bidi="ar-SA"/>
        </w:rPr>
        <w:t>年</w:t>
      </w:r>
      <w:r>
        <w:rPr>
          <w:rFonts w:ascii="Times New Roman" w:hAnsi="Times New Roman" w:cs="Times New Roman"/>
          <w:sz w:val="22"/>
          <w:szCs w:val="20"/>
          <w:lang w:val="en-US" w:eastAsia="zh-CN" w:bidi="ar-SA"/>
        </w:rPr>
        <w:t>5</w:t>
      </w:r>
      <w:r>
        <w:rPr>
          <w:rFonts w:ascii="Times New Roman" w:hAnsi="Times New Roman" w:cs="Times New Roman"/>
          <w:sz w:val="22"/>
          <w:szCs w:val="20"/>
          <w:lang w:val="en-US" w:eastAsia="zh-CN" w:bidi="ar-SA"/>
        </w:rPr>
        <w:t>月底，播种期间不要施肥。</w:t>
      </w:r>
    </w:p>
    <w:p w14:paraId="1B952082" w14:textId="77777777" w:rsidR="00D10CCF" w:rsidRDefault="00000000">
      <w:pPr>
        <w:pStyle w:val="a6"/>
        <w:spacing w:line="360" w:lineRule="auto"/>
        <w:ind w:firstLineChars="200" w:firstLine="440"/>
        <w:rPr>
          <w:rFonts w:ascii="Times New Roman" w:hAnsi="Times New Roman" w:cs="Times New Roman"/>
          <w:sz w:val="22"/>
          <w:szCs w:val="20"/>
          <w:lang w:val="en-US" w:eastAsia="zh-CN" w:bidi="ar-SA"/>
        </w:rPr>
      </w:pPr>
      <w:bookmarkStart w:id="9" w:name="_Toc18381"/>
      <w:r>
        <w:rPr>
          <w:rFonts w:ascii="Times New Roman" w:hAnsi="Times New Roman" w:cs="Times New Roman"/>
          <w:sz w:val="22"/>
          <w:szCs w:val="20"/>
          <w:lang w:val="en-US" w:eastAsia="zh-CN" w:bidi="ar-SA"/>
        </w:rPr>
        <w:t>讨论</w:t>
      </w:r>
      <w:bookmarkEnd w:id="9"/>
      <w:r>
        <w:rPr>
          <w:rFonts w:ascii="Times New Roman" w:hAnsi="Times New Roman" w:cs="Times New Roman" w:hint="eastAsia"/>
          <w:sz w:val="22"/>
          <w:szCs w:val="20"/>
          <w:lang w:val="en-US" w:eastAsia="zh-CN" w:bidi="ar-SA"/>
        </w:rPr>
        <w:t>：</w:t>
      </w:r>
      <w:r>
        <w:rPr>
          <w:rFonts w:ascii="Times New Roman" w:hAnsi="Times New Roman" w:cs="Times New Roman"/>
          <w:sz w:val="22"/>
          <w:szCs w:val="20"/>
          <w:lang w:val="en-US" w:eastAsia="zh-CN" w:bidi="ar-SA"/>
        </w:rPr>
        <w:t>根据色尼区多年降雨资料，降雨主要集中在</w:t>
      </w:r>
      <w:r>
        <w:rPr>
          <w:rFonts w:ascii="Times New Roman" w:hAnsi="Times New Roman" w:cs="Times New Roman"/>
          <w:sz w:val="22"/>
          <w:szCs w:val="20"/>
          <w:lang w:val="en-US" w:eastAsia="zh-CN" w:bidi="ar-SA"/>
        </w:rPr>
        <w:t>6</w:t>
      </w:r>
      <w:r>
        <w:rPr>
          <w:rFonts w:ascii="Times New Roman" w:hAnsi="Times New Roman" w:cs="Times New Roman"/>
          <w:sz w:val="22"/>
          <w:szCs w:val="20"/>
          <w:lang w:val="en-US" w:eastAsia="zh-CN" w:bidi="ar-SA"/>
        </w:rPr>
        <w:t>月中下旬至</w:t>
      </w:r>
      <w:r>
        <w:rPr>
          <w:rFonts w:ascii="Times New Roman" w:hAnsi="Times New Roman" w:cs="Times New Roman"/>
          <w:sz w:val="22"/>
          <w:szCs w:val="20"/>
          <w:lang w:val="en-US" w:eastAsia="zh-CN" w:bidi="ar-SA"/>
        </w:rPr>
        <w:t>8</w:t>
      </w:r>
      <w:r>
        <w:rPr>
          <w:rFonts w:ascii="Times New Roman" w:hAnsi="Times New Roman" w:cs="Times New Roman"/>
          <w:sz w:val="22"/>
          <w:szCs w:val="20"/>
          <w:lang w:val="en-US" w:eastAsia="zh-CN" w:bidi="ar-SA"/>
        </w:rPr>
        <w:t>月初，降雨有效的补充了该阶段牧草的需水，充分利用雨能够满足作物的需水需求。</w:t>
      </w:r>
      <w:r>
        <w:rPr>
          <w:rFonts w:ascii="Times New Roman" w:hAnsi="Times New Roman" w:cs="Times New Roman"/>
          <w:sz w:val="22"/>
          <w:szCs w:val="20"/>
          <w:lang w:val="en-US" w:eastAsia="zh-CN" w:bidi="ar-SA"/>
        </w:rPr>
        <w:t>5</w:t>
      </w:r>
      <w:r>
        <w:rPr>
          <w:rFonts w:ascii="Times New Roman" w:hAnsi="Times New Roman" w:cs="Times New Roman"/>
          <w:sz w:val="22"/>
          <w:szCs w:val="20"/>
          <w:lang w:val="en-US" w:eastAsia="zh-CN" w:bidi="ar-SA"/>
        </w:rPr>
        <w:t>月末播种至苗期（</w:t>
      </w:r>
      <w:r>
        <w:rPr>
          <w:rFonts w:ascii="Times New Roman" w:hAnsi="Times New Roman" w:cs="Times New Roman"/>
          <w:sz w:val="22"/>
          <w:szCs w:val="20"/>
          <w:lang w:val="en-US" w:eastAsia="zh-CN" w:bidi="ar-SA"/>
        </w:rPr>
        <w:t>6</w:t>
      </w:r>
      <w:r>
        <w:rPr>
          <w:rFonts w:ascii="Times New Roman" w:hAnsi="Times New Roman" w:cs="Times New Roman"/>
          <w:sz w:val="22"/>
          <w:szCs w:val="20"/>
          <w:lang w:val="en-US" w:eastAsia="zh-CN" w:bidi="ar-SA"/>
        </w:rPr>
        <w:t>月上旬）土壤含水量较低，可少量灌水。增加水分，减少风沙对幼苗破坏，以保证出苗。</w:t>
      </w:r>
      <w:r>
        <w:rPr>
          <w:rFonts w:ascii="Times New Roman" w:hAnsi="Times New Roman" w:cs="Times New Roman"/>
          <w:sz w:val="22"/>
          <w:szCs w:val="20"/>
          <w:lang w:val="en-US" w:eastAsia="zh-CN" w:bidi="ar-SA"/>
        </w:rPr>
        <w:t>8</w:t>
      </w:r>
      <w:r>
        <w:rPr>
          <w:rFonts w:ascii="Times New Roman" w:hAnsi="Times New Roman" w:cs="Times New Roman"/>
          <w:sz w:val="22"/>
          <w:szCs w:val="20"/>
          <w:lang w:val="en-US" w:eastAsia="zh-CN" w:bidi="ar-SA"/>
        </w:rPr>
        <w:t>月是牧草生殖生长时期，需水旺盛，且降雨量减少，没有灌溉将导致作物产量的下降，因此</w:t>
      </w:r>
      <w:r>
        <w:rPr>
          <w:rFonts w:ascii="Times New Roman" w:hAnsi="Times New Roman" w:cs="Times New Roman"/>
          <w:sz w:val="22"/>
          <w:szCs w:val="20"/>
          <w:lang w:val="en-US" w:eastAsia="zh-CN" w:bidi="ar-SA"/>
        </w:rPr>
        <w:t>8</w:t>
      </w:r>
      <w:r>
        <w:rPr>
          <w:rFonts w:ascii="Times New Roman" w:hAnsi="Times New Roman" w:cs="Times New Roman"/>
          <w:sz w:val="22"/>
          <w:szCs w:val="20"/>
          <w:lang w:val="en-US" w:eastAsia="zh-CN" w:bidi="ar-SA"/>
        </w:rPr>
        <w:t>月中下旬进行灌溉，能够促进牧草增产。</w:t>
      </w:r>
    </w:p>
    <w:p w14:paraId="2ED5772B" w14:textId="77777777" w:rsidR="00D10CCF" w:rsidRDefault="00000000">
      <w:pPr>
        <w:pStyle w:val="a6"/>
        <w:spacing w:line="360" w:lineRule="auto"/>
        <w:ind w:firstLineChars="200" w:firstLine="440"/>
        <w:rPr>
          <w:rFonts w:ascii="Times New Roman" w:hAnsi="Times New Roman" w:cs="Times New Roman"/>
          <w:sz w:val="22"/>
          <w:szCs w:val="20"/>
          <w:lang w:val="en-US" w:eastAsia="zh-CN" w:bidi="ar-SA"/>
        </w:rPr>
      </w:pPr>
      <w:bookmarkStart w:id="10" w:name="_Toc32369"/>
      <w:r>
        <w:rPr>
          <w:rFonts w:ascii="Times New Roman" w:hAnsi="Times New Roman" w:cs="Times New Roman"/>
          <w:sz w:val="22"/>
          <w:szCs w:val="20"/>
          <w:lang w:val="en-US" w:eastAsia="zh-CN" w:bidi="ar-SA"/>
        </w:rPr>
        <w:t>结果分析</w:t>
      </w:r>
      <w:bookmarkEnd w:id="10"/>
      <w:r>
        <w:rPr>
          <w:rFonts w:ascii="Times New Roman" w:hAnsi="Times New Roman" w:cs="Times New Roman" w:hint="eastAsia"/>
          <w:sz w:val="22"/>
          <w:szCs w:val="20"/>
          <w:lang w:val="en-US" w:eastAsia="zh-CN" w:bidi="ar-SA"/>
        </w:rPr>
        <w:t>：</w:t>
      </w:r>
      <w:r>
        <w:rPr>
          <w:rFonts w:ascii="Times New Roman" w:hAnsi="Times New Roman" w:cs="Times New Roman"/>
          <w:sz w:val="22"/>
          <w:szCs w:val="20"/>
          <w:lang w:val="en-US" w:eastAsia="zh-CN" w:bidi="ar-SA"/>
        </w:rPr>
        <w:t>随着灌溉次数的增加，种植品种的出苗期、拔节期生育期无变化，抽穗期和成熟期均呈延后趋势，生育天数呈增加趋势。同时，随着灌溉次数增加，牧草鲜草产量呈先增加后减少趋势，灌溉次数不多于</w:t>
      </w:r>
      <w:r>
        <w:rPr>
          <w:rFonts w:ascii="Times New Roman" w:hAnsi="Times New Roman" w:cs="Times New Roman"/>
          <w:sz w:val="22"/>
          <w:szCs w:val="20"/>
          <w:lang w:val="en-US" w:eastAsia="zh-CN" w:bidi="ar-SA"/>
        </w:rPr>
        <w:t>4</w:t>
      </w:r>
      <w:r>
        <w:rPr>
          <w:rFonts w:ascii="Times New Roman" w:hAnsi="Times New Roman" w:cs="Times New Roman"/>
          <w:sz w:val="22"/>
          <w:szCs w:val="20"/>
          <w:lang w:val="en-US" w:eastAsia="zh-CN" w:bidi="ar-SA"/>
        </w:rPr>
        <w:t>次时，均为发生倒伏现象，灌溉次数为</w:t>
      </w:r>
      <w:r>
        <w:rPr>
          <w:rFonts w:ascii="Times New Roman" w:hAnsi="Times New Roman" w:cs="Times New Roman"/>
          <w:sz w:val="22"/>
          <w:szCs w:val="20"/>
          <w:lang w:val="en-US" w:eastAsia="zh-CN" w:bidi="ar-SA"/>
        </w:rPr>
        <w:t>5</w:t>
      </w:r>
      <w:r>
        <w:rPr>
          <w:rFonts w:ascii="Times New Roman" w:hAnsi="Times New Roman" w:cs="Times New Roman"/>
          <w:sz w:val="22"/>
          <w:szCs w:val="20"/>
          <w:lang w:val="en-US" w:eastAsia="zh-CN" w:bidi="ar-SA"/>
        </w:rPr>
        <w:t>次时，燕麦发生倒伏，倒伏面积为</w:t>
      </w:r>
      <w:r>
        <w:rPr>
          <w:rFonts w:ascii="Times New Roman" w:hAnsi="Times New Roman" w:cs="Times New Roman"/>
          <w:sz w:val="22"/>
          <w:szCs w:val="20"/>
          <w:lang w:val="en-US" w:eastAsia="zh-CN" w:bidi="ar-SA"/>
        </w:rPr>
        <w:t>15%</w:t>
      </w:r>
      <w:r>
        <w:rPr>
          <w:rFonts w:ascii="Times New Roman" w:hAnsi="Times New Roman" w:cs="Times New Roman"/>
          <w:sz w:val="22"/>
          <w:szCs w:val="20"/>
          <w:lang w:val="en-US" w:eastAsia="zh-CN" w:bidi="ar-SA"/>
        </w:rPr>
        <w:t>，表明过多灌溉会导致燕麦抗倒伏性降低，牧草产量随之降低。</w:t>
      </w:r>
    </w:p>
    <w:p w14:paraId="47FD3B3B" w14:textId="77777777" w:rsidR="00D10CCF" w:rsidRDefault="00000000">
      <w:pPr>
        <w:pStyle w:val="a6"/>
        <w:spacing w:line="360" w:lineRule="auto"/>
        <w:ind w:firstLineChars="200" w:firstLine="440"/>
        <w:rPr>
          <w:rFonts w:ascii="Times New Roman" w:hAnsi="Times New Roman" w:cs="Times New Roman"/>
          <w:sz w:val="22"/>
          <w:szCs w:val="20"/>
          <w:lang w:val="en-US" w:eastAsia="zh-CN" w:bidi="ar-SA"/>
        </w:rPr>
      </w:pPr>
      <w:r>
        <w:rPr>
          <w:rFonts w:ascii="Times New Roman" w:hAnsi="Times New Roman" w:cs="Times New Roman"/>
          <w:sz w:val="22"/>
          <w:szCs w:val="20"/>
          <w:lang w:val="en-US" w:eastAsia="zh-CN" w:bidi="ar-SA"/>
        </w:rPr>
        <w:t>通过试验研究，在灌溉条件下，</w:t>
      </w:r>
      <w:r>
        <w:rPr>
          <w:rFonts w:ascii="Times New Roman" w:hAnsi="Times New Roman" w:cs="Times New Roman"/>
          <w:sz w:val="22"/>
          <w:szCs w:val="20"/>
          <w:lang w:val="en-US" w:eastAsia="zh-CN" w:bidi="ar-SA"/>
        </w:rPr>
        <w:t>5</w:t>
      </w:r>
      <w:r>
        <w:rPr>
          <w:rFonts w:ascii="Times New Roman" w:hAnsi="Times New Roman" w:cs="Times New Roman"/>
          <w:sz w:val="22"/>
          <w:szCs w:val="20"/>
          <w:lang w:val="en-US" w:eastAsia="zh-CN" w:bidi="ar-SA"/>
        </w:rPr>
        <w:t>个处理组，平均亩产鲜草产量达</w:t>
      </w:r>
      <w:r>
        <w:rPr>
          <w:rFonts w:ascii="Times New Roman" w:hAnsi="Times New Roman" w:cs="Times New Roman"/>
          <w:sz w:val="22"/>
          <w:szCs w:val="20"/>
          <w:lang w:val="en-US" w:eastAsia="zh-CN" w:bidi="ar-SA"/>
        </w:rPr>
        <w:t>4900kg/</w:t>
      </w:r>
      <w:r>
        <w:rPr>
          <w:rFonts w:ascii="Times New Roman" w:hAnsi="Times New Roman" w:cs="Times New Roman"/>
          <w:sz w:val="22"/>
          <w:szCs w:val="20"/>
          <w:lang w:val="en-US" w:eastAsia="zh-CN" w:bidi="ar-SA"/>
        </w:rPr>
        <w:t>亩，最高产量达</w:t>
      </w:r>
      <w:r>
        <w:rPr>
          <w:rFonts w:ascii="Times New Roman" w:hAnsi="Times New Roman" w:cs="Times New Roman"/>
          <w:sz w:val="22"/>
          <w:szCs w:val="20"/>
          <w:lang w:val="en-US" w:eastAsia="zh-CN" w:bidi="ar-SA"/>
        </w:rPr>
        <w:t>5080kg/</w:t>
      </w:r>
      <w:r>
        <w:rPr>
          <w:rFonts w:ascii="Times New Roman" w:hAnsi="Times New Roman" w:cs="Times New Roman"/>
          <w:sz w:val="22"/>
          <w:szCs w:val="20"/>
          <w:lang w:val="en-US" w:eastAsia="zh-CN" w:bidi="ar-SA"/>
        </w:rPr>
        <w:t>亩；无灌溉条件下，亩产鲜草达</w:t>
      </w:r>
      <w:r>
        <w:rPr>
          <w:rFonts w:ascii="Times New Roman" w:hAnsi="Times New Roman" w:cs="Times New Roman"/>
          <w:sz w:val="22"/>
          <w:szCs w:val="20"/>
          <w:lang w:val="en-US" w:eastAsia="zh-CN" w:bidi="ar-SA"/>
        </w:rPr>
        <w:t>3700kg</w:t>
      </w:r>
      <w:r>
        <w:rPr>
          <w:rFonts w:ascii="Times New Roman" w:hAnsi="Times New Roman" w:cs="Times New Roman"/>
          <w:sz w:val="22"/>
          <w:szCs w:val="20"/>
          <w:lang w:val="en-US" w:eastAsia="zh-CN" w:bidi="ar-SA"/>
        </w:rPr>
        <w:t>，灌溉与不灌溉对比，每亩增产</w:t>
      </w:r>
      <w:r>
        <w:rPr>
          <w:rFonts w:ascii="Times New Roman" w:hAnsi="Times New Roman" w:cs="Times New Roman"/>
          <w:sz w:val="22"/>
          <w:szCs w:val="20"/>
          <w:lang w:val="en-US" w:eastAsia="zh-CN" w:bidi="ar-SA"/>
        </w:rPr>
        <w:t>1200kg</w:t>
      </w:r>
      <w:r>
        <w:rPr>
          <w:rFonts w:ascii="Times New Roman" w:hAnsi="Times New Roman" w:cs="Times New Roman"/>
          <w:sz w:val="22"/>
          <w:szCs w:val="20"/>
          <w:lang w:val="en-US" w:eastAsia="zh-CN" w:bidi="ar-SA"/>
        </w:rPr>
        <w:t>。</w:t>
      </w:r>
    </w:p>
    <w:p w14:paraId="7DC0E513" w14:textId="77777777" w:rsidR="00D10CCF" w:rsidRDefault="00000000">
      <w:pPr>
        <w:pStyle w:val="a6"/>
        <w:spacing w:line="360" w:lineRule="auto"/>
        <w:ind w:firstLineChars="200" w:firstLine="440"/>
        <w:rPr>
          <w:rFonts w:ascii="Times New Roman" w:hAnsi="Times New Roman" w:cs="Times New Roman"/>
          <w:sz w:val="22"/>
          <w:szCs w:val="20"/>
          <w:lang w:val="en-US" w:eastAsia="zh-CN" w:bidi="ar-SA"/>
        </w:rPr>
      </w:pPr>
      <w:r>
        <w:rPr>
          <w:rFonts w:ascii="Times New Roman" w:hAnsi="Times New Roman" w:cs="Times New Roman"/>
          <w:sz w:val="22"/>
          <w:szCs w:val="20"/>
          <w:lang w:val="en-US" w:eastAsia="zh-CN" w:bidi="ar-SA"/>
        </w:rPr>
        <w:sym w:font="Wingdings" w:char="F082"/>
      </w:r>
      <w:r>
        <w:rPr>
          <w:rFonts w:ascii="Times New Roman" w:hAnsi="Times New Roman" w:cs="Times New Roman"/>
          <w:sz w:val="22"/>
          <w:szCs w:val="20"/>
          <w:lang w:val="en-US" w:eastAsia="zh-CN" w:bidi="ar-SA"/>
        </w:rPr>
        <w:t>藏北那曲高寒牧区草牧业科技创新及示范研究思路</w:t>
      </w:r>
    </w:p>
    <w:p w14:paraId="06A37BDD" w14:textId="77777777" w:rsidR="00D10CCF" w:rsidRDefault="00000000">
      <w:pPr>
        <w:pStyle w:val="a6"/>
        <w:spacing w:line="360" w:lineRule="auto"/>
        <w:ind w:firstLineChars="200" w:firstLine="440"/>
        <w:rPr>
          <w:rFonts w:ascii="Times New Roman" w:hAnsi="Times New Roman" w:cs="Times New Roman"/>
          <w:sz w:val="22"/>
          <w:szCs w:val="20"/>
          <w:lang w:val="en-US" w:eastAsia="zh-CN" w:bidi="ar-SA"/>
        </w:rPr>
      </w:pPr>
      <w:r>
        <w:rPr>
          <w:rFonts w:ascii="Times New Roman" w:hAnsi="Times New Roman" w:cs="Times New Roman"/>
          <w:sz w:val="22"/>
          <w:szCs w:val="20"/>
          <w:lang w:val="en-US" w:eastAsia="zh-CN" w:bidi="ar-SA"/>
        </w:rPr>
        <w:t>充分利用牧户房前屋后空闲区域、季节性畜圈以及永久闲置的畜圈，开展房前屋后人工种草技术推广，从种植区域、品种选择、种植技术、田间管理、收获贮藏等环节进行规范，提高房前屋后人工草地牧草产量，既解决了冬春季牧草供应不足的问题，又充分考虑了夏季畜圈闲置的问题，逐步形成那曲高寒牧区房前屋后和畜圈</w:t>
      </w:r>
      <w:r>
        <w:rPr>
          <w:rFonts w:ascii="Times New Roman" w:hAnsi="Times New Roman" w:cs="Times New Roman"/>
          <w:sz w:val="22"/>
          <w:szCs w:val="20"/>
          <w:lang w:val="en-US" w:eastAsia="zh-CN" w:bidi="ar-SA"/>
        </w:rPr>
        <w:t>“</w:t>
      </w:r>
      <w:r>
        <w:rPr>
          <w:rFonts w:ascii="Times New Roman" w:hAnsi="Times New Roman" w:cs="Times New Roman"/>
          <w:sz w:val="22"/>
          <w:szCs w:val="20"/>
          <w:lang w:val="en-US" w:eastAsia="zh-CN" w:bidi="ar-SA"/>
        </w:rPr>
        <w:t>冬季圈养牲畜层积厩肥，夏季种植牧草提供饲草</w:t>
      </w:r>
      <w:r>
        <w:rPr>
          <w:rFonts w:ascii="Times New Roman" w:hAnsi="Times New Roman" w:cs="Times New Roman"/>
          <w:sz w:val="22"/>
          <w:szCs w:val="20"/>
          <w:lang w:val="en-US" w:eastAsia="zh-CN" w:bidi="ar-SA"/>
        </w:rPr>
        <w:t>”</w:t>
      </w:r>
      <w:r>
        <w:rPr>
          <w:rFonts w:ascii="Times New Roman" w:hAnsi="Times New Roman" w:cs="Times New Roman"/>
          <w:sz w:val="22"/>
          <w:szCs w:val="20"/>
          <w:lang w:val="en-US" w:eastAsia="zh-CN" w:bidi="ar-SA"/>
        </w:rPr>
        <w:t>的人工种草循环利用技术。</w:t>
      </w:r>
    </w:p>
    <w:p w14:paraId="0DAC56E8" w14:textId="77777777" w:rsidR="00D10CCF" w:rsidRDefault="00000000">
      <w:pPr>
        <w:pStyle w:val="a6"/>
        <w:spacing w:line="360" w:lineRule="auto"/>
        <w:ind w:firstLineChars="200" w:firstLine="440"/>
        <w:rPr>
          <w:rFonts w:ascii="Times New Roman" w:hAnsi="Times New Roman" w:cs="Times New Roman"/>
          <w:sz w:val="22"/>
          <w:szCs w:val="20"/>
          <w:lang w:val="en-US" w:eastAsia="zh-CN" w:bidi="ar-SA"/>
        </w:rPr>
      </w:pPr>
      <w:bookmarkStart w:id="11" w:name="_Toc22489"/>
      <w:r>
        <w:rPr>
          <w:rFonts w:ascii="Times New Roman" w:hAnsi="Times New Roman" w:cs="Times New Roman"/>
          <w:sz w:val="22"/>
          <w:szCs w:val="20"/>
          <w:lang w:val="en-US" w:eastAsia="zh-CN" w:bidi="ar-SA"/>
        </w:rPr>
        <w:t>模式创建</w:t>
      </w:r>
      <w:bookmarkEnd w:id="11"/>
      <w:r>
        <w:rPr>
          <w:rFonts w:ascii="Times New Roman" w:hAnsi="Times New Roman" w:cs="Times New Roman" w:hint="eastAsia"/>
          <w:sz w:val="22"/>
          <w:szCs w:val="20"/>
          <w:lang w:val="en-US" w:eastAsia="zh-CN" w:bidi="ar-SA"/>
        </w:rPr>
        <w:t>：</w:t>
      </w:r>
      <w:r>
        <w:rPr>
          <w:rFonts w:ascii="Times New Roman" w:hAnsi="Times New Roman" w:cs="Times New Roman"/>
          <w:sz w:val="22"/>
          <w:szCs w:val="20"/>
          <w:lang w:val="en-US" w:eastAsia="zh-CN" w:bidi="ar-SA"/>
        </w:rPr>
        <w:t>以</w:t>
      </w:r>
      <w:r>
        <w:rPr>
          <w:rFonts w:ascii="Times New Roman" w:hAnsi="Times New Roman" w:cs="Times New Roman"/>
          <w:sz w:val="22"/>
          <w:szCs w:val="20"/>
          <w:lang w:val="en-US" w:eastAsia="zh-CN" w:bidi="ar-SA"/>
        </w:rPr>
        <w:t>“</w:t>
      </w:r>
      <w:r>
        <w:rPr>
          <w:rFonts w:ascii="Times New Roman" w:hAnsi="Times New Roman" w:cs="Times New Roman"/>
          <w:sz w:val="22"/>
          <w:szCs w:val="20"/>
          <w:lang w:val="en-US" w:eastAsia="zh-CN" w:bidi="ar-SA"/>
        </w:rPr>
        <w:t>探索创新、因地制宜、保育结合</w:t>
      </w:r>
      <w:r>
        <w:rPr>
          <w:rFonts w:ascii="Times New Roman" w:hAnsi="Times New Roman" w:cs="Times New Roman"/>
          <w:sz w:val="22"/>
          <w:szCs w:val="20"/>
          <w:lang w:val="en-US" w:eastAsia="zh-CN" w:bidi="ar-SA"/>
        </w:rPr>
        <w:t>”</w:t>
      </w:r>
      <w:r>
        <w:rPr>
          <w:rFonts w:ascii="Times New Roman" w:hAnsi="Times New Roman" w:cs="Times New Roman"/>
          <w:sz w:val="22"/>
          <w:szCs w:val="20"/>
          <w:lang w:val="en-US" w:eastAsia="zh-CN" w:bidi="ar-SA"/>
        </w:rPr>
        <w:t>的工作原则；通过课题研究、集成示范、成果转化一体的工作模式；集中优势、集中资源，打造出可复制、可推广的那曲首个草牧业示范村。</w:t>
      </w:r>
    </w:p>
    <w:p w14:paraId="6904C43D" w14:textId="77777777" w:rsidR="00D10CCF" w:rsidRDefault="00000000">
      <w:pPr>
        <w:pStyle w:val="a6"/>
        <w:spacing w:line="360" w:lineRule="auto"/>
        <w:ind w:firstLineChars="200" w:firstLine="440"/>
        <w:rPr>
          <w:rFonts w:ascii="Times New Roman" w:hAnsi="Times New Roman" w:cs="Times New Roman"/>
          <w:sz w:val="22"/>
          <w:szCs w:val="20"/>
          <w:lang w:val="en-US" w:eastAsia="zh-CN" w:bidi="ar-SA"/>
        </w:rPr>
      </w:pPr>
      <w:bookmarkStart w:id="12" w:name="_Toc18420"/>
      <w:r>
        <w:rPr>
          <w:rFonts w:ascii="Times New Roman" w:hAnsi="Times New Roman" w:cs="Times New Roman"/>
          <w:sz w:val="22"/>
          <w:szCs w:val="20"/>
          <w:lang w:val="en-US" w:eastAsia="zh-CN" w:bidi="ar-SA"/>
        </w:rPr>
        <w:t>定位</w:t>
      </w:r>
      <w:bookmarkEnd w:id="12"/>
    </w:p>
    <w:p w14:paraId="21777F52" w14:textId="77777777" w:rsidR="00D10CCF" w:rsidRDefault="00000000">
      <w:pPr>
        <w:pStyle w:val="a6"/>
        <w:spacing w:line="360" w:lineRule="auto"/>
        <w:ind w:firstLineChars="200" w:firstLine="440"/>
        <w:rPr>
          <w:rFonts w:ascii="Times New Roman" w:hAnsi="Times New Roman" w:cs="Times New Roman"/>
          <w:sz w:val="22"/>
          <w:szCs w:val="20"/>
          <w:lang w:val="en-US" w:eastAsia="zh-CN" w:bidi="ar-SA"/>
        </w:rPr>
      </w:pPr>
      <w:r>
        <w:rPr>
          <w:rFonts w:ascii="Times New Roman" w:hAnsi="Times New Roman" w:cs="Times New Roman"/>
          <w:sz w:val="22"/>
          <w:szCs w:val="20"/>
          <w:lang w:val="en-US" w:eastAsia="zh-CN" w:bidi="ar-SA"/>
        </w:rPr>
        <w:t>搭建平台：提升科研研究技术力量，提高科学服务水平；</w:t>
      </w:r>
    </w:p>
    <w:p w14:paraId="1822A3BA" w14:textId="77777777" w:rsidR="00D10CCF" w:rsidRDefault="00000000">
      <w:pPr>
        <w:pStyle w:val="a6"/>
        <w:spacing w:line="360" w:lineRule="auto"/>
        <w:ind w:firstLineChars="200" w:firstLine="440"/>
        <w:rPr>
          <w:rFonts w:ascii="Times New Roman" w:hAnsi="Times New Roman" w:cs="Times New Roman"/>
          <w:sz w:val="22"/>
          <w:szCs w:val="20"/>
          <w:lang w:val="en-US" w:eastAsia="zh-CN" w:bidi="ar-SA"/>
        </w:rPr>
      </w:pPr>
      <w:r>
        <w:rPr>
          <w:rFonts w:ascii="Times New Roman" w:hAnsi="Times New Roman" w:cs="Times New Roman"/>
          <w:sz w:val="22"/>
          <w:szCs w:val="20"/>
          <w:lang w:val="en-US" w:eastAsia="zh-CN" w:bidi="ar-SA"/>
        </w:rPr>
        <w:t>探索研究：总结示范实用技术和先进发展模式；</w:t>
      </w:r>
    </w:p>
    <w:p w14:paraId="2FE09CFB" w14:textId="77777777" w:rsidR="00D10CCF" w:rsidRDefault="00000000">
      <w:pPr>
        <w:pStyle w:val="a6"/>
        <w:spacing w:line="360" w:lineRule="auto"/>
        <w:ind w:firstLineChars="200" w:firstLine="440"/>
        <w:rPr>
          <w:rFonts w:ascii="Times New Roman" w:hAnsi="Times New Roman" w:cs="Times New Roman"/>
          <w:sz w:val="22"/>
          <w:szCs w:val="20"/>
          <w:lang w:val="en-US" w:eastAsia="zh-CN" w:bidi="ar-SA"/>
        </w:rPr>
      </w:pPr>
      <w:r>
        <w:rPr>
          <w:rFonts w:ascii="Times New Roman" w:hAnsi="Times New Roman" w:cs="Times New Roman"/>
          <w:sz w:val="22"/>
          <w:szCs w:val="20"/>
          <w:lang w:val="en-US" w:eastAsia="zh-CN" w:bidi="ar-SA"/>
        </w:rPr>
        <w:t>转化应用：及时转化成果实现草牧业</w:t>
      </w:r>
      <w:r>
        <w:rPr>
          <w:rFonts w:ascii="Times New Roman" w:hAnsi="Times New Roman" w:cs="Times New Roman"/>
          <w:sz w:val="22"/>
          <w:szCs w:val="20"/>
          <w:lang w:val="en-US" w:eastAsia="zh-CN" w:bidi="ar-SA"/>
        </w:rPr>
        <w:t>“</w:t>
      </w:r>
      <w:r>
        <w:rPr>
          <w:rFonts w:ascii="Times New Roman" w:hAnsi="Times New Roman" w:cs="Times New Roman"/>
          <w:sz w:val="22"/>
          <w:szCs w:val="20"/>
          <w:lang w:val="en-US" w:eastAsia="zh-CN" w:bidi="ar-SA"/>
        </w:rPr>
        <w:t>提质增效</w:t>
      </w:r>
      <w:r>
        <w:rPr>
          <w:rFonts w:ascii="Times New Roman" w:hAnsi="Times New Roman" w:cs="Times New Roman"/>
          <w:sz w:val="22"/>
          <w:szCs w:val="20"/>
          <w:lang w:val="en-US" w:eastAsia="zh-CN" w:bidi="ar-SA"/>
        </w:rPr>
        <w:t>”</w:t>
      </w:r>
      <w:r>
        <w:rPr>
          <w:rFonts w:ascii="Times New Roman" w:hAnsi="Times New Roman" w:cs="Times New Roman"/>
          <w:sz w:val="22"/>
          <w:szCs w:val="20"/>
          <w:lang w:val="en-US" w:eastAsia="zh-CN" w:bidi="ar-SA"/>
        </w:rPr>
        <w:t>；</w:t>
      </w:r>
    </w:p>
    <w:p w14:paraId="490455D2" w14:textId="77777777" w:rsidR="00D10CCF" w:rsidRDefault="00000000">
      <w:pPr>
        <w:pStyle w:val="a6"/>
        <w:spacing w:line="360" w:lineRule="auto"/>
        <w:ind w:firstLineChars="200" w:firstLine="440"/>
        <w:rPr>
          <w:rFonts w:ascii="Times New Roman" w:hAnsi="Times New Roman" w:cs="Times New Roman"/>
          <w:sz w:val="22"/>
          <w:szCs w:val="20"/>
          <w:lang w:val="en-US" w:eastAsia="zh-CN" w:bidi="ar-SA"/>
        </w:rPr>
      </w:pPr>
      <w:r>
        <w:rPr>
          <w:rFonts w:ascii="Times New Roman" w:hAnsi="Times New Roman" w:cs="Times New Roman"/>
          <w:sz w:val="22"/>
          <w:szCs w:val="20"/>
          <w:lang w:val="en-US" w:eastAsia="zh-CN" w:bidi="ar-SA"/>
        </w:rPr>
        <w:t>模式示范：加强草牧业示范村辐射带动，加快那曲草牧业转型升级；</w:t>
      </w:r>
    </w:p>
    <w:p w14:paraId="6B4F5C76" w14:textId="77777777" w:rsidR="00D10CCF" w:rsidRDefault="00000000">
      <w:pPr>
        <w:pStyle w:val="a6"/>
        <w:spacing w:line="360" w:lineRule="auto"/>
        <w:ind w:firstLineChars="200" w:firstLine="440"/>
        <w:rPr>
          <w:rFonts w:ascii="Times New Roman" w:hAnsi="Times New Roman" w:cs="Times New Roman"/>
          <w:sz w:val="22"/>
          <w:szCs w:val="20"/>
          <w:lang w:val="en-US" w:eastAsia="zh-CN" w:bidi="ar-SA"/>
        </w:rPr>
      </w:pPr>
      <w:bookmarkStart w:id="13" w:name="_Toc10517"/>
      <w:r>
        <w:rPr>
          <w:rFonts w:ascii="Times New Roman" w:hAnsi="Times New Roman" w:cs="Times New Roman"/>
          <w:sz w:val="22"/>
          <w:szCs w:val="20"/>
          <w:lang w:val="en-US" w:eastAsia="zh-CN" w:bidi="ar-SA"/>
        </w:rPr>
        <w:t>主要做法</w:t>
      </w:r>
      <w:bookmarkEnd w:id="13"/>
      <w:r>
        <w:rPr>
          <w:rFonts w:ascii="Times New Roman" w:hAnsi="Times New Roman" w:cs="Times New Roman" w:hint="eastAsia"/>
          <w:sz w:val="22"/>
          <w:szCs w:val="20"/>
          <w:lang w:val="en-US" w:eastAsia="zh-CN" w:bidi="ar-SA"/>
        </w:rPr>
        <w:t>：</w:t>
      </w:r>
      <w:r>
        <w:rPr>
          <w:rFonts w:ascii="Times New Roman" w:hAnsi="Times New Roman" w:cs="Times New Roman"/>
          <w:sz w:val="22"/>
          <w:szCs w:val="20"/>
          <w:lang w:val="en-US" w:eastAsia="zh-CN" w:bidi="ar-SA"/>
        </w:rPr>
        <w:t>以示范推广与扶贫带动为目的，以那曲草原生态建设及畜牧业可持续协调发展理念出发，以生态治理、牧草栽培、集成示范、优化资源配置等模式，打造成为功能齐全、技术支撑条件完备的草地研究示范与</w:t>
      </w:r>
      <w:r>
        <w:rPr>
          <w:rFonts w:ascii="Times New Roman" w:hAnsi="Times New Roman" w:cs="Times New Roman"/>
          <w:sz w:val="22"/>
          <w:szCs w:val="20"/>
          <w:lang w:val="en-US" w:eastAsia="zh-CN" w:bidi="ar-SA"/>
        </w:rPr>
        <w:t>“</w:t>
      </w:r>
      <w:r>
        <w:rPr>
          <w:rFonts w:ascii="Times New Roman" w:hAnsi="Times New Roman" w:cs="Times New Roman"/>
          <w:sz w:val="22"/>
          <w:szCs w:val="20"/>
          <w:lang w:val="en-US" w:eastAsia="zh-CN" w:bidi="ar-SA"/>
        </w:rPr>
        <w:t>种养结合、草畜转化</w:t>
      </w:r>
      <w:r>
        <w:rPr>
          <w:rFonts w:ascii="Times New Roman" w:hAnsi="Times New Roman" w:cs="Times New Roman"/>
          <w:sz w:val="22"/>
          <w:szCs w:val="20"/>
          <w:lang w:val="en-US" w:eastAsia="zh-CN" w:bidi="ar-SA"/>
        </w:rPr>
        <w:t>”</w:t>
      </w:r>
      <w:r>
        <w:rPr>
          <w:rFonts w:ascii="Times New Roman" w:hAnsi="Times New Roman" w:cs="Times New Roman"/>
          <w:sz w:val="22"/>
          <w:szCs w:val="20"/>
          <w:lang w:val="en-US" w:eastAsia="zh-CN" w:bidi="ar-SA"/>
        </w:rPr>
        <w:t>为一体的草牧业科技创新与示范村建设。</w:t>
      </w:r>
    </w:p>
    <w:p w14:paraId="6A4FA81C" w14:textId="77777777" w:rsidR="00D10CCF" w:rsidRDefault="00000000">
      <w:pPr>
        <w:pStyle w:val="a6"/>
        <w:spacing w:line="360" w:lineRule="auto"/>
        <w:ind w:firstLineChars="200" w:firstLine="440"/>
        <w:rPr>
          <w:rFonts w:ascii="Times New Roman" w:hAnsi="Times New Roman" w:cs="Times New Roman"/>
          <w:sz w:val="22"/>
          <w:szCs w:val="20"/>
          <w:lang w:val="en-US" w:eastAsia="zh-CN" w:bidi="ar-SA"/>
        </w:rPr>
      </w:pPr>
      <w:r>
        <w:rPr>
          <w:rFonts w:ascii="Times New Roman" w:hAnsi="Times New Roman" w:cs="Times New Roman"/>
          <w:sz w:val="22"/>
          <w:szCs w:val="20"/>
          <w:lang w:val="en-US" w:eastAsia="zh-CN" w:bidi="ar-SA"/>
        </w:rPr>
        <w:t>实施措施</w:t>
      </w:r>
      <w:r>
        <w:rPr>
          <w:rFonts w:ascii="Times New Roman" w:hAnsi="Times New Roman" w:cs="Times New Roman" w:hint="eastAsia"/>
          <w:sz w:val="22"/>
          <w:szCs w:val="20"/>
          <w:lang w:val="en-US" w:eastAsia="zh-CN" w:bidi="ar-SA"/>
        </w:rPr>
        <w:t>：</w:t>
      </w:r>
      <w:r>
        <w:rPr>
          <w:rFonts w:ascii="Times New Roman" w:hAnsi="Times New Roman" w:cs="Times New Roman"/>
          <w:sz w:val="22"/>
          <w:szCs w:val="20"/>
          <w:lang w:val="en-US" w:eastAsia="zh-CN" w:bidi="ar-SA"/>
        </w:rPr>
        <w:t>通过实地调研选址、与村民商榷达成意向，在那曲镇</w:t>
      </w:r>
      <w:r>
        <w:rPr>
          <w:rFonts w:ascii="Times New Roman" w:hAnsi="Times New Roman" w:cs="Times New Roman"/>
          <w:sz w:val="22"/>
          <w:szCs w:val="20"/>
          <w:lang w:val="en-US" w:eastAsia="zh-CN" w:bidi="ar-SA"/>
        </w:rPr>
        <w:t>14</w:t>
      </w:r>
      <w:r>
        <w:rPr>
          <w:rFonts w:ascii="Times New Roman" w:hAnsi="Times New Roman" w:cs="Times New Roman"/>
          <w:sz w:val="22"/>
          <w:szCs w:val="20"/>
          <w:lang w:val="en-US" w:eastAsia="zh-CN" w:bidi="ar-SA"/>
        </w:rPr>
        <w:t>村嘎庆自然村那格热鼠荒地、沙化地</w:t>
      </w:r>
      <w:r>
        <w:rPr>
          <w:rFonts w:ascii="Times New Roman" w:hAnsi="Times New Roman" w:cs="Times New Roman"/>
          <w:sz w:val="22"/>
          <w:szCs w:val="20"/>
          <w:lang w:val="en-US" w:eastAsia="zh-CN" w:bidi="ar-SA"/>
        </w:rPr>
        <w:t>500</w:t>
      </w:r>
      <w:r>
        <w:rPr>
          <w:rFonts w:ascii="Times New Roman" w:hAnsi="Times New Roman" w:cs="Times New Roman"/>
          <w:sz w:val="22"/>
          <w:szCs w:val="20"/>
          <w:lang w:val="en-US" w:eastAsia="zh-CN" w:bidi="ar-SA"/>
        </w:rPr>
        <w:t>亩，实施草地生态修复，重点从鼠害隔离防治、节水自压灌溉、生态补播修复、荒地种草治理（集成示范高产牧草种植）等措施。通过村户出地、</w:t>
      </w:r>
      <w:r>
        <w:rPr>
          <w:rFonts w:ascii="Times New Roman" w:hAnsi="Times New Roman" w:cs="Times New Roman" w:hint="eastAsia"/>
          <w:sz w:val="22"/>
          <w:szCs w:val="20"/>
          <w:lang w:val="en-US" w:eastAsia="zh-CN" w:bidi="ar-SA"/>
        </w:rPr>
        <w:t>中心</w:t>
      </w:r>
      <w:r>
        <w:rPr>
          <w:rFonts w:ascii="Times New Roman" w:hAnsi="Times New Roman" w:cs="Times New Roman"/>
          <w:sz w:val="22"/>
          <w:szCs w:val="20"/>
          <w:lang w:val="en-US" w:eastAsia="zh-CN" w:bidi="ar-SA"/>
        </w:rPr>
        <w:t>投入建设，荒地治理、生态修复、高产牧草种植作为村户割草地，由</w:t>
      </w:r>
      <w:r>
        <w:rPr>
          <w:rFonts w:ascii="Times New Roman" w:hAnsi="Times New Roman" w:cs="Times New Roman" w:hint="eastAsia"/>
          <w:sz w:val="22"/>
          <w:szCs w:val="20"/>
          <w:lang w:val="en-US" w:eastAsia="zh-CN" w:bidi="ar-SA"/>
        </w:rPr>
        <w:t>市研推中心</w:t>
      </w:r>
      <w:r>
        <w:rPr>
          <w:rFonts w:ascii="Times New Roman" w:hAnsi="Times New Roman" w:cs="Times New Roman"/>
          <w:sz w:val="22"/>
          <w:szCs w:val="20"/>
          <w:lang w:val="en-US" w:eastAsia="zh-CN" w:bidi="ar-SA"/>
        </w:rPr>
        <w:t>提供技术服务、免费供种、由牧户出力畜圈种草。所投入的设施以及所种植和生态修复产出的牧草均归村户所有，解决该村天然草地沙化退化严重、牧草产出低下、牲畜补饲及饲草储备难的问题。同时，所需的劳务输出均由本村投入安排其劳务增收，带动村户群众参与其房前屋后畜圈暖棚人工种草</w:t>
      </w:r>
      <w:r>
        <w:rPr>
          <w:rFonts w:ascii="Times New Roman" w:hAnsi="Times New Roman" w:cs="Times New Roman"/>
          <w:sz w:val="22"/>
          <w:szCs w:val="20"/>
          <w:lang w:val="en-US" w:eastAsia="zh-CN" w:bidi="ar-SA"/>
        </w:rPr>
        <w:t>100%</w:t>
      </w:r>
      <w:r>
        <w:rPr>
          <w:rFonts w:ascii="Times New Roman" w:hAnsi="Times New Roman" w:cs="Times New Roman"/>
          <w:sz w:val="22"/>
          <w:szCs w:val="20"/>
          <w:lang w:val="en-US" w:eastAsia="zh-CN" w:bidi="ar-SA"/>
        </w:rPr>
        <w:t>覆盖，逐步建立起那曲首个草牧业科技创新与示范村。</w:t>
      </w:r>
    </w:p>
    <w:p w14:paraId="4623FE3D" w14:textId="77777777" w:rsidR="00D10CCF" w:rsidRDefault="00000000">
      <w:pPr>
        <w:pStyle w:val="a6"/>
        <w:spacing w:line="360" w:lineRule="auto"/>
        <w:ind w:firstLineChars="200" w:firstLine="440"/>
        <w:rPr>
          <w:rFonts w:ascii="Times New Roman" w:hAnsi="Times New Roman" w:cs="Times New Roman"/>
          <w:sz w:val="22"/>
          <w:szCs w:val="20"/>
          <w:lang w:val="en-US" w:eastAsia="zh-CN" w:bidi="ar-SA"/>
        </w:rPr>
      </w:pPr>
      <w:r>
        <w:rPr>
          <w:rFonts w:ascii="Times New Roman" w:hAnsi="Times New Roman" w:cs="Times New Roman"/>
          <w:sz w:val="22"/>
          <w:szCs w:val="20"/>
          <w:lang w:val="en-US" w:eastAsia="zh-CN" w:bidi="ar-SA"/>
        </w:rPr>
        <w:t>房前屋后人工种草技术路线：灭鼠（种植区域害鼠较多的可投放饵料）</w:t>
      </w:r>
      <w:r>
        <w:rPr>
          <w:rFonts w:ascii="Times New Roman" w:hAnsi="Times New Roman" w:cs="Times New Roman"/>
          <w:sz w:val="22"/>
          <w:szCs w:val="20"/>
          <w:lang w:val="en-US" w:eastAsia="zh-CN" w:bidi="ar-SA"/>
        </w:rPr>
        <w:t>—</w:t>
      </w:r>
      <w:r>
        <w:rPr>
          <w:rFonts w:ascii="Times New Roman" w:hAnsi="Times New Roman" w:cs="Times New Roman"/>
          <w:sz w:val="22"/>
          <w:szCs w:val="20"/>
          <w:lang w:val="en-US" w:eastAsia="zh-CN" w:bidi="ar-SA"/>
        </w:rPr>
        <w:t>深翻（微耕机或铁锹等农具）</w:t>
      </w:r>
      <w:r>
        <w:rPr>
          <w:rFonts w:ascii="Times New Roman" w:hAnsi="Times New Roman" w:cs="Times New Roman"/>
          <w:sz w:val="22"/>
          <w:szCs w:val="20"/>
          <w:lang w:val="en-US" w:eastAsia="zh-CN" w:bidi="ar-SA"/>
        </w:rPr>
        <w:t>—</w:t>
      </w:r>
      <w:r>
        <w:rPr>
          <w:rFonts w:ascii="Times New Roman" w:hAnsi="Times New Roman" w:cs="Times New Roman"/>
          <w:sz w:val="22"/>
          <w:szCs w:val="20"/>
          <w:lang w:val="en-US" w:eastAsia="zh-CN" w:bidi="ar-SA"/>
        </w:rPr>
        <w:t>整地（耙子）</w:t>
      </w:r>
      <w:r>
        <w:rPr>
          <w:rFonts w:ascii="Times New Roman" w:hAnsi="Times New Roman" w:cs="Times New Roman"/>
          <w:sz w:val="22"/>
          <w:szCs w:val="20"/>
          <w:lang w:val="en-US" w:eastAsia="zh-CN" w:bidi="ar-SA"/>
        </w:rPr>
        <w:t>—</w:t>
      </w:r>
      <w:r>
        <w:rPr>
          <w:rFonts w:ascii="Times New Roman" w:hAnsi="Times New Roman" w:cs="Times New Roman"/>
          <w:sz w:val="22"/>
          <w:szCs w:val="20"/>
          <w:lang w:val="en-US" w:eastAsia="zh-CN" w:bidi="ar-SA"/>
        </w:rPr>
        <w:t>播种（人工撒播）</w:t>
      </w:r>
      <w:r>
        <w:rPr>
          <w:rFonts w:ascii="Times New Roman" w:hAnsi="Times New Roman" w:cs="Times New Roman"/>
          <w:sz w:val="22"/>
          <w:szCs w:val="20"/>
          <w:lang w:val="en-US" w:eastAsia="zh-CN" w:bidi="ar-SA"/>
        </w:rPr>
        <w:t>—</w:t>
      </w:r>
      <w:r>
        <w:rPr>
          <w:rFonts w:ascii="Times New Roman" w:hAnsi="Times New Roman" w:cs="Times New Roman"/>
          <w:sz w:val="22"/>
          <w:szCs w:val="20"/>
          <w:lang w:val="en-US" w:eastAsia="zh-CN" w:bidi="ar-SA"/>
        </w:rPr>
        <w:t>覆土（微耕机或耙子覆土）</w:t>
      </w:r>
      <w:r>
        <w:rPr>
          <w:rFonts w:ascii="Times New Roman" w:hAnsi="Times New Roman" w:cs="Times New Roman"/>
          <w:sz w:val="22"/>
          <w:szCs w:val="20"/>
          <w:lang w:val="en-US" w:eastAsia="zh-CN" w:bidi="ar-SA"/>
        </w:rPr>
        <w:t>—</w:t>
      </w:r>
      <w:r>
        <w:rPr>
          <w:rFonts w:ascii="Times New Roman" w:hAnsi="Times New Roman" w:cs="Times New Roman"/>
          <w:sz w:val="22"/>
          <w:szCs w:val="20"/>
          <w:lang w:val="en-US" w:eastAsia="zh-CN" w:bidi="ar-SA"/>
        </w:rPr>
        <w:t>镇压（耱或铁锹）</w:t>
      </w:r>
      <w:r>
        <w:rPr>
          <w:rFonts w:ascii="Times New Roman" w:hAnsi="Times New Roman" w:cs="Times New Roman"/>
          <w:sz w:val="22"/>
          <w:szCs w:val="20"/>
          <w:lang w:val="en-US" w:eastAsia="zh-CN" w:bidi="ar-SA"/>
        </w:rPr>
        <w:t>—</w:t>
      </w:r>
      <w:r>
        <w:rPr>
          <w:rFonts w:ascii="Times New Roman" w:hAnsi="Times New Roman" w:cs="Times New Roman"/>
          <w:sz w:val="22"/>
          <w:szCs w:val="20"/>
          <w:lang w:val="en-US" w:eastAsia="zh-CN" w:bidi="ar-SA"/>
        </w:rPr>
        <w:t>灌溉（利用自家水井或降雨）</w:t>
      </w:r>
      <w:r>
        <w:rPr>
          <w:rFonts w:ascii="Times New Roman" w:hAnsi="Times New Roman" w:cs="Times New Roman"/>
          <w:sz w:val="22"/>
          <w:szCs w:val="20"/>
          <w:lang w:val="en-US" w:eastAsia="zh-CN" w:bidi="ar-SA"/>
        </w:rPr>
        <w:t>—</w:t>
      </w:r>
      <w:r>
        <w:rPr>
          <w:rFonts w:ascii="Times New Roman" w:hAnsi="Times New Roman" w:cs="Times New Roman"/>
          <w:sz w:val="22"/>
          <w:szCs w:val="20"/>
          <w:lang w:val="en-US" w:eastAsia="zh-CN" w:bidi="ar-SA"/>
        </w:rPr>
        <w:t>生育期观测及田间管理（在出苗、分蘖、拔节、孕穗、抽穗、开花、灌浆、乳熟、蜡熟期等不同生育期观察是否缺水缺肥及田间管理）</w:t>
      </w:r>
      <w:r>
        <w:rPr>
          <w:rFonts w:ascii="Times New Roman" w:hAnsi="Times New Roman" w:cs="Times New Roman"/>
          <w:sz w:val="22"/>
          <w:szCs w:val="20"/>
          <w:lang w:val="en-US" w:eastAsia="zh-CN" w:bidi="ar-SA"/>
        </w:rPr>
        <w:t>—</w:t>
      </w:r>
      <w:r>
        <w:rPr>
          <w:rFonts w:ascii="Times New Roman" w:hAnsi="Times New Roman" w:cs="Times New Roman"/>
          <w:sz w:val="22"/>
          <w:szCs w:val="20"/>
          <w:lang w:val="en-US" w:eastAsia="zh-CN" w:bidi="ar-SA"/>
        </w:rPr>
        <w:t>追肥（拔节</w:t>
      </w:r>
      <w:r>
        <w:rPr>
          <w:rFonts w:ascii="Times New Roman" w:hAnsi="Times New Roman" w:cs="Times New Roman"/>
          <w:sz w:val="22"/>
          <w:szCs w:val="20"/>
          <w:lang w:val="en-US" w:eastAsia="zh-CN" w:bidi="ar-SA"/>
        </w:rPr>
        <w:t>-</w:t>
      </w:r>
      <w:r>
        <w:rPr>
          <w:rFonts w:ascii="Times New Roman" w:hAnsi="Times New Roman" w:cs="Times New Roman"/>
          <w:sz w:val="22"/>
          <w:szCs w:val="20"/>
          <w:lang w:val="en-US" w:eastAsia="zh-CN" w:bidi="ar-SA"/>
        </w:rPr>
        <w:t>抽穗期或缺肥情况追施尿素）</w:t>
      </w:r>
      <w:r>
        <w:rPr>
          <w:rFonts w:ascii="Times New Roman" w:hAnsi="Times New Roman" w:cs="Times New Roman"/>
          <w:sz w:val="22"/>
          <w:szCs w:val="20"/>
          <w:lang w:val="en-US" w:eastAsia="zh-CN" w:bidi="ar-SA"/>
        </w:rPr>
        <w:t>—</w:t>
      </w:r>
      <w:r>
        <w:rPr>
          <w:rFonts w:ascii="Times New Roman" w:hAnsi="Times New Roman" w:cs="Times New Roman"/>
          <w:sz w:val="22"/>
          <w:szCs w:val="20"/>
          <w:lang w:val="en-US" w:eastAsia="zh-CN" w:bidi="ar-SA"/>
        </w:rPr>
        <w:t>适时收割（</w:t>
      </w:r>
      <w:r>
        <w:rPr>
          <w:rFonts w:ascii="Times New Roman" w:hAnsi="Times New Roman" w:cs="Times New Roman"/>
          <w:sz w:val="22"/>
          <w:szCs w:val="20"/>
          <w:lang w:val="en-US" w:eastAsia="zh-CN" w:bidi="ar-SA"/>
        </w:rPr>
        <w:t>9</w:t>
      </w:r>
      <w:r>
        <w:rPr>
          <w:rFonts w:ascii="Times New Roman" w:hAnsi="Times New Roman" w:cs="Times New Roman"/>
          <w:sz w:val="22"/>
          <w:szCs w:val="20"/>
          <w:lang w:val="en-US" w:eastAsia="zh-CN" w:bidi="ar-SA"/>
        </w:rPr>
        <w:t>月中下旬</w:t>
      </w:r>
      <w:r>
        <w:rPr>
          <w:rFonts w:ascii="Times New Roman" w:hAnsi="Times New Roman" w:cs="Times New Roman"/>
          <w:sz w:val="22"/>
          <w:szCs w:val="20"/>
          <w:lang w:val="en-US" w:eastAsia="zh-CN" w:bidi="ar-SA"/>
        </w:rPr>
        <w:t>-10</w:t>
      </w:r>
      <w:r>
        <w:rPr>
          <w:rFonts w:ascii="Times New Roman" w:hAnsi="Times New Roman" w:cs="Times New Roman"/>
          <w:sz w:val="22"/>
          <w:szCs w:val="20"/>
          <w:lang w:val="en-US" w:eastAsia="zh-CN" w:bidi="ar-SA"/>
        </w:rPr>
        <w:t>月初刈割，留茬</w:t>
      </w:r>
      <w:r>
        <w:rPr>
          <w:rFonts w:ascii="Times New Roman" w:hAnsi="Times New Roman" w:cs="Times New Roman"/>
          <w:sz w:val="22"/>
          <w:szCs w:val="20"/>
          <w:lang w:val="en-US" w:eastAsia="zh-CN" w:bidi="ar-SA"/>
        </w:rPr>
        <w:t>5cm</w:t>
      </w:r>
      <w:r>
        <w:rPr>
          <w:rFonts w:ascii="Times New Roman" w:hAnsi="Times New Roman" w:cs="Times New Roman"/>
          <w:sz w:val="22"/>
          <w:szCs w:val="20"/>
          <w:lang w:val="en-US" w:eastAsia="zh-CN" w:bidi="ar-SA"/>
        </w:rPr>
        <w:t>）</w:t>
      </w:r>
      <w:r>
        <w:rPr>
          <w:rFonts w:ascii="Times New Roman" w:hAnsi="Times New Roman" w:cs="Times New Roman"/>
          <w:sz w:val="22"/>
          <w:szCs w:val="20"/>
          <w:lang w:val="en-US" w:eastAsia="zh-CN" w:bidi="ar-SA"/>
        </w:rPr>
        <w:t>—</w:t>
      </w:r>
      <w:r>
        <w:rPr>
          <w:rFonts w:ascii="Times New Roman" w:hAnsi="Times New Roman" w:cs="Times New Roman"/>
          <w:sz w:val="22"/>
          <w:szCs w:val="20"/>
          <w:lang w:val="en-US" w:eastAsia="zh-CN" w:bidi="ar-SA"/>
        </w:rPr>
        <w:t>晾草架晾晒</w:t>
      </w:r>
      <w:r>
        <w:rPr>
          <w:rFonts w:ascii="Times New Roman" w:hAnsi="Times New Roman" w:cs="Times New Roman"/>
          <w:sz w:val="22"/>
          <w:szCs w:val="20"/>
          <w:lang w:val="en-US" w:eastAsia="zh-CN" w:bidi="ar-SA"/>
        </w:rPr>
        <w:t>—</w:t>
      </w:r>
      <w:r>
        <w:rPr>
          <w:rFonts w:ascii="Times New Roman" w:hAnsi="Times New Roman" w:cs="Times New Roman"/>
          <w:sz w:val="22"/>
          <w:szCs w:val="20"/>
          <w:lang w:val="en-US" w:eastAsia="zh-CN" w:bidi="ar-SA"/>
        </w:rPr>
        <w:t>贮藏（存放于贮草间或避雨处）</w:t>
      </w:r>
      <w:r>
        <w:rPr>
          <w:rFonts w:ascii="Times New Roman" w:hAnsi="Times New Roman" w:cs="Times New Roman"/>
          <w:sz w:val="22"/>
          <w:szCs w:val="20"/>
          <w:lang w:val="en-US" w:eastAsia="zh-CN" w:bidi="ar-SA"/>
        </w:rPr>
        <w:t>—</w:t>
      </w:r>
      <w:r>
        <w:rPr>
          <w:rFonts w:ascii="Times New Roman" w:hAnsi="Times New Roman" w:cs="Times New Roman"/>
          <w:sz w:val="22"/>
          <w:szCs w:val="20"/>
          <w:lang w:val="en-US" w:eastAsia="zh-CN" w:bidi="ar-SA"/>
        </w:rPr>
        <w:t>科学饲喂（粉碎或铡短补饲</w:t>
      </w:r>
      <w:r>
        <w:rPr>
          <w:rFonts w:ascii="Times New Roman" w:hAnsi="Times New Roman" w:cs="Times New Roman"/>
          <w:sz w:val="22"/>
          <w:szCs w:val="20"/>
          <w:lang w:val="en-US" w:eastAsia="zh-CN" w:bidi="ar-SA"/>
        </w:rPr>
        <w:t>+</w:t>
      </w:r>
      <w:r>
        <w:rPr>
          <w:rFonts w:ascii="Times New Roman" w:hAnsi="Times New Roman" w:cs="Times New Roman"/>
          <w:sz w:val="22"/>
          <w:szCs w:val="20"/>
          <w:lang w:val="en-US" w:eastAsia="zh-CN" w:bidi="ar-SA"/>
        </w:rPr>
        <w:t>饮水）</w:t>
      </w:r>
      <w:r>
        <w:rPr>
          <w:rFonts w:ascii="Times New Roman" w:hAnsi="Times New Roman" w:cs="Times New Roman"/>
          <w:sz w:val="22"/>
          <w:szCs w:val="20"/>
          <w:lang w:val="en-US" w:eastAsia="zh-CN" w:bidi="ar-SA"/>
        </w:rPr>
        <w:t>—</w:t>
      </w:r>
      <w:r>
        <w:rPr>
          <w:rFonts w:ascii="Times New Roman" w:hAnsi="Times New Roman" w:cs="Times New Roman"/>
          <w:sz w:val="22"/>
          <w:szCs w:val="20"/>
          <w:lang w:val="en-US" w:eastAsia="zh-CN" w:bidi="ar-SA"/>
        </w:rPr>
        <w:t>冬季圈养牲畜（放牧利用，层积厩肥）。</w:t>
      </w:r>
    </w:p>
    <w:p w14:paraId="0C2F40C1" w14:textId="77777777" w:rsidR="00D10CCF" w:rsidRDefault="00D10CCF">
      <w:pPr>
        <w:pStyle w:val="a6"/>
        <w:spacing w:line="360" w:lineRule="auto"/>
        <w:ind w:firstLineChars="200" w:firstLine="440"/>
        <w:rPr>
          <w:rFonts w:ascii="Times New Roman" w:hAnsi="Times New Roman" w:cs="Times New Roman"/>
          <w:sz w:val="22"/>
          <w:szCs w:val="20"/>
          <w:lang w:val="en-US" w:eastAsia="zh-CN" w:bidi="ar-SA"/>
        </w:rPr>
      </w:pPr>
    </w:p>
    <w:p w14:paraId="52005B57" w14:textId="77777777" w:rsidR="00D10CCF" w:rsidRDefault="00000000">
      <w:pPr>
        <w:spacing w:line="360" w:lineRule="auto"/>
        <w:ind w:left="480"/>
        <w:rPr>
          <w:b/>
          <w:color w:val="000000"/>
          <w:sz w:val="22"/>
          <w:szCs w:val="20"/>
        </w:rPr>
      </w:pPr>
      <w:r>
        <w:rPr>
          <w:b/>
          <w:color w:val="000000"/>
          <w:sz w:val="22"/>
          <w:szCs w:val="20"/>
        </w:rPr>
        <w:t>（</w:t>
      </w:r>
      <w:r>
        <w:rPr>
          <w:b/>
          <w:color w:val="000000"/>
          <w:sz w:val="22"/>
          <w:szCs w:val="20"/>
        </w:rPr>
        <w:t>3</w:t>
      </w:r>
      <w:r>
        <w:rPr>
          <w:b/>
          <w:color w:val="000000"/>
          <w:sz w:val="22"/>
          <w:szCs w:val="20"/>
        </w:rPr>
        <w:t>）</w:t>
      </w:r>
      <w:r>
        <w:rPr>
          <w:rFonts w:hint="eastAsia"/>
          <w:b/>
          <w:color w:val="000000"/>
          <w:sz w:val="22"/>
          <w:szCs w:val="20"/>
        </w:rPr>
        <w:t>规范性引用文件</w:t>
      </w:r>
    </w:p>
    <w:p w14:paraId="55C92089" w14:textId="77777777" w:rsidR="00D10CCF" w:rsidRDefault="00000000">
      <w:pPr>
        <w:spacing w:line="360" w:lineRule="auto"/>
        <w:ind w:firstLineChars="200" w:firstLine="440"/>
        <w:rPr>
          <w:sz w:val="22"/>
          <w:szCs w:val="20"/>
        </w:rPr>
      </w:pPr>
      <w:bookmarkStart w:id="14" w:name="_bookmark3"/>
      <w:bookmarkStart w:id="15" w:name="3_术语和定义"/>
      <w:bookmarkEnd w:id="14"/>
      <w:bookmarkEnd w:id="15"/>
      <w:r>
        <w:rPr>
          <w:rFonts w:hint="eastAsia"/>
          <w:sz w:val="22"/>
          <w:szCs w:val="20"/>
        </w:rPr>
        <w:t>下列文件对于本文件的应用是必不可少的。凡是注日期的引用文件，仅所注日期的版本适用于本文件。</w:t>
      </w:r>
    </w:p>
    <w:p w14:paraId="417BE61B" w14:textId="77777777" w:rsidR="00D10CCF" w:rsidRDefault="00000000">
      <w:pPr>
        <w:spacing w:line="360" w:lineRule="auto"/>
        <w:ind w:firstLineChars="200" w:firstLine="440"/>
        <w:rPr>
          <w:sz w:val="22"/>
          <w:szCs w:val="20"/>
        </w:rPr>
      </w:pPr>
      <w:r>
        <w:rPr>
          <w:rFonts w:hint="eastAsia"/>
          <w:sz w:val="22"/>
          <w:szCs w:val="20"/>
        </w:rPr>
        <w:t>凡是不注日期的引用文件，其最新版本（包括所有的修改单）适用于本文件。</w:t>
      </w:r>
    </w:p>
    <w:p w14:paraId="7D248115" w14:textId="77777777" w:rsidR="00D10CCF" w:rsidRDefault="00000000">
      <w:pPr>
        <w:spacing w:line="360" w:lineRule="auto"/>
        <w:ind w:firstLineChars="200" w:firstLine="440"/>
        <w:rPr>
          <w:sz w:val="22"/>
          <w:szCs w:val="20"/>
        </w:rPr>
      </w:pPr>
      <w:r>
        <w:rPr>
          <w:rFonts w:hint="eastAsia"/>
          <w:sz w:val="22"/>
          <w:szCs w:val="20"/>
        </w:rPr>
        <w:t>GB 6141</w:t>
      </w:r>
      <w:r>
        <w:rPr>
          <w:rFonts w:hint="eastAsia"/>
          <w:sz w:val="22"/>
          <w:szCs w:val="20"/>
        </w:rPr>
        <w:tab/>
      </w:r>
      <w:r>
        <w:rPr>
          <w:rFonts w:hint="eastAsia"/>
          <w:sz w:val="22"/>
          <w:szCs w:val="20"/>
        </w:rPr>
        <w:t>豆科草种子质量分级</w:t>
      </w:r>
    </w:p>
    <w:p w14:paraId="3661CB08" w14:textId="77777777" w:rsidR="00D10CCF" w:rsidRDefault="00000000">
      <w:pPr>
        <w:spacing w:line="360" w:lineRule="auto"/>
        <w:ind w:firstLineChars="200" w:firstLine="440"/>
        <w:rPr>
          <w:sz w:val="22"/>
          <w:szCs w:val="20"/>
        </w:rPr>
      </w:pPr>
      <w:r>
        <w:rPr>
          <w:rFonts w:hint="eastAsia"/>
          <w:sz w:val="22"/>
          <w:szCs w:val="20"/>
        </w:rPr>
        <w:t>GB 6142</w:t>
      </w:r>
      <w:r>
        <w:rPr>
          <w:rFonts w:hint="eastAsia"/>
          <w:sz w:val="22"/>
          <w:szCs w:val="20"/>
        </w:rPr>
        <w:tab/>
      </w:r>
      <w:r>
        <w:rPr>
          <w:rFonts w:hint="eastAsia"/>
          <w:sz w:val="22"/>
          <w:szCs w:val="20"/>
        </w:rPr>
        <w:t>禾本科草种子质量分级</w:t>
      </w:r>
    </w:p>
    <w:p w14:paraId="198B905B" w14:textId="77777777" w:rsidR="00D10CCF" w:rsidRDefault="00000000">
      <w:pPr>
        <w:spacing w:line="360" w:lineRule="auto"/>
        <w:ind w:firstLineChars="200" w:firstLine="440"/>
        <w:rPr>
          <w:sz w:val="22"/>
          <w:szCs w:val="20"/>
        </w:rPr>
      </w:pPr>
      <w:r>
        <w:rPr>
          <w:rFonts w:hint="eastAsia"/>
          <w:sz w:val="22"/>
          <w:szCs w:val="20"/>
        </w:rPr>
        <w:t>DB 54/T 0106</w:t>
      </w:r>
      <w:r>
        <w:rPr>
          <w:rFonts w:hint="eastAsia"/>
          <w:sz w:val="22"/>
          <w:szCs w:val="20"/>
        </w:rPr>
        <w:tab/>
      </w:r>
      <w:r>
        <w:rPr>
          <w:rFonts w:hint="eastAsia"/>
          <w:sz w:val="22"/>
          <w:szCs w:val="20"/>
        </w:rPr>
        <w:t>禾本科牧草和农作物秸秆青贮</w:t>
      </w:r>
    </w:p>
    <w:p w14:paraId="1760826C" w14:textId="77777777" w:rsidR="00D10CCF" w:rsidRDefault="00000000">
      <w:pPr>
        <w:spacing w:line="360" w:lineRule="auto"/>
        <w:ind w:firstLineChars="200" w:firstLine="440"/>
        <w:rPr>
          <w:sz w:val="22"/>
          <w:szCs w:val="20"/>
        </w:rPr>
      </w:pPr>
      <w:r>
        <w:rPr>
          <w:rFonts w:hint="eastAsia"/>
          <w:sz w:val="22"/>
          <w:szCs w:val="20"/>
        </w:rPr>
        <w:t>DB 54/T 0107</w:t>
      </w:r>
      <w:r>
        <w:rPr>
          <w:rFonts w:hint="eastAsia"/>
          <w:sz w:val="22"/>
          <w:szCs w:val="20"/>
        </w:rPr>
        <w:tab/>
      </w:r>
      <w:r>
        <w:rPr>
          <w:rFonts w:hint="eastAsia"/>
          <w:sz w:val="22"/>
          <w:szCs w:val="20"/>
        </w:rPr>
        <w:t>禾本科牧草与豆科牧草混合青贮饲料生产技术规程</w:t>
      </w:r>
    </w:p>
    <w:p w14:paraId="58D86C9D" w14:textId="77777777" w:rsidR="00D10CCF" w:rsidRDefault="00000000">
      <w:pPr>
        <w:spacing w:line="360" w:lineRule="auto"/>
        <w:ind w:firstLineChars="200" w:firstLine="442"/>
        <w:rPr>
          <w:b/>
          <w:bCs/>
          <w:sz w:val="22"/>
          <w:szCs w:val="20"/>
        </w:rPr>
      </w:pPr>
      <w:r>
        <w:rPr>
          <w:rFonts w:hint="eastAsia"/>
          <w:b/>
          <w:bCs/>
          <w:sz w:val="22"/>
          <w:szCs w:val="20"/>
        </w:rPr>
        <w:t>（</w:t>
      </w:r>
      <w:r>
        <w:rPr>
          <w:rFonts w:hint="eastAsia"/>
          <w:b/>
          <w:bCs/>
          <w:sz w:val="22"/>
          <w:szCs w:val="20"/>
        </w:rPr>
        <w:t>3</w:t>
      </w:r>
      <w:r>
        <w:rPr>
          <w:rFonts w:hint="eastAsia"/>
          <w:b/>
          <w:bCs/>
          <w:sz w:val="22"/>
          <w:szCs w:val="20"/>
        </w:rPr>
        <w:t>）术语与定义</w:t>
      </w:r>
    </w:p>
    <w:p w14:paraId="01CBB78E" w14:textId="77777777" w:rsidR="00D10CCF" w:rsidRDefault="00000000">
      <w:pPr>
        <w:spacing w:line="360" w:lineRule="auto"/>
        <w:ind w:firstLineChars="200" w:firstLine="440"/>
        <w:rPr>
          <w:sz w:val="22"/>
          <w:szCs w:val="20"/>
        </w:rPr>
      </w:pPr>
      <w:r>
        <w:rPr>
          <w:rFonts w:hint="eastAsia"/>
          <w:sz w:val="22"/>
          <w:szCs w:val="20"/>
        </w:rPr>
        <w:t>本标准中出现的术语和定义依据国内外相关文献资料，包括著作、专著、已发表的论文、各级标准等。同时结合标准起草单位研究应用实践经验，最后经参编人员讨论确定了本标准的术语为“藏北高寒牧区、房前屋后、肥料”，并给出相应定义。</w:t>
      </w:r>
    </w:p>
    <w:p w14:paraId="7F4D6101" w14:textId="77777777" w:rsidR="00D10CCF" w:rsidRDefault="00000000">
      <w:pPr>
        <w:pStyle w:val="af5"/>
        <w:spacing w:line="360" w:lineRule="auto"/>
        <w:ind w:left="480" w:firstLineChars="0" w:firstLine="0"/>
        <w:rPr>
          <w:b/>
          <w:bCs/>
          <w:sz w:val="22"/>
          <w:szCs w:val="20"/>
        </w:rPr>
      </w:pPr>
      <w:r>
        <w:rPr>
          <w:rFonts w:ascii="宋体" w:hAnsi="宋体" w:cs="黑体" w:hint="eastAsia"/>
          <w:b/>
          <w:bCs/>
          <w:kern w:val="0"/>
          <w:sz w:val="22"/>
          <w:szCs w:val="20"/>
        </w:rPr>
        <w:t>（4）主要</w:t>
      </w:r>
      <w:r>
        <w:rPr>
          <w:rFonts w:hint="eastAsia"/>
          <w:b/>
          <w:bCs/>
          <w:sz w:val="22"/>
          <w:szCs w:val="20"/>
        </w:rPr>
        <w:t>技术指标确定的依据</w:t>
      </w:r>
    </w:p>
    <w:p w14:paraId="7B525C44" w14:textId="77777777" w:rsidR="00D10CCF" w:rsidRDefault="00000000">
      <w:pPr>
        <w:spacing w:line="360" w:lineRule="auto"/>
        <w:ind w:firstLineChars="200" w:firstLine="440"/>
        <w:rPr>
          <w:rFonts w:ascii="宋体" w:hAnsi="宋体" w:cs="黑体" w:hint="eastAsia"/>
          <w:kern w:val="0"/>
          <w:sz w:val="22"/>
          <w:szCs w:val="20"/>
        </w:rPr>
      </w:pPr>
      <w:r>
        <w:rPr>
          <w:rFonts w:ascii="宋体" w:hAnsi="宋体" w:cs="黑体" w:hint="eastAsia"/>
          <w:kern w:val="0"/>
          <w:sz w:val="22"/>
          <w:szCs w:val="20"/>
        </w:rPr>
        <w:t>本技术规程起草单位为：那曲市农牧业（草业）科技研究推广中心、中国农业科学院农业环境与可持续发展研究所、西藏宝弘农牧科技有限责任公司。</w:t>
      </w:r>
    </w:p>
    <w:p w14:paraId="139EB6A5" w14:textId="77777777" w:rsidR="00D10CCF" w:rsidRDefault="00000000">
      <w:pPr>
        <w:spacing w:line="360" w:lineRule="auto"/>
        <w:ind w:firstLineChars="200" w:firstLine="440"/>
        <w:rPr>
          <w:rFonts w:ascii="宋体" w:hAnsi="宋体" w:cs="黑体" w:hint="eastAsia"/>
          <w:kern w:val="0"/>
          <w:sz w:val="22"/>
          <w:szCs w:val="20"/>
        </w:rPr>
      </w:pPr>
      <w:r>
        <w:rPr>
          <w:rFonts w:ascii="宋体" w:hAnsi="宋体" w:cs="黑体" w:hint="eastAsia"/>
          <w:kern w:val="0"/>
          <w:sz w:val="22"/>
          <w:szCs w:val="20"/>
        </w:rPr>
        <w:t>地段选择</w:t>
      </w:r>
      <w:bookmarkStart w:id="16" w:name="4.2_地形选择"/>
      <w:bookmarkStart w:id="17" w:name="_bookmark6"/>
      <w:bookmarkEnd w:id="16"/>
      <w:bookmarkEnd w:id="17"/>
      <w:r>
        <w:rPr>
          <w:rFonts w:ascii="宋体" w:hAnsi="宋体" w:cs="黑体" w:hint="eastAsia"/>
          <w:kern w:val="0"/>
          <w:sz w:val="22"/>
          <w:szCs w:val="20"/>
        </w:rPr>
        <w:t>：产地条件为藏北高寒牧区房前屋后满足有土壤覆盖、冬季圈养牲畜、生长季空闲地作为人工种草区。</w:t>
      </w:r>
    </w:p>
    <w:p w14:paraId="039A5F04" w14:textId="77777777" w:rsidR="00D10CCF" w:rsidRDefault="00000000">
      <w:pPr>
        <w:spacing w:line="360" w:lineRule="auto"/>
        <w:ind w:firstLineChars="200" w:firstLine="440"/>
        <w:rPr>
          <w:rFonts w:ascii="宋体" w:hAnsi="宋体" w:cs="黑体" w:hint="eastAsia"/>
          <w:kern w:val="0"/>
          <w:sz w:val="22"/>
          <w:szCs w:val="20"/>
        </w:rPr>
      </w:pPr>
      <w:r>
        <w:rPr>
          <w:rFonts w:ascii="宋体" w:hAnsi="宋体" w:cs="黑体" w:hint="eastAsia"/>
          <w:kern w:val="0"/>
          <w:sz w:val="22"/>
          <w:szCs w:val="20"/>
        </w:rPr>
        <w:t>地形选择：按照播种区域选择原则，要求房前屋后地形平坦、坡度较小、且微型农用设备可操作的畜圈空闲地。</w:t>
      </w:r>
    </w:p>
    <w:p w14:paraId="1ADC594E" w14:textId="77777777" w:rsidR="00D10CCF" w:rsidRDefault="00000000">
      <w:pPr>
        <w:spacing w:line="360" w:lineRule="auto"/>
        <w:ind w:firstLineChars="200" w:firstLine="440"/>
        <w:rPr>
          <w:rFonts w:ascii="宋体" w:hAnsi="宋体" w:cs="黑体" w:hint="eastAsia"/>
          <w:kern w:val="0"/>
          <w:sz w:val="22"/>
          <w:szCs w:val="20"/>
        </w:rPr>
      </w:pPr>
      <w:r>
        <w:rPr>
          <w:rFonts w:ascii="宋体" w:hAnsi="宋体" w:cs="黑体" w:hint="eastAsia"/>
          <w:kern w:val="0"/>
          <w:sz w:val="22"/>
          <w:szCs w:val="20"/>
        </w:rPr>
        <w:t>技术路线：灭鼠（种植区域害鼠较多的可投放饵料）—深翻（微耕机或铁锹等农具）—整地（耙子）—播种（人工撒播）—覆土（微耕机或耙子覆土）—镇压（耱或铁锹）—灌溉（利用自家水井或降雨）—生育期观测及田间管理（在出苗、分蘖、拔节、孕穗、抽穗、开花、灌浆、乳熟、蜡熟期等不同生育期观察是否缺水缺肥及田间管理）—追肥（拔节-抽穗期或缺肥情况追施尿素）—适时收割（9月中下旬-10月初刈割，留茬5cm）—晾草架晾晒—贮藏（存放于贮草间或避雨处）—科学饲喂（粉碎或铡短补饲+饮水）—冬季圈养牲畜（放牧利用，层积厩肥）。</w:t>
      </w:r>
    </w:p>
    <w:p w14:paraId="18953880" w14:textId="77777777" w:rsidR="00D10CCF" w:rsidRDefault="00000000">
      <w:pPr>
        <w:spacing w:line="360" w:lineRule="auto"/>
        <w:ind w:firstLineChars="200" w:firstLine="440"/>
        <w:rPr>
          <w:rFonts w:ascii="宋体" w:hAnsi="宋体" w:cs="黑体" w:hint="eastAsia"/>
          <w:kern w:val="0"/>
          <w:sz w:val="22"/>
          <w:szCs w:val="20"/>
        </w:rPr>
      </w:pPr>
      <w:r>
        <w:rPr>
          <w:rFonts w:ascii="宋体" w:hAnsi="宋体" w:cs="黑体" w:hint="eastAsia"/>
          <w:kern w:val="0"/>
          <w:sz w:val="22"/>
          <w:szCs w:val="20"/>
        </w:rPr>
        <w:t>种前准备：在牧户种植前一个月，根据房前屋后和畜圈内牛羊粪层积情况提前做好种植前准备，若房前屋后和畜圈等种植区域肥力较低，则将其他畜圈暖棚内牛羊粪或炉渣等拉运至肥力较低的种植区域，确保牧草所需肥料；若部分长期圈养绵羊的畜圈，肥料太足，牧草极易烧苗或不出苗，导致牧草减产，种植前需清理部分层积牛羊粪，或运至肥料不足的种植区。</w:t>
      </w:r>
    </w:p>
    <w:p w14:paraId="470623DD" w14:textId="77777777" w:rsidR="00D10CCF" w:rsidRDefault="00000000">
      <w:pPr>
        <w:spacing w:line="360" w:lineRule="auto"/>
        <w:ind w:firstLineChars="200" w:firstLine="440"/>
        <w:rPr>
          <w:rFonts w:ascii="宋体" w:hAnsi="宋体" w:cs="黑体" w:hint="eastAsia"/>
          <w:kern w:val="0"/>
          <w:sz w:val="22"/>
          <w:szCs w:val="20"/>
        </w:rPr>
      </w:pPr>
      <w:r>
        <w:rPr>
          <w:rFonts w:ascii="宋体" w:hAnsi="宋体" w:cs="黑体" w:hint="eastAsia"/>
          <w:kern w:val="0"/>
          <w:sz w:val="22"/>
          <w:szCs w:val="20"/>
        </w:rPr>
        <w:t>翻耕整地：由于冬季圈养牲畜的缘故，畜圈内土壤变得紧实，不利于饲草作物的生长，须用微耕机进行翻耕，翻耕深度15～20 cm，并用耙子进行碎土、平整，土壤特别紧实的畜圈需进行二次翻耕平整，确保地平土碎，利于牧草生长；机械不能耕作的边角区域，使用铁锹进行翻耕平整。</w:t>
      </w:r>
    </w:p>
    <w:p w14:paraId="55E25D5E" w14:textId="77777777" w:rsidR="00D10CCF" w:rsidRDefault="00000000">
      <w:pPr>
        <w:spacing w:line="360" w:lineRule="auto"/>
        <w:ind w:firstLineChars="200" w:firstLine="440"/>
        <w:rPr>
          <w:rFonts w:ascii="宋体" w:hAnsi="宋体" w:cs="黑体" w:hint="eastAsia"/>
          <w:kern w:val="0"/>
          <w:sz w:val="22"/>
          <w:szCs w:val="20"/>
        </w:rPr>
      </w:pPr>
      <w:r>
        <w:rPr>
          <w:rFonts w:ascii="宋体" w:hAnsi="宋体" w:cs="黑体" w:hint="eastAsia"/>
          <w:kern w:val="0"/>
          <w:sz w:val="22"/>
          <w:szCs w:val="20"/>
        </w:rPr>
        <w:t>选种：那曲房前屋后人工种草适宜选择的一年生牧草品种青海444、甜燕麦、饲用燕麦、高杆油菜、箭筈豌豆等；适宜选择的多年生牧草品种垂穗披碱草、垂穗披碱草、同德小花碱茅、青海草地早熟禾。一年生牧草品种在夏季闲置畜圈和房前屋后种植；多年生牧草在永久闲置畜圈和空旷区域种植或重度退化裸荒地混播建植。</w:t>
      </w:r>
    </w:p>
    <w:p w14:paraId="7A1A2C66" w14:textId="77777777" w:rsidR="00D10CCF" w:rsidRDefault="00000000">
      <w:pPr>
        <w:spacing w:line="360" w:lineRule="auto"/>
        <w:ind w:firstLineChars="200" w:firstLine="440"/>
        <w:rPr>
          <w:rFonts w:ascii="宋体" w:hAnsi="宋体" w:cs="黑体" w:hint="eastAsia"/>
          <w:kern w:val="0"/>
          <w:sz w:val="22"/>
          <w:szCs w:val="20"/>
        </w:rPr>
      </w:pPr>
      <w:r>
        <w:rPr>
          <w:rFonts w:ascii="宋体" w:hAnsi="宋体" w:cs="黑体" w:hint="eastAsia"/>
          <w:kern w:val="0"/>
          <w:sz w:val="22"/>
          <w:szCs w:val="20"/>
        </w:rPr>
        <w:t>播种时间：根据区域气候条件，雨季来临时进行播种，海拔在4000-4500 m 区域适宜在5月中旬播种，4500 m以上区域适宜在5 月下旬进行播种。</w:t>
      </w:r>
    </w:p>
    <w:p w14:paraId="54051A51" w14:textId="77777777" w:rsidR="00D10CCF" w:rsidRDefault="00000000">
      <w:pPr>
        <w:spacing w:line="360" w:lineRule="auto"/>
        <w:ind w:firstLineChars="200" w:firstLine="440"/>
        <w:rPr>
          <w:rFonts w:ascii="宋体" w:hAnsi="宋体" w:cs="黑体" w:hint="eastAsia"/>
          <w:kern w:val="0"/>
          <w:sz w:val="22"/>
          <w:szCs w:val="20"/>
        </w:rPr>
      </w:pPr>
      <w:r>
        <w:rPr>
          <w:rFonts w:ascii="宋体" w:hAnsi="宋体" w:cs="黑体" w:hint="eastAsia"/>
          <w:kern w:val="0"/>
          <w:sz w:val="22"/>
          <w:szCs w:val="20"/>
        </w:rPr>
        <w:t>播种方式：以撒播的方式进行播种，不同牧草播种量、播种行距和播种深度详见表1。</w:t>
      </w:r>
    </w:p>
    <w:tbl>
      <w:tblPr>
        <w:tblW w:w="9900" w:type="dxa"/>
        <w:tblLayout w:type="fixed"/>
        <w:tblCellMar>
          <w:left w:w="0" w:type="dxa"/>
          <w:right w:w="0" w:type="dxa"/>
        </w:tblCellMar>
        <w:tblLook w:val="04A0" w:firstRow="1" w:lastRow="0" w:firstColumn="1" w:lastColumn="0" w:noHBand="0" w:noVBand="1"/>
      </w:tblPr>
      <w:tblGrid>
        <w:gridCol w:w="3225"/>
        <w:gridCol w:w="3497"/>
        <w:gridCol w:w="3178"/>
      </w:tblGrid>
      <w:tr w:rsidR="00D10CCF" w14:paraId="00DA6D28" w14:textId="77777777">
        <w:trPr>
          <w:trHeight w:val="376"/>
        </w:trPr>
        <w:tc>
          <w:tcPr>
            <w:tcW w:w="9900" w:type="dxa"/>
            <w:gridSpan w:val="3"/>
            <w:tcBorders>
              <w:top w:val="nil"/>
              <w:left w:val="nil"/>
              <w:bottom w:val="nil"/>
              <w:right w:val="nil"/>
            </w:tcBorders>
            <w:noWrap/>
            <w:tcMar>
              <w:top w:w="10" w:type="dxa"/>
              <w:left w:w="10" w:type="dxa"/>
              <w:right w:w="10" w:type="dxa"/>
            </w:tcMar>
            <w:vAlign w:val="center"/>
          </w:tcPr>
          <w:p w14:paraId="689F10CA" w14:textId="77777777" w:rsidR="00D10CCF" w:rsidRDefault="00000000">
            <w:pPr>
              <w:spacing w:line="360" w:lineRule="auto"/>
              <w:ind w:firstLineChars="200" w:firstLine="440"/>
              <w:rPr>
                <w:rFonts w:ascii="宋体" w:hAnsi="宋体" w:cs="黑体" w:hint="eastAsia"/>
                <w:kern w:val="0"/>
                <w:sz w:val="22"/>
                <w:szCs w:val="20"/>
              </w:rPr>
            </w:pPr>
            <w:r>
              <w:rPr>
                <w:rFonts w:ascii="宋体" w:hAnsi="宋体" w:cs="黑体" w:hint="eastAsia"/>
                <w:kern w:val="0"/>
                <w:sz w:val="22"/>
                <w:szCs w:val="20"/>
              </w:rPr>
              <w:t>表1  藏北高寒牧区房前屋后人工种草牧草播种量和播种深度</w:t>
            </w:r>
          </w:p>
        </w:tc>
      </w:tr>
      <w:tr w:rsidR="00D10CCF" w14:paraId="36897E8F" w14:textId="77777777">
        <w:trPr>
          <w:trHeight w:val="385"/>
        </w:trPr>
        <w:tc>
          <w:tcPr>
            <w:tcW w:w="3225" w:type="dxa"/>
            <w:tcBorders>
              <w:top w:val="single" w:sz="4" w:space="0" w:color="000000"/>
              <w:left w:val="nil"/>
              <w:bottom w:val="single" w:sz="4" w:space="0" w:color="000000"/>
              <w:right w:val="nil"/>
            </w:tcBorders>
            <w:noWrap/>
            <w:tcMar>
              <w:top w:w="10" w:type="dxa"/>
              <w:left w:w="10" w:type="dxa"/>
              <w:right w:w="10" w:type="dxa"/>
            </w:tcMar>
            <w:vAlign w:val="center"/>
          </w:tcPr>
          <w:p w14:paraId="6CBDB372" w14:textId="77777777" w:rsidR="00D10CCF" w:rsidRDefault="00000000">
            <w:pPr>
              <w:spacing w:line="360" w:lineRule="auto"/>
              <w:ind w:firstLineChars="200" w:firstLine="440"/>
              <w:jc w:val="center"/>
              <w:rPr>
                <w:rFonts w:ascii="宋体" w:hAnsi="宋体" w:cs="黑体" w:hint="eastAsia"/>
                <w:kern w:val="0"/>
                <w:sz w:val="22"/>
                <w:szCs w:val="20"/>
              </w:rPr>
            </w:pPr>
            <w:r>
              <w:rPr>
                <w:rFonts w:ascii="宋体" w:hAnsi="宋体" w:cs="黑体" w:hint="eastAsia"/>
                <w:kern w:val="0"/>
                <w:sz w:val="22"/>
                <w:szCs w:val="20"/>
              </w:rPr>
              <w:t>牧草品种</w:t>
            </w:r>
          </w:p>
        </w:tc>
        <w:tc>
          <w:tcPr>
            <w:tcW w:w="3497" w:type="dxa"/>
            <w:tcBorders>
              <w:top w:val="single" w:sz="4" w:space="0" w:color="000000"/>
              <w:left w:val="nil"/>
              <w:bottom w:val="single" w:sz="4" w:space="0" w:color="000000"/>
              <w:right w:val="nil"/>
            </w:tcBorders>
            <w:noWrap/>
            <w:tcMar>
              <w:top w:w="10" w:type="dxa"/>
              <w:left w:w="10" w:type="dxa"/>
              <w:right w:w="10" w:type="dxa"/>
            </w:tcMar>
            <w:vAlign w:val="center"/>
          </w:tcPr>
          <w:p w14:paraId="0BA4FC1F" w14:textId="77777777" w:rsidR="00D10CCF" w:rsidRDefault="00000000">
            <w:pPr>
              <w:spacing w:line="360" w:lineRule="auto"/>
              <w:ind w:firstLineChars="200" w:firstLine="440"/>
              <w:jc w:val="center"/>
              <w:rPr>
                <w:rFonts w:ascii="宋体" w:hAnsi="宋体" w:cs="黑体" w:hint="eastAsia"/>
                <w:kern w:val="0"/>
                <w:sz w:val="22"/>
                <w:szCs w:val="20"/>
              </w:rPr>
            </w:pPr>
            <w:r>
              <w:rPr>
                <w:rFonts w:ascii="宋体" w:hAnsi="宋体" w:cs="黑体" w:hint="eastAsia"/>
                <w:kern w:val="0"/>
                <w:sz w:val="22"/>
                <w:szCs w:val="20"/>
              </w:rPr>
              <w:t>播种量（kg/亩）</w:t>
            </w:r>
          </w:p>
        </w:tc>
        <w:tc>
          <w:tcPr>
            <w:tcW w:w="3178" w:type="dxa"/>
            <w:tcBorders>
              <w:top w:val="single" w:sz="4" w:space="0" w:color="000000"/>
              <w:left w:val="nil"/>
              <w:bottom w:val="single" w:sz="4" w:space="0" w:color="000000"/>
              <w:right w:val="nil"/>
            </w:tcBorders>
            <w:noWrap/>
            <w:tcMar>
              <w:top w:w="10" w:type="dxa"/>
              <w:left w:w="10" w:type="dxa"/>
              <w:right w:w="10" w:type="dxa"/>
            </w:tcMar>
            <w:vAlign w:val="center"/>
          </w:tcPr>
          <w:p w14:paraId="25CCB415" w14:textId="77777777" w:rsidR="00D10CCF" w:rsidRDefault="00000000">
            <w:pPr>
              <w:spacing w:line="360" w:lineRule="auto"/>
              <w:ind w:firstLineChars="200" w:firstLine="440"/>
              <w:jc w:val="center"/>
              <w:rPr>
                <w:rFonts w:ascii="宋体" w:hAnsi="宋体" w:cs="黑体" w:hint="eastAsia"/>
                <w:kern w:val="0"/>
                <w:sz w:val="22"/>
                <w:szCs w:val="20"/>
              </w:rPr>
            </w:pPr>
            <w:r>
              <w:rPr>
                <w:rFonts w:ascii="宋体" w:hAnsi="宋体" w:cs="黑体" w:hint="eastAsia"/>
                <w:kern w:val="0"/>
                <w:sz w:val="22"/>
                <w:szCs w:val="20"/>
              </w:rPr>
              <w:t>覆土深度（cm）</w:t>
            </w:r>
          </w:p>
        </w:tc>
      </w:tr>
      <w:tr w:rsidR="00D10CCF" w14:paraId="7A181E75" w14:textId="77777777">
        <w:trPr>
          <w:trHeight w:val="385"/>
        </w:trPr>
        <w:tc>
          <w:tcPr>
            <w:tcW w:w="3225" w:type="dxa"/>
            <w:tcBorders>
              <w:top w:val="nil"/>
              <w:left w:val="nil"/>
              <w:bottom w:val="nil"/>
              <w:right w:val="nil"/>
            </w:tcBorders>
            <w:noWrap/>
            <w:tcMar>
              <w:top w:w="10" w:type="dxa"/>
              <w:left w:w="10" w:type="dxa"/>
              <w:right w:w="10" w:type="dxa"/>
            </w:tcMar>
            <w:vAlign w:val="center"/>
          </w:tcPr>
          <w:p w14:paraId="693776D6" w14:textId="77777777" w:rsidR="00D10CCF" w:rsidRDefault="00000000">
            <w:pPr>
              <w:spacing w:line="360" w:lineRule="auto"/>
              <w:ind w:firstLineChars="200" w:firstLine="440"/>
              <w:jc w:val="center"/>
              <w:rPr>
                <w:rFonts w:ascii="宋体" w:hAnsi="宋体" w:cs="黑体" w:hint="eastAsia"/>
                <w:kern w:val="0"/>
                <w:sz w:val="22"/>
                <w:szCs w:val="20"/>
              </w:rPr>
            </w:pPr>
            <w:r>
              <w:rPr>
                <w:rFonts w:ascii="宋体" w:hAnsi="宋体" w:cs="黑体" w:hint="eastAsia"/>
                <w:kern w:val="0"/>
                <w:sz w:val="22"/>
                <w:szCs w:val="20"/>
              </w:rPr>
              <w:t>青海444</w:t>
            </w:r>
          </w:p>
        </w:tc>
        <w:tc>
          <w:tcPr>
            <w:tcW w:w="3497" w:type="dxa"/>
            <w:tcBorders>
              <w:top w:val="nil"/>
              <w:left w:val="nil"/>
              <w:bottom w:val="nil"/>
              <w:right w:val="nil"/>
            </w:tcBorders>
            <w:noWrap/>
            <w:tcMar>
              <w:top w:w="10" w:type="dxa"/>
              <w:left w:w="10" w:type="dxa"/>
              <w:right w:w="10" w:type="dxa"/>
            </w:tcMar>
            <w:vAlign w:val="center"/>
          </w:tcPr>
          <w:p w14:paraId="0F8E82A5" w14:textId="77777777" w:rsidR="00D10CCF" w:rsidRDefault="00000000">
            <w:pPr>
              <w:spacing w:line="360" w:lineRule="auto"/>
              <w:ind w:firstLineChars="200" w:firstLine="440"/>
              <w:jc w:val="center"/>
              <w:rPr>
                <w:rFonts w:ascii="宋体" w:hAnsi="宋体" w:cs="黑体" w:hint="eastAsia"/>
                <w:kern w:val="0"/>
                <w:sz w:val="22"/>
                <w:szCs w:val="20"/>
              </w:rPr>
            </w:pPr>
            <w:r>
              <w:rPr>
                <w:rFonts w:ascii="宋体" w:hAnsi="宋体" w:cs="黑体" w:hint="eastAsia"/>
                <w:kern w:val="0"/>
                <w:sz w:val="22"/>
                <w:szCs w:val="20"/>
              </w:rPr>
              <w:t>20</w:t>
            </w:r>
          </w:p>
        </w:tc>
        <w:tc>
          <w:tcPr>
            <w:tcW w:w="3178" w:type="dxa"/>
            <w:tcBorders>
              <w:top w:val="nil"/>
              <w:left w:val="nil"/>
              <w:bottom w:val="nil"/>
              <w:right w:val="nil"/>
            </w:tcBorders>
            <w:noWrap/>
            <w:tcMar>
              <w:top w:w="10" w:type="dxa"/>
              <w:left w:w="10" w:type="dxa"/>
              <w:right w:w="10" w:type="dxa"/>
            </w:tcMar>
            <w:vAlign w:val="center"/>
          </w:tcPr>
          <w:p w14:paraId="0D9A3D95" w14:textId="77777777" w:rsidR="00D10CCF" w:rsidRDefault="00000000">
            <w:pPr>
              <w:spacing w:line="360" w:lineRule="auto"/>
              <w:ind w:firstLineChars="200" w:firstLine="440"/>
              <w:jc w:val="center"/>
              <w:rPr>
                <w:rFonts w:ascii="宋体" w:hAnsi="宋体" w:cs="黑体" w:hint="eastAsia"/>
                <w:kern w:val="0"/>
                <w:sz w:val="22"/>
                <w:szCs w:val="20"/>
              </w:rPr>
            </w:pPr>
            <w:r>
              <w:rPr>
                <w:rFonts w:ascii="宋体" w:hAnsi="宋体" w:cs="黑体" w:hint="eastAsia"/>
                <w:kern w:val="0"/>
                <w:sz w:val="22"/>
                <w:szCs w:val="20"/>
              </w:rPr>
              <w:t>5</w:t>
            </w:r>
          </w:p>
        </w:tc>
      </w:tr>
      <w:tr w:rsidR="00D10CCF" w14:paraId="3615D6F8" w14:textId="77777777">
        <w:trPr>
          <w:trHeight w:val="376"/>
        </w:trPr>
        <w:tc>
          <w:tcPr>
            <w:tcW w:w="3225" w:type="dxa"/>
            <w:tcBorders>
              <w:top w:val="nil"/>
              <w:left w:val="nil"/>
              <w:bottom w:val="nil"/>
              <w:right w:val="nil"/>
            </w:tcBorders>
            <w:noWrap/>
            <w:tcMar>
              <w:top w:w="10" w:type="dxa"/>
              <w:left w:w="10" w:type="dxa"/>
              <w:right w:w="10" w:type="dxa"/>
            </w:tcMar>
            <w:vAlign w:val="center"/>
          </w:tcPr>
          <w:p w14:paraId="394290B9" w14:textId="77777777" w:rsidR="00D10CCF" w:rsidRDefault="00000000">
            <w:pPr>
              <w:spacing w:line="360" w:lineRule="auto"/>
              <w:ind w:firstLineChars="200" w:firstLine="440"/>
              <w:jc w:val="center"/>
              <w:rPr>
                <w:rFonts w:ascii="宋体" w:hAnsi="宋体" w:cs="黑体" w:hint="eastAsia"/>
                <w:kern w:val="0"/>
                <w:sz w:val="22"/>
                <w:szCs w:val="20"/>
              </w:rPr>
            </w:pPr>
            <w:r>
              <w:rPr>
                <w:rFonts w:ascii="宋体" w:hAnsi="宋体" w:cs="黑体" w:hint="eastAsia"/>
                <w:kern w:val="0"/>
                <w:sz w:val="22"/>
                <w:szCs w:val="20"/>
              </w:rPr>
              <w:t>甜燕麦</w:t>
            </w:r>
          </w:p>
        </w:tc>
        <w:tc>
          <w:tcPr>
            <w:tcW w:w="3497" w:type="dxa"/>
            <w:tcBorders>
              <w:top w:val="nil"/>
              <w:left w:val="nil"/>
              <w:bottom w:val="nil"/>
              <w:right w:val="nil"/>
            </w:tcBorders>
            <w:noWrap/>
            <w:tcMar>
              <w:top w:w="10" w:type="dxa"/>
              <w:left w:w="10" w:type="dxa"/>
              <w:right w:w="10" w:type="dxa"/>
            </w:tcMar>
            <w:vAlign w:val="center"/>
          </w:tcPr>
          <w:p w14:paraId="58E248C0" w14:textId="77777777" w:rsidR="00D10CCF" w:rsidRDefault="00000000">
            <w:pPr>
              <w:spacing w:line="360" w:lineRule="auto"/>
              <w:ind w:firstLineChars="200" w:firstLine="440"/>
              <w:jc w:val="center"/>
              <w:rPr>
                <w:rFonts w:ascii="宋体" w:hAnsi="宋体" w:cs="黑体" w:hint="eastAsia"/>
                <w:kern w:val="0"/>
                <w:sz w:val="22"/>
                <w:szCs w:val="20"/>
              </w:rPr>
            </w:pPr>
            <w:r>
              <w:rPr>
                <w:rFonts w:ascii="宋体" w:hAnsi="宋体" w:cs="黑体" w:hint="eastAsia"/>
                <w:kern w:val="0"/>
                <w:sz w:val="22"/>
                <w:szCs w:val="20"/>
              </w:rPr>
              <w:t>20.5</w:t>
            </w:r>
          </w:p>
        </w:tc>
        <w:tc>
          <w:tcPr>
            <w:tcW w:w="3178" w:type="dxa"/>
            <w:tcBorders>
              <w:top w:val="nil"/>
              <w:left w:val="nil"/>
              <w:bottom w:val="nil"/>
              <w:right w:val="nil"/>
            </w:tcBorders>
            <w:noWrap/>
            <w:tcMar>
              <w:top w:w="10" w:type="dxa"/>
              <w:left w:w="10" w:type="dxa"/>
              <w:right w:w="10" w:type="dxa"/>
            </w:tcMar>
            <w:vAlign w:val="center"/>
          </w:tcPr>
          <w:p w14:paraId="1370AAF2" w14:textId="77777777" w:rsidR="00D10CCF" w:rsidRDefault="00000000">
            <w:pPr>
              <w:spacing w:line="360" w:lineRule="auto"/>
              <w:ind w:firstLineChars="200" w:firstLine="440"/>
              <w:jc w:val="center"/>
              <w:rPr>
                <w:rFonts w:ascii="宋体" w:hAnsi="宋体" w:cs="黑体" w:hint="eastAsia"/>
                <w:kern w:val="0"/>
                <w:sz w:val="22"/>
                <w:szCs w:val="20"/>
              </w:rPr>
            </w:pPr>
            <w:r>
              <w:rPr>
                <w:rFonts w:ascii="宋体" w:hAnsi="宋体" w:cs="黑体" w:hint="eastAsia"/>
                <w:kern w:val="0"/>
                <w:sz w:val="22"/>
                <w:szCs w:val="20"/>
              </w:rPr>
              <w:t>5</w:t>
            </w:r>
          </w:p>
        </w:tc>
      </w:tr>
      <w:tr w:rsidR="00D10CCF" w14:paraId="024B7AB7" w14:textId="77777777">
        <w:trPr>
          <w:trHeight w:val="376"/>
        </w:trPr>
        <w:tc>
          <w:tcPr>
            <w:tcW w:w="3225" w:type="dxa"/>
            <w:tcBorders>
              <w:top w:val="nil"/>
              <w:left w:val="nil"/>
              <w:bottom w:val="nil"/>
              <w:right w:val="nil"/>
            </w:tcBorders>
            <w:noWrap/>
            <w:tcMar>
              <w:top w:w="10" w:type="dxa"/>
              <w:left w:w="10" w:type="dxa"/>
              <w:right w:w="10" w:type="dxa"/>
            </w:tcMar>
            <w:vAlign w:val="center"/>
          </w:tcPr>
          <w:p w14:paraId="6E568BF9" w14:textId="77777777" w:rsidR="00D10CCF" w:rsidRDefault="00000000">
            <w:pPr>
              <w:spacing w:line="360" w:lineRule="auto"/>
              <w:ind w:firstLineChars="200" w:firstLine="440"/>
              <w:jc w:val="center"/>
              <w:rPr>
                <w:rFonts w:ascii="宋体" w:hAnsi="宋体" w:cs="黑体" w:hint="eastAsia"/>
                <w:kern w:val="0"/>
                <w:sz w:val="22"/>
                <w:szCs w:val="20"/>
              </w:rPr>
            </w:pPr>
            <w:r>
              <w:rPr>
                <w:rFonts w:ascii="宋体" w:hAnsi="宋体" w:cs="黑体" w:hint="eastAsia"/>
                <w:kern w:val="0"/>
                <w:sz w:val="22"/>
                <w:szCs w:val="20"/>
              </w:rPr>
              <w:t>饲用燕麦</w:t>
            </w:r>
          </w:p>
        </w:tc>
        <w:tc>
          <w:tcPr>
            <w:tcW w:w="3497" w:type="dxa"/>
            <w:tcBorders>
              <w:top w:val="nil"/>
              <w:left w:val="nil"/>
              <w:bottom w:val="nil"/>
              <w:right w:val="nil"/>
            </w:tcBorders>
            <w:noWrap/>
            <w:tcMar>
              <w:top w:w="10" w:type="dxa"/>
              <w:left w:w="10" w:type="dxa"/>
              <w:right w:w="10" w:type="dxa"/>
            </w:tcMar>
            <w:vAlign w:val="center"/>
          </w:tcPr>
          <w:p w14:paraId="40C46FEF" w14:textId="77777777" w:rsidR="00D10CCF" w:rsidRDefault="00000000">
            <w:pPr>
              <w:spacing w:line="360" w:lineRule="auto"/>
              <w:ind w:firstLineChars="200" w:firstLine="440"/>
              <w:jc w:val="center"/>
              <w:rPr>
                <w:rFonts w:ascii="宋体" w:hAnsi="宋体" w:cs="黑体" w:hint="eastAsia"/>
                <w:kern w:val="0"/>
                <w:sz w:val="22"/>
                <w:szCs w:val="20"/>
              </w:rPr>
            </w:pPr>
            <w:r>
              <w:rPr>
                <w:rFonts w:ascii="宋体" w:hAnsi="宋体" w:cs="黑体" w:hint="eastAsia"/>
                <w:kern w:val="0"/>
                <w:sz w:val="22"/>
                <w:szCs w:val="20"/>
              </w:rPr>
              <w:t>21</w:t>
            </w:r>
          </w:p>
        </w:tc>
        <w:tc>
          <w:tcPr>
            <w:tcW w:w="3178" w:type="dxa"/>
            <w:tcBorders>
              <w:top w:val="nil"/>
              <w:left w:val="nil"/>
              <w:bottom w:val="nil"/>
              <w:right w:val="nil"/>
            </w:tcBorders>
            <w:noWrap/>
            <w:tcMar>
              <w:top w:w="10" w:type="dxa"/>
              <w:left w:w="10" w:type="dxa"/>
              <w:right w:w="10" w:type="dxa"/>
            </w:tcMar>
            <w:vAlign w:val="center"/>
          </w:tcPr>
          <w:p w14:paraId="01C41A80" w14:textId="77777777" w:rsidR="00D10CCF" w:rsidRDefault="00000000">
            <w:pPr>
              <w:spacing w:line="360" w:lineRule="auto"/>
              <w:ind w:firstLineChars="200" w:firstLine="440"/>
              <w:jc w:val="center"/>
              <w:rPr>
                <w:rFonts w:ascii="宋体" w:hAnsi="宋体" w:cs="黑体" w:hint="eastAsia"/>
                <w:kern w:val="0"/>
                <w:sz w:val="22"/>
                <w:szCs w:val="20"/>
              </w:rPr>
            </w:pPr>
            <w:r>
              <w:rPr>
                <w:rFonts w:ascii="宋体" w:hAnsi="宋体" w:cs="黑体" w:hint="eastAsia"/>
                <w:kern w:val="0"/>
                <w:sz w:val="22"/>
                <w:szCs w:val="20"/>
              </w:rPr>
              <w:t>5</w:t>
            </w:r>
          </w:p>
        </w:tc>
      </w:tr>
      <w:tr w:rsidR="00D10CCF" w14:paraId="3BC0FD37" w14:textId="77777777">
        <w:trPr>
          <w:trHeight w:val="376"/>
        </w:trPr>
        <w:tc>
          <w:tcPr>
            <w:tcW w:w="3225" w:type="dxa"/>
            <w:tcBorders>
              <w:top w:val="nil"/>
              <w:left w:val="nil"/>
              <w:bottom w:val="nil"/>
              <w:right w:val="nil"/>
            </w:tcBorders>
            <w:noWrap/>
            <w:tcMar>
              <w:top w:w="10" w:type="dxa"/>
              <w:left w:w="10" w:type="dxa"/>
              <w:right w:w="10" w:type="dxa"/>
            </w:tcMar>
            <w:vAlign w:val="center"/>
          </w:tcPr>
          <w:p w14:paraId="40F57CC2" w14:textId="77777777" w:rsidR="00D10CCF" w:rsidRDefault="00000000">
            <w:pPr>
              <w:spacing w:line="360" w:lineRule="auto"/>
              <w:ind w:firstLineChars="200" w:firstLine="440"/>
              <w:jc w:val="center"/>
              <w:rPr>
                <w:rFonts w:ascii="宋体" w:hAnsi="宋体" w:cs="黑体" w:hint="eastAsia"/>
                <w:kern w:val="0"/>
                <w:sz w:val="22"/>
                <w:szCs w:val="20"/>
              </w:rPr>
            </w:pPr>
            <w:r>
              <w:rPr>
                <w:rFonts w:ascii="宋体" w:hAnsi="宋体" w:cs="黑体" w:hint="eastAsia"/>
                <w:kern w:val="0"/>
                <w:sz w:val="22"/>
                <w:szCs w:val="20"/>
              </w:rPr>
              <w:t>高杆油菜</w:t>
            </w:r>
          </w:p>
        </w:tc>
        <w:tc>
          <w:tcPr>
            <w:tcW w:w="3497" w:type="dxa"/>
            <w:tcBorders>
              <w:top w:val="nil"/>
              <w:left w:val="nil"/>
              <w:bottom w:val="nil"/>
              <w:right w:val="nil"/>
            </w:tcBorders>
            <w:noWrap/>
            <w:tcMar>
              <w:top w:w="10" w:type="dxa"/>
              <w:left w:w="10" w:type="dxa"/>
              <w:right w:w="10" w:type="dxa"/>
            </w:tcMar>
            <w:vAlign w:val="center"/>
          </w:tcPr>
          <w:p w14:paraId="34391E98" w14:textId="77777777" w:rsidR="00D10CCF" w:rsidRDefault="00000000">
            <w:pPr>
              <w:spacing w:line="360" w:lineRule="auto"/>
              <w:ind w:firstLineChars="200" w:firstLine="440"/>
              <w:jc w:val="center"/>
              <w:rPr>
                <w:rFonts w:ascii="宋体" w:hAnsi="宋体" w:cs="黑体" w:hint="eastAsia"/>
                <w:kern w:val="0"/>
                <w:sz w:val="22"/>
                <w:szCs w:val="20"/>
              </w:rPr>
            </w:pPr>
            <w:r>
              <w:rPr>
                <w:rFonts w:ascii="宋体" w:hAnsi="宋体" w:cs="黑体" w:hint="eastAsia"/>
                <w:kern w:val="0"/>
                <w:sz w:val="22"/>
                <w:szCs w:val="20"/>
              </w:rPr>
              <w:t>2</w:t>
            </w:r>
          </w:p>
        </w:tc>
        <w:tc>
          <w:tcPr>
            <w:tcW w:w="3178" w:type="dxa"/>
            <w:tcBorders>
              <w:top w:val="nil"/>
              <w:left w:val="nil"/>
              <w:bottom w:val="nil"/>
              <w:right w:val="nil"/>
            </w:tcBorders>
            <w:noWrap/>
            <w:tcMar>
              <w:top w:w="10" w:type="dxa"/>
              <w:left w:w="10" w:type="dxa"/>
              <w:right w:w="10" w:type="dxa"/>
            </w:tcMar>
            <w:vAlign w:val="center"/>
          </w:tcPr>
          <w:p w14:paraId="7021E412" w14:textId="77777777" w:rsidR="00D10CCF" w:rsidRDefault="00000000">
            <w:pPr>
              <w:spacing w:line="360" w:lineRule="auto"/>
              <w:ind w:firstLineChars="200" w:firstLine="440"/>
              <w:jc w:val="center"/>
              <w:rPr>
                <w:rFonts w:ascii="宋体" w:hAnsi="宋体" w:cs="黑体" w:hint="eastAsia"/>
                <w:kern w:val="0"/>
                <w:sz w:val="22"/>
                <w:szCs w:val="20"/>
              </w:rPr>
            </w:pPr>
            <w:r>
              <w:rPr>
                <w:rFonts w:ascii="宋体" w:hAnsi="宋体" w:cs="黑体" w:hint="eastAsia"/>
                <w:kern w:val="0"/>
                <w:sz w:val="22"/>
                <w:szCs w:val="20"/>
              </w:rPr>
              <w:t>3</w:t>
            </w:r>
          </w:p>
        </w:tc>
      </w:tr>
      <w:tr w:rsidR="00D10CCF" w14:paraId="42AC55D2" w14:textId="77777777">
        <w:trPr>
          <w:trHeight w:val="376"/>
        </w:trPr>
        <w:tc>
          <w:tcPr>
            <w:tcW w:w="3225" w:type="dxa"/>
            <w:tcBorders>
              <w:top w:val="nil"/>
              <w:left w:val="nil"/>
              <w:bottom w:val="nil"/>
              <w:right w:val="nil"/>
            </w:tcBorders>
            <w:noWrap/>
            <w:tcMar>
              <w:top w:w="10" w:type="dxa"/>
              <w:left w:w="10" w:type="dxa"/>
              <w:right w:w="10" w:type="dxa"/>
            </w:tcMar>
            <w:vAlign w:val="center"/>
          </w:tcPr>
          <w:p w14:paraId="6560B12C" w14:textId="77777777" w:rsidR="00D10CCF" w:rsidRDefault="00000000">
            <w:pPr>
              <w:spacing w:line="360" w:lineRule="auto"/>
              <w:ind w:firstLineChars="200" w:firstLine="440"/>
              <w:jc w:val="center"/>
              <w:rPr>
                <w:rFonts w:ascii="宋体" w:hAnsi="宋体" w:cs="黑体" w:hint="eastAsia"/>
                <w:kern w:val="0"/>
                <w:sz w:val="22"/>
                <w:szCs w:val="20"/>
              </w:rPr>
            </w:pPr>
            <w:r>
              <w:rPr>
                <w:rFonts w:ascii="宋体" w:hAnsi="宋体" w:cs="黑体" w:hint="eastAsia"/>
                <w:kern w:val="0"/>
                <w:sz w:val="22"/>
                <w:szCs w:val="20"/>
              </w:rPr>
              <w:t>箭筈豌豆</w:t>
            </w:r>
          </w:p>
        </w:tc>
        <w:tc>
          <w:tcPr>
            <w:tcW w:w="3497" w:type="dxa"/>
            <w:tcBorders>
              <w:top w:val="nil"/>
              <w:left w:val="nil"/>
              <w:bottom w:val="nil"/>
              <w:right w:val="nil"/>
            </w:tcBorders>
            <w:noWrap/>
            <w:tcMar>
              <w:top w:w="10" w:type="dxa"/>
              <w:left w:w="10" w:type="dxa"/>
              <w:right w:w="10" w:type="dxa"/>
            </w:tcMar>
            <w:vAlign w:val="center"/>
          </w:tcPr>
          <w:p w14:paraId="71927F8F" w14:textId="77777777" w:rsidR="00D10CCF" w:rsidRDefault="00000000">
            <w:pPr>
              <w:spacing w:line="360" w:lineRule="auto"/>
              <w:ind w:firstLineChars="200" w:firstLine="440"/>
              <w:jc w:val="center"/>
              <w:rPr>
                <w:rFonts w:ascii="宋体" w:hAnsi="宋体" w:cs="黑体" w:hint="eastAsia"/>
                <w:kern w:val="0"/>
                <w:sz w:val="22"/>
                <w:szCs w:val="20"/>
              </w:rPr>
            </w:pPr>
            <w:r>
              <w:rPr>
                <w:rFonts w:ascii="宋体" w:hAnsi="宋体" w:cs="黑体" w:hint="eastAsia"/>
                <w:kern w:val="0"/>
                <w:sz w:val="22"/>
                <w:szCs w:val="20"/>
              </w:rPr>
              <w:t>20</w:t>
            </w:r>
          </w:p>
        </w:tc>
        <w:tc>
          <w:tcPr>
            <w:tcW w:w="3178" w:type="dxa"/>
            <w:tcBorders>
              <w:top w:val="nil"/>
              <w:left w:val="nil"/>
              <w:bottom w:val="nil"/>
              <w:right w:val="nil"/>
            </w:tcBorders>
            <w:noWrap/>
            <w:tcMar>
              <w:top w:w="10" w:type="dxa"/>
              <w:left w:w="10" w:type="dxa"/>
              <w:right w:w="10" w:type="dxa"/>
            </w:tcMar>
            <w:vAlign w:val="center"/>
          </w:tcPr>
          <w:p w14:paraId="2ADE5575" w14:textId="77777777" w:rsidR="00D10CCF" w:rsidRDefault="00000000">
            <w:pPr>
              <w:spacing w:line="360" w:lineRule="auto"/>
              <w:ind w:firstLineChars="200" w:firstLine="440"/>
              <w:jc w:val="center"/>
              <w:rPr>
                <w:rFonts w:ascii="宋体" w:hAnsi="宋体" w:cs="黑体" w:hint="eastAsia"/>
                <w:kern w:val="0"/>
                <w:sz w:val="22"/>
                <w:szCs w:val="20"/>
              </w:rPr>
            </w:pPr>
            <w:r>
              <w:rPr>
                <w:rFonts w:ascii="宋体" w:hAnsi="宋体" w:cs="黑体" w:hint="eastAsia"/>
                <w:kern w:val="0"/>
                <w:sz w:val="22"/>
                <w:szCs w:val="20"/>
              </w:rPr>
              <w:t>5</w:t>
            </w:r>
          </w:p>
        </w:tc>
      </w:tr>
      <w:tr w:rsidR="00D10CCF" w14:paraId="23F7C0A9" w14:textId="77777777">
        <w:trPr>
          <w:trHeight w:val="376"/>
        </w:trPr>
        <w:tc>
          <w:tcPr>
            <w:tcW w:w="3225" w:type="dxa"/>
            <w:tcBorders>
              <w:top w:val="nil"/>
              <w:left w:val="nil"/>
              <w:bottom w:val="nil"/>
              <w:right w:val="nil"/>
            </w:tcBorders>
            <w:noWrap/>
            <w:tcMar>
              <w:top w:w="10" w:type="dxa"/>
              <w:left w:w="10" w:type="dxa"/>
              <w:right w:w="10" w:type="dxa"/>
            </w:tcMar>
            <w:vAlign w:val="center"/>
          </w:tcPr>
          <w:p w14:paraId="68EAA9BD" w14:textId="77777777" w:rsidR="00D10CCF" w:rsidRDefault="00000000">
            <w:pPr>
              <w:spacing w:line="360" w:lineRule="auto"/>
              <w:ind w:firstLineChars="200" w:firstLine="440"/>
              <w:jc w:val="center"/>
              <w:rPr>
                <w:rFonts w:ascii="宋体" w:hAnsi="宋体" w:cs="黑体" w:hint="eastAsia"/>
                <w:kern w:val="0"/>
                <w:sz w:val="22"/>
                <w:szCs w:val="20"/>
              </w:rPr>
            </w:pPr>
            <w:r>
              <w:rPr>
                <w:rFonts w:ascii="宋体" w:hAnsi="宋体" w:cs="黑体" w:hint="eastAsia"/>
                <w:kern w:val="0"/>
                <w:sz w:val="22"/>
                <w:szCs w:val="20"/>
              </w:rPr>
              <w:t>垂穗披碱草</w:t>
            </w:r>
          </w:p>
        </w:tc>
        <w:tc>
          <w:tcPr>
            <w:tcW w:w="3497" w:type="dxa"/>
            <w:tcBorders>
              <w:top w:val="nil"/>
              <w:left w:val="nil"/>
              <w:bottom w:val="nil"/>
              <w:right w:val="nil"/>
            </w:tcBorders>
            <w:noWrap/>
            <w:tcMar>
              <w:top w:w="10" w:type="dxa"/>
              <w:left w:w="10" w:type="dxa"/>
              <w:right w:w="10" w:type="dxa"/>
            </w:tcMar>
            <w:vAlign w:val="center"/>
          </w:tcPr>
          <w:p w14:paraId="2A1EEC7E" w14:textId="77777777" w:rsidR="00D10CCF" w:rsidRDefault="00000000">
            <w:pPr>
              <w:spacing w:line="360" w:lineRule="auto"/>
              <w:ind w:firstLineChars="200" w:firstLine="440"/>
              <w:jc w:val="center"/>
              <w:rPr>
                <w:rFonts w:ascii="宋体" w:hAnsi="宋体" w:cs="黑体" w:hint="eastAsia"/>
                <w:kern w:val="0"/>
                <w:sz w:val="22"/>
                <w:szCs w:val="20"/>
              </w:rPr>
            </w:pPr>
            <w:r>
              <w:rPr>
                <w:rFonts w:ascii="宋体" w:hAnsi="宋体" w:cs="黑体" w:hint="eastAsia"/>
                <w:kern w:val="0"/>
                <w:sz w:val="22"/>
                <w:szCs w:val="20"/>
              </w:rPr>
              <w:t>4.5</w:t>
            </w:r>
          </w:p>
        </w:tc>
        <w:tc>
          <w:tcPr>
            <w:tcW w:w="3178" w:type="dxa"/>
            <w:tcBorders>
              <w:top w:val="nil"/>
              <w:left w:val="nil"/>
              <w:bottom w:val="nil"/>
              <w:right w:val="nil"/>
            </w:tcBorders>
            <w:noWrap/>
            <w:tcMar>
              <w:top w:w="10" w:type="dxa"/>
              <w:left w:w="10" w:type="dxa"/>
              <w:right w:w="10" w:type="dxa"/>
            </w:tcMar>
            <w:vAlign w:val="center"/>
          </w:tcPr>
          <w:p w14:paraId="0A7951CF" w14:textId="77777777" w:rsidR="00D10CCF" w:rsidRDefault="00000000">
            <w:pPr>
              <w:spacing w:line="360" w:lineRule="auto"/>
              <w:ind w:firstLineChars="200" w:firstLine="440"/>
              <w:jc w:val="center"/>
              <w:rPr>
                <w:rFonts w:ascii="宋体" w:hAnsi="宋体" w:cs="黑体" w:hint="eastAsia"/>
                <w:kern w:val="0"/>
                <w:sz w:val="22"/>
                <w:szCs w:val="20"/>
              </w:rPr>
            </w:pPr>
            <w:r>
              <w:rPr>
                <w:rFonts w:ascii="宋体" w:hAnsi="宋体" w:cs="黑体" w:hint="eastAsia"/>
                <w:kern w:val="0"/>
                <w:sz w:val="22"/>
                <w:szCs w:val="20"/>
              </w:rPr>
              <w:t>5</w:t>
            </w:r>
          </w:p>
        </w:tc>
      </w:tr>
      <w:tr w:rsidR="00D10CCF" w14:paraId="71FDD425" w14:textId="77777777">
        <w:trPr>
          <w:trHeight w:val="376"/>
        </w:trPr>
        <w:tc>
          <w:tcPr>
            <w:tcW w:w="3225" w:type="dxa"/>
            <w:tcBorders>
              <w:top w:val="nil"/>
              <w:left w:val="nil"/>
              <w:bottom w:val="nil"/>
              <w:right w:val="nil"/>
            </w:tcBorders>
            <w:noWrap/>
            <w:tcMar>
              <w:top w:w="10" w:type="dxa"/>
              <w:left w:w="10" w:type="dxa"/>
              <w:right w:w="10" w:type="dxa"/>
            </w:tcMar>
            <w:vAlign w:val="center"/>
          </w:tcPr>
          <w:p w14:paraId="40D05DED" w14:textId="77777777" w:rsidR="00D10CCF" w:rsidRDefault="00000000">
            <w:pPr>
              <w:spacing w:line="360" w:lineRule="auto"/>
              <w:ind w:firstLineChars="200" w:firstLine="440"/>
              <w:jc w:val="center"/>
              <w:rPr>
                <w:rFonts w:ascii="宋体" w:hAnsi="宋体" w:cs="黑体" w:hint="eastAsia"/>
                <w:kern w:val="0"/>
                <w:sz w:val="22"/>
                <w:szCs w:val="20"/>
              </w:rPr>
            </w:pPr>
            <w:r>
              <w:rPr>
                <w:rFonts w:ascii="宋体" w:hAnsi="宋体" w:cs="黑体" w:hint="eastAsia"/>
                <w:kern w:val="0"/>
                <w:sz w:val="22"/>
                <w:szCs w:val="20"/>
              </w:rPr>
              <w:t>同德小花碱茅</w:t>
            </w:r>
          </w:p>
        </w:tc>
        <w:tc>
          <w:tcPr>
            <w:tcW w:w="3497" w:type="dxa"/>
            <w:tcBorders>
              <w:top w:val="nil"/>
              <w:left w:val="nil"/>
              <w:bottom w:val="nil"/>
              <w:right w:val="nil"/>
            </w:tcBorders>
            <w:noWrap/>
            <w:tcMar>
              <w:top w:w="10" w:type="dxa"/>
              <w:left w:w="10" w:type="dxa"/>
              <w:right w:w="10" w:type="dxa"/>
            </w:tcMar>
            <w:vAlign w:val="center"/>
          </w:tcPr>
          <w:p w14:paraId="43F0B4BD" w14:textId="77777777" w:rsidR="00D10CCF" w:rsidRDefault="00000000">
            <w:pPr>
              <w:spacing w:line="360" w:lineRule="auto"/>
              <w:ind w:firstLineChars="200" w:firstLine="440"/>
              <w:jc w:val="center"/>
              <w:rPr>
                <w:rFonts w:ascii="宋体" w:hAnsi="宋体" w:cs="黑体" w:hint="eastAsia"/>
                <w:kern w:val="0"/>
                <w:sz w:val="22"/>
                <w:szCs w:val="20"/>
              </w:rPr>
            </w:pPr>
            <w:r>
              <w:rPr>
                <w:rFonts w:ascii="宋体" w:hAnsi="宋体" w:cs="黑体" w:hint="eastAsia"/>
                <w:kern w:val="0"/>
                <w:sz w:val="22"/>
                <w:szCs w:val="20"/>
              </w:rPr>
              <w:t>3</w:t>
            </w:r>
          </w:p>
        </w:tc>
        <w:tc>
          <w:tcPr>
            <w:tcW w:w="3178" w:type="dxa"/>
            <w:tcBorders>
              <w:top w:val="nil"/>
              <w:left w:val="nil"/>
              <w:bottom w:val="nil"/>
              <w:right w:val="nil"/>
            </w:tcBorders>
            <w:noWrap/>
            <w:tcMar>
              <w:top w:w="10" w:type="dxa"/>
              <w:left w:w="10" w:type="dxa"/>
              <w:right w:w="10" w:type="dxa"/>
            </w:tcMar>
            <w:vAlign w:val="center"/>
          </w:tcPr>
          <w:p w14:paraId="16C8764C" w14:textId="77777777" w:rsidR="00D10CCF" w:rsidRDefault="00000000">
            <w:pPr>
              <w:spacing w:line="360" w:lineRule="auto"/>
              <w:ind w:firstLineChars="200" w:firstLine="440"/>
              <w:jc w:val="center"/>
              <w:rPr>
                <w:rFonts w:ascii="宋体" w:hAnsi="宋体" w:cs="黑体" w:hint="eastAsia"/>
                <w:kern w:val="0"/>
                <w:sz w:val="22"/>
                <w:szCs w:val="20"/>
              </w:rPr>
            </w:pPr>
            <w:r>
              <w:rPr>
                <w:rFonts w:ascii="宋体" w:hAnsi="宋体" w:cs="黑体" w:hint="eastAsia"/>
                <w:kern w:val="0"/>
                <w:sz w:val="22"/>
                <w:szCs w:val="20"/>
              </w:rPr>
              <w:t>3</w:t>
            </w:r>
          </w:p>
        </w:tc>
      </w:tr>
      <w:tr w:rsidR="00D10CCF" w14:paraId="24F90070" w14:textId="77777777">
        <w:trPr>
          <w:trHeight w:val="376"/>
        </w:trPr>
        <w:tc>
          <w:tcPr>
            <w:tcW w:w="3225" w:type="dxa"/>
            <w:tcBorders>
              <w:top w:val="nil"/>
              <w:left w:val="nil"/>
              <w:bottom w:val="nil"/>
              <w:right w:val="nil"/>
            </w:tcBorders>
            <w:noWrap/>
            <w:tcMar>
              <w:top w:w="10" w:type="dxa"/>
              <w:left w:w="10" w:type="dxa"/>
              <w:right w:w="10" w:type="dxa"/>
            </w:tcMar>
            <w:vAlign w:val="center"/>
          </w:tcPr>
          <w:p w14:paraId="69EA252A" w14:textId="77777777" w:rsidR="00D10CCF" w:rsidRDefault="00000000">
            <w:pPr>
              <w:spacing w:line="360" w:lineRule="auto"/>
              <w:ind w:firstLineChars="200" w:firstLine="440"/>
              <w:jc w:val="center"/>
              <w:rPr>
                <w:rFonts w:ascii="宋体" w:hAnsi="宋体" w:cs="黑体" w:hint="eastAsia"/>
                <w:kern w:val="0"/>
                <w:sz w:val="22"/>
                <w:szCs w:val="20"/>
              </w:rPr>
            </w:pPr>
            <w:r>
              <w:rPr>
                <w:rFonts w:ascii="宋体" w:hAnsi="宋体" w:cs="黑体" w:hint="eastAsia"/>
                <w:kern w:val="0"/>
                <w:sz w:val="22"/>
                <w:szCs w:val="20"/>
              </w:rPr>
              <w:t>青海草地早熟禾</w:t>
            </w:r>
          </w:p>
        </w:tc>
        <w:tc>
          <w:tcPr>
            <w:tcW w:w="3497" w:type="dxa"/>
            <w:tcBorders>
              <w:top w:val="nil"/>
              <w:left w:val="nil"/>
              <w:bottom w:val="nil"/>
              <w:right w:val="nil"/>
            </w:tcBorders>
            <w:noWrap/>
            <w:tcMar>
              <w:top w:w="10" w:type="dxa"/>
              <w:left w:w="10" w:type="dxa"/>
              <w:right w:w="10" w:type="dxa"/>
            </w:tcMar>
            <w:vAlign w:val="center"/>
          </w:tcPr>
          <w:p w14:paraId="47A124D6" w14:textId="77777777" w:rsidR="00D10CCF" w:rsidRDefault="00000000">
            <w:pPr>
              <w:spacing w:line="360" w:lineRule="auto"/>
              <w:ind w:firstLineChars="200" w:firstLine="440"/>
              <w:jc w:val="center"/>
              <w:rPr>
                <w:rFonts w:ascii="宋体" w:hAnsi="宋体" w:cs="黑体" w:hint="eastAsia"/>
                <w:kern w:val="0"/>
                <w:sz w:val="22"/>
                <w:szCs w:val="20"/>
              </w:rPr>
            </w:pPr>
            <w:r>
              <w:rPr>
                <w:rFonts w:ascii="宋体" w:hAnsi="宋体" w:cs="黑体" w:hint="eastAsia"/>
                <w:kern w:val="0"/>
                <w:sz w:val="22"/>
                <w:szCs w:val="20"/>
              </w:rPr>
              <w:t>3.5</w:t>
            </w:r>
          </w:p>
        </w:tc>
        <w:tc>
          <w:tcPr>
            <w:tcW w:w="3178" w:type="dxa"/>
            <w:tcBorders>
              <w:top w:val="nil"/>
              <w:left w:val="nil"/>
              <w:bottom w:val="nil"/>
              <w:right w:val="nil"/>
            </w:tcBorders>
            <w:noWrap/>
            <w:tcMar>
              <w:top w:w="10" w:type="dxa"/>
              <w:left w:w="10" w:type="dxa"/>
              <w:right w:w="10" w:type="dxa"/>
            </w:tcMar>
            <w:vAlign w:val="center"/>
          </w:tcPr>
          <w:p w14:paraId="1B4D930D" w14:textId="77777777" w:rsidR="00D10CCF" w:rsidRDefault="00000000">
            <w:pPr>
              <w:spacing w:line="360" w:lineRule="auto"/>
              <w:ind w:firstLineChars="200" w:firstLine="440"/>
              <w:jc w:val="center"/>
              <w:rPr>
                <w:rFonts w:ascii="宋体" w:hAnsi="宋体" w:cs="黑体" w:hint="eastAsia"/>
                <w:kern w:val="0"/>
                <w:sz w:val="22"/>
                <w:szCs w:val="20"/>
              </w:rPr>
            </w:pPr>
            <w:r>
              <w:rPr>
                <w:rFonts w:ascii="宋体" w:hAnsi="宋体" w:cs="黑体" w:hint="eastAsia"/>
                <w:kern w:val="0"/>
                <w:sz w:val="22"/>
                <w:szCs w:val="20"/>
              </w:rPr>
              <w:t>3</w:t>
            </w:r>
          </w:p>
        </w:tc>
      </w:tr>
    </w:tbl>
    <w:p w14:paraId="4684C2AF" w14:textId="77777777" w:rsidR="00D10CCF" w:rsidRDefault="00D10CCF">
      <w:pPr>
        <w:spacing w:line="360" w:lineRule="auto"/>
        <w:ind w:firstLineChars="200" w:firstLine="440"/>
        <w:rPr>
          <w:rFonts w:ascii="宋体" w:hAnsi="宋体" w:cs="黑体" w:hint="eastAsia"/>
          <w:kern w:val="0"/>
          <w:sz w:val="22"/>
          <w:szCs w:val="20"/>
        </w:rPr>
      </w:pPr>
    </w:p>
    <w:p w14:paraId="41CACE5C" w14:textId="77777777" w:rsidR="00D10CCF" w:rsidRDefault="00000000">
      <w:pPr>
        <w:spacing w:line="360" w:lineRule="auto"/>
        <w:ind w:firstLineChars="200" w:firstLine="440"/>
        <w:rPr>
          <w:rFonts w:ascii="宋体" w:hAnsi="宋体" w:cs="黑体" w:hint="eastAsia"/>
          <w:kern w:val="0"/>
          <w:sz w:val="22"/>
          <w:szCs w:val="20"/>
        </w:rPr>
      </w:pPr>
      <w:r>
        <w:rPr>
          <w:rFonts w:ascii="宋体" w:hAnsi="宋体" w:cs="黑体" w:hint="eastAsia"/>
          <w:kern w:val="0"/>
          <w:sz w:val="22"/>
          <w:szCs w:val="20"/>
        </w:rPr>
        <w:t>播后处理：燕播种后需进行覆土处理，可通过耙地完成，有条件的牧户可选用镇压器进行镇压。</w:t>
      </w:r>
    </w:p>
    <w:p w14:paraId="4F899F03" w14:textId="77777777" w:rsidR="00D10CCF" w:rsidRDefault="00000000">
      <w:pPr>
        <w:spacing w:line="360" w:lineRule="auto"/>
        <w:ind w:firstLineChars="200" w:firstLine="440"/>
        <w:rPr>
          <w:rFonts w:ascii="宋体" w:hAnsi="宋体" w:cs="黑体" w:hint="eastAsia"/>
          <w:kern w:val="0"/>
          <w:sz w:val="22"/>
          <w:szCs w:val="20"/>
        </w:rPr>
      </w:pPr>
      <w:r>
        <w:rPr>
          <w:rFonts w:ascii="宋体" w:hAnsi="宋体" w:cs="黑体" w:hint="eastAsia"/>
          <w:kern w:val="0"/>
          <w:sz w:val="22"/>
          <w:szCs w:val="20"/>
        </w:rPr>
        <w:t>补播：对于边角地、不宜抓苗或闪苗等造成30 %以上大面积缺苗地块，进行补播。</w:t>
      </w:r>
    </w:p>
    <w:p w14:paraId="088619F5" w14:textId="77777777" w:rsidR="00D10CCF" w:rsidRDefault="00000000">
      <w:pPr>
        <w:spacing w:line="360" w:lineRule="auto"/>
        <w:ind w:firstLineChars="200" w:firstLine="440"/>
        <w:rPr>
          <w:rFonts w:ascii="宋体" w:hAnsi="宋体" w:cs="黑体" w:hint="eastAsia"/>
          <w:kern w:val="0"/>
          <w:sz w:val="22"/>
          <w:szCs w:val="20"/>
        </w:rPr>
      </w:pPr>
      <w:r>
        <w:rPr>
          <w:rFonts w:ascii="宋体" w:hAnsi="宋体" w:cs="黑体" w:hint="eastAsia"/>
          <w:kern w:val="0"/>
          <w:sz w:val="22"/>
          <w:szCs w:val="20"/>
        </w:rPr>
        <w:t>追肥：在出苗后和牧草生长拔节期进行追肥追施尿素5 kg/亩，在雨前施撒或施肥后灌溉。</w:t>
      </w:r>
    </w:p>
    <w:p w14:paraId="53A98919" w14:textId="77777777" w:rsidR="00D10CCF" w:rsidRDefault="00000000">
      <w:pPr>
        <w:spacing w:line="360" w:lineRule="auto"/>
        <w:ind w:firstLineChars="200" w:firstLine="440"/>
        <w:rPr>
          <w:rFonts w:ascii="宋体" w:hAnsi="宋体" w:cs="黑体" w:hint="eastAsia"/>
          <w:kern w:val="0"/>
          <w:sz w:val="22"/>
          <w:szCs w:val="20"/>
        </w:rPr>
      </w:pPr>
      <w:r>
        <w:rPr>
          <w:rFonts w:ascii="宋体" w:hAnsi="宋体" w:cs="黑体" w:hint="eastAsia"/>
          <w:kern w:val="0"/>
          <w:sz w:val="22"/>
          <w:szCs w:val="20"/>
        </w:rPr>
        <w:t>灌溉：藏北高寒牧区棚圈低矮、通气差、干燥，需要定期观察土壤水分含量情况，牧草生长情况进行灌溉。一般5-6天灌溉浇透一次。若干旱少雨，需及时进行灌溉。</w:t>
      </w:r>
    </w:p>
    <w:p w14:paraId="2975A612" w14:textId="77777777" w:rsidR="00D10CCF" w:rsidRDefault="00000000">
      <w:pPr>
        <w:spacing w:line="360" w:lineRule="auto"/>
        <w:ind w:firstLineChars="200" w:firstLine="440"/>
        <w:rPr>
          <w:rFonts w:ascii="宋体" w:hAnsi="宋体" w:cs="黑体" w:hint="eastAsia"/>
          <w:kern w:val="0"/>
          <w:sz w:val="22"/>
          <w:szCs w:val="20"/>
        </w:rPr>
      </w:pPr>
      <w:r>
        <w:rPr>
          <w:rFonts w:ascii="宋体" w:hAnsi="宋体" w:cs="黑体" w:hint="eastAsia"/>
          <w:kern w:val="0"/>
          <w:sz w:val="22"/>
          <w:szCs w:val="20"/>
        </w:rPr>
        <w:t>除草：在幼苗萌发季、青苗生长季和拔节期各进行一次除草处理，清除杂草。</w:t>
      </w:r>
    </w:p>
    <w:p w14:paraId="73C62462" w14:textId="77777777" w:rsidR="00D10CCF" w:rsidRDefault="00000000">
      <w:pPr>
        <w:spacing w:line="360" w:lineRule="auto"/>
        <w:ind w:firstLineChars="200" w:firstLine="440"/>
        <w:rPr>
          <w:rFonts w:ascii="宋体" w:hAnsi="宋体" w:cs="黑体" w:hint="eastAsia"/>
          <w:kern w:val="0"/>
          <w:sz w:val="22"/>
          <w:szCs w:val="20"/>
        </w:rPr>
      </w:pPr>
      <w:bookmarkStart w:id="18" w:name="_Toc14687"/>
      <w:bookmarkStart w:id="19" w:name="_Toc6065"/>
      <w:r>
        <w:rPr>
          <w:rFonts w:ascii="宋体" w:hAnsi="宋体" w:cs="黑体" w:hint="eastAsia"/>
          <w:kern w:val="0"/>
          <w:sz w:val="22"/>
          <w:szCs w:val="20"/>
        </w:rPr>
        <w:t>收获方式</w:t>
      </w:r>
      <w:bookmarkEnd w:id="18"/>
      <w:bookmarkEnd w:id="19"/>
      <w:r>
        <w:rPr>
          <w:rFonts w:ascii="宋体" w:hAnsi="宋体" w:cs="黑体" w:hint="eastAsia"/>
          <w:kern w:val="0"/>
          <w:sz w:val="22"/>
          <w:szCs w:val="20"/>
        </w:rPr>
        <w:t>：人工收割或背负式收割机进行收割。</w:t>
      </w:r>
    </w:p>
    <w:p w14:paraId="496CD4BE" w14:textId="77777777" w:rsidR="00D10CCF" w:rsidRDefault="00000000">
      <w:pPr>
        <w:spacing w:line="360" w:lineRule="auto"/>
        <w:ind w:firstLineChars="200" w:firstLine="440"/>
        <w:rPr>
          <w:rFonts w:ascii="宋体" w:hAnsi="宋体" w:cs="黑体" w:hint="eastAsia"/>
          <w:kern w:val="0"/>
          <w:sz w:val="22"/>
          <w:szCs w:val="20"/>
        </w:rPr>
      </w:pPr>
      <w:bookmarkStart w:id="20" w:name="_Toc9440"/>
      <w:bookmarkStart w:id="21" w:name="_Toc13526"/>
      <w:r>
        <w:rPr>
          <w:rFonts w:ascii="宋体" w:hAnsi="宋体" w:cs="黑体" w:hint="eastAsia"/>
          <w:kern w:val="0"/>
          <w:sz w:val="22"/>
          <w:szCs w:val="20"/>
        </w:rPr>
        <w:t>收获时期</w:t>
      </w:r>
      <w:bookmarkEnd w:id="20"/>
      <w:bookmarkEnd w:id="21"/>
      <w:r>
        <w:rPr>
          <w:rFonts w:ascii="宋体" w:hAnsi="宋体" w:cs="黑体" w:hint="eastAsia"/>
          <w:kern w:val="0"/>
          <w:sz w:val="22"/>
          <w:szCs w:val="20"/>
        </w:rPr>
        <w:t>：9月23日（农牧民丰收节）-10月3日期间进行最终收获。</w:t>
      </w:r>
    </w:p>
    <w:p w14:paraId="647729F9" w14:textId="77777777" w:rsidR="00D10CCF" w:rsidRDefault="00000000">
      <w:pPr>
        <w:spacing w:line="360" w:lineRule="auto"/>
        <w:ind w:firstLineChars="200" w:firstLine="440"/>
        <w:rPr>
          <w:rFonts w:ascii="宋体" w:hAnsi="宋体" w:cs="黑体" w:hint="eastAsia"/>
          <w:kern w:val="0"/>
          <w:sz w:val="22"/>
          <w:szCs w:val="20"/>
        </w:rPr>
      </w:pPr>
      <w:bookmarkStart w:id="22" w:name="_Toc28993"/>
      <w:bookmarkStart w:id="23" w:name="_Toc19723"/>
      <w:r>
        <w:rPr>
          <w:rFonts w:ascii="宋体" w:hAnsi="宋体" w:cs="黑体" w:hint="eastAsia"/>
          <w:kern w:val="0"/>
          <w:sz w:val="22"/>
          <w:szCs w:val="20"/>
        </w:rPr>
        <w:t>青贮</w:t>
      </w:r>
      <w:bookmarkEnd w:id="22"/>
      <w:bookmarkEnd w:id="23"/>
      <w:r>
        <w:rPr>
          <w:rFonts w:ascii="宋体" w:hAnsi="宋体" w:cs="黑体" w:hint="eastAsia"/>
          <w:kern w:val="0"/>
          <w:sz w:val="22"/>
          <w:szCs w:val="20"/>
        </w:rPr>
        <w:t>：有条件的牧户，可以制作混合青贮、微贮。</w:t>
      </w:r>
    </w:p>
    <w:p w14:paraId="03CC6D67" w14:textId="77777777" w:rsidR="00D10CCF" w:rsidRDefault="00000000">
      <w:pPr>
        <w:spacing w:line="360" w:lineRule="auto"/>
        <w:ind w:firstLineChars="200" w:firstLine="440"/>
        <w:rPr>
          <w:rFonts w:ascii="宋体" w:hAnsi="宋体" w:cs="黑体" w:hint="eastAsia"/>
          <w:kern w:val="0"/>
          <w:sz w:val="22"/>
          <w:szCs w:val="20"/>
        </w:rPr>
      </w:pPr>
      <w:bookmarkStart w:id="24" w:name="_Toc4662"/>
      <w:bookmarkStart w:id="25" w:name="_Toc29043"/>
      <w:r>
        <w:rPr>
          <w:rFonts w:ascii="宋体" w:hAnsi="宋体" w:cs="黑体" w:hint="eastAsia"/>
          <w:kern w:val="0"/>
          <w:sz w:val="22"/>
          <w:szCs w:val="20"/>
        </w:rPr>
        <w:t>干草</w:t>
      </w:r>
      <w:bookmarkEnd w:id="24"/>
      <w:bookmarkEnd w:id="25"/>
      <w:r>
        <w:rPr>
          <w:rFonts w:ascii="宋体" w:hAnsi="宋体" w:cs="黑体" w:hint="eastAsia"/>
          <w:kern w:val="0"/>
          <w:sz w:val="22"/>
          <w:szCs w:val="20"/>
        </w:rPr>
        <w:t>：在晾晒架上平铺晾晒，保持牧草蓬松状，自然风干，或打绳结悬挂于墙体晾晒，或装袋置于屋顶晾晒。</w:t>
      </w:r>
    </w:p>
    <w:p w14:paraId="6591B7C3" w14:textId="77777777" w:rsidR="00D10CCF" w:rsidRDefault="00000000">
      <w:pPr>
        <w:spacing w:line="360" w:lineRule="auto"/>
        <w:ind w:firstLineChars="200" w:firstLine="440"/>
        <w:rPr>
          <w:rFonts w:ascii="宋体" w:hAnsi="宋体" w:cs="黑体" w:hint="eastAsia"/>
          <w:kern w:val="0"/>
          <w:sz w:val="22"/>
          <w:szCs w:val="20"/>
        </w:rPr>
      </w:pPr>
      <w:r>
        <w:rPr>
          <w:rFonts w:ascii="宋体" w:hAnsi="宋体" w:cs="黑体" w:hint="eastAsia"/>
          <w:kern w:val="0"/>
          <w:sz w:val="22"/>
          <w:szCs w:val="20"/>
        </w:rPr>
        <w:t>晾晒时间：1-3周。晾晒制成的青干草贮藏存放于避雨处或仓库。</w:t>
      </w:r>
    </w:p>
    <w:p w14:paraId="79BBEAAF" w14:textId="77777777" w:rsidR="00D10CCF" w:rsidRDefault="00000000">
      <w:pPr>
        <w:pStyle w:val="1"/>
        <w:spacing w:before="0" w:after="0"/>
        <w:rPr>
          <w:sz w:val="24"/>
          <w:szCs w:val="40"/>
        </w:rPr>
      </w:pPr>
      <w:bookmarkStart w:id="26" w:name="_Toc176547937"/>
      <w:r>
        <w:rPr>
          <w:rFonts w:hint="eastAsia"/>
          <w:sz w:val="24"/>
          <w:szCs w:val="40"/>
        </w:rPr>
        <w:t>四</w:t>
      </w:r>
      <w:r>
        <w:rPr>
          <w:sz w:val="24"/>
          <w:szCs w:val="40"/>
        </w:rPr>
        <w:t>、</w:t>
      </w:r>
      <w:r>
        <w:rPr>
          <w:rFonts w:hint="eastAsia"/>
          <w:sz w:val="24"/>
          <w:szCs w:val="40"/>
        </w:rPr>
        <w:t>采用的国际标准</w:t>
      </w:r>
      <w:bookmarkEnd w:id="26"/>
    </w:p>
    <w:p w14:paraId="3927399B" w14:textId="77777777" w:rsidR="00D10CCF" w:rsidRDefault="00000000">
      <w:pPr>
        <w:spacing w:line="360" w:lineRule="auto"/>
        <w:ind w:firstLine="482"/>
        <w:rPr>
          <w:color w:val="000000"/>
          <w:sz w:val="22"/>
          <w:szCs w:val="20"/>
        </w:rPr>
      </w:pPr>
      <w:r>
        <w:rPr>
          <w:color w:val="000000"/>
          <w:sz w:val="22"/>
          <w:szCs w:val="20"/>
        </w:rPr>
        <w:t>无。</w:t>
      </w:r>
    </w:p>
    <w:p w14:paraId="30D9B6DE" w14:textId="77777777" w:rsidR="00D10CCF" w:rsidRDefault="00000000">
      <w:pPr>
        <w:pStyle w:val="1"/>
        <w:spacing w:before="0" w:after="0"/>
        <w:rPr>
          <w:sz w:val="24"/>
          <w:szCs w:val="40"/>
        </w:rPr>
      </w:pPr>
      <w:bookmarkStart w:id="27" w:name="_Toc176547938"/>
      <w:r>
        <w:rPr>
          <w:rFonts w:hint="eastAsia"/>
          <w:sz w:val="24"/>
          <w:szCs w:val="40"/>
        </w:rPr>
        <w:t>五</w:t>
      </w:r>
      <w:r>
        <w:rPr>
          <w:sz w:val="24"/>
          <w:szCs w:val="40"/>
        </w:rPr>
        <w:t>、</w:t>
      </w:r>
      <w:r>
        <w:rPr>
          <w:rFonts w:hint="eastAsia"/>
          <w:sz w:val="24"/>
          <w:szCs w:val="40"/>
        </w:rPr>
        <w:t>与现行法律法规和强制性标准的关系</w:t>
      </w:r>
      <w:bookmarkEnd w:id="27"/>
    </w:p>
    <w:p w14:paraId="2B492809" w14:textId="77777777" w:rsidR="00D10CCF" w:rsidRDefault="00000000">
      <w:pPr>
        <w:spacing w:line="360" w:lineRule="auto"/>
        <w:ind w:firstLine="482"/>
        <w:rPr>
          <w:color w:val="000000"/>
          <w:sz w:val="22"/>
          <w:szCs w:val="20"/>
        </w:rPr>
      </w:pPr>
      <w:r>
        <w:rPr>
          <w:rFonts w:hint="eastAsia"/>
          <w:color w:val="000000"/>
          <w:sz w:val="22"/>
          <w:szCs w:val="20"/>
        </w:rPr>
        <w:t>本标准与现行法律法规和强制性标准的相关条例没有冲突。</w:t>
      </w:r>
    </w:p>
    <w:p w14:paraId="30919C64" w14:textId="77777777" w:rsidR="00D10CCF" w:rsidRDefault="00000000">
      <w:pPr>
        <w:pStyle w:val="1"/>
        <w:spacing w:before="0" w:after="0"/>
        <w:rPr>
          <w:sz w:val="24"/>
          <w:szCs w:val="40"/>
        </w:rPr>
      </w:pPr>
      <w:bookmarkStart w:id="28" w:name="_Toc176547939"/>
      <w:r>
        <w:rPr>
          <w:rFonts w:hint="eastAsia"/>
          <w:sz w:val="24"/>
          <w:szCs w:val="40"/>
        </w:rPr>
        <w:t>六</w:t>
      </w:r>
      <w:r>
        <w:rPr>
          <w:sz w:val="24"/>
          <w:szCs w:val="40"/>
        </w:rPr>
        <w:t>、</w:t>
      </w:r>
      <w:r>
        <w:rPr>
          <w:rFonts w:hint="eastAsia"/>
          <w:sz w:val="24"/>
          <w:szCs w:val="40"/>
        </w:rPr>
        <w:t>重大分歧意见的处理经过和依据</w:t>
      </w:r>
      <w:bookmarkEnd w:id="28"/>
    </w:p>
    <w:p w14:paraId="5D2967DE" w14:textId="77777777" w:rsidR="00D10CCF" w:rsidRDefault="00000000">
      <w:pPr>
        <w:spacing w:line="360" w:lineRule="auto"/>
        <w:ind w:firstLine="482"/>
        <w:rPr>
          <w:color w:val="000000"/>
          <w:sz w:val="22"/>
          <w:szCs w:val="20"/>
        </w:rPr>
      </w:pPr>
      <w:r>
        <w:rPr>
          <w:color w:val="000000"/>
          <w:sz w:val="22"/>
          <w:szCs w:val="20"/>
        </w:rPr>
        <w:t>无。</w:t>
      </w:r>
    </w:p>
    <w:p w14:paraId="18828AB0" w14:textId="47471C98" w:rsidR="00D10CCF" w:rsidRDefault="00000000">
      <w:pPr>
        <w:pStyle w:val="1"/>
        <w:spacing w:before="0" w:after="0"/>
        <w:rPr>
          <w:sz w:val="24"/>
          <w:szCs w:val="40"/>
        </w:rPr>
      </w:pPr>
      <w:bookmarkStart w:id="29" w:name="_Toc176547940"/>
      <w:r>
        <w:rPr>
          <w:sz w:val="24"/>
          <w:szCs w:val="40"/>
        </w:rPr>
        <w:t>七、标准作为强制性或推荐性标准的意见</w:t>
      </w:r>
      <w:bookmarkEnd w:id="29"/>
    </w:p>
    <w:p w14:paraId="630F5003" w14:textId="77777777" w:rsidR="00D10CCF" w:rsidRDefault="00000000">
      <w:pPr>
        <w:spacing w:line="360" w:lineRule="auto"/>
        <w:ind w:firstLine="482"/>
        <w:rPr>
          <w:color w:val="000000"/>
          <w:sz w:val="22"/>
          <w:szCs w:val="20"/>
        </w:rPr>
      </w:pPr>
      <w:r>
        <w:rPr>
          <w:color w:val="000000"/>
          <w:sz w:val="22"/>
          <w:szCs w:val="20"/>
        </w:rPr>
        <w:t>建议将本标准作为推荐性标准发布实施，并加强标准的宣贯。</w:t>
      </w:r>
    </w:p>
    <w:p w14:paraId="5D7D6744" w14:textId="0E20DFB8" w:rsidR="00D10CCF" w:rsidRDefault="00000000">
      <w:pPr>
        <w:pStyle w:val="1"/>
        <w:spacing w:before="0" w:after="0"/>
        <w:rPr>
          <w:sz w:val="24"/>
          <w:szCs w:val="40"/>
        </w:rPr>
      </w:pPr>
      <w:bookmarkStart w:id="30" w:name="_Toc176547941"/>
      <w:r>
        <w:rPr>
          <w:sz w:val="24"/>
          <w:szCs w:val="40"/>
        </w:rPr>
        <w:t>八、贯彻标准的要求和措施建议</w:t>
      </w:r>
      <w:bookmarkEnd w:id="30"/>
    </w:p>
    <w:p w14:paraId="2EEF964A" w14:textId="77777777" w:rsidR="00D10CCF" w:rsidRDefault="00000000">
      <w:pPr>
        <w:spacing w:line="360" w:lineRule="auto"/>
        <w:ind w:firstLineChars="225" w:firstLine="495"/>
        <w:rPr>
          <w:sz w:val="22"/>
          <w:szCs w:val="20"/>
        </w:rPr>
      </w:pPr>
      <w:r>
        <w:rPr>
          <w:rFonts w:hint="eastAsia"/>
          <w:sz w:val="22"/>
          <w:szCs w:val="20"/>
        </w:rPr>
        <w:t>1</w:t>
      </w:r>
      <w:r>
        <w:rPr>
          <w:rFonts w:hint="eastAsia"/>
          <w:sz w:val="22"/>
          <w:szCs w:val="20"/>
        </w:rPr>
        <w:t>、</w:t>
      </w:r>
      <w:r>
        <w:rPr>
          <w:sz w:val="22"/>
          <w:szCs w:val="20"/>
        </w:rPr>
        <w:t>本标准属于</w:t>
      </w:r>
      <w:r>
        <w:rPr>
          <w:rFonts w:ascii="宋体" w:hAnsi="宋体" w:cs="黑体" w:hint="eastAsia"/>
          <w:kern w:val="0"/>
          <w:sz w:val="22"/>
          <w:szCs w:val="20"/>
        </w:rPr>
        <w:t>那曲市农牧业（草业）科技研究推广中心</w:t>
      </w:r>
      <w:r>
        <w:rPr>
          <w:rFonts w:hint="eastAsia"/>
          <w:sz w:val="22"/>
          <w:szCs w:val="20"/>
        </w:rPr>
        <w:t>牵头制定的团体标准</w:t>
      </w:r>
      <w:r>
        <w:rPr>
          <w:sz w:val="22"/>
          <w:szCs w:val="20"/>
        </w:rPr>
        <w:t>，</w:t>
      </w:r>
      <w:r>
        <w:rPr>
          <w:rFonts w:hint="eastAsia"/>
          <w:sz w:val="22"/>
          <w:szCs w:val="20"/>
        </w:rPr>
        <w:t>为成功实施藏北那曲高海拔地区房前屋后人工种草技术，应认真执行本标准的相关技术要求。</w:t>
      </w:r>
    </w:p>
    <w:p w14:paraId="38654EA7" w14:textId="77777777" w:rsidR="00D10CCF" w:rsidRDefault="00000000">
      <w:pPr>
        <w:spacing w:line="360" w:lineRule="auto"/>
        <w:ind w:firstLineChars="225" w:firstLine="495"/>
        <w:rPr>
          <w:sz w:val="22"/>
          <w:szCs w:val="20"/>
        </w:rPr>
      </w:pPr>
      <w:r>
        <w:rPr>
          <w:rFonts w:hint="eastAsia"/>
          <w:sz w:val="22"/>
          <w:szCs w:val="20"/>
        </w:rPr>
        <w:t>2</w:t>
      </w:r>
      <w:r>
        <w:rPr>
          <w:rFonts w:hint="eastAsia"/>
          <w:sz w:val="22"/>
          <w:szCs w:val="20"/>
        </w:rPr>
        <w:t>、应</w:t>
      </w:r>
      <w:r>
        <w:rPr>
          <w:sz w:val="22"/>
          <w:szCs w:val="20"/>
        </w:rPr>
        <w:t>加强对标准的宣传、讲解</w:t>
      </w:r>
      <w:r>
        <w:rPr>
          <w:rFonts w:hint="eastAsia"/>
          <w:sz w:val="22"/>
          <w:szCs w:val="20"/>
        </w:rPr>
        <w:t>和技术指导，促进实施者</w:t>
      </w:r>
      <w:r>
        <w:rPr>
          <w:sz w:val="22"/>
          <w:szCs w:val="20"/>
        </w:rPr>
        <w:t>熟练掌握标准中的技术规范，保证</w:t>
      </w:r>
      <w:r>
        <w:rPr>
          <w:rFonts w:hint="eastAsia"/>
          <w:sz w:val="22"/>
          <w:szCs w:val="20"/>
        </w:rPr>
        <w:t>本标准的广泛推广应用</w:t>
      </w:r>
      <w:r>
        <w:rPr>
          <w:sz w:val="22"/>
          <w:szCs w:val="20"/>
        </w:rPr>
        <w:t>。</w:t>
      </w:r>
    </w:p>
    <w:p w14:paraId="2187383C" w14:textId="77777777" w:rsidR="00D10CCF" w:rsidRDefault="00000000">
      <w:pPr>
        <w:spacing w:line="360" w:lineRule="auto"/>
        <w:ind w:firstLineChars="225" w:firstLine="495"/>
        <w:rPr>
          <w:sz w:val="22"/>
          <w:szCs w:val="20"/>
        </w:rPr>
      </w:pPr>
      <w:r>
        <w:rPr>
          <w:rFonts w:hint="eastAsia"/>
          <w:sz w:val="22"/>
          <w:szCs w:val="20"/>
        </w:rPr>
        <w:t>3</w:t>
      </w:r>
      <w:r>
        <w:rPr>
          <w:rFonts w:hint="eastAsia"/>
          <w:sz w:val="22"/>
          <w:szCs w:val="20"/>
        </w:rPr>
        <w:t>、</w:t>
      </w:r>
      <w:r>
        <w:rPr>
          <w:sz w:val="22"/>
          <w:szCs w:val="20"/>
        </w:rPr>
        <w:t>随着</w:t>
      </w:r>
      <w:r>
        <w:rPr>
          <w:rFonts w:hint="eastAsia"/>
          <w:sz w:val="22"/>
          <w:szCs w:val="20"/>
        </w:rPr>
        <w:t>科技发展，本标准中的技术规范势必会出现过时的情况，也会出现新的技术要求，因此本</w:t>
      </w:r>
      <w:r>
        <w:rPr>
          <w:sz w:val="22"/>
          <w:szCs w:val="20"/>
        </w:rPr>
        <w:t>标准执行过程中</w:t>
      </w:r>
      <w:r>
        <w:rPr>
          <w:rFonts w:hint="eastAsia"/>
          <w:sz w:val="22"/>
          <w:szCs w:val="20"/>
        </w:rPr>
        <w:t>要不断对</w:t>
      </w:r>
      <w:r>
        <w:rPr>
          <w:sz w:val="22"/>
          <w:szCs w:val="20"/>
        </w:rPr>
        <w:t>内容进行修订</w:t>
      </w:r>
      <w:r>
        <w:rPr>
          <w:rFonts w:hint="eastAsia"/>
          <w:sz w:val="22"/>
          <w:szCs w:val="20"/>
        </w:rPr>
        <w:t>和补充</w:t>
      </w:r>
      <w:r>
        <w:rPr>
          <w:sz w:val="22"/>
          <w:szCs w:val="20"/>
        </w:rPr>
        <w:t>。</w:t>
      </w:r>
    </w:p>
    <w:p w14:paraId="5B8507EC" w14:textId="77777777" w:rsidR="00D10CCF" w:rsidRDefault="00000000">
      <w:pPr>
        <w:spacing w:line="360" w:lineRule="auto"/>
        <w:ind w:firstLine="482"/>
        <w:rPr>
          <w:sz w:val="22"/>
          <w:szCs w:val="20"/>
        </w:rPr>
      </w:pPr>
      <w:r>
        <w:rPr>
          <w:rFonts w:hint="eastAsia"/>
          <w:sz w:val="22"/>
          <w:szCs w:val="20"/>
        </w:rPr>
        <w:t>4</w:t>
      </w:r>
      <w:r>
        <w:rPr>
          <w:rFonts w:hint="eastAsia"/>
          <w:sz w:val="22"/>
          <w:szCs w:val="20"/>
        </w:rPr>
        <w:t>、</w:t>
      </w:r>
      <w:r>
        <w:rPr>
          <w:sz w:val="22"/>
          <w:szCs w:val="20"/>
        </w:rPr>
        <w:t>希望</w:t>
      </w:r>
      <w:r>
        <w:rPr>
          <w:rFonts w:hint="eastAsia"/>
          <w:sz w:val="22"/>
          <w:szCs w:val="20"/>
        </w:rPr>
        <w:t>应用本标准的</w:t>
      </w:r>
      <w:r>
        <w:rPr>
          <w:sz w:val="22"/>
          <w:szCs w:val="20"/>
        </w:rPr>
        <w:t>单位</w:t>
      </w:r>
      <w:r>
        <w:rPr>
          <w:rFonts w:hint="eastAsia"/>
          <w:sz w:val="22"/>
          <w:szCs w:val="20"/>
        </w:rPr>
        <w:t>在使用过程中</w:t>
      </w:r>
      <w:r>
        <w:rPr>
          <w:sz w:val="22"/>
          <w:szCs w:val="20"/>
        </w:rPr>
        <w:t>对</w:t>
      </w:r>
      <w:r>
        <w:rPr>
          <w:rFonts w:hint="eastAsia"/>
          <w:sz w:val="22"/>
          <w:szCs w:val="20"/>
        </w:rPr>
        <w:t>其</w:t>
      </w:r>
      <w:r>
        <w:rPr>
          <w:sz w:val="22"/>
          <w:szCs w:val="20"/>
        </w:rPr>
        <w:t>中出现的问题</w:t>
      </w:r>
      <w:r>
        <w:rPr>
          <w:rFonts w:hint="eastAsia"/>
          <w:sz w:val="22"/>
          <w:szCs w:val="20"/>
        </w:rPr>
        <w:t>和不足</w:t>
      </w:r>
      <w:r>
        <w:rPr>
          <w:sz w:val="22"/>
          <w:szCs w:val="20"/>
        </w:rPr>
        <w:t>给予反馈，以便</w:t>
      </w:r>
      <w:r>
        <w:rPr>
          <w:rFonts w:hint="eastAsia"/>
          <w:sz w:val="22"/>
          <w:szCs w:val="20"/>
        </w:rPr>
        <w:t>再进行</w:t>
      </w:r>
      <w:r>
        <w:rPr>
          <w:sz w:val="22"/>
          <w:szCs w:val="20"/>
        </w:rPr>
        <w:t>修订</w:t>
      </w:r>
      <w:r>
        <w:rPr>
          <w:rFonts w:hint="eastAsia"/>
          <w:sz w:val="22"/>
          <w:szCs w:val="20"/>
        </w:rPr>
        <w:t>和</w:t>
      </w:r>
      <w:r>
        <w:rPr>
          <w:sz w:val="22"/>
          <w:szCs w:val="20"/>
        </w:rPr>
        <w:t>补充。</w:t>
      </w:r>
    </w:p>
    <w:p w14:paraId="5FC1A608" w14:textId="77777777" w:rsidR="00D10CCF" w:rsidRDefault="00000000">
      <w:pPr>
        <w:spacing w:line="360" w:lineRule="auto"/>
        <w:ind w:firstLine="482"/>
        <w:rPr>
          <w:sz w:val="22"/>
          <w:szCs w:val="20"/>
        </w:rPr>
      </w:pPr>
      <w:r>
        <w:rPr>
          <w:rFonts w:hint="eastAsia"/>
          <w:sz w:val="22"/>
          <w:szCs w:val="20"/>
        </w:rPr>
        <w:t>5</w:t>
      </w:r>
      <w:r>
        <w:rPr>
          <w:rFonts w:hint="eastAsia"/>
          <w:sz w:val="22"/>
          <w:szCs w:val="20"/>
        </w:rPr>
        <w:t>、成立市、乡、村三级专项工作组，明确技术指导责任，村“两委”负责农户动员与落实。开展分层培训，针对农户讲解草种选择、播种技巧等实操内容，发放简易手册。</w:t>
      </w:r>
    </w:p>
    <w:p w14:paraId="12EF273D" w14:textId="77777777" w:rsidR="00D10CCF" w:rsidRDefault="00000000">
      <w:pPr>
        <w:spacing w:line="360" w:lineRule="auto"/>
        <w:ind w:firstLine="482"/>
        <w:rPr>
          <w:sz w:val="22"/>
          <w:szCs w:val="20"/>
        </w:rPr>
      </w:pPr>
      <w:r>
        <w:rPr>
          <w:rFonts w:hint="eastAsia"/>
          <w:sz w:val="22"/>
          <w:szCs w:val="20"/>
        </w:rPr>
        <w:t>6</w:t>
      </w:r>
      <w:r>
        <w:rPr>
          <w:rFonts w:hint="eastAsia"/>
          <w:sz w:val="22"/>
          <w:szCs w:val="20"/>
        </w:rPr>
        <w:t>、优先选用燕麦、箭筈豌豆等耐寒耐旱草种，采用混播模式提升存活率与产量。播种前深耕</w:t>
      </w:r>
      <w:r>
        <w:rPr>
          <w:rFonts w:hint="eastAsia"/>
          <w:sz w:val="22"/>
          <w:szCs w:val="20"/>
        </w:rPr>
        <w:t>15-20cm</w:t>
      </w:r>
      <w:r>
        <w:rPr>
          <w:rFonts w:hint="eastAsia"/>
          <w:sz w:val="22"/>
          <w:szCs w:val="20"/>
        </w:rPr>
        <w:t>、清除杂物，施农家肥与磷肥作基肥；按海拔确定播种时间，</w:t>
      </w:r>
      <w:r>
        <w:rPr>
          <w:rFonts w:hint="eastAsia"/>
          <w:sz w:val="22"/>
          <w:szCs w:val="20"/>
        </w:rPr>
        <w:t>4500</w:t>
      </w:r>
      <w:r>
        <w:rPr>
          <w:rFonts w:hint="eastAsia"/>
          <w:sz w:val="22"/>
          <w:szCs w:val="20"/>
        </w:rPr>
        <w:t>米以上区域于</w:t>
      </w:r>
      <w:r>
        <w:rPr>
          <w:rFonts w:hint="eastAsia"/>
          <w:sz w:val="22"/>
          <w:szCs w:val="20"/>
        </w:rPr>
        <w:t>5</w:t>
      </w:r>
      <w:r>
        <w:rPr>
          <w:rFonts w:hint="eastAsia"/>
          <w:sz w:val="22"/>
          <w:szCs w:val="20"/>
        </w:rPr>
        <w:t>月下旬播种。出苗后及时除草、少量补肥，定期巡查防治病虫害，避免过度放牧破坏。</w:t>
      </w:r>
    </w:p>
    <w:p w14:paraId="198DD66F" w14:textId="77777777" w:rsidR="00D10CCF" w:rsidRDefault="00000000">
      <w:pPr>
        <w:spacing w:line="360" w:lineRule="auto"/>
        <w:ind w:firstLine="482"/>
        <w:rPr>
          <w:color w:val="000000"/>
          <w:sz w:val="22"/>
          <w:szCs w:val="20"/>
        </w:rPr>
      </w:pPr>
      <w:r>
        <w:rPr>
          <w:rFonts w:hint="eastAsia"/>
          <w:sz w:val="22"/>
          <w:szCs w:val="20"/>
        </w:rPr>
        <w:t>7</w:t>
      </w:r>
      <w:r>
        <w:rPr>
          <w:rFonts w:hint="eastAsia"/>
          <w:sz w:val="22"/>
          <w:szCs w:val="20"/>
        </w:rPr>
        <w:t>、采用“试点先行、逐步推广”模式，选择农户积极性高的村庄试点，总结可复制经验后推广。对原有房前屋后植被分类保护，不适宜草种逐步替换，避免一刀切。衔接现有种植习惯，简化复杂流程，提供种子、肥料帮扶，引导农户逐步规范种植，实现从传统种植向标准化种植平稳过渡。</w:t>
      </w:r>
    </w:p>
    <w:p w14:paraId="716810CD" w14:textId="77777777" w:rsidR="00D10CCF" w:rsidRDefault="00000000">
      <w:pPr>
        <w:pStyle w:val="1"/>
        <w:spacing w:before="0" w:after="0"/>
        <w:rPr>
          <w:sz w:val="24"/>
          <w:szCs w:val="40"/>
        </w:rPr>
      </w:pPr>
      <w:bookmarkStart w:id="31" w:name="_Toc176547942"/>
      <w:r>
        <w:rPr>
          <w:sz w:val="24"/>
          <w:szCs w:val="40"/>
        </w:rPr>
        <w:t>九、废止现行有关标准的建议</w:t>
      </w:r>
      <w:bookmarkEnd w:id="31"/>
    </w:p>
    <w:p w14:paraId="40597651" w14:textId="77777777" w:rsidR="00D10CCF" w:rsidRDefault="00000000">
      <w:pPr>
        <w:spacing w:beforeLines="50" w:before="156" w:line="360" w:lineRule="auto"/>
        <w:ind w:firstLine="482"/>
        <w:rPr>
          <w:color w:val="000000"/>
          <w:sz w:val="22"/>
          <w:szCs w:val="20"/>
        </w:rPr>
      </w:pPr>
      <w:r>
        <w:rPr>
          <w:color w:val="000000"/>
          <w:sz w:val="22"/>
          <w:szCs w:val="20"/>
        </w:rPr>
        <w:t>无。</w:t>
      </w:r>
    </w:p>
    <w:p w14:paraId="431CE65B" w14:textId="77777777" w:rsidR="00D10CCF" w:rsidRDefault="00000000">
      <w:pPr>
        <w:pStyle w:val="1"/>
        <w:spacing w:before="0" w:after="0"/>
        <w:rPr>
          <w:sz w:val="24"/>
          <w:szCs w:val="40"/>
        </w:rPr>
      </w:pPr>
      <w:bookmarkStart w:id="32" w:name="_Toc176547943"/>
      <w:r>
        <w:rPr>
          <w:sz w:val="24"/>
          <w:szCs w:val="40"/>
        </w:rPr>
        <w:t>十、其他应予说明的事项</w:t>
      </w:r>
      <w:bookmarkEnd w:id="32"/>
    </w:p>
    <w:p w14:paraId="46BDFE3C" w14:textId="77777777" w:rsidR="00D10CCF" w:rsidRDefault="00000000">
      <w:pPr>
        <w:spacing w:beforeLines="50" w:before="156" w:line="360" w:lineRule="auto"/>
        <w:ind w:firstLine="482"/>
        <w:rPr>
          <w:rFonts w:ascii="宋体" w:hAnsi="宋体" w:cs="宋体" w:hint="eastAsia"/>
          <w:b/>
          <w:bCs/>
          <w:sz w:val="24"/>
          <w:szCs w:val="24"/>
        </w:rPr>
      </w:pPr>
      <w:r>
        <w:rPr>
          <w:color w:val="000000"/>
          <w:sz w:val="22"/>
          <w:szCs w:val="20"/>
        </w:rPr>
        <w:t>无。</w:t>
      </w:r>
    </w:p>
    <w:bookmarkEnd w:id="1"/>
    <w:p w14:paraId="118F0DAF" w14:textId="77777777" w:rsidR="00D10CCF" w:rsidRDefault="00D10CCF">
      <w:pPr>
        <w:pStyle w:val="1"/>
        <w:spacing w:before="0" w:after="0"/>
        <w:rPr>
          <w:color w:val="000000"/>
          <w:sz w:val="24"/>
        </w:rPr>
      </w:pPr>
    </w:p>
    <w:sectPr w:rsidR="00D10CCF">
      <w:footerReference w:type="even" r:id="rId8"/>
      <w:footerReference w:type="default" r:id="rId9"/>
      <w:pgSz w:w="11906" w:h="16838"/>
      <w:pgMar w:top="1843" w:right="1558" w:bottom="1702"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1C332" w14:textId="77777777" w:rsidR="00916595" w:rsidRDefault="00916595">
      <w:r>
        <w:separator/>
      </w:r>
    </w:p>
  </w:endnote>
  <w:endnote w:type="continuationSeparator" w:id="0">
    <w:p w14:paraId="005EB0FE" w14:textId="77777777" w:rsidR="00916595" w:rsidRDefault="0091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NewRomanPSMT">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9A38A" w14:textId="77777777" w:rsidR="00D10CCF" w:rsidRDefault="00000000">
    <w:pPr>
      <w:pStyle w:val="ac"/>
      <w:framePr w:wrap="around" w:vAnchor="text" w:hAnchor="margin" w:xAlign="center" w:y="1"/>
      <w:rPr>
        <w:rStyle w:val="af1"/>
      </w:rPr>
    </w:pPr>
    <w:r>
      <w:fldChar w:fldCharType="begin"/>
    </w:r>
    <w:r>
      <w:rPr>
        <w:rStyle w:val="af1"/>
      </w:rPr>
      <w:instrText xml:space="preserve">PAGE  </w:instrText>
    </w:r>
    <w:r>
      <w:fldChar w:fldCharType="end"/>
    </w:r>
  </w:p>
  <w:p w14:paraId="08B3C798" w14:textId="77777777" w:rsidR="00D10CCF" w:rsidRDefault="00D10CCF">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1A48C" w14:textId="77777777" w:rsidR="00D10CCF" w:rsidRDefault="00000000">
    <w:pPr>
      <w:pStyle w:val="ac"/>
      <w:jc w:val="center"/>
    </w:pPr>
    <w:r>
      <w:fldChar w:fldCharType="begin"/>
    </w:r>
    <w:r>
      <w:instrText xml:space="preserve"> PAGE   \* MERGEFORMAT </w:instrText>
    </w:r>
    <w:r>
      <w:fldChar w:fldCharType="separate"/>
    </w:r>
    <w:r>
      <w:rPr>
        <w:lang w:val="zh-CN"/>
      </w:rPr>
      <w:t>8</w:t>
    </w:r>
    <w:r>
      <w:rPr>
        <w:lang w:val="zh-CN"/>
      </w:rPr>
      <w:fldChar w:fldCharType="end"/>
    </w:r>
  </w:p>
  <w:p w14:paraId="59F259B6" w14:textId="77777777" w:rsidR="00D10CCF" w:rsidRDefault="00D10CCF">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FFB85" w14:textId="77777777" w:rsidR="00916595" w:rsidRDefault="00916595">
      <w:r>
        <w:separator/>
      </w:r>
    </w:p>
  </w:footnote>
  <w:footnote w:type="continuationSeparator" w:id="0">
    <w:p w14:paraId="1276FD2F" w14:textId="77777777" w:rsidR="00916595" w:rsidRDefault="009165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
      <w:suff w:val="nothing"/>
      <w:lvlText w:val="%1%2　"/>
      <w:lvlJc w:val="left"/>
      <w:pPr>
        <w:ind w:left="0" w:firstLine="0"/>
      </w:pPr>
      <w:rPr>
        <w:rFonts w:ascii="黑体" w:eastAsia="黑体" w:hint="eastAsia"/>
        <w:b w:val="0"/>
        <w:i w:val="0"/>
        <w:sz w:val="21"/>
      </w:rPr>
    </w:lvl>
    <w:lvl w:ilvl="2">
      <w:start w:val="1"/>
      <w:numFmt w:val="decimal"/>
      <w:pStyle w:val="a0"/>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18851722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420"/>
  <w:drawingGridVerticalSpacing w:val="156"/>
  <w:noPunctuationKerning/>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NkMzVhNTA1NWMzZDc0MDk3Nzc1ODUzODEwMDUwODEifQ=="/>
    <w:docVar w:name="EN.InstantFormat" w:val="&lt;ENInstantFormat&gt;&lt;Enabled&gt;1&lt;/Enabled&gt;&lt;ScanUnformatted&gt;1&lt;/ScanUnformatted&gt;&lt;ScanChanges&gt;1&lt;/ScanChanges&gt;&lt;Suspended&gt;0&lt;/Suspended&gt;&lt;/ENInstantFormat&gt;"/>
    <w:docVar w:name="EN.Layout" w:val="&lt;ENLayout&gt;&lt;Style&gt;Chinese Std GBT7714 (numeric) copy&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xe0xw9a5ksss2bepfpxv2exzapw0pspfxrrs&quot;&gt;发酵TMR小论文&lt;record-ids&gt;&lt;item&gt;228&lt;/item&gt;&lt;/record-ids&gt;&lt;/item&gt;&lt;/Libraries&gt;"/>
  </w:docVars>
  <w:rsids>
    <w:rsidRoot w:val="00416669"/>
    <w:rsid w:val="000155DB"/>
    <w:rsid w:val="00017D16"/>
    <w:rsid w:val="000308A3"/>
    <w:rsid w:val="00032402"/>
    <w:rsid w:val="00036A34"/>
    <w:rsid w:val="000429E1"/>
    <w:rsid w:val="000434FB"/>
    <w:rsid w:val="00044247"/>
    <w:rsid w:val="0004735E"/>
    <w:rsid w:val="00057930"/>
    <w:rsid w:val="000610CF"/>
    <w:rsid w:val="00061E22"/>
    <w:rsid w:val="00076D67"/>
    <w:rsid w:val="0008074C"/>
    <w:rsid w:val="000B474F"/>
    <w:rsid w:val="000E0375"/>
    <w:rsid w:val="000F7801"/>
    <w:rsid w:val="00112EE8"/>
    <w:rsid w:val="00113F8F"/>
    <w:rsid w:val="001155D9"/>
    <w:rsid w:val="00122CF2"/>
    <w:rsid w:val="0012627C"/>
    <w:rsid w:val="00126374"/>
    <w:rsid w:val="0013098F"/>
    <w:rsid w:val="00132DB4"/>
    <w:rsid w:val="001372F7"/>
    <w:rsid w:val="00137BD4"/>
    <w:rsid w:val="00140742"/>
    <w:rsid w:val="00147E5E"/>
    <w:rsid w:val="001650ED"/>
    <w:rsid w:val="00173D9B"/>
    <w:rsid w:val="0017441B"/>
    <w:rsid w:val="001877A5"/>
    <w:rsid w:val="001A3DFC"/>
    <w:rsid w:val="001A3E3C"/>
    <w:rsid w:val="001A6550"/>
    <w:rsid w:val="001D0503"/>
    <w:rsid w:val="001E428B"/>
    <w:rsid w:val="001E72A2"/>
    <w:rsid w:val="001F1BFE"/>
    <w:rsid w:val="001F5979"/>
    <w:rsid w:val="001F6496"/>
    <w:rsid w:val="00230B2D"/>
    <w:rsid w:val="002313E0"/>
    <w:rsid w:val="00231604"/>
    <w:rsid w:val="00232FFF"/>
    <w:rsid w:val="00237F30"/>
    <w:rsid w:val="00240E83"/>
    <w:rsid w:val="00246C40"/>
    <w:rsid w:val="002538BD"/>
    <w:rsid w:val="00255BC8"/>
    <w:rsid w:val="00256EDA"/>
    <w:rsid w:val="00257083"/>
    <w:rsid w:val="00257498"/>
    <w:rsid w:val="002574A2"/>
    <w:rsid w:val="00264E4C"/>
    <w:rsid w:val="00266508"/>
    <w:rsid w:val="002679DB"/>
    <w:rsid w:val="002A2BE5"/>
    <w:rsid w:val="002A38D8"/>
    <w:rsid w:val="002B5E17"/>
    <w:rsid w:val="002C3275"/>
    <w:rsid w:val="002C5FEC"/>
    <w:rsid w:val="002D17E1"/>
    <w:rsid w:val="002D653D"/>
    <w:rsid w:val="002E35C6"/>
    <w:rsid w:val="002F1A92"/>
    <w:rsid w:val="002F773B"/>
    <w:rsid w:val="002F78D3"/>
    <w:rsid w:val="00301EF9"/>
    <w:rsid w:val="00315468"/>
    <w:rsid w:val="00324544"/>
    <w:rsid w:val="0033768E"/>
    <w:rsid w:val="00353076"/>
    <w:rsid w:val="00355292"/>
    <w:rsid w:val="00357EA9"/>
    <w:rsid w:val="003616FA"/>
    <w:rsid w:val="0036445F"/>
    <w:rsid w:val="003647ED"/>
    <w:rsid w:val="00371521"/>
    <w:rsid w:val="003763C5"/>
    <w:rsid w:val="00376C0E"/>
    <w:rsid w:val="00377593"/>
    <w:rsid w:val="00384379"/>
    <w:rsid w:val="00395E51"/>
    <w:rsid w:val="00397219"/>
    <w:rsid w:val="003A467C"/>
    <w:rsid w:val="003A7FFA"/>
    <w:rsid w:val="003B4101"/>
    <w:rsid w:val="003B4925"/>
    <w:rsid w:val="003C0E69"/>
    <w:rsid w:val="003D5430"/>
    <w:rsid w:val="003E41F0"/>
    <w:rsid w:val="003E6AD8"/>
    <w:rsid w:val="004008BE"/>
    <w:rsid w:val="00401F02"/>
    <w:rsid w:val="00403501"/>
    <w:rsid w:val="0041174A"/>
    <w:rsid w:val="00412FA3"/>
    <w:rsid w:val="00416243"/>
    <w:rsid w:val="00416669"/>
    <w:rsid w:val="004262B4"/>
    <w:rsid w:val="00434FDA"/>
    <w:rsid w:val="0043644F"/>
    <w:rsid w:val="004369B7"/>
    <w:rsid w:val="00441546"/>
    <w:rsid w:val="00441DDE"/>
    <w:rsid w:val="00443A22"/>
    <w:rsid w:val="0045024A"/>
    <w:rsid w:val="004558C5"/>
    <w:rsid w:val="004817B8"/>
    <w:rsid w:val="0048331E"/>
    <w:rsid w:val="00487AD2"/>
    <w:rsid w:val="00487FAD"/>
    <w:rsid w:val="004A3AE7"/>
    <w:rsid w:val="004A4D6E"/>
    <w:rsid w:val="004B6B44"/>
    <w:rsid w:val="004C3612"/>
    <w:rsid w:val="004C40C4"/>
    <w:rsid w:val="004C500C"/>
    <w:rsid w:val="004C7768"/>
    <w:rsid w:val="004D3A8C"/>
    <w:rsid w:val="004D7696"/>
    <w:rsid w:val="004E670F"/>
    <w:rsid w:val="004F338A"/>
    <w:rsid w:val="004F7B86"/>
    <w:rsid w:val="00503FBF"/>
    <w:rsid w:val="00527ABD"/>
    <w:rsid w:val="00530419"/>
    <w:rsid w:val="00532D0E"/>
    <w:rsid w:val="00533B44"/>
    <w:rsid w:val="005436E7"/>
    <w:rsid w:val="0055067B"/>
    <w:rsid w:val="0055090C"/>
    <w:rsid w:val="005573B1"/>
    <w:rsid w:val="00564B6D"/>
    <w:rsid w:val="00571127"/>
    <w:rsid w:val="00571E77"/>
    <w:rsid w:val="0057251D"/>
    <w:rsid w:val="00572906"/>
    <w:rsid w:val="00576CFC"/>
    <w:rsid w:val="005850C6"/>
    <w:rsid w:val="00594619"/>
    <w:rsid w:val="00595AF8"/>
    <w:rsid w:val="0059745A"/>
    <w:rsid w:val="00597601"/>
    <w:rsid w:val="005A3DE9"/>
    <w:rsid w:val="005A7B28"/>
    <w:rsid w:val="005B3678"/>
    <w:rsid w:val="005C1DB7"/>
    <w:rsid w:val="005C3740"/>
    <w:rsid w:val="005D70F9"/>
    <w:rsid w:val="005E25C4"/>
    <w:rsid w:val="005F21F2"/>
    <w:rsid w:val="005F7967"/>
    <w:rsid w:val="006136A1"/>
    <w:rsid w:val="00613B1E"/>
    <w:rsid w:val="00617DE2"/>
    <w:rsid w:val="00617E82"/>
    <w:rsid w:val="006237C9"/>
    <w:rsid w:val="006274F4"/>
    <w:rsid w:val="006359DA"/>
    <w:rsid w:val="00642959"/>
    <w:rsid w:val="00644454"/>
    <w:rsid w:val="0064625B"/>
    <w:rsid w:val="00647006"/>
    <w:rsid w:val="006520B7"/>
    <w:rsid w:val="006615F3"/>
    <w:rsid w:val="00662C30"/>
    <w:rsid w:val="00673243"/>
    <w:rsid w:val="00676D14"/>
    <w:rsid w:val="00677237"/>
    <w:rsid w:val="006801B7"/>
    <w:rsid w:val="00686267"/>
    <w:rsid w:val="006876D1"/>
    <w:rsid w:val="00692CFC"/>
    <w:rsid w:val="006A1F6A"/>
    <w:rsid w:val="006C0880"/>
    <w:rsid w:val="006C11CD"/>
    <w:rsid w:val="006C52CD"/>
    <w:rsid w:val="006D3074"/>
    <w:rsid w:val="006D5BF9"/>
    <w:rsid w:val="006E08FA"/>
    <w:rsid w:val="006E0E00"/>
    <w:rsid w:val="006E4C06"/>
    <w:rsid w:val="006F1DD4"/>
    <w:rsid w:val="006F237B"/>
    <w:rsid w:val="006F3702"/>
    <w:rsid w:val="006F740A"/>
    <w:rsid w:val="00701F8B"/>
    <w:rsid w:val="007038ED"/>
    <w:rsid w:val="00706039"/>
    <w:rsid w:val="007227A4"/>
    <w:rsid w:val="00722A10"/>
    <w:rsid w:val="00732883"/>
    <w:rsid w:val="007356A0"/>
    <w:rsid w:val="007508FD"/>
    <w:rsid w:val="00750DD8"/>
    <w:rsid w:val="0075399B"/>
    <w:rsid w:val="00757F83"/>
    <w:rsid w:val="007665CB"/>
    <w:rsid w:val="00777351"/>
    <w:rsid w:val="00792549"/>
    <w:rsid w:val="00793A3A"/>
    <w:rsid w:val="007A1632"/>
    <w:rsid w:val="007A1885"/>
    <w:rsid w:val="007A2731"/>
    <w:rsid w:val="007B11B3"/>
    <w:rsid w:val="007B6620"/>
    <w:rsid w:val="007B75B7"/>
    <w:rsid w:val="007C4CB1"/>
    <w:rsid w:val="007D1E41"/>
    <w:rsid w:val="007E63DA"/>
    <w:rsid w:val="007F0C38"/>
    <w:rsid w:val="007F5CB8"/>
    <w:rsid w:val="007F7B8C"/>
    <w:rsid w:val="008114DA"/>
    <w:rsid w:val="008127BC"/>
    <w:rsid w:val="00814B61"/>
    <w:rsid w:val="008242BD"/>
    <w:rsid w:val="0082475F"/>
    <w:rsid w:val="00827333"/>
    <w:rsid w:val="00835A6F"/>
    <w:rsid w:val="00836F37"/>
    <w:rsid w:val="00837F17"/>
    <w:rsid w:val="0084113C"/>
    <w:rsid w:val="00847886"/>
    <w:rsid w:val="00847A63"/>
    <w:rsid w:val="008535A7"/>
    <w:rsid w:val="00860918"/>
    <w:rsid w:val="0086606A"/>
    <w:rsid w:val="008678ED"/>
    <w:rsid w:val="00873984"/>
    <w:rsid w:val="0088082F"/>
    <w:rsid w:val="008961C2"/>
    <w:rsid w:val="008962BA"/>
    <w:rsid w:val="00897E59"/>
    <w:rsid w:val="008A2DD2"/>
    <w:rsid w:val="008A2E71"/>
    <w:rsid w:val="008A3069"/>
    <w:rsid w:val="008A49C3"/>
    <w:rsid w:val="008B3504"/>
    <w:rsid w:val="008B7E15"/>
    <w:rsid w:val="008C3EDA"/>
    <w:rsid w:val="008E5F14"/>
    <w:rsid w:val="008E5F71"/>
    <w:rsid w:val="008E66D9"/>
    <w:rsid w:val="008F08FA"/>
    <w:rsid w:val="008F2E1B"/>
    <w:rsid w:val="008F773A"/>
    <w:rsid w:val="00904055"/>
    <w:rsid w:val="00907DBA"/>
    <w:rsid w:val="00914A4F"/>
    <w:rsid w:val="0091549B"/>
    <w:rsid w:val="00916595"/>
    <w:rsid w:val="009215F0"/>
    <w:rsid w:val="00922670"/>
    <w:rsid w:val="00935406"/>
    <w:rsid w:val="00945B8A"/>
    <w:rsid w:val="0095204F"/>
    <w:rsid w:val="0095404A"/>
    <w:rsid w:val="00973876"/>
    <w:rsid w:val="00980FDD"/>
    <w:rsid w:val="009812CC"/>
    <w:rsid w:val="00986C80"/>
    <w:rsid w:val="009951C7"/>
    <w:rsid w:val="009966C3"/>
    <w:rsid w:val="0099687E"/>
    <w:rsid w:val="009A13B4"/>
    <w:rsid w:val="009A300F"/>
    <w:rsid w:val="009B09CB"/>
    <w:rsid w:val="009B1404"/>
    <w:rsid w:val="009C1890"/>
    <w:rsid w:val="009C1E98"/>
    <w:rsid w:val="009E25E4"/>
    <w:rsid w:val="009F110C"/>
    <w:rsid w:val="009F31FF"/>
    <w:rsid w:val="009F64A3"/>
    <w:rsid w:val="00A1717E"/>
    <w:rsid w:val="00A21B84"/>
    <w:rsid w:val="00A255CB"/>
    <w:rsid w:val="00A26331"/>
    <w:rsid w:val="00A2746C"/>
    <w:rsid w:val="00A27F7F"/>
    <w:rsid w:val="00A447CB"/>
    <w:rsid w:val="00A44C95"/>
    <w:rsid w:val="00A464AD"/>
    <w:rsid w:val="00A46547"/>
    <w:rsid w:val="00A542B0"/>
    <w:rsid w:val="00A5557B"/>
    <w:rsid w:val="00A56B82"/>
    <w:rsid w:val="00A75672"/>
    <w:rsid w:val="00A8486E"/>
    <w:rsid w:val="00AA2DCB"/>
    <w:rsid w:val="00AA3DF7"/>
    <w:rsid w:val="00AA4435"/>
    <w:rsid w:val="00AA7CED"/>
    <w:rsid w:val="00AB1FC9"/>
    <w:rsid w:val="00AB4133"/>
    <w:rsid w:val="00AB46A2"/>
    <w:rsid w:val="00AD492B"/>
    <w:rsid w:val="00AD4E95"/>
    <w:rsid w:val="00AD5C1F"/>
    <w:rsid w:val="00AD5E18"/>
    <w:rsid w:val="00AD78F8"/>
    <w:rsid w:val="00AE08AF"/>
    <w:rsid w:val="00AE1937"/>
    <w:rsid w:val="00AE3118"/>
    <w:rsid w:val="00AE3591"/>
    <w:rsid w:val="00AE35CB"/>
    <w:rsid w:val="00AF7E56"/>
    <w:rsid w:val="00B04616"/>
    <w:rsid w:val="00B072C7"/>
    <w:rsid w:val="00B101AB"/>
    <w:rsid w:val="00B27E34"/>
    <w:rsid w:val="00B30B48"/>
    <w:rsid w:val="00B337E6"/>
    <w:rsid w:val="00B34441"/>
    <w:rsid w:val="00B34D79"/>
    <w:rsid w:val="00B35BB0"/>
    <w:rsid w:val="00B36B7A"/>
    <w:rsid w:val="00B438C1"/>
    <w:rsid w:val="00B528E4"/>
    <w:rsid w:val="00B559A4"/>
    <w:rsid w:val="00B63763"/>
    <w:rsid w:val="00B756D2"/>
    <w:rsid w:val="00B915FB"/>
    <w:rsid w:val="00B92DBA"/>
    <w:rsid w:val="00B97595"/>
    <w:rsid w:val="00BA2455"/>
    <w:rsid w:val="00BA2A59"/>
    <w:rsid w:val="00BA706B"/>
    <w:rsid w:val="00BA7DAE"/>
    <w:rsid w:val="00BB0513"/>
    <w:rsid w:val="00BB71D2"/>
    <w:rsid w:val="00BC0C02"/>
    <w:rsid w:val="00BD1027"/>
    <w:rsid w:val="00BD35CA"/>
    <w:rsid w:val="00BD385F"/>
    <w:rsid w:val="00BD39E2"/>
    <w:rsid w:val="00BD3CA0"/>
    <w:rsid w:val="00BE0B0E"/>
    <w:rsid w:val="00BE3F98"/>
    <w:rsid w:val="00BF1329"/>
    <w:rsid w:val="00BF72F5"/>
    <w:rsid w:val="00BF7605"/>
    <w:rsid w:val="00C04DE6"/>
    <w:rsid w:val="00C0677E"/>
    <w:rsid w:val="00C16421"/>
    <w:rsid w:val="00C22140"/>
    <w:rsid w:val="00C2658A"/>
    <w:rsid w:val="00C31237"/>
    <w:rsid w:val="00C342B3"/>
    <w:rsid w:val="00C35D5A"/>
    <w:rsid w:val="00C42D41"/>
    <w:rsid w:val="00C43B8F"/>
    <w:rsid w:val="00C43FAD"/>
    <w:rsid w:val="00C45F48"/>
    <w:rsid w:val="00C474C8"/>
    <w:rsid w:val="00C54D42"/>
    <w:rsid w:val="00C679AC"/>
    <w:rsid w:val="00C758D8"/>
    <w:rsid w:val="00C81D94"/>
    <w:rsid w:val="00C900AE"/>
    <w:rsid w:val="00C9570B"/>
    <w:rsid w:val="00CA1927"/>
    <w:rsid w:val="00CA3AB7"/>
    <w:rsid w:val="00CA51C8"/>
    <w:rsid w:val="00CB619E"/>
    <w:rsid w:val="00CD6231"/>
    <w:rsid w:val="00CE53AB"/>
    <w:rsid w:val="00D00CC8"/>
    <w:rsid w:val="00D10CCF"/>
    <w:rsid w:val="00D22D66"/>
    <w:rsid w:val="00D250E5"/>
    <w:rsid w:val="00D253BE"/>
    <w:rsid w:val="00D26985"/>
    <w:rsid w:val="00D3529E"/>
    <w:rsid w:val="00D46F1D"/>
    <w:rsid w:val="00D53C06"/>
    <w:rsid w:val="00D60D26"/>
    <w:rsid w:val="00D60EB5"/>
    <w:rsid w:val="00D73891"/>
    <w:rsid w:val="00D749ED"/>
    <w:rsid w:val="00D81652"/>
    <w:rsid w:val="00D81CB9"/>
    <w:rsid w:val="00D90078"/>
    <w:rsid w:val="00D9528D"/>
    <w:rsid w:val="00DA3ED9"/>
    <w:rsid w:val="00DA4986"/>
    <w:rsid w:val="00DC10BE"/>
    <w:rsid w:val="00DD550E"/>
    <w:rsid w:val="00DD56EA"/>
    <w:rsid w:val="00DD694C"/>
    <w:rsid w:val="00DF0229"/>
    <w:rsid w:val="00DF3DAB"/>
    <w:rsid w:val="00DF4E14"/>
    <w:rsid w:val="00DF666A"/>
    <w:rsid w:val="00DF6EA3"/>
    <w:rsid w:val="00DF7946"/>
    <w:rsid w:val="00E1686F"/>
    <w:rsid w:val="00E21921"/>
    <w:rsid w:val="00E33DCF"/>
    <w:rsid w:val="00E373AD"/>
    <w:rsid w:val="00E4036C"/>
    <w:rsid w:val="00E418B3"/>
    <w:rsid w:val="00E52D55"/>
    <w:rsid w:val="00E56FB6"/>
    <w:rsid w:val="00E57815"/>
    <w:rsid w:val="00E62DD5"/>
    <w:rsid w:val="00E8551F"/>
    <w:rsid w:val="00E923DA"/>
    <w:rsid w:val="00E93DBA"/>
    <w:rsid w:val="00E9519E"/>
    <w:rsid w:val="00E96678"/>
    <w:rsid w:val="00E967AE"/>
    <w:rsid w:val="00EA3B73"/>
    <w:rsid w:val="00EB7CF2"/>
    <w:rsid w:val="00EE1047"/>
    <w:rsid w:val="00EF0176"/>
    <w:rsid w:val="00EF4463"/>
    <w:rsid w:val="00F10D01"/>
    <w:rsid w:val="00F11312"/>
    <w:rsid w:val="00F143A4"/>
    <w:rsid w:val="00F21D5B"/>
    <w:rsid w:val="00F2339E"/>
    <w:rsid w:val="00F25756"/>
    <w:rsid w:val="00F266DE"/>
    <w:rsid w:val="00F33865"/>
    <w:rsid w:val="00F4018F"/>
    <w:rsid w:val="00F46585"/>
    <w:rsid w:val="00F465B9"/>
    <w:rsid w:val="00F50FA6"/>
    <w:rsid w:val="00F55084"/>
    <w:rsid w:val="00F62E99"/>
    <w:rsid w:val="00F65A3A"/>
    <w:rsid w:val="00F70A79"/>
    <w:rsid w:val="00F73820"/>
    <w:rsid w:val="00F75167"/>
    <w:rsid w:val="00F765AB"/>
    <w:rsid w:val="00F810F1"/>
    <w:rsid w:val="00F85661"/>
    <w:rsid w:val="00F938C1"/>
    <w:rsid w:val="00FA3307"/>
    <w:rsid w:val="00FB5B64"/>
    <w:rsid w:val="00FC2299"/>
    <w:rsid w:val="00FC7766"/>
    <w:rsid w:val="00FD2844"/>
    <w:rsid w:val="00FD4EFA"/>
    <w:rsid w:val="00FD55D6"/>
    <w:rsid w:val="00FD6815"/>
    <w:rsid w:val="00FD6B91"/>
    <w:rsid w:val="00FE01AF"/>
    <w:rsid w:val="00FE6C94"/>
    <w:rsid w:val="00FF48BF"/>
    <w:rsid w:val="00FF5684"/>
    <w:rsid w:val="01885582"/>
    <w:rsid w:val="02D3570F"/>
    <w:rsid w:val="035769A3"/>
    <w:rsid w:val="040D0C24"/>
    <w:rsid w:val="096309E0"/>
    <w:rsid w:val="0A0E7F26"/>
    <w:rsid w:val="0D7F514F"/>
    <w:rsid w:val="0D8977F9"/>
    <w:rsid w:val="11E00AD1"/>
    <w:rsid w:val="145F774D"/>
    <w:rsid w:val="150E269C"/>
    <w:rsid w:val="166F5222"/>
    <w:rsid w:val="184A31E0"/>
    <w:rsid w:val="18B6296E"/>
    <w:rsid w:val="1ABE4169"/>
    <w:rsid w:val="1E711A49"/>
    <w:rsid w:val="20A67D62"/>
    <w:rsid w:val="249F5110"/>
    <w:rsid w:val="253E083A"/>
    <w:rsid w:val="2AA17567"/>
    <w:rsid w:val="2B122406"/>
    <w:rsid w:val="2C8376D8"/>
    <w:rsid w:val="2DD44894"/>
    <w:rsid w:val="30A071CD"/>
    <w:rsid w:val="3100387E"/>
    <w:rsid w:val="32F41833"/>
    <w:rsid w:val="35D66C79"/>
    <w:rsid w:val="363F0E23"/>
    <w:rsid w:val="366F04F9"/>
    <w:rsid w:val="36C737F5"/>
    <w:rsid w:val="391F59BB"/>
    <w:rsid w:val="39707CB8"/>
    <w:rsid w:val="39CB344D"/>
    <w:rsid w:val="3B2C75A0"/>
    <w:rsid w:val="3EF33504"/>
    <w:rsid w:val="3F2932CF"/>
    <w:rsid w:val="43712A92"/>
    <w:rsid w:val="45C27B57"/>
    <w:rsid w:val="460F3CE9"/>
    <w:rsid w:val="482C3F1D"/>
    <w:rsid w:val="4A5D492C"/>
    <w:rsid w:val="4AD420FB"/>
    <w:rsid w:val="4B433C23"/>
    <w:rsid w:val="4D9E3FA3"/>
    <w:rsid w:val="4E193658"/>
    <w:rsid w:val="4E2D698F"/>
    <w:rsid w:val="4F8242C5"/>
    <w:rsid w:val="52BD4306"/>
    <w:rsid w:val="52C935E2"/>
    <w:rsid w:val="5420452F"/>
    <w:rsid w:val="560D45D3"/>
    <w:rsid w:val="5BAD110F"/>
    <w:rsid w:val="5BC14BBB"/>
    <w:rsid w:val="5C6A7974"/>
    <w:rsid w:val="5C9D7268"/>
    <w:rsid w:val="5F97769F"/>
    <w:rsid w:val="615A37DE"/>
    <w:rsid w:val="633A0287"/>
    <w:rsid w:val="63B36E26"/>
    <w:rsid w:val="64B659E6"/>
    <w:rsid w:val="65965157"/>
    <w:rsid w:val="66AA38F8"/>
    <w:rsid w:val="67B0139B"/>
    <w:rsid w:val="694960C1"/>
    <w:rsid w:val="69F152C0"/>
    <w:rsid w:val="6D2A1A28"/>
    <w:rsid w:val="6E253618"/>
    <w:rsid w:val="6F9E5BF8"/>
    <w:rsid w:val="73CE5A0F"/>
    <w:rsid w:val="77785FC7"/>
    <w:rsid w:val="78EC706A"/>
    <w:rsid w:val="7F6A6C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6FA534"/>
  <w15:docId w15:val="{4D3DB0CE-D6C3-4930-A5E1-0A0678F35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rPr>
      <w:kern w:val="2"/>
      <w:sz w:val="21"/>
      <w:szCs w:val="21"/>
    </w:rPr>
  </w:style>
  <w:style w:type="paragraph" w:styleId="1">
    <w:name w:val="heading 1"/>
    <w:basedOn w:val="a1"/>
    <w:next w:val="a1"/>
    <w:link w:val="10"/>
    <w:uiPriority w:val="9"/>
    <w:qFormat/>
    <w:pPr>
      <w:keepNext/>
      <w:keepLines/>
      <w:spacing w:before="240" w:after="240" w:line="360" w:lineRule="auto"/>
      <w:outlineLvl w:val="0"/>
    </w:pPr>
    <w:rPr>
      <w:b/>
      <w:bCs/>
      <w:kern w:val="44"/>
      <w:sz w:val="28"/>
      <w:szCs w:val="44"/>
    </w:rPr>
  </w:style>
  <w:style w:type="paragraph" w:styleId="2">
    <w:name w:val="heading 2"/>
    <w:basedOn w:val="a1"/>
    <w:next w:val="a1"/>
    <w:link w:val="20"/>
    <w:uiPriority w:val="9"/>
    <w:qFormat/>
    <w:pPr>
      <w:keepNext/>
      <w:keepLines/>
      <w:spacing w:before="240" w:after="240" w:line="360" w:lineRule="auto"/>
      <w:outlineLvl w:val="1"/>
    </w:pPr>
    <w:rPr>
      <w:rFonts w:ascii="等线 Light" w:eastAsia="黑体" w:hAnsi="等线 Light"/>
      <w:bCs/>
      <w:sz w:val="24"/>
      <w:szCs w:val="32"/>
    </w:rPr>
  </w:style>
  <w:style w:type="paragraph" w:styleId="3">
    <w:name w:val="heading 3"/>
    <w:basedOn w:val="a1"/>
    <w:next w:val="a1"/>
    <w:link w:val="30"/>
    <w:uiPriority w:val="9"/>
    <w:unhideWhenUsed/>
    <w:qFormat/>
    <w:pPr>
      <w:keepNext/>
      <w:keepLines/>
      <w:spacing w:line="360" w:lineRule="auto"/>
      <w:outlineLvl w:val="2"/>
    </w:pPr>
    <w:rPr>
      <w:b/>
      <w:bCs/>
      <w:sz w:val="24"/>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caption"/>
    <w:basedOn w:val="a1"/>
    <w:next w:val="a1"/>
    <w:qFormat/>
    <w:rPr>
      <w:rFonts w:ascii="等线 Light" w:eastAsia="黑体" w:hAnsi="等线 Light"/>
      <w:sz w:val="20"/>
      <w:szCs w:val="20"/>
    </w:rPr>
  </w:style>
  <w:style w:type="paragraph" w:styleId="a6">
    <w:name w:val="Body Text"/>
    <w:basedOn w:val="a1"/>
    <w:uiPriority w:val="1"/>
    <w:qFormat/>
    <w:rPr>
      <w:rFonts w:ascii="宋体" w:hAnsi="宋体" w:cs="宋体"/>
      <w:lang w:val="ca-ES" w:eastAsia="ca-ES" w:bidi="ca-ES"/>
    </w:rPr>
  </w:style>
  <w:style w:type="paragraph" w:styleId="TOC3">
    <w:name w:val="toc 3"/>
    <w:basedOn w:val="a1"/>
    <w:next w:val="a1"/>
    <w:autoRedefine/>
    <w:uiPriority w:val="39"/>
    <w:unhideWhenUsed/>
    <w:qFormat/>
    <w:pPr>
      <w:ind w:leftChars="400" w:left="840"/>
    </w:pPr>
  </w:style>
  <w:style w:type="paragraph" w:styleId="a7">
    <w:name w:val="Plain Text"/>
    <w:basedOn w:val="a1"/>
    <w:uiPriority w:val="99"/>
    <w:qFormat/>
    <w:rPr>
      <w:rFonts w:ascii="宋体" w:hAnsi="Courier New" w:cs="宋体"/>
    </w:rPr>
  </w:style>
  <w:style w:type="paragraph" w:styleId="a8">
    <w:name w:val="Date"/>
    <w:basedOn w:val="a1"/>
    <w:next w:val="a1"/>
    <w:link w:val="a9"/>
    <w:qFormat/>
    <w:pPr>
      <w:ind w:leftChars="2500" w:left="100"/>
    </w:pPr>
    <w:rPr>
      <w:szCs w:val="24"/>
    </w:rPr>
  </w:style>
  <w:style w:type="paragraph" w:styleId="aa">
    <w:name w:val="Balloon Text"/>
    <w:basedOn w:val="a1"/>
    <w:link w:val="ab"/>
    <w:unhideWhenUsed/>
    <w:qFormat/>
    <w:rPr>
      <w:sz w:val="18"/>
      <w:szCs w:val="18"/>
    </w:rPr>
  </w:style>
  <w:style w:type="paragraph" w:styleId="ac">
    <w:name w:val="footer"/>
    <w:basedOn w:val="a1"/>
    <w:link w:val="ad"/>
    <w:uiPriority w:val="99"/>
    <w:unhideWhenUsed/>
    <w:qFormat/>
    <w:pPr>
      <w:tabs>
        <w:tab w:val="center" w:pos="4153"/>
        <w:tab w:val="right" w:pos="8306"/>
      </w:tabs>
      <w:snapToGrid w:val="0"/>
      <w:jc w:val="left"/>
    </w:pPr>
    <w:rPr>
      <w:sz w:val="18"/>
      <w:szCs w:val="18"/>
    </w:rPr>
  </w:style>
  <w:style w:type="paragraph" w:styleId="ae">
    <w:name w:val="header"/>
    <w:basedOn w:val="a1"/>
    <w:link w:val="af"/>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autoRedefine/>
    <w:uiPriority w:val="39"/>
    <w:unhideWhenUsed/>
    <w:qFormat/>
    <w:pPr>
      <w:tabs>
        <w:tab w:val="right" w:leader="dot" w:pos="8538"/>
      </w:tabs>
      <w:spacing w:line="360" w:lineRule="auto"/>
    </w:pPr>
  </w:style>
  <w:style w:type="paragraph" w:styleId="TOC2">
    <w:name w:val="toc 2"/>
    <w:basedOn w:val="a1"/>
    <w:next w:val="a1"/>
    <w:autoRedefine/>
    <w:uiPriority w:val="39"/>
    <w:unhideWhenUsed/>
    <w:qFormat/>
    <w:pPr>
      <w:ind w:leftChars="200" w:left="420"/>
    </w:pPr>
  </w:style>
  <w:style w:type="character" w:styleId="af0">
    <w:name w:val="Strong"/>
    <w:qFormat/>
    <w:rPr>
      <w:b/>
    </w:rPr>
  </w:style>
  <w:style w:type="character" w:styleId="af1">
    <w:name w:val="page number"/>
    <w:qFormat/>
  </w:style>
  <w:style w:type="character" w:styleId="af2">
    <w:name w:val="Hyperlink"/>
    <w:uiPriority w:val="99"/>
    <w:unhideWhenUsed/>
    <w:qFormat/>
    <w:rPr>
      <w:color w:val="0563C1"/>
      <w:u w:val="single"/>
    </w:rPr>
  </w:style>
  <w:style w:type="character" w:styleId="af3">
    <w:name w:val="annotation reference"/>
    <w:basedOn w:val="a2"/>
    <w:uiPriority w:val="99"/>
    <w:semiHidden/>
    <w:unhideWhenUsed/>
    <w:qFormat/>
    <w:rPr>
      <w:sz w:val="21"/>
      <w:szCs w:val="21"/>
    </w:rPr>
  </w:style>
  <w:style w:type="character" w:customStyle="1" w:styleId="20">
    <w:name w:val="标题 2 字符"/>
    <w:link w:val="2"/>
    <w:uiPriority w:val="9"/>
    <w:qFormat/>
    <w:rPr>
      <w:rFonts w:ascii="等线 Light" w:eastAsia="黑体" w:hAnsi="等线 Light"/>
      <w:bCs/>
      <w:kern w:val="2"/>
      <w:sz w:val="24"/>
      <w:szCs w:val="32"/>
    </w:rPr>
  </w:style>
  <w:style w:type="character" w:customStyle="1" w:styleId="a9">
    <w:name w:val="日期 字符"/>
    <w:link w:val="a8"/>
    <w:qFormat/>
    <w:rPr>
      <w:rFonts w:ascii="Times New Roman" w:eastAsia="宋体" w:hAnsi="Times New Roman" w:cs="Times New Roman"/>
      <w:kern w:val="2"/>
      <w:sz w:val="21"/>
      <w:szCs w:val="24"/>
    </w:rPr>
  </w:style>
  <w:style w:type="character" w:customStyle="1" w:styleId="ab">
    <w:name w:val="批注框文本 字符"/>
    <w:link w:val="aa"/>
    <w:uiPriority w:val="99"/>
    <w:semiHidden/>
    <w:qFormat/>
    <w:rPr>
      <w:rFonts w:ascii="Times New Roman" w:eastAsia="宋体" w:hAnsi="Times New Roman" w:cs="Times New Roman"/>
      <w:kern w:val="2"/>
      <w:sz w:val="18"/>
      <w:szCs w:val="18"/>
    </w:rPr>
  </w:style>
  <w:style w:type="character" w:customStyle="1" w:styleId="ad">
    <w:name w:val="页脚 字符"/>
    <w:link w:val="ac"/>
    <w:uiPriority w:val="99"/>
    <w:qFormat/>
    <w:rPr>
      <w:rFonts w:ascii="Times New Roman" w:eastAsia="宋体" w:hAnsi="Times New Roman" w:cs="Times New Roman"/>
      <w:sz w:val="18"/>
      <w:szCs w:val="18"/>
    </w:rPr>
  </w:style>
  <w:style w:type="character" w:customStyle="1" w:styleId="af">
    <w:name w:val="页眉 字符"/>
    <w:link w:val="ae"/>
    <w:qFormat/>
    <w:rPr>
      <w:rFonts w:ascii="Times New Roman" w:eastAsia="宋体" w:hAnsi="Times New Roman" w:cs="Times New Roman"/>
      <w:sz w:val="18"/>
      <w:szCs w:val="18"/>
    </w:rPr>
  </w:style>
  <w:style w:type="character" w:customStyle="1" w:styleId="fontstyle01">
    <w:name w:val="fontstyle01"/>
    <w:qFormat/>
    <w:rPr>
      <w:rFonts w:ascii="黑体" w:eastAsia="黑体" w:hAnsi="黑体" w:hint="eastAsia"/>
      <w:color w:val="000000"/>
      <w:sz w:val="32"/>
      <w:szCs w:val="32"/>
    </w:rPr>
  </w:style>
  <w:style w:type="character" w:customStyle="1" w:styleId="11">
    <w:name w:val="未处理的提及1"/>
    <w:uiPriority w:val="99"/>
    <w:unhideWhenUsed/>
    <w:qFormat/>
    <w:rPr>
      <w:color w:val="605E5C"/>
      <w:shd w:val="clear" w:color="auto" w:fill="E1DFDD"/>
    </w:rPr>
  </w:style>
  <w:style w:type="character" w:customStyle="1" w:styleId="Char">
    <w:name w:val="段 Char"/>
    <w:link w:val="af4"/>
    <w:qFormat/>
    <w:rPr>
      <w:rFonts w:ascii="宋体" w:eastAsia="宋体" w:hAnsi="Times New Roman" w:cs="Times New Roman"/>
      <w:kern w:val="0"/>
      <w:szCs w:val="20"/>
    </w:rPr>
  </w:style>
  <w:style w:type="paragraph" w:customStyle="1" w:styleId="af4">
    <w:name w:val="段"/>
    <w:link w:val="Char"/>
    <w:qFormat/>
    <w:pPr>
      <w:tabs>
        <w:tab w:val="center" w:pos="4201"/>
        <w:tab w:val="right" w:leader="dot" w:pos="9298"/>
      </w:tabs>
      <w:autoSpaceDE w:val="0"/>
      <w:autoSpaceDN w:val="0"/>
      <w:ind w:firstLineChars="200" w:firstLine="420"/>
      <w:jc w:val="both"/>
    </w:pPr>
    <w:rPr>
      <w:rFonts w:ascii="宋体"/>
      <w:sz w:val="21"/>
    </w:rPr>
  </w:style>
  <w:style w:type="character" w:customStyle="1" w:styleId="fontstyle11">
    <w:name w:val="fontstyle11"/>
    <w:qFormat/>
    <w:rPr>
      <w:rFonts w:ascii="TimesNewRomanPSMT" w:hAnsi="TimesNewRomanPSMT" w:hint="default"/>
      <w:color w:val="000000"/>
      <w:sz w:val="22"/>
      <w:szCs w:val="22"/>
    </w:rPr>
  </w:style>
  <w:style w:type="character" w:customStyle="1" w:styleId="apple-style-span">
    <w:name w:val="apple-style-span"/>
    <w:semiHidden/>
    <w:qFormat/>
  </w:style>
  <w:style w:type="paragraph" w:styleId="af5">
    <w:name w:val="List Paragraph"/>
    <w:basedOn w:val="a1"/>
    <w:uiPriority w:val="99"/>
    <w:qFormat/>
    <w:pPr>
      <w:ind w:firstLineChars="200" w:firstLine="420"/>
    </w:pPr>
  </w:style>
  <w:style w:type="paragraph" w:customStyle="1" w:styleId="Char1CharCharCharCharCharCharCharCharChar">
    <w:name w:val="Char1 Char Char Char Char Char Char Char Char Char"/>
    <w:basedOn w:val="a1"/>
    <w:qFormat/>
    <w:pPr>
      <w:spacing w:line="360" w:lineRule="auto"/>
    </w:pPr>
    <w:rPr>
      <w:rFonts w:ascii="Tahoma" w:hAnsi="Tahoma"/>
      <w:sz w:val="24"/>
      <w:szCs w:val="20"/>
    </w:rPr>
  </w:style>
  <w:style w:type="paragraph" w:customStyle="1" w:styleId="af6">
    <w:name w:val="图标标题"/>
    <w:basedOn w:val="a5"/>
    <w:qFormat/>
    <w:pPr>
      <w:jc w:val="center"/>
    </w:pPr>
    <w:rPr>
      <w:sz w:val="21"/>
    </w:rPr>
  </w:style>
  <w:style w:type="paragraph" w:customStyle="1" w:styleId="12">
    <w:name w:val="修订1"/>
    <w:uiPriority w:val="99"/>
    <w:unhideWhenUsed/>
    <w:qFormat/>
    <w:rPr>
      <w:kern w:val="2"/>
      <w:sz w:val="21"/>
      <w:szCs w:val="21"/>
    </w:rPr>
  </w:style>
  <w:style w:type="paragraph" w:customStyle="1" w:styleId="EndNoteBibliography">
    <w:name w:val="EndNote Bibliography"/>
    <w:basedOn w:val="a1"/>
    <w:link w:val="EndNoteBibliography0"/>
    <w:qFormat/>
    <w:rPr>
      <w:rFonts w:eastAsia="等线"/>
      <w:sz w:val="20"/>
      <w:szCs w:val="22"/>
    </w:rPr>
  </w:style>
  <w:style w:type="character" w:customStyle="1" w:styleId="EndNoteBibliography0">
    <w:name w:val="EndNote Bibliography 字符"/>
    <w:link w:val="EndNoteBibliography"/>
    <w:qFormat/>
    <w:rPr>
      <w:rFonts w:eastAsia="等线"/>
      <w:kern w:val="2"/>
      <w:szCs w:val="22"/>
    </w:rPr>
  </w:style>
  <w:style w:type="paragraph" w:customStyle="1" w:styleId="EndNoteBibliographyTitle">
    <w:name w:val="EndNote Bibliography Title"/>
    <w:basedOn w:val="a1"/>
    <w:link w:val="EndNoteBibliographyTitle0"/>
    <w:qFormat/>
    <w:pPr>
      <w:jc w:val="center"/>
    </w:pPr>
    <w:rPr>
      <w:sz w:val="20"/>
    </w:rPr>
  </w:style>
  <w:style w:type="character" w:customStyle="1" w:styleId="EndNoteBibliographyTitle0">
    <w:name w:val="EndNote Bibliography Title 字符"/>
    <w:link w:val="EndNoteBibliographyTitle"/>
    <w:qFormat/>
    <w:rPr>
      <w:kern w:val="2"/>
      <w:szCs w:val="21"/>
      <w:lang w:val="en-US" w:eastAsia="zh-CN"/>
    </w:rPr>
  </w:style>
  <w:style w:type="character" w:customStyle="1" w:styleId="10">
    <w:name w:val="标题 1 字符"/>
    <w:link w:val="1"/>
    <w:uiPriority w:val="9"/>
    <w:qFormat/>
    <w:rPr>
      <w:b/>
      <w:bCs/>
      <w:kern w:val="44"/>
      <w:sz w:val="28"/>
      <w:szCs w:val="44"/>
    </w:rPr>
  </w:style>
  <w:style w:type="paragraph" w:customStyle="1" w:styleId="TOC10">
    <w:name w:val="TOC 标题1"/>
    <w:basedOn w:val="1"/>
    <w:next w:val="a1"/>
    <w:uiPriority w:val="39"/>
    <w:unhideWhenUsed/>
    <w:qFormat/>
    <w:pPr>
      <w:widowControl/>
      <w:spacing w:after="0" w:line="259" w:lineRule="auto"/>
      <w:jc w:val="left"/>
      <w:outlineLvl w:val="9"/>
    </w:pPr>
    <w:rPr>
      <w:rFonts w:ascii="等线 Light" w:eastAsia="等线 Light" w:hAnsi="等线 Light"/>
      <w:b w:val="0"/>
      <w:bCs w:val="0"/>
      <w:color w:val="2F5496"/>
      <w:kern w:val="0"/>
      <w:sz w:val="32"/>
      <w:szCs w:val="32"/>
    </w:rPr>
  </w:style>
  <w:style w:type="character" w:customStyle="1" w:styleId="30">
    <w:name w:val="标题 3 字符"/>
    <w:link w:val="3"/>
    <w:uiPriority w:val="9"/>
    <w:qFormat/>
    <w:rPr>
      <w:b/>
      <w:bCs/>
      <w:kern w:val="2"/>
      <w:sz w:val="24"/>
      <w:szCs w:val="32"/>
    </w:rPr>
  </w:style>
  <w:style w:type="character" w:customStyle="1" w:styleId="Char0">
    <w:name w:val="标准文件_段 Char"/>
    <w:link w:val="af7"/>
    <w:qFormat/>
    <w:locked/>
    <w:rPr>
      <w:rFonts w:ascii="宋体"/>
      <w:sz w:val="21"/>
    </w:rPr>
  </w:style>
  <w:style w:type="paragraph" w:customStyle="1" w:styleId="af7">
    <w:name w:val="标准文件_段"/>
    <w:link w:val="Char0"/>
    <w:qFormat/>
    <w:pPr>
      <w:autoSpaceDE w:val="0"/>
      <w:autoSpaceDN w:val="0"/>
      <w:ind w:firstLineChars="200" w:firstLine="200"/>
      <w:jc w:val="both"/>
    </w:pPr>
    <w:rPr>
      <w:rFonts w:ascii="宋体"/>
      <w:sz w:val="21"/>
    </w:rPr>
  </w:style>
  <w:style w:type="paragraph" w:customStyle="1" w:styleId="af8">
    <w:name w:val="标准文件_文件名称"/>
    <w:basedOn w:val="af7"/>
    <w:next w:val="af7"/>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
    <w:name w:val="标准文件_章标题"/>
    <w:next w:val="af7"/>
    <w:autoRedefine/>
    <w:qFormat/>
    <w:pPr>
      <w:numPr>
        <w:ilvl w:val="1"/>
        <w:numId w:val="1"/>
      </w:numPr>
      <w:spacing w:beforeLines="100" w:before="100" w:afterLines="100" w:after="100"/>
      <w:jc w:val="both"/>
      <w:outlineLvl w:val="0"/>
    </w:pPr>
    <w:rPr>
      <w:rFonts w:ascii="黑体" w:eastAsia="黑体"/>
      <w:sz w:val="21"/>
    </w:rPr>
  </w:style>
  <w:style w:type="paragraph" w:customStyle="1" w:styleId="a0">
    <w:name w:val="标准文件_一级条标题"/>
    <w:basedOn w:val="a"/>
    <w:next w:val="af7"/>
    <w:autoRedefine/>
    <w:qFormat/>
    <w:pPr>
      <w:numPr>
        <w:ilvl w:val="2"/>
      </w:numPr>
      <w:spacing w:beforeLines="50" w:before="50" w:afterLines="50" w:after="50"/>
      <w:outlineLvl w:val="1"/>
    </w:pPr>
  </w:style>
  <w:style w:type="paragraph" w:customStyle="1" w:styleId="af9">
    <w:name w:val="标准文件_字母编号列项（一级）"/>
    <w:autoRedefine/>
    <w:qFormat/>
    <w:pPr>
      <w:tabs>
        <w:tab w:val="left" w:pos="851"/>
      </w:tabs>
      <w:ind w:firstLineChars="200" w:firstLine="420"/>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BFD8C-1850-47D2-BE5D-0813EAA0C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1272</Words>
  <Characters>7256</Characters>
  <Application>Microsoft Office Word</Application>
  <DocSecurity>0</DocSecurity>
  <Lines>60</Lines>
  <Paragraphs>17</Paragraphs>
  <ScaleCrop>false</ScaleCrop>
  <Company>Lenovo</Company>
  <LinksUpToDate>false</LinksUpToDate>
  <CharactersWithSpaces>8511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win10</dc:creator>
  <cp:lastModifiedBy>周晓丽</cp:lastModifiedBy>
  <cp:revision>8</cp:revision>
  <cp:lastPrinted>2026-05-12T14:44:00Z</cp:lastPrinted>
  <dcterms:created xsi:type="dcterms:W3CDTF">2025-12-17T06:59:00Z</dcterms:created>
  <dcterms:modified xsi:type="dcterms:W3CDTF">2026-05-16T12:04:00Z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AFA8369427AB411DBA234AE3A6C38B4F_13</vt:lpwstr>
  </property>
  <property fmtid="{D5CDD505-2E9C-101B-9397-08002B2CF9AE}" pid="4" name="KSOTemplateDocerSaveRecord">
    <vt:lpwstr>eyJoZGlkIjoiODJmZDI1MWQzODNiMDU2NGExNzM1NzQ5MmEwYzIxZDUiLCJ1c2VySWQiOiIyNjI4OTk0NjYifQ==</vt:lpwstr>
  </property>
</Properties>
</file>