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BCF01">
      <w:pPr>
        <w:jc w:val="center"/>
        <w:rPr>
          <w:sz w:val="52"/>
          <w:szCs w:val="52"/>
        </w:rPr>
      </w:pPr>
      <w:r>
        <w:rPr>
          <w:sz w:val="52"/>
          <w:szCs w:val="52"/>
        </w:rPr>
        <w:t>团体标准</w:t>
      </w:r>
    </w:p>
    <w:p w14:paraId="77B13FDD">
      <w:pPr>
        <w:jc w:val="center"/>
        <w:rPr>
          <w:rFonts w:hint="eastAsia" w:ascii="黑体" w:hAnsi="黑体" w:eastAsia="黑体"/>
          <w:sz w:val="48"/>
          <w:szCs w:val="48"/>
        </w:rPr>
      </w:pPr>
    </w:p>
    <w:p w14:paraId="65EBEDB4">
      <w:pPr>
        <w:jc w:val="center"/>
        <w:rPr>
          <w:rFonts w:hint="eastAsia" w:ascii="黑体" w:hAnsi="黑体" w:eastAsia="黑体"/>
          <w:sz w:val="44"/>
          <w:szCs w:val="44"/>
        </w:rPr>
      </w:pPr>
      <w:r>
        <w:rPr>
          <w:rFonts w:hint="eastAsia" w:ascii="黑体" w:hAnsi="黑体" w:eastAsia="黑体"/>
          <w:sz w:val="44"/>
          <w:szCs w:val="44"/>
        </w:rPr>
        <w:t>《</w:t>
      </w:r>
      <w:r>
        <w:rPr>
          <w:rFonts w:hint="eastAsia" w:ascii="黑体" w:hAnsi="黑体" w:eastAsia="黑体"/>
          <w:sz w:val="44"/>
          <w:szCs w:val="44"/>
          <w:lang w:val="en-US" w:eastAsia="zh-CN"/>
        </w:rPr>
        <w:t>藏北那曲极度高寒牧区燕麦生产技术规程</w:t>
      </w:r>
      <w:r>
        <w:rPr>
          <w:rFonts w:hint="eastAsia" w:ascii="黑体" w:hAnsi="黑体" w:eastAsia="黑体"/>
          <w:sz w:val="44"/>
          <w:szCs w:val="44"/>
        </w:rPr>
        <w:t>》</w:t>
      </w:r>
    </w:p>
    <w:p w14:paraId="270B0C4D">
      <w:pPr>
        <w:spacing w:before="312" w:beforeLines="100" w:after="312" w:afterLines="100" w:line="480" w:lineRule="auto"/>
        <w:ind w:left="-67"/>
        <w:jc w:val="center"/>
        <w:rPr>
          <w:rFonts w:hint="eastAsia" w:ascii="黑体" w:hAnsi="黑体" w:eastAsia="黑体"/>
          <w:sz w:val="44"/>
          <w:szCs w:val="44"/>
        </w:rPr>
      </w:pPr>
      <w:r>
        <w:rPr>
          <w:rFonts w:ascii="黑体" w:hAnsi="黑体" w:eastAsia="黑体"/>
          <w:sz w:val="44"/>
          <w:szCs w:val="44"/>
        </w:rPr>
        <w:t>编制说明</w:t>
      </w:r>
    </w:p>
    <w:p w14:paraId="6DE3ADC0">
      <w:pPr>
        <w:spacing w:line="360" w:lineRule="auto"/>
        <w:rPr>
          <w:bCs/>
          <w:sz w:val="36"/>
          <w:szCs w:val="36"/>
        </w:rPr>
      </w:pPr>
    </w:p>
    <w:p w14:paraId="528D9F67">
      <w:pPr>
        <w:spacing w:line="360" w:lineRule="auto"/>
        <w:rPr>
          <w:bCs/>
          <w:sz w:val="36"/>
          <w:szCs w:val="36"/>
        </w:rPr>
      </w:pPr>
    </w:p>
    <w:p w14:paraId="1E29079D">
      <w:pPr>
        <w:spacing w:line="360" w:lineRule="auto"/>
        <w:rPr>
          <w:bCs/>
          <w:sz w:val="36"/>
          <w:szCs w:val="36"/>
        </w:rPr>
      </w:pPr>
    </w:p>
    <w:p w14:paraId="2715D9AB">
      <w:pPr>
        <w:spacing w:line="360" w:lineRule="auto"/>
        <w:rPr>
          <w:bCs/>
          <w:sz w:val="36"/>
          <w:szCs w:val="36"/>
        </w:rPr>
      </w:pPr>
    </w:p>
    <w:p w14:paraId="0C4C417A">
      <w:pPr>
        <w:spacing w:line="360" w:lineRule="auto"/>
        <w:rPr>
          <w:bCs/>
          <w:sz w:val="36"/>
          <w:szCs w:val="36"/>
        </w:rPr>
      </w:pPr>
    </w:p>
    <w:p w14:paraId="64789C51">
      <w:pPr>
        <w:spacing w:line="360" w:lineRule="auto"/>
        <w:rPr>
          <w:bCs/>
          <w:sz w:val="36"/>
          <w:szCs w:val="36"/>
        </w:rPr>
      </w:pPr>
    </w:p>
    <w:p w14:paraId="0211B5B5">
      <w:pPr>
        <w:spacing w:line="360" w:lineRule="auto"/>
        <w:rPr>
          <w:bCs/>
          <w:sz w:val="36"/>
          <w:szCs w:val="36"/>
        </w:rPr>
      </w:pPr>
    </w:p>
    <w:p w14:paraId="7C7491E7">
      <w:pPr>
        <w:widowControl/>
        <w:rPr>
          <w:bCs/>
          <w:sz w:val="44"/>
          <w:szCs w:val="44"/>
        </w:rPr>
      </w:pPr>
    </w:p>
    <w:p w14:paraId="1F0E511F">
      <w:pPr>
        <w:widowControl/>
        <w:rPr>
          <w:bCs/>
          <w:sz w:val="44"/>
          <w:szCs w:val="44"/>
        </w:rPr>
      </w:pPr>
    </w:p>
    <w:p w14:paraId="034AC298">
      <w:pPr>
        <w:ind w:left="-52" w:leftChars="-67" w:right="-382" w:rightChars="-182" w:hanging="89" w:hangingChars="32"/>
        <w:jc w:val="center"/>
        <w:rPr>
          <w:rFonts w:hint="eastAsia" w:ascii="黑体" w:hAnsi="黑体" w:eastAsia="黑体"/>
          <w:bCs/>
          <w:sz w:val="28"/>
          <w:szCs w:val="28"/>
        </w:rPr>
      </w:pPr>
      <w:r>
        <w:rPr>
          <w:rFonts w:hint="eastAsia" w:ascii="黑体" w:hAnsi="黑体" w:eastAsia="黑体"/>
          <w:bCs/>
          <w:sz w:val="28"/>
          <w:szCs w:val="28"/>
        </w:rPr>
        <w:t>《北京华夏草业产业技术创新战略联盟》团标制定组</w:t>
      </w:r>
    </w:p>
    <w:p w14:paraId="6617FAC3">
      <w:pPr>
        <w:widowControl/>
        <w:jc w:val="center"/>
        <w:rPr>
          <w:rFonts w:hint="eastAsia" w:ascii="黑体" w:hAnsi="黑体" w:eastAsia="黑体"/>
          <w:bCs/>
          <w:sz w:val="28"/>
          <w:szCs w:val="28"/>
        </w:rPr>
      </w:pPr>
      <w:r>
        <w:rPr>
          <w:rFonts w:hint="eastAsia" w:ascii="黑体" w:hAnsi="黑体" w:eastAsia="黑体"/>
          <w:bCs/>
          <w:sz w:val="28"/>
          <w:szCs w:val="28"/>
        </w:rPr>
        <w:t>XXXX</w:t>
      </w:r>
      <w:r>
        <w:rPr>
          <w:rFonts w:ascii="黑体" w:hAnsi="黑体" w:eastAsia="黑体"/>
          <w:bCs/>
          <w:sz w:val="28"/>
          <w:szCs w:val="28"/>
        </w:rPr>
        <w:t>年</w:t>
      </w:r>
      <w:r>
        <w:rPr>
          <w:rFonts w:hint="eastAsia" w:ascii="黑体" w:hAnsi="黑体" w:eastAsia="黑体"/>
          <w:bCs/>
          <w:sz w:val="28"/>
          <w:szCs w:val="28"/>
        </w:rPr>
        <w:t>X</w:t>
      </w:r>
      <w:r>
        <w:rPr>
          <w:rFonts w:ascii="黑体" w:hAnsi="黑体" w:eastAsia="黑体"/>
          <w:bCs/>
          <w:sz w:val="28"/>
          <w:szCs w:val="28"/>
        </w:rPr>
        <w:t>月</w:t>
      </w:r>
    </w:p>
    <w:bookmarkEnd w:id="0"/>
    <w:p w14:paraId="40FBF7DD">
      <w:pPr>
        <w:pStyle w:val="34"/>
        <w:spacing w:before="312" w:beforeLines="100" w:after="312" w:afterLines="100" w:line="420" w:lineRule="exact"/>
        <w:ind w:firstLineChars="0"/>
        <w:jc w:val="center"/>
        <w:rPr>
          <w:b/>
          <w:color w:val="000000"/>
          <w:sz w:val="28"/>
          <w:szCs w:val="28"/>
        </w:rPr>
      </w:pPr>
      <w:r>
        <w:rPr>
          <w:b/>
          <w:color w:val="000000"/>
          <w:sz w:val="28"/>
          <w:szCs w:val="28"/>
        </w:rPr>
        <w:br w:type="page"/>
      </w:r>
      <w:r>
        <w:rPr>
          <w:rFonts w:hint="eastAsia"/>
          <w:b/>
          <w:color w:val="000000"/>
          <w:sz w:val="28"/>
          <w:szCs w:val="28"/>
        </w:rPr>
        <w:t>目次</w:t>
      </w:r>
    </w:p>
    <w:p w14:paraId="1D60AEC8">
      <w:pPr>
        <w:pStyle w:val="34"/>
        <w:spacing w:line="360" w:lineRule="auto"/>
        <w:ind w:firstLineChars="0"/>
        <w:rPr>
          <w:b/>
          <w:color w:val="000000"/>
          <w:sz w:val="22"/>
          <w:szCs w:val="22"/>
        </w:rPr>
      </w:pPr>
    </w:p>
    <w:p w14:paraId="5E19A56C">
      <w:pPr>
        <w:pStyle w:val="14"/>
        <w:rPr>
          <w:rFonts w:hint="eastAsia" w:asciiTheme="minorHAnsi" w:hAnsiTheme="minorHAnsi" w:eastAsiaTheme="minorEastAsia" w:cstheme="minorBidi"/>
          <w:szCs w:val="22"/>
          <w14:ligatures w14:val="standardContextual"/>
        </w:rPr>
      </w:pPr>
      <w:r>
        <w:rPr>
          <w:sz w:val="24"/>
          <w:szCs w:val="24"/>
        </w:rPr>
        <w:fldChar w:fldCharType="begin"/>
      </w:r>
      <w:r>
        <w:rPr>
          <w:sz w:val="24"/>
          <w:szCs w:val="24"/>
        </w:rPr>
        <w:instrText xml:space="preserve"> TOC \o "1-3" \h \z \u </w:instrText>
      </w:r>
      <w:r>
        <w:rPr>
          <w:sz w:val="24"/>
          <w:szCs w:val="24"/>
        </w:rPr>
        <w:fldChar w:fldCharType="separate"/>
      </w:r>
      <w:r>
        <w:fldChar w:fldCharType="begin"/>
      </w:r>
      <w:r>
        <w:instrText xml:space="preserve"> HYPERLINK \l "_Toc176547930" </w:instrText>
      </w:r>
      <w:r>
        <w:fldChar w:fldCharType="separate"/>
      </w:r>
      <w:r>
        <w:rPr>
          <w:rStyle w:val="21"/>
          <w:rFonts w:hint="eastAsia"/>
        </w:rPr>
        <w:t>一、任务来源及标准制定背景</w:t>
      </w:r>
      <w:r>
        <w:rPr>
          <w:rFonts w:hint="eastAsia"/>
        </w:rPr>
        <w:tab/>
      </w:r>
      <w:r>
        <w:rPr>
          <w:rFonts w:hint="eastAsia"/>
        </w:rPr>
        <w:fldChar w:fldCharType="begin"/>
      </w:r>
      <w:r>
        <w:rPr>
          <w:rFonts w:hint="eastAsia"/>
        </w:rPr>
        <w:instrText xml:space="preserve"> </w:instrText>
      </w:r>
      <w:r>
        <w:instrText xml:space="preserve">PAGEREF _Toc176547930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18EC1846">
      <w:pPr>
        <w:pStyle w:val="15"/>
        <w:tabs>
          <w:tab w:val="right" w:leader="dot" w:pos="8538"/>
        </w:tabs>
        <w:rPr>
          <w:rFonts w:hint="eastAsia" w:asciiTheme="minorHAnsi" w:hAnsiTheme="minorHAnsi" w:eastAsiaTheme="minorEastAsia" w:cstheme="minorBidi"/>
          <w:szCs w:val="22"/>
          <w14:ligatures w14:val="standardContextual"/>
        </w:rPr>
      </w:pPr>
      <w:r>
        <w:fldChar w:fldCharType="begin"/>
      </w:r>
      <w:r>
        <w:instrText xml:space="preserve"> HYPERLINK \l "_Toc176547931" </w:instrText>
      </w:r>
      <w:r>
        <w:fldChar w:fldCharType="separate"/>
      </w:r>
      <w:r>
        <w:rPr>
          <w:rStyle w:val="21"/>
          <w:rFonts w:hint="eastAsia"/>
        </w:rPr>
        <w:t>1、任务来源</w:t>
      </w:r>
      <w:r>
        <w:rPr>
          <w:rFonts w:hint="eastAsia"/>
        </w:rPr>
        <w:tab/>
      </w:r>
      <w:r>
        <w:rPr>
          <w:rFonts w:hint="eastAsia"/>
        </w:rPr>
        <w:fldChar w:fldCharType="begin"/>
      </w:r>
      <w:r>
        <w:rPr>
          <w:rFonts w:hint="eastAsia"/>
        </w:rPr>
        <w:instrText xml:space="preserve"> </w:instrText>
      </w:r>
      <w:r>
        <w:instrText xml:space="preserve">PAGEREF _Toc176547931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346BE875">
      <w:pPr>
        <w:pStyle w:val="15"/>
        <w:tabs>
          <w:tab w:val="right" w:leader="dot" w:pos="8538"/>
        </w:tabs>
        <w:rPr>
          <w:rFonts w:hint="eastAsia" w:asciiTheme="minorHAnsi" w:hAnsiTheme="minorHAnsi" w:eastAsiaTheme="minorEastAsia" w:cstheme="minorBidi"/>
          <w:szCs w:val="22"/>
          <w14:ligatures w14:val="standardContextual"/>
        </w:rPr>
      </w:pPr>
      <w:r>
        <w:fldChar w:fldCharType="begin"/>
      </w:r>
      <w:r>
        <w:instrText xml:space="preserve"> HYPERLINK \l "_Toc176547932" </w:instrText>
      </w:r>
      <w:r>
        <w:fldChar w:fldCharType="separate"/>
      </w:r>
      <w:r>
        <w:rPr>
          <w:rStyle w:val="21"/>
          <w:rFonts w:hint="eastAsia"/>
        </w:rPr>
        <w:t>2、标准制定背景</w:t>
      </w:r>
      <w:r>
        <w:rPr>
          <w:rFonts w:hint="eastAsia"/>
        </w:rPr>
        <w:tab/>
      </w:r>
      <w:r>
        <w:rPr>
          <w:rFonts w:hint="eastAsia"/>
        </w:rPr>
        <w:fldChar w:fldCharType="begin"/>
      </w:r>
      <w:r>
        <w:rPr>
          <w:rFonts w:hint="eastAsia"/>
        </w:rPr>
        <w:instrText xml:space="preserve"> </w:instrText>
      </w:r>
      <w:r>
        <w:instrText xml:space="preserve">PAGEREF _Toc176547932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2AC19EBB">
      <w:pPr>
        <w:pStyle w:val="14"/>
        <w:rPr>
          <w:rFonts w:hint="eastAsia" w:asciiTheme="minorHAnsi" w:hAnsiTheme="minorHAnsi" w:eastAsiaTheme="minorEastAsia" w:cstheme="minorBidi"/>
          <w:szCs w:val="22"/>
          <w14:ligatures w14:val="standardContextual"/>
        </w:rPr>
      </w:pPr>
      <w:r>
        <w:fldChar w:fldCharType="begin"/>
      </w:r>
      <w:r>
        <w:instrText xml:space="preserve"> HYPERLINK \l "_Toc176547933" </w:instrText>
      </w:r>
      <w:r>
        <w:fldChar w:fldCharType="separate"/>
      </w:r>
      <w:r>
        <w:rPr>
          <w:rStyle w:val="21"/>
          <w:rFonts w:hint="eastAsia"/>
        </w:rPr>
        <w:t>二、主要工作过程</w:t>
      </w:r>
      <w:r>
        <w:rPr>
          <w:rFonts w:hint="eastAsia"/>
        </w:rPr>
        <w:tab/>
      </w:r>
      <w:r>
        <w:rPr>
          <w:rFonts w:hint="eastAsia"/>
        </w:rPr>
        <w:fldChar w:fldCharType="begin"/>
      </w:r>
      <w:r>
        <w:rPr>
          <w:rFonts w:hint="eastAsia"/>
        </w:rPr>
        <w:instrText xml:space="preserve"> </w:instrText>
      </w:r>
      <w:r>
        <w:instrText xml:space="preserve">PAGEREF _Toc176547933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60F337AF">
      <w:pPr>
        <w:pStyle w:val="14"/>
        <w:rPr>
          <w:rFonts w:hint="eastAsia" w:asciiTheme="minorHAnsi" w:hAnsiTheme="minorHAnsi" w:eastAsiaTheme="minorEastAsia" w:cstheme="minorBidi"/>
          <w:szCs w:val="22"/>
          <w14:ligatures w14:val="standardContextual"/>
        </w:rPr>
      </w:pPr>
      <w:r>
        <w:fldChar w:fldCharType="begin"/>
      </w:r>
      <w:r>
        <w:instrText xml:space="preserve"> HYPERLINK \l "_Toc176547934" </w:instrText>
      </w:r>
      <w:r>
        <w:fldChar w:fldCharType="separate"/>
      </w:r>
      <w:r>
        <w:rPr>
          <w:rStyle w:val="21"/>
          <w:rFonts w:hint="eastAsia"/>
        </w:rPr>
        <w:t>三、标准编制原则和主要技术内容确定的依据</w:t>
      </w:r>
      <w:r>
        <w:rPr>
          <w:rFonts w:hint="eastAsia"/>
        </w:rPr>
        <w:tab/>
      </w:r>
      <w:r>
        <w:rPr>
          <w:rFonts w:hint="eastAsia"/>
        </w:rPr>
        <w:fldChar w:fldCharType="begin"/>
      </w:r>
      <w:r>
        <w:rPr>
          <w:rFonts w:hint="eastAsia"/>
        </w:rPr>
        <w:instrText xml:space="preserve"> </w:instrText>
      </w:r>
      <w:r>
        <w:instrText xml:space="preserve">PAGEREF _Toc176547934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6DAC26EA">
      <w:pPr>
        <w:pStyle w:val="15"/>
        <w:tabs>
          <w:tab w:val="right" w:leader="dot" w:pos="8538"/>
        </w:tabs>
        <w:rPr>
          <w:rFonts w:hint="eastAsia" w:asciiTheme="minorHAnsi" w:hAnsiTheme="minorHAnsi" w:eastAsiaTheme="minorEastAsia" w:cstheme="minorBidi"/>
          <w:szCs w:val="22"/>
          <w14:ligatures w14:val="standardContextual"/>
        </w:rPr>
      </w:pPr>
      <w:r>
        <w:fldChar w:fldCharType="begin"/>
      </w:r>
      <w:r>
        <w:instrText xml:space="preserve"> HYPERLINK \l "_Toc176547935" </w:instrText>
      </w:r>
      <w:r>
        <w:fldChar w:fldCharType="separate"/>
      </w:r>
      <w:r>
        <w:rPr>
          <w:rStyle w:val="21"/>
          <w:rFonts w:hint="eastAsia"/>
        </w:rPr>
        <w:t>1、标准编制原则</w:t>
      </w:r>
      <w:r>
        <w:rPr>
          <w:rFonts w:hint="eastAsia"/>
        </w:rPr>
        <w:tab/>
      </w:r>
      <w:r>
        <w:rPr>
          <w:rFonts w:hint="eastAsia"/>
        </w:rPr>
        <w:fldChar w:fldCharType="begin"/>
      </w:r>
      <w:r>
        <w:rPr>
          <w:rFonts w:hint="eastAsia"/>
        </w:rPr>
        <w:instrText xml:space="preserve"> </w:instrText>
      </w:r>
      <w:r>
        <w:instrText xml:space="preserve">PAGEREF _Toc176547935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005DBFE5">
      <w:pPr>
        <w:pStyle w:val="15"/>
        <w:tabs>
          <w:tab w:val="right" w:leader="dot" w:pos="8538"/>
        </w:tabs>
        <w:rPr>
          <w:rFonts w:hint="eastAsia" w:asciiTheme="minorHAnsi" w:hAnsiTheme="minorHAnsi" w:eastAsiaTheme="minorEastAsia" w:cstheme="minorBidi"/>
          <w:szCs w:val="22"/>
          <w14:ligatures w14:val="standardContextual"/>
        </w:rPr>
      </w:pPr>
      <w:r>
        <w:fldChar w:fldCharType="begin"/>
      </w:r>
      <w:r>
        <w:instrText xml:space="preserve"> HYPERLINK \l "_Toc176547936" </w:instrText>
      </w:r>
      <w:r>
        <w:fldChar w:fldCharType="separate"/>
      </w:r>
      <w:r>
        <w:rPr>
          <w:rStyle w:val="21"/>
          <w:rFonts w:hint="eastAsia"/>
        </w:rPr>
        <w:t>2、主要技术内容确定的论据</w:t>
      </w:r>
      <w:r>
        <w:rPr>
          <w:rFonts w:hint="eastAsia"/>
        </w:rPr>
        <w:tab/>
      </w:r>
      <w:r>
        <w:rPr>
          <w:rFonts w:hint="eastAsia"/>
        </w:rPr>
        <w:fldChar w:fldCharType="begin"/>
      </w:r>
      <w:r>
        <w:rPr>
          <w:rFonts w:hint="eastAsia"/>
        </w:rPr>
        <w:instrText xml:space="preserve"> </w:instrText>
      </w:r>
      <w:r>
        <w:instrText xml:space="preserve">PAGEREF _Toc176547936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2797626D">
      <w:pPr>
        <w:pStyle w:val="14"/>
        <w:rPr>
          <w:rFonts w:hint="eastAsia" w:asciiTheme="minorHAnsi" w:hAnsiTheme="minorHAnsi" w:eastAsiaTheme="minorEastAsia" w:cstheme="minorBidi"/>
          <w:szCs w:val="22"/>
          <w14:ligatures w14:val="standardContextual"/>
        </w:rPr>
      </w:pPr>
      <w:r>
        <w:fldChar w:fldCharType="begin"/>
      </w:r>
      <w:r>
        <w:instrText xml:space="preserve"> HYPERLINK \l "_Toc176547937" </w:instrText>
      </w:r>
      <w:r>
        <w:fldChar w:fldCharType="separate"/>
      </w:r>
      <w:r>
        <w:rPr>
          <w:rStyle w:val="21"/>
          <w:rFonts w:hint="eastAsia"/>
        </w:rPr>
        <w:t>四、采用的国际标准</w:t>
      </w:r>
      <w:r>
        <w:rPr>
          <w:rFonts w:hint="eastAsia"/>
        </w:rPr>
        <w:tab/>
      </w:r>
      <w:r>
        <w:rPr>
          <w:rFonts w:hint="eastAsia"/>
        </w:rPr>
        <w:fldChar w:fldCharType="begin"/>
      </w:r>
      <w:r>
        <w:rPr>
          <w:rFonts w:hint="eastAsia"/>
        </w:rPr>
        <w:instrText xml:space="preserve"> </w:instrText>
      </w:r>
      <w:r>
        <w:instrText xml:space="preserve">PAGEREF _Toc176547937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75A7A5D8">
      <w:pPr>
        <w:pStyle w:val="14"/>
        <w:rPr>
          <w:rFonts w:hint="eastAsia" w:asciiTheme="minorHAnsi" w:hAnsiTheme="minorHAnsi" w:eastAsiaTheme="minorEastAsia" w:cstheme="minorBidi"/>
          <w:szCs w:val="22"/>
          <w14:ligatures w14:val="standardContextual"/>
        </w:rPr>
      </w:pPr>
      <w:r>
        <w:fldChar w:fldCharType="begin"/>
      </w:r>
      <w:r>
        <w:instrText xml:space="preserve"> HYPERLINK \l "_Toc176547938" </w:instrText>
      </w:r>
      <w:r>
        <w:fldChar w:fldCharType="separate"/>
      </w:r>
      <w:r>
        <w:rPr>
          <w:rStyle w:val="21"/>
          <w:rFonts w:hint="eastAsia"/>
        </w:rPr>
        <w:t>五、与现行法律法规和强制性标准的关系</w:t>
      </w:r>
      <w:r>
        <w:rPr>
          <w:rFonts w:hint="eastAsia"/>
        </w:rPr>
        <w:tab/>
      </w:r>
      <w:r>
        <w:rPr>
          <w:rFonts w:hint="eastAsia"/>
        </w:rPr>
        <w:fldChar w:fldCharType="begin"/>
      </w:r>
      <w:r>
        <w:rPr>
          <w:rFonts w:hint="eastAsia"/>
        </w:rPr>
        <w:instrText xml:space="preserve"> </w:instrText>
      </w:r>
      <w:r>
        <w:instrText xml:space="preserve">PAGEREF _Toc176547938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3B924B2D">
      <w:pPr>
        <w:pStyle w:val="14"/>
        <w:rPr>
          <w:rFonts w:hint="eastAsia" w:asciiTheme="minorHAnsi" w:hAnsiTheme="minorHAnsi" w:eastAsiaTheme="minorEastAsia" w:cstheme="minorBidi"/>
          <w:szCs w:val="22"/>
          <w14:ligatures w14:val="standardContextual"/>
        </w:rPr>
      </w:pPr>
      <w:r>
        <w:fldChar w:fldCharType="begin"/>
      </w:r>
      <w:r>
        <w:instrText xml:space="preserve"> HYPERLINK \l "_Toc176547939" </w:instrText>
      </w:r>
      <w:r>
        <w:fldChar w:fldCharType="separate"/>
      </w:r>
      <w:r>
        <w:rPr>
          <w:rStyle w:val="21"/>
          <w:rFonts w:hint="eastAsia"/>
        </w:rPr>
        <w:t>六、重大分歧意见的处理经过和依据</w:t>
      </w:r>
      <w:r>
        <w:rPr>
          <w:rFonts w:hint="eastAsia"/>
        </w:rPr>
        <w:tab/>
      </w:r>
      <w:r>
        <w:rPr>
          <w:rFonts w:hint="eastAsia"/>
        </w:rPr>
        <w:fldChar w:fldCharType="begin"/>
      </w:r>
      <w:r>
        <w:rPr>
          <w:rFonts w:hint="eastAsia"/>
        </w:rPr>
        <w:instrText xml:space="preserve"> </w:instrText>
      </w:r>
      <w:r>
        <w:instrText xml:space="preserve">PAGEREF _Toc176547939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765AD2FD">
      <w:pPr>
        <w:pStyle w:val="14"/>
        <w:rPr>
          <w:rFonts w:hint="eastAsia" w:asciiTheme="minorHAnsi" w:hAnsiTheme="minorHAnsi" w:eastAsiaTheme="minorEastAsia" w:cstheme="minorBidi"/>
          <w:szCs w:val="22"/>
          <w14:ligatures w14:val="standardContextual"/>
        </w:rPr>
      </w:pPr>
      <w:r>
        <w:fldChar w:fldCharType="begin"/>
      </w:r>
      <w:r>
        <w:instrText xml:space="preserve"> HYPERLINK \l "_Toc176547940" </w:instrText>
      </w:r>
      <w:r>
        <w:fldChar w:fldCharType="separate"/>
      </w:r>
      <w:r>
        <w:rPr>
          <w:rStyle w:val="21"/>
          <w:rFonts w:hint="eastAsia"/>
        </w:rPr>
        <w:t>七、标准作为强制性或推荐性标准的意见</w:t>
      </w:r>
      <w:r>
        <w:rPr>
          <w:rFonts w:hint="eastAsia"/>
        </w:rPr>
        <w:tab/>
      </w:r>
      <w:r>
        <w:rPr>
          <w:rFonts w:hint="eastAsia"/>
        </w:rPr>
        <w:fldChar w:fldCharType="begin"/>
      </w:r>
      <w:r>
        <w:rPr>
          <w:rFonts w:hint="eastAsia"/>
        </w:rPr>
        <w:instrText xml:space="preserve"> </w:instrText>
      </w:r>
      <w:r>
        <w:instrText xml:space="preserve">PAGEREF _Toc176547940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155D255B">
      <w:pPr>
        <w:pStyle w:val="14"/>
        <w:rPr>
          <w:rFonts w:hint="eastAsia" w:asciiTheme="minorHAnsi" w:hAnsiTheme="minorHAnsi" w:eastAsiaTheme="minorEastAsia" w:cstheme="minorBidi"/>
          <w:szCs w:val="22"/>
          <w14:ligatures w14:val="standardContextual"/>
        </w:rPr>
      </w:pPr>
      <w:r>
        <w:fldChar w:fldCharType="begin"/>
      </w:r>
      <w:r>
        <w:instrText xml:space="preserve"> HYPERLINK \l "_Toc176547941" </w:instrText>
      </w:r>
      <w:r>
        <w:fldChar w:fldCharType="separate"/>
      </w:r>
      <w:r>
        <w:rPr>
          <w:rStyle w:val="21"/>
          <w:rFonts w:hint="eastAsia"/>
        </w:rPr>
        <w:t>八、贯彻标准的要求和措施建议</w:t>
      </w:r>
      <w:r>
        <w:rPr>
          <w:rFonts w:hint="eastAsia"/>
        </w:rPr>
        <w:tab/>
      </w:r>
      <w:r>
        <w:rPr>
          <w:rFonts w:hint="eastAsia"/>
        </w:rPr>
        <w:fldChar w:fldCharType="begin"/>
      </w:r>
      <w:r>
        <w:rPr>
          <w:rFonts w:hint="eastAsia"/>
        </w:rPr>
        <w:instrText xml:space="preserve"> </w:instrText>
      </w:r>
      <w:r>
        <w:instrText xml:space="preserve">PAGEREF _Toc176547941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316EC7D6">
      <w:pPr>
        <w:pStyle w:val="14"/>
        <w:rPr>
          <w:rFonts w:hint="eastAsia" w:asciiTheme="minorHAnsi" w:hAnsiTheme="minorHAnsi" w:eastAsiaTheme="minorEastAsia" w:cstheme="minorBidi"/>
          <w:szCs w:val="22"/>
          <w14:ligatures w14:val="standardContextual"/>
        </w:rPr>
      </w:pPr>
      <w:r>
        <w:fldChar w:fldCharType="begin"/>
      </w:r>
      <w:r>
        <w:instrText xml:space="preserve"> HYPERLINK \l "_Toc176547942" </w:instrText>
      </w:r>
      <w:r>
        <w:fldChar w:fldCharType="separate"/>
      </w:r>
      <w:r>
        <w:rPr>
          <w:rStyle w:val="21"/>
          <w:rFonts w:hint="eastAsia"/>
        </w:rPr>
        <w:t>九、废止现行有关标准的建议</w:t>
      </w:r>
      <w:r>
        <w:rPr>
          <w:rFonts w:hint="eastAsia"/>
        </w:rPr>
        <w:tab/>
      </w:r>
      <w:r>
        <w:rPr>
          <w:rFonts w:hint="eastAsia"/>
        </w:rPr>
        <w:fldChar w:fldCharType="begin"/>
      </w:r>
      <w:r>
        <w:rPr>
          <w:rFonts w:hint="eastAsia"/>
        </w:rPr>
        <w:instrText xml:space="preserve"> </w:instrText>
      </w:r>
      <w:r>
        <w:instrText xml:space="preserve">PAGEREF _Toc176547942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01F523EE">
      <w:pPr>
        <w:pStyle w:val="14"/>
        <w:rPr>
          <w:rFonts w:hint="eastAsia" w:asciiTheme="minorHAnsi" w:hAnsiTheme="minorHAnsi" w:eastAsiaTheme="minorEastAsia" w:cstheme="minorBidi"/>
          <w:szCs w:val="22"/>
          <w14:ligatures w14:val="standardContextual"/>
        </w:rPr>
      </w:pPr>
      <w:r>
        <w:fldChar w:fldCharType="begin"/>
      </w:r>
      <w:r>
        <w:instrText xml:space="preserve"> HYPERLINK \l "_Toc176547943" </w:instrText>
      </w:r>
      <w:r>
        <w:fldChar w:fldCharType="separate"/>
      </w:r>
      <w:r>
        <w:rPr>
          <w:rStyle w:val="21"/>
          <w:rFonts w:hint="eastAsia"/>
        </w:rPr>
        <w:t>十、其他应予说明的事项</w:t>
      </w:r>
      <w:r>
        <w:rPr>
          <w:rFonts w:hint="eastAsia"/>
        </w:rPr>
        <w:tab/>
      </w:r>
      <w:r>
        <w:rPr>
          <w:rFonts w:hint="eastAsia"/>
        </w:rPr>
        <w:fldChar w:fldCharType="begin"/>
      </w:r>
      <w:r>
        <w:rPr>
          <w:rFonts w:hint="eastAsia"/>
        </w:rPr>
        <w:instrText xml:space="preserve"> </w:instrText>
      </w:r>
      <w:r>
        <w:instrText xml:space="preserve">PAGEREF _Toc176547943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7755D24F">
      <w:pPr>
        <w:spacing w:line="360" w:lineRule="auto"/>
        <w:rPr>
          <w:sz w:val="24"/>
          <w:szCs w:val="24"/>
        </w:rPr>
      </w:pPr>
      <w:r>
        <w:rPr>
          <w:b/>
          <w:bCs/>
          <w:sz w:val="24"/>
          <w:szCs w:val="24"/>
          <w:lang w:val="zh-CN"/>
        </w:rPr>
        <w:fldChar w:fldCharType="end"/>
      </w:r>
    </w:p>
    <w:p w14:paraId="32720C13">
      <w:pPr>
        <w:pStyle w:val="34"/>
        <w:spacing w:before="312" w:beforeLines="100" w:after="312" w:afterLines="100" w:line="420" w:lineRule="exact"/>
        <w:ind w:firstLineChars="0"/>
        <w:rPr>
          <w:b/>
          <w:color w:val="000000"/>
          <w:sz w:val="28"/>
          <w:szCs w:val="28"/>
        </w:rPr>
      </w:pPr>
    </w:p>
    <w:p w14:paraId="3EB17BB0">
      <w:pPr>
        <w:pStyle w:val="3"/>
        <w:spacing w:before="0" w:after="0"/>
        <w:rPr>
          <w:sz w:val="24"/>
          <w:szCs w:val="40"/>
        </w:rPr>
      </w:pPr>
      <w:r>
        <w:br w:type="page"/>
      </w:r>
      <w:bookmarkStart w:id="4" w:name="_Toc176547930"/>
      <w:r>
        <w:rPr>
          <w:rFonts w:hint="eastAsia"/>
          <w:sz w:val="24"/>
          <w:szCs w:val="40"/>
        </w:rPr>
        <w:t>一、任务来源及标准制定背景</w:t>
      </w:r>
      <w:bookmarkEnd w:id="4"/>
    </w:p>
    <w:p w14:paraId="39E2EE66">
      <w:pPr>
        <w:pStyle w:val="4"/>
        <w:spacing w:before="0" w:after="0"/>
        <w:rPr>
          <w:rFonts w:hint="eastAsia"/>
          <w:sz w:val="22"/>
          <w:szCs w:val="28"/>
        </w:rPr>
      </w:pPr>
      <w:bookmarkStart w:id="5" w:name="_Toc176547931"/>
      <w:r>
        <w:rPr>
          <w:rFonts w:hint="eastAsia"/>
          <w:sz w:val="22"/>
          <w:szCs w:val="28"/>
        </w:rPr>
        <w:t>1、任务来源</w:t>
      </w:r>
      <w:bookmarkEnd w:id="5"/>
    </w:p>
    <w:p w14:paraId="51E08244">
      <w:pPr>
        <w:widowControl/>
        <w:adjustRightInd w:val="0"/>
        <w:snapToGrid w:val="0"/>
        <w:spacing w:line="360" w:lineRule="auto"/>
        <w:ind w:firstLine="440" w:firstLineChars="200"/>
        <w:rPr>
          <w:rFonts w:hint="eastAsia" w:ascii="宋体" w:hAnsi="宋体" w:cs="黑体"/>
          <w:kern w:val="0"/>
          <w:sz w:val="22"/>
          <w:szCs w:val="20"/>
        </w:rPr>
      </w:pPr>
      <w:r>
        <w:rPr>
          <w:rFonts w:hint="eastAsia" w:ascii="宋体" w:hAnsi="宋体" w:cs="黑体"/>
          <w:kern w:val="0"/>
          <w:sz w:val="22"/>
          <w:szCs w:val="20"/>
        </w:rPr>
        <w:t>本技术规程由</w:t>
      </w:r>
      <w:r>
        <w:rPr>
          <w:rFonts w:hint="eastAsia" w:ascii="宋体" w:hAnsi="宋体" w:cs="黑体"/>
          <w:kern w:val="0"/>
          <w:sz w:val="22"/>
          <w:szCs w:val="20"/>
          <w:lang w:val="en-US" w:eastAsia="zh-CN"/>
        </w:rPr>
        <w:t>那曲市农牧业（草业）科技研究推广中心、西藏自治区农科院草业研究所、</w:t>
      </w:r>
      <w:r>
        <w:rPr>
          <w:rFonts w:hint="eastAsia" w:ascii="Times New Roman" w:hAnsi="Times New Roman" w:eastAsia="宋体" w:cs="Times New Roman"/>
          <w:color w:val="000000"/>
          <w:kern w:val="0"/>
          <w:sz w:val="22"/>
          <w:szCs w:val="22"/>
          <w:lang w:val="en-US" w:eastAsia="zh-CN"/>
        </w:rPr>
        <w:t>西藏宝弘农牧科技有限责任公司</w:t>
      </w:r>
      <w:r>
        <w:rPr>
          <w:rFonts w:hint="eastAsia" w:ascii="宋体" w:hAnsi="宋体" w:cs="黑体"/>
          <w:kern w:val="0"/>
          <w:sz w:val="22"/>
          <w:szCs w:val="20"/>
        </w:rPr>
        <w:t>共同申报。</w:t>
      </w:r>
    </w:p>
    <w:p w14:paraId="41DA4036">
      <w:pPr>
        <w:pStyle w:val="4"/>
        <w:spacing w:before="0" w:after="0"/>
        <w:rPr>
          <w:rFonts w:hint="eastAsia" w:cs="Times New Roman"/>
          <w:sz w:val="22"/>
          <w:szCs w:val="28"/>
          <w:lang w:val="en-US" w:eastAsia="zh-CN"/>
        </w:rPr>
      </w:pPr>
      <w:r>
        <w:rPr>
          <w:rFonts w:hint="eastAsia" w:cs="Times New Roman"/>
          <w:sz w:val="22"/>
          <w:szCs w:val="28"/>
          <w:lang w:val="en-US" w:eastAsia="zh-CN"/>
        </w:rPr>
        <w:t>2、承担单位</w:t>
      </w:r>
    </w:p>
    <w:p w14:paraId="6CD1F1B8">
      <w:pPr>
        <w:widowControl/>
        <w:adjustRightInd w:val="0"/>
        <w:snapToGrid w:val="0"/>
        <w:spacing w:line="360" w:lineRule="auto"/>
        <w:ind w:firstLine="440" w:firstLineChars="200"/>
        <w:rPr>
          <w:rFonts w:hint="default" w:ascii="宋体" w:hAnsi="宋体" w:cs="黑体"/>
          <w:kern w:val="0"/>
          <w:sz w:val="22"/>
          <w:szCs w:val="20"/>
          <w:lang w:val="en-US" w:eastAsia="zh-CN"/>
        </w:rPr>
      </w:pPr>
      <w:r>
        <w:rPr>
          <w:rFonts w:hint="default" w:ascii="宋体" w:hAnsi="宋体" w:cs="黑体"/>
          <w:kern w:val="0"/>
          <w:sz w:val="22"/>
          <w:szCs w:val="20"/>
          <w:lang w:val="en-US" w:eastAsia="zh-CN"/>
        </w:rPr>
        <w:t>那曲市农牧业（草业）科技研究推广中心</w:t>
      </w:r>
      <w:r>
        <w:rPr>
          <w:rFonts w:hint="eastAsia" w:ascii="宋体" w:hAnsi="宋体" w:cs="黑体"/>
          <w:kern w:val="0"/>
          <w:sz w:val="22"/>
          <w:szCs w:val="20"/>
          <w:lang w:val="en-US" w:eastAsia="zh-CN"/>
        </w:rPr>
        <w:t>：</w:t>
      </w:r>
      <w:r>
        <w:rPr>
          <w:rFonts w:hint="default" w:ascii="宋体" w:hAnsi="宋体" w:cs="黑体"/>
          <w:kern w:val="0"/>
          <w:sz w:val="22"/>
          <w:szCs w:val="20"/>
          <w:lang w:val="en-US" w:eastAsia="zh-CN"/>
        </w:rPr>
        <w:t>现有专业技术人员52人，其中高级职称13人，中级职称27人，初级职称12人。近年来，以基础研究、成果转化、技术推广和服务牧业产业为核心目标，主要承担了《那曲市牧业产业化发展科技攻关研究项目》《那曲适应性牧草品种筛选及高寒草地提质增效关键技术研究与示范》《退化高寒草甸生态修复与固碳增汇协同技术研究》《藏北那曲高寒牧区草牧业科技创新与示范》等20余项科研项目。</w:t>
      </w:r>
      <w:r>
        <w:rPr>
          <w:rFonts w:hint="eastAsia" w:ascii="宋体" w:hAnsi="宋体" w:cs="黑体"/>
          <w:kern w:val="0"/>
          <w:sz w:val="22"/>
          <w:szCs w:val="20"/>
          <w:lang w:val="en-US" w:eastAsia="zh-CN"/>
        </w:rPr>
        <w:t>在</w:t>
      </w:r>
      <w:r>
        <w:rPr>
          <w:rFonts w:hint="default" w:ascii="宋体" w:hAnsi="宋体" w:cs="黑体"/>
          <w:kern w:val="0"/>
          <w:sz w:val="22"/>
          <w:szCs w:val="20"/>
          <w:lang w:val="en-US" w:eastAsia="zh-CN"/>
        </w:rPr>
        <w:t>省级以上期刊发表学术论文200余篇，编写技术手册5项，出版专著2部；研发了44项专利，转化成果10项。编制了团体标准5项、地方标准6项、技术标准3项。制作植物标本500余份，鉴定植物300余种，采集入库乡土野生牧草种子50种，筛选优势野生牧草16种，在试验田具有潜力、适应性强的栽培驯化品种8种，形成草地生态修复重建混播组合处理3个</w:t>
      </w:r>
      <w:r>
        <w:rPr>
          <w:rFonts w:hint="eastAsia" w:ascii="宋体" w:hAnsi="宋体" w:cs="黑体"/>
          <w:kern w:val="0"/>
          <w:sz w:val="22"/>
          <w:szCs w:val="20"/>
          <w:lang w:val="en-US" w:eastAsia="zh-CN"/>
        </w:rPr>
        <w:t>。</w:t>
      </w:r>
      <w:r>
        <w:rPr>
          <w:rFonts w:hint="default" w:ascii="宋体" w:hAnsi="宋体" w:cs="黑体"/>
          <w:kern w:val="0"/>
          <w:sz w:val="22"/>
          <w:szCs w:val="20"/>
          <w:lang w:val="en-US" w:eastAsia="zh-CN"/>
        </w:rPr>
        <w:t>荣获“2019-2021年度全国农牧渔业丰收奖”一等奖，“西藏自治区科学技术奖”一、二、三等奖，教育部、农业农村部和中国科协授予“西藏那曲草业科技小院”。</w:t>
      </w:r>
      <w:bookmarkStart w:id="6" w:name="_Toc176547932"/>
    </w:p>
    <w:p w14:paraId="42BC94C7">
      <w:pPr>
        <w:pStyle w:val="4"/>
        <w:spacing w:before="0" w:after="0"/>
        <w:rPr>
          <w:rFonts w:hint="eastAsia" w:cs="Times New Roman"/>
          <w:sz w:val="22"/>
          <w:szCs w:val="28"/>
          <w:lang w:val="en-US" w:eastAsia="zh-CN"/>
        </w:rPr>
      </w:pPr>
      <w:r>
        <w:rPr>
          <w:rFonts w:hint="eastAsia" w:cs="Times New Roman"/>
          <w:sz w:val="22"/>
          <w:szCs w:val="28"/>
          <w:lang w:val="en-US" w:eastAsia="zh-CN"/>
        </w:rPr>
        <w:t>3、标准制定背景</w:t>
      </w:r>
      <w:bookmarkEnd w:id="6"/>
      <w:bookmarkStart w:id="7" w:name="_Toc176547933"/>
    </w:p>
    <w:p w14:paraId="57D5FA3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Times New Roman" w:hAnsi="Times New Roman" w:eastAsia="宋体" w:cs="Times New Roman"/>
          <w:sz w:val="22"/>
          <w:szCs w:val="28"/>
          <w:lang w:val="en-US" w:eastAsia="zh-CN"/>
        </w:rPr>
      </w:pPr>
      <w:r>
        <w:rPr>
          <w:rFonts w:hint="eastAsia" w:ascii="Times New Roman" w:hAnsi="Times New Roman" w:eastAsia="宋体" w:cs="Times New Roman"/>
          <w:sz w:val="22"/>
          <w:szCs w:val="28"/>
          <w:lang w:val="en-US" w:eastAsia="zh-CN"/>
        </w:rPr>
        <w:t>藏北那曲平均海拔4500米以上，属极度高寒气候，年均温低、无霜期短、有效积温不足，大风干旱天气多发，草原生态系统脆弱、退化态势明显。当地以天然草原畜牧业为支柱产业，冬春枯草期漫长，天然饲草供给严重不足，草畜矛盾突出，传统靠天养畜模式导致牲畜越冬损耗大、养殖效益偏低。</w:t>
      </w:r>
    </w:p>
    <w:p w14:paraId="09E7394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Times New Roman" w:hAnsi="Times New Roman" w:eastAsia="宋体" w:cs="Times New Roman"/>
          <w:sz w:val="22"/>
          <w:szCs w:val="28"/>
          <w:lang w:val="en-US" w:eastAsia="zh-CN"/>
        </w:rPr>
      </w:pPr>
      <w:r>
        <w:rPr>
          <w:rFonts w:hint="eastAsia" w:ascii="Times New Roman" w:hAnsi="Times New Roman" w:eastAsia="宋体" w:cs="Times New Roman"/>
          <w:sz w:val="22"/>
          <w:szCs w:val="28"/>
          <w:lang w:val="en-US" w:eastAsia="zh-CN"/>
        </w:rPr>
        <w:t>燕麦耐寒耐贫瘠、生育期短，适配那曲高寒立地条件，是人工种草补饲、退化草地生态修复的优选饲草作物。但目前现有饲用燕麦相关标准适用海拔偏低，无法匹配那曲极度高寒区域生产实际。农牧民种植存在品种选用随意、播期播量不规范、田间管理粗放、收获贮藏方式落后等问题，造成出苗率不稳、产量品质参差不齐。</w:t>
      </w:r>
    </w:p>
    <w:p w14:paraId="6D0EA1B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Times New Roman" w:hAnsi="Times New Roman" w:eastAsia="宋体" w:cs="Times New Roman"/>
          <w:sz w:val="22"/>
          <w:szCs w:val="28"/>
          <w:lang w:val="en-US" w:eastAsia="zh-CN"/>
        </w:rPr>
      </w:pPr>
      <w:r>
        <w:rPr>
          <w:rFonts w:hint="eastAsia" w:ascii="Times New Roman" w:hAnsi="Times New Roman" w:eastAsia="宋体" w:cs="Times New Roman"/>
          <w:sz w:val="22"/>
          <w:szCs w:val="28"/>
          <w:lang w:val="en-US" w:eastAsia="zh-CN"/>
        </w:rPr>
        <w:t>为落实草原生态保护与饲草料产业发展政策，整合区域燕麦引种栽培科研成果，填补极高海拔高寒牧区专用技术标准空白，规范从品种选择到收获贮藏全流程技术要求，提升饲草自给能力，平衡生态保护与畜牧业发展，助力农牧民增收，特制定本规程。</w:t>
      </w:r>
    </w:p>
    <w:p w14:paraId="334FF43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cs="Times New Roman"/>
          <w:sz w:val="22"/>
          <w:szCs w:val="28"/>
          <w:lang w:val="en-US" w:eastAsia="zh-CN"/>
        </w:rPr>
      </w:pPr>
      <w:r>
        <w:rPr>
          <w:rFonts w:hint="eastAsia" w:cs="Times New Roman"/>
          <w:sz w:val="22"/>
          <w:szCs w:val="28"/>
          <w:lang w:val="en-US" w:eastAsia="zh-CN"/>
        </w:rPr>
        <w:t>4、起草人情况</w:t>
      </w:r>
    </w:p>
    <w:p w14:paraId="04AEB5C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Times New Roman" w:hAnsi="Times New Roman" w:eastAsia="宋体" w:cs="Times New Roman"/>
          <w:b w:val="0"/>
          <w:bCs/>
          <w:kern w:val="2"/>
          <w:sz w:val="22"/>
          <w:szCs w:val="20"/>
          <w:lang w:val="en-US" w:eastAsia="zh-CN" w:bidi="ar-SA"/>
        </w:rPr>
      </w:pPr>
      <w:r>
        <w:rPr>
          <w:rFonts w:hint="eastAsia" w:ascii="Times New Roman" w:hAnsi="Times New Roman" w:eastAsia="宋体" w:cs="Times New Roman"/>
          <w:b w:val="0"/>
          <w:bCs/>
          <w:kern w:val="2"/>
          <w:sz w:val="22"/>
          <w:szCs w:val="20"/>
          <w:lang w:val="en-US" w:eastAsia="zh-CN" w:bidi="ar-SA"/>
        </w:rPr>
        <w:t>何世丞，畜牧师，任职于那曲市农牧业（草业）科技研究推广中心，系“农业农村部农业环境那曲野外科学观测研究站”“西藏那曲草业科技小院”核心成员。长期从事藏北高原高寒草原生态保护、草牧业科研与技术服务，重点研究乡土草种驯化等相关技术。工作期间，主持那曲市科技局重大专项等5项，作为核心成员参与国家、自治区、市级科研项目10余项。以第一作者、通讯作者或核心作者身份，在多个专业期刊公开发表学术论文10余篇，作为发明人获得授权实用新型专利8项。</w:t>
      </w:r>
    </w:p>
    <w:p w14:paraId="64DA9786">
      <w:pPr>
        <w:pStyle w:val="3"/>
        <w:spacing w:before="0" w:after="0"/>
        <w:ind w:firstLine="482" w:firstLineChars="200"/>
        <w:rPr>
          <w:sz w:val="24"/>
          <w:szCs w:val="40"/>
        </w:rPr>
      </w:pPr>
      <w:r>
        <w:rPr>
          <w:rFonts w:hint="eastAsia"/>
          <w:sz w:val="24"/>
          <w:szCs w:val="40"/>
        </w:rPr>
        <w:t>二、主要工作过程</w:t>
      </w:r>
      <w:bookmarkEnd w:id="7"/>
    </w:p>
    <w:p w14:paraId="382423BF">
      <w:pPr>
        <w:spacing w:line="360" w:lineRule="auto"/>
        <w:ind w:firstLine="440" w:firstLineChars="200"/>
        <w:rPr>
          <w:rFonts w:hint="eastAsia"/>
          <w:bCs/>
          <w:sz w:val="22"/>
          <w:szCs w:val="20"/>
          <w:lang w:val="en-US" w:eastAsia="zh-CN"/>
        </w:rPr>
      </w:pPr>
      <w:r>
        <w:rPr>
          <w:rFonts w:hint="eastAsia"/>
          <w:bCs/>
          <w:sz w:val="22"/>
          <w:szCs w:val="20"/>
          <w:lang w:val="en-US" w:eastAsia="zh-CN"/>
        </w:rPr>
        <w:t>调研阶段（2024.3-2024.8）：：整合那曲市已成熟应用的燕麦高产种植等技术，结合尼玛县、色尼区案例优化技术参数。</w:t>
      </w:r>
    </w:p>
    <w:p w14:paraId="7FC25456">
      <w:pPr>
        <w:spacing w:line="360" w:lineRule="auto"/>
        <w:ind w:firstLine="440" w:firstLineChars="200"/>
        <w:rPr>
          <w:rFonts w:hint="eastAsia"/>
          <w:bCs/>
          <w:sz w:val="22"/>
          <w:szCs w:val="20"/>
          <w:lang w:val="en-US" w:eastAsia="zh-CN"/>
        </w:rPr>
      </w:pPr>
      <w:r>
        <w:rPr>
          <w:rFonts w:hint="eastAsia"/>
          <w:bCs/>
          <w:sz w:val="22"/>
          <w:szCs w:val="20"/>
          <w:lang w:val="en-US" w:eastAsia="zh-CN"/>
        </w:rPr>
        <w:t>试验验证阶段（2024.9-2025.3）：在尼玛县示范基地和色尼区草牧业科技创新基地开展技术验证，设置对照组和试验组，监测植被盖度、生物量、土壤养分等指标。</w:t>
      </w:r>
    </w:p>
    <w:p w14:paraId="7C0B3ECA">
      <w:pPr>
        <w:spacing w:line="360" w:lineRule="auto"/>
        <w:ind w:firstLine="440" w:firstLineChars="200"/>
        <w:rPr>
          <w:rFonts w:hint="eastAsia"/>
          <w:bCs/>
          <w:sz w:val="22"/>
          <w:szCs w:val="20"/>
          <w:lang w:val="en-US" w:eastAsia="zh-CN"/>
        </w:rPr>
      </w:pPr>
      <w:r>
        <w:rPr>
          <w:rFonts w:hint="eastAsia"/>
          <w:bCs/>
          <w:sz w:val="22"/>
          <w:szCs w:val="20"/>
          <w:lang w:val="en-US" w:eastAsia="zh-CN"/>
        </w:rPr>
        <w:t>标准起草阶段（2025.4-2025.6）：依据试验数据和案例经验，起草标准文本，完成征求意见稿</w:t>
      </w:r>
    </w:p>
    <w:p w14:paraId="694A0BC9">
      <w:pPr>
        <w:spacing w:line="360" w:lineRule="auto"/>
        <w:ind w:firstLine="440" w:firstLineChars="200"/>
        <w:rPr>
          <w:rFonts w:hint="eastAsia"/>
          <w:bCs/>
          <w:sz w:val="22"/>
          <w:szCs w:val="20"/>
          <w:lang w:val="en-US" w:eastAsia="zh-CN"/>
        </w:rPr>
      </w:pPr>
      <w:r>
        <w:rPr>
          <w:rFonts w:hint="eastAsia"/>
          <w:bCs/>
          <w:sz w:val="22"/>
          <w:szCs w:val="20"/>
          <w:lang w:val="en-US" w:eastAsia="zh-CN"/>
        </w:rPr>
        <w:t>征求意见与修改阶段（2025.7-2025.9）：广泛征求科研院所、基层技术人员等意见，修改完善标准文本。</w:t>
      </w:r>
    </w:p>
    <w:p w14:paraId="1C0B6DFF">
      <w:pPr>
        <w:spacing w:line="360" w:lineRule="auto"/>
        <w:ind w:firstLine="440" w:firstLineChars="200"/>
        <w:rPr>
          <w:rFonts w:hint="eastAsia" w:ascii="宋体" w:hAnsi="宋体" w:cs="宋体"/>
          <w:sz w:val="22"/>
          <w:szCs w:val="20"/>
        </w:rPr>
      </w:pPr>
      <w:r>
        <w:rPr>
          <w:rFonts w:hint="eastAsia"/>
          <w:bCs/>
          <w:sz w:val="22"/>
          <w:szCs w:val="20"/>
          <w:lang w:val="en-US" w:eastAsia="zh-CN"/>
        </w:rPr>
        <w:t>专家评审阶段（2025.10-2026.12）：组织市研推中心技术专家开展论证会，对规程送审稿的科学性、实用性、可操作性进行全面审核，</w:t>
      </w:r>
      <w:r>
        <w:rPr>
          <w:rFonts w:ascii="宋体" w:hAnsi="宋体" w:cs="宋体"/>
          <w:sz w:val="22"/>
          <w:szCs w:val="20"/>
        </w:rPr>
        <w:t>编写征求意见稿标准文本，编写《编制说明》</w:t>
      </w:r>
      <w:r>
        <w:rPr>
          <w:rFonts w:hint="eastAsia" w:ascii="宋体" w:hAnsi="宋体" w:cs="宋体"/>
          <w:sz w:val="22"/>
          <w:szCs w:val="20"/>
        </w:rPr>
        <w:t>。</w:t>
      </w:r>
    </w:p>
    <w:p w14:paraId="7C18AC3C">
      <w:pPr>
        <w:spacing w:line="360" w:lineRule="auto"/>
        <w:ind w:firstLine="440" w:firstLineChars="200"/>
        <w:rPr>
          <w:rFonts w:hint="eastAsia"/>
          <w:bCs/>
          <w:sz w:val="22"/>
          <w:szCs w:val="20"/>
        </w:rPr>
      </w:pPr>
      <w:r>
        <w:rPr>
          <w:rFonts w:hint="eastAsia"/>
          <w:bCs/>
          <w:sz w:val="22"/>
          <w:szCs w:val="20"/>
        </w:rPr>
        <w:t>由北京华夏草业产业技术创新战略联盟组织国内相关专家对《</w:t>
      </w:r>
      <w:r>
        <w:rPr>
          <w:rFonts w:hint="eastAsia"/>
          <w:bCs/>
          <w:sz w:val="22"/>
          <w:szCs w:val="20"/>
          <w:lang w:val="en-US" w:eastAsia="zh-CN"/>
        </w:rPr>
        <w:t>那曲极高海拔区域典型退化草地生态修复技术规程</w:t>
      </w:r>
      <w:r>
        <w:rPr>
          <w:rFonts w:hint="eastAsia"/>
          <w:bCs/>
          <w:sz w:val="22"/>
          <w:szCs w:val="20"/>
        </w:rPr>
        <w:t>》征求意见稿及编制说明进行会议评审。</w:t>
      </w:r>
      <w:bookmarkStart w:id="8" w:name="_Toc176547934"/>
    </w:p>
    <w:p w14:paraId="1BA03B20">
      <w:pPr>
        <w:spacing w:line="360" w:lineRule="auto"/>
        <w:ind w:firstLine="482" w:firstLineChars="200"/>
        <w:rPr>
          <w:rFonts w:hint="eastAsia" w:ascii="Times New Roman" w:hAnsi="Times New Roman" w:eastAsia="宋体" w:cs="Times New Roman"/>
          <w:b/>
          <w:bCs/>
          <w:kern w:val="44"/>
          <w:sz w:val="24"/>
          <w:szCs w:val="40"/>
          <w:lang w:val="en-US" w:eastAsia="zh-CN" w:bidi="ar-SA"/>
        </w:rPr>
      </w:pPr>
      <w:r>
        <w:rPr>
          <w:rFonts w:hint="eastAsia" w:ascii="Times New Roman" w:hAnsi="Times New Roman" w:eastAsia="宋体" w:cs="Times New Roman"/>
          <w:b/>
          <w:bCs/>
          <w:kern w:val="44"/>
          <w:sz w:val="24"/>
          <w:szCs w:val="40"/>
          <w:lang w:val="en-US" w:eastAsia="zh-CN" w:bidi="ar-SA"/>
        </w:rPr>
        <w:t>三、标准编制原则和主要技术内容确定的依据</w:t>
      </w:r>
      <w:bookmarkEnd w:id="8"/>
      <w:bookmarkStart w:id="9" w:name="_Toc176547935"/>
    </w:p>
    <w:p w14:paraId="3ABCD308">
      <w:pPr>
        <w:spacing w:line="360" w:lineRule="auto"/>
        <w:ind w:firstLine="440" w:firstLineChars="200"/>
        <w:rPr>
          <w:rFonts w:hint="eastAsia"/>
          <w:sz w:val="22"/>
          <w:szCs w:val="28"/>
        </w:rPr>
      </w:pPr>
      <w:r>
        <w:rPr>
          <w:rFonts w:hint="eastAsia"/>
          <w:sz w:val="22"/>
          <w:szCs w:val="28"/>
        </w:rPr>
        <w:t>1、标准编制原则</w:t>
      </w:r>
      <w:bookmarkEnd w:id="9"/>
      <w:bookmarkStart w:id="10" w:name="_Toc176547936"/>
    </w:p>
    <w:p w14:paraId="203741F8">
      <w:pPr>
        <w:spacing w:line="360" w:lineRule="auto"/>
        <w:ind w:firstLine="440" w:firstLineChars="200"/>
        <w:rPr>
          <w:rFonts w:hint="eastAsia" w:ascii="Times New Roman" w:hAnsi="Times New Roman" w:eastAsia="宋体" w:cs="Times New Roman"/>
          <w:bCs/>
          <w:kern w:val="2"/>
          <w:sz w:val="22"/>
          <w:szCs w:val="20"/>
          <w:lang w:val="en-US" w:eastAsia="zh-CN" w:bidi="ar-SA"/>
        </w:rPr>
      </w:pPr>
      <w:r>
        <w:rPr>
          <w:rFonts w:hint="eastAsia" w:ascii="Times New Roman" w:hAnsi="Times New Roman" w:eastAsia="宋体" w:cs="Times New Roman"/>
          <w:bCs/>
          <w:kern w:val="2"/>
          <w:sz w:val="22"/>
          <w:szCs w:val="20"/>
          <w:lang w:val="en-US" w:eastAsia="zh-CN" w:bidi="ar-SA"/>
        </w:rPr>
        <w:t>科学性原则：以区域气候条件、土壤特性、多年田间试验数据为依据，技术指标真实可靠、有据可依。</w:t>
      </w:r>
    </w:p>
    <w:p w14:paraId="5CFE75E4">
      <w:pPr>
        <w:spacing w:line="360" w:lineRule="auto"/>
        <w:ind w:firstLine="440" w:firstLineChars="200"/>
        <w:rPr>
          <w:rFonts w:hint="eastAsia" w:ascii="Times New Roman" w:hAnsi="Times New Roman" w:eastAsia="宋体" w:cs="Times New Roman"/>
          <w:bCs/>
          <w:kern w:val="2"/>
          <w:sz w:val="22"/>
          <w:szCs w:val="20"/>
          <w:lang w:val="en-US" w:eastAsia="zh-CN" w:bidi="ar-SA"/>
        </w:rPr>
      </w:pPr>
      <w:r>
        <w:rPr>
          <w:rFonts w:hint="eastAsia" w:ascii="Times New Roman" w:hAnsi="Times New Roman" w:eastAsia="宋体" w:cs="Times New Roman"/>
          <w:bCs/>
          <w:kern w:val="2"/>
          <w:sz w:val="22"/>
          <w:szCs w:val="20"/>
          <w:lang w:val="en-US" w:eastAsia="zh-CN" w:bidi="ar-SA"/>
        </w:rPr>
        <w:t>因地制宜原则</w:t>
      </w:r>
      <w:r>
        <w:rPr>
          <w:rFonts w:hint="eastAsia" w:cs="Times New Roman"/>
          <w:bCs/>
          <w:kern w:val="2"/>
          <w:sz w:val="22"/>
          <w:szCs w:val="20"/>
          <w:lang w:val="en-US" w:eastAsia="zh-CN" w:bidi="ar-SA"/>
        </w:rPr>
        <w:t>：</w:t>
      </w:r>
      <w:r>
        <w:rPr>
          <w:rFonts w:hint="eastAsia" w:ascii="Times New Roman" w:hAnsi="Times New Roman" w:eastAsia="宋体" w:cs="Times New Roman"/>
          <w:bCs/>
          <w:kern w:val="2"/>
          <w:sz w:val="22"/>
          <w:szCs w:val="20"/>
          <w:lang w:val="en-US" w:eastAsia="zh-CN" w:bidi="ar-SA"/>
        </w:rPr>
        <w:t>立足藏北那曲极度高寒、高海拔、生长季短、生态脆弱的地域特点，贴合本地生产实际，区别于普通高寒地区标准。</w:t>
      </w:r>
    </w:p>
    <w:p w14:paraId="5073B5AE">
      <w:pPr>
        <w:spacing w:line="360" w:lineRule="auto"/>
        <w:ind w:firstLine="440" w:firstLineChars="200"/>
        <w:rPr>
          <w:rFonts w:hint="eastAsia" w:ascii="Times New Roman" w:hAnsi="Times New Roman" w:eastAsia="宋体" w:cs="Times New Roman"/>
          <w:bCs/>
          <w:kern w:val="2"/>
          <w:sz w:val="22"/>
          <w:szCs w:val="20"/>
          <w:lang w:val="en-US" w:eastAsia="zh-CN" w:bidi="ar-SA"/>
        </w:rPr>
      </w:pPr>
      <w:r>
        <w:rPr>
          <w:rFonts w:hint="eastAsia" w:ascii="Times New Roman" w:hAnsi="Times New Roman" w:eastAsia="宋体" w:cs="Times New Roman"/>
          <w:bCs/>
          <w:kern w:val="2"/>
          <w:sz w:val="22"/>
          <w:szCs w:val="20"/>
          <w:lang w:val="en-US" w:eastAsia="zh-CN" w:bidi="ar-SA"/>
        </w:rPr>
        <w:t>生态优先原则</w:t>
      </w:r>
      <w:r>
        <w:rPr>
          <w:rFonts w:hint="eastAsia" w:cs="Times New Roman"/>
          <w:bCs/>
          <w:kern w:val="2"/>
          <w:sz w:val="22"/>
          <w:szCs w:val="20"/>
          <w:lang w:val="en-US" w:eastAsia="zh-CN" w:bidi="ar-SA"/>
        </w:rPr>
        <w:t>：</w:t>
      </w:r>
      <w:r>
        <w:rPr>
          <w:rFonts w:hint="eastAsia" w:ascii="Times New Roman" w:hAnsi="Times New Roman" w:eastAsia="宋体" w:cs="Times New Roman"/>
          <w:bCs/>
          <w:kern w:val="2"/>
          <w:sz w:val="22"/>
          <w:szCs w:val="20"/>
          <w:lang w:val="en-US" w:eastAsia="zh-CN" w:bidi="ar-SA"/>
        </w:rPr>
        <w:t>兼顾燕麦生产与草原生态保护，规范种植方式，防止过度开垦，助力草畜平衡与退化草地修复。</w:t>
      </w:r>
    </w:p>
    <w:p w14:paraId="20414AB5">
      <w:pPr>
        <w:spacing w:line="360" w:lineRule="auto"/>
        <w:ind w:firstLine="440" w:firstLineChars="200"/>
        <w:rPr>
          <w:rFonts w:hint="eastAsia" w:ascii="Times New Roman" w:hAnsi="Times New Roman" w:eastAsia="宋体" w:cs="Times New Roman"/>
          <w:bCs/>
          <w:kern w:val="2"/>
          <w:sz w:val="22"/>
          <w:szCs w:val="20"/>
          <w:lang w:val="en-US" w:eastAsia="zh-CN" w:bidi="ar-SA"/>
        </w:rPr>
      </w:pPr>
      <w:r>
        <w:rPr>
          <w:rFonts w:hint="eastAsia" w:ascii="Times New Roman" w:hAnsi="Times New Roman" w:eastAsia="宋体" w:cs="Times New Roman"/>
          <w:bCs/>
          <w:kern w:val="2"/>
          <w:sz w:val="22"/>
          <w:szCs w:val="20"/>
          <w:lang w:val="en-US" w:eastAsia="zh-CN" w:bidi="ar-SA"/>
        </w:rPr>
        <w:t>实用可操作原则</w:t>
      </w:r>
      <w:r>
        <w:rPr>
          <w:rFonts w:hint="eastAsia" w:cs="Times New Roman"/>
          <w:bCs/>
          <w:kern w:val="2"/>
          <w:sz w:val="22"/>
          <w:szCs w:val="20"/>
          <w:lang w:val="en-US" w:eastAsia="zh-CN" w:bidi="ar-SA"/>
        </w:rPr>
        <w:t>：</w:t>
      </w:r>
      <w:r>
        <w:rPr>
          <w:rFonts w:hint="eastAsia" w:ascii="Times New Roman" w:hAnsi="Times New Roman" w:eastAsia="宋体" w:cs="Times New Roman"/>
          <w:bCs/>
          <w:kern w:val="2"/>
          <w:sz w:val="22"/>
          <w:szCs w:val="20"/>
          <w:lang w:val="en-US" w:eastAsia="zh-CN" w:bidi="ar-SA"/>
        </w:rPr>
        <w:t>条款简明易懂、技术流程清晰，适合基层农技人员和农牧民掌握应用，便于大面积推广落地。</w:t>
      </w:r>
    </w:p>
    <w:p w14:paraId="7213B934">
      <w:pPr>
        <w:pStyle w:val="4"/>
        <w:keepNext/>
        <w:keepLines/>
        <w:pageBreakBefore w:val="0"/>
        <w:widowControl w:val="0"/>
        <w:kinsoku/>
        <w:wordWrap/>
        <w:overflowPunct/>
        <w:topLinePunct w:val="0"/>
        <w:autoSpaceDE/>
        <w:autoSpaceDN/>
        <w:bidi w:val="0"/>
        <w:adjustRightInd/>
        <w:snapToGrid/>
        <w:spacing w:before="0" w:after="0"/>
        <w:ind w:firstLine="440" w:firstLineChars="200"/>
        <w:textAlignment w:val="auto"/>
        <w:rPr>
          <w:rFonts w:hint="eastAsia" w:ascii="Times New Roman" w:hAnsi="Times New Roman" w:eastAsia="宋体" w:cs="Times New Roman"/>
          <w:bCs/>
          <w:kern w:val="2"/>
          <w:sz w:val="22"/>
          <w:szCs w:val="20"/>
          <w:lang w:val="en-US" w:eastAsia="zh-CN" w:bidi="ar-SA"/>
        </w:rPr>
      </w:pPr>
      <w:r>
        <w:rPr>
          <w:rFonts w:hint="eastAsia" w:ascii="Times New Roman" w:hAnsi="Times New Roman" w:eastAsia="宋体" w:cs="Times New Roman"/>
          <w:bCs/>
          <w:kern w:val="2"/>
          <w:sz w:val="22"/>
          <w:szCs w:val="20"/>
          <w:lang w:val="en-US" w:eastAsia="zh-CN" w:bidi="ar-SA"/>
        </w:rPr>
        <w:t>规范协调原则：严格遵循国家标准编写格式规范，与现行草原保护、饲草种植相关法规及地方标准协调一致。</w:t>
      </w:r>
    </w:p>
    <w:p w14:paraId="49E6A766">
      <w:pPr>
        <w:pStyle w:val="4"/>
        <w:keepNext/>
        <w:keepLines/>
        <w:pageBreakBefore w:val="0"/>
        <w:widowControl w:val="0"/>
        <w:kinsoku/>
        <w:wordWrap/>
        <w:overflowPunct/>
        <w:topLinePunct w:val="0"/>
        <w:autoSpaceDE/>
        <w:autoSpaceDN/>
        <w:bidi w:val="0"/>
        <w:adjustRightInd/>
        <w:snapToGrid/>
        <w:spacing w:before="0" w:after="0"/>
        <w:ind w:firstLine="440" w:firstLineChars="200"/>
        <w:textAlignment w:val="auto"/>
        <w:rPr>
          <w:rFonts w:hint="eastAsia" w:ascii="Times New Roman" w:hAnsi="Times New Roman" w:eastAsia="宋体" w:cs="Times New Roman"/>
          <w:bCs/>
          <w:kern w:val="2"/>
          <w:sz w:val="22"/>
          <w:szCs w:val="20"/>
          <w:lang w:val="en-US" w:eastAsia="zh-CN" w:bidi="ar-SA"/>
        </w:rPr>
      </w:pPr>
      <w:r>
        <w:rPr>
          <w:rFonts w:hint="eastAsia" w:ascii="Times New Roman" w:hAnsi="Times New Roman" w:eastAsia="宋体" w:cs="Times New Roman"/>
          <w:bCs/>
          <w:kern w:val="2"/>
          <w:sz w:val="22"/>
          <w:szCs w:val="20"/>
          <w:lang w:val="en-US" w:eastAsia="zh-CN" w:bidi="ar-SA"/>
        </w:rPr>
        <w:t>先进性原则：吸纳高海拔燕麦种植最新科研成果与成熟实用技术，引领区域燕麦标准化、规范化生产。</w:t>
      </w:r>
    </w:p>
    <w:p w14:paraId="2A46D5F2">
      <w:pPr>
        <w:pStyle w:val="4"/>
        <w:keepNext/>
        <w:keepLines/>
        <w:pageBreakBefore w:val="0"/>
        <w:widowControl w:val="0"/>
        <w:kinsoku/>
        <w:wordWrap/>
        <w:overflowPunct/>
        <w:topLinePunct w:val="0"/>
        <w:autoSpaceDE/>
        <w:autoSpaceDN/>
        <w:bidi w:val="0"/>
        <w:adjustRightInd/>
        <w:snapToGrid/>
        <w:spacing w:before="0" w:after="0"/>
        <w:ind w:firstLine="440" w:firstLineChars="200"/>
        <w:textAlignment w:val="auto"/>
        <w:rPr>
          <w:rFonts w:hint="eastAsia" w:ascii="宋体" w:hAnsi="宋体" w:eastAsia="黑体"/>
          <w:sz w:val="16"/>
          <w:szCs w:val="16"/>
          <w:lang w:eastAsia="zh-CN"/>
        </w:rPr>
      </w:pPr>
      <w:r>
        <w:rPr>
          <w:rFonts w:hint="eastAsia"/>
          <w:sz w:val="22"/>
          <w:szCs w:val="28"/>
        </w:rPr>
        <w:t>2、主要技术内容确定的论据</w:t>
      </w:r>
      <w:bookmarkEnd w:id="10"/>
    </w:p>
    <w:p w14:paraId="7A8A7E00">
      <w:pPr>
        <w:numPr>
          <w:ilvl w:val="0"/>
          <w:numId w:val="0"/>
        </w:numPr>
        <w:spacing w:line="360" w:lineRule="auto"/>
        <w:ind w:left="480" w:leftChars="0" w:firstLine="0" w:firstLineChars="0"/>
        <w:rPr>
          <w:b/>
          <w:color w:val="000000"/>
          <w:sz w:val="22"/>
          <w:szCs w:val="20"/>
        </w:rPr>
      </w:pPr>
      <w:r>
        <w:rPr>
          <w:rFonts w:ascii="Times New Roman" w:hAnsi="Times New Roman" w:eastAsia="宋体" w:cs="Times New Roman"/>
          <w:b/>
          <w:color w:val="000000"/>
          <w:kern w:val="2"/>
          <w:sz w:val="22"/>
          <w:szCs w:val="20"/>
          <w:lang w:val="en-US" w:eastAsia="zh-CN" w:bidi="ar-SA"/>
        </w:rPr>
        <w:t>（1）</w:t>
      </w:r>
      <w:r>
        <w:rPr>
          <w:rFonts w:hint="eastAsia"/>
          <w:b/>
          <w:color w:val="000000"/>
          <w:sz w:val="22"/>
          <w:szCs w:val="20"/>
        </w:rPr>
        <w:t>适用范围</w:t>
      </w:r>
    </w:p>
    <w:p w14:paraId="0FB4FD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40" w:firstLineChars="200"/>
        <w:textAlignment w:val="auto"/>
        <w:rPr>
          <w:rFonts w:hint="eastAsia"/>
          <w:sz w:val="22"/>
          <w:szCs w:val="20"/>
          <w:lang w:val="en-US" w:eastAsia="zh-CN"/>
        </w:rPr>
      </w:pPr>
      <w:r>
        <w:rPr>
          <w:rFonts w:hint="eastAsia"/>
          <w:sz w:val="22"/>
          <w:szCs w:val="20"/>
          <w:lang w:val="en-US" w:eastAsia="zh-CN"/>
        </w:rPr>
        <w:t>本规程适用于本标准适用于海拔4800 m以上藏北那曲极度高寒牧区，聚焦极度退化草地、鼠害鼠荒地、撂荒地，规范燕麦饲草产地环境、栽培管理、田间管护、数据观测、收割贮藏全流程技术要求，为该区域燕麦高产人工草地建植与生产提供统一技术依据。</w:t>
      </w:r>
    </w:p>
    <w:p w14:paraId="17CCAAB6">
      <w:pPr>
        <w:numPr>
          <w:ilvl w:val="0"/>
          <w:numId w:val="0"/>
        </w:numPr>
        <w:spacing w:line="360" w:lineRule="auto"/>
        <w:ind w:left="480" w:leftChars="0" w:firstLine="0" w:firstLineChars="0"/>
        <w:rPr>
          <w:rFonts w:hint="eastAsia" w:ascii="Times New Roman" w:hAnsi="Times New Roman" w:eastAsia="宋体" w:cs="Times New Roman"/>
          <w:b/>
          <w:color w:val="000000"/>
          <w:kern w:val="2"/>
          <w:sz w:val="22"/>
          <w:szCs w:val="20"/>
          <w:lang w:val="en-US" w:eastAsia="zh-CN" w:bidi="ar-SA"/>
        </w:rPr>
      </w:pPr>
      <w:r>
        <w:rPr>
          <w:rFonts w:hint="eastAsia" w:ascii="Times New Roman" w:hAnsi="Times New Roman" w:eastAsia="宋体" w:cs="Times New Roman"/>
          <w:b/>
          <w:color w:val="000000"/>
          <w:kern w:val="2"/>
          <w:sz w:val="22"/>
          <w:szCs w:val="20"/>
          <w:lang w:val="en-US" w:eastAsia="zh-CN" w:bidi="ar-SA"/>
        </w:rPr>
        <w:t>（2）主要技术内容：</w:t>
      </w:r>
    </w:p>
    <w:p w14:paraId="61615F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40" w:firstLineChars="200"/>
        <w:textAlignment w:val="auto"/>
        <w:rPr>
          <w:rFonts w:hint="eastAsia"/>
          <w:sz w:val="22"/>
          <w:szCs w:val="20"/>
          <w:lang w:val="en-US" w:eastAsia="zh-CN"/>
        </w:rPr>
      </w:pPr>
      <w:bookmarkStart w:id="11" w:name="_Toc4478"/>
      <w:r>
        <w:rPr>
          <w:rFonts w:hint="eastAsia"/>
          <w:sz w:val="22"/>
          <w:szCs w:val="20"/>
          <w:lang w:val="en-US" w:eastAsia="zh-CN"/>
        </w:rPr>
        <w:t>场地选择</w:t>
      </w:r>
      <w:bookmarkEnd w:id="11"/>
      <w:r>
        <w:rPr>
          <w:rFonts w:hint="eastAsia"/>
          <w:sz w:val="22"/>
          <w:szCs w:val="20"/>
          <w:lang w:val="en-US" w:eastAsia="zh-CN"/>
        </w:rPr>
        <w:t>：高产人工草地应选择在地势相对平坦，坡度不大，一般坡度小于100，比较开阔，不易引起风蚀沙化，土层厚度30厘米以上，土壤质地和水热条件较好，富含有机质，适合播种牧草生长，肥水充足和距水源较近，地下水位适中，距牧区居民点、养殖牧户和畜群点比较近、交通方便的重度退化草地、鼠害鼠荒地、撂荒地等。</w:t>
      </w:r>
    </w:p>
    <w:p w14:paraId="142A85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40" w:firstLineChars="200"/>
        <w:textAlignment w:val="auto"/>
        <w:rPr>
          <w:rFonts w:hint="eastAsia"/>
          <w:sz w:val="22"/>
          <w:szCs w:val="20"/>
          <w:lang w:val="en-US" w:eastAsia="zh-CN"/>
        </w:rPr>
      </w:pPr>
      <w:bookmarkStart w:id="12" w:name="_Toc2405"/>
      <w:r>
        <w:rPr>
          <w:rFonts w:hint="eastAsia"/>
          <w:sz w:val="22"/>
          <w:szCs w:val="20"/>
          <w:lang w:val="en-US" w:eastAsia="zh-CN"/>
        </w:rPr>
        <w:t>土地平整</w:t>
      </w:r>
      <w:bookmarkEnd w:id="12"/>
      <w:r>
        <w:rPr>
          <w:rFonts w:hint="eastAsia"/>
          <w:sz w:val="22"/>
          <w:szCs w:val="20"/>
          <w:lang w:val="en-US" w:eastAsia="zh-CN"/>
        </w:rPr>
        <w:t>：地块整理包括除杂、耙地、旋地、镇压等，地块整理前先进行土壤养分的检测，确定氮、磷、钾、有机肥及有关微量元素含量，或查阅当地土壤调查资料，了解土壤养分水平，以便制定施肥计划。</w:t>
      </w:r>
    </w:p>
    <w:p w14:paraId="63548CA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40" w:firstLineChars="200"/>
        <w:textAlignment w:val="auto"/>
        <w:rPr>
          <w:rFonts w:hint="eastAsia"/>
          <w:sz w:val="22"/>
          <w:szCs w:val="20"/>
          <w:lang w:val="en-US" w:eastAsia="zh-CN"/>
        </w:rPr>
      </w:pPr>
      <w:r>
        <w:rPr>
          <w:rFonts w:hint="eastAsia"/>
          <w:sz w:val="22"/>
          <w:szCs w:val="20"/>
          <w:lang w:val="en-US" w:eastAsia="zh-CN"/>
        </w:rPr>
        <w:t>除杂：捡拾器全面清除地面其他植物、碎石、大石块等异物。</w:t>
      </w:r>
    </w:p>
    <w:p w14:paraId="3CEAB21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40" w:firstLineChars="200"/>
        <w:textAlignment w:val="auto"/>
        <w:rPr>
          <w:rFonts w:hint="eastAsia"/>
          <w:sz w:val="22"/>
          <w:szCs w:val="20"/>
          <w:lang w:val="en-US" w:eastAsia="zh-CN"/>
        </w:rPr>
      </w:pPr>
      <w:r>
        <w:rPr>
          <w:rFonts w:hint="eastAsia"/>
          <w:sz w:val="22"/>
          <w:szCs w:val="20"/>
          <w:lang w:val="en-US" w:eastAsia="zh-CN"/>
        </w:rPr>
        <w:t>犁地：利用液压翻转犁对所选人工草地建植地块进行翻耕，切土。</w:t>
      </w:r>
    </w:p>
    <w:p w14:paraId="3F815B7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40" w:firstLineChars="200"/>
        <w:textAlignment w:val="auto"/>
        <w:rPr>
          <w:rFonts w:hint="eastAsia"/>
          <w:sz w:val="22"/>
          <w:szCs w:val="20"/>
          <w:lang w:val="en-US" w:eastAsia="zh-CN"/>
        </w:rPr>
      </w:pPr>
      <w:r>
        <w:rPr>
          <w:rFonts w:hint="eastAsia"/>
          <w:sz w:val="22"/>
          <w:szCs w:val="20"/>
          <w:lang w:val="en-US" w:eastAsia="zh-CN"/>
        </w:rPr>
        <w:t>耙地平整：使用动力驱动耙对已翻耕的土地进行碎土平整，确保地平土碎，利于牧草生长。</w:t>
      </w:r>
      <w:bookmarkStart w:id="13" w:name="_Toc2560"/>
    </w:p>
    <w:bookmarkEnd w:id="13"/>
    <w:p w14:paraId="050A982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40" w:firstLineChars="200"/>
        <w:textAlignment w:val="auto"/>
        <w:rPr>
          <w:rFonts w:hint="eastAsia"/>
          <w:sz w:val="22"/>
          <w:szCs w:val="20"/>
          <w:lang w:val="en-US" w:eastAsia="zh-CN"/>
        </w:rPr>
      </w:pPr>
      <w:bookmarkStart w:id="14" w:name="_Toc13934"/>
      <w:r>
        <w:rPr>
          <w:rFonts w:hint="eastAsia"/>
          <w:sz w:val="22"/>
          <w:szCs w:val="20"/>
          <w:lang w:val="en-US" w:eastAsia="zh-CN"/>
        </w:rPr>
        <w:t>技术路线</w:t>
      </w:r>
      <w:bookmarkEnd w:id="14"/>
      <w:r>
        <w:rPr>
          <w:rFonts w:hint="eastAsia"/>
          <w:sz w:val="22"/>
          <w:szCs w:val="20"/>
          <w:lang w:val="en-US" w:eastAsia="zh-CN"/>
        </w:rPr>
        <w:t>：灭鼠（种植区域鼠害较多的可投放饵料）—灌溉—深翻—施用底肥—整地（动力驱动耙）—播种—覆土—灌溉—田间管理观测（记录饲草各生育期状况）—追肥（分蘖期和拔节期适量追肥）—适时收割—贮藏。</w:t>
      </w:r>
    </w:p>
    <w:p w14:paraId="0692592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40" w:firstLineChars="200"/>
        <w:textAlignment w:val="auto"/>
        <w:rPr>
          <w:rFonts w:hint="eastAsia"/>
          <w:sz w:val="22"/>
          <w:szCs w:val="20"/>
          <w:lang w:val="en-US" w:eastAsia="zh-CN"/>
        </w:rPr>
      </w:pPr>
      <w:bookmarkStart w:id="15" w:name="_Toc12502"/>
      <w:bookmarkStart w:id="16" w:name="_Toc2515"/>
      <w:r>
        <w:rPr>
          <w:rFonts w:hint="eastAsia"/>
          <w:sz w:val="22"/>
          <w:szCs w:val="20"/>
          <w:lang w:val="en-US" w:eastAsia="zh-CN"/>
        </w:rPr>
        <w:t>基础设施</w:t>
      </w:r>
      <w:bookmarkEnd w:id="15"/>
      <w:bookmarkEnd w:id="16"/>
      <w:r>
        <w:rPr>
          <w:rFonts w:hint="eastAsia"/>
          <w:sz w:val="22"/>
          <w:szCs w:val="20"/>
          <w:lang w:val="en-US" w:eastAsia="zh-CN"/>
        </w:rPr>
        <w:t>：在地段选择成功后或者完成播种后，使用带刺丝的网围栏进行围栏建设，保护已完成种植草地；</w:t>
      </w:r>
    </w:p>
    <w:p w14:paraId="4E104B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40" w:firstLineChars="200"/>
        <w:textAlignment w:val="auto"/>
        <w:rPr>
          <w:rFonts w:hint="eastAsia"/>
          <w:sz w:val="22"/>
          <w:szCs w:val="20"/>
          <w:lang w:val="en-US" w:eastAsia="zh-CN"/>
        </w:rPr>
      </w:pPr>
      <w:bookmarkStart w:id="17" w:name="_Toc17692"/>
      <w:bookmarkStart w:id="18" w:name="_Toc18304"/>
      <w:bookmarkStart w:id="19" w:name="_Toc22531"/>
      <w:r>
        <w:rPr>
          <w:rFonts w:hint="eastAsia"/>
          <w:sz w:val="22"/>
          <w:szCs w:val="20"/>
          <w:lang w:val="en-US" w:eastAsia="zh-CN"/>
        </w:rPr>
        <w:t>灌溉设备</w:t>
      </w:r>
      <w:bookmarkEnd w:id="17"/>
      <w:bookmarkEnd w:id="18"/>
      <w:bookmarkEnd w:id="19"/>
      <w:r>
        <w:rPr>
          <w:rFonts w:hint="eastAsia"/>
          <w:sz w:val="22"/>
          <w:szCs w:val="20"/>
          <w:lang w:val="en-US" w:eastAsia="zh-CN"/>
        </w:rPr>
        <w:t>：在比较干旱的地区可以修建灌溉设施，包括水井、喷灌设备。</w:t>
      </w:r>
    </w:p>
    <w:p w14:paraId="64E1F17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40" w:firstLineChars="200"/>
        <w:textAlignment w:val="auto"/>
        <w:rPr>
          <w:rFonts w:hint="eastAsia"/>
          <w:sz w:val="22"/>
          <w:szCs w:val="20"/>
          <w:lang w:val="en-US" w:eastAsia="zh-CN"/>
        </w:rPr>
      </w:pPr>
      <w:bookmarkStart w:id="20" w:name="_Toc19801"/>
      <w:bookmarkStart w:id="21" w:name="_Toc23154"/>
      <w:r>
        <w:rPr>
          <w:rFonts w:hint="eastAsia"/>
          <w:sz w:val="22"/>
          <w:szCs w:val="20"/>
          <w:lang w:val="en-US" w:eastAsia="zh-CN"/>
        </w:rPr>
        <w:t>草种选择</w:t>
      </w:r>
      <w:bookmarkEnd w:id="20"/>
      <w:bookmarkEnd w:id="21"/>
      <w:r>
        <w:rPr>
          <w:rFonts w:hint="eastAsia"/>
          <w:sz w:val="22"/>
          <w:szCs w:val="20"/>
          <w:lang w:val="en-US" w:eastAsia="zh-CN"/>
        </w:rPr>
        <w:t>：根据相关科研院所及研推中心牧草品种引种适应性试验研究结果结合中东西不同区域牧草生育期，推荐藏北高寒牧区人工饲草高产种植品种为青海444、甜燕麦、饲用燕麦、饲用油菜、箭筈豌豆等。</w:t>
      </w:r>
    </w:p>
    <w:p w14:paraId="69CBAA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40" w:firstLineChars="200"/>
        <w:textAlignment w:val="auto"/>
        <w:rPr>
          <w:rFonts w:hint="eastAsia"/>
          <w:sz w:val="22"/>
          <w:szCs w:val="20"/>
          <w:lang w:val="en-US" w:eastAsia="zh-CN"/>
        </w:rPr>
      </w:pPr>
      <w:bookmarkStart w:id="22" w:name="_Toc4119"/>
      <w:bookmarkStart w:id="23" w:name="_Toc9033"/>
      <w:bookmarkStart w:id="24" w:name="_Toc24534"/>
      <w:r>
        <w:rPr>
          <w:rFonts w:hint="eastAsia"/>
          <w:sz w:val="22"/>
          <w:szCs w:val="20"/>
          <w:lang w:val="en-US" w:eastAsia="zh-CN"/>
        </w:rPr>
        <w:t>种子要求</w:t>
      </w:r>
      <w:bookmarkEnd w:id="22"/>
      <w:bookmarkEnd w:id="23"/>
      <w:bookmarkEnd w:id="24"/>
      <w:r>
        <w:rPr>
          <w:rFonts w:hint="eastAsia"/>
          <w:sz w:val="22"/>
          <w:szCs w:val="20"/>
          <w:lang w:val="en-US" w:eastAsia="zh-CN"/>
        </w:rPr>
        <w:t>：播种的种子要求纯净度高、籽粒饱满匀称、生命力强、含水量低、发芽率高，禾本科牧草种子的含水量为11%-12%,豆科牧草种子的含水量为12%-14%。</w:t>
      </w:r>
    </w:p>
    <w:p w14:paraId="1BD7A9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40" w:firstLineChars="200"/>
        <w:textAlignment w:val="auto"/>
        <w:rPr>
          <w:rFonts w:hint="eastAsia"/>
          <w:sz w:val="22"/>
          <w:szCs w:val="20"/>
          <w:lang w:val="en-US" w:eastAsia="zh-CN"/>
        </w:rPr>
      </w:pPr>
      <w:bookmarkStart w:id="25" w:name="_Toc4472"/>
      <w:bookmarkStart w:id="26" w:name="_Toc9374"/>
      <w:bookmarkStart w:id="27" w:name="_Toc25108"/>
      <w:r>
        <w:rPr>
          <w:rFonts w:hint="eastAsia"/>
          <w:sz w:val="22"/>
          <w:szCs w:val="20"/>
          <w:lang w:val="en-US" w:eastAsia="zh-CN"/>
        </w:rPr>
        <w:t>播种前种子处理</w:t>
      </w:r>
      <w:bookmarkEnd w:id="25"/>
      <w:bookmarkEnd w:id="26"/>
      <w:bookmarkEnd w:id="27"/>
      <w:r>
        <w:rPr>
          <w:rFonts w:hint="eastAsia"/>
          <w:sz w:val="22"/>
          <w:szCs w:val="20"/>
          <w:lang w:val="en-US" w:eastAsia="zh-CN"/>
        </w:rPr>
        <w:t>：为保证播种质量，播种前应根据不同情况对种子进行去芒、清选、浸种、根瘤菌接种的处理，</w:t>
      </w:r>
    </w:p>
    <w:p w14:paraId="11B1543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40" w:firstLineChars="200"/>
        <w:textAlignment w:val="auto"/>
        <w:rPr>
          <w:rFonts w:hint="eastAsia"/>
          <w:sz w:val="22"/>
          <w:szCs w:val="20"/>
          <w:lang w:val="en-US" w:eastAsia="zh-CN"/>
        </w:rPr>
      </w:pPr>
      <w:bookmarkStart w:id="28" w:name="_Toc17169"/>
      <w:bookmarkStart w:id="29" w:name="_Toc14564"/>
      <w:bookmarkStart w:id="30" w:name="_Toc1644"/>
      <w:r>
        <w:rPr>
          <w:rFonts w:hint="eastAsia"/>
          <w:sz w:val="22"/>
          <w:szCs w:val="20"/>
          <w:lang w:val="en-US" w:eastAsia="zh-CN"/>
        </w:rPr>
        <w:t>播种时间</w:t>
      </w:r>
      <w:bookmarkEnd w:id="28"/>
      <w:bookmarkEnd w:id="29"/>
      <w:bookmarkEnd w:id="30"/>
      <w:r>
        <w:rPr>
          <w:rFonts w:hint="eastAsia"/>
          <w:sz w:val="22"/>
          <w:szCs w:val="20"/>
          <w:lang w:val="en-US" w:eastAsia="zh-CN"/>
        </w:rPr>
        <w:t>：藏北高寒牧区人工饲草种植时间应根据不同海拔梯度进行，海拔在4300米以下区域海拔，播种时间在4月下旬；海拔在4300-4500米左右的区域，播种时间应在5月中旬；海拔在4500-4800米及以上的区域，种植时间在5月下旬，以确保牧草有足够的时间完成各生育期生长。</w:t>
      </w:r>
    </w:p>
    <w:p w14:paraId="17D2695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40" w:firstLineChars="200"/>
        <w:textAlignment w:val="auto"/>
        <w:rPr>
          <w:rFonts w:hint="eastAsia"/>
          <w:sz w:val="22"/>
          <w:szCs w:val="20"/>
          <w:lang w:val="en-US" w:eastAsia="zh-CN"/>
        </w:rPr>
      </w:pPr>
      <w:bookmarkStart w:id="31" w:name="_Toc13377"/>
      <w:bookmarkStart w:id="32" w:name="_Toc23502"/>
      <w:bookmarkStart w:id="33" w:name="_Toc14918"/>
      <w:r>
        <w:rPr>
          <w:rFonts w:hint="eastAsia"/>
          <w:sz w:val="22"/>
          <w:szCs w:val="20"/>
          <w:lang w:val="en-US" w:eastAsia="zh-CN"/>
        </w:rPr>
        <w:t>播种方式</w:t>
      </w:r>
      <w:bookmarkEnd w:id="31"/>
      <w:bookmarkEnd w:id="32"/>
      <w:bookmarkEnd w:id="33"/>
      <w:r>
        <w:rPr>
          <w:rFonts w:hint="eastAsia"/>
          <w:sz w:val="22"/>
          <w:szCs w:val="20"/>
          <w:lang w:val="en-US" w:eastAsia="zh-CN"/>
        </w:rPr>
        <w:t>：藏北高寒牧区大面积人工饲草种植中最适合的播种方式是机械条播，其减轻劳动强度，节约劳动力、播种效率高、种子深度一致、播种量均匀，条播能提高作物的透光、透风、增加产量，同时便于后期管理、施肥浇水等田间措施。小面积房前屋后种植或者畜圈暖棚种草则建议撒播方式，并同时配套使用微耕机完成相关种植工作。</w:t>
      </w:r>
    </w:p>
    <w:p w14:paraId="40A5DCD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40" w:firstLineChars="200"/>
        <w:textAlignment w:val="auto"/>
        <w:rPr>
          <w:rFonts w:hint="eastAsia"/>
          <w:sz w:val="22"/>
          <w:szCs w:val="20"/>
          <w:lang w:val="en-US" w:eastAsia="zh-CN"/>
        </w:rPr>
      </w:pPr>
      <w:bookmarkStart w:id="34" w:name="_Toc28505"/>
      <w:bookmarkStart w:id="35" w:name="_Toc17905"/>
      <w:bookmarkStart w:id="36" w:name="_Toc5109"/>
      <w:r>
        <w:rPr>
          <w:rFonts w:hint="eastAsia"/>
          <w:sz w:val="22"/>
          <w:szCs w:val="20"/>
          <w:lang w:val="en-US" w:eastAsia="zh-CN"/>
        </w:rPr>
        <w:t>播种量</w:t>
      </w:r>
      <w:bookmarkEnd w:id="34"/>
      <w:bookmarkEnd w:id="35"/>
      <w:bookmarkEnd w:id="36"/>
      <w:r>
        <w:rPr>
          <w:rFonts w:hint="eastAsia"/>
          <w:sz w:val="22"/>
          <w:szCs w:val="20"/>
          <w:lang w:val="en-US" w:eastAsia="zh-CN"/>
        </w:rPr>
        <w:t>：根据藏北高寒牧区的特殊气候、降水量、土壤养分，以及中心不同海拔梯度引进牧草品种不同播量适应性试验表明，藏北高寒牧区高产人工饲草种植最适播量控制在22.5kg/亩。</w:t>
      </w:r>
    </w:p>
    <w:p w14:paraId="57BAA57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40" w:firstLineChars="200"/>
        <w:textAlignment w:val="auto"/>
        <w:rPr>
          <w:rFonts w:hint="eastAsia"/>
          <w:sz w:val="22"/>
          <w:szCs w:val="20"/>
          <w:lang w:val="en-US" w:eastAsia="zh-CN"/>
        </w:rPr>
      </w:pPr>
      <w:bookmarkStart w:id="37" w:name="_Toc16519"/>
      <w:bookmarkStart w:id="38" w:name="_Toc1021"/>
      <w:bookmarkStart w:id="39" w:name="_Toc1024"/>
      <w:r>
        <w:rPr>
          <w:rFonts w:hint="eastAsia"/>
          <w:sz w:val="22"/>
          <w:szCs w:val="20"/>
          <w:lang w:val="en-US" w:eastAsia="zh-CN"/>
        </w:rPr>
        <w:t>播种深度</w:t>
      </w:r>
      <w:bookmarkEnd w:id="37"/>
      <w:bookmarkEnd w:id="38"/>
      <w:bookmarkEnd w:id="39"/>
      <w:r>
        <w:rPr>
          <w:rFonts w:hint="eastAsia"/>
          <w:sz w:val="22"/>
          <w:szCs w:val="20"/>
          <w:lang w:val="en-US" w:eastAsia="zh-CN"/>
        </w:rPr>
        <w:t>：饲料作物播种深度较牧草深，一般播种深度在3-5cm。</w:t>
      </w:r>
    </w:p>
    <w:p w14:paraId="5E04654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40" w:firstLineChars="200"/>
        <w:textAlignment w:val="auto"/>
        <w:rPr>
          <w:rFonts w:hint="eastAsia"/>
          <w:sz w:val="22"/>
          <w:szCs w:val="20"/>
          <w:lang w:val="en-US" w:eastAsia="zh-CN"/>
        </w:rPr>
      </w:pPr>
      <w:bookmarkStart w:id="40" w:name="_Toc14539"/>
      <w:bookmarkStart w:id="41" w:name="_Toc24229"/>
      <w:bookmarkStart w:id="42" w:name="_Toc32328"/>
      <w:r>
        <w:rPr>
          <w:rFonts w:hint="eastAsia"/>
          <w:sz w:val="22"/>
          <w:szCs w:val="20"/>
          <w:lang w:val="en-US" w:eastAsia="zh-CN"/>
        </w:rPr>
        <w:t>定期灌溉</w:t>
      </w:r>
      <w:bookmarkEnd w:id="40"/>
      <w:bookmarkEnd w:id="41"/>
      <w:bookmarkEnd w:id="42"/>
      <w:r>
        <w:rPr>
          <w:rFonts w:hint="eastAsia"/>
          <w:sz w:val="22"/>
          <w:szCs w:val="20"/>
          <w:lang w:val="en-US" w:eastAsia="zh-CN"/>
        </w:rPr>
        <w:t>：在完成牧草播种工作后，依据牧草不同生育期及土壤蒸发量进行不定期灌溉，中东部灌水量50m3/亩、西部灌水量70m3/亩。</w:t>
      </w:r>
    </w:p>
    <w:p w14:paraId="586A2E4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40" w:firstLineChars="200"/>
        <w:textAlignment w:val="auto"/>
        <w:rPr>
          <w:rFonts w:hint="eastAsia"/>
          <w:sz w:val="22"/>
          <w:szCs w:val="20"/>
          <w:lang w:val="en-US" w:eastAsia="zh-CN"/>
        </w:rPr>
      </w:pPr>
      <w:bookmarkStart w:id="43" w:name="_Toc5028"/>
      <w:bookmarkStart w:id="44" w:name="_Toc24659"/>
      <w:bookmarkStart w:id="45" w:name="_Toc1533"/>
      <w:r>
        <w:rPr>
          <w:rFonts w:hint="eastAsia"/>
          <w:sz w:val="22"/>
          <w:szCs w:val="20"/>
          <w:lang w:val="en-US" w:eastAsia="zh-CN"/>
        </w:rPr>
        <w:t>破除土壤板结</w:t>
      </w:r>
      <w:bookmarkEnd w:id="43"/>
      <w:bookmarkEnd w:id="44"/>
      <w:bookmarkEnd w:id="45"/>
      <w:r>
        <w:rPr>
          <w:rFonts w:hint="eastAsia"/>
          <w:sz w:val="22"/>
          <w:szCs w:val="20"/>
          <w:lang w:val="en-US" w:eastAsia="zh-CN"/>
        </w:rPr>
        <w:t>：地表出现板结现象，用短齿耙、具有短齿的镇压器或者板结破除器进行破除，有灌溉条件的也可采用轻度灌溉破除板结。增加水的入渗率，改善土壤通气性，清除杂草，调节土温和减少蒸发等，使土壤疏松，活土层增厚，能显著提高土壤蓄水保墒能力。</w:t>
      </w:r>
    </w:p>
    <w:p w14:paraId="1268DAB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40" w:firstLineChars="200"/>
        <w:textAlignment w:val="auto"/>
        <w:rPr>
          <w:rFonts w:hint="eastAsia"/>
          <w:sz w:val="22"/>
          <w:szCs w:val="20"/>
          <w:lang w:val="en-US" w:eastAsia="zh-CN"/>
        </w:rPr>
      </w:pPr>
      <w:bookmarkStart w:id="46" w:name="_Toc14163"/>
      <w:r>
        <w:rPr>
          <w:rFonts w:hint="eastAsia"/>
          <w:sz w:val="22"/>
          <w:szCs w:val="20"/>
          <w:lang w:val="en-US" w:eastAsia="zh-CN"/>
        </w:rPr>
        <w:t>追肥</w:t>
      </w:r>
      <w:bookmarkEnd w:id="46"/>
      <w:r>
        <w:rPr>
          <w:rFonts w:hint="eastAsia"/>
          <w:sz w:val="22"/>
          <w:szCs w:val="20"/>
          <w:lang w:val="en-US" w:eastAsia="zh-CN"/>
        </w:rPr>
        <w:t>：一般情况下，在牧草分蘖期开始第一次追肥工作，追肥量10斤/亩，在牧草生长达到拔节期时开始第二次追肥工作。</w:t>
      </w:r>
    </w:p>
    <w:p w14:paraId="4FB0BB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40" w:firstLineChars="200"/>
        <w:textAlignment w:val="auto"/>
        <w:rPr>
          <w:rFonts w:hint="eastAsia"/>
          <w:sz w:val="22"/>
          <w:szCs w:val="20"/>
          <w:lang w:val="en-US" w:eastAsia="zh-CN"/>
        </w:rPr>
      </w:pPr>
      <w:bookmarkStart w:id="47" w:name="_Toc8000"/>
      <w:r>
        <w:rPr>
          <w:rFonts w:hint="eastAsia"/>
          <w:sz w:val="22"/>
          <w:szCs w:val="20"/>
          <w:lang w:val="en-US" w:eastAsia="zh-CN"/>
        </w:rPr>
        <w:t>病虫害防治</w:t>
      </w:r>
      <w:bookmarkEnd w:id="47"/>
      <w:r>
        <w:rPr>
          <w:rFonts w:hint="eastAsia"/>
          <w:sz w:val="22"/>
          <w:szCs w:val="20"/>
          <w:lang w:val="en-US" w:eastAsia="zh-CN"/>
        </w:rPr>
        <w:t>：病虫害防治病虫害防治就是采取各种有效措施，控制或消灭病虫害，保护作物正常生长，从而提高产量和品质。</w:t>
      </w:r>
    </w:p>
    <w:p w14:paraId="7D1EF89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40" w:firstLineChars="200"/>
        <w:textAlignment w:val="auto"/>
        <w:rPr>
          <w:rFonts w:hint="eastAsia"/>
          <w:sz w:val="22"/>
          <w:szCs w:val="20"/>
          <w:lang w:val="en-US" w:eastAsia="zh-CN"/>
        </w:rPr>
      </w:pPr>
      <w:r>
        <w:rPr>
          <w:rFonts w:hint="eastAsia"/>
          <w:sz w:val="22"/>
          <w:szCs w:val="20"/>
          <w:lang w:val="en-US" w:eastAsia="zh-CN"/>
        </w:rPr>
        <w:t>侵染性病害由细菌、真菌、病毒、线虫、高等寄生物侵染而引起。</w:t>
      </w:r>
    </w:p>
    <w:p w14:paraId="3954FE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40" w:firstLineChars="200"/>
        <w:textAlignment w:val="auto"/>
        <w:rPr>
          <w:rFonts w:hint="eastAsia"/>
          <w:sz w:val="22"/>
          <w:szCs w:val="20"/>
          <w:lang w:val="en-US" w:eastAsia="zh-CN"/>
        </w:rPr>
      </w:pPr>
      <w:r>
        <w:rPr>
          <w:rFonts w:hint="eastAsia"/>
          <w:sz w:val="22"/>
          <w:szCs w:val="20"/>
          <w:lang w:val="en-US" w:eastAsia="zh-CN"/>
        </w:rPr>
        <w:t>非侵染性病害由于水分、养分不足或过多，温度过低或过高，阳光过强或过弱等不适合的外界环境条件所引起，在得病的作物体内找不到任何寄生物，不具传染性。这类病亦称生理病害。</w:t>
      </w:r>
    </w:p>
    <w:p w14:paraId="709956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40" w:firstLineChars="200"/>
        <w:textAlignment w:val="auto"/>
        <w:rPr>
          <w:rFonts w:hint="eastAsia"/>
          <w:sz w:val="22"/>
          <w:szCs w:val="20"/>
          <w:lang w:val="en-US" w:eastAsia="zh-CN"/>
        </w:rPr>
      </w:pPr>
      <w:r>
        <w:rPr>
          <w:rFonts w:hint="eastAsia"/>
          <w:sz w:val="22"/>
          <w:szCs w:val="20"/>
          <w:lang w:val="en-US" w:eastAsia="zh-CN"/>
        </w:rPr>
        <w:t>虫害：咀嚼式口器类此类害虫以齿状的口器咬食植物组织，将叶片咬成孔洞或缺刻，咬断嫩的植株，如草原毛虫。可用4.5%氯氰菊酯乳油进行防治，一般在5月下旬进行灭虫准备工作，6月初开始进行灭虫。</w:t>
      </w:r>
    </w:p>
    <w:p w14:paraId="396714F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40" w:firstLineChars="200"/>
        <w:textAlignment w:val="auto"/>
        <w:rPr>
          <w:rFonts w:hint="eastAsia"/>
          <w:sz w:val="22"/>
          <w:szCs w:val="20"/>
          <w:lang w:val="en-US" w:eastAsia="zh-CN"/>
        </w:rPr>
      </w:pPr>
      <w:bookmarkStart w:id="48" w:name="_Toc9465"/>
      <w:r>
        <w:rPr>
          <w:rFonts w:hint="eastAsia"/>
          <w:sz w:val="22"/>
          <w:szCs w:val="20"/>
          <w:lang w:val="en-US" w:eastAsia="zh-CN"/>
        </w:rPr>
        <w:t>田间数据观测</w:t>
      </w:r>
      <w:bookmarkEnd w:id="48"/>
      <w:r>
        <w:rPr>
          <w:rFonts w:hint="eastAsia"/>
          <w:sz w:val="22"/>
          <w:szCs w:val="20"/>
          <w:lang w:val="en-US" w:eastAsia="zh-CN"/>
        </w:rPr>
        <w:t>：观测牧草各生育期内植株高度、缺水、缺肥情况，并根据种子乳熟情况适时收割。</w:t>
      </w:r>
    </w:p>
    <w:p w14:paraId="6B9257A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40" w:firstLineChars="200"/>
        <w:textAlignment w:val="auto"/>
        <w:rPr>
          <w:rFonts w:hint="eastAsia"/>
          <w:sz w:val="22"/>
          <w:szCs w:val="20"/>
          <w:lang w:val="en-US" w:eastAsia="zh-CN"/>
        </w:rPr>
      </w:pPr>
      <w:bookmarkStart w:id="49" w:name="_Toc30719"/>
      <w:r>
        <w:rPr>
          <w:rFonts w:hint="eastAsia"/>
          <w:sz w:val="22"/>
          <w:szCs w:val="20"/>
          <w:lang w:val="en-US" w:eastAsia="zh-CN"/>
        </w:rPr>
        <w:t>收割入库</w:t>
      </w:r>
      <w:bookmarkEnd w:id="49"/>
      <w:r>
        <w:rPr>
          <w:rFonts w:hint="eastAsia"/>
          <w:sz w:val="22"/>
          <w:szCs w:val="20"/>
          <w:lang w:val="en-US" w:eastAsia="zh-CN"/>
        </w:rPr>
        <w:t>：一般在9月中旬开始收割，收割后将鲜牧草运至已用混凝土铺设的开阔场地进行晾晒，白天每隔2h对牧草进行上下翻到，夜间用塑料布覆盖，防止其吸潮，并随时关注天气情况（防雨）。待牧草含水量降至20%以下时，将牧草打捆或堆垛存放，并做好防雨、防潮措施。</w:t>
      </w:r>
    </w:p>
    <w:p w14:paraId="5D98435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42" w:firstLineChars="200"/>
        <w:textAlignment w:val="auto"/>
        <w:rPr>
          <w:rFonts w:hint="eastAsia" w:ascii="Times New Roman" w:hAnsi="Times New Roman" w:eastAsia="宋体" w:cs="Times New Roman"/>
          <w:b/>
          <w:color w:val="000000"/>
          <w:kern w:val="2"/>
          <w:sz w:val="22"/>
          <w:szCs w:val="20"/>
          <w:lang w:val="en-US" w:eastAsia="zh-CN" w:bidi="ar-SA"/>
        </w:rPr>
      </w:pPr>
      <w:r>
        <w:rPr>
          <w:rFonts w:hint="eastAsia" w:cs="Times New Roman"/>
          <w:b/>
          <w:color w:val="000000"/>
          <w:kern w:val="2"/>
          <w:sz w:val="22"/>
          <w:szCs w:val="20"/>
          <w:lang w:val="en-US" w:eastAsia="zh-CN" w:bidi="ar-SA"/>
        </w:rPr>
        <w:t>（3）</w:t>
      </w:r>
      <w:r>
        <w:rPr>
          <w:rFonts w:hint="eastAsia" w:ascii="Times New Roman" w:hAnsi="Times New Roman" w:eastAsia="宋体" w:cs="Times New Roman"/>
          <w:b/>
          <w:color w:val="000000"/>
          <w:kern w:val="2"/>
          <w:sz w:val="22"/>
          <w:szCs w:val="20"/>
          <w:lang w:val="en-US" w:eastAsia="zh-CN" w:bidi="ar-SA"/>
        </w:rPr>
        <w:t>试验设计与实施</w:t>
      </w:r>
    </w:p>
    <w:p w14:paraId="4E21D5CC">
      <w:pPr>
        <w:pStyle w:val="7"/>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kern w:val="2"/>
          <w:sz w:val="22"/>
          <w:szCs w:val="20"/>
          <w:lang w:val="en-US" w:eastAsia="zh-CN" w:bidi="ar-SA"/>
        </w:rPr>
      </w:pPr>
      <w:bookmarkStart w:id="50" w:name="_Toc23255"/>
      <w:r>
        <w:rPr>
          <w:rFonts w:hint="eastAsia" w:ascii="宋体" w:hAnsi="宋体" w:eastAsia="宋体" w:cs="宋体"/>
          <w:kern w:val="2"/>
          <w:sz w:val="22"/>
          <w:szCs w:val="20"/>
          <w:lang w:val="en-US" w:eastAsia="zh-CN" w:bidi="ar-SA"/>
        </w:rPr>
        <w:sym w:font="Wingdings" w:char="F081"/>
      </w:r>
      <w:r>
        <w:rPr>
          <w:rFonts w:hint="eastAsia" w:ascii="宋体" w:hAnsi="宋体" w:eastAsia="宋体" w:cs="宋体"/>
          <w:kern w:val="2"/>
          <w:sz w:val="22"/>
          <w:szCs w:val="20"/>
          <w:lang w:val="en-US" w:eastAsia="zh-CN" w:bidi="ar-SA"/>
        </w:rPr>
        <w:t>藏北高寒牧区燕麦高产生产技术示范</w:t>
      </w:r>
    </w:p>
    <w:p w14:paraId="7DDEF854">
      <w:pPr>
        <w:pStyle w:val="7"/>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kern w:val="2"/>
          <w:sz w:val="22"/>
          <w:szCs w:val="20"/>
          <w:lang w:val="en-US" w:eastAsia="zh-CN" w:bidi="ar-SA"/>
        </w:rPr>
      </w:pPr>
      <w:bookmarkStart w:id="51" w:name="_Toc5004"/>
      <w:r>
        <w:rPr>
          <w:rFonts w:hint="eastAsia" w:ascii="宋体" w:hAnsi="宋体" w:eastAsia="宋体" w:cs="宋体"/>
          <w:kern w:val="2"/>
          <w:sz w:val="22"/>
          <w:szCs w:val="20"/>
          <w:lang w:val="en-US" w:eastAsia="zh-CN" w:bidi="ar-SA"/>
        </w:rPr>
        <w:t>试验材料</w:t>
      </w:r>
      <w:bookmarkEnd w:id="51"/>
      <w:r>
        <w:rPr>
          <w:rFonts w:hint="eastAsia" w:cs="宋体"/>
          <w:kern w:val="2"/>
          <w:sz w:val="22"/>
          <w:szCs w:val="20"/>
          <w:lang w:val="en-US" w:eastAsia="zh-CN" w:bidi="ar-SA"/>
        </w:rPr>
        <w:t>：</w:t>
      </w:r>
      <w:r>
        <w:rPr>
          <w:rFonts w:hint="eastAsia" w:ascii="宋体" w:hAnsi="宋体" w:eastAsia="宋体" w:cs="宋体"/>
          <w:kern w:val="2"/>
          <w:sz w:val="22"/>
          <w:szCs w:val="20"/>
          <w:lang w:val="en-US" w:eastAsia="zh-CN" w:bidi="ar-SA"/>
        </w:rPr>
        <w:t>根据当地气候地理因素以及饲草种植区设备配套情况，所选牧草主要为青海444、甜燕麦、饲用油菜、绿麦，按比例混播种植。</w:t>
      </w:r>
    </w:p>
    <w:p w14:paraId="52F94287">
      <w:pPr>
        <w:pStyle w:val="7"/>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kern w:val="2"/>
          <w:sz w:val="22"/>
          <w:szCs w:val="20"/>
          <w:lang w:val="en-US" w:eastAsia="zh-CN" w:bidi="ar-SA"/>
        </w:rPr>
      </w:pPr>
      <w:bookmarkStart w:id="52" w:name="_Toc31521"/>
      <w:r>
        <w:rPr>
          <w:rFonts w:hint="eastAsia" w:ascii="宋体" w:hAnsi="宋体" w:eastAsia="宋体" w:cs="宋体"/>
          <w:kern w:val="2"/>
          <w:sz w:val="22"/>
          <w:szCs w:val="20"/>
          <w:lang w:val="en-US" w:eastAsia="zh-CN" w:bidi="ar-SA"/>
        </w:rPr>
        <w:t>技术路线</w:t>
      </w:r>
      <w:bookmarkEnd w:id="52"/>
      <w:r>
        <w:rPr>
          <w:rFonts w:hint="eastAsia" w:cs="宋体"/>
          <w:kern w:val="2"/>
          <w:sz w:val="22"/>
          <w:szCs w:val="20"/>
          <w:lang w:val="en-US" w:eastAsia="zh-CN" w:bidi="ar-SA"/>
        </w:rPr>
        <w:t>：</w:t>
      </w:r>
      <w:r>
        <w:rPr>
          <w:rFonts w:hint="eastAsia" w:ascii="宋体" w:hAnsi="宋体" w:eastAsia="宋体" w:cs="宋体"/>
          <w:kern w:val="2"/>
          <w:sz w:val="22"/>
          <w:szCs w:val="20"/>
          <w:lang w:val="en-US" w:eastAsia="zh-CN" w:bidi="ar-SA"/>
        </w:rPr>
        <w:t>测土配方施肥——深翻（浅耕）——整地——播种——覆土——不同生育期定期灌溉——适时收割——调制加工、贮存利用</w:t>
      </w:r>
    </w:p>
    <w:p w14:paraId="1AB8FB83">
      <w:pPr>
        <w:pStyle w:val="7"/>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kern w:val="2"/>
          <w:sz w:val="22"/>
          <w:szCs w:val="20"/>
          <w:lang w:val="en-US" w:eastAsia="zh-CN" w:bidi="ar-SA"/>
        </w:rPr>
      </w:pPr>
      <w:bookmarkStart w:id="53" w:name="_Toc10504"/>
      <w:r>
        <w:rPr>
          <w:rFonts w:hint="eastAsia" w:ascii="宋体" w:hAnsi="宋体" w:eastAsia="宋体" w:cs="宋体"/>
          <w:kern w:val="2"/>
          <w:sz w:val="22"/>
          <w:szCs w:val="20"/>
          <w:lang w:val="en-US" w:eastAsia="zh-CN" w:bidi="ar-SA"/>
        </w:rPr>
        <w:t>试验处理</w:t>
      </w:r>
      <w:bookmarkEnd w:id="53"/>
      <w:r>
        <w:rPr>
          <w:rFonts w:hint="eastAsia" w:cs="宋体"/>
          <w:kern w:val="2"/>
          <w:sz w:val="22"/>
          <w:szCs w:val="20"/>
          <w:lang w:val="en-US" w:eastAsia="zh-CN" w:bidi="ar-SA"/>
        </w:rPr>
        <w:t>：</w:t>
      </w:r>
      <w:r>
        <w:rPr>
          <w:rFonts w:hint="eastAsia" w:ascii="宋体" w:hAnsi="宋体" w:eastAsia="宋体" w:cs="宋体"/>
          <w:kern w:val="2"/>
          <w:sz w:val="22"/>
          <w:szCs w:val="20"/>
          <w:lang w:val="en-US" w:eastAsia="zh-CN" w:bidi="ar-SA"/>
        </w:rPr>
        <w:t>试验种植区在那曲市尼玛县尼玛镇饲草基地进行，灌溉方式为自走式灌溉机灌溉，牧草品种为青海444、甜燕麦、饲用油菜、绿麦四个品种按照合适的比例进行混播。试验地海拔4500m，年平均降水量为150mm左右，属高原亚寒带半干旱季风气候和高原寒带干旱气候，多大风天气。试验选择具有灌溉条件的1号喷灌圈所覆盖的土地3组（10×10㎡），对照组为1号喷灌圈北侧的空地（旱作10×10㎡），在燕麦播种完成之后定期灌溉，每次灌水量以土壤渗透灌溉7cm为准。主要研究藏北高寒牧区适宜地点灌溉条件下燕麦饲草高产生产技术，播种时间为2022年5月底，9月底牧草收割。</w:t>
      </w:r>
    </w:p>
    <w:p w14:paraId="20EC05C1">
      <w:pPr>
        <w:pStyle w:val="7"/>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kern w:val="2"/>
          <w:sz w:val="22"/>
          <w:szCs w:val="20"/>
          <w:lang w:val="en-US" w:eastAsia="zh-CN" w:bidi="ar-SA"/>
        </w:rPr>
      </w:pPr>
    </w:p>
    <w:p w14:paraId="4DC1285F">
      <w:pPr>
        <w:pStyle w:val="7"/>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kern w:val="2"/>
          <w:sz w:val="22"/>
          <w:szCs w:val="20"/>
          <w:lang w:val="en-US" w:eastAsia="zh-CN" w:bidi="ar-SA"/>
        </w:rPr>
      </w:pPr>
    </w:p>
    <w:p w14:paraId="7C09890E">
      <w:pPr>
        <w:pStyle w:val="7"/>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kern w:val="2"/>
          <w:sz w:val="22"/>
          <w:szCs w:val="20"/>
          <w:lang w:val="en-US" w:eastAsia="zh-CN" w:bidi="ar-SA"/>
        </w:rPr>
      </w:pPr>
      <w:r>
        <w:rPr>
          <w:rFonts w:hint="eastAsia" w:ascii="宋体" w:hAnsi="宋体" w:eastAsia="宋体" w:cs="宋体"/>
          <w:kern w:val="2"/>
          <w:sz w:val="22"/>
          <w:szCs w:val="20"/>
          <w:lang w:val="en-US" w:eastAsia="zh-CN" w:bidi="ar-SA"/>
        </w:rPr>
        <w:t>讨论</w:t>
      </w:r>
      <w:r>
        <w:rPr>
          <w:rFonts w:hint="eastAsia" w:cs="宋体"/>
          <w:kern w:val="2"/>
          <w:sz w:val="22"/>
          <w:szCs w:val="20"/>
          <w:lang w:val="en-US" w:eastAsia="zh-CN" w:bidi="ar-SA"/>
        </w:rPr>
        <w:t>：</w:t>
      </w:r>
      <w:r>
        <w:rPr>
          <w:rFonts w:hint="eastAsia" w:ascii="宋体" w:hAnsi="宋体" w:eastAsia="宋体" w:cs="宋体"/>
          <w:kern w:val="2"/>
          <w:sz w:val="22"/>
          <w:szCs w:val="20"/>
          <w:lang w:val="en-US" w:eastAsia="zh-CN" w:bidi="ar-SA"/>
        </w:rPr>
        <w:t>根据尼玛县多年降雨资料，降雨主要集中在6月中下旬至8月初，9月份偶尔会有强降雨天气，降雨有效的补充了该阶段牧草的需水，充分利用雨能够满足作物的需水需求。5月末播种至苗期（6月上旬）土壤含水量较低，可少量灌水，增加水分，减少风沙对幼苗破坏，以保证出苗。7-8月是牧草生殖生长时期，需水量大，且降雨量减少，没有灌溉将导致作物产量的下降，须定期灌溉满足燕麦饲草正常生长对水分需求，才能够促进牧草增产。</w:t>
      </w:r>
    </w:p>
    <w:p w14:paraId="18CAD73F">
      <w:pPr>
        <w:pStyle w:val="7"/>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kern w:val="2"/>
          <w:sz w:val="22"/>
          <w:szCs w:val="20"/>
          <w:lang w:val="en-US" w:eastAsia="zh-CN" w:bidi="ar-SA"/>
        </w:rPr>
      </w:pPr>
      <w:bookmarkStart w:id="54" w:name="_Toc6275"/>
      <w:bookmarkStart w:id="55" w:name="_Toc32369"/>
      <w:bookmarkStart w:id="56" w:name="_Toc27618"/>
      <w:bookmarkStart w:id="57" w:name="_Toc9916"/>
      <w:bookmarkStart w:id="58" w:name="_Toc13575"/>
      <w:r>
        <w:rPr>
          <w:rFonts w:hint="eastAsia" w:ascii="宋体" w:hAnsi="宋体" w:eastAsia="宋体" w:cs="宋体"/>
          <w:kern w:val="2"/>
          <w:sz w:val="22"/>
          <w:szCs w:val="20"/>
          <w:lang w:val="en-US" w:eastAsia="zh-CN" w:bidi="ar-SA"/>
        </w:rPr>
        <w:t>结果分析</w:t>
      </w:r>
      <w:bookmarkEnd w:id="54"/>
      <w:bookmarkEnd w:id="55"/>
      <w:bookmarkEnd w:id="56"/>
      <w:bookmarkEnd w:id="57"/>
      <w:bookmarkEnd w:id="58"/>
      <w:r>
        <w:rPr>
          <w:rFonts w:hint="eastAsia" w:cs="宋体"/>
          <w:kern w:val="2"/>
          <w:sz w:val="22"/>
          <w:szCs w:val="20"/>
          <w:lang w:val="en-US" w:eastAsia="zh-CN" w:bidi="ar-SA"/>
        </w:rPr>
        <w:t>：</w:t>
      </w:r>
      <w:r>
        <w:rPr>
          <w:rFonts w:hint="eastAsia" w:ascii="宋体" w:hAnsi="宋体" w:eastAsia="宋体" w:cs="宋体"/>
          <w:kern w:val="2"/>
          <w:sz w:val="22"/>
          <w:szCs w:val="20"/>
          <w:lang w:val="en-US" w:eastAsia="zh-CN" w:bidi="ar-SA"/>
        </w:rPr>
        <w:t>随着灌溉次数的增加，牧草鲜草产量呈增加趋势（表2），灌溉次数≥4次时，发生倒伏现象，倒伏面积为12%，表明过多灌溉会导致燕麦抗倒伏性降低，牧草产量随之降低。在灌溉条件下，3个处理组当中，平均亩产鲜草产量最高4000kg/亩，无灌溉条件下，亩产鲜草达1000kg/亩，灌溉与不灌溉对比，每亩增产范围为2220—3000kg/亩。</w:t>
      </w:r>
    </w:p>
    <w:p w14:paraId="441771D1">
      <w:pPr>
        <w:pStyle w:val="7"/>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kern w:val="2"/>
          <w:sz w:val="22"/>
          <w:szCs w:val="20"/>
          <w:lang w:val="en-US" w:eastAsia="zh-CN" w:bidi="ar-SA"/>
        </w:rPr>
      </w:pPr>
      <w:r>
        <w:rPr>
          <w:rFonts w:hint="eastAsia" w:ascii="宋体" w:hAnsi="宋体" w:eastAsia="宋体" w:cs="宋体"/>
          <w:kern w:val="2"/>
          <w:sz w:val="22"/>
          <w:szCs w:val="20"/>
          <w:lang w:val="en-US" w:eastAsia="zh-CN" w:bidi="ar-SA"/>
        </w:rPr>
        <w:sym w:font="Wingdings" w:char="F082"/>
      </w:r>
      <w:r>
        <w:rPr>
          <w:rFonts w:hint="eastAsia" w:ascii="宋体" w:hAnsi="宋体" w:eastAsia="宋体" w:cs="宋体"/>
          <w:kern w:val="2"/>
          <w:sz w:val="22"/>
          <w:szCs w:val="20"/>
          <w:lang w:val="en-US" w:eastAsia="zh-CN" w:bidi="ar-SA"/>
        </w:rPr>
        <w:t xml:space="preserve">燕麦青干草调制加工   </w:t>
      </w:r>
    </w:p>
    <w:p w14:paraId="56D5E662">
      <w:pPr>
        <w:pStyle w:val="7"/>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kern w:val="2"/>
          <w:sz w:val="22"/>
          <w:szCs w:val="20"/>
          <w:lang w:val="en-US" w:eastAsia="zh-CN" w:bidi="ar-SA"/>
        </w:rPr>
      </w:pPr>
      <w:bookmarkStart w:id="59" w:name="_Toc14059"/>
      <w:r>
        <w:rPr>
          <w:rFonts w:hint="eastAsia" w:ascii="宋体" w:hAnsi="宋体" w:eastAsia="宋体" w:cs="宋体"/>
          <w:kern w:val="2"/>
          <w:sz w:val="22"/>
          <w:szCs w:val="20"/>
          <w:lang w:val="en-US" w:eastAsia="zh-CN" w:bidi="ar-SA"/>
        </w:rPr>
        <w:t>试验材料</w:t>
      </w:r>
      <w:bookmarkEnd w:id="59"/>
      <w:r>
        <w:rPr>
          <w:rFonts w:hint="eastAsia" w:cs="宋体"/>
          <w:kern w:val="2"/>
          <w:sz w:val="22"/>
          <w:szCs w:val="20"/>
          <w:lang w:val="en-US" w:eastAsia="zh-CN" w:bidi="ar-SA"/>
        </w:rPr>
        <w:t>：</w:t>
      </w:r>
      <w:r>
        <w:rPr>
          <w:rFonts w:hint="eastAsia" w:ascii="宋体" w:hAnsi="宋体" w:eastAsia="宋体" w:cs="宋体"/>
          <w:kern w:val="2"/>
          <w:sz w:val="22"/>
          <w:szCs w:val="20"/>
          <w:lang w:val="en-US" w:eastAsia="zh-CN" w:bidi="ar-SA"/>
        </w:rPr>
        <w:t>试验主要材料为刈割后的燕麦植株</w:t>
      </w:r>
    </w:p>
    <w:p w14:paraId="6C8BE656">
      <w:pPr>
        <w:pStyle w:val="7"/>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kern w:val="2"/>
          <w:sz w:val="22"/>
          <w:szCs w:val="20"/>
          <w:lang w:val="en-US" w:eastAsia="zh-CN" w:bidi="ar-SA"/>
        </w:rPr>
      </w:pPr>
      <w:bookmarkStart w:id="60" w:name="_Toc2098"/>
      <w:r>
        <w:rPr>
          <w:rFonts w:hint="eastAsia" w:ascii="宋体" w:hAnsi="宋体" w:eastAsia="宋体" w:cs="宋体"/>
          <w:kern w:val="2"/>
          <w:sz w:val="22"/>
          <w:szCs w:val="20"/>
          <w:lang w:val="en-US" w:eastAsia="zh-CN" w:bidi="ar-SA"/>
        </w:rPr>
        <w:t>技术路线</w:t>
      </w:r>
      <w:bookmarkEnd w:id="60"/>
      <w:r>
        <w:rPr>
          <w:rFonts w:hint="eastAsia" w:cs="宋体"/>
          <w:kern w:val="2"/>
          <w:sz w:val="22"/>
          <w:szCs w:val="20"/>
          <w:lang w:val="en-US" w:eastAsia="zh-CN" w:bidi="ar-SA"/>
        </w:rPr>
        <w:t>：</w:t>
      </w:r>
      <w:r>
        <w:rPr>
          <w:rFonts w:hint="eastAsia" w:ascii="宋体" w:hAnsi="宋体" w:eastAsia="宋体" w:cs="宋体"/>
          <w:kern w:val="2"/>
          <w:sz w:val="22"/>
          <w:szCs w:val="20"/>
          <w:lang w:val="en-US" w:eastAsia="zh-CN" w:bidi="ar-SA"/>
        </w:rPr>
        <w:t>青干草的制作主要是干燥过程，干燥又分自然干燥、人工干燥。自然干燥指放置在一定的环境下自由挥发水分至 15% 左右，人工干燥指低温、高温、物理化学方法干燥，还有通过压裂茎秆干燥。优质的青干草含有牲畜所必需的各种营养成分，合理调制的青干草，一般粗蛋白质含量比秸秆高2倍以上，矿物质等的含量较高，纤维素含量比秸秆低一半左右，木质化程度较低，粗纤维的消化率较高。调制青干草是为了便于贮藏，尽可能较多的保存牧草原来的营养物质，特别是减少粗蛋白质、胡萝卜素及必需氨基酸的损失，这些营养物质的含量，与加工调制的技术关系很大，为了减少各种营养物质的损失，在牧草刈割之后，最重要的是迅速脱水干燥进行调制。</w:t>
      </w:r>
    </w:p>
    <w:p w14:paraId="2B0092D5">
      <w:pPr>
        <w:pStyle w:val="7"/>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kern w:val="2"/>
          <w:sz w:val="22"/>
          <w:szCs w:val="20"/>
          <w:lang w:val="en-US" w:eastAsia="zh-CN" w:bidi="ar-SA"/>
        </w:rPr>
      </w:pPr>
      <w:bookmarkStart w:id="61" w:name="_Toc11547"/>
      <w:r>
        <w:rPr>
          <w:rFonts w:hint="eastAsia" w:ascii="宋体" w:hAnsi="宋体" w:eastAsia="宋体" w:cs="宋体"/>
          <w:kern w:val="2"/>
          <w:sz w:val="22"/>
          <w:szCs w:val="20"/>
          <w:lang w:val="en-US" w:eastAsia="zh-CN" w:bidi="ar-SA"/>
        </w:rPr>
        <w:t>试验处理</w:t>
      </w:r>
      <w:bookmarkEnd w:id="61"/>
      <w:bookmarkStart w:id="62" w:name="_Toc13229"/>
      <w:bookmarkStart w:id="63" w:name="_Toc13012"/>
      <w:bookmarkStart w:id="64" w:name="_Toc1206"/>
      <w:bookmarkStart w:id="65" w:name="_Toc21346"/>
      <w:bookmarkStart w:id="66" w:name="_Toc27613"/>
      <w:bookmarkStart w:id="67" w:name="_Toc10204"/>
      <w:bookmarkStart w:id="68" w:name="_Toc10572"/>
      <w:bookmarkStart w:id="69" w:name="_Toc16631"/>
      <w:bookmarkStart w:id="70" w:name="_Toc25808"/>
      <w:bookmarkStart w:id="71" w:name="_Toc10324"/>
      <w:bookmarkStart w:id="72" w:name="_Toc9209"/>
      <w:bookmarkStart w:id="73" w:name="_Toc14856"/>
      <w:bookmarkStart w:id="74" w:name="_Toc22538"/>
      <w:bookmarkStart w:id="75" w:name="_Toc13780"/>
      <w:r>
        <w:rPr>
          <w:rFonts w:hint="eastAsia" w:cs="宋体"/>
          <w:kern w:val="2"/>
          <w:sz w:val="22"/>
          <w:szCs w:val="20"/>
          <w:lang w:val="en-US" w:eastAsia="zh-CN" w:bidi="ar-SA"/>
        </w:rPr>
        <w:t>：</w:t>
      </w:r>
      <w:r>
        <w:rPr>
          <w:rFonts w:hint="eastAsia" w:ascii="宋体" w:hAnsi="宋体" w:eastAsia="宋体" w:cs="宋体"/>
          <w:kern w:val="2"/>
          <w:sz w:val="22"/>
          <w:szCs w:val="20"/>
          <w:lang w:val="en-US" w:eastAsia="zh-CN" w:bidi="ar-SA"/>
        </w:rPr>
        <w:t>本次燕麦青干草调制加工采用自然干燥（地面干燥法、高寒牧区燕麦冻干草）、人工干燥（低温草架干燥法）3种方式，为了加速燕麦饲草干燥和干燥均匀，必须创造有利于牧草体内水分迅速散失的条件，通过四种调制加工方式来判断干燥时间长短、青干草调制成本、简易程度、调制加工损失量，最终选出适合藏北高寒牧区全程机械化人工饲草青干草调制加工技术。</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5C9A348">
      <w:pPr>
        <w:pStyle w:val="7"/>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kern w:val="2"/>
          <w:sz w:val="22"/>
          <w:szCs w:val="20"/>
          <w:lang w:val="en-US" w:eastAsia="zh-CN" w:bidi="ar-SA"/>
        </w:rPr>
      </w:pPr>
      <w:r>
        <w:rPr>
          <w:rFonts w:hint="eastAsia" w:ascii="宋体" w:hAnsi="宋体" w:eastAsia="宋体" w:cs="宋体"/>
          <w:kern w:val="2"/>
          <w:sz w:val="22"/>
          <w:szCs w:val="20"/>
          <w:lang w:val="en-US" w:eastAsia="zh-CN" w:bidi="ar-SA"/>
        </w:rPr>
        <w:t>地面干燥法：采用地面干燥法随地区气候条件的不同，干燥过程及干燥时间也不一样。在藏北高寒牧区燕麦饲草刈割后就地干燥1～2天，到含水量约为40%～50%左右(茎开凋委，叶子还柔软，不易脱落时)用搂草机搂成松散的草垄，一般草垄间距可根据搂草机作业宽度决定,一般为60—100cm，草垄高30—50cm，宽80～100cm,晒制4～5小时。同时，要防止光照破坏胡萝卜素，避免机械作用引起的叶片、细嫩部分的损失。干燥到牧草含水量15%~18%时，即可用打捆机打成草捆，地面干燥法青干草调制完成。</w:t>
      </w:r>
    </w:p>
    <w:p w14:paraId="3ECD9853">
      <w:pPr>
        <w:pStyle w:val="7"/>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kern w:val="2"/>
          <w:sz w:val="22"/>
          <w:szCs w:val="20"/>
          <w:lang w:val="en-US" w:eastAsia="zh-CN" w:bidi="ar-SA"/>
        </w:rPr>
      </w:pPr>
      <w:r>
        <w:rPr>
          <w:rFonts w:hint="eastAsia" w:ascii="宋体" w:hAnsi="宋体" w:eastAsia="宋体" w:cs="宋体"/>
          <w:kern w:val="2"/>
          <w:sz w:val="22"/>
          <w:szCs w:val="20"/>
          <w:lang w:val="en-US" w:eastAsia="zh-CN" w:bidi="ar-SA"/>
        </w:rPr>
        <w:t>低温草架干燥法：是把割下的草在地面干燥半天或一天，使其含水量降至45%～50%，再将草上架，自下而上逐层堆放，或打成直径15厘米左右的小捆，草顶端朝里，最低层牧草应高出地面，以便于通风，防止与地表接触吸湿。草架干燥法可大大提高牧草的干燥速度，可保证干草品质，减少各种营养物质的损失。</w:t>
      </w:r>
    </w:p>
    <w:p w14:paraId="2F403B89">
      <w:pPr>
        <w:pStyle w:val="7"/>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kern w:val="2"/>
          <w:sz w:val="22"/>
          <w:szCs w:val="20"/>
          <w:lang w:val="en-US" w:eastAsia="zh-CN" w:bidi="ar-SA"/>
        </w:rPr>
      </w:pPr>
      <w:r>
        <w:rPr>
          <w:rFonts w:hint="eastAsia" w:ascii="宋体" w:hAnsi="宋体" w:eastAsia="宋体" w:cs="宋体"/>
          <w:kern w:val="2"/>
          <w:sz w:val="22"/>
          <w:szCs w:val="20"/>
          <w:lang w:val="en-US" w:eastAsia="zh-CN" w:bidi="ar-SA"/>
        </w:rPr>
        <w:t>高寒牧区燕麦冻干草调制法：在燕麦生长季结束时，使其正好处于开花期或乳熟期，经过霜冻后1周内刈割，因茎秆经过霜冻后，变脆而易割。刈割后的草垄铺在地面，不要翻转，直接在地上冻干脱水，含水量在15%以下时即可拉运堆垛。</w:t>
      </w:r>
    </w:p>
    <w:p w14:paraId="4311C355">
      <w:pPr>
        <w:pStyle w:val="7"/>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kern w:val="2"/>
          <w:sz w:val="22"/>
          <w:szCs w:val="20"/>
          <w:lang w:val="en-US" w:eastAsia="zh-CN" w:bidi="ar-SA"/>
        </w:rPr>
      </w:pPr>
      <w:bookmarkStart w:id="76" w:name="_Toc19207"/>
      <w:bookmarkStart w:id="77" w:name="_Toc7233"/>
      <w:r>
        <w:rPr>
          <w:rFonts w:hint="eastAsia" w:ascii="宋体" w:hAnsi="宋体" w:eastAsia="宋体" w:cs="宋体"/>
          <w:kern w:val="2"/>
          <w:sz w:val="22"/>
          <w:szCs w:val="20"/>
          <w:lang w:val="en-US" w:eastAsia="zh-CN" w:bidi="ar-SA"/>
        </w:rPr>
        <w:t>讨论</w:t>
      </w:r>
      <w:bookmarkEnd w:id="76"/>
      <w:bookmarkEnd w:id="77"/>
      <w:r>
        <w:rPr>
          <w:rFonts w:hint="eastAsia" w:cs="宋体"/>
          <w:kern w:val="2"/>
          <w:sz w:val="22"/>
          <w:szCs w:val="20"/>
          <w:lang w:val="en-US" w:eastAsia="zh-CN" w:bidi="ar-SA"/>
        </w:rPr>
        <w:t>：</w:t>
      </w:r>
      <w:r>
        <w:rPr>
          <w:rFonts w:hint="eastAsia" w:ascii="宋体" w:hAnsi="宋体" w:eastAsia="宋体" w:cs="宋体"/>
          <w:kern w:val="2"/>
          <w:sz w:val="22"/>
          <w:szCs w:val="20"/>
          <w:lang w:val="en-US" w:eastAsia="zh-CN" w:bidi="ar-SA"/>
        </w:rPr>
        <w:t>根据尼玛县气候条件饲草收割期为9月中下旬开始，9月份偶尔会有强降雨天气，饲草收割时应考虑田间土壤湿度、是否存在泥泞现象，避免因湿度问题后期收割造成更多的饲草资源浪费。饲草收割完成之后，按照本次燕麦青干饲草加工调制方法对已收割饲草进行不同处理，阳光直射会使胡萝卜素和叶绿素被破坏，干草变黄；燕麦干燥过程中营养物质在细胞呼吸和酶类作用下被分解，造成营养的损失。所以燕麦青干草质量的好坏可以用其干草形态的绿色程度来判定。</w:t>
      </w:r>
    </w:p>
    <w:p w14:paraId="0747BE47">
      <w:pPr>
        <w:pStyle w:val="7"/>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kern w:val="2"/>
          <w:sz w:val="22"/>
          <w:szCs w:val="20"/>
          <w:lang w:val="en-US" w:eastAsia="zh-CN" w:bidi="ar-SA"/>
        </w:rPr>
      </w:pPr>
      <w:bookmarkStart w:id="78" w:name="_Toc9657"/>
      <w:bookmarkStart w:id="79" w:name="_Toc25948"/>
      <w:r>
        <w:rPr>
          <w:rFonts w:hint="eastAsia" w:ascii="宋体" w:hAnsi="宋体" w:eastAsia="宋体" w:cs="宋体"/>
          <w:kern w:val="2"/>
          <w:sz w:val="22"/>
          <w:szCs w:val="20"/>
          <w:lang w:val="en-US" w:eastAsia="zh-CN" w:bidi="ar-SA"/>
        </w:rPr>
        <w:t>结果分析</w:t>
      </w:r>
      <w:bookmarkEnd w:id="78"/>
      <w:bookmarkEnd w:id="79"/>
      <w:bookmarkStart w:id="80" w:name="_Toc10197"/>
      <w:bookmarkStart w:id="81" w:name="_Toc29787"/>
      <w:bookmarkStart w:id="82" w:name="_Toc10722"/>
      <w:r>
        <w:rPr>
          <w:rFonts w:hint="eastAsia" w:cs="宋体"/>
          <w:kern w:val="2"/>
          <w:sz w:val="22"/>
          <w:szCs w:val="20"/>
          <w:lang w:val="en-US" w:eastAsia="zh-CN" w:bidi="ar-SA"/>
        </w:rPr>
        <w:t>：</w:t>
      </w:r>
      <w:r>
        <w:rPr>
          <w:rFonts w:hint="eastAsia" w:ascii="宋体" w:hAnsi="宋体" w:eastAsia="宋体" w:cs="宋体"/>
          <w:kern w:val="2"/>
          <w:sz w:val="22"/>
          <w:szCs w:val="20"/>
          <w:lang w:val="en-US" w:eastAsia="zh-CN" w:bidi="ar-SA"/>
        </w:rPr>
        <w:t>通过对尼玛县尼玛镇饲草基地内高产燕麦饲草进行不同处理方式青干草调制加工对比发现我们所选的：</w:t>
      </w:r>
      <w:bookmarkEnd w:id="80"/>
      <w:bookmarkEnd w:id="81"/>
      <w:bookmarkEnd w:id="82"/>
      <w:bookmarkStart w:id="83" w:name="_Toc18712"/>
      <w:bookmarkStart w:id="84" w:name="_Toc11368"/>
      <w:bookmarkStart w:id="85" w:name="_Toc30990"/>
      <w:r>
        <w:rPr>
          <w:rFonts w:hint="eastAsia" w:ascii="宋体" w:hAnsi="宋体" w:eastAsia="宋体" w:cs="宋体"/>
          <w:kern w:val="2"/>
          <w:sz w:val="22"/>
          <w:szCs w:val="20"/>
          <w:lang w:val="en-US" w:eastAsia="zh-CN" w:bidi="ar-SA"/>
        </w:rPr>
        <w:t>地面干燥法青干草调制加工方式比较适宜藏北高海拔寒旱地区大面积燕麦种植使用，其调制过程简单收割、自然晾晒，青干草水份达到15%以下即可打捆装车入库，成本较低，而且对于燕麦饲草来说造成的二次损失较少，挂叶量较多，运输方便、在单位面积的库房能贮存更多的草捆；</w:t>
      </w:r>
      <w:bookmarkEnd w:id="83"/>
      <w:bookmarkEnd w:id="84"/>
      <w:bookmarkEnd w:id="85"/>
    </w:p>
    <w:p w14:paraId="4455132A">
      <w:pPr>
        <w:pStyle w:val="7"/>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kern w:val="2"/>
          <w:sz w:val="22"/>
          <w:szCs w:val="20"/>
          <w:lang w:val="en-US" w:eastAsia="zh-CN" w:bidi="ar-SA"/>
        </w:rPr>
      </w:pPr>
      <w:bookmarkStart w:id="86" w:name="_Toc6478"/>
      <w:bookmarkStart w:id="87" w:name="_Toc15219"/>
      <w:bookmarkStart w:id="88" w:name="_Toc28434"/>
      <w:r>
        <w:rPr>
          <w:rFonts w:hint="eastAsia" w:ascii="宋体" w:hAnsi="宋体" w:eastAsia="宋体" w:cs="宋体"/>
          <w:kern w:val="2"/>
          <w:sz w:val="22"/>
          <w:szCs w:val="20"/>
          <w:lang w:val="en-US" w:eastAsia="zh-CN" w:bidi="ar-SA"/>
        </w:rPr>
        <w:t>低温草架干燥法适宜于牧区房前屋后小面积、零散户使用，且在草割完后经过畜圈围墙、木架等上面摊开晾晒，草质柔软后再上架依次堆放，不易造成小穗及叶片损失，可保证干草品质，宜于存放使用</w:t>
      </w:r>
      <w:bookmarkEnd w:id="86"/>
      <w:bookmarkEnd w:id="87"/>
      <w:bookmarkEnd w:id="88"/>
      <w:r>
        <w:rPr>
          <w:rFonts w:hint="eastAsia" w:ascii="宋体" w:hAnsi="宋体" w:eastAsia="宋体" w:cs="宋体"/>
          <w:kern w:val="2"/>
          <w:sz w:val="22"/>
          <w:szCs w:val="20"/>
          <w:lang w:val="en-US" w:eastAsia="zh-CN" w:bidi="ar-SA"/>
        </w:rPr>
        <w:t>。</w:t>
      </w:r>
    </w:p>
    <w:p w14:paraId="25B7829B">
      <w:pPr>
        <w:pStyle w:val="7"/>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kern w:val="2"/>
          <w:sz w:val="22"/>
          <w:szCs w:val="20"/>
          <w:lang w:val="en-US" w:eastAsia="zh-CN" w:bidi="ar-SA"/>
        </w:rPr>
      </w:pPr>
      <w:bookmarkStart w:id="89" w:name="_Toc11697"/>
      <w:bookmarkStart w:id="90" w:name="_Toc10906"/>
      <w:bookmarkStart w:id="91" w:name="_Toc27002"/>
      <w:r>
        <w:rPr>
          <w:rFonts w:hint="eastAsia" w:ascii="宋体" w:hAnsi="宋体" w:eastAsia="宋体" w:cs="宋体"/>
          <w:kern w:val="2"/>
          <w:sz w:val="22"/>
          <w:szCs w:val="20"/>
          <w:lang w:val="en-US" w:eastAsia="zh-CN" w:bidi="ar-SA"/>
        </w:rPr>
        <w:t>高寒牧区燕麦冻干草调制法：此方法可成本较低，省去了搂草翻晒环节、缩短晾晒时间等，冻干草干脆，水份含量较低，收割后迅速失去水分宜于打捆入库，降低鲜草翻晒过程中的牧草产量和营养损失。</w:t>
      </w:r>
      <w:bookmarkEnd w:id="89"/>
      <w:bookmarkEnd w:id="90"/>
      <w:bookmarkEnd w:id="91"/>
      <w:r>
        <w:rPr>
          <w:rFonts w:hint="eastAsia" w:ascii="宋体" w:hAnsi="宋体" w:eastAsia="宋体" w:cs="宋体"/>
          <w:kern w:val="2"/>
          <w:sz w:val="22"/>
          <w:szCs w:val="20"/>
          <w:lang w:val="en-US" w:eastAsia="zh-CN" w:bidi="ar-SA"/>
        </w:rPr>
        <w:t>此方法适合于藏北季温相对高、昼夜温差大，突降温度的尼玛县等区域最为使用。</w:t>
      </w:r>
    </w:p>
    <w:bookmarkEnd w:id="50"/>
    <w:p w14:paraId="52005B57">
      <w:pPr>
        <w:numPr>
          <w:ilvl w:val="0"/>
          <w:numId w:val="0"/>
        </w:numPr>
        <w:spacing w:line="360" w:lineRule="auto"/>
        <w:ind w:left="480" w:leftChars="0" w:firstLine="0" w:firstLineChars="0"/>
        <w:rPr>
          <w:b/>
          <w:color w:val="000000"/>
          <w:sz w:val="22"/>
          <w:szCs w:val="20"/>
        </w:rPr>
      </w:pPr>
      <w:r>
        <w:rPr>
          <w:rFonts w:ascii="Times New Roman" w:hAnsi="Times New Roman" w:eastAsia="宋体" w:cs="Times New Roman"/>
          <w:b/>
          <w:color w:val="000000"/>
          <w:kern w:val="2"/>
          <w:sz w:val="22"/>
          <w:szCs w:val="20"/>
          <w:lang w:val="en-US" w:eastAsia="zh-CN" w:bidi="ar-SA"/>
        </w:rPr>
        <w:t>（</w:t>
      </w:r>
      <w:r>
        <w:rPr>
          <w:rFonts w:hint="eastAsia" w:cs="Times New Roman"/>
          <w:b/>
          <w:color w:val="000000"/>
          <w:kern w:val="2"/>
          <w:sz w:val="22"/>
          <w:szCs w:val="20"/>
          <w:lang w:val="en-US" w:eastAsia="zh-CN" w:bidi="ar-SA"/>
        </w:rPr>
        <w:t>4</w:t>
      </w:r>
      <w:r>
        <w:rPr>
          <w:rFonts w:ascii="Times New Roman" w:hAnsi="Times New Roman" w:eastAsia="宋体" w:cs="Times New Roman"/>
          <w:b/>
          <w:color w:val="000000"/>
          <w:kern w:val="2"/>
          <w:sz w:val="22"/>
          <w:szCs w:val="20"/>
          <w:lang w:val="en-US" w:eastAsia="zh-CN" w:bidi="ar-SA"/>
        </w:rPr>
        <w:t>）</w:t>
      </w:r>
      <w:r>
        <w:rPr>
          <w:rFonts w:hint="eastAsia"/>
          <w:b/>
          <w:color w:val="000000"/>
          <w:sz w:val="22"/>
          <w:szCs w:val="20"/>
        </w:rPr>
        <w:t>规范性引用文件</w:t>
      </w:r>
    </w:p>
    <w:p w14:paraId="55C92089">
      <w:pPr>
        <w:spacing w:line="360" w:lineRule="auto"/>
        <w:ind w:firstLine="440" w:firstLineChars="200"/>
        <w:rPr>
          <w:rFonts w:hint="eastAsia"/>
          <w:sz w:val="22"/>
          <w:szCs w:val="20"/>
        </w:rPr>
      </w:pPr>
      <w:bookmarkStart w:id="92" w:name="3　术语和定义"/>
      <w:bookmarkEnd w:id="92"/>
      <w:bookmarkStart w:id="93" w:name="_bookmark3"/>
      <w:bookmarkEnd w:id="93"/>
      <w:r>
        <w:rPr>
          <w:rFonts w:hint="eastAsia"/>
          <w:sz w:val="22"/>
          <w:szCs w:val="20"/>
        </w:rPr>
        <w:t>下列文件对于本文件的应用是必不可少的。凡是注日期的引用文件，仅所注日期的版本适用于本文件。</w:t>
      </w:r>
    </w:p>
    <w:p w14:paraId="417BE61B">
      <w:pPr>
        <w:spacing w:line="360" w:lineRule="auto"/>
        <w:ind w:firstLine="440" w:firstLineChars="200"/>
        <w:rPr>
          <w:rFonts w:hint="eastAsia"/>
          <w:sz w:val="22"/>
          <w:szCs w:val="20"/>
        </w:rPr>
      </w:pPr>
      <w:r>
        <w:rPr>
          <w:rFonts w:hint="eastAsia"/>
          <w:sz w:val="22"/>
          <w:szCs w:val="20"/>
        </w:rPr>
        <w:t>凡是不注日期的引用文件，其最新版本（包括所有的修改单）适用于本文件。</w:t>
      </w:r>
    </w:p>
    <w:p w14:paraId="51BB064E">
      <w:pPr>
        <w:spacing w:line="360" w:lineRule="auto"/>
        <w:ind w:firstLine="440" w:firstLineChars="200"/>
        <w:rPr>
          <w:rFonts w:hint="eastAsia"/>
          <w:sz w:val="22"/>
          <w:szCs w:val="20"/>
        </w:rPr>
      </w:pPr>
      <w:r>
        <w:rPr>
          <w:rFonts w:hint="eastAsia"/>
          <w:sz w:val="22"/>
          <w:szCs w:val="20"/>
        </w:rPr>
        <w:t>GB 6141</w:t>
      </w:r>
      <w:r>
        <w:rPr>
          <w:rFonts w:hint="eastAsia"/>
          <w:sz w:val="22"/>
          <w:szCs w:val="20"/>
          <w:lang w:val="en-US" w:eastAsia="zh-CN"/>
        </w:rPr>
        <w:t xml:space="preserve">  </w:t>
      </w:r>
      <w:r>
        <w:rPr>
          <w:rFonts w:hint="eastAsia"/>
          <w:sz w:val="22"/>
          <w:szCs w:val="20"/>
        </w:rPr>
        <w:t>豆科草种子质量分级</w:t>
      </w:r>
    </w:p>
    <w:p w14:paraId="123619A1">
      <w:pPr>
        <w:spacing w:line="360" w:lineRule="auto"/>
        <w:ind w:firstLine="440" w:firstLineChars="200"/>
        <w:rPr>
          <w:rFonts w:hint="eastAsia"/>
          <w:sz w:val="22"/>
          <w:szCs w:val="20"/>
        </w:rPr>
      </w:pPr>
      <w:r>
        <w:rPr>
          <w:rFonts w:hint="eastAsia"/>
          <w:sz w:val="22"/>
          <w:szCs w:val="20"/>
        </w:rPr>
        <w:t>GB 6142</w:t>
      </w:r>
      <w:r>
        <w:rPr>
          <w:rFonts w:hint="eastAsia"/>
          <w:sz w:val="22"/>
          <w:szCs w:val="20"/>
          <w:lang w:val="en-US" w:eastAsia="zh-CN"/>
        </w:rPr>
        <w:t xml:space="preserve">  </w:t>
      </w:r>
      <w:r>
        <w:rPr>
          <w:rFonts w:hint="eastAsia"/>
          <w:sz w:val="22"/>
          <w:szCs w:val="20"/>
        </w:rPr>
        <w:t>禾本科草种子质量分级</w:t>
      </w:r>
    </w:p>
    <w:p w14:paraId="275D3A0C">
      <w:pPr>
        <w:spacing w:line="360" w:lineRule="auto"/>
        <w:ind w:firstLine="440" w:firstLineChars="200"/>
        <w:rPr>
          <w:rFonts w:hint="eastAsia"/>
          <w:sz w:val="22"/>
          <w:szCs w:val="20"/>
        </w:rPr>
      </w:pPr>
      <w:r>
        <w:rPr>
          <w:rFonts w:hint="eastAsia"/>
          <w:sz w:val="22"/>
          <w:szCs w:val="20"/>
        </w:rPr>
        <w:t>DB 54/T 0106</w:t>
      </w:r>
      <w:r>
        <w:rPr>
          <w:rFonts w:hint="eastAsia"/>
          <w:sz w:val="22"/>
          <w:szCs w:val="20"/>
          <w:lang w:val="en-US" w:eastAsia="zh-CN"/>
        </w:rPr>
        <w:t xml:space="preserve">  </w:t>
      </w:r>
      <w:r>
        <w:rPr>
          <w:rFonts w:hint="eastAsia"/>
          <w:sz w:val="22"/>
          <w:szCs w:val="20"/>
        </w:rPr>
        <w:t>禾本科牧草和农作物秸秆青贮</w:t>
      </w:r>
    </w:p>
    <w:p w14:paraId="6ADD4AB8">
      <w:pPr>
        <w:spacing w:line="360" w:lineRule="auto"/>
        <w:ind w:firstLine="440" w:firstLineChars="200"/>
        <w:rPr>
          <w:rFonts w:hint="eastAsia"/>
          <w:sz w:val="22"/>
          <w:szCs w:val="20"/>
        </w:rPr>
      </w:pPr>
      <w:r>
        <w:rPr>
          <w:rFonts w:hint="eastAsia"/>
          <w:sz w:val="22"/>
          <w:szCs w:val="20"/>
        </w:rPr>
        <w:t>DB 54/T 0107</w:t>
      </w:r>
      <w:r>
        <w:rPr>
          <w:rFonts w:hint="eastAsia"/>
          <w:sz w:val="22"/>
          <w:szCs w:val="20"/>
          <w:lang w:val="en-US" w:eastAsia="zh-CN"/>
        </w:rPr>
        <w:t xml:space="preserve">  </w:t>
      </w:r>
      <w:r>
        <w:rPr>
          <w:rFonts w:hint="eastAsia"/>
          <w:sz w:val="22"/>
          <w:szCs w:val="20"/>
        </w:rPr>
        <w:t>禾本科牧草与豆科牧草混合青贮饲料生产技术规程</w:t>
      </w:r>
    </w:p>
    <w:p w14:paraId="58D86C9D">
      <w:pPr>
        <w:spacing w:line="360" w:lineRule="auto"/>
        <w:ind w:firstLine="442" w:firstLineChars="200"/>
        <w:rPr>
          <w:b/>
          <w:bCs/>
          <w:sz w:val="22"/>
          <w:szCs w:val="20"/>
        </w:rPr>
      </w:pPr>
      <w:r>
        <w:rPr>
          <w:rFonts w:hint="eastAsia"/>
          <w:b/>
          <w:bCs/>
          <w:sz w:val="22"/>
          <w:szCs w:val="20"/>
        </w:rPr>
        <w:t>（</w:t>
      </w:r>
      <w:r>
        <w:rPr>
          <w:rFonts w:hint="eastAsia"/>
          <w:b/>
          <w:bCs/>
          <w:sz w:val="22"/>
          <w:szCs w:val="20"/>
          <w:lang w:val="en-US" w:eastAsia="zh-CN"/>
        </w:rPr>
        <w:t>5</w:t>
      </w:r>
      <w:r>
        <w:rPr>
          <w:rFonts w:hint="eastAsia"/>
          <w:b/>
          <w:bCs/>
          <w:sz w:val="22"/>
          <w:szCs w:val="20"/>
        </w:rPr>
        <w:t>）术语与定义</w:t>
      </w:r>
    </w:p>
    <w:p w14:paraId="01CBB78E">
      <w:pPr>
        <w:spacing w:line="360" w:lineRule="auto"/>
        <w:ind w:firstLine="440" w:firstLineChars="200"/>
        <w:rPr>
          <w:sz w:val="22"/>
          <w:szCs w:val="20"/>
        </w:rPr>
      </w:pPr>
      <w:r>
        <w:rPr>
          <w:rFonts w:hint="eastAsia"/>
          <w:sz w:val="22"/>
          <w:szCs w:val="20"/>
        </w:rPr>
        <w:t>本标准中出现的术语和定义依据国内外相关文献资料，包括著作、专著、已发表的论文、各级标准等。同时结合标准起草单位研究应用实践经验，最后经参编人员讨论确定了本标准的术语为“</w:t>
      </w:r>
      <w:r>
        <w:rPr>
          <w:rFonts w:hint="eastAsia"/>
          <w:sz w:val="22"/>
          <w:szCs w:val="20"/>
          <w:lang w:val="en-US" w:eastAsia="zh-CN"/>
        </w:rPr>
        <w:t>藏北高寒牧区</w:t>
      </w:r>
      <w:r>
        <w:rPr>
          <w:rFonts w:hint="eastAsia"/>
          <w:sz w:val="22"/>
          <w:szCs w:val="20"/>
        </w:rPr>
        <w:t>、</w:t>
      </w:r>
      <w:r>
        <w:rPr>
          <w:rFonts w:hint="eastAsia"/>
          <w:sz w:val="22"/>
          <w:szCs w:val="20"/>
          <w:lang w:val="en-US" w:eastAsia="zh-CN"/>
        </w:rPr>
        <w:t>人工种草、出苗率、常规耕作</w:t>
      </w:r>
      <w:r>
        <w:rPr>
          <w:rFonts w:hint="eastAsia"/>
          <w:sz w:val="22"/>
          <w:szCs w:val="20"/>
        </w:rPr>
        <w:t>”，并给出相应定义。</w:t>
      </w:r>
    </w:p>
    <w:p w14:paraId="7F4D6101">
      <w:pPr>
        <w:pStyle w:val="34"/>
        <w:spacing w:line="360" w:lineRule="auto"/>
        <w:ind w:left="480" w:firstLine="0" w:firstLineChars="0"/>
        <w:rPr>
          <w:b/>
          <w:bCs/>
          <w:sz w:val="22"/>
          <w:szCs w:val="20"/>
        </w:rPr>
      </w:pPr>
      <w:r>
        <w:rPr>
          <w:rFonts w:hint="eastAsia" w:ascii="宋体" w:hAnsi="宋体" w:cs="黑体"/>
          <w:b/>
          <w:bCs/>
          <w:kern w:val="0"/>
          <w:sz w:val="22"/>
          <w:szCs w:val="20"/>
        </w:rPr>
        <w:t>（</w:t>
      </w:r>
      <w:r>
        <w:rPr>
          <w:rFonts w:hint="eastAsia" w:ascii="宋体" w:hAnsi="宋体" w:cs="黑体"/>
          <w:b/>
          <w:bCs/>
          <w:kern w:val="0"/>
          <w:sz w:val="22"/>
          <w:szCs w:val="20"/>
          <w:lang w:val="en-US" w:eastAsia="zh-CN"/>
        </w:rPr>
        <w:t>6</w:t>
      </w:r>
      <w:r>
        <w:rPr>
          <w:rFonts w:hint="eastAsia" w:ascii="宋体" w:hAnsi="宋体" w:cs="黑体"/>
          <w:b/>
          <w:bCs/>
          <w:kern w:val="0"/>
          <w:sz w:val="22"/>
          <w:szCs w:val="20"/>
        </w:rPr>
        <w:t>）主要</w:t>
      </w:r>
      <w:r>
        <w:rPr>
          <w:rFonts w:hint="eastAsia"/>
          <w:b/>
          <w:bCs/>
          <w:sz w:val="22"/>
          <w:szCs w:val="20"/>
        </w:rPr>
        <w:t>技术指标确定的依据</w:t>
      </w:r>
    </w:p>
    <w:p w14:paraId="7B525C44">
      <w:pPr>
        <w:spacing w:line="360" w:lineRule="auto"/>
        <w:ind w:firstLine="440" w:firstLineChars="200"/>
        <w:rPr>
          <w:rFonts w:hint="eastAsia" w:ascii="宋体" w:hAnsi="宋体" w:cs="黑体"/>
          <w:kern w:val="0"/>
          <w:sz w:val="22"/>
          <w:szCs w:val="20"/>
        </w:rPr>
      </w:pPr>
      <w:r>
        <w:rPr>
          <w:rFonts w:hint="eastAsia" w:ascii="宋体" w:hAnsi="宋体" w:cs="黑体"/>
          <w:kern w:val="0"/>
          <w:sz w:val="22"/>
          <w:szCs w:val="20"/>
        </w:rPr>
        <w:t>本技术规程起草单位为：</w:t>
      </w:r>
      <w:r>
        <w:rPr>
          <w:rFonts w:hint="eastAsia" w:ascii="宋体" w:hAnsi="宋体" w:cs="黑体"/>
          <w:kern w:val="0"/>
          <w:sz w:val="22"/>
          <w:szCs w:val="20"/>
          <w:lang w:val="en-US" w:eastAsia="zh-CN"/>
        </w:rPr>
        <w:t>那曲市农牧业（草业）科技研究推广中心、西藏自治区农科院草业研究所</w:t>
      </w:r>
      <w:r>
        <w:rPr>
          <w:rFonts w:hint="eastAsia" w:ascii="宋体" w:hAnsi="宋体" w:cs="黑体"/>
          <w:kern w:val="0"/>
          <w:sz w:val="22"/>
          <w:szCs w:val="20"/>
        </w:rPr>
        <w:t>、</w:t>
      </w:r>
      <w:r>
        <w:rPr>
          <w:rFonts w:hint="eastAsia" w:ascii="宋体" w:hAnsi="宋体" w:cs="黑体"/>
          <w:kern w:val="0"/>
          <w:sz w:val="22"/>
          <w:szCs w:val="20"/>
          <w:lang w:val="en-US" w:eastAsia="zh-CN"/>
        </w:rPr>
        <w:t>西藏宝弘农牧科技有限责任公司</w:t>
      </w:r>
      <w:r>
        <w:rPr>
          <w:rFonts w:hint="eastAsia" w:ascii="宋体" w:hAnsi="宋体" w:cs="黑体"/>
          <w:kern w:val="0"/>
          <w:sz w:val="22"/>
          <w:szCs w:val="20"/>
        </w:rPr>
        <w:t>。</w:t>
      </w:r>
    </w:p>
    <w:p w14:paraId="29DC2A2A">
      <w:pPr>
        <w:spacing w:line="360" w:lineRule="auto"/>
        <w:ind w:firstLine="440" w:firstLineChars="200"/>
        <w:rPr>
          <w:rFonts w:hint="eastAsia" w:ascii="宋体" w:hAnsi="宋体" w:cs="黑体"/>
          <w:kern w:val="0"/>
          <w:sz w:val="22"/>
          <w:szCs w:val="20"/>
          <w:lang w:val="en-US" w:eastAsia="zh-CN"/>
        </w:rPr>
      </w:pPr>
      <w:bookmarkStart w:id="94" w:name="_Toc24390"/>
      <w:r>
        <w:rPr>
          <w:rFonts w:hint="eastAsia" w:ascii="宋体" w:hAnsi="宋体" w:cs="黑体"/>
          <w:kern w:val="0"/>
          <w:sz w:val="22"/>
          <w:szCs w:val="20"/>
          <w:lang w:val="en-US" w:eastAsia="zh-CN"/>
        </w:rPr>
        <w:t>场地选择：高产人工草地应选择在地势相对平坦，坡度不大，一般坡度小于100，比较开阔，不易引起风蚀沙化，土层厚度30厘米以上，土壤质地和水热条件较好，富含有机质，适合播种牧草生长，肥水充足和距水源较近，地下水位适中，距牧区居民点、养殖牧户和畜群点比较近、交通方便的重度退化草地、鼠害鼠荒地、撂荒地等。</w:t>
      </w:r>
    </w:p>
    <w:p w14:paraId="6754B7D8">
      <w:pPr>
        <w:spacing w:line="360" w:lineRule="auto"/>
        <w:ind w:firstLine="440" w:firstLineChars="200"/>
        <w:rPr>
          <w:rFonts w:hint="eastAsia" w:ascii="宋体" w:hAnsi="宋体" w:cs="黑体"/>
          <w:kern w:val="0"/>
          <w:sz w:val="22"/>
          <w:szCs w:val="20"/>
          <w:lang w:val="en-US" w:eastAsia="zh-CN"/>
        </w:rPr>
      </w:pPr>
      <w:r>
        <w:rPr>
          <w:rFonts w:hint="eastAsia" w:ascii="宋体" w:hAnsi="宋体" w:cs="黑体"/>
          <w:kern w:val="0"/>
          <w:sz w:val="22"/>
          <w:szCs w:val="20"/>
          <w:lang w:val="en-US" w:eastAsia="zh-CN"/>
        </w:rPr>
        <w:t>土地平整：地块整理包括除杂、耙地、旋地、镇压等，地块整理前先进行土壤养分的检测，确定氮、磷、钾、有机肥及有关微量元素含量，或查阅当地土壤调查资料，了解土壤养分水平，以便制定施肥计划。</w:t>
      </w:r>
    </w:p>
    <w:p w14:paraId="386A87C0">
      <w:pPr>
        <w:spacing w:line="360" w:lineRule="auto"/>
        <w:ind w:firstLine="440" w:firstLineChars="200"/>
        <w:rPr>
          <w:rFonts w:hint="eastAsia" w:ascii="宋体" w:hAnsi="宋体" w:cs="黑体"/>
          <w:kern w:val="0"/>
          <w:sz w:val="22"/>
          <w:szCs w:val="20"/>
          <w:lang w:val="en-US" w:eastAsia="zh-CN"/>
        </w:rPr>
      </w:pPr>
      <w:r>
        <w:rPr>
          <w:rFonts w:hint="eastAsia" w:ascii="宋体" w:hAnsi="宋体" w:cs="黑体"/>
          <w:kern w:val="0"/>
          <w:sz w:val="22"/>
          <w:szCs w:val="20"/>
          <w:lang w:val="en-US" w:eastAsia="zh-CN"/>
        </w:rPr>
        <w:t>除杂：捡拾器全面清除地面其他植物、碎石、大石块等异物。</w:t>
      </w:r>
    </w:p>
    <w:p w14:paraId="35278683">
      <w:pPr>
        <w:spacing w:line="360" w:lineRule="auto"/>
        <w:ind w:firstLine="440" w:firstLineChars="200"/>
        <w:rPr>
          <w:rFonts w:hint="eastAsia" w:ascii="宋体" w:hAnsi="宋体" w:cs="黑体"/>
          <w:kern w:val="0"/>
          <w:sz w:val="22"/>
          <w:szCs w:val="20"/>
          <w:lang w:val="en-US" w:eastAsia="zh-CN"/>
        </w:rPr>
      </w:pPr>
      <w:r>
        <w:rPr>
          <w:rFonts w:hint="eastAsia" w:ascii="宋体" w:hAnsi="宋体" w:cs="黑体"/>
          <w:kern w:val="0"/>
          <w:sz w:val="22"/>
          <w:szCs w:val="20"/>
          <w:lang w:val="en-US" w:eastAsia="zh-CN"/>
        </w:rPr>
        <w:t>犁地：利用液压翻转犁对所选人工草地建植地块进行翻耕，切土。</w:t>
      </w:r>
    </w:p>
    <w:p w14:paraId="32E4018F">
      <w:pPr>
        <w:spacing w:line="360" w:lineRule="auto"/>
        <w:ind w:firstLine="440" w:firstLineChars="200"/>
        <w:rPr>
          <w:rFonts w:hint="eastAsia" w:ascii="宋体" w:hAnsi="宋体" w:cs="黑体"/>
          <w:kern w:val="0"/>
          <w:sz w:val="22"/>
          <w:szCs w:val="20"/>
          <w:lang w:val="en-US" w:eastAsia="zh-CN"/>
        </w:rPr>
      </w:pPr>
      <w:r>
        <w:rPr>
          <w:rFonts w:hint="eastAsia" w:ascii="宋体" w:hAnsi="宋体" w:cs="黑体"/>
          <w:kern w:val="0"/>
          <w:sz w:val="22"/>
          <w:szCs w:val="20"/>
          <w:lang w:val="en-US" w:eastAsia="zh-CN"/>
        </w:rPr>
        <w:t>耙地平整：使用动力驱动耙对已翻耕的土地进行碎土平整，确保地平土碎，利于牧草生长。</w:t>
      </w:r>
    </w:p>
    <w:p w14:paraId="196F8F12">
      <w:pPr>
        <w:spacing w:line="360" w:lineRule="auto"/>
        <w:ind w:firstLine="440" w:firstLineChars="200"/>
        <w:rPr>
          <w:rFonts w:hint="eastAsia" w:ascii="宋体" w:hAnsi="宋体" w:cs="黑体"/>
          <w:kern w:val="0"/>
          <w:sz w:val="22"/>
          <w:szCs w:val="20"/>
          <w:lang w:val="en-US" w:eastAsia="zh-CN"/>
        </w:rPr>
      </w:pPr>
      <w:r>
        <w:rPr>
          <w:rFonts w:hint="eastAsia" w:ascii="宋体" w:hAnsi="宋体" w:cs="黑体"/>
          <w:kern w:val="0"/>
          <w:sz w:val="22"/>
          <w:szCs w:val="20"/>
          <w:lang w:val="en-US" w:eastAsia="zh-CN"/>
        </w:rPr>
        <w:t>技术路线：灭鼠（种植区域鼠害较多的可投放饵料）—灌溉—深翻—施用底肥—整地（动力驱动耙）—播种—覆土—灌溉—田间管理观测（记录饲草各生育期状况）—追肥（分蘖期和拔节期适量追肥）—适时收割—贮藏。</w:t>
      </w:r>
    </w:p>
    <w:p w14:paraId="39A8EBD4">
      <w:pPr>
        <w:spacing w:line="360" w:lineRule="auto"/>
        <w:ind w:firstLine="440" w:firstLineChars="200"/>
        <w:rPr>
          <w:rFonts w:hint="eastAsia" w:ascii="宋体" w:hAnsi="宋体" w:cs="黑体"/>
          <w:kern w:val="0"/>
          <w:sz w:val="22"/>
          <w:szCs w:val="20"/>
          <w:lang w:val="en-US" w:eastAsia="zh-CN"/>
        </w:rPr>
      </w:pPr>
      <w:r>
        <w:rPr>
          <w:rFonts w:hint="eastAsia" w:ascii="宋体" w:hAnsi="宋体" w:cs="黑体"/>
          <w:kern w:val="0"/>
          <w:sz w:val="22"/>
          <w:szCs w:val="20"/>
          <w:lang w:val="en-US" w:eastAsia="zh-CN"/>
        </w:rPr>
        <w:t>基础设施：在地段选择成功后或者完成播种后，使用带刺丝的网围栏进行围栏建设，保护已完成种植草地；</w:t>
      </w:r>
    </w:p>
    <w:p w14:paraId="39597042">
      <w:pPr>
        <w:spacing w:line="360" w:lineRule="auto"/>
        <w:ind w:firstLine="440" w:firstLineChars="200"/>
        <w:rPr>
          <w:rFonts w:hint="eastAsia" w:ascii="宋体" w:hAnsi="宋体" w:cs="黑体"/>
          <w:kern w:val="0"/>
          <w:sz w:val="22"/>
          <w:szCs w:val="20"/>
          <w:lang w:val="en-US" w:eastAsia="zh-CN"/>
        </w:rPr>
      </w:pPr>
      <w:r>
        <w:rPr>
          <w:rFonts w:hint="eastAsia" w:ascii="宋体" w:hAnsi="宋体" w:cs="黑体"/>
          <w:kern w:val="0"/>
          <w:sz w:val="22"/>
          <w:szCs w:val="20"/>
          <w:lang w:val="en-US" w:eastAsia="zh-CN"/>
        </w:rPr>
        <w:t>灌溉设备：在比较干旱的地区可以修建灌溉设施，包括水井、喷灌设备。</w:t>
      </w:r>
    </w:p>
    <w:p w14:paraId="6E5D9671">
      <w:pPr>
        <w:spacing w:line="360" w:lineRule="auto"/>
        <w:ind w:firstLine="440" w:firstLineChars="200"/>
        <w:rPr>
          <w:rFonts w:hint="eastAsia" w:ascii="宋体" w:hAnsi="宋体" w:cs="黑体"/>
          <w:kern w:val="0"/>
          <w:sz w:val="22"/>
          <w:szCs w:val="20"/>
          <w:lang w:val="en-US" w:eastAsia="zh-CN"/>
        </w:rPr>
      </w:pPr>
      <w:r>
        <w:rPr>
          <w:rFonts w:hint="eastAsia" w:ascii="宋体" w:hAnsi="宋体" w:cs="黑体"/>
          <w:kern w:val="0"/>
          <w:sz w:val="22"/>
          <w:szCs w:val="20"/>
          <w:lang w:val="en-US" w:eastAsia="zh-CN"/>
        </w:rPr>
        <w:t>草种选择：根据相关科研院所及研推中心牧草品种引种适应性试验研究结果结合中东西不同区域牧草生育期，推荐藏北高寒牧区人工饲草高产种植品种为青海444、甜燕麦、饲用燕麦、饲用油菜、箭筈豌豆等。</w:t>
      </w:r>
    </w:p>
    <w:p w14:paraId="49C34515">
      <w:pPr>
        <w:spacing w:line="360" w:lineRule="auto"/>
        <w:ind w:firstLine="440" w:firstLineChars="200"/>
        <w:rPr>
          <w:rFonts w:hint="eastAsia" w:ascii="宋体" w:hAnsi="宋体" w:cs="黑体"/>
          <w:kern w:val="0"/>
          <w:sz w:val="22"/>
          <w:szCs w:val="20"/>
          <w:lang w:val="en-US" w:eastAsia="zh-CN"/>
        </w:rPr>
      </w:pPr>
      <w:r>
        <w:rPr>
          <w:rFonts w:hint="eastAsia" w:ascii="宋体" w:hAnsi="宋体" w:cs="黑体"/>
          <w:kern w:val="0"/>
          <w:sz w:val="22"/>
          <w:szCs w:val="20"/>
          <w:lang w:val="en-US" w:eastAsia="zh-CN"/>
        </w:rPr>
        <w:t>种子要求：播种的种子要求纯净度高、籽粒饱满匀称、生命力强、含水量低、发芽率高，禾本科牧草种子的含水量为11%-12%,豆科牧草种子的含水量为12%-14%。</w:t>
      </w:r>
    </w:p>
    <w:p w14:paraId="20686F53">
      <w:pPr>
        <w:spacing w:line="360" w:lineRule="auto"/>
        <w:ind w:firstLine="440" w:firstLineChars="200"/>
        <w:rPr>
          <w:rFonts w:hint="eastAsia" w:ascii="宋体" w:hAnsi="宋体" w:cs="黑体"/>
          <w:kern w:val="0"/>
          <w:sz w:val="22"/>
          <w:szCs w:val="20"/>
          <w:lang w:val="en-US" w:eastAsia="zh-CN"/>
        </w:rPr>
      </w:pPr>
      <w:r>
        <w:rPr>
          <w:rFonts w:hint="eastAsia" w:ascii="宋体" w:hAnsi="宋体" w:cs="黑体"/>
          <w:kern w:val="0"/>
          <w:sz w:val="22"/>
          <w:szCs w:val="20"/>
          <w:lang w:val="en-US" w:eastAsia="zh-CN"/>
        </w:rPr>
        <w:t>播种前种子处理：为保证播种质量，播种前应根据不同情况对种子进行去芒、清选、浸种、根瘤菌接种的处理，</w:t>
      </w:r>
    </w:p>
    <w:p w14:paraId="34487399">
      <w:pPr>
        <w:spacing w:line="360" w:lineRule="auto"/>
        <w:ind w:firstLine="440" w:firstLineChars="200"/>
        <w:rPr>
          <w:rFonts w:hint="eastAsia" w:ascii="宋体" w:hAnsi="宋体" w:cs="黑体"/>
          <w:kern w:val="0"/>
          <w:sz w:val="22"/>
          <w:szCs w:val="20"/>
          <w:lang w:val="en-US" w:eastAsia="zh-CN"/>
        </w:rPr>
      </w:pPr>
      <w:r>
        <w:rPr>
          <w:rFonts w:hint="eastAsia" w:ascii="宋体" w:hAnsi="宋体" w:cs="黑体"/>
          <w:kern w:val="0"/>
          <w:sz w:val="22"/>
          <w:szCs w:val="20"/>
          <w:lang w:val="en-US" w:eastAsia="zh-CN"/>
        </w:rPr>
        <w:t>播种时间：藏北高寒牧区人工饲草种植时间应根据不同海拔梯度进行，海拔在4300米以下区域海拔，播种时间在4月下旬；海拔在4300-4500米左右的区域，播种时间应在5月中旬；海拔在4500-4800米及以上的区域，种植时间在5月下旬，以确保牧草有足够的时间完成各生育期生长。</w:t>
      </w:r>
    </w:p>
    <w:p w14:paraId="5E204A88">
      <w:pPr>
        <w:spacing w:line="360" w:lineRule="auto"/>
        <w:ind w:firstLine="440" w:firstLineChars="200"/>
        <w:rPr>
          <w:rFonts w:hint="eastAsia" w:ascii="宋体" w:hAnsi="宋体" w:cs="黑体"/>
          <w:kern w:val="0"/>
          <w:sz w:val="22"/>
          <w:szCs w:val="20"/>
          <w:lang w:val="en-US" w:eastAsia="zh-CN"/>
        </w:rPr>
      </w:pPr>
      <w:r>
        <w:rPr>
          <w:rFonts w:hint="eastAsia" w:ascii="宋体" w:hAnsi="宋体" w:cs="黑体"/>
          <w:kern w:val="0"/>
          <w:sz w:val="22"/>
          <w:szCs w:val="20"/>
          <w:lang w:val="en-US" w:eastAsia="zh-CN"/>
        </w:rPr>
        <w:t>播种方式：藏北高寒牧区大面积人工饲草种植中最适合的播种方式是机械条播，其减轻劳动强度，节约劳动力、播种效率高、种子深度一致、播种量均匀，条播能提高作物的透光、透风、增加产量，同时便于后期管理、施肥浇水等田间措施。小面积房前屋后种植或者畜圈暖棚种草则建议撒播方式，并同时配套使用微耕机完成相关种植工作。</w:t>
      </w:r>
    </w:p>
    <w:p w14:paraId="3075CF95">
      <w:pPr>
        <w:spacing w:line="360" w:lineRule="auto"/>
        <w:ind w:firstLine="440" w:firstLineChars="200"/>
        <w:rPr>
          <w:rFonts w:hint="eastAsia" w:ascii="宋体" w:hAnsi="宋体" w:cs="黑体"/>
          <w:kern w:val="0"/>
          <w:sz w:val="22"/>
          <w:szCs w:val="20"/>
          <w:lang w:val="en-US" w:eastAsia="zh-CN"/>
        </w:rPr>
      </w:pPr>
      <w:r>
        <w:rPr>
          <w:rFonts w:hint="eastAsia" w:ascii="宋体" w:hAnsi="宋体" w:cs="黑体"/>
          <w:kern w:val="0"/>
          <w:sz w:val="22"/>
          <w:szCs w:val="20"/>
          <w:lang w:val="en-US" w:eastAsia="zh-CN"/>
        </w:rPr>
        <w:t>播种量：根据藏北高寒牧区的特殊气候、降水量、土壤养分，以及中心不同海拔梯度引进牧草品种不同播量适应性试验表明，藏北高寒牧区高产人工饲草种植最适播量控制在22.5kg/亩。</w:t>
      </w:r>
    </w:p>
    <w:p w14:paraId="763209C3">
      <w:pPr>
        <w:spacing w:line="360" w:lineRule="auto"/>
        <w:ind w:firstLine="440" w:firstLineChars="200"/>
        <w:rPr>
          <w:rFonts w:hint="eastAsia" w:ascii="宋体" w:hAnsi="宋体" w:cs="黑体"/>
          <w:kern w:val="0"/>
          <w:sz w:val="22"/>
          <w:szCs w:val="20"/>
          <w:lang w:val="en-US" w:eastAsia="zh-CN"/>
        </w:rPr>
      </w:pPr>
      <w:r>
        <w:rPr>
          <w:rFonts w:hint="eastAsia" w:ascii="宋体" w:hAnsi="宋体" w:cs="黑体"/>
          <w:kern w:val="0"/>
          <w:sz w:val="22"/>
          <w:szCs w:val="20"/>
          <w:lang w:val="en-US" w:eastAsia="zh-CN"/>
        </w:rPr>
        <w:t>播种深度：饲料作物播种深度较牧草深，一般播种深度在3-5cm。</w:t>
      </w:r>
    </w:p>
    <w:p w14:paraId="1A3FA179">
      <w:pPr>
        <w:spacing w:line="360" w:lineRule="auto"/>
        <w:ind w:firstLine="440" w:firstLineChars="200"/>
        <w:rPr>
          <w:rFonts w:hint="eastAsia" w:ascii="宋体" w:hAnsi="宋体" w:cs="黑体"/>
          <w:kern w:val="0"/>
          <w:sz w:val="22"/>
          <w:szCs w:val="20"/>
          <w:lang w:val="en-US" w:eastAsia="zh-CN"/>
        </w:rPr>
      </w:pPr>
      <w:r>
        <w:rPr>
          <w:rFonts w:hint="eastAsia" w:ascii="宋体" w:hAnsi="宋体" w:cs="黑体"/>
          <w:kern w:val="0"/>
          <w:sz w:val="22"/>
          <w:szCs w:val="20"/>
          <w:lang w:val="en-US" w:eastAsia="zh-CN"/>
        </w:rPr>
        <w:t>定期灌溉：在完成牧草播种工作后，依据牧草不同生育期及土壤蒸发量进行不定期灌溉，中东部灌水量50m3/亩、西部灌水量70m3/亩。</w:t>
      </w:r>
    </w:p>
    <w:p w14:paraId="5F748CE2">
      <w:pPr>
        <w:spacing w:line="360" w:lineRule="auto"/>
        <w:ind w:firstLine="440" w:firstLineChars="200"/>
        <w:rPr>
          <w:rFonts w:hint="eastAsia" w:ascii="宋体" w:hAnsi="宋体" w:cs="黑体"/>
          <w:kern w:val="0"/>
          <w:sz w:val="22"/>
          <w:szCs w:val="20"/>
          <w:lang w:val="en-US" w:eastAsia="zh-CN"/>
        </w:rPr>
      </w:pPr>
      <w:r>
        <w:rPr>
          <w:rFonts w:hint="eastAsia" w:ascii="宋体" w:hAnsi="宋体" w:cs="黑体"/>
          <w:kern w:val="0"/>
          <w:sz w:val="22"/>
          <w:szCs w:val="20"/>
          <w:lang w:val="en-US" w:eastAsia="zh-CN"/>
        </w:rPr>
        <w:t>破除土壤板结：地表出现板结现象，用短齿耙、具有短齿的镇压器或者板结破除器进行破除，有灌溉条件的也可采用轻度灌溉破除板结。增加水的入渗率，改善土壤通气性，清除杂草，调节土温和减少蒸发等，使土壤疏松，活土层增厚，能显著提高土壤蓄水保墒能力。</w:t>
      </w:r>
    </w:p>
    <w:p w14:paraId="0C139005">
      <w:pPr>
        <w:spacing w:line="360" w:lineRule="auto"/>
        <w:ind w:firstLine="440" w:firstLineChars="200"/>
        <w:rPr>
          <w:rFonts w:hint="eastAsia" w:ascii="宋体" w:hAnsi="宋体" w:cs="黑体"/>
          <w:kern w:val="0"/>
          <w:sz w:val="22"/>
          <w:szCs w:val="20"/>
          <w:lang w:val="en-US" w:eastAsia="zh-CN"/>
        </w:rPr>
      </w:pPr>
      <w:r>
        <w:rPr>
          <w:rFonts w:hint="eastAsia" w:ascii="宋体" w:hAnsi="宋体" w:cs="黑体"/>
          <w:kern w:val="0"/>
          <w:sz w:val="22"/>
          <w:szCs w:val="20"/>
          <w:lang w:val="en-US" w:eastAsia="zh-CN"/>
        </w:rPr>
        <w:t>追肥：一般情况下，在牧草分蘖期开始第一次追肥工作，追肥量10斤/亩，在牧草生长达到拔节期时开始第二次追肥工作。</w:t>
      </w:r>
    </w:p>
    <w:p w14:paraId="26A7B97F">
      <w:pPr>
        <w:spacing w:line="360" w:lineRule="auto"/>
        <w:ind w:firstLine="440" w:firstLineChars="200"/>
        <w:rPr>
          <w:rFonts w:hint="eastAsia" w:ascii="宋体" w:hAnsi="宋体" w:cs="黑体"/>
          <w:kern w:val="0"/>
          <w:sz w:val="22"/>
          <w:szCs w:val="20"/>
          <w:lang w:val="en-US" w:eastAsia="zh-CN"/>
        </w:rPr>
      </w:pPr>
      <w:r>
        <w:rPr>
          <w:rFonts w:hint="eastAsia" w:ascii="宋体" w:hAnsi="宋体" w:cs="黑体"/>
          <w:kern w:val="0"/>
          <w:sz w:val="22"/>
          <w:szCs w:val="20"/>
          <w:lang w:val="en-US" w:eastAsia="zh-CN"/>
        </w:rPr>
        <w:t>病虫害防治：病虫害防治病虫害防治就是采取各种有效措施，控制或消灭病虫害，保护作物正常生长，从而提高产量和品质。</w:t>
      </w:r>
    </w:p>
    <w:p w14:paraId="5D553981">
      <w:pPr>
        <w:spacing w:line="360" w:lineRule="auto"/>
        <w:ind w:firstLine="440" w:firstLineChars="200"/>
        <w:rPr>
          <w:rFonts w:hint="eastAsia" w:ascii="宋体" w:hAnsi="宋体" w:cs="黑体"/>
          <w:kern w:val="0"/>
          <w:sz w:val="22"/>
          <w:szCs w:val="20"/>
          <w:lang w:val="en-US" w:eastAsia="zh-CN"/>
        </w:rPr>
      </w:pPr>
      <w:r>
        <w:rPr>
          <w:rFonts w:hint="eastAsia" w:ascii="宋体" w:hAnsi="宋体" w:cs="黑体"/>
          <w:kern w:val="0"/>
          <w:sz w:val="22"/>
          <w:szCs w:val="20"/>
          <w:lang w:val="en-US" w:eastAsia="zh-CN"/>
        </w:rPr>
        <w:t>侵染性病害由细菌、真菌、病毒、线虫、高等寄生物侵染而引起。</w:t>
      </w:r>
    </w:p>
    <w:p w14:paraId="2361095F">
      <w:pPr>
        <w:spacing w:line="360" w:lineRule="auto"/>
        <w:ind w:firstLine="440" w:firstLineChars="200"/>
        <w:rPr>
          <w:rFonts w:hint="eastAsia" w:ascii="宋体" w:hAnsi="宋体" w:cs="黑体"/>
          <w:kern w:val="0"/>
          <w:sz w:val="22"/>
          <w:szCs w:val="20"/>
          <w:lang w:val="en-US" w:eastAsia="zh-CN"/>
        </w:rPr>
      </w:pPr>
      <w:r>
        <w:rPr>
          <w:rFonts w:hint="eastAsia" w:ascii="宋体" w:hAnsi="宋体" w:cs="黑体"/>
          <w:kern w:val="0"/>
          <w:sz w:val="22"/>
          <w:szCs w:val="20"/>
          <w:lang w:val="en-US" w:eastAsia="zh-CN"/>
        </w:rPr>
        <w:t>非侵染性病害由于水分、养分不足或过多，温度过低或过高，阳光过强或过弱等不适合的外界环境条件所引起，在得病的作物体内找不到任何寄生物，不具传染性。这类病亦称生理病害。</w:t>
      </w:r>
    </w:p>
    <w:p w14:paraId="34B9B339">
      <w:pPr>
        <w:spacing w:line="360" w:lineRule="auto"/>
        <w:ind w:firstLine="440" w:firstLineChars="200"/>
        <w:rPr>
          <w:rFonts w:hint="eastAsia" w:ascii="宋体" w:hAnsi="宋体" w:cs="黑体"/>
          <w:kern w:val="0"/>
          <w:sz w:val="22"/>
          <w:szCs w:val="20"/>
          <w:lang w:val="en-US" w:eastAsia="zh-CN"/>
        </w:rPr>
      </w:pPr>
      <w:r>
        <w:rPr>
          <w:rFonts w:hint="eastAsia" w:ascii="宋体" w:hAnsi="宋体" w:cs="黑体"/>
          <w:kern w:val="0"/>
          <w:sz w:val="22"/>
          <w:szCs w:val="20"/>
          <w:lang w:val="en-US" w:eastAsia="zh-CN"/>
        </w:rPr>
        <w:t>虫害：咀嚼式口器类此类害虫以齿状的口器咬食植物组织，将叶片咬成孔洞或缺刻，咬断嫩的植株，如草原毛虫。可用4.5%氯氰菊酯乳油进行防治，一般在5月下旬进行灭虫准备工作，6月初开始进行灭虫。</w:t>
      </w:r>
    </w:p>
    <w:p w14:paraId="4663EDF5">
      <w:pPr>
        <w:spacing w:line="360" w:lineRule="auto"/>
        <w:ind w:firstLine="440" w:firstLineChars="200"/>
        <w:rPr>
          <w:rFonts w:hint="eastAsia" w:ascii="宋体" w:hAnsi="宋体" w:cs="黑体"/>
          <w:kern w:val="0"/>
          <w:sz w:val="22"/>
          <w:szCs w:val="20"/>
          <w:lang w:val="en-US" w:eastAsia="zh-CN"/>
        </w:rPr>
      </w:pPr>
      <w:r>
        <w:rPr>
          <w:rFonts w:hint="eastAsia" w:ascii="宋体" w:hAnsi="宋体" w:cs="黑体"/>
          <w:kern w:val="0"/>
          <w:sz w:val="22"/>
          <w:szCs w:val="20"/>
          <w:lang w:val="en-US" w:eastAsia="zh-CN"/>
        </w:rPr>
        <w:t>田间数据观测：观测牧草各生育期内植株高度、缺水、缺肥情况，并根据种子乳熟情况适时收割。</w:t>
      </w:r>
    </w:p>
    <w:p w14:paraId="175AD769">
      <w:pPr>
        <w:spacing w:line="360" w:lineRule="auto"/>
        <w:ind w:firstLine="440" w:firstLineChars="200"/>
        <w:rPr>
          <w:rFonts w:hint="eastAsia" w:ascii="宋体" w:hAnsi="宋体" w:cs="黑体"/>
          <w:kern w:val="0"/>
          <w:sz w:val="22"/>
          <w:szCs w:val="20"/>
        </w:rPr>
      </w:pPr>
      <w:r>
        <w:rPr>
          <w:rFonts w:hint="eastAsia" w:ascii="宋体" w:hAnsi="宋体" w:cs="黑体"/>
          <w:kern w:val="0"/>
          <w:sz w:val="22"/>
          <w:szCs w:val="20"/>
          <w:lang w:val="en-US" w:eastAsia="zh-CN"/>
        </w:rPr>
        <w:t>收割入库：一般在9月中旬开始收割，收割后将鲜牧草运至已用混凝土铺设的开阔场地进行晾晒，白天每隔2h对牧草进行上下翻到，夜间用塑料布覆盖，防止其吸潮，并随时关注天气情况（防雨）。待牧草含水量降至20%以下时，将牧草打捆或堆垛存放，并做好防雨、防潮措施。</w:t>
      </w:r>
      <w:bookmarkEnd w:id="94"/>
    </w:p>
    <w:p w14:paraId="79BBEAAF">
      <w:pPr>
        <w:pStyle w:val="3"/>
        <w:spacing w:before="0" w:after="0"/>
        <w:rPr>
          <w:sz w:val="24"/>
          <w:szCs w:val="40"/>
        </w:rPr>
      </w:pPr>
      <w:bookmarkStart w:id="95" w:name="_Toc176547937"/>
      <w:r>
        <w:rPr>
          <w:rFonts w:hint="eastAsia"/>
          <w:sz w:val="24"/>
          <w:szCs w:val="40"/>
        </w:rPr>
        <w:t>四</w:t>
      </w:r>
      <w:r>
        <w:rPr>
          <w:sz w:val="24"/>
          <w:szCs w:val="40"/>
        </w:rPr>
        <w:t>、</w:t>
      </w:r>
      <w:r>
        <w:rPr>
          <w:rFonts w:hint="eastAsia"/>
          <w:sz w:val="24"/>
          <w:szCs w:val="40"/>
        </w:rPr>
        <w:t>采用的国际标准</w:t>
      </w:r>
      <w:bookmarkEnd w:id="95"/>
    </w:p>
    <w:p w14:paraId="3927399B">
      <w:pPr>
        <w:spacing w:line="360" w:lineRule="auto"/>
        <w:ind w:firstLine="482"/>
        <w:rPr>
          <w:color w:val="000000"/>
          <w:sz w:val="22"/>
          <w:szCs w:val="20"/>
        </w:rPr>
      </w:pPr>
      <w:r>
        <w:rPr>
          <w:color w:val="000000"/>
          <w:sz w:val="22"/>
          <w:szCs w:val="20"/>
        </w:rPr>
        <w:t>无。</w:t>
      </w:r>
    </w:p>
    <w:p w14:paraId="30D9B6DE">
      <w:pPr>
        <w:pStyle w:val="3"/>
        <w:spacing w:before="0" w:after="0"/>
        <w:rPr>
          <w:sz w:val="24"/>
          <w:szCs w:val="40"/>
        </w:rPr>
      </w:pPr>
      <w:bookmarkStart w:id="96" w:name="_Toc176547938"/>
      <w:r>
        <w:rPr>
          <w:rFonts w:hint="eastAsia"/>
          <w:sz w:val="24"/>
          <w:szCs w:val="40"/>
        </w:rPr>
        <w:t>五</w:t>
      </w:r>
      <w:r>
        <w:rPr>
          <w:sz w:val="24"/>
          <w:szCs w:val="40"/>
        </w:rPr>
        <w:t>、</w:t>
      </w:r>
      <w:r>
        <w:rPr>
          <w:rFonts w:hint="eastAsia"/>
          <w:sz w:val="24"/>
          <w:szCs w:val="40"/>
        </w:rPr>
        <w:t>与现行法律法规和强制性标准的关系</w:t>
      </w:r>
      <w:bookmarkEnd w:id="96"/>
    </w:p>
    <w:p w14:paraId="2B492809">
      <w:pPr>
        <w:spacing w:line="360" w:lineRule="auto"/>
        <w:ind w:firstLine="482"/>
        <w:rPr>
          <w:color w:val="000000"/>
          <w:sz w:val="22"/>
          <w:szCs w:val="20"/>
        </w:rPr>
      </w:pPr>
      <w:r>
        <w:rPr>
          <w:rFonts w:hint="eastAsia"/>
          <w:color w:val="000000"/>
          <w:sz w:val="22"/>
          <w:szCs w:val="20"/>
        </w:rPr>
        <w:t>本标准与现行法律法规和强制性标准的相关条例没有冲突。</w:t>
      </w:r>
    </w:p>
    <w:p w14:paraId="30919C64">
      <w:pPr>
        <w:pStyle w:val="3"/>
        <w:spacing w:before="0" w:after="0"/>
        <w:rPr>
          <w:sz w:val="24"/>
          <w:szCs w:val="40"/>
        </w:rPr>
      </w:pPr>
      <w:bookmarkStart w:id="97" w:name="_Toc176547939"/>
      <w:r>
        <w:rPr>
          <w:rFonts w:hint="eastAsia"/>
          <w:sz w:val="24"/>
          <w:szCs w:val="40"/>
        </w:rPr>
        <w:t>六</w:t>
      </w:r>
      <w:r>
        <w:rPr>
          <w:sz w:val="24"/>
          <w:szCs w:val="40"/>
        </w:rPr>
        <w:t>、</w:t>
      </w:r>
      <w:r>
        <w:rPr>
          <w:rFonts w:hint="eastAsia"/>
          <w:sz w:val="24"/>
          <w:szCs w:val="40"/>
        </w:rPr>
        <w:t>重大分歧意见的处理经过和依据</w:t>
      </w:r>
      <w:bookmarkEnd w:id="97"/>
    </w:p>
    <w:p w14:paraId="5D2967DE">
      <w:pPr>
        <w:spacing w:line="360" w:lineRule="auto"/>
        <w:ind w:firstLine="482"/>
        <w:rPr>
          <w:color w:val="000000"/>
          <w:sz w:val="22"/>
          <w:szCs w:val="20"/>
        </w:rPr>
      </w:pPr>
      <w:r>
        <w:rPr>
          <w:color w:val="000000"/>
          <w:sz w:val="22"/>
          <w:szCs w:val="20"/>
        </w:rPr>
        <w:t>无。</w:t>
      </w:r>
    </w:p>
    <w:p w14:paraId="18828AB0">
      <w:pPr>
        <w:pStyle w:val="3"/>
        <w:spacing w:before="0" w:after="0"/>
        <w:rPr>
          <w:sz w:val="24"/>
          <w:szCs w:val="40"/>
        </w:rPr>
      </w:pPr>
      <w:bookmarkStart w:id="98" w:name="_Toc176547940"/>
      <w:r>
        <w:rPr>
          <w:sz w:val="24"/>
          <w:szCs w:val="40"/>
        </w:rPr>
        <w:t>七、标准作为强制性或推荐性标准的意见</w:t>
      </w:r>
      <w:bookmarkEnd w:id="98"/>
    </w:p>
    <w:p w14:paraId="630F5003">
      <w:pPr>
        <w:spacing w:line="360" w:lineRule="auto"/>
        <w:ind w:firstLine="482"/>
        <w:rPr>
          <w:color w:val="000000"/>
          <w:sz w:val="22"/>
          <w:szCs w:val="20"/>
        </w:rPr>
      </w:pPr>
      <w:r>
        <w:rPr>
          <w:color w:val="000000"/>
          <w:sz w:val="22"/>
          <w:szCs w:val="20"/>
        </w:rPr>
        <w:t>建议将本标准作为推荐性标准发布实施，并加强标准的宣贯。</w:t>
      </w:r>
    </w:p>
    <w:p w14:paraId="5D7D6744">
      <w:pPr>
        <w:pStyle w:val="3"/>
        <w:spacing w:before="0" w:after="0"/>
        <w:rPr>
          <w:sz w:val="24"/>
          <w:szCs w:val="40"/>
        </w:rPr>
      </w:pPr>
      <w:bookmarkStart w:id="99" w:name="_Toc176547941"/>
      <w:r>
        <w:rPr>
          <w:sz w:val="24"/>
          <w:szCs w:val="40"/>
        </w:rPr>
        <w:t>八、贯彻标准的要求和措施建议</w:t>
      </w:r>
      <w:bookmarkEnd w:id="99"/>
    </w:p>
    <w:p w14:paraId="2EEF964A">
      <w:pPr>
        <w:spacing w:line="360" w:lineRule="auto"/>
        <w:ind w:firstLine="495" w:firstLineChars="225"/>
        <w:rPr>
          <w:sz w:val="22"/>
          <w:szCs w:val="20"/>
        </w:rPr>
      </w:pPr>
      <w:r>
        <w:rPr>
          <w:rFonts w:hint="eastAsia"/>
          <w:sz w:val="22"/>
          <w:szCs w:val="20"/>
        </w:rPr>
        <w:t>1、</w:t>
      </w:r>
      <w:r>
        <w:rPr>
          <w:sz w:val="22"/>
          <w:szCs w:val="20"/>
        </w:rPr>
        <w:t>本标准属于</w:t>
      </w:r>
      <w:r>
        <w:rPr>
          <w:rFonts w:hint="eastAsia" w:ascii="宋体" w:hAnsi="宋体" w:cs="黑体"/>
          <w:kern w:val="0"/>
          <w:sz w:val="22"/>
          <w:szCs w:val="20"/>
          <w:lang w:val="en-US" w:eastAsia="zh-CN"/>
        </w:rPr>
        <w:t>那曲市农牧业（草业）科技研究推广中心</w:t>
      </w:r>
      <w:r>
        <w:rPr>
          <w:rFonts w:hint="eastAsia"/>
          <w:sz w:val="22"/>
          <w:szCs w:val="20"/>
        </w:rPr>
        <w:t>牵头制定的团体标准</w:t>
      </w:r>
      <w:r>
        <w:rPr>
          <w:sz w:val="22"/>
          <w:szCs w:val="20"/>
        </w:rPr>
        <w:t>，</w:t>
      </w:r>
      <w:r>
        <w:rPr>
          <w:rFonts w:hint="eastAsia"/>
          <w:sz w:val="22"/>
          <w:szCs w:val="20"/>
        </w:rPr>
        <w:t>为成功实施</w:t>
      </w:r>
      <w:r>
        <w:rPr>
          <w:rFonts w:hint="eastAsia"/>
          <w:sz w:val="22"/>
          <w:szCs w:val="20"/>
          <w:lang w:val="en-US" w:eastAsia="zh-CN"/>
        </w:rPr>
        <w:t>藏北那曲极度高寒牧区燕麦生产技术规程</w:t>
      </w:r>
      <w:r>
        <w:rPr>
          <w:rFonts w:hint="eastAsia"/>
          <w:sz w:val="22"/>
          <w:szCs w:val="20"/>
        </w:rPr>
        <w:t>，应认真执行本标准的相关技术要求。</w:t>
      </w:r>
    </w:p>
    <w:p w14:paraId="38654EA7">
      <w:pPr>
        <w:spacing w:line="360" w:lineRule="auto"/>
        <w:ind w:firstLine="495" w:firstLineChars="225"/>
        <w:rPr>
          <w:sz w:val="22"/>
          <w:szCs w:val="20"/>
        </w:rPr>
      </w:pPr>
      <w:r>
        <w:rPr>
          <w:rFonts w:hint="eastAsia"/>
          <w:sz w:val="22"/>
          <w:szCs w:val="20"/>
        </w:rPr>
        <w:t>2、应</w:t>
      </w:r>
      <w:r>
        <w:rPr>
          <w:sz w:val="22"/>
          <w:szCs w:val="20"/>
        </w:rPr>
        <w:t>加强对标准的宣传、讲解</w:t>
      </w:r>
      <w:r>
        <w:rPr>
          <w:rFonts w:hint="eastAsia"/>
          <w:sz w:val="22"/>
          <w:szCs w:val="20"/>
        </w:rPr>
        <w:t>和技术指导，促进实施者</w:t>
      </w:r>
      <w:r>
        <w:rPr>
          <w:sz w:val="22"/>
          <w:szCs w:val="20"/>
        </w:rPr>
        <w:t>熟练掌握标准中的技术规范，保证</w:t>
      </w:r>
      <w:r>
        <w:rPr>
          <w:rFonts w:hint="eastAsia"/>
          <w:sz w:val="22"/>
          <w:szCs w:val="20"/>
        </w:rPr>
        <w:t>本标准的广泛推广应用</w:t>
      </w:r>
      <w:r>
        <w:rPr>
          <w:sz w:val="22"/>
          <w:szCs w:val="20"/>
        </w:rPr>
        <w:t>。</w:t>
      </w:r>
    </w:p>
    <w:p w14:paraId="2187383C">
      <w:pPr>
        <w:spacing w:line="360" w:lineRule="auto"/>
        <w:ind w:firstLine="495" w:firstLineChars="225"/>
        <w:rPr>
          <w:sz w:val="22"/>
          <w:szCs w:val="20"/>
        </w:rPr>
      </w:pPr>
      <w:r>
        <w:rPr>
          <w:rFonts w:hint="eastAsia"/>
          <w:sz w:val="22"/>
          <w:szCs w:val="20"/>
        </w:rPr>
        <w:t>3、</w:t>
      </w:r>
      <w:r>
        <w:rPr>
          <w:sz w:val="22"/>
          <w:szCs w:val="20"/>
        </w:rPr>
        <w:t>随着</w:t>
      </w:r>
      <w:r>
        <w:rPr>
          <w:rFonts w:hint="eastAsia"/>
          <w:sz w:val="22"/>
          <w:szCs w:val="20"/>
        </w:rPr>
        <w:t>科技发展，本标准中的技术规范势必会出现过时的情况，也会出现新的技术要求，因此本</w:t>
      </w:r>
      <w:r>
        <w:rPr>
          <w:sz w:val="22"/>
          <w:szCs w:val="20"/>
        </w:rPr>
        <w:t>标准执行过程中</w:t>
      </w:r>
      <w:r>
        <w:rPr>
          <w:rFonts w:hint="eastAsia"/>
          <w:sz w:val="22"/>
          <w:szCs w:val="20"/>
        </w:rPr>
        <w:t>要不断对</w:t>
      </w:r>
      <w:r>
        <w:rPr>
          <w:sz w:val="22"/>
          <w:szCs w:val="20"/>
        </w:rPr>
        <w:t>内容进行修订</w:t>
      </w:r>
      <w:r>
        <w:rPr>
          <w:rFonts w:hint="eastAsia"/>
          <w:sz w:val="22"/>
          <w:szCs w:val="20"/>
        </w:rPr>
        <w:t>和补充</w:t>
      </w:r>
      <w:r>
        <w:rPr>
          <w:sz w:val="22"/>
          <w:szCs w:val="20"/>
        </w:rPr>
        <w:t>。</w:t>
      </w:r>
    </w:p>
    <w:p w14:paraId="54D6698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sz w:val="22"/>
          <w:szCs w:val="20"/>
        </w:rPr>
      </w:pPr>
      <w:r>
        <w:rPr>
          <w:rFonts w:hint="eastAsia"/>
          <w:sz w:val="22"/>
          <w:szCs w:val="20"/>
        </w:rPr>
        <w:t>4、</w:t>
      </w:r>
      <w:bookmarkStart w:id="100" w:name="_Toc176547942"/>
      <w:r>
        <w:rPr>
          <w:rFonts w:hint="eastAsia"/>
          <w:sz w:val="22"/>
          <w:szCs w:val="20"/>
          <w:lang w:val="en-US" w:eastAsia="zh-CN"/>
        </w:rPr>
        <w:t>技术措施：优先选用青海444等耐寒耐旱品种，种子质量符合GB/T 6142标准。播种前深耕20cm左右、清除杂物，施腐熟厩肥作基肥；5月中下旬播种，采用条播或撒播，播种量控制在300kg/hm²左右，覆土3-5cm并及时镇压。生长期适时补水补肥，分蘖期追施尿素，定期巡查防治红叶病、蚜虫等，严禁牲畜践踏。</w:t>
      </w:r>
    </w:p>
    <w:p w14:paraId="7BEA6B40">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sz w:val="22"/>
          <w:szCs w:val="20"/>
        </w:rPr>
      </w:pPr>
      <w:r>
        <w:rPr>
          <w:rFonts w:hint="eastAsia"/>
          <w:sz w:val="22"/>
          <w:szCs w:val="20"/>
          <w:lang w:val="en-US" w:eastAsia="zh-CN"/>
        </w:rPr>
        <w:t>5、过渡办法：采取“试点示范+逐步推广”模式，选择牧户积极性高的村居试点，总结适配本地的实操经验后推广。衔接牧户传统种植习惯，简化复杂流程，免费提供适配草种和技术指导。对原有种植地块分类改良，逐步替换不适宜品种，引导牧户</w:t>
      </w:r>
      <w:bookmarkStart w:id="102" w:name="_GoBack"/>
      <w:bookmarkEnd w:id="102"/>
      <w:r>
        <w:rPr>
          <w:rFonts w:hint="eastAsia"/>
          <w:sz w:val="22"/>
          <w:szCs w:val="20"/>
          <w:lang w:val="en-US" w:eastAsia="zh-CN"/>
        </w:rPr>
        <w:t>从粗放种植向标准化生产平稳过渡，保障燕麦产量与品质。</w:t>
      </w:r>
    </w:p>
    <w:p w14:paraId="716810CD">
      <w:pPr>
        <w:pStyle w:val="3"/>
        <w:spacing w:before="0" w:after="0"/>
        <w:rPr>
          <w:sz w:val="24"/>
          <w:szCs w:val="40"/>
        </w:rPr>
      </w:pPr>
      <w:r>
        <w:rPr>
          <w:sz w:val="24"/>
          <w:szCs w:val="40"/>
        </w:rPr>
        <w:t>九、废止现行有关标准的建议</w:t>
      </w:r>
      <w:bookmarkEnd w:id="100"/>
    </w:p>
    <w:p w14:paraId="40597651">
      <w:pPr>
        <w:spacing w:before="156" w:beforeLines="50" w:line="360" w:lineRule="auto"/>
        <w:ind w:firstLine="482"/>
        <w:rPr>
          <w:color w:val="000000"/>
          <w:sz w:val="22"/>
          <w:szCs w:val="20"/>
        </w:rPr>
      </w:pPr>
      <w:r>
        <w:rPr>
          <w:color w:val="000000"/>
          <w:sz w:val="22"/>
          <w:szCs w:val="20"/>
        </w:rPr>
        <w:t>无。</w:t>
      </w:r>
    </w:p>
    <w:p w14:paraId="431CE65B">
      <w:pPr>
        <w:pStyle w:val="3"/>
        <w:spacing w:before="0" w:after="0"/>
        <w:rPr>
          <w:sz w:val="24"/>
          <w:szCs w:val="40"/>
        </w:rPr>
      </w:pPr>
      <w:bookmarkStart w:id="101" w:name="_Toc176547943"/>
      <w:r>
        <w:rPr>
          <w:sz w:val="24"/>
          <w:szCs w:val="40"/>
        </w:rPr>
        <w:t>十、其他应予说明的事项</w:t>
      </w:r>
      <w:bookmarkEnd w:id="101"/>
    </w:p>
    <w:p w14:paraId="46BDFE3C">
      <w:pPr>
        <w:spacing w:before="156" w:beforeLines="50" w:line="360" w:lineRule="auto"/>
        <w:ind w:firstLine="482"/>
        <w:rPr>
          <w:rFonts w:hint="eastAsia" w:ascii="宋体" w:hAnsi="宋体" w:cs="宋体"/>
          <w:b/>
          <w:bCs/>
          <w:sz w:val="24"/>
          <w:szCs w:val="24"/>
        </w:rPr>
      </w:pPr>
      <w:r>
        <w:rPr>
          <w:color w:val="000000"/>
          <w:sz w:val="22"/>
          <w:szCs w:val="20"/>
        </w:rPr>
        <w:t>无。</w:t>
      </w:r>
    </w:p>
    <w:bookmarkEnd w:id="1"/>
    <w:p w14:paraId="118F0DAF">
      <w:pPr>
        <w:pStyle w:val="3"/>
        <w:spacing w:before="0" w:after="0"/>
        <w:rPr>
          <w:color w:val="000000"/>
          <w:sz w:val="24"/>
        </w:rPr>
      </w:pPr>
    </w:p>
    <w:sectPr>
      <w:footerReference r:id="rId3" w:type="default"/>
      <w:footerReference r:id="rId4" w:type="even"/>
      <w:pgSz w:w="11906" w:h="16838"/>
      <w:pgMar w:top="1843" w:right="1558" w:bottom="1702"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Symbol">
    <w:panose1 w:val="05050102010706020507"/>
    <w:charset w:val="00"/>
    <w:family w:val="auto"/>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方正公文小标宋">
    <w:altName w:val="宋体"/>
    <w:panose1 w:val="02000500000000000000"/>
    <w:charset w:val="86"/>
    <w:family w:val="auto"/>
    <w:pitch w:val="default"/>
    <w:sig w:usb0="00000000" w:usb1="00000000"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1A48C">
    <w:pPr>
      <w:pStyle w:val="12"/>
      <w:jc w:val="center"/>
    </w:pPr>
    <w:r>
      <w:fldChar w:fldCharType="begin"/>
    </w:r>
    <w:r>
      <w:instrText xml:space="preserve"> PAGE   \* MERGEFORMAT </w:instrText>
    </w:r>
    <w:r>
      <w:fldChar w:fldCharType="separate"/>
    </w:r>
    <w:r>
      <w:rPr>
        <w:lang w:val="zh-CN"/>
      </w:rPr>
      <w:t>8</w:t>
    </w:r>
    <w:r>
      <w:rPr>
        <w:lang w:val="zh-CN"/>
      </w:rPr>
      <w:fldChar w:fldCharType="end"/>
    </w:r>
  </w:p>
  <w:p w14:paraId="59F259B6">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9A38A">
    <w:pPr>
      <w:pStyle w:val="12"/>
      <w:framePr w:wrap="around" w:vAnchor="text" w:hAnchor="margin" w:xAlign="center" w:y="1"/>
      <w:rPr>
        <w:rStyle w:val="20"/>
      </w:rPr>
    </w:pPr>
    <w:r>
      <w:fldChar w:fldCharType="begin"/>
    </w:r>
    <w:r>
      <w:rPr>
        <w:rStyle w:val="20"/>
      </w:rPr>
      <w:instrText xml:space="preserve">PAGE  </w:instrText>
    </w:r>
    <w:r>
      <w:fldChar w:fldCharType="end"/>
    </w:r>
  </w:p>
  <w:p w14:paraId="08B3C798">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48"/>
      <w:suff w:val="nothing"/>
      <w:lvlText w:val="%1%2　"/>
      <w:lvlJc w:val="left"/>
      <w:pPr>
        <w:ind w:left="0" w:firstLine="0"/>
      </w:pPr>
      <w:rPr>
        <w:rFonts w:hint="eastAsia" w:ascii="黑体" w:eastAsia="黑体"/>
        <w:b w:val="0"/>
        <w:i w:val="0"/>
        <w:sz w:val="21"/>
      </w:rPr>
    </w:lvl>
    <w:lvl w:ilvl="2" w:tentative="0">
      <w:start w:val="1"/>
      <w:numFmt w:val="decimal"/>
      <w:pStyle w:val="4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NkMzVhNTA1NWMzZDc0MDk3Nzc1ODUzODEwMDUwODEifQ=="/>
    <w:docVar w:name="EN.InstantFormat" w:val="&lt;ENInstantFormat&gt;&lt;Enabled&gt;1&lt;/Enabled&gt;&lt;ScanUnformatted&gt;1&lt;/ScanUnformatted&gt;&lt;ScanChanges&gt;1&lt;/ScanChanges&gt;&lt;Suspended&gt;0&lt;/Suspended&gt;&lt;/ENInstantFormat&gt;"/>
    <w:docVar w:name="EN.Layout" w:val="&lt;ENLayout&gt;&lt;Style&gt;Chinese Std GBT7714 (numeric) copy&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e0xw9a5ksss2bepfpxv2exzapw0pspfxrrs&quot;&gt;发酵TMR小论文&lt;record-ids&gt;&lt;item&gt;228&lt;/item&gt;&lt;/record-ids&gt;&lt;/item&gt;&lt;/Libraries&gt;"/>
  </w:docVars>
  <w:rsids>
    <w:rsidRoot w:val="00416669"/>
    <w:rsid w:val="000155DB"/>
    <w:rsid w:val="00017D16"/>
    <w:rsid w:val="000308A3"/>
    <w:rsid w:val="00032402"/>
    <w:rsid w:val="00036A34"/>
    <w:rsid w:val="000429E1"/>
    <w:rsid w:val="000434FB"/>
    <w:rsid w:val="00044247"/>
    <w:rsid w:val="0004735E"/>
    <w:rsid w:val="00057930"/>
    <w:rsid w:val="000610CF"/>
    <w:rsid w:val="00061E22"/>
    <w:rsid w:val="00076D67"/>
    <w:rsid w:val="0008074C"/>
    <w:rsid w:val="000B474F"/>
    <w:rsid w:val="000E0375"/>
    <w:rsid w:val="000F7801"/>
    <w:rsid w:val="00112EE8"/>
    <w:rsid w:val="00113F8F"/>
    <w:rsid w:val="001155D9"/>
    <w:rsid w:val="00122CF2"/>
    <w:rsid w:val="0012627C"/>
    <w:rsid w:val="00126374"/>
    <w:rsid w:val="0013098F"/>
    <w:rsid w:val="00132DB4"/>
    <w:rsid w:val="001372F7"/>
    <w:rsid w:val="00137BD4"/>
    <w:rsid w:val="00140742"/>
    <w:rsid w:val="00147E5E"/>
    <w:rsid w:val="001650ED"/>
    <w:rsid w:val="00173D9B"/>
    <w:rsid w:val="0017441B"/>
    <w:rsid w:val="001877A5"/>
    <w:rsid w:val="001A3DFC"/>
    <w:rsid w:val="001A3E3C"/>
    <w:rsid w:val="001A6550"/>
    <w:rsid w:val="001D0503"/>
    <w:rsid w:val="001E428B"/>
    <w:rsid w:val="001E72A2"/>
    <w:rsid w:val="001F1BFE"/>
    <w:rsid w:val="001F5979"/>
    <w:rsid w:val="001F6496"/>
    <w:rsid w:val="00230B2D"/>
    <w:rsid w:val="002313E0"/>
    <w:rsid w:val="00231604"/>
    <w:rsid w:val="00232FFF"/>
    <w:rsid w:val="00237F30"/>
    <w:rsid w:val="00240E83"/>
    <w:rsid w:val="00246C40"/>
    <w:rsid w:val="002538BD"/>
    <w:rsid w:val="00255BC8"/>
    <w:rsid w:val="00256EDA"/>
    <w:rsid w:val="00257083"/>
    <w:rsid w:val="00257498"/>
    <w:rsid w:val="002574A2"/>
    <w:rsid w:val="00264E4C"/>
    <w:rsid w:val="00266508"/>
    <w:rsid w:val="002679DB"/>
    <w:rsid w:val="002A2BE5"/>
    <w:rsid w:val="002A38D8"/>
    <w:rsid w:val="002B5E17"/>
    <w:rsid w:val="002C3275"/>
    <w:rsid w:val="002C5FEC"/>
    <w:rsid w:val="002D17E1"/>
    <w:rsid w:val="002D653D"/>
    <w:rsid w:val="002E35C6"/>
    <w:rsid w:val="002F1A92"/>
    <w:rsid w:val="002F773B"/>
    <w:rsid w:val="002F78D3"/>
    <w:rsid w:val="00301EF9"/>
    <w:rsid w:val="00315468"/>
    <w:rsid w:val="00324544"/>
    <w:rsid w:val="0033768E"/>
    <w:rsid w:val="00353076"/>
    <w:rsid w:val="00355292"/>
    <w:rsid w:val="00357EA9"/>
    <w:rsid w:val="003616FA"/>
    <w:rsid w:val="0036445F"/>
    <w:rsid w:val="003647ED"/>
    <w:rsid w:val="00371521"/>
    <w:rsid w:val="003763C5"/>
    <w:rsid w:val="00376C0E"/>
    <w:rsid w:val="00377593"/>
    <w:rsid w:val="00384379"/>
    <w:rsid w:val="00395E51"/>
    <w:rsid w:val="00397219"/>
    <w:rsid w:val="003A467C"/>
    <w:rsid w:val="003A7FFA"/>
    <w:rsid w:val="003B4101"/>
    <w:rsid w:val="003B4925"/>
    <w:rsid w:val="003C0E69"/>
    <w:rsid w:val="003D5430"/>
    <w:rsid w:val="003E41F0"/>
    <w:rsid w:val="003E6AD8"/>
    <w:rsid w:val="004008BE"/>
    <w:rsid w:val="00401F02"/>
    <w:rsid w:val="00403501"/>
    <w:rsid w:val="0041174A"/>
    <w:rsid w:val="00412FA3"/>
    <w:rsid w:val="00416243"/>
    <w:rsid w:val="00416669"/>
    <w:rsid w:val="004262B4"/>
    <w:rsid w:val="00434FDA"/>
    <w:rsid w:val="0043644F"/>
    <w:rsid w:val="004369B7"/>
    <w:rsid w:val="00441546"/>
    <w:rsid w:val="00441DDE"/>
    <w:rsid w:val="00443A22"/>
    <w:rsid w:val="0045024A"/>
    <w:rsid w:val="004558C5"/>
    <w:rsid w:val="004817B8"/>
    <w:rsid w:val="0048331E"/>
    <w:rsid w:val="00487AD2"/>
    <w:rsid w:val="00487FAD"/>
    <w:rsid w:val="004A3AE7"/>
    <w:rsid w:val="004A4D6E"/>
    <w:rsid w:val="004B6B44"/>
    <w:rsid w:val="004C3612"/>
    <w:rsid w:val="004C40C4"/>
    <w:rsid w:val="004C500C"/>
    <w:rsid w:val="004C7768"/>
    <w:rsid w:val="004D3A8C"/>
    <w:rsid w:val="004D7696"/>
    <w:rsid w:val="004E670F"/>
    <w:rsid w:val="004F338A"/>
    <w:rsid w:val="004F7B86"/>
    <w:rsid w:val="00503FBF"/>
    <w:rsid w:val="00527ABD"/>
    <w:rsid w:val="00530419"/>
    <w:rsid w:val="00532D0E"/>
    <w:rsid w:val="00533B44"/>
    <w:rsid w:val="005436E7"/>
    <w:rsid w:val="0055067B"/>
    <w:rsid w:val="0055090C"/>
    <w:rsid w:val="005573B1"/>
    <w:rsid w:val="00564B6D"/>
    <w:rsid w:val="00571127"/>
    <w:rsid w:val="00571E77"/>
    <w:rsid w:val="0057251D"/>
    <w:rsid w:val="00572906"/>
    <w:rsid w:val="00576CFC"/>
    <w:rsid w:val="005850C6"/>
    <w:rsid w:val="00594619"/>
    <w:rsid w:val="00595AF8"/>
    <w:rsid w:val="0059745A"/>
    <w:rsid w:val="00597601"/>
    <w:rsid w:val="005A3DE9"/>
    <w:rsid w:val="005A7B28"/>
    <w:rsid w:val="005B3678"/>
    <w:rsid w:val="005C1DB7"/>
    <w:rsid w:val="005C3740"/>
    <w:rsid w:val="005D70F9"/>
    <w:rsid w:val="005E25C4"/>
    <w:rsid w:val="005F21F2"/>
    <w:rsid w:val="005F7967"/>
    <w:rsid w:val="006136A1"/>
    <w:rsid w:val="00613B1E"/>
    <w:rsid w:val="00617DE2"/>
    <w:rsid w:val="00617E82"/>
    <w:rsid w:val="006237C9"/>
    <w:rsid w:val="006274F4"/>
    <w:rsid w:val="006359DA"/>
    <w:rsid w:val="00642959"/>
    <w:rsid w:val="00644454"/>
    <w:rsid w:val="0064625B"/>
    <w:rsid w:val="00647006"/>
    <w:rsid w:val="006520B7"/>
    <w:rsid w:val="006615F3"/>
    <w:rsid w:val="00662C30"/>
    <w:rsid w:val="00673243"/>
    <w:rsid w:val="00676D14"/>
    <w:rsid w:val="00677237"/>
    <w:rsid w:val="006801B7"/>
    <w:rsid w:val="00686267"/>
    <w:rsid w:val="006876D1"/>
    <w:rsid w:val="00692CFC"/>
    <w:rsid w:val="006A1F6A"/>
    <w:rsid w:val="006C0880"/>
    <w:rsid w:val="006C11CD"/>
    <w:rsid w:val="006C52CD"/>
    <w:rsid w:val="006D3074"/>
    <w:rsid w:val="006D5BF9"/>
    <w:rsid w:val="006E08FA"/>
    <w:rsid w:val="006E0E00"/>
    <w:rsid w:val="006E4C06"/>
    <w:rsid w:val="006F1DD4"/>
    <w:rsid w:val="006F237B"/>
    <w:rsid w:val="006F3702"/>
    <w:rsid w:val="006F740A"/>
    <w:rsid w:val="00701F8B"/>
    <w:rsid w:val="007038ED"/>
    <w:rsid w:val="00706039"/>
    <w:rsid w:val="007227A4"/>
    <w:rsid w:val="00722A10"/>
    <w:rsid w:val="00732883"/>
    <w:rsid w:val="007356A0"/>
    <w:rsid w:val="007508FD"/>
    <w:rsid w:val="00750DD8"/>
    <w:rsid w:val="0075399B"/>
    <w:rsid w:val="00757F83"/>
    <w:rsid w:val="007665CB"/>
    <w:rsid w:val="00777351"/>
    <w:rsid w:val="00792549"/>
    <w:rsid w:val="00793A3A"/>
    <w:rsid w:val="007A1632"/>
    <w:rsid w:val="007A1885"/>
    <w:rsid w:val="007A2731"/>
    <w:rsid w:val="007B11B3"/>
    <w:rsid w:val="007B6620"/>
    <w:rsid w:val="007B75B7"/>
    <w:rsid w:val="007C4CB1"/>
    <w:rsid w:val="007D1E41"/>
    <w:rsid w:val="007E63DA"/>
    <w:rsid w:val="007F0C38"/>
    <w:rsid w:val="007F5CB8"/>
    <w:rsid w:val="007F7B8C"/>
    <w:rsid w:val="008114DA"/>
    <w:rsid w:val="008127BC"/>
    <w:rsid w:val="00814B61"/>
    <w:rsid w:val="008242BD"/>
    <w:rsid w:val="0082475F"/>
    <w:rsid w:val="00827333"/>
    <w:rsid w:val="00835A6F"/>
    <w:rsid w:val="00836F37"/>
    <w:rsid w:val="00837F17"/>
    <w:rsid w:val="0084113C"/>
    <w:rsid w:val="00847886"/>
    <w:rsid w:val="00847A63"/>
    <w:rsid w:val="008535A7"/>
    <w:rsid w:val="00860918"/>
    <w:rsid w:val="0086606A"/>
    <w:rsid w:val="008678ED"/>
    <w:rsid w:val="00873984"/>
    <w:rsid w:val="0088082F"/>
    <w:rsid w:val="008961C2"/>
    <w:rsid w:val="008962BA"/>
    <w:rsid w:val="00897E59"/>
    <w:rsid w:val="008A2DD2"/>
    <w:rsid w:val="008A2E71"/>
    <w:rsid w:val="008A3069"/>
    <w:rsid w:val="008A49C3"/>
    <w:rsid w:val="008B3504"/>
    <w:rsid w:val="008B7E15"/>
    <w:rsid w:val="008C3EDA"/>
    <w:rsid w:val="008E5F14"/>
    <w:rsid w:val="008E5F71"/>
    <w:rsid w:val="008E66D9"/>
    <w:rsid w:val="008F08FA"/>
    <w:rsid w:val="008F2E1B"/>
    <w:rsid w:val="008F773A"/>
    <w:rsid w:val="00904055"/>
    <w:rsid w:val="00907DBA"/>
    <w:rsid w:val="00914A4F"/>
    <w:rsid w:val="0091549B"/>
    <w:rsid w:val="009215F0"/>
    <w:rsid w:val="00922670"/>
    <w:rsid w:val="00935406"/>
    <w:rsid w:val="00945B8A"/>
    <w:rsid w:val="0095204F"/>
    <w:rsid w:val="0095404A"/>
    <w:rsid w:val="00973876"/>
    <w:rsid w:val="00980FDD"/>
    <w:rsid w:val="009812CC"/>
    <w:rsid w:val="00986C80"/>
    <w:rsid w:val="009951C7"/>
    <w:rsid w:val="009966C3"/>
    <w:rsid w:val="0099687E"/>
    <w:rsid w:val="009A13B4"/>
    <w:rsid w:val="009A300F"/>
    <w:rsid w:val="009B09CB"/>
    <w:rsid w:val="009B1404"/>
    <w:rsid w:val="009C1890"/>
    <w:rsid w:val="009C1E98"/>
    <w:rsid w:val="009E25E4"/>
    <w:rsid w:val="009F110C"/>
    <w:rsid w:val="009F31FF"/>
    <w:rsid w:val="009F64A3"/>
    <w:rsid w:val="00A1717E"/>
    <w:rsid w:val="00A21B84"/>
    <w:rsid w:val="00A255CB"/>
    <w:rsid w:val="00A26331"/>
    <w:rsid w:val="00A2746C"/>
    <w:rsid w:val="00A27F7F"/>
    <w:rsid w:val="00A447CB"/>
    <w:rsid w:val="00A44C95"/>
    <w:rsid w:val="00A464AD"/>
    <w:rsid w:val="00A46547"/>
    <w:rsid w:val="00A542B0"/>
    <w:rsid w:val="00A5557B"/>
    <w:rsid w:val="00A56B82"/>
    <w:rsid w:val="00A75672"/>
    <w:rsid w:val="00A8486E"/>
    <w:rsid w:val="00AA2DCB"/>
    <w:rsid w:val="00AA3DF7"/>
    <w:rsid w:val="00AA4435"/>
    <w:rsid w:val="00AA7CED"/>
    <w:rsid w:val="00AB1FC9"/>
    <w:rsid w:val="00AB4133"/>
    <w:rsid w:val="00AB46A2"/>
    <w:rsid w:val="00AD492B"/>
    <w:rsid w:val="00AD4E95"/>
    <w:rsid w:val="00AD5C1F"/>
    <w:rsid w:val="00AD5E18"/>
    <w:rsid w:val="00AD78F8"/>
    <w:rsid w:val="00AE08AF"/>
    <w:rsid w:val="00AE1937"/>
    <w:rsid w:val="00AE3118"/>
    <w:rsid w:val="00AE3591"/>
    <w:rsid w:val="00AE35CB"/>
    <w:rsid w:val="00AF7E56"/>
    <w:rsid w:val="00B04616"/>
    <w:rsid w:val="00B072C7"/>
    <w:rsid w:val="00B101AB"/>
    <w:rsid w:val="00B27E34"/>
    <w:rsid w:val="00B30B48"/>
    <w:rsid w:val="00B337E6"/>
    <w:rsid w:val="00B34441"/>
    <w:rsid w:val="00B34D79"/>
    <w:rsid w:val="00B35BB0"/>
    <w:rsid w:val="00B36B7A"/>
    <w:rsid w:val="00B438C1"/>
    <w:rsid w:val="00B528E4"/>
    <w:rsid w:val="00B559A4"/>
    <w:rsid w:val="00B63763"/>
    <w:rsid w:val="00B756D2"/>
    <w:rsid w:val="00B915FB"/>
    <w:rsid w:val="00B92DBA"/>
    <w:rsid w:val="00B97595"/>
    <w:rsid w:val="00BA2455"/>
    <w:rsid w:val="00BA2A59"/>
    <w:rsid w:val="00BA706B"/>
    <w:rsid w:val="00BA7DAE"/>
    <w:rsid w:val="00BB0513"/>
    <w:rsid w:val="00BB71D2"/>
    <w:rsid w:val="00BC0C02"/>
    <w:rsid w:val="00BD1027"/>
    <w:rsid w:val="00BD35CA"/>
    <w:rsid w:val="00BD385F"/>
    <w:rsid w:val="00BD39E2"/>
    <w:rsid w:val="00BD3CA0"/>
    <w:rsid w:val="00BE0B0E"/>
    <w:rsid w:val="00BE3F98"/>
    <w:rsid w:val="00BF1329"/>
    <w:rsid w:val="00BF72F5"/>
    <w:rsid w:val="00BF7605"/>
    <w:rsid w:val="00C04DE6"/>
    <w:rsid w:val="00C0677E"/>
    <w:rsid w:val="00C16421"/>
    <w:rsid w:val="00C22140"/>
    <w:rsid w:val="00C2658A"/>
    <w:rsid w:val="00C31237"/>
    <w:rsid w:val="00C35D5A"/>
    <w:rsid w:val="00C42D41"/>
    <w:rsid w:val="00C43B8F"/>
    <w:rsid w:val="00C43FAD"/>
    <w:rsid w:val="00C45F48"/>
    <w:rsid w:val="00C474C8"/>
    <w:rsid w:val="00C54D42"/>
    <w:rsid w:val="00C679AC"/>
    <w:rsid w:val="00C758D8"/>
    <w:rsid w:val="00C81D94"/>
    <w:rsid w:val="00C900AE"/>
    <w:rsid w:val="00C9570B"/>
    <w:rsid w:val="00CA1927"/>
    <w:rsid w:val="00CA3AB7"/>
    <w:rsid w:val="00CA51C8"/>
    <w:rsid w:val="00CB619E"/>
    <w:rsid w:val="00CD6231"/>
    <w:rsid w:val="00CE53AB"/>
    <w:rsid w:val="00D00CC8"/>
    <w:rsid w:val="00D22D66"/>
    <w:rsid w:val="00D250E5"/>
    <w:rsid w:val="00D253BE"/>
    <w:rsid w:val="00D26985"/>
    <w:rsid w:val="00D3529E"/>
    <w:rsid w:val="00D46F1D"/>
    <w:rsid w:val="00D53C06"/>
    <w:rsid w:val="00D60D26"/>
    <w:rsid w:val="00D60EB5"/>
    <w:rsid w:val="00D73891"/>
    <w:rsid w:val="00D749ED"/>
    <w:rsid w:val="00D81652"/>
    <w:rsid w:val="00D81CB9"/>
    <w:rsid w:val="00D90078"/>
    <w:rsid w:val="00D9528D"/>
    <w:rsid w:val="00DA3ED9"/>
    <w:rsid w:val="00DA4986"/>
    <w:rsid w:val="00DC10BE"/>
    <w:rsid w:val="00DD550E"/>
    <w:rsid w:val="00DD56EA"/>
    <w:rsid w:val="00DD694C"/>
    <w:rsid w:val="00DF0229"/>
    <w:rsid w:val="00DF3DAB"/>
    <w:rsid w:val="00DF4E14"/>
    <w:rsid w:val="00DF666A"/>
    <w:rsid w:val="00DF6EA3"/>
    <w:rsid w:val="00DF7946"/>
    <w:rsid w:val="00E1686F"/>
    <w:rsid w:val="00E21921"/>
    <w:rsid w:val="00E33DCF"/>
    <w:rsid w:val="00E373AD"/>
    <w:rsid w:val="00E4036C"/>
    <w:rsid w:val="00E418B3"/>
    <w:rsid w:val="00E52D55"/>
    <w:rsid w:val="00E56FB6"/>
    <w:rsid w:val="00E57815"/>
    <w:rsid w:val="00E62DD5"/>
    <w:rsid w:val="00E8551F"/>
    <w:rsid w:val="00E923DA"/>
    <w:rsid w:val="00E93DBA"/>
    <w:rsid w:val="00E9519E"/>
    <w:rsid w:val="00E96678"/>
    <w:rsid w:val="00E967AE"/>
    <w:rsid w:val="00EA3B73"/>
    <w:rsid w:val="00EB7CF2"/>
    <w:rsid w:val="00EE1047"/>
    <w:rsid w:val="00EF0176"/>
    <w:rsid w:val="00EF4463"/>
    <w:rsid w:val="00F10D01"/>
    <w:rsid w:val="00F11312"/>
    <w:rsid w:val="00F143A4"/>
    <w:rsid w:val="00F21D5B"/>
    <w:rsid w:val="00F2339E"/>
    <w:rsid w:val="00F266DE"/>
    <w:rsid w:val="00F33865"/>
    <w:rsid w:val="00F4018F"/>
    <w:rsid w:val="00F46585"/>
    <w:rsid w:val="00F465B9"/>
    <w:rsid w:val="00F50FA6"/>
    <w:rsid w:val="00F55084"/>
    <w:rsid w:val="00F62E99"/>
    <w:rsid w:val="00F65A3A"/>
    <w:rsid w:val="00F70A79"/>
    <w:rsid w:val="00F73820"/>
    <w:rsid w:val="00F75167"/>
    <w:rsid w:val="00F765AB"/>
    <w:rsid w:val="00F810F1"/>
    <w:rsid w:val="00F85661"/>
    <w:rsid w:val="00F938C1"/>
    <w:rsid w:val="00FA3307"/>
    <w:rsid w:val="00FB5B64"/>
    <w:rsid w:val="00FC2299"/>
    <w:rsid w:val="00FC7766"/>
    <w:rsid w:val="00FD2844"/>
    <w:rsid w:val="00FD4EFA"/>
    <w:rsid w:val="00FD55D6"/>
    <w:rsid w:val="00FD6815"/>
    <w:rsid w:val="00FD6B91"/>
    <w:rsid w:val="00FE01AF"/>
    <w:rsid w:val="00FE6C94"/>
    <w:rsid w:val="00FF48BF"/>
    <w:rsid w:val="00FF5684"/>
    <w:rsid w:val="01885582"/>
    <w:rsid w:val="02D3570F"/>
    <w:rsid w:val="035769A3"/>
    <w:rsid w:val="040D0C24"/>
    <w:rsid w:val="04C536CF"/>
    <w:rsid w:val="0A0E7F26"/>
    <w:rsid w:val="0C4B324E"/>
    <w:rsid w:val="0D7F514F"/>
    <w:rsid w:val="0D8977F9"/>
    <w:rsid w:val="0EA13295"/>
    <w:rsid w:val="11B904B6"/>
    <w:rsid w:val="11E00AD1"/>
    <w:rsid w:val="150E269C"/>
    <w:rsid w:val="166F5222"/>
    <w:rsid w:val="16CB6312"/>
    <w:rsid w:val="17CE1272"/>
    <w:rsid w:val="184A31E0"/>
    <w:rsid w:val="18B6296E"/>
    <w:rsid w:val="1A630809"/>
    <w:rsid w:val="1ABE4169"/>
    <w:rsid w:val="1D291FE4"/>
    <w:rsid w:val="1D3D2393"/>
    <w:rsid w:val="1E711A49"/>
    <w:rsid w:val="205A522C"/>
    <w:rsid w:val="208C08A4"/>
    <w:rsid w:val="20A67D62"/>
    <w:rsid w:val="253E083A"/>
    <w:rsid w:val="2AA17567"/>
    <w:rsid w:val="2BD77062"/>
    <w:rsid w:val="2C8376D8"/>
    <w:rsid w:val="2CEA3BB8"/>
    <w:rsid w:val="2DD44894"/>
    <w:rsid w:val="30A071CD"/>
    <w:rsid w:val="3100387E"/>
    <w:rsid w:val="32B71D42"/>
    <w:rsid w:val="32F41833"/>
    <w:rsid w:val="35D66C79"/>
    <w:rsid w:val="363F0E23"/>
    <w:rsid w:val="366F04F9"/>
    <w:rsid w:val="36C737F5"/>
    <w:rsid w:val="389208D3"/>
    <w:rsid w:val="391F59BB"/>
    <w:rsid w:val="39707CB8"/>
    <w:rsid w:val="3B2C75A0"/>
    <w:rsid w:val="3C4D2943"/>
    <w:rsid w:val="3EF33504"/>
    <w:rsid w:val="3F2932CF"/>
    <w:rsid w:val="43712A92"/>
    <w:rsid w:val="452C147A"/>
    <w:rsid w:val="45C27B57"/>
    <w:rsid w:val="460F3CE9"/>
    <w:rsid w:val="46D07AE1"/>
    <w:rsid w:val="482C3F1D"/>
    <w:rsid w:val="4AD420FB"/>
    <w:rsid w:val="4B433C23"/>
    <w:rsid w:val="4BA51FC9"/>
    <w:rsid w:val="4CF535D8"/>
    <w:rsid w:val="4D9E3FA3"/>
    <w:rsid w:val="4E193658"/>
    <w:rsid w:val="4E2D698F"/>
    <w:rsid w:val="4F8242C5"/>
    <w:rsid w:val="52BD4306"/>
    <w:rsid w:val="52C935E2"/>
    <w:rsid w:val="5420452F"/>
    <w:rsid w:val="55C833CF"/>
    <w:rsid w:val="560D45D3"/>
    <w:rsid w:val="56605470"/>
    <w:rsid w:val="5B1074F2"/>
    <w:rsid w:val="5BAD110F"/>
    <w:rsid w:val="5BC14BBB"/>
    <w:rsid w:val="5C6A7974"/>
    <w:rsid w:val="5C725265"/>
    <w:rsid w:val="5C9D7268"/>
    <w:rsid w:val="5F97769F"/>
    <w:rsid w:val="60006D2C"/>
    <w:rsid w:val="615A37DE"/>
    <w:rsid w:val="62015D11"/>
    <w:rsid w:val="623E0D13"/>
    <w:rsid w:val="633A0287"/>
    <w:rsid w:val="63B36E26"/>
    <w:rsid w:val="64B659E6"/>
    <w:rsid w:val="66AA38F8"/>
    <w:rsid w:val="67B0139B"/>
    <w:rsid w:val="68EF737F"/>
    <w:rsid w:val="694960C1"/>
    <w:rsid w:val="69F152C0"/>
    <w:rsid w:val="6B1F0FEC"/>
    <w:rsid w:val="6BE741CA"/>
    <w:rsid w:val="6D2A1A28"/>
    <w:rsid w:val="6E253618"/>
    <w:rsid w:val="6ED158B4"/>
    <w:rsid w:val="6F9E5BF8"/>
    <w:rsid w:val="73CE5A0F"/>
    <w:rsid w:val="757D0BA1"/>
    <w:rsid w:val="77785FC7"/>
    <w:rsid w:val="78EC706A"/>
    <w:rsid w:val="78EF6C3C"/>
    <w:rsid w:val="7F6A6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42"/>
    <w:qFormat/>
    <w:uiPriority w:val="9"/>
    <w:pPr>
      <w:keepNext/>
      <w:keepLines/>
      <w:spacing w:before="240" w:after="240" w:line="360" w:lineRule="auto"/>
      <w:outlineLvl w:val="0"/>
    </w:pPr>
    <w:rPr>
      <w:b/>
      <w:bCs/>
      <w:kern w:val="44"/>
      <w:sz w:val="28"/>
      <w:szCs w:val="44"/>
    </w:rPr>
  </w:style>
  <w:style w:type="paragraph" w:styleId="4">
    <w:name w:val="heading 2"/>
    <w:basedOn w:val="1"/>
    <w:next w:val="1"/>
    <w:link w:val="23"/>
    <w:qFormat/>
    <w:uiPriority w:val="9"/>
    <w:pPr>
      <w:keepNext/>
      <w:keepLines/>
      <w:spacing w:before="240" w:after="240" w:line="360" w:lineRule="auto"/>
      <w:outlineLvl w:val="1"/>
    </w:pPr>
    <w:rPr>
      <w:rFonts w:ascii="等线 Light" w:hAnsi="等线 Light" w:eastAsia="黑体"/>
      <w:bCs/>
      <w:sz w:val="24"/>
      <w:szCs w:val="32"/>
    </w:rPr>
  </w:style>
  <w:style w:type="paragraph" w:styleId="5">
    <w:name w:val="heading 3"/>
    <w:basedOn w:val="1"/>
    <w:next w:val="1"/>
    <w:link w:val="44"/>
    <w:unhideWhenUsed/>
    <w:qFormat/>
    <w:uiPriority w:val="9"/>
    <w:pPr>
      <w:keepNext/>
      <w:keepLines/>
      <w:spacing w:line="360" w:lineRule="auto"/>
      <w:outlineLvl w:val="2"/>
    </w:pPr>
    <w:rPr>
      <w:b/>
      <w:bCs/>
      <w:sz w:val="24"/>
      <w:szCs w:val="32"/>
    </w:rPr>
  </w:style>
  <w:style w:type="paragraph" w:styleId="6">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0"/>
    <w:rPr>
      <w:rFonts w:ascii="等线 Light" w:hAnsi="等线 Light" w:eastAsia="黑体"/>
      <w:sz w:val="20"/>
      <w:szCs w:val="20"/>
    </w:rPr>
  </w:style>
  <w:style w:type="paragraph" w:styleId="7">
    <w:name w:val="Body Text"/>
    <w:basedOn w:val="1"/>
    <w:qFormat/>
    <w:uiPriority w:val="1"/>
    <w:rPr>
      <w:rFonts w:ascii="宋体" w:hAnsi="宋体" w:eastAsia="宋体" w:cs="宋体"/>
      <w:sz w:val="21"/>
      <w:szCs w:val="21"/>
      <w:lang w:val="ca-ES" w:eastAsia="ca-ES" w:bidi="ca-ES"/>
    </w:rPr>
  </w:style>
  <w:style w:type="paragraph" w:styleId="8">
    <w:name w:val="toc 3"/>
    <w:basedOn w:val="1"/>
    <w:next w:val="1"/>
    <w:autoRedefine/>
    <w:unhideWhenUsed/>
    <w:qFormat/>
    <w:uiPriority w:val="39"/>
    <w:pPr>
      <w:ind w:left="840" w:leftChars="400"/>
    </w:pPr>
  </w:style>
  <w:style w:type="paragraph" w:styleId="9">
    <w:name w:val="Plain Text"/>
    <w:basedOn w:val="1"/>
    <w:qFormat/>
    <w:uiPriority w:val="99"/>
    <w:rPr>
      <w:rFonts w:ascii="宋体" w:hAnsi="Courier New" w:cs="宋体"/>
    </w:rPr>
  </w:style>
  <w:style w:type="paragraph" w:styleId="10">
    <w:name w:val="Date"/>
    <w:basedOn w:val="1"/>
    <w:next w:val="1"/>
    <w:link w:val="24"/>
    <w:qFormat/>
    <w:uiPriority w:val="0"/>
    <w:pPr>
      <w:ind w:left="100" w:leftChars="2500"/>
    </w:pPr>
    <w:rPr>
      <w:szCs w:val="24"/>
    </w:rPr>
  </w:style>
  <w:style w:type="paragraph" w:styleId="11">
    <w:name w:val="Balloon Text"/>
    <w:basedOn w:val="1"/>
    <w:link w:val="25"/>
    <w:unhideWhenUsed/>
    <w:qFormat/>
    <w:uiPriority w:val="0"/>
    <w:rPr>
      <w:sz w:val="18"/>
      <w:szCs w:val="18"/>
    </w:rPr>
  </w:style>
  <w:style w:type="paragraph" w:styleId="12">
    <w:name w:val="footer"/>
    <w:basedOn w:val="1"/>
    <w:link w:val="26"/>
    <w:unhideWhenUsed/>
    <w:qFormat/>
    <w:uiPriority w:val="99"/>
    <w:pPr>
      <w:tabs>
        <w:tab w:val="center" w:pos="4153"/>
        <w:tab w:val="right" w:pos="8306"/>
      </w:tabs>
      <w:snapToGrid w:val="0"/>
      <w:jc w:val="left"/>
    </w:pPr>
    <w:rPr>
      <w:sz w:val="18"/>
      <w:szCs w:val="18"/>
    </w:rPr>
  </w:style>
  <w:style w:type="paragraph" w:styleId="13">
    <w:name w:val="header"/>
    <w:basedOn w:val="1"/>
    <w:link w:val="27"/>
    <w:unhideWhenUsed/>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unhideWhenUsed/>
    <w:qFormat/>
    <w:uiPriority w:val="39"/>
    <w:pPr>
      <w:tabs>
        <w:tab w:val="right" w:leader="dot" w:pos="8538"/>
      </w:tabs>
      <w:spacing w:line="360" w:lineRule="auto"/>
    </w:pPr>
  </w:style>
  <w:style w:type="paragraph" w:styleId="15">
    <w:name w:val="toc 2"/>
    <w:basedOn w:val="1"/>
    <w:next w:val="1"/>
    <w:autoRedefine/>
    <w:unhideWhenUsed/>
    <w:qFormat/>
    <w:uiPriority w:val="39"/>
    <w:pPr>
      <w:ind w:left="420" w:leftChars="200"/>
    </w:pPr>
  </w:style>
  <w:style w:type="paragraph" w:styleId="16">
    <w:name w:val="Body Text 2"/>
    <w:basedOn w:val="1"/>
    <w:qFormat/>
    <w:uiPriority w:val="99"/>
    <w:pPr>
      <w:widowControl/>
      <w:spacing w:before="60" w:after="60"/>
    </w:pPr>
    <w:rPr>
      <w:rFonts w:ascii="Arial" w:hAnsi="Arial"/>
      <w:spacing w:val="-5"/>
      <w:kern w:val="0"/>
      <w:sz w:val="22"/>
      <w:szCs w:val="20"/>
      <w:lang w:val="zh-CN" w:eastAsia="en-US"/>
    </w:rPr>
  </w:style>
  <w:style w:type="character" w:styleId="19">
    <w:name w:val="Strong"/>
    <w:qFormat/>
    <w:uiPriority w:val="0"/>
    <w:rPr>
      <w:b/>
    </w:rPr>
  </w:style>
  <w:style w:type="character" w:styleId="20">
    <w:name w:val="page number"/>
    <w:qFormat/>
    <w:uiPriority w:val="0"/>
  </w:style>
  <w:style w:type="character" w:styleId="21">
    <w:name w:val="Hyperlink"/>
    <w:unhideWhenUsed/>
    <w:qFormat/>
    <w:uiPriority w:val="99"/>
    <w:rPr>
      <w:color w:val="0563C1"/>
      <w:u w:val="single"/>
    </w:rPr>
  </w:style>
  <w:style w:type="character" w:styleId="22">
    <w:name w:val="annotation reference"/>
    <w:basedOn w:val="18"/>
    <w:semiHidden/>
    <w:unhideWhenUsed/>
    <w:qFormat/>
    <w:uiPriority w:val="99"/>
    <w:rPr>
      <w:sz w:val="21"/>
      <w:szCs w:val="21"/>
    </w:rPr>
  </w:style>
  <w:style w:type="character" w:customStyle="1" w:styleId="23">
    <w:name w:val="标题 2 字符"/>
    <w:link w:val="4"/>
    <w:qFormat/>
    <w:uiPriority w:val="9"/>
    <w:rPr>
      <w:rFonts w:ascii="等线 Light" w:hAnsi="等线 Light" w:eastAsia="黑体"/>
      <w:bCs/>
      <w:kern w:val="2"/>
      <w:sz w:val="24"/>
      <w:szCs w:val="32"/>
    </w:rPr>
  </w:style>
  <w:style w:type="character" w:customStyle="1" w:styleId="24">
    <w:name w:val="日期 字符"/>
    <w:link w:val="10"/>
    <w:qFormat/>
    <w:uiPriority w:val="0"/>
    <w:rPr>
      <w:rFonts w:ascii="Times New Roman" w:hAnsi="Times New Roman" w:eastAsia="宋体" w:cs="Times New Roman"/>
      <w:kern w:val="2"/>
      <w:sz w:val="21"/>
      <w:szCs w:val="24"/>
    </w:rPr>
  </w:style>
  <w:style w:type="character" w:customStyle="1" w:styleId="25">
    <w:name w:val="批注框文本 字符"/>
    <w:link w:val="11"/>
    <w:semiHidden/>
    <w:qFormat/>
    <w:uiPriority w:val="99"/>
    <w:rPr>
      <w:rFonts w:ascii="Times New Roman" w:hAnsi="Times New Roman" w:eastAsia="宋体" w:cs="Times New Roman"/>
      <w:kern w:val="2"/>
      <w:sz w:val="18"/>
      <w:szCs w:val="18"/>
    </w:rPr>
  </w:style>
  <w:style w:type="character" w:customStyle="1" w:styleId="26">
    <w:name w:val="页脚 字符"/>
    <w:link w:val="12"/>
    <w:qFormat/>
    <w:uiPriority w:val="99"/>
    <w:rPr>
      <w:rFonts w:ascii="Times New Roman" w:hAnsi="Times New Roman" w:eastAsia="宋体" w:cs="Times New Roman"/>
      <w:sz w:val="18"/>
      <w:szCs w:val="18"/>
    </w:rPr>
  </w:style>
  <w:style w:type="character" w:customStyle="1" w:styleId="27">
    <w:name w:val="页眉 字符"/>
    <w:link w:val="13"/>
    <w:qFormat/>
    <w:uiPriority w:val="0"/>
    <w:rPr>
      <w:rFonts w:ascii="Times New Roman" w:hAnsi="Times New Roman" w:eastAsia="宋体" w:cs="Times New Roman"/>
      <w:sz w:val="18"/>
      <w:szCs w:val="18"/>
    </w:rPr>
  </w:style>
  <w:style w:type="character" w:customStyle="1" w:styleId="28">
    <w:name w:val="fontstyle01"/>
    <w:qFormat/>
    <w:uiPriority w:val="0"/>
    <w:rPr>
      <w:rFonts w:hint="eastAsia" w:ascii="黑体" w:hAnsi="黑体" w:eastAsia="黑体"/>
      <w:color w:val="000000"/>
      <w:sz w:val="32"/>
      <w:szCs w:val="32"/>
    </w:rPr>
  </w:style>
  <w:style w:type="character" w:customStyle="1" w:styleId="29">
    <w:name w:val="未处理的提及1"/>
    <w:unhideWhenUsed/>
    <w:qFormat/>
    <w:uiPriority w:val="99"/>
    <w:rPr>
      <w:color w:val="605E5C"/>
      <w:shd w:val="clear" w:color="auto" w:fill="E1DFDD"/>
    </w:rPr>
  </w:style>
  <w:style w:type="character" w:customStyle="1" w:styleId="30">
    <w:name w:val="段 Char"/>
    <w:link w:val="31"/>
    <w:qFormat/>
    <w:uiPriority w:val="0"/>
    <w:rPr>
      <w:rFonts w:ascii="宋体" w:hAnsi="Times New Roman" w:eastAsia="宋体" w:cs="Times New Roman"/>
      <w:kern w:val="0"/>
      <w:szCs w:val="20"/>
    </w:rPr>
  </w:style>
  <w:style w:type="paragraph" w:customStyle="1" w:styleId="31">
    <w:name w:val="段"/>
    <w:link w:val="3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32">
    <w:name w:val="fontstyle11"/>
    <w:qFormat/>
    <w:uiPriority w:val="0"/>
    <w:rPr>
      <w:rFonts w:hint="default" w:ascii="TimesNewRomanPSMT" w:hAnsi="TimesNewRomanPSMT"/>
      <w:color w:val="000000"/>
      <w:sz w:val="22"/>
      <w:szCs w:val="22"/>
    </w:rPr>
  </w:style>
  <w:style w:type="character" w:customStyle="1" w:styleId="33">
    <w:name w:val="apple-style-span"/>
    <w:semiHidden/>
    <w:qFormat/>
    <w:uiPriority w:val="0"/>
  </w:style>
  <w:style w:type="paragraph" w:styleId="34">
    <w:name w:val="List Paragraph"/>
    <w:basedOn w:val="1"/>
    <w:qFormat/>
    <w:uiPriority w:val="99"/>
    <w:pPr>
      <w:ind w:firstLine="420" w:firstLineChars="200"/>
    </w:pPr>
  </w:style>
  <w:style w:type="paragraph" w:customStyle="1" w:styleId="35">
    <w:name w:val="Char1 Char Char Char Char Char Char Char Char Char"/>
    <w:basedOn w:val="1"/>
    <w:qFormat/>
    <w:uiPriority w:val="0"/>
    <w:pPr>
      <w:spacing w:line="360" w:lineRule="auto"/>
    </w:pPr>
    <w:rPr>
      <w:rFonts w:ascii="Tahoma" w:hAnsi="Tahoma"/>
      <w:sz w:val="24"/>
      <w:szCs w:val="20"/>
    </w:rPr>
  </w:style>
  <w:style w:type="paragraph" w:customStyle="1" w:styleId="36">
    <w:name w:val="图标标题"/>
    <w:basedOn w:val="2"/>
    <w:qFormat/>
    <w:uiPriority w:val="0"/>
    <w:pPr>
      <w:jc w:val="center"/>
    </w:pPr>
    <w:rPr>
      <w:sz w:val="21"/>
    </w:rPr>
  </w:style>
  <w:style w:type="paragraph" w:customStyle="1" w:styleId="37">
    <w:name w:val="修订1"/>
    <w:unhideWhenUsed/>
    <w:qFormat/>
    <w:uiPriority w:val="99"/>
    <w:rPr>
      <w:rFonts w:ascii="Times New Roman" w:hAnsi="Times New Roman" w:eastAsia="宋体" w:cs="Times New Roman"/>
      <w:kern w:val="2"/>
      <w:sz w:val="21"/>
      <w:szCs w:val="21"/>
      <w:lang w:val="en-US" w:eastAsia="zh-CN" w:bidi="ar-SA"/>
    </w:rPr>
  </w:style>
  <w:style w:type="paragraph" w:customStyle="1" w:styleId="38">
    <w:name w:val="EndNote Bibliography"/>
    <w:basedOn w:val="1"/>
    <w:link w:val="39"/>
    <w:qFormat/>
    <w:uiPriority w:val="0"/>
    <w:rPr>
      <w:rFonts w:eastAsia="等线"/>
      <w:sz w:val="20"/>
      <w:szCs w:val="22"/>
    </w:rPr>
  </w:style>
  <w:style w:type="character" w:customStyle="1" w:styleId="39">
    <w:name w:val="EndNote Bibliography 字符"/>
    <w:link w:val="38"/>
    <w:qFormat/>
    <w:uiPriority w:val="0"/>
    <w:rPr>
      <w:rFonts w:eastAsia="等线"/>
      <w:kern w:val="2"/>
      <w:szCs w:val="22"/>
    </w:rPr>
  </w:style>
  <w:style w:type="paragraph" w:customStyle="1" w:styleId="40">
    <w:name w:val="EndNote Bibliography Title"/>
    <w:basedOn w:val="1"/>
    <w:link w:val="41"/>
    <w:qFormat/>
    <w:uiPriority w:val="0"/>
    <w:pPr>
      <w:jc w:val="center"/>
    </w:pPr>
    <w:rPr>
      <w:sz w:val="20"/>
    </w:rPr>
  </w:style>
  <w:style w:type="character" w:customStyle="1" w:styleId="41">
    <w:name w:val="EndNote Bibliography Title 字符"/>
    <w:link w:val="40"/>
    <w:qFormat/>
    <w:uiPriority w:val="0"/>
    <w:rPr>
      <w:kern w:val="2"/>
      <w:szCs w:val="21"/>
      <w:lang w:val="en-US" w:eastAsia="zh-CN"/>
    </w:rPr>
  </w:style>
  <w:style w:type="character" w:customStyle="1" w:styleId="42">
    <w:name w:val="标题 1 字符"/>
    <w:link w:val="3"/>
    <w:qFormat/>
    <w:uiPriority w:val="9"/>
    <w:rPr>
      <w:b/>
      <w:bCs/>
      <w:kern w:val="44"/>
      <w:sz w:val="28"/>
      <w:szCs w:val="44"/>
    </w:rPr>
  </w:style>
  <w:style w:type="paragraph" w:customStyle="1" w:styleId="43">
    <w:name w:val="TOC 标题1"/>
    <w:basedOn w:val="3"/>
    <w:next w:val="1"/>
    <w:unhideWhenUsed/>
    <w:qFormat/>
    <w:uiPriority w:val="39"/>
    <w:pPr>
      <w:widowControl/>
      <w:spacing w:after="0" w:line="259" w:lineRule="auto"/>
      <w:jc w:val="left"/>
      <w:outlineLvl w:val="9"/>
    </w:pPr>
    <w:rPr>
      <w:rFonts w:ascii="等线 Light" w:hAnsi="等线 Light" w:eastAsia="等线 Light"/>
      <w:b w:val="0"/>
      <w:bCs w:val="0"/>
      <w:color w:val="2F5496"/>
      <w:kern w:val="0"/>
      <w:sz w:val="32"/>
      <w:szCs w:val="32"/>
    </w:rPr>
  </w:style>
  <w:style w:type="character" w:customStyle="1" w:styleId="44">
    <w:name w:val="标题 3 字符"/>
    <w:link w:val="5"/>
    <w:qFormat/>
    <w:uiPriority w:val="9"/>
    <w:rPr>
      <w:b/>
      <w:bCs/>
      <w:kern w:val="2"/>
      <w:sz w:val="24"/>
      <w:szCs w:val="32"/>
    </w:rPr>
  </w:style>
  <w:style w:type="character" w:customStyle="1" w:styleId="45">
    <w:name w:val="标准文件_段 Char"/>
    <w:link w:val="46"/>
    <w:qFormat/>
    <w:locked/>
    <w:uiPriority w:val="0"/>
    <w:rPr>
      <w:rFonts w:ascii="宋体"/>
      <w:sz w:val="21"/>
    </w:rPr>
  </w:style>
  <w:style w:type="paragraph" w:customStyle="1" w:styleId="46">
    <w:name w:val="标准文件_段"/>
    <w:link w:val="4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7">
    <w:name w:val="标准文件_文件名称"/>
    <w:basedOn w:val="46"/>
    <w:next w:val="4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48">
    <w:name w:val="标准文件_章标题"/>
    <w:next w:val="46"/>
    <w:autoRedefine/>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49">
    <w:name w:val="标准文件_一级条标题"/>
    <w:basedOn w:val="48"/>
    <w:next w:val="46"/>
    <w:autoRedefine/>
    <w:qFormat/>
    <w:uiPriority w:val="0"/>
    <w:pPr>
      <w:numPr>
        <w:ilvl w:val="2"/>
      </w:numPr>
      <w:spacing w:before="50" w:beforeLines="50" w:after="50" w:afterLines="50"/>
      <w:outlineLvl w:val="1"/>
    </w:pPr>
  </w:style>
  <w:style w:type="paragraph" w:customStyle="1" w:styleId="50">
    <w:name w:val="标准文件_字母编号列项（一级）"/>
    <w:autoRedefine/>
    <w:qFormat/>
    <w:uiPriority w:val="0"/>
    <w:pPr>
      <w:tabs>
        <w:tab w:val="left" w:pos="851"/>
      </w:tabs>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BFD8C-1850-47D2-BE5D-0813EAA0C06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Pages>
  <Words>758</Words>
  <Characters>776</Characters>
  <Lines>38</Lines>
  <Paragraphs>10</Paragraphs>
  <TotalTime>2</TotalTime>
  <ScaleCrop>false</ScaleCrop>
  <LinksUpToDate>false</LinksUpToDate>
  <CharactersWithSpaces>790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2025-12-17T06:59:00Z</dcterms:created>
  <dc:creator>win10</dc:creator>
  <cp:lastModifiedBy>北染陌人</cp:lastModifiedBy>
  <cp:lastPrinted>2026-05-12T14:44:00Z</cp:lastPrinted>
  <dcterms:modified xsi:type="dcterms:W3CDTF">2026-05-14T13:22:40Z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AFA8369427AB411DBA234AE3A6C38B4F_13</vt:lpwstr>
  </property>
  <property fmtid="{D5CDD505-2E9C-101B-9397-08002B2CF9AE}" pid="4" name="KSOTemplateDocerSaveRecord">
    <vt:lpwstr>eyJoZGlkIjoiODJmZDI1MWQzODNiMDU2NGExNzM1NzQ5MmEwYzIxZDUiLCJ1c2VySWQiOiIyNjI4OTk0NjYifQ==</vt:lpwstr>
  </property>
</Properties>
</file>