
<file path=[Content_Types].xml><?xml version="1.0" encoding="utf-8"?>
<Types xmlns="http://schemas.openxmlformats.org/package/2006/content-types">
  <Default Extension="emf" ContentType="image/x-emf"/>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FABB3">
      <w:pPr>
        <w:jc w:val="center"/>
        <w:rPr>
          <w:sz w:val="52"/>
          <w:szCs w:val="52"/>
        </w:rPr>
      </w:pPr>
    </w:p>
    <w:p w14:paraId="171ABDDC">
      <w:pPr>
        <w:jc w:val="center"/>
        <w:rPr>
          <w:sz w:val="52"/>
          <w:szCs w:val="52"/>
        </w:rPr>
      </w:pPr>
    </w:p>
    <w:p w14:paraId="77F24D80">
      <w:pPr>
        <w:jc w:val="center"/>
        <w:rPr>
          <w:sz w:val="52"/>
          <w:szCs w:val="52"/>
        </w:rPr>
      </w:pPr>
    </w:p>
    <w:p w14:paraId="25942AA0">
      <w:pPr>
        <w:jc w:val="center"/>
        <w:rPr>
          <w:sz w:val="52"/>
          <w:szCs w:val="52"/>
        </w:rPr>
      </w:pPr>
    </w:p>
    <w:p w14:paraId="40341105">
      <w:pPr>
        <w:jc w:val="center"/>
        <w:rPr>
          <w:sz w:val="52"/>
          <w:szCs w:val="52"/>
        </w:rPr>
      </w:pPr>
      <w:r>
        <w:rPr>
          <w:rFonts w:hint="eastAsia"/>
          <w:sz w:val="52"/>
          <w:szCs w:val="52"/>
        </w:rPr>
        <w:t>团 体</w:t>
      </w:r>
      <w:r>
        <w:rPr>
          <w:sz w:val="52"/>
          <w:szCs w:val="52"/>
        </w:rPr>
        <w:t xml:space="preserve"> 标 准</w:t>
      </w:r>
    </w:p>
    <w:p w14:paraId="287DBEF1">
      <w:pPr>
        <w:jc w:val="center"/>
        <w:rPr>
          <w:sz w:val="48"/>
          <w:szCs w:val="48"/>
        </w:rPr>
      </w:pPr>
    </w:p>
    <w:p w14:paraId="7B12DA05">
      <w:pPr>
        <w:jc w:val="center"/>
        <w:rPr>
          <w:sz w:val="44"/>
          <w:szCs w:val="44"/>
        </w:rPr>
      </w:pPr>
      <w:r>
        <w:rPr>
          <w:sz w:val="44"/>
          <w:szCs w:val="44"/>
        </w:rPr>
        <w:t>《</w:t>
      </w:r>
      <w:r>
        <w:rPr>
          <w:rFonts w:hint="eastAsia" w:ascii="黑体" w:hAnsi="黑体" w:eastAsia="黑体"/>
          <w:sz w:val="44"/>
          <w:szCs w:val="44"/>
        </w:rPr>
        <w:t>茶树枝叶发酵饲料饲喂肉牛技术规程</w:t>
      </w:r>
      <w:r>
        <w:rPr>
          <w:sz w:val="44"/>
          <w:szCs w:val="44"/>
        </w:rPr>
        <w:t>》</w:t>
      </w:r>
    </w:p>
    <w:p w14:paraId="1D42F40B">
      <w:pPr>
        <w:spacing w:before="312" w:beforeLines="100" w:after="312" w:afterLines="100" w:line="480" w:lineRule="auto"/>
        <w:ind w:left="-67"/>
        <w:jc w:val="center"/>
        <w:rPr>
          <w:rFonts w:ascii="黑体" w:hAnsi="黑体" w:eastAsia="黑体"/>
          <w:sz w:val="44"/>
          <w:szCs w:val="44"/>
        </w:rPr>
      </w:pPr>
      <w:r>
        <w:rPr>
          <w:rFonts w:ascii="黑体" w:hAnsi="黑体" w:eastAsia="黑体"/>
          <w:sz w:val="44"/>
          <w:szCs w:val="44"/>
        </w:rPr>
        <w:t>编制说明</w:t>
      </w:r>
    </w:p>
    <w:p w14:paraId="2C9917FF">
      <w:pPr>
        <w:jc w:val="center"/>
        <w:rPr>
          <w:bCs/>
          <w:sz w:val="36"/>
          <w:szCs w:val="36"/>
        </w:rPr>
      </w:pPr>
    </w:p>
    <w:p w14:paraId="083A6EDA">
      <w:pPr>
        <w:jc w:val="center"/>
        <w:rPr>
          <w:bCs/>
          <w:sz w:val="36"/>
          <w:szCs w:val="36"/>
        </w:rPr>
      </w:pPr>
    </w:p>
    <w:p w14:paraId="44BB532C">
      <w:pPr>
        <w:jc w:val="center"/>
        <w:rPr>
          <w:bCs/>
          <w:sz w:val="36"/>
          <w:szCs w:val="36"/>
        </w:rPr>
      </w:pPr>
    </w:p>
    <w:p w14:paraId="61729EBE">
      <w:pPr>
        <w:jc w:val="center"/>
        <w:rPr>
          <w:bCs/>
          <w:sz w:val="36"/>
          <w:szCs w:val="36"/>
        </w:rPr>
      </w:pPr>
    </w:p>
    <w:p w14:paraId="0540BE1D">
      <w:pPr>
        <w:jc w:val="center"/>
        <w:rPr>
          <w:bCs/>
          <w:sz w:val="36"/>
          <w:szCs w:val="36"/>
        </w:rPr>
      </w:pPr>
    </w:p>
    <w:p w14:paraId="1FC9FEE8">
      <w:pPr>
        <w:jc w:val="center"/>
        <w:rPr>
          <w:bCs/>
          <w:sz w:val="36"/>
          <w:szCs w:val="36"/>
        </w:rPr>
      </w:pPr>
    </w:p>
    <w:p w14:paraId="2344CFBE">
      <w:pPr>
        <w:jc w:val="center"/>
        <w:rPr>
          <w:bCs/>
          <w:sz w:val="36"/>
          <w:szCs w:val="36"/>
        </w:rPr>
      </w:pPr>
    </w:p>
    <w:p w14:paraId="21E26E1D">
      <w:pPr>
        <w:widowControl/>
        <w:jc w:val="center"/>
        <w:rPr>
          <w:bCs/>
          <w:sz w:val="44"/>
          <w:szCs w:val="44"/>
        </w:rPr>
      </w:pPr>
    </w:p>
    <w:p w14:paraId="06A709F5">
      <w:pPr>
        <w:widowControl/>
        <w:jc w:val="center"/>
        <w:rPr>
          <w:bCs/>
          <w:sz w:val="44"/>
          <w:szCs w:val="44"/>
        </w:rPr>
      </w:pPr>
    </w:p>
    <w:p w14:paraId="5135B10D">
      <w:pPr>
        <w:spacing w:line="240" w:lineRule="auto"/>
        <w:ind w:left="-72" w:leftChars="-67" w:right="-437" w:rightChars="-182" w:hanging="89" w:hangingChars="32"/>
        <w:jc w:val="center"/>
        <w:rPr>
          <w:rFonts w:hint="eastAsia" w:ascii="黑体" w:hAnsi="黑体" w:eastAsia="黑体"/>
          <w:bCs/>
          <w:sz w:val="28"/>
          <w:szCs w:val="28"/>
        </w:rPr>
      </w:pPr>
      <w:r>
        <w:rPr>
          <w:rFonts w:hint="eastAsia" w:ascii="黑体" w:hAnsi="黑体" w:eastAsia="黑体"/>
          <w:bCs/>
          <w:sz w:val="28"/>
          <w:szCs w:val="28"/>
        </w:rPr>
        <w:t>《茶树枝叶发酵饲料饲喂肉牛技术规程》团体标准制定组</w:t>
      </w:r>
    </w:p>
    <w:p w14:paraId="13D630A5">
      <w:pPr>
        <w:widowControl/>
        <w:spacing w:line="240" w:lineRule="auto"/>
        <w:jc w:val="center"/>
        <w:rPr>
          <w:rFonts w:hint="eastAsia" w:ascii="黑体" w:hAnsi="黑体" w:eastAsia="黑体"/>
          <w:bCs/>
          <w:sz w:val="28"/>
          <w:szCs w:val="28"/>
        </w:rPr>
      </w:pPr>
      <w:r>
        <w:rPr>
          <w:rFonts w:hint="eastAsia" w:ascii="黑体" w:hAnsi="黑体" w:eastAsia="黑体"/>
          <w:bCs/>
          <w:sz w:val="28"/>
          <w:szCs w:val="28"/>
        </w:rPr>
        <w:t>二〇二六年</w:t>
      </w:r>
      <w:r>
        <w:rPr>
          <w:rFonts w:hint="eastAsia" w:ascii="黑体" w:hAnsi="黑体" w:eastAsia="黑体"/>
          <w:bCs/>
          <w:sz w:val="28"/>
          <w:szCs w:val="28"/>
          <w:lang w:val="en-US" w:eastAsia="zh-CN"/>
        </w:rPr>
        <w:t>五</w:t>
      </w:r>
      <w:r>
        <w:rPr>
          <w:rFonts w:hint="eastAsia" w:ascii="黑体" w:hAnsi="黑体" w:eastAsia="黑体"/>
          <w:bCs/>
          <w:sz w:val="28"/>
          <w:szCs w:val="28"/>
        </w:rPr>
        <w:t>月</w:t>
      </w:r>
    </w:p>
    <w:p w14:paraId="1B14D328">
      <w:r>
        <w:br w:type="page"/>
      </w:r>
    </w:p>
    <w:p w14:paraId="08F55544"/>
    <w:sdt>
      <w:sdtPr>
        <w:rPr>
          <w:rFonts w:ascii="宋体" w:hAnsi="宋体"/>
          <w:sz w:val="28"/>
          <w:szCs w:val="28"/>
        </w:rPr>
        <w:id w:val="147472960"/>
        <w15:color w:val="DBDBDB"/>
        <w:docPartObj>
          <w:docPartGallery w:val="Table of Contents"/>
          <w:docPartUnique/>
        </w:docPartObj>
      </w:sdtPr>
      <w:sdtEndPr>
        <w:rPr>
          <w:rFonts w:ascii="Times New Roman" w:hAnsi="Times New Roman"/>
          <w:sz w:val="24"/>
          <w:szCs w:val="21"/>
        </w:rPr>
      </w:sdtEndPr>
      <w:sdtContent>
        <w:p w14:paraId="46D4B9DD">
          <w:pPr>
            <w:spacing w:line="240" w:lineRule="auto"/>
            <w:jc w:val="center"/>
            <w:rPr>
              <w:sz w:val="36"/>
              <w:szCs w:val="28"/>
            </w:rPr>
          </w:pPr>
          <w:r>
            <w:rPr>
              <w:rFonts w:ascii="宋体" w:hAnsi="宋体"/>
              <w:sz w:val="28"/>
              <w:szCs w:val="28"/>
            </w:rPr>
            <w:t>目</w:t>
          </w:r>
          <w:r>
            <w:rPr>
              <w:rFonts w:hint="eastAsia" w:ascii="宋体" w:hAnsi="宋体"/>
              <w:sz w:val="28"/>
              <w:szCs w:val="28"/>
            </w:rPr>
            <w:t>次</w:t>
          </w:r>
        </w:p>
        <w:p w14:paraId="0000F8C5">
          <w:pPr>
            <w:pStyle w:val="8"/>
            <w:tabs>
              <w:tab w:val="right" w:leader="dot" w:pos="8306"/>
            </w:tabs>
          </w:pPr>
          <w:r>
            <w:fldChar w:fldCharType="begin"/>
          </w:r>
          <w:r>
            <w:instrText xml:space="preserve">TOC \o "1-2" \h \u </w:instrText>
          </w:r>
          <w:r>
            <w:fldChar w:fldCharType="separate"/>
          </w:r>
          <w:r>
            <w:fldChar w:fldCharType="begin"/>
          </w:r>
          <w:r>
            <w:instrText xml:space="preserve"> HYPERLINK \l _Toc7703 </w:instrText>
          </w:r>
          <w:r>
            <w:fldChar w:fldCharType="separate"/>
          </w:r>
          <w:r>
            <w:rPr>
              <w:rFonts w:hint="eastAsia"/>
              <w:szCs w:val="24"/>
              <w:lang w:val="en-US" w:eastAsia="zh-CN"/>
            </w:rPr>
            <w:t>一、</w:t>
          </w:r>
          <w:r>
            <w:rPr>
              <w:rFonts w:hint="eastAsia"/>
              <w:szCs w:val="24"/>
            </w:rPr>
            <w:t>任务来源及标准制定背景</w:t>
          </w:r>
          <w:r>
            <w:tab/>
          </w:r>
          <w:r>
            <w:fldChar w:fldCharType="begin"/>
          </w:r>
          <w:r>
            <w:instrText xml:space="preserve"> PAGEREF _Toc7703 \h </w:instrText>
          </w:r>
          <w:r>
            <w:fldChar w:fldCharType="separate"/>
          </w:r>
          <w:r>
            <w:t>3</w:t>
          </w:r>
          <w:r>
            <w:fldChar w:fldCharType="end"/>
          </w:r>
          <w:r>
            <w:fldChar w:fldCharType="end"/>
          </w:r>
        </w:p>
        <w:p w14:paraId="78ABE059">
          <w:pPr>
            <w:pStyle w:val="8"/>
            <w:tabs>
              <w:tab w:val="right" w:leader="dot" w:pos="8306"/>
            </w:tabs>
          </w:pPr>
          <w:r>
            <w:fldChar w:fldCharType="begin"/>
          </w:r>
          <w:r>
            <w:instrText xml:space="preserve"> HYPERLINK \l _Toc22182 </w:instrText>
          </w:r>
          <w:r>
            <w:fldChar w:fldCharType="separate"/>
          </w:r>
          <w:r>
            <w:rPr>
              <w:rFonts w:hint="eastAsia"/>
              <w:szCs w:val="40"/>
            </w:rPr>
            <w:t>二、主要工作过程</w:t>
          </w:r>
          <w:r>
            <w:tab/>
          </w:r>
          <w:r>
            <w:fldChar w:fldCharType="begin"/>
          </w:r>
          <w:r>
            <w:instrText xml:space="preserve"> PAGEREF _Toc22182 \h </w:instrText>
          </w:r>
          <w:r>
            <w:fldChar w:fldCharType="separate"/>
          </w:r>
          <w:r>
            <w:t>3</w:t>
          </w:r>
          <w:r>
            <w:fldChar w:fldCharType="end"/>
          </w:r>
          <w:r>
            <w:fldChar w:fldCharType="end"/>
          </w:r>
        </w:p>
        <w:p w14:paraId="679D49EA">
          <w:pPr>
            <w:pStyle w:val="8"/>
            <w:tabs>
              <w:tab w:val="right" w:leader="dot" w:pos="8306"/>
            </w:tabs>
          </w:pPr>
          <w:r>
            <w:fldChar w:fldCharType="begin"/>
          </w:r>
          <w:r>
            <w:instrText xml:space="preserve"> HYPERLINK \l _Toc2183 </w:instrText>
          </w:r>
          <w:r>
            <w:fldChar w:fldCharType="separate"/>
          </w:r>
          <w:r>
            <w:rPr>
              <w:rFonts w:hint="eastAsia"/>
              <w:szCs w:val="40"/>
            </w:rPr>
            <w:t>三、标准编制原则和主要技术内容确定的依据</w:t>
          </w:r>
          <w:r>
            <w:tab/>
          </w:r>
          <w:r>
            <w:fldChar w:fldCharType="begin"/>
          </w:r>
          <w:r>
            <w:instrText xml:space="preserve"> PAGEREF _Toc2183 \h </w:instrText>
          </w:r>
          <w:r>
            <w:fldChar w:fldCharType="separate"/>
          </w:r>
          <w:r>
            <w:t>4</w:t>
          </w:r>
          <w:r>
            <w:fldChar w:fldCharType="end"/>
          </w:r>
          <w:r>
            <w:fldChar w:fldCharType="end"/>
          </w:r>
        </w:p>
        <w:p w14:paraId="63EA727F">
          <w:pPr>
            <w:pStyle w:val="8"/>
            <w:tabs>
              <w:tab w:val="right" w:leader="dot" w:pos="8306"/>
            </w:tabs>
          </w:pPr>
          <w:r>
            <w:fldChar w:fldCharType="begin"/>
          </w:r>
          <w:r>
            <w:instrText xml:space="preserve"> HYPERLINK \l _Toc7577 </w:instrText>
          </w:r>
          <w:r>
            <w:fldChar w:fldCharType="separate"/>
          </w:r>
          <w:r>
            <w:rPr>
              <w:rFonts w:hint="eastAsia"/>
              <w:szCs w:val="40"/>
              <w:lang w:val="en-US" w:eastAsia="zh-CN"/>
            </w:rPr>
            <w:t>四、主要技术内容确定的依据</w:t>
          </w:r>
          <w:r>
            <w:tab/>
          </w:r>
          <w:r>
            <w:fldChar w:fldCharType="begin"/>
          </w:r>
          <w:r>
            <w:instrText xml:space="preserve"> PAGEREF _Toc7577 \h </w:instrText>
          </w:r>
          <w:r>
            <w:fldChar w:fldCharType="separate"/>
          </w:r>
          <w:r>
            <w:t>5</w:t>
          </w:r>
          <w:r>
            <w:fldChar w:fldCharType="end"/>
          </w:r>
          <w:r>
            <w:fldChar w:fldCharType="end"/>
          </w:r>
        </w:p>
        <w:p w14:paraId="060BF65F">
          <w:pPr>
            <w:pStyle w:val="8"/>
            <w:tabs>
              <w:tab w:val="right" w:leader="dot" w:pos="8306"/>
            </w:tabs>
          </w:pPr>
          <w:r>
            <w:fldChar w:fldCharType="begin"/>
          </w:r>
          <w:r>
            <w:instrText xml:space="preserve"> HYPERLINK \l _Toc8648 </w:instrText>
          </w:r>
          <w:r>
            <w:fldChar w:fldCharType="separate"/>
          </w:r>
          <w:r>
            <w:rPr>
              <w:rFonts w:hint="eastAsia"/>
              <w:szCs w:val="40"/>
              <w:lang w:val="en-US" w:eastAsia="zh-CN"/>
            </w:rPr>
            <w:t>五、采用的国际标准</w:t>
          </w:r>
          <w:r>
            <w:tab/>
          </w:r>
          <w:r>
            <w:fldChar w:fldCharType="begin"/>
          </w:r>
          <w:r>
            <w:instrText xml:space="preserve"> PAGEREF _Toc8648 \h </w:instrText>
          </w:r>
          <w:r>
            <w:fldChar w:fldCharType="separate"/>
          </w:r>
          <w:r>
            <w:t>12</w:t>
          </w:r>
          <w:r>
            <w:fldChar w:fldCharType="end"/>
          </w:r>
          <w:r>
            <w:fldChar w:fldCharType="end"/>
          </w:r>
        </w:p>
        <w:p w14:paraId="52C91181">
          <w:pPr>
            <w:pStyle w:val="8"/>
            <w:tabs>
              <w:tab w:val="right" w:leader="dot" w:pos="8306"/>
            </w:tabs>
          </w:pPr>
          <w:r>
            <w:fldChar w:fldCharType="begin"/>
          </w:r>
          <w:r>
            <w:instrText xml:space="preserve"> HYPERLINK \l _Toc25736 </w:instrText>
          </w:r>
          <w:r>
            <w:fldChar w:fldCharType="separate"/>
          </w:r>
          <w:r>
            <w:rPr>
              <w:rFonts w:hint="eastAsia"/>
              <w:szCs w:val="40"/>
              <w:lang w:val="en-US" w:eastAsia="zh-CN"/>
            </w:rPr>
            <w:t>六、与现行法律法规和强制性标准的关系</w:t>
          </w:r>
          <w:r>
            <w:tab/>
          </w:r>
          <w:r>
            <w:fldChar w:fldCharType="begin"/>
          </w:r>
          <w:r>
            <w:instrText xml:space="preserve"> PAGEREF _Toc25736 \h </w:instrText>
          </w:r>
          <w:r>
            <w:fldChar w:fldCharType="separate"/>
          </w:r>
          <w:r>
            <w:t>12</w:t>
          </w:r>
          <w:r>
            <w:fldChar w:fldCharType="end"/>
          </w:r>
          <w:r>
            <w:fldChar w:fldCharType="end"/>
          </w:r>
        </w:p>
        <w:p w14:paraId="2DD26986">
          <w:pPr>
            <w:pStyle w:val="8"/>
            <w:tabs>
              <w:tab w:val="right" w:leader="dot" w:pos="8306"/>
            </w:tabs>
          </w:pPr>
          <w:r>
            <w:fldChar w:fldCharType="begin"/>
          </w:r>
          <w:r>
            <w:instrText xml:space="preserve"> HYPERLINK \l _Toc1604 </w:instrText>
          </w:r>
          <w:r>
            <w:fldChar w:fldCharType="separate"/>
          </w:r>
          <w:r>
            <w:rPr>
              <w:rFonts w:ascii="Times New Roman" w:hAnsi="Times New Roman" w:eastAsia="宋体" w:cs="Times New Roman"/>
              <w:bCs/>
              <w:kern w:val="44"/>
              <w:szCs w:val="40"/>
              <w:lang w:val="en-US" w:eastAsia="zh-CN" w:bidi="ar-SA"/>
            </w:rPr>
            <w:t>七、标准作为强制性或推荐性标准的意见</w:t>
          </w:r>
          <w:r>
            <w:tab/>
          </w:r>
          <w:r>
            <w:fldChar w:fldCharType="begin"/>
          </w:r>
          <w:r>
            <w:instrText xml:space="preserve"> PAGEREF _Toc1604 \h </w:instrText>
          </w:r>
          <w:r>
            <w:fldChar w:fldCharType="separate"/>
          </w:r>
          <w:r>
            <w:t>12</w:t>
          </w:r>
          <w:r>
            <w:fldChar w:fldCharType="end"/>
          </w:r>
          <w:r>
            <w:fldChar w:fldCharType="end"/>
          </w:r>
        </w:p>
        <w:p w14:paraId="3C3B1289">
          <w:pPr>
            <w:pStyle w:val="8"/>
            <w:tabs>
              <w:tab w:val="right" w:leader="dot" w:pos="8306"/>
            </w:tabs>
          </w:pPr>
          <w:r>
            <w:fldChar w:fldCharType="begin"/>
          </w:r>
          <w:r>
            <w:instrText xml:space="preserve"> HYPERLINK \l _Toc17287 </w:instrText>
          </w:r>
          <w:r>
            <w:fldChar w:fldCharType="separate"/>
          </w:r>
          <w:r>
            <w:rPr>
              <w:rFonts w:ascii="Times New Roman" w:hAnsi="Times New Roman" w:eastAsia="宋体" w:cs="Times New Roman"/>
              <w:bCs/>
              <w:kern w:val="44"/>
              <w:szCs w:val="40"/>
              <w:lang w:val="en-US" w:eastAsia="zh-CN" w:bidi="ar-SA"/>
            </w:rPr>
            <w:t>八、贯彻标准的要求和措施建议</w:t>
          </w:r>
          <w:r>
            <w:tab/>
          </w:r>
          <w:r>
            <w:fldChar w:fldCharType="begin"/>
          </w:r>
          <w:r>
            <w:instrText xml:space="preserve"> PAGEREF _Toc17287 \h </w:instrText>
          </w:r>
          <w:r>
            <w:fldChar w:fldCharType="separate"/>
          </w:r>
          <w:r>
            <w:t>13</w:t>
          </w:r>
          <w:r>
            <w:fldChar w:fldCharType="end"/>
          </w:r>
          <w:r>
            <w:fldChar w:fldCharType="end"/>
          </w:r>
        </w:p>
        <w:p w14:paraId="69E5D5D2">
          <w:pPr>
            <w:pStyle w:val="8"/>
            <w:tabs>
              <w:tab w:val="right" w:leader="dot" w:pos="8306"/>
            </w:tabs>
          </w:pPr>
          <w:r>
            <w:fldChar w:fldCharType="begin"/>
          </w:r>
          <w:r>
            <w:instrText xml:space="preserve"> HYPERLINK \l _Toc17160 </w:instrText>
          </w:r>
          <w:r>
            <w:fldChar w:fldCharType="separate"/>
          </w:r>
          <w:r>
            <w:rPr>
              <w:rFonts w:ascii="Times New Roman" w:hAnsi="Times New Roman" w:eastAsia="宋体" w:cs="Times New Roman"/>
              <w:bCs/>
              <w:kern w:val="44"/>
              <w:szCs w:val="40"/>
              <w:lang w:val="en-US" w:eastAsia="zh-CN" w:bidi="ar-SA"/>
            </w:rPr>
            <w:t>九、废止现行有关标准的建议</w:t>
          </w:r>
          <w:r>
            <w:tab/>
          </w:r>
          <w:r>
            <w:fldChar w:fldCharType="begin"/>
          </w:r>
          <w:r>
            <w:instrText xml:space="preserve"> PAGEREF _Toc17160 \h </w:instrText>
          </w:r>
          <w:r>
            <w:fldChar w:fldCharType="separate"/>
          </w:r>
          <w:r>
            <w:t>13</w:t>
          </w:r>
          <w:r>
            <w:fldChar w:fldCharType="end"/>
          </w:r>
          <w:r>
            <w:fldChar w:fldCharType="end"/>
          </w:r>
        </w:p>
        <w:p w14:paraId="53852CAA">
          <w:pPr>
            <w:pStyle w:val="8"/>
            <w:tabs>
              <w:tab w:val="right" w:leader="dot" w:pos="8306"/>
            </w:tabs>
          </w:pPr>
          <w:r>
            <w:fldChar w:fldCharType="begin"/>
          </w:r>
          <w:r>
            <w:instrText xml:space="preserve"> HYPERLINK \l _Toc668 </w:instrText>
          </w:r>
          <w:r>
            <w:fldChar w:fldCharType="separate"/>
          </w:r>
          <w:r>
            <w:rPr>
              <w:rFonts w:ascii="Times New Roman" w:hAnsi="Times New Roman" w:eastAsia="宋体" w:cs="Times New Roman"/>
              <w:bCs/>
              <w:kern w:val="44"/>
              <w:szCs w:val="40"/>
              <w:lang w:val="en-US" w:eastAsia="zh-CN" w:bidi="ar-SA"/>
            </w:rPr>
            <w:t>十、其他应予说明的事项</w:t>
          </w:r>
          <w:r>
            <w:tab/>
          </w:r>
          <w:r>
            <w:fldChar w:fldCharType="begin"/>
          </w:r>
          <w:r>
            <w:instrText xml:space="preserve"> PAGEREF _Toc668 \h </w:instrText>
          </w:r>
          <w:r>
            <w:fldChar w:fldCharType="separate"/>
          </w:r>
          <w:r>
            <w:t>13</w:t>
          </w:r>
          <w:r>
            <w:fldChar w:fldCharType="end"/>
          </w:r>
          <w:r>
            <w:fldChar w:fldCharType="end"/>
          </w:r>
        </w:p>
        <w:p w14:paraId="78399E6F">
          <w:r>
            <w:fldChar w:fldCharType="end"/>
          </w:r>
        </w:p>
      </w:sdtContent>
    </w:sdt>
    <w:p w14:paraId="557FF26C">
      <w:pPr>
        <w:rPr>
          <w:b/>
        </w:rPr>
      </w:pPr>
    </w:p>
    <w:p w14:paraId="2883FADE">
      <w:bookmarkStart w:id="0" w:name="_Toc176456970"/>
      <w:bookmarkStart w:id="1" w:name="_Toc22674793"/>
      <w:bookmarkStart w:id="2" w:name="_Toc404077038"/>
      <w:bookmarkStart w:id="3" w:name="_Toc22682826"/>
      <w:r>
        <w:br w:type="page"/>
      </w:r>
    </w:p>
    <w:bookmarkEnd w:id="0"/>
    <w:bookmarkEnd w:id="1"/>
    <w:bookmarkEnd w:id="2"/>
    <w:bookmarkEnd w:id="3"/>
    <w:p w14:paraId="6A3BE41F">
      <w:pPr>
        <w:pStyle w:val="2"/>
        <w:spacing w:before="0" w:after="0"/>
        <w:rPr>
          <w:rFonts w:hint="eastAsia"/>
          <w:sz w:val="24"/>
          <w:szCs w:val="24"/>
        </w:rPr>
      </w:pPr>
      <w:bookmarkStart w:id="4" w:name="_Toc7703"/>
      <w:r>
        <w:rPr>
          <w:rFonts w:hint="eastAsia"/>
          <w:sz w:val="24"/>
          <w:szCs w:val="24"/>
          <w:lang w:val="en-US" w:eastAsia="zh-CN"/>
        </w:rPr>
        <w:t>一、</w:t>
      </w:r>
      <w:r>
        <w:rPr>
          <w:rFonts w:hint="eastAsia"/>
          <w:sz w:val="24"/>
          <w:szCs w:val="24"/>
        </w:rPr>
        <w:t>任务来源及标准制定背景</w:t>
      </w:r>
      <w:bookmarkEnd w:id="4"/>
    </w:p>
    <w:p w14:paraId="39E2EE66">
      <w:pPr>
        <w:pStyle w:val="3"/>
        <w:spacing w:before="0" w:after="0"/>
        <w:rPr>
          <w:rFonts w:hint="eastAsia"/>
          <w:sz w:val="22"/>
          <w:szCs w:val="28"/>
        </w:rPr>
      </w:pPr>
      <w:bookmarkStart w:id="5" w:name="_Toc176547931"/>
      <w:bookmarkStart w:id="6" w:name="_Toc24992"/>
      <w:r>
        <w:rPr>
          <w:rFonts w:hint="eastAsia"/>
          <w:sz w:val="22"/>
          <w:szCs w:val="28"/>
        </w:rPr>
        <w:t>1、任务来源</w:t>
      </w:r>
      <w:bookmarkEnd w:id="5"/>
      <w:bookmarkEnd w:id="6"/>
    </w:p>
    <w:p w14:paraId="16AB726C">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本技术规程由贵州大学、贵州黄牛产业集团有限责任公司、贵州省草地技术推广站</w:t>
      </w:r>
      <w:r>
        <w:rPr>
          <w:rFonts w:hint="eastAsia" w:ascii="宋体" w:hAnsi="宋体" w:cs="黑体"/>
          <w:kern w:val="0"/>
          <w:sz w:val="22"/>
          <w:szCs w:val="20"/>
          <w:lang w:val="en-US" w:eastAsia="zh-CN"/>
        </w:rPr>
        <w:t>共同</w:t>
      </w:r>
      <w:r>
        <w:rPr>
          <w:rFonts w:hint="eastAsia" w:ascii="宋体" w:hAnsi="宋体" w:cs="黑体"/>
          <w:kern w:val="0"/>
          <w:sz w:val="22"/>
          <w:szCs w:val="20"/>
        </w:rPr>
        <w:t>申报。</w:t>
      </w:r>
    </w:p>
    <w:p w14:paraId="2CF241EC">
      <w:pPr>
        <w:pStyle w:val="3"/>
        <w:spacing w:before="0" w:after="0"/>
        <w:rPr>
          <w:rFonts w:hint="eastAsia"/>
          <w:sz w:val="22"/>
          <w:szCs w:val="28"/>
        </w:rPr>
      </w:pPr>
      <w:bookmarkStart w:id="7" w:name="_Toc176547932"/>
      <w:bookmarkStart w:id="8" w:name="_Toc665"/>
      <w:r>
        <w:rPr>
          <w:rFonts w:hint="eastAsia"/>
          <w:sz w:val="22"/>
          <w:szCs w:val="28"/>
        </w:rPr>
        <w:t>2、标准制定背景</w:t>
      </w:r>
      <w:bookmarkEnd w:id="7"/>
      <w:bookmarkEnd w:id="8"/>
    </w:p>
    <w:p w14:paraId="575E7086">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我国是世界茶叶生产大国，茶园面积和茶叶产量均居世界首位。为维持茶树冠幅和产量，茶园每年需进行1-2次修剪，据估算，全国每年产生的茶树修剪废弃物达数百万吨。这些茶树枝叶富含粗蛋白、氨基酸及茶多酚等生物活性物质，具有极大的饲料化开发潜力。然而，目前绝大部分茶树枝叶被随意堆放、焚烧或填埋，不仅造成了巨大的生物质资源浪费，还易引发农业面源污染及火灾隐患。</w:t>
      </w:r>
    </w:p>
    <w:p w14:paraId="618081BE">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与此同时，肉牛产业作为我国畜牧业的重要组成部分，长期面临优质粗饲料短缺、人畜争粮矛盾突出、饲养成本居高不下等发展瓶颈。将茶树修剪枝叶作为非常规饲料资源开发，是缓解饲料资源短缺的有效途径。但未经处理的茶树枝叶直接饲喂存在粗纤维含量高、适口性差，且含有较高单宁、咖啡碱等抗营养因子的问题，不仅限制了肉牛的采食量和消化率，超量采食还存在一定的生理安全隐患</w:t>
      </w:r>
      <w:r>
        <w:rPr>
          <w:rFonts w:hint="eastAsia" w:ascii="宋体" w:hAnsi="宋体" w:cs="黑体"/>
          <w:kern w:val="0"/>
          <w:sz w:val="22"/>
          <w:szCs w:val="20"/>
          <w:lang w:eastAsia="zh-CN"/>
        </w:rPr>
        <w:t>，</w:t>
      </w:r>
      <w:r>
        <w:rPr>
          <w:rFonts w:hint="eastAsia" w:ascii="宋体" w:hAnsi="宋体" w:cs="黑体"/>
          <w:kern w:val="0"/>
          <w:sz w:val="22"/>
          <w:szCs w:val="20"/>
        </w:rPr>
        <w:t>特别是对能繁母牛及低月龄犊牛。</w:t>
      </w:r>
    </w:p>
    <w:p w14:paraId="2D3D0BE2">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通过本标准的制定与实施，利用微生物厌氧发酵技术处理</w:t>
      </w:r>
      <w:r>
        <w:rPr>
          <w:rFonts w:hint="eastAsia" w:ascii="宋体" w:hAnsi="宋体" w:cs="黑体"/>
          <w:kern w:val="0"/>
          <w:sz w:val="22"/>
          <w:szCs w:val="20"/>
          <w:lang w:val="en-US" w:eastAsia="zh-CN"/>
        </w:rPr>
        <w:t>废弃茶树枝叶</w:t>
      </w:r>
      <w:r>
        <w:rPr>
          <w:rFonts w:hint="eastAsia" w:ascii="宋体" w:hAnsi="宋体" w:cs="黑体"/>
          <w:kern w:val="0"/>
          <w:sz w:val="22"/>
          <w:szCs w:val="20"/>
        </w:rPr>
        <w:t>茶树枝叶，一方面能有效降解单宁和粗纤维，显著改善适口性与营养价值；另一方面，发酵保留的茶多酚等活性物质能增强肉牛抗病力，</w:t>
      </w:r>
      <w:r>
        <w:rPr>
          <w:rFonts w:hint="eastAsia" w:ascii="宋体" w:hAnsi="宋体" w:cs="黑体"/>
          <w:kern w:val="0"/>
          <w:sz w:val="22"/>
          <w:szCs w:val="20"/>
          <w:lang w:val="en-US" w:eastAsia="zh-CN"/>
        </w:rPr>
        <w:t>以期</w:t>
      </w:r>
      <w:r>
        <w:rPr>
          <w:rFonts w:hint="eastAsia" w:ascii="宋体" w:hAnsi="宋体" w:cs="黑体"/>
          <w:kern w:val="0"/>
          <w:sz w:val="22"/>
          <w:szCs w:val="20"/>
        </w:rPr>
        <w:t>改善牛肉肉质风味，提升肉牛产业的附加值。但在实际生产中，由于缺乏统一的技术规范，原料水分控制不当、发酵质量良莠不齐、各阶段肉牛的饲喂比例随意等现象普遍存在，制约了</w:t>
      </w:r>
      <w:r>
        <w:rPr>
          <w:rFonts w:hint="eastAsia" w:ascii="宋体" w:hAnsi="宋体" w:cs="黑体"/>
          <w:kern w:val="0"/>
          <w:sz w:val="22"/>
          <w:szCs w:val="20"/>
          <w:lang w:val="en-US" w:eastAsia="zh-CN"/>
        </w:rPr>
        <w:t>废弃茶树枝叶的</w:t>
      </w:r>
      <w:r>
        <w:rPr>
          <w:rFonts w:hint="eastAsia" w:ascii="宋体" w:hAnsi="宋体" w:cs="黑体"/>
          <w:kern w:val="0"/>
          <w:sz w:val="22"/>
          <w:szCs w:val="20"/>
        </w:rPr>
        <w:t>推广应用。</w:t>
      </w:r>
    </w:p>
    <w:p w14:paraId="4382452A">
      <w:pPr>
        <w:widowControl/>
        <w:adjustRightInd w:val="0"/>
        <w:snapToGrid w:val="0"/>
        <w:spacing w:line="360" w:lineRule="auto"/>
        <w:ind w:firstLine="440" w:firstLineChars="200"/>
        <w:rPr>
          <w:rFonts w:hint="eastAsia" w:ascii="宋体" w:hAnsi="宋体" w:cs="黑体"/>
          <w:kern w:val="0"/>
          <w:sz w:val="22"/>
          <w:szCs w:val="20"/>
        </w:rPr>
      </w:pPr>
      <w:r>
        <w:rPr>
          <w:rFonts w:hint="eastAsia" w:ascii="宋体" w:hAnsi="宋体" w:cs="黑体"/>
          <w:kern w:val="0"/>
          <w:sz w:val="22"/>
          <w:szCs w:val="20"/>
        </w:rPr>
        <w:t>因此，为贯彻落实《关于践行大食物观构建多元化食物供给体系的意见》精神，推动我国非常规饲料资源的开发利用，促进畜牧业提质增效与茶产业绿色循环发展，迫切需要制定《茶树枝叶发酵饲料饲喂肉牛技术规程》。本标准的编制，填补了该领域的标准空白，明确了茶树枝叶发酵的质量评价指标，科学界定了肉牛不同生长阶段的安全饲喂比例。该标准的发布将为茶园废弃物的饲料化、规范化、安全化应用提供科学依据，对促进</w:t>
      </w:r>
      <w:r>
        <w:rPr>
          <w:rFonts w:hint="eastAsia" w:ascii="宋体" w:hAnsi="宋体" w:cs="黑体"/>
          <w:kern w:val="0"/>
          <w:sz w:val="22"/>
          <w:szCs w:val="20"/>
          <w:lang w:eastAsia="zh-CN"/>
        </w:rPr>
        <w:t>“</w:t>
      </w:r>
      <w:r>
        <w:rPr>
          <w:rFonts w:hint="eastAsia" w:ascii="宋体" w:hAnsi="宋体" w:cs="黑体"/>
          <w:kern w:val="0"/>
          <w:sz w:val="22"/>
          <w:szCs w:val="20"/>
        </w:rPr>
        <w:t>茶</w:t>
      </w:r>
      <w:r>
        <w:rPr>
          <w:rFonts w:hint="eastAsia" w:ascii="宋体" w:hAnsi="宋体" w:cs="黑体"/>
          <w:kern w:val="0"/>
          <w:sz w:val="22"/>
          <w:szCs w:val="20"/>
          <w:lang w:eastAsia="zh-CN"/>
        </w:rPr>
        <w:t>—</w:t>
      </w:r>
      <w:r>
        <w:rPr>
          <w:rFonts w:hint="eastAsia" w:ascii="宋体" w:hAnsi="宋体" w:cs="黑体"/>
          <w:kern w:val="0"/>
          <w:sz w:val="22"/>
          <w:szCs w:val="20"/>
        </w:rPr>
        <w:t>牛</w:t>
      </w:r>
      <w:r>
        <w:rPr>
          <w:rFonts w:hint="eastAsia" w:ascii="宋体" w:hAnsi="宋体" w:cs="黑体"/>
          <w:kern w:val="0"/>
          <w:sz w:val="22"/>
          <w:szCs w:val="20"/>
          <w:lang w:eastAsia="zh-CN"/>
        </w:rPr>
        <w:t>”</w:t>
      </w:r>
      <w:r>
        <w:rPr>
          <w:rFonts w:hint="eastAsia" w:ascii="宋体" w:hAnsi="宋体" w:cs="黑体"/>
          <w:kern w:val="0"/>
          <w:sz w:val="22"/>
          <w:szCs w:val="20"/>
        </w:rPr>
        <w:t>种养结合的生态循环农业发展具有重要的经济、生态和社会意义。</w:t>
      </w:r>
    </w:p>
    <w:p w14:paraId="64DA9786">
      <w:pPr>
        <w:pStyle w:val="2"/>
        <w:spacing w:before="0" w:after="0"/>
        <w:rPr>
          <w:sz w:val="24"/>
          <w:szCs w:val="40"/>
        </w:rPr>
      </w:pPr>
      <w:bookmarkStart w:id="9" w:name="_Toc176547933"/>
      <w:bookmarkStart w:id="10" w:name="_Toc22182"/>
      <w:r>
        <w:rPr>
          <w:rFonts w:hint="eastAsia"/>
          <w:sz w:val="24"/>
          <w:szCs w:val="40"/>
        </w:rPr>
        <w:t>二、主要工作过程</w:t>
      </w:r>
      <w:bookmarkEnd w:id="9"/>
      <w:bookmarkEnd w:id="10"/>
    </w:p>
    <w:p w14:paraId="30F3CE8A">
      <w:pPr>
        <w:spacing w:line="360" w:lineRule="auto"/>
        <w:ind w:firstLine="440" w:firstLineChars="200"/>
        <w:rPr>
          <w:sz w:val="22"/>
          <w:szCs w:val="20"/>
        </w:rPr>
      </w:pPr>
      <w:r>
        <w:rPr>
          <w:rFonts w:eastAsia="仿宋_GB2312"/>
          <w:sz w:val="22"/>
          <w:szCs w:val="20"/>
        </w:rPr>
        <w:t>2024.0</w:t>
      </w:r>
      <w:r>
        <w:rPr>
          <w:rFonts w:hint="eastAsia" w:eastAsia="仿宋_GB2312"/>
          <w:sz w:val="22"/>
          <w:szCs w:val="20"/>
          <w:lang w:val="en-US" w:eastAsia="zh-CN"/>
        </w:rPr>
        <w:t>8</w:t>
      </w:r>
      <w:r>
        <w:rPr>
          <w:rFonts w:hint="eastAsia" w:ascii="宋体" w:hAnsi="宋体" w:cs="宋体"/>
          <w:sz w:val="22"/>
          <w:szCs w:val="20"/>
        </w:rPr>
        <w:t>月</w:t>
      </w:r>
      <w:r>
        <w:rPr>
          <w:rFonts w:eastAsia="仿宋_GB2312"/>
          <w:sz w:val="22"/>
          <w:szCs w:val="20"/>
        </w:rPr>
        <w:t>-202</w:t>
      </w:r>
      <w:r>
        <w:rPr>
          <w:rFonts w:hint="eastAsia" w:eastAsia="仿宋_GB2312"/>
          <w:sz w:val="22"/>
          <w:szCs w:val="20"/>
          <w:lang w:val="en-US" w:eastAsia="zh-CN"/>
        </w:rPr>
        <w:t>5</w:t>
      </w:r>
      <w:r>
        <w:rPr>
          <w:rFonts w:eastAsia="仿宋_GB2312"/>
          <w:sz w:val="22"/>
          <w:szCs w:val="20"/>
        </w:rPr>
        <w:t>.</w:t>
      </w:r>
      <w:r>
        <w:rPr>
          <w:rFonts w:hint="eastAsia" w:eastAsia="仿宋_GB2312"/>
          <w:sz w:val="22"/>
          <w:szCs w:val="20"/>
          <w:lang w:val="en-US" w:eastAsia="zh-CN"/>
        </w:rPr>
        <w:t>10</w:t>
      </w:r>
      <w:r>
        <w:rPr>
          <w:rFonts w:hint="eastAsia" w:ascii="宋体" w:hAnsi="宋体" w:cs="宋体"/>
          <w:sz w:val="22"/>
          <w:szCs w:val="20"/>
        </w:rPr>
        <w:t>月</w:t>
      </w:r>
      <w:r>
        <w:rPr>
          <w:rFonts w:eastAsia="仿宋_GB2312"/>
          <w:sz w:val="22"/>
          <w:szCs w:val="20"/>
        </w:rPr>
        <w:t xml:space="preserve"> </w:t>
      </w:r>
      <w:r>
        <w:rPr>
          <w:rFonts w:hint="eastAsia" w:ascii="宋体" w:hAnsi="宋体" w:cs="宋体"/>
          <w:sz w:val="22"/>
          <w:szCs w:val="20"/>
        </w:rPr>
        <w:t>组建了标准起草工作组，组织标准编制和协调工作。标准起草组认真学习了 GB/T 1.1—2020《标准化工作导则第 1 部分：标准化文件的结构和起草规则》，同时制定了标准编制工作计划、编写大纲，明确任务分工和各阶段时间进度。</w:t>
      </w:r>
    </w:p>
    <w:p w14:paraId="14475C54">
      <w:pPr>
        <w:spacing w:line="360" w:lineRule="auto"/>
        <w:ind w:firstLine="440" w:firstLineChars="200"/>
        <w:rPr>
          <w:sz w:val="22"/>
          <w:szCs w:val="20"/>
        </w:rPr>
      </w:pPr>
      <w:r>
        <w:rPr>
          <w:rFonts w:hint="eastAsia" w:eastAsia="仿宋_GB2312"/>
          <w:sz w:val="22"/>
          <w:szCs w:val="20"/>
        </w:rPr>
        <w:t>202</w:t>
      </w:r>
      <w:r>
        <w:rPr>
          <w:rFonts w:hint="eastAsia" w:eastAsia="仿宋_GB2312"/>
          <w:sz w:val="22"/>
          <w:szCs w:val="20"/>
          <w:lang w:val="en-US" w:eastAsia="zh-CN"/>
        </w:rPr>
        <w:t>5</w:t>
      </w:r>
      <w:r>
        <w:rPr>
          <w:rFonts w:hint="eastAsia" w:eastAsia="仿宋_GB2312"/>
          <w:sz w:val="22"/>
          <w:szCs w:val="20"/>
        </w:rPr>
        <w:t>.</w:t>
      </w:r>
      <w:r>
        <w:rPr>
          <w:rFonts w:hint="eastAsia" w:eastAsia="仿宋_GB2312"/>
          <w:sz w:val="22"/>
          <w:szCs w:val="20"/>
          <w:lang w:val="en-US" w:eastAsia="zh-CN"/>
        </w:rPr>
        <w:t>10</w:t>
      </w:r>
      <w:r>
        <w:rPr>
          <w:rFonts w:hint="eastAsia" w:eastAsia="仿宋_GB2312"/>
          <w:sz w:val="22"/>
          <w:szCs w:val="20"/>
        </w:rPr>
        <w:t>月-20</w:t>
      </w:r>
      <w:r>
        <w:rPr>
          <w:rFonts w:hint="eastAsia" w:eastAsia="仿宋_GB2312"/>
          <w:sz w:val="22"/>
          <w:szCs w:val="20"/>
          <w:lang w:val="en-US" w:eastAsia="zh-CN"/>
        </w:rPr>
        <w:t>25</w:t>
      </w:r>
      <w:r>
        <w:rPr>
          <w:rFonts w:hint="eastAsia" w:eastAsia="仿宋_GB2312"/>
          <w:sz w:val="22"/>
          <w:szCs w:val="20"/>
        </w:rPr>
        <w:t>.</w:t>
      </w:r>
      <w:r>
        <w:rPr>
          <w:rFonts w:hint="eastAsia" w:eastAsia="仿宋_GB2312"/>
          <w:sz w:val="22"/>
          <w:szCs w:val="20"/>
          <w:lang w:val="en-US" w:eastAsia="zh-CN"/>
        </w:rPr>
        <w:t>12</w:t>
      </w:r>
      <w:r>
        <w:rPr>
          <w:rFonts w:hint="eastAsia" w:ascii="宋体" w:hAnsi="宋体" w:cs="宋体"/>
          <w:sz w:val="22"/>
          <w:szCs w:val="20"/>
        </w:rPr>
        <w:t>月</w:t>
      </w:r>
      <w:r>
        <w:rPr>
          <w:rFonts w:eastAsia="仿宋_GB2312"/>
          <w:sz w:val="22"/>
          <w:szCs w:val="20"/>
        </w:rPr>
        <w:t xml:space="preserve"> </w:t>
      </w:r>
      <w:r>
        <w:rPr>
          <w:rFonts w:hint="eastAsia" w:ascii="宋体" w:hAnsi="宋体" w:cs="宋体"/>
          <w:sz w:val="22"/>
          <w:szCs w:val="20"/>
        </w:rPr>
        <w:t>标准起草工作组首先广泛汲取了其他相关标准的编写经验，组织成员深入分析、讨论并总结了与茶树枝叶饲料化利用、发酵全混合日粮调制及肉牛饲喂相关的标准、技术资料及政策文件，全面掌握了标准的内涵及其编制方法；随后，工作组结合生产实际，对收集的资料进行了细致的分析和整理，并对制定标准所涉及的内容、范围、适用性和科学性进行了深入研讨。</w:t>
      </w:r>
    </w:p>
    <w:p w14:paraId="2A98CE91">
      <w:pPr>
        <w:spacing w:line="360" w:lineRule="auto"/>
        <w:ind w:firstLine="440" w:firstLineChars="200"/>
        <w:rPr>
          <w:rFonts w:hint="eastAsia" w:ascii="宋体" w:hAnsi="宋体" w:cs="宋体"/>
          <w:sz w:val="22"/>
          <w:szCs w:val="20"/>
        </w:rPr>
      </w:pPr>
      <w:r>
        <w:rPr>
          <w:rFonts w:eastAsia="仿宋_GB2312"/>
          <w:sz w:val="22"/>
          <w:szCs w:val="20"/>
        </w:rPr>
        <w:t>202</w:t>
      </w:r>
      <w:r>
        <w:rPr>
          <w:rFonts w:hint="eastAsia" w:eastAsia="仿宋_GB2312"/>
          <w:sz w:val="22"/>
          <w:szCs w:val="20"/>
          <w:lang w:val="en-US" w:eastAsia="zh-CN"/>
        </w:rPr>
        <w:t>6</w:t>
      </w:r>
      <w:r>
        <w:rPr>
          <w:rFonts w:eastAsia="仿宋_GB2312"/>
          <w:sz w:val="22"/>
          <w:szCs w:val="20"/>
        </w:rPr>
        <w:t>.</w:t>
      </w:r>
      <w:r>
        <w:rPr>
          <w:rFonts w:hint="eastAsia" w:eastAsia="仿宋_GB2312"/>
          <w:sz w:val="22"/>
          <w:szCs w:val="20"/>
        </w:rPr>
        <w:t>0</w:t>
      </w:r>
      <w:r>
        <w:rPr>
          <w:rFonts w:eastAsia="仿宋_GB2312"/>
          <w:sz w:val="22"/>
          <w:szCs w:val="20"/>
        </w:rPr>
        <w:t>1</w:t>
      </w:r>
      <w:r>
        <w:rPr>
          <w:rFonts w:hint="eastAsia" w:eastAsia="仿宋_GB2312"/>
          <w:sz w:val="22"/>
          <w:szCs w:val="20"/>
        </w:rPr>
        <w:t>月</w:t>
      </w:r>
      <w:r>
        <w:rPr>
          <w:rFonts w:eastAsia="仿宋_GB2312"/>
          <w:sz w:val="22"/>
          <w:szCs w:val="20"/>
        </w:rPr>
        <w:t>-202</w:t>
      </w:r>
      <w:r>
        <w:rPr>
          <w:rFonts w:hint="eastAsia" w:eastAsia="仿宋_GB2312"/>
          <w:sz w:val="22"/>
          <w:szCs w:val="20"/>
          <w:lang w:val="en-US" w:eastAsia="zh-CN"/>
        </w:rPr>
        <w:t>6</w:t>
      </w:r>
      <w:r>
        <w:rPr>
          <w:rFonts w:eastAsia="仿宋_GB2312"/>
          <w:sz w:val="22"/>
          <w:szCs w:val="20"/>
        </w:rPr>
        <w:t>.</w:t>
      </w:r>
      <w:r>
        <w:rPr>
          <w:rFonts w:hint="eastAsia" w:eastAsia="仿宋_GB2312"/>
          <w:sz w:val="22"/>
          <w:szCs w:val="20"/>
        </w:rPr>
        <w:t>0</w:t>
      </w:r>
      <w:r>
        <w:rPr>
          <w:rFonts w:hint="eastAsia" w:eastAsia="仿宋_GB2312"/>
          <w:sz w:val="22"/>
          <w:szCs w:val="20"/>
          <w:lang w:val="en-US" w:eastAsia="zh-CN"/>
        </w:rPr>
        <w:t>4</w:t>
      </w:r>
      <w:r>
        <w:rPr>
          <w:rFonts w:hint="eastAsia" w:ascii="宋体" w:hAnsi="宋体" w:cs="宋体"/>
          <w:sz w:val="22"/>
          <w:szCs w:val="20"/>
        </w:rPr>
        <w:t>月</w:t>
      </w:r>
      <w:r>
        <w:rPr>
          <w:rFonts w:hint="eastAsia" w:eastAsia="仿宋_GB2312"/>
          <w:sz w:val="22"/>
          <w:szCs w:val="20"/>
        </w:rPr>
        <w:t xml:space="preserve"> </w:t>
      </w:r>
      <w:r>
        <w:rPr>
          <w:rFonts w:hint="eastAsia" w:ascii="宋体" w:hAnsi="宋体" w:cs="宋体"/>
          <w:sz w:val="22"/>
          <w:szCs w:val="20"/>
        </w:rPr>
        <w:t>在前期大量的试验及总结的基础上，经过广泛调研、咨询，收集和查阅有关资料，以茶树枝叶发酵饲料的标准化制备与肉牛规范化饲喂为目标，确定了标准起草的总体框架和主要内容，并编写完成了《茶树枝叶发酵饲料饲喂肉牛技术规程》的标准草案。。</w:t>
      </w:r>
    </w:p>
    <w:p w14:paraId="10ADADFA">
      <w:pPr>
        <w:spacing w:line="360" w:lineRule="auto"/>
        <w:ind w:firstLine="440" w:firstLineChars="200"/>
        <w:rPr>
          <w:bCs/>
          <w:sz w:val="22"/>
          <w:szCs w:val="20"/>
        </w:rPr>
      </w:pPr>
      <w:r>
        <w:rPr>
          <w:rFonts w:hint="eastAsia"/>
          <w:bCs/>
          <w:sz w:val="22"/>
          <w:szCs w:val="20"/>
        </w:rPr>
        <w:t>由北京华夏草业产业技术创新战略联盟组织国内相关专家对《茶树枝叶发酵饲料饲喂肉牛技术规程》征求意见稿及编制说明进行会议评审。</w:t>
      </w:r>
    </w:p>
    <w:p w14:paraId="026A62BD">
      <w:pPr>
        <w:pStyle w:val="2"/>
        <w:spacing w:before="0" w:after="0"/>
        <w:rPr>
          <w:rFonts w:hint="eastAsia"/>
          <w:sz w:val="24"/>
          <w:szCs w:val="40"/>
        </w:rPr>
      </w:pPr>
      <w:bookmarkStart w:id="11" w:name="_Toc176547934"/>
      <w:bookmarkStart w:id="12" w:name="_Toc2183"/>
      <w:r>
        <w:rPr>
          <w:rFonts w:hint="eastAsia"/>
          <w:sz w:val="24"/>
          <w:szCs w:val="40"/>
        </w:rPr>
        <w:t>三、标准编制原则和主要技术内容确定的依据</w:t>
      </w:r>
      <w:bookmarkEnd w:id="11"/>
      <w:bookmarkEnd w:id="12"/>
    </w:p>
    <w:p w14:paraId="444B0F4A">
      <w:pPr>
        <w:pStyle w:val="3"/>
        <w:spacing w:before="0" w:after="0"/>
        <w:rPr>
          <w:rFonts w:hint="eastAsia"/>
          <w:sz w:val="22"/>
          <w:szCs w:val="28"/>
        </w:rPr>
      </w:pPr>
      <w:bookmarkStart w:id="13" w:name="_Toc27663"/>
      <w:bookmarkStart w:id="14" w:name="_Toc12283"/>
      <w:bookmarkStart w:id="15" w:name="_Toc176453393"/>
      <w:r>
        <w:rPr>
          <w:rFonts w:hint="eastAsia"/>
          <w:sz w:val="22"/>
          <w:szCs w:val="28"/>
          <w:lang w:val="en-US" w:eastAsia="zh-CN"/>
        </w:rPr>
        <w:t>1. 标准</w:t>
      </w:r>
      <w:r>
        <w:rPr>
          <w:rFonts w:hint="eastAsia"/>
          <w:sz w:val="22"/>
          <w:szCs w:val="28"/>
        </w:rPr>
        <w:t>编制原则</w:t>
      </w:r>
      <w:bookmarkEnd w:id="13"/>
      <w:bookmarkEnd w:id="14"/>
    </w:p>
    <w:p w14:paraId="302719FF">
      <w:pPr>
        <w:spacing w:line="360" w:lineRule="auto"/>
        <w:ind w:firstLine="440" w:firstLineChars="200"/>
        <w:rPr>
          <w:rFonts w:hint="eastAsia"/>
          <w:sz w:val="22"/>
          <w:szCs w:val="20"/>
        </w:rPr>
      </w:pPr>
      <w:r>
        <w:rPr>
          <w:rFonts w:hint="eastAsia"/>
          <w:sz w:val="22"/>
          <w:szCs w:val="20"/>
        </w:rPr>
        <w:t>本规程的编制严格遵循科学性、安全性、实用性与可操作性相统一的原则。</w:t>
      </w:r>
    </w:p>
    <w:p w14:paraId="7990D040">
      <w:pPr>
        <w:spacing w:line="360" w:lineRule="auto"/>
        <w:ind w:firstLine="440" w:firstLineChars="200"/>
        <w:rPr>
          <w:rFonts w:hint="eastAsia"/>
          <w:sz w:val="22"/>
          <w:szCs w:val="20"/>
        </w:rPr>
      </w:pPr>
      <w:r>
        <w:rPr>
          <w:rFonts w:hint="eastAsia"/>
          <w:sz w:val="22"/>
          <w:szCs w:val="20"/>
        </w:rPr>
        <w:t>科学与安全并重：在团队现有研究基础上，系统查阅国内外非常规饲料发酵及茶树副产物利用的相关文献。针对茶树枝叶存在的农药残留风险及抗营养因子问题，规程科学设定了原料卫生门槛、发酵理化指标，并基于动物生理发育特点，精细划分了肉牛不同生长阶段的安全饲喂比例</w:t>
      </w:r>
      <w:r>
        <w:rPr>
          <w:rFonts w:hint="eastAsia"/>
          <w:sz w:val="22"/>
          <w:szCs w:val="20"/>
          <w:lang w:val="en-US" w:eastAsia="zh-CN"/>
        </w:rPr>
        <w:t>范围</w:t>
      </w:r>
      <w:r>
        <w:rPr>
          <w:rFonts w:hint="eastAsia"/>
          <w:sz w:val="22"/>
          <w:szCs w:val="20"/>
        </w:rPr>
        <w:t>。</w:t>
      </w:r>
    </w:p>
    <w:p w14:paraId="6AB597A5">
      <w:pPr>
        <w:spacing w:line="360" w:lineRule="auto"/>
        <w:ind w:firstLine="440" w:firstLineChars="200"/>
        <w:rPr>
          <w:rFonts w:hint="eastAsia"/>
          <w:sz w:val="22"/>
          <w:szCs w:val="20"/>
        </w:rPr>
      </w:pPr>
      <w:r>
        <w:rPr>
          <w:rFonts w:hint="eastAsia"/>
          <w:sz w:val="22"/>
          <w:szCs w:val="20"/>
        </w:rPr>
        <w:t>实用与可操作性强：编制团队在贵州等典型茶区和肉牛养殖区开展了大量的茶树枝叶发酵调制与饲喂验证试验。充分考虑了主产区的气候特点、茶园修剪农艺与中小型肉牛养殖场的实际设备条件，确立了涵盖原料处理、发酵工艺、品质评价与饲喂利用全</w:t>
      </w:r>
      <w:r>
        <w:rPr>
          <w:rFonts w:hint="eastAsia"/>
          <w:sz w:val="22"/>
          <w:szCs w:val="20"/>
          <w:lang w:val="en-US" w:eastAsia="zh-CN"/>
        </w:rPr>
        <w:t>过程</w:t>
      </w:r>
      <w:r>
        <w:rPr>
          <w:rFonts w:hint="eastAsia"/>
          <w:sz w:val="22"/>
          <w:szCs w:val="20"/>
        </w:rPr>
        <w:t>的标准化操作指导，确保规程贴近生产一线，易于落地推广。</w:t>
      </w:r>
    </w:p>
    <w:p w14:paraId="36CBD5FF">
      <w:pPr>
        <w:numPr>
          <w:ilvl w:val="0"/>
          <w:numId w:val="2"/>
        </w:numPr>
        <w:outlineLvl w:val="1"/>
        <w:rPr>
          <w:rFonts w:hint="eastAsia"/>
          <w:b/>
          <w:bCs/>
        </w:rPr>
      </w:pPr>
      <w:bookmarkStart w:id="16" w:name="_Toc27847"/>
      <w:bookmarkStart w:id="17" w:name="_Toc18620"/>
      <w:r>
        <w:rPr>
          <w:rFonts w:hint="eastAsia"/>
          <w:b/>
          <w:bCs/>
          <w:lang w:val="en-US" w:eastAsia="zh-CN"/>
        </w:rPr>
        <w:t>主要技术内容</w:t>
      </w:r>
      <w:r>
        <w:rPr>
          <w:rFonts w:hint="eastAsia"/>
          <w:b/>
          <w:bCs/>
        </w:rPr>
        <w:t>编制依据</w:t>
      </w:r>
      <w:bookmarkEnd w:id="16"/>
      <w:bookmarkEnd w:id="17"/>
    </w:p>
    <w:p w14:paraId="24A111B4">
      <w:pPr>
        <w:spacing w:line="360" w:lineRule="auto"/>
        <w:ind w:firstLine="440" w:firstLineChars="200"/>
        <w:rPr>
          <w:rFonts w:hint="eastAsia"/>
          <w:sz w:val="22"/>
          <w:szCs w:val="20"/>
        </w:rPr>
      </w:pPr>
      <w:r>
        <w:rPr>
          <w:rFonts w:hint="eastAsia"/>
          <w:sz w:val="22"/>
          <w:szCs w:val="20"/>
        </w:rPr>
        <w:t>格式规范依据：本标准的文件结构和起草规则严格按照 GB/T 1.1-2020《标准化工作导则 第1部分：标准化文件的结构和起草规则》的要求进行编写。</w:t>
      </w:r>
    </w:p>
    <w:p w14:paraId="7458CFF1">
      <w:pPr>
        <w:spacing w:line="360" w:lineRule="auto"/>
        <w:ind w:firstLine="440" w:firstLineChars="200"/>
        <w:rPr>
          <w:rFonts w:hint="eastAsia"/>
          <w:sz w:val="22"/>
          <w:szCs w:val="20"/>
        </w:rPr>
      </w:pPr>
      <w:r>
        <w:rPr>
          <w:rFonts w:hint="eastAsia"/>
          <w:sz w:val="22"/>
          <w:szCs w:val="20"/>
        </w:rPr>
        <w:t>技术指标依据：在技术内容与指标设定上，紧密结合试验验证的基础数据，并严格遵循国家强制性及行业通用标准。其中，发酵原料的安全性评价主要依据 GB 13078《饲料卫生标准》；全混合日粮的配制及肉牛各阶段营养需要量的设定主要依据 NY/T 815《肉牛饲养标准》。</w:t>
      </w:r>
    </w:p>
    <w:p w14:paraId="1775EE3E">
      <w:pPr>
        <w:spacing w:line="360" w:lineRule="auto"/>
        <w:ind w:firstLine="440" w:firstLineChars="200"/>
        <w:rPr>
          <w:rFonts w:hint="eastAsia"/>
          <w:sz w:val="22"/>
          <w:szCs w:val="20"/>
        </w:rPr>
      </w:pPr>
      <w:r>
        <w:rPr>
          <w:rFonts w:hint="eastAsia"/>
          <w:sz w:val="22"/>
          <w:szCs w:val="20"/>
        </w:rPr>
        <w:t>工艺参考依据：在发酵饲料的调制与评价环节，借鉴了国内外优质青贮及发酵饲料的成熟生产经验；在最终的饲喂应用环节，参考了《T/HXCY 016-2019 肉牛用发酵全混合日粮生产技术规程》及《DB 22/T 2183—2014 生物发酵全混合饲粮生产技术规程》中关于全混合日粮（TMR）加工调制的共性技术要求。结合我国茶树修剪枝叶的生物学特性进行融合，最终形成了</w:t>
      </w:r>
      <w:bookmarkStart w:id="38" w:name="_GoBack"/>
      <w:r>
        <w:rPr>
          <w:rFonts w:hint="eastAsia"/>
          <w:sz w:val="22"/>
          <w:szCs w:val="20"/>
        </w:rPr>
        <w:t>具有区域特色的技术规程。</w:t>
      </w:r>
      <w:bookmarkEnd w:id="38"/>
    </w:p>
    <w:bookmarkEnd w:id="15"/>
    <w:p w14:paraId="1AB59ECA">
      <w:pPr>
        <w:pStyle w:val="2"/>
        <w:spacing w:before="0" w:after="0"/>
        <w:rPr>
          <w:rFonts w:hint="eastAsia"/>
          <w:sz w:val="24"/>
          <w:szCs w:val="40"/>
          <w:lang w:val="en-US" w:eastAsia="zh-CN"/>
        </w:rPr>
      </w:pPr>
      <w:bookmarkStart w:id="18" w:name="_Toc7577"/>
      <w:bookmarkStart w:id="19" w:name="_Toc176453397"/>
      <w:r>
        <w:rPr>
          <w:rFonts w:hint="eastAsia"/>
          <w:sz w:val="24"/>
          <w:szCs w:val="40"/>
          <w:lang w:val="en-US" w:eastAsia="zh-CN"/>
        </w:rPr>
        <w:t>四、主要技术内容确定的依据</w:t>
      </w:r>
      <w:bookmarkEnd w:id="18"/>
      <w:bookmarkEnd w:id="19"/>
    </w:p>
    <w:p w14:paraId="30D6EE37">
      <w:pPr>
        <w:numPr>
          <w:ilvl w:val="0"/>
          <w:numId w:val="0"/>
        </w:numPr>
        <w:ind w:firstLine="442" w:firstLineChars="200"/>
        <w:outlineLvl w:val="1"/>
        <w:rPr>
          <w:rFonts w:hint="eastAsia"/>
          <w:b/>
          <w:bCs/>
          <w:sz w:val="22"/>
          <w:szCs w:val="22"/>
        </w:rPr>
      </w:pPr>
      <w:bookmarkStart w:id="20" w:name="_Toc10281"/>
      <w:bookmarkStart w:id="21" w:name="_Toc4977"/>
      <w:r>
        <w:rPr>
          <w:rFonts w:hint="eastAsia"/>
          <w:b/>
          <w:bCs/>
          <w:sz w:val="22"/>
          <w:szCs w:val="22"/>
          <w:lang w:eastAsia="zh-CN"/>
        </w:rPr>
        <w:t>（</w:t>
      </w:r>
      <w:r>
        <w:rPr>
          <w:rFonts w:hint="eastAsia"/>
          <w:b/>
          <w:bCs/>
          <w:sz w:val="22"/>
          <w:szCs w:val="22"/>
          <w:lang w:val="en-US" w:eastAsia="zh-CN"/>
        </w:rPr>
        <w:t>1</w:t>
      </w:r>
      <w:r>
        <w:rPr>
          <w:rFonts w:hint="eastAsia"/>
          <w:b/>
          <w:bCs/>
          <w:sz w:val="22"/>
          <w:szCs w:val="22"/>
          <w:lang w:eastAsia="zh-CN"/>
        </w:rPr>
        <w:t>）</w:t>
      </w:r>
      <w:r>
        <w:rPr>
          <w:rFonts w:hint="eastAsia"/>
          <w:b/>
          <w:bCs/>
          <w:sz w:val="22"/>
          <w:szCs w:val="22"/>
        </w:rPr>
        <w:t>适用范围的确立依据</w:t>
      </w:r>
      <w:bookmarkEnd w:id="20"/>
      <w:bookmarkEnd w:id="21"/>
    </w:p>
    <w:p w14:paraId="1F682530">
      <w:pPr>
        <w:ind w:firstLine="440" w:firstLineChars="200"/>
        <w:rPr>
          <w:rFonts w:hint="eastAsia"/>
          <w:sz w:val="22"/>
          <w:szCs w:val="22"/>
        </w:rPr>
      </w:pPr>
      <w:r>
        <w:rPr>
          <w:rFonts w:hint="eastAsia"/>
          <w:sz w:val="22"/>
          <w:szCs w:val="22"/>
        </w:rPr>
        <w:t>本标准界定了茶树枝叶发酵饲料在原料准备、发酵加工、质量评价及肉牛饲喂等环节的技术要求。适用范围的确立，是基于团队在贵州</w:t>
      </w:r>
      <w:r>
        <w:rPr>
          <w:rFonts w:hint="eastAsia"/>
          <w:sz w:val="22"/>
          <w:szCs w:val="22"/>
          <w:lang w:val="en-US" w:eastAsia="zh-CN"/>
        </w:rPr>
        <w:t>省</w:t>
      </w:r>
      <w:r>
        <w:rPr>
          <w:rFonts w:hint="eastAsia"/>
          <w:sz w:val="22"/>
          <w:szCs w:val="22"/>
        </w:rPr>
        <w:t>典型茶区与肉牛养殖</w:t>
      </w:r>
      <w:r>
        <w:rPr>
          <w:rFonts w:hint="eastAsia"/>
          <w:sz w:val="22"/>
          <w:szCs w:val="22"/>
          <w:lang w:val="en-US" w:eastAsia="zh-CN"/>
        </w:rPr>
        <w:t>场</w:t>
      </w:r>
      <w:r>
        <w:rPr>
          <w:rFonts w:hint="eastAsia"/>
          <w:sz w:val="22"/>
          <w:szCs w:val="22"/>
        </w:rPr>
        <w:t>的广泛调研和</w:t>
      </w:r>
      <w:r>
        <w:rPr>
          <w:rFonts w:hint="eastAsia"/>
          <w:sz w:val="22"/>
          <w:szCs w:val="22"/>
          <w:lang w:val="en-US" w:eastAsia="zh-CN"/>
        </w:rPr>
        <w:t>小试</w:t>
      </w:r>
      <w:r>
        <w:rPr>
          <w:rFonts w:hint="eastAsia"/>
          <w:sz w:val="22"/>
          <w:szCs w:val="22"/>
        </w:rPr>
        <w:t>生产实践，旨在打通茶园废弃物与肉牛养殖之间的产业壁垒，明确该标准主要服务于肉牛生产环节。</w:t>
      </w:r>
    </w:p>
    <w:p w14:paraId="0D43A68E">
      <w:pPr>
        <w:numPr>
          <w:ilvl w:val="0"/>
          <w:numId w:val="0"/>
        </w:numPr>
        <w:ind w:firstLine="442" w:firstLineChars="200"/>
        <w:outlineLvl w:val="1"/>
        <w:rPr>
          <w:rFonts w:hint="eastAsia"/>
          <w:b/>
          <w:bCs/>
          <w:sz w:val="22"/>
          <w:szCs w:val="22"/>
        </w:rPr>
      </w:pPr>
      <w:bookmarkStart w:id="22" w:name="_Toc6501"/>
      <w:bookmarkStart w:id="23" w:name="_Toc7989"/>
      <w:r>
        <w:rPr>
          <w:rFonts w:hint="eastAsia"/>
          <w:b/>
          <w:bCs/>
          <w:sz w:val="22"/>
          <w:szCs w:val="22"/>
          <w:lang w:eastAsia="zh-CN"/>
        </w:rPr>
        <w:t>（</w:t>
      </w:r>
      <w:r>
        <w:rPr>
          <w:rFonts w:hint="eastAsia"/>
          <w:b/>
          <w:bCs/>
          <w:sz w:val="22"/>
          <w:szCs w:val="22"/>
          <w:lang w:val="en-US" w:eastAsia="zh-CN"/>
        </w:rPr>
        <w:t>2</w:t>
      </w:r>
      <w:r>
        <w:rPr>
          <w:rFonts w:hint="eastAsia"/>
          <w:b/>
          <w:bCs/>
          <w:sz w:val="22"/>
          <w:szCs w:val="22"/>
          <w:lang w:eastAsia="zh-CN"/>
        </w:rPr>
        <w:t>）</w:t>
      </w:r>
      <w:r>
        <w:rPr>
          <w:rFonts w:hint="eastAsia"/>
          <w:b/>
          <w:bCs/>
          <w:sz w:val="22"/>
          <w:szCs w:val="22"/>
        </w:rPr>
        <w:t>规范性引用文件的依据</w:t>
      </w:r>
      <w:bookmarkEnd w:id="22"/>
      <w:bookmarkEnd w:id="23"/>
    </w:p>
    <w:p w14:paraId="41C2B891">
      <w:pPr>
        <w:ind w:firstLine="440" w:firstLineChars="200"/>
        <w:rPr>
          <w:rFonts w:hint="eastAsia"/>
          <w:sz w:val="22"/>
          <w:szCs w:val="22"/>
        </w:rPr>
      </w:pPr>
      <w:r>
        <w:rPr>
          <w:rFonts w:hint="eastAsia"/>
          <w:sz w:val="22"/>
          <w:szCs w:val="22"/>
        </w:rPr>
        <w:t>本标准引用的文件主要分为三类：一是饲料安全底线要求（如 GB 13078 饲料卫生标准，用于规避茶树枝叶可能的农残风险）；二是检测方法标准（如 GB/T 6432 粗蛋白测定等，为理化指标评价提供方法学支撑）；三是畜牧养殖通用规范（如 NY/T 815 肉牛饲养标准），确保发酵饲料在全混合日粮（TMR）中的配比符合肉牛科学营养需要。</w:t>
      </w:r>
    </w:p>
    <w:p w14:paraId="159F86B5">
      <w:pPr>
        <w:numPr>
          <w:ilvl w:val="0"/>
          <w:numId w:val="0"/>
        </w:numPr>
        <w:ind w:firstLine="442" w:firstLineChars="200"/>
        <w:outlineLvl w:val="1"/>
        <w:rPr>
          <w:rFonts w:hint="eastAsia"/>
          <w:b/>
          <w:bCs/>
          <w:sz w:val="22"/>
          <w:szCs w:val="22"/>
        </w:rPr>
      </w:pPr>
      <w:bookmarkStart w:id="24" w:name="_Toc24948"/>
      <w:bookmarkStart w:id="25" w:name="_Toc20075"/>
      <w:r>
        <w:rPr>
          <w:rFonts w:hint="eastAsia"/>
          <w:b/>
          <w:bCs/>
          <w:sz w:val="22"/>
          <w:szCs w:val="22"/>
          <w:lang w:eastAsia="zh-CN"/>
        </w:rPr>
        <w:t>（</w:t>
      </w:r>
      <w:r>
        <w:rPr>
          <w:rFonts w:hint="eastAsia"/>
          <w:b/>
          <w:bCs/>
          <w:sz w:val="22"/>
          <w:szCs w:val="22"/>
          <w:lang w:val="en-US" w:eastAsia="zh-CN"/>
        </w:rPr>
        <w:t>3</w:t>
      </w:r>
      <w:r>
        <w:rPr>
          <w:rFonts w:hint="eastAsia"/>
          <w:b/>
          <w:bCs/>
          <w:sz w:val="22"/>
          <w:szCs w:val="22"/>
          <w:lang w:eastAsia="zh-CN"/>
        </w:rPr>
        <w:t>）</w:t>
      </w:r>
      <w:r>
        <w:rPr>
          <w:rFonts w:hint="eastAsia"/>
          <w:b/>
          <w:bCs/>
          <w:sz w:val="22"/>
          <w:szCs w:val="22"/>
        </w:rPr>
        <w:t>术语及定义的确定依据</w:t>
      </w:r>
      <w:bookmarkEnd w:id="24"/>
      <w:bookmarkEnd w:id="25"/>
    </w:p>
    <w:p w14:paraId="09FC8E16">
      <w:pPr>
        <w:ind w:firstLine="440" w:firstLineChars="200"/>
        <w:rPr>
          <w:rFonts w:hint="eastAsia"/>
          <w:sz w:val="22"/>
          <w:szCs w:val="22"/>
        </w:rPr>
      </w:pPr>
      <w:r>
        <w:rPr>
          <w:rFonts w:hint="eastAsia"/>
          <w:sz w:val="22"/>
          <w:szCs w:val="22"/>
        </w:rPr>
        <w:t>结合标准起草组的研发实践与国内外文献，将标准主体对象定名为“茶树枝叶发酵饲料”。将其定义为：“将修剪下来的茶树枝叶经切短或揉丝后，在密闭条件下利用厌氧发酵制成的饲料”。此定义明确了原料来源、加工形态以及核心的厌氧发酵本质，相比传统的“青绿饲料”，用词更加科学严谨。</w:t>
      </w:r>
    </w:p>
    <w:p w14:paraId="51AAE81F">
      <w:pPr>
        <w:ind w:firstLine="442" w:firstLineChars="200"/>
        <w:rPr>
          <w:rFonts w:hint="eastAsia"/>
          <w:b/>
          <w:bCs/>
          <w:sz w:val="22"/>
          <w:szCs w:val="22"/>
        </w:rPr>
      </w:pPr>
      <w:r>
        <w:rPr>
          <w:rFonts w:hint="eastAsia"/>
          <w:b/>
          <w:bCs/>
          <w:sz w:val="22"/>
          <w:szCs w:val="22"/>
          <w:lang w:eastAsia="zh-CN"/>
        </w:rPr>
        <w:t>（</w:t>
      </w:r>
      <w:r>
        <w:rPr>
          <w:rFonts w:hint="eastAsia"/>
          <w:b/>
          <w:bCs/>
          <w:sz w:val="22"/>
          <w:szCs w:val="22"/>
          <w:lang w:val="en-US" w:eastAsia="zh-CN"/>
        </w:rPr>
        <w:t>4</w:t>
      </w:r>
      <w:r>
        <w:rPr>
          <w:rFonts w:hint="eastAsia"/>
          <w:b/>
          <w:bCs/>
          <w:sz w:val="22"/>
          <w:szCs w:val="22"/>
          <w:lang w:eastAsia="zh-CN"/>
        </w:rPr>
        <w:t>）</w:t>
      </w:r>
      <w:r>
        <w:rPr>
          <w:rFonts w:hint="eastAsia"/>
          <w:b/>
          <w:bCs/>
          <w:sz w:val="22"/>
          <w:szCs w:val="22"/>
        </w:rPr>
        <w:t>主要技术指标确定的依据</w:t>
      </w:r>
    </w:p>
    <w:p w14:paraId="6365815A">
      <w:pPr>
        <w:ind w:firstLine="440" w:firstLineChars="200"/>
        <w:rPr>
          <w:rFonts w:hint="eastAsia"/>
          <w:sz w:val="22"/>
          <w:szCs w:val="22"/>
        </w:rPr>
      </w:pPr>
      <w:r>
        <w:rPr>
          <w:rFonts w:hint="eastAsia"/>
          <w:sz w:val="22"/>
          <w:szCs w:val="22"/>
        </w:rPr>
        <w:t>起草组长期致力于茶树副产物饲料化利用研究，在贵州省凤冈等主产茶区建立了</w:t>
      </w:r>
      <w:r>
        <w:rPr>
          <w:rFonts w:hint="eastAsia"/>
          <w:sz w:val="22"/>
          <w:szCs w:val="22"/>
          <w:lang w:val="en-US" w:eastAsia="zh-CN"/>
        </w:rPr>
        <w:t>小试</w:t>
      </w:r>
      <w:r>
        <w:rPr>
          <w:rFonts w:hint="eastAsia"/>
          <w:sz w:val="22"/>
          <w:szCs w:val="22"/>
        </w:rPr>
        <w:t>生产线，并系统开展了营养评定与肉牛饲喂试验。相关技术核心指标的确定依据如下：</w:t>
      </w:r>
    </w:p>
    <w:p w14:paraId="78D1577A">
      <w:pPr>
        <w:rPr>
          <w:sz w:val="22"/>
          <w:szCs w:val="22"/>
        </w:rPr>
      </w:pPr>
      <w:r>
        <w:rPr>
          <w:rFonts w:hint="eastAsia"/>
          <w:sz w:val="22"/>
          <w:szCs w:val="22"/>
          <w:lang w:val="en-US" w:eastAsia="zh-CN"/>
        </w:rPr>
        <w:t xml:space="preserve">4 </w:t>
      </w:r>
      <w:r>
        <w:rPr>
          <w:rFonts w:hint="eastAsia"/>
          <w:sz w:val="22"/>
          <w:szCs w:val="22"/>
        </w:rPr>
        <w:t>原料准备</w:t>
      </w:r>
    </w:p>
    <w:p w14:paraId="3C1F4B1D">
      <w:pPr>
        <w:numPr>
          <w:ilvl w:val="0"/>
          <w:numId w:val="0"/>
        </w:numPr>
        <w:ind w:firstLine="440" w:firstLineChars="200"/>
        <w:rPr>
          <w:sz w:val="22"/>
          <w:szCs w:val="22"/>
        </w:rPr>
      </w:pPr>
      <w:r>
        <w:rPr>
          <w:rFonts w:hint="eastAsia"/>
          <w:sz w:val="22"/>
          <w:szCs w:val="22"/>
          <w:lang w:val="en-US" w:eastAsia="zh-CN"/>
        </w:rPr>
        <w:t>4.1</w:t>
      </w:r>
      <w:r>
        <w:rPr>
          <w:rFonts w:hint="eastAsia"/>
          <w:sz w:val="22"/>
          <w:szCs w:val="22"/>
        </w:rPr>
        <w:t>收获</w:t>
      </w:r>
    </w:p>
    <w:p w14:paraId="3DA31877">
      <w:pPr>
        <w:numPr>
          <w:ilvl w:val="0"/>
          <w:numId w:val="0"/>
        </w:numPr>
        <w:ind w:firstLine="440" w:firstLineChars="200"/>
        <w:rPr>
          <w:rFonts w:hint="eastAsia"/>
          <w:sz w:val="22"/>
          <w:szCs w:val="22"/>
        </w:rPr>
      </w:pPr>
      <w:r>
        <w:rPr>
          <w:rFonts w:hint="eastAsia"/>
          <w:sz w:val="22"/>
          <w:szCs w:val="22"/>
        </w:rPr>
        <w:t>本文件规定以茶树修剪的枝叶为原料，收集过程避免泥沙和杂质混入，应符合GB 13078饲料卫生标准的规定。</w:t>
      </w:r>
    </w:p>
    <w:p w14:paraId="1B97C640">
      <w:pPr>
        <w:numPr>
          <w:ilvl w:val="0"/>
          <w:numId w:val="0"/>
        </w:numPr>
        <w:ind w:firstLine="440" w:firstLineChars="200"/>
        <w:rPr>
          <w:sz w:val="22"/>
          <w:szCs w:val="22"/>
        </w:rPr>
      </w:pPr>
      <w:r>
        <w:rPr>
          <w:rFonts w:hint="eastAsia"/>
          <w:sz w:val="22"/>
          <w:szCs w:val="22"/>
        </w:rPr>
        <w:t>验证依据：项目组对茶树修剪枝叶附生微生物进行测定，结果显示原料表面乳酸菌占比较低，优势菌以未分类细菌为主，并检出假单胞菌属（</w:t>
      </w:r>
      <w:r>
        <w:rPr>
          <w:rFonts w:hint="eastAsia"/>
          <w:i/>
          <w:iCs/>
          <w:sz w:val="22"/>
          <w:szCs w:val="22"/>
        </w:rPr>
        <w:t>Pseudomonas</w:t>
      </w:r>
      <w:r>
        <w:rPr>
          <w:rFonts w:hint="eastAsia"/>
          <w:sz w:val="22"/>
          <w:szCs w:val="22"/>
        </w:rPr>
        <w:t>）、甲基杆菌属（</w:t>
      </w:r>
      <w:r>
        <w:rPr>
          <w:rFonts w:hint="eastAsia"/>
          <w:i/>
          <w:iCs/>
          <w:sz w:val="22"/>
          <w:szCs w:val="22"/>
        </w:rPr>
        <w:t>Methylobacterium-Methylorubrum</w:t>
      </w:r>
      <w:r>
        <w:rPr>
          <w:rFonts w:hint="eastAsia"/>
          <w:sz w:val="22"/>
          <w:szCs w:val="22"/>
        </w:rPr>
        <w:t>）及植物乳杆菌属（</w:t>
      </w:r>
      <w:r>
        <w:rPr>
          <w:rFonts w:hint="eastAsia"/>
          <w:i/>
          <w:iCs/>
          <w:sz w:val="22"/>
          <w:szCs w:val="22"/>
        </w:rPr>
        <w:t>Lactiplantibacillus</w:t>
      </w:r>
      <w:r>
        <w:rPr>
          <w:rFonts w:hint="eastAsia"/>
          <w:sz w:val="22"/>
          <w:szCs w:val="22"/>
        </w:rPr>
        <w:t>）等。因此，原料收集应尽量避免泥沙、杂质混入，并减少雨淋和二次污染风险。</w:t>
      </w:r>
    </w:p>
    <w:p w14:paraId="12F18907">
      <w:pPr>
        <w:numPr>
          <w:ilvl w:val="0"/>
          <w:numId w:val="0"/>
        </w:numPr>
        <w:ind w:firstLine="440" w:firstLineChars="200"/>
        <w:rPr>
          <w:rFonts w:hint="eastAsia"/>
          <w:sz w:val="22"/>
          <w:szCs w:val="22"/>
        </w:rPr>
      </w:pPr>
      <w:r>
        <w:rPr>
          <w:rFonts w:hint="eastAsia"/>
          <w:sz w:val="22"/>
          <w:szCs w:val="22"/>
          <w:lang w:val="en-US" w:eastAsia="zh-CN"/>
        </w:rPr>
        <w:t>4.2 切短或揉丝</w:t>
      </w:r>
    </w:p>
    <w:p w14:paraId="080A4BE7">
      <w:pPr>
        <w:spacing w:line="360" w:lineRule="auto"/>
        <w:ind w:firstLine="440" w:firstLineChars="200"/>
        <w:rPr>
          <w:rFonts w:hint="eastAsia"/>
          <w:sz w:val="22"/>
          <w:szCs w:val="22"/>
          <w:lang w:val="en-US" w:eastAsia="zh-CN"/>
        </w:rPr>
      </w:pPr>
      <w:r>
        <w:rPr>
          <w:rFonts w:hint="eastAsia" w:ascii="Times New Roman" w:eastAsia="宋体"/>
          <w:sz w:val="22"/>
          <w:szCs w:val="22"/>
          <w:lang w:val="en-US" w:eastAsia="zh-CN"/>
        </w:rPr>
        <w:t>本文件规定切碎长度为2～</w:t>
      </w:r>
      <w:r>
        <w:rPr>
          <w:rFonts w:hint="eastAsia"/>
          <w:sz w:val="22"/>
          <w:szCs w:val="22"/>
          <w:lang w:val="en-US" w:eastAsia="zh-CN"/>
        </w:rPr>
        <w:t>3</w:t>
      </w:r>
      <w:r>
        <w:rPr>
          <w:rFonts w:hint="eastAsia" w:ascii="Times New Roman" w:eastAsia="宋体"/>
          <w:sz w:val="22"/>
          <w:szCs w:val="22"/>
          <w:lang w:val="en-US" w:eastAsia="zh-CN"/>
        </w:rPr>
        <w:t xml:space="preserve"> cm</w:t>
      </w:r>
      <w:r>
        <w:rPr>
          <w:rFonts w:hint="eastAsia"/>
          <w:sz w:val="22"/>
          <w:szCs w:val="22"/>
          <w:lang w:val="en-US" w:eastAsia="zh-CN"/>
        </w:rPr>
        <w:t>，或揉丝</w:t>
      </w:r>
      <w:r>
        <w:rPr>
          <w:rFonts w:hint="eastAsia" w:ascii="Times New Roman" w:eastAsia="宋体"/>
          <w:sz w:val="22"/>
          <w:szCs w:val="22"/>
          <w:lang w:val="en-US" w:eastAsia="zh-CN"/>
        </w:rPr>
        <w:t>。</w:t>
      </w:r>
    </w:p>
    <w:p w14:paraId="4D9C934D">
      <w:pPr>
        <w:spacing w:line="360" w:lineRule="auto"/>
        <w:ind w:firstLine="440" w:firstLineChars="200"/>
        <w:rPr>
          <w:rFonts w:hint="eastAsia" w:eastAsia="宋体"/>
          <w:sz w:val="22"/>
          <w:szCs w:val="22"/>
          <w:lang w:val="en-US" w:eastAsia="zh-CN"/>
        </w:rPr>
      </w:pPr>
      <w:r>
        <w:rPr>
          <w:rFonts w:hint="eastAsia" w:ascii="Times New Roman" w:eastAsia="宋体"/>
          <w:sz w:val="22"/>
          <w:szCs w:val="22"/>
          <w:lang w:val="en-US" w:eastAsia="zh-CN"/>
        </w:rPr>
        <w:t>验证依据：本项目组对比了不同切碎长度（2 cm、4 cm）及揉丝处理对青贮品质的影响（表1和表2）。试验结果显示，经短切（2 cm）或揉丝处理的原料，其可溶性碳水化合物释放更充分，利于乳酸菌附着和发酵，且干物质损耗较低。虽然各组发酵品质差异未达极显著水平，但考虑到实际操作中切碎过长不利于压实，易导致霉变，故将切碎长度范围定为2～</w:t>
      </w:r>
      <w:r>
        <w:rPr>
          <w:rFonts w:hint="eastAsia"/>
          <w:sz w:val="22"/>
          <w:szCs w:val="22"/>
          <w:lang w:val="en-US" w:eastAsia="zh-CN"/>
        </w:rPr>
        <w:t>3</w:t>
      </w:r>
      <w:r>
        <w:rPr>
          <w:rFonts w:hint="eastAsia" w:ascii="Times New Roman" w:eastAsia="宋体"/>
          <w:sz w:val="22"/>
          <w:szCs w:val="22"/>
          <w:lang w:val="en-US" w:eastAsia="zh-CN"/>
        </w:rPr>
        <w:t xml:space="preserve"> cm，并推荐揉丝处理以破坏木质化结构。</w:t>
      </w:r>
    </w:p>
    <w:p w14:paraId="4F37F6C1">
      <w:pPr>
        <w:spacing w:line="360" w:lineRule="auto"/>
        <w:ind w:firstLine="402" w:firstLineChars="200"/>
        <w:jc w:val="center"/>
        <w:rPr>
          <w:rFonts w:hint="eastAsia"/>
          <w:b/>
          <w:bCs/>
          <w:sz w:val="20"/>
          <w:szCs w:val="20"/>
        </w:rPr>
      </w:pPr>
      <w:r>
        <w:rPr>
          <w:rFonts w:hint="eastAsia"/>
          <w:b/>
          <w:bCs/>
          <w:sz w:val="20"/>
          <w:szCs w:val="20"/>
        </w:rPr>
        <w:t>表1切碎和揉丝处理下茶树枝叶青贮营养成分</w:t>
      </w:r>
    </w:p>
    <w:tbl>
      <w:tblPr>
        <w:tblStyle w:val="12"/>
        <w:tblW w:w="0" w:type="auto"/>
        <w:jc w:val="center"/>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36"/>
        <w:gridCol w:w="2075"/>
        <w:gridCol w:w="1757"/>
        <w:gridCol w:w="1757"/>
      </w:tblGrid>
      <w:tr w14:paraId="1C908523">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6" w:type="dxa"/>
            <w:tcBorders>
              <w:bottom w:val="single" w:color="auto" w:sz="8" w:space="0"/>
            </w:tcBorders>
            <w:vAlign w:val="center"/>
          </w:tcPr>
          <w:p w14:paraId="39584E9D">
            <w:pPr>
              <w:spacing w:line="360" w:lineRule="auto"/>
              <w:jc w:val="center"/>
              <w:rPr>
                <w:rFonts w:hint="eastAsia"/>
                <w:b/>
                <w:bCs/>
                <w:sz w:val="21"/>
                <w:szCs w:val="21"/>
                <w:vertAlign w:val="baseline"/>
              </w:rPr>
            </w:pPr>
            <w:r>
              <w:rPr>
                <w:sz w:val="18"/>
                <w:szCs w:val="18"/>
                <w:shd w:val="clear" w:color="auto" w:fill="FFFFFF"/>
              </w:rPr>
              <w:t>项目</w:t>
            </w:r>
          </w:p>
        </w:tc>
        <w:tc>
          <w:tcPr>
            <w:tcW w:w="2075" w:type="dxa"/>
            <w:tcBorders>
              <w:bottom w:val="single" w:color="auto" w:sz="8" w:space="0"/>
            </w:tcBorders>
            <w:vAlign w:val="center"/>
          </w:tcPr>
          <w:p w14:paraId="17CB3973">
            <w:pPr>
              <w:spacing w:line="360" w:lineRule="auto"/>
              <w:jc w:val="center"/>
              <w:rPr>
                <w:rFonts w:hint="eastAsia" w:eastAsia="宋体"/>
                <w:b/>
                <w:bCs/>
                <w:sz w:val="21"/>
                <w:szCs w:val="21"/>
                <w:vertAlign w:val="baseline"/>
                <w:lang w:eastAsia="zh-CN"/>
              </w:rPr>
            </w:pPr>
            <w:r>
              <w:rPr>
                <w:rFonts w:hint="eastAsia"/>
                <w:sz w:val="18"/>
                <w:szCs w:val="18"/>
                <w:shd w:val="clear" w:color="auto" w:fill="FFFFFF"/>
                <w:lang w:val="en-US" w:eastAsia="zh-CN"/>
              </w:rPr>
              <w:t>2 cm</w:t>
            </w:r>
          </w:p>
        </w:tc>
        <w:tc>
          <w:tcPr>
            <w:tcW w:w="1757" w:type="dxa"/>
            <w:tcBorders>
              <w:bottom w:val="single" w:color="auto" w:sz="8" w:space="0"/>
            </w:tcBorders>
            <w:vAlign w:val="center"/>
          </w:tcPr>
          <w:p w14:paraId="3280FF20">
            <w:pPr>
              <w:spacing w:line="360" w:lineRule="auto"/>
              <w:jc w:val="center"/>
              <w:rPr>
                <w:rFonts w:hint="eastAsia" w:eastAsia="宋体"/>
                <w:b/>
                <w:bCs/>
                <w:sz w:val="21"/>
                <w:szCs w:val="21"/>
                <w:vertAlign w:val="baseline"/>
                <w:lang w:val="en-US" w:eastAsia="zh-CN"/>
              </w:rPr>
            </w:pPr>
            <w:r>
              <w:rPr>
                <w:rFonts w:hint="eastAsia"/>
                <w:sz w:val="18"/>
                <w:szCs w:val="18"/>
                <w:shd w:val="clear" w:color="auto" w:fill="FFFFFF"/>
              </w:rPr>
              <w:t>4</w:t>
            </w:r>
            <w:r>
              <w:rPr>
                <w:rFonts w:hint="eastAsia"/>
                <w:sz w:val="18"/>
                <w:szCs w:val="18"/>
                <w:shd w:val="clear" w:color="auto" w:fill="FFFFFF"/>
                <w:lang w:val="en-US" w:eastAsia="zh-CN"/>
              </w:rPr>
              <w:t xml:space="preserve"> cm</w:t>
            </w:r>
          </w:p>
        </w:tc>
        <w:tc>
          <w:tcPr>
            <w:tcW w:w="1757" w:type="dxa"/>
            <w:tcBorders>
              <w:bottom w:val="single" w:color="auto" w:sz="8" w:space="0"/>
            </w:tcBorders>
            <w:vAlign w:val="center"/>
          </w:tcPr>
          <w:p w14:paraId="7345E332">
            <w:pPr>
              <w:spacing w:line="360" w:lineRule="auto"/>
              <w:jc w:val="center"/>
              <w:rPr>
                <w:rFonts w:hint="default" w:eastAsia="宋体"/>
                <w:sz w:val="18"/>
                <w:szCs w:val="18"/>
                <w:shd w:val="clear" w:color="auto" w:fill="FFFFFF"/>
                <w:lang w:val="en-US" w:eastAsia="zh-CN"/>
              </w:rPr>
            </w:pPr>
            <w:r>
              <w:rPr>
                <w:rFonts w:hint="eastAsia"/>
                <w:sz w:val="18"/>
                <w:szCs w:val="18"/>
                <w:shd w:val="clear" w:color="auto" w:fill="FFFFFF"/>
                <w:lang w:val="en-US" w:eastAsia="zh-CN"/>
              </w:rPr>
              <w:t>揉丝</w:t>
            </w:r>
          </w:p>
        </w:tc>
      </w:tr>
      <w:tr w14:paraId="12C512FE">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6" w:type="dxa"/>
            <w:tcBorders>
              <w:top w:val="single" w:color="auto" w:sz="8" w:space="0"/>
            </w:tcBorders>
            <w:shd w:val="clear" w:color="auto" w:fill="auto"/>
            <w:vAlign w:val="center"/>
          </w:tcPr>
          <w:p w14:paraId="5F21DEA1">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干物质 （% FM）</w:t>
            </w:r>
          </w:p>
        </w:tc>
        <w:tc>
          <w:tcPr>
            <w:tcW w:w="2075" w:type="dxa"/>
            <w:tcBorders>
              <w:top w:val="single" w:color="auto" w:sz="8" w:space="0"/>
            </w:tcBorders>
            <w:shd w:val="clear" w:color="auto" w:fill="auto"/>
            <w:vAlign w:val="center"/>
          </w:tcPr>
          <w:p w14:paraId="23BFFAE9">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3</w:t>
            </w:r>
            <w:r>
              <w:rPr>
                <w:rFonts w:hint="eastAsia"/>
                <w:sz w:val="18"/>
                <w:szCs w:val="18"/>
                <w:shd w:val="clear" w:color="auto" w:fill="FFFFFF"/>
                <w:lang w:val="en-US" w:eastAsia="zh-CN"/>
              </w:rPr>
              <w:t>4</w:t>
            </w:r>
            <w:r>
              <w:rPr>
                <w:sz w:val="18"/>
                <w:szCs w:val="18"/>
                <w:shd w:val="clear" w:color="auto" w:fill="FFFFFF"/>
              </w:rPr>
              <w:t>.65±0.27</w:t>
            </w:r>
            <w:r>
              <w:rPr>
                <w:rFonts w:hint="eastAsia"/>
                <w:sz w:val="18"/>
                <w:szCs w:val="18"/>
                <w:shd w:val="clear" w:color="auto" w:fill="FFFFFF"/>
                <w:lang w:val="en-US" w:eastAsia="zh-CN"/>
              </w:rPr>
              <w:t>b</w:t>
            </w:r>
          </w:p>
        </w:tc>
        <w:tc>
          <w:tcPr>
            <w:tcW w:w="1757" w:type="dxa"/>
            <w:tcBorders>
              <w:top w:val="single" w:color="auto" w:sz="8" w:space="0"/>
            </w:tcBorders>
            <w:shd w:val="clear" w:color="auto" w:fill="auto"/>
            <w:vAlign w:val="center"/>
          </w:tcPr>
          <w:p w14:paraId="3C35CB77">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rPr>
              <w:t>35</w:t>
            </w:r>
            <w:r>
              <w:rPr>
                <w:sz w:val="18"/>
                <w:szCs w:val="18"/>
                <w:shd w:val="clear" w:color="auto" w:fill="FFFFFF"/>
              </w:rPr>
              <w:t>.87±0.18</w:t>
            </w:r>
            <w:r>
              <w:rPr>
                <w:rFonts w:hint="eastAsia"/>
                <w:sz w:val="18"/>
                <w:szCs w:val="18"/>
                <w:shd w:val="clear" w:color="auto" w:fill="FFFFFF"/>
                <w:lang w:val="en-US" w:eastAsia="zh-CN"/>
              </w:rPr>
              <w:t>a</w:t>
            </w:r>
          </w:p>
        </w:tc>
        <w:tc>
          <w:tcPr>
            <w:tcW w:w="1757" w:type="dxa"/>
            <w:tcBorders>
              <w:top w:val="single" w:color="auto" w:sz="8" w:space="0"/>
            </w:tcBorders>
            <w:shd w:val="clear" w:color="auto" w:fill="auto"/>
            <w:vAlign w:val="center"/>
          </w:tcPr>
          <w:p w14:paraId="7D43AC91">
            <w:pP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3</w:t>
            </w:r>
            <w:r>
              <w:rPr>
                <w:rFonts w:hint="eastAsia"/>
                <w:sz w:val="18"/>
                <w:szCs w:val="18"/>
                <w:shd w:val="clear" w:color="auto" w:fill="FFFFFF"/>
                <w:lang w:val="en-US" w:eastAsia="zh-CN"/>
              </w:rPr>
              <w:t>3</w:t>
            </w:r>
            <w:r>
              <w:rPr>
                <w:sz w:val="18"/>
                <w:szCs w:val="18"/>
                <w:shd w:val="clear" w:color="auto" w:fill="FFFFFF"/>
              </w:rPr>
              <w:t>.89±0.20</w:t>
            </w:r>
            <w:r>
              <w:rPr>
                <w:rFonts w:hint="eastAsia"/>
                <w:sz w:val="18"/>
                <w:szCs w:val="18"/>
                <w:shd w:val="clear" w:color="auto" w:fill="FFFFFF"/>
                <w:lang w:val="en-US" w:eastAsia="zh-CN"/>
              </w:rPr>
              <w:t>b</w:t>
            </w:r>
          </w:p>
        </w:tc>
      </w:tr>
      <w:tr w14:paraId="6F4E0A74">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2636" w:type="dxa"/>
            <w:shd w:val="clear" w:color="auto" w:fill="auto"/>
            <w:vAlign w:val="center"/>
          </w:tcPr>
          <w:p w14:paraId="571CD90C">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ascii="Times New Roman" w:eastAsia="宋体"/>
                <w:sz w:val="18"/>
                <w:szCs w:val="18"/>
                <w:shd w:val="clear" w:color="auto" w:fill="FFFFFF"/>
                <w:lang w:val="en-US" w:eastAsia="zh-CN"/>
              </w:rPr>
              <w:t>可溶性碳水化合物</w:t>
            </w:r>
            <w:r>
              <w:rPr>
                <w:rFonts w:hint="eastAsia"/>
                <w:sz w:val="18"/>
                <w:szCs w:val="18"/>
                <w:shd w:val="clear" w:color="auto" w:fill="FFFFFF"/>
              </w:rPr>
              <w:t>（</w:t>
            </w:r>
            <w:r>
              <w:rPr>
                <w:sz w:val="18"/>
                <w:szCs w:val="18"/>
                <w:shd w:val="clear" w:color="auto" w:fill="FFFFFF"/>
              </w:rPr>
              <w:t>% DM）</w:t>
            </w:r>
          </w:p>
        </w:tc>
        <w:tc>
          <w:tcPr>
            <w:tcW w:w="2075" w:type="dxa"/>
            <w:shd w:val="clear" w:color="auto" w:fill="auto"/>
            <w:vAlign w:val="center"/>
          </w:tcPr>
          <w:p w14:paraId="7AA13A7B">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rPr>
              <w:t>5.33</w:t>
            </w:r>
            <w:r>
              <w:rPr>
                <w:sz w:val="18"/>
                <w:szCs w:val="18"/>
                <w:shd w:val="clear" w:color="auto" w:fill="FFFFFF"/>
              </w:rPr>
              <w:t>±0.07a</w:t>
            </w:r>
          </w:p>
        </w:tc>
        <w:tc>
          <w:tcPr>
            <w:tcW w:w="1757" w:type="dxa"/>
            <w:shd w:val="clear" w:color="auto" w:fill="auto"/>
            <w:vAlign w:val="center"/>
          </w:tcPr>
          <w:p w14:paraId="44367A77">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rPr>
              <w:t>5.19</w:t>
            </w:r>
            <w:r>
              <w:rPr>
                <w:sz w:val="18"/>
                <w:szCs w:val="18"/>
                <w:shd w:val="clear" w:color="auto" w:fill="FFFFFF"/>
              </w:rPr>
              <w:t>±0.07</w:t>
            </w:r>
            <w:r>
              <w:rPr>
                <w:rFonts w:hint="eastAsia"/>
                <w:sz w:val="18"/>
                <w:szCs w:val="18"/>
                <w:shd w:val="clear" w:color="auto" w:fill="FFFFFF"/>
                <w:lang w:val="en-US" w:eastAsia="zh-CN"/>
              </w:rPr>
              <w:t>a</w:t>
            </w:r>
          </w:p>
        </w:tc>
        <w:tc>
          <w:tcPr>
            <w:tcW w:w="1757" w:type="dxa"/>
            <w:shd w:val="clear" w:color="auto" w:fill="auto"/>
            <w:vAlign w:val="center"/>
          </w:tcPr>
          <w:p w14:paraId="43FE0D9D">
            <w:pP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rPr>
              <w:t>5.47</w:t>
            </w:r>
            <w:r>
              <w:rPr>
                <w:sz w:val="18"/>
                <w:szCs w:val="18"/>
                <w:shd w:val="clear" w:color="auto" w:fill="FFFFFF"/>
              </w:rPr>
              <w:t>±0.41a</w:t>
            </w:r>
          </w:p>
        </w:tc>
      </w:tr>
      <w:tr w14:paraId="03C33D38">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6" w:type="dxa"/>
            <w:shd w:val="clear" w:color="auto" w:fill="auto"/>
            <w:vAlign w:val="center"/>
          </w:tcPr>
          <w:p w14:paraId="1B89BB67">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酸性洗涤纤维（% DM）</w:t>
            </w:r>
          </w:p>
        </w:tc>
        <w:tc>
          <w:tcPr>
            <w:tcW w:w="2075" w:type="dxa"/>
            <w:shd w:val="clear" w:color="auto" w:fill="auto"/>
            <w:vAlign w:val="center"/>
          </w:tcPr>
          <w:p w14:paraId="55000805">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rPr>
              <w:t>40</w:t>
            </w:r>
            <w:r>
              <w:rPr>
                <w:sz w:val="18"/>
                <w:szCs w:val="18"/>
                <w:shd w:val="clear" w:color="auto" w:fill="FFFFFF"/>
              </w:rPr>
              <w:t>.17±0.28a</w:t>
            </w:r>
          </w:p>
        </w:tc>
        <w:tc>
          <w:tcPr>
            <w:tcW w:w="1757" w:type="dxa"/>
            <w:shd w:val="clear" w:color="auto" w:fill="auto"/>
            <w:vAlign w:val="center"/>
          </w:tcPr>
          <w:p w14:paraId="70A63E03">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rPr>
              <w:t>44</w:t>
            </w:r>
            <w:r>
              <w:rPr>
                <w:sz w:val="18"/>
                <w:szCs w:val="18"/>
                <w:shd w:val="clear" w:color="auto" w:fill="FFFFFF"/>
              </w:rPr>
              <w:t>.97±0.20b</w:t>
            </w:r>
          </w:p>
        </w:tc>
        <w:tc>
          <w:tcPr>
            <w:tcW w:w="1757" w:type="dxa"/>
            <w:shd w:val="clear" w:color="auto" w:fill="auto"/>
            <w:vAlign w:val="top"/>
          </w:tcPr>
          <w:p w14:paraId="7A611A34">
            <w:pP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rPr>
              <w:t>40</w:t>
            </w:r>
            <w:r>
              <w:rPr>
                <w:sz w:val="18"/>
                <w:szCs w:val="18"/>
                <w:shd w:val="clear" w:color="auto" w:fill="FFFFFF"/>
              </w:rPr>
              <w:t>.87±0.48b</w:t>
            </w:r>
          </w:p>
        </w:tc>
      </w:tr>
      <w:tr w14:paraId="2BD23D66">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6" w:type="dxa"/>
            <w:shd w:val="clear" w:color="auto" w:fill="auto"/>
            <w:vAlign w:val="center"/>
          </w:tcPr>
          <w:p w14:paraId="40A1ECBB">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中性洗涤纤维（% DM）</w:t>
            </w:r>
          </w:p>
        </w:tc>
        <w:tc>
          <w:tcPr>
            <w:tcW w:w="2075" w:type="dxa"/>
            <w:shd w:val="clear" w:color="auto" w:fill="auto"/>
            <w:vAlign w:val="center"/>
          </w:tcPr>
          <w:p w14:paraId="453B4364">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rPr>
              <w:t>62</w:t>
            </w:r>
            <w:r>
              <w:rPr>
                <w:sz w:val="18"/>
                <w:szCs w:val="18"/>
                <w:shd w:val="clear" w:color="auto" w:fill="FFFFFF"/>
              </w:rPr>
              <w:t>.12±1.40a</w:t>
            </w:r>
          </w:p>
        </w:tc>
        <w:tc>
          <w:tcPr>
            <w:tcW w:w="1757" w:type="dxa"/>
            <w:shd w:val="clear" w:color="auto" w:fill="auto"/>
            <w:vAlign w:val="center"/>
          </w:tcPr>
          <w:p w14:paraId="13FD98E3">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rPr>
              <w:t>6</w:t>
            </w:r>
            <w:r>
              <w:rPr>
                <w:rFonts w:hint="eastAsia"/>
                <w:sz w:val="18"/>
                <w:szCs w:val="18"/>
                <w:shd w:val="clear" w:color="auto" w:fill="FFFFFF"/>
                <w:lang w:val="en-US" w:eastAsia="zh-CN"/>
              </w:rPr>
              <w:t>4</w:t>
            </w:r>
            <w:r>
              <w:rPr>
                <w:sz w:val="18"/>
                <w:szCs w:val="18"/>
                <w:shd w:val="clear" w:color="auto" w:fill="FFFFFF"/>
              </w:rPr>
              <w:t>.76±0.</w:t>
            </w:r>
            <w:r>
              <w:rPr>
                <w:rFonts w:hint="eastAsia"/>
                <w:sz w:val="18"/>
                <w:szCs w:val="18"/>
                <w:shd w:val="clear" w:color="auto" w:fill="FFFFFF"/>
                <w:lang w:val="en-US" w:eastAsia="zh-CN"/>
              </w:rPr>
              <w:t>3</w:t>
            </w:r>
            <w:r>
              <w:rPr>
                <w:sz w:val="18"/>
                <w:szCs w:val="18"/>
                <w:shd w:val="clear" w:color="auto" w:fill="FFFFFF"/>
              </w:rPr>
              <w:t>3a</w:t>
            </w:r>
          </w:p>
        </w:tc>
        <w:tc>
          <w:tcPr>
            <w:tcW w:w="1757" w:type="dxa"/>
            <w:shd w:val="clear" w:color="auto" w:fill="auto"/>
            <w:vAlign w:val="top"/>
          </w:tcPr>
          <w:p w14:paraId="78C73E74">
            <w:pP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rPr>
              <w:t>6</w:t>
            </w:r>
            <w:r>
              <w:rPr>
                <w:rFonts w:hint="eastAsia"/>
                <w:sz w:val="18"/>
                <w:szCs w:val="18"/>
                <w:shd w:val="clear" w:color="auto" w:fill="FFFFFF"/>
                <w:lang w:val="en-US" w:eastAsia="zh-CN"/>
              </w:rPr>
              <w:t>2</w:t>
            </w:r>
            <w:r>
              <w:rPr>
                <w:sz w:val="18"/>
                <w:szCs w:val="18"/>
                <w:shd w:val="clear" w:color="auto" w:fill="FFFFFF"/>
              </w:rPr>
              <w:t>.26±0.12b</w:t>
            </w:r>
          </w:p>
        </w:tc>
      </w:tr>
      <w:tr w14:paraId="455A8610">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6" w:type="dxa"/>
            <w:shd w:val="clear" w:color="auto" w:fill="auto"/>
            <w:vAlign w:val="center"/>
          </w:tcPr>
          <w:p w14:paraId="36682849">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粗蛋白（% DM）</w:t>
            </w:r>
          </w:p>
        </w:tc>
        <w:tc>
          <w:tcPr>
            <w:tcW w:w="2075" w:type="dxa"/>
            <w:shd w:val="clear" w:color="auto" w:fill="auto"/>
            <w:vAlign w:val="center"/>
          </w:tcPr>
          <w:p w14:paraId="0C6C4230">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rPr>
              <w:t>17</w:t>
            </w:r>
            <w:r>
              <w:rPr>
                <w:sz w:val="18"/>
                <w:szCs w:val="18"/>
                <w:shd w:val="clear" w:color="auto" w:fill="FFFFFF"/>
              </w:rPr>
              <w:t>.</w:t>
            </w:r>
            <w:r>
              <w:rPr>
                <w:rFonts w:hint="eastAsia"/>
                <w:sz w:val="18"/>
                <w:szCs w:val="18"/>
                <w:shd w:val="clear" w:color="auto" w:fill="FFFFFF"/>
                <w:lang w:val="en-US" w:eastAsia="zh-CN"/>
              </w:rPr>
              <w:t>8</w:t>
            </w:r>
            <w:r>
              <w:rPr>
                <w:sz w:val="18"/>
                <w:szCs w:val="18"/>
                <w:shd w:val="clear" w:color="auto" w:fill="FFFFFF"/>
              </w:rPr>
              <w:t>7±0.07b</w:t>
            </w:r>
          </w:p>
        </w:tc>
        <w:tc>
          <w:tcPr>
            <w:tcW w:w="1757" w:type="dxa"/>
            <w:shd w:val="clear" w:color="auto" w:fill="auto"/>
            <w:vAlign w:val="center"/>
          </w:tcPr>
          <w:p w14:paraId="6E5E7FC5">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1</w:t>
            </w:r>
            <w:r>
              <w:rPr>
                <w:rFonts w:hint="eastAsia"/>
                <w:sz w:val="18"/>
                <w:szCs w:val="18"/>
                <w:shd w:val="clear" w:color="auto" w:fill="FFFFFF"/>
              </w:rPr>
              <w:t>8</w:t>
            </w:r>
            <w:r>
              <w:rPr>
                <w:sz w:val="18"/>
                <w:szCs w:val="18"/>
                <w:shd w:val="clear" w:color="auto" w:fill="FFFFFF"/>
              </w:rPr>
              <w:t>.17±0.07a</w:t>
            </w:r>
          </w:p>
        </w:tc>
        <w:tc>
          <w:tcPr>
            <w:tcW w:w="1757" w:type="dxa"/>
            <w:shd w:val="clear" w:color="auto" w:fill="auto"/>
            <w:vAlign w:val="top"/>
          </w:tcPr>
          <w:p w14:paraId="519E9C7A">
            <w:pPr>
              <w:rPr>
                <w:rFonts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1</w:t>
            </w:r>
            <w:r>
              <w:rPr>
                <w:rFonts w:hint="eastAsia"/>
                <w:sz w:val="18"/>
                <w:szCs w:val="18"/>
                <w:shd w:val="clear" w:color="auto" w:fill="FFFFFF"/>
              </w:rPr>
              <w:t>7</w:t>
            </w:r>
            <w:r>
              <w:rPr>
                <w:sz w:val="18"/>
                <w:szCs w:val="18"/>
                <w:shd w:val="clear" w:color="auto" w:fill="FFFFFF"/>
              </w:rPr>
              <w:t>.17±0.07b</w:t>
            </w:r>
          </w:p>
        </w:tc>
      </w:tr>
      <w:tr w14:paraId="0611D69A">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6" w:type="dxa"/>
            <w:shd w:val="clear" w:color="auto" w:fill="auto"/>
            <w:vAlign w:val="center"/>
          </w:tcPr>
          <w:p w14:paraId="7A3C335E">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LAB</w:t>
            </w:r>
            <w:r>
              <w:rPr>
                <w:rFonts w:hint="eastAsia"/>
                <w:sz w:val="18"/>
                <w:szCs w:val="18"/>
              </w:rPr>
              <w:t>（</w:t>
            </w:r>
            <w:r>
              <w:rPr>
                <w:sz w:val="18"/>
                <w:szCs w:val="18"/>
              </w:rPr>
              <w:t>log</w:t>
            </w:r>
            <w:r>
              <w:rPr>
                <w:sz w:val="18"/>
                <w:szCs w:val="18"/>
                <w:vertAlign w:val="subscript"/>
              </w:rPr>
              <w:t>10</w:t>
            </w:r>
            <w:r>
              <w:rPr>
                <w:sz w:val="18"/>
                <w:szCs w:val="18"/>
              </w:rPr>
              <w:t xml:space="preserve"> cfu/g FM</w:t>
            </w:r>
            <w:r>
              <w:rPr>
                <w:rFonts w:hint="eastAsia"/>
                <w:sz w:val="18"/>
                <w:szCs w:val="18"/>
              </w:rPr>
              <w:t>）</w:t>
            </w:r>
          </w:p>
        </w:tc>
        <w:tc>
          <w:tcPr>
            <w:tcW w:w="2075" w:type="dxa"/>
            <w:shd w:val="clear" w:color="auto" w:fill="auto"/>
            <w:vAlign w:val="center"/>
          </w:tcPr>
          <w:p w14:paraId="2E03A011">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rPr>
              <w:t>5</w:t>
            </w:r>
            <w:r>
              <w:rPr>
                <w:sz w:val="18"/>
                <w:szCs w:val="18"/>
                <w:shd w:val="clear" w:color="auto" w:fill="FFFFFF"/>
              </w:rPr>
              <w:t>.</w:t>
            </w:r>
            <w:r>
              <w:rPr>
                <w:rFonts w:hint="eastAsia"/>
                <w:sz w:val="18"/>
                <w:szCs w:val="18"/>
                <w:shd w:val="clear" w:color="auto" w:fill="FFFFFF"/>
                <w:lang w:val="en-US" w:eastAsia="zh-CN"/>
              </w:rPr>
              <w:t>7</w:t>
            </w:r>
            <w:r>
              <w:rPr>
                <w:sz w:val="18"/>
                <w:szCs w:val="18"/>
                <w:shd w:val="clear" w:color="auto" w:fill="FFFFFF"/>
              </w:rPr>
              <w:t>2±0.05</w:t>
            </w:r>
            <w:r>
              <w:rPr>
                <w:rFonts w:hint="eastAsia"/>
                <w:sz w:val="18"/>
                <w:szCs w:val="18"/>
                <w:shd w:val="clear" w:color="auto" w:fill="FFFFFF"/>
                <w:lang w:val="en-US" w:eastAsia="zh-CN"/>
              </w:rPr>
              <w:t>a</w:t>
            </w:r>
          </w:p>
        </w:tc>
        <w:tc>
          <w:tcPr>
            <w:tcW w:w="1757" w:type="dxa"/>
            <w:shd w:val="clear" w:color="auto" w:fill="auto"/>
            <w:vAlign w:val="center"/>
          </w:tcPr>
          <w:p w14:paraId="4F9E5D47">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rPr>
              <w:t>5</w:t>
            </w:r>
            <w:r>
              <w:rPr>
                <w:sz w:val="18"/>
                <w:szCs w:val="18"/>
                <w:shd w:val="clear" w:color="auto" w:fill="FFFFFF"/>
              </w:rPr>
              <w:t>.</w:t>
            </w:r>
            <w:r>
              <w:rPr>
                <w:rFonts w:hint="eastAsia"/>
                <w:sz w:val="18"/>
                <w:szCs w:val="18"/>
                <w:shd w:val="clear" w:color="auto" w:fill="FFFFFF"/>
                <w:lang w:val="en-US" w:eastAsia="zh-CN"/>
              </w:rPr>
              <w:t>4</w:t>
            </w:r>
            <w:r>
              <w:rPr>
                <w:sz w:val="18"/>
                <w:szCs w:val="18"/>
                <w:shd w:val="clear" w:color="auto" w:fill="FFFFFF"/>
              </w:rPr>
              <w:t>3±0.44</w:t>
            </w:r>
            <w:r>
              <w:rPr>
                <w:rFonts w:hint="eastAsia"/>
                <w:sz w:val="18"/>
                <w:szCs w:val="18"/>
                <w:shd w:val="clear" w:color="auto" w:fill="FFFFFF"/>
              </w:rPr>
              <w:t>b</w:t>
            </w:r>
          </w:p>
        </w:tc>
        <w:tc>
          <w:tcPr>
            <w:tcW w:w="1757" w:type="dxa"/>
            <w:shd w:val="clear" w:color="auto" w:fill="auto"/>
            <w:vAlign w:val="top"/>
          </w:tcPr>
          <w:p w14:paraId="7D173058">
            <w:pP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rPr>
              <w:t>6</w:t>
            </w:r>
            <w:r>
              <w:rPr>
                <w:sz w:val="18"/>
                <w:szCs w:val="18"/>
                <w:shd w:val="clear" w:color="auto" w:fill="FFFFFF"/>
              </w:rPr>
              <w:t>.27±0.26</w:t>
            </w:r>
            <w:r>
              <w:rPr>
                <w:rFonts w:hint="eastAsia"/>
                <w:sz w:val="18"/>
                <w:szCs w:val="18"/>
                <w:shd w:val="clear" w:color="auto" w:fill="FFFFFF"/>
              </w:rPr>
              <w:t>a</w:t>
            </w:r>
          </w:p>
        </w:tc>
      </w:tr>
      <w:tr w14:paraId="5C1686B7">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6" w:type="dxa"/>
            <w:shd w:val="clear" w:color="auto" w:fill="auto"/>
            <w:vAlign w:val="center"/>
          </w:tcPr>
          <w:p w14:paraId="07BB8553">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Yeast</w:t>
            </w:r>
            <w:r>
              <w:rPr>
                <w:rFonts w:hint="eastAsia"/>
                <w:sz w:val="18"/>
                <w:szCs w:val="18"/>
                <w:shd w:val="clear" w:color="auto" w:fill="FFFFFF"/>
              </w:rPr>
              <w:t>（</w:t>
            </w:r>
            <w:r>
              <w:rPr>
                <w:sz w:val="18"/>
                <w:szCs w:val="18"/>
              </w:rPr>
              <w:t>log</w:t>
            </w:r>
            <w:r>
              <w:rPr>
                <w:sz w:val="18"/>
                <w:szCs w:val="18"/>
                <w:vertAlign w:val="subscript"/>
              </w:rPr>
              <w:t>10</w:t>
            </w:r>
            <w:r>
              <w:rPr>
                <w:sz w:val="18"/>
                <w:szCs w:val="18"/>
              </w:rPr>
              <w:t xml:space="preserve"> cfu/g FM</w:t>
            </w:r>
            <w:r>
              <w:rPr>
                <w:rFonts w:hint="eastAsia"/>
                <w:sz w:val="18"/>
                <w:szCs w:val="18"/>
                <w:shd w:val="clear" w:color="auto" w:fill="FFFFFF"/>
              </w:rPr>
              <w:t>）</w:t>
            </w:r>
          </w:p>
        </w:tc>
        <w:tc>
          <w:tcPr>
            <w:tcW w:w="2075" w:type="dxa"/>
            <w:shd w:val="clear" w:color="auto" w:fill="auto"/>
            <w:vAlign w:val="center"/>
          </w:tcPr>
          <w:p w14:paraId="4674172D">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7.25±0.04</w:t>
            </w:r>
            <w:r>
              <w:rPr>
                <w:rFonts w:hint="eastAsia"/>
                <w:sz w:val="18"/>
                <w:szCs w:val="18"/>
                <w:shd w:val="clear" w:color="auto" w:fill="FFFFFF"/>
                <w:lang w:val="en-US" w:eastAsia="zh-CN"/>
              </w:rPr>
              <w:t>a</w:t>
            </w:r>
          </w:p>
        </w:tc>
        <w:tc>
          <w:tcPr>
            <w:tcW w:w="1757" w:type="dxa"/>
            <w:shd w:val="clear" w:color="auto" w:fill="auto"/>
            <w:vAlign w:val="center"/>
          </w:tcPr>
          <w:p w14:paraId="56D61E72">
            <w:pPr>
              <w:spacing w:line="36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7.15±0.11</w:t>
            </w:r>
            <w:r>
              <w:rPr>
                <w:rFonts w:hint="eastAsia"/>
                <w:sz w:val="18"/>
                <w:szCs w:val="18"/>
                <w:shd w:val="clear" w:color="auto" w:fill="FFFFFF"/>
                <w:lang w:val="en-US" w:eastAsia="zh-CN"/>
              </w:rPr>
              <w:t>a</w:t>
            </w:r>
          </w:p>
        </w:tc>
        <w:tc>
          <w:tcPr>
            <w:tcW w:w="1757" w:type="dxa"/>
            <w:shd w:val="clear" w:color="auto" w:fill="auto"/>
            <w:vAlign w:val="top"/>
          </w:tcPr>
          <w:p w14:paraId="099C8C23">
            <w:pPr>
              <w:rPr>
                <w:rFonts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6.83±0.07</w:t>
            </w:r>
          </w:p>
        </w:tc>
      </w:tr>
    </w:tbl>
    <w:p w14:paraId="3B0DF871">
      <w:pPr>
        <w:spacing w:line="360" w:lineRule="auto"/>
        <w:ind w:firstLine="400" w:firstLineChars="200"/>
        <w:jc w:val="left"/>
        <w:rPr>
          <w:rFonts w:hint="eastAsia"/>
          <w:sz w:val="20"/>
          <w:szCs w:val="22"/>
          <w:lang w:val="en-US" w:eastAsia="zh-CN"/>
        </w:rPr>
      </w:pPr>
      <w:r>
        <w:rPr>
          <w:rFonts w:hint="eastAsia" w:ascii="Times New Roman" w:eastAsia="宋体"/>
          <w:sz w:val="20"/>
          <w:szCs w:val="22"/>
          <w:lang w:val="en-US" w:eastAsia="zh-CN"/>
        </w:rPr>
        <w:t>注：FM为鲜物质；DM为干物质；LAB为乳酸菌；Yeast为酵母。</w:t>
      </w:r>
    </w:p>
    <w:p w14:paraId="570F8754">
      <w:pPr>
        <w:spacing w:line="360" w:lineRule="auto"/>
        <w:ind w:firstLine="402" w:firstLineChars="200"/>
        <w:jc w:val="center"/>
        <w:rPr>
          <w:rFonts w:hint="eastAsia"/>
          <w:b/>
          <w:bCs/>
          <w:sz w:val="22"/>
          <w:szCs w:val="22"/>
        </w:rPr>
      </w:pPr>
      <w:r>
        <w:rPr>
          <w:rFonts w:hint="eastAsia"/>
          <w:b/>
          <w:bCs/>
          <w:sz w:val="20"/>
          <w:szCs w:val="20"/>
        </w:rPr>
        <w:t>表2 切碎和揉丝处理下茶树枝叶青贮发酵品质</w:t>
      </w:r>
    </w:p>
    <w:tbl>
      <w:tblPr>
        <w:tblStyle w:val="12"/>
        <w:tblW w:w="0" w:type="auto"/>
        <w:jc w:val="center"/>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36"/>
        <w:gridCol w:w="2075"/>
        <w:gridCol w:w="1757"/>
        <w:gridCol w:w="1757"/>
      </w:tblGrid>
      <w:tr w14:paraId="14B793BD">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6" w:type="dxa"/>
            <w:tcBorders>
              <w:bottom w:val="single" w:color="auto" w:sz="8" w:space="0"/>
            </w:tcBorders>
          </w:tcPr>
          <w:p w14:paraId="029F9129">
            <w:pPr>
              <w:spacing w:line="360" w:lineRule="auto"/>
              <w:jc w:val="center"/>
              <w:rPr>
                <w:rFonts w:hint="eastAsia"/>
                <w:b/>
                <w:bCs/>
                <w:sz w:val="21"/>
                <w:szCs w:val="21"/>
                <w:vertAlign w:val="baseline"/>
              </w:rPr>
            </w:pPr>
            <w:r>
              <w:rPr>
                <w:sz w:val="18"/>
                <w:szCs w:val="18"/>
                <w:shd w:val="clear" w:color="auto" w:fill="FFFFFF"/>
              </w:rPr>
              <w:t>项目</w:t>
            </w:r>
          </w:p>
        </w:tc>
        <w:tc>
          <w:tcPr>
            <w:tcW w:w="2075" w:type="dxa"/>
            <w:tcBorders>
              <w:bottom w:val="single" w:color="auto" w:sz="8" w:space="0"/>
            </w:tcBorders>
            <w:vAlign w:val="top"/>
          </w:tcPr>
          <w:p w14:paraId="202872B9">
            <w:pPr>
              <w:spacing w:line="360" w:lineRule="auto"/>
              <w:jc w:val="center"/>
              <w:rPr>
                <w:rFonts w:hint="eastAsia" w:eastAsia="宋体"/>
                <w:b/>
                <w:bCs/>
                <w:sz w:val="21"/>
                <w:szCs w:val="21"/>
                <w:vertAlign w:val="baseline"/>
                <w:lang w:eastAsia="zh-CN"/>
              </w:rPr>
            </w:pPr>
            <w:r>
              <w:rPr>
                <w:rFonts w:hint="eastAsia"/>
                <w:sz w:val="18"/>
                <w:szCs w:val="18"/>
                <w:shd w:val="clear" w:color="auto" w:fill="FFFFFF"/>
                <w:lang w:val="en-US" w:eastAsia="zh-CN"/>
              </w:rPr>
              <w:t>2 cm</w:t>
            </w:r>
          </w:p>
        </w:tc>
        <w:tc>
          <w:tcPr>
            <w:tcW w:w="1757" w:type="dxa"/>
            <w:tcBorders>
              <w:bottom w:val="single" w:color="auto" w:sz="8" w:space="0"/>
            </w:tcBorders>
            <w:vAlign w:val="top"/>
          </w:tcPr>
          <w:p w14:paraId="34E57F3A">
            <w:pPr>
              <w:spacing w:line="360" w:lineRule="auto"/>
              <w:jc w:val="center"/>
              <w:rPr>
                <w:rFonts w:hint="eastAsia" w:eastAsia="宋体"/>
                <w:b/>
                <w:bCs/>
                <w:sz w:val="21"/>
                <w:szCs w:val="21"/>
                <w:vertAlign w:val="baseline"/>
                <w:lang w:val="en-US" w:eastAsia="zh-CN"/>
              </w:rPr>
            </w:pPr>
            <w:r>
              <w:rPr>
                <w:rFonts w:hint="eastAsia"/>
                <w:sz w:val="18"/>
                <w:szCs w:val="18"/>
                <w:shd w:val="clear" w:color="auto" w:fill="FFFFFF"/>
              </w:rPr>
              <w:t>4</w:t>
            </w:r>
            <w:r>
              <w:rPr>
                <w:rFonts w:hint="eastAsia"/>
                <w:sz w:val="18"/>
                <w:szCs w:val="18"/>
                <w:shd w:val="clear" w:color="auto" w:fill="FFFFFF"/>
                <w:lang w:val="en-US" w:eastAsia="zh-CN"/>
              </w:rPr>
              <w:t xml:space="preserve"> cm</w:t>
            </w:r>
          </w:p>
        </w:tc>
        <w:tc>
          <w:tcPr>
            <w:tcW w:w="1757" w:type="dxa"/>
            <w:tcBorders>
              <w:bottom w:val="single" w:color="auto" w:sz="8" w:space="0"/>
            </w:tcBorders>
            <w:vAlign w:val="top"/>
          </w:tcPr>
          <w:p w14:paraId="39B73C49">
            <w:pPr>
              <w:spacing w:line="360" w:lineRule="auto"/>
              <w:jc w:val="center"/>
              <w:rPr>
                <w:rFonts w:hint="default" w:eastAsia="宋体"/>
                <w:sz w:val="18"/>
                <w:szCs w:val="18"/>
                <w:shd w:val="clear" w:color="auto" w:fill="FFFFFF"/>
                <w:lang w:val="en-US" w:eastAsia="zh-CN"/>
              </w:rPr>
            </w:pPr>
            <w:r>
              <w:rPr>
                <w:rFonts w:hint="eastAsia"/>
                <w:sz w:val="18"/>
                <w:szCs w:val="18"/>
                <w:shd w:val="clear" w:color="auto" w:fill="FFFFFF"/>
                <w:lang w:val="en-US" w:eastAsia="zh-CN"/>
              </w:rPr>
              <w:t>揉丝</w:t>
            </w:r>
          </w:p>
        </w:tc>
      </w:tr>
      <w:tr w14:paraId="3967721E">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6" w:type="dxa"/>
            <w:tcBorders>
              <w:top w:val="single" w:color="auto" w:sz="8" w:space="0"/>
            </w:tcBorders>
            <w:shd w:val="clear" w:color="auto" w:fill="auto"/>
            <w:vAlign w:val="center"/>
          </w:tcPr>
          <w:p w14:paraId="7B0BAB1E">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pH</w:t>
            </w:r>
          </w:p>
        </w:tc>
        <w:tc>
          <w:tcPr>
            <w:tcW w:w="2075" w:type="dxa"/>
            <w:tcBorders>
              <w:top w:val="single" w:color="auto" w:sz="8" w:space="0"/>
            </w:tcBorders>
            <w:shd w:val="clear" w:color="auto" w:fill="auto"/>
            <w:vAlign w:val="center"/>
          </w:tcPr>
          <w:p w14:paraId="2F1F4CC1">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5.16±0.03</w:t>
            </w:r>
            <w:r>
              <w:rPr>
                <w:rFonts w:hint="eastAsia"/>
                <w:sz w:val="18"/>
                <w:szCs w:val="18"/>
                <w:shd w:val="clear" w:color="auto" w:fill="FFFFFF"/>
                <w:lang w:val="en-US" w:eastAsia="zh-CN"/>
              </w:rPr>
              <w:t>a</w:t>
            </w:r>
          </w:p>
        </w:tc>
        <w:tc>
          <w:tcPr>
            <w:tcW w:w="1757" w:type="dxa"/>
            <w:tcBorders>
              <w:top w:val="single" w:color="auto" w:sz="8" w:space="0"/>
            </w:tcBorders>
            <w:shd w:val="clear" w:color="auto" w:fill="auto"/>
            <w:vAlign w:val="center"/>
          </w:tcPr>
          <w:p w14:paraId="0D56FA25">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5.20±0.02</w:t>
            </w:r>
            <w:r>
              <w:rPr>
                <w:rFonts w:hint="eastAsia"/>
                <w:sz w:val="18"/>
                <w:szCs w:val="18"/>
                <w:shd w:val="clear" w:color="auto" w:fill="FFFFFF"/>
                <w:lang w:val="en-US" w:eastAsia="zh-CN"/>
              </w:rPr>
              <w:t>a</w:t>
            </w:r>
          </w:p>
        </w:tc>
        <w:tc>
          <w:tcPr>
            <w:tcW w:w="1757" w:type="dxa"/>
            <w:tcBorders>
              <w:top w:val="single" w:color="auto" w:sz="8" w:space="0"/>
            </w:tcBorders>
            <w:shd w:val="clear" w:color="auto" w:fill="auto"/>
            <w:vAlign w:val="top"/>
          </w:tcPr>
          <w:p w14:paraId="0F4DE3CB">
            <w:pPr>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5.17±0.03</w:t>
            </w:r>
            <w:r>
              <w:rPr>
                <w:rFonts w:hint="eastAsia"/>
                <w:sz w:val="18"/>
                <w:szCs w:val="18"/>
                <w:shd w:val="clear" w:color="auto" w:fill="FFFFFF"/>
                <w:lang w:val="en-US" w:eastAsia="zh-CN"/>
              </w:rPr>
              <w:t>a</w:t>
            </w:r>
          </w:p>
        </w:tc>
      </w:tr>
      <w:tr w14:paraId="0123CB8E">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6" w:type="dxa"/>
            <w:shd w:val="clear" w:color="auto" w:fill="auto"/>
            <w:vAlign w:val="center"/>
          </w:tcPr>
          <w:p w14:paraId="3F1B0A5C">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 xml:space="preserve">乳酸 </w:t>
            </w:r>
            <w:r>
              <w:rPr>
                <w:rFonts w:hint="eastAsia"/>
                <w:sz w:val="18"/>
                <w:szCs w:val="18"/>
                <w:shd w:val="clear" w:color="auto" w:fill="FFFFFF"/>
              </w:rPr>
              <w:t>（</w:t>
            </w:r>
            <w:r>
              <w:rPr>
                <w:sz w:val="18"/>
                <w:szCs w:val="18"/>
                <w:shd w:val="clear" w:color="auto" w:fill="FFFFFF"/>
              </w:rPr>
              <w:t>g/kg DM</w:t>
            </w:r>
            <w:r>
              <w:rPr>
                <w:rFonts w:hint="eastAsia"/>
                <w:sz w:val="18"/>
                <w:szCs w:val="18"/>
                <w:shd w:val="clear" w:color="auto" w:fill="FFFFFF"/>
              </w:rPr>
              <w:t>）</w:t>
            </w:r>
          </w:p>
        </w:tc>
        <w:tc>
          <w:tcPr>
            <w:tcW w:w="2075" w:type="dxa"/>
            <w:shd w:val="clear" w:color="auto" w:fill="auto"/>
            <w:vAlign w:val="center"/>
          </w:tcPr>
          <w:p w14:paraId="31E84A6C">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11.75±4.90a</w:t>
            </w:r>
          </w:p>
        </w:tc>
        <w:tc>
          <w:tcPr>
            <w:tcW w:w="1757" w:type="dxa"/>
            <w:shd w:val="clear" w:color="auto" w:fill="auto"/>
            <w:vAlign w:val="center"/>
          </w:tcPr>
          <w:p w14:paraId="681E4158">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11.98±3.44a</w:t>
            </w:r>
          </w:p>
        </w:tc>
        <w:tc>
          <w:tcPr>
            <w:tcW w:w="1757" w:type="dxa"/>
            <w:shd w:val="clear" w:color="auto" w:fill="auto"/>
            <w:vAlign w:val="top"/>
          </w:tcPr>
          <w:p w14:paraId="1A22AF77">
            <w:pPr>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12.34±3.12a</w:t>
            </w:r>
          </w:p>
        </w:tc>
      </w:tr>
      <w:tr w14:paraId="257BA1A8">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6" w:type="dxa"/>
            <w:shd w:val="clear" w:color="auto" w:fill="auto"/>
            <w:vAlign w:val="center"/>
          </w:tcPr>
          <w:p w14:paraId="13A7DB5E">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乙酸</w:t>
            </w:r>
            <w:r>
              <w:rPr>
                <w:rFonts w:hint="eastAsia"/>
                <w:sz w:val="18"/>
                <w:szCs w:val="18"/>
                <w:shd w:val="clear" w:color="auto" w:fill="FFFFFF"/>
              </w:rPr>
              <w:t>（</w:t>
            </w:r>
            <w:r>
              <w:rPr>
                <w:sz w:val="18"/>
                <w:szCs w:val="18"/>
                <w:shd w:val="clear" w:color="auto" w:fill="FFFFFF"/>
              </w:rPr>
              <w:t>g/kg DM</w:t>
            </w:r>
            <w:r>
              <w:rPr>
                <w:rFonts w:hint="eastAsia"/>
                <w:sz w:val="18"/>
                <w:szCs w:val="18"/>
                <w:shd w:val="clear" w:color="auto" w:fill="FFFFFF"/>
              </w:rPr>
              <w:t>）</w:t>
            </w:r>
          </w:p>
        </w:tc>
        <w:tc>
          <w:tcPr>
            <w:tcW w:w="2075" w:type="dxa"/>
            <w:shd w:val="clear" w:color="auto" w:fill="auto"/>
            <w:vAlign w:val="center"/>
          </w:tcPr>
          <w:p w14:paraId="1C84FF43">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lang w:val="en-US" w:eastAsia="zh-CN"/>
              </w:rPr>
              <w:t>2</w:t>
            </w:r>
            <w:r>
              <w:rPr>
                <w:sz w:val="18"/>
                <w:szCs w:val="18"/>
                <w:shd w:val="clear" w:color="auto" w:fill="FFFFFF"/>
              </w:rPr>
              <w:t>.8±3.58b</w:t>
            </w:r>
          </w:p>
        </w:tc>
        <w:tc>
          <w:tcPr>
            <w:tcW w:w="1757" w:type="dxa"/>
            <w:shd w:val="clear" w:color="auto" w:fill="auto"/>
            <w:vAlign w:val="center"/>
          </w:tcPr>
          <w:p w14:paraId="276E6DA9">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lang w:val="en-US" w:eastAsia="zh-CN"/>
              </w:rPr>
              <w:t>2</w:t>
            </w:r>
            <w:r>
              <w:rPr>
                <w:sz w:val="18"/>
                <w:szCs w:val="18"/>
                <w:shd w:val="clear" w:color="auto" w:fill="FFFFFF"/>
              </w:rPr>
              <w:t>.99±0.79b</w:t>
            </w:r>
          </w:p>
        </w:tc>
        <w:tc>
          <w:tcPr>
            <w:tcW w:w="1757" w:type="dxa"/>
            <w:shd w:val="clear" w:color="auto" w:fill="auto"/>
            <w:vAlign w:val="top"/>
          </w:tcPr>
          <w:p w14:paraId="49FD3A8C">
            <w:pPr>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lang w:val="en-US" w:eastAsia="zh-CN"/>
              </w:rPr>
              <w:t>2</w:t>
            </w:r>
            <w:r>
              <w:rPr>
                <w:sz w:val="18"/>
                <w:szCs w:val="18"/>
                <w:shd w:val="clear" w:color="auto" w:fill="FFFFFF"/>
              </w:rPr>
              <w:t>.94±0.72a</w:t>
            </w:r>
          </w:p>
        </w:tc>
      </w:tr>
      <w:tr w14:paraId="55A37979">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6" w:type="dxa"/>
            <w:shd w:val="clear" w:color="auto" w:fill="auto"/>
            <w:vAlign w:val="center"/>
          </w:tcPr>
          <w:p w14:paraId="09A81BA3">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 xml:space="preserve">丙酸 </w:t>
            </w:r>
            <w:r>
              <w:rPr>
                <w:rFonts w:hint="eastAsia"/>
                <w:sz w:val="18"/>
                <w:szCs w:val="18"/>
                <w:shd w:val="clear" w:color="auto" w:fill="FFFFFF"/>
              </w:rPr>
              <w:t>（</w:t>
            </w:r>
            <w:r>
              <w:rPr>
                <w:sz w:val="18"/>
                <w:szCs w:val="18"/>
                <w:shd w:val="clear" w:color="auto" w:fill="FFFFFF"/>
              </w:rPr>
              <w:t>g/kg DM</w:t>
            </w:r>
            <w:r>
              <w:rPr>
                <w:rFonts w:hint="eastAsia"/>
                <w:sz w:val="18"/>
                <w:szCs w:val="18"/>
                <w:shd w:val="clear" w:color="auto" w:fill="FFFFFF"/>
              </w:rPr>
              <w:t>）</w:t>
            </w:r>
          </w:p>
        </w:tc>
        <w:tc>
          <w:tcPr>
            <w:tcW w:w="2075" w:type="dxa"/>
            <w:shd w:val="clear" w:color="auto" w:fill="auto"/>
            <w:vAlign w:val="center"/>
          </w:tcPr>
          <w:p w14:paraId="4E663EE3">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lang w:val="en-US" w:eastAsia="zh-CN"/>
              </w:rPr>
              <w:t>1</w:t>
            </w:r>
            <w:r>
              <w:rPr>
                <w:sz w:val="18"/>
                <w:szCs w:val="18"/>
                <w:shd w:val="clear" w:color="auto" w:fill="FFFFFF"/>
              </w:rPr>
              <w:t>.27±3.35b</w:t>
            </w:r>
          </w:p>
        </w:tc>
        <w:tc>
          <w:tcPr>
            <w:tcW w:w="1757" w:type="dxa"/>
            <w:shd w:val="clear" w:color="auto" w:fill="auto"/>
            <w:vAlign w:val="center"/>
          </w:tcPr>
          <w:p w14:paraId="3C086D51">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lang w:val="en-US" w:eastAsia="zh-CN"/>
              </w:rPr>
              <w:t>1</w:t>
            </w:r>
            <w:r>
              <w:rPr>
                <w:sz w:val="18"/>
                <w:szCs w:val="18"/>
                <w:shd w:val="clear" w:color="auto" w:fill="FFFFFF"/>
              </w:rPr>
              <w:t>.76±1.48a</w:t>
            </w:r>
          </w:p>
        </w:tc>
        <w:tc>
          <w:tcPr>
            <w:tcW w:w="1757" w:type="dxa"/>
            <w:shd w:val="clear" w:color="auto" w:fill="auto"/>
            <w:vAlign w:val="top"/>
          </w:tcPr>
          <w:p w14:paraId="446B3ED4">
            <w:pPr>
              <w:jc w:val="center"/>
              <w:rPr>
                <w:rFonts w:hint="eastAsia" w:ascii="Times New Roman" w:hAnsi="Times New Roman" w:eastAsia="宋体" w:cs="Times New Roman"/>
                <w:kern w:val="2"/>
                <w:sz w:val="18"/>
                <w:szCs w:val="18"/>
                <w:shd w:val="clear" w:color="auto" w:fill="FFFFFF"/>
                <w:lang w:val="en-US" w:eastAsia="zh-CN" w:bidi="ar-SA"/>
              </w:rPr>
            </w:pPr>
            <w:r>
              <w:rPr>
                <w:rFonts w:hint="eastAsia"/>
                <w:sz w:val="18"/>
                <w:szCs w:val="18"/>
                <w:shd w:val="clear" w:color="auto" w:fill="FFFFFF"/>
                <w:lang w:val="en-US" w:eastAsia="zh-CN"/>
              </w:rPr>
              <w:t>1</w:t>
            </w:r>
            <w:r>
              <w:rPr>
                <w:sz w:val="18"/>
                <w:szCs w:val="18"/>
                <w:shd w:val="clear" w:color="auto" w:fill="FFFFFF"/>
              </w:rPr>
              <w:t>.</w:t>
            </w:r>
            <w:r>
              <w:rPr>
                <w:rFonts w:hint="eastAsia"/>
                <w:sz w:val="18"/>
                <w:szCs w:val="18"/>
                <w:shd w:val="clear" w:color="auto" w:fill="FFFFFF"/>
                <w:lang w:val="en-US" w:eastAsia="zh-CN"/>
              </w:rPr>
              <w:t>5</w:t>
            </w:r>
            <w:r>
              <w:rPr>
                <w:sz w:val="18"/>
                <w:szCs w:val="18"/>
                <w:shd w:val="clear" w:color="auto" w:fill="FFFFFF"/>
              </w:rPr>
              <w:t>2±1.22b</w:t>
            </w:r>
          </w:p>
        </w:tc>
      </w:tr>
      <w:tr w14:paraId="5B899E30">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6" w:type="dxa"/>
            <w:shd w:val="clear" w:color="auto" w:fill="auto"/>
            <w:vAlign w:val="center"/>
          </w:tcPr>
          <w:p w14:paraId="44C18BD8">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 xml:space="preserve">丁酸 </w:t>
            </w:r>
            <w:r>
              <w:rPr>
                <w:rFonts w:hint="eastAsia"/>
                <w:sz w:val="18"/>
                <w:szCs w:val="18"/>
                <w:shd w:val="clear" w:color="auto" w:fill="FFFFFF"/>
              </w:rPr>
              <w:t>（</w:t>
            </w:r>
            <w:r>
              <w:rPr>
                <w:sz w:val="18"/>
                <w:szCs w:val="18"/>
                <w:shd w:val="clear" w:color="auto" w:fill="FFFFFF"/>
              </w:rPr>
              <w:t>g/kg DM</w:t>
            </w:r>
            <w:r>
              <w:rPr>
                <w:rFonts w:hint="eastAsia"/>
                <w:sz w:val="18"/>
                <w:szCs w:val="18"/>
                <w:shd w:val="clear" w:color="auto" w:fill="FFFFFF"/>
              </w:rPr>
              <w:t>）</w:t>
            </w:r>
          </w:p>
        </w:tc>
        <w:tc>
          <w:tcPr>
            <w:tcW w:w="2075" w:type="dxa"/>
            <w:shd w:val="clear" w:color="auto" w:fill="auto"/>
            <w:vAlign w:val="center"/>
          </w:tcPr>
          <w:p w14:paraId="7FAEC5B6">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ND</w:t>
            </w:r>
          </w:p>
        </w:tc>
        <w:tc>
          <w:tcPr>
            <w:tcW w:w="1757" w:type="dxa"/>
            <w:shd w:val="clear" w:color="auto" w:fill="auto"/>
            <w:vAlign w:val="center"/>
          </w:tcPr>
          <w:p w14:paraId="3FF4A65E">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ND</w:t>
            </w:r>
          </w:p>
        </w:tc>
        <w:tc>
          <w:tcPr>
            <w:tcW w:w="1757" w:type="dxa"/>
            <w:shd w:val="clear" w:color="auto" w:fill="auto"/>
            <w:vAlign w:val="top"/>
          </w:tcPr>
          <w:p w14:paraId="4E247493">
            <w:pPr>
              <w:jc w:val="center"/>
              <w:rPr>
                <w:rFonts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ND</w:t>
            </w:r>
          </w:p>
        </w:tc>
      </w:tr>
      <w:tr w14:paraId="6531AA05">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36" w:type="dxa"/>
            <w:shd w:val="clear" w:color="auto" w:fill="auto"/>
            <w:vAlign w:val="center"/>
          </w:tcPr>
          <w:p w14:paraId="1B4ED45D">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氨态氮</w:t>
            </w:r>
            <w:r>
              <w:rPr>
                <w:rFonts w:hint="eastAsia"/>
                <w:sz w:val="18"/>
                <w:szCs w:val="18"/>
                <w:shd w:val="clear" w:color="auto" w:fill="FFFFFF"/>
              </w:rPr>
              <w:t xml:space="preserve"> （</w:t>
            </w:r>
            <w:r>
              <w:rPr>
                <w:sz w:val="18"/>
                <w:szCs w:val="18"/>
                <w:shd w:val="clear" w:color="auto" w:fill="FFFFFF"/>
              </w:rPr>
              <w:t>%TN</w:t>
            </w:r>
            <w:r>
              <w:rPr>
                <w:rFonts w:hint="eastAsia"/>
                <w:sz w:val="18"/>
                <w:szCs w:val="18"/>
                <w:shd w:val="clear" w:color="auto" w:fill="FFFFFF"/>
              </w:rPr>
              <w:t>）</w:t>
            </w:r>
          </w:p>
        </w:tc>
        <w:tc>
          <w:tcPr>
            <w:tcW w:w="2075" w:type="dxa"/>
            <w:shd w:val="clear" w:color="auto" w:fill="auto"/>
            <w:vAlign w:val="center"/>
          </w:tcPr>
          <w:p w14:paraId="64FE5F0D">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5.05</w:t>
            </w:r>
            <w:r>
              <w:rPr>
                <w:sz w:val="18"/>
                <w:szCs w:val="18"/>
              </w:rPr>
              <w:t>±0.32</w:t>
            </w:r>
            <w:r>
              <w:rPr>
                <w:sz w:val="18"/>
                <w:szCs w:val="18"/>
                <w:shd w:val="clear" w:color="auto" w:fill="FFFFFF"/>
              </w:rPr>
              <w:t xml:space="preserve"> a</w:t>
            </w:r>
          </w:p>
        </w:tc>
        <w:tc>
          <w:tcPr>
            <w:tcW w:w="1757" w:type="dxa"/>
            <w:shd w:val="clear" w:color="auto" w:fill="auto"/>
            <w:vAlign w:val="center"/>
          </w:tcPr>
          <w:p w14:paraId="368F94B3">
            <w:pPr>
              <w:spacing w:line="240" w:lineRule="auto"/>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4.</w:t>
            </w:r>
            <w:r>
              <w:rPr>
                <w:rFonts w:hint="eastAsia"/>
                <w:sz w:val="18"/>
                <w:szCs w:val="18"/>
                <w:shd w:val="clear" w:color="auto" w:fill="FFFFFF"/>
              </w:rPr>
              <w:t>5</w:t>
            </w:r>
            <w:r>
              <w:rPr>
                <w:sz w:val="18"/>
                <w:szCs w:val="18"/>
                <w:shd w:val="clear" w:color="auto" w:fill="FFFFFF"/>
              </w:rPr>
              <w:t>6</w:t>
            </w:r>
            <w:r>
              <w:rPr>
                <w:sz w:val="18"/>
                <w:szCs w:val="18"/>
              </w:rPr>
              <w:t>±0.30</w:t>
            </w:r>
            <w:r>
              <w:rPr>
                <w:sz w:val="18"/>
                <w:szCs w:val="18"/>
                <w:shd w:val="clear" w:color="auto" w:fill="FFFFFF"/>
              </w:rPr>
              <w:t>b</w:t>
            </w:r>
          </w:p>
        </w:tc>
        <w:tc>
          <w:tcPr>
            <w:tcW w:w="1757" w:type="dxa"/>
            <w:shd w:val="clear" w:color="auto" w:fill="auto"/>
            <w:vAlign w:val="top"/>
          </w:tcPr>
          <w:p w14:paraId="6C73082F">
            <w:pPr>
              <w:jc w:val="center"/>
              <w:rPr>
                <w:rFonts w:hint="eastAsia" w:ascii="Times New Roman" w:hAnsi="Times New Roman" w:eastAsia="宋体" w:cs="Times New Roman"/>
                <w:kern w:val="2"/>
                <w:sz w:val="18"/>
                <w:szCs w:val="18"/>
                <w:shd w:val="clear" w:color="auto" w:fill="FFFFFF"/>
                <w:lang w:val="en-US" w:eastAsia="zh-CN" w:bidi="ar-SA"/>
              </w:rPr>
            </w:pPr>
            <w:r>
              <w:rPr>
                <w:sz w:val="18"/>
                <w:szCs w:val="18"/>
                <w:shd w:val="clear" w:color="auto" w:fill="FFFFFF"/>
              </w:rPr>
              <w:t>4.</w:t>
            </w:r>
            <w:r>
              <w:rPr>
                <w:rFonts w:hint="eastAsia"/>
                <w:sz w:val="18"/>
                <w:szCs w:val="18"/>
                <w:shd w:val="clear" w:color="auto" w:fill="FFFFFF"/>
              </w:rPr>
              <w:t>3</w:t>
            </w:r>
            <w:r>
              <w:rPr>
                <w:sz w:val="18"/>
                <w:szCs w:val="18"/>
                <w:shd w:val="clear" w:color="auto" w:fill="FFFFFF"/>
              </w:rPr>
              <w:t>1</w:t>
            </w:r>
            <w:r>
              <w:rPr>
                <w:sz w:val="18"/>
                <w:szCs w:val="18"/>
              </w:rPr>
              <w:t>±0.50</w:t>
            </w:r>
            <w:r>
              <w:rPr>
                <w:sz w:val="18"/>
                <w:szCs w:val="18"/>
                <w:shd w:val="clear" w:color="auto" w:fill="FFFFFF"/>
              </w:rPr>
              <w:t>b</w:t>
            </w:r>
          </w:p>
        </w:tc>
      </w:tr>
    </w:tbl>
    <w:p w14:paraId="65C0E1E4">
      <w:pPr>
        <w:spacing w:line="360" w:lineRule="auto"/>
        <w:ind w:firstLine="400" w:firstLineChars="200"/>
        <w:jc w:val="left"/>
        <w:rPr>
          <w:rFonts w:hint="eastAsia"/>
          <w:sz w:val="20"/>
          <w:szCs w:val="22"/>
          <w:lang w:val="en-US" w:eastAsia="zh-CN"/>
        </w:rPr>
      </w:pPr>
      <w:r>
        <w:rPr>
          <w:rFonts w:hint="eastAsia" w:ascii="Times New Roman" w:eastAsia="宋体"/>
          <w:sz w:val="20"/>
          <w:szCs w:val="22"/>
          <w:lang w:val="en-US" w:eastAsia="zh-CN"/>
        </w:rPr>
        <w:t>注：DM为干物质；TN为总氮；ND为未检出。</w:t>
      </w:r>
    </w:p>
    <w:p w14:paraId="1C4189B9">
      <w:pPr>
        <w:numPr>
          <w:ilvl w:val="0"/>
          <w:numId w:val="0"/>
        </w:numPr>
        <w:ind w:firstLine="440" w:firstLineChars="200"/>
        <w:rPr>
          <w:sz w:val="22"/>
          <w:szCs w:val="20"/>
        </w:rPr>
      </w:pPr>
      <w:r>
        <w:rPr>
          <w:rFonts w:hint="eastAsia"/>
          <w:sz w:val="22"/>
          <w:szCs w:val="20"/>
          <w:lang w:val="en-US" w:eastAsia="zh-CN"/>
        </w:rPr>
        <w:t xml:space="preserve">4.3 </w:t>
      </w:r>
      <w:r>
        <w:rPr>
          <w:rFonts w:hint="eastAsia"/>
          <w:sz w:val="22"/>
          <w:szCs w:val="20"/>
        </w:rPr>
        <w:t>水分测定</w:t>
      </w:r>
    </w:p>
    <w:p w14:paraId="569D30AD">
      <w:pPr>
        <w:spacing w:line="360" w:lineRule="auto"/>
        <w:ind w:firstLine="440" w:firstLineChars="200"/>
        <w:rPr>
          <w:rFonts w:hint="eastAsia"/>
          <w:sz w:val="22"/>
          <w:szCs w:val="20"/>
          <w:lang w:val="en-US" w:eastAsia="zh-CN"/>
        </w:rPr>
      </w:pPr>
      <w:r>
        <w:rPr>
          <w:rFonts w:hint="eastAsia"/>
          <w:sz w:val="22"/>
          <w:szCs w:val="20"/>
          <w:lang w:val="en-US" w:eastAsia="zh-CN"/>
        </w:rPr>
        <w:t>本文件规定青贮原料含水量控制在60%</w:t>
      </w:r>
      <w:r>
        <w:rPr>
          <w:rFonts w:ascii="宋体" w:hAnsi="宋体" w:eastAsia="宋体" w:cs="宋体"/>
          <w:sz w:val="22"/>
          <w:szCs w:val="22"/>
        </w:rPr>
        <w:t>～</w:t>
      </w:r>
      <w:r>
        <w:rPr>
          <w:rFonts w:hint="eastAsia"/>
          <w:sz w:val="22"/>
          <w:szCs w:val="20"/>
          <w:lang w:val="en-US" w:eastAsia="zh-CN"/>
        </w:rPr>
        <w:t>70%。</w:t>
      </w:r>
    </w:p>
    <w:p w14:paraId="7F021D92">
      <w:pPr>
        <w:spacing w:line="360" w:lineRule="auto"/>
        <w:ind w:firstLine="440" w:firstLineChars="200"/>
        <w:rPr>
          <w:rFonts w:hint="eastAsia"/>
          <w:sz w:val="22"/>
          <w:szCs w:val="20"/>
          <w:lang w:val="en-US" w:eastAsia="zh-CN"/>
        </w:rPr>
      </w:pPr>
      <w:r>
        <w:rPr>
          <w:rFonts w:hint="eastAsia"/>
          <w:sz w:val="22"/>
          <w:szCs w:val="20"/>
          <w:lang w:val="en-US" w:eastAsia="zh-CN"/>
        </w:rPr>
        <w:t>验证依据：本项目组开展了不同水分梯度（70%、85%）的对比试验（见表3和表4）。尽管实验室袋装条件下两者发酵品质差异不显著，但在实际规模化生产中，高水分（</w:t>
      </w:r>
      <w:r>
        <w:rPr>
          <w:rFonts w:hint="default" w:ascii="Times New Roman" w:hAnsi="Times New Roman" w:eastAsia="宋体" w:cs="Times New Roman"/>
          <w:sz w:val="22"/>
          <w:szCs w:val="22"/>
        </w:rPr>
        <w:t>＞75%</w:t>
      </w:r>
      <w:r>
        <w:rPr>
          <w:rFonts w:hint="eastAsia"/>
          <w:sz w:val="22"/>
          <w:szCs w:val="20"/>
          <w:lang w:val="en-US" w:eastAsia="zh-CN"/>
        </w:rPr>
        <w:t>）极易导致以下问题：一是产生大量渗出液，造成养分流失并污染环境；二是由于茶树枝叶纤维硬度大，高水分易导致裹包变形或窖底腐败。因此，结合试验结果与青贮实践经验，将水分上限设定为70%。</w:t>
      </w:r>
    </w:p>
    <w:p w14:paraId="569E139C">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jc w:val="center"/>
        <w:textAlignment w:val="auto"/>
        <w:rPr>
          <w:b/>
          <w:bCs/>
          <w:sz w:val="21"/>
          <w:szCs w:val="21"/>
        </w:rPr>
      </w:pPr>
      <w:r>
        <w:rPr>
          <w:rFonts w:hint="eastAsia"/>
          <w:b/>
          <w:bCs/>
          <w:sz w:val="21"/>
          <w:szCs w:val="21"/>
        </w:rPr>
        <w:t>表3 不同添加剂处理下不同水分含量茶树枝叶营养成分</w:t>
      </w:r>
    </w:p>
    <w:tbl>
      <w:tblPr>
        <w:tblStyle w:val="1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07"/>
        <w:gridCol w:w="1612"/>
        <w:gridCol w:w="2268"/>
        <w:gridCol w:w="1134"/>
      </w:tblGrid>
      <w:tr w14:paraId="6DB00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tcBorders>
              <w:top w:val="single" w:color="auto" w:sz="8" w:space="0"/>
              <w:bottom w:val="single" w:color="auto" w:sz="8" w:space="0"/>
            </w:tcBorders>
            <w:vAlign w:val="center"/>
          </w:tcPr>
          <w:p w14:paraId="096325EF">
            <w:pPr>
              <w:spacing w:line="240" w:lineRule="auto"/>
              <w:jc w:val="center"/>
              <w:rPr>
                <w:rFonts w:hint="eastAsia" w:eastAsia="宋体"/>
                <w:b/>
                <w:bCs/>
                <w:szCs w:val="21"/>
                <w:lang w:eastAsia="zh-CN"/>
              </w:rPr>
            </w:pPr>
            <w:r>
              <w:rPr>
                <w:rFonts w:hint="eastAsia"/>
                <w:color w:val="000000"/>
                <w:spacing w:val="20"/>
                <w:kern w:val="0"/>
                <w:sz w:val="18"/>
                <w:szCs w:val="18"/>
                <w:shd w:val="clear" w:color="auto" w:fill="FFFFFF"/>
                <w:lang w:val="en-US" w:eastAsia="zh-CN" w:bidi="ar"/>
              </w:rPr>
              <w:t>项目</w:t>
            </w:r>
          </w:p>
        </w:tc>
        <w:tc>
          <w:tcPr>
            <w:tcW w:w="1612" w:type="dxa"/>
            <w:tcBorders>
              <w:top w:val="single" w:color="auto" w:sz="8" w:space="0"/>
              <w:bottom w:val="single" w:color="auto" w:sz="8" w:space="0"/>
            </w:tcBorders>
            <w:vAlign w:val="center"/>
          </w:tcPr>
          <w:p w14:paraId="3BB308A2">
            <w:pPr>
              <w:spacing w:line="240" w:lineRule="auto"/>
              <w:jc w:val="center"/>
              <w:rPr>
                <w:rFonts w:hint="eastAsia" w:eastAsia="宋体"/>
                <w:b/>
                <w:bCs/>
                <w:szCs w:val="21"/>
                <w:lang w:eastAsia="zh-CN"/>
              </w:rPr>
            </w:pPr>
            <w:r>
              <w:rPr>
                <w:rFonts w:hint="eastAsia"/>
                <w:color w:val="000000"/>
                <w:spacing w:val="20"/>
                <w:kern w:val="0"/>
                <w:sz w:val="18"/>
                <w:szCs w:val="18"/>
                <w:shd w:val="clear" w:color="auto" w:fill="FFFFFF"/>
                <w:lang w:val="en-US" w:eastAsia="zh-CN" w:bidi="ar"/>
              </w:rPr>
              <w:t>处理</w:t>
            </w:r>
          </w:p>
        </w:tc>
        <w:tc>
          <w:tcPr>
            <w:tcW w:w="2268" w:type="dxa"/>
            <w:tcBorders>
              <w:top w:val="single" w:color="auto" w:sz="8" w:space="0"/>
              <w:bottom w:val="single" w:color="auto" w:sz="8" w:space="0"/>
            </w:tcBorders>
            <w:vAlign w:val="center"/>
          </w:tcPr>
          <w:p w14:paraId="5E5EFB47">
            <w:pPr>
              <w:spacing w:line="240" w:lineRule="auto"/>
              <w:jc w:val="center"/>
              <w:rPr>
                <w:rFonts w:hint="default" w:eastAsia="宋体"/>
                <w:b/>
                <w:bCs/>
                <w:szCs w:val="21"/>
                <w:lang w:val="en-US" w:eastAsia="zh-CN"/>
              </w:rPr>
            </w:pPr>
            <w:r>
              <w:rPr>
                <w:rFonts w:hint="eastAsia"/>
                <w:color w:val="000000"/>
                <w:spacing w:val="20"/>
                <w:kern w:val="0"/>
                <w:sz w:val="18"/>
                <w:szCs w:val="18"/>
                <w:shd w:val="clear" w:color="auto" w:fill="FFFFFF"/>
                <w:lang w:val="en-US" w:eastAsia="zh-CN" w:bidi="ar"/>
              </w:rPr>
              <w:t>70%</w:t>
            </w:r>
          </w:p>
        </w:tc>
        <w:tc>
          <w:tcPr>
            <w:tcW w:w="1134" w:type="dxa"/>
            <w:tcBorders>
              <w:top w:val="single" w:color="auto" w:sz="8" w:space="0"/>
              <w:bottom w:val="single" w:color="auto" w:sz="8" w:space="0"/>
            </w:tcBorders>
            <w:vAlign w:val="center"/>
          </w:tcPr>
          <w:p w14:paraId="7CDAB71E">
            <w:pPr>
              <w:spacing w:line="240" w:lineRule="auto"/>
              <w:jc w:val="center"/>
              <w:rPr>
                <w:rFonts w:hint="default" w:eastAsia="宋体"/>
                <w:b/>
                <w:bCs/>
                <w:szCs w:val="21"/>
                <w:lang w:val="en-US" w:eastAsia="zh-CN"/>
              </w:rPr>
            </w:pPr>
            <w:r>
              <w:rPr>
                <w:rFonts w:hint="eastAsia"/>
                <w:color w:val="000000"/>
                <w:spacing w:val="20"/>
                <w:kern w:val="0"/>
                <w:sz w:val="18"/>
                <w:szCs w:val="18"/>
                <w:shd w:val="clear" w:color="auto" w:fill="FFFFFF"/>
                <w:lang w:val="en-US" w:eastAsia="zh-CN" w:bidi="ar"/>
              </w:rPr>
              <w:t>85%</w:t>
            </w:r>
          </w:p>
        </w:tc>
      </w:tr>
      <w:tr w14:paraId="7A264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restart"/>
            <w:tcBorders>
              <w:top w:val="single" w:color="auto" w:sz="8" w:space="0"/>
            </w:tcBorders>
            <w:vAlign w:val="center"/>
          </w:tcPr>
          <w:p w14:paraId="14599AEA">
            <w:pPr>
              <w:adjustRightInd w:val="0"/>
              <w:snapToGrid w:val="0"/>
              <w:spacing w:line="240" w:lineRule="auto"/>
              <w:jc w:val="center"/>
              <w:rPr>
                <w:rFonts w:hint="default"/>
                <w:sz w:val="18"/>
                <w:szCs w:val="18"/>
                <w:lang w:val="en-US"/>
              </w:rPr>
            </w:pPr>
            <w:r>
              <w:rPr>
                <w:rFonts w:hint="eastAsia"/>
                <w:sz w:val="18"/>
                <w:szCs w:val="18"/>
                <w:lang w:val="en-US" w:eastAsia="zh-CN"/>
              </w:rPr>
              <w:t>干物质DM</w:t>
            </w:r>
          </w:p>
          <w:p w14:paraId="4C98C6F8">
            <w:pPr>
              <w:spacing w:line="240" w:lineRule="auto"/>
              <w:jc w:val="center"/>
              <w:rPr>
                <w:b/>
                <w:bCs/>
                <w:szCs w:val="21"/>
              </w:rPr>
            </w:pPr>
            <w:r>
              <w:rPr>
                <w:sz w:val="18"/>
                <w:szCs w:val="18"/>
              </w:rPr>
              <w:t>(g kg</w:t>
            </w:r>
            <w:r>
              <w:rPr>
                <w:sz w:val="18"/>
                <w:szCs w:val="18"/>
                <w:vertAlign w:val="superscript"/>
              </w:rPr>
              <w:t xml:space="preserve">-1 </w:t>
            </w:r>
            <w:r>
              <w:rPr>
                <w:sz w:val="18"/>
                <w:szCs w:val="18"/>
              </w:rPr>
              <w:t>FW)</w:t>
            </w:r>
          </w:p>
        </w:tc>
        <w:tc>
          <w:tcPr>
            <w:tcW w:w="1612" w:type="dxa"/>
            <w:tcBorders>
              <w:top w:val="single" w:color="auto" w:sz="8" w:space="0"/>
            </w:tcBorders>
            <w:vAlign w:val="center"/>
          </w:tcPr>
          <w:p w14:paraId="1C15E845">
            <w:pPr>
              <w:spacing w:line="240" w:lineRule="auto"/>
              <w:jc w:val="center"/>
              <w:rPr>
                <w:b/>
                <w:bCs/>
                <w:szCs w:val="21"/>
              </w:rPr>
            </w:pPr>
            <w:r>
              <w:rPr>
                <w:color w:val="000000"/>
                <w:kern w:val="0"/>
                <w:sz w:val="18"/>
                <w:szCs w:val="18"/>
                <w:lang w:bidi="ar"/>
              </w:rPr>
              <w:t>P</w:t>
            </w:r>
            <w:r>
              <w:rPr>
                <w:rStyle w:val="26"/>
                <w:sz w:val="18"/>
                <w:szCs w:val="18"/>
                <w:lang w:bidi="ar"/>
              </w:rPr>
              <w:t>1</w:t>
            </w:r>
          </w:p>
        </w:tc>
        <w:tc>
          <w:tcPr>
            <w:tcW w:w="2268" w:type="dxa"/>
            <w:tcBorders>
              <w:top w:val="single" w:color="auto" w:sz="8" w:space="0"/>
            </w:tcBorders>
            <w:vAlign w:val="center"/>
          </w:tcPr>
          <w:p w14:paraId="0F7C602F">
            <w:pPr>
              <w:spacing w:line="240" w:lineRule="auto"/>
              <w:jc w:val="center"/>
              <w:rPr>
                <w:b/>
                <w:bCs/>
                <w:szCs w:val="21"/>
              </w:rPr>
            </w:pPr>
            <w:r>
              <w:rPr>
                <w:color w:val="000000"/>
                <w:kern w:val="0"/>
                <w:sz w:val="18"/>
                <w:szCs w:val="18"/>
                <w:lang w:bidi="ar"/>
              </w:rPr>
              <w:t>248.7 AB</w:t>
            </w:r>
          </w:p>
        </w:tc>
        <w:tc>
          <w:tcPr>
            <w:tcW w:w="1134" w:type="dxa"/>
            <w:tcBorders>
              <w:top w:val="single" w:color="auto" w:sz="8" w:space="0"/>
            </w:tcBorders>
            <w:vAlign w:val="center"/>
          </w:tcPr>
          <w:p w14:paraId="318298A2">
            <w:pPr>
              <w:spacing w:line="240" w:lineRule="auto"/>
              <w:jc w:val="center"/>
              <w:rPr>
                <w:b/>
                <w:bCs/>
                <w:szCs w:val="21"/>
              </w:rPr>
            </w:pPr>
            <w:r>
              <w:rPr>
                <w:color w:val="000000"/>
                <w:kern w:val="0"/>
                <w:sz w:val="18"/>
                <w:szCs w:val="18"/>
                <w:lang w:bidi="ar"/>
              </w:rPr>
              <w:t>231.1</w:t>
            </w:r>
          </w:p>
        </w:tc>
      </w:tr>
      <w:tr w14:paraId="68D96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28E97538">
            <w:pPr>
              <w:spacing w:line="240" w:lineRule="auto"/>
              <w:jc w:val="center"/>
              <w:rPr>
                <w:b/>
                <w:bCs/>
                <w:szCs w:val="21"/>
              </w:rPr>
            </w:pPr>
          </w:p>
        </w:tc>
        <w:tc>
          <w:tcPr>
            <w:tcW w:w="1612" w:type="dxa"/>
            <w:vAlign w:val="center"/>
          </w:tcPr>
          <w:p w14:paraId="1F42BC7D">
            <w:pPr>
              <w:spacing w:line="240" w:lineRule="auto"/>
              <w:jc w:val="center"/>
              <w:rPr>
                <w:b/>
                <w:bCs/>
                <w:szCs w:val="21"/>
              </w:rPr>
            </w:pPr>
            <w:r>
              <w:rPr>
                <w:color w:val="000000"/>
                <w:kern w:val="0"/>
                <w:sz w:val="18"/>
                <w:szCs w:val="18"/>
                <w:lang w:bidi="ar"/>
              </w:rPr>
              <w:t>P</w:t>
            </w:r>
            <w:r>
              <w:rPr>
                <w:rStyle w:val="26"/>
                <w:sz w:val="18"/>
                <w:szCs w:val="18"/>
                <w:lang w:bidi="ar"/>
              </w:rPr>
              <w:t>2</w:t>
            </w:r>
          </w:p>
        </w:tc>
        <w:tc>
          <w:tcPr>
            <w:tcW w:w="2268" w:type="dxa"/>
            <w:vAlign w:val="center"/>
          </w:tcPr>
          <w:p w14:paraId="5E45C466">
            <w:pPr>
              <w:spacing w:line="240" w:lineRule="auto"/>
              <w:jc w:val="center"/>
              <w:rPr>
                <w:b/>
                <w:bCs/>
                <w:szCs w:val="21"/>
              </w:rPr>
            </w:pPr>
            <w:r>
              <w:rPr>
                <w:color w:val="000000"/>
                <w:kern w:val="0"/>
                <w:sz w:val="18"/>
                <w:szCs w:val="18"/>
                <w:lang w:bidi="ar"/>
              </w:rPr>
              <w:t>262.4 A</w:t>
            </w:r>
          </w:p>
        </w:tc>
        <w:tc>
          <w:tcPr>
            <w:tcW w:w="1134" w:type="dxa"/>
            <w:vAlign w:val="center"/>
          </w:tcPr>
          <w:p w14:paraId="358C77B7">
            <w:pPr>
              <w:spacing w:line="240" w:lineRule="auto"/>
              <w:jc w:val="center"/>
              <w:rPr>
                <w:b/>
                <w:bCs/>
                <w:szCs w:val="21"/>
              </w:rPr>
            </w:pPr>
            <w:r>
              <w:rPr>
                <w:color w:val="000000"/>
                <w:kern w:val="0"/>
                <w:sz w:val="18"/>
                <w:szCs w:val="18"/>
                <w:lang w:bidi="ar"/>
              </w:rPr>
              <w:t>239.0</w:t>
            </w:r>
          </w:p>
        </w:tc>
      </w:tr>
      <w:tr w14:paraId="00282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778003C8">
            <w:pPr>
              <w:spacing w:line="240" w:lineRule="auto"/>
              <w:jc w:val="center"/>
              <w:rPr>
                <w:b/>
                <w:bCs/>
                <w:szCs w:val="21"/>
              </w:rPr>
            </w:pPr>
          </w:p>
        </w:tc>
        <w:tc>
          <w:tcPr>
            <w:tcW w:w="1612" w:type="dxa"/>
            <w:vAlign w:val="center"/>
          </w:tcPr>
          <w:p w14:paraId="051E0EE3">
            <w:pPr>
              <w:spacing w:line="240" w:lineRule="auto"/>
              <w:jc w:val="center"/>
              <w:rPr>
                <w:b/>
                <w:bCs/>
                <w:szCs w:val="21"/>
              </w:rPr>
            </w:pPr>
            <w:r>
              <w:rPr>
                <w:color w:val="000000"/>
                <w:kern w:val="0"/>
                <w:sz w:val="18"/>
                <w:szCs w:val="18"/>
                <w:lang w:bidi="ar"/>
              </w:rPr>
              <w:t>P</w:t>
            </w:r>
            <w:r>
              <w:rPr>
                <w:rStyle w:val="26"/>
                <w:sz w:val="18"/>
                <w:szCs w:val="18"/>
                <w:lang w:bidi="ar"/>
              </w:rPr>
              <w:t>1</w:t>
            </w:r>
            <w:r>
              <w:rPr>
                <w:rStyle w:val="18"/>
                <w:sz w:val="18"/>
                <w:szCs w:val="18"/>
                <w:lang w:bidi="ar"/>
              </w:rPr>
              <w:t>L</w:t>
            </w:r>
          </w:p>
        </w:tc>
        <w:tc>
          <w:tcPr>
            <w:tcW w:w="2268" w:type="dxa"/>
            <w:vAlign w:val="center"/>
          </w:tcPr>
          <w:p w14:paraId="6D2DDE6C">
            <w:pPr>
              <w:spacing w:line="240" w:lineRule="auto"/>
              <w:jc w:val="center"/>
              <w:rPr>
                <w:b/>
                <w:bCs/>
                <w:szCs w:val="21"/>
              </w:rPr>
            </w:pPr>
            <w:r>
              <w:rPr>
                <w:color w:val="000000"/>
                <w:kern w:val="0"/>
                <w:sz w:val="18"/>
                <w:szCs w:val="18"/>
                <w:lang w:bidi="ar"/>
              </w:rPr>
              <w:t>238.3 B</w:t>
            </w:r>
          </w:p>
        </w:tc>
        <w:tc>
          <w:tcPr>
            <w:tcW w:w="1134" w:type="dxa"/>
            <w:vAlign w:val="center"/>
          </w:tcPr>
          <w:p w14:paraId="13BACBC6">
            <w:pPr>
              <w:spacing w:line="240" w:lineRule="auto"/>
              <w:jc w:val="center"/>
              <w:rPr>
                <w:b/>
                <w:bCs/>
                <w:szCs w:val="21"/>
              </w:rPr>
            </w:pPr>
            <w:r>
              <w:rPr>
                <w:color w:val="000000"/>
                <w:kern w:val="0"/>
                <w:sz w:val="18"/>
                <w:szCs w:val="18"/>
                <w:lang w:bidi="ar"/>
              </w:rPr>
              <w:t>233.2</w:t>
            </w:r>
          </w:p>
        </w:tc>
      </w:tr>
      <w:tr w14:paraId="49D3F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203435A9">
            <w:pPr>
              <w:spacing w:line="240" w:lineRule="auto"/>
              <w:jc w:val="center"/>
              <w:rPr>
                <w:b/>
                <w:bCs/>
                <w:szCs w:val="21"/>
              </w:rPr>
            </w:pPr>
          </w:p>
        </w:tc>
        <w:tc>
          <w:tcPr>
            <w:tcW w:w="1612" w:type="dxa"/>
            <w:vAlign w:val="center"/>
          </w:tcPr>
          <w:p w14:paraId="0DFB506B">
            <w:pPr>
              <w:spacing w:line="240" w:lineRule="auto"/>
              <w:jc w:val="center"/>
              <w:rPr>
                <w:b/>
                <w:bCs/>
                <w:szCs w:val="21"/>
              </w:rPr>
            </w:pPr>
            <w:r>
              <w:rPr>
                <w:color w:val="000000"/>
                <w:kern w:val="0"/>
                <w:sz w:val="18"/>
                <w:szCs w:val="18"/>
                <w:lang w:bidi="ar"/>
              </w:rPr>
              <w:t>P</w:t>
            </w:r>
            <w:r>
              <w:rPr>
                <w:rStyle w:val="26"/>
                <w:sz w:val="18"/>
                <w:szCs w:val="18"/>
                <w:lang w:bidi="ar"/>
              </w:rPr>
              <w:t>2</w:t>
            </w:r>
            <w:r>
              <w:rPr>
                <w:rStyle w:val="18"/>
                <w:sz w:val="18"/>
                <w:szCs w:val="18"/>
                <w:lang w:bidi="ar"/>
              </w:rPr>
              <w:t>L</w:t>
            </w:r>
          </w:p>
        </w:tc>
        <w:tc>
          <w:tcPr>
            <w:tcW w:w="2268" w:type="dxa"/>
            <w:vAlign w:val="center"/>
          </w:tcPr>
          <w:p w14:paraId="7D48C753">
            <w:pPr>
              <w:spacing w:line="240" w:lineRule="auto"/>
              <w:jc w:val="center"/>
              <w:rPr>
                <w:b/>
                <w:bCs/>
                <w:szCs w:val="21"/>
              </w:rPr>
            </w:pPr>
            <w:r>
              <w:rPr>
                <w:color w:val="000000"/>
                <w:kern w:val="0"/>
                <w:sz w:val="18"/>
                <w:szCs w:val="18"/>
                <w:lang w:bidi="ar"/>
              </w:rPr>
              <w:t>235.5 B</w:t>
            </w:r>
          </w:p>
        </w:tc>
        <w:tc>
          <w:tcPr>
            <w:tcW w:w="1134" w:type="dxa"/>
            <w:vAlign w:val="center"/>
          </w:tcPr>
          <w:p w14:paraId="6C13ACAB">
            <w:pPr>
              <w:spacing w:line="240" w:lineRule="auto"/>
              <w:jc w:val="center"/>
              <w:rPr>
                <w:b/>
                <w:bCs/>
                <w:szCs w:val="21"/>
              </w:rPr>
            </w:pPr>
            <w:r>
              <w:rPr>
                <w:color w:val="000000"/>
                <w:kern w:val="0"/>
                <w:sz w:val="18"/>
                <w:szCs w:val="18"/>
                <w:lang w:bidi="ar"/>
              </w:rPr>
              <w:t>231.3</w:t>
            </w:r>
          </w:p>
        </w:tc>
      </w:tr>
      <w:tr w14:paraId="2F682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64A3A3B2">
            <w:pPr>
              <w:spacing w:line="240" w:lineRule="auto"/>
              <w:jc w:val="center"/>
              <w:rPr>
                <w:b/>
                <w:bCs/>
                <w:szCs w:val="21"/>
              </w:rPr>
            </w:pPr>
          </w:p>
        </w:tc>
        <w:tc>
          <w:tcPr>
            <w:tcW w:w="1612" w:type="dxa"/>
            <w:vAlign w:val="center"/>
          </w:tcPr>
          <w:p w14:paraId="74CBDE65">
            <w:pPr>
              <w:spacing w:line="240" w:lineRule="auto"/>
              <w:jc w:val="center"/>
              <w:rPr>
                <w:b/>
                <w:bCs/>
                <w:szCs w:val="21"/>
              </w:rPr>
            </w:pPr>
            <w:r>
              <w:rPr>
                <w:rFonts w:hint="eastAsia"/>
                <w:color w:val="000000"/>
                <w:kern w:val="0"/>
                <w:sz w:val="18"/>
                <w:szCs w:val="18"/>
                <w:lang w:bidi="ar"/>
              </w:rPr>
              <w:t>CK</w:t>
            </w:r>
          </w:p>
        </w:tc>
        <w:tc>
          <w:tcPr>
            <w:tcW w:w="2268" w:type="dxa"/>
            <w:vAlign w:val="center"/>
          </w:tcPr>
          <w:p w14:paraId="4C1FB6C3">
            <w:pPr>
              <w:spacing w:line="240" w:lineRule="auto"/>
              <w:jc w:val="center"/>
              <w:rPr>
                <w:b/>
                <w:bCs/>
                <w:szCs w:val="21"/>
              </w:rPr>
            </w:pPr>
            <w:r>
              <w:rPr>
                <w:color w:val="000000"/>
                <w:kern w:val="0"/>
                <w:sz w:val="18"/>
                <w:szCs w:val="18"/>
                <w:lang w:bidi="ar"/>
              </w:rPr>
              <w:t>238.0 B</w:t>
            </w:r>
          </w:p>
        </w:tc>
        <w:tc>
          <w:tcPr>
            <w:tcW w:w="1134" w:type="dxa"/>
            <w:vAlign w:val="center"/>
          </w:tcPr>
          <w:p w14:paraId="77B32A3B">
            <w:pPr>
              <w:spacing w:line="240" w:lineRule="auto"/>
              <w:jc w:val="center"/>
              <w:rPr>
                <w:b/>
                <w:bCs/>
                <w:szCs w:val="21"/>
              </w:rPr>
            </w:pPr>
            <w:r>
              <w:rPr>
                <w:color w:val="000000"/>
                <w:kern w:val="0"/>
                <w:sz w:val="18"/>
                <w:szCs w:val="18"/>
                <w:lang w:bidi="ar"/>
              </w:rPr>
              <w:t>234.4</w:t>
            </w:r>
          </w:p>
        </w:tc>
      </w:tr>
      <w:tr w14:paraId="17C14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restart"/>
            <w:vAlign w:val="center"/>
          </w:tcPr>
          <w:p w14:paraId="7564C64A">
            <w:pPr>
              <w:adjustRightInd w:val="0"/>
              <w:snapToGrid w:val="0"/>
              <w:spacing w:line="240" w:lineRule="auto"/>
              <w:jc w:val="center"/>
              <w:rPr>
                <w:rFonts w:hint="default"/>
                <w:sz w:val="18"/>
                <w:szCs w:val="18"/>
                <w:lang w:val="en-US"/>
              </w:rPr>
            </w:pPr>
            <w:r>
              <w:rPr>
                <w:rFonts w:hint="eastAsia"/>
                <w:sz w:val="18"/>
                <w:szCs w:val="18"/>
                <w:lang w:val="en-US" w:eastAsia="zh-CN"/>
              </w:rPr>
              <w:t>可溶性糖WSC</w:t>
            </w:r>
          </w:p>
          <w:p w14:paraId="3617FF3E">
            <w:pPr>
              <w:adjustRightInd w:val="0"/>
              <w:snapToGrid w:val="0"/>
              <w:spacing w:line="240" w:lineRule="auto"/>
              <w:jc w:val="center"/>
              <w:rPr>
                <w:sz w:val="18"/>
                <w:szCs w:val="18"/>
              </w:rPr>
            </w:pPr>
            <w:r>
              <w:rPr>
                <w:sz w:val="18"/>
                <w:szCs w:val="18"/>
              </w:rPr>
              <w:t>(g kg</w:t>
            </w:r>
            <w:r>
              <w:rPr>
                <w:sz w:val="18"/>
                <w:szCs w:val="18"/>
                <w:vertAlign w:val="superscript"/>
              </w:rPr>
              <w:t xml:space="preserve">-1 </w:t>
            </w:r>
            <w:r>
              <w:rPr>
                <w:sz w:val="18"/>
                <w:szCs w:val="18"/>
              </w:rPr>
              <w:t>DM)</w:t>
            </w:r>
          </w:p>
          <w:p w14:paraId="51A7B8D3">
            <w:pPr>
              <w:spacing w:line="240" w:lineRule="auto"/>
              <w:jc w:val="center"/>
              <w:rPr>
                <w:b/>
                <w:bCs/>
                <w:szCs w:val="21"/>
              </w:rPr>
            </w:pPr>
          </w:p>
        </w:tc>
        <w:tc>
          <w:tcPr>
            <w:tcW w:w="1612" w:type="dxa"/>
            <w:vAlign w:val="center"/>
          </w:tcPr>
          <w:p w14:paraId="2A6A658C">
            <w:pPr>
              <w:spacing w:line="240" w:lineRule="auto"/>
              <w:jc w:val="center"/>
              <w:rPr>
                <w:b/>
                <w:bCs/>
                <w:szCs w:val="21"/>
              </w:rPr>
            </w:pPr>
            <w:r>
              <w:rPr>
                <w:color w:val="000000"/>
                <w:kern w:val="0"/>
                <w:sz w:val="18"/>
                <w:szCs w:val="18"/>
                <w:lang w:bidi="ar"/>
              </w:rPr>
              <w:t>P</w:t>
            </w:r>
            <w:r>
              <w:rPr>
                <w:rStyle w:val="26"/>
                <w:sz w:val="18"/>
                <w:szCs w:val="18"/>
                <w:lang w:bidi="ar"/>
              </w:rPr>
              <w:t>1</w:t>
            </w:r>
          </w:p>
        </w:tc>
        <w:tc>
          <w:tcPr>
            <w:tcW w:w="2268" w:type="dxa"/>
            <w:vAlign w:val="center"/>
          </w:tcPr>
          <w:p w14:paraId="4EC67F1B">
            <w:pPr>
              <w:spacing w:line="240" w:lineRule="auto"/>
              <w:jc w:val="center"/>
              <w:rPr>
                <w:b/>
                <w:bCs/>
                <w:szCs w:val="21"/>
              </w:rPr>
            </w:pPr>
            <w:r>
              <w:rPr>
                <w:color w:val="000000"/>
                <w:kern w:val="0"/>
                <w:sz w:val="18"/>
                <w:szCs w:val="18"/>
                <w:lang w:bidi="ar"/>
              </w:rPr>
              <w:t>6.72</w:t>
            </w:r>
          </w:p>
        </w:tc>
        <w:tc>
          <w:tcPr>
            <w:tcW w:w="1134" w:type="dxa"/>
            <w:vAlign w:val="center"/>
          </w:tcPr>
          <w:p w14:paraId="30070115">
            <w:pPr>
              <w:spacing w:line="240" w:lineRule="auto"/>
              <w:jc w:val="center"/>
              <w:rPr>
                <w:b/>
                <w:bCs/>
                <w:szCs w:val="21"/>
              </w:rPr>
            </w:pPr>
            <w:r>
              <w:rPr>
                <w:color w:val="000000"/>
                <w:kern w:val="0"/>
                <w:sz w:val="18"/>
                <w:szCs w:val="18"/>
                <w:lang w:bidi="ar"/>
              </w:rPr>
              <w:t>7.61</w:t>
            </w:r>
          </w:p>
        </w:tc>
      </w:tr>
      <w:tr w14:paraId="38DE5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6CCF1E40">
            <w:pPr>
              <w:spacing w:line="240" w:lineRule="auto"/>
              <w:jc w:val="center"/>
              <w:rPr>
                <w:b/>
                <w:bCs/>
                <w:szCs w:val="21"/>
              </w:rPr>
            </w:pPr>
          </w:p>
        </w:tc>
        <w:tc>
          <w:tcPr>
            <w:tcW w:w="1612" w:type="dxa"/>
            <w:vAlign w:val="center"/>
          </w:tcPr>
          <w:p w14:paraId="60C8725C">
            <w:pPr>
              <w:spacing w:line="240" w:lineRule="auto"/>
              <w:jc w:val="center"/>
              <w:rPr>
                <w:b/>
                <w:bCs/>
                <w:szCs w:val="21"/>
              </w:rPr>
            </w:pPr>
            <w:r>
              <w:rPr>
                <w:color w:val="000000"/>
                <w:kern w:val="0"/>
                <w:sz w:val="18"/>
                <w:szCs w:val="18"/>
                <w:lang w:bidi="ar"/>
              </w:rPr>
              <w:t>P</w:t>
            </w:r>
            <w:r>
              <w:rPr>
                <w:rStyle w:val="26"/>
                <w:sz w:val="18"/>
                <w:szCs w:val="18"/>
                <w:lang w:bidi="ar"/>
              </w:rPr>
              <w:t>2</w:t>
            </w:r>
          </w:p>
        </w:tc>
        <w:tc>
          <w:tcPr>
            <w:tcW w:w="2268" w:type="dxa"/>
            <w:vAlign w:val="center"/>
          </w:tcPr>
          <w:p w14:paraId="04D83008">
            <w:pPr>
              <w:spacing w:line="240" w:lineRule="auto"/>
              <w:jc w:val="center"/>
              <w:rPr>
                <w:b/>
                <w:bCs/>
                <w:szCs w:val="21"/>
              </w:rPr>
            </w:pPr>
            <w:r>
              <w:rPr>
                <w:color w:val="000000"/>
                <w:kern w:val="0"/>
                <w:sz w:val="18"/>
                <w:szCs w:val="18"/>
                <w:lang w:bidi="ar"/>
              </w:rPr>
              <w:t>7.14</w:t>
            </w:r>
          </w:p>
        </w:tc>
        <w:tc>
          <w:tcPr>
            <w:tcW w:w="1134" w:type="dxa"/>
            <w:vAlign w:val="center"/>
          </w:tcPr>
          <w:p w14:paraId="74B75900">
            <w:pPr>
              <w:spacing w:line="240" w:lineRule="auto"/>
              <w:jc w:val="center"/>
              <w:rPr>
                <w:b/>
                <w:bCs/>
                <w:szCs w:val="21"/>
              </w:rPr>
            </w:pPr>
            <w:r>
              <w:rPr>
                <w:color w:val="000000"/>
                <w:kern w:val="0"/>
                <w:sz w:val="18"/>
                <w:szCs w:val="18"/>
                <w:lang w:bidi="ar"/>
              </w:rPr>
              <w:t>8.45</w:t>
            </w:r>
          </w:p>
        </w:tc>
      </w:tr>
      <w:tr w14:paraId="5B4B3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454C3411">
            <w:pPr>
              <w:spacing w:line="240" w:lineRule="auto"/>
              <w:jc w:val="center"/>
              <w:rPr>
                <w:b/>
                <w:bCs/>
                <w:szCs w:val="21"/>
              </w:rPr>
            </w:pPr>
          </w:p>
        </w:tc>
        <w:tc>
          <w:tcPr>
            <w:tcW w:w="1612" w:type="dxa"/>
            <w:vAlign w:val="center"/>
          </w:tcPr>
          <w:p w14:paraId="1776527C">
            <w:pPr>
              <w:spacing w:line="240" w:lineRule="auto"/>
              <w:jc w:val="center"/>
              <w:rPr>
                <w:b/>
                <w:bCs/>
                <w:szCs w:val="21"/>
              </w:rPr>
            </w:pPr>
            <w:r>
              <w:rPr>
                <w:color w:val="000000"/>
                <w:kern w:val="0"/>
                <w:sz w:val="18"/>
                <w:szCs w:val="18"/>
                <w:lang w:bidi="ar"/>
              </w:rPr>
              <w:t>P</w:t>
            </w:r>
            <w:r>
              <w:rPr>
                <w:rStyle w:val="26"/>
                <w:sz w:val="18"/>
                <w:szCs w:val="18"/>
                <w:lang w:bidi="ar"/>
              </w:rPr>
              <w:t>1</w:t>
            </w:r>
            <w:r>
              <w:rPr>
                <w:rStyle w:val="18"/>
                <w:sz w:val="18"/>
                <w:szCs w:val="18"/>
                <w:lang w:bidi="ar"/>
              </w:rPr>
              <w:t>L</w:t>
            </w:r>
          </w:p>
        </w:tc>
        <w:tc>
          <w:tcPr>
            <w:tcW w:w="2268" w:type="dxa"/>
            <w:vAlign w:val="center"/>
          </w:tcPr>
          <w:p w14:paraId="31471E83">
            <w:pPr>
              <w:spacing w:line="240" w:lineRule="auto"/>
              <w:jc w:val="center"/>
              <w:rPr>
                <w:b/>
                <w:bCs/>
                <w:szCs w:val="21"/>
              </w:rPr>
            </w:pPr>
            <w:r>
              <w:rPr>
                <w:color w:val="000000"/>
                <w:kern w:val="0"/>
                <w:sz w:val="18"/>
                <w:szCs w:val="18"/>
                <w:lang w:bidi="ar"/>
              </w:rPr>
              <w:t>6.93</w:t>
            </w:r>
          </w:p>
        </w:tc>
        <w:tc>
          <w:tcPr>
            <w:tcW w:w="1134" w:type="dxa"/>
            <w:vAlign w:val="center"/>
          </w:tcPr>
          <w:p w14:paraId="106A5BAA">
            <w:pPr>
              <w:spacing w:line="240" w:lineRule="auto"/>
              <w:jc w:val="center"/>
              <w:rPr>
                <w:b/>
                <w:bCs/>
                <w:szCs w:val="21"/>
              </w:rPr>
            </w:pPr>
            <w:r>
              <w:rPr>
                <w:color w:val="000000"/>
                <w:kern w:val="0"/>
                <w:sz w:val="18"/>
                <w:szCs w:val="18"/>
                <w:lang w:bidi="ar"/>
              </w:rPr>
              <w:t>7.16</w:t>
            </w:r>
          </w:p>
        </w:tc>
      </w:tr>
      <w:tr w14:paraId="648E8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6F2D68A8">
            <w:pPr>
              <w:spacing w:line="240" w:lineRule="auto"/>
              <w:jc w:val="center"/>
              <w:rPr>
                <w:b/>
                <w:bCs/>
                <w:szCs w:val="21"/>
              </w:rPr>
            </w:pPr>
          </w:p>
        </w:tc>
        <w:tc>
          <w:tcPr>
            <w:tcW w:w="1612" w:type="dxa"/>
            <w:vAlign w:val="center"/>
          </w:tcPr>
          <w:p w14:paraId="3C14F323">
            <w:pPr>
              <w:spacing w:line="240" w:lineRule="auto"/>
              <w:jc w:val="center"/>
              <w:rPr>
                <w:b/>
                <w:bCs/>
                <w:szCs w:val="21"/>
              </w:rPr>
            </w:pPr>
            <w:r>
              <w:rPr>
                <w:color w:val="000000"/>
                <w:kern w:val="0"/>
                <w:sz w:val="18"/>
                <w:szCs w:val="18"/>
                <w:lang w:bidi="ar"/>
              </w:rPr>
              <w:t>P</w:t>
            </w:r>
            <w:r>
              <w:rPr>
                <w:rStyle w:val="26"/>
                <w:sz w:val="18"/>
                <w:szCs w:val="18"/>
                <w:lang w:bidi="ar"/>
              </w:rPr>
              <w:t>2</w:t>
            </w:r>
            <w:r>
              <w:rPr>
                <w:rStyle w:val="18"/>
                <w:sz w:val="18"/>
                <w:szCs w:val="18"/>
                <w:lang w:bidi="ar"/>
              </w:rPr>
              <w:t>L</w:t>
            </w:r>
          </w:p>
        </w:tc>
        <w:tc>
          <w:tcPr>
            <w:tcW w:w="2268" w:type="dxa"/>
            <w:vAlign w:val="center"/>
          </w:tcPr>
          <w:p w14:paraId="0AC0542B">
            <w:pPr>
              <w:spacing w:line="240" w:lineRule="auto"/>
              <w:jc w:val="center"/>
              <w:rPr>
                <w:b/>
                <w:bCs/>
                <w:szCs w:val="21"/>
              </w:rPr>
            </w:pPr>
            <w:r>
              <w:rPr>
                <w:color w:val="000000"/>
                <w:kern w:val="0"/>
                <w:sz w:val="18"/>
                <w:szCs w:val="18"/>
                <w:lang w:bidi="ar"/>
              </w:rPr>
              <w:t xml:space="preserve">7.24 </w:t>
            </w:r>
          </w:p>
        </w:tc>
        <w:tc>
          <w:tcPr>
            <w:tcW w:w="1134" w:type="dxa"/>
            <w:vAlign w:val="center"/>
          </w:tcPr>
          <w:p w14:paraId="0F69AFEB">
            <w:pPr>
              <w:spacing w:line="240" w:lineRule="auto"/>
              <w:jc w:val="center"/>
              <w:rPr>
                <w:b/>
                <w:bCs/>
                <w:szCs w:val="21"/>
              </w:rPr>
            </w:pPr>
            <w:r>
              <w:rPr>
                <w:color w:val="000000"/>
                <w:kern w:val="0"/>
                <w:sz w:val="18"/>
                <w:szCs w:val="18"/>
                <w:lang w:bidi="ar"/>
              </w:rPr>
              <w:t>6.04</w:t>
            </w:r>
          </w:p>
        </w:tc>
      </w:tr>
      <w:tr w14:paraId="0CE62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4B506A8D">
            <w:pPr>
              <w:spacing w:line="240" w:lineRule="auto"/>
              <w:jc w:val="center"/>
              <w:rPr>
                <w:b/>
                <w:bCs/>
                <w:szCs w:val="21"/>
              </w:rPr>
            </w:pPr>
          </w:p>
        </w:tc>
        <w:tc>
          <w:tcPr>
            <w:tcW w:w="1612" w:type="dxa"/>
            <w:vAlign w:val="center"/>
          </w:tcPr>
          <w:p w14:paraId="6714938A">
            <w:pPr>
              <w:spacing w:line="240" w:lineRule="auto"/>
              <w:jc w:val="center"/>
              <w:rPr>
                <w:b/>
                <w:bCs/>
                <w:szCs w:val="21"/>
              </w:rPr>
            </w:pPr>
            <w:r>
              <w:rPr>
                <w:rFonts w:hint="eastAsia"/>
                <w:color w:val="000000"/>
                <w:kern w:val="0"/>
                <w:sz w:val="18"/>
                <w:szCs w:val="18"/>
                <w:lang w:bidi="ar"/>
              </w:rPr>
              <w:t>CK</w:t>
            </w:r>
          </w:p>
        </w:tc>
        <w:tc>
          <w:tcPr>
            <w:tcW w:w="2268" w:type="dxa"/>
            <w:vAlign w:val="center"/>
          </w:tcPr>
          <w:p w14:paraId="1B6CF9B0">
            <w:pPr>
              <w:spacing w:line="240" w:lineRule="auto"/>
              <w:jc w:val="center"/>
              <w:rPr>
                <w:b/>
                <w:bCs/>
                <w:szCs w:val="21"/>
              </w:rPr>
            </w:pPr>
            <w:r>
              <w:rPr>
                <w:color w:val="000000"/>
                <w:kern w:val="0"/>
                <w:sz w:val="18"/>
                <w:szCs w:val="18"/>
                <w:lang w:bidi="ar"/>
              </w:rPr>
              <w:t>7.49</w:t>
            </w:r>
          </w:p>
        </w:tc>
        <w:tc>
          <w:tcPr>
            <w:tcW w:w="1134" w:type="dxa"/>
            <w:vAlign w:val="center"/>
          </w:tcPr>
          <w:p w14:paraId="3EB3A5A3">
            <w:pPr>
              <w:spacing w:line="240" w:lineRule="auto"/>
              <w:jc w:val="center"/>
              <w:rPr>
                <w:b/>
                <w:bCs/>
                <w:szCs w:val="21"/>
              </w:rPr>
            </w:pPr>
            <w:r>
              <w:rPr>
                <w:color w:val="000000"/>
                <w:kern w:val="0"/>
                <w:sz w:val="18"/>
                <w:szCs w:val="18"/>
                <w:lang w:bidi="ar"/>
              </w:rPr>
              <w:t>7.68</w:t>
            </w:r>
          </w:p>
        </w:tc>
      </w:tr>
      <w:tr w14:paraId="07DBC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restart"/>
            <w:vAlign w:val="center"/>
          </w:tcPr>
          <w:p w14:paraId="753D2484">
            <w:pPr>
              <w:widowControl/>
              <w:adjustRightInd w:val="0"/>
              <w:snapToGrid w:val="0"/>
              <w:spacing w:line="240" w:lineRule="auto"/>
              <w:jc w:val="center"/>
              <w:textAlignment w:val="center"/>
              <w:rPr>
                <w:rFonts w:hint="default"/>
                <w:sz w:val="18"/>
                <w:szCs w:val="18"/>
                <w:lang w:val="en-US"/>
              </w:rPr>
            </w:pPr>
            <w:r>
              <w:rPr>
                <w:rFonts w:hint="eastAsia"/>
                <w:sz w:val="18"/>
                <w:szCs w:val="18"/>
                <w:lang w:val="en-US" w:eastAsia="zh-CN"/>
              </w:rPr>
              <w:t>粗蛋白CP</w:t>
            </w:r>
          </w:p>
          <w:p w14:paraId="45AEC2FB">
            <w:pPr>
              <w:spacing w:line="240" w:lineRule="auto"/>
              <w:jc w:val="center"/>
              <w:rPr>
                <w:b/>
                <w:bCs/>
                <w:szCs w:val="21"/>
              </w:rPr>
            </w:pPr>
            <w:r>
              <w:rPr>
                <w:sz w:val="18"/>
                <w:szCs w:val="18"/>
              </w:rPr>
              <w:t>(g kg</w:t>
            </w:r>
            <w:r>
              <w:rPr>
                <w:sz w:val="18"/>
                <w:szCs w:val="18"/>
                <w:vertAlign w:val="superscript"/>
              </w:rPr>
              <w:t xml:space="preserve">-1 </w:t>
            </w:r>
            <w:r>
              <w:rPr>
                <w:sz w:val="18"/>
                <w:szCs w:val="18"/>
              </w:rPr>
              <w:t>DM)</w:t>
            </w:r>
          </w:p>
        </w:tc>
        <w:tc>
          <w:tcPr>
            <w:tcW w:w="1612" w:type="dxa"/>
            <w:vAlign w:val="center"/>
          </w:tcPr>
          <w:p w14:paraId="5C7AE7BB">
            <w:pPr>
              <w:spacing w:line="240" w:lineRule="auto"/>
              <w:jc w:val="center"/>
              <w:rPr>
                <w:b/>
                <w:bCs/>
                <w:szCs w:val="21"/>
              </w:rPr>
            </w:pPr>
            <w:r>
              <w:rPr>
                <w:color w:val="000000"/>
                <w:kern w:val="0"/>
                <w:sz w:val="18"/>
                <w:szCs w:val="18"/>
                <w:lang w:bidi="ar"/>
              </w:rPr>
              <w:t>P</w:t>
            </w:r>
            <w:r>
              <w:rPr>
                <w:rStyle w:val="26"/>
                <w:sz w:val="18"/>
                <w:szCs w:val="18"/>
                <w:lang w:bidi="ar"/>
              </w:rPr>
              <w:t>1</w:t>
            </w:r>
          </w:p>
        </w:tc>
        <w:tc>
          <w:tcPr>
            <w:tcW w:w="2268" w:type="dxa"/>
            <w:vAlign w:val="center"/>
          </w:tcPr>
          <w:p w14:paraId="7218D4E3">
            <w:pPr>
              <w:spacing w:line="240" w:lineRule="auto"/>
              <w:jc w:val="center"/>
              <w:rPr>
                <w:b/>
                <w:bCs/>
                <w:szCs w:val="21"/>
              </w:rPr>
            </w:pPr>
            <w:r>
              <w:rPr>
                <w:color w:val="000000"/>
                <w:kern w:val="0"/>
                <w:sz w:val="18"/>
                <w:szCs w:val="18"/>
                <w:lang w:bidi="ar"/>
              </w:rPr>
              <w:t>1</w:t>
            </w:r>
            <w:r>
              <w:rPr>
                <w:rFonts w:hint="eastAsia"/>
                <w:color w:val="000000"/>
                <w:kern w:val="0"/>
                <w:sz w:val="18"/>
                <w:szCs w:val="18"/>
                <w:lang w:bidi="ar"/>
              </w:rPr>
              <w:t>7</w:t>
            </w:r>
            <w:r>
              <w:rPr>
                <w:color w:val="000000"/>
                <w:kern w:val="0"/>
                <w:sz w:val="18"/>
                <w:szCs w:val="18"/>
                <w:lang w:bidi="ar"/>
              </w:rPr>
              <w:t>7</w:t>
            </w:r>
            <w:r>
              <w:rPr>
                <w:rFonts w:hint="eastAsia"/>
                <w:color w:val="000000"/>
                <w:kern w:val="0"/>
                <w:sz w:val="18"/>
                <w:szCs w:val="18"/>
                <w:lang w:bidi="ar"/>
              </w:rPr>
              <w:t>.</w:t>
            </w:r>
            <w:r>
              <w:rPr>
                <w:color w:val="000000"/>
                <w:kern w:val="0"/>
                <w:sz w:val="18"/>
                <w:szCs w:val="18"/>
                <w:lang w:bidi="ar"/>
              </w:rPr>
              <w:t>5</w:t>
            </w:r>
          </w:p>
        </w:tc>
        <w:tc>
          <w:tcPr>
            <w:tcW w:w="1134" w:type="dxa"/>
            <w:vAlign w:val="center"/>
          </w:tcPr>
          <w:p w14:paraId="3DABEE25">
            <w:pPr>
              <w:spacing w:line="240" w:lineRule="auto"/>
              <w:jc w:val="center"/>
              <w:rPr>
                <w:b/>
                <w:bCs/>
                <w:szCs w:val="21"/>
              </w:rPr>
            </w:pPr>
            <w:r>
              <w:rPr>
                <w:color w:val="000000"/>
                <w:kern w:val="0"/>
                <w:sz w:val="18"/>
                <w:szCs w:val="18"/>
                <w:lang w:bidi="ar"/>
              </w:rPr>
              <w:t>1</w:t>
            </w:r>
            <w:r>
              <w:rPr>
                <w:rFonts w:hint="eastAsia"/>
                <w:color w:val="000000"/>
                <w:kern w:val="0"/>
                <w:sz w:val="18"/>
                <w:szCs w:val="18"/>
                <w:lang w:bidi="ar"/>
              </w:rPr>
              <w:t>6</w:t>
            </w:r>
            <w:r>
              <w:rPr>
                <w:color w:val="000000"/>
                <w:kern w:val="0"/>
                <w:sz w:val="18"/>
                <w:szCs w:val="18"/>
                <w:lang w:bidi="ar"/>
              </w:rPr>
              <w:t>7</w:t>
            </w:r>
            <w:r>
              <w:rPr>
                <w:rFonts w:hint="eastAsia"/>
                <w:color w:val="000000"/>
                <w:kern w:val="0"/>
                <w:sz w:val="18"/>
                <w:szCs w:val="18"/>
                <w:lang w:bidi="ar"/>
              </w:rPr>
              <w:t>.</w:t>
            </w:r>
            <w:r>
              <w:rPr>
                <w:color w:val="000000"/>
                <w:kern w:val="0"/>
                <w:sz w:val="18"/>
                <w:szCs w:val="18"/>
                <w:lang w:bidi="ar"/>
              </w:rPr>
              <w:t>7</w:t>
            </w:r>
          </w:p>
        </w:tc>
      </w:tr>
      <w:tr w14:paraId="533C1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15870CB7">
            <w:pPr>
              <w:spacing w:line="240" w:lineRule="auto"/>
              <w:jc w:val="center"/>
              <w:rPr>
                <w:b/>
                <w:bCs/>
                <w:szCs w:val="21"/>
              </w:rPr>
            </w:pPr>
          </w:p>
        </w:tc>
        <w:tc>
          <w:tcPr>
            <w:tcW w:w="1612" w:type="dxa"/>
            <w:vAlign w:val="center"/>
          </w:tcPr>
          <w:p w14:paraId="78FF810C">
            <w:pPr>
              <w:spacing w:line="240" w:lineRule="auto"/>
              <w:jc w:val="center"/>
              <w:rPr>
                <w:b/>
                <w:bCs/>
                <w:szCs w:val="21"/>
              </w:rPr>
            </w:pPr>
            <w:r>
              <w:rPr>
                <w:color w:val="000000"/>
                <w:kern w:val="0"/>
                <w:sz w:val="18"/>
                <w:szCs w:val="18"/>
                <w:lang w:bidi="ar"/>
              </w:rPr>
              <w:t>P</w:t>
            </w:r>
            <w:r>
              <w:rPr>
                <w:rStyle w:val="26"/>
                <w:sz w:val="18"/>
                <w:szCs w:val="18"/>
                <w:lang w:bidi="ar"/>
              </w:rPr>
              <w:t>2</w:t>
            </w:r>
          </w:p>
        </w:tc>
        <w:tc>
          <w:tcPr>
            <w:tcW w:w="2268" w:type="dxa"/>
            <w:vAlign w:val="center"/>
          </w:tcPr>
          <w:p w14:paraId="7D06AEE1">
            <w:pPr>
              <w:spacing w:line="240" w:lineRule="auto"/>
              <w:jc w:val="center"/>
              <w:rPr>
                <w:b/>
                <w:bCs/>
                <w:szCs w:val="21"/>
              </w:rPr>
            </w:pPr>
            <w:r>
              <w:rPr>
                <w:color w:val="000000"/>
                <w:kern w:val="0"/>
                <w:sz w:val="18"/>
                <w:szCs w:val="18"/>
                <w:lang w:bidi="ar"/>
              </w:rPr>
              <w:t>1</w:t>
            </w:r>
            <w:r>
              <w:rPr>
                <w:rFonts w:hint="eastAsia"/>
                <w:color w:val="000000"/>
                <w:kern w:val="0"/>
                <w:sz w:val="18"/>
                <w:szCs w:val="18"/>
                <w:lang w:bidi="ar"/>
              </w:rPr>
              <w:t>8</w:t>
            </w:r>
            <w:r>
              <w:rPr>
                <w:color w:val="000000"/>
                <w:kern w:val="0"/>
                <w:sz w:val="18"/>
                <w:szCs w:val="18"/>
                <w:lang w:bidi="ar"/>
              </w:rPr>
              <w:t>0</w:t>
            </w:r>
            <w:r>
              <w:rPr>
                <w:rFonts w:hint="eastAsia"/>
                <w:color w:val="000000"/>
                <w:kern w:val="0"/>
                <w:sz w:val="18"/>
                <w:szCs w:val="18"/>
                <w:lang w:bidi="ar"/>
              </w:rPr>
              <w:t>.</w:t>
            </w:r>
            <w:r>
              <w:rPr>
                <w:color w:val="000000"/>
                <w:kern w:val="0"/>
                <w:sz w:val="18"/>
                <w:szCs w:val="18"/>
                <w:lang w:bidi="ar"/>
              </w:rPr>
              <w:t>4</w:t>
            </w:r>
          </w:p>
        </w:tc>
        <w:tc>
          <w:tcPr>
            <w:tcW w:w="1134" w:type="dxa"/>
            <w:vAlign w:val="center"/>
          </w:tcPr>
          <w:p w14:paraId="046FE1F5">
            <w:pPr>
              <w:spacing w:line="240" w:lineRule="auto"/>
              <w:jc w:val="center"/>
              <w:rPr>
                <w:b/>
                <w:bCs/>
                <w:szCs w:val="21"/>
              </w:rPr>
            </w:pPr>
            <w:r>
              <w:rPr>
                <w:color w:val="000000"/>
                <w:kern w:val="0"/>
                <w:sz w:val="18"/>
                <w:szCs w:val="18"/>
                <w:lang w:bidi="ar"/>
              </w:rPr>
              <w:t>1</w:t>
            </w:r>
            <w:r>
              <w:rPr>
                <w:rFonts w:hint="eastAsia"/>
                <w:color w:val="000000"/>
                <w:kern w:val="0"/>
                <w:sz w:val="18"/>
                <w:szCs w:val="18"/>
                <w:lang w:bidi="ar"/>
              </w:rPr>
              <w:t>7</w:t>
            </w:r>
            <w:r>
              <w:rPr>
                <w:color w:val="000000"/>
                <w:kern w:val="0"/>
                <w:sz w:val="18"/>
                <w:szCs w:val="18"/>
                <w:lang w:bidi="ar"/>
              </w:rPr>
              <w:t>9</w:t>
            </w:r>
            <w:r>
              <w:rPr>
                <w:rFonts w:hint="eastAsia"/>
                <w:color w:val="000000"/>
                <w:kern w:val="0"/>
                <w:sz w:val="18"/>
                <w:szCs w:val="18"/>
                <w:lang w:bidi="ar"/>
              </w:rPr>
              <w:t>.</w:t>
            </w:r>
            <w:r>
              <w:rPr>
                <w:color w:val="000000"/>
                <w:kern w:val="0"/>
                <w:sz w:val="18"/>
                <w:szCs w:val="18"/>
                <w:lang w:bidi="ar"/>
              </w:rPr>
              <w:t>5</w:t>
            </w:r>
          </w:p>
        </w:tc>
      </w:tr>
      <w:tr w14:paraId="11B83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4430FD76">
            <w:pPr>
              <w:spacing w:line="240" w:lineRule="auto"/>
              <w:jc w:val="center"/>
              <w:rPr>
                <w:b/>
                <w:bCs/>
                <w:szCs w:val="21"/>
              </w:rPr>
            </w:pPr>
          </w:p>
        </w:tc>
        <w:tc>
          <w:tcPr>
            <w:tcW w:w="1612" w:type="dxa"/>
            <w:vAlign w:val="center"/>
          </w:tcPr>
          <w:p w14:paraId="267872C2">
            <w:pPr>
              <w:spacing w:line="240" w:lineRule="auto"/>
              <w:jc w:val="center"/>
              <w:rPr>
                <w:b/>
                <w:bCs/>
                <w:szCs w:val="21"/>
              </w:rPr>
            </w:pPr>
            <w:r>
              <w:rPr>
                <w:color w:val="000000"/>
                <w:kern w:val="0"/>
                <w:sz w:val="18"/>
                <w:szCs w:val="18"/>
                <w:lang w:bidi="ar"/>
              </w:rPr>
              <w:t>P</w:t>
            </w:r>
            <w:r>
              <w:rPr>
                <w:rStyle w:val="26"/>
                <w:sz w:val="18"/>
                <w:szCs w:val="18"/>
                <w:lang w:bidi="ar"/>
              </w:rPr>
              <w:t>1</w:t>
            </w:r>
            <w:r>
              <w:rPr>
                <w:rStyle w:val="18"/>
                <w:sz w:val="18"/>
                <w:szCs w:val="18"/>
                <w:lang w:bidi="ar"/>
              </w:rPr>
              <w:t>L</w:t>
            </w:r>
          </w:p>
        </w:tc>
        <w:tc>
          <w:tcPr>
            <w:tcW w:w="2268" w:type="dxa"/>
            <w:vAlign w:val="center"/>
          </w:tcPr>
          <w:p w14:paraId="75D73C9D">
            <w:pPr>
              <w:spacing w:line="240" w:lineRule="auto"/>
              <w:jc w:val="center"/>
              <w:rPr>
                <w:b/>
                <w:bCs/>
                <w:szCs w:val="21"/>
              </w:rPr>
            </w:pPr>
            <w:r>
              <w:rPr>
                <w:color w:val="000000"/>
                <w:kern w:val="0"/>
                <w:sz w:val="18"/>
                <w:szCs w:val="18"/>
                <w:lang w:bidi="ar"/>
              </w:rPr>
              <w:t>1</w:t>
            </w:r>
            <w:r>
              <w:rPr>
                <w:rFonts w:hint="eastAsia"/>
                <w:color w:val="000000"/>
                <w:kern w:val="0"/>
                <w:sz w:val="18"/>
                <w:szCs w:val="18"/>
                <w:lang w:bidi="ar"/>
              </w:rPr>
              <w:t>6</w:t>
            </w:r>
            <w:r>
              <w:rPr>
                <w:color w:val="000000"/>
                <w:kern w:val="0"/>
                <w:sz w:val="18"/>
                <w:szCs w:val="18"/>
                <w:lang w:bidi="ar"/>
              </w:rPr>
              <w:t>8</w:t>
            </w:r>
            <w:r>
              <w:rPr>
                <w:rFonts w:hint="eastAsia"/>
                <w:color w:val="000000"/>
                <w:kern w:val="0"/>
                <w:sz w:val="18"/>
                <w:szCs w:val="18"/>
                <w:lang w:bidi="ar"/>
              </w:rPr>
              <w:t>.</w:t>
            </w:r>
            <w:r>
              <w:rPr>
                <w:color w:val="000000"/>
                <w:kern w:val="0"/>
                <w:sz w:val="18"/>
                <w:szCs w:val="18"/>
                <w:lang w:bidi="ar"/>
              </w:rPr>
              <w:t>5</w:t>
            </w:r>
          </w:p>
        </w:tc>
        <w:tc>
          <w:tcPr>
            <w:tcW w:w="1134" w:type="dxa"/>
            <w:vAlign w:val="center"/>
          </w:tcPr>
          <w:p w14:paraId="5D3D3F74">
            <w:pPr>
              <w:spacing w:line="240" w:lineRule="auto"/>
              <w:jc w:val="center"/>
              <w:rPr>
                <w:b/>
                <w:bCs/>
                <w:szCs w:val="21"/>
              </w:rPr>
            </w:pPr>
            <w:r>
              <w:rPr>
                <w:color w:val="000000"/>
                <w:kern w:val="0"/>
                <w:sz w:val="18"/>
                <w:szCs w:val="18"/>
                <w:lang w:bidi="ar"/>
              </w:rPr>
              <w:t>1</w:t>
            </w:r>
            <w:r>
              <w:rPr>
                <w:rFonts w:hint="eastAsia"/>
                <w:color w:val="000000"/>
                <w:kern w:val="0"/>
                <w:sz w:val="18"/>
                <w:szCs w:val="18"/>
                <w:lang w:bidi="ar"/>
              </w:rPr>
              <w:t>6</w:t>
            </w:r>
            <w:r>
              <w:rPr>
                <w:color w:val="000000"/>
                <w:kern w:val="0"/>
                <w:sz w:val="18"/>
                <w:szCs w:val="18"/>
                <w:lang w:bidi="ar"/>
              </w:rPr>
              <w:t>9</w:t>
            </w:r>
            <w:r>
              <w:rPr>
                <w:rFonts w:hint="eastAsia"/>
                <w:color w:val="000000"/>
                <w:kern w:val="0"/>
                <w:sz w:val="18"/>
                <w:szCs w:val="18"/>
                <w:lang w:bidi="ar"/>
              </w:rPr>
              <w:t>.</w:t>
            </w:r>
            <w:r>
              <w:rPr>
                <w:color w:val="000000"/>
                <w:kern w:val="0"/>
                <w:sz w:val="18"/>
                <w:szCs w:val="18"/>
                <w:lang w:bidi="ar"/>
              </w:rPr>
              <w:t>4</w:t>
            </w:r>
          </w:p>
        </w:tc>
      </w:tr>
      <w:tr w14:paraId="5022D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64579D81">
            <w:pPr>
              <w:spacing w:line="240" w:lineRule="auto"/>
              <w:jc w:val="center"/>
              <w:rPr>
                <w:b/>
                <w:bCs/>
                <w:szCs w:val="21"/>
              </w:rPr>
            </w:pPr>
          </w:p>
        </w:tc>
        <w:tc>
          <w:tcPr>
            <w:tcW w:w="1612" w:type="dxa"/>
            <w:vAlign w:val="center"/>
          </w:tcPr>
          <w:p w14:paraId="10423828">
            <w:pPr>
              <w:spacing w:line="240" w:lineRule="auto"/>
              <w:jc w:val="center"/>
              <w:rPr>
                <w:b/>
                <w:bCs/>
                <w:szCs w:val="21"/>
              </w:rPr>
            </w:pPr>
            <w:r>
              <w:rPr>
                <w:color w:val="000000"/>
                <w:kern w:val="0"/>
                <w:sz w:val="18"/>
                <w:szCs w:val="18"/>
                <w:lang w:bidi="ar"/>
              </w:rPr>
              <w:t>P</w:t>
            </w:r>
            <w:r>
              <w:rPr>
                <w:rStyle w:val="26"/>
                <w:sz w:val="18"/>
                <w:szCs w:val="18"/>
                <w:lang w:bidi="ar"/>
              </w:rPr>
              <w:t>2</w:t>
            </w:r>
            <w:r>
              <w:rPr>
                <w:rStyle w:val="18"/>
                <w:sz w:val="18"/>
                <w:szCs w:val="18"/>
                <w:lang w:bidi="ar"/>
              </w:rPr>
              <w:t>L</w:t>
            </w:r>
          </w:p>
        </w:tc>
        <w:tc>
          <w:tcPr>
            <w:tcW w:w="2268" w:type="dxa"/>
            <w:vAlign w:val="center"/>
          </w:tcPr>
          <w:p w14:paraId="57710549">
            <w:pPr>
              <w:spacing w:line="240" w:lineRule="auto"/>
              <w:jc w:val="center"/>
              <w:rPr>
                <w:b/>
                <w:bCs/>
                <w:szCs w:val="21"/>
              </w:rPr>
            </w:pPr>
            <w:r>
              <w:rPr>
                <w:color w:val="000000"/>
                <w:kern w:val="0"/>
                <w:sz w:val="18"/>
                <w:szCs w:val="18"/>
                <w:lang w:bidi="ar"/>
              </w:rPr>
              <w:t>1</w:t>
            </w:r>
            <w:r>
              <w:rPr>
                <w:rFonts w:hint="eastAsia"/>
                <w:color w:val="000000"/>
                <w:kern w:val="0"/>
                <w:sz w:val="18"/>
                <w:szCs w:val="18"/>
                <w:lang w:bidi="ar"/>
              </w:rPr>
              <w:t>6</w:t>
            </w:r>
            <w:r>
              <w:rPr>
                <w:color w:val="000000"/>
                <w:kern w:val="0"/>
                <w:sz w:val="18"/>
                <w:szCs w:val="18"/>
                <w:lang w:bidi="ar"/>
              </w:rPr>
              <w:t>7</w:t>
            </w:r>
            <w:r>
              <w:rPr>
                <w:rFonts w:hint="eastAsia"/>
                <w:color w:val="000000"/>
                <w:kern w:val="0"/>
                <w:sz w:val="18"/>
                <w:szCs w:val="18"/>
                <w:lang w:bidi="ar"/>
              </w:rPr>
              <w:t>.</w:t>
            </w:r>
            <w:r>
              <w:rPr>
                <w:color w:val="000000"/>
                <w:kern w:val="0"/>
                <w:sz w:val="18"/>
                <w:szCs w:val="18"/>
                <w:lang w:bidi="ar"/>
              </w:rPr>
              <w:t>3</w:t>
            </w:r>
          </w:p>
        </w:tc>
        <w:tc>
          <w:tcPr>
            <w:tcW w:w="1134" w:type="dxa"/>
            <w:vAlign w:val="center"/>
          </w:tcPr>
          <w:p w14:paraId="25E4A88C">
            <w:pPr>
              <w:spacing w:line="240" w:lineRule="auto"/>
              <w:jc w:val="center"/>
              <w:rPr>
                <w:b/>
                <w:bCs/>
                <w:szCs w:val="21"/>
              </w:rPr>
            </w:pPr>
            <w:r>
              <w:rPr>
                <w:color w:val="000000"/>
                <w:kern w:val="0"/>
                <w:sz w:val="18"/>
                <w:szCs w:val="18"/>
                <w:lang w:bidi="ar"/>
              </w:rPr>
              <w:t>1</w:t>
            </w:r>
            <w:r>
              <w:rPr>
                <w:rFonts w:hint="eastAsia"/>
                <w:color w:val="000000"/>
                <w:kern w:val="0"/>
                <w:sz w:val="18"/>
                <w:szCs w:val="18"/>
                <w:lang w:bidi="ar"/>
              </w:rPr>
              <w:t>7</w:t>
            </w:r>
            <w:r>
              <w:rPr>
                <w:color w:val="000000"/>
                <w:kern w:val="0"/>
                <w:sz w:val="18"/>
                <w:szCs w:val="18"/>
                <w:lang w:bidi="ar"/>
              </w:rPr>
              <w:t>6</w:t>
            </w:r>
            <w:r>
              <w:rPr>
                <w:rFonts w:hint="eastAsia"/>
                <w:color w:val="000000"/>
                <w:kern w:val="0"/>
                <w:sz w:val="18"/>
                <w:szCs w:val="18"/>
                <w:lang w:bidi="ar"/>
              </w:rPr>
              <w:t>.</w:t>
            </w:r>
            <w:r>
              <w:rPr>
                <w:color w:val="000000"/>
                <w:kern w:val="0"/>
                <w:sz w:val="18"/>
                <w:szCs w:val="18"/>
                <w:lang w:bidi="ar"/>
              </w:rPr>
              <w:t>9</w:t>
            </w:r>
          </w:p>
        </w:tc>
      </w:tr>
      <w:tr w14:paraId="42710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631240DD">
            <w:pPr>
              <w:spacing w:line="240" w:lineRule="auto"/>
              <w:jc w:val="center"/>
              <w:rPr>
                <w:b/>
                <w:bCs/>
                <w:szCs w:val="21"/>
              </w:rPr>
            </w:pPr>
          </w:p>
        </w:tc>
        <w:tc>
          <w:tcPr>
            <w:tcW w:w="1612" w:type="dxa"/>
            <w:vAlign w:val="center"/>
          </w:tcPr>
          <w:p w14:paraId="4E4F4815">
            <w:pPr>
              <w:spacing w:line="240" w:lineRule="auto"/>
              <w:jc w:val="center"/>
              <w:rPr>
                <w:b/>
                <w:bCs/>
                <w:szCs w:val="21"/>
              </w:rPr>
            </w:pPr>
            <w:r>
              <w:rPr>
                <w:rFonts w:hint="eastAsia"/>
                <w:color w:val="000000"/>
                <w:kern w:val="0"/>
                <w:sz w:val="18"/>
                <w:szCs w:val="18"/>
                <w:lang w:bidi="ar"/>
              </w:rPr>
              <w:t>CK</w:t>
            </w:r>
          </w:p>
        </w:tc>
        <w:tc>
          <w:tcPr>
            <w:tcW w:w="2268" w:type="dxa"/>
            <w:vAlign w:val="center"/>
          </w:tcPr>
          <w:p w14:paraId="528D39C0">
            <w:pPr>
              <w:spacing w:line="240" w:lineRule="auto"/>
              <w:jc w:val="center"/>
              <w:rPr>
                <w:b/>
                <w:bCs/>
                <w:szCs w:val="21"/>
              </w:rPr>
            </w:pPr>
            <w:r>
              <w:rPr>
                <w:color w:val="000000"/>
                <w:kern w:val="0"/>
                <w:sz w:val="18"/>
                <w:szCs w:val="18"/>
                <w:lang w:bidi="ar"/>
              </w:rPr>
              <w:t>1</w:t>
            </w:r>
            <w:r>
              <w:rPr>
                <w:rFonts w:hint="eastAsia"/>
                <w:color w:val="000000"/>
                <w:kern w:val="0"/>
                <w:sz w:val="18"/>
                <w:szCs w:val="18"/>
                <w:lang w:bidi="ar"/>
              </w:rPr>
              <w:t>65.</w:t>
            </w:r>
            <w:r>
              <w:rPr>
                <w:color w:val="000000"/>
                <w:kern w:val="0"/>
                <w:sz w:val="18"/>
                <w:szCs w:val="18"/>
                <w:lang w:bidi="ar"/>
              </w:rPr>
              <w:t>6</w:t>
            </w:r>
          </w:p>
        </w:tc>
        <w:tc>
          <w:tcPr>
            <w:tcW w:w="1134" w:type="dxa"/>
            <w:vAlign w:val="center"/>
          </w:tcPr>
          <w:p w14:paraId="0EED58B7">
            <w:pPr>
              <w:spacing w:line="240" w:lineRule="auto"/>
              <w:jc w:val="center"/>
              <w:rPr>
                <w:b/>
                <w:bCs/>
                <w:szCs w:val="21"/>
              </w:rPr>
            </w:pPr>
            <w:r>
              <w:rPr>
                <w:color w:val="000000"/>
                <w:kern w:val="0"/>
                <w:sz w:val="18"/>
                <w:szCs w:val="18"/>
                <w:lang w:bidi="ar"/>
              </w:rPr>
              <w:t>1</w:t>
            </w:r>
            <w:r>
              <w:rPr>
                <w:rFonts w:hint="eastAsia"/>
                <w:color w:val="000000"/>
                <w:kern w:val="0"/>
                <w:sz w:val="18"/>
                <w:szCs w:val="18"/>
                <w:lang w:bidi="ar"/>
              </w:rPr>
              <w:t>60.</w:t>
            </w:r>
            <w:r>
              <w:rPr>
                <w:color w:val="000000"/>
                <w:kern w:val="0"/>
                <w:sz w:val="18"/>
                <w:szCs w:val="18"/>
                <w:lang w:bidi="ar"/>
              </w:rPr>
              <w:t>9</w:t>
            </w:r>
          </w:p>
        </w:tc>
      </w:tr>
      <w:tr w14:paraId="4DA97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restart"/>
            <w:vAlign w:val="center"/>
          </w:tcPr>
          <w:p w14:paraId="6B60DD90">
            <w:pPr>
              <w:widowControl/>
              <w:adjustRightInd w:val="0"/>
              <w:snapToGrid w:val="0"/>
              <w:spacing w:line="240" w:lineRule="auto"/>
              <w:jc w:val="center"/>
              <w:textAlignment w:val="center"/>
              <w:rPr>
                <w:sz w:val="18"/>
                <w:szCs w:val="18"/>
              </w:rPr>
            </w:pPr>
            <w:r>
              <w:rPr>
                <w:rFonts w:hint="eastAsia"/>
                <w:sz w:val="18"/>
                <w:szCs w:val="18"/>
                <w:lang w:val="en-US" w:eastAsia="zh-CN"/>
              </w:rPr>
              <w:t>中性洗涤纤维</w:t>
            </w:r>
            <w:r>
              <w:rPr>
                <w:rFonts w:hint="eastAsia"/>
                <w:sz w:val="18"/>
                <w:szCs w:val="18"/>
              </w:rPr>
              <w:t>NDF</w:t>
            </w:r>
          </w:p>
          <w:p w14:paraId="7E20BE44">
            <w:pPr>
              <w:spacing w:line="240" w:lineRule="auto"/>
              <w:jc w:val="center"/>
              <w:rPr>
                <w:b/>
                <w:bCs/>
                <w:szCs w:val="21"/>
              </w:rPr>
            </w:pPr>
            <w:r>
              <w:rPr>
                <w:sz w:val="18"/>
                <w:szCs w:val="18"/>
              </w:rPr>
              <w:t>(g kg</w:t>
            </w:r>
            <w:r>
              <w:rPr>
                <w:sz w:val="18"/>
                <w:szCs w:val="18"/>
                <w:vertAlign w:val="superscript"/>
              </w:rPr>
              <w:t xml:space="preserve">-1 </w:t>
            </w:r>
            <w:r>
              <w:rPr>
                <w:sz w:val="18"/>
                <w:szCs w:val="18"/>
              </w:rPr>
              <w:t>DM)</w:t>
            </w:r>
          </w:p>
        </w:tc>
        <w:tc>
          <w:tcPr>
            <w:tcW w:w="1612" w:type="dxa"/>
            <w:vAlign w:val="center"/>
          </w:tcPr>
          <w:p w14:paraId="493038B4">
            <w:pPr>
              <w:spacing w:line="240" w:lineRule="auto"/>
              <w:jc w:val="center"/>
              <w:rPr>
                <w:b/>
                <w:bCs/>
                <w:szCs w:val="21"/>
              </w:rPr>
            </w:pPr>
            <w:r>
              <w:rPr>
                <w:color w:val="000000"/>
                <w:kern w:val="0"/>
                <w:sz w:val="18"/>
                <w:szCs w:val="18"/>
                <w:lang w:bidi="ar"/>
              </w:rPr>
              <w:t>P</w:t>
            </w:r>
            <w:r>
              <w:rPr>
                <w:rStyle w:val="26"/>
                <w:sz w:val="18"/>
                <w:szCs w:val="18"/>
                <w:lang w:bidi="ar"/>
              </w:rPr>
              <w:t>1</w:t>
            </w:r>
          </w:p>
        </w:tc>
        <w:tc>
          <w:tcPr>
            <w:tcW w:w="2268" w:type="dxa"/>
            <w:vAlign w:val="center"/>
          </w:tcPr>
          <w:p w14:paraId="59FC30EC">
            <w:pPr>
              <w:spacing w:line="240" w:lineRule="auto"/>
              <w:jc w:val="center"/>
              <w:rPr>
                <w:b/>
                <w:bCs/>
                <w:szCs w:val="21"/>
              </w:rPr>
            </w:pPr>
            <w:r>
              <w:rPr>
                <w:rFonts w:hint="eastAsia"/>
                <w:color w:val="000000"/>
                <w:kern w:val="0"/>
                <w:sz w:val="18"/>
                <w:szCs w:val="18"/>
                <w:lang w:bidi="ar"/>
              </w:rPr>
              <w:t>443.4</w:t>
            </w:r>
          </w:p>
        </w:tc>
        <w:tc>
          <w:tcPr>
            <w:tcW w:w="1134" w:type="dxa"/>
            <w:vAlign w:val="center"/>
          </w:tcPr>
          <w:p w14:paraId="3AEDBE47">
            <w:pPr>
              <w:spacing w:line="240" w:lineRule="auto"/>
              <w:jc w:val="center"/>
              <w:rPr>
                <w:b/>
                <w:bCs/>
                <w:szCs w:val="21"/>
              </w:rPr>
            </w:pPr>
            <w:r>
              <w:rPr>
                <w:rFonts w:hint="eastAsia"/>
                <w:color w:val="000000"/>
                <w:kern w:val="0"/>
                <w:sz w:val="18"/>
                <w:szCs w:val="18"/>
                <w:lang w:bidi="ar"/>
              </w:rPr>
              <w:t>465.7</w:t>
            </w:r>
          </w:p>
        </w:tc>
      </w:tr>
      <w:tr w14:paraId="5464A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tcPr>
          <w:p w14:paraId="7A28FB29">
            <w:pPr>
              <w:spacing w:line="240" w:lineRule="auto"/>
              <w:jc w:val="center"/>
              <w:rPr>
                <w:b/>
                <w:bCs/>
                <w:szCs w:val="21"/>
              </w:rPr>
            </w:pPr>
          </w:p>
        </w:tc>
        <w:tc>
          <w:tcPr>
            <w:tcW w:w="1612" w:type="dxa"/>
            <w:vAlign w:val="center"/>
          </w:tcPr>
          <w:p w14:paraId="113846EA">
            <w:pPr>
              <w:spacing w:line="240" w:lineRule="auto"/>
              <w:jc w:val="center"/>
              <w:rPr>
                <w:b/>
                <w:bCs/>
                <w:szCs w:val="21"/>
              </w:rPr>
            </w:pPr>
            <w:r>
              <w:rPr>
                <w:color w:val="000000"/>
                <w:kern w:val="0"/>
                <w:sz w:val="18"/>
                <w:szCs w:val="18"/>
                <w:lang w:bidi="ar"/>
              </w:rPr>
              <w:t>P</w:t>
            </w:r>
            <w:r>
              <w:rPr>
                <w:rStyle w:val="26"/>
                <w:sz w:val="18"/>
                <w:szCs w:val="18"/>
                <w:lang w:bidi="ar"/>
              </w:rPr>
              <w:t>2</w:t>
            </w:r>
          </w:p>
        </w:tc>
        <w:tc>
          <w:tcPr>
            <w:tcW w:w="2268" w:type="dxa"/>
            <w:vAlign w:val="center"/>
          </w:tcPr>
          <w:p w14:paraId="37052B97">
            <w:pPr>
              <w:spacing w:line="240" w:lineRule="auto"/>
              <w:jc w:val="center"/>
              <w:rPr>
                <w:b/>
                <w:bCs/>
                <w:szCs w:val="21"/>
              </w:rPr>
            </w:pPr>
            <w:r>
              <w:rPr>
                <w:rFonts w:hint="eastAsia"/>
                <w:color w:val="000000"/>
                <w:kern w:val="0"/>
                <w:sz w:val="18"/>
                <w:szCs w:val="18"/>
                <w:lang w:bidi="ar"/>
              </w:rPr>
              <w:t>456.0</w:t>
            </w:r>
          </w:p>
        </w:tc>
        <w:tc>
          <w:tcPr>
            <w:tcW w:w="1134" w:type="dxa"/>
            <w:vAlign w:val="center"/>
          </w:tcPr>
          <w:p w14:paraId="5C661C9E">
            <w:pPr>
              <w:spacing w:line="240" w:lineRule="auto"/>
              <w:jc w:val="center"/>
              <w:rPr>
                <w:b/>
                <w:bCs/>
                <w:szCs w:val="21"/>
              </w:rPr>
            </w:pPr>
            <w:r>
              <w:rPr>
                <w:rFonts w:hint="eastAsia"/>
                <w:color w:val="000000"/>
                <w:kern w:val="0"/>
                <w:sz w:val="18"/>
                <w:szCs w:val="18"/>
                <w:lang w:bidi="ar"/>
              </w:rPr>
              <w:t>431.8</w:t>
            </w:r>
          </w:p>
        </w:tc>
      </w:tr>
      <w:tr w14:paraId="18553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tcPr>
          <w:p w14:paraId="357F455E">
            <w:pPr>
              <w:spacing w:line="240" w:lineRule="auto"/>
              <w:jc w:val="center"/>
              <w:rPr>
                <w:b/>
                <w:bCs/>
                <w:szCs w:val="21"/>
              </w:rPr>
            </w:pPr>
          </w:p>
        </w:tc>
        <w:tc>
          <w:tcPr>
            <w:tcW w:w="1612" w:type="dxa"/>
            <w:vAlign w:val="center"/>
          </w:tcPr>
          <w:p w14:paraId="6E9503FB">
            <w:pPr>
              <w:spacing w:line="240" w:lineRule="auto"/>
              <w:jc w:val="center"/>
              <w:rPr>
                <w:b/>
                <w:bCs/>
                <w:szCs w:val="21"/>
              </w:rPr>
            </w:pPr>
            <w:r>
              <w:rPr>
                <w:color w:val="000000"/>
                <w:kern w:val="0"/>
                <w:sz w:val="18"/>
                <w:szCs w:val="18"/>
                <w:lang w:bidi="ar"/>
              </w:rPr>
              <w:t>P</w:t>
            </w:r>
            <w:r>
              <w:rPr>
                <w:rStyle w:val="26"/>
                <w:sz w:val="18"/>
                <w:szCs w:val="18"/>
                <w:lang w:bidi="ar"/>
              </w:rPr>
              <w:t>1</w:t>
            </w:r>
            <w:r>
              <w:rPr>
                <w:rStyle w:val="18"/>
                <w:sz w:val="18"/>
                <w:szCs w:val="18"/>
                <w:lang w:bidi="ar"/>
              </w:rPr>
              <w:t>L</w:t>
            </w:r>
          </w:p>
        </w:tc>
        <w:tc>
          <w:tcPr>
            <w:tcW w:w="2268" w:type="dxa"/>
            <w:vAlign w:val="center"/>
          </w:tcPr>
          <w:p w14:paraId="65C6B668">
            <w:pPr>
              <w:spacing w:line="240" w:lineRule="auto"/>
              <w:jc w:val="center"/>
              <w:rPr>
                <w:b/>
                <w:bCs/>
                <w:szCs w:val="21"/>
              </w:rPr>
            </w:pPr>
            <w:r>
              <w:rPr>
                <w:rFonts w:hint="eastAsia"/>
                <w:color w:val="000000"/>
                <w:kern w:val="0"/>
                <w:sz w:val="18"/>
                <w:szCs w:val="18"/>
                <w:lang w:bidi="ar"/>
              </w:rPr>
              <w:t>473.2</w:t>
            </w:r>
          </w:p>
        </w:tc>
        <w:tc>
          <w:tcPr>
            <w:tcW w:w="1134" w:type="dxa"/>
            <w:vAlign w:val="center"/>
          </w:tcPr>
          <w:p w14:paraId="1350A84C">
            <w:pPr>
              <w:spacing w:line="240" w:lineRule="auto"/>
              <w:jc w:val="center"/>
              <w:rPr>
                <w:b/>
                <w:bCs/>
                <w:szCs w:val="21"/>
              </w:rPr>
            </w:pPr>
            <w:r>
              <w:rPr>
                <w:rFonts w:hint="eastAsia"/>
                <w:color w:val="000000"/>
                <w:kern w:val="0"/>
                <w:sz w:val="18"/>
                <w:szCs w:val="18"/>
                <w:lang w:bidi="ar"/>
              </w:rPr>
              <w:t>458.1</w:t>
            </w:r>
          </w:p>
        </w:tc>
      </w:tr>
      <w:tr w14:paraId="72384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tcPr>
          <w:p w14:paraId="172E62CB">
            <w:pPr>
              <w:spacing w:line="240" w:lineRule="auto"/>
              <w:jc w:val="center"/>
              <w:rPr>
                <w:b/>
                <w:bCs/>
                <w:szCs w:val="21"/>
              </w:rPr>
            </w:pPr>
          </w:p>
        </w:tc>
        <w:tc>
          <w:tcPr>
            <w:tcW w:w="1612" w:type="dxa"/>
            <w:vAlign w:val="center"/>
          </w:tcPr>
          <w:p w14:paraId="6990BFE3">
            <w:pPr>
              <w:spacing w:line="240" w:lineRule="auto"/>
              <w:jc w:val="center"/>
              <w:rPr>
                <w:b/>
                <w:bCs/>
                <w:szCs w:val="21"/>
              </w:rPr>
            </w:pPr>
            <w:r>
              <w:rPr>
                <w:color w:val="000000"/>
                <w:kern w:val="0"/>
                <w:sz w:val="18"/>
                <w:szCs w:val="18"/>
                <w:lang w:bidi="ar"/>
              </w:rPr>
              <w:t>P</w:t>
            </w:r>
            <w:r>
              <w:rPr>
                <w:rStyle w:val="26"/>
                <w:sz w:val="18"/>
                <w:szCs w:val="18"/>
                <w:lang w:bidi="ar"/>
              </w:rPr>
              <w:t>2</w:t>
            </w:r>
            <w:r>
              <w:rPr>
                <w:rStyle w:val="18"/>
                <w:sz w:val="18"/>
                <w:szCs w:val="18"/>
                <w:lang w:bidi="ar"/>
              </w:rPr>
              <w:t>L</w:t>
            </w:r>
          </w:p>
        </w:tc>
        <w:tc>
          <w:tcPr>
            <w:tcW w:w="2268" w:type="dxa"/>
            <w:vAlign w:val="center"/>
          </w:tcPr>
          <w:p w14:paraId="711E65DE">
            <w:pPr>
              <w:spacing w:line="240" w:lineRule="auto"/>
              <w:jc w:val="center"/>
              <w:rPr>
                <w:b/>
                <w:bCs/>
                <w:szCs w:val="21"/>
              </w:rPr>
            </w:pPr>
            <w:r>
              <w:rPr>
                <w:rFonts w:hint="eastAsia"/>
                <w:color w:val="000000"/>
                <w:kern w:val="0"/>
                <w:sz w:val="18"/>
                <w:szCs w:val="18"/>
                <w:lang w:bidi="ar"/>
              </w:rPr>
              <w:t>463.6</w:t>
            </w:r>
          </w:p>
        </w:tc>
        <w:tc>
          <w:tcPr>
            <w:tcW w:w="1134" w:type="dxa"/>
            <w:vAlign w:val="center"/>
          </w:tcPr>
          <w:p w14:paraId="3636DFE6">
            <w:pPr>
              <w:spacing w:line="240" w:lineRule="auto"/>
              <w:jc w:val="center"/>
              <w:rPr>
                <w:b/>
                <w:bCs/>
                <w:szCs w:val="21"/>
              </w:rPr>
            </w:pPr>
            <w:r>
              <w:rPr>
                <w:rFonts w:hint="eastAsia"/>
                <w:color w:val="000000"/>
                <w:kern w:val="0"/>
                <w:sz w:val="18"/>
                <w:szCs w:val="18"/>
                <w:lang w:bidi="ar"/>
              </w:rPr>
              <w:t>457.1</w:t>
            </w:r>
          </w:p>
        </w:tc>
      </w:tr>
      <w:tr w14:paraId="381FC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tcPr>
          <w:p w14:paraId="739214D0">
            <w:pPr>
              <w:spacing w:line="240" w:lineRule="auto"/>
              <w:jc w:val="center"/>
              <w:rPr>
                <w:b/>
                <w:bCs/>
                <w:szCs w:val="21"/>
              </w:rPr>
            </w:pPr>
          </w:p>
        </w:tc>
        <w:tc>
          <w:tcPr>
            <w:tcW w:w="1612" w:type="dxa"/>
            <w:vAlign w:val="center"/>
          </w:tcPr>
          <w:p w14:paraId="46356161">
            <w:pPr>
              <w:spacing w:line="240" w:lineRule="auto"/>
              <w:jc w:val="center"/>
              <w:rPr>
                <w:b/>
                <w:bCs/>
                <w:szCs w:val="21"/>
              </w:rPr>
            </w:pPr>
            <w:r>
              <w:rPr>
                <w:rFonts w:hint="eastAsia"/>
                <w:color w:val="000000"/>
                <w:kern w:val="0"/>
                <w:sz w:val="18"/>
                <w:szCs w:val="18"/>
                <w:lang w:bidi="ar"/>
              </w:rPr>
              <w:t>CK</w:t>
            </w:r>
          </w:p>
        </w:tc>
        <w:tc>
          <w:tcPr>
            <w:tcW w:w="2268" w:type="dxa"/>
            <w:vAlign w:val="center"/>
          </w:tcPr>
          <w:p w14:paraId="08E59CC9">
            <w:pPr>
              <w:spacing w:line="240" w:lineRule="auto"/>
              <w:jc w:val="center"/>
              <w:rPr>
                <w:b/>
                <w:bCs/>
                <w:szCs w:val="21"/>
              </w:rPr>
            </w:pPr>
            <w:r>
              <w:rPr>
                <w:rFonts w:hint="eastAsia"/>
                <w:color w:val="000000"/>
                <w:kern w:val="0"/>
                <w:sz w:val="18"/>
                <w:szCs w:val="18"/>
                <w:lang w:bidi="ar"/>
              </w:rPr>
              <w:t>448.8</w:t>
            </w:r>
          </w:p>
        </w:tc>
        <w:tc>
          <w:tcPr>
            <w:tcW w:w="1134" w:type="dxa"/>
            <w:vAlign w:val="center"/>
          </w:tcPr>
          <w:p w14:paraId="6BBC76A0">
            <w:pPr>
              <w:spacing w:line="240" w:lineRule="auto"/>
              <w:jc w:val="center"/>
              <w:rPr>
                <w:b/>
                <w:bCs/>
                <w:szCs w:val="21"/>
              </w:rPr>
            </w:pPr>
            <w:r>
              <w:rPr>
                <w:rFonts w:hint="eastAsia"/>
                <w:color w:val="000000"/>
                <w:kern w:val="0"/>
                <w:sz w:val="18"/>
                <w:szCs w:val="18"/>
                <w:lang w:bidi="ar"/>
              </w:rPr>
              <w:t>468.7</w:t>
            </w:r>
          </w:p>
        </w:tc>
      </w:tr>
      <w:tr w14:paraId="1228D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restart"/>
            <w:vAlign w:val="center"/>
          </w:tcPr>
          <w:p w14:paraId="70E814CD">
            <w:pPr>
              <w:widowControl/>
              <w:adjustRightInd w:val="0"/>
              <w:snapToGrid w:val="0"/>
              <w:spacing w:line="240" w:lineRule="auto"/>
              <w:jc w:val="center"/>
              <w:textAlignment w:val="center"/>
              <w:rPr>
                <w:sz w:val="18"/>
                <w:szCs w:val="18"/>
              </w:rPr>
            </w:pPr>
            <w:r>
              <w:rPr>
                <w:rFonts w:hint="eastAsia"/>
                <w:sz w:val="18"/>
                <w:szCs w:val="18"/>
                <w:lang w:val="en-US" w:eastAsia="zh-CN"/>
              </w:rPr>
              <w:t>酸性洗涤纤维</w:t>
            </w:r>
            <w:r>
              <w:rPr>
                <w:rFonts w:hint="eastAsia"/>
                <w:sz w:val="18"/>
                <w:szCs w:val="18"/>
              </w:rPr>
              <w:t>ADF</w:t>
            </w:r>
          </w:p>
          <w:p w14:paraId="1272F9AE">
            <w:pPr>
              <w:spacing w:line="240" w:lineRule="auto"/>
              <w:jc w:val="center"/>
              <w:rPr>
                <w:b/>
                <w:bCs/>
                <w:szCs w:val="21"/>
              </w:rPr>
            </w:pPr>
            <w:r>
              <w:rPr>
                <w:sz w:val="18"/>
                <w:szCs w:val="18"/>
              </w:rPr>
              <w:t>(g kg</w:t>
            </w:r>
            <w:r>
              <w:rPr>
                <w:sz w:val="18"/>
                <w:szCs w:val="18"/>
                <w:vertAlign w:val="superscript"/>
              </w:rPr>
              <w:t xml:space="preserve">-1 </w:t>
            </w:r>
            <w:r>
              <w:rPr>
                <w:sz w:val="18"/>
                <w:szCs w:val="18"/>
              </w:rPr>
              <w:t>DM)</w:t>
            </w:r>
          </w:p>
        </w:tc>
        <w:tc>
          <w:tcPr>
            <w:tcW w:w="1612" w:type="dxa"/>
            <w:vAlign w:val="center"/>
          </w:tcPr>
          <w:p w14:paraId="5FE14FC4">
            <w:pPr>
              <w:spacing w:line="240" w:lineRule="auto"/>
              <w:jc w:val="center"/>
              <w:rPr>
                <w:b/>
                <w:bCs/>
                <w:szCs w:val="21"/>
              </w:rPr>
            </w:pPr>
            <w:r>
              <w:rPr>
                <w:color w:val="000000"/>
                <w:kern w:val="0"/>
                <w:sz w:val="18"/>
                <w:szCs w:val="18"/>
                <w:lang w:bidi="ar"/>
              </w:rPr>
              <w:t>P</w:t>
            </w:r>
            <w:r>
              <w:rPr>
                <w:rStyle w:val="26"/>
                <w:sz w:val="18"/>
                <w:szCs w:val="18"/>
                <w:lang w:bidi="ar"/>
              </w:rPr>
              <w:t>1</w:t>
            </w:r>
          </w:p>
        </w:tc>
        <w:tc>
          <w:tcPr>
            <w:tcW w:w="2268" w:type="dxa"/>
            <w:vAlign w:val="center"/>
          </w:tcPr>
          <w:p w14:paraId="61BDFDF3">
            <w:pPr>
              <w:spacing w:line="240" w:lineRule="auto"/>
              <w:jc w:val="center"/>
              <w:rPr>
                <w:b/>
                <w:bCs/>
                <w:szCs w:val="21"/>
              </w:rPr>
            </w:pPr>
            <w:r>
              <w:rPr>
                <w:rFonts w:hint="eastAsia"/>
                <w:color w:val="000000"/>
                <w:kern w:val="0"/>
                <w:sz w:val="18"/>
                <w:szCs w:val="18"/>
                <w:lang w:bidi="ar"/>
              </w:rPr>
              <w:t xml:space="preserve">308.0 </w:t>
            </w:r>
          </w:p>
        </w:tc>
        <w:tc>
          <w:tcPr>
            <w:tcW w:w="1134" w:type="dxa"/>
            <w:vAlign w:val="center"/>
          </w:tcPr>
          <w:p w14:paraId="50C434C2">
            <w:pPr>
              <w:spacing w:line="240" w:lineRule="auto"/>
              <w:jc w:val="center"/>
              <w:rPr>
                <w:b/>
                <w:bCs/>
                <w:szCs w:val="21"/>
              </w:rPr>
            </w:pPr>
            <w:r>
              <w:rPr>
                <w:rFonts w:hint="eastAsia"/>
                <w:color w:val="000000"/>
                <w:kern w:val="0"/>
                <w:sz w:val="18"/>
                <w:szCs w:val="18"/>
                <w:lang w:bidi="ar"/>
              </w:rPr>
              <w:t>321.2</w:t>
            </w:r>
          </w:p>
        </w:tc>
      </w:tr>
      <w:tr w14:paraId="567E5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tcPr>
          <w:p w14:paraId="449B5047">
            <w:pPr>
              <w:spacing w:line="240" w:lineRule="auto"/>
              <w:jc w:val="center"/>
              <w:rPr>
                <w:b/>
                <w:bCs/>
                <w:szCs w:val="21"/>
              </w:rPr>
            </w:pPr>
          </w:p>
        </w:tc>
        <w:tc>
          <w:tcPr>
            <w:tcW w:w="1612" w:type="dxa"/>
            <w:vAlign w:val="center"/>
          </w:tcPr>
          <w:p w14:paraId="156381DF">
            <w:pPr>
              <w:spacing w:line="240" w:lineRule="auto"/>
              <w:jc w:val="center"/>
              <w:rPr>
                <w:b/>
                <w:bCs/>
                <w:szCs w:val="21"/>
              </w:rPr>
            </w:pPr>
            <w:r>
              <w:rPr>
                <w:color w:val="000000"/>
                <w:kern w:val="0"/>
                <w:sz w:val="18"/>
                <w:szCs w:val="18"/>
                <w:lang w:bidi="ar"/>
              </w:rPr>
              <w:t>P</w:t>
            </w:r>
            <w:r>
              <w:rPr>
                <w:rStyle w:val="26"/>
                <w:sz w:val="18"/>
                <w:szCs w:val="18"/>
                <w:lang w:bidi="ar"/>
              </w:rPr>
              <w:t>2</w:t>
            </w:r>
          </w:p>
        </w:tc>
        <w:tc>
          <w:tcPr>
            <w:tcW w:w="2268" w:type="dxa"/>
            <w:vAlign w:val="center"/>
          </w:tcPr>
          <w:p w14:paraId="257A05D4">
            <w:pPr>
              <w:spacing w:line="240" w:lineRule="auto"/>
              <w:jc w:val="center"/>
              <w:rPr>
                <w:b/>
                <w:bCs/>
                <w:szCs w:val="21"/>
              </w:rPr>
            </w:pPr>
            <w:r>
              <w:rPr>
                <w:rFonts w:hint="eastAsia"/>
                <w:color w:val="000000"/>
                <w:kern w:val="0"/>
                <w:sz w:val="18"/>
                <w:szCs w:val="18"/>
                <w:lang w:bidi="ar"/>
              </w:rPr>
              <w:t>308.3</w:t>
            </w:r>
          </w:p>
        </w:tc>
        <w:tc>
          <w:tcPr>
            <w:tcW w:w="1134" w:type="dxa"/>
            <w:vAlign w:val="center"/>
          </w:tcPr>
          <w:p w14:paraId="553E6A3C">
            <w:pPr>
              <w:spacing w:line="240" w:lineRule="auto"/>
              <w:jc w:val="center"/>
              <w:rPr>
                <w:b/>
                <w:bCs/>
                <w:szCs w:val="21"/>
              </w:rPr>
            </w:pPr>
            <w:r>
              <w:rPr>
                <w:rFonts w:hint="eastAsia"/>
                <w:color w:val="000000"/>
                <w:kern w:val="0"/>
                <w:sz w:val="18"/>
                <w:szCs w:val="18"/>
                <w:lang w:bidi="ar"/>
              </w:rPr>
              <w:t>292.5</w:t>
            </w:r>
          </w:p>
        </w:tc>
      </w:tr>
      <w:tr w14:paraId="4B809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tcPr>
          <w:p w14:paraId="49330906">
            <w:pPr>
              <w:spacing w:line="240" w:lineRule="auto"/>
              <w:jc w:val="center"/>
              <w:rPr>
                <w:b/>
                <w:bCs/>
                <w:szCs w:val="21"/>
              </w:rPr>
            </w:pPr>
          </w:p>
        </w:tc>
        <w:tc>
          <w:tcPr>
            <w:tcW w:w="1612" w:type="dxa"/>
            <w:vAlign w:val="center"/>
          </w:tcPr>
          <w:p w14:paraId="45EE03AC">
            <w:pPr>
              <w:spacing w:line="240" w:lineRule="auto"/>
              <w:jc w:val="center"/>
              <w:rPr>
                <w:b/>
                <w:bCs/>
                <w:szCs w:val="21"/>
              </w:rPr>
            </w:pPr>
            <w:r>
              <w:rPr>
                <w:color w:val="000000"/>
                <w:kern w:val="0"/>
                <w:sz w:val="18"/>
                <w:szCs w:val="18"/>
                <w:lang w:bidi="ar"/>
              </w:rPr>
              <w:t>P</w:t>
            </w:r>
            <w:r>
              <w:rPr>
                <w:rStyle w:val="26"/>
                <w:sz w:val="18"/>
                <w:szCs w:val="18"/>
                <w:lang w:bidi="ar"/>
              </w:rPr>
              <w:t>1</w:t>
            </w:r>
            <w:r>
              <w:rPr>
                <w:rStyle w:val="18"/>
                <w:sz w:val="18"/>
                <w:szCs w:val="18"/>
                <w:lang w:bidi="ar"/>
              </w:rPr>
              <w:t>L</w:t>
            </w:r>
          </w:p>
        </w:tc>
        <w:tc>
          <w:tcPr>
            <w:tcW w:w="2268" w:type="dxa"/>
            <w:vAlign w:val="center"/>
          </w:tcPr>
          <w:p w14:paraId="570FA4D1">
            <w:pPr>
              <w:spacing w:line="240" w:lineRule="auto"/>
              <w:jc w:val="center"/>
              <w:rPr>
                <w:b/>
                <w:bCs/>
                <w:szCs w:val="21"/>
              </w:rPr>
            </w:pPr>
            <w:r>
              <w:rPr>
                <w:rFonts w:hint="eastAsia"/>
                <w:color w:val="000000"/>
                <w:kern w:val="0"/>
                <w:sz w:val="18"/>
                <w:szCs w:val="18"/>
                <w:lang w:bidi="ar"/>
              </w:rPr>
              <w:t>324.4</w:t>
            </w:r>
          </w:p>
        </w:tc>
        <w:tc>
          <w:tcPr>
            <w:tcW w:w="1134" w:type="dxa"/>
            <w:vAlign w:val="center"/>
          </w:tcPr>
          <w:p w14:paraId="0E32BCC5">
            <w:pPr>
              <w:spacing w:line="240" w:lineRule="auto"/>
              <w:jc w:val="center"/>
              <w:rPr>
                <w:b/>
                <w:bCs/>
                <w:szCs w:val="21"/>
              </w:rPr>
            </w:pPr>
            <w:r>
              <w:rPr>
                <w:rFonts w:hint="eastAsia"/>
                <w:color w:val="000000"/>
                <w:kern w:val="0"/>
                <w:sz w:val="18"/>
                <w:szCs w:val="18"/>
                <w:lang w:bidi="ar"/>
              </w:rPr>
              <w:t>321.9</w:t>
            </w:r>
          </w:p>
        </w:tc>
      </w:tr>
      <w:tr w14:paraId="602FD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tcPr>
          <w:p w14:paraId="1F7C4624">
            <w:pPr>
              <w:spacing w:line="240" w:lineRule="auto"/>
              <w:jc w:val="center"/>
              <w:rPr>
                <w:b/>
                <w:bCs/>
                <w:szCs w:val="21"/>
              </w:rPr>
            </w:pPr>
          </w:p>
        </w:tc>
        <w:tc>
          <w:tcPr>
            <w:tcW w:w="1612" w:type="dxa"/>
            <w:vAlign w:val="center"/>
          </w:tcPr>
          <w:p w14:paraId="7D9B9250">
            <w:pPr>
              <w:spacing w:line="240" w:lineRule="auto"/>
              <w:jc w:val="center"/>
              <w:rPr>
                <w:b/>
                <w:bCs/>
                <w:szCs w:val="21"/>
              </w:rPr>
            </w:pPr>
            <w:r>
              <w:rPr>
                <w:color w:val="000000"/>
                <w:kern w:val="0"/>
                <w:sz w:val="18"/>
                <w:szCs w:val="18"/>
                <w:lang w:bidi="ar"/>
              </w:rPr>
              <w:t>P</w:t>
            </w:r>
            <w:r>
              <w:rPr>
                <w:rStyle w:val="26"/>
                <w:sz w:val="18"/>
                <w:szCs w:val="18"/>
                <w:lang w:bidi="ar"/>
              </w:rPr>
              <w:t>2</w:t>
            </w:r>
            <w:r>
              <w:rPr>
                <w:rStyle w:val="18"/>
                <w:sz w:val="18"/>
                <w:szCs w:val="18"/>
                <w:lang w:bidi="ar"/>
              </w:rPr>
              <w:t>L</w:t>
            </w:r>
          </w:p>
        </w:tc>
        <w:tc>
          <w:tcPr>
            <w:tcW w:w="2268" w:type="dxa"/>
            <w:vAlign w:val="center"/>
          </w:tcPr>
          <w:p w14:paraId="544912F4">
            <w:pPr>
              <w:spacing w:line="240" w:lineRule="auto"/>
              <w:jc w:val="center"/>
              <w:rPr>
                <w:b/>
                <w:bCs/>
                <w:szCs w:val="21"/>
              </w:rPr>
            </w:pPr>
            <w:r>
              <w:rPr>
                <w:rFonts w:hint="eastAsia"/>
                <w:color w:val="000000"/>
                <w:kern w:val="0"/>
                <w:sz w:val="18"/>
                <w:szCs w:val="18"/>
                <w:lang w:bidi="ar"/>
              </w:rPr>
              <w:t>327.5</w:t>
            </w:r>
          </w:p>
        </w:tc>
        <w:tc>
          <w:tcPr>
            <w:tcW w:w="1134" w:type="dxa"/>
            <w:vAlign w:val="center"/>
          </w:tcPr>
          <w:p w14:paraId="1268F947">
            <w:pPr>
              <w:spacing w:line="240" w:lineRule="auto"/>
              <w:jc w:val="center"/>
              <w:rPr>
                <w:b/>
                <w:bCs/>
                <w:szCs w:val="21"/>
              </w:rPr>
            </w:pPr>
            <w:r>
              <w:rPr>
                <w:rFonts w:hint="eastAsia"/>
                <w:color w:val="000000"/>
                <w:kern w:val="0"/>
                <w:sz w:val="18"/>
                <w:szCs w:val="18"/>
                <w:lang w:bidi="ar"/>
              </w:rPr>
              <w:t>314.4</w:t>
            </w:r>
          </w:p>
        </w:tc>
      </w:tr>
      <w:tr w14:paraId="0BCDE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tcBorders>
              <w:bottom w:val="single" w:color="auto" w:sz="8" w:space="0"/>
            </w:tcBorders>
          </w:tcPr>
          <w:p w14:paraId="271AC974">
            <w:pPr>
              <w:spacing w:line="240" w:lineRule="auto"/>
              <w:jc w:val="center"/>
              <w:rPr>
                <w:b/>
                <w:bCs/>
                <w:szCs w:val="21"/>
              </w:rPr>
            </w:pPr>
          </w:p>
        </w:tc>
        <w:tc>
          <w:tcPr>
            <w:tcW w:w="1612" w:type="dxa"/>
            <w:tcBorders>
              <w:bottom w:val="single" w:color="auto" w:sz="8" w:space="0"/>
            </w:tcBorders>
            <w:vAlign w:val="center"/>
          </w:tcPr>
          <w:p w14:paraId="49AF26FB">
            <w:pPr>
              <w:spacing w:line="240" w:lineRule="auto"/>
              <w:jc w:val="center"/>
              <w:rPr>
                <w:b/>
                <w:bCs/>
                <w:szCs w:val="21"/>
              </w:rPr>
            </w:pPr>
            <w:r>
              <w:rPr>
                <w:rFonts w:hint="eastAsia"/>
                <w:color w:val="000000"/>
                <w:kern w:val="0"/>
                <w:sz w:val="18"/>
                <w:szCs w:val="18"/>
                <w:lang w:bidi="ar"/>
              </w:rPr>
              <w:t>CK</w:t>
            </w:r>
          </w:p>
        </w:tc>
        <w:tc>
          <w:tcPr>
            <w:tcW w:w="2268" w:type="dxa"/>
            <w:tcBorders>
              <w:bottom w:val="single" w:color="auto" w:sz="8" w:space="0"/>
            </w:tcBorders>
            <w:vAlign w:val="center"/>
          </w:tcPr>
          <w:p w14:paraId="5F773BBB">
            <w:pPr>
              <w:spacing w:line="240" w:lineRule="auto"/>
              <w:jc w:val="center"/>
              <w:rPr>
                <w:b/>
                <w:bCs/>
                <w:szCs w:val="21"/>
              </w:rPr>
            </w:pPr>
            <w:r>
              <w:rPr>
                <w:rFonts w:hint="eastAsia"/>
                <w:color w:val="000000"/>
                <w:kern w:val="0"/>
                <w:sz w:val="18"/>
                <w:szCs w:val="18"/>
                <w:lang w:bidi="ar"/>
              </w:rPr>
              <w:t>303.6</w:t>
            </w:r>
          </w:p>
        </w:tc>
        <w:tc>
          <w:tcPr>
            <w:tcW w:w="1134" w:type="dxa"/>
            <w:tcBorders>
              <w:bottom w:val="single" w:color="auto" w:sz="8" w:space="0"/>
            </w:tcBorders>
            <w:vAlign w:val="center"/>
          </w:tcPr>
          <w:p w14:paraId="7C3B58E2">
            <w:pPr>
              <w:spacing w:line="240" w:lineRule="auto"/>
              <w:jc w:val="center"/>
              <w:rPr>
                <w:b/>
                <w:bCs/>
                <w:szCs w:val="21"/>
              </w:rPr>
            </w:pPr>
            <w:r>
              <w:rPr>
                <w:rFonts w:hint="eastAsia"/>
                <w:color w:val="000000"/>
                <w:kern w:val="0"/>
                <w:sz w:val="18"/>
                <w:szCs w:val="18"/>
                <w:lang w:bidi="ar"/>
              </w:rPr>
              <w:t>324.4</w:t>
            </w:r>
          </w:p>
        </w:tc>
      </w:tr>
    </w:tbl>
    <w:p w14:paraId="74696BA5">
      <w:pPr>
        <w:rPr>
          <w:rFonts w:hint="eastAsia"/>
          <w:sz w:val="21"/>
          <w:szCs w:val="18"/>
        </w:rPr>
      </w:pPr>
      <w:r>
        <w:rPr>
          <w:rFonts w:hint="eastAsia"/>
          <w:sz w:val="21"/>
          <w:szCs w:val="18"/>
        </w:rPr>
        <w:t>注：PLA为苯乳酸（phenyllactic acid）；P1为100 mg/kg PLA，P2为300 mg/kg PLA；L为乳酸菌接种剂（活菌数 活菌数 1×10</w:t>
      </w:r>
      <w:r>
        <w:rPr>
          <w:rFonts w:hint="eastAsia"/>
          <w:sz w:val="21"/>
          <w:szCs w:val="18"/>
          <w:vertAlign w:val="superscript"/>
          <w:lang w:val="en-US" w:eastAsia="zh-CN"/>
        </w:rPr>
        <w:t>6</w:t>
      </w:r>
      <w:r>
        <w:rPr>
          <w:rFonts w:hint="eastAsia"/>
          <w:sz w:val="21"/>
          <w:szCs w:val="18"/>
        </w:rPr>
        <w:t xml:space="preserve"> cfu·g</w:t>
      </w:r>
      <w:r>
        <w:rPr>
          <w:rFonts w:hint="eastAsia"/>
          <w:sz w:val="21"/>
          <w:szCs w:val="18"/>
          <w:vertAlign w:val="superscript"/>
          <w:lang w:val="en-US" w:eastAsia="zh-CN"/>
        </w:rPr>
        <w:t>-1</w:t>
      </w:r>
      <w:r>
        <w:rPr>
          <w:rFonts w:hint="eastAsia"/>
          <w:sz w:val="21"/>
          <w:szCs w:val="18"/>
        </w:rPr>
        <w:t xml:space="preserve"> FM）；P1L为P1+L，P2L为 P2+L；CK为对照。下同。</w:t>
      </w:r>
    </w:p>
    <w:p w14:paraId="6FEAE2E1">
      <w:pPr>
        <w:spacing w:line="360" w:lineRule="auto"/>
        <w:ind w:firstLine="422" w:firstLineChars="200"/>
        <w:jc w:val="center"/>
        <w:rPr>
          <w:b/>
          <w:bCs/>
          <w:sz w:val="22"/>
          <w:szCs w:val="22"/>
        </w:rPr>
      </w:pPr>
      <w:r>
        <w:rPr>
          <w:rFonts w:hint="eastAsia"/>
          <w:b/>
          <w:bCs/>
          <w:sz w:val="21"/>
          <w:szCs w:val="21"/>
        </w:rPr>
        <w:t>表4 不同添加剂处理下不同水分含量茶树枝叶发酵品质</w:t>
      </w:r>
    </w:p>
    <w:tbl>
      <w:tblPr>
        <w:tblStyle w:val="1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07"/>
        <w:gridCol w:w="1612"/>
        <w:gridCol w:w="2268"/>
        <w:gridCol w:w="1134"/>
      </w:tblGrid>
      <w:tr w14:paraId="3409B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tcBorders>
              <w:top w:val="single" w:color="auto" w:sz="8" w:space="0"/>
              <w:bottom w:val="single" w:color="auto" w:sz="8" w:space="0"/>
            </w:tcBorders>
            <w:vAlign w:val="center"/>
          </w:tcPr>
          <w:p w14:paraId="210EC5CE">
            <w:pPr>
              <w:spacing w:line="240" w:lineRule="auto"/>
              <w:jc w:val="center"/>
              <w:rPr>
                <w:b/>
                <w:bCs/>
                <w:sz w:val="21"/>
                <w:szCs w:val="21"/>
              </w:rPr>
            </w:pPr>
            <w:r>
              <w:rPr>
                <w:rFonts w:hint="eastAsia"/>
                <w:color w:val="000000"/>
                <w:spacing w:val="20"/>
                <w:kern w:val="0"/>
                <w:sz w:val="16"/>
                <w:szCs w:val="16"/>
                <w:shd w:val="clear" w:color="auto" w:fill="FFFFFF"/>
                <w:lang w:val="en-US" w:eastAsia="zh-CN" w:bidi="ar"/>
              </w:rPr>
              <w:t>项目</w:t>
            </w:r>
          </w:p>
        </w:tc>
        <w:tc>
          <w:tcPr>
            <w:tcW w:w="1612" w:type="dxa"/>
            <w:tcBorders>
              <w:top w:val="single" w:color="auto" w:sz="8" w:space="0"/>
              <w:bottom w:val="single" w:color="auto" w:sz="8" w:space="0"/>
            </w:tcBorders>
            <w:vAlign w:val="center"/>
          </w:tcPr>
          <w:p w14:paraId="4EC7313F">
            <w:pPr>
              <w:spacing w:line="240" w:lineRule="auto"/>
              <w:jc w:val="center"/>
              <w:rPr>
                <w:b/>
                <w:bCs/>
                <w:sz w:val="21"/>
                <w:szCs w:val="21"/>
              </w:rPr>
            </w:pPr>
            <w:r>
              <w:rPr>
                <w:rFonts w:hint="eastAsia"/>
                <w:color w:val="000000"/>
                <w:spacing w:val="20"/>
                <w:kern w:val="0"/>
                <w:sz w:val="16"/>
                <w:szCs w:val="16"/>
                <w:shd w:val="clear" w:color="auto" w:fill="FFFFFF"/>
                <w:lang w:val="en-US" w:eastAsia="zh-CN" w:bidi="ar"/>
              </w:rPr>
              <w:t>处理</w:t>
            </w:r>
          </w:p>
        </w:tc>
        <w:tc>
          <w:tcPr>
            <w:tcW w:w="2268" w:type="dxa"/>
            <w:tcBorders>
              <w:top w:val="single" w:color="auto" w:sz="8" w:space="0"/>
              <w:bottom w:val="single" w:color="auto" w:sz="8" w:space="0"/>
            </w:tcBorders>
            <w:vAlign w:val="center"/>
          </w:tcPr>
          <w:p w14:paraId="4AB92DAE">
            <w:pPr>
              <w:spacing w:line="240" w:lineRule="auto"/>
              <w:jc w:val="center"/>
              <w:rPr>
                <w:b/>
                <w:bCs/>
                <w:sz w:val="21"/>
                <w:szCs w:val="21"/>
              </w:rPr>
            </w:pPr>
            <w:r>
              <w:rPr>
                <w:rFonts w:hint="eastAsia"/>
                <w:color w:val="000000"/>
                <w:spacing w:val="20"/>
                <w:kern w:val="0"/>
                <w:sz w:val="16"/>
                <w:szCs w:val="16"/>
                <w:shd w:val="clear" w:color="auto" w:fill="FFFFFF"/>
                <w:lang w:val="en-US" w:eastAsia="zh-CN" w:bidi="ar"/>
              </w:rPr>
              <w:t>70%</w:t>
            </w:r>
          </w:p>
        </w:tc>
        <w:tc>
          <w:tcPr>
            <w:tcW w:w="1134" w:type="dxa"/>
            <w:tcBorders>
              <w:top w:val="single" w:color="auto" w:sz="8" w:space="0"/>
              <w:bottom w:val="single" w:color="auto" w:sz="8" w:space="0"/>
            </w:tcBorders>
            <w:vAlign w:val="center"/>
          </w:tcPr>
          <w:p w14:paraId="3D1A465A">
            <w:pPr>
              <w:spacing w:line="240" w:lineRule="auto"/>
              <w:jc w:val="center"/>
              <w:rPr>
                <w:b/>
                <w:bCs/>
                <w:sz w:val="21"/>
                <w:szCs w:val="21"/>
              </w:rPr>
            </w:pPr>
            <w:r>
              <w:rPr>
                <w:rFonts w:hint="eastAsia"/>
                <w:color w:val="000000"/>
                <w:spacing w:val="20"/>
                <w:kern w:val="0"/>
                <w:sz w:val="16"/>
                <w:szCs w:val="16"/>
                <w:shd w:val="clear" w:color="auto" w:fill="FFFFFF"/>
                <w:lang w:val="en-US" w:eastAsia="zh-CN" w:bidi="ar"/>
              </w:rPr>
              <w:t>85%</w:t>
            </w:r>
          </w:p>
        </w:tc>
      </w:tr>
      <w:tr w14:paraId="29655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restart"/>
            <w:tcBorders>
              <w:top w:val="single" w:color="auto" w:sz="8" w:space="0"/>
            </w:tcBorders>
            <w:vAlign w:val="center"/>
          </w:tcPr>
          <w:p w14:paraId="72F9CDA4">
            <w:pPr>
              <w:spacing w:line="240" w:lineRule="auto"/>
              <w:jc w:val="center"/>
              <w:rPr>
                <w:b/>
                <w:bCs/>
                <w:sz w:val="21"/>
                <w:szCs w:val="21"/>
              </w:rPr>
            </w:pPr>
            <w:r>
              <w:rPr>
                <w:sz w:val="18"/>
                <w:szCs w:val="18"/>
              </w:rPr>
              <w:t>pH</w:t>
            </w:r>
          </w:p>
        </w:tc>
        <w:tc>
          <w:tcPr>
            <w:tcW w:w="1612" w:type="dxa"/>
            <w:tcBorders>
              <w:top w:val="single" w:color="auto" w:sz="8" w:space="0"/>
            </w:tcBorders>
            <w:vAlign w:val="center"/>
          </w:tcPr>
          <w:p w14:paraId="745302AA">
            <w:pPr>
              <w:spacing w:line="240" w:lineRule="auto"/>
              <w:jc w:val="center"/>
              <w:rPr>
                <w:b/>
                <w:bCs/>
                <w:sz w:val="21"/>
                <w:szCs w:val="21"/>
              </w:rPr>
            </w:pPr>
            <w:r>
              <w:rPr>
                <w:color w:val="000000"/>
                <w:kern w:val="0"/>
                <w:sz w:val="18"/>
                <w:szCs w:val="18"/>
                <w:lang w:bidi="ar"/>
              </w:rPr>
              <w:t>P</w:t>
            </w:r>
            <w:r>
              <w:rPr>
                <w:rStyle w:val="26"/>
                <w:sz w:val="18"/>
                <w:szCs w:val="18"/>
                <w:lang w:bidi="ar"/>
              </w:rPr>
              <w:t>1</w:t>
            </w:r>
          </w:p>
        </w:tc>
        <w:tc>
          <w:tcPr>
            <w:tcW w:w="2268" w:type="dxa"/>
            <w:tcBorders>
              <w:top w:val="single" w:color="auto" w:sz="8" w:space="0"/>
            </w:tcBorders>
            <w:vAlign w:val="center"/>
          </w:tcPr>
          <w:p w14:paraId="2F9A17CA">
            <w:pPr>
              <w:spacing w:line="240" w:lineRule="auto"/>
              <w:jc w:val="center"/>
              <w:rPr>
                <w:b/>
                <w:bCs/>
                <w:sz w:val="21"/>
                <w:szCs w:val="21"/>
              </w:rPr>
            </w:pPr>
            <w:r>
              <w:rPr>
                <w:sz w:val="18"/>
                <w:szCs w:val="18"/>
              </w:rPr>
              <w:t xml:space="preserve">5.04 </w:t>
            </w:r>
          </w:p>
        </w:tc>
        <w:tc>
          <w:tcPr>
            <w:tcW w:w="1134" w:type="dxa"/>
            <w:tcBorders>
              <w:top w:val="single" w:color="auto" w:sz="8" w:space="0"/>
            </w:tcBorders>
            <w:vAlign w:val="center"/>
          </w:tcPr>
          <w:p w14:paraId="458F66BE">
            <w:pPr>
              <w:spacing w:line="240" w:lineRule="auto"/>
              <w:jc w:val="center"/>
              <w:rPr>
                <w:rFonts w:hint="eastAsia" w:eastAsia="宋体"/>
                <w:b/>
                <w:bCs/>
                <w:sz w:val="21"/>
                <w:szCs w:val="21"/>
                <w:lang w:val="en-US" w:eastAsia="zh-CN"/>
              </w:rPr>
            </w:pPr>
            <w:r>
              <w:rPr>
                <w:sz w:val="18"/>
                <w:szCs w:val="18"/>
              </w:rPr>
              <w:t>4.86</w:t>
            </w:r>
            <w:r>
              <w:rPr>
                <w:rFonts w:hint="eastAsia"/>
                <w:sz w:val="18"/>
                <w:szCs w:val="18"/>
                <w:lang w:val="en-US" w:eastAsia="zh-CN"/>
              </w:rPr>
              <w:t xml:space="preserve"> B</w:t>
            </w:r>
          </w:p>
        </w:tc>
      </w:tr>
      <w:tr w14:paraId="74AE1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2EBB0D0F">
            <w:pPr>
              <w:spacing w:line="240" w:lineRule="auto"/>
              <w:jc w:val="center"/>
              <w:rPr>
                <w:b/>
                <w:bCs/>
                <w:sz w:val="21"/>
                <w:szCs w:val="21"/>
              </w:rPr>
            </w:pPr>
          </w:p>
        </w:tc>
        <w:tc>
          <w:tcPr>
            <w:tcW w:w="1612" w:type="dxa"/>
            <w:vAlign w:val="center"/>
          </w:tcPr>
          <w:p w14:paraId="58F0B1FE">
            <w:pPr>
              <w:spacing w:line="240" w:lineRule="auto"/>
              <w:jc w:val="center"/>
              <w:rPr>
                <w:b/>
                <w:bCs/>
                <w:sz w:val="21"/>
                <w:szCs w:val="21"/>
              </w:rPr>
            </w:pPr>
            <w:r>
              <w:rPr>
                <w:color w:val="000000"/>
                <w:kern w:val="0"/>
                <w:sz w:val="18"/>
                <w:szCs w:val="18"/>
                <w:lang w:bidi="ar"/>
              </w:rPr>
              <w:t>P</w:t>
            </w:r>
            <w:r>
              <w:rPr>
                <w:rStyle w:val="26"/>
                <w:sz w:val="18"/>
                <w:szCs w:val="18"/>
                <w:lang w:bidi="ar"/>
              </w:rPr>
              <w:t>2</w:t>
            </w:r>
          </w:p>
        </w:tc>
        <w:tc>
          <w:tcPr>
            <w:tcW w:w="2268" w:type="dxa"/>
            <w:vAlign w:val="center"/>
          </w:tcPr>
          <w:p w14:paraId="24E94A4C">
            <w:pPr>
              <w:spacing w:line="240" w:lineRule="auto"/>
              <w:jc w:val="center"/>
              <w:rPr>
                <w:b/>
                <w:bCs/>
                <w:sz w:val="21"/>
                <w:szCs w:val="21"/>
              </w:rPr>
            </w:pPr>
            <w:r>
              <w:rPr>
                <w:sz w:val="18"/>
                <w:szCs w:val="18"/>
              </w:rPr>
              <w:t xml:space="preserve">5.01 </w:t>
            </w:r>
          </w:p>
        </w:tc>
        <w:tc>
          <w:tcPr>
            <w:tcW w:w="1134" w:type="dxa"/>
            <w:vAlign w:val="center"/>
          </w:tcPr>
          <w:p w14:paraId="24D4041A">
            <w:pPr>
              <w:spacing w:line="240" w:lineRule="auto"/>
              <w:jc w:val="center"/>
              <w:rPr>
                <w:b/>
                <w:bCs/>
                <w:sz w:val="21"/>
                <w:szCs w:val="21"/>
              </w:rPr>
            </w:pPr>
            <w:r>
              <w:rPr>
                <w:sz w:val="18"/>
                <w:szCs w:val="18"/>
              </w:rPr>
              <w:t>4.61 B</w:t>
            </w:r>
          </w:p>
        </w:tc>
      </w:tr>
      <w:tr w14:paraId="1C409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57012B13">
            <w:pPr>
              <w:spacing w:line="240" w:lineRule="auto"/>
              <w:jc w:val="center"/>
              <w:rPr>
                <w:b/>
                <w:bCs/>
                <w:sz w:val="21"/>
                <w:szCs w:val="21"/>
              </w:rPr>
            </w:pPr>
          </w:p>
        </w:tc>
        <w:tc>
          <w:tcPr>
            <w:tcW w:w="1612" w:type="dxa"/>
            <w:vAlign w:val="center"/>
          </w:tcPr>
          <w:p w14:paraId="62DE56D6">
            <w:pPr>
              <w:spacing w:line="240" w:lineRule="auto"/>
              <w:jc w:val="center"/>
              <w:rPr>
                <w:b/>
                <w:bCs/>
                <w:sz w:val="21"/>
                <w:szCs w:val="21"/>
              </w:rPr>
            </w:pPr>
            <w:r>
              <w:rPr>
                <w:color w:val="000000"/>
                <w:kern w:val="0"/>
                <w:sz w:val="18"/>
                <w:szCs w:val="18"/>
                <w:lang w:bidi="ar"/>
              </w:rPr>
              <w:t>P</w:t>
            </w:r>
            <w:r>
              <w:rPr>
                <w:rStyle w:val="26"/>
                <w:sz w:val="18"/>
                <w:szCs w:val="18"/>
                <w:lang w:bidi="ar"/>
              </w:rPr>
              <w:t>1</w:t>
            </w:r>
            <w:r>
              <w:rPr>
                <w:rStyle w:val="18"/>
                <w:sz w:val="18"/>
                <w:szCs w:val="18"/>
                <w:lang w:bidi="ar"/>
              </w:rPr>
              <w:t>L</w:t>
            </w:r>
          </w:p>
        </w:tc>
        <w:tc>
          <w:tcPr>
            <w:tcW w:w="2268" w:type="dxa"/>
            <w:vAlign w:val="center"/>
          </w:tcPr>
          <w:p w14:paraId="06B62EE8">
            <w:pPr>
              <w:spacing w:line="240" w:lineRule="auto"/>
              <w:jc w:val="center"/>
              <w:rPr>
                <w:b/>
                <w:bCs/>
                <w:sz w:val="21"/>
                <w:szCs w:val="21"/>
              </w:rPr>
            </w:pPr>
            <w:r>
              <w:rPr>
                <w:sz w:val="18"/>
                <w:szCs w:val="18"/>
              </w:rPr>
              <w:t xml:space="preserve">5.13 </w:t>
            </w:r>
          </w:p>
        </w:tc>
        <w:tc>
          <w:tcPr>
            <w:tcW w:w="1134" w:type="dxa"/>
            <w:vAlign w:val="center"/>
          </w:tcPr>
          <w:p w14:paraId="1632219F">
            <w:pPr>
              <w:spacing w:line="240" w:lineRule="auto"/>
              <w:jc w:val="center"/>
              <w:rPr>
                <w:b/>
                <w:bCs/>
                <w:sz w:val="21"/>
                <w:szCs w:val="21"/>
              </w:rPr>
            </w:pPr>
            <w:r>
              <w:rPr>
                <w:sz w:val="18"/>
                <w:szCs w:val="18"/>
              </w:rPr>
              <w:t>5.13 A</w:t>
            </w:r>
          </w:p>
        </w:tc>
      </w:tr>
      <w:tr w14:paraId="731C5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7431B1E7">
            <w:pPr>
              <w:spacing w:line="240" w:lineRule="auto"/>
              <w:jc w:val="center"/>
              <w:rPr>
                <w:b/>
                <w:bCs/>
                <w:sz w:val="21"/>
                <w:szCs w:val="21"/>
              </w:rPr>
            </w:pPr>
          </w:p>
        </w:tc>
        <w:tc>
          <w:tcPr>
            <w:tcW w:w="1612" w:type="dxa"/>
            <w:vAlign w:val="center"/>
          </w:tcPr>
          <w:p w14:paraId="3182EF8B">
            <w:pPr>
              <w:spacing w:line="240" w:lineRule="auto"/>
              <w:jc w:val="center"/>
              <w:rPr>
                <w:b/>
                <w:bCs/>
                <w:sz w:val="21"/>
                <w:szCs w:val="21"/>
              </w:rPr>
            </w:pPr>
            <w:r>
              <w:rPr>
                <w:color w:val="000000"/>
                <w:kern w:val="0"/>
                <w:sz w:val="18"/>
                <w:szCs w:val="18"/>
                <w:lang w:bidi="ar"/>
              </w:rPr>
              <w:t>P</w:t>
            </w:r>
            <w:r>
              <w:rPr>
                <w:rStyle w:val="26"/>
                <w:sz w:val="18"/>
                <w:szCs w:val="18"/>
                <w:lang w:bidi="ar"/>
              </w:rPr>
              <w:t>2</w:t>
            </w:r>
            <w:r>
              <w:rPr>
                <w:rStyle w:val="18"/>
                <w:sz w:val="18"/>
                <w:szCs w:val="18"/>
                <w:lang w:bidi="ar"/>
              </w:rPr>
              <w:t>L</w:t>
            </w:r>
          </w:p>
        </w:tc>
        <w:tc>
          <w:tcPr>
            <w:tcW w:w="2268" w:type="dxa"/>
            <w:vAlign w:val="center"/>
          </w:tcPr>
          <w:p w14:paraId="072C6E75">
            <w:pPr>
              <w:spacing w:line="240" w:lineRule="auto"/>
              <w:jc w:val="center"/>
              <w:rPr>
                <w:b/>
                <w:bCs/>
                <w:sz w:val="21"/>
                <w:szCs w:val="21"/>
              </w:rPr>
            </w:pPr>
            <w:r>
              <w:rPr>
                <w:sz w:val="18"/>
                <w:szCs w:val="18"/>
              </w:rPr>
              <w:t xml:space="preserve">5.09 </w:t>
            </w:r>
          </w:p>
        </w:tc>
        <w:tc>
          <w:tcPr>
            <w:tcW w:w="1134" w:type="dxa"/>
            <w:vAlign w:val="center"/>
          </w:tcPr>
          <w:p w14:paraId="4E963281">
            <w:pPr>
              <w:spacing w:line="240" w:lineRule="auto"/>
              <w:jc w:val="center"/>
              <w:rPr>
                <w:b/>
                <w:bCs/>
                <w:sz w:val="21"/>
                <w:szCs w:val="21"/>
              </w:rPr>
            </w:pPr>
            <w:r>
              <w:rPr>
                <w:sz w:val="18"/>
                <w:szCs w:val="18"/>
              </w:rPr>
              <w:t>5.08 A</w:t>
            </w:r>
          </w:p>
        </w:tc>
      </w:tr>
      <w:tr w14:paraId="3A121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21D9FF2F">
            <w:pPr>
              <w:spacing w:line="240" w:lineRule="auto"/>
              <w:jc w:val="center"/>
              <w:rPr>
                <w:b/>
                <w:bCs/>
                <w:sz w:val="21"/>
                <w:szCs w:val="21"/>
              </w:rPr>
            </w:pPr>
          </w:p>
        </w:tc>
        <w:tc>
          <w:tcPr>
            <w:tcW w:w="1612" w:type="dxa"/>
            <w:vAlign w:val="center"/>
          </w:tcPr>
          <w:p w14:paraId="431F7EEC">
            <w:pPr>
              <w:spacing w:line="240" w:lineRule="auto"/>
              <w:jc w:val="center"/>
              <w:rPr>
                <w:b/>
                <w:bCs/>
                <w:sz w:val="21"/>
                <w:szCs w:val="21"/>
              </w:rPr>
            </w:pPr>
            <w:r>
              <w:rPr>
                <w:rFonts w:hint="eastAsia"/>
                <w:color w:val="000000"/>
                <w:kern w:val="0"/>
                <w:sz w:val="18"/>
                <w:szCs w:val="18"/>
                <w:lang w:bidi="ar"/>
              </w:rPr>
              <w:t>CK</w:t>
            </w:r>
          </w:p>
        </w:tc>
        <w:tc>
          <w:tcPr>
            <w:tcW w:w="2268" w:type="dxa"/>
            <w:vAlign w:val="center"/>
          </w:tcPr>
          <w:p w14:paraId="2A54FD33">
            <w:pPr>
              <w:spacing w:line="240" w:lineRule="auto"/>
              <w:jc w:val="center"/>
              <w:rPr>
                <w:b/>
                <w:bCs/>
                <w:sz w:val="21"/>
                <w:szCs w:val="21"/>
              </w:rPr>
            </w:pPr>
            <w:r>
              <w:rPr>
                <w:sz w:val="18"/>
                <w:szCs w:val="18"/>
              </w:rPr>
              <w:t>5.07</w:t>
            </w:r>
          </w:p>
        </w:tc>
        <w:tc>
          <w:tcPr>
            <w:tcW w:w="1134" w:type="dxa"/>
            <w:vAlign w:val="center"/>
          </w:tcPr>
          <w:p w14:paraId="198262B9">
            <w:pPr>
              <w:spacing w:line="240" w:lineRule="auto"/>
              <w:jc w:val="center"/>
              <w:rPr>
                <w:b/>
                <w:bCs/>
                <w:sz w:val="21"/>
                <w:szCs w:val="21"/>
              </w:rPr>
            </w:pPr>
            <w:r>
              <w:rPr>
                <w:sz w:val="18"/>
                <w:szCs w:val="18"/>
              </w:rPr>
              <w:t>5.12 A</w:t>
            </w:r>
          </w:p>
        </w:tc>
      </w:tr>
      <w:tr w14:paraId="191F8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restart"/>
            <w:vAlign w:val="center"/>
          </w:tcPr>
          <w:p w14:paraId="3EBCC8E3">
            <w:pPr>
              <w:widowControl/>
              <w:adjustRightInd w:val="0"/>
              <w:snapToGrid w:val="0"/>
              <w:spacing w:line="240" w:lineRule="auto"/>
              <w:jc w:val="center"/>
              <w:textAlignment w:val="center"/>
              <w:rPr>
                <w:sz w:val="18"/>
                <w:szCs w:val="18"/>
              </w:rPr>
            </w:pPr>
            <w:r>
              <w:rPr>
                <w:rFonts w:hint="eastAsia"/>
                <w:sz w:val="18"/>
                <w:szCs w:val="18"/>
                <w:lang w:val="en-US" w:eastAsia="zh-CN"/>
              </w:rPr>
              <w:t>氨态氮</w:t>
            </w:r>
            <w:r>
              <w:rPr>
                <w:sz w:val="18"/>
                <w:szCs w:val="18"/>
              </w:rPr>
              <w:t>NH</w:t>
            </w:r>
            <w:r>
              <w:rPr>
                <w:sz w:val="18"/>
                <w:szCs w:val="18"/>
                <w:vertAlign w:val="subscript"/>
              </w:rPr>
              <w:t>3</w:t>
            </w:r>
            <w:r>
              <w:rPr>
                <w:sz w:val="18"/>
                <w:szCs w:val="18"/>
              </w:rPr>
              <w:t>-N</w:t>
            </w:r>
          </w:p>
          <w:p w14:paraId="6B736F13">
            <w:pPr>
              <w:widowControl/>
              <w:adjustRightInd w:val="0"/>
              <w:snapToGrid w:val="0"/>
              <w:spacing w:line="240" w:lineRule="auto"/>
              <w:jc w:val="center"/>
              <w:textAlignment w:val="center"/>
              <w:rPr>
                <w:sz w:val="18"/>
                <w:szCs w:val="18"/>
              </w:rPr>
            </w:pPr>
            <w:r>
              <w:rPr>
                <w:sz w:val="18"/>
                <w:szCs w:val="18"/>
              </w:rPr>
              <w:t>(g kg</w:t>
            </w:r>
            <w:r>
              <w:rPr>
                <w:sz w:val="18"/>
                <w:szCs w:val="18"/>
                <w:vertAlign w:val="superscript"/>
              </w:rPr>
              <w:t>-1</w:t>
            </w:r>
            <w:r>
              <w:rPr>
                <w:sz w:val="18"/>
                <w:szCs w:val="18"/>
              </w:rPr>
              <w:t xml:space="preserve"> DM)</w:t>
            </w:r>
          </w:p>
          <w:p w14:paraId="46791819">
            <w:pPr>
              <w:spacing w:line="240" w:lineRule="auto"/>
              <w:jc w:val="center"/>
              <w:rPr>
                <w:b/>
                <w:bCs/>
                <w:sz w:val="21"/>
                <w:szCs w:val="21"/>
              </w:rPr>
            </w:pPr>
          </w:p>
        </w:tc>
        <w:tc>
          <w:tcPr>
            <w:tcW w:w="1612" w:type="dxa"/>
            <w:vAlign w:val="center"/>
          </w:tcPr>
          <w:p w14:paraId="2E9E5C03">
            <w:pPr>
              <w:spacing w:line="240" w:lineRule="auto"/>
              <w:jc w:val="center"/>
              <w:rPr>
                <w:b/>
                <w:bCs/>
                <w:sz w:val="21"/>
                <w:szCs w:val="21"/>
              </w:rPr>
            </w:pPr>
            <w:r>
              <w:rPr>
                <w:color w:val="000000"/>
                <w:kern w:val="0"/>
                <w:sz w:val="18"/>
                <w:szCs w:val="18"/>
                <w:lang w:bidi="ar"/>
              </w:rPr>
              <w:t>P</w:t>
            </w:r>
            <w:r>
              <w:rPr>
                <w:rStyle w:val="26"/>
                <w:sz w:val="18"/>
                <w:szCs w:val="18"/>
                <w:lang w:bidi="ar"/>
              </w:rPr>
              <w:t>1</w:t>
            </w:r>
          </w:p>
        </w:tc>
        <w:tc>
          <w:tcPr>
            <w:tcW w:w="2268" w:type="dxa"/>
            <w:vAlign w:val="center"/>
          </w:tcPr>
          <w:p w14:paraId="0C3CAC45">
            <w:pPr>
              <w:spacing w:line="240" w:lineRule="auto"/>
              <w:jc w:val="center"/>
              <w:rPr>
                <w:b/>
                <w:bCs/>
                <w:sz w:val="21"/>
                <w:szCs w:val="21"/>
              </w:rPr>
            </w:pPr>
            <w:r>
              <w:rPr>
                <w:rFonts w:hint="eastAsia"/>
                <w:sz w:val="18"/>
                <w:szCs w:val="18"/>
              </w:rPr>
              <w:t>4</w:t>
            </w:r>
            <w:r>
              <w:rPr>
                <w:sz w:val="18"/>
                <w:szCs w:val="18"/>
              </w:rPr>
              <w:t>.4 B</w:t>
            </w:r>
          </w:p>
        </w:tc>
        <w:tc>
          <w:tcPr>
            <w:tcW w:w="1134" w:type="dxa"/>
            <w:vAlign w:val="center"/>
          </w:tcPr>
          <w:p w14:paraId="0EA989FE">
            <w:pPr>
              <w:spacing w:line="240" w:lineRule="auto"/>
              <w:jc w:val="center"/>
              <w:rPr>
                <w:b/>
                <w:bCs/>
                <w:sz w:val="21"/>
                <w:szCs w:val="21"/>
              </w:rPr>
            </w:pPr>
            <w:r>
              <w:rPr>
                <w:rFonts w:hint="eastAsia"/>
                <w:sz w:val="18"/>
                <w:szCs w:val="18"/>
              </w:rPr>
              <w:t>4</w:t>
            </w:r>
            <w:r>
              <w:rPr>
                <w:sz w:val="18"/>
                <w:szCs w:val="18"/>
              </w:rPr>
              <w:t>.2 B</w:t>
            </w:r>
          </w:p>
        </w:tc>
      </w:tr>
      <w:tr w14:paraId="1FA3A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6A9FD5FB">
            <w:pPr>
              <w:spacing w:line="240" w:lineRule="auto"/>
              <w:jc w:val="center"/>
              <w:rPr>
                <w:b/>
                <w:bCs/>
                <w:sz w:val="21"/>
                <w:szCs w:val="21"/>
              </w:rPr>
            </w:pPr>
          </w:p>
        </w:tc>
        <w:tc>
          <w:tcPr>
            <w:tcW w:w="1612" w:type="dxa"/>
            <w:vAlign w:val="center"/>
          </w:tcPr>
          <w:p w14:paraId="10E0DDA5">
            <w:pPr>
              <w:spacing w:line="240" w:lineRule="auto"/>
              <w:jc w:val="center"/>
              <w:rPr>
                <w:b/>
                <w:bCs/>
                <w:sz w:val="21"/>
                <w:szCs w:val="21"/>
              </w:rPr>
            </w:pPr>
            <w:r>
              <w:rPr>
                <w:color w:val="000000"/>
                <w:kern w:val="0"/>
                <w:sz w:val="18"/>
                <w:szCs w:val="18"/>
                <w:lang w:bidi="ar"/>
              </w:rPr>
              <w:t>P</w:t>
            </w:r>
            <w:r>
              <w:rPr>
                <w:rStyle w:val="26"/>
                <w:sz w:val="18"/>
                <w:szCs w:val="18"/>
                <w:lang w:bidi="ar"/>
              </w:rPr>
              <w:t>2</w:t>
            </w:r>
          </w:p>
        </w:tc>
        <w:tc>
          <w:tcPr>
            <w:tcW w:w="2268" w:type="dxa"/>
            <w:vAlign w:val="center"/>
          </w:tcPr>
          <w:p w14:paraId="1DA3C628">
            <w:pPr>
              <w:spacing w:line="240" w:lineRule="auto"/>
              <w:jc w:val="center"/>
              <w:rPr>
                <w:b/>
                <w:bCs/>
                <w:sz w:val="21"/>
                <w:szCs w:val="21"/>
              </w:rPr>
            </w:pPr>
            <w:r>
              <w:rPr>
                <w:rFonts w:hint="eastAsia"/>
                <w:sz w:val="18"/>
                <w:szCs w:val="18"/>
              </w:rPr>
              <w:t>4</w:t>
            </w:r>
            <w:r>
              <w:rPr>
                <w:sz w:val="18"/>
                <w:szCs w:val="18"/>
              </w:rPr>
              <w:t>.1 B</w:t>
            </w:r>
          </w:p>
        </w:tc>
        <w:tc>
          <w:tcPr>
            <w:tcW w:w="1134" w:type="dxa"/>
            <w:vAlign w:val="center"/>
          </w:tcPr>
          <w:p w14:paraId="2EF59D63">
            <w:pPr>
              <w:spacing w:line="240" w:lineRule="auto"/>
              <w:jc w:val="center"/>
              <w:rPr>
                <w:b/>
                <w:bCs/>
                <w:sz w:val="21"/>
                <w:szCs w:val="21"/>
              </w:rPr>
            </w:pPr>
            <w:r>
              <w:rPr>
                <w:rFonts w:hint="eastAsia"/>
                <w:sz w:val="18"/>
                <w:szCs w:val="18"/>
              </w:rPr>
              <w:t>3</w:t>
            </w:r>
            <w:r>
              <w:rPr>
                <w:sz w:val="18"/>
                <w:szCs w:val="18"/>
              </w:rPr>
              <w:t>.7 B</w:t>
            </w:r>
          </w:p>
        </w:tc>
      </w:tr>
      <w:tr w14:paraId="39050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63AE2E45">
            <w:pPr>
              <w:spacing w:line="240" w:lineRule="auto"/>
              <w:jc w:val="center"/>
              <w:rPr>
                <w:b/>
                <w:bCs/>
                <w:sz w:val="21"/>
                <w:szCs w:val="21"/>
              </w:rPr>
            </w:pPr>
          </w:p>
        </w:tc>
        <w:tc>
          <w:tcPr>
            <w:tcW w:w="1612" w:type="dxa"/>
            <w:vAlign w:val="center"/>
          </w:tcPr>
          <w:p w14:paraId="2C31F48B">
            <w:pPr>
              <w:spacing w:line="240" w:lineRule="auto"/>
              <w:jc w:val="center"/>
              <w:rPr>
                <w:b/>
                <w:bCs/>
                <w:sz w:val="21"/>
                <w:szCs w:val="21"/>
              </w:rPr>
            </w:pPr>
            <w:r>
              <w:rPr>
                <w:color w:val="000000"/>
                <w:kern w:val="0"/>
                <w:sz w:val="18"/>
                <w:szCs w:val="18"/>
                <w:lang w:bidi="ar"/>
              </w:rPr>
              <w:t>P</w:t>
            </w:r>
            <w:r>
              <w:rPr>
                <w:rStyle w:val="26"/>
                <w:sz w:val="18"/>
                <w:szCs w:val="18"/>
                <w:lang w:bidi="ar"/>
              </w:rPr>
              <w:t>1</w:t>
            </w:r>
            <w:r>
              <w:rPr>
                <w:rStyle w:val="18"/>
                <w:sz w:val="18"/>
                <w:szCs w:val="18"/>
                <w:lang w:bidi="ar"/>
              </w:rPr>
              <w:t>L</w:t>
            </w:r>
          </w:p>
        </w:tc>
        <w:tc>
          <w:tcPr>
            <w:tcW w:w="2268" w:type="dxa"/>
            <w:vAlign w:val="center"/>
          </w:tcPr>
          <w:p w14:paraId="137F4C6B">
            <w:pPr>
              <w:spacing w:line="240" w:lineRule="auto"/>
              <w:jc w:val="center"/>
              <w:rPr>
                <w:b/>
                <w:bCs/>
                <w:sz w:val="21"/>
                <w:szCs w:val="21"/>
              </w:rPr>
            </w:pPr>
            <w:r>
              <w:rPr>
                <w:rFonts w:hint="eastAsia"/>
                <w:sz w:val="18"/>
                <w:szCs w:val="18"/>
              </w:rPr>
              <w:t>5</w:t>
            </w:r>
            <w:r>
              <w:rPr>
                <w:sz w:val="18"/>
                <w:szCs w:val="18"/>
              </w:rPr>
              <w:t>.0 A</w:t>
            </w:r>
          </w:p>
        </w:tc>
        <w:tc>
          <w:tcPr>
            <w:tcW w:w="1134" w:type="dxa"/>
            <w:vAlign w:val="center"/>
          </w:tcPr>
          <w:p w14:paraId="15A36922">
            <w:pPr>
              <w:spacing w:line="240" w:lineRule="auto"/>
              <w:jc w:val="center"/>
              <w:rPr>
                <w:b/>
                <w:bCs/>
                <w:sz w:val="21"/>
                <w:szCs w:val="21"/>
              </w:rPr>
            </w:pPr>
            <w:r>
              <w:rPr>
                <w:rFonts w:hint="eastAsia"/>
                <w:sz w:val="18"/>
                <w:szCs w:val="18"/>
              </w:rPr>
              <w:t>5</w:t>
            </w:r>
            <w:r>
              <w:rPr>
                <w:sz w:val="18"/>
                <w:szCs w:val="18"/>
              </w:rPr>
              <w:t>.3 A</w:t>
            </w:r>
          </w:p>
        </w:tc>
      </w:tr>
      <w:tr w14:paraId="04F41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10524744">
            <w:pPr>
              <w:spacing w:line="240" w:lineRule="auto"/>
              <w:jc w:val="center"/>
              <w:rPr>
                <w:b/>
                <w:bCs/>
                <w:sz w:val="21"/>
                <w:szCs w:val="21"/>
              </w:rPr>
            </w:pPr>
          </w:p>
        </w:tc>
        <w:tc>
          <w:tcPr>
            <w:tcW w:w="1612" w:type="dxa"/>
            <w:vAlign w:val="center"/>
          </w:tcPr>
          <w:p w14:paraId="3F84AAC2">
            <w:pPr>
              <w:spacing w:line="240" w:lineRule="auto"/>
              <w:jc w:val="center"/>
              <w:rPr>
                <w:b/>
                <w:bCs/>
                <w:sz w:val="21"/>
                <w:szCs w:val="21"/>
              </w:rPr>
            </w:pPr>
            <w:r>
              <w:rPr>
                <w:color w:val="000000"/>
                <w:kern w:val="0"/>
                <w:sz w:val="18"/>
                <w:szCs w:val="18"/>
                <w:lang w:bidi="ar"/>
              </w:rPr>
              <w:t>P</w:t>
            </w:r>
            <w:r>
              <w:rPr>
                <w:rStyle w:val="26"/>
                <w:sz w:val="18"/>
                <w:szCs w:val="18"/>
                <w:lang w:bidi="ar"/>
              </w:rPr>
              <w:t>2</w:t>
            </w:r>
            <w:r>
              <w:rPr>
                <w:rStyle w:val="18"/>
                <w:sz w:val="18"/>
                <w:szCs w:val="18"/>
                <w:lang w:bidi="ar"/>
              </w:rPr>
              <w:t>L</w:t>
            </w:r>
          </w:p>
        </w:tc>
        <w:tc>
          <w:tcPr>
            <w:tcW w:w="2268" w:type="dxa"/>
            <w:vAlign w:val="center"/>
          </w:tcPr>
          <w:p w14:paraId="5F97B103">
            <w:pPr>
              <w:spacing w:line="240" w:lineRule="auto"/>
              <w:jc w:val="center"/>
              <w:rPr>
                <w:b/>
                <w:bCs/>
                <w:sz w:val="21"/>
                <w:szCs w:val="21"/>
              </w:rPr>
            </w:pPr>
            <w:r>
              <w:rPr>
                <w:rFonts w:hint="eastAsia"/>
                <w:sz w:val="18"/>
                <w:szCs w:val="18"/>
              </w:rPr>
              <w:t>4</w:t>
            </w:r>
            <w:r>
              <w:rPr>
                <w:sz w:val="18"/>
                <w:szCs w:val="18"/>
              </w:rPr>
              <w:t>.8 A</w:t>
            </w:r>
          </w:p>
        </w:tc>
        <w:tc>
          <w:tcPr>
            <w:tcW w:w="1134" w:type="dxa"/>
            <w:vAlign w:val="center"/>
          </w:tcPr>
          <w:p w14:paraId="596EA671">
            <w:pPr>
              <w:spacing w:line="240" w:lineRule="auto"/>
              <w:jc w:val="center"/>
              <w:rPr>
                <w:b/>
                <w:bCs/>
                <w:sz w:val="21"/>
                <w:szCs w:val="21"/>
              </w:rPr>
            </w:pPr>
            <w:r>
              <w:rPr>
                <w:rFonts w:hint="eastAsia"/>
                <w:sz w:val="18"/>
                <w:szCs w:val="18"/>
              </w:rPr>
              <w:t>5</w:t>
            </w:r>
            <w:r>
              <w:rPr>
                <w:sz w:val="18"/>
                <w:szCs w:val="18"/>
              </w:rPr>
              <w:t>.0 A</w:t>
            </w:r>
          </w:p>
        </w:tc>
      </w:tr>
      <w:tr w14:paraId="2FE0C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23D1327C">
            <w:pPr>
              <w:spacing w:line="240" w:lineRule="auto"/>
              <w:jc w:val="center"/>
              <w:rPr>
                <w:b/>
                <w:bCs/>
                <w:sz w:val="21"/>
                <w:szCs w:val="21"/>
              </w:rPr>
            </w:pPr>
          </w:p>
        </w:tc>
        <w:tc>
          <w:tcPr>
            <w:tcW w:w="1612" w:type="dxa"/>
            <w:vAlign w:val="center"/>
          </w:tcPr>
          <w:p w14:paraId="2B8A7F1D">
            <w:pPr>
              <w:spacing w:line="240" w:lineRule="auto"/>
              <w:jc w:val="center"/>
              <w:rPr>
                <w:b/>
                <w:bCs/>
                <w:sz w:val="21"/>
                <w:szCs w:val="21"/>
              </w:rPr>
            </w:pPr>
            <w:r>
              <w:rPr>
                <w:rFonts w:hint="eastAsia"/>
                <w:color w:val="000000"/>
                <w:kern w:val="0"/>
                <w:sz w:val="18"/>
                <w:szCs w:val="18"/>
                <w:lang w:bidi="ar"/>
              </w:rPr>
              <w:t>CK</w:t>
            </w:r>
          </w:p>
        </w:tc>
        <w:tc>
          <w:tcPr>
            <w:tcW w:w="2268" w:type="dxa"/>
            <w:vAlign w:val="center"/>
          </w:tcPr>
          <w:p w14:paraId="7B3B3A9F">
            <w:pPr>
              <w:spacing w:line="240" w:lineRule="auto"/>
              <w:jc w:val="center"/>
              <w:rPr>
                <w:b/>
                <w:bCs/>
                <w:sz w:val="21"/>
                <w:szCs w:val="21"/>
              </w:rPr>
            </w:pPr>
            <w:r>
              <w:rPr>
                <w:rFonts w:hint="eastAsia"/>
                <w:sz w:val="18"/>
                <w:szCs w:val="18"/>
              </w:rPr>
              <w:t>4</w:t>
            </w:r>
            <w:r>
              <w:rPr>
                <w:sz w:val="18"/>
                <w:szCs w:val="18"/>
              </w:rPr>
              <w:t>.9 A</w:t>
            </w:r>
          </w:p>
        </w:tc>
        <w:tc>
          <w:tcPr>
            <w:tcW w:w="1134" w:type="dxa"/>
            <w:vAlign w:val="center"/>
          </w:tcPr>
          <w:p w14:paraId="2A44E3B8">
            <w:pPr>
              <w:spacing w:line="240" w:lineRule="auto"/>
              <w:jc w:val="center"/>
              <w:rPr>
                <w:b/>
                <w:bCs/>
                <w:sz w:val="21"/>
                <w:szCs w:val="21"/>
              </w:rPr>
            </w:pPr>
            <w:r>
              <w:rPr>
                <w:rFonts w:hint="eastAsia"/>
                <w:sz w:val="18"/>
                <w:szCs w:val="18"/>
              </w:rPr>
              <w:t>4</w:t>
            </w:r>
            <w:r>
              <w:rPr>
                <w:sz w:val="18"/>
                <w:szCs w:val="18"/>
              </w:rPr>
              <w:t>.7 A</w:t>
            </w:r>
          </w:p>
        </w:tc>
      </w:tr>
      <w:tr w14:paraId="75E28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restart"/>
            <w:vAlign w:val="center"/>
          </w:tcPr>
          <w:p w14:paraId="4E4FA000">
            <w:pPr>
              <w:widowControl/>
              <w:adjustRightInd w:val="0"/>
              <w:snapToGrid w:val="0"/>
              <w:spacing w:line="240" w:lineRule="auto"/>
              <w:jc w:val="center"/>
              <w:textAlignment w:val="center"/>
              <w:rPr>
                <w:sz w:val="18"/>
                <w:szCs w:val="18"/>
              </w:rPr>
            </w:pPr>
            <w:r>
              <w:rPr>
                <w:rFonts w:hint="eastAsia"/>
                <w:sz w:val="18"/>
                <w:szCs w:val="18"/>
                <w:lang w:val="en-US" w:eastAsia="zh-CN"/>
              </w:rPr>
              <w:t>乳酸</w:t>
            </w:r>
            <w:r>
              <w:rPr>
                <w:sz w:val="18"/>
                <w:szCs w:val="18"/>
              </w:rPr>
              <w:t>LA</w:t>
            </w:r>
          </w:p>
          <w:p w14:paraId="5FB9F5A4">
            <w:pPr>
              <w:spacing w:line="240" w:lineRule="auto"/>
              <w:jc w:val="center"/>
              <w:rPr>
                <w:b/>
                <w:bCs/>
                <w:sz w:val="21"/>
                <w:szCs w:val="21"/>
              </w:rPr>
            </w:pPr>
            <w:r>
              <w:rPr>
                <w:sz w:val="18"/>
                <w:szCs w:val="18"/>
              </w:rPr>
              <w:t>(g kg</w:t>
            </w:r>
            <w:r>
              <w:rPr>
                <w:sz w:val="18"/>
                <w:szCs w:val="18"/>
                <w:vertAlign w:val="superscript"/>
              </w:rPr>
              <w:t>-1</w:t>
            </w:r>
            <w:r>
              <w:rPr>
                <w:sz w:val="18"/>
                <w:szCs w:val="18"/>
              </w:rPr>
              <w:t xml:space="preserve"> DM)</w:t>
            </w:r>
          </w:p>
        </w:tc>
        <w:tc>
          <w:tcPr>
            <w:tcW w:w="1612" w:type="dxa"/>
            <w:vAlign w:val="center"/>
          </w:tcPr>
          <w:p w14:paraId="7C118604">
            <w:pPr>
              <w:spacing w:line="240" w:lineRule="auto"/>
              <w:jc w:val="center"/>
              <w:rPr>
                <w:b/>
                <w:bCs/>
                <w:sz w:val="21"/>
                <w:szCs w:val="21"/>
              </w:rPr>
            </w:pPr>
            <w:r>
              <w:rPr>
                <w:color w:val="000000"/>
                <w:kern w:val="0"/>
                <w:sz w:val="18"/>
                <w:szCs w:val="18"/>
                <w:lang w:bidi="ar"/>
              </w:rPr>
              <w:t>P</w:t>
            </w:r>
            <w:r>
              <w:rPr>
                <w:rStyle w:val="26"/>
                <w:sz w:val="18"/>
                <w:szCs w:val="18"/>
                <w:lang w:bidi="ar"/>
              </w:rPr>
              <w:t>1</w:t>
            </w:r>
          </w:p>
        </w:tc>
        <w:tc>
          <w:tcPr>
            <w:tcW w:w="2268" w:type="dxa"/>
            <w:vAlign w:val="center"/>
          </w:tcPr>
          <w:p w14:paraId="474F47CE">
            <w:pPr>
              <w:spacing w:line="240" w:lineRule="auto"/>
              <w:jc w:val="center"/>
              <w:rPr>
                <w:b/>
                <w:bCs/>
                <w:sz w:val="21"/>
                <w:szCs w:val="21"/>
              </w:rPr>
            </w:pPr>
            <w:r>
              <w:rPr>
                <w:sz w:val="18"/>
                <w:szCs w:val="18"/>
              </w:rPr>
              <w:t>9.43 A</w:t>
            </w:r>
          </w:p>
        </w:tc>
        <w:tc>
          <w:tcPr>
            <w:tcW w:w="1134" w:type="dxa"/>
            <w:vAlign w:val="center"/>
          </w:tcPr>
          <w:p w14:paraId="47828985">
            <w:pPr>
              <w:spacing w:line="240" w:lineRule="auto"/>
              <w:jc w:val="center"/>
              <w:rPr>
                <w:b/>
                <w:bCs/>
                <w:sz w:val="21"/>
                <w:szCs w:val="21"/>
              </w:rPr>
            </w:pPr>
            <w:r>
              <w:rPr>
                <w:sz w:val="18"/>
                <w:szCs w:val="18"/>
              </w:rPr>
              <w:t>12.22 B</w:t>
            </w:r>
          </w:p>
        </w:tc>
      </w:tr>
      <w:tr w14:paraId="7B0E5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0F0BEC2E">
            <w:pPr>
              <w:spacing w:line="240" w:lineRule="auto"/>
              <w:jc w:val="center"/>
              <w:rPr>
                <w:b/>
                <w:bCs/>
                <w:sz w:val="21"/>
                <w:szCs w:val="21"/>
              </w:rPr>
            </w:pPr>
          </w:p>
        </w:tc>
        <w:tc>
          <w:tcPr>
            <w:tcW w:w="1612" w:type="dxa"/>
            <w:vAlign w:val="center"/>
          </w:tcPr>
          <w:p w14:paraId="577065DE">
            <w:pPr>
              <w:spacing w:line="240" w:lineRule="auto"/>
              <w:jc w:val="center"/>
              <w:rPr>
                <w:b/>
                <w:bCs/>
                <w:sz w:val="21"/>
                <w:szCs w:val="21"/>
              </w:rPr>
            </w:pPr>
            <w:r>
              <w:rPr>
                <w:color w:val="000000"/>
                <w:kern w:val="0"/>
                <w:sz w:val="18"/>
                <w:szCs w:val="18"/>
                <w:lang w:bidi="ar"/>
              </w:rPr>
              <w:t>P</w:t>
            </w:r>
            <w:r>
              <w:rPr>
                <w:rStyle w:val="26"/>
                <w:sz w:val="18"/>
                <w:szCs w:val="18"/>
                <w:lang w:bidi="ar"/>
              </w:rPr>
              <w:t>2</w:t>
            </w:r>
          </w:p>
        </w:tc>
        <w:tc>
          <w:tcPr>
            <w:tcW w:w="2268" w:type="dxa"/>
            <w:vAlign w:val="center"/>
          </w:tcPr>
          <w:p w14:paraId="0E00E898">
            <w:pPr>
              <w:spacing w:line="240" w:lineRule="auto"/>
              <w:jc w:val="center"/>
              <w:rPr>
                <w:b/>
                <w:bCs/>
                <w:sz w:val="21"/>
                <w:szCs w:val="21"/>
              </w:rPr>
            </w:pPr>
            <w:r>
              <w:rPr>
                <w:sz w:val="18"/>
                <w:szCs w:val="18"/>
              </w:rPr>
              <w:t>9.13 A</w:t>
            </w:r>
          </w:p>
        </w:tc>
        <w:tc>
          <w:tcPr>
            <w:tcW w:w="1134" w:type="dxa"/>
            <w:vAlign w:val="center"/>
          </w:tcPr>
          <w:p w14:paraId="53E7B4C2">
            <w:pPr>
              <w:spacing w:line="240" w:lineRule="auto"/>
              <w:jc w:val="center"/>
              <w:rPr>
                <w:b/>
                <w:bCs/>
                <w:sz w:val="21"/>
                <w:szCs w:val="21"/>
              </w:rPr>
            </w:pPr>
            <w:r>
              <w:rPr>
                <w:sz w:val="18"/>
                <w:szCs w:val="18"/>
              </w:rPr>
              <w:t>19.96 A</w:t>
            </w:r>
          </w:p>
        </w:tc>
      </w:tr>
      <w:tr w14:paraId="2EA1A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6F2EE4F7">
            <w:pPr>
              <w:spacing w:line="240" w:lineRule="auto"/>
              <w:jc w:val="center"/>
              <w:rPr>
                <w:b/>
                <w:bCs/>
                <w:sz w:val="21"/>
                <w:szCs w:val="21"/>
              </w:rPr>
            </w:pPr>
          </w:p>
        </w:tc>
        <w:tc>
          <w:tcPr>
            <w:tcW w:w="1612" w:type="dxa"/>
            <w:vAlign w:val="center"/>
          </w:tcPr>
          <w:p w14:paraId="7512D36F">
            <w:pPr>
              <w:spacing w:line="240" w:lineRule="auto"/>
              <w:jc w:val="center"/>
              <w:rPr>
                <w:b/>
                <w:bCs/>
                <w:sz w:val="21"/>
                <w:szCs w:val="21"/>
              </w:rPr>
            </w:pPr>
            <w:r>
              <w:rPr>
                <w:color w:val="000000"/>
                <w:kern w:val="0"/>
                <w:sz w:val="18"/>
                <w:szCs w:val="18"/>
                <w:lang w:bidi="ar"/>
              </w:rPr>
              <w:t>P</w:t>
            </w:r>
            <w:r>
              <w:rPr>
                <w:rStyle w:val="26"/>
                <w:sz w:val="18"/>
                <w:szCs w:val="18"/>
                <w:lang w:bidi="ar"/>
              </w:rPr>
              <w:t>1</w:t>
            </w:r>
            <w:r>
              <w:rPr>
                <w:rStyle w:val="18"/>
                <w:sz w:val="18"/>
                <w:szCs w:val="18"/>
                <w:lang w:bidi="ar"/>
              </w:rPr>
              <w:t>L</w:t>
            </w:r>
          </w:p>
        </w:tc>
        <w:tc>
          <w:tcPr>
            <w:tcW w:w="2268" w:type="dxa"/>
            <w:vAlign w:val="center"/>
          </w:tcPr>
          <w:p w14:paraId="6E464554">
            <w:pPr>
              <w:spacing w:line="240" w:lineRule="auto"/>
              <w:jc w:val="center"/>
              <w:rPr>
                <w:b/>
                <w:bCs/>
                <w:sz w:val="21"/>
                <w:szCs w:val="21"/>
              </w:rPr>
            </w:pPr>
            <w:r>
              <w:rPr>
                <w:sz w:val="18"/>
                <w:szCs w:val="18"/>
              </w:rPr>
              <w:t>5.65 B</w:t>
            </w:r>
          </w:p>
        </w:tc>
        <w:tc>
          <w:tcPr>
            <w:tcW w:w="1134" w:type="dxa"/>
            <w:vAlign w:val="center"/>
          </w:tcPr>
          <w:p w14:paraId="18DE9909">
            <w:pPr>
              <w:spacing w:line="240" w:lineRule="auto"/>
              <w:jc w:val="center"/>
              <w:rPr>
                <w:b/>
                <w:bCs/>
                <w:sz w:val="21"/>
                <w:szCs w:val="21"/>
              </w:rPr>
            </w:pPr>
            <w:r>
              <w:rPr>
                <w:sz w:val="18"/>
                <w:szCs w:val="18"/>
              </w:rPr>
              <w:t>5.91 C</w:t>
            </w:r>
          </w:p>
        </w:tc>
      </w:tr>
      <w:tr w14:paraId="50F20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0ADAE1A6">
            <w:pPr>
              <w:spacing w:line="240" w:lineRule="auto"/>
              <w:jc w:val="center"/>
              <w:rPr>
                <w:b/>
                <w:bCs/>
                <w:sz w:val="21"/>
                <w:szCs w:val="21"/>
              </w:rPr>
            </w:pPr>
          </w:p>
        </w:tc>
        <w:tc>
          <w:tcPr>
            <w:tcW w:w="1612" w:type="dxa"/>
            <w:vAlign w:val="center"/>
          </w:tcPr>
          <w:p w14:paraId="0A0F4459">
            <w:pPr>
              <w:spacing w:line="240" w:lineRule="auto"/>
              <w:jc w:val="center"/>
              <w:rPr>
                <w:b/>
                <w:bCs/>
                <w:sz w:val="21"/>
                <w:szCs w:val="21"/>
              </w:rPr>
            </w:pPr>
            <w:r>
              <w:rPr>
                <w:color w:val="000000"/>
                <w:kern w:val="0"/>
                <w:sz w:val="18"/>
                <w:szCs w:val="18"/>
                <w:lang w:bidi="ar"/>
              </w:rPr>
              <w:t>P</w:t>
            </w:r>
            <w:r>
              <w:rPr>
                <w:rStyle w:val="26"/>
                <w:sz w:val="18"/>
                <w:szCs w:val="18"/>
                <w:lang w:bidi="ar"/>
              </w:rPr>
              <w:t>2</w:t>
            </w:r>
            <w:r>
              <w:rPr>
                <w:rStyle w:val="18"/>
                <w:sz w:val="18"/>
                <w:szCs w:val="18"/>
                <w:lang w:bidi="ar"/>
              </w:rPr>
              <w:t>L</w:t>
            </w:r>
          </w:p>
        </w:tc>
        <w:tc>
          <w:tcPr>
            <w:tcW w:w="2268" w:type="dxa"/>
            <w:vAlign w:val="center"/>
          </w:tcPr>
          <w:p w14:paraId="06BDAFCD">
            <w:pPr>
              <w:spacing w:line="240" w:lineRule="auto"/>
              <w:jc w:val="center"/>
              <w:rPr>
                <w:b/>
                <w:bCs/>
                <w:sz w:val="21"/>
                <w:szCs w:val="21"/>
              </w:rPr>
            </w:pPr>
            <w:r>
              <w:rPr>
                <w:sz w:val="18"/>
                <w:szCs w:val="18"/>
              </w:rPr>
              <w:t>5.60 B</w:t>
            </w:r>
          </w:p>
        </w:tc>
        <w:tc>
          <w:tcPr>
            <w:tcW w:w="1134" w:type="dxa"/>
            <w:vAlign w:val="center"/>
          </w:tcPr>
          <w:p w14:paraId="360DF80E">
            <w:pPr>
              <w:spacing w:line="240" w:lineRule="auto"/>
              <w:jc w:val="center"/>
              <w:rPr>
                <w:b/>
                <w:bCs/>
                <w:sz w:val="21"/>
                <w:szCs w:val="21"/>
              </w:rPr>
            </w:pPr>
            <w:r>
              <w:rPr>
                <w:sz w:val="18"/>
                <w:szCs w:val="18"/>
              </w:rPr>
              <w:t>6.23 C</w:t>
            </w:r>
          </w:p>
        </w:tc>
      </w:tr>
      <w:tr w14:paraId="2F204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710A12B9">
            <w:pPr>
              <w:spacing w:line="240" w:lineRule="auto"/>
              <w:jc w:val="center"/>
              <w:rPr>
                <w:b/>
                <w:bCs/>
                <w:sz w:val="21"/>
                <w:szCs w:val="21"/>
              </w:rPr>
            </w:pPr>
          </w:p>
        </w:tc>
        <w:tc>
          <w:tcPr>
            <w:tcW w:w="1612" w:type="dxa"/>
            <w:vAlign w:val="center"/>
          </w:tcPr>
          <w:p w14:paraId="2A7D3BB2">
            <w:pPr>
              <w:spacing w:line="240" w:lineRule="auto"/>
              <w:jc w:val="center"/>
              <w:rPr>
                <w:b/>
                <w:bCs/>
                <w:sz w:val="21"/>
                <w:szCs w:val="21"/>
              </w:rPr>
            </w:pPr>
            <w:r>
              <w:rPr>
                <w:rFonts w:hint="eastAsia"/>
                <w:color w:val="000000"/>
                <w:kern w:val="0"/>
                <w:sz w:val="18"/>
                <w:szCs w:val="18"/>
                <w:lang w:bidi="ar"/>
              </w:rPr>
              <w:t>CK</w:t>
            </w:r>
          </w:p>
        </w:tc>
        <w:tc>
          <w:tcPr>
            <w:tcW w:w="2268" w:type="dxa"/>
            <w:vAlign w:val="center"/>
          </w:tcPr>
          <w:p w14:paraId="2167D224">
            <w:pPr>
              <w:spacing w:line="240" w:lineRule="auto"/>
              <w:jc w:val="center"/>
              <w:rPr>
                <w:b/>
                <w:bCs/>
                <w:sz w:val="21"/>
                <w:szCs w:val="21"/>
              </w:rPr>
            </w:pPr>
            <w:r>
              <w:rPr>
                <w:sz w:val="18"/>
                <w:szCs w:val="18"/>
              </w:rPr>
              <w:t>5.20 B</w:t>
            </w:r>
          </w:p>
        </w:tc>
        <w:tc>
          <w:tcPr>
            <w:tcW w:w="1134" w:type="dxa"/>
            <w:vAlign w:val="center"/>
          </w:tcPr>
          <w:p w14:paraId="26F56494">
            <w:pPr>
              <w:spacing w:line="240" w:lineRule="auto"/>
              <w:jc w:val="center"/>
              <w:rPr>
                <w:b/>
                <w:bCs/>
                <w:sz w:val="21"/>
                <w:szCs w:val="21"/>
              </w:rPr>
            </w:pPr>
            <w:r>
              <w:rPr>
                <w:sz w:val="18"/>
                <w:szCs w:val="18"/>
              </w:rPr>
              <w:t>5.95 C</w:t>
            </w:r>
          </w:p>
        </w:tc>
      </w:tr>
      <w:tr w14:paraId="54FBD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restart"/>
            <w:vAlign w:val="center"/>
          </w:tcPr>
          <w:p w14:paraId="352251FB">
            <w:pPr>
              <w:widowControl/>
              <w:adjustRightInd w:val="0"/>
              <w:snapToGrid w:val="0"/>
              <w:spacing w:line="240" w:lineRule="auto"/>
              <w:jc w:val="center"/>
              <w:textAlignment w:val="center"/>
              <w:rPr>
                <w:sz w:val="18"/>
                <w:szCs w:val="18"/>
              </w:rPr>
            </w:pPr>
            <w:r>
              <w:rPr>
                <w:rFonts w:hint="eastAsia"/>
                <w:sz w:val="18"/>
                <w:szCs w:val="18"/>
                <w:lang w:val="en-US" w:eastAsia="zh-CN"/>
              </w:rPr>
              <w:t>乙酸</w:t>
            </w:r>
            <w:r>
              <w:rPr>
                <w:sz w:val="18"/>
                <w:szCs w:val="18"/>
              </w:rPr>
              <w:t>AA</w:t>
            </w:r>
          </w:p>
          <w:p w14:paraId="00AFCC46">
            <w:pPr>
              <w:spacing w:line="240" w:lineRule="auto"/>
              <w:jc w:val="center"/>
              <w:rPr>
                <w:b/>
                <w:bCs/>
                <w:sz w:val="21"/>
                <w:szCs w:val="21"/>
              </w:rPr>
            </w:pPr>
            <w:r>
              <w:rPr>
                <w:sz w:val="18"/>
                <w:szCs w:val="18"/>
              </w:rPr>
              <w:t>(g kg</w:t>
            </w:r>
            <w:r>
              <w:rPr>
                <w:sz w:val="18"/>
                <w:szCs w:val="18"/>
                <w:vertAlign w:val="superscript"/>
              </w:rPr>
              <w:t>-1</w:t>
            </w:r>
            <w:r>
              <w:rPr>
                <w:sz w:val="18"/>
                <w:szCs w:val="18"/>
              </w:rPr>
              <w:t xml:space="preserve"> DM)</w:t>
            </w:r>
          </w:p>
        </w:tc>
        <w:tc>
          <w:tcPr>
            <w:tcW w:w="1612" w:type="dxa"/>
            <w:vAlign w:val="center"/>
          </w:tcPr>
          <w:p w14:paraId="733C54D8">
            <w:pPr>
              <w:spacing w:line="240" w:lineRule="auto"/>
              <w:jc w:val="center"/>
              <w:rPr>
                <w:b/>
                <w:bCs/>
                <w:sz w:val="21"/>
                <w:szCs w:val="21"/>
              </w:rPr>
            </w:pPr>
            <w:r>
              <w:rPr>
                <w:color w:val="000000"/>
                <w:kern w:val="0"/>
                <w:sz w:val="18"/>
                <w:szCs w:val="18"/>
                <w:lang w:bidi="ar"/>
              </w:rPr>
              <w:t>P</w:t>
            </w:r>
            <w:r>
              <w:rPr>
                <w:rStyle w:val="26"/>
                <w:sz w:val="18"/>
                <w:szCs w:val="18"/>
                <w:lang w:bidi="ar"/>
              </w:rPr>
              <w:t>1</w:t>
            </w:r>
          </w:p>
        </w:tc>
        <w:tc>
          <w:tcPr>
            <w:tcW w:w="2268" w:type="dxa"/>
            <w:vAlign w:val="center"/>
          </w:tcPr>
          <w:p w14:paraId="6C8FE43E">
            <w:pPr>
              <w:spacing w:line="240" w:lineRule="auto"/>
              <w:jc w:val="center"/>
              <w:rPr>
                <w:b/>
                <w:bCs/>
                <w:sz w:val="21"/>
                <w:szCs w:val="21"/>
              </w:rPr>
            </w:pPr>
            <w:r>
              <w:rPr>
                <w:sz w:val="18"/>
                <w:szCs w:val="18"/>
              </w:rPr>
              <w:t xml:space="preserve">11.90 </w:t>
            </w:r>
          </w:p>
        </w:tc>
        <w:tc>
          <w:tcPr>
            <w:tcW w:w="1134" w:type="dxa"/>
            <w:vAlign w:val="center"/>
          </w:tcPr>
          <w:p w14:paraId="67341AFA">
            <w:pPr>
              <w:spacing w:line="240" w:lineRule="auto"/>
              <w:jc w:val="center"/>
              <w:rPr>
                <w:b/>
                <w:bCs/>
                <w:sz w:val="21"/>
                <w:szCs w:val="21"/>
              </w:rPr>
            </w:pPr>
            <w:r>
              <w:rPr>
                <w:sz w:val="18"/>
                <w:szCs w:val="18"/>
              </w:rPr>
              <w:t>10.44 B</w:t>
            </w:r>
          </w:p>
        </w:tc>
      </w:tr>
      <w:tr w14:paraId="05DBE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5D783040">
            <w:pPr>
              <w:spacing w:line="240" w:lineRule="auto"/>
              <w:jc w:val="center"/>
              <w:rPr>
                <w:b/>
                <w:bCs/>
                <w:sz w:val="21"/>
                <w:szCs w:val="21"/>
              </w:rPr>
            </w:pPr>
          </w:p>
        </w:tc>
        <w:tc>
          <w:tcPr>
            <w:tcW w:w="1612" w:type="dxa"/>
            <w:vAlign w:val="center"/>
          </w:tcPr>
          <w:p w14:paraId="66DFE4FC">
            <w:pPr>
              <w:spacing w:line="240" w:lineRule="auto"/>
              <w:jc w:val="center"/>
              <w:rPr>
                <w:b/>
                <w:bCs/>
                <w:sz w:val="21"/>
                <w:szCs w:val="21"/>
              </w:rPr>
            </w:pPr>
            <w:r>
              <w:rPr>
                <w:color w:val="000000"/>
                <w:kern w:val="0"/>
                <w:sz w:val="18"/>
                <w:szCs w:val="18"/>
                <w:lang w:bidi="ar"/>
              </w:rPr>
              <w:t>P</w:t>
            </w:r>
            <w:r>
              <w:rPr>
                <w:rStyle w:val="26"/>
                <w:sz w:val="18"/>
                <w:szCs w:val="18"/>
                <w:lang w:bidi="ar"/>
              </w:rPr>
              <w:t>2</w:t>
            </w:r>
          </w:p>
        </w:tc>
        <w:tc>
          <w:tcPr>
            <w:tcW w:w="2268" w:type="dxa"/>
            <w:vAlign w:val="center"/>
          </w:tcPr>
          <w:p w14:paraId="36607A4E">
            <w:pPr>
              <w:spacing w:line="240" w:lineRule="auto"/>
              <w:jc w:val="center"/>
              <w:rPr>
                <w:b/>
                <w:bCs/>
                <w:sz w:val="21"/>
                <w:szCs w:val="21"/>
              </w:rPr>
            </w:pPr>
            <w:r>
              <w:rPr>
                <w:sz w:val="18"/>
                <w:szCs w:val="18"/>
              </w:rPr>
              <w:t xml:space="preserve">11.62 </w:t>
            </w:r>
          </w:p>
        </w:tc>
        <w:tc>
          <w:tcPr>
            <w:tcW w:w="1134" w:type="dxa"/>
            <w:vAlign w:val="center"/>
          </w:tcPr>
          <w:p w14:paraId="2E40C540">
            <w:pPr>
              <w:spacing w:line="240" w:lineRule="auto"/>
              <w:jc w:val="center"/>
              <w:rPr>
                <w:b/>
                <w:bCs/>
                <w:sz w:val="21"/>
                <w:szCs w:val="21"/>
              </w:rPr>
            </w:pPr>
            <w:r>
              <w:rPr>
                <w:sz w:val="18"/>
                <w:szCs w:val="18"/>
              </w:rPr>
              <w:t>8.56 C</w:t>
            </w:r>
          </w:p>
        </w:tc>
      </w:tr>
      <w:tr w14:paraId="03A06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5FB712A9">
            <w:pPr>
              <w:spacing w:line="240" w:lineRule="auto"/>
              <w:jc w:val="center"/>
              <w:rPr>
                <w:b/>
                <w:bCs/>
                <w:sz w:val="21"/>
                <w:szCs w:val="21"/>
              </w:rPr>
            </w:pPr>
          </w:p>
        </w:tc>
        <w:tc>
          <w:tcPr>
            <w:tcW w:w="1612" w:type="dxa"/>
            <w:vAlign w:val="center"/>
          </w:tcPr>
          <w:p w14:paraId="0D53D270">
            <w:pPr>
              <w:spacing w:line="240" w:lineRule="auto"/>
              <w:jc w:val="center"/>
              <w:rPr>
                <w:b/>
                <w:bCs/>
                <w:sz w:val="21"/>
                <w:szCs w:val="21"/>
              </w:rPr>
            </w:pPr>
            <w:r>
              <w:rPr>
                <w:color w:val="000000"/>
                <w:kern w:val="0"/>
                <w:sz w:val="18"/>
                <w:szCs w:val="18"/>
                <w:lang w:bidi="ar"/>
              </w:rPr>
              <w:t>P</w:t>
            </w:r>
            <w:r>
              <w:rPr>
                <w:rStyle w:val="26"/>
                <w:sz w:val="18"/>
                <w:szCs w:val="18"/>
                <w:lang w:bidi="ar"/>
              </w:rPr>
              <w:t>1</w:t>
            </w:r>
            <w:r>
              <w:rPr>
                <w:rStyle w:val="18"/>
                <w:sz w:val="18"/>
                <w:szCs w:val="18"/>
                <w:lang w:bidi="ar"/>
              </w:rPr>
              <w:t>L</w:t>
            </w:r>
          </w:p>
        </w:tc>
        <w:tc>
          <w:tcPr>
            <w:tcW w:w="2268" w:type="dxa"/>
            <w:vAlign w:val="center"/>
          </w:tcPr>
          <w:p w14:paraId="63BCBB86">
            <w:pPr>
              <w:spacing w:line="240" w:lineRule="auto"/>
              <w:jc w:val="center"/>
              <w:rPr>
                <w:b/>
                <w:bCs/>
                <w:sz w:val="21"/>
                <w:szCs w:val="21"/>
              </w:rPr>
            </w:pPr>
            <w:r>
              <w:rPr>
                <w:sz w:val="18"/>
                <w:szCs w:val="18"/>
              </w:rPr>
              <w:t xml:space="preserve">12.57 </w:t>
            </w:r>
          </w:p>
        </w:tc>
        <w:tc>
          <w:tcPr>
            <w:tcW w:w="1134" w:type="dxa"/>
            <w:vAlign w:val="center"/>
          </w:tcPr>
          <w:p w14:paraId="5A72DD4B">
            <w:pPr>
              <w:spacing w:line="240" w:lineRule="auto"/>
              <w:jc w:val="center"/>
              <w:rPr>
                <w:b/>
                <w:bCs/>
                <w:sz w:val="21"/>
                <w:szCs w:val="21"/>
              </w:rPr>
            </w:pPr>
            <w:r>
              <w:rPr>
                <w:sz w:val="18"/>
                <w:szCs w:val="18"/>
              </w:rPr>
              <w:t>12.68 A</w:t>
            </w:r>
          </w:p>
        </w:tc>
      </w:tr>
      <w:tr w14:paraId="75E17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3BF76DA1">
            <w:pPr>
              <w:spacing w:line="240" w:lineRule="auto"/>
              <w:jc w:val="center"/>
              <w:rPr>
                <w:b/>
                <w:bCs/>
                <w:sz w:val="21"/>
                <w:szCs w:val="21"/>
              </w:rPr>
            </w:pPr>
          </w:p>
        </w:tc>
        <w:tc>
          <w:tcPr>
            <w:tcW w:w="1612" w:type="dxa"/>
            <w:vAlign w:val="center"/>
          </w:tcPr>
          <w:p w14:paraId="1E358698">
            <w:pPr>
              <w:spacing w:line="240" w:lineRule="auto"/>
              <w:jc w:val="center"/>
              <w:rPr>
                <w:b/>
                <w:bCs/>
                <w:sz w:val="21"/>
                <w:szCs w:val="21"/>
              </w:rPr>
            </w:pPr>
            <w:r>
              <w:rPr>
                <w:color w:val="000000"/>
                <w:kern w:val="0"/>
                <w:sz w:val="18"/>
                <w:szCs w:val="18"/>
                <w:lang w:bidi="ar"/>
              </w:rPr>
              <w:t>P</w:t>
            </w:r>
            <w:r>
              <w:rPr>
                <w:rStyle w:val="26"/>
                <w:sz w:val="18"/>
                <w:szCs w:val="18"/>
                <w:lang w:bidi="ar"/>
              </w:rPr>
              <w:t>2</w:t>
            </w:r>
            <w:r>
              <w:rPr>
                <w:rStyle w:val="18"/>
                <w:sz w:val="18"/>
                <w:szCs w:val="18"/>
                <w:lang w:bidi="ar"/>
              </w:rPr>
              <w:t>L</w:t>
            </w:r>
          </w:p>
        </w:tc>
        <w:tc>
          <w:tcPr>
            <w:tcW w:w="2268" w:type="dxa"/>
            <w:vAlign w:val="center"/>
          </w:tcPr>
          <w:p w14:paraId="0679252D">
            <w:pPr>
              <w:spacing w:line="240" w:lineRule="auto"/>
              <w:jc w:val="center"/>
              <w:rPr>
                <w:b/>
                <w:bCs/>
                <w:sz w:val="21"/>
                <w:szCs w:val="21"/>
              </w:rPr>
            </w:pPr>
            <w:r>
              <w:rPr>
                <w:sz w:val="18"/>
                <w:szCs w:val="18"/>
              </w:rPr>
              <w:t xml:space="preserve">12.02 </w:t>
            </w:r>
          </w:p>
        </w:tc>
        <w:tc>
          <w:tcPr>
            <w:tcW w:w="1134" w:type="dxa"/>
            <w:vAlign w:val="center"/>
          </w:tcPr>
          <w:p w14:paraId="7093EC69">
            <w:pPr>
              <w:spacing w:line="240" w:lineRule="auto"/>
              <w:jc w:val="center"/>
              <w:rPr>
                <w:b/>
                <w:bCs/>
                <w:sz w:val="21"/>
                <w:szCs w:val="21"/>
              </w:rPr>
            </w:pPr>
            <w:r>
              <w:rPr>
                <w:sz w:val="18"/>
                <w:szCs w:val="18"/>
              </w:rPr>
              <w:t>12.45 A</w:t>
            </w:r>
          </w:p>
        </w:tc>
      </w:tr>
      <w:tr w14:paraId="691CB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66095DB2">
            <w:pPr>
              <w:spacing w:line="240" w:lineRule="auto"/>
              <w:jc w:val="center"/>
              <w:rPr>
                <w:b/>
                <w:bCs/>
                <w:sz w:val="21"/>
                <w:szCs w:val="21"/>
              </w:rPr>
            </w:pPr>
          </w:p>
        </w:tc>
        <w:tc>
          <w:tcPr>
            <w:tcW w:w="1612" w:type="dxa"/>
            <w:vAlign w:val="center"/>
          </w:tcPr>
          <w:p w14:paraId="105C5B7F">
            <w:pPr>
              <w:spacing w:line="240" w:lineRule="auto"/>
              <w:jc w:val="center"/>
              <w:rPr>
                <w:b/>
                <w:bCs/>
                <w:sz w:val="21"/>
                <w:szCs w:val="21"/>
              </w:rPr>
            </w:pPr>
            <w:r>
              <w:rPr>
                <w:rFonts w:hint="eastAsia"/>
                <w:color w:val="000000"/>
                <w:kern w:val="0"/>
                <w:sz w:val="18"/>
                <w:szCs w:val="18"/>
                <w:lang w:bidi="ar"/>
              </w:rPr>
              <w:t>CK</w:t>
            </w:r>
          </w:p>
        </w:tc>
        <w:tc>
          <w:tcPr>
            <w:tcW w:w="2268" w:type="dxa"/>
            <w:vAlign w:val="center"/>
          </w:tcPr>
          <w:p w14:paraId="422EC4D8">
            <w:pPr>
              <w:spacing w:line="240" w:lineRule="auto"/>
              <w:jc w:val="center"/>
              <w:rPr>
                <w:b/>
                <w:bCs/>
                <w:sz w:val="21"/>
                <w:szCs w:val="21"/>
              </w:rPr>
            </w:pPr>
            <w:r>
              <w:rPr>
                <w:sz w:val="18"/>
                <w:szCs w:val="18"/>
              </w:rPr>
              <w:t xml:space="preserve">12.39 </w:t>
            </w:r>
          </w:p>
        </w:tc>
        <w:tc>
          <w:tcPr>
            <w:tcW w:w="1134" w:type="dxa"/>
            <w:vAlign w:val="center"/>
          </w:tcPr>
          <w:p w14:paraId="174264AB">
            <w:pPr>
              <w:spacing w:line="240" w:lineRule="auto"/>
              <w:jc w:val="center"/>
              <w:rPr>
                <w:b/>
                <w:bCs/>
                <w:sz w:val="21"/>
                <w:szCs w:val="21"/>
              </w:rPr>
            </w:pPr>
            <w:r>
              <w:rPr>
                <w:sz w:val="18"/>
                <w:szCs w:val="18"/>
              </w:rPr>
              <w:t>12.83 A</w:t>
            </w:r>
          </w:p>
        </w:tc>
      </w:tr>
      <w:tr w14:paraId="3D857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restart"/>
            <w:vAlign w:val="center"/>
          </w:tcPr>
          <w:p w14:paraId="28108ABC">
            <w:pPr>
              <w:widowControl/>
              <w:adjustRightInd w:val="0"/>
              <w:snapToGrid w:val="0"/>
              <w:spacing w:line="240" w:lineRule="auto"/>
              <w:jc w:val="center"/>
              <w:textAlignment w:val="center"/>
              <w:rPr>
                <w:sz w:val="18"/>
                <w:szCs w:val="18"/>
              </w:rPr>
            </w:pPr>
            <w:r>
              <w:rPr>
                <w:rFonts w:hint="eastAsia"/>
                <w:sz w:val="18"/>
                <w:szCs w:val="18"/>
                <w:lang w:val="en-US" w:eastAsia="zh-CN"/>
              </w:rPr>
              <w:t>丙酸</w:t>
            </w:r>
            <w:r>
              <w:rPr>
                <w:sz w:val="18"/>
                <w:szCs w:val="18"/>
              </w:rPr>
              <w:t>PA</w:t>
            </w:r>
          </w:p>
          <w:p w14:paraId="1DA7063C">
            <w:pPr>
              <w:spacing w:line="240" w:lineRule="auto"/>
              <w:jc w:val="center"/>
              <w:rPr>
                <w:b/>
                <w:bCs/>
                <w:sz w:val="21"/>
                <w:szCs w:val="21"/>
              </w:rPr>
            </w:pPr>
            <w:r>
              <w:rPr>
                <w:sz w:val="18"/>
                <w:szCs w:val="18"/>
              </w:rPr>
              <w:t>(g kg</w:t>
            </w:r>
            <w:r>
              <w:rPr>
                <w:sz w:val="18"/>
                <w:szCs w:val="18"/>
                <w:vertAlign w:val="superscript"/>
              </w:rPr>
              <w:t>-1</w:t>
            </w:r>
            <w:r>
              <w:rPr>
                <w:sz w:val="18"/>
                <w:szCs w:val="18"/>
              </w:rPr>
              <w:t xml:space="preserve"> DM)</w:t>
            </w:r>
          </w:p>
        </w:tc>
        <w:tc>
          <w:tcPr>
            <w:tcW w:w="1612" w:type="dxa"/>
            <w:vAlign w:val="center"/>
          </w:tcPr>
          <w:p w14:paraId="2BA6E2E9">
            <w:pPr>
              <w:spacing w:line="240" w:lineRule="auto"/>
              <w:jc w:val="center"/>
              <w:rPr>
                <w:b/>
                <w:bCs/>
                <w:sz w:val="21"/>
                <w:szCs w:val="21"/>
              </w:rPr>
            </w:pPr>
            <w:r>
              <w:rPr>
                <w:color w:val="000000"/>
                <w:kern w:val="0"/>
                <w:sz w:val="18"/>
                <w:szCs w:val="18"/>
                <w:lang w:bidi="ar"/>
              </w:rPr>
              <w:t>P</w:t>
            </w:r>
            <w:r>
              <w:rPr>
                <w:rStyle w:val="26"/>
                <w:sz w:val="18"/>
                <w:szCs w:val="18"/>
                <w:lang w:bidi="ar"/>
              </w:rPr>
              <w:t>1</w:t>
            </w:r>
          </w:p>
        </w:tc>
        <w:tc>
          <w:tcPr>
            <w:tcW w:w="2268" w:type="dxa"/>
            <w:vAlign w:val="center"/>
          </w:tcPr>
          <w:p w14:paraId="3C5BBBD4">
            <w:pPr>
              <w:spacing w:line="240" w:lineRule="auto"/>
              <w:jc w:val="center"/>
              <w:rPr>
                <w:b/>
                <w:bCs/>
                <w:sz w:val="21"/>
                <w:szCs w:val="21"/>
              </w:rPr>
            </w:pPr>
            <w:r>
              <w:rPr>
                <w:sz w:val="18"/>
                <w:szCs w:val="18"/>
              </w:rPr>
              <w:t>ND</w:t>
            </w:r>
          </w:p>
        </w:tc>
        <w:tc>
          <w:tcPr>
            <w:tcW w:w="1134" w:type="dxa"/>
            <w:vAlign w:val="center"/>
          </w:tcPr>
          <w:p w14:paraId="26419889">
            <w:pPr>
              <w:spacing w:line="240" w:lineRule="auto"/>
              <w:jc w:val="center"/>
              <w:rPr>
                <w:b/>
                <w:bCs/>
                <w:sz w:val="21"/>
                <w:szCs w:val="21"/>
              </w:rPr>
            </w:pPr>
            <w:r>
              <w:rPr>
                <w:sz w:val="18"/>
                <w:szCs w:val="18"/>
              </w:rPr>
              <w:t>ND</w:t>
            </w:r>
          </w:p>
        </w:tc>
      </w:tr>
      <w:tr w14:paraId="411CA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449D1E4F">
            <w:pPr>
              <w:spacing w:line="240" w:lineRule="auto"/>
              <w:jc w:val="center"/>
              <w:rPr>
                <w:b/>
                <w:bCs/>
                <w:sz w:val="21"/>
                <w:szCs w:val="21"/>
              </w:rPr>
            </w:pPr>
          </w:p>
        </w:tc>
        <w:tc>
          <w:tcPr>
            <w:tcW w:w="1612" w:type="dxa"/>
            <w:vAlign w:val="center"/>
          </w:tcPr>
          <w:p w14:paraId="5AA088D3">
            <w:pPr>
              <w:spacing w:line="240" w:lineRule="auto"/>
              <w:jc w:val="center"/>
              <w:rPr>
                <w:b/>
                <w:bCs/>
                <w:sz w:val="21"/>
                <w:szCs w:val="21"/>
              </w:rPr>
            </w:pPr>
            <w:r>
              <w:rPr>
                <w:color w:val="000000"/>
                <w:kern w:val="0"/>
                <w:sz w:val="18"/>
                <w:szCs w:val="18"/>
                <w:lang w:bidi="ar"/>
              </w:rPr>
              <w:t>P</w:t>
            </w:r>
            <w:r>
              <w:rPr>
                <w:rStyle w:val="26"/>
                <w:sz w:val="18"/>
                <w:szCs w:val="18"/>
                <w:lang w:bidi="ar"/>
              </w:rPr>
              <w:t>2</w:t>
            </w:r>
          </w:p>
        </w:tc>
        <w:tc>
          <w:tcPr>
            <w:tcW w:w="2268" w:type="dxa"/>
            <w:vAlign w:val="center"/>
          </w:tcPr>
          <w:p w14:paraId="5BADF578">
            <w:pPr>
              <w:spacing w:line="240" w:lineRule="auto"/>
              <w:jc w:val="center"/>
              <w:rPr>
                <w:b/>
                <w:bCs/>
                <w:sz w:val="21"/>
                <w:szCs w:val="21"/>
              </w:rPr>
            </w:pPr>
            <w:r>
              <w:rPr>
                <w:sz w:val="18"/>
                <w:szCs w:val="18"/>
              </w:rPr>
              <w:t>ND</w:t>
            </w:r>
          </w:p>
        </w:tc>
        <w:tc>
          <w:tcPr>
            <w:tcW w:w="1134" w:type="dxa"/>
            <w:vAlign w:val="center"/>
          </w:tcPr>
          <w:p w14:paraId="3BAEEF3C">
            <w:pPr>
              <w:spacing w:line="240" w:lineRule="auto"/>
              <w:jc w:val="center"/>
              <w:rPr>
                <w:b/>
                <w:bCs/>
                <w:sz w:val="21"/>
                <w:szCs w:val="21"/>
              </w:rPr>
            </w:pPr>
            <w:r>
              <w:rPr>
                <w:sz w:val="18"/>
                <w:szCs w:val="18"/>
              </w:rPr>
              <w:t>ND</w:t>
            </w:r>
          </w:p>
        </w:tc>
      </w:tr>
      <w:tr w14:paraId="11121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0346C6D7">
            <w:pPr>
              <w:spacing w:line="240" w:lineRule="auto"/>
              <w:jc w:val="center"/>
              <w:rPr>
                <w:b/>
                <w:bCs/>
                <w:sz w:val="21"/>
                <w:szCs w:val="21"/>
              </w:rPr>
            </w:pPr>
          </w:p>
        </w:tc>
        <w:tc>
          <w:tcPr>
            <w:tcW w:w="1612" w:type="dxa"/>
            <w:vAlign w:val="center"/>
          </w:tcPr>
          <w:p w14:paraId="4D46D6E2">
            <w:pPr>
              <w:spacing w:line="240" w:lineRule="auto"/>
              <w:jc w:val="center"/>
              <w:rPr>
                <w:b/>
                <w:bCs/>
                <w:sz w:val="21"/>
                <w:szCs w:val="21"/>
              </w:rPr>
            </w:pPr>
            <w:r>
              <w:rPr>
                <w:color w:val="000000"/>
                <w:kern w:val="0"/>
                <w:sz w:val="18"/>
                <w:szCs w:val="18"/>
                <w:lang w:bidi="ar"/>
              </w:rPr>
              <w:t>P</w:t>
            </w:r>
            <w:r>
              <w:rPr>
                <w:rStyle w:val="26"/>
                <w:sz w:val="18"/>
                <w:szCs w:val="18"/>
                <w:lang w:bidi="ar"/>
              </w:rPr>
              <w:t>1</w:t>
            </w:r>
            <w:r>
              <w:rPr>
                <w:rStyle w:val="18"/>
                <w:sz w:val="18"/>
                <w:szCs w:val="18"/>
                <w:lang w:bidi="ar"/>
              </w:rPr>
              <w:t>L</w:t>
            </w:r>
          </w:p>
        </w:tc>
        <w:tc>
          <w:tcPr>
            <w:tcW w:w="2268" w:type="dxa"/>
            <w:vAlign w:val="center"/>
          </w:tcPr>
          <w:p w14:paraId="31AE7F76">
            <w:pPr>
              <w:spacing w:line="240" w:lineRule="auto"/>
              <w:jc w:val="center"/>
              <w:rPr>
                <w:b/>
                <w:bCs/>
                <w:sz w:val="21"/>
                <w:szCs w:val="21"/>
              </w:rPr>
            </w:pPr>
            <w:r>
              <w:rPr>
                <w:sz w:val="18"/>
                <w:szCs w:val="18"/>
              </w:rPr>
              <w:t>ND</w:t>
            </w:r>
          </w:p>
        </w:tc>
        <w:tc>
          <w:tcPr>
            <w:tcW w:w="1134" w:type="dxa"/>
            <w:vAlign w:val="center"/>
          </w:tcPr>
          <w:p w14:paraId="0E5C96CE">
            <w:pPr>
              <w:spacing w:line="240" w:lineRule="auto"/>
              <w:jc w:val="center"/>
              <w:rPr>
                <w:b/>
                <w:bCs/>
                <w:sz w:val="21"/>
                <w:szCs w:val="21"/>
              </w:rPr>
            </w:pPr>
            <w:r>
              <w:rPr>
                <w:sz w:val="18"/>
                <w:szCs w:val="18"/>
              </w:rPr>
              <w:t>ND</w:t>
            </w:r>
          </w:p>
        </w:tc>
      </w:tr>
      <w:tr w14:paraId="1A17B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7DA9977D">
            <w:pPr>
              <w:spacing w:line="240" w:lineRule="auto"/>
              <w:jc w:val="center"/>
              <w:rPr>
                <w:b/>
                <w:bCs/>
                <w:sz w:val="21"/>
                <w:szCs w:val="21"/>
              </w:rPr>
            </w:pPr>
          </w:p>
        </w:tc>
        <w:tc>
          <w:tcPr>
            <w:tcW w:w="1612" w:type="dxa"/>
            <w:vAlign w:val="center"/>
          </w:tcPr>
          <w:p w14:paraId="6E259590">
            <w:pPr>
              <w:spacing w:line="240" w:lineRule="auto"/>
              <w:jc w:val="center"/>
              <w:rPr>
                <w:b/>
                <w:bCs/>
                <w:sz w:val="21"/>
                <w:szCs w:val="21"/>
              </w:rPr>
            </w:pPr>
            <w:r>
              <w:rPr>
                <w:color w:val="000000"/>
                <w:kern w:val="0"/>
                <w:sz w:val="18"/>
                <w:szCs w:val="18"/>
                <w:lang w:bidi="ar"/>
              </w:rPr>
              <w:t>P</w:t>
            </w:r>
            <w:r>
              <w:rPr>
                <w:rStyle w:val="26"/>
                <w:sz w:val="18"/>
                <w:szCs w:val="18"/>
                <w:lang w:bidi="ar"/>
              </w:rPr>
              <w:t>2</w:t>
            </w:r>
            <w:r>
              <w:rPr>
                <w:rStyle w:val="18"/>
                <w:sz w:val="18"/>
                <w:szCs w:val="18"/>
                <w:lang w:bidi="ar"/>
              </w:rPr>
              <w:t>L</w:t>
            </w:r>
          </w:p>
        </w:tc>
        <w:tc>
          <w:tcPr>
            <w:tcW w:w="2268" w:type="dxa"/>
            <w:vAlign w:val="center"/>
          </w:tcPr>
          <w:p w14:paraId="32E79898">
            <w:pPr>
              <w:spacing w:line="240" w:lineRule="auto"/>
              <w:jc w:val="center"/>
              <w:rPr>
                <w:b/>
                <w:bCs/>
                <w:sz w:val="21"/>
                <w:szCs w:val="21"/>
              </w:rPr>
            </w:pPr>
            <w:r>
              <w:rPr>
                <w:sz w:val="18"/>
                <w:szCs w:val="18"/>
              </w:rPr>
              <w:t>ND</w:t>
            </w:r>
          </w:p>
        </w:tc>
        <w:tc>
          <w:tcPr>
            <w:tcW w:w="1134" w:type="dxa"/>
            <w:vAlign w:val="center"/>
          </w:tcPr>
          <w:p w14:paraId="79D5CC9E">
            <w:pPr>
              <w:spacing w:line="240" w:lineRule="auto"/>
              <w:jc w:val="center"/>
              <w:rPr>
                <w:b/>
                <w:bCs/>
                <w:sz w:val="21"/>
                <w:szCs w:val="21"/>
              </w:rPr>
            </w:pPr>
            <w:r>
              <w:rPr>
                <w:sz w:val="18"/>
                <w:szCs w:val="18"/>
              </w:rPr>
              <w:t>ND</w:t>
            </w:r>
          </w:p>
        </w:tc>
      </w:tr>
      <w:tr w14:paraId="3B67D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1B8462CE">
            <w:pPr>
              <w:spacing w:line="240" w:lineRule="auto"/>
              <w:jc w:val="center"/>
              <w:rPr>
                <w:b/>
                <w:bCs/>
                <w:sz w:val="21"/>
                <w:szCs w:val="21"/>
              </w:rPr>
            </w:pPr>
          </w:p>
        </w:tc>
        <w:tc>
          <w:tcPr>
            <w:tcW w:w="1612" w:type="dxa"/>
            <w:vAlign w:val="center"/>
          </w:tcPr>
          <w:p w14:paraId="40CF2F3C">
            <w:pPr>
              <w:spacing w:line="240" w:lineRule="auto"/>
              <w:jc w:val="center"/>
              <w:rPr>
                <w:b/>
                <w:bCs/>
                <w:sz w:val="21"/>
                <w:szCs w:val="21"/>
              </w:rPr>
            </w:pPr>
            <w:r>
              <w:rPr>
                <w:rFonts w:hint="eastAsia"/>
                <w:color w:val="000000"/>
                <w:kern w:val="0"/>
                <w:sz w:val="18"/>
                <w:szCs w:val="18"/>
                <w:lang w:bidi="ar"/>
              </w:rPr>
              <w:t>CK</w:t>
            </w:r>
          </w:p>
        </w:tc>
        <w:tc>
          <w:tcPr>
            <w:tcW w:w="2268" w:type="dxa"/>
            <w:vAlign w:val="center"/>
          </w:tcPr>
          <w:p w14:paraId="6753E5B0">
            <w:pPr>
              <w:spacing w:line="240" w:lineRule="auto"/>
              <w:jc w:val="center"/>
              <w:rPr>
                <w:b/>
                <w:bCs/>
                <w:sz w:val="21"/>
                <w:szCs w:val="21"/>
              </w:rPr>
            </w:pPr>
            <w:r>
              <w:rPr>
                <w:sz w:val="18"/>
                <w:szCs w:val="18"/>
              </w:rPr>
              <w:t>ND</w:t>
            </w:r>
          </w:p>
        </w:tc>
        <w:tc>
          <w:tcPr>
            <w:tcW w:w="1134" w:type="dxa"/>
            <w:vAlign w:val="center"/>
          </w:tcPr>
          <w:p w14:paraId="189F896D">
            <w:pPr>
              <w:spacing w:line="240" w:lineRule="auto"/>
              <w:jc w:val="center"/>
              <w:rPr>
                <w:b/>
                <w:bCs/>
                <w:sz w:val="21"/>
                <w:szCs w:val="21"/>
              </w:rPr>
            </w:pPr>
            <w:r>
              <w:rPr>
                <w:sz w:val="18"/>
                <w:szCs w:val="18"/>
              </w:rPr>
              <w:t>ND</w:t>
            </w:r>
          </w:p>
        </w:tc>
      </w:tr>
      <w:tr w14:paraId="20DB4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restart"/>
            <w:vAlign w:val="center"/>
          </w:tcPr>
          <w:p w14:paraId="3F829E48">
            <w:pPr>
              <w:widowControl/>
              <w:adjustRightInd w:val="0"/>
              <w:snapToGrid w:val="0"/>
              <w:spacing w:line="240" w:lineRule="auto"/>
              <w:jc w:val="center"/>
              <w:textAlignment w:val="center"/>
              <w:rPr>
                <w:sz w:val="18"/>
                <w:szCs w:val="18"/>
              </w:rPr>
            </w:pPr>
            <w:r>
              <w:rPr>
                <w:rFonts w:hint="eastAsia"/>
                <w:sz w:val="18"/>
                <w:szCs w:val="18"/>
                <w:lang w:val="en-US" w:eastAsia="zh-CN"/>
              </w:rPr>
              <w:t>丁酸</w:t>
            </w:r>
            <w:r>
              <w:rPr>
                <w:sz w:val="18"/>
                <w:szCs w:val="18"/>
              </w:rPr>
              <w:t>BA</w:t>
            </w:r>
          </w:p>
          <w:p w14:paraId="10FF025B">
            <w:pPr>
              <w:spacing w:line="240" w:lineRule="auto"/>
              <w:jc w:val="center"/>
              <w:rPr>
                <w:b/>
                <w:bCs/>
                <w:sz w:val="21"/>
                <w:szCs w:val="21"/>
              </w:rPr>
            </w:pPr>
            <w:r>
              <w:rPr>
                <w:sz w:val="18"/>
                <w:szCs w:val="18"/>
              </w:rPr>
              <w:t>(g kg</w:t>
            </w:r>
            <w:r>
              <w:rPr>
                <w:sz w:val="18"/>
                <w:szCs w:val="18"/>
                <w:vertAlign w:val="superscript"/>
              </w:rPr>
              <w:t>-1</w:t>
            </w:r>
            <w:r>
              <w:rPr>
                <w:sz w:val="18"/>
                <w:szCs w:val="18"/>
              </w:rPr>
              <w:t xml:space="preserve"> DM)</w:t>
            </w:r>
          </w:p>
        </w:tc>
        <w:tc>
          <w:tcPr>
            <w:tcW w:w="1612" w:type="dxa"/>
            <w:vAlign w:val="center"/>
          </w:tcPr>
          <w:p w14:paraId="220A1A80">
            <w:pPr>
              <w:spacing w:line="240" w:lineRule="auto"/>
              <w:jc w:val="center"/>
              <w:rPr>
                <w:b/>
                <w:bCs/>
                <w:sz w:val="21"/>
                <w:szCs w:val="21"/>
              </w:rPr>
            </w:pPr>
            <w:r>
              <w:rPr>
                <w:color w:val="000000"/>
                <w:kern w:val="0"/>
                <w:sz w:val="18"/>
                <w:szCs w:val="18"/>
                <w:lang w:bidi="ar"/>
              </w:rPr>
              <w:t>P</w:t>
            </w:r>
            <w:r>
              <w:rPr>
                <w:rStyle w:val="26"/>
                <w:sz w:val="18"/>
                <w:szCs w:val="18"/>
                <w:lang w:bidi="ar"/>
              </w:rPr>
              <w:t>1</w:t>
            </w:r>
          </w:p>
        </w:tc>
        <w:tc>
          <w:tcPr>
            <w:tcW w:w="2268" w:type="dxa"/>
            <w:vAlign w:val="center"/>
          </w:tcPr>
          <w:p w14:paraId="78A7783D">
            <w:pPr>
              <w:spacing w:line="240" w:lineRule="auto"/>
              <w:jc w:val="center"/>
              <w:rPr>
                <w:b/>
                <w:bCs/>
                <w:sz w:val="21"/>
                <w:szCs w:val="21"/>
              </w:rPr>
            </w:pPr>
            <w:r>
              <w:rPr>
                <w:sz w:val="18"/>
                <w:szCs w:val="18"/>
              </w:rPr>
              <w:t>ND</w:t>
            </w:r>
          </w:p>
        </w:tc>
        <w:tc>
          <w:tcPr>
            <w:tcW w:w="1134" w:type="dxa"/>
            <w:vAlign w:val="center"/>
          </w:tcPr>
          <w:p w14:paraId="4BBCB0E6">
            <w:pPr>
              <w:spacing w:line="240" w:lineRule="auto"/>
              <w:jc w:val="center"/>
              <w:rPr>
                <w:b/>
                <w:bCs/>
                <w:sz w:val="21"/>
                <w:szCs w:val="21"/>
              </w:rPr>
            </w:pPr>
            <w:r>
              <w:rPr>
                <w:sz w:val="18"/>
                <w:szCs w:val="18"/>
              </w:rPr>
              <w:t>ND</w:t>
            </w:r>
          </w:p>
        </w:tc>
      </w:tr>
      <w:tr w14:paraId="6403A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1668915E">
            <w:pPr>
              <w:spacing w:line="240" w:lineRule="auto"/>
              <w:jc w:val="center"/>
              <w:rPr>
                <w:b/>
                <w:bCs/>
                <w:sz w:val="21"/>
                <w:szCs w:val="21"/>
              </w:rPr>
            </w:pPr>
          </w:p>
        </w:tc>
        <w:tc>
          <w:tcPr>
            <w:tcW w:w="1612" w:type="dxa"/>
            <w:vAlign w:val="center"/>
          </w:tcPr>
          <w:p w14:paraId="449D762D">
            <w:pPr>
              <w:spacing w:line="240" w:lineRule="auto"/>
              <w:jc w:val="center"/>
              <w:rPr>
                <w:b/>
                <w:bCs/>
                <w:sz w:val="21"/>
                <w:szCs w:val="21"/>
              </w:rPr>
            </w:pPr>
            <w:r>
              <w:rPr>
                <w:color w:val="000000"/>
                <w:kern w:val="0"/>
                <w:sz w:val="18"/>
                <w:szCs w:val="18"/>
                <w:lang w:bidi="ar"/>
              </w:rPr>
              <w:t>P</w:t>
            </w:r>
            <w:r>
              <w:rPr>
                <w:rStyle w:val="26"/>
                <w:sz w:val="18"/>
                <w:szCs w:val="18"/>
                <w:lang w:bidi="ar"/>
              </w:rPr>
              <w:t>2</w:t>
            </w:r>
          </w:p>
        </w:tc>
        <w:tc>
          <w:tcPr>
            <w:tcW w:w="2268" w:type="dxa"/>
            <w:vAlign w:val="center"/>
          </w:tcPr>
          <w:p w14:paraId="67CB6A92">
            <w:pPr>
              <w:spacing w:line="240" w:lineRule="auto"/>
              <w:jc w:val="center"/>
              <w:rPr>
                <w:b/>
                <w:bCs/>
                <w:sz w:val="21"/>
                <w:szCs w:val="21"/>
              </w:rPr>
            </w:pPr>
            <w:r>
              <w:rPr>
                <w:sz w:val="18"/>
                <w:szCs w:val="18"/>
              </w:rPr>
              <w:t>ND</w:t>
            </w:r>
          </w:p>
        </w:tc>
        <w:tc>
          <w:tcPr>
            <w:tcW w:w="1134" w:type="dxa"/>
            <w:vAlign w:val="center"/>
          </w:tcPr>
          <w:p w14:paraId="01C45529">
            <w:pPr>
              <w:spacing w:line="240" w:lineRule="auto"/>
              <w:jc w:val="center"/>
              <w:rPr>
                <w:b/>
                <w:bCs/>
                <w:sz w:val="21"/>
                <w:szCs w:val="21"/>
              </w:rPr>
            </w:pPr>
            <w:r>
              <w:rPr>
                <w:sz w:val="18"/>
                <w:szCs w:val="18"/>
              </w:rPr>
              <w:t>ND</w:t>
            </w:r>
          </w:p>
        </w:tc>
      </w:tr>
      <w:tr w14:paraId="5F669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7BD77B1C">
            <w:pPr>
              <w:spacing w:line="240" w:lineRule="auto"/>
              <w:jc w:val="center"/>
              <w:rPr>
                <w:b/>
                <w:bCs/>
                <w:sz w:val="21"/>
                <w:szCs w:val="21"/>
              </w:rPr>
            </w:pPr>
          </w:p>
        </w:tc>
        <w:tc>
          <w:tcPr>
            <w:tcW w:w="1612" w:type="dxa"/>
            <w:vAlign w:val="center"/>
          </w:tcPr>
          <w:p w14:paraId="149ACCB2">
            <w:pPr>
              <w:spacing w:line="240" w:lineRule="auto"/>
              <w:jc w:val="center"/>
              <w:rPr>
                <w:b/>
                <w:bCs/>
                <w:sz w:val="21"/>
                <w:szCs w:val="21"/>
              </w:rPr>
            </w:pPr>
            <w:r>
              <w:rPr>
                <w:color w:val="000000"/>
                <w:kern w:val="0"/>
                <w:sz w:val="18"/>
                <w:szCs w:val="18"/>
                <w:lang w:bidi="ar"/>
              </w:rPr>
              <w:t>P</w:t>
            </w:r>
            <w:r>
              <w:rPr>
                <w:rStyle w:val="26"/>
                <w:sz w:val="18"/>
                <w:szCs w:val="18"/>
                <w:lang w:bidi="ar"/>
              </w:rPr>
              <w:t>1</w:t>
            </w:r>
            <w:r>
              <w:rPr>
                <w:rStyle w:val="18"/>
                <w:sz w:val="18"/>
                <w:szCs w:val="18"/>
                <w:lang w:bidi="ar"/>
              </w:rPr>
              <w:t>L</w:t>
            </w:r>
          </w:p>
        </w:tc>
        <w:tc>
          <w:tcPr>
            <w:tcW w:w="2268" w:type="dxa"/>
            <w:vAlign w:val="center"/>
          </w:tcPr>
          <w:p w14:paraId="11AB9552">
            <w:pPr>
              <w:spacing w:line="240" w:lineRule="auto"/>
              <w:jc w:val="center"/>
              <w:rPr>
                <w:b/>
                <w:bCs/>
                <w:sz w:val="21"/>
                <w:szCs w:val="21"/>
              </w:rPr>
            </w:pPr>
            <w:r>
              <w:rPr>
                <w:sz w:val="18"/>
                <w:szCs w:val="18"/>
              </w:rPr>
              <w:t>ND</w:t>
            </w:r>
          </w:p>
        </w:tc>
        <w:tc>
          <w:tcPr>
            <w:tcW w:w="1134" w:type="dxa"/>
            <w:vAlign w:val="center"/>
          </w:tcPr>
          <w:p w14:paraId="7E8C174B">
            <w:pPr>
              <w:spacing w:line="240" w:lineRule="auto"/>
              <w:jc w:val="center"/>
              <w:rPr>
                <w:b/>
                <w:bCs/>
                <w:sz w:val="21"/>
                <w:szCs w:val="21"/>
              </w:rPr>
            </w:pPr>
            <w:r>
              <w:rPr>
                <w:sz w:val="18"/>
                <w:szCs w:val="18"/>
              </w:rPr>
              <w:t>ND</w:t>
            </w:r>
          </w:p>
        </w:tc>
      </w:tr>
      <w:tr w14:paraId="19844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vAlign w:val="center"/>
          </w:tcPr>
          <w:p w14:paraId="7D580C81">
            <w:pPr>
              <w:spacing w:line="240" w:lineRule="auto"/>
              <w:jc w:val="center"/>
              <w:rPr>
                <w:b/>
                <w:bCs/>
                <w:sz w:val="21"/>
                <w:szCs w:val="21"/>
              </w:rPr>
            </w:pPr>
          </w:p>
        </w:tc>
        <w:tc>
          <w:tcPr>
            <w:tcW w:w="1612" w:type="dxa"/>
            <w:vAlign w:val="center"/>
          </w:tcPr>
          <w:p w14:paraId="35E4AFF1">
            <w:pPr>
              <w:spacing w:line="240" w:lineRule="auto"/>
              <w:jc w:val="center"/>
              <w:rPr>
                <w:b/>
                <w:bCs/>
                <w:sz w:val="21"/>
                <w:szCs w:val="21"/>
              </w:rPr>
            </w:pPr>
            <w:r>
              <w:rPr>
                <w:color w:val="000000"/>
                <w:kern w:val="0"/>
                <w:sz w:val="18"/>
                <w:szCs w:val="18"/>
                <w:lang w:bidi="ar"/>
              </w:rPr>
              <w:t>P</w:t>
            </w:r>
            <w:r>
              <w:rPr>
                <w:rStyle w:val="26"/>
                <w:sz w:val="18"/>
                <w:szCs w:val="18"/>
                <w:lang w:bidi="ar"/>
              </w:rPr>
              <w:t>2</w:t>
            </w:r>
            <w:r>
              <w:rPr>
                <w:rStyle w:val="18"/>
                <w:sz w:val="18"/>
                <w:szCs w:val="18"/>
                <w:lang w:bidi="ar"/>
              </w:rPr>
              <w:t>L</w:t>
            </w:r>
          </w:p>
        </w:tc>
        <w:tc>
          <w:tcPr>
            <w:tcW w:w="2268" w:type="dxa"/>
            <w:vAlign w:val="center"/>
          </w:tcPr>
          <w:p w14:paraId="213E8CCA">
            <w:pPr>
              <w:spacing w:line="240" w:lineRule="auto"/>
              <w:jc w:val="center"/>
              <w:rPr>
                <w:b/>
                <w:bCs/>
                <w:sz w:val="21"/>
                <w:szCs w:val="21"/>
              </w:rPr>
            </w:pPr>
            <w:r>
              <w:rPr>
                <w:sz w:val="18"/>
                <w:szCs w:val="18"/>
              </w:rPr>
              <w:t>ND</w:t>
            </w:r>
          </w:p>
        </w:tc>
        <w:tc>
          <w:tcPr>
            <w:tcW w:w="1134" w:type="dxa"/>
            <w:vAlign w:val="center"/>
          </w:tcPr>
          <w:p w14:paraId="77ABEBDC">
            <w:pPr>
              <w:spacing w:line="240" w:lineRule="auto"/>
              <w:jc w:val="center"/>
              <w:rPr>
                <w:b/>
                <w:bCs/>
                <w:sz w:val="21"/>
                <w:szCs w:val="21"/>
              </w:rPr>
            </w:pPr>
            <w:r>
              <w:rPr>
                <w:sz w:val="18"/>
                <w:szCs w:val="18"/>
              </w:rPr>
              <w:t>ND</w:t>
            </w:r>
          </w:p>
        </w:tc>
      </w:tr>
      <w:tr w14:paraId="02CF5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07" w:type="dxa"/>
            <w:vMerge w:val="continue"/>
            <w:tcBorders>
              <w:bottom w:val="single" w:color="auto" w:sz="8" w:space="0"/>
            </w:tcBorders>
            <w:vAlign w:val="center"/>
          </w:tcPr>
          <w:p w14:paraId="027A161F">
            <w:pPr>
              <w:spacing w:line="240" w:lineRule="auto"/>
              <w:jc w:val="center"/>
              <w:rPr>
                <w:b/>
                <w:bCs/>
                <w:sz w:val="21"/>
                <w:szCs w:val="21"/>
              </w:rPr>
            </w:pPr>
          </w:p>
        </w:tc>
        <w:tc>
          <w:tcPr>
            <w:tcW w:w="1612" w:type="dxa"/>
            <w:tcBorders>
              <w:bottom w:val="single" w:color="auto" w:sz="8" w:space="0"/>
            </w:tcBorders>
            <w:vAlign w:val="center"/>
          </w:tcPr>
          <w:p w14:paraId="20AF5205">
            <w:pPr>
              <w:spacing w:line="240" w:lineRule="auto"/>
              <w:jc w:val="center"/>
              <w:rPr>
                <w:b/>
                <w:bCs/>
                <w:sz w:val="21"/>
                <w:szCs w:val="21"/>
              </w:rPr>
            </w:pPr>
            <w:r>
              <w:rPr>
                <w:rFonts w:hint="eastAsia"/>
                <w:color w:val="000000"/>
                <w:kern w:val="0"/>
                <w:sz w:val="18"/>
                <w:szCs w:val="18"/>
                <w:lang w:bidi="ar"/>
              </w:rPr>
              <w:t>CK</w:t>
            </w:r>
          </w:p>
        </w:tc>
        <w:tc>
          <w:tcPr>
            <w:tcW w:w="2268" w:type="dxa"/>
            <w:tcBorders>
              <w:bottom w:val="single" w:color="auto" w:sz="8" w:space="0"/>
            </w:tcBorders>
            <w:vAlign w:val="center"/>
          </w:tcPr>
          <w:p w14:paraId="00EA4A7C">
            <w:pPr>
              <w:spacing w:line="240" w:lineRule="auto"/>
              <w:jc w:val="center"/>
              <w:rPr>
                <w:b/>
                <w:bCs/>
                <w:sz w:val="21"/>
                <w:szCs w:val="21"/>
              </w:rPr>
            </w:pPr>
            <w:r>
              <w:rPr>
                <w:sz w:val="18"/>
                <w:szCs w:val="18"/>
              </w:rPr>
              <w:t>ND</w:t>
            </w:r>
          </w:p>
        </w:tc>
        <w:tc>
          <w:tcPr>
            <w:tcW w:w="1134" w:type="dxa"/>
            <w:tcBorders>
              <w:bottom w:val="single" w:color="auto" w:sz="8" w:space="0"/>
            </w:tcBorders>
            <w:vAlign w:val="center"/>
          </w:tcPr>
          <w:p w14:paraId="37383829">
            <w:pPr>
              <w:spacing w:line="240" w:lineRule="auto"/>
              <w:jc w:val="center"/>
              <w:rPr>
                <w:b/>
                <w:bCs/>
                <w:sz w:val="21"/>
                <w:szCs w:val="21"/>
              </w:rPr>
            </w:pPr>
            <w:r>
              <w:rPr>
                <w:sz w:val="18"/>
                <w:szCs w:val="18"/>
              </w:rPr>
              <w:t>ND</w:t>
            </w:r>
          </w:p>
        </w:tc>
      </w:tr>
    </w:tbl>
    <w:p w14:paraId="7A12667B">
      <w:pPr>
        <w:keepNext w:val="0"/>
        <w:keepLines w:val="0"/>
        <w:pageBreakBefore w:val="0"/>
        <w:widowControl w:val="0"/>
        <w:kinsoku/>
        <w:wordWrap/>
        <w:overflowPunct/>
        <w:topLinePunct w:val="0"/>
        <w:autoSpaceDE/>
        <w:autoSpaceDN/>
        <w:bidi w:val="0"/>
        <w:adjustRightInd/>
        <w:snapToGrid/>
        <w:spacing w:before="157" w:beforeLines="50"/>
        <w:textAlignment w:val="auto"/>
        <w:rPr>
          <w:sz w:val="22"/>
          <w:szCs w:val="20"/>
        </w:rPr>
      </w:pPr>
      <w:r>
        <w:rPr>
          <w:rFonts w:hint="eastAsia"/>
          <w:sz w:val="22"/>
          <w:szCs w:val="20"/>
          <w:lang w:val="en-US" w:eastAsia="zh-CN"/>
        </w:rPr>
        <w:t>5</w:t>
      </w:r>
      <w:r>
        <w:rPr>
          <w:rFonts w:hint="eastAsia"/>
          <w:sz w:val="22"/>
          <w:szCs w:val="20"/>
        </w:rPr>
        <w:t xml:space="preserve"> 发酵准备材料</w:t>
      </w:r>
    </w:p>
    <w:p w14:paraId="7FFD31A4">
      <w:pPr>
        <w:ind w:firstLine="440" w:firstLineChars="200"/>
        <w:rPr>
          <w:sz w:val="22"/>
          <w:szCs w:val="20"/>
        </w:rPr>
      </w:pPr>
      <w:r>
        <w:rPr>
          <w:rFonts w:hint="eastAsia"/>
          <w:sz w:val="22"/>
          <w:szCs w:val="20"/>
          <w:lang w:val="en-US" w:eastAsia="zh-CN"/>
        </w:rPr>
        <w:t xml:space="preserve">5.1 </w:t>
      </w:r>
      <w:r>
        <w:rPr>
          <w:rFonts w:hint="eastAsia"/>
          <w:sz w:val="22"/>
          <w:szCs w:val="20"/>
        </w:rPr>
        <w:t>发酵袋</w:t>
      </w:r>
    </w:p>
    <w:p w14:paraId="59FEF8AA">
      <w:pPr>
        <w:ind w:firstLine="440" w:firstLineChars="200"/>
        <w:rPr>
          <w:sz w:val="22"/>
          <w:szCs w:val="20"/>
        </w:rPr>
      </w:pPr>
      <w:r>
        <w:rPr>
          <w:rFonts w:hint="eastAsia"/>
          <w:sz w:val="22"/>
          <w:szCs w:val="22"/>
        </w:rPr>
        <w:t>采用优质无毒的聚乙烯塑料薄膜发酵袋，厚度</w:t>
      </w:r>
      <w:r>
        <w:rPr>
          <w:rFonts w:hint="eastAsia"/>
          <w:sz w:val="22"/>
          <w:szCs w:val="22"/>
          <w:lang w:val="en-US" w:eastAsia="zh-CN"/>
        </w:rPr>
        <w:t>0.22 mm</w:t>
      </w:r>
      <w:r>
        <w:rPr>
          <w:rFonts w:hint="eastAsia"/>
          <w:sz w:val="22"/>
          <w:szCs w:val="22"/>
        </w:rPr>
        <w:t>以上，具有较高的密封性和光热抗性。发酵袋大小根据茶树枝叶产量和每次饲喂量选用。</w:t>
      </w:r>
    </w:p>
    <w:p w14:paraId="6F4375AE">
      <w:pPr>
        <w:ind w:firstLine="440" w:firstLineChars="200"/>
        <w:rPr>
          <w:sz w:val="22"/>
          <w:szCs w:val="20"/>
        </w:rPr>
      </w:pPr>
      <w:r>
        <w:rPr>
          <w:rFonts w:hint="eastAsia"/>
          <w:sz w:val="22"/>
          <w:szCs w:val="20"/>
          <w:lang w:val="en-US" w:eastAsia="zh-CN"/>
        </w:rPr>
        <w:t xml:space="preserve">5.2 </w:t>
      </w:r>
      <w:r>
        <w:rPr>
          <w:rFonts w:hint="eastAsia"/>
          <w:sz w:val="22"/>
          <w:szCs w:val="20"/>
        </w:rPr>
        <w:t>添加剂</w:t>
      </w:r>
    </w:p>
    <w:p w14:paraId="633E194A">
      <w:pPr>
        <w:spacing w:line="360" w:lineRule="auto"/>
        <w:ind w:firstLine="440" w:firstLineChars="200"/>
        <w:rPr>
          <w:rFonts w:hint="eastAsia" w:eastAsia="宋体"/>
          <w:sz w:val="22"/>
          <w:szCs w:val="22"/>
          <w:lang w:eastAsia="zh-CN"/>
        </w:rPr>
      </w:pPr>
      <w:r>
        <w:rPr>
          <w:rFonts w:hint="eastAsia"/>
          <w:sz w:val="22"/>
          <w:szCs w:val="22"/>
        </w:rPr>
        <w:t>本</w:t>
      </w:r>
      <w:r>
        <w:rPr>
          <w:rFonts w:hint="eastAsia" w:ascii="Times New Roman" w:eastAsia="宋体"/>
          <w:sz w:val="22"/>
          <w:szCs w:val="22"/>
          <w:lang w:val="en-US" w:eastAsia="zh-CN"/>
        </w:rPr>
        <w:t>文件</w:t>
      </w:r>
      <w:r>
        <w:rPr>
          <w:rFonts w:hint="eastAsia"/>
          <w:sz w:val="22"/>
          <w:szCs w:val="22"/>
        </w:rPr>
        <w:t>推荐根据原料糖分情况添加乳酸菌或糖蜜</w:t>
      </w:r>
      <w:r>
        <w:rPr>
          <w:rFonts w:hint="eastAsia" w:eastAsia="宋体"/>
          <w:sz w:val="22"/>
          <w:szCs w:val="22"/>
          <w:lang w:eastAsia="zh-CN"/>
        </w:rPr>
        <w:t>。</w:t>
      </w:r>
    </w:p>
    <w:p w14:paraId="65447C9B">
      <w:pPr>
        <w:spacing w:line="360" w:lineRule="auto"/>
        <w:ind w:firstLine="440" w:firstLineChars="200"/>
        <w:rPr>
          <w:rFonts w:hint="eastAsia"/>
          <w:sz w:val="22"/>
          <w:szCs w:val="22"/>
        </w:rPr>
      </w:pPr>
      <w:r>
        <w:rPr>
          <w:rFonts w:hint="eastAsia"/>
          <w:sz w:val="22"/>
          <w:szCs w:val="22"/>
        </w:rPr>
        <w:t>验证依据：试验表明（表</w:t>
      </w:r>
      <w:r>
        <w:rPr>
          <w:rFonts w:hint="eastAsia" w:ascii="Times New Roman" w:eastAsia="宋体"/>
          <w:sz w:val="22"/>
          <w:szCs w:val="22"/>
          <w:lang w:val="en-US" w:eastAsia="zh-CN"/>
        </w:rPr>
        <w:t>5</w:t>
      </w:r>
      <w:r>
        <w:rPr>
          <w:rFonts w:hint="eastAsia"/>
          <w:sz w:val="22"/>
          <w:szCs w:val="22"/>
        </w:rPr>
        <w:t>、表</w:t>
      </w:r>
      <w:r>
        <w:rPr>
          <w:rFonts w:hint="eastAsia" w:ascii="Times New Roman" w:eastAsia="宋体"/>
          <w:sz w:val="22"/>
          <w:szCs w:val="22"/>
          <w:lang w:val="en-US" w:eastAsia="zh-CN"/>
        </w:rPr>
        <w:t>6</w:t>
      </w:r>
      <w:r>
        <w:rPr>
          <w:rFonts w:hint="eastAsia"/>
          <w:sz w:val="22"/>
          <w:szCs w:val="22"/>
        </w:rPr>
        <w:t>），单一添加乳酸菌（LP</w:t>
      </w:r>
      <w:r>
        <w:rPr>
          <w:rFonts w:hint="eastAsia" w:ascii="Times New Roman" w:eastAsia="宋体"/>
          <w:sz w:val="22"/>
          <w:szCs w:val="22"/>
          <w:lang w:val="en-US" w:eastAsia="zh-CN"/>
        </w:rPr>
        <w:t>处理</w:t>
      </w:r>
      <w:r>
        <w:rPr>
          <w:rFonts w:hint="eastAsia"/>
          <w:sz w:val="22"/>
          <w:szCs w:val="22"/>
        </w:rPr>
        <w:t>）或糖蜜（M</w:t>
      </w:r>
      <w:r>
        <w:rPr>
          <w:rFonts w:hint="eastAsia" w:ascii="Times New Roman" w:eastAsia="宋体"/>
          <w:sz w:val="22"/>
          <w:szCs w:val="22"/>
          <w:lang w:val="en-US" w:eastAsia="zh-CN"/>
        </w:rPr>
        <w:t>处理</w:t>
      </w:r>
      <w:r>
        <w:rPr>
          <w:rFonts w:hint="eastAsia"/>
          <w:sz w:val="22"/>
          <w:szCs w:val="22"/>
        </w:rPr>
        <w:t>）均能改善发酵品质，但混合添加（MLP</w:t>
      </w:r>
      <w:r>
        <w:rPr>
          <w:rFonts w:hint="eastAsia" w:ascii="Times New Roman" w:eastAsia="宋体"/>
          <w:sz w:val="22"/>
          <w:szCs w:val="22"/>
          <w:lang w:val="en-US" w:eastAsia="zh-CN"/>
        </w:rPr>
        <w:t>处理</w:t>
      </w:r>
      <w:r>
        <w:rPr>
          <w:rFonts w:hint="eastAsia"/>
          <w:sz w:val="22"/>
          <w:szCs w:val="22"/>
        </w:rPr>
        <w:t>）效果最佳，pH值下降最快</w:t>
      </w:r>
      <w:r>
        <w:rPr>
          <w:rFonts w:hint="eastAsia" w:eastAsia="宋体"/>
          <w:sz w:val="22"/>
          <w:szCs w:val="22"/>
          <w:lang w:eastAsia="zh-CN"/>
        </w:rPr>
        <w:t>，</w:t>
      </w:r>
      <w:r>
        <w:rPr>
          <w:rFonts w:hint="eastAsia" w:ascii="Times New Roman" w:eastAsia="宋体"/>
          <w:sz w:val="22"/>
          <w:szCs w:val="22"/>
          <w:lang w:val="en-US" w:eastAsia="zh-CN"/>
        </w:rPr>
        <w:t>低于4.0</w:t>
      </w:r>
      <w:r>
        <w:rPr>
          <w:rFonts w:hint="eastAsia"/>
          <w:sz w:val="22"/>
          <w:szCs w:val="22"/>
        </w:rPr>
        <w:t>，</w:t>
      </w:r>
      <w:r>
        <w:rPr>
          <w:rFonts w:hint="eastAsia" w:ascii="Times New Roman" w:eastAsia="宋体"/>
          <w:sz w:val="22"/>
          <w:szCs w:val="22"/>
          <w:lang w:val="en-US" w:eastAsia="zh-CN"/>
        </w:rPr>
        <w:t>对有害菌（如假单胞菌属等）的抑制效果最显著</w:t>
      </w:r>
      <w:r>
        <w:rPr>
          <w:rFonts w:hint="eastAsia"/>
          <w:sz w:val="22"/>
          <w:szCs w:val="22"/>
        </w:rPr>
        <w:t>。基于微生物群落分析，当原料WSC低于5%时，自然发酵难以启动，必须补充</w:t>
      </w:r>
      <w:r>
        <w:rPr>
          <w:rFonts w:hint="eastAsia" w:ascii="Times New Roman" w:eastAsia="宋体"/>
          <w:sz w:val="22"/>
          <w:szCs w:val="22"/>
          <w:lang w:val="en-US" w:eastAsia="zh-CN"/>
        </w:rPr>
        <w:t>碳</w:t>
      </w:r>
      <w:r>
        <w:rPr>
          <w:rFonts w:hint="eastAsia"/>
          <w:sz w:val="22"/>
          <w:szCs w:val="22"/>
        </w:rPr>
        <w:t>源。因此，本</w:t>
      </w:r>
      <w:r>
        <w:rPr>
          <w:rFonts w:hint="eastAsia" w:eastAsia="宋体"/>
          <w:sz w:val="22"/>
          <w:szCs w:val="22"/>
          <w:lang w:eastAsia="zh-CN"/>
        </w:rPr>
        <w:t>文件</w:t>
      </w:r>
      <w:r>
        <w:rPr>
          <w:rFonts w:hint="eastAsia" w:ascii="Times New Roman" w:eastAsia="宋体"/>
          <w:sz w:val="22"/>
          <w:szCs w:val="22"/>
          <w:lang w:val="en-US" w:eastAsia="zh-CN"/>
        </w:rPr>
        <w:t>建议</w:t>
      </w:r>
      <w:r>
        <w:rPr>
          <w:rFonts w:hint="eastAsia"/>
          <w:sz w:val="22"/>
          <w:szCs w:val="22"/>
        </w:rPr>
        <w:t>WSC&lt;5%时宜混合添加糖蜜与乳酸菌。</w:t>
      </w:r>
    </w:p>
    <w:p w14:paraId="66756004">
      <w:pPr>
        <w:spacing w:line="360" w:lineRule="auto"/>
        <w:ind w:firstLine="422" w:firstLineChars="200"/>
        <w:jc w:val="center"/>
        <w:rPr>
          <w:b/>
          <w:bCs/>
          <w:sz w:val="21"/>
          <w:szCs w:val="21"/>
        </w:rPr>
      </w:pPr>
      <w:r>
        <w:rPr>
          <w:rFonts w:hint="eastAsia"/>
          <w:b/>
          <w:bCs/>
          <w:sz w:val="21"/>
          <w:szCs w:val="21"/>
        </w:rPr>
        <w:drawing>
          <wp:anchor distT="0" distB="0" distL="114300" distR="114300" simplePos="0" relativeHeight="251660288" behindDoc="0" locked="0" layoutInCell="1" allowOverlap="1">
            <wp:simplePos x="0" y="0"/>
            <wp:positionH relativeFrom="margin">
              <wp:posOffset>5080</wp:posOffset>
            </wp:positionH>
            <wp:positionV relativeFrom="paragraph">
              <wp:posOffset>313055</wp:posOffset>
            </wp:positionV>
            <wp:extent cx="5274310" cy="5238115"/>
            <wp:effectExtent l="0" t="0" r="2540" b="635"/>
            <wp:wrapTopAndBottom/>
            <wp:docPr id="981091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09127"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4310" cy="5238115"/>
                    </a:xfrm>
                    <a:prstGeom prst="rect">
                      <a:avLst/>
                    </a:prstGeom>
                    <a:noFill/>
                    <a:ln>
                      <a:noFill/>
                    </a:ln>
                  </pic:spPr>
                </pic:pic>
              </a:graphicData>
            </a:graphic>
          </wp:anchor>
        </w:drawing>
      </w:r>
      <w:r>
        <w:rPr>
          <w:rFonts w:hint="eastAsia"/>
          <w:b/>
          <w:bCs/>
          <w:sz w:val="21"/>
          <w:szCs w:val="21"/>
        </w:rPr>
        <w:t>表5 不同添加剂处理下</w:t>
      </w:r>
      <w:r>
        <w:rPr>
          <w:rFonts w:hint="eastAsia" w:eastAsia="宋体"/>
          <w:b/>
          <w:bCs/>
          <w:sz w:val="21"/>
          <w:szCs w:val="21"/>
          <w:lang w:eastAsia="zh-CN"/>
        </w:rPr>
        <w:t>青贮茶树枝叶</w:t>
      </w:r>
      <w:r>
        <w:rPr>
          <w:rFonts w:hint="eastAsia"/>
          <w:b/>
          <w:bCs/>
          <w:sz w:val="21"/>
          <w:szCs w:val="21"/>
        </w:rPr>
        <w:t>营养成分</w:t>
      </w:r>
    </w:p>
    <w:p w14:paraId="3FF173A9">
      <w:pPr>
        <w:spacing w:line="240" w:lineRule="auto"/>
        <w:ind w:firstLine="360" w:firstLineChars="200"/>
        <w:rPr>
          <w:sz w:val="21"/>
          <w:szCs w:val="24"/>
        </w:rPr>
      </w:pPr>
      <w:r>
        <w:rPr>
          <w:sz w:val="18"/>
          <w:szCs w:val="21"/>
        </w:rPr>
        <w:t>注：同一列肩标不同大写字母表示不同天数间的均值差异显著（</w:t>
      </w:r>
      <w:r>
        <w:rPr>
          <w:i/>
          <w:iCs/>
          <w:sz w:val="18"/>
          <w:szCs w:val="21"/>
        </w:rPr>
        <w:t xml:space="preserve">P </w:t>
      </w:r>
      <w:r>
        <w:rPr>
          <w:sz w:val="18"/>
          <w:szCs w:val="21"/>
        </w:rPr>
        <w:t>&lt; 0.05），同一行肩标不同小写字母表示不同处理间的均值差异显著（</w:t>
      </w:r>
      <w:r>
        <w:rPr>
          <w:i/>
          <w:iCs/>
          <w:sz w:val="18"/>
          <w:szCs w:val="21"/>
        </w:rPr>
        <w:t xml:space="preserve">P </w:t>
      </w:r>
      <w:r>
        <w:rPr>
          <w:sz w:val="18"/>
          <w:szCs w:val="21"/>
        </w:rPr>
        <w:t>&lt; 0.05）。CK：对照青贮茶树</w:t>
      </w:r>
      <w:r>
        <w:rPr>
          <w:rFonts w:hint="eastAsia"/>
          <w:sz w:val="18"/>
          <w:szCs w:val="21"/>
        </w:rPr>
        <w:t>枝</w:t>
      </w:r>
      <w:r>
        <w:rPr>
          <w:sz w:val="18"/>
          <w:szCs w:val="21"/>
        </w:rPr>
        <w:t>叶，L</w:t>
      </w:r>
      <w:r>
        <w:rPr>
          <w:rFonts w:hint="eastAsia"/>
          <w:sz w:val="18"/>
          <w:szCs w:val="21"/>
        </w:rPr>
        <w:t>P</w:t>
      </w:r>
      <w:r>
        <w:rPr>
          <w:sz w:val="18"/>
          <w:szCs w:val="21"/>
        </w:rPr>
        <w:t>：添加植物乳杆菌的</w:t>
      </w:r>
      <w:r>
        <w:rPr>
          <w:rFonts w:hint="eastAsia" w:eastAsia="宋体"/>
          <w:sz w:val="18"/>
          <w:szCs w:val="21"/>
          <w:lang w:eastAsia="zh-CN"/>
        </w:rPr>
        <w:t>青贮茶树枝叶</w:t>
      </w:r>
      <w:r>
        <w:rPr>
          <w:sz w:val="18"/>
          <w:szCs w:val="21"/>
        </w:rPr>
        <w:t>，M：添加糖蜜的</w:t>
      </w:r>
      <w:r>
        <w:rPr>
          <w:rFonts w:hint="eastAsia" w:eastAsia="宋体"/>
          <w:sz w:val="18"/>
          <w:szCs w:val="21"/>
          <w:lang w:eastAsia="zh-CN"/>
        </w:rPr>
        <w:t>青贮茶树枝叶</w:t>
      </w:r>
      <w:r>
        <w:rPr>
          <w:sz w:val="18"/>
          <w:szCs w:val="21"/>
        </w:rPr>
        <w:t>，ML</w:t>
      </w:r>
      <w:r>
        <w:rPr>
          <w:rFonts w:hint="eastAsia"/>
          <w:sz w:val="18"/>
          <w:szCs w:val="21"/>
        </w:rPr>
        <w:t>P</w:t>
      </w:r>
      <w:r>
        <w:rPr>
          <w:sz w:val="18"/>
          <w:szCs w:val="21"/>
        </w:rPr>
        <w:t>：植物乳杆菌和糖蜜混合物添加的</w:t>
      </w:r>
      <w:r>
        <w:rPr>
          <w:rFonts w:hint="eastAsia" w:eastAsia="宋体"/>
          <w:sz w:val="18"/>
          <w:szCs w:val="21"/>
          <w:lang w:eastAsia="zh-CN"/>
        </w:rPr>
        <w:t>青贮茶树枝叶</w:t>
      </w:r>
      <w:r>
        <w:rPr>
          <w:sz w:val="18"/>
          <w:szCs w:val="21"/>
        </w:rPr>
        <w:t>，FM：鲜物质，SEM：平均误差，S：储存时间，T：处理，S×T：储存时间和处理间的交互作用。</w:t>
      </w:r>
      <w:r>
        <w:rPr>
          <w:rFonts w:hint="eastAsia"/>
          <w:sz w:val="18"/>
          <w:szCs w:val="21"/>
        </w:rPr>
        <w:t>同下。</w:t>
      </w:r>
    </w:p>
    <w:p w14:paraId="2CEEFE0D">
      <w:pPr>
        <w:spacing w:line="360" w:lineRule="auto"/>
        <w:ind w:firstLine="420" w:firstLineChars="200"/>
        <w:jc w:val="center"/>
        <w:rPr>
          <w:sz w:val="21"/>
          <w:szCs w:val="21"/>
        </w:rPr>
      </w:pPr>
      <w:r>
        <w:rPr>
          <w:rFonts w:hint="eastAsia"/>
          <w:sz w:val="21"/>
          <w:szCs w:val="21"/>
        </w:rPr>
        <w:drawing>
          <wp:anchor distT="0" distB="0" distL="114300" distR="114300" simplePos="0" relativeHeight="251659264" behindDoc="0" locked="0" layoutInCell="1" allowOverlap="1">
            <wp:simplePos x="0" y="0"/>
            <wp:positionH relativeFrom="column">
              <wp:posOffset>45720</wp:posOffset>
            </wp:positionH>
            <wp:positionV relativeFrom="paragraph">
              <wp:posOffset>317500</wp:posOffset>
            </wp:positionV>
            <wp:extent cx="5274310" cy="5412740"/>
            <wp:effectExtent l="0" t="0" r="2540" b="0"/>
            <wp:wrapTopAndBottom/>
            <wp:docPr id="6223102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310220"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74310" cy="5412740"/>
                    </a:xfrm>
                    <a:prstGeom prst="rect">
                      <a:avLst/>
                    </a:prstGeom>
                    <a:noFill/>
                    <a:ln>
                      <a:noFill/>
                    </a:ln>
                  </pic:spPr>
                </pic:pic>
              </a:graphicData>
            </a:graphic>
          </wp:anchor>
        </w:drawing>
      </w:r>
      <w:r>
        <w:rPr>
          <w:rFonts w:hint="eastAsia"/>
          <w:b/>
          <w:bCs/>
          <w:sz w:val="21"/>
          <w:szCs w:val="21"/>
        </w:rPr>
        <w:t xml:space="preserve">表6. </w:t>
      </w:r>
      <w:r>
        <w:rPr>
          <w:b/>
          <w:bCs/>
          <w:sz w:val="21"/>
          <w:szCs w:val="21"/>
        </w:rPr>
        <w:t>不同添加剂处理</w:t>
      </w:r>
      <w:r>
        <w:rPr>
          <w:rFonts w:hint="eastAsia"/>
          <w:b/>
          <w:bCs/>
          <w:sz w:val="21"/>
          <w:szCs w:val="21"/>
        </w:rPr>
        <w:t>下</w:t>
      </w:r>
      <w:r>
        <w:rPr>
          <w:b/>
          <w:bCs/>
          <w:sz w:val="21"/>
          <w:szCs w:val="21"/>
        </w:rPr>
        <w:t>青贮茶树</w:t>
      </w:r>
      <w:r>
        <w:rPr>
          <w:rFonts w:hint="eastAsia" w:ascii="Times New Roman" w:eastAsia="宋体"/>
          <w:b/>
          <w:bCs/>
          <w:sz w:val="21"/>
          <w:szCs w:val="21"/>
          <w:lang w:val="en-US" w:eastAsia="zh-CN"/>
        </w:rPr>
        <w:t>枝</w:t>
      </w:r>
      <w:r>
        <w:rPr>
          <w:b/>
          <w:bCs/>
          <w:sz w:val="21"/>
          <w:szCs w:val="21"/>
        </w:rPr>
        <w:t>叶</w:t>
      </w:r>
      <w:r>
        <w:rPr>
          <w:rFonts w:hint="eastAsia"/>
          <w:b/>
          <w:bCs/>
          <w:sz w:val="21"/>
          <w:szCs w:val="21"/>
        </w:rPr>
        <w:t>发酵品质</w:t>
      </w:r>
    </w:p>
    <w:p w14:paraId="025C0B1F">
      <w:pPr>
        <w:rPr>
          <w:rFonts w:hint="default" w:eastAsia="宋体"/>
          <w:sz w:val="22"/>
          <w:szCs w:val="20"/>
          <w:lang w:val="en-US" w:eastAsia="zh-CN"/>
        </w:rPr>
      </w:pPr>
      <w:r>
        <w:rPr>
          <w:rFonts w:hint="eastAsia"/>
          <w:sz w:val="22"/>
          <w:szCs w:val="20"/>
          <w:lang w:val="en-US" w:eastAsia="zh-CN"/>
        </w:rPr>
        <w:t>8 取用</w:t>
      </w:r>
    </w:p>
    <w:p w14:paraId="0CED53DE">
      <w:pPr>
        <w:spacing w:line="360" w:lineRule="auto"/>
        <w:ind w:firstLine="440" w:firstLineChars="200"/>
        <w:rPr>
          <w:rFonts w:hint="default"/>
          <w:sz w:val="22"/>
          <w:szCs w:val="22"/>
          <w:lang w:val="en-US" w:eastAsia="zh-CN"/>
        </w:rPr>
      </w:pPr>
      <w:r>
        <w:rPr>
          <w:rFonts w:hint="eastAsia" w:ascii="Times New Roman" w:eastAsia="宋体"/>
          <w:sz w:val="22"/>
          <w:szCs w:val="22"/>
          <w:lang w:val="en-US" w:eastAsia="zh-CN"/>
        </w:rPr>
        <w:t>本文件推荐取用时间为青贮60</w:t>
      </w:r>
      <w:r>
        <w:rPr>
          <w:rFonts w:hint="eastAsia"/>
          <w:sz w:val="22"/>
          <w:szCs w:val="22"/>
          <w:lang w:val="en-US" w:eastAsia="zh-CN"/>
        </w:rPr>
        <w:t>天</w:t>
      </w:r>
      <w:r>
        <w:rPr>
          <w:rFonts w:hint="eastAsia" w:ascii="Times New Roman" w:eastAsia="宋体"/>
          <w:sz w:val="22"/>
          <w:szCs w:val="22"/>
          <w:lang w:val="en-US" w:eastAsia="zh-CN"/>
        </w:rPr>
        <w:t>后。</w:t>
      </w:r>
    </w:p>
    <w:p w14:paraId="6A6457A1">
      <w:pPr>
        <w:spacing w:line="360" w:lineRule="auto"/>
        <w:ind w:firstLine="440" w:firstLineChars="200"/>
        <w:rPr>
          <w:rFonts w:hint="eastAsia"/>
          <w:sz w:val="22"/>
          <w:szCs w:val="22"/>
          <w:lang w:val="en-US" w:eastAsia="zh-CN"/>
        </w:rPr>
      </w:pPr>
      <w:r>
        <w:rPr>
          <w:rFonts w:hint="eastAsia" w:ascii="Times New Roman" w:eastAsia="宋体"/>
          <w:sz w:val="22"/>
          <w:szCs w:val="22"/>
          <w:lang w:val="en-US" w:eastAsia="zh-CN"/>
        </w:rPr>
        <w:t>验证依据：该部分是综合青贮水分、青贮添加剂实验中发现，茶树枝叶青贮的发酵品质和微生物结构需要较长时间才能达到稳定，至少需要60</w:t>
      </w:r>
      <w:r>
        <w:rPr>
          <w:rFonts w:hint="eastAsia"/>
          <w:sz w:val="22"/>
          <w:szCs w:val="22"/>
          <w:lang w:val="en-US" w:eastAsia="zh-CN"/>
        </w:rPr>
        <w:t>天</w:t>
      </w:r>
      <w:r>
        <w:rPr>
          <w:rFonts w:hint="eastAsia" w:ascii="Times New Roman" w:eastAsia="宋体"/>
          <w:sz w:val="22"/>
          <w:szCs w:val="22"/>
          <w:lang w:val="en-US" w:eastAsia="zh-CN"/>
        </w:rPr>
        <w:t>。茶多酚在60</w:t>
      </w:r>
      <w:r>
        <w:rPr>
          <w:rFonts w:hint="eastAsia"/>
          <w:sz w:val="22"/>
          <w:szCs w:val="22"/>
          <w:lang w:val="en-US" w:eastAsia="zh-CN"/>
        </w:rPr>
        <w:t>天</w:t>
      </w:r>
      <w:r>
        <w:rPr>
          <w:rFonts w:hint="eastAsia" w:ascii="Times New Roman" w:eastAsia="宋体"/>
          <w:sz w:val="22"/>
          <w:szCs w:val="22"/>
          <w:lang w:val="en-US" w:eastAsia="zh-CN"/>
        </w:rPr>
        <w:t>后升高、游离氨基酸30</w:t>
      </w:r>
      <w:r>
        <w:rPr>
          <w:rFonts w:hint="eastAsia"/>
          <w:sz w:val="22"/>
          <w:szCs w:val="22"/>
          <w:lang w:val="en-US" w:eastAsia="zh-CN"/>
        </w:rPr>
        <w:t>天</w:t>
      </w:r>
      <w:r>
        <w:rPr>
          <w:rFonts w:hint="eastAsia" w:ascii="Times New Roman" w:eastAsia="宋体"/>
          <w:sz w:val="22"/>
          <w:szCs w:val="22"/>
          <w:lang w:val="en-US" w:eastAsia="zh-CN"/>
        </w:rPr>
        <w:t>后发生变化，活性物质的释放也在青贮中发酵后期（图3）。如果低于60</w:t>
      </w:r>
      <w:r>
        <w:rPr>
          <w:rFonts w:hint="eastAsia"/>
          <w:sz w:val="22"/>
          <w:szCs w:val="22"/>
          <w:lang w:val="en-US" w:eastAsia="zh-CN"/>
        </w:rPr>
        <w:t>天</w:t>
      </w:r>
      <w:r>
        <w:rPr>
          <w:rFonts w:hint="eastAsia" w:ascii="Times New Roman" w:eastAsia="宋体"/>
          <w:sz w:val="22"/>
          <w:szCs w:val="22"/>
          <w:lang w:val="en-US" w:eastAsia="zh-CN"/>
        </w:rPr>
        <w:t>，茶树枝叶会出现发酵不完全的现象，影响茶叶的发酵品质和成分的留存。</w:t>
      </w:r>
    </w:p>
    <w:p w14:paraId="41E93AAA">
      <w:pPr>
        <w:spacing w:line="360" w:lineRule="auto"/>
        <w:jc w:val="both"/>
        <w:rPr>
          <w:sz w:val="21"/>
          <w:szCs w:val="24"/>
        </w:rPr>
      </w:pPr>
      <w:r>
        <w:rPr>
          <w:sz w:val="21"/>
          <w:szCs w:val="24"/>
        </w:rPr>
        <w:drawing>
          <wp:inline distT="0" distB="0" distL="0" distR="0">
            <wp:extent cx="5274310" cy="2969260"/>
            <wp:effectExtent l="0" t="0" r="2540" b="2540"/>
            <wp:docPr id="8221218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121818"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74310" cy="2969260"/>
                    </a:xfrm>
                    <a:prstGeom prst="rect">
                      <a:avLst/>
                    </a:prstGeom>
                    <a:noFill/>
                    <a:ln>
                      <a:noFill/>
                    </a:ln>
                  </pic:spPr>
                </pic:pic>
              </a:graphicData>
            </a:graphic>
          </wp:inline>
        </w:drawing>
      </w:r>
    </w:p>
    <w:p w14:paraId="1FE60671">
      <w:pPr>
        <w:spacing w:line="360" w:lineRule="auto"/>
        <w:ind w:firstLine="442" w:firstLineChars="200"/>
        <w:jc w:val="center"/>
        <w:rPr>
          <w:rFonts w:hint="default"/>
          <w:b/>
          <w:bCs/>
          <w:sz w:val="22"/>
          <w:szCs w:val="22"/>
          <w:lang w:val="en-US" w:eastAsia="zh-CN"/>
        </w:rPr>
      </w:pPr>
      <w:r>
        <w:rPr>
          <w:rFonts w:hint="default"/>
          <w:b/>
          <w:bCs/>
          <w:sz w:val="22"/>
          <w:szCs w:val="22"/>
          <w:lang w:val="en-US" w:eastAsia="zh-CN"/>
        </w:rPr>
        <w:t>图</w:t>
      </w:r>
      <w:r>
        <w:rPr>
          <w:rFonts w:hint="eastAsia" w:ascii="Times New Roman" w:eastAsia="宋体"/>
          <w:b/>
          <w:bCs/>
          <w:sz w:val="22"/>
          <w:szCs w:val="22"/>
          <w:lang w:val="en-US" w:eastAsia="zh-CN"/>
        </w:rPr>
        <w:t>3</w:t>
      </w:r>
      <w:r>
        <w:rPr>
          <w:rFonts w:hint="default"/>
          <w:b/>
          <w:bCs/>
          <w:sz w:val="22"/>
          <w:szCs w:val="22"/>
          <w:lang w:val="en-US" w:eastAsia="zh-CN"/>
        </w:rPr>
        <w:t xml:space="preserve"> 不同添加剂处理青贮茶树</w:t>
      </w:r>
      <w:r>
        <w:rPr>
          <w:rFonts w:hint="eastAsia" w:ascii="Times New Roman" w:eastAsia="宋体"/>
          <w:b/>
          <w:bCs/>
          <w:sz w:val="22"/>
          <w:szCs w:val="22"/>
          <w:lang w:val="en-US" w:eastAsia="zh-CN"/>
        </w:rPr>
        <w:t>枝</w:t>
      </w:r>
      <w:r>
        <w:rPr>
          <w:rFonts w:hint="default"/>
          <w:b/>
          <w:bCs/>
          <w:sz w:val="22"/>
          <w:szCs w:val="22"/>
          <w:lang w:val="en-US" w:eastAsia="zh-CN"/>
        </w:rPr>
        <w:t>叶中活性成分和游离氨基酸含量</w:t>
      </w:r>
    </w:p>
    <w:p w14:paraId="014ED9CA">
      <w:pPr>
        <w:spacing w:line="360" w:lineRule="auto"/>
        <w:rPr>
          <w:rFonts w:hint="eastAsia" w:ascii="Times New Roman" w:eastAsia="宋体"/>
          <w:sz w:val="22"/>
          <w:szCs w:val="22"/>
          <w:lang w:val="en-US" w:eastAsia="zh-CN"/>
        </w:rPr>
      </w:pPr>
      <w:r>
        <w:rPr>
          <w:rFonts w:hint="eastAsia" w:ascii="Times New Roman" w:eastAsia="宋体"/>
          <w:sz w:val="24"/>
          <w:szCs w:val="24"/>
          <w:lang w:val="en-US" w:eastAsia="zh-CN"/>
        </w:rPr>
        <w:t xml:space="preserve">9 </w:t>
      </w:r>
      <w:r>
        <w:rPr>
          <w:rFonts w:hint="eastAsia" w:ascii="Times New Roman" w:eastAsia="宋体"/>
          <w:sz w:val="22"/>
          <w:szCs w:val="22"/>
          <w:lang w:val="en-US" w:eastAsia="zh-CN"/>
        </w:rPr>
        <w:t>质量评价</w:t>
      </w:r>
    </w:p>
    <w:p w14:paraId="512E0B95">
      <w:pPr>
        <w:spacing w:line="360" w:lineRule="auto"/>
        <w:ind w:firstLine="440" w:firstLineChars="200"/>
        <w:rPr>
          <w:rFonts w:hint="default" w:ascii="Times New Roman" w:eastAsia="宋体"/>
          <w:sz w:val="22"/>
          <w:szCs w:val="22"/>
          <w:lang w:val="en-US" w:eastAsia="zh-CN"/>
        </w:rPr>
      </w:pPr>
      <w:r>
        <w:rPr>
          <w:rFonts w:hint="eastAsia" w:ascii="Times New Roman" w:eastAsia="宋体"/>
          <w:sz w:val="22"/>
          <w:szCs w:val="22"/>
          <w:lang w:val="en-US" w:eastAsia="zh-CN"/>
        </w:rPr>
        <w:t>9.1 感官评价</w:t>
      </w:r>
    </w:p>
    <w:p w14:paraId="67A04E7A">
      <w:pPr>
        <w:spacing w:line="360" w:lineRule="auto"/>
        <w:ind w:firstLine="440" w:firstLineChars="200"/>
        <w:rPr>
          <w:rFonts w:hint="eastAsia" w:ascii="Times New Roman" w:eastAsia="宋体"/>
          <w:sz w:val="22"/>
          <w:szCs w:val="22"/>
          <w:lang w:val="en-US" w:eastAsia="zh-CN"/>
        </w:rPr>
      </w:pPr>
      <w:r>
        <w:rPr>
          <w:rFonts w:hint="eastAsia" w:ascii="Times New Roman" w:eastAsia="宋体"/>
          <w:sz w:val="22"/>
          <w:szCs w:val="22"/>
          <w:lang w:val="en-US" w:eastAsia="zh-CN"/>
        </w:rPr>
        <w:t>本文件规定了通过颜色、气味和质地对茶树修剪枝叶青贮品质进行感官判定。</w:t>
      </w:r>
    </w:p>
    <w:p w14:paraId="13B9F6FF">
      <w:pPr>
        <w:spacing w:line="360" w:lineRule="auto"/>
        <w:ind w:firstLine="440" w:firstLineChars="200"/>
        <w:rPr>
          <w:rFonts w:hint="eastAsia" w:ascii="Times New Roman" w:eastAsia="宋体"/>
          <w:sz w:val="22"/>
          <w:szCs w:val="22"/>
          <w:lang w:val="en-US" w:eastAsia="zh-CN"/>
        </w:rPr>
      </w:pPr>
      <w:r>
        <w:rPr>
          <w:rFonts w:hint="eastAsia" w:ascii="Times New Roman" w:eastAsia="宋体"/>
          <w:sz w:val="22"/>
          <w:szCs w:val="22"/>
          <w:lang w:val="en-US" w:eastAsia="zh-CN"/>
        </w:rPr>
        <w:t>验证依据：该部分依据主要参考了行业标准NY/T 3133-2017《饲料用灌木微贮技术规程》及青贮饲料通用的感官评价方法，并结合项目组的实际生产试验观察茶树属于灌木，其枝叶的木质化程度、叶片结构等性状与常规草本牧草存在差异，更接近灌木饲料。因此，评价体系参照了NY/T 3133中关于颜色、气味的分级标准。项目组在多次青贮试验中观察发现，发酵良好的茶树枝叶青贮能较好地保持原料的黄绿色或青绿色；而密封不严或发酵失败的样品则迅速转变为黑褐色。添加糖蜜和乳酸菌处理组，开包后具有明显的芳香酸味；对照组或低糖分原料自然发酵组，容易出现刺鼻的醋酸味或霉味。综上，本标准制定的感官评价指标贴合茶树枝叶的实际发酵特征，具有现场操作指导意义。</w:t>
      </w:r>
    </w:p>
    <w:p w14:paraId="12F897A4">
      <w:pPr>
        <w:spacing w:line="360" w:lineRule="auto"/>
        <w:ind w:firstLine="440" w:firstLineChars="200"/>
        <w:rPr>
          <w:rFonts w:hint="default" w:ascii="Times New Roman" w:eastAsia="宋体"/>
          <w:sz w:val="22"/>
          <w:szCs w:val="22"/>
          <w:lang w:val="en-US" w:eastAsia="zh-CN"/>
        </w:rPr>
      </w:pPr>
      <w:r>
        <w:rPr>
          <w:rFonts w:hint="eastAsia" w:ascii="Times New Roman" w:eastAsia="宋体"/>
          <w:sz w:val="22"/>
          <w:szCs w:val="22"/>
          <w:lang w:val="en-US" w:eastAsia="zh-CN"/>
        </w:rPr>
        <w:t xml:space="preserve">9.2 </w:t>
      </w:r>
      <w:r>
        <w:rPr>
          <w:rFonts w:hint="default" w:ascii="Times New Roman" w:eastAsia="宋体"/>
          <w:sz w:val="22"/>
          <w:szCs w:val="22"/>
          <w:lang w:val="en-US" w:eastAsia="zh-CN"/>
        </w:rPr>
        <w:t>理化指标</w:t>
      </w:r>
    </w:p>
    <w:p w14:paraId="77189FCE">
      <w:pPr>
        <w:spacing w:line="360" w:lineRule="auto"/>
        <w:ind w:firstLine="440" w:firstLineChars="200"/>
        <w:rPr>
          <w:rFonts w:hint="default" w:ascii="Times New Roman" w:eastAsia="宋体"/>
          <w:sz w:val="22"/>
          <w:szCs w:val="22"/>
          <w:lang w:val="en-US" w:eastAsia="zh-CN"/>
        </w:rPr>
      </w:pPr>
      <w:r>
        <w:rPr>
          <w:rFonts w:hint="default" w:ascii="Times New Roman" w:eastAsia="宋体"/>
          <w:sz w:val="22"/>
          <w:szCs w:val="22"/>
          <w:lang w:val="en-US" w:eastAsia="zh-CN"/>
        </w:rPr>
        <w:t>本文件确定pH值、粗蛋白含量、氨态氮/总氮（NH</w:t>
      </w:r>
      <w:r>
        <w:rPr>
          <w:rFonts w:hint="default" w:ascii="Times New Roman" w:eastAsia="宋体"/>
          <w:sz w:val="22"/>
          <w:szCs w:val="22"/>
          <w:vertAlign w:val="subscript"/>
          <w:lang w:val="en-US" w:eastAsia="zh-CN"/>
        </w:rPr>
        <w:t>3</w:t>
      </w:r>
      <w:r>
        <w:rPr>
          <w:rFonts w:hint="default" w:ascii="Times New Roman" w:eastAsia="宋体"/>
          <w:sz w:val="22"/>
          <w:szCs w:val="22"/>
          <w:lang w:val="en-US" w:eastAsia="zh-CN"/>
        </w:rPr>
        <w:t>-N/TN）及丁酸为判定青贮品质的核心理化指标，指标要求为：pH值≤</w:t>
      </w:r>
      <w:r>
        <w:rPr>
          <w:rFonts w:hint="eastAsia"/>
          <w:sz w:val="22"/>
          <w:szCs w:val="22"/>
          <w:lang w:val="en-US" w:eastAsia="zh-CN"/>
        </w:rPr>
        <w:t xml:space="preserve"> 4.</w:t>
      </w:r>
      <w:r>
        <w:rPr>
          <w:rFonts w:hint="eastAsia" w:ascii="Times New Roman" w:eastAsia="宋体"/>
          <w:sz w:val="22"/>
          <w:szCs w:val="22"/>
          <w:lang w:val="en-US" w:eastAsia="zh-CN"/>
        </w:rPr>
        <w:t>5</w:t>
      </w:r>
      <w:r>
        <w:rPr>
          <w:rFonts w:hint="default" w:ascii="Times New Roman" w:eastAsia="宋体"/>
          <w:sz w:val="22"/>
          <w:szCs w:val="22"/>
          <w:lang w:val="en-US" w:eastAsia="zh-CN"/>
        </w:rPr>
        <w:t>；粗蛋白（以DM计）≥15%；NH</w:t>
      </w:r>
      <w:r>
        <w:rPr>
          <w:rFonts w:hint="default" w:ascii="Times New Roman" w:eastAsia="宋体"/>
          <w:sz w:val="22"/>
          <w:szCs w:val="22"/>
          <w:vertAlign w:val="subscript"/>
          <w:lang w:val="en-US" w:eastAsia="zh-CN"/>
        </w:rPr>
        <w:t>3</w:t>
      </w:r>
      <w:r>
        <w:rPr>
          <w:rFonts w:hint="default" w:ascii="Times New Roman" w:eastAsia="宋体"/>
          <w:sz w:val="22"/>
          <w:szCs w:val="22"/>
          <w:lang w:val="en-US" w:eastAsia="zh-CN"/>
        </w:rPr>
        <w:t>-N/TN≤</w:t>
      </w:r>
      <w:r>
        <w:rPr>
          <w:rFonts w:hint="eastAsia" w:ascii="Times New Roman" w:eastAsia="宋体"/>
          <w:sz w:val="22"/>
          <w:szCs w:val="22"/>
          <w:lang w:val="en-US" w:eastAsia="zh-CN"/>
        </w:rPr>
        <w:t>5</w:t>
      </w:r>
      <w:r>
        <w:rPr>
          <w:rFonts w:hint="default" w:ascii="Times New Roman" w:eastAsia="宋体"/>
          <w:sz w:val="22"/>
          <w:szCs w:val="22"/>
          <w:lang w:val="en-US" w:eastAsia="zh-CN"/>
        </w:rPr>
        <w:t>%；丁酸不得检出。</w:t>
      </w:r>
    </w:p>
    <w:p w14:paraId="44A49B3E">
      <w:pPr>
        <w:spacing w:line="360" w:lineRule="auto"/>
        <w:ind w:firstLine="440" w:firstLineChars="200"/>
        <w:rPr>
          <w:rFonts w:hint="default" w:ascii="Times New Roman" w:eastAsia="宋体"/>
          <w:sz w:val="22"/>
          <w:szCs w:val="22"/>
          <w:lang w:val="en-US" w:eastAsia="zh-CN"/>
        </w:rPr>
      </w:pPr>
      <w:r>
        <w:rPr>
          <w:rFonts w:hint="default" w:ascii="Times New Roman" w:eastAsia="宋体"/>
          <w:sz w:val="22"/>
          <w:szCs w:val="22"/>
          <w:lang w:val="en-US" w:eastAsia="zh-CN"/>
        </w:rPr>
        <w:t>验证依据：pH值是衡量青贮发酵成败的敏感指标。由于茶树枝叶蛋白含量高、次生代谢物丰富，导致其缓冲能值高，pH达到4.0以下难度较大。在满足本标准规定的关键控制条件，如含水量控制、压实密封，并在必要时补充碳源与接种乳酸菌条件下，茶树枝叶青贮可实现较快速产酸并将pH控制在4.5以下，表明发酵过程良好。粗蛋白是体现茶树枝叶作为木本蛋白饲料资源价值的关键指标，茶树枝叶粗蛋白通常可稳定在15%～18%范围，因此本标准将粗蛋白阈值设定为≥15% 以保证饲用营养价值。NH</w:t>
      </w:r>
      <w:r>
        <w:rPr>
          <w:rFonts w:hint="default" w:ascii="Times New Roman" w:eastAsia="宋体"/>
          <w:sz w:val="22"/>
          <w:szCs w:val="22"/>
          <w:vertAlign w:val="subscript"/>
          <w:lang w:val="en-US" w:eastAsia="zh-CN"/>
        </w:rPr>
        <w:t>3</w:t>
      </w:r>
      <w:r>
        <w:rPr>
          <w:rFonts w:hint="default" w:ascii="Times New Roman" w:eastAsia="宋体"/>
          <w:sz w:val="22"/>
          <w:szCs w:val="22"/>
          <w:lang w:val="en-US" w:eastAsia="zh-CN"/>
        </w:rPr>
        <w:t>-N反映蛋白降解程度；茶树枝叶中单宁可与蛋白结合并对部分腐败菌及蛋白酶活性产生抑制作用，有助于降低蛋白向氨态氮转化，结合文献与项目组实测，NH</w:t>
      </w:r>
      <w:r>
        <w:rPr>
          <w:rFonts w:hint="default" w:ascii="Times New Roman" w:eastAsia="宋体"/>
          <w:sz w:val="22"/>
          <w:szCs w:val="22"/>
          <w:vertAlign w:val="subscript"/>
          <w:lang w:val="en-US" w:eastAsia="zh-CN"/>
        </w:rPr>
        <w:t>3</w:t>
      </w:r>
      <w:r>
        <w:rPr>
          <w:rFonts w:hint="default" w:ascii="Times New Roman" w:eastAsia="宋体"/>
          <w:sz w:val="22"/>
          <w:szCs w:val="22"/>
          <w:lang w:val="en-US" w:eastAsia="zh-CN"/>
        </w:rPr>
        <w:t>-N/TN控制在</w:t>
      </w:r>
      <w:r>
        <w:rPr>
          <w:rFonts w:hint="eastAsia"/>
          <w:sz w:val="22"/>
          <w:szCs w:val="22"/>
          <w:lang w:val="en-US" w:eastAsia="zh-CN"/>
        </w:rPr>
        <w:t>5</w:t>
      </w:r>
      <w:r>
        <w:rPr>
          <w:rFonts w:hint="default" w:ascii="Times New Roman" w:eastAsia="宋体"/>
          <w:sz w:val="22"/>
          <w:szCs w:val="22"/>
          <w:lang w:val="en-US" w:eastAsia="zh-CN"/>
        </w:rPr>
        <w:t>%以内具有合理性。丁酸是梭菌等不良发酵的标志性产物，优质样品中一般不应检出。考虑到不同检测方法检出限存在差异，本标准采用“丁酸不得检出”作为控制要求。</w:t>
      </w:r>
    </w:p>
    <w:p w14:paraId="2FA303A4">
      <w:pPr>
        <w:spacing w:line="360" w:lineRule="auto"/>
        <w:rPr>
          <w:rFonts w:hint="eastAsia" w:ascii="Times New Roman" w:eastAsia="宋体"/>
          <w:sz w:val="22"/>
          <w:szCs w:val="22"/>
          <w:lang w:val="en-US" w:eastAsia="zh-CN"/>
        </w:rPr>
      </w:pPr>
      <w:r>
        <w:rPr>
          <w:rFonts w:hint="eastAsia"/>
          <w:sz w:val="22"/>
          <w:szCs w:val="22"/>
          <w:lang w:val="en-US" w:eastAsia="zh-CN"/>
        </w:rPr>
        <w:t>10</w:t>
      </w:r>
      <w:r>
        <w:rPr>
          <w:rFonts w:hint="eastAsia" w:ascii="Times New Roman" w:eastAsia="宋体"/>
          <w:sz w:val="22"/>
          <w:szCs w:val="22"/>
          <w:lang w:val="en-US" w:eastAsia="zh-CN"/>
        </w:rPr>
        <w:t xml:space="preserve"> </w:t>
      </w:r>
      <w:r>
        <w:rPr>
          <w:rFonts w:hint="eastAsia"/>
          <w:sz w:val="22"/>
          <w:szCs w:val="22"/>
          <w:lang w:val="en-US" w:eastAsia="zh-CN"/>
        </w:rPr>
        <w:t>饲喂</w:t>
      </w:r>
    </w:p>
    <w:p w14:paraId="1808084C">
      <w:pPr>
        <w:spacing w:line="360" w:lineRule="auto"/>
        <w:ind w:firstLine="440" w:firstLineChars="200"/>
        <w:rPr>
          <w:rFonts w:hint="default" w:ascii="Times New Roman" w:eastAsia="宋体"/>
          <w:sz w:val="22"/>
          <w:szCs w:val="22"/>
          <w:lang w:val="en-US" w:eastAsia="zh-CN"/>
        </w:rPr>
      </w:pPr>
      <w:r>
        <w:rPr>
          <w:rFonts w:hint="eastAsia"/>
          <w:sz w:val="22"/>
          <w:szCs w:val="22"/>
          <w:lang w:val="en-US" w:eastAsia="zh-CN"/>
        </w:rPr>
        <w:t>10</w:t>
      </w:r>
      <w:r>
        <w:rPr>
          <w:rFonts w:hint="default" w:ascii="Times New Roman" w:eastAsia="宋体"/>
          <w:sz w:val="22"/>
          <w:szCs w:val="22"/>
          <w:lang w:val="en-US" w:eastAsia="zh-CN"/>
        </w:rPr>
        <w:t xml:space="preserve">.2 </w:t>
      </w:r>
      <w:r>
        <w:rPr>
          <w:rFonts w:hint="eastAsia"/>
          <w:sz w:val="22"/>
          <w:szCs w:val="22"/>
          <w:lang w:val="en-US" w:eastAsia="zh-CN"/>
        </w:rPr>
        <w:t>饲喂量</w:t>
      </w:r>
    </w:p>
    <w:p w14:paraId="7DC78F95">
      <w:pPr>
        <w:ind w:firstLine="440" w:firstLineChars="200"/>
        <w:rPr>
          <w:rFonts w:hint="eastAsia" w:eastAsia="宋体"/>
          <w:sz w:val="20"/>
          <w:szCs w:val="20"/>
          <w:lang w:val="en-US" w:eastAsia="zh-CN"/>
        </w:rPr>
      </w:pPr>
      <w:r>
        <w:rPr>
          <w:rFonts w:hint="default" w:ascii="Times New Roman" w:eastAsia="宋体"/>
          <w:sz w:val="22"/>
          <w:szCs w:val="22"/>
          <w:lang w:val="en-US" w:eastAsia="zh-CN"/>
        </w:rPr>
        <w:t>验证依据：推荐饲喂量基于</w:t>
      </w:r>
      <w:r>
        <w:rPr>
          <w:rFonts w:hint="eastAsia"/>
          <w:sz w:val="22"/>
          <w:szCs w:val="22"/>
          <w:lang w:val="en-US" w:eastAsia="zh-CN"/>
        </w:rPr>
        <w:t>肉牛育肥期</w:t>
      </w:r>
      <w:r>
        <w:rPr>
          <w:rFonts w:hint="default" w:ascii="Times New Roman" w:eastAsia="宋体"/>
          <w:sz w:val="22"/>
          <w:szCs w:val="22"/>
          <w:lang w:val="en-US" w:eastAsia="zh-CN"/>
        </w:rPr>
        <w:t>生长性能</w:t>
      </w:r>
      <w:r>
        <w:rPr>
          <w:rFonts w:hint="eastAsia"/>
          <w:sz w:val="22"/>
          <w:szCs w:val="22"/>
          <w:lang w:val="en-US" w:eastAsia="zh-CN"/>
        </w:rPr>
        <w:t>可看出添加加到10%对肉牛生长性能的促进效果最好，加到15%反而下降，因此推荐添加量在5%~10%。犊牛和育成牛由于采食量、日粮结构差异及抗营养因子耐受性不确定等因素，降低添加比例为</w:t>
      </w:r>
      <w:r>
        <w:rPr>
          <w:sz w:val="22"/>
          <w:szCs w:val="20"/>
        </w:rPr>
        <w:t>1.0%～2.0%</w:t>
      </w:r>
      <w:r>
        <w:rPr>
          <w:rFonts w:hint="eastAsia"/>
          <w:sz w:val="22"/>
          <w:szCs w:val="20"/>
          <w:lang w:val="en-US" w:eastAsia="zh-CN"/>
        </w:rPr>
        <w:t>和</w:t>
      </w:r>
      <w:r>
        <w:rPr>
          <w:sz w:val="22"/>
          <w:szCs w:val="20"/>
        </w:rPr>
        <w:t>3.0%～5.0%</w:t>
      </w:r>
      <w:r>
        <w:rPr>
          <w:rFonts w:hint="eastAsia"/>
          <w:sz w:val="22"/>
          <w:szCs w:val="20"/>
          <w:lang w:eastAsia="zh-CN"/>
        </w:rPr>
        <w:t>。</w:t>
      </w:r>
    </w:p>
    <w:p w14:paraId="3E6F8640">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jc w:val="center"/>
        <w:textAlignment w:val="auto"/>
        <w:rPr>
          <w:b/>
          <w:bCs/>
          <w:sz w:val="21"/>
          <w:szCs w:val="21"/>
        </w:rPr>
      </w:pPr>
      <w:r>
        <w:rPr>
          <w:rFonts w:hint="eastAsia"/>
          <w:b/>
          <w:bCs/>
          <w:sz w:val="21"/>
          <w:szCs w:val="21"/>
        </w:rPr>
        <w:t>表</w:t>
      </w:r>
      <w:r>
        <w:rPr>
          <w:rFonts w:hint="eastAsia"/>
          <w:b/>
          <w:bCs/>
          <w:sz w:val="21"/>
          <w:szCs w:val="21"/>
          <w:lang w:val="en-US" w:eastAsia="zh-CN"/>
        </w:rPr>
        <w:t>7</w:t>
      </w:r>
      <w:r>
        <w:rPr>
          <w:rFonts w:hint="eastAsia"/>
          <w:b/>
          <w:bCs/>
          <w:sz w:val="21"/>
          <w:szCs w:val="21"/>
        </w:rPr>
        <w:t xml:space="preserve"> 茶树枝叶青贮对</w:t>
      </w:r>
      <w:r>
        <w:rPr>
          <w:rFonts w:hint="eastAsia"/>
          <w:b/>
          <w:bCs/>
          <w:sz w:val="21"/>
          <w:szCs w:val="21"/>
          <w:lang w:val="en-US" w:eastAsia="zh-CN"/>
        </w:rPr>
        <w:t>育肥期肉牛</w:t>
      </w:r>
      <w:r>
        <w:rPr>
          <w:rFonts w:hint="eastAsia"/>
          <w:b/>
          <w:bCs/>
          <w:sz w:val="21"/>
          <w:szCs w:val="21"/>
        </w:rPr>
        <w:t>生长性能的影响</w:t>
      </w:r>
    </w:p>
    <w:tbl>
      <w:tblPr>
        <w:tblStyle w:val="12"/>
        <w:tblW w:w="9715" w:type="dxa"/>
        <w:jc w:val="center"/>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32"/>
        <w:gridCol w:w="1664"/>
        <w:gridCol w:w="1519"/>
        <w:gridCol w:w="1432"/>
        <w:gridCol w:w="1739"/>
        <w:gridCol w:w="1029"/>
      </w:tblGrid>
      <w:tr w14:paraId="1E6B9E9C">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32" w:type="dxa"/>
            <w:tcBorders>
              <w:top w:val="single" w:color="auto" w:sz="8" w:space="0"/>
              <w:bottom w:val="single" w:color="auto" w:sz="8" w:space="0"/>
            </w:tcBorders>
          </w:tcPr>
          <w:p w14:paraId="312ED8B4">
            <w:pPr>
              <w:spacing w:line="360" w:lineRule="auto"/>
              <w:jc w:val="center"/>
              <w:rPr>
                <w:rFonts w:hint="default" w:ascii="Times New Roman" w:hAnsi="Times New Roman" w:cs="Times New Roman"/>
                <w:sz w:val="22"/>
                <w:szCs w:val="20"/>
              </w:rPr>
            </w:pPr>
            <w:r>
              <w:rPr>
                <w:rFonts w:hint="default" w:ascii="Times New Roman" w:hAnsi="Times New Roman" w:cs="Times New Roman"/>
                <w:sz w:val="22"/>
                <w:szCs w:val="20"/>
              </w:rPr>
              <w:t>项目</w:t>
            </w:r>
          </w:p>
        </w:tc>
        <w:tc>
          <w:tcPr>
            <w:tcW w:w="1664" w:type="dxa"/>
            <w:tcBorders>
              <w:top w:val="single" w:color="auto" w:sz="8" w:space="0"/>
              <w:bottom w:val="single" w:color="auto" w:sz="8" w:space="0"/>
            </w:tcBorders>
            <w:vAlign w:val="center"/>
          </w:tcPr>
          <w:p w14:paraId="6D3C51D2">
            <w:pPr>
              <w:spacing w:line="360" w:lineRule="auto"/>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T0</w:t>
            </w:r>
          </w:p>
        </w:tc>
        <w:tc>
          <w:tcPr>
            <w:tcW w:w="1519" w:type="dxa"/>
            <w:tcBorders>
              <w:top w:val="single" w:color="auto" w:sz="8" w:space="0"/>
              <w:bottom w:val="single" w:color="auto" w:sz="8" w:space="0"/>
            </w:tcBorders>
            <w:vAlign w:val="center"/>
          </w:tcPr>
          <w:p w14:paraId="3E1BDCBA">
            <w:pPr>
              <w:spacing w:line="360" w:lineRule="auto"/>
              <w:jc w:val="center"/>
              <w:rPr>
                <w:rFonts w:hint="default" w:ascii="Times New Roman" w:hAnsi="Times New Roman" w:eastAsia="宋体" w:cs="Times New Roman"/>
                <w:sz w:val="20"/>
                <w:szCs w:val="20"/>
                <w:lang w:eastAsia="zh-CN"/>
              </w:rPr>
            </w:pPr>
            <w:r>
              <w:rPr>
                <w:rFonts w:hint="default" w:ascii="Times New Roman" w:hAnsi="Times New Roman" w:cs="Times New Roman"/>
                <w:color w:val="000000"/>
                <w:sz w:val="20"/>
                <w:szCs w:val="20"/>
                <w:lang w:eastAsia="zh-CN"/>
              </w:rPr>
              <w:t>T</w:t>
            </w:r>
            <w:r>
              <w:rPr>
                <w:rFonts w:hint="eastAsia" w:cs="Times New Roman"/>
                <w:color w:val="000000"/>
                <w:sz w:val="20"/>
                <w:szCs w:val="20"/>
                <w:lang w:val="en-US" w:eastAsia="zh-CN"/>
              </w:rPr>
              <w:t>5</w:t>
            </w:r>
          </w:p>
        </w:tc>
        <w:tc>
          <w:tcPr>
            <w:tcW w:w="1432" w:type="dxa"/>
            <w:tcBorders>
              <w:top w:val="single" w:color="auto" w:sz="8" w:space="0"/>
              <w:bottom w:val="single" w:color="auto" w:sz="8" w:space="0"/>
            </w:tcBorders>
            <w:vAlign w:val="center"/>
          </w:tcPr>
          <w:p w14:paraId="4DEF93BA">
            <w:pPr>
              <w:spacing w:line="360" w:lineRule="auto"/>
              <w:jc w:val="center"/>
              <w:rPr>
                <w:rFonts w:hint="default" w:ascii="Times New Roman" w:hAnsi="Times New Roman" w:eastAsia="宋体" w:cs="Times New Roman"/>
                <w:sz w:val="20"/>
                <w:szCs w:val="20"/>
                <w:lang w:val="en-US" w:eastAsia="zh-CN"/>
              </w:rPr>
            </w:pPr>
            <w:r>
              <w:rPr>
                <w:rFonts w:hint="default" w:ascii="Times New Roman" w:hAnsi="Times New Roman" w:cs="Times New Roman"/>
                <w:color w:val="000000"/>
                <w:sz w:val="20"/>
                <w:szCs w:val="20"/>
                <w:lang w:eastAsia="zh-CN"/>
              </w:rPr>
              <w:t>T</w:t>
            </w:r>
            <w:r>
              <w:rPr>
                <w:rFonts w:hint="eastAsia" w:cs="Times New Roman"/>
                <w:color w:val="000000"/>
                <w:sz w:val="20"/>
                <w:szCs w:val="20"/>
                <w:lang w:val="en-US" w:eastAsia="zh-CN"/>
              </w:rPr>
              <w:t>10</w:t>
            </w:r>
          </w:p>
        </w:tc>
        <w:tc>
          <w:tcPr>
            <w:tcW w:w="1739" w:type="dxa"/>
            <w:tcBorders>
              <w:top w:val="single" w:color="auto" w:sz="8" w:space="0"/>
              <w:bottom w:val="single" w:color="auto" w:sz="8" w:space="0"/>
            </w:tcBorders>
            <w:vAlign w:val="center"/>
          </w:tcPr>
          <w:p w14:paraId="7B031D56">
            <w:pPr>
              <w:spacing w:line="360" w:lineRule="auto"/>
              <w:jc w:val="center"/>
              <w:rPr>
                <w:rFonts w:hint="default" w:ascii="Times New Roman" w:hAnsi="Times New Roman" w:eastAsia="宋体" w:cs="Times New Roman"/>
                <w:sz w:val="20"/>
                <w:szCs w:val="20"/>
                <w:lang w:val="en-US" w:eastAsia="zh-CN"/>
              </w:rPr>
            </w:pPr>
            <w:r>
              <w:rPr>
                <w:rFonts w:hint="default" w:ascii="Times New Roman" w:hAnsi="Times New Roman" w:cs="Times New Roman"/>
                <w:color w:val="000000"/>
                <w:sz w:val="20"/>
                <w:szCs w:val="20"/>
                <w:lang w:eastAsia="zh-CN"/>
              </w:rPr>
              <w:t>T</w:t>
            </w:r>
            <w:r>
              <w:rPr>
                <w:rFonts w:hint="eastAsia" w:cs="Times New Roman"/>
                <w:color w:val="000000"/>
                <w:sz w:val="20"/>
                <w:szCs w:val="20"/>
                <w:lang w:val="en-US" w:eastAsia="zh-CN"/>
              </w:rPr>
              <w:t>15</w:t>
            </w:r>
          </w:p>
        </w:tc>
        <w:tc>
          <w:tcPr>
            <w:tcW w:w="1029" w:type="dxa"/>
            <w:tcBorders>
              <w:top w:val="single" w:color="auto" w:sz="8" w:space="0"/>
              <w:bottom w:val="single" w:color="auto" w:sz="8" w:space="0"/>
            </w:tcBorders>
          </w:tcPr>
          <w:p w14:paraId="03DD69D0">
            <w:pPr>
              <w:spacing w:line="360" w:lineRule="auto"/>
              <w:jc w:val="center"/>
              <w:rPr>
                <w:rFonts w:hint="default" w:ascii="Times New Roman" w:hAnsi="Times New Roman" w:cs="Times New Roman"/>
                <w:color w:val="000000"/>
                <w:sz w:val="20"/>
                <w:szCs w:val="20"/>
              </w:rPr>
            </w:pPr>
            <w:r>
              <w:rPr>
                <w:rFonts w:hint="default" w:ascii="Times New Roman" w:hAnsi="Times New Roman" w:cs="Times New Roman"/>
                <w:i/>
                <w:iCs/>
                <w:color w:val="000000"/>
                <w:sz w:val="20"/>
                <w:szCs w:val="20"/>
              </w:rPr>
              <w:t>P</w:t>
            </w:r>
            <w:r>
              <w:rPr>
                <w:rFonts w:hint="default" w:ascii="Times New Roman" w:hAnsi="Times New Roman" w:cs="Times New Roman"/>
                <w:color w:val="000000"/>
                <w:sz w:val="20"/>
                <w:szCs w:val="20"/>
              </w:rPr>
              <w:t>-Value</w:t>
            </w:r>
          </w:p>
        </w:tc>
      </w:tr>
      <w:tr w14:paraId="35A23C9C">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9" w:hRule="atLeast"/>
          <w:jc w:val="center"/>
        </w:trPr>
        <w:tc>
          <w:tcPr>
            <w:tcW w:w="2332" w:type="dxa"/>
            <w:tcBorders>
              <w:top w:val="single" w:color="auto" w:sz="8" w:space="0"/>
            </w:tcBorders>
          </w:tcPr>
          <w:p w14:paraId="4C468EDF">
            <w:pPr>
              <w:spacing w:line="360" w:lineRule="auto"/>
              <w:jc w:val="left"/>
              <w:rPr>
                <w:rFonts w:hint="default" w:ascii="Times New Roman" w:hAnsi="Times New Roman" w:cs="Times New Roman"/>
                <w:sz w:val="20"/>
                <w:szCs w:val="20"/>
              </w:rPr>
            </w:pPr>
            <w:r>
              <w:rPr>
                <w:rFonts w:hint="default" w:ascii="Times New Roman" w:hAnsi="Times New Roman" w:cs="Times New Roman"/>
                <w:sz w:val="20"/>
                <w:szCs w:val="20"/>
              </w:rPr>
              <w:t>初重 (kg/</w:t>
            </w:r>
            <w:r>
              <w:rPr>
                <w:rFonts w:hint="default" w:ascii="Times New Roman" w:hAnsi="Times New Roman" w:cs="Times New Roman"/>
                <w:sz w:val="20"/>
                <w:szCs w:val="20"/>
                <w:lang w:val="en-US" w:eastAsia="zh-CN"/>
              </w:rPr>
              <w:t>头</w:t>
            </w:r>
            <w:r>
              <w:rPr>
                <w:rFonts w:hint="default" w:ascii="Times New Roman" w:hAnsi="Times New Roman" w:cs="Times New Roman"/>
                <w:sz w:val="20"/>
                <w:szCs w:val="20"/>
              </w:rPr>
              <w:t>)</w:t>
            </w:r>
          </w:p>
        </w:tc>
        <w:tc>
          <w:tcPr>
            <w:tcW w:w="1664" w:type="dxa"/>
            <w:tcBorders>
              <w:top w:val="single" w:color="auto" w:sz="8" w:space="0"/>
            </w:tcBorders>
          </w:tcPr>
          <w:p w14:paraId="49E3ED35">
            <w:pPr>
              <w:spacing w:line="360" w:lineRule="auto"/>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350.60 ± 15.48</w:t>
            </w:r>
          </w:p>
        </w:tc>
        <w:tc>
          <w:tcPr>
            <w:tcW w:w="1519" w:type="dxa"/>
            <w:tcBorders>
              <w:top w:val="single" w:color="auto" w:sz="8" w:space="0"/>
            </w:tcBorders>
            <w:shd w:val="clear" w:color="auto" w:fill="auto"/>
            <w:vAlign w:val="top"/>
          </w:tcPr>
          <w:p w14:paraId="480FEF2F">
            <w:pPr>
              <w:spacing w:line="360" w:lineRule="auto"/>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349.80 ± 14.18</w:t>
            </w:r>
          </w:p>
        </w:tc>
        <w:tc>
          <w:tcPr>
            <w:tcW w:w="1432" w:type="dxa"/>
            <w:tcBorders>
              <w:top w:val="single" w:color="auto" w:sz="8" w:space="0"/>
            </w:tcBorders>
          </w:tcPr>
          <w:p w14:paraId="2657AB41">
            <w:pPr>
              <w:spacing w:line="360" w:lineRule="auto"/>
              <w:jc w:val="center"/>
              <w:rPr>
                <w:rFonts w:hint="default" w:ascii="Times New Roman" w:hAnsi="Times New Roman" w:cs="Times New Roman"/>
                <w:sz w:val="20"/>
                <w:szCs w:val="20"/>
              </w:rPr>
            </w:pPr>
            <w:r>
              <w:rPr>
                <w:rFonts w:hint="default" w:ascii="Times New Roman" w:hAnsi="Times New Roman" w:cs="Times New Roman"/>
                <w:sz w:val="20"/>
                <w:szCs w:val="20"/>
              </w:rPr>
              <w:t xml:space="preserve">351.20 ± 16.21 </w:t>
            </w:r>
          </w:p>
        </w:tc>
        <w:tc>
          <w:tcPr>
            <w:tcW w:w="1739" w:type="dxa"/>
            <w:tcBorders>
              <w:top w:val="single" w:color="auto" w:sz="8" w:space="0"/>
            </w:tcBorders>
          </w:tcPr>
          <w:p w14:paraId="0C51938A">
            <w:pPr>
              <w:spacing w:line="360" w:lineRule="auto"/>
              <w:jc w:val="center"/>
              <w:rPr>
                <w:rFonts w:hint="default" w:ascii="Times New Roman" w:hAnsi="Times New Roman" w:cs="Times New Roman"/>
                <w:sz w:val="20"/>
                <w:szCs w:val="20"/>
              </w:rPr>
            </w:pPr>
            <w:r>
              <w:rPr>
                <w:rFonts w:hint="default" w:ascii="Times New Roman" w:hAnsi="Times New Roman" w:cs="Times New Roman"/>
                <w:sz w:val="20"/>
                <w:szCs w:val="20"/>
              </w:rPr>
              <w:t>348.70 ± 15.08</w:t>
            </w:r>
          </w:p>
        </w:tc>
        <w:tc>
          <w:tcPr>
            <w:tcW w:w="1029" w:type="dxa"/>
            <w:tcBorders>
              <w:top w:val="single" w:color="auto" w:sz="8" w:space="0"/>
            </w:tcBorders>
          </w:tcPr>
          <w:p w14:paraId="52948F64">
            <w:pPr>
              <w:spacing w:line="360" w:lineRule="auto"/>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0.985</w:t>
            </w:r>
          </w:p>
        </w:tc>
      </w:tr>
      <w:tr w14:paraId="4608A07A">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332" w:type="dxa"/>
          </w:tcPr>
          <w:p w14:paraId="7E0FB0E6">
            <w:pPr>
              <w:spacing w:line="360" w:lineRule="auto"/>
              <w:jc w:val="left"/>
              <w:rPr>
                <w:rFonts w:hint="default" w:ascii="Times New Roman" w:hAnsi="Times New Roman" w:cs="Times New Roman"/>
                <w:sz w:val="20"/>
                <w:szCs w:val="20"/>
              </w:rPr>
            </w:pPr>
            <w:r>
              <w:rPr>
                <w:rFonts w:hint="default" w:ascii="Times New Roman" w:hAnsi="Times New Roman" w:cs="Times New Roman"/>
                <w:sz w:val="20"/>
                <w:szCs w:val="20"/>
              </w:rPr>
              <w:t xml:space="preserve">60 d </w:t>
            </w:r>
            <w:r>
              <w:rPr>
                <w:rFonts w:hint="default" w:ascii="Times New Roman" w:hAnsi="Times New Roman" w:cs="Times New Roman"/>
                <w:sz w:val="20"/>
                <w:szCs w:val="20"/>
                <w:lang w:val="en-US" w:eastAsia="zh-CN"/>
              </w:rPr>
              <w:t>体</w:t>
            </w:r>
            <w:r>
              <w:rPr>
                <w:rFonts w:hint="default" w:ascii="Times New Roman" w:hAnsi="Times New Roman" w:cs="Times New Roman"/>
                <w:sz w:val="20"/>
                <w:szCs w:val="20"/>
              </w:rPr>
              <w:t>重  (kg)</w:t>
            </w:r>
          </w:p>
        </w:tc>
        <w:tc>
          <w:tcPr>
            <w:tcW w:w="1664" w:type="dxa"/>
          </w:tcPr>
          <w:p w14:paraId="3B026D61">
            <w:pPr>
              <w:spacing w:line="360" w:lineRule="auto"/>
              <w:jc w:val="center"/>
              <w:rPr>
                <w:rFonts w:hint="default" w:ascii="Times New Roman" w:hAnsi="Times New Roman" w:cs="Times New Roman"/>
                <w:sz w:val="20"/>
                <w:szCs w:val="20"/>
              </w:rPr>
            </w:pPr>
            <w:r>
              <w:rPr>
                <w:rFonts w:hint="default" w:ascii="Times New Roman" w:hAnsi="Times New Roman" w:cs="Times New Roman"/>
                <w:sz w:val="20"/>
                <w:szCs w:val="20"/>
              </w:rPr>
              <w:t>423.80 ± 18.64</w:t>
            </w:r>
          </w:p>
        </w:tc>
        <w:tc>
          <w:tcPr>
            <w:tcW w:w="1519" w:type="dxa"/>
            <w:shd w:val="clear" w:color="auto" w:fill="auto"/>
            <w:vAlign w:val="top"/>
          </w:tcPr>
          <w:p w14:paraId="672AE599">
            <w:pPr>
              <w:spacing w:line="360" w:lineRule="auto"/>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430.80 ± 17.74</w:t>
            </w:r>
          </w:p>
        </w:tc>
        <w:tc>
          <w:tcPr>
            <w:tcW w:w="1432" w:type="dxa"/>
          </w:tcPr>
          <w:p w14:paraId="73B703BB">
            <w:pPr>
              <w:spacing w:line="360" w:lineRule="auto"/>
              <w:jc w:val="center"/>
              <w:rPr>
                <w:rFonts w:hint="default" w:ascii="Times New Roman" w:hAnsi="Times New Roman" w:cs="Times New Roman"/>
                <w:sz w:val="20"/>
                <w:szCs w:val="20"/>
              </w:rPr>
            </w:pPr>
            <w:r>
              <w:rPr>
                <w:rFonts w:hint="default" w:ascii="Times New Roman" w:hAnsi="Times New Roman" w:cs="Times New Roman"/>
                <w:sz w:val="20"/>
                <w:szCs w:val="20"/>
              </w:rPr>
              <w:t>429.20 ± 19.04</w:t>
            </w:r>
          </w:p>
        </w:tc>
        <w:tc>
          <w:tcPr>
            <w:tcW w:w="1739" w:type="dxa"/>
          </w:tcPr>
          <w:p w14:paraId="4F172561">
            <w:pPr>
              <w:spacing w:line="360" w:lineRule="auto"/>
              <w:jc w:val="center"/>
              <w:rPr>
                <w:rFonts w:hint="default" w:ascii="Times New Roman" w:hAnsi="Times New Roman" w:cs="Times New Roman"/>
                <w:sz w:val="20"/>
                <w:szCs w:val="20"/>
              </w:rPr>
            </w:pPr>
            <w:r>
              <w:rPr>
                <w:rFonts w:hint="default" w:ascii="Times New Roman" w:hAnsi="Times New Roman" w:cs="Times New Roman"/>
                <w:sz w:val="20"/>
                <w:szCs w:val="20"/>
              </w:rPr>
              <w:t>423.10 ± 18.34</w:t>
            </w:r>
          </w:p>
        </w:tc>
        <w:tc>
          <w:tcPr>
            <w:tcW w:w="1029" w:type="dxa"/>
          </w:tcPr>
          <w:p w14:paraId="4D47AFFB">
            <w:pPr>
              <w:spacing w:line="360" w:lineRule="auto"/>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0.540</w:t>
            </w:r>
          </w:p>
        </w:tc>
      </w:tr>
      <w:tr w14:paraId="237DD901">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32" w:type="dxa"/>
          </w:tcPr>
          <w:p w14:paraId="4DDEA433">
            <w:pPr>
              <w:spacing w:line="360" w:lineRule="auto"/>
              <w:jc w:val="left"/>
              <w:rPr>
                <w:rFonts w:hint="default" w:ascii="Times New Roman" w:hAnsi="Times New Roman" w:cs="Times New Roman"/>
                <w:sz w:val="20"/>
                <w:szCs w:val="20"/>
              </w:rPr>
            </w:pPr>
            <w:r>
              <w:rPr>
                <w:rFonts w:hint="default" w:ascii="Times New Roman" w:hAnsi="Times New Roman" w:cs="Times New Roman"/>
                <w:sz w:val="20"/>
                <w:szCs w:val="20"/>
              </w:rPr>
              <w:t>干物质采食量 (kg/d)</w:t>
            </w:r>
          </w:p>
        </w:tc>
        <w:tc>
          <w:tcPr>
            <w:tcW w:w="1664" w:type="dxa"/>
          </w:tcPr>
          <w:p w14:paraId="714E057A">
            <w:pPr>
              <w:spacing w:line="360" w:lineRule="auto"/>
              <w:jc w:val="center"/>
              <w:rPr>
                <w:rFonts w:hint="default" w:ascii="Times New Roman" w:hAnsi="Times New Roman" w:cs="Times New Roman"/>
                <w:sz w:val="20"/>
                <w:szCs w:val="20"/>
              </w:rPr>
            </w:pPr>
            <w:r>
              <w:rPr>
                <w:rFonts w:hint="default" w:ascii="Times New Roman" w:hAnsi="Times New Roman" w:cs="Times New Roman"/>
                <w:sz w:val="20"/>
                <w:szCs w:val="20"/>
              </w:rPr>
              <w:t>8.85 ± 0.42</w:t>
            </w:r>
          </w:p>
        </w:tc>
        <w:tc>
          <w:tcPr>
            <w:tcW w:w="1519" w:type="dxa"/>
            <w:shd w:val="clear" w:color="auto" w:fill="auto"/>
            <w:vAlign w:val="top"/>
          </w:tcPr>
          <w:p w14:paraId="59350810">
            <w:pPr>
              <w:spacing w:line="360" w:lineRule="auto"/>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9.02 ± 0.35</w:t>
            </w:r>
          </w:p>
        </w:tc>
        <w:tc>
          <w:tcPr>
            <w:tcW w:w="1432" w:type="dxa"/>
          </w:tcPr>
          <w:p w14:paraId="628339A2">
            <w:pPr>
              <w:spacing w:line="360" w:lineRule="auto"/>
              <w:jc w:val="center"/>
              <w:rPr>
                <w:rFonts w:hint="default" w:ascii="Times New Roman" w:hAnsi="Times New Roman" w:cs="Times New Roman"/>
                <w:sz w:val="20"/>
                <w:szCs w:val="20"/>
              </w:rPr>
            </w:pPr>
            <w:r>
              <w:rPr>
                <w:rFonts w:hint="default" w:ascii="Times New Roman" w:hAnsi="Times New Roman" w:cs="Times New Roman"/>
                <w:sz w:val="20"/>
                <w:szCs w:val="20"/>
              </w:rPr>
              <w:t>8.94 ± 0.45</w:t>
            </w:r>
          </w:p>
        </w:tc>
        <w:tc>
          <w:tcPr>
            <w:tcW w:w="1739" w:type="dxa"/>
          </w:tcPr>
          <w:p w14:paraId="5F46E44D">
            <w:pPr>
              <w:spacing w:line="360" w:lineRule="auto"/>
              <w:jc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8.68 ± 0.38</w:t>
            </w:r>
          </w:p>
        </w:tc>
        <w:tc>
          <w:tcPr>
            <w:tcW w:w="1029" w:type="dxa"/>
          </w:tcPr>
          <w:p w14:paraId="2357A790">
            <w:pPr>
              <w:spacing w:line="360" w:lineRule="auto"/>
              <w:jc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0.612</w:t>
            </w:r>
          </w:p>
        </w:tc>
      </w:tr>
      <w:tr w14:paraId="530BFBB4">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32" w:type="dxa"/>
            <w:vAlign w:val="center"/>
          </w:tcPr>
          <w:p w14:paraId="0B47B3E7">
            <w:pPr>
              <w:spacing w:line="360" w:lineRule="auto"/>
              <w:jc w:val="left"/>
              <w:rPr>
                <w:rFonts w:hint="default" w:ascii="Times New Roman" w:hAnsi="Times New Roman" w:cs="Times New Roman"/>
                <w:color w:val="000000"/>
                <w:sz w:val="20"/>
                <w:szCs w:val="20"/>
              </w:rPr>
            </w:pPr>
            <w:r>
              <w:rPr>
                <w:rFonts w:hint="default" w:ascii="Times New Roman" w:hAnsi="Times New Roman" w:cs="Times New Roman"/>
                <w:color w:val="000000"/>
                <w:sz w:val="20"/>
                <w:szCs w:val="20"/>
                <w:lang w:val="en-US" w:eastAsia="zh-CN"/>
              </w:rPr>
              <w:t>平均净增重 (kg)</w:t>
            </w:r>
          </w:p>
        </w:tc>
        <w:tc>
          <w:tcPr>
            <w:tcW w:w="1664" w:type="dxa"/>
            <w:vAlign w:val="center"/>
          </w:tcPr>
          <w:p w14:paraId="58CD6667">
            <w:pPr>
              <w:spacing w:line="360" w:lineRule="auto"/>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73.20 ± 5.16b</w:t>
            </w:r>
          </w:p>
        </w:tc>
        <w:tc>
          <w:tcPr>
            <w:tcW w:w="1519" w:type="dxa"/>
            <w:shd w:val="clear" w:color="auto" w:fill="auto"/>
            <w:vAlign w:val="center"/>
          </w:tcPr>
          <w:p w14:paraId="5ADE742E">
            <w:pPr>
              <w:spacing w:line="360" w:lineRule="auto"/>
              <w:jc w:val="center"/>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eastAsia="宋体" w:cs="Times New Roman"/>
                <w:color w:val="000000"/>
                <w:kern w:val="2"/>
                <w:sz w:val="20"/>
                <w:szCs w:val="20"/>
                <w:lang w:val="en-US" w:eastAsia="zh-CN" w:bidi="ar-SA"/>
              </w:rPr>
              <w:t>81.00 ± 4.56a</w:t>
            </w:r>
          </w:p>
        </w:tc>
        <w:tc>
          <w:tcPr>
            <w:tcW w:w="1432" w:type="dxa"/>
            <w:vAlign w:val="center"/>
          </w:tcPr>
          <w:p w14:paraId="231BDEBB">
            <w:pPr>
              <w:spacing w:line="360" w:lineRule="auto"/>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78.00 ± 5.83a</w:t>
            </w:r>
          </w:p>
        </w:tc>
        <w:tc>
          <w:tcPr>
            <w:tcW w:w="1739" w:type="dxa"/>
            <w:vAlign w:val="center"/>
          </w:tcPr>
          <w:p w14:paraId="7F3C737D">
            <w:pPr>
              <w:spacing w:line="360" w:lineRule="auto"/>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74.40 ± 6.26ab</w:t>
            </w:r>
          </w:p>
        </w:tc>
        <w:tc>
          <w:tcPr>
            <w:tcW w:w="1029" w:type="dxa"/>
          </w:tcPr>
          <w:p w14:paraId="1E6DE83A">
            <w:pPr>
              <w:spacing w:line="360" w:lineRule="auto"/>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0.045</w:t>
            </w:r>
          </w:p>
        </w:tc>
      </w:tr>
      <w:tr w14:paraId="2C4EDE6A">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32" w:type="dxa"/>
            <w:vAlign w:val="center"/>
          </w:tcPr>
          <w:p w14:paraId="53E7AA86">
            <w:pPr>
              <w:spacing w:line="360" w:lineRule="auto"/>
              <w:jc w:val="left"/>
              <w:rPr>
                <w:rFonts w:hint="default" w:ascii="Times New Roman" w:hAnsi="Times New Roman" w:cs="Times New Roman"/>
                <w:color w:val="000000"/>
                <w:sz w:val="20"/>
                <w:szCs w:val="20"/>
              </w:rPr>
            </w:pPr>
            <w:r>
              <w:rPr>
                <w:rFonts w:hint="default" w:ascii="Times New Roman" w:hAnsi="Times New Roman" w:cs="Times New Roman"/>
                <w:color w:val="000000"/>
                <w:sz w:val="20"/>
                <w:szCs w:val="20"/>
                <w:lang w:val="en-US" w:eastAsia="zh-CN"/>
              </w:rPr>
              <w:t>平均日增重  (kg/d)</w:t>
            </w:r>
          </w:p>
        </w:tc>
        <w:tc>
          <w:tcPr>
            <w:tcW w:w="1664" w:type="dxa"/>
            <w:vAlign w:val="center"/>
          </w:tcPr>
          <w:p w14:paraId="7985C798">
            <w:pPr>
              <w:spacing w:line="36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1.22 ± 0.09b</w:t>
            </w:r>
          </w:p>
        </w:tc>
        <w:tc>
          <w:tcPr>
            <w:tcW w:w="1519" w:type="dxa"/>
            <w:shd w:val="clear" w:color="auto" w:fill="auto"/>
            <w:vAlign w:val="center"/>
          </w:tcPr>
          <w:p w14:paraId="1C470829">
            <w:pPr>
              <w:spacing w:line="360" w:lineRule="auto"/>
              <w:jc w:val="center"/>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eastAsia="宋体" w:cs="Times New Roman"/>
                <w:color w:val="000000"/>
                <w:kern w:val="2"/>
                <w:sz w:val="20"/>
                <w:szCs w:val="20"/>
                <w:lang w:val="en-US" w:eastAsia="zh-CN" w:bidi="ar-SA"/>
              </w:rPr>
              <w:t>1.35 ± 0.08a</w:t>
            </w:r>
          </w:p>
        </w:tc>
        <w:tc>
          <w:tcPr>
            <w:tcW w:w="1432" w:type="dxa"/>
            <w:vAlign w:val="center"/>
          </w:tcPr>
          <w:p w14:paraId="6C10BCC5">
            <w:pPr>
              <w:spacing w:line="36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1.30 ± 0.10a</w:t>
            </w:r>
          </w:p>
        </w:tc>
        <w:tc>
          <w:tcPr>
            <w:tcW w:w="1739" w:type="dxa"/>
            <w:vAlign w:val="center"/>
          </w:tcPr>
          <w:p w14:paraId="5926D464">
            <w:pPr>
              <w:spacing w:line="36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1.24 ± 0.11ab</w:t>
            </w:r>
          </w:p>
        </w:tc>
        <w:tc>
          <w:tcPr>
            <w:tcW w:w="1029" w:type="dxa"/>
          </w:tcPr>
          <w:p w14:paraId="416EB038">
            <w:pPr>
              <w:spacing w:line="360" w:lineRule="auto"/>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0.042</w:t>
            </w:r>
          </w:p>
        </w:tc>
      </w:tr>
      <w:tr w14:paraId="2B6B76CA">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32" w:type="dxa"/>
            <w:vAlign w:val="center"/>
          </w:tcPr>
          <w:p w14:paraId="6CCEEB76">
            <w:pPr>
              <w:spacing w:line="360" w:lineRule="auto"/>
              <w:jc w:val="left"/>
              <w:rPr>
                <w:rFonts w:hint="default" w:ascii="Times New Roman" w:hAnsi="Times New Roman" w:cs="Times New Roman"/>
                <w:color w:val="000000"/>
                <w:sz w:val="20"/>
                <w:szCs w:val="20"/>
              </w:rPr>
            </w:pPr>
            <w:r>
              <w:rPr>
                <w:rFonts w:hint="default" w:ascii="Times New Roman" w:hAnsi="Times New Roman" w:cs="Times New Roman"/>
                <w:color w:val="000000"/>
                <w:sz w:val="20"/>
                <w:szCs w:val="20"/>
                <w:lang w:val="en-US" w:eastAsia="zh-CN"/>
              </w:rPr>
              <w:t>料重比 F/G（均值）</w:t>
            </w:r>
          </w:p>
        </w:tc>
        <w:tc>
          <w:tcPr>
            <w:tcW w:w="1664" w:type="dxa"/>
            <w:vAlign w:val="center"/>
          </w:tcPr>
          <w:p w14:paraId="592C0753">
            <w:pPr>
              <w:spacing w:line="360" w:lineRule="auto"/>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7.25 ± 0.38a</w:t>
            </w:r>
          </w:p>
        </w:tc>
        <w:tc>
          <w:tcPr>
            <w:tcW w:w="1519" w:type="dxa"/>
            <w:shd w:val="clear" w:color="auto" w:fill="auto"/>
            <w:vAlign w:val="center"/>
          </w:tcPr>
          <w:p w14:paraId="0921E5EE">
            <w:pPr>
              <w:spacing w:line="360" w:lineRule="auto"/>
              <w:jc w:val="center"/>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eastAsia="宋体" w:cs="Times New Roman"/>
                <w:color w:val="000000"/>
                <w:kern w:val="2"/>
                <w:sz w:val="20"/>
                <w:szCs w:val="20"/>
                <w:lang w:val="en-US" w:eastAsia="zh-CN" w:bidi="ar-SA"/>
              </w:rPr>
              <w:t>6.68 ± 0.31b</w:t>
            </w:r>
          </w:p>
        </w:tc>
        <w:tc>
          <w:tcPr>
            <w:tcW w:w="1432" w:type="dxa"/>
            <w:vAlign w:val="center"/>
          </w:tcPr>
          <w:p w14:paraId="747E88B7">
            <w:pPr>
              <w:spacing w:line="360" w:lineRule="auto"/>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6.87 ± 0.35b</w:t>
            </w:r>
          </w:p>
        </w:tc>
        <w:tc>
          <w:tcPr>
            <w:tcW w:w="1739" w:type="dxa"/>
            <w:vAlign w:val="center"/>
          </w:tcPr>
          <w:p w14:paraId="354FC998">
            <w:pPr>
              <w:spacing w:line="360" w:lineRule="auto"/>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7.00 ± 0.42ab</w:t>
            </w:r>
          </w:p>
        </w:tc>
        <w:tc>
          <w:tcPr>
            <w:tcW w:w="1029" w:type="dxa"/>
          </w:tcPr>
          <w:p w14:paraId="7FACA031">
            <w:pPr>
              <w:spacing w:line="360" w:lineRule="auto"/>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0.038</w:t>
            </w:r>
          </w:p>
        </w:tc>
      </w:tr>
    </w:tbl>
    <w:p w14:paraId="1B59CF69">
      <w:pPr>
        <w:ind w:firstLine="360" w:firstLineChars="200"/>
        <w:rPr>
          <w:rFonts w:hint="eastAsia"/>
          <w:sz w:val="18"/>
          <w:szCs w:val="18"/>
        </w:rPr>
      </w:pPr>
      <w:r>
        <w:rPr>
          <w:rFonts w:hint="eastAsia"/>
          <w:sz w:val="18"/>
          <w:szCs w:val="18"/>
        </w:rPr>
        <w:t>同一行不同小写字母表示不同处理间差异显著（</w:t>
      </w:r>
      <w:r>
        <w:rPr>
          <w:sz w:val="18"/>
          <w:szCs w:val="18"/>
        </w:rPr>
        <w:t>P&lt;0.05</w:t>
      </w:r>
      <w:r>
        <w:rPr>
          <w:rFonts w:hint="eastAsia"/>
          <w:sz w:val="18"/>
          <w:szCs w:val="18"/>
        </w:rPr>
        <w:t>），下同。</w:t>
      </w:r>
    </w:p>
    <w:p w14:paraId="6C3A897C">
      <w:pPr>
        <w:pStyle w:val="2"/>
        <w:spacing w:before="0" w:after="0"/>
        <w:rPr>
          <w:rFonts w:hint="eastAsia"/>
          <w:sz w:val="24"/>
          <w:szCs w:val="40"/>
          <w:lang w:val="en-US" w:eastAsia="zh-CN"/>
        </w:rPr>
      </w:pPr>
      <w:bookmarkStart w:id="26" w:name="_Toc176547937"/>
      <w:bookmarkStart w:id="27" w:name="_Toc8648"/>
      <w:r>
        <w:rPr>
          <w:rFonts w:hint="eastAsia"/>
          <w:sz w:val="24"/>
          <w:szCs w:val="40"/>
          <w:lang w:val="en-US" w:eastAsia="zh-CN"/>
        </w:rPr>
        <w:t>五、采用的国际标准</w:t>
      </w:r>
      <w:bookmarkEnd w:id="26"/>
      <w:bookmarkEnd w:id="27"/>
    </w:p>
    <w:p w14:paraId="1CB95E39">
      <w:pPr>
        <w:ind w:firstLine="440" w:firstLineChars="200"/>
        <w:rPr>
          <w:sz w:val="22"/>
          <w:szCs w:val="20"/>
        </w:rPr>
      </w:pPr>
      <w:r>
        <w:rPr>
          <w:rFonts w:hint="eastAsia"/>
          <w:sz w:val="22"/>
          <w:szCs w:val="20"/>
        </w:rPr>
        <w:t>无。</w:t>
      </w:r>
    </w:p>
    <w:p w14:paraId="0E607412">
      <w:pPr>
        <w:pStyle w:val="2"/>
        <w:spacing w:before="0" w:after="0"/>
        <w:rPr>
          <w:rFonts w:hint="eastAsia"/>
          <w:sz w:val="24"/>
          <w:szCs w:val="40"/>
          <w:lang w:val="en-US" w:eastAsia="zh-CN"/>
        </w:rPr>
      </w:pPr>
      <w:bookmarkStart w:id="28" w:name="_Toc176453405"/>
      <w:bookmarkStart w:id="29" w:name="_Toc25736"/>
      <w:r>
        <w:rPr>
          <w:rFonts w:hint="eastAsia"/>
          <w:sz w:val="24"/>
          <w:szCs w:val="40"/>
          <w:lang w:val="en-US" w:eastAsia="zh-CN"/>
        </w:rPr>
        <w:t>六、与现行法律法规和强制性标准的关系</w:t>
      </w:r>
      <w:bookmarkEnd w:id="28"/>
      <w:bookmarkEnd w:id="29"/>
    </w:p>
    <w:p w14:paraId="25519555">
      <w:pPr>
        <w:ind w:firstLine="440" w:firstLineChars="200"/>
        <w:rPr>
          <w:color w:val="000000"/>
          <w:sz w:val="22"/>
          <w:szCs w:val="22"/>
        </w:rPr>
      </w:pPr>
      <w:r>
        <w:rPr>
          <w:color w:val="000000"/>
          <w:sz w:val="22"/>
          <w:szCs w:val="22"/>
        </w:rPr>
        <w:t>本标准与现行法律法规和强制性标准没有冲突。</w:t>
      </w:r>
    </w:p>
    <w:p w14:paraId="18828AB0">
      <w:pPr>
        <w:keepNext/>
        <w:keepLines/>
        <w:widowControl w:val="0"/>
        <w:spacing w:before="0" w:after="0" w:line="360" w:lineRule="auto"/>
        <w:jc w:val="both"/>
        <w:outlineLvl w:val="0"/>
        <w:rPr>
          <w:rFonts w:ascii="Times New Roman" w:hAnsi="Times New Roman" w:eastAsia="宋体" w:cs="Times New Roman"/>
          <w:b/>
          <w:bCs/>
          <w:kern w:val="44"/>
          <w:sz w:val="24"/>
          <w:szCs w:val="40"/>
          <w:lang w:val="en-US" w:eastAsia="zh-CN" w:bidi="ar-SA"/>
        </w:rPr>
      </w:pPr>
      <w:bookmarkStart w:id="30" w:name="_Toc176547940"/>
      <w:bookmarkStart w:id="31" w:name="_Toc1604"/>
      <w:r>
        <w:rPr>
          <w:rFonts w:ascii="Times New Roman" w:hAnsi="Times New Roman" w:eastAsia="宋体" w:cs="Times New Roman"/>
          <w:b/>
          <w:bCs/>
          <w:kern w:val="44"/>
          <w:sz w:val="24"/>
          <w:szCs w:val="40"/>
          <w:lang w:val="en-US" w:eastAsia="zh-CN" w:bidi="ar-SA"/>
        </w:rPr>
        <w:t>七、标准作为强制性或推荐性标准的意见</w:t>
      </w:r>
      <w:bookmarkEnd w:id="30"/>
      <w:bookmarkEnd w:id="31"/>
    </w:p>
    <w:p w14:paraId="630F5003">
      <w:pPr>
        <w:spacing w:line="360" w:lineRule="auto"/>
        <w:ind w:firstLine="482"/>
        <w:rPr>
          <w:color w:val="000000"/>
          <w:sz w:val="22"/>
          <w:szCs w:val="20"/>
        </w:rPr>
      </w:pPr>
      <w:r>
        <w:rPr>
          <w:color w:val="000000"/>
          <w:sz w:val="22"/>
          <w:szCs w:val="20"/>
        </w:rPr>
        <w:t>建议将本标准作为推荐性标准发布实施，并加强标准的宣贯。</w:t>
      </w:r>
    </w:p>
    <w:p w14:paraId="5D7D6744">
      <w:pPr>
        <w:keepNext/>
        <w:keepLines/>
        <w:widowControl w:val="0"/>
        <w:spacing w:before="0" w:after="0" w:line="360" w:lineRule="auto"/>
        <w:jc w:val="both"/>
        <w:outlineLvl w:val="0"/>
        <w:rPr>
          <w:rFonts w:ascii="Times New Roman" w:hAnsi="Times New Roman" w:eastAsia="宋体" w:cs="Times New Roman"/>
          <w:b/>
          <w:bCs/>
          <w:kern w:val="44"/>
          <w:sz w:val="24"/>
          <w:szCs w:val="40"/>
          <w:lang w:val="en-US" w:eastAsia="zh-CN" w:bidi="ar-SA"/>
        </w:rPr>
      </w:pPr>
      <w:bookmarkStart w:id="32" w:name="_Toc17287"/>
      <w:bookmarkStart w:id="33" w:name="_Toc176547941"/>
      <w:r>
        <w:rPr>
          <w:rFonts w:ascii="Times New Roman" w:hAnsi="Times New Roman" w:eastAsia="宋体" w:cs="Times New Roman"/>
          <w:b/>
          <w:bCs/>
          <w:kern w:val="44"/>
          <w:sz w:val="24"/>
          <w:szCs w:val="40"/>
          <w:lang w:val="en-US" w:eastAsia="zh-CN" w:bidi="ar-SA"/>
        </w:rPr>
        <w:t>八、贯彻标准的要求和措施建议</w:t>
      </w:r>
      <w:bookmarkEnd w:id="32"/>
      <w:bookmarkEnd w:id="33"/>
    </w:p>
    <w:p w14:paraId="198DD66F">
      <w:pPr>
        <w:spacing w:line="360" w:lineRule="auto"/>
        <w:ind w:firstLine="482"/>
        <w:rPr>
          <w:color w:val="000000"/>
          <w:sz w:val="22"/>
          <w:szCs w:val="20"/>
        </w:rPr>
      </w:pPr>
      <w:r>
        <w:rPr>
          <w:rFonts w:hint="eastAsia"/>
          <w:sz w:val="22"/>
          <w:szCs w:val="20"/>
        </w:rPr>
        <w:t>本标准建议作为推荐性标准贯彻与实施，由贵州省市场监督管理局发布，并进一步加大宣传力度，尽快在贵州省茶树种植区域推广实施，大力推进茶树修剪枝叶饲料化利用的力度和范围，促进我省经济作物种植业和畜牧业的高质量发展。</w:t>
      </w:r>
    </w:p>
    <w:p w14:paraId="716810CD">
      <w:pPr>
        <w:keepNext/>
        <w:keepLines/>
        <w:widowControl w:val="0"/>
        <w:spacing w:before="0" w:after="0" w:line="360" w:lineRule="auto"/>
        <w:jc w:val="both"/>
        <w:outlineLvl w:val="0"/>
        <w:rPr>
          <w:rFonts w:ascii="Times New Roman" w:hAnsi="Times New Roman" w:eastAsia="宋体" w:cs="Times New Roman"/>
          <w:b/>
          <w:bCs/>
          <w:kern w:val="44"/>
          <w:sz w:val="24"/>
          <w:szCs w:val="40"/>
          <w:lang w:val="en-US" w:eastAsia="zh-CN" w:bidi="ar-SA"/>
        </w:rPr>
      </w:pPr>
      <w:bookmarkStart w:id="34" w:name="_Toc176547942"/>
      <w:bookmarkStart w:id="35" w:name="_Toc17160"/>
      <w:r>
        <w:rPr>
          <w:rFonts w:ascii="Times New Roman" w:hAnsi="Times New Roman" w:eastAsia="宋体" w:cs="Times New Roman"/>
          <w:b/>
          <w:bCs/>
          <w:kern w:val="44"/>
          <w:sz w:val="24"/>
          <w:szCs w:val="40"/>
          <w:lang w:val="en-US" w:eastAsia="zh-CN" w:bidi="ar-SA"/>
        </w:rPr>
        <w:t>九、废止现行有关标准的建议</w:t>
      </w:r>
      <w:bookmarkEnd w:id="34"/>
      <w:bookmarkEnd w:id="35"/>
    </w:p>
    <w:p w14:paraId="40597651">
      <w:pPr>
        <w:spacing w:before="156" w:beforeLines="50" w:line="360" w:lineRule="auto"/>
        <w:ind w:firstLine="482"/>
        <w:rPr>
          <w:color w:val="000000"/>
          <w:sz w:val="22"/>
          <w:szCs w:val="20"/>
        </w:rPr>
      </w:pPr>
      <w:r>
        <w:rPr>
          <w:color w:val="000000"/>
          <w:sz w:val="22"/>
          <w:szCs w:val="20"/>
        </w:rPr>
        <w:t>无。</w:t>
      </w:r>
    </w:p>
    <w:p w14:paraId="431CE65B">
      <w:pPr>
        <w:keepNext/>
        <w:keepLines/>
        <w:widowControl w:val="0"/>
        <w:spacing w:before="0" w:after="0" w:line="360" w:lineRule="auto"/>
        <w:jc w:val="both"/>
        <w:outlineLvl w:val="0"/>
        <w:rPr>
          <w:rFonts w:ascii="Times New Roman" w:hAnsi="Times New Roman" w:eastAsia="宋体" w:cs="Times New Roman"/>
          <w:b/>
          <w:bCs/>
          <w:kern w:val="44"/>
          <w:sz w:val="24"/>
          <w:szCs w:val="40"/>
          <w:lang w:val="en-US" w:eastAsia="zh-CN" w:bidi="ar-SA"/>
        </w:rPr>
      </w:pPr>
      <w:bookmarkStart w:id="36" w:name="_Toc176547943"/>
      <w:bookmarkStart w:id="37" w:name="_Toc668"/>
      <w:r>
        <w:rPr>
          <w:rFonts w:ascii="Times New Roman" w:hAnsi="Times New Roman" w:eastAsia="宋体" w:cs="Times New Roman"/>
          <w:b/>
          <w:bCs/>
          <w:kern w:val="44"/>
          <w:sz w:val="24"/>
          <w:szCs w:val="40"/>
          <w:lang w:val="en-US" w:eastAsia="zh-CN" w:bidi="ar-SA"/>
        </w:rPr>
        <w:t>十、其他应予说明的事项</w:t>
      </w:r>
      <w:bookmarkEnd w:id="36"/>
      <w:bookmarkEnd w:id="37"/>
    </w:p>
    <w:p w14:paraId="46BDFE3C">
      <w:pPr>
        <w:spacing w:before="156" w:beforeLines="50" w:line="360" w:lineRule="auto"/>
        <w:ind w:firstLine="482"/>
        <w:rPr>
          <w:rFonts w:hint="eastAsia" w:ascii="宋体" w:hAnsi="宋体" w:cs="宋体"/>
          <w:b/>
          <w:bCs/>
          <w:sz w:val="24"/>
          <w:szCs w:val="24"/>
        </w:rPr>
      </w:pPr>
      <w:r>
        <w:rPr>
          <w:color w:val="000000"/>
          <w:sz w:val="22"/>
          <w:szCs w:val="20"/>
        </w:rPr>
        <w:t>无。</w:t>
      </w:r>
    </w:p>
    <w:p w14:paraId="76E83E44">
      <w:pPr>
        <w:spacing w:before="156" w:beforeLines="50"/>
        <w:ind w:firstLine="48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A0C330"/>
    <w:multiLevelType w:val="singleLevel"/>
    <w:tmpl w:val="97A0C330"/>
    <w:lvl w:ilvl="0" w:tentative="0">
      <w:start w:val="2"/>
      <w:numFmt w:val="decimal"/>
      <w:suff w:val="space"/>
      <w:lvlText w:val="%1."/>
      <w:lvlJc w:val="left"/>
    </w:lvl>
  </w:abstractNum>
  <w:abstractNum w:abstractNumId="1">
    <w:nsid w:val="646260FA"/>
    <w:multiLevelType w:val="multilevel"/>
    <w:tmpl w:val="646260FA"/>
    <w:lvl w:ilvl="0" w:tentative="0">
      <w:start w:val="1"/>
      <w:numFmt w:val="decimal"/>
      <w:pStyle w:val="2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DD"/>
    <w:rsid w:val="000141C0"/>
    <w:rsid w:val="00016F16"/>
    <w:rsid w:val="00042ED9"/>
    <w:rsid w:val="00056105"/>
    <w:rsid w:val="0008444C"/>
    <w:rsid w:val="00086BF7"/>
    <w:rsid w:val="0009142F"/>
    <w:rsid w:val="000A799D"/>
    <w:rsid w:val="000D360C"/>
    <w:rsid w:val="000F6C2F"/>
    <w:rsid w:val="001420C2"/>
    <w:rsid w:val="00154846"/>
    <w:rsid w:val="00172A27"/>
    <w:rsid w:val="001C05A9"/>
    <w:rsid w:val="002102A1"/>
    <w:rsid w:val="00210C18"/>
    <w:rsid w:val="00223E5A"/>
    <w:rsid w:val="0027069B"/>
    <w:rsid w:val="002A78B1"/>
    <w:rsid w:val="002C68B2"/>
    <w:rsid w:val="002D03AB"/>
    <w:rsid w:val="003207CE"/>
    <w:rsid w:val="00396989"/>
    <w:rsid w:val="003D33CE"/>
    <w:rsid w:val="003F49EC"/>
    <w:rsid w:val="00406ABD"/>
    <w:rsid w:val="00437C32"/>
    <w:rsid w:val="00442E26"/>
    <w:rsid w:val="0046248B"/>
    <w:rsid w:val="00463C8E"/>
    <w:rsid w:val="00467591"/>
    <w:rsid w:val="00486A1C"/>
    <w:rsid w:val="004B7705"/>
    <w:rsid w:val="004F2814"/>
    <w:rsid w:val="00552270"/>
    <w:rsid w:val="00590DBF"/>
    <w:rsid w:val="005A0722"/>
    <w:rsid w:val="005B3A9D"/>
    <w:rsid w:val="005B3D73"/>
    <w:rsid w:val="00605943"/>
    <w:rsid w:val="006E537C"/>
    <w:rsid w:val="006F0DAC"/>
    <w:rsid w:val="00767B52"/>
    <w:rsid w:val="00837CD8"/>
    <w:rsid w:val="0084372C"/>
    <w:rsid w:val="00881AA7"/>
    <w:rsid w:val="008A2D85"/>
    <w:rsid w:val="0090290C"/>
    <w:rsid w:val="0090467D"/>
    <w:rsid w:val="00913C51"/>
    <w:rsid w:val="0094001E"/>
    <w:rsid w:val="009504EF"/>
    <w:rsid w:val="009542BD"/>
    <w:rsid w:val="00983A4A"/>
    <w:rsid w:val="00991C40"/>
    <w:rsid w:val="009A48C2"/>
    <w:rsid w:val="009B3A64"/>
    <w:rsid w:val="009C2CEF"/>
    <w:rsid w:val="009D3A5F"/>
    <w:rsid w:val="009D6DAE"/>
    <w:rsid w:val="00A37AA2"/>
    <w:rsid w:val="00A818E3"/>
    <w:rsid w:val="00AB0892"/>
    <w:rsid w:val="00B05B72"/>
    <w:rsid w:val="00B35375"/>
    <w:rsid w:val="00B52B8C"/>
    <w:rsid w:val="00B80115"/>
    <w:rsid w:val="00BD7567"/>
    <w:rsid w:val="00C00A00"/>
    <w:rsid w:val="00C77906"/>
    <w:rsid w:val="00CC360A"/>
    <w:rsid w:val="00D01865"/>
    <w:rsid w:val="00D3016F"/>
    <w:rsid w:val="00D464C5"/>
    <w:rsid w:val="00D469F7"/>
    <w:rsid w:val="00DA5452"/>
    <w:rsid w:val="00E83A4D"/>
    <w:rsid w:val="00E93954"/>
    <w:rsid w:val="00EA42B1"/>
    <w:rsid w:val="00EC0465"/>
    <w:rsid w:val="00EE2D50"/>
    <w:rsid w:val="00F034DB"/>
    <w:rsid w:val="00F71F29"/>
    <w:rsid w:val="00FB6A67"/>
    <w:rsid w:val="023D0B8F"/>
    <w:rsid w:val="03EE0393"/>
    <w:rsid w:val="06BF6017"/>
    <w:rsid w:val="072A7934"/>
    <w:rsid w:val="0C846C13"/>
    <w:rsid w:val="140D6614"/>
    <w:rsid w:val="21C81DCC"/>
    <w:rsid w:val="28442F97"/>
    <w:rsid w:val="2B9E723E"/>
    <w:rsid w:val="2CE12CE0"/>
    <w:rsid w:val="319E48F7"/>
    <w:rsid w:val="365E28A7"/>
    <w:rsid w:val="40B7377A"/>
    <w:rsid w:val="44C67F95"/>
    <w:rsid w:val="46517D32"/>
    <w:rsid w:val="4AB04516"/>
    <w:rsid w:val="5697479B"/>
    <w:rsid w:val="599C3116"/>
    <w:rsid w:val="5E2A16AF"/>
    <w:rsid w:val="5F4C257D"/>
    <w:rsid w:val="612B1454"/>
    <w:rsid w:val="63240A0D"/>
    <w:rsid w:val="6D8343C6"/>
    <w:rsid w:val="6E1A53B2"/>
    <w:rsid w:val="70383946"/>
    <w:rsid w:val="71904AB9"/>
    <w:rsid w:val="78702FBD"/>
    <w:rsid w:val="7B963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1"/>
      <w:lang w:val="en-US" w:eastAsia="zh-CN" w:bidi="ar-SA"/>
    </w:rPr>
  </w:style>
  <w:style w:type="paragraph" w:styleId="2">
    <w:name w:val="heading 1"/>
    <w:basedOn w:val="1"/>
    <w:next w:val="1"/>
    <w:link w:val="19"/>
    <w:qFormat/>
    <w:uiPriority w:val="9"/>
    <w:pPr>
      <w:keepNext/>
      <w:keepLines/>
      <w:spacing w:before="240" w:after="240"/>
      <w:outlineLvl w:val="0"/>
    </w:pPr>
    <w:rPr>
      <w:b/>
      <w:bCs/>
      <w:kern w:val="44"/>
      <w:sz w:val="28"/>
      <w:szCs w:val="44"/>
    </w:rPr>
  </w:style>
  <w:style w:type="paragraph" w:styleId="3">
    <w:name w:val="heading 2"/>
    <w:basedOn w:val="1"/>
    <w:next w:val="1"/>
    <w:semiHidden/>
    <w:unhideWhenUsed/>
    <w:qFormat/>
    <w:uiPriority w:val="0"/>
    <w:pPr>
      <w:keepNext/>
      <w:keepLines/>
      <w:spacing w:before="260" w:after="260" w:line="413" w:lineRule="auto"/>
      <w:outlineLvl w:val="1"/>
    </w:pPr>
    <w:rPr>
      <w:rFonts w:ascii="Arial" w:hAnsi="Arial"/>
      <w:b/>
      <w:sz w:val="28"/>
    </w:rPr>
  </w:style>
  <w:style w:type="paragraph" w:styleId="4">
    <w:name w:val="heading 3"/>
    <w:basedOn w:val="1"/>
    <w:next w:val="1"/>
    <w:semiHidden/>
    <w:unhideWhenUsed/>
    <w:qFormat/>
    <w:uiPriority w:val="0"/>
    <w:pPr>
      <w:keepNext/>
      <w:keepLines/>
      <w:spacing w:before="260" w:after="260" w:line="413" w:lineRule="auto"/>
      <w:outlineLvl w:val="2"/>
    </w:pPr>
    <w:rPr>
      <w:b/>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Indent 2"/>
    <w:basedOn w:val="1"/>
    <w:qFormat/>
    <w:uiPriority w:val="0"/>
    <w:pPr>
      <w:spacing w:after="120" w:line="480" w:lineRule="auto"/>
      <w:ind w:left="420" w:leftChars="2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link w:val="22"/>
    <w:qFormat/>
    <w:uiPriority w:val="0"/>
    <w:pPr>
      <w:tabs>
        <w:tab w:val="center" w:pos="4153"/>
        <w:tab w:val="right" w:pos="8306"/>
      </w:tabs>
      <w:snapToGrid w:val="0"/>
      <w:spacing w:line="240" w:lineRule="auto"/>
      <w:jc w:val="center"/>
    </w:pPr>
    <w:rPr>
      <w:sz w:val="18"/>
      <w:szCs w:val="18"/>
    </w:rPr>
  </w:style>
  <w:style w:type="paragraph" w:styleId="8">
    <w:name w:val="toc 1"/>
    <w:basedOn w:val="1"/>
    <w:next w:val="1"/>
    <w:unhideWhenUsed/>
    <w:qFormat/>
    <w:uiPriority w:val="39"/>
  </w:style>
  <w:style w:type="paragraph" w:styleId="9">
    <w:name w:val="table of figures"/>
    <w:basedOn w:val="1"/>
    <w:next w:val="1"/>
    <w:qFormat/>
    <w:uiPriority w:val="0"/>
    <w:pPr>
      <w:spacing w:line="240" w:lineRule="auto"/>
      <w:jc w:val="left"/>
    </w:pPr>
    <w:rPr>
      <w:rFonts w:asciiTheme="minorHAnsi" w:hAnsiTheme="minorHAnsi" w:eastAsiaTheme="minorEastAsia" w:cstheme="minorBidi"/>
      <w:sz w:val="21"/>
      <w:szCs w:val="24"/>
    </w:rPr>
  </w:style>
  <w:style w:type="paragraph" w:styleId="10">
    <w:name w:val="toc 2"/>
    <w:basedOn w:val="1"/>
    <w:next w:val="1"/>
    <w:unhideWhenUsed/>
    <w:uiPriority w:val="39"/>
    <w:pPr>
      <w:ind w:left="420" w:left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style>
  <w:style w:type="paragraph" w:customStyle="1" w:styleId="15">
    <w:name w:val="一级节标题"/>
    <w:basedOn w:val="1"/>
    <w:next w:val="1"/>
    <w:link w:val="16"/>
    <w:autoRedefine/>
    <w:qFormat/>
    <w:uiPriority w:val="0"/>
    <w:pPr>
      <w:snapToGrid w:val="0"/>
      <w:spacing w:before="120" w:after="120"/>
      <w:jc w:val="left"/>
      <w:outlineLvl w:val="1"/>
    </w:pPr>
    <w:rPr>
      <w:b/>
      <w:sz w:val="32"/>
      <w:szCs w:val="36"/>
    </w:rPr>
  </w:style>
  <w:style w:type="character" w:customStyle="1" w:styleId="16">
    <w:name w:val="一级节标题 Char"/>
    <w:link w:val="15"/>
    <w:qFormat/>
    <w:uiPriority w:val="0"/>
    <w:rPr>
      <w:rFonts w:ascii="Times New Roman" w:hAnsi="Times New Roman" w:eastAsia="宋体" w:cs="Times New Roman"/>
      <w:b/>
      <w:sz w:val="32"/>
      <w:szCs w:val="36"/>
    </w:rPr>
  </w:style>
  <w:style w:type="paragraph" w:customStyle="1" w:styleId="1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8">
    <w:name w:val="font11"/>
    <w:basedOn w:val="13"/>
    <w:qFormat/>
    <w:uiPriority w:val="0"/>
    <w:rPr>
      <w:rFonts w:hint="default" w:ascii="Times New Roman" w:hAnsi="Times New Roman" w:cs="Times New Roman"/>
      <w:color w:val="000000"/>
      <w:sz w:val="20"/>
      <w:szCs w:val="20"/>
      <w:u w:val="none"/>
    </w:rPr>
  </w:style>
  <w:style w:type="character" w:customStyle="1" w:styleId="19">
    <w:name w:val="标题 1 字符"/>
    <w:link w:val="2"/>
    <w:qFormat/>
    <w:uiPriority w:val="9"/>
    <w:rPr>
      <w:b/>
      <w:bCs/>
      <w:kern w:val="44"/>
      <w:sz w:val="28"/>
      <w:szCs w:val="44"/>
    </w:rPr>
  </w:style>
  <w:style w:type="paragraph" w:customStyle="1" w:styleId="20">
    <w:name w:val="WPSOffice手动目录 1"/>
    <w:qFormat/>
    <w:uiPriority w:val="0"/>
    <w:rPr>
      <w:rFonts w:ascii="Times New Roman" w:hAnsi="Times New Roman" w:eastAsia="宋体" w:cs="Times New Roman"/>
      <w:lang w:val="en-US" w:eastAsia="zh-CN" w:bidi="ar-SA"/>
    </w:rPr>
  </w:style>
  <w:style w:type="paragraph" w:customStyle="1" w:styleId="21">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2">
    <w:name w:val="页眉 字符"/>
    <w:basedOn w:val="13"/>
    <w:link w:val="7"/>
    <w:qFormat/>
    <w:uiPriority w:val="0"/>
    <w:rPr>
      <w:kern w:val="2"/>
      <w:sz w:val="18"/>
      <w:szCs w:val="18"/>
    </w:rPr>
  </w:style>
  <w:style w:type="paragraph" w:styleId="23">
    <w:name w:val="List Paragraph"/>
    <w:basedOn w:val="1"/>
    <w:unhideWhenUsed/>
    <w:qFormat/>
    <w:uiPriority w:val="99"/>
    <w:pPr>
      <w:ind w:firstLine="420" w:firstLineChars="200"/>
    </w:pPr>
  </w:style>
  <w:style w:type="paragraph" w:customStyle="1" w:styleId="24">
    <w:name w:val="Revision"/>
    <w:hidden/>
    <w:unhideWhenUsed/>
    <w:qFormat/>
    <w:uiPriority w:val="99"/>
    <w:rPr>
      <w:rFonts w:ascii="Times New Roman" w:hAnsi="Times New Roman" w:eastAsia="宋体" w:cs="Times New Roman"/>
      <w:kern w:val="2"/>
      <w:sz w:val="24"/>
      <w:szCs w:val="21"/>
      <w:lang w:val="en-US" w:eastAsia="zh-CN" w:bidi="ar-SA"/>
    </w:rPr>
  </w:style>
  <w:style w:type="paragraph" w:customStyle="1" w:styleId="25">
    <w:name w:val="标准文件_正文表标题"/>
    <w:next w:val="17"/>
    <w:qFormat/>
    <w:uiPriority w:val="0"/>
    <w:pPr>
      <w:numPr>
        <w:ilvl w:val="0"/>
        <w:numId w:val="1"/>
      </w:numPr>
      <w:tabs>
        <w:tab w:val="left" w:pos="0"/>
      </w:tabs>
      <w:spacing w:before="50" w:beforeLines="50" w:after="50" w:afterLines="50"/>
      <w:jc w:val="center"/>
    </w:pPr>
    <w:rPr>
      <w:rFonts w:ascii="黑体" w:hAnsi="Times New Roman" w:eastAsia="黑体" w:cs="Times New Roman"/>
      <w:sz w:val="21"/>
      <w:lang w:val="en-US" w:eastAsia="zh-CN" w:bidi="ar-SA"/>
    </w:rPr>
  </w:style>
  <w:style w:type="character" w:customStyle="1" w:styleId="26">
    <w:name w:val="font21"/>
    <w:basedOn w:val="13"/>
    <w:qFormat/>
    <w:uiPriority w:val="0"/>
    <w:rPr>
      <w:rFonts w:hint="default" w:ascii="Times New Roman" w:hAnsi="Times New Roman" w:cs="Times New Roman"/>
      <w:color w:val="000000"/>
      <w:sz w:val="21"/>
      <w:szCs w:val="21"/>
      <w:u w:val="none"/>
      <w:vertAlign w:val="subscript"/>
    </w:rPr>
  </w:style>
  <w:style w:type="character" w:customStyle="1" w:styleId="27">
    <w:name w:val="15"/>
    <w:basedOn w:val="13"/>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tif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5865</Words>
  <Characters>7413</Characters>
  <Lines>1</Lines>
  <Paragraphs>1</Paragraphs>
  <TotalTime>3</TotalTime>
  <ScaleCrop>false</ScaleCrop>
  <LinksUpToDate>false</LinksUpToDate>
  <CharactersWithSpaces>7647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2026-05-07T03:24:00Z</dcterms:created>
  <dc:creator>aLIEz</dc:creator>
  <cp:lastModifiedBy>sunshine</cp:lastModifiedBy>
  <dcterms:modified xsi:type="dcterms:W3CDTF">2026-05-13T10:45:37Z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DFCB2E71DCF44DE0BB0181527CF14515_13</vt:lpwstr>
  </property>
  <property fmtid="{D5CDD505-2E9C-101B-9397-08002B2CF9AE}" pid="4" name="KSOTemplateDocerSaveRecord">
    <vt:lpwstr>eyJoZGlkIjoiNTFlMGM3ZmQ3MGI1MjU2MTgxMTliODgxMzMyMjA1YTYiLCJ1c2VySWQiOiI3NjE1MTM1MTcifQ==</vt:lpwstr>
  </property>
</Properties>
</file>