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758810">
      <w:pPr>
        <w:spacing w:line="360" w:lineRule="auto"/>
        <w:rPr>
          <w:bCs/>
          <w:color w:val="C00000"/>
          <w:sz w:val="36"/>
          <w:szCs w:val="36"/>
        </w:rPr>
      </w:pPr>
      <w:bookmarkStart w:id="0" w:name="_Hlk528261495"/>
      <w:bookmarkStart w:id="1" w:name="OLE_LINK3"/>
    </w:p>
    <w:p w14:paraId="23F1C134">
      <w:pPr>
        <w:spacing w:line="360" w:lineRule="auto"/>
        <w:rPr>
          <w:bCs/>
          <w:color w:val="C00000"/>
          <w:sz w:val="36"/>
          <w:szCs w:val="36"/>
        </w:rPr>
      </w:pPr>
    </w:p>
    <w:p w14:paraId="0C8DB73E">
      <w:pPr>
        <w:spacing w:line="360" w:lineRule="auto"/>
        <w:rPr>
          <w:bCs/>
          <w:color w:val="C00000"/>
          <w:sz w:val="48"/>
          <w:szCs w:val="48"/>
        </w:rPr>
      </w:pPr>
    </w:p>
    <w:p w14:paraId="33BB86B6">
      <w:pPr>
        <w:spacing w:line="360" w:lineRule="auto"/>
        <w:rPr>
          <w:bCs/>
          <w:color w:val="C00000"/>
          <w:sz w:val="48"/>
          <w:szCs w:val="48"/>
        </w:rPr>
      </w:pPr>
    </w:p>
    <w:p w14:paraId="3C2BCF01">
      <w:pPr>
        <w:jc w:val="center"/>
        <w:rPr>
          <w:sz w:val="52"/>
          <w:szCs w:val="52"/>
        </w:rPr>
      </w:pPr>
      <w:r>
        <w:rPr>
          <w:sz w:val="52"/>
          <w:szCs w:val="52"/>
        </w:rPr>
        <w:t>团 体 标 准</w:t>
      </w:r>
    </w:p>
    <w:p w14:paraId="77B13FDD">
      <w:pPr>
        <w:jc w:val="center"/>
        <w:rPr>
          <w:rFonts w:hint="eastAsia" w:ascii="黑体" w:hAnsi="黑体" w:eastAsia="黑体"/>
          <w:sz w:val="48"/>
          <w:szCs w:val="48"/>
        </w:rPr>
      </w:pPr>
    </w:p>
    <w:p w14:paraId="65EBEDB4"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《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>百脉根种子生产</w:t>
      </w:r>
      <w:r>
        <w:rPr>
          <w:rFonts w:hint="eastAsia" w:ascii="黑体" w:hAnsi="黑体" w:eastAsia="黑体"/>
          <w:sz w:val="44"/>
          <w:szCs w:val="44"/>
        </w:rPr>
        <w:t>技术规程》</w:t>
      </w:r>
    </w:p>
    <w:p w14:paraId="270B0C4D">
      <w:pPr>
        <w:spacing w:before="312" w:beforeLines="100" w:after="312" w:afterLines="100" w:line="480" w:lineRule="auto"/>
        <w:ind w:left="-67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编制说明</w:t>
      </w:r>
    </w:p>
    <w:p w14:paraId="6DE3ADC0">
      <w:pPr>
        <w:spacing w:line="360" w:lineRule="auto"/>
        <w:rPr>
          <w:bCs/>
          <w:sz w:val="36"/>
          <w:szCs w:val="36"/>
        </w:rPr>
      </w:pPr>
    </w:p>
    <w:p w14:paraId="528D9F67">
      <w:pPr>
        <w:spacing w:line="360" w:lineRule="auto"/>
        <w:rPr>
          <w:bCs/>
          <w:sz w:val="36"/>
          <w:szCs w:val="36"/>
        </w:rPr>
      </w:pPr>
    </w:p>
    <w:p w14:paraId="1E29079D">
      <w:pPr>
        <w:spacing w:line="360" w:lineRule="auto"/>
        <w:rPr>
          <w:bCs/>
          <w:sz w:val="36"/>
          <w:szCs w:val="36"/>
        </w:rPr>
      </w:pPr>
    </w:p>
    <w:p w14:paraId="2715D9AB">
      <w:pPr>
        <w:spacing w:line="360" w:lineRule="auto"/>
        <w:rPr>
          <w:bCs/>
          <w:sz w:val="36"/>
          <w:szCs w:val="36"/>
        </w:rPr>
      </w:pPr>
    </w:p>
    <w:p w14:paraId="0C4C417A">
      <w:pPr>
        <w:spacing w:line="360" w:lineRule="auto"/>
        <w:rPr>
          <w:bCs/>
          <w:sz w:val="36"/>
          <w:szCs w:val="36"/>
        </w:rPr>
      </w:pPr>
    </w:p>
    <w:p w14:paraId="64789C51">
      <w:pPr>
        <w:spacing w:line="360" w:lineRule="auto"/>
        <w:rPr>
          <w:bCs/>
          <w:sz w:val="36"/>
          <w:szCs w:val="36"/>
        </w:rPr>
      </w:pPr>
    </w:p>
    <w:p w14:paraId="0211B5B5">
      <w:pPr>
        <w:spacing w:line="360" w:lineRule="auto"/>
        <w:rPr>
          <w:bCs/>
          <w:sz w:val="36"/>
          <w:szCs w:val="36"/>
        </w:rPr>
      </w:pPr>
    </w:p>
    <w:p w14:paraId="7C7491E7">
      <w:pPr>
        <w:widowControl/>
        <w:rPr>
          <w:bCs/>
          <w:sz w:val="44"/>
          <w:szCs w:val="44"/>
        </w:rPr>
      </w:pPr>
    </w:p>
    <w:p w14:paraId="1F0E511F">
      <w:pPr>
        <w:widowControl/>
        <w:rPr>
          <w:bCs/>
          <w:sz w:val="44"/>
          <w:szCs w:val="44"/>
        </w:rPr>
      </w:pPr>
    </w:p>
    <w:p w14:paraId="034AC298">
      <w:pPr>
        <w:ind w:left="-52" w:leftChars="-67" w:right="-382" w:rightChars="-182" w:hanging="89" w:hangingChars="32"/>
        <w:jc w:val="center"/>
        <w:rPr>
          <w:rFonts w:hint="eastAsia" w:ascii="黑体" w:hAnsi="黑体" w:eastAsia="黑体"/>
          <w:bCs/>
          <w:sz w:val="28"/>
          <w:szCs w:val="28"/>
        </w:rPr>
      </w:pPr>
      <w:r>
        <w:rPr>
          <w:rFonts w:hint="eastAsia" w:ascii="黑体" w:hAnsi="黑体" w:eastAsia="黑体"/>
          <w:bCs/>
          <w:sz w:val="28"/>
          <w:szCs w:val="28"/>
        </w:rPr>
        <w:t>《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百脉根种子生产</w:t>
      </w:r>
      <w:r>
        <w:rPr>
          <w:rFonts w:hint="eastAsia" w:ascii="黑体" w:hAnsi="黑体" w:eastAsia="黑体"/>
          <w:bCs/>
          <w:sz w:val="28"/>
          <w:szCs w:val="28"/>
        </w:rPr>
        <w:t>技术规程》团标制定组</w:t>
      </w:r>
    </w:p>
    <w:p w14:paraId="6617FAC3">
      <w:pPr>
        <w:widowControl/>
        <w:jc w:val="center"/>
        <w:rPr>
          <w:rFonts w:hint="eastAsia" w:ascii="黑体" w:hAnsi="黑体" w:eastAsia="黑体"/>
          <w:bCs/>
          <w:sz w:val="28"/>
          <w:szCs w:val="28"/>
        </w:rPr>
      </w:pPr>
      <w:r>
        <w:rPr>
          <w:rFonts w:ascii="黑体" w:hAnsi="黑体" w:eastAsia="黑体"/>
          <w:bCs/>
          <w:sz w:val="28"/>
          <w:szCs w:val="28"/>
        </w:rPr>
        <w:t>二</w:t>
      </w:r>
      <w:r>
        <w:rPr>
          <w:rFonts w:ascii="黑体" w:hAnsi="黑体" w:eastAsia="黑体"/>
          <w:sz w:val="28"/>
          <w:szCs w:val="28"/>
        </w:rPr>
        <w:t>〇</w:t>
      </w:r>
      <w:r>
        <w:rPr>
          <w:rFonts w:ascii="黑体" w:hAnsi="黑体" w:eastAsia="黑体"/>
          <w:bCs/>
          <w:sz w:val="28"/>
          <w:szCs w:val="28"/>
        </w:rPr>
        <w:t>二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六</w:t>
      </w:r>
      <w:r>
        <w:rPr>
          <w:rFonts w:ascii="黑体" w:hAnsi="黑体" w:eastAsia="黑体"/>
          <w:bCs/>
          <w:sz w:val="28"/>
          <w:szCs w:val="28"/>
        </w:rPr>
        <w:t>年</w:t>
      </w:r>
      <w:r>
        <w:rPr>
          <w:rFonts w:hint="eastAsia" w:ascii="黑体" w:hAnsi="黑体" w:eastAsia="黑体"/>
          <w:bCs/>
          <w:sz w:val="28"/>
          <w:szCs w:val="28"/>
          <w:lang w:val="en-US" w:eastAsia="zh-CN"/>
        </w:rPr>
        <w:t>五</w:t>
      </w:r>
      <w:r>
        <w:rPr>
          <w:rFonts w:ascii="黑体" w:hAnsi="黑体" w:eastAsia="黑体"/>
          <w:bCs/>
          <w:sz w:val="28"/>
          <w:szCs w:val="28"/>
        </w:rPr>
        <w:t>月</w:t>
      </w:r>
    </w:p>
    <w:bookmarkEnd w:id="0"/>
    <w:p w14:paraId="40FBF7DD">
      <w:pPr>
        <w:pStyle w:val="32"/>
        <w:spacing w:before="312" w:beforeLines="100" w:after="312" w:afterLines="100" w:line="420" w:lineRule="exact"/>
        <w:ind w:firstLineChars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  <w:r>
        <w:rPr>
          <w:rFonts w:hint="eastAsia"/>
          <w:b/>
          <w:color w:val="000000"/>
          <w:sz w:val="28"/>
          <w:szCs w:val="28"/>
        </w:rPr>
        <w:t>目  次</w:t>
      </w:r>
    </w:p>
    <w:p w14:paraId="1D60AEC8">
      <w:pPr>
        <w:pStyle w:val="32"/>
        <w:spacing w:line="360" w:lineRule="auto"/>
        <w:ind w:firstLineChars="0"/>
        <w:rPr>
          <w:b/>
          <w:color w:val="000000"/>
          <w:sz w:val="22"/>
          <w:szCs w:val="22"/>
        </w:rPr>
      </w:pPr>
    </w:p>
    <w:p w14:paraId="5E19A56C">
      <w:pPr>
        <w:pStyle w:val="13"/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TOC \o "1-3" \h \z \u </w:instrText>
      </w:r>
      <w:r>
        <w:rPr>
          <w:sz w:val="24"/>
          <w:szCs w:val="24"/>
        </w:rPr>
        <w:fldChar w:fldCharType="separate"/>
      </w:r>
      <w:r>
        <w:fldChar w:fldCharType="begin"/>
      </w:r>
      <w:r>
        <w:instrText xml:space="preserve"> HYPERLINK \l "_Toc176547930" </w:instrText>
      </w:r>
      <w:r>
        <w:fldChar w:fldCharType="separate"/>
      </w:r>
      <w:r>
        <w:rPr>
          <w:rStyle w:val="20"/>
          <w:rFonts w:hint="eastAsia"/>
        </w:rPr>
        <w:t>一、</w:t>
      </w:r>
      <w:r>
        <w:rPr>
          <w:rStyle w:val="20"/>
          <w:rFonts w:hint="eastAsia"/>
          <w:lang w:val="en-US" w:eastAsia="zh-CN"/>
        </w:rPr>
        <w:t>工作简况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fldChar w:fldCharType="end"/>
      </w:r>
    </w:p>
    <w:p w14:paraId="18EC1846">
      <w:pPr>
        <w:pStyle w:val="14"/>
        <w:tabs>
          <w:tab w:val="right" w:leader="dot" w:pos="8538"/>
        </w:tabs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"_Toc176547931" </w:instrText>
      </w:r>
      <w:r>
        <w:fldChar w:fldCharType="separate"/>
      </w:r>
      <w:r>
        <w:rPr>
          <w:rStyle w:val="20"/>
          <w:rFonts w:hint="eastAsia"/>
        </w:rPr>
        <w:t>1、任务来源</w:t>
      </w:r>
      <w:r>
        <w:rPr>
          <w:rStyle w:val="20"/>
          <w:rFonts w:hint="eastAsia"/>
          <w:lang w:eastAsia="zh-CN"/>
        </w:rPr>
        <w:t>、</w:t>
      </w:r>
      <w:r>
        <w:rPr>
          <w:rStyle w:val="20"/>
          <w:rFonts w:hint="eastAsia"/>
          <w:lang w:val="en-US" w:eastAsia="zh-CN"/>
        </w:rPr>
        <w:t>协作单位和起草人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fldChar w:fldCharType="end"/>
      </w:r>
    </w:p>
    <w:p w14:paraId="7F17C62C">
      <w:pPr>
        <w:pStyle w:val="14"/>
        <w:tabs>
          <w:tab w:val="right" w:leader="dot" w:pos="8538"/>
        </w:tabs>
        <w:rPr>
          <w:rFonts w:hint="default" w:eastAsia="宋体"/>
          <w:lang w:val="en-US" w:eastAsia="zh-CN"/>
        </w:rPr>
      </w:pPr>
      <w:r>
        <w:fldChar w:fldCharType="begin"/>
      </w:r>
      <w:r>
        <w:instrText xml:space="preserve"> HYPERLINK \l "_Toc176547932" </w:instrText>
      </w:r>
      <w:r>
        <w:fldChar w:fldCharType="separate"/>
      </w:r>
      <w:r>
        <w:rPr>
          <w:rStyle w:val="20"/>
          <w:rFonts w:hint="eastAsia"/>
        </w:rPr>
        <w:t>2、标准制定背景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fldChar w:fldCharType="end"/>
      </w:r>
    </w:p>
    <w:p w14:paraId="2AC19EBB">
      <w:pPr>
        <w:pStyle w:val="13"/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"_Toc176547933" </w:instrText>
      </w:r>
      <w:r>
        <w:fldChar w:fldCharType="separate"/>
      </w:r>
      <w:r>
        <w:rPr>
          <w:rStyle w:val="20"/>
          <w:rFonts w:hint="eastAsia"/>
        </w:rPr>
        <w:t>二、主要工作过程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fldChar w:fldCharType="end"/>
      </w:r>
    </w:p>
    <w:p w14:paraId="60F337AF">
      <w:pPr>
        <w:pStyle w:val="13"/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"_Toc176547934" </w:instrText>
      </w:r>
      <w:r>
        <w:fldChar w:fldCharType="separate"/>
      </w:r>
      <w:r>
        <w:rPr>
          <w:rStyle w:val="20"/>
          <w:rFonts w:hint="eastAsia"/>
        </w:rPr>
        <w:t>三、标准编制原则和确定</w:t>
      </w:r>
      <w:r>
        <w:rPr>
          <w:rStyle w:val="20"/>
          <w:rFonts w:hint="eastAsia"/>
          <w:lang w:val="en-US" w:eastAsia="zh-CN"/>
        </w:rPr>
        <w:t>标准</w:t>
      </w:r>
      <w:r>
        <w:rPr>
          <w:rStyle w:val="20"/>
          <w:rFonts w:hint="eastAsia"/>
        </w:rPr>
        <w:t>主要内容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fldChar w:fldCharType="end"/>
      </w:r>
    </w:p>
    <w:p w14:paraId="6DAC26EA">
      <w:pPr>
        <w:pStyle w:val="14"/>
        <w:tabs>
          <w:tab w:val="right" w:leader="dot" w:pos="8538"/>
        </w:tabs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"_Toc176547935" </w:instrText>
      </w:r>
      <w:r>
        <w:fldChar w:fldCharType="separate"/>
      </w:r>
      <w:r>
        <w:rPr>
          <w:rStyle w:val="20"/>
          <w:rFonts w:hint="eastAsia"/>
        </w:rPr>
        <w:t>1、标准编制原则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fldChar w:fldCharType="end"/>
      </w:r>
    </w:p>
    <w:p w14:paraId="005DBFE5">
      <w:pPr>
        <w:pStyle w:val="14"/>
        <w:tabs>
          <w:tab w:val="right" w:leader="dot" w:pos="8538"/>
        </w:tabs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"_Toc176547936" </w:instrText>
      </w:r>
      <w:r>
        <w:fldChar w:fldCharType="separate"/>
      </w:r>
      <w:r>
        <w:rPr>
          <w:rStyle w:val="20"/>
          <w:rFonts w:hint="eastAsia"/>
        </w:rPr>
        <w:t>2、</w:t>
      </w:r>
      <w:r>
        <w:rPr>
          <w:rStyle w:val="20"/>
          <w:rFonts w:hint="eastAsia"/>
          <w:lang w:val="en-US" w:eastAsia="zh-CN"/>
        </w:rPr>
        <w:t>确定标准</w:t>
      </w:r>
      <w:r>
        <w:rPr>
          <w:rStyle w:val="20"/>
          <w:rFonts w:hint="eastAsia"/>
        </w:rPr>
        <w:t>主要内容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fldChar w:fldCharType="end"/>
      </w:r>
    </w:p>
    <w:p w14:paraId="2797626D">
      <w:pPr>
        <w:pStyle w:val="13"/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"_Toc176547937" </w:instrText>
      </w:r>
      <w:r>
        <w:fldChar w:fldCharType="separate"/>
      </w:r>
      <w:r>
        <w:rPr>
          <w:rStyle w:val="20"/>
          <w:rFonts w:hint="eastAsia"/>
        </w:rPr>
        <w:t>四、采用的国际标准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fldChar w:fldCharType="end"/>
      </w:r>
    </w:p>
    <w:p w14:paraId="75A7A5D8">
      <w:pPr>
        <w:pStyle w:val="13"/>
        <w:rPr>
          <w:rFonts w:hint="eastAsia" w:asciiTheme="minorHAnsi" w:hAnsiTheme="minorHAnsi" w:eastAsiaTheme="minorEastAsia" w:cstheme="minorBidi"/>
          <w:szCs w:val="22"/>
          <w14:ligatures w14:val="standardContextual"/>
        </w:rPr>
      </w:pPr>
      <w:r>
        <w:fldChar w:fldCharType="begin"/>
      </w:r>
      <w:r>
        <w:instrText xml:space="preserve"> HYPERLINK \l "_Toc176547938" </w:instrText>
      </w:r>
      <w:r>
        <w:fldChar w:fldCharType="separate"/>
      </w:r>
      <w:r>
        <w:rPr>
          <w:rStyle w:val="20"/>
          <w:rFonts w:hint="eastAsia"/>
        </w:rPr>
        <w:t>五、与现行法律法规和强制性标准的关系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fldChar w:fldCharType="end"/>
      </w:r>
    </w:p>
    <w:p w14:paraId="3B924B2D">
      <w:pPr>
        <w:pStyle w:val="13"/>
        <w:rPr>
          <w:rFonts w:hint="eastAsia" w:eastAsia="宋体" w:asciiTheme="minorHAnsi" w:hAnsiTheme="minorHAnsi" w:cstheme="minorBidi"/>
          <w:szCs w:val="22"/>
          <w:lang w:val="en-US" w:eastAsia="zh-CN"/>
          <w14:ligatures w14:val="standardContextual"/>
        </w:rPr>
      </w:pPr>
      <w:r>
        <w:fldChar w:fldCharType="begin"/>
      </w:r>
      <w:r>
        <w:instrText xml:space="preserve"> HYPERLINK \l "_Toc176547939" </w:instrText>
      </w:r>
      <w:r>
        <w:fldChar w:fldCharType="separate"/>
      </w:r>
      <w:r>
        <w:rPr>
          <w:rStyle w:val="20"/>
          <w:rFonts w:hint="eastAsia"/>
        </w:rPr>
        <w:t>六、重大分歧意见的处理经过和依据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fldChar w:fldCharType="end"/>
      </w:r>
    </w:p>
    <w:p w14:paraId="765AD2FD">
      <w:pPr>
        <w:pStyle w:val="13"/>
        <w:rPr>
          <w:rFonts w:hint="eastAsia" w:eastAsia="宋体" w:asciiTheme="minorHAnsi" w:hAnsiTheme="minorHAnsi" w:cstheme="minorBidi"/>
          <w:szCs w:val="22"/>
          <w:lang w:val="en-US" w:eastAsia="zh-CN"/>
          <w14:ligatures w14:val="standardContextual"/>
        </w:rPr>
      </w:pPr>
      <w:r>
        <w:fldChar w:fldCharType="begin"/>
      </w:r>
      <w:r>
        <w:instrText xml:space="preserve"> HYPERLINK \l "_Toc176547940" </w:instrText>
      </w:r>
      <w:r>
        <w:fldChar w:fldCharType="separate"/>
      </w:r>
      <w:r>
        <w:rPr>
          <w:rStyle w:val="20"/>
          <w:rFonts w:hint="eastAsia"/>
        </w:rPr>
        <w:t>七、标准作为强制性或推荐性标准的意见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fldChar w:fldCharType="end"/>
      </w:r>
    </w:p>
    <w:p w14:paraId="155D255B">
      <w:pPr>
        <w:pStyle w:val="13"/>
        <w:rPr>
          <w:rFonts w:hint="eastAsia" w:eastAsia="宋体" w:asciiTheme="minorHAnsi" w:hAnsiTheme="minorHAnsi" w:cstheme="minorBidi"/>
          <w:szCs w:val="22"/>
          <w:lang w:val="en-US" w:eastAsia="zh-CN"/>
          <w14:ligatures w14:val="standardContextual"/>
        </w:rPr>
      </w:pPr>
      <w:r>
        <w:fldChar w:fldCharType="begin"/>
      </w:r>
      <w:r>
        <w:instrText xml:space="preserve"> HYPERLINK \l "_Toc176547941" </w:instrText>
      </w:r>
      <w:r>
        <w:fldChar w:fldCharType="separate"/>
      </w:r>
      <w:r>
        <w:rPr>
          <w:rStyle w:val="20"/>
          <w:rFonts w:hint="eastAsia"/>
        </w:rPr>
        <w:t>八、贯彻标准的要求和措施建议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fldChar w:fldCharType="end"/>
      </w:r>
    </w:p>
    <w:p w14:paraId="316EC7D6">
      <w:pPr>
        <w:pStyle w:val="13"/>
        <w:rPr>
          <w:rFonts w:hint="eastAsia" w:eastAsia="宋体" w:asciiTheme="minorHAnsi" w:hAnsiTheme="minorHAnsi" w:cstheme="minorBidi"/>
          <w:szCs w:val="22"/>
          <w:lang w:val="en-US" w:eastAsia="zh-CN"/>
          <w14:ligatures w14:val="standardContextual"/>
        </w:rPr>
      </w:pPr>
      <w:r>
        <w:fldChar w:fldCharType="begin"/>
      </w:r>
      <w:r>
        <w:instrText xml:space="preserve"> HYPERLINK \l "_Toc176547942" </w:instrText>
      </w:r>
      <w:r>
        <w:fldChar w:fldCharType="separate"/>
      </w:r>
      <w:r>
        <w:rPr>
          <w:rStyle w:val="20"/>
          <w:rFonts w:hint="eastAsia"/>
        </w:rPr>
        <w:t>九、废止现行有关标准的建议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fldChar w:fldCharType="end"/>
      </w:r>
    </w:p>
    <w:p w14:paraId="01F523EE">
      <w:pPr>
        <w:pStyle w:val="13"/>
        <w:rPr>
          <w:rFonts w:hint="eastAsia" w:eastAsia="宋体" w:asciiTheme="minorHAnsi" w:hAnsiTheme="minorHAnsi" w:cstheme="minorBidi"/>
          <w:szCs w:val="22"/>
          <w:lang w:val="en-US" w:eastAsia="zh-CN"/>
          <w14:ligatures w14:val="standardContextual"/>
        </w:rPr>
      </w:pPr>
      <w:r>
        <w:fldChar w:fldCharType="begin"/>
      </w:r>
      <w:r>
        <w:instrText xml:space="preserve"> HYPERLINK \l "_Toc176547943" </w:instrText>
      </w:r>
      <w:r>
        <w:fldChar w:fldCharType="separate"/>
      </w:r>
      <w:r>
        <w:rPr>
          <w:rStyle w:val="20"/>
          <w:rFonts w:hint="eastAsia"/>
        </w:rPr>
        <w:t>十、其他应予说明的事项</w:t>
      </w:r>
      <w:r>
        <w:rPr>
          <w:rFonts w:hint="eastAsia"/>
        </w:rPr>
        <w:tab/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fldChar w:fldCharType="end"/>
      </w:r>
    </w:p>
    <w:p w14:paraId="7755D24F">
      <w:pPr>
        <w:spacing w:line="360" w:lineRule="auto"/>
        <w:rPr>
          <w:sz w:val="24"/>
          <w:szCs w:val="24"/>
        </w:rPr>
      </w:pPr>
      <w:r>
        <w:rPr>
          <w:b/>
          <w:bCs/>
          <w:sz w:val="24"/>
          <w:szCs w:val="24"/>
          <w:lang w:val="zh-CN"/>
        </w:rPr>
        <w:fldChar w:fldCharType="end"/>
      </w:r>
    </w:p>
    <w:p w14:paraId="32720C13">
      <w:pPr>
        <w:pStyle w:val="32"/>
        <w:spacing w:before="312" w:beforeLines="100" w:after="312" w:afterLines="100" w:line="420" w:lineRule="exact"/>
        <w:ind w:firstLineChars="0"/>
        <w:rPr>
          <w:b/>
          <w:color w:val="000000"/>
          <w:sz w:val="28"/>
          <w:szCs w:val="28"/>
        </w:rPr>
      </w:pPr>
    </w:p>
    <w:p w14:paraId="3EB17BB0">
      <w:pPr>
        <w:pStyle w:val="2"/>
        <w:spacing w:before="0" w:after="0"/>
        <w:rPr>
          <w:rFonts w:hint="default" w:eastAsia="宋体"/>
          <w:sz w:val="24"/>
          <w:szCs w:val="40"/>
          <w:lang w:val="en-US" w:eastAsia="zh-CN"/>
        </w:rPr>
      </w:pPr>
      <w:r>
        <w:br w:type="page"/>
      </w:r>
      <w:bookmarkStart w:id="2" w:name="_Toc176547930"/>
      <w:r>
        <w:rPr>
          <w:rFonts w:hint="eastAsia"/>
          <w:sz w:val="24"/>
          <w:szCs w:val="40"/>
        </w:rPr>
        <w:t>一、</w:t>
      </w:r>
      <w:bookmarkEnd w:id="2"/>
      <w:r>
        <w:rPr>
          <w:rFonts w:hint="eastAsia"/>
          <w:sz w:val="24"/>
          <w:szCs w:val="40"/>
          <w:lang w:val="en-US" w:eastAsia="zh-CN"/>
        </w:rPr>
        <w:t>工作简况</w:t>
      </w:r>
    </w:p>
    <w:p w14:paraId="39E2EE66">
      <w:pPr>
        <w:pStyle w:val="3"/>
        <w:spacing w:before="0" w:after="0"/>
        <w:rPr>
          <w:rFonts w:hint="default" w:eastAsia="黑体"/>
          <w:sz w:val="22"/>
          <w:szCs w:val="28"/>
          <w:lang w:val="en-US" w:eastAsia="zh-CN"/>
        </w:rPr>
      </w:pPr>
      <w:bookmarkStart w:id="3" w:name="_Toc176547931"/>
      <w:r>
        <w:rPr>
          <w:rFonts w:hint="eastAsia"/>
          <w:sz w:val="22"/>
          <w:szCs w:val="28"/>
        </w:rPr>
        <w:t>1、任务来源</w:t>
      </w:r>
      <w:bookmarkEnd w:id="3"/>
      <w:r>
        <w:rPr>
          <w:rFonts w:hint="eastAsia"/>
          <w:sz w:val="22"/>
          <w:szCs w:val="28"/>
          <w:lang w:eastAsia="zh-CN"/>
        </w:rPr>
        <w:t>、</w:t>
      </w:r>
      <w:r>
        <w:rPr>
          <w:rFonts w:hint="eastAsia"/>
          <w:sz w:val="22"/>
          <w:szCs w:val="28"/>
          <w:lang w:val="en-US" w:eastAsia="zh-CN"/>
        </w:rPr>
        <w:t>协作单位和起草人</w:t>
      </w:r>
    </w:p>
    <w:p w14:paraId="20F657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eastAsia="宋体" w:cs="宋体"/>
          <w:sz w:val="22"/>
          <w:szCs w:val="20"/>
          <w:lang w:eastAsia="zh-CN"/>
        </w:rPr>
      </w:pPr>
      <w:r>
        <w:rPr>
          <w:rFonts w:hint="eastAsia" w:ascii="宋体" w:hAnsi="宋体" w:cs="宋体"/>
          <w:sz w:val="22"/>
          <w:szCs w:val="20"/>
        </w:rPr>
        <w:t>根据《</w:t>
      </w:r>
      <w:r>
        <w:rPr>
          <w:rFonts w:hint="eastAsia" w:ascii="宋体" w:hAnsi="宋体" w:cs="宋体"/>
          <w:sz w:val="22"/>
          <w:szCs w:val="20"/>
          <w:lang w:val="en-US" w:eastAsia="zh-CN"/>
        </w:rPr>
        <w:t>北京华夏草业产业技术创新战略联盟征集</w:t>
      </w:r>
      <w:r>
        <w:rPr>
          <w:rFonts w:hint="default" w:ascii="Times New Roman" w:hAnsi="Times New Roman" w:cs="Times New Roman"/>
          <w:sz w:val="22"/>
          <w:szCs w:val="20"/>
          <w:lang w:val="en-US" w:eastAsia="zh-CN"/>
        </w:rPr>
        <w:t>2026</w:t>
      </w:r>
      <w:r>
        <w:rPr>
          <w:rFonts w:hint="eastAsia" w:ascii="宋体" w:hAnsi="宋体" w:cs="宋体"/>
          <w:sz w:val="22"/>
          <w:szCs w:val="20"/>
          <w:lang w:val="en-US" w:eastAsia="zh-CN"/>
        </w:rPr>
        <w:t>年第</w:t>
      </w:r>
      <w:r>
        <w:rPr>
          <w:rFonts w:hint="eastAsia" w:ascii="宋体" w:hAnsi="宋体" w:cs="宋体"/>
          <w:color w:val="000000" w:themeColor="text1"/>
          <w:sz w:val="22"/>
          <w:szCs w:val="20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宋体" w:hAnsi="宋体" w:cs="宋体"/>
          <w:sz w:val="22"/>
          <w:szCs w:val="20"/>
          <w:lang w:val="en-US" w:eastAsia="zh-CN"/>
        </w:rPr>
        <w:t>批团体标准</w:t>
      </w:r>
      <w:r>
        <w:rPr>
          <w:rFonts w:hint="eastAsia" w:ascii="宋体" w:hAnsi="宋体" w:cs="宋体"/>
          <w:sz w:val="22"/>
          <w:szCs w:val="20"/>
        </w:rPr>
        <w:t>制修订项目的通知》，内蒙古农业大学、中国农业科学院草原研究所、</w:t>
      </w:r>
      <w:r>
        <w:rPr>
          <w:rFonts w:hint="eastAsia" w:hAnsi="宋体"/>
          <w:kern w:val="0"/>
        </w:rPr>
        <w:t>内蒙古伊禾绿锦农业发展有限公司</w:t>
      </w:r>
      <w:r>
        <w:rPr>
          <w:rFonts w:hint="eastAsia" w:hAnsi="宋体"/>
          <w:kern w:val="0"/>
          <w:lang w:val="en-US" w:eastAsia="zh-CN"/>
        </w:rPr>
        <w:t>和</w:t>
      </w:r>
      <w:r>
        <w:rPr>
          <w:rFonts w:hint="eastAsia" w:ascii="宋体" w:hAnsi="宋体" w:cs="宋体"/>
          <w:sz w:val="22"/>
          <w:szCs w:val="20"/>
        </w:rPr>
        <w:t>蒙草生态环境（集团）股份有限公司联合提出“</w:t>
      </w:r>
      <w:r>
        <w:rPr>
          <w:rFonts w:hint="eastAsia" w:ascii="宋体" w:hAnsi="宋体" w:cs="宋体"/>
          <w:sz w:val="22"/>
          <w:szCs w:val="20"/>
          <w:lang w:val="en-US" w:eastAsia="zh-CN"/>
        </w:rPr>
        <w:t>百脉根种子生产</w:t>
      </w:r>
      <w:r>
        <w:rPr>
          <w:rFonts w:hint="eastAsia" w:ascii="宋体" w:hAnsi="宋体" w:cs="宋体"/>
          <w:sz w:val="22"/>
          <w:szCs w:val="20"/>
        </w:rPr>
        <w:t>技术规程”</w:t>
      </w:r>
      <w:r>
        <w:rPr>
          <w:rFonts w:hint="eastAsia" w:ascii="宋体" w:hAnsi="宋体" w:cs="宋体"/>
          <w:sz w:val="22"/>
          <w:szCs w:val="20"/>
          <w:lang w:val="en-US" w:eastAsia="zh-CN"/>
        </w:rPr>
        <w:t>团体</w:t>
      </w:r>
      <w:r>
        <w:rPr>
          <w:rFonts w:hint="eastAsia" w:ascii="宋体" w:hAnsi="宋体" w:cs="宋体"/>
          <w:sz w:val="22"/>
          <w:szCs w:val="20"/>
        </w:rPr>
        <w:t>标准，经批准立项</w:t>
      </w:r>
      <w:r>
        <w:rPr>
          <w:rFonts w:hint="eastAsia" w:ascii="宋体" w:hAnsi="宋体" w:cs="宋体"/>
          <w:sz w:val="22"/>
          <w:szCs w:val="20"/>
          <w:lang w:eastAsia="zh-CN"/>
        </w:rPr>
        <w:t>。</w:t>
      </w:r>
    </w:p>
    <w:p w14:paraId="51E082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cs="宋体"/>
          <w:sz w:val="22"/>
          <w:szCs w:val="20"/>
        </w:rPr>
      </w:pPr>
      <w:r>
        <w:rPr>
          <w:rFonts w:hint="eastAsia" w:ascii="宋体" w:hAnsi="宋体" w:cs="宋体"/>
          <w:sz w:val="22"/>
          <w:szCs w:val="20"/>
        </w:rPr>
        <w:t>本</w:t>
      </w:r>
      <w:r>
        <w:rPr>
          <w:rFonts w:hint="eastAsia" w:ascii="宋体" w:hAnsi="宋体" w:cs="宋体"/>
          <w:sz w:val="22"/>
          <w:szCs w:val="20"/>
          <w:lang w:val="en-US" w:eastAsia="zh-CN"/>
        </w:rPr>
        <w:t>标准</w:t>
      </w:r>
      <w:r>
        <w:rPr>
          <w:rFonts w:hint="eastAsia" w:ascii="宋体" w:hAnsi="宋体" w:cs="宋体"/>
          <w:sz w:val="22"/>
          <w:szCs w:val="20"/>
        </w:rPr>
        <w:t>由内蒙古农业大学、中国农业科学院草原研究所、</w:t>
      </w:r>
      <w:r>
        <w:rPr>
          <w:rFonts w:hint="eastAsia" w:hAnsi="宋体"/>
          <w:kern w:val="0"/>
        </w:rPr>
        <w:t>内蒙古伊禾绿锦农业发展有限公司</w:t>
      </w:r>
      <w:r>
        <w:rPr>
          <w:rFonts w:hint="eastAsia" w:ascii="宋体" w:hAnsi="宋体" w:cs="宋体"/>
          <w:sz w:val="22"/>
          <w:szCs w:val="20"/>
          <w:lang w:val="en-US" w:eastAsia="zh-CN"/>
        </w:rPr>
        <w:t>和</w:t>
      </w:r>
      <w:r>
        <w:rPr>
          <w:rFonts w:hint="eastAsia" w:ascii="宋体" w:hAnsi="宋体" w:cs="宋体"/>
          <w:sz w:val="22"/>
          <w:szCs w:val="20"/>
        </w:rPr>
        <w:t>蒙草生态环境（集团）股份有限公司</w:t>
      </w:r>
      <w:r>
        <w:rPr>
          <w:rFonts w:hint="eastAsia" w:ascii="宋体" w:hAnsi="宋体" w:cs="宋体"/>
          <w:sz w:val="22"/>
          <w:szCs w:val="20"/>
          <w:lang w:val="en-US" w:eastAsia="zh-CN"/>
        </w:rPr>
        <w:t>完成</w:t>
      </w:r>
      <w:r>
        <w:rPr>
          <w:rFonts w:hint="eastAsia" w:ascii="宋体" w:hAnsi="宋体" w:cs="宋体"/>
          <w:sz w:val="22"/>
          <w:szCs w:val="20"/>
        </w:rPr>
        <w:t>。</w:t>
      </w:r>
    </w:p>
    <w:p w14:paraId="3CCAE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cs="宋体"/>
          <w:color w:val="FF0000"/>
          <w:sz w:val="22"/>
          <w:szCs w:val="20"/>
        </w:rPr>
      </w:pPr>
      <w:r>
        <w:rPr>
          <w:rFonts w:hint="eastAsia" w:ascii="宋体" w:hAnsi="宋体" w:cs="宋体"/>
          <w:sz w:val="22"/>
          <w:szCs w:val="20"/>
        </w:rPr>
        <w:t>主要起草人：</w:t>
      </w:r>
      <w:r>
        <w:rPr>
          <w:rFonts w:hint="eastAsia"/>
          <w:color w:val="auto"/>
          <w:lang w:val="en-US" w:eastAsia="zh-CN"/>
        </w:rPr>
        <w:t>王勇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徐春波、</w:t>
      </w:r>
      <w:r>
        <w:rPr>
          <w:rFonts w:hint="eastAsia" w:hAnsi="宋体"/>
          <w:color w:val="auto"/>
          <w:kern w:val="0"/>
        </w:rPr>
        <w:t>魏晓斌</w:t>
      </w:r>
      <w:r>
        <w:rPr>
          <w:rFonts w:hint="eastAsia" w:hAnsi="宋体"/>
          <w:color w:val="auto"/>
          <w:kern w:val="0"/>
          <w:lang w:eastAsia="zh-CN"/>
        </w:rPr>
        <w:t>、</w:t>
      </w:r>
      <w:r>
        <w:rPr>
          <w:rFonts w:hAnsi="宋体"/>
          <w:color w:val="auto"/>
          <w:kern w:val="0"/>
        </w:rPr>
        <w:t>张跃华、赵海霞、张晓明</w:t>
      </w:r>
      <w:r>
        <w:rPr>
          <w:rFonts w:hint="eastAsia" w:hAnsi="宋体"/>
          <w:color w:val="auto"/>
          <w:kern w:val="0"/>
          <w:lang w:eastAsia="zh-CN"/>
        </w:rPr>
        <w:t>、</w:t>
      </w:r>
      <w:r>
        <w:rPr>
          <w:rFonts w:hint="eastAsia" w:hAnsi="宋体"/>
          <w:color w:val="auto"/>
          <w:kern w:val="0"/>
          <w:lang w:val="en-US" w:eastAsia="zh-CN"/>
        </w:rPr>
        <w:t>栗振义、刘亚宁</w:t>
      </w:r>
    </w:p>
    <w:p w14:paraId="2CF241EC">
      <w:pPr>
        <w:pStyle w:val="3"/>
        <w:spacing w:before="0" w:after="0"/>
        <w:rPr>
          <w:rFonts w:hint="eastAsia"/>
          <w:sz w:val="22"/>
          <w:szCs w:val="28"/>
        </w:rPr>
      </w:pPr>
      <w:bookmarkStart w:id="4" w:name="_Toc176547932"/>
      <w:r>
        <w:rPr>
          <w:rFonts w:hint="eastAsia"/>
          <w:sz w:val="22"/>
          <w:szCs w:val="28"/>
        </w:rPr>
        <w:t>2、标准制定背景</w:t>
      </w:r>
      <w:bookmarkEnd w:id="4"/>
      <w:bookmarkStart w:id="21" w:name="_GoBack"/>
      <w:bookmarkEnd w:id="21"/>
    </w:p>
    <w:p w14:paraId="3BC8B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百脉根（</w:t>
      </w:r>
      <w:r>
        <w:rPr>
          <w:rFonts w:hint="eastAsia" w:ascii="Times New Roman" w:hAnsi="Times New Roman" w:eastAsia="宋体" w:cs="Times New Roman"/>
          <w:b w:val="0"/>
          <w:i/>
          <w:iCs/>
          <w:color w:val="000000"/>
          <w:kern w:val="0"/>
          <w:sz w:val="22"/>
          <w:szCs w:val="22"/>
          <w:lang w:val="en-US" w:eastAsia="zh-CN" w:bidi="ar-SA"/>
        </w:rPr>
        <w:t>Lotus corniculatus</w:t>
      </w:r>
      <w:r>
        <w:rPr>
          <w:rFonts w:hint="eastAsia" w:cs="Times New Roman"/>
          <w:b w:val="0"/>
          <w:i/>
          <w:iCs/>
          <w:color w:val="000000"/>
          <w:kern w:val="0"/>
          <w:sz w:val="22"/>
          <w:szCs w:val="22"/>
          <w:lang w:val="en-US" w:eastAsia="zh-CN" w:bidi="ar-SA"/>
        </w:rPr>
        <w:t xml:space="preserve"> </w:t>
      </w:r>
      <w:r>
        <w:rPr>
          <w:rFonts w:hint="eastAsia" w:cs="Times New Roman"/>
          <w:b w:val="0"/>
          <w:i w:val="0"/>
          <w:iCs w:val="0"/>
          <w:color w:val="000000"/>
          <w:kern w:val="0"/>
          <w:sz w:val="22"/>
          <w:szCs w:val="22"/>
          <w:lang w:val="en-US" w:eastAsia="zh-CN" w:bidi="ar-SA"/>
        </w:rPr>
        <w:t>L.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）作为优质多年生豆科牧草，种植推广具备极高的综合价值，不仅能为牛、羊、兔等畜禽提供蛋白含量高、适口性好的优质饲草，有效提升养殖效益、推动草食畜牧业稳健发展，还凭借强大的根瘤固氮能力改良土壤、培肥地力，减少化肥施用；其植株适应性强、根系发达、覆盖度高，耐贫瘠、干旱与轻度盐碱，能有效防风固沙、保持水土，可广泛用于荒山、坡地、退化草地及矿山、边坡生态修复，同时花期较长，也是优良的蜜源植物，能助力生物多样性保护；此外，百脉根一次种植可多年利用，管理成本低，能优化农业种植结构，提高土地利用率，兼具显著的经济、生态与社会效益，对农牧业发展和生态环境治理都有着不可或缺的重要作用。</w:t>
      </w:r>
    </w:p>
    <w:p w14:paraId="4A1CC1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/>
        <w:textAlignment w:val="auto"/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百脉根种子生产是保障其广泛种植与推广的基础，对稳定饲草供应、发展草食畜牧业、推进生态治理均具有重要意义。通过规模化、标准化生产优质种子，能够满足人工种草、草地改良、水土保持及生态修复等多方面用种需求，减少对外来种源的依赖，同时带动牧草种业发展，提升种植效益，为农业结构调整、生态安全屏障建设和乡村产业发展提供坚实支撑，实现经济、生态与社会效益协同提升。</w:t>
      </w:r>
    </w:p>
    <w:p w14:paraId="5D1846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eastAsia" w:cs="Times New Roman"/>
          <w:b w:val="0"/>
          <w:color w:val="000000"/>
          <w:kern w:val="0"/>
          <w:sz w:val="22"/>
          <w:szCs w:val="22"/>
          <w:lang w:val="en-US" w:eastAsia="zh-CN" w:bidi="ar-SA"/>
        </w:rPr>
        <w:t>（1）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经济效益</w:t>
      </w:r>
    </w:p>
    <w:p w14:paraId="2BADF2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color w:val="000000"/>
          <w:kern w:val="0"/>
          <w:sz w:val="22"/>
          <w:szCs w:val="22"/>
          <w:lang w:val="en-US" w:eastAsia="zh-CN" w:bidi="ar-SA"/>
        </w:rPr>
        <w:t>①</w:t>
      </w:r>
      <w:r>
        <w:rPr>
          <w:rFonts w:hint="eastAsia" w:cs="Times New Roman"/>
          <w:b w:val="0"/>
          <w:color w:val="000000"/>
          <w:kern w:val="0"/>
          <w:sz w:val="22"/>
          <w:szCs w:val="22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百脉根一次种植可多年收获种子，投入少、收益稳定，是种植户增收有效途径。</w:t>
      </w:r>
    </w:p>
    <w:p w14:paraId="17B639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color w:val="000000"/>
          <w:kern w:val="0"/>
          <w:sz w:val="22"/>
          <w:szCs w:val="22"/>
          <w:lang w:val="en-US" w:eastAsia="zh-CN" w:bidi="ar-SA"/>
        </w:rPr>
        <w:t>②</w:t>
      </w:r>
      <w:r>
        <w:rPr>
          <w:rFonts w:hint="eastAsia" w:cs="Times New Roman"/>
          <w:b w:val="0"/>
          <w:color w:val="000000"/>
          <w:kern w:val="0"/>
          <w:sz w:val="22"/>
          <w:szCs w:val="22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种子附加值高，远高于直接利用鲜草或干草，可显著提升种植经济效益。</w:t>
      </w:r>
    </w:p>
    <w:p w14:paraId="75A75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default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color w:val="000000"/>
          <w:kern w:val="0"/>
          <w:sz w:val="22"/>
          <w:szCs w:val="22"/>
          <w:lang w:val="en-US" w:eastAsia="zh-CN" w:bidi="ar-SA"/>
        </w:rPr>
        <w:t>③</w:t>
      </w:r>
      <w:r>
        <w:rPr>
          <w:rFonts w:hint="eastAsia" w:cs="Times New Roman"/>
          <w:b w:val="0"/>
          <w:color w:val="000000"/>
          <w:kern w:val="0"/>
          <w:sz w:val="22"/>
          <w:szCs w:val="22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优质百脉根饲用价值高，能为牛羊等畜禽提供高蛋白饲草，降低养殖成本，促进畜牧业提质增效。</w:t>
      </w:r>
    </w:p>
    <w:p w14:paraId="5416A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default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color w:val="000000"/>
          <w:kern w:val="0"/>
          <w:sz w:val="22"/>
          <w:szCs w:val="22"/>
          <w:lang w:val="en-US" w:eastAsia="zh-CN" w:bidi="ar-SA"/>
        </w:rPr>
        <w:t>④</w:t>
      </w:r>
      <w:r>
        <w:rPr>
          <w:rFonts w:hint="eastAsia" w:eastAsia="微软雅黑" w:cs="Times New Roman"/>
          <w:b w:val="0"/>
          <w:color w:val="000000"/>
          <w:kern w:val="0"/>
          <w:sz w:val="22"/>
          <w:szCs w:val="22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减少优质牧草种子对外依赖，节约外汇，提升我国草种业自主保障能力。</w:t>
      </w:r>
    </w:p>
    <w:p w14:paraId="5BF49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eastAsia" w:cs="Times New Roman"/>
          <w:b w:val="0"/>
          <w:color w:val="000000"/>
          <w:kern w:val="0"/>
          <w:sz w:val="22"/>
          <w:szCs w:val="22"/>
          <w:lang w:val="en-US" w:eastAsia="zh-CN" w:bidi="ar-SA"/>
        </w:rPr>
        <w:t>（2）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社会效益</w:t>
      </w:r>
    </w:p>
    <w:p w14:paraId="65CE2A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color w:val="000000"/>
          <w:kern w:val="0"/>
          <w:sz w:val="22"/>
          <w:szCs w:val="22"/>
          <w:lang w:val="en-US" w:eastAsia="zh-CN" w:bidi="ar-SA"/>
        </w:rPr>
        <w:t>①</w:t>
      </w:r>
      <w:r>
        <w:rPr>
          <w:rFonts w:hint="eastAsia" w:cs="Times New Roman"/>
          <w:b w:val="0"/>
          <w:color w:val="000000"/>
          <w:kern w:val="0"/>
          <w:sz w:val="22"/>
          <w:szCs w:val="22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保障优质饲草供应，支撑草食畜牧业健康发展，稳定肉、奶、畜产品市场供给。</w:t>
      </w:r>
    </w:p>
    <w:p w14:paraId="436864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color w:val="000000"/>
          <w:kern w:val="0"/>
          <w:sz w:val="22"/>
          <w:szCs w:val="22"/>
          <w:lang w:val="en-US" w:eastAsia="zh-CN" w:bidi="ar-SA"/>
        </w:rPr>
        <w:t>②</w:t>
      </w:r>
      <w:r>
        <w:rPr>
          <w:rFonts w:hint="eastAsia" w:cs="Times New Roman"/>
          <w:b w:val="0"/>
          <w:color w:val="000000"/>
          <w:kern w:val="0"/>
          <w:sz w:val="22"/>
          <w:szCs w:val="22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优化农业种植结构，推动粮经饲统筹发展，提高农业综合生产能力。</w:t>
      </w:r>
    </w:p>
    <w:p w14:paraId="3D363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color w:val="000000"/>
          <w:kern w:val="0"/>
          <w:sz w:val="22"/>
          <w:szCs w:val="22"/>
          <w:lang w:val="en-US" w:eastAsia="zh-CN" w:bidi="ar-SA"/>
        </w:rPr>
        <w:t>③</w:t>
      </w:r>
      <w:r>
        <w:rPr>
          <w:rFonts w:hint="eastAsia" w:cs="Times New Roman"/>
          <w:b w:val="0"/>
          <w:color w:val="000000"/>
          <w:kern w:val="0"/>
          <w:sz w:val="22"/>
          <w:szCs w:val="22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带动种子繁育、加工、储运、销售等相关产业发展，增加农村就业岗位，助力乡村振兴。</w:t>
      </w:r>
    </w:p>
    <w:p w14:paraId="1C61E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default" w:ascii="Times New Roman" w:hAnsi="Times New Roman" w:eastAsia="微软雅黑" w:cs="Times New Roman"/>
          <w:b w:val="0"/>
          <w:color w:val="000000"/>
          <w:kern w:val="0"/>
          <w:sz w:val="22"/>
          <w:szCs w:val="22"/>
          <w:lang w:val="en-US" w:eastAsia="zh-CN" w:bidi="ar-SA"/>
        </w:rPr>
        <w:t>④</w:t>
      </w:r>
      <w:r>
        <w:rPr>
          <w:rFonts w:hint="eastAsia" w:eastAsia="微软雅黑" w:cs="Times New Roman"/>
          <w:b w:val="0"/>
          <w:color w:val="000000"/>
          <w:kern w:val="0"/>
          <w:sz w:val="22"/>
          <w:szCs w:val="22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丰富牧草品种资源，为生态建设、草地恢复提供可靠种源，支撑生态工程实施。</w:t>
      </w:r>
    </w:p>
    <w:p w14:paraId="2F0C4C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/>
        <w:textAlignment w:val="auto"/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eastAsia" w:cs="Times New Roman"/>
          <w:b w:val="0"/>
          <w:color w:val="000000"/>
          <w:kern w:val="0"/>
          <w:sz w:val="22"/>
          <w:szCs w:val="22"/>
          <w:lang w:val="en-US" w:eastAsia="zh-CN" w:bidi="ar-SA"/>
        </w:rPr>
        <w:t>（3）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生态效益</w:t>
      </w:r>
    </w:p>
    <w:p w14:paraId="0D3EF2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color w:val="000000"/>
          <w:kern w:val="0"/>
          <w:sz w:val="22"/>
          <w:szCs w:val="22"/>
          <w:lang w:val="en-US" w:eastAsia="zh-CN" w:bidi="ar-SA"/>
        </w:rPr>
        <w:t>①</w:t>
      </w:r>
      <w:r>
        <w:rPr>
          <w:rFonts w:hint="eastAsia" w:cs="Times New Roman"/>
          <w:b w:val="0"/>
          <w:color w:val="000000"/>
          <w:kern w:val="0"/>
          <w:sz w:val="22"/>
          <w:szCs w:val="22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百脉根为豆科植物，根瘤固氮能力强，可培肥地力、改良土壤，减少化肥施用。</w:t>
      </w:r>
    </w:p>
    <w:p w14:paraId="74C613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color w:val="000000"/>
          <w:kern w:val="0"/>
          <w:sz w:val="22"/>
          <w:szCs w:val="22"/>
          <w:lang w:val="en-US" w:eastAsia="zh-CN" w:bidi="ar-SA"/>
        </w:rPr>
        <w:t>②</w:t>
      </w:r>
      <w:r>
        <w:rPr>
          <w:rFonts w:hint="eastAsia" w:cs="Times New Roman"/>
          <w:b w:val="0"/>
          <w:color w:val="000000"/>
          <w:kern w:val="0"/>
          <w:sz w:val="22"/>
          <w:szCs w:val="22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植株覆盖度高、根系发达，耐贫瘠、耐干旱，能有效保持水土、防风固沙。</w:t>
      </w:r>
    </w:p>
    <w:p w14:paraId="18206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default" w:ascii="Times New Roman" w:hAnsi="Times New Roman" w:cs="Times New Roman"/>
          <w:b w:val="0"/>
          <w:color w:val="000000"/>
          <w:kern w:val="0"/>
          <w:sz w:val="22"/>
          <w:szCs w:val="22"/>
          <w:lang w:val="en-US" w:eastAsia="zh-CN" w:bidi="ar-SA"/>
        </w:rPr>
        <w:t>③</w:t>
      </w:r>
      <w:r>
        <w:rPr>
          <w:rFonts w:hint="eastAsia" w:cs="Times New Roman"/>
          <w:b w:val="0"/>
          <w:color w:val="000000"/>
          <w:kern w:val="0"/>
          <w:sz w:val="22"/>
          <w:szCs w:val="22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花期长、蜜源丰富，可促进昆虫繁衍，维护生物多样性。</w:t>
      </w:r>
    </w:p>
    <w:p w14:paraId="0EAAA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宋体" w:hAnsi="宋体" w:cs="宋体"/>
          <w:sz w:val="22"/>
          <w:szCs w:val="20"/>
        </w:rPr>
      </w:pPr>
      <w:r>
        <w:rPr>
          <w:rFonts w:hint="default" w:ascii="Times New Roman" w:hAnsi="Times New Roman" w:eastAsia="微软雅黑" w:cs="Times New Roman"/>
          <w:b w:val="0"/>
          <w:color w:val="000000"/>
          <w:kern w:val="0"/>
          <w:sz w:val="22"/>
          <w:szCs w:val="22"/>
          <w:lang w:val="en-US" w:eastAsia="zh-CN" w:bidi="ar-SA"/>
        </w:rPr>
        <w:t>④</w:t>
      </w:r>
      <w:r>
        <w:rPr>
          <w:rFonts w:hint="eastAsia" w:eastAsia="微软雅黑" w:cs="Times New Roman"/>
          <w:b w:val="0"/>
          <w:color w:val="000000"/>
          <w:kern w:val="0"/>
          <w:sz w:val="22"/>
          <w:szCs w:val="22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适宜在坡地、荒地、边坡等区域种植，用于生态修复与植被恢复，改善区域生态环境。</w:t>
      </w:r>
    </w:p>
    <w:p w14:paraId="64DA9786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40"/>
        </w:rPr>
      </w:pPr>
      <w:bookmarkStart w:id="5" w:name="_Toc176547933"/>
      <w:r>
        <w:rPr>
          <w:rFonts w:hint="eastAsia"/>
          <w:sz w:val="24"/>
          <w:szCs w:val="40"/>
        </w:rPr>
        <w:t>二、主要工作过程</w:t>
      </w:r>
      <w:bookmarkEnd w:id="5"/>
    </w:p>
    <w:p w14:paraId="30F3CE8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default" w:ascii="Times New Roman" w:hAnsi="Times New Roman" w:cs="Times New Roman"/>
          <w:sz w:val="22"/>
          <w:szCs w:val="20"/>
        </w:rPr>
      </w:pPr>
      <w:r>
        <w:rPr>
          <w:rFonts w:hint="default" w:ascii="Times New Roman" w:hAnsi="Times New Roman" w:eastAsia="仿宋_GB2312" w:cs="Times New Roman"/>
          <w:sz w:val="22"/>
          <w:szCs w:val="20"/>
        </w:rPr>
        <w:t>202</w:t>
      </w:r>
      <w:r>
        <w:rPr>
          <w:rFonts w:hint="default" w:ascii="Times New Roman" w:hAnsi="Times New Roman" w:eastAsia="仿宋_GB2312" w:cs="Times New Roman"/>
          <w:sz w:val="22"/>
          <w:szCs w:val="2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22"/>
          <w:szCs w:val="20"/>
        </w:rPr>
        <w:t>.0</w:t>
      </w:r>
      <w:r>
        <w:rPr>
          <w:rFonts w:hint="default" w:ascii="Times New Roman" w:hAnsi="Times New Roman" w:eastAsia="仿宋_GB2312" w:cs="Times New Roman"/>
          <w:sz w:val="22"/>
          <w:szCs w:val="20"/>
          <w:lang w:val="en-US" w:eastAsia="zh-CN"/>
        </w:rPr>
        <w:t>3</w:t>
      </w:r>
      <w:r>
        <w:rPr>
          <w:rFonts w:hint="default" w:ascii="Times New Roman" w:hAnsi="Times New Roman" w:cs="Times New Roman"/>
          <w:sz w:val="22"/>
          <w:szCs w:val="20"/>
        </w:rPr>
        <w:t>月</w:t>
      </w:r>
      <w:r>
        <w:rPr>
          <w:rFonts w:hint="default" w:ascii="Times New Roman" w:hAnsi="Times New Roman" w:eastAsia="仿宋_GB2312" w:cs="Times New Roman"/>
          <w:sz w:val="22"/>
          <w:szCs w:val="20"/>
        </w:rPr>
        <w:t>-202</w:t>
      </w:r>
      <w:r>
        <w:rPr>
          <w:rFonts w:hint="default" w:ascii="Times New Roman" w:hAnsi="Times New Roman" w:eastAsia="仿宋_GB2312" w:cs="Times New Roman"/>
          <w:sz w:val="22"/>
          <w:szCs w:val="2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22"/>
          <w:szCs w:val="20"/>
        </w:rPr>
        <w:t>.0</w:t>
      </w:r>
      <w:r>
        <w:rPr>
          <w:rFonts w:hint="default" w:ascii="Times New Roman" w:hAnsi="Times New Roman" w:eastAsia="仿宋_GB2312" w:cs="Times New Roman"/>
          <w:sz w:val="22"/>
          <w:szCs w:val="20"/>
          <w:lang w:val="en-US" w:eastAsia="zh-CN"/>
        </w:rPr>
        <w:t>8</w:t>
      </w:r>
      <w:r>
        <w:rPr>
          <w:rFonts w:hint="default" w:ascii="Times New Roman" w:hAnsi="Times New Roman" w:cs="Times New Roman"/>
          <w:sz w:val="22"/>
          <w:szCs w:val="20"/>
        </w:rPr>
        <w:t>月</w:t>
      </w:r>
      <w:r>
        <w:rPr>
          <w:rFonts w:hint="default" w:ascii="Times New Roman" w:hAnsi="Times New Roman" w:eastAsia="仿宋_GB2312" w:cs="Times New Roman"/>
          <w:sz w:val="22"/>
          <w:szCs w:val="20"/>
        </w:rPr>
        <w:t xml:space="preserve"> </w:t>
      </w:r>
      <w:r>
        <w:rPr>
          <w:rFonts w:hint="default" w:ascii="Times New Roman" w:hAnsi="Times New Roman" w:cs="Times New Roman"/>
          <w:sz w:val="22"/>
          <w:szCs w:val="20"/>
        </w:rPr>
        <w:t>收集试验数据，整理资料。</w:t>
      </w:r>
    </w:p>
    <w:p w14:paraId="14475C5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default" w:ascii="Times New Roman" w:hAnsi="Times New Roman" w:cs="Times New Roman"/>
          <w:sz w:val="22"/>
          <w:szCs w:val="20"/>
        </w:rPr>
      </w:pPr>
      <w:r>
        <w:rPr>
          <w:rFonts w:hint="default" w:ascii="Times New Roman" w:hAnsi="Times New Roman" w:eastAsia="仿宋_GB2312" w:cs="Times New Roman"/>
          <w:sz w:val="22"/>
          <w:szCs w:val="20"/>
        </w:rPr>
        <w:t>202</w:t>
      </w:r>
      <w:r>
        <w:rPr>
          <w:rFonts w:hint="default" w:ascii="Times New Roman" w:hAnsi="Times New Roman" w:eastAsia="仿宋_GB2312" w:cs="Times New Roman"/>
          <w:sz w:val="22"/>
          <w:szCs w:val="20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sz w:val="22"/>
          <w:szCs w:val="20"/>
        </w:rPr>
        <w:t>.0</w:t>
      </w:r>
      <w:r>
        <w:rPr>
          <w:rFonts w:hint="default" w:ascii="Times New Roman" w:hAnsi="Times New Roman" w:eastAsia="仿宋_GB2312" w:cs="Times New Roman"/>
          <w:sz w:val="22"/>
          <w:szCs w:val="20"/>
          <w:lang w:val="en-US" w:eastAsia="zh-CN"/>
        </w:rPr>
        <w:t>9</w:t>
      </w:r>
      <w:r>
        <w:rPr>
          <w:rFonts w:hint="default" w:ascii="Times New Roman" w:hAnsi="Times New Roman" w:cs="Times New Roman"/>
          <w:sz w:val="22"/>
          <w:szCs w:val="20"/>
        </w:rPr>
        <w:t>月</w:t>
      </w:r>
      <w:r>
        <w:rPr>
          <w:rFonts w:hint="default" w:ascii="Times New Roman" w:hAnsi="Times New Roman" w:eastAsia="仿宋_GB2312" w:cs="Times New Roman"/>
          <w:sz w:val="22"/>
          <w:szCs w:val="20"/>
        </w:rPr>
        <w:t>-202</w:t>
      </w:r>
      <w:r>
        <w:rPr>
          <w:rFonts w:hint="default" w:ascii="Times New Roman" w:hAnsi="Times New Roman" w:eastAsia="仿宋_GB2312" w:cs="Times New Roman"/>
          <w:sz w:val="22"/>
          <w:szCs w:val="2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22"/>
          <w:szCs w:val="20"/>
        </w:rPr>
        <w:t>.</w:t>
      </w:r>
      <w:r>
        <w:rPr>
          <w:rFonts w:hint="default" w:ascii="Times New Roman" w:hAnsi="Times New Roman" w:eastAsia="仿宋_GB2312" w:cs="Times New Roman"/>
          <w:sz w:val="22"/>
          <w:szCs w:val="20"/>
          <w:lang w:val="en-US" w:eastAsia="zh-CN"/>
        </w:rPr>
        <w:t>02</w:t>
      </w:r>
      <w:r>
        <w:rPr>
          <w:rFonts w:hint="default" w:ascii="Times New Roman" w:hAnsi="Times New Roman" w:cs="Times New Roman"/>
          <w:sz w:val="22"/>
          <w:szCs w:val="20"/>
        </w:rPr>
        <w:t>月</w:t>
      </w:r>
      <w:r>
        <w:rPr>
          <w:rFonts w:hint="default" w:ascii="Times New Roman" w:hAnsi="Times New Roman" w:eastAsia="仿宋_GB2312" w:cs="Times New Roman"/>
          <w:sz w:val="22"/>
          <w:szCs w:val="20"/>
        </w:rPr>
        <w:t xml:space="preserve"> </w:t>
      </w:r>
      <w:r>
        <w:rPr>
          <w:rFonts w:hint="default" w:ascii="Times New Roman" w:hAnsi="Times New Roman" w:cs="Times New Roman"/>
          <w:sz w:val="22"/>
          <w:szCs w:val="20"/>
        </w:rPr>
        <w:t>形成工作组讨论稿。</w:t>
      </w:r>
    </w:p>
    <w:p w14:paraId="2A98CE9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default" w:ascii="Times New Roman" w:hAnsi="Times New Roman" w:cs="Times New Roman"/>
          <w:sz w:val="22"/>
          <w:szCs w:val="20"/>
        </w:rPr>
      </w:pPr>
      <w:r>
        <w:rPr>
          <w:rFonts w:hint="default" w:ascii="Times New Roman" w:hAnsi="Times New Roman" w:eastAsia="仿宋_GB2312" w:cs="Times New Roman"/>
          <w:sz w:val="22"/>
          <w:szCs w:val="20"/>
        </w:rPr>
        <w:t>202</w:t>
      </w:r>
      <w:r>
        <w:rPr>
          <w:rFonts w:hint="default" w:ascii="Times New Roman" w:hAnsi="Times New Roman" w:eastAsia="仿宋_GB2312" w:cs="Times New Roman"/>
          <w:sz w:val="22"/>
          <w:szCs w:val="2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22"/>
          <w:szCs w:val="20"/>
        </w:rPr>
        <w:t>.0</w:t>
      </w:r>
      <w:r>
        <w:rPr>
          <w:rFonts w:hint="default" w:ascii="Times New Roman" w:hAnsi="Times New Roman" w:eastAsia="仿宋_GB2312" w:cs="Times New Roman"/>
          <w:sz w:val="22"/>
          <w:szCs w:val="20"/>
          <w:lang w:val="en-US" w:eastAsia="zh-CN"/>
        </w:rPr>
        <w:t>3</w:t>
      </w:r>
      <w:r>
        <w:rPr>
          <w:rFonts w:hint="default" w:ascii="Times New Roman" w:hAnsi="Times New Roman" w:cs="Times New Roman"/>
          <w:sz w:val="22"/>
          <w:szCs w:val="20"/>
        </w:rPr>
        <w:t>月</w:t>
      </w:r>
      <w:r>
        <w:rPr>
          <w:rFonts w:hint="default" w:ascii="Times New Roman" w:hAnsi="Times New Roman" w:eastAsia="仿宋_GB2312" w:cs="Times New Roman"/>
          <w:sz w:val="22"/>
          <w:szCs w:val="20"/>
        </w:rPr>
        <w:t>-202</w:t>
      </w:r>
      <w:r>
        <w:rPr>
          <w:rFonts w:hint="default" w:ascii="Times New Roman" w:hAnsi="Times New Roman" w:eastAsia="仿宋_GB2312" w:cs="Times New Roman"/>
          <w:sz w:val="22"/>
          <w:szCs w:val="20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22"/>
          <w:szCs w:val="20"/>
        </w:rPr>
        <w:t>.0</w:t>
      </w:r>
      <w:r>
        <w:rPr>
          <w:rFonts w:hint="default" w:ascii="Times New Roman" w:hAnsi="Times New Roman" w:eastAsia="仿宋_GB2312" w:cs="Times New Roman"/>
          <w:sz w:val="22"/>
          <w:szCs w:val="20"/>
          <w:lang w:val="en-US" w:eastAsia="zh-CN"/>
        </w:rPr>
        <w:t>5</w:t>
      </w:r>
      <w:r>
        <w:rPr>
          <w:rFonts w:hint="default" w:ascii="Times New Roman" w:hAnsi="Times New Roman" w:cs="Times New Roman"/>
          <w:sz w:val="22"/>
          <w:szCs w:val="20"/>
        </w:rPr>
        <w:t>月</w:t>
      </w:r>
      <w:r>
        <w:rPr>
          <w:rFonts w:hint="default" w:ascii="Times New Roman" w:hAnsi="Times New Roman" w:eastAsia="仿宋_GB2312" w:cs="Times New Roman"/>
          <w:sz w:val="22"/>
          <w:szCs w:val="20"/>
        </w:rPr>
        <w:t xml:space="preserve"> </w:t>
      </w:r>
      <w:r>
        <w:rPr>
          <w:rFonts w:hint="default" w:ascii="Times New Roman" w:hAnsi="Times New Roman" w:cs="Times New Roman"/>
          <w:sz w:val="22"/>
          <w:szCs w:val="20"/>
        </w:rPr>
        <w:t>编写征求意见稿标准文本，编写《编制说明》。</w:t>
      </w:r>
    </w:p>
    <w:p w14:paraId="10ADADF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default" w:ascii="Times New Roman" w:hAnsi="Times New Roman" w:cs="Times New Roman"/>
          <w:bCs/>
          <w:sz w:val="22"/>
          <w:szCs w:val="20"/>
        </w:rPr>
      </w:pPr>
      <w:r>
        <w:rPr>
          <w:rFonts w:hint="default" w:ascii="Times New Roman" w:hAnsi="Times New Roman" w:cs="Times New Roman"/>
          <w:bCs/>
          <w:sz w:val="22"/>
          <w:szCs w:val="20"/>
        </w:rPr>
        <w:t>由北京华夏草业产业技术创新战略联盟组织国内相关专家对《</w:t>
      </w:r>
      <w:r>
        <w:rPr>
          <w:rFonts w:hint="default" w:ascii="Times New Roman" w:hAnsi="Times New Roman" w:cs="Times New Roman"/>
          <w:bCs/>
          <w:sz w:val="22"/>
          <w:szCs w:val="20"/>
          <w:lang w:val="en-US" w:eastAsia="zh-CN"/>
        </w:rPr>
        <w:t>百脉根种子生产</w:t>
      </w:r>
      <w:r>
        <w:rPr>
          <w:rFonts w:hint="default" w:ascii="Times New Roman" w:hAnsi="Times New Roman" w:cs="Times New Roman"/>
          <w:bCs/>
          <w:sz w:val="22"/>
          <w:szCs w:val="20"/>
        </w:rPr>
        <w:t>技术规程》征求意见稿及编制说明进行评审。</w:t>
      </w:r>
    </w:p>
    <w:p w14:paraId="71F810C8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sz w:val="24"/>
          <w:szCs w:val="40"/>
        </w:rPr>
      </w:pPr>
      <w:bookmarkStart w:id="6" w:name="_Toc176547934"/>
      <w:r>
        <w:rPr>
          <w:rFonts w:hint="eastAsia"/>
          <w:sz w:val="24"/>
          <w:szCs w:val="40"/>
        </w:rPr>
        <w:t>三、标准编制原则和</w:t>
      </w:r>
      <w:bookmarkEnd w:id="6"/>
      <w:r>
        <w:rPr>
          <w:rFonts w:hint="eastAsia"/>
          <w:sz w:val="24"/>
          <w:szCs w:val="40"/>
          <w:lang w:val="en-US" w:eastAsia="zh-CN"/>
        </w:rPr>
        <w:t>确定标准</w:t>
      </w:r>
      <w:r>
        <w:rPr>
          <w:rFonts w:hint="eastAsia"/>
          <w:sz w:val="24"/>
          <w:szCs w:val="40"/>
        </w:rPr>
        <w:t>主要内容</w:t>
      </w:r>
    </w:p>
    <w:p w14:paraId="54A8B500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/>
          <w:sz w:val="22"/>
          <w:szCs w:val="28"/>
        </w:rPr>
      </w:pPr>
      <w:bookmarkStart w:id="7" w:name="_Toc176547935"/>
      <w:r>
        <w:rPr>
          <w:rFonts w:hint="eastAsia"/>
          <w:sz w:val="22"/>
          <w:szCs w:val="28"/>
        </w:rPr>
        <w:t>1、标准编制原则</w:t>
      </w:r>
      <w:bookmarkEnd w:id="7"/>
    </w:p>
    <w:p w14:paraId="21F9607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bCs/>
          <w:sz w:val="22"/>
          <w:szCs w:val="20"/>
        </w:rPr>
      </w:pPr>
      <w:r>
        <w:rPr>
          <w:bCs/>
          <w:sz w:val="22"/>
          <w:szCs w:val="20"/>
        </w:rPr>
        <w:t>本标准按照GB/T 1.1-20</w:t>
      </w:r>
      <w:r>
        <w:rPr>
          <w:rFonts w:hint="eastAsia"/>
          <w:bCs/>
          <w:sz w:val="22"/>
          <w:szCs w:val="20"/>
        </w:rPr>
        <w:t>20</w:t>
      </w:r>
      <w:r>
        <w:rPr>
          <w:bCs/>
          <w:sz w:val="22"/>
          <w:szCs w:val="20"/>
        </w:rPr>
        <w:t>《标准化工作导则</w:t>
      </w:r>
      <w:r>
        <w:rPr>
          <w:rFonts w:hint="eastAsia"/>
          <w:bCs/>
          <w:sz w:val="22"/>
          <w:szCs w:val="20"/>
        </w:rPr>
        <w:t xml:space="preserve"> </w:t>
      </w:r>
      <w:r>
        <w:rPr>
          <w:bCs/>
          <w:sz w:val="22"/>
          <w:szCs w:val="20"/>
        </w:rPr>
        <w:t>第1部分：标准的结构和编写》的要求和规定</w:t>
      </w:r>
      <w:r>
        <w:rPr>
          <w:rFonts w:hint="eastAsia"/>
          <w:bCs/>
          <w:sz w:val="22"/>
          <w:szCs w:val="20"/>
          <w:lang w:val="en-US" w:eastAsia="zh-CN"/>
        </w:rPr>
        <w:t>进行</w:t>
      </w:r>
      <w:r>
        <w:rPr>
          <w:bCs/>
          <w:sz w:val="22"/>
          <w:szCs w:val="20"/>
        </w:rPr>
        <w:t>编写。</w:t>
      </w:r>
    </w:p>
    <w:p w14:paraId="6C47C31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default" w:eastAsia="宋体"/>
          <w:sz w:val="22"/>
          <w:szCs w:val="20"/>
          <w:lang w:val="en-US" w:eastAsia="zh-CN"/>
        </w:rPr>
      </w:pPr>
      <w:r>
        <w:rPr>
          <w:rFonts w:hint="eastAsia"/>
          <w:bCs/>
          <w:sz w:val="22"/>
          <w:szCs w:val="20"/>
          <w:lang w:eastAsia="zh-CN"/>
        </w:rPr>
        <w:t>（</w:t>
      </w:r>
      <w:r>
        <w:rPr>
          <w:rFonts w:hint="eastAsia"/>
          <w:bCs/>
          <w:sz w:val="22"/>
          <w:szCs w:val="20"/>
          <w:lang w:val="en-US" w:eastAsia="zh-CN"/>
        </w:rPr>
        <w:t>1</w:t>
      </w:r>
      <w:r>
        <w:rPr>
          <w:rFonts w:hint="eastAsia"/>
          <w:bCs/>
          <w:sz w:val="22"/>
          <w:szCs w:val="20"/>
          <w:lang w:eastAsia="zh-CN"/>
        </w:rPr>
        <w:t>）</w:t>
      </w:r>
      <w:r>
        <w:rPr>
          <w:rFonts w:hint="eastAsia"/>
          <w:sz w:val="22"/>
          <w:szCs w:val="20"/>
          <w:lang w:val="en-US" w:eastAsia="zh-CN"/>
        </w:rPr>
        <w:t>通用性原则</w:t>
      </w:r>
    </w:p>
    <w:p w14:paraId="08989EF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/>
          <w:sz w:val="22"/>
          <w:szCs w:val="20"/>
          <w:lang w:val="en-US" w:eastAsia="zh-CN"/>
        </w:rPr>
      </w:pPr>
      <w:r>
        <w:rPr>
          <w:rFonts w:hint="eastAsia"/>
          <w:sz w:val="22"/>
          <w:szCs w:val="20"/>
          <w:lang w:val="en-US" w:eastAsia="zh-CN"/>
        </w:rPr>
        <w:t>本标准综合并引用了国内同产业（行业）相关标准，具有一定的相同生态条件下的区域通用性。</w:t>
      </w:r>
    </w:p>
    <w:p w14:paraId="466FAB2B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/>
          <w:sz w:val="22"/>
          <w:szCs w:val="20"/>
          <w:lang w:val="en-US" w:eastAsia="zh-CN"/>
        </w:rPr>
      </w:pPr>
      <w:r>
        <w:rPr>
          <w:rFonts w:hint="eastAsia"/>
          <w:sz w:val="22"/>
          <w:szCs w:val="20"/>
        </w:rPr>
        <w:t>先进性</w:t>
      </w:r>
      <w:r>
        <w:rPr>
          <w:rFonts w:hint="eastAsia"/>
          <w:sz w:val="22"/>
          <w:szCs w:val="20"/>
          <w:lang w:val="en-US" w:eastAsia="zh-CN"/>
        </w:rPr>
        <w:t>原则：</w:t>
      </w:r>
    </w:p>
    <w:p w14:paraId="3FFBB7EA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22"/>
          <w:szCs w:val="20"/>
          <w:lang w:val="en-US" w:eastAsia="zh-CN"/>
        </w:rPr>
      </w:pPr>
      <w:r>
        <w:rPr>
          <w:rFonts w:hint="eastAsia"/>
          <w:sz w:val="22"/>
          <w:szCs w:val="20"/>
          <w:lang w:val="en-US" w:eastAsia="zh-CN"/>
        </w:rPr>
        <w:t xml:space="preserve">    本标准的制定，既立足现实生产需要，又融入当前先进的操作手段，理论联系实际，尽可能做到理论和技术的先进性。</w:t>
      </w:r>
    </w:p>
    <w:p w14:paraId="0DBDB152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sz w:val="22"/>
          <w:szCs w:val="20"/>
        </w:rPr>
      </w:pPr>
      <w:r>
        <w:rPr>
          <w:rFonts w:hint="eastAsia"/>
          <w:sz w:val="22"/>
          <w:szCs w:val="20"/>
        </w:rPr>
        <w:t>实用性</w:t>
      </w:r>
      <w:r>
        <w:rPr>
          <w:rFonts w:hint="eastAsia"/>
          <w:sz w:val="22"/>
          <w:szCs w:val="20"/>
          <w:lang w:val="en-US" w:eastAsia="zh-CN"/>
        </w:rPr>
        <w:t>原则：</w:t>
      </w:r>
    </w:p>
    <w:p w14:paraId="2BAF9446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60" w:firstLineChars="300"/>
        <w:textAlignment w:val="auto"/>
        <w:rPr>
          <w:rFonts w:hint="default"/>
          <w:sz w:val="22"/>
          <w:szCs w:val="20"/>
          <w:lang w:val="en-US" w:eastAsia="zh-CN"/>
        </w:rPr>
      </w:pPr>
      <w:r>
        <w:rPr>
          <w:rFonts w:hint="eastAsia"/>
          <w:sz w:val="22"/>
          <w:szCs w:val="20"/>
          <w:lang w:val="en-US" w:eastAsia="zh-CN"/>
        </w:rPr>
        <w:t>本标准的有关技术是在多年调研、实验和推广应用的基础上总结，充分听取各方经验和意见，又不断在生产实践中完善的科研成果，严谨科学，具有较强的可操作性。</w:t>
      </w:r>
    </w:p>
    <w:p w14:paraId="26D59B77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default"/>
          <w:bCs/>
          <w:color w:val="000000"/>
          <w:sz w:val="22"/>
          <w:szCs w:val="20"/>
          <w:lang w:val="en-US" w:eastAsia="zh-CN"/>
        </w:rPr>
      </w:pPr>
      <w:r>
        <w:rPr>
          <w:rFonts w:hint="eastAsia"/>
          <w:bCs/>
          <w:color w:val="000000"/>
          <w:sz w:val="22"/>
          <w:szCs w:val="20"/>
          <w:lang w:eastAsia="zh-CN"/>
        </w:rPr>
        <w:t>（</w:t>
      </w:r>
      <w:r>
        <w:rPr>
          <w:rFonts w:hint="eastAsia"/>
          <w:bCs/>
          <w:color w:val="000000"/>
          <w:sz w:val="22"/>
          <w:szCs w:val="20"/>
          <w:lang w:val="en-US" w:eastAsia="zh-CN"/>
        </w:rPr>
        <w:t>4</w:t>
      </w:r>
      <w:r>
        <w:rPr>
          <w:rFonts w:hint="eastAsia"/>
          <w:bCs/>
          <w:color w:val="000000"/>
          <w:sz w:val="22"/>
          <w:szCs w:val="20"/>
          <w:lang w:eastAsia="zh-CN"/>
        </w:rPr>
        <w:t>）</w:t>
      </w:r>
      <w:r>
        <w:rPr>
          <w:rFonts w:hint="eastAsia"/>
          <w:bCs/>
          <w:color w:val="000000"/>
          <w:sz w:val="22"/>
          <w:szCs w:val="20"/>
          <w:lang w:val="en-US" w:eastAsia="zh-CN"/>
        </w:rPr>
        <w:t>实用性原则</w:t>
      </w:r>
    </w:p>
    <w:p w14:paraId="6734B403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sz w:val="22"/>
          <w:szCs w:val="20"/>
        </w:rPr>
      </w:pPr>
      <w:r>
        <w:rPr>
          <w:rFonts w:hint="eastAsia"/>
          <w:bCs/>
          <w:color w:val="000000"/>
          <w:sz w:val="22"/>
          <w:szCs w:val="20"/>
          <w:lang w:val="en-US" w:eastAsia="zh-CN"/>
        </w:rPr>
        <w:t>本标准是在多项技术创新的基础上形成的，其进一步规范百脉根种子生产技术，该技术规程更加实用、简便、易行。</w:t>
      </w:r>
    </w:p>
    <w:p w14:paraId="2A46D5F2"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宋体" w:hAnsi="宋体" w:eastAsia="宋体"/>
          <w:sz w:val="16"/>
          <w:szCs w:val="16"/>
        </w:rPr>
      </w:pPr>
      <w:bookmarkStart w:id="8" w:name="_Toc176547936"/>
      <w:r>
        <w:rPr>
          <w:rFonts w:hint="eastAsia"/>
          <w:sz w:val="22"/>
          <w:szCs w:val="28"/>
        </w:rPr>
        <w:t>2、确定</w:t>
      </w:r>
      <w:r>
        <w:rPr>
          <w:rFonts w:hint="eastAsia"/>
          <w:sz w:val="22"/>
          <w:szCs w:val="28"/>
          <w:lang w:val="en-US" w:eastAsia="zh-CN"/>
        </w:rPr>
        <w:t>标准</w:t>
      </w:r>
      <w:r>
        <w:rPr>
          <w:rFonts w:hint="eastAsia"/>
          <w:sz w:val="22"/>
          <w:szCs w:val="28"/>
        </w:rPr>
        <w:t>主要内容</w:t>
      </w:r>
      <w:bookmarkEnd w:id="8"/>
    </w:p>
    <w:p w14:paraId="7A8A7E00"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/>
          <w:color w:val="000000"/>
          <w:sz w:val="22"/>
          <w:szCs w:val="20"/>
        </w:rPr>
      </w:pPr>
      <w:r>
        <w:rPr>
          <w:rFonts w:hint="eastAsia"/>
          <w:b w:val="0"/>
          <w:bCs/>
          <w:color w:val="000000"/>
          <w:sz w:val="22"/>
          <w:szCs w:val="20"/>
          <w:lang w:val="en-US" w:eastAsia="zh-CN"/>
        </w:rPr>
        <w:t>标准主要内容</w:t>
      </w:r>
    </w:p>
    <w:p w14:paraId="36F14181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79" w:firstLineChars="218"/>
        <w:textAlignment w:val="auto"/>
        <w:rPr>
          <w:rFonts w:hint="eastAsia"/>
          <w:b w:val="0"/>
          <w:bCs/>
          <w:color w:val="000000"/>
          <w:sz w:val="22"/>
          <w:szCs w:val="20"/>
          <w:lang w:val="en-US" w:eastAsia="zh-CN"/>
        </w:rPr>
      </w:pPr>
      <w:r>
        <w:rPr>
          <w:rFonts w:hint="eastAsia"/>
          <w:b w:val="0"/>
          <w:bCs/>
          <w:color w:val="000000"/>
          <w:sz w:val="22"/>
          <w:szCs w:val="20"/>
          <w:lang w:val="en-US" w:eastAsia="zh-CN"/>
        </w:rPr>
        <w:t>为保证本标准的先进性、适用性、科学性，起草组依据前期对</w:t>
      </w:r>
      <w:r>
        <w:rPr>
          <w:rFonts w:hint="eastAsia"/>
          <w:bCs/>
          <w:color w:val="000000"/>
          <w:sz w:val="22"/>
          <w:szCs w:val="20"/>
          <w:lang w:val="en-US" w:eastAsia="zh-CN"/>
        </w:rPr>
        <w:t>百脉根种子生产</w:t>
      </w:r>
      <w:r>
        <w:rPr>
          <w:rFonts w:hint="eastAsia"/>
          <w:b w:val="0"/>
          <w:bCs/>
          <w:color w:val="000000"/>
          <w:sz w:val="22"/>
          <w:szCs w:val="20"/>
          <w:lang w:val="en-US" w:eastAsia="zh-CN"/>
        </w:rPr>
        <w:t>开展的大量实验研究以及查阅大量的相关文献，对编制标准所需材料和数据进行收集、整理及分析，使</w:t>
      </w:r>
      <w:r>
        <w:rPr>
          <w:rFonts w:hint="eastAsia"/>
          <w:bCs/>
          <w:color w:val="000000"/>
          <w:sz w:val="22"/>
          <w:szCs w:val="20"/>
          <w:lang w:val="en-US" w:eastAsia="zh-CN"/>
        </w:rPr>
        <w:t>百脉根种子生产技术</w:t>
      </w:r>
      <w:r>
        <w:rPr>
          <w:rFonts w:hint="eastAsia"/>
          <w:b w:val="0"/>
          <w:bCs/>
          <w:color w:val="000000"/>
          <w:sz w:val="22"/>
          <w:szCs w:val="20"/>
          <w:lang w:val="en-US" w:eastAsia="zh-CN"/>
        </w:rPr>
        <w:t>体系更趋于合理和科学。</w:t>
      </w:r>
    </w:p>
    <w:p w14:paraId="1A497D82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40" w:firstLineChars="200"/>
        <w:textAlignment w:val="auto"/>
        <w:rPr>
          <w:rFonts w:hint="eastAsia"/>
          <w:b w:val="0"/>
          <w:bCs/>
          <w:color w:val="000000"/>
          <w:sz w:val="22"/>
          <w:szCs w:val="20"/>
          <w:lang w:val="en-US" w:eastAsia="zh-CN"/>
        </w:rPr>
      </w:pPr>
      <w:r>
        <w:rPr>
          <w:rFonts w:hint="eastAsia"/>
          <w:b w:val="0"/>
          <w:bCs/>
          <w:color w:val="000000"/>
          <w:sz w:val="22"/>
          <w:szCs w:val="20"/>
          <w:lang w:val="en-US" w:eastAsia="zh-CN"/>
        </w:rPr>
        <w:t>标准主要内容包括：前言、范围、地块选择与布局、播前准备、播种、田间管理、种子收获和种子加工与储藏等内容，主要技术指标、参数均来源于多年试验研究与相关文献。</w:t>
      </w:r>
    </w:p>
    <w:p w14:paraId="52005B57">
      <w:pPr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 w:val="0"/>
          <w:bCs/>
          <w:color w:val="000000"/>
          <w:sz w:val="22"/>
          <w:szCs w:val="20"/>
        </w:rPr>
      </w:pPr>
      <w:r>
        <w:rPr>
          <w:rFonts w:hint="eastAsia"/>
          <w:b w:val="0"/>
          <w:bCs/>
          <w:color w:val="000000"/>
          <w:sz w:val="22"/>
          <w:szCs w:val="20"/>
          <w:lang w:val="en-US" w:eastAsia="zh-CN"/>
        </w:rPr>
        <w:t>主要技术指标、参数、主要试验验证的分析</w:t>
      </w:r>
    </w:p>
    <w:p w14:paraId="189275F5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79" w:firstLineChars="218"/>
        <w:textAlignment w:val="auto"/>
        <w:rPr>
          <w:rFonts w:hint="eastAsia"/>
          <w:b w:val="0"/>
          <w:bCs/>
          <w:color w:val="000000"/>
          <w:sz w:val="22"/>
          <w:szCs w:val="20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000000"/>
          <w:sz w:val="22"/>
          <w:szCs w:val="20"/>
          <w:lang w:val="en-US" w:eastAsia="zh-CN"/>
        </w:rPr>
        <w:t>①</w:t>
      </w:r>
      <w:r>
        <w:rPr>
          <w:rFonts w:hint="eastAsia" w:ascii="宋体" w:hAnsi="宋体" w:cs="宋体"/>
          <w:b w:val="0"/>
          <w:bCs/>
          <w:color w:val="000000"/>
          <w:sz w:val="22"/>
          <w:szCs w:val="20"/>
          <w:lang w:val="en-US" w:eastAsia="zh-CN"/>
        </w:rPr>
        <w:t xml:space="preserve"> </w:t>
      </w:r>
      <w:r>
        <w:rPr>
          <w:rFonts w:hint="eastAsia"/>
          <w:b w:val="0"/>
          <w:bCs/>
          <w:color w:val="000000"/>
          <w:sz w:val="22"/>
          <w:szCs w:val="20"/>
          <w:lang w:val="en-US" w:eastAsia="zh-CN"/>
        </w:rPr>
        <w:t xml:space="preserve">播种量对百脉根种子生产的影响 </w:t>
      </w:r>
    </w:p>
    <w:p w14:paraId="463D65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本试验设置播种量为：4.5kg/hm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vertAlign w:val="superscript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、5.5kg/hm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vertAlign w:val="superscript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、6.5kg/hm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vertAlign w:val="superscript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 xml:space="preserve"> 以及7.5kg/hm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vertAlign w:val="superscript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（均为同期大田收获的种子未作硬实处理）播种。</w:t>
      </w:r>
    </w:p>
    <w:p w14:paraId="5069F4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default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从表1可看出，不同播种量在相同行距时百脉根种子产量差异明显，无论行距是30cm、45cm、60cm或者75cm时，种子产量都是播种量为5.5kg/hm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vertAlign w:val="superscript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和6.5kg/hm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vertAlign w:val="superscript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 xml:space="preserve"> 最高，而且二者差异不大，播种量为4.5kg/hm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vertAlign w:val="superscript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和7.5kg/hm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vertAlign w:val="superscript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的种子产量都较低。</w:t>
      </w:r>
    </w:p>
    <w:p w14:paraId="0A4EDF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②</w:t>
      </w:r>
      <w:r>
        <w:rPr>
          <w:rFonts w:hint="eastAsia" w:cs="Times New Roman"/>
          <w:b w:val="0"/>
          <w:color w:val="000000"/>
          <w:kern w:val="0"/>
          <w:sz w:val="22"/>
          <w:szCs w:val="22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行距对百脉根种子生产的影响</w:t>
      </w:r>
    </w:p>
    <w:p w14:paraId="60B697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本试验设置行距为：30cm、45cm、60cm、75cm。</w:t>
      </w:r>
    </w:p>
    <w:p w14:paraId="3EFAB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default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bookmarkStart w:id="9" w:name="OLE_LINK8"/>
      <w:bookmarkStart w:id="10" w:name="OLE_LINK9"/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从表1可看出，不同行距在相同播种量时百脉根种子产量差异明显，无论播种量是4.5kg/hm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vertAlign w:val="superscript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、5.5kg/hm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vertAlign w:val="superscript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、6.5kg/hm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vertAlign w:val="superscript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 xml:space="preserve"> 或者7.5kg/hm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vertAlign w:val="superscript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时，种子产量行距为60cm 最高，但和行距45cm的种子产量差异不大，行距为30cm的种子产量最低，行距为75cm的种子产量和45cm基本一致，但考虑到土地利用率，行距以45cm-60cm适合。</w:t>
      </w:r>
    </w:p>
    <w:p w14:paraId="69DDE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因百脉根是喜光牧草，有分枝多的特性，密度大影响了光照条件，使生殖枝减少以致种子产量低。通过上述研究进行百脉根种子生产种子田密度以播种量5.5kg/hm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vertAlign w:val="superscript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-6.5kg/hm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vertAlign w:val="superscript"/>
          <w:lang w:val="en-US" w:eastAsia="zh-CN" w:bidi="ar-SA"/>
        </w:rPr>
        <w:t>2</w:t>
      </w:r>
      <w:r>
        <w:rPr>
          <w:rFonts w:hint="eastAsia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、行距45cm-60cm为宜。</w:t>
      </w:r>
    </w:p>
    <w:bookmarkEnd w:id="9"/>
    <w:bookmarkEnd w:id="10"/>
    <w:p w14:paraId="7675C59B">
      <w:pPr>
        <w:numPr>
          <w:ilvl w:val="0"/>
          <w:numId w:val="0"/>
        </w:numPr>
        <w:spacing w:line="360" w:lineRule="auto"/>
        <w:jc w:val="center"/>
        <w:rPr>
          <w:rFonts w:hint="default"/>
          <w:b w:val="0"/>
          <w:bCs/>
          <w:color w:val="000000"/>
          <w:sz w:val="22"/>
          <w:szCs w:val="22"/>
          <w:lang w:val="en-US" w:eastAsia="zh-CN"/>
        </w:rPr>
      </w:pPr>
      <w:bookmarkStart w:id="11" w:name="OLE_LINK13"/>
      <w:bookmarkStart w:id="12" w:name="OLE_LINK14"/>
      <w:bookmarkStart w:id="13" w:name="OLE_LINK12"/>
      <w:r>
        <w:rPr>
          <w:rFonts w:hint="eastAsia"/>
          <w:b w:val="0"/>
          <w:bCs/>
          <w:color w:val="000000"/>
          <w:sz w:val="22"/>
          <w:szCs w:val="22"/>
          <w:lang w:val="en-US" w:eastAsia="zh-CN"/>
        </w:rPr>
        <w:t>表1 播种量和行距对百脉根种子产量的影响</w:t>
      </w:r>
    </w:p>
    <w:bookmarkEnd w:id="11"/>
    <w:bookmarkEnd w:id="12"/>
    <w:bookmarkEnd w:id="13"/>
    <w:tbl>
      <w:tblPr>
        <w:tblStyle w:val="1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  <w:gridCol w:w="1710"/>
        <w:gridCol w:w="1635"/>
      </w:tblGrid>
      <w:tr w14:paraId="62F24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77" w:hRule="atLeast"/>
          <w:jc w:val="center"/>
        </w:trPr>
        <w:tc>
          <w:tcPr>
            <w:tcW w:w="3675" w:type="dxa"/>
            <w:gridSpan w:val="2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 w14:paraId="4E2A0685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处理</w:t>
            </w:r>
          </w:p>
        </w:tc>
        <w:tc>
          <w:tcPr>
            <w:tcW w:w="1635" w:type="dxa"/>
            <w:vMerge w:val="restart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 w14:paraId="2FEA8B25">
            <w:pPr>
              <w:jc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种子产量</w:t>
            </w:r>
          </w:p>
          <w:p w14:paraId="1AC54632">
            <w:pPr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（</w:t>
            </w:r>
            <w:r>
              <w:rPr>
                <w:rFonts w:hint="eastAsia"/>
                <w:b w:val="0"/>
                <w:bCs/>
                <w:color w:val="000000"/>
                <w:sz w:val="22"/>
                <w:szCs w:val="22"/>
                <w:lang w:val="en-US" w:eastAsia="zh-CN"/>
              </w:rPr>
              <w:t>kg/hm</w:t>
            </w:r>
            <w:r>
              <w:rPr>
                <w:rFonts w:hint="eastAsia"/>
                <w:b w:val="0"/>
                <w:bCs/>
                <w:color w:val="000000"/>
                <w:sz w:val="22"/>
                <w:szCs w:val="22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）</w:t>
            </w:r>
          </w:p>
        </w:tc>
      </w:tr>
      <w:tr w14:paraId="3A758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965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 w14:paraId="3A01432A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播种量（</w:t>
            </w:r>
            <w:r>
              <w:rPr>
                <w:rFonts w:hint="eastAsia"/>
                <w:b w:val="0"/>
                <w:bCs/>
                <w:color w:val="000000"/>
                <w:sz w:val="22"/>
                <w:szCs w:val="22"/>
                <w:lang w:val="en-US" w:eastAsia="zh-CN"/>
              </w:rPr>
              <w:t>kg/hm</w:t>
            </w:r>
            <w:r>
              <w:rPr>
                <w:rFonts w:hint="eastAsia"/>
                <w:b w:val="0"/>
                <w:bCs/>
                <w:color w:val="000000"/>
                <w:sz w:val="22"/>
                <w:szCs w:val="22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）</w:t>
            </w:r>
          </w:p>
        </w:tc>
        <w:tc>
          <w:tcPr>
            <w:tcW w:w="1710" w:type="dxa"/>
            <w:tcBorders>
              <w:top w:val="single" w:color="000000" w:sz="4" w:space="0"/>
              <w:bottom w:val="single" w:color="000000" w:sz="4" w:space="0"/>
              <w:tl2br w:val="nil"/>
              <w:tr2bl w:val="nil"/>
            </w:tcBorders>
            <w:vAlign w:val="center"/>
          </w:tcPr>
          <w:p w14:paraId="6F8B0CD2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行距（cm）</w:t>
            </w:r>
          </w:p>
        </w:tc>
        <w:tc>
          <w:tcPr>
            <w:tcW w:w="1635" w:type="dxa"/>
            <w:vMerge w:val="continue"/>
            <w:tcBorders>
              <w:bottom w:val="single" w:color="000000" w:sz="4" w:space="0"/>
              <w:tl2br w:val="nil"/>
              <w:tr2bl w:val="nil"/>
            </w:tcBorders>
          </w:tcPr>
          <w:p w14:paraId="064B924F">
            <w:pPr>
              <w:rPr>
                <w:rFonts w:hint="eastAsia" w:eastAsiaTheme="minorEastAsia"/>
                <w:sz w:val="22"/>
                <w:szCs w:val="22"/>
                <w:vertAlign w:val="baseline"/>
                <w:lang w:eastAsia="zh-CN"/>
              </w:rPr>
            </w:pPr>
          </w:p>
        </w:tc>
      </w:tr>
      <w:tr w14:paraId="0D8A20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op w:val="single" w:color="000000" w:sz="4" w:space="0"/>
              <w:tl2br w:val="nil"/>
              <w:tr2bl w:val="nil"/>
            </w:tcBorders>
            <w:vAlign w:val="center"/>
          </w:tcPr>
          <w:p w14:paraId="55DC3C26">
            <w:pPr>
              <w:jc w:val="center"/>
              <w:rPr>
                <w:rFonts w:hint="eastAsia" w:eastAsiaTheme="minorEastAsia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/>
                <w:color w:val="000000"/>
                <w:sz w:val="22"/>
                <w:szCs w:val="22"/>
                <w:lang w:val="en-US" w:eastAsia="zh-CN"/>
              </w:rPr>
              <w:t>4.5</w:t>
            </w:r>
          </w:p>
        </w:tc>
        <w:tc>
          <w:tcPr>
            <w:tcW w:w="1710" w:type="dxa"/>
            <w:tcBorders>
              <w:top w:val="single" w:color="000000" w:sz="4" w:space="0"/>
              <w:tl2br w:val="nil"/>
              <w:tr2bl w:val="nil"/>
            </w:tcBorders>
          </w:tcPr>
          <w:p w14:paraId="70DCAA7C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30</w:t>
            </w:r>
          </w:p>
        </w:tc>
        <w:tc>
          <w:tcPr>
            <w:tcW w:w="1635" w:type="dxa"/>
            <w:tcBorders>
              <w:top w:val="single" w:color="000000" w:sz="4" w:space="0"/>
              <w:tl2br w:val="nil"/>
              <w:tr2bl w:val="nil"/>
            </w:tcBorders>
            <w:vAlign w:val="top"/>
          </w:tcPr>
          <w:p w14:paraId="480CDA56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476.5</w:t>
            </w:r>
          </w:p>
        </w:tc>
      </w:tr>
      <w:tr w14:paraId="28C55E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tl2br w:val="nil"/>
              <w:tr2bl w:val="nil"/>
            </w:tcBorders>
            <w:vAlign w:val="center"/>
          </w:tcPr>
          <w:p w14:paraId="6CEE3A8D">
            <w:pPr>
              <w:jc w:val="center"/>
              <w:rPr>
                <w:rFonts w:hint="eastAsia" w:eastAsiaTheme="minorEastAsia"/>
                <w:sz w:val="22"/>
                <w:szCs w:val="22"/>
                <w:vertAlign w:val="baseline"/>
                <w:lang w:eastAsia="zh-CN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</w:tcPr>
          <w:p w14:paraId="640F680E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45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top"/>
          </w:tcPr>
          <w:p w14:paraId="3E97F10C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494.3</w:t>
            </w:r>
          </w:p>
        </w:tc>
      </w:tr>
      <w:tr w14:paraId="624F99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tl2br w:val="nil"/>
              <w:tr2bl w:val="nil"/>
            </w:tcBorders>
            <w:vAlign w:val="center"/>
          </w:tcPr>
          <w:p w14:paraId="31187B5F">
            <w:pPr>
              <w:jc w:val="center"/>
              <w:rPr>
                <w:rFonts w:hint="eastAsia" w:eastAsiaTheme="minorEastAsia"/>
                <w:sz w:val="22"/>
                <w:szCs w:val="22"/>
                <w:vertAlign w:val="baseline"/>
                <w:lang w:eastAsia="zh-CN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</w:tcPr>
          <w:p w14:paraId="1CB05CC4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60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top"/>
          </w:tcPr>
          <w:p w14:paraId="41D9994E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500.5</w:t>
            </w:r>
          </w:p>
        </w:tc>
      </w:tr>
      <w:tr w14:paraId="75D63D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tl2br w:val="nil"/>
              <w:tr2bl w:val="nil"/>
            </w:tcBorders>
            <w:vAlign w:val="center"/>
          </w:tcPr>
          <w:p w14:paraId="77E77A1E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</w:tcPr>
          <w:p w14:paraId="263AC384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75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top"/>
          </w:tcPr>
          <w:p w14:paraId="1003F0DA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496.0</w:t>
            </w:r>
          </w:p>
        </w:tc>
      </w:tr>
      <w:tr w14:paraId="352F72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965" w:type="dxa"/>
            <w:vMerge w:val="restart"/>
            <w:tcBorders>
              <w:tl2br w:val="nil"/>
              <w:tr2bl w:val="nil"/>
            </w:tcBorders>
            <w:vAlign w:val="center"/>
          </w:tcPr>
          <w:p w14:paraId="7A9C5729">
            <w:pPr>
              <w:jc w:val="center"/>
              <w:rPr>
                <w:rFonts w:hint="eastAsia" w:eastAsiaTheme="minorEastAsia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/>
                <w:color w:val="000000"/>
                <w:sz w:val="22"/>
                <w:szCs w:val="22"/>
                <w:lang w:val="en-US" w:eastAsia="zh-CN"/>
              </w:rPr>
              <w:t>5.5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8FD97B8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30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top"/>
          </w:tcPr>
          <w:p w14:paraId="3BA3E902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516.3</w:t>
            </w:r>
          </w:p>
        </w:tc>
      </w:tr>
      <w:tr w14:paraId="26A031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tl2br w:val="nil"/>
              <w:tr2bl w:val="nil"/>
            </w:tcBorders>
            <w:vAlign w:val="center"/>
          </w:tcPr>
          <w:p w14:paraId="3D0CA351">
            <w:pPr>
              <w:jc w:val="center"/>
              <w:rPr>
                <w:rFonts w:hint="eastAsia" w:eastAsiaTheme="minorEastAsia"/>
                <w:sz w:val="22"/>
                <w:szCs w:val="22"/>
                <w:vertAlign w:val="baseline"/>
                <w:lang w:eastAsia="zh-CN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6382B3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45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top"/>
          </w:tcPr>
          <w:p w14:paraId="5C23DFD7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538.5</w:t>
            </w:r>
          </w:p>
        </w:tc>
      </w:tr>
      <w:tr w14:paraId="07D3B5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tl2br w:val="nil"/>
              <w:tr2bl w:val="nil"/>
            </w:tcBorders>
            <w:vAlign w:val="center"/>
          </w:tcPr>
          <w:p w14:paraId="3705F5C1">
            <w:pPr>
              <w:jc w:val="center"/>
              <w:rPr>
                <w:rFonts w:hint="eastAsia" w:eastAsiaTheme="minorEastAsia"/>
                <w:sz w:val="22"/>
                <w:szCs w:val="22"/>
                <w:vertAlign w:val="baseline"/>
                <w:lang w:eastAsia="zh-CN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5BDA43A2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60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top"/>
          </w:tcPr>
          <w:p w14:paraId="079FA0CE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543.0</w:t>
            </w:r>
          </w:p>
        </w:tc>
      </w:tr>
      <w:tr w14:paraId="0E9671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tl2br w:val="nil"/>
              <w:tr2bl w:val="nil"/>
            </w:tcBorders>
            <w:vAlign w:val="center"/>
          </w:tcPr>
          <w:p w14:paraId="4413ECA8">
            <w:pPr>
              <w:jc w:val="center"/>
              <w:rPr>
                <w:rFonts w:hint="eastAsia" w:eastAsiaTheme="minorEastAsia"/>
                <w:sz w:val="22"/>
                <w:szCs w:val="22"/>
                <w:vertAlign w:val="baseline"/>
                <w:lang w:eastAsia="zh-CN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FE989B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75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top"/>
          </w:tcPr>
          <w:p w14:paraId="39F91094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538.3</w:t>
            </w:r>
          </w:p>
        </w:tc>
      </w:tr>
      <w:tr w14:paraId="593653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l2br w:val="nil"/>
              <w:tr2bl w:val="nil"/>
            </w:tcBorders>
            <w:vAlign w:val="center"/>
          </w:tcPr>
          <w:p w14:paraId="77277F87">
            <w:pPr>
              <w:jc w:val="center"/>
              <w:rPr>
                <w:rFonts w:hint="eastAsia" w:eastAsiaTheme="minorEastAsia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/>
                <w:color w:val="000000"/>
                <w:sz w:val="22"/>
                <w:szCs w:val="22"/>
                <w:lang w:val="en-US" w:eastAsia="zh-CN"/>
              </w:rPr>
              <w:t>6.5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365493A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30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top"/>
          </w:tcPr>
          <w:p w14:paraId="15E01C68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517.5</w:t>
            </w:r>
          </w:p>
        </w:tc>
      </w:tr>
      <w:tr w14:paraId="317575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tl2br w:val="nil"/>
              <w:tr2bl w:val="nil"/>
            </w:tcBorders>
            <w:vAlign w:val="center"/>
          </w:tcPr>
          <w:p w14:paraId="618D0EDC">
            <w:pPr>
              <w:jc w:val="center"/>
              <w:rPr>
                <w:rFonts w:hint="eastAsia" w:eastAsiaTheme="minorEastAsia"/>
                <w:sz w:val="22"/>
                <w:szCs w:val="22"/>
                <w:vertAlign w:val="baseline"/>
                <w:lang w:eastAsia="zh-CN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77CFE87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45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top"/>
          </w:tcPr>
          <w:p w14:paraId="7363540B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542.0</w:t>
            </w:r>
          </w:p>
        </w:tc>
      </w:tr>
      <w:tr w14:paraId="4478C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tl2br w:val="nil"/>
              <w:tr2bl w:val="nil"/>
            </w:tcBorders>
            <w:vAlign w:val="center"/>
          </w:tcPr>
          <w:p w14:paraId="73061B63">
            <w:pPr>
              <w:jc w:val="center"/>
              <w:rPr>
                <w:rFonts w:hint="eastAsia" w:eastAsiaTheme="minorEastAsia"/>
                <w:sz w:val="22"/>
                <w:szCs w:val="22"/>
                <w:vertAlign w:val="baseline"/>
                <w:lang w:eastAsia="zh-CN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95441B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60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top"/>
          </w:tcPr>
          <w:p w14:paraId="089E7571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546.3</w:t>
            </w:r>
          </w:p>
        </w:tc>
      </w:tr>
      <w:tr w14:paraId="2C45C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tl2br w:val="nil"/>
              <w:tr2bl w:val="nil"/>
            </w:tcBorders>
            <w:vAlign w:val="center"/>
          </w:tcPr>
          <w:p w14:paraId="736035BE">
            <w:pPr>
              <w:jc w:val="center"/>
              <w:rPr>
                <w:rFonts w:hint="eastAsia" w:eastAsiaTheme="minorEastAsia"/>
                <w:sz w:val="22"/>
                <w:szCs w:val="22"/>
                <w:vertAlign w:val="baseline"/>
                <w:lang w:eastAsia="zh-CN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77D4ACC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75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top"/>
          </w:tcPr>
          <w:p w14:paraId="67CC59A3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539.5</w:t>
            </w:r>
          </w:p>
        </w:tc>
      </w:tr>
      <w:tr w14:paraId="05049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5" w:type="dxa"/>
            <w:vMerge w:val="restart"/>
            <w:tcBorders>
              <w:tl2br w:val="nil"/>
              <w:tr2bl w:val="nil"/>
            </w:tcBorders>
            <w:vAlign w:val="center"/>
          </w:tcPr>
          <w:p w14:paraId="4747FED8">
            <w:pPr>
              <w:jc w:val="center"/>
              <w:rPr>
                <w:rFonts w:hint="eastAsia" w:eastAsiaTheme="minorEastAsia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7.5</w:t>
            </w: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0C83FCA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30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top"/>
          </w:tcPr>
          <w:p w14:paraId="71C8F2E5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484.3</w:t>
            </w:r>
          </w:p>
        </w:tc>
      </w:tr>
      <w:tr w14:paraId="6E8C33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tl2br w:val="nil"/>
              <w:tr2bl w:val="nil"/>
            </w:tcBorders>
          </w:tcPr>
          <w:p w14:paraId="6CE2D780">
            <w:pP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2678137F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45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top"/>
          </w:tcPr>
          <w:p w14:paraId="085ABC88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510.0</w:t>
            </w:r>
          </w:p>
        </w:tc>
      </w:tr>
      <w:tr w14:paraId="7924E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tl2br w:val="nil"/>
              <w:tr2bl w:val="nil"/>
            </w:tcBorders>
          </w:tcPr>
          <w:p w14:paraId="46F18A74">
            <w:pP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tcBorders>
              <w:tl2br w:val="nil"/>
              <w:tr2bl w:val="nil"/>
            </w:tcBorders>
            <w:shd w:val="clear" w:color="auto" w:fill="auto"/>
            <w:vAlign w:val="top"/>
          </w:tcPr>
          <w:p w14:paraId="649D868E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60</w:t>
            </w:r>
          </w:p>
        </w:tc>
        <w:tc>
          <w:tcPr>
            <w:tcW w:w="1635" w:type="dxa"/>
            <w:tcBorders>
              <w:tl2br w:val="nil"/>
              <w:tr2bl w:val="nil"/>
            </w:tcBorders>
            <w:vAlign w:val="top"/>
          </w:tcPr>
          <w:p w14:paraId="5BFBA0F8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512.5</w:t>
            </w:r>
          </w:p>
        </w:tc>
      </w:tr>
      <w:tr w14:paraId="73083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65" w:type="dxa"/>
            <w:vMerge w:val="continue"/>
            <w:tcBorders>
              <w:bottom w:val="single" w:color="000000" w:sz="4" w:space="0"/>
              <w:tl2br w:val="nil"/>
              <w:tr2bl w:val="nil"/>
            </w:tcBorders>
          </w:tcPr>
          <w:p w14:paraId="54C07CA2">
            <w:pP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1710" w:type="dxa"/>
            <w:tcBorders>
              <w:bottom w:val="single" w:color="000000" w:sz="4" w:space="0"/>
              <w:tl2br w:val="nil"/>
              <w:tr2bl w:val="nil"/>
            </w:tcBorders>
            <w:shd w:val="clear" w:color="auto" w:fill="auto"/>
            <w:vAlign w:val="top"/>
          </w:tcPr>
          <w:p w14:paraId="394427E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75</w:t>
            </w:r>
          </w:p>
        </w:tc>
        <w:tc>
          <w:tcPr>
            <w:tcW w:w="1635" w:type="dxa"/>
            <w:tcBorders>
              <w:bottom w:val="single" w:color="000000" w:sz="4" w:space="0"/>
              <w:tl2br w:val="nil"/>
              <w:tr2bl w:val="nil"/>
            </w:tcBorders>
            <w:vAlign w:val="top"/>
          </w:tcPr>
          <w:p w14:paraId="6EBEBA4F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510.4</w:t>
            </w:r>
          </w:p>
        </w:tc>
      </w:tr>
    </w:tbl>
    <w:p w14:paraId="4CACC19C">
      <w:pPr>
        <w:numPr>
          <w:ilvl w:val="0"/>
          <w:numId w:val="0"/>
        </w:numPr>
        <w:spacing w:line="360" w:lineRule="auto"/>
        <w:ind w:left="0" w:leftChars="0" w:firstLine="479" w:firstLineChars="218"/>
        <w:rPr>
          <w:rFonts w:hint="eastAsia" w:ascii="宋体" w:hAnsi="宋体" w:eastAsia="宋体" w:cs="宋体"/>
          <w:b w:val="0"/>
          <w:bCs/>
          <w:color w:val="000000"/>
          <w:sz w:val="22"/>
          <w:szCs w:val="20"/>
          <w:lang w:val="en-US" w:eastAsia="zh-CN"/>
        </w:rPr>
      </w:pPr>
    </w:p>
    <w:p w14:paraId="694542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79" w:firstLineChars="218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  <w:t xml:space="preserve"> ③ 不同处理对百脉根硬实率和发芽率的影响 </w:t>
      </w:r>
    </w:p>
    <w:p w14:paraId="112CA7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79" w:firstLineChars="218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color w:val="000000"/>
          <w:kern w:val="0"/>
          <w:sz w:val="22"/>
          <w:szCs w:val="22"/>
          <w:lang w:val="en-US" w:eastAsia="zh-CN" w:bidi="ar-SA"/>
        </w:rPr>
        <w:t>本试验设置</w:t>
      </w:r>
      <w:r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  <w:t>8组处理，每组3次重复，每重复50粒种子。</w:t>
      </w:r>
    </w:p>
    <w:p w14:paraId="3C0686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79" w:firstLineChars="218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  <w:t>对照（CK）：不处理，直接发芽</w:t>
      </w:r>
    </w:p>
    <w:p w14:paraId="4E5BA7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79" w:firstLineChars="218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  <w:t>机械处理（MS）：砂纸打磨种皮至轻微破损（不伤及胚）</w:t>
      </w:r>
    </w:p>
    <w:p w14:paraId="7849B17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79" w:firstLineChars="218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  <w:t>浓硫酸处理（H₂SO₄）：98%浓硫酸分别浸种5 min、15 min、25 min，清水冲洗至中性、晾干</w:t>
      </w:r>
    </w:p>
    <w:p w14:paraId="133B82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79" w:firstLineChars="218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  <w:t>低温冷冻处理（LT）：-4℃、-20℃冷冻24 h；液氮（-196℃）冷冻5 min，室温解冻</w:t>
      </w:r>
    </w:p>
    <w:p w14:paraId="4DB953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79" w:firstLineChars="218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  <w:t>赤霉素处理（GA₃）：500 mg/L GA₃浸种24 h</w:t>
      </w:r>
    </w:p>
    <w:p w14:paraId="4795D8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79" w:firstLineChars="218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  <w:t>氢氧化钠处理（NaOH）：40% NaOH浸种15 min，清水冲洗</w:t>
      </w:r>
    </w:p>
    <w:p w14:paraId="4F842D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79" w:firstLineChars="218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  <w:t>低温湿层积（CS）：4℃湿沙层积7 d</w:t>
      </w:r>
    </w:p>
    <w:p w14:paraId="5760B6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79" w:firstLineChars="218"/>
        <w:textAlignment w:val="auto"/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/>
          <w:color w:val="000000"/>
          <w:sz w:val="22"/>
          <w:szCs w:val="20"/>
          <w:lang w:val="en-US" w:eastAsia="zh-CN"/>
        </w:rPr>
        <w:t>温水浸种（WT）：40℃温水浸种24 h</w:t>
      </w:r>
    </w:p>
    <w:p w14:paraId="347C0C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default"/>
          <w:b w:val="0"/>
          <w:bCs/>
          <w:color w:val="000000"/>
          <w:sz w:val="22"/>
          <w:szCs w:val="20"/>
          <w:lang w:val="en-US" w:eastAsia="zh-CN"/>
        </w:rPr>
      </w:pPr>
      <w:r>
        <w:rPr>
          <w:rFonts w:hint="eastAsia"/>
          <w:b w:val="0"/>
          <w:bCs/>
          <w:color w:val="000000"/>
          <w:sz w:val="22"/>
          <w:szCs w:val="20"/>
          <w:lang w:val="en-US" w:eastAsia="zh-CN"/>
        </w:rPr>
        <w:t>从表2可以得出，</w:t>
      </w:r>
      <w:r>
        <w:rPr>
          <w:rFonts w:hint="default"/>
          <w:b w:val="0"/>
          <w:bCs/>
          <w:color w:val="000000"/>
          <w:sz w:val="22"/>
          <w:szCs w:val="20"/>
          <w:lang w:val="en-US" w:eastAsia="zh-CN"/>
        </w:rPr>
        <w:t>机械处理擦破种皮后，硬实率降至10.5%，发芽率提升至85.0%，较对照提高76.3个百分点，效果显著。机械处理直接破坏不透水种皮，水分快速渗入，解除硬实休眠，且无化学残留，适合小规模种子处理。98%浓硫酸浸种可极显著破除硬实</w:t>
      </w:r>
      <w:r>
        <w:rPr>
          <w:rFonts w:hint="eastAsia"/>
          <w:b w:val="0"/>
          <w:bCs/>
          <w:color w:val="000000"/>
          <w:sz w:val="22"/>
          <w:szCs w:val="20"/>
          <w:lang w:val="en-US" w:eastAsia="zh-CN"/>
        </w:rPr>
        <w:t>，</w:t>
      </w:r>
      <w:r>
        <w:rPr>
          <w:rFonts w:hint="default"/>
          <w:b w:val="0"/>
          <w:bCs/>
          <w:color w:val="000000"/>
          <w:sz w:val="22"/>
          <w:szCs w:val="20"/>
          <w:lang w:val="en-US" w:eastAsia="zh-CN"/>
        </w:rPr>
        <w:t>15 min处理效果最佳</w:t>
      </w:r>
      <w:r>
        <w:rPr>
          <w:rFonts w:hint="eastAsia"/>
          <w:b w:val="0"/>
          <w:bCs/>
          <w:color w:val="000000"/>
          <w:sz w:val="22"/>
          <w:szCs w:val="20"/>
          <w:lang w:val="en-US" w:eastAsia="zh-CN"/>
        </w:rPr>
        <w:t>，</w:t>
      </w:r>
      <w:r>
        <w:rPr>
          <w:rFonts w:hint="default"/>
          <w:b w:val="0"/>
          <w:bCs/>
          <w:color w:val="000000"/>
          <w:sz w:val="22"/>
          <w:szCs w:val="20"/>
          <w:lang w:val="en-US" w:eastAsia="zh-CN"/>
        </w:rPr>
        <w:t>硬实率8.2%、发芽率89.7%；25 min处理略有灼伤胚风险，发芽率略降（87.5%）；5 min处理不彻底，硬实率仍达25.8%。40% NaOH浸种15 min效果极差，硬实率88.5%、发芽率12.5%，不适合野生百脉根硬实处理。低温冷冻：-4℃、-20℃、液氮冷冻均可降低硬实率、提高发芽率，-20℃冷冻24 h效果最优，发芽率52.3%。GA₃浸种发芽率45.7%，效果有限。40℃温水浸种</w:t>
      </w:r>
      <w:r>
        <w:rPr>
          <w:rFonts w:hint="eastAsia"/>
          <w:b w:val="0"/>
          <w:bCs/>
          <w:color w:val="000000"/>
          <w:sz w:val="22"/>
          <w:szCs w:val="20"/>
          <w:lang w:val="en-US" w:eastAsia="zh-CN"/>
        </w:rPr>
        <w:t>和</w:t>
      </w:r>
      <w:r>
        <w:rPr>
          <w:rFonts w:hint="default"/>
          <w:b w:val="0"/>
          <w:bCs/>
          <w:color w:val="000000"/>
          <w:sz w:val="22"/>
          <w:szCs w:val="20"/>
          <w:lang w:val="en-US" w:eastAsia="zh-CN"/>
        </w:rPr>
        <w:t>4℃层积效果较差，发芽率仅25.6%~32.8%。</w:t>
      </w:r>
    </w:p>
    <w:p w14:paraId="7F17C2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79" w:firstLineChars="218"/>
        <w:textAlignment w:val="auto"/>
        <w:rPr>
          <w:rFonts w:hint="default"/>
          <w:b w:val="0"/>
          <w:bCs/>
          <w:color w:val="000000"/>
          <w:sz w:val="22"/>
          <w:szCs w:val="20"/>
          <w:lang w:val="en-US" w:eastAsia="zh-CN"/>
        </w:rPr>
      </w:pPr>
      <w:r>
        <w:rPr>
          <w:rFonts w:hint="eastAsia"/>
          <w:b w:val="0"/>
          <w:bCs/>
          <w:color w:val="000000"/>
          <w:sz w:val="22"/>
          <w:szCs w:val="20"/>
          <w:lang w:val="en-US" w:eastAsia="zh-CN"/>
        </w:rPr>
        <w:t>通过上述试验结果，同时结合</w:t>
      </w:r>
      <w:r>
        <w:rPr>
          <w:rFonts w:hint="default"/>
          <w:b w:val="0"/>
          <w:bCs/>
          <w:color w:val="000000"/>
          <w:sz w:val="22"/>
          <w:szCs w:val="20"/>
          <w:lang w:val="en-US" w:eastAsia="zh-CN"/>
        </w:rPr>
        <w:t>实际生产中，可根据处理规模、成本及环保要求选择最优方案，优先推荐浓硫酸15 min处理或机械擦破种皮</w:t>
      </w:r>
      <w:r>
        <w:rPr>
          <w:rFonts w:hint="eastAsia"/>
          <w:b w:val="0"/>
          <w:bCs/>
          <w:color w:val="000000"/>
          <w:sz w:val="22"/>
          <w:szCs w:val="20"/>
          <w:lang w:val="en-US" w:eastAsia="zh-CN"/>
        </w:rPr>
        <w:t>来破除百脉根种子硬实</w:t>
      </w:r>
      <w:r>
        <w:rPr>
          <w:rFonts w:hint="default"/>
          <w:b w:val="0"/>
          <w:bCs/>
          <w:color w:val="000000"/>
          <w:sz w:val="22"/>
          <w:szCs w:val="20"/>
          <w:lang w:val="en-US" w:eastAsia="zh-CN"/>
        </w:rPr>
        <w:t>。</w:t>
      </w:r>
    </w:p>
    <w:p w14:paraId="09FB2E80">
      <w:pPr>
        <w:numPr>
          <w:ilvl w:val="0"/>
          <w:numId w:val="0"/>
        </w:numPr>
        <w:spacing w:line="360" w:lineRule="auto"/>
        <w:jc w:val="center"/>
        <w:rPr>
          <w:rFonts w:hint="eastAsia"/>
          <w:b w:val="0"/>
          <w:bCs/>
          <w:color w:val="000000"/>
          <w:sz w:val="22"/>
          <w:szCs w:val="20"/>
          <w:lang w:val="en-US" w:eastAsia="zh-CN"/>
        </w:rPr>
      </w:pPr>
      <w:r>
        <w:rPr>
          <w:rFonts w:hint="eastAsia"/>
          <w:b w:val="0"/>
          <w:bCs/>
          <w:color w:val="000000"/>
          <w:sz w:val="22"/>
          <w:szCs w:val="20"/>
          <w:lang w:val="en-US" w:eastAsia="zh-CN"/>
        </w:rPr>
        <w:t xml:space="preserve">表2 </w:t>
      </w:r>
      <w:r>
        <w:rPr>
          <w:rFonts w:hint="eastAsia" w:ascii="宋体" w:hAnsi="宋体" w:cs="宋体"/>
          <w:b w:val="0"/>
          <w:bCs/>
          <w:color w:val="000000"/>
          <w:sz w:val="22"/>
          <w:szCs w:val="20"/>
          <w:lang w:val="en-US" w:eastAsia="zh-CN"/>
        </w:rPr>
        <w:t>不同</w:t>
      </w:r>
      <w:r>
        <w:rPr>
          <w:rFonts w:hint="eastAsia" w:cs="Times New Roman"/>
          <w:b w:val="0"/>
          <w:bCs/>
          <w:color w:val="000000"/>
          <w:sz w:val="22"/>
          <w:szCs w:val="20"/>
          <w:lang w:val="en-US" w:eastAsia="zh-CN"/>
        </w:rPr>
        <w:t>处理对百脉根种子硬实率和发芽率的影响</w:t>
      </w:r>
    </w:p>
    <w:tbl>
      <w:tblPr>
        <w:tblStyle w:val="1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7"/>
        <w:gridCol w:w="1790"/>
        <w:gridCol w:w="1712"/>
      </w:tblGrid>
      <w:tr w14:paraId="5688E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85" w:hRule="atLeast"/>
          <w:jc w:val="center"/>
        </w:trPr>
        <w:tc>
          <w:tcPr>
            <w:tcW w:w="2057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1CB52359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处理</w:t>
            </w:r>
          </w:p>
        </w:tc>
        <w:tc>
          <w:tcPr>
            <w:tcW w:w="1790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280F4DDB">
            <w:pPr>
              <w:jc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硬实率</w:t>
            </w:r>
            <w:r>
              <w:rPr>
                <w:rFonts w:hint="eastAsia"/>
                <w:sz w:val="22"/>
                <w:szCs w:val="22"/>
                <w:lang w:eastAsia="zh-CN"/>
              </w:rPr>
              <w:t>（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%</w:t>
            </w:r>
            <w:r>
              <w:rPr>
                <w:rFonts w:hint="eastAsia"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1712" w:type="dxa"/>
            <w:tcBorders>
              <w:top w:val="single" w:color="000000" w:sz="4" w:space="0"/>
              <w:bottom w:val="single" w:color="000000" w:sz="4" w:space="0"/>
            </w:tcBorders>
            <w:vAlign w:val="center"/>
          </w:tcPr>
          <w:p w14:paraId="1DA22F76">
            <w:pPr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 xml:space="preserve">发芽率 </w:t>
            </w:r>
            <w:r>
              <w:rPr>
                <w:rFonts w:hint="eastAsia"/>
                <w:sz w:val="22"/>
                <w:szCs w:val="22"/>
                <w:lang w:eastAsia="zh-CN"/>
              </w:rPr>
              <w:t>（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%</w:t>
            </w:r>
            <w:r>
              <w:rPr>
                <w:rFonts w:hint="eastAsia"/>
                <w:sz w:val="22"/>
                <w:szCs w:val="22"/>
                <w:lang w:eastAsia="zh-CN"/>
              </w:rPr>
              <w:t>）</w:t>
            </w:r>
          </w:p>
        </w:tc>
      </w:tr>
      <w:tr w14:paraId="3F78E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057" w:type="dxa"/>
            <w:tcBorders>
              <w:top w:val="single" w:color="000000" w:sz="4" w:space="0"/>
              <w:bottom w:val="nil"/>
            </w:tcBorders>
            <w:vAlign w:val="center"/>
          </w:tcPr>
          <w:p w14:paraId="648BA4A1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vertAlign w:val="baseline"/>
                <w:lang w:val="en-US" w:eastAsia="zh-CN"/>
              </w:rPr>
              <w:t>对照</w:t>
            </w: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（CK）</w:t>
            </w:r>
          </w:p>
        </w:tc>
        <w:tc>
          <w:tcPr>
            <w:tcW w:w="1790" w:type="dxa"/>
            <w:tcBorders>
              <w:top w:val="single" w:color="000000" w:sz="4" w:space="0"/>
              <w:bottom w:val="nil"/>
            </w:tcBorders>
            <w:vAlign w:val="center"/>
          </w:tcPr>
          <w:p w14:paraId="7C9E18FA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92.3 a</w:t>
            </w:r>
          </w:p>
        </w:tc>
        <w:tc>
          <w:tcPr>
            <w:tcW w:w="1712" w:type="dxa"/>
            <w:tcBorders>
              <w:top w:val="single" w:color="000000" w:sz="4" w:space="0"/>
              <w:bottom w:val="nil"/>
            </w:tcBorders>
            <w:vAlign w:val="center"/>
          </w:tcPr>
          <w:p w14:paraId="06E973D0">
            <w:pPr>
              <w:jc w:val="center"/>
              <w:rPr>
                <w:rFonts w:hint="eastAsia" w:eastAsiaTheme="minorEastAsia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8.7 f</w:t>
            </w:r>
          </w:p>
        </w:tc>
      </w:tr>
      <w:tr w14:paraId="69EF8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14:paraId="67088071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机械擦破种皮</w:t>
            </w:r>
          </w:p>
        </w:tc>
        <w:tc>
          <w:tcPr>
            <w:tcW w:w="1790" w:type="dxa"/>
            <w:tcBorders>
              <w:top w:val="nil"/>
              <w:bottom w:val="nil"/>
            </w:tcBorders>
            <w:vAlign w:val="center"/>
          </w:tcPr>
          <w:p w14:paraId="5648B0C2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10.5 d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387BD733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85.0 b</w:t>
            </w:r>
          </w:p>
        </w:tc>
      </w:tr>
      <w:tr w14:paraId="239BA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14:paraId="589E01FA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浓硫酸5 min</w:t>
            </w:r>
          </w:p>
        </w:tc>
        <w:tc>
          <w:tcPr>
            <w:tcW w:w="1790" w:type="dxa"/>
            <w:tcBorders>
              <w:top w:val="nil"/>
              <w:bottom w:val="nil"/>
            </w:tcBorders>
            <w:vAlign w:val="center"/>
          </w:tcPr>
          <w:p w14:paraId="77FD600F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25.8 c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4C80189A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62.3 d</w:t>
            </w:r>
          </w:p>
        </w:tc>
      </w:tr>
      <w:tr w14:paraId="4566CB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14:paraId="5D7BB5FD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浓硫酸15 min</w:t>
            </w:r>
          </w:p>
        </w:tc>
        <w:tc>
          <w:tcPr>
            <w:tcW w:w="1790" w:type="dxa"/>
            <w:tcBorders>
              <w:top w:val="nil"/>
              <w:bottom w:val="nil"/>
            </w:tcBorders>
            <w:vAlign w:val="center"/>
          </w:tcPr>
          <w:p w14:paraId="109E44B9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8.2 d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6B201379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89.7 a</w:t>
            </w:r>
          </w:p>
        </w:tc>
      </w:tr>
      <w:tr w14:paraId="7457F0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14:paraId="73432B3B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浓硫酸25 min</w:t>
            </w:r>
          </w:p>
        </w:tc>
        <w:tc>
          <w:tcPr>
            <w:tcW w:w="1790" w:type="dxa"/>
            <w:tcBorders>
              <w:top w:val="nil"/>
              <w:bottom w:val="nil"/>
            </w:tcBorders>
            <w:vAlign w:val="center"/>
          </w:tcPr>
          <w:p w14:paraId="74DCB8C8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9.1 d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4C3F1D92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87.5 ab</w:t>
            </w:r>
          </w:p>
        </w:tc>
      </w:tr>
      <w:tr w14:paraId="526BE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14:paraId="08771D3A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40% NaOH15 min</w:t>
            </w:r>
          </w:p>
        </w:tc>
        <w:tc>
          <w:tcPr>
            <w:tcW w:w="17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4C6645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88.5 a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4033B673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12.5 f</w:t>
            </w:r>
          </w:p>
        </w:tc>
      </w:tr>
      <w:tr w14:paraId="28FF6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14:paraId="31DFEFB2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40℃温水24 h</w:t>
            </w:r>
          </w:p>
        </w:tc>
        <w:tc>
          <w:tcPr>
            <w:tcW w:w="17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9FE999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75.2 b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0E27516F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25.6 e</w:t>
            </w:r>
          </w:p>
        </w:tc>
      </w:tr>
      <w:tr w14:paraId="448C56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14:paraId="23EA9B63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4℃层积7 d</w:t>
            </w:r>
          </w:p>
        </w:tc>
        <w:tc>
          <w:tcPr>
            <w:tcW w:w="17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29660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68.7 b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3F6C566D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32.8 e</w:t>
            </w:r>
          </w:p>
        </w:tc>
      </w:tr>
      <w:tr w14:paraId="3DD5F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14:paraId="5FF7503D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500 mg/L GA₃</w:t>
            </w:r>
          </w:p>
        </w:tc>
        <w:tc>
          <w:tcPr>
            <w:tcW w:w="17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DBAA2C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55.3 c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6A885AB8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45.7 d</w:t>
            </w:r>
          </w:p>
        </w:tc>
      </w:tr>
      <w:tr w14:paraId="3587D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14:paraId="00D7EE0F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-4℃冷冻24 h</w:t>
            </w:r>
          </w:p>
        </w:tc>
        <w:tc>
          <w:tcPr>
            <w:tcW w:w="17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3BADE4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62.5 b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4F1B7296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38.2 e</w:t>
            </w:r>
          </w:p>
        </w:tc>
      </w:tr>
      <w:tr w14:paraId="5AD4C3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2057" w:type="dxa"/>
            <w:tcBorders>
              <w:top w:val="nil"/>
              <w:bottom w:val="nil"/>
            </w:tcBorders>
            <w:vAlign w:val="center"/>
          </w:tcPr>
          <w:p w14:paraId="6C9CD95E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-20℃冷冻24 h</w:t>
            </w:r>
          </w:p>
        </w:tc>
        <w:tc>
          <w:tcPr>
            <w:tcW w:w="179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9A98CD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48.7 c</w:t>
            </w:r>
          </w:p>
        </w:tc>
        <w:tc>
          <w:tcPr>
            <w:tcW w:w="1712" w:type="dxa"/>
            <w:tcBorders>
              <w:top w:val="nil"/>
              <w:bottom w:val="nil"/>
            </w:tcBorders>
            <w:vAlign w:val="center"/>
          </w:tcPr>
          <w:p w14:paraId="09A7D931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52.3 d</w:t>
            </w:r>
          </w:p>
        </w:tc>
      </w:tr>
      <w:tr w14:paraId="5ABDAC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057" w:type="dxa"/>
            <w:tcBorders>
              <w:top w:val="nil"/>
              <w:bottom w:val="single" w:color="000000" w:sz="4" w:space="0"/>
            </w:tcBorders>
            <w:vAlign w:val="center"/>
          </w:tcPr>
          <w:p w14:paraId="2A00A3B3">
            <w:pPr>
              <w:jc w:val="center"/>
              <w:rPr>
                <w:rFonts w:hint="default" w:ascii="Times New Roman" w:hAnsi="Times New Roman" w:eastAsia="宋体" w:cs="Times New Roman"/>
                <w:sz w:val="22"/>
                <w:szCs w:val="22"/>
                <w:vertAlign w:val="baseli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sz w:val="22"/>
                <w:szCs w:val="22"/>
                <w:lang w:eastAsia="zh-CN"/>
              </w:rPr>
              <w:t>液氮冷冻5 min</w:t>
            </w:r>
          </w:p>
        </w:tc>
        <w:tc>
          <w:tcPr>
            <w:tcW w:w="1790" w:type="dxa"/>
            <w:tcBorders>
              <w:top w:val="nil"/>
              <w:bottom w:val="single" w:color="000000" w:sz="4" w:space="0"/>
            </w:tcBorders>
            <w:shd w:val="clear" w:color="auto" w:fill="auto"/>
            <w:vAlign w:val="center"/>
          </w:tcPr>
          <w:p w14:paraId="18981871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45.2 c</w:t>
            </w:r>
          </w:p>
        </w:tc>
        <w:tc>
          <w:tcPr>
            <w:tcW w:w="1712" w:type="dxa"/>
            <w:tcBorders>
              <w:top w:val="nil"/>
              <w:bottom w:val="single" w:color="000000" w:sz="4" w:space="0"/>
            </w:tcBorders>
            <w:vAlign w:val="center"/>
          </w:tcPr>
          <w:p w14:paraId="42BE4E59">
            <w:pPr>
              <w:jc w:val="center"/>
              <w:rPr>
                <w:rFonts w:hint="default" w:eastAsiaTheme="minor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eastAsiaTheme="minorEastAsia"/>
                <w:sz w:val="22"/>
                <w:szCs w:val="22"/>
                <w:lang w:eastAsia="zh-CN"/>
              </w:rPr>
              <w:t>55.6 d</w:t>
            </w:r>
          </w:p>
        </w:tc>
      </w:tr>
    </w:tbl>
    <w:p w14:paraId="15C942F8">
      <w:pPr>
        <w:ind w:firstLine="1980" w:firstLineChars="1100"/>
        <w:rPr>
          <w:rFonts w:hint="default"/>
          <w:lang w:val="en-US" w:eastAsia="zh-CN"/>
        </w:rPr>
      </w:pPr>
      <w:r>
        <w:rPr>
          <w:rFonts w:hint="eastAsia"/>
          <w:b w:val="0"/>
          <w:bCs/>
          <w:color w:val="000000"/>
          <w:sz w:val="18"/>
          <w:szCs w:val="18"/>
          <w:lang w:val="en-US" w:eastAsia="zh-CN"/>
        </w:rPr>
        <w:t>注：同列不同小写字母表示差异显著（P&lt;0.05）</w:t>
      </w:r>
    </w:p>
    <w:p w14:paraId="30DF2BD3">
      <w:pPr>
        <w:rPr>
          <w:rFonts w:hint="eastAsia" w:eastAsiaTheme="minorEastAsia"/>
          <w:lang w:eastAsia="zh-CN"/>
        </w:rPr>
      </w:pPr>
    </w:p>
    <w:p w14:paraId="79BBEAA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/>
        <w:textAlignment w:val="auto"/>
        <w:rPr>
          <w:rFonts w:hint="eastAsia"/>
          <w:sz w:val="24"/>
          <w:szCs w:val="40"/>
        </w:rPr>
      </w:pPr>
      <w:bookmarkStart w:id="14" w:name="_Toc176547937"/>
      <w:r>
        <w:rPr>
          <w:rFonts w:hint="eastAsia"/>
          <w:sz w:val="24"/>
          <w:szCs w:val="40"/>
        </w:rPr>
        <w:t>四、采用的国际标准</w:t>
      </w:r>
      <w:bookmarkEnd w:id="14"/>
    </w:p>
    <w:p w14:paraId="392739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/>
        <w:textAlignment w:val="auto"/>
        <w:rPr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>无。</w:t>
      </w:r>
    </w:p>
    <w:p w14:paraId="30D9B6DE">
      <w:pPr>
        <w:pStyle w:val="2"/>
        <w:spacing w:before="0" w:after="0"/>
        <w:rPr>
          <w:sz w:val="24"/>
          <w:szCs w:val="40"/>
        </w:rPr>
      </w:pPr>
      <w:bookmarkStart w:id="15" w:name="_Toc176547938"/>
      <w:r>
        <w:rPr>
          <w:rFonts w:hint="eastAsia"/>
          <w:sz w:val="24"/>
          <w:szCs w:val="40"/>
        </w:rPr>
        <w:t>五</w:t>
      </w:r>
      <w:r>
        <w:rPr>
          <w:sz w:val="24"/>
          <w:szCs w:val="40"/>
        </w:rPr>
        <w:t>、</w:t>
      </w:r>
      <w:r>
        <w:rPr>
          <w:rFonts w:hint="eastAsia"/>
          <w:sz w:val="24"/>
          <w:szCs w:val="40"/>
        </w:rPr>
        <w:t>与现行法律法规和强制性标准的关系</w:t>
      </w:r>
      <w:bookmarkEnd w:id="15"/>
    </w:p>
    <w:p w14:paraId="2B492809">
      <w:pPr>
        <w:spacing w:line="360" w:lineRule="auto"/>
        <w:ind w:firstLine="482"/>
        <w:rPr>
          <w:color w:val="000000"/>
          <w:sz w:val="22"/>
          <w:szCs w:val="20"/>
        </w:rPr>
      </w:pPr>
      <w:r>
        <w:rPr>
          <w:rFonts w:hint="eastAsia"/>
          <w:color w:val="000000"/>
          <w:sz w:val="22"/>
          <w:szCs w:val="20"/>
        </w:rPr>
        <w:t>本标准与现行法律法规和强制性标准的相关条例没有冲突。</w:t>
      </w:r>
    </w:p>
    <w:p w14:paraId="30919C64">
      <w:pPr>
        <w:pStyle w:val="2"/>
        <w:spacing w:before="0" w:after="0"/>
        <w:rPr>
          <w:sz w:val="24"/>
          <w:szCs w:val="40"/>
        </w:rPr>
      </w:pPr>
      <w:bookmarkStart w:id="16" w:name="_Toc176547939"/>
      <w:r>
        <w:rPr>
          <w:rFonts w:hint="eastAsia"/>
          <w:sz w:val="24"/>
          <w:szCs w:val="40"/>
        </w:rPr>
        <w:t>六</w:t>
      </w:r>
      <w:r>
        <w:rPr>
          <w:sz w:val="24"/>
          <w:szCs w:val="40"/>
        </w:rPr>
        <w:t>、</w:t>
      </w:r>
      <w:r>
        <w:rPr>
          <w:rFonts w:hint="eastAsia"/>
          <w:sz w:val="24"/>
          <w:szCs w:val="40"/>
        </w:rPr>
        <w:t>重大分歧意见的处理经过和依据</w:t>
      </w:r>
      <w:bookmarkEnd w:id="16"/>
    </w:p>
    <w:p w14:paraId="5D2967DE">
      <w:pPr>
        <w:spacing w:line="360" w:lineRule="auto"/>
        <w:ind w:firstLine="482"/>
        <w:rPr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>无。</w:t>
      </w:r>
    </w:p>
    <w:p w14:paraId="18828AB0">
      <w:pPr>
        <w:pStyle w:val="2"/>
        <w:spacing w:before="0" w:after="0"/>
        <w:rPr>
          <w:rFonts w:hint="eastAsia"/>
          <w:sz w:val="24"/>
          <w:szCs w:val="40"/>
        </w:rPr>
      </w:pPr>
      <w:bookmarkStart w:id="17" w:name="_Toc176547940"/>
      <w:r>
        <w:rPr>
          <w:sz w:val="24"/>
          <w:szCs w:val="40"/>
        </w:rPr>
        <w:t>七、标准作为强制性或推荐性标准的意见</w:t>
      </w:r>
      <w:bookmarkEnd w:id="17"/>
    </w:p>
    <w:p w14:paraId="630F5003">
      <w:pPr>
        <w:spacing w:line="360" w:lineRule="auto"/>
        <w:ind w:firstLine="482"/>
        <w:rPr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>建议将本标准作为推荐性标准发布实施，并加强标准的宣贯。</w:t>
      </w:r>
    </w:p>
    <w:p w14:paraId="5D7D6744">
      <w:pPr>
        <w:pStyle w:val="2"/>
        <w:spacing w:before="0" w:after="0"/>
        <w:rPr>
          <w:sz w:val="24"/>
          <w:szCs w:val="40"/>
        </w:rPr>
      </w:pPr>
      <w:bookmarkStart w:id="18" w:name="_Toc176547941"/>
      <w:r>
        <w:rPr>
          <w:sz w:val="24"/>
          <w:szCs w:val="40"/>
        </w:rPr>
        <w:t>八、贯彻标准的要求和措施建议</w:t>
      </w:r>
      <w:bookmarkEnd w:id="18"/>
    </w:p>
    <w:p w14:paraId="2EEF964A">
      <w:pPr>
        <w:spacing w:line="360" w:lineRule="auto"/>
        <w:ind w:firstLine="495" w:firstLineChars="225"/>
        <w:rPr>
          <w:sz w:val="22"/>
          <w:szCs w:val="20"/>
        </w:rPr>
      </w:pPr>
      <w:r>
        <w:rPr>
          <w:rFonts w:hint="eastAsia"/>
          <w:sz w:val="22"/>
          <w:szCs w:val="20"/>
        </w:rPr>
        <w:t>1、</w:t>
      </w:r>
      <w:r>
        <w:rPr>
          <w:rFonts w:hint="eastAsia"/>
          <w:sz w:val="22"/>
          <w:szCs w:val="20"/>
          <w:lang w:val="en-US" w:eastAsia="zh-CN"/>
        </w:rPr>
        <w:t>在实施前保证文本的充足供应，让企业、公司、养殖户、科研人员等每个使用者都能及时得到文本。这是保证新</w:t>
      </w:r>
      <w:r>
        <w:rPr>
          <w:sz w:val="22"/>
          <w:szCs w:val="20"/>
        </w:rPr>
        <w:t>标准</w:t>
      </w:r>
      <w:r>
        <w:rPr>
          <w:rFonts w:hint="eastAsia"/>
          <w:sz w:val="22"/>
          <w:szCs w:val="20"/>
          <w:lang w:val="en-US" w:eastAsia="zh-CN"/>
        </w:rPr>
        <w:t>贯彻实施的基础。</w:t>
      </w:r>
    </w:p>
    <w:p w14:paraId="38654EA7">
      <w:pPr>
        <w:spacing w:line="360" w:lineRule="auto"/>
        <w:ind w:firstLine="495" w:firstLineChars="225"/>
        <w:rPr>
          <w:sz w:val="22"/>
          <w:szCs w:val="20"/>
        </w:rPr>
      </w:pPr>
      <w:r>
        <w:rPr>
          <w:rFonts w:hint="eastAsia"/>
          <w:sz w:val="22"/>
          <w:szCs w:val="20"/>
        </w:rPr>
        <w:t>2、</w:t>
      </w:r>
      <w:r>
        <w:rPr>
          <w:rFonts w:hint="eastAsia"/>
          <w:sz w:val="22"/>
          <w:szCs w:val="20"/>
          <w:lang w:val="en-US" w:eastAsia="zh-CN"/>
        </w:rPr>
        <w:t>发布后、实施前</w:t>
      </w:r>
      <w:r>
        <w:rPr>
          <w:rFonts w:hint="eastAsia"/>
          <w:sz w:val="22"/>
          <w:szCs w:val="20"/>
        </w:rPr>
        <w:t>应</w:t>
      </w:r>
      <w:r>
        <w:rPr>
          <w:sz w:val="22"/>
          <w:szCs w:val="20"/>
        </w:rPr>
        <w:t>加强对标准的宣传</w:t>
      </w:r>
      <w:r>
        <w:rPr>
          <w:rFonts w:hint="eastAsia"/>
          <w:sz w:val="22"/>
          <w:szCs w:val="20"/>
        </w:rPr>
        <w:t>和</w:t>
      </w:r>
      <w:r>
        <w:rPr>
          <w:sz w:val="22"/>
          <w:szCs w:val="20"/>
        </w:rPr>
        <w:t>讲解</w:t>
      </w:r>
      <w:r>
        <w:rPr>
          <w:rFonts w:hint="eastAsia"/>
          <w:sz w:val="22"/>
          <w:szCs w:val="20"/>
        </w:rPr>
        <w:t>，促进实施者</w:t>
      </w:r>
      <w:r>
        <w:rPr>
          <w:sz w:val="22"/>
          <w:szCs w:val="20"/>
        </w:rPr>
        <w:t>熟练掌握标准中的技术规范，保证</w:t>
      </w:r>
      <w:r>
        <w:rPr>
          <w:rFonts w:hint="eastAsia"/>
          <w:sz w:val="22"/>
          <w:szCs w:val="20"/>
        </w:rPr>
        <w:t>本标准的广泛推广应用</w:t>
      </w:r>
      <w:r>
        <w:rPr>
          <w:sz w:val="22"/>
          <w:szCs w:val="20"/>
        </w:rPr>
        <w:t>。</w:t>
      </w:r>
    </w:p>
    <w:p w14:paraId="456B86F1">
      <w:pPr>
        <w:spacing w:line="360" w:lineRule="auto"/>
        <w:ind w:firstLine="495" w:firstLineChars="225"/>
        <w:rPr>
          <w:rFonts w:hint="default"/>
          <w:sz w:val="22"/>
          <w:szCs w:val="20"/>
          <w:lang w:val="en-US" w:eastAsia="zh-CN"/>
        </w:rPr>
      </w:pPr>
      <w:r>
        <w:rPr>
          <w:rFonts w:hint="eastAsia"/>
          <w:sz w:val="22"/>
          <w:szCs w:val="20"/>
        </w:rPr>
        <w:t>3、</w:t>
      </w:r>
      <w:r>
        <w:rPr>
          <w:rFonts w:hint="eastAsia"/>
          <w:sz w:val="22"/>
          <w:szCs w:val="20"/>
          <w:lang w:val="en-US" w:eastAsia="zh-CN"/>
        </w:rPr>
        <w:t>本标准技术性强，建议在广泛宣传的同时，针对相关生产企业、专业合作社、乡镇村等举办培训班，对生产环节关键技术进行培训，在百脉根主产区进行技术指导，保证标准的推广和有效实施。</w:t>
      </w:r>
    </w:p>
    <w:p w14:paraId="2187383C">
      <w:pPr>
        <w:spacing w:line="360" w:lineRule="auto"/>
        <w:ind w:firstLine="495" w:firstLineChars="225"/>
        <w:rPr>
          <w:sz w:val="22"/>
          <w:szCs w:val="20"/>
        </w:rPr>
      </w:pPr>
      <w:r>
        <w:rPr>
          <w:rFonts w:hint="eastAsia"/>
          <w:sz w:val="22"/>
          <w:szCs w:val="20"/>
          <w:lang w:val="en-US" w:eastAsia="zh-CN"/>
        </w:rPr>
        <w:t>4、</w:t>
      </w:r>
      <w:r>
        <w:rPr>
          <w:sz w:val="22"/>
          <w:szCs w:val="20"/>
        </w:rPr>
        <w:t>随着</w:t>
      </w:r>
      <w:r>
        <w:rPr>
          <w:rFonts w:hint="eastAsia"/>
          <w:sz w:val="22"/>
          <w:szCs w:val="20"/>
        </w:rPr>
        <w:t>科技发展，本标准中的技术规范势必会出现过时的情况，也会出现新的技术要求，因此本</w:t>
      </w:r>
      <w:r>
        <w:rPr>
          <w:sz w:val="22"/>
          <w:szCs w:val="20"/>
        </w:rPr>
        <w:t>标准执行过程中</w:t>
      </w:r>
      <w:r>
        <w:rPr>
          <w:rFonts w:hint="eastAsia"/>
          <w:sz w:val="22"/>
          <w:szCs w:val="20"/>
        </w:rPr>
        <w:t>要不断对</w:t>
      </w:r>
      <w:r>
        <w:rPr>
          <w:sz w:val="22"/>
          <w:szCs w:val="20"/>
        </w:rPr>
        <w:t>内容进行修订</w:t>
      </w:r>
      <w:r>
        <w:rPr>
          <w:rFonts w:hint="eastAsia"/>
          <w:sz w:val="22"/>
          <w:szCs w:val="20"/>
        </w:rPr>
        <w:t>和补充</w:t>
      </w:r>
      <w:r>
        <w:rPr>
          <w:sz w:val="22"/>
          <w:szCs w:val="20"/>
        </w:rPr>
        <w:t>。</w:t>
      </w:r>
    </w:p>
    <w:p w14:paraId="5B8507EC">
      <w:pPr>
        <w:spacing w:line="360" w:lineRule="auto"/>
        <w:ind w:firstLine="495" w:firstLineChars="225"/>
        <w:rPr>
          <w:sz w:val="22"/>
          <w:szCs w:val="20"/>
        </w:rPr>
      </w:pPr>
      <w:r>
        <w:rPr>
          <w:rFonts w:hint="eastAsia"/>
          <w:sz w:val="22"/>
          <w:szCs w:val="20"/>
          <w:lang w:val="en-US" w:eastAsia="zh-CN"/>
        </w:rPr>
        <w:t>5</w:t>
      </w:r>
      <w:r>
        <w:rPr>
          <w:rFonts w:hint="eastAsia"/>
          <w:sz w:val="22"/>
          <w:szCs w:val="20"/>
        </w:rPr>
        <w:t>、</w:t>
      </w:r>
      <w:r>
        <w:rPr>
          <w:sz w:val="22"/>
          <w:szCs w:val="20"/>
        </w:rPr>
        <w:t>希望</w:t>
      </w:r>
      <w:r>
        <w:rPr>
          <w:rFonts w:hint="eastAsia"/>
          <w:sz w:val="22"/>
          <w:szCs w:val="20"/>
        </w:rPr>
        <w:t>应用本标准的</w:t>
      </w:r>
      <w:r>
        <w:rPr>
          <w:sz w:val="22"/>
          <w:szCs w:val="20"/>
        </w:rPr>
        <w:t>单位</w:t>
      </w:r>
      <w:r>
        <w:rPr>
          <w:rFonts w:hint="eastAsia"/>
          <w:sz w:val="22"/>
          <w:szCs w:val="20"/>
        </w:rPr>
        <w:t>在使用过程中</w:t>
      </w:r>
      <w:r>
        <w:rPr>
          <w:sz w:val="22"/>
          <w:szCs w:val="20"/>
        </w:rPr>
        <w:t>对</w:t>
      </w:r>
      <w:r>
        <w:rPr>
          <w:rFonts w:hint="eastAsia"/>
          <w:sz w:val="22"/>
          <w:szCs w:val="20"/>
        </w:rPr>
        <w:t>其</w:t>
      </w:r>
      <w:r>
        <w:rPr>
          <w:sz w:val="22"/>
          <w:szCs w:val="20"/>
        </w:rPr>
        <w:t>中出现的问题</w:t>
      </w:r>
      <w:r>
        <w:rPr>
          <w:rFonts w:hint="eastAsia"/>
          <w:sz w:val="22"/>
          <w:szCs w:val="20"/>
        </w:rPr>
        <w:t>和不足</w:t>
      </w:r>
      <w:r>
        <w:rPr>
          <w:sz w:val="22"/>
          <w:szCs w:val="20"/>
        </w:rPr>
        <w:t>给予反馈，以便</w:t>
      </w:r>
      <w:r>
        <w:rPr>
          <w:rFonts w:hint="eastAsia"/>
          <w:sz w:val="22"/>
          <w:szCs w:val="20"/>
        </w:rPr>
        <w:t>再进行</w:t>
      </w:r>
      <w:r>
        <w:rPr>
          <w:sz w:val="22"/>
          <w:szCs w:val="20"/>
        </w:rPr>
        <w:t>修订</w:t>
      </w:r>
      <w:r>
        <w:rPr>
          <w:rFonts w:hint="eastAsia"/>
          <w:sz w:val="22"/>
          <w:szCs w:val="20"/>
        </w:rPr>
        <w:t>和</w:t>
      </w:r>
      <w:r>
        <w:rPr>
          <w:sz w:val="22"/>
          <w:szCs w:val="20"/>
        </w:rPr>
        <w:t>补充。</w:t>
      </w:r>
    </w:p>
    <w:p w14:paraId="198DD66F">
      <w:pPr>
        <w:spacing w:line="360" w:lineRule="auto"/>
        <w:ind w:firstLine="495" w:firstLineChars="225"/>
        <w:rPr>
          <w:sz w:val="22"/>
          <w:szCs w:val="20"/>
        </w:rPr>
      </w:pPr>
      <w:r>
        <w:rPr>
          <w:rFonts w:hint="eastAsia"/>
          <w:sz w:val="22"/>
          <w:szCs w:val="20"/>
          <w:lang w:val="en-US" w:eastAsia="zh-CN"/>
        </w:rPr>
        <w:t>6</w:t>
      </w:r>
      <w:r>
        <w:rPr>
          <w:rFonts w:hint="eastAsia"/>
          <w:sz w:val="22"/>
          <w:szCs w:val="20"/>
        </w:rPr>
        <w:t>、</w:t>
      </w:r>
      <w:r>
        <w:rPr>
          <w:sz w:val="22"/>
          <w:szCs w:val="20"/>
        </w:rPr>
        <w:t>组织学习</w:t>
      </w:r>
      <w:r>
        <w:rPr>
          <w:rFonts w:hint="eastAsia"/>
          <w:sz w:val="22"/>
          <w:szCs w:val="20"/>
        </w:rPr>
        <w:t>团体</w:t>
      </w:r>
      <w:r>
        <w:rPr>
          <w:sz w:val="22"/>
          <w:szCs w:val="20"/>
        </w:rPr>
        <w:t>标准，加大对标准的宣传及贯彻力度，标准委员会作为企业之间的桥梁，做好沟通，推进行业进一步发展。</w:t>
      </w:r>
    </w:p>
    <w:p w14:paraId="716810CD">
      <w:pPr>
        <w:pStyle w:val="2"/>
        <w:spacing w:before="0" w:after="0"/>
        <w:rPr>
          <w:sz w:val="24"/>
          <w:szCs w:val="40"/>
        </w:rPr>
      </w:pPr>
      <w:bookmarkStart w:id="19" w:name="_Toc176547942"/>
      <w:r>
        <w:rPr>
          <w:sz w:val="24"/>
          <w:szCs w:val="40"/>
        </w:rPr>
        <w:t>九、废止现行有关标准的建议</w:t>
      </w:r>
      <w:bookmarkEnd w:id="19"/>
    </w:p>
    <w:p w14:paraId="40597651">
      <w:pPr>
        <w:spacing w:before="156" w:beforeLines="50" w:line="360" w:lineRule="auto"/>
        <w:ind w:firstLine="482"/>
        <w:rPr>
          <w:color w:val="000000"/>
          <w:sz w:val="22"/>
          <w:szCs w:val="20"/>
        </w:rPr>
      </w:pPr>
      <w:r>
        <w:rPr>
          <w:color w:val="000000"/>
          <w:sz w:val="22"/>
          <w:szCs w:val="20"/>
        </w:rPr>
        <w:t>无。</w:t>
      </w:r>
    </w:p>
    <w:p w14:paraId="431CE65B">
      <w:pPr>
        <w:pStyle w:val="2"/>
        <w:spacing w:before="0" w:after="0"/>
        <w:rPr>
          <w:sz w:val="24"/>
          <w:szCs w:val="40"/>
        </w:rPr>
      </w:pPr>
      <w:bookmarkStart w:id="20" w:name="_Toc176547943"/>
      <w:r>
        <w:rPr>
          <w:sz w:val="24"/>
          <w:szCs w:val="40"/>
        </w:rPr>
        <w:t>十、其他应予说明的事项</w:t>
      </w:r>
      <w:bookmarkEnd w:id="20"/>
    </w:p>
    <w:p w14:paraId="118F0DAF">
      <w:pPr>
        <w:spacing w:before="156" w:beforeLines="50" w:line="360" w:lineRule="auto"/>
        <w:ind w:firstLine="482"/>
        <w:rPr>
          <w:color w:val="000000"/>
          <w:sz w:val="24"/>
        </w:rPr>
      </w:pPr>
      <w:r>
        <w:rPr>
          <w:color w:val="000000"/>
          <w:sz w:val="22"/>
          <w:szCs w:val="20"/>
        </w:rPr>
        <w:t>无。</w:t>
      </w:r>
      <w:bookmarkEnd w:id="1"/>
    </w:p>
    <w:sectPr>
      <w:footerReference r:id="rId3" w:type="default"/>
      <w:footerReference r:id="rId4" w:type="even"/>
      <w:pgSz w:w="11906" w:h="16838"/>
      <w:pgMar w:top="1843" w:right="1558" w:bottom="1702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61A48C">
    <w:pPr>
      <w:pStyle w:val="1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8</w:t>
    </w:r>
    <w:r>
      <w:rPr>
        <w:lang w:val="zh-CN"/>
      </w:rPr>
      <w:fldChar w:fldCharType="end"/>
    </w:r>
  </w:p>
  <w:p w14:paraId="59F259B6"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69A38A">
    <w:pPr>
      <w:pStyle w:val="11"/>
      <w:framePr w:wrap="around" w:vAnchor="text" w:hAnchor="margin" w:xAlign="center" w:y="1"/>
      <w:rPr>
        <w:rStyle w:val="19"/>
      </w:rPr>
    </w:pPr>
    <w:r>
      <w:fldChar w:fldCharType="begin"/>
    </w:r>
    <w:r>
      <w:rPr>
        <w:rStyle w:val="19"/>
      </w:rPr>
      <w:instrText xml:space="preserve">PAGE  </w:instrText>
    </w:r>
    <w:r>
      <w:fldChar w:fldCharType="end"/>
    </w:r>
  </w:p>
  <w:p w14:paraId="08B3C798">
    <w:pPr>
      <w:pStyle w:val="11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F91F2A"/>
    <w:multiLevelType w:val="singleLevel"/>
    <w:tmpl w:val="F0F91F2A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FA03B02E"/>
    <w:multiLevelType w:val="singleLevel"/>
    <w:tmpl w:val="FA03B02E"/>
    <w:lvl w:ilvl="0" w:tentative="0">
      <w:start w:val="1"/>
      <w:numFmt w:val="decimal"/>
      <w:suff w:val="nothing"/>
      <w:lvlText w:val="（%1）"/>
      <w:lvlJc w:val="left"/>
      <w:pPr>
        <w:ind w:left="480" w:firstLine="0"/>
      </w:pPr>
    </w:lvl>
  </w:abstractNum>
  <w:abstractNum w:abstractNumId="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46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45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NkMzVhNTA1NWMzZDc0MDk3Nzc1ODUzODEwMDUwODEifQ=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inese Std GBT7714 (numeric) copy&lt;/Style&gt;&lt;LeftDelim&gt;{&lt;/LeftDelim&gt;&lt;RightDelim&gt;}&lt;/RightDelim&gt;&lt;FontName&gt;Times New Roman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xe0xw9a5ksss2bepfpxv2exzapw0pspfxrrs&quot;&gt;发酵TMR小论文&lt;record-ids&gt;&lt;item&gt;228&lt;/item&gt;&lt;/record-ids&gt;&lt;/item&gt;&lt;/Libraries&gt;"/>
  </w:docVars>
  <w:rsids>
    <w:rsidRoot w:val="00416669"/>
    <w:rsid w:val="000155DB"/>
    <w:rsid w:val="00017D16"/>
    <w:rsid w:val="000308A3"/>
    <w:rsid w:val="00032402"/>
    <w:rsid w:val="00036A34"/>
    <w:rsid w:val="000429E1"/>
    <w:rsid w:val="000434FB"/>
    <w:rsid w:val="00044247"/>
    <w:rsid w:val="0004735E"/>
    <w:rsid w:val="00057930"/>
    <w:rsid w:val="000610CF"/>
    <w:rsid w:val="00061E22"/>
    <w:rsid w:val="00076D67"/>
    <w:rsid w:val="0008074C"/>
    <w:rsid w:val="000B474F"/>
    <w:rsid w:val="000E0375"/>
    <w:rsid w:val="000F7801"/>
    <w:rsid w:val="00112EE8"/>
    <w:rsid w:val="00113F8F"/>
    <w:rsid w:val="001155D9"/>
    <w:rsid w:val="00122CF2"/>
    <w:rsid w:val="0012627C"/>
    <w:rsid w:val="00126374"/>
    <w:rsid w:val="0013098F"/>
    <w:rsid w:val="001372F7"/>
    <w:rsid w:val="00137BD4"/>
    <w:rsid w:val="00140742"/>
    <w:rsid w:val="00147E5E"/>
    <w:rsid w:val="001650ED"/>
    <w:rsid w:val="00173D9B"/>
    <w:rsid w:val="0017441B"/>
    <w:rsid w:val="001877A5"/>
    <w:rsid w:val="001A3DFC"/>
    <w:rsid w:val="001A3E3C"/>
    <w:rsid w:val="001A6550"/>
    <w:rsid w:val="001D0503"/>
    <w:rsid w:val="001E428B"/>
    <w:rsid w:val="001E72A2"/>
    <w:rsid w:val="001F1BFE"/>
    <w:rsid w:val="001F5979"/>
    <w:rsid w:val="001F6496"/>
    <w:rsid w:val="00230B2D"/>
    <w:rsid w:val="002313E0"/>
    <w:rsid w:val="00231604"/>
    <w:rsid w:val="00232FFF"/>
    <w:rsid w:val="00237F30"/>
    <w:rsid w:val="00240E83"/>
    <w:rsid w:val="00246C40"/>
    <w:rsid w:val="002538BD"/>
    <w:rsid w:val="00255BC8"/>
    <w:rsid w:val="00256EDA"/>
    <w:rsid w:val="00257083"/>
    <w:rsid w:val="00257498"/>
    <w:rsid w:val="002574A2"/>
    <w:rsid w:val="00264E4C"/>
    <w:rsid w:val="00266508"/>
    <w:rsid w:val="002679DB"/>
    <w:rsid w:val="002A2BE5"/>
    <w:rsid w:val="002A38D8"/>
    <w:rsid w:val="002B5E17"/>
    <w:rsid w:val="002C3275"/>
    <w:rsid w:val="002C5FEC"/>
    <w:rsid w:val="002D17E1"/>
    <w:rsid w:val="002D653D"/>
    <w:rsid w:val="002E35C6"/>
    <w:rsid w:val="002F1A92"/>
    <w:rsid w:val="002F773B"/>
    <w:rsid w:val="002F78D3"/>
    <w:rsid w:val="00301EF9"/>
    <w:rsid w:val="00315468"/>
    <w:rsid w:val="00324544"/>
    <w:rsid w:val="0033768E"/>
    <w:rsid w:val="00353076"/>
    <w:rsid w:val="00355292"/>
    <w:rsid w:val="00357EA9"/>
    <w:rsid w:val="003616FA"/>
    <w:rsid w:val="0036445F"/>
    <w:rsid w:val="003647ED"/>
    <w:rsid w:val="00371521"/>
    <w:rsid w:val="00377593"/>
    <w:rsid w:val="00384379"/>
    <w:rsid w:val="00395E51"/>
    <w:rsid w:val="00397219"/>
    <w:rsid w:val="003A467C"/>
    <w:rsid w:val="003A7FFA"/>
    <w:rsid w:val="003B4101"/>
    <w:rsid w:val="003B4925"/>
    <w:rsid w:val="003C0E69"/>
    <w:rsid w:val="003D5430"/>
    <w:rsid w:val="003E41F0"/>
    <w:rsid w:val="004008BE"/>
    <w:rsid w:val="00401F02"/>
    <w:rsid w:val="00403501"/>
    <w:rsid w:val="0041174A"/>
    <w:rsid w:val="00412FA3"/>
    <w:rsid w:val="00416243"/>
    <w:rsid w:val="00416669"/>
    <w:rsid w:val="004262B4"/>
    <w:rsid w:val="00434FDA"/>
    <w:rsid w:val="0043644F"/>
    <w:rsid w:val="004369B7"/>
    <w:rsid w:val="00441546"/>
    <w:rsid w:val="00441DDE"/>
    <w:rsid w:val="00443A22"/>
    <w:rsid w:val="0045024A"/>
    <w:rsid w:val="004558C5"/>
    <w:rsid w:val="004817B8"/>
    <w:rsid w:val="0048331E"/>
    <w:rsid w:val="00487AD2"/>
    <w:rsid w:val="00487FAD"/>
    <w:rsid w:val="004A3AE7"/>
    <w:rsid w:val="004A4D6E"/>
    <w:rsid w:val="004B6B44"/>
    <w:rsid w:val="004C3612"/>
    <w:rsid w:val="004C40C4"/>
    <w:rsid w:val="004C500C"/>
    <w:rsid w:val="004C7768"/>
    <w:rsid w:val="004D3A8C"/>
    <w:rsid w:val="004D7696"/>
    <w:rsid w:val="004E670F"/>
    <w:rsid w:val="004F338A"/>
    <w:rsid w:val="004F7B86"/>
    <w:rsid w:val="00503FBF"/>
    <w:rsid w:val="00527ABD"/>
    <w:rsid w:val="00530419"/>
    <w:rsid w:val="00532D0E"/>
    <w:rsid w:val="00533B44"/>
    <w:rsid w:val="0055067B"/>
    <w:rsid w:val="0055090C"/>
    <w:rsid w:val="005573B1"/>
    <w:rsid w:val="00564B6D"/>
    <w:rsid w:val="00571127"/>
    <w:rsid w:val="00571E77"/>
    <w:rsid w:val="0057251D"/>
    <w:rsid w:val="00572906"/>
    <w:rsid w:val="00576CFC"/>
    <w:rsid w:val="005850C6"/>
    <w:rsid w:val="00594619"/>
    <w:rsid w:val="00595AF8"/>
    <w:rsid w:val="0059745A"/>
    <w:rsid w:val="00597601"/>
    <w:rsid w:val="005A3DE9"/>
    <w:rsid w:val="005B3678"/>
    <w:rsid w:val="005C1DB7"/>
    <w:rsid w:val="005C3740"/>
    <w:rsid w:val="005D70F9"/>
    <w:rsid w:val="005E25C4"/>
    <w:rsid w:val="005F21F2"/>
    <w:rsid w:val="005F7967"/>
    <w:rsid w:val="006136A1"/>
    <w:rsid w:val="00613B1E"/>
    <w:rsid w:val="00617DE2"/>
    <w:rsid w:val="00617E82"/>
    <w:rsid w:val="006237C9"/>
    <w:rsid w:val="006274F4"/>
    <w:rsid w:val="006359DA"/>
    <w:rsid w:val="00642959"/>
    <w:rsid w:val="00644454"/>
    <w:rsid w:val="0064625B"/>
    <w:rsid w:val="00647006"/>
    <w:rsid w:val="006520B7"/>
    <w:rsid w:val="006615F3"/>
    <w:rsid w:val="00662C30"/>
    <w:rsid w:val="00673243"/>
    <w:rsid w:val="00676D14"/>
    <w:rsid w:val="00677237"/>
    <w:rsid w:val="006801B7"/>
    <w:rsid w:val="00686267"/>
    <w:rsid w:val="006876D1"/>
    <w:rsid w:val="00692CFC"/>
    <w:rsid w:val="006A1F6A"/>
    <w:rsid w:val="006C0880"/>
    <w:rsid w:val="006C11CD"/>
    <w:rsid w:val="006C52CD"/>
    <w:rsid w:val="006D3074"/>
    <w:rsid w:val="006D5BF9"/>
    <w:rsid w:val="006E08FA"/>
    <w:rsid w:val="006E0E00"/>
    <w:rsid w:val="006E4C06"/>
    <w:rsid w:val="006F1DD4"/>
    <w:rsid w:val="006F3702"/>
    <w:rsid w:val="006F740A"/>
    <w:rsid w:val="00701F8B"/>
    <w:rsid w:val="007038ED"/>
    <w:rsid w:val="00706039"/>
    <w:rsid w:val="007227A4"/>
    <w:rsid w:val="00722A10"/>
    <w:rsid w:val="00732883"/>
    <w:rsid w:val="007356A0"/>
    <w:rsid w:val="007508FD"/>
    <w:rsid w:val="00750DD8"/>
    <w:rsid w:val="0075399B"/>
    <w:rsid w:val="00757F83"/>
    <w:rsid w:val="007665CB"/>
    <w:rsid w:val="00777351"/>
    <w:rsid w:val="00792549"/>
    <w:rsid w:val="00793A3A"/>
    <w:rsid w:val="007A1632"/>
    <w:rsid w:val="007A1885"/>
    <w:rsid w:val="007A2731"/>
    <w:rsid w:val="007B11B3"/>
    <w:rsid w:val="007B6620"/>
    <w:rsid w:val="007B75B7"/>
    <w:rsid w:val="007C4CB1"/>
    <w:rsid w:val="007D1E41"/>
    <w:rsid w:val="007E63DA"/>
    <w:rsid w:val="007F0C38"/>
    <w:rsid w:val="007F5CB8"/>
    <w:rsid w:val="007F7B8C"/>
    <w:rsid w:val="008114DA"/>
    <w:rsid w:val="008127BC"/>
    <w:rsid w:val="00814B61"/>
    <w:rsid w:val="008242BD"/>
    <w:rsid w:val="0082475F"/>
    <w:rsid w:val="00827333"/>
    <w:rsid w:val="00835A6F"/>
    <w:rsid w:val="00836F37"/>
    <w:rsid w:val="00837F17"/>
    <w:rsid w:val="0084113C"/>
    <w:rsid w:val="00847886"/>
    <w:rsid w:val="00847A63"/>
    <w:rsid w:val="008535A7"/>
    <w:rsid w:val="00860918"/>
    <w:rsid w:val="0086606A"/>
    <w:rsid w:val="008678ED"/>
    <w:rsid w:val="00873984"/>
    <w:rsid w:val="0088082F"/>
    <w:rsid w:val="008961C2"/>
    <w:rsid w:val="008962BA"/>
    <w:rsid w:val="00897E59"/>
    <w:rsid w:val="008A2DD2"/>
    <w:rsid w:val="008A2E71"/>
    <w:rsid w:val="008A3069"/>
    <w:rsid w:val="008A49C3"/>
    <w:rsid w:val="008B3504"/>
    <w:rsid w:val="008B7E15"/>
    <w:rsid w:val="008C3EDA"/>
    <w:rsid w:val="008E5F14"/>
    <w:rsid w:val="008E5F71"/>
    <w:rsid w:val="008E66D9"/>
    <w:rsid w:val="008F08FA"/>
    <w:rsid w:val="008F2E1B"/>
    <w:rsid w:val="008F773A"/>
    <w:rsid w:val="00904055"/>
    <w:rsid w:val="00907DBA"/>
    <w:rsid w:val="00914A4F"/>
    <w:rsid w:val="0091549B"/>
    <w:rsid w:val="009215F0"/>
    <w:rsid w:val="00922670"/>
    <w:rsid w:val="00935406"/>
    <w:rsid w:val="00945B8A"/>
    <w:rsid w:val="0095204F"/>
    <w:rsid w:val="0095404A"/>
    <w:rsid w:val="00973876"/>
    <w:rsid w:val="00980FDD"/>
    <w:rsid w:val="009812CC"/>
    <w:rsid w:val="00986C80"/>
    <w:rsid w:val="009951C7"/>
    <w:rsid w:val="009966C3"/>
    <w:rsid w:val="0099687E"/>
    <w:rsid w:val="009A13B4"/>
    <w:rsid w:val="009A300F"/>
    <w:rsid w:val="009B09CB"/>
    <w:rsid w:val="009B1404"/>
    <w:rsid w:val="009C1890"/>
    <w:rsid w:val="009C1E98"/>
    <w:rsid w:val="009E25E4"/>
    <w:rsid w:val="009F110C"/>
    <w:rsid w:val="009F31FF"/>
    <w:rsid w:val="009F64A3"/>
    <w:rsid w:val="00A1717E"/>
    <w:rsid w:val="00A21B84"/>
    <w:rsid w:val="00A255CB"/>
    <w:rsid w:val="00A26331"/>
    <w:rsid w:val="00A2746C"/>
    <w:rsid w:val="00A27F7F"/>
    <w:rsid w:val="00A447CB"/>
    <w:rsid w:val="00A44C95"/>
    <w:rsid w:val="00A464AD"/>
    <w:rsid w:val="00A46547"/>
    <w:rsid w:val="00A542B0"/>
    <w:rsid w:val="00A5557B"/>
    <w:rsid w:val="00A56B82"/>
    <w:rsid w:val="00A75672"/>
    <w:rsid w:val="00A8486E"/>
    <w:rsid w:val="00AA2DCB"/>
    <w:rsid w:val="00AA3DF7"/>
    <w:rsid w:val="00AA4435"/>
    <w:rsid w:val="00AA7CED"/>
    <w:rsid w:val="00AB1FC9"/>
    <w:rsid w:val="00AB4133"/>
    <w:rsid w:val="00AB46A2"/>
    <w:rsid w:val="00AD492B"/>
    <w:rsid w:val="00AD4E95"/>
    <w:rsid w:val="00AD5C1F"/>
    <w:rsid w:val="00AD5E18"/>
    <w:rsid w:val="00AD78F8"/>
    <w:rsid w:val="00AE08AF"/>
    <w:rsid w:val="00AE1937"/>
    <w:rsid w:val="00AE3118"/>
    <w:rsid w:val="00AE3591"/>
    <w:rsid w:val="00AE35CB"/>
    <w:rsid w:val="00AF7E56"/>
    <w:rsid w:val="00B04616"/>
    <w:rsid w:val="00B072C7"/>
    <w:rsid w:val="00B101AB"/>
    <w:rsid w:val="00B27E34"/>
    <w:rsid w:val="00B30B48"/>
    <w:rsid w:val="00B337E6"/>
    <w:rsid w:val="00B34441"/>
    <w:rsid w:val="00B34D79"/>
    <w:rsid w:val="00B35BB0"/>
    <w:rsid w:val="00B36B7A"/>
    <w:rsid w:val="00B438C1"/>
    <w:rsid w:val="00B559A4"/>
    <w:rsid w:val="00B63763"/>
    <w:rsid w:val="00B756D2"/>
    <w:rsid w:val="00B915FB"/>
    <w:rsid w:val="00B92DBA"/>
    <w:rsid w:val="00B97595"/>
    <w:rsid w:val="00BA2455"/>
    <w:rsid w:val="00BA2A59"/>
    <w:rsid w:val="00BA706B"/>
    <w:rsid w:val="00BA7DAE"/>
    <w:rsid w:val="00BB0513"/>
    <w:rsid w:val="00BB71D2"/>
    <w:rsid w:val="00BC0C02"/>
    <w:rsid w:val="00BD1027"/>
    <w:rsid w:val="00BD35CA"/>
    <w:rsid w:val="00BD385F"/>
    <w:rsid w:val="00BD39E2"/>
    <w:rsid w:val="00BD3CA0"/>
    <w:rsid w:val="00BE0B0E"/>
    <w:rsid w:val="00BE3F98"/>
    <w:rsid w:val="00BF1329"/>
    <w:rsid w:val="00BF72F5"/>
    <w:rsid w:val="00BF7605"/>
    <w:rsid w:val="00C04DE6"/>
    <w:rsid w:val="00C0677E"/>
    <w:rsid w:val="00C16421"/>
    <w:rsid w:val="00C22140"/>
    <w:rsid w:val="00C2658A"/>
    <w:rsid w:val="00C31237"/>
    <w:rsid w:val="00C35D5A"/>
    <w:rsid w:val="00C42D41"/>
    <w:rsid w:val="00C43B8F"/>
    <w:rsid w:val="00C43FAD"/>
    <w:rsid w:val="00C45F48"/>
    <w:rsid w:val="00C474C8"/>
    <w:rsid w:val="00C54D42"/>
    <w:rsid w:val="00C679AC"/>
    <w:rsid w:val="00C758D8"/>
    <w:rsid w:val="00C81D94"/>
    <w:rsid w:val="00C900AE"/>
    <w:rsid w:val="00C9570B"/>
    <w:rsid w:val="00CA1927"/>
    <w:rsid w:val="00CA3AB7"/>
    <w:rsid w:val="00CB619E"/>
    <w:rsid w:val="00CD6231"/>
    <w:rsid w:val="00CE53AB"/>
    <w:rsid w:val="00D00CC8"/>
    <w:rsid w:val="00D22D66"/>
    <w:rsid w:val="00D250E5"/>
    <w:rsid w:val="00D253BE"/>
    <w:rsid w:val="00D26985"/>
    <w:rsid w:val="00D3529E"/>
    <w:rsid w:val="00D46F1D"/>
    <w:rsid w:val="00D53C06"/>
    <w:rsid w:val="00D60D26"/>
    <w:rsid w:val="00D60EB5"/>
    <w:rsid w:val="00D73891"/>
    <w:rsid w:val="00D749ED"/>
    <w:rsid w:val="00D81652"/>
    <w:rsid w:val="00D81CB9"/>
    <w:rsid w:val="00D90078"/>
    <w:rsid w:val="00D9528D"/>
    <w:rsid w:val="00DA3ED9"/>
    <w:rsid w:val="00DA4986"/>
    <w:rsid w:val="00DC10BE"/>
    <w:rsid w:val="00DD550E"/>
    <w:rsid w:val="00DD56EA"/>
    <w:rsid w:val="00DD694C"/>
    <w:rsid w:val="00DF0229"/>
    <w:rsid w:val="00DF3DAB"/>
    <w:rsid w:val="00DF4E14"/>
    <w:rsid w:val="00DF666A"/>
    <w:rsid w:val="00DF6EA3"/>
    <w:rsid w:val="00DF7946"/>
    <w:rsid w:val="00E1686F"/>
    <w:rsid w:val="00E21921"/>
    <w:rsid w:val="00E33DCF"/>
    <w:rsid w:val="00E373AD"/>
    <w:rsid w:val="00E4036C"/>
    <w:rsid w:val="00E418B3"/>
    <w:rsid w:val="00E52D55"/>
    <w:rsid w:val="00E56FB6"/>
    <w:rsid w:val="00E57815"/>
    <w:rsid w:val="00E62DD5"/>
    <w:rsid w:val="00E8551F"/>
    <w:rsid w:val="00E923DA"/>
    <w:rsid w:val="00E93DBA"/>
    <w:rsid w:val="00E9519E"/>
    <w:rsid w:val="00E96678"/>
    <w:rsid w:val="00E967AE"/>
    <w:rsid w:val="00EB7CF2"/>
    <w:rsid w:val="00EE1047"/>
    <w:rsid w:val="00EF0176"/>
    <w:rsid w:val="00EF4463"/>
    <w:rsid w:val="00F10D01"/>
    <w:rsid w:val="00F11312"/>
    <w:rsid w:val="00F143A4"/>
    <w:rsid w:val="00F21D5B"/>
    <w:rsid w:val="00F2339E"/>
    <w:rsid w:val="00F266DE"/>
    <w:rsid w:val="00F33865"/>
    <w:rsid w:val="00F4018F"/>
    <w:rsid w:val="00F46585"/>
    <w:rsid w:val="00F465B9"/>
    <w:rsid w:val="00F50FA6"/>
    <w:rsid w:val="00F55084"/>
    <w:rsid w:val="00F62E99"/>
    <w:rsid w:val="00F65A3A"/>
    <w:rsid w:val="00F70A79"/>
    <w:rsid w:val="00F73820"/>
    <w:rsid w:val="00F75167"/>
    <w:rsid w:val="00F765AB"/>
    <w:rsid w:val="00F810F1"/>
    <w:rsid w:val="00F85661"/>
    <w:rsid w:val="00F938C1"/>
    <w:rsid w:val="00FA3307"/>
    <w:rsid w:val="00FB5B64"/>
    <w:rsid w:val="00FC2299"/>
    <w:rsid w:val="00FC7766"/>
    <w:rsid w:val="00FD2844"/>
    <w:rsid w:val="00FD4EFA"/>
    <w:rsid w:val="00FD55D6"/>
    <w:rsid w:val="00FD6815"/>
    <w:rsid w:val="00FD6B91"/>
    <w:rsid w:val="00FE01AF"/>
    <w:rsid w:val="00FE6C94"/>
    <w:rsid w:val="00FF48BF"/>
    <w:rsid w:val="00FF5684"/>
    <w:rsid w:val="015B317E"/>
    <w:rsid w:val="01885582"/>
    <w:rsid w:val="02D3570F"/>
    <w:rsid w:val="035769A3"/>
    <w:rsid w:val="040D0C24"/>
    <w:rsid w:val="05A12AAA"/>
    <w:rsid w:val="0A0E7F26"/>
    <w:rsid w:val="0A5C0C02"/>
    <w:rsid w:val="0D7F514F"/>
    <w:rsid w:val="0D806CFB"/>
    <w:rsid w:val="150E269C"/>
    <w:rsid w:val="166F5222"/>
    <w:rsid w:val="184A31E0"/>
    <w:rsid w:val="19E26070"/>
    <w:rsid w:val="1A0F1251"/>
    <w:rsid w:val="1E711A49"/>
    <w:rsid w:val="1E8B1FEC"/>
    <w:rsid w:val="1F9F5831"/>
    <w:rsid w:val="20A67D62"/>
    <w:rsid w:val="253E083A"/>
    <w:rsid w:val="26D83A99"/>
    <w:rsid w:val="277447A7"/>
    <w:rsid w:val="2AA17567"/>
    <w:rsid w:val="2BB4735E"/>
    <w:rsid w:val="2C8376D8"/>
    <w:rsid w:val="2CBE4B89"/>
    <w:rsid w:val="2E030B82"/>
    <w:rsid w:val="2E442A2C"/>
    <w:rsid w:val="30A071CD"/>
    <w:rsid w:val="3100387E"/>
    <w:rsid w:val="32F41833"/>
    <w:rsid w:val="35031C11"/>
    <w:rsid w:val="35D66C79"/>
    <w:rsid w:val="363F0E23"/>
    <w:rsid w:val="366F04F9"/>
    <w:rsid w:val="391F59BB"/>
    <w:rsid w:val="39707CB8"/>
    <w:rsid w:val="3D436353"/>
    <w:rsid w:val="3EF33504"/>
    <w:rsid w:val="43712A92"/>
    <w:rsid w:val="477261B2"/>
    <w:rsid w:val="482C3F1D"/>
    <w:rsid w:val="4AD420FB"/>
    <w:rsid w:val="4BE0264C"/>
    <w:rsid w:val="4D9E3FA3"/>
    <w:rsid w:val="4E193658"/>
    <w:rsid w:val="52BD4306"/>
    <w:rsid w:val="52C935E2"/>
    <w:rsid w:val="5420452F"/>
    <w:rsid w:val="560D45D3"/>
    <w:rsid w:val="5BC14BBB"/>
    <w:rsid w:val="5C9D7268"/>
    <w:rsid w:val="5F97769F"/>
    <w:rsid w:val="607F64E5"/>
    <w:rsid w:val="615A37DE"/>
    <w:rsid w:val="633A0287"/>
    <w:rsid w:val="63B36E26"/>
    <w:rsid w:val="64B659E6"/>
    <w:rsid w:val="66AA38F8"/>
    <w:rsid w:val="694960C1"/>
    <w:rsid w:val="69F152C0"/>
    <w:rsid w:val="6A935267"/>
    <w:rsid w:val="6D2A1A28"/>
    <w:rsid w:val="6E253618"/>
    <w:rsid w:val="6F9E5BF8"/>
    <w:rsid w:val="6FF555EB"/>
    <w:rsid w:val="70005BAF"/>
    <w:rsid w:val="73CE5A0F"/>
    <w:rsid w:val="75AE53A7"/>
    <w:rsid w:val="77785FC7"/>
    <w:rsid w:val="77D75529"/>
    <w:rsid w:val="78EC706A"/>
    <w:rsid w:val="7FF0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40"/>
    <w:qFormat/>
    <w:uiPriority w:val="9"/>
    <w:pPr>
      <w:keepNext/>
      <w:keepLines/>
      <w:spacing w:before="240" w:after="240" w:line="360" w:lineRule="auto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21"/>
    <w:qFormat/>
    <w:uiPriority w:val="9"/>
    <w:pPr>
      <w:keepNext/>
      <w:keepLines/>
      <w:spacing w:before="240" w:after="240" w:line="360" w:lineRule="auto"/>
      <w:outlineLvl w:val="1"/>
    </w:pPr>
    <w:rPr>
      <w:rFonts w:ascii="等线 Light" w:hAnsi="等线 Light" w:eastAsia="黑体"/>
      <w:bCs/>
      <w:sz w:val="24"/>
      <w:szCs w:val="32"/>
    </w:rPr>
  </w:style>
  <w:style w:type="paragraph" w:styleId="4">
    <w:name w:val="heading 3"/>
    <w:basedOn w:val="1"/>
    <w:next w:val="1"/>
    <w:link w:val="42"/>
    <w:unhideWhenUsed/>
    <w:qFormat/>
    <w:uiPriority w:val="9"/>
    <w:pPr>
      <w:keepNext/>
      <w:keepLines/>
      <w:spacing w:line="360" w:lineRule="auto"/>
      <w:outlineLvl w:val="2"/>
    </w:pPr>
    <w:rPr>
      <w:b/>
      <w:bCs/>
      <w:sz w:val="24"/>
      <w:szCs w:val="3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caption"/>
    <w:basedOn w:val="1"/>
    <w:next w:val="1"/>
    <w:qFormat/>
    <w:uiPriority w:val="0"/>
    <w:rPr>
      <w:rFonts w:ascii="等线 Light" w:hAnsi="等线 Light" w:eastAsia="黑体"/>
      <w:sz w:val="20"/>
      <w:szCs w:val="20"/>
    </w:rPr>
  </w:style>
  <w:style w:type="paragraph" w:styleId="6">
    <w:name w:val="Body Text"/>
    <w:basedOn w:val="1"/>
    <w:qFormat/>
    <w:uiPriority w:val="1"/>
    <w:pPr>
      <w:autoSpaceDE w:val="0"/>
      <w:autoSpaceDN w:val="0"/>
      <w:ind w:left="182"/>
      <w:jc w:val="left"/>
    </w:pPr>
    <w:rPr>
      <w:rFonts w:ascii="宋体" w:hAnsi="宋体" w:eastAsia="宋体" w:cs="宋体"/>
      <w:spacing w:val="0"/>
      <w:kern w:val="0"/>
      <w:sz w:val="20"/>
      <w:szCs w:val="20"/>
      <w:lang w:eastAsia="en-US"/>
    </w:rPr>
  </w:style>
  <w:style w:type="paragraph" w:styleId="7">
    <w:name w:val="toc 3"/>
    <w:basedOn w:val="1"/>
    <w:next w:val="1"/>
    <w:autoRedefine/>
    <w:unhideWhenUsed/>
    <w:qFormat/>
    <w:uiPriority w:val="39"/>
    <w:pPr>
      <w:ind w:left="840" w:leftChars="400"/>
    </w:pPr>
  </w:style>
  <w:style w:type="paragraph" w:styleId="8">
    <w:name w:val="Plain Text"/>
    <w:basedOn w:val="1"/>
    <w:qFormat/>
    <w:uiPriority w:val="99"/>
    <w:rPr>
      <w:rFonts w:ascii="宋体" w:hAnsi="Courier New" w:cs="宋体"/>
    </w:rPr>
  </w:style>
  <w:style w:type="paragraph" w:styleId="9">
    <w:name w:val="Date"/>
    <w:basedOn w:val="1"/>
    <w:next w:val="1"/>
    <w:link w:val="22"/>
    <w:qFormat/>
    <w:uiPriority w:val="0"/>
    <w:pPr>
      <w:ind w:left="100" w:leftChars="2500"/>
    </w:pPr>
    <w:rPr>
      <w:szCs w:val="24"/>
    </w:rPr>
  </w:style>
  <w:style w:type="paragraph" w:styleId="10">
    <w:name w:val="Balloon Text"/>
    <w:basedOn w:val="1"/>
    <w:link w:val="23"/>
    <w:unhideWhenUsed/>
    <w:qFormat/>
    <w:uiPriority w:val="0"/>
    <w:rPr>
      <w:sz w:val="18"/>
      <w:szCs w:val="18"/>
    </w:rPr>
  </w:style>
  <w:style w:type="paragraph" w:styleId="11">
    <w:name w:val="footer"/>
    <w:basedOn w:val="1"/>
    <w:link w:val="2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25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autoRedefine/>
    <w:unhideWhenUsed/>
    <w:qFormat/>
    <w:uiPriority w:val="39"/>
    <w:pPr>
      <w:tabs>
        <w:tab w:val="right" w:leader="dot" w:pos="8538"/>
      </w:tabs>
      <w:spacing w:line="360" w:lineRule="auto"/>
    </w:pPr>
  </w:style>
  <w:style w:type="paragraph" w:styleId="14">
    <w:name w:val="toc 2"/>
    <w:basedOn w:val="1"/>
    <w:next w:val="1"/>
    <w:autoRedefine/>
    <w:unhideWhenUsed/>
    <w:qFormat/>
    <w:uiPriority w:val="39"/>
    <w:pPr>
      <w:ind w:left="420" w:leftChars="200"/>
    </w:pPr>
  </w:style>
  <w:style w:type="table" w:styleId="16">
    <w:name w:val="Table Grid"/>
    <w:basedOn w:val="1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8">
    <w:name w:val="Strong"/>
    <w:qFormat/>
    <w:uiPriority w:val="0"/>
    <w:rPr>
      <w:b/>
    </w:rPr>
  </w:style>
  <w:style w:type="character" w:styleId="19">
    <w:name w:val="page number"/>
    <w:qFormat/>
    <w:uiPriority w:val="0"/>
  </w:style>
  <w:style w:type="character" w:styleId="20">
    <w:name w:val="Hyperlink"/>
    <w:unhideWhenUsed/>
    <w:qFormat/>
    <w:uiPriority w:val="99"/>
    <w:rPr>
      <w:color w:val="0563C1"/>
      <w:u w:val="single"/>
    </w:rPr>
  </w:style>
  <w:style w:type="character" w:customStyle="1" w:styleId="21">
    <w:name w:val="标题 2 字符"/>
    <w:link w:val="3"/>
    <w:qFormat/>
    <w:uiPriority w:val="9"/>
    <w:rPr>
      <w:rFonts w:ascii="等线 Light" w:hAnsi="等线 Light" w:eastAsia="黑体"/>
      <w:bCs/>
      <w:kern w:val="2"/>
      <w:sz w:val="24"/>
      <w:szCs w:val="32"/>
    </w:rPr>
  </w:style>
  <w:style w:type="character" w:customStyle="1" w:styleId="22">
    <w:name w:val="日期 字符"/>
    <w:link w:val="9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3">
    <w:name w:val="批注框文本 字符"/>
    <w:link w:val="10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4">
    <w:name w:val="页脚 字符"/>
    <w:link w:val="11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5">
    <w:name w:val="页眉 字符"/>
    <w:link w:val="1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fontstyle01"/>
    <w:qFormat/>
    <w:uiPriority w:val="0"/>
    <w:rPr>
      <w:rFonts w:hint="eastAsia" w:ascii="黑体" w:hAnsi="黑体" w:eastAsia="黑体"/>
      <w:color w:val="000000"/>
      <w:sz w:val="32"/>
      <w:szCs w:val="32"/>
    </w:rPr>
  </w:style>
  <w:style w:type="character" w:customStyle="1" w:styleId="27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28">
    <w:name w:val="段 Char"/>
    <w:link w:val="29"/>
    <w:qFormat/>
    <w:uiPriority w:val="0"/>
    <w:rPr>
      <w:rFonts w:ascii="宋体" w:hAnsi="Times New Roman" w:eastAsia="宋体" w:cs="Times New Roman"/>
      <w:kern w:val="0"/>
      <w:szCs w:val="20"/>
    </w:rPr>
  </w:style>
  <w:style w:type="paragraph" w:customStyle="1" w:styleId="29">
    <w:name w:val="段"/>
    <w:link w:val="28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30">
    <w:name w:val="fontstyle11"/>
    <w:qFormat/>
    <w:uiPriority w:val="0"/>
    <w:rPr>
      <w:rFonts w:hint="default" w:ascii="TimesNewRomanPSMT" w:hAnsi="TimesNewRomanPSMT"/>
      <w:color w:val="000000"/>
      <w:sz w:val="22"/>
      <w:szCs w:val="22"/>
    </w:rPr>
  </w:style>
  <w:style w:type="character" w:customStyle="1" w:styleId="31">
    <w:name w:val="apple-style-span"/>
    <w:semiHidden/>
    <w:qFormat/>
    <w:uiPriority w:val="0"/>
  </w:style>
  <w:style w:type="paragraph" w:styleId="32">
    <w:name w:val="List Paragraph"/>
    <w:basedOn w:val="1"/>
    <w:qFormat/>
    <w:uiPriority w:val="99"/>
    <w:pPr>
      <w:ind w:firstLine="420" w:firstLineChars="200"/>
    </w:pPr>
  </w:style>
  <w:style w:type="paragraph" w:customStyle="1" w:styleId="33">
    <w:name w:val="Char1 Char Char Char Char Char Char Char Char Char"/>
    <w:basedOn w:val="1"/>
    <w:qFormat/>
    <w:uiPriority w:val="0"/>
    <w:pPr>
      <w:spacing w:line="360" w:lineRule="auto"/>
    </w:pPr>
    <w:rPr>
      <w:rFonts w:ascii="Tahoma" w:hAnsi="Tahoma"/>
      <w:sz w:val="24"/>
      <w:szCs w:val="20"/>
    </w:rPr>
  </w:style>
  <w:style w:type="paragraph" w:customStyle="1" w:styleId="34">
    <w:name w:val="图标标题"/>
    <w:basedOn w:val="5"/>
    <w:qFormat/>
    <w:uiPriority w:val="0"/>
    <w:pPr>
      <w:jc w:val="center"/>
    </w:pPr>
    <w:rPr>
      <w:sz w:val="21"/>
    </w:rPr>
  </w:style>
  <w:style w:type="paragraph" w:customStyle="1" w:styleId="35">
    <w:name w:val="修订1"/>
    <w:unhideWhenUsed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36">
    <w:name w:val="EndNote Bibliography"/>
    <w:basedOn w:val="1"/>
    <w:link w:val="37"/>
    <w:qFormat/>
    <w:uiPriority w:val="0"/>
    <w:rPr>
      <w:rFonts w:eastAsia="等线"/>
      <w:sz w:val="20"/>
      <w:szCs w:val="22"/>
    </w:rPr>
  </w:style>
  <w:style w:type="character" w:customStyle="1" w:styleId="37">
    <w:name w:val="EndNote Bibliography 字符"/>
    <w:link w:val="36"/>
    <w:qFormat/>
    <w:uiPriority w:val="0"/>
    <w:rPr>
      <w:rFonts w:eastAsia="等线"/>
      <w:kern w:val="2"/>
      <w:szCs w:val="22"/>
    </w:rPr>
  </w:style>
  <w:style w:type="paragraph" w:customStyle="1" w:styleId="38">
    <w:name w:val="EndNote Bibliography Title"/>
    <w:basedOn w:val="1"/>
    <w:link w:val="39"/>
    <w:qFormat/>
    <w:uiPriority w:val="0"/>
    <w:pPr>
      <w:jc w:val="center"/>
    </w:pPr>
    <w:rPr>
      <w:sz w:val="20"/>
    </w:rPr>
  </w:style>
  <w:style w:type="character" w:customStyle="1" w:styleId="39">
    <w:name w:val="EndNote Bibliography Title 字符"/>
    <w:link w:val="38"/>
    <w:qFormat/>
    <w:uiPriority w:val="0"/>
    <w:rPr>
      <w:kern w:val="2"/>
      <w:szCs w:val="21"/>
      <w:lang w:val="en-US" w:eastAsia="zh-CN"/>
    </w:rPr>
  </w:style>
  <w:style w:type="character" w:customStyle="1" w:styleId="40">
    <w:name w:val="标题 1 字符"/>
    <w:link w:val="2"/>
    <w:qFormat/>
    <w:uiPriority w:val="9"/>
    <w:rPr>
      <w:b/>
      <w:bCs/>
      <w:kern w:val="44"/>
      <w:sz w:val="28"/>
      <w:szCs w:val="44"/>
    </w:rPr>
  </w:style>
  <w:style w:type="paragraph" w:customStyle="1" w:styleId="41">
    <w:name w:val="TOC 标题1"/>
    <w:basedOn w:val="2"/>
    <w:next w:val="1"/>
    <w:unhideWhenUsed/>
    <w:qFormat/>
    <w:uiPriority w:val="39"/>
    <w:pPr>
      <w:widowControl/>
      <w:spacing w:after="0" w:line="259" w:lineRule="auto"/>
      <w:jc w:val="left"/>
      <w:outlineLvl w:val="9"/>
    </w:pPr>
    <w:rPr>
      <w:rFonts w:ascii="等线 Light" w:hAnsi="等线 Light" w:eastAsia="等线 Light"/>
      <w:b w:val="0"/>
      <w:bCs w:val="0"/>
      <w:color w:val="2F5496"/>
      <w:kern w:val="0"/>
      <w:sz w:val="32"/>
      <w:szCs w:val="32"/>
    </w:rPr>
  </w:style>
  <w:style w:type="character" w:customStyle="1" w:styleId="42">
    <w:name w:val="标题 3 字符"/>
    <w:link w:val="4"/>
    <w:qFormat/>
    <w:uiPriority w:val="9"/>
    <w:rPr>
      <w:b/>
      <w:bCs/>
      <w:kern w:val="2"/>
      <w:sz w:val="24"/>
      <w:szCs w:val="32"/>
    </w:rPr>
  </w:style>
  <w:style w:type="character" w:customStyle="1" w:styleId="43">
    <w:name w:val="标准文件_段 Char"/>
    <w:link w:val="44"/>
    <w:qFormat/>
    <w:locked/>
    <w:uiPriority w:val="0"/>
    <w:rPr>
      <w:rFonts w:ascii="宋体"/>
      <w:sz w:val="21"/>
    </w:rPr>
  </w:style>
  <w:style w:type="paragraph" w:customStyle="1" w:styleId="44">
    <w:name w:val="标准文件_段"/>
    <w:link w:val="43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5">
    <w:name w:val="标准文件_一级条标题"/>
    <w:basedOn w:val="46"/>
    <w:next w:val="44"/>
    <w:autoRedefine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46">
    <w:name w:val="标准文件_章标题"/>
    <w:next w:val="44"/>
    <w:autoRedefine/>
    <w:qFormat/>
    <w:uiPriority w:val="0"/>
    <w:pPr>
      <w:numPr>
        <w:ilvl w:val="1"/>
        <w:numId w:val="1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BFD8C-1850-47D2-BE5D-0813EAA0C0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8</Pages>
  <Words>3710</Words>
  <Characters>4302</Characters>
  <Lines>38</Lines>
  <Paragraphs>10</Paragraphs>
  <TotalTime>7</TotalTime>
  <ScaleCrop>false</ScaleCrop>
  <LinksUpToDate>false</LinksUpToDate>
  <CharactersWithSpaces>4411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2025-12-17T06:59:00Z</dcterms:created>
  <dc:creator>win10</dc:creator>
  <cp:lastModifiedBy>王勇</cp:lastModifiedBy>
  <cp:lastPrinted>2026-02-26T04:22:00Z</cp:lastPrinted>
  <dcterms:modified xsi:type="dcterms:W3CDTF">2026-05-14T00:42:40Z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0CE2BDB013984F61A10F2180762B2E0C_13</vt:lpwstr>
  </property>
  <property fmtid="{D5CDD505-2E9C-101B-9397-08002B2CF9AE}" pid="4" name="KSOTemplateDocerSaveRecord">
    <vt:lpwstr>eyJoZGlkIjoiNDBlYWJiZTQ4MzBjZDlhOWRjYWExZjZlM2NlY2JjOTUiLCJ1c2VySWQiOiIxNjIzODUwODAwIn0=</vt:lpwstr>
  </property>
</Properties>
</file>