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58810">
      <w:pPr>
        <w:spacing w:line="360" w:lineRule="auto"/>
        <w:rPr>
          <w:bCs/>
          <w:color w:val="C00000"/>
          <w:sz w:val="36"/>
          <w:szCs w:val="36"/>
        </w:rPr>
      </w:pPr>
      <w:bookmarkStart w:id="0" w:name="_Hlk528261495"/>
      <w:bookmarkStart w:id="1" w:name="OLE_LINK3"/>
    </w:p>
    <w:p w14:paraId="23F1C134">
      <w:pPr>
        <w:spacing w:line="360" w:lineRule="auto"/>
        <w:rPr>
          <w:bCs/>
          <w:color w:val="C00000"/>
          <w:sz w:val="36"/>
          <w:szCs w:val="36"/>
        </w:rPr>
      </w:pPr>
    </w:p>
    <w:p w14:paraId="0C8DB73E">
      <w:pPr>
        <w:spacing w:line="360" w:lineRule="auto"/>
        <w:rPr>
          <w:bCs/>
          <w:color w:val="C00000"/>
          <w:sz w:val="48"/>
          <w:szCs w:val="48"/>
        </w:rPr>
      </w:pPr>
    </w:p>
    <w:p w14:paraId="33BB86B6">
      <w:pPr>
        <w:spacing w:line="360" w:lineRule="auto"/>
        <w:rPr>
          <w:bCs/>
          <w:color w:val="C00000"/>
          <w:sz w:val="48"/>
          <w:szCs w:val="48"/>
        </w:rPr>
      </w:pPr>
    </w:p>
    <w:p w14:paraId="3C2BCF01">
      <w:pPr>
        <w:jc w:val="center"/>
        <w:rPr>
          <w:sz w:val="52"/>
          <w:szCs w:val="52"/>
        </w:rPr>
      </w:pPr>
      <w:r>
        <w:rPr>
          <w:sz w:val="52"/>
          <w:szCs w:val="52"/>
        </w:rPr>
        <w:t>团 体 标 准</w:t>
      </w:r>
    </w:p>
    <w:p w14:paraId="77B13FDD">
      <w:pPr>
        <w:jc w:val="center"/>
        <w:rPr>
          <w:rFonts w:hint="eastAsia" w:ascii="黑体" w:hAnsi="黑体" w:eastAsia="黑体"/>
          <w:sz w:val="48"/>
          <w:szCs w:val="48"/>
        </w:rPr>
      </w:pPr>
    </w:p>
    <w:p w14:paraId="65EBEDB4"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《温性草甸草原退化割草地沼液施用技术规程》</w:t>
      </w:r>
    </w:p>
    <w:p w14:paraId="270B0C4D">
      <w:pPr>
        <w:spacing w:before="312" w:beforeLines="100" w:after="312" w:afterLines="100" w:line="480" w:lineRule="auto"/>
        <w:ind w:left="-67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编制说明</w:t>
      </w:r>
    </w:p>
    <w:p w14:paraId="6DE3ADC0">
      <w:pPr>
        <w:spacing w:line="360" w:lineRule="auto"/>
        <w:rPr>
          <w:bCs/>
          <w:sz w:val="36"/>
          <w:szCs w:val="36"/>
        </w:rPr>
      </w:pPr>
    </w:p>
    <w:p w14:paraId="528D9F67">
      <w:pPr>
        <w:spacing w:line="360" w:lineRule="auto"/>
        <w:rPr>
          <w:bCs/>
          <w:sz w:val="36"/>
          <w:szCs w:val="36"/>
        </w:rPr>
      </w:pPr>
    </w:p>
    <w:p w14:paraId="1E29079D">
      <w:pPr>
        <w:spacing w:line="360" w:lineRule="auto"/>
        <w:rPr>
          <w:bCs/>
          <w:sz w:val="36"/>
          <w:szCs w:val="36"/>
        </w:rPr>
      </w:pPr>
    </w:p>
    <w:p w14:paraId="2715D9AB">
      <w:pPr>
        <w:spacing w:line="360" w:lineRule="auto"/>
        <w:rPr>
          <w:bCs/>
          <w:sz w:val="36"/>
          <w:szCs w:val="36"/>
        </w:rPr>
      </w:pPr>
    </w:p>
    <w:p w14:paraId="0C4C417A">
      <w:pPr>
        <w:spacing w:line="360" w:lineRule="auto"/>
        <w:rPr>
          <w:bCs/>
          <w:sz w:val="36"/>
          <w:szCs w:val="36"/>
        </w:rPr>
      </w:pPr>
    </w:p>
    <w:p w14:paraId="64789C51">
      <w:pPr>
        <w:spacing w:line="360" w:lineRule="auto"/>
        <w:rPr>
          <w:bCs/>
          <w:sz w:val="36"/>
          <w:szCs w:val="36"/>
        </w:rPr>
      </w:pPr>
    </w:p>
    <w:p w14:paraId="0211B5B5">
      <w:pPr>
        <w:spacing w:line="360" w:lineRule="auto"/>
        <w:rPr>
          <w:bCs/>
          <w:sz w:val="36"/>
          <w:szCs w:val="36"/>
        </w:rPr>
      </w:pPr>
    </w:p>
    <w:p w14:paraId="7C7491E7">
      <w:pPr>
        <w:widowControl/>
        <w:rPr>
          <w:bCs/>
          <w:sz w:val="44"/>
          <w:szCs w:val="44"/>
        </w:rPr>
      </w:pPr>
    </w:p>
    <w:p w14:paraId="1F0E511F">
      <w:pPr>
        <w:widowControl/>
        <w:rPr>
          <w:bCs/>
          <w:sz w:val="44"/>
          <w:szCs w:val="44"/>
        </w:rPr>
      </w:pPr>
    </w:p>
    <w:p w14:paraId="034AC298">
      <w:pPr>
        <w:ind w:left="-52" w:leftChars="-67" w:right="-382" w:rightChars="-182" w:hanging="89" w:hangingChars="32"/>
        <w:jc w:val="center"/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《温性草甸草原退化割草地沼液施用技术规程》团标制定组</w:t>
      </w:r>
    </w:p>
    <w:p w14:paraId="6617FAC3">
      <w:pPr>
        <w:widowControl/>
        <w:jc w:val="center"/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2026</w:t>
      </w:r>
      <w:r>
        <w:rPr>
          <w:rFonts w:ascii="黑体" w:hAnsi="黑体" w:eastAsia="黑体"/>
          <w:bCs/>
          <w:sz w:val="28"/>
          <w:szCs w:val="28"/>
        </w:rPr>
        <w:t>年</w:t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4</w:t>
      </w:r>
      <w:r>
        <w:rPr>
          <w:rFonts w:ascii="黑体" w:hAnsi="黑体" w:eastAsia="黑体"/>
          <w:bCs/>
          <w:sz w:val="28"/>
          <w:szCs w:val="28"/>
        </w:rPr>
        <w:t>月</w:t>
      </w:r>
    </w:p>
    <w:bookmarkEnd w:id="0"/>
    <w:p w14:paraId="38548757">
      <w:pPr>
        <w:pStyle w:val="32"/>
        <w:spacing w:before="312" w:beforeLines="100" w:after="312" w:afterLines="100" w:line="420" w:lineRule="exact"/>
        <w:ind w:firstLineChars="0"/>
        <w:jc w:val="center"/>
        <w:rPr>
          <w:rFonts w:hint="eastAsia"/>
          <w:b/>
          <w:color w:val="000000"/>
          <w:sz w:val="28"/>
          <w:szCs w:val="28"/>
        </w:rPr>
        <w:sectPr>
          <w:footerReference r:id="rId3" w:type="even"/>
          <w:pgSz w:w="11906" w:h="16838"/>
          <w:pgMar w:top="1843" w:right="1558" w:bottom="1702" w:left="1800" w:header="851" w:footer="992" w:gutter="0"/>
          <w:cols w:space="720" w:num="1"/>
          <w:docGrid w:type="lines" w:linePitch="312" w:charSpace="0"/>
        </w:sectPr>
      </w:pPr>
    </w:p>
    <w:p w14:paraId="40FBF7DD">
      <w:pPr>
        <w:pStyle w:val="32"/>
        <w:spacing w:before="312" w:beforeLines="100" w:after="312" w:afterLines="100" w:line="420" w:lineRule="exact"/>
        <w:ind w:firstLineChars="0"/>
        <w:jc w:val="center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目  次</w:t>
      </w:r>
    </w:p>
    <w:p w14:paraId="1D60AEC8">
      <w:pPr>
        <w:pStyle w:val="32"/>
        <w:spacing w:line="360" w:lineRule="auto"/>
        <w:ind w:firstLineChars="0"/>
        <w:rPr>
          <w:b/>
          <w:color w:val="000000"/>
          <w:sz w:val="22"/>
          <w:szCs w:val="22"/>
        </w:rPr>
      </w:pPr>
    </w:p>
    <w:p w14:paraId="5E19A56C">
      <w:pPr>
        <w:pStyle w:val="12"/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TOC \o "1-3" \h \z \u </w:instrText>
      </w:r>
      <w:r>
        <w:rPr>
          <w:sz w:val="24"/>
          <w:szCs w:val="24"/>
        </w:rPr>
        <w:fldChar w:fldCharType="separate"/>
      </w:r>
      <w:r>
        <w:fldChar w:fldCharType="begin"/>
      </w:r>
      <w:r>
        <w:instrText xml:space="preserve"> HYPERLINK \l "_Toc176547930" </w:instrText>
      </w:r>
      <w:r>
        <w:fldChar w:fldCharType="separate"/>
      </w:r>
      <w:r>
        <w:rPr>
          <w:rStyle w:val="20"/>
          <w:rFonts w:hint="eastAsia"/>
        </w:rPr>
        <w:t>一、任务来源及标准制定背景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_Toc176547930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1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18EC1846">
      <w:pPr>
        <w:pStyle w:val="13"/>
        <w:tabs>
          <w:tab w:val="right" w:leader="dot" w:pos="8538"/>
        </w:tabs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fldChar w:fldCharType="begin"/>
      </w:r>
      <w:r>
        <w:instrText xml:space="preserve"> HYPERLINK \l "_Toc176547931" </w:instrText>
      </w:r>
      <w:r>
        <w:fldChar w:fldCharType="separate"/>
      </w:r>
      <w:r>
        <w:rPr>
          <w:rStyle w:val="20"/>
          <w:rFonts w:hint="eastAsia"/>
        </w:rPr>
        <w:t>1、任务来源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_Toc176547931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1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346BE875">
      <w:pPr>
        <w:pStyle w:val="13"/>
        <w:tabs>
          <w:tab w:val="right" w:leader="dot" w:pos="8538"/>
        </w:tabs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fldChar w:fldCharType="begin"/>
      </w:r>
      <w:r>
        <w:instrText xml:space="preserve"> HYPERLINK \l "_Toc176547932" </w:instrText>
      </w:r>
      <w:r>
        <w:fldChar w:fldCharType="separate"/>
      </w:r>
      <w:r>
        <w:rPr>
          <w:rStyle w:val="20"/>
          <w:rFonts w:hint="eastAsia"/>
        </w:rPr>
        <w:t>2、标准制定背景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_Toc176547932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1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2AC19EBB">
      <w:pPr>
        <w:pStyle w:val="12"/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fldChar w:fldCharType="begin"/>
      </w:r>
      <w:r>
        <w:instrText xml:space="preserve"> HYPERLINK \l "_Toc176547933" </w:instrText>
      </w:r>
      <w:r>
        <w:fldChar w:fldCharType="separate"/>
      </w:r>
      <w:r>
        <w:rPr>
          <w:rStyle w:val="20"/>
          <w:rFonts w:hint="eastAsia"/>
        </w:rPr>
        <w:t>二、主要工作过程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_Toc176547933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2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60F337AF">
      <w:pPr>
        <w:pStyle w:val="12"/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fldChar w:fldCharType="begin"/>
      </w:r>
      <w:r>
        <w:instrText xml:space="preserve"> HYPERLINK \l "_Toc176547934" </w:instrText>
      </w:r>
      <w:r>
        <w:fldChar w:fldCharType="separate"/>
      </w:r>
      <w:r>
        <w:rPr>
          <w:rStyle w:val="20"/>
          <w:rFonts w:hint="eastAsia"/>
        </w:rPr>
        <w:t>三、标准编制原则和主要技术内容确定的依据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_Toc176547934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3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6DAC26EA">
      <w:pPr>
        <w:pStyle w:val="13"/>
        <w:tabs>
          <w:tab w:val="right" w:leader="dot" w:pos="8538"/>
        </w:tabs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fldChar w:fldCharType="begin"/>
      </w:r>
      <w:r>
        <w:instrText xml:space="preserve"> HYPERLINK \l "_Toc176547935" </w:instrText>
      </w:r>
      <w:r>
        <w:fldChar w:fldCharType="separate"/>
      </w:r>
      <w:r>
        <w:rPr>
          <w:rStyle w:val="20"/>
          <w:rFonts w:hint="eastAsia"/>
        </w:rPr>
        <w:t>1、标准编制原则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_Toc176547935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3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005DBFE5">
      <w:pPr>
        <w:pStyle w:val="13"/>
        <w:tabs>
          <w:tab w:val="right" w:leader="dot" w:pos="8538"/>
        </w:tabs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fldChar w:fldCharType="begin"/>
      </w:r>
      <w:r>
        <w:instrText xml:space="preserve"> HYPERLINK \l "_Toc176547936" </w:instrText>
      </w:r>
      <w:r>
        <w:fldChar w:fldCharType="separate"/>
      </w:r>
      <w:r>
        <w:rPr>
          <w:rStyle w:val="20"/>
          <w:rFonts w:hint="eastAsia"/>
        </w:rPr>
        <w:t>2、主要技术内容确定的论据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_Toc176547936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4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2797626D">
      <w:pPr>
        <w:pStyle w:val="12"/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fldChar w:fldCharType="begin"/>
      </w:r>
      <w:r>
        <w:instrText xml:space="preserve"> HYPERLINK \l "_Toc176547937" </w:instrText>
      </w:r>
      <w:r>
        <w:fldChar w:fldCharType="separate"/>
      </w:r>
      <w:r>
        <w:rPr>
          <w:rStyle w:val="20"/>
          <w:rFonts w:hint="eastAsia"/>
        </w:rPr>
        <w:t>四、采用的国际标准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fldChar w:fldCharType="end"/>
      </w:r>
    </w:p>
    <w:p w14:paraId="75A7A5D8">
      <w:pPr>
        <w:pStyle w:val="12"/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fldChar w:fldCharType="begin"/>
      </w:r>
      <w:r>
        <w:instrText xml:space="preserve"> HYPERLINK \l "_Toc176547938" </w:instrText>
      </w:r>
      <w:r>
        <w:fldChar w:fldCharType="separate"/>
      </w:r>
      <w:r>
        <w:rPr>
          <w:rStyle w:val="20"/>
          <w:rFonts w:hint="eastAsia"/>
        </w:rPr>
        <w:t>五、与现行法律法规和强制性标准的关系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_Toc176547938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12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3B924B2D">
      <w:pPr>
        <w:pStyle w:val="12"/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fldChar w:fldCharType="begin"/>
      </w:r>
      <w:r>
        <w:instrText xml:space="preserve"> HYPERLINK \l "_Toc176547939" </w:instrText>
      </w:r>
      <w:r>
        <w:fldChar w:fldCharType="separate"/>
      </w:r>
      <w:r>
        <w:rPr>
          <w:rStyle w:val="20"/>
          <w:rFonts w:hint="eastAsia"/>
        </w:rPr>
        <w:t>六、重大分歧意见的处理经过和依据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fldChar w:fldCharType="end"/>
      </w:r>
    </w:p>
    <w:p w14:paraId="765AD2FD">
      <w:pPr>
        <w:pStyle w:val="12"/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fldChar w:fldCharType="begin"/>
      </w:r>
      <w:r>
        <w:instrText xml:space="preserve"> HYPERLINK \l "_Toc176547940" </w:instrText>
      </w:r>
      <w:r>
        <w:fldChar w:fldCharType="separate"/>
      </w:r>
      <w:r>
        <w:rPr>
          <w:rStyle w:val="20"/>
          <w:rFonts w:hint="eastAsia"/>
        </w:rPr>
        <w:t>七、标准作为强制性或推荐性标准的意见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_Toc176547940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12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155D255B">
      <w:pPr>
        <w:pStyle w:val="12"/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fldChar w:fldCharType="begin"/>
      </w:r>
      <w:r>
        <w:instrText xml:space="preserve"> HYPERLINK \l "_Toc176547941" </w:instrText>
      </w:r>
      <w:r>
        <w:fldChar w:fldCharType="separate"/>
      </w:r>
      <w:r>
        <w:rPr>
          <w:rStyle w:val="20"/>
          <w:rFonts w:hint="eastAsia"/>
        </w:rPr>
        <w:t>八、贯彻标准的要求和措施建议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_Toc176547941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12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316EC7D6">
      <w:pPr>
        <w:pStyle w:val="12"/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fldChar w:fldCharType="begin"/>
      </w:r>
      <w:r>
        <w:instrText xml:space="preserve"> HYPERLINK \l "_Toc176547942" </w:instrText>
      </w:r>
      <w:r>
        <w:fldChar w:fldCharType="separate"/>
      </w:r>
      <w:r>
        <w:rPr>
          <w:rStyle w:val="20"/>
          <w:rFonts w:hint="eastAsia"/>
        </w:rPr>
        <w:t>九、废止现行有关标准的建议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_Toc176547942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13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01F523EE">
      <w:pPr>
        <w:pStyle w:val="12"/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fldChar w:fldCharType="begin"/>
      </w:r>
      <w:r>
        <w:instrText xml:space="preserve"> HYPERLINK \l "_Toc176547943" </w:instrText>
      </w:r>
      <w:r>
        <w:fldChar w:fldCharType="separate"/>
      </w:r>
      <w:r>
        <w:rPr>
          <w:rStyle w:val="20"/>
          <w:rFonts w:hint="eastAsia"/>
        </w:rPr>
        <w:t>十、其他应予说明的事项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_Toc176547943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13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7755D24F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  <w:lang w:val="zh-CN"/>
        </w:rPr>
        <w:fldChar w:fldCharType="end"/>
      </w:r>
    </w:p>
    <w:p w14:paraId="32720C13">
      <w:pPr>
        <w:pStyle w:val="32"/>
        <w:spacing w:before="312" w:beforeLines="100" w:after="312" w:afterLines="100" w:line="420" w:lineRule="exact"/>
        <w:ind w:firstLineChars="0"/>
        <w:rPr>
          <w:b/>
          <w:color w:val="000000"/>
          <w:sz w:val="28"/>
          <w:szCs w:val="28"/>
        </w:rPr>
      </w:pPr>
    </w:p>
    <w:p w14:paraId="05B64E18">
      <w:pPr>
        <w:pStyle w:val="2"/>
        <w:spacing w:before="0" w:after="0"/>
        <w:sectPr>
          <w:footerReference r:id="rId4" w:type="default"/>
          <w:pgSz w:w="11906" w:h="16838"/>
          <w:pgMar w:top="1843" w:right="1558" w:bottom="1702" w:left="1800" w:header="851" w:footer="992" w:gutter="0"/>
          <w:pgNumType w:start="1"/>
          <w:cols w:space="720" w:num="1"/>
          <w:docGrid w:type="lines" w:linePitch="312" w:charSpace="0"/>
        </w:sectPr>
      </w:pPr>
    </w:p>
    <w:p w14:paraId="3EB17B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 xml:space="preserve"> </w:t>
      </w:r>
      <w:bookmarkStart w:id="2" w:name="_Toc176547930"/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一、任务来源及标准制定背景</w:t>
      </w:r>
      <w:bookmarkEnd w:id="2"/>
    </w:p>
    <w:p w14:paraId="39E2EE66">
      <w:pPr>
        <w:pStyle w:val="3"/>
        <w:spacing w:before="0" w:after="0"/>
        <w:rPr>
          <w:rFonts w:hint="eastAsia" w:ascii="黑体" w:hAnsi="黑体" w:eastAsia="黑体" w:cs="黑体"/>
          <w:b w:val="0"/>
          <w:bCs w:val="0"/>
          <w:sz w:val="22"/>
          <w:szCs w:val="22"/>
        </w:rPr>
      </w:pPr>
      <w:bookmarkStart w:id="3" w:name="_Toc176547931"/>
      <w:r>
        <w:rPr>
          <w:rFonts w:hint="eastAsia" w:ascii="黑体" w:hAnsi="黑体" w:eastAsia="黑体" w:cs="黑体"/>
          <w:b w:val="0"/>
          <w:bCs w:val="0"/>
          <w:sz w:val="22"/>
          <w:szCs w:val="22"/>
        </w:rPr>
        <w:t>1</w:t>
      </w:r>
      <w:r>
        <w:rPr>
          <w:rFonts w:hint="eastAsia" w:ascii="黑体" w:hAnsi="黑体" w:cs="黑体"/>
          <w:b w:val="0"/>
          <w:bCs w:val="0"/>
          <w:sz w:val="22"/>
          <w:szCs w:val="22"/>
          <w:lang w:val="en-US" w:eastAsia="zh-CN"/>
        </w:rPr>
        <w:t xml:space="preserve">. </w:t>
      </w:r>
      <w:r>
        <w:rPr>
          <w:rFonts w:hint="eastAsia" w:ascii="黑体" w:hAnsi="黑体" w:eastAsia="黑体" w:cs="黑体"/>
          <w:b w:val="0"/>
          <w:bCs w:val="0"/>
          <w:sz w:val="22"/>
          <w:szCs w:val="22"/>
        </w:rPr>
        <w:t>任务来源</w:t>
      </w:r>
      <w:bookmarkEnd w:id="3"/>
    </w:p>
    <w:p w14:paraId="51E08244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</w:rPr>
        <w:t>本技术规程由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北京林业大学，中国农业大学，蒙草生态环境（集团）股份有限公司，内蒙古科学技术研究院</w:t>
      </w:r>
      <w:r>
        <w:rPr>
          <w:rFonts w:hint="eastAsia" w:ascii="宋体" w:hAnsi="宋体" w:cs="宋体"/>
          <w:b w:val="0"/>
          <w:bCs w:val="0"/>
          <w:kern w:val="0"/>
          <w:sz w:val="22"/>
          <w:szCs w:val="22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现代牧业（通辽）有限公司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</w:rPr>
        <w:t>共同申报。由北京林业大学草业与草原学院作为主编单位牵头成立标准编制组，明确任务分工、确定技术路线，系统开展标准调研、试验验证、文本撰写、专家咨询与征求意见工作。</w:t>
      </w:r>
    </w:p>
    <w:p w14:paraId="256C4FC9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各单位编制分工如下：</w:t>
      </w:r>
    </w:p>
    <w:p w14:paraId="76494D2E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（1）北京林业大学：负责标准整体统筹、文献与标准搜集、试验数据整理、文本撰写、技术参数论证、专家评审组织、标准宣贯等全流程工作。</w:t>
      </w:r>
    </w:p>
    <w:p w14:paraId="3E482574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（2）中国农业大学：参与草地退化分级、沼液肥效试验、生态风险评估、技术参数修正与文本审核。</w:t>
      </w:r>
    </w:p>
    <w:p w14:paraId="04080BB2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（3）蒙草生态环境（集团）股份有限公司：参与实地调研、示范区监测、施工工艺验证、技术参数优化。</w:t>
      </w:r>
    </w:p>
    <w:p w14:paraId="435AE375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（4）内蒙古科学技术研究院</w:t>
      </w:r>
      <w:r>
        <w:rPr>
          <w:rFonts w:hint="eastAsia" w:ascii="宋体" w:hAnsi="宋体" w:cs="宋体"/>
          <w:b w:val="0"/>
          <w:bCs w:val="0"/>
          <w:kern w:val="0"/>
          <w:sz w:val="22"/>
          <w:szCs w:val="22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参与实地调研、</w:t>
      </w:r>
      <w:r>
        <w:rPr>
          <w:rFonts w:hint="eastAsia" w:ascii="宋体" w:hAnsi="宋体" w:cs="宋体"/>
          <w:b w:val="0"/>
          <w:bCs w:val="0"/>
          <w:kern w:val="0"/>
          <w:sz w:val="22"/>
          <w:szCs w:val="22"/>
          <w:lang w:val="en-US" w:eastAsia="zh-CN"/>
        </w:rPr>
        <w:t>生态风险评估、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技术参数优化。</w:t>
      </w:r>
    </w:p>
    <w:p w14:paraId="4747188D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（</w:t>
      </w:r>
      <w:r>
        <w:rPr>
          <w:rFonts w:hint="eastAsia" w:ascii="宋体" w:hAnsi="宋体" w:cs="宋体"/>
          <w:b w:val="0"/>
          <w:bCs w:val="0"/>
          <w:kern w:val="0"/>
          <w:sz w:val="22"/>
          <w:szCs w:val="22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）现代牧业（通辽）有限公司：提供沼液原料来源、发酵工艺参数、</w:t>
      </w:r>
      <w:bookmarkStart w:id="16" w:name="_GoBack"/>
      <w:bookmarkEnd w:id="16"/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田间施用数据，参与质量指标与安全阈值论证。</w:t>
      </w:r>
    </w:p>
    <w:p w14:paraId="0DF60AF0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标准编制组人员组成：本标准编制小组共计</w:t>
      </w:r>
      <w:r>
        <w:rPr>
          <w:rFonts w:hint="eastAsia" w:ascii="宋体" w:hAnsi="宋体" w:cs="宋体"/>
          <w:b w:val="0"/>
          <w:bCs w:val="0"/>
          <w:kern w:val="0"/>
          <w:sz w:val="22"/>
          <w:szCs w:val="22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人，具体为：尹淑霞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（总负责人）、牛启尘、陈翔、杜雪、崔海鹏、刘洪瑀、战崇敬、祁虹银、温欣。</w:t>
      </w:r>
    </w:p>
    <w:p w14:paraId="2CF241EC">
      <w:pPr>
        <w:pStyle w:val="3"/>
        <w:spacing w:before="0" w:after="0"/>
        <w:rPr>
          <w:rFonts w:hint="eastAsia" w:ascii="黑体" w:hAnsi="黑体" w:eastAsia="黑体" w:cs="黑体"/>
          <w:b w:val="0"/>
          <w:bCs w:val="0"/>
          <w:sz w:val="22"/>
          <w:szCs w:val="22"/>
        </w:rPr>
      </w:pPr>
      <w:bookmarkStart w:id="4" w:name="_Toc176547932"/>
      <w:r>
        <w:rPr>
          <w:rFonts w:hint="eastAsia" w:ascii="黑体" w:hAnsi="黑体" w:eastAsia="黑体" w:cs="黑体"/>
          <w:b w:val="0"/>
          <w:bCs w:val="0"/>
          <w:sz w:val="22"/>
          <w:szCs w:val="22"/>
        </w:rPr>
        <w:t>2</w:t>
      </w:r>
      <w:r>
        <w:rPr>
          <w:rFonts w:hint="eastAsia" w:ascii="黑体" w:hAnsi="黑体" w:cs="黑体"/>
          <w:b w:val="0"/>
          <w:bCs w:val="0"/>
          <w:sz w:val="22"/>
          <w:szCs w:val="22"/>
          <w:lang w:val="en-US" w:eastAsia="zh-CN"/>
        </w:rPr>
        <w:t xml:space="preserve">. </w:t>
      </w:r>
      <w:r>
        <w:rPr>
          <w:rFonts w:hint="eastAsia" w:ascii="黑体" w:hAnsi="黑体" w:eastAsia="黑体" w:cs="黑体"/>
          <w:b w:val="0"/>
          <w:bCs w:val="0"/>
          <w:sz w:val="22"/>
          <w:szCs w:val="22"/>
        </w:rPr>
        <w:t>标准制定背景</w:t>
      </w:r>
      <w:bookmarkEnd w:id="4"/>
    </w:p>
    <w:p w14:paraId="4DD416CB">
      <w:pPr>
        <w:widowControl/>
        <w:adjustRightInd w:val="0"/>
        <w:snapToGrid w:val="0"/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（1） 温性草甸草原退化割草地生态与生产问题突出</w:t>
      </w:r>
    </w:p>
    <w:p w14:paraId="2E3A40F4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温性草甸草原是我国内蒙古东部最重要的天然割草地资源，兼具生态屏障功能与饲草生产功能，是区域畜牧业高质量发展的核心基础。近年来，受长期连续刈割、土壤养分透支、氮磷钾比例失衡、有机质下降、土层板结、干旱胁迫加剧等多重因素影响，该区域退化割草地普遍出现：</w:t>
      </w:r>
    </w:p>
    <w:p w14:paraId="295FAB9A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•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植被盖度降低、优势草种衰退、杂草比例上升；</w:t>
      </w:r>
    </w:p>
    <w:p w14:paraId="2405A3FD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•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产草量持续下降、饲草品质变差；</w:t>
      </w:r>
    </w:p>
    <w:p w14:paraId="69623DEE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•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土壤结构破坏、保水保肥能力减弱；</w:t>
      </w:r>
    </w:p>
    <w:p w14:paraId="1F9BE638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•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生态系统稳定性降低、自我恢复能力变差。</w:t>
      </w:r>
    </w:p>
    <w:p w14:paraId="69367D46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传统修复以围栏、补播、施用化肥为主，易造成土壤板结、面源污染、成本偏高、群落恢复慢等问题，难以满足生态修复与生产提质的双重需求。</w:t>
      </w:r>
    </w:p>
    <w:p w14:paraId="5E6D0957">
      <w:pPr>
        <w:widowControl/>
        <w:adjustRightInd w:val="0"/>
        <w:snapToGrid w:val="0"/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（2） 沼液资源化利用成为绿色修复重要技术路径</w:t>
      </w:r>
    </w:p>
    <w:p w14:paraId="7DFA8417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沼液是畜禽粪污、农作物秸秆等有机物料厌氧发酵后的液态副产物，富含氮、磷、钾、有机质、氨基酸、腐殖酸及多种生物活性物质，是典型的绿色有机液态肥。科学、规范施用沼液可实现：</w:t>
      </w:r>
    </w:p>
    <w:p w14:paraId="5242A63B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•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补充土壤养分、提升土壤有机质、改良土壤结构；</w:t>
      </w:r>
    </w:p>
    <w:p w14:paraId="41BF96AD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•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促进牧草返青与生长、提高盖度与产量、优化群落结构；</w:t>
      </w:r>
    </w:p>
    <w:p w14:paraId="2CE0B6E0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•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实现农牧业废弃物资源化利用，减少环境污染；</w:t>
      </w:r>
    </w:p>
    <w:p w14:paraId="273623BA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•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降低化肥依赖，契合草原生态保护、绿色循环农业、双碳目标等国家战略。</w:t>
      </w:r>
    </w:p>
    <w:p w14:paraId="0AF88420">
      <w:pPr>
        <w:widowControl/>
        <w:adjustRightInd w:val="0"/>
        <w:snapToGrid w:val="0"/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（3） 现有标准体系存在明显短板，无专项规程可用</w:t>
      </w:r>
    </w:p>
    <w:p w14:paraId="34F36A23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当前，内蒙古东部温性草甸草原退化割草地沼液施用需求迫切，但沼液相关标准多为农用沼液通则、农田沼肥施用规范，实际应用中存在以下不足：</w:t>
      </w:r>
    </w:p>
    <w:p w14:paraId="46F3C3F7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•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未针对温性草甸草原、退化割草地、半干旱 / 半湿润区制定专项技术要求</w:t>
      </w:r>
    </w:p>
    <w:p w14:paraId="091AB281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•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未明确降水≥350 mm 区域的施用阈值、安全用量、施用时期与风险管控措施</w:t>
      </w:r>
    </w:p>
    <w:p w14:paraId="7CE39C38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•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对草地生态敏感区的重金属、卫生指标、盐度等关键指标要求不明确</w:t>
      </w:r>
    </w:p>
    <w:p w14:paraId="2EC20D71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•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缺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乏与天然打草场退化分级相匹配的差异化施用方案</w:t>
      </w:r>
    </w:p>
    <w:p w14:paraId="344BD80C">
      <w:pPr>
        <w:widowControl/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工程实践中因无标可依，常出现用量过大烧苗、施用时期不当无效、沼液不达标造成污染、修复效果不稳定等问题，亟需专项规程统一技术要求。</w:t>
      </w:r>
    </w:p>
    <w:p w14:paraId="07732F71">
      <w:pPr>
        <w:widowControl/>
        <w:adjustRightInd w:val="0"/>
        <w:snapToGrid w:val="0"/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（4） 制定本规程是产业发展与生态安全的迫切需要</w:t>
      </w:r>
    </w:p>
    <w:p w14:paraId="599DEA13">
      <w:pPr>
        <w:pStyle w:val="2"/>
        <w:spacing w:before="0" w:after="0"/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bookmarkStart w:id="5" w:name="_Toc176547933"/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内蒙古东部牧区大型牧场多、天然割草地面积大、退化问题集中、沼液资源丰富，标准化施用可实现： </w:t>
      </w:r>
    </w:p>
    <w:p w14:paraId="0068ECA2">
      <w:pPr>
        <w:pStyle w:val="2"/>
        <w:spacing w:before="0" w:after="0"/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• 规范沼液质量、施用、管护、风险防控全流程； </w:t>
      </w:r>
    </w:p>
    <w:p w14:paraId="6C9808DB">
      <w:pPr>
        <w:pStyle w:val="2"/>
        <w:spacing w:before="0" w:after="0"/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• 提升草地修复成功率、保障饲草安全与生态安全； </w:t>
      </w:r>
    </w:p>
    <w:p w14:paraId="097FE185">
      <w:pPr>
        <w:pStyle w:val="2"/>
        <w:spacing w:before="0" w:after="0"/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• 打通“畜牧养殖 — 粪污处理 — 草地修复 — 优质饲草”循环链条； </w:t>
      </w:r>
    </w:p>
    <w:p w14:paraId="57DFBC76">
      <w:pPr>
        <w:pStyle w:val="2"/>
        <w:spacing w:before="0" w:after="0"/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• 为工程招标、施工、监理、验收提供统一依据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。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 </w:t>
      </w:r>
    </w:p>
    <w:p w14:paraId="36BE7585">
      <w:pPr>
        <w:pStyle w:val="2"/>
        <w:spacing w:before="0" w:after="0"/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本标准的制定，填补了温性草甸草原退化割草地沼液施用领域标准空白，对推动草原生态修复高质量发展、农牧业绿色转型具有重要意义。</w:t>
      </w:r>
    </w:p>
    <w:p w14:paraId="0CBA9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二、主要工作过程</w:t>
      </w:r>
      <w:bookmarkEnd w:id="5"/>
    </w:p>
    <w:p w14:paraId="06F25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  <w:t>1. 成立标准编制组，明确任务分工</w:t>
      </w:r>
    </w:p>
    <w:p w14:paraId="0E0DA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主编单位牵头组建标准编写组，确定总负责人、技术负责人与参编人员职责，建立内部审查与专家咨询制度，依据各单位科研、工程、生产优势进行分工。</w:t>
      </w:r>
    </w:p>
    <w:p w14:paraId="205851FF">
      <w:pPr>
        <w:pStyle w:val="3"/>
        <w:spacing w:before="0" w:after="0"/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  <w:t>2</w:t>
      </w:r>
      <w:r>
        <w:rPr>
          <w:rFonts w:hint="eastAsia" w:ascii="黑体" w:hAnsi="黑体" w:cs="黑体"/>
          <w:b w:val="0"/>
          <w:bCs w:val="0"/>
          <w:sz w:val="22"/>
          <w:szCs w:val="22"/>
          <w:lang w:val="en-US" w:eastAsia="zh-CN"/>
        </w:rPr>
        <w:t xml:space="preserve">. </w:t>
      </w:r>
      <w:r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  <w:t>学习政策法规与标准化文件</w:t>
      </w:r>
    </w:p>
    <w:p w14:paraId="3F6E4ECF">
      <w:pPr>
        <w:pStyle w:val="2"/>
        <w:spacing w:before="0" w:after="0"/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组织编写人员系统学习GB/T 1.1-2020《标准化工作导则 第 1 部分：标准化文件的结构和起草规则》《中华人民共和国草原法》《中华人民共和国土壤污染防治法》《中华人民共和国环境保护法》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以及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国家及地方关于草原生态修复、粪污资源化利用、科学绿化的相关政策文件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。</w:t>
      </w:r>
    </w:p>
    <w:p w14:paraId="603A3C39">
      <w:pPr>
        <w:pStyle w:val="3"/>
        <w:spacing w:before="0" w:after="0"/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  <w:t>3</w:t>
      </w:r>
      <w:r>
        <w:rPr>
          <w:rFonts w:hint="eastAsia" w:ascii="黑体" w:hAnsi="黑体" w:cs="黑体"/>
          <w:b w:val="0"/>
          <w:bCs w:val="0"/>
          <w:sz w:val="22"/>
          <w:szCs w:val="22"/>
          <w:lang w:val="en-US" w:eastAsia="zh-CN"/>
        </w:rPr>
        <w:t xml:space="preserve">. </w:t>
      </w:r>
      <w:r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  <w:t>文献、标准与试验数据收集整理</w:t>
      </w:r>
    </w:p>
    <w:p w14:paraId="11D7CEB9">
      <w:pPr>
        <w:pStyle w:val="2"/>
        <w:spacing w:before="0" w:after="0"/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编制组系统收集整理国家/行业相关标准20 余项（农用沼液、有机肥、草地退化分级、肥料安全指标等）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、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沼液在草地、牧草、土壤改良领域研究论文30余篇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、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内蒙古东部连续3 年以上田间示范试验数据、监测报告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以及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蒙草生态、现代牧业等企业工程应用案例与实测数据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。</w:t>
      </w:r>
    </w:p>
    <w:p w14:paraId="7C2F439B">
      <w:pPr>
        <w:pStyle w:val="3"/>
        <w:spacing w:before="0" w:after="0"/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  <w:t>4</w:t>
      </w:r>
      <w:r>
        <w:rPr>
          <w:rFonts w:hint="eastAsia" w:ascii="黑体" w:hAnsi="黑体" w:cs="黑体"/>
          <w:b w:val="0"/>
          <w:bCs w:val="0"/>
          <w:sz w:val="22"/>
          <w:szCs w:val="22"/>
          <w:lang w:val="en-US" w:eastAsia="zh-CN"/>
        </w:rPr>
        <w:t xml:space="preserve">. </w:t>
      </w:r>
      <w:r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  <w:t>研讨确定标准框架与核心技术内容</w:t>
      </w:r>
    </w:p>
    <w:p w14:paraId="22FF608C">
      <w:pPr>
        <w:pStyle w:val="2"/>
        <w:spacing w:before="0" w:after="0"/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经多次专家研讨与现场论证，确定标准主体内容为：范围、规范性引用文件、术语和定义、沼液质量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技术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要求、施用前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期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准备、施用技术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要求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、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施用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后管护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要求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。</w:t>
      </w:r>
    </w:p>
    <w:p w14:paraId="4BBD18F2">
      <w:pPr>
        <w:pStyle w:val="3"/>
        <w:spacing w:before="0" w:after="0"/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  <w:t>5</w:t>
      </w:r>
      <w:r>
        <w:rPr>
          <w:rFonts w:hint="eastAsia" w:ascii="黑体" w:hAnsi="黑体" w:cs="黑体"/>
          <w:b w:val="0"/>
          <w:bCs w:val="0"/>
          <w:sz w:val="22"/>
          <w:szCs w:val="22"/>
          <w:lang w:val="en-US" w:eastAsia="zh-CN"/>
        </w:rPr>
        <w:t xml:space="preserve">. </w:t>
      </w:r>
      <w:r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  <w:t>时间进度安排</w:t>
      </w:r>
    </w:p>
    <w:p w14:paraId="7E2B3FB4">
      <w:pPr>
        <w:pStyle w:val="2"/>
        <w:spacing w:before="0" w:after="0"/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2024 年 06 月 —12 月：实地调研、数据收集、资料整理</w:t>
      </w:r>
    </w:p>
    <w:p w14:paraId="71A75F5A">
      <w:pPr>
        <w:pStyle w:val="2"/>
        <w:spacing w:before="0" w:after="0"/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2025 年 01 月 —06 月：组建编制组、技术论证、确定框架与核心参数</w:t>
      </w:r>
    </w:p>
    <w:p w14:paraId="5FBCDDAD">
      <w:pPr>
        <w:pStyle w:val="2"/>
        <w:spacing w:before="0" w:after="0"/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2025 年 07 月 —12 月：完成工作组讨论稿、内部评审与修改</w:t>
      </w:r>
    </w:p>
    <w:p w14:paraId="2B27E1D6">
      <w:pPr>
        <w:pStyle w:val="2"/>
        <w:spacing w:before="0" w:after="0"/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2026 年 01 月 —03 月：编写征求意见稿及编制说明、征求行业专家意见</w:t>
      </w:r>
    </w:p>
    <w:p w14:paraId="19F820B4">
      <w:pPr>
        <w:pStyle w:val="2"/>
        <w:spacing w:before="0" w:after="0"/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2026 年 04 月：完成立项评审、修改完善，形成最终征求意见稿</w:t>
      </w:r>
    </w:p>
    <w:p w14:paraId="1AC42C5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40" w:firstLineChars="200"/>
        <w:jc w:val="left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由北京华夏草业产业技术创新战略联盟组织国内草原生态、草业科学、环境工程、肥料领域专家对标准文本及编制说明进行会议评审。</w:t>
      </w:r>
    </w:p>
    <w:p w14:paraId="71F81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bookmarkStart w:id="6" w:name="_Toc176547934"/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三、标准编制原则和主要技术内容确定的依据</w:t>
      </w:r>
      <w:bookmarkEnd w:id="6"/>
    </w:p>
    <w:p w14:paraId="54A8B500">
      <w:pPr>
        <w:pStyle w:val="3"/>
        <w:spacing w:before="0" w:after="0"/>
        <w:rPr>
          <w:rFonts w:hint="eastAsia" w:ascii="黑体" w:hAnsi="黑体" w:eastAsia="黑体" w:cs="黑体"/>
          <w:b w:val="0"/>
          <w:bCs w:val="0"/>
          <w:sz w:val="22"/>
          <w:szCs w:val="22"/>
        </w:rPr>
      </w:pPr>
      <w:bookmarkStart w:id="7" w:name="_Toc176547935"/>
      <w:r>
        <w:rPr>
          <w:rFonts w:hint="eastAsia" w:ascii="黑体" w:hAnsi="黑体" w:eastAsia="黑体" w:cs="黑体"/>
          <w:b w:val="0"/>
          <w:bCs w:val="0"/>
          <w:sz w:val="22"/>
          <w:szCs w:val="22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  <w:t>一）</w:t>
      </w:r>
      <w:r>
        <w:rPr>
          <w:rFonts w:hint="eastAsia" w:ascii="黑体" w:hAnsi="黑体" w:eastAsia="黑体" w:cs="黑体"/>
          <w:b w:val="0"/>
          <w:bCs w:val="0"/>
          <w:sz w:val="22"/>
          <w:szCs w:val="22"/>
        </w:rPr>
        <w:t>标准编制原则</w:t>
      </w:r>
      <w:bookmarkEnd w:id="7"/>
    </w:p>
    <w:p w14:paraId="0B188451">
      <w:pPr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color w:val="00000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按照GB/T 1.1-2020《标准化工作导则 第1部分：标准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化文件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的结构和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起草规则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》的要求和规定编写本标准内容。</w:t>
      </w:r>
      <w:r>
        <w:rPr>
          <w:rFonts w:hint="eastAsia" w:ascii="宋体" w:hAnsi="宋体" w:eastAsia="宋体" w:cs="宋体"/>
          <w:b w:val="0"/>
          <w:bCs w:val="0"/>
          <w:color w:val="000000"/>
          <w:sz w:val="22"/>
          <w:szCs w:val="22"/>
        </w:rPr>
        <w:t>本标准制定过程中，遵循</w:t>
      </w:r>
      <w:r>
        <w:rPr>
          <w:rFonts w:hint="eastAsia" w:ascii="宋体" w:hAnsi="宋体" w:eastAsia="宋体" w:cs="宋体"/>
          <w:b w:val="0"/>
          <w:bCs w:val="0"/>
          <w:color w:val="000000"/>
          <w:sz w:val="22"/>
          <w:szCs w:val="22"/>
          <w:lang w:val="en-US" w:eastAsia="zh-CN"/>
        </w:rPr>
        <w:t>以下原则：</w:t>
      </w:r>
    </w:p>
    <w:p w14:paraId="0B4B8C7E">
      <w:pPr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color w:val="00000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2"/>
          <w:szCs w:val="22"/>
          <w:lang w:val="en-US" w:eastAsia="zh-CN"/>
        </w:rPr>
        <w:t>科学性：以长期试验数据、野外监测、示范成果为依据，参数可验证、可重复。</w:t>
      </w:r>
    </w:p>
    <w:p w14:paraId="252CC0F9">
      <w:pPr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color w:val="00000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2"/>
          <w:szCs w:val="22"/>
          <w:lang w:val="en-US" w:eastAsia="zh-CN"/>
        </w:rPr>
        <w:t>针对性：聚焦内蒙古东部、年降水≥350 mm、温性草甸草原、退化割草地。</w:t>
      </w:r>
    </w:p>
    <w:p w14:paraId="21299ABB">
      <w:pPr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color w:val="00000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2"/>
          <w:szCs w:val="22"/>
          <w:lang w:val="en-US" w:eastAsia="zh-CN"/>
        </w:rPr>
        <w:t xml:space="preserve">实用性：操作简便、机具通用、成本可控，适合牧区规模化推广。 </w:t>
      </w:r>
    </w:p>
    <w:p w14:paraId="6416D424">
      <w:pPr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color w:val="00000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2"/>
          <w:szCs w:val="22"/>
          <w:lang w:val="en-US" w:eastAsia="zh-CN"/>
        </w:rPr>
        <w:t xml:space="preserve">安全性：严控重金属、病原菌、盐度、有机物负荷，防范环境污染，保障草地生态安全。 </w:t>
      </w:r>
    </w:p>
    <w:p w14:paraId="0C20B1C8">
      <w:pPr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color w:val="00000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2"/>
          <w:szCs w:val="22"/>
          <w:lang w:val="en-US" w:eastAsia="zh-CN"/>
        </w:rPr>
        <w:t xml:space="preserve">针对性：聚焦温性草甸草原退化割草地，明确适用区域、降水条件与修复目标。 </w:t>
      </w:r>
    </w:p>
    <w:p w14:paraId="502D87DF">
      <w:pPr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color w:val="00000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2"/>
          <w:szCs w:val="22"/>
          <w:lang w:val="en-US" w:eastAsia="zh-CN"/>
        </w:rPr>
        <w:t>协调性：与现行国家标准、行业标准衔接一致，不冲突、不重复、可互补。</w:t>
      </w:r>
    </w:p>
    <w:p w14:paraId="152FDE8F">
      <w:pPr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color w:val="00000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2"/>
          <w:szCs w:val="22"/>
          <w:lang w:val="en-US" w:eastAsia="zh-CN"/>
        </w:rPr>
        <w:t>绿色循环：突出资源化利用、减量化肥、生态友好，契合“山水林田湖草沙”系统治理。</w:t>
      </w:r>
    </w:p>
    <w:p w14:paraId="2A46D5F2">
      <w:pPr>
        <w:pStyle w:val="3"/>
        <w:spacing w:before="0" w:after="0"/>
        <w:rPr>
          <w:rFonts w:hint="eastAsia" w:ascii="黑体" w:hAnsi="黑体" w:eastAsia="黑体" w:cs="黑体"/>
          <w:b w:val="0"/>
          <w:bCs w:val="0"/>
          <w:sz w:val="22"/>
          <w:szCs w:val="22"/>
        </w:rPr>
      </w:pPr>
      <w:bookmarkStart w:id="8" w:name="_Toc176547936"/>
      <w:r>
        <w:rPr>
          <w:rFonts w:hint="eastAsia" w:ascii="黑体" w:hAnsi="黑体" w:eastAsia="黑体" w:cs="黑体"/>
          <w:b w:val="0"/>
          <w:bCs w:val="0"/>
          <w:sz w:val="22"/>
          <w:szCs w:val="22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22"/>
          <w:szCs w:val="22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22"/>
          <w:szCs w:val="22"/>
        </w:rPr>
        <w:t>主要技术内容确定的论据</w:t>
      </w:r>
      <w:bookmarkEnd w:id="8"/>
      <w:r>
        <w:rPr>
          <w:rFonts w:hint="eastAsia" w:ascii="黑体" w:hAnsi="黑体" w:eastAsia="黑体" w:cs="黑体"/>
          <w:b w:val="0"/>
          <w:bCs w:val="0"/>
          <w:sz w:val="22"/>
          <w:szCs w:val="22"/>
        </w:rPr>
        <w:t xml:space="preserve"> </w:t>
      </w:r>
    </w:p>
    <w:p w14:paraId="7A8A7E00">
      <w:pPr>
        <w:pStyle w:val="3"/>
        <w:spacing w:before="0" w:after="0"/>
        <w:rPr>
          <w:rFonts w:hint="eastAsia" w:ascii="黑体" w:hAnsi="黑体" w:eastAsia="黑体" w:cs="黑体"/>
          <w:b w:val="0"/>
          <w:bCs w:val="0"/>
          <w:sz w:val="22"/>
          <w:szCs w:val="22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  <w:t xml:space="preserve">1. </w:t>
      </w:r>
      <w:r>
        <w:rPr>
          <w:rFonts w:hint="eastAsia" w:ascii="黑体" w:hAnsi="黑体" w:eastAsia="黑体" w:cs="黑体"/>
          <w:b w:val="0"/>
          <w:bCs w:val="0"/>
          <w:sz w:val="22"/>
          <w:szCs w:val="22"/>
        </w:rPr>
        <w:t>适用范围</w:t>
      </w:r>
    </w:p>
    <w:p w14:paraId="46663E38">
      <w:pPr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 xml:space="preserve">本标准的适用范围是：内蒙古自治区东部、年均降水量 350 mm 及以上温性草甸草原退化割草地生态修复与沼液施用作业。  </w:t>
      </w:r>
    </w:p>
    <w:p w14:paraId="6CEA98ED">
      <w:pPr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此设定基于以下3条核心依据：</w:t>
      </w:r>
    </w:p>
    <w:p w14:paraId="102E9389">
      <w:pPr>
        <w:spacing w:line="360" w:lineRule="auto"/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（1）政策与行业需求</w:t>
      </w:r>
    </w:p>
    <w:p w14:paraId="2B9DBFFA">
      <w:pPr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内蒙古东部是我国温性草甸草原的核心分布区，也是长期连续刈割导致草地退化的重灾区。国家《“十四五” 林业草原保护发展规划纲要》《国务院办公厅关于加强草原保护修复的若干意见》（国办发〔2021〕7 号）等规划与政策文件，该区域为草原生态修复重点区。当前该区域退化割草地修复工程规模化推进，但缺乏针对沼液施用的专项技术规范，本标准填补了这一场景的标准空白。</w:t>
      </w:r>
    </w:p>
    <w:p w14:paraId="37940ED1">
      <w:pPr>
        <w:spacing w:line="360" w:lineRule="auto"/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（2）地域特征适配</w:t>
      </w:r>
    </w:p>
    <w:p w14:paraId="53C651E0">
      <w:pPr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温性草甸草原年均降水量350 mm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～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450 mm，土壤以黑钙土、暗栗钙土为主，pH值中性至微碱性，与我国其他草原类型（如荒漠草原、高寒草甸）的立地条件差异显著。现有农用沼液标准（GB/T 40750-2021）无法直接指导该区域的割草地修复，本标准技术参数围绕该区域的气候、土壤、植被特征设定，场景适配性强。</w:t>
      </w:r>
    </w:p>
    <w:p w14:paraId="36FC708B">
      <w:pPr>
        <w:spacing w:line="360" w:lineRule="auto"/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（3）工程实践可行</w:t>
      </w:r>
    </w:p>
    <w:p w14:paraId="1AE8C07D">
      <w:pPr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编制组通过对内蒙古兴安盟、呼伦贝尔、通辽等典型温性草甸草原区的实地调研，结合编制单位在该区域连续5年的退化割草地沼液施用试验与工程实践经验，明确了该区域是沼液资源化利用的核心应用场景，以此划定适用范围，确保标准精准落地。</w:t>
      </w:r>
    </w:p>
    <w:p w14:paraId="52005B57">
      <w:pPr>
        <w:pStyle w:val="3"/>
        <w:spacing w:before="0" w:after="0"/>
        <w:rPr>
          <w:rFonts w:hint="eastAsia" w:ascii="黑体" w:hAnsi="黑体" w:eastAsia="黑体" w:cs="黑体"/>
          <w:b w:val="0"/>
          <w:bCs w:val="0"/>
          <w:sz w:val="22"/>
          <w:szCs w:val="22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  <w:t xml:space="preserve">2. </w:t>
      </w:r>
      <w:r>
        <w:rPr>
          <w:rFonts w:hint="eastAsia" w:ascii="黑体" w:hAnsi="黑体" w:eastAsia="黑体" w:cs="黑体"/>
          <w:b w:val="0"/>
          <w:bCs w:val="0"/>
          <w:sz w:val="22"/>
          <w:szCs w:val="22"/>
        </w:rPr>
        <w:t>规范性引用文件</w:t>
      </w:r>
    </w:p>
    <w:p w14:paraId="39C2E368">
      <w:pPr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本标准严格遵循“不冲突、可衔接、不冗余、强相关”的引用原则，仅引用与本标准技术条款直接相关、工程实践中必须遵循的现行有效标准。所有引用文件均为国家、行业权威标准，保障本标准与现行标准体系的协调性、兼容性。具体引用文件及其在本标准中的应用说明见表1。</w:t>
      </w:r>
    </w:p>
    <w:p w14:paraId="579BA9FB">
      <w:pPr>
        <w:spacing w:line="360" w:lineRule="auto"/>
        <w:ind w:firstLine="440" w:firstLineChars="200"/>
        <w:jc w:val="center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 xml:space="preserve">表1 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规范性引用文件及其应用说明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3341"/>
        <w:gridCol w:w="3098"/>
      </w:tblGrid>
      <w:tr w14:paraId="7E813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12E5ED0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标准编号</w:t>
            </w:r>
          </w:p>
        </w:tc>
        <w:tc>
          <w:tcPr>
            <w:tcW w:w="3341" w:type="dxa"/>
          </w:tcPr>
          <w:p w14:paraId="659999E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标准名称</w:t>
            </w:r>
          </w:p>
        </w:tc>
        <w:tc>
          <w:tcPr>
            <w:tcW w:w="3098" w:type="dxa"/>
          </w:tcPr>
          <w:p w14:paraId="612E4CD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在本标准中的应用</w:t>
            </w:r>
          </w:p>
        </w:tc>
      </w:tr>
      <w:tr w14:paraId="2F62C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6A63E5D7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GB/T 19524.1-2004</w:t>
            </w:r>
          </w:p>
        </w:tc>
        <w:tc>
          <w:tcPr>
            <w:tcW w:w="3341" w:type="dxa"/>
          </w:tcPr>
          <w:p w14:paraId="1F88ACDD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肥料中粪大肠菌群的测定</w:t>
            </w:r>
          </w:p>
        </w:tc>
        <w:tc>
          <w:tcPr>
            <w:tcW w:w="3098" w:type="dxa"/>
          </w:tcPr>
          <w:p w14:paraId="0B2D46E7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沼液卫生指标检测方法</w:t>
            </w:r>
          </w:p>
        </w:tc>
      </w:tr>
      <w:tr w14:paraId="20E5C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0F590F73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GB/T 19524.2-2004</w:t>
            </w:r>
          </w:p>
        </w:tc>
        <w:tc>
          <w:tcPr>
            <w:tcW w:w="3341" w:type="dxa"/>
          </w:tcPr>
          <w:p w14:paraId="07DAD061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肥料中蛔虫卵死亡率的测定</w:t>
            </w:r>
          </w:p>
        </w:tc>
        <w:tc>
          <w:tcPr>
            <w:tcW w:w="3098" w:type="dxa"/>
          </w:tcPr>
          <w:p w14:paraId="5557EDF7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沼液卫生指标检测方法</w:t>
            </w:r>
          </w:p>
        </w:tc>
      </w:tr>
      <w:tr w14:paraId="29C5B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00FEDAAC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GB/T 23349-2020</w:t>
            </w:r>
          </w:p>
        </w:tc>
        <w:tc>
          <w:tcPr>
            <w:tcW w:w="3341" w:type="dxa"/>
          </w:tcPr>
          <w:p w14:paraId="1BE41B99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肥料中砷、镉、铬、铅、汞含量的测定</w:t>
            </w:r>
          </w:p>
        </w:tc>
        <w:tc>
          <w:tcPr>
            <w:tcW w:w="3098" w:type="dxa"/>
          </w:tcPr>
          <w:p w14:paraId="756FC592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沼液重金属限量检测方法</w:t>
            </w:r>
          </w:p>
        </w:tc>
      </w:tr>
      <w:tr w14:paraId="4303E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5EEA95B8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GB/T 40750-2021</w:t>
            </w:r>
          </w:p>
        </w:tc>
        <w:tc>
          <w:tcPr>
            <w:tcW w:w="3341" w:type="dxa"/>
          </w:tcPr>
          <w:p w14:paraId="5A709F30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农用沼液</w:t>
            </w:r>
          </w:p>
        </w:tc>
        <w:tc>
          <w:tcPr>
            <w:tcW w:w="3098" w:type="dxa"/>
          </w:tcPr>
          <w:p w14:paraId="2EDE3115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沼液质量基本要求</w:t>
            </w:r>
          </w:p>
        </w:tc>
      </w:tr>
      <w:tr w14:paraId="0CE18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0F54AD02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NY/T 525-2011</w:t>
            </w:r>
          </w:p>
        </w:tc>
        <w:tc>
          <w:tcPr>
            <w:tcW w:w="3341" w:type="dxa"/>
          </w:tcPr>
          <w:p w14:paraId="5D78A1D1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有机肥料</w:t>
            </w:r>
          </w:p>
        </w:tc>
        <w:tc>
          <w:tcPr>
            <w:tcW w:w="3098" w:type="dxa"/>
          </w:tcPr>
          <w:p w14:paraId="05B1ED54">
            <w:pPr>
              <w:spacing w:line="360" w:lineRule="auto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沼液总养分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含量检测方法</w:t>
            </w:r>
          </w:p>
        </w:tc>
      </w:tr>
      <w:tr w14:paraId="1F3A7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41EEF77F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NY/T 1973-2021</w:t>
            </w:r>
          </w:p>
        </w:tc>
        <w:tc>
          <w:tcPr>
            <w:tcW w:w="3341" w:type="dxa"/>
          </w:tcPr>
          <w:p w14:paraId="3DA0F715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水溶肥料 水不溶物含量和pH的测定</w:t>
            </w:r>
          </w:p>
        </w:tc>
        <w:tc>
          <w:tcPr>
            <w:tcW w:w="3098" w:type="dxa"/>
          </w:tcPr>
          <w:p w14:paraId="0738E44D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沼液pH检测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方法</w:t>
            </w:r>
          </w:p>
        </w:tc>
      </w:tr>
      <w:tr w14:paraId="04E46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  <w:vAlign w:val="center"/>
          </w:tcPr>
          <w:p w14:paraId="6A67299F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NY/T 3448-2019</w:t>
            </w:r>
          </w:p>
        </w:tc>
        <w:tc>
          <w:tcPr>
            <w:tcW w:w="3341" w:type="dxa"/>
            <w:vAlign w:val="center"/>
          </w:tcPr>
          <w:p w14:paraId="5D231C72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天然打草场退化分级</w:t>
            </w:r>
          </w:p>
        </w:tc>
        <w:tc>
          <w:tcPr>
            <w:tcW w:w="3098" w:type="dxa"/>
            <w:vAlign w:val="center"/>
          </w:tcPr>
          <w:p w14:paraId="050CD2D2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退化割草地等级判定</w:t>
            </w:r>
          </w:p>
        </w:tc>
      </w:tr>
    </w:tbl>
    <w:p w14:paraId="62C969F8">
      <w:pPr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</w:p>
    <w:p w14:paraId="58D86C9D">
      <w:pPr>
        <w:pStyle w:val="3"/>
        <w:spacing w:before="0" w:after="0"/>
        <w:rPr>
          <w:rFonts w:hint="eastAsia" w:ascii="黑体" w:hAnsi="黑体" w:eastAsia="黑体" w:cs="黑体"/>
          <w:b w:val="0"/>
          <w:bCs w:val="0"/>
          <w:sz w:val="22"/>
          <w:szCs w:val="22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  <w:t xml:space="preserve">3. </w:t>
      </w:r>
      <w:r>
        <w:rPr>
          <w:rFonts w:hint="eastAsia" w:ascii="黑体" w:hAnsi="黑体" w:eastAsia="黑体" w:cs="黑体"/>
          <w:b w:val="0"/>
          <w:bCs w:val="0"/>
          <w:sz w:val="22"/>
          <w:szCs w:val="22"/>
        </w:rPr>
        <w:t>术语与定义</w:t>
      </w:r>
    </w:p>
    <w:p w14:paraId="1D6E87E0">
      <w:pPr>
        <w:spacing w:line="360" w:lineRule="auto"/>
        <w:ind w:firstLine="440" w:firstLineChars="200"/>
        <w:rPr>
          <w:rFonts w:hint="default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本章节共界定了割草地、退化割草地、沼液、总养分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项核心术语，明确了本标准适用场景下各专业术语的内涵与边界。本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部分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内容均由参编成员研讨后撰写，编制依据与核心理由如下（表2）。</w:t>
      </w:r>
    </w:p>
    <w:p w14:paraId="797B9907">
      <w:pPr>
        <w:spacing w:line="360" w:lineRule="auto"/>
        <w:ind w:firstLine="440" w:firstLineChars="200"/>
        <w:jc w:val="center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表2 相关术语编制说明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2"/>
        <w:gridCol w:w="6932"/>
      </w:tblGrid>
      <w:tr w14:paraId="05884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2" w:type="dxa"/>
          </w:tcPr>
          <w:p w14:paraId="771F69D9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术语名称</w:t>
            </w:r>
          </w:p>
        </w:tc>
        <w:tc>
          <w:tcPr>
            <w:tcW w:w="6932" w:type="dxa"/>
          </w:tcPr>
          <w:p w14:paraId="5A64FCFE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说明</w:t>
            </w:r>
          </w:p>
        </w:tc>
      </w:tr>
      <w:tr w14:paraId="70015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2" w:type="dxa"/>
          </w:tcPr>
          <w:p w14:paraId="34FB7ABC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 xml:space="preserve">割草地 </w:t>
            </w:r>
          </w:p>
          <w:p w14:paraId="278D8876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mowing grassland</w:t>
            </w:r>
          </w:p>
        </w:tc>
        <w:tc>
          <w:tcPr>
            <w:tcW w:w="6932" w:type="dxa"/>
          </w:tcPr>
          <w:p w14:paraId="5F2850F3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明确为“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长期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刈割方式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利用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的天然草地”。参考《天然打草场退化分级》（NY/T 3448-2019）中“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天然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打草场”的定义，结合温性草甸草原实际利用方式编制。该定义区别于放牧草地，突出刈割干扰特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性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。</w:t>
            </w:r>
          </w:p>
        </w:tc>
      </w:tr>
      <w:tr w14:paraId="22663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2" w:type="dxa"/>
          </w:tcPr>
          <w:p w14:paraId="0A1A5E27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退化割草地</w:t>
            </w:r>
          </w:p>
          <w:p w14:paraId="1B321DFC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degraded mowing grassland</w:t>
            </w:r>
          </w:p>
        </w:tc>
        <w:tc>
          <w:tcPr>
            <w:tcW w:w="6932" w:type="dxa"/>
          </w:tcPr>
          <w:p w14:paraId="56E79922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在“割草地”基础上，参考《退化草地修复技术规范》（GB/T 37067-2018）中对于“退化草地”的定义，结合割草地植被盖度、产草量、优势种变化等指标编制。</w:t>
            </w:r>
          </w:p>
        </w:tc>
      </w:tr>
      <w:tr w14:paraId="56D67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2" w:type="dxa"/>
          </w:tcPr>
          <w:p w14:paraId="59160648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 xml:space="preserve">沼液 </w:t>
            </w:r>
          </w:p>
          <w:p w14:paraId="348CDA92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biogas slurry</w:t>
            </w:r>
          </w:p>
        </w:tc>
        <w:tc>
          <w:tcPr>
            <w:tcW w:w="6932" w:type="dxa"/>
          </w:tcPr>
          <w:p w14:paraId="17007844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参考《农用沼液》（GB/T 40750-2021）中“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农用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沼液”的定义，明确为畜禽粪污、农作物秸秆等有机物经厌氧发酵产生的液体残余物，强调其肥料属性及无害化处理要求。</w:t>
            </w:r>
          </w:p>
        </w:tc>
      </w:tr>
      <w:tr w14:paraId="5D5F5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2" w:type="dxa"/>
          </w:tcPr>
          <w:p w14:paraId="615E8321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 xml:space="preserve">总养分 </w:t>
            </w:r>
          </w:p>
          <w:p w14:paraId="39F068FC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total nutrient</w:t>
            </w:r>
          </w:p>
        </w:tc>
        <w:tc>
          <w:tcPr>
            <w:tcW w:w="6932" w:type="dxa"/>
          </w:tcPr>
          <w:p w14:paraId="0B317E47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参考《农用沼液》（GB/T 40750-2021）中“总养分”的定义，定义为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沼液中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全氮、全磷和全钾含量之和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能质量百分数计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，作为沼液肥效的核心评价指标。</w:t>
            </w:r>
          </w:p>
        </w:tc>
      </w:tr>
    </w:tbl>
    <w:p w14:paraId="590AB04B">
      <w:pPr>
        <w:pStyle w:val="32"/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</w:p>
    <w:p w14:paraId="7F4D6101">
      <w:pPr>
        <w:pStyle w:val="3"/>
        <w:spacing w:before="0" w:after="0"/>
        <w:rPr>
          <w:rFonts w:hint="eastAsia" w:ascii="黑体" w:hAnsi="黑体" w:eastAsia="黑体" w:cs="黑体"/>
          <w:b w:val="0"/>
          <w:bCs w:val="0"/>
          <w:sz w:val="22"/>
          <w:szCs w:val="22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  <w:t xml:space="preserve">4. </w:t>
      </w:r>
      <w:r>
        <w:rPr>
          <w:rFonts w:hint="eastAsia" w:ascii="黑体" w:hAnsi="黑体" w:eastAsia="黑体" w:cs="黑体"/>
          <w:b w:val="0"/>
          <w:bCs w:val="0"/>
          <w:sz w:val="22"/>
          <w:szCs w:val="22"/>
        </w:rPr>
        <w:t>主要技术指标确定的依据</w:t>
      </w:r>
    </w:p>
    <w:p w14:paraId="7D94F442">
      <w:pPr>
        <w:spacing w:line="360" w:lineRule="auto"/>
        <w:ind w:firstLine="440" w:firstLineChars="200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本标准各项技术指标、参数、性能要求与试验方法均依据国家及行业相关标准、多年科研试验数据、野外示范监测结果与牧区生产实践综合确定，经过充分试验验证与技术经济论证，具备科学性、安全性、实用性与可操作性。</w:t>
      </w:r>
    </w:p>
    <w:p w14:paraId="0900E420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（1）沼液质量</w:t>
      </w:r>
      <w:r>
        <w:rPr>
          <w:rFonts w:hint="eastAsia" w:ascii="宋体" w:hAnsi="宋体" w:cs="宋体"/>
          <w:b/>
          <w:bCs/>
          <w:kern w:val="2"/>
          <w:sz w:val="22"/>
          <w:szCs w:val="22"/>
          <w:lang w:val="en-US" w:eastAsia="zh-CN" w:bidi="ar-SA"/>
        </w:rPr>
        <w:t>要求</w:t>
      </w: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指标确定依据</w:t>
      </w:r>
    </w:p>
    <w:p w14:paraId="2DB0873B">
      <w:pPr>
        <w:pStyle w:val="32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沼液质量是保障草地生态安全、修复效果的核心，各项指标依据GB/T 40750-2021《农用沼液》、土壤环境质量标准、草原生态风险阈值及编制组连续3年的田间试验数据确定。具体指标及确定依据详见表3。</w:t>
      </w:r>
    </w:p>
    <w:p w14:paraId="2775F730">
      <w:pPr>
        <w:pStyle w:val="32"/>
        <w:spacing w:line="360" w:lineRule="auto"/>
        <w:jc w:val="center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表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2"/>
          <w:szCs w:val="22"/>
          <w:shd w:val="clear" w:fill="FFFFFF"/>
        </w:rPr>
        <w:t>3 沼液质量技术指标及确定依据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1407"/>
        <w:gridCol w:w="6152"/>
      </w:tblGrid>
      <w:tr w14:paraId="303E0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5" w:type="dxa"/>
            <w:vAlign w:val="center"/>
          </w:tcPr>
          <w:p w14:paraId="06904C4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指标</w:t>
            </w:r>
          </w:p>
        </w:tc>
        <w:tc>
          <w:tcPr>
            <w:tcW w:w="1407" w:type="dxa"/>
            <w:vAlign w:val="center"/>
          </w:tcPr>
          <w:p w14:paraId="005FB03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标准值</w:t>
            </w:r>
          </w:p>
        </w:tc>
        <w:tc>
          <w:tcPr>
            <w:tcW w:w="6152" w:type="dxa"/>
            <w:vAlign w:val="center"/>
          </w:tcPr>
          <w:p w14:paraId="39465C4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确定依据</w:t>
            </w:r>
          </w:p>
        </w:tc>
      </w:tr>
      <w:tr w14:paraId="3D2FF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5" w:type="dxa"/>
            <w:vAlign w:val="center"/>
          </w:tcPr>
          <w:p w14:paraId="65E3FA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发酵时间</w:t>
            </w:r>
          </w:p>
        </w:tc>
        <w:tc>
          <w:tcPr>
            <w:tcW w:w="1407" w:type="dxa"/>
            <w:vAlign w:val="center"/>
          </w:tcPr>
          <w:p w14:paraId="3F50E9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常温厌氧发酵≥30 d，投料浓度6%～10%</w:t>
            </w:r>
          </w:p>
        </w:tc>
        <w:tc>
          <w:tcPr>
            <w:tcW w:w="6152" w:type="dxa"/>
            <w:vAlign w:val="center"/>
          </w:tcPr>
          <w:p w14:paraId="1A9FEE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依据：①《农用沼液》（GB/T 40750-2021）要求发酵时间不少于30 d；②编制组在内蒙古兴安盟进行的发酵时间梯度试验（15 d、30 d、45 d、60 d）表明：发酵15 d时粪大肠菌群检出率100%，蛔虫卵死亡率仅82%；发酵30 d后粪大肠菌群降至≤100 CFU/g，蛔虫卵死亡率≥95%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③发酵30 d以上可保证养分稳定（总养分变异系数＜10%），不烧苗。参考论文：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张丽萍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等《发酵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周期、贮存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时间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和过滤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对沼液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养分和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理化性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状变化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的影响》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《农业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资源与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环境学报》20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，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35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(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 xml:space="preserve">):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32-39)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。</w:t>
            </w:r>
          </w:p>
        </w:tc>
      </w:tr>
      <w:tr w14:paraId="66BE0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5" w:type="dxa"/>
          </w:tcPr>
          <w:p w14:paraId="2A3263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总养分</w:t>
            </w:r>
          </w:p>
          <w:p w14:paraId="3D9659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（N+P₂O+K₂O）</w:t>
            </w:r>
          </w:p>
        </w:tc>
        <w:tc>
          <w:tcPr>
            <w:tcW w:w="1407" w:type="dxa"/>
          </w:tcPr>
          <w:p w14:paraId="1243AD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鲜基≥0.2%</w:t>
            </w:r>
          </w:p>
        </w:tc>
        <w:tc>
          <w:tcPr>
            <w:tcW w:w="6152" w:type="dxa"/>
          </w:tcPr>
          <w:p w14:paraId="5B1A6D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依据：①参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t>照《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沼肥施用技术规范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t>》（N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Y/T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 xml:space="preserve"> 206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5-2011）中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沼液鲜基样的总养分含量应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≥0.2%；②编制组施用梯度试验（0.1%、0.2%、0.3%、0.4%）显示：总养分＜0.2%时，土壤有机质提升仅0.05%，牧草增产＜5%，效果不显著；总养分≥0.2%时，牧草盖度提升15%～25%，产草量提升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%～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%；③参考内蒙古草原土壤肥力背景值（全氮0.1%～0.3%），确定0.2%为最低有效阈值。</w:t>
            </w:r>
          </w:p>
        </w:tc>
      </w:tr>
      <w:tr w14:paraId="2D603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5" w:type="dxa"/>
          </w:tcPr>
          <w:p w14:paraId="7503A6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pH值</w:t>
            </w:r>
          </w:p>
        </w:tc>
        <w:tc>
          <w:tcPr>
            <w:tcW w:w="1407" w:type="dxa"/>
          </w:tcPr>
          <w:p w14:paraId="333ECE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5.5～8.5</w:t>
            </w:r>
          </w:p>
        </w:tc>
        <w:tc>
          <w:tcPr>
            <w:tcW w:w="6152" w:type="dxa"/>
          </w:tcPr>
          <w:p w14:paraId="61C6D9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依据：①温性草甸草原土壤pH实测值（兴安盟、呼伦贝尔45个样点）为6.8～8.2；②沼液pH超出5.5～8.5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范围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时，与土壤pH差值＞2个单位，易造成土壤酸碱失衡、牧草根系损伤；③参考《农用沼液》（GB/T 40750-2021）中pH 5.5～8.5的要求，与草地土壤环境匹配度最高。</w:t>
            </w:r>
          </w:p>
        </w:tc>
      </w:tr>
      <w:tr w14:paraId="3707E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5" w:type="dxa"/>
          </w:tcPr>
          <w:p w14:paraId="16FF25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总盐浓度（电导率EC）</w:t>
            </w:r>
          </w:p>
        </w:tc>
        <w:tc>
          <w:tcPr>
            <w:tcW w:w="1407" w:type="dxa"/>
          </w:tcPr>
          <w:p w14:paraId="5D6F44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≤1.5 mS/cm</w:t>
            </w:r>
          </w:p>
        </w:tc>
        <w:tc>
          <w:tcPr>
            <w:tcW w:w="6152" w:type="dxa"/>
          </w:tcPr>
          <w:p w14:paraId="331D04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依据：①草原土壤对盐分敏感，EC＞2.0 mS/cm时即出现轻度盐渍化；②编制组长期定位试验（2022-2025年）显示：EC=1.5 mS/cm时连续施用3年，土壤EC值由初始0.3 mS/cm升至0.6 mS/cm，仍在安全范围；EC=2.0 mS/cm时3年后土壤EC达1.2 mS/cm，出现牧草生长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受到一定程度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抑制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的现象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；③参考《农用沼液》（GB/T 40750-2021）中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叶面施用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EC≤1.5 mS/cm的要求，确保长期施用无次生盐渍化风险。</w:t>
            </w:r>
          </w:p>
        </w:tc>
      </w:tr>
      <w:tr w14:paraId="185CA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5" w:type="dxa"/>
          </w:tcPr>
          <w:p w14:paraId="71670D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粪大肠菌群数</w:t>
            </w:r>
          </w:p>
        </w:tc>
        <w:tc>
          <w:tcPr>
            <w:tcW w:w="1407" w:type="dxa"/>
          </w:tcPr>
          <w:p w14:paraId="3A24CB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≤100 CFU/ mL</w:t>
            </w:r>
          </w:p>
        </w:tc>
        <w:tc>
          <w:tcPr>
            <w:tcW w:w="6152" w:type="dxa"/>
          </w:tcPr>
          <w:p w14:paraId="26DC86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依据：①严格执行《肥料中粪大肠菌群的测定》（GB/T 19524.1-2004）；②天然草原为生态敏感区，直接接触牧草和土壤，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应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严控生物污染；③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  <w:t>参考《 畜禽粪便还田技术规范》（GB/T 36195-2018）中粪大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肠菌群≤100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/g的要求，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本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标准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以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菌落形成单位CF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U计数，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只统计有繁殖能力的活菌，计数更精准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更规范，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体现草原生态保护的高要求。</w:t>
            </w:r>
          </w:p>
        </w:tc>
      </w:tr>
      <w:tr w14:paraId="73E0A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5" w:type="dxa"/>
          </w:tcPr>
          <w:p w14:paraId="03DDB1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蛔虫卵死亡率</w:t>
            </w:r>
          </w:p>
        </w:tc>
        <w:tc>
          <w:tcPr>
            <w:tcW w:w="1407" w:type="dxa"/>
          </w:tcPr>
          <w:p w14:paraId="2A3838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≥95%</w:t>
            </w:r>
          </w:p>
        </w:tc>
        <w:tc>
          <w:tcPr>
            <w:tcW w:w="6152" w:type="dxa"/>
          </w:tcPr>
          <w:p w14:paraId="1334ED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依据：①严格执行《肥料中蛔虫卵死亡率的测定》（GB/T 19524.2-2004）；②《农用沼液》（GB/T 40750-2021）要求≥95%，本标准同等执行；③试验表明，发酵30 d以上且温度≥15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℃时蛔虫卵死亡率可达97%～100%。</w:t>
            </w:r>
          </w:p>
        </w:tc>
      </w:tr>
      <w:tr w14:paraId="128CA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5" w:type="dxa"/>
            <w:vAlign w:val="center"/>
          </w:tcPr>
          <w:p w14:paraId="3C111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总铅(Pb)、镉(Cd)、铬(Cr)、砷(As)、汞(Hg)</w:t>
            </w:r>
          </w:p>
        </w:tc>
        <w:tc>
          <w:tcPr>
            <w:tcW w:w="1407" w:type="dxa"/>
            <w:vAlign w:val="center"/>
          </w:tcPr>
          <w:p w14:paraId="4BDDA3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按GB/T 23349-2020规定</w:t>
            </w:r>
          </w:p>
        </w:tc>
        <w:tc>
          <w:tcPr>
            <w:tcW w:w="6152" w:type="dxa"/>
            <w:vAlign w:val="center"/>
          </w:tcPr>
          <w:p w14:paraId="3C481A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依据：①严格执行《肥料中砷、镉、铬、铅、汞含量的测定》（GB/T 23349-2020）；②草原生态系统重金属背景值低，且具有生物累积效应；③参考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《农用沼液》（GB/T 40750-2021）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要求，第III类使用功能的沼液，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重金属限量（Pb≤50 mg/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L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，Cd≤3 mg/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L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，Cr≤50 mg/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L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，As≤1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 xml:space="preserve"> mg/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L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，Hg≤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 xml:space="preserve"> mg/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L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），确保长期施用不造成土壤与牧草重金属超标，保障饲草安全。</w:t>
            </w:r>
          </w:p>
        </w:tc>
      </w:tr>
    </w:tbl>
    <w:p w14:paraId="767EE948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bookmarkStart w:id="9" w:name="_Toc176547937"/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（2）施用前期准备技术依据</w:t>
      </w:r>
    </w:p>
    <w:p w14:paraId="7B90C24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①退化等级判定与施用量关联</w:t>
      </w:r>
    </w:p>
    <w:p w14:paraId="76A20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依据《天然打草场退化分级》（NY/T 3448-2019），从植被盖度、产草量、优势种、可食牧草比例、秃斑地比例等指标将退化割草地分为轻度、中度两级（重度退化不适用沼液单一修复）。编制组对兴安盟科右前旗45个样点的调查表明：轻度退化草地土壤有机质含量1.2%～1.8%，植被盖度40%～60%；中度退化草地土壤有机质0.6%～1.1%，植被盖度20%～40%。不同退化等级需差异化施肥，避免用量不足无效或过量污染。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参考论文：董琦等《2021年内蒙古不同类型草原的土壤养分特征数据集》（《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农业大数据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学报》2024，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6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(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): 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103-109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）。</w:t>
      </w:r>
    </w:p>
    <w:p w14:paraId="78DCE33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② 设备与人员准备</w:t>
      </w:r>
    </w:p>
    <w:p w14:paraId="1603A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沼液具有腐蚀性（pH 5.5～8.5，EC≤1.5 mS/cm），不合格设备（如普通碳钢管材）易泄漏、堵塞、污染环境。编制组调研显示，2023年某项目因使用非耐腐蚀喷头，3个月内堵塞率达40%。要求设备材质为不锈钢或HDPE，喷洒均匀度变异系数≤15%。人员必须培训，内容包括沼液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质量标准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、设备操作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规范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、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安全防护要求、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应急处理等，培训时长不少于8学时。</w:t>
      </w:r>
    </w:p>
    <w:p w14:paraId="4FF4B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依据：牧区作业人员对沼液安全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施用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认知普遍不足，培训可降低操作风险与生态风险。</w:t>
      </w:r>
    </w:p>
    <w:p w14:paraId="0502CC4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③ 沼液预处理</w:t>
      </w:r>
    </w:p>
    <w:p w14:paraId="4E37A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要求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沼液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静置沉淀≥24 h，过筛（孔径≤2 mm）除杂。编制组对比试验显示：未过滤沼液含残渣（粒径0.5～5 mm）占比8%～12%，直接施用导致喷头堵塞频率增加3倍，喷洒不均匀系数达35%；预处理后堵塞频率降低90%，喷洒均匀系数提高至85%以上。依据：预处理可保证施用均匀，提升肥效、减少设备损耗。</w:t>
      </w:r>
    </w:p>
    <w:p w14:paraId="5EDE1A4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22"/>
          <w:szCs w:val="22"/>
          <w:lang w:val="en-US" w:eastAsia="zh-CN" w:bidi="ar-SA"/>
        </w:rPr>
        <w:t>（</w:t>
      </w: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3）沼液施用技术指标确定依据</w:t>
      </w:r>
    </w:p>
    <w:p w14:paraId="04E979B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① 施用量</w:t>
      </w:r>
    </w:p>
    <w:p w14:paraId="70DC39A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轻度退化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割草地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：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120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～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15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 m³/hm²</w:t>
      </w:r>
    </w:p>
    <w:p w14:paraId="030972F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中度退化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割草地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：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240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～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30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m³/hm²</w:t>
      </w:r>
    </w:p>
    <w:p w14:paraId="3CD31B4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依据：编制组在内蒙古兴安盟科右前旗温性草甸草原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不同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退化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程度的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割草地设置连续3年（2023-2025年）的沼液施用梯度试验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，轻度退化割草地设置沼液施用梯度为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0、60、90、120、150、180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、210 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m³/hm²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），中度退化割草地设置沼液施用梯度为0、120、180、240、300、360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m³/hm²，主要结果如下：</w:t>
      </w:r>
    </w:p>
    <w:p w14:paraId="1F8928C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轻度退化割草地：</w:t>
      </w:r>
    </w:p>
    <w:p w14:paraId="64602E8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80" w:firstLineChars="4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＜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120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m³/hm²：土壤有机质提升＜0.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%，牧草产量提升＜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6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0%，盖度提升＜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%，效果不显著；</w:t>
      </w:r>
    </w:p>
    <w:p w14:paraId="4553432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80" w:firstLineChars="4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120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～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150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m³/hm²（轻度退化适宜区间）：土壤有机质提升0.2%～0.3%，牧草产量提升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60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%～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90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%，盖度提升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25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%～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4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0%，生态风险低；</w:t>
      </w:r>
    </w:p>
    <w:p w14:paraId="71BEE01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中度退化割草地：</w:t>
      </w:r>
    </w:p>
    <w:p w14:paraId="0D0C901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80" w:firstLineChars="4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＜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240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m³/hm²：土壤有机质提升＜0.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%，牧草产量提升＜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7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0%，盖度提升＜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20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%，效果不显著；</w:t>
      </w:r>
    </w:p>
    <w:p w14:paraId="62D492C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80" w:firstLineChars="4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24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0～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30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 m³/hm²（中度退化适宜区间）：土壤有机质提升0.3%～0.5%，牧草产量提升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7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0%～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95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%，盖度提升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20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%～30%；</w:t>
      </w:r>
    </w:p>
    <w:p w14:paraId="23C3AFF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80" w:firstLineChars="4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＞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30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 m³/hm²：出现养分淋溶（0～20 cm土层全氮超出背景值2倍）、径流污染风险增加（地表水TN＞2 mg/L），牧草徒长倒伏率上升（倒伏指数＞30%）。</w:t>
      </w:r>
    </w:p>
    <w:p w14:paraId="33631C5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参考论文：李艳华等《增施沼液肥对中度退化草地土壤理化性质的短期影响》（《草地学报》2026，</w:t>
      </w:r>
      <w:r>
        <w:rPr>
          <w:rFonts w:hint="default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https://link.cnki.net/urlid/11.3362.S.20251230.1859.004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）</w:t>
      </w:r>
    </w:p>
    <w:p w14:paraId="3E3C11B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② 施用时间</w:t>
      </w:r>
    </w:p>
    <w:p w14:paraId="19B00BD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确定5月中下旬、雨季来临前（未来1～2周有10 mm以上降水），严禁暴雨（日降水＞50 mm）、严寒（日均温＜0℃）、休眠期（10月至次年4月）施用。</w:t>
      </w:r>
    </w:p>
    <w:p w14:paraId="7763BFB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依据：①5月为牧草返青-拔节关键期，需肥量大、肥料利用率最高（试验表明返青期施肥利用率比盛花期高25%）；②施用后1～2周内有降水，利于养分下渗至根区（0～20 cm），避免烧苗；③暴雨前施用易造成径流流失（试验显示暴雨条件下沼液氮流失率达30%～50%）与面源污染；④休眠期牧草无吸收能力，沼液存留土壤易造成氨挥发损失（损失率可达40%）且破坏草地物理结构。</w:t>
      </w:r>
    </w:p>
    <w:p w14:paraId="071135A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③ 施用方法</w:t>
      </w:r>
    </w:p>
    <w:p w14:paraId="1D9B946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采用喷洒法，入土深度≤5 cm，均匀喷洒，避免局部堆积。喷洒量偏差控制在±10%以内。</w:t>
      </w:r>
    </w:p>
    <w:p w14:paraId="5DCCB55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依据：①割草地牧草根系多集中在0～10 cm土层（生物量占比约70%）；②编制组对比试验显示：表面喷洒（不翻耕）与浅施（5 cm）效果无显著差异，但深施（10 cm）会导致沼液下渗至根系层以下（15～20 cm），氮素淋溶损失增加25%；③均匀喷施可保证全田覆盖，肥效最稳定；④参考《沼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肥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施用技术规范》（NY/T 2065-2011）中“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沼液叶面喷施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”的方法。</w:t>
      </w:r>
    </w:p>
    <w:p w14:paraId="5EBFDB5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④ 施用频次</w:t>
      </w:r>
    </w:p>
    <w:p w14:paraId="194FC0B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每年1次，连续2～3年。</w:t>
      </w:r>
    </w:p>
    <w:p w14:paraId="29EFA6A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依据：编制组长期定位试验（2021-2025年）显示：</w:t>
      </w:r>
    </w:p>
    <w:p w14:paraId="013CA39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1次施用：当年见效，牧草增产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70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%～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5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%，土壤有机质提升0.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%～0.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5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%；</w:t>
      </w:r>
    </w:p>
    <w:p w14:paraId="3FC5FCD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连续2年：牧草增产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90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%～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120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%，优势种盖度提升（羊草盖度从25%增至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55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%），土壤有机质累计提升0.3%～0.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6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%；</w:t>
      </w:r>
    </w:p>
    <w:p w14:paraId="30888C6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连续3年：群落结构明显恢复，物种多样性指数（Shannon-Wiener）提高30%～50%，土壤肥力达到持续改善状态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。</w:t>
      </w:r>
    </w:p>
    <w:p w14:paraId="6F6B8DD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⑤ 特殊</w:t>
      </w:r>
      <w:r>
        <w:rPr>
          <w:rFonts w:hint="eastAsia" w:ascii="宋体" w:hAnsi="宋体" w:cs="宋体"/>
          <w:b/>
          <w:bCs/>
          <w:kern w:val="2"/>
          <w:sz w:val="22"/>
          <w:szCs w:val="22"/>
          <w:lang w:val="en-US" w:eastAsia="zh-CN" w:bidi="ar-SA"/>
        </w:rPr>
        <w:t>场景</w:t>
      </w: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处理</w:t>
      </w:r>
    </w:p>
    <w:p w14:paraId="6A1D747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坡度较大、沙化严重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地块宜</w:t>
      </w:r>
      <w:r>
        <w:rPr>
          <w:rFonts w:hint="default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少量多次施用，防止流失；多草种混播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草地按</w:t>
      </w:r>
      <w:r>
        <w:rPr>
          <w:rFonts w:hint="default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本规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程</w:t>
      </w:r>
      <w:r>
        <w:rPr>
          <w:rFonts w:hint="default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用量均匀施用。</w:t>
      </w:r>
    </w:p>
    <w:p w14:paraId="0F9D242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依据：①坡地与沙质土壤保水保肥能力差（田间持水量仅为平地的60%～70%）</w:t>
      </w:r>
      <w:r>
        <w:rPr>
          <w:rFonts w:hint="eastAsia" w:ascii="Times New Roman" w:hAnsi="Times New Roman" w:eastAsia="宋体" w:cs="Times New Roman"/>
          <w:kern w:val="2"/>
          <w:sz w:val="22"/>
          <w:szCs w:val="20"/>
          <w:lang w:val="en-US" w:eastAsia="zh-CN" w:bidi="ar-SA"/>
        </w:rPr>
        <w:t>，一次性大量施用易流失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；②编制组模拟试验显示：坡地一次性施用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30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 m³/hm²，24 h内径流氮损失达25%；分次施用（2次×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150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m³/hm²）损失降至10%；③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坡度较大的区域，沼液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少量多次可提升肥料利用率20%～30%，降低环境污染风险。参考标准：《水土保持综合治理技术规范》（GB/T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16453）中坡地施肥相关要求。</w:t>
      </w:r>
    </w:p>
    <w:p w14:paraId="270346F6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（4）施用后管护技术依据</w:t>
      </w:r>
    </w:p>
    <w:p w14:paraId="03280B2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① 现场管理与台账</w:t>
      </w:r>
    </w:p>
    <w:p w14:paraId="5AA7797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作业结束后及时清洗设备；剩余沼液密封贮存，严禁随意倾倒。规范记录施用时间、用量、地块、沼液检测结果及气象条件，建立台账，全程可追溯。</w:t>
      </w:r>
    </w:p>
    <w:p w14:paraId="5B52B91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依据：①沼液残留易滋生异味、蚊虫（试验表明残留沼液24 h后氨气挥发速率增加5倍）；②台账可追溯质量、用量、时间，便于效果评估与责任界定；③符合《农业面源污染治理与监督指导实施方案》中关于台账管理的要求。</w:t>
      </w:r>
    </w:p>
    <w:p w14:paraId="4ABAF22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② 后期管护</w:t>
      </w:r>
    </w:p>
    <w:p w14:paraId="605A590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施用后1周内禁牧、禁踩、禁割；干旱期（连续10 d无有效降水）及时补水（每次补水20～30 mm）。</w:t>
      </w:r>
    </w:p>
    <w:p w14:paraId="20FF5FF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依据：①编制组对比试验显示：施用后3 d内踩踏，土壤容重增加0.1 g/cm³，牧草株高降低15%；②干旱期补水可促进养分溶解渗透，试验显示补水处理比不补水的牧草增产30%以上；③禁牧期1周可让牧草充分吸收养分、快速恢复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与生长 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。</w:t>
      </w:r>
    </w:p>
    <w:p w14:paraId="22785CE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③ 生态管控</w:t>
      </w:r>
    </w:p>
    <w:p w14:paraId="17A9410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施用后1个月内禁牧（或休牧），禁止在湿地、河流缓冲区（距河岸50 m内）、饮用水源保护区施用沼液。</w:t>
      </w:r>
    </w:p>
    <w:p w14:paraId="1D46B18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依据：①天然草原属生态保护重点区域，必须防范过度利用与污染风险；②《中华人民共和国草原法》第四十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七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条要求退化草原修复区实行禁牧或休牧；③湿地和河流缓冲区对氮磷敏感，沼液施用易造成水体富营养化，严禁在生态保护红线范围内违规施用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。</w:t>
      </w:r>
    </w:p>
    <w:p w14:paraId="554FBE2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（5）技术经济论证与预期效果</w:t>
      </w:r>
    </w:p>
    <w:p w14:paraId="2E18596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① 生态效益</w:t>
      </w:r>
    </w:p>
    <w:p w14:paraId="2F84F9E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按本规程施用（以中度退化割草地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30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 m³/hm²、连续2年为例），编制组示范工程（2024-2025年，兴安盟500亩）监测结果显示：</w:t>
      </w:r>
    </w:p>
    <w:p w14:paraId="4D83644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植被盖度由35%提升至58%（提升23个百分点）；</w:t>
      </w:r>
    </w:p>
    <w:p w14:paraId="4F85DD0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牧草干草产量由1.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4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t/hm²提升至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2.6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t/hm²（增产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86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%）；</w:t>
      </w:r>
    </w:p>
    <w:p w14:paraId="47511D0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土壤有机质由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1.1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%提升至1.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7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%（提升0.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6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%）；</w:t>
      </w:r>
    </w:p>
    <w:p w14:paraId="7932515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土壤容重由1.45 g/cm³降至1.3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g/cm³；</w:t>
      </w:r>
    </w:p>
    <w:p w14:paraId="02325C8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面源污染：与对照相比，地表径流总氮浓度降低40%（因植被覆盖增加）；</w:t>
      </w:r>
    </w:p>
    <w:p w14:paraId="765FB91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畜禽粪污资源化利用率：每公顷消纳沼液相当于处理200头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牛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当量的粪污。</w:t>
      </w:r>
    </w:p>
    <w:p w14:paraId="068ADD1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参考论文：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习彦花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等《沼液长期施用对白三叶草地土壤环境质量的影响》（《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土壤通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报》202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4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，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55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(4): 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1080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-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88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）。</w:t>
      </w:r>
    </w:p>
    <w:p w14:paraId="553FD8E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②经济效益</w:t>
      </w:r>
    </w:p>
    <w:p w14:paraId="7035B0A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投入成本：沼液运输+施用成本约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00元/hm²（按距离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 km、施用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30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 m³/hm²计）；</w:t>
      </w:r>
    </w:p>
    <w:p w14:paraId="3B922FA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产出收益：干草增产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 t/hm²，按市场价800元/t计，增收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960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元/hm²；</w:t>
      </w:r>
    </w:p>
    <w:p w14:paraId="7D87103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替代化肥：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无需施用化肥，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节约成本约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00元/hm²；</w:t>
      </w:r>
    </w:p>
    <w:p w14:paraId="405FF43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综合效益：净收益增加约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960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+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00-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120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0 = 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960元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/hm²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。</w:t>
      </w:r>
    </w:p>
    <w:p w14:paraId="1E83BD3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实际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每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公顷增收在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1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00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0～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5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0元，因不同地区草价和补贴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而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异。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此外，牧区粪污污染、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沼液施用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后的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生态效益未货币化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，未计算生态效益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。</w:t>
      </w:r>
    </w:p>
    <w:p w14:paraId="57ACCAF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依据：示范工程核算，扣除沼液施用成本后，每亩净增收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80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元（即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12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00元/hm²）。</w:t>
      </w:r>
    </w:p>
    <w:p w14:paraId="144A5B5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③社会效益</w:t>
      </w:r>
    </w:p>
    <w:p w14:paraId="21F82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规范技术应用，解决牧区“无标可依、技术混乱”问题，推动草原生态修复与畜牧业绿色转型。据相关监测与文献综合估算，2025年内蒙古东部四盟市（呼伦贝尔、兴安盟、通辽、赤峰）退化割草地面积约200万hm²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。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若30%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退化割草地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应用本规程，可消纳沼液约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9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000万m³，带动相关就业岗位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000个，具有显著的可复制、可推广价值。</w:t>
      </w:r>
    </w:p>
    <w:p w14:paraId="79BBE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四、采用的国际标准</w:t>
      </w:r>
      <w:bookmarkEnd w:id="9"/>
    </w:p>
    <w:p w14:paraId="47CDB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无。本标准针对我国温性草甸草原退化割草地制定，具有明显区域与技术特殊性，未采用相关国际标准。</w:t>
      </w:r>
      <w:bookmarkStart w:id="10" w:name="_Toc176547938"/>
    </w:p>
    <w:p w14:paraId="104D1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五、与现行法律法规和强制性标准的关系</w:t>
      </w:r>
      <w:bookmarkEnd w:id="10"/>
      <w:bookmarkStart w:id="11" w:name="_Toc176547939"/>
    </w:p>
    <w:p w14:paraId="7CB0D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本标准符合《中华人民共和国草原法》《中华人民共和国土壤污染防治法》《中华人民共和国环境保护法》等法律法规要求，与现行强制性国家标准、行业标准无冲突，并在通用标准基础上进行专项细化与补充。</w:t>
      </w:r>
    </w:p>
    <w:p w14:paraId="30919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六、重大分歧意见的处理经过和依据</w:t>
      </w:r>
      <w:bookmarkEnd w:id="11"/>
    </w:p>
    <w:p w14:paraId="0C74A4F9">
      <w:pPr>
        <w:pStyle w:val="2"/>
        <w:spacing w:before="0" w:after="0"/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bookmarkStart w:id="12" w:name="_Toc176547940"/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本标准编制过程中，经多次研讨与专家咨询，未出现重大分歧意见。所有技术条款均基于试验数据与实践经验达成一致。</w:t>
      </w:r>
    </w:p>
    <w:p w14:paraId="18828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七、标准作为强制性或推荐性标准的意见</w:t>
      </w:r>
      <w:bookmarkEnd w:id="12"/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（如涉及专利，在此说明）</w:t>
      </w:r>
    </w:p>
    <w:p w14:paraId="630F5003">
      <w:pPr>
        <w:spacing w:line="360" w:lineRule="auto"/>
        <w:ind w:firstLine="482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本标准为团体推荐性标准，建议发布后在内蒙古东部温性草甸草原退化割草地生态修复、沼液资源化利用领域推广实施，并加强标准的宣贯。</w:t>
      </w:r>
    </w:p>
    <w:p w14:paraId="6776605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40" w:firstLineChars="200"/>
        <w:jc w:val="left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本标准不涉及专利。</w:t>
      </w:r>
    </w:p>
    <w:p w14:paraId="5D7D6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bookmarkStart w:id="13" w:name="_Toc176547941"/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八、贯彻标准的要求和措施建议</w:t>
      </w:r>
      <w:bookmarkEnd w:id="13"/>
    </w:p>
    <w:p w14:paraId="2DB7FE1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为保障本标准科学、有序、全面推广实施，规范温性草甸草原退化割草地沼液施用技术应用，提升草原生态修复质量与资源化利用水平，提出以下贯彻实施要求与保障措施。</w:t>
      </w:r>
    </w:p>
    <w:p w14:paraId="5FC434D4">
      <w:pPr>
        <w:pStyle w:val="3"/>
        <w:spacing w:before="0" w:after="0"/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  <w:t>1. 组织措施</w:t>
      </w:r>
    </w:p>
    <w:p w14:paraId="5DF9596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由标准编制单位联合北京华夏草业产业技术创新战略联盟，共同组建标准宣贯与技术推广工作组，制定专项宣贯实施方案，分层分类开展标准解读、技术培训与实操指导。面向内蒙古东部及周边区域草原管理部门、基层草原站、生态修复企业、畜牧业合作社、沼肥生产与施用单位、工程施工队伍等主体，开展多场次、全覆盖的宣贯培训活动，重点讲解标准制定背景、适用范围、核心技术条款、关键操作要点、质量控制要求及生态安全注意事项，提升相关单位与从业人员对标准的理解能力和执行能力。同时建立跨单位、跨区域的技术联络与协同机制，加强行业交流、信息互通与经验共享，推动标准在草原生态修复一线落地见效。</w:t>
      </w:r>
    </w:p>
    <w:p w14:paraId="322648C8">
      <w:pPr>
        <w:pStyle w:val="3"/>
        <w:spacing w:before="0" w:after="0"/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  <w:t>2. 技术措施</w:t>
      </w:r>
    </w:p>
    <w:p w14:paraId="3657A3D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在内蒙古东部温性草甸草原典型区域，选取具有代表性的退化割草地，建设标准化示范基地与技术展示区，完整展示沼液质量检测、预处理、施用作业、后期管护、生态监测等全流程规范化操作模式。通过现场观摩、实地演示、手把手技术指导、线上答疑等多种方式，帮助使用者精准掌握施用量、施用时期、施用方法、安全防控等关键参数，确保技术操作规范统一。同步编制标准简本、操作明白纸、技术流程图等简易化、通俗化推广材料，提升标准的可及性与可操作性。依托编制单位科研平台与技术优势，提供常态化技术咨询与现场服务，及时解决标准实施过程中出现的技术问题。</w:t>
      </w:r>
    </w:p>
    <w:p w14:paraId="2F721F2E">
      <w:pPr>
        <w:pStyle w:val="3"/>
        <w:spacing w:before="0" w:after="0"/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  <w:t>3. 实施过渡</w:t>
      </w:r>
    </w:p>
    <w:p w14:paraId="6CF5CD6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本标准为首次发布的团体推荐性标准，建议自发布实施后设置1—3 个月的过渡期。过渡期内，鼓励相关单位参照本标准开展试验示范，逐步优化现有沼液施用工艺与管理流程，有序替代不规范、非科学的传统施用方式，实现平稳过渡、稳妥落地。过渡期结束后，在适用区域内全面推行本标准规定的技术要求与操作规范，提升沼液施用的标准化、规范化、安全化水平。</w:t>
      </w:r>
    </w:p>
    <w:p w14:paraId="11ED1091">
      <w:pPr>
        <w:pStyle w:val="3"/>
        <w:spacing w:before="0" w:after="0"/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2"/>
          <w:lang w:val="en-US" w:eastAsia="zh-CN"/>
        </w:rPr>
        <w:t>4. 跟踪修订</w:t>
      </w:r>
    </w:p>
    <w:p w14:paraId="237062B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建立标准实施跟踪评价与信息反馈机制，在标准实施后持续收集生产应用情况、技术适配性、修复效果、存在问题及改进建议，定期开展实施效果评估与总结。根据草原生态保护新形势、行业技术新进展、生产实践新需求，结合科研新成果、示范新经验、管理新要求，适时对本标准进行复审、修订与完善，不断提升标准的科学性、适用性和前瞻性，保障标准长期有效支撑草原生态修复与农牧业绿色高质量发展。</w:t>
      </w:r>
    </w:p>
    <w:p w14:paraId="71681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bookmarkStart w:id="14" w:name="_Toc176547942"/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九、废止现行有关标准的建议</w:t>
      </w:r>
      <w:bookmarkEnd w:id="14"/>
    </w:p>
    <w:p w14:paraId="513AD30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bookmarkStart w:id="15" w:name="_Toc176547943"/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无。本标准为首次制定，不替代现行任何标准。</w:t>
      </w:r>
    </w:p>
    <w:p w14:paraId="431CE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十、其他应予说明的事项</w:t>
      </w:r>
      <w:bookmarkEnd w:id="15"/>
    </w:p>
    <w:bookmarkEnd w:id="1"/>
    <w:p w14:paraId="3E5A0A90">
      <w:pPr>
        <w:pStyle w:val="3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firstLine="0" w:firstLineChars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 xml:space="preserve">1. 本标准为首次发布。 </w:t>
      </w:r>
    </w:p>
    <w:p w14:paraId="1F75240A">
      <w:pPr>
        <w:pStyle w:val="3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firstLine="0" w:firstLineChars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2. 标准名称与立项申报名称一致，未做修改。</w:t>
      </w:r>
    </w:p>
    <w:p w14:paraId="2E7EAA0E">
      <w:pPr>
        <w:pStyle w:val="3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firstLine="0" w:firstLineChars="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3. 本标准突出生态修复优先、安全施用、资源化利用、可追溯管理，适合草原牧区规模化推广</w:t>
      </w:r>
      <w:r>
        <w:rPr>
          <w:rFonts w:hint="eastAsia" w:ascii="宋体" w:hAnsi="宋体" w:eastAsia="宋体" w:cs="宋体"/>
          <w:b w:val="0"/>
          <w:bCs w:val="0"/>
          <w:color w:val="000000"/>
          <w:sz w:val="22"/>
          <w:szCs w:val="22"/>
        </w:rPr>
        <w:t>。</w:t>
      </w:r>
    </w:p>
    <w:sectPr>
      <w:footerReference r:id="rId5" w:type="default"/>
      <w:pgSz w:w="11906" w:h="16838"/>
      <w:pgMar w:top="1843" w:right="1558" w:bottom="1702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9A38A">
    <w:pPr>
      <w:pStyle w:val="10"/>
      <w:framePr w:wrap="around" w:vAnchor="text" w:hAnchor="margin" w:xAlign="center" w:y="1"/>
      <w:rPr>
        <w:rStyle w:val="19"/>
      </w:rPr>
    </w:pPr>
    <w:r>
      <w:fldChar w:fldCharType="begin"/>
    </w:r>
    <w:r>
      <w:rPr>
        <w:rStyle w:val="19"/>
      </w:rPr>
      <w:instrText xml:space="preserve">PAGE  </w:instrText>
    </w:r>
    <w:r>
      <w:fldChar w:fldCharType="end"/>
    </w:r>
  </w:p>
  <w:p w14:paraId="08B3C798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4A4A76"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3251EC">
    <w:pPr>
      <w:pStyle w:val="1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</w:t>
    </w:r>
    <w:r>
      <w:rPr>
        <w:lang w:val="zh-CN"/>
      </w:rPr>
      <w:fldChar w:fldCharType="end"/>
    </w:r>
  </w:p>
  <w:p w14:paraId="38A67C4B">
    <w:pPr>
      <w:pStyle w:val="1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NkMzVhNTA1NWMzZDc0MDk3Nzc1ODUzODEwMDUwODEifQ=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inese Std GBT7714 (numeric) copy&lt;/Style&gt;&lt;LeftDelim&gt;{&lt;/LeftDelim&gt;&lt;RightDelim&gt;}&lt;/RightDelim&gt;&lt;FontName&gt;Times New Rom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xe0xw9a5ksss2bepfpxv2exzapw0pspfxrrs&quot;&gt;发酵TMR小论文&lt;record-ids&gt;&lt;item&gt;228&lt;/item&gt;&lt;/record-ids&gt;&lt;/item&gt;&lt;/Libraries&gt;"/>
  </w:docVars>
  <w:rsids>
    <w:rsidRoot w:val="00416669"/>
    <w:rsid w:val="000155DB"/>
    <w:rsid w:val="00017D16"/>
    <w:rsid w:val="000308A3"/>
    <w:rsid w:val="00032402"/>
    <w:rsid w:val="00036A34"/>
    <w:rsid w:val="000429E1"/>
    <w:rsid w:val="000434FB"/>
    <w:rsid w:val="00044247"/>
    <w:rsid w:val="0004735E"/>
    <w:rsid w:val="00057930"/>
    <w:rsid w:val="000610CF"/>
    <w:rsid w:val="00061E22"/>
    <w:rsid w:val="00076D67"/>
    <w:rsid w:val="0008074C"/>
    <w:rsid w:val="000B474F"/>
    <w:rsid w:val="000E0375"/>
    <w:rsid w:val="000F7801"/>
    <w:rsid w:val="00112EE8"/>
    <w:rsid w:val="00113F8F"/>
    <w:rsid w:val="001155D9"/>
    <w:rsid w:val="00122CF2"/>
    <w:rsid w:val="0012627C"/>
    <w:rsid w:val="00126374"/>
    <w:rsid w:val="0013098F"/>
    <w:rsid w:val="00132DB4"/>
    <w:rsid w:val="001372F7"/>
    <w:rsid w:val="00137BD4"/>
    <w:rsid w:val="00140742"/>
    <w:rsid w:val="00147E5E"/>
    <w:rsid w:val="001650ED"/>
    <w:rsid w:val="00173D9B"/>
    <w:rsid w:val="0017441B"/>
    <w:rsid w:val="001877A5"/>
    <w:rsid w:val="001A3DFC"/>
    <w:rsid w:val="001A3E3C"/>
    <w:rsid w:val="001A6550"/>
    <w:rsid w:val="001D0503"/>
    <w:rsid w:val="001E428B"/>
    <w:rsid w:val="001E72A2"/>
    <w:rsid w:val="001F1BFE"/>
    <w:rsid w:val="001F5979"/>
    <w:rsid w:val="001F6496"/>
    <w:rsid w:val="00230B2D"/>
    <w:rsid w:val="002313E0"/>
    <w:rsid w:val="00231604"/>
    <w:rsid w:val="00232FFF"/>
    <w:rsid w:val="00237F30"/>
    <w:rsid w:val="00240E83"/>
    <w:rsid w:val="00246C40"/>
    <w:rsid w:val="002538BD"/>
    <w:rsid w:val="00255BC8"/>
    <w:rsid w:val="00256EDA"/>
    <w:rsid w:val="00257083"/>
    <w:rsid w:val="00257498"/>
    <w:rsid w:val="002574A2"/>
    <w:rsid w:val="00264E4C"/>
    <w:rsid w:val="00266508"/>
    <w:rsid w:val="002679DB"/>
    <w:rsid w:val="002A2BE5"/>
    <w:rsid w:val="002A38D8"/>
    <w:rsid w:val="002B5E17"/>
    <w:rsid w:val="002C3275"/>
    <w:rsid w:val="002C5FEC"/>
    <w:rsid w:val="002D17E1"/>
    <w:rsid w:val="002D653D"/>
    <w:rsid w:val="002E35C6"/>
    <w:rsid w:val="002F1A92"/>
    <w:rsid w:val="002F773B"/>
    <w:rsid w:val="002F78D3"/>
    <w:rsid w:val="00301EF9"/>
    <w:rsid w:val="00315468"/>
    <w:rsid w:val="00324544"/>
    <w:rsid w:val="0033768E"/>
    <w:rsid w:val="00353076"/>
    <w:rsid w:val="00355292"/>
    <w:rsid w:val="00357EA9"/>
    <w:rsid w:val="003616FA"/>
    <w:rsid w:val="0036445F"/>
    <w:rsid w:val="003647ED"/>
    <w:rsid w:val="00371521"/>
    <w:rsid w:val="003763C5"/>
    <w:rsid w:val="00376C0E"/>
    <w:rsid w:val="00377593"/>
    <w:rsid w:val="00384379"/>
    <w:rsid w:val="00395E51"/>
    <w:rsid w:val="00397219"/>
    <w:rsid w:val="003A467C"/>
    <w:rsid w:val="003A7FFA"/>
    <w:rsid w:val="003B4101"/>
    <w:rsid w:val="003B4925"/>
    <w:rsid w:val="003C0E69"/>
    <w:rsid w:val="003D5430"/>
    <w:rsid w:val="003E41F0"/>
    <w:rsid w:val="003E6AD8"/>
    <w:rsid w:val="004008BE"/>
    <w:rsid w:val="00401F02"/>
    <w:rsid w:val="00403501"/>
    <w:rsid w:val="0041174A"/>
    <w:rsid w:val="00412FA3"/>
    <w:rsid w:val="00416243"/>
    <w:rsid w:val="00416669"/>
    <w:rsid w:val="004262B4"/>
    <w:rsid w:val="00434FDA"/>
    <w:rsid w:val="0043644F"/>
    <w:rsid w:val="004369B7"/>
    <w:rsid w:val="00441546"/>
    <w:rsid w:val="00441DDE"/>
    <w:rsid w:val="00443A22"/>
    <w:rsid w:val="0045024A"/>
    <w:rsid w:val="004558C5"/>
    <w:rsid w:val="004817B8"/>
    <w:rsid w:val="0048331E"/>
    <w:rsid w:val="00487AD2"/>
    <w:rsid w:val="00487FAD"/>
    <w:rsid w:val="004A3AE7"/>
    <w:rsid w:val="004A4D6E"/>
    <w:rsid w:val="004B6B44"/>
    <w:rsid w:val="004C3612"/>
    <w:rsid w:val="004C40C4"/>
    <w:rsid w:val="004C500C"/>
    <w:rsid w:val="004C7768"/>
    <w:rsid w:val="004D3A8C"/>
    <w:rsid w:val="004D7696"/>
    <w:rsid w:val="004E670F"/>
    <w:rsid w:val="004F338A"/>
    <w:rsid w:val="004F7B86"/>
    <w:rsid w:val="00503FBF"/>
    <w:rsid w:val="00527ABD"/>
    <w:rsid w:val="00530419"/>
    <w:rsid w:val="00532D0E"/>
    <w:rsid w:val="00533B44"/>
    <w:rsid w:val="005436E7"/>
    <w:rsid w:val="0055067B"/>
    <w:rsid w:val="0055090C"/>
    <w:rsid w:val="005573B1"/>
    <w:rsid w:val="00564B6D"/>
    <w:rsid w:val="00571127"/>
    <w:rsid w:val="00571E77"/>
    <w:rsid w:val="0057251D"/>
    <w:rsid w:val="00572906"/>
    <w:rsid w:val="00576CFC"/>
    <w:rsid w:val="005850C6"/>
    <w:rsid w:val="00594619"/>
    <w:rsid w:val="00595AF8"/>
    <w:rsid w:val="0059745A"/>
    <w:rsid w:val="00597601"/>
    <w:rsid w:val="005A3DE9"/>
    <w:rsid w:val="005A7B28"/>
    <w:rsid w:val="005B3678"/>
    <w:rsid w:val="005C1DB7"/>
    <w:rsid w:val="005C3740"/>
    <w:rsid w:val="005D70F9"/>
    <w:rsid w:val="005E25C4"/>
    <w:rsid w:val="005F21F2"/>
    <w:rsid w:val="005F7967"/>
    <w:rsid w:val="006136A1"/>
    <w:rsid w:val="00613B1E"/>
    <w:rsid w:val="00617DE2"/>
    <w:rsid w:val="00617E82"/>
    <w:rsid w:val="006237C9"/>
    <w:rsid w:val="006274F4"/>
    <w:rsid w:val="006359DA"/>
    <w:rsid w:val="00642959"/>
    <w:rsid w:val="00644454"/>
    <w:rsid w:val="0064625B"/>
    <w:rsid w:val="00647006"/>
    <w:rsid w:val="006520B7"/>
    <w:rsid w:val="006615F3"/>
    <w:rsid w:val="00662C30"/>
    <w:rsid w:val="00673243"/>
    <w:rsid w:val="00676D14"/>
    <w:rsid w:val="00677237"/>
    <w:rsid w:val="006801B7"/>
    <w:rsid w:val="00686267"/>
    <w:rsid w:val="006876D1"/>
    <w:rsid w:val="00692CFC"/>
    <w:rsid w:val="006A1F6A"/>
    <w:rsid w:val="006C0880"/>
    <w:rsid w:val="006C11CD"/>
    <w:rsid w:val="006C52CD"/>
    <w:rsid w:val="006D3074"/>
    <w:rsid w:val="006D5BF9"/>
    <w:rsid w:val="006E08FA"/>
    <w:rsid w:val="006E0E00"/>
    <w:rsid w:val="006E4C06"/>
    <w:rsid w:val="006F1DD4"/>
    <w:rsid w:val="006F237B"/>
    <w:rsid w:val="006F3702"/>
    <w:rsid w:val="006F740A"/>
    <w:rsid w:val="00701F8B"/>
    <w:rsid w:val="007038ED"/>
    <w:rsid w:val="00706039"/>
    <w:rsid w:val="007227A4"/>
    <w:rsid w:val="00722A10"/>
    <w:rsid w:val="00732883"/>
    <w:rsid w:val="007356A0"/>
    <w:rsid w:val="007508FD"/>
    <w:rsid w:val="00750DD8"/>
    <w:rsid w:val="0075399B"/>
    <w:rsid w:val="00757F83"/>
    <w:rsid w:val="007665CB"/>
    <w:rsid w:val="00777351"/>
    <w:rsid w:val="00792549"/>
    <w:rsid w:val="00793A3A"/>
    <w:rsid w:val="007A1632"/>
    <w:rsid w:val="007A1885"/>
    <w:rsid w:val="007A2731"/>
    <w:rsid w:val="007B11B3"/>
    <w:rsid w:val="007B6620"/>
    <w:rsid w:val="007B75B7"/>
    <w:rsid w:val="007C4CB1"/>
    <w:rsid w:val="007D1E41"/>
    <w:rsid w:val="007E63DA"/>
    <w:rsid w:val="007F0C38"/>
    <w:rsid w:val="007F5CB8"/>
    <w:rsid w:val="007F7B8C"/>
    <w:rsid w:val="008114DA"/>
    <w:rsid w:val="008127BC"/>
    <w:rsid w:val="00814B61"/>
    <w:rsid w:val="008242BD"/>
    <w:rsid w:val="0082475F"/>
    <w:rsid w:val="00827333"/>
    <w:rsid w:val="00835A6F"/>
    <w:rsid w:val="00836F37"/>
    <w:rsid w:val="00837F17"/>
    <w:rsid w:val="0084113C"/>
    <w:rsid w:val="00847886"/>
    <w:rsid w:val="00847A63"/>
    <w:rsid w:val="008535A7"/>
    <w:rsid w:val="00860918"/>
    <w:rsid w:val="0086606A"/>
    <w:rsid w:val="008678ED"/>
    <w:rsid w:val="00870620"/>
    <w:rsid w:val="00873984"/>
    <w:rsid w:val="0088082F"/>
    <w:rsid w:val="008961C2"/>
    <w:rsid w:val="008962BA"/>
    <w:rsid w:val="00897E59"/>
    <w:rsid w:val="008A2DD2"/>
    <w:rsid w:val="008A2E71"/>
    <w:rsid w:val="008A3069"/>
    <w:rsid w:val="008A49C3"/>
    <w:rsid w:val="008B3504"/>
    <w:rsid w:val="008B7E15"/>
    <w:rsid w:val="008C3EDA"/>
    <w:rsid w:val="008E5F14"/>
    <w:rsid w:val="008E5F71"/>
    <w:rsid w:val="008E66D9"/>
    <w:rsid w:val="008F08FA"/>
    <w:rsid w:val="008F2E1B"/>
    <w:rsid w:val="008F773A"/>
    <w:rsid w:val="00904055"/>
    <w:rsid w:val="00907DBA"/>
    <w:rsid w:val="00914A4F"/>
    <w:rsid w:val="0091549B"/>
    <w:rsid w:val="009215F0"/>
    <w:rsid w:val="00922670"/>
    <w:rsid w:val="00935406"/>
    <w:rsid w:val="00945B8A"/>
    <w:rsid w:val="009513E8"/>
    <w:rsid w:val="0095204F"/>
    <w:rsid w:val="0095404A"/>
    <w:rsid w:val="00973876"/>
    <w:rsid w:val="00980FDD"/>
    <w:rsid w:val="009812CC"/>
    <w:rsid w:val="00986C80"/>
    <w:rsid w:val="009951C7"/>
    <w:rsid w:val="009966C3"/>
    <w:rsid w:val="0099687E"/>
    <w:rsid w:val="009A13B4"/>
    <w:rsid w:val="009A300F"/>
    <w:rsid w:val="009B09CB"/>
    <w:rsid w:val="009B1404"/>
    <w:rsid w:val="009C1890"/>
    <w:rsid w:val="009C1E98"/>
    <w:rsid w:val="009E25E4"/>
    <w:rsid w:val="009F110C"/>
    <w:rsid w:val="009F31FF"/>
    <w:rsid w:val="009F64A3"/>
    <w:rsid w:val="00A1717E"/>
    <w:rsid w:val="00A21B84"/>
    <w:rsid w:val="00A255CB"/>
    <w:rsid w:val="00A26331"/>
    <w:rsid w:val="00A2746C"/>
    <w:rsid w:val="00A27F7F"/>
    <w:rsid w:val="00A447CB"/>
    <w:rsid w:val="00A44C95"/>
    <w:rsid w:val="00A464AD"/>
    <w:rsid w:val="00A46547"/>
    <w:rsid w:val="00A542B0"/>
    <w:rsid w:val="00A5557B"/>
    <w:rsid w:val="00A56B82"/>
    <w:rsid w:val="00A75672"/>
    <w:rsid w:val="00A8486E"/>
    <w:rsid w:val="00AA2DCB"/>
    <w:rsid w:val="00AA3DF7"/>
    <w:rsid w:val="00AA4435"/>
    <w:rsid w:val="00AA7CED"/>
    <w:rsid w:val="00AB1FC9"/>
    <w:rsid w:val="00AB4133"/>
    <w:rsid w:val="00AB46A2"/>
    <w:rsid w:val="00AD492B"/>
    <w:rsid w:val="00AD4E95"/>
    <w:rsid w:val="00AD5C1F"/>
    <w:rsid w:val="00AD5E18"/>
    <w:rsid w:val="00AD78F8"/>
    <w:rsid w:val="00AE08AF"/>
    <w:rsid w:val="00AE1937"/>
    <w:rsid w:val="00AE3118"/>
    <w:rsid w:val="00AE3591"/>
    <w:rsid w:val="00AE35CB"/>
    <w:rsid w:val="00AF7E56"/>
    <w:rsid w:val="00B04616"/>
    <w:rsid w:val="00B072C7"/>
    <w:rsid w:val="00B101AB"/>
    <w:rsid w:val="00B27E34"/>
    <w:rsid w:val="00B30B48"/>
    <w:rsid w:val="00B337E6"/>
    <w:rsid w:val="00B34441"/>
    <w:rsid w:val="00B34D79"/>
    <w:rsid w:val="00B35BB0"/>
    <w:rsid w:val="00B36B7A"/>
    <w:rsid w:val="00B438C1"/>
    <w:rsid w:val="00B528E4"/>
    <w:rsid w:val="00B559A4"/>
    <w:rsid w:val="00B63763"/>
    <w:rsid w:val="00B756D2"/>
    <w:rsid w:val="00B915FB"/>
    <w:rsid w:val="00B92DBA"/>
    <w:rsid w:val="00B97595"/>
    <w:rsid w:val="00BA2455"/>
    <w:rsid w:val="00BA2A59"/>
    <w:rsid w:val="00BA706B"/>
    <w:rsid w:val="00BA7DAE"/>
    <w:rsid w:val="00BB0513"/>
    <w:rsid w:val="00BB71D2"/>
    <w:rsid w:val="00BC0C02"/>
    <w:rsid w:val="00BD1027"/>
    <w:rsid w:val="00BD35CA"/>
    <w:rsid w:val="00BD385F"/>
    <w:rsid w:val="00BD39E2"/>
    <w:rsid w:val="00BD3CA0"/>
    <w:rsid w:val="00BE0B0E"/>
    <w:rsid w:val="00BE3F98"/>
    <w:rsid w:val="00BF1329"/>
    <w:rsid w:val="00BF72F5"/>
    <w:rsid w:val="00BF7605"/>
    <w:rsid w:val="00C04DE6"/>
    <w:rsid w:val="00C0677E"/>
    <w:rsid w:val="00C16421"/>
    <w:rsid w:val="00C22140"/>
    <w:rsid w:val="00C2658A"/>
    <w:rsid w:val="00C31237"/>
    <w:rsid w:val="00C35D5A"/>
    <w:rsid w:val="00C42D41"/>
    <w:rsid w:val="00C43B8F"/>
    <w:rsid w:val="00C43FAD"/>
    <w:rsid w:val="00C45F48"/>
    <w:rsid w:val="00C474C8"/>
    <w:rsid w:val="00C54D42"/>
    <w:rsid w:val="00C679AC"/>
    <w:rsid w:val="00C758D8"/>
    <w:rsid w:val="00C81D94"/>
    <w:rsid w:val="00C900AE"/>
    <w:rsid w:val="00C9570B"/>
    <w:rsid w:val="00CA1927"/>
    <w:rsid w:val="00CA3AB7"/>
    <w:rsid w:val="00CA51C8"/>
    <w:rsid w:val="00CB619E"/>
    <w:rsid w:val="00CD6231"/>
    <w:rsid w:val="00CE53AB"/>
    <w:rsid w:val="00D00CC8"/>
    <w:rsid w:val="00D22D66"/>
    <w:rsid w:val="00D250E5"/>
    <w:rsid w:val="00D253BE"/>
    <w:rsid w:val="00D26985"/>
    <w:rsid w:val="00D3529E"/>
    <w:rsid w:val="00D46F1D"/>
    <w:rsid w:val="00D53C06"/>
    <w:rsid w:val="00D60D26"/>
    <w:rsid w:val="00D60EB5"/>
    <w:rsid w:val="00D73891"/>
    <w:rsid w:val="00D749ED"/>
    <w:rsid w:val="00D81652"/>
    <w:rsid w:val="00D81CB9"/>
    <w:rsid w:val="00D90078"/>
    <w:rsid w:val="00D9528D"/>
    <w:rsid w:val="00DA3ED9"/>
    <w:rsid w:val="00DA4986"/>
    <w:rsid w:val="00DC10BE"/>
    <w:rsid w:val="00DD550E"/>
    <w:rsid w:val="00DD56EA"/>
    <w:rsid w:val="00DD694C"/>
    <w:rsid w:val="00DF0229"/>
    <w:rsid w:val="00DF3DAB"/>
    <w:rsid w:val="00DF4E14"/>
    <w:rsid w:val="00DF666A"/>
    <w:rsid w:val="00DF6EA3"/>
    <w:rsid w:val="00DF7946"/>
    <w:rsid w:val="00E1686F"/>
    <w:rsid w:val="00E21921"/>
    <w:rsid w:val="00E33DCF"/>
    <w:rsid w:val="00E373AD"/>
    <w:rsid w:val="00E4036C"/>
    <w:rsid w:val="00E418B3"/>
    <w:rsid w:val="00E52D55"/>
    <w:rsid w:val="00E56FB6"/>
    <w:rsid w:val="00E57815"/>
    <w:rsid w:val="00E62DD5"/>
    <w:rsid w:val="00E8551F"/>
    <w:rsid w:val="00E923DA"/>
    <w:rsid w:val="00E93DBA"/>
    <w:rsid w:val="00E9519E"/>
    <w:rsid w:val="00E96678"/>
    <w:rsid w:val="00E967AE"/>
    <w:rsid w:val="00EA3B73"/>
    <w:rsid w:val="00EB7CF2"/>
    <w:rsid w:val="00EE1047"/>
    <w:rsid w:val="00EF0176"/>
    <w:rsid w:val="00EF4463"/>
    <w:rsid w:val="00F10D01"/>
    <w:rsid w:val="00F11312"/>
    <w:rsid w:val="00F143A4"/>
    <w:rsid w:val="00F21D5B"/>
    <w:rsid w:val="00F2339E"/>
    <w:rsid w:val="00F266DE"/>
    <w:rsid w:val="00F33865"/>
    <w:rsid w:val="00F4018F"/>
    <w:rsid w:val="00F46585"/>
    <w:rsid w:val="00F465B9"/>
    <w:rsid w:val="00F50FA6"/>
    <w:rsid w:val="00F55084"/>
    <w:rsid w:val="00F62E99"/>
    <w:rsid w:val="00F65A3A"/>
    <w:rsid w:val="00F70A79"/>
    <w:rsid w:val="00F73820"/>
    <w:rsid w:val="00F75167"/>
    <w:rsid w:val="00F765AB"/>
    <w:rsid w:val="00F810F1"/>
    <w:rsid w:val="00F85661"/>
    <w:rsid w:val="00F938C1"/>
    <w:rsid w:val="00FA3307"/>
    <w:rsid w:val="00FB5B64"/>
    <w:rsid w:val="00FC2299"/>
    <w:rsid w:val="00FC7766"/>
    <w:rsid w:val="00FD2844"/>
    <w:rsid w:val="00FD4EFA"/>
    <w:rsid w:val="00FD55D6"/>
    <w:rsid w:val="00FD6815"/>
    <w:rsid w:val="00FD6B91"/>
    <w:rsid w:val="00FE01AF"/>
    <w:rsid w:val="00FE6C94"/>
    <w:rsid w:val="00FF48BF"/>
    <w:rsid w:val="00FF5684"/>
    <w:rsid w:val="01885582"/>
    <w:rsid w:val="02D3570F"/>
    <w:rsid w:val="035769A3"/>
    <w:rsid w:val="037156DB"/>
    <w:rsid w:val="040D0C24"/>
    <w:rsid w:val="05AD2F61"/>
    <w:rsid w:val="093733C9"/>
    <w:rsid w:val="0A0E7F26"/>
    <w:rsid w:val="0C13795F"/>
    <w:rsid w:val="0D7F514F"/>
    <w:rsid w:val="0E76520D"/>
    <w:rsid w:val="0E83792A"/>
    <w:rsid w:val="0EC040BF"/>
    <w:rsid w:val="0EFA6253"/>
    <w:rsid w:val="10265A71"/>
    <w:rsid w:val="108D14D7"/>
    <w:rsid w:val="14511540"/>
    <w:rsid w:val="150E269C"/>
    <w:rsid w:val="166F5222"/>
    <w:rsid w:val="1683496B"/>
    <w:rsid w:val="17DA1355"/>
    <w:rsid w:val="184A31E0"/>
    <w:rsid w:val="1BA33337"/>
    <w:rsid w:val="1C590024"/>
    <w:rsid w:val="1E711A49"/>
    <w:rsid w:val="1E935967"/>
    <w:rsid w:val="1EAD2225"/>
    <w:rsid w:val="1FE4496A"/>
    <w:rsid w:val="20734AA9"/>
    <w:rsid w:val="20A67D62"/>
    <w:rsid w:val="22D30A28"/>
    <w:rsid w:val="253E083A"/>
    <w:rsid w:val="280D48D4"/>
    <w:rsid w:val="28184DF0"/>
    <w:rsid w:val="29457F4C"/>
    <w:rsid w:val="2AA17567"/>
    <w:rsid w:val="2C8376D8"/>
    <w:rsid w:val="2E0028ED"/>
    <w:rsid w:val="302D72E0"/>
    <w:rsid w:val="30A071CD"/>
    <w:rsid w:val="30D00355"/>
    <w:rsid w:val="3100387E"/>
    <w:rsid w:val="321833B3"/>
    <w:rsid w:val="32F41833"/>
    <w:rsid w:val="330253ED"/>
    <w:rsid w:val="33D70A5B"/>
    <w:rsid w:val="34504B02"/>
    <w:rsid w:val="353C0A11"/>
    <w:rsid w:val="35D66C79"/>
    <w:rsid w:val="363F0E23"/>
    <w:rsid w:val="366F04F9"/>
    <w:rsid w:val="36F905A6"/>
    <w:rsid w:val="375872F6"/>
    <w:rsid w:val="37C1342F"/>
    <w:rsid w:val="382B6314"/>
    <w:rsid w:val="391F59BB"/>
    <w:rsid w:val="39707CB8"/>
    <w:rsid w:val="3CB60D47"/>
    <w:rsid w:val="3E38189B"/>
    <w:rsid w:val="3ECB6600"/>
    <w:rsid w:val="3EF33504"/>
    <w:rsid w:val="43712A92"/>
    <w:rsid w:val="43CB7A41"/>
    <w:rsid w:val="444D6967"/>
    <w:rsid w:val="451A3F70"/>
    <w:rsid w:val="45E20DD0"/>
    <w:rsid w:val="47277CAA"/>
    <w:rsid w:val="482C3F1D"/>
    <w:rsid w:val="48425B85"/>
    <w:rsid w:val="49C23456"/>
    <w:rsid w:val="4A6B0B6F"/>
    <w:rsid w:val="4AD420FB"/>
    <w:rsid w:val="4C1F06B5"/>
    <w:rsid w:val="4CAC7A71"/>
    <w:rsid w:val="4D0A4797"/>
    <w:rsid w:val="4D9E3FA3"/>
    <w:rsid w:val="4E193658"/>
    <w:rsid w:val="51062E60"/>
    <w:rsid w:val="52BD4306"/>
    <w:rsid w:val="52C935E2"/>
    <w:rsid w:val="5420452F"/>
    <w:rsid w:val="560D45D3"/>
    <w:rsid w:val="571A7727"/>
    <w:rsid w:val="574D68CB"/>
    <w:rsid w:val="59D46617"/>
    <w:rsid w:val="5BC14BBB"/>
    <w:rsid w:val="5C8A60EC"/>
    <w:rsid w:val="5C9D7268"/>
    <w:rsid w:val="5D141ABD"/>
    <w:rsid w:val="5D301FF8"/>
    <w:rsid w:val="5D7D52AA"/>
    <w:rsid w:val="5DA36C6E"/>
    <w:rsid w:val="5E357973"/>
    <w:rsid w:val="5F314A8B"/>
    <w:rsid w:val="5F5643DE"/>
    <w:rsid w:val="5F97769F"/>
    <w:rsid w:val="615A37DE"/>
    <w:rsid w:val="61943847"/>
    <w:rsid w:val="62ED4CCD"/>
    <w:rsid w:val="633A0287"/>
    <w:rsid w:val="63B36E26"/>
    <w:rsid w:val="64B259E8"/>
    <w:rsid w:val="64B659E6"/>
    <w:rsid w:val="665D19CF"/>
    <w:rsid w:val="667C62AE"/>
    <w:rsid w:val="66AA38F8"/>
    <w:rsid w:val="67DA6CBF"/>
    <w:rsid w:val="694960C1"/>
    <w:rsid w:val="697D55D1"/>
    <w:rsid w:val="699851AD"/>
    <w:rsid w:val="69F152C0"/>
    <w:rsid w:val="6B146ABA"/>
    <w:rsid w:val="6B421874"/>
    <w:rsid w:val="6C692D01"/>
    <w:rsid w:val="6D2A1A28"/>
    <w:rsid w:val="6E253618"/>
    <w:rsid w:val="6F9E5BF8"/>
    <w:rsid w:val="729E19CA"/>
    <w:rsid w:val="72ED6825"/>
    <w:rsid w:val="73B1517B"/>
    <w:rsid w:val="73CE5A0F"/>
    <w:rsid w:val="743E2DF5"/>
    <w:rsid w:val="751E7BDB"/>
    <w:rsid w:val="77785FC7"/>
    <w:rsid w:val="78EC706A"/>
    <w:rsid w:val="7ACF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40"/>
    <w:qFormat/>
    <w:uiPriority w:val="9"/>
    <w:pPr>
      <w:keepNext/>
      <w:keepLines/>
      <w:spacing w:before="240" w:after="240" w:line="360" w:lineRule="auto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21"/>
    <w:qFormat/>
    <w:uiPriority w:val="9"/>
    <w:pPr>
      <w:keepNext/>
      <w:keepLines/>
      <w:spacing w:before="240" w:after="240" w:line="360" w:lineRule="auto"/>
      <w:outlineLvl w:val="1"/>
    </w:pPr>
    <w:rPr>
      <w:rFonts w:ascii="等线 Light" w:hAnsi="等线 Light" w:eastAsia="黑体"/>
      <w:bCs/>
      <w:sz w:val="24"/>
      <w:szCs w:val="32"/>
    </w:rPr>
  </w:style>
  <w:style w:type="paragraph" w:styleId="4">
    <w:name w:val="heading 3"/>
    <w:basedOn w:val="1"/>
    <w:next w:val="1"/>
    <w:link w:val="42"/>
    <w:unhideWhenUsed/>
    <w:qFormat/>
    <w:uiPriority w:val="9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qFormat/>
    <w:uiPriority w:val="0"/>
    <w:rPr>
      <w:rFonts w:ascii="等线 Light" w:hAnsi="等线 Light" w:eastAsia="黑体"/>
      <w:sz w:val="20"/>
      <w:szCs w:val="20"/>
    </w:rPr>
  </w:style>
  <w:style w:type="paragraph" w:styleId="6">
    <w:name w:val="toc 3"/>
    <w:basedOn w:val="1"/>
    <w:next w:val="1"/>
    <w:autoRedefine/>
    <w:unhideWhenUsed/>
    <w:qFormat/>
    <w:uiPriority w:val="39"/>
    <w:pPr>
      <w:ind w:left="840" w:leftChars="400"/>
    </w:pPr>
  </w:style>
  <w:style w:type="paragraph" w:styleId="7">
    <w:name w:val="Plain Text"/>
    <w:basedOn w:val="1"/>
    <w:qFormat/>
    <w:uiPriority w:val="99"/>
    <w:rPr>
      <w:rFonts w:ascii="宋体" w:hAnsi="Courier New" w:cs="宋体"/>
    </w:rPr>
  </w:style>
  <w:style w:type="paragraph" w:styleId="8">
    <w:name w:val="Date"/>
    <w:basedOn w:val="1"/>
    <w:next w:val="1"/>
    <w:link w:val="22"/>
    <w:qFormat/>
    <w:uiPriority w:val="0"/>
    <w:pPr>
      <w:ind w:left="100" w:leftChars="2500"/>
    </w:pPr>
    <w:rPr>
      <w:szCs w:val="24"/>
    </w:rPr>
  </w:style>
  <w:style w:type="paragraph" w:styleId="9">
    <w:name w:val="Balloon Text"/>
    <w:basedOn w:val="1"/>
    <w:link w:val="23"/>
    <w:unhideWhenUsed/>
    <w:qFormat/>
    <w:uiPriority w:val="0"/>
    <w:rPr>
      <w:sz w:val="18"/>
      <w:szCs w:val="18"/>
    </w:rPr>
  </w:style>
  <w:style w:type="paragraph" w:styleId="10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unhideWhenUsed/>
    <w:qFormat/>
    <w:uiPriority w:val="39"/>
    <w:pPr>
      <w:tabs>
        <w:tab w:val="right" w:leader="dot" w:pos="8538"/>
      </w:tabs>
      <w:spacing w:line="360" w:lineRule="auto"/>
    </w:pPr>
  </w:style>
  <w:style w:type="paragraph" w:styleId="13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6">
    <w:name w:val="Table Grid"/>
    <w:basedOn w:val="1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qFormat/>
    <w:uiPriority w:val="0"/>
    <w:rPr>
      <w:b/>
    </w:rPr>
  </w:style>
  <w:style w:type="character" w:styleId="19">
    <w:name w:val="page number"/>
    <w:qFormat/>
    <w:uiPriority w:val="0"/>
  </w:style>
  <w:style w:type="character" w:styleId="20">
    <w:name w:val="Hyperlink"/>
    <w:unhideWhenUsed/>
    <w:qFormat/>
    <w:uiPriority w:val="99"/>
    <w:rPr>
      <w:color w:val="0563C1"/>
      <w:u w:val="single"/>
    </w:rPr>
  </w:style>
  <w:style w:type="character" w:customStyle="1" w:styleId="21">
    <w:name w:val="标题 2 字符"/>
    <w:link w:val="3"/>
    <w:qFormat/>
    <w:uiPriority w:val="9"/>
    <w:rPr>
      <w:rFonts w:ascii="等线 Light" w:hAnsi="等线 Light" w:eastAsia="黑体"/>
      <w:bCs/>
      <w:kern w:val="2"/>
      <w:sz w:val="24"/>
      <w:szCs w:val="32"/>
    </w:rPr>
  </w:style>
  <w:style w:type="character" w:customStyle="1" w:styleId="22">
    <w:name w:val="日期 字符"/>
    <w:link w:val="8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3">
    <w:name w:val="批注框文本 字符"/>
    <w:link w:val="9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4">
    <w:name w:val="页脚 字符"/>
    <w:link w:val="10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页眉 字符"/>
    <w:link w:val="11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fontstyle01"/>
    <w:qFormat/>
    <w:uiPriority w:val="0"/>
    <w:rPr>
      <w:rFonts w:hint="eastAsia" w:ascii="黑体" w:hAnsi="黑体" w:eastAsia="黑体"/>
      <w:color w:val="000000"/>
      <w:sz w:val="32"/>
      <w:szCs w:val="32"/>
    </w:rPr>
  </w:style>
  <w:style w:type="character" w:customStyle="1" w:styleId="27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28">
    <w:name w:val="段 Char"/>
    <w:link w:val="29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29">
    <w:name w:val="段"/>
    <w:link w:val="28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30">
    <w:name w:val="fontstyle11"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character" w:customStyle="1" w:styleId="31">
    <w:name w:val="apple-style-span"/>
    <w:semiHidden/>
    <w:qFormat/>
    <w:uiPriority w:val="0"/>
  </w:style>
  <w:style w:type="paragraph" w:styleId="32">
    <w:name w:val="List Paragraph"/>
    <w:basedOn w:val="1"/>
    <w:qFormat/>
    <w:uiPriority w:val="99"/>
    <w:pPr>
      <w:ind w:firstLine="420" w:firstLineChars="200"/>
    </w:pPr>
  </w:style>
  <w:style w:type="paragraph" w:customStyle="1" w:styleId="33">
    <w:name w:val="Char1 Char Char Char Char Char Char Char Char Char"/>
    <w:basedOn w:val="1"/>
    <w:qFormat/>
    <w:uiPriority w:val="0"/>
    <w:pPr>
      <w:spacing w:line="360" w:lineRule="auto"/>
    </w:pPr>
    <w:rPr>
      <w:rFonts w:ascii="Tahoma" w:hAnsi="Tahoma"/>
      <w:sz w:val="24"/>
      <w:szCs w:val="20"/>
    </w:rPr>
  </w:style>
  <w:style w:type="paragraph" w:customStyle="1" w:styleId="34">
    <w:name w:val="图标标题"/>
    <w:basedOn w:val="5"/>
    <w:qFormat/>
    <w:uiPriority w:val="0"/>
    <w:pPr>
      <w:jc w:val="center"/>
    </w:pPr>
    <w:rPr>
      <w:sz w:val="21"/>
    </w:rPr>
  </w:style>
  <w:style w:type="paragraph" w:customStyle="1" w:styleId="35">
    <w:name w:val="修订1"/>
    <w:unhideWhenUsed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6">
    <w:name w:val="EndNote Bibliography"/>
    <w:basedOn w:val="1"/>
    <w:link w:val="37"/>
    <w:qFormat/>
    <w:uiPriority w:val="0"/>
    <w:rPr>
      <w:rFonts w:eastAsia="等线"/>
      <w:sz w:val="20"/>
      <w:szCs w:val="22"/>
    </w:rPr>
  </w:style>
  <w:style w:type="character" w:customStyle="1" w:styleId="37">
    <w:name w:val="EndNote Bibliography 字符"/>
    <w:link w:val="36"/>
    <w:qFormat/>
    <w:uiPriority w:val="0"/>
    <w:rPr>
      <w:rFonts w:eastAsia="等线"/>
      <w:kern w:val="2"/>
      <w:szCs w:val="22"/>
    </w:rPr>
  </w:style>
  <w:style w:type="paragraph" w:customStyle="1" w:styleId="38">
    <w:name w:val="EndNote Bibliography Title"/>
    <w:basedOn w:val="1"/>
    <w:link w:val="39"/>
    <w:qFormat/>
    <w:uiPriority w:val="0"/>
    <w:pPr>
      <w:jc w:val="center"/>
    </w:pPr>
    <w:rPr>
      <w:sz w:val="20"/>
    </w:rPr>
  </w:style>
  <w:style w:type="character" w:customStyle="1" w:styleId="39">
    <w:name w:val="EndNote Bibliography Title 字符"/>
    <w:link w:val="38"/>
    <w:qFormat/>
    <w:uiPriority w:val="0"/>
    <w:rPr>
      <w:kern w:val="2"/>
      <w:szCs w:val="21"/>
      <w:lang w:val="en-US" w:eastAsia="zh-CN"/>
    </w:rPr>
  </w:style>
  <w:style w:type="character" w:customStyle="1" w:styleId="40">
    <w:name w:val="标题 1 字符"/>
    <w:link w:val="2"/>
    <w:qFormat/>
    <w:uiPriority w:val="9"/>
    <w:rPr>
      <w:b/>
      <w:bCs/>
      <w:kern w:val="44"/>
      <w:sz w:val="28"/>
      <w:szCs w:val="44"/>
    </w:rPr>
  </w:style>
  <w:style w:type="paragraph" w:customStyle="1" w:styleId="41">
    <w:name w:val="TOC 标题1"/>
    <w:basedOn w:val="2"/>
    <w:next w:val="1"/>
    <w:unhideWhenUsed/>
    <w:qFormat/>
    <w:uiPriority w:val="39"/>
    <w:pPr>
      <w:widowControl/>
      <w:spacing w:after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F5496"/>
      <w:kern w:val="0"/>
      <w:sz w:val="32"/>
      <w:szCs w:val="32"/>
    </w:rPr>
  </w:style>
  <w:style w:type="character" w:customStyle="1" w:styleId="42">
    <w:name w:val="标题 3 字符"/>
    <w:link w:val="4"/>
    <w:qFormat/>
    <w:uiPriority w:val="9"/>
    <w:rPr>
      <w:b/>
      <w:bCs/>
      <w:kern w:val="2"/>
      <w:sz w:val="24"/>
      <w:szCs w:val="32"/>
    </w:rPr>
  </w:style>
  <w:style w:type="character" w:customStyle="1" w:styleId="43">
    <w:name w:val="标准文件_段 Char"/>
    <w:link w:val="44"/>
    <w:qFormat/>
    <w:locked/>
    <w:uiPriority w:val="0"/>
    <w:rPr>
      <w:rFonts w:ascii="宋体"/>
      <w:sz w:val="21"/>
    </w:rPr>
  </w:style>
  <w:style w:type="paragraph" w:customStyle="1" w:styleId="44">
    <w:name w:val="标准文件_段"/>
    <w:link w:val="43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BFD8C-1850-47D2-BE5D-0813EAA0C0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15</Pages>
  <Words>9632</Words>
  <Characters>10899</Characters>
  <Lines>38</Lines>
  <Paragraphs>10</Paragraphs>
  <TotalTime>2</TotalTime>
  <ScaleCrop>false</ScaleCrop>
  <LinksUpToDate>false</LinksUpToDate>
  <CharactersWithSpaces>11512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2025-12-17T06:59:00Z</dcterms:created>
  <dc:creator>win10</dc:creator>
  <cp:lastModifiedBy>user</cp:lastModifiedBy>
  <cp:lastPrinted>2021-10-27T07:09:00Z</cp:lastPrinted>
  <dcterms:modified xsi:type="dcterms:W3CDTF">2026-05-15T05:36:02Z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BDF368275F1D4EC3920A765E6D6B8F9C_13</vt:lpwstr>
  </property>
  <property fmtid="{D5CDD505-2E9C-101B-9397-08002B2CF9AE}" pid="4" name="KSOTemplateDocerSaveRecord">
    <vt:lpwstr>eyJoZGlkIjoiYmRiZmNhYWYyYzM2YTJjMWEzOTkzOWYyM2RiZTczYzAiLCJ1c2VySWQiOiI0NDAzMTM1MzkifQ==</vt:lpwstr>
  </property>
</Properties>
</file>