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D88D3">
      <w:pPr>
        <w:rPr>
          <w:rFonts w:ascii="Times New Roman" w:hAnsi="Times New Roman" w:cs="Times New Roman"/>
          <w:sz w:val="32"/>
          <w:szCs w:val="32"/>
        </w:rPr>
      </w:pPr>
    </w:p>
    <w:p w14:paraId="2A34627B">
      <w:pPr>
        <w:rPr>
          <w:rFonts w:ascii="Times New Roman" w:hAnsi="Times New Roman" w:cs="Times New Roman"/>
          <w:sz w:val="32"/>
          <w:szCs w:val="32"/>
        </w:rPr>
      </w:pPr>
    </w:p>
    <w:p w14:paraId="053EFC29">
      <w:pPr>
        <w:rPr>
          <w:rFonts w:ascii="Times New Roman" w:hAnsi="Times New Roman" w:cs="Times New Roman"/>
          <w:sz w:val="32"/>
          <w:szCs w:val="32"/>
        </w:rPr>
      </w:pPr>
    </w:p>
    <w:p w14:paraId="7526DD57">
      <w:pPr>
        <w:jc w:val="center"/>
        <w:rPr>
          <w:rFonts w:hint="eastAsia" w:ascii="黑体" w:hAnsi="黑体" w:eastAsia="黑体"/>
          <w:sz w:val="52"/>
          <w:szCs w:val="52"/>
        </w:rPr>
      </w:pPr>
      <w:r>
        <w:rPr>
          <w:rFonts w:hint="eastAsia" w:ascii="黑体" w:hAnsi="黑体" w:eastAsia="黑体" w:cs="Times New Roman"/>
          <w:sz w:val="52"/>
          <w:szCs w:val="52"/>
        </w:rPr>
        <w:t>团  体  标  准</w:t>
      </w:r>
    </w:p>
    <w:p w14:paraId="6F0658E0">
      <w:pPr>
        <w:rPr>
          <w:rFonts w:hint="eastAsia"/>
          <w:sz w:val="32"/>
          <w:szCs w:val="32"/>
        </w:rPr>
      </w:pPr>
    </w:p>
    <w:p w14:paraId="4881458A">
      <w:pPr>
        <w:spacing w:after="240" w:line="360" w:lineRule="auto"/>
        <w:rPr>
          <w:rFonts w:hint="eastAsia"/>
          <w:sz w:val="32"/>
          <w:szCs w:val="32"/>
        </w:rPr>
      </w:pPr>
      <w:bookmarkStart w:id="0" w:name="_Hlk197536902"/>
      <w:bookmarkStart w:id="1" w:name="_Hlk197279369"/>
    </w:p>
    <w:p w14:paraId="1878D237">
      <w:pPr>
        <w:spacing w:after="240" w:line="360" w:lineRule="auto"/>
        <w:jc w:val="center"/>
        <w:rPr>
          <w:rFonts w:hint="eastAsia" w:ascii="黑体" w:hAnsi="黑体" w:eastAsia="黑体" w:cs="黑体"/>
          <w:color w:val="000000"/>
          <w:kern w:val="0"/>
          <w:sz w:val="52"/>
          <w:szCs w:val="52"/>
        </w:rPr>
      </w:pPr>
      <w:r>
        <w:rPr>
          <w:rFonts w:hint="eastAsia" w:ascii="黑体" w:hAnsi="黑体" w:eastAsia="黑体" w:cs="黑体"/>
          <w:color w:val="000000"/>
          <w:kern w:val="0"/>
          <w:sz w:val="52"/>
          <w:szCs w:val="52"/>
        </w:rPr>
        <w:t>《</w:t>
      </w:r>
      <w:r>
        <w:rPr>
          <w:rFonts w:hint="eastAsia" w:ascii="黑体" w:hAnsi="黑体" w:eastAsia="黑体" w:cs="Times New Roman"/>
          <w:color w:val="000000"/>
          <w:kern w:val="0"/>
          <w:sz w:val="52"/>
          <w:szCs w:val="52"/>
        </w:rPr>
        <w:t>河套地区紫花苜蓿与饲用大麦间作技术规程</w:t>
      </w:r>
      <w:r>
        <w:rPr>
          <w:rFonts w:hint="eastAsia" w:ascii="黑体" w:hAnsi="黑体" w:eastAsia="黑体" w:cs="黑体"/>
          <w:color w:val="000000"/>
          <w:kern w:val="0"/>
          <w:sz w:val="52"/>
          <w:szCs w:val="52"/>
        </w:rPr>
        <w:t>》</w:t>
      </w:r>
    </w:p>
    <w:bookmarkEnd w:id="0"/>
    <w:p w14:paraId="6E254B52">
      <w:pPr>
        <w:spacing w:after="240" w:line="360" w:lineRule="auto"/>
        <w:ind w:firstLine="720" w:firstLineChars="200"/>
        <w:jc w:val="center"/>
        <w:rPr>
          <w:rFonts w:hint="eastAsia" w:ascii="宋体" w:hAnsi="宋体" w:eastAsia="宋体" w:cs="黑体"/>
          <w:color w:val="000000"/>
          <w:kern w:val="0"/>
          <w:sz w:val="36"/>
          <w:szCs w:val="36"/>
        </w:rPr>
      </w:pPr>
      <w:r>
        <w:rPr>
          <w:rFonts w:hint="eastAsia" w:ascii="宋体" w:hAnsi="宋体" w:eastAsia="宋体" w:cs="黑体"/>
          <w:color w:val="000000"/>
          <w:kern w:val="0"/>
          <w:sz w:val="36"/>
          <w:szCs w:val="36"/>
        </w:rPr>
        <w:t>编制说明</w:t>
      </w:r>
    </w:p>
    <w:bookmarkEnd w:id="1"/>
    <w:p w14:paraId="29FEB31B">
      <w:pPr>
        <w:jc w:val="center"/>
        <w:rPr>
          <w:rFonts w:hint="eastAsia"/>
          <w:sz w:val="32"/>
          <w:szCs w:val="32"/>
        </w:rPr>
      </w:pPr>
    </w:p>
    <w:p w14:paraId="2B29DBCA">
      <w:pPr>
        <w:rPr>
          <w:rFonts w:hint="eastAsia"/>
          <w:sz w:val="32"/>
          <w:szCs w:val="32"/>
        </w:rPr>
      </w:pPr>
    </w:p>
    <w:p w14:paraId="7FE1AB12">
      <w:pPr>
        <w:rPr>
          <w:rFonts w:hint="eastAsia"/>
        </w:rPr>
      </w:pPr>
    </w:p>
    <w:p w14:paraId="0F6CD7D0">
      <w:pPr>
        <w:rPr>
          <w:rFonts w:hint="eastAsia"/>
        </w:rPr>
      </w:pPr>
    </w:p>
    <w:p w14:paraId="5DA00D38">
      <w:pPr>
        <w:rPr>
          <w:rFonts w:hint="eastAsia"/>
        </w:rPr>
      </w:pPr>
    </w:p>
    <w:p w14:paraId="2E7BA3E1">
      <w:pPr>
        <w:rPr>
          <w:rFonts w:hint="eastAsia"/>
        </w:rPr>
      </w:pPr>
    </w:p>
    <w:p w14:paraId="47A97559">
      <w:pPr>
        <w:rPr>
          <w:rFonts w:hint="eastAsia"/>
        </w:rPr>
      </w:pPr>
    </w:p>
    <w:p w14:paraId="1312754C">
      <w:pPr>
        <w:spacing w:after="240" w:line="360" w:lineRule="auto"/>
        <w:jc w:val="center"/>
        <w:rPr>
          <w:rFonts w:ascii="Times New Roman" w:hAnsi="Times New Roman" w:eastAsia="黑体" w:cs="Times New Roman"/>
          <w:color w:val="000000"/>
          <w:kern w:val="0"/>
          <w:sz w:val="28"/>
          <w:szCs w:val="28"/>
        </w:rPr>
      </w:pPr>
      <w:r>
        <w:rPr>
          <w:rFonts w:ascii="Times New Roman" w:hAnsi="Times New Roman" w:eastAsia="黑体" w:cs="Times New Roman"/>
          <w:color w:val="000000"/>
          <w:kern w:val="0"/>
          <w:sz w:val="28"/>
          <w:szCs w:val="28"/>
        </w:rPr>
        <w:t>《</w:t>
      </w:r>
      <w:r>
        <w:rPr>
          <w:rFonts w:hint="eastAsia" w:ascii="Times New Roman" w:hAnsi="Times New Roman" w:eastAsia="黑体" w:cs="Times New Roman"/>
          <w:color w:val="000000"/>
          <w:kern w:val="0"/>
          <w:sz w:val="28"/>
          <w:szCs w:val="28"/>
        </w:rPr>
        <w:t>河套地区紫花苜蓿与饲用大麦间作技术规程</w:t>
      </w:r>
      <w:r>
        <w:rPr>
          <w:rFonts w:ascii="Times New Roman" w:hAnsi="Times New Roman" w:eastAsia="黑体" w:cs="Times New Roman"/>
          <w:color w:val="000000"/>
          <w:kern w:val="0"/>
          <w:sz w:val="28"/>
          <w:szCs w:val="28"/>
        </w:rPr>
        <w:t>》团标制定组</w:t>
      </w:r>
    </w:p>
    <w:p w14:paraId="462AAA4B">
      <w:pPr>
        <w:spacing w:after="0" w:line="240" w:lineRule="auto"/>
        <w:jc w:val="center"/>
        <w:rPr>
          <w:rFonts w:ascii="Times New Roman" w:hAnsi="Times New Roman" w:eastAsia="宋体" w:cs="Times New Roman"/>
          <w:b/>
          <w:bCs/>
          <w:sz w:val="40"/>
          <w:szCs w:val="40"/>
          <w14:ligatures w14:val="none"/>
        </w:rPr>
      </w:pPr>
      <w:r>
        <w:rPr>
          <w:rFonts w:ascii="黑体" w:hAnsi="黑体" w:eastAsia="黑体"/>
          <w:bCs/>
          <w:sz w:val="28"/>
          <w:szCs w:val="28"/>
        </w:rPr>
        <w:t>二</w:t>
      </w:r>
      <w:r>
        <w:rPr>
          <w:rFonts w:ascii="黑体" w:hAnsi="黑体" w:eastAsia="黑体"/>
          <w:sz w:val="28"/>
          <w:szCs w:val="28"/>
        </w:rPr>
        <w:t>〇</w:t>
      </w:r>
      <w:r>
        <w:rPr>
          <w:rFonts w:ascii="黑体" w:hAnsi="黑体" w:eastAsia="黑体"/>
          <w:bCs/>
          <w:sz w:val="28"/>
          <w:szCs w:val="28"/>
        </w:rPr>
        <w:t>二</w:t>
      </w:r>
      <w:r>
        <w:rPr>
          <w:rFonts w:hint="eastAsia" w:ascii="黑体" w:hAnsi="黑体" w:eastAsia="黑体"/>
          <w:bCs/>
          <w:sz w:val="28"/>
          <w:szCs w:val="28"/>
          <w:lang w:val="en-US" w:eastAsia="zh-CN"/>
        </w:rPr>
        <w:t>六</w:t>
      </w:r>
      <w:r>
        <w:rPr>
          <w:rFonts w:ascii="黑体" w:hAnsi="黑体" w:eastAsia="黑体"/>
          <w:bCs/>
          <w:sz w:val="28"/>
          <w:szCs w:val="28"/>
        </w:rPr>
        <w:t>年</w:t>
      </w:r>
      <w:r>
        <w:rPr>
          <w:rFonts w:hint="eastAsia" w:ascii="黑体" w:hAnsi="黑体" w:eastAsia="黑体"/>
          <w:bCs/>
          <w:sz w:val="28"/>
          <w:szCs w:val="28"/>
        </w:rPr>
        <w:t>五</w:t>
      </w:r>
      <w:r>
        <w:rPr>
          <w:rFonts w:ascii="黑体" w:hAnsi="黑体" w:eastAsia="黑体"/>
          <w:bCs/>
          <w:sz w:val="28"/>
          <w:szCs w:val="28"/>
        </w:rPr>
        <w:t>月</w:t>
      </w:r>
    </w:p>
    <w:sdt>
      <w:sdtPr>
        <w:rPr>
          <w:lang w:val="zh-CN"/>
        </w:rPr>
        <w:id w:val="-1569490273"/>
        <w:docPartObj>
          <w:docPartGallery w:val="Table of Contents"/>
          <w:docPartUnique/>
        </w:docPartObj>
      </w:sdtPr>
      <w:sdtEndPr>
        <w:rPr>
          <w:rFonts w:asciiTheme="minorHAnsi" w:hAnsiTheme="minorHAnsi" w:eastAsiaTheme="minorEastAsia" w:cstheme="minorBidi"/>
          <w:b/>
          <w:bCs/>
          <w:color w:val="auto"/>
          <w:kern w:val="2"/>
          <w:sz w:val="22"/>
          <w:szCs w:val="24"/>
          <w:lang w:val="zh-CN"/>
          <w14:ligatures w14:val="standardContextual"/>
        </w:rPr>
      </w:sdtEndPr>
      <w:sdtContent>
        <w:p w14:paraId="6692F9A3">
          <w:pPr>
            <w:pStyle w:val="42"/>
            <w:jc w:val="center"/>
            <w:rPr>
              <w:rFonts w:hint="eastAsia" w:ascii="宋体" w:hAnsi="宋体" w:eastAsia="宋体"/>
              <w:b/>
              <w:bCs/>
              <w:color w:val="auto"/>
            </w:rPr>
          </w:pPr>
          <w:r>
            <w:rPr>
              <w:rFonts w:ascii="宋体" w:hAnsi="宋体" w:eastAsia="宋体"/>
              <w:b/>
              <w:bCs/>
              <w:color w:val="auto"/>
              <w:lang w:val="zh-CN"/>
            </w:rPr>
            <w:t>目</w:t>
          </w:r>
          <w:r>
            <w:rPr>
              <w:rFonts w:hint="eastAsia" w:ascii="宋体" w:hAnsi="宋体" w:eastAsia="宋体"/>
              <w:b/>
              <w:bCs/>
              <w:color w:val="auto"/>
              <w:lang w:val="zh-CN"/>
            </w:rPr>
            <w:t xml:space="preserve">  次</w:t>
          </w:r>
        </w:p>
        <w:p w14:paraId="0E951F86">
          <w:pPr>
            <w:pStyle w:val="14"/>
            <w:tabs>
              <w:tab w:val="right" w:leader="dot" w:pos="8296"/>
            </w:tabs>
            <w:spacing w:after="0" w:line="360" w:lineRule="auto"/>
            <w:rPr>
              <w:rFonts w:hint="eastAsia"/>
            </w:rPr>
          </w:pPr>
          <w:r>
            <w:fldChar w:fldCharType="begin"/>
          </w:r>
          <w:r>
            <w:instrText xml:space="preserve"> TOC \o "1-3" \h \z \u </w:instrText>
          </w:r>
          <w:r>
            <w:rPr>
              <w:rFonts w:hint="eastAsia"/>
            </w:rPr>
            <w:fldChar w:fldCharType="separate"/>
          </w:r>
          <w:r>
            <w:fldChar w:fldCharType="begin"/>
          </w:r>
          <w:r>
            <w:instrText xml:space="preserve"> HYPERLINK \l "_Toc197902470" </w:instrText>
          </w:r>
          <w:r>
            <w:fldChar w:fldCharType="separate"/>
          </w:r>
          <w:r>
            <w:rPr>
              <w:rStyle w:val="20"/>
              <w:rFonts w:hint="eastAsia"/>
            </w:rPr>
            <w:t>一、任务来源及标准制定背景</w:t>
          </w:r>
          <w:r>
            <w:rPr>
              <w:rFonts w:hint="eastAsia"/>
            </w:rPr>
            <w:tab/>
          </w:r>
          <w:r>
            <w:rPr>
              <w:rFonts w:hint="eastAsia"/>
            </w:rPr>
            <w:fldChar w:fldCharType="begin"/>
          </w:r>
          <w:r>
            <w:rPr>
              <w:rFonts w:hint="eastAsia"/>
            </w:rPr>
            <w:instrText xml:space="preserve"> </w:instrText>
          </w:r>
          <w:r>
            <w:instrText xml:space="preserve">PAGEREF _Toc197902470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09E7186C">
          <w:pPr>
            <w:pStyle w:val="14"/>
            <w:tabs>
              <w:tab w:val="right" w:leader="dot" w:pos="8296"/>
            </w:tabs>
            <w:spacing w:after="0" w:line="360" w:lineRule="auto"/>
            <w:rPr>
              <w:rFonts w:hint="eastAsia"/>
            </w:rPr>
          </w:pPr>
          <w:r>
            <w:fldChar w:fldCharType="begin"/>
          </w:r>
          <w:r>
            <w:instrText xml:space="preserve"> HYPERLINK \l "_Toc197902471" </w:instrText>
          </w:r>
          <w:r>
            <w:fldChar w:fldCharType="separate"/>
          </w:r>
          <w:r>
            <w:rPr>
              <w:rStyle w:val="20"/>
              <w:rFonts w:hint="eastAsia"/>
            </w:rPr>
            <w:t>二、主要工作过程</w:t>
          </w:r>
          <w:r>
            <w:rPr>
              <w:rFonts w:hint="eastAsia"/>
            </w:rPr>
            <w:tab/>
          </w:r>
          <w:r>
            <w:rPr>
              <w:rFonts w:hint="eastAsia"/>
            </w:rPr>
            <w:fldChar w:fldCharType="begin"/>
          </w:r>
          <w:r>
            <w:rPr>
              <w:rFonts w:hint="eastAsia"/>
            </w:rPr>
            <w:instrText xml:space="preserve"> </w:instrText>
          </w:r>
          <w:r>
            <w:instrText xml:space="preserve">PAGEREF _Toc197902471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01A09851">
          <w:pPr>
            <w:pStyle w:val="14"/>
            <w:tabs>
              <w:tab w:val="right" w:leader="dot" w:pos="8296"/>
            </w:tabs>
            <w:spacing w:after="0" w:line="360" w:lineRule="auto"/>
            <w:rPr>
              <w:rFonts w:hint="eastAsia"/>
            </w:rPr>
          </w:pPr>
          <w:r>
            <w:fldChar w:fldCharType="begin"/>
          </w:r>
          <w:r>
            <w:instrText xml:space="preserve"> HYPERLINK \l "_Toc197902472" </w:instrText>
          </w:r>
          <w:r>
            <w:fldChar w:fldCharType="separate"/>
          </w:r>
          <w:r>
            <w:rPr>
              <w:rStyle w:val="20"/>
              <w:rFonts w:hint="eastAsia"/>
              <w:bCs/>
            </w:rPr>
            <w:t>三、标准编制原则和主要技术内容确定的依据</w:t>
          </w:r>
          <w:r>
            <w:rPr>
              <w:rFonts w:hint="eastAsia"/>
            </w:rPr>
            <w:tab/>
          </w:r>
          <w:r>
            <w:rPr>
              <w:rFonts w:hint="eastAsia"/>
            </w:rPr>
            <w:fldChar w:fldCharType="begin"/>
          </w:r>
          <w:r>
            <w:rPr>
              <w:rFonts w:hint="eastAsia"/>
            </w:rPr>
            <w:instrText xml:space="preserve"> </w:instrText>
          </w:r>
          <w:r>
            <w:instrText xml:space="preserve">PAGEREF _Toc197902472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14:paraId="09000DEE">
          <w:pPr>
            <w:pStyle w:val="14"/>
            <w:tabs>
              <w:tab w:val="right" w:leader="dot" w:pos="8296"/>
            </w:tabs>
            <w:spacing w:after="0" w:line="360" w:lineRule="auto"/>
            <w:rPr>
              <w:rFonts w:hint="eastAsia"/>
            </w:rPr>
          </w:pPr>
          <w:r>
            <w:fldChar w:fldCharType="begin"/>
          </w:r>
          <w:r>
            <w:instrText xml:space="preserve"> HYPERLINK \l "_Toc197902473" </w:instrText>
          </w:r>
          <w:r>
            <w:fldChar w:fldCharType="separate"/>
          </w:r>
          <w:r>
            <w:rPr>
              <w:rStyle w:val="20"/>
              <w:rFonts w:hint="eastAsia"/>
            </w:rPr>
            <w:t>四、采用的国际标准</w:t>
          </w:r>
          <w:r>
            <w:rPr>
              <w:rFonts w:hint="eastAsia"/>
            </w:rPr>
            <w:tab/>
          </w:r>
          <w:r>
            <w:rPr>
              <w:rFonts w:hint="eastAsia"/>
            </w:rPr>
            <w:fldChar w:fldCharType="begin"/>
          </w:r>
          <w:r>
            <w:rPr>
              <w:rFonts w:hint="eastAsia"/>
            </w:rPr>
            <w:instrText xml:space="preserve"> </w:instrText>
          </w:r>
          <w:r>
            <w:instrText xml:space="preserve">PAGEREF _Toc197902473 \h</w:instrText>
          </w:r>
          <w:r>
            <w:rPr>
              <w:rFonts w:hint="eastAsia"/>
            </w:rPr>
            <w:instrText xml:space="preserve"> </w:instrText>
          </w:r>
          <w:r>
            <w:rPr>
              <w:rFonts w:hint="eastAsia"/>
            </w:rPr>
            <w:fldChar w:fldCharType="separate"/>
          </w:r>
          <w:r>
            <w:rPr>
              <w:rFonts w:hint="eastAsia"/>
            </w:rPr>
            <w:t>7</w:t>
          </w:r>
          <w:r>
            <w:rPr>
              <w:rFonts w:hint="eastAsia"/>
            </w:rPr>
            <w:fldChar w:fldCharType="end"/>
          </w:r>
          <w:r>
            <w:rPr>
              <w:rFonts w:hint="eastAsia"/>
            </w:rPr>
            <w:fldChar w:fldCharType="end"/>
          </w:r>
        </w:p>
        <w:p w14:paraId="62232745">
          <w:pPr>
            <w:pStyle w:val="14"/>
            <w:tabs>
              <w:tab w:val="right" w:leader="dot" w:pos="8296"/>
            </w:tabs>
            <w:spacing w:after="0" w:line="360" w:lineRule="auto"/>
            <w:rPr>
              <w:rFonts w:hint="eastAsia"/>
            </w:rPr>
          </w:pPr>
          <w:r>
            <w:fldChar w:fldCharType="begin"/>
          </w:r>
          <w:r>
            <w:instrText xml:space="preserve"> HYPERLINK \l "_Toc197902474" </w:instrText>
          </w:r>
          <w:r>
            <w:fldChar w:fldCharType="separate"/>
          </w:r>
          <w:r>
            <w:rPr>
              <w:rStyle w:val="20"/>
              <w:rFonts w:hint="eastAsia"/>
            </w:rPr>
            <w:t>五、与现行法律法规和强制性标准的关系</w:t>
          </w:r>
          <w:r>
            <w:rPr>
              <w:rFonts w:hint="eastAsia"/>
            </w:rPr>
            <w:tab/>
          </w:r>
          <w:r>
            <w:rPr>
              <w:rFonts w:hint="eastAsia"/>
            </w:rPr>
            <w:fldChar w:fldCharType="begin"/>
          </w:r>
          <w:r>
            <w:rPr>
              <w:rFonts w:hint="eastAsia"/>
            </w:rPr>
            <w:instrText xml:space="preserve"> </w:instrText>
          </w:r>
          <w:r>
            <w:instrText xml:space="preserve">PAGEREF _Toc197902474 \h</w:instrText>
          </w:r>
          <w:r>
            <w:rPr>
              <w:rFonts w:hint="eastAsia"/>
            </w:rPr>
            <w:instrText xml:space="preserve"> </w:instrText>
          </w:r>
          <w:r>
            <w:rPr>
              <w:rFonts w:hint="eastAsia"/>
            </w:rPr>
            <w:fldChar w:fldCharType="separate"/>
          </w:r>
          <w:r>
            <w:rPr>
              <w:rFonts w:hint="eastAsia"/>
            </w:rPr>
            <w:t>7</w:t>
          </w:r>
          <w:r>
            <w:rPr>
              <w:rFonts w:hint="eastAsia"/>
            </w:rPr>
            <w:fldChar w:fldCharType="end"/>
          </w:r>
          <w:r>
            <w:rPr>
              <w:rFonts w:hint="eastAsia"/>
            </w:rPr>
            <w:fldChar w:fldCharType="end"/>
          </w:r>
        </w:p>
        <w:p w14:paraId="79A6762A">
          <w:pPr>
            <w:pStyle w:val="14"/>
            <w:tabs>
              <w:tab w:val="right" w:leader="dot" w:pos="8296"/>
            </w:tabs>
            <w:spacing w:after="0" w:line="360" w:lineRule="auto"/>
            <w:rPr>
              <w:rFonts w:hint="eastAsia"/>
            </w:rPr>
          </w:pPr>
          <w:r>
            <w:fldChar w:fldCharType="begin"/>
          </w:r>
          <w:r>
            <w:instrText xml:space="preserve"> HYPERLINK \l "_Toc197902475" </w:instrText>
          </w:r>
          <w:r>
            <w:fldChar w:fldCharType="separate"/>
          </w:r>
          <w:r>
            <w:rPr>
              <w:rStyle w:val="20"/>
              <w:rFonts w:hint="eastAsia"/>
            </w:rPr>
            <w:t>六、重大分歧意见的处理经过和依据</w:t>
          </w:r>
          <w:r>
            <w:rPr>
              <w:rFonts w:hint="eastAsia"/>
            </w:rPr>
            <w:tab/>
          </w:r>
          <w:r>
            <w:rPr>
              <w:rFonts w:hint="eastAsia"/>
            </w:rPr>
            <w:fldChar w:fldCharType="begin"/>
          </w:r>
          <w:r>
            <w:rPr>
              <w:rFonts w:hint="eastAsia"/>
            </w:rPr>
            <w:instrText xml:space="preserve"> </w:instrText>
          </w:r>
          <w:r>
            <w:instrText xml:space="preserve">PAGEREF _Toc197902475 \h</w:instrText>
          </w:r>
          <w:r>
            <w:rPr>
              <w:rFonts w:hint="eastAsia"/>
            </w:rPr>
            <w:instrText xml:space="preserve"> </w:instrText>
          </w:r>
          <w:r>
            <w:rPr>
              <w:rFonts w:hint="eastAsia"/>
            </w:rPr>
            <w:fldChar w:fldCharType="separate"/>
          </w:r>
          <w:r>
            <w:rPr>
              <w:rFonts w:hint="eastAsia"/>
            </w:rPr>
            <w:t>7</w:t>
          </w:r>
          <w:r>
            <w:rPr>
              <w:rFonts w:hint="eastAsia"/>
            </w:rPr>
            <w:fldChar w:fldCharType="end"/>
          </w:r>
          <w:r>
            <w:rPr>
              <w:rFonts w:hint="eastAsia"/>
            </w:rPr>
            <w:fldChar w:fldCharType="end"/>
          </w:r>
        </w:p>
        <w:p w14:paraId="02102797">
          <w:pPr>
            <w:pStyle w:val="14"/>
            <w:tabs>
              <w:tab w:val="right" w:leader="dot" w:pos="8296"/>
            </w:tabs>
            <w:spacing w:after="0" w:line="360" w:lineRule="auto"/>
            <w:rPr>
              <w:rFonts w:hint="eastAsia"/>
            </w:rPr>
          </w:pPr>
          <w:r>
            <w:fldChar w:fldCharType="begin"/>
          </w:r>
          <w:r>
            <w:instrText xml:space="preserve"> HYPERLINK \l "_Toc197902476" </w:instrText>
          </w:r>
          <w:r>
            <w:fldChar w:fldCharType="separate"/>
          </w:r>
          <w:r>
            <w:rPr>
              <w:rStyle w:val="20"/>
              <w:rFonts w:hint="eastAsia"/>
            </w:rPr>
            <w:t>七、标准作为强制性或推荐性标准的意见</w:t>
          </w:r>
          <w:r>
            <w:rPr>
              <w:rFonts w:hint="eastAsia"/>
            </w:rPr>
            <w:tab/>
          </w:r>
          <w:r>
            <w:rPr>
              <w:rFonts w:hint="eastAsia"/>
            </w:rPr>
            <w:fldChar w:fldCharType="begin"/>
          </w:r>
          <w:r>
            <w:rPr>
              <w:rFonts w:hint="eastAsia"/>
            </w:rPr>
            <w:instrText xml:space="preserve"> </w:instrText>
          </w:r>
          <w:r>
            <w:instrText xml:space="preserve">PAGEREF _Toc197902476 \h</w:instrText>
          </w:r>
          <w:r>
            <w:rPr>
              <w:rFonts w:hint="eastAsia"/>
            </w:rPr>
            <w:instrText xml:space="preserve"> </w:instrText>
          </w:r>
          <w:r>
            <w:rPr>
              <w:rFonts w:hint="eastAsia"/>
            </w:rPr>
            <w:fldChar w:fldCharType="separate"/>
          </w:r>
          <w:r>
            <w:rPr>
              <w:rFonts w:hint="eastAsia"/>
            </w:rPr>
            <w:t>8</w:t>
          </w:r>
          <w:r>
            <w:rPr>
              <w:rFonts w:hint="eastAsia"/>
            </w:rPr>
            <w:fldChar w:fldCharType="end"/>
          </w:r>
          <w:r>
            <w:rPr>
              <w:rFonts w:hint="eastAsia"/>
            </w:rPr>
            <w:fldChar w:fldCharType="end"/>
          </w:r>
        </w:p>
        <w:p w14:paraId="40CB88EC">
          <w:pPr>
            <w:pStyle w:val="14"/>
            <w:tabs>
              <w:tab w:val="right" w:leader="dot" w:pos="8296"/>
            </w:tabs>
            <w:spacing w:after="0" w:line="360" w:lineRule="auto"/>
            <w:rPr>
              <w:rFonts w:hint="eastAsia"/>
            </w:rPr>
          </w:pPr>
          <w:r>
            <w:fldChar w:fldCharType="begin"/>
          </w:r>
          <w:r>
            <w:instrText xml:space="preserve"> HYPERLINK \l "_Toc197902477" </w:instrText>
          </w:r>
          <w:r>
            <w:fldChar w:fldCharType="separate"/>
          </w:r>
          <w:r>
            <w:rPr>
              <w:rStyle w:val="20"/>
              <w:rFonts w:hint="eastAsia"/>
            </w:rPr>
            <w:t>八、贯彻标准的要求和措施建议</w:t>
          </w:r>
          <w:r>
            <w:rPr>
              <w:rFonts w:hint="eastAsia"/>
            </w:rPr>
            <w:tab/>
          </w:r>
          <w:r>
            <w:rPr>
              <w:rFonts w:hint="eastAsia"/>
            </w:rPr>
            <w:fldChar w:fldCharType="begin"/>
          </w:r>
          <w:r>
            <w:rPr>
              <w:rFonts w:hint="eastAsia"/>
            </w:rPr>
            <w:instrText xml:space="preserve"> </w:instrText>
          </w:r>
          <w:r>
            <w:instrText xml:space="preserve">PAGEREF _Toc197902477 \h</w:instrText>
          </w:r>
          <w:r>
            <w:rPr>
              <w:rFonts w:hint="eastAsia"/>
            </w:rPr>
            <w:instrText xml:space="preserve"> </w:instrText>
          </w:r>
          <w:r>
            <w:rPr>
              <w:rFonts w:hint="eastAsia"/>
            </w:rPr>
            <w:fldChar w:fldCharType="separate"/>
          </w:r>
          <w:r>
            <w:rPr>
              <w:rFonts w:hint="eastAsia"/>
            </w:rPr>
            <w:t>8</w:t>
          </w:r>
          <w:r>
            <w:rPr>
              <w:rFonts w:hint="eastAsia"/>
            </w:rPr>
            <w:fldChar w:fldCharType="end"/>
          </w:r>
          <w:r>
            <w:rPr>
              <w:rFonts w:hint="eastAsia"/>
            </w:rPr>
            <w:fldChar w:fldCharType="end"/>
          </w:r>
        </w:p>
        <w:p w14:paraId="5B50A0FF">
          <w:pPr>
            <w:pStyle w:val="14"/>
            <w:tabs>
              <w:tab w:val="right" w:leader="dot" w:pos="8296"/>
            </w:tabs>
            <w:spacing w:after="0" w:line="360" w:lineRule="auto"/>
            <w:rPr>
              <w:rFonts w:hint="eastAsia"/>
            </w:rPr>
          </w:pPr>
          <w:r>
            <w:fldChar w:fldCharType="begin"/>
          </w:r>
          <w:r>
            <w:instrText xml:space="preserve"> HYPERLINK \l "_Toc197902478" </w:instrText>
          </w:r>
          <w:r>
            <w:fldChar w:fldCharType="separate"/>
          </w:r>
          <w:r>
            <w:rPr>
              <w:rStyle w:val="20"/>
              <w:rFonts w:hint="eastAsia"/>
            </w:rPr>
            <w:t>九、废止现行有关标准的建议</w:t>
          </w:r>
          <w:r>
            <w:rPr>
              <w:rFonts w:hint="eastAsia"/>
            </w:rPr>
            <w:tab/>
          </w:r>
          <w:r>
            <w:rPr>
              <w:rFonts w:hint="eastAsia"/>
            </w:rPr>
            <w:fldChar w:fldCharType="begin"/>
          </w:r>
          <w:r>
            <w:rPr>
              <w:rFonts w:hint="eastAsia"/>
            </w:rPr>
            <w:instrText xml:space="preserve"> </w:instrText>
          </w:r>
          <w:r>
            <w:instrText xml:space="preserve">PAGEREF _Toc197902478 \h</w:instrText>
          </w:r>
          <w:r>
            <w:rPr>
              <w:rFonts w:hint="eastAsia"/>
            </w:rPr>
            <w:instrText xml:space="preserve"> </w:instrText>
          </w:r>
          <w:r>
            <w:rPr>
              <w:rFonts w:hint="eastAsia"/>
            </w:rPr>
            <w:fldChar w:fldCharType="separate"/>
          </w:r>
          <w:r>
            <w:rPr>
              <w:rFonts w:hint="eastAsia"/>
            </w:rPr>
            <w:t>8</w:t>
          </w:r>
          <w:r>
            <w:rPr>
              <w:rFonts w:hint="eastAsia"/>
            </w:rPr>
            <w:fldChar w:fldCharType="end"/>
          </w:r>
          <w:r>
            <w:rPr>
              <w:rFonts w:hint="eastAsia"/>
            </w:rPr>
            <w:fldChar w:fldCharType="end"/>
          </w:r>
        </w:p>
        <w:p w14:paraId="3F3D509F">
          <w:pPr>
            <w:pStyle w:val="14"/>
            <w:tabs>
              <w:tab w:val="right" w:leader="dot" w:pos="8296"/>
            </w:tabs>
            <w:spacing w:after="0" w:line="360" w:lineRule="auto"/>
            <w:rPr>
              <w:rFonts w:hint="eastAsia"/>
            </w:rPr>
          </w:pPr>
          <w:r>
            <w:fldChar w:fldCharType="begin"/>
          </w:r>
          <w:r>
            <w:instrText xml:space="preserve"> HYPERLINK \l "_Toc197902479" </w:instrText>
          </w:r>
          <w:r>
            <w:fldChar w:fldCharType="separate"/>
          </w:r>
          <w:r>
            <w:rPr>
              <w:rStyle w:val="20"/>
              <w:rFonts w:hint="eastAsia"/>
            </w:rPr>
            <w:t>十、其他应予说明的事项</w:t>
          </w:r>
          <w:r>
            <w:rPr>
              <w:rFonts w:hint="eastAsia"/>
            </w:rPr>
            <w:tab/>
          </w:r>
          <w:r>
            <w:rPr>
              <w:rFonts w:hint="eastAsia"/>
            </w:rPr>
            <w:fldChar w:fldCharType="begin"/>
          </w:r>
          <w:r>
            <w:rPr>
              <w:rFonts w:hint="eastAsia"/>
            </w:rPr>
            <w:instrText xml:space="preserve"> </w:instrText>
          </w:r>
          <w:r>
            <w:instrText xml:space="preserve">PAGEREF _Toc197902479 \h</w:instrText>
          </w:r>
          <w:r>
            <w:rPr>
              <w:rFonts w:hint="eastAsia"/>
            </w:rPr>
            <w:instrText xml:space="preserve"> </w:instrText>
          </w:r>
          <w:r>
            <w:rPr>
              <w:rFonts w:hint="eastAsia"/>
            </w:rPr>
            <w:fldChar w:fldCharType="separate"/>
          </w:r>
          <w:r>
            <w:rPr>
              <w:rFonts w:hint="eastAsia"/>
            </w:rPr>
            <w:t>8</w:t>
          </w:r>
          <w:r>
            <w:rPr>
              <w:rFonts w:hint="eastAsia"/>
            </w:rPr>
            <w:fldChar w:fldCharType="end"/>
          </w:r>
          <w:r>
            <w:rPr>
              <w:rFonts w:hint="eastAsia"/>
            </w:rPr>
            <w:fldChar w:fldCharType="end"/>
          </w:r>
        </w:p>
        <w:p w14:paraId="2F7FBD7B">
          <w:pPr>
            <w:rPr>
              <w:rFonts w:hint="eastAsia"/>
            </w:rPr>
          </w:pPr>
          <w:r>
            <w:rPr>
              <w:b/>
              <w:bCs/>
              <w:lang w:val="zh-CN"/>
            </w:rPr>
            <w:fldChar w:fldCharType="end"/>
          </w:r>
        </w:p>
      </w:sdtContent>
    </w:sdt>
    <w:p w14:paraId="58ADE97A">
      <w:pPr>
        <w:spacing w:after="240" w:line="360" w:lineRule="auto"/>
        <w:jc w:val="center"/>
        <w:rPr>
          <w:rFonts w:hint="eastAsia" w:asciiTheme="minorEastAsia" w:hAnsiTheme="minorEastAsia"/>
          <w:b/>
          <w:sz w:val="36"/>
          <w:szCs w:val="36"/>
        </w:rPr>
      </w:pPr>
    </w:p>
    <w:p w14:paraId="731E891F">
      <w:pPr>
        <w:spacing w:after="240" w:line="360" w:lineRule="auto"/>
        <w:jc w:val="center"/>
        <w:rPr>
          <w:rFonts w:hint="eastAsia" w:asciiTheme="minorEastAsia" w:hAnsiTheme="minorEastAsia"/>
          <w:b/>
          <w:sz w:val="36"/>
          <w:szCs w:val="36"/>
        </w:rPr>
      </w:pPr>
    </w:p>
    <w:p w14:paraId="32555DE0">
      <w:pPr>
        <w:spacing w:after="240" w:line="360" w:lineRule="auto"/>
        <w:jc w:val="center"/>
        <w:rPr>
          <w:rFonts w:hint="eastAsia" w:asciiTheme="minorEastAsia" w:hAnsiTheme="minorEastAsia"/>
          <w:b/>
          <w:sz w:val="36"/>
          <w:szCs w:val="36"/>
        </w:rPr>
      </w:pPr>
    </w:p>
    <w:p w14:paraId="4A7D8AEE">
      <w:pPr>
        <w:spacing w:after="240" w:line="360" w:lineRule="auto"/>
        <w:jc w:val="center"/>
        <w:rPr>
          <w:rFonts w:hint="eastAsia" w:asciiTheme="minorEastAsia" w:hAnsiTheme="minorEastAsia"/>
          <w:b/>
          <w:sz w:val="36"/>
          <w:szCs w:val="36"/>
        </w:rPr>
      </w:pPr>
    </w:p>
    <w:p w14:paraId="52A0D42D">
      <w:pPr>
        <w:spacing w:after="240" w:line="360" w:lineRule="auto"/>
        <w:jc w:val="center"/>
        <w:rPr>
          <w:rFonts w:hint="eastAsia" w:asciiTheme="minorEastAsia" w:hAnsiTheme="minorEastAsia"/>
          <w:b/>
          <w:sz w:val="36"/>
          <w:szCs w:val="36"/>
        </w:rPr>
      </w:pPr>
    </w:p>
    <w:p w14:paraId="2372A4C4">
      <w:pPr>
        <w:spacing w:after="240" w:line="360" w:lineRule="auto"/>
        <w:jc w:val="center"/>
        <w:rPr>
          <w:rFonts w:hint="eastAsia" w:asciiTheme="minorEastAsia" w:hAnsiTheme="minorEastAsia"/>
          <w:b/>
          <w:sz w:val="36"/>
          <w:szCs w:val="36"/>
        </w:rPr>
      </w:pPr>
    </w:p>
    <w:p w14:paraId="0E7C9881">
      <w:pPr>
        <w:spacing w:after="240" w:line="360" w:lineRule="auto"/>
        <w:jc w:val="center"/>
        <w:rPr>
          <w:rFonts w:hint="eastAsia" w:asciiTheme="minorEastAsia" w:hAnsiTheme="minorEastAsia"/>
          <w:b/>
          <w:sz w:val="36"/>
          <w:szCs w:val="36"/>
        </w:rPr>
      </w:pPr>
    </w:p>
    <w:p w14:paraId="7B6564BA">
      <w:pPr>
        <w:spacing w:after="240" w:line="360" w:lineRule="auto"/>
        <w:jc w:val="center"/>
        <w:rPr>
          <w:rFonts w:hint="eastAsia" w:asciiTheme="minorEastAsia" w:hAnsiTheme="minorEastAsia"/>
          <w:b/>
          <w:sz w:val="36"/>
          <w:szCs w:val="36"/>
        </w:rPr>
      </w:pPr>
    </w:p>
    <w:p w14:paraId="6378E581">
      <w:pPr>
        <w:spacing w:after="240" w:line="360" w:lineRule="auto"/>
        <w:jc w:val="center"/>
        <w:rPr>
          <w:rFonts w:hint="eastAsia" w:asciiTheme="minorEastAsia" w:hAnsiTheme="minorEastAsia"/>
          <w:b/>
          <w:sz w:val="36"/>
          <w:szCs w:val="36"/>
        </w:rPr>
      </w:pPr>
    </w:p>
    <w:p w14:paraId="23DCA91B">
      <w:pPr>
        <w:pStyle w:val="2"/>
        <w:numPr>
          <w:ilvl w:val="0"/>
          <w:numId w:val="0"/>
        </w:numPr>
        <w:ind w:right="220"/>
        <w:rPr>
          <w:rFonts w:hint="eastAsia"/>
          <w:b w:val="0"/>
        </w:rPr>
      </w:pPr>
      <w:bookmarkStart w:id="2" w:name="_Toc197902470"/>
      <w:r>
        <w:rPr>
          <w:rFonts w:hint="eastAsia"/>
        </w:rPr>
        <w:t>一、任务来源及标准制定背景</w:t>
      </w:r>
      <w:bookmarkEnd w:id="2"/>
    </w:p>
    <w:p w14:paraId="6350252F">
      <w:pPr>
        <w:rPr>
          <w:rFonts w:hint="eastAsia" w:ascii="宋体" w:hAnsi="宋体" w:eastAsia="宋体" w:cs="Times New Roman"/>
          <w:b/>
          <w:sz w:val="24"/>
        </w:rPr>
      </w:pPr>
      <w:r>
        <w:rPr>
          <w:rFonts w:hint="eastAsia" w:ascii="宋体" w:hAnsi="宋体" w:eastAsia="宋体" w:cs="Times New Roman"/>
          <w:b/>
          <w:sz w:val="24"/>
        </w:rPr>
        <w:t>1、任务来源</w:t>
      </w:r>
    </w:p>
    <w:p w14:paraId="1575D889">
      <w:pPr>
        <w:spacing w:after="120" w:line="360" w:lineRule="auto"/>
        <w:ind w:firstLine="480" w:firstLineChars="200"/>
        <w:rPr>
          <w:rFonts w:hint="eastAsia" w:ascii="宋体" w:hAnsi="宋体" w:eastAsia="宋体"/>
          <w:sz w:val="24"/>
          <w14:ligatures w14:val="none"/>
        </w:rPr>
      </w:pPr>
      <w:r>
        <w:rPr>
          <w:rFonts w:hint="eastAsia" w:ascii="宋体" w:hAnsi="宋体" w:eastAsia="宋体"/>
          <w:sz w:val="24"/>
          <w14:ligatures w14:val="none"/>
        </w:rPr>
        <w:t>由内蒙古</w:t>
      </w:r>
      <w:r>
        <w:rPr>
          <w:rFonts w:hint="eastAsia" w:ascii="宋体" w:hAnsi="宋体" w:eastAsia="宋体"/>
          <w:sz w:val="24"/>
          <w:lang w:val="en-US" w:eastAsia="zh-CN"/>
          <w14:ligatures w14:val="none"/>
        </w:rPr>
        <w:t>农业</w:t>
      </w:r>
      <w:r>
        <w:rPr>
          <w:rFonts w:hint="eastAsia" w:ascii="宋体" w:hAnsi="宋体" w:eastAsia="宋体"/>
          <w:sz w:val="24"/>
          <w14:ligatures w14:val="none"/>
        </w:rPr>
        <w:t>大学申报，在内蒙古自治区科技计划项目</w:t>
      </w:r>
      <w:r>
        <w:rPr>
          <w:rFonts w:hint="eastAsia" w:ascii="宋体" w:hAnsi="宋体" w:eastAsia="宋体"/>
          <w:sz w:val="24"/>
          <w:lang w:eastAsia="zh-CN"/>
          <w14:ligatures w14:val="none"/>
        </w:rPr>
        <w:t>“河套地区苜蓿抗旱耐盐碱品种筛选及其配套优质丰产栽培技术研究与示范（2023YFHH0083）”</w:t>
      </w:r>
      <w:r>
        <w:rPr>
          <w:rFonts w:hint="eastAsia" w:ascii="宋体" w:hAnsi="宋体" w:eastAsia="宋体"/>
          <w:sz w:val="24"/>
          <w14:ligatures w14:val="none"/>
        </w:rPr>
        <w:t>资助和支持下完成。</w:t>
      </w:r>
    </w:p>
    <w:p w14:paraId="203A115B">
      <w:pPr>
        <w:rPr>
          <w:rFonts w:hint="eastAsia" w:ascii="宋体" w:hAnsi="宋体" w:eastAsia="宋体" w:cs="Times New Roman"/>
          <w:b/>
          <w:sz w:val="24"/>
        </w:rPr>
      </w:pPr>
      <w:r>
        <w:rPr>
          <w:rFonts w:hint="eastAsia" w:ascii="宋体" w:hAnsi="宋体" w:eastAsia="宋体" w:cs="Times New Roman"/>
          <w:b/>
          <w:sz w:val="24"/>
        </w:rPr>
        <w:t>2、标准制定背景</w:t>
      </w:r>
    </w:p>
    <w:p w14:paraId="5740D979">
      <w:pPr>
        <w:spacing w:after="120" w:line="360" w:lineRule="auto"/>
        <w:ind w:firstLine="480" w:firstLineChars="200"/>
        <w:rPr>
          <w:rFonts w:hint="default" w:ascii="宋体" w:hAnsi="宋体" w:eastAsia="宋体"/>
          <w:sz w:val="24"/>
          <w14:ligatures w14:val="none"/>
        </w:rPr>
      </w:pPr>
      <w:bookmarkStart w:id="3" w:name="_Toc197902471"/>
      <w:r>
        <w:rPr>
          <w:rFonts w:hint="eastAsia" w:ascii="宋体" w:hAnsi="宋体" w:eastAsia="宋体"/>
          <w:sz w:val="24"/>
          <w:lang w:val="en-US" w:eastAsia="zh-CN"/>
          <w14:ligatures w14:val="none"/>
        </w:rPr>
        <w:t>河套地区</w:t>
      </w:r>
      <w:r>
        <w:rPr>
          <w:rFonts w:hint="default" w:ascii="宋体" w:hAnsi="宋体" w:eastAsia="宋体"/>
          <w:sz w:val="24"/>
          <w14:ligatures w14:val="none"/>
        </w:rPr>
        <w:t>拥有丰富的土地资源和独特的气候条件，是发展现代农牧业的重要区域。然而，该区域由于自然条件限制和土地利用方式单一，长期以来面临着饲草短缺的问题，这对畜牧业的可持续发展构成了严重制约。饲草短缺不仅影响了畜牧业的生产效率和经济效益，也对草原生态保护和农牧民的生计安全带来了挑战。因此，探索新的饲草生产方式，提高饲草自给能力，对于保障畜牧业健康发展具有重要意义。</w:t>
      </w:r>
    </w:p>
    <w:p w14:paraId="3ECA2660">
      <w:pPr>
        <w:spacing w:after="120" w:line="360" w:lineRule="auto"/>
        <w:ind w:firstLine="480" w:firstLineChars="200"/>
        <w:rPr>
          <w:rFonts w:hint="default" w:ascii="宋体" w:hAnsi="宋体" w:eastAsia="宋体"/>
          <w:sz w:val="24"/>
          <w14:ligatures w14:val="none"/>
        </w:rPr>
      </w:pPr>
      <w:r>
        <w:rPr>
          <w:rFonts w:hint="default" w:ascii="宋体" w:hAnsi="宋体" w:eastAsia="宋体"/>
          <w:sz w:val="24"/>
          <w14:ligatures w14:val="none"/>
        </w:rPr>
        <w:t>饲用</w:t>
      </w:r>
      <w:r>
        <w:rPr>
          <w:rFonts w:hint="eastAsia" w:ascii="宋体" w:hAnsi="宋体" w:eastAsia="宋体"/>
          <w:sz w:val="24"/>
          <w:lang w:val="en-US" w:eastAsia="zh-CN"/>
          <w14:ligatures w14:val="none"/>
        </w:rPr>
        <w:t>大麦</w:t>
      </w:r>
      <w:r>
        <w:rPr>
          <w:rFonts w:hint="default" w:ascii="宋体" w:hAnsi="宋体" w:eastAsia="宋体"/>
          <w:sz w:val="24"/>
          <w14:ligatures w14:val="none"/>
        </w:rPr>
        <w:t>和紫花苜蓿作为两种重要的饲草作物，具有较高的营养价值和良好的生态效益。其中饲用</w:t>
      </w:r>
      <w:r>
        <w:rPr>
          <w:rFonts w:hint="eastAsia" w:ascii="宋体" w:hAnsi="宋体" w:eastAsia="宋体"/>
          <w:sz w:val="24"/>
          <w:lang w:val="en-US" w:eastAsia="zh-CN"/>
          <w14:ligatures w14:val="none"/>
        </w:rPr>
        <w:t>大麦</w:t>
      </w:r>
      <w:r>
        <w:rPr>
          <w:rFonts w:hint="default" w:ascii="宋体" w:hAnsi="宋体" w:eastAsia="宋体"/>
          <w:sz w:val="24"/>
          <w14:ligatures w14:val="none"/>
        </w:rPr>
        <w:t>耐</w:t>
      </w:r>
      <w:r>
        <w:rPr>
          <w:rFonts w:hint="eastAsia" w:ascii="宋体" w:hAnsi="宋体" w:eastAsia="宋体"/>
          <w:sz w:val="24"/>
          <w:lang w:val="en-US" w:eastAsia="zh-CN"/>
          <w14:ligatures w14:val="none"/>
        </w:rPr>
        <w:t>盐碱</w:t>
      </w:r>
      <w:r>
        <w:rPr>
          <w:rFonts w:hint="default" w:ascii="宋体" w:hAnsi="宋体" w:eastAsia="宋体"/>
          <w:sz w:val="24"/>
          <w14:ligatures w14:val="none"/>
        </w:rPr>
        <w:t>、耐贫瘠，适应性强，而紫花苜蓿则具有固氮作用，能改善土壤结构，提高土壤肥力。两者间作栽培能够充分发挥各自的优势，提高土地利用率和饲草产量，同时还能够改善土壤结构，减少病虫害的发生，降低对化肥和农药的依赖，对于缓解饲草短缺、提升畜牧业竞争力、促进农牧民增收具有重要意义。</w:t>
      </w:r>
    </w:p>
    <w:p w14:paraId="3277A3FF">
      <w:pPr>
        <w:spacing w:after="120" w:line="360" w:lineRule="auto"/>
        <w:ind w:firstLine="480" w:firstLineChars="200"/>
        <w:rPr>
          <w:rFonts w:hint="default" w:ascii="宋体" w:hAnsi="宋体" w:eastAsia="宋体"/>
          <w:sz w:val="24"/>
          <w14:ligatures w14:val="none"/>
        </w:rPr>
      </w:pPr>
      <w:r>
        <w:rPr>
          <w:rFonts w:hint="default" w:ascii="宋体" w:hAnsi="宋体" w:eastAsia="宋体"/>
          <w:sz w:val="24"/>
          <w14:ligatures w14:val="none"/>
        </w:rPr>
        <w:t>在</w:t>
      </w:r>
      <w:r>
        <w:rPr>
          <w:rFonts w:hint="eastAsia" w:ascii="宋体" w:hAnsi="宋体" w:eastAsia="宋体"/>
          <w:sz w:val="24"/>
          <w:lang w:val="en-US" w:eastAsia="zh-CN"/>
          <w14:ligatures w14:val="none"/>
        </w:rPr>
        <w:t>河套地区</w:t>
      </w:r>
      <w:r>
        <w:rPr>
          <w:rFonts w:hint="default" w:ascii="宋体" w:hAnsi="宋体" w:eastAsia="宋体"/>
          <w:sz w:val="24"/>
          <w14:ligatures w14:val="none"/>
        </w:rPr>
        <w:t>推广饲用</w:t>
      </w:r>
      <w:r>
        <w:rPr>
          <w:rFonts w:hint="eastAsia" w:ascii="宋体" w:hAnsi="宋体" w:eastAsia="宋体"/>
          <w:sz w:val="24"/>
          <w:lang w:val="en-US" w:eastAsia="zh-CN"/>
          <w14:ligatures w14:val="none"/>
        </w:rPr>
        <w:t>大麦</w:t>
      </w:r>
      <w:r>
        <w:rPr>
          <w:rFonts w:hint="default" w:ascii="宋体" w:hAnsi="宋体" w:eastAsia="宋体"/>
          <w:sz w:val="24"/>
          <w14:ligatures w14:val="none"/>
        </w:rPr>
        <w:t>与紫花苜蓿间作栽培技术，可以优化农牧业结构，提高饲草自给率，减少对外依赖，增强畜牧业的抗风险能力。此外，间作栽培模式还有助于提高农牧业的可持续发展能力，通过科学的种植技术和管理，实现农牧业的绿色发展，保护和改善生态环境，为</w:t>
      </w:r>
      <w:r>
        <w:rPr>
          <w:rFonts w:hint="eastAsia" w:ascii="宋体" w:hAnsi="宋体" w:eastAsia="宋体"/>
          <w:sz w:val="24"/>
          <w:lang w:val="en-US" w:eastAsia="zh-CN"/>
          <w14:ligatures w14:val="none"/>
        </w:rPr>
        <w:t>河套地区</w:t>
      </w:r>
      <w:r>
        <w:rPr>
          <w:rFonts w:hint="default" w:ascii="宋体" w:hAnsi="宋体" w:eastAsia="宋体"/>
          <w:sz w:val="24"/>
          <w14:ligatures w14:val="none"/>
        </w:rPr>
        <w:t>的农牧业可持续发展提供有力支撑。</w:t>
      </w:r>
    </w:p>
    <w:p w14:paraId="32C63E20">
      <w:pPr>
        <w:spacing w:after="120" w:line="360" w:lineRule="auto"/>
        <w:ind w:firstLine="480" w:firstLineChars="200"/>
        <w:rPr>
          <w:rFonts w:hint="default" w:ascii="宋体" w:hAnsi="宋体" w:eastAsia="宋体"/>
          <w:sz w:val="24"/>
          <w:lang w:val="en-US" w:eastAsia="zh-CN"/>
          <w14:ligatures w14:val="none"/>
        </w:rPr>
      </w:pPr>
      <w:r>
        <w:rPr>
          <w:rFonts w:hint="default" w:ascii="宋体" w:hAnsi="宋体" w:eastAsia="宋体"/>
          <w:sz w:val="24"/>
          <w14:ligatures w14:val="none"/>
        </w:rPr>
        <w:t>在内蒙古自治区科技计划项目“河套地区苜蓿抗旱耐盐碱品种筛选及其配套优质丰产栽培技术研究与示范（2023YFHH0083）”支持下，标准起草单位内蒙古农业大学开展了紫花苜蓿与饲用大麦间作高效栽培技术研究，通过设置紫花苜蓿与饲用大麦不同的间作行比，测定了紫花苜蓿与饲用大麦间作的作物产量指标、饲草品质、土地当量比、土壤理化指标等。通过统计和分析不同间作行比的产量效益和经济效益，筛选出最佳间作模式，并在巴彦淖尔市</w:t>
      </w:r>
      <w:r>
        <w:rPr>
          <w:rFonts w:hint="eastAsia" w:ascii="宋体" w:hAnsi="宋体" w:eastAsia="宋体"/>
          <w:sz w:val="24"/>
          <w:lang w:val="en-US" w:eastAsia="zh-CN"/>
          <w14:ligatures w14:val="none"/>
        </w:rPr>
        <w:t>的临河区、五原县、磴口等县进行了</w:t>
      </w:r>
      <w:r>
        <w:rPr>
          <w:rFonts w:hint="default" w:ascii="宋体" w:hAnsi="宋体" w:eastAsia="宋体"/>
          <w:sz w:val="24"/>
          <w14:ligatures w14:val="none"/>
        </w:rPr>
        <w:t>大面积示范推广，产生了良好的经济效益和生态效益。</w:t>
      </w:r>
      <w:r>
        <w:rPr>
          <w:rFonts w:hint="eastAsia" w:ascii="宋体" w:hAnsi="宋体" w:eastAsia="宋体"/>
          <w:sz w:val="24"/>
          <w:lang w:val="en-US" w:eastAsia="zh-CN"/>
          <w14:ligatures w14:val="none"/>
        </w:rPr>
        <w:t>然而，关于紫花苜蓿与饲用大麦间作并未形成规范化的种植技术规程，这限制了紫花苜蓿与饲用大麦间作效益的最大化及种植模式的进一步推广。在此背景下，项目组系统总结的各地的种植技术参数，并参考了《饲用燕麦与紫花苜蓿间作技术规程 DB 23/T 3182—2022》、《饲用燕麦与苜蓿间作栽培技术规程 DB 15/T 896—2015》和《苜蓿间作饲草大麦生产技术规程 DB23/T 3578-2023》等标准文件，凝练制定《河套地区紫花苜蓿与饲用大麦间作技术规程》，这不仅可为农牧民提供科学的种植指导，规范间作生产技术，提高种植效率和饲草质量；还将促进农牧业产业结构的优化升级，推动农牧业向绿色、高效、可持续发展方向转型升级。</w:t>
      </w:r>
    </w:p>
    <w:p w14:paraId="5E2FB131">
      <w:pPr>
        <w:pStyle w:val="2"/>
        <w:numPr>
          <w:ilvl w:val="0"/>
          <w:numId w:val="0"/>
        </w:numPr>
        <w:rPr>
          <w:rFonts w:hint="eastAsia"/>
        </w:rPr>
      </w:pPr>
      <w:r>
        <w:rPr>
          <w:rFonts w:hint="eastAsia"/>
        </w:rPr>
        <w:t>二、主要工作过程</w:t>
      </w:r>
      <w:bookmarkEnd w:id="3"/>
    </w:p>
    <w:p w14:paraId="5747BDA7">
      <w:pPr>
        <w:spacing w:after="0" w:line="360" w:lineRule="auto"/>
        <w:ind w:firstLine="480" w:firstLineChars="200"/>
        <w:rPr>
          <w:rFonts w:ascii="Times New Roman" w:hAnsi="Times New Roman" w:eastAsia="宋体" w:cs="Times New Roman"/>
          <w:sz w:val="24"/>
          <w14:ligatures w14:val="none"/>
        </w:rPr>
      </w:pPr>
      <w:r>
        <w:rPr>
          <w:rFonts w:hint="eastAsia" w:ascii="宋体" w:hAnsi="宋体" w:eastAsia="宋体"/>
          <w:sz w:val="24"/>
          <w14:ligatures w14:val="none"/>
        </w:rPr>
        <w:t>1</w:t>
      </w:r>
      <w:r>
        <w:rPr>
          <w:rFonts w:ascii="宋体" w:hAnsi="宋体" w:eastAsia="宋体"/>
          <w:sz w:val="24"/>
          <w14:ligatures w14:val="none"/>
        </w:rPr>
        <w:t>、</w:t>
      </w:r>
      <w:r>
        <w:rPr>
          <w:rFonts w:ascii="Times New Roman" w:hAnsi="Times New Roman" w:eastAsia="宋体" w:cs="Times New Roman"/>
          <w:sz w:val="24"/>
          <w14:ligatures w14:val="none"/>
        </w:rPr>
        <w:t>202</w:t>
      </w:r>
      <w:r>
        <w:rPr>
          <w:rFonts w:hint="eastAsia" w:ascii="Times New Roman" w:hAnsi="Times New Roman" w:eastAsia="宋体" w:cs="Times New Roman"/>
          <w:sz w:val="24"/>
          <w:lang w:val="en-US" w:eastAsia="zh-CN"/>
          <w14:ligatures w14:val="none"/>
        </w:rPr>
        <w:t>5</w:t>
      </w:r>
      <w:r>
        <w:rPr>
          <w:rFonts w:ascii="Times New Roman" w:hAnsi="Times New Roman" w:eastAsia="宋体" w:cs="Times New Roman"/>
          <w:sz w:val="24"/>
          <w14:ligatures w14:val="none"/>
        </w:rPr>
        <w:t>年</w:t>
      </w:r>
      <w:r>
        <w:rPr>
          <w:rFonts w:hint="eastAsia" w:ascii="Times New Roman" w:hAnsi="Times New Roman" w:eastAsia="宋体" w:cs="Times New Roman"/>
          <w:sz w:val="24"/>
          <w:lang w:val="en-US" w:eastAsia="zh-CN"/>
          <w14:ligatures w14:val="none"/>
        </w:rPr>
        <w:t>12</w:t>
      </w:r>
      <w:r>
        <w:rPr>
          <w:rFonts w:ascii="Times New Roman" w:hAnsi="Times New Roman" w:eastAsia="宋体" w:cs="Times New Roman"/>
          <w:sz w:val="24"/>
          <w14:ligatures w14:val="none"/>
        </w:rPr>
        <w:t>月：根据202</w:t>
      </w:r>
      <w:r>
        <w:rPr>
          <w:rFonts w:hint="eastAsia" w:ascii="Times New Roman" w:hAnsi="Times New Roman" w:eastAsia="宋体" w:cs="Times New Roman"/>
          <w:sz w:val="24"/>
          <w:lang w:val="en-US" w:eastAsia="zh-CN"/>
          <w14:ligatures w14:val="none"/>
        </w:rPr>
        <w:t>6</w:t>
      </w:r>
      <w:r>
        <w:rPr>
          <w:rFonts w:ascii="Times New Roman" w:hAnsi="Times New Roman" w:eastAsia="宋体" w:cs="Times New Roman"/>
          <w:sz w:val="24"/>
          <w14:ligatures w14:val="none"/>
        </w:rPr>
        <w:t>年《北京华夏草业产业技术创新战略联盟团体标准制修订管理办法》中相关要求，内蒙古</w:t>
      </w:r>
      <w:r>
        <w:rPr>
          <w:rFonts w:hint="eastAsia" w:ascii="Times New Roman" w:hAnsi="Times New Roman" w:eastAsia="宋体" w:cs="Times New Roman"/>
          <w:sz w:val="24"/>
          <w:lang w:val="en-US" w:eastAsia="zh-CN"/>
          <w14:ligatures w14:val="none"/>
        </w:rPr>
        <w:t>农业</w:t>
      </w:r>
      <w:r>
        <w:rPr>
          <w:rFonts w:ascii="Times New Roman" w:hAnsi="Times New Roman" w:eastAsia="宋体" w:cs="Times New Roman"/>
          <w:sz w:val="24"/>
          <w14:ligatures w14:val="none"/>
        </w:rPr>
        <w:t>大学牵头成立了标准起草小组，认真学习了团体标准管理规定等相关文件，讨论标准编写事宜。</w:t>
      </w:r>
    </w:p>
    <w:p w14:paraId="5E8D11A3">
      <w:pPr>
        <w:spacing w:after="0" w:line="360" w:lineRule="auto"/>
        <w:ind w:firstLine="480" w:firstLineChars="200"/>
        <w:rPr>
          <w:rFonts w:hint="eastAsia" w:ascii="Times New Roman" w:hAnsi="Times New Roman" w:eastAsia="宋体" w:cs="Times New Roman"/>
          <w:sz w:val="24"/>
          <w14:ligatures w14:val="none"/>
        </w:rPr>
      </w:pPr>
      <w:r>
        <w:rPr>
          <w:rFonts w:ascii="Times New Roman" w:hAnsi="Times New Roman" w:eastAsia="宋体" w:cs="Times New Roman"/>
          <w:sz w:val="24"/>
          <w14:ligatures w14:val="none"/>
        </w:rPr>
        <w:t>2、202</w:t>
      </w:r>
      <w:r>
        <w:rPr>
          <w:rFonts w:hint="eastAsia" w:ascii="Times New Roman" w:hAnsi="Times New Roman" w:eastAsia="宋体" w:cs="Times New Roman"/>
          <w:sz w:val="24"/>
          <w:lang w:val="en-US" w:eastAsia="zh-CN"/>
          <w14:ligatures w14:val="none"/>
        </w:rPr>
        <w:t>6</w:t>
      </w:r>
      <w:r>
        <w:rPr>
          <w:rFonts w:ascii="Times New Roman" w:hAnsi="Times New Roman" w:eastAsia="宋体" w:cs="Times New Roman"/>
          <w:sz w:val="24"/>
          <w14:ligatures w14:val="none"/>
        </w:rPr>
        <w:t>年</w:t>
      </w:r>
      <w:r>
        <w:rPr>
          <w:rFonts w:hint="eastAsia" w:ascii="Times New Roman" w:hAnsi="Times New Roman" w:eastAsia="宋体" w:cs="Times New Roman"/>
          <w:sz w:val="24"/>
          <w:lang w:val="en-US" w:eastAsia="zh-CN"/>
          <w14:ligatures w14:val="none"/>
        </w:rPr>
        <w:t>1</w:t>
      </w:r>
      <w:r>
        <w:rPr>
          <w:rFonts w:ascii="Times New Roman" w:hAnsi="Times New Roman" w:eastAsia="宋体" w:cs="Times New Roman"/>
          <w:sz w:val="24"/>
          <w14:ligatures w14:val="none"/>
        </w:rPr>
        <w:t>月：起草小组全部成员，</w:t>
      </w:r>
      <w:r>
        <w:rPr>
          <w:rFonts w:hint="eastAsia" w:ascii="Times New Roman" w:hAnsi="Times New Roman" w:eastAsia="宋体" w:cs="Times New Roman"/>
          <w:sz w:val="24"/>
          <w:lang w:val="en-US" w:eastAsia="zh-CN"/>
          <w14:ligatures w14:val="none"/>
        </w:rPr>
        <w:t>认真总结</w:t>
      </w:r>
      <w:r>
        <w:rPr>
          <w:rFonts w:hint="eastAsia" w:ascii="Times New Roman" w:hAnsi="Times New Roman" w:eastAsia="宋体" w:cs="Times New Roman"/>
          <w:sz w:val="24"/>
          <w14:ligatures w14:val="none"/>
        </w:rPr>
        <w:t>紫花苜蓿与饲用</w:t>
      </w:r>
      <w:r>
        <w:rPr>
          <w:rFonts w:hint="eastAsia" w:ascii="Times New Roman" w:hAnsi="Times New Roman" w:eastAsia="宋体" w:cs="Times New Roman"/>
          <w:sz w:val="24"/>
          <w:lang w:val="en-US" w:eastAsia="zh-CN"/>
          <w14:ligatures w14:val="none"/>
        </w:rPr>
        <w:t>大麦</w:t>
      </w:r>
      <w:r>
        <w:rPr>
          <w:rFonts w:hint="eastAsia" w:ascii="Times New Roman" w:hAnsi="Times New Roman" w:eastAsia="宋体" w:cs="Times New Roman"/>
          <w:sz w:val="24"/>
          <w14:ligatures w14:val="none"/>
        </w:rPr>
        <w:t>间作现有的研究成果，讨论决定并提交“</w:t>
      </w:r>
      <w:r>
        <w:rPr>
          <w:rFonts w:hint="eastAsia" w:ascii="Times New Roman" w:hAnsi="Times New Roman" w:eastAsia="宋体" w:cs="Times New Roman"/>
          <w:sz w:val="24"/>
          <w:lang w:val="en-US" w:eastAsia="zh-CN"/>
          <w14:ligatures w14:val="none"/>
        </w:rPr>
        <w:t>河套地区</w:t>
      </w:r>
      <w:r>
        <w:rPr>
          <w:rFonts w:hint="eastAsia" w:ascii="Times New Roman" w:hAnsi="Times New Roman" w:eastAsia="宋体" w:cs="Times New Roman"/>
          <w:sz w:val="24"/>
          <w14:ligatures w14:val="none"/>
        </w:rPr>
        <w:t>紫花苜蓿与饲用</w:t>
      </w:r>
      <w:r>
        <w:rPr>
          <w:rFonts w:hint="eastAsia" w:ascii="Times New Roman" w:hAnsi="Times New Roman" w:eastAsia="宋体" w:cs="Times New Roman"/>
          <w:sz w:val="24"/>
          <w:lang w:val="en-US" w:eastAsia="zh-CN"/>
          <w14:ligatures w14:val="none"/>
        </w:rPr>
        <w:t>大麦</w:t>
      </w:r>
      <w:r>
        <w:rPr>
          <w:rFonts w:hint="eastAsia" w:ascii="Times New Roman" w:hAnsi="Times New Roman" w:eastAsia="宋体" w:cs="Times New Roman"/>
          <w:sz w:val="24"/>
          <w14:ligatures w14:val="none"/>
        </w:rPr>
        <w:t>间作技术规程”团体标准立项申请表至北京华夏草业产业技术创新战略联盟秘书处，申请立项。</w:t>
      </w:r>
    </w:p>
    <w:p w14:paraId="76438144">
      <w:pPr>
        <w:spacing w:after="0" w:line="360" w:lineRule="auto"/>
        <w:ind w:firstLine="480" w:firstLineChars="200"/>
        <w:rPr>
          <w:rFonts w:hint="eastAsia" w:ascii="Times New Roman" w:hAnsi="Times New Roman" w:eastAsia="宋体" w:cs="Times New Roman"/>
          <w:sz w:val="24"/>
          <w:lang w:val="en-US" w:eastAsia="zh-CN"/>
          <w14:ligatures w14:val="none"/>
        </w:rPr>
      </w:pPr>
      <w:r>
        <w:rPr>
          <w:rFonts w:hint="eastAsia" w:ascii="Times New Roman" w:hAnsi="Times New Roman" w:eastAsia="宋体" w:cs="Times New Roman"/>
          <w:sz w:val="24"/>
          <w:lang w:val="en-US" w:eastAsia="zh-CN"/>
          <w14:ligatures w14:val="none"/>
        </w:rPr>
        <w:t>3、2026年2月：北京华夏草业产业技术创新战略联盟组织专家进行了团体标准建议评审，并发布《北京华夏草业产业技术创新战略联盟关于2026年第一批团体标准立项的通知》，同意立项。</w:t>
      </w:r>
    </w:p>
    <w:p w14:paraId="6EAB9823">
      <w:pPr>
        <w:keepNext w:val="0"/>
        <w:keepLines w:val="0"/>
        <w:pageBreakBefore w:val="0"/>
        <w:widowControl w:val="0"/>
        <w:numPr>
          <w:ilvl w:val="0"/>
          <w:numId w:val="0"/>
        </w:numPr>
        <w:kinsoku/>
        <w:wordWrap/>
        <w:overflowPunct/>
        <w:topLinePunct w:val="0"/>
        <w:autoSpaceDE/>
        <w:autoSpaceDN/>
        <w:bidi w:val="0"/>
        <w:adjustRightInd/>
        <w:snapToGrid/>
        <w:spacing w:after="160" w:line="360" w:lineRule="auto"/>
        <w:ind w:firstLine="480" w:firstLineChars="200"/>
        <w:textAlignment w:val="auto"/>
        <w:rPr>
          <w:rFonts w:hint="default"/>
          <w:lang w:val="en-US" w:eastAsia="zh-CN"/>
        </w:rPr>
      </w:pPr>
      <w:r>
        <w:rPr>
          <w:rFonts w:hint="eastAsia" w:ascii="Times New Roman" w:hAnsi="Times New Roman" w:eastAsia="宋体" w:cs="Times New Roman"/>
          <w:sz w:val="24"/>
          <w:lang w:val="en-US" w:eastAsia="zh-CN"/>
          <w14:ligatures w14:val="none"/>
        </w:rPr>
        <w:t>4</w:t>
      </w:r>
      <w:r>
        <w:rPr>
          <w:rFonts w:ascii="Times New Roman" w:hAnsi="Times New Roman" w:eastAsia="宋体" w:cs="Times New Roman"/>
          <w:sz w:val="24"/>
          <w14:ligatures w14:val="none"/>
        </w:rPr>
        <w:t>、202</w:t>
      </w:r>
      <w:r>
        <w:rPr>
          <w:rFonts w:hint="eastAsia" w:ascii="Times New Roman" w:hAnsi="Times New Roman" w:eastAsia="宋体" w:cs="Times New Roman"/>
          <w:sz w:val="24"/>
          <w:lang w:val="en-US" w:eastAsia="zh-CN"/>
          <w14:ligatures w14:val="none"/>
        </w:rPr>
        <w:t>6</w:t>
      </w:r>
      <w:r>
        <w:rPr>
          <w:rFonts w:ascii="Times New Roman" w:hAnsi="Times New Roman" w:eastAsia="宋体" w:cs="Times New Roman"/>
          <w:sz w:val="24"/>
          <w14:ligatures w14:val="none"/>
        </w:rPr>
        <w:t>年</w:t>
      </w:r>
      <w:r>
        <w:rPr>
          <w:rFonts w:hint="eastAsia" w:ascii="Times New Roman" w:hAnsi="Times New Roman" w:eastAsia="宋体" w:cs="Times New Roman"/>
          <w:sz w:val="24"/>
          <w:lang w:val="en-US" w:eastAsia="zh-CN"/>
          <w14:ligatures w14:val="none"/>
        </w:rPr>
        <w:t>3-5</w:t>
      </w:r>
      <w:r>
        <w:rPr>
          <w:rFonts w:ascii="Times New Roman" w:hAnsi="Times New Roman" w:eastAsia="宋体" w:cs="Times New Roman"/>
          <w:sz w:val="24"/>
          <w14:ligatures w14:val="none"/>
        </w:rPr>
        <w:t>月：</w:t>
      </w:r>
      <w:r>
        <w:rPr>
          <w:rFonts w:hint="eastAsia" w:ascii="Times New Roman" w:hAnsi="Times New Roman" w:eastAsia="宋体" w:cs="Times New Roman"/>
          <w:sz w:val="24"/>
          <w:lang w:val="en-US" w:eastAsia="zh-CN"/>
          <w14:ligatures w14:val="none"/>
        </w:rPr>
        <w:t>标准起草组接受团体标准评审专家意见，以在河套地区进行的紫花苜蓿与饲用大麦间作种植的试验数据为依据，查阅大量文献、标准、著作等资料。并对相关资料进行了分析、研究归纳与综合，同时对团体标准的格式、内容、术语表达方式等进行深入学习，完成了《河套地区紫花苜蓿与饲用大麦间作技术规程》征求意见稿及编制说明的撰写，并提交至北京华夏草业产业技术创新战略联盟秘书处。</w:t>
      </w:r>
    </w:p>
    <w:p w14:paraId="00AF3C4C">
      <w:pPr>
        <w:spacing w:after="0" w:line="360" w:lineRule="auto"/>
        <w:ind w:firstLine="480" w:firstLineChars="200"/>
        <w:rPr>
          <w:rFonts w:hint="eastAsia" w:ascii="宋体" w:hAnsi="宋体" w:eastAsia="宋体"/>
          <w:sz w:val="24"/>
          <w14:ligatures w14:val="none"/>
        </w:rPr>
      </w:pPr>
    </w:p>
    <w:p w14:paraId="651C4BBB">
      <w:pPr>
        <w:pStyle w:val="2"/>
        <w:numPr>
          <w:ilvl w:val="0"/>
          <w:numId w:val="0"/>
        </w:numPr>
        <w:rPr>
          <w:rStyle w:val="21"/>
          <w:rFonts w:hint="eastAsia"/>
          <w:b/>
          <w:bCs/>
        </w:rPr>
      </w:pPr>
      <w:bookmarkStart w:id="4" w:name="_Toc197902472"/>
      <w:r>
        <w:rPr>
          <w:rStyle w:val="21"/>
          <w:rFonts w:hint="eastAsia"/>
          <w:b/>
          <w:bCs/>
        </w:rPr>
        <w:t>三、标准编制原则和主要技术内容确定的依据</w:t>
      </w:r>
      <w:bookmarkEnd w:id="4"/>
    </w:p>
    <w:p w14:paraId="6CA35D90">
      <w:pPr>
        <w:spacing w:line="360" w:lineRule="auto"/>
        <w:rPr>
          <w:rFonts w:ascii="宋体" w:hAnsi="宋体" w:eastAsia="宋体" w:cs="Times New Roman"/>
          <w:b/>
          <w:sz w:val="24"/>
        </w:rPr>
      </w:pPr>
      <w:r>
        <w:rPr>
          <w:rFonts w:hint="eastAsia" w:ascii="宋体" w:hAnsi="宋体" w:eastAsia="宋体" w:cs="Times New Roman"/>
          <w:b/>
          <w:sz w:val="24"/>
        </w:rPr>
        <w:t>1、标准编制原则</w:t>
      </w:r>
    </w:p>
    <w:p w14:paraId="72E77ABB">
      <w:pPr>
        <w:spacing w:line="360" w:lineRule="auto"/>
        <w:ind w:firstLine="480" w:firstLineChars="200"/>
        <w:rPr>
          <w:rFonts w:ascii="Times New Roman" w:hAnsi="Times New Roman" w:eastAsia="宋体" w:cs="Times New Roman"/>
          <w:sz w:val="24"/>
          <w14:ligatures w14:val="none"/>
        </w:rPr>
      </w:pPr>
      <w:r>
        <w:rPr>
          <w:rFonts w:ascii="Times New Roman" w:hAnsi="Times New Roman" w:eastAsia="宋体" w:cs="Times New Roman"/>
          <w:sz w:val="24"/>
          <w14:ligatures w14:val="none"/>
        </w:rPr>
        <w:t>按照 GB/T 1.1 20</w:t>
      </w:r>
      <w:r>
        <w:rPr>
          <w:rFonts w:hint="eastAsia" w:ascii="Times New Roman" w:hAnsi="Times New Roman" w:eastAsia="宋体" w:cs="Times New Roman"/>
          <w:sz w:val="24"/>
          <w14:ligatures w14:val="none"/>
        </w:rPr>
        <w:t>20</w:t>
      </w:r>
      <w:r>
        <w:rPr>
          <w:rFonts w:ascii="Times New Roman" w:hAnsi="Times New Roman" w:eastAsia="宋体" w:cs="Times New Roman"/>
          <w:sz w:val="24"/>
          <w14:ligatures w14:val="none"/>
        </w:rPr>
        <w:t xml:space="preserve"> 《标准化工作导则 第一部分：标准的结构和编写》的要求和规定编写</w:t>
      </w:r>
      <w:r>
        <w:rPr>
          <w:rFonts w:hint="eastAsia" w:ascii="Times New Roman" w:hAnsi="Times New Roman" w:eastAsia="宋体" w:cs="Times New Roman"/>
          <w:sz w:val="24"/>
          <w14:ligatures w14:val="none"/>
        </w:rPr>
        <w:t>文件</w:t>
      </w:r>
      <w:r>
        <w:rPr>
          <w:rFonts w:ascii="Times New Roman" w:hAnsi="Times New Roman" w:eastAsia="宋体" w:cs="Times New Roman"/>
          <w:sz w:val="24"/>
          <w14:ligatures w14:val="none"/>
        </w:rPr>
        <w:t>内容。</w:t>
      </w:r>
      <w:r>
        <w:rPr>
          <w:rFonts w:hint="eastAsia" w:ascii="Times New Roman" w:hAnsi="Times New Roman" w:eastAsia="宋体" w:cs="Times New Roman"/>
          <w:sz w:val="24"/>
          <w14:ligatures w14:val="none"/>
        </w:rPr>
        <w:t>本文件编制遵循农业标准制修订原则，即经济上合理、实施中可行等原则。</w:t>
      </w:r>
    </w:p>
    <w:p w14:paraId="3C2197FB">
      <w:pPr>
        <w:spacing w:line="360" w:lineRule="auto"/>
        <w:ind w:firstLine="480" w:firstLineChars="200"/>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本标准制定以</w:t>
      </w:r>
      <w:r>
        <w:rPr>
          <w:rFonts w:hint="eastAsia" w:ascii="Times New Roman" w:hAnsi="Times New Roman" w:eastAsia="宋体" w:cs="Times New Roman"/>
          <w:sz w:val="24"/>
          <w:lang w:val="en-US" w:eastAsia="zh-CN"/>
          <w14:ligatures w14:val="none"/>
        </w:rPr>
        <w:t>在河套地区</w:t>
      </w:r>
      <w:r>
        <w:rPr>
          <w:rFonts w:hint="eastAsia" w:ascii="Times New Roman" w:hAnsi="Times New Roman" w:eastAsia="宋体" w:cs="Times New Roman"/>
          <w:sz w:val="24"/>
          <w14:ligatures w14:val="none"/>
        </w:rPr>
        <w:t>开展的</w:t>
      </w:r>
      <w:r>
        <w:rPr>
          <w:rFonts w:hint="eastAsia" w:ascii="Times New Roman" w:hAnsi="Times New Roman" w:eastAsia="宋体" w:cs="Times New Roman"/>
          <w:sz w:val="24"/>
          <w:lang w:val="en-US" w:eastAsia="zh-CN"/>
          <w14:ligatures w14:val="none"/>
        </w:rPr>
        <w:t>紫花苜蓿与饲用大麦间作种植</w:t>
      </w:r>
      <w:r>
        <w:rPr>
          <w:rFonts w:hint="eastAsia" w:ascii="Times New Roman" w:hAnsi="Times New Roman" w:eastAsia="宋体" w:cs="Times New Roman"/>
          <w:sz w:val="24"/>
          <w14:ligatures w14:val="none"/>
        </w:rPr>
        <w:t>相关的试验数据为依据，同时还学习了国内相关标准的经验和条款。该标准与现行法律法规无冲突。</w:t>
      </w:r>
    </w:p>
    <w:p w14:paraId="639B656D">
      <w:pPr>
        <w:rPr>
          <w:rFonts w:ascii="宋体" w:hAnsi="宋体" w:eastAsia="宋体" w:cs="Times New Roman"/>
          <w:b/>
          <w:sz w:val="24"/>
        </w:rPr>
      </w:pPr>
      <w:r>
        <w:rPr>
          <w:rFonts w:hint="eastAsia" w:ascii="宋体" w:hAnsi="宋体" w:eastAsia="宋体" w:cs="Times New Roman"/>
          <w:b/>
          <w:sz w:val="24"/>
        </w:rPr>
        <w:t>2、主要技术内容确定的论据</w:t>
      </w:r>
    </w:p>
    <w:p w14:paraId="3BA5296E">
      <w:pPr>
        <w:spacing w:after="0" w:line="360" w:lineRule="auto"/>
        <w:ind w:firstLine="480" w:firstLineChars="200"/>
        <w:rPr>
          <w:rFonts w:ascii="黑体" w:hAnsi="黑体" w:eastAsia="黑体" w:cs="Times New Roman"/>
          <w:color w:val="000000"/>
          <w:sz w:val="24"/>
        </w:rPr>
      </w:pPr>
      <w:r>
        <w:rPr>
          <w:rFonts w:hint="eastAsia" w:ascii="黑体" w:hAnsi="黑体" w:eastAsia="黑体" w:cs="Times New Roman"/>
          <w:color w:val="000000"/>
          <w:sz w:val="24"/>
        </w:rPr>
        <w:t>2.1 适用范围</w:t>
      </w:r>
    </w:p>
    <w:p w14:paraId="7FF67650">
      <w:pPr>
        <w:pStyle w:val="34"/>
        <w:spacing w:after="0" w:line="360" w:lineRule="auto"/>
        <w:ind w:left="0" w:firstLine="480" w:firstLineChars="200"/>
        <w:jc w:val="both"/>
        <w:rPr>
          <w:rFonts w:hint="eastAsia" w:ascii="宋体" w:hAnsi="宋体" w:eastAsia="宋体" w:cs="仿宋"/>
          <w:sz w:val="24"/>
          <w14:ligatures w14:val="none"/>
        </w:rPr>
      </w:pPr>
      <w:r>
        <w:rPr>
          <w:rFonts w:hint="eastAsia" w:ascii="宋体" w:hAnsi="宋体" w:eastAsia="宋体" w:cs="仿宋"/>
          <w:sz w:val="24"/>
          <w14:ligatures w14:val="none"/>
        </w:rPr>
        <w:t>本文件规</w:t>
      </w:r>
      <w:r>
        <w:rPr>
          <w:rFonts w:ascii="Times New Roman" w:hAnsi="Times New Roman" w:eastAsia="宋体" w:cs="Times New Roman"/>
          <w:sz w:val="24"/>
          <w14:ligatures w14:val="none"/>
        </w:rPr>
        <w:t>定了</w:t>
      </w:r>
      <w:r>
        <w:rPr>
          <w:rFonts w:hint="eastAsia" w:ascii="Times New Roman" w:hAnsi="Times New Roman" w:eastAsia="宋体" w:cs="Times New Roman"/>
          <w:sz w:val="24"/>
          <w:lang w:val="en-US" w:eastAsia="zh-CN"/>
          <w14:ligatures w14:val="none"/>
        </w:rPr>
        <w:t>河套地区紫花苜蓿与饲用大麦间作技术</w:t>
      </w:r>
      <w:r>
        <w:rPr>
          <w:rFonts w:hint="eastAsia" w:ascii="宋体" w:hAnsi="宋体" w:eastAsia="宋体" w:cs="仿宋"/>
          <w:sz w:val="24"/>
          <w14:ligatures w14:val="none"/>
        </w:rPr>
        <w:t>的术语和定义、备耕、种子准备、播种、密度、施肥、灌溉、病虫害防控和收获等内容。</w:t>
      </w:r>
    </w:p>
    <w:p w14:paraId="2D25C8E9">
      <w:pPr>
        <w:pStyle w:val="34"/>
        <w:spacing w:after="156" w:afterLines="50" w:line="360" w:lineRule="auto"/>
        <w:ind w:left="0" w:firstLine="480" w:firstLineChars="200"/>
        <w:jc w:val="both"/>
        <w:rPr>
          <w:rFonts w:hint="eastAsia" w:ascii="宋体" w:hAnsi="宋体" w:eastAsia="宋体" w:cs="仿宋"/>
          <w:sz w:val="24"/>
          <w14:ligatures w14:val="none"/>
        </w:rPr>
      </w:pPr>
      <w:r>
        <w:rPr>
          <w:rFonts w:hint="eastAsia" w:ascii="宋体" w:hAnsi="宋体" w:eastAsia="宋体" w:cs="仿宋"/>
          <w:sz w:val="24"/>
          <w14:ligatures w14:val="none"/>
        </w:rPr>
        <w:t>本文件适用于</w:t>
      </w:r>
      <w:r>
        <w:rPr>
          <w:rFonts w:hint="eastAsia" w:ascii="Times New Roman" w:hAnsi="Times New Roman" w:eastAsia="宋体" w:cs="Times New Roman"/>
          <w:sz w:val="24"/>
          <w:lang w:val="en-US" w:eastAsia="zh-CN"/>
          <w14:ligatures w14:val="none"/>
        </w:rPr>
        <w:t>内蒙古河套地</w:t>
      </w:r>
      <w:r>
        <w:rPr>
          <w:rFonts w:hint="default" w:ascii="Times New Roman" w:hAnsi="Times New Roman" w:eastAsia="宋体" w:cs="Times New Roman"/>
          <w:sz w:val="24"/>
          <w:lang w:val="en-US" w:eastAsia="zh-CN"/>
          <w14:ligatures w14:val="none"/>
        </w:rPr>
        <w:t>区</w:t>
      </w:r>
      <w:r>
        <w:rPr>
          <w:rFonts w:hint="eastAsia" w:ascii="Times New Roman" w:hAnsi="Times New Roman" w:eastAsia="宋体" w:cs="Times New Roman"/>
          <w:sz w:val="24"/>
          <w:lang w:val="en-US" w:eastAsia="zh-CN"/>
          <w14:ligatures w14:val="none"/>
        </w:rPr>
        <w:t>及气候生产条件类似地区</w:t>
      </w:r>
      <w:r>
        <w:rPr>
          <w:rFonts w:hint="default" w:ascii="Times New Roman" w:hAnsi="Times New Roman" w:eastAsia="宋体" w:cs="Times New Roman"/>
          <w:sz w:val="24"/>
          <w:lang w:val="en-US" w:eastAsia="zh-CN"/>
          <w14:ligatures w14:val="none"/>
        </w:rPr>
        <w:t>的紫花苜蓿与饲用</w:t>
      </w:r>
      <w:r>
        <w:rPr>
          <w:rFonts w:hint="eastAsia" w:ascii="Times New Roman" w:hAnsi="Times New Roman" w:eastAsia="宋体" w:cs="Times New Roman"/>
          <w:sz w:val="24"/>
          <w:lang w:val="en-US" w:eastAsia="zh-CN"/>
          <w14:ligatures w14:val="none"/>
        </w:rPr>
        <w:t>大麦</w:t>
      </w:r>
      <w:r>
        <w:rPr>
          <w:rFonts w:hint="default" w:ascii="Times New Roman" w:hAnsi="Times New Roman" w:eastAsia="宋体" w:cs="Times New Roman"/>
          <w:sz w:val="24"/>
          <w:lang w:val="en-US" w:eastAsia="zh-CN"/>
          <w14:ligatures w14:val="none"/>
        </w:rPr>
        <w:t>间作</w:t>
      </w:r>
      <w:r>
        <w:rPr>
          <w:rFonts w:hint="eastAsia" w:ascii="Times New Roman" w:hAnsi="Times New Roman" w:eastAsia="宋体" w:cs="Times New Roman"/>
          <w:sz w:val="24"/>
          <w:lang w:val="en-US" w:eastAsia="zh-CN"/>
          <w14:ligatures w14:val="none"/>
        </w:rPr>
        <w:t>种植</w:t>
      </w:r>
      <w:r>
        <w:rPr>
          <w:rFonts w:hint="eastAsia" w:ascii="宋体" w:hAnsi="宋体" w:eastAsia="宋体" w:cs="仿宋"/>
          <w:sz w:val="24"/>
          <w14:ligatures w14:val="none"/>
        </w:rPr>
        <w:t>。</w:t>
      </w:r>
    </w:p>
    <w:p w14:paraId="585063F2">
      <w:pPr>
        <w:spacing w:after="0" w:line="360" w:lineRule="auto"/>
        <w:ind w:firstLine="480" w:firstLineChars="200"/>
        <w:rPr>
          <w:rFonts w:ascii="黑体" w:hAnsi="黑体" w:eastAsia="黑体" w:cs="Times New Roman"/>
          <w:color w:val="000000"/>
          <w:sz w:val="24"/>
        </w:rPr>
      </w:pPr>
      <w:r>
        <w:rPr>
          <w:rFonts w:hint="eastAsia" w:ascii="黑体" w:hAnsi="黑体" w:eastAsia="黑体" w:cs="Times New Roman"/>
          <w:color w:val="000000"/>
          <w:sz w:val="24"/>
        </w:rPr>
        <w:t>2.2 规范性引用文件</w:t>
      </w:r>
    </w:p>
    <w:p w14:paraId="4D9FC7EE">
      <w:pPr>
        <w:spacing w:after="0" w:line="360" w:lineRule="auto"/>
        <w:ind w:firstLine="480" w:firstLineChars="200"/>
        <w:jc w:val="both"/>
        <w:rPr>
          <w:rFonts w:hint="default" w:ascii="Times New Roman" w:hAnsi="Times New Roman" w:eastAsia="宋体" w:cs="Times New Roman"/>
          <w:sz w:val="24"/>
          <w:lang w:val="en-US" w:eastAsia="zh-CN"/>
        </w:rPr>
      </w:pPr>
      <w:r>
        <w:rPr>
          <w:rFonts w:ascii="Times New Roman" w:hAnsi="Times New Roman" w:eastAsia="宋体" w:cs="Times New Roman"/>
          <w:sz w:val="24"/>
          <w14:ligatures w14:val="none"/>
        </w:rPr>
        <w:t>本标准制定时，</w:t>
      </w:r>
      <w:r>
        <w:rPr>
          <w:rFonts w:hint="default" w:ascii="Times New Roman" w:hAnsi="Times New Roman" w:eastAsia="宋体" w:cs="Times New Roman"/>
          <w:sz w:val="24"/>
          <w:lang w:val="en-US" w:eastAsia="zh-CN"/>
          <w14:ligatures w14:val="none"/>
        </w:rPr>
        <w:t>参照了</w:t>
      </w:r>
      <w:r>
        <w:rPr>
          <w:rFonts w:hint="default" w:ascii="Times New Roman" w:hAnsi="Times New Roman" w:eastAsia="宋体" w:cs="Times New Roman"/>
          <w:sz w:val="24"/>
          <w14:ligatures w14:val="none"/>
        </w:rPr>
        <w:t>GB 3095</w:t>
      </w:r>
      <w:r>
        <w:rPr>
          <w:rFonts w:hint="eastAsia" w:ascii="Times New Roman" w:hAnsi="Times New Roman" w:eastAsia="宋体" w:cs="Times New Roman"/>
          <w:sz w:val="24"/>
          <w:lang w:val="en-US" w:eastAsia="zh-CN"/>
          <w14:ligatures w14:val="none"/>
        </w:rPr>
        <w:t>—</w:t>
      </w:r>
      <w:r>
        <w:rPr>
          <w:rFonts w:hint="default" w:ascii="Times New Roman" w:hAnsi="Times New Roman" w:eastAsia="宋体" w:cs="Times New Roman"/>
          <w:sz w:val="24"/>
          <w14:ligatures w14:val="none"/>
        </w:rPr>
        <w:t xml:space="preserve">2012 </w:t>
      </w:r>
      <w:r>
        <w:rPr>
          <w:rFonts w:hint="default" w:ascii="Times New Roman" w:hAnsi="Times New Roman" w:eastAsia="宋体" w:cs="Times New Roman"/>
          <w:sz w:val="24"/>
          <w:lang w:eastAsia="zh-CN"/>
          <w14:ligatures w14:val="none"/>
        </w:rPr>
        <w:t>《</w:t>
      </w:r>
      <w:r>
        <w:rPr>
          <w:rFonts w:hint="default" w:ascii="Times New Roman" w:hAnsi="Times New Roman" w:eastAsia="宋体" w:cs="Times New Roman"/>
          <w:sz w:val="24"/>
          <w14:ligatures w14:val="none"/>
        </w:rPr>
        <w:t>环境空气质量标准</w:t>
      </w:r>
      <w:r>
        <w:rPr>
          <w:rFonts w:hint="default" w:ascii="Times New Roman" w:hAnsi="Times New Roman" w:eastAsia="宋体" w:cs="Times New Roman"/>
          <w:sz w:val="24"/>
          <w:lang w:eastAsia="zh-CN"/>
          <w14:ligatures w14:val="none"/>
        </w:rPr>
        <w:t>》、GB 4404.1</w:t>
      </w:r>
      <w:r>
        <w:rPr>
          <w:rFonts w:hint="eastAsia" w:ascii="Times New Roman" w:hAnsi="Times New Roman" w:eastAsia="宋体" w:cs="Times New Roman"/>
          <w:sz w:val="24"/>
          <w:lang w:val="en-US" w:eastAsia="zh-CN"/>
          <w14:ligatures w14:val="none"/>
        </w:rPr>
        <w:t>—</w:t>
      </w:r>
      <w:r>
        <w:rPr>
          <w:rFonts w:hint="default" w:ascii="Times New Roman" w:hAnsi="Times New Roman" w:eastAsia="宋体" w:cs="Times New Roman"/>
          <w:sz w:val="24"/>
          <w:lang w:eastAsia="zh-CN"/>
          <w14:ligatures w14:val="none"/>
        </w:rPr>
        <w:t>2008 《粮食作物种子 第1部分：禾谷类》、GB 5084</w:t>
      </w:r>
      <w:r>
        <w:rPr>
          <w:rFonts w:hint="eastAsia" w:ascii="Times New Roman" w:hAnsi="Times New Roman" w:eastAsia="宋体" w:cs="Times New Roman"/>
          <w:sz w:val="24"/>
          <w:lang w:val="en-US" w:eastAsia="zh-CN"/>
          <w14:ligatures w14:val="none"/>
        </w:rPr>
        <w:t>—</w:t>
      </w:r>
      <w:r>
        <w:rPr>
          <w:rFonts w:hint="default" w:ascii="Times New Roman" w:hAnsi="Times New Roman" w:eastAsia="宋体" w:cs="Times New Roman"/>
          <w:sz w:val="24"/>
          <w:lang w:eastAsia="zh-CN"/>
          <w14:ligatures w14:val="none"/>
        </w:rPr>
        <w:t>2005 《农田灌溉水质标准》、</w:t>
      </w:r>
      <w:r>
        <w:rPr>
          <w:rFonts w:hint="default" w:ascii="Times New Roman" w:hAnsi="Times New Roman" w:eastAsia="宋体" w:cs="Times New Roman"/>
          <w:sz w:val="24"/>
          <w:lang w:val="en-US" w:eastAsia="zh-CN"/>
          <w14:ligatures w14:val="none"/>
        </w:rPr>
        <w:t>GB 6141</w:t>
      </w:r>
      <w:r>
        <w:rPr>
          <w:rFonts w:hint="eastAsia" w:ascii="Times New Roman" w:hAnsi="Times New Roman" w:eastAsia="宋体" w:cs="Times New Roman"/>
          <w:sz w:val="24"/>
          <w:lang w:val="en-US" w:eastAsia="zh-CN"/>
          <w14:ligatures w14:val="none"/>
        </w:rPr>
        <w:t>—</w:t>
      </w:r>
      <w:r>
        <w:rPr>
          <w:rFonts w:hint="default" w:ascii="Times New Roman" w:hAnsi="Times New Roman" w:eastAsia="宋体" w:cs="Times New Roman"/>
          <w:sz w:val="24"/>
          <w:lang w:val="en-US" w:eastAsia="zh-CN"/>
          <w14:ligatures w14:val="none"/>
        </w:rPr>
        <w:t>2008《豆科主要栽培牧草种子质量分级》、GB 6142</w:t>
      </w:r>
      <w:r>
        <w:rPr>
          <w:rFonts w:hint="eastAsia" w:ascii="Times New Roman" w:hAnsi="Times New Roman" w:eastAsia="宋体" w:cs="Times New Roman"/>
          <w:sz w:val="24"/>
          <w:lang w:val="en-US" w:eastAsia="zh-CN"/>
          <w14:ligatures w14:val="none"/>
        </w:rPr>
        <w:t>—</w:t>
      </w:r>
      <w:r>
        <w:rPr>
          <w:rFonts w:hint="default" w:ascii="Times New Roman" w:hAnsi="Times New Roman" w:eastAsia="宋体" w:cs="Times New Roman"/>
          <w:sz w:val="24"/>
          <w:lang w:val="en-US" w:eastAsia="zh-CN"/>
          <w14:ligatures w14:val="none"/>
        </w:rPr>
        <w:t>2008《禾本科种子质量分级》、GB/T 8321</w:t>
      </w:r>
      <w:r>
        <w:rPr>
          <w:rFonts w:hint="eastAsia" w:ascii="Times New Roman" w:hAnsi="Times New Roman" w:eastAsia="宋体" w:cs="Times New Roman"/>
          <w:sz w:val="24"/>
          <w:lang w:val="en-US" w:eastAsia="zh-CN"/>
          <w14:ligatures w14:val="none"/>
        </w:rPr>
        <w:t>—</w:t>
      </w:r>
      <w:r>
        <w:rPr>
          <w:rFonts w:hint="default" w:ascii="Times New Roman" w:hAnsi="Times New Roman" w:eastAsia="宋体" w:cs="Times New Roman"/>
          <w:sz w:val="24"/>
          <w:lang w:val="en-US" w:eastAsia="zh-CN"/>
          <w14:ligatures w14:val="none"/>
        </w:rPr>
        <w:t>2018 《农药合理使用准则》、DB 13/T 1730 《农田杂草综合防治技术规程》、GB 15618</w:t>
      </w:r>
      <w:r>
        <w:rPr>
          <w:rFonts w:hint="eastAsia" w:ascii="Times New Roman" w:hAnsi="Times New Roman" w:eastAsia="宋体" w:cs="Times New Roman"/>
          <w:sz w:val="24"/>
          <w:lang w:val="en-US" w:eastAsia="zh-CN"/>
          <w14:ligatures w14:val="none"/>
        </w:rPr>
        <w:t>—</w:t>
      </w:r>
      <w:r>
        <w:rPr>
          <w:rFonts w:hint="default" w:ascii="Times New Roman" w:hAnsi="Times New Roman" w:eastAsia="宋体" w:cs="Times New Roman"/>
          <w:sz w:val="24"/>
          <w:lang w:val="en-US" w:eastAsia="zh-CN"/>
          <w14:ligatures w14:val="none"/>
        </w:rPr>
        <w:t>2018 《土壤环境质量标准》、</w:t>
      </w:r>
      <w:r>
        <w:rPr>
          <w:rFonts w:hint="default" w:ascii="Times New Roman" w:hAnsi="Times New Roman" w:eastAsia="宋体" w:cs="Times New Roman"/>
          <w:sz w:val="24"/>
        </w:rPr>
        <w:t>NY/T 496</w:t>
      </w:r>
      <w:r>
        <w:rPr>
          <w:rFonts w:hint="eastAsia" w:ascii="Times New Roman" w:hAnsi="Times New Roman" w:eastAsia="宋体" w:cs="Times New Roman"/>
          <w:sz w:val="24"/>
          <w:lang w:val="en-US" w:eastAsia="zh-CN"/>
          <w14:ligatures w14:val="none"/>
        </w:rPr>
        <w:t>—</w:t>
      </w:r>
      <w:r>
        <w:rPr>
          <w:rFonts w:hint="default" w:ascii="Times New Roman" w:hAnsi="Times New Roman" w:eastAsia="宋体" w:cs="Times New Roman"/>
          <w:sz w:val="24"/>
        </w:rPr>
        <w:t>2010</w:t>
      </w:r>
      <w:r>
        <w:rPr>
          <w:rFonts w:hint="default" w:ascii="Times New Roman" w:hAnsi="Times New Roman" w:eastAsia="宋体" w:cs="Times New Roman"/>
          <w:sz w:val="24"/>
          <w:lang w:eastAsia="zh-CN"/>
        </w:rPr>
        <w:t>《</w:t>
      </w:r>
      <w:r>
        <w:rPr>
          <w:rFonts w:hint="default" w:ascii="Times New Roman" w:hAnsi="Times New Roman" w:eastAsia="宋体" w:cs="Times New Roman"/>
          <w:sz w:val="24"/>
        </w:rPr>
        <w:t>肥料合理使用准则</w:t>
      </w:r>
      <w:r>
        <w:rPr>
          <w:rFonts w:hint="eastAsia" w:ascii="Times New Roman" w:hAnsi="Times New Roman" w:eastAsia="宋体" w:cs="Times New Roman"/>
          <w:sz w:val="24"/>
          <w:lang w:val="en-US" w:eastAsia="zh-CN"/>
        </w:rPr>
        <w:t xml:space="preserve"> </w:t>
      </w:r>
      <w:r>
        <w:rPr>
          <w:rFonts w:hint="default" w:ascii="Times New Roman" w:hAnsi="Times New Roman" w:eastAsia="宋体" w:cs="Times New Roman"/>
          <w:sz w:val="24"/>
        </w:rPr>
        <w:t>通则</w:t>
      </w:r>
      <w:r>
        <w:rPr>
          <w:rFonts w:hint="default" w:ascii="Times New Roman" w:hAnsi="Times New Roman" w:eastAsia="宋体" w:cs="Times New Roman"/>
          <w:sz w:val="24"/>
          <w:lang w:eastAsia="zh-CN"/>
        </w:rPr>
        <w:t>》</w:t>
      </w:r>
      <w:r>
        <w:rPr>
          <w:rFonts w:hint="default" w:ascii="Times New Roman" w:hAnsi="Times New Roman" w:eastAsia="宋体" w:cs="Times New Roman"/>
          <w:sz w:val="24"/>
          <w:lang w:val="en-US" w:eastAsia="zh-CN"/>
        </w:rPr>
        <w:t>等标准。</w:t>
      </w:r>
    </w:p>
    <w:p w14:paraId="5372DD8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黑体" w:hAnsi="黑体" w:eastAsia="黑体" w:cs="Times New Roman"/>
          <w:color w:val="000000"/>
          <w:sz w:val="24"/>
        </w:rPr>
      </w:pPr>
      <w:r>
        <w:rPr>
          <w:rFonts w:hint="eastAsia" w:ascii="黑体" w:hAnsi="黑体" w:eastAsia="黑体" w:cs="Times New Roman"/>
          <w:color w:val="000000"/>
          <w:sz w:val="24"/>
        </w:rPr>
        <w:t>2.3 术语与定义</w:t>
      </w:r>
    </w:p>
    <w:p w14:paraId="7995DFF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Times New Roman" w:hAnsi="Times New Roman" w:eastAsia="宋体" w:cs="Times New Roman"/>
          <w:sz w:val="24"/>
          <w:lang w:val="en-US" w:eastAsia="zh-CN"/>
          <w14:ligatures w14:val="none"/>
        </w:rPr>
      </w:pPr>
      <w:r>
        <w:rPr>
          <w:rFonts w:hint="eastAsia" w:ascii="Times New Roman" w:hAnsi="Times New Roman" w:eastAsia="宋体" w:cs="Times New Roman"/>
          <w:sz w:val="24"/>
          <w:lang w:val="en-US" w:eastAsia="zh-CN"/>
          <w14:ligatures w14:val="none"/>
        </w:rPr>
        <w:t>本文件没有需要界定的术语和定义</w:t>
      </w:r>
    </w:p>
    <w:p w14:paraId="5B915DB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黑体" w:hAnsi="黑体" w:eastAsia="黑体" w:cs="Times New Roman"/>
          <w:color w:val="000000"/>
          <w:sz w:val="24"/>
        </w:rPr>
      </w:pPr>
      <w:r>
        <w:rPr>
          <w:rFonts w:hint="eastAsia" w:ascii="黑体" w:hAnsi="黑体" w:eastAsia="黑体" w:cs="Times New Roman"/>
          <w:color w:val="000000"/>
          <w:sz w:val="24"/>
        </w:rPr>
        <w:t>2.4 主要技术指标确定的依据</w:t>
      </w:r>
    </w:p>
    <w:p w14:paraId="21D2496A">
      <w:pPr>
        <w:keepNext w:val="0"/>
        <w:keepLines w:val="0"/>
        <w:pageBreakBefore w:val="0"/>
        <w:widowControl w:val="0"/>
        <w:numPr>
          <w:ilvl w:val="0"/>
          <w:numId w:val="2"/>
        </w:numPr>
        <w:kinsoku/>
        <w:wordWrap/>
        <w:overflowPunct/>
        <w:topLinePunct w:val="0"/>
        <w:autoSpaceDE/>
        <w:autoSpaceDN/>
        <w:bidi w:val="0"/>
        <w:adjustRightInd/>
        <w:snapToGrid/>
        <w:spacing w:after="160" w:line="360" w:lineRule="auto"/>
        <w:textAlignment w:val="auto"/>
        <w:rPr>
          <w:rFonts w:hint="eastAsia" w:ascii="宋体" w:hAnsi="宋体" w:eastAsia="宋体" w:cs="宋体"/>
          <w:sz w:val="24"/>
          <w:lang w:val="en-US" w:eastAsia="zh-CN"/>
        </w:rPr>
      </w:pPr>
      <w:bookmarkStart w:id="5" w:name="_Toc197902473"/>
      <w:r>
        <w:rPr>
          <w:rFonts w:hint="eastAsia" w:ascii="宋体" w:hAnsi="宋体" w:eastAsia="宋体" w:cs="宋体"/>
          <w:sz w:val="24"/>
          <w:lang w:val="en-US" w:eastAsia="zh-CN"/>
        </w:rPr>
        <w:t>紫花苜蓿与饲用大麦间作系统的株高</w:t>
      </w:r>
    </w:p>
    <w:p w14:paraId="36991119">
      <w:pPr>
        <w:keepNext w:val="0"/>
        <w:keepLines w:val="0"/>
        <w:pageBreakBefore w:val="0"/>
        <w:widowControl w:val="0"/>
        <w:numPr>
          <w:ilvl w:val="0"/>
          <w:numId w:val="0"/>
        </w:numPr>
        <w:kinsoku/>
        <w:wordWrap/>
        <w:overflowPunct/>
        <w:topLinePunct w:val="0"/>
        <w:autoSpaceDE/>
        <w:autoSpaceDN/>
        <w:bidi w:val="0"/>
        <w:adjustRightInd/>
        <w:snapToGrid/>
        <w:spacing w:after="160" w:line="360" w:lineRule="auto"/>
        <w:ind w:firstLine="480" w:firstLineChars="200"/>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在两种施磷水平下（P0和P1），不同间作模式对紫花苜蓿和饲用</w:t>
      </w:r>
      <w:r>
        <w:rPr>
          <w:rFonts w:hint="eastAsia" w:ascii="Times New Roman" w:hAnsi="Times New Roman" w:eastAsia="宋体" w:cs="Times New Roman"/>
          <w:sz w:val="24"/>
          <w:lang w:val="en-US" w:eastAsia="zh-CN"/>
        </w:rPr>
        <w:t>大麦</w:t>
      </w:r>
      <w:r>
        <w:rPr>
          <w:rFonts w:hint="default" w:ascii="Times New Roman" w:hAnsi="Times New Roman" w:eastAsia="宋体" w:cs="Times New Roman"/>
          <w:sz w:val="24"/>
          <w:lang w:val="en-US" w:eastAsia="zh-CN"/>
        </w:rPr>
        <w:t>的株高</w:t>
      </w:r>
      <w:r>
        <w:rPr>
          <w:rFonts w:hint="eastAsia" w:ascii="Times New Roman" w:hAnsi="Times New Roman" w:eastAsia="宋体" w:cs="Times New Roman"/>
          <w:sz w:val="24"/>
          <w:lang w:val="en-US" w:eastAsia="zh-CN"/>
        </w:rPr>
        <w:t>有明显影响</w:t>
      </w:r>
      <w:r>
        <w:rPr>
          <w:rFonts w:hint="default" w:ascii="Times New Roman" w:hAnsi="Times New Roman" w:eastAsia="宋体" w:cs="Times New Roman"/>
          <w:sz w:val="24"/>
          <w:lang w:val="en-US" w:eastAsia="zh-CN"/>
        </w:rPr>
        <w:t>（表1所示）。对苜蓿而言，无论施磷与否，间作A6</w:t>
      </w:r>
      <w:r>
        <w:rPr>
          <w:rFonts w:hint="eastAsia" w:ascii="Times New Roman" w:hAnsi="Times New Roman" w:eastAsia="宋体" w:cs="Times New Roman"/>
          <w:sz w:val="24"/>
          <w:lang w:val="en-US" w:eastAsia="zh-CN"/>
        </w:rPr>
        <w:t>W</w:t>
      </w:r>
      <w:r>
        <w:rPr>
          <w:rFonts w:hint="default" w:ascii="Times New Roman" w:hAnsi="Times New Roman" w:eastAsia="宋体" w:cs="Times New Roman"/>
          <w:sz w:val="24"/>
          <w:lang w:val="en-US" w:eastAsia="zh-CN"/>
        </w:rPr>
        <w:t>2模式时植株最高，分别达</w:t>
      </w:r>
      <w:r>
        <w:rPr>
          <w:rFonts w:hint="eastAsia" w:ascii="Times New Roman" w:hAnsi="Times New Roman" w:eastAsia="宋体" w:cs="Times New Roman"/>
          <w:sz w:val="24"/>
          <w:lang w:val="en-US" w:eastAsia="zh-CN"/>
        </w:rPr>
        <w:t>47.50</w:t>
      </w:r>
      <w:r>
        <w:rPr>
          <w:rFonts w:hint="default" w:ascii="Times New Roman" w:hAnsi="Times New Roman" w:eastAsia="宋体" w:cs="Times New Roman"/>
          <w:sz w:val="24"/>
          <w:lang w:val="en-US" w:eastAsia="zh-CN"/>
        </w:rPr>
        <w:t>cm和</w:t>
      </w:r>
      <w:r>
        <w:rPr>
          <w:rFonts w:hint="eastAsia" w:ascii="Times New Roman" w:hAnsi="Times New Roman" w:eastAsia="宋体" w:cs="Times New Roman"/>
          <w:sz w:val="24"/>
          <w:lang w:val="en-US" w:eastAsia="zh-CN"/>
        </w:rPr>
        <w:t>49.77</w:t>
      </w:r>
      <w:r>
        <w:rPr>
          <w:rFonts w:hint="default" w:ascii="Times New Roman" w:hAnsi="Times New Roman" w:eastAsia="宋体" w:cs="Times New Roman"/>
          <w:sz w:val="24"/>
          <w:lang w:val="en-US" w:eastAsia="zh-CN"/>
        </w:rPr>
        <w:t>cm；</w:t>
      </w:r>
      <w:r>
        <w:rPr>
          <w:rFonts w:hint="eastAsia" w:ascii="Times New Roman" w:hAnsi="Times New Roman" w:eastAsia="宋体" w:cs="Times New Roman"/>
          <w:sz w:val="24"/>
          <w:lang w:val="en-US" w:eastAsia="zh-CN"/>
        </w:rPr>
        <w:t>间作A2W6模式时苜蓿株高最低，分别为33.43cm和40.10cm。这说明</w:t>
      </w:r>
      <w:r>
        <w:rPr>
          <w:rFonts w:hint="default" w:ascii="Times New Roman" w:hAnsi="Times New Roman" w:eastAsia="宋体" w:cs="Times New Roman"/>
          <w:sz w:val="24"/>
          <w:lang w:val="en-US" w:eastAsia="zh-CN"/>
        </w:rPr>
        <w:t>随着饲用</w:t>
      </w:r>
      <w:r>
        <w:rPr>
          <w:rFonts w:hint="eastAsia" w:ascii="Times New Roman" w:hAnsi="Times New Roman" w:eastAsia="宋体" w:cs="Times New Roman"/>
          <w:sz w:val="24"/>
          <w:lang w:val="en-US" w:eastAsia="zh-CN"/>
        </w:rPr>
        <w:t>大麦</w:t>
      </w:r>
      <w:r>
        <w:rPr>
          <w:rFonts w:hint="default" w:ascii="Times New Roman" w:hAnsi="Times New Roman" w:eastAsia="宋体" w:cs="Times New Roman"/>
          <w:sz w:val="24"/>
          <w:lang w:val="en-US" w:eastAsia="zh-CN"/>
        </w:rPr>
        <w:t>行数的增加，苜蓿遮荫严重，株高逐步降低</w:t>
      </w:r>
      <w:r>
        <w:rPr>
          <w:rFonts w:hint="eastAsia" w:ascii="Times New Roman" w:hAnsi="Times New Roman" w:eastAsia="宋体" w:cs="Times New Roman"/>
          <w:sz w:val="24"/>
          <w:lang w:val="en-US" w:eastAsia="zh-CN"/>
        </w:rPr>
        <w:t>，</w:t>
      </w:r>
      <w:r>
        <w:rPr>
          <w:rFonts w:hint="default" w:ascii="Times New Roman" w:hAnsi="Times New Roman" w:eastAsia="宋体" w:cs="Times New Roman"/>
          <w:sz w:val="24"/>
          <w:lang w:val="en-US" w:eastAsia="zh-CN"/>
        </w:rPr>
        <w:t>而施磷对苜蓿株高均有一定的提升作用。对饲用</w:t>
      </w:r>
      <w:r>
        <w:rPr>
          <w:rFonts w:hint="eastAsia" w:ascii="Times New Roman" w:hAnsi="Times New Roman" w:eastAsia="宋体" w:cs="Times New Roman"/>
          <w:sz w:val="24"/>
          <w:lang w:val="en-US" w:eastAsia="zh-CN"/>
        </w:rPr>
        <w:t>大麦</w:t>
      </w:r>
      <w:r>
        <w:rPr>
          <w:rFonts w:hint="default" w:ascii="Times New Roman" w:hAnsi="Times New Roman" w:eastAsia="宋体" w:cs="Times New Roman"/>
          <w:sz w:val="24"/>
          <w:lang w:val="en-US" w:eastAsia="zh-CN"/>
        </w:rPr>
        <w:t>而言，无论施磷与否，株高均在A</w:t>
      </w:r>
      <w:r>
        <w:rPr>
          <w:rFonts w:hint="eastAsia" w:ascii="Times New Roman" w:hAnsi="Times New Roman" w:eastAsia="宋体" w:cs="Times New Roman"/>
          <w:sz w:val="24"/>
          <w:lang w:val="en-US" w:eastAsia="zh-CN"/>
        </w:rPr>
        <w:t>6W</w:t>
      </w:r>
      <w:r>
        <w:rPr>
          <w:rFonts w:hint="default" w:ascii="Times New Roman" w:hAnsi="Times New Roman" w:eastAsia="宋体" w:cs="Times New Roman"/>
          <w:sz w:val="24"/>
          <w:lang w:val="en-US" w:eastAsia="zh-CN"/>
        </w:rPr>
        <w:t>2模式下最高，分别为</w:t>
      </w:r>
      <w:r>
        <w:rPr>
          <w:rFonts w:hint="eastAsia" w:ascii="Times New Roman" w:hAnsi="Times New Roman" w:eastAsia="宋体" w:cs="Times New Roman"/>
          <w:sz w:val="24"/>
          <w:lang w:val="en-US" w:eastAsia="zh-CN"/>
        </w:rPr>
        <w:t>92.60</w:t>
      </w:r>
      <w:r>
        <w:rPr>
          <w:rFonts w:hint="default" w:ascii="Times New Roman" w:hAnsi="Times New Roman" w:eastAsia="宋体" w:cs="Times New Roman"/>
          <w:sz w:val="24"/>
          <w:lang w:val="en-US" w:eastAsia="zh-CN"/>
        </w:rPr>
        <w:t>cm和</w:t>
      </w:r>
      <w:r>
        <w:rPr>
          <w:rFonts w:hint="eastAsia" w:ascii="Times New Roman" w:hAnsi="Times New Roman" w:eastAsia="宋体" w:cs="Times New Roman"/>
          <w:sz w:val="24"/>
          <w:lang w:val="en-US" w:eastAsia="zh-CN"/>
        </w:rPr>
        <w:t>98.87</w:t>
      </w:r>
      <w:r>
        <w:rPr>
          <w:rFonts w:hint="default" w:ascii="Times New Roman" w:hAnsi="Times New Roman" w:eastAsia="宋体" w:cs="Times New Roman"/>
          <w:sz w:val="24"/>
          <w:lang w:val="en-US" w:eastAsia="zh-CN"/>
        </w:rPr>
        <w:t>cm；在单作时，株高最低，分别为</w:t>
      </w:r>
      <w:r>
        <w:rPr>
          <w:rFonts w:hint="eastAsia" w:ascii="Times New Roman" w:hAnsi="Times New Roman" w:eastAsia="宋体" w:cs="Times New Roman"/>
          <w:sz w:val="24"/>
          <w:lang w:val="en-US" w:eastAsia="zh-CN"/>
        </w:rPr>
        <w:t>91.4</w:t>
      </w:r>
      <w:r>
        <w:rPr>
          <w:rFonts w:hint="default" w:ascii="Times New Roman" w:hAnsi="Times New Roman" w:eastAsia="宋体" w:cs="Times New Roman"/>
          <w:sz w:val="24"/>
          <w:lang w:val="en-US" w:eastAsia="zh-CN"/>
        </w:rPr>
        <w:t>7cm和</w:t>
      </w:r>
      <w:r>
        <w:rPr>
          <w:rFonts w:hint="eastAsia" w:ascii="Times New Roman" w:hAnsi="Times New Roman" w:eastAsia="宋体" w:cs="Times New Roman"/>
          <w:sz w:val="24"/>
          <w:lang w:val="en-US" w:eastAsia="zh-CN"/>
        </w:rPr>
        <w:t>92.00</w:t>
      </w:r>
      <w:r>
        <w:rPr>
          <w:rFonts w:hint="default" w:ascii="Times New Roman" w:hAnsi="Times New Roman" w:eastAsia="宋体" w:cs="Times New Roman"/>
          <w:sz w:val="24"/>
          <w:lang w:val="en-US" w:eastAsia="zh-CN"/>
        </w:rPr>
        <w:t>cm。</w:t>
      </w:r>
      <w:r>
        <w:rPr>
          <w:rFonts w:hint="eastAsia" w:ascii="Times New Roman" w:hAnsi="Times New Roman" w:eastAsia="宋体" w:cs="Times New Roman"/>
          <w:sz w:val="24"/>
          <w:lang w:val="en-US" w:eastAsia="zh-CN"/>
        </w:rPr>
        <w:t>这说明紫花苜蓿对间作系统中的饲用大麦的生长有一定的促进作用，</w:t>
      </w:r>
      <w:r>
        <w:rPr>
          <w:rFonts w:hint="default" w:ascii="Times New Roman" w:hAnsi="Times New Roman" w:eastAsia="宋体" w:cs="Times New Roman"/>
          <w:sz w:val="24"/>
          <w:lang w:val="en-US" w:eastAsia="zh-CN"/>
        </w:rPr>
        <w:t>而施磷</w:t>
      </w:r>
      <w:r>
        <w:rPr>
          <w:rFonts w:hint="eastAsia" w:ascii="Times New Roman" w:hAnsi="Times New Roman" w:eastAsia="宋体" w:cs="Times New Roman"/>
          <w:sz w:val="24"/>
          <w:lang w:val="en-US" w:eastAsia="zh-CN"/>
        </w:rPr>
        <w:t>进一步促进了</w:t>
      </w:r>
      <w:r>
        <w:rPr>
          <w:rFonts w:hint="default" w:ascii="Times New Roman" w:hAnsi="Times New Roman" w:eastAsia="宋体" w:cs="Times New Roman"/>
          <w:sz w:val="24"/>
          <w:lang w:val="en-US" w:eastAsia="zh-CN"/>
        </w:rPr>
        <w:t>饲用</w:t>
      </w:r>
      <w:r>
        <w:rPr>
          <w:rFonts w:hint="eastAsia" w:ascii="Times New Roman" w:hAnsi="Times New Roman" w:eastAsia="宋体" w:cs="Times New Roman"/>
          <w:sz w:val="24"/>
          <w:lang w:val="en-US" w:eastAsia="zh-CN"/>
        </w:rPr>
        <w:t>大麦</w:t>
      </w:r>
      <w:r>
        <w:rPr>
          <w:rFonts w:hint="default" w:ascii="Times New Roman" w:hAnsi="Times New Roman" w:eastAsia="宋体" w:cs="Times New Roman"/>
          <w:sz w:val="24"/>
          <w:lang w:val="en-US" w:eastAsia="zh-CN"/>
        </w:rPr>
        <w:t>的</w:t>
      </w:r>
      <w:r>
        <w:rPr>
          <w:rFonts w:hint="eastAsia" w:ascii="Times New Roman" w:hAnsi="Times New Roman" w:eastAsia="宋体" w:cs="Times New Roman"/>
          <w:sz w:val="24"/>
          <w:lang w:val="en-US" w:eastAsia="zh-CN"/>
        </w:rPr>
        <w:t>生长</w:t>
      </w:r>
      <w:r>
        <w:rPr>
          <w:rFonts w:hint="default" w:ascii="Times New Roman" w:hAnsi="Times New Roman" w:eastAsia="宋体" w:cs="Times New Roman"/>
          <w:sz w:val="24"/>
          <w:lang w:val="en-US" w:eastAsia="zh-CN"/>
        </w:rPr>
        <w:t>。</w:t>
      </w:r>
    </w:p>
    <w:p w14:paraId="0C50363F">
      <w:pPr>
        <w:widowControl w:val="0"/>
        <w:numPr>
          <w:ilvl w:val="0"/>
          <w:numId w:val="0"/>
        </w:numPr>
        <w:spacing w:after="160" w:line="278" w:lineRule="auto"/>
        <w:ind w:firstLine="480" w:firstLineChars="200"/>
        <w:jc w:val="center"/>
        <w:rPr>
          <w:rFonts w:hint="default" w:ascii="宋体" w:hAnsi="宋体" w:eastAsia="宋体" w:cs="宋体"/>
          <w:sz w:val="24"/>
          <w:lang w:val="en-US" w:eastAsia="zh-CN"/>
        </w:rPr>
      </w:pPr>
      <w:r>
        <w:rPr>
          <w:rFonts w:hint="default" w:ascii="宋体" w:hAnsi="宋体" w:eastAsia="宋体" w:cs="宋体"/>
          <w:sz w:val="24"/>
          <w:lang w:val="en-US" w:eastAsia="zh-CN"/>
        </w:rPr>
        <w:t>表1 不同</w:t>
      </w:r>
      <w:r>
        <w:rPr>
          <w:rFonts w:hint="eastAsia" w:ascii="宋体" w:hAnsi="宋体" w:eastAsia="宋体" w:cs="宋体"/>
          <w:sz w:val="24"/>
          <w:lang w:val="en-US" w:eastAsia="zh-CN"/>
        </w:rPr>
        <w:t>间作</w:t>
      </w:r>
      <w:r>
        <w:rPr>
          <w:rFonts w:hint="default" w:ascii="宋体" w:hAnsi="宋体" w:eastAsia="宋体" w:cs="宋体"/>
          <w:sz w:val="24"/>
          <w:lang w:val="en-US" w:eastAsia="zh-CN"/>
        </w:rPr>
        <w:t>种植模式紫花苜蓿和饲用</w:t>
      </w:r>
      <w:r>
        <w:rPr>
          <w:rFonts w:hint="eastAsia" w:ascii="宋体" w:hAnsi="宋体" w:eastAsia="宋体" w:cs="宋体"/>
          <w:sz w:val="24"/>
          <w:lang w:val="en-US" w:eastAsia="zh-CN"/>
        </w:rPr>
        <w:t>大麦</w:t>
      </w:r>
      <w:r>
        <w:rPr>
          <w:rFonts w:hint="default" w:ascii="宋体" w:hAnsi="宋体" w:eastAsia="宋体" w:cs="宋体"/>
          <w:sz w:val="24"/>
          <w:lang w:val="en-US" w:eastAsia="zh-CN"/>
        </w:rPr>
        <w:t>的株高</w:t>
      </w:r>
    </w:p>
    <w:tbl>
      <w:tblPr>
        <w:tblStyle w:val="43"/>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8"/>
        <w:gridCol w:w="1865"/>
        <w:gridCol w:w="1868"/>
        <w:gridCol w:w="2005"/>
        <w:gridCol w:w="1866"/>
      </w:tblGrid>
      <w:tr w14:paraId="780A53F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 w:type="pct"/>
            <w:vMerge w:val="restart"/>
            <w:tcBorders>
              <w:top w:val="single" w:color="auto" w:sz="12" w:space="0"/>
              <w:left w:val="nil"/>
              <w:bottom w:val="single" w:color="auto" w:sz="8" w:space="0"/>
              <w:right w:val="nil"/>
              <w:insideH w:val="single" w:sz="8" w:space="0"/>
              <w:insideV w:val="nil"/>
              <w:tl2br w:val="nil"/>
              <w:tr2bl w:val="nil"/>
            </w:tcBorders>
            <w:vAlign w:val="center"/>
          </w:tcPr>
          <w:p w14:paraId="1D52B2A8">
            <w:pPr>
              <w:contextualSpacing/>
              <w:jc w:val="center"/>
              <w:rPr>
                <w:rFonts w:hint="eastAsia" w:ascii="Times New Roman" w:hAnsi="Times New Roman" w:eastAsia="宋体" w:cs="Times New Roman"/>
                <w:iCs/>
                <w:sz w:val="15"/>
                <w:szCs w:val="15"/>
                <w:lang w:eastAsia="zh-CN"/>
              </w:rPr>
            </w:pPr>
            <w:r>
              <w:rPr>
                <w:rFonts w:hint="eastAsia" w:ascii="Times New Roman" w:hAnsi="Times New Roman" w:eastAsia="宋体" w:cs="Times New Roman"/>
                <w:iCs/>
                <w:sz w:val="15"/>
                <w:szCs w:val="15"/>
                <w:lang w:val="en-US" w:eastAsia="zh-CN"/>
              </w:rPr>
              <w:t>种植模式</w:t>
            </w:r>
          </w:p>
        </w:tc>
        <w:tc>
          <w:tcPr>
            <w:tcW w:w="4225" w:type="pct"/>
            <w:gridSpan w:val="4"/>
            <w:tcBorders>
              <w:top w:val="single" w:color="auto" w:sz="12" w:space="0"/>
              <w:bottom w:val="single" w:color="auto" w:sz="8" w:space="0"/>
              <w:right w:val="nil"/>
              <w:insideH w:val="single" w:sz="8" w:space="0"/>
              <w:insideV w:val="nil"/>
              <w:tl2br w:val="nil"/>
              <w:tr2bl w:val="nil"/>
            </w:tcBorders>
            <w:vAlign w:val="center"/>
          </w:tcPr>
          <w:p w14:paraId="089C8797">
            <w:pPr>
              <w:widowControl/>
              <w:wordWrap w:val="0"/>
              <w:contextualSpacing/>
              <w:jc w:val="center"/>
              <w:textAlignment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株高（c</w:t>
            </w:r>
            <w:r>
              <w:rPr>
                <w:rFonts w:hint="default" w:ascii="Times New Roman" w:hAnsi="Times New Roman" w:eastAsia="宋体" w:cs="Times New Roman"/>
                <w:iCs/>
                <w:sz w:val="15"/>
                <w:szCs w:val="15"/>
              </w:rPr>
              <w:t>m</w:t>
            </w:r>
            <w:r>
              <w:rPr>
                <w:rFonts w:hint="default" w:ascii="Times New Roman" w:hAnsi="Times New Roman" w:eastAsia="宋体" w:cs="Times New Roman"/>
                <w:sz w:val="15"/>
                <w:szCs w:val="15"/>
              </w:rPr>
              <w:t>）</w:t>
            </w:r>
          </w:p>
        </w:tc>
      </w:tr>
      <w:tr w14:paraId="475449C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10" w:type="pct"/>
            <w:vMerge w:val="continue"/>
            <w:tcBorders>
              <w:top w:val="single" w:color="auto" w:sz="8" w:space="0"/>
              <w:bottom w:val="single" w:color="auto" w:sz="8" w:space="0"/>
            </w:tcBorders>
            <w:vAlign w:val="center"/>
          </w:tcPr>
          <w:p w14:paraId="3F432535">
            <w:pPr>
              <w:contextualSpacing/>
              <w:jc w:val="center"/>
              <w:rPr>
                <w:rFonts w:hint="default" w:ascii="Times New Roman" w:hAnsi="Times New Roman" w:eastAsia="宋体" w:cs="Times New Roman"/>
                <w:iCs/>
                <w:sz w:val="15"/>
                <w:szCs w:val="15"/>
              </w:rPr>
            </w:pPr>
          </w:p>
        </w:tc>
        <w:tc>
          <w:tcPr>
            <w:tcW w:w="2074" w:type="pct"/>
            <w:gridSpan w:val="2"/>
            <w:tcBorders>
              <w:top w:val="single" w:color="auto" w:sz="8" w:space="0"/>
              <w:bottom w:val="single" w:color="auto" w:sz="8" w:space="0"/>
            </w:tcBorders>
            <w:vAlign w:val="center"/>
          </w:tcPr>
          <w:p w14:paraId="0DF74862">
            <w:pPr>
              <w:widowControl/>
              <w:wordWrap w:val="0"/>
              <w:contextualSpacing/>
              <w:jc w:val="center"/>
              <w:textAlignment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紫花苜蓿</w:t>
            </w:r>
          </w:p>
        </w:tc>
        <w:tc>
          <w:tcPr>
            <w:tcW w:w="2151" w:type="pct"/>
            <w:gridSpan w:val="2"/>
            <w:tcBorders>
              <w:top w:val="single" w:color="auto" w:sz="8" w:space="0"/>
              <w:bottom w:val="single" w:color="auto" w:sz="8" w:space="0"/>
            </w:tcBorders>
            <w:vAlign w:val="center"/>
          </w:tcPr>
          <w:p w14:paraId="62A0A12E">
            <w:pPr>
              <w:widowControl/>
              <w:wordWrap w:val="0"/>
              <w:contextualSpacing/>
              <w:jc w:val="center"/>
              <w:textAlignment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lang w:val="en-US" w:eastAsia="zh-CN"/>
              </w:rPr>
              <w:t>饲用大</w:t>
            </w:r>
            <w:r>
              <w:rPr>
                <w:rFonts w:hint="default" w:ascii="Times New Roman" w:hAnsi="Times New Roman" w:eastAsia="宋体" w:cs="Times New Roman"/>
                <w:sz w:val="15"/>
                <w:szCs w:val="15"/>
              </w:rPr>
              <w:t>麦</w:t>
            </w:r>
          </w:p>
        </w:tc>
      </w:tr>
      <w:tr w14:paraId="3917065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 w:hRule="atLeast"/>
        </w:trPr>
        <w:tc>
          <w:tcPr>
            <w:tcW w:w="510" w:type="pct"/>
            <w:vMerge w:val="continue"/>
            <w:tcBorders>
              <w:top w:val="single" w:color="auto" w:sz="8" w:space="0"/>
              <w:bottom w:val="single" w:color="auto" w:sz="8" w:space="0"/>
            </w:tcBorders>
            <w:vAlign w:val="center"/>
          </w:tcPr>
          <w:p w14:paraId="079F8954">
            <w:pPr>
              <w:contextualSpacing/>
              <w:jc w:val="center"/>
              <w:rPr>
                <w:rFonts w:hint="default" w:ascii="Times New Roman" w:hAnsi="Times New Roman" w:eastAsia="宋体" w:cs="Times New Roman"/>
                <w:iCs/>
                <w:sz w:val="15"/>
                <w:szCs w:val="15"/>
              </w:rPr>
            </w:pPr>
          </w:p>
        </w:tc>
        <w:tc>
          <w:tcPr>
            <w:tcW w:w="1036" w:type="pct"/>
            <w:tcBorders>
              <w:top w:val="single" w:color="auto" w:sz="8" w:space="0"/>
              <w:bottom w:val="single" w:color="auto" w:sz="8" w:space="0"/>
            </w:tcBorders>
            <w:vAlign w:val="center"/>
          </w:tcPr>
          <w:p w14:paraId="0E63FECF">
            <w:pPr>
              <w:widowControl/>
              <w:wordWrap w:val="0"/>
              <w:contextualSpacing/>
              <w:jc w:val="center"/>
              <w:textAlignment w:val="center"/>
              <w:rPr>
                <w:rFonts w:hint="default" w:ascii="Times New Roman" w:hAnsi="Times New Roman" w:eastAsia="宋体" w:cs="Times New Roman"/>
                <w:sz w:val="15"/>
                <w:szCs w:val="15"/>
              </w:rPr>
            </w:pPr>
            <w:r>
              <w:rPr>
                <w:rFonts w:hint="default" w:ascii="Times New Roman" w:hAnsi="Times New Roman" w:eastAsia="宋体" w:cs="Times New Roman"/>
                <w:iCs/>
                <w:sz w:val="15"/>
                <w:szCs w:val="15"/>
              </w:rPr>
              <w:t>P</w:t>
            </w:r>
            <w:r>
              <w:rPr>
                <w:rFonts w:hint="default" w:ascii="Times New Roman" w:hAnsi="Times New Roman" w:eastAsia="宋体" w:cs="Times New Roman"/>
                <w:iCs/>
                <w:sz w:val="15"/>
                <w:szCs w:val="15"/>
                <w:vertAlign w:val="subscript"/>
              </w:rPr>
              <w:t>0</w:t>
            </w:r>
          </w:p>
        </w:tc>
        <w:tc>
          <w:tcPr>
            <w:tcW w:w="1037" w:type="pct"/>
            <w:tcBorders>
              <w:top w:val="single" w:color="auto" w:sz="8" w:space="0"/>
              <w:bottom w:val="single" w:color="auto" w:sz="8" w:space="0"/>
            </w:tcBorders>
            <w:vAlign w:val="center"/>
          </w:tcPr>
          <w:p w14:paraId="2D3313E2">
            <w:pPr>
              <w:widowControl/>
              <w:wordWrap w:val="0"/>
              <w:contextualSpacing/>
              <w:jc w:val="center"/>
              <w:textAlignment w:val="center"/>
              <w:rPr>
                <w:rFonts w:hint="default" w:ascii="Times New Roman" w:hAnsi="Times New Roman" w:eastAsia="宋体" w:cs="Times New Roman"/>
                <w:sz w:val="15"/>
                <w:szCs w:val="15"/>
              </w:rPr>
            </w:pPr>
            <w:r>
              <w:rPr>
                <w:rFonts w:hint="default" w:ascii="Times New Roman" w:hAnsi="Times New Roman" w:eastAsia="宋体" w:cs="Times New Roman"/>
                <w:iCs/>
                <w:sz w:val="15"/>
                <w:szCs w:val="15"/>
              </w:rPr>
              <w:t>P</w:t>
            </w:r>
            <w:r>
              <w:rPr>
                <w:rFonts w:hint="default" w:ascii="Times New Roman" w:hAnsi="Times New Roman" w:eastAsia="宋体" w:cs="Times New Roman"/>
                <w:iCs/>
                <w:sz w:val="15"/>
                <w:szCs w:val="15"/>
                <w:vertAlign w:val="subscript"/>
              </w:rPr>
              <w:t>1</w:t>
            </w:r>
          </w:p>
        </w:tc>
        <w:tc>
          <w:tcPr>
            <w:tcW w:w="1114" w:type="pct"/>
            <w:tcBorders>
              <w:top w:val="single" w:color="auto" w:sz="8" w:space="0"/>
              <w:bottom w:val="single" w:color="auto" w:sz="8" w:space="0"/>
            </w:tcBorders>
            <w:vAlign w:val="center"/>
          </w:tcPr>
          <w:p w14:paraId="1B8E7FEC">
            <w:pPr>
              <w:widowControl/>
              <w:wordWrap w:val="0"/>
              <w:contextualSpacing/>
              <w:jc w:val="center"/>
              <w:textAlignment w:val="center"/>
              <w:rPr>
                <w:rFonts w:hint="default" w:ascii="Times New Roman" w:hAnsi="Times New Roman" w:eastAsia="宋体" w:cs="Times New Roman"/>
                <w:sz w:val="15"/>
                <w:szCs w:val="15"/>
              </w:rPr>
            </w:pPr>
            <w:r>
              <w:rPr>
                <w:rFonts w:hint="default" w:ascii="Times New Roman" w:hAnsi="Times New Roman" w:eastAsia="宋体" w:cs="Times New Roman"/>
                <w:iCs/>
                <w:sz w:val="15"/>
                <w:szCs w:val="15"/>
              </w:rPr>
              <w:t>P</w:t>
            </w:r>
            <w:r>
              <w:rPr>
                <w:rFonts w:hint="default" w:ascii="Times New Roman" w:hAnsi="Times New Roman" w:eastAsia="宋体" w:cs="Times New Roman"/>
                <w:iCs/>
                <w:sz w:val="15"/>
                <w:szCs w:val="15"/>
                <w:vertAlign w:val="subscript"/>
              </w:rPr>
              <w:t>0</w:t>
            </w:r>
          </w:p>
        </w:tc>
        <w:tc>
          <w:tcPr>
            <w:tcW w:w="1036" w:type="pct"/>
            <w:tcBorders>
              <w:top w:val="single" w:color="auto" w:sz="8" w:space="0"/>
              <w:bottom w:val="single" w:color="auto" w:sz="8" w:space="0"/>
            </w:tcBorders>
            <w:vAlign w:val="center"/>
          </w:tcPr>
          <w:p w14:paraId="44CE4AC3">
            <w:pPr>
              <w:widowControl/>
              <w:wordWrap w:val="0"/>
              <w:contextualSpacing/>
              <w:jc w:val="center"/>
              <w:textAlignment w:val="center"/>
              <w:rPr>
                <w:rFonts w:hint="default" w:ascii="Times New Roman" w:hAnsi="Times New Roman" w:eastAsia="宋体" w:cs="Times New Roman"/>
                <w:sz w:val="15"/>
                <w:szCs w:val="15"/>
              </w:rPr>
            </w:pPr>
            <w:r>
              <w:rPr>
                <w:rFonts w:hint="default" w:ascii="Times New Roman" w:hAnsi="Times New Roman" w:eastAsia="宋体" w:cs="Times New Roman"/>
                <w:iCs/>
                <w:sz w:val="15"/>
                <w:szCs w:val="15"/>
              </w:rPr>
              <w:t>P</w:t>
            </w:r>
            <w:r>
              <w:rPr>
                <w:rFonts w:hint="default" w:ascii="Times New Roman" w:hAnsi="Times New Roman" w:eastAsia="宋体" w:cs="Times New Roman"/>
                <w:iCs/>
                <w:sz w:val="15"/>
                <w:szCs w:val="15"/>
                <w:vertAlign w:val="subscript"/>
              </w:rPr>
              <w:t>1</w:t>
            </w:r>
          </w:p>
        </w:tc>
      </w:tr>
      <w:tr w14:paraId="236571B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 w:type="pct"/>
            <w:tcBorders>
              <w:top w:val="single" w:color="auto" w:sz="8" w:space="0"/>
            </w:tcBorders>
            <w:vAlign w:val="center"/>
          </w:tcPr>
          <w:p w14:paraId="435BEA5D">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A</w:t>
            </w:r>
            <w:r>
              <w:rPr>
                <w:rFonts w:hint="default" w:ascii="Times New Roman" w:hAnsi="Times New Roman" w:eastAsia="宋体" w:cs="Times New Roman"/>
                <w:sz w:val="15"/>
                <w:szCs w:val="15"/>
                <w:vertAlign w:val="subscript"/>
              </w:rPr>
              <w:t>16</w:t>
            </w:r>
            <w:r>
              <w:rPr>
                <w:rFonts w:hint="default" w:ascii="Times New Roman" w:hAnsi="Times New Roman" w:eastAsia="宋体" w:cs="Times New Roman"/>
                <w:sz w:val="15"/>
                <w:szCs w:val="15"/>
                <w:lang w:val="en-US" w:eastAsia="zh-CN"/>
              </w:rPr>
              <w:t>W</w:t>
            </w:r>
            <w:r>
              <w:rPr>
                <w:rFonts w:hint="default" w:ascii="Times New Roman" w:hAnsi="Times New Roman" w:eastAsia="宋体" w:cs="Times New Roman"/>
                <w:sz w:val="15"/>
                <w:szCs w:val="15"/>
                <w:vertAlign w:val="subscript"/>
              </w:rPr>
              <w:t>0</w:t>
            </w:r>
          </w:p>
        </w:tc>
        <w:tc>
          <w:tcPr>
            <w:tcW w:w="1036" w:type="pct"/>
            <w:tcBorders>
              <w:top w:val="single" w:color="auto" w:sz="8" w:space="0"/>
            </w:tcBorders>
            <w:vAlign w:val="center"/>
          </w:tcPr>
          <w:p w14:paraId="383ABDB0">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43.37±4.90Aab</w:t>
            </w:r>
          </w:p>
        </w:tc>
        <w:tc>
          <w:tcPr>
            <w:tcW w:w="1037" w:type="pct"/>
            <w:tcBorders>
              <w:top w:val="single" w:color="auto" w:sz="8" w:space="0"/>
            </w:tcBorders>
            <w:vAlign w:val="center"/>
          </w:tcPr>
          <w:p w14:paraId="408BE2DA">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44.90±5.45Aab</w:t>
            </w:r>
          </w:p>
        </w:tc>
        <w:tc>
          <w:tcPr>
            <w:tcW w:w="1114" w:type="pct"/>
            <w:tcBorders>
              <w:top w:val="single" w:color="auto" w:sz="8" w:space="0"/>
            </w:tcBorders>
            <w:vAlign w:val="center"/>
          </w:tcPr>
          <w:p w14:paraId="518A9DD6">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iCs/>
                <w:sz w:val="15"/>
                <w:szCs w:val="15"/>
              </w:rPr>
              <w:t>—</w:t>
            </w:r>
          </w:p>
        </w:tc>
        <w:tc>
          <w:tcPr>
            <w:tcW w:w="1036" w:type="pct"/>
            <w:tcBorders>
              <w:top w:val="single" w:color="auto" w:sz="8" w:space="0"/>
            </w:tcBorders>
            <w:vAlign w:val="center"/>
          </w:tcPr>
          <w:p w14:paraId="4DD5F003">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iCs/>
                <w:sz w:val="15"/>
                <w:szCs w:val="15"/>
              </w:rPr>
              <w:t>—</w:t>
            </w:r>
          </w:p>
        </w:tc>
      </w:tr>
      <w:tr w14:paraId="07BB1B5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 w:type="pct"/>
            <w:vAlign w:val="center"/>
          </w:tcPr>
          <w:p w14:paraId="05C75B89">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A</w:t>
            </w:r>
            <w:r>
              <w:rPr>
                <w:rFonts w:hint="default" w:ascii="Times New Roman" w:hAnsi="Times New Roman" w:eastAsia="宋体" w:cs="Times New Roman"/>
                <w:sz w:val="15"/>
                <w:szCs w:val="15"/>
                <w:vertAlign w:val="subscript"/>
              </w:rPr>
              <w:t>6</w:t>
            </w:r>
            <w:r>
              <w:rPr>
                <w:rFonts w:hint="default" w:ascii="Times New Roman" w:hAnsi="Times New Roman" w:eastAsia="宋体" w:cs="Times New Roman"/>
                <w:sz w:val="15"/>
                <w:szCs w:val="15"/>
                <w:lang w:val="en-US" w:eastAsia="zh-CN"/>
              </w:rPr>
              <w:t>W</w:t>
            </w:r>
            <w:r>
              <w:rPr>
                <w:rFonts w:hint="default" w:ascii="Times New Roman" w:hAnsi="Times New Roman" w:eastAsia="宋体" w:cs="Times New Roman"/>
                <w:sz w:val="15"/>
                <w:szCs w:val="15"/>
                <w:vertAlign w:val="subscript"/>
              </w:rPr>
              <w:t>2</w:t>
            </w:r>
          </w:p>
        </w:tc>
        <w:tc>
          <w:tcPr>
            <w:tcW w:w="1036" w:type="pct"/>
            <w:vAlign w:val="center"/>
          </w:tcPr>
          <w:p w14:paraId="4C0F4E24">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47.50±6.45Aa</w:t>
            </w:r>
          </w:p>
        </w:tc>
        <w:tc>
          <w:tcPr>
            <w:tcW w:w="1037" w:type="pct"/>
            <w:vAlign w:val="center"/>
          </w:tcPr>
          <w:p w14:paraId="02359DD6">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49.77±2.40Aa</w:t>
            </w:r>
          </w:p>
        </w:tc>
        <w:tc>
          <w:tcPr>
            <w:tcW w:w="1114" w:type="pct"/>
            <w:shd w:val="clear" w:color="auto" w:fill="auto"/>
            <w:vAlign w:val="center"/>
          </w:tcPr>
          <w:p w14:paraId="5DF4DDA7">
            <w:pPr>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92.60±6.14Ba</w:t>
            </w:r>
          </w:p>
        </w:tc>
        <w:tc>
          <w:tcPr>
            <w:tcW w:w="1036" w:type="pct"/>
            <w:vAlign w:val="center"/>
          </w:tcPr>
          <w:p w14:paraId="15E83161">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98.87±5.46Aa</w:t>
            </w:r>
          </w:p>
        </w:tc>
      </w:tr>
      <w:tr w14:paraId="411B0F6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 w:type="pct"/>
            <w:vAlign w:val="center"/>
          </w:tcPr>
          <w:p w14:paraId="301404C3">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A</w:t>
            </w:r>
            <w:r>
              <w:rPr>
                <w:rFonts w:hint="default" w:ascii="Times New Roman" w:hAnsi="Times New Roman" w:eastAsia="宋体" w:cs="Times New Roman"/>
                <w:sz w:val="15"/>
                <w:szCs w:val="15"/>
                <w:vertAlign w:val="subscript"/>
              </w:rPr>
              <w:t>4</w:t>
            </w:r>
            <w:r>
              <w:rPr>
                <w:rFonts w:hint="default" w:ascii="Times New Roman" w:hAnsi="Times New Roman" w:eastAsia="宋体" w:cs="Times New Roman"/>
                <w:sz w:val="15"/>
                <w:szCs w:val="15"/>
                <w:lang w:val="en-US" w:eastAsia="zh-CN"/>
              </w:rPr>
              <w:t>W</w:t>
            </w:r>
            <w:r>
              <w:rPr>
                <w:rFonts w:hint="default" w:ascii="Times New Roman" w:hAnsi="Times New Roman" w:eastAsia="宋体" w:cs="Times New Roman"/>
                <w:sz w:val="15"/>
                <w:szCs w:val="15"/>
                <w:vertAlign w:val="subscript"/>
              </w:rPr>
              <w:t>4</w:t>
            </w:r>
          </w:p>
        </w:tc>
        <w:tc>
          <w:tcPr>
            <w:tcW w:w="1036" w:type="pct"/>
            <w:vAlign w:val="center"/>
          </w:tcPr>
          <w:p w14:paraId="0B077CDE">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40.57±2.42Bab</w:t>
            </w:r>
          </w:p>
        </w:tc>
        <w:tc>
          <w:tcPr>
            <w:tcW w:w="1037" w:type="pct"/>
            <w:vAlign w:val="center"/>
          </w:tcPr>
          <w:p w14:paraId="394E03D3">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49.33±2.91Aa</w:t>
            </w:r>
          </w:p>
        </w:tc>
        <w:tc>
          <w:tcPr>
            <w:tcW w:w="1114" w:type="pct"/>
            <w:vAlign w:val="center"/>
          </w:tcPr>
          <w:p w14:paraId="00F591D1">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91.87±0.60Ba</w:t>
            </w:r>
          </w:p>
        </w:tc>
        <w:tc>
          <w:tcPr>
            <w:tcW w:w="1036" w:type="pct"/>
            <w:vAlign w:val="center"/>
          </w:tcPr>
          <w:p w14:paraId="67E7C26F">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97.47±0.23Aa</w:t>
            </w:r>
          </w:p>
        </w:tc>
      </w:tr>
      <w:tr w14:paraId="16B8231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 w:type="pct"/>
            <w:vAlign w:val="center"/>
          </w:tcPr>
          <w:p w14:paraId="462B3AD0">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A</w:t>
            </w:r>
            <w:r>
              <w:rPr>
                <w:rFonts w:hint="default" w:ascii="Times New Roman" w:hAnsi="Times New Roman" w:eastAsia="宋体" w:cs="Times New Roman"/>
                <w:sz w:val="15"/>
                <w:szCs w:val="15"/>
                <w:vertAlign w:val="subscript"/>
              </w:rPr>
              <w:t>2</w:t>
            </w:r>
            <w:r>
              <w:rPr>
                <w:rFonts w:hint="default" w:ascii="Times New Roman" w:hAnsi="Times New Roman" w:eastAsia="宋体" w:cs="Times New Roman"/>
                <w:sz w:val="15"/>
                <w:szCs w:val="15"/>
                <w:lang w:val="en-US" w:eastAsia="zh-CN"/>
              </w:rPr>
              <w:t>W</w:t>
            </w:r>
            <w:r>
              <w:rPr>
                <w:rFonts w:hint="default" w:ascii="Times New Roman" w:hAnsi="Times New Roman" w:eastAsia="宋体" w:cs="Times New Roman"/>
                <w:sz w:val="15"/>
                <w:szCs w:val="15"/>
                <w:vertAlign w:val="subscript"/>
              </w:rPr>
              <w:t>6</w:t>
            </w:r>
          </w:p>
        </w:tc>
        <w:tc>
          <w:tcPr>
            <w:tcW w:w="1036" w:type="pct"/>
            <w:shd w:val="clear" w:color="auto" w:fill="auto"/>
            <w:vAlign w:val="center"/>
          </w:tcPr>
          <w:p w14:paraId="037C0739">
            <w:pPr>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33.43±5.36Bb</w:t>
            </w:r>
          </w:p>
        </w:tc>
        <w:tc>
          <w:tcPr>
            <w:tcW w:w="1037" w:type="pct"/>
            <w:vAlign w:val="center"/>
          </w:tcPr>
          <w:p w14:paraId="482DB806">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40.10±5.83Ab</w:t>
            </w:r>
          </w:p>
        </w:tc>
        <w:tc>
          <w:tcPr>
            <w:tcW w:w="1114" w:type="pct"/>
            <w:vAlign w:val="center"/>
          </w:tcPr>
          <w:p w14:paraId="1CF99F5D">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91.50±3.81Ba</w:t>
            </w:r>
          </w:p>
        </w:tc>
        <w:tc>
          <w:tcPr>
            <w:tcW w:w="1036" w:type="pct"/>
            <w:vAlign w:val="center"/>
          </w:tcPr>
          <w:p w14:paraId="2F637CD1">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97.80±7.96Aa</w:t>
            </w:r>
          </w:p>
        </w:tc>
      </w:tr>
      <w:tr w14:paraId="07948FC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10" w:type="pct"/>
            <w:vAlign w:val="center"/>
          </w:tcPr>
          <w:p w14:paraId="3126CF92">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A</w:t>
            </w:r>
            <w:r>
              <w:rPr>
                <w:rFonts w:hint="default" w:ascii="Times New Roman" w:hAnsi="Times New Roman" w:eastAsia="宋体" w:cs="Times New Roman"/>
                <w:sz w:val="15"/>
                <w:szCs w:val="15"/>
                <w:vertAlign w:val="subscript"/>
              </w:rPr>
              <w:t>0</w:t>
            </w:r>
            <w:r>
              <w:rPr>
                <w:rFonts w:hint="default" w:ascii="Times New Roman" w:hAnsi="Times New Roman" w:eastAsia="宋体" w:cs="Times New Roman"/>
                <w:sz w:val="15"/>
                <w:szCs w:val="15"/>
                <w:lang w:val="en-US" w:eastAsia="zh-CN"/>
              </w:rPr>
              <w:t>W</w:t>
            </w:r>
            <w:r>
              <w:rPr>
                <w:rFonts w:hint="default" w:ascii="Times New Roman" w:hAnsi="Times New Roman" w:eastAsia="宋体" w:cs="Times New Roman"/>
                <w:sz w:val="15"/>
                <w:szCs w:val="15"/>
                <w:vertAlign w:val="subscript"/>
              </w:rPr>
              <w:t>16</w:t>
            </w:r>
          </w:p>
        </w:tc>
        <w:tc>
          <w:tcPr>
            <w:tcW w:w="1036" w:type="pct"/>
            <w:vAlign w:val="center"/>
          </w:tcPr>
          <w:p w14:paraId="38F5DFF1">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iCs/>
                <w:sz w:val="15"/>
                <w:szCs w:val="15"/>
              </w:rPr>
              <w:t>—</w:t>
            </w:r>
          </w:p>
        </w:tc>
        <w:tc>
          <w:tcPr>
            <w:tcW w:w="1037" w:type="pct"/>
            <w:vAlign w:val="center"/>
          </w:tcPr>
          <w:p w14:paraId="4B9CFA77">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iCs/>
                <w:sz w:val="15"/>
                <w:szCs w:val="15"/>
              </w:rPr>
              <w:t>—</w:t>
            </w:r>
          </w:p>
        </w:tc>
        <w:tc>
          <w:tcPr>
            <w:tcW w:w="1114" w:type="pct"/>
            <w:vAlign w:val="center"/>
          </w:tcPr>
          <w:p w14:paraId="60417FDE">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91.47±5.75Aa</w:t>
            </w:r>
          </w:p>
        </w:tc>
        <w:tc>
          <w:tcPr>
            <w:tcW w:w="1036" w:type="pct"/>
            <w:vAlign w:val="center"/>
          </w:tcPr>
          <w:p w14:paraId="4BD36348">
            <w:pPr>
              <w:widowControl/>
              <w:wordWrap w:val="0"/>
              <w:contextualSpacing/>
              <w:jc w:val="center"/>
              <w:textAlignment w:val="center"/>
              <w:rPr>
                <w:rFonts w:hint="default" w:ascii="Times New Roman" w:hAnsi="Times New Roman" w:eastAsia="宋体" w:cs="Times New Roman"/>
                <w:iCs/>
                <w:sz w:val="15"/>
                <w:szCs w:val="15"/>
              </w:rPr>
            </w:pPr>
            <w:r>
              <w:rPr>
                <w:rFonts w:hint="default" w:ascii="Times New Roman" w:hAnsi="Times New Roman" w:eastAsia="宋体" w:cs="Times New Roman"/>
                <w:sz w:val="15"/>
                <w:szCs w:val="15"/>
              </w:rPr>
              <w:t>92.00±5.57Ab</w:t>
            </w:r>
          </w:p>
        </w:tc>
      </w:tr>
    </w:tbl>
    <w:p w14:paraId="34DA1134">
      <w:pPr>
        <w:widowControl w:val="0"/>
        <w:numPr>
          <w:ilvl w:val="0"/>
          <w:numId w:val="0"/>
        </w:numPr>
        <w:spacing w:after="160" w:line="278" w:lineRule="auto"/>
        <w:ind w:firstLine="360" w:firstLineChars="200"/>
        <w:jc w:val="center"/>
        <w:rPr>
          <w:iCs/>
          <w:sz w:val="18"/>
        </w:rPr>
      </w:pPr>
    </w:p>
    <w:p w14:paraId="58BB1A78">
      <w:pPr>
        <w:keepNext w:val="0"/>
        <w:keepLines w:val="0"/>
        <w:pageBreakBefore w:val="0"/>
        <w:widowControl w:val="0"/>
        <w:numPr>
          <w:ilvl w:val="0"/>
          <w:numId w:val="2"/>
        </w:numPr>
        <w:kinsoku/>
        <w:wordWrap/>
        <w:overflowPunct/>
        <w:topLinePunct w:val="0"/>
        <w:autoSpaceDE/>
        <w:autoSpaceDN/>
        <w:bidi w:val="0"/>
        <w:adjustRightInd/>
        <w:snapToGrid/>
        <w:spacing w:after="160" w:line="360" w:lineRule="auto"/>
        <w:ind w:left="0" w:leftChars="0" w:firstLine="0" w:firstLineChars="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紫花苜蓿与饲用大麦间作系统的饲草产量</w:t>
      </w:r>
    </w:p>
    <w:p w14:paraId="05628067">
      <w:pPr>
        <w:keepNext w:val="0"/>
        <w:keepLines w:val="0"/>
        <w:pageBreakBefore w:val="0"/>
        <w:widowControl w:val="0"/>
        <w:numPr>
          <w:ilvl w:val="0"/>
          <w:numId w:val="0"/>
        </w:numPr>
        <w:kinsoku/>
        <w:wordWrap/>
        <w:overflowPunct/>
        <w:topLinePunct w:val="0"/>
        <w:autoSpaceDE/>
        <w:autoSpaceDN/>
        <w:bidi w:val="0"/>
        <w:adjustRightInd/>
        <w:snapToGrid/>
        <w:spacing w:after="160" w:line="360" w:lineRule="auto"/>
        <w:ind w:firstLine="480" w:firstLineChars="200"/>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在两种施磷水平下（P0和P1），不同间作模式对紫花苜蓿和饲用大麦的</w:t>
      </w:r>
      <w:r>
        <w:rPr>
          <w:rFonts w:hint="eastAsia" w:ascii="Times New Roman" w:hAnsi="Times New Roman" w:eastAsia="宋体" w:cs="Times New Roman"/>
          <w:sz w:val="24"/>
          <w:lang w:val="en-US" w:eastAsia="zh-CN"/>
        </w:rPr>
        <w:t>产量均</w:t>
      </w:r>
      <w:r>
        <w:rPr>
          <w:rFonts w:hint="default" w:ascii="Times New Roman" w:hAnsi="Times New Roman" w:eastAsia="宋体" w:cs="Times New Roman"/>
          <w:sz w:val="24"/>
          <w:lang w:val="en-US" w:eastAsia="zh-CN"/>
        </w:rPr>
        <w:t>有明显影响（表</w:t>
      </w:r>
      <w:r>
        <w:rPr>
          <w:rFonts w:hint="eastAsia" w:ascii="Times New Roman" w:hAnsi="Times New Roman" w:eastAsia="宋体" w:cs="Times New Roman"/>
          <w:sz w:val="24"/>
          <w:lang w:val="en-US" w:eastAsia="zh-CN"/>
        </w:rPr>
        <w:t>2</w:t>
      </w:r>
      <w:r>
        <w:rPr>
          <w:rFonts w:hint="default" w:ascii="Times New Roman" w:hAnsi="Times New Roman" w:eastAsia="宋体" w:cs="Times New Roman"/>
          <w:sz w:val="24"/>
          <w:lang w:val="en-US" w:eastAsia="zh-CN"/>
        </w:rPr>
        <w:t>所示）</w:t>
      </w:r>
      <w:r>
        <w:rPr>
          <w:rFonts w:hint="eastAsia" w:ascii="Times New Roman" w:hAnsi="Times New Roman" w:eastAsia="宋体" w:cs="Times New Roman"/>
          <w:sz w:val="24"/>
          <w:lang w:val="en-US" w:eastAsia="zh-CN"/>
        </w:rPr>
        <w:t>。无论施磷与否</w:t>
      </w:r>
      <w:r>
        <w:rPr>
          <w:rFonts w:hint="default" w:ascii="Times New Roman" w:hAnsi="Times New Roman" w:eastAsia="宋体" w:cs="Times New Roman"/>
          <w:sz w:val="24"/>
          <w:lang w:val="en-US" w:eastAsia="zh-CN"/>
        </w:rPr>
        <w:t>，</w:t>
      </w:r>
      <w:r>
        <w:rPr>
          <w:rFonts w:hint="eastAsia" w:ascii="Times New Roman" w:hAnsi="Times New Roman" w:eastAsia="宋体" w:cs="Times New Roman"/>
          <w:sz w:val="24"/>
          <w:lang w:val="en-US" w:eastAsia="zh-CN"/>
        </w:rPr>
        <w:t>紫花苜蓿在单作时的</w:t>
      </w:r>
      <w:r>
        <w:rPr>
          <w:rFonts w:hint="default" w:ascii="Times New Roman" w:hAnsi="Times New Roman" w:eastAsia="宋体" w:cs="Times New Roman"/>
          <w:sz w:val="24"/>
          <w:lang w:val="en-US" w:eastAsia="zh-CN"/>
        </w:rPr>
        <w:t>产量最高，</w:t>
      </w:r>
      <w:r>
        <w:rPr>
          <w:rFonts w:hint="eastAsia" w:ascii="Times New Roman" w:hAnsi="Times New Roman" w:eastAsia="宋体" w:cs="Times New Roman"/>
          <w:sz w:val="24"/>
          <w:lang w:val="en-US" w:eastAsia="zh-CN"/>
        </w:rPr>
        <w:t>分别为5434.43</w:t>
      </w:r>
      <w:r>
        <w:rPr>
          <w:rFonts w:hint="default" w:ascii="Times New Roman" w:hAnsi="Times New Roman" w:eastAsia="宋体" w:cs="Times New Roman"/>
          <w:sz w:val="24"/>
          <w:lang w:val="en-US" w:eastAsia="zh-CN"/>
        </w:rPr>
        <w:t>kg/hm</w:t>
      </w:r>
      <w:r>
        <w:rPr>
          <w:rFonts w:hint="default" w:ascii="Times New Roman" w:hAnsi="Times New Roman" w:eastAsia="宋体" w:cs="Times New Roman"/>
          <w:sz w:val="24"/>
          <w:vertAlign w:val="superscript"/>
          <w:lang w:val="en-US" w:eastAsia="zh-CN"/>
        </w:rPr>
        <w:t>2</w:t>
      </w:r>
      <w:r>
        <w:rPr>
          <w:rFonts w:hint="eastAsia" w:ascii="Times New Roman" w:hAnsi="Times New Roman" w:eastAsia="宋体" w:cs="Times New Roman"/>
          <w:sz w:val="24"/>
          <w:lang w:val="en-US" w:eastAsia="zh-CN"/>
        </w:rPr>
        <w:t>和6200.07</w:t>
      </w:r>
      <w:r>
        <w:rPr>
          <w:rFonts w:hint="default" w:ascii="Times New Roman" w:hAnsi="Times New Roman" w:eastAsia="宋体" w:cs="Times New Roman"/>
          <w:sz w:val="24"/>
          <w:lang w:val="en-US" w:eastAsia="zh-CN"/>
        </w:rPr>
        <w:t>kg/hm</w:t>
      </w:r>
      <w:r>
        <w:rPr>
          <w:rFonts w:hint="default" w:ascii="Times New Roman" w:hAnsi="Times New Roman" w:eastAsia="宋体" w:cs="Times New Roman"/>
          <w:sz w:val="24"/>
          <w:vertAlign w:val="superscript"/>
          <w:lang w:val="en-US" w:eastAsia="zh-CN"/>
        </w:rPr>
        <w:t>2</w:t>
      </w:r>
      <w:r>
        <w:rPr>
          <w:rFonts w:hint="default" w:ascii="Times New Roman" w:hAnsi="Times New Roman" w:eastAsia="宋体" w:cs="Times New Roman"/>
          <w:sz w:val="24"/>
          <w:lang w:val="en-US" w:eastAsia="zh-CN"/>
        </w:rPr>
        <w:t>，而</w:t>
      </w:r>
      <w:r>
        <w:rPr>
          <w:rFonts w:hint="eastAsia" w:ascii="Times New Roman" w:hAnsi="Times New Roman" w:eastAsia="宋体" w:cs="Times New Roman"/>
          <w:sz w:val="24"/>
          <w:lang w:val="en-US" w:eastAsia="zh-CN"/>
        </w:rPr>
        <w:t>在</w:t>
      </w:r>
      <w:r>
        <w:rPr>
          <w:rFonts w:hint="default" w:ascii="Times New Roman" w:hAnsi="Times New Roman" w:eastAsia="宋体" w:cs="Times New Roman"/>
          <w:sz w:val="24"/>
          <w:lang w:val="en-US" w:eastAsia="zh-CN"/>
        </w:rPr>
        <w:t>A2</w:t>
      </w:r>
      <w:r>
        <w:rPr>
          <w:rFonts w:hint="eastAsia" w:ascii="Times New Roman" w:hAnsi="Times New Roman" w:eastAsia="宋体" w:cs="Times New Roman"/>
          <w:sz w:val="24"/>
          <w:lang w:val="en-US" w:eastAsia="zh-CN"/>
        </w:rPr>
        <w:t>W</w:t>
      </w:r>
      <w:r>
        <w:rPr>
          <w:rFonts w:hint="default" w:ascii="Times New Roman" w:hAnsi="Times New Roman" w:eastAsia="宋体" w:cs="Times New Roman"/>
          <w:sz w:val="24"/>
          <w:lang w:val="en-US" w:eastAsia="zh-CN"/>
        </w:rPr>
        <w:t>6模式下的产量较低，分别为</w:t>
      </w:r>
      <w:r>
        <w:rPr>
          <w:rFonts w:hint="eastAsia" w:ascii="Times New Roman" w:hAnsi="Times New Roman" w:eastAsia="宋体" w:cs="Times New Roman"/>
          <w:sz w:val="24"/>
          <w:lang w:val="en-US" w:eastAsia="zh-CN"/>
        </w:rPr>
        <w:t>1358.61</w:t>
      </w:r>
      <w:r>
        <w:rPr>
          <w:rFonts w:hint="default" w:ascii="Times New Roman" w:hAnsi="Times New Roman" w:eastAsia="宋体" w:cs="Times New Roman"/>
          <w:sz w:val="24"/>
          <w:lang w:val="en-US" w:eastAsia="zh-CN"/>
        </w:rPr>
        <w:t>kg/hm</w:t>
      </w:r>
      <w:r>
        <w:rPr>
          <w:rFonts w:hint="default" w:ascii="Times New Roman" w:hAnsi="Times New Roman" w:eastAsia="宋体" w:cs="Times New Roman"/>
          <w:sz w:val="24"/>
          <w:vertAlign w:val="superscript"/>
          <w:lang w:val="en-US" w:eastAsia="zh-CN"/>
        </w:rPr>
        <w:t>2</w:t>
      </w:r>
      <w:r>
        <w:rPr>
          <w:rFonts w:hint="default" w:ascii="Times New Roman" w:hAnsi="Times New Roman" w:eastAsia="宋体" w:cs="Times New Roman"/>
          <w:sz w:val="24"/>
          <w:lang w:val="en-US" w:eastAsia="zh-CN"/>
        </w:rPr>
        <w:t>和</w:t>
      </w:r>
      <w:r>
        <w:rPr>
          <w:rFonts w:hint="eastAsia" w:ascii="Times New Roman" w:hAnsi="Times New Roman" w:eastAsia="宋体" w:cs="Times New Roman"/>
          <w:sz w:val="24"/>
          <w:lang w:val="en-US" w:eastAsia="zh-CN"/>
        </w:rPr>
        <w:t>1550.</w:t>
      </w:r>
      <w:r>
        <w:rPr>
          <w:rFonts w:hint="default" w:ascii="Times New Roman" w:hAnsi="Times New Roman" w:eastAsia="宋体" w:cs="Times New Roman"/>
          <w:sz w:val="24"/>
          <w:lang w:val="en-US" w:eastAsia="zh-CN"/>
        </w:rPr>
        <w:t>0</w:t>
      </w:r>
      <w:r>
        <w:rPr>
          <w:rFonts w:hint="eastAsia" w:ascii="Times New Roman" w:hAnsi="Times New Roman" w:eastAsia="宋体" w:cs="Times New Roman"/>
          <w:sz w:val="24"/>
          <w:lang w:val="en-US" w:eastAsia="zh-CN"/>
        </w:rPr>
        <w:t>2</w:t>
      </w:r>
      <w:r>
        <w:rPr>
          <w:rFonts w:hint="default" w:ascii="Times New Roman" w:hAnsi="Times New Roman" w:eastAsia="宋体" w:cs="Times New Roman"/>
          <w:sz w:val="24"/>
          <w:lang w:val="en-US" w:eastAsia="zh-CN"/>
        </w:rPr>
        <w:t>kg/hm</w:t>
      </w:r>
      <w:r>
        <w:rPr>
          <w:rFonts w:hint="default" w:ascii="Times New Roman" w:hAnsi="Times New Roman" w:eastAsia="宋体" w:cs="Times New Roman"/>
          <w:sz w:val="24"/>
          <w:vertAlign w:val="superscript"/>
          <w:lang w:val="en-US" w:eastAsia="zh-CN"/>
        </w:rPr>
        <w:t>2</w:t>
      </w:r>
      <w:r>
        <w:rPr>
          <w:rFonts w:hint="eastAsia" w:ascii="Times New Roman" w:hAnsi="Times New Roman" w:eastAsia="宋体" w:cs="Times New Roman"/>
          <w:sz w:val="24"/>
          <w:vertAlign w:val="baseline"/>
          <w:lang w:val="en-US" w:eastAsia="zh-CN"/>
        </w:rPr>
        <w:t>。</w:t>
      </w:r>
      <w:r>
        <w:rPr>
          <w:rFonts w:hint="eastAsia" w:ascii="Times New Roman" w:hAnsi="Times New Roman" w:eastAsia="宋体" w:cs="Times New Roman"/>
          <w:sz w:val="24"/>
          <w:lang w:val="en-US" w:eastAsia="zh-CN"/>
        </w:rPr>
        <w:t>无论施磷与否</w:t>
      </w:r>
      <w:r>
        <w:rPr>
          <w:rFonts w:hint="default" w:ascii="Times New Roman" w:hAnsi="Times New Roman" w:eastAsia="宋体" w:cs="Times New Roman"/>
          <w:sz w:val="24"/>
          <w:lang w:val="en-US" w:eastAsia="zh-CN"/>
        </w:rPr>
        <w:t>，</w:t>
      </w:r>
      <w:r>
        <w:rPr>
          <w:rFonts w:hint="eastAsia" w:ascii="Times New Roman" w:hAnsi="Times New Roman" w:eastAsia="宋体" w:cs="Times New Roman"/>
          <w:sz w:val="24"/>
          <w:vertAlign w:val="baseline"/>
          <w:lang w:val="en-US" w:eastAsia="zh-CN"/>
        </w:rPr>
        <w:t>饲用大麦同样在单作时的产量最高，分别为</w:t>
      </w:r>
      <w:r>
        <w:rPr>
          <w:rFonts w:hint="eastAsia" w:ascii="Times New Roman" w:hAnsi="Times New Roman" w:eastAsia="宋体" w:cs="Times New Roman"/>
          <w:sz w:val="24"/>
          <w:lang w:val="en-US" w:eastAsia="zh-CN"/>
        </w:rPr>
        <w:t>7015.40</w:t>
      </w:r>
      <w:r>
        <w:rPr>
          <w:rFonts w:hint="default" w:ascii="Times New Roman" w:hAnsi="Times New Roman" w:eastAsia="宋体" w:cs="Times New Roman"/>
          <w:sz w:val="24"/>
          <w:lang w:val="en-US" w:eastAsia="zh-CN"/>
        </w:rPr>
        <w:t>kg/hm</w:t>
      </w:r>
      <w:r>
        <w:rPr>
          <w:rFonts w:hint="default" w:ascii="Times New Roman" w:hAnsi="Times New Roman" w:eastAsia="宋体" w:cs="Times New Roman"/>
          <w:sz w:val="24"/>
          <w:vertAlign w:val="superscript"/>
          <w:lang w:val="en-US" w:eastAsia="zh-CN"/>
        </w:rPr>
        <w:t>2</w:t>
      </w:r>
      <w:r>
        <w:rPr>
          <w:rFonts w:hint="eastAsia" w:ascii="Times New Roman" w:hAnsi="Times New Roman" w:eastAsia="宋体" w:cs="Times New Roman"/>
          <w:sz w:val="24"/>
          <w:vertAlign w:val="baseline"/>
          <w:lang w:val="en-US" w:eastAsia="zh-CN"/>
        </w:rPr>
        <w:t>和7563.00</w:t>
      </w:r>
      <w:r>
        <w:rPr>
          <w:rFonts w:hint="default" w:ascii="Times New Roman" w:hAnsi="Times New Roman" w:eastAsia="宋体" w:cs="Times New Roman"/>
          <w:sz w:val="24"/>
          <w:lang w:val="en-US" w:eastAsia="zh-CN"/>
        </w:rPr>
        <w:t>kg/hm</w:t>
      </w:r>
      <w:r>
        <w:rPr>
          <w:rFonts w:hint="default" w:ascii="Times New Roman" w:hAnsi="Times New Roman" w:eastAsia="宋体" w:cs="Times New Roman"/>
          <w:sz w:val="24"/>
          <w:vertAlign w:val="superscript"/>
          <w:lang w:val="en-US" w:eastAsia="zh-CN"/>
        </w:rPr>
        <w:t>2</w:t>
      </w:r>
      <w:r>
        <w:rPr>
          <w:rFonts w:hint="default" w:ascii="Times New Roman" w:hAnsi="Times New Roman" w:eastAsia="宋体" w:cs="Times New Roman"/>
          <w:sz w:val="24"/>
          <w:lang w:val="en-US" w:eastAsia="zh-CN"/>
        </w:rPr>
        <w:t>，A</w:t>
      </w:r>
      <w:r>
        <w:rPr>
          <w:rFonts w:hint="eastAsia" w:ascii="Times New Roman" w:hAnsi="Times New Roman" w:eastAsia="宋体" w:cs="Times New Roman"/>
          <w:sz w:val="24"/>
          <w:lang w:val="en-US" w:eastAsia="zh-CN"/>
        </w:rPr>
        <w:t>6W2</w:t>
      </w:r>
      <w:r>
        <w:rPr>
          <w:rFonts w:hint="default" w:ascii="Times New Roman" w:hAnsi="Times New Roman" w:eastAsia="宋体" w:cs="Times New Roman"/>
          <w:sz w:val="24"/>
          <w:lang w:val="en-US" w:eastAsia="zh-CN"/>
        </w:rPr>
        <w:t>模式下的产量最低，分别为1</w:t>
      </w:r>
      <w:r>
        <w:rPr>
          <w:rFonts w:hint="eastAsia" w:ascii="Times New Roman" w:hAnsi="Times New Roman" w:eastAsia="宋体" w:cs="Times New Roman"/>
          <w:sz w:val="24"/>
          <w:lang w:val="en-US" w:eastAsia="zh-CN"/>
        </w:rPr>
        <w:t>753.85</w:t>
      </w:r>
      <w:r>
        <w:rPr>
          <w:rFonts w:hint="default" w:ascii="Times New Roman" w:hAnsi="Times New Roman" w:eastAsia="宋体" w:cs="Times New Roman"/>
          <w:sz w:val="24"/>
          <w:lang w:val="en-US" w:eastAsia="zh-CN"/>
        </w:rPr>
        <w:t>kg/hm</w:t>
      </w:r>
      <w:r>
        <w:rPr>
          <w:rFonts w:hint="default" w:ascii="Times New Roman" w:hAnsi="Times New Roman" w:eastAsia="宋体" w:cs="Times New Roman"/>
          <w:sz w:val="24"/>
          <w:vertAlign w:val="superscript"/>
          <w:lang w:val="en-US" w:eastAsia="zh-CN"/>
        </w:rPr>
        <w:t>2</w:t>
      </w:r>
      <w:r>
        <w:rPr>
          <w:rFonts w:hint="default" w:ascii="Times New Roman" w:hAnsi="Times New Roman" w:eastAsia="宋体" w:cs="Times New Roman"/>
          <w:sz w:val="24"/>
          <w:lang w:val="en-US" w:eastAsia="zh-CN"/>
        </w:rPr>
        <w:t>和1</w:t>
      </w:r>
      <w:r>
        <w:rPr>
          <w:rFonts w:hint="eastAsia" w:ascii="Times New Roman" w:hAnsi="Times New Roman" w:eastAsia="宋体" w:cs="Times New Roman"/>
          <w:sz w:val="24"/>
          <w:lang w:val="en-US" w:eastAsia="zh-CN"/>
        </w:rPr>
        <w:t>974.08</w:t>
      </w:r>
      <w:r>
        <w:rPr>
          <w:rFonts w:hint="default" w:ascii="Times New Roman" w:hAnsi="Times New Roman" w:eastAsia="宋体" w:cs="Times New Roman"/>
          <w:sz w:val="24"/>
          <w:lang w:val="en-US" w:eastAsia="zh-CN"/>
        </w:rPr>
        <w:t>kg/hm</w:t>
      </w:r>
      <w:r>
        <w:rPr>
          <w:rFonts w:hint="default" w:ascii="Times New Roman" w:hAnsi="Times New Roman" w:eastAsia="宋体" w:cs="Times New Roman"/>
          <w:sz w:val="24"/>
          <w:vertAlign w:val="superscript"/>
          <w:lang w:val="en-US" w:eastAsia="zh-CN"/>
        </w:rPr>
        <w:t>2</w:t>
      </w:r>
      <w:r>
        <w:rPr>
          <w:rFonts w:hint="eastAsia" w:ascii="Times New Roman" w:hAnsi="Times New Roman" w:eastAsia="宋体" w:cs="Times New Roman"/>
          <w:sz w:val="24"/>
          <w:vertAlign w:val="baseline"/>
          <w:lang w:val="en-US" w:eastAsia="zh-CN"/>
        </w:rPr>
        <w:t>。对总产量而言，饲用大麦单作时最高，</w:t>
      </w:r>
      <w:r>
        <w:rPr>
          <w:rFonts w:hint="default" w:ascii="Times New Roman" w:hAnsi="Times New Roman" w:eastAsia="宋体" w:cs="Times New Roman"/>
          <w:sz w:val="24"/>
          <w:lang w:val="en-US" w:eastAsia="zh-CN"/>
        </w:rPr>
        <w:t>在A</w:t>
      </w:r>
      <w:r>
        <w:rPr>
          <w:rFonts w:hint="eastAsia" w:ascii="Times New Roman" w:hAnsi="Times New Roman" w:eastAsia="宋体" w:cs="Times New Roman"/>
          <w:sz w:val="24"/>
          <w:lang w:val="en-US" w:eastAsia="zh-CN"/>
        </w:rPr>
        <w:t>6W2</w:t>
      </w:r>
      <w:r>
        <w:rPr>
          <w:rFonts w:hint="default" w:ascii="Times New Roman" w:hAnsi="Times New Roman" w:eastAsia="宋体" w:cs="Times New Roman"/>
          <w:sz w:val="24"/>
          <w:lang w:val="en-US" w:eastAsia="zh-CN"/>
        </w:rPr>
        <w:t>模式时次之，分别为</w:t>
      </w:r>
      <w:r>
        <w:rPr>
          <w:rFonts w:hint="eastAsia" w:ascii="Times New Roman" w:hAnsi="Times New Roman" w:eastAsia="宋体" w:cs="Times New Roman"/>
          <w:sz w:val="24"/>
          <w:lang w:val="en-US" w:eastAsia="zh-CN"/>
        </w:rPr>
        <w:t>6219</w:t>
      </w:r>
      <w:r>
        <w:rPr>
          <w:rFonts w:hint="default" w:ascii="Times New Roman" w:hAnsi="Times New Roman" w:eastAsia="宋体" w:cs="Times New Roman"/>
          <w:sz w:val="24"/>
          <w:lang w:val="en-US" w:eastAsia="zh-CN"/>
        </w:rPr>
        <w:t>.6</w:t>
      </w:r>
      <w:r>
        <w:rPr>
          <w:rFonts w:hint="eastAsia" w:ascii="Times New Roman" w:hAnsi="Times New Roman" w:eastAsia="宋体" w:cs="Times New Roman"/>
          <w:sz w:val="24"/>
          <w:lang w:val="en-US" w:eastAsia="zh-CN"/>
        </w:rPr>
        <w:t>8</w:t>
      </w:r>
      <w:r>
        <w:rPr>
          <w:rFonts w:hint="default" w:ascii="Times New Roman" w:hAnsi="Times New Roman" w:eastAsia="宋体" w:cs="Times New Roman"/>
          <w:sz w:val="24"/>
          <w:lang w:val="en-US" w:eastAsia="zh-CN"/>
        </w:rPr>
        <w:t>kg/hm</w:t>
      </w:r>
      <w:r>
        <w:rPr>
          <w:rFonts w:hint="default" w:ascii="Times New Roman" w:hAnsi="Times New Roman" w:eastAsia="宋体" w:cs="Times New Roman"/>
          <w:sz w:val="24"/>
          <w:vertAlign w:val="superscript"/>
          <w:lang w:val="en-US" w:eastAsia="zh-CN"/>
        </w:rPr>
        <w:t>2</w:t>
      </w:r>
      <w:r>
        <w:rPr>
          <w:rFonts w:hint="default" w:ascii="Times New Roman" w:hAnsi="Times New Roman" w:eastAsia="宋体" w:cs="Times New Roman"/>
          <w:sz w:val="24"/>
          <w:lang w:val="en-US" w:eastAsia="zh-CN"/>
        </w:rPr>
        <w:t>和</w:t>
      </w:r>
      <w:r>
        <w:rPr>
          <w:rFonts w:hint="eastAsia" w:ascii="Times New Roman" w:hAnsi="Times New Roman" w:eastAsia="宋体" w:cs="Times New Roman"/>
          <w:sz w:val="24"/>
          <w:lang w:val="en-US" w:eastAsia="zh-CN"/>
        </w:rPr>
        <w:t>6824.14</w:t>
      </w:r>
      <w:r>
        <w:rPr>
          <w:rFonts w:hint="default" w:ascii="Times New Roman" w:hAnsi="Times New Roman" w:eastAsia="宋体" w:cs="Times New Roman"/>
          <w:sz w:val="24"/>
          <w:lang w:val="en-US" w:eastAsia="zh-CN"/>
        </w:rPr>
        <w:t>kg/hm</w:t>
      </w:r>
      <w:r>
        <w:rPr>
          <w:rFonts w:hint="default" w:ascii="Times New Roman" w:hAnsi="Times New Roman" w:eastAsia="宋体" w:cs="Times New Roman"/>
          <w:sz w:val="24"/>
          <w:vertAlign w:val="superscript"/>
          <w:lang w:val="en-US" w:eastAsia="zh-CN"/>
        </w:rPr>
        <w:t>2</w:t>
      </w:r>
      <w:r>
        <w:rPr>
          <w:rFonts w:hint="default" w:ascii="Times New Roman" w:hAnsi="Times New Roman" w:eastAsia="宋体" w:cs="Times New Roman"/>
          <w:sz w:val="24"/>
          <w:lang w:val="en-US" w:eastAsia="zh-CN"/>
        </w:rPr>
        <w:t>。</w:t>
      </w:r>
      <w:r>
        <w:rPr>
          <w:rFonts w:hint="eastAsia" w:ascii="Times New Roman" w:hAnsi="Times New Roman" w:eastAsia="宋体" w:cs="Times New Roman"/>
          <w:sz w:val="24"/>
          <w:lang w:val="en-US" w:eastAsia="zh-CN"/>
        </w:rPr>
        <w:t>可见</w:t>
      </w:r>
      <w:r>
        <w:rPr>
          <w:rFonts w:hint="default" w:ascii="Times New Roman" w:hAnsi="Times New Roman" w:eastAsia="宋体" w:cs="Times New Roman"/>
          <w:sz w:val="24"/>
          <w:lang w:val="en-US" w:eastAsia="zh-CN"/>
        </w:rPr>
        <w:t>，施磷对</w:t>
      </w:r>
      <w:r>
        <w:rPr>
          <w:rFonts w:hint="eastAsia" w:ascii="Times New Roman" w:hAnsi="Times New Roman" w:eastAsia="宋体" w:cs="Times New Roman"/>
          <w:sz w:val="24"/>
          <w:lang w:val="en-US" w:eastAsia="zh-CN"/>
        </w:rPr>
        <w:t>间作系统的饲草产量</w:t>
      </w:r>
      <w:r>
        <w:rPr>
          <w:rFonts w:hint="default" w:ascii="Times New Roman" w:hAnsi="Times New Roman" w:eastAsia="宋体" w:cs="Times New Roman"/>
          <w:sz w:val="24"/>
          <w:lang w:val="en-US" w:eastAsia="zh-CN"/>
        </w:rPr>
        <w:t>均有一定的提升作用。</w:t>
      </w:r>
    </w:p>
    <w:p w14:paraId="19985EB1">
      <w:pPr>
        <w:pStyle w:val="11"/>
        <w:jc w:val="center"/>
        <w:rPr>
          <w:rFonts w:ascii="Times New Roman" w:hAnsi="Times New Roman"/>
          <w:sz w:val="18"/>
          <w:szCs w:val="18"/>
        </w:rPr>
      </w:pPr>
      <w:r>
        <w:rPr>
          <w:rFonts w:ascii="Times New Roman" w:hAnsi="Times New Roman"/>
          <w:sz w:val="18"/>
          <w:szCs w:val="18"/>
        </w:rPr>
        <w:t>表</w:t>
      </w:r>
      <w:r>
        <w:rPr>
          <w:rFonts w:hint="eastAsia" w:ascii="Times New Roman" w:hAnsi="Times New Roman"/>
          <w:sz w:val="18"/>
          <w:szCs w:val="18"/>
          <w:lang w:val="en-US" w:eastAsia="zh-CN"/>
        </w:rPr>
        <w:t>2</w:t>
      </w:r>
      <w:r>
        <w:rPr>
          <w:rFonts w:hint="eastAsia" w:ascii="Times New Roman" w:hAnsi="Times New Roman"/>
          <w:sz w:val="18"/>
          <w:szCs w:val="18"/>
        </w:rPr>
        <w:t xml:space="preserve">  </w:t>
      </w:r>
      <w:r>
        <w:rPr>
          <w:rFonts w:ascii="Times New Roman" w:hAnsi="Times New Roman"/>
          <w:sz w:val="18"/>
          <w:szCs w:val="18"/>
        </w:rPr>
        <w:t>不同</w:t>
      </w:r>
      <w:r>
        <w:rPr>
          <w:rFonts w:hint="eastAsia" w:ascii="Times New Roman" w:hAnsi="Times New Roman"/>
          <w:sz w:val="18"/>
          <w:szCs w:val="18"/>
        </w:rPr>
        <w:t>种植</w:t>
      </w:r>
      <w:r>
        <w:rPr>
          <w:rFonts w:ascii="Times New Roman" w:hAnsi="Times New Roman"/>
          <w:sz w:val="18"/>
          <w:szCs w:val="18"/>
        </w:rPr>
        <w:t>处理下牧草的</w:t>
      </w:r>
      <w:r>
        <w:rPr>
          <w:rFonts w:hint="eastAsia" w:ascii="Times New Roman" w:hAnsi="Times New Roman"/>
          <w:sz w:val="18"/>
          <w:szCs w:val="18"/>
        </w:rPr>
        <w:t>产量</w:t>
      </w:r>
    </w:p>
    <w:tbl>
      <w:tblPr>
        <w:tblStyle w:val="46"/>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77"/>
        <w:gridCol w:w="1194"/>
        <w:gridCol w:w="1335"/>
        <w:gridCol w:w="1183"/>
        <w:gridCol w:w="1333"/>
        <w:gridCol w:w="1316"/>
        <w:gridCol w:w="1184"/>
      </w:tblGrid>
      <w:tr w14:paraId="532F0F1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c>
          <w:tcPr>
            <w:tcW w:w="573" w:type="pct"/>
            <w:vMerge w:val="restart"/>
            <w:tcBorders>
              <w:top w:val="single" w:color="auto" w:sz="12" w:space="0"/>
              <w:left w:val="nil"/>
              <w:bottom w:val="single" w:color="auto" w:sz="6" w:space="0"/>
              <w:right w:val="nil"/>
              <w:insideV w:val="nil"/>
              <w:tl2br w:val="nil"/>
              <w:tr2bl w:val="nil"/>
            </w:tcBorders>
            <w:vAlign w:val="center"/>
          </w:tcPr>
          <w:p w14:paraId="58F0D692">
            <w:pPr>
              <w:pStyle w:val="44"/>
              <w:ind w:firstLine="0" w:firstLineChars="0"/>
              <w:jc w:val="center"/>
              <w:rPr>
                <w:rStyle w:val="45"/>
                <w:rFonts w:hint="default" w:ascii="Times New Roman" w:hAnsi="Times New Roman" w:eastAsia="宋体" w:cs="Times New Roman"/>
                <w:iCs w:val="0"/>
                <w:sz w:val="15"/>
                <w:szCs w:val="15"/>
                <w:lang w:val="en-US" w:eastAsia="zh-CN"/>
              </w:rPr>
            </w:pPr>
            <w:r>
              <w:rPr>
                <w:rStyle w:val="45"/>
                <w:rFonts w:hint="eastAsia" w:ascii="Times New Roman" w:hAnsi="Times New Roman" w:eastAsia="宋体" w:cs="Times New Roman"/>
                <w:iCs w:val="0"/>
                <w:sz w:val="15"/>
                <w:szCs w:val="15"/>
                <w:lang w:val="en-US" w:eastAsia="zh-CN"/>
              </w:rPr>
              <w:t>种植模式</w:t>
            </w:r>
          </w:p>
        </w:tc>
        <w:tc>
          <w:tcPr>
            <w:tcW w:w="1483" w:type="pct"/>
            <w:gridSpan w:val="2"/>
            <w:tcBorders>
              <w:top w:val="single" w:color="auto" w:sz="12" w:space="0"/>
              <w:bottom w:val="single" w:color="auto" w:sz="6" w:space="0"/>
              <w:right w:val="nil"/>
              <w:insideV w:val="nil"/>
              <w:tl2br w:val="nil"/>
              <w:tr2bl w:val="nil"/>
            </w:tcBorders>
            <w:vAlign w:val="center"/>
          </w:tcPr>
          <w:p w14:paraId="2A648A43">
            <w:pPr>
              <w:pStyle w:val="44"/>
              <w:ind w:firstLine="0" w:firstLineChars="0"/>
              <w:jc w:val="center"/>
              <w:rPr>
                <w:rStyle w:val="45"/>
                <w:rFonts w:hint="default" w:ascii="Times New Roman" w:hAnsi="Times New Roman" w:eastAsia="宋体" w:cs="Times New Roman"/>
                <w:iCs w:val="0"/>
                <w:sz w:val="15"/>
                <w:szCs w:val="15"/>
              </w:rPr>
            </w:pPr>
            <w:r>
              <w:rPr>
                <w:rStyle w:val="45"/>
                <w:rFonts w:hint="default" w:ascii="Times New Roman" w:hAnsi="Times New Roman" w:eastAsia="宋体" w:cs="Times New Roman"/>
                <w:iCs w:val="0"/>
                <w:sz w:val="15"/>
                <w:szCs w:val="15"/>
              </w:rPr>
              <w:t>紫花苜蓿（kg</w:t>
            </w:r>
            <w:r>
              <w:rPr>
                <w:rStyle w:val="45"/>
                <w:rFonts w:hint="default" w:ascii="Times New Roman" w:hAnsi="Times New Roman" w:eastAsia="宋体" w:cs="Times New Roman"/>
                <w:sz w:val="15"/>
                <w:szCs w:val="15"/>
              </w:rPr>
              <w:t>·</w:t>
            </w:r>
            <w:r>
              <w:rPr>
                <w:rStyle w:val="45"/>
                <w:rFonts w:hint="default" w:ascii="Times New Roman" w:hAnsi="Times New Roman" w:eastAsia="宋体" w:cs="Times New Roman"/>
                <w:iCs w:val="0"/>
                <w:sz w:val="15"/>
                <w:szCs w:val="15"/>
              </w:rPr>
              <w:t>hm</w:t>
            </w:r>
            <w:r>
              <w:rPr>
                <w:rStyle w:val="45"/>
                <w:rFonts w:hint="default" w:ascii="Times New Roman" w:hAnsi="Times New Roman" w:eastAsia="宋体" w:cs="Times New Roman"/>
                <w:iCs w:val="0"/>
                <w:sz w:val="15"/>
                <w:szCs w:val="15"/>
                <w:vertAlign w:val="superscript"/>
              </w:rPr>
              <w:t>-2</w:t>
            </w:r>
            <w:r>
              <w:rPr>
                <w:rStyle w:val="45"/>
                <w:rFonts w:hint="default" w:ascii="Times New Roman" w:hAnsi="Times New Roman" w:eastAsia="宋体" w:cs="Times New Roman"/>
                <w:iCs w:val="0"/>
                <w:sz w:val="15"/>
                <w:szCs w:val="15"/>
              </w:rPr>
              <w:t>）</w:t>
            </w:r>
          </w:p>
        </w:tc>
        <w:tc>
          <w:tcPr>
            <w:tcW w:w="1476" w:type="pct"/>
            <w:gridSpan w:val="2"/>
            <w:tcBorders>
              <w:top w:val="single" w:color="auto" w:sz="12" w:space="0"/>
              <w:bottom w:val="single" w:color="auto" w:sz="6" w:space="0"/>
              <w:right w:val="nil"/>
              <w:insideV w:val="nil"/>
              <w:tl2br w:val="nil"/>
              <w:tr2bl w:val="nil"/>
            </w:tcBorders>
            <w:vAlign w:val="center"/>
          </w:tcPr>
          <w:p w14:paraId="6E190367">
            <w:pPr>
              <w:pStyle w:val="44"/>
              <w:ind w:firstLine="0" w:firstLineChars="0"/>
              <w:jc w:val="center"/>
              <w:rPr>
                <w:rStyle w:val="45"/>
                <w:rFonts w:hint="default" w:ascii="Times New Roman" w:hAnsi="Times New Roman" w:eastAsia="宋体" w:cs="Times New Roman"/>
                <w:iCs w:val="0"/>
                <w:sz w:val="15"/>
                <w:szCs w:val="15"/>
              </w:rPr>
            </w:pPr>
            <w:r>
              <w:rPr>
                <w:rStyle w:val="45"/>
                <w:rFonts w:hint="default" w:ascii="Times New Roman" w:hAnsi="Times New Roman" w:eastAsia="宋体" w:cs="Times New Roman"/>
                <w:iCs w:val="0"/>
                <w:sz w:val="15"/>
                <w:szCs w:val="15"/>
                <w:lang w:val="en-US" w:eastAsia="zh-CN"/>
              </w:rPr>
              <w:t>饲用大</w:t>
            </w:r>
            <w:r>
              <w:rPr>
                <w:rStyle w:val="45"/>
                <w:rFonts w:hint="default" w:ascii="Times New Roman" w:hAnsi="Times New Roman" w:eastAsia="宋体" w:cs="Times New Roman"/>
                <w:iCs w:val="0"/>
                <w:sz w:val="15"/>
                <w:szCs w:val="15"/>
              </w:rPr>
              <w:t>麦（kg</w:t>
            </w:r>
            <w:r>
              <w:rPr>
                <w:rStyle w:val="45"/>
                <w:rFonts w:hint="default" w:ascii="Times New Roman" w:hAnsi="Times New Roman" w:eastAsia="宋体" w:cs="Times New Roman"/>
                <w:sz w:val="15"/>
                <w:szCs w:val="15"/>
              </w:rPr>
              <w:t>·</w:t>
            </w:r>
            <w:r>
              <w:rPr>
                <w:rStyle w:val="45"/>
                <w:rFonts w:hint="default" w:ascii="Times New Roman" w:hAnsi="Times New Roman" w:eastAsia="宋体" w:cs="Times New Roman"/>
                <w:iCs w:val="0"/>
                <w:sz w:val="15"/>
                <w:szCs w:val="15"/>
              </w:rPr>
              <w:t>hm</w:t>
            </w:r>
            <w:r>
              <w:rPr>
                <w:rStyle w:val="45"/>
                <w:rFonts w:hint="default" w:ascii="Times New Roman" w:hAnsi="Times New Roman" w:eastAsia="宋体" w:cs="Times New Roman"/>
                <w:iCs w:val="0"/>
                <w:sz w:val="15"/>
                <w:szCs w:val="15"/>
                <w:vertAlign w:val="superscript"/>
              </w:rPr>
              <w:t>-2</w:t>
            </w:r>
            <w:r>
              <w:rPr>
                <w:rStyle w:val="45"/>
                <w:rFonts w:hint="default" w:ascii="Times New Roman" w:hAnsi="Times New Roman" w:eastAsia="宋体" w:cs="Times New Roman"/>
                <w:iCs w:val="0"/>
                <w:sz w:val="15"/>
                <w:szCs w:val="15"/>
              </w:rPr>
              <w:t>）</w:t>
            </w:r>
          </w:p>
        </w:tc>
        <w:tc>
          <w:tcPr>
            <w:tcW w:w="1466" w:type="pct"/>
            <w:gridSpan w:val="2"/>
            <w:tcBorders>
              <w:top w:val="single" w:color="auto" w:sz="12" w:space="0"/>
              <w:bottom w:val="single" w:color="auto" w:sz="6" w:space="0"/>
              <w:right w:val="nil"/>
              <w:insideV w:val="nil"/>
              <w:tl2br w:val="nil"/>
              <w:tr2bl w:val="nil"/>
            </w:tcBorders>
            <w:vAlign w:val="center"/>
          </w:tcPr>
          <w:p w14:paraId="50A4892B">
            <w:pPr>
              <w:pStyle w:val="44"/>
              <w:ind w:firstLine="0" w:firstLineChars="0"/>
              <w:jc w:val="center"/>
              <w:rPr>
                <w:rStyle w:val="45"/>
                <w:rFonts w:hint="default" w:ascii="Times New Roman" w:hAnsi="Times New Roman" w:eastAsia="宋体" w:cs="Times New Roman"/>
                <w:iCs w:val="0"/>
                <w:sz w:val="15"/>
                <w:szCs w:val="15"/>
              </w:rPr>
            </w:pPr>
            <w:r>
              <w:rPr>
                <w:rStyle w:val="45"/>
                <w:rFonts w:hint="default" w:ascii="Times New Roman" w:hAnsi="Times New Roman" w:eastAsia="宋体" w:cs="Times New Roman"/>
                <w:iCs w:val="0"/>
                <w:sz w:val="15"/>
                <w:szCs w:val="15"/>
              </w:rPr>
              <w:t>总产量（kg</w:t>
            </w:r>
            <w:r>
              <w:rPr>
                <w:rStyle w:val="45"/>
                <w:rFonts w:hint="default" w:ascii="Times New Roman" w:hAnsi="Times New Roman" w:eastAsia="宋体" w:cs="Times New Roman"/>
                <w:sz w:val="15"/>
                <w:szCs w:val="15"/>
              </w:rPr>
              <w:t>·</w:t>
            </w:r>
            <w:r>
              <w:rPr>
                <w:rStyle w:val="45"/>
                <w:rFonts w:hint="default" w:ascii="Times New Roman" w:hAnsi="Times New Roman" w:eastAsia="宋体" w:cs="Times New Roman"/>
                <w:iCs w:val="0"/>
                <w:sz w:val="15"/>
                <w:szCs w:val="15"/>
              </w:rPr>
              <w:t>hm</w:t>
            </w:r>
            <w:r>
              <w:rPr>
                <w:rStyle w:val="45"/>
                <w:rFonts w:hint="default" w:ascii="Times New Roman" w:hAnsi="Times New Roman" w:eastAsia="宋体" w:cs="Times New Roman"/>
                <w:iCs w:val="0"/>
                <w:sz w:val="15"/>
                <w:szCs w:val="15"/>
                <w:vertAlign w:val="superscript"/>
              </w:rPr>
              <w:t>-2</w:t>
            </w:r>
            <w:r>
              <w:rPr>
                <w:rStyle w:val="45"/>
                <w:rFonts w:hint="default" w:ascii="Times New Roman" w:hAnsi="Times New Roman" w:eastAsia="宋体" w:cs="Times New Roman"/>
                <w:iCs w:val="0"/>
                <w:sz w:val="15"/>
                <w:szCs w:val="15"/>
              </w:rPr>
              <w:t>）</w:t>
            </w:r>
          </w:p>
        </w:tc>
      </w:tr>
      <w:tr w14:paraId="4108663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3" w:type="pct"/>
            <w:vMerge w:val="continue"/>
            <w:tcBorders>
              <w:top w:val="single" w:color="auto" w:sz="6" w:space="0"/>
              <w:bottom w:val="single" w:color="auto" w:sz="6" w:space="0"/>
            </w:tcBorders>
            <w:vAlign w:val="center"/>
          </w:tcPr>
          <w:p w14:paraId="4F6392DE">
            <w:pPr>
              <w:pStyle w:val="44"/>
              <w:ind w:firstLine="0" w:firstLineChars="0"/>
              <w:jc w:val="center"/>
              <w:rPr>
                <w:rStyle w:val="45"/>
                <w:rFonts w:hint="default" w:ascii="Times New Roman" w:hAnsi="Times New Roman" w:eastAsia="宋体" w:cs="Times New Roman"/>
                <w:iCs w:val="0"/>
                <w:sz w:val="15"/>
                <w:szCs w:val="15"/>
              </w:rPr>
            </w:pPr>
          </w:p>
        </w:tc>
        <w:tc>
          <w:tcPr>
            <w:tcW w:w="700" w:type="pct"/>
            <w:tcBorders>
              <w:top w:val="single" w:color="auto" w:sz="6" w:space="0"/>
              <w:bottom w:val="single" w:color="auto" w:sz="6" w:space="0"/>
            </w:tcBorders>
            <w:vAlign w:val="center"/>
          </w:tcPr>
          <w:p w14:paraId="3A06257E">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P</w:t>
            </w:r>
            <w:r>
              <w:rPr>
                <w:rFonts w:hint="default" w:ascii="Times New Roman" w:hAnsi="Times New Roman" w:eastAsia="宋体" w:cs="Times New Roman"/>
                <w:sz w:val="15"/>
                <w:szCs w:val="15"/>
                <w:vertAlign w:val="subscript"/>
              </w:rPr>
              <w:t>0</w:t>
            </w:r>
          </w:p>
        </w:tc>
        <w:tc>
          <w:tcPr>
            <w:tcW w:w="783" w:type="pct"/>
            <w:tcBorders>
              <w:top w:val="single" w:color="auto" w:sz="6" w:space="0"/>
              <w:bottom w:val="single" w:color="auto" w:sz="6" w:space="0"/>
            </w:tcBorders>
            <w:vAlign w:val="center"/>
          </w:tcPr>
          <w:p w14:paraId="18D91A42">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P</w:t>
            </w:r>
            <w:r>
              <w:rPr>
                <w:rFonts w:hint="default" w:ascii="Times New Roman" w:hAnsi="Times New Roman" w:eastAsia="宋体" w:cs="Times New Roman"/>
                <w:sz w:val="15"/>
                <w:szCs w:val="15"/>
                <w:vertAlign w:val="subscript"/>
              </w:rPr>
              <w:t>1</w:t>
            </w:r>
          </w:p>
        </w:tc>
        <w:tc>
          <w:tcPr>
            <w:tcW w:w="694" w:type="pct"/>
            <w:tcBorders>
              <w:top w:val="single" w:color="auto" w:sz="6" w:space="0"/>
              <w:bottom w:val="single" w:color="auto" w:sz="6" w:space="0"/>
            </w:tcBorders>
            <w:vAlign w:val="center"/>
          </w:tcPr>
          <w:p w14:paraId="5BD11464">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P</w:t>
            </w:r>
            <w:r>
              <w:rPr>
                <w:rFonts w:hint="default" w:ascii="Times New Roman" w:hAnsi="Times New Roman" w:eastAsia="宋体" w:cs="Times New Roman"/>
                <w:sz w:val="15"/>
                <w:szCs w:val="15"/>
                <w:vertAlign w:val="subscript"/>
              </w:rPr>
              <w:t>0</w:t>
            </w:r>
          </w:p>
        </w:tc>
        <w:tc>
          <w:tcPr>
            <w:tcW w:w="782" w:type="pct"/>
            <w:tcBorders>
              <w:top w:val="single" w:color="auto" w:sz="6" w:space="0"/>
              <w:bottom w:val="single" w:color="auto" w:sz="6" w:space="0"/>
            </w:tcBorders>
            <w:vAlign w:val="center"/>
          </w:tcPr>
          <w:p w14:paraId="7F0825ED">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P</w:t>
            </w:r>
            <w:r>
              <w:rPr>
                <w:rFonts w:hint="default" w:ascii="Times New Roman" w:hAnsi="Times New Roman" w:eastAsia="宋体" w:cs="Times New Roman"/>
                <w:sz w:val="15"/>
                <w:szCs w:val="15"/>
                <w:vertAlign w:val="subscript"/>
              </w:rPr>
              <w:t>1</w:t>
            </w:r>
          </w:p>
        </w:tc>
        <w:tc>
          <w:tcPr>
            <w:tcW w:w="772" w:type="pct"/>
            <w:tcBorders>
              <w:top w:val="single" w:color="auto" w:sz="6" w:space="0"/>
              <w:bottom w:val="single" w:color="auto" w:sz="6" w:space="0"/>
            </w:tcBorders>
            <w:vAlign w:val="center"/>
          </w:tcPr>
          <w:p w14:paraId="76A400FC">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P</w:t>
            </w:r>
            <w:r>
              <w:rPr>
                <w:rFonts w:hint="default" w:ascii="Times New Roman" w:hAnsi="Times New Roman" w:eastAsia="宋体" w:cs="Times New Roman"/>
                <w:sz w:val="15"/>
                <w:szCs w:val="15"/>
                <w:vertAlign w:val="subscript"/>
              </w:rPr>
              <w:t>0</w:t>
            </w:r>
          </w:p>
        </w:tc>
        <w:tc>
          <w:tcPr>
            <w:tcW w:w="694" w:type="pct"/>
            <w:tcBorders>
              <w:top w:val="single" w:color="auto" w:sz="6" w:space="0"/>
              <w:bottom w:val="single" w:color="auto" w:sz="6" w:space="0"/>
            </w:tcBorders>
            <w:vAlign w:val="center"/>
          </w:tcPr>
          <w:p w14:paraId="0CC6C88C">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P</w:t>
            </w:r>
            <w:r>
              <w:rPr>
                <w:rFonts w:hint="default" w:ascii="Times New Roman" w:hAnsi="Times New Roman" w:eastAsia="宋体" w:cs="Times New Roman"/>
                <w:sz w:val="15"/>
                <w:szCs w:val="15"/>
                <w:vertAlign w:val="subscript"/>
              </w:rPr>
              <w:t>1</w:t>
            </w:r>
          </w:p>
        </w:tc>
      </w:tr>
      <w:tr w14:paraId="3422AC4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3" w:type="pct"/>
            <w:tcBorders>
              <w:top w:val="single" w:color="auto" w:sz="6" w:space="0"/>
              <w:bottom w:val="nil"/>
            </w:tcBorders>
            <w:vAlign w:val="center"/>
          </w:tcPr>
          <w:p w14:paraId="7A46577E">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A</w:t>
            </w:r>
            <w:r>
              <w:rPr>
                <w:rFonts w:hint="default" w:ascii="Times New Roman" w:hAnsi="Times New Roman" w:eastAsia="宋体" w:cs="Times New Roman"/>
                <w:sz w:val="15"/>
                <w:szCs w:val="15"/>
                <w:vertAlign w:val="subscript"/>
              </w:rPr>
              <w:t>16</w:t>
            </w:r>
            <w:r>
              <w:rPr>
                <w:rFonts w:hint="default" w:ascii="Times New Roman" w:hAnsi="Times New Roman" w:eastAsia="宋体" w:cs="Times New Roman"/>
                <w:sz w:val="15"/>
                <w:szCs w:val="15"/>
                <w:lang w:val="en-US" w:eastAsia="zh-CN"/>
              </w:rPr>
              <w:t>W</w:t>
            </w:r>
            <w:r>
              <w:rPr>
                <w:rFonts w:hint="default" w:ascii="Times New Roman" w:hAnsi="Times New Roman" w:eastAsia="宋体" w:cs="Times New Roman"/>
                <w:sz w:val="15"/>
                <w:szCs w:val="15"/>
                <w:vertAlign w:val="subscript"/>
              </w:rPr>
              <w:t>0</w:t>
            </w:r>
          </w:p>
        </w:tc>
        <w:tc>
          <w:tcPr>
            <w:tcW w:w="700" w:type="pct"/>
            <w:tcBorders>
              <w:top w:val="single" w:color="auto" w:sz="6" w:space="0"/>
              <w:bottom w:val="nil"/>
            </w:tcBorders>
            <w:vAlign w:val="top"/>
          </w:tcPr>
          <w:p w14:paraId="77978537">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5434.43±</w:t>
            </w:r>
          </w:p>
          <w:p w14:paraId="0ADE8658">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266.63Ba</w:t>
            </w:r>
          </w:p>
        </w:tc>
        <w:tc>
          <w:tcPr>
            <w:tcW w:w="783" w:type="pct"/>
            <w:tcBorders>
              <w:top w:val="single" w:color="auto" w:sz="6" w:space="0"/>
              <w:bottom w:val="nil"/>
            </w:tcBorders>
            <w:vAlign w:val="top"/>
          </w:tcPr>
          <w:p w14:paraId="15D49F16">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6200.07±</w:t>
            </w:r>
          </w:p>
          <w:p w14:paraId="18E7BC8D">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602.53Aa</w:t>
            </w:r>
          </w:p>
        </w:tc>
        <w:tc>
          <w:tcPr>
            <w:tcW w:w="694" w:type="pct"/>
            <w:tcBorders>
              <w:top w:val="single" w:color="auto" w:sz="6" w:space="0"/>
              <w:bottom w:val="nil"/>
            </w:tcBorders>
            <w:vAlign w:val="center"/>
          </w:tcPr>
          <w:p w14:paraId="0D39317C">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w:t>
            </w:r>
          </w:p>
        </w:tc>
        <w:tc>
          <w:tcPr>
            <w:tcW w:w="782" w:type="pct"/>
            <w:tcBorders>
              <w:top w:val="single" w:color="auto" w:sz="6" w:space="0"/>
              <w:bottom w:val="nil"/>
            </w:tcBorders>
            <w:vAlign w:val="center"/>
          </w:tcPr>
          <w:p w14:paraId="662C27BA">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w:t>
            </w:r>
          </w:p>
        </w:tc>
        <w:tc>
          <w:tcPr>
            <w:tcW w:w="1391" w:type="dxa"/>
            <w:tcBorders>
              <w:top w:val="single" w:color="auto" w:sz="6" w:space="0"/>
              <w:bottom w:val="nil"/>
            </w:tcBorders>
            <w:vAlign w:val="top"/>
          </w:tcPr>
          <w:p w14:paraId="46FD07ED">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5434.43±</w:t>
            </w:r>
          </w:p>
          <w:p w14:paraId="7425E483">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266.63Bc</w:t>
            </w:r>
          </w:p>
        </w:tc>
        <w:tc>
          <w:tcPr>
            <w:tcW w:w="1250" w:type="dxa"/>
            <w:tcBorders>
              <w:top w:val="single" w:color="auto" w:sz="6" w:space="0"/>
              <w:bottom w:val="nil"/>
            </w:tcBorders>
            <w:vAlign w:val="top"/>
          </w:tcPr>
          <w:p w14:paraId="6CBC787D">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6200.07±</w:t>
            </w:r>
          </w:p>
          <w:p w14:paraId="156739D7">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602.53Ac</w:t>
            </w:r>
          </w:p>
        </w:tc>
      </w:tr>
      <w:tr w14:paraId="0A95C30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3" w:type="pct"/>
            <w:tcBorders>
              <w:top w:val="nil"/>
              <w:bottom w:val="nil"/>
            </w:tcBorders>
            <w:vAlign w:val="center"/>
          </w:tcPr>
          <w:p w14:paraId="3137B1A1">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A</w:t>
            </w:r>
            <w:r>
              <w:rPr>
                <w:rFonts w:hint="default" w:ascii="Times New Roman" w:hAnsi="Times New Roman" w:eastAsia="宋体" w:cs="Times New Roman"/>
                <w:sz w:val="15"/>
                <w:szCs w:val="15"/>
                <w:vertAlign w:val="subscript"/>
              </w:rPr>
              <w:t>6</w:t>
            </w:r>
            <w:r>
              <w:rPr>
                <w:rFonts w:hint="default" w:ascii="Times New Roman" w:hAnsi="Times New Roman" w:eastAsia="宋体" w:cs="Times New Roman"/>
                <w:sz w:val="15"/>
                <w:szCs w:val="15"/>
                <w:lang w:val="en-US" w:eastAsia="zh-CN"/>
              </w:rPr>
              <w:t>w</w:t>
            </w:r>
            <w:r>
              <w:rPr>
                <w:rFonts w:hint="default" w:ascii="Times New Roman" w:hAnsi="Times New Roman" w:eastAsia="宋体" w:cs="Times New Roman"/>
                <w:sz w:val="15"/>
                <w:szCs w:val="15"/>
                <w:vertAlign w:val="subscript"/>
              </w:rPr>
              <w:t>2</w:t>
            </w:r>
          </w:p>
        </w:tc>
        <w:tc>
          <w:tcPr>
            <w:tcW w:w="700" w:type="pct"/>
            <w:tcBorders>
              <w:top w:val="nil"/>
              <w:bottom w:val="nil"/>
            </w:tcBorders>
            <w:vAlign w:val="top"/>
          </w:tcPr>
          <w:p w14:paraId="40A629CE">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4375.83±</w:t>
            </w:r>
          </w:p>
          <w:p w14:paraId="419EA624">
            <w:pPr>
              <w:pStyle w:val="44"/>
              <w:ind w:firstLine="0" w:firstLineChars="0"/>
              <w:jc w:val="center"/>
              <w:rPr>
                <w:rStyle w:val="45"/>
                <w:rFonts w:hint="default" w:ascii="Times New Roman" w:hAnsi="Times New Roman" w:eastAsia="宋体" w:cs="Times New Roman"/>
                <w:iCs w:val="0"/>
                <w:color w:val="FF0000"/>
                <w:sz w:val="15"/>
                <w:szCs w:val="15"/>
              </w:rPr>
            </w:pPr>
            <w:r>
              <w:rPr>
                <w:rFonts w:hint="default" w:ascii="Times New Roman" w:hAnsi="Times New Roman" w:eastAsia="宋体" w:cs="Times New Roman"/>
                <w:sz w:val="15"/>
                <w:szCs w:val="15"/>
              </w:rPr>
              <w:t>199.97Bb</w:t>
            </w:r>
          </w:p>
        </w:tc>
        <w:tc>
          <w:tcPr>
            <w:tcW w:w="783" w:type="pct"/>
            <w:tcBorders>
              <w:top w:val="nil"/>
              <w:bottom w:val="nil"/>
            </w:tcBorders>
            <w:vAlign w:val="top"/>
          </w:tcPr>
          <w:p w14:paraId="7E5898E7">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4850.05±</w:t>
            </w:r>
          </w:p>
          <w:p w14:paraId="27EED05A">
            <w:pPr>
              <w:pStyle w:val="44"/>
              <w:ind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120.95Ab</w:t>
            </w:r>
          </w:p>
        </w:tc>
        <w:tc>
          <w:tcPr>
            <w:tcW w:w="694" w:type="pct"/>
            <w:tcBorders>
              <w:top w:val="nil"/>
              <w:bottom w:val="nil"/>
            </w:tcBorders>
            <w:vAlign w:val="top"/>
          </w:tcPr>
          <w:p w14:paraId="0FBBDF0B">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1753.85±</w:t>
            </w:r>
          </w:p>
          <w:p w14:paraId="35687460">
            <w:pPr>
              <w:pStyle w:val="44"/>
              <w:ind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63.30Ad</w:t>
            </w:r>
          </w:p>
        </w:tc>
        <w:tc>
          <w:tcPr>
            <w:tcW w:w="782" w:type="pct"/>
            <w:tcBorders>
              <w:top w:val="nil"/>
              <w:bottom w:val="nil"/>
            </w:tcBorders>
            <w:vAlign w:val="top"/>
          </w:tcPr>
          <w:p w14:paraId="03455661">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1974.08±</w:t>
            </w:r>
          </w:p>
          <w:p w14:paraId="160F7001">
            <w:pPr>
              <w:pStyle w:val="44"/>
              <w:ind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131.45Ad</w:t>
            </w:r>
          </w:p>
        </w:tc>
        <w:tc>
          <w:tcPr>
            <w:tcW w:w="772" w:type="pct"/>
            <w:tcBorders>
              <w:top w:val="nil"/>
              <w:bottom w:val="nil"/>
            </w:tcBorders>
            <w:vAlign w:val="top"/>
          </w:tcPr>
          <w:p w14:paraId="694882A5">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6129.68±</w:t>
            </w:r>
          </w:p>
          <w:p w14:paraId="1DC8F233">
            <w:pPr>
              <w:pStyle w:val="44"/>
              <w:ind w:firstLine="0" w:firstLineChars="0"/>
              <w:jc w:val="center"/>
              <w:rPr>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162.56Bb</w:t>
            </w:r>
          </w:p>
        </w:tc>
        <w:tc>
          <w:tcPr>
            <w:tcW w:w="694" w:type="pct"/>
            <w:tcBorders>
              <w:top w:val="nil"/>
              <w:bottom w:val="nil"/>
            </w:tcBorders>
            <w:vAlign w:val="top"/>
          </w:tcPr>
          <w:p w14:paraId="4100447A">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6824.14±</w:t>
            </w:r>
          </w:p>
          <w:p w14:paraId="424FCDC4">
            <w:pPr>
              <w:pStyle w:val="44"/>
              <w:ind w:firstLine="0" w:firstLineChars="0"/>
              <w:jc w:val="center"/>
              <w:rPr>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239.88Ab</w:t>
            </w:r>
          </w:p>
        </w:tc>
      </w:tr>
      <w:tr w14:paraId="41B0FEC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3" w:type="pct"/>
            <w:tcBorders>
              <w:top w:val="nil"/>
              <w:bottom w:val="nil"/>
            </w:tcBorders>
            <w:vAlign w:val="center"/>
          </w:tcPr>
          <w:p w14:paraId="2E68A450">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A</w:t>
            </w:r>
            <w:r>
              <w:rPr>
                <w:rFonts w:hint="default" w:ascii="Times New Roman" w:hAnsi="Times New Roman" w:eastAsia="宋体" w:cs="Times New Roman"/>
                <w:sz w:val="15"/>
                <w:szCs w:val="15"/>
                <w:vertAlign w:val="subscript"/>
              </w:rPr>
              <w:t>4</w:t>
            </w:r>
            <w:r>
              <w:rPr>
                <w:rFonts w:hint="default" w:ascii="Times New Roman" w:hAnsi="Times New Roman" w:eastAsia="宋体" w:cs="Times New Roman"/>
                <w:sz w:val="15"/>
                <w:szCs w:val="15"/>
                <w:lang w:val="en-US" w:eastAsia="zh-CN"/>
              </w:rPr>
              <w:t>w</w:t>
            </w:r>
            <w:r>
              <w:rPr>
                <w:rFonts w:hint="default" w:ascii="Times New Roman" w:hAnsi="Times New Roman" w:eastAsia="宋体" w:cs="Times New Roman"/>
                <w:sz w:val="15"/>
                <w:szCs w:val="15"/>
                <w:vertAlign w:val="subscript"/>
              </w:rPr>
              <w:t>4</w:t>
            </w:r>
          </w:p>
        </w:tc>
        <w:tc>
          <w:tcPr>
            <w:tcW w:w="700" w:type="pct"/>
            <w:tcBorders>
              <w:top w:val="nil"/>
              <w:bottom w:val="nil"/>
            </w:tcBorders>
            <w:vAlign w:val="top"/>
          </w:tcPr>
          <w:p w14:paraId="7F745BB0">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2783.88±</w:t>
            </w:r>
          </w:p>
          <w:p w14:paraId="2DEE6BD8">
            <w:pPr>
              <w:pStyle w:val="44"/>
              <w:ind w:firstLine="0" w:firstLineChars="0"/>
              <w:jc w:val="center"/>
              <w:rPr>
                <w:rStyle w:val="45"/>
                <w:rFonts w:hint="default" w:ascii="Times New Roman" w:hAnsi="Times New Roman" w:eastAsia="宋体" w:cs="Times New Roman"/>
                <w:iCs w:val="0"/>
                <w:color w:val="FF0000"/>
                <w:sz w:val="15"/>
                <w:szCs w:val="15"/>
              </w:rPr>
            </w:pPr>
            <w:r>
              <w:rPr>
                <w:rFonts w:hint="default" w:ascii="Times New Roman" w:hAnsi="Times New Roman" w:eastAsia="宋体" w:cs="Times New Roman"/>
                <w:sz w:val="15"/>
                <w:szCs w:val="15"/>
              </w:rPr>
              <w:t>20.33Ac</w:t>
            </w:r>
          </w:p>
        </w:tc>
        <w:tc>
          <w:tcPr>
            <w:tcW w:w="783" w:type="pct"/>
            <w:tcBorders>
              <w:top w:val="nil"/>
              <w:bottom w:val="nil"/>
            </w:tcBorders>
            <w:vAlign w:val="top"/>
          </w:tcPr>
          <w:p w14:paraId="2EAC0F84">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3100.03±</w:t>
            </w:r>
          </w:p>
          <w:p w14:paraId="19DC10D3">
            <w:pPr>
              <w:pStyle w:val="44"/>
              <w:ind w:firstLine="0" w:firstLineChars="0"/>
              <w:jc w:val="center"/>
              <w:rPr>
                <w:rStyle w:val="45"/>
                <w:rFonts w:hint="default" w:ascii="Times New Roman" w:hAnsi="Times New Roman" w:eastAsia="宋体" w:cs="Times New Roman"/>
                <w:iCs w:val="0"/>
                <w:color w:val="FF0000"/>
                <w:sz w:val="15"/>
                <w:szCs w:val="15"/>
              </w:rPr>
            </w:pPr>
            <w:r>
              <w:rPr>
                <w:rFonts w:hint="default" w:ascii="Times New Roman" w:hAnsi="Times New Roman" w:eastAsia="宋体" w:cs="Times New Roman"/>
                <w:sz w:val="15"/>
                <w:szCs w:val="15"/>
              </w:rPr>
              <w:t>301.27Ac</w:t>
            </w:r>
          </w:p>
        </w:tc>
        <w:tc>
          <w:tcPr>
            <w:tcW w:w="694" w:type="pct"/>
            <w:tcBorders>
              <w:top w:val="nil"/>
              <w:bottom w:val="nil"/>
            </w:tcBorders>
            <w:vAlign w:val="top"/>
          </w:tcPr>
          <w:p w14:paraId="2A7E2846">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3174.37±</w:t>
            </w:r>
          </w:p>
          <w:p w14:paraId="44DBD30E">
            <w:pPr>
              <w:pStyle w:val="44"/>
              <w:ind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174.71Ac</w:t>
            </w:r>
          </w:p>
        </w:tc>
        <w:tc>
          <w:tcPr>
            <w:tcW w:w="782" w:type="pct"/>
            <w:tcBorders>
              <w:top w:val="nil"/>
              <w:bottom w:val="nil"/>
            </w:tcBorders>
            <w:vAlign w:val="top"/>
          </w:tcPr>
          <w:p w14:paraId="403CA0D2">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3514.83±</w:t>
            </w:r>
          </w:p>
          <w:p w14:paraId="70F25EDE">
            <w:pPr>
              <w:pStyle w:val="44"/>
              <w:ind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53.99Ac</w:t>
            </w:r>
          </w:p>
        </w:tc>
        <w:tc>
          <w:tcPr>
            <w:tcW w:w="772" w:type="pct"/>
            <w:tcBorders>
              <w:top w:val="nil"/>
              <w:bottom w:val="nil"/>
            </w:tcBorders>
            <w:vAlign w:val="top"/>
          </w:tcPr>
          <w:p w14:paraId="1D2E6EE6">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5958.25±</w:t>
            </w:r>
          </w:p>
          <w:p w14:paraId="196137F6">
            <w:pPr>
              <w:pStyle w:val="44"/>
              <w:ind w:firstLine="0" w:firstLineChars="0"/>
              <w:jc w:val="center"/>
              <w:rPr>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188.57Bb</w:t>
            </w:r>
          </w:p>
        </w:tc>
        <w:tc>
          <w:tcPr>
            <w:tcW w:w="694" w:type="pct"/>
            <w:tcBorders>
              <w:top w:val="nil"/>
              <w:bottom w:val="nil"/>
            </w:tcBorders>
            <w:vAlign w:val="top"/>
          </w:tcPr>
          <w:p w14:paraId="41AC9A01">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6614.87±</w:t>
            </w:r>
          </w:p>
          <w:p w14:paraId="159CF6B3">
            <w:pPr>
              <w:pStyle w:val="44"/>
              <w:ind w:firstLine="0" w:firstLineChars="0"/>
              <w:jc w:val="center"/>
              <w:rPr>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286.98Ab</w:t>
            </w:r>
          </w:p>
        </w:tc>
      </w:tr>
      <w:tr w14:paraId="37D5E5B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3" w:type="pct"/>
            <w:tcBorders>
              <w:top w:val="nil"/>
              <w:bottom w:val="nil"/>
            </w:tcBorders>
            <w:vAlign w:val="center"/>
          </w:tcPr>
          <w:p w14:paraId="3E2BED24">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A</w:t>
            </w:r>
            <w:r>
              <w:rPr>
                <w:rFonts w:hint="default" w:ascii="Times New Roman" w:hAnsi="Times New Roman" w:eastAsia="宋体" w:cs="Times New Roman"/>
                <w:sz w:val="15"/>
                <w:szCs w:val="15"/>
                <w:vertAlign w:val="subscript"/>
              </w:rPr>
              <w:t>2</w:t>
            </w:r>
            <w:r>
              <w:rPr>
                <w:rFonts w:hint="default" w:ascii="Times New Roman" w:hAnsi="Times New Roman" w:eastAsia="宋体" w:cs="Times New Roman"/>
                <w:sz w:val="15"/>
                <w:szCs w:val="15"/>
                <w:lang w:val="en-US" w:eastAsia="zh-CN"/>
              </w:rPr>
              <w:t>w</w:t>
            </w:r>
            <w:r>
              <w:rPr>
                <w:rFonts w:hint="default" w:ascii="Times New Roman" w:hAnsi="Times New Roman" w:eastAsia="宋体" w:cs="Times New Roman"/>
                <w:sz w:val="15"/>
                <w:szCs w:val="15"/>
                <w:vertAlign w:val="subscript"/>
              </w:rPr>
              <w:t>6</w:t>
            </w:r>
          </w:p>
        </w:tc>
        <w:tc>
          <w:tcPr>
            <w:tcW w:w="700" w:type="pct"/>
            <w:tcBorders>
              <w:top w:val="nil"/>
              <w:bottom w:val="nil"/>
            </w:tcBorders>
            <w:vAlign w:val="top"/>
          </w:tcPr>
          <w:p w14:paraId="363562C8">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1358.61±</w:t>
            </w:r>
          </w:p>
          <w:p w14:paraId="391B714B">
            <w:pPr>
              <w:pStyle w:val="44"/>
              <w:ind w:firstLine="0" w:firstLineChars="0"/>
              <w:jc w:val="center"/>
              <w:rPr>
                <w:rStyle w:val="45"/>
                <w:rFonts w:hint="default" w:ascii="Times New Roman" w:hAnsi="Times New Roman" w:eastAsia="宋体" w:cs="Times New Roman"/>
                <w:iCs w:val="0"/>
                <w:color w:val="FF0000"/>
                <w:sz w:val="15"/>
                <w:szCs w:val="15"/>
              </w:rPr>
            </w:pPr>
            <w:r>
              <w:rPr>
                <w:rFonts w:hint="default" w:ascii="Times New Roman" w:hAnsi="Times New Roman" w:eastAsia="宋体" w:cs="Times New Roman"/>
                <w:sz w:val="15"/>
                <w:szCs w:val="15"/>
              </w:rPr>
              <w:t>66.66Ad</w:t>
            </w:r>
          </w:p>
        </w:tc>
        <w:tc>
          <w:tcPr>
            <w:tcW w:w="783" w:type="pct"/>
            <w:tcBorders>
              <w:top w:val="nil"/>
              <w:bottom w:val="nil"/>
            </w:tcBorders>
            <w:vAlign w:val="top"/>
          </w:tcPr>
          <w:p w14:paraId="6CD60D87">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1550.02±</w:t>
            </w:r>
          </w:p>
          <w:p w14:paraId="6AD1F897">
            <w:pPr>
              <w:pStyle w:val="44"/>
              <w:ind w:firstLine="0" w:firstLineChars="0"/>
              <w:jc w:val="center"/>
              <w:rPr>
                <w:rStyle w:val="45"/>
                <w:rFonts w:hint="default" w:ascii="Times New Roman" w:hAnsi="Times New Roman" w:eastAsia="宋体" w:cs="Times New Roman"/>
                <w:iCs w:val="0"/>
                <w:color w:val="FF0000"/>
                <w:sz w:val="15"/>
                <w:szCs w:val="15"/>
              </w:rPr>
            </w:pPr>
            <w:r>
              <w:rPr>
                <w:rFonts w:hint="default" w:ascii="Times New Roman" w:hAnsi="Times New Roman" w:eastAsia="宋体" w:cs="Times New Roman"/>
                <w:sz w:val="15"/>
                <w:szCs w:val="15"/>
              </w:rPr>
              <w:t>150.63Ad</w:t>
            </w:r>
          </w:p>
        </w:tc>
        <w:tc>
          <w:tcPr>
            <w:tcW w:w="694" w:type="pct"/>
            <w:tcBorders>
              <w:top w:val="nil"/>
              <w:bottom w:val="nil"/>
            </w:tcBorders>
            <w:vAlign w:val="top"/>
          </w:tcPr>
          <w:p w14:paraId="143A9F23">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4628.22±</w:t>
            </w:r>
          </w:p>
          <w:p w14:paraId="27F7B2F2">
            <w:pPr>
              <w:pStyle w:val="44"/>
              <w:ind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17.18Ab</w:t>
            </w:r>
          </w:p>
        </w:tc>
        <w:tc>
          <w:tcPr>
            <w:tcW w:w="782" w:type="pct"/>
            <w:tcBorders>
              <w:top w:val="nil"/>
              <w:bottom w:val="nil"/>
            </w:tcBorders>
            <w:vAlign w:val="top"/>
          </w:tcPr>
          <w:p w14:paraId="6498AE5A">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5055.58±</w:t>
            </w:r>
          </w:p>
          <w:p w14:paraId="506594A0">
            <w:pPr>
              <w:pStyle w:val="44"/>
              <w:ind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23.29Ab</w:t>
            </w:r>
          </w:p>
        </w:tc>
        <w:tc>
          <w:tcPr>
            <w:tcW w:w="772" w:type="pct"/>
            <w:tcBorders>
              <w:top w:val="nil"/>
              <w:bottom w:val="nil"/>
            </w:tcBorders>
            <w:vAlign w:val="top"/>
          </w:tcPr>
          <w:p w14:paraId="6403A779">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5986.83±</w:t>
            </w:r>
          </w:p>
          <w:p w14:paraId="7B3CB5A1">
            <w:pPr>
              <w:pStyle w:val="44"/>
              <w:ind w:firstLine="0" w:firstLineChars="0"/>
              <w:jc w:val="center"/>
              <w:rPr>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82.57Bb</w:t>
            </w:r>
          </w:p>
        </w:tc>
        <w:tc>
          <w:tcPr>
            <w:tcW w:w="694" w:type="pct"/>
            <w:tcBorders>
              <w:top w:val="nil"/>
              <w:bottom w:val="nil"/>
            </w:tcBorders>
            <w:vAlign w:val="top"/>
          </w:tcPr>
          <w:p w14:paraId="6310D82C">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6605.60±</w:t>
            </w:r>
          </w:p>
          <w:p w14:paraId="18420566">
            <w:pPr>
              <w:pStyle w:val="44"/>
              <w:ind w:firstLine="0" w:firstLineChars="0"/>
              <w:jc w:val="center"/>
              <w:rPr>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145.24Ab</w:t>
            </w:r>
          </w:p>
        </w:tc>
      </w:tr>
      <w:tr w14:paraId="2F89664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573" w:type="pct"/>
            <w:tcBorders>
              <w:top w:val="nil"/>
              <w:bottom w:val="single" w:color="auto" w:sz="12" w:space="0"/>
            </w:tcBorders>
            <w:shd w:val="clear" w:color="auto" w:fill="auto"/>
            <w:vAlign w:val="center"/>
          </w:tcPr>
          <w:p w14:paraId="23DB224F">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A</w:t>
            </w:r>
            <w:r>
              <w:rPr>
                <w:rFonts w:hint="default" w:ascii="Times New Roman" w:hAnsi="Times New Roman" w:eastAsia="宋体" w:cs="Times New Roman"/>
                <w:sz w:val="15"/>
                <w:szCs w:val="15"/>
                <w:vertAlign w:val="subscript"/>
              </w:rPr>
              <w:t>0</w:t>
            </w:r>
            <w:r>
              <w:rPr>
                <w:rFonts w:hint="default" w:ascii="Times New Roman" w:hAnsi="Times New Roman" w:eastAsia="宋体" w:cs="Times New Roman"/>
                <w:sz w:val="15"/>
                <w:szCs w:val="15"/>
                <w:lang w:val="en-US" w:eastAsia="zh-CN"/>
              </w:rPr>
              <w:t>w</w:t>
            </w:r>
            <w:r>
              <w:rPr>
                <w:rFonts w:hint="default" w:ascii="Times New Roman" w:hAnsi="Times New Roman" w:eastAsia="宋体" w:cs="Times New Roman"/>
                <w:sz w:val="15"/>
                <w:szCs w:val="15"/>
                <w:vertAlign w:val="subscript"/>
              </w:rPr>
              <w:t>16</w:t>
            </w:r>
          </w:p>
        </w:tc>
        <w:tc>
          <w:tcPr>
            <w:tcW w:w="700" w:type="pct"/>
            <w:tcBorders>
              <w:top w:val="nil"/>
              <w:bottom w:val="single" w:color="auto" w:sz="12" w:space="0"/>
            </w:tcBorders>
            <w:shd w:val="clear" w:color="auto" w:fill="auto"/>
            <w:vAlign w:val="center"/>
          </w:tcPr>
          <w:p w14:paraId="28BFEF57">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w:t>
            </w:r>
          </w:p>
        </w:tc>
        <w:tc>
          <w:tcPr>
            <w:tcW w:w="783" w:type="pct"/>
            <w:tcBorders>
              <w:top w:val="nil"/>
              <w:bottom w:val="single" w:color="auto" w:sz="12" w:space="0"/>
            </w:tcBorders>
            <w:shd w:val="clear" w:color="auto" w:fill="auto"/>
            <w:vAlign w:val="center"/>
          </w:tcPr>
          <w:p w14:paraId="664DB0BF">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w:t>
            </w:r>
          </w:p>
        </w:tc>
        <w:tc>
          <w:tcPr>
            <w:tcW w:w="694" w:type="pct"/>
            <w:tcBorders>
              <w:top w:val="nil"/>
              <w:bottom w:val="single" w:color="auto" w:sz="12" w:space="0"/>
            </w:tcBorders>
            <w:shd w:val="clear" w:color="auto" w:fill="auto"/>
            <w:vAlign w:val="top"/>
          </w:tcPr>
          <w:p w14:paraId="4D828EEA">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7015.40±</w:t>
            </w:r>
          </w:p>
          <w:p w14:paraId="24B186B1">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277.79Ba</w:t>
            </w:r>
          </w:p>
        </w:tc>
        <w:tc>
          <w:tcPr>
            <w:tcW w:w="782" w:type="pct"/>
            <w:tcBorders>
              <w:top w:val="nil"/>
              <w:bottom w:val="single" w:color="auto" w:sz="12" w:space="0"/>
            </w:tcBorders>
            <w:shd w:val="clear" w:color="auto" w:fill="auto"/>
            <w:vAlign w:val="top"/>
          </w:tcPr>
          <w:p w14:paraId="49890C6B">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7563.00±</w:t>
            </w:r>
          </w:p>
          <w:p w14:paraId="29AE2FBA">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110.12Aa</w:t>
            </w:r>
          </w:p>
        </w:tc>
        <w:tc>
          <w:tcPr>
            <w:tcW w:w="1391" w:type="dxa"/>
            <w:tcBorders>
              <w:top w:val="nil"/>
              <w:bottom w:val="single" w:color="auto" w:sz="12" w:space="0"/>
            </w:tcBorders>
            <w:shd w:val="clear" w:color="auto" w:fill="auto"/>
            <w:vAlign w:val="top"/>
          </w:tcPr>
          <w:p w14:paraId="1A69B7A8">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7015.40±</w:t>
            </w:r>
          </w:p>
          <w:p w14:paraId="64B76DA3">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277.79Ba</w:t>
            </w:r>
          </w:p>
        </w:tc>
        <w:tc>
          <w:tcPr>
            <w:tcW w:w="1250" w:type="dxa"/>
            <w:tcBorders>
              <w:top w:val="nil"/>
              <w:bottom w:val="single" w:color="auto" w:sz="12" w:space="0"/>
            </w:tcBorders>
            <w:shd w:val="clear" w:color="auto" w:fill="auto"/>
            <w:vAlign w:val="top"/>
          </w:tcPr>
          <w:p w14:paraId="6BF5FC99">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7563.00±</w:t>
            </w:r>
          </w:p>
          <w:p w14:paraId="56E8797C">
            <w:pPr>
              <w:pStyle w:val="44"/>
              <w:ind w:firstLine="0" w:firstLineChars="0"/>
              <w:jc w:val="center"/>
              <w:rPr>
                <w:rFonts w:hint="default" w:ascii="Times New Roman" w:hAnsi="Times New Roman" w:eastAsia="宋体" w:cs="Times New Roman"/>
                <w:sz w:val="15"/>
                <w:szCs w:val="15"/>
              </w:rPr>
            </w:pPr>
            <w:r>
              <w:rPr>
                <w:rFonts w:hint="default" w:ascii="Times New Roman" w:hAnsi="Times New Roman" w:eastAsia="宋体" w:cs="Times New Roman"/>
                <w:sz w:val="15"/>
                <w:szCs w:val="15"/>
              </w:rPr>
              <w:t>110.12Aa</w:t>
            </w:r>
          </w:p>
        </w:tc>
      </w:tr>
    </w:tbl>
    <w:p w14:paraId="330A66DE">
      <w:pPr>
        <w:widowControl w:val="0"/>
        <w:numPr>
          <w:ilvl w:val="0"/>
          <w:numId w:val="0"/>
        </w:numPr>
        <w:spacing w:after="160" w:line="278" w:lineRule="auto"/>
        <w:rPr>
          <w:rFonts w:hint="default" w:ascii="Times New Roman" w:hAnsi="Times New Roman" w:eastAsia="宋体" w:cs="Times New Roman"/>
          <w:sz w:val="24"/>
          <w:lang w:val="en-US" w:eastAsia="zh-CN"/>
        </w:rPr>
      </w:pPr>
    </w:p>
    <w:p w14:paraId="5DD9E3C2">
      <w:pPr>
        <w:widowControl w:val="0"/>
        <w:numPr>
          <w:ilvl w:val="0"/>
          <w:numId w:val="2"/>
        </w:numPr>
        <w:spacing w:after="160" w:line="278" w:lineRule="auto"/>
        <w:ind w:left="0" w:leftChars="0" w:firstLine="0" w:firstLineChars="0"/>
        <w:rPr>
          <w:rFonts w:hint="eastAsia" w:ascii="宋体" w:hAnsi="宋体" w:eastAsia="宋体" w:cs="宋体"/>
          <w:sz w:val="24"/>
          <w:lang w:val="en-US" w:eastAsia="zh-CN"/>
        </w:rPr>
      </w:pPr>
      <w:r>
        <w:rPr>
          <w:rFonts w:hint="eastAsia" w:ascii="宋体" w:hAnsi="宋体" w:eastAsia="宋体" w:cs="宋体"/>
          <w:sz w:val="24"/>
          <w:lang w:val="en-US" w:eastAsia="zh-CN"/>
        </w:rPr>
        <w:t>紫花苜蓿与饲用大麦间作系统的土地当量比</w:t>
      </w:r>
    </w:p>
    <w:p w14:paraId="0D94FB8D">
      <w:pPr>
        <w:keepNext w:val="0"/>
        <w:keepLines w:val="0"/>
        <w:pageBreakBefore w:val="0"/>
        <w:widowControl w:val="0"/>
        <w:numPr>
          <w:ilvl w:val="0"/>
          <w:numId w:val="0"/>
        </w:numPr>
        <w:kinsoku/>
        <w:wordWrap/>
        <w:overflowPunct/>
        <w:topLinePunct w:val="0"/>
        <w:autoSpaceDE/>
        <w:autoSpaceDN/>
        <w:bidi w:val="0"/>
        <w:adjustRightInd/>
        <w:snapToGrid/>
        <w:spacing w:after="160" w:line="360" w:lineRule="auto"/>
        <w:ind w:firstLine="480" w:firstLineChars="200"/>
        <w:textAlignment w:val="auto"/>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如表3所示，</w:t>
      </w:r>
      <w:r>
        <w:rPr>
          <w:rFonts w:hint="default" w:ascii="Times New Roman" w:hAnsi="Times New Roman" w:eastAsia="宋体" w:cs="Times New Roman"/>
          <w:sz w:val="24"/>
          <w:lang w:val="en-US" w:eastAsia="zh-CN"/>
        </w:rPr>
        <w:t>紫花苜蓿与饲用</w:t>
      </w:r>
      <w:r>
        <w:rPr>
          <w:rFonts w:hint="eastAsia" w:ascii="Times New Roman" w:hAnsi="Times New Roman" w:eastAsia="宋体" w:cs="Times New Roman"/>
          <w:sz w:val="24"/>
          <w:lang w:val="en-US" w:eastAsia="zh-CN"/>
        </w:rPr>
        <w:t>大麦在</w:t>
      </w:r>
      <w:r>
        <w:rPr>
          <w:rFonts w:hint="default" w:ascii="Times New Roman" w:hAnsi="Times New Roman" w:eastAsia="宋体" w:cs="Times New Roman"/>
          <w:sz w:val="24"/>
          <w:lang w:val="en-US" w:eastAsia="zh-CN"/>
        </w:rPr>
        <w:t>不同间作模式下的土地当量比（LER）有所不同</w:t>
      </w:r>
      <w:r>
        <w:rPr>
          <w:rFonts w:hint="eastAsia" w:ascii="Times New Roman" w:hAnsi="Times New Roman" w:eastAsia="宋体" w:cs="Times New Roman"/>
          <w:sz w:val="24"/>
          <w:lang w:val="en-US" w:eastAsia="zh-CN"/>
        </w:rPr>
        <w:t>。</w:t>
      </w:r>
      <w:r>
        <w:rPr>
          <w:rFonts w:hint="default" w:ascii="Times New Roman" w:hAnsi="Times New Roman" w:eastAsia="宋体" w:cs="Times New Roman"/>
          <w:sz w:val="24"/>
          <w:lang w:val="en-US" w:eastAsia="zh-CN"/>
        </w:rPr>
        <w:t>P0条件下，A6</w:t>
      </w:r>
      <w:r>
        <w:rPr>
          <w:rFonts w:hint="eastAsia" w:ascii="Times New Roman" w:hAnsi="Times New Roman" w:eastAsia="宋体" w:cs="Times New Roman"/>
          <w:sz w:val="24"/>
          <w:lang w:val="en-US" w:eastAsia="zh-CN"/>
        </w:rPr>
        <w:t>W</w:t>
      </w:r>
      <w:r>
        <w:rPr>
          <w:rFonts w:hint="default" w:ascii="Times New Roman" w:hAnsi="Times New Roman" w:eastAsia="宋体" w:cs="Times New Roman"/>
          <w:sz w:val="24"/>
          <w:lang w:val="en-US" w:eastAsia="zh-CN"/>
        </w:rPr>
        <w:t>2种植模式下的土地当量比最大，为1.06。P1条件下，A6</w:t>
      </w:r>
      <w:r>
        <w:rPr>
          <w:rFonts w:hint="eastAsia" w:ascii="Times New Roman" w:hAnsi="Times New Roman" w:eastAsia="宋体" w:cs="Times New Roman"/>
          <w:sz w:val="24"/>
          <w:lang w:val="en-US" w:eastAsia="zh-CN"/>
        </w:rPr>
        <w:t>W</w:t>
      </w:r>
      <w:r>
        <w:rPr>
          <w:rFonts w:hint="default" w:ascii="Times New Roman" w:hAnsi="Times New Roman" w:eastAsia="宋体" w:cs="Times New Roman"/>
          <w:sz w:val="24"/>
          <w:lang w:val="en-US" w:eastAsia="zh-CN"/>
        </w:rPr>
        <w:t>2种植模式下的土地当量比最大，为1.04。</w:t>
      </w:r>
    </w:p>
    <w:p w14:paraId="0E8FCE45">
      <w:pPr>
        <w:keepNext w:val="0"/>
        <w:keepLines w:val="0"/>
        <w:pageBreakBefore w:val="0"/>
        <w:widowControl w:val="0"/>
        <w:numPr>
          <w:ilvl w:val="0"/>
          <w:numId w:val="0"/>
        </w:numPr>
        <w:kinsoku/>
        <w:wordWrap/>
        <w:overflowPunct/>
        <w:topLinePunct w:val="0"/>
        <w:autoSpaceDE/>
        <w:autoSpaceDN/>
        <w:bidi w:val="0"/>
        <w:adjustRightInd/>
        <w:snapToGrid/>
        <w:spacing w:after="160" w:line="360" w:lineRule="auto"/>
        <w:ind w:firstLine="480" w:firstLineChars="200"/>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磷肥的施用对同一种植模式下土地当量比影响较小。仅A2</w:t>
      </w:r>
      <w:r>
        <w:rPr>
          <w:rFonts w:hint="eastAsia" w:ascii="Times New Roman" w:hAnsi="Times New Roman" w:eastAsia="宋体" w:cs="Times New Roman"/>
          <w:sz w:val="24"/>
          <w:lang w:val="en-US" w:eastAsia="zh-CN"/>
        </w:rPr>
        <w:t>W</w:t>
      </w:r>
      <w:r>
        <w:rPr>
          <w:rFonts w:hint="default" w:ascii="Times New Roman" w:hAnsi="Times New Roman" w:eastAsia="宋体" w:cs="Times New Roman"/>
          <w:sz w:val="24"/>
          <w:lang w:val="en-US" w:eastAsia="zh-CN"/>
        </w:rPr>
        <w:t>6种植模式下土地当量比有略微提升，A6</w:t>
      </w:r>
      <w:r>
        <w:rPr>
          <w:rFonts w:hint="eastAsia" w:ascii="Times New Roman" w:hAnsi="Times New Roman" w:eastAsia="宋体" w:cs="Times New Roman"/>
          <w:sz w:val="24"/>
          <w:lang w:val="en-US" w:eastAsia="zh-CN"/>
        </w:rPr>
        <w:t>W</w:t>
      </w:r>
      <w:r>
        <w:rPr>
          <w:rFonts w:hint="default" w:ascii="Times New Roman" w:hAnsi="Times New Roman" w:eastAsia="宋体" w:cs="Times New Roman"/>
          <w:sz w:val="24"/>
          <w:lang w:val="en-US" w:eastAsia="zh-CN"/>
        </w:rPr>
        <w:t xml:space="preserve">2种植模式下的土地当量比相较对照略有下降。 </w:t>
      </w:r>
    </w:p>
    <w:p w14:paraId="30FF273F">
      <w:pPr>
        <w:widowControl w:val="0"/>
        <w:numPr>
          <w:ilvl w:val="0"/>
          <w:numId w:val="0"/>
        </w:numPr>
        <w:spacing w:after="160" w:line="278"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表3 不同间作种植模式下的土地当量比</w:t>
      </w:r>
    </w:p>
    <w:tbl>
      <w:tblPr>
        <w:tblStyle w:val="47"/>
        <w:tblW w:w="536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47"/>
        <w:gridCol w:w="1283"/>
        <w:gridCol w:w="1431"/>
        <w:gridCol w:w="1269"/>
        <w:gridCol w:w="1431"/>
        <w:gridCol w:w="1414"/>
        <w:gridCol w:w="1267"/>
      </w:tblGrid>
      <w:tr w14:paraId="1A29782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64" w:type="pct"/>
            <w:vMerge w:val="restart"/>
            <w:tcBorders>
              <w:top w:val="single" w:color="auto" w:sz="12" w:space="0"/>
              <w:left w:val="nil"/>
              <w:bottom w:val="single" w:color="auto" w:sz="8" w:space="0"/>
              <w:right w:val="nil"/>
              <w:insideH w:val="single" w:sz="8" w:space="0"/>
              <w:insideV w:val="nil"/>
              <w:tl2br w:val="nil"/>
              <w:tr2bl w:val="nil"/>
            </w:tcBorders>
            <w:vAlign w:val="center"/>
          </w:tcPr>
          <w:p w14:paraId="4C10A13E">
            <w:pPr>
              <w:pStyle w:val="44"/>
              <w:ind w:firstLine="0" w:firstLineChars="0"/>
              <w:jc w:val="center"/>
              <w:rPr>
                <w:rStyle w:val="45"/>
                <w:rFonts w:hint="default" w:ascii="Times New Roman" w:hAnsi="Times New Roman" w:eastAsia="宋体" w:cs="Times New Roman"/>
                <w:iCs w:val="0"/>
                <w:sz w:val="15"/>
                <w:szCs w:val="15"/>
                <w:lang w:val="en-US" w:eastAsia="zh-CN"/>
              </w:rPr>
            </w:pPr>
            <w:r>
              <w:rPr>
                <w:rStyle w:val="45"/>
                <w:rFonts w:hint="eastAsia" w:ascii="Times New Roman" w:hAnsi="Times New Roman" w:eastAsia="宋体" w:cs="Times New Roman"/>
                <w:iCs w:val="0"/>
                <w:sz w:val="15"/>
                <w:szCs w:val="15"/>
                <w:lang w:val="en-US" w:eastAsia="zh-CN"/>
              </w:rPr>
              <w:t>间作模式</w:t>
            </w:r>
          </w:p>
        </w:tc>
        <w:tc>
          <w:tcPr>
            <w:tcW w:w="2914" w:type="pct"/>
            <w:gridSpan w:val="4"/>
            <w:tcBorders>
              <w:top w:val="single" w:color="auto" w:sz="12" w:space="0"/>
              <w:bottom w:val="single" w:color="auto" w:sz="8" w:space="0"/>
              <w:right w:val="nil"/>
              <w:insideH w:val="single" w:sz="8" w:space="0"/>
              <w:insideV w:val="nil"/>
              <w:tl2br w:val="nil"/>
              <w:tr2bl w:val="nil"/>
            </w:tcBorders>
            <w:vAlign w:val="center"/>
          </w:tcPr>
          <w:p w14:paraId="3506AC27">
            <w:pPr>
              <w:pStyle w:val="44"/>
              <w:ind w:firstLine="0" w:firstLineChars="0"/>
              <w:jc w:val="center"/>
              <w:rPr>
                <w:rStyle w:val="45"/>
                <w:rFonts w:hint="default" w:ascii="Times New Roman" w:hAnsi="Times New Roman" w:eastAsia="宋体" w:cs="Times New Roman"/>
                <w:iCs w:val="0"/>
                <w:sz w:val="15"/>
                <w:szCs w:val="15"/>
              </w:rPr>
            </w:pPr>
            <w:r>
              <w:rPr>
                <w:rStyle w:val="45"/>
                <w:rFonts w:hint="default" w:ascii="Times New Roman" w:hAnsi="Times New Roman" w:eastAsia="宋体" w:cs="Times New Roman"/>
                <w:iCs w:val="0"/>
                <w:sz w:val="15"/>
                <w:szCs w:val="15"/>
              </w:rPr>
              <w:t>偏土地当量比 PLER</w:t>
            </w:r>
          </w:p>
        </w:tc>
        <w:tc>
          <w:tcPr>
            <w:tcW w:w="1443" w:type="pct"/>
            <w:gridSpan w:val="2"/>
            <w:vMerge w:val="restart"/>
            <w:tcBorders>
              <w:top w:val="single" w:color="auto" w:sz="12" w:space="0"/>
              <w:bottom w:val="single" w:color="auto" w:sz="8" w:space="0"/>
              <w:right w:val="nil"/>
              <w:insideH w:val="single" w:sz="8" w:space="0"/>
              <w:insideV w:val="nil"/>
              <w:tl2br w:val="nil"/>
              <w:tr2bl w:val="nil"/>
            </w:tcBorders>
            <w:vAlign w:val="bottom"/>
          </w:tcPr>
          <w:p w14:paraId="5C072BD5">
            <w:pPr>
              <w:pStyle w:val="44"/>
              <w:ind w:firstLine="0" w:firstLineChars="0"/>
              <w:jc w:val="center"/>
              <w:rPr>
                <w:rStyle w:val="45"/>
                <w:rFonts w:hint="default" w:ascii="Times New Roman" w:hAnsi="Times New Roman" w:eastAsia="宋体" w:cs="Times New Roman"/>
                <w:iCs w:val="0"/>
                <w:sz w:val="15"/>
                <w:szCs w:val="15"/>
              </w:rPr>
            </w:pPr>
            <w:r>
              <w:rPr>
                <w:rStyle w:val="45"/>
                <w:rFonts w:hint="default" w:ascii="Times New Roman" w:hAnsi="Times New Roman" w:eastAsia="宋体" w:cs="Times New Roman"/>
                <w:iCs w:val="0"/>
                <w:sz w:val="15"/>
                <w:szCs w:val="15"/>
              </w:rPr>
              <w:t>土地当量比 LER</w:t>
            </w:r>
          </w:p>
        </w:tc>
      </w:tr>
      <w:tr w14:paraId="0B9861F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64" w:type="pct"/>
            <w:vMerge w:val="continue"/>
            <w:vAlign w:val="center"/>
          </w:tcPr>
          <w:p w14:paraId="43F3279D">
            <w:pPr>
              <w:pStyle w:val="44"/>
              <w:ind w:firstLine="0" w:firstLineChars="0"/>
              <w:jc w:val="center"/>
              <w:rPr>
                <w:rStyle w:val="45"/>
                <w:rFonts w:hint="default" w:ascii="Times New Roman" w:hAnsi="Times New Roman" w:eastAsia="宋体" w:cs="Times New Roman"/>
                <w:iCs w:val="0"/>
                <w:sz w:val="15"/>
                <w:szCs w:val="15"/>
              </w:rPr>
            </w:pPr>
          </w:p>
        </w:tc>
        <w:tc>
          <w:tcPr>
            <w:tcW w:w="1461" w:type="pct"/>
            <w:gridSpan w:val="2"/>
            <w:tcBorders>
              <w:top w:val="single" w:color="auto" w:sz="8" w:space="0"/>
              <w:bottom w:val="single" w:color="auto" w:sz="8" w:space="0"/>
            </w:tcBorders>
            <w:vAlign w:val="center"/>
          </w:tcPr>
          <w:p w14:paraId="62439BC2">
            <w:pPr>
              <w:pStyle w:val="44"/>
              <w:ind w:firstLine="0" w:firstLineChars="0"/>
              <w:jc w:val="center"/>
              <w:rPr>
                <w:rStyle w:val="45"/>
                <w:rFonts w:hint="default" w:ascii="Times New Roman" w:hAnsi="Times New Roman" w:eastAsia="宋体" w:cs="Times New Roman"/>
                <w:iCs w:val="0"/>
                <w:sz w:val="15"/>
                <w:szCs w:val="15"/>
              </w:rPr>
            </w:pPr>
            <w:r>
              <w:rPr>
                <w:rStyle w:val="45"/>
                <w:rFonts w:hint="default" w:ascii="Times New Roman" w:hAnsi="Times New Roman" w:eastAsia="宋体" w:cs="Times New Roman"/>
                <w:iCs w:val="0"/>
                <w:sz w:val="15"/>
                <w:szCs w:val="15"/>
              </w:rPr>
              <w:t>PLER</w:t>
            </w:r>
            <w:r>
              <w:rPr>
                <w:rStyle w:val="45"/>
                <w:rFonts w:hint="default" w:ascii="Times New Roman" w:hAnsi="Times New Roman" w:eastAsia="宋体" w:cs="Times New Roman"/>
                <w:iCs w:val="0"/>
                <w:sz w:val="15"/>
                <w:szCs w:val="15"/>
                <w:vertAlign w:val="subscript"/>
              </w:rPr>
              <w:t>A</w:t>
            </w:r>
          </w:p>
        </w:tc>
        <w:tc>
          <w:tcPr>
            <w:tcW w:w="1453" w:type="pct"/>
            <w:gridSpan w:val="2"/>
            <w:tcBorders>
              <w:top w:val="single" w:color="auto" w:sz="8" w:space="0"/>
              <w:bottom w:val="single" w:color="auto" w:sz="8" w:space="0"/>
            </w:tcBorders>
            <w:vAlign w:val="center"/>
          </w:tcPr>
          <w:p w14:paraId="56BB46A1">
            <w:pPr>
              <w:pStyle w:val="44"/>
              <w:ind w:firstLine="0" w:firstLineChars="0"/>
              <w:jc w:val="center"/>
              <w:rPr>
                <w:rStyle w:val="45"/>
                <w:rFonts w:hint="default" w:ascii="Times New Roman" w:hAnsi="Times New Roman" w:eastAsia="宋体" w:cs="Times New Roman"/>
                <w:iCs w:val="0"/>
                <w:sz w:val="15"/>
                <w:szCs w:val="15"/>
              </w:rPr>
            </w:pPr>
            <w:r>
              <w:rPr>
                <w:rStyle w:val="45"/>
                <w:rFonts w:hint="default" w:ascii="Times New Roman" w:hAnsi="Times New Roman" w:eastAsia="宋体" w:cs="Times New Roman"/>
                <w:iCs w:val="0"/>
                <w:sz w:val="15"/>
                <w:szCs w:val="15"/>
              </w:rPr>
              <w:t>PLER</w:t>
            </w:r>
            <w:r>
              <w:rPr>
                <w:rStyle w:val="45"/>
                <w:rFonts w:hint="default" w:ascii="Times New Roman" w:hAnsi="Times New Roman" w:eastAsia="宋体" w:cs="Times New Roman"/>
                <w:iCs w:val="0"/>
                <w:sz w:val="15"/>
                <w:szCs w:val="15"/>
                <w:vertAlign w:val="subscript"/>
              </w:rPr>
              <w:t>M</w:t>
            </w:r>
          </w:p>
        </w:tc>
        <w:tc>
          <w:tcPr>
            <w:tcW w:w="1443" w:type="pct"/>
            <w:gridSpan w:val="2"/>
            <w:vMerge w:val="continue"/>
            <w:tcBorders>
              <w:bottom w:val="nil"/>
            </w:tcBorders>
            <w:vAlign w:val="center"/>
          </w:tcPr>
          <w:p w14:paraId="69917091">
            <w:pPr>
              <w:pStyle w:val="44"/>
              <w:ind w:firstLine="0" w:firstLineChars="0"/>
              <w:jc w:val="center"/>
              <w:rPr>
                <w:rStyle w:val="45"/>
                <w:rFonts w:hint="default" w:ascii="Times New Roman" w:hAnsi="Times New Roman" w:eastAsia="宋体" w:cs="Times New Roman"/>
                <w:iCs w:val="0"/>
                <w:sz w:val="15"/>
                <w:szCs w:val="15"/>
              </w:rPr>
            </w:pPr>
          </w:p>
        </w:tc>
      </w:tr>
      <w:tr w14:paraId="77EA9EC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64" w:type="pct"/>
            <w:vMerge w:val="continue"/>
            <w:tcBorders>
              <w:bottom w:val="single" w:color="auto" w:sz="8" w:space="0"/>
            </w:tcBorders>
            <w:vAlign w:val="center"/>
          </w:tcPr>
          <w:p w14:paraId="6FF2FACC">
            <w:pPr>
              <w:pStyle w:val="44"/>
              <w:ind w:firstLine="0" w:firstLineChars="0"/>
              <w:jc w:val="center"/>
              <w:rPr>
                <w:rStyle w:val="45"/>
                <w:rFonts w:hint="default" w:ascii="Times New Roman" w:hAnsi="Times New Roman" w:eastAsia="宋体" w:cs="Times New Roman"/>
                <w:iCs w:val="0"/>
                <w:sz w:val="15"/>
                <w:szCs w:val="15"/>
              </w:rPr>
            </w:pPr>
          </w:p>
        </w:tc>
        <w:tc>
          <w:tcPr>
            <w:tcW w:w="691" w:type="pct"/>
            <w:tcBorders>
              <w:top w:val="single" w:color="auto" w:sz="8" w:space="0"/>
              <w:bottom w:val="single" w:color="auto" w:sz="8" w:space="0"/>
            </w:tcBorders>
            <w:vAlign w:val="center"/>
          </w:tcPr>
          <w:p w14:paraId="578C5B8B">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P</w:t>
            </w:r>
            <w:r>
              <w:rPr>
                <w:rFonts w:hint="default" w:ascii="Times New Roman" w:hAnsi="Times New Roman" w:eastAsia="宋体" w:cs="Times New Roman"/>
                <w:sz w:val="15"/>
                <w:szCs w:val="15"/>
                <w:vertAlign w:val="subscript"/>
              </w:rPr>
              <w:t>0</w:t>
            </w:r>
          </w:p>
        </w:tc>
        <w:tc>
          <w:tcPr>
            <w:tcW w:w="769" w:type="pct"/>
            <w:tcBorders>
              <w:top w:val="single" w:color="auto" w:sz="8" w:space="0"/>
              <w:bottom w:val="single" w:color="auto" w:sz="8" w:space="0"/>
            </w:tcBorders>
            <w:vAlign w:val="center"/>
          </w:tcPr>
          <w:p w14:paraId="3EA0D204">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P</w:t>
            </w:r>
            <w:r>
              <w:rPr>
                <w:rFonts w:hint="default" w:ascii="Times New Roman" w:hAnsi="Times New Roman" w:eastAsia="宋体" w:cs="Times New Roman"/>
                <w:sz w:val="15"/>
                <w:szCs w:val="15"/>
                <w:vertAlign w:val="subscript"/>
              </w:rPr>
              <w:t>1</w:t>
            </w:r>
          </w:p>
        </w:tc>
        <w:tc>
          <w:tcPr>
            <w:tcW w:w="683" w:type="pct"/>
            <w:tcBorders>
              <w:top w:val="single" w:color="auto" w:sz="8" w:space="0"/>
              <w:bottom w:val="single" w:color="auto" w:sz="8" w:space="0"/>
            </w:tcBorders>
            <w:vAlign w:val="center"/>
          </w:tcPr>
          <w:p w14:paraId="3AA5BA39">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P</w:t>
            </w:r>
            <w:r>
              <w:rPr>
                <w:rFonts w:hint="default" w:ascii="Times New Roman" w:hAnsi="Times New Roman" w:eastAsia="宋体" w:cs="Times New Roman"/>
                <w:sz w:val="15"/>
                <w:szCs w:val="15"/>
                <w:vertAlign w:val="subscript"/>
              </w:rPr>
              <w:t>0</w:t>
            </w:r>
          </w:p>
        </w:tc>
        <w:tc>
          <w:tcPr>
            <w:tcW w:w="769" w:type="pct"/>
            <w:tcBorders>
              <w:top w:val="single" w:color="auto" w:sz="8" w:space="0"/>
              <w:bottom w:val="single" w:color="auto" w:sz="8" w:space="0"/>
            </w:tcBorders>
            <w:vAlign w:val="center"/>
          </w:tcPr>
          <w:p w14:paraId="02E5DD39">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P</w:t>
            </w:r>
            <w:r>
              <w:rPr>
                <w:rFonts w:hint="default" w:ascii="Times New Roman" w:hAnsi="Times New Roman" w:eastAsia="宋体" w:cs="Times New Roman"/>
                <w:sz w:val="15"/>
                <w:szCs w:val="15"/>
                <w:vertAlign w:val="subscript"/>
              </w:rPr>
              <w:t>1</w:t>
            </w:r>
          </w:p>
        </w:tc>
        <w:tc>
          <w:tcPr>
            <w:tcW w:w="761" w:type="pct"/>
            <w:tcBorders>
              <w:top w:val="nil"/>
              <w:bottom w:val="single" w:color="auto" w:sz="8" w:space="0"/>
            </w:tcBorders>
            <w:vAlign w:val="center"/>
          </w:tcPr>
          <w:p w14:paraId="4764963E">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P</w:t>
            </w:r>
            <w:r>
              <w:rPr>
                <w:rFonts w:hint="default" w:ascii="Times New Roman" w:hAnsi="Times New Roman" w:eastAsia="宋体" w:cs="Times New Roman"/>
                <w:sz w:val="15"/>
                <w:szCs w:val="15"/>
                <w:vertAlign w:val="subscript"/>
              </w:rPr>
              <w:t>0</w:t>
            </w:r>
          </w:p>
        </w:tc>
        <w:tc>
          <w:tcPr>
            <w:tcW w:w="682" w:type="pct"/>
            <w:tcBorders>
              <w:top w:val="nil"/>
              <w:bottom w:val="single" w:color="auto" w:sz="8" w:space="0"/>
            </w:tcBorders>
            <w:vAlign w:val="center"/>
          </w:tcPr>
          <w:p w14:paraId="78E4ADC0">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P</w:t>
            </w:r>
            <w:r>
              <w:rPr>
                <w:rFonts w:hint="default" w:ascii="Times New Roman" w:hAnsi="Times New Roman" w:eastAsia="宋体" w:cs="Times New Roman"/>
                <w:sz w:val="15"/>
                <w:szCs w:val="15"/>
                <w:vertAlign w:val="subscript"/>
              </w:rPr>
              <w:t>1</w:t>
            </w:r>
          </w:p>
        </w:tc>
      </w:tr>
      <w:tr w14:paraId="78AF9C6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64" w:type="pct"/>
            <w:tcBorders>
              <w:top w:val="single" w:color="auto" w:sz="8" w:space="0"/>
              <w:bottom w:val="nil"/>
            </w:tcBorders>
            <w:vAlign w:val="center"/>
          </w:tcPr>
          <w:p w14:paraId="7EDB08A4">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A</w:t>
            </w:r>
            <w:r>
              <w:rPr>
                <w:rFonts w:hint="default" w:ascii="Times New Roman" w:hAnsi="Times New Roman" w:eastAsia="宋体" w:cs="Times New Roman"/>
                <w:sz w:val="15"/>
                <w:szCs w:val="15"/>
                <w:vertAlign w:val="subscript"/>
              </w:rPr>
              <w:t>6</w:t>
            </w:r>
            <w:r>
              <w:rPr>
                <w:rFonts w:hint="default" w:ascii="Times New Roman" w:hAnsi="Times New Roman" w:eastAsia="宋体" w:cs="Times New Roman"/>
                <w:sz w:val="15"/>
                <w:szCs w:val="15"/>
                <w:lang w:val="en-US" w:eastAsia="zh-CN"/>
              </w:rPr>
              <w:t>W</w:t>
            </w:r>
            <w:r>
              <w:rPr>
                <w:rFonts w:hint="default" w:ascii="Times New Roman" w:hAnsi="Times New Roman" w:eastAsia="宋体" w:cs="Times New Roman"/>
                <w:sz w:val="15"/>
                <w:szCs w:val="15"/>
                <w:vertAlign w:val="subscript"/>
              </w:rPr>
              <w:t>2</w:t>
            </w:r>
          </w:p>
        </w:tc>
        <w:tc>
          <w:tcPr>
            <w:tcW w:w="691" w:type="pct"/>
            <w:tcBorders>
              <w:top w:val="single" w:color="auto" w:sz="8" w:space="0"/>
              <w:bottom w:val="nil"/>
            </w:tcBorders>
            <w:vAlign w:val="center"/>
          </w:tcPr>
          <w:p w14:paraId="54BD9FCC">
            <w:pPr>
              <w:pStyle w:val="44"/>
              <w:ind w:firstLine="0" w:firstLineChars="0"/>
              <w:jc w:val="center"/>
              <w:rPr>
                <w:rStyle w:val="45"/>
                <w:rFonts w:hint="default" w:ascii="Times New Roman" w:hAnsi="Times New Roman" w:eastAsia="宋体" w:cs="Times New Roman"/>
                <w:sz w:val="15"/>
                <w:szCs w:val="15"/>
              </w:rPr>
            </w:pPr>
            <w:r>
              <w:rPr>
                <w:rFonts w:hint="default" w:ascii="Times New Roman" w:hAnsi="Times New Roman" w:eastAsia="宋体" w:cs="Times New Roman"/>
                <w:sz w:val="15"/>
                <w:szCs w:val="15"/>
              </w:rPr>
              <w:t>0.81</w:t>
            </w:r>
          </w:p>
        </w:tc>
        <w:tc>
          <w:tcPr>
            <w:tcW w:w="769" w:type="pct"/>
            <w:tcBorders>
              <w:top w:val="single" w:color="auto" w:sz="8" w:space="0"/>
              <w:bottom w:val="nil"/>
            </w:tcBorders>
            <w:vAlign w:val="center"/>
          </w:tcPr>
          <w:p w14:paraId="138B588C">
            <w:pPr>
              <w:pStyle w:val="44"/>
              <w:ind w:left="0" w:leftChars="0"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0.78</w:t>
            </w:r>
          </w:p>
        </w:tc>
        <w:tc>
          <w:tcPr>
            <w:tcW w:w="683" w:type="pct"/>
            <w:tcBorders>
              <w:top w:val="single" w:color="auto" w:sz="8" w:space="0"/>
              <w:bottom w:val="nil"/>
            </w:tcBorders>
            <w:vAlign w:val="center"/>
          </w:tcPr>
          <w:p w14:paraId="59390401">
            <w:pPr>
              <w:pStyle w:val="44"/>
              <w:ind w:left="0" w:leftChars="0"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0.25</w:t>
            </w:r>
          </w:p>
        </w:tc>
        <w:tc>
          <w:tcPr>
            <w:tcW w:w="769" w:type="pct"/>
            <w:tcBorders>
              <w:top w:val="single" w:color="auto" w:sz="8" w:space="0"/>
              <w:bottom w:val="nil"/>
            </w:tcBorders>
            <w:vAlign w:val="center"/>
          </w:tcPr>
          <w:p w14:paraId="00548BBF">
            <w:pPr>
              <w:pStyle w:val="44"/>
              <w:ind w:left="0" w:leftChars="0"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0.26</w:t>
            </w:r>
          </w:p>
        </w:tc>
        <w:tc>
          <w:tcPr>
            <w:tcW w:w="761" w:type="pct"/>
            <w:tcBorders>
              <w:top w:val="single" w:color="auto" w:sz="6" w:space="0"/>
              <w:bottom w:val="nil"/>
            </w:tcBorders>
            <w:shd w:val="clear" w:color="auto" w:fill="auto"/>
            <w:vAlign w:val="center"/>
          </w:tcPr>
          <w:p w14:paraId="7B9C7121">
            <w:pPr>
              <w:pStyle w:val="44"/>
              <w:ind w:firstLine="0" w:firstLineChars="0"/>
              <w:jc w:val="center"/>
              <w:rPr>
                <w:rFonts w:hint="default" w:ascii="Times New Roman" w:hAnsi="Times New Roman" w:eastAsia="宋体" w:cs="Times New Roman"/>
                <w:color w:val="FF0000"/>
                <w:sz w:val="15"/>
                <w:szCs w:val="15"/>
              </w:rPr>
            </w:pPr>
            <w:r>
              <w:rPr>
                <w:rFonts w:hint="default" w:ascii="Times New Roman" w:hAnsi="Times New Roman" w:eastAsia="宋体" w:cs="Times New Roman"/>
                <w:color w:val="000000"/>
                <w:kern w:val="0"/>
                <w:sz w:val="15"/>
                <w:szCs w:val="15"/>
                <w:lang w:bidi="ar"/>
              </w:rPr>
              <w:t>1.06</w:t>
            </w:r>
          </w:p>
        </w:tc>
        <w:tc>
          <w:tcPr>
            <w:tcW w:w="682" w:type="pct"/>
            <w:tcBorders>
              <w:top w:val="single" w:color="auto" w:sz="6" w:space="0"/>
              <w:bottom w:val="nil"/>
            </w:tcBorders>
            <w:shd w:val="clear" w:color="auto" w:fill="auto"/>
            <w:vAlign w:val="center"/>
          </w:tcPr>
          <w:p w14:paraId="77790487">
            <w:pPr>
              <w:pStyle w:val="44"/>
              <w:ind w:left="0" w:leftChars="0" w:firstLine="0" w:firstLineChars="0"/>
              <w:jc w:val="center"/>
              <w:rPr>
                <w:rFonts w:hint="default" w:ascii="Times New Roman" w:hAnsi="Times New Roman" w:eastAsia="宋体" w:cs="Times New Roman"/>
                <w:color w:val="FF0000"/>
                <w:sz w:val="15"/>
                <w:szCs w:val="15"/>
              </w:rPr>
            </w:pPr>
            <w:r>
              <w:rPr>
                <w:rFonts w:hint="default" w:ascii="Times New Roman" w:hAnsi="Times New Roman" w:eastAsia="宋体" w:cs="Times New Roman"/>
                <w:color w:val="000000"/>
                <w:kern w:val="0"/>
                <w:sz w:val="15"/>
                <w:szCs w:val="15"/>
                <w:lang w:bidi="ar"/>
              </w:rPr>
              <w:t>1.04</w:t>
            </w:r>
          </w:p>
        </w:tc>
      </w:tr>
      <w:tr w14:paraId="1883209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564" w:type="pct"/>
            <w:tcBorders>
              <w:top w:val="nil"/>
              <w:bottom w:val="nil"/>
            </w:tcBorders>
            <w:vAlign w:val="center"/>
          </w:tcPr>
          <w:p w14:paraId="04115606">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A</w:t>
            </w:r>
            <w:r>
              <w:rPr>
                <w:rFonts w:hint="default" w:ascii="Times New Roman" w:hAnsi="Times New Roman" w:eastAsia="宋体" w:cs="Times New Roman"/>
                <w:sz w:val="15"/>
                <w:szCs w:val="15"/>
                <w:vertAlign w:val="subscript"/>
              </w:rPr>
              <w:t>4</w:t>
            </w:r>
            <w:r>
              <w:rPr>
                <w:rFonts w:hint="default" w:ascii="Times New Roman" w:hAnsi="Times New Roman" w:eastAsia="宋体" w:cs="Times New Roman"/>
                <w:sz w:val="15"/>
                <w:szCs w:val="15"/>
                <w:vertAlign w:val="baseline"/>
                <w:lang w:val="en-US" w:eastAsia="zh-CN"/>
              </w:rPr>
              <w:t>W</w:t>
            </w:r>
            <w:r>
              <w:rPr>
                <w:rFonts w:hint="default" w:ascii="Times New Roman" w:hAnsi="Times New Roman" w:eastAsia="宋体" w:cs="Times New Roman"/>
                <w:sz w:val="15"/>
                <w:szCs w:val="15"/>
                <w:vertAlign w:val="subscript"/>
              </w:rPr>
              <w:t>4</w:t>
            </w:r>
          </w:p>
        </w:tc>
        <w:tc>
          <w:tcPr>
            <w:tcW w:w="691" w:type="pct"/>
            <w:tcBorders>
              <w:top w:val="nil"/>
              <w:bottom w:val="nil"/>
            </w:tcBorders>
            <w:vAlign w:val="center"/>
          </w:tcPr>
          <w:p w14:paraId="1BA21CCF">
            <w:pPr>
              <w:pStyle w:val="44"/>
              <w:ind w:left="0" w:leftChars="0" w:firstLine="0" w:firstLineChars="0"/>
              <w:jc w:val="center"/>
              <w:rPr>
                <w:rStyle w:val="45"/>
                <w:rFonts w:hint="default" w:ascii="Times New Roman" w:hAnsi="Times New Roman" w:eastAsia="宋体" w:cs="Times New Roman"/>
                <w:sz w:val="15"/>
                <w:szCs w:val="15"/>
              </w:rPr>
            </w:pPr>
            <w:r>
              <w:rPr>
                <w:rFonts w:hint="default" w:ascii="Times New Roman" w:hAnsi="Times New Roman" w:eastAsia="宋体" w:cs="Times New Roman"/>
                <w:sz w:val="15"/>
                <w:szCs w:val="15"/>
              </w:rPr>
              <w:t>0.51</w:t>
            </w:r>
          </w:p>
        </w:tc>
        <w:tc>
          <w:tcPr>
            <w:tcW w:w="769" w:type="pct"/>
            <w:tcBorders>
              <w:top w:val="nil"/>
              <w:bottom w:val="nil"/>
            </w:tcBorders>
            <w:vAlign w:val="center"/>
          </w:tcPr>
          <w:p w14:paraId="3F8E2D04">
            <w:pPr>
              <w:pStyle w:val="44"/>
              <w:ind w:left="0" w:leftChars="0" w:firstLine="0" w:firstLineChars="0"/>
              <w:jc w:val="center"/>
              <w:rPr>
                <w:rStyle w:val="45"/>
                <w:rFonts w:hint="default" w:ascii="Times New Roman" w:hAnsi="Times New Roman" w:eastAsia="宋体" w:cs="Times New Roman"/>
                <w:iCs w:val="0"/>
                <w:color w:val="FF0000"/>
                <w:sz w:val="15"/>
                <w:szCs w:val="15"/>
              </w:rPr>
            </w:pPr>
            <w:r>
              <w:rPr>
                <w:rFonts w:hint="default" w:ascii="Times New Roman" w:hAnsi="Times New Roman" w:eastAsia="宋体" w:cs="Times New Roman"/>
                <w:sz w:val="15"/>
                <w:szCs w:val="15"/>
              </w:rPr>
              <w:t>0.50</w:t>
            </w:r>
          </w:p>
        </w:tc>
        <w:tc>
          <w:tcPr>
            <w:tcW w:w="683" w:type="pct"/>
            <w:tcBorders>
              <w:top w:val="nil"/>
              <w:bottom w:val="nil"/>
            </w:tcBorders>
            <w:vAlign w:val="center"/>
          </w:tcPr>
          <w:p w14:paraId="5DF5B5C8">
            <w:pPr>
              <w:pStyle w:val="44"/>
              <w:ind w:left="0" w:leftChars="0"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0.45</w:t>
            </w:r>
          </w:p>
        </w:tc>
        <w:tc>
          <w:tcPr>
            <w:tcW w:w="769" w:type="pct"/>
            <w:tcBorders>
              <w:top w:val="nil"/>
              <w:bottom w:val="nil"/>
            </w:tcBorders>
            <w:vAlign w:val="center"/>
          </w:tcPr>
          <w:p w14:paraId="0C778009">
            <w:pPr>
              <w:pStyle w:val="44"/>
              <w:ind w:left="0" w:leftChars="0"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0.46</w:t>
            </w:r>
          </w:p>
        </w:tc>
        <w:tc>
          <w:tcPr>
            <w:tcW w:w="761" w:type="pct"/>
            <w:tcBorders>
              <w:top w:val="nil"/>
              <w:bottom w:val="nil"/>
            </w:tcBorders>
            <w:shd w:val="clear" w:color="auto" w:fill="auto"/>
            <w:vAlign w:val="center"/>
          </w:tcPr>
          <w:p w14:paraId="0A59364D">
            <w:pPr>
              <w:pStyle w:val="44"/>
              <w:ind w:left="0" w:leftChars="0" w:firstLine="0" w:firstLineChars="0"/>
              <w:jc w:val="center"/>
              <w:rPr>
                <w:rFonts w:hint="default" w:ascii="Times New Roman" w:hAnsi="Times New Roman" w:eastAsia="宋体" w:cs="Times New Roman"/>
                <w:color w:val="FF0000"/>
                <w:sz w:val="15"/>
                <w:szCs w:val="15"/>
              </w:rPr>
            </w:pPr>
            <w:r>
              <w:rPr>
                <w:rFonts w:hint="default" w:ascii="Times New Roman" w:hAnsi="Times New Roman" w:eastAsia="宋体" w:cs="Times New Roman"/>
                <w:color w:val="000000"/>
                <w:kern w:val="0"/>
                <w:sz w:val="15"/>
                <w:szCs w:val="15"/>
                <w:lang w:bidi="ar"/>
              </w:rPr>
              <w:t>0.96</w:t>
            </w:r>
          </w:p>
        </w:tc>
        <w:tc>
          <w:tcPr>
            <w:tcW w:w="682" w:type="pct"/>
            <w:tcBorders>
              <w:top w:val="nil"/>
              <w:bottom w:val="nil"/>
            </w:tcBorders>
            <w:shd w:val="clear" w:color="auto" w:fill="auto"/>
            <w:vAlign w:val="center"/>
          </w:tcPr>
          <w:p w14:paraId="535C5704">
            <w:pPr>
              <w:pStyle w:val="44"/>
              <w:ind w:firstLine="0" w:firstLineChars="0"/>
              <w:jc w:val="center"/>
              <w:rPr>
                <w:rFonts w:hint="default" w:ascii="Times New Roman" w:hAnsi="Times New Roman" w:eastAsia="宋体" w:cs="Times New Roman"/>
                <w:color w:val="FF0000"/>
                <w:sz w:val="15"/>
                <w:szCs w:val="15"/>
              </w:rPr>
            </w:pPr>
            <w:r>
              <w:rPr>
                <w:rFonts w:hint="default" w:ascii="Times New Roman" w:hAnsi="Times New Roman" w:eastAsia="宋体" w:cs="Times New Roman"/>
                <w:color w:val="000000"/>
                <w:kern w:val="0"/>
                <w:sz w:val="15"/>
                <w:szCs w:val="15"/>
                <w:lang w:bidi="ar"/>
              </w:rPr>
              <w:t>0.96</w:t>
            </w:r>
          </w:p>
        </w:tc>
      </w:tr>
      <w:tr w14:paraId="6079223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64" w:type="pct"/>
            <w:tcBorders>
              <w:top w:val="nil"/>
            </w:tcBorders>
            <w:vAlign w:val="center"/>
          </w:tcPr>
          <w:p w14:paraId="7985855C">
            <w:pPr>
              <w:pStyle w:val="44"/>
              <w:ind w:firstLine="0" w:firstLineChars="0"/>
              <w:jc w:val="center"/>
              <w:rPr>
                <w:rStyle w:val="45"/>
                <w:rFonts w:hint="default" w:ascii="Times New Roman" w:hAnsi="Times New Roman" w:eastAsia="宋体" w:cs="Times New Roman"/>
                <w:iCs w:val="0"/>
                <w:sz w:val="15"/>
                <w:szCs w:val="15"/>
              </w:rPr>
            </w:pPr>
            <w:r>
              <w:rPr>
                <w:rFonts w:hint="default" w:ascii="Times New Roman" w:hAnsi="Times New Roman" w:eastAsia="宋体" w:cs="Times New Roman"/>
                <w:sz w:val="15"/>
                <w:szCs w:val="15"/>
              </w:rPr>
              <w:t>A</w:t>
            </w:r>
            <w:r>
              <w:rPr>
                <w:rFonts w:hint="default" w:ascii="Times New Roman" w:hAnsi="Times New Roman" w:eastAsia="宋体" w:cs="Times New Roman"/>
                <w:sz w:val="15"/>
                <w:szCs w:val="15"/>
                <w:vertAlign w:val="subscript"/>
              </w:rPr>
              <w:t>2</w:t>
            </w:r>
            <w:r>
              <w:rPr>
                <w:rFonts w:hint="default" w:ascii="Times New Roman" w:hAnsi="Times New Roman" w:eastAsia="宋体" w:cs="Times New Roman"/>
                <w:sz w:val="15"/>
                <w:szCs w:val="15"/>
                <w:lang w:val="en-US" w:eastAsia="zh-CN"/>
              </w:rPr>
              <w:t>W</w:t>
            </w:r>
            <w:r>
              <w:rPr>
                <w:rFonts w:hint="default" w:ascii="Times New Roman" w:hAnsi="Times New Roman" w:eastAsia="宋体" w:cs="Times New Roman"/>
                <w:sz w:val="15"/>
                <w:szCs w:val="15"/>
                <w:vertAlign w:val="subscript"/>
              </w:rPr>
              <w:t>6</w:t>
            </w:r>
          </w:p>
        </w:tc>
        <w:tc>
          <w:tcPr>
            <w:tcW w:w="691" w:type="pct"/>
            <w:tcBorders>
              <w:top w:val="nil"/>
            </w:tcBorders>
            <w:vAlign w:val="center"/>
          </w:tcPr>
          <w:p w14:paraId="24748C9E">
            <w:pPr>
              <w:pStyle w:val="44"/>
              <w:ind w:left="0" w:leftChars="0" w:firstLine="0" w:firstLineChars="0"/>
              <w:jc w:val="center"/>
              <w:rPr>
                <w:rStyle w:val="45"/>
                <w:rFonts w:hint="default" w:ascii="Times New Roman" w:hAnsi="Times New Roman" w:eastAsia="宋体" w:cs="Times New Roman"/>
                <w:iCs w:val="0"/>
                <w:color w:val="FF0000"/>
                <w:sz w:val="15"/>
                <w:szCs w:val="15"/>
              </w:rPr>
            </w:pPr>
            <w:r>
              <w:rPr>
                <w:rFonts w:hint="default" w:ascii="Times New Roman" w:hAnsi="Times New Roman" w:eastAsia="宋体" w:cs="Times New Roman"/>
                <w:sz w:val="15"/>
                <w:szCs w:val="15"/>
              </w:rPr>
              <w:t>0.25</w:t>
            </w:r>
          </w:p>
        </w:tc>
        <w:tc>
          <w:tcPr>
            <w:tcW w:w="769" w:type="pct"/>
            <w:tcBorders>
              <w:top w:val="nil"/>
            </w:tcBorders>
            <w:vAlign w:val="center"/>
          </w:tcPr>
          <w:p w14:paraId="7EE7737F">
            <w:pPr>
              <w:pStyle w:val="44"/>
              <w:ind w:left="0" w:leftChars="0" w:firstLine="0" w:firstLineChars="0"/>
              <w:jc w:val="center"/>
              <w:rPr>
                <w:rStyle w:val="45"/>
                <w:rFonts w:hint="default" w:ascii="Times New Roman" w:hAnsi="Times New Roman" w:eastAsia="宋体" w:cs="Times New Roman"/>
                <w:iCs w:val="0"/>
                <w:color w:val="FF0000"/>
                <w:sz w:val="15"/>
                <w:szCs w:val="15"/>
              </w:rPr>
            </w:pPr>
            <w:r>
              <w:rPr>
                <w:rFonts w:hint="default" w:ascii="Times New Roman" w:hAnsi="Times New Roman" w:eastAsia="宋体" w:cs="Times New Roman"/>
                <w:sz w:val="15"/>
                <w:szCs w:val="15"/>
              </w:rPr>
              <w:t>0.25</w:t>
            </w:r>
          </w:p>
        </w:tc>
        <w:tc>
          <w:tcPr>
            <w:tcW w:w="683" w:type="pct"/>
            <w:tcBorders>
              <w:top w:val="nil"/>
            </w:tcBorders>
            <w:vAlign w:val="center"/>
          </w:tcPr>
          <w:p w14:paraId="082B2751">
            <w:pPr>
              <w:pStyle w:val="44"/>
              <w:ind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0.66</w:t>
            </w:r>
          </w:p>
        </w:tc>
        <w:tc>
          <w:tcPr>
            <w:tcW w:w="769" w:type="pct"/>
            <w:tcBorders>
              <w:top w:val="nil"/>
            </w:tcBorders>
            <w:vAlign w:val="center"/>
          </w:tcPr>
          <w:p w14:paraId="04324F3D">
            <w:pPr>
              <w:pStyle w:val="44"/>
              <w:ind w:left="0" w:leftChars="0" w:firstLine="0" w:firstLineChars="0"/>
              <w:jc w:val="center"/>
              <w:rPr>
                <w:rStyle w:val="45"/>
                <w:rFonts w:hint="default" w:ascii="Times New Roman" w:hAnsi="Times New Roman" w:eastAsia="宋体" w:cs="Times New Roman"/>
                <w:color w:val="FF0000"/>
                <w:sz w:val="15"/>
                <w:szCs w:val="15"/>
              </w:rPr>
            </w:pPr>
            <w:r>
              <w:rPr>
                <w:rFonts w:hint="default" w:ascii="Times New Roman" w:hAnsi="Times New Roman" w:eastAsia="宋体" w:cs="Times New Roman"/>
                <w:sz w:val="15"/>
                <w:szCs w:val="15"/>
              </w:rPr>
              <w:t>0.67</w:t>
            </w:r>
          </w:p>
        </w:tc>
        <w:tc>
          <w:tcPr>
            <w:tcW w:w="761" w:type="pct"/>
            <w:tcBorders>
              <w:top w:val="nil"/>
            </w:tcBorders>
            <w:shd w:val="clear" w:color="auto" w:fill="auto"/>
            <w:vAlign w:val="center"/>
          </w:tcPr>
          <w:p w14:paraId="0E8CBB04">
            <w:pPr>
              <w:pStyle w:val="44"/>
              <w:ind w:left="0" w:leftChars="0" w:firstLine="0" w:firstLineChars="0"/>
              <w:jc w:val="center"/>
              <w:rPr>
                <w:rFonts w:hint="default" w:ascii="Times New Roman" w:hAnsi="Times New Roman" w:eastAsia="宋体" w:cs="Times New Roman"/>
                <w:color w:val="FF0000"/>
                <w:sz w:val="15"/>
                <w:szCs w:val="15"/>
              </w:rPr>
            </w:pPr>
            <w:r>
              <w:rPr>
                <w:rFonts w:hint="default" w:ascii="Times New Roman" w:hAnsi="Times New Roman" w:eastAsia="宋体" w:cs="Times New Roman"/>
                <w:color w:val="000000"/>
                <w:kern w:val="0"/>
                <w:sz w:val="15"/>
                <w:szCs w:val="15"/>
                <w:lang w:bidi="ar"/>
              </w:rPr>
              <w:t>0.91</w:t>
            </w:r>
          </w:p>
        </w:tc>
        <w:tc>
          <w:tcPr>
            <w:tcW w:w="682" w:type="pct"/>
            <w:tcBorders>
              <w:top w:val="nil"/>
            </w:tcBorders>
            <w:shd w:val="clear" w:color="auto" w:fill="auto"/>
            <w:vAlign w:val="center"/>
          </w:tcPr>
          <w:p w14:paraId="3E0EFFD3">
            <w:pPr>
              <w:pStyle w:val="44"/>
              <w:ind w:firstLine="0" w:firstLineChars="0"/>
              <w:jc w:val="center"/>
              <w:rPr>
                <w:rFonts w:hint="default" w:ascii="Times New Roman" w:hAnsi="Times New Roman" w:eastAsia="宋体" w:cs="Times New Roman"/>
                <w:color w:val="FF0000"/>
                <w:sz w:val="15"/>
                <w:szCs w:val="15"/>
              </w:rPr>
            </w:pPr>
            <w:r>
              <w:rPr>
                <w:rFonts w:hint="default" w:ascii="Times New Roman" w:hAnsi="Times New Roman" w:eastAsia="宋体" w:cs="Times New Roman"/>
                <w:color w:val="000000"/>
                <w:kern w:val="0"/>
                <w:sz w:val="15"/>
                <w:szCs w:val="15"/>
                <w:lang w:bidi="ar"/>
              </w:rPr>
              <w:t>0.92</w:t>
            </w:r>
          </w:p>
        </w:tc>
      </w:tr>
    </w:tbl>
    <w:p w14:paraId="065144A7">
      <w:pPr>
        <w:widowControl w:val="0"/>
        <w:numPr>
          <w:ilvl w:val="0"/>
          <w:numId w:val="0"/>
        </w:numPr>
        <w:spacing w:after="160" w:line="278" w:lineRule="auto"/>
        <w:jc w:val="center"/>
        <w:rPr>
          <w:rFonts w:hint="eastAsia" w:ascii="宋体" w:hAnsi="宋体" w:eastAsia="宋体" w:cs="宋体"/>
          <w:sz w:val="24"/>
          <w:szCs w:val="24"/>
          <w:lang w:val="en-US" w:eastAsia="zh-CN"/>
        </w:rPr>
      </w:pPr>
    </w:p>
    <w:p w14:paraId="575FA1D4">
      <w:pPr>
        <w:keepNext w:val="0"/>
        <w:keepLines w:val="0"/>
        <w:pageBreakBefore w:val="0"/>
        <w:widowControl w:val="0"/>
        <w:numPr>
          <w:ilvl w:val="0"/>
          <w:numId w:val="2"/>
        </w:numPr>
        <w:kinsoku/>
        <w:wordWrap/>
        <w:overflowPunct/>
        <w:topLinePunct w:val="0"/>
        <w:autoSpaceDE/>
        <w:autoSpaceDN/>
        <w:bidi w:val="0"/>
        <w:adjustRightInd/>
        <w:snapToGrid/>
        <w:spacing w:after="160" w:line="360" w:lineRule="auto"/>
        <w:ind w:left="0" w:leftChars="0" w:firstLine="0" w:firstLineChars="0"/>
        <w:jc w:val="both"/>
        <w:textAlignment w:val="auto"/>
        <w:rPr>
          <w:rFonts w:hint="eastAsia"/>
          <w:lang w:val="en-US" w:eastAsia="zh-CN"/>
        </w:rPr>
      </w:pPr>
      <w:r>
        <w:rPr>
          <w:rFonts w:hint="eastAsia"/>
          <w:lang w:val="en-US" w:eastAsia="zh-CN"/>
        </w:rPr>
        <w:t>紫花苜蓿与饲用大麦间作种植系统的饲草品质</w:t>
      </w:r>
    </w:p>
    <w:p w14:paraId="63447B02">
      <w:pPr>
        <w:keepNext w:val="0"/>
        <w:keepLines w:val="0"/>
        <w:pageBreakBefore w:val="0"/>
        <w:widowControl w:val="0"/>
        <w:numPr>
          <w:ilvl w:val="0"/>
          <w:numId w:val="0"/>
        </w:numPr>
        <w:kinsoku/>
        <w:wordWrap/>
        <w:overflowPunct/>
        <w:topLinePunct w:val="0"/>
        <w:autoSpaceDE/>
        <w:autoSpaceDN/>
        <w:bidi w:val="0"/>
        <w:adjustRightInd/>
        <w:snapToGrid/>
        <w:spacing w:after="160" w:line="360" w:lineRule="auto"/>
        <w:ind w:firstLine="480" w:firstLineChars="200"/>
        <w:jc w:val="both"/>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在两种施磷水平下（P0和P1），不同间作模式对紫花苜蓿和饲用</w:t>
      </w:r>
      <w:r>
        <w:rPr>
          <w:rFonts w:hint="eastAsia" w:ascii="Times New Roman" w:hAnsi="Times New Roman" w:eastAsia="宋体" w:cs="Times New Roman"/>
          <w:sz w:val="24"/>
          <w:lang w:val="en-US" w:eastAsia="zh-CN"/>
        </w:rPr>
        <w:t>大麦</w:t>
      </w:r>
      <w:r>
        <w:rPr>
          <w:rFonts w:hint="default" w:ascii="Times New Roman" w:hAnsi="Times New Roman" w:eastAsia="宋体" w:cs="Times New Roman"/>
          <w:sz w:val="24"/>
          <w:lang w:val="en-US" w:eastAsia="zh-CN"/>
        </w:rPr>
        <w:t>的饲草品质影响不同（表</w:t>
      </w:r>
      <w:r>
        <w:rPr>
          <w:rFonts w:hint="eastAsia" w:ascii="Times New Roman" w:hAnsi="Times New Roman" w:eastAsia="宋体" w:cs="Times New Roman"/>
          <w:sz w:val="24"/>
          <w:lang w:val="en-US" w:eastAsia="zh-CN"/>
        </w:rPr>
        <w:t>4</w:t>
      </w:r>
      <w:r>
        <w:rPr>
          <w:rFonts w:hint="default" w:ascii="Times New Roman" w:hAnsi="Times New Roman" w:eastAsia="宋体" w:cs="Times New Roman"/>
          <w:sz w:val="24"/>
          <w:lang w:val="en-US" w:eastAsia="zh-CN"/>
        </w:rPr>
        <w:t>所示）。对苜蓿而言，不施磷时，不同间作模式下的粗蛋白含量、粗脂肪含量无明显差异（</w:t>
      </w:r>
      <w:r>
        <w:rPr>
          <w:rFonts w:hint="default" w:ascii="Times New Roman" w:hAnsi="Times New Roman" w:eastAsia="宋体" w:cs="Times New Roman"/>
          <w:i/>
          <w:iCs/>
          <w:sz w:val="24"/>
          <w:lang w:val="en-US" w:eastAsia="zh-CN"/>
        </w:rPr>
        <w:t>P</w:t>
      </w:r>
      <w:r>
        <w:rPr>
          <w:rFonts w:hint="eastAsia" w:ascii="Times New Roman" w:hAnsi="Times New Roman" w:eastAsia="宋体" w:cs="Times New Roman"/>
          <w:sz w:val="24"/>
          <w:lang w:val="en-US" w:eastAsia="zh-CN"/>
        </w:rPr>
        <w:t>&gt;</w:t>
      </w:r>
      <w:r>
        <w:rPr>
          <w:rFonts w:hint="default" w:ascii="Times New Roman" w:hAnsi="Times New Roman" w:eastAsia="宋体" w:cs="Times New Roman"/>
          <w:sz w:val="24"/>
          <w:lang w:val="en-US" w:eastAsia="zh-CN"/>
        </w:rPr>
        <w:t>0.05），而灰分含量在A2</w:t>
      </w:r>
      <w:r>
        <w:rPr>
          <w:rFonts w:hint="eastAsia" w:ascii="Times New Roman" w:hAnsi="Times New Roman" w:eastAsia="宋体" w:cs="Times New Roman"/>
          <w:sz w:val="24"/>
          <w:lang w:val="en-US" w:eastAsia="zh-CN"/>
        </w:rPr>
        <w:t>W</w:t>
      </w:r>
      <w:r>
        <w:rPr>
          <w:rFonts w:hint="default" w:ascii="Times New Roman" w:hAnsi="Times New Roman" w:eastAsia="宋体" w:cs="Times New Roman"/>
          <w:sz w:val="24"/>
          <w:lang w:val="en-US" w:eastAsia="zh-CN"/>
        </w:rPr>
        <w:t>6模式下明显低于A</w:t>
      </w:r>
      <w:r>
        <w:rPr>
          <w:rFonts w:hint="eastAsia" w:ascii="Times New Roman" w:hAnsi="Times New Roman" w:eastAsia="宋体" w:cs="Times New Roman"/>
          <w:sz w:val="24"/>
          <w:lang w:val="en-US" w:eastAsia="zh-CN"/>
        </w:rPr>
        <w:t>6W2</w:t>
      </w:r>
      <w:r>
        <w:rPr>
          <w:rFonts w:hint="default" w:ascii="Times New Roman" w:hAnsi="Times New Roman" w:eastAsia="宋体" w:cs="Times New Roman"/>
          <w:sz w:val="24"/>
          <w:lang w:val="en-US" w:eastAsia="zh-CN"/>
        </w:rPr>
        <w:t>模式（</w:t>
      </w:r>
      <w:r>
        <w:rPr>
          <w:rFonts w:hint="default" w:ascii="Times New Roman" w:hAnsi="Times New Roman" w:eastAsia="宋体" w:cs="Times New Roman"/>
          <w:i/>
          <w:iCs/>
          <w:sz w:val="24"/>
          <w:lang w:val="en-US" w:eastAsia="zh-CN"/>
        </w:rPr>
        <w:t>P</w:t>
      </w:r>
      <w:r>
        <w:rPr>
          <w:rFonts w:hint="default" w:ascii="Times New Roman" w:hAnsi="Times New Roman" w:eastAsia="宋体" w:cs="Times New Roman"/>
          <w:sz w:val="24"/>
          <w:lang w:val="en-US" w:eastAsia="zh-CN"/>
        </w:rPr>
        <w:t>&lt;0.05），粗纤维含量在间作时均低于单作时，但在A6</w:t>
      </w:r>
      <w:r>
        <w:rPr>
          <w:rFonts w:hint="eastAsia" w:ascii="Times New Roman" w:hAnsi="Times New Roman" w:eastAsia="宋体" w:cs="Times New Roman"/>
          <w:sz w:val="24"/>
          <w:lang w:val="en-US" w:eastAsia="zh-CN"/>
        </w:rPr>
        <w:t>W</w:t>
      </w:r>
      <w:r>
        <w:rPr>
          <w:rFonts w:hint="default" w:ascii="Times New Roman" w:hAnsi="Times New Roman" w:eastAsia="宋体" w:cs="Times New Roman"/>
          <w:sz w:val="24"/>
          <w:lang w:val="en-US" w:eastAsia="zh-CN"/>
        </w:rPr>
        <w:t>2时</w:t>
      </w:r>
      <w:r>
        <w:rPr>
          <w:rFonts w:hint="eastAsia" w:ascii="Times New Roman" w:hAnsi="Times New Roman" w:eastAsia="宋体" w:cs="Times New Roman"/>
          <w:sz w:val="24"/>
          <w:lang w:val="en-US" w:eastAsia="zh-CN"/>
        </w:rPr>
        <w:t>与对照差异显著</w:t>
      </w:r>
      <w:r>
        <w:rPr>
          <w:rFonts w:hint="default" w:ascii="Times New Roman" w:hAnsi="Times New Roman" w:eastAsia="宋体" w:cs="Times New Roman"/>
          <w:sz w:val="24"/>
          <w:lang w:val="en-US" w:eastAsia="zh-CN"/>
        </w:rPr>
        <w:t>（</w:t>
      </w:r>
      <w:r>
        <w:rPr>
          <w:rFonts w:hint="default" w:ascii="Times New Roman" w:hAnsi="Times New Roman" w:eastAsia="宋体" w:cs="Times New Roman"/>
          <w:i/>
          <w:iCs/>
          <w:sz w:val="24"/>
          <w:lang w:val="en-US" w:eastAsia="zh-CN"/>
        </w:rPr>
        <w:t>P</w:t>
      </w:r>
      <w:r>
        <w:rPr>
          <w:rFonts w:hint="default" w:ascii="Times New Roman" w:hAnsi="Times New Roman" w:eastAsia="宋体" w:cs="Times New Roman"/>
          <w:sz w:val="24"/>
          <w:lang w:val="en-US" w:eastAsia="zh-CN"/>
        </w:rPr>
        <w:t>&lt;0.05）。在施磷时，间作模式下的粗蛋白含量与单作时相比有不同程度的降低，在</w:t>
      </w:r>
      <w:r>
        <w:rPr>
          <w:rFonts w:hint="default" w:ascii="Times New Roman" w:hAnsi="Times New Roman" w:eastAsia="宋体" w:cs="Times New Roman"/>
          <w:sz w:val="21"/>
          <w:szCs w:val="21"/>
          <w:vertAlign w:val="baseline"/>
          <w:lang w:val="en-US" w:eastAsia="zh-CN"/>
        </w:rPr>
        <w:t>A6W2</w:t>
      </w:r>
      <w:r>
        <w:rPr>
          <w:rFonts w:hint="eastAsia" w:ascii="Times New Roman" w:hAnsi="Times New Roman" w:eastAsia="宋体" w:cs="Times New Roman"/>
          <w:sz w:val="21"/>
          <w:szCs w:val="21"/>
          <w:vertAlign w:val="baseline"/>
          <w:lang w:val="en-US" w:eastAsia="zh-CN"/>
        </w:rPr>
        <w:t>和A4W4</w:t>
      </w:r>
      <w:r>
        <w:rPr>
          <w:rFonts w:hint="default" w:ascii="Times New Roman" w:hAnsi="Times New Roman" w:eastAsia="宋体" w:cs="Times New Roman"/>
          <w:sz w:val="21"/>
          <w:szCs w:val="21"/>
          <w:vertAlign w:val="baseline"/>
          <w:lang w:val="en-US" w:eastAsia="zh-CN"/>
        </w:rPr>
        <w:t>时显</w:t>
      </w:r>
      <w:r>
        <w:rPr>
          <w:rFonts w:hint="eastAsia" w:ascii="宋体" w:hAnsi="宋体" w:eastAsia="宋体" w:cs="宋体"/>
          <w:sz w:val="21"/>
          <w:szCs w:val="21"/>
          <w:vertAlign w:val="baseline"/>
          <w:lang w:val="en-US" w:eastAsia="zh-CN"/>
        </w:rPr>
        <w:t>著低于对照</w:t>
      </w:r>
      <w:r>
        <w:rPr>
          <w:rFonts w:hint="default" w:ascii="Times New Roman" w:hAnsi="Times New Roman" w:eastAsia="宋体" w:cs="Times New Roman"/>
          <w:sz w:val="24"/>
          <w:lang w:val="en-US" w:eastAsia="zh-CN"/>
        </w:rPr>
        <w:t>（</w:t>
      </w:r>
      <w:r>
        <w:rPr>
          <w:rFonts w:hint="default" w:ascii="Times New Roman" w:hAnsi="Times New Roman" w:eastAsia="宋体" w:cs="Times New Roman"/>
          <w:i/>
          <w:iCs/>
          <w:sz w:val="24"/>
          <w:lang w:val="en-US" w:eastAsia="zh-CN"/>
        </w:rPr>
        <w:t>P</w:t>
      </w:r>
      <w:r>
        <w:rPr>
          <w:rFonts w:hint="default" w:ascii="Times New Roman" w:hAnsi="Times New Roman" w:eastAsia="宋体" w:cs="Times New Roman"/>
          <w:sz w:val="24"/>
          <w:lang w:val="en-US" w:eastAsia="zh-CN"/>
        </w:rPr>
        <w:t>&lt;0.05），粗脂肪含量在各种植模式下无明显差异， 灰分含量在A6</w:t>
      </w:r>
      <w:r>
        <w:rPr>
          <w:rFonts w:hint="eastAsia" w:ascii="Times New Roman" w:hAnsi="Times New Roman" w:eastAsia="宋体" w:cs="Times New Roman"/>
          <w:sz w:val="24"/>
          <w:lang w:val="en-US" w:eastAsia="zh-CN"/>
        </w:rPr>
        <w:t>W</w:t>
      </w:r>
      <w:r>
        <w:rPr>
          <w:rFonts w:hint="default" w:ascii="Times New Roman" w:hAnsi="Times New Roman" w:eastAsia="宋体" w:cs="Times New Roman"/>
          <w:sz w:val="24"/>
          <w:lang w:val="en-US" w:eastAsia="zh-CN"/>
        </w:rPr>
        <w:t>2时显著高于AA模式（</w:t>
      </w:r>
      <w:r>
        <w:rPr>
          <w:rFonts w:hint="default" w:ascii="Times New Roman" w:hAnsi="Times New Roman" w:eastAsia="宋体" w:cs="Times New Roman"/>
          <w:i/>
          <w:iCs/>
          <w:sz w:val="24"/>
          <w:lang w:val="en-US" w:eastAsia="zh-CN"/>
        </w:rPr>
        <w:t>P</w:t>
      </w:r>
      <w:r>
        <w:rPr>
          <w:rFonts w:hint="default" w:ascii="Times New Roman" w:hAnsi="Times New Roman" w:eastAsia="宋体" w:cs="Times New Roman"/>
          <w:sz w:val="24"/>
          <w:lang w:val="en-US" w:eastAsia="zh-CN"/>
        </w:rPr>
        <w:t>&lt;0.05），粗纤维含量在A6</w:t>
      </w:r>
      <w:r>
        <w:rPr>
          <w:rFonts w:hint="eastAsia" w:ascii="Times New Roman" w:hAnsi="Times New Roman" w:eastAsia="宋体" w:cs="Times New Roman"/>
          <w:sz w:val="24"/>
          <w:lang w:val="en-US" w:eastAsia="zh-CN"/>
        </w:rPr>
        <w:t>W</w:t>
      </w:r>
      <w:r>
        <w:rPr>
          <w:rFonts w:hint="default" w:ascii="Times New Roman" w:hAnsi="Times New Roman" w:eastAsia="宋体" w:cs="Times New Roman"/>
          <w:sz w:val="24"/>
          <w:lang w:val="en-US" w:eastAsia="zh-CN"/>
        </w:rPr>
        <w:t>2</w:t>
      </w:r>
      <w:r>
        <w:rPr>
          <w:rFonts w:hint="eastAsia" w:ascii="Times New Roman" w:hAnsi="Times New Roman" w:eastAsia="宋体" w:cs="Times New Roman"/>
          <w:sz w:val="24"/>
          <w:lang w:val="en-US" w:eastAsia="zh-CN"/>
        </w:rPr>
        <w:t>和A4W4</w:t>
      </w:r>
      <w:r>
        <w:rPr>
          <w:rFonts w:hint="default" w:ascii="Times New Roman" w:hAnsi="Times New Roman" w:eastAsia="宋体" w:cs="Times New Roman"/>
          <w:sz w:val="24"/>
          <w:lang w:val="en-US" w:eastAsia="zh-CN"/>
        </w:rPr>
        <w:t>模式下显著低于AA模式（</w:t>
      </w:r>
      <w:r>
        <w:rPr>
          <w:rFonts w:hint="default" w:ascii="Times New Roman" w:hAnsi="Times New Roman" w:eastAsia="宋体" w:cs="Times New Roman"/>
          <w:i/>
          <w:iCs/>
          <w:sz w:val="24"/>
          <w:lang w:val="en-US" w:eastAsia="zh-CN"/>
        </w:rPr>
        <w:t>P</w:t>
      </w:r>
      <w:r>
        <w:rPr>
          <w:rFonts w:hint="default" w:ascii="Times New Roman" w:hAnsi="Times New Roman" w:eastAsia="宋体" w:cs="Times New Roman"/>
          <w:sz w:val="24"/>
          <w:lang w:val="en-US" w:eastAsia="zh-CN"/>
        </w:rPr>
        <w:t>&lt;0.05）。</w:t>
      </w:r>
    </w:p>
    <w:p w14:paraId="6FA8EF3F">
      <w:pPr>
        <w:keepNext w:val="0"/>
        <w:keepLines w:val="0"/>
        <w:pageBreakBefore w:val="0"/>
        <w:widowControl w:val="0"/>
        <w:numPr>
          <w:ilvl w:val="0"/>
          <w:numId w:val="0"/>
        </w:numPr>
        <w:kinsoku/>
        <w:wordWrap/>
        <w:overflowPunct/>
        <w:topLinePunct w:val="0"/>
        <w:autoSpaceDE/>
        <w:autoSpaceDN/>
        <w:bidi w:val="0"/>
        <w:adjustRightInd/>
        <w:snapToGrid/>
        <w:spacing w:after="160" w:line="360" w:lineRule="auto"/>
        <w:ind w:firstLine="480" w:firstLineChars="200"/>
        <w:jc w:val="both"/>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对饲用</w:t>
      </w:r>
      <w:r>
        <w:rPr>
          <w:rFonts w:hint="eastAsia" w:ascii="Times New Roman" w:hAnsi="Times New Roman" w:eastAsia="宋体" w:cs="Times New Roman"/>
          <w:sz w:val="24"/>
          <w:lang w:val="en-US" w:eastAsia="zh-CN"/>
        </w:rPr>
        <w:t>大麦</w:t>
      </w:r>
      <w:r>
        <w:rPr>
          <w:rFonts w:hint="default" w:ascii="Times New Roman" w:hAnsi="Times New Roman" w:eastAsia="宋体" w:cs="Times New Roman"/>
          <w:sz w:val="24"/>
          <w:lang w:val="en-US" w:eastAsia="zh-CN"/>
        </w:rPr>
        <w:t>而言，不施磷时，各种植模式下的粗蛋白、粗脂肪和灰分含量彼此之间无显著差异</w:t>
      </w:r>
      <w:r>
        <w:rPr>
          <w:rFonts w:hint="eastAsia" w:ascii="Times New Roman" w:hAnsi="Times New Roman" w:eastAsia="宋体" w:cs="Times New Roman"/>
          <w:sz w:val="24"/>
          <w:lang w:val="en-US" w:eastAsia="zh-CN"/>
        </w:rPr>
        <w:t>；</w:t>
      </w:r>
      <w:r>
        <w:rPr>
          <w:rFonts w:hint="default" w:ascii="Times New Roman" w:hAnsi="Times New Roman" w:eastAsia="宋体" w:cs="Times New Roman"/>
          <w:sz w:val="24"/>
          <w:lang w:val="en-US" w:eastAsia="zh-CN"/>
        </w:rPr>
        <w:t>粗纤维含量变化无明显规律，</w:t>
      </w:r>
      <w:r>
        <w:rPr>
          <w:rFonts w:hint="eastAsia" w:ascii="Times New Roman" w:hAnsi="Times New Roman" w:eastAsia="宋体" w:cs="Times New Roman"/>
          <w:sz w:val="24"/>
          <w:lang w:val="en-US" w:eastAsia="zh-CN"/>
        </w:rPr>
        <w:t>但在A4W4模式下显著高于单作</w:t>
      </w:r>
      <w:r>
        <w:rPr>
          <w:rFonts w:hint="default" w:ascii="Times New Roman" w:hAnsi="Times New Roman" w:eastAsia="宋体" w:cs="Times New Roman"/>
          <w:sz w:val="24"/>
          <w:lang w:val="en-US" w:eastAsia="zh-CN"/>
        </w:rPr>
        <w:t>（</w:t>
      </w:r>
      <w:r>
        <w:rPr>
          <w:rFonts w:hint="default" w:ascii="Times New Roman" w:hAnsi="Times New Roman" w:eastAsia="宋体" w:cs="Times New Roman"/>
          <w:i/>
          <w:iCs/>
          <w:sz w:val="24"/>
          <w:lang w:val="en-US" w:eastAsia="zh-CN"/>
        </w:rPr>
        <w:t>P</w:t>
      </w:r>
      <w:r>
        <w:rPr>
          <w:rFonts w:hint="eastAsia" w:ascii="Times New Roman" w:hAnsi="Times New Roman" w:eastAsia="宋体" w:cs="Times New Roman"/>
          <w:i/>
          <w:iCs/>
          <w:sz w:val="24"/>
          <w:lang w:val="en-US" w:eastAsia="zh-CN"/>
        </w:rPr>
        <w:t>&lt;</w:t>
      </w:r>
      <w:r>
        <w:rPr>
          <w:rFonts w:hint="default" w:ascii="Times New Roman" w:hAnsi="Times New Roman" w:eastAsia="宋体" w:cs="Times New Roman"/>
          <w:sz w:val="24"/>
          <w:lang w:val="en-US" w:eastAsia="zh-CN"/>
        </w:rPr>
        <w:t>0.05）。在施磷时，间作种植模式下的粗蛋白含量与单作相比均有不同程度的升高，其中A6</w:t>
      </w:r>
      <w:r>
        <w:rPr>
          <w:rFonts w:hint="eastAsia" w:ascii="Times New Roman" w:hAnsi="Times New Roman" w:eastAsia="宋体" w:cs="Times New Roman"/>
          <w:sz w:val="24"/>
          <w:lang w:val="en-US" w:eastAsia="zh-CN"/>
        </w:rPr>
        <w:t>W</w:t>
      </w:r>
      <w:r>
        <w:rPr>
          <w:rFonts w:hint="default" w:ascii="Times New Roman" w:hAnsi="Times New Roman" w:eastAsia="宋体" w:cs="Times New Roman"/>
          <w:sz w:val="24"/>
          <w:lang w:val="en-US" w:eastAsia="zh-CN"/>
        </w:rPr>
        <w:t>2模式下与</w:t>
      </w:r>
      <w:r>
        <w:rPr>
          <w:rFonts w:hint="eastAsia" w:ascii="Times New Roman" w:hAnsi="Times New Roman" w:eastAsia="宋体" w:cs="Times New Roman"/>
          <w:sz w:val="24"/>
          <w:lang w:val="en-US" w:eastAsia="zh-CN"/>
        </w:rPr>
        <w:t>单作</w:t>
      </w:r>
      <w:r>
        <w:rPr>
          <w:rFonts w:hint="default" w:ascii="Times New Roman" w:hAnsi="Times New Roman" w:eastAsia="宋体" w:cs="Times New Roman"/>
          <w:sz w:val="24"/>
          <w:lang w:val="en-US" w:eastAsia="zh-CN"/>
        </w:rPr>
        <w:t>差异显著（</w:t>
      </w:r>
      <w:r>
        <w:rPr>
          <w:rFonts w:hint="default" w:ascii="Times New Roman" w:hAnsi="Times New Roman" w:eastAsia="宋体" w:cs="Times New Roman"/>
          <w:i/>
          <w:iCs/>
          <w:sz w:val="24"/>
          <w:lang w:val="en-US" w:eastAsia="zh-CN"/>
        </w:rPr>
        <w:t>P</w:t>
      </w:r>
      <w:r>
        <w:rPr>
          <w:rFonts w:hint="default" w:ascii="Times New Roman" w:hAnsi="Times New Roman" w:eastAsia="宋体" w:cs="Times New Roman"/>
          <w:sz w:val="24"/>
          <w:lang w:val="en-US" w:eastAsia="zh-CN"/>
        </w:rPr>
        <w:t>&lt;0.05）；间作种植模式下的灰分含量与</w:t>
      </w:r>
      <w:r>
        <w:rPr>
          <w:rFonts w:hint="eastAsia" w:ascii="Times New Roman" w:hAnsi="Times New Roman" w:eastAsia="宋体" w:cs="Times New Roman"/>
          <w:sz w:val="24"/>
          <w:lang w:val="en-US" w:eastAsia="zh-CN"/>
        </w:rPr>
        <w:t>A0W16</w:t>
      </w:r>
      <w:r>
        <w:rPr>
          <w:rFonts w:hint="default" w:ascii="Times New Roman" w:hAnsi="Times New Roman" w:eastAsia="宋体" w:cs="Times New Roman"/>
          <w:sz w:val="24"/>
          <w:lang w:val="en-US" w:eastAsia="zh-CN"/>
        </w:rPr>
        <w:t>相比有不同程度的降低，其中A</w:t>
      </w:r>
      <w:r>
        <w:rPr>
          <w:rFonts w:hint="eastAsia" w:ascii="Times New Roman" w:hAnsi="Times New Roman" w:eastAsia="宋体" w:cs="Times New Roman"/>
          <w:sz w:val="24"/>
          <w:lang w:val="en-US" w:eastAsia="zh-CN"/>
        </w:rPr>
        <w:t>2W</w:t>
      </w:r>
      <w:r>
        <w:rPr>
          <w:rFonts w:hint="default" w:ascii="Times New Roman" w:hAnsi="Times New Roman" w:eastAsia="宋体" w:cs="Times New Roman"/>
          <w:sz w:val="24"/>
          <w:lang w:val="en-US" w:eastAsia="zh-CN"/>
        </w:rPr>
        <w:t>6模式下的灰分含量与</w:t>
      </w:r>
      <w:r>
        <w:rPr>
          <w:rFonts w:hint="eastAsia" w:ascii="Times New Roman" w:hAnsi="Times New Roman" w:eastAsia="宋体" w:cs="Times New Roman"/>
          <w:sz w:val="24"/>
          <w:lang w:val="en-US" w:eastAsia="zh-CN"/>
        </w:rPr>
        <w:t>单作</w:t>
      </w:r>
      <w:r>
        <w:rPr>
          <w:rFonts w:hint="default" w:ascii="Times New Roman" w:hAnsi="Times New Roman" w:eastAsia="宋体" w:cs="Times New Roman"/>
          <w:sz w:val="24"/>
          <w:lang w:val="en-US" w:eastAsia="zh-CN"/>
        </w:rPr>
        <w:t>相比有显著差异（</w:t>
      </w:r>
      <w:r>
        <w:rPr>
          <w:rFonts w:hint="default" w:ascii="Times New Roman" w:hAnsi="Times New Roman" w:eastAsia="宋体" w:cs="Times New Roman"/>
          <w:i/>
          <w:iCs/>
          <w:sz w:val="24"/>
          <w:lang w:val="en-US" w:eastAsia="zh-CN"/>
        </w:rPr>
        <w:t>P</w:t>
      </w:r>
      <w:r>
        <w:rPr>
          <w:rFonts w:hint="default" w:ascii="Times New Roman" w:hAnsi="Times New Roman" w:eastAsia="宋体" w:cs="Times New Roman"/>
          <w:sz w:val="24"/>
          <w:lang w:val="en-US" w:eastAsia="zh-CN"/>
        </w:rPr>
        <w:t>&lt;0.05）；粗脂肪和粗纤维含量在各种植模式间无明显差异（</w:t>
      </w:r>
      <w:r>
        <w:rPr>
          <w:rFonts w:hint="default" w:ascii="Times New Roman" w:hAnsi="Times New Roman" w:eastAsia="宋体" w:cs="Times New Roman"/>
          <w:i/>
          <w:iCs/>
          <w:sz w:val="24"/>
          <w:lang w:val="en-US" w:eastAsia="zh-CN"/>
        </w:rPr>
        <w:t>P</w:t>
      </w:r>
      <w:r>
        <w:rPr>
          <w:rFonts w:hint="default" w:ascii="Times New Roman" w:hAnsi="Times New Roman" w:eastAsia="宋体" w:cs="Times New Roman"/>
          <w:sz w:val="24"/>
          <w:lang w:val="en-US" w:eastAsia="zh-CN"/>
        </w:rPr>
        <w:t>&gt;0.05）。</w:t>
      </w:r>
    </w:p>
    <w:p w14:paraId="6CA7A91C">
      <w:pPr>
        <w:widowControl w:val="0"/>
        <w:numPr>
          <w:ilvl w:val="0"/>
          <w:numId w:val="0"/>
        </w:numPr>
        <w:spacing w:after="160" w:line="278" w:lineRule="auto"/>
        <w:jc w:val="center"/>
        <w:rPr>
          <w:rFonts w:hint="eastAsia" w:ascii="宋体" w:hAnsi="宋体" w:eastAsia="宋体" w:cs="宋体"/>
          <w:lang w:val="en-US" w:eastAsia="zh-CN"/>
        </w:rPr>
      </w:pPr>
      <w:r>
        <w:rPr>
          <w:rFonts w:hint="eastAsia" w:ascii="宋体" w:hAnsi="宋体" w:eastAsia="宋体" w:cs="宋体"/>
          <w:lang w:val="en-US" w:eastAsia="zh-CN"/>
        </w:rPr>
        <w:t>表4 不同间作种植模式紫花苜蓿与饲用大麦的饲草品质</w:t>
      </w:r>
    </w:p>
    <w:tbl>
      <w:tblPr>
        <w:tblStyle w:val="18"/>
        <w:tblW w:w="62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40" w:type="dxa"/>
          <w:left w:w="51" w:type="dxa"/>
          <w:bottom w:w="40" w:type="dxa"/>
          <w:right w:w="51" w:type="dxa"/>
        </w:tblCellMar>
      </w:tblPr>
      <w:tblGrid>
        <w:gridCol w:w="577"/>
        <w:gridCol w:w="608"/>
        <w:gridCol w:w="536"/>
        <w:gridCol w:w="686"/>
        <w:gridCol w:w="696"/>
        <w:gridCol w:w="686"/>
        <w:gridCol w:w="536"/>
        <w:gridCol w:w="687"/>
        <w:gridCol w:w="700"/>
        <w:gridCol w:w="611"/>
        <w:gridCol w:w="537"/>
        <w:gridCol w:w="537"/>
        <w:gridCol w:w="697"/>
        <w:gridCol w:w="689"/>
        <w:gridCol w:w="539"/>
        <w:gridCol w:w="613"/>
        <w:gridCol w:w="624"/>
      </w:tblGrid>
      <w:tr w14:paraId="14751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51" w:type="dxa"/>
            <w:bottom w:w="40" w:type="dxa"/>
            <w:right w:w="51" w:type="dxa"/>
          </w:tblCellMar>
        </w:tblPrEx>
        <w:trPr>
          <w:trHeight w:val="245" w:hRule="atLeast"/>
          <w:jc w:val="center"/>
        </w:trPr>
        <w:tc>
          <w:tcPr>
            <w:tcW w:w="225" w:type="pct"/>
            <w:vMerge w:val="restart"/>
            <w:tcBorders>
              <w:top w:val="single" w:color="auto" w:sz="4" w:space="0"/>
              <w:left w:val="nil"/>
              <w:bottom w:val="nil"/>
              <w:right w:val="nil"/>
            </w:tcBorders>
            <w:vAlign w:val="center"/>
          </w:tcPr>
          <w:p w14:paraId="1D6FF7DA">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种植模式</w:t>
            </w:r>
          </w:p>
        </w:tc>
        <w:tc>
          <w:tcPr>
            <w:tcW w:w="2456" w:type="pct"/>
            <w:gridSpan w:val="8"/>
            <w:tcBorders>
              <w:top w:val="single" w:color="auto" w:sz="4" w:space="0"/>
              <w:left w:val="nil"/>
              <w:bottom w:val="nil"/>
              <w:right w:val="nil"/>
            </w:tcBorders>
          </w:tcPr>
          <w:p w14:paraId="4DA15AA7">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紫花苜蓿</w:t>
            </w:r>
          </w:p>
        </w:tc>
        <w:tc>
          <w:tcPr>
            <w:tcW w:w="2317" w:type="pct"/>
            <w:gridSpan w:val="8"/>
            <w:tcBorders>
              <w:top w:val="single" w:color="auto" w:sz="4" w:space="0"/>
              <w:left w:val="nil"/>
              <w:bottom w:val="nil"/>
              <w:right w:val="nil"/>
            </w:tcBorders>
            <w:shd w:val="clear" w:color="auto" w:fill="auto"/>
            <w:vAlign w:val="top"/>
          </w:tcPr>
          <w:p w14:paraId="28BBDE6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饲用大麦</w:t>
            </w:r>
          </w:p>
        </w:tc>
      </w:tr>
      <w:tr w14:paraId="55645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51" w:type="dxa"/>
            <w:bottom w:w="40" w:type="dxa"/>
            <w:right w:w="51" w:type="dxa"/>
          </w:tblCellMar>
        </w:tblPrEx>
        <w:trPr>
          <w:trHeight w:val="197" w:hRule="atLeast"/>
          <w:jc w:val="center"/>
        </w:trPr>
        <w:tc>
          <w:tcPr>
            <w:tcW w:w="225" w:type="pct"/>
            <w:vMerge w:val="continue"/>
            <w:tcBorders>
              <w:top w:val="nil"/>
              <w:left w:val="nil"/>
              <w:bottom w:val="nil"/>
              <w:right w:val="nil"/>
            </w:tcBorders>
          </w:tcPr>
          <w:p w14:paraId="0FC974E3">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p>
        </w:tc>
        <w:tc>
          <w:tcPr>
            <w:tcW w:w="1209" w:type="pct"/>
            <w:gridSpan w:val="4"/>
            <w:tcBorders>
              <w:top w:val="nil"/>
              <w:left w:val="nil"/>
              <w:bottom w:val="nil"/>
              <w:right w:val="nil"/>
            </w:tcBorders>
          </w:tcPr>
          <w:p w14:paraId="39817028">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P0</w:t>
            </w:r>
          </w:p>
        </w:tc>
        <w:tc>
          <w:tcPr>
            <w:tcW w:w="1246" w:type="pct"/>
            <w:gridSpan w:val="4"/>
            <w:tcBorders>
              <w:top w:val="nil"/>
              <w:left w:val="nil"/>
              <w:bottom w:val="nil"/>
              <w:right w:val="nil"/>
            </w:tcBorders>
          </w:tcPr>
          <w:p w14:paraId="26FE4FA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P1</w:t>
            </w:r>
          </w:p>
        </w:tc>
        <w:tc>
          <w:tcPr>
            <w:tcW w:w="1139" w:type="pct"/>
            <w:gridSpan w:val="4"/>
            <w:tcBorders>
              <w:top w:val="nil"/>
              <w:left w:val="nil"/>
              <w:bottom w:val="nil"/>
              <w:right w:val="nil"/>
            </w:tcBorders>
          </w:tcPr>
          <w:p w14:paraId="102A3331">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P0</w:t>
            </w:r>
          </w:p>
        </w:tc>
        <w:tc>
          <w:tcPr>
            <w:tcW w:w="1178" w:type="pct"/>
            <w:gridSpan w:val="4"/>
            <w:tcBorders>
              <w:top w:val="nil"/>
              <w:left w:val="nil"/>
              <w:bottom w:val="nil"/>
              <w:right w:val="nil"/>
            </w:tcBorders>
          </w:tcPr>
          <w:p w14:paraId="674531C6">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P1</w:t>
            </w:r>
          </w:p>
        </w:tc>
      </w:tr>
      <w:tr w14:paraId="3AF86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51" w:type="dxa"/>
            <w:bottom w:w="40" w:type="dxa"/>
            <w:right w:w="51" w:type="dxa"/>
          </w:tblCellMar>
        </w:tblPrEx>
        <w:trPr>
          <w:trHeight w:val="217" w:hRule="atLeast"/>
          <w:jc w:val="center"/>
        </w:trPr>
        <w:tc>
          <w:tcPr>
            <w:tcW w:w="225" w:type="pct"/>
            <w:vMerge w:val="continue"/>
            <w:tcBorders>
              <w:top w:val="nil"/>
              <w:left w:val="nil"/>
              <w:bottom w:val="single" w:color="auto" w:sz="4" w:space="0"/>
              <w:right w:val="nil"/>
            </w:tcBorders>
          </w:tcPr>
          <w:p w14:paraId="24CBB5D8">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p>
        </w:tc>
        <w:tc>
          <w:tcPr>
            <w:tcW w:w="291" w:type="pct"/>
            <w:tcBorders>
              <w:top w:val="nil"/>
              <w:left w:val="nil"/>
              <w:bottom w:val="single" w:color="auto" w:sz="4" w:space="0"/>
              <w:right w:val="nil"/>
            </w:tcBorders>
          </w:tcPr>
          <w:p w14:paraId="05AF894A">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CP</w:t>
            </w:r>
          </w:p>
        </w:tc>
        <w:tc>
          <w:tcPr>
            <w:tcW w:w="257" w:type="pct"/>
            <w:tcBorders>
              <w:top w:val="nil"/>
              <w:left w:val="nil"/>
              <w:bottom w:val="single" w:color="auto" w:sz="4" w:space="0"/>
              <w:right w:val="nil"/>
            </w:tcBorders>
          </w:tcPr>
          <w:p w14:paraId="4157E76B">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EE</w:t>
            </w:r>
          </w:p>
        </w:tc>
        <w:tc>
          <w:tcPr>
            <w:tcW w:w="328" w:type="pct"/>
            <w:tcBorders>
              <w:top w:val="nil"/>
              <w:left w:val="nil"/>
              <w:bottom w:val="single" w:color="auto" w:sz="4" w:space="0"/>
              <w:right w:val="nil"/>
            </w:tcBorders>
          </w:tcPr>
          <w:p w14:paraId="62C7A4A0">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Ash</w:t>
            </w:r>
          </w:p>
        </w:tc>
        <w:tc>
          <w:tcPr>
            <w:tcW w:w="332" w:type="pct"/>
            <w:tcBorders>
              <w:top w:val="nil"/>
              <w:left w:val="nil"/>
              <w:bottom w:val="single" w:color="auto" w:sz="4" w:space="0"/>
              <w:right w:val="nil"/>
            </w:tcBorders>
          </w:tcPr>
          <w:p w14:paraId="7AF07FD3">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CF</w:t>
            </w:r>
          </w:p>
        </w:tc>
        <w:tc>
          <w:tcPr>
            <w:tcW w:w="328" w:type="pct"/>
            <w:tcBorders>
              <w:top w:val="nil"/>
              <w:left w:val="nil"/>
              <w:bottom w:val="single" w:color="auto" w:sz="4" w:space="0"/>
              <w:right w:val="nil"/>
            </w:tcBorders>
            <w:shd w:val="clear" w:color="auto" w:fill="auto"/>
            <w:vAlign w:val="top"/>
          </w:tcPr>
          <w:p w14:paraId="0DAAEE0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CP</w:t>
            </w:r>
          </w:p>
        </w:tc>
        <w:tc>
          <w:tcPr>
            <w:tcW w:w="257" w:type="pct"/>
            <w:tcBorders>
              <w:top w:val="nil"/>
              <w:left w:val="nil"/>
              <w:bottom w:val="single" w:color="auto" w:sz="4" w:space="0"/>
              <w:right w:val="nil"/>
            </w:tcBorders>
            <w:shd w:val="clear" w:color="auto" w:fill="auto"/>
            <w:vAlign w:val="top"/>
          </w:tcPr>
          <w:p w14:paraId="4D6FE82D">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EE</w:t>
            </w:r>
          </w:p>
        </w:tc>
        <w:tc>
          <w:tcPr>
            <w:tcW w:w="328" w:type="pct"/>
            <w:tcBorders>
              <w:top w:val="nil"/>
              <w:left w:val="nil"/>
              <w:bottom w:val="single" w:color="auto" w:sz="4" w:space="0"/>
              <w:right w:val="nil"/>
            </w:tcBorders>
            <w:shd w:val="clear" w:color="auto" w:fill="auto"/>
            <w:vAlign w:val="top"/>
          </w:tcPr>
          <w:p w14:paraId="3C26A047">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Ash</w:t>
            </w:r>
          </w:p>
        </w:tc>
        <w:tc>
          <w:tcPr>
            <w:tcW w:w="332" w:type="pct"/>
            <w:tcBorders>
              <w:top w:val="nil"/>
              <w:left w:val="nil"/>
              <w:bottom w:val="single" w:color="auto" w:sz="4" w:space="0"/>
              <w:right w:val="nil"/>
            </w:tcBorders>
            <w:shd w:val="clear" w:color="auto" w:fill="auto"/>
            <w:vAlign w:val="top"/>
          </w:tcPr>
          <w:p w14:paraId="4C2018FD">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CF</w:t>
            </w:r>
          </w:p>
        </w:tc>
        <w:tc>
          <w:tcPr>
            <w:tcW w:w="292" w:type="pct"/>
            <w:tcBorders>
              <w:top w:val="nil"/>
              <w:left w:val="nil"/>
              <w:bottom w:val="single" w:color="auto" w:sz="4" w:space="0"/>
              <w:right w:val="nil"/>
            </w:tcBorders>
            <w:shd w:val="clear" w:color="auto" w:fill="auto"/>
            <w:vAlign w:val="top"/>
          </w:tcPr>
          <w:p w14:paraId="675666D6">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CP</w:t>
            </w:r>
          </w:p>
        </w:tc>
        <w:tc>
          <w:tcPr>
            <w:tcW w:w="257" w:type="pct"/>
            <w:tcBorders>
              <w:top w:val="nil"/>
              <w:left w:val="nil"/>
              <w:bottom w:val="single" w:color="auto" w:sz="4" w:space="0"/>
              <w:right w:val="nil"/>
            </w:tcBorders>
            <w:shd w:val="clear" w:color="auto" w:fill="auto"/>
            <w:vAlign w:val="top"/>
          </w:tcPr>
          <w:p w14:paraId="08DFE4B0">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EE</w:t>
            </w:r>
          </w:p>
        </w:tc>
        <w:tc>
          <w:tcPr>
            <w:tcW w:w="257" w:type="pct"/>
            <w:tcBorders>
              <w:top w:val="nil"/>
              <w:left w:val="nil"/>
              <w:bottom w:val="single" w:color="auto" w:sz="4" w:space="0"/>
              <w:right w:val="nil"/>
            </w:tcBorders>
            <w:shd w:val="clear" w:color="auto" w:fill="auto"/>
            <w:vAlign w:val="top"/>
          </w:tcPr>
          <w:p w14:paraId="56D5024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Ash</w:t>
            </w:r>
          </w:p>
        </w:tc>
        <w:tc>
          <w:tcPr>
            <w:tcW w:w="332" w:type="pct"/>
            <w:tcBorders>
              <w:top w:val="nil"/>
              <w:left w:val="nil"/>
              <w:bottom w:val="single" w:color="auto" w:sz="4" w:space="0"/>
              <w:right w:val="nil"/>
            </w:tcBorders>
            <w:shd w:val="clear" w:color="auto" w:fill="auto"/>
            <w:vAlign w:val="top"/>
          </w:tcPr>
          <w:p w14:paraId="288ACCE7">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CF</w:t>
            </w:r>
          </w:p>
        </w:tc>
        <w:tc>
          <w:tcPr>
            <w:tcW w:w="329" w:type="pct"/>
            <w:tcBorders>
              <w:top w:val="nil"/>
              <w:left w:val="nil"/>
              <w:bottom w:val="single" w:color="auto" w:sz="4" w:space="0"/>
              <w:right w:val="nil"/>
            </w:tcBorders>
            <w:shd w:val="clear" w:color="auto" w:fill="auto"/>
            <w:vAlign w:val="top"/>
          </w:tcPr>
          <w:p w14:paraId="1AEE2A08">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CP</w:t>
            </w:r>
          </w:p>
        </w:tc>
        <w:tc>
          <w:tcPr>
            <w:tcW w:w="258" w:type="pct"/>
            <w:tcBorders>
              <w:top w:val="nil"/>
              <w:left w:val="nil"/>
              <w:bottom w:val="single" w:color="auto" w:sz="4" w:space="0"/>
              <w:right w:val="nil"/>
            </w:tcBorders>
            <w:shd w:val="clear" w:color="auto" w:fill="auto"/>
            <w:vAlign w:val="top"/>
          </w:tcPr>
          <w:p w14:paraId="114BC69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EE</w:t>
            </w:r>
          </w:p>
        </w:tc>
        <w:tc>
          <w:tcPr>
            <w:tcW w:w="293" w:type="pct"/>
            <w:tcBorders>
              <w:top w:val="nil"/>
              <w:left w:val="nil"/>
              <w:bottom w:val="single" w:color="auto" w:sz="4" w:space="0"/>
              <w:right w:val="nil"/>
            </w:tcBorders>
            <w:shd w:val="clear" w:color="auto" w:fill="auto"/>
            <w:vAlign w:val="top"/>
          </w:tcPr>
          <w:p w14:paraId="67718F60">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Ash</w:t>
            </w:r>
          </w:p>
        </w:tc>
        <w:tc>
          <w:tcPr>
            <w:tcW w:w="298" w:type="pct"/>
            <w:tcBorders>
              <w:top w:val="nil"/>
              <w:left w:val="nil"/>
              <w:bottom w:val="single" w:color="auto" w:sz="4" w:space="0"/>
              <w:right w:val="nil"/>
            </w:tcBorders>
            <w:shd w:val="clear" w:color="auto" w:fill="auto"/>
            <w:vAlign w:val="top"/>
          </w:tcPr>
          <w:p w14:paraId="3471A060">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CF</w:t>
            </w:r>
          </w:p>
        </w:tc>
      </w:tr>
      <w:tr w14:paraId="03E5E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51" w:type="dxa"/>
            <w:bottom w:w="40" w:type="dxa"/>
            <w:right w:w="51" w:type="dxa"/>
          </w:tblCellMar>
        </w:tblPrEx>
        <w:trPr>
          <w:trHeight w:val="303" w:hRule="atLeast"/>
          <w:jc w:val="center"/>
        </w:trPr>
        <w:tc>
          <w:tcPr>
            <w:tcW w:w="225" w:type="pct"/>
            <w:tcBorders>
              <w:top w:val="single" w:color="auto" w:sz="4" w:space="0"/>
              <w:left w:val="nil"/>
              <w:bottom w:val="nil"/>
              <w:right w:val="nil"/>
            </w:tcBorders>
          </w:tcPr>
          <w:p w14:paraId="68DEEC83">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A16W0</w:t>
            </w:r>
          </w:p>
        </w:tc>
        <w:tc>
          <w:tcPr>
            <w:tcW w:w="291" w:type="pct"/>
            <w:tcBorders>
              <w:top w:val="single" w:color="auto" w:sz="4" w:space="0"/>
              <w:left w:val="nil"/>
              <w:bottom w:val="nil"/>
              <w:right w:val="nil"/>
            </w:tcBorders>
          </w:tcPr>
          <w:p w14:paraId="58BA34EA">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22.27a</w:t>
            </w:r>
          </w:p>
        </w:tc>
        <w:tc>
          <w:tcPr>
            <w:tcW w:w="257" w:type="pct"/>
            <w:tcBorders>
              <w:top w:val="single" w:color="auto" w:sz="4" w:space="0"/>
              <w:left w:val="nil"/>
              <w:bottom w:val="nil"/>
              <w:right w:val="nil"/>
            </w:tcBorders>
          </w:tcPr>
          <w:p w14:paraId="3011EEFF">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2.63a</w:t>
            </w:r>
          </w:p>
        </w:tc>
        <w:tc>
          <w:tcPr>
            <w:tcW w:w="328" w:type="pct"/>
            <w:tcBorders>
              <w:top w:val="single" w:color="auto" w:sz="4" w:space="0"/>
              <w:left w:val="nil"/>
              <w:bottom w:val="nil"/>
              <w:right w:val="nil"/>
            </w:tcBorders>
          </w:tcPr>
          <w:p w14:paraId="728A13B1">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12.43ab</w:t>
            </w:r>
          </w:p>
        </w:tc>
        <w:tc>
          <w:tcPr>
            <w:tcW w:w="332" w:type="pct"/>
            <w:tcBorders>
              <w:top w:val="single" w:color="auto" w:sz="4" w:space="0"/>
              <w:left w:val="nil"/>
              <w:bottom w:val="nil"/>
              <w:right w:val="nil"/>
            </w:tcBorders>
          </w:tcPr>
          <w:p w14:paraId="011E999A">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26.76a</w:t>
            </w:r>
          </w:p>
        </w:tc>
        <w:tc>
          <w:tcPr>
            <w:tcW w:w="328" w:type="pct"/>
            <w:tcBorders>
              <w:top w:val="single" w:color="auto" w:sz="4" w:space="0"/>
              <w:left w:val="nil"/>
              <w:bottom w:val="nil"/>
              <w:right w:val="nil"/>
            </w:tcBorders>
          </w:tcPr>
          <w:p w14:paraId="42CA435D">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23.06a</w:t>
            </w:r>
          </w:p>
        </w:tc>
        <w:tc>
          <w:tcPr>
            <w:tcW w:w="257" w:type="pct"/>
            <w:tcBorders>
              <w:top w:val="single" w:color="auto" w:sz="4" w:space="0"/>
              <w:left w:val="nil"/>
              <w:bottom w:val="nil"/>
              <w:right w:val="nil"/>
            </w:tcBorders>
          </w:tcPr>
          <w:p w14:paraId="6D7B0E9D">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2.72a</w:t>
            </w:r>
          </w:p>
        </w:tc>
        <w:tc>
          <w:tcPr>
            <w:tcW w:w="328" w:type="pct"/>
            <w:tcBorders>
              <w:top w:val="single" w:color="auto" w:sz="4" w:space="0"/>
              <w:left w:val="nil"/>
              <w:bottom w:val="nil"/>
              <w:right w:val="nil"/>
            </w:tcBorders>
          </w:tcPr>
          <w:p w14:paraId="2F328770">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11.20b</w:t>
            </w:r>
          </w:p>
        </w:tc>
        <w:tc>
          <w:tcPr>
            <w:tcW w:w="332" w:type="pct"/>
            <w:tcBorders>
              <w:top w:val="single" w:color="auto" w:sz="4" w:space="0"/>
              <w:left w:val="nil"/>
              <w:bottom w:val="nil"/>
              <w:right w:val="nil"/>
            </w:tcBorders>
          </w:tcPr>
          <w:p w14:paraId="7827B5F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26.95a</w:t>
            </w:r>
          </w:p>
        </w:tc>
        <w:tc>
          <w:tcPr>
            <w:tcW w:w="292" w:type="pct"/>
            <w:tcBorders>
              <w:top w:val="single" w:color="auto" w:sz="4" w:space="0"/>
              <w:left w:val="nil"/>
              <w:bottom w:val="nil"/>
              <w:right w:val="nil"/>
            </w:tcBorders>
          </w:tcPr>
          <w:p w14:paraId="0F747B27">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w:t>
            </w:r>
          </w:p>
        </w:tc>
        <w:tc>
          <w:tcPr>
            <w:tcW w:w="257" w:type="pct"/>
            <w:tcBorders>
              <w:top w:val="single" w:color="auto" w:sz="4" w:space="0"/>
              <w:left w:val="nil"/>
              <w:bottom w:val="nil"/>
              <w:right w:val="nil"/>
            </w:tcBorders>
          </w:tcPr>
          <w:p w14:paraId="7AA6853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w:t>
            </w:r>
          </w:p>
        </w:tc>
        <w:tc>
          <w:tcPr>
            <w:tcW w:w="257" w:type="pct"/>
            <w:tcBorders>
              <w:top w:val="single" w:color="auto" w:sz="4" w:space="0"/>
              <w:left w:val="nil"/>
              <w:bottom w:val="nil"/>
              <w:right w:val="nil"/>
            </w:tcBorders>
          </w:tcPr>
          <w:p w14:paraId="3BA1D6E3">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w:t>
            </w:r>
          </w:p>
        </w:tc>
        <w:tc>
          <w:tcPr>
            <w:tcW w:w="332" w:type="pct"/>
            <w:tcBorders>
              <w:top w:val="single" w:color="auto" w:sz="4" w:space="0"/>
              <w:left w:val="nil"/>
              <w:bottom w:val="nil"/>
              <w:right w:val="nil"/>
            </w:tcBorders>
          </w:tcPr>
          <w:p w14:paraId="2189759D">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w:t>
            </w:r>
          </w:p>
        </w:tc>
        <w:tc>
          <w:tcPr>
            <w:tcW w:w="329" w:type="pct"/>
            <w:tcBorders>
              <w:top w:val="single" w:color="auto" w:sz="4" w:space="0"/>
              <w:left w:val="nil"/>
              <w:bottom w:val="nil"/>
              <w:right w:val="nil"/>
            </w:tcBorders>
          </w:tcPr>
          <w:p w14:paraId="45593006">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w:t>
            </w:r>
          </w:p>
        </w:tc>
        <w:tc>
          <w:tcPr>
            <w:tcW w:w="258" w:type="pct"/>
            <w:tcBorders>
              <w:top w:val="single" w:color="auto" w:sz="4" w:space="0"/>
              <w:left w:val="nil"/>
              <w:bottom w:val="nil"/>
              <w:right w:val="nil"/>
            </w:tcBorders>
          </w:tcPr>
          <w:p w14:paraId="4CD7428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w:t>
            </w:r>
          </w:p>
        </w:tc>
        <w:tc>
          <w:tcPr>
            <w:tcW w:w="293" w:type="pct"/>
            <w:tcBorders>
              <w:top w:val="single" w:color="auto" w:sz="4" w:space="0"/>
              <w:left w:val="nil"/>
              <w:bottom w:val="nil"/>
              <w:right w:val="nil"/>
            </w:tcBorders>
          </w:tcPr>
          <w:p w14:paraId="05378837">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w:t>
            </w:r>
          </w:p>
        </w:tc>
        <w:tc>
          <w:tcPr>
            <w:tcW w:w="298" w:type="pct"/>
            <w:tcBorders>
              <w:top w:val="single" w:color="auto" w:sz="4" w:space="0"/>
              <w:left w:val="nil"/>
              <w:bottom w:val="nil"/>
              <w:right w:val="nil"/>
            </w:tcBorders>
          </w:tcPr>
          <w:p w14:paraId="4496473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w:t>
            </w:r>
          </w:p>
        </w:tc>
      </w:tr>
      <w:tr w14:paraId="16BD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51" w:type="dxa"/>
            <w:bottom w:w="40" w:type="dxa"/>
            <w:right w:w="51" w:type="dxa"/>
          </w:tblCellMar>
        </w:tblPrEx>
        <w:trPr>
          <w:trHeight w:val="303" w:hRule="atLeast"/>
          <w:jc w:val="center"/>
        </w:trPr>
        <w:tc>
          <w:tcPr>
            <w:tcW w:w="225" w:type="pct"/>
            <w:tcBorders>
              <w:top w:val="nil"/>
              <w:left w:val="nil"/>
              <w:bottom w:val="nil"/>
              <w:right w:val="nil"/>
            </w:tcBorders>
          </w:tcPr>
          <w:p w14:paraId="66DEDEC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A6W2</w:t>
            </w:r>
          </w:p>
        </w:tc>
        <w:tc>
          <w:tcPr>
            <w:tcW w:w="291" w:type="pct"/>
            <w:tcBorders>
              <w:top w:val="nil"/>
              <w:left w:val="nil"/>
              <w:bottom w:val="nil"/>
              <w:right w:val="nil"/>
            </w:tcBorders>
          </w:tcPr>
          <w:p w14:paraId="0C526CC6">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20.18a</w:t>
            </w:r>
          </w:p>
        </w:tc>
        <w:tc>
          <w:tcPr>
            <w:tcW w:w="257" w:type="pct"/>
            <w:tcBorders>
              <w:top w:val="nil"/>
              <w:left w:val="nil"/>
              <w:bottom w:val="nil"/>
              <w:right w:val="nil"/>
            </w:tcBorders>
          </w:tcPr>
          <w:p w14:paraId="272DE267">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2.59a</w:t>
            </w:r>
          </w:p>
        </w:tc>
        <w:tc>
          <w:tcPr>
            <w:tcW w:w="328" w:type="pct"/>
            <w:tcBorders>
              <w:top w:val="nil"/>
              <w:left w:val="nil"/>
              <w:bottom w:val="nil"/>
              <w:right w:val="nil"/>
            </w:tcBorders>
          </w:tcPr>
          <w:p w14:paraId="02AF6DDF">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12.71a</w:t>
            </w:r>
          </w:p>
        </w:tc>
        <w:tc>
          <w:tcPr>
            <w:tcW w:w="332" w:type="pct"/>
            <w:tcBorders>
              <w:top w:val="nil"/>
              <w:left w:val="nil"/>
              <w:bottom w:val="nil"/>
              <w:right w:val="nil"/>
            </w:tcBorders>
          </w:tcPr>
          <w:p w14:paraId="63DAC7BA">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22.53b</w:t>
            </w:r>
          </w:p>
        </w:tc>
        <w:tc>
          <w:tcPr>
            <w:tcW w:w="328" w:type="pct"/>
            <w:tcBorders>
              <w:top w:val="nil"/>
              <w:left w:val="nil"/>
              <w:bottom w:val="nil"/>
              <w:right w:val="nil"/>
            </w:tcBorders>
          </w:tcPr>
          <w:p w14:paraId="341CF5B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20.32b</w:t>
            </w:r>
          </w:p>
        </w:tc>
        <w:tc>
          <w:tcPr>
            <w:tcW w:w="257" w:type="pct"/>
            <w:tcBorders>
              <w:top w:val="nil"/>
              <w:left w:val="nil"/>
              <w:bottom w:val="nil"/>
              <w:right w:val="nil"/>
            </w:tcBorders>
          </w:tcPr>
          <w:p w14:paraId="74398E62">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2.64a</w:t>
            </w:r>
          </w:p>
        </w:tc>
        <w:tc>
          <w:tcPr>
            <w:tcW w:w="328" w:type="pct"/>
            <w:tcBorders>
              <w:top w:val="nil"/>
              <w:left w:val="nil"/>
              <w:bottom w:val="nil"/>
              <w:right w:val="nil"/>
            </w:tcBorders>
          </w:tcPr>
          <w:p w14:paraId="2704A9AF">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12.65a</w:t>
            </w:r>
          </w:p>
        </w:tc>
        <w:tc>
          <w:tcPr>
            <w:tcW w:w="332" w:type="pct"/>
            <w:tcBorders>
              <w:top w:val="nil"/>
              <w:left w:val="nil"/>
              <w:bottom w:val="nil"/>
              <w:right w:val="nil"/>
            </w:tcBorders>
          </w:tcPr>
          <w:p w14:paraId="56A6E98D">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25.57b</w:t>
            </w:r>
          </w:p>
        </w:tc>
        <w:tc>
          <w:tcPr>
            <w:tcW w:w="292" w:type="pct"/>
            <w:tcBorders>
              <w:top w:val="nil"/>
              <w:left w:val="nil"/>
              <w:bottom w:val="nil"/>
              <w:right w:val="nil"/>
            </w:tcBorders>
          </w:tcPr>
          <w:p w14:paraId="18CA75B3">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12.45a</w:t>
            </w:r>
          </w:p>
        </w:tc>
        <w:tc>
          <w:tcPr>
            <w:tcW w:w="257" w:type="pct"/>
            <w:tcBorders>
              <w:top w:val="nil"/>
              <w:left w:val="nil"/>
              <w:bottom w:val="nil"/>
              <w:right w:val="nil"/>
            </w:tcBorders>
          </w:tcPr>
          <w:p w14:paraId="46F5919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2.57a</w:t>
            </w:r>
          </w:p>
        </w:tc>
        <w:tc>
          <w:tcPr>
            <w:tcW w:w="257" w:type="pct"/>
            <w:tcBorders>
              <w:top w:val="nil"/>
              <w:left w:val="nil"/>
              <w:bottom w:val="nil"/>
              <w:right w:val="nil"/>
            </w:tcBorders>
          </w:tcPr>
          <w:p w14:paraId="3237377B">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6.91a</w:t>
            </w:r>
          </w:p>
        </w:tc>
        <w:tc>
          <w:tcPr>
            <w:tcW w:w="332" w:type="pct"/>
            <w:tcBorders>
              <w:top w:val="nil"/>
              <w:left w:val="nil"/>
              <w:bottom w:val="nil"/>
              <w:right w:val="nil"/>
            </w:tcBorders>
            <w:shd w:val="clear" w:color="auto" w:fill="auto"/>
            <w:vAlign w:val="top"/>
          </w:tcPr>
          <w:p w14:paraId="4D120C21">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17.47b</w:t>
            </w:r>
          </w:p>
        </w:tc>
        <w:tc>
          <w:tcPr>
            <w:tcW w:w="329" w:type="pct"/>
            <w:tcBorders>
              <w:top w:val="nil"/>
              <w:left w:val="nil"/>
              <w:bottom w:val="nil"/>
              <w:right w:val="nil"/>
            </w:tcBorders>
          </w:tcPr>
          <w:p w14:paraId="7D6AF29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12.78a</w:t>
            </w:r>
          </w:p>
        </w:tc>
        <w:tc>
          <w:tcPr>
            <w:tcW w:w="258" w:type="pct"/>
            <w:tcBorders>
              <w:top w:val="nil"/>
              <w:left w:val="nil"/>
              <w:bottom w:val="nil"/>
              <w:right w:val="nil"/>
            </w:tcBorders>
          </w:tcPr>
          <w:p w14:paraId="652A801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2.32a</w:t>
            </w:r>
          </w:p>
        </w:tc>
        <w:tc>
          <w:tcPr>
            <w:tcW w:w="293" w:type="pct"/>
            <w:tcBorders>
              <w:top w:val="nil"/>
              <w:left w:val="nil"/>
              <w:bottom w:val="nil"/>
              <w:right w:val="nil"/>
            </w:tcBorders>
          </w:tcPr>
          <w:p w14:paraId="6193F06B">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6.62ab</w:t>
            </w:r>
          </w:p>
        </w:tc>
        <w:tc>
          <w:tcPr>
            <w:tcW w:w="298" w:type="pct"/>
            <w:tcBorders>
              <w:top w:val="nil"/>
              <w:left w:val="nil"/>
              <w:bottom w:val="nil"/>
              <w:right w:val="nil"/>
            </w:tcBorders>
          </w:tcPr>
          <w:p w14:paraId="7AB558A8">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17.42a</w:t>
            </w:r>
          </w:p>
        </w:tc>
      </w:tr>
      <w:tr w14:paraId="3E14E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51" w:type="dxa"/>
            <w:bottom w:w="40" w:type="dxa"/>
            <w:right w:w="51" w:type="dxa"/>
          </w:tblCellMar>
        </w:tblPrEx>
        <w:trPr>
          <w:trHeight w:val="312" w:hRule="atLeast"/>
          <w:jc w:val="center"/>
        </w:trPr>
        <w:tc>
          <w:tcPr>
            <w:tcW w:w="225" w:type="pct"/>
            <w:tcBorders>
              <w:top w:val="nil"/>
              <w:left w:val="nil"/>
              <w:bottom w:val="nil"/>
              <w:right w:val="nil"/>
            </w:tcBorders>
          </w:tcPr>
          <w:p w14:paraId="730E3FAA">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A4W4</w:t>
            </w:r>
          </w:p>
        </w:tc>
        <w:tc>
          <w:tcPr>
            <w:tcW w:w="291" w:type="pct"/>
            <w:tcBorders>
              <w:top w:val="nil"/>
              <w:left w:val="nil"/>
              <w:bottom w:val="nil"/>
              <w:right w:val="nil"/>
            </w:tcBorders>
          </w:tcPr>
          <w:p w14:paraId="67F1DDDA">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21.67a</w:t>
            </w:r>
          </w:p>
        </w:tc>
        <w:tc>
          <w:tcPr>
            <w:tcW w:w="257" w:type="pct"/>
            <w:tcBorders>
              <w:top w:val="nil"/>
              <w:left w:val="nil"/>
              <w:bottom w:val="nil"/>
              <w:right w:val="nil"/>
            </w:tcBorders>
          </w:tcPr>
          <w:p w14:paraId="3E2A624B">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2.42a</w:t>
            </w:r>
          </w:p>
        </w:tc>
        <w:tc>
          <w:tcPr>
            <w:tcW w:w="328" w:type="pct"/>
            <w:tcBorders>
              <w:top w:val="nil"/>
              <w:left w:val="nil"/>
              <w:bottom w:val="nil"/>
              <w:right w:val="nil"/>
            </w:tcBorders>
          </w:tcPr>
          <w:p w14:paraId="59AFEBB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12.69a</w:t>
            </w:r>
          </w:p>
        </w:tc>
        <w:tc>
          <w:tcPr>
            <w:tcW w:w="332" w:type="pct"/>
            <w:tcBorders>
              <w:top w:val="nil"/>
              <w:left w:val="nil"/>
              <w:bottom w:val="nil"/>
              <w:right w:val="nil"/>
            </w:tcBorders>
          </w:tcPr>
          <w:p w14:paraId="7D96B881">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23.68ab</w:t>
            </w:r>
          </w:p>
        </w:tc>
        <w:tc>
          <w:tcPr>
            <w:tcW w:w="328" w:type="pct"/>
            <w:tcBorders>
              <w:top w:val="nil"/>
              <w:left w:val="nil"/>
              <w:bottom w:val="nil"/>
              <w:right w:val="nil"/>
            </w:tcBorders>
          </w:tcPr>
          <w:p w14:paraId="055F95B3">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20.96b</w:t>
            </w:r>
          </w:p>
        </w:tc>
        <w:tc>
          <w:tcPr>
            <w:tcW w:w="257" w:type="pct"/>
            <w:tcBorders>
              <w:top w:val="nil"/>
              <w:left w:val="nil"/>
              <w:bottom w:val="nil"/>
              <w:right w:val="nil"/>
            </w:tcBorders>
          </w:tcPr>
          <w:p w14:paraId="414F988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2.52a</w:t>
            </w:r>
          </w:p>
        </w:tc>
        <w:tc>
          <w:tcPr>
            <w:tcW w:w="328" w:type="pct"/>
            <w:tcBorders>
              <w:top w:val="nil"/>
              <w:left w:val="nil"/>
              <w:bottom w:val="nil"/>
              <w:right w:val="nil"/>
            </w:tcBorders>
          </w:tcPr>
          <w:p w14:paraId="229F2F8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11.85ab</w:t>
            </w:r>
          </w:p>
        </w:tc>
        <w:tc>
          <w:tcPr>
            <w:tcW w:w="332" w:type="pct"/>
            <w:tcBorders>
              <w:top w:val="nil"/>
              <w:left w:val="nil"/>
              <w:bottom w:val="nil"/>
              <w:right w:val="nil"/>
            </w:tcBorders>
          </w:tcPr>
          <w:p w14:paraId="5264AA88">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25.84b</w:t>
            </w:r>
          </w:p>
        </w:tc>
        <w:tc>
          <w:tcPr>
            <w:tcW w:w="292" w:type="pct"/>
            <w:tcBorders>
              <w:top w:val="nil"/>
              <w:left w:val="nil"/>
              <w:bottom w:val="nil"/>
              <w:right w:val="nil"/>
            </w:tcBorders>
          </w:tcPr>
          <w:p w14:paraId="3346EF9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12.61a</w:t>
            </w:r>
          </w:p>
        </w:tc>
        <w:tc>
          <w:tcPr>
            <w:tcW w:w="257" w:type="pct"/>
            <w:tcBorders>
              <w:top w:val="nil"/>
              <w:left w:val="nil"/>
              <w:bottom w:val="nil"/>
              <w:right w:val="nil"/>
            </w:tcBorders>
          </w:tcPr>
          <w:p w14:paraId="025EAAFF">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2.24a</w:t>
            </w:r>
          </w:p>
        </w:tc>
        <w:tc>
          <w:tcPr>
            <w:tcW w:w="257" w:type="pct"/>
            <w:tcBorders>
              <w:top w:val="nil"/>
              <w:left w:val="nil"/>
              <w:bottom w:val="nil"/>
              <w:right w:val="nil"/>
            </w:tcBorders>
          </w:tcPr>
          <w:p w14:paraId="7865EEA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6.35a</w:t>
            </w:r>
          </w:p>
        </w:tc>
        <w:tc>
          <w:tcPr>
            <w:tcW w:w="332" w:type="pct"/>
            <w:tcBorders>
              <w:top w:val="nil"/>
              <w:left w:val="nil"/>
              <w:bottom w:val="nil"/>
              <w:right w:val="nil"/>
            </w:tcBorders>
            <w:shd w:val="clear" w:color="auto" w:fill="auto"/>
            <w:vAlign w:val="top"/>
          </w:tcPr>
          <w:p w14:paraId="661BA44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18.62a</w:t>
            </w:r>
          </w:p>
        </w:tc>
        <w:tc>
          <w:tcPr>
            <w:tcW w:w="329" w:type="pct"/>
            <w:tcBorders>
              <w:top w:val="nil"/>
              <w:left w:val="nil"/>
              <w:bottom w:val="nil"/>
              <w:right w:val="nil"/>
            </w:tcBorders>
          </w:tcPr>
          <w:p w14:paraId="0E4B1D1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12.52ab</w:t>
            </w:r>
          </w:p>
        </w:tc>
        <w:tc>
          <w:tcPr>
            <w:tcW w:w="258" w:type="pct"/>
            <w:tcBorders>
              <w:top w:val="nil"/>
              <w:left w:val="nil"/>
              <w:bottom w:val="nil"/>
              <w:right w:val="nil"/>
            </w:tcBorders>
          </w:tcPr>
          <w:p w14:paraId="4CA5CC26">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2.21a</w:t>
            </w:r>
          </w:p>
        </w:tc>
        <w:tc>
          <w:tcPr>
            <w:tcW w:w="293" w:type="pct"/>
            <w:tcBorders>
              <w:top w:val="nil"/>
              <w:left w:val="nil"/>
              <w:bottom w:val="nil"/>
              <w:right w:val="nil"/>
            </w:tcBorders>
          </w:tcPr>
          <w:p w14:paraId="2D2E62DD">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6.42ab</w:t>
            </w:r>
          </w:p>
        </w:tc>
        <w:tc>
          <w:tcPr>
            <w:tcW w:w="298" w:type="pct"/>
            <w:tcBorders>
              <w:top w:val="nil"/>
              <w:left w:val="nil"/>
              <w:bottom w:val="nil"/>
              <w:right w:val="nil"/>
            </w:tcBorders>
          </w:tcPr>
          <w:p w14:paraId="581C7625">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17.43a</w:t>
            </w:r>
          </w:p>
        </w:tc>
      </w:tr>
      <w:tr w14:paraId="3FFAC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51" w:type="dxa"/>
            <w:bottom w:w="40" w:type="dxa"/>
            <w:right w:w="51" w:type="dxa"/>
          </w:tblCellMar>
        </w:tblPrEx>
        <w:trPr>
          <w:trHeight w:val="285" w:hRule="atLeast"/>
          <w:jc w:val="center"/>
        </w:trPr>
        <w:tc>
          <w:tcPr>
            <w:tcW w:w="225" w:type="pct"/>
            <w:tcBorders>
              <w:top w:val="nil"/>
              <w:left w:val="nil"/>
              <w:bottom w:val="nil"/>
              <w:right w:val="nil"/>
            </w:tcBorders>
          </w:tcPr>
          <w:p w14:paraId="3F7A0CA6">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A2W6</w:t>
            </w:r>
          </w:p>
        </w:tc>
        <w:tc>
          <w:tcPr>
            <w:tcW w:w="291" w:type="pct"/>
            <w:tcBorders>
              <w:top w:val="nil"/>
              <w:left w:val="nil"/>
              <w:bottom w:val="nil"/>
              <w:right w:val="nil"/>
            </w:tcBorders>
          </w:tcPr>
          <w:p w14:paraId="1FC24F6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20.48a</w:t>
            </w:r>
          </w:p>
        </w:tc>
        <w:tc>
          <w:tcPr>
            <w:tcW w:w="257" w:type="pct"/>
            <w:tcBorders>
              <w:top w:val="nil"/>
              <w:left w:val="nil"/>
              <w:bottom w:val="nil"/>
              <w:right w:val="nil"/>
            </w:tcBorders>
          </w:tcPr>
          <w:p w14:paraId="1BB6F8BB">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2.24a</w:t>
            </w:r>
          </w:p>
        </w:tc>
        <w:tc>
          <w:tcPr>
            <w:tcW w:w="328" w:type="pct"/>
            <w:tcBorders>
              <w:top w:val="nil"/>
              <w:left w:val="nil"/>
              <w:bottom w:val="nil"/>
              <w:right w:val="nil"/>
            </w:tcBorders>
          </w:tcPr>
          <w:p w14:paraId="37AD557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11.73b</w:t>
            </w:r>
          </w:p>
        </w:tc>
        <w:tc>
          <w:tcPr>
            <w:tcW w:w="332" w:type="pct"/>
            <w:tcBorders>
              <w:top w:val="nil"/>
              <w:left w:val="nil"/>
              <w:bottom w:val="nil"/>
              <w:right w:val="nil"/>
            </w:tcBorders>
          </w:tcPr>
          <w:p w14:paraId="7AD9990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25.56ab</w:t>
            </w:r>
          </w:p>
        </w:tc>
        <w:tc>
          <w:tcPr>
            <w:tcW w:w="328" w:type="pct"/>
            <w:tcBorders>
              <w:top w:val="nil"/>
              <w:left w:val="nil"/>
              <w:bottom w:val="nil"/>
              <w:right w:val="nil"/>
            </w:tcBorders>
          </w:tcPr>
          <w:p w14:paraId="27E5D20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22.76ab</w:t>
            </w:r>
          </w:p>
        </w:tc>
        <w:tc>
          <w:tcPr>
            <w:tcW w:w="257" w:type="pct"/>
            <w:tcBorders>
              <w:top w:val="nil"/>
              <w:left w:val="nil"/>
              <w:bottom w:val="nil"/>
              <w:right w:val="nil"/>
            </w:tcBorders>
          </w:tcPr>
          <w:p w14:paraId="12018A81">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2.50a</w:t>
            </w:r>
          </w:p>
        </w:tc>
        <w:tc>
          <w:tcPr>
            <w:tcW w:w="328" w:type="pct"/>
            <w:tcBorders>
              <w:top w:val="nil"/>
              <w:left w:val="nil"/>
              <w:bottom w:val="nil"/>
              <w:right w:val="nil"/>
            </w:tcBorders>
          </w:tcPr>
          <w:p w14:paraId="59C15D32">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11.06b</w:t>
            </w:r>
          </w:p>
        </w:tc>
        <w:tc>
          <w:tcPr>
            <w:tcW w:w="332" w:type="pct"/>
            <w:tcBorders>
              <w:top w:val="nil"/>
              <w:left w:val="nil"/>
              <w:bottom w:val="nil"/>
              <w:right w:val="nil"/>
            </w:tcBorders>
          </w:tcPr>
          <w:p w14:paraId="52F88CD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27.45a</w:t>
            </w:r>
          </w:p>
        </w:tc>
        <w:tc>
          <w:tcPr>
            <w:tcW w:w="292" w:type="pct"/>
            <w:tcBorders>
              <w:top w:val="nil"/>
              <w:left w:val="nil"/>
              <w:bottom w:val="nil"/>
              <w:right w:val="nil"/>
            </w:tcBorders>
          </w:tcPr>
          <w:p w14:paraId="07CF304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12.55a</w:t>
            </w:r>
          </w:p>
        </w:tc>
        <w:tc>
          <w:tcPr>
            <w:tcW w:w="257" w:type="pct"/>
            <w:tcBorders>
              <w:top w:val="nil"/>
              <w:left w:val="nil"/>
              <w:bottom w:val="nil"/>
              <w:right w:val="nil"/>
            </w:tcBorders>
          </w:tcPr>
          <w:p w14:paraId="090E170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2.31a</w:t>
            </w:r>
          </w:p>
        </w:tc>
        <w:tc>
          <w:tcPr>
            <w:tcW w:w="257" w:type="pct"/>
            <w:tcBorders>
              <w:top w:val="nil"/>
              <w:left w:val="nil"/>
              <w:bottom w:val="nil"/>
              <w:right w:val="nil"/>
            </w:tcBorders>
          </w:tcPr>
          <w:p w14:paraId="12E86CB8">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6.75a</w:t>
            </w:r>
          </w:p>
        </w:tc>
        <w:tc>
          <w:tcPr>
            <w:tcW w:w="332" w:type="pct"/>
            <w:tcBorders>
              <w:top w:val="nil"/>
              <w:left w:val="nil"/>
              <w:bottom w:val="nil"/>
              <w:right w:val="nil"/>
            </w:tcBorders>
            <w:shd w:val="clear" w:color="auto" w:fill="auto"/>
            <w:vAlign w:val="top"/>
          </w:tcPr>
          <w:p w14:paraId="3A8A0F8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17.82ab</w:t>
            </w:r>
          </w:p>
        </w:tc>
        <w:tc>
          <w:tcPr>
            <w:tcW w:w="329" w:type="pct"/>
            <w:tcBorders>
              <w:top w:val="nil"/>
              <w:left w:val="nil"/>
              <w:bottom w:val="nil"/>
              <w:right w:val="nil"/>
            </w:tcBorders>
          </w:tcPr>
          <w:p w14:paraId="6D6D2F85">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12.48ab</w:t>
            </w:r>
          </w:p>
        </w:tc>
        <w:tc>
          <w:tcPr>
            <w:tcW w:w="258" w:type="pct"/>
            <w:tcBorders>
              <w:top w:val="nil"/>
              <w:left w:val="nil"/>
              <w:bottom w:val="nil"/>
              <w:right w:val="nil"/>
            </w:tcBorders>
          </w:tcPr>
          <w:p w14:paraId="3541B43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2.22a</w:t>
            </w:r>
          </w:p>
        </w:tc>
        <w:tc>
          <w:tcPr>
            <w:tcW w:w="293" w:type="pct"/>
            <w:tcBorders>
              <w:top w:val="nil"/>
              <w:left w:val="nil"/>
              <w:bottom w:val="nil"/>
              <w:right w:val="nil"/>
            </w:tcBorders>
          </w:tcPr>
          <w:p w14:paraId="2F97DE4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6.19b</w:t>
            </w:r>
          </w:p>
        </w:tc>
        <w:tc>
          <w:tcPr>
            <w:tcW w:w="298" w:type="pct"/>
            <w:tcBorders>
              <w:top w:val="nil"/>
              <w:left w:val="nil"/>
              <w:bottom w:val="nil"/>
              <w:right w:val="nil"/>
            </w:tcBorders>
          </w:tcPr>
          <w:p w14:paraId="6C899B4F">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17.22a</w:t>
            </w:r>
          </w:p>
        </w:tc>
      </w:tr>
      <w:tr w14:paraId="0C54A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0" w:type="dxa"/>
            <w:left w:w="51" w:type="dxa"/>
            <w:bottom w:w="40" w:type="dxa"/>
            <w:right w:w="51" w:type="dxa"/>
          </w:tblCellMar>
        </w:tblPrEx>
        <w:trPr>
          <w:trHeight w:val="285" w:hRule="atLeast"/>
          <w:jc w:val="center"/>
        </w:trPr>
        <w:tc>
          <w:tcPr>
            <w:tcW w:w="225" w:type="pct"/>
            <w:tcBorders>
              <w:top w:val="nil"/>
              <w:left w:val="nil"/>
              <w:bottom w:val="single" w:color="auto" w:sz="4" w:space="0"/>
              <w:right w:val="nil"/>
            </w:tcBorders>
            <w:shd w:val="clear" w:color="auto" w:fill="auto"/>
            <w:vAlign w:val="top"/>
          </w:tcPr>
          <w:p w14:paraId="4489A0C6">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A0W16</w:t>
            </w:r>
          </w:p>
        </w:tc>
        <w:tc>
          <w:tcPr>
            <w:tcW w:w="291" w:type="pct"/>
            <w:tcBorders>
              <w:top w:val="nil"/>
              <w:left w:val="nil"/>
              <w:bottom w:val="single" w:color="auto" w:sz="4" w:space="0"/>
              <w:right w:val="nil"/>
            </w:tcBorders>
            <w:shd w:val="clear" w:color="auto" w:fill="auto"/>
            <w:vAlign w:val="top"/>
          </w:tcPr>
          <w:p w14:paraId="136A7C70">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w:t>
            </w:r>
          </w:p>
        </w:tc>
        <w:tc>
          <w:tcPr>
            <w:tcW w:w="257" w:type="pct"/>
            <w:tcBorders>
              <w:top w:val="nil"/>
              <w:left w:val="nil"/>
              <w:bottom w:val="single" w:color="auto" w:sz="4" w:space="0"/>
              <w:right w:val="nil"/>
            </w:tcBorders>
            <w:shd w:val="clear" w:color="auto" w:fill="auto"/>
            <w:vAlign w:val="top"/>
          </w:tcPr>
          <w:p w14:paraId="50D291F1">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w:t>
            </w:r>
          </w:p>
        </w:tc>
        <w:tc>
          <w:tcPr>
            <w:tcW w:w="328" w:type="pct"/>
            <w:tcBorders>
              <w:top w:val="nil"/>
              <w:left w:val="nil"/>
              <w:bottom w:val="single" w:color="auto" w:sz="4" w:space="0"/>
              <w:right w:val="nil"/>
            </w:tcBorders>
            <w:shd w:val="clear" w:color="auto" w:fill="auto"/>
            <w:vAlign w:val="top"/>
          </w:tcPr>
          <w:p w14:paraId="2BADF080">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w:t>
            </w:r>
          </w:p>
        </w:tc>
        <w:tc>
          <w:tcPr>
            <w:tcW w:w="332" w:type="pct"/>
            <w:tcBorders>
              <w:top w:val="nil"/>
              <w:left w:val="nil"/>
              <w:bottom w:val="single" w:color="auto" w:sz="4" w:space="0"/>
              <w:right w:val="nil"/>
            </w:tcBorders>
            <w:shd w:val="clear" w:color="auto" w:fill="auto"/>
            <w:vAlign w:val="top"/>
          </w:tcPr>
          <w:p w14:paraId="3B7A6D8F">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w:t>
            </w:r>
          </w:p>
        </w:tc>
        <w:tc>
          <w:tcPr>
            <w:tcW w:w="328" w:type="pct"/>
            <w:tcBorders>
              <w:top w:val="nil"/>
              <w:left w:val="nil"/>
              <w:bottom w:val="single" w:color="auto" w:sz="4" w:space="0"/>
              <w:right w:val="nil"/>
            </w:tcBorders>
            <w:shd w:val="clear" w:color="auto" w:fill="auto"/>
            <w:vAlign w:val="top"/>
          </w:tcPr>
          <w:p w14:paraId="3E99B9D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w:t>
            </w:r>
          </w:p>
        </w:tc>
        <w:tc>
          <w:tcPr>
            <w:tcW w:w="257" w:type="pct"/>
            <w:tcBorders>
              <w:top w:val="nil"/>
              <w:left w:val="nil"/>
              <w:bottom w:val="single" w:color="auto" w:sz="4" w:space="0"/>
              <w:right w:val="nil"/>
            </w:tcBorders>
            <w:shd w:val="clear" w:color="auto" w:fill="auto"/>
            <w:vAlign w:val="top"/>
          </w:tcPr>
          <w:p w14:paraId="5D9165B5">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w:t>
            </w:r>
          </w:p>
        </w:tc>
        <w:tc>
          <w:tcPr>
            <w:tcW w:w="328" w:type="pct"/>
            <w:tcBorders>
              <w:top w:val="nil"/>
              <w:left w:val="nil"/>
              <w:bottom w:val="single" w:color="auto" w:sz="4" w:space="0"/>
              <w:right w:val="nil"/>
            </w:tcBorders>
            <w:shd w:val="clear" w:color="auto" w:fill="auto"/>
            <w:vAlign w:val="top"/>
          </w:tcPr>
          <w:p w14:paraId="78A80472">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w:t>
            </w:r>
          </w:p>
        </w:tc>
        <w:tc>
          <w:tcPr>
            <w:tcW w:w="332" w:type="pct"/>
            <w:tcBorders>
              <w:top w:val="nil"/>
              <w:left w:val="nil"/>
              <w:bottom w:val="single" w:color="auto" w:sz="4" w:space="0"/>
              <w:right w:val="nil"/>
            </w:tcBorders>
            <w:shd w:val="clear" w:color="auto" w:fill="auto"/>
            <w:vAlign w:val="top"/>
          </w:tcPr>
          <w:p w14:paraId="1565E56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w:t>
            </w:r>
          </w:p>
        </w:tc>
        <w:tc>
          <w:tcPr>
            <w:tcW w:w="292" w:type="pct"/>
            <w:tcBorders>
              <w:top w:val="nil"/>
              <w:left w:val="nil"/>
              <w:bottom w:val="single" w:color="auto" w:sz="4" w:space="0"/>
              <w:right w:val="nil"/>
            </w:tcBorders>
            <w:shd w:val="clear" w:color="auto" w:fill="auto"/>
            <w:vAlign w:val="top"/>
          </w:tcPr>
          <w:p w14:paraId="454BE8F1">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12.03a</w:t>
            </w:r>
          </w:p>
        </w:tc>
        <w:tc>
          <w:tcPr>
            <w:tcW w:w="257" w:type="pct"/>
            <w:tcBorders>
              <w:top w:val="nil"/>
              <w:left w:val="nil"/>
              <w:bottom w:val="single" w:color="auto" w:sz="4" w:space="0"/>
              <w:right w:val="nil"/>
            </w:tcBorders>
            <w:shd w:val="clear" w:color="auto" w:fill="auto"/>
            <w:vAlign w:val="top"/>
          </w:tcPr>
          <w:p w14:paraId="1D7D9EFF">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2.07a</w:t>
            </w:r>
          </w:p>
        </w:tc>
        <w:tc>
          <w:tcPr>
            <w:tcW w:w="257" w:type="pct"/>
            <w:tcBorders>
              <w:top w:val="nil"/>
              <w:left w:val="nil"/>
              <w:bottom w:val="single" w:color="auto" w:sz="4" w:space="0"/>
              <w:right w:val="nil"/>
            </w:tcBorders>
            <w:shd w:val="clear" w:color="auto" w:fill="auto"/>
            <w:vAlign w:val="top"/>
          </w:tcPr>
          <w:p w14:paraId="4F8EFC96">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7.11a</w:t>
            </w:r>
          </w:p>
        </w:tc>
        <w:tc>
          <w:tcPr>
            <w:tcW w:w="332" w:type="pct"/>
            <w:tcBorders>
              <w:top w:val="nil"/>
              <w:left w:val="nil"/>
              <w:bottom w:val="single" w:color="auto" w:sz="4" w:space="0"/>
              <w:right w:val="nil"/>
            </w:tcBorders>
            <w:shd w:val="clear" w:color="auto" w:fill="auto"/>
            <w:vAlign w:val="top"/>
          </w:tcPr>
          <w:p w14:paraId="2DD0A54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17.68ab</w:t>
            </w:r>
          </w:p>
        </w:tc>
        <w:tc>
          <w:tcPr>
            <w:tcW w:w="329" w:type="pct"/>
            <w:tcBorders>
              <w:top w:val="nil"/>
              <w:left w:val="nil"/>
              <w:bottom w:val="single" w:color="auto" w:sz="4" w:space="0"/>
              <w:right w:val="nil"/>
            </w:tcBorders>
            <w:shd w:val="clear" w:color="auto" w:fill="auto"/>
            <w:vAlign w:val="top"/>
          </w:tcPr>
          <w:p w14:paraId="4D8726A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12.15b</w:t>
            </w:r>
          </w:p>
        </w:tc>
        <w:tc>
          <w:tcPr>
            <w:tcW w:w="258" w:type="pct"/>
            <w:tcBorders>
              <w:top w:val="nil"/>
              <w:left w:val="nil"/>
              <w:bottom w:val="single" w:color="auto" w:sz="4" w:space="0"/>
              <w:right w:val="nil"/>
            </w:tcBorders>
            <w:shd w:val="clear" w:color="auto" w:fill="auto"/>
            <w:vAlign w:val="top"/>
          </w:tcPr>
          <w:p w14:paraId="122D7D1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2.12a</w:t>
            </w:r>
          </w:p>
        </w:tc>
        <w:tc>
          <w:tcPr>
            <w:tcW w:w="293" w:type="pct"/>
            <w:tcBorders>
              <w:top w:val="nil"/>
              <w:left w:val="nil"/>
              <w:bottom w:val="single" w:color="auto" w:sz="4" w:space="0"/>
              <w:right w:val="nil"/>
            </w:tcBorders>
            <w:shd w:val="clear" w:color="auto" w:fill="auto"/>
            <w:vAlign w:val="top"/>
          </w:tcPr>
          <w:p w14:paraId="430E516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6.84a</w:t>
            </w:r>
          </w:p>
        </w:tc>
        <w:tc>
          <w:tcPr>
            <w:tcW w:w="298" w:type="pct"/>
            <w:tcBorders>
              <w:top w:val="nil"/>
              <w:left w:val="nil"/>
              <w:bottom w:val="single" w:color="auto" w:sz="4" w:space="0"/>
              <w:right w:val="nil"/>
            </w:tcBorders>
            <w:shd w:val="clear" w:color="auto" w:fill="auto"/>
            <w:vAlign w:val="top"/>
          </w:tcPr>
          <w:p w14:paraId="61C44D60">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18.05a</w:t>
            </w:r>
          </w:p>
        </w:tc>
      </w:tr>
    </w:tbl>
    <w:p w14:paraId="64B559DE">
      <w:pPr>
        <w:widowControl w:val="0"/>
        <w:numPr>
          <w:ilvl w:val="0"/>
          <w:numId w:val="0"/>
        </w:numPr>
        <w:spacing w:after="160" w:line="278" w:lineRule="auto"/>
        <w:jc w:val="center"/>
        <w:rPr>
          <w:rFonts w:hint="default" w:ascii="宋体" w:hAnsi="宋体" w:eastAsia="宋体" w:cs="宋体"/>
          <w:sz w:val="24"/>
          <w:szCs w:val="24"/>
          <w:lang w:val="en-US" w:eastAsia="zh-CN"/>
        </w:rPr>
      </w:pPr>
    </w:p>
    <w:p w14:paraId="769DD6D6">
      <w:pPr>
        <w:keepNext w:val="0"/>
        <w:keepLines w:val="0"/>
        <w:pageBreakBefore w:val="0"/>
        <w:widowControl w:val="0"/>
        <w:numPr>
          <w:ilvl w:val="0"/>
          <w:numId w:val="0"/>
        </w:numPr>
        <w:kinsoku/>
        <w:wordWrap/>
        <w:overflowPunct/>
        <w:topLinePunct w:val="0"/>
        <w:autoSpaceDE/>
        <w:autoSpaceDN/>
        <w:bidi w:val="0"/>
        <w:adjustRightInd/>
        <w:snapToGrid/>
        <w:spacing w:after="160" w:line="360" w:lineRule="auto"/>
        <w:jc w:val="left"/>
        <w:textAlignment w:val="auto"/>
        <w:rPr>
          <w:rFonts w:hint="default" w:ascii="宋体" w:hAnsi="宋体" w:eastAsia="宋体" w:cs="宋体"/>
          <w:sz w:val="24"/>
          <w:szCs w:val="24"/>
          <w:lang w:val="en-US" w:eastAsia="zh-CN"/>
        </w:rPr>
      </w:pPr>
      <w:bookmarkStart w:id="17" w:name="_GoBack"/>
      <w:r>
        <w:rPr>
          <w:rFonts w:hint="eastAsia" w:ascii="宋体" w:hAnsi="宋体" w:eastAsia="宋体" w:cs="宋体"/>
          <w:sz w:val="24"/>
          <w:szCs w:val="24"/>
          <w:lang w:val="en-US" w:eastAsia="zh-CN"/>
        </w:rPr>
        <w:t>（5）</w:t>
      </w:r>
      <w:r>
        <w:rPr>
          <w:rFonts w:hint="default" w:ascii="宋体" w:hAnsi="宋体" w:eastAsia="宋体" w:cs="宋体"/>
          <w:sz w:val="24"/>
          <w:szCs w:val="24"/>
          <w:lang w:val="en-US" w:eastAsia="zh-CN"/>
        </w:rPr>
        <w:t>紫花苜蓿与饲用</w:t>
      </w:r>
      <w:r>
        <w:rPr>
          <w:rFonts w:hint="eastAsia" w:ascii="宋体" w:hAnsi="宋体" w:eastAsia="宋体" w:cs="宋体"/>
          <w:sz w:val="24"/>
          <w:szCs w:val="24"/>
          <w:lang w:val="en-US" w:eastAsia="zh-CN"/>
        </w:rPr>
        <w:t>大麦</w:t>
      </w:r>
      <w:r>
        <w:rPr>
          <w:rFonts w:hint="default" w:ascii="宋体" w:hAnsi="宋体" w:eastAsia="宋体" w:cs="宋体"/>
          <w:sz w:val="24"/>
          <w:szCs w:val="24"/>
          <w:lang w:val="en-US" w:eastAsia="zh-CN"/>
        </w:rPr>
        <w:t>间作系统的土壤理化性质</w:t>
      </w:r>
    </w:p>
    <w:p w14:paraId="046FE49C">
      <w:pPr>
        <w:keepNext w:val="0"/>
        <w:keepLines w:val="0"/>
        <w:pageBreakBefore w:val="0"/>
        <w:widowControl w:val="0"/>
        <w:numPr>
          <w:ilvl w:val="0"/>
          <w:numId w:val="0"/>
        </w:numPr>
        <w:kinsoku/>
        <w:wordWrap/>
        <w:overflowPunct/>
        <w:topLinePunct w:val="0"/>
        <w:autoSpaceDE/>
        <w:autoSpaceDN/>
        <w:bidi w:val="0"/>
        <w:adjustRightInd/>
        <w:snapToGrid/>
        <w:spacing w:after="160" w:line="360" w:lineRule="auto"/>
        <w:ind w:firstLine="480" w:firstLineChars="200"/>
        <w:textAlignment w:val="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在两种施磷水平下（P0 和 P1），不同间作模式对土壤理化性质的影响存在显著差异。不施磷时，不同间作模式下土壤有机质、全氮、碱解氮、速效磷、速效钾含量均以 A6W2 模式最高，其中有机质、全氮、碱解氮、速效钾含量在 A6W2 模式下显著高于单作苜蓿（A16W0）和单作大麦（A0W16）模式（</w:t>
      </w:r>
      <w:r>
        <w:rPr>
          <w:rFonts w:hint="eastAsia" w:ascii="Times New Roman" w:hAnsi="Times New Roman" w:eastAsia="宋体" w:cs="Times New Roman"/>
          <w:i/>
          <w:iCs/>
          <w:sz w:val="24"/>
          <w:lang w:val="en-US" w:eastAsia="zh-CN"/>
        </w:rPr>
        <w:t>P</w:t>
      </w:r>
      <w:r>
        <w:rPr>
          <w:rFonts w:hint="eastAsia" w:ascii="Times New Roman" w:hAnsi="Times New Roman" w:eastAsia="宋体" w:cs="Times New Roman"/>
          <w:sz w:val="24"/>
          <w:lang w:val="en-US" w:eastAsia="zh-CN"/>
        </w:rPr>
        <w:t>&lt;0.05），速效磷含量在 A6W2 与 A2W6 模式下显著高于其他模式（</w:t>
      </w:r>
      <w:r>
        <w:rPr>
          <w:rFonts w:hint="eastAsia" w:ascii="Times New Roman" w:hAnsi="Times New Roman" w:eastAsia="宋体" w:cs="Times New Roman"/>
          <w:i/>
          <w:iCs/>
          <w:sz w:val="24"/>
          <w:lang w:val="en-US" w:eastAsia="zh-CN"/>
        </w:rPr>
        <w:t>P</w:t>
      </w:r>
      <w:r>
        <w:rPr>
          <w:rFonts w:hint="eastAsia" w:ascii="Times New Roman" w:hAnsi="Times New Roman" w:eastAsia="宋体" w:cs="Times New Roman"/>
          <w:sz w:val="24"/>
          <w:lang w:val="en-US" w:eastAsia="zh-CN"/>
        </w:rPr>
        <w:t>&lt;0.05）；土壤 pH 值在 A6W2、A4W4 和 A2W6 间作模式下显著高于单作模式（</w:t>
      </w:r>
      <w:r>
        <w:rPr>
          <w:rFonts w:hint="eastAsia" w:ascii="Times New Roman" w:hAnsi="Times New Roman" w:eastAsia="宋体" w:cs="Times New Roman"/>
          <w:i/>
          <w:iCs/>
          <w:sz w:val="24"/>
          <w:lang w:val="en-US" w:eastAsia="zh-CN"/>
        </w:rPr>
        <w:t>P</w:t>
      </w:r>
      <w:r>
        <w:rPr>
          <w:rFonts w:hint="eastAsia" w:ascii="Times New Roman" w:hAnsi="Times New Roman" w:eastAsia="宋体" w:cs="Times New Roman"/>
          <w:sz w:val="24"/>
          <w:lang w:val="en-US" w:eastAsia="zh-CN"/>
        </w:rPr>
        <w:t>&lt;0.05），整体呈弱碱性。施磷后，各模式土壤养分含量均有不同程度提升，其中 A6W2 模式的有机质、全氮、碱解氮、速效磷、速效钾含量仍显著高于其他模式（</w:t>
      </w:r>
      <w:r>
        <w:rPr>
          <w:rFonts w:hint="eastAsia" w:ascii="Times New Roman" w:hAnsi="Times New Roman" w:eastAsia="宋体" w:cs="Times New Roman"/>
          <w:i/>
          <w:iCs/>
          <w:sz w:val="24"/>
          <w:lang w:val="en-US" w:eastAsia="zh-CN"/>
        </w:rPr>
        <w:t>P</w:t>
      </w:r>
      <w:r>
        <w:rPr>
          <w:rFonts w:hint="eastAsia" w:ascii="Times New Roman" w:hAnsi="Times New Roman" w:eastAsia="宋体" w:cs="Times New Roman"/>
          <w:sz w:val="24"/>
          <w:lang w:val="en-US" w:eastAsia="zh-CN"/>
        </w:rPr>
        <w:t>&lt;0.05），单作模式提升幅度较小；A4W4 和 A2W6 模式的全氮含量在施磷后显著高于单作苜蓿和单作大麦模式（</w:t>
      </w:r>
      <w:r>
        <w:rPr>
          <w:rFonts w:hint="eastAsia" w:ascii="Times New Roman" w:hAnsi="Times New Roman" w:eastAsia="宋体" w:cs="Times New Roman"/>
          <w:i/>
          <w:iCs/>
          <w:sz w:val="24"/>
          <w:lang w:val="en-US" w:eastAsia="zh-CN"/>
        </w:rPr>
        <w:t>P</w:t>
      </w:r>
      <w:r>
        <w:rPr>
          <w:rFonts w:hint="eastAsia" w:ascii="Times New Roman" w:hAnsi="Times New Roman" w:eastAsia="宋体" w:cs="Times New Roman"/>
          <w:sz w:val="24"/>
          <w:lang w:val="en-US" w:eastAsia="zh-CN"/>
        </w:rPr>
        <w:t>&lt;0.05），二者间无显著差异。此外，施磷后土壤 pH 值略有升高，A6W2、A4W4 和 A2W6 模式仍显著高于单作模式（</w:t>
      </w:r>
      <w:r>
        <w:rPr>
          <w:rFonts w:hint="eastAsia" w:ascii="Times New Roman" w:hAnsi="Times New Roman" w:eastAsia="宋体" w:cs="Times New Roman"/>
          <w:i/>
          <w:iCs/>
          <w:sz w:val="24"/>
          <w:lang w:val="en-US" w:eastAsia="zh-CN"/>
        </w:rPr>
        <w:t>P</w:t>
      </w:r>
      <w:r>
        <w:rPr>
          <w:rFonts w:hint="eastAsia" w:ascii="Times New Roman" w:hAnsi="Times New Roman" w:eastAsia="宋体" w:cs="Times New Roman"/>
          <w:sz w:val="24"/>
          <w:lang w:val="en-US" w:eastAsia="zh-CN"/>
        </w:rPr>
        <w:t>&lt;0.05），但整体变化幅度较小，仍处于弱碱性范围。综合来看，无论施磷与否，A6W2 间作模式对土壤肥力的提升效果最优，单作模式的土壤养分水平始终最低；施磷显著补充了土壤磷素水平，并促进了其他养分的积累，且未改变不同种植模式间的养分差异趋势。</w:t>
      </w:r>
    </w:p>
    <w:bookmarkEnd w:id="17"/>
    <w:p w14:paraId="0EBEDC68">
      <w:pPr>
        <w:widowControl w:val="0"/>
        <w:numPr>
          <w:ilvl w:val="0"/>
          <w:numId w:val="0"/>
        </w:numPr>
        <w:spacing w:after="160" w:line="278" w:lineRule="auto"/>
        <w:jc w:val="center"/>
        <w:rPr>
          <w:rFonts w:hint="eastAsia" w:ascii="宋体" w:hAnsi="宋体" w:eastAsia="宋体" w:cs="宋体"/>
          <w:lang w:val="en-US" w:eastAsia="zh-CN"/>
        </w:rPr>
      </w:pPr>
    </w:p>
    <w:p w14:paraId="32EBDF1F">
      <w:pPr>
        <w:widowControl w:val="0"/>
        <w:numPr>
          <w:ilvl w:val="0"/>
          <w:numId w:val="0"/>
        </w:numPr>
        <w:spacing w:after="160" w:line="278" w:lineRule="auto"/>
        <w:jc w:val="center"/>
        <w:rPr>
          <w:rFonts w:hint="eastAsia" w:ascii="宋体" w:hAnsi="宋体" w:eastAsia="宋体" w:cs="宋体"/>
          <w:lang w:val="en-US" w:eastAsia="zh-CN"/>
        </w:rPr>
      </w:pPr>
      <w:r>
        <w:rPr>
          <w:rFonts w:hint="eastAsia" w:ascii="宋体" w:hAnsi="宋体" w:eastAsia="宋体" w:cs="宋体"/>
          <w:lang w:val="en-US" w:eastAsia="zh-CN"/>
        </w:rPr>
        <w:t>表5 不同间作种植模式下的土壤理化性质</w:t>
      </w:r>
    </w:p>
    <w:tbl>
      <w:tblPr>
        <w:tblStyle w:val="18"/>
        <w:tblW w:w="9085"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1"/>
        <w:gridCol w:w="783"/>
        <w:gridCol w:w="783"/>
        <w:gridCol w:w="704"/>
        <w:gridCol w:w="729"/>
        <w:gridCol w:w="700"/>
        <w:gridCol w:w="554"/>
        <w:gridCol w:w="696"/>
        <w:gridCol w:w="783"/>
        <w:gridCol w:w="704"/>
        <w:gridCol w:w="700"/>
        <w:gridCol w:w="704"/>
        <w:gridCol w:w="554"/>
      </w:tblGrid>
      <w:tr w14:paraId="6C84B40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91" w:type="dxa"/>
            <w:vMerge w:val="restart"/>
            <w:vAlign w:val="center"/>
          </w:tcPr>
          <w:p w14:paraId="438A9C7F">
            <w:pPr>
              <w:widowControl w:val="0"/>
              <w:numPr>
                <w:ilvl w:val="0"/>
                <w:numId w:val="0"/>
              </w:numPr>
              <w:spacing w:after="160" w:line="278" w:lineRule="auto"/>
              <w:jc w:val="center"/>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种植</w:t>
            </w:r>
          </w:p>
          <w:p w14:paraId="7CE44597">
            <w:pPr>
              <w:widowControl w:val="0"/>
              <w:numPr>
                <w:ilvl w:val="0"/>
                <w:numId w:val="0"/>
              </w:numPr>
              <w:spacing w:after="160" w:line="278" w:lineRule="auto"/>
              <w:jc w:val="center"/>
              <w:rPr>
                <w:rFonts w:hint="default" w:ascii="Times New Roman" w:hAnsi="Times New Roman" w:eastAsia="宋体" w:cs="Times New Roman"/>
                <w:vertAlign w:val="baseline"/>
                <w:lang w:val="en-US" w:eastAsia="zh-CN"/>
              </w:rPr>
            </w:pPr>
            <w:r>
              <w:rPr>
                <w:rFonts w:hint="default" w:ascii="Times New Roman" w:hAnsi="Times New Roman" w:eastAsia="宋体" w:cs="Times New Roman"/>
                <w:sz w:val="15"/>
                <w:szCs w:val="15"/>
                <w:vertAlign w:val="baseline"/>
                <w:lang w:val="en-US" w:eastAsia="zh-CN"/>
              </w:rPr>
              <w:t>模式</w:t>
            </w:r>
          </w:p>
        </w:tc>
        <w:tc>
          <w:tcPr>
            <w:tcW w:w="4253" w:type="dxa"/>
            <w:gridSpan w:val="6"/>
            <w:tcBorders>
              <w:bottom w:val="single" w:color="auto" w:sz="4" w:space="0"/>
            </w:tcBorders>
          </w:tcPr>
          <w:p w14:paraId="039279CE">
            <w:pPr>
              <w:widowControl w:val="0"/>
              <w:numPr>
                <w:ilvl w:val="0"/>
                <w:numId w:val="0"/>
              </w:numPr>
              <w:spacing w:after="160" w:line="278" w:lineRule="auto"/>
              <w:jc w:val="center"/>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P0</w:t>
            </w:r>
          </w:p>
        </w:tc>
        <w:tc>
          <w:tcPr>
            <w:tcW w:w="4141" w:type="dxa"/>
            <w:gridSpan w:val="6"/>
            <w:tcBorders>
              <w:bottom w:val="single" w:color="auto" w:sz="4" w:space="0"/>
            </w:tcBorders>
          </w:tcPr>
          <w:p w14:paraId="027EC398">
            <w:pPr>
              <w:widowControl w:val="0"/>
              <w:numPr>
                <w:ilvl w:val="0"/>
                <w:numId w:val="0"/>
              </w:numPr>
              <w:spacing w:after="160" w:line="278" w:lineRule="auto"/>
              <w:jc w:val="center"/>
              <w:rPr>
                <w:rFonts w:hint="default" w:ascii="Times New Roman" w:hAnsi="Times New Roman" w:eastAsia="宋体" w:cs="Times New Roman"/>
                <w:sz w:val="15"/>
                <w:szCs w:val="15"/>
                <w:vertAlign w:val="baseline"/>
                <w:lang w:val="en-US" w:eastAsia="zh-CN"/>
              </w:rPr>
            </w:pPr>
            <w:r>
              <w:rPr>
                <w:rFonts w:hint="default" w:ascii="Times New Roman" w:hAnsi="Times New Roman" w:eastAsia="宋体" w:cs="Times New Roman"/>
                <w:sz w:val="15"/>
                <w:szCs w:val="15"/>
                <w:vertAlign w:val="baseline"/>
                <w:lang w:val="en-US" w:eastAsia="zh-CN"/>
              </w:rPr>
              <w:t>P1</w:t>
            </w:r>
          </w:p>
        </w:tc>
      </w:tr>
      <w:tr w14:paraId="4886BB9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691" w:type="dxa"/>
            <w:vMerge w:val="continue"/>
            <w:tcBorders>
              <w:bottom w:val="single" w:color="auto" w:sz="4" w:space="0"/>
            </w:tcBorders>
          </w:tcPr>
          <w:p w14:paraId="53B9C541">
            <w:pPr>
              <w:widowControl w:val="0"/>
              <w:numPr>
                <w:ilvl w:val="0"/>
                <w:numId w:val="0"/>
              </w:numPr>
              <w:spacing w:after="160" w:line="278" w:lineRule="auto"/>
              <w:jc w:val="center"/>
              <w:rPr>
                <w:rFonts w:hint="default" w:ascii="Times New Roman" w:hAnsi="Times New Roman" w:eastAsia="宋体" w:cs="Times New Roman"/>
                <w:vertAlign w:val="baseline"/>
                <w:lang w:val="en-US" w:eastAsia="zh-CN"/>
              </w:rPr>
            </w:pPr>
          </w:p>
        </w:tc>
        <w:tc>
          <w:tcPr>
            <w:tcW w:w="783" w:type="dxa"/>
            <w:tcBorders>
              <w:top w:val="single" w:color="auto" w:sz="4" w:space="0"/>
              <w:bottom w:val="single" w:color="auto" w:sz="4" w:space="0"/>
            </w:tcBorders>
            <w:shd w:val="clear" w:color="auto" w:fill="auto"/>
            <w:vAlign w:val="center"/>
          </w:tcPr>
          <w:p w14:paraId="10E0DCAF">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有机质（g/kg）</w:t>
            </w:r>
          </w:p>
        </w:tc>
        <w:tc>
          <w:tcPr>
            <w:tcW w:w="783" w:type="dxa"/>
            <w:tcBorders>
              <w:top w:val="single" w:color="auto" w:sz="4" w:space="0"/>
              <w:bottom w:val="single" w:color="auto" w:sz="4" w:space="0"/>
            </w:tcBorders>
            <w:shd w:val="clear" w:color="auto" w:fill="auto"/>
            <w:vAlign w:val="center"/>
          </w:tcPr>
          <w:p w14:paraId="253962C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全氮（g/kg）</w:t>
            </w:r>
          </w:p>
        </w:tc>
        <w:tc>
          <w:tcPr>
            <w:tcW w:w="704" w:type="dxa"/>
            <w:tcBorders>
              <w:top w:val="single" w:color="auto" w:sz="4" w:space="0"/>
              <w:bottom w:val="single" w:color="auto" w:sz="4" w:space="0"/>
            </w:tcBorders>
            <w:shd w:val="clear" w:color="auto" w:fill="auto"/>
            <w:vAlign w:val="center"/>
          </w:tcPr>
          <w:p w14:paraId="4D72242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碱解氮(mg/kg)</w:t>
            </w:r>
          </w:p>
        </w:tc>
        <w:tc>
          <w:tcPr>
            <w:tcW w:w="729" w:type="dxa"/>
            <w:tcBorders>
              <w:top w:val="single" w:color="auto" w:sz="4" w:space="0"/>
              <w:bottom w:val="single" w:color="auto" w:sz="4" w:space="0"/>
            </w:tcBorders>
            <w:shd w:val="clear" w:color="auto" w:fill="auto"/>
            <w:vAlign w:val="center"/>
          </w:tcPr>
          <w:p w14:paraId="4C4FC3EF">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速效磷(mg/kg)</w:t>
            </w:r>
          </w:p>
        </w:tc>
        <w:tc>
          <w:tcPr>
            <w:tcW w:w="700" w:type="dxa"/>
            <w:tcBorders>
              <w:top w:val="single" w:color="auto" w:sz="4" w:space="0"/>
              <w:bottom w:val="single" w:color="auto" w:sz="4" w:space="0"/>
            </w:tcBorders>
            <w:shd w:val="clear" w:color="auto" w:fill="auto"/>
            <w:vAlign w:val="center"/>
          </w:tcPr>
          <w:p w14:paraId="77A49B55">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速效钾(mg/kg)</w:t>
            </w:r>
          </w:p>
        </w:tc>
        <w:tc>
          <w:tcPr>
            <w:tcW w:w="554" w:type="dxa"/>
            <w:tcBorders>
              <w:top w:val="single" w:color="auto" w:sz="4" w:space="0"/>
              <w:bottom w:val="single" w:color="auto" w:sz="4" w:space="0"/>
            </w:tcBorders>
            <w:shd w:val="clear" w:color="auto" w:fill="auto"/>
            <w:vAlign w:val="center"/>
          </w:tcPr>
          <w:p w14:paraId="6F74E18D">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pH值</w:t>
            </w:r>
          </w:p>
        </w:tc>
        <w:tc>
          <w:tcPr>
            <w:tcW w:w="696" w:type="dxa"/>
            <w:tcBorders>
              <w:top w:val="single" w:color="auto" w:sz="4" w:space="0"/>
              <w:bottom w:val="single" w:color="auto" w:sz="4" w:space="0"/>
            </w:tcBorders>
            <w:shd w:val="clear" w:color="auto" w:fill="auto"/>
            <w:vAlign w:val="center"/>
          </w:tcPr>
          <w:p w14:paraId="7E437696">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有机质（g/kg)</w:t>
            </w:r>
          </w:p>
        </w:tc>
        <w:tc>
          <w:tcPr>
            <w:tcW w:w="783" w:type="dxa"/>
            <w:tcBorders>
              <w:top w:val="single" w:color="auto" w:sz="4" w:space="0"/>
              <w:bottom w:val="single" w:color="auto" w:sz="4" w:space="0"/>
            </w:tcBorders>
            <w:shd w:val="clear" w:color="auto" w:fill="auto"/>
            <w:vAlign w:val="center"/>
          </w:tcPr>
          <w:p w14:paraId="7AD6F0C8">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全氮（g/kg）</w:t>
            </w:r>
          </w:p>
        </w:tc>
        <w:tc>
          <w:tcPr>
            <w:tcW w:w="704" w:type="dxa"/>
            <w:tcBorders>
              <w:top w:val="single" w:color="auto" w:sz="4" w:space="0"/>
              <w:bottom w:val="single" w:color="auto" w:sz="4" w:space="0"/>
            </w:tcBorders>
            <w:shd w:val="clear" w:color="auto" w:fill="auto"/>
            <w:vAlign w:val="center"/>
          </w:tcPr>
          <w:p w14:paraId="1516CC2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碱解氮(mg/kg)</w:t>
            </w:r>
          </w:p>
        </w:tc>
        <w:tc>
          <w:tcPr>
            <w:tcW w:w="700" w:type="dxa"/>
            <w:tcBorders>
              <w:top w:val="single" w:color="auto" w:sz="4" w:space="0"/>
              <w:bottom w:val="single" w:color="auto" w:sz="4" w:space="0"/>
            </w:tcBorders>
            <w:shd w:val="clear" w:color="auto" w:fill="auto"/>
            <w:vAlign w:val="center"/>
          </w:tcPr>
          <w:p w14:paraId="76C02A11">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速效磷(mg/kg)</w:t>
            </w:r>
          </w:p>
        </w:tc>
        <w:tc>
          <w:tcPr>
            <w:tcW w:w="704" w:type="dxa"/>
            <w:tcBorders>
              <w:top w:val="single" w:color="auto" w:sz="4" w:space="0"/>
              <w:bottom w:val="single" w:color="auto" w:sz="4" w:space="0"/>
            </w:tcBorders>
            <w:shd w:val="clear" w:color="auto" w:fill="auto"/>
            <w:vAlign w:val="center"/>
          </w:tcPr>
          <w:p w14:paraId="1145432B">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速效钾(mg/kg)</w:t>
            </w:r>
          </w:p>
        </w:tc>
        <w:tc>
          <w:tcPr>
            <w:tcW w:w="554" w:type="dxa"/>
            <w:tcBorders>
              <w:top w:val="single" w:color="auto" w:sz="4" w:space="0"/>
              <w:bottom w:val="single" w:color="auto" w:sz="4" w:space="0"/>
            </w:tcBorders>
            <w:shd w:val="clear" w:color="auto" w:fill="auto"/>
            <w:vAlign w:val="center"/>
          </w:tcPr>
          <w:p w14:paraId="6872A8F5">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pH值</w:t>
            </w:r>
          </w:p>
        </w:tc>
      </w:tr>
      <w:tr w14:paraId="3C6539A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91" w:type="dxa"/>
            <w:tcBorders>
              <w:top w:val="single" w:color="auto" w:sz="4" w:space="0"/>
            </w:tcBorders>
            <w:shd w:val="clear" w:color="auto" w:fill="auto"/>
            <w:vAlign w:val="center"/>
          </w:tcPr>
          <w:p w14:paraId="40A79D0A">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A16W0</w:t>
            </w:r>
          </w:p>
        </w:tc>
        <w:tc>
          <w:tcPr>
            <w:tcW w:w="783" w:type="dxa"/>
            <w:tcBorders>
              <w:top w:val="single" w:color="auto" w:sz="4" w:space="0"/>
            </w:tcBorders>
            <w:shd w:val="clear" w:color="auto" w:fill="auto"/>
            <w:vAlign w:val="center"/>
          </w:tcPr>
          <w:p w14:paraId="682BAEA3">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10.73bc</w:t>
            </w:r>
          </w:p>
        </w:tc>
        <w:tc>
          <w:tcPr>
            <w:tcW w:w="783" w:type="dxa"/>
            <w:tcBorders>
              <w:top w:val="single" w:color="auto" w:sz="4" w:space="0"/>
            </w:tcBorders>
            <w:shd w:val="clear" w:color="auto" w:fill="auto"/>
            <w:vAlign w:val="center"/>
          </w:tcPr>
          <w:p w14:paraId="45669437">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1.46bc</w:t>
            </w:r>
          </w:p>
        </w:tc>
        <w:tc>
          <w:tcPr>
            <w:tcW w:w="704" w:type="dxa"/>
            <w:tcBorders>
              <w:top w:val="single" w:color="auto" w:sz="4" w:space="0"/>
            </w:tcBorders>
            <w:shd w:val="clear" w:color="auto" w:fill="auto"/>
            <w:vAlign w:val="center"/>
          </w:tcPr>
          <w:p w14:paraId="00AE1D4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98.10c</w:t>
            </w:r>
          </w:p>
        </w:tc>
        <w:tc>
          <w:tcPr>
            <w:tcW w:w="729" w:type="dxa"/>
            <w:tcBorders>
              <w:top w:val="single" w:color="auto" w:sz="4" w:space="0"/>
            </w:tcBorders>
            <w:shd w:val="clear" w:color="auto" w:fill="auto"/>
            <w:vAlign w:val="center"/>
          </w:tcPr>
          <w:p w14:paraId="5A57D9B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22.23c</w:t>
            </w:r>
          </w:p>
        </w:tc>
        <w:tc>
          <w:tcPr>
            <w:tcW w:w="700" w:type="dxa"/>
            <w:tcBorders>
              <w:top w:val="single" w:color="auto" w:sz="4" w:space="0"/>
            </w:tcBorders>
            <w:shd w:val="clear" w:color="auto" w:fill="auto"/>
            <w:vAlign w:val="center"/>
          </w:tcPr>
          <w:p w14:paraId="1219CB83">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98.10c</w:t>
            </w:r>
          </w:p>
        </w:tc>
        <w:tc>
          <w:tcPr>
            <w:tcW w:w="554" w:type="dxa"/>
            <w:tcBorders>
              <w:top w:val="single" w:color="auto" w:sz="4" w:space="0"/>
            </w:tcBorders>
            <w:shd w:val="clear" w:color="auto" w:fill="auto"/>
            <w:vAlign w:val="center"/>
          </w:tcPr>
          <w:p w14:paraId="1070D08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8.10b</w:t>
            </w:r>
          </w:p>
        </w:tc>
        <w:tc>
          <w:tcPr>
            <w:tcW w:w="696" w:type="dxa"/>
            <w:tcBorders>
              <w:top w:val="single" w:color="auto" w:sz="4" w:space="0"/>
            </w:tcBorders>
            <w:shd w:val="clear" w:color="auto" w:fill="auto"/>
            <w:vAlign w:val="center"/>
          </w:tcPr>
          <w:p w14:paraId="2191DEB1">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12.66bc</w:t>
            </w:r>
          </w:p>
        </w:tc>
        <w:tc>
          <w:tcPr>
            <w:tcW w:w="783" w:type="dxa"/>
            <w:tcBorders>
              <w:top w:val="single" w:color="auto" w:sz="4" w:space="0"/>
            </w:tcBorders>
            <w:shd w:val="clear" w:color="auto" w:fill="auto"/>
            <w:vAlign w:val="center"/>
          </w:tcPr>
          <w:p w14:paraId="4815FA6B">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1.51b</w:t>
            </w:r>
          </w:p>
        </w:tc>
        <w:tc>
          <w:tcPr>
            <w:tcW w:w="704" w:type="dxa"/>
            <w:tcBorders>
              <w:top w:val="single" w:color="auto" w:sz="4" w:space="0"/>
            </w:tcBorders>
            <w:shd w:val="clear" w:color="auto" w:fill="auto"/>
            <w:vAlign w:val="center"/>
          </w:tcPr>
          <w:p w14:paraId="1BDDF6F8">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98.17c</w:t>
            </w:r>
          </w:p>
        </w:tc>
        <w:tc>
          <w:tcPr>
            <w:tcW w:w="700" w:type="dxa"/>
            <w:tcBorders>
              <w:top w:val="single" w:color="auto" w:sz="4" w:space="0"/>
            </w:tcBorders>
            <w:shd w:val="clear" w:color="auto" w:fill="auto"/>
            <w:vAlign w:val="center"/>
          </w:tcPr>
          <w:p w14:paraId="1370308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29.07c</w:t>
            </w:r>
          </w:p>
        </w:tc>
        <w:tc>
          <w:tcPr>
            <w:tcW w:w="704" w:type="dxa"/>
            <w:tcBorders>
              <w:top w:val="single" w:color="auto" w:sz="4" w:space="0"/>
            </w:tcBorders>
            <w:shd w:val="clear" w:color="auto" w:fill="auto"/>
            <w:vAlign w:val="center"/>
          </w:tcPr>
          <w:p w14:paraId="2E8E8096">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109.17c</w:t>
            </w:r>
          </w:p>
        </w:tc>
        <w:tc>
          <w:tcPr>
            <w:tcW w:w="554" w:type="dxa"/>
            <w:tcBorders>
              <w:top w:val="single" w:color="auto" w:sz="4" w:space="0"/>
            </w:tcBorders>
            <w:shd w:val="clear" w:color="auto" w:fill="auto"/>
            <w:vAlign w:val="center"/>
          </w:tcPr>
          <w:p w14:paraId="15E5AA9D">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8.17b</w:t>
            </w:r>
          </w:p>
        </w:tc>
      </w:tr>
      <w:tr w14:paraId="6D460EF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91" w:type="dxa"/>
            <w:shd w:val="clear" w:color="auto" w:fill="auto"/>
            <w:vAlign w:val="center"/>
          </w:tcPr>
          <w:p w14:paraId="4BC96BF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A6W2</w:t>
            </w:r>
          </w:p>
        </w:tc>
        <w:tc>
          <w:tcPr>
            <w:tcW w:w="783" w:type="dxa"/>
            <w:shd w:val="clear" w:color="auto" w:fill="auto"/>
            <w:vAlign w:val="center"/>
          </w:tcPr>
          <w:p w14:paraId="603DCFD0">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16.42a</w:t>
            </w:r>
          </w:p>
        </w:tc>
        <w:tc>
          <w:tcPr>
            <w:tcW w:w="783" w:type="dxa"/>
            <w:shd w:val="clear" w:color="auto" w:fill="auto"/>
            <w:vAlign w:val="center"/>
          </w:tcPr>
          <w:p w14:paraId="6AECE357">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1.71a</w:t>
            </w:r>
          </w:p>
        </w:tc>
        <w:tc>
          <w:tcPr>
            <w:tcW w:w="704" w:type="dxa"/>
            <w:shd w:val="clear" w:color="auto" w:fill="auto"/>
            <w:vAlign w:val="center"/>
          </w:tcPr>
          <w:p w14:paraId="1B02C3AF">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118.29a</w:t>
            </w:r>
          </w:p>
        </w:tc>
        <w:tc>
          <w:tcPr>
            <w:tcW w:w="729" w:type="dxa"/>
            <w:shd w:val="clear" w:color="auto" w:fill="auto"/>
            <w:vAlign w:val="center"/>
          </w:tcPr>
          <w:p w14:paraId="4E05957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38.24a</w:t>
            </w:r>
          </w:p>
        </w:tc>
        <w:tc>
          <w:tcPr>
            <w:tcW w:w="700" w:type="dxa"/>
            <w:shd w:val="clear" w:color="auto" w:fill="auto"/>
            <w:vAlign w:val="center"/>
          </w:tcPr>
          <w:p w14:paraId="1E99B0A2">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128.29a</w:t>
            </w:r>
          </w:p>
        </w:tc>
        <w:tc>
          <w:tcPr>
            <w:tcW w:w="554" w:type="dxa"/>
            <w:shd w:val="clear" w:color="auto" w:fill="auto"/>
            <w:vAlign w:val="center"/>
          </w:tcPr>
          <w:p w14:paraId="3CE2062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8.29a</w:t>
            </w:r>
          </w:p>
        </w:tc>
        <w:tc>
          <w:tcPr>
            <w:tcW w:w="696" w:type="dxa"/>
            <w:shd w:val="clear" w:color="auto" w:fill="auto"/>
            <w:vAlign w:val="center"/>
          </w:tcPr>
          <w:p w14:paraId="15D0B7E0">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17.00a</w:t>
            </w:r>
          </w:p>
        </w:tc>
        <w:tc>
          <w:tcPr>
            <w:tcW w:w="783" w:type="dxa"/>
            <w:shd w:val="clear" w:color="auto" w:fill="auto"/>
            <w:vAlign w:val="center"/>
          </w:tcPr>
          <w:p w14:paraId="2480B0A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1.87a</w:t>
            </w:r>
          </w:p>
        </w:tc>
        <w:tc>
          <w:tcPr>
            <w:tcW w:w="704" w:type="dxa"/>
            <w:shd w:val="clear" w:color="auto" w:fill="auto"/>
            <w:vAlign w:val="center"/>
          </w:tcPr>
          <w:p w14:paraId="260BF3BD">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119.31a</w:t>
            </w:r>
          </w:p>
        </w:tc>
        <w:tc>
          <w:tcPr>
            <w:tcW w:w="700" w:type="dxa"/>
            <w:shd w:val="clear" w:color="auto" w:fill="auto"/>
            <w:vAlign w:val="center"/>
          </w:tcPr>
          <w:p w14:paraId="29C89183">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41.40a</w:t>
            </w:r>
          </w:p>
        </w:tc>
        <w:tc>
          <w:tcPr>
            <w:tcW w:w="704" w:type="dxa"/>
            <w:shd w:val="clear" w:color="auto" w:fill="auto"/>
            <w:vAlign w:val="center"/>
          </w:tcPr>
          <w:p w14:paraId="40E30DC2">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133.31a</w:t>
            </w:r>
          </w:p>
        </w:tc>
        <w:tc>
          <w:tcPr>
            <w:tcW w:w="554" w:type="dxa"/>
            <w:shd w:val="clear" w:color="auto" w:fill="auto"/>
            <w:vAlign w:val="center"/>
          </w:tcPr>
          <w:p w14:paraId="31B906E3">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8.31a</w:t>
            </w:r>
          </w:p>
        </w:tc>
      </w:tr>
      <w:tr w14:paraId="7D4F9AC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91" w:type="dxa"/>
            <w:shd w:val="clear" w:color="auto" w:fill="auto"/>
            <w:vAlign w:val="center"/>
          </w:tcPr>
          <w:p w14:paraId="35223303">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A4W4</w:t>
            </w:r>
          </w:p>
        </w:tc>
        <w:tc>
          <w:tcPr>
            <w:tcW w:w="783" w:type="dxa"/>
            <w:shd w:val="clear" w:color="auto" w:fill="auto"/>
            <w:vAlign w:val="center"/>
          </w:tcPr>
          <w:p w14:paraId="46BD65C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13.18ab</w:t>
            </w:r>
          </w:p>
        </w:tc>
        <w:tc>
          <w:tcPr>
            <w:tcW w:w="783" w:type="dxa"/>
            <w:shd w:val="clear" w:color="auto" w:fill="auto"/>
            <w:vAlign w:val="center"/>
          </w:tcPr>
          <w:p w14:paraId="12290E06">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1.50b</w:t>
            </w:r>
          </w:p>
        </w:tc>
        <w:tc>
          <w:tcPr>
            <w:tcW w:w="704" w:type="dxa"/>
            <w:shd w:val="clear" w:color="auto" w:fill="auto"/>
            <w:vAlign w:val="center"/>
          </w:tcPr>
          <w:p w14:paraId="4159EC9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108.18b</w:t>
            </w:r>
          </w:p>
        </w:tc>
        <w:tc>
          <w:tcPr>
            <w:tcW w:w="729" w:type="dxa"/>
            <w:shd w:val="clear" w:color="auto" w:fill="auto"/>
            <w:vAlign w:val="center"/>
          </w:tcPr>
          <w:p w14:paraId="311675A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28.24Bb</w:t>
            </w:r>
          </w:p>
        </w:tc>
        <w:tc>
          <w:tcPr>
            <w:tcW w:w="700" w:type="dxa"/>
            <w:shd w:val="clear" w:color="auto" w:fill="auto"/>
            <w:vAlign w:val="center"/>
          </w:tcPr>
          <w:p w14:paraId="638865F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118.18b</w:t>
            </w:r>
          </w:p>
        </w:tc>
        <w:tc>
          <w:tcPr>
            <w:tcW w:w="554" w:type="dxa"/>
            <w:shd w:val="clear" w:color="auto" w:fill="auto"/>
            <w:vAlign w:val="center"/>
          </w:tcPr>
          <w:p w14:paraId="66ECAA1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8.18a</w:t>
            </w:r>
          </w:p>
        </w:tc>
        <w:tc>
          <w:tcPr>
            <w:tcW w:w="696" w:type="dxa"/>
            <w:shd w:val="clear" w:color="auto" w:fill="auto"/>
            <w:vAlign w:val="center"/>
          </w:tcPr>
          <w:p w14:paraId="3033003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14.60ab</w:t>
            </w:r>
          </w:p>
        </w:tc>
        <w:tc>
          <w:tcPr>
            <w:tcW w:w="783" w:type="dxa"/>
            <w:shd w:val="clear" w:color="auto" w:fill="auto"/>
            <w:vAlign w:val="center"/>
          </w:tcPr>
          <w:p w14:paraId="559E5B7B">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1.86a</w:t>
            </w:r>
          </w:p>
        </w:tc>
        <w:tc>
          <w:tcPr>
            <w:tcW w:w="704" w:type="dxa"/>
            <w:shd w:val="clear" w:color="auto" w:fill="auto"/>
            <w:vAlign w:val="center"/>
          </w:tcPr>
          <w:p w14:paraId="0BCC17B1">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109.21b</w:t>
            </w:r>
          </w:p>
        </w:tc>
        <w:tc>
          <w:tcPr>
            <w:tcW w:w="700" w:type="dxa"/>
            <w:shd w:val="clear" w:color="auto" w:fill="auto"/>
            <w:vAlign w:val="center"/>
          </w:tcPr>
          <w:p w14:paraId="19D6167A">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36.1b</w:t>
            </w:r>
          </w:p>
        </w:tc>
        <w:tc>
          <w:tcPr>
            <w:tcW w:w="704" w:type="dxa"/>
            <w:shd w:val="clear" w:color="auto" w:fill="auto"/>
            <w:vAlign w:val="center"/>
          </w:tcPr>
          <w:p w14:paraId="3DCC13A2">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129.21b</w:t>
            </w:r>
          </w:p>
        </w:tc>
        <w:tc>
          <w:tcPr>
            <w:tcW w:w="554" w:type="dxa"/>
            <w:shd w:val="clear" w:color="auto" w:fill="auto"/>
            <w:vAlign w:val="center"/>
          </w:tcPr>
          <w:p w14:paraId="44E0A4F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8.21a</w:t>
            </w:r>
          </w:p>
        </w:tc>
      </w:tr>
      <w:tr w14:paraId="2545775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91" w:type="dxa"/>
            <w:shd w:val="clear" w:color="auto" w:fill="auto"/>
            <w:vAlign w:val="center"/>
          </w:tcPr>
          <w:p w14:paraId="770BE81F">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A2W6</w:t>
            </w:r>
          </w:p>
        </w:tc>
        <w:tc>
          <w:tcPr>
            <w:tcW w:w="783" w:type="dxa"/>
            <w:shd w:val="clear" w:color="auto" w:fill="auto"/>
            <w:vAlign w:val="center"/>
          </w:tcPr>
          <w:p w14:paraId="3919F593">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12.36ab</w:t>
            </w:r>
          </w:p>
        </w:tc>
        <w:tc>
          <w:tcPr>
            <w:tcW w:w="783" w:type="dxa"/>
            <w:shd w:val="clear" w:color="auto" w:fill="auto"/>
            <w:vAlign w:val="center"/>
          </w:tcPr>
          <w:p w14:paraId="35909D17">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1.47b</w:t>
            </w:r>
          </w:p>
        </w:tc>
        <w:tc>
          <w:tcPr>
            <w:tcW w:w="704" w:type="dxa"/>
            <w:shd w:val="clear" w:color="auto" w:fill="auto"/>
            <w:vAlign w:val="center"/>
          </w:tcPr>
          <w:p w14:paraId="04763481">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107.24b</w:t>
            </w:r>
          </w:p>
        </w:tc>
        <w:tc>
          <w:tcPr>
            <w:tcW w:w="729" w:type="dxa"/>
            <w:shd w:val="clear" w:color="auto" w:fill="auto"/>
            <w:vAlign w:val="center"/>
          </w:tcPr>
          <w:p w14:paraId="51CA4872">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31.15a</w:t>
            </w:r>
          </w:p>
        </w:tc>
        <w:tc>
          <w:tcPr>
            <w:tcW w:w="700" w:type="dxa"/>
            <w:shd w:val="clear" w:color="auto" w:fill="auto"/>
            <w:vAlign w:val="center"/>
          </w:tcPr>
          <w:p w14:paraId="0F55D83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117.24b</w:t>
            </w:r>
          </w:p>
        </w:tc>
        <w:tc>
          <w:tcPr>
            <w:tcW w:w="554" w:type="dxa"/>
            <w:shd w:val="clear" w:color="auto" w:fill="auto"/>
            <w:vAlign w:val="center"/>
          </w:tcPr>
          <w:p w14:paraId="4EB8FB2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8.24a</w:t>
            </w:r>
          </w:p>
        </w:tc>
        <w:tc>
          <w:tcPr>
            <w:tcW w:w="696" w:type="dxa"/>
            <w:shd w:val="clear" w:color="auto" w:fill="auto"/>
            <w:vAlign w:val="center"/>
          </w:tcPr>
          <w:p w14:paraId="008E6651">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14.76ab</w:t>
            </w:r>
          </w:p>
        </w:tc>
        <w:tc>
          <w:tcPr>
            <w:tcW w:w="783" w:type="dxa"/>
            <w:shd w:val="clear" w:color="auto" w:fill="auto"/>
            <w:vAlign w:val="center"/>
          </w:tcPr>
          <w:p w14:paraId="4AFFC0E4">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1.83a</w:t>
            </w:r>
          </w:p>
        </w:tc>
        <w:tc>
          <w:tcPr>
            <w:tcW w:w="704" w:type="dxa"/>
            <w:shd w:val="clear" w:color="auto" w:fill="auto"/>
            <w:vAlign w:val="center"/>
          </w:tcPr>
          <w:p w14:paraId="225AD515">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108.28b</w:t>
            </w:r>
          </w:p>
        </w:tc>
        <w:tc>
          <w:tcPr>
            <w:tcW w:w="700" w:type="dxa"/>
            <w:shd w:val="clear" w:color="auto" w:fill="auto"/>
            <w:vAlign w:val="center"/>
          </w:tcPr>
          <w:p w14:paraId="0971CDE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35.05b</w:t>
            </w:r>
          </w:p>
        </w:tc>
        <w:tc>
          <w:tcPr>
            <w:tcW w:w="704" w:type="dxa"/>
            <w:shd w:val="clear" w:color="auto" w:fill="auto"/>
            <w:vAlign w:val="center"/>
          </w:tcPr>
          <w:p w14:paraId="05F894B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128.28b</w:t>
            </w:r>
          </w:p>
        </w:tc>
        <w:tc>
          <w:tcPr>
            <w:tcW w:w="554" w:type="dxa"/>
            <w:shd w:val="clear" w:color="auto" w:fill="auto"/>
            <w:vAlign w:val="center"/>
          </w:tcPr>
          <w:p w14:paraId="2DB692F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8.28a</w:t>
            </w:r>
          </w:p>
        </w:tc>
      </w:tr>
      <w:tr w14:paraId="505ED79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91" w:type="dxa"/>
            <w:shd w:val="clear" w:color="auto" w:fill="auto"/>
            <w:vAlign w:val="center"/>
          </w:tcPr>
          <w:p w14:paraId="545E32E9">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A0W16</w:t>
            </w:r>
          </w:p>
        </w:tc>
        <w:tc>
          <w:tcPr>
            <w:tcW w:w="783" w:type="dxa"/>
            <w:shd w:val="clear" w:color="auto" w:fill="auto"/>
            <w:vAlign w:val="center"/>
          </w:tcPr>
          <w:p w14:paraId="1F42956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10.22c</w:t>
            </w:r>
          </w:p>
        </w:tc>
        <w:tc>
          <w:tcPr>
            <w:tcW w:w="783" w:type="dxa"/>
            <w:shd w:val="clear" w:color="auto" w:fill="auto"/>
            <w:vAlign w:val="center"/>
          </w:tcPr>
          <w:p w14:paraId="169FB2DA">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1.28d</w:t>
            </w:r>
          </w:p>
        </w:tc>
        <w:tc>
          <w:tcPr>
            <w:tcW w:w="704" w:type="dxa"/>
            <w:shd w:val="clear" w:color="auto" w:fill="auto"/>
            <w:vAlign w:val="center"/>
          </w:tcPr>
          <w:p w14:paraId="116490AF">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97.11c</w:t>
            </w:r>
          </w:p>
        </w:tc>
        <w:tc>
          <w:tcPr>
            <w:tcW w:w="729" w:type="dxa"/>
            <w:shd w:val="clear" w:color="auto" w:fill="auto"/>
            <w:vAlign w:val="center"/>
          </w:tcPr>
          <w:p w14:paraId="07F129B0">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23.52c</w:t>
            </w:r>
          </w:p>
        </w:tc>
        <w:tc>
          <w:tcPr>
            <w:tcW w:w="700" w:type="dxa"/>
            <w:shd w:val="clear" w:color="auto" w:fill="auto"/>
            <w:vAlign w:val="center"/>
          </w:tcPr>
          <w:p w14:paraId="4A8F184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97.11c</w:t>
            </w:r>
          </w:p>
        </w:tc>
        <w:tc>
          <w:tcPr>
            <w:tcW w:w="554" w:type="dxa"/>
            <w:shd w:val="clear" w:color="auto" w:fill="auto"/>
            <w:vAlign w:val="center"/>
          </w:tcPr>
          <w:p w14:paraId="676C222C">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8.11b</w:t>
            </w:r>
          </w:p>
        </w:tc>
        <w:tc>
          <w:tcPr>
            <w:tcW w:w="696" w:type="dxa"/>
            <w:shd w:val="clear" w:color="auto" w:fill="auto"/>
            <w:vAlign w:val="center"/>
          </w:tcPr>
          <w:p w14:paraId="645361D1">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12.32c</w:t>
            </w:r>
          </w:p>
        </w:tc>
        <w:tc>
          <w:tcPr>
            <w:tcW w:w="783" w:type="dxa"/>
            <w:shd w:val="clear" w:color="auto" w:fill="auto"/>
            <w:vAlign w:val="center"/>
          </w:tcPr>
          <w:p w14:paraId="13FFEFFB">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1.29c</w:t>
            </w:r>
          </w:p>
        </w:tc>
        <w:tc>
          <w:tcPr>
            <w:tcW w:w="704" w:type="dxa"/>
            <w:shd w:val="clear" w:color="auto" w:fill="auto"/>
            <w:vAlign w:val="center"/>
          </w:tcPr>
          <w:p w14:paraId="6068F9BE">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98.16c</w:t>
            </w:r>
          </w:p>
        </w:tc>
        <w:tc>
          <w:tcPr>
            <w:tcW w:w="700" w:type="dxa"/>
            <w:shd w:val="clear" w:color="auto" w:fill="auto"/>
            <w:vAlign w:val="center"/>
          </w:tcPr>
          <w:p w14:paraId="08CC6B97">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26.57c</w:t>
            </w:r>
          </w:p>
        </w:tc>
        <w:tc>
          <w:tcPr>
            <w:tcW w:w="704" w:type="dxa"/>
            <w:shd w:val="clear" w:color="auto" w:fill="auto"/>
            <w:vAlign w:val="center"/>
          </w:tcPr>
          <w:p w14:paraId="5686DBD5">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108.16c</w:t>
            </w:r>
          </w:p>
        </w:tc>
        <w:tc>
          <w:tcPr>
            <w:tcW w:w="554" w:type="dxa"/>
            <w:shd w:val="clear" w:color="auto" w:fill="auto"/>
            <w:vAlign w:val="center"/>
          </w:tcPr>
          <w:p w14:paraId="12582BE8">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ind w:left="0" w:leftChars="0" w:firstLine="0" w:firstLineChars="0"/>
              <w:jc w:val="center"/>
              <w:textAlignment w:val="auto"/>
              <w:rPr>
                <w:rFonts w:hint="default" w:ascii="Times New Roman" w:hAnsi="Times New Roman" w:eastAsia="宋体" w:cs="Times New Roman"/>
                <w:kern w:val="2"/>
                <w:sz w:val="15"/>
                <w:szCs w:val="15"/>
                <w:vertAlign w:val="baseline"/>
                <w:lang w:val="en-US" w:eastAsia="zh-CN" w:bidi="ar-SA"/>
                <w14:ligatures w14:val="standardContextual"/>
              </w:rPr>
            </w:pPr>
            <w:r>
              <w:rPr>
                <w:rFonts w:hint="default" w:ascii="Times New Roman" w:hAnsi="Times New Roman" w:eastAsia="宋体" w:cs="Times New Roman"/>
                <w:sz w:val="15"/>
                <w:szCs w:val="15"/>
                <w:vertAlign w:val="baseline"/>
                <w:lang w:val="en-US" w:eastAsia="zh-CN"/>
              </w:rPr>
              <w:t>8.16b</w:t>
            </w:r>
          </w:p>
        </w:tc>
      </w:tr>
    </w:tbl>
    <w:p w14:paraId="168CF629">
      <w:pPr>
        <w:widowControl w:val="0"/>
        <w:numPr>
          <w:ilvl w:val="0"/>
          <w:numId w:val="0"/>
        </w:numPr>
        <w:spacing w:after="160" w:line="278" w:lineRule="auto"/>
        <w:jc w:val="center"/>
        <w:rPr>
          <w:rFonts w:hint="default" w:ascii="宋体" w:hAnsi="宋体" w:eastAsia="宋体" w:cs="宋体"/>
          <w:lang w:val="en-US" w:eastAsia="zh-CN"/>
        </w:rPr>
      </w:pPr>
    </w:p>
    <w:p w14:paraId="05A1FCF9">
      <w:pPr>
        <w:pStyle w:val="2"/>
        <w:numPr>
          <w:ilvl w:val="0"/>
          <w:numId w:val="0"/>
        </w:numPr>
        <w:rPr>
          <w:rFonts w:hint="eastAsia"/>
        </w:rPr>
      </w:pPr>
      <w:r>
        <w:rPr>
          <w:rFonts w:hint="eastAsia"/>
        </w:rPr>
        <w:t>四、采用的国际标准</w:t>
      </w:r>
      <w:bookmarkEnd w:id="5"/>
    </w:p>
    <w:p w14:paraId="4C22BF23">
      <w:pPr>
        <w:ind w:firstLine="480" w:firstLineChars="200"/>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无。</w:t>
      </w:r>
    </w:p>
    <w:p w14:paraId="6AFE6AB8">
      <w:pPr>
        <w:pStyle w:val="2"/>
        <w:numPr>
          <w:ilvl w:val="0"/>
          <w:numId w:val="0"/>
        </w:numPr>
        <w:rPr>
          <w:rFonts w:ascii="Times New Roman" w:hAnsi="Times New Roman"/>
          <w:color w:val="000000"/>
          <w:szCs w:val="28"/>
        </w:rPr>
      </w:pPr>
      <w:bookmarkStart w:id="6" w:name="_Toc197902474"/>
      <w:r>
        <w:rPr>
          <w:rFonts w:hint="eastAsia"/>
        </w:rPr>
        <w:t>五、与现行法律法规和强制性标准的关系</w:t>
      </w:r>
      <w:bookmarkEnd w:id="6"/>
    </w:p>
    <w:p w14:paraId="09DA5D04">
      <w:pPr>
        <w:ind w:firstLine="480" w:firstLineChars="200"/>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本标准与现行法律法规和强制性标准没有冲突。</w:t>
      </w:r>
    </w:p>
    <w:p w14:paraId="1722A3BD">
      <w:pPr>
        <w:pStyle w:val="2"/>
        <w:numPr>
          <w:ilvl w:val="0"/>
          <w:numId w:val="0"/>
        </w:numPr>
        <w:rPr>
          <w:rFonts w:hint="eastAsia"/>
        </w:rPr>
      </w:pPr>
      <w:bookmarkStart w:id="7" w:name="_Toc197902475"/>
      <w:bookmarkStart w:id="8" w:name="_Toc181713735"/>
      <w:r>
        <w:rPr>
          <w:rFonts w:hint="eastAsia"/>
        </w:rPr>
        <w:t>六、重大分歧意见的处理经过和依据</w:t>
      </w:r>
      <w:bookmarkEnd w:id="7"/>
      <w:bookmarkEnd w:id="8"/>
    </w:p>
    <w:p w14:paraId="26F05796">
      <w:pPr>
        <w:ind w:firstLine="480" w:firstLineChars="200"/>
        <w:rPr>
          <w:rFonts w:hint="eastAsia" w:ascii="Times New Roman" w:hAnsi="Times New Roman" w:eastAsia="宋体" w:cs="Times New Roman"/>
          <w:sz w:val="24"/>
          <w14:ligatures w14:val="none"/>
        </w:rPr>
      </w:pPr>
      <w:r>
        <w:rPr>
          <w:rFonts w:ascii="Times New Roman" w:hAnsi="Times New Roman" w:eastAsia="宋体" w:cs="Times New Roman"/>
          <w:sz w:val="24"/>
          <w14:ligatures w14:val="none"/>
        </w:rPr>
        <w:t xml:space="preserve"> 无。 </w:t>
      </w:r>
    </w:p>
    <w:p w14:paraId="6D5CEBBB">
      <w:pPr>
        <w:pStyle w:val="2"/>
        <w:numPr>
          <w:ilvl w:val="0"/>
          <w:numId w:val="0"/>
        </w:numPr>
        <w:rPr>
          <w:rFonts w:hint="eastAsia"/>
        </w:rPr>
      </w:pPr>
      <w:bookmarkStart w:id="9" w:name="_Toc181713736"/>
      <w:bookmarkStart w:id="10" w:name="_Toc197902476"/>
      <w:r>
        <w:rPr>
          <w:rFonts w:hint="eastAsia"/>
        </w:rPr>
        <w:t>七、标准作为强制性或推荐性标准的意见</w:t>
      </w:r>
      <w:bookmarkEnd w:id="9"/>
      <w:bookmarkEnd w:id="10"/>
      <w:r>
        <w:t xml:space="preserve"> </w:t>
      </w:r>
    </w:p>
    <w:p w14:paraId="20CC67C3">
      <w:pPr>
        <w:ind w:firstLine="480" w:firstLineChars="200"/>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建议将本标准作为推荐性标准发布实施，并加强标准的宣贯。</w:t>
      </w:r>
    </w:p>
    <w:p w14:paraId="6D5257B9">
      <w:pPr>
        <w:pStyle w:val="2"/>
        <w:numPr>
          <w:ilvl w:val="0"/>
          <w:numId w:val="0"/>
        </w:numPr>
        <w:rPr>
          <w:rFonts w:hint="eastAsia"/>
        </w:rPr>
      </w:pPr>
      <w:bookmarkStart w:id="11" w:name="_Toc181713737"/>
      <w:bookmarkStart w:id="12" w:name="_Toc197902477"/>
      <w:r>
        <w:t>八、贯彻标准的要求和措施建议</w:t>
      </w:r>
      <w:bookmarkEnd w:id="11"/>
      <w:bookmarkEnd w:id="12"/>
    </w:p>
    <w:p w14:paraId="0AFC32D8">
      <w:pPr>
        <w:spacing w:after="0" w:line="360" w:lineRule="auto"/>
        <w:ind w:firstLine="480" w:firstLineChars="200"/>
        <w:rPr>
          <w:rFonts w:ascii="Times New Roman" w:hAnsi="Times New Roman" w:eastAsia="宋体" w:cs="Times New Roman"/>
          <w:sz w:val="24"/>
          <w14:ligatures w14:val="none"/>
        </w:rPr>
      </w:pPr>
      <w:r>
        <w:rPr>
          <w:rFonts w:ascii="Times New Roman" w:hAnsi="Times New Roman" w:eastAsia="宋体" w:cs="Times New Roman"/>
          <w:sz w:val="24"/>
          <w14:ligatures w14:val="none"/>
        </w:rPr>
        <w:t>1.本标准属于北京华夏草业产业技术创新战略联盟团体标准，为成功实施</w:t>
      </w:r>
      <w:r>
        <w:rPr>
          <w:rFonts w:hint="eastAsia" w:ascii="Times New Roman" w:hAnsi="Times New Roman" w:eastAsia="宋体" w:cs="Times New Roman"/>
          <w:sz w:val="24"/>
          <w:lang w:val="en-US" w:eastAsia="zh-CN"/>
          <w14:ligatures w14:val="none"/>
        </w:rPr>
        <w:t>河套地区紫花苜蓿与饲用大麦间作高效种植</w:t>
      </w:r>
      <w:r>
        <w:rPr>
          <w:rFonts w:hint="eastAsia" w:ascii="Times New Roman" w:hAnsi="Times New Roman" w:eastAsia="宋体" w:cs="Times New Roman"/>
          <w:sz w:val="24"/>
          <w14:ligatures w14:val="none"/>
        </w:rPr>
        <w:t>，应认真执行本标准的相关技术要求。</w:t>
      </w:r>
    </w:p>
    <w:p w14:paraId="08374BD5">
      <w:pPr>
        <w:spacing w:after="0" w:line="360" w:lineRule="auto"/>
        <w:ind w:firstLine="480" w:firstLineChars="200"/>
        <w:rPr>
          <w:rFonts w:ascii="Times New Roman" w:hAnsi="Times New Roman" w:eastAsia="宋体" w:cs="Times New Roman"/>
          <w:sz w:val="24"/>
          <w14:ligatures w14:val="none"/>
        </w:rPr>
      </w:pPr>
      <w:r>
        <w:rPr>
          <w:rFonts w:ascii="Times New Roman" w:hAnsi="Times New Roman" w:eastAsia="宋体" w:cs="Times New Roman"/>
          <w:sz w:val="24"/>
          <w14:ligatures w14:val="none"/>
        </w:rPr>
        <w:t>2.应加强对标准的宣传、讲解和技术指导，促进实施者熟练掌握标准中的技术规范，保证本标准的广泛推广应用。</w:t>
      </w:r>
    </w:p>
    <w:p w14:paraId="4C64E92B">
      <w:pPr>
        <w:spacing w:after="0" w:line="360" w:lineRule="auto"/>
        <w:ind w:firstLine="480" w:firstLineChars="200"/>
        <w:rPr>
          <w:rFonts w:ascii="Times New Roman" w:hAnsi="Times New Roman" w:eastAsia="宋体" w:cs="Times New Roman"/>
          <w:sz w:val="24"/>
          <w14:ligatures w14:val="none"/>
        </w:rPr>
      </w:pPr>
      <w:r>
        <w:rPr>
          <w:rFonts w:ascii="Times New Roman" w:hAnsi="Times New Roman" w:eastAsia="宋体" w:cs="Times New Roman"/>
          <w:sz w:val="24"/>
          <w14:ligatures w14:val="none"/>
        </w:rPr>
        <w:t>3.随着科技发展，本标准中的技术规范势必会出现过时的情况，也会出现新的技术要求，因此本标准执行过程中要不断对内容进行修订和补充。</w:t>
      </w:r>
    </w:p>
    <w:p w14:paraId="5651F8B4">
      <w:pPr>
        <w:spacing w:after="0" w:line="360" w:lineRule="auto"/>
        <w:ind w:firstLine="480" w:firstLineChars="200"/>
        <w:rPr>
          <w:rFonts w:ascii="Times New Roman" w:hAnsi="Times New Roman" w:eastAsia="宋体" w:cs="Times New Roman"/>
          <w:sz w:val="24"/>
          <w14:ligatures w14:val="none"/>
        </w:rPr>
      </w:pPr>
      <w:r>
        <w:rPr>
          <w:rFonts w:ascii="Times New Roman" w:hAnsi="Times New Roman" w:eastAsia="宋体" w:cs="Times New Roman"/>
          <w:sz w:val="24"/>
          <w14:ligatures w14:val="none"/>
        </w:rPr>
        <w:t>4.希望应用本标准的单位在使用过程中对其中出现的问题和不足给予反馈， 以便再进行修订和补充。</w:t>
      </w:r>
    </w:p>
    <w:p w14:paraId="21BEE251">
      <w:pPr>
        <w:spacing w:after="0" w:line="360" w:lineRule="auto"/>
        <w:ind w:firstLine="480" w:firstLineChars="200"/>
        <w:rPr>
          <w:rFonts w:ascii="Times New Roman" w:hAnsi="Times New Roman" w:eastAsia="宋体" w:cs="Times New Roman"/>
          <w:sz w:val="24"/>
          <w14:ligatures w14:val="none"/>
        </w:rPr>
      </w:pPr>
      <w:r>
        <w:rPr>
          <w:rFonts w:ascii="Times New Roman" w:hAnsi="Times New Roman" w:eastAsia="宋体" w:cs="Times New Roman"/>
          <w:sz w:val="24"/>
          <w14:ligatures w14:val="none"/>
        </w:rPr>
        <w:t xml:space="preserve">5.组织学习团体标准，加大对标准的宣传及贯彻力度，标准委员会作为企业之间的桥梁，做好沟通，推进行业的进一步发展。 </w:t>
      </w:r>
    </w:p>
    <w:p w14:paraId="32FCF77F">
      <w:pPr>
        <w:pStyle w:val="2"/>
        <w:numPr>
          <w:ilvl w:val="0"/>
          <w:numId w:val="0"/>
        </w:numPr>
        <w:rPr>
          <w:rFonts w:hint="eastAsia"/>
        </w:rPr>
      </w:pPr>
      <w:bookmarkStart w:id="13" w:name="_Toc181713738"/>
      <w:bookmarkStart w:id="14" w:name="_Toc197902478"/>
      <w:r>
        <w:rPr>
          <w:rFonts w:hint="eastAsia"/>
        </w:rPr>
        <w:t>九、废止现行有关标准的建议</w:t>
      </w:r>
      <w:bookmarkEnd w:id="13"/>
      <w:bookmarkEnd w:id="14"/>
    </w:p>
    <w:p w14:paraId="2DAF9436">
      <w:pPr>
        <w:ind w:firstLine="480" w:firstLineChars="200"/>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无。</w:t>
      </w:r>
    </w:p>
    <w:p w14:paraId="43D5A3A0">
      <w:pPr>
        <w:pStyle w:val="2"/>
        <w:numPr>
          <w:ilvl w:val="0"/>
          <w:numId w:val="0"/>
        </w:numPr>
        <w:rPr>
          <w:rFonts w:hint="eastAsia"/>
        </w:rPr>
      </w:pPr>
      <w:bookmarkStart w:id="15" w:name="_Toc197902479"/>
      <w:bookmarkStart w:id="16" w:name="_Toc181713739"/>
      <w:r>
        <w:rPr>
          <w:rFonts w:hint="eastAsia"/>
        </w:rPr>
        <w:t>十、其他应予说明的事项</w:t>
      </w:r>
      <w:bookmarkEnd w:id="15"/>
      <w:bookmarkEnd w:id="16"/>
      <w:r>
        <w:t xml:space="preserve"> </w:t>
      </w:r>
    </w:p>
    <w:p w14:paraId="75F2F9F4">
      <w:pPr>
        <w:ind w:firstLine="480" w:firstLineChars="200"/>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无。</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113"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2247055"/>
      <w:docPartObj>
        <w:docPartGallery w:val="autotext"/>
      </w:docPartObj>
    </w:sdtPr>
    <w:sdtContent>
      <w:p w14:paraId="7CCB92AB">
        <w:pPr>
          <w:pStyle w:val="12"/>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6C19D746">
    <w:pPr>
      <w:pStyle w:val="1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409B4">
    <w:pPr>
      <w:pStyle w:val="12"/>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39ED0">
    <w:pPr>
      <w:pStyle w:val="12"/>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E886E">
    <w:pPr>
      <w:pStyle w:val="13"/>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4CB6C">
    <w:pPr>
      <w:pStyle w:val="13"/>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35BFB">
    <w:pPr>
      <w:pStyle w:val="13"/>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7D7984"/>
    <w:multiLevelType w:val="multilevel"/>
    <w:tmpl w:val="3B7D7984"/>
    <w:lvl w:ilvl="0" w:tentative="0">
      <w:start w:val="1"/>
      <w:numFmt w:val="decimal"/>
      <w:pStyle w:val="2"/>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3C1AB94B"/>
    <w:multiLevelType w:val="singleLevel"/>
    <w:tmpl w:val="3C1AB94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mNTAxYTA0NTllZTU0OWY5NWY0MWNlMzBjNGU2OTYifQ=="/>
  </w:docVars>
  <w:rsids>
    <w:rsidRoot w:val="005E6E49"/>
    <w:rsid w:val="00003C2A"/>
    <w:rsid w:val="00010641"/>
    <w:rsid w:val="000134FA"/>
    <w:rsid w:val="00013B66"/>
    <w:rsid w:val="0001528A"/>
    <w:rsid w:val="00024A24"/>
    <w:rsid w:val="00027634"/>
    <w:rsid w:val="00037C95"/>
    <w:rsid w:val="00053E65"/>
    <w:rsid w:val="00071CB0"/>
    <w:rsid w:val="000849F5"/>
    <w:rsid w:val="000E0BA1"/>
    <w:rsid w:val="00105E12"/>
    <w:rsid w:val="00106A17"/>
    <w:rsid w:val="00110F2F"/>
    <w:rsid w:val="001352B0"/>
    <w:rsid w:val="00146776"/>
    <w:rsid w:val="0015466A"/>
    <w:rsid w:val="001762CC"/>
    <w:rsid w:val="0017653C"/>
    <w:rsid w:val="00193D7A"/>
    <w:rsid w:val="001952BD"/>
    <w:rsid w:val="001A4B50"/>
    <w:rsid w:val="001B16B6"/>
    <w:rsid w:val="001C32FD"/>
    <w:rsid w:val="001C423E"/>
    <w:rsid w:val="001E79A4"/>
    <w:rsid w:val="00213D45"/>
    <w:rsid w:val="00226FC5"/>
    <w:rsid w:val="002560A4"/>
    <w:rsid w:val="00260672"/>
    <w:rsid w:val="00260FA4"/>
    <w:rsid w:val="002621EF"/>
    <w:rsid w:val="00265685"/>
    <w:rsid w:val="002850C8"/>
    <w:rsid w:val="002C7B43"/>
    <w:rsid w:val="002E1548"/>
    <w:rsid w:val="002E604E"/>
    <w:rsid w:val="002E766F"/>
    <w:rsid w:val="002F0E7E"/>
    <w:rsid w:val="002F1A85"/>
    <w:rsid w:val="002F25A6"/>
    <w:rsid w:val="002F51BD"/>
    <w:rsid w:val="00310A54"/>
    <w:rsid w:val="003169F4"/>
    <w:rsid w:val="00316FB4"/>
    <w:rsid w:val="0033547A"/>
    <w:rsid w:val="003568BF"/>
    <w:rsid w:val="00361014"/>
    <w:rsid w:val="0036191A"/>
    <w:rsid w:val="00367C39"/>
    <w:rsid w:val="00387751"/>
    <w:rsid w:val="00391715"/>
    <w:rsid w:val="003955A7"/>
    <w:rsid w:val="00397703"/>
    <w:rsid w:val="003A137E"/>
    <w:rsid w:val="003D39A7"/>
    <w:rsid w:val="003E5E58"/>
    <w:rsid w:val="0040516C"/>
    <w:rsid w:val="00407749"/>
    <w:rsid w:val="00410543"/>
    <w:rsid w:val="00412EDD"/>
    <w:rsid w:val="004307A6"/>
    <w:rsid w:val="004556DC"/>
    <w:rsid w:val="00462075"/>
    <w:rsid w:val="00473AF2"/>
    <w:rsid w:val="00474390"/>
    <w:rsid w:val="00474430"/>
    <w:rsid w:val="0047567E"/>
    <w:rsid w:val="00486B50"/>
    <w:rsid w:val="004A1150"/>
    <w:rsid w:val="004A6A46"/>
    <w:rsid w:val="004B1CC7"/>
    <w:rsid w:val="004D6741"/>
    <w:rsid w:val="004E2028"/>
    <w:rsid w:val="004E3B6E"/>
    <w:rsid w:val="004E487F"/>
    <w:rsid w:val="004F66E7"/>
    <w:rsid w:val="005241C0"/>
    <w:rsid w:val="00526641"/>
    <w:rsid w:val="00547592"/>
    <w:rsid w:val="0055074B"/>
    <w:rsid w:val="0055701F"/>
    <w:rsid w:val="00560970"/>
    <w:rsid w:val="005665D9"/>
    <w:rsid w:val="00572B61"/>
    <w:rsid w:val="00582133"/>
    <w:rsid w:val="00584FF3"/>
    <w:rsid w:val="00586FDC"/>
    <w:rsid w:val="005A5612"/>
    <w:rsid w:val="005A5A02"/>
    <w:rsid w:val="005B18DF"/>
    <w:rsid w:val="005C513E"/>
    <w:rsid w:val="005C7469"/>
    <w:rsid w:val="005E5291"/>
    <w:rsid w:val="005E6E49"/>
    <w:rsid w:val="005E71C8"/>
    <w:rsid w:val="00601E3E"/>
    <w:rsid w:val="00602FF4"/>
    <w:rsid w:val="006124BD"/>
    <w:rsid w:val="0061284F"/>
    <w:rsid w:val="00615D01"/>
    <w:rsid w:val="006215E5"/>
    <w:rsid w:val="0062345B"/>
    <w:rsid w:val="00627C42"/>
    <w:rsid w:val="006438E6"/>
    <w:rsid w:val="00644C85"/>
    <w:rsid w:val="00660125"/>
    <w:rsid w:val="00676B6B"/>
    <w:rsid w:val="0069707A"/>
    <w:rsid w:val="006C15AB"/>
    <w:rsid w:val="006C1F53"/>
    <w:rsid w:val="006E5385"/>
    <w:rsid w:val="00770105"/>
    <w:rsid w:val="00775F41"/>
    <w:rsid w:val="007760F9"/>
    <w:rsid w:val="007A3F69"/>
    <w:rsid w:val="007A545F"/>
    <w:rsid w:val="007B5050"/>
    <w:rsid w:val="00803576"/>
    <w:rsid w:val="00815A3A"/>
    <w:rsid w:val="008207C7"/>
    <w:rsid w:val="00823EF2"/>
    <w:rsid w:val="008334CF"/>
    <w:rsid w:val="0083668E"/>
    <w:rsid w:val="0085008E"/>
    <w:rsid w:val="00857191"/>
    <w:rsid w:val="00867EC2"/>
    <w:rsid w:val="008748D9"/>
    <w:rsid w:val="008A04CA"/>
    <w:rsid w:val="008A06EB"/>
    <w:rsid w:val="008C5D5B"/>
    <w:rsid w:val="008D44B3"/>
    <w:rsid w:val="009036E4"/>
    <w:rsid w:val="00903B1E"/>
    <w:rsid w:val="009150FD"/>
    <w:rsid w:val="0094057A"/>
    <w:rsid w:val="00953233"/>
    <w:rsid w:val="00961288"/>
    <w:rsid w:val="0097303D"/>
    <w:rsid w:val="00973247"/>
    <w:rsid w:val="00975CDC"/>
    <w:rsid w:val="00981D5C"/>
    <w:rsid w:val="00987E83"/>
    <w:rsid w:val="009B1B90"/>
    <w:rsid w:val="009C0513"/>
    <w:rsid w:val="009D7B9C"/>
    <w:rsid w:val="009E3245"/>
    <w:rsid w:val="00A13BF4"/>
    <w:rsid w:val="00A16FFE"/>
    <w:rsid w:val="00A207D9"/>
    <w:rsid w:val="00A240C2"/>
    <w:rsid w:val="00A55838"/>
    <w:rsid w:val="00A76B99"/>
    <w:rsid w:val="00A77800"/>
    <w:rsid w:val="00A8528A"/>
    <w:rsid w:val="00AA67AD"/>
    <w:rsid w:val="00AC30D3"/>
    <w:rsid w:val="00AC44EE"/>
    <w:rsid w:val="00AC68E6"/>
    <w:rsid w:val="00AD1A95"/>
    <w:rsid w:val="00AE0A22"/>
    <w:rsid w:val="00AF0476"/>
    <w:rsid w:val="00B10CBF"/>
    <w:rsid w:val="00B37F2B"/>
    <w:rsid w:val="00B4223D"/>
    <w:rsid w:val="00BA575B"/>
    <w:rsid w:val="00BA7A14"/>
    <w:rsid w:val="00BB4B91"/>
    <w:rsid w:val="00BC203B"/>
    <w:rsid w:val="00BC57E2"/>
    <w:rsid w:val="00BC7754"/>
    <w:rsid w:val="00BD46D0"/>
    <w:rsid w:val="00BF5CC6"/>
    <w:rsid w:val="00BF6234"/>
    <w:rsid w:val="00C01143"/>
    <w:rsid w:val="00C11EF6"/>
    <w:rsid w:val="00C15CFC"/>
    <w:rsid w:val="00C15D3E"/>
    <w:rsid w:val="00C20085"/>
    <w:rsid w:val="00C22A1E"/>
    <w:rsid w:val="00C331CA"/>
    <w:rsid w:val="00C376A7"/>
    <w:rsid w:val="00CA0419"/>
    <w:rsid w:val="00CA43C8"/>
    <w:rsid w:val="00CB4EA1"/>
    <w:rsid w:val="00CB652E"/>
    <w:rsid w:val="00CC1AB9"/>
    <w:rsid w:val="00CC5AEE"/>
    <w:rsid w:val="00CC772C"/>
    <w:rsid w:val="00CD2CA7"/>
    <w:rsid w:val="00CF6083"/>
    <w:rsid w:val="00D03EBB"/>
    <w:rsid w:val="00D14817"/>
    <w:rsid w:val="00D167B8"/>
    <w:rsid w:val="00D1717F"/>
    <w:rsid w:val="00D17448"/>
    <w:rsid w:val="00D21467"/>
    <w:rsid w:val="00D35D66"/>
    <w:rsid w:val="00D3608A"/>
    <w:rsid w:val="00D37664"/>
    <w:rsid w:val="00D52348"/>
    <w:rsid w:val="00D721BE"/>
    <w:rsid w:val="00D726DA"/>
    <w:rsid w:val="00D75271"/>
    <w:rsid w:val="00D94902"/>
    <w:rsid w:val="00DB1BD9"/>
    <w:rsid w:val="00DC3205"/>
    <w:rsid w:val="00DC3FA3"/>
    <w:rsid w:val="00DD2234"/>
    <w:rsid w:val="00DE5E37"/>
    <w:rsid w:val="00DE7624"/>
    <w:rsid w:val="00DE772B"/>
    <w:rsid w:val="00DF0812"/>
    <w:rsid w:val="00E132A0"/>
    <w:rsid w:val="00E403A5"/>
    <w:rsid w:val="00E408DA"/>
    <w:rsid w:val="00E43847"/>
    <w:rsid w:val="00E51A19"/>
    <w:rsid w:val="00E51BE2"/>
    <w:rsid w:val="00E529C8"/>
    <w:rsid w:val="00E56737"/>
    <w:rsid w:val="00E574E5"/>
    <w:rsid w:val="00E66299"/>
    <w:rsid w:val="00E665AF"/>
    <w:rsid w:val="00E66E7D"/>
    <w:rsid w:val="00E91D09"/>
    <w:rsid w:val="00EA434E"/>
    <w:rsid w:val="00EA7246"/>
    <w:rsid w:val="00EB05D6"/>
    <w:rsid w:val="00EB0AC2"/>
    <w:rsid w:val="00EB2C31"/>
    <w:rsid w:val="00EC7F80"/>
    <w:rsid w:val="00ED684A"/>
    <w:rsid w:val="00EE02B4"/>
    <w:rsid w:val="00EE0519"/>
    <w:rsid w:val="00EE6EEC"/>
    <w:rsid w:val="00EF0A99"/>
    <w:rsid w:val="00F018FF"/>
    <w:rsid w:val="00F06D96"/>
    <w:rsid w:val="00F079D8"/>
    <w:rsid w:val="00F1780D"/>
    <w:rsid w:val="00F270FB"/>
    <w:rsid w:val="00F3409C"/>
    <w:rsid w:val="00F35FEB"/>
    <w:rsid w:val="00F377C0"/>
    <w:rsid w:val="00F41305"/>
    <w:rsid w:val="00F41654"/>
    <w:rsid w:val="00F508A5"/>
    <w:rsid w:val="00F542ED"/>
    <w:rsid w:val="00F55FEF"/>
    <w:rsid w:val="00F75491"/>
    <w:rsid w:val="00F851F8"/>
    <w:rsid w:val="00FB5A8C"/>
    <w:rsid w:val="00FC2F4D"/>
    <w:rsid w:val="00FC76FD"/>
    <w:rsid w:val="00FD3608"/>
    <w:rsid w:val="00FD69BE"/>
    <w:rsid w:val="00FE5874"/>
    <w:rsid w:val="00FF18C1"/>
    <w:rsid w:val="00FF475E"/>
    <w:rsid w:val="00FF5AB8"/>
    <w:rsid w:val="00FF743C"/>
    <w:rsid w:val="042F62B6"/>
    <w:rsid w:val="202F4132"/>
    <w:rsid w:val="2378512C"/>
    <w:rsid w:val="25697422"/>
    <w:rsid w:val="28D87BDA"/>
    <w:rsid w:val="2EE10029"/>
    <w:rsid w:val="35352E7D"/>
    <w:rsid w:val="382947EF"/>
    <w:rsid w:val="39C742BF"/>
    <w:rsid w:val="41FF591E"/>
    <w:rsid w:val="468E6891"/>
    <w:rsid w:val="4F2C6C47"/>
    <w:rsid w:val="564725B8"/>
    <w:rsid w:val="659E12CD"/>
    <w:rsid w:val="74B50075"/>
    <w:rsid w:val="78810918"/>
    <w:rsid w:val="7A066163"/>
    <w:rsid w:val="7B457007"/>
    <w:rsid w:val="7D9A7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1"/>
    <w:qFormat/>
    <w:uiPriority w:val="9"/>
    <w:pPr>
      <w:keepNext/>
      <w:keepLines/>
      <w:numPr>
        <w:ilvl w:val="0"/>
        <w:numId w:val="1"/>
      </w:numPr>
      <w:spacing w:before="240" w:after="240" w:line="360" w:lineRule="auto"/>
      <w:ind w:left="0" w:firstLine="0"/>
      <w:outlineLvl w:val="0"/>
    </w:pPr>
    <w:rPr>
      <w:rFonts w:eastAsia="宋体" w:asciiTheme="majorHAnsi" w:hAnsiTheme="majorHAnsi" w:cstheme="majorBidi"/>
      <w:b/>
      <w:sz w:val="2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6"/>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rPr>
      <w:rFonts w:ascii="Arial" w:hAnsi="Arial" w:eastAsia="黑体"/>
      <w:sz w:val="20"/>
    </w:rPr>
  </w:style>
  <w:style w:type="paragraph" w:styleId="12">
    <w:name w:val="footer"/>
    <w:basedOn w:val="1"/>
    <w:link w:val="40"/>
    <w:unhideWhenUsed/>
    <w:qFormat/>
    <w:uiPriority w:val="99"/>
    <w:pPr>
      <w:tabs>
        <w:tab w:val="center" w:pos="4153"/>
        <w:tab w:val="right" w:pos="8306"/>
      </w:tabs>
      <w:snapToGrid w:val="0"/>
      <w:spacing w:line="240" w:lineRule="auto"/>
    </w:pPr>
    <w:rPr>
      <w:sz w:val="18"/>
      <w:szCs w:val="18"/>
    </w:rPr>
  </w:style>
  <w:style w:type="paragraph" w:styleId="13">
    <w:name w:val="header"/>
    <w:basedOn w:val="1"/>
    <w:link w:val="39"/>
    <w:unhideWhenUsed/>
    <w:uiPriority w:val="99"/>
    <w:pPr>
      <w:tabs>
        <w:tab w:val="center" w:pos="4153"/>
        <w:tab w:val="right" w:pos="8306"/>
      </w:tabs>
      <w:snapToGrid w:val="0"/>
      <w:spacing w:line="240" w:lineRule="auto"/>
      <w:jc w:val="center"/>
    </w:pPr>
    <w:rPr>
      <w:sz w:val="18"/>
      <w:szCs w:val="18"/>
    </w:rPr>
  </w:style>
  <w:style w:type="paragraph" w:styleId="14">
    <w:name w:val="toc 1"/>
    <w:basedOn w:val="1"/>
    <w:next w:val="1"/>
    <w:autoRedefine/>
    <w:unhideWhenUsed/>
    <w:uiPriority w:val="39"/>
  </w:style>
  <w:style w:type="paragraph" w:styleId="15">
    <w:name w:val="Subtitle"/>
    <w:basedOn w:val="1"/>
    <w:next w:val="1"/>
    <w:link w:val="3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itle"/>
    <w:basedOn w:val="1"/>
    <w:next w:val="1"/>
    <w:link w:val="30"/>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8">
    <w:name w:val="Table Grid"/>
    <w:basedOn w:val="17"/>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uiPriority w:val="99"/>
    <w:rPr>
      <w:color w:val="467886" w:themeColor="hyperlink"/>
      <w:u w:val="single"/>
      <w14:textFill>
        <w14:solidFill>
          <w14:schemeClr w14:val="hlink"/>
        </w14:solidFill>
      </w14:textFill>
    </w:rPr>
  </w:style>
  <w:style w:type="character" w:customStyle="1" w:styleId="21">
    <w:name w:val="标题 1 字符"/>
    <w:basedOn w:val="19"/>
    <w:link w:val="2"/>
    <w:qFormat/>
    <w:uiPriority w:val="9"/>
    <w:rPr>
      <w:rFonts w:eastAsia="宋体" w:asciiTheme="majorHAnsi" w:hAnsiTheme="majorHAnsi" w:cstheme="majorBidi"/>
      <w:b/>
      <w:sz w:val="28"/>
      <w:szCs w:val="48"/>
    </w:rPr>
  </w:style>
  <w:style w:type="character" w:customStyle="1" w:styleId="22">
    <w:name w:val="标题 2 字符"/>
    <w:basedOn w:val="19"/>
    <w:link w:val="3"/>
    <w:semiHidden/>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9"/>
    <w:link w:val="4"/>
    <w:semiHidden/>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9"/>
    <w:link w:val="5"/>
    <w:semiHidden/>
    <w:uiPriority w:val="9"/>
    <w:rPr>
      <w:rFonts w:cstheme="majorBidi"/>
      <w:color w:val="104862" w:themeColor="accent1" w:themeShade="BF"/>
      <w:sz w:val="28"/>
      <w:szCs w:val="28"/>
    </w:rPr>
  </w:style>
  <w:style w:type="character" w:customStyle="1" w:styleId="25">
    <w:name w:val="标题 5 字符"/>
    <w:basedOn w:val="19"/>
    <w:link w:val="6"/>
    <w:semiHidden/>
    <w:uiPriority w:val="9"/>
    <w:rPr>
      <w:rFonts w:cstheme="majorBidi"/>
      <w:color w:val="104862" w:themeColor="accent1" w:themeShade="BF"/>
      <w:sz w:val="24"/>
    </w:rPr>
  </w:style>
  <w:style w:type="character" w:customStyle="1" w:styleId="26">
    <w:name w:val="标题 6 字符"/>
    <w:basedOn w:val="19"/>
    <w:link w:val="7"/>
    <w:semiHidden/>
    <w:uiPriority w:val="9"/>
    <w:rPr>
      <w:rFonts w:cstheme="majorBidi"/>
      <w:b/>
      <w:bCs/>
      <w:color w:val="104862" w:themeColor="accent1" w:themeShade="BF"/>
    </w:rPr>
  </w:style>
  <w:style w:type="character" w:customStyle="1" w:styleId="27">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9"/>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9"/>
    <w:link w:val="16"/>
    <w:uiPriority w:val="10"/>
    <w:rPr>
      <w:rFonts w:asciiTheme="majorHAnsi" w:hAnsiTheme="majorHAnsi" w:eastAsiaTheme="majorEastAsia" w:cstheme="majorBidi"/>
      <w:spacing w:val="-10"/>
      <w:kern w:val="28"/>
      <w:sz w:val="56"/>
      <w:szCs w:val="56"/>
    </w:rPr>
  </w:style>
  <w:style w:type="character" w:customStyle="1" w:styleId="31">
    <w:name w:val="副标题 字符"/>
    <w:basedOn w:val="19"/>
    <w:link w:val="15"/>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9"/>
    <w:link w:val="32"/>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Intense Emphasis"/>
    <w:basedOn w:val="19"/>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9"/>
    <w:link w:val="36"/>
    <w:uiPriority w:val="30"/>
    <w:rPr>
      <w:i/>
      <w:iCs/>
      <w:color w:val="104862" w:themeColor="accent1" w:themeShade="BF"/>
    </w:rPr>
  </w:style>
  <w:style w:type="character" w:customStyle="1" w:styleId="38">
    <w:name w:val="Intense Reference"/>
    <w:basedOn w:val="19"/>
    <w:qFormat/>
    <w:uiPriority w:val="32"/>
    <w:rPr>
      <w:b/>
      <w:bCs/>
      <w:smallCaps/>
      <w:color w:val="104862" w:themeColor="accent1" w:themeShade="BF"/>
      <w:spacing w:val="5"/>
    </w:rPr>
  </w:style>
  <w:style w:type="character" w:customStyle="1" w:styleId="39">
    <w:name w:val="页眉 字符"/>
    <w:basedOn w:val="19"/>
    <w:link w:val="13"/>
    <w:uiPriority w:val="99"/>
    <w:rPr>
      <w:sz w:val="18"/>
      <w:szCs w:val="18"/>
    </w:rPr>
  </w:style>
  <w:style w:type="character" w:customStyle="1" w:styleId="40">
    <w:name w:val="页脚 字符"/>
    <w:basedOn w:val="19"/>
    <w:link w:val="12"/>
    <w:uiPriority w:val="99"/>
    <w:rPr>
      <w:sz w:val="18"/>
      <w:szCs w:val="18"/>
    </w:rPr>
  </w:style>
  <w:style w:type="table" w:customStyle="1" w:styleId="41">
    <w:name w:val="网格型1"/>
    <w:basedOn w:val="17"/>
    <w:qFormat/>
    <w:uiPriority w:val="0"/>
    <w:pPr>
      <w:spacing w:after="80" w:line="240" w:lineRule="auto"/>
      <w:jc w:val="both"/>
    </w:pPr>
    <w:rPr>
      <w:rFonts w:ascii="Calibri" w:hAnsi="Calibri" w:eastAsia="宋体" w:cs="Times New Roman"/>
      <w:kern w:val="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42">
    <w:name w:val="TOC Heading"/>
    <w:basedOn w:val="2"/>
    <w:next w:val="1"/>
    <w:unhideWhenUsed/>
    <w:qFormat/>
    <w:uiPriority w:val="39"/>
    <w:pPr>
      <w:widowControl/>
      <w:numPr>
        <w:numId w:val="0"/>
      </w:numPr>
      <w:spacing w:after="0" w:line="259" w:lineRule="auto"/>
      <w:outlineLvl w:val="9"/>
    </w:pPr>
    <w:rPr>
      <w:rFonts w:eastAsiaTheme="majorEastAsia"/>
      <w:b w:val="0"/>
      <w:color w:val="104862" w:themeColor="accent1" w:themeShade="BF"/>
      <w:kern w:val="0"/>
      <w:sz w:val="32"/>
      <w:szCs w:val="32"/>
      <w14:ligatures w14:val="none"/>
    </w:rPr>
  </w:style>
  <w:style w:type="table" w:customStyle="1" w:styleId="43">
    <w:name w:val="样式12"/>
    <w:basedOn w:val="17"/>
    <w:qFormat/>
    <w:uiPriority w:val="99"/>
    <w:pPr>
      <w:jc w:val="center"/>
    </w:pPr>
    <w:rPr>
      <w:sz w:val="18"/>
    </w:rPr>
    <w:tblPr>
      <w:tblBorders>
        <w:top w:val="single" w:color="auto" w:sz="12" w:space="0"/>
        <w:bottom w:val="single" w:color="auto" w:sz="12" w:space="0"/>
      </w:tblBorders>
    </w:tblPr>
    <w:tcPr>
      <w:vAlign w:val="center"/>
    </w:tcPr>
    <w:tblStylePr w:type="firstRow">
      <w:tcPr>
        <w:tcBorders>
          <w:top w:val="single" w:color="auto" w:sz="12" w:space="0"/>
          <w:left w:val="nil"/>
          <w:bottom w:val="single" w:color="auto" w:sz="8" w:space="0"/>
          <w:right w:val="nil"/>
          <w:insideH w:val="nil"/>
          <w:insideV w:val="nil"/>
          <w:tl2br w:val="nil"/>
          <w:tr2bl w:val="nil"/>
        </w:tcBorders>
      </w:tcPr>
    </w:tblStylePr>
  </w:style>
  <w:style w:type="paragraph" w:customStyle="1" w:styleId="44">
    <w:name w:val="论文正文"/>
    <w:basedOn w:val="34"/>
    <w:qFormat/>
    <w:uiPriority w:val="0"/>
    <w:pPr>
      <w:wordWrap w:val="0"/>
      <w:ind w:left="0" w:firstLine="200" w:firstLineChars="200"/>
    </w:pPr>
    <w:rPr>
      <w:iCs/>
    </w:rPr>
  </w:style>
  <w:style w:type="character" w:customStyle="1" w:styleId="45">
    <w:name w:val="英文关键词"/>
    <w:qFormat/>
    <w:uiPriority w:val="0"/>
    <w:rPr>
      <w:rFonts w:ascii="黑体" w:hAnsi="黑体" w:eastAsia="黑体" w:cs="Times New Roman"/>
      <w:kern w:val="2"/>
      <w:sz w:val="24"/>
      <w:szCs w:val="22"/>
      <w:lang w:bidi="ar-SA"/>
    </w:rPr>
  </w:style>
  <w:style w:type="table" w:customStyle="1" w:styleId="46">
    <w:name w:val="样式1"/>
    <w:basedOn w:val="17"/>
    <w:qFormat/>
    <w:uiPriority w:val="99"/>
    <w:pPr>
      <w:jc w:val="center"/>
    </w:pPr>
    <w:rPr>
      <w:sz w:val="18"/>
    </w:rPr>
    <w:tblPr>
      <w:tblBorders>
        <w:top w:val="single" w:color="auto" w:sz="12" w:space="0"/>
        <w:bottom w:val="single" w:color="auto" w:sz="12" w:space="0"/>
      </w:tblBorders>
    </w:tblPr>
    <w:tcPr>
      <w:vAlign w:val="center"/>
    </w:tcPr>
    <w:tblStylePr w:type="firstRow">
      <w:tcPr>
        <w:tcBorders>
          <w:top w:val="single" w:color="auto" w:sz="12" w:space="0"/>
          <w:left w:val="nil"/>
          <w:bottom w:val="single" w:color="auto" w:sz="8" w:space="0"/>
          <w:right w:val="nil"/>
          <w:insideH w:val="nil"/>
          <w:insideV w:val="nil"/>
          <w:tl2br w:val="nil"/>
          <w:tr2bl w:val="nil"/>
        </w:tcBorders>
      </w:tcPr>
    </w:tblStylePr>
  </w:style>
  <w:style w:type="table" w:customStyle="1" w:styleId="47">
    <w:name w:val="样式13"/>
    <w:basedOn w:val="17"/>
    <w:qFormat/>
    <w:uiPriority w:val="99"/>
    <w:pPr>
      <w:jc w:val="center"/>
    </w:pPr>
    <w:rPr>
      <w:rFonts w:cstheme="minorBidi"/>
      <w:sz w:val="18"/>
    </w:rPr>
    <w:tblPr>
      <w:tblBorders>
        <w:top w:val="single" w:color="auto" w:sz="12" w:space="0"/>
        <w:bottom w:val="single" w:color="auto" w:sz="12" w:space="0"/>
      </w:tblBorders>
    </w:tblPr>
    <w:tcPr>
      <w:vAlign w:val="center"/>
    </w:tcPr>
    <w:tblStylePr w:type="firstRow">
      <w:tcPr>
        <w:tcBorders>
          <w:top w:val="single" w:color="auto" w:sz="12" w:space="0"/>
          <w:left w:val="nil"/>
          <w:bottom w:val="single" w:color="auto" w:sz="8" w:space="0"/>
          <w:right w:val="nil"/>
          <w:insideH w:val="nil"/>
          <w:insideV w:val="nil"/>
          <w:tl2br w:val="nil"/>
          <w:tr2bl w:val="nil"/>
        </w:tcBorders>
      </w:tcPr>
    </w:tblStylePr>
  </w:style>
  <w:style w:type="character" w:customStyle="1" w:styleId="48">
    <w:name w:val="font31"/>
    <w:basedOn w:val="19"/>
    <w:uiPriority w:val="0"/>
    <w:rPr>
      <w:rFonts w:hint="default" w:ascii="Times New Roman" w:hAnsi="Times New Roman" w:cs="Times New Roman"/>
      <w:color w:val="000000"/>
      <w:sz w:val="18"/>
      <w:szCs w:val="18"/>
      <w:u w:val="none"/>
    </w:rPr>
  </w:style>
  <w:style w:type="character" w:customStyle="1" w:styleId="49">
    <w:name w:val="font11"/>
    <w:basedOn w:val="19"/>
    <w:uiPriority w:val="0"/>
    <w:rPr>
      <w:rFonts w:hint="eastAsia" w:ascii="宋体" w:hAnsi="宋体" w:eastAsia="宋体" w:cs="宋体"/>
      <w:color w:val="000000"/>
      <w:sz w:val="18"/>
      <w:szCs w:val="18"/>
      <w:u w:val="none"/>
    </w:rPr>
  </w:style>
  <w:style w:type="character" w:customStyle="1" w:styleId="50">
    <w:name w:val="font61"/>
    <w:basedOn w:val="19"/>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EE68E-2792-454D-9012-CBCC798C765A}">
  <ds:schemaRefs/>
</ds:datastoreItem>
</file>

<file path=docProps/app.xml><?xml version="1.0" encoding="utf-8"?>
<Properties xmlns="http://schemas.openxmlformats.org/officeDocument/2006/extended-properties" xmlns:vt="http://schemas.openxmlformats.org/officeDocument/2006/docPropsVTypes">
  <Template>Normal</Template>
  <Pages>10</Pages>
  <Words>2577</Words>
  <Characters>2797</Characters>
  <Lines>281</Lines>
  <Paragraphs>198</Paragraphs>
  <TotalTime>19</TotalTime>
  <ScaleCrop>false</ScaleCrop>
  <LinksUpToDate>false</LinksUpToDate>
  <CharactersWithSpaces>2871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2024-11-15T02:46:00Z</dcterms:created>
  <dc:creator>le cui</dc:creator>
  <cp:lastModifiedBy>Showfg</cp:lastModifiedBy>
  <dcterms:modified xsi:type="dcterms:W3CDTF">2026-05-16T14:59:16Z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23fc8f9187915d64570831567bb44ed5c786b6e32b4fa9dfefe5c7ee31d23836</vt:lpwstr>
  </property>
  <property fmtid="{D5CDD505-2E9C-101B-9397-08002B2CF9AE}" pid="3" name="KSOTemplateDocerSaveRecord">
    <vt:lpwstr>eyJoZGlkIjoiZDA3NTU5NWRhNTlkYWE2NTE4ZGRlYzMwN2Y4OWJkOGMiLCJ1c2VySWQiOiIyMDUwMDE4MzgifQ==</vt:lpwstr>
  </property>
  <property fmtid="{D5CDD505-2E9C-101B-9397-08002B2CF9AE}" pid="4" name="KSOProductBuildVer">
    <vt:lpwstr>2052-12.1.0.23542</vt:lpwstr>
  </property>
  <property fmtid="{D5CDD505-2E9C-101B-9397-08002B2CF9AE}" pid="5" name="ICV">
    <vt:lpwstr>9EDABF96DB4D4CC9BA80B97AEED54B32_12</vt:lpwstr>
  </property>
</Properties>
</file>