
<file path=[Content_Types].xml><?xml version="1.0" encoding="utf-8"?>
<Types xmlns="http://schemas.openxmlformats.org/package/2006/content-types">
  <Default Extension="xml" ContentType="application/xml"/>
  <Default Extension="wmf" ContentType="image/x-wm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3F1C134">
      <w:pPr>
        <w:spacing w:line="360" w:lineRule="auto"/>
        <w:rPr>
          <w:rFonts w:hint="default" w:ascii="Times New Roman" w:hAnsi="Times New Roman" w:cs="Times New Roman"/>
          <w:bCs/>
          <w:color w:val="C00000"/>
          <w:sz w:val="36"/>
          <w:szCs w:val="36"/>
        </w:rPr>
      </w:pPr>
      <w:bookmarkStart w:id="0" w:name="_Hlk528261495"/>
      <w:bookmarkStart w:id="1" w:name="OLE_LINK3"/>
    </w:p>
    <w:p w14:paraId="0C8DB73E">
      <w:pPr>
        <w:spacing w:line="360" w:lineRule="auto"/>
        <w:rPr>
          <w:rFonts w:hint="default" w:ascii="Times New Roman" w:hAnsi="Times New Roman" w:cs="Times New Roman"/>
          <w:bCs/>
          <w:color w:val="C00000"/>
          <w:sz w:val="48"/>
          <w:szCs w:val="48"/>
        </w:rPr>
      </w:pPr>
    </w:p>
    <w:p w14:paraId="33BB86B6">
      <w:pPr>
        <w:spacing w:line="360" w:lineRule="auto"/>
        <w:rPr>
          <w:rFonts w:hint="default" w:ascii="Times New Roman" w:hAnsi="Times New Roman" w:cs="Times New Roman"/>
          <w:bCs/>
          <w:color w:val="C00000"/>
          <w:sz w:val="48"/>
          <w:szCs w:val="48"/>
        </w:rPr>
      </w:pPr>
    </w:p>
    <w:p w14:paraId="3C2BCF01">
      <w:pPr>
        <w:jc w:val="center"/>
        <w:rPr>
          <w:rFonts w:hint="default" w:ascii="Times New Roman" w:hAnsi="Times New Roman" w:cs="Times New Roman"/>
          <w:sz w:val="52"/>
          <w:szCs w:val="52"/>
        </w:rPr>
      </w:pPr>
      <w:r>
        <w:rPr>
          <w:rFonts w:hint="default" w:ascii="Times New Roman" w:hAnsi="Times New Roman" w:cs="Times New Roman"/>
          <w:sz w:val="52"/>
          <w:szCs w:val="52"/>
        </w:rPr>
        <w:t>团 体 标 准</w:t>
      </w:r>
    </w:p>
    <w:p w14:paraId="77B13FDD">
      <w:pPr>
        <w:jc w:val="center"/>
        <w:rPr>
          <w:rFonts w:hint="default" w:ascii="Times New Roman" w:hAnsi="Times New Roman" w:eastAsia="黑体" w:cs="Times New Roman"/>
          <w:sz w:val="48"/>
          <w:szCs w:val="48"/>
        </w:rPr>
      </w:pPr>
    </w:p>
    <w:p w14:paraId="65EBEDB4">
      <w:pPr>
        <w:jc w:val="center"/>
        <w:rPr>
          <w:rFonts w:hint="default" w:ascii="Times New Roman" w:hAnsi="Times New Roman" w:eastAsia="黑体" w:cs="Times New Roman"/>
          <w:sz w:val="44"/>
          <w:szCs w:val="44"/>
        </w:rPr>
      </w:pPr>
      <w:r>
        <w:rPr>
          <w:rFonts w:hint="default" w:ascii="Times New Roman" w:hAnsi="Times New Roman" w:eastAsia="黑体" w:cs="Times New Roman"/>
          <w:sz w:val="44"/>
          <w:szCs w:val="44"/>
        </w:rPr>
        <w:t>《松嫩平原盐碱地羊草草地建植技术规程》</w:t>
      </w:r>
    </w:p>
    <w:p w14:paraId="270B0C4D">
      <w:pPr>
        <w:spacing w:before="312" w:beforeLines="100" w:after="312" w:afterLines="100" w:line="480" w:lineRule="auto"/>
        <w:ind w:left="-67"/>
        <w:jc w:val="center"/>
        <w:rPr>
          <w:rFonts w:hint="default" w:ascii="Times New Roman" w:hAnsi="Times New Roman" w:eastAsia="黑体" w:cs="Times New Roman"/>
          <w:sz w:val="44"/>
          <w:szCs w:val="44"/>
        </w:rPr>
      </w:pPr>
      <w:r>
        <w:rPr>
          <w:rFonts w:hint="default" w:ascii="Times New Roman" w:hAnsi="Times New Roman" w:eastAsia="黑体" w:cs="Times New Roman"/>
          <w:sz w:val="44"/>
          <w:szCs w:val="44"/>
        </w:rPr>
        <w:t>编制说明</w:t>
      </w:r>
    </w:p>
    <w:p w14:paraId="6DE3ADC0">
      <w:pPr>
        <w:spacing w:line="360" w:lineRule="auto"/>
        <w:rPr>
          <w:rFonts w:hint="default" w:ascii="Times New Roman" w:hAnsi="Times New Roman" w:cs="Times New Roman"/>
          <w:bCs/>
          <w:sz w:val="36"/>
          <w:szCs w:val="36"/>
        </w:rPr>
      </w:pPr>
    </w:p>
    <w:p w14:paraId="528D9F67">
      <w:pPr>
        <w:spacing w:line="360" w:lineRule="auto"/>
        <w:rPr>
          <w:rFonts w:hint="default" w:ascii="Times New Roman" w:hAnsi="Times New Roman" w:cs="Times New Roman"/>
          <w:bCs/>
          <w:sz w:val="36"/>
          <w:szCs w:val="36"/>
        </w:rPr>
      </w:pPr>
    </w:p>
    <w:p w14:paraId="1E29079D">
      <w:pPr>
        <w:spacing w:line="360" w:lineRule="auto"/>
        <w:rPr>
          <w:rFonts w:hint="default" w:ascii="Times New Roman" w:hAnsi="Times New Roman" w:cs="Times New Roman"/>
          <w:bCs/>
          <w:sz w:val="36"/>
          <w:szCs w:val="36"/>
        </w:rPr>
      </w:pPr>
    </w:p>
    <w:p w14:paraId="2715D9AB">
      <w:pPr>
        <w:spacing w:line="360" w:lineRule="auto"/>
        <w:rPr>
          <w:rFonts w:hint="default" w:ascii="Times New Roman" w:hAnsi="Times New Roman" w:cs="Times New Roman"/>
          <w:bCs/>
          <w:sz w:val="36"/>
          <w:szCs w:val="36"/>
        </w:rPr>
      </w:pPr>
    </w:p>
    <w:p w14:paraId="0C4C417A">
      <w:pPr>
        <w:spacing w:line="360" w:lineRule="auto"/>
        <w:rPr>
          <w:rFonts w:hint="default" w:ascii="Times New Roman" w:hAnsi="Times New Roman" w:cs="Times New Roman"/>
          <w:bCs/>
          <w:sz w:val="36"/>
          <w:szCs w:val="36"/>
        </w:rPr>
      </w:pPr>
    </w:p>
    <w:p w14:paraId="64789C51">
      <w:pPr>
        <w:spacing w:line="360" w:lineRule="auto"/>
        <w:rPr>
          <w:rFonts w:hint="default" w:ascii="Times New Roman" w:hAnsi="Times New Roman" w:cs="Times New Roman"/>
          <w:bCs/>
          <w:sz w:val="36"/>
          <w:szCs w:val="36"/>
        </w:rPr>
      </w:pPr>
    </w:p>
    <w:p w14:paraId="0211B5B5">
      <w:pPr>
        <w:spacing w:line="360" w:lineRule="auto"/>
        <w:rPr>
          <w:rFonts w:hint="default" w:ascii="Times New Roman" w:hAnsi="Times New Roman" w:cs="Times New Roman"/>
          <w:bCs/>
          <w:sz w:val="36"/>
          <w:szCs w:val="36"/>
        </w:rPr>
      </w:pPr>
    </w:p>
    <w:p w14:paraId="7C7491E7">
      <w:pPr>
        <w:widowControl/>
        <w:rPr>
          <w:rFonts w:hint="default" w:ascii="Times New Roman" w:hAnsi="Times New Roman" w:cs="Times New Roman"/>
          <w:bCs/>
          <w:sz w:val="44"/>
          <w:szCs w:val="44"/>
        </w:rPr>
      </w:pPr>
    </w:p>
    <w:p w14:paraId="1F0E511F">
      <w:pPr>
        <w:widowControl/>
        <w:rPr>
          <w:rFonts w:hint="default" w:ascii="Times New Roman" w:hAnsi="Times New Roman" w:cs="Times New Roman"/>
          <w:bCs/>
          <w:sz w:val="44"/>
          <w:szCs w:val="44"/>
        </w:rPr>
      </w:pPr>
    </w:p>
    <w:p w14:paraId="034AC298">
      <w:pPr>
        <w:ind w:left="-52" w:leftChars="-67" w:right="-382" w:rightChars="-182" w:hanging="89" w:hangingChars="32"/>
        <w:jc w:val="center"/>
        <w:rPr>
          <w:rFonts w:hint="default" w:ascii="Times New Roman" w:hAnsi="Times New Roman" w:eastAsia="黑体" w:cs="Times New Roman"/>
          <w:bCs/>
          <w:sz w:val="28"/>
          <w:szCs w:val="28"/>
        </w:rPr>
      </w:pPr>
      <w:r>
        <w:rPr>
          <w:rFonts w:hint="default" w:ascii="Times New Roman" w:hAnsi="Times New Roman" w:eastAsia="黑体" w:cs="Times New Roman"/>
          <w:bCs/>
          <w:sz w:val="28"/>
          <w:szCs w:val="28"/>
        </w:rPr>
        <w:t>《松嫩平原盐碱地羊草草地建植技术规程》团标制定组</w:t>
      </w:r>
    </w:p>
    <w:p w14:paraId="6617FAC3">
      <w:pPr>
        <w:widowControl/>
        <w:jc w:val="center"/>
        <w:rPr>
          <w:rFonts w:hint="default" w:ascii="Times New Roman" w:hAnsi="Times New Roman" w:eastAsia="黑体" w:cs="Times New Roman"/>
          <w:bCs/>
          <w:sz w:val="28"/>
          <w:szCs w:val="28"/>
        </w:rPr>
      </w:pPr>
      <w:r>
        <w:rPr>
          <w:rFonts w:hint="default" w:ascii="Times New Roman" w:hAnsi="Times New Roman" w:eastAsia="黑体" w:cs="Times New Roman"/>
          <w:bCs/>
          <w:sz w:val="28"/>
          <w:szCs w:val="28"/>
        </w:rPr>
        <w:t>二</w:t>
      </w:r>
      <w:r>
        <w:rPr>
          <w:rFonts w:hint="default" w:ascii="Times New Roman" w:hAnsi="Times New Roman" w:eastAsia="黑体" w:cs="Times New Roman"/>
          <w:sz w:val="28"/>
          <w:szCs w:val="28"/>
        </w:rPr>
        <w:t>〇</w:t>
      </w:r>
      <w:r>
        <w:rPr>
          <w:rFonts w:hint="default" w:ascii="Times New Roman" w:hAnsi="Times New Roman" w:eastAsia="黑体" w:cs="Times New Roman"/>
          <w:bCs/>
          <w:sz w:val="28"/>
          <w:szCs w:val="28"/>
        </w:rPr>
        <w:t>二</w:t>
      </w:r>
      <w:r>
        <w:rPr>
          <w:rFonts w:hint="default" w:ascii="Times New Roman" w:hAnsi="Times New Roman" w:eastAsia="黑体" w:cs="Times New Roman"/>
          <w:bCs/>
          <w:sz w:val="28"/>
          <w:szCs w:val="28"/>
          <w:lang w:val="en-US" w:eastAsia="zh-CN"/>
        </w:rPr>
        <w:t>六</w:t>
      </w:r>
      <w:r>
        <w:rPr>
          <w:rFonts w:hint="default" w:ascii="Times New Roman" w:hAnsi="Times New Roman" w:eastAsia="黑体" w:cs="Times New Roman"/>
          <w:bCs/>
          <w:sz w:val="28"/>
          <w:szCs w:val="28"/>
        </w:rPr>
        <w:t>年</w:t>
      </w:r>
      <w:r>
        <w:rPr>
          <w:rFonts w:hint="default" w:ascii="Times New Roman" w:hAnsi="Times New Roman" w:eastAsia="黑体" w:cs="Times New Roman"/>
          <w:bCs/>
          <w:sz w:val="28"/>
          <w:szCs w:val="28"/>
          <w:lang w:val="en-US" w:eastAsia="zh-CN"/>
        </w:rPr>
        <w:t>四</w:t>
      </w:r>
      <w:r>
        <w:rPr>
          <w:rFonts w:hint="default" w:ascii="Times New Roman" w:hAnsi="Times New Roman" w:eastAsia="黑体" w:cs="Times New Roman"/>
          <w:bCs/>
          <w:sz w:val="28"/>
          <w:szCs w:val="28"/>
        </w:rPr>
        <w:t>月</w:t>
      </w:r>
    </w:p>
    <w:bookmarkEnd w:id="0"/>
    <w:p w14:paraId="40FBF7DD">
      <w:pPr>
        <w:pStyle w:val="34"/>
        <w:spacing w:before="312" w:beforeLines="100" w:after="312" w:afterLines="100" w:line="420" w:lineRule="exact"/>
        <w:ind w:firstLineChars="0"/>
        <w:jc w:val="center"/>
        <w:rPr>
          <w:rFonts w:hint="default" w:ascii="Times New Roman" w:hAnsi="Times New Roman" w:cs="Times New Roman"/>
          <w:b/>
          <w:color w:val="000000"/>
          <w:sz w:val="28"/>
          <w:szCs w:val="28"/>
        </w:rPr>
      </w:pPr>
      <w:r>
        <w:rPr>
          <w:rFonts w:hint="default" w:ascii="Times New Roman" w:hAnsi="Times New Roman" w:cs="Times New Roman"/>
          <w:b/>
          <w:color w:val="000000"/>
          <w:sz w:val="28"/>
          <w:szCs w:val="28"/>
        </w:rPr>
        <w:br w:type="page"/>
      </w:r>
      <w:r>
        <w:rPr>
          <w:rFonts w:hint="default" w:ascii="Times New Roman" w:hAnsi="Times New Roman" w:cs="Times New Roman"/>
          <w:b/>
          <w:color w:val="000000"/>
          <w:sz w:val="28"/>
          <w:szCs w:val="28"/>
        </w:rPr>
        <w:t>目  次</w:t>
      </w:r>
    </w:p>
    <w:p w14:paraId="1D60AEC8">
      <w:pPr>
        <w:pStyle w:val="34"/>
        <w:spacing w:line="360" w:lineRule="auto"/>
        <w:ind w:firstLineChars="0"/>
        <w:rPr>
          <w:rFonts w:hint="default" w:ascii="Times New Roman" w:hAnsi="Times New Roman" w:cs="Times New Roman"/>
          <w:b/>
          <w:color w:val="000000"/>
          <w:sz w:val="22"/>
          <w:szCs w:val="22"/>
        </w:rPr>
      </w:pPr>
    </w:p>
    <w:p w14:paraId="4BA71938">
      <w:pPr>
        <w:pStyle w:val="13"/>
        <w:tabs>
          <w:tab w:val="right" w:leader="dot" w:pos="8548"/>
          <w:tab w:val="clear" w:pos="8538"/>
        </w:tabs>
      </w:pP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TOC \o "1-3" \h \z \u </w:instrText>
      </w:r>
      <w:r>
        <w:rPr>
          <w:rFonts w:hint="default" w:ascii="Times New Roman" w:hAnsi="Times New Roman" w:cs="Times New Roman"/>
          <w:sz w:val="24"/>
          <w:szCs w:val="24"/>
        </w:rPr>
        <w:fldChar w:fldCharType="separate"/>
      </w:r>
      <w:r>
        <w:rPr>
          <w:rFonts w:hint="default" w:ascii="Times New Roman" w:hAnsi="Times New Roman" w:cs="Times New Roman"/>
          <w:szCs w:val="24"/>
        </w:rPr>
        <w:fldChar w:fldCharType="begin"/>
      </w:r>
      <w:r>
        <w:rPr>
          <w:rFonts w:hint="default" w:ascii="Times New Roman" w:hAnsi="Times New Roman" w:cs="Times New Roman"/>
          <w:szCs w:val="24"/>
        </w:rPr>
        <w:instrText xml:space="preserve"> HYPERLINK \l _Toc8034 </w:instrText>
      </w:r>
      <w:r>
        <w:rPr>
          <w:rFonts w:hint="default" w:ascii="Times New Roman" w:hAnsi="Times New Roman" w:cs="Times New Roman"/>
          <w:szCs w:val="24"/>
        </w:rPr>
        <w:fldChar w:fldCharType="separate"/>
      </w:r>
      <w:r>
        <w:rPr>
          <w:rFonts w:hint="default" w:ascii="Times New Roman" w:hAnsi="Times New Roman" w:cs="Times New Roman"/>
          <w:szCs w:val="40"/>
        </w:rPr>
        <w:t>一、任务来源及标准制定背景</w:t>
      </w:r>
      <w:r>
        <w:tab/>
      </w:r>
      <w:r>
        <w:fldChar w:fldCharType="begin"/>
      </w:r>
      <w:r>
        <w:instrText xml:space="preserve"> PAGEREF _Toc8034 \h </w:instrText>
      </w:r>
      <w:r>
        <w:fldChar w:fldCharType="separate"/>
      </w:r>
      <w:r>
        <w:t>3</w:t>
      </w:r>
      <w:r>
        <w:fldChar w:fldCharType="end"/>
      </w:r>
      <w:r>
        <w:rPr>
          <w:rFonts w:hint="default" w:ascii="Times New Roman" w:hAnsi="Times New Roman" w:cs="Times New Roman"/>
          <w:szCs w:val="24"/>
        </w:rPr>
        <w:fldChar w:fldCharType="end"/>
      </w:r>
    </w:p>
    <w:p w14:paraId="3ED57A82">
      <w:pPr>
        <w:pStyle w:val="14"/>
        <w:tabs>
          <w:tab w:val="right" w:leader="dot" w:pos="8548"/>
        </w:tabs>
      </w:pPr>
      <w:r>
        <w:rPr>
          <w:rFonts w:hint="default" w:ascii="Times New Roman" w:hAnsi="Times New Roman" w:cs="Times New Roman"/>
          <w:bCs/>
          <w:szCs w:val="24"/>
          <w:lang w:val="zh-CN"/>
        </w:rPr>
        <w:fldChar w:fldCharType="begin"/>
      </w:r>
      <w:r>
        <w:rPr>
          <w:rFonts w:hint="default" w:ascii="Times New Roman" w:hAnsi="Times New Roman" w:cs="Times New Roman"/>
          <w:bCs/>
          <w:szCs w:val="24"/>
          <w:lang w:val="zh-CN"/>
        </w:rPr>
        <w:instrText xml:space="preserve"> HYPERLINK \l _Toc23230 </w:instrText>
      </w:r>
      <w:r>
        <w:rPr>
          <w:rFonts w:hint="default" w:ascii="Times New Roman" w:hAnsi="Times New Roman" w:cs="Times New Roman"/>
          <w:bCs/>
          <w:szCs w:val="24"/>
          <w:lang w:val="zh-CN"/>
        </w:rPr>
        <w:fldChar w:fldCharType="separate"/>
      </w:r>
      <w:r>
        <w:rPr>
          <w:rFonts w:hint="default" w:ascii="Times New Roman" w:hAnsi="Times New Roman" w:cs="Times New Roman"/>
          <w:szCs w:val="28"/>
        </w:rPr>
        <w:t>1、任务来源</w:t>
      </w:r>
      <w:r>
        <w:tab/>
      </w:r>
      <w:r>
        <w:fldChar w:fldCharType="begin"/>
      </w:r>
      <w:r>
        <w:instrText xml:space="preserve"> PAGEREF _Toc23230 \h </w:instrText>
      </w:r>
      <w:r>
        <w:fldChar w:fldCharType="separate"/>
      </w:r>
      <w:r>
        <w:t>3</w:t>
      </w:r>
      <w:r>
        <w:fldChar w:fldCharType="end"/>
      </w:r>
      <w:r>
        <w:rPr>
          <w:rFonts w:hint="default" w:ascii="Times New Roman" w:hAnsi="Times New Roman" w:cs="Times New Roman"/>
          <w:bCs/>
          <w:szCs w:val="24"/>
          <w:lang w:val="zh-CN"/>
        </w:rPr>
        <w:fldChar w:fldCharType="end"/>
      </w:r>
    </w:p>
    <w:p w14:paraId="617729A6">
      <w:pPr>
        <w:pStyle w:val="14"/>
        <w:tabs>
          <w:tab w:val="right" w:leader="dot" w:pos="8548"/>
        </w:tabs>
      </w:pPr>
      <w:r>
        <w:rPr>
          <w:rFonts w:hint="default" w:ascii="Times New Roman" w:hAnsi="Times New Roman" w:cs="Times New Roman"/>
          <w:bCs/>
          <w:szCs w:val="24"/>
          <w:lang w:val="zh-CN"/>
        </w:rPr>
        <w:fldChar w:fldCharType="begin"/>
      </w:r>
      <w:r>
        <w:rPr>
          <w:rFonts w:hint="default" w:ascii="Times New Roman" w:hAnsi="Times New Roman" w:cs="Times New Roman"/>
          <w:bCs/>
          <w:szCs w:val="24"/>
          <w:lang w:val="zh-CN"/>
        </w:rPr>
        <w:instrText xml:space="preserve"> HYPERLINK \l _Toc13558 </w:instrText>
      </w:r>
      <w:r>
        <w:rPr>
          <w:rFonts w:hint="default" w:ascii="Times New Roman" w:hAnsi="Times New Roman" w:cs="Times New Roman"/>
          <w:bCs/>
          <w:szCs w:val="24"/>
          <w:lang w:val="zh-CN"/>
        </w:rPr>
        <w:fldChar w:fldCharType="separate"/>
      </w:r>
      <w:r>
        <w:rPr>
          <w:rFonts w:hint="default" w:ascii="Times New Roman" w:hAnsi="Times New Roman" w:cs="Times New Roman"/>
          <w:szCs w:val="28"/>
        </w:rPr>
        <w:t>2、标准制定背景</w:t>
      </w:r>
      <w:r>
        <w:tab/>
      </w:r>
      <w:r>
        <w:fldChar w:fldCharType="begin"/>
      </w:r>
      <w:r>
        <w:instrText xml:space="preserve"> PAGEREF _Toc13558 \h </w:instrText>
      </w:r>
      <w:r>
        <w:fldChar w:fldCharType="separate"/>
      </w:r>
      <w:r>
        <w:t>3</w:t>
      </w:r>
      <w:r>
        <w:fldChar w:fldCharType="end"/>
      </w:r>
      <w:r>
        <w:rPr>
          <w:rFonts w:hint="default" w:ascii="Times New Roman" w:hAnsi="Times New Roman" w:cs="Times New Roman"/>
          <w:bCs/>
          <w:szCs w:val="24"/>
          <w:lang w:val="zh-CN"/>
        </w:rPr>
        <w:fldChar w:fldCharType="end"/>
      </w:r>
    </w:p>
    <w:p w14:paraId="263D40D5">
      <w:pPr>
        <w:pStyle w:val="13"/>
        <w:tabs>
          <w:tab w:val="right" w:leader="dot" w:pos="8548"/>
          <w:tab w:val="clear" w:pos="8538"/>
        </w:tabs>
      </w:pPr>
      <w:r>
        <w:rPr>
          <w:rFonts w:hint="default" w:ascii="Times New Roman" w:hAnsi="Times New Roman" w:cs="Times New Roman"/>
          <w:bCs/>
          <w:szCs w:val="24"/>
          <w:lang w:val="zh-CN"/>
        </w:rPr>
        <w:fldChar w:fldCharType="begin"/>
      </w:r>
      <w:r>
        <w:rPr>
          <w:rFonts w:hint="default" w:ascii="Times New Roman" w:hAnsi="Times New Roman" w:cs="Times New Roman"/>
          <w:bCs/>
          <w:szCs w:val="24"/>
          <w:lang w:val="zh-CN"/>
        </w:rPr>
        <w:instrText xml:space="preserve"> HYPERLINK \l _Toc26711 </w:instrText>
      </w:r>
      <w:r>
        <w:rPr>
          <w:rFonts w:hint="default" w:ascii="Times New Roman" w:hAnsi="Times New Roman" w:cs="Times New Roman"/>
          <w:bCs/>
          <w:szCs w:val="24"/>
          <w:lang w:val="zh-CN"/>
        </w:rPr>
        <w:fldChar w:fldCharType="separate"/>
      </w:r>
      <w:r>
        <w:rPr>
          <w:rFonts w:hint="default" w:ascii="Times New Roman" w:hAnsi="Times New Roman" w:cs="Times New Roman"/>
          <w:szCs w:val="40"/>
        </w:rPr>
        <w:t>二、主要工作过程</w:t>
      </w:r>
      <w:r>
        <w:tab/>
      </w:r>
      <w:r>
        <w:fldChar w:fldCharType="begin"/>
      </w:r>
      <w:r>
        <w:instrText xml:space="preserve"> PAGEREF _Toc26711 \h </w:instrText>
      </w:r>
      <w:r>
        <w:fldChar w:fldCharType="separate"/>
      </w:r>
      <w:r>
        <w:t>5</w:t>
      </w:r>
      <w:r>
        <w:fldChar w:fldCharType="end"/>
      </w:r>
      <w:r>
        <w:rPr>
          <w:rFonts w:hint="default" w:ascii="Times New Roman" w:hAnsi="Times New Roman" w:cs="Times New Roman"/>
          <w:bCs/>
          <w:szCs w:val="24"/>
          <w:lang w:val="zh-CN"/>
        </w:rPr>
        <w:fldChar w:fldCharType="end"/>
      </w:r>
    </w:p>
    <w:p w14:paraId="7203F0EA">
      <w:pPr>
        <w:pStyle w:val="13"/>
        <w:tabs>
          <w:tab w:val="right" w:leader="dot" w:pos="8548"/>
          <w:tab w:val="clear" w:pos="8538"/>
        </w:tabs>
      </w:pPr>
      <w:r>
        <w:rPr>
          <w:rFonts w:hint="default" w:ascii="Times New Roman" w:hAnsi="Times New Roman" w:cs="Times New Roman"/>
          <w:bCs/>
          <w:szCs w:val="24"/>
          <w:lang w:val="zh-CN"/>
        </w:rPr>
        <w:fldChar w:fldCharType="begin"/>
      </w:r>
      <w:r>
        <w:rPr>
          <w:rFonts w:hint="default" w:ascii="Times New Roman" w:hAnsi="Times New Roman" w:cs="Times New Roman"/>
          <w:bCs/>
          <w:szCs w:val="24"/>
          <w:lang w:val="zh-CN"/>
        </w:rPr>
        <w:instrText xml:space="preserve"> HYPERLINK \l _Toc4936 </w:instrText>
      </w:r>
      <w:r>
        <w:rPr>
          <w:rFonts w:hint="default" w:ascii="Times New Roman" w:hAnsi="Times New Roman" w:cs="Times New Roman"/>
          <w:bCs/>
          <w:szCs w:val="24"/>
          <w:lang w:val="zh-CN"/>
        </w:rPr>
        <w:fldChar w:fldCharType="separate"/>
      </w:r>
      <w:r>
        <w:rPr>
          <w:rFonts w:hint="default" w:ascii="Times New Roman" w:hAnsi="Times New Roman" w:cs="Times New Roman"/>
          <w:szCs w:val="40"/>
        </w:rPr>
        <w:t>三、标准编制原则和主要技术内容确定的依据</w:t>
      </w:r>
      <w:r>
        <w:tab/>
      </w:r>
      <w:r>
        <w:fldChar w:fldCharType="begin"/>
      </w:r>
      <w:r>
        <w:instrText xml:space="preserve"> PAGEREF _Toc4936 \h </w:instrText>
      </w:r>
      <w:r>
        <w:fldChar w:fldCharType="separate"/>
      </w:r>
      <w:r>
        <w:t>5</w:t>
      </w:r>
      <w:r>
        <w:fldChar w:fldCharType="end"/>
      </w:r>
      <w:r>
        <w:rPr>
          <w:rFonts w:hint="default" w:ascii="Times New Roman" w:hAnsi="Times New Roman" w:cs="Times New Roman"/>
          <w:bCs/>
          <w:szCs w:val="24"/>
          <w:lang w:val="zh-CN"/>
        </w:rPr>
        <w:fldChar w:fldCharType="end"/>
      </w:r>
    </w:p>
    <w:p w14:paraId="4AEE292D">
      <w:pPr>
        <w:pStyle w:val="14"/>
        <w:tabs>
          <w:tab w:val="right" w:leader="dot" w:pos="8548"/>
        </w:tabs>
      </w:pPr>
      <w:r>
        <w:rPr>
          <w:rFonts w:hint="default" w:ascii="Times New Roman" w:hAnsi="Times New Roman" w:cs="Times New Roman"/>
          <w:bCs/>
          <w:szCs w:val="24"/>
          <w:lang w:val="zh-CN"/>
        </w:rPr>
        <w:fldChar w:fldCharType="begin"/>
      </w:r>
      <w:r>
        <w:rPr>
          <w:rFonts w:hint="default" w:ascii="Times New Roman" w:hAnsi="Times New Roman" w:cs="Times New Roman"/>
          <w:bCs/>
          <w:szCs w:val="24"/>
          <w:lang w:val="zh-CN"/>
        </w:rPr>
        <w:instrText xml:space="preserve"> HYPERLINK \l _Toc24998 </w:instrText>
      </w:r>
      <w:r>
        <w:rPr>
          <w:rFonts w:hint="default" w:ascii="Times New Roman" w:hAnsi="Times New Roman" w:cs="Times New Roman"/>
          <w:bCs/>
          <w:szCs w:val="24"/>
          <w:lang w:val="zh-CN"/>
        </w:rPr>
        <w:fldChar w:fldCharType="separate"/>
      </w:r>
      <w:r>
        <w:rPr>
          <w:rFonts w:hint="default" w:ascii="Times New Roman" w:hAnsi="Times New Roman" w:cs="Times New Roman"/>
          <w:szCs w:val="28"/>
        </w:rPr>
        <w:t>1、标准编制原则</w:t>
      </w:r>
      <w:r>
        <w:tab/>
      </w:r>
      <w:r>
        <w:fldChar w:fldCharType="begin"/>
      </w:r>
      <w:r>
        <w:instrText xml:space="preserve"> PAGEREF _Toc24998 \h </w:instrText>
      </w:r>
      <w:r>
        <w:fldChar w:fldCharType="separate"/>
      </w:r>
      <w:r>
        <w:t>5</w:t>
      </w:r>
      <w:r>
        <w:fldChar w:fldCharType="end"/>
      </w:r>
      <w:r>
        <w:rPr>
          <w:rFonts w:hint="default" w:ascii="Times New Roman" w:hAnsi="Times New Roman" w:cs="Times New Roman"/>
          <w:bCs/>
          <w:szCs w:val="24"/>
          <w:lang w:val="zh-CN"/>
        </w:rPr>
        <w:fldChar w:fldCharType="end"/>
      </w:r>
    </w:p>
    <w:p w14:paraId="68043C11">
      <w:pPr>
        <w:pStyle w:val="14"/>
        <w:tabs>
          <w:tab w:val="right" w:leader="dot" w:pos="8548"/>
        </w:tabs>
      </w:pPr>
      <w:r>
        <w:rPr>
          <w:rFonts w:hint="default" w:ascii="Times New Roman" w:hAnsi="Times New Roman" w:cs="Times New Roman"/>
          <w:bCs/>
          <w:szCs w:val="24"/>
          <w:lang w:val="zh-CN"/>
        </w:rPr>
        <w:fldChar w:fldCharType="begin"/>
      </w:r>
      <w:r>
        <w:rPr>
          <w:rFonts w:hint="default" w:ascii="Times New Roman" w:hAnsi="Times New Roman" w:cs="Times New Roman"/>
          <w:bCs/>
          <w:szCs w:val="24"/>
          <w:lang w:val="zh-CN"/>
        </w:rPr>
        <w:instrText xml:space="preserve"> HYPERLINK \l _Toc28074 </w:instrText>
      </w:r>
      <w:r>
        <w:rPr>
          <w:rFonts w:hint="default" w:ascii="Times New Roman" w:hAnsi="Times New Roman" w:cs="Times New Roman"/>
          <w:bCs/>
          <w:szCs w:val="24"/>
          <w:lang w:val="zh-CN"/>
        </w:rPr>
        <w:fldChar w:fldCharType="separate"/>
      </w:r>
      <w:r>
        <w:rPr>
          <w:rFonts w:hint="default" w:ascii="Times New Roman" w:hAnsi="Times New Roman" w:cs="Times New Roman"/>
          <w:szCs w:val="28"/>
        </w:rPr>
        <w:t>2、主要技术内容确定的论据</w:t>
      </w:r>
      <w:r>
        <w:tab/>
      </w:r>
      <w:r>
        <w:fldChar w:fldCharType="begin"/>
      </w:r>
      <w:r>
        <w:instrText xml:space="preserve"> PAGEREF _Toc28074 \h </w:instrText>
      </w:r>
      <w:r>
        <w:fldChar w:fldCharType="separate"/>
      </w:r>
      <w:r>
        <w:t>6</w:t>
      </w:r>
      <w:r>
        <w:fldChar w:fldCharType="end"/>
      </w:r>
      <w:r>
        <w:rPr>
          <w:rFonts w:hint="default" w:ascii="Times New Roman" w:hAnsi="Times New Roman" w:cs="Times New Roman"/>
          <w:bCs/>
          <w:szCs w:val="24"/>
          <w:lang w:val="zh-CN"/>
        </w:rPr>
        <w:fldChar w:fldCharType="end"/>
      </w:r>
    </w:p>
    <w:p w14:paraId="58E09556">
      <w:pPr>
        <w:pStyle w:val="13"/>
        <w:tabs>
          <w:tab w:val="right" w:leader="dot" w:pos="8548"/>
          <w:tab w:val="clear" w:pos="8538"/>
        </w:tabs>
      </w:pPr>
      <w:r>
        <w:rPr>
          <w:rFonts w:hint="default" w:ascii="Times New Roman" w:hAnsi="Times New Roman" w:cs="Times New Roman"/>
          <w:bCs/>
          <w:szCs w:val="24"/>
          <w:lang w:val="zh-CN"/>
        </w:rPr>
        <w:fldChar w:fldCharType="begin"/>
      </w:r>
      <w:r>
        <w:rPr>
          <w:rFonts w:hint="default" w:ascii="Times New Roman" w:hAnsi="Times New Roman" w:cs="Times New Roman"/>
          <w:bCs/>
          <w:szCs w:val="24"/>
          <w:lang w:val="zh-CN"/>
        </w:rPr>
        <w:instrText xml:space="preserve"> HYPERLINK \l _Toc30266 </w:instrText>
      </w:r>
      <w:r>
        <w:rPr>
          <w:rFonts w:hint="default" w:ascii="Times New Roman" w:hAnsi="Times New Roman" w:cs="Times New Roman"/>
          <w:bCs/>
          <w:szCs w:val="24"/>
          <w:lang w:val="zh-CN"/>
        </w:rPr>
        <w:fldChar w:fldCharType="separate"/>
      </w:r>
      <w:r>
        <w:rPr>
          <w:rFonts w:hint="default" w:ascii="Times New Roman" w:hAnsi="Times New Roman" w:cs="Times New Roman"/>
          <w:szCs w:val="40"/>
        </w:rPr>
        <w:t>四、采用的国际标准</w:t>
      </w:r>
      <w:r>
        <w:tab/>
      </w:r>
      <w:r>
        <w:fldChar w:fldCharType="begin"/>
      </w:r>
      <w:r>
        <w:instrText xml:space="preserve"> PAGEREF _Toc30266 \h </w:instrText>
      </w:r>
      <w:r>
        <w:fldChar w:fldCharType="separate"/>
      </w:r>
      <w:r>
        <w:t>18</w:t>
      </w:r>
      <w:r>
        <w:fldChar w:fldCharType="end"/>
      </w:r>
      <w:r>
        <w:rPr>
          <w:rFonts w:hint="default" w:ascii="Times New Roman" w:hAnsi="Times New Roman" w:cs="Times New Roman"/>
          <w:bCs/>
          <w:szCs w:val="24"/>
          <w:lang w:val="zh-CN"/>
        </w:rPr>
        <w:fldChar w:fldCharType="end"/>
      </w:r>
    </w:p>
    <w:p w14:paraId="00346EB3">
      <w:pPr>
        <w:pStyle w:val="13"/>
        <w:tabs>
          <w:tab w:val="right" w:leader="dot" w:pos="8548"/>
          <w:tab w:val="clear" w:pos="8538"/>
        </w:tabs>
      </w:pPr>
      <w:r>
        <w:rPr>
          <w:rFonts w:hint="default" w:ascii="Times New Roman" w:hAnsi="Times New Roman" w:cs="Times New Roman"/>
          <w:bCs/>
          <w:szCs w:val="24"/>
          <w:lang w:val="zh-CN"/>
        </w:rPr>
        <w:fldChar w:fldCharType="begin"/>
      </w:r>
      <w:r>
        <w:rPr>
          <w:rFonts w:hint="default" w:ascii="Times New Roman" w:hAnsi="Times New Roman" w:cs="Times New Roman"/>
          <w:bCs/>
          <w:szCs w:val="24"/>
          <w:lang w:val="zh-CN"/>
        </w:rPr>
        <w:instrText xml:space="preserve"> HYPERLINK \l _Toc24802 </w:instrText>
      </w:r>
      <w:r>
        <w:rPr>
          <w:rFonts w:hint="default" w:ascii="Times New Roman" w:hAnsi="Times New Roman" w:cs="Times New Roman"/>
          <w:bCs/>
          <w:szCs w:val="24"/>
          <w:lang w:val="zh-CN"/>
        </w:rPr>
        <w:fldChar w:fldCharType="separate"/>
      </w:r>
      <w:r>
        <w:rPr>
          <w:rFonts w:hint="default" w:ascii="Times New Roman" w:hAnsi="Times New Roman" w:cs="Times New Roman"/>
          <w:szCs w:val="40"/>
        </w:rPr>
        <w:t>五、与现行法律法规和强制性标准的关系</w:t>
      </w:r>
      <w:r>
        <w:tab/>
      </w:r>
      <w:r>
        <w:fldChar w:fldCharType="begin"/>
      </w:r>
      <w:r>
        <w:instrText xml:space="preserve"> PAGEREF _Toc24802 \h </w:instrText>
      </w:r>
      <w:r>
        <w:fldChar w:fldCharType="separate"/>
      </w:r>
      <w:r>
        <w:t>18</w:t>
      </w:r>
      <w:r>
        <w:fldChar w:fldCharType="end"/>
      </w:r>
      <w:r>
        <w:rPr>
          <w:rFonts w:hint="default" w:ascii="Times New Roman" w:hAnsi="Times New Roman" w:cs="Times New Roman"/>
          <w:bCs/>
          <w:szCs w:val="24"/>
          <w:lang w:val="zh-CN"/>
        </w:rPr>
        <w:fldChar w:fldCharType="end"/>
      </w:r>
    </w:p>
    <w:p w14:paraId="2D10AC82">
      <w:pPr>
        <w:pStyle w:val="13"/>
        <w:tabs>
          <w:tab w:val="right" w:leader="dot" w:pos="8548"/>
          <w:tab w:val="clear" w:pos="8538"/>
        </w:tabs>
      </w:pPr>
      <w:r>
        <w:rPr>
          <w:rFonts w:hint="default" w:ascii="Times New Roman" w:hAnsi="Times New Roman" w:cs="Times New Roman"/>
          <w:bCs/>
          <w:szCs w:val="24"/>
          <w:lang w:val="zh-CN"/>
        </w:rPr>
        <w:fldChar w:fldCharType="begin"/>
      </w:r>
      <w:r>
        <w:rPr>
          <w:rFonts w:hint="default" w:ascii="Times New Roman" w:hAnsi="Times New Roman" w:cs="Times New Roman"/>
          <w:bCs/>
          <w:szCs w:val="24"/>
          <w:lang w:val="zh-CN"/>
        </w:rPr>
        <w:instrText xml:space="preserve"> HYPERLINK \l _Toc13646 </w:instrText>
      </w:r>
      <w:r>
        <w:rPr>
          <w:rFonts w:hint="default" w:ascii="Times New Roman" w:hAnsi="Times New Roman" w:cs="Times New Roman"/>
          <w:bCs/>
          <w:szCs w:val="24"/>
          <w:lang w:val="zh-CN"/>
        </w:rPr>
        <w:fldChar w:fldCharType="separate"/>
      </w:r>
      <w:r>
        <w:rPr>
          <w:rFonts w:hint="default" w:ascii="Times New Roman" w:hAnsi="Times New Roman" w:cs="Times New Roman"/>
          <w:szCs w:val="40"/>
        </w:rPr>
        <w:t>六、重大分歧意见的处理经过和依据</w:t>
      </w:r>
      <w:r>
        <w:tab/>
      </w:r>
      <w:r>
        <w:fldChar w:fldCharType="begin"/>
      </w:r>
      <w:r>
        <w:instrText xml:space="preserve"> PAGEREF _Toc13646 \h </w:instrText>
      </w:r>
      <w:r>
        <w:fldChar w:fldCharType="separate"/>
      </w:r>
      <w:r>
        <w:t>18</w:t>
      </w:r>
      <w:r>
        <w:fldChar w:fldCharType="end"/>
      </w:r>
      <w:r>
        <w:rPr>
          <w:rFonts w:hint="default" w:ascii="Times New Roman" w:hAnsi="Times New Roman" w:cs="Times New Roman"/>
          <w:bCs/>
          <w:szCs w:val="24"/>
          <w:lang w:val="zh-CN"/>
        </w:rPr>
        <w:fldChar w:fldCharType="end"/>
      </w:r>
    </w:p>
    <w:p w14:paraId="09D35AAF">
      <w:pPr>
        <w:pStyle w:val="13"/>
        <w:tabs>
          <w:tab w:val="right" w:leader="dot" w:pos="8548"/>
          <w:tab w:val="clear" w:pos="8538"/>
        </w:tabs>
      </w:pPr>
      <w:r>
        <w:rPr>
          <w:rFonts w:hint="default" w:ascii="Times New Roman" w:hAnsi="Times New Roman" w:cs="Times New Roman"/>
          <w:bCs/>
          <w:szCs w:val="24"/>
          <w:lang w:val="zh-CN"/>
        </w:rPr>
        <w:fldChar w:fldCharType="begin"/>
      </w:r>
      <w:r>
        <w:rPr>
          <w:rFonts w:hint="default" w:ascii="Times New Roman" w:hAnsi="Times New Roman" w:cs="Times New Roman"/>
          <w:bCs/>
          <w:szCs w:val="24"/>
          <w:lang w:val="zh-CN"/>
        </w:rPr>
        <w:instrText xml:space="preserve"> HYPERLINK \l _Toc22159 </w:instrText>
      </w:r>
      <w:r>
        <w:rPr>
          <w:rFonts w:hint="default" w:ascii="Times New Roman" w:hAnsi="Times New Roman" w:cs="Times New Roman"/>
          <w:bCs/>
          <w:szCs w:val="24"/>
          <w:lang w:val="zh-CN"/>
        </w:rPr>
        <w:fldChar w:fldCharType="separate"/>
      </w:r>
      <w:r>
        <w:rPr>
          <w:rFonts w:hint="default" w:ascii="Times New Roman" w:hAnsi="Times New Roman" w:cs="Times New Roman"/>
          <w:szCs w:val="40"/>
        </w:rPr>
        <w:t>七、标准作为强制性或推荐性标准的意见</w:t>
      </w:r>
      <w:r>
        <w:tab/>
      </w:r>
      <w:r>
        <w:fldChar w:fldCharType="begin"/>
      </w:r>
      <w:r>
        <w:instrText xml:space="preserve"> PAGEREF _Toc22159 \h </w:instrText>
      </w:r>
      <w:r>
        <w:fldChar w:fldCharType="separate"/>
      </w:r>
      <w:r>
        <w:t>18</w:t>
      </w:r>
      <w:r>
        <w:fldChar w:fldCharType="end"/>
      </w:r>
      <w:r>
        <w:rPr>
          <w:rFonts w:hint="default" w:ascii="Times New Roman" w:hAnsi="Times New Roman" w:cs="Times New Roman"/>
          <w:bCs/>
          <w:szCs w:val="24"/>
          <w:lang w:val="zh-CN"/>
        </w:rPr>
        <w:fldChar w:fldCharType="end"/>
      </w:r>
    </w:p>
    <w:p w14:paraId="7CDFA71F">
      <w:pPr>
        <w:pStyle w:val="13"/>
        <w:tabs>
          <w:tab w:val="right" w:leader="dot" w:pos="8548"/>
          <w:tab w:val="clear" w:pos="8538"/>
        </w:tabs>
      </w:pPr>
      <w:r>
        <w:rPr>
          <w:rFonts w:hint="default" w:ascii="Times New Roman" w:hAnsi="Times New Roman" w:cs="Times New Roman"/>
          <w:bCs/>
          <w:szCs w:val="24"/>
          <w:lang w:val="zh-CN"/>
        </w:rPr>
        <w:fldChar w:fldCharType="begin"/>
      </w:r>
      <w:r>
        <w:rPr>
          <w:rFonts w:hint="default" w:ascii="Times New Roman" w:hAnsi="Times New Roman" w:cs="Times New Roman"/>
          <w:bCs/>
          <w:szCs w:val="24"/>
          <w:lang w:val="zh-CN"/>
        </w:rPr>
        <w:instrText xml:space="preserve"> HYPERLINK \l _Toc17450 </w:instrText>
      </w:r>
      <w:r>
        <w:rPr>
          <w:rFonts w:hint="default" w:ascii="Times New Roman" w:hAnsi="Times New Roman" w:cs="Times New Roman"/>
          <w:bCs/>
          <w:szCs w:val="24"/>
          <w:lang w:val="zh-CN"/>
        </w:rPr>
        <w:fldChar w:fldCharType="separate"/>
      </w:r>
      <w:r>
        <w:rPr>
          <w:rFonts w:hint="default" w:ascii="Times New Roman" w:hAnsi="Times New Roman" w:cs="Times New Roman"/>
          <w:szCs w:val="40"/>
        </w:rPr>
        <w:t>八、贯彻标准的要求和措施建议</w:t>
      </w:r>
      <w:r>
        <w:tab/>
      </w:r>
      <w:r>
        <w:fldChar w:fldCharType="begin"/>
      </w:r>
      <w:r>
        <w:instrText xml:space="preserve"> PAGEREF _Toc17450 \h </w:instrText>
      </w:r>
      <w:r>
        <w:fldChar w:fldCharType="separate"/>
      </w:r>
      <w:r>
        <w:t>18</w:t>
      </w:r>
      <w:r>
        <w:fldChar w:fldCharType="end"/>
      </w:r>
      <w:r>
        <w:rPr>
          <w:rFonts w:hint="default" w:ascii="Times New Roman" w:hAnsi="Times New Roman" w:cs="Times New Roman"/>
          <w:bCs/>
          <w:szCs w:val="24"/>
          <w:lang w:val="zh-CN"/>
        </w:rPr>
        <w:fldChar w:fldCharType="end"/>
      </w:r>
    </w:p>
    <w:p w14:paraId="03C8301B">
      <w:pPr>
        <w:pStyle w:val="13"/>
        <w:tabs>
          <w:tab w:val="right" w:leader="dot" w:pos="8548"/>
          <w:tab w:val="clear" w:pos="8538"/>
        </w:tabs>
      </w:pPr>
      <w:r>
        <w:rPr>
          <w:rFonts w:hint="default" w:ascii="Times New Roman" w:hAnsi="Times New Roman" w:cs="Times New Roman"/>
          <w:bCs/>
          <w:szCs w:val="24"/>
          <w:lang w:val="zh-CN"/>
        </w:rPr>
        <w:fldChar w:fldCharType="begin"/>
      </w:r>
      <w:r>
        <w:rPr>
          <w:rFonts w:hint="default" w:ascii="Times New Roman" w:hAnsi="Times New Roman" w:cs="Times New Roman"/>
          <w:bCs/>
          <w:szCs w:val="24"/>
          <w:lang w:val="zh-CN"/>
        </w:rPr>
        <w:instrText xml:space="preserve"> HYPERLINK \l _Toc16501 </w:instrText>
      </w:r>
      <w:r>
        <w:rPr>
          <w:rFonts w:hint="default" w:ascii="Times New Roman" w:hAnsi="Times New Roman" w:cs="Times New Roman"/>
          <w:bCs/>
          <w:szCs w:val="24"/>
          <w:lang w:val="zh-CN"/>
        </w:rPr>
        <w:fldChar w:fldCharType="separate"/>
      </w:r>
      <w:r>
        <w:rPr>
          <w:rFonts w:hint="default" w:ascii="Times New Roman" w:hAnsi="Times New Roman" w:cs="Times New Roman"/>
          <w:szCs w:val="40"/>
        </w:rPr>
        <w:t>九、废止现行有关标准的建议</w:t>
      </w:r>
      <w:r>
        <w:tab/>
      </w:r>
      <w:r>
        <w:fldChar w:fldCharType="begin"/>
      </w:r>
      <w:r>
        <w:instrText xml:space="preserve"> PAGEREF _Toc16501 \h </w:instrText>
      </w:r>
      <w:r>
        <w:fldChar w:fldCharType="separate"/>
      </w:r>
      <w:r>
        <w:t>19</w:t>
      </w:r>
      <w:r>
        <w:fldChar w:fldCharType="end"/>
      </w:r>
      <w:r>
        <w:rPr>
          <w:rFonts w:hint="default" w:ascii="Times New Roman" w:hAnsi="Times New Roman" w:cs="Times New Roman"/>
          <w:bCs/>
          <w:szCs w:val="24"/>
          <w:lang w:val="zh-CN"/>
        </w:rPr>
        <w:fldChar w:fldCharType="end"/>
      </w:r>
    </w:p>
    <w:p w14:paraId="1719A54D">
      <w:pPr>
        <w:pStyle w:val="13"/>
        <w:tabs>
          <w:tab w:val="right" w:leader="dot" w:pos="8548"/>
          <w:tab w:val="clear" w:pos="8538"/>
        </w:tabs>
      </w:pPr>
      <w:r>
        <w:rPr>
          <w:rFonts w:hint="default" w:ascii="Times New Roman" w:hAnsi="Times New Roman" w:cs="Times New Roman"/>
          <w:bCs/>
          <w:szCs w:val="24"/>
          <w:lang w:val="zh-CN"/>
        </w:rPr>
        <w:fldChar w:fldCharType="begin"/>
      </w:r>
      <w:r>
        <w:rPr>
          <w:rFonts w:hint="default" w:ascii="Times New Roman" w:hAnsi="Times New Roman" w:cs="Times New Roman"/>
          <w:bCs/>
          <w:szCs w:val="24"/>
          <w:lang w:val="zh-CN"/>
        </w:rPr>
        <w:instrText xml:space="preserve"> HYPERLINK \l _Toc4276 </w:instrText>
      </w:r>
      <w:r>
        <w:rPr>
          <w:rFonts w:hint="default" w:ascii="Times New Roman" w:hAnsi="Times New Roman" w:cs="Times New Roman"/>
          <w:bCs/>
          <w:szCs w:val="24"/>
          <w:lang w:val="zh-CN"/>
        </w:rPr>
        <w:fldChar w:fldCharType="separate"/>
      </w:r>
      <w:r>
        <w:rPr>
          <w:rFonts w:hint="default" w:ascii="Times New Roman" w:hAnsi="Times New Roman" w:cs="Times New Roman"/>
          <w:szCs w:val="40"/>
        </w:rPr>
        <w:t>十、其他应予说明的事项</w:t>
      </w:r>
      <w:r>
        <w:tab/>
      </w:r>
      <w:r>
        <w:fldChar w:fldCharType="begin"/>
      </w:r>
      <w:r>
        <w:instrText xml:space="preserve"> PAGEREF _Toc4276 \h </w:instrText>
      </w:r>
      <w:r>
        <w:fldChar w:fldCharType="separate"/>
      </w:r>
      <w:r>
        <w:t>19</w:t>
      </w:r>
      <w:r>
        <w:fldChar w:fldCharType="end"/>
      </w:r>
      <w:r>
        <w:rPr>
          <w:rFonts w:hint="default" w:ascii="Times New Roman" w:hAnsi="Times New Roman" w:cs="Times New Roman"/>
          <w:bCs/>
          <w:szCs w:val="24"/>
          <w:lang w:val="zh-CN"/>
        </w:rPr>
        <w:fldChar w:fldCharType="end"/>
      </w:r>
    </w:p>
    <w:p w14:paraId="7755D24F">
      <w:pPr>
        <w:spacing w:line="360" w:lineRule="auto"/>
        <w:rPr>
          <w:rFonts w:hint="default" w:ascii="Times New Roman" w:hAnsi="Times New Roman" w:cs="Times New Roman"/>
          <w:sz w:val="24"/>
          <w:szCs w:val="24"/>
        </w:rPr>
      </w:pPr>
      <w:r>
        <w:rPr>
          <w:rFonts w:hint="default" w:ascii="Times New Roman" w:hAnsi="Times New Roman" w:cs="Times New Roman"/>
          <w:bCs/>
          <w:szCs w:val="24"/>
          <w:lang w:val="zh-CN"/>
        </w:rPr>
        <w:fldChar w:fldCharType="end"/>
      </w:r>
    </w:p>
    <w:p w14:paraId="32720C13">
      <w:pPr>
        <w:pStyle w:val="34"/>
        <w:spacing w:before="312" w:beforeLines="100" w:after="312" w:afterLines="100" w:line="420" w:lineRule="exact"/>
        <w:ind w:firstLineChars="0"/>
        <w:rPr>
          <w:rFonts w:hint="default" w:ascii="Times New Roman" w:hAnsi="Times New Roman" w:cs="Times New Roman"/>
          <w:b/>
          <w:color w:val="000000"/>
          <w:sz w:val="28"/>
          <w:szCs w:val="28"/>
        </w:rPr>
      </w:pPr>
    </w:p>
    <w:p w14:paraId="3EB17BB0">
      <w:pPr>
        <w:pStyle w:val="3"/>
        <w:spacing w:before="0" w:after="0"/>
        <w:rPr>
          <w:rFonts w:hint="default" w:ascii="Times New Roman" w:hAnsi="Times New Roman" w:cs="Times New Roman"/>
          <w:sz w:val="24"/>
          <w:szCs w:val="40"/>
        </w:rPr>
      </w:pPr>
      <w:r>
        <w:rPr>
          <w:rFonts w:hint="default" w:ascii="Times New Roman" w:hAnsi="Times New Roman" w:cs="Times New Roman"/>
        </w:rPr>
        <w:br w:type="page"/>
      </w:r>
      <w:r>
        <w:rPr>
          <w:rFonts w:hint="default" w:ascii="Times New Roman" w:hAnsi="Times New Roman" w:cs="Times New Roman"/>
        </w:rPr>
        <w:t xml:space="preserve"> </w:t>
      </w:r>
      <w:bookmarkStart w:id="2" w:name="_Toc8034"/>
      <w:r>
        <w:rPr>
          <w:rFonts w:hint="default" w:ascii="Times New Roman" w:hAnsi="Times New Roman" w:cs="Times New Roman"/>
          <w:sz w:val="24"/>
          <w:szCs w:val="40"/>
        </w:rPr>
        <w:t>一、任务来源及标准制定背景</w:t>
      </w:r>
      <w:bookmarkEnd w:id="2"/>
    </w:p>
    <w:p w14:paraId="39E2EE66">
      <w:pPr>
        <w:pStyle w:val="4"/>
        <w:spacing w:before="0" w:after="0"/>
        <w:rPr>
          <w:rFonts w:hint="default" w:ascii="Times New Roman" w:hAnsi="Times New Roman" w:cs="Times New Roman"/>
          <w:sz w:val="22"/>
          <w:szCs w:val="28"/>
        </w:rPr>
      </w:pPr>
      <w:bookmarkStart w:id="3" w:name="_Toc23230"/>
      <w:r>
        <w:rPr>
          <w:rFonts w:hint="default" w:ascii="Times New Roman" w:hAnsi="Times New Roman" w:cs="Times New Roman"/>
          <w:sz w:val="22"/>
          <w:szCs w:val="28"/>
        </w:rPr>
        <w:t>1、任务来源</w:t>
      </w:r>
      <w:bookmarkEnd w:id="3"/>
    </w:p>
    <w:p w14:paraId="51E08244">
      <w:pPr>
        <w:widowControl/>
        <w:adjustRightInd w:val="0"/>
        <w:snapToGrid w:val="0"/>
        <w:spacing w:line="360" w:lineRule="auto"/>
        <w:ind w:firstLine="440" w:firstLineChars="200"/>
        <w:rPr>
          <w:rFonts w:hint="default" w:ascii="Times New Roman" w:hAnsi="Times New Roman" w:cs="Times New Roman"/>
          <w:kern w:val="0"/>
          <w:sz w:val="22"/>
          <w:szCs w:val="20"/>
        </w:rPr>
      </w:pPr>
      <w:r>
        <w:rPr>
          <w:rFonts w:hint="default" w:ascii="Times New Roman" w:hAnsi="Times New Roman" w:cs="Times New Roman"/>
          <w:kern w:val="0"/>
          <w:sz w:val="22"/>
          <w:szCs w:val="20"/>
        </w:rPr>
        <w:t>本技术规程由</w:t>
      </w:r>
      <w:r>
        <w:rPr>
          <w:rFonts w:hint="default" w:ascii="Times New Roman" w:hAnsi="Times New Roman" w:cs="Times New Roman"/>
          <w:kern w:val="0"/>
          <w:sz w:val="22"/>
          <w:szCs w:val="20"/>
          <w:lang w:val="en-US" w:eastAsia="zh-CN"/>
        </w:rPr>
        <w:t>中国科学院东北地理与农业生态研究所</w:t>
      </w:r>
      <w:r>
        <w:rPr>
          <w:rFonts w:hint="default" w:ascii="Times New Roman" w:hAnsi="Times New Roman" w:cs="Times New Roman"/>
          <w:kern w:val="0"/>
          <w:sz w:val="22"/>
          <w:szCs w:val="20"/>
        </w:rPr>
        <w:t>，内蒙古自治区生物育种技术创新中心，白城市畜牧科学研究院</w:t>
      </w:r>
      <w:r>
        <w:rPr>
          <w:rFonts w:hint="default" w:ascii="Times New Roman" w:hAnsi="Times New Roman" w:cs="Times New Roman"/>
          <w:kern w:val="0"/>
          <w:sz w:val="22"/>
          <w:szCs w:val="20"/>
          <w:lang w:val="en-US" w:eastAsia="zh-CN"/>
        </w:rPr>
        <w:t>联合申报，在国家自然科学联合基金“松嫩盐碱化草地植物多样性恢复与功能稳定性提升机制”的资助和支持下完成</w:t>
      </w:r>
      <w:r>
        <w:rPr>
          <w:rFonts w:hint="default" w:ascii="Times New Roman" w:hAnsi="Times New Roman" w:cs="Times New Roman"/>
          <w:kern w:val="0"/>
          <w:sz w:val="22"/>
          <w:szCs w:val="20"/>
        </w:rPr>
        <w:t>。</w:t>
      </w:r>
    </w:p>
    <w:p w14:paraId="2CF241EC">
      <w:pPr>
        <w:pStyle w:val="4"/>
        <w:spacing w:before="0" w:after="0"/>
        <w:rPr>
          <w:rFonts w:hint="default" w:ascii="Times New Roman" w:hAnsi="Times New Roman" w:cs="Times New Roman"/>
          <w:sz w:val="22"/>
          <w:szCs w:val="28"/>
        </w:rPr>
      </w:pPr>
      <w:bookmarkStart w:id="4" w:name="_Toc13558"/>
      <w:r>
        <w:rPr>
          <w:rFonts w:hint="default" w:ascii="Times New Roman" w:hAnsi="Times New Roman" w:cs="Times New Roman"/>
          <w:sz w:val="22"/>
          <w:szCs w:val="28"/>
        </w:rPr>
        <w:t>2、标准制定背景</w:t>
      </w:r>
      <w:bookmarkEnd w:id="4"/>
    </w:p>
    <w:p w14:paraId="3506F585">
      <w:pPr>
        <w:widowControl/>
        <w:adjustRightInd w:val="0"/>
        <w:snapToGrid w:val="0"/>
        <w:spacing w:line="360" w:lineRule="auto"/>
        <w:ind w:firstLine="442" w:firstLineChars="200"/>
        <w:rPr>
          <w:rFonts w:hint="default" w:ascii="Times New Roman" w:hAnsi="Times New Roman" w:cs="Times New Roman"/>
          <w:b/>
          <w:bCs/>
          <w:kern w:val="0"/>
          <w:sz w:val="22"/>
          <w:szCs w:val="20"/>
        </w:rPr>
      </w:pPr>
      <w:r>
        <w:rPr>
          <w:rFonts w:hint="default" w:ascii="Times New Roman" w:hAnsi="Times New Roman" w:cs="Times New Roman"/>
          <w:b/>
          <w:bCs/>
          <w:kern w:val="0"/>
          <w:sz w:val="22"/>
          <w:szCs w:val="20"/>
        </w:rPr>
        <w:t>（1）政策支持推动农业高值化转型</w:t>
      </w:r>
    </w:p>
    <w:p w14:paraId="631EC53D">
      <w:pPr>
        <w:widowControl/>
        <w:adjustRightInd w:val="0"/>
        <w:snapToGrid w:val="0"/>
        <w:spacing w:line="360" w:lineRule="auto"/>
        <w:ind w:firstLine="440" w:firstLineChars="200"/>
        <w:rPr>
          <w:rFonts w:hint="default" w:ascii="Times New Roman" w:hAnsi="Times New Roman" w:cs="Times New Roman"/>
          <w:kern w:val="0"/>
          <w:sz w:val="22"/>
          <w:szCs w:val="20"/>
        </w:rPr>
      </w:pPr>
      <w:r>
        <w:rPr>
          <w:rFonts w:hint="default" w:ascii="Times New Roman" w:hAnsi="Times New Roman" w:cs="Times New Roman"/>
          <w:kern w:val="0"/>
          <w:sz w:val="22"/>
          <w:szCs w:val="20"/>
        </w:rPr>
        <w:t>草原是我国重要的生态系统和自然资源，在维护国家生态安全、促进经济社会可持续发展、保障农牧民增收等方面具有基础性、战略性作用，而盐碱地作为我国重要的后备土地资源，其生态修复与合理利用是推进草原保护、落实大食物观的重要举措。然而，我国基本国情决定了饲草生产不能与粮争地，优质饲草需求缺口较大且对进口依赖度较高，同时东北苏打盐碱地作为我国主要盐碱地类型之一，总面积达500万公顷，其中中度和重度盐碱化土地占比67.4%，属于典型生态脆弱区，其土壤理化性质恶劣、植物毒害作用强，改造利用难度大，现有其他地区盐碱地治理技术模式难以直接移植，土地盐碱化不仅制约区域经济发展，更对生态安全构成严重威胁，其植被恢复、生态治理和有效利用一直是困扰该区域发展的难题，亟需探索适宜的治理与利用路径。</w:t>
      </w:r>
    </w:p>
    <w:p w14:paraId="3F9A7151">
      <w:pPr>
        <w:widowControl/>
        <w:adjustRightInd w:val="0"/>
        <w:snapToGrid w:val="0"/>
        <w:spacing w:line="360" w:lineRule="auto"/>
        <w:ind w:firstLine="440" w:firstLineChars="200"/>
        <w:rPr>
          <w:rFonts w:hint="default" w:ascii="Times New Roman" w:hAnsi="Times New Roman" w:cs="Times New Roman"/>
          <w:kern w:val="0"/>
          <w:sz w:val="22"/>
          <w:szCs w:val="20"/>
        </w:rPr>
      </w:pPr>
      <w:r>
        <w:rPr>
          <w:rFonts w:hint="default" w:ascii="Times New Roman" w:hAnsi="Times New Roman" w:cs="Times New Roman"/>
          <w:kern w:val="0"/>
          <w:sz w:val="22"/>
          <w:szCs w:val="20"/>
        </w:rPr>
        <w:t>党的十八大以来，加大生态系统保护力度、加强生态修复、构筑生态安全屏障成为重要指导思想，国家及地方层面相继出台多项政策提供支撑。国务院办公厅2021年印发《关于加强草原保护与修复的若干意见》（国办发〔2021〕7号），明确提出加强草原保护管理、推进草原生态修复、促进草原合理利用、推动草原地区绿色发展的要求；2023年中央一号文件强调加大草原保护修复力度，巩固退耕还林还草成果，推动选育耐盐碱植物适应盐碱地，做好盐碱地等耕地后备资源综合开发利用试点；《全国重要生态系统保护和修复重大工程总体规划（2021-2035年）》指出要全面加强草原保护，稳步推进退耕还草，目标到2035年草原综合植被盖度达到60%。地方层面，2022年吉林省林草局等8厅局联合印发《吉林省林草湿生态连通工程行动方案》，牢固树立“山水林田湖草沙生命共同体”理念，聚焦提升生态系统稳定性；吉林省林业和草原发展“十四五”规划明确实施“三化草原”治理，遏制西部草原盐碱化，推动盐碱化裸露地复绿。在此背景下，利用盐碱地等边际土地发展草牧业，开展羊草人工草地建植，既是落实各项政策要求的具体举措，也是破解区域生态与经济发展难题的现实需要，其实施具有明确的必要性。</w:t>
      </w:r>
    </w:p>
    <w:p w14:paraId="203D6622">
      <w:pPr>
        <w:widowControl/>
        <w:adjustRightInd w:val="0"/>
        <w:snapToGrid w:val="0"/>
        <w:spacing w:line="360" w:lineRule="auto"/>
        <w:ind w:firstLine="440" w:firstLineChars="200"/>
        <w:rPr>
          <w:rFonts w:hint="default" w:ascii="Times New Roman" w:hAnsi="Times New Roman" w:cs="Times New Roman"/>
          <w:kern w:val="0"/>
          <w:sz w:val="22"/>
          <w:szCs w:val="20"/>
        </w:rPr>
      </w:pPr>
      <w:r>
        <w:rPr>
          <w:rFonts w:hint="default" w:ascii="Times New Roman" w:hAnsi="Times New Roman" w:cs="Times New Roman"/>
          <w:kern w:val="0"/>
          <w:sz w:val="22"/>
          <w:szCs w:val="20"/>
        </w:rPr>
        <w:t>羊草作为东北松嫩平原的原始优势植被，是我国天然草原和人工草地的重要物种，具有耐旱、耐寒、耐盐碱、生态适应性广的显著特性，且营养丰富、适口性好，被称为“牧草中的细粮”，是人工草地建植的首选物种，这为盐碱地人工草地建植提供了核心物种支撑。同时，建植人工草地本身就是重度退化草地直接有效的恢复措施，不仅能大幅提高植被盖度和生产力，有效缓解草畜矛盾，还能快速恢复土壤养分水平，适配东北苏打盐碱地的生态修复需求。此外，当前羊草育种技术不断突破，科研团队已培育出耐盐碱羊草新品种，形成了成熟的种植与管理技术，进一步保障了盐碱地羊草人工草地建植的可行性，为其落地实施提供了坚实的技术支撑。因此，开展盐碱地羊草人工草地建植、实施相关标准，对于推进东北苏打盐碱地生态修复、填补优质饲草缺口、推动区域畜牧业高质量发展具有重要意义，其带来的生态效益、经济效益和社会效益十分显著。</w:t>
      </w:r>
    </w:p>
    <w:p w14:paraId="4846891B">
      <w:pPr>
        <w:widowControl/>
        <w:adjustRightInd w:val="0"/>
        <w:snapToGrid w:val="0"/>
        <w:spacing w:line="360" w:lineRule="auto"/>
        <w:ind w:firstLine="442" w:firstLineChars="200"/>
        <w:rPr>
          <w:rFonts w:hint="default" w:ascii="Times New Roman" w:hAnsi="Times New Roman" w:cs="Times New Roman"/>
          <w:b/>
          <w:bCs/>
          <w:kern w:val="0"/>
          <w:sz w:val="22"/>
          <w:szCs w:val="20"/>
        </w:rPr>
      </w:pPr>
      <w:r>
        <w:rPr>
          <w:rFonts w:hint="default" w:ascii="Times New Roman" w:hAnsi="Times New Roman" w:cs="Times New Roman"/>
          <w:b/>
          <w:bCs/>
          <w:kern w:val="0"/>
          <w:sz w:val="22"/>
          <w:szCs w:val="20"/>
        </w:rPr>
        <w:t>（</w:t>
      </w:r>
      <w:r>
        <w:rPr>
          <w:rFonts w:hint="default" w:ascii="Times New Roman" w:hAnsi="Times New Roman" w:cs="Times New Roman"/>
          <w:b/>
          <w:bCs/>
          <w:kern w:val="0"/>
          <w:sz w:val="22"/>
          <w:szCs w:val="20"/>
          <w:lang w:val="en-US" w:eastAsia="zh-CN"/>
        </w:rPr>
        <w:t>2</w:t>
      </w:r>
      <w:r>
        <w:rPr>
          <w:rFonts w:hint="default" w:ascii="Times New Roman" w:hAnsi="Times New Roman" w:cs="Times New Roman"/>
          <w:b/>
          <w:bCs/>
          <w:kern w:val="0"/>
          <w:sz w:val="22"/>
          <w:szCs w:val="20"/>
        </w:rPr>
        <w:t>）现有</w:t>
      </w:r>
      <w:r>
        <w:rPr>
          <w:rFonts w:hint="default" w:ascii="Times New Roman" w:hAnsi="Times New Roman" w:cs="Times New Roman"/>
          <w:b/>
          <w:bCs/>
          <w:kern w:val="0"/>
          <w:sz w:val="22"/>
          <w:szCs w:val="20"/>
          <w:lang w:val="en-US" w:eastAsia="zh-CN"/>
        </w:rPr>
        <w:t>难点和</w:t>
      </w:r>
      <w:r>
        <w:rPr>
          <w:rFonts w:hint="default" w:ascii="Times New Roman" w:hAnsi="Times New Roman" w:cs="Times New Roman"/>
          <w:b/>
          <w:bCs/>
          <w:kern w:val="0"/>
          <w:sz w:val="22"/>
          <w:szCs w:val="20"/>
        </w:rPr>
        <w:t>技术不足</w:t>
      </w:r>
    </w:p>
    <w:p w14:paraId="003127C4">
      <w:pPr>
        <w:widowControl/>
        <w:adjustRightInd w:val="0"/>
        <w:snapToGrid w:val="0"/>
        <w:spacing w:line="360" w:lineRule="auto"/>
        <w:ind w:firstLine="440" w:firstLineChars="200"/>
        <w:rPr>
          <w:rFonts w:hint="default" w:ascii="Times New Roman" w:hAnsi="Times New Roman" w:cs="Times New Roman"/>
          <w:kern w:val="0"/>
          <w:sz w:val="22"/>
          <w:szCs w:val="20"/>
        </w:rPr>
      </w:pPr>
      <w:r>
        <w:rPr>
          <w:rFonts w:hint="default" w:ascii="Times New Roman" w:hAnsi="Times New Roman" w:cs="Times New Roman"/>
          <w:kern w:val="0"/>
          <w:sz w:val="22"/>
          <w:szCs w:val="20"/>
        </w:rPr>
        <w:t>羊草作为耐盐碱、抗逆性强的优质多年生禾本科牧草，是盐碱化草地生态修复与生产力提升的核心物种，羊草人工草地建植已成为全球盐碱地治理与草地资源可持续利用的重要途径。国外盐碱地草地修复起步较早，多聚焦于滨海及内陆盐碱区的牧草引种驯化与栽培技术研发，但由于不同国家盐碱地类型、气候条件及草地利用模式存在差异，其技术体系难以直接适配我国松嫩苏打盐碱地的特殊生境</w:t>
      </w:r>
      <w:r>
        <w:rPr>
          <w:rFonts w:hint="default" w:ascii="Times New Roman" w:hAnsi="Times New Roman" w:cs="Times New Roman"/>
          <w:kern w:val="0"/>
          <w:sz w:val="22"/>
          <w:szCs w:val="20"/>
          <w:lang w:eastAsia="zh-CN"/>
        </w:rPr>
        <w:t>——</w:t>
      </w:r>
      <w:r>
        <w:rPr>
          <w:rFonts w:hint="default" w:ascii="Times New Roman" w:hAnsi="Times New Roman" w:cs="Times New Roman"/>
          <w:kern w:val="0"/>
          <w:sz w:val="22"/>
          <w:szCs w:val="20"/>
        </w:rPr>
        <w:t>松嫩平原作为世界三大苏打盐碱地之一，土壤碱性强、治理难度大，与国外多数盐碱地类型差异显著，相关技术的针对性和适用性有限。因此，针对松嫩苏打盐碱地碱性强、治理难度大、国外技术适配性差等突出问题，在确保草地生态功能正常发挥的前提下，必须充分认识到我国松嫩苏打盐碱地的特殊生境与国外盐碱地的差异，提出适配松嫩苏打盐碱地的羊草人工草地建植技术方法，对于推动松嫩苏打盐碱地治理、提升草地生态与生产功能、实现盐碱地资源可持续利用具有重要的现实意义。</w:t>
      </w:r>
    </w:p>
    <w:p w14:paraId="065D81E8">
      <w:pPr>
        <w:widowControl/>
        <w:adjustRightInd w:val="0"/>
        <w:snapToGrid w:val="0"/>
        <w:spacing w:line="360" w:lineRule="auto"/>
        <w:ind w:firstLine="442" w:firstLineChars="200"/>
        <w:rPr>
          <w:rFonts w:hint="default" w:ascii="Times New Roman" w:hAnsi="Times New Roman" w:eastAsia="宋体" w:cs="Times New Roman"/>
          <w:b/>
          <w:bCs/>
          <w:kern w:val="0"/>
          <w:sz w:val="22"/>
          <w:szCs w:val="20"/>
          <w:lang w:val="en-US" w:eastAsia="zh-CN"/>
        </w:rPr>
      </w:pPr>
      <w:r>
        <w:rPr>
          <w:rFonts w:hint="default" w:ascii="Times New Roman" w:hAnsi="Times New Roman" w:cs="Times New Roman"/>
          <w:b/>
          <w:bCs/>
          <w:kern w:val="0"/>
          <w:sz w:val="22"/>
          <w:szCs w:val="20"/>
        </w:rPr>
        <w:t>（</w:t>
      </w:r>
      <w:r>
        <w:rPr>
          <w:rFonts w:hint="default" w:ascii="Times New Roman" w:hAnsi="Times New Roman" w:cs="Times New Roman"/>
          <w:b/>
          <w:bCs/>
          <w:kern w:val="0"/>
          <w:sz w:val="22"/>
          <w:szCs w:val="20"/>
          <w:lang w:val="en-US" w:eastAsia="zh-CN"/>
        </w:rPr>
        <w:t>3</w:t>
      </w:r>
      <w:r>
        <w:rPr>
          <w:rFonts w:hint="default" w:ascii="Times New Roman" w:hAnsi="Times New Roman" w:cs="Times New Roman"/>
          <w:b/>
          <w:bCs/>
          <w:kern w:val="0"/>
          <w:sz w:val="22"/>
          <w:szCs w:val="20"/>
        </w:rPr>
        <w:t>）</w:t>
      </w:r>
      <w:r>
        <w:rPr>
          <w:rFonts w:hint="default" w:ascii="Times New Roman" w:hAnsi="Times New Roman" w:cs="Times New Roman"/>
          <w:b/>
          <w:bCs/>
          <w:kern w:val="0"/>
          <w:sz w:val="22"/>
          <w:szCs w:val="20"/>
          <w:lang w:val="en-US" w:eastAsia="zh-CN"/>
        </w:rPr>
        <w:t>生态</w:t>
      </w:r>
      <w:r>
        <w:rPr>
          <w:rFonts w:hint="default" w:ascii="Times New Roman" w:hAnsi="Times New Roman" w:cs="Times New Roman"/>
          <w:b/>
          <w:bCs/>
          <w:kern w:val="0"/>
          <w:sz w:val="22"/>
          <w:szCs w:val="20"/>
        </w:rPr>
        <w:t>需求与发展</w:t>
      </w:r>
      <w:r>
        <w:rPr>
          <w:rFonts w:hint="default" w:ascii="Times New Roman" w:hAnsi="Times New Roman" w:cs="Times New Roman"/>
          <w:b/>
          <w:bCs/>
          <w:kern w:val="0"/>
          <w:sz w:val="22"/>
          <w:szCs w:val="20"/>
          <w:lang w:val="en-US" w:eastAsia="zh-CN"/>
        </w:rPr>
        <w:t>前景</w:t>
      </w:r>
    </w:p>
    <w:p w14:paraId="32174A32">
      <w:pPr>
        <w:widowControl/>
        <w:adjustRightInd w:val="0"/>
        <w:snapToGrid w:val="0"/>
        <w:spacing w:line="360" w:lineRule="auto"/>
        <w:ind w:firstLine="440" w:firstLineChars="200"/>
        <w:rPr>
          <w:rFonts w:hint="default" w:ascii="Times New Roman" w:hAnsi="Times New Roman" w:cs="Times New Roman"/>
          <w:kern w:val="0"/>
          <w:sz w:val="22"/>
          <w:szCs w:val="20"/>
        </w:rPr>
      </w:pPr>
      <w:r>
        <w:rPr>
          <w:rFonts w:hint="default" w:ascii="Times New Roman" w:hAnsi="Times New Roman" w:cs="Times New Roman"/>
          <w:kern w:val="0"/>
          <w:sz w:val="22"/>
          <w:szCs w:val="20"/>
        </w:rPr>
        <w:t>生态效益方面，通过羊草人工草地建植，可显著提高盐碱地植被覆盖度，大幅度减少碱斑分布面积，增强草地固碳能力，提升草地生态系统的服务功能，进一步筑牢区域生态安全屏障，助力实现草原生态系统良性循环，生态价值突出。同时，羊草地下根茎可延伸至2米以上，能形成密集的植被网络，有效防风保湿固沙，改善区域生态环境，推动生态系统稳定性持续提升。</w:t>
      </w:r>
    </w:p>
    <w:p w14:paraId="5B2CE374">
      <w:pPr>
        <w:widowControl/>
        <w:adjustRightInd w:val="0"/>
        <w:snapToGrid w:val="0"/>
        <w:spacing w:line="360" w:lineRule="auto"/>
        <w:ind w:firstLine="440" w:firstLineChars="200"/>
        <w:rPr>
          <w:rFonts w:hint="default" w:ascii="Times New Roman" w:hAnsi="Times New Roman" w:cs="Times New Roman"/>
          <w:kern w:val="0"/>
          <w:sz w:val="22"/>
          <w:szCs w:val="20"/>
        </w:rPr>
      </w:pPr>
      <w:r>
        <w:rPr>
          <w:rFonts w:hint="default" w:ascii="Times New Roman" w:hAnsi="Times New Roman" w:cs="Times New Roman"/>
          <w:kern w:val="0"/>
          <w:sz w:val="22"/>
          <w:szCs w:val="20"/>
        </w:rPr>
        <w:t>经济效益方面，人工草地建成后，饲草产量得到大幅提升，羊草产量从修复前每公顷0.5吨以下的杂草，预期提高到2</w:t>
      </w:r>
      <w:r>
        <w:rPr>
          <w:rFonts w:hint="default" w:ascii="Times New Roman" w:hAnsi="Times New Roman" w:cs="Times New Roman"/>
          <w:kern w:val="0"/>
          <w:sz w:val="22"/>
          <w:szCs w:val="20"/>
          <w:lang w:val="en-US" w:eastAsia="zh-CN"/>
        </w:rPr>
        <w:t>吨</w:t>
      </w:r>
      <w:r>
        <w:rPr>
          <w:rFonts w:hint="default" w:ascii="Times New Roman" w:hAnsi="Times New Roman" w:cs="Times New Roman"/>
          <w:kern w:val="0"/>
          <w:sz w:val="22"/>
          <w:szCs w:val="20"/>
        </w:rPr>
        <w:t>-3.5吨，按每吨羊草1000元计算，每公顷羊草收益可达2000</w:t>
      </w:r>
      <w:r>
        <w:rPr>
          <w:rFonts w:hint="default" w:ascii="Times New Roman" w:hAnsi="Times New Roman" w:cs="Times New Roman"/>
          <w:kern w:val="0"/>
          <w:sz w:val="22"/>
          <w:szCs w:val="20"/>
          <w:lang w:val="en-US" w:eastAsia="zh-CN"/>
        </w:rPr>
        <w:t>元</w:t>
      </w:r>
      <w:r>
        <w:rPr>
          <w:rFonts w:hint="default" w:ascii="Times New Roman" w:hAnsi="Times New Roman" w:cs="Times New Roman"/>
          <w:bCs/>
          <w:sz w:val="24"/>
          <w:szCs w:val="24"/>
        </w:rPr>
        <w:t>～</w:t>
      </w:r>
      <w:r>
        <w:rPr>
          <w:rFonts w:hint="default" w:ascii="Times New Roman" w:hAnsi="Times New Roman" w:cs="Times New Roman"/>
          <w:kern w:val="0"/>
          <w:sz w:val="22"/>
          <w:szCs w:val="20"/>
        </w:rPr>
        <w:t>3500元，若按3万公顷人工草地面积计算，年收益高达0.6</w:t>
      </w:r>
      <w:r>
        <w:rPr>
          <w:rFonts w:hint="default" w:ascii="Times New Roman" w:hAnsi="Times New Roman" w:cs="Times New Roman"/>
          <w:kern w:val="0"/>
          <w:sz w:val="22"/>
          <w:szCs w:val="20"/>
          <w:lang w:val="en-US" w:eastAsia="zh-CN"/>
        </w:rPr>
        <w:t>亿元</w:t>
      </w:r>
      <w:r>
        <w:rPr>
          <w:rFonts w:hint="default" w:ascii="Times New Roman" w:hAnsi="Times New Roman" w:cs="Times New Roman"/>
          <w:bCs/>
          <w:sz w:val="24"/>
          <w:szCs w:val="24"/>
        </w:rPr>
        <w:t>～</w:t>
      </w:r>
      <w:r>
        <w:rPr>
          <w:rFonts w:hint="default" w:ascii="Times New Roman" w:hAnsi="Times New Roman" w:cs="Times New Roman"/>
          <w:kern w:val="0"/>
          <w:sz w:val="22"/>
          <w:szCs w:val="20"/>
        </w:rPr>
        <w:t>1.1亿元；同时，羊草种子产量可达每公顷300公斤，按每公斤80元计算，每公顷种子年收益为2.4万元，3万公顷种子年收益达7.2亿元。此外，羊草为多年生根茎型禾草，一次性种植和投入可实现多年受益，有效降低后续投入成本，进一步提升经济效益，同时还能缓解国内优质羊草种源短缺难题，推动草种业发展。</w:t>
      </w:r>
    </w:p>
    <w:p w14:paraId="3E45186A">
      <w:pPr>
        <w:widowControl/>
        <w:adjustRightInd w:val="0"/>
        <w:snapToGrid w:val="0"/>
        <w:spacing w:line="360" w:lineRule="auto"/>
        <w:ind w:firstLine="440" w:firstLineChars="200"/>
        <w:rPr>
          <w:rFonts w:hint="default" w:ascii="Times New Roman" w:hAnsi="Times New Roman" w:cs="Times New Roman"/>
          <w:kern w:val="0"/>
          <w:sz w:val="22"/>
          <w:szCs w:val="20"/>
        </w:rPr>
      </w:pPr>
      <w:r>
        <w:rPr>
          <w:rFonts w:hint="default" w:ascii="Times New Roman" w:hAnsi="Times New Roman" w:cs="Times New Roman"/>
          <w:kern w:val="0"/>
          <w:sz w:val="22"/>
          <w:szCs w:val="20"/>
        </w:rPr>
        <w:t>社会效益方面，羊草人工草地建植可增加优质饲草产量、改善饲草结构，支撑牛羊养殖数量增长，推动畜牧业转型升级，带动相关产业发展，拓宽农牧民增收渠道。同时，生态环境的改善可提升区域人居环境质量，缓解草畜矛盾，促进草原地区绿色发展，推动实现生态保护与产业发展共赢，助力区域经济社会可持续发展，践行大食物观，优化居民膳食结构，具有深远的社会意义。</w:t>
      </w:r>
    </w:p>
    <w:p w14:paraId="64DA9786">
      <w:pPr>
        <w:pStyle w:val="3"/>
        <w:spacing w:before="0" w:after="0"/>
        <w:rPr>
          <w:rFonts w:hint="default" w:ascii="Times New Roman" w:hAnsi="Times New Roman" w:cs="Times New Roman"/>
          <w:sz w:val="24"/>
          <w:szCs w:val="40"/>
        </w:rPr>
      </w:pPr>
      <w:bookmarkStart w:id="5" w:name="_Toc26711"/>
      <w:r>
        <w:rPr>
          <w:rFonts w:hint="default" w:ascii="Times New Roman" w:hAnsi="Times New Roman" w:cs="Times New Roman"/>
          <w:sz w:val="24"/>
          <w:szCs w:val="40"/>
        </w:rPr>
        <w:t>二、主要工作过程</w:t>
      </w:r>
      <w:bookmarkEnd w:id="5"/>
    </w:p>
    <w:p w14:paraId="0AC27035">
      <w:pPr>
        <w:spacing w:line="360" w:lineRule="auto"/>
        <w:ind w:firstLine="440" w:firstLineChars="200"/>
        <w:rPr>
          <w:rFonts w:hint="default" w:ascii="Times New Roman" w:hAnsi="Times New Roman" w:cs="Times New Roman"/>
          <w:bCs/>
          <w:sz w:val="22"/>
          <w:szCs w:val="20"/>
        </w:rPr>
      </w:pPr>
      <w:r>
        <w:rPr>
          <w:rFonts w:hint="default" w:ascii="Times New Roman" w:hAnsi="Times New Roman" w:cs="Times New Roman"/>
          <w:bCs/>
          <w:sz w:val="22"/>
          <w:szCs w:val="20"/>
        </w:rPr>
        <w:t>1、202</w:t>
      </w:r>
      <w:r>
        <w:rPr>
          <w:rFonts w:hint="default" w:ascii="Times New Roman" w:hAnsi="Times New Roman" w:cs="Times New Roman"/>
          <w:bCs/>
          <w:sz w:val="22"/>
          <w:szCs w:val="20"/>
          <w:lang w:val="en-US" w:eastAsia="zh-CN"/>
        </w:rPr>
        <w:t>6</w:t>
      </w:r>
      <w:r>
        <w:rPr>
          <w:rFonts w:hint="default" w:ascii="Times New Roman" w:hAnsi="Times New Roman" w:cs="Times New Roman"/>
          <w:bCs/>
          <w:sz w:val="22"/>
          <w:szCs w:val="20"/>
        </w:rPr>
        <w:t>年2月：根据《关于征集202</w:t>
      </w:r>
      <w:r>
        <w:rPr>
          <w:rFonts w:hint="default" w:ascii="Times New Roman" w:hAnsi="Times New Roman" w:cs="Times New Roman"/>
          <w:bCs/>
          <w:sz w:val="22"/>
          <w:szCs w:val="20"/>
          <w:lang w:val="en-US" w:eastAsia="zh-CN"/>
        </w:rPr>
        <w:t>6</w:t>
      </w:r>
      <w:r>
        <w:rPr>
          <w:rFonts w:hint="default" w:ascii="Times New Roman" w:hAnsi="Times New Roman" w:cs="Times New Roman"/>
          <w:bCs/>
          <w:sz w:val="22"/>
          <w:szCs w:val="20"/>
        </w:rPr>
        <w:t>年北京华夏草业产业技术创新战略联盟团体标准制定项目的通知》中相关要求，</w:t>
      </w:r>
      <w:r>
        <w:rPr>
          <w:rFonts w:hint="default" w:ascii="Times New Roman" w:hAnsi="Times New Roman" w:cs="Times New Roman"/>
          <w:bCs/>
          <w:sz w:val="22"/>
          <w:szCs w:val="20"/>
          <w:lang w:val="en-US" w:eastAsia="zh-CN"/>
        </w:rPr>
        <w:t>中国科学院东北地理与农业生态研究所</w:t>
      </w:r>
      <w:r>
        <w:rPr>
          <w:rFonts w:hint="default" w:ascii="Times New Roman" w:hAnsi="Times New Roman" w:cs="Times New Roman"/>
          <w:bCs/>
          <w:sz w:val="22"/>
          <w:szCs w:val="20"/>
        </w:rPr>
        <w:t>牵头，</w:t>
      </w:r>
      <w:r>
        <w:rPr>
          <w:rFonts w:hint="default" w:ascii="Times New Roman" w:hAnsi="Times New Roman" w:cs="Times New Roman"/>
          <w:bCs/>
          <w:sz w:val="22"/>
          <w:szCs w:val="20"/>
          <w:lang w:val="en-US" w:eastAsia="zh-CN"/>
        </w:rPr>
        <w:t>联合内蒙古自治区生物育种技术创新中心、白城市畜牧科学研究院，</w:t>
      </w:r>
      <w:r>
        <w:rPr>
          <w:rFonts w:hint="default" w:ascii="Times New Roman" w:hAnsi="Times New Roman" w:cs="Times New Roman"/>
          <w:bCs/>
          <w:sz w:val="22"/>
          <w:szCs w:val="20"/>
        </w:rPr>
        <w:t>组织相关人员认真学习标准化工作导则及相关文件，认真总结课题组的已有成果，讨论决定并提交“松嫩平原盐碱化草地羊草建植技术规程”团体标准的制修订项目建议书和标准草案至北京华夏草业产业技术创新战略联盟秘书处，申请立项。</w:t>
      </w:r>
    </w:p>
    <w:p w14:paraId="27EAC960">
      <w:pPr>
        <w:spacing w:line="360" w:lineRule="auto"/>
        <w:ind w:firstLine="440" w:firstLineChars="200"/>
        <w:rPr>
          <w:rFonts w:hint="default" w:ascii="Times New Roman" w:hAnsi="Times New Roman" w:cs="Times New Roman"/>
          <w:bCs/>
          <w:sz w:val="22"/>
          <w:szCs w:val="20"/>
        </w:rPr>
      </w:pPr>
      <w:r>
        <w:rPr>
          <w:rFonts w:hint="default" w:ascii="Times New Roman" w:hAnsi="Times New Roman" w:cs="Times New Roman"/>
          <w:bCs/>
          <w:sz w:val="22"/>
          <w:szCs w:val="20"/>
        </w:rPr>
        <w:t>2、202</w:t>
      </w:r>
      <w:r>
        <w:rPr>
          <w:rFonts w:hint="default" w:ascii="Times New Roman" w:hAnsi="Times New Roman" w:cs="Times New Roman"/>
          <w:bCs/>
          <w:sz w:val="22"/>
          <w:szCs w:val="20"/>
          <w:lang w:val="en-US" w:eastAsia="zh-CN"/>
        </w:rPr>
        <w:t>6</w:t>
      </w:r>
      <w:r>
        <w:rPr>
          <w:rFonts w:hint="default" w:ascii="Times New Roman" w:hAnsi="Times New Roman" w:cs="Times New Roman"/>
          <w:bCs/>
          <w:sz w:val="22"/>
          <w:szCs w:val="20"/>
        </w:rPr>
        <w:t>年3-4月：北京华夏草业产业技术创新战略联盟组织召开团体标准评审会，并于4月2</w:t>
      </w:r>
      <w:r>
        <w:rPr>
          <w:rFonts w:hint="default" w:ascii="Times New Roman" w:hAnsi="Times New Roman" w:cs="Times New Roman"/>
          <w:bCs/>
          <w:sz w:val="22"/>
          <w:szCs w:val="20"/>
          <w:lang w:val="en-US" w:eastAsia="zh-CN"/>
        </w:rPr>
        <w:t>8</w:t>
      </w:r>
      <w:r>
        <w:rPr>
          <w:rFonts w:hint="default" w:ascii="Times New Roman" w:hAnsi="Times New Roman" w:cs="Times New Roman"/>
          <w:bCs/>
          <w:sz w:val="22"/>
          <w:szCs w:val="20"/>
        </w:rPr>
        <w:t>日发布《北京华夏草业产业技术创新战略联盟关于202</w:t>
      </w:r>
      <w:r>
        <w:rPr>
          <w:rFonts w:hint="default" w:ascii="Times New Roman" w:hAnsi="Times New Roman" w:cs="Times New Roman"/>
          <w:bCs/>
          <w:sz w:val="22"/>
          <w:szCs w:val="20"/>
          <w:lang w:val="en-US" w:eastAsia="zh-CN"/>
        </w:rPr>
        <w:t>6</w:t>
      </w:r>
      <w:r>
        <w:rPr>
          <w:rFonts w:hint="default" w:ascii="Times New Roman" w:hAnsi="Times New Roman" w:cs="Times New Roman"/>
          <w:bCs/>
          <w:sz w:val="22"/>
          <w:szCs w:val="20"/>
        </w:rPr>
        <w:t xml:space="preserve">年第二批团体标准立项的通知》，同意立项。 </w:t>
      </w:r>
    </w:p>
    <w:p w14:paraId="2A98CE91">
      <w:pPr>
        <w:spacing w:line="360" w:lineRule="auto"/>
        <w:ind w:firstLine="440" w:firstLineChars="200"/>
        <w:rPr>
          <w:rFonts w:hint="default" w:ascii="Times New Roman" w:hAnsi="Times New Roman" w:cs="Times New Roman"/>
          <w:bCs/>
          <w:sz w:val="22"/>
          <w:szCs w:val="20"/>
        </w:rPr>
      </w:pPr>
      <w:r>
        <w:rPr>
          <w:rFonts w:hint="default" w:ascii="Times New Roman" w:hAnsi="Times New Roman" w:cs="Times New Roman"/>
          <w:bCs/>
          <w:sz w:val="22"/>
          <w:szCs w:val="20"/>
        </w:rPr>
        <w:t>3、202</w:t>
      </w:r>
      <w:r>
        <w:rPr>
          <w:rFonts w:hint="default" w:ascii="Times New Roman" w:hAnsi="Times New Roman" w:cs="Times New Roman"/>
          <w:bCs/>
          <w:sz w:val="22"/>
          <w:szCs w:val="20"/>
          <w:lang w:val="en-US" w:eastAsia="zh-CN"/>
        </w:rPr>
        <w:t>6</w:t>
      </w:r>
      <w:r>
        <w:rPr>
          <w:rFonts w:hint="default" w:ascii="Times New Roman" w:hAnsi="Times New Roman" w:cs="Times New Roman"/>
          <w:bCs/>
          <w:sz w:val="22"/>
          <w:szCs w:val="20"/>
        </w:rPr>
        <w:t>年4-5月：标准起草小组在总结了松嫩</w:t>
      </w:r>
      <w:r>
        <w:rPr>
          <w:rFonts w:hint="default" w:ascii="Times New Roman" w:hAnsi="Times New Roman" w:cs="Times New Roman"/>
          <w:bCs/>
          <w:sz w:val="22"/>
          <w:szCs w:val="20"/>
          <w:lang w:val="en-US" w:eastAsia="zh-CN"/>
        </w:rPr>
        <w:t>平原盐碱地</w:t>
      </w:r>
      <w:r>
        <w:rPr>
          <w:rFonts w:hint="default" w:ascii="Times New Roman" w:hAnsi="Times New Roman" w:cs="Times New Roman"/>
          <w:bCs/>
          <w:sz w:val="22"/>
          <w:szCs w:val="20"/>
        </w:rPr>
        <w:t>多年</w:t>
      </w:r>
      <w:r>
        <w:rPr>
          <w:rFonts w:hint="default" w:ascii="Times New Roman" w:hAnsi="Times New Roman" w:cs="Times New Roman"/>
          <w:bCs/>
          <w:sz w:val="22"/>
          <w:szCs w:val="20"/>
          <w:lang w:val="en-US" w:eastAsia="zh-CN"/>
        </w:rPr>
        <w:t>羊草建植</w:t>
      </w:r>
      <w:r>
        <w:rPr>
          <w:rFonts w:hint="default" w:ascii="Times New Roman" w:hAnsi="Times New Roman" w:cs="Times New Roman"/>
          <w:bCs/>
          <w:sz w:val="22"/>
          <w:szCs w:val="20"/>
        </w:rPr>
        <w:t>实验数据的基础上，结合收集整理、梳理归纳和总结分析相关</w:t>
      </w:r>
      <w:r>
        <w:rPr>
          <w:rFonts w:hint="default" w:ascii="Times New Roman" w:hAnsi="Times New Roman" w:cs="Times New Roman"/>
          <w:bCs/>
          <w:sz w:val="22"/>
          <w:szCs w:val="20"/>
          <w:lang w:val="en-US" w:eastAsia="zh-CN"/>
        </w:rPr>
        <w:t>盐碱地羊草草地建植</w:t>
      </w:r>
      <w:r>
        <w:rPr>
          <w:rFonts w:hint="default" w:ascii="Times New Roman" w:hAnsi="Times New Roman" w:cs="Times New Roman"/>
          <w:bCs/>
          <w:sz w:val="22"/>
          <w:szCs w:val="20"/>
        </w:rPr>
        <w:t>技术方面的文献资料，完成“松嫩平原盐碱地羊草草地建植技术规程”团体标准和编制说明征求意见稿，提交至北京华夏草业产业技术创新战略联盟秘书处。</w:t>
      </w:r>
    </w:p>
    <w:p w14:paraId="10ADADFA">
      <w:pPr>
        <w:spacing w:line="360" w:lineRule="auto"/>
        <w:ind w:firstLine="440" w:firstLineChars="200"/>
        <w:rPr>
          <w:rFonts w:hint="default" w:ascii="Times New Roman" w:hAnsi="Times New Roman" w:cs="Times New Roman"/>
          <w:bCs/>
          <w:sz w:val="22"/>
          <w:szCs w:val="20"/>
        </w:rPr>
      </w:pPr>
      <w:r>
        <w:rPr>
          <w:rFonts w:hint="default" w:ascii="Times New Roman" w:hAnsi="Times New Roman" w:cs="Times New Roman"/>
          <w:bCs/>
          <w:sz w:val="22"/>
          <w:szCs w:val="20"/>
        </w:rPr>
        <w:t>由北京华夏草业产业技术创新战略联盟组织国内相关专家对《松嫩平原盐碱地羊草草地建植技术规程》征求意见稿及编制说明进行会议评审。</w:t>
      </w:r>
    </w:p>
    <w:p w14:paraId="71F810C8">
      <w:pPr>
        <w:pStyle w:val="3"/>
        <w:spacing w:before="0" w:after="0"/>
        <w:rPr>
          <w:rFonts w:hint="default" w:ascii="Times New Roman" w:hAnsi="Times New Roman" w:cs="Times New Roman"/>
          <w:sz w:val="24"/>
          <w:szCs w:val="40"/>
        </w:rPr>
      </w:pPr>
      <w:bookmarkStart w:id="6" w:name="_Toc4936"/>
      <w:r>
        <w:rPr>
          <w:rFonts w:hint="default" w:ascii="Times New Roman" w:hAnsi="Times New Roman" w:cs="Times New Roman"/>
          <w:sz w:val="24"/>
          <w:szCs w:val="40"/>
        </w:rPr>
        <w:t>三、标准编制原则和主要技术内容确定的依据</w:t>
      </w:r>
      <w:bookmarkEnd w:id="6"/>
    </w:p>
    <w:p w14:paraId="54A8B500">
      <w:pPr>
        <w:pStyle w:val="4"/>
        <w:spacing w:before="0" w:after="0"/>
        <w:rPr>
          <w:rFonts w:hint="default" w:ascii="Times New Roman" w:hAnsi="Times New Roman" w:cs="Times New Roman"/>
          <w:sz w:val="22"/>
          <w:szCs w:val="28"/>
        </w:rPr>
      </w:pPr>
      <w:bookmarkStart w:id="7" w:name="_Toc24998"/>
      <w:r>
        <w:rPr>
          <w:rFonts w:hint="default" w:ascii="Times New Roman" w:hAnsi="Times New Roman" w:cs="Times New Roman"/>
          <w:sz w:val="22"/>
          <w:szCs w:val="28"/>
        </w:rPr>
        <w:t>1、标准编制原则</w:t>
      </w:r>
      <w:bookmarkEnd w:id="7"/>
    </w:p>
    <w:p w14:paraId="6734B403">
      <w:pPr>
        <w:spacing w:line="360" w:lineRule="auto"/>
        <w:ind w:firstLine="440" w:firstLineChars="200"/>
        <w:rPr>
          <w:rFonts w:hint="default" w:ascii="Times New Roman" w:hAnsi="Times New Roman" w:cs="Times New Roman"/>
          <w:sz w:val="22"/>
          <w:szCs w:val="20"/>
        </w:rPr>
      </w:pPr>
      <w:r>
        <w:rPr>
          <w:rFonts w:hint="default" w:ascii="Times New Roman" w:hAnsi="Times New Roman" w:cs="Times New Roman"/>
          <w:bCs/>
          <w:sz w:val="22"/>
          <w:szCs w:val="20"/>
        </w:rPr>
        <w:t>按照GB/T 1.1</w:t>
      </w:r>
      <w:r>
        <w:rPr>
          <w:rFonts w:hint="default" w:ascii="Times New Roman" w:hAnsi="Times New Roman" w:cs="Times New Roman"/>
        </w:rPr>
        <w:t>—</w:t>
      </w:r>
      <w:r>
        <w:rPr>
          <w:rFonts w:hint="default" w:ascii="Times New Roman" w:hAnsi="Times New Roman" w:cs="Times New Roman"/>
          <w:bCs/>
          <w:sz w:val="22"/>
          <w:szCs w:val="20"/>
        </w:rPr>
        <w:t>2020《标准化工作导则 第1部分：标准化文件的结构和起草规则》的要求和规定编写本标准内容。</w:t>
      </w:r>
      <w:r>
        <w:rPr>
          <w:rFonts w:hint="default" w:ascii="Times New Roman" w:hAnsi="Times New Roman" w:cs="Times New Roman"/>
          <w:bCs/>
          <w:color w:val="000000"/>
          <w:sz w:val="22"/>
          <w:szCs w:val="20"/>
        </w:rPr>
        <w:t>本标准制定过程中，始终遵循密切联系生产实践，确保标准具有较强的科学性、可操作性，坚持促进行业规范发展的基本原则，</w:t>
      </w:r>
      <w:r>
        <w:rPr>
          <w:rFonts w:hint="default" w:ascii="Times New Roman" w:hAnsi="Times New Roman" w:cs="Times New Roman"/>
          <w:sz w:val="22"/>
          <w:szCs w:val="20"/>
        </w:rPr>
        <w:t>以科学性、实用性、先进性作为编制标准的指导思想，在文字结构上力求严谨、简洁、科学；在技术内容上力求覆盖松嫩平原盐碱地羊草草地建植技术规程的关键环节。</w:t>
      </w:r>
    </w:p>
    <w:p w14:paraId="6BEAD052">
      <w:pPr>
        <w:spacing w:line="360" w:lineRule="auto"/>
        <w:ind w:firstLine="440" w:firstLineChars="200"/>
        <w:rPr>
          <w:rFonts w:hint="default" w:ascii="Times New Roman" w:hAnsi="Times New Roman" w:cs="Times New Roman"/>
          <w:bCs/>
          <w:color w:val="000000"/>
          <w:sz w:val="22"/>
          <w:szCs w:val="20"/>
        </w:rPr>
      </w:pPr>
      <w:r>
        <w:rPr>
          <w:rFonts w:hint="default" w:ascii="Times New Roman" w:hAnsi="Times New Roman" w:cs="Times New Roman"/>
          <w:sz w:val="22"/>
          <w:szCs w:val="20"/>
        </w:rPr>
        <w:t>制定过程中除了认真总结</w:t>
      </w:r>
      <w:r>
        <w:rPr>
          <w:rFonts w:hint="default" w:ascii="Times New Roman" w:hAnsi="Times New Roman" w:cs="Times New Roman"/>
          <w:sz w:val="22"/>
          <w:szCs w:val="20"/>
          <w:lang w:val="en-US" w:eastAsia="zh-CN"/>
        </w:rPr>
        <w:t>多年来的实验研究结果外，还参阅和汲取了国内相关标准的经验和条款，</w:t>
      </w:r>
      <w:r>
        <w:rPr>
          <w:rFonts w:hint="default" w:ascii="Times New Roman" w:hAnsi="Times New Roman" w:cs="Times New Roman"/>
          <w:sz w:val="22"/>
          <w:szCs w:val="20"/>
        </w:rPr>
        <w:t>符合</w:t>
      </w:r>
      <w:r>
        <w:rPr>
          <w:rFonts w:hint="default" w:ascii="Times New Roman" w:hAnsi="Times New Roman" w:cs="Times New Roman"/>
          <w:sz w:val="22"/>
          <w:szCs w:val="20"/>
          <w:lang w:val="en-US" w:eastAsia="zh-CN"/>
        </w:rPr>
        <w:t>松嫩平原盐碱地羊草草地建植方法的</w:t>
      </w:r>
      <w:r>
        <w:rPr>
          <w:rFonts w:hint="default" w:ascii="Times New Roman" w:hAnsi="Times New Roman" w:cs="Times New Roman"/>
          <w:sz w:val="22"/>
          <w:szCs w:val="20"/>
        </w:rPr>
        <w:t>生产实际，达到内容全面、技术含量高、操作性强的要求。</w:t>
      </w:r>
      <w:r>
        <w:rPr>
          <w:rFonts w:hint="default" w:ascii="Times New Roman" w:hAnsi="Times New Roman" w:cs="Times New Roman"/>
          <w:bCs/>
          <w:color w:val="000000"/>
          <w:sz w:val="22"/>
          <w:szCs w:val="20"/>
        </w:rPr>
        <w:t>该标准与现行法律法规无冲突，并保证了对该标准最新版本的引用。</w:t>
      </w:r>
    </w:p>
    <w:p w14:paraId="2A46D5F2">
      <w:pPr>
        <w:pStyle w:val="4"/>
        <w:spacing w:before="0" w:after="0"/>
        <w:rPr>
          <w:rFonts w:hint="default" w:ascii="Times New Roman" w:hAnsi="Times New Roman" w:eastAsia="宋体" w:cs="Times New Roman"/>
          <w:sz w:val="16"/>
          <w:szCs w:val="16"/>
        </w:rPr>
      </w:pPr>
      <w:bookmarkStart w:id="8" w:name="_Toc28074"/>
      <w:r>
        <w:rPr>
          <w:rFonts w:hint="default" w:ascii="Times New Roman" w:hAnsi="Times New Roman" w:cs="Times New Roman"/>
          <w:sz w:val="22"/>
          <w:szCs w:val="28"/>
        </w:rPr>
        <w:t>2、主要技术内容确定的论据</w:t>
      </w:r>
      <w:bookmarkEnd w:id="8"/>
      <w:r>
        <w:rPr>
          <w:rFonts w:hint="default" w:ascii="Times New Roman" w:hAnsi="Times New Roman" w:cs="Times New Roman"/>
          <w:sz w:val="22"/>
          <w:szCs w:val="28"/>
        </w:rPr>
        <w:t xml:space="preserve"> </w:t>
      </w:r>
    </w:p>
    <w:p w14:paraId="7A8A7E00">
      <w:pPr>
        <w:numPr>
          <w:ilvl w:val="0"/>
          <w:numId w:val="1"/>
        </w:numPr>
        <w:spacing w:line="360" w:lineRule="auto"/>
        <w:rPr>
          <w:rFonts w:hint="default" w:ascii="Times New Roman" w:hAnsi="Times New Roman" w:cs="Times New Roman"/>
          <w:b/>
          <w:color w:val="000000"/>
          <w:sz w:val="22"/>
          <w:szCs w:val="20"/>
        </w:rPr>
      </w:pPr>
      <w:r>
        <w:rPr>
          <w:rFonts w:hint="default" w:ascii="Times New Roman" w:hAnsi="Times New Roman" w:cs="Times New Roman"/>
          <w:b/>
          <w:color w:val="000000"/>
          <w:sz w:val="22"/>
          <w:szCs w:val="20"/>
        </w:rPr>
        <w:t>适用范围</w:t>
      </w:r>
    </w:p>
    <w:p w14:paraId="3FD58D36">
      <w:pPr>
        <w:spacing w:line="360" w:lineRule="auto"/>
        <w:ind w:firstLine="440" w:firstLineChars="200"/>
        <w:rPr>
          <w:rFonts w:hint="default" w:ascii="Times New Roman" w:hAnsi="Times New Roman" w:cs="Times New Roman"/>
          <w:sz w:val="22"/>
          <w:szCs w:val="20"/>
          <w:lang w:val="en-US" w:eastAsia="zh-CN"/>
        </w:rPr>
      </w:pPr>
      <w:r>
        <w:rPr>
          <w:rFonts w:hint="default" w:ascii="Times New Roman" w:hAnsi="Times New Roman" w:cs="Times New Roman"/>
          <w:sz w:val="22"/>
          <w:szCs w:val="20"/>
        </w:rPr>
        <w:t>本标准</w:t>
      </w:r>
      <w:r>
        <w:rPr>
          <w:rFonts w:hint="default" w:ascii="Times New Roman" w:hAnsi="Times New Roman" w:cs="Times New Roman"/>
          <w:sz w:val="22"/>
          <w:szCs w:val="20"/>
          <w:lang w:val="en-US" w:eastAsia="zh-CN"/>
        </w:rPr>
        <w:t>规定了松嫩平原盐碱地羊草草地建植的地块选择、苏打盐碱地和羊草草地退化精准分级改良、种子和幼苗预处理、种子播种和幼苗移栽操作方法、田间管理及草地复壮、生产利用、推荐使用的羊草品种等技术内容。本标准适用于在松嫩平原不同分级盐碱地建植羊草草地。</w:t>
      </w:r>
    </w:p>
    <w:p w14:paraId="52005B57">
      <w:pPr>
        <w:numPr>
          <w:ilvl w:val="0"/>
          <w:numId w:val="1"/>
        </w:numPr>
        <w:spacing w:line="360" w:lineRule="auto"/>
        <w:rPr>
          <w:rFonts w:hint="default" w:ascii="Times New Roman" w:hAnsi="Times New Roman" w:cs="Times New Roman"/>
          <w:b/>
          <w:color w:val="000000"/>
          <w:sz w:val="22"/>
          <w:szCs w:val="20"/>
        </w:rPr>
      </w:pPr>
      <w:r>
        <w:rPr>
          <w:rFonts w:hint="default" w:ascii="Times New Roman" w:hAnsi="Times New Roman" w:cs="Times New Roman"/>
          <w:b/>
          <w:color w:val="000000"/>
          <w:sz w:val="22"/>
          <w:szCs w:val="20"/>
        </w:rPr>
        <w:t>规范性引用文件</w:t>
      </w:r>
    </w:p>
    <w:p w14:paraId="72BD0792">
      <w:pPr>
        <w:spacing w:line="360" w:lineRule="auto"/>
        <w:ind w:firstLine="440" w:firstLineChars="200"/>
        <w:rPr>
          <w:rFonts w:hint="default" w:ascii="Times New Roman" w:hAnsi="Times New Roman" w:cs="Times New Roman"/>
          <w:sz w:val="22"/>
          <w:szCs w:val="20"/>
        </w:rPr>
      </w:pPr>
      <w:r>
        <w:rPr>
          <w:rFonts w:hint="default" w:ascii="Times New Roman" w:hAnsi="Times New Roman" w:cs="Times New Roman"/>
          <w:sz w:val="22"/>
          <w:szCs w:val="20"/>
        </w:rPr>
        <w:t>本标准制定时，参照了GB 6142 禾本科草种子质量分级</w:t>
      </w:r>
      <w:r>
        <w:rPr>
          <w:rFonts w:hint="default" w:ascii="Times New Roman" w:hAnsi="Times New Roman" w:cs="Times New Roman"/>
          <w:sz w:val="22"/>
          <w:szCs w:val="20"/>
          <w:lang w:eastAsia="zh-CN"/>
        </w:rPr>
        <w:t>，</w:t>
      </w:r>
      <w:r>
        <w:rPr>
          <w:rFonts w:hint="default" w:ascii="Times New Roman" w:hAnsi="Times New Roman" w:cs="Times New Roman"/>
          <w:sz w:val="22"/>
          <w:szCs w:val="20"/>
        </w:rPr>
        <w:t>GB 15618 土壤环境质量 农用地土壤污染风险管控标准（试行）</w:t>
      </w:r>
      <w:r>
        <w:rPr>
          <w:rFonts w:hint="default" w:ascii="Times New Roman" w:hAnsi="Times New Roman" w:cs="Times New Roman"/>
          <w:sz w:val="22"/>
          <w:szCs w:val="20"/>
          <w:lang w:eastAsia="zh-CN"/>
        </w:rPr>
        <w:t>，</w:t>
      </w:r>
      <w:r>
        <w:rPr>
          <w:rFonts w:hint="default" w:ascii="Times New Roman" w:hAnsi="Times New Roman" w:cs="Times New Roman"/>
          <w:sz w:val="22"/>
          <w:szCs w:val="20"/>
        </w:rPr>
        <w:t>NY/T 1121 土壤检测</w:t>
      </w:r>
      <w:r>
        <w:rPr>
          <w:rFonts w:hint="default" w:ascii="Times New Roman" w:hAnsi="Times New Roman" w:cs="Times New Roman"/>
          <w:sz w:val="22"/>
          <w:szCs w:val="20"/>
          <w:lang w:eastAsia="zh-CN"/>
        </w:rPr>
        <w:t>，</w:t>
      </w:r>
      <w:r>
        <w:rPr>
          <w:rFonts w:hint="default" w:ascii="Times New Roman" w:hAnsi="Times New Roman" w:cs="Times New Roman"/>
          <w:sz w:val="22"/>
          <w:szCs w:val="20"/>
        </w:rPr>
        <w:t>NY/T 1276 农药安全使用规范 总则</w:t>
      </w:r>
      <w:r>
        <w:rPr>
          <w:rFonts w:hint="default" w:ascii="Times New Roman" w:hAnsi="Times New Roman" w:cs="Times New Roman"/>
          <w:sz w:val="22"/>
          <w:szCs w:val="20"/>
          <w:lang w:eastAsia="zh-CN"/>
        </w:rPr>
        <w:t>，</w:t>
      </w:r>
      <w:r>
        <w:rPr>
          <w:rFonts w:hint="default" w:ascii="Times New Roman" w:hAnsi="Times New Roman" w:cs="Times New Roman"/>
          <w:sz w:val="22"/>
          <w:szCs w:val="20"/>
        </w:rPr>
        <w:t>NY/T 1343 草原划区轮牧技术规程</w:t>
      </w:r>
      <w:r>
        <w:rPr>
          <w:rFonts w:hint="default" w:ascii="Times New Roman" w:hAnsi="Times New Roman" w:cs="Times New Roman"/>
          <w:sz w:val="22"/>
          <w:szCs w:val="20"/>
          <w:lang w:eastAsia="zh-CN"/>
        </w:rPr>
        <w:t>，</w:t>
      </w:r>
      <w:r>
        <w:rPr>
          <w:rFonts w:hint="default" w:ascii="Times New Roman" w:hAnsi="Times New Roman" w:cs="Times New Roman"/>
          <w:sz w:val="22"/>
          <w:szCs w:val="20"/>
        </w:rPr>
        <w:t>LY/T 1249 土壤碱化度的计算</w:t>
      </w:r>
      <w:r>
        <w:rPr>
          <w:rFonts w:hint="default" w:ascii="Times New Roman" w:hAnsi="Times New Roman" w:cs="Times New Roman"/>
          <w:sz w:val="22"/>
          <w:szCs w:val="20"/>
          <w:lang w:eastAsia="zh-CN"/>
        </w:rPr>
        <w:t>，</w:t>
      </w:r>
      <w:r>
        <w:rPr>
          <w:rFonts w:hint="default" w:ascii="Times New Roman" w:hAnsi="Times New Roman" w:cs="Times New Roman"/>
          <w:sz w:val="22"/>
          <w:szCs w:val="20"/>
        </w:rPr>
        <w:t>DB15/T 312 机械化耕地作业技术规范</w:t>
      </w:r>
      <w:r>
        <w:rPr>
          <w:rFonts w:hint="default" w:ascii="Times New Roman" w:hAnsi="Times New Roman" w:cs="Times New Roman"/>
          <w:sz w:val="22"/>
          <w:szCs w:val="20"/>
          <w:lang w:eastAsia="zh-CN"/>
        </w:rPr>
        <w:t>，</w:t>
      </w:r>
      <w:r>
        <w:rPr>
          <w:rFonts w:hint="default" w:ascii="Times New Roman" w:hAnsi="Times New Roman" w:cs="Times New Roman"/>
          <w:sz w:val="22"/>
          <w:szCs w:val="20"/>
        </w:rPr>
        <w:t>DB15/T 4134 苏打盐碱地综合改良与利用技术规程</w:t>
      </w:r>
      <w:r>
        <w:rPr>
          <w:rFonts w:hint="default" w:ascii="Times New Roman" w:hAnsi="Times New Roman" w:cs="Times New Roman"/>
          <w:sz w:val="22"/>
          <w:szCs w:val="20"/>
          <w:lang w:eastAsia="zh-CN"/>
        </w:rPr>
        <w:t>，</w:t>
      </w:r>
      <w:r>
        <w:rPr>
          <w:rFonts w:hint="default" w:ascii="Times New Roman" w:hAnsi="Times New Roman" w:cs="Times New Roman"/>
          <w:sz w:val="22"/>
          <w:szCs w:val="20"/>
        </w:rPr>
        <w:t>DB63/T 240 青贮饲料技术规程。</w:t>
      </w:r>
    </w:p>
    <w:p w14:paraId="58D86C9D">
      <w:pPr>
        <w:numPr>
          <w:ilvl w:val="0"/>
          <w:numId w:val="1"/>
        </w:numPr>
        <w:spacing w:line="360" w:lineRule="auto"/>
        <w:rPr>
          <w:rFonts w:hint="default" w:ascii="Times New Roman" w:hAnsi="Times New Roman" w:cs="Times New Roman"/>
          <w:b/>
          <w:color w:val="000000"/>
          <w:sz w:val="22"/>
          <w:szCs w:val="20"/>
        </w:rPr>
      </w:pPr>
      <w:r>
        <w:rPr>
          <w:rFonts w:hint="default" w:ascii="Times New Roman" w:hAnsi="Times New Roman" w:cs="Times New Roman"/>
          <w:b/>
          <w:color w:val="000000"/>
          <w:sz w:val="22"/>
          <w:szCs w:val="20"/>
        </w:rPr>
        <w:t>术语与定义</w:t>
      </w:r>
    </w:p>
    <w:p w14:paraId="01CBB78E">
      <w:pPr>
        <w:spacing w:line="360" w:lineRule="auto"/>
        <w:ind w:firstLine="440" w:firstLineChars="200"/>
        <w:rPr>
          <w:rFonts w:hint="default" w:ascii="Times New Roman" w:hAnsi="Times New Roman" w:cs="Times New Roman"/>
          <w:sz w:val="22"/>
          <w:szCs w:val="20"/>
        </w:rPr>
      </w:pPr>
      <w:r>
        <w:rPr>
          <w:rFonts w:hint="default" w:ascii="Times New Roman" w:hAnsi="Times New Roman" w:cs="Times New Roman"/>
          <w:sz w:val="22"/>
          <w:szCs w:val="20"/>
        </w:rPr>
        <w:t>本标准中出现的术语和定义依据国内外相关文献资料，同时结合标准起草单位研究应用实践经验，最后经参编人员讨论确定了本标准的术语为“苏打盐碱地、碱斑</w:t>
      </w:r>
      <w:r>
        <w:rPr>
          <w:rFonts w:hint="default" w:ascii="Times New Roman" w:hAnsi="Times New Roman" w:cs="Times New Roman"/>
          <w:sz w:val="22"/>
          <w:szCs w:val="20"/>
          <w:lang w:eastAsia="zh-CN"/>
        </w:rPr>
        <w:t>、羊草、种子休眠、苏打盐碱土壤分级、羊草草地退化等级</w:t>
      </w:r>
      <w:r>
        <w:rPr>
          <w:rFonts w:hint="default" w:ascii="Times New Roman" w:hAnsi="Times New Roman" w:cs="Times New Roman"/>
          <w:sz w:val="22"/>
          <w:szCs w:val="20"/>
        </w:rPr>
        <w:t>”，并给出相应定义。</w:t>
      </w:r>
    </w:p>
    <w:p w14:paraId="7F4D6101">
      <w:pPr>
        <w:numPr>
          <w:ilvl w:val="0"/>
          <w:numId w:val="1"/>
        </w:numPr>
        <w:spacing w:line="360" w:lineRule="auto"/>
        <w:rPr>
          <w:rFonts w:hint="default" w:ascii="Times New Roman" w:hAnsi="Times New Roman" w:cs="Times New Roman"/>
          <w:b/>
          <w:color w:val="000000"/>
          <w:sz w:val="22"/>
          <w:szCs w:val="20"/>
        </w:rPr>
      </w:pPr>
      <w:r>
        <w:rPr>
          <w:rFonts w:hint="default" w:ascii="Times New Roman" w:hAnsi="Times New Roman" w:cs="Times New Roman"/>
          <w:b/>
          <w:color w:val="000000"/>
          <w:sz w:val="22"/>
          <w:szCs w:val="20"/>
        </w:rPr>
        <w:t>主要技术指标确定的依据</w:t>
      </w:r>
    </w:p>
    <w:p w14:paraId="102BA668">
      <w:pPr>
        <w:spacing w:line="360" w:lineRule="auto"/>
        <w:ind w:firstLine="440" w:firstLineChars="200"/>
        <w:rPr>
          <w:rFonts w:hint="default" w:ascii="Times New Roman" w:hAnsi="Times New Roman" w:cs="Times New Roman"/>
          <w:szCs w:val="21"/>
          <w:lang w:val="en-US" w:eastAsia="zh-CN"/>
        </w:rPr>
      </w:pPr>
      <w:r>
        <w:rPr>
          <w:rFonts w:hint="default" w:ascii="Times New Roman" w:hAnsi="Times New Roman" w:cs="Times New Roman"/>
          <w:kern w:val="0"/>
          <w:sz w:val="22"/>
          <w:szCs w:val="20"/>
        </w:rPr>
        <w:t>本技术规程起草单位</w:t>
      </w:r>
      <w:r>
        <w:rPr>
          <w:rFonts w:hint="default" w:ascii="Times New Roman" w:hAnsi="Times New Roman" w:cs="Times New Roman"/>
          <w:kern w:val="0"/>
          <w:sz w:val="22"/>
          <w:szCs w:val="20"/>
          <w:lang w:val="en-US" w:eastAsia="zh-CN"/>
        </w:rPr>
        <w:t>中国科学院东北地理与农业生态研究所，自2013年起开展盐松嫩盐碱地草地植物恢复与功能提升研究，先后承担国家自然科学联合基金（“松嫩盐碱化草地植物多样性恢复与功能稳定性提升机制”）、重点研发项目（“草甸草原智慧修复与生态—生产功能协同提升技术及示范”、“</w:t>
      </w:r>
      <w:r>
        <w:rPr>
          <w:rFonts w:hint="default" w:ascii="Times New Roman" w:hAnsi="Times New Roman" w:cs="Times New Roman"/>
          <w:szCs w:val="21"/>
        </w:rPr>
        <w:t>东北苏打盐碱地生态治理关键技术研发与集成示范</w:t>
      </w:r>
      <w:r>
        <w:rPr>
          <w:rFonts w:hint="default" w:ascii="Times New Roman" w:hAnsi="Times New Roman" w:cs="Times New Roman"/>
          <w:kern w:val="0"/>
          <w:sz w:val="22"/>
          <w:szCs w:val="20"/>
          <w:lang w:val="en-US" w:eastAsia="zh-CN"/>
        </w:rPr>
        <w:t>”）、国家自然科学基金（“松嫩盐碱草地典型植物种子繁殖性状变异的地理格局及形成机制”）、中科院先导专项（“盐碱化草地顶级植物扩繁技术及应用”、“苏打盐碱地适生牧草品种筛选及高效建植技术研究”、“盐碱草地生产力提升与生态屏障构建模式”、“盐碱化草地顶级植物扩繁技术及应用”）等项目，获得的与本技术标准相关成果包括：发表学术论文、出版专著、编制标准、研制主推技术、培育羊草新品种、发明专利，具体如下：</w:t>
      </w:r>
    </w:p>
    <w:p w14:paraId="634A9842">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0"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1）学术论文</w:t>
      </w:r>
    </w:p>
    <w:p w14:paraId="7D7D23AA">
      <w:pPr>
        <w:pStyle w:val="15"/>
        <w:keepNext w:val="0"/>
        <w:keepLines w:val="0"/>
        <w:pageBreakBefore w:val="0"/>
        <w:widowControl/>
        <w:numPr>
          <w:ilvl w:val="0"/>
          <w:numId w:val="2"/>
        </w:numPr>
        <w:shd w:val="clear" w:color="auto" w:fill="FFFFFF"/>
        <w:kinsoku/>
        <w:wordWrap/>
        <w:overflowPunct/>
        <w:topLinePunct w:val="0"/>
        <w:autoSpaceDE/>
        <w:autoSpaceDN/>
        <w:bidi w:val="0"/>
        <w:adjustRightInd/>
        <w:snapToGrid/>
        <w:spacing w:before="0" w:beforeAutospacing="0" w:after="0" w:afterAutospacing="0" w:line="360" w:lineRule="auto"/>
        <w:ind w:left="420" w:hanging="420"/>
        <w:textAlignment w:val="auto"/>
        <w:rPr>
          <w:rFonts w:hint="default" w:ascii="Times New Roman" w:hAnsi="Times New Roman" w:eastAsia="宋体" w:cs="Times New Roman"/>
          <w:b w:val="0"/>
          <w:bCs w:val="0"/>
          <w:color w:val="333333"/>
          <w:sz w:val="22"/>
          <w:szCs w:val="22"/>
          <w:shd w:val="clear" w:color="auto" w:fill="FFFFFF"/>
        </w:rPr>
      </w:pPr>
      <w:bookmarkStart w:id="9" w:name="OLE_LINK1"/>
      <w:bookmarkStart w:id="10" w:name="_Hlk106716858"/>
      <w:bookmarkStart w:id="11" w:name="_Hlk167340256"/>
      <w:bookmarkStart w:id="12" w:name="_Hlk81921689"/>
      <w:bookmarkStart w:id="13" w:name="_Hlk91592811"/>
      <w:r>
        <w:rPr>
          <w:rFonts w:hint="default" w:ascii="Times New Roman" w:hAnsi="Times New Roman" w:eastAsia="宋体" w:cs="Times New Roman"/>
          <w:b w:val="0"/>
          <w:bCs w:val="0"/>
          <w:color w:val="333333"/>
          <w:sz w:val="22"/>
          <w:szCs w:val="22"/>
          <w:shd w:val="clear" w:color="auto" w:fill="FFFFFF"/>
        </w:rPr>
        <w:t xml:space="preserve">Hongyuan Ma*, Shaoyang Li, Dandan Zhao, Wenwen Qi, Yi Li, Yaxiao Li, Lu Xu, Mengdan Sun, Haitao Wu, Lingxue Yu, Jingyu Li, Xianming Lai, Hongling Wang, Lei Wang*. International Biological Flora: </w:t>
      </w:r>
      <w:r>
        <w:rPr>
          <w:rFonts w:hint="default" w:ascii="Times New Roman" w:hAnsi="Times New Roman" w:eastAsia="宋体" w:cs="Times New Roman"/>
          <w:b w:val="0"/>
          <w:bCs w:val="0"/>
          <w:i/>
          <w:iCs/>
          <w:color w:val="333333"/>
          <w:sz w:val="22"/>
          <w:szCs w:val="22"/>
          <w:shd w:val="clear" w:color="auto" w:fill="FFFFFF"/>
        </w:rPr>
        <w:t>Leymus chinensis</w:t>
      </w:r>
      <w:r>
        <w:rPr>
          <w:rFonts w:hint="default" w:ascii="Times New Roman" w:hAnsi="Times New Roman" w:eastAsia="宋体" w:cs="Times New Roman"/>
          <w:b w:val="0"/>
          <w:bCs w:val="0"/>
          <w:color w:val="333333"/>
          <w:sz w:val="22"/>
          <w:szCs w:val="22"/>
          <w:shd w:val="clear" w:color="auto" w:fill="FFFFFF"/>
        </w:rPr>
        <w:t>*[J]. Journal of Ecology, 2026, 114(2).</w:t>
      </w:r>
    </w:p>
    <w:p w14:paraId="1ED1D188">
      <w:pPr>
        <w:pStyle w:val="15"/>
        <w:keepNext w:val="0"/>
        <w:keepLines w:val="0"/>
        <w:pageBreakBefore w:val="0"/>
        <w:widowControl/>
        <w:numPr>
          <w:ilvl w:val="0"/>
          <w:numId w:val="2"/>
        </w:numPr>
        <w:shd w:val="clear" w:color="auto" w:fill="FFFFFF"/>
        <w:kinsoku/>
        <w:wordWrap/>
        <w:overflowPunct/>
        <w:topLinePunct w:val="0"/>
        <w:autoSpaceDE/>
        <w:autoSpaceDN/>
        <w:bidi w:val="0"/>
        <w:adjustRightInd/>
        <w:snapToGrid/>
        <w:spacing w:before="0" w:beforeAutospacing="0" w:after="0" w:afterAutospacing="0" w:line="360" w:lineRule="auto"/>
        <w:ind w:left="420" w:hanging="420"/>
        <w:textAlignment w:val="auto"/>
        <w:rPr>
          <w:rFonts w:hint="default" w:ascii="Times New Roman" w:hAnsi="Times New Roman" w:eastAsia="宋体" w:cs="Times New Roman"/>
          <w:b w:val="0"/>
          <w:bCs w:val="0"/>
          <w:color w:val="333333"/>
          <w:sz w:val="22"/>
          <w:szCs w:val="22"/>
          <w:shd w:val="clear" w:color="auto" w:fill="FFFFFF"/>
        </w:rPr>
      </w:pPr>
      <w:r>
        <w:rPr>
          <w:rFonts w:hint="default" w:ascii="Times New Roman" w:hAnsi="Times New Roman" w:eastAsia="宋体" w:cs="Times New Roman"/>
          <w:b w:val="0"/>
          <w:bCs w:val="0"/>
          <w:color w:val="333333"/>
          <w:sz w:val="22"/>
          <w:szCs w:val="22"/>
          <w:shd w:val="clear" w:color="auto" w:fill="FFFFFF"/>
        </w:rPr>
        <w:t xml:space="preserve">Chen SM, Li YX, Zhao DD*, Sun MD, Qi WW, Shi MX, Li SY, Ma HY*. Heavy ion beam-induced variation in salt tolerance among </w:t>
      </w:r>
      <w:r>
        <w:rPr>
          <w:rFonts w:hint="default" w:ascii="Times New Roman" w:hAnsi="Times New Roman" w:eastAsia="宋体" w:cs="Times New Roman"/>
          <w:b w:val="0"/>
          <w:bCs w:val="0"/>
          <w:i/>
          <w:iCs/>
          <w:color w:val="333333"/>
          <w:sz w:val="22"/>
          <w:szCs w:val="22"/>
          <w:shd w:val="clear" w:color="auto" w:fill="FFFFFF"/>
        </w:rPr>
        <w:t>Leymus chinensis</w:t>
      </w:r>
      <w:r>
        <w:rPr>
          <w:rFonts w:hint="default" w:ascii="Times New Roman" w:hAnsi="Times New Roman" w:eastAsia="宋体" w:cs="Times New Roman"/>
          <w:b w:val="0"/>
          <w:bCs w:val="0"/>
          <w:color w:val="333333"/>
          <w:sz w:val="22"/>
          <w:szCs w:val="22"/>
          <w:shd w:val="clear" w:color="auto" w:fill="FFFFFF"/>
        </w:rPr>
        <w:t xml:space="preserve"> genotypes during seed germination. Peer J. 2025.</w:t>
      </w:r>
    </w:p>
    <w:p w14:paraId="5B8DDB33">
      <w:pPr>
        <w:pStyle w:val="15"/>
        <w:keepNext w:val="0"/>
        <w:keepLines w:val="0"/>
        <w:pageBreakBefore w:val="0"/>
        <w:numPr>
          <w:ilvl w:val="0"/>
          <w:numId w:val="2"/>
        </w:numPr>
        <w:shd w:val="clear" w:color="auto" w:fill="FFFFFF"/>
        <w:kinsoku/>
        <w:wordWrap/>
        <w:overflowPunct/>
        <w:topLinePunct w:val="0"/>
        <w:autoSpaceDE/>
        <w:autoSpaceDN/>
        <w:bidi w:val="0"/>
        <w:adjustRightInd/>
        <w:snapToGrid/>
        <w:spacing w:before="0" w:beforeAutospacing="0" w:after="0" w:afterAutospacing="0" w:line="360" w:lineRule="auto"/>
        <w:ind w:left="420" w:hanging="420"/>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color w:val="333333"/>
          <w:sz w:val="22"/>
          <w:szCs w:val="22"/>
          <w:shd w:val="clear" w:color="auto" w:fill="FFFFFF"/>
        </w:rPr>
        <w:t xml:space="preserve">Zhao DD, Ma HY*, Li SY, Qi WW. Seed germination demonstrates inter-annual variations in alkaline tolerance: a case study in perennial </w:t>
      </w:r>
      <w:r>
        <w:rPr>
          <w:rFonts w:hint="default" w:ascii="Times New Roman" w:hAnsi="Times New Roman" w:eastAsia="宋体" w:cs="Times New Roman"/>
          <w:b w:val="0"/>
          <w:bCs w:val="0"/>
          <w:i/>
          <w:iCs/>
          <w:color w:val="333333"/>
          <w:sz w:val="22"/>
          <w:szCs w:val="22"/>
          <w:shd w:val="clear" w:color="auto" w:fill="FFFFFF"/>
        </w:rPr>
        <w:t>Leymus chinensis</w:t>
      </w:r>
      <w:r>
        <w:rPr>
          <w:rFonts w:hint="default" w:ascii="Times New Roman" w:hAnsi="Times New Roman" w:eastAsia="宋体" w:cs="Times New Roman"/>
          <w:b w:val="0"/>
          <w:bCs w:val="0"/>
          <w:color w:val="333333"/>
          <w:sz w:val="22"/>
          <w:szCs w:val="22"/>
          <w:shd w:val="clear" w:color="auto" w:fill="FFFFFF"/>
        </w:rPr>
        <w:t xml:space="preserve">. </w:t>
      </w:r>
      <w:r>
        <w:rPr>
          <w:rFonts w:hint="default" w:ascii="Times New Roman" w:hAnsi="Times New Roman" w:eastAsia="宋体" w:cs="Times New Roman"/>
          <w:b w:val="0"/>
          <w:bCs w:val="0"/>
          <w:i/>
          <w:iCs/>
          <w:color w:val="333333"/>
          <w:sz w:val="22"/>
          <w:szCs w:val="22"/>
          <w:shd w:val="clear" w:color="auto" w:fill="FFFFFF"/>
        </w:rPr>
        <w:t>BMC Plant Biology, 2024,</w:t>
      </w:r>
      <w:r>
        <w:rPr>
          <w:rFonts w:hint="default" w:ascii="Times New Roman" w:hAnsi="Times New Roman" w:eastAsia="宋体" w:cs="Times New Roman"/>
          <w:b w:val="0"/>
          <w:bCs w:val="0"/>
          <w:color w:val="333333"/>
          <w:sz w:val="22"/>
          <w:szCs w:val="22"/>
          <w:shd w:val="clear" w:color="auto" w:fill="FFFFFF"/>
        </w:rPr>
        <w:t xml:space="preserve"> 24, 397. </w:t>
      </w:r>
    </w:p>
    <w:p w14:paraId="01D78061">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color w:val="333333"/>
          <w:sz w:val="22"/>
          <w:szCs w:val="22"/>
          <w:shd w:val="clear" w:color="auto" w:fill="FFFFFF"/>
        </w:rPr>
        <w:t xml:space="preserve">Li YX, Ma HY*, Ni HW, Li SY, et al. Adaptation responses of different ecotypes of </w:t>
      </w:r>
      <w:r>
        <w:rPr>
          <w:rFonts w:hint="default" w:ascii="Times New Roman" w:hAnsi="Times New Roman" w:eastAsia="宋体" w:cs="Times New Roman"/>
          <w:b w:val="0"/>
          <w:bCs w:val="0"/>
          <w:i/>
          <w:iCs/>
          <w:color w:val="333333"/>
          <w:sz w:val="22"/>
          <w:szCs w:val="22"/>
          <w:shd w:val="clear" w:color="auto" w:fill="FFFFFF"/>
        </w:rPr>
        <w:t xml:space="preserve">Leymus chinensis </w:t>
      </w:r>
      <w:r>
        <w:rPr>
          <w:rFonts w:hint="default" w:ascii="Times New Roman" w:hAnsi="Times New Roman" w:eastAsia="宋体" w:cs="Times New Roman"/>
          <w:b w:val="0"/>
          <w:bCs w:val="0"/>
          <w:color w:val="333333"/>
          <w:sz w:val="22"/>
          <w:szCs w:val="22"/>
          <w:shd w:val="clear" w:color="auto" w:fill="FFFFFF"/>
        </w:rPr>
        <w:t>to saline-alkaline stress. Frontiers in Ecology and Evolution-Ecophysiology, 2024, 12:1361124.</w:t>
      </w:r>
      <w:bookmarkEnd w:id="9"/>
    </w:p>
    <w:p w14:paraId="4364C34F">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 xml:space="preserve">Xu L, Ma HY*, Wang ZC. Soil Salinity and Soil Water Content Estimation Using Digital Images in Coastal Field: a Case Study in Yancheng City of Jiangsu Province. Chin. Geogra. Sci, </w:t>
      </w:r>
      <w:bookmarkStart w:id="14" w:name="OLE_LINK12"/>
      <w:r>
        <w:rPr>
          <w:rFonts w:hint="default" w:ascii="Times New Roman" w:hAnsi="Times New Roman" w:eastAsia="宋体" w:cs="Times New Roman"/>
          <w:b w:val="0"/>
          <w:bCs w:val="0"/>
          <w:sz w:val="22"/>
          <w:szCs w:val="22"/>
        </w:rPr>
        <w:t>2022, 32(4)</w:t>
      </w:r>
      <w:bookmarkEnd w:id="14"/>
      <w:r>
        <w:rPr>
          <w:rFonts w:hint="default" w:ascii="Times New Roman" w:hAnsi="Times New Roman" w:eastAsia="宋体" w:cs="Times New Roman"/>
          <w:b w:val="0"/>
          <w:bCs w:val="0"/>
          <w:sz w:val="22"/>
          <w:szCs w:val="22"/>
        </w:rPr>
        <w:t>, 676-685. https://doi.org/10.1007/s11769-022-1293-1.</w:t>
      </w:r>
    </w:p>
    <w:bookmarkEnd w:id="10"/>
    <w:p w14:paraId="0BA57EC7">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Li SY, Ma HY*, Ooi M. Fire-related cues significantly promote seed germination of some salt-tolerant species from non-fire-prone saline-alkaline grasslands in Northeast China. 2021, Plants. 10(12), 2675. doi: 10.3390/plants10122675.</w:t>
      </w:r>
    </w:p>
    <w:p w14:paraId="66FD50F0">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 xml:space="preserve">Zhao DD, Ma HY*, Wang L, Li SY, Qi WW, Ma MY, Xia JB. Effects of Water and Nitrogen Addition on the Seed Yield and Germination Characteristics of the Perennial Grass </w:t>
      </w:r>
      <w:r>
        <w:rPr>
          <w:rFonts w:hint="default" w:ascii="Times New Roman" w:hAnsi="Times New Roman" w:eastAsia="宋体" w:cs="Times New Roman"/>
          <w:b w:val="0"/>
          <w:bCs w:val="0"/>
          <w:i/>
          <w:iCs/>
          <w:sz w:val="22"/>
          <w:szCs w:val="22"/>
        </w:rPr>
        <w:t>Leymus chinensis</w:t>
      </w:r>
      <w:r>
        <w:rPr>
          <w:rFonts w:hint="default" w:ascii="Times New Roman" w:hAnsi="Times New Roman" w:eastAsia="宋体" w:cs="Times New Roman"/>
          <w:b w:val="0"/>
          <w:bCs w:val="0"/>
          <w:sz w:val="22"/>
          <w:szCs w:val="22"/>
        </w:rPr>
        <w:t xml:space="preserve"> (Trin.) Tzvel. Front. Environ. Sci. 2021, 9:704097. doi: 10.3389/fenvs.2021.704097</w:t>
      </w:r>
    </w:p>
    <w:p w14:paraId="6774B3F0">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 xml:space="preserve">Ma MY, Ma HY*, Wang L, Qi WW, Li SY, Zhao D. Differences in the Seed Germination of </w:t>
      </w:r>
      <w:r>
        <w:rPr>
          <w:rFonts w:hint="default" w:ascii="Times New Roman" w:hAnsi="Times New Roman" w:eastAsia="宋体" w:cs="Times New Roman"/>
          <w:b w:val="0"/>
          <w:bCs w:val="0"/>
          <w:i/>
          <w:iCs/>
          <w:sz w:val="22"/>
          <w:szCs w:val="22"/>
        </w:rPr>
        <w:t>Leymus chinensis</w:t>
      </w:r>
      <w:r>
        <w:rPr>
          <w:rFonts w:hint="default" w:ascii="Times New Roman" w:hAnsi="Times New Roman" w:eastAsia="宋体" w:cs="Times New Roman"/>
          <w:b w:val="0"/>
          <w:bCs w:val="0"/>
          <w:sz w:val="22"/>
          <w:szCs w:val="22"/>
        </w:rPr>
        <w:t xml:space="preserve"> (Poaceae) Ecotypes Reveal Distinct Strategies for Coping with Salinity Stress: A Common Garden Experiment. Front. Ecol. Evol. 2021, 9:703287. doi: 10.3389/fevo.2021.703287.</w:t>
      </w:r>
      <w:bookmarkEnd w:id="11"/>
      <w:bookmarkStart w:id="15" w:name="_Hlk106717457"/>
    </w:p>
    <w:bookmarkEnd w:id="15"/>
    <w:p w14:paraId="3B1579FE">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 xml:space="preserve">Ma HY, Zhao DD, Ning QR, et al. A Multi-year Beneficial Effect of Seed Priming with Gibberellic Acid-3 (GA) on Plant Growth and Production in a Perennial Grass, </w:t>
      </w:r>
      <w:r>
        <w:rPr>
          <w:rFonts w:hint="default" w:ascii="Times New Roman" w:hAnsi="Times New Roman" w:eastAsia="宋体" w:cs="Times New Roman"/>
          <w:b w:val="0"/>
          <w:bCs w:val="0"/>
          <w:i/>
          <w:sz w:val="22"/>
          <w:szCs w:val="22"/>
        </w:rPr>
        <w:t>Leymus chinensis</w:t>
      </w:r>
      <w:r>
        <w:rPr>
          <w:rFonts w:hint="default" w:ascii="Times New Roman" w:hAnsi="Times New Roman" w:eastAsia="宋体" w:cs="Times New Roman"/>
          <w:b w:val="0"/>
          <w:bCs w:val="0"/>
          <w:sz w:val="22"/>
          <w:szCs w:val="22"/>
        </w:rPr>
        <w:t>. Scientific Reports, 2018,8: 13214.</w:t>
      </w:r>
    </w:p>
    <w:p w14:paraId="41F5CEEE">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Ma HY, Erickson T.E., Merritt D.J. Seed dormancy regulates germination response to smoke and temperature in a rhizomatous evergreen perennial, AoB Plants, 2018, DOI: 10.1093/aobpla/ply042.</w:t>
      </w:r>
    </w:p>
    <w:p w14:paraId="21D2CB43">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Ma HY, Wu H.T, Ooi MKJ. Within population variation in germination response to smoke cues: convergent recruitment strategies and different dormancy types. Plant and Soil, 2018 427(1-2): 281-290.</w:t>
      </w:r>
      <w:bookmarkEnd w:id="12"/>
    </w:p>
    <w:p w14:paraId="2ECC935F">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 xml:space="preserve">Ma HY, Yang HY, Lv XT, Pan YP, Wu HT, Liang ZW, Ooi MKJ. Does high pH give a reliable assessment of the effect of alkaline soil on seed germination? A case study with </w:t>
      </w:r>
      <w:r>
        <w:rPr>
          <w:rFonts w:hint="default" w:ascii="Times New Roman" w:hAnsi="Times New Roman" w:eastAsia="宋体" w:cs="Times New Roman"/>
          <w:b w:val="0"/>
          <w:bCs w:val="0"/>
          <w:i/>
          <w:sz w:val="22"/>
          <w:szCs w:val="22"/>
        </w:rPr>
        <w:t>Leymus chinensis</w:t>
      </w:r>
      <w:r>
        <w:rPr>
          <w:rFonts w:hint="default" w:ascii="Times New Roman" w:hAnsi="Times New Roman" w:eastAsia="宋体" w:cs="Times New Roman"/>
          <w:b w:val="0"/>
          <w:bCs w:val="0"/>
          <w:sz w:val="22"/>
          <w:szCs w:val="22"/>
        </w:rPr>
        <w:t xml:space="preserve"> (Poaceae). Plant and Soil, 2015, 394(1):35-43. </w:t>
      </w:r>
    </w:p>
    <w:p w14:paraId="793E68AB">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 xml:space="preserve">Ma HY, Liang Z.W., Liu M., Wang, M.M., Wang, S.H. Mechanism of the glumes in inhibiting seed germination of </w:t>
      </w:r>
      <w:r>
        <w:rPr>
          <w:rFonts w:hint="default" w:ascii="Times New Roman" w:hAnsi="Times New Roman" w:eastAsia="宋体" w:cs="Times New Roman"/>
          <w:b w:val="0"/>
          <w:bCs w:val="0"/>
          <w:i/>
          <w:sz w:val="22"/>
          <w:szCs w:val="22"/>
        </w:rPr>
        <w:t>Leymus chinensis</w:t>
      </w:r>
      <w:r>
        <w:rPr>
          <w:rFonts w:hint="default" w:ascii="Times New Roman" w:hAnsi="Times New Roman" w:eastAsia="宋体" w:cs="Times New Roman"/>
          <w:b w:val="0"/>
          <w:bCs w:val="0"/>
          <w:sz w:val="22"/>
          <w:szCs w:val="22"/>
        </w:rPr>
        <w:t xml:space="preserve"> (Trin.) Tzvel. (Poaceae). Seed Science &amp; Technology, 2010, 38(3): 655-664. </w:t>
      </w:r>
    </w:p>
    <w:p w14:paraId="6A425B0F">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 xml:space="preserve">Ma HY, Liang Z.W., Wang S.H., Huang L.H. Cold stratification, fluctuating temperatures and removal of the glumes significantly improved germination of </w:t>
      </w:r>
      <w:r>
        <w:rPr>
          <w:rFonts w:hint="default" w:ascii="Times New Roman" w:hAnsi="Times New Roman" w:eastAsia="宋体" w:cs="Times New Roman"/>
          <w:b w:val="0"/>
          <w:bCs w:val="0"/>
          <w:i/>
          <w:sz w:val="22"/>
          <w:szCs w:val="22"/>
        </w:rPr>
        <w:t>Leymus chinensis</w:t>
      </w:r>
      <w:r>
        <w:rPr>
          <w:rFonts w:hint="default" w:ascii="Times New Roman" w:hAnsi="Times New Roman" w:eastAsia="宋体" w:cs="Times New Roman"/>
          <w:b w:val="0"/>
          <w:bCs w:val="0"/>
          <w:sz w:val="22"/>
          <w:szCs w:val="22"/>
        </w:rPr>
        <w:t>. Journal of Food, Agriculture &amp; Environment, 2010, 8(3&amp;4): 1291-1296.</w:t>
      </w:r>
    </w:p>
    <w:p w14:paraId="0EAC40DE">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 xml:space="preserve">Ma HY, Liang Z.W., Wang Z.C., Chen Y., Huang L.H., </w:t>
      </w:r>
      <w:r>
        <w:rPr>
          <w:rStyle w:val="18"/>
          <w:rFonts w:hint="default" w:ascii="Times New Roman" w:hAnsi="Times New Roman" w:eastAsia="宋体" w:cs="Times New Roman"/>
          <w:b w:val="0"/>
          <w:bCs w:val="0"/>
          <w:sz w:val="22"/>
          <w:szCs w:val="22"/>
        </w:rPr>
        <w:t>Yang F.</w:t>
      </w:r>
      <w:r>
        <w:rPr>
          <w:rFonts w:hint="default" w:ascii="Times New Roman" w:hAnsi="Times New Roman" w:eastAsia="宋体" w:cs="Times New Roman"/>
          <w:b w:val="0"/>
          <w:bCs w:val="0"/>
          <w:sz w:val="22"/>
          <w:szCs w:val="22"/>
        </w:rPr>
        <w:t xml:space="preserve"> Lemmas and Endosperms Significantly Inhibited Germination of </w:t>
      </w:r>
      <w:r>
        <w:rPr>
          <w:rFonts w:hint="default" w:ascii="Times New Roman" w:hAnsi="Times New Roman" w:eastAsia="宋体" w:cs="Times New Roman"/>
          <w:b w:val="0"/>
          <w:bCs w:val="0"/>
          <w:i/>
          <w:sz w:val="22"/>
          <w:szCs w:val="22"/>
        </w:rPr>
        <w:t>Leymus chinensis</w:t>
      </w:r>
      <w:r>
        <w:rPr>
          <w:rFonts w:hint="default" w:ascii="Times New Roman" w:hAnsi="Times New Roman" w:eastAsia="宋体" w:cs="Times New Roman"/>
          <w:b w:val="0"/>
          <w:bCs w:val="0"/>
          <w:sz w:val="22"/>
          <w:szCs w:val="22"/>
        </w:rPr>
        <w:t xml:space="preserve"> (Trin.) Tzvel. (Poaceae). Journal of Arid Environments, 2008, 72 (4): 573-578.</w:t>
      </w:r>
    </w:p>
    <w:p w14:paraId="01414624">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 xml:space="preserve">Ma HY, Liang Z.W., Wu H.T., Huang L.H. Wang Z.C. Role of endogenous hormones, glumes, endosperm and temperature on germination of </w:t>
      </w:r>
      <w:r>
        <w:rPr>
          <w:rFonts w:hint="default" w:ascii="Times New Roman" w:hAnsi="Times New Roman" w:eastAsia="宋体" w:cs="Times New Roman"/>
          <w:b w:val="0"/>
          <w:bCs w:val="0"/>
          <w:i/>
          <w:sz w:val="22"/>
          <w:szCs w:val="22"/>
        </w:rPr>
        <w:t>Leymus chinensis</w:t>
      </w:r>
      <w:r>
        <w:rPr>
          <w:rFonts w:hint="default" w:ascii="Times New Roman" w:hAnsi="Times New Roman" w:eastAsia="宋体" w:cs="Times New Roman"/>
          <w:b w:val="0"/>
          <w:bCs w:val="0"/>
          <w:sz w:val="22"/>
          <w:szCs w:val="22"/>
        </w:rPr>
        <w:t xml:space="preserve"> (Poaceae) seeds during development. Journal of Plant Ecology-UK, 2010, 3(2):269-277. </w:t>
      </w:r>
    </w:p>
    <w:p w14:paraId="402C7D1D">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lang w:val="de-DE"/>
        </w:rPr>
        <w:t xml:space="preserve">Ma HY, Liang ZW, Yang HY. </w:t>
      </w:r>
      <w:r>
        <w:rPr>
          <w:rFonts w:hint="default" w:ascii="Times New Roman" w:hAnsi="Times New Roman" w:eastAsia="宋体" w:cs="Times New Roman"/>
          <w:b w:val="0"/>
          <w:bCs w:val="0"/>
          <w:sz w:val="22"/>
          <w:szCs w:val="22"/>
        </w:rPr>
        <w:t xml:space="preserve">Ion adaptive mechanisms of </w:t>
      </w:r>
      <w:r>
        <w:rPr>
          <w:rFonts w:hint="default" w:ascii="Times New Roman" w:hAnsi="Times New Roman" w:eastAsia="宋体" w:cs="Times New Roman"/>
          <w:b w:val="0"/>
          <w:bCs w:val="0"/>
          <w:i/>
          <w:sz w:val="22"/>
          <w:szCs w:val="22"/>
        </w:rPr>
        <w:t>Leymus chinensis</w:t>
      </w:r>
      <w:r>
        <w:rPr>
          <w:rFonts w:hint="default" w:ascii="Times New Roman" w:hAnsi="Times New Roman" w:eastAsia="宋体" w:cs="Times New Roman"/>
          <w:b w:val="0"/>
          <w:bCs w:val="0"/>
          <w:sz w:val="22"/>
          <w:szCs w:val="22"/>
        </w:rPr>
        <w:t xml:space="preserve"> to saline-alkali stress. Journal of Food, Agriculture &amp; Environment, 2011, 8(3&amp;4): 688-692.</w:t>
      </w:r>
    </w:p>
    <w:p w14:paraId="703C207E">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color w:val="0000FF"/>
          <w:sz w:val="22"/>
          <w:szCs w:val="22"/>
        </w:rPr>
      </w:pPr>
      <w:r>
        <w:rPr>
          <w:rFonts w:hint="default" w:ascii="Times New Roman" w:hAnsi="Times New Roman" w:eastAsia="宋体" w:cs="Times New Roman"/>
          <w:b w:val="0"/>
          <w:bCs w:val="0"/>
          <w:sz w:val="22"/>
          <w:szCs w:val="22"/>
          <w:lang w:val="de-DE"/>
        </w:rPr>
        <w:t xml:space="preserve">Ma HY, Lv BS, Li XW, Liang ZW. </w:t>
      </w:r>
      <w:r>
        <w:rPr>
          <w:rFonts w:hint="default" w:ascii="Times New Roman" w:hAnsi="Times New Roman" w:eastAsia="宋体" w:cs="Times New Roman"/>
          <w:b w:val="0"/>
          <w:bCs w:val="0"/>
          <w:sz w:val="22"/>
          <w:szCs w:val="22"/>
        </w:rPr>
        <w:t>Salt tolerance by germinating seeds of 18 grass species, Songnen saline-alkali grassland. Pakistan Journal of Botany, 2014, 46(4): 1147-1152.</w:t>
      </w:r>
    </w:p>
    <w:p w14:paraId="12E2BEE5">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李祎,亓雯雯,李绍阳,李亚晓,马红媛.不同萌发阶段的羊草种子对干旱-复水的响应.生态学杂志,2024,43(07):1995-2000.</w:t>
      </w:r>
    </w:p>
    <w:p w14:paraId="4D72AE40">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李祎,</w:t>
      </w:r>
      <w:r>
        <w:rPr>
          <w:rFonts w:hint="default" w:ascii="Times New Roman" w:hAnsi="Times New Roman" w:eastAsia="宋体" w:cs="Times New Roman"/>
          <w:b w:val="0"/>
          <w:bCs w:val="0"/>
          <w:kern w:val="0"/>
          <w:sz w:val="22"/>
          <w:szCs w:val="22"/>
        </w:rPr>
        <w:t>李亚晓,亓雯雯,李绍,李 娜,徐璐,马红媛*.全球草地退化的成因、修复技术及恢复效果评估研究进展,中国草地学报,2024,64(11): 110-128.</w:t>
      </w:r>
    </w:p>
    <w:p w14:paraId="7C7C937A">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lang w:val="de-DE"/>
        </w:rPr>
      </w:pPr>
      <w:r>
        <w:rPr>
          <w:rFonts w:hint="default" w:ascii="Times New Roman" w:hAnsi="Times New Roman" w:eastAsia="宋体" w:cs="Times New Roman"/>
          <w:b w:val="0"/>
          <w:bCs w:val="0"/>
          <w:sz w:val="22"/>
          <w:szCs w:val="22"/>
        </w:rPr>
        <w:t>亓雯雯,马红媛,李亚晓,杜艳,孙梦丹,武海涛.优质牧草新品种选育方法研究进展[J].草业学报,2024,33(06):187-202.</w:t>
      </w:r>
    </w:p>
    <w:p w14:paraId="4F95E449">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李阳,魏继平,马红媛.不同种源羊草表型差异性研究.生态学报, 2020,40(4):1175-1183</w:t>
      </w:r>
    </w:p>
    <w:p w14:paraId="59A8CF5E">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赵丹丹,李阳,马红媛,魏继平,王志春. 水分和养分添加对羊草功能性状和地上生物量的影响.植物生态学报, 2019,43(6): 501-511.</w:t>
      </w:r>
    </w:p>
    <w:p w14:paraId="418F36E3">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马梦谣,马红媛*,李绍阳等.木醋液引发对盐胁迫下羊草种子萌发及幼苗生长的影响.生态学杂志,2022,41(08):1588-1593.</w:t>
      </w:r>
    </w:p>
    <w:p w14:paraId="498EB066">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马红媛,梁正伟,陈渊.提高羊草种子发芽率方法研究进展.中国草地,2005,27(4):64-68.</w:t>
      </w:r>
    </w:p>
    <w:p w14:paraId="0212100D">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马红媛,梁正伟,黄立华,闫超. 4种外源激素处理对羊草种子萌发和幼苗生长的影响.干旱区农业研究, 2008, 26(2):69-73.</w:t>
      </w:r>
    </w:p>
    <w:p w14:paraId="09FE71C8">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马红媛,梁正伟,孔祥军,闫超,陈渊.温度、盐分及其互作对羊草种子发芽率和幼苗生长的影响.生态学报,2008,28(10):4710-4717.</w:t>
      </w:r>
    </w:p>
    <w:p w14:paraId="656202F2">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马红媛,梁正伟,孔祥军,闫超,黄立华.苏打盐碱胁迫下羊草的生长特性与适应机制.土壤学报,2008, 45(6):1203-1207.</w:t>
      </w:r>
    </w:p>
    <w:p w14:paraId="7C17EB3B">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马红媛,梁正伟,闫超,陈渊,黄立华.四种沙埋深度对羊草种子出苗和幼苗生长的影响.生态学杂志,2007,26(12):2003-2007.</w:t>
      </w:r>
    </w:p>
    <w:p w14:paraId="3CA83729">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马红媛,梁正伟.不同pH值土壤及其浸提液对羊草种子萌发和幼苗生长的影响.植物学通报,2007,24(2):181-188.</w:t>
      </w:r>
    </w:p>
    <w:p w14:paraId="1C58FC22">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马红媛,梁正伟.不同贮藏条件和发芽方法对羊草种子萌发的影响.应用生态学报,2007,18(5):997-1002.</w:t>
      </w:r>
    </w:p>
    <w:p w14:paraId="1021A9FD">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马红媛,吕丙盛,梁正伟,杨昊谕,闫超.羊草种子萌发对松嫩退化草地环境因子的响应.植物生态学报, 2012,36(8): 812-818.</w:t>
      </w:r>
    </w:p>
    <w:p w14:paraId="768302C2">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赵丹丹,马红媛</w:t>
      </w:r>
      <w:r>
        <w:rPr>
          <w:rFonts w:hint="default" w:ascii="Times New Roman" w:hAnsi="Times New Roman" w:eastAsia="宋体" w:cs="Times New Roman"/>
          <w:b w:val="0"/>
          <w:bCs w:val="0"/>
          <w:sz w:val="22"/>
          <w:szCs w:val="22"/>
          <w:vertAlign w:val="superscript"/>
        </w:rPr>
        <w:t>*</w:t>
      </w:r>
      <w:r>
        <w:rPr>
          <w:rFonts w:hint="default" w:ascii="Times New Roman" w:hAnsi="Times New Roman" w:eastAsia="宋体" w:cs="Times New Roman"/>
          <w:b w:val="0"/>
          <w:bCs w:val="0"/>
          <w:sz w:val="22"/>
          <w:szCs w:val="22"/>
        </w:rPr>
        <w:t>,杨焜,等.优质牧草水分利用效率提高技术研究综述.生态学杂志, 2017, 36(8):2312-2320.</w:t>
      </w:r>
    </w:p>
    <w:p w14:paraId="1B0DC0FE">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赵丹丹,魏继平,马红媛</w:t>
      </w:r>
      <w:r>
        <w:rPr>
          <w:rFonts w:hint="default" w:ascii="Times New Roman" w:hAnsi="Times New Roman" w:eastAsia="宋体" w:cs="Times New Roman"/>
          <w:b w:val="0"/>
          <w:bCs w:val="0"/>
          <w:sz w:val="22"/>
          <w:szCs w:val="22"/>
          <w:vertAlign w:val="superscript"/>
        </w:rPr>
        <w:t>*</w:t>
      </w:r>
      <w:r>
        <w:rPr>
          <w:rFonts w:hint="default" w:ascii="Times New Roman" w:hAnsi="Times New Roman" w:eastAsia="宋体" w:cs="Times New Roman"/>
          <w:b w:val="0"/>
          <w:bCs w:val="0"/>
          <w:sz w:val="22"/>
          <w:szCs w:val="22"/>
        </w:rPr>
        <w:t>,等. 不同退化阶段松嫩草地土壤对羊草种子萌发和幼苗生长的影响.土壤与作物, 2018, (04) 422-431.</w:t>
      </w:r>
    </w:p>
    <w:p w14:paraId="79B19521">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李阳,魏继平,马红媛.不同种源羊草表型差异性研究.生态学报, 2020,40(4):1175-1183</w:t>
      </w:r>
    </w:p>
    <w:p w14:paraId="2CB3106B">
      <w:pPr>
        <w:pStyle w:val="34"/>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bookmarkStart w:id="16" w:name="_Hlk81921742"/>
      <w:r>
        <w:rPr>
          <w:rFonts w:hint="default" w:ascii="Times New Roman" w:hAnsi="Times New Roman" w:eastAsia="宋体" w:cs="Times New Roman"/>
          <w:b w:val="0"/>
          <w:bCs w:val="0"/>
          <w:sz w:val="22"/>
          <w:szCs w:val="22"/>
        </w:rPr>
        <w:t>赵丹丹,李阳,马红媛,魏继平,王志春. 水分和养分添加对羊草功能性状和地上生物量的影响.植物生态学报, 2019,43(6): 501-511.</w:t>
      </w:r>
    </w:p>
    <w:bookmarkEnd w:id="16"/>
    <w:p w14:paraId="1C931FFD">
      <w:pPr>
        <w:pStyle w:val="34"/>
        <w:keepNext w:val="0"/>
        <w:keepLines w:val="0"/>
        <w:pageBreakBefore w:val="0"/>
        <w:widowControl w:val="0"/>
        <w:numPr>
          <w:ilvl w:val="0"/>
          <w:numId w:val="2"/>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马梦谣,马红媛*,李绍阳等.</w:t>
      </w:r>
      <w:bookmarkEnd w:id="13"/>
      <w:r>
        <w:rPr>
          <w:rFonts w:hint="default" w:ascii="Times New Roman" w:hAnsi="Times New Roman" w:eastAsia="宋体" w:cs="Times New Roman"/>
          <w:b w:val="0"/>
          <w:bCs w:val="0"/>
          <w:sz w:val="22"/>
          <w:szCs w:val="22"/>
        </w:rPr>
        <w:t>木醋液引发对盐胁迫下羊草种子萌发及幼苗生长的影响.生态学杂志,2022,41(08):1588-1593.</w:t>
      </w:r>
    </w:p>
    <w:p w14:paraId="4C066398">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0" w:firstLine="440" w:firstLineChars="200"/>
        <w:textAlignment w:val="auto"/>
        <w:rPr>
          <w:rFonts w:hint="default" w:ascii="Times New Roman" w:hAnsi="Times New Roman" w:cs="Times New Roman"/>
          <w:sz w:val="22"/>
          <w:szCs w:val="22"/>
          <w:lang w:val="en-US" w:eastAsia="zh-CN"/>
        </w:rPr>
      </w:pPr>
      <w:r>
        <w:rPr>
          <w:rFonts w:hint="default" w:ascii="Times New Roman" w:hAnsi="Times New Roman" w:cs="Times New Roman"/>
          <w:sz w:val="22"/>
          <w:szCs w:val="22"/>
          <w:lang w:val="en-US" w:eastAsia="zh-CN"/>
        </w:rPr>
        <w:t>2）出版专著</w:t>
      </w:r>
    </w:p>
    <w:p w14:paraId="30946C39">
      <w:pPr>
        <w:pStyle w:val="34"/>
        <w:keepNext w:val="0"/>
        <w:keepLines w:val="0"/>
        <w:pageBreakBefore w:val="0"/>
        <w:widowControl w:val="0"/>
        <w:numPr>
          <w:ilvl w:val="0"/>
          <w:numId w:val="3"/>
        </w:numPr>
        <w:kinsoku/>
        <w:wordWrap/>
        <w:overflowPunct/>
        <w:topLinePunct w:val="0"/>
        <w:autoSpaceDE/>
        <w:autoSpaceDN/>
        <w:bidi w:val="0"/>
        <w:adjustRightInd/>
        <w:snapToGrid/>
        <w:spacing w:beforeAutospacing="0" w:afterAutospacing="0" w:line="360" w:lineRule="auto"/>
        <w:ind w:left="420" w:hanging="420" w:firstLineChars="0"/>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马红媛.《羊草种子生态学与盐碱地植被恢复》，2018年10月，科学出版社:北京.</w:t>
      </w:r>
    </w:p>
    <w:p w14:paraId="66806085">
      <w:pPr>
        <w:pStyle w:val="34"/>
        <w:keepNext w:val="0"/>
        <w:keepLines w:val="0"/>
        <w:pageBreakBefore w:val="0"/>
        <w:widowControl w:val="0"/>
        <w:numPr>
          <w:ilvl w:val="0"/>
          <w:numId w:val="3"/>
        </w:numPr>
        <w:kinsoku/>
        <w:wordWrap/>
        <w:overflowPunct/>
        <w:topLinePunct w:val="0"/>
        <w:autoSpaceDE/>
        <w:autoSpaceDN/>
        <w:bidi w:val="0"/>
        <w:adjustRightInd/>
        <w:snapToGrid/>
        <w:spacing w:beforeAutospacing="0" w:afterAutospacing="0" w:line="360" w:lineRule="auto"/>
        <w:ind w:left="420" w:hanging="420" w:firstLineChars="0"/>
        <w:textAlignment w:val="auto"/>
        <w:rPr>
          <w:rFonts w:hint="default" w:ascii="Times New Roman" w:hAnsi="Times New Roman" w:eastAsia="宋体" w:cs="Times New Roman"/>
          <w:b w:val="0"/>
          <w:bCs w:val="0"/>
          <w:sz w:val="22"/>
          <w:szCs w:val="22"/>
          <w:highlight w:val="none"/>
        </w:rPr>
      </w:pPr>
      <w:r>
        <w:rPr>
          <w:rFonts w:hint="default" w:ascii="Times New Roman" w:hAnsi="Times New Roman" w:eastAsia="宋体" w:cs="Times New Roman"/>
          <w:b w:val="0"/>
          <w:bCs w:val="0"/>
          <w:sz w:val="22"/>
          <w:szCs w:val="22"/>
        </w:rPr>
        <w:t>刘公社,李晓霞. Sheep grass (</w:t>
      </w:r>
      <w:r>
        <w:rPr>
          <w:rFonts w:hint="default" w:ascii="Times New Roman" w:hAnsi="Times New Roman" w:eastAsia="宋体" w:cs="Times New Roman"/>
          <w:b w:val="0"/>
          <w:bCs w:val="0"/>
          <w:i/>
          <w:iCs/>
          <w:sz w:val="22"/>
          <w:szCs w:val="22"/>
        </w:rPr>
        <w:t>Leymus chinensis</w:t>
      </w:r>
      <w:r>
        <w:rPr>
          <w:rFonts w:hint="default" w:ascii="Times New Roman" w:hAnsi="Times New Roman" w:eastAsia="宋体" w:cs="Times New Roman"/>
          <w:b w:val="0"/>
          <w:bCs w:val="0"/>
          <w:sz w:val="22"/>
          <w:szCs w:val="22"/>
        </w:rPr>
        <w:t xml:space="preserve">): An environmentally friendly native grass </w:t>
      </w:r>
      <w:r>
        <w:rPr>
          <w:rFonts w:hint="default" w:ascii="Times New Roman" w:hAnsi="Times New Roman" w:eastAsia="宋体" w:cs="Times New Roman"/>
          <w:b w:val="0"/>
          <w:bCs w:val="0"/>
          <w:sz w:val="22"/>
          <w:szCs w:val="22"/>
          <w:highlight w:val="none"/>
        </w:rPr>
        <w:t>for animals.撰写第六章Saline–Alkaline Resistance: Physiological and Ecological Characteristics of Sheepgrass (</w:t>
      </w:r>
      <w:r>
        <w:rPr>
          <w:rFonts w:hint="default" w:ascii="Times New Roman" w:hAnsi="Times New Roman" w:eastAsia="宋体" w:cs="Times New Roman"/>
          <w:b w:val="0"/>
          <w:bCs w:val="0"/>
          <w:i/>
          <w:iCs/>
          <w:sz w:val="22"/>
          <w:szCs w:val="22"/>
          <w:highlight w:val="none"/>
        </w:rPr>
        <w:t>Leymus chinensis</w:t>
      </w:r>
      <w:r>
        <w:rPr>
          <w:rFonts w:hint="default" w:ascii="Times New Roman" w:hAnsi="Times New Roman" w:eastAsia="宋体" w:cs="Times New Roman"/>
          <w:b w:val="0"/>
          <w:bCs w:val="0"/>
          <w:sz w:val="22"/>
          <w:szCs w:val="22"/>
          <w:highlight w:val="none"/>
        </w:rPr>
        <w:t>). 2019，Springer.</w:t>
      </w:r>
    </w:p>
    <w:p w14:paraId="2E1A51D5">
      <w:pPr>
        <w:pStyle w:val="34"/>
        <w:keepNext w:val="0"/>
        <w:keepLines w:val="0"/>
        <w:pageBreakBefore w:val="0"/>
        <w:widowControl w:val="0"/>
        <w:numPr>
          <w:ilvl w:val="0"/>
          <w:numId w:val="3"/>
        </w:numPr>
        <w:kinsoku/>
        <w:wordWrap/>
        <w:overflowPunct/>
        <w:topLinePunct w:val="0"/>
        <w:autoSpaceDE/>
        <w:autoSpaceDN/>
        <w:bidi w:val="0"/>
        <w:adjustRightInd/>
        <w:snapToGrid/>
        <w:spacing w:beforeAutospacing="0" w:afterAutospacing="0" w:line="360" w:lineRule="auto"/>
        <w:ind w:left="420" w:hanging="420" w:firstLineChars="0"/>
        <w:textAlignment w:val="auto"/>
        <w:rPr>
          <w:rFonts w:hint="default" w:ascii="Times New Roman" w:hAnsi="Times New Roman" w:eastAsia="宋体" w:cs="Times New Roman"/>
          <w:b w:val="0"/>
          <w:bCs w:val="0"/>
          <w:sz w:val="22"/>
          <w:szCs w:val="22"/>
          <w:highlight w:val="none"/>
        </w:rPr>
      </w:pPr>
      <w:r>
        <w:rPr>
          <w:rFonts w:hint="default" w:ascii="Times New Roman" w:hAnsi="Times New Roman" w:eastAsia="宋体" w:cs="Times New Roman"/>
          <w:b w:val="0"/>
          <w:bCs w:val="0"/>
          <w:sz w:val="22"/>
          <w:szCs w:val="22"/>
          <w:highlight w:val="none"/>
        </w:rPr>
        <w:t>刘公社.《中国羊草》-羊草对盐碱胁迫的响应及适应机制(理论篇）.2024年,中国林业出版社.</w:t>
      </w:r>
    </w:p>
    <w:p w14:paraId="2926677C">
      <w:pPr>
        <w:pStyle w:val="34"/>
        <w:keepNext w:val="0"/>
        <w:keepLines w:val="0"/>
        <w:pageBreakBefore w:val="0"/>
        <w:widowControl w:val="0"/>
        <w:numPr>
          <w:ilvl w:val="0"/>
          <w:numId w:val="3"/>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王婧,逄焕成,王志春等.盐碱地常见经济植物栽培模式.中国农业科学技术出版社.2020年</w:t>
      </w:r>
      <w:r>
        <w:rPr>
          <w:rFonts w:hint="default" w:ascii="Times New Roman" w:hAnsi="Times New Roman" w:cs="Times New Roman"/>
          <w:b w:val="0"/>
          <w:bCs w:val="0"/>
          <w:sz w:val="22"/>
          <w:szCs w:val="22"/>
          <w:lang w:val="en-US" w:eastAsia="zh-CN"/>
        </w:rPr>
        <w:t>.</w:t>
      </w:r>
    </w:p>
    <w:p w14:paraId="1782F7F3">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0" w:firstLine="480" w:firstLineChars="200"/>
        <w:textAlignment w:val="auto"/>
        <w:rPr>
          <w:rFonts w:hint="default" w:ascii="Times New Roman" w:hAnsi="Times New Roman" w:cs="Times New Roman"/>
          <w:b w:val="0"/>
          <w:bCs w:val="0"/>
          <w:sz w:val="24"/>
          <w:szCs w:val="24"/>
          <w:lang w:val="en-US" w:eastAsia="zh-CN"/>
        </w:rPr>
      </w:pPr>
      <w:bookmarkStart w:id="17" w:name="_Hlk81921868"/>
      <w:r>
        <w:rPr>
          <w:rFonts w:hint="default" w:ascii="Times New Roman" w:hAnsi="Times New Roman" w:cs="Times New Roman"/>
          <w:b w:val="0"/>
          <w:bCs w:val="0"/>
          <w:sz w:val="24"/>
          <w:szCs w:val="24"/>
          <w:lang w:val="en-US" w:eastAsia="zh-CN"/>
        </w:rPr>
        <w:t>3）编制标准</w:t>
      </w:r>
    </w:p>
    <w:p w14:paraId="4AD25639">
      <w:pPr>
        <w:pStyle w:val="34"/>
        <w:keepNext w:val="0"/>
        <w:keepLines w:val="0"/>
        <w:pageBreakBefore w:val="0"/>
        <w:widowControl w:val="0"/>
        <w:numPr>
          <w:ilvl w:val="0"/>
          <w:numId w:val="4"/>
        </w:numPr>
        <w:kinsoku/>
        <w:wordWrap/>
        <w:overflowPunct/>
        <w:topLinePunct w:val="0"/>
        <w:autoSpaceDE/>
        <w:autoSpaceDN/>
        <w:bidi w:val="0"/>
        <w:adjustRightInd/>
        <w:snapToGrid/>
        <w:spacing w:beforeAutospacing="0" w:afterAutospacing="0" w:line="360" w:lineRule="auto"/>
        <w:ind w:left="420" w:hanging="420" w:firstLineChars="0"/>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马红媛,杨帆,李险峰,武海涛,王志春等.盐碱草地羊草直播栽培技术规程,黑龙江省地方标准.DB23/T 2386-2019.</w:t>
      </w:r>
    </w:p>
    <w:p w14:paraId="0242B7D4">
      <w:pPr>
        <w:pStyle w:val="34"/>
        <w:keepNext w:val="0"/>
        <w:keepLines w:val="0"/>
        <w:pageBreakBefore w:val="0"/>
        <w:widowControl w:val="0"/>
        <w:numPr>
          <w:ilvl w:val="0"/>
          <w:numId w:val="4"/>
        </w:numPr>
        <w:kinsoku/>
        <w:wordWrap/>
        <w:overflowPunct/>
        <w:topLinePunct w:val="0"/>
        <w:autoSpaceDE/>
        <w:autoSpaceDN/>
        <w:bidi w:val="0"/>
        <w:adjustRightInd/>
        <w:snapToGrid/>
        <w:spacing w:beforeAutospacing="0" w:afterAutospacing="0" w:line="360" w:lineRule="auto"/>
        <w:ind w:left="420" w:hanging="420" w:firstLineChars="0"/>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马红媛,杨帆,李险峰,武海涛,王志春等.盐碱化草地植被恢复与重建技术规程, 黑龙江省地方标准.</w:t>
      </w:r>
      <w:bookmarkStart w:id="18" w:name="OLE_LINK18"/>
      <w:r>
        <w:rPr>
          <w:rFonts w:hint="default" w:ascii="Times New Roman" w:hAnsi="Times New Roman" w:eastAsia="宋体" w:cs="Times New Roman"/>
          <w:b w:val="0"/>
          <w:bCs w:val="0"/>
          <w:sz w:val="22"/>
          <w:szCs w:val="22"/>
        </w:rPr>
        <w:t>DB23/T 2387-2019</w:t>
      </w:r>
      <w:bookmarkEnd w:id="18"/>
      <w:r>
        <w:rPr>
          <w:rFonts w:hint="default" w:ascii="Times New Roman" w:hAnsi="Times New Roman" w:eastAsia="宋体" w:cs="Times New Roman"/>
          <w:b w:val="0"/>
          <w:bCs w:val="0"/>
          <w:sz w:val="22"/>
          <w:szCs w:val="22"/>
        </w:rPr>
        <w:t>.</w:t>
      </w:r>
    </w:p>
    <w:bookmarkEnd w:id="17"/>
    <w:p w14:paraId="09B7B969">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0" w:firstLine="480" w:firstLineChars="200"/>
        <w:textAlignment w:val="auto"/>
        <w:rPr>
          <w:rFonts w:hint="default" w:ascii="Times New Roman" w:hAnsi="Times New Roman" w:cs="Times New Roman"/>
          <w:b w:val="0"/>
          <w:bCs w:val="0"/>
          <w:sz w:val="24"/>
          <w:szCs w:val="24"/>
          <w:lang w:val="en-US" w:eastAsia="zh-CN"/>
        </w:rPr>
      </w:pPr>
      <w:r>
        <w:rPr>
          <w:rFonts w:hint="default" w:ascii="Times New Roman" w:hAnsi="Times New Roman" w:cs="Times New Roman"/>
          <w:b w:val="0"/>
          <w:bCs w:val="0"/>
          <w:sz w:val="24"/>
          <w:szCs w:val="24"/>
          <w:lang w:val="en-US" w:eastAsia="zh-CN"/>
        </w:rPr>
        <w:t>4）研制主推技术</w:t>
      </w:r>
    </w:p>
    <w:p w14:paraId="2284D8ED">
      <w:pPr>
        <w:pStyle w:val="15"/>
        <w:keepNext w:val="0"/>
        <w:keepLines w:val="0"/>
        <w:pageBreakBefore w:val="0"/>
        <w:widowControl/>
        <w:numPr>
          <w:ilvl w:val="0"/>
          <w:numId w:val="5"/>
        </w:numPr>
        <w:kinsoku/>
        <w:wordWrap/>
        <w:overflowPunct/>
        <w:topLinePunct w:val="0"/>
        <w:autoSpaceDE/>
        <w:autoSpaceDN/>
        <w:bidi w:val="0"/>
        <w:adjustRightInd/>
        <w:snapToGrid w:val="0"/>
        <w:spacing w:before="0" w:beforeAutospacing="0" w:after="0" w:afterAutospacing="0" w:line="360" w:lineRule="auto"/>
        <w:ind w:left="442" w:hanging="442"/>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kern w:val="2"/>
          <w:sz w:val="22"/>
          <w:szCs w:val="22"/>
        </w:rPr>
        <w:t>马红媛, 杨帆, 王志春. 盐碱地羊草人工种植技术. 吉林省2023年农业主导品种和主推技术.</w:t>
      </w:r>
    </w:p>
    <w:p w14:paraId="5D82BC16">
      <w:pPr>
        <w:pStyle w:val="15"/>
        <w:keepNext w:val="0"/>
        <w:keepLines w:val="0"/>
        <w:pageBreakBefore w:val="0"/>
        <w:widowControl/>
        <w:numPr>
          <w:ilvl w:val="0"/>
          <w:numId w:val="5"/>
        </w:numPr>
        <w:kinsoku/>
        <w:wordWrap/>
        <w:overflowPunct/>
        <w:topLinePunct w:val="0"/>
        <w:autoSpaceDE/>
        <w:autoSpaceDN/>
        <w:bidi w:val="0"/>
        <w:adjustRightInd/>
        <w:snapToGrid w:val="0"/>
        <w:spacing w:before="0" w:beforeAutospacing="0" w:after="0" w:afterAutospacing="0" w:line="360" w:lineRule="auto"/>
        <w:ind w:left="442" w:hanging="442"/>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kern w:val="2"/>
          <w:sz w:val="22"/>
          <w:szCs w:val="22"/>
        </w:rPr>
        <w:t>马红媛，李强，杨帆.“（二）耕地保护类 13.苏打盐碱地羊草人工种植改土增效技术”.吉林省2024年农业主导品种和主推技术.</w:t>
      </w:r>
    </w:p>
    <w:p w14:paraId="31AC4AB8">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0" w:firstLine="480" w:firstLineChars="200"/>
        <w:textAlignment w:val="auto"/>
        <w:rPr>
          <w:rFonts w:hint="default" w:ascii="Times New Roman" w:hAnsi="Times New Roman" w:cs="Times New Roman"/>
          <w:b w:val="0"/>
          <w:bCs w:val="0"/>
          <w:sz w:val="24"/>
          <w:szCs w:val="24"/>
          <w:lang w:val="en-US" w:eastAsia="zh-CN"/>
        </w:rPr>
      </w:pPr>
      <w:bookmarkStart w:id="19" w:name="_Hlk167340281"/>
      <w:r>
        <w:rPr>
          <w:rFonts w:hint="default" w:ascii="Times New Roman" w:hAnsi="Times New Roman" w:cs="Times New Roman"/>
          <w:b w:val="0"/>
          <w:bCs w:val="0"/>
          <w:sz w:val="24"/>
          <w:szCs w:val="24"/>
          <w:lang w:val="en-US" w:eastAsia="zh-CN"/>
        </w:rPr>
        <w:t>5）培育羊草新品种、新品系</w:t>
      </w:r>
    </w:p>
    <w:p w14:paraId="0F5CFF9F">
      <w:pPr>
        <w:pStyle w:val="15"/>
        <w:keepNext w:val="0"/>
        <w:keepLines w:val="0"/>
        <w:pageBreakBefore w:val="0"/>
        <w:widowControl/>
        <w:numPr>
          <w:ilvl w:val="0"/>
          <w:numId w:val="6"/>
        </w:numPr>
        <w:kinsoku/>
        <w:wordWrap/>
        <w:overflowPunct/>
        <w:topLinePunct w:val="0"/>
        <w:autoSpaceDE/>
        <w:autoSpaceDN/>
        <w:bidi w:val="0"/>
        <w:adjustRightInd/>
        <w:snapToGrid w:val="0"/>
        <w:spacing w:before="0" w:beforeAutospacing="0" w:after="0" w:afterAutospacing="0" w:line="360" w:lineRule="auto"/>
        <w:ind w:left="442" w:hanging="442"/>
        <w:textAlignment w:val="auto"/>
        <w:rPr>
          <w:rFonts w:hint="default" w:ascii="Times New Roman" w:hAnsi="Times New Roman" w:eastAsia="宋体" w:cs="Times New Roman"/>
          <w:b w:val="0"/>
          <w:bCs w:val="0"/>
          <w:kern w:val="2"/>
          <w:sz w:val="22"/>
          <w:szCs w:val="22"/>
        </w:rPr>
      </w:pPr>
      <w:r>
        <w:rPr>
          <w:rFonts w:hint="default" w:ascii="Times New Roman" w:hAnsi="Times New Roman" w:eastAsia="宋体" w:cs="Times New Roman"/>
          <w:b w:val="0"/>
          <w:bCs w:val="0"/>
          <w:kern w:val="2"/>
          <w:sz w:val="22"/>
          <w:szCs w:val="22"/>
        </w:rPr>
        <w:t xml:space="preserve"> 马红媛、孙梦丹、亓雯雯、陈诗嫚、石明雪、诸葛燕辉、江兆霞、朱可意、杜艳、徐宝成</w:t>
      </w:r>
      <w:r>
        <w:rPr>
          <w:rFonts w:hint="default" w:ascii="Times New Roman" w:hAnsi="Times New Roman" w:cs="Times New Roman"/>
          <w:b w:val="0"/>
          <w:bCs w:val="0"/>
          <w:kern w:val="2"/>
          <w:sz w:val="22"/>
          <w:szCs w:val="22"/>
          <w:lang w:val="en-US" w:eastAsia="zh-CN"/>
        </w:rPr>
        <w:t>.</w:t>
      </w:r>
      <w:r>
        <w:rPr>
          <w:rFonts w:hint="default" w:ascii="Times New Roman" w:hAnsi="Times New Roman" w:eastAsia="宋体" w:cs="Times New Roman"/>
          <w:b w:val="0"/>
          <w:bCs w:val="0"/>
          <w:kern w:val="2"/>
          <w:sz w:val="22"/>
          <w:szCs w:val="22"/>
        </w:rPr>
        <w:t>‘东地</w:t>
      </w:r>
      <w:r>
        <w:rPr>
          <w:rFonts w:hint="default" w:ascii="Times New Roman" w:hAnsi="Times New Roman" w:cs="Times New Roman"/>
          <w:b w:val="0"/>
          <w:bCs w:val="0"/>
          <w:kern w:val="2"/>
          <w:sz w:val="22"/>
          <w:szCs w:val="22"/>
          <w:lang w:val="en-US" w:eastAsia="zh-CN"/>
        </w:rPr>
        <w:t>7</w:t>
      </w:r>
      <w:r>
        <w:rPr>
          <w:rFonts w:hint="default" w:ascii="Times New Roman" w:hAnsi="Times New Roman" w:eastAsia="宋体" w:cs="Times New Roman"/>
          <w:b w:val="0"/>
          <w:bCs w:val="0"/>
          <w:kern w:val="2"/>
          <w:sz w:val="22"/>
          <w:szCs w:val="22"/>
        </w:rPr>
        <w:t>号’</w:t>
      </w:r>
      <w:r>
        <w:rPr>
          <w:rFonts w:hint="default" w:ascii="Times New Roman" w:hAnsi="Times New Roman" w:cs="Times New Roman"/>
          <w:b w:val="0"/>
          <w:bCs w:val="0"/>
          <w:kern w:val="2"/>
          <w:sz w:val="22"/>
          <w:szCs w:val="22"/>
          <w:lang w:val="en-US" w:eastAsia="zh-CN"/>
        </w:rPr>
        <w:t>羊草. 吉S-BV-LC-001-2025.</w:t>
      </w:r>
    </w:p>
    <w:p w14:paraId="03D6D356">
      <w:pPr>
        <w:pStyle w:val="15"/>
        <w:keepNext w:val="0"/>
        <w:keepLines w:val="0"/>
        <w:pageBreakBefore w:val="0"/>
        <w:widowControl/>
        <w:numPr>
          <w:ilvl w:val="0"/>
          <w:numId w:val="6"/>
        </w:numPr>
        <w:kinsoku/>
        <w:wordWrap/>
        <w:overflowPunct/>
        <w:topLinePunct w:val="0"/>
        <w:autoSpaceDE/>
        <w:autoSpaceDN/>
        <w:bidi w:val="0"/>
        <w:adjustRightInd/>
        <w:snapToGrid w:val="0"/>
        <w:spacing w:before="0" w:beforeAutospacing="0" w:after="0" w:afterAutospacing="0" w:line="360" w:lineRule="auto"/>
        <w:ind w:left="442" w:hanging="442"/>
        <w:textAlignment w:val="auto"/>
        <w:rPr>
          <w:rFonts w:hint="default" w:ascii="Times New Roman" w:hAnsi="Times New Roman" w:eastAsia="宋体" w:cs="Times New Roman"/>
          <w:b w:val="0"/>
          <w:bCs w:val="0"/>
          <w:kern w:val="2"/>
          <w:sz w:val="22"/>
          <w:szCs w:val="22"/>
        </w:rPr>
      </w:pPr>
      <w:r>
        <w:rPr>
          <w:rFonts w:hint="default" w:ascii="Times New Roman" w:hAnsi="Times New Roman" w:eastAsia="宋体" w:cs="Times New Roman"/>
          <w:b w:val="0"/>
          <w:bCs w:val="0"/>
          <w:kern w:val="2"/>
          <w:sz w:val="22"/>
          <w:szCs w:val="22"/>
        </w:rPr>
        <w:t>马红媛,李绍阳,亓雯雯,赵丹丹,孙梦丹,李亚晓,李景玉,赖宪明,付宪茹,屈春宇.‘东地4号’羊草.吉S-BV-LC-001-2023.</w:t>
      </w:r>
    </w:p>
    <w:p w14:paraId="63764954">
      <w:pPr>
        <w:pStyle w:val="15"/>
        <w:keepNext w:val="0"/>
        <w:keepLines w:val="0"/>
        <w:pageBreakBefore w:val="0"/>
        <w:widowControl/>
        <w:numPr>
          <w:ilvl w:val="0"/>
          <w:numId w:val="6"/>
        </w:numPr>
        <w:kinsoku/>
        <w:wordWrap/>
        <w:overflowPunct/>
        <w:topLinePunct w:val="0"/>
        <w:autoSpaceDE/>
        <w:autoSpaceDN/>
        <w:bidi w:val="0"/>
        <w:adjustRightInd/>
        <w:snapToGrid w:val="0"/>
        <w:spacing w:before="0" w:beforeAutospacing="0" w:after="0" w:afterAutospacing="0" w:line="360" w:lineRule="auto"/>
        <w:ind w:left="442" w:hanging="442"/>
        <w:textAlignment w:val="auto"/>
        <w:rPr>
          <w:rFonts w:hint="default" w:ascii="Times New Roman" w:hAnsi="Times New Roman" w:eastAsia="宋体" w:cs="Times New Roman"/>
          <w:b w:val="0"/>
          <w:bCs w:val="0"/>
          <w:kern w:val="2"/>
          <w:sz w:val="22"/>
          <w:szCs w:val="22"/>
        </w:rPr>
      </w:pPr>
      <w:r>
        <w:rPr>
          <w:rFonts w:hint="default" w:ascii="Times New Roman" w:hAnsi="Times New Roman" w:eastAsia="宋体" w:cs="Times New Roman"/>
          <w:b w:val="0"/>
          <w:bCs w:val="0"/>
          <w:kern w:val="2"/>
          <w:sz w:val="22"/>
          <w:szCs w:val="22"/>
        </w:rPr>
        <w:t>马红媛,亓雯雯,李绍阳,李亚晓,李祎,赵丹丹,赖宪明,李景玉,付宪茹,屈春宇.</w:t>
      </w:r>
      <w:r>
        <w:rPr>
          <w:rFonts w:hint="default" w:ascii="Times New Roman" w:hAnsi="Times New Roman" w:eastAsia="宋体" w:cs="Times New Roman"/>
          <w:b w:val="0"/>
          <w:bCs w:val="0"/>
          <w:sz w:val="22"/>
          <w:szCs w:val="22"/>
        </w:rPr>
        <w:t>东地5号’羊草</w:t>
      </w:r>
      <w:r>
        <w:rPr>
          <w:rFonts w:hint="default" w:ascii="Times New Roman" w:hAnsi="Times New Roman" w:eastAsia="宋体" w:cs="Times New Roman"/>
          <w:b w:val="0"/>
          <w:bCs w:val="0"/>
          <w:kern w:val="2"/>
          <w:sz w:val="22"/>
          <w:szCs w:val="22"/>
        </w:rPr>
        <w:t xml:space="preserve">吉S-BV-LC-002-2023. </w:t>
      </w:r>
    </w:p>
    <w:p w14:paraId="4BE81978">
      <w:pPr>
        <w:pStyle w:val="15"/>
        <w:keepNext w:val="0"/>
        <w:keepLines w:val="0"/>
        <w:pageBreakBefore w:val="0"/>
        <w:widowControl/>
        <w:numPr>
          <w:ilvl w:val="0"/>
          <w:numId w:val="6"/>
        </w:numPr>
        <w:kinsoku/>
        <w:wordWrap/>
        <w:overflowPunct/>
        <w:topLinePunct w:val="0"/>
        <w:autoSpaceDE/>
        <w:autoSpaceDN/>
        <w:bidi w:val="0"/>
        <w:adjustRightInd/>
        <w:snapToGrid w:val="0"/>
        <w:spacing w:before="0" w:beforeAutospacing="0" w:after="0" w:afterAutospacing="0" w:line="360" w:lineRule="auto"/>
        <w:ind w:left="442" w:hanging="442"/>
        <w:textAlignment w:val="auto"/>
        <w:rPr>
          <w:rFonts w:hint="default" w:ascii="Times New Roman" w:hAnsi="Times New Roman" w:eastAsia="宋体" w:cs="Times New Roman"/>
          <w:b w:val="0"/>
          <w:bCs w:val="0"/>
          <w:kern w:val="2"/>
          <w:sz w:val="22"/>
          <w:szCs w:val="22"/>
        </w:rPr>
      </w:pPr>
      <w:r>
        <w:rPr>
          <w:rFonts w:hint="default" w:ascii="Times New Roman" w:hAnsi="Times New Roman" w:eastAsia="宋体" w:cs="Times New Roman"/>
          <w:b w:val="0"/>
          <w:bCs w:val="0"/>
          <w:kern w:val="2"/>
          <w:sz w:val="22"/>
          <w:szCs w:val="22"/>
        </w:rPr>
        <w:t>马红媛,李绍阳,亓雯雯,赵丹丹,李祎,武海涛,李景鹏,李亚晓,孙梦丹,徐璐.白城羊草.(国家林草局，羊草新品系),国家林草局区试2023.11.8</w:t>
      </w:r>
    </w:p>
    <w:p w14:paraId="2225F766">
      <w:pPr>
        <w:pStyle w:val="15"/>
        <w:keepNext w:val="0"/>
        <w:keepLines w:val="0"/>
        <w:pageBreakBefore w:val="0"/>
        <w:widowControl/>
        <w:numPr>
          <w:ilvl w:val="0"/>
          <w:numId w:val="6"/>
        </w:numPr>
        <w:kinsoku/>
        <w:wordWrap/>
        <w:overflowPunct/>
        <w:topLinePunct w:val="0"/>
        <w:autoSpaceDE/>
        <w:autoSpaceDN/>
        <w:bidi w:val="0"/>
        <w:adjustRightInd/>
        <w:snapToGrid w:val="0"/>
        <w:spacing w:before="0" w:beforeAutospacing="0" w:after="0" w:afterAutospacing="0" w:line="360" w:lineRule="auto"/>
        <w:ind w:left="442" w:hanging="442"/>
        <w:textAlignment w:val="auto"/>
        <w:rPr>
          <w:rFonts w:hint="default" w:ascii="Times New Roman" w:hAnsi="Times New Roman" w:eastAsia="宋体" w:cs="Times New Roman"/>
          <w:b w:val="0"/>
          <w:bCs w:val="0"/>
          <w:kern w:val="2"/>
          <w:sz w:val="22"/>
          <w:szCs w:val="22"/>
        </w:rPr>
      </w:pPr>
      <w:r>
        <w:rPr>
          <w:rFonts w:hint="default" w:ascii="Times New Roman" w:hAnsi="Times New Roman" w:eastAsia="宋体" w:cs="Times New Roman"/>
          <w:b w:val="0"/>
          <w:bCs w:val="0"/>
          <w:kern w:val="2"/>
          <w:sz w:val="22"/>
          <w:szCs w:val="22"/>
        </w:rPr>
        <w:t>马红媛，李绍阳，赵丹丹，孙梦丹，赖宪明.松嫩4号羊草.(全国畜牧总站，羊草新品系).国家畜牧总站区试2023.7.31</w:t>
      </w:r>
      <w:r>
        <w:rPr>
          <w:rFonts w:hint="default" w:ascii="Times New Roman" w:hAnsi="Times New Roman" w:cs="Times New Roman"/>
          <w:b w:val="0"/>
          <w:bCs w:val="0"/>
          <w:kern w:val="2"/>
          <w:sz w:val="22"/>
          <w:szCs w:val="22"/>
          <w:lang w:val="en-US" w:eastAsia="zh-CN"/>
        </w:rPr>
        <w:t>.</w:t>
      </w:r>
    </w:p>
    <w:p w14:paraId="0FD90E82">
      <w:pPr>
        <w:pStyle w:val="15"/>
        <w:keepNext w:val="0"/>
        <w:keepLines w:val="0"/>
        <w:pageBreakBefore w:val="0"/>
        <w:widowControl/>
        <w:numPr>
          <w:ilvl w:val="0"/>
          <w:numId w:val="6"/>
        </w:numPr>
        <w:kinsoku/>
        <w:wordWrap/>
        <w:overflowPunct/>
        <w:topLinePunct w:val="0"/>
        <w:autoSpaceDE/>
        <w:autoSpaceDN/>
        <w:bidi w:val="0"/>
        <w:adjustRightInd/>
        <w:snapToGrid w:val="0"/>
        <w:spacing w:before="0" w:beforeAutospacing="0" w:after="0" w:afterAutospacing="0" w:line="360" w:lineRule="auto"/>
        <w:ind w:left="442" w:hanging="442"/>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kern w:val="2"/>
          <w:sz w:val="22"/>
          <w:szCs w:val="22"/>
        </w:rPr>
        <w:t xml:space="preserve">马红媛,孙梦丹,李绍阳,李景玉,刘亚玲,李景鹏,赵丹丹,李亚晓,鲁英,李达.东地6号’羊草吉S-BV-LC-001-2024. </w:t>
      </w:r>
    </w:p>
    <w:p w14:paraId="2590BFA0">
      <w:pPr>
        <w:pStyle w:val="15"/>
        <w:keepNext w:val="0"/>
        <w:keepLines w:val="0"/>
        <w:pageBreakBefore w:val="0"/>
        <w:widowControl/>
        <w:numPr>
          <w:ilvl w:val="0"/>
          <w:numId w:val="6"/>
        </w:numPr>
        <w:kinsoku/>
        <w:wordWrap/>
        <w:overflowPunct/>
        <w:topLinePunct w:val="0"/>
        <w:autoSpaceDE/>
        <w:autoSpaceDN/>
        <w:bidi w:val="0"/>
        <w:adjustRightInd/>
        <w:snapToGrid w:val="0"/>
        <w:spacing w:before="0" w:beforeAutospacing="0" w:after="0" w:afterAutospacing="0" w:line="360" w:lineRule="auto"/>
        <w:ind w:left="442" w:hanging="442"/>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kern w:val="2"/>
          <w:sz w:val="22"/>
          <w:szCs w:val="22"/>
        </w:rPr>
        <w:t>马红媛,李绍阳,武海涛,孙梦丹,刘亚玲.松嫩1号羊草(全国畜牧总站，羊草新品系).全国畜牧总站区试2024.7.25.</w:t>
      </w:r>
      <w:bookmarkEnd w:id="19"/>
    </w:p>
    <w:p w14:paraId="47140AAD">
      <w:pPr>
        <w:pStyle w:val="15"/>
        <w:keepNext w:val="0"/>
        <w:keepLines w:val="0"/>
        <w:pageBreakBefore w:val="0"/>
        <w:widowControl/>
        <w:numPr>
          <w:ilvl w:val="0"/>
          <w:numId w:val="6"/>
        </w:numPr>
        <w:kinsoku/>
        <w:wordWrap/>
        <w:overflowPunct/>
        <w:topLinePunct w:val="0"/>
        <w:autoSpaceDE/>
        <w:autoSpaceDN/>
        <w:bidi w:val="0"/>
        <w:adjustRightInd/>
        <w:snapToGrid w:val="0"/>
        <w:spacing w:before="0" w:beforeAutospacing="0" w:after="0" w:afterAutospacing="0" w:line="360" w:lineRule="auto"/>
        <w:ind w:left="442" w:hanging="442"/>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kern w:val="2"/>
          <w:sz w:val="22"/>
          <w:szCs w:val="22"/>
        </w:rPr>
        <w:t>马红媛,赵丹丹,孙梦丹,李景玉,赖宪明.松嫩2号羊草.(国家林草局，羊草新品系),国家林草局区试2024.11.8.</w:t>
      </w:r>
    </w:p>
    <w:p w14:paraId="16148F72">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0" w:firstLine="440" w:firstLineChars="200"/>
        <w:textAlignment w:val="auto"/>
        <w:rPr>
          <w:rFonts w:hint="default" w:ascii="Times New Roman" w:hAnsi="Times New Roman" w:cs="Times New Roman"/>
          <w:b w:val="0"/>
          <w:bCs w:val="0"/>
          <w:sz w:val="22"/>
          <w:szCs w:val="22"/>
          <w:lang w:val="en-US" w:eastAsia="zh-CN"/>
        </w:rPr>
      </w:pPr>
      <w:bookmarkStart w:id="20" w:name="_Hlk106717181"/>
      <w:bookmarkStart w:id="21" w:name="_Hlk81921774"/>
      <w:r>
        <w:rPr>
          <w:rFonts w:hint="default" w:ascii="Times New Roman" w:hAnsi="Times New Roman" w:cs="Times New Roman"/>
          <w:b w:val="0"/>
          <w:bCs w:val="0"/>
          <w:sz w:val="22"/>
          <w:szCs w:val="22"/>
          <w:lang w:val="en-US" w:eastAsia="zh-CN"/>
        </w:rPr>
        <w:t>6）发明专利</w:t>
      </w:r>
    </w:p>
    <w:p w14:paraId="5DFBE7CC">
      <w:pPr>
        <w:pStyle w:val="34"/>
        <w:keepNext w:val="0"/>
        <w:keepLines w:val="0"/>
        <w:pageBreakBefore w:val="0"/>
        <w:widowControl w:val="0"/>
        <w:numPr>
          <w:ilvl w:val="0"/>
          <w:numId w:val="7"/>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马红媛;武海涛;李景玉;赖宪明;赵丹丹;李亚晓. 基于羊草根茎活化与有性补播同步异层的盐碱地修复方法. 专利号</w:t>
      </w:r>
      <w:r>
        <w:rPr>
          <w:rFonts w:hint="default" w:ascii="Times New Roman" w:hAnsi="Times New Roman" w:cs="Times New Roman"/>
          <w:b w:val="0"/>
          <w:bCs w:val="0"/>
          <w:sz w:val="22"/>
          <w:szCs w:val="22"/>
          <w:lang w:val="en-US" w:eastAsia="zh-CN"/>
        </w:rPr>
        <w:t xml:space="preserve">: </w:t>
      </w:r>
      <w:r>
        <w:rPr>
          <w:rFonts w:hint="default" w:ascii="Times New Roman" w:hAnsi="Times New Roman" w:eastAsia="宋体" w:cs="Times New Roman"/>
          <w:b w:val="0"/>
          <w:bCs w:val="0"/>
          <w:sz w:val="22"/>
          <w:szCs w:val="22"/>
        </w:rPr>
        <w:t>ZL 2026 1 0084054.3</w:t>
      </w:r>
    </w:p>
    <w:p w14:paraId="2C7F47B5">
      <w:pPr>
        <w:pStyle w:val="34"/>
        <w:keepNext w:val="0"/>
        <w:keepLines w:val="0"/>
        <w:pageBreakBefore w:val="0"/>
        <w:widowControl w:val="0"/>
        <w:numPr>
          <w:ilvl w:val="0"/>
          <w:numId w:val="7"/>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马红媛,诸葛燕辉,李景鹏,徐璐,赵丹丹.</w:t>
      </w:r>
      <w:r>
        <w:rPr>
          <w:rFonts w:hint="default" w:ascii="Times New Roman" w:hAnsi="Times New Roman" w:eastAsia="宋体" w:cs="Times New Roman"/>
          <w:b w:val="0"/>
          <w:bCs w:val="0"/>
          <w:color w:val="000000"/>
          <w:sz w:val="22"/>
          <w:szCs w:val="22"/>
        </w:rPr>
        <w:t>一种以羊草草斑原位治理碱斑的顶级植被快速恢复方法</w:t>
      </w:r>
      <w:r>
        <w:rPr>
          <w:rFonts w:hint="default" w:ascii="Times New Roman" w:hAnsi="Times New Roman" w:eastAsia="宋体" w:cs="Times New Roman"/>
          <w:b w:val="0"/>
          <w:bCs w:val="0"/>
          <w:sz w:val="22"/>
          <w:szCs w:val="22"/>
        </w:rPr>
        <w:t>.</w:t>
      </w:r>
      <w:r>
        <w:rPr>
          <w:rFonts w:hint="default" w:ascii="Times New Roman" w:hAnsi="Times New Roman" w:cs="Times New Roman"/>
          <w:b w:val="0"/>
          <w:bCs w:val="0"/>
          <w:sz w:val="22"/>
          <w:szCs w:val="22"/>
          <w:lang w:eastAsia="zh-CN"/>
        </w:rPr>
        <w:t>申请号</w:t>
      </w:r>
      <w:r>
        <w:rPr>
          <w:rFonts w:hint="default" w:ascii="Times New Roman" w:hAnsi="Times New Roman" w:cs="Times New Roman"/>
          <w:b w:val="0"/>
          <w:bCs w:val="0"/>
          <w:sz w:val="22"/>
          <w:szCs w:val="22"/>
          <w:lang w:val="en-US" w:eastAsia="zh-CN"/>
        </w:rPr>
        <w:t xml:space="preserve">: </w:t>
      </w:r>
      <w:r>
        <w:rPr>
          <w:rFonts w:hint="default" w:ascii="Times New Roman" w:hAnsi="Times New Roman" w:eastAsia="宋体" w:cs="Times New Roman"/>
          <w:b w:val="0"/>
          <w:bCs w:val="0"/>
          <w:sz w:val="22"/>
          <w:szCs w:val="22"/>
        </w:rPr>
        <w:t>2024116490273</w:t>
      </w:r>
    </w:p>
    <w:p w14:paraId="16F9C7D2">
      <w:pPr>
        <w:pStyle w:val="34"/>
        <w:keepNext w:val="0"/>
        <w:keepLines w:val="0"/>
        <w:pageBreakBefore w:val="0"/>
        <w:widowControl w:val="0"/>
        <w:numPr>
          <w:ilvl w:val="0"/>
          <w:numId w:val="7"/>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马红媛,孙梦丹,杜艳,赖宪明,亓雯雯,候伟峰.一种利用重离子束辐照羊草幼苗突变创制新种质的方法.申请号</w:t>
      </w:r>
      <w:r>
        <w:rPr>
          <w:rFonts w:hint="default" w:ascii="Times New Roman" w:hAnsi="Times New Roman" w:cs="Times New Roman"/>
          <w:b w:val="0"/>
          <w:bCs w:val="0"/>
          <w:sz w:val="22"/>
          <w:szCs w:val="22"/>
          <w:lang w:val="en-US" w:eastAsia="zh-CN"/>
        </w:rPr>
        <w:t xml:space="preserve">: </w:t>
      </w:r>
      <w:r>
        <w:rPr>
          <w:rFonts w:hint="default" w:ascii="Times New Roman" w:hAnsi="Times New Roman" w:eastAsia="宋体" w:cs="Times New Roman"/>
          <w:b w:val="0"/>
          <w:bCs w:val="0"/>
          <w:sz w:val="22"/>
          <w:szCs w:val="22"/>
        </w:rPr>
        <w:t>2024111426891</w:t>
      </w:r>
    </w:p>
    <w:p w14:paraId="3024DF0D">
      <w:pPr>
        <w:pStyle w:val="34"/>
        <w:keepNext w:val="0"/>
        <w:keepLines w:val="0"/>
        <w:pageBreakBefore w:val="0"/>
        <w:widowControl w:val="0"/>
        <w:numPr>
          <w:ilvl w:val="0"/>
          <w:numId w:val="7"/>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赖宪明,马红媛,李景玉,鲁英;李文利;李恩伟;张营超,韩东辰;王笛;倪志阳.一种基于地理信息的草地恢复效果评估方法及系统.专利号</w:t>
      </w:r>
      <w:r>
        <w:rPr>
          <w:rFonts w:hint="default" w:ascii="Times New Roman" w:hAnsi="Times New Roman" w:cs="Times New Roman"/>
          <w:b w:val="0"/>
          <w:bCs w:val="0"/>
          <w:sz w:val="22"/>
          <w:szCs w:val="22"/>
          <w:lang w:val="en-US" w:eastAsia="zh-CN"/>
        </w:rPr>
        <w:t xml:space="preserve">: </w:t>
      </w:r>
      <w:r>
        <w:rPr>
          <w:rFonts w:hint="default" w:ascii="Times New Roman" w:hAnsi="Times New Roman" w:eastAsia="宋体" w:cs="Times New Roman"/>
          <w:b w:val="0"/>
          <w:bCs w:val="0"/>
          <w:sz w:val="22"/>
          <w:szCs w:val="22"/>
        </w:rPr>
        <w:t>ZL202410535819.1</w:t>
      </w:r>
    </w:p>
    <w:p w14:paraId="336D455C">
      <w:pPr>
        <w:pStyle w:val="34"/>
        <w:keepNext w:val="0"/>
        <w:keepLines w:val="0"/>
        <w:pageBreakBefore w:val="0"/>
        <w:widowControl w:val="0"/>
        <w:numPr>
          <w:ilvl w:val="0"/>
          <w:numId w:val="7"/>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马红媛,孙梦丹,武自念,李景玉,赖宪明,候伟峰,李文利. 一种诱导东北地区羊草冬季抽穗的方法及其应用.受理发明专利, 申请号, 2024104959020</w:t>
      </w:r>
    </w:p>
    <w:p w14:paraId="462CB895">
      <w:pPr>
        <w:pStyle w:val="34"/>
        <w:keepNext w:val="0"/>
        <w:keepLines w:val="0"/>
        <w:pageBreakBefore w:val="0"/>
        <w:widowControl w:val="0"/>
        <w:numPr>
          <w:ilvl w:val="0"/>
          <w:numId w:val="7"/>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安丰华,王志春,杨帆,马红媛,杨福,李景鹏.一种盐碱地的改良方法.专利号:</w:t>
      </w:r>
      <w:r>
        <w:rPr>
          <w:rFonts w:hint="default" w:ascii="Times New Roman" w:hAnsi="Times New Roman" w:cs="Times New Roman"/>
          <w:b w:val="0"/>
          <w:bCs w:val="0"/>
          <w:sz w:val="22"/>
          <w:szCs w:val="22"/>
          <w:lang w:val="en-US" w:eastAsia="zh-CN"/>
        </w:rPr>
        <w:t xml:space="preserve"> </w:t>
      </w:r>
      <w:r>
        <w:rPr>
          <w:rFonts w:hint="default" w:ascii="Times New Roman" w:hAnsi="Times New Roman" w:eastAsia="宋体" w:cs="Times New Roman"/>
          <w:b w:val="0"/>
          <w:bCs w:val="0"/>
          <w:sz w:val="22"/>
          <w:szCs w:val="22"/>
        </w:rPr>
        <w:t>ZL 2023 1 0944721.7.</w:t>
      </w:r>
    </w:p>
    <w:p w14:paraId="3CB1F7CF">
      <w:pPr>
        <w:pStyle w:val="34"/>
        <w:keepNext w:val="0"/>
        <w:keepLines w:val="0"/>
        <w:pageBreakBefore w:val="0"/>
        <w:widowControl w:val="0"/>
        <w:numPr>
          <w:ilvl w:val="0"/>
          <w:numId w:val="7"/>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bookmarkStart w:id="22" w:name="OLE_LINK5"/>
      <w:r>
        <w:rPr>
          <w:rFonts w:hint="default" w:ascii="Times New Roman" w:hAnsi="Times New Roman" w:eastAsia="宋体" w:cs="Times New Roman"/>
          <w:b w:val="0"/>
          <w:bCs w:val="0"/>
          <w:sz w:val="22"/>
          <w:szCs w:val="22"/>
        </w:rPr>
        <w:t>马红媛,亓雯雯,李祎,李绍阳,李亚晓.一种模拟苏打盐碱土空间异质性的实验装置及使用方法.申请号: 202310104575.7.</w:t>
      </w:r>
    </w:p>
    <w:p w14:paraId="127C8536">
      <w:pPr>
        <w:pStyle w:val="34"/>
        <w:keepNext w:val="0"/>
        <w:keepLines w:val="0"/>
        <w:pageBreakBefore w:val="0"/>
        <w:widowControl w:val="0"/>
        <w:numPr>
          <w:ilvl w:val="0"/>
          <w:numId w:val="7"/>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马红媛,亓雯雯,李祎,李绍阳,李亚晓.一种模拟苏打盐碱土空间异质性的实验装置. 202320194716.4</w:t>
      </w:r>
      <w:bookmarkEnd w:id="22"/>
    </w:p>
    <w:p w14:paraId="0C8990A3">
      <w:pPr>
        <w:pStyle w:val="34"/>
        <w:keepNext w:val="0"/>
        <w:keepLines w:val="0"/>
        <w:pageBreakBefore w:val="0"/>
        <w:widowControl w:val="0"/>
        <w:numPr>
          <w:ilvl w:val="0"/>
          <w:numId w:val="7"/>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马红媛,李亚晓,杜艳,亓雯雯,李绍阳,李祎,赵丹丹,李景鹏,孙梦丹.</w:t>
      </w:r>
      <w:bookmarkStart w:id="23" w:name="OLE_LINK13"/>
      <w:r>
        <w:rPr>
          <w:rFonts w:hint="default" w:ascii="Times New Roman" w:hAnsi="Times New Roman" w:eastAsia="宋体" w:cs="Times New Roman"/>
          <w:b w:val="0"/>
          <w:bCs w:val="0"/>
          <w:sz w:val="22"/>
          <w:szCs w:val="22"/>
        </w:rPr>
        <w:t>一种快速高效获得耐盐碱羊草突变体材料的方法</w:t>
      </w:r>
      <w:bookmarkEnd w:id="23"/>
      <w:r>
        <w:rPr>
          <w:rFonts w:hint="default" w:ascii="Times New Roman" w:hAnsi="Times New Roman" w:eastAsia="宋体" w:cs="Times New Roman"/>
          <w:b w:val="0"/>
          <w:bCs w:val="0"/>
          <w:sz w:val="22"/>
          <w:szCs w:val="22"/>
        </w:rPr>
        <w:t>.专利号:</w:t>
      </w:r>
      <w:r>
        <w:rPr>
          <w:rFonts w:hint="default" w:ascii="Times New Roman" w:hAnsi="Times New Roman" w:cs="Times New Roman"/>
          <w:b w:val="0"/>
          <w:bCs w:val="0"/>
          <w:sz w:val="22"/>
          <w:szCs w:val="22"/>
          <w:lang w:val="en-US" w:eastAsia="zh-CN"/>
        </w:rPr>
        <w:t xml:space="preserve"> </w:t>
      </w:r>
      <w:r>
        <w:rPr>
          <w:rFonts w:hint="default" w:ascii="Times New Roman" w:hAnsi="Times New Roman" w:eastAsia="宋体" w:cs="Times New Roman"/>
          <w:b w:val="0"/>
          <w:bCs w:val="0"/>
          <w:sz w:val="22"/>
          <w:szCs w:val="22"/>
        </w:rPr>
        <w:t>ZL2022113116713.X</w:t>
      </w:r>
      <w:bookmarkStart w:id="24" w:name="OLE_LINK14"/>
    </w:p>
    <w:p w14:paraId="6452F56D">
      <w:pPr>
        <w:pStyle w:val="34"/>
        <w:keepNext w:val="0"/>
        <w:keepLines w:val="0"/>
        <w:pageBreakBefore w:val="0"/>
        <w:widowControl w:val="0"/>
        <w:numPr>
          <w:ilvl w:val="0"/>
          <w:numId w:val="7"/>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马红媛,李景鹏,李绍阳</w:t>
      </w:r>
      <w:bookmarkEnd w:id="24"/>
      <w:r>
        <w:rPr>
          <w:rFonts w:hint="default" w:ascii="Times New Roman" w:hAnsi="Times New Roman" w:eastAsia="宋体" w:cs="Times New Roman"/>
          <w:b w:val="0"/>
          <w:bCs w:val="0"/>
          <w:sz w:val="22"/>
          <w:szCs w:val="22"/>
        </w:rPr>
        <w:t>等.一种提高羊草种子在高盐环境下发芽率的萌发方法.专利号：ZL202110598196.9</w:t>
      </w:r>
      <w:bookmarkEnd w:id="20"/>
      <w:bookmarkStart w:id="25" w:name="_Hlk106717563"/>
    </w:p>
    <w:p w14:paraId="5D9E3648">
      <w:pPr>
        <w:pStyle w:val="34"/>
        <w:keepNext w:val="0"/>
        <w:keepLines w:val="0"/>
        <w:pageBreakBefore w:val="0"/>
        <w:widowControl w:val="0"/>
        <w:numPr>
          <w:ilvl w:val="0"/>
          <w:numId w:val="7"/>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马红媛,杨帆,赵丹丹,魏继平,梁正伟. 一种提高中重度苏打盐碱土羊草成活率的直播育苗方法,专利号</w:t>
      </w:r>
      <w:r>
        <w:rPr>
          <w:rFonts w:hint="default" w:ascii="Times New Roman" w:hAnsi="Times New Roman" w:cs="Times New Roman"/>
          <w:b w:val="0"/>
          <w:bCs w:val="0"/>
          <w:sz w:val="22"/>
          <w:szCs w:val="22"/>
          <w:lang w:val="en-US" w:eastAsia="zh-CN"/>
        </w:rPr>
        <w:t xml:space="preserve">: </w:t>
      </w:r>
      <w:r>
        <w:rPr>
          <w:rFonts w:hint="default" w:ascii="Times New Roman" w:hAnsi="Times New Roman" w:eastAsia="宋体" w:cs="Times New Roman"/>
          <w:b w:val="0"/>
          <w:bCs w:val="0"/>
          <w:sz w:val="22"/>
          <w:szCs w:val="22"/>
        </w:rPr>
        <w:t>ZL201710266421.2</w:t>
      </w:r>
    </w:p>
    <w:p w14:paraId="7EF888EA">
      <w:pPr>
        <w:pStyle w:val="34"/>
        <w:keepNext w:val="0"/>
        <w:keepLines w:val="0"/>
        <w:pageBreakBefore w:val="0"/>
        <w:widowControl w:val="0"/>
        <w:numPr>
          <w:ilvl w:val="0"/>
          <w:numId w:val="7"/>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bookmarkStart w:id="26" w:name="OLE_LINK15"/>
      <w:r>
        <w:rPr>
          <w:rFonts w:hint="default" w:ascii="Times New Roman" w:hAnsi="Times New Roman" w:eastAsia="宋体" w:cs="Times New Roman"/>
          <w:b w:val="0"/>
          <w:bCs w:val="0"/>
          <w:sz w:val="22"/>
          <w:szCs w:val="22"/>
        </w:rPr>
        <w:t>马红媛,姜昌杰,赵丹丹</w:t>
      </w:r>
      <w:bookmarkEnd w:id="26"/>
      <w:r>
        <w:rPr>
          <w:rFonts w:hint="default" w:ascii="Times New Roman" w:hAnsi="Times New Roman" w:eastAsia="宋体" w:cs="Times New Roman"/>
          <w:b w:val="0"/>
          <w:bCs w:val="0"/>
          <w:sz w:val="22"/>
          <w:szCs w:val="22"/>
        </w:rPr>
        <w:t>,魏继平,梁正伟.一种减少羊草抽穗促进营养生长的方法.专利号</w:t>
      </w:r>
      <w:r>
        <w:rPr>
          <w:rFonts w:hint="default" w:ascii="Times New Roman" w:hAnsi="Times New Roman" w:cs="Times New Roman"/>
          <w:b w:val="0"/>
          <w:bCs w:val="0"/>
          <w:sz w:val="22"/>
          <w:szCs w:val="22"/>
          <w:lang w:val="en-US" w:eastAsia="zh-CN"/>
        </w:rPr>
        <w:t xml:space="preserve">: </w:t>
      </w:r>
      <w:r>
        <w:rPr>
          <w:rFonts w:hint="default" w:ascii="Times New Roman" w:hAnsi="Times New Roman" w:eastAsia="宋体" w:cs="Times New Roman"/>
          <w:b w:val="0"/>
          <w:bCs w:val="0"/>
          <w:sz w:val="22"/>
          <w:szCs w:val="22"/>
        </w:rPr>
        <w:t>ZL201710263468.3.</w:t>
      </w:r>
      <w:bookmarkEnd w:id="21"/>
      <w:bookmarkEnd w:id="25"/>
    </w:p>
    <w:p w14:paraId="20D3F005">
      <w:pPr>
        <w:pStyle w:val="34"/>
        <w:keepNext w:val="0"/>
        <w:keepLines w:val="0"/>
        <w:pageBreakBefore w:val="0"/>
        <w:widowControl w:val="0"/>
        <w:numPr>
          <w:ilvl w:val="0"/>
          <w:numId w:val="7"/>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bookmarkStart w:id="27" w:name="OLE_LINK16"/>
      <w:r>
        <w:rPr>
          <w:rFonts w:hint="default" w:ascii="Times New Roman" w:hAnsi="Times New Roman" w:eastAsia="宋体" w:cs="Times New Roman"/>
          <w:b w:val="0"/>
          <w:bCs w:val="0"/>
          <w:sz w:val="22"/>
          <w:szCs w:val="22"/>
        </w:rPr>
        <w:t>梁正伟,马红媛.羊草低温浸种与变温组合发芽方法.专利号</w:t>
      </w:r>
      <w:r>
        <w:rPr>
          <w:rFonts w:hint="default" w:ascii="Times New Roman" w:hAnsi="Times New Roman" w:cs="Times New Roman"/>
          <w:b w:val="0"/>
          <w:bCs w:val="0"/>
          <w:sz w:val="22"/>
          <w:szCs w:val="22"/>
          <w:lang w:val="en-US" w:eastAsia="zh-CN"/>
        </w:rPr>
        <w:t xml:space="preserve">: </w:t>
      </w:r>
      <w:r>
        <w:rPr>
          <w:rFonts w:hint="default" w:ascii="Times New Roman" w:hAnsi="Times New Roman" w:eastAsia="宋体" w:cs="Times New Roman"/>
          <w:b w:val="0"/>
          <w:bCs w:val="0"/>
          <w:sz w:val="22"/>
          <w:szCs w:val="22"/>
        </w:rPr>
        <w:t>ZL200610163244.7.</w:t>
      </w:r>
      <w:bookmarkEnd w:id="27"/>
    </w:p>
    <w:p w14:paraId="73623220">
      <w:pPr>
        <w:pStyle w:val="34"/>
        <w:keepNext w:val="0"/>
        <w:keepLines w:val="0"/>
        <w:pageBreakBefore w:val="0"/>
        <w:widowControl w:val="0"/>
        <w:numPr>
          <w:ilvl w:val="0"/>
          <w:numId w:val="7"/>
        </w:numPr>
        <w:kinsoku/>
        <w:wordWrap/>
        <w:overflowPunct/>
        <w:topLinePunct w:val="0"/>
        <w:autoSpaceDE/>
        <w:autoSpaceDN/>
        <w:bidi w:val="0"/>
        <w:adjustRightInd/>
        <w:snapToGrid/>
        <w:spacing w:beforeAutospacing="0" w:afterAutospacing="0" w:line="360" w:lineRule="auto"/>
        <w:ind w:left="420" w:hanging="420" w:firstLineChars="0"/>
        <w:jc w:val="left"/>
        <w:textAlignment w:val="auto"/>
        <w:rPr>
          <w:rFonts w:hint="default" w:ascii="Times New Roman" w:hAnsi="Times New Roman" w:eastAsia="宋体" w:cs="Times New Roman"/>
          <w:b w:val="0"/>
          <w:bCs w:val="0"/>
          <w:sz w:val="22"/>
          <w:szCs w:val="22"/>
        </w:rPr>
      </w:pPr>
      <w:r>
        <w:rPr>
          <w:rFonts w:hint="default" w:ascii="Times New Roman" w:hAnsi="Times New Roman" w:eastAsia="宋体" w:cs="Times New Roman"/>
          <w:b w:val="0"/>
          <w:bCs w:val="0"/>
          <w:sz w:val="22"/>
          <w:szCs w:val="22"/>
        </w:rPr>
        <w:t>梁正伟,王志春,杨福,陈渊,马红媛.苏打盐碱地羊草植被恢复与重建的方法.专利号</w:t>
      </w:r>
      <w:r>
        <w:rPr>
          <w:rFonts w:hint="default" w:ascii="Times New Roman" w:hAnsi="Times New Roman" w:cs="Times New Roman"/>
          <w:b w:val="0"/>
          <w:bCs w:val="0"/>
          <w:sz w:val="22"/>
          <w:szCs w:val="22"/>
          <w:lang w:val="en-US" w:eastAsia="zh-CN"/>
        </w:rPr>
        <w:t xml:space="preserve">: </w:t>
      </w:r>
      <w:r>
        <w:rPr>
          <w:rFonts w:hint="default" w:ascii="Times New Roman" w:hAnsi="Times New Roman" w:eastAsia="宋体" w:cs="Times New Roman"/>
          <w:b w:val="0"/>
          <w:bCs w:val="0"/>
          <w:sz w:val="22"/>
          <w:szCs w:val="22"/>
          <w:shd w:val="clear" w:color="auto" w:fill="FFFFFF"/>
        </w:rPr>
        <w:t>ZL200410010867.1</w:t>
      </w:r>
    </w:p>
    <w:p w14:paraId="1517EC2B">
      <w:pPr>
        <w:pStyle w:val="34"/>
        <w:spacing w:line="360" w:lineRule="auto"/>
        <w:ind w:left="480" w:firstLine="0" w:firstLineChars="0"/>
        <w:rPr>
          <w:rFonts w:hint="default" w:ascii="Times New Roman" w:hAnsi="Times New Roman" w:cs="Times New Roman"/>
          <w:b w:val="0"/>
          <w:bCs w:val="0"/>
          <w:kern w:val="0"/>
          <w:sz w:val="22"/>
          <w:szCs w:val="20"/>
          <w:lang w:val="en-US" w:eastAsia="zh-CN"/>
        </w:rPr>
      </w:pPr>
      <w:r>
        <w:rPr>
          <w:rFonts w:hint="default" w:ascii="Times New Roman" w:hAnsi="Times New Roman" w:cs="Times New Roman"/>
          <w:b w:val="0"/>
          <w:bCs w:val="0"/>
          <w:kern w:val="0"/>
          <w:sz w:val="22"/>
          <w:szCs w:val="20"/>
          <w:lang w:val="en-US" w:eastAsia="zh-CN"/>
        </w:rPr>
        <w:t>（4.1） 松嫩平原盐碱地分级与改良及羊草建植技术</w:t>
      </w:r>
    </w:p>
    <w:p w14:paraId="63A97E8F">
      <w:pPr>
        <w:spacing w:line="360" w:lineRule="auto"/>
        <w:ind w:firstLine="420" w:firstLineChars="200"/>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根据文献查阅、相关实验研究结果以及多年的实践经验，确地了本标准中改良剂使用的必要性。基于实验站长期实验，提出了松嫩平原不同级别苏打盐碱化草地羊草草地建植的技术，包括建植前的改良剂添加、确定适宜播种密度、围封等田间管理等。</w:t>
      </w:r>
    </w:p>
    <w:p w14:paraId="33A18519">
      <w:pPr>
        <w:spacing w:line="360" w:lineRule="auto"/>
        <w:ind w:firstLine="440" w:firstLineChars="200"/>
        <w:rPr>
          <w:rFonts w:hint="default" w:ascii="Times New Roman" w:hAnsi="Times New Roman" w:cs="Times New Roman"/>
          <w:szCs w:val="21"/>
          <w:lang w:val="en-US" w:eastAsia="zh-CN"/>
        </w:rPr>
      </w:pPr>
      <w:r>
        <w:rPr>
          <w:rFonts w:hint="default" w:ascii="Times New Roman" w:hAnsi="Times New Roman" w:cs="Times New Roman"/>
          <w:b w:val="0"/>
          <w:bCs w:val="0"/>
          <w:kern w:val="0"/>
          <w:sz w:val="22"/>
          <w:szCs w:val="20"/>
          <w:lang w:val="en-US" w:eastAsia="zh-CN"/>
        </w:rPr>
        <w:t>（4.2）</w:t>
      </w:r>
      <w:r>
        <w:rPr>
          <w:rFonts w:hint="default" w:ascii="Times New Roman" w:hAnsi="Times New Roman" w:cs="Times New Roman"/>
          <w:szCs w:val="21"/>
          <w:lang w:val="en-US" w:eastAsia="zh-CN"/>
        </w:rPr>
        <w:t>羊草补播密度</w:t>
      </w:r>
    </w:p>
    <w:p w14:paraId="7C26CC74">
      <w:pPr>
        <w:spacing w:line="360" w:lineRule="auto"/>
        <w:ind w:firstLine="420" w:firstLineChars="200"/>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在轻、中、重盐碱化草地进行了羊草建植技术的实施，证实了羊草补播及不同补播密度显著提高轻中度盐碱化草地地上生产力，但对重度盐碱化草地无显著促进作用。具体的，品种在轻中度盐碱地直播后植物群落盖度及生物量，如图1，羊草种子直播处理后植被盖度显著高于对照，CK1-密度2盖度最高，为86.7%，其次为M1-密度2，盖度为79.3%；羊草直播后植被生物量高于对照。</w:t>
      </w:r>
    </w:p>
    <w:p w14:paraId="40BEA558">
      <w:pPr>
        <w:spacing w:line="360" w:lineRule="auto"/>
        <w:rPr>
          <w:rFonts w:hint="default" w:ascii="Times New Roman" w:hAnsi="Times New Roman" w:eastAsia="华文仿宋" w:cs="Times New Roman"/>
          <w:sz w:val="24"/>
          <w:szCs w:val="32"/>
        </w:rPr>
      </w:pPr>
      <w:r>
        <w:rPr>
          <w:rFonts w:hint="default" w:ascii="Times New Roman" w:hAnsi="Times New Roman" w:cs="Times New Roman"/>
        </w:rPr>
        <w:drawing>
          <wp:inline distT="0" distB="0" distL="114300" distR="114300">
            <wp:extent cx="2687955" cy="1698625"/>
            <wp:effectExtent l="0" t="0" r="4445" b="3175"/>
            <wp:docPr id="13" name="图片 13" descr="中度新品种盖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中度新品种盖度"/>
                    <pic:cNvPicPr>
                      <a:picLocks noChangeAspect="1"/>
                    </pic:cNvPicPr>
                  </pic:nvPicPr>
                  <pic:blipFill>
                    <a:blip r:embed="rId6" cstate="print"/>
                    <a:stretch>
                      <a:fillRect/>
                    </a:stretch>
                  </pic:blipFill>
                  <pic:spPr>
                    <a:xfrm>
                      <a:off x="0" y="0"/>
                      <a:ext cx="2735541" cy="1729064"/>
                    </a:xfrm>
                    <a:prstGeom prst="rect">
                      <a:avLst/>
                    </a:prstGeom>
                  </pic:spPr>
                </pic:pic>
              </a:graphicData>
            </a:graphic>
          </wp:inline>
        </w:drawing>
      </w:r>
      <w:r>
        <w:rPr>
          <w:rFonts w:hint="default" w:ascii="Times New Roman" w:hAnsi="Times New Roman" w:cs="Times New Roman"/>
        </w:rPr>
        <w:drawing>
          <wp:inline distT="0" distB="0" distL="114300" distR="114300">
            <wp:extent cx="2718435" cy="1699260"/>
            <wp:effectExtent l="0" t="0" r="12065" b="2540"/>
            <wp:docPr id="1503786553" name="图片 1503786553" descr="中度新品种生物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786553" name="图片 1503786553" descr="中度新品种生物量"/>
                    <pic:cNvPicPr>
                      <a:picLocks noChangeAspect="1"/>
                    </pic:cNvPicPr>
                  </pic:nvPicPr>
                  <pic:blipFill>
                    <a:blip r:embed="rId7" cstate="print">
                      <a:clrChange>
                        <a:clrFrom>
                          <a:srgbClr val="FFFFFF">
                            <a:alpha val="100000"/>
                          </a:srgbClr>
                        </a:clrFrom>
                        <a:clrTo>
                          <a:srgbClr val="FFFFFF">
                            <a:alpha val="100000"/>
                            <a:alpha val="0"/>
                          </a:srgbClr>
                        </a:clrTo>
                      </a:clrChange>
                      <a:lum bright="-6000"/>
                    </a:blip>
                    <a:stretch>
                      <a:fillRect/>
                    </a:stretch>
                  </pic:blipFill>
                  <pic:spPr>
                    <a:xfrm>
                      <a:off x="0" y="0"/>
                      <a:ext cx="2753940" cy="1721212"/>
                    </a:xfrm>
                    <a:prstGeom prst="rect">
                      <a:avLst/>
                    </a:prstGeom>
                  </pic:spPr>
                </pic:pic>
              </a:graphicData>
            </a:graphic>
          </wp:inline>
        </w:drawing>
      </w:r>
    </w:p>
    <w:p w14:paraId="6CBBF3BE">
      <w:pPr>
        <w:spacing w:line="360" w:lineRule="auto"/>
        <w:ind w:firstLine="420" w:firstLineChars="200"/>
        <w:jc w:val="cente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图1 羊草新品种对轻中度盐碱化草地植物群落盖度和生物量的影响</w:t>
      </w:r>
    </w:p>
    <w:p w14:paraId="2F53815A">
      <w:pPr>
        <w:spacing w:line="360" w:lineRule="auto"/>
        <w:ind w:firstLine="420" w:firstLineChars="200"/>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如图2所示，在重度盐碱化草地播种不同类型羊草品种，其植被群落盖度具有一定差异，但是差异不显著，其中CK1+密度2小区植被盖度较高，为94.3%，其次为CK2+密度2，盖度为92.7%。</w:t>
      </w:r>
    </w:p>
    <w:p w14:paraId="5EFB6C80">
      <w:pPr>
        <w:spacing w:line="360" w:lineRule="auto"/>
        <w:ind w:firstLine="420" w:firstLineChars="200"/>
        <w:jc w:val="center"/>
        <w:rPr>
          <w:rFonts w:hint="default" w:ascii="Times New Roman" w:hAnsi="Times New Roman" w:eastAsia="华文仿宋" w:cs="Times New Roman"/>
          <w:sz w:val="24"/>
          <w:szCs w:val="32"/>
        </w:rPr>
      </w:pPr>
      <w:r>
        <w:rPr>
          <w:rFonts w:hint="default" w:ascii="Times New Roman" w:hAnsi="Times New Roman" w:cs="Times New Roman"/>
        </w:rPr>
        <w:drawing>
          <wp:inline distT="0" distB="0" distL="114300" distR="114300">
            <wp:extent cx="3681095" cy="1800225"/>
            <wp:effectExtent l="0" t="0" r="1905" b="3175"/>
            <wp:docPr id="2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pic:cNvPicPr>
                      <a:picLocks noChangeAspect="1"/>
                    </pic:cNvPicPr>
                  </pic:nvPicPr>
                  <pic:blipFill>
                    <a:blip r:embed="rId8"/>
                    <a:stretch>
                      <a:fillRect/>
                    </a:stretch>
                  </pic:blipFill>
                  <pic:spPr>
                    <a:xfrm>
                      <a:off x="0" y="0"/>
                      <a:ext cx="3681095" cy="1800225"/>
                    </a:xfrm>
                    <a:prstGeom prst="rect">
                      <a:avLst/>
                    </a:prstGeom>
                  </pic:spPr>
                </pic:pic>
              </a:graphicData>
            </a:graphic>
          </wp:inline>
        </w:drawing>
      </w:r>
    </w:p>
    <w:p w14:paraId="237760B6">
      <w:pPr>
        <w:pStyle w:val="2"/>
        <w:spacing w:line="360" w:lineRule="auto"/>
        <w:ind w:left="0" w:left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图2 羊草新品种对重度盐碱化芦苇草地植物群落盖度的影响</w:t>
      </w:r>
    </w:p>
    <w:p w14:paraId="7A0A46EA">
      <w:pPr>
        <w:spacing w:line="360" w:lineRule="auto"/>
        <w:ind w:firstLine="420" w:firstLineChars="200"/>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图3为羊草新品种对重度盐碱地植被群落生物量的影响，中科2号+密度2小区植被生物量低于对照，其他处理均高于对照，但不显著。其中中科1号小区植被生物量均值，为483.3 g/m</w:t>
      </w:r>
      <w:r>
        <w:rPr>
          <w:rFonts w:hint="default" w:ascii="Times New Roman" w:hAnsi="Times New Roman" w:cs="Times New Roman"/>
          <w:szCs w:val="21"/>
          <w:vertAlign w:val="superscript"/>
          <w:lang w:val="en-US" w:eastAsia="zh-CN"/>
        </w:rPr>
        <w:t>2</w:t>
      </w:r>
      <w:r>
        <w:rPr>
          <w:rFonts w:hint="default" w:ascii="Times New Roman" w:hAnsi="Times New Roman" w:cs="Times New Roman"/>
          <w:szCs w:val="21"/>
          <w:lang w:val="en-US" w:eastAsia="zh-CN"/>
        </w:rPr>
        <w:t>，比对照增加64.5%。但补播羊草后的重度盐碱化草地植物群落组成，与未进行补播的对照的重度盐碱化草地物种组成存在显著差异，如图4所示。</w:t>
      </w:r>
    </w:p>
    <w:p w14:paraId="7B166965">
      <w:pPr>
        <w:spacing w:line="360" w:lineRule="auto"/>
        <w:jc w:val="center"/>
        <w:rPr>
          <w:rFonts w:hint="default" w:ascii="Times New Roman" w:hAnsi="Times New Roman" w:eastAsia="华文仿宋" w:cs="Times New Roman"/>
          <w:sz w:val="24"/>
          <w:szCs w:val="32"/>
        </w:rPr>
      </w:pPr>
      <w:r>
        <w:rPr>
          <w:rFonts w:hint="default" w:ascii="Times New Roman" w:hAnsi="Times New Roman" w:cs="Times New Roman"/>
        </w:rPr>
        <w:drawing>
          <wp:inline distT="0" distB="0" distL="114300" distR="114300">
            <wp:extent cx="3656330" cy="1800225"/>
            <wp:effectExtent l="0" t="0" r="1270" b="317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9"/>
                    <a:stretch>
                      <a:fillRect/>
                    </a:stretch>
                  </pic:blipFill>
                  <pic:spPr>
                    <a:xfrm>
                      <a:off x="0" y="0"/>
                      <a:ext cx="3656330" cy="1800225"/>
                    </a:xfrm>
                    <a:prstGeom prst="rect">
                      <a:avLst/>
                    </a:prstGeom>
                  </pic:spPr>
                </pic:pic>
              </a:graphicData>
            </a:graphic>
          </wp:inline>
        </w:drawing>
      </w:r>
    </w:p>
    <w:p w14:paraId="1732C46E">
      <w:pPr>
        <w:spacing w:line="360" w:lineRule="auto"/>
        <w:ind w:firstLine="420" w:firstLineChars="200"/>
        <w:jc w:val="center"/>
        <w:rPr>
          <w:rFonts w:hint="default" w:ascii="Times New Roman" w:hAnsi="Times New Roman" w:eastAsia="宋体" w:cs="Times New Roman"/>
          <w:kern w:val="2"/>
          <w:sz w:val="24"/>
          <w:szCs w:val="24"/>
          <w:lang w:val="en-US" w:eastAsia="zh-CN" w:bidi="ar-SA"/>
        </w:rPr>
      </w:pPr>
      <w:r>
        <w:rPr>
          <w:rFonts w:hint="default" w:ascii="Times New Roman" w:hAnsi="Times New Roman" w:cs="Times New Roman"/>
          <w:szCs w:val="21"/>
          <w:lang w:val="en-US" w:eastAsia="zh-CN"/>
        </w:rPr>
        <w:t>图3 羊草新品种对重度盐碱化芦苇草地植物群落生物量的影响</w:t>
      </w:r>
    </w:p>
    <w:p w14:paraId="1997181E">
      <w:pPr>
        <w:spacing w:line="360" w:lineRule="auto"/>
        <w:ind w:firstLine="420" w:firstLineChars="200"/>
        <w:jc w:val="center"/>
        <w:rPr>
          <w:rFonts w:hint="default" w:ascii="Times New Roman" w:hAnsi="Times New Roman" w:eastAsia="华文仿宋" w:cs="Times New Roman"/>
          <w:sz w:val="24"/>
          <w:szCs w:val="32"/>
        </w:rPr>
      </w:pPr>
      <w:r>
        <w:rPr>
          <w:rFonts w:hint="default" w:ascii="Times New Roman" w:hAnsi="Times New Roman" w:cs="Times New Roman"/>
        </w:rPr>
        <w:drawing>
          <wp:inline distT="0" distB="0" distL="114300" distR="114300">
            <wp:extent cx="2812415" cy="1800225"/>
            <wp:effectExtent l="0" t="0" r="6985" b="317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0"/>
                    <a:stretch>
                      <a:fillRect/>
                    </a:stretch>
                  </pic:blipFill>
                  <pic:spPr>
                    <a:xfrm>
                      <a:off x="0" y="0"/>
                      <a:ext cx="2812415" cy="1800225"/>
                    </a:xfrm>
                    <a:prstGeom prst="rect">
                      <a:avLst/>
                    </a:prstGeom>
                  </pic:spPr>
                </pic:pic>
              </a:graphicData>
            </a:graphic>
          </wp:inline>
        </w:drawing>
      </w:r>
    </w:p>
    <w:p w14:paraId="2690E662">
      <w:pPr>
        <w:spacing w:line="360" w:lineRule="auto"/>
        <w:ind w:firstLine="420" w:firstLineChars="200"/>
        <w:jc w:val="cente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图4 重度盐碱化羊草新品种建植草地植物群落NMDS</w:t>
      </w:r>
    </w:p>
    <w:p w14:paraId="202745E0">
      <w:pPr>
        <w:spacing w:line="360" w:lineRule="auto"/>
        <w:ind w:firstLine="440" w:firstLineChars="200"/>
        <w:rPr>
          <w:rFonts w:hint="default" w:ascii="Times New Roman" w:hAnsi="Times New Roman" w:cs="Times New Roman"/>
          <w:szCs w:val="21"/>
          <w:lang w:val="en-US" w:eastAsia="zh-CN"/>
        </w:rPr>
      </w:pPr>
      <w:r>
        <w:rPr>
          <w:rFonts w:hint="default" w:ascii="Times New Roman" w:hAnsi="Times New Roman" w:cs="Times New Roman"/>
          <w:b w:val="0"/>
          <w:bCs w:val="0"/>
          <w:kern w:val="0"/>
          <w:sz w:val="22"/>
          <w:szCs w:val="20"/>
          <w:lang w:val="en-US" w:eastAsia="zh-CN"/>
        </w:rPr>
        <w:t>（4.3）</w:t>
      </w:r>
      <w:r>
        <w:rPr>
          <w:rFonts w:hint="default" w:ascii="Times New Roman" w:hAnsi="Times New Roman" w:cs="Times New Roman"/>
          <w:szCs w:val="21"/>
          <w:lang w:val="en-US" w:eastAsia="zh-CN"/>
        </w:rPr>
        <w:t>盐碱化草地播撒改良剂效果</w:t>
      </w:r>
    </w:p>
    <w:p w14:paraId="5AD879E8">
      <w:pPr>
        <w:spacing w:line="360" w:lineRule="auto"/>
        <w:ind w:firstLine="420" w:firstLineChars="200"/>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改良剂的添加对提高盐碱化草地生产力和覆盖度具有显著促进效应。具体的，对于盐碱化草地，添加改良剂使得植被盖度和生物量均高于未处理的盐碱化草地，其中“菌肥+中科1号羊草”处理植被盖度显著提升了2倍，“木醋液+中科1号羊草”处理地上生物量提升的最高，为250 g/m</w:t>
      </w:r>
      <w:r>
        <w:rPr>
          <w:rFonts w:hint="default" w:ascii="Times New Roman" w:hAnsi="Times New Roman" w:cs="Times New Roman"/>
          <w:szCs w:val="21"/>
          <w:vertAlign w:val="superscript"/>
          <w:lang w:val="en-US" w:eastAsia="zh-CN"/>
        </w:rPr>
        <w:t>2</w:t>
      </w:r>
      <w:r>
        <w:rPr>
          <w:rFonts w:hint="default" w:ascii="Times New Roman" w:hAnsi="Times New Roman" w:cs="Times New Roman"/>
          <w:szCs w:val="21"/>
          <w:lang w:val="en-US" w:eastAsia="zh-CN"/>
        </w:rPr>
        <w:t>，显著提升了2.5倍，如图5所示。</w:t>
      </w:r>
    </w:p>
    <w:p w14:paraId="0606BC5E">
      <w:pPr>
        <w:spacing w:line="360" w:lineRule="auto"/>
        <w:rPr>
          <w:rFonts w:hint="default" w:ascii="Times New Roman" w:hAnsi="Times New Roman" w:eastAsia="华文仿宋" w:cs="Times New Roman"/>
          <w:sz w:val="24"/>
          <w:szCs w:val="32"/>
        </w:rPr>
      </w:pPr>
      <w:r>
        <w:rPr>
          <w:rFonts w:hint="default" w:ascii="Times New Roman" w:hAnsi="Times New Roman" w:cs="Times New Roman"/>
        </w:rPr>
        <w:drawing>
          <wp:inline distT="0" distB="0" distL="114300" distR="114300">
            <wp:extent cx="2642235" cy="1983740"/>
            <wp:effectExtent l="0" t="0" r="0" b="10160"/>
            <wp:docPr id="1" name="图片 1" descr="中度改良剂盖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中度改良剂盖度"/>
                    <pic:cNvPicPr>
                      <a:picLocks noChangeAspect="1"/>
                    </pic:cNvPicPr>
                  </pic:nvPicPr>
                  <pic:blipFill>
                    <a:blip r:embed="rId11">
                      <a:clrChange>
                        <a:clrFrom>
                          <a:srgbClr val="FFFFFF">
                            <a:alpha val="100000"/>
                          </a:srgbClr>
                        </a:clrFrom>
                        <a:clrTo>
                          <a:srgbClr val="FFFFFF">
                            <a:alpha val="100000"/>
                            <a:alpha val="0"/>
                          </a:srgbClr>
                        </a:clrTo>
                      </a:clrChange>
                      <a:lum bright="-6000"/>
                    </a:blip>
                    <a:stretch>
                      <a:fillRect/>
                    </a:stretch>
                  </pic:blipFill>
                  <pic:spPr>
                    <a:xfrm>
                      <a:off x="0" y="0"/>
                      <a:ext cx="2675321" cy="2008577"/>
                    </a:xfrm>
                    <a:prstGeom prst="rect">
                      <a:avLst/>
                    </a:prstGeom>
                  </pic:spPr>
                </pic:pic>
              </a:graphicData>
            </a:graphic>
          </wp:inline>
        </w:drawing>
      </w:r>
      <w:r>
        <w:rPr>
          <w:rFonts w:hint="default" w:ascii="Times New Roman" w:hAnsi="Times New Roman" w:cs="Times New Roman"/>
        </w:rPr>
        <w:drawing>
          <wp:inline distT="0" distB="0" distL="114300" distR="114300">
            <wp:extent cx="2719705" cy="2046605"/>
            <wp:effectExtent l="0" t="0" r="10795" b="10795"/>
            <wp:docPr id="1503169103" name="图片 1503169103" descr="中度不同改良剂生物量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169103" name="图片 1503169103" descr="中度不同改良剂生物量6：4.5"/>
                    <pic:cNvPicPr>
                      <a:picLocks noChangeAspect="1"/>
                    </pic:cNvPicPr>
                  </pic:nvPicPr>
                  <pic:blipFill>
                    <a:blip r:embed="rId12"/>
                    <a:stretch>
                      <a:fillRect/>
                    </a:stretch>
                  </pic:blipFill>
                  <pic:spPr>
                    <a:xfrm>
                      <a:off x="0" y="0"/>
                      <a:ext cx="2735958" cy="2058698"/>
                    </a:xfrm>
                    <a:prstGeom prst="rect">
                      <a:avLst/>
                    </a:prstGeom>
                  </pic:spPr>
                </pic:pic>
              </a:graphicData>
            </a:graphic>
          </wp:inline>
        </w:drawing>
      </w:r>
    </w:p>
    <w:p w14:paraId="1BD3A243">
      <w:pPr>
        <w:spacing w:line="360" w:lineRule="auto"/>
        <w:ind w:firstLine="420" w:firstLineChars="200"/>
        <w:jc w:val="cente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图5 不同改良剂对盐碱地植物群落盖度和生物量的影响</w:t>
      </w:r>
    </w:p>
    <w:p w14:paraId="7E69E03C">
      <w:pPr>
        <w:spacing w:line="360" w:lineRule="auto"/>
        <w:ind w:firstLine="440" w:firstLineChars="200"/>
        <w:rPr>
          <w:rFonts w:hint="default" w:ascii="Times New Roman" w:hAnsi="Times New Roman" w:cs="Times New Roman"/>
          <w:szCs w:val="21"/>
          <w:lang w:val="en-US" w:eastAsia="zh-CN"/>
        </w:rPr>
      </w:pPr>
      <w:r>
        <w:rPr>
          <w:rFonts w:hint="default" w:ascii="Times New Roman" w:hAnsi="Times New Roman" w:cs="Times New Roman"/>
          <w:b w:val="0"/>
          <w:bCs w:val="0"/>
          <w:kern w:val="0"/>
          <w:sz w:val="22"/>
          <w:szCs w:val="20"/>
          <w:lang w:val="en-US" w:eastAsia="zh-CN"/>
        </w:rPr>
        <w:t>（4.4）</w:t>
      </w:r>
      <w:r>
        <w:rPr>
          <w:rFonts w:hint="default" w:ascii="Times New Roman" w:hAnsi="Times New Roman" w:cs="Times New Roman"/>
          <w:szCs w:val="21"/>
          <w:lang w:val="en-US" w:eastAsia="zh-CN"/>
        </w:rPr>
        <w:t>耕作技术筛选</w:t>
      </w:r>
    </w:p>
    <w:p w14:paraId="3E835A3B">
      <w:pPr>
        <w:spacing w:line="360" w:lineRule="auto"/>
        <w:ind w:firstLine="420" w:firstLineChars="200"/>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不同耕作处理对盐碱化草地地上生产力和覆盖度的影响存在显著差异。具体的，如图6所示，对轻中度盐碱地植被群落高度和生物量的影响，深松处理效果最佳，盖度为85.7%，显著高于对照；耕作处理对植被生物量具有提升作用，重耙+中科1号处理生物量最高，为349.6 g/m</w:t>
      </w:r>
      <w:r>
        <w:rPr>
          <w:rFonts w:hint="default" w:ascii="Times New Roman" w:hAnsi="Times New Roman" w:cs="Times New Roman"/>
          <w:szCs w:val="21"/>
          <w:vertAlign w:val="superscript"/>
          <w:lang w:val="en-US" w:eastAsia="zh-CN"/>
        </w:rPr>
        <w:t>2</w:t>
      </w:r>
      <w:r>
        <w:rPr>
          <w:rFonts w:hint="default" w:ascii="Times New Roman" w:hAnsi="Times New Roman" w:cs="Times New Roman"/>
          <w:szCs w:val="21"/>
          <w:lang w:val="en-US" w:eastAsia="zh-CN"/>
        </w:rPr>
        <w:t>，其次为深松处理，生物量为328.3 g/m</w:t>
      </w:r>
      <w:r>
        <w:rPr>
          <w:rFonts w:hint="default" w:ascii="Times New Roman" w:hAnsi="Times New Roman" w:cs="Times New Roman"/>
          <w:szCs w:val="21"/>
          <w:vertAlign w:val="superscript"/>
          <w:lang w:val="en-US" w:eastAsia="zh-CN"/>
        </w:rPr>
        <w:t>2</w:t>
      </w:r>
      <w:r>
        <w:rPr>
          <w:rFonts w:hint="default" w:ascii="Times New Roman" w:hAnsi="Times New Roman" w:cs="Times New Roman"/>
          <w:szCs w:val="21"/>
          <w:lang w:val="en-US" w:eastAsia="zh-CN"/>
        </w:rPr>
        <w:t>。</w:t>
      </w:r>
    </w:p>
    <w:p w14:paraId="080AB6AC">
      <w:pPr>
        <w:spacing w:line="360" w:lineRule="auto"/>
        <w:rPr>
          <w:rFonts w:hint="default" w:ascii="Times New Roman" w:hAnsi="Times New Roman" w:eastAsia="华文仿宋" w:cs="Times New Roman"/>
          <w:sz w:val="24"/>
          <w:szCs w:val="32"/>
        </w:rPr>
      </w:pPr>
      <w:r>
        <w:rPr>
          <w:rFonts w:hint="default" w:ascii="Times New Roman" w:hAnsi="Times New Roman" w:cs="Times New Roman"/>
        </w:rPr>
        <w:drawing>
          <wp:inline distT="0" distB="0" distL="114300" distR="114300">
            <wp:extent cx="2633980" cy="1648460"/>
            <wp:effectExtent l="0" t="0" r="7620" b="2540"/>
            <wp:docPr id="194758857" name="图片 194758857" descr="中度新种植技术盖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58857" name="图片 194758857" descr="中度新种植技术盖度"/>
                    <pic:cNvPicPr>
                      <a:picLocks noChangeAspect="1"/>
                    </pic:cNvPicPr>
                  </pic:nvPicPr>
                  <pic:blipFill>
                    <a:blip r:embed="rId13" cstate="print"/>
                    <a:stretch>
                      <a:fillRect/>
                    </a:stretch>
                  </pic:blipFill>
                  <pic:spPr>
                    <a:xfrm>
                      <a:off x="0" y="0"/>
                      <a:ext cx="2676430" cy="1675546"/>
                    </a:xfrm>
                    <a:prstGeom prst="rect">
                      <a:avLst/>
                    </a:prstGeom>
                  </pic:spPr>
                </pic:pic>
              </a:graphicData>
            </a:graphic>
          </wp:inline>
        </w:drawing>
      </w:r>
      <w:r>
        <w:rPr>
          <w:rFonts w:hint="default" w:ascii="Times New Roman" w:hAnsi="Times New Roman" w:cs="Times New Roman"/>
        </w:rPr>
        <w:drawing>
          <wp:inline distT="0" distB="0" distL="114300" distR="114300">
            <wp:extent cx="2574290" cy="1594485"/>
            <wp:effectExtent l="0" t="0" r="3810" b="5715"/>
            <wp:docPr id="1078153929" name="图片 1078153929" descr="中度新种植技术生物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153929" name="图片 1078153929" descr="中度新种植技术生物量"/>
                    <pic:cNvPicPr>
                      <a:picLocks noChangeAspect="1"/>
                    </pic:cNvPicPr>
                  </pic:nvPicPr>
                  <pic:blipFill>
                    <a:blip r:embed="rId14" cstate="print"/>
                    <a:stretch>
                      <a:fillRect/>
                    </a:stretch>
                  </pic:blipFill>
                  <pic:spPr>
                    <a:xfrm>
                      <a:off x="0" y="0"/>
                      <a:ext cx="2634191" cy="1631623"/>
                    </a:xfrm>
                    <a:prstGeom prst="rect">
                      <a:avLst/>
                    </a:prstGeom>
                  </pic:spPr>
                </pic:pic>
              </a:graphicData>
            </a:graphic>
          </wp:inline>
        </w:drawing>
      </w:r>
    </w:p>
    <w:p w14:paraId="5534A9CC">
      <w:pPr>
        <w:spacing w:line="360" w:lineRule="auto"/>
        <w:ind w:firstLine="420" w:firstLineChars="200"/>
        <w:jc w:val="cente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图6 羊草新种植技术对轻中度盐碱地植物群落盖度和生物量的影响</w:t>
      </w:r>
    </w:p>
    <w:p w14:paraId="554350DF">
      <w:pPr>
        <w:spacing w:line="360" w:lineRule="auto"/>
        <w:ind w:firstLine="440" w:firstLineChars="200"/>
        <w:rPr>
          <w:rFonts w:hint="default" w:ascii="Times New Roman" w:hAnsi="Times New Roman" w:cs="Times New Roman"/>
          <w:szCs w:val="21"/>
          <w:lang w:val="en-US" w:eastAsia="zh-CN"/>
        </w:rPr>
      </w:pPr>
      <w:r>
        <w:rPr>
          <w:rFonts w:hint="default" w:ascii="Times New Roman" w:hAnsi="Times New Roman" w:cs="Times New Roman"/>
          <w:b w:val="0"/>
          <w:bCs w:val="0"/>
          <w:kern w:val="0"/>
          <w:sz w:val="22"/>
          <w:szCs w:val="20"/>
          <w:lang w:val="en-US" w:eastAsia="zh-CN"/>
        </w:rPr>
        <w:t>（4.5）</w:t>
      </w:r>
      <w:r>
        <w:rPr>
          <w:rFonts w:hint="default" w:ascii="Times New Roman" w:hAnsi="Times New Roman" w:cs="Times New Roman"/>
          <w:szCs w:val="21"/>
          <w:lang w:val="en-US" w:eastAsia="zh-CN"/>
        </w:rPr>
        <w:t>不同松嫩平原盐碱地羊草草地建植技术后的草地植物群落和土壤性质</w:t>
      </w:r>
    </w:p>
    <w:p w14:paraId="06223884">
      <w:pPr>
        <w:spacing w:line="360" w:lineRule="auto"/>
        <w:ind w:firstLine="420" w:firstLineChars="200"/>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确定了不同建植技术实施后不同级别盐碱化草地植物群落组成的差异。在物种组成方面，不同单项技术对群落物种组成影响程度不同，即不同单项技术与对照样地的物种组成相似度不同，其中不同单项技术对中重度盐碱化草地的物种组成影响大，与对照样地的相似度小。轻中度盐碱化草地实施盐碱化草地改良技术在对物种较小的影响下，增加了地上生物量。</w:t>
      </w:r>
    </w:p>
    <w:p w14:paraId="69DEC0C5">
      <w:pPr>
        <w:spacing w:line="360" w:lineRule="auto"/>
        <w:ind w:firstLine="420" w:firstLineChars="200"/>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不同单项技术改变了轻中度盐碱化草地的物种组成。轻中度盐碱化对照草地，调查到16种草本植物，隶属8科；而不同修复技术下轻中度盐碱化草地与对照草地植物组成相似度范围0.27至0.54，物种数范围是7至21种。16个单项技术处理中，与对照样地植物群落组成相似度最高的三项技术是磷酸脲+中科、腐殖酸+中科、CK1-密度2处理，相似度分别为0.54、0.5、0.48；相似度最低的单项技术是重耙+改+中科、重耙+中科处理，相似度分别为0.27、0.25。物种丰富度最高的五个草地植物群落单个技术处理是磷酸脲+中科、菌肥+中科、腐殖酸+中科、木醋+中科、CK1-密度2，物种数分别为21、21、20、19、18；物种丰富度最低的2个草地植物群落单个技术处理是M1-密度、M1-密度4，物种数分别为10、7。</w:t>
      </w:r>
    </w:p>
    <w:p w14:paraId="219634D6">
      <w:pPr>
        <w:pStyle w:val="2"/>
        <w:jc w:val="center"/>
        <w:rPr>
          <w:rFonts w:hint="default" w:ascii="Times New Roman" w:hAnsi="Times New Roman" w:cs="Times New Roman"/>
        </w:rPr>
      </w:pPr>
      <w:r>
        <w:rPr>
          <w:rFonts w:hint="default" w:ascii="Times New Roman" w:hAnsi="Times New Roman" w:cs="Times New Roman"/>
        </w:rPr>
        <w:drawing>
          <wp:inline distT="0" distB="0" distL="114300" distR="114300">
            <wp:extent cx="2985135" cy="1800225"/>
            <wp:effectExtent l="0" t="0" r="12065" b="3175"/>
            <wp:docPr id="2" name="图片 2" descr="轻中度技术相似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轻中度技术相似度"/>
                    <pic:cNvPicPr>
                      <a:picLocks noChangeAspect="1"/>
                    </pic:cNvPicPr>
                  </pic:nvPicPr>
                  <pic:blipFill>
                    <a:blip r:embed="rId15"/>
                    <a:stretch>
                      <a:fillRect/>
                    </a:stretch>
                  </pic:blipFill>
                  <pic:spPr>
                    <a:xfrm>
                      <a:off x="0" y="0"/>
                      <a:ext cx="2985135" cy="1800225"/>
                    </a:xfrm>
                    <a:prstGeom prst="rect">
                      <a:avLst/>
                    </a:prstGeom>
                  </pic:spPr>
                </pic:pic>
              </a:graphicData>
            </a:graphic>
          </wp:inline>
        </w:drawing>
      </w:r>
    </w:p>
    <w:p w14:paraId="1A75C578">
      <w:pPr>
        <w:spacing w:line="360" w:lineRule="auto"/>
        <w:ind w:firstLine="420" w:firstLineChars="200"/>
        <w:jc w:val="cente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图7 不同修复技术与轻中度盐碱化对照草地物种组成相似度</w:t>
      </w:r>
    </w:p>
    <w:p w14:paraId="33254A43">
      <w:pPr>
        <w:pStyle w:val="2"/>
        <w:jc w:val="center"/>
        <w:rPr>
          <w:rFonts w:hint="default" w:ascii="Times New Roman" w:hAnsi="Times New Roman" w:cs="Times New Roman"/>
          <w:b/>
          <w:bCs/>
          <w:sz w:val="24"/>
        </w:rPr>
      </w:pPr>
      <w:r>
        <w:rPr>
          <w:rFonts w:hint="default" w:ascii="Times New Roman" w:hAnsi="Times New Roman" w:cs="Times New Roman"/>
          <w:b/>
          <w:bCs/>
          <w:sz w:val="24"/>
        </w:rPr>
        <w:drawing>
          <wp:inline distT="0" distB="0" distL="114300" distR="114300">
            <wp:extent cx="2672080" cy="1800225"/>
            <wp:effectExtent l="0" t="0" r="7620" b="3175"/>
            <wp:docPr id="3" name="图片 4" descr="轻中度技术丰富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descr="轻中度技术丰富度"/>
                    <pic:cNvPicPr>
                      <a:picLocks noChangeAspect="1"/>
                    </pic:cNvPicPr>
                  </pic:nvPicPr>
                  <pic:blipFill>
                    <a:blip r:embed="rId16"/>
                    <a:stretch>
                      <a:fillRect/>
                    </a:stretch>
                  </pic:blipFill>
                  <pic:spPr>
                    <a:xfrm>
                      <a:off x="0" y="0"/>
                      <a:ext cx="2672080" cy="1800225"/>
                    </a:xfrm>
                    <a:prstGeom prst="rect">
                      <a:avLst/>
                    </a:prstGeom>
                  </pic:spPr>
                </pic:pic>
              </a:graphicData>
            </a:graphic>
          </wp:inline>
        </w:drawing>
      </w:r>
    </w:p>
    <w:p w14:paraId="389EB2A0">
      <w:pPr>
        <w:spacing w:line="360" w:lineRule="auto"/>
        <w:ind w:firstLine="420" w:firstLineChars="200"/>
        <w:jc w:val="cente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图8 轻中度盐碱化草地不同修复技术物种丰富度</w:t>
      </w:r>
    </w:p>
    <w:p w14:paraId="3B376623">
      <w:pPr>
        <w:spacing w:line="360" w:lineRule="auto"/>
        <w:ind w:firstLine="420" w:firstLineChars="200"/>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不同单项技术改变了重度盐碱化草地的物种组成。重度盐碱化对照草地，调查到28种草本植物，隶属14科；而不同修复技术的重度盐碱化草地与对照草地植物组成相似度范围0.19至0.45，物种数范围是13至21种。9个单项技术处理中，与对照样地植物群落组成相似度最高的三项技术是改+中科-1、改+磷酸脲+中科、改+CK1-密度2，分别为0.45、0.38、0.36；相似度最低的单项技术是改+中科2-密度2、改+CK2-密度2，相似度分别为0.2、0.19。物种丰富度最高的三个草地植物群落单个技术处理是改+CK1+密度2、改+中</w:t>
      </w:r>
      <w:bookmarkStart w:id="35" w:name="_GoBack"/>
      <w:bookmarkEnd w:id="35"/>
      <w:r>
        <w:rPr>
          <w:rFonts w:hint="default" w:ascii="Times New Roman" w:hAnsi="Times New Roman" w:cs="Times New Roman"/>
          <w:szCs w:val="21"/>
          <w:lang w:val="en-US" w:eastAsia="zh-CN"/>
        </w:rPr>
        <w:t>科1、改+CK1-密度2-2桶菌肥，物种数分别为21、20、16；物种丰富度最低的2个草地植物群落单个技术处理是改+中科2-密度2、改+M1-密度2，物种数分别为14、13。</w:t>
      </w:r>
    </w:p>
    <w:p w14:paraId="57562787">
      <w:pPr>
        <w:pStyle w:val="2"/>
        <w:spacing w:line="360" w:lineRule="auto"/>
        <w:ind w:left="0" w:leftChars="0" w:firstLine="480" w:firstLineChars="200"/>
        <w:jc w:val="center"/>
        <w:rPr>
          <w:rFonts w:hint="default" w:ascii="Times New Roman" w:hAnsi="Times New Roman" w:cs="Times New Roman"/>
          <w:color w:val="000000"/>
          <w:sz w:val="24"/>
        </w:rPr>
      </w:pPr>
      <w:r>
        <w:rPr>
          <w:rFonts w:hint="default" w:ascii="Times New Roman" w:hAnsi="Times New Roman" w:cs="Times New Roman"/>
          <w:color w:val="000000"/>
          <w:sz w:val="24"/>
        </w:rPr>
        <w:drawing>
          <wp:inline distT="0" distB="0" distL="114300" distR="114300">
            <wp:extent cx="2190115" cy="1800225"/>
            <wp:effectExtent l="0" t="0" r="6985" b="3175"/>
            <wp:docPr id="5" name="图片 7" descr="重度技术相似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重度技术相似度"/>
                    <pic:cNvPicPr>
                      <a:picLocks noChangeAspect="1"/>
                    </pic:cNvPicPr>
                  </pic:nvPicPr>
                  <pic:blipFill>
                    <a:blip r:embed="rId17"/>
                    <a:stretch>
                      <a:fillRect/>
                    </a:stretch>
                  </pic:blipFill>
                  <pic:spPr>
                    <a:xfrm>
                      <a:off x="0" y="0"/>
                      <a:ext cx="2190115" cy="1800225"/>
                    </a:xfrm>
                    <a:prstGeom prst="rect">
                      <a:avLst/>
                    </a:prstGeom>
                  </pic:spPr>
                </pic:pic>
              </a:graphicData>
            </a:graphic>
          </wp:inline>
        </w:drawing>
      </w:r>
    </w:p>
    <w:p w14:paraId="1F374594">
      <w:pPr>
        <w:spacing w:line="360" w:lineRule="auto"/>
        <w:ind w:firstLine="420" w:firstLineChars="200"/>
        <w:jc w:val="center"/>
        <w:rPr>
          <w:rFonts w:hint="default" w:ascii="Times New Roman" w:hAnsi="Times New Roman" w:eastAsia="华文仿宋" w:cs="Times New Roman"/>
          <w:b/>
          <w:bCs/>
          <w:szCs w:val="21"/>
        </w:rPr>
      </w:pPr>
      <w:r>
        <w:rPr>
          <w:rFonts w:hint="default" w:ascii="Times New Roman" w:hAnsi="Times New Roman" w:cs="Times New Roman"/>
          <w:szCs w:val="21"/>
          <w:lang w:val="en-US" w:eastAsia="zh-CN"/>
        </w:rPr>
        <w:t>图9 不同修复技术与重度盐碱化对照草地物种组成形似度</w:t>
      </w:r>
    </w:p>
    <w:p w14:paraId="72E4FF02">
      <w:pPr>
        <w:pStyle w:val="2"/>
        <w:spacing w:line="360" w:lineRule="auto"/>
        <w:ind w:left="0" w:leftChars="0" w:firstLine="480" w:firstLineChars="200"/>
        <w:jc w:val="center"/>
        <w:rPr>
          <w:rFonts w:hint="default" w:ascii="Times New Roman" w:hAnsi="Times New Roman" w:cs="Times New Roman"/>
          <w:color w:val="000000"/>
          <w:sz w:val="24"/>
        </w:rPr>
      </w:pPr>
      <w:r>
        <w:rPr>
          <w:rFonts w:hint="default" w:ascii="Times New Roman" w:hAnsi="Times New Roman" w:cs="Times New Roman"/>
          <w:color w:val="000000"/>
          <w:sz w:val="24"/>
        </w:rPr>
        <w:drawing>
          <wp:inline distT="0" distB="0" distL="114300" distR="114300">
            <wp:extent cx="2179955" cy="1800225"/>
            <wp:effectExtent l="0" t="0" r="4445" b="3175"/>
            <wp:docPr id="8" name="图片 6" descr="重度技术丰富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descr="重度技术丰富度"/>
                    <pic:cNvPicPr>
                      <a:picLocks noChangeAspect="1"/>
                    </pic:cNvPicPr>
                  </pic:nvPicPr>
                  <pic:blipFill>
                    <a:blip r:embed="rId18"/>
                    <a:stretch>
                      <a:fillRect/>
                    </a:stretch>
                  </pic:blipFill>
                  <pic:spPr>
                    <a:xfrm>
                      <a:off x="0" y="0"/>
                      <a:ext cx="2179955" cy="1800225"/>
                    </a:xfrm>
                    <a:prstGeom prst="rect">
                      <a:avLst/>
                    </a:prstGeom>
                  </pic:spPr>
                </pic:pic>
              </a:graphicData>
            </a:graphic>
          </wp:inline>
        </w:drawing>
      </w:r>
    </w:p>
    <w:p w14:paraId="5617DA6C">
      <w:pPr>
        <w:spacing w:line="360" w:lineRule="auto"/>
        <w:ind w:firstLine="420" w:firstLineChars="200"/>
        <w:jc w:val="center"/>
        <w:rPr>
          <w:rFonts w:hint="default" w:ascii="Times New Roman" w:hAnsi="Times New Roman" w:eastAsia="华文仿宋" w:cs="Times New Roman"/>
          <w:b/>
          <w:bCs/>
          <w:szCs w:val="21"/>
        </w:rPr>
      </w:pPr>
      <w:r>
        <w:rPr>
          <w:rFonts w:hint="default" w:ascii="Times New Roman" w:hAnsi="Times New Roman" w:cs="Times New Roman"/>
          <w:szCs w:val="21"/>
          <w:lang w:val="en-US" w:eastAsia="zh-CN"/>
        </w:rPr>
        <w:t>图10 重度盐碱化草地不同修复技术物种丰富度</w:t>
      </w:r>
    </w:p>
    <w:p w14:paraId="3282CAAE">
      <w:pPr>
        <w:spacing w:line="360" w:lineRule="auto"/>
        <w:ind w:firstLine="420" w:firstLineChars="200"/>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松嫩平原盐碱地羊草草地建植对土壤的改良效果显著。与对照相比，深松、表施化肥、深松+化肥、深松+化肥+菌肥均有效提升。土壤蓄水能力，促使生长季的平均土壤含水量分别增加了4.2%、2.4%、7.4%和12.3%；促使生长季平均土壤pH由9.69分别降至9.39、9.26、9.16和9.14；促使生长季平均土壤电导率由446 μS/cm分别降至347μS/cm、290 μS/cm、259 μS/cm和247 μS/cm。</w:t>
      </w:r>
    </w:p>
    <w:p w14:paraId="2A7AD990">
      <w:pPr>
        <w:keepNext w:val="0"/>
        <w:keepLines w:val="0"/>
        <w:pageBreakBefore w:val="0"/>
        <w:widowControl w:val="0"/>
        <w:kinsoku/>
        <w:wordWrap/>
        <w:overflowPunct/>
        <w:topLinePunct w:val="0"/>
        <w:autoSpaceDE/>
        <w:autoSpaceDN/>
        <w:bidi w:val="0"/>
        <w:adjustRightInd/>
        <w:snapToGrid/>
        <w:spacing w:line="360" w:lineRule="auto"/>
        <w:ind w:firstLine="440" w:firstLineChars="200"/>
        <w:textAlignment w:val="auto"/>
        <w:rPr>
          <w:rFonts w:hint="default" w:ascii="Times New Roman" w:hAnsi="Times New Roman" w:cs="Times New Roman"/>
          <w:szCs w:val="21"/>
          <w:lang w:val="en-US" w:eastAsia="zh-CN"/>
        </w:rPr>
      </w:pPr>
      <w:r>
        <w:rPr>
          <w:rFonts w:hint="default" w:ascii="Times New Roman" w:hAnsi="Times New Roman" w:cs="Times New Roman"/>
          <w:b w:val="0"/>
          <w:bCs w:val="0"/>
          <w:kern w:val="0"/>
          <w:sz w:val="22"/>
          <w:szCs w:val="20"/>
          <w:lang w:val="en-US" w:eastAsia="zh-CN"/>
        </w:rPr>
        <w:t>（4.6）</w:t>
      </w:r>
      <w:r>
        <w:rPr>
          <w:rFonts w:hint="default" w:ascii="Times New Roman" w:hAnsi="Times New Roman" w:cs="Times New Roman"/>
          <w:szCs w:val="21"/>
          <w:lang w:val="en-US" w:eastAsia="zh-CN"/>
        </w:rPr>
        <w:t>效果验证</w:t>
      </w:r>
    </w:p>
    <w:p w14:paraId="5FB36FD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在羊草建植的第五年，利用多光谱和热红外对羊草草地的建植效果进行了航拍分析，进一步明确了人工羊草建植技术下植被的动态变化特征。9月份，羊草免耕秋播处理的NDVI值在0.7-0.8之间，表明无论是植被覆盖度还是生物量都有显著提高。目前我国草甸草原的NDVI值一般在0.2-0.3之间。示范区内无论是轻度还是中重度盐碱化草地，在不同修复技术后，草地的NDVI值有显著的提高。中重度对照区的盐碱光斑明显，碱斑面积占40%以上，而修复后的区域碱斑面积不足10%，NDVI值在0.3以上。羊草一旦定植，依靠强大的根茎分蘖能力，占据一定的空间，进行扩繁，显著降低了碱斑面积。</w:t>
      </w:r>
    </w:p>
    <w:p w14:paraId="0ACC945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val="0"/>
          <w:bCs w:val="0"/>
          <w:szCs w:val="21"/>
          <w:lang w:val="en-US" w:eastAsia="zh-CN"/>
        </w:rPr>
      </w:pPr>
      <w:r>
        <w:rPr>
          <w:rFonts w:hint="default" w:ascii="Times New Roman" w:hAnsi="Times New Roman" w:eastAsia="宋体" w:cs="Times New Roman"/>
          <w:b w:val="0"/>
          <w:bCs w:val="0"/>
          <w:szCs w:val="21"/>
          <w:lang w:val="en-US" w:eastAsia="zh-CN"/>
        </w:rPr>
        <w:drawing>
          <wp:inline distT="0" distB="0" distL="114300" distR="114300">
            <wp:extent cx="5266055" cy="1855470"/>
            <wp:effectExtent l="0" t="0" r="4445" b="11430"/>
            <wp:docPr id="7" name="图片 1" descr="手机屏幕截图&#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手机屏幕截图&#10;&#10;低可信度描述已自动生成"/>
                    <pic:cNvPicPr>
                      <a:picLocks noChangeAspect="1"/>
                    </pic:cNvPicPr>
                  </pic:nvPicPr>
                  <pic:blipFill>
                    <a:blip r:embed="rId19"/>
                    <a:stretch>
                      <a:fillRect/>
                    </a:stretch>
                  </pic:blipFill>
                  <pic:spPr>
                    <a:xfrm>
                      <a:off x="0" y="0"/>
                      <a:ext cx="5266055" cy="1855470"/>
                    </a:xfrm>
                    <a:prstGeom prst="rect">
                      <a:avLst/>
                    </a:prstGeom>
                    <a:noFill/>
                    <a:ln>
                      <a:noFill/>
                    </a:ln>
                  </pic:spPr>
                </pic:pic>
              </a:graphicData>
            </a:graphic>
          </wp:inline>
        </w:drawing>
      </w:r>
    </w:p>
    <w:p w14:paraId="771778A9">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val="0"/>
          <w:bCs w:val="0"/>
          <w:szCs w:val="21"/>
          <w:lang w:val="en-US" w:eastAsia="zh-CN"/>
        </w:rPr>
      </w:pPr>
      <w:r>
        <w:rPr>
          <w:rFonts w:hint="default" w:ascii="Times New Roman" w:hAnsi="Times New Roman" w:eastAsia="宋体" w:cs="Times New Roman"/>
          <w:b w:val="0"/>
          <w:bCs w:val="0"/>
          <w:szCs w:val="21"/>
          <w:lang w:val="en-US" w:eastAsia="zh-CN"/>
        </w:rPr>
        <w:t>图</w:t>
      </w:r>
      <w:r>
        <w:rPr>
          <w:rFonts w:hint="default" w:ascii="Times New Roman" w:hAnsi="Times New Roman" w:cs="Times New Roman"/>
          <w:b w:val="0"/>
          <w:bCs w:val="0"/>
          <w:szCs w:val="21"/>
          <w:lang w:val="en-US" w:eastAsia="zh-CN"/>
        </w:rPr>
        <w:t>11</w:t>
      </w:r>
      <w:r>
        <w:rPr>
          <w:rFonts w:hint="default" w:ascii="Times New Roman" w:hAnsi="Times New Roman" w:eastAsia="宋体" w:cs="Times New Roman"/>
          <w:b w:val="0"/>
          <w:bCs w:val="0"/>
          <w:szCs w:val="21"/>
          <w:lang w:val="en-US" w:eastAsia="zh-CN"/>
        </w:rPr>
        <w:t xml:space="preserve"> 修复后草地的NDVI和热红外光谱图</w:t>
      </w:r>
    </w:p>
    <w:p w14:paraId="70F3F11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val="0"/>
          <w:bCs w:val="0"/>
          <w:szCs w:val="21"/>
          <w:lang w:val="en-US" w:eastAsia="zh-CN"/>
        </w:rPr>
      </w:pPr>
      <w:r>
        <w:rPr>
          <w:rFonts w:hint="default" w:ascii="Times New Roman" w:hAnsi="Times New Roman" w:eastAsia="宋体" w:cs="Times New Roman"/>
          <w:b w:val="0"/>
          <w:bCs w:val="0"/>
          <w:szCs w:val="21"/>
          <w:lang w:val="en-US" w:eastAsia="zh-CN"/>
        </w:rPr>
        <w:drawing>
          <wp:inline distT="0" distB="0" distL="114300" distR="114300">
            <wp:extent cx="5273040" cy="1855470"/>
            <wp:effectExtent l="0" t="0" r="10160" b="11430"/>
            <wp:docPr id="4" name="图片 2"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图片包含 图示&#10;&#10;描述已自动生成"/>
                    <pic:cNvPicPr>
                      <a:picLocks noChangeAspect="1"/>
                    </pic:cNvPicPr>
                  </pic:nvPicPr>
                  <pic:blipFill>
                    <a:blip r:embed="rId20"/>
                    <a:stretch>
                      <a:fillRect/>
                    </a:stretch>
                  </pic:blipFill>
                  <pic:spPr>
                    <a:xfrm>
                      <a:off x="0" y="0"/>
                      <a:ext cx="5273040" cy="1855470"/>
                    </a:xfrm>
                    <a:prstGeom prst="rect">
                      <a:avLst/>
                    </a:prstGeom>
                    <a:noFill/>
                    <a:ln>
                      <a:noFill/>
                    </a:ln>
                  </pic:spPr>
                </pic:pic>
              </a:graphicData>
            </a:graphic>
          </wp:inline>
        </w:drawing>
      </w:r>
    </w:p>
    <w:p w14:paraId="3A750259">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val="0"/>
          <w:bCs w:val="0"/>
          <w:szCs w:val="21"/>
          <w:lang w:val="en-US" w:eastAsia="zh-CN"/>
        </w:rPr>
      </w:pPr>
      <w:r>
        <w:rPr>
          <w:rFonts w:hint="default" w:ascii="Times New Roman" w:hAnsi="Times New Roman" w:eastAsia="宋体" w:cs="Times New Roman"/>
          <w:b w:val="0"/>
          <w:bCs w:val="0"/>
          <w:szCs w:val="21"/>
          <w:lang w:val="en-US" w:eastAsia="zh-CN"/>
        </w:rPr>
        <w:t>图</w:t>
      </w:r>
      <w:r>
        <w:rPr>
          <w:rFonts w:hint="default" w:ascii="Times New Roman" w:hAnsi="Times New Roman" w:cs="Times New Roman"/>
          <w:b w:val="0"/>
          <w:bCs w:val="0"/>
          <w:szCs w:val="21"/>
          <w:lang w:val="en-US" w:eastAsia="zh-CN"/>
        </w:rPr>
        <w:t>1</w:t>
      </w:r>
      <w:r>
        <w:rPr>
          <w:rFonts w:hint="default" w:ascii="Times New Roman" w:hAnsi="Times New Roman" w:eastAsia="宋体" w:cs="Times New Roman"/>
          <w:b w:val="0"/>
          <w:bCs w:val="0"/>
          <w:szCs w:val="21"/>
          <w:lang w:val="en-US" w:eastAsia="zh-CN"/>
        </w:rPr>
        <w:t>2 不同修复技术下草地的NDVI和热红外光谱图</w:t>
      </w:r>
    </w:p>
    <w:p w14:paraId="228B692A">
      <w:pPr>
        <w:spacing w:line="360" w:lineRule="auto"/>
        <w:ind w:firstLine="440" w:firstLineChars="200"/>
        <w:rPr>
          <w:rFonts w:hint="default" w:ascii="Times New Roman" w:hAnsi="Times New Roman" w:cs="Times New Roman"/>
          <w:sz w:val="22"/>
          <w:szCs w:val="20"/>
          <w:lang w:val="en-US" w:eastAsia="zh-CN"/>
        </w:rPr>
      </w:pPr>
    </w:p>
    <w:p w14:paraId="79BBEAAF">
      <w:pPr>
        <w:pStyle w:val="3"/>
        <w:spacing w:before="0" w:after="0"/>
        <w:rPr>
          <w:rFonts w:hint="default" w:ascii="Times New Roman" w:hAnsi="Times New Roman" w:cs="Times New Roman"/>
          <w:sz w:val="24"/>
          <w:szCs w:val="40"/>
        </w:rPr>
      </w:pPr>
      <w:bookmarkStart w:id="28" w:name="_Toc30266"/>
      <w:r>
        <w:rPr>
          <w:rFonts w:hint="default" w:ascii="Times New Roman" w:hAnsi="Times New Roman" w:cs="Times New Roman"/>
          <w:sz w:val="24"/>
          <w:szCs w:val="40"/>
        </w:rPr>
        <w:t>四、采用的国际标准</w:t>
      </w:r>
      <w:bookmarkEnd w:id="28"/>
    </w:p>
    <w:p w14:paraId="3927399B">
      <w:pPr>
        <w:spacing w:line="360" w:lineRule="auto"/>
        <w:ind w:firstLine="482"/>
        <w:rPr>
          <w:rFonts w:hint="default" w:ascii="Times New Roman" w:hAnsi="Times New Roman" w:cs="Times New Roman"/>
          <w:color w:val="000000"/>
          <w:sz w:val="22"/>
          <w:szCs w:val="20"/>
        </w:rPr>
      </w:pPr>
      <w:r>
        <w:rPr>
          <w:rFonts w:hint="default" w:ascii="Times New Roman" w:hAnsi="Times New Roman" w:cs="Times New Roman"/>
          <w:color w:val="000000"/>
          <w:sz w:val="22"/>
          <w:szCs w:val="20"/>
        </w:rPr>
        <w:t>无。</w:t>
      </w:r>
    </w:p>
    <w:p w14:paraId="30D9B6DE">
      <w:pPr>
        <w:pStyle w:val="3"/>
        <w:spacing w:before="0" w:after="0"/>
        <w:rPr>
          <w:rFonts w:hint="default" w:ascii="Times New Roman" w:hAnsi="Times New Roman" w:cs="Times New Roman"/>
          <w:sz w:val="24"/>
          <w:szCs w:val="40"/>
        </w:rPr>
      </w:pPr>
      <w:bookmarkStart w:id="29" w:name="_Toc24802"/>
      <w:r>
        <w:rPr>
          <w:rFonts w:hint="default" w:ascii="Times New Roman" w:hAnsi="Times New Roman" w:cs="Times New Roman"/>
          <w:sz w:val="24"/>
          <w:szCs w:val="40"/>
        </w:rPr>
        <w:t>五、与现行法律法规和强制性标准的关系</w:t>
      </w:r>
      <w:bookmarkEnd w:id="29"/>
    </w:p>
    <w:p w14:paraId="2B492809">
      <w:pPr>
        <w:spacing w:line="360" w:lineRule="auto"/>
        <w:ind w:firstLine="482"/>
        <w:rPr>
          <w:rFonts w:hint="default" w:ascii="Times New Roman" w:hAnsi="Times New Roman" w:cs="Times New Roman"/>
          <w:color w:val="000000"/>
          <w:sz w:val="22"/>
          <w:szCs w:val="20"/>
        </w:rPr>
      </w:pPr>
      <w:r>
        <w:rPr>
          <w:rFonts w:hint="default" w:ascii="Times New Roman" w:hAnsi="Times New Roman" w:cs="Times New Roman"/>
          <w:color w:val="000000"/>
          <w:sz w:val="22"/>
          <w:szCs w:val="20"/>
        </w:rPr>
        <w:t>本标准与现行法律法规和强制性标准的相关条例没有冲突。</w:t>
      </w:r>
    </w:p>
    <w:p w14:paraId="30919C64">
      <w:pPr>
        <w:pStyle w:val="3"/>
        <w:spacing w:before="0" w:after="0"/>
        <w:rPr>
          <w:rFonts w:hint="default" w:ascii="Times New Roman" w:hAnsi="Times New Roman" w:cs="Times New Roman"/>
          <w:sz w:val="24"/>
          <w:szCs w:val="40"/>
        </w:rPr>
      </w:pPr>
      <w:bookmarkStart w:id="30" w:name="_Toc13646"/>
      <w:r>
        <w:rPr>
          <w:rFonts w:hint="default" w:ascii="Times New Roman" w:hAnsi="Times New Roman" w:cs="Times New Roman"/>
          <w:sz w:val="24"/>
          <w:szCs w:val="40"/>
        </w:rPr>
        <w:t>六、重大分歧意见的处理经过和依据</w:t>
      </w:r>
      <w:bookmarkEnd w:id="30"/>
    </w:p>
    <w:p w14:paraId="5D2967DE">
      <w:pPr>
        <w:spacing w:line="360" w:lineRule="auto"/>
        <w:ind w:firstLine="482"/>
        <w:rPr>
          <w:rFonts w:hint="default" w:ascii="Times New Roman" w:hAnsi="Times New Roman" w:cs="Times New Roman"/>
          <w:color w:val="000000"/>
          <w:sz w:val="22"/>
          <w:szCs w:val="20"/>
        </w:rPr>
      </w:pPr>
      <w:r>
        <w:rPr>
          <w:rFonts w:hint="default" w:ascii="Times New Roman" w:hAnsi="Times New Roman" w:cs="Times New Roman"/>
          <w:color w:val="000000"/>
          <w:sz w:val="22"/>
          <w:szCs w:val="20"/>
        </w:rPr>
        <w:t>无。</w:t>
      </w:r>
    </w:p>
    <w:p w14:paraId="18828AB0">
      <w:pPr>
        <w:pStyle w:val="3"/>
        <w:spacing w:before="0" w:after="0"/>
        <w:rPr>
          <w:rFonts w:hint="default" w:ascii="Times New Roman" w:hAnsi="Times New Roman" w:cs="Times New Roman"/>
          <w:sz w:val="24"/>
          <w:szCs w:val="40"/>
        </w:rPr>
      </w:pPr>
      <w:bookmarkStart w:id="31" w:name="_Toc22159"/>
      <w:r>
        <w:rPr>
          <w:rFonts w:hint="default" w:ascii="Times New Roman" w:hAnsi="Times New Roman" w:cs="Times New Roman"/>
          <w:sz w:val="24"/>
          <w:szCs w:val="40"/>
        </w:rPr>
        <w:t>七、标准作为强制性或推荐性标准的意见</w:t>
      </w:r>
      <w:bookmarkEnd w:id="31"/>
    </w:p>
    <w:p w14:paraId="630F5003">
      <w:pPr>
        <w:spacing w:line="360" w:lineRule="auto"/>
        <w:ind w:firstLine="482"/>
        <w:rPr>
          <w:rFonts w:hint="default" w:ascii="Times New Roman" w:hAnsi="Times New Roman" w:cs="Times New Roman"/>
          <w:color w:val="000000"/>
          <w:sz w:val="22"/>
          <w:szCs w:val="20"/>
        </w:rPr>
      </w:pPr>
      <w:r>
        <w:rPr>
          <w:rFonts w:hint="default" w:ascii="Times New Roman" w:hAnsi="Times New Roman" w:cs="Times New Roman"/>
          <w:color w:val="000000"/>
          <w:sz w:val="22"/>
          <w:szCs w:val="20"/>
        </w:rPr>
        <w:t>建议将本标准作为推荐性标准发布实施，并加强标准的宣贯。</w:t>
      </w:r>
    </w:p>
    <w:p w14:paraId="5D7D6744">
      <w:pPr>
        <w:pStyle w:val="3"/>
        <w:spacing w:before="0" w:after="0"/>
        <w:rPr>
          <w:rFonts w:hint="default" w:ascii="Times New Roman" w:hAnsi="Times New Roman" w:cs="Times New Roman"/>
          <w:sz w:val="24"/>
          <w:szCs w:val="40"/>
        </w:rPr>
      </w:pPr>
      <w:bookmarkStart w:id="32" w:name="_Toc17450"/>
      <w:r>
        <w:rPr>
          <w:rFonts w:hint="default" w:ascii="Times New Roman" w:hAnsi="Times New Roman" w:cs="Times New Roman"/>
          <w:sz w:val="24"/>
          <w:szCs w:val="40"/>
        </w:rPr>
        <w:t>八、贯彻标准的要求和措施建议</w:t>
      </w:r>
      <w:bookmarkEnd w:id="32"/>
    </w:p>
    <w:p w14:paraId="2EEF964A">
      <w:pPr>
        <w:spacing w:line="360" w:lineRule="auto"/>
        <w:ind w:firstLine="495" w:firstLineChars="225"/>
        <w:rPr>
          <w:rFonts w:hint="default" w:ascii="Times New Roman" w:hAnsi="Times New Roman" w:cs="Times New Roman"/>
          <w:sz w:val="22"/>
          <w:szCs w:val="20"/>
        </w:rPr>
      </w:pPr>
      <w:r>
        <w:rPr>
          <w:rFonts w:hint="default" w:ascii="Times New Roman" w:hAnsi="Times New Roman" w:cs="Times New Roman"/>
          <w:sz w:val="22"/>
          <w:szCs w:val="20"/>
        </w:rPr>
        <w:t>1、本标准属于</w:t>
      </w:r>
      <w:r>
        <w:rPr>
          <w:rFonts w:hint="default" w:ascii="Times New Roman" w:hAnsi="Times New Roman" w:cs="Times New Roman"/>
          <w:kern w:val="0"/>
          <w:sz w:val="22"/>
          <w:szCs w:val="20"/>
        </w:rPr>
        <w:t>北京华夏草业产业技术创新战略联盟团体标准</w:t>
      </w:r>
      <w:r>
        <w:rPr>
          <w:rFonts w:hint="default" w:ascii="Times New Roman" w:hAnsi="Times New Roman" w:cs="Times New Roman"/>
          <w:sz w:val="22"/>
          <w:szCs w:val="20"/>
        </w:rPr>
        <w:t>，为成功实施</w:t>
      </w:r>
      <w:r>
        <w:rPr>
          <w:rFonts w:hint="default" w:ascii="Times New Roman" w:hAnsi="Times New Roman" w:cs="Times New Roman"/>
          <w:sz w:val="22"/>
          <w:szCs w:val="20"/>
          <w:lang w:eastAsia="zh-CN"/>
        </w:rPr>
        <w:t>松嫩平原盐碱地羊草草地建植</w:t>
      </w:r>
      <w:r>
        <w:rPr>
          <w:rFonts w:hint="default" w:ascii="Times New Roman" w:hAnsi="Times New Roman" w:cs="Times New Roman"/>
          <w:sz w:val="22"/>
          <w:szCs w:val="20"/>
        </w:rPr>
        <w:t>技术，应认真执行本标准的相关技术要求。</w:t>
      </w:r>
    </w:p>
    <w:p w14:paraId="38654EA7">
      <w:pPr>
        <w:spacing w:line="360" w:lineRule="auto"/>
        <w:ind w:firstLine="495" w:firstLineChars="225"/>
        <w:rPr>
          <w:rFonts w:hint="default" w:ascii="Times New Roman" w:hAnsi="Times New Roman" w:cs="Times New Roman"/>
          <w:sz w:val="22"/>
          <w:szCs w:val="20"/>
        </w:rPr>
      </w:pPr>
      <w:r>
        <w:rPr>
          <w:rFonts w:hint="default" w:ascii="Times New Roman" w:hAnsi="Times New Roman" w:cs="Times New Roman"/>
          <w:sz w:val="22"/>
          <w:szCs w:val="20"/>
        </w:rPr>
        <w:t>2、应加强对标准的宣传、讲解和技术指导，促进实施者熟练掌握标准中的技术规范，保证本标准的广泛推广应用。</w:t>
      </w:r>
    </w:p>
    <w:p w14:paraId="2187383C">
      <w:pPr>
        <w:spacing w:line="360" w:lineRule="auto"/>
        <w:ind w:firstLine="495" w:firstLineChars="225"/>
        <w:rPr>
          <w:rFonts w:hint="default" w:ascii="Times New Roman" w:hAnsi="Times New Roman" w:cs="Times New Roman"/>
          <w:sz w:val="22"/>
          <w:szCs w:val="20"/>
        </w:rPr>
      </w:pPr>
      <w:r>
        <w:rPr>
          <w:rFonts w:hint="default" w:ascii="Times New Roman" w:hAnsi="Times New Roman" w:cs="Times New Roman"/>
          <w:sz w:val="22"/>
          <w:szCs w:val="20"/>
        </w:rPr>
        <w:t>3、随着科技发展，本标准中的技术规范势必会出现过时的情况，也会出现新的技术要求，因此本标准执行过程中要不断对内容进行修订和补充。</w:t>
      </w:r>
    </w:p>
    <w:p w14:paraId="5B8507EC">
      <w:pPr>
        <w:spacing w:line="360" w:lineRule="auto"/>
        <w:ind w:firstLine="482"/>
        <w:rPr>
          <w:rFonts w:hint="default" w:ascii="Times New Roman" w:hAnsi="Times New Roman" w:cs="Times New Roman"/>
          <w:sz w:val="22"/>
          <w:szCs w:val="20"/>
        </w:rPr>
      </w:pPr>
      <w:r>
        <w:rPr>
          <w:rFonts w:hint="default" w:ascii="Times New Roman" w:hAnsi="Times New Roman" w:cs="Times New Roman"/>
          <w:sz w:val="22"/>
          <w:szCs w:val="20"/>
        </w:rPr>
        <w:t>4、希望应用本标准的单位在使用过程中对其中出现的问题和不足给予反馈，以便再进行修订和补充。</w:t>
      </w:r>
    </w:p>
    <w:p w14:paraId="198DD66F">
      <w:pPr>
        <w:spacing w:line="360" w:lineRule="auto"/>
        <w:ind w:firstLine="482"/>
        <w:rPr>
          <w:rFonts w:hint="default" w:ascii="Times New Roman" w:hAnsi="Times New Roman" w:cs="Times New Roman"/>
          <w:color w:val="000000"/>
          <w:sz w:val="22"/>
          <w:szCs w:val="20"/>
        </w:rPr>
      </w:pPr>
      <w:r>
        <w:rPr>
          <w:rFonts w:hint="default" w:ascii="Times New Roman" w:hAnsi="Times New Roman" w:cs="Times New Roman"/>
          <w:sz w:val="22"/>
          <w:szCs w:val="20"/>
        </w:rPr>
        <w:t>5、</w:t>
      </w:r>
      <w:r>
        <w:rPr>
          <w:rFonts w:hint="default" w:ascii="Times New Roman" w:hAnsi="Times New Roman" w:cs="Times New Roman"/>
          <w:color w:val="000000"/>
          <w:sz w:val="22"/>
          <w:szCs w:val="20"/>
        </w:rPr>
        <w:t>组织学习团体标准，加大对标准的宣传及贯彻力度，标准委员会作为企业之间的桥梁，做好沟通，推进行业进一步发展。</w:t>
      </w:r>
    </w:p>
    <w:p w14:paraId="716810CD">
      <w:pPr>
        <w:pStyle w:val="3"/>
        <w:spacing w:before="0" w:after="0"/>
        <w:rPr>
          <w:rFonts w:hint="default" w:ascii="Times New Roman" w:hAnsi="Times New Roman" w:cs="Times New Roman"/>
          <w:sz w:val="24"/>
          <w:szCs w:val="40"/>
        </w:rPr>
      </w:pPr>
      <w:bookmarkStart w:id="33" w:name="_Toc16501"/>
      <w:r>
        <w:rPr>
          <w:rFonts w:hint="default" w:ascii="Times New Roman" w:hAnsi="Times New Roman" w:cs="Times New Roman"/>
          <w:sz w:val="24"/>
          <w:szCs w:val="40"/>
        </w:rPr>
        <w:t>九、废止现行有关标准的建议</w:t>
      </w:r>
      <w:bookmarkEnd w:id="33"/>
    </w:p>
    <w:p w14:paraId="40597651">
      <w:pPr>
        <w:spacing w:before="156" w:beforeLines="50" w:line="360" w:lineRule="auto"/>
        <w:ind w:firstLine="482"/>
        <w:rPr>
          <w:rFonts w:hint="default" w:ascii="Times New Roman" w:hAnsi="Times New Roman" w:cs="Times New Roman"/>
          <w:color w:val="000000"/>
          <w:sz w:val="22"/>
          <w:szCs w:val="20"/>
        </w:rPr>
      </w:pPr>
      <w:r>
        <w:rPr>
          <w:rFonts w:hint="default" w:ascii="Times New Roman" w:hAnsi="Times New Roman" w:cs="Times New Roman"/>
          <w:color w:val="000000"/>
          <w:sz w:val="22"/>
          <w:szCs w:val="20"/>
        </w:rPr>
        <w:t>无。</w:t>
      </w:r>
    </w:p>
    <w:p w14:paraId="431CE65B">
      <w:pPr>
        <w:pStyle w:val="3"/>
        <w:spacing w:before="0" w:after="0"/>
        <w:rPr>
          <w:rFonts w:hint="default" w:ascii="Times New Roman" w:hAnsi="Times New Roman" w:cs="Times New Roman"/>
          <w:sz w:val="24"/>
          <w:szCs w:val="40"/>
        </w:rPr>
      </w:pPr>
      <w:bookmarkStart w:id="34" w:name="_Toc4276"/>
      <w:r>
        <w:rPr>
          <w:rFonts w:hint="default" w:ascii="Times New Roman" w:hAnsi="Times New Roman" w:cs="Times New Roman"/>
          <w:sz w:val="24"/>
          <w:szCs w:val="40"/>
        </w:rPr>
        <w:t>十、其他应予说明的事项</w:t>
      </w:r>
      <w:bookmarkEnd w:id="34"/>
    </w:p>
    <w:p w14:paraId="09AE74F9">
      <w:pPr>
        <w:spacing w:before="156" w:beforeLines="50" w:line="360" w:lineRule="auto"/>
        <w:ind w:firstLine="482"/>
        <w:rPr>
          <w:rFonts w:hint="default" w:ascii="Times New Roman" w:hAnsi="Times New Roman" w:cs="Times New Roman"/>
          <w:color w:val="000000"/>
          <w:sz w:val="24"/>
        </w:rPr>
      </w:pPr>
      <w:r>
        <w:rPr>
          <w:rFonts w:hint="eastAsia" w:cs="Times New Roman"/>
          <w:color w:val="000000"/>
          <w:sz w:val="22"/>
          <w:szCs w:val="20"/>
          <w:lang w:eastAsia="zh-CN"/>
        </w:rPr>
        <w:t>基于技术规程的目标和生态意义，结合立项审议意见，现将立项申请中的原标准名称《松嫩平原盐碱化草地建植技术规程》，修改为《松嫩平原盐碱地羊草草地建植技术规程》</w:t>
      </w:r>
      <w:bookmarkEnd w:id="1"/>
      <w:r>
        <w:rPr>
          <w:rFonts w:hint="eastAsia" w:cs="Times New Roman"/>
          <w:color w:val="000000"/>
          <w:sz w:val="22"/>
          <w:szCs w:val="20"/>
          <w:lang w:eastAsia="zh-CN"/>
        </w:rPr>
        <w:t>。</w:t>
      </w:r>
    </w:p>
    <w:sectPr>
      <w:footerReference r:id="rId3" w:type="default"/>
      <w:footerReference r:id="rId4" w:type="even"/>
      <w:pgSz w:w="11906" w:h="16838"/>
      <w:pgMar w:top="1843" w:right="1558" w:bottom="1702"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TimesNewRomanPSMT">
    <w:altName w:val="Times New Roman"/>
    <w:panose1 w:val="00000000000000000000"/>
    <w:charset w:val="00"/>
    <w:family w:val="auto"/>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华文仿宋">
    <w:panose1 w:val="02010600040101010101"/>
    <w:charset w:val="86"/>
    <w:family w:val="auto"/>
    <w:pitch w:val="default"/>
    <w:sig w:usb0="00000287" w:usb1="080F0000" w:usb2="00000000" w:usb3="00000000" w:csb0="0004009F" w:csb1="DFD7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61A48C">
    <w:pPr>
      <w:pStyle w:val="11"/>
      <w:jc w:val="center"/>
    </w:pPr>
    <w:r>
      <w:fldChar w:fldCharType="begin"/>
    </w:r>
    <w:r>
      <w:instrText xml:space="preserve"> PAGE   \* MERGEFORMAT </w:instrText>
    </w:r>
    <w:r>
      <w:fldChar w:fldCharType="separate"/>
    </w:r>
    <w:r>
      <w:rPr>
        <w:lang w:val="zh-CN"/>
      </w:rPr>
      <w:t>8</w:t>
    </w:r>
    <w:r>
      <w:rPr>
        <w:lang w:val="zh-CN"/>
      </w:rPr>
      <w:fldChar w:fldCharType="end"/>
    </w:r>
  </w:p>
  <w:p w14:paraId="59F259B6">
    <w:pPr>
      <w:pStyle w:val="1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69A38A">
    <w:pPr>
      <w:pStyle w:val="11"/>
      <w:framePr w:wrap="around" w:vAnchor="text" w:hAnchor="margin" w:xAlign="center" w:y="1"/>
      <w:rPr>
        <w:rStyle w:val="19"/>
      </w:rPr>
    </w:pPr>
    <w:r>
      <w:fldChar w:fldCharType="begin"/>
    </w:r>
    <w:r>
      <w:rPr>
        <w:rStyle w:val="19"/>
      </w:rPr>
      <w:instrText xml:space="preserve">PAGE  </w:instrText>
    </w:r>
    <w:r>
      <w:fldChar w:fldCharType="end"/>
    </w:r>
  </w:p>
  <w:p w14:paraId="08B3C798">
    <w:pPr>
      <w:pStyle w:val="11"/>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A03B02E"/>
    <w:multiLevelType w:val="singleLevel"/>
    <w:tmpl w:val="FA03B02E"/>
    <w:lvl w:ilvl="0" w:tentative="0">
      <w:start w:val="1"/>
      <w:numFmt w:val="decimal"/>
      <w:suff w:val="nothing"/>
      <w:lvlText w:val="（%1）"/>
      <w:lvlJc w:val="left"/>
      <w:pPr>
        <w:ind w:left="480" w:firstLine="0"/>
      </w:pPr>
    </w:lvl>
  </w:abstractNum>
  <w:abstractNum w:abstractNumId="1">
    <w:nsid w:val="02BD4ED0"/>
    <w:multiLevelType w:val="multilevel"/>
    <w:tmpl w:val="02BD4ED0"/>
    <w:lvl w:ilvl="0" w:tentative="0">
      <w:start w:val="1"/>
      <w:numFmt w:val="decimal"/>
      <w:lvlText w:val="[%1]"/>
      <w:lvlJc w:val="left"/>
      <w:pPr>
        <w:ind w:left="420" w:hanging="420"/>
      </w:pPr>
      <w:rPr>
        <w:rFonts w:hint="eastAsia" w:cs="Times New Roman"/>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1F843324"/>
    <w:multiLevelType w:val="multilevel"/>
    <w:tmpl w:val="1F843324"/>
    <w:lvl w:ilvl="0" w:tentative="0">
      <w:start w:val="1"/>
      <w:numFmt w:val="decimal"/>
      <w:lvlText w:val="[%1]"/>
      <w:lvlJc w:val="left"/>
      <w:pPr>
        <w:ind w:left="420" w:hanging="420"/>
      </w:pPr>
      <w:rPr>
        <w:rFonts w:hint="eastAsia" w:cs="Times New Roman"/>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3D8D070E"/>
    <w:multiLevelType w:val="multilevel"/>
    <w:tmpl w:val="3D8D070E"/>
    <w:lvl w:ilvl="0" w:tentative="0">
      <w:start w:val="1"/>
      <w:numFmt w:val="decimal"/>
      <w:lvlText w:val="[%1]"/>
      <w:lvlJc w:val="left"/>
      <w:pPr>
        <w:ind w:left="440" w:hanging="440"/>
      </w:pPr>
      <w:rPr>
        <w:rFonts w:hint="eastAsia" w:cs="Times New Roman"/>
        <w:color w:val="auto"/>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4">
    <w:nsid w:val="3EC70E08"/>
    <w:multiLevelType w:val="multilevel"/>
    <w:tmpl w:val="3EC70E08"/>
    <w:lvl w:ilvl="0" w:tentative="0">
      <w:start w:val="1"/>
      <w:numFmt w:val="decimal"/>
      <w:lvlText w:val="[%1]"/>
      <w:lvlJc w:val="left"/>
      <w:pPr>
        <w:ind w:left="419" w:hanging="420"/>
      </w:pPr>
      <w:rPr>
        <w:rFonts w:hint="eastAsia" w:cs="Times New Roman"/>
        <w:color w:val="auto"/>
      </w:rPr>
    </w:lvl>
    <w:lvl w:ilvl="1" w:tentative="0">
      <w:start w:val="1"/>
      <w:numFmt w:val="lowerLetter"/>
      <w:lvlText w:val="%2)"/>
      <w:lvlJc w:val="left"/>
      <w:pPr>
        <w:ind w:left="839" w:hanging="420"/>
      </w:pPr>
    </w:lvl>
    <w:lvl w:ilvl="2" w:tentative="0">
      <w:start w:val="1"/>
      <w:numFmt w:val="lowerRoman"/>
      <w:lvlText w:val="%3."/>
      <w:lvlJc w:val="right"/>
      <w:pPr>
        <w:ind w:left="1259" w:hanging="420"/>
      </w:pPr>
    </w:lvl>
    <w:lvl w:ilvl="3" w:tentative="0">
      <w:start w:val="1"/>
      <w:numFmt w:val="decimal"/>
      <w:lvlText w:val="%4."/>
      <w:lvlJc w:val="left"/>
      <w:pPr>
        <w:ind w:left="1679" w:hanging="420"/>
      </w:pPr>
    </w:lvl>
    <w:lvl w:ilvl="4" w:tentative="0">
      <w:start w:val="1"/>
      <w:numFmt w:val="lowerLetter"/>
      <w:lvlText w:val="%5)"/>
      <w:lvlJc w:val="left"/>
      <w:pPr>
        <w:ind w:left="2099" w:hanging="420"/>
      </w:pPr>
    </w:lvl>
    <w:lvl w:ilvl="5" w:tentative="0">
      <w:start w:val="1"/>
      <w:numFmt w:val="lowerRoman"/>
      <w:lvlText w:val="%6."/>
      <w:lvlJc w:val="right"/>
      <w:pPr>
        <w:ind w:left="2519" w:hanging="420"/>
      </w:pPr>
    </w:lvl>
    <w:lvl w:ilvl="6" w:tentative="0">
      <w:start w:val="1"/>
      <w:numFmt w:val="decimal"/>
      <w:lvlText w:val="%7."/>
      <w:lvlJc w:val="left"/>
      <w:pPr>
        <w:ind w:left="2939" w:hanging="420"/>
      </w:pPr>
    </w:lvl>
    <w:lvl w:ilvl="7" w:tentative="0">
      <w:start w:val="1"/>
      <w:numFmt w:val="lowerLetter"/>
      <w:lvlText w:val="%8)"/>
      <w:lvlJc w:val="left"/>
      <w:pPr>
        <w:ind w:left="3359" w:hanging="420"/>
      </w:pPr>
    </w:lvl>
    <w:lvl w:ilvl="8" w:tentative="0">
      <w:start w:val="1"/>
      <w:numFmt w:val="lowerRoman"/>
      <w:lvlText w:val="%9."/>
      <w:lvlJc w:val="right"/>
      <w:pPr>
        <w:ind w:left="3779" w:hanging="420"/>
      </w:pPr>
    </w:lvl>
  </w:abstractNum>
  <w:abstractNum w:abstractNumId="5">
    <w:nsid w:val="611E0865"/>
    <w:multiLevelType w:val="multilevel"/>
    <w:tmpl w:val="611E0865"/>
    <w:lvl w:ilvl="0" w:tentative="0">
      <w:start w:val="1"/>
      <w:numFmt w:val="decimal"/>
      <w:lvlText w:val="[%1]"/>
      <w:lvlJc w:val="left"/>
      <w:pPr>
        <w:ind w:left="420" w:hanging="420"/>
      </w:pPr>
      <w:rPr>
        <w:rFonts w:hint="eastAsia" w:cs="Times New Roman"/>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6EA61933"/>
    <w:multiLevelType w:val="multilevel"/>
    <w:tmpl w:val="6EA61933"/>
    <w:lvl w:ilvl="0" w:tentative="0">
      <w:start w:val="1"/>
      <w:numFmt w:val="decimal"/>
      <w:lvlText w:val="[%1]"/>
      <w:lvlJc w:val="left"/>
      <w:pPr>
        <w:ind w:left="440" w:hanging="440"/>
      </w:pPr>
      <w:rPr>
        <w:rFonts w:hint="eastAsia" w:cs="Times New Roman"/>
        <w:color w:val="auto"/>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 w:numId="2">
    <w:abstractNumId w:val="4"/>
  </w:num>
  <w:num w:numId="3">
    <w:abstractNumId w:val="5"/>
  </w:num>
  <w:num w:numId="4">
    <w:abstractNumId w:val="2"/>
  </w:num>
  <w:num w:numId="5">
    <w:abstractNumId w:val="3"/>
  </w:num>
  <w:num w:numId="6">
    <w:abstractNumId w:val="6"/>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2"/>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NkMzVhNTA1NWMzZDc0MDk3Nzc1ODUzODEwMDUwODEifQ=="/>
    <w:docVar w:name="EN.InstantFormat" w:val="&lt;ENInstantFormat&gt;&lt;Enabled&gt;1&lt;/Enabled&gt;&lt;ScanUnformatted&gt;1&lt;/ScanUnformatted&gt;&lt;ScanChanges&gt;1&lt;/ScanChanges&gt;&lt;Suspended&gt;0&lt;/Suspended&gt;&lt;/ENInstantFormat&gt;"/>
    <w:docVar w:name="EN.Layout" w:val="&lt;ENLayout&gt;&lt;Style&gt;Chinese Std GBT7714 (numeric) copy&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e0xw9a5ksss2bepfpxv2exzapw0pspfxrrs&quot;&gt;发酵TMR小论文&lt;record-ids&gt;&lt;item&gt;228&lt;/item&gt;&lt;/record-ids&gt;&lt;/item&gt;&lt;/Libraries&gt;"/>
  </w:docVars>
  <w:rsids>
    <w:rsidRoot w:val="00416669"/>
    <w:rsid w:val="000155DB"/>
    <w:rsid w:val="00017D16"/>
    <w:rsid w:val="000308A3"/>
    <w:rsid w:val="00032402"/>
    <w:rsid w:val="00036A34"/>
    <w:rsid w:val="000429E1"/>
    <w:rsid w:val="000434FB"/>
    <w:rsid w:val="00044247"/>
    <w:rsid w:val="0004735E"/>
    <w:rsid w:val="00057930"/>
    <w:rsid w:val="000610CF"/>
    <w:rsid w:val="00061E22"/>
    <w:rsid w:val="00076D67"/>
    <w:rsid w:val="0008074C"/>
    <w:rsid w:val="000B474F"/>
    <w:rsid w:val="000E0375"/>
    <w:rsid w:val="000F7801"/>
    <w:rsid w:val="00112EE8"/>
    <w:rsid w:val="00113F8F"/>
    <w:rsid w:val="001155D9"/>
    <w:rsid w:val="00122CF2"/>
    <w:rsid w:val="0012627C"/>
    <w:rsid w:val="00126374"/>
    <w:rsid w:val="0013098F"/>
    <w:rsid w:val="001372F7"/>
    <w:rsid w:val="00137BD4"/>
    <w:rsid w:val="00140742"/>
    <w:rsid w:val="00147E5E"/>
    <w:rsid w:val="001650ED"/>
    <w:rsid w:val="00173D9B"/>
    <w:rsid w:val="0017441B"/>
    <w:rsid w:val="001877A5"/>
    <w:rsid w:val="001A3DFC"/>
    <w:rsid w:val="001A3E3C"/>
    <w:rsid w:val="001A6550"/>
    <w:rsid w:val="001D0503"/>
    <w:rsid w:val="001E428B"/>
    <w:rsid w:val="001E72A2"/>
    <w:rsid w:val="001F1BFE"/>
    <w:rsid w:val="001F5979"/>
    <w:rsid w:val="001F6496"/>
    <w:rsid w:val="00230B2D"/>
    <w:rsid w:val="002313E0"/>
    <w:rsid w:val="00231604"/>
    <w:rsid w:val="00232FFF"/>
    <w:rsid w:val="00237F30"/>
    <w:rsid w:val="00240E83"/>
    <w:rsid w:val="00246C40"/>
    <w:rsid w:val="002538BD"/>
    <w:rsid w:val="00255BC8"/>
    <w:rsid w:val="00256EDA"/>
    <w:rsid w:val="00257083"/>
    <w:rsid w:val="00257498"/>
    <w:rsid w:val="002574A2"/>
    <w:rsid w:val="00264E4C"/>
    <w:rsid w:val="00266508"/>
    <w:rsid w:val="002679DB"/>
    <w:rsid w:val="002A2BE5"/>
    <w:rsid w:val="002A38D8"/>
    <w:rsid w:val="002B5E17"/>
    <w:rsid w:val="002C3275"/>
    <w:rsid w:val="002C5FEC"/>
    <w:rsid w:val="002D17E1"/>
    <w:rsid w:val="002D653D"/>
    <w:rsid w:val="002E35C6"/>
    <w:rsid w:val="002F1A92"/>
    <w:rsid w:val="002F773B"/>
    <w:rsid w:val="002F78D3"/>
    <w:rsid w:val="00301EF9"/>
    <w:rsid w:val="00315468"/>
    <w:rsid w:val="00324544"/>
    <w:rsid w:val="0033768E"/>
    <w:rsid w:val="00353076"/>
    <w:rsid w:val="00355292"/>
    <w:rsid w:val="00357EA9"/>
    <w:rsid w:val="003616FA"/>
    <w:rsid w:val="0036445F"/>
    <w:rsid w:val="003647ED"/>
    <w:rsid w:val="00371521"/>
    <w:rsid w:val="00377593"/>
    <w:rsid w:val="00384379"/>
    <w:rsid w:val="00395E51"/>
    <w:rsid w:val="00397219"/>
    <w:rsid w:val="003A467C"/>
    <w:rsid w:val="003A7FFA"/>
    <w:rsid w:val="003B4101"/>
    <w:rsid w:val="003B4925"/>
    <w:rsid w:val="003C0E69"/>
    <w:rsid w:val="003D5430"/>
    <w:rsid w:val="003E41F0"/>
    <w:rsid w:val="004008BE"/>
    <w:rsid w:val="00401F02"/>
    <w:rsid w:val="00403501"/>
    <w:rsid w:val="0041174A"/>
    <w:rsid w:val="00412FA3"/>
    <w:rsid w:val="00416243"/>
    <w:rsid w:val="00416669"/>
    <w:rsid w:val="004262B4"/>
    <w:rsid w:val="00434FDA"/>
    <w:rsid w:val="0043644F"/>
    <w:rsid w:val="004369B7"/>
    <w:rsid w:val="00441546"/>
    <w:rsid w:val="00441DDE"/>
    <w:rsid w:val="00443A22"/>
    <w:rsid w:val="0045024A"/>
    <w:rsid w:val="004558C5"/>
    <w:rsid w:val="004817B8"/>
    <w:rsid w:val="0048331E"/>
    <w:rsid w:val="00487AD2"/>
    <w:rsid w:val="00487FAD"/>
    <w:rsid w:val="004A3AE7"/>
    <w:rsid w:val="004A4D6E"/>
    <w:rsid w:val="004B6B44"/>
    <w:rsid w:val="004C3612"/>
    <w:rsid w:val="004C40C4"/>
    <w:rsid w:val="004C500C"/>
    <w:rsid w:val="004C7768"/>
    <w:rsid w:val="004D3A8C"/>
    <w:rsid w:val="004D7696"/>
    <w:rsid w:val="004E670F"/>
    <w:rsid w:val="004F338A"/>
    <w:rsid w:val="004F7B86"/>
    <w:rsid w:val="00503FBF"/>
    <w:rsid w:val="00527ABD"/>
    <w:rsid w:val="00530419"/>
    <w:rsid w:val="00532D0E"/>
    <w:rsid w:val="00533B44"/>
    <w:rsid w:val="0055067B"/>
    <w:rsid w:val="0055090C"/>
    <w:rsid w:val="005573B1"/>
    <w:rsid w:val="00564B6D"/>
    <w:rsid w:val="00571127"/>
    <w:rsid w:val="00571E77"/>
    <w:rsid w:val="0057251D"/>
    <w:rsid w:val="00572906"/>
    <w:rsid w:val="00576CFC"/>
    <w:rsid w:val="005850C6"/>
    <w:rsid w:val="00594619"/>
    <w:rsid w:val="00595AF8"/>
    <w:rsid w:val="0059745A"/>
    <w:rsid w:val="00597601"/>
    <w:rsid w:val="005A3DE9"/>
    <w:rsid w:val="005B3678"/>
    <w:rsid w:val="005C1DB7"/>
    <w:rsid w:val="005C3740"/>
    <w:rsid w:val="005D70F9"/>
    <w:rsid w:val="005E25C4"/>
    <w:rsid w:val="005F21F2"/>
    <w:rsid w:val="005F7967"/>
    <w:rsid w:val="006136A1"/>
    <w:rsid w:val="00613B1E"/>
    <w:rsid w:val="00617DE2"/>
    <w:rsid w:val="00617E82"/>
    <w:rsid w:val="006237C9"/>
    <w:rsid w:val="006274F4"/>
    <w:rsid w:val="006359DA"/>
    <w:rsid w:val="00642959"/>
    <w:rsid w:val="00644454"/>
    <w:rsid w:val="0064625B"/>
    <w:rsid w:val="00647006"/>
    <w:rsid w:val="006520B7"/>
    <w:rsid w:val="006615F3"/>
    <w:rsid w:val="00662C30"/>
    <w:rsid w:val="00673243"/>
    <w:rsid w:val="00676D14"/>
    <w:rsid w:val="00677237"/>
    <w:rsid w:val="006801B7"/>
    <w:rsid w:val="00686267"/>
    <w:rsid w:val="006876D1"/>
    <w:rsid w:val="00692CFC"/>
    <w:rsid w:val="006A1F6A"/>
    <w:rsid w:val="006C0880"/>
    <w:rsid w:val="006C11CD"/>
    <w:rsid w:val="006C52CD"/>
    <w:rsid w:val="006D3074"/>
    <w:rsid w:val="006D5BF9"/>
    <w:rsid w:val="006E08FA"/>
    <w:rsid w:val="006E0E00"/>
    <w:rsid w:val="006E4C06"/>
    <w:rsid w:val="006F1DD4"/>
    <w:rsid w:val="006F3702"/>
    <w:rsid w:val="006F740A"/>
    <w:rsid w:val="00701F8B"/>
    <w:rsid w:val="007038ED"/>
    <w:rsid w:val="00706039"/>
    <w:rsid w:val="007227A4"/>
    <w:rsid w:val="00722A10"/>
    <w:rsid w:val="00732883"/>
    <w:rsid w:val="007356A0"/>
    <w:rsid w:val="007508FD"/>
    <w:rsid w:val="00750DD8"/>
    <w:rsid w:val="0075399B"/>
    <w:rsid w:val="00757F83"/>
    <w:rsid w:val="007665CB"/>
    <w:rsid w:val="00777351"/>
    <w:rsid w:val="00792549"/>
    <w:rsid w:val="00793A3A"/>
    <w:rsid w:val="007A1632"/>
    <w:rsid w:val="007A1885"/>
    <w:rsid w:val="007A2731"/>
    <w:rsid w:val="007B11B3"/>
    <w:rsid w:val="007B6620"/>
    <w:rsid w:val="007B75B7"/>
    <w:rsid w:val="007C4CB1"/>
    <w:rsid w:val="007D1E41"/>
    <w:rsid w:val="007D2898"/>
    <w:rsid w:val="007E63DA"/>
    <w:rsid w:val="007F0C38"/>
    <w:rsid w:val="007F5CB8"/>
    <w:rsid w:val="007F7B8C"/>
    <w:rsid w:val="008114DA"/>
    <w:rsid w:val="008127BC"/>
    <w:rsid w:val="00814B61"/>
    <w:rsid w:val="008242BD"/>
    <w:rsid w:val="0082475F"/>
    <w:rsid w:val="00827333"/>
    <w:rsid w:val="00835A6F"/>
    <w:rsid w:val="00836F37"/>
    <w:rsid w:val="00837F17"/>
    <w:rsid w:val="0084113C"/>
    <w:rsid w:val="00847886"/>
    <w:rsid w:val="00847A63"/>
    <w:rsid w:val="008535A7"/>
    <w:rsid w:val="00860918"/>
    <w:rsid w:val="0086606A"/>
    <w:rsid w:val="008678ED"/>
    <w:rsid w:val="00873984"/>
    <w:rsid w:val="0088082F"/>
    <w:rsid w:val="008961C2"/>
    <w:rsid w:val="008962BA"/>
    <w:rsid w:val="00897E59"/>
    <w:rsid w:val="008A2DD2"/>
    <w:rsid w:val="008A2E71"/>
    <w:rsid w:val="008A3069"/>
    <w:rsid w:val="008A49C3"/>
    <w:rsid w:val="008B3504"/>
    <w:rsid w:val="008B7E15"/>
    <w:rsid w:val="008C3EDA"/>
    <w:rsid w:val="008E5F14"/>
    <w:rsid w:val="008E5F71"/>
    <w:rsid w:val="008E66D9"/>
    <w:rsid w:val="008F08FA"/>
    <w:rsid w:val="008F2E1B"/>
    <w:rsid w:val="008F773A"/>
    <w:rsid w:val="00904055"/>
    <w:rsid w:val="00907DBA"/>
    <w:rsid w:val="00914A4F"/>
    <w:rsid w:val="0091549B"/>
    <w:rsid w:val="009215F0"/>
    <w:rsid w:val="00922670"/>
    <w:rsid w:val="00935406"/>
    <w:rsid w:val="00945B8A"/>
    <w:rsid w:val="0095204F"/>
    <w:rsid w:val="0095404A"/>
    <w:rsid w:val="00973876"/>
    <w:rsid w:val="00980FDD"/>
    <w:rsid w:val="009812CC"/>
    <w:rsid w:val="00986C80"/>
    <w:rsid w:val="009951C7"/>
    <w:rsid w:val="009966C3"/>
    <w:rsid w:val="0099687E"/>
    <w:rsid w:val="009A13B4"/>
    <w:rsid w:val="009A300F"/>
    <w:rsid w:val="009B09CB"/>
    <w:rsid w:val="009B1404"/>
    <w:rsid w:val="009C1890"/>
    <w:rsid w:val="009C1E98"/>
    <w:rsid w:val="009E25E4"/>
    <w:rsid w:val="009F110C"/>
    <w:rsid w:val="009F31FF"/>
    <w:rsid w:val="009F64A3"/>
    <w:rsid w:val="00A1717E"/>
    <w:rsid w:val="00A21B84"/>
    <w:rsid w:val="00A255CB"/>
    <w:rsid w:val="00A26331"/>
    <w:rsid w:val="00A2746C"/>
    <w:rsid w:val="00A27F7F"/>
    <w:rsid w:val="00A447CB"/>
    <w:rsid w:val="00A44C95"/>
    <w:rsid w:val="00A464AD"/>
    <w:rsid w:val="00A46547"/>
    <w:rsid w:val="00A542B0"/>
    <w:rsid w:val="00A5557B"/>
    <w:rsid w:val="00A56B82"/>
    <w:rsid w:val="00A75672"/>
    <w:rsid w:val="00A8486E"/>
    <w:rsid w:val="00AA2DCB"/>
    <w:rsid w:val="00AA3DF7"/>
    <w:rsid w:val="00AA4435"/>
    <w:rsid w:val="00AA7CED"/>
    <w:rsid w:val="00AB1FC9"/>
    <w:rsid w:val="00AB4133"/>
    <w:rsid w:val="00AB46A2"/>
    <w:rsid w:val="00AD492B"/>
    <w:rsid w:val="00AD4E95"/>
    <w:rsid w:val="00AD5C1F"/>
    <w:rsid w:val="00AD5E18"/>
    <w:rsid w:val="00AD78F8"/>
    <w:rsid w:val="00AE08AF"/>
    <w:rsid w:val="00AE1937"/>
    <w:rsid w:val="00AE3118"/>
    <w:rsid w:val="00AE3591"/>
    <w:rsid w:val="00AE35CB"/>
    <w:rsid w:val="00AF7E56"/>
    <w:rsid w:val="00B04616"/>
    <w:rsid w:val="00B072C7"/>
    <w:rsid w:val="00B101AB"/>
    <w:rsid w:val="00B27E34"/>
    <w:rsid w:val="00B30B48"/>
    <w:rsid w:val="00B337E6"/>
    <w:rsid w:val="00B34441"/>
    <w:rsid w:val="00B34D79"/>
    <w:rsid w:val="00B35BB0"/>
    <w:rsid w:val="00B36B7A"/>
    <w:rsid w:val="00B438C1"/>
    <w:rsid w:val="00B559A4"/>
    <w:rsid w:val="00B63763"/>
    <w:rsid w:val="00B756D2"/>
    <w:rsid w:val="00B915FB"/>
    <w:rsid w:val="00B92DBA"/>
    <w:rsid w:val="00B97595"/>
    <w:rsid w:val="00BA2455"/>
    <w:rsid w:val="00BA2A59"/>
    <w:rsid w:val="00BA706B"/>
    <w:rsid w:val="00BA7DAE"/>
    <w:rsid w:val="00BB0513"/>
    <w:rsid w:val="00BB71D2"/>
    <w:rsid w:val="00BC0C02"/>
    <w:rsid w:val="00BD1027"/>
    <w:rsid w:val="00BD35CA"/>
    <w:rsid w:val="00BD385F"/>
    <w:rsid w:val="00BD39E2"/>
    <w:rsid w:val="00BD3CA0"/>
    <w:rsid w:val="00BE0B0E"/>
    <w:rsid w:val="00BE3F98"/>
    <w:rsid w:val="00BF1329"/>
    <w:rsid w:val="00BF72F5"/>
    <w:rsid w:val="00BF7605"/>
    <w:rsid w:val="00C04DE6"/>
    <w:rsid w:val="00C0677E"/>
    <w:rsid w:val="00C16421"/>
    <w:rsid w:val="00C22140"/>
    <w:rsid w:val="00C2658A"/>
    <w:rsid w:val="00C31237"/>
    <w:rsid w:val="00C35D5A"/>
    <w:rsid w:val="00C42D41"/>
    <w:rsid w:val="00C43B8F"/>
    <w:rsid w:val="00C43FAD"/>
    <w:rsid w:val="00C45F48"/>
    <w:rsid w:val="00C474C8"/>
    <w:rsid w:val="00C54D42"/>
    <w:rsid w:val="00C679AC"/>
    <w:rsid w:val="00C758D8"/>
    <w:rsid w:val="00C81D94"/>
    <w:rsid w:val="00C900AE"/>
    <w:rsid w:val="00C9570B"/>
    <w:rsid w:val="00CA1927"/>
    <w:rsid w:val="00CA3AB7"/>
    <w:rsid w:val="00CB619E"/>
    <w:rsid w:val="00CD6231"/>
    <w:rsid w:val="00CE53AB"/>
    <w:rsid w:val="00D00CC8"/>
    <w:rsid w:val="00D22D66"/>
    <w:rsid w:val="00D250E5"/>
    <w:rsid w:val="00D253BE"/>
    <w:rsid w:val="00D26985"/>
    <w:rsid w:val="00D3529E"/>
    <w:rsid w:val="00D46F1D"/>
    <w:rsid w:val="00D53C06"/>
    <w:rsid w:val="00D60D26"/>
    <w:rsid w:val="00D60EB5"/>
    <w:rsid w:val="00D73891"/>
    <w:rsid w:val="00D749ED"/>
    <w:rsid w:val="00D81652"/>
    <w:rsid w:val="00D81CB9"/>
    <w:rsid w:val="00D90078"/>
    <w:rsid w:val="00D9528D"/>
    <w:rsid w:val="00DA3ED9"/>
    <w:rsid w:val="00DA4986"/>
    <w:rsid w:val="00DC10BE"/>
    <w:rsid w:val="00DD550E"/>
    <w:rsid w:val="00DD56EA"/>
    <w:rsid w:val="00DD694C"/>
    <w:rsid w:val="00DF0229"/>
    <w:rsid w:val="00DF3DAB"/>
    <w:rsid w:val="00DF4E14"/>
    <w:rsid w:val="00DF666A"/>
    <w:rsid w:val="00DF6EA3"/>
    <w:rsid w:val="00DF7946"/>
    <w:rsid w:val="00E1686F"/>
    <w:rsid w:val="00E21921"/>
    <w:rsid w:val="00E33DCF"/>
    <w:rsid w:val="00E373AD"/>
    <w:rsid w:val="00E4036C"/>
    <w:rsid w:val="00E418B3"/>
    <w:rsid w:val="00E52D55"/>
    <w:rsid w:val="00E56FB6"/>
    <w:rsid w:val="00E57815"/>
    <w:rsid w:val="00E62DD5"/>
    <w:rsid w:val="00E8551F"/>
    <w:rsid w:val="00E923DA"/>
    <w:rsid w:val="00E93DBA"/>
    <w:rsid w:val="00E9519E"/>
    <w:rsid w:val="00E96678"/>
    <w:rsid w:val="00E967AE"/>
    <w:rsid w:val="00EB7CF2"/>
    <w:rsid w:val="00EE1047"/>
    <w:rsid w:val="00EF0176"/>
    <w:rsid w:val="00EF4463"/>
    <w:rsid w:val="00F10D01"/>
    <w:rsid w:val="00F11312"/>
    <w:rsid w:val="00F143A4"/>
    <w:rsid w:val="00F21D5B"/>
    <w:rsid w:val="00F2339E"/>
    <w:rsid w:val="00F266DE"/>
    <w:rsid w:val="00F33865"/>
    <w:rsid w:val="00F4018F"/>
    <w:rsid w:val="00F46585"/>
    <w:rsid w:val="00F465B9"/>
    <w:rsid w:val="00F50FA6"/>
    <w:rsid w:val="00F55084"/>
    <w:rsid w:val="00F62E99"/>
    <w:rsid w:val="00F65A3A"/>
    <w:rsid w:val="00F70A79"/>
    <w:rsid w:val="00F73820"/>
    <w:rsid w:val="00F75167"/>
    <w:rsid w:val="00F765AB"/>
    <w:rsid w:val="00F810F1"/>
    <w:rsid w:val="00F85661"/>
    <w:rsid w:val="00F938C1"/>
    <w:rsid w:val="00FA3307"/>
    <w:rsid w:val="00FB5B64"/>
    <w:rsid w:val="00FC2299"/>
    <w:rsid w:val="00FC7766"/>
    <w:rsid w:val="00FD2844"/>
    <w:rsid w:val="00FD4EFA"/>
    <w:rsid w:val="00FD55D6"/>
    <w:rsid w:val="00FD6815"/>
    <w:rsid w:val="00FD6B91"/>
    <w:rsid w:val="00FE01AF"/>
    <w:rsid w:val="00FE6C94"/>
    <w:rsid w:val="00FF48BF"/>
    <w:rsid w:val="00FF5684"/>
    <w:rsid w:val="01466E5E"/>
    <w:rsid w:val="01885582"/>
    <w:rsid w:val="02D3570F"/>
    <w:rsid w:val="02E10CC6"/>
    <w:rsid w:val="035769A3"/>
    <w:rsid w:val="040D0C24"/>
    <w:rsid w:val="05412745"/>
    <w:rsid w:val="05593B7B"/>
    <w:rsid w:val="06451E0B"/>
    <w:rsid w:val="064853A5"/>
    <w:rsid w:val="065A430F"/>
    <w:rsid w:val="06834E49"/>
    <w:rsid w:val="07E15F37"/>
    <w:rsid w:val="08BD0334"/>
    <w:rsid w:val="0A0E7F26"/>
    <w:rsid w:val="0D563F8A"/>
    <w:rsid w:val="0D7F514F"/>
    <w:rsid w:val="0DA92A95"/>
    <w:rsid w:val="0F9B0B0B"/>
    <w:rsid w:val="0FD66E76"/>
    <w:rsid w:val="119C25FC"/>
    <w:rsid w:val="121F747C"/>
    <w:rsid w:val="12466746"/>
    <w:rsid w:val="127D7035"/>
    <w:rsid w:val="13485268"/>
    <w:rsid w:val="146B060A"/>
    <w:rsid w:val="14812B60"/>
    <w:rsid w:val="150E269C"/>
    <w:rsid w:val="15357CDE"/>
    <w:rsid w:val="166F5222"/>
    <w:rsid w:val="16FE5FCD"/>
    <w:rsid w:val="184A31E0"/>
    <w:rsid w:val="19063631"/>
    <w:rsid w:val="1C1171C5"/>
    <w:rsid w:val="1E711A49"/>
    <w:rsid w:val="20A67D62"/>
    <w:rsid w:val="20D5455D"/>
    <w:rsid w:val="21B608E7"/>
    <w:rsid w:val="21E62252"/>
    <w:rsid w:val="24080A6C"/>
    <w:rsid w:val="2440391D"/>
    <w:rsid w:val="253E083A"/>
    <w:rsid w:val="25A66669"/>
    <w:rsid w:val="27AE55C0"/>
    <w:rsid w:val="2939006C"/>
    <w:rsid w:val="2A433F1A"/>
    <w:rsid w:val="2AA17567"/>
    <w:rsid w:val="2AB23619"/>
    <w:rsid w:val="2C4032D0"/>
    <w:rsid w:val="2C546E85"/>
    <w:rsid w:val="2C8376D8"/>
    <w:rsid w:val="30A071CD"/>
    <w:rsid w:val="30C6499D"/>
    <w:rsid w:val="30EC10E8"/>
    <w:rsid w:val="3100387E"/>
    <w:rsid w:val="32044D41"/>
    <w:rsid w:val="32F1300C"/>
    <w:rsid w:val="32F41833"/>
    <w:rsid w:val="33B7082F"/>
    <w:rsid w:val="35D66C79"/>
    <w:rsid w:val="363F0E23"/>
    <w:rsid w:val="366F04F9"/>
    <w:rsid w:val="37242B95"/>
    <w:rsid w:val="37626E02"/>
    <w:rsid w:val="37FB0B2E"/>
    <w:rsid w:val="391F59BB"/>
    <w:rsid w:val="3938153F"/>
    <w:rsid w:val="39707CB8"/>
    <w:rsid w:val="39E72CC9"/>
    <w:rsid w:val="3AFE5C11"/>
    <w:rsid w:val="3B0A5075"/>
    <w:rsid w:val="3C277297"/>
    <w:rsid w:val="3EE00B70"/>
    <w:rsid w:val="3EF33504"/>
    <w:rsid w:val="40B7780E"/>
    <w:rsid w:val="42825A3B"/>
    <w:rsid w:val="42EA0E0D"/>
    <w:rsid w:val="43712A92"/>
    <w:rsid w:val="43D733FF"/>
    <w:rsid w:val="440F179F"/>
    <w:rsid w:val="44613A8D"/>
    <w:rsid w:val="448129C8"/>
    <w:rsid w:val="44B440F1"/>
    <w:rsid w:val="454F3AE7"/>
    <w:rsid w:val="45F61652"/>
    <w:rsid w:val="48090D4C"/>
    <w:rsid w:val="482C3F1D"/>
    <w:rsid w:val="4A0241F0"/>
    <w:rsid w:val="4AD420FB"/>
    <w:rsid w:val="4AD646BD"/>
    <w:rsid w:val="4CED1D55"/>
    <w:rsid w:val="4D851E20"/>
    <w:rsid w:val="4D9E3FA3"/>
    <w:rsid w:val="4E193658"/>
    <w:rsid w:val="4EA93DDE"/>
    <w:rsid w:val="4F2522E4"/>
    <w:rsid w:val="52BD4306"/>
    <w:rsid w:val="52C935E2"/>
    <w:rsid w:val="541C689A"/>
    <w:rsid w:val="5420452F"/>
    <w:rsid w:val="560D45D3"/>
    <w:rsid w:val="5AAF4953"/>
    <w:rsid w:val="5BC14BBB"/>
    <w:rsid w:val="5C9D7268"/>
    <w:rsid w:val="5D690E1A"/>
    <w:rsid w:val="5F97769F"/>
    <w:rsid w:val="5FA802E8"/>
    <w:rsid w:val="615A37DE"/>
    <w:rsid w:val="61D05B58"/>
    <w:rsid w:val="633A0287"/>
    <w:rsid w:val="6357264B"/>
    <w:rsid w:val="63B36E26"/>
    <w:rsid w:val="64B659E6"/>
    <w:rsid w:val="65B5431D"/>
    <w:rsid w:val="66395563"/>
    <w:rsid w:val="66AA38F8"/>
    <w:rsid w:val="66CB2934"/>
    <w:rsid w:val="694960C1"/>
    <w:rsid w:val="69F152C0"/>
    <w:rsid w:val="6A1C6F99"/>
    <w:rsid w:val="6D2A1A28"/>
    <w:rsid w:val="6D5C3BD4"/>
    <w:rsid w:val="6D736BFB"/>
    <w:rsid w:val="6D7823DF"/>
    <w:rsid w:val="6DFC2975"/>
    <w:rsid w:val="6E253618"/>
    <w:rsid w:val="6E4B5783"/>
    <w:rsid w:val="6E4C3E1A"/>
    <w:rsid w:val="6F9E5BF8"/>
    <w:rsid w:val="70211BD0"/>
    <w:rsid w:val="729351C7"/>
    <w:rsid w:val="73CE5A0F"/>
    <w:rsid w:val="74732F74"/>
    <w:rsid w:val="74CD7402"/>
    <w:rsid w:val="77436BAC"/>
    <w:rsid w:val="77785FC7"/>
    <w:rsid w:val="78EC706A"/>
    <w:rsid w:val="795824F5"/>
    <w:rsid w:val="7DAB0F40"/>
    <w:rsid w:val="7ECE7411"/>
    <w:rsid w:val="7F5034BD"/>
    <w:rsid w:val="7FB952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0"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iPriority="99" w:semiHidden="0"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qFormat="1" w:unhideWhenUsed="0"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1"/>
      <w:lang w:val="en-US" w:eastAsia="zh-CN" w:bidi="ar-SA"/>
    </w:rPr>
  </w:style>
  <w:style w:type="paragraph" w:styleId="3">
    <w:name w:val="heading 1"/>
    <w:basedOn w:val="1"/>
    <w:next w:val="1"/>
    <w:link w:val="40"/>
    <w:qFormat/>
    <w:uiPriority w:val="9"/>
    <w:pPr>
      <w:keepNext/>
      <w:keepLines/>
      <w:spacing w:before="240" w:after="240" w:line="360" w:lineRule="auto"/>
      <w:outlineLvl w:val="0"/>
    </w:pPr>
    <w:rPr>
      <w:b/>
      <w:bCs/>
      <w:kern w:val="44"/>
      <w:sz w:val="28"/>
      <w:szCs w:val="44"/>
    </w:rPr>
  </w:style>
  <w:style w:type="paragraph" w:styleId="4">
    <w:name w:val="heading 2"/>
    <w:basedOn w:val="1"/>
    <w:next w:val="1"/>
    <w:link w:val="23"/>
    <w:qFormat/>
    <w:uiPriority w:val="9"/>
    <w:pPr>
      <w:keepNext/>
      <w:keepLines/>
      <w:spacing w:before="240" w:after="240" w:line="360" w:lineRule="auto"/>
      <w:outlineLvl w:val="1"/>
    </w:pPr>
    <w:rPr>
      <w:rFonts w:ascii="等线 Light" w:hAnsi="等线 Light" w:eastAsia="黑体"/>
      <w:bCs/>
      <w:sz w:val="24"/>
      <w:szCs w:val="32"/>
    </w:rPr>
  </w:style>
  <w:style w:type="paragraph" w:styleId="5">
    <w:name w:val="heading 3"/>
    <w:basedOn w:val="1"/>
    <w:next w:val="1"/>
    <w:link w:val="42"/>
    <w:unhideWhenUsed/>
    <w:qFormat/>
    <w:uiPriority w:val="9"/>
    <w:pPr>
      <w:keepNext/>
      <w:keepLines/>
      <w:spacing w:line="360" w:lineRule="auto"/>
      <w:outlineLvl w:val="2"/>
    </w:pPr>
    <w:rPr>
      <w:b/>
      <w:bCs/>
      <w:sz w:val="24"/>
      <w:szCs w:val="32"/>
    </w:rPr>
  </w:style>
  <w:style w:type="character" w:default="1" w:styleId="17">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2">
    <w:name w:val="Body Text Indent 2"/>
    <w:basedOn w:val="1"/>
    <w:unhideWhenUsed/>
    <w:qFormat/>
    <w:uiPriority w:val="99"/>
    <w:pPr>
      <w:spacing w:after="120" w:line="480" w:lineRule="auto"/>
      <w:ind w:left="420" w:leftChars="200"/>
    </w:pPr>
  </w:style>
  <w:style w:type="paragraph" w:styleId="6">
    <w:name w:val="caption"/>
    <w:basedOn w:val="1"/>
    <w:next w:val="1"/>
    <w:qFormat/>
    <w:uiPriority w:val="0"/>
    <w:rPr>
      <w:rFonts w:ascii="等线 Light" w:hAnsi="等线 Light" w:eastAsia="黑体"/>
      <w:sz w:val="20"/>
      <w:szCs w:val="20"/>
    </w:rPr>
  </w:style>
  <w:style w:type="paragraph" w:styleId="7">
    <w:name w:val="toc 3"/>
    <w:basedOn w:val="1"/>
    <w:next w:val="1"/>
    <w:autoRedefine/>
    <w:unhideWhenUsed/>
    <w:qFormat/>
    <w:uiPriority w:val="39"/>
    <w:pPr>
      <w:ind w:left="840" w:leftChars="400"/>
    </w:pPr>
  </w:style>
  <w:style w:type="paragraph" w:styleId="8">
    <w:name w:val="Plain Text"/>
    <w:basedOn w:val="1"/>
    <w:qFormat/>
    <w:uiPriority w:val="99"/>
    <w:rPr>
      <w:rFonts w:ascii="宋体" w:hAnsi="Courier New" w:cs="宋体"/>
    </w:rPr>
  </w:style>
  <w:style w:type="paragraph" w:styleId="9">
    <w:name w:val="Date"/>
    <w:basedOn w:val="1"/>
    <w:next w:val="1"/>
    <w:link w:val="24"/>
    <w:qFormat/>
    <w:uiPriority w:val="0"/>
    <w:pPr>
      <w:ind w:left="100" w:leftChars="2500"/>
    </w:pPr>
    <w:rPr>
      <w:szCs w:val="24"/>
    </w:rPr>
  </w:style>
  <w:style w:type="paragraph" w:styleId="10">
    <w:name w:val="Balloon Text"/>
    <w:basedOn w:val="1"/>
    <w:link w:val="25"/>
    <w:unhideWhenUsed/>
    <w:qFormat/>
    <w:uiPriority w:val="0"/>
    <w:rPr>
      <w:sz w:val="18"/>
      <w:szCs w:val="18"/>
    </w:rPr>
  </w:style>
  <w:style w:type="paragraph" w:styleId="11">
    <w:name w:val="footer"/>
    <w:basedOn w:val="1"/>
    <w:link w:val="26"/>
    <w:unhideWhenUsed/>
    <w:qFormat/>
    <w:uiPriority w:val="99"/>
    <w:pPr>
      <w:tabs>
        <w:tab w:val="center" w:pos="4153"/>
        <w:tab w:val="right" w:pos="8306"/>
      </w:tabs>
      <w:snapToGrid w:val="0"/>
      <w:jc w:val="left"/>
    </w:pPr>
    <w:rPr>
      <w:sz w:val="18"/>
      <w:szCs w:val="18"/>
    </w:rPr>
  </w:style>
  <w:style w:type="paragraph" w:styleId="12">
    <w:name w:val="header"/>
    <w:basedOn w:val="1"/>
    <w:link w:val="27"/>
    <w:unhideWhenUsed/>
    <w:qFormat/>
    <w:uiPriority w:val="0"/>
    <w:pPr>
      <w:pBdr>
        <w:bottom w:val="single" w:color="auto" w:sz="6" w:space="1"/>
      </w:pBdr>
      <w:tabs>
        <w:tab w:val="center" w:pos="4153"/>
        <w:tab w:val="right" w:pos="8306"/>
      </w:tabs>
      <w:snapToGrid w:val="0"/>
      <w:jc w:val="center"/>
    </w:pPr>
    <w:rPr>
      <w:sz w:val="18"/>
      <w:szCs w:val="18"/>
    </w:rPr>
  </w:style>
  <w:style w:type="paragraph" w:styleId="13">
    <w:name w:val="toc 1"/>
    <w:basedOn w:val="1"/>
    <w:next w:val="1"/>
    <w:autoRedefine/>
    <w:unhideWhenUsed/>
    <w:qFormat/>
    <w:uiPriority w:val="39"/>
    <w:pPr>
      <w:tabs>
        <w:tab w:val="right" w:leader="dot" w:pos="8538"/>
      </w:tabs>
      <w:spacing w:line="360" w:lineRule="auto"/>
    </w:pPr>
  </w:style>
  <w:style w:type="paragraph" w:styleId="14">
    <w:name w:val="toc 2"/>
    <w:basedOn w:val="1"/>
    <w:next w:val="1"/>
    <w:autoRedefine/>
    <w:unhideWhenUsed/>
    <w:qFormat/>
    <w:uiPriority w:val="39"/>
    <w:pPr>
      <w:ind w:left="420" w:leftChars="200"/>
    </w:pPr>
  </w:style>
  <w:style w:type="paragraph" w:styleId="15">
    <w:name w:val="Normal (Web)"/>
    <w:basedOn w:val="1"/>
    <w:qFormat/>
    <w:uiPriority w:val="99"/>
    <w:pPr>
      <w:widowControl/>
      <w:spacing w:before="100" w:beforeAutospacing="1" w:after="100" w:afterAutospacing="1"/>
      <w:jc w:val="left"/>
    </w:pPr>
    <w:rPr>
      <w:rFonts w:ascii="宋体" w:hAnsi="宋体" w:cs="宋体"/>
      <w:kern w:val="0"/>
      <w:sz w:val="24"/>
    </w:rPr>
  </w:style>
  <w:style w:type="character" w:styleId="18">
    <w:name w:val="Strong"/>
    <w:qFormat/>
    <w:uiPriority w:val="0"/>
    <w:rPr>
      <w:b/>
    </w:rPr>
  </w:style>
  <w:style w:type="character" w:styleId="19">
    <w:name w:val="page number"/>
    <w:qFormat/>
    <w:uiPriority w:val="0"/>
  </w:style>
  <w:style w:type="character" w:styleId="20">
    <w:name w:val="Hyperlink"/>
    <w:unhideWhenUsed/>
    <w:qFormat/>
    <w:uiPriority w:val="99"/>
    <w:rPr>
      <w:color w:val="0563C1"/>
      <w:u w:val="single"/>
    </w:rPr>
  </w:style>
  <w:style w:type="paragraph" w:customStyle="1" w:styleId="21">
    <w:name w:val="EndNote Bibliography"/>
    <w:basedOn w:val="1"/>
    <w:link w:val="22"/>
    <w:qFormat/>
    <w:uiPriority w:val="0"/>
    <w:rPr>
      <w:rFonts w:eastAsia="等线"/>
      <w:sz w:val="20"/>
      <w:szCs w:val="22"/>
    </w:rPr>
  </w:style>
  <w:style w:type="character" w:customStyle="1" w:styleId="22">
    <w:name w:val="EndNote Bibliography 字符"/>
    <w:link w:val="21"/>
    <w:qFormat/>
    <w:uiPriority w:val="0"/>
    <w:rPr>
      <w:rFonts w:eastAsia="等线"/>
      <w:kern w:val="2"/>
      <w:szCs w:val="22"/>
    </w:rPr>
  </w:style>
  <w:style w:type="character" w:customStyle="1" w:styleId="23">
    <w:name w:val="标题 2 字符"/>
    <w:link w:val="4"/>
    <w:qFormat/>
    <w:uiPriority w:val="9"/>
    <w:rPr>
      <w:rFonts w:ascii="等线 Light" w:hAnsi="等线 Light" w:eastAsia="黑体"/>
      <w:bCs/>
      <w:kern w:val="2"/>
      <w:sz w:val="24"/>
      <w:szCs w:val="32"/>
    </w:rPr>
  </w:style>
  <w:style w:type="character" w:customStyle="1" w:styleId="24">
    <w:name w:val="日期 字符"/>
    <w:link w:val="9"/>
    <w:qFormat/>
    <w:uiPriority w:val="0"/>
    <w:rPr>
      <w:rFonts w:ascii="Times New Roman" w:hAnsi="Times New Roman" w:eastAsia="宋体" w:cs="Times New Roman"/>
      <w:kern w:val="2"/>
      <w:sz w:val="21"/>
      <w:szCs w:val="24"/>
    </w:rPr>
  </w:style>
  <w:style w:type="character" w:customStyle="1" w:styleId="25">
    <w:name w:val="批注框文本 字符"/>
    <w:link w:val="10"/>
    <w:semiHidden/>
    <w:qFormat/>
    <w:uiPriority w:val="99"/>
    <w:rPr>
      <w:rFonts w:ascii="Times New Roman" w:hAnsi="Times New Roman" w:eastAsia="宋体" w:cs="Times New Roman"/>
      <w:kern w:val="2"/>
      <w:sz w:val="18"/>
      <w:szCs w:val="18"/>
    </w:rPr>
  </w:style>
  <w:style w:type="character" w:customStyle="1" w:styleId="26">
    <w:name w:val="页脚 字符"/>
    <w:link w:val="11"/>
    <w:qFormat/>
    <w:uiPriority w:val="99"/>
    <w:rPr>
      <w:rFonts w:ascii="Times New Roman" w:hAnsi="Times New Roman" w:eastAsia="宋体" w:cs="Times New Roman"/>
      <w:sz w:val="18"/>
      <w:szCs w:val="18"/>
    </w:rPr>
  </w:style>
  <w:style w:type="character" w:customStyle="1" w:styleId="27">
    <w:name w:val="页眉 字符"/>
    <w:link w:val="12"/>
    <w:qFormat/>
    <w:uiPriority w:val="0"/>
    <w:rPr>
      <w:rFonts w:ascii="Times New Roman" w:hAnsi="Times New Roman" w:eastAsia="宋体" w:cs="Times New Roman"/>
      <w:sz w:val="18"/>
      <w:szCs w:val="18"/>
    </w:rPr>
  </w:style>
  <w:style w:type="character" w:customStyle="1" w:styleId="28">
    <w:name w:val="fontstyle01"/>
    <w:qFormat/>
    <w:uiPriority w:val="0"/>
    <w:rPr>
      <w:rFonts w:hint="eastAsia" w:ascii="黑体" w:hAnsi="黑体" w:eastAsia="黑体"/>
      <w:color w:val="000000"/>
      <w:sz w:val="32"/>
      <w:szCs w:val="32"/>
    </w:rPr>
  </w:style>
  <w:style w:type="character" w:customStyle="1" w:styleId="29">
    <w:name w:val="未处理的提及1"/>
    <w:unhideWhenUsed/>
    <w:qFormat/>
    <w:uiPriority w:val="99"/>
    <w:rPr>
      <w:color w:val="605E5C"/>
      <w:shd w:val="clear" w:color="auto" w:fill="E1DFDD"/>
    </w:rPr>
  </w:style>
  <w:style w:type="character" w:customStyle="1" w:styleId="30">
    <w:name w:val="段 Char"/>
    <w:link w:val="31"/>
    <w:qFormat/>
    <w:uiPriority w:val="0"/>
    <w:rPr>
      <w:rFonts w:ascii="宋体" w:hAnsi="Times New Roman" w:eastAsia="宋体" w:cs="Times New Roman"/>
      <w:kern w:val="0"/>
      <w:szCs w:val="20"/>
    </w:rPr>
  </w:style>
  <w:style w:type="paragraph" w:customStyle="1" w:styleId="31">
    <w:name w:val="段"/>
    <w:link w:val="30"/>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32">
    <w:name w:val="fontstyle11"/>
    <w:qFormat/>
    <w:uiPriority w:val="0"/>
    <w:rPr>
      <w:rFonts w:hint="default" w:ascii="TimesNewRomanPSMT" w:hAnsi="TimesNewRomanPSMT"/>
      <w:color w:val="000000"/>
      <w:sz w:val="22"/>
      <w:szCs w:val="22"/>
    </w:rPr>
  </w:style>
  <w:style w:type="character" w:customStyle="1" w:styleId="33">
    <w:name w:val="apple-style-span"/>
    <w:semiHidden/>
    <w:qFormat/>
    <w:uiPriority w:val="0"/>
  </w:style>
  <w:style w:type="paragraph" w:styleId="34">
    <w:name w:val="List Paragraph"/>
    <w:basedOn w:val="1"/>
    <w:qFormat/>
    <w:uiPriority w:val="99"/>
    <w:pPr>
      <w:ind w:firstLine="420" w:firstLineChars="200"/>
    </w:pPr>
  </w:style>
  <w:style w:type="paragraph" w:customStyle="1" w:styleId="35">
    <w:name w:val="Char1 Char Char Char Char Char Char Char Char Char"/>
    <w:basedOn w:val="1"/>
    <w:qFormat/>
    <w:uiPriority w:val="0"/>
    <w:pPr>
      <w:spacing w:line="360" w:lineRule="auto"/>
    </w:pPr>
    <w:rPr>
      <w:rFonts w:ascii="Tahoma" w:hAnsi="Tahoma"/>
      <w:sz w:val="24"/>
      <w:szCs w:val="20"/>
    </w:rPr>
  </w:style>
  <w:style w:type="paragraph" w:customStyle="1" w:styleId="36">
    <w:name w:val="图标标题"/>
    <w:basedOn w:val="6"/>
    <w:qFormat/>
    <w:uiPriority w:val="0"/>
    <w:pPr>
      <w:jc w:val="center"/>
    </w:pPr>
    <w:rPr>
      <w:sz w:val="21"/>
    </w:rPr>
  </w:style>
  <w:style w:type="paragraph" w:customStyle="1" w:styleId="37">
    <w:name w:val="修订1"/>
    <w:unhideWhenUsed/>
    <w:qFormat/>
    <w:uiPriority w:val="99"/>
    <w:rPr>
      <w:rFonts w:ascii="Times New Roman" w:hAnsi="Times New Roman" w:eastAsia="宋体" w:cs="Times New Roman"/>
      <w:kern w:val="2"/>
      <w:sz w:val="21"/>
      <w:szCs w:val="21"/>
      <w:lang w:val="en-US" w:eastAsia="zh-CN" w:bidi="ar-SA"/>
    </w:rPr>
  </w:style>
  <w:style w:type="paragraph" w:customStyle="1" w:styleId="38">
    <w:name w:val="EndNote Bibliography Title"/>
    <w:basedOn w:val="1"/>
    <w:link w:val="39"/>
    <w:qFormat/>
    <w:uiPriority w:val="0"/>
    <w:pPr>
      <w:jc w:val="center"/>
    </w:pPr>
    <w:rPr>
      <w:sz w:val="20"/>
    </w:rPr>
  </w:style>
  <w:style w:type="character" w:customStyle="1" w:styleId="39">
    <w:name w:val="EndNote Bibliography Title 字符"/>
    <w:link w:val="38"/>
    <w:qFormat/>
    <w:uiPriority w:val="0"/>
    <w:rPr>
      <w:kern w:val="2"/>
      <w:szCs w:val="21"/>
      <w:lang w:val="en-US" w:eastAsia="zh-CN"/>
    </w:rPr>
  </w:style>
  <w:style w:type="character" w:customStyle="1" w:styleId="40">
    <w:name w:val="标题 1 字符"/>
    <w:link w:val="3"/>
    <w:qFormat/>
    <w:uiPriority w:val="9"/>
    <w:rPr>
      <w:b/>
      <w:bCs/>
      <w:kern w:val="44"/>
      <w:sz w:val="28"/>
      <w:szCs w:val="44"/>
    </w:rPr>
  </w:style>
  <w:style w:type="paragraph" w:customStyle="1" w:styleId="41">
    <w:name w:val="TOC 标题1"/>
    <w:basedOn w:val="3"/>
    <w:next w:val="1"/>
    <w:unhideWhenUsed/>
    <w:qFormat/>
    <w:uiPriority w:val="39"/>
    <w:pPr>
      <w:widowControl/>
      <w:spacing w:after="0" w:line="259" w:lineRule="auto"/>
      <w:jc w:val="left"/>
      <w:outlineLvl w:val="9"/>
    </w:pPr>
    <w:rPr>
      <w:rFonts w:ascii="等线 Light" w:hAnsi="等线 Light" w:eastAsia="等线 Light"/>
      <w:b w:val="0"/>
      <w:bCs w:val="0"/>
      <w:color w:val="2F5496"/>
      <w:kern w:val="0"/>
      <w:sz w:val="32"/>
      <w:szCs w:val="32"/>
    </w:rPr>
  </w:style>
  <w:style w:type="character" w:customStyle="1" w:styleId="42">
    <w:name w:val="标题 3 字符"/>
    <w:link w:val="5"/>
    <w:qFormat/>
    <w:uiPriority w:val="9"/>
    <w:rPr>
      <w:b/>
      <w:bCs/>
      <w:kern w:val="2"/>
      <w:sz w:val="24"/>
      <w:szCs w:val="32"/>
    </w:rPr>
  </w:style>
  <w:style w:type="character" w:customStyle="1" w:styleId="43">
    <w:name w:val="标准文件_段 Char"/>
    <w:link w:val="44"/>
    <w:qFormat/>
    <w:locked/>
    <w:uiPriority w:val="0"/>
    <w:rPr>
      <w:rFonts w:ascii="宋体"/>
      <w:sz w:val="21"/>
    </w:rPr>
  </w:style>
  <w:style w:type="paragraph" w:customStyle="1" w:styleId="44">
    <w:name w:val="标准文件_段"/>
    <w:link w:val="43"/>
    <w:qFormat/>
    <w:uiPriority w:val="0"/>
    <w:pPr>
      <w:autoSpaceDE w:val="0"/>
      <w:autoSpaceDN w:val="0"/>
      <w:ind w:firstLine="200" w:firstLineChars="200"/>
      <w:jc w:val="both"/>
    </w:pPr>
    <w:rPr>
      <w:rFonts w:ascii="宋体" w:hAnsi="Times New Roman" w:eastAsia="宋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numbering" Target="numbering.xml"/><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7BFD8C-1850-47D2-BE5D-0813EAA0C06C}">
  <ds:schemaRefs/>
</ds:datastoreItem>
</file>

<file path=docProps/app.xml><?xml version="1.0" encoding="utf-8"?>
<Properties xmlns="http://schemas.openxmlformats.org/officeDocument/2006/extended-properties" xmlns:vt="http://schemas.openxmlformats.org/officeDocument/2006/docPropsVTypes">
  <Template>Normal</Template>
  <Company>Lenovo</Company>
  <Pages>19</Pages>
  <Words>9791</Words>
  <Characters>13822</Characters>
  <Lines>38</Lines>
  <Paragraphs>10</Paragraphs>
  <TotalTime>2</TotalTime>
  <ScaleCrop>false</ScaleCrop>
  <LinksUpToDate>false</LinksUpToDate>
  <CharactersWithSpaces>14535</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2025-12-17T06:59:00Z</dcterms:created>
  <dc:creator>win10</dc:creator>
  <cp:lastModifiedBy>Yaxiao Li</cp:lastModifiedBy>
  <cp:lastPrinted>2021-10-27T07:09:00Z</cp:lastPrinted>
  <dcterms:modified xsi:type="dcterms:W3CDTF">2026-05-11T08:38:55Z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31574297001F4239AA45EC6A402DF3BA_13</vt:lpwstr>
  </property>
  <property fmtid="{D5CDD505-2E9C-101B-9397-08002B2CF9AE}" pid="4" name="KSOTemplateDocerSaveRecord">
    <vt:lpwstr>eyJoZGlkIjoiZjkwYzUzYTRkMzI1ZDUzNWQ1MGFkYWFlNjQ4NDY1N2QiLCJ1c2VySWQiOiI0MDM1OTcxMzYifQ==</vt:lpwstr>
  </property>
</Properties>
</file>